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tbl>
      <w:tblPr>
        <w:bidiVisual/>
        <w:tblW w:w="8634" w:type="dxa"/>
        <w:tblLook w:val="00A0"/>
      </w:tblPr>
      <w:tblGrid>
        <w:gridCol w:w="4485"/>
        <w:gridCol w:w="4149"/>
      </w:tblGrid>
      <w:tr w:rsidTr="00A10E20">
        <w:tblPrEx>
          <w:tblW w:w="8634" w:type="dxa"/>
          <w:tblLook w:val="00A0"/>
        </w:tblPrEx>
        <w:tc>
          <w:tcPr>
            <w:tcW w:w="4485" w:type="dxa"/>
          </w:tcPr>
          <w:p w:rsidR="00EC305A" w:rsidRPr="00FC27A2" w:rsidP="00FC27A2">
            <w:pPr>
              <w:pStyle w:val="Header"/>
              <w:spacing w:before="120" w:after="120" w:line="240" w:lineRule="exact"/>
              <w:jc w:val="center"/>
              <w:rPr>
                <w:rFonts w:ascii="David" w:hAnsi="David"/>
                <w:b/>
                <w:bCs/>
                <w:sz w:val="26"/>
                <w:szCs w:val="26"/>
                <w:rtl/>
              </w:rPr>
            </w:pPr>
            <w:r w:rsidRPr="00FC27A2">
              <w:rPr>
                <w:rFonts w:ascii="David" w:hAnsi="David"/>
                <w:b/>
                <w:bCs/>
                <w:sz w:val="26"/>
                <w:szCs w:val="26"/>
                <w:rtl/>
              </w:rPr>
              <w:t>מדינת ישראל</w:t>
            </w:r>
          </w:p>
        </w:tc>
        <w:tc>
          <w:tcPr>
            <w:tcW w:w="4149" w:type="dxa"/>
          </w:tcPr>
          <w:p w:rsidR="00EC305A" w:rsidRPr="00FC27A2" w:rsidP="00FC27A2">
            <w:pPr>
              <w:pStyle w:val="Header"/>
              <w:spacing w:before="120" w:after="120" w:line="240" w:lineRule="exact"/>
              <w:jc w:val="right"/>
              <w:rPr>
                <w:rFonts w:ascii="David" w:hAnsi="David"/>
                <w:b/>
                <w:bCs/>
                <w:sz w:val="26"/>
                <w:szCs w:val="26"/>
                <w:rtl/>
              </w:rPr>
            </w:pPr>
            <w:r w:rsidRPr="00FC27A2">
              <w:rPr>
                <w:rFonts w:ascii="David" w:hAnsi="David"/>
                <w:b/>
                <w:bCs/>
                <w:sz w:val="26"/>
                <w:szCs w:val="26"/>
                <w:rtl/>
              </w:rPr>
              <w:t>עררים עח/9006-9012/1020</w:t>
            </w:r>
          </w:p>
        </w:tc>
      </w:tr>
      <w:tr w:rsidTr="00A10E20">
        <w:tblPrEx>
          <w:tblW w:w="8634" w:type="dxa"/>
          <w:tblLook w:val="00A0"/>
        </w:tblPrEx>
        <w:tc>
          <w:tcPr>
            <w:tcW w:w="4485" w:type="dxa"/>
          </w:tcPr>
          <w:p w:rsidR="00EC305A" w:rsidRPr="00FC27A2" w:rsidP="00FC27A2">
            <w:pPr>
              <w:pStyle w:val="Header"/>
              <w:spacing w:before="120" w:after="120" w:line="240" w:lineRule="exact"/>
              <w:jc w:val="center"/>
              <w:rPr>
                <w:rFonts w:ascii="David" w:hAnsi="David"/>
                <w:b/>
                <w:bCs/>
                <w:sz w:val="26"/>
                <w:szCs w:val="26"/>
                <w:rtl/>
              </w:rPr>
            </w:pPr>
            <w:r w:rsidRPr="00FC27A2">
              <w:rPr>
                <w:rFonts w:ascii="David" w:hAnsi="David"/>
                <w:b/>
                <w:bCs/>
                <w:sz w:val="26"/>
                <w:szCs w:val="26"/>
                <w:rtl/>
              </w:rPr>
              <w:t>ועדת הערר לפיצויים והיטלי השבחה</w:t>
            </w:r>
          </w:p>
        </w:tc>
        <w:tc>
          <w:tcPr>
            <w:tcW w:w="4149" w:type="dxa"/>
          </w:tcPr>
          <w:p w:rsidR="00EC305A" w:rsidRPr="00FC27A2" w:rsidP="00FC27A2">
            <w:pPr>
              <w:pStyle w:val="Header"/>
              <w:spacing w:before="120" w:after="120" w:line="240" w:lineRule="exact"/>
              <w:jc w:val="center"/>
              <w:rPr>
                <w:rFonts w:ascii="David" w:hAnsi="David"/>
                <w:b/>
                <w:bCs/>
                <w:sz w:val="26"/>
                <w:szCs w:val="26"/>
                <w:rtl/>
              </w:rPr>
            </w:pPr>
          </w:p>
        </w:tc>
      </w:tr>
      <w:tr w:rsidTr="00A10E20">
        <w:tblPrEx>
          <w:tblW w:w="8634" w:type="dxa"/>
          <w:tblLook w:val="00A0"/>
        </w:tblPrEx>
        <w:tc>
          <w:tcPr>
            <w:tcW w:w="4485" w:type="dxa"/>
          </w:tcPr>
          <w:p w:rsidR="00EC305A" w:rsidRPr="00FC27A2" w:rsidP="00FC27A2">
            <w:pPr>
              <w:pStyle w:val="Header"/>
              <w:spacing w:before="120" w:after="120" w:line="240" w:lineRule="exact"/>
              <w:jc w:val="center"/>
              <w:rPr>
                <w:rFonts w:ascii="David" w:hAnsi="David"/>
                <w:b/>
                <w:bCs/>
                <w:sz w:val="26"/>
                <w:szCs w:val="26"/>
                <w:rtl/>
              </w:rPr>
            </w:pPr>
            <w:r w:rsidRPr="00FC27A2">
              <w:rPr>
                <w:rFonts w:ascii="David" w:hAnsi="David"/>
                <w:b/>
                <w:bCs/>
                <w:sz w:val="26"/>
                <w:szCs w:val="26"/>
                <w:rtl/>
              </w:rPr>
              <w:t>מחוז מרכז</w:t>
            </w:r>
          </w:p>
        </w:tc>
        <w:tc>
          <w:tcPr>
            <w:tcW w:w="4149" w:type="dxa"/>
          </w:tcPr>
          <w:p w:rsidR="00EC305A" w:rsidRPr="00FC27A2" w:rsidP="00FC27A2">
            <w:pPr>
              <w:pStyle w:val="Header"/>
              <w:spacing w:before="120" w:after="120" w:line="240" w:lineRule="exact"/>
              <w:jc w:val="center"/>
              <w:rPr>
                <w:rFonts w:ascii="David" w:hAnsi="David"/>
                <w:b/>
                <w:bCs/>
                <w:sz w:val="26"/>
                <w:szCs w:val="26"/>
                <w:rtl/>
              </w:rPr>
            </w:pPr>
          </w:p>
        </w:tc>
      </w:tr>
    </w:tbl>
    <w:p w:rsidR="00EC305A" w:rsidRPr="00FC27A2" w:rsidP="00FC27A2">
      <w:pPr>
        <w:pStyle w:val="Header"/>
        <w:spacing w:before="120" w:after="120" w:line="240" w:lineRule="exact"/>
        <w:jc w:val="center"/>
        <w:rPr>
          <w:rFonts w:ascii="David" w:hAnsi="David"/>
          <w:b/>
          <w:bCs/>
          <w:sz w:val="26"/>
          <w:szCs w:val="26"/>
        </w:rPr>
      </w:pPr>
    </w:p>
    <w:p w:rsidR="007E0DC7" w:rsidRPr="00FC27A2" w:rsidP="00FC27A2">
      <w:pPr>
        <w:suppressLineNumbers/>
        <w:spacing w:before="120" w:after="120" w:line="240" w:lineRule="exact"/>
        <w:rPr>
          <w:rFonts w:ascii="David" w:hAnsi="David"/>
          <w:b/>
          <w:bCs/>
          <w:sz w:val="26"/>
          <w:szCs w:val="26"/>
          <w:rtl/>
        </w:rPr>
      </w:pPr>
    </w:p>
    <w:tbl>
      <w:tblPr>
        <w:bidiVisual/>
        <w:tblW w:w="8795" w:type="dxa"/>
        <w:jc w:val="center"/>
        <w:tblLook w:val="01E0"/>
      </w:tblPr>
      <w:tblGrid>
        <w:gridCol w:w="2994"/>
        <w:gridCol w:w="5794"/>
        <w:gridCol w:w="7"/>
      </w:tblGrid>
      <w:tr w:rsidTr="003637A5">
        <w:tblPrEx>
          <w:tblW w:w="8795" w:type="dxa"/>
          <w:jc w:val="center"/>
          <w:tblLook w:val="01E0"/>
        </w:tblPrEx>
        <w:trPr>
          <w:jc w:val="center"/>
        </w:trPr>
        <w:tc>
          <w:tcPr>
            <w:tcW w:w="2994" w:type="dxa"/>
          </w:tcPr>
          <w:p w:rsidR="007E0DC7" w:rsidRPr="00FC27A2" w:rsidP="00FC27A2">
            <w:pPr>
              <w:suppressLineNumbers/>
              <w:spacing w:before="120" w:after="120" w:line="240" w:lineRule="exact"/>
              <w:ind w:right="-295"/>
              <w:jc w:val="both"/>
              <w:rPr>
                <w:rFonts w:ascii="David" w:hAnsi="David"/>
                <w:b/>
                <w:bCs/>
                <w:sz w:val="26"/>
                <w:szCs w:val="26"/>
                <w:rtl/>
              </w:rPr>
            </w:pPr>
            <w:r w:rsidRPr="00FC27A2">
              <w:rPr>
                <w:rFonts w:ascii="David" w:hAnsi="David"/>
                <w:b/>
                <w:bCs/>
                <w:sz w:val="26"/>
                <w:szCs w:val="26"/>
                <w:rtl/>
              </w:rPr>
              <w:t>לפני:</w:t>
            </w:r>
          </w:p>
        </w:tc>
        <w:tc>
          <w:tcPr>
            <w:tcW w:w="5801" w:type="dxa"/>
            <w:gridSpan w:val="2"/>
          </w:tcPr>
          <w:p w:rsidR="007E0DC7" w:rsidRPr="00FC27A2" w:rsidP="00FC27A2">
            <w:pPr>
              <w:suppressLineNumbers/>
              <w:spacing w:before="120" w:after="120" w:line="240" w:lineRule="exact"/>
              <w:rPr>
                <w:rFonts w:ascii="David" w:hAnsi="David"/>
                <w:b/>
                <w:bCs/>
                <w:sz w:val="26"/>
                <w:szCs w:val="26"/>
                <w:rtl/>
              </w:rPr>
            </w:pPr>
            <w:bookmarkStart w:id="0" w:name="_Hlk207797779"/>
            <w:r w:rsidRPr="00FC27A2">
              <w:rPr>
                <w:rFonts w:ascii="David" w:hAnsi="David"/>
                <w:b/>
                <w:bCs/>
                <w:sz w:val="26"/>
                <w:szCs w:val="26"/>
                <w:rtl/>
              </w:rPr>
              <w:t>מר דביר סגלוביץ', עו"ד (יו"ר)</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מר אפרים שבח דחב"ש, עו"ד</w:t>
            </w:r>
          </w:p>
          <w:p w:rsidR="007E0DC7" w:rsidRPr="00FC27A2" w:rsidP="00FC27A2">
            <w:pPr>
              <w:suppressLineNumbers/>
              <w:spacing w:before="120" w:after="120" w:line="240" w:lineRule="exact"/>
              <w:rPr>
                <w:rFonts w:ascii="David" w:hAnsi="David"/>
                <w:b/>
                <w:bCs/>
                <w:sz w:val="26"/>
                <w:szCs w:val="26"/>
              </w:rPr>
            </w:pPr>
            <w:r w:rsidRPr="00FC27A2">
              <w:rPr>
                <w:rFonts w:ascii="David" w:hAnsi="David"/>
                <w:b/>
                <w:bCs/>
                <w:sz w:val="26"/>
                <w:szCs w:val="26"/>
                <w:rtl/>
              </w:rPr>
              <w:t>גב' יהודית שמידט (נציגת מתכננת המחוז)</w:t>
            </w:r>
            <w:bookmarkEnd w:id="0"/>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bookmarkStart w:id="1" w:name="FirstAppellant"/>
            <w:r w:rsidRPr="00FC27A2">
              <w:rPr>
                <w:rFonts w:ascii="David" w:hAnsi="David"/>
                <w:b/>
                <w:bCs/>
                <w:sz w:val="26"/>
                <w:szCs w:val="26"/>
                <w:rtl/>
              </w:rPr>
              <w:t>העוררים בערר 9006/1020: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1. דורי בן דוד</w:t>
            </w:r>
          </w:p>
          <w:p w:rsidR="007E0DC7" w:rsidRPr="00FC27A2" w:rsidP="00FC27A2">
            <w:pPr>
              <w:suppressLineNumbers/>
              <w:spacing w:before="120" w:after="120" w:line="240" w:lineRule="exact"/>
              <w:rPr>
                <w:rFonts w:ascii="David" w:hAnsi="David"/>
                <w:b/>
                <w:bCs/>
                <w:sz w:val="26"/>
                <w:szCs w:val="26"/>
              </w:rPr>
            </w:pPr>
            <w:r w:rsidRPr="00FC27A2">
              <w:rPr>
                <w:rFonts w:ascii="David" w:hAnsi="David"/>
                <w:b/>
                <w:bCs/>
                <w:sz w:val="26"/>
                <w:szCs w:val="26"/>
                <w:rtl/>
              </w:rPr>
              <w:t>2. אברהם בן דוד</w:t>
            </w:r>
          </w:p>
        </w:tc>
      </w:tr>
      <w:bookmarkEnd w:id="1"/>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 xml:space="preserve">העוררים בערר </w:t>
            </w:r>
            <w:r w:rsidRPr="00FC27A2">
              <w:rPr>
                <w:rFonts w:ascii="David" w:hAnsi="David"/>
                <w:b/>
                <w:bCs/>
                <w:sz w:val="26"/>
                <w:szCs w:val="26"/>
                <w:rtl/>
              </w:rPr>
              <w:t>9007/1020: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אברהם דרור</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העוררים בערר 9008/1020: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1. מאיר וייס</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2. נחמה וייס</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העוררים בערר 9009/1020: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שושנה פלד</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העוררים בערר 9010/1020: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1. טל  אליעז</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2. עומר אליעז</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3. שרה אליעז</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העוררים בערר 9011/1020: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 xml:space="preserve">1. עמי לוינצקי </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2. רות לוינצקי</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העוררים בערר 9012/1020:</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 xml:space="preserve">1. ישעיהו שטרן </w:t>
            </w:r>
          </w:p>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2. דבורה שטרן</w:t>
            </w:r>
          </w:p>
        </w:tc>
      </w:tr>
      <w:tr w:rsidTr="003637A5">
        <w:tblPrEx>
          <w:tblW w:w="8795" w:type="dxa"/>
          <w:jc w:val="center"/>
          <w:tblLook w:val="01E0"/>
        </w:tblPrEx>
        <w:trPr>
          <w:gridAfter w:val="1"/>
          <w:wAfter w:w="7" w:type="dxa"/>
          <w:jc w:val="center"/>
        </w:trPr>
        <w:tc>
          <w:tcPr>
            <w:tcW w:w="8788" w:type="dxa"/>
            <w:gridSpan w:val="2"/>
          </w:tcPr>
          <w:p w:rsidR="007E0DC7" w:rsidRPr="00FC27A2" w:rsidP="00FC27A2">
            <w:pPr>
              <w:suppressLineNumbers/>
              <w:spacing w:before="240" w:after="240" w:line="240" w:lineRule="exact"/>
              <w:jc w:val="center"/>
              <w:rPr>
                <w:rFonts w:ascii="David" w:hAnsi="David"/>
                <w:b/>
                <w:bCs/>
                <w:spacing w:val="40"/>
                <w:sz w:val="26"/>
                <w:szCs w:val="26"/>
              </w:rPr>
            </w:pPr>
            <w:r w:rsidRPr="00FC27A2">
              <w:rPr>
                <w:rFonts w:ascii="David" w:hAnsi="David"/>
                <w:b/>
                <w:bCs/>
                <w:spacing w:val="40"/>
                <w:sz w:val="26"/>
                <w:szCs w:val="26"/>
                <w:rtl/>
              </w:rPr>
              <w:t>נגד</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Pr>
            </w:pPr>
            <w:r w:rsidRPr="00FC27A2">
              <w:rPr>
                <w:rFonts w:ascii="David" w:hAnsi="David"/>
                <w:b/>
                <w:bCs/>
                <w:sz w:val="26"/>
                <w:szCs w:val="26"/>
                <w:rtl/>
              </w:rPr>
              <w:t>המשיבה 1:</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הוועדה המקומית לתכנון ובנייה עמק חפר</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המשיבה 2:</w:t>
            </w:r>
          </w:p>
        </w:tc>
        <w:tc>
          <w:tcPr>
            <w:tcW w:w="5794" w:type="dxa"/>
          </w:tcPr>
          <w:p w:rsidR="007E0DC7" w:rsidRPr="00FC27A2" w:rsidP="00FC27A2">
            <w:pPr>
              <w:suppressLineNumbers/>
              <w:spacing w:before="120" w:after="120" w:line="240" w:lineRule="exact"/>
              <w:jc w:val="both"/>
              <w:rPr>
                <w:rFonts w:ascii="David" w:hAnsi="David"/>
                <w:b/>
                <w:bCs/>
                <w:sz w:val="26"/>
                <w:szCs w:val="26"/>
                <w:rtl/>
              </w:rPr>
            </w:pPr>
            <w:r w:rsidRPr="00FC27A2">
              <w:rPr>
                <w:rFonts w:ascii="David" w:hAnsi="David"/>
                <w:b/>
                <w:bCs/>
                <w:sz w:val="26"/>
                <w:szCs w:val="26"/>
                <w:rtl/>
              </w:rPr>
              <w:t>נתיבי ישראל החברה הלאומית לתשתיות תחבורה בע"מ</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בשם העוררים:</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עו"ד שחר הררי, עו"ד אור קוטלר</w:t>
            </w:r>
          </w:p>
        </w:tc>
      </w:tr>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bookmarkStart w:id="2" w:name="FirstLawyer"/>
            <w:r w:rsidRPr="00FC27A2">
              <w:rPr>
                <w:rFonts w:ascii="David" w:hAnsi="David"/>
                <w:b/>
                <w:bCs/>
                <w:sz w:val="26"/>
                <w:szCs w:val="26"/>
                <w:rtl/>
              </w:rPr>
              <w:t xml:space="preserve">בשם המשיבה 1: </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עו"ד שלמה ולדמן</w:t>
            </w:r>
          </w:p>
        </w:tc>
      </w:tr>
      <w:bookmarkEnd w:id="2"/>
      <w:tr w:rsidTr="003637A5">
        <w:tblPrEx>
          <w:tblW w:w="8795" w:type="dxa"/>
          <w:jc w:val="center"/>
          <w:tblLook w:val="01E0"/>
        </w:tblPrEx>
        <w:trPr>
          <w:gridAfter w:val="1"/>
          <w:wAfter w:w="7" w:type="dxa"/>
          <w:jc w:val="center"/>
        </w:trPr>
        <w:tc>
          <w:tcPr>
            <w:tcW w:w="29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בשם המשיבה 2:</w:t>
            </w:r>
          </w:p>
        </w:tc>
        <w:tc>
          <w:tcPr>
            <w:tcW w:w="5794" w:type="dxa"/>
          </w:tcPr>
          <w:p w:rsidR="007E0DC7" w:rsidRPr="00FC27A2" w:rsidP="00FC27A2">
            <w:pPr>
              <w:suppressLineNumbers/>
              <w:spacing w:before="120" w:after="120" w:line="240" w:lineRule="exact"/>
              <w:rPr>
                <w:rFonts w:ascii="David" w:hAnsi="David"/>
                <w:b/>
                <w:bCs/>
                <w:sz w:val="26"/>
                <w:szCs w:val="26"/>
                <w:rtl/>
              </w:rPr>
            </w:pPr>
            <w:r w:rsidRPr="00FC27A2">
              <w:rPr>
                <w:rFonts w:ascii="David" w:hAnsi="David"/>
                <w:b/>
                <w:bCs/>
                <w:sz w:val="26"/>
                <w:szCs w:val="26"/>
                <w:rtl/>
              </w:rPr>
              <w:t>עו"ד דרור ממן</w:t>
            </w:r>
          </w:p>
        </w:tc>
      </w:tr>
    </w:tbl>
    <w:p w:rsidR="007E0DC7" w:rsidRPr="00EC305A" w:rsidP="00D44968">
      <w:pPr>
        <w:suppressLineNumbers/>
        <w:rPr>
          <w:rFonts w:ascii="David" w:hAnsi="David"/>
          <w:rtl/>
        </w:rPr>
      </w:pPr>
    </w:p>
    <w:p w:rsidR="00567A17" w:rsidRPr="00567A17" w:rsidP="00567A17">
      <w:pPr>
        <w:spacing w:after="120" w:line="240" w:lineRule="exact"/>
        <w:ind w:left="283" w:hanging="283"/>
        <w:jc w:val="both"/>
        <w:rPr>
          <w:rFonts w:ascii="FrankRuehl" w:hAnsi="FrankRuehl" w:cs="FrankRuehl"/>
          <w:rtl/>
        </w:rPr>
      </w:pPr>
      <w:bookmarkStart w:id="3" w:name="Links_Start"/>
      <w:bookmarkEnd w:id="3"/>
      <w:r w:rsidRPr="00567A17">
        <w:rPr>
          <w:rFonts w:ascii="FrankRuehl" w:hAnsi="FrankRuehl" w:cs="FrankRuehl"/>
          <w:rtl/>
        </w:rPr>
        <w:t>ספרות:</w:t>
      </w:r>
    </w:p>
    <w:p w:rsidR="00567A17" w:rsidRPr="00567A17" w:rsidP="00567A17">
      <w:pPr>
        <w:spacing w:after="120" w:line="240" w:lineRule="exact"/>
        <w:ind w:left="283" w:hanging="283"/>
        <w:jc w:val="both"/>
        <w:rPr>
          <w:rFonts w:ascii="FrankRuehl" w:hAnsi="FrankRuehl" w:cs="FrankRuehl"/>
          <w:color w:val="000000"/>
        </w:rPr>
      </w:pPr>
      <w:r w:rsidRPr="00567A17">
        <w:rPr>
          <w:rFonts w:ascii="FrankRuehl" w:hAnsi="FrankRuehl" w:cs="FrankRuehl"/>
          <w:color w:val="000000"/>
          <w:rtl/>
        </w:rPr>
        <w:t xml:space="preserve">אריה נמדר   </w:t>
      </w:r>
      <w:r w:rsidRPr="00567A17">
        <w:rPr>
          <w:rFonts w:ascii="FrankRuehl" w:hAnsi="FrankRuehl" w:cs="FrankRuehl"/>
          <w:b/>
          <w:bCs/>
          <w:color w:val="000000"/>
          <w:rtl/>
        </w:rPr>
        <w:t xml:space="preserve">פגיעה במקרקעין - פיצויים בגין נזקי תכנית </w:t>
      </w:r>
    </w:p>
    <w:p w:rsidR="00567A17" w:rsidRPr="00567A17" w:rsidP="000A48E6">
      <w:pPr>
        <w:jc w:val="center"/>
        <w:rPr>
          <w:rFonts w:ascii="David" w:hAnsi="David"/>
          <w:color w:val="000000"/>
          <w:spacing w:val="40"/>
          <w:sz w:val="30"/>
          <w:szCs w:val="30"/>
          <w:rtl/>
        </w:rPr>
      </w:pPr>
      <w:bookmarkStart w:id="4" w:name="Links_End"/>
      <w:bookmarkEnd w:id="4"/>
    </w:p>
    <w:p w:rsidR="00FC27A2" w:rsidRPr="00FC27A2" w:rsidP="00567A17">
      <w:pPr>
        <w:jc w:val="center"/>
        <w:rPr>
          <w:rFonts w:ascii="David" w:hAnsi="David"/>
          <w:spacing w:val="40"/>
          <w:sz w:val="30"/>
          <w:szCs w:val="30"/>
        </w:rPr>
      </w:pPr>
      <w:bookmarkStart w:id="5" w:name="LawTable"/>
      <w:bookmarkStart w:id="6" w:name="ABSTRACT_END"/>
      <w:bookmarkEnd w:id="5"/>
      <w:bookmarkEnd w:id="6"/>
    </w:p>
    <w:p w:rsidR="00727C7B" w:rsidRPr="00EC305A" w:rsidP="00EC305A">
      <w:pPr>
        <w:bidi w:val="0"/>
        <w:jc w:val="center"/>
        <w:rPr>
          <w:rFonts w:ascii="David" w:hAnsi="David"/>
          <w:b/>
          <w:bCs/>
          <w:spacing w:val="40"/>
          <w:sz w:val="30"/>
          <w:szCs w:val="30"/>
          <w:u w:val="single"/>
          <w:rtl/>
        </w:rPr>
      </w:pPr>
      <w:bookmarkStart w:id="7" w:name="PsakDin"/>
      <w:r w:rsidRPr="00EC305A">
        <w:rPr>
          <w:rFonts w:ascii="David" w:hAnsi="David"/>
          <w:b/>
          <w:bCs/>
          <w:spacing w:val="40"/>
          <w:sz w:val="30"/>
          <w:szCs w:val="30"/>
          <w:u w:val="single"/>
          <w:rtl/>
        </w:rPr>
        <w:t>החלטה</w:t>
      </w:r>
    </w:p>
    <w:bookmarkEnd w:id="7"/>
    <w:p w:rsidR="00727C7B" w:rsidRPr="003637A5" w:rsidP="003637A5">
      <w:pPr>
        <w:bidi w:val="0"/>
        <w:jc w:val="center"/>
        <w:rPr>
          <w:rFonts w:ascii="David" w:hAnsi="David"/>
          <w:b/>
          <w:bCs/>
          <w:u w:val="single"/>
        </w:rPr>
      </w:pPr>
    </w:p>
    <w:p w:rsidR="007E0DC7" w:rsidRPr="007708DF" w:rsidP="00C856F7">
      <w:pPr>
        <w:pStyle w:val="Ruller4"/>
        <w:numPr>
          <w:ilvl w:val="0"/>
          <w:numId w:val="31"/>
        </w:numPr>
        <w:tabs>
          <w:tab w:val="clear" w:pos="454"/>
          <w:tab w:val="clear" w:pos="800"/>
          <w:tab w:val="num" w:pos="1361"/>
        </w:tabs>
        <w:spacing w:before="240" w:after="240"/>
        <w:rPr>
          <w:rFonts w:ascii="David" w:hAnsi="David" w:cs="David"/>
        </w:rPr>
      </w:pPr>
      <w:bookmarkStart w:id="8" w:name="NGCSBookmark"/>
      <w:bookmarkEnd w:id="8"/>
      <w:r w:rsidRPr="005C76A3">
        <w:rPr>
          <w:rFonts w:ascii="David" w:hAnsi="David" w:cs="David"/>
          <w:rtl/>
        </w:rPr>
        <w:t>לפנינו השגות שהוגשו על שתי שומות מייעצות שנערכו ביום 12.11.2024 על־ידי הגב' רמה</w:t>
      </w:r>
      <w:r>
        <w:rPr>
          <w:rFonts w:ascii="David" w:hAnsi="David" w:cs="David"/>
          <w:rtl/>
        </w:rPr>
        <w:t xml:space="preserve"> מאור</w:t>
      </w:r>
      <w:r w:rsidRPr="005C76A3">
        <w:rPr>
          <w:rFonts w:ascii="David" w:hAnsi="David" w:cs="David"/>
          <w:rtl/>
        </w:rPr>
        <w:t>, בקשר למקרקעין הידועים כחלקות 38, 40, 42 (חלק) ו־56 בגוש 8340, וחלקות 75, 76, 77 ו־79 בגוש 8337</w:t>
      </w:r>
      <w:r>
        <w:rPr>
          <w:rFonts w:ascii="David" w:hAnsi="David" w:cs="David"/>
          <w:rtl/>
        </w:rPr>
        <w:t>, המצויות במושב בית ינאי בסמוך לכביש ארצי מספר 2</w:t>
      </w:r>
      <w:r w:rsidRPr="005C76A3">
        <w:rPr>
          <w:rFonts w:ascii="David" w:hAnsi="David" w:cs="David"/>
          <w:rtl/>
        </w:rPr>
        <w:t xml:space="preserve"> (להלן: "</w:t>
      </w:r>
      <w:r w:rsidRPr="00C370DB">
        <w:rPr>
          <w:rFonts w:ascii="Miriam" w:hAnsi="Miriam" w:cs="Miriam"/>
          <w:rtl/>
        </w:rPr>
        <w:t>החלקות</w:t>
      </w:r>
      <w:r>
        <w:rPr>
          <w:rFonts w:ascii="David" w:hAnsi="David" w:cs="David"/>
          <w:rtl/>
        </w:rPr>
        <w:t>"</w:t>
      </w:r>
      <w:r w:rsidRPr="005C76A3">
        <w:rPr>
          <w:rFonts w:ascii="David" w:hAnsi="David" w:cs="David"/>
          <w:rtl/>
        </w:rPr>
        <w:t xml:space="preserve">). בשומות אלו נבחנה תביעת העוררים לפיצויים, אשר הוגשה מכוח </w:t>
      </w:r>
      <w:hyperlink r:id="rId4" w:history="1">
        <w:r w:rsidRPr="00727C7B" w:rsidR="00727C7B">
          <w:rPr>
            <w:rStyle w:val="Hyperlink"/>
            <w:rFonts w:ascii="David" w:hAnsi="David" w:cs="David"/>
            <w:rtl/>
          </w:rPr>
          <w:t>פרק ט</w:t>
        </w:r>
      </w:hyperlink>
      <w:r w:rsidRPr="005C76A3">
        <w:rPr>
          <w:rFonts w:ascii="David" w:hAnsi="David" w:cs="David"/>
          <w:rtl/>
        </w:rPr>
        <w:t>' ל</w:t>
      </w:r>
      <w:hyperlink r:id="rId5" w:history="1">
        <w:r w:rsidRPr="00EC305A" w:rsidR="00EC305A">
          <w:rPr>
            <w:rStyle w:val="Hyperlink"/>
            <w:rFonts w:ascii="David" w:hAnsi="David" w:cs="David"/>
            <w:rtl/>
          </w:rPr>
          <w:t>חוק התכנון והבניה</w:t>
        </w:r>
      </w:hyperlink>
      <w:r w:rsidRPr="005C76A3">
        <w:rPr>
          <w:rFonts w:ascii="David" w:hAnsi="David" w:cs="David"/>
          <w:rtl/>
        </w:rPr>
        <w:t>, תשכ"ה</w:t>
      </w:r>
      <w:r>
        <w:rPr>
          <w:rFonts w:ascii="David" w:hAnsi="David" w:cs="David"/>
          <w:rtl/>
        </w:rPr>
        <w:t>-</w:t>
      </w:r>
      <w:r w:rsidRPr="005C76A3">
        <w:rPr>
          <w:rFonts w:ascii="David" w:hAnsi="David" w:cs="David"/>
          <w:rtl/>
        </w:rPr>
        <w:t>1965 (להלן: "</w:t>
      </w:r>
      <w:r w:rsidRPr="00C370DB">
        <w:rPr>
          <w:rFonts w:ascii="Miriam" w:hAnsi="Miriam" w:cs="Miriam"/>
          <w:rtl/>
        </w:rPr>
        <w:t>החוק</w:t>
      </w:r>
      <w:r w:rsidRPr="005C76A3">
        <w:rPr>
          <w:rFonts w:ascii="David" w:hAnsi="David" w:cs="David"/>
          <w:rtl/>
        </w:rPr>
        <w:t>"), בעקבות אישורה של תוכנית לתשת</w:t>
      </w:r>
      <w:r w:rsidRPr="005C76A3">
        <w:rPr>
          <w:rFonts w:ascii="David" w:hAnsi="David" w:cs="David"/>
          <w:rtl/>
        </w:rPr>
        <w:t>יות לאומיות מס' 31 כביש מס' 2, ממחלף חבצלת ועד מחלף זיכרון יעקב (2016) (להלן: "</w:t>
      </w:r>
      <w:r w:rsidRPr="00C370DB">
        <w:rPr>
          <w:rFonts w:ascii="Miriam" w:hAnsi="Miriam" w:cs="Miriam"/>
          <w:rtl/>
        </w:rPr>
        <w:t>תת"ל 31</w:t>
      </w:r>
      <w:r w:rsidRPr="005C76A3">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F63D92">
        <w:rPr>
          <w:rFonts w:ascii="David" w:hAnsi="David" w:cs="David"/>
          <w:rtl/>
        </w:rPr>
        <w:t xml:space="preserve">הרקע לעררים וההליכים שנוהלו </w:t>
      </w:r>
      <w:r>
        <w:rPr>
          <w:rFonts w:ascii="David" w:hAnsi="David" w:cs="David"/>
          <w:rtl/>
        </w:rPr>
        <w:t>ל</w:t>
      </w:r>
      <w:r w:rsidRPr="00F63D92">
        <w:rPr>
          <w:rFonts w:ascii="David" w:hAnsi="David" w:cs="David"/>
          <w:rtl/>
        </w:rPr>
        <w:t>פני ועדת ערר זו פורטו בהרחבה בהחלטת ועדת הערר מיום 19.7.2022 (להלן: "</w:t>
      </w:r>
      <w:r w:rsidRPr="00F63D92">
        <w:rPr>
          <w:rFonts w:ascii="Miriam" w:hAnsi="Miriam" w:cs="Miriam"/>
          <w:rtl/>
        </w:rPr>
        <w:t>החלטת הביניים</w:t>
      </w:r>
      <w:r w:rsidRPr="00F63D92">
        <w:rPr>
          <w:rFonts w:ascii="David" w:hAnsi="David" w:cs="David"/>
          <w:rtl/>
        </w:rPr>
        <w:t xml:space="preserve">"), ולא נחזור על הדברים. בתמצית יצוין כי מהות תביעות העוררים נעוצה בשינוי ייעוד </w:t>
      </w:r>
      <w:r>
        <w:rPr>
          <w:rFonts w:ascii="David" w:hAnsi="David" w:cs="David"/>
          <w:rtl/>
        </w:rPr>
        <w:t>החלקות</w:t>
      </w:r>
      <w:r w:rsidRPr="00F63D92">
        <w:rPr>
          <w:rFonts w:ascii="David" w:hAnsi="David" w:cs="David"/>
          <w:rtl/>
        </w:rPr>
        <w:t xml:space="preserve"> מייעוד למגורים לייעוד לדרך, וזאת ביחס לחלק המזרחי והעורפי </w:t>
      </w:r>
      <w:r>
        <w:rPr>
          <w:rFonts w:ascii="David" w:hAnsi="David" w:cs="David"/>
          <w:rtl/>
        </w:rPr>
        <w:t>בחלקות</w:t>
      </w:r>
      <w:r w:rsidRPr="00F63D92">
        <w:rPr>
          <w:rFonts w:ascii="David" w:hAnsi="David" w:cs="David"/>
          <w:rtl/>
        </w:rPr>
        <w:t>, המשמש כחצר למבני המגורים הקיימים</w:t>
      </w:r>
      <w:r>
        <w:rPr>
          <w:rFonts w:ascii="David" w:hAnsi="David" w:cs="David"/>
          <w:rtl/>
        </w:rPr>
        <w:t xml:space="preserve"> בהן</w:t>
      </w:r>
      <w:r w:rsidRPr="00F63D92">
        <w:rPr>
          <w:rFonts w:ascii="David" w:hAnsi="David" w:cs="David"/>
          <w:rtl/>
        </w:rPr>
        <w:t>. היקף שינוי הייעוד, כפי שהוצג בשומות המייעצות, הוא כלהלן</w:t>
      </w:r>
      <w:r>
        <w:rPr>
          <w:rFonts w:ascii="David" w:hAnsi="David" w:cs="David"/>
          <w:rtl/>
        </w:rPr>
        <w:t>:</w:t>
      </w: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35"/>
        <w:gridCol w:w="1931"/>
        <w:gridCol w:w="1956"/>
      </w:tblGrid>
      <w:tr w:rsidTr="003637A5">
        <w:tblPrEx>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חלקה</w:t>
            </w:r>
          </w:p>
        </w:tc>
        <w:tc>
          <w:tcPr>
            <w:tcW w:w="1935"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שטח</w:t>
            </w:r>
            <w:r w:rsidRPr="003637A5">
              <w:rPr>
                <w:rFonts w:ascii="Miriam" w:hAnsi="Miriam" w:cs="Miriam"/>
                <w:rtl/>
              </w:rPr>
              <w:t xml:space="preserve"> רשום לייעוד מגורים</w:t>
            </w:r>
          </w:p>
        </w:tc>
        <w:tc>
          <w:tcPr>
            <w:tcW w:w="1931"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שטח ששונה לייעוד דרך</w:t>
            </w:r>
          </w:p>
        </w:tc>
        <w:tc>
          <w:tcPr>
            <w:tcW w:w="1956"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שטח יתרת החלקה למגורים</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56</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3,206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236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2,970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38</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1,725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213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1,512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40, 42 (חלק)</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1,936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243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1,693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75</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2,128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123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2,005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76</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2,123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270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1,853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77</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1,890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219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1,671 מ"ר</w:t>
            </w:r>
          </w:p>
        </w:tc>
      </w:tr>
      <w:tr w:rsidTr="003637A5">
        <w:tblPrEx>
          <w:tblW w:w="0" w:type="auto"/>
          <w:tblInd w:w="567" w:type="dxa"/>
          <w:tblLook w:val="00A0"/>
        </w:tblPrEx>
        <w:tc>
          <w:tcPr>
            <w:tcW w:w="191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79</w:t>
            </w:r>
          </w:p>
        </w:tc>
        <w:tc>
          <w:tcPr>
            <w:tcW w:w="1935"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1,739 מ"ר</w:t>
            </w:r>
          </w:p>
        </w:tc>
        <w:tc>
          <w:tcPr>
            <w:tcW w:w="1931"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169 מ"ר</w:t>
            </w:r>
          </w:p>
        </w:tc>
        <w:tc>
          <w:tcPr>
            <w:tcW w:w="1956"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1,570 מ"ר</w:t>
            </w:r>
          </w:p>
        </w:tc>
      </w:tr>
    </w:tbl>
    <w:p w:rsidR="007E0DC7" w:rsidP="00C25C52">
      <w:pPr>
        <w:pStyle w:val="Ruller4"/>
        <w:numPr>
          <w:ilvl w:val="0"/>
          <w:numId w:val="31"/>
        </w:numPr>
        <w:tabs>
          <w:tab w:val="clear" w:pos="454"/>
          <w:tab w:val="clear" w:pos="800"/>
          <w:tab w:val="num" w:pos="1361"/>
        </w:tabs>
        <w:spacing w:before="240" w:after="240"/>
        <w:rPr>
          <w:rFonts w:ascii="David" w:hAnsi="David" w:cs="David"/>
        </w:rPr>
      </w:pPr>
      <w:r w:rsidRPr="00F63D92">
        <w:rPr>
          <w:rFonts w:ascii="David" w:hAnsi="David" w:cs="David"/>
          <w:rtl/>
        </w:rPr>
        <w:t>התביעות הוגשו נגד משיבה 1 (להלן: "</w:t>
      </w:r>
      <w:r w:rsidRPr="00F63D92">
        <w:rPr>
          <w:rFonts w:ascii="Miriam" w:hAnsi="Miriam" w:cs="Miriam"/>
          <w:rtl/>
        </w:rPr>
        <w:t>הוועדה המקומית</w:t>
      </w:r>
      <w:r w:rsidRPr="00F63D92">
        <w:rPr>
          <w:rFonts w:ascii="David" w:hAnsi="David" w:cs="David"/>
          <w:rtl/>
        </w:rPr>
        <w:t xml:space="preserve">"), בהתאם להוראות </w:t>
      </w:r>
      <w:hyperlink r:id="rId6" w:history="1">
        <w:r w:rsidRPr="00727C7B" w:rsidR="00727C7B">
          <w:rPr>
            <w:rStyle w:val="Hyperlink"/>
            <w:rFonts w:ascii="David" w:hAnsi="David" w:cs="David"/>
            <w:rtl/>
          </w:rPr>
          <w:t>סעיף 197(א)</w:t>
        </w:r>
      </w:hyperlink>
      <w:r w:rsidRPr="00F63D92">
        <w:rPr>
          <w:rFonts w:ascii="David" w:hAnsi="David" w:cs="David"/>
          <w:rtl/>
        </w:rPr>
        <w:t xml:space="preserve"> לחוק. להליך צורפה משיבה 2 (להלן: "</w:t>
      </w:r>
      <w:r w:rsidRPr="00F63D92">
        <w:rPr>
          <w:rFonts w:ascii="Miriam" w:hAnsi="Miriam" w:cs="Miriam"/>
          <w:rtl/>
        </w:rPr>
        <w:t>נת"י</w:t>
      </w:r>
      <w:r w:rsidRPr="00F63D92">
        <w:rPr>
          <w:rFonts w:ascii="David" w:hAnsi="David" w:cs="David"/>
          <w:rtl/>
        </w:rPr>
        <w:t xml:space="preserve">"), המחויבת בשיפוי הוועדה המקומית, מכוח הוראות </w:t>
      </w:r>
      <w:hyperlink r:id="rId7" w:history="1">
        <w:r w:rsidRPr="00727C7B" w:rsidR="00727C7B">
          <w:rPr>
            <w:rStyle w:val="Hyperlink"/>
            <w:rFonts w:ascii="David" w:hAnsi="David" w:cs="David"/>
            <w:rtl/>
          </w:rPr>
          <w:t>סעיף 119ד</w:t>
        </w:r>
      </w:hyperlink>
      <w:r w:rsidRPr="00F63D92">
        <w:rPr>
          <w:rFonts w:ascii="David" w:hAnsi="David" w:cs="David"/>
          <w:rtl/>
        </w:rPr>
        <w:t xml:space="preserve"> לחוק</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F63D92">
        <w:rPr>
          <w:rFonts w:ascii="David" w:hAnsi="David" w:cs="David"/>
          <w:rtl/>
        </w:rPr>
        <w:t xml:space="preserve">לאחר שוועדת ערר זו קיימה שני דיונים בעררים דנן, ולאחר שהוגשו סיכומי טענות מטעם הצדדים, הוחלט לדחות את טענות העוררים ביחס לחלק מחלקה 64 בגוש </w:t>
      </w:r>
      <w:r w:rsidRPr="00F63D92">
        <w:rPr>
          <w:rFonts w:ascii="David" w:hAnsi="David" w:cs="David"/>
          <w:rtl/>
        </w:rPr>
        <w:t xml:space="preserve">8337 וחלק מחלקה 45 בגוש 8340, המכונים בהחלטת הביניים "השטחים הנוספים". טענות אלה נדחו בהסכמת העוררים, אשר קיבלו את המלצת ועדת הערר בעניין זה. לצורך בירור יתר הטענות מונתה שמאית מייעצת, בהתאם להוראות </w:t>
      </w:r>
      <w:hyperlink r:id="rId8" w:history="1">
        <w:r w:rsidRPr="00727C7B" w:rsidR="00727C7B">
          <w:rPr>
            <w:rStyle w:val="Hyperlink"/>
            <w:rFonts w:ascii="David" w:hAnsi="David" w:cs="David"/>
            <w:rtl/>
          </w:rPr>
          <w:t>סעיף 198(ו)(2)</w:t>
        </w:r>
      </w:hyperlink>
      <w:r w:rsidRPr="00F63D92">
        <w:rPr>
          <w:rFonts w:ascii="David" w:hAnsi="David" w:cs="David"/>
          <w:rtl/>
        </w:rPr>
        <w:t xml:space="preserve"> לחוק</w:t>
      </w:r>
      <w:r>
        <w:rPr>
          <w:rFonts w:ascii="David" w:hAnsi="David" w:cs="David"/>
          <w:rtl/>
        </w:rPr>
        <w:t>.</w:t>
      </w:r>
    </w:p>
    <w:p w:rsidR="007E0DC7" w:rsidP="00F63D92">
      <w:pPr>
        <w:pStyle w:val="Ruller4"/>
        <w:tabs>
          <w:tab w:val="clear" w:pos="800"/>
        </w:tabs>
        <w:spacing w:before="240" w:after="240"/>
        <w:ind w:left="567"/>
        <w:rPr>
          <w:rFonts w:ascii="David" w:hAnsi="David" w:cs="David"/>
        </w:rPr>
      </w:pPr>
      <w:r>
        <w:rPr>
          <w:rFonts w:ascii="David" w:hAnsi="David" w:cs="David"/>
          <w:rtl/>
        </w:rPr>
        <w:t>[</w:t>
      </w:r>
      <w:r w:rsidRPr="00F63D92">
        <w:rPr>
          <w:rFonts w:ascii="David" w:hAnsi="David" w:cs="David"/>
          <w:rtl/>
        </w:rPr>
        <w:t xml:space="preserve">יצוין כי טרם מתן השומות המייעצות חל שינוי בהרכב ועדת הערר, עקב סיום כהונתו של יו"ר הוועדה </w:t>
      </w:r>
      <w:r>
        <w:rPr>
          <w:rFonts w:ascii="David" w:hAnsi="David" w:cs="David"/>
          <w:rtl/>
        </w:rPr>
        <w:t>אז</w:t>
      </w:r>
      <w:r w:rsidRPr="00F63D92">
        <w:rPr>
          <w:rFonts w:ascii="David" w:hAnsi="David" w:cs="David"/>
          <w:rtl/>
        </w:rPr>
        <w:t>, עו"ד איל תיאודור שרון</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F63D92">
        <w:rPr>
          <w:rFonts w:ascii="David" w:hAnsi="David" w:cs="David"/>
          <w:rtl/>
        </w:rPr>
        <w:t>בהתאם לשומות המייעצות, שיעור ירידת הערך שאירעה בכל אחת מהחלקות, כתוצאה מאישורה של תת"ל 31, נכון למועד אישורה של תוכני</w:t>
      </w:r>
      <w:r w:rsidRPr="00F63D92">
        <w:rPr>
          <w:rFonts w:ascii="David" w:hAnsi="David" w:cs="David"/>
          <w:rtl/>
        </w:rPr>
        <w:t>ת זו ("המועד הקובע"), הוא כלהלן</w:t>
      </w:r>
      <w:r>
        <w:rPr>
          <w:rFonts w:ascii="David" w:hAnsi="David" w:cs="David"/>
          <w:rtl/>
        </w:rPr>
        <w:t>:</w:t>
      </w: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2"/>
        <w:gridCol w:w="6084"/>
      </w:tblGrid>
      <w:tr w:rsidTr="003637A5">
        <w:tblPrEx>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חלקה</w:t>
            </w:r>
          </w:p>
        </w:tc>
        <w:tc>
          <w:tcPr>
            <w:tcW w:w="6084" w:type="dxa"/>
            <w:vAlign w:val="center"/>
          </w:tcPr>
          <w:p w:rsidR="007E0DC7" w:rsidRPr="003637A5" w:rsidP="003637A5">
            <w:pPr>
              <w:pStyle w:val="Ruller4"/>
              <w:tabs>
                <w:tab w:val="clear" w:pos="800"/>
              </w:tabs>
              <w:spacing w:before="120" w:after="120" w:line="276" w:lineRule="auto"/>
              <w:jc w:val="center"/>
              <w:rPr>
                <w:rFonts w:ascii="Miriam" w:hAnsi="Miriam" w:cs="Miriam"/>
                <w:rtl/>
              </w:rPr>
            </w:pPr>
            <w:r w:rsidRPr="003637A5">
              <w:rPr>
                <w:rFonts w:ascii="Miriam" w:hAnsi="Miriam" w:cs="Miriam"/>
                <w:rtl/>
              </w:rPr>
              <w:t xml:space="preserve">שיעור ירידת הערך למועד הקובע </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56</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533,555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38</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1,556,303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40, 42 (חלק)</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758,038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75</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515,530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76</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2,112,426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77</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709,898 ש"ח</w:t>
            </w:r>
          </w:p>
        </w:tc>
      </w:tr>
      <w:tr w:rsidTr="003637A5">
        <w:tblPrEx>
          <w:tblW w:w="0" w:type="auto"/>
          <w:tblInd w:w="567" w:type="dxa"/>
          <w:tblLook w:val="00A0"/>
        </w:tblPrEx>
        <w:tc>
          <w:tcPr>
            <w:tcW w:w="1652"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79</w:t>
            </w:r>
          </w:p>
        </w:tc>
        <w:tc>
          <w:tcPr>
            <w:tcW w:w="608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601,201 ש"ח</w:t>
            </w:r>
          </w:p>
        </w:tc>
      </w:tr>
    </w:tbl>
    <w:p w:rsidR="007E0DC7" w:rsidP="00C25C52">
      <w:pPr>
        <w:pStyle w:val="Ruller4"/>
        <w:numPr>
          <w:ilvl w:val="0"/>
          <w:numId w:val="31"/>
        </w:numPr>
        <w:tabs>
          <w:tab w:val="clear" w:pos="454"/>
          <w:tab w:val="clear" w:pos="800"/>
          <w:tab w:val="num" w:pos="1361"/>
        </w:tabs>
        <w:spacing w:before="240" w:after="240"/>
        <w:rPr>
          <w:rFonts w:ascii="David" w:hAnsi="David" w:cs="David"/>
        </w:rPr>
      </w:pPr>
      <w:r w:rsidRPr="00F63D92">
        <w:rPr>
          <w:rFonts w:ascii="David" w:hAnsi="David" w:cs="David"/>
          <w:rtl/>
        </w:rPr>
        <w:t xml:space="preserve">בהתאם להחלטת הביניים, ניתנה לצדדים הזכות להשיג על השומות </w:t>
      </w:r>
      <w:r w:rsidRPr="00F63D92">
        <w:rPr>
          <w:rFonts w:ascii="David" w:hAnsi="David" w:cs="David"/>
          <w:rtl/>
        </w:rPr>
        <w:t>המייעצות. זכות זו מומשה בפועל</w:t>
      </w:r>
      <w:r>
        <w:rPr>
          <w:rFonts w:ascii="David" w:hAnsi="David" w:cs="David"/>
          <w:rtl/>
        </w:rPr>
        <w:t xml:space="preserve">, כך שכל אחד מהצדדים בחר להשיג על השומות המייעצות מטעמיו הוא. </w:t>
      </w:r>
    </w:p>
    <w:p w:rsidR="007E0DC7" w:rsidP="0080698D">
      <w:pPr>
        <w:pStyle w:val="Ruller4"/>
        <w:suppressLineNumbers/>
        <w:tabs>
          <w:tab w:val="clear" w:pos="800"/>
        </w:tabs>
        <w:spacing w:before="240" w:after="240"/>
        <w:ind w:left="567"/>
        <w:rPr>
          <w:rFonts w:ascii="Miriam" w:hAnsi="Miriam" w:cs="Miriam"/>
          <w:rtl/>
        </w:rPr>
      </w:pPr>
    </w:p>
    <w:p w:rsidR="007E0DC7" w:rsidRPr="0080698D" w:rsidP="0080698D">
      <w:pPr>
        <w:pStyle w:val="Ruller4"/>
        <w:suppressLineNumbers/>
        <w:tabs>
          <w:tab w:val="clear" w:pos="800"/>
        </w:tabs>
        <w:spacing w:before="240" w:after="240"/>
        <w:ind w:left="567"/>
        <w:rPr>
          <w:rFonts w:ascii="Miriam" w:hAnsi="Miriam" w:cs="Miriam"/>
        </w:rPr>
      </w:pPr>
      <w:r w:rsidRPr="0080698D">
        <w:rPr>
          <w:rFonts w:ascii="Miriam" w:hAnsi="Miriam" w:cs="Miriam"/>
          <w:rtl/>
        </w:rPr>
        <w:t>השגות העוררים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E3698">
        <w:rPr>
          <w:rFonts w:ascii="David" w:hAnsi="David" w:cs="David"/>
          <w:rtl/>
        </w:rPr>
        <w:t xml:space="preserve">אי־הכללת שווי המחוברים: לטענת העוררים, השמאית המייעצת העריכה את שיעור הפגיעה על בסיס ערך הקרקע בלבד, תוך התעלמות מתרומת המחוברים לערך המקרקעין. בכך, </w:t>
      </w:r>
      <w:r w:rsidRPr="00DE3698">
        <w:rPr>
          <w:rFonts w:ascii="David" w:hAnsi="David" w:cs="David"/>
          <w:rtl/>
        </w:rPr>
        <w:t xml:space="preserve">לשיטתם, צומצם היקף הפגיעה באופן מלאכותי ובניגוד להוראות </w:t>
      </w:r>
      <w:hyperlink r:id="rId9" w:history="1">
        <w:r w:rsidRPr="00727C7B" w:rsidR="00727C7B">
          <w:rPr>
            <w:rStyle w:val="Hyperlink"/>
            <w:rFonts w:ascii="David" w:hAnsi="David" w:cs="David"/>
            <w:rtl/>
          </w:rPr>
          <w:t>סעיף 197</w:t>
        </w:r>
      </w:hyperlink>
      <w:r w:rsidRPr="00DE3698">
        <w:rPr>
          <w:rFonts w:ascii="David" w:hAnsi="David" w:cs="David"/>
          <w:rtl/>
        </w:rPr>
        <w:t xml:space="preserve"> לחוק, המחייב הערכת פגיעה במקרקעין בשלמותם</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E3698">
        <w:rPr>
          <w:rFonts w:ascii="David" w:hAnsi="David" w:cs="David"/>
          <w:rtl/>
        </w:rPr>
        <w:t>חישוב שגוי של שטח המגרשים במצב הקודם: לטענת העוררים, השמאית המייעצת התעלמה מהשט</w:t>
      </w:r>
      <w:r>
        <w:rPr>
          <w:rFonts w:ascii="David" w:hAnsi="David" w:cs="David"/>
          <w:rtl/>
        </w:rPr>
        <w:t>ח</w:t>
      </w:r>
      <w:r w:rsidRPr="00DE3698">
        <w:rPr>
          <w:rFonts w:ascii="David" w:hAnsi="David" w:cs="David"/>
          <w:rtl/>
        </w:rPr>
        <w:t xml:space="preserve">ים הנוספים, </w:t>
      </w:r>
      <w:r w:rsidRPr="00DE3698">
        <w:rPr>
          <w:rFonts w:ascii="David" w:hAnsi="David" w:cs="David"/>
          <w:rtl/>
        </w:rPr>
        <w:t>כהגדרתם בהחלטת הביניים, אשר מהווים חלק מהמגרש התכנוני, והסתפקה בשטח הרשום בלבד. לשיטתם, מדובר בחישוב שגוי, שכן התכניות החלות ייעדו גם שטחים אלה כחלק מחלקה א' של הנחלה, ומשכך היה עליהם להילקח בחשבון במסגרת חישוב זכויות הבנייה</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E3698">
        <w:rPr>
          <w:rFonts w:ascii="David" w:hAnsi="David" w:cs="David"/>
          <w:rtl/>
        </w:rPr>
        <w:t xml:space="preserve">סיווג שגוי של ייעוד הקרקע: </w:t>
      </w:r>
      <w:r w:rsidRPr="00DE3698">
        <w:rPr>
          <w:rFonts w:ascii="David" w:hAnsi="David" w:cs="David"/>
          <w:rtl/>
        </w:rPr>
        <w:t>לטענת העוררים, השמאית המייעצת שינתה בפועל את ייעודן של הנחלות ממעמד של חלקה א' במושב ל"מגרשי מגורים ביישוב חקלאי", וזאת בניגוד להוראות התוכניות התקפות. שינוי זה הוביל, לשיטתם, לצמצום סל הזכויות ולפגיעה בלתי מוצדקת בשווי המקרקעין, תוך חריגה מסמכותה.</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E3698">
        <w:rPr>
          <w:rFonts w:ascii="David" w:hAnsi="David" w:cs="David"/>
          <w:rtl/>
        </w:rPr>
        <w:t xml:space="preserve">פגיעה </w:t>
      </w:r>
      <w:r w:rsidRPr="00DE3698">
        <w:rPr>
          <w:rFonts w:ascii="David" w:hAnsi="David" w:cs="David"/>
          <w:rtl/>
        </w:rPr>
        <w:t>בצפיפות: לטענת העוררים, השמאית המייעצת הכירה בפגיעה שולית בלבד כתוצאה מהצפיפות, וזאת בניגוד להחלטות קודמות שנתנה במקרים דומים, בהן הוכרה פגיעה מהותית. העוררים טוענים כי מדובר בחוסר עקביות ובסטייה בלתי מוסברת מהחלטותיה הקודמות</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E3698">
        <w:rPr>
          <w:rFonts w:ascii="David" w:hAnsi="David" w:cs="David"/>
          <w:rtl/>
        </w:rPr>
        <w:t>התעלמות מפגיעות עקיפות: לטענת</w:t>
      </w:r>
      <w:r w:rsidRPr="00DE3698">
        <w:rPr>
          <w:rFonts w:ascii="David" w:hAnsi="David" w:cs="David"/>
          <w:rtl/>
        </w:rPr>
        <w:t xml:space="preserve"> העוררים, השמאית המייעצת חרגה מתפקידה כאשר התמקדה בשאלות הנוגעות לנטל </w:t>
      </w:r>
      <w:r w:rsidRPr="00DE3698">
        <w:rPr>
          <w:rFonts w:ascii="David" w:hAnsi="David" w:cs="David"/>
          <w:rtl/>
        </w:rPr>
        <w:t>ההוכחה, במקום לבצע הערכה של שווי הפגיעה. כתוצאה מכך, לא ניתן ביטוי לפגיעות עקיפות</w:t>
      </w:r>
      <w:r>
        <w:rPr>
          <w:rFonts w:ascii="David" w:hAnsi="David" w:cs="David"/>
          <w:rtl/>
        </w:rPr>
        <w:t>,</w:t>
      </w:r>
      <w:r w:rsidRPr="00DE3698">
        <w:rPr>
          <w:rFonts w:ascii="David" w:hAnsi="David" w:cs="David"/>
          <w:rtl/>
        </w:rPr>
        <w:t xml:space="preserve"> כגון מטרדי רעש ואקוסטיקה</w:t>
      </w:r>
      <w:r>
        <w:rPr>
          <w:rFonts w:ascii="David" w:hAnsi="David" w:cs="David"/>
          <w:rtl/>
        </w:rPr>
        <w:t>,</w:t>
      </w:r>
      <w:r w:rsidRPr="00DE3698">
        <w:rPr>
          <w:rFonts w:ascii="David" w:hAnsi="David" w:cs="David"/>
          <w:rtl/>
        </w:rPr>
        <w:t xml:space="preserve"> אשר הוכחו, לשיטתם, באמצעות מסמכים וחוות דעת שהוגשו מטעמם</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9A0423">
        <w:rPr>
          <w:rFonts w:ascii="David" w:hAnsi="David" w:cs="David"/>
          <w:rtl/>
        </w:rPr>
        <w:t>אי־מתן משקל הולם לת</w:t>
      </w:r>
      <w:r w:rsidRPr="009A0423">
        <w:rPr>
          <w:rFonts w:ascii="David" w:hAnsi="David" w:cs="David"/>
          <w:rtl/>
        </w:rPr>
        <w:t>וכנית עח/20/200: לטענת העוררים, השמאית המייעצת לא נתנה ביטוי לזכויות מכוח תוכניות מאושרות, לרבות זכויות להקמת מבני קייט ונופש, וזאת אף שהן חלק מהמצב התכנוני התקף. לשיטתם, מדובר בקביעה המהווה פרשנות משפטית ותכנונית שגויה, הסותרת את ההלכה הפסוקה בעניין ההתחש</w:t>
      </w:r>
      <w:r w:rsidRPr="009A0423">
        <w:rPr>
          <w:rFonts w:ascii="David" w:hAnsi="David" w:cs="David"/>
          <w:rtl/>
        </w:rPr>
        <w:t>בות בפוטנציאל תכנוני הנובע מתוכניות אלה</w:t>
      </w:r>
      <w:r>
        <w:rPr>
          <w:rFonts w:ascii="David" w:hAnsi="David" w:cs="David"/>
          <w:rtl/>
        </w:rPr>
        <w:t>.</w:t>
      </w:r>
    </w:p>
    <w:p w:rsidR="007E0DC7" w:rsidRPr="00DF4556" w:rsidP="00DF4556">
      <w:pPr>
        <w:pStyle w:val="Ruller4"/>
        <w:suppressLineNumbers/>
        <w:tabs>
          <w:tab w:val="clear" w:pos="800"/>
        </w:tabs>
        <w:spacing w:before="240" w:after="240"/>
        <w:ind w:left="567"/>
        <w:rPr>
          <w:rFonts w:ascii="Miriam" w:hAnsi="Miriam" w:cs="Miriam"/>
        </w:rPr>
      </w:pPr>
      <w:r w:rsidRPr="00DF4556">
        <w:rPr>
          <w:rFonts w:ascii="Miriam" w:hAnsi="Miriam" w:cs="Miriam"/>
          <w:rtl/>
        </w:rPr>
        <w:t>השגות הוועדה המקומית</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82052A">
        <w:rPr>
          <w:rFonts w:ascii="David" w:hAnsi="David" w:cs="David"/>
          <w:rtl/>
        </w:rPr>
        <w:t>פגיעה בגין זיהום אוויר: השמאית המייעצת קבעה ירידת ערך בשיעור של 2% בגין זיהום אוויר. לטענת הוועדה המקומית, קביעה זו חורגת מן הנתונים הידועים, שכן מאז שנת 2010 חלה ירידה מתמדת ברמות זיהום האוויר,</w:t>
      </w:r>
      <w:r w:rsidRPr="0082052A">
        <w:rPr>
          <w:rFonts w:ascii="David" w:hAnsi="David" w:cs="David"/>
          <w:rtl/>
        </w:rPr>
        <w:t xml:space="preserve"> בין היתר בעקבות שיפורים טכנולוגיים, כניסת כלי רכב היברידיים וחשמליים, והחמרת הרגולציה בתחום</w:t>
      </w:r>
      <w:r w:rsidRPr="00DF4556">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826CE8">
        <w:rPr>
          <w:rFonts w:ascii="David" w:hAnsi="David" w:cs="David"/>
          <w:rtl/>
        </w:rPr>
        <w:t>שימוש בעסקאות השוואה בלתי מתאימות: לטענת הוועדה המקומית, השומות המייעצות מבוססות על עסקאות השוואה שבוצעו במקרקעין בעלי מאפיינים מהותיים השונים מאלה של החלקות מושא</w:t>
      </w:r>
      <w:r w:rsidRPr="00826CE8">
        <w:rPr>
          <w:rFonts w:ascii="David" w:hAnsi="David" w:cs="David"/>
          <w:rtl/>
        </w:rPr>
        <w:t xml:space="preserve"> התביעות, כגון מגרשי הרחבה סחירים לעומת נחלות שאינן ניתנות לפיצול. לגישתה, לא בוצעו ההתאמות הנדרשות ביחס למיקום, לשטחים הבנויים, וליתרונות ולחסרונות של כל תא שטח, וכתוצאה מכך נקבע שווי מ"ר מבונה שגוי</w:t>
      </w:r>
      <w:r w:rsidRPr="00DF4556">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DB511E">
        <w:rPr>
          <w:rFonts w:ascii="David" w:hAnsi="David" w:cs="David"/>
          <w:rtl/>
        </w:rPr>
        <w:t>הקטנת גודל מגרש מינימלי: לטענת הוועדה המקומית, השמאית ה</w:t>
      </w:r>
      <w:r w:rsidRPr="00DB511E">
        <w:rPr>
          <w:rFonts w:ascii="David" w:hAnsi="David" w:cs="David"/>
          <w:rtl/>
        </w:rPr>
        <w:t>מייעצת ייחסה לשינוי בגודל החלקות השפעה מהותית על שווי הנחלות, תוך הסתמכות על נתוני גודל מגרש מינימלי שנקבעו בתוכניות התקפות. לגישתה, מדובר בקביעה בלתי סבירה, שכן ניתן להסדיר או להקטין את גודל המגרש המינימלי הנדרש לפי התוכניות התקפות באופן פשוט יחסית, באמצע</w:t>
      </w:r>
      <w:r w:rsidRPr="00DB511E">
        <w:rPr>
          <w:rFonts w:ascii="David" w:hAnsi="David" w:cs="David"/>
          <w:rtl/>
        </w:rPr>
        <w:t xml:space="preserve">ות תוכנית המצויה בסמכות הוועדה המקומית, וכך אף נעשה בפועל במקרים רבים במושב בית ינאי. בהתאם </w:t>
      </w:r>
      <w:r w:rsidRPr="00DB511E">
        <w:rPr>
          <w:rFonts w:ascii="David" w:hAnsi="David" w:cs="David"/>
          <w:rtl/>
        </w:rPr>
        <w:t>לכך, לשיטתה, אין הצדקה לייחס לעניין זה ירידת ערך מהותית, אלא לכל היותר פגיעה מצומצמת וזניחה</w:t>
      </w:r>
      <w:r>
        <w:rPr>
          <w:rFonts w:ascii="David" w:hAnsi="David" w:cs="David"/>
          <w:rtl/>
        </w:rPr>
        <w:t>.</w:t>
      </w:r>
    </w:p>
    <w:p w:rsidR="007E0DC7" w:rsidRPr="008F587B" w:rsidP="000D4190">
      <w:pPr>
        <w:pStyle w:val="Ruller4"/>
        <w:suppressLineNumbers/>
        <w:tabs>
          <w:tab w:val="clear" w:pos="800"/>
        </w:tabs>
        <w:spacing w:before="600" w:after="240"/>
        <w:ind w:left="567"/>
        <w:rPr>
          <w:rFonts w:ascii="Miriam" w:hAnsi="Miriam" w:cs="Miriam"/>
        </w:rPr>
      </w:pPr>
      <w:r>
        <w:rPr>
          <w:rFonts w:ascii="Miriam" w:hAnsi="Miriam" w:cs="Miriam"/>
          <w:rtl/>
        </w:rPr>
        <w:t>השגות</w:t>
      </w:r>
      <w:r w:rsidRPr="008F587B">
        <w:rPr>
          <w:rFonts w:ascii="Miriam" w:hAnsi="Miriam" w:cs="Miriam"/>
          <w:rtl/>
        </w:rPr>
        <w:t xml:space="preserve"> נת"י</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D4190">
        <w:rPr>
          <w:rFonts w:ascii="David" w:hAnsi="David" w:cs="David"/>
          <w:rtl/>
        </w:rPr>
        <w:t>פגיעה בגין זיהום אוויר: בדומה להשגות הוועדה המקומית, גם נת"י</w:t>
      </w:r>
      <w:r w:rsidRPr="000D4190">
        <w:rPr>
          <w:rFonts w:ascii="David" w:hAnsi="David" w:cs="David"/>
          <w:rtl/>
        </w:rPr>
        <w:t xml:space="preserve"> סבורה כי שיעור ירידת הערך שנקבע ביחס לרכיב זה </w:t>
      </w:r>
      <w:r>
        <w:rPr>
          <w:rFonts w:ascii="David" w:hAnsi="David" w:cs="David"/>
          <w:rtl/>
        </w:rPr>
        <w:t>הוא</w:t>
      </w:r>
      <w:r w:rsidRPr="000D4190">
        <w:rPr>
          <w:rFonts w:ascii="David" w:hAnsi="David" w:cs="David"/>
          <w:rtl/>
        </w:rPr>
        <w:t xml:space="preserve"> בלתי סביר. לגישתה, טענות דומות כבר נדחו בעבר, וקביעת השמאית המייעצת מתעלמת מהאסדרה הסביבתית ואינה נתמכת בחוות דעת מקצועית. נוסף על כך, נת"י טוענת כי השמאית המייעצת שגתה בכך שלא נתנה משקל לחוות הדעת שנערכה </w:t>
      </w:r>
      <w:r w:rsidRPr="000D4190">
        <w:rPr>
          <w:rFonts w:ascii="David" w:hAnsi="David" w:cs="David"/>
          <w:rtl/>
        </w:rPr>
        <w:t>על־ידי השמאי המייעץ אייל יצחקי, אשר התייחסה למקרקעין סמוכים</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D4190">
        <w:rPr>
          <w:rFonts w:ascii="David" w:hAnsi="David" w:cs="David"/>
          <w:rtl/>
        </w:rPr>
        <w:t>הקטנת שטח מגרש מינימלי: נת"י טוענת כי הנחת השמאית המכריעה, שלפיה צומצם שטח חלק מהחלקות באופן שאינו עומד בדרישות המגרש המינימלי לפי התוכניות התקפות, הינה שגויה. בדומה לעמדת הוועדה המקומית, סבורה נ</w:t>
      </w:r>
      <w:r w:rsidRPr="000D4190">
        <w:rPr>
          <w:rFonts w:ascii="David" w:hAnsi="David" w:cs="David"/>
          <w:rtl/>
        </w:rPr>
        <w:t>ת"י כי ניתן להסדיר את שטח המגרש באמצעות תוכניות נקודתיות, ומשכך אין הצדקה לראות בשינוי שטח החלקה משום פגיעה בזכויות, קל וחומר לא משום ביטולן. עוד טוענת נת"י כי במקרקעין אחרים, הפגיעה שנובעת מרכיב זה הוערכה בשיעור נמוך בהרבה, והיא מפנה לעניין זה לשומה מייעצ</w:t>
      </w:r>
      <w:r w:rsidRPr="000D4190">
        <w:rPr>
          <w:rFonts w:ascii="David" w:hAnsi="David" w:cs="David"/>
          <w:rtl/>
        </w:rPr>
        <w:t>ת שנערכה על־ידי השמאי אייל יצחקי</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D4190">
        <w:rPr>
          <w:rFonts w:ascii="David" w:hAnsi="David" w:cs="David"/>
          <w:rtl/>
        </w:rPr>
        <w:t xml:space="preserve">פטור מפיצוי לפי </w:t>
      </w:r>
      <w:hyperlink r:id="rId10" w:history="1">
        <w:r w:rsidRPr="00727C7B" w:rsidR="00727C7B">
          <w:rPr>
            <w:rStyle w:val="Hyperlink"/>
            <w:rFonts w:ascii="David" w:hAnsi="David" w:cs="David"/>
            <w:rtl/>
          </w:rPr>
          <w:t>סעיף 200</w:t>
        </w:r>
      </w:hyperlink>
      <w:r w:rsidRPr="000D4190">
        <w:rPr>
          <w:rFonts w:ascii="David" w:hAnsi="David" w:cs="David"/>
          <w:rtl/>
        </w:rPr>
        <w:t xml:space="preserve"> לחוק: לטענת נת"י, שיעור ירידת הערך שנקבע בשומות המייעצות אינו חורג מגדר הסביר בנסיבות העניין. משכך, ובהתקיים יתר התנאים הקבועים בדין, יש להחיל את הוראות </w:t>
      </w:r>
      <w:hyperlink r:id="rId10" w:history="1">
        <w:r w:rsidRPr="00727C7B" w:rsidR="00727C7B">
          <w:rPr>
            <w:rStyle w:val="Hyperlink"/>
            <w:rFonts w:ascii="David" w:hAnsi="David" w:cs="David"/>
            <w:rtl/>
          </w:rPr>
          <w:t>סעיף 200</w:t>
        </w:r>
      </w:hyperlink>
      <w:r w:rsidRPr="000D4190">
        <w:rPr>
          <w:rFonts w:ascii="David" w:hAnsi="David" w:cs="David"/>
          <w:rtl/>
        </w:rPr>
        <w:t xml:space="preserve"> לחוק ולפטור את הוועדה המקומית מחובת תשלום</w:t>
      </w:r>
      <w:r w:rsidRPr="000D4190">
        <w:rPr>
          <w:rFonts w:ascii="David" w:hAnsi="David" w:cs="David"/>
          <w:rtl/>
        </w:rPr>
        <w:t xml:space="preserve"> פיצוי</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D4190">
        <w:rPr>
          <w:rFonts w:ascii="David" w:hAnsi="David" w:cs="David"/>
          <w:rtl/>
        </w:rPr>
        <w:t>קיזוז תשלום פיצויים: נת"י טוענת כי בגין חלק מהחלקות, ובכללן חלקות 38, 40, 56 בגוש 8340 וחלקות 75, 77, 79 בגוש 8337, שולמו לבעלים פיצויים נרחבים במסגרת הליכי ההפקעה, לפנים משורת הדין. לשיטתה, הפיצוי שניתן כלל תשלום עבור הקרקע שהופקעה, פיצוי בגין הגד</w:t>
      </w:r>
      <w:r w:rsidRPr="000D4190">
        <w:rPr>
          <w:rFonts w:ascii="David" w:hAnsi="David" w:cs="David"/>
          <w:rtl/>
        </w:rPr>
        <w:t xml:space="preserve">לת צפיפות ופגיעה ביתרה, פיצוי עבור מחוברים ותוספת </w:t>
      </w:r>
      <w:r w:rsidRPr="000D4190">
        <w:rPr>
          <w:rFonts w:ascii="David" w:hAnsi="David" w:cs="David"/>
          <w:rtl/>
        </w:rPr>
        <w:t xml:space="preserve">תמריץ לפינוי. נת"י טוענת כי סכומים אלו עולים על הפיצוי שנקבע בשומות המייעצות, ולפיכך אין כל הצדקה לפסוק פיצוי נוסף בגין ירידת ערך לפי </w:t>
      </w:r>
      <w:hyperlink r:id="rId9" w:history="1">
        <w:r w:rsidRPr="00727C7B" w:rsidR="00727C7B">
          <w:rPr>
            <w:rStyle w:val="Hyperlink"/>
            <w:rFonts w:ascii="David" w:hAnsi="David" w:cs="David"/>
            <w:rtl/>
          </w:rPr>
          <w:t>סעיף 197</w:t>
        </w:r>
      </w:hyperlink>
      <w:r w:rsidRPr="000D4190">
        <w:rPr>
          <w:rFonts w:ascii="David" w:hAnsi="David" w:cs="David"/>
          <w:rtl/>
        </w:rPr>
        <w:t xml:space="preserve"> לחוק</w:t>
      </w:r>
      <w:r>
        <w:rPr>
          <w:rFonts w:ascii="David" w:hAnsi="David" w:cs="David"/>
          <w:rtl/>
        </w:rPr>
        <w:t>.</w:t>
      </w:r>
    </w:p>
    <w:p w:rsidR="007E0DC7" w:rsidRPr="00F11BE6" w:rsidP="00F11BE6">
      <w:pPr>
        <w:pStyle w:val="Ruller4"/>
        <w:suppressLineNumbers/>
        <w:tabs>
          <w:tab w:val="clear" w:pos="800"/>
        </w:tabs>
        <w:spacing w:before="240" w:after="240"/>
        <w:ind w:left="567"/>
        <w:rPr>
          <w:rFonts w:ascii="Miriam" w:hAnsi="Miriam" w:cs="Miriam"/>
        </w:rPr>
      </w:pPr>
      <w:r w:rsidRPr="00F11BE6">
        <w:rPr>
          <w:rFonts w:ascii="Miriam" w:hAnsi="Miriam" w:cs="Miriam"/>
          <w:rtl/>
        </w:rPr>
        <w:t xml:space="preserve">מענה </w:t>
      </w:r>
      <w:r w:rsidRPr="00F11BE6">
        <w:rPr>
          <w:rFonts w:ascii="Miriam" w:hAnsi="Miriam" w:cs="Miriam"/>
          <w:rtl/>
        </w:rPr>
        <w:t>העוררים להשגות הוועדה המקומית ונת"י</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5580F">
        <w:rPr>
          <w:rFonts w:ascii="David" w:hAnsi="David" w:cs="David"/>
          <w:rtl/>
        </w:rPr>
        <w:t>פגיעה בגין זיהום אוויר: לטענת העוררים, קביעת השמאית המייעצת בדבר פגיעה שנגרמה עקב זיהום אוויר מבוססת כדין על תסקיר ההשפעה על הסביבה, שהינו חלק ממסמכי תת"ל 31. לטענתם, מסמך זה מצביע באופן ברור על פגיעה באיכות האוויר הנובע</w:t>
      </w:r>
      <w:r w:rsidRPr="00C5580F">
        <w:rPr>
          <w:rFonts w:ascii="David" w:hAnsi="David" w:cs="David"/>
          <w:rtl/>
        </w:rPr>
        <w:t>ת מאישור התוכנית, והוא מהווה נתון מהותי אשר עומד בפני "קונה סביר" במועד הקובע, ומבטא באופן אובייקטיבי את השפעת התוכנית על שווי הקרקע</w:t>
      </w:r>
      <w:r w:rsidRPr="00433644">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5580F">
        <w:rPr>
          <w:rFonts w:ascii="David" w:hAnsi="David" w:cs="David"/>
          <w:rtl/>
        </w:rPr>
        <w:t xml:space="preserve">נוסף על כך, לגישת העוררים, יש להחיל את כלל ההשתק כלפי הוועדה המקומית ונת"י, וזאת נוכח פסק דין קודם שניתן ביחס לאותו המתחם </w:t>
      </w:r>
      <w:r w:rsidRPr="00C5580F">
        <w:rPr>
          <w:rFonts w:ascii="David" w:hAnsi="David" w:cs="David"/>
          <w:rtl/>
        </w:rPr>
        <w:t>ממש (גוש 8337, חלקה 78), שבו נקבעה פגיעה בשיעור של 2% בגין זיהום אוויר. מאחר שהוועדה המקומית ונת"י לא השיגו על קביעת ועדת הערר באותו מקרה, חלות בעניינן הדוקטרינות של מעשה בית דין והשתק פלוגתא</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5580F">
        <w:rPr>
          <w:rFonts w:ascii="David" w:hAnsi="David" w:cs="David"/>
          <w:rtl/>
        </w:rPr>
        <w:t>לעניין עסקאות ההשוואה: העוררים טוענים כי הערכים שנקבעו בשומות ה</w:t>
      </w:r>
      <w:r w:rsidRPr="00C5580F">
        <w:rPr>
          <w:rFonts w:ascii="David" w:hAnsi="David" w:cs="David"/>
          <w:rtl/>
        </w:rPr>
        <w:t xml:space="preserve">מייעצות, בהתבסס על עסקאות ההשוואה שנבחנו, הם סבירים ואף עולים בקנה אחד עם עמדת הוועדה המקומית במקרים אחרים. </w:t>
      </w:r>
      <w:r>
        <w:rPr>
          <w:rFonts w:ascii="David" w:hAnsi="David" w:cs="David"/>
          <w:rtl/>
        </w:rPr>
        <w:t>כמו כן</w:t>
      </w:r>
      <w:r w:rsidRPr="00C5580F">
        <w:rPr>
          <w:rFonts w:ascii="David" w:hAnsi="David" w:cs="David"/>
          <w:rtl/>
        </w:rPr>
        <w:t>, לשיטתם, שווי המקרקעין אף גבוה מהערכת השמאית המייעצת, ומגיע לטווח של 14,000–15,000 ש"ח למ"ר מבונה. לפיכך, לטענתם, אין כל הצדקה להפחתה מהערכים</w:t>
      </w:r>
      <w:r w:rsidRPr="00C5580F">
        <w:rPr>
          <w:rFonts w:ascii="David" w:hAnsi="David" w:cs="David"/>
          <w:rtl/>
        </w:rPr>
        <w:t xml:space="preserve"> שנקבעו בשומות המייעצות</w:t>
      </w:r>
      <w:r w:rsidRPr="00F91B4C">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5580F">
        <w:rPr>
          <w:rFonts w:ascii="David" w:hAnsi="David" w:cs="David"/>
          <w:rtl/>
        </w:rPr>
        <w:t>הקטנת שטח מגרש מינימלי: לגישת העוררים, קביעת השמאית המייעצת בעניין זה מבוססת כדין ומתיישבת עם ההלכה שנקבעה ב</w:t>
      </w:r>
      <w:hyperlink r:id="rId11" w:history="1">
        <w:r w:rsidRPr="00EC305A" w:rsidR="00EC305A">
          <w:rPr>
            <w:rStyle w:val="Hyperlink"/>
            <w:rFonts w:ascii="David" w:hAnsi="David" w:cs="David"/>
            <w:rtl/>
          </w:rPr>
          <w:t>בר"מ 10212/16</w:t>
        </w:r>
      </w:hyperlink>
      <w:r w:rsidRPr="00C5580F">
        <w:rPr>
          <w:rFonts w:ascii="David" w:hAnsi="David" w:cs="David"/>
          <w:rtl/>
        </w:rPr>
        <w:t xml:space="preserve"> </w:t>
      </w:r>
      <w:r w:rsidRPr="00C5580F">
        <w:rPr>
          <w:rFonts w:ascii="Miriam" w:hAnsi="Miriam" w:cs="Miriam"/>
          <w:rtl/>
        </w:rPr>
        <w:t>דלי דליה ואח' נ' הוועדה המקומית לתכנון ולבנייה הרצליה</w:t>
      </w:r>
      <w:r w:rsidRPr="00C5580F">
        <w:rPr>
          <w:rFonts w:ascii="David" w:hAnsi="David" w:cs="David"/>
          <w:rtl/>
        </w:rPr>
        <w:t xml:space="preserve"> (נב</w:t>
      </w:r>
      <w:r w:rsidRPr="00C5580F">
        <w:rPr>
          <w:rFonts w:ascii="David" w:hAnsi="David" w:cs="David"/>
          <w:rtl/>
        </w:rPr>
        <w:t>ו 1.4.2020) (להלן: "</w:t>
      </w:r>
      <w:r w:rsidRPr="00C5580F">
        <w:rPr>
          <w:rFonts w:ascii="Miriam" w:hAnsi="Miriam" w:cs="Miriam"/>
          <w:rtl/>
        </w:rPr>
        <w:t>עניין דלי דליה</w:t>
      </w:r>
      <w:r w:rsidRPr="00C5580F">
        <w:rPr>
          <w:rFonts w:ascii="David" w:hAnsi="David" w:cs="David"/>
          <w:rtl/>
        </w:rPr>
        <w:t xml:space="preserve">"). לטענתם, גם אם בעתיד ניתן יהיה לקדם תוכנית נקודתית להסדרת גודל המגרש, אין </w:t>
      </w:r>
      <w:r w:rsidRPr="00C5580F">
        <w:rPr>
          <w:rFonts w:ascii="David" w:hAnsi="David" w:cs="David"/>
          <w:rtl/>
        </w:rPr>
        <w:t>לכך רלוונטיות, שכן המועד הקובע לעניין הפיצוי הוא מועד אישורה של תת"ל 31</w:t>
      </w:r>
      <w:r w:rsidRPr="00F01F0B">
        <w:rPr>
          <w:rFonts w:ascii="David" w:hAnsi="David" w:cs="David"/>
          <w:rtl/>
        </w:rPr>
        <w:t>.</w:t>
      </w:r>
    </w:p>
    <w:p w:rsidR="007E0DC7" w:rsidRPr="00822F3B" w:rsidP="00822F3B">
      <w:pPr>
        <w:pStyle w:val="Ruller4"/>
        <w:numPr>
          <w:ilvl w:val="0"/>
          <w:numId w:val="31"/>
        </w:numPr>
        <w:tabs>
          <w:tab w:val="clear" w:pos="454"/>
          <w:tab w:val="clear" w:pos="800"/>
          <w:tab w:val="num" w:pos="1361"/>
        </w:tabs>
        <w:spacing w:before="240" w:after="240"/>
        <w:rPr>
          <w:rFonts w:ascii="David" w:hAnsi="David" w:cs="David"/>
        </w:rPr>
      </w:pPr>
      <w:r w:rsidRPr="00937C86">
        <w:rPr>
          <w:rFonts w:ascii="David" w:hAnsi="David" w:cs="David"/>
          <w:rtl/>
        </w:rPr>
        <w:t xml:space="preserve">פטור מפיצוי לפי </w:t>
      </w:r>
      <w:hyperlink r:id="rId10" w:history="1">
        <w:r w:rsidRPr="00727C7B" w:rsidR="00727C7B">
          <w:rPr>
            <w:rStyle w:val="Hyperlink"/>
            <w:rFonts w:ascii="David" w:hAnsi="David" w:cs="David"/>
            <w:rtl/>
          </w:rPr>
          <w:t>סעיף 200</w:t>
        </w:r>
      </w:hyperlink>
      <w:r w:rsidRPr="00937C86">
        <w:rPr>
          <w:rFonts w:ascii="David" w:hAnsi="David" w:cs="David"/>
          <w:rtl/>
        </w:rPr>
        <w:t xml:space="preserve"> לחוק: לטענת העוררים, הפטור הקבוע </w:t>
      </w:r>
      <w:hyperlink r:id="rId10" w:history="1">
        <w:r w:rsidRPr="00727C7B" w:rsidR="00727C7B">
          <w:rPr>
            <w:rStyle w:val="Hyperlink"/>
            <w:rFonts w:ascii="David" w:hAnsi="David" w:cs="David"/>
            <w:rtl/>
          </w:rPr>
          <w:t>בסעיף 200</w:t>
        </w:r>
      </w:hyperlink>
      <w:r w:rsidRPr="00937C86">
        <w:rPr>
          <w:rFonts w:ascii="David" w:hAnsi="David" w:cs="David"/>
          <w:rtl/>
        </w:rPr>
        <w:t xml:space="preserve"> לחוק מהווה חריג צר ונדיר, כאשר נטל ההוכחה לקיומם של התנאים הנדרשים להפעלתו מוטל על נת"י, והיא לא הרימה נטל זה. לשיטתם, הפגיעה בעניינם מהותית ועוברת את גבול </w:t>
      </w:r>
      <w:r w:rsidRPr="00937C86">
        <w:rPr>
          <w:rFonts w:ascii="David" w:hAnsi="David" w:cs="David"/>
          <w:rtl/>
        </w:rPr>
        <w:t xml:space="preserve">הסביר, ולא מתקיימים שיקולי צדק המצדיקים לשלול מהם פיצוי. עוד מוסיפים העוררים כי </w:t>
      </w:r>
      <w:hyperlink r:id="rId10" w:history="1">
        <w:r w:rsidRPr="00727C7B" w:rsidR="00727C7B">
          <w:rPr>
            <w:rStyle w:val="Hyperlink"/>
            <w:rFonts w:ascii="David" w:hAnsi="David" w:cs="David"/>
            <w:rtl/>
          </w:rPr>
          <w:t>סעיף 200</w:t>
        </w:r>
      </w:hyperlink>
      <w:r w:rsidRPr="00937C86">
        <w:rPr>
          <w:rFonts w:ascii="David" w:hAnsi="David" w:cs="David"/>
          <w:rtl/>
        </w:rPr>
        <w:t xml:space="preserve"> חל רק במקרים של פגיעה ישירה, בעוד שבעניינם מדובר בפגיעה עקיפה, ולפיכך אין להחילו</w:t>
      </w:r>
      <w:r w:rsidRPr="00822F3B">
        <w:rPr>
          <w:rFonts w:ascii="David" w:hAnsi="David" w:cs="David"/>
          <w:rtl/>
        </w:rPr>
        <w:t>.</w:t>
      </w:r>
    </w:p>
    <w:p w:rsidR="007E0DC7" w:rsidP="00DA05D1">
      <w:pPr>
        <w:pStyle w:val="Ruller4"/>
        <w:numPr>
          <w:ilvl w:val="0"/>
          <w:numId w:val="31"/>
        </w:numPr>
        <w:tabs>
          <w:tab w:val="clear" w:pos="454"/>
          <w:tab w:val="clear" w:pos="800"/>
          <w:tab w:val="num" w:pos="1361"/>
        </w:tabs>
        <w:spacing w:before="240" w:after="240"/>
        <w:rPr>
          <w:rFonts w:ascii="David" w:hAnsi="David" w:cs="David"/>
        </w:rPr>
      </w:pPr>
      <w:r w:rsidRPr="00937C86">
        <w:rPr>
          <w:rFonts w:ascii="David" w:hAnsi="David" w:cs="David"/>
          <w:rtl/>
        </w:rPr>
        <w:t>קיזוז תשלום פיצויים: העוררים מכחי</w:t>
      </w:r>
      <w:r w:rsidRPr="00937C86">
        <w:rPr>
          <w:rFonts w:ascii="David" w:hAnsi="David" w:cs="David"/>
          <w:rtl/>
        </w:rPr>
        <w:t xml:space="preserve">שים את טענת נת"י שלפיה כבר ניתן להם פיצוי מלא במסגרת הליכי ההפקעה. לשיטתם, יש להבחין בין הפיצוי שניתן בגין ההפקעה, המתברר בהליך נפרד בפני בית המשפט המוסמך, לבין הפיצוי הנתבע מכוח </w:t>
      </w:r>
      <w:hyperlink r:id="rId4" w:history="1">
        <w:r w:rsidRPr="00727C7B" w:rsidR="00727C7B">
          <w:rPr>
            <w:rStyle w:val="Hyperlink"/>
            <w:rFonts w:ascii="David" w:hAnsi="David" w:cs="David"/>
            <w:rtl/>
          </w:rPr>
          <w:t>פרק ט</w:t>
        </w:r>
      </w:hyperlink>
      <w:r w:rsidRPr="00937C86">
        <w:rPr>
          <w:rFonts w:ascii="David" w:hAnsi="David" w:cs="David"/>
          <w:rtl/>
        </w:rPr>
        <w:t>' לחוק. בהתאם לכך, טו</w:t>
      </w:r>
      <w:r w:rsidRPr="00937C86">
        <w:rPr>
          <w:rFonts w:ascii="David" w:hAnsi="David" w:cs="David"/>
          <w:rtl/>
        </w:rPr>
        <w:t>ענים העוררים כי ועדת הערר אינה מוסמכת לדון בפיצויי ההפקעה, ומשכך אין מקום לבצע קיזוז בגין תשלומים אלה במסגרת ההליך שבפניה</w:t>
      </w:r>
      <w:r w:rsidRPr="00F91B4C">
        <w:rPr>
          <w:rFonts w:ascii="David" w:hAnsi="David" w:cs="David"/>
          <w:rtl/>
        </w:rPr>
        <w:t xml:space="preserve">. </w:t>
      </w:r>
    </w:p>
    <w:p w:rsidR="007E0DC7" w:rsidRPr="00F91B4C" w:rsidP="003F4F2E">
      <w:pPr>
        <w:pStyle w:val="Ruller4"/>
        <w:suppressLineNumbers/>
        <w:tabs>
          <w:tab w:val="clear" w:pos="800"/>
          <w:tab w:val="num" w:pos="1361"/>
        </w:tabs>
        <w:spacing w:before="240" w:after="240"/>
        <w:ind w:left="567"/>
        <w:rPr>
          <w:rFonts w:ascii="David" w:hAnsi="David" w:cs="David"/>
        </w:rPr>
      </w:pPr>
      <w:r w:rsidRPr="00F11BE6">
        <w:rPr>
          <w:rFonts w:ascii="Miriam" w:hAnsi="Miriam" w:cs="Miriam"/>
          <w:rtl/>
        </w:rPr>
        <w:t>מענה נת"י</w:t>
      </w:r>
      <w:r>
        <w:rPr>
          <w:rFonts w:ascii="Miriam" w:hAnsi="Miriam" w:cs="Miriam"/>
          <w:rtl/>
        </w:rPr>
        <w:t xml:space="preserve"> </w:t>
      </w:r>
      <w:r w:rsidRPr="00F11BE6">
        <w:rPr>
          <w:rFonts w:ascii="Miriam" w:hAnsi="Miriam" w:cs="Miriam"/>
          <w:rtl/>
        </w:rPr>
        <w:t>להשגות העוררים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937C86">
        <w:rPr>
          <w:rFonts w:ascii="David" w:hAnsi="David" w:cs="David"/>
          <w:rtl/>
        </w:rPr>
        <w:t>אי־הכללת שווי המחוברים: נת"י טוענת כי קביעת השמאית המייעצת, שלפיה יש לבחון את הפגיעה על בסיס שווי הקרקע בלב</w:t>
      </w:r>
      <w:r w:rsidRPr="00937C86">
        <w:rPr>
          <w:rFonts w:ascii="David" w:hAnsi="David" w:cs="David"/>
          <w:rtl/>
        </w:rPr>
        <w:t xml:space="preserve">ד ללא המחוברים, נעשתה כדין. לגישתה, </w:t>
      </w:r>
      <w:hyperlink r:id="rId9" w:history="1">
        <w:r w:rsidRPr="00727C7B" w:rsidR="00727C7B">
          <w:rPr>
            <w:rStyle w:val="Hyperlink"/>
            <w:rFonts w:ascii="David" w:hAnsi="David" w:cs="David"/>
            <w:rtl/>
          </w:rPr>
          <w:t>סעיף 197</w:t>
        </w:r>
      </w:hyperlink>
      <w:r w:rsidRPr="00937C86">
        <w:rPr>
          <w:rFonts w:ascii="David" w:hAnsi="David" w:cs="David"/>
          <w:rtl/>
        </w:rPr>
        <w:t xml:space="preserve"> לחוק עוסק בירידת ערך תכנונית בלבד, ואינו נועד לשקף את שווים של מבנים או מחוברים, אשר נבחנים וניתנים כפיצוי במסגרת הליכי הפקעה נפרדים</w:t>
      </w:r>
      <w:r>
        <w:rPr>
          <w:rFonts w:ascii="David" w:hAnsi="David" w:cs="David"/>
          <w:rtl/>
        </w:rPr>
        <w:t>.</w:t>
      </w:r>
    </w:p>
    <w:p w:rsidR="007E0DC7" w:rsidRPr="00E0571E" w:rsidP="00E0571E">
      <w:pPr>
        <w:pStyle w:val="Ruller4"/>
        <w:numPr>
          <w:ilvl w:val="0"/>
          <w:numId w:val="31"/>
        </w:numPr>
        <w:tabs>
          <w:tab w:val="clear" w:pos="454"/>
          <w:tab w:val="clear" w:pos="800"/>
          <w:tab w:val="num" w:pos="1361"/>
        </w:tabs>
        <w:spacing w:before="240" w:after="240"/>
        <w:rPr>
          <w:rFonts w:ascii="David" w:hAnsi="David" w:cs="David"/>
        </w:rPr>
      </w:pPr>
      <w:r w:rsidRPr="00937C86">
        <w:rPr>
          <w:rFonts w:ascii="David" w:hAnsi="David" w:cs="David"/>
          <w:rtl/>
        </w:rPr>
        <w:t>חישוב שטח המגרשים במצב הק</w:t>
      </w:r>
      <w:r w:rsidRPr="00937C86">
        <w:rPr>
          <w:rFonts w:ascii="David" w:hAnsi="David" w:cs="David"/>
          <w:rtl/>
        </w:rPr>
        <w:t xml:space="preserve">ודם: נת"י טוענת כי דרישת העוררים לחשב את זכויות הבנייה תוך התחשבות בשטחים הנוספים, כהגדרתם בהחלטת הביניים, מהווה ניסיון חוזר להעלות טענות שכבר נדחו בהחלטה זו. </w:t>
      </w:r>
      <w:r>
        <w:rPr>
          <w:rFonts w:ascii="David" w:hAnsi="David" w:cs="David"/>
          <w:rtl/>
        </w:rPr>
        <w:t>נוסף על כך</w:t>
      </w:r>
      <w:r w:rsidRPr="00937C86">
        <w:rPr>
          <w:rFonts w:ascii="David" w:hAnsi="David" w:cs="David"/>
          <w:rtl/>
        </w:rPr>
        <w:t>, לשיטתה, קיימים קשיים ראייתיים משמעותיים בהוכחת החישוב הנטען, שכן הוא מבוסס על היתר בנ</w:t>
      </w:r>
      <w:r w:rsidRPr="00937C86">
        <w:rPr>
          <w:rFonts w:ascii="David" w:hAnsi="David" w:cs="David"/>
          <w:rtl/>
        </w:rPr>
        <w:t>ייה שניתן לפני 17 שנים, ללא קיומם של היתרים חדשים או מסמכים תכנוניים עדכניים התומכים בעמדת העוררים</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F1FC6">
        <w:rPr>
          <w:rFonts w:ascii="David" w:hAnsi="David" w:cs="David"/>
          <w:rtl/>
        </w:rPr>
        <w:t xml:space="preserve">אי־מתן משקל הולם לתוכניות החלות: לגישת נת"י, תוכנית עח/20/200 מתירה הקמת מבני קיט רק בכפוף לאישורה של תוכנית מפורטת החלה על היישוב הספציפי שבו מבוקש </w:t>
      </w:r>
      <w:r w:rsidRPr="004F1FC6">
        <w:rPr>
          <w:rFonts w:ascii="David" w:hAnsi="David" w:cs="David"/>
          <w:rtl/>
        </w:rPr>
        <w:t>השימוש. מאחר שתוכנית מפורטת כזו אינה קיימת בענייננו, אין לראות בתוכנית עח/20/200 כמקנה זכויות מיידיות, ומשכך לא היה מקום ליתן לה משקל בקביעת שווי המקרקעין</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F1FC6">
        <w:rPr>
          <w:rFonts w:ascii="David" w:hAnsi="David" w:cs="David"/>
          <w:rtl/>
        </w:rPr>
        <w:t>סיווג ייעוד הקרקע: לגישת נת"י, טענות העוררים בעניין זה עוסקות למעשה באובדן פוטנציאל תכנוני בלבד, וא</w:t>
      </w:r>
      <w:r w:rsidRPr="004F1FC6">
        <w:rPr>
          <w:rFonts w:ascii="David" w:hAnsi="David" w:cs="David"/>
          <w:rtl/>
        </w:rPr>
        <w:t>ין מקום להתחשב בו בהתאם להלכה שנקבעה בפסק הדין בעניין דלי דליה. לפיכך, לשיטתה, לא נפל פגם בשומה המכרעת בכל הנוגע לסיווג הקרקע ולהערכת היקף זכויות הבנייה בחלקות</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F1FC6">
        <w:rPr>
          <w:rFonts w:ascii="David" w:hAnsi="David" w:cs="David"/>
          <w:rtl/>
        </w:rPr>
        <w:t>פגיעה בצפיפות: לגישת נת"י, מסד הנתונים שנקבע בשומה המכרעת מגלם שטח מגרש ממוצע אשר משקף את הצפ</w:t>
      </w:r>
      <w:r w:rsidRPr="004F1FC6">
        <w:rPr>
          <w:rFonts w:ascii="David" w:hAnsi="David" w:cs="David"/>
          <w:rtl/>
        </w:rPr>
        <w:t>יפות הקיימת במצב הקודם. עוד נטען כי המסמכים שעליהם מסתמכים העוררים מבטאים פגיעה הנובעת מקרבה לכביש, ולא משינוי בצפיפות התכנונית או בהיקף זכויות הבנייה, ומשכך אין בכך כדי להצביע על פגיעה נפרדת בגין צפיפות</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F1FC6">
        <w:rPr>
          <w:rFonts w:ascii="David" w:hAnsi="David" w:cs="David"/>
          <w:rtl/>
        </w:rPr>
        <w:t xml:space="preserve">התעלמות מפגיעות עקיפות: לטענת נת"י, טענות העוררים </w:t>
      </w:r>
      <w:r w:rsidRPr="004F1FC6">
        <w:rPr>
          <w:rFonts w:ascii="David" w:hAnsi="David" w:cs="David"/>
          <w:rtl/>
        </w:rPr>
        <w:t>בדבר פגיעה עקב מפגעי רעש לא נתמכו בחוות דעת מקצועית, ולפיכך לא הוכחו כדין. בנוסף, לשיטתה, הניתוח שערכו העוררים לוקה בחסר ומתעלם ממקורות רעש נוספים שהיו קיימים עוד קודם לאישורה של תת"ל 31. עוד נטען כי טענות העוררים אינן מתייחסות לגורמים שעשויים לאיין את הפג</w:t>
      </w:r>
      <w:r w:rsidRPr="004F1FC6">
        <w:rPr>
          <w:rFonts w:ascii="David" w:hAnsi="David" w:cs="David"/>
          <w:rtl/>
        </w:rPr>
        <w:t>יעה הנטענת ואף להשביח את ערך הקרקע, לרבות העובדה שבמצב הקודם קיימת קרבה לכביש ללא פתרונות מיגון אקוסטי, בניגוד למצב לאחר אישור התוכנית הכולל שיפורים תשתיתיים</w:t>
      </w:r>
      <w:r>
        <w:rPr>
          <w:rFonts w:ascii="David" w:hAnsi="David" w:cs="David"/>
          <w:rtl/>
        </w:rPr>
        <w:t xml:space="preserve">. </w:t>
      </w:r>
    </w:p>
    <w:p w:rsidR="007E0DC7" w:rsidRPr="0082505C" w:rsidP="0082505C">
      <w:pPr>
        <w:pStyle w:val="Ruller4"/>
        <w:suppressLineNumbers/>
        <w:tabs>
          <w:tab w:val="clear" w:pos="800"/>
          <w:tab w:val="num" w:pos="1361"/>
        </w:tabs>
        <w:spacing w:before="240" w:after="240"/>
        <w:ind w:left="567"/>
        <w:rPr>
          <w:rFonts w:ascii="Miriam" w:hAnsi="Miriam" w:cs="Miriam"/>
        </w:rPr>
      </w:pPr>
      <w:r w:rsidRPr="00171D9D">
        <w:rPr>
          <w:rFonts w:ascii="Miriam" w:hAnsi="Miriam" w:cs="Miriam"/>
          <w:rtl/>
        </w:rPr>
        <w:t>דיון והכרעה</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F1FC6">
        <w:rPr>
          <w:rFonts w:ascii="David" w:hAnsi="David" w:cs="David"/>
          <w:rtl/>
        </w:rPr>
        <w:t>אנו מבקשים להודות לשמאית המייעצת על עבודה מקצועית, יסודית ומקיפה</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Pr>
          <w:rFonts w:ascii="David" w:hAnsi="David" w:cs="David"/>
          <w:rtl/>
        </w:rPr>
        <w:t xml:space="preserve">כידוע, </w:t>
      </w:r>
      <w:r w:rsidRPr="00C87F69">
        <w:rPr>
          <w:rFonts w:ascii="David" w:hAnsi="David" w:cs="David"/>
          <w:rtl/>
        </w:rPr>
        <w:t>התערבות במס</w:t>
      </w:r>
      <w:r w:rsidRPr="00C87F69">
        <w:rPr>
          <w:rFonts w:ascii="David" w:hAnsi="David" w:cs="David"/>
          <w:rtl/>
        </w:rPr>
        <w:t>קנותיו המקצועיות של שמאי מייעץ שמורה למקרים חריגים בלבד, בהם נפלה טעות מהותית או דופי חמור, כגון הסתמכות על מסד עובדתי או משפטי חסר או בלתי הולם. כן תתאפשר התערבות מקום שבו נפל פגם היורד לשורש המעשה המנהלי, כגון ניגוד עניינים, משוא פנים או חוסר תום לב. בהי</w:t>
      </w:r>
      <w:r w:rsidRPr="00C87F69">
        <w:rPr>
          <w:rFonts w:ascii="David" w:hAnsi="David" w:cs="David"/>
          <w:rtl/>
        </w:rPr>
        <w:t>עדר טעמים כבדי משקל אלה, ועדת הערר תיטה לאמץ את שיקול דעתו של השמאי</w:t>
      </w:r>
      <w:r>
        <w:rPr>
          <w:rFonts w:ascii="David" w:hAnsi="David" w:cs="David"/>
          <w:rtl/>
        </w:rPr>
        <w:t xml:space="preserve"> המייעץ</w:t>
      </w:r>
      <w:r w:rsidRPr="00C87F69">
        <w:rPr>
          <w:rFonts w:ascii="David" w:hAnsi="David" w:cs="David"/>
          <w:rtl/>
        </w:rPr>
        <w:t>, ככל שמסקנותיו מבוססות על שיטה שמאית מקובלת ומסד עובדתי הולם, אף אם קיימות גישות מקצועיות שונות בשאלה שבמחלוקת</w:t>
      </w:r>
      <w:r>
        <w:rPr>
          <w:rFonts w:ascii="David" w:hAnsi="David" w:cs="David"/>
          <w:rtl/>
        </w:rPr>
        <w:t xml:space="preserve"> (</w:t>
      </w:r>
      <w:hyperlink r:id="rId12" w:history="1">
        <w:r w:rsidRPr="00EC305A" w:rsidR="00EC305A">
          <w:rPr>
            <w:rStyle w:val="Hyperlink"/>
            <w:rFonts w:ascii="David" w:hAnsi="David" w:cs="David"/>
            <w:rtl/>
          </w:rPr>
          <w:t>בר"מ 3644/13</w:t>
        </w:r>
      </w:hyperlink>
      <w:r w:rsidRPr="00392D30">
        <w:rPr>
          <w:rFonts w:ascii="David" w:hAnsi="David" w:cs="David"/>
          <w:rtl/>
        </w:rPr>
        <w:t xml:space="preserve"> </w:t>
      </w:r>
      <w:r w:rsidRPr="00392D30">
        <w:rPr>
          <w:rFonts w:ascii="Miriam" w:hAnsi="Miriam" w:cs="Miriam"/>
          <w:rtl/>
        </w:rPr>
        <w:t xml:space="preserve">משרד </w:t>
      </w:r>
      <w:r w:rsidRPr="00392D30">
        <w:rPr>
          <w:rFonts w:ascii="Miriam" w:hAnsi="Miriam" w:cs="Miriam"/>
          <w:rtl/>
        </w:rPr>
        <w:t>התחבורה נ' גלר דוד ואארורה ואח'</w:t>
      </w:r>
      <w:r w:rsidRPr="00392D30">
        <w:rPr>
          <w:rFonts w:ascii="David" w:hAnsi="David" w:cs="David"/>
          <w:rtl/>
        </w:rPr>
        <w:t xml:space="preserve"> (נבו 23.4.2014)</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A5922">
        <w:rPr>
          <w:rFonts w:ascii="David" w:hAnsi="David" w:cs="David"/>
          <w:rtl/>
        </w:rPr>
        <w:t>לאחר עיון, הגענו לכלל מסקנה כי דין ההשגות להידחות, בהיעדר עילה להתערבות בשומות המייעצות. מדובר בשומות המבוססות על ניתוח מעמיק ויסודי של כלל ההיבטים הרלוונטיים, אשר לא נמצאה בו כל חריגה המצדיקה התערבות. אף ב</w:t>
      </w:r>
      <w:r w:rsidRPr="00CA5922">
        <w:rPr>
          <w:rFonts w:ascii="David" w:hAnsi="David" w:cs="David"/>
          <w:rtl/>
        </w:rPr>
        <w:t>נקודות שבהן הושתתה המסקנה על ניתוח משפטי, מצאנו כי מדובר בניתוח נכון, המשקף יישום ראוי והגיוני של ההלכות הרלוונטיות על נסיבות המקרה. כל זאת, כמפורט להלן</w:t>
      </w:r>
      <w:r>
        <w:rPr>
          <w:rFonts w:ascii="David" w:hAnsi="David" w:cs="David"/>
          <w:rtl/>
        </w:rPr>
        <w:t>.</w:t>
      </w:r>
    </w:p>
    <w:p w:rsidR="007E0DC7" w:rsidRPr="0053250D" w:rsidP="0053250D">
      <w:pPr>
        <w:pStyle w:val="Ruller4"/>
        <w:suppressLineNumbers/>
        <w:tabs>
          <w:tab w:val="clear" w:pos="800"/>
          <w:tab w:val="num" w:pos="1361"/>
        </w:tabs>
        <w:spacing w:before="240" w:after="240"/>
        <w:ind w:left="567"/>
        <w:rPr>
          <w:rFonts w:ascii="Miriam" w:hAnsi="Miriam" w:cs="Miriam"/>
        </w:rPr>
      </w:pPr>
      <w:r>
        <w:rPr>
          <w:rFonts w:ascii="Miriam" w:hAnsi="Miriam" w:cs="Miriam"/>
          <w:rtl/>
        </w:rPr>
        <w:t>התחשבות</w:t>
      </w:r>
      <w:r w:rsidRPr="0053250D">
        <w:rPr>
          <w:rFonts w:ascii="Miriam" w:hAnsi="Miriam" w:cs="Miriam"/>
          <w:rtl/>
        </w:rPr>
        <w:t xml:space="preserve"> </w:t>
      </w:r>
      <w:r>
        <w:rPr>
          <w:rFonts w:ascii="Miriam" w:hAnsi="Miriam" w:cs="Miriam"/>
          <w:rtl/>
        </w:rPr>
        <w:t>ב</w:t>
      </w:r>
      <w:r w:rsidRPr="0053250D">
        <w:rPr>
          <w:rFonts w:ascii="Miriam" w:hAnsi="Miriam" w:cs="Miriam"/>
          <w:rtl/>
        </w:rPr>
        <w:t>שווי המחוברים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Pr>
          <w:rFonts w:ascii="David" w:hAnsi="David" w:cs="David"/>
          <w:rtl/>
        </w:rPr>
        <w:t xml:space="preserve">כנודע, </w:t>
      </w:r>
      <w:r w:rsidRPr="009E2859">
        <w:rPr>
          <w:rFonts w:ascii="David" w:hAnsi="David" w:cs="David"/>
          <w:rtl/>
        </w:rPr>
        <w:t>זכותו של בעל קרקע לקבל פיצוי מכוח החוק בגין הפקעה נחלקת לשני שלבים: בשלב</w:t>
      </w:r>
      <w:r w:rsidRPr="009E2859">
        <w:rPr>
          <w:rFonts w:ascii="David" w:hAnsi="David" w:cs="David"/>
          <w:rtl/>
        </w:rPr>
        <w:t xml:space="preserve"> הראשון קמה זכות לפיצוי בגין פגיעה בשווי הקרקע, הנובעת משינוי ייעודה לייעוד ציבורי; ובשלב השני קמה הזכות לפיצוי בגין ההפקעה בפועל</w:t>
      </w:r>
      <w:r>
        <w:rPr>
          <w:rFonts w:ascii="David" w:hAnsi="David" w:cs="David"/>
          <w:rtl/>
        </w:rPr>
        <w:t>,</w:t>
      </w:r>
      <w:r w:rsidRPr="009E2859">
        <w:rPr>
          <w:rFonts w:ascii="David" w:hAnsi="David" w:cs="David"/>
          <w:rtl/>
        </w:rPr>
        <w:t xml:space="preserve"> קרי מסירת החזקה בקרקע והעברת הבעלות </w:t>
      </w:r>
      <w:r>
        <w:rPr>
          <w:rFonts w:ascii="David" w:hAnsi="David" w:cs="David"/>
          <w:rtl/>
        </w:rPr>
        <w:t>לרשות המפקיעה</w:t>
      </w:r>
      <w:r w:rsidRPr="009E2859">
        <w:rPr>
          <w:rFonts w:ascii="David" w:hAnsi="David" w:cs="David"/>
          <w:rtl/>
        </w:rPr>
        <w:t xml:space="preserve"> </w:t>
      </w:r>
      <w:r w:rsidRPr="008721C2">
        <w:rPr>
          <w:rFonts w:ascii="David" w:hAnsi="David" w:cs="David"/>
          <w:rtl/>
        </w:rPr>
        <w:t xml:space="preserve">(ראו למשל: </w:t>
      </w:r>
      <w:hyperlink r:id="rId13" w:history="1">
        <w:r w:rsidRPr="00EC305A" w:rsidR="00EC305A">
          <w:rPr>
            <w:rStyle w:val="Hyperlink"/>
            <w:rFonts w:ascii="David" w:hAnsi="David" w:cs="David"/>
            <w:rtl/>
          </w:rPr>
          <w:t>ע"א 8863/07</w:t>
        </w:r>
      </w:hyperlink>
      <w:r w:rsidRPr="008721C2">
        <w:rPr>
          <w:rFonts w:ascii="David" w:hAnsi="David" w:cs="David"/>
          <w:rtl/>
        </w:rPr>
        <w:t xml:space="preserve"> </w:t>
      </w:r>
      <w:r w:rsidRPr="00BD4393">
        <w:rPr>
          <w:rFonts w:ascii="Miriam" w:hAnsi="Miriam" w:cs="Miriam"/>
          <w:rtl/>
        </w:rPr>
        <w:t>ב. מ. כפריס דדו בע"מ נ' מנהל מע"מ חיפה</w:t>
      </w:r>
      <w:r w:rsidRPr="008721C2">
        <w:rPr>
          <w:rFonts w:ascii="David" w:hAnsi="David" w:cs="David"/>
          <w:rtl/>
        </w:rPr>
        <w:t>, פסקאות 12-10 (לא פורסם</w:t>
      </w:r>
      <w:r w:rsidR="00567A17">
        <w:rPr>
          <w:rFonts w:ascii="David" w:hAnsi="David" w:cs="David" w:hint="cs"/>
          <w:rtl/>
        </w:rPr>
        <w:t xml:space="preserve">, </w:t>
      </w:r>
      <w:r w:rsidR="00567A17">
        <w:rPr>
          <w:rFonts w:ascii="David" w:hAnsi="David" w:cs="David"/>
          <w:rtl/>
        </w:rPr>
        <w:t>[נבו]</w:t>
      </w:r>
      <w:r w:rsidRPr="008721C2">
        <w:rPr>
          <w:rFonts w:ascii="David" w:hAnsi="David" w:cs="David"/>
          <w:rtl/>
        </w:rPr>
        <w:t xml:space="preserve">, 28.3.2010); </w:t>
      </w:r>
      <w:hyperlink r:id="rId14" w:history="1">
        <w:r w:rsidRPr="00EC305A" w:rsidR="00EC305A">
          <w:rPr>
            <w:rStyle w:val="Hyperlink"/>
            <w:rFonts w:ascii="David" w:hAnsi="David" w:cs="David"/>
            <w:rtl/>
          </w:rPr>
          <w:t>ע"א 7959/00</w:t>
        </w:r>
      </w:hyperlink>
      <w:r w:rsidRPr="008721C2">
        <w:rPr>
          <w:rFonts w:ascii="David" w:hAnsi="David" w:cs="David"/>
          <w:rtl/>
        </w:rPr>
        <w:t xml:space="preserve"> </w:t>
      </w:r>
      <w:r w:rsidRPr="00BD4393">
        <w:rPr>
          <w:rFonts w:ascii="Miriam" w:hAnsi="Miriam" w:cs="Miriam"/>
          <w:rtl/>
        </w:rPr>
        <w:t>עזר נ' הוועדה המקומית לתכנון ולבנייה, חיפה</w:t>
      </w:r>
      <w:r w:rsidRPr="008721C2">
        <w:rPr>
          <w:rFonts w:ascii="David" w:hAnsi="David" w:cs="David"/>
          <w:rtl/>
        </w:rPr>
        <w:t xml:space="preserve">, פ"ד נו(2) 365, 371 (2001); אהרן </w:t>
      </w:r>
      <w:hyperlink r:id="rId15" w:history="1">
        <w:r w:rsidRPr="00EC305A" w:rsidR="00EC305A">
          <w:rPr>
            <w:rStyle w:val="Hyperlink"/>
            <w:rFonts w:ascii="Miriam" w:hAnsi="Miriam" w:cs="Miriam"/>
            <w:color w:val="000000"/>
            <w:u w:val="none"/>
            <w:rtl/>
          </w:rPr>
          <w:t>נמדר פגיעה במקרקעין - פיצויים</w:t>
        </w:r>
      </w:hyperlink>
      <w:r w:rsidRPr="004E4C5F">
        <w:rPr>
          <w:rFonts w:ascii="Miriam" w:hAnsi="Miriam" w:cs="Miriam"/>
          <w:rtl/>
        </w:rPr>
        <w:t xml:space="preserve"> בגין נזקי תכנית</w:t>
      </w:r>
      <w:r w:rsidRPr="00327967">
        <w:rPr>
          <w:rFonts w:ascii="David" w:hAnsi="David" w:cs="David"/>
          <w:rtl/>
        </w:rPr>
        <w:t>, תשס"ב</w:t>
      </w:r>
      <w:r w:rsidRPr="008721C2">
        <w:rPr>
          <w:rFonts w:ascii="David" w:hAnsi="David" w:cs="David"/>
          <w:rtl/>
        </w:rPr>
        <w:t xml:space="preserve"> (להלן: </w:t>
      </w:r>
      <w:r w:rsidRPr="00327967">
        <w:rPr>
          <w:rFonts w:ascii="Miriam" w:hAnsi="Miriam" w:cs="Miriam"/>
          <w:rtl/>
        </w:rPr>
        <w:t>נמדר</w:t>
      </w:r>
      <w:r w:rsidRPr="008721C2">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7071A0">
        <w:rPr>
          <w:rFonts w:ascii="David" w:hAnsi="David" w:cs="David"/>
          <w:rtl/>
        </w:rPr>
        <w:t xml:space="preserve">וביתר פירוט: בהפקעות מכוח החוק (כהגדרתו לעיל), בשלב הראשון מתפרסמת תוכנית המייעדת את הקרקע, כולה או חלקה, </w:t>
      </w:r>
      <w:r w:rsidRPr="007071A0">
        <w:rPr>
          <w:rFonts w:ascii="David" w:hAnsi="David" w:cs="David"/>
          <w:rtl/>
        </w:rPr>
        <w:t>לצורכי ציבור. כניסת התוכנית לתוקף מהווה תנאי בלבדי לביצו</w:t>
      </w:r>
      <w:r w:rsidRPr="007071A0">
        <w:rPr>
          <w:rFonts w:ascii="David" w:hAnsi="David" w:cs="David"/>
          <w:rtl/>
        </w:rPr>
        <w:t xml:space="preserve">ע ההפקעה, בהתאם להוראות </w:t>
      </w:r>
      <w:hyperlink r:id="rId16" w:history="1">
        <w:r w:rsidRPr="000A48E6" w:rsidR="000A48E6">
          <w:rPr>
            <w:rStyle w:val="Hyperlink"/>
            <w:rFonts w:ascii="David" w:hAnsi="David" w:cs="David"/>
            <w:rtl/>
          </w:rPr>
          <w:t>סעיף 189</w:t>
        </w:r>
      </w:hyperlink>
      <w:r w:rsidRPr="007071A0">
        <w:rPr>
          <w:rFonts w:ascii="David" w:hAnsi="David" w:cs="David"/>
          <w:rtl/>
        </w:rPr>
        <w:t xml:space="preserve"> לחוק. לרוב, עם פרסום התוכנית הפוגעת, פוחת שווי הקרקע, ובעליה זכאי לפיצוי בגין פגיעה זו לפי </w:t>
      </w:r>
      <w:hyperlink r:id="rId9" w:history="1">
        <w:r w:rsidRPr="000A48E6" w:rsidR="000A48E6">
          <w:rPr>
            <w:rStyle w:val="Hyperlink"/>
            <w:rFonts w:ascii="David" w:hAnsi="David" w:cs="David"/>
            <w:rtl/>
          </w:rPr>
          <w:t>סעיף 197</w:t>
        </w:r>
      </w:hyperlink>
      <w:r w:rsidRPr="007071A0">
        <w:rPr>
          <w:rFonts w:ascii="David" w:hAnsi="David" w:cs="David"/>
          <w:rtl/>
        </w:rPr>
        <w:t xml:space="preserve"> לחוק, בכפוף להוראות </w:t>
      </w:r>
      <w:hyperlink r:id="rId10" w:history="1">
        <w:r w:rsidRPr="000A48E6" w:rsidR="000A48E6">
          <w:rPr>
            <w:rStyle w:val="Hyperlink"/>
            <w:rFonts w:ascii="David" w:hAnsi="David" w:cs="David"/>
            <w:rtl/>
          </w:rPr>
          <w:t>סעיף 200</w:t>
        </w:r>
      </w:hyperlink>
      <w:r w:rsidRPr="007071A0">
        <w:rPr>
          <w:rFonts w:ascii="David" w:hAnsi="David" w:cs="David"/>
          <w:rtl/>
        </w:rPr>
        <w:t xml:space="preserve"> לחוק.</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97D11">
        <w:rPr>
          <w:rFonts w:ascii="David" w:hAnsi="David" w:cs="David"/>
          <w:rtl/>
        </w:rPr>
        <w:t xml:space="preserve">לכאורה, התשובה לשאלה כיצד יש להעריך את הפיצוי בגין פגיעה תכנונית פשוטה וברורה: הפיצוי הניתן לפי </w:t>
      </w:r>
      <w:hyperlink r:id="rId9" w:history="1">
        <w:r w:rsidRPr="000A48E6" w:rsidR="000A48E6">
          <w:rPr>
            <w:rStyle w:val="Hyperlink"/>
            <w:rFonts w:ascii="David" w:hAnsi="David" w:cs="David"/>
            <w:rtl/>
          </w:rPr>
          <w:t>סעיף 197</w:t>
        </w:r>
      </w:hyperlink>
      <w:r w:rsidRPr="00C97D11">
        <w:rPr>
          <w:rFonts w:ascii="David" w:hAnsi="David" w:cs="David"/>
          <w:rtl/>
        </w:rPr>
        <w:t xml:space="preserve"> לחוק נועד ל</w:t>
      </w:r>
      <w:r w:rsidRPr="00C97D11">
        <w:rPr>
          <w:rFonts w:ascii="David" w:hAnsi="David" w:cs="David"/>
          <w:rtl/>
        </w:rPr>
        <w:t>השיב את בעל המקרקעין למצב הכלכלי שבו היה מצוי אלמלא אירעה הפגיעה התכנונית, ולפצותו על הנזק שנגרם לו עקב כך</w:t>
      </w:r>
      <w:r w:rsidRPr="001F1C68">
        <w:rPr>
          <w:rFonts w:ascii="David" w:hAnsi="David" w:cs="David"/>
          <w:rtl/>
        </w:rPr>
        <w:t>.</w:t>
      </w:r>
      <w:r>
        <w:rPr>
          <w:rFonts w:ascii="David" w:hAnsi="David" w:cs="David"/>
          <w:rtl/>
        </w:rPr>
        <w:t xml:space="preserve"> </w:t>
      </w:r>
      <w:r w:rsidRPr="00C97D11">
        <w:rPr>
          <w:rFonts w:ascii="David" w:hAnsi="David" w:cs="David"/>
          <w:rtl/>
        </w:rPr>
        <w:t>לשם כך, יש לקבוע את ערך המקרקעין לפני אישור התוכנית הפוגעת ולהשוותו לערכם לאחר אישורה. התובע נדרש להוכיח כי שווי השוק של המקרקעין נפגע לעומת השווי ש</w:t>
      </w:r>
      <w:r w:rsidRPr="00C97D11">
        <w:rPr>
          <w:rFonts w:ascii="David" w:hAnsi="David" w:cs="David"/>
          <w:rtl/>
        </w:rPr>
        <w:t xml:space="preserve">היה להם, או עשוי היה להיות להם, אלמלא אושרה התוכנית הפוגעת. </w:t>
      </w:r>
      <w:r>
        <w:rPr>
          <w:rFonts w:ascii="David" w:hAnsi="David" w:cs="David"/>
          <w:rtl/>
        </w:rPr>
        <w:t>נוסף על כך</w:t>
      </w:r>
      <w:r w:rsidRPr="00C97D11">
        <w:rPr>
          <w:rFonts w:ascii="David" w:hAnsi="David" w:cs="David"/>
          <w:rtl/>
        </w:rPr>
        <w:t>, עליו להראות כי קיים קשר סיבתי ישיר בין התוכנית לבין הפגיעה</w:t>
      </w:r>
      <w:r>
        <w:rPr>
          <w:rFonts w:ascii="David" w:hAnsi="David" w:cs="David"/>
          <w:rtl/>
        </w:rPr>
        <w:t xml:space="preserve"> (ראו: </w:t>
      </w:r>
      <w:hyperlink r:id="rId17" w:history="1">
        <w:r w:rsidRPr="00EC305A" w:rsidR="00EC305A">
          <w:rPr>
            <w:rStyle w:val="Hyperlink"/>
            <w:rFonts w:ascii="David" w:hAnsi="David" w:cs="David"/>
            <w:rtl/>
          </w:rPr>
          <w:t>עע"ם 683/13</w:t>
        </w:r>
      </w:hyperlink>
      <w:r w:rsidRPr="001F1C68">
        <w:rPr>
          <w:rFonts w:ascii="David" w:hAnsi="David" w:cs="David"/>
          <w:rtl/>
        </w:rPr>
        <w:t xml:space="preserve"> </w:t>
      </w:r>
      <w:r w:rsidRPr="001F1C68">
        <w:rPr>
          <w:rFonts w:ascii="Miriam" w:hAnsi="Miriam" w:cs="Miriam"/>
          <w:rtl/>
        </w:rPr>
        <w:t>רשות שדות התעופה נ' טויטו</w:t>
      </w:r>
      <w:r w:rsidRPr="001F1C68">
        <w:rPr>
          <w:rFonts w:ascii="David" w:hAnsi="David" w:cs="David"/>
          <w:rtl/>
        </w:rPr>
        <w:t xml:space="preserve"> (</w:t>
      </w:r>
      <w:r>
        <w:rPr>
          <w:rFonts w:ascii="David" w:hAnsi="David" w:cs="David"/>
          <w:rtl/>
        </w:rPr>
        <w:t xml:space="preserve">נבו </w:t>
      </w:r>
      <w:r w:rsidRPr="001F1C68">
        <w:rPr>
          <w:rFonts w:ascii="David" w:hAnsi="David" w:cs="David"/>
          <w:rtl/>
        </w:rPr>
        <w:t>3.9.2015)</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E369E2">
        <w:rPr>
          <w:rFonts w:ascii="David" w:hAnsi="David" w:cs="David"/>
          <w:rtl/>
        </w:rPr>
        <w:t xml:space="preserve">דרישת הפגיעה </w:t>
      </w:r>
      <w:r w:rsidRPr="00E369E2">
        <w:rPr>
          <w:rFonts w:ascii="David" w:hAnsi="David" w:cs="David"/>
          <w:rtl/>
        </w:rPr>
        <w:t xml:space="preserve">מחייבת התקיימותם של הרכיב הקרקעי והרכיב הכלכלי גם יחד </w:t>
      </w:r>
      <w:r w:rsidRPr="00DE44AC">
        <w:rPr>
          <w:rFonts w:ascii="David" w:hAnsi="David" w:cs="David"/>
          <w:rtl/>
        </w:rPr>
        <w:t>(</w:t>
      </w:r>
      <w:hyperlink r:id="rId18" w:history="1">
        <w:r w:rsidRPr="00EC305A" w:rsidR="00EC305A">
          <w:rPr>
            <w:rStyle w:val="Hyperlink"/>
            <w:rFonts w:ascii="David" w:hAnsi="David" w:cs="David"/>
            <w:rtl/>
          </w:rPr>
          <w:t>בר"מ 5898/16</w:t>
        </w:r>
      </w:hyperlink>
      <w:r w:rsidRPr="00DE44AC">
        <w:rPr>
          <w:rFonts w:ascii="David" w:hAnsi="David" w:cs="David"/>
          <w:rtl/>
        </w:rPr>
        <w:t xml:space="preserve"> </w:t>
      </w:r>
      <w:r w:rsidRPr="00DE44AC">
        <w:rPr>
          <w:rFonts w:ascii="Miriam" w:hAnsi="Miriam" w:cs="Miriam"/>
          <w:rtl/>
        </w:rPr>
        <w:t xml:space="preserve">רומן ברג ואח' נ' הוועדה המקומית לתכנון ובניה ראשון לציון </w:t>
      </w:r>
      <w:r w:rsidRPr="00DE44AC">
        <w:rPr>
          <w:rFonts w:ascii="David" w:hAnsi="David" w:cs="David"/>
          <w:rtl/>
        </w:rPr>
        <w:t>(נבו 10.3.2020))</w:t>
      </w:r>
      <w:r>
        <w:rPr>
          <w:rFonts w:ascii="David" w:hAnsi="David" w:cs="David"/>
          <w:rtl/>
        </w:rPr>
        <w:t>,</w:t>
      </w:r>
      <w:r w:rsidRPr="000107A8">
        <w:rPr>
          <w:rFonts w:ascii="David" w:hAnsi="David" w:cs="David"/>
          <w:rtl/>
        </w:rPr>
        <w:t xml:space="preserve"> </w:t>
      </w:r>
      <w:r>
        <w:rPr>
          <w:rFonts w:ascii="David" w:hAnsi="David" w:cs="David"/>
          <w:rtl/>
        </w:rPr>
        <w:t>ו</w:t>
      </w:r>
      <w:r w:rsidRPr="00E369E2">
        <w:rPr>
          <w:rFonts w:ascii="David" w:hAnsi="David" w:cs="David"/>
          <w:rtl/>
        </w:rPr>
        <w:t xml:space="preserve">לצורך קביעת שיעור הפגיעה יש להביא בחשבון את השפעתם המצטברת של כלל הוראות התוכנית על ערך המקרקעין, תוך התחשבות הן בגורמים המשביחים והן בגורמים הפוגעים בשווייהם </w:t>
      </w:r>
      <w:r>
        <w:rPr>
          <w:rFonts w:ascii="David" w:hAnsi="David" w:cs="David"/>
          <w:rtl/>
        </w:rPr>
        <w:t>(</w:t>
      </w:r>
      <w:hyperlink r:id="rId19" w:history="1">
        <w:r w:rsidRPr="00EC305A" w:rsidR="00EC305A">
          <w:rPr>
            <w:rStyle w:val="Hyperlink"/>
            <w:rFonts w:ascii="David" w:hAnsi="David" w:cs="David"/>
            <w:rtl/>
          </w:rPr>
          <w:t>ע"א 600/89</w:t>
        </w:r>
      </w:hyperlink>
      <w:r w:rsidRPr="000107A8">
        <w:rPr>
          <w:rFonts w:ascii="David" w:hAnsi="David" w:cs="David"/>
          <w:rtl/>
        </w:rPr>
        <w:t xml:space="preserve"> </w:t>
      </w:r>
      <w:r w:rsidRPr="000107A8">
        <w:rPr>
          <w:rFonts w:ascii="Miriam" w:hAnsi="Miriam" w:cs="Miriam"/>
          <w:rtl/>
        </w:rPr>
        <w:t>גדעון וכרמלה בע"מ נ' הועדה המקומי</w:t>
      </w:r>
      <w:r w:rsidRPr="000107A8">
        <w:rPr>
          <w:rFonts w:ascii="Miriam" w:hAnsi="Miriam" w:cs="Miriam"/>
          <w:rtl/>
        </w:rPr>
        <w:t>ת לתכנון לבניה נתניה</w:t>
      </w:r>
      <w:r w:rsidRPr="000107A8">
        <w:rPr>
          <w:rFonts w:ascii="David" w:hAnsi="David" w:cs="David"/>
          <w:rtl/>
        </w:rPr>
        <w:t>, פ"ד מז(2), 402 (1993)</w:t>
      </w:r>
      <w:r>
        <w:rPr>
          <w:rFonts w:ascii="David" w:hAnsi="David" w:cs="David"/>
          <w:rtl/>
        </w:rPr>
        <w:t xml:space="preserve">; </w:t>
      </w:r>
      <w:hyperlink r:id="rId20" w:history="1">
        <w:r w:rsidRPr="00EC305A" w:rsidR="00EC305A">
          <w:rPr>
            <w:rStyle w:val="Hyperlink"/>
            <w:rFonts w:ascii="David" w:hAnsi="David" w:cs="David"/>
            <w:rtl/>
          </w:rPr>
          <w:t>ע"א 9749/03</w:t>
        </w:r>
      </w:hyperlink>
      <w:r w:rsidRPr="000107A8">
        <w:rPr>
          <w:rFonts w:ascii="David" w:hAnsi="David" w:cs="David"/>
          <w:rtl/>
        </w:rPr>
        <w:t xml:space="preserve"> </w:t>
      </w:r>
      <w:r w:rsidRPr="000107A8">
        <w:rPr>
          <w:rFonts w:ascii="Miriam" w:hAnsi="Miriam" w:cs="Miriam"/>
          <w:rtl/>
        </w:rPr>
        <w:t>הועדה המקומית לתכנון ובניה קרית אתא נ' יורם אליהו</w:t>
      </w:r>
      <w:r w:rsidRPr="000107A8">
        <w:rPr>
          <w:rFonts w:ascii="David" w:hAnsi="David" w:cs="David"/>
          <w:rtl/>
        </w:rPr>
        <w:t xml:space="preserve"> (נבו 22.8.2007)</w:t>
      </w:r>
      <w:r>
        <w:rPr>
          <w:rFonts w:ascii="David" w:hAnsi="David" w:cs="David"/>
          <w:rtl/>
        </w:rPr>
        <w:t xml:space="preserve">; </w:t>
      </w:r>
      <w:hyperlink r:id="rId21" w:history="1">
        <w:r w:rsidRPr="00EC305A" w:rsidR="00EC305A">
          <w:rPr>
            <w:rStyle w:val="Hyperlink"/>
            <w:rFonts w:ascii="David" w:hAnsi="David" w:cs="David"/>
            <w:rtl/>
          </w:rPr>
          <w:t>ע"א 589/87</w:t>
        </w:r>
      </w:hyperlink>
      <w:r w:rsidRPr="00F452D0">
        <w:rPr>
          <w:rFonts w:ascii="David" w:hAnsi="David" w:cs="David"/>
          <w:rtl/>
        </w:rPr>
        <w:t xml:space="preserve"> </w:t>
      </w:r>
      <w:r w:rsidRPr="00F452D0">
        <w:rPr>
          <w:rFonts w:ascii="Miriam" w:hAnsi="Miriam" w:cs="Miriam"/>
          <w:rtl/>
        </w:rPr>
        <w:t>בירנבוים נ' משרד ה</w:t>
      </w:r>
      <w:r w:rsidRPr="00F452D0">
        <w:rPr>
          <w:rFonts w:ascii="Miriam" w:hAnsi="Miriam" w:cs="Miriam"/>
          <w:rtl/>
        </w:rPr>
        <w:t>שיכון</w:t>
      </w:r>
      <w:r w:rsidRPr="00F452D0">
        <w:rPr>
          <w:rFonts w:ascii="David" w:hAnsi="David" w:cs="David"/>
          <w:rtl/>
        </w:rPr>
        <w:t>, פ"ד מט(1) 625, 638 (1995)</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8F63C3">
        <w:rPr>
          <w:rFonts w:ascii="David" w:hAnsi="David" w:cs="David"/>
          <w:rtl/>
        </w:rPr>
        <w:t>כימות הפיצוי נעשה לרוב בהתאם לעקרון ההשוואה או לעקרון שווי השוק, שלפיו יש לבחון את שווי המקרקעין על בסיס עסקאות שבוצעו במקרקעין דומים, בהתאם לשימוש המיטבי שניתן לעשות בהם</w:t>
      </w:r>
      <w:r>
        <w:rPr>
          <w:rFonts w:ascii="David" w:hAnsi="David" w:cs="David"/>
          <w:rtl/>
        </w:rPr>
        <w:t>,</w:t>
      </w:r>
      <w:r w:rsidRPr="008F63C3">
        <w:rPr>
          <w:rFonts w:ascii="David" w:hAnsi="David" w:cs="David"/>
          <w:rtl/>
        </w:rPr>
        <w:t xml:space="preserve"> כלומר השימוש החוקי שיניב את הערך הגבוה ביותר</w:t>
      </w:r>
      <w:r>
        <w:rPr>
          <w:rFonts w:ascii="David" w:hAnsi="David" w:cs="David"/>
          <w:rtl/>
        </w:rPr>
        <w:t xml:space="preserve"> </w:t>
      </w:r>
      <w:r w:rsidRPr="00327967">
        <w:rPr>
          <w:rFonts w:ascii="David" w:hAnsi="David" w:cs="David"/>
          <w:rtl/>
        </w:rPr>
        <w:t>(</w:t>
      </w:r>
      <w:hyperlink r:id="rId22" w:history="1">
        <w:r w:rsidRPr="00EC305A" w:rsidR="00EC305A">
          <w:rPr>
            <w:rStyle w:val="Hyperlink"/>
            <w:rFonts w:ascii="David" w:hAnsi="David" w:cs="David"/>
            <w:rtl/>
          </w:rPr>
          <w:t>ע"א 8937/08</w:t>
        </w:r>
      </w:hyperlink>
      <w:r w:rsidR="00EC305A">
        <w:rPr>
          <w:rFonts w:ascii="David" w:hAnsi="David" w:cs="David"/>
        </w:rPr>
        <w:t xml:space="preserve"> </w:t>
      </w:r>
      <w:r w:rsidRPr="00F37DA3">
        <w:rPr>
          <w:rFonts w:ascii="Miriam" w:hAnsi="Miriam" w:cs="Miriam"/>
          <w:rtl/>
        </w:rPr>
        <w:t>מנהל מקרקעי ישראל נ' סלים מוחמד חביב אללה ואח'</w:t>
      </w:r>
      <w:r>
        <w:rPr>
          <w:rFonts w:ascii="David" w:hAnsi="David" w:cs="David"/>
          <w:rtl/>
        </w:rPr>
        <w:t xml:space="preserve"> (נבו </w:t>
      </w:r>
      <w:r w:rsidRPr="00693DF3">
        <w:rPr>
          <w:rFonts w:ascii="David" w:hAnsi="David" w:cs="David"/>
          <w:rtl/>
        </w:rPr>
        <w:t>1.12.</w:t>
      </w:r>
      <w:r>
        <w:rPr>
          <w:rFonts w:ascii="David" w:hAnsi="David" w:cs="David"/>
          <w:rtl/>
        </w:rPr>
        <w:t>2011</w:t>
      </w:r>
      <w:r>
        <w:rPr>
          <w:rFonts w:ascii="David" w:hAnsi="David" w:cs="David"/>
          <w:color w:val="000000"/>
          <w:sz w:val="26"/>
          <w:szCs w:val="26"/>
          <w:shd w:val="clear" w:color="auto" w:fill="FFFFFF"/>
          <w:rtl/>
        </w:rPr>
        <w:t>);</w:t>
      </w:r>
      <w:r>
        <w:rPr>
          <w:rFonts w:ascii="David" w:hAnsi="David" w:cs="David"/>
          <w:rtl/>
        </w:rPr>
        <w:t xml:space="preserve"> </w:t>
      </w:r>
      <w:r w:rsidRPr="004E4C5F">
        <w:rPr>
          <w:rFonts w:ascii="Miriam" w:hAnsi="Miriam" w:cs="Miriam"/>
          <w:rtl/>
        </w:rPr>
        <w:t>נמדר</w:t>
      </w:r>
      <w:r w:rsidRPr="00327967">
        <w:rPr>
          <w:rFonts w:ascii="David" w:hAnsi="David" w:cs="David"/>
          <w:rtl/>
        </w:rPr>
        <w:t>, בעמ' 228-229)</w:t>
      </w:r>
      <w:r>
        <w:rPr>
          <w:rFonts w:ascii="David" w:hAnsi="David" w:cs="David"/>
          <w:rtl/>
        </w:rPr>
        <w:t>).</w:t>
      </w:r>
    </w:p>
    <w:p w:rsidR="007E0DC7" w:rsidRPr="007929F8" w:rsidP="007929F8">
      <w:pPr>
        <w:pStyle w:val="Ruller4"/>
        <w:numPr>
          <w:ilvl w:val="0"/>
          <w:numId w:val="31"/>
        </w:numPr>
        <w:tabs>
          <w:tab w:val="clear" w:pos="454"/>
          <w:tab w:val="clear" w:pos="800"/>
          <w:tab w:val="num" w:pos="1361"/>
        </w:tabs>
        <w:spacing w:before="240" w:after="240"/>
        <w:rPr>
          <w:rFonts w:ascii="David" w:hAnsi="David" w:cs="David"/>
        </w:rPr>
      </w:pPr>
      <w:r w:rsidRPr="008F63C3">
        <w:rPr>
          <w:rFonts w:ascii="David" w:hAnsi="David" w:cs="David"/>
          <w:rtl/>
        </w:rPr>
        <w:t>בשלב השני</w:t>
      </w:r>
      <w:r>
        <w:rPr>
          <w:rFonts w:ascii="David" w:hAnsi="David" w:cs="David"/>
          <w:rtl/>
        </w:rPr>
        <w:t xml:space="preserve">, </w:t>
      </w:r>
      <w:r w:rsidRPr="008F63C3">
        <w:rPr>
          <w:rFonts w:ascii="David" w:hAnsi="David" w:cs="David"/>
          <w:rtl/>
        </w:rPr>
        <w:t>אשר עשוי להתרחש זמן רב לאחר השלב הראשון</w:t>
      </w:r>
      <w:r>
        <w:rPr>
          <w:rFonts w:ascii="David" w:hAnsi="David" w:cs="David"/>
          <w:rtl/>
        </w:rPr>
        <w:t>,</w:t>
      </w:r>
      <w:r w:rsidRPr="008F63C3">
        <w:rPr>
          <w:rFonts w:ascii="David" w:hAnsi="David" w:cs="David"/>
          <w:rtl/>
        </w:rPr>
        <w:t xml:space="preserve"> תופסת </w:t>
      </w:r>
      <w:r>
        <w:rPr>
          <w:rFonts w:ascii="David" w:hAnsi="David" w:cs="David"/>
          <w:rtl/>
        </w:rPr>
        <w:t>הרשות המפקיעה</w:t>
      </w:r>
      <w:r w:rsidRPr="008F63C3">
        <w:rPr>
          <w:rFonts w:ascii="David" w:hAnsi="David" w:cs="David"/>
          <w:rtl/>
        </w:rPr>
        <w:t xml:space="preserve"> חזקה בקרקע ומבצעת את ההפקעה בפועל. בשלב זה קמה לבעל הקרקע זכות לפיצוי בגין ההפקעה עצמה, להבדיל מהפיצוי בגין הפגיעה בשווי הקרקע עקב שינוי הייעוד, אשר הזכות לו קמה עם פרסום התוכנית. הפיצוי בגין ההפקעה מחושב בהתאם לייעוד הקרקע בעת מסירת החזקה, כלומר, לאחר שי</w:t>
      </w:r>
      <w:r w:rsidRPr="008F63C3">
        <w:rPr>
          <w:rFonts w:ascii="David" w:hAnsi="David" w:cs="David"/>
          <w:rtl/>
        </w:rPr>
        <w:t xml:space="preserve">נוי ייעודה לצורכי ציבור </w:t>
      </w:r>
      <w:r>
        <w:rPr>
          <w:rFonts w:ascii="David" w:hAnsi="David" w:cs="David"/>
          <w:rtl/>
        </w:rPr>
        <w:t>(</w:t>
      </w:r>
      <w:hyperlink r:id="rId23" w:history="1">
        <w:r w:rsidRPr="00EC305A" w:rsidR="00EC305A">
          <w:rPr>
            <w:rStyle w:val="Hyperlink"/>
            <w:rFonts w:ascii="David" w:hAnsi="David" w:cs="David"/>
            <w:rtl/>
          </w:rPr>
          <w:t>ע"א 8622/07</w:t>
        </w:r>
      </w:hyperlink>
      <w:r w:rsidRPr="00895E77">
        <w:rPr>
          <w:rFonts w:ascii="David" w:hAnsi="David" w:cs="David"/>
          <w:rtl/>
        </w:rPr>
        <w:t xml:space="preserve"> </w:t>
      </w:r>
      <w:r w:rsidRPr="00895E77">
        <w:rPr>
          <w:rFonts w:ascii="Miriam" w:hAnsi="Miriam" w:cs="Miriam"/>
          <w:rtl/>
        </w:rPr>
        <w:t>אהוד רוטמן נ' מע"צ החברה הלאומית לדרכים בישראל בע"מ</w:t>
      </w:r>
      <w:r w:rsidRPr="00895E77">
        <w:rPr>
          <w:rFonts w:ascii="David" w:hAnsi="David" w:cs="David"/>
          <w:rtl/>
        </w:rPr>
        <w:t xml:space="preserve"> (נבו 14.5.2012)</w:t>
      </w:r>
      <w:r>
        <w:rPr>
          <w:rFonts w:ascii="David" w:hAnsi="David" w:cs="David"/>
          <w:rtl/>
        </w:rPr>
        <w:t>), ומטרתו היא</w:t>
      </w:r>
      <w:r w:rsidRPr="00381FFF">
        <w:rPr>
          <w:rFonts w:ascii="David" w:hAnsi="David" w:cs="David"/>
          <w:rtl/>
        </w:rPr>
        <w:t xml:space="preserve"> היא להעמיד את בעל הזכות במקרקעין במצב הכספי שבו היה עומד אלמלא ההפקעה</w:t>
      </w:r>
      <w:r>
        <w:rPr>
          <w:rFonts w:ascii="David" w:hAnsi="David" w:cs="David"/>
          <w:rtl/>
        </w:rPr>
        <w:t xml:space="preserve"> (</w:t>
      </w:r>
      <w:hyperlink r:id="rId24" w:history="1">
        <w:r w:rsidRPr="00EC305A" w:rsidR="00EC305A">
          <w:rPr>
            <w:rStyle w:val="Hyperlink"/>
            <w:rFonts w:ascii="David" w:hAnsi="David" w:cs="David"/>
            <w:rtl/>
          </w:rPr>
          <w:t>ע"א 935/24</w:t>
        </w:r>
      </w:hyperlink>
      <w:r w:rsidRPr="00381FFF">
        <w:rPr>
          <w:rFonts w:ascii="David" w:hAnsi="David" w:cs="David"/>
          <w:rtl/>
        </w:rPr>
        <w:t xml:space="preserve"> </w:t>
      </w:r>
      <w:r w:rsidRPr="00381FFF">
        <w:rPr>
          <w:rFonts w:ascii="Miriam" w:hAnsi="Miriam" w:cs="Miriam"/>
          <w:rtl/>
        </w:rPr>
        <w:t>מדינת ישראל-רשות הפיתוח רשות מקרקעי ישראל נ' שפיק ג'רוס</w:t>
      </w:r>
      <w:r w:rsidRPr="00381FFF">
        <w:rPr>
          <w:rFonts w:ascii="David" w:hAnsi="David" w:cs="David"/>
          <w:rtl/>
        </w:rPr>
        <w:t xml:space="preserve"> (נבו 14.7.2025)</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6606A">
        <w:rPr>
          <w:rFonts w:ascii="David" w:hAnsi="David" w:cs="David"/>
          <w:rtl/>
        </w:rPr>
        <w:t>יישום עקרונות אלה על נסיבות המקרה שלפנינו מוביל למסקנה כי אין להכיר בראש נזק נטען בגין פגיעה במחוברים. כפי שצוין, הפגיעה בענייננו נובעת</w:t>
      </w:r>
      <w:r w:rsidRPr="00C6606A">
        <w:rPr>
          <w:rFonts w:ascii="David" w:hAnsi="David" w:cs="David"/>
          <w:rtl/>
        </w:rPr>
        <w:t xml:space="preserve"> מאישורה של תת"ל 31, אשר גרמה לשינוי ייעוד של החלק המזרחי בחלקות העוררים – חלק עורפי המשמש כחצר</w:t>
      </w:r>
      <w:r>
        <w:rPr>
          <w:rFonts w:ascii="David" w:hAnsi="David" w:cs="David"/>
          <w:rtl/>
        </w:rPr>
        <w:t xml:space="preserve">, </w:t>
      </w:r>
      <w:r w:rsidRPr="00C6606A">
        <w:rPr>
          <w:rFonts w:ascii="David" w:hAnsi="David" w:cs="David"/>
          <w:rtl/>
        </w:rPr>
        <w:t>לייעוד לדרך. שינוי זה אינו משליך באופן ישיר על המחוברים</w:t>
      </w:r>
      <w:r>
        <w:rPr>
          <w:rFonts w:ascii="David" w:hAnsi="David" w:cs="David"/>
          <w:rtl/>
        </w:rPr>
        <w:t xml:space="preserve"> (במקרה זה מבני המגורים הקיימים)</w:t>
      </w:r>
      <w:r w:rsidRPr="00C6606A">
        <w:rPr>
          <w:rFonts w:ascii="David" w:hAnsi="David" w:cs="David"/>
          <w:rtl/>
        </w:rPr>
        <w:t xml:space="preserve">, ושווים, אשר נגזר מעלות הקמתם </w:t>
      </w:r>
      <w:r w:rsidRPr="007A4A86">
        <w:rPr>
          <w:rFonts w:ascii="David" w:hAnsi="David" w:cs="David"/>
          <w:rtl/>
        </w:rPr>
        <w:t>בניכוי פחת לפי</w:t>
      </w:r>
      <w:r>
        <w:rPr>
          <w:rFonts w:ascii="David" w:hAnsi="David" w:cs="David"/>
          <w:rtl/>
        </w:rPr>
        <w:t xml:space="preserve"> </w:t>
      </w:r>
      <w:r w:rsidRPr="00C6606A">
        <w:rPr>
          <w:rFonts w:ascii="David" w:hAnsi="David" w:cs="David"/>
          <w:rtl/>
        </w:rPr>
        <w:t xml:space="preserve">אורך </w:t>
      </w:r>
      <w:r>
        <w:rPr>
          <w:rFonts w:ascii="David" w:hAnsi="David" w:cs="David"/>
          <w:rtl/>
        </w:rPr>
        <w:t>"</w:t>
      </w:r>
      <w:r w:rsidRPr="00C6606A">
        <w:rPr>
          <w:rFonts w:ascii="David" w:hAnsi="David" w:cs="David"/>
          <w:rtl/>
        </w:rPr>
        <w:t>חייהם הכלכליים</w:t>
      </w:r>
      <w:r>
        <w:rPr>
          <w:rFonts w:ascii="David" w:hAnsi="David" w:cs="David"/>
          <w:rtl/>
        </w:rPr>
        <w:t>"</w:t>
      </w:r>
      <w:r w:rsidRPr="00C6606A">
        <w:rPr>
          <w:rFonts w:ascii="David" w:hAnsi="David" w:cs="David"/>
          <w:rtl/>
        </w:rPr>
        <w:t xml:space="preserve">, </w:t>
      </w:r>
      <w:r w:rsidRPr="00C6606A">
        <w:rPr>
          <w:rFonts w:ascii="David" w:hAnsi="David" w:cs="David"/>
          <w:rtl/>
        </w:rPr>
        <w:t>נותר בעינו בשני מצבי התכנון</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353FB">
        <w:rPr>
          <w:rFonts w:ascii="David" w:hAnsi="David" w:cs="David"/>
          <w:rtl/>
        </w:rPr>
        <w:t xml:space="preserve">במובן זה, אף אם נניח כי השימוש במחוברים כיום נחות ביחס לשימוש שניתן היה לעשות בהם </w:t>
      </w:r>
      <w:r>
        <w:rPr>
          <w:rFonts w:ascii="David" w:hAnsi="David" w:cs="David"/>
          <w:rtl/>
        </w:rPr>
        <w:t>טרם</w:t>
      </w:r>
      <w:r w:rsidRPr="004353FB">
        <w:rPr>
          <w:rFonts w:ascii="David" w:hAnsi="David" w:cs="David"/>
          <w:rtl/>
        </w:rPr>
        <w:t xml:space="preserve"> אישורה של תת"ל 31</w:t>
      </w:r>
      <w:r>
        <w:rPr>
          <w:rFonts w:ascii="David" w:hAnsi="David" w:cs="David"/>
          <w:rtl/>
        </w:rPr>
        <w:t>,</w:t>
      </w:r>
      <w:r w:rsidRPr="004353FB">
        <w:rPr>
          <w:rFonts w:ascii="David" w:hAnsi="David" w:cs="David"/>
          <w:rtl/>
        </w:rPr>
        <w:t xml:space="preserve"> למשל, עקב צמצום שטח החצר או עלייה בזיהום האוויר</w:t>
      </w:r>
      <w:r>
        <w:rPr>
          <w:rFonts w:ascii="David" w:hAnsi="David" w:cs="David"/>
          <w:rtl/>
        </w:rPr>
        <w:t>,</w:t>
      </w:r>
      <w:r w:rsidRPr="004353FB">
        <w:rPr>
          <w:rFonts w:ascii="David" w:hAnsi="David" w:cs="David"/>
          <w:rtl/>
        </w:rPr>
        <w:t xml:space="preserve"> אין בכך כדי להשפיע על ערכם העצמאי של המחוברים</w:t>
      </w:r>
      <w:r>
        <w:rPr>
          <w:rFonts w:ascii="David" w:hAnsi="David" w:cs="David"/>
          <w:rtl/>
        </w:rPr>
        <w:t xml:space="preserve"> שכן לא ניתן להצביע על </w:t>
      </w:r>
      <w:r w:rsidRPr="003F3A07">
        <w:rPr>
          <w:rFonts w:ascii="David" w:hAnsi="David" w:cs="David"/>
          <w:rtl/>
        </w:rPr>
        <w:t>שינו</w:t>
      </w:r>
      <w:r w:rsidRPr="003F3A07">
        <w:rPr>
          <w:rFonts w:ascii="David" w:hAnsi="David" w:cs="David"/>
          <w:rtl/>
        </w:rPr>
        <w:t xml:space="preserve">י </w:t>
      </w:r>
      <w:r>
        <w:rPr>
          <w:rFonts w:ascii="David" w:hAnsi="David" w:cs="David"/>
          <w:rtl/>
        </w:rPr>
        <w:t>בשימוש, ב</w:t>
      </w:r>
      <w:r w:rsidRPr="003F3A07">
        <w:rPr>
          <w:rFonts w:ascii="David" w:hAnsi="David" w:cs="David"/>
          <w:rtl/>
        </w:rPr>
        <w:t>תפקוד</w:t>
      </w:r>
      <w:r>
        <w:rPr>
          <w:rFonts w:ascii="David" w:hAnsi="David" w:cs="David"/>
          <w:rtl/>
        </w:rPr>
        <w:t xml:space="preserve"> או ב</w:t>
      </w:r>
      <w:r w:rsidRPr="003F3A07">
        <w:rPr>
          <w:rFonts w:ascii="David" w:hAnsi="David" w:cs="David"/>
          <w:rtl/>
        </w:rPr>
        <w:t xml:space="preserve">אורך </w:t>
      </w:r>
      <w:r>
        <w:rPr>
          <w:rFonts w:ascii="David" w:hAnsi="David" w:cs="David"/>
          <w:rtl/>
        </w:rPr>
        <w:t>ה</w:t>
      </w:r>
      <w:r w:rsidRPr="003F3A07">
        <w:rPr>
          <w:rFonts w:ascii="David" w:hAnsi="David" w:cs="David"/>
          <w:rtl/>
        </w:rPr>
        <w:t>חיים</w:t>
      </w:r>
      <w:r>
        <w:rPr>
          <w:rFonts w:ascii="David" w:hAnsi="David" w:cs="David"/>
          <w:rtl/>
        </w:rPr>
        <w:t xml:space="preserve"> של המבנה עצמו</w:t>
      </w:r>
      <w:r w:rsidRPr="004353FB">
        <w:rPr>
          <w:rFonts w:ascii="David" w:hAnsi="David" w:cs="David"/>
          <w:rtl/>
        </w:rPr>
        <w:t>. ההשפעה, ככל שישנה, נוגעת ל</w:t>
      </w:r>
      <w:r>
        <w:rPr>
          <w:rFonts w:ascii="David" w:hAnsi="David" w:cs="David"/>
          <w:rtl/>
        </w:rPr>
        <w:t>תכונות הקרקע עצמה – ולא ל</w:t>
      </w:r>
      <w:r w:rsidRPr="004353FB">
        <w:rPr>
          <w:rFonts w:ascii="David" w:hAnsi="David" w:cs="David"/>
          <w:rtl/>
        </w:rPr>
        <w:t>תכונות המחוברים</w:t>
      </w:r>
      <w:r>
        <w:rPr>
          <w:rFonts w:ascii="David" w:hAnsi="David" w:cs="David"/>
          <w:rtl/>
        </w:rPr>
        <w:t>, ומשכך ההתייחסות אליה נעשית במסגרת הערכת שווי</w:t>
      </w:r>
      <w:r w:rsidRPr="004353FB">
        <w:rPr>
          <w:rFonts w:ascii="David" w:hAnsi="David" w:cs="David"/>
          <w:rtl/>
        </w:rPr>
        <w:t xml:space="preserve"> הקרקע</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BA12D7">
        <w:rPr>
          <w:rFonts w:ascii="David" w:hAnsi="David" w:cs="David"/>
          <w:rtl/>
        </w:rPr>
        <w:t xml:space="preserve">נדגים זאת כך: נניח כי על חלקה </w:t>
      </w:r>
      <w:r w:rsidRPr="00BA12D7">
        <w:rPr>
          <w:rFonts w:ascii="David" w:hAnsi="David" w:cs="David"/>
        </w:rPr>
        <w:t>X</w:t>
      </w:r>
      <w:r w:rsidRPr="00BA12D7">
        <w:rPr>
          <w:rFonts w:ascii="David" w:hAnsi="David" w:cs="David"/>
          <w:rtl/>
        </w:rPr>
        <w:t xml:space="preserve"> ששטחה 100 מ"ר הוקם מבנה בעלות של 100 ש"ח, כאשר עלות זו מש</w:t>
      </w:r>
      <w:r w:rsidRPr="00BA12D7">
        <w:rPr>
          <w:rFonts w:ascii="David" w:hAnsi="David" w:cs="David"/>
          <w:rtl/>
        </w:rPr>
        <w:t>קפת את שווי</w:t>
      </w:r>
      <w:r>
        <w:rPr>
          <w:rFonts w:ascii="David" w:hAnsi="David" w:cs="David"/>
          <w:rtl/>
        </w:rPr>
        <w:t xml:space="preserve"> המבנה</w:t>
      </w:r>
      <w:r w:rsidRPr="00BA12D7">
        <w:rPr>
          <w:rFonts w:ascii="David" w:hAnsi="David" w:cs="David"/>
          <w:rtl/>
        </w:rPr>
        <w:t xml:space="preserve"> </w:t>
      </w:r>
      <w:r w:rsidRPr="00BA12D7">
        <w:rPr>
          <w:rFonts w:ascii="David" w:hAnsi="David" w:cs="David"/>
          <w:rtl/>
        </w:rPr>
        <w:t>מבחינת רמת הבנייה</w:t>
      </w:r>
      <w:r>
        <w:rPr>
          <w:rFonts w:ascii="David" w:hAnsi="David" w:cs="David"/>
          <w:rtl/>
        </w:rPr>
        <w:t xml:space="preserve">, </w:t>
      </w:r>
      <w:r w:rsidRPr="00BA12D7">
        <w:rPr>
          <w:rFonts w:ascii="David" w:hAnsi="David" w:cs="David"/>
          <w:rtl/>
        </w:rPr>
        <w:t xml:space="preserve">איכות חומרי הבנייה ואיכות הביצוע. כעת נניח כי על חלקה </w:t>
      </w:r>
      <w:r w:rsidRPr="00BA12D7">
        <w:rPr>
          <w:rFonts w:ascii="David" w:hAnsi="David" w:cs="David"/>
        </w:rPr>
        <w:t>Y</w:t>
      </w:r>
      <w:r w:rsidRPr="00BA12D7">
        <w:rPr>
          <w:rFonts w:ascii="David" w:hAnsi="David" w:cs="David"/>
          <w:rtl/>
        </w:rPr>
        <w:t xml:space="preserve">, ששטחה 80 מ"ר, הוקם במקביל מבנה זהה בעלות זהה של 100 ש"ח. האם ניתן לטעון כי שווי המבנה בחלקה </w:t>
      </w:r>
      <w:r w:rsidRPr="00BA12D7">
        <w:rPr>
          <w:rFonts w:ascii="David" w:hAnsi="David" w:cs="David"/>
        </w:rPr>
        <w:t>Y</w:t>
      </w:r>
      <w:r w:rsidRPr="00BA12D7">
        <w:rPr>
          <w:rFonts w:ascii="David" w:hAnsi="David" w:cs="David"/>
          <w:rtl/>
        </w:rPr>
        <w:t xml:space="preserve"> נמוך יותר משוויו של המבנה בחלקה </w:t>
      </w:r>
      <w:r w:rsidRPr="00BA12D7">
        <w:rPr>
          <w:rFonts w:ascii="David" w:hAnsi="David" w:cs="David"/>
        </w:rPr>
        <w:t>X</w:t>
      </w:r>
      <w:r w:rsidRPr="00BA12D7">
        <w:rPr>
          <w:rFonts w:ascii="David" w:hAnsi="David" w:cs="David"/>
          <w:rtl/>
        </w:rPr>
        <w:t>? לטעמנו, התשובה שלילית. מדובר באות</w:t>
      </w:r>
      <w:r w:rsidRPr="00BA12D7">
        <w:rPr>
          <w:rFonts w:ascii="David" w:hAnsi="David" w:cs="David"/>
          <w:rtl/>
        </w:rPr>
        <w:t>ו מבנה, שנבנה בעלות זהה וברמת ביצוע זהה, ולפיכך שוויו, במנותק מהקרקע, זהה</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BA12D7">
        <w:rPr>
          <w:rFonts w:ascii="David" w:hAnsi="David" w:cs="David"/>
          <w:rtl/>
        </w:rPr>
        <w:t xml:space="preserve">עתה נוסיף לדוגמה נתון נוסף, שלפיו חלקה </w:t>
      </w:r>
      <w:r w:rsidRPr="00BA12D7">
        <w:rPr>
          <w:rFonts w:ascii="David" w:hAnsi="David" w:cs="David"/>
        </w:rPr>
        <w:t>Y</w:t>
      </w:r>
      <w:r w:rsidRPr="00BA12D7">
        <w:rPr>
          <w:rFonts w:ascii="David" w:hAnsi="David" w:cs="David"/>
          <w:rtl/>
        </w:rPr>
        <w:t xml:space="preserve"> סובלת ממפגעי רעש שאינם קיימים בחלקה </w:t>
      </w:r>
      <w:r w:rsidRPr="00BA12D7">
        <w:rPr>
          <w:rFonts w:ascii="David" w:hAnsi="David" w:cs="David"/>
        </w:rPr>
        <w:t>X</w:t>
      </w:r>
      <w:r w:rsidRPr="00BA12D7">
        <w:rPr>
          <w:rFonts w:ascii="David" w:hAnsi="David" w:cs="David"/>
          <w:rtl/>
        </w:rPr>
        <w:t>. האם נתון זה משנה את המסקנה שלפיה שווי המבנים זהה? לטעמנו, גם כאן התשובה שלילית. מדובר באותו מבנה, שנב</w:t>
      </w:r>
      <w:r w:rsidRPr="00BA12D7">
        <w:rPr>
          <w:rFonts w:ascii="David" w:hAnsi="David" w:cs="David"/>
          <w:rtl/>
        </w:rPr>
        <w:t>נה בעלות זהה וברמת איכות זהה, ולכן שוויו כשלעצמו לא השתנה. אם קיימת השפעה כלשהי על ערך הנכס הכולל, הרי שהיא נובעת מתכונות הקרקע</w:t>
      </w:r>
      <w:r>
        <w:rPr>
          <w:rFonts w:ascii="David" w:hAnsi="David" w:cs="David"/>
          <w:rtl/>
        </w:rPr>
        <w:t>,</w:t>
      </w:r>
      <w:r w:rsidRPr="00BA12D7">
        <w:rPr>
          <w:rFonts w:ascii="David" w:hAnsi="David" w:cs="David"/>
          <w:rtl/>
        </w:rPr>
        <w:t xml:space="preserve"> ובפרט מקרבתה למקור הרעש – ולא </w:t>
      </w:r>
      <w:r>
        <w:rPr>
          <w:rFonts w:ascii="David" w:hAnsi="David" w:cs="David"/>
          <w:rtl/>
        </w:rPr>
        <w:t>משינוי ב</w:t>
      </w:r>
      <w:r w:rsidRPr="00BA12D7">
        <w:rPr>
          <w:rFonts w:ascii="David" w:hAnsi="David" w:cs="David"/>
          <w:rtl/>
        </w:rPr>
        <w:t>תכונות המבנה. בהתאם לכך, הפגיעה היא במקרקעין ולא במחוברים</w:t>
      </w:r>
      <w:r>
        <w:rPr>
          <w:rFonts w:ascii="David" w:hAnsi="David" w:cs="David"/>
          <w:rtl/>
        </w:rPr>
        <w:t>.</w:t>
      </w:r>
    </w:p>
    <w:p w:rsidR="007E0DC7" w:rsidP="00F97E91">
      <w:pPr>
        <w:pStyle w:val="Ruller4"/>
        <w:numPr>
          <w:ilvl w:val="0"/>
          <w:numId w:val="31"/>
        </w:numPr>
        <w:tabs>
          <w:tab w:val="clear" w:pos="454"/>
          <w:tab w:val="clear" w:pos="800"/>
          <w:tab w:val="num" w:pos="1361"/>
        </w:tabs>
        <w:spacing w:before="240" w:after="240"/>
        <w:rPr>
          <w:rFonts w:ascii="David" w:hAnsi="David" w:cs="David"/>
        </w:rPr>
      </w:pPr>
      <w:r w:rsidRPr="00F97E91">
        <w:rPr>
          <w:rFonts w:ascii="David" w:hAnsi="David" w:cs="David"/>
          <w:rtl/>
        </w:rPr>
        <w:t xml:space="preserve">דוגמאות אלה יש לקרוא </w:t>
      </w:r>
      <w:r>
        <w:rPr>
          <w:rFonts w:ascii="David" w:hAnsi="David" w:cs="David"/>
          <w:rtl/>
        </w:rPr>
        <w:t>בהקשר של</w:t>
      </w:r>
      <w:r w:rsidRPr="00F97E91">
        <w:rPr>
          <w:rFonts w:ascii="David" w:hAnsi="David" w:cs="David"/>
          <w:rtl/>
        </w:rPr>
        <w:t xml:space="preserve"> </w:t>
      </w:r>
      <w:r w:rsidRPr="00F97E91">
        <w:rPr>
          <w:rFonts w:ascii="David" w:hAnsi="David" w:cs="David"/>
          <w:rtl/>
        </w:rPr>
        <w:t>נסיבות המקרה</w:t>
      </w:r>
      <w:r>
        <w:rPr>
          <w:rFonts w:ascii="David" w:hAnsi="David" w:cs="David"/>
          <w:rtl/>
        </w:rPr>
        <w:t>,</w:t>
      </w:r>
      <w:r w:rsidRPr="00F97E91">
        <w:rPr>
          <w:rFonts w:ascii="David" w:hAnsi="David" w:cs="David"/>
          <w:rtl/>
        </w:rPr>
        <w:t xml:space="preserve"> </w:t>
      </w:r>
      <w:r>
        <w:rPr>
          <w:rFonts w:ascii="David" w:hAnsi="David" w:cs="David"/>
          <w:rtl/>
        </w:rPr>
        <w:t>ובמובן זה</w:t>
      </w:r>
      <w:r w:rsidRPr="00F97E91">
        <w:rPr>
          <w:rFonts w:ascii="David" w:hAnsi="David" w:cs="David"/>
          <w:rtl/>
        </w:rPr>
        <w:t xml:space="preserve"> ראוי להבהיר כי בגישת ההשוואה, בה נקטו הצדדים והשמאית המייעצת, לא </w:t>
      </w:r>
      <w:r>
        <w:rPr>
          <w:rFonts w:ascii="David" w:hAnsi="David" w:cs="David"/>
          <w:rtl/>
        </w:rPr>
        <w:t>מעריכים</w:t>
      </w:r>
      <w:r w:rsidRPr="00F97E91">
        <w:rPr>
          <w:rFonts w:ascii="David" w:hAnsi="David" w:cs="David"/>
          <w:rtl/>
        </w:rPr>
        <w:t xml:space="preserve"> </w:t>
      </w:r>
      <w:r>
        <w:rPr>
          <w:rFonts w:ascii="David" w:hAnsi="David" w:cs="David"/>
          <w:rtl/>
        </w:rPr>
        <w:t>את</w:t>
      </w:r>
      <w:r w:rsidRPr="00F97E91">
        <w:rPr>
          <w:rFonts w:ascii="David" w:hAnsi="David" w:cs="David"/>
          <w:rtl/>
        </w:rPr>
        <w:t xml:space="preserve"> עלות המחוברים, אלא </w:t>
      </w:r>
      <w:r>
        <w:rPr>
          <w:rFonts w:ascii="David" w:hAnsi="David" w:cs="David"/>
          <w:rtl/>
        </w:rPr>
        <w:t>את</w:t>
      </w:r>
      <w:r w:rsidRPr="00F97E91">
        <w:rPr>
          <w:rFonts w:ascii="David" w:hAnsi="David" w:cs="David"/>
          <w:rtl/>
        </w:rPr>
        <w:t xml:space="preserve"> שווי תרומתם (</w:t>
      </w:r>
      <w:r w:rsidRPr="00F97E91">
        <w:rPr>
          <w:rFonts w:ascii="David" w:hAnsi="David" w:cs="David"/>
        </w:rPr>
        <w:t>contributory value</w:t>
      </w:r>
      <w:r w:rsidRPr="00F97E91">
        <w:rPr>
          <w:rFonts w:ascii="David" w:hAnsi="David" w:cs="David"/>
          <w:rtl/>
        </w:rPr>
        <w:t>) לשווי הכולל של הנכס.</w:t>
      </w:r>
      <w:r w:rsidRPr="00B73E46">
        <w:rPr>
          <w:rFonts w:ascii="David" w:hAnsi="David" w:cs="David"/>
          <w:rtl/>
        </w:rPr>
        <w:t xml:space="preserve"> </w:t>
      </w:r>
      <w:r w:rsidRPr="00F97E91">
        <w:rPr>
          <w:rFonts w:ascii="David" w:hAnsi="David" w:cs="David"/>
          <w:rtl/>
        </w:rPr>
        <w:t xml:space="preserve">בנסיבות המקרה דנן, סברה השמאית המייעצת כי שווי תרומת המחוברים נותר זהה בשני מצבי התכנון, שכן לא הוכחה פגיעה מהותית במחוברים או בתפקודם. משכך, שווי תרומתם מתקזז בין שני המצבים. </w:t>
      </w:r>
    </w:p>
    <w:p w:rsidR="007E0DC7" w:rsidRPr="00F97E91" w:rsidP="00F97E91">
      <w:pPr>
        <w:pStyle w:val="Ruller4"/>
        <w:numPr>
          <w:ilvl w:val="0"/>
          <w:numId w:val="31"/>
        </w:numPr>
        <w:tabs>
          <w:tab w:val="clear" w:pos="454"/>
          <w:tab w:val="clear" w:pos="800"/>
          <w:tab w:val="num" w:pos="1361"/>
        </w:tabs>
        <w:spacing w:before="240" w:after="240"/>
        <w:rPr>
          <w:rFonts w:ascii="David" w:hAnsi="David" w:cs="David"/>
        </w:rPr>
      </w:pPr>
      <w:r w:rsidRPr="00F97E91">
        <w:rPr>
          <w:rFonts w:ascii="David" w:hAnsi="David" w:cs="David"/>
          <w:rtl/>
        </w:rPr>
        <w:t>מסקנה זו מקובלת עלינו, ועל כן יש לאמץ את המתודולוגיה שנקבעה בשומות המייעצות, של</w:t>
      </w:r>
      <w:r w:rsidRPr="00F97E91">
        <w:rPr>
          <w:rFonts w:ascii="David" w:hAnsi="David" w:cs="David"/>
          <w:rtl/>
        </w:rPr>
        <w:t>פיה שווי החלקות נבחן על בסיס ערכי שווי של מ"ר מבונה, קרי קרקע בצירוף זכויות בנייה, בשני מצבי התכנון.</w:t>
      </w:r>
    </w:p>
    <w:p w:rsidR="007E0DC7" w:rsidRPr="00AF426D" w:rsidP="00AF426D">
      <w:pPr>
        <w:pStyle w:val="Ruller4"/>
        <w:suppressLineNumbers/>
        <w:tabs>
          <w:tab w:val="clear" w:pos="800"/>
          <w:tab w:val="num" w:pos="1361"/>
        </w:tabs>
        <w:spacing w:before="240" w:after="240"/>
        <w:ind w:left="567"/>
        <w:rPr>
          <w:rFonts w:ascii="Miriam" w:hAnsi="Miriam" w:cs="Miriam"/>
        </w:rPr>
      </w:pPr>
      <w:r w:rsidRPr="00AF426D">
        <w:rPr>
          <w:rFonts w:ascii="Miriam" w:hAnsi="Miriam" w:cs="Miriam"/>
          <w:rtl/>
        </w:rPr>
        <w:t xml:space="preserve">חישוב שטח </w:t>
      </w:r>
      <w:r>
        <w:rPr>
          <w:rFonts w:ascii="Miriam" w:hAnsi="Miriam" w:cs="Miriam"/>
          <w:rtl/>
        </w:rPr>
        <w:t>החלקות</w:t>
      </w:r>
      <w:r w:rsidRPr="00AF426D">
        <w:rPr>
          <w:rFonts w:ascii="Miriam" w:hAnsi="Miriam" w:cs="Miriam"/>
          <w:rtl/>
        </w:rPr>
        <w:t xml:space="preserve"> במצב הקודם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A32A99">
        <w:rPr>
          <w:rFonts w:ascii="David" w:hAnsi="David" w:cs="David"/>
          <w:rtl/>
        </w:rPr>
        <w:t xml:space="preserve">השמאית המייעצת קבעה כי "השטחים הנוספים" הם שטחים שייעודם לדרך, בהתאם לתוכנית עח/129 </w:t>
      </w:r>
      <w:r>
        <w:rPr>
          <w:rFonts w:ascii="David" w:hAnsi="David" w:cs="David"/>
          <w:rtl/>
        </w:rPr>
        <w:t>(</w:t>
      </w:r>
      <w:r w:rsidRPr="00A32A99">
        <w:rPr>
          <w:rFonts w:ascii="David" w:hAnsi="David" w:cs="David"/>
          <w:rtl/>
        </w:rPr>
        <w:t>1986</w:t>
      </w:r>
      <w:r>
        <w:rPr>
          <w:rFonts w:ascii="David" w:hAnsi="David" w:cs="David"/>
          <w:rtl/>
        </w:rPr>
        <w:t>)</w:t>
      </w:r>
      <w:r w:rsidRPr="00A32A99">
        <w:rPr>
          <w:rFonts w:ascii="David" w:hAnsi="David" w:cs="David"/>
          <w:rtl/>
        </w:rPr>
        <w:t>, וכי אלה הופרדו מהחלקות במסגרת תוכני</w:t>
      </w:r>
      <w:r w:rsidRPr="00A32A99">
        <w:rPr>
          <w:rFonts w:ascii="David" w:hAnsi="David" w:cs="David"/>
          <w:rtl/>
        </w:rPr>
        <w:t xml:space="preserve">ת משמ/138 </w:t>
      </w:r>
      <w:r>
        <w:rPr>
          <w:rFonts w:ascii="David" w:hAnsi="David" w:cs="David"/>
          <w:rtl/>
        </w:rPr>
        <w:t>(</w:t>
      </w:r>
      <w:r w:rsidRPr="00A32A99">
        <w:rPr>
          <w:rFonts w:ascii="David" w:hAnsi="David" w:cs="David"/>
          <w:rtl/>
        </w:rPr>
        <w:t>1996</w:t>
      </w:r>
      <w:r>
        <w:rPr>
          <w:rFonts w:ascii="David" w:hAnsi="David" w:cs="David"/>
          <w:rtl/>
        </w:rPr>
        <w:t>)</w:t>
      </w:r>
      <w:r w:rsidRPr="00A32A99">
        <w:rPr>
          <w:rFonts w:ascii="David" w:hAnsi="David" w:cs="David"/>
          <w:rtl/>
        </w:rPr>
        <w:t xml:space="preserve">. הצדדים אינם חולקים על ממצאים אלה, ולמעשה אין מחלוקת כי החלקות מוגדרות בתוכנית </w:t>
      </w:r>
      <w:r w:rsidRPr="00A32A99">
        <w:rPr>
          <w:rFonts w:ascii="David" w:hAnsi="David" w:cs="David"/>
          <w:rtl/>
        </w:rPr>
        <w:t>משמ/138 כמגרשים נפרדים, אשר אינם כוללים את אותם שטחים נוספים</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A32A99">
        <w:rPr>
          <w:rFonts w:ascii="David" w:hAnsi="David" w:cs="David"/>
          <w:rtl/>
        </w:rPr>
        <w:t xml:space="preserve">במצב דברים זה, אין אפשרות לחשב את אחוזי הבנייה בחלקות על בסיס חישוב מלאכותי הכולל את השטחים </w:t>
      </w:r>
      <w:r w:rsidRPr="00A32A99">
        <w:rPr>
          <w:rFonts w:ascii="David" w:hAnsi="David" w:cs="David"/>
          <w:rtl/>
        </w:rPr>
        <w:t>הנוספים. חישוב כאמור מהווה ניסיון ל</w:t>
      </w:r>
      <w:r>
        <w:rPr>
          <w:rFonts w:ascii="David" w:hAnsi="David" w:cs="David"/>
          <w:rtl/>
        </w:rPr>
        <w:t>"</w:t>
      </w:r>
      <w:r w:rsidRPr="00A32A99">
        <w:rPr>
          <w:rFonts w:ascii="David" w:hAnsi="David" w:cs="David"/>
          <w:rtl/>
        </w:rPr>
        <w:t>שחזור זכויות</w:t>
      </w:r>
      <w:r>
        <w:rPr>
          <w:rFonts w:ascii="David" w:hAnsi="David" w:cs="David"/>
          <w:rtl/>
        </w:rPr>
        <w:t>"</w:t>
      </w:r>
      <w:r w:rsidRPr="00A32A99">
        <w:rPr>
          <w:rFonts w:ascii="David" w:hAnsi="David" w:cs="David"/>
          <w:rtl/>
        </w:rPr>
        <w:t xml:space="preserve"> ללא כל עיגון נורמטיבי. נהפוך הוא – המסד הנורמטיבי </w:t>
      </w:r>
      <w:r>
        <w:rPr>
          <w:rFonts w:ascii="David" w:hAnsi="David" w:cs="David"/>
          <w:rtl/>
        </w:rPr>
        <w:t>כפי שהוצג</w:t>
      </w:r>
      <w:r w:rsidRPr="00A32A99">
        <w:rPr>
          <w:rFonts w:ascii="David" w:hAnsi="David" w:cs="David"/>
          <w:rtl/>
        </w:rPr>
        <w:t xml:space="preserve"> על־ידי השמאית המייעצת שולל את הגישה בה נוקטים העוררים, ועמדה זו נתמכת במפורש </w:t>
      </w:r>
      <w:hyperlink r:id="rId25" w:history="1">
        <w:r w:rsidRPr="000A48E6" w:rsidR="000A48E6">
          <w:rPr>
            <w:rStyle w:val="Hyperlink"/>
            <w:rFonts w:ascii="David" w:hAnsi="David" w:cs="David"/>
            <w:rtl/>
          </w:rPr>
          <w:t>בסעיף 3</w:t>
        </w:r>
      </w:hyperlink>
      <w:r w:rsidRPr="00A32A99">
        <w:rPr>
          <w:rFonts w:ascii="David" w:hAnsi="David" w:cs="David"/>
          <w:rtl/>
        </w:rPr>
        <w:t xml:space="preserve"> ל</w:t>
      </w:r>
      <w:hyperlink r:id="rId26" w:history="1">
        <w:r w:rsidRPr="00EC305A" w:rsidR="00EC305A">
          <w:rPr>
            <w:rStyle w:val="Hyperlink"/>
            <w:rFonts w:ascii="David" w:hAnsi="David" w:cs="David"/>
            <w:rtl/>
          </w:rPr>
          <w:t>תקנות התכנון והבניה (חישוב שטחים ואחוזי בנייה בתכניות ובהיתרים)</w:t>
        </w:r>
      </w:hyperlink>
      <w:r w:rsidRPr="00A32A99">
        <w:rPr>
          <w:rFonts w:ascii="David" w:hAnsi="David" w:cs="David"/>
          <w:rtl/>
        </w:rPr>
        <w:t>, תשנ"ב</w:t>
      </w:r>
      <w:r>
        <w:rPr>
          <w:rFonts w:ascii="David" w:hAnsi="David" w:cs="David"/>
          <w:rtl/>
        </w:rPr>
        <w:t>-</w:t>
      </w:r>
      <w:r w:rsidRPr="00A32A99">
        <w:rPr>
          <w:rFonts w:ascii="David" w:hAnsi="David" w:cs="David"/>
          <w:rtl/>
        </w:rPr>
        <w:t>1992</w:t>
      </w:r>
      <w:r>
        <w:rPr>
          <w:rFonts w:ascii="David" w:hAnsi="David" w:cs="David"/>
          <w:rtl/>
        </w:rPr>
        <w:t>.</w:t>
      </w:r>
    </w:p>
    <w:p w:rsidR="007E0DC7" w:rsidRPr="00777719" w:rsidP="00777719">
      <w:pPr>
        <w:pStyle w:val="Ruller4"/>
        <w:numPr>
          <w:ilvl w:val="0"/>
          <w:numId w:val="31"/>
        </w:numPr>
        <w:tabs>
          <w:tab w:val="clear" w:pos="454"/>
          <w:tab w:val="clear" w:pos="800"/>
          <w:tab w:val="num" w:pos="1361"/>
        </w:tabs>
        <w:spacing w:before="240" w:after="240"/>
        <w:rPr>
          <w:rFonts w:ascii="David" w:hAnsi="David" w:cs="David"/>
        </w:rPr>
      </w:pPr>
      <w:r w:rsidRPr="00A32A99">
        <w:rPr>
          <w:rFonts w:ascii="David" w:hAnsi="David" w:cs="David"/>
          <w:rtl/>
        </w:rPr>
        <w:t xml:space="preserve">יתרה מכך, לשיטתנו, טענת העוררים בדבר חישוב אחוזי הבנייה תוך הכללת השטחים הנוספים מהווה ניסיון להעלות מחדש טענות שנדחו. בהחלטת הביניים </w:t>
      </w:r>
      <w:r>
        <w:rPr>
          <w:rFonts w:ascii="David" w:hAnsi="David" w:cs="David"/>
          <w:rtl/>
        </w:rPr>
        <w:t xml:space="preserve">עמדה </w:t>
      </w:r>
      <w:r>
        <w:rPr>
          <w:rFonts w:ascii="David" w:hAnsi="David" w:cs="David"/>
          <w:rtl/>
        </w:rPr>
        <w:t>ועדת ערר זו</w:t>
      </w:r>
      <w:r w:rsidRPr="00A32A99">
        <w:rPr>
          <w:rFonts w:ascii="David" w:hAnsi="David" w:cs="David"/>
          <w:rtl/>
        </w:rPr>
        <w:t xml:space="preserve"> על הקשיים המהותיים בטענת העוררים לעניין זה, והעוררים אף הסכימו לדחייתן במסגרת אותו הליך, באופן שחסך את הצורך בבירור עובדתי מלא. בנסיבות אלה, אין לאפשר העלאת הטענות "בדלת האחורית", במסגרת השגה על השומות המייעצות. </w:t>
      </w:r>
      <w:r w:rsidRPr="00DA476F">
        <w:rPr>
          <w:rFonts w:ascii="David" w:hAnsi="David" w:cs="David"/>
          <w:rtl/>
        </w:rPr>
        <w:t>בדרך פעולה זו יש משום חוסר תום ל</w:t>
      </w:r>
      <w:r w:rsidRPr="00DA476F">
        <w:rPr>
          <w:rFonts w:ascii="David" w:hAnsi="David" w:cs="David"/>
          <w:rtl/>
        </w:rPr>
        <w:t>ב דיוני</w:t>
      </w:r>
      <w:r>
        <w:rPr>
          <w:rFonts w:ascii="David" w:hAnsi="David" w:cs="David"/>
          <w:rtl/>
        </w:rPr>
        <w:t xml:space="preserve">. </w:t>
      </w:r>
      <w:r w:rsidRPr="00777719">
        <w:rPr>
          <w:rFonts w:ascii="David" w:hAnsi="David" w:cs="David"/>
          <w:rtl/>
        </w:rPr>
        <w:t xml:space="preserve"> </w:t>
      </w:r>
    </w:p>
    <w:p w:rsidR="007E0DC7" w:rsidRPr="007B7821" w:rsidP="005C7477">
      <w:pPr>
        <w:pStyle w:val="Ruller4"/>
        <w:suppressLineNumbers/>
        <w:tabs>
          <w:tab w:val="clear" w:pos="800"/>
          <w:tab w:val="num" w:pos="1361"/>
        </w:tabs>
        <w:spacing w:before="720" w:after="240"/>
        <w:ind w:left="567"/>
        <w:rPr>
          <w:rFonts w:ascii="Miriam" w:hAnsi="Miriam" w:cs="Miriam"/>
        </w:rPr>
      </w:pPr>
      <w:r w:rsidRPr="007B7821">
        <w:rPr>
          <w:rFonts w:ascii="Miriam" w:hAnsi="Miriam" w:cs="Miriam"/>
          <w:rtl/>
        </w:rPr>
        <w:t>סיווג שגוי של ייעוד הקרקע</w:t>
      </w:r>
    </w:p>
    <w:p w:rsidR="007E0DC7" w:rsidP="005C7477">
      <w:pPr>
        <w:pStyle w:val="Ruller4"/>
        <w:numPr>
          <w:ilvl w:val="0"/>
          <w:numId w:val="31"/>
        </w:numPr>
        <w:tabs>
          <w:tab w:val="clear" w:pos="454"/>
          <w:tab w:val="clear" w:pos="800"/>
          <w:tab w:val="num" w:pos="1361"/>
        </w:tabs>
        <w:spacing w:before="240"/>
        <w:rPr>
          <w:rFonts w:ascii="David" w:hAnsi="David" w:cs="David"/>
        </w:rPr>
      </w:pPr>
      <w:r w:rsidRPr="0060342D">
        <w:rPr>
          <w:rFonts w:ascii="David" w:hAnsi="David" w:cs="David"/>
          <w:rtl/>
        </w:rPr>
        <w:t xml:space="preserve">ייעוד החלקות לפי תוכנית עח/200 </w:t>
      </w:r>
      <w:r>
        <w:rPr>
          <w:rFonts w:ascii="David" w:hAnsi="David" w:cs="David"/>
          <w:rtl/>
        </w:rPr>
        <w:t>(</w:t>
      </w:r>
      <w:r w:rsidRPr="0060342D">
        <w:rPr>
          <w:rFonts w:ascii="David" w:hAnsi="David" w:cs="David"/>
          <w:rtl/>
        </w:rPr>
        <w:t>1979</w:t>
      </w:r>
      <w:r>
        <w:rPr>
          <w:rFonts w:ascii="David" w:hAnsi="David" w:cs="David"/>
          <w:rtl/>
        </w:rPr>
        <w:t>),</w:t>
      </w:r>
      <w:r w:rsidRPr="0060342D">
        <w:rPr>
          <w:rFonts w:ascii="David" w:hAnsi="David" w:cs="David"/>
          <w:rtl/>
        </w:rPr>
        <w:t xml:space="preserve"> </w:t>
      </w:r>
      <w:r>
        <w:rPr>
          <w:rFonts w:ascii="David" w:hAnsi="David" w:cs="David"/>
          <w:rtl/>
        </w:rPr>
        <w:t>היא</w:t>
      </w:r>
      <w:r w:rsidRPr="0060342D">
        <w:rPr>
          <w:rFonts w:ascii="David" w:hAnsi="David" w:cs="David"/>
          <w:rtl/>
        </w:rPr>
        <w:t xml:space="preserve"> התוכנית הראשית החלה לעניין חישוב זכויות הבנייה בחלקות</w:t>
      </w:r>
      <w:r>
        <w:rPr>
          <w:rFonts w:ascii="David" w:hAnsi="David" w:cs="David"/>
          <w:rtl/>
        </w:rPr>
        <w:t>,</w:t>
      </w:r>
      <w:r w:rsidRPr="0060342D">
        <w:rPr>
          <w:rFonts w:ascii="David" w:hAnsi="David" w:cs="David"/>
          <w:rtl/>
        </w:rPr>
        <w:t xml:space="preserve"> הוא "אזור חקלאי מיוחד – מושב". במסגרת ייעוד זה מוצעים שני טיפוסי מגרשים</w:t>
      </w:r>
      <w:r>
        <w:rPr>
          <w:rFonts w:ascii="David" w:hAnsi="David" w:cs="David"/>
          <w:rtl/>
        </w:rPr>
        <w:t xml:space="preserve">: </w:t>
      </w:r>
    </w:p>
    <w:tbl>
      <w:tblPr>
        <w:bidiVisual/>
        <w:tblW w:w="0" w:type="auto"/>
        <w:tblInd w:w="567" w:type="dxa"/>
        <w:tblLook w:val="00A0"/>
      </w:tblPr>
      <w:tblGrid>
        <w:gridCol w:w="660"/>
        <w:gridCol w:w="7076"/>
      </w:tblGrid>
      <w:tr w:rsidTr="003637A5">
        <w:tblPrEx>
          <w:tblW w:w="0" w:type="auto"/>
          <w:tblInd w:w="567" w:type="dxa"/>
          <w:tblLook w:val="00A0"/>
        </w:tblPrEx>
        <w:tc>
          <w:tcPr>
            <w:tcW w:w="660"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w:t>
            </w:r>
          </w:p>
        </w:tc>
        <w:tc>
          <w:tcPr>
            <w:tcW w:w="7076" w:type="dxa"/>
          </w:tcPr>
          <w:p w:rsidR="007E0DC7" w:rsidRPr="003637A5" w:rsidP="003637A5">
            <w:pPr>
              <w:pStyle w:val="Ruller4"/>
              <w:tabs>
                <w:tab w:val="clear" w:pos="800"/>
              </w:tabs>
              <w:spacing w:before="240"/>
              <w:rPr>
                <w:rFonts w:ascii="David" w:hAnsi="David" w:cs="David"/>
                <w:rtl/>
              </w:rPr>
            </w:pPr>
            <w:r w:rsidRPr="003637A5">
              <w:rPr>
                <w:rFonts w:ascii="David" w:hAnsi="David" w:cs="David"/>
                <w:rtl/>
              </w:rPr>
              <w:t xml:space="preserve">מגרשים המיועדים למגורים במשק חקלאי: מגרשים </w:t>
            </w:r>
            <w:r w:rsidRPr="003637A5">
              <w:rPr>
                <w:rFonts w:ascii="David" w:hAnsi="David" w:cs="David"/>
                <w:rtl/>
              </w:rPr>
              <w:t>אלה מוגדרים כמגרשים ששטחם עולה על 2 דונם, ובהם מותרת הקמתן של שלוש יחידות דיור, בשטח בנייה מרבי של 350 מ"ר (הוראות סעיף 23 לתוכנית).</w:t>
            </w:r>
          </w:p>
        </w:tc>
      </w:tr>
      <w:tr w:rsidTr="003637A5">
        <w:tblPrEx>
          <w:tblW w:w="0" w:type="auto"/>
          <w:tblInd w:w="567" w:type="dxa"/>
          <w:tblLook w:val="00A0"/>
        </w:tblPrEx>
        <w:tc>
          <w:tcPr>
            <w:tcW w:w="660"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w:t>
            </w:r>
          </w:p>
        </w:tc>
        <w:tc>
          <w:tcPr>
            <w:tcW w:w="7076" w:type="dxa"/>
          </w:tcPr>
          <w:p w:rsidR="007E0DC7" w:rsidRPr="003637A5" w:rsidP="003637A5">
            <w:pPr>
              <w:pStyle w:val="Ruller4"/>
              <w:tabs>
                <w:tab w:val="clear" w:pos="800"/>
              </w:tabs>
              <w:spacing w:before="240"/>
              <w:rPr>
                <w:rFonts w:ascii="David" w:hAnsi="David" w:cs="David"/>
                <w:rtl/>
              </w:rPr>
            </w:pPr>
            <w:r w:rsidRPr="003637A5">
              <w:rPr>
                <w:rFonts w:ascii="David" w:hAnsi="David" w:cs="David"/>
                <w:rtl/>
              </w:rPr>
              <w:t xml:space="preserve">מגרשים המיועדים למגורים שלא במסגרת משק חקלאי: מגרשים אלה מוגדרים כמגרשים ששטחם עולה על 500 מ"ר, ובהם מותרת הקמת יחידת </w:t>
            </w:r>
            <w:r w:rsidRPr="003637A5">
              <w:rPr>
                <w:rFonts w:ascii="David" w:hAnsi="David" w:cs="David"/>
                <w:rtl/>
              </w:rPr>
              <w:t xml:space="preserve">דיור אחת, בשטח בנייה מרבי של </w:t>
            </w:r>
            <w:r w:rsidRPr="003637A5">
              <w:rPr>
                <w:rFonts w:ascii="David" w:hAnsi="David" w:cs="David"/>
                <w:rtl/>
              </w:rPr>
              <w:t>220 מ"ר (הוראות סעיף 29 לתוכנית).</w:t>
            </w:r>
          </w:p>
        </w:tc>
      </w:tr>
    </w:tbl>
    <w:p w:rsidR="007E0DC7" w:rsidP="00C25C52">
      <w:pPr>
        <w:pStyle w:val="Ruller4"/>
        <w:numPr>
          <w:ilvl w:val="0"/>
          <w:numId w:val="31"/>
        </w:numPr>
        <w:tabs>
          <w:tab w:val="clear" w:pos="454"/>
          <w:tab w:val="clear" w:pos="800"/>
          <w:tab w:val="num" w:pos="1361"/>
        </w:tabs>
        <w:spacing w:before="240" w:after="240"/>
        <w:rPr>
          <w:rFonts w:ascii="David" w:hAnsi="David" w:cs="David"/>
        </w:rPr>
      </w:pPr>
      <w:r w:rsidRPr="002B2DBD">
        <w:rPr>
          <w:rFonts w:ascii="David" w:hAnsi="David" w:cs="David"/>
          <w:rtl/>
        </w:rPr>
        <w:t xml:space="preserve">השמאית המייעצת </w:t>
      </w:r>
      <w:r>
        <w:rPr>
          <w:rFonts w:ascii="David" w:hAnsi="David" w:cs="David"/>
          <w:rtl/>
        </w:rPr>
        <w:t>מצאה</w:t>
      </w:r>
      <w:r w:rsidRPr="002B2DBD">
        <w:rPr>
          <w:rFonts w:ascii="David" w:hAnsi="David" w:cs="David"/>
          <w:rtl/>
        </w:rPr>
        <w:t xml:space="preserve"> כי החלקות שהושפעו מאישורה של תת"ל 31 באופן שהוביל לצמצום בזכויות הבנייה המוקנות הן החלקות שלהלן</w:t>
      </w:r>
      <w:r>
        <w:rPr>
          <w:rFonts w:ascii="David" w:hAnsi="David" w:cs="David"/>
          <w:rtl/>
        </w:rPr>
        <w:t xml:space="preserve">: </w:t>
      </w:r>
    </w:p>
    <w:tbl>
      <w:tblPr>
        <w:bidiVisual/>
        <w:tblW w:w="0" w:type="auto"/>
        <w:tblInd w:w="567" w:type="dxa"/>
        <w:tblLook w:val="00A0"/>
      </w:tblPr>
      <w:tblGrid>
        <w:gridCol w:w="660"/>
        <w:gridCol w:w="1418"/>
        <w:gridCol w:w="5658"/>
      </w:tblGrid>
      <w:tr w:rsidTr="003637A5">
        <w:tblPrEx>
          <w:tblW w:w="0" w:type="auto"/>
          <w:tblInd w:w="567" w:type="dxa"/>
          <w:tblLook w:val="00A0"/>
        </w:tblPrEx>
        <w:tc>
          <w:tcPr>
            <w:tcW w:w="660"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w:t>
            </w:r>
          </w:p>
        </w:tc>
        <w:tc>
          <w:tcPr>
            <w:tcW w:w="1418"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חלקה 38:</w:t>
            </w:r>
          </w:p>
        </w:tc>
        <w:tc>
          <w:tcPr>
            <w:tcW w:w="5658"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 xml:space="preserve">בקשר לחלקה זו חלה תוכנית עח/מק/6/33 (2000), שהנה תוכנית </w:t>
            </w:r>
            <w:r w:rsidRPr="003637A5">
              <w:rPr>
                <w:rFonts w:ascii="David" w:hAnsi="David" w:cs="David"/>
                <w:rtl/>
              </w:rPr>
              <w:t>נקודתית לחלקה זו, לפיה שונה גודל המגרש המינימלי למגורים במשק חקלאי מ־2 דונם ל־1,725 מ"ר.</w:t>
            </w:r>
          </w:p>
        </w:tc>
      </w:tr>
      <w:tr w:rsidTr="003637A5">
        <w:tblPrEx>
          <w:tblW w:w="0" w:type="auto"/>
          <w:tblInd w:w="567" w:type="dxa"/>
          <w:tblLook w:val="00A0"/>
        </w:tblPrEx>
        <w:tc>
          <w:tcPr>
            <w:tcW w:w="660"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w:t>
            </w:r>
          </w:p>
        </w:tc>
        <w:tc>
          <w:tcPr>
            <w:tcW w:w="1418"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חלקה 76:</w:t>
            </w:r>
          </w:p>
        </w:tc>
        <w:tc>
          <w:tcPr>
            <w:tcW w:w="5658" w:type="dxa"/>
          </w:tcPr>
          <w:p w:rsidR="007E0DC7" w:rsidRPr="003637A5" w:rsidP="003637A5">
            <w:pPr>
              <w:pStyle w:val="Ruller4"/>
              <w:tabs>
                <w:tab w:val="clear" w:pos="800"/>
              </w:tabs>
              <w:spacing w:before="240" w:after="240"/>
              <w:rPr>
                <w:rFonts w:ascii="David" w:hAnsi="David" w:cs="David"/>
                <w:rtl/>
              </w:rPr>
            </w:pPr>
            <w:r w:rsidRPr="003637A5">
              <w:rPr>
                <w:rFonts w:ascii="David" w:hAnsi="David" w:cs="David"/>
                <w:rtl/>
              </w:rPr>
              <w:t>שטח המגורים של חלקה זו במצב התכנוני שקדם לתת"ל 31 היה בהיקף של 2,123 מ"ר, ולאחר אישורה של תת"ל 31 צומצם להיקף של 1,853 מ"ר.</w:t>
            </w:r>
          </w:p>
        </w:tc>
      </w:tr>
    </w:tbl>
    <w:p w:rsidR="007E0DC7" w:rsidP="007915CD">
      <w:pPr>
        <w:pStyle w:val="Ruller4"/>
        <w:numPr>
          <w:ilvl w:val="0"/>
          <w:numId w:val="31"/>
        </w:numPr>
        <w:tabs>
          <w:tab w:val="clear" w:pos="454"/>
          <w:tab w:val="clear" w:pos="800"/>
          <w:tab w:val="num" w:pos="1361"/>
        </w:tabs>
        <w:spacing w:before="240" w:after="240"/>
        <w:rPr>
          <w:rFonts w:ascii="David" w:hAnsi="David" w:cs="David"/>
        </w:rPr>
      </w:pPr>
      <w:r w:rsidRPr="00070F08">
        <w:rPr>
          <w:rFonts w:ascii="David" w:hAnsi="David" w:cs="David"/>
          <w:rtl/>
        </w:rPr>
        <w:t xml:space="preserve">ביחס ליתר החלקות, לא נמצא </w:t>
      </w:r>
      <w:r w:rsidRPr="00070F08">
        <w:rPr>
          <w:rFonts w:ascii="David" w:hAnsi="David" w:cs="David"/>
          <w:rtl/>
        </w:rPr>
        <w:t>שינוי במאפייניהן אשר מצדיק סיווג שונה בהתאם לטיפוסי המגרשים הקבועים בתוכנית עח/200</w:t>
      </w:r>
      <w:r>
        <w:rPr>
          <w:rFonts w:ascii="David" w:hAnsi="David" w:cs="David"/>
          <w:rtl/>
        </w:rPr>
        <w:t>.</w:t>
      </w:r>
    </w:p>
    <w:p w:rsidR="007E0DC7" w:rsidP="007915CD">
      <w:pPr>
        <w:pStyle w:val="Ruller4"/>
        <w:numPr>
          <w:ilvl w:val="0"/>
          <w:numId w:val="31"/>
        </w:numPr>
        <w:tabs>
          <w:tab w:val="clear" w:pos="454"/>
          <w:tab w:val="clear" w:pos="800"/>
          <w:tab w:val="num" w:pos="1361"/>
        </w:tabs>
        <w:spacing w:before="240" w:after="240"/>
        <w:rPr>
          <w:rFonts w:ascii="David" w:hAnsi="David" w:cs="David"/>
        </w:rPr>
      </w:pPr>
      <w:r w:rsidRPr="00B87A39">
        <w:rPr>
          <w:rFonts w:ascii="David" w:hAnsi="David" w:cs="David"/>
          <w:rtl/>
        </w:rPr>
        <w:t>בניגוד לעמדת העוררים, איננו סבורים כי הוראות תוכנית עח/200 בוטלו או שונו במסגרת תוכנית משמ/138. אכן, בתוכנית משמ/138 שונה ייעוד החלקות ל"מגורים בנחלה/חקלאי למחצה (חלקות א')</w:t>
      </w:r>
      <w:r w:rsidRPr="00B87A39">
        <w:rPr>
          <w:rFonts w:ascii="David" w:hAnsi="David" w:cs="David"/>
          <w:rtl/>
        </w:rPr>
        <w:t xml:space="preserve">", אך תוכנית זו, המוגדרת כתוכנית לצורכי הסדר רישום, אינה קובעת זכויות בנייה ואינה משנה את הוראות תוכנית עח/200. </w:t>
      </w:r>
      <w:r>
        <w:rPr>
          <w:rFonts w:ascii="David" w:hAnsi="David" w:cs="David"/>
          <w:rtl/>
        </w:rPr>
        <w:t xml:space="preserve">בהקשר זה, </w:t>
      </w:r>
      <w:r w:rsidRPr="00B87A39">
        <w:rPr>
          <w:rFonts w:ascii="David" w:hAnsi="David" w:cs="David"/>
          <w:rtl/>
        </w:rPr>
        <w:t xml:space="preserve">סעיף 19 להוראות תוכנית משמ/138 </w:t>
      </w:r>
      <w:r>
        <w:rPr>
          <w:rFonts w:ascii="David" w:hAnsi="David" w:cs="David"/>
          <w:rtl/>
        </w:rPr>
        <w:t xml:space="preserve">אשר </w:t>
      </w:r>
      <w:r w:rsidRPr="00B87A39">
        <w:rPr>
          <w:rFonts w:ascii="David" w:hAnsi="David" w:cs="David"/>
          <w:rtl/>
        </w:rPr>
        <w:t xml:space="preserve">קובע במפורש כי "כל פיתוח ובינוי יאושרו עפ"י תוכנית מפורטת אחרת הקובעת הוראות בעניינים אלה", ועל כן </w:t>
      </w:r>
      <w:r w:rsidRPr="00B87A39">
        <w:rPr>
          <w:rFonts w:ascii="David" w:hAnsi="David" w:cs="David"/>
          <w:rtl/>
        </w:rPr>
        <w:t>אין לראות בתוכנית זו כמביאה לשינוי בזכויות הבנייה שנקבעו בתוכנית עח/200.</w:t>
      </w:r>
    </w:p>
    <w:p w:rsidR="007E0DC7" w:rsidP="007915CD">
      <w:pPr>
        <w:pStyle w:val="Ruller4"/>
        <w:numPr>
          <w:ilvl w:val="0"/>
          <w:numId w:val="31"/>
        </w:numPr>
        <w:tabs>
          <w:tab w:val="clear" w:pos="454"/>
          <w:tab w:val="clear" w:pos="800"/>
          <w:tab w:val="num" w:pos="1361"/>
        </w:tabs>
        <w:spacing w:before="240" w:after="240"/>
        <w:rPr>
          <w:rFonts w:ascii="David" w:hAnsi="David" w:cs="David"/>
        </w:rPr>
      </w:pPr>
      <w:r w:rsidRPr="004E3314">
        <w:rPr>
          <w:rFonts w:ascii="David" w:hAnsi="David" w:cs="David"/>
          <w:rtl/>
        </w:rPr>
        <w:t>על כן, איננו סבורים כי תוכנית משמ/138 נועדה לאחד בין טיפוסי המגרשים או להחיל באופן גורף את זכויות הבנייה המוקנות למגורים במשק חקלאי על כלל המגרשים. בהתאם, אנו מקבלים את מסקנת השמאית ה</w:t>
      </w:r>
      <w:r w:rsidRPr="004E3314">
        <w:rPr>
          <w:rFonts w:ascii="David" w:hAnsi="David" w:cs="David"/>
          <w:rtl/>
        </w:rPr>
        <w:t xml:space="preserve">מייעצת שלפיה זכויות הבנייה נגזרות מהוראות </w:t>
      </w:r>
      <w:r w:rsidRPr="004E3314">
        <w:rPr>
          <w:rFonts w:ascii="David" w:hAnsi="David" w:cs="David"/>
          <w:rtl/>
        </w:rPr>
        <w:t>תוכנית עח/200, ובמובן זה אנו מאמצים את הניתוח שנערך בשומות המייעצות בכל הנוגע לשיעור זכויות הבנייה בשני מצבי התכנון</w:t>
      </w:r>
      <w:r>
        <w:rPr>
          <w:rFonts w:ascii="David" w:hAnsi="David" w:cs="David"/>
          <w:rtl/>
        </w:rPr>
        <w:t>.</w:t>
      </w:r>
    </w:p>
    <w:p w:rsidR="007E0DC7" w:rsidRPr="009E042D" w:rsidP="009E042D">
      <w:pPr>
        <w:pStyle w:val="Ruller4"/>
        <w:numPr>
          <w:ilvl w:val="0"/>
          <w:numId w:val="31"/>
        </w:numPr>
        <w:tabs>
          <w:tab w:val="clear" w:pos="454"/>
          <w:tab w:val="clear" w:pos="800"/>
          <w:tab w:val="num" w:pos="1361"/>
        </w:tabs>
        <w:spacing w:before="240" w:after="240"/>
        <w:rPr>
          <w:rFonts w:ascii="David" w:hAnsi="David" w:cs="David"/>
        </w:rPr>
      </w:pPr>
      <w:r w:rsidRPr="00153911">
        <w:rPr>
          <w:rFonts w:ascii="David" w:hAnsi="David" w:cs="David"/>
          <w:rtl/>
        </w:rPr>
        <w:t>כמו השמאית המייעצת, גם אנו סבורים כי אין להתעלם מהוראות תוכנית עח/200 על בסיס היתר בנייה שניתן לח</w:t>
      </w:r>
      <w:r w:rsidRPr="00153911">
        <w:rPr>
          <w:rFonts w:ascii="David" w:hAnsi="David" w:cs="David"/>
          <w:rtl/>
        </w:rPr>
        <w:t>לקה 79, אשר ממנו מבקשים העוררים ללמוד על מדיניות פרשנית של הוועדה המקומית, שלפיה כביכול ייעדה את כל החלקות כמגרשי מגורים במשק חקלאי, אף כאשר שטחן קטן מ־2 דונם. בהקשר זה, מקובלת עלינו ההנמקה שניתנה בשומה המכרעת וכן עמדת נת"י, שלפיה מדובר בהיתר בנייה שניתן ב</w:t>
      </w:r>
      <w:r w:rsidRPr="00153911">
        <w:rPr>
          <w:rFonts w:ascii="David" w:hAnsi="David" w:cs="David"/>
          <w:rtl/>
        </w:rPr>
        <w:t>שנת 1999</w:t>
      </w:r>
      <w:r>
        <w:rPr>
          <w:rFonts w:ascii="David" w:hAnsi="David" w:cs="David"/>
          <w:rtl/>
        </w:rPr>
        <w:t>,</w:t>
      </w:r>
      <w:r w:rsidRPr="00153911">
        <w:rPr>
          <w:rFonts w:ascii="David" w:hAnsi="David" w:cs="David"/>
          <w:rtl/>
        </w:rPr>
        <w:t xml:space="preserve"> כ־17 שנים טרם המועד הקובע</w:t>
      </w:r>
      <w:r>
        <w:rPr>
          <w:rFonts w:ascii="David" w:hAnsi="David" w:cs="David"/>
          <w:rtl/>
        </w:rPr>
        <w:t>,</w:t>
      </w:r>
      <w:r w:rsidRPr="00153911">
        <w:rPr>
          <w:rFonts w:ascii="David" w:hAnsi="David" w:cs="David"/>
          <w:rtl/>
        </w:rPr>
        <w:t xml:space="preserve"> ונתון זה, כשלעצמו, אינו מהווה תשתית מספקת לפרשנות </w:t>
      </w:r>
      <w:r>
        <w:rPr>
          <w:rFonts w:ascii="David" w:hAnsi="David" w:cs="David"/>
          <w:rtl/>
        </w:rPr>
        <w:t>שמציעים</w:t>
      </w:r>
      <w:r w:rsidRPr="00153911">
        <w:rPr>
          <w:rFonts w:ascii="David" w:hAnsi="David" w:cs="David"/>
          <w:rtl/>
        </w:rPr>
        <w:t xml:space="preserve"> העוררים. הדברים נכונים ביתר שאת שעה שנמצא כי במהלך השנים קודמו ואושרו תוכניות נקודתיות, אשר ביקשו לשנות את הוראות תוכנית עח/200 ביחס לגודל מגרש מינימלי בטיפוס מג</w:t>
      </w:r>
      <w:r w:rsidRPr="00153911">
        <w:rPr>
          <w:rFonts w:ascii="David" w:hAnsi="David" w:cs="David"/>
          <w:rtl/>
        </w:rPr>
        <w:t>ורים במשק חקלאי (כגון תוכנית עח/מק/6/33</w:t>
      </w:r>
      <w:r>
        <w:rPr>
          <w:rFonts w:ascii="David" w:hAnsi="David" w:cs="David"/>
          <w:rtl/>
        </w:rPr>
        <w:t xml:space="preserve"> הנ"ל</w:t>
      </w:r>
      <w:r w:rsidRPr="00153911">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1D24DF">
        <w:rPr>
          <w:rFonts w:ascii="David" w:hAnsi="David" w:cs="David"/>
          <w:rtl/>
        </w:rPr>
        <w:t>עוד בהקשר זה, אנו דוחים את טענות המשיבות שלפיהן צמצום שטחן של חלקות, באופן שהשפיע על סיווגן בהתאם לטיפוסי המגרשים הקבועים בתוכנית עח/200, אינו משפיע באופן מהותי על שוויין. לשיטתנו, עצם האפשרות לקדם תוכנית נקוד</w:t>
      </w:r>
      <w:r w:rsidRPr="001D24DF">
        <w:rPr>
          <w:rFonts w:ascii="David" w:hAnsi="David" w:cs="David"/>
          <w:rtl/>
        </w:rPr>
        <w:t xml:space="preserve">תית בעתיד, אשר תשיב את המצב לקדמותו, אין בה כדי לשלול את הפגיעה שנגרמה בפועל במועד הקובע. העובדה כי תוכניות נקודתיות </w:t>
      </w:r>
      <w:r>
        <w:rPr>
          <w:rFonts w:ascii="David" w:hAnsi="David" w:cs="David"/>
          <w:rtl/>
        </w:rPr>
        <w:t>לשינוי</w:t>
      </w:r>
      <w:r w:rsidRPr="001D24DF">
        <w:rPr>
          <w:rFonts w:ascii="David" w:hAnsi="David" w:cs="David"/>
          <w:rtl/>
        </w:rPr>
        <w:t xml:space="preserve"> גודל מגרש מינימלי שונה אכן מקודמות מעת לעת, אינה הופכת את הפגיעה לקלושה או זניחה, ואין בה כדי לשלול את השלכותיה התכנוניות והשמאיות ש</w:t>
      </w:r>
      <w:r w:rsidRPr="001D24DF">
        <w:rPr>
          <w:rFonts w:ascii="David" w:hAnsi="David" w:cs="David"/>
          <w:rtl/>
        </w:rPr>
        <w:t>ל ירידת השטח מתחת לרף הקבוע בתוכנית</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1D24DF">
        <w:rPr>
          <w:rFonts w:ascii="David" w:hAnsi="David" w:cs="David"/>
          <w:rtl/>
        </w:rPr>
        <w:t xml:space="preserve">בהקשר זה, מקובל עלינו הניתוח המוצע בשומות המייעצות, שלפיו טענת המשיבות מבטאת למעשה ניסיון להביא בחשבון פוטנציאל תכנוני עתידי במסגרת הערכת </w:t>
      </w:r>
      <w:r>
        <w:rPr>
          <w:rFonts w:ascii="David" w:hAnsi="David" w:cs="David"/>
          <w:rtl/>
        </w:rPr>
        <w:t>ירידת הערך הנטענת,</w:t>
      </w:r>
      <w:r w:rsidRPr="001D24DF">
        <w:rPr>
          <w:rFonts w:ascii="David" w:hAnsi="David" w:cs="David"/>
          <w:rtl/>
        </w:rPr>
        <w:t xml:space="preserve"> גישה שאין לקבלה</w:t>
      </w:r>
      <w:r>
        <w:rPr>
          <w:rFonts w:ascii="David" w:hAnsi="David" w:cs="David"/>
          <w:rtl/>
        </w:rPr>
        <w:t xml:space="preserve">. </w:t>
      </w:r>
    </w:p>
    <w:p w:rsidR="007E0DC7" w:rsidRPr="00022272" w:rsidP="00022272">
      <w:pPr>
        <w:pStyle w:val="Ruller4"/>
        <w:numPr>
          <w:ilvl w:val="0"/>
          <w:numId w:val="31"/>
        </w:numPr>
        <w:tabs>
          <w:tab w:val="clear" w:pos="454"/>
          <w:tab w:val="clear" w:pos="800"/>
          <w:tab w:val="num" w:pos="1361"/>
        </w:tabs>
        <w:spacing w:before="240" w:after="240"/>
        <w:rPr>
          <w:rFonts w:ascii="David" w:hAnsi="David" w:cs="David"/>
        </w:rPr>
      </w:pPr>
      <w:r w:rsidRPr="001D24DF">
        <w:rPr>
          <w:rFonts w:ascii="David" w:hAnsi="David" w:cs="David"/>
          <w:rtl/>
        </w:rPr>
        <w:t xml:space="preserve">בעניין </w:t>
      </w:r>
      <w:r w:rsidRPr="001D24DF">
        <w:rPr>
          <w:rFonts w:ascii="Miriam" w:hAnsi="Miriam" w:cs="Miriam"/>
          <w:rtl/>
        </w:rPr>
        <w:t>דלי דליה</w:t>
      </w:r>
      <w:r w:rsidRPr="001D24DF">
        <w:rPr>
          <w:rFonts w:ascii="David" w:hAnsi="David" w:cs="David"/>
          <w:rtl/>
        </w:rPr>
        <w:t xml:space="preserve"> נדונה, בין היתר, השאלה האם, במסגרת הערכת שווי מקרקעין לצורך תביעה לפי </w:t>
      </w:r>
      <w:hyperlink r:id="rId9" w:history="1">
        <w:r w:rsidRPr="000A48E6" w:rsidR="000A48E6">
          <w:rPr>
            <w:rStyle w:val="Hyperlink"/>
            <w:rFonts w:ascii="David" w:hAnsi="David" w:cs="David"/>
            <w:rtl/>
          </w:rPr>
          <w:t>סעיף 197</w:t>
        </w:r>
      </w:hyperlink>
      <w:r w:rsidRPr="001D24DF">
        <w:rPr>
          <w:rFonts w:ascii="David" w:hAnsi="David" w:cs="David"/>
          <w:rtl/>
        </w:rPr>
        <w:t xml:space="preserve"> לחוק, יש מקום להתחשב בציפייה לשינוי תכנוני משביח</w:t>
      </w:r>
      <w:r w:rsidRPr="00022272">
        <w:rPr>
          <w:rFonts w:ascii="David" w:hAnsi="David" w:cs="David"/>
          <w:rtl/>
        </w:rPr>
        <w:t>. באשר לכך קבעה דעת הרוב כי בהערכת שווי המקרקעין "יש מקום להתחשב בציפייה לשי</w:t>
      </w:r>
      <w:r w:rsidRPr="00022272">
        <w:rPr>
          <w:rFonts w:ascii="David" w:hAnsi="David" w:cs="David"/>
          <w:rtl/>
        </w:rPr>
        <w:t xml:space="preserve">נוי תכנוני משביח רק </w:t>
      </w:r>
      <w:r w:rsidRPr="00022272">
        <w:rPr>
          <w:rFonts w:ascii="David" w:hAnsi="David" w:cs="David"/>
          <w:rtl/>
        </w:rPr>
        <w:t xml:space="preserve">כאשר מדובר בפוטנציאל תכנוני קונקרטי וקרוב לוודאי, המתבטא לכל הפחות בתכנית מופקדת" (שם, בפסקה 109 </w:t>
      </w:r>
      <w:r>
        <w:rPr>
          <w:rFonts w:ascii="David" w:hAnsi="David" w:cs="David"/>
          <w:rtl/>
        </w:rPr>
        <w:t>לפסק דינה של כבוד</w:t>
      </w:r>
      <w:r w:rsidRPr="00022272">
        <w:rPr>
          <w:rFonts w:ascii="David" w:hAnsi="David" w:cs="David"/>
          <w:rtl/>
        </w:rPr>
        <w:t xml:space="preserve"> השופטת ברק-ארז</w:t>
      </w:r>
      <w:r>
        <w:rPr>
          <w:rFonts w:ascii="David" w:hAnsi="David" w:cs="David"/>
          <w:rtl/>
        </w:rPr>
        <w:t xml:space="preserve">; וראו גם </w:t>
      </w:r>
      <w:hyperlink r:id="rId27" w:history="1">
        <w:r w:rsidRPr="00EC305A" w:rsidR="00EC305A">
          <w:rPr>
            <w:rStyle w:val="Hyperlink"/>
            <w:rFonts w:ascii="David" w:hAnsi="David" w:cs="David"/>
            <w:rtl/>
          </w:rPr>
          <w:t>בר"מ 1790/24</w:t>
        </w:r>
      </w:hyperlink>
      <w:r w:rsidRPr="004A66C3">
        <w:rPr>
          <w:rFonts w:ascii="David" w:hAnsi="David" w:cs="David"/>
          <w:rtl/>
        </w:rPr>
        <w:t xml:space="preserve"> </w:t>
      </w:r>
      <w:r w:rsidRPr="004A66C3">
        <w:rPr>
          <w:rFonts w:ascii="Miriam" w:hAnsi="Miriam" w:cs="Miriam"/>
          <w:rtl/>
        </w:rPr>
        <w:t>נתיבי ישראל - החברה הלאומית לתשת</w:t>
      </w:r>
      <w:r w:rsidRPr="004A66C3">
        <w:rPr>
          <w:rFonts w:ascii="Miriam" w:hAnsi="Miriam" w:cs="Miriam"/>
          <w:rtl/>
        </w:rPr>
        <w:t>יות תחבורה בע"מ נ' חוסין מוחמד סולימאן</w:t>
      </w:r>
      <w:r w:rsidRPr="004A66C3">
        <w:rPr>
          <w:rFonts w:ascii="David" w:hAnsi="David" w:cs="David"/>
          <w:rtl/>
        </w:rPr>
        <w:t xml:space="preserve"> (נבו 5.2.2025)</w:t>
      </w:r>
      <w:r w:rsidRPr="00022272">
        <w:rPr>
          <w:rFonts w:ascii="David" w:hAnsi="David" w:cs="David"/>
          <w:rtl/>
        </w:rPr>
        <w:t xml:space="preserve">). </w:t>
      </w:r>
    </w:p>
    <w:p w:rsidR="007E0DC7" w:rsidP="00591C9C">
      <w:pPr>
        <w:pStyle w:val="Ruller4"/>
        <w:numPr>
          <w:ilvl w:val="0"/>
          <w:numId w:val="31"/>
        </w:numPr>
        <w:tabs>
          <w:tab w:val="clear" w:pos="454"/>
          <w:tab w:val="clear" w:pos="800"/>
          <w:tab w:val="num" w:pos="1361"/>
        </w:tabs>
        <w:spacing w:before="240" w:after="240"/>
        <w:rPr>
          <w:rFonts w:ascii="David" w:hAnsi="David" w:cs="David"/>
        </w:rPr>
      </w:pPr>
      <w:r w:rsidRPr="00085CF6">
        <w:rPr>
          <w:rFonts w:ascii="David" w:hAnsi="David" w:cs="David"/>
          <w:rtl/>
        </w:rPr>
        <w:t xml:space="preserve">במקרה שלפנינו, אין מחלוקת כי לא הוצגו </w:t>
      </w:r>
      <w:r>
        <w:rPr>
          <w:rFonts w:ascii="David" w:hAnsi="David" w:cs="David"/>
          <w:rtl/>
        </w:rPr>
        <w:t>ל</w:t>
      </w:r>
      <w:r w:rsidRPr="00085CF6">
        <w:rPr>
          <w:rFonts w:ascii="David" w:hAnsi="David" w:cs="David"/>
          <w:rtl/>
        </w:rPr>
        <w:t xml:space="preserve">שמאית המייעצת תוכניות נקודתיות המצויות בהליכי הפקדה, אשר מבקשות לשנות את הוראות תוכנית עח/200 לעניין גודל מגרש מינימלי למגורים במשק חקלאי. בנסיבות אלה, </w:t>
      </w:r>
      <w:r>
        <w:rPr>
          <w:rFonts w:ascii="David" w:hAnsi="David" w:cs="David"/>
          <w:rtl/>
        </w:rPr>
        <w:t>ובמועד ה</w:t>
      </w:r>
      <w:r>
        <w:rPr>
          <w:rFonts w:ascii="David" w:hAnsi="David" w:cs="David"/>
          <w:rtl/>
        </w:rPr>
        <w:t xml:space="preserve">קובע, </w:t>
      </w:r>
      <w:r w:rsidRPr="00085CF6">
        <w:rPr>
          <w:rFonts w:ascii="David" w:hAnsi="David" w:cs="David"/>
          <w:rtl/>
        </w:rPr>
        <w:t xml:space="preserve">אין מקום להתחשב בציפייה לאישורן של תוכניות מסוג זה, אף אם מחיר השוק של החלקות </w:t>
      </w:r>
      <w:r>
        <w:rPr>
          <w:rFonts w:ascii="David" w:hAnsi="David" w:cs="David"/>
          <w:rtl/>
        </w:rPr>
        <w:t xml:space="preserve">לכאורה </w:t>
      </w:r>
      <w:r w:rsidRPr="00085CF6">
        <w:rPr>
          <w:rFonts w:ascii="David" w:hAnsi="David" w:cs="David"/>
          <w:rtl/>
        </w:rPr>
        <w:t>מגלם פוטנציאל כזה. בהקשר זה, טענות העוררים מקובלות עלינו במלואן</w:t>
      </w:r>
      <w:r>
        <w:rPr>
          <w:rFonts w:ascii="David" w:hAnsi="David" w:cs="David"/>
          <w:rtl/>
        </w:rPr>
        <w:t xml:space="preserve">. </w:t>
      </w:r>
    </w:p>
    <w:p w:rsidR="007E0DC7" w:rsidRPr="00591C9C" w:rsidP="00591C9C">
      <w:pPr>
        <w:pStyle w:val="Ruller4"/>
        <w:numPr>
          <w:ilvl w:val="0"/>
          <w:numId w:val="31"/>
        </w:numPr>
        <w:tabs>
          <w:tab w:val="clear" w:pos="454"/>
          <w:tab w:val="clear" w:pos="800"/>
          <w:tab w:val="num" w:pos="1361"/>
        </w:tabs>
        <w:spacing w:before="240" w:after="240"/>
        <w:rPr>
          <w:rFonts w:ascii="David" w:hAnsi="David" w:cs="David"/>
        </w:rPr>
      </w:pPr>
      <w:r w:rsidRPr="00085CF6">
        <w:rPr>
          <w:rFonts w:ascii="David" w:hAnsi="David" w:cs="David"/>
          <w:rtl/>
        </w:rPr>
        <w:t xml:space="preserve">נוסף על האמור, איננו סבורים כי ניתן לראות בצמצום שטחן של החלקות משום "הקפאה זמנית". טענה זו מנוגדת </w:t>
      </w:r>
      <w:r w:rsidRPr="00085CF6">
        <w:rPr>
          <w:rFonts w:ascii="David" w:hAnsi="David" w:cs="David"/>
          <w:rtl/>
        </w:rPr>
        <w:t xml:space="preserve">לעקרונות שנקבעו בעניין </w:t>
      </w:r>
      <w:r w:rsidRPr="00085CF6">
        <w:rPr>
          <w:rFonts w:ascii="Miriam" w:hAnsi="Miriam" w:cs="Miriam"/>
          <w:rtl/>
        </w:rPr>
        <w:t>דלי דליה</w:t>
      </w:r>
      <w:r w:rsidRPr="00085CF6">
        <w:rPr>
          <w:rFonts w:ascii="David" w:hAnsi="David" w:cs="David"/>
          <w:rtl/>
        </w:rPr>
        <w:t>, שכן היא מהווה ניסיון עקיף להתחשב בפוטנציאל תכנוני עתידי, תוך צמצום משמעותו של השינוי התכנוני שהתחולל בפועל עם אישורה של תת"ל 31, וזאת בהתבסס על שינוי תכנוני עתידי שטרם הבשיל לכדי ת</w:t>
      </w:r>
      <w:r>
        <w:rPr>
          <w:rFonts w:ascii="David" w:hAnsi="David" w:cs="David"/>
          <w:rtl/>
        </w:rPr>
        <w:t>ו</w:t>
      </w:r>
      <w:r w:rsidRPr="00085CF6">
        <w:rPr>
          <w:rFonts w:ascii="David" w:hAnsi="David" w:cs="David"/>
          <w:rtl/>
        </w:rPr>
        <w:t>כנית סטטוטורית</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85CF6">
        <w:rPr>
          <w:rFonts w:ascii="David" w:hAnsi="David" w:cs="David"/>
          <w:rtl/>
        </w:rPr>
        <w:t>עד כאן לעניין תוכנית עח/2</w:t>
      </w:r>
      <w:r w:rsidRPr="00085CF6">
        <w:rPr>
          <w:rFonts w:ascii="David" w:hAnsi="David" w:cs="David"/>
          <w:rtl/>
        </w:rPr>
        <w:t>00. טענה נוספת שהעלו העוררים נוגעת לסיווג החלקות לפי תוכנית עח/20/200. השמאית המייעצת קבעה כי תוכנית זו מתירה הקמת "מבני קייט" רק בכפוף לאישורה של תוכנית מפורטת שתאושר ביחס ליישוב הספציפי. מאחר שביישוב בית ינאי</w:t>
      </w:r>
      <w:r>
        <w:rPr>
          <w:rFonts w:ascii="David" w:hAnsi="David" w:cs="David"/>
          <w:rtl/>
        </w:rPr>
        <w:t xml:space="preserve"> </w:t>
      </w:r>
      <w:r w:rsidRPr="00085CF6">
        <w:rPr>
          <w:rFonts w:ascii="David" w:hAnsi="David" w:cs="David"/>
          <w:rtl/>
        </w:rPr>
        <w:t xml:space="preserve">לא אושרה תוכנית מפורטת כאמור, </w:t>
      </w:r>
      <w:r>
        <w:rPr>
          <w:rFonts w:ascii="David" w:hAnsi="David" w:cs="David"/>
          <w:rtl/>
        </w:rPr>
        <w:t>אזי מסקנת השמאי</w:t>
      </w:r>
      <w:r>
        <w:rPr>
          <w:rFonts w:ascii="David" w:hAnsi="David" w:cs="David"/>
          <w:rtl/>
        </w:rPr>
        <w:t>ת המייעצת היתה ש</w:t>
      </w:r>
      <w:r w:rsidRPr="00085CF6">
        <w:rPr>
          <w:rFonts w:ascii="David" w:hAnsi="David" w:cs="David"/>
          <w:rtl/>
        </w:rPr>
        <w:t>אין להתייחס לזכויות שמקורן בתוכנית עח/20/200 במסגרת בחינת שווי החלקות בשני מצבי התכנון</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85CF6">
        <w:rPr>
          <w:rFonts w:ascii="David" w:hAnsi="David" w:cs="David"/>
          <w:rtl/>
        </w:rPr>
        <w:t>בדומה לעמדת השמאית המייעצת, אף אנו סבורים כי תוכנית עח/20/200, כשלעצמה, אינה מקנה זכויות בנייה לתא־שטח קונקרטי. מדובר בתוכנית החלה על כלל מרחב התכנון ש</w:t>
      </w:r>
      <w:r w:rsidRPr="00085CF6">
        <w:rPr>
          <w:rFonts w:ascii="David" w:hAnsi="David" w:cs="David"/>
          <w:rtl/>
        </w:rPr>
        <w:t xml:space="preserve">ל הוועדה המקומית, אשר מכוחה ניתן להקנות זכויות להקמת מבני קייט, וזאת בכפוף לאישורה של תוכנית מפורטת החלה על יישוב ספציפי. בהיעדר תוכנית </w:t>
      </w:r>
      <w:r w:rsidRPr="00085CF6">
        <w:rPr>
          <w:rFonts w:ascii="David" w:hAnsi="David" w:cs="David"/>
          <w:rtl/>
        </w:rPr>
        <w:t>מפורטת כאמור ביחס ליישוב בית ינאי, לא ניתן לייחס לחלקות זכויות מכוח תוכנית זו</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9B40A2">
        <w:rPr>
          <w:rFonts w:ascii="David" w:hAnsi="David" w:cs="David"/>
          <w:rtl/>
        </w:rPr>
        <w:t xml:space="preserve">על כן, לשיטתנו, תוכנית עח/20/200 לבדה אינה מקימה ציפייה לזכויות בנייה קונקרטיות, שכן היא משמשת כמסגרת כללית בלבד לקידומן של תוכניות מפורטות. בהתאם לכך, אין לראות בה כתוכנית היוצרת פוטנציאל תכנוני קונקרטי, ובוודאי שלא פוטנציאל שניתן להגדירו כ"קרוב לוודאי". </w:t>
      </w:r>
      <w:r w:rsidRPr="009B40A2">
        <w:rPr>
          <w:rFonts w:ascii="David" w:hAnsi="David" w:cs="David"/>
          <w:rtl/>
        </w:rPr>
        <w:t xml:space="preserve">מדובר לכל היותר בפוטנציאל תכנוני כללי, אשר בהתאם להלכה שנקבעה בעניין </w:t>
      </w:r>
      <w:r w:rsidRPr="009B40A2">
        <w:rPr>
          <w:rFonts w:ascii="Miriam" w:hAnsi="Miriam" w:cs="Miriam"/>
          <w:rtl/>
        </w:rPr>
        <w:t>דלי דליה</w:t>
      </w:r>
      <w:r w:rsidRPr="009B40A2">
        <w:rPr>
          <w:rFonts w:ascii="David" w:hAnsi="David" w:cs="David"/>
          <w:rtl/>
        </w:rPr>
        <w:t xml:space="preserve">, אין להביאו בחשבון לצורך קביעת פיצוי לפי </w:t>
      </w:r>
      <w:hyperlink r:id="rId9" w:history="1">
        <w:r w:rsidRPr="000A48E6" w:rsidR="000A48E6">
          <w:rPr>
            <w:rStyle w:val="Hyperlink"/>
            <w:rFonts w:ascii="David" w:hAnsi="David" w:cs="David"/>
            <w:rtl/>
          </w:rPr>
          <w:t>סעיף 197</w:t>
        </w:r>
      </w:hyperlink>
      <w:r w:rsidRPr="009B40A2">
        <w:rPr>
          <w:rFonts w:ascii="David" w:hAnsi="David" w:cs="David"/>
          <w:rtl/>
        </w:rPr>
        <w:t xml:space="preserve"> לחוק, אף אם ניתן להראות כי הוא בא לידי ביטוי כלשהו בערכן הריאלי של החלקות</w:t>
      </w:r>
      <w:r>
        <w:rPr>
          <w:rFonts w:ascii="David" w:hAnsi="David" w:cs="David"/>
          <w:rtl/>
        </w:rPr>
        <w:t>, מ</w:t>
      </w:r>
      <w:r>
        <w:rPr>
          <w:rFonts w:ascii="David" w:hAnsi="David" w:cs="David"/>
          <w:rtl/>
        </w:rPr>
        <w:t>ה שלא נעשה בענייננו (שם, ב</w:t>
      </w:r>
      <w:r w:rsidRPr="009B40A2">
        <w:rPr>
          <w:rFonts w:ascii="David" w:hAnsi="David" w:cs="David"/>
          <w:rtl/>
        </w:rPr>
        <w:t xml:space="preserve">פסקה 105 לפסק דינה של </w:t>
      </w:r>
      <w:r>
        <w:rPr>
          <w:rFonts w:ascii="David" w:hAnsi="David" w:cs="David"/>
          <w:rtl/>
        </w:rPr>
        <w:t xml:space="preserve">כבוד </w:t>
      </w:r>
      <w:r w:rsidRPr="009B40A2">
        <w:rPr>
          <w:rFonts w:ascii="David" w:hAnsi="David" w:cs="David"/>
          <w:rtl/>
        </w:rPr>
        <w:t>השופטת ברק-ארז)</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757B05">
        <w:rPr>
          <w:rFonts w:ascii="David" w:hAnsi="David" w:cs="David"/>
          <w:rtl/>
        </w:rPr>
        <w:t>על יסוד טעמים אלה, איננו סבורים כי נפל פגם כלשהו בשומות המייעצות בכל הנוגע לאופן הערכת זכויות הבנייה בחלקות, הן במצב התכנוני הקודם והן לאחר אישורה של תת"ל 31.</w:t>
      </w:r>
    </w:p>
    <w:p w:rsidR="007E0DC7" w:rsidRPr="001F5412" w:rsidP="00DC4636">
      <w:pPr>
        <w:pStyle w:val="Ruller4"/>
        <w:suppressLineNumbers/>
        <w:tabs>
          <w:tab w:val="clear" w:pos="800"/>
        </w:tabs>
        <w:spacing w:before="240" w:after="240"/>
        <w:ind w:left="567"/>
        <w:rPr>
          <w:rFonts w:ascii="Miriam" w:hAnsi="Miriam" w:cs="Miriam"/>
        </w:rPr>
      </w:pPr>
      <w:r w:rsidRPr="001F5412">
        <w:rPr>
          <w:rFonts w:ascii="Miriam" w:hAnsi="Miriam" w:cs="Miriam"/>
          <w:rtl/>
        </w:rPr>
        <w:t>פגיעה בצפיפות</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757B05">
        <w:rPr>
          <w:rFonts w:ascii="David" w:hAnsi="David" w:cs="David"/>
          <w:rtl/>
        </w:rPr>
        <w:t>השמאית המכריע</w:t>
      </w:r>
      <w:r w:rsidRPr="00757B05">
        <w:rPr>
          <w:rFonts w:ascii="David" w:hAnsi="David" w:cs="David"/>
          <w:rtl/>
        </w:rPr>
        <w:t>ה סברה כי הגדלת הצפיפות בחלק מהחלקות</w:t>
      </w:r>
      <w:r>
        <w:rPr>
          <w:rFonts w:ascii="David" w:hAnsi="David" w:cs="David"/>
          <w:rtl/>
        </w:rPr>
        <w:t>,</w:t>
      </w:r>
      <w:r w:rsidRPr="00757B05">
        <w:rPr>
          <w:rFonts w:ascii="David" w:hAnsi="David" w:cs="David"/>
          <w:rtl/>
        </w:rPr>
        <w:t xml:space="preserve"> דהיינו, במקרים שבהם לא חל שינוי בשיעור זכויות הבנייה אך שטח החלקה פחת</w:t>
      </w:r>
      <w:r>
        <w:rPr>
          <w:rFonts w:ascii="David" w:hAnsi="David" w:cs="David"/>
          <w:rtl/>
        </w:rPr>
        <w:t>,</w:t>
      </w:r>
      <w:r w:rsidRPr="00757B05">
        <w:rPr>
          <w:rFonts w:ascii="David" w:hAnsi="David" w:cs="David"/>
          <w:rtl/>
        </w:rPr>
        <w:t xml:space="preserve"> מביאה לירידת ערך בשיעור ממוצע של 0.11% לכל אחוז שנגרע משטח החלקה</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17E28">
        <w:rPr>
          <w:rFonts w:ascii="David" w:hAnsi="David" w:cs="David"/>
          <w:rtl/>
        </w:rPr>
        <w:t xml:space="preserve">לצורך הבנת הסוגיה, יובהר כי שאלת הצפיפות בתביעות לפי </w:t>
      </w:r>
      <w:hyperlink r:id="rId9" w:history="1">
        <w:r w:rsidRPr="000A48E6" w:rsidR="000A48E6">
          <w:rPr>
            <w:rStyle w:val="Hyperlink"/>
            <w:rFonts w:ascii="David" w:hAnsi="David" w:cs="David"/>
            <w:rtl/>
          </w:rPr>
          <w:t>סעיף 197</w:t>
        </w:r>
      </w:hyperlink>
      <w:r w:rsidRPr="00C17E28">
        <w:rPr>
          <w:rFonts w:ascii="David" w:hAnsi="David" w:cs="David"/>
          <w:rtl/>
        </w:rPr>
        <w:t xml:space="preserve"> לחוק עוסקת בעיקר בהשפעת שינוי תכנוני</w:t>
      </w:r>
      <w:r>
        <w:rPr>
          <w:rFonts w:ascii="David" w:hAnsi="David" w:cs="David"/>
          <w:rtl/>
        </w:rPr>
        <w:t>,</w:t>
      </w:r>
      <w:r w:rsidRPr="00C17E28">
        <w:rPr>
          <w:rFonts w:ascii="David" w:hAnsi="David" w:cs="David"/>
          <w:rtl/>
        </w:rPr>
        <w:t xml:space="preserve"> לרוב בדרך של שינוי ייעוד קרקע סחירה לייעוד ציבורי לצורכי הפקעה</w:t>
      </w:r>
      <w:r>
        <w:rPr>
          <w:rFonts w:ascii="David" w:hAnsi="David" w:cs="David"/>
          <w:rtl/>
        </w:rPr>
        <w:t>,</w:t>
      </w:r>
      <w:r w:rsidRPr="00C17E28">
        <w:rPr>
          <w:rFonts w:ascii="David" w:hAnsi="David" w:cs="David"/>
          <w:rtl/>
        </w:rPr>
        <w:t xml:space="preserve"> על אפשרות מימוש זכויות הבנייה במגרש, והשלכתה על שווי המקרקעין. בהקשר זה, צפיפות מוגדרת כיחס בין מספר יחידות הדיור לבין ש</w:t>
      </w:r>
      <w:r w:rsidRPr="00C17E28">
        <w:rPr>
          <w:rFonts w:ascii="David" w:hAnsi="David" w:cs="David"/>
          <w:rtl/>
        </w:rPr>
        <w:t xml:space="preserve">טח הקרקע (במ"ר). כאשר עקב הפקעה נגרע חלק משטח </w:t>
      </w:r>
      <w:r>
        <w:rPr>
          <w:rFonts w:ascii="David" w:hAnsi="David" w:cs="David"/>
          <w:rtl/>
        </w:rPr>
        <w:t>החלקה</w:t>
      </w:r>
      <w:r w:rsidRPr="00C17E28">
        <w:rPr>
          <w:rFonts w:ascii="David" w:hAnsi="David" w:cs="David"/>
          <w:rtl/>
        </w:rPr>
        <w:t xml:space="preserve"> אך מספר יחידות הדיור נותר ללא שינוי, נוצרת עלייה בצפיפות בפועל – תוצאה שעשויה להשפיע לרעה על שווי הקרקע</w:t>
      </w:r>
      <w:r w:rsidRPr="006B55AF">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D072B">
        <w:rPr>
          <w:rFonts w:ascii="David" w:hAnsi="David" w:cs="David"/>
          <w:rtl/>
        </w:rPr>
        <w:t>מבחינה שמאית, לצפיפות קיימת השפעה ישירה על שווי המקרקעין. מחד גיסא, צפיפות גבוהה יותר משמעה שכל תא־</w:t>
      </w:r>
      <w:r w:rsidRPr="004D072B">
        <w:rPr>
          <w:rFonts w:ascii="David" w:hAnsi="David" w:cs="David"/>
          <w:rtl/>
        </w:rPr>
        <w:t xml:space="preserve">שטח כולל </w:t>
      </w:r>
      <w:r w:rsidRPr="004D072B">
        <w:rPr>
          <w:rFonts w:ascii="David" w:hAnsi="David" w:cs="David"/>
          <w:rtl/>
        </w:rPr>
        <w:t>מספר רב יותר של יחידות דיור, מצב אשר עשוי להעלות את השווי ליחידת דיור מבחינת ניצול הקרקע. עם זאת, היא מפחיתה את איכות המרחב</w:t>
      </w:r>
      <w:r>
        <w:rPr>
          <w:rFonts w:ascii="David" w:hAnsi="David" w:cs="David"/>
          <w:rtl/>
        </w:rPr>
        <w:t>,</w:t>
      </w:r>
      <w:r w:rsidRPr="004D072B">
        <w:rPr>
          <w:rFonts w:ascii="David" w:hAnsi="David" w:cs="David"/>
          <w:rtl/>
        </w:rPr>
        <w:t xml:space="preserve"> בין היתר עקב צמצום שטח החצר, ירידה בתחושת הפרטיות ופגיעה באיכות החיים. מאידך גיסא, צפיפות נמוכה עשויה לשפר את ערך היחידה ה</w:t>
      </w:r>
      <w:r w:rsidRPr="004D072B">
        <w:rPr>
          <w:rFonts w:ascii="David" w:hAnsi="David" w:cs="David"/>
          <w:rtl/>
        </w:rPr>
        <w:t>בודדת מבחינת איכות החיים, אך בה בעת לצמצם את מספר היחידות שניתן להקים על אותו תא־שטח, ומשכך להקטין את שווי הקרקע למ"ר</w:t>
      </w:r>
      <w:r w:rsidRPr="005D1B1A">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4D072B">
        <w:rPr>
          <w:rFonts w:ascii="David" w:hAnsi="David" w:cs="David"/>
          <w:rtl/>
        </w:rPr>
        <w:t>במקרים של שינוי ייעוד לצורך הפקעה צפויה, מתרחש מצב של "הגדלת צפיפות כפויה", והשפעת מצב זה על שווי הקרקע מחייבת בחינה פרטנית ויסודית של הנכס הנישום ומאפייניו הייחודיים. בחינה כאמור בוצעה על־ידי השמאית המייעצת במסגרת השומות המייעצות, במסגרתה נותחו עסקאות שבו</w:t>
      </w:r>
      <w:r w:rsidRPr="004D072B">
        <w:rPr>
          <w:rFonts w:ascii="David" w:hAnsi="David" w:cs="David"/>
          <w:rtl/>
        </w:rPr>
        <w:t xml:space="preserve">צעו בנחלות שבהן היקף זכויות הבנייה המותר הוא עד 400 מ"ר, תחת שימוש מותר למגורים. במקביל, נותחו עסקאות שנערכו במגרשי מגורים עם זכויות בנייה בהיקף של 220 מ"ר. ניתוח כולל של עסקאות אלו </w:t>
      </w:r>
      <w:r>
        <w:rPr>
          <w:rFonts w:ascii="David" w:hAnsi="David" w:cs="David"/>
          <w:rtl/>
        </w:rPr>
        <w:t>הוביל</w:t>
      </w:r>
      <w:r w:rsidRPr="004D072B">
        <w:rPr>
          <w:rFonts w:ascii="David" w:hAnsi="David" w:cs="David"/>
          <w:rtl/>
        </w:rPr>
        <w:t xml:space="preserve"> למסקנה שלפיה הגדלת צפיפות כפויה גורמת לירידת ערך ממוצעת בשיעור של 0.</w:t>
      </w:r>
      <w:r w:rsidRPr="004D072B">
        <w:rPr>
          <w:rFonts w:ascii="David" w:hAnsi="David" w:cs="David"/>
          <w:rtl/>
        </w:rPr>
        <w:t xml:space="preserve">11% לכל </w:t>
      </w:r>
      <w:r>
        <w:rPr>
          <w:rFonts w:ascii="David" w:hAnsi="David" w:cs="David"/>
          <w:rtl/>
        </w:rPr>
        <w:t xml:space="preserve">אחוז </w:t>
      </w:r>
      <w:r w:rsidRPr="004D072B">
        <w:rPr>
          <w:rFonts w:ascii="David" w:hAnsi="David" w:cs="David"/>
          <w:rtl/>
        </w:rPr>
        <w:t>שנגרע משטח המגרש</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F3F85">
        <w:rPr>
          <w:rFonts w:ascii="David" w:hAnsi="David" w:cs="David"/>
          <w:rtl/>
        </w:rPr>
        <w:t>העוררים אינם משיגים על הניתוח שנערך במסגרת השומות המייעצות או על ממצאיו, אלא ממקדים את טענותיהם בתוצאה שהתקבלה בעניינם, ביחס לתוצאה שנקבעה במקרה אחר – חלקה 78 בגוש 8337. לטענתם, באותו מקרה נקבעה ירידת ערך בשיעור של 10.59% בג</w:t>
      </w:r>
      <w:r w:rsidRPr="00CF3F85">
        <w:rPr>
          <w:rFonts w:ascii="David" w:hAnsi="David" w:cs="David"/>
          <w:rtl/>
        </w:rPr>
        <w:t>ין רכיב הגדלת הצפיפות, בעוד שבשומות המייעצות בענייננו נקבעה ירידת ערך מתונה בהרבה, בשיעור הנע בין 0.66% ל־1.43% בלבד.</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F3F85">
        <w:rPr>
          <w:rFonts w:ascii="David" w:hAnsi="David" w:cs="David"/>
          <w:rtl/>
        </w:rPr>
        <w:t>ואולם</w:t>
      </w:r>
      <w:r>
        <w:rPr>
          <w:rFonts w:ascii="David" w:hAnsi="David" w:cs="David"/>
          <w:rtl/>
        </w:rPr>
        <w:t xml:space="preserve"> הנושא קיבלת מענה ברור בשומות המייעצות</w:t>
      </w:r>
      <w:r w:rsidRPr="00CF3F85">
        <w:rPr>
          <w:rFonts w:ascii="David" w:hAnsi="David" w:cs="David"/>
          <w:rtl/>
        </w:rPr>
        <w:t xml:space="preserve">, </w:t>
      </w:r>
      <w:r>
        <w:rPr>
          <w:rFonts w:ascii="David" w:hAnsi="David" w:cs="David"/>
          <w:rtl/>
        </w:rPr>
        <w:t xml:space="preserve">כאשר </w:t>
      </w:r>
      <w:r w:rsidRPr="00CF3F85">
        <w:rPr>
          <w:rFonts w:ascii="David" w:hAnsi="David" w:cs="David"/>
          <w:rtl/>
        </w:rPr>
        <w:t>השמאית המייעצת הסתייגה מהקביעה שניתנה ביחס לחלקה 78 בגוש 8337, בציינה כי מסקנה זו אינה י</w:t>
      </w:r>
      <w:r w:rsidRPr="00CF3F85">
        <w:rPr>
          <w:rFonts w:ascii="David" w:hAnsi="David" w:cs="David"/>
          <w:rtl/>
        </w:rPr>
        <w:t>שימה או נכונה ביחס לחלקות מושא השומות דנן. בהקשר זה הוצגו שני נימוקים מרכזיים: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F3F85">
        <w:rPr>
          <w:rFonts w:ascii="David" w:hAnsi="David" w:cs="David"/>
          <w:rtl/>
        </w:rPr>
        <w:t xml:space="preserve">הנימוק הראשון הוא כי ביחס לחלקות 38 ו־76 לא התרחשה כלל עלייה בצפיפות. תת"ל 31 הובילה להפחתה בשיעור זכויות הבנייה </w:t>
      </w:r>
      <w:r w:rsidRPr="00CF3F85">
        <w:rPr>
          <w:rFonts w:ascii="David" w:hAnsi="David" w:cs="David"/>
          <w:rtl/>
        </w:rPr>
        <w:t xml:space="preserve">המוקנות להן, ומשכך, חרף ההפקעה הצפויה, חלה ירידה </w:t>
      </w:r>
      <w:r>
        <w:rPr>
          <w:rFonts w:ascii="David" w:hAnsi="David" w:cs="David"/>
          <w:rtl/>
        </w:rPr>
        <w:t>(</w:t>
      </w:r>
      <w:r w:rsidRPr="00CF3F85">
        <w:rPr>
          <w:rFonts w:ascii="David" w:hAnsi="David" w:cs="David"/>
          <w:rtl/>
        </w:rPr>
        <w:t>ולא עלייה</w:t>
      </w:r>
      <w:r>
        <w:rPr>
          <w:rFonts w:ascii="David" w:hAnsi="David" w:cs="David"/>
          <w:rtl/>
        </w:rPr>
        <w:t>)</w:t>
      </w:r>
      <w:r w:rsidRPr="00CF3F85">
        <w:rPr>
          <w:rFonts w:ascii="David" w:hAnsi="David" w:cs="David"/>
          <w:rtl/>
        </w:rPr>
        <w:t xml:space="preserve"> בער</w:t>
      </w:r>
      <w:r w:rsidRPr="00CF3F85">
        <w:rPr>
          <w:rFonts w:ascii="David" w:hAnsi="David" w:cs="David"/>
          <w:rtl/>
        </w:rPr>
        <w:t>ך הצפיפות.</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F3F85">
        <w:rPr>
          <w:rFonts w:ascii="David" w:hAnsi="David" w:cs="David"/>
          <w:rtl/>
        </w:rPr>
        <w:t>הנימוק השני מתייחס לניתוח העסקאות שבוצע בשומות המייעצות, שכלל עסקאות בנחלות ובמגרשי מגורים, אשר אינן תומכות בערך הגבוה שנקבע ביחס לחלקה 78, ומשכך אין מקום להחיל את אותה מסקנה במקרה שלפנינו.</w:t>
      </w:r>
    </w:p>
    <w:p w:rsidR="007E0DC7" w:rsidRPr="00C315EF" w:rsidP="00C315EF">
      <w:pPr>
        <w:pStyle w:val="Ruller4"/>
        <w:numPr>
          <w:ilvl w:val="0"/>
          <w:numId w:val="31"/>
        </w:numPr>
        <w:tabs>
          <w:tab w:val="clear" w:pos="454"/>
          <w:tab w:val="clear" w:pos="800"/>
          <w:tab w:val="num" w:pos="1361"/>
        </w:tabs>
        <w:spacing w:before="240" w:after="240"/>
        <w:rPr>
          <w:rFonts w:ascii="David" w:hAnsi="David" w:cs="David"/>
          <w:rtl/>
        </w:rPr>
      </w:pPr>
      <w:r w:rsidRPr="00CF3F85">
        <w:rPr>
          <w:rFonts w:ascii="David" w:hAnsi="David" w:cs="David"/>
          <w:rtl/>
        </w:rPr>
        <w:t xml:space="preserve">במצב דברים זה, קביעת השמאית המייעצת נשענת על מסד נתונים איתן, אשר </w:t>
      </w:r>
      <w:r>
        <w:rPr>
          <w:rFonts w:ascii="David" w:hAnsi="David" w:cs="David"/>
          <w:rtl/>
        </w:rPr>
        <w:t>אינו שנוי</w:t>
      </w:r>
      <w:r w:rsidRPr="00CF3F85">
        <w:rPr>
          <w:rFonts w:ascii="David" w:hAnsi="David" w:cs="David"/>
          <w:rtl/>
        </w:rPr>
        <w:t xml:space="preserve"> במחלוקת. אף אם קיים שוני בין המקרים, הרי שהתוצאה שהתקבלה בענייננו מבוססת ומנומקת כדבעי. משהעוררים לא ביקשו לחלוק על הניתוח עצמו, אין די בהצבעה על שונות בתוצאה בלבד. בשורה התחתונה, </w:t>
      </w:r>
      <w:r w:rsidRPr="00CF3F85">
        <w:rPr>
          <w:rFonts w:ascii="David" w:hAnsi="David" w:cs="David"/>
          <w:rtl/>
        </w:rPr>
        <w:t>לא עלה בידם להצביע על כל פגם שנפל בשומות המייעצות</w:t>
      </w:r>
      <w:r>
        <w:rPr>
          <w:rFonts w:ascii="David" w:hAnsi="David" w:cs="David"/>
          <w:rtl/>
        </w:rPr>
        <w:t>,</w:t>
      </w:r>
      <w:r w:rsidRPr="00CF3F85">
        <w:rPr>
          <w:rFonts w:ascii="David" w:hAnsi="David" w:cs="David"/>
          <w:rtl/>
        </w:rPr>
        <w:t xml:space="preserve"> לא כל שכן פגם מהותי או דופי חמור</w:t>
      </w:r>
      <w:r>
        <w:rPr>
          <w:rFonts w:ascii="David" w:hAnsi="David" w:cs="David"/>
          <w:rtl/>
        </w:rPr>
        <w:t>,</w:t>
      </w:r>
      <w:r w:rsidRPr="00CF3F85">
        <w:rPr>
          <w:rFonts w:ascii="David" w:hAnsi="David" w:cs="David"/>
          <w:rtl/>
        </w:rPr>
        <w:t xml:space="preserve"> באופן המצדיק את התערבות ועדת הערר. עסקינן בנושא המצוי בליבת שיקול הדעת השמאי, והכלל הוא כי ועדת הערר לא תתערב בו בנקל, אף אם הייתה סבורה כי התוצאה שהתקבלה במקרה אחר עדיפה </w:t>
      </w:r>
      <w:r w:rsidRPr="00CF3F85">
        <w:rPr>
          <w:rFonts w:ascii="David" w:hAnsi="David" w:cs="David"/>
          <w:rtl/>
        </w:rPr>
        <w:t>(ולמען הסר ספק – לא כך המצב בענייננו).</w:t>
      </w:r>
      <w:r>
        <w:rPr>
          <w:rFonts w:ascii="David" w:hAnsi="David" w:cs="David"/>
          <w:rtl/>
        </w:rPr>
        <w:t xml:space="preserve"> </w:t>
      </w:r>
    </w:p>
    <w:p w:rsidR="007E0DC7" w:rsidRPr="00771E8E" w:rsidP="00771E8E">
      <w:pPr>
        <w:pStyle w:val="Ruller4"/>
        <w:suppressLineNumbers/>
        <w:tabs>
          <w:tab w:val="clear" w:pos="800"/>
          <w:tab w:val="num" w:pos="1361"/>
        </w:tabs>
        <w:spacing w:before="240" w:after="240"/>
        <w:ind w:left="567"/>
        <w:rPr>
          <w:rFonts w:ascii="Miriam" w:hAnsi="Miriam" w:cs="Miriam"/>
        </w:rPr>
      </w:pPr>
      <w:r w:rsidRPr="00771E8E">
        <w:rPr>
          <w:rFonts w:ascii="Miriam" w:hAnsi="Miriam" w:cs="Miriam"/>
          <w:rtl/>
        </w:rPr>
        <w:t>עסקאות ההשוואה</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220130">
        <w:rPr>
          <w:rFonts w:ascii="David" w:hAnsi="David" w:cs="David"/>
          <w:rtl/>
        </w:rPr>
        <w:t>על יסוד העקרונות שפורטו לעיל, אנו דוחים את טענות הוועדה המקומית בקשר לעסקאות ההשוואה שבהן עשתה שימוש השמאית המייעצת. טענות אלו נטענו באופן כוללני בלבד, בהפניה למסמך שנערך על־ידי שמאי המקרקעין מר אלון ל</w:t>
      </w:r>
      <w:r w:rsidRPr="00220130">
        <w:rPr>
          <w:rFonts w:ascii="David" w:hAnsi="David" w:cs="David"/>
          <w:rtl/>
        </w:rPr>
        <w:t>ין, שכותרתו "תגובה לשומות מייעצות"</w:t>
      </w:r>
      <w:r>
        <w:rPr>
          <w:rFonts w:ascii="David" w:hAnsi="David" w:cs="David"/>
          <w:rtl/>
        </w:rPr>
        <w:t xml:space="preserve">. </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220130">
        <w:rPr>
          <w:rFonts w:ascii="David" w:hAnsi="David" w:cs="David"/>
          <w:rtl/>
        </w:rPr>
        <w:t>מסמך זה מציע סקירה של עסקאות ההשוואה שנכללו בשומות המייעצות, כאשר עמדתו של השמאי לין היא כי לא ניתנה התייחסות מספקת לכל אחת מהעסקאות שנבחנו. לשיטתו, קיימים פערים מהותיים שלא קיבלו ביטוי ראוי, לרבות ההבדל בין מגרש סחיר ל</w:t>
      </w:r>
      <w:r w:rsidRPr="00220130">
        <w:rPr>
          <w:rFonts w:ascii="David" w:hAnsi="David" w:cs="David"/>
          <w:rtl/>
        </w:rPr>
        <w:t xml:space="preserve">נחלה שהיכולת לסחור בה מוגבלת, וכן הבדל בין מגרש הממוקם ב"קו שלישי" לים לבין </w:t>
      </w:r>
      <w:r>
        <w:rPr>
          <w:rFonts w:ascii="David" w:hAnsi="David" w:cs="David"/>
          <w:rtl/>
        </w:rPr>
        <w:t>החלקות דנן</w:t>
      </w:r>
      <w:r w:rsidRPr="00220130">
        <w:rPr>
          <w:rFonts w:ascii="David" w:hAnsi="David" w:cs="David"/>
          <w:rtl/>
        </w:rPr>
        <w:t xml:space="preserve"> </w:t>
      </w:r>
      <w:r>
        <w:rPr>
          <w:rFonts w:ascii="David" w:hAnsi="David" w:cs="David"/>
          <w:rtl/>
        </w:rPr>
        <w:t>שניתן להגדירן</w:t>
      </w:r>
      <w:r w:rsidRPr="00220130">
        <w:rPr>
          <w:rFonts w:ascii="David" w:hAnsi="David" w:cs="David"/>
          <w:rtl/>
        </w:rPr>
        <w:t xml:space="preserve"> </w:t>
      </w:r>
      <w:r>
        <w:rPr>
          <w:rFonts w:ascii="David" w:hAnsi="David" w:cs="David"/>
          <w:rtl/>
        </w:rPr>
        <w:t>כ</w:t>
      </w:r>
      <w:r w:rsidRPr="00220130">
        <w:rPr>
          <w:rFonts w:ascii="David" w:hAnsi="David" w:cs="David"/>
          <w:rtl/>
        </w:rPr>
        <w:t>"קו רביעי"</w:t>
      </w:r>
      <w:r>
        <w:rPr>
          <w:rFonts w:ascii="David" w:hAnsi="David" w:cs="David"/>
          <w:rtl/>
        </w:rPr>
        <w:t xml:space="preserve"> לים</w:t>
      </w:r>
      <w:r w:rsidRPr="00220130">
        <w:rPr>
          <w:rFonts w:ascii="David" w:hAnsi="David" w:cs="David"/>
          <w:rtl/>
        </w:rPr>
        <w:t>. נוסף על כך, השמאי לין מצביע על הבדלים נוספים, ומציין כי שיקול דעתו המקצועי שונה מזה של השמאית המייעצת</w:t>
      </w:r>
      <w:r>
        <w:rPr>
          <w:rFonts w:ascii="David" w:hAnsi="David" w:cs="David"/>
          <w:rtl/>
        </w:rPr>
        <w:t>,</w:t>
      </w:r>
      <w:r w:rsidRPr="00220130">
        <w:rPr>
          <w:rFonts w:ascii="David" w:hAnsi="David" w:cs="David"/>
          <w:rtl/>
        </w:rPr>
        <w:t xml:space="preserve"> בעיקר בכל הנוגע לערכים </w:t>
      </w:r>
      <w:r w:rsidRPr="00220130">
        <w:rPr>
          <w:rFonts w:ascii="David" w:hAnsi="David" w:cs="David"/>
          <w:rtl/>
        </w:rPr>
        <w:t>שיוחסו לצורך</w:t>
      </w:r>
      <w:r w:rsidRPr="00220130">
        <w:rPr>
          <w:rFonts w:ascii="David" w:hAnsi="David" w:cs="David"/>
          <w:rtl/>
        </w:rPr>
        <w:t xml:space="preserve"> התאמת העסקאות, לרבות התאמות למיקום, למועד העסקה וליתר מאפיינים רלוונטיים.</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3D43C6">
        <w:rPr>
          <w:rFonts w:ascii="David" w:hAnsi="David" w:cs="David"/>
          <w:rtl/>
        </w:rPr>
        <w:t>ניתן להבין, אפוא, כי מדובר במחלוקות מקצועיות גרידא בתחום שמאות המקרקעין</w:t>
      </w:r>
      <w:r>
        <w:rPr>
          <w:rFonts w:ascii="David" w:hAnsi="David" w:cs="David"/>
          <w:rtl/>
        </w:rPr>
        <w:t>, ו</w:t>
      </w:r>
      <w:r w:rsidRPr="003D43C6">
        <w:rPr>
          <w:rFonts w:ascii="David" w:hAnsi="David" w:cs="David"/>
          <w:rtl/>
        </w:rPr>
        <w:t>בכך בלבד אין די להצדיק התערבות בשומות המייעצות. כידוע, הצגת עמדה מקצועית שונה אינה מספקת, ויש להראות פגם מה</w:t>
      </w:r>
      <w:r w:rsidRPr="003D43C6">
        <w:rPr>
          <w:rFonts w:ascii="David" w:hAnsi="David" w:cs="David"/>
          <w:rtl/>
        </w:rPr>
        <w:t>ותי או דופי חמור שנפל בשומות, אשר מצדיק את פסילתן או תיקונן. בענייננו, טענה כזו לא הוכחה, ואף לא נטענה באופן קונקרטי</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3D43C6">
        <w:rPr>
          <w:rFonts w:ascii="David" w:hAnsi="David" w:cs="David"/>
          <w:rtl/>
        </w:rPr>
        <w:t xml:space="preserve">נהפוך הוא – עיון בשומות המייעצות מלמד כי עסקאות ההשוואה שנבחנו על־ידי השמאית המייעצת נותחו באופן יסודי, מקיף, ושיטתי, תוך התייחסות למגוון </w:t>
      </w:r>
      <w:r w:rsidRPr="003D43C6">
        <w:rPr>
          <w:rFonts w:ascii="David" w:hAnsi="David" w:cs="David"/>
          <w:rtl/>
        </w:rPr>
        <w:t>רחב של משתנים, לרבות מועד העסקה, שווי המחוברים, התאמות למיקום, התאמות לזמן, וכן התאמות לצורת המגרש ולמאפייניו הפיזיים והתכנוניים. כלל הנתונים הוצגו באופן שקוף, בהיר וקוהרנטי, וניכר קשר ישיר וברור בינם לבין המסקנות שנקבעו בשומות. על כן, לא מצאנו כל עילה המצ</w:t>
      </w:r>
      <w:r w:rsidRPr="003D43C6">
        <w:rPr>
          <w:rFonts w:ascii="David" w:hAnsi="David" w:cs="David"/>
          <w:rtl/>
        </w:rPr>
        <w:t>דיקה התערבות בערכי השווי שנקבעו</w:t>
      </w:r>
      <w:r>
        <w:rPr>
          <w:rFonts w:ascii="David" w:hAnsi="David" w:cs="David"/>
          <w:rtl/>
        </w:rPr>
        <w:t>.</w:t>
      </w:r>
    </w:p>
    <w:p w:rsidR="007E0DC7" w:rsidP="00FA77BF">
      <w:pPr>
        <w:pStyle w:val="Ruller4"/>
        <w:suppressLineNumbers/>
        <w:tabs>
          <w:tab w:val="clear" w:pos="800"/>
          <w:tab w:val="num" w:pos="1361"/>
        </w:tabs>
        <w:spacing w:before="240" w:after="240"/>
        <w:ind w:left="567"/>
        <w:rPr>
          <w:rFonts w:ascii="David" w:hAnsi="David" w:cs="David"/>
        </w:rPr>
      </w:pPr>
      <w:r w:rsidRPr="00FA77BF">
        <w:rPr>
          <w:rFonts w:ascii="Miriam" w:hAnsi="Miriam" w:cs="Miriam"/>
          <w:rtl/>
        </w:rPr>
        <w:t>התעלמות מפגיעות עקיפות</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311F8E">
        <w:rPr>
          <w:rFonts w:ascii="David" w:hAnsi="David" w:cs="David"/>
          <w:rtl/>
        </w:rPr>
        <w:t>השמאית המייעצת נדרשה לטענות העוררים בדבר פגיעות עקיפות הנובעות מהרחבת תוואי הדרך, ובכלל זה מטרדי רעש, זיהום אוויר, הסתרת נוף וחסימת אור</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CA3383">
        <w:rPr>
          <w:rFonts w:ascii="David" w:hAnsi="David" w:cs="David"/>
          <w:rtl/>
        </w:rPr>
        <w:t>בהתאם לניתוח המוצע בשומה המכרעת</w:t>
      </w:r>
      <w:r>
        <w:rPr>
          <w:rFonts w:ascii="David" w:hAnsi="David" w:cs="David"/>
          <w:rtl/>
        </w:rPr>
        <w:t xml:space="preserve">, </w:t>
      </w:r>
      <w:r w:rsidRPr="00CA3383">
        <w:rPr>
          <w:rFonts w:ascii="David" w:hAnsi="David" w:cs="David"/>
          <w:rtl/>
        </w:rPr>
        <w:t>ניתוח שלא הועמד במחלוקת על־ידי</w:t>
      </w:r>
      <w:r w:rsidRPr="00CA3383">
        <w:rPr>
          <w:rFonts w:ascii="David" w:hAnsi="David" w:cs="David"/>
          <w:rtl/>
        </w:rPr>
        <w:t xml:space="preserve"> הצדדים</w:t>
      </w:r>
      <w:r>
        <w:rPr>
          <w:rFonts w:ascii="David" w:hAnsi="David" w:cs="David"/>
          <w:rtl/>
        </w:rPr>
        <w:t>,</w:t>
      </w:r>
      <w:r w:rsidRPr="00CA3383">
        <w:rPr>
          <w:rFonts w:ascii="David" w:hAnsi="David" w:cs="David"/>
          <w:rtl/>
        </w:rPr>
        <w:t xml:space="preserve"> רוחב הכביש הגובל בחלקות, לאחר ההרחבה האפשרית מכוח תת"ל 31, יעמוד על 65 מטרים, וזאת לעומת המצב התכנוני שקדם לה, שבו הותר כביש ברוחב של 60 מטרים. לפיכך, השינוי שנגרם כתוצאה מאישורה של תת"ל 31 מתבטא, הלכה למעשה, בהרחבה של 5 מטרים בלבד ברוחב הכביש הגו</w:t>
      </w:r>
      <w:r w:rsidRPr="00CA3383">
        <w:rPr>
          <w:rFonts w:ascii="David" w:hAnsi="David" w:cs="David"/>
          <w:rtl/>
        </w:rPr>
        <w:t>בל</w:t>
      </w:r>
      <w:r>
        <w:rPr>
          <w:rFonts w:ascii="David" w:hAnsi="David" w:cs="David"/>
          <w:rtl/>
        </w:rPr>
        <w:t xml:space="preserve">.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EC69B7">
        <w:rPr>
          <w:rFonts w:ascii="David" w:hAnsi="David" w:cs="David"/>
          <w:rtl/>
        </w:rPr>
        <w:t>על רקע זה, הבחינה הנדרשת בענייננו ואשר בוצעה בפועל במסגרת השומות המייעצות</w:t>
      </w:r>
      <w:r>
        <w:rPr>
          <w:rFonts w:ascii="David" w:hAnsi="David" w:cs="David"/>
          <w:rtl/>
        </w:rPr>
        <w:t>,</w:t>
      </w:r>
      <w:r w:rsidRPr="00EC69B7">
        <w:rPr>
          <w:rFonts w:ascii="David" w:hAnsi="David" w:cs="David"/>
          <w:rtl/>
        </w:rPr>
        <w:t xml:space="preserve"> היא בחינה המשווה בין שווי המצב התכנוני הקודם, שבו החלקות גובלות בכביש ברוחב של 60 מטרים, </w:t>
      </w:r>
      <w:r w:rsidRPr="00EC69B7">
        <w:rPr>
          <w:rFonts w:ascii="David" w:hAnsi="David" w:cs="David"/>
          <w:rtl/>
        </w:rPr>
        <w:t xml:space="preserve">לבין שווי המצב התכנוני החדש, שבו רוחב הכביש גדל ל־65 מטרים. בחינה זו נעשית תוך התעלמות </w:t>
      </w:r>
      <w:r w:rsidRPr="00EC69B7">
        <w:rPr>
          <w:rFonts w:ascii="David" w:hAnsi="David" w:cs="David"/>
          <w:rtl/>
        </w:rPr>
        <w:t>מהמצב הפיזי הקיים בפועל, שכן בהתאם לדין, הפגיעה נבחנת לפי מבחן אובייקטיבי של פגיעה במקרקעין</w:t>
      </w:r>
      <w:r>
        <w:rPr>
          <w:rFonts w:ascii="David" w:hAnsi="David" w:cs="David"/>
          <w:rtl/>
        </w:rPr>
        <w:t>,</w:t>
      </w:r>
      <w:r w:rsidRPr="00EC69B7">
        <w:rPr>
          <w:rFonts w:ascii="David" w:hAnsi="David" w:cs="David"/>
          <w:rtl/>
        </w:rPr>
        <w:t xml:space="preserve"> קרי, לפי תכונותיהם וייעודם כתא־שטח תכנוני</w:t>
      </w:r>
      <w:r>
        <w:rPr>
          <w:rFonts w:ascii="David" w:hAnsi="David" w:cs="David"/>
          <w:rtl/>
        </w:rPr>
        <w:t>,</w:t>
      </w:r>
      <w:r w:rsidRPr="00EC69B7">
        <w:rPr>
          <w:rFonts w:ascii="David" w:hAnsi="David" w:cs="David"/>
          <w:rtl/>
        </w:rPr>
        <w:t xml:space="preserve"> ולא לפי מבחן סובייקטיבי המתמקד בפגיעתו של השינוי במי שמחזיק במקרקעין במועד הקובע </w:t>
      </w:r>
      <w:r w:rsidRPr="008E375A">
        <w:rPr>
          <w:rFonts w:ascii="David" w:hAnsi="David" w:cs="David"/>
          <w:rtl/>
        </w:rPr>
        <w:t>(</w:t>
      </w:r>
      <w:hyperlink r:id="rId28" w:history="1">
        <w:r w:rsidRPr="00EC305A" w:rsidR="00EC305A">
          <w:rPr>
            <w:rStyle w:val="Hyperlink"/>
            <w:rFonts w:ascii="David" w:hAnsi="David" w:cs="David"/>
            <w:rtl/>
          </w:rPr>
          <w:t>ע"א 1188/92</w:t>
        </w:r>
      </w:hyperlink>
      <w:r w:rsidRPr="008E375A">
        <w:rPr>
          <w:rFonts w:ascii="David" w:hAnsi="David" w:cs="David"/>
          <w:rtl/>
        </w:rPr>
        <w:t xml:space="preserve"> </w:t>
      </w:r>
      <w:r w:rsidRPr="004E2F52">
        <w:rPr>
          <w:rFonts w:ascii="Miriam" w:hAnsi="Miriam" w:cs="Miriam"/>
          <w:rtl/>
        </w:rPr>
        <w:t>הוועדה המקומית לתכנון ולבנייה ירושלים נ' ברעלי</w:t>
      </w:r>
      <w:r w:rsidRPr="008E375A">
        <w:rPr>
          <w:rFonts w:ascii="David" w:hAnsi="David" w:cs="David"/>
          <w:rtl/>
        </w:rPr>
        <w:t>, פ"ד מט(1) 463, 473 (1995)</w:t>
      </w:r>
      <w:r>
        <w:rPr>
          <w:rFonts w:ascii="David" w:hAnsi="David" w:cs="David"/>
          <w:rtl/>
        </w:rPr>
        <w:t xml:space="preserve"> (להלן: </w:t>
      </w:r>
      <w:r w:rsidRPr="00780F73">
        <w:rPr>
          <w:rFonts w:ascii="Miriam" w:hAnsi="Miriam" w:cs="Miriam"/>
          <w:rtl/>
        </w:rPr>
        <w:t>עניין ברעלי</w:t>
      </w:r>
      <w:r>
        <w:rPr>
          <w:rFonts w:ascii="David" w:hAnsi="David" w:cs="David"/>
          <w:rtl/>
        </w:rPr>
        <w:t>)</w:t>
      </w:r>
      <w:r w:rsidRPr="008E375A">
        <w:rPr>
          <w:rFonts w:ascii="David" w:hAnsi="David" w:cs="David"/>
          <w:rtl/>
        </w:rPr>
        <w:t>)</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EC69B7">
        <w:rPr>
          <w:rFonts w:ascii="David" w:hAnsi="David" w:cs="David"/>
          <w:rtl/>
        </w:rPr>
        <w:t xml:space="preserve">בחינה זו נערכה על בסיס הממצאים המפורטים בתסקיר ההשפעה על הסביבה, הכלול במסמכי התוכנית (להלן: </w:t>
      </w:r>
      <w:r w:rsidRPr="00EC69B7">
        <w:rPr>
          <w:rFonts w:ascii="Miriam" w:hAnsi="Miriam" w:cs="Miriam"/>
          <w:rtl/>
        </w:rPr>
        <w:t>תסקיר הסביבה</w:t>
      </w:r>
      <w:r w:rsidRPr="00EC69B7">
        <w:rPr>
          <w:rFonts w:ascii="David" w:hAnsi="David" w:cs="David"/>
          <w:rtl/>
        </w:rPr>
        <w:t>), אשר שימש מקור מידע מהותי ל</w:t>
      </w:r>
      <w:r w:rsidRPr="00EC69B7">
        <w:rPr>
          <w:rFonts w:ascii="David" w:hAnsi="David" w:cs="David"/>
          <w:rtl/>
        </w:rPr>
        <w:t>הערכת ההשלכות הסביבתיות של הרחבת הכביש והשפעתן האפשרית על שווי המקרקעין</w:t>
      </w:r>
      <w:r>
        <w:rPr>
          <w:rFonts w:ascii="David" w:hAnsi="David" w:cs="David"/>
          <w:rtl/>
        </w:rPr>
        <w:t xml:space="preserve">.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EC69B7">
        <w:rPr>
          <w:rFonts w:ascii="David" w:hAnsi="David" w:cs="David"/>
          <w:rtl/>
        </w:rPr>
        <w:t xml:space="preserve">בכל הנוגע לטענות העוררים בדבר מפגעי רעש, תסקיר הסביבה הצביע על כך שרמת הרעש הצפויה מכביש הגובל בחלקות הייתה גבוהה מהערך המרבי המותר על־פי התקן המחייב, דהיינו מעל 64 </w:t>
      </w:r>
      <w:r w:rsidRPr="00EC69B7">
        <w:rPr>
          <w:rFonts w:ascii="David" w:hAnsi="David" w:cs="David"/>
        </w:rPr>
        <w:t>dB(A)</w:t>
      </w:r>
      <w:r w:rsidRPr="00EC69B7">
        <w:rPr>
          <w:rFonts w:ascii="David" w:hAnsi="David" w:cs="David"/>
          <w:rtl/>
        </w:rPr>
        <w:t xml:space="preserve">. בעוד </w:t>
      </w:r>
      <w:r w:rsidRPr="00EC69B7">
        <w:rPr>
          <w:rFonts w:ascii="David" w:hAnsi="David" w:cs="David"/>
          <w:rtl/>
        </w:rPr>
        <w:t>שבמצב הקודם לא חלה כל חובה להקמת מיגון אקוסטי, הרי שבמצב החדש</w:t>
      </w:r>
      <w:r>
        <w:rPr>
          <w:rFonts w:ascii="David" w:hAnsi="David" w:cs="David"/>
          <w:rtl/>
        </w:rPr>
        <w:t>,</w:t>
      </w:r>
      <w:r w:rsidRPr="00EC69B7">
        <w:rPr>
          <w:rFonts w:ascii="David" w:hAnsi="David" w:cs="David"/>
          <w:rtl/>
        </w:rPr>
        <w:t xml:space="preserve"> מכוח תת"ל 31</w:t>
      </w:r>
      <w:r>
        <w:rPr>
          <w:rFonts w:ascii="David" w:hAnsi="David" w:cs="David"/>
          <w:rtl/>
        </w:rPr>
        <w:t>,</w:t>
      </w:r>
      <w:r w:rsidRPr="00EC69B7">
        <w:rPr>
          <w:rFonts w:ascii="David" w:hAnsi="David" w:cs="David"/>
          <w:rtl/>
        </w:rPr>
        <w:t xml:space="preserve"> קיימת חובה להקים מיגון כאמור</w:t>
      </w:r>
      <w:r>
        <w:rPr>
          <w:rFonts w:ascii="David" w:hAnsi="David" w:cs="David"/>
          <w:rtl/>
        </w:rPr>
        <w:t xml:space="preserve">. </w:t>
      </w:r>
      <w:r w:rsidRPr="00EC69B7">
        <w:rPr>
          <w:rFonts w:ascii="David" w:hAnsi="David" w:cs="David"/>
          <w:rtl/>
        </w:rPr>
        <w:t xml:space="preserve">בהתאם לכך, השמאית המייעצת קבעה כי אין בידי העוררים להראות כי חלה החמרה כתוצאה מהרחבת הכביש ב־5 מטרים נוספים.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EC69B7">
        <w:rPr>
          <w:rFonts w:ascii="David" w:hAnsi="David" w:cs="David"/>
          <w:rtl/>
        </w:rPr>
        <w:t xml:space="preserve">מסקנה זו מקובלת עלינו, </w:t>
      </w:r>
      <w:r>
        <w:rPr>
          <w:rFonts w:ascii="David" w:hAnsi="David" w:cs="David"/>
          <w:rtl/>
        </w:rPr>
        <w:t xml:space="preserve">והדברים אמורים </w:t>
      </w:r>
      <w:r w:rsidRPr="00EC69B7">
        <w:rPr>
          <w:rFonts w:ascii="David" w:hAnsi="David" w:cs="David"/>
          <w:rtl/>
        </w:rPr>
        <w:t>ב</w:t>
      </w:r>
      <w:r w:rsidRPr="00EC69B7">
        <w:rPr>
          <w:rFonts w:ascii="David" w:hAnsi="David" w:cs="David"/>
          <w:rtl/>
        </w:rPr>
        <w:t xml:space="preserve">יתר שאת נוכח העובדה שטענות העוררים לא נתמכו בחוות דעת אקוסטית כלשהי, להבדיל מטענות נת"י, אשר נסמכו על חוות דעת אקוסטיות מפורטות. מחוות דעת אלה עלה כי נוכח תכנון מיגון אקוסטי והשימוש הצפוי ב"אספלט שקט", צפויה ירידה בעוצמת הרעש בטווח שבין 8 ל־15 </w:t>
      </w:r>
      <w:r w:rsidRPr="00EC69B7">
        <w:rPr>
          <w:rFonts w:ascii="David" w:hAnsi="David" w:cs="David"/>
        </w:rPr>
        <w:t>dB(A)</w:t>
      </w:r>
      <w:r w:rsidRPr="00EC69B7">
        <w:rPr>
          <w:rFonts w:ascii="David" w:hAnsi="David" w:cs="David"/>
          <w:rtl/>
        </w:rPr>
        <w:t xml:space="preserve"> לעומת </w:t>
      </w:r>
      <w:r w:rsidRPr="00EC69B7">
        <w:rPr>
          <w:rFonts w:ascii="David" w:hAnsi="David" w:cs="David"/>
          <w:rtl/>
        </w:rPr>
        <w:t>עוצמת הרעש שנמדדה במצב התכנוני הקודם, בהתאם לתסקיר הסביבה</w:t>
      </w:r>
      <w:r>
        <w:rPr>
          <w:rFonts w:ascii="David" w:hAnsi="David" w:cs="David"/>
          <w:rtl/>
        </w:rPr>
        <w:t>.</w:t>
      </w:r>
    </w:p>
    <w:p w:rsidR="007E0DC7" w:rsidRPr="00A632F5" w:rsidP="00343502">
      <w:pPr>
        <w:pStyle w:val="Ruller4"/>
        <w:numPr>
          <w:ilvl w:val="0"/>
          <w:numId w:val="31"/>
        </w:numPr>
        <w:tabs>
          <w:tab w:val="clear" w:pos="454"/>
          <w:tab w:val="clear" w:pos="800"/>
          <w:tab w:val="num" w:pos="1361"/>
        </w:tabs>
        <w:spacing w:before="240" w:after="240"/>
        <w:rPr>
          <w:rFonts w:ascii="David" w:hAnsi="David" w:cs="David"/>
        </w:rPr>
      </w:pPr>
      <w:r w:rsidRPr="00EC69B7">
        <w:rPr>
          <w:rFonts w:ascii="David" w:hAnsi="David" w:cs="David"/>
          <w:rtl/>
        </w:rPr>
        <w:t xml:space="preserve">כמו כן, ובניגוד לעמדת העוררים, איננו סבורים כי השמאית המייעצת שגתה בניתוח ההלכות הרלוונטיות. כך, למשל, פרשנותם של העוררים לפסק הדין בעניין </w:t>
      </w:r>
      <w:r w:rsidRPr="00EC69B7">
        <w:rPr>
          <w:rFonts w:ascii="Miriam" w:hAnsi="Miriam" w:cs="Miriam"/>
          <w:rtl/>
        </w:rPr>
        <w:t>ברעלי</w:t>
      </w:r>
      <w:r w:rsidRPr="00EC69B7">
        <w:rPr>
          <w:rFonts w:ascii="David" w:hAnsi="David" w:cs="David"/>
          <w:rtl/>
        </w:rPr>
        <w:t xml:space="preserve"> אינה ברורה ואינה מתיישבת עם </w:t>
      </w:r>
      <w:r>
        <w:rPr>
          <w:rFonts w:ascii="David" w:hAnsi="David" w:cs="David"/>
          <w:rtl/>
        </w:rPr>
        <w:t>משמעותו המפורשת של</w:t>
      </w:r>
      <w:r w:rsidRPr="00EC69B7">
        <w:rPr>
          <w:rFonts w:ascii="David" w:hAnsi="David" w:cs="David"/>
          <w:rtl/>
        </w:rPr>
        <w:t xml:space="preserve"> פסק הדין</w:t>
      </w:r>
      <w:r>
        <w:rPr>
          <w:rFonts w:ascii="David" w:hAnsi="David" w:cs="David"/>
          <w:rtl/>
        </w:rPr>
        <w:t xml:space="preserve">. </w:t>
      </w:r>
      <w:r w:rsidRPr="00EC69B7">
        <w:rPr>
          <w:rFonts w:ascii="David" w:hAnsi="David" w:cs="David"/>
          <w:rtl/>
        </w:rPr>
        <w:t>באותו מקרה, בית המשפט העליון</w:t>
      </w:r>
      <w:r>
        <w:rPr>
          <w:rFonts w:ascii="David" w:hAnsi="David" w:cs="David"/>
          <w:rtl/>
        </w:rPr>
        <w:t xml:space="preserve"> </w:t>
      </w:r>
      <w:r w:rsidRPr="00EC69B7">
        <w:rPr>
          <w:rFonts w:ascii="David" w:hAnsi="David" w:cs="David"/>
          <w:rtl/>
        </w:rPr>
        <w:t xml:space="preserve">קבע כי יש להעריך את הפגיעה הנטענת (באותו מקרה, עקב עליית מפלס </w:t>
      </w:r>
      <w:r w:rsidRPr="00EC69B7">
        <w:rPr>
          <w:rFonts w:ascii="David" w:hAnsi="David" w:cs="David"/>
          <w:rtl/>
        </w:rPr>
        <w:t>הרעש) תוך התחשבות באפשרות להקטינה באמצעות אמצעים סבירים – כפי שנקבע בסעיפים 20–21 לפסק דינו של כב</w:t>
      </w:r>
      <w:r>
        <w:rPr>
          <w:rFonts w:ascii="David" w:hAnsi="David" w:cs="David"/>
          <w:rtl/>
        </w:rPr>
        <w:t>וד</w:t>
      </w:r>
      <w:r w:rsidRPr="00EC69B7">
        <w:rPr>
          <w:rFonts w:ascii="David" w:hAnsi="David" w:cs="David"/>
          <w:rtl/>
        </w:rPr>
        <w:t xml:space="preserve"> השופט זמיר. אמנם הוכרה שם זכאות לשיפוי בגין הוצאות שנג</w:t>
      </w:r>
      <w:r w:rsidRPr="00EC69B7">
        <w:rPr>
          <w:rFonts w:ascii="David" w:hAnsi="David" w:cs="David"/>
          <w:rtl/>
        </w:rPr>
        <w:t>רמו עקב נקיטת אמצעים אלה, אך בניגוד למקרה שלפנינו</w:t>
      </w:r>
      <w:r>
        <w:rPr>
          <w:rFonts w:ascii="David" w:hAnsi="David" w:cs="David"/>
          <w:rtl/>
        </w:rPr>
        <w:t xml:space="preserve">, </w:t>
      </w:r>
      <w:r w:rsidRPr="00EC69B7">
        <w:rPr>
          <w:rFonts w:ascii="David" w:hAnsi="David" w:cs="David"/>
          <w:rtl/>
        </w:rPr>
        <w:t>באותו מקרה העלות הוטלה על התובע</w:t>
      </w:r>
      <w:r>
        <w:rPr>
          <w:rFonts w:ascii="David" w:hAnsi="David" w:cs="David"/>
          <w:rtl/>
        </w:rPr>
        <w:t xml:space="preserve">. </w:t>
      </w:r>
      <w:r w:rsidRPr="00EC69B7">
        <w:rPr>
          <w:rFonts w:ascii="David" w:hAnsi="David" w:cs="David"/>
          <w:rtl/>
        </w:rPr>
        <w:t>בענייננו, עלות אמצעי המיגון (כגון מיגון אקוסטי ושימוש באספלט שקט) אינה מוטלת על העוררים, אלא נכללת במסגרת תת"ל 31. ממילא, אין לעוררים זכאות לשיפוי בגין אותה עלות. ניסיונם ל</w:t>
      </w:r>
      <w:r w:rsidRPr="00EC69B7">
        <w:rPr>
          <w:rFonts w:ascii="David" w:hAnsi="David" w:cs="David"/>
          <w:rtl/>
        </w:rPr>
        <w:t>פרש את פסק הדין באופן השולל את תוצאתו האופרטיבית</w:t>
      </w:r>
      <w:r>
        <w:rPr>
          <w:rFonts w:ascii="David" w:hAnsi="David" w:cs="David"/>
          <w:rtl/>
        </w:rPr>
        <w:t>,</w:t>
      </w:r>
      <w:r w:rsidRPr="00EC69B7">
        <w:rPr>
          <w:rFonts w:ascii="David" w:hAnsi="David" w:cs="David"/>
          <w:rtl/>
        </w:rPr>
        <w:t xml:space="preserve"> דהיינו, החזרת הדיון לבית המשפט המחוזי לצורך הערכת הפגיעה לאחר הפחתתה באמצעים סבירים – אינו מבוסס, וסותר את הרציונל שנקבע שם.</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396E25">
        <w:rPr>
          <w:rFonts w:ascii="David" w:hAnsi="David" w:cs="David"/>
          <w:rtl/>
        </w:rPr>
        <w:t xml:space="preserve">באופן דומה, אנו מקבלים את קביעת השמאית </w:t>
      </w:r>
      <w:r>
        <w:rPr>
          <w:rFonts w:ascii="David" w:hAnsi="David" w:cs="David"/>
          <w:rtl/>
        </w:rPr>
        <w:t>המייעצת</w:t>
      </w:r>
      <w:r w:rsidRPr="00396E25">
        <w:rPr>
          <w:rFonts w:ascii="David" w:hAnsi="David" w:cs="David"/>
          <w:rtl/>
        </w:rPr>
        <w:t xml:space="preserve"> בדבר היעדר פגיעה שמקורה בקרבה לכבי</w:t>
      </w:r>
      <w:r w:rsidRPr="00396E25">
        <w:rPr>
          <w:rFonts w:ascii="David" w:hAnsi="David" w:cs="David"/>
          <w:rtl/>
        </w:rPr>
        <w:t>ש. עסקינן במקרקעין הגובלים בדרך ארצית, ולפיכך, הקרבה לכביש מתקיימת בשני מצבי התכנון – הן במצב הקודם והן לאחר אישור תת"ל 31. הטענה לפגיעה הנובעת מהרחבת הכביש בשישה מטרים נוספים הועלתה מבלי שניתן לה כל ביסוס עובדתי או מקצועי מספק, ודי היה בכך על מנת להביא לד</w:t>
      </w:r>
      <w:r w:rsidRPr="00396E25">
        <w:rPr>
          <w:rFonts w:ascii="David" w:hAnsi="David" w:cs="David"/>
          <w:rtl/>
        </w:rPr>
        <w:t>חייתה</w:t>
      </w:r>
      <w:r>
        <w:rPr>
          <w:rFonts w:ascii="David" w:hAnsi="David" w:cs="David"/>
          <w:rtl/>
        </w:rPr>
        <w:t>.</w:t>
      </w:r>
    </w:p>
    <w:p w:rsidR="007E0DC7" w:rsidRPr="003828C5" w:rsidP="003828C5">
      <w:pPr>
        <w:pStyle w:val="Ruller4"/>
        <w:numPr>
          <w:ilvl w:val="0"/>
          <w:numId w:val="31"/>
        </w:numPr>
        <w:tabs>
          <w:tab w:val="clear" w:pos="454"/>
          <w:tab w:val="clear" w:pos="800"/>
          <w:tab w:val="num" w:pos="1361"/>
        </w:tabs>
        <w:spacing w:before="240" w:after="240"/>
        <w:rPr>
          <w:rFonts w:ascii="David" w:hAnsi="David" w:cs="David"/>
        </w:rPr>
      </w:pPr>
      <w:r w:rsidRPr="00CF1EE9">
        <w:rPr>
          <w:rFonts w:ascii="David" w:hAnsi="David" w:cs="David"/>
          <w:rtl/>
        </w:rPr>
        <w:t xml:space="preserve">נוסף על כל </w:t>
      </w:r>
      <w:r>
        <w:rPr>
          <w:rFonts w:ascii="David" w:hAnsi="David" w:cs="David"/>
          <w:rtl/>
        </w:rPr>
        <w:t>אלה</w:t>
      </w:r>
      <w:r w:rsidRPr="00CF1EE9">
        <w:rPr>
          <w:rFonts w:ascii="David" w:hAnsi="David" w:cs="David"/>
          <w:rtl/>
        </w:rPr>
        <w:t>, לא מצאנו מקום להתערב בקביעת השמאית המכריעה לעניין ירידת ערך שמקורה בזיהום אוויר. במסגרת השומה אומצו ממצאי תסקיר הסביבה, אשר הצביעו על שינוי בערכי רמת זיהום האוויר, כמפורט להלן</w:t>
      </w:r>
      <w:r>
        <w:rPr>
          <w:rFonts w:ascii="David" w:hAnsi="David" w:cs="David"/>
          <w:rtl/>
        </w:rPr>
        <w:t>:</w:t>
      </w: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934"/>
        <w:gridCol w:w="1934"/>
        <w:gridCol w:w="1934"/>
      </w:tblGrid>
      <w:tr w:rsidTr="003637A5">
        <w:tblPrEx>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Pr>
            </w:pPr>
            <w:r w:rsidRPr="003637A5">
              <w:rPr>
                <w:rFonts w:ascii="David" w:hAnsi="David" w:cs="David"/>
              </w:rPr>
              <w:t>Nox</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Pr>
              <w:t>NO2</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Pr>
              <w:t>PM2.5</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בנזן</w:t>
            </w:r>
          </w:p>
        </w:tc>
      </w:tr>
      <w:tr w:rsidTr="003637A5">
        <w:tblPrEx>
          <w:tblW w:w="0" w:type="auto"/>
          <w:tblInd w:w="567" w:type="dxa"/>
          <w:tblLook w:val="00A0"/>
        </w:tblPrEx>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4.6%-8.6%</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0.0%-5.0%</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2.4%-5.1%</w:t>
            </w:r>
          </w:p>
        </w:tc>
        <w:tc>
          <w:tcPr>
            <w:tcW w:w="1934" w:type="dxa"/>
            <w:vAlign w:val="center"/>
          </w:tcPr>
          <w:p w:rsidR="007E0DC7" w:rsidRPr="003637A5" w:rsidP="003637A5">
            <w:pPr>
              <w:pStyle w:val="Ruller4"/>
              <w:tabs>
                <w:tab w:val="clear" w:pos="800"/>
              </w:tabs>
              <w:spacing w:before="120" w:after="120" w:line="276" w:lineRule="auto"/>
              <w:jc w:val="center"/>
              <w:rPr>
                <w:rFonts w:ascii="David" w:hAnsi="David" w:cs="David"/>
                <w:rtl/>
              </w:rPr>
            </w:pPr>
            <w:r w:rsidRPr="003637A5">
              <w:rPr>
                <w:rFonts w:ascii="David" w:hAnsi="David" w:cs="David"/>
                <w:rtl/>
              </w:rPr>
              <w:t>0.3%-1.6% (-)</w:t>
            </w:r>
          </w:p>
        </w:tc>
      </w:tr>
    </w:tbl>
    <w:p w:rsidR="007E0DC7" w:rsidP="005F4D45">
      <w:pPr>
        <w:pStyle w:val="Ruller4"/>
        <w:numPr>
          <w:ilvl w:val="0"/>
          <w:numId w:val="31"/>
        </w:numPr>
        <w:tabs>
          <w:tab w:val="clear" w:pos="454"/>
          <w:tab w:val="clear" w:pos="800"/>
          <w:tab w:val="num" w:pos="1361"/>
        </w:tabs>
        <w:spacing w:before="360" w:after="240"/>
        <w:rPr>
          <w:rFonts w:ascii="David" w:hAnsi="David" w:cs="David"/>
        </w:rPr>
      </w:pPr>
      <w:r w:rsidRPr="00051FE5">
        <w:rPr>
          <w:rFonts w:ascii="David" w:hAnsi="David" w:cs="David"/>
          <w:rtl/>
        </w:rPr>
        <w:t>על יסוד הנתונים שנבחנו, סברה השמאית המייעצת כי שווי השוק של החלקות אכן מושפע מהאופן שבו קונה סביר יתפוס את עליית רמת זיהום האוויר. בהתאם לכך, היא העריכה את ירידת הערך הנובעת מרכיב זה בשיעור של 2%.</w:t>
      </w:r>
      <w:r>
        <w:rPr>
          <w:rFonts w:ascii="David" w:hAnsi="David" w:cs="David"/>
          <w:rtl/>
        </w:rPr>
        <w:t xml:space="preserve"> </w:t>
      </w:r>
      <w:r w:rsidRPr="00051FE5">
        <w:rPr>
          <w:rFonts w:ascii="David" w:hAnsi="David" w:cs="David"/>
          <w:rtl/>
        </w:rPr>
        <w:t>שיעור זה מבטא איזון בין מספר שיקולים, ובהם ה</w:t>
      </w:r>
      <w:r w:rsidRPr="00051FE5">
        <w:rPr>
          <w:rFonts w:ascii="David" w:hAnsi="David" w:cs="David"/>
          <w:rtl/>
        </w:rPr>
        <w:t>עובדה שממצאי תסקיר הסביבה התבססו על הרכב צי הרכב בישראל נכון לשנת 2010</w:t>
      </w:r>
      <w:r>
        <w:rPr>
          <w:rFonts w:ascii="David" w:hAnsi="David" w:cs="David"/>
          <w:rtl/>
        </w:rPr>
        <w:t>,</w:t>
      </w:r>
      <w:r w:rsidRPr="00051FE5">
        <w:rPr>
          <w:rFonts w:ascii="David" w:hAnsi="David" w:cs="David"/>
          <w:rtl/>
        </w:rPr>
        <w:t xml:space="preserve"> בעוד שבשנת 2015 כבר חלו שינויים טכנולוגיים משמעותיים שהביאו לירידה ברמות זיהום האוויר. </w:t>
      </w:r>
      <w:r>
        <w:rPr>
          <w:rFonts w:ascii="David" w:hAnsi="David" w:cs="David"/>
          <w:rtl/>
        </w:rPr>
        <w:t>כמו כן</w:t>
      </w:r>
      <w:r w:rsidRPr="00051FE5">
        <w:rPr>
          <w:rFonts w:ascii="David" w:hAnsi="David" w:cs="David"/>
          <w:rtl/>
        </w:rPr>
        <w:t xml:space="preserve">, </w:t>
      </w:r>
      <w:r w:rsidRPr="00051FE5">
        <w:rPr>
          <w:rFonts w:ascii="David" w:hAnsi="David" w:cs="David"/>
          <w:rtl/>
        </w:rPr>
        <w:t>נלקחו בחשבון ממצאי חוות הדעת מטעם נת"י, אשר תמכה בטענה כי לא צפויות חריגות מהתקנים הסביבת</w:t>
      </w:r>
      <w:r w:rsidRPr="00051FE5">
        <w:rPr>
          <w:rFonts w:ascii="David" w:hAnsi="David" w:cs="David"/>
          <w:rtl/>
        </w:rPr>
        <w:t>יים החלים בתחום זיהום האוויר</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A90331">
        <w:rPr>
          <w:rFonts w:ascii="David" w:hAnsi="David" w:cs="David"/>
          <w:rtl/>
        </w:rPr>
        <w:t>בשים לב לאמור, לא מצאנו כל עילה להתערב בערך הפגיעה שנקבע בשומות המייעצות בגין עליית רמת זיהום האוויר. בניגוד לטענות הוועדה המקומית, הערך שנקבע אכן מביא בחשבון את השינוי שהתחולל בהרכב צי הרכב בישראל עד לשנת 2015, והפחתת רמות זי</w:t>
      </w:r>
      <w:r w:rsidRPr="00A90331">
        <w:rPr>
          <w:rFonts w:ascii="David" w:hAnsi="David" w:cs="David"/>
          <w:rtl/>
        </w:rPr>
        <w:t>הום האוויר הנגזרת מכך</w:t>
      </w:r>
      <w:r>
        <w:rPr>
          <w:rFonts w:ascii="David" w:hAnsi="David" w:cs="David"/>
          <w:rtl/>
        </w:rPr>
        <w:t xml:space="preserve">. </w:t>
      </w:r>
      <w:r w:rsidRPr="00A90331">
        <w:rPr>
          <w:rFonts w:ascii="David" w:hAnsi="David" w:cs="David"/>
          <w:rtl/>
        </w:rPr>
        <w:t>באופן דומה, אין מקום להתערבות גם מן הטעם שטענות העוררים בנוגע לרכיב זה לא נתמכו בחוות דעת מקצועית. השמאית המייעצת ביססה את קביעותיה על תסקיר הסביבה, שממצאיו לא נסתרו ולא נתקפו ישירות על־ידי מי מהצדדים</w:t>
      </w:r>
      <w:r>
        <w:rPr>
          <w:rFonts w:ascii="David" w:hAnsi="David" w:cs="David"/>
          <w:rtl/>
        </w:rPr>
        <w:t xml:space="preserve">. </w:t>
      </w:r>
      <w:r w:rsidRPr="00A90331">
        <w:rPr>
          <w:rFonts w:ascii="David" w:hAnsi="David" w:cs="David"/>
          <w:rtl/>
        </w:rPr>
        <w:t>לפיכך, אנו דוחים גם את טענות נת</w:t>
      </w:r>
      <w:r w:rsidRPr="00A90331">
        <w:rPr>
          <w:rFonts w:ascii="David" w:hAnsi="David" w:cs="David"/>
          <w:rtl/>
        </w:rPr>
        <w:t>"י לעניין זה, ומאמצים את ערך הפגיעה שנקבע בשומות המייעצות כתוצאה מהעלייה ברמת זיהום האוויר</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A90331">
        <w:rPr>
          <w:rFonts w:ascii="David" w:hAnsi="David" w:cs="David"/>
          <w:rtl/>
        </w:rPr>
        <w:t>בהתייחס לטענת העוררים בדבר פגיעה כתוצאה מזיהום אור, קבעה השמאית המייעצת כי אף שתת"ל 31 כוללת סימון של עמודי תאורה בצדי הדרך (כמפורט בנספח התחבורה שבתוכנית), הרי שאי</w:t>
      </w:r>
      <w:r w:rsidRPr="00A90331">
        <w:rPr>
          <w:rFonts w:ascii="David" w:hAnsi="David" w:cs="David"/>
          <w:rtl/>
        </w:rPr>
        <w:t>ן בתוכנית כדי לקבוע את עוצמת התאורה או את השפעתה הישירה על החלקות. בהתאם לכך, השימוש בפנסי תאורה פוגעניים אינו נגזר בהכרח מהתוכנית עצמה, ומכאן שממילא נחלשת ההצדקה לקביעת פיצוי בגין כך.</w:t>
      </w:r>
      <w:r>
        <w:rPr>
          <w:rFonts w:ascii="David" w:hAnsi="David" w:cs="David"/>
          <w:rtl/>
        </w:rPr>
        <w:t xml:space="preserve"> </w:t>
      </w:r>
      <w:r w:rsidRPr="00A90331">
        <w:rPr>
          <w:rFonts w:ascii="David" w:hAnsi="David" w:cs="David"/>
          <w:rtl/>
        </w:rPr>
        <w:t>עוד סברה השמאית המייעצת כי זליגת האור הנמצאת בתחום החלקות אינה ניכרת בת</w:t>
      </w:r>
      <w:r w:rsidRPr="00A90331">
        <w:rPr>
          <w:rFonts w:ascii="David" w:hAnsi="David" w:cs="David"/>
          <w:rtl/>
        </w:rPr>
        <w:t xml:space="preserve">חום בתי המגורים, ולכן השפעתה על שווי המקרקעין היא זניחה. </w:t>
      </w:r>
      <w:r>
        <w:rPr>
          <w:rFonts w:ascii="David" w:hAnsi="David" w:cs="David"/>
          <w:rtl/>
        </w:rPr>
        <w:t>נוסף על כך</w:t>
      </w:r>
      <w:r w:rsidRPr="00A90331">
        <w:rPr>
          <w:rFonts w:ascii="David" w:hAnsi="David" w:cs="David"/>
          <w:rtl/>
        </w:rPr>
        <w:t>, צוין כי זליגת אור קיימת גם בצדן המערבי של החלקות, בשל קרבתן לרחובות הים והשיטה, וכי לזליגת אור עשויה להיות גם תרומה חיובית לשווי הקרקע, בעיקר בשל תחושת ביטחון מוגברת שהיא יוצרת</w:t>
      </w:r>
      <w:r>
        <w:rPr>
          <w:rFonts w:ascii="David" w:hAnsi="David" w:cs="David"/>
          <w:rtl/>
        </w:rPr>
        <w:t>.</w:t>
      </w:r>
      <w:r w:rsidRPr="00A90331">
        <w:rPr>
          <w:rtl/>
        </w:rPr>
        <w:t xml:space="preserve"> </w:t>
      </w:r>
      <w:r w:rsidRPr="00A90331">
        <w:rPr>
          <w:rFonts w:ascii="David" w:hAnsi="David" w:cs="David"/>
          <w:rtl/>
        </w:rPr>
        <w:t>משכך, ובה</w:t>
      </w:r>
      <w:r w:rsidRPr="00A90331">
        <w:rPr>
          <w:rFonts w:ascii="David" w:hAnsi="David" w:cs="David"/>
          <w:rtl/>
        </w:rPr>
        <w:t>יעדר אינדיקציה לפגיעה מהותית, לא ניתן לקבוע כי חלה ירידת ערך כלשהי בשווי הקרקע כתוצאה מהזליגה האמורה</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A90331">
        <w:rPr>
          <w:rFonts w:ascii="David" w:hAnsi="David" w:cs="David"/>
          <w:rtl/>
        </w:rPr>
        <w:t xml:space="preserve">מסקנות אלה מקובלות עלינו. אף לדעתנו, זליגת האור עליה הצביעו העוררים אינה מהווה בהכרח תוצאה תכנונית של תת"ל 31, אלא נגזרת מהחלטת הרשות המוסמכת לעניין אופן </w:t>
      </w:r>
      <w:r w:rsidRPr="00A90331">
        <w:rPr>
          <w:rFonts w:ascii="David" w:hAnsi="David" w:cs="David"/>
          <w:rtl/>
        </w:rPr>
        <w:t>ביצוע התוכנית בפועל. על כן, אף אם היה מוכח כי זליגת האור משפיעה על שווי החלקות</w:t>
      </w:r>
      <w:r>
        <w:rPr>
          <w:rFonts w:ascii="David" w:hAnsi="David" w:cs="David"/>
          <w:rtl/>
        </w:rPr>
        <w:t>,</w:t>
      </w:r>
      <w:r w:rsidRPr="00A90331">
        <w:rPr>
          <w:rFonts w:ascii="David" w:hAnsi="David" w:cs="David"/>
          <w:rtl/>
        </w:rPr>
        <w:t xml:space="preserve"> מה שלא הוכח</w:t>
      </w:r>
      <w:r>
        <w:rPr>
          <w:rFonts w:ascii="David" w:hAnsi="David" w:cs="David"/>
          <w:rtl/>
        </w:rPr>
        <w:t xml:space="preserve">, </w:t>
      </w:r>
      <w:r w:rsidRPr="00A90331">
        <w:rPr>
          <w:rFonts w:ascii="David" w:hAnsi="David" w:cs="David"/>
          <w:rtl/>
        </w:rPr>
        <w:t xml:space="preserve">הרי שמדובר היה בפגיעה שמקורה אינו תכנוני </w:t>
      </w:r>
      <w:r w:rsidRPr="00A90331">
        <w:rPr>
          <w:rFonts w:ascii="David" w:hAnsi="David" w:cs="David"/>
          <w:rtl/>
        </w:rPr>
        <w:t xml:space="preserve">טהור, ועל כן נחלשת ההצדקה להכיר בה כנזק בר־פיצוי לפי </w:t>
      </w:r>
      <w:hyperlink r:id="rId9" w:history="1">
        <w:r w:rsidRPr="000A48E6" w:rsidR="000A48E6">
          <w:rPr>
            <w:rStyle w:val="Hyperlink"/>
            <w:rFonts w:ascii="David" w:hAnsi="David" w:cs="David"/>
            <w:rtl/>
          </w:rPr>
          <w:t>סעיף 197</w:t>
        </w:r>
      </w:hyperlink>
      <w:r w:rsidRPr="00A90331">
        <w:rPr>
          <w:rFonts w:ascii="David" w:hAnsi="David" w:cs="David"/>
          <w:rtl/>
        </w:rPr>
        <w:t xml:space="preserve"> לחוק</w:t>
      </w:r>
      <w:r>
        <w:rPr>
          <w:rFonts w:ascii="David" w:hAnsi="David" w:cs="David"/>
          <w:rtl/>
        </w:rPr>
        <w:t xml:space="preserve">. </w:t>
      </w:r>
      <w:r w:rsidRPr="00F564D2">
        <w:rPr>
          <w:rFonts w:ascii="David" w:hAnsi="David" w:cs="David"/>
          <w:rtl/>
        </w:rPr>
        <w:t>וא</w:t>
      </w:r>
      <w:r w:rsidRPr="00F564D2">
        <w:rPr>
          <w:rFonts w:ascii="David" w:hAnsi="David" w:cs="David"/>
          <w:rtl/>
        </w:rPr>
        <w:t>ולם, לשיטתנו אין צורך להכריע בשאלה זו, שכן מסקנת השמאית המייעצת שלפיה השפעת זליגת האור היא זניחה לא נסתרה, אף לא לכאורה. במצב דברים זה, לא ניתן לקבוע כי חלה ירידת ערך כלשהי שמקורה בזליגת האור</w:t>
      </w:r>
      <w:r>
        <w:rPr>
          <w:rFonts w:ascii="David" w:hAnsi="David" w:cs="David"/>
          <w:rtl/>
        </w:rPr>
        <w:t>.</w:t>
      </w:r>
    </w:p>
    <w:p w:rsidR="007E0DC7" w:rsidRPr="007E20CB" w:rsidP="007E20CB">
      <w:pPr>
        <w:pStyle w:val="Ruller4"/>
        <w:suppressLineNumbers/>
        <w:tabs>
          <w:tab w:val="clear" w:pos="800"/>
        </w:tabs>
        <w:spacing w:before="240" w:after="240"/>
        <w:ind w:left="567"/>
        <w:rPr>
          <w:rFonts w:ascii="Miriam" w:hAnsi="Miriam" w:cs="Miriam"/>
        </w:rPr>
      </w:pPr>
      <w:r w:rsidRPr="007E20CB">
        <w:rPr>
          <w:rFonts w:ascii="Miriam" w:hAnsi="Miriam" w:cs="Miriam"/>
          <w:rtl/>
        </w:rPr>
        <w:t xml:space="preserve">פטור לפי </w:t>
      </w:r>
      <w:hyperlink r:id="rId10" w:history="1">
        <w:r w:rsidRPr="000A48E6" w:rsidR="000A48E6">
          <w:rPr>
            <w:rStyle w:val="Hyperlink"/>
            <w:rFonts w:ascii="Miriam" w:hAnsi="Miriam" w:cs="Miriam"/>
            <w:rtl/>
          </w:rPr>
          <w:t>סעיף 200</w:t>
        </w:r>
      </w:hyperlink>
      <w:r w:rsidRPr="007E20CB">
        <w:rPr>
          <w:rFonts w:ascii="Miriam" w:hAnsi="Miriam" w:cs="Miriam"/>
          <w:rtl/>
        </w:rPr>
        <w:t xml:space="preserve"> לחוק</w:t>
      </w:r>
    </w:p>
    <w:p w:rsidR="007E0DC7" w:rsidP="00397082">
      <w:pPr>
        <w:pStyle w:val="Ruller4"/>
        <w:numPr>
          <w:ilvl w:val="0"/>
          <w:numId w:val="31"/>
        </w:numPr>
        <w:tabs>
          <w:tab w:val="clear" w:pos="454"/>
          <w:tab w:val="clear" w:pos="800"/>
          <w:tab w:val="num" w:pos="1361"/>
        </w:tabs>
        <w:spacing w:before="240" w:after="240"/>
        <w:rPr>
          <w:rFonts w:ascii="David" w:hAnsi="David" w:cs="David"/>
        </w:rPr>
      </w:pPr>
      <w:r w:rsidRPr="00F564D2">
        <w:rPr>
          <w:rFonts w:ascii="David" w:hAnsi="David" w:cs="David"/>
          <w:rtl/>
        </w:rPr>
        <w:t xml:space="preserve">אנו דוחים את טענות נת"י לעניין תחולתו של </w:t>
      </w:r>
      <w:hyperlink r:id="rId10" w:history="1">
        <w:r w:rsidRPr="000A48E6" w:rsidR="000A48E6">
          <w:rPr>
            <w:rStyle w:val="Hyperlink"/>
            <w:rFonts w:ascii="David" w:hAnsi="David" w:cs="David"/>
            <w:rtl/>
          </w:rPr>
          <w:t>סעיף 200</w:t>
        </w:r>
      </w:hyperlink>
      <w:r w:rsidRPr="00F564D2">
        <w:rPr>
          <w:rFonts w:ascii="David" w:hAnsi="David" w:cs="David"/>
          <w:rtl/>
        </w:rPr>
        <w:t xml:space="preserve"> לחוק ולמתן פטור מתשלום פיצויים מכוחו. סעיף זה מהווה סייג לחובת הפיצוי המוטלת על הוועדה המקומית, ומקנה פטור רק בהתקיים שלושה תנאים מצטברים: ראשית, שהתוכנית הנדונה היא מן הסוגים הנזכרים בסעיף; שנית, שהפגיעה אינה חורגת מגדר הסביר בנסיבות העניין; ושלישית, שאי</w:t>
      </w:r>
      <w:r w:rsidRPr="00F564D2">
        <w:rPr>
          <w:rFonts w:ascii="David" w:hAnsi="David" w:cs="David"/>
          <w:rtl/>
        </w:rPr>
        <w:t>ן זה מן הצדק להעניק לנפגע פיצוי.</w:t>
      </w:r>
    </w:p>
    <w:p w:rsidR="007E0DC7" w:rsidP="00397082">
      <w:pPr>
        <w:pStyle w:val="Ruller4"/>
        <w:numPr>
          <w:ilvl w:val="0"/>
          <w:numId w:val="31"/>
        </w:numPr>
        <w:tabs>
          <w:tab w:val="clear" w:pos="454"/>
          <w:tab w:val="clear" w:pos="800"/>
          <w:tab w:val="num" w:pos="1361"/>
        </w:tabs>
        <w:spacing w:before="240" w:after="240"/>
        <w:rPr>
          <w:rFonts w:ascii="David" w:hAnsi="David" w:cs="David"/>
        </w:rPr>
      </w:pPr>
      <w:r w:rsidRPr="00F564D2">
        <w:rPr>
          <w:rFonts w:ascii="David" w:hAnsi="David" w:cs="David"/>
          <w:rtl/>
        </w:rPr>
        <w:t xml:space="preserve">ניתן להבין כי סעיף 200 לחוק בא לצמצם את תחולת הסדר הפיצויים הקבוע </w:t>
      </w:r>
      <w:hyperlink r:id="rId10" w:history="1">
        <w:r w:rsidRPr="000A48E6" w:rsidR="000A48E6">
          <w:rPr>
            <w:rStyle w:val="Hyperlink"/>
            <w:rFonts w:ascii="David" w:hAnsi="David" w:cs="David"/>
            <w:rtl/>
          </w:rPr>
          <w:t>בסעיף 197</w:t>
        </w:r>
      </w:hyperlink>
      <w:r w:rsidRPr="00F564D2">
        <w:rPr>
          <w:rFonts w:ascii="David" w:hAnsi="David" w:cs="David"/>
          <w:rtl/>
        </w:rPr>
        <w:t xml:space="preserve"> לחוק, תוך קביעת סייגים ברורים להטלת חובת הפיצוי. תכליתו של סעיף זה היא בעיקר למנוע הרתעת יתר של</w:t>
      </w:r>
      <w:r w:rsidRPr="00F564D2">
        <w:rPr>
          <w:rFonts w:ascii="David" w:hAnsi="David" w:cs="David"/>
          <w:rtl/>
        </w:rPr>
        <w:t xml:space="preserve"> רשויות התכנון, מחשש שתכניות בעלות חשיבות ציבורית לא יקודמו בשל הנטל הכלכלי הכרוך בפיצוי. הסעיף מבקש לאזן בין זכות הקניין של הנפגע לבין האינטרס הציבורי הרחב בקידום תכנון סטטוטורי, מבלי להעמיס על הרשויות חיובי פיצוי שאינם מידתיים או מוצדקים בנסיבות העניין</w:t>
      </w:r>
      <w:r>
        <w:rPr>
          <w:rFonts w:ascii="David" w:hAnsi="David" w:cs="David"/>
          <w:rtl/>
        </w:rPr>
        <w:t xml:space="preserve">. </w:t>
      </w:r>
    </w:p>
    <w:p w:rsidR="007E0DC7" w:rsidP="00397082">
      <w:pPr>
        <w:pStyle w:val="Ruller4"/>
        <w:numPr>
          <w:ilvl w:val="0"/>
          <w:numId w:val="31"/>
        </w:numPr>
        <w:tabs>
          <w:tab w:val="clear" w:pos="454"/>
          <w:tab w:val="clear" w:pos="800"/>
          <w:tab w:val="num" w:pos="1361"/>
        </w:tabs>
        <w:spacing w:before="240" w:after="240"/>
        <w:rPr>
          <w:rFonts w:ascii="David" w:hAnsi="David" w:cs="David"/>
        </w:rPr>
      </w:pPr>
      <w:r w:rsidRPr="00D73D05">
        <w:rPr>
          <w:rFonts w:ascii="David" w:hAnsi="David" w:cs="David"/>
          <w:rtl/>
        </w:rPr>
        <w:t xml:space="preserve">במובן </w:t>
      </w:r>
      <w:r>
        <w:rPr>
          <w:rFonts w:ascii="David" w:hAnsi="David" w:cs="David"/>
          <w:rtl/>
        </w:rPr>
        <w:t>המתואר</w:t>
      </w:r>
      <w:r w:rsidRPr="00D73D05">
        <w:rPr>
          <w:rFonts w:ascii="David" w:hAnsi="David" w:cs="David"/>
          <w:rtl/>
        </w:rPr>
        <w:t xml:space="preserve">, </w:t>
      </w:r>
      <w:hyperlink r:id="rId10" w:history="1">
        <w:r w:rsidRPr="000A48E6" w:rsidR="000A48E6">
          <w:rPr>
            <w:rStyle w:val="Hyperlink"/>
            <w:rFonts w:ascii="David" w:hAnsi="David" w:cs="David"/>
            <w:rtl/>
          </w:rPr>
          <w:t>סעיף 200</w:t>
        </w:r>
      </w:hyperlink>
      <w:r w:rsidRPr="00D73D05">
        <w:rPr>
          <w:rFonts w:ascii="David" w:hAnsi="David" w:cs="David"/>
          <w:rtl/>
        </w:rPr>
        <w:t xml:space="preserve"> לחוק משקף גישה מאזנת, המושתתת על ההכרה בכך שהתכנון הוא מרכיב חיוני והכרחי בניהול החיים הציבוריים במדינה מודרנית. גישה זו יוצאת מנקודת הנחה כי לא ניתן יהיה לממש תכנון אפקטיבי אם כל </w:t>
      </w:r>
      <w:r w:rsidRPr="00D73D05">
        <w:rPr>
          <w:rFonts w:ascii="David" w:hAnsi="David" w:cs="David"/>
          <w:rtl/>
        </w:rPr>
        <w:t xml:space="preserve">פגיעה בקניינו של הפרט, אף הקלה שבקלות, תוביל בהכרח לחובת פיצוי. לפיכך, הסעיף נועד להותיר בידי רשויות התכנון מרחב פעולה סביר, מבלי לחשוף אותן לחיובי פיצוי בלתי מידתיים </w:t>
      </w:r>
      <w:r w:rsidRPr="00397082">
        <w:rPr>
          <w:rFonts w:ascii="David" w:hAnsi="David" w:cs="David"/>
          <w:rtl/>
        </w:rPr>
        <w:t xml:space="preserve">(עניין </w:t>
      </w:r>
      <w:r w:rsidRPr="00397082">
        <w:rPr>
          <w:rFonts w:ascii="Miriam" w:hAnsi="Miriam" w:cs="Miriam"/>
          <w:rtl/>
        </w:rPr>
        <w:t>דלי דליה</w:t>
      </w:r>
      <w:r w:rsidRPr="00397082">
        <w:rPr>
          <w:rFonts w:ascii="David" w:hAnsi="David" w:cs="David"/>
          <w:rtl/>
        </w:rPr>
        <w:t>, בפסקה 4 לפסק דינה של כבוד השופטת ברק-ארז</w:t>
      </w:r>
      <w:r>
        <w:rPr>
          <w:rFonts w:ascii="David" w:hAnsi="David" w:cs="David"/>
          <w:rtl/>
        </w:rPr>
        <w:t xml:space="preserve">; </w:t>
      </w:r>
      <w:hyperlink r:id="rId18" w:history="1">
        <w:r w:rsidRPr="00EC305A" w:rsidR="00EC305A">
          <w:rPr>
            <w:rStyle w:val="Hyperlink"/>
            <w:rFonts w:ascii="David" w:hAnsi="David" w:cs="David"/>
            <w:rtl/>
          </w:rPr>
          <w:t>בר"מ 5898/16</w:t>
        </w:r>
      </w:hyperlink>
      <w:r w:rsidRPr="00397082">
        <w:rPr>
          <w:rFonts w:ascii="David" w:hAnsi="David" w:cs="David"/>
          <w:rtl/>
        </w:rPr>
        <w:t xml:space="preserve"> </w:t>
      </w:r>
      <w:r w:rsidRPr="00397082">
        <w:rPr>
          <w:rFonts w:ascii="Miriam" w:hAnsi="Miriam" w:cs="Miriam"/>
          <w:rtl/>
        </w:rPr>
        <w:t>רומן ברג ואח' נ' הוועדה המקומית לתכנון ובניה ראשון לציון</w:t>
      </w:r>
      <w:r w:rsidRPr="00397082">
        <w:rPr>
          <w:rFonts w:ascii="David" w:hAnsi="David" w:cs="David"/>
          <w:rtl/>
        </w:rPr>
        <w:t xml:space="preserve"> (נבו 10.3.2020)).</w:t>
      </w:r>
    </w:p>
    <w:p w:rsidR="007E0DC7" w:rsidRPr="00397082" w:rsidP="00397082">
      <w:pPr>
        <w:pStyle w:val="Ruller4"/>
        <w:numPr>
          <w:ilvl w:val="0"/>
          <w:numId w:val="31"/>
        </w:numPr>
        <w:tabs>
          <w:tab w:val="clear" w:pos="454"/>
          <w:tab w:val="clear" w:pos="800"/>
          <w:tab w:val="num" w:pos="1361"/>
        </w:tabs>
        <w:spacing w:before="240" w:after="240"/>
        <w:rPr>
          <w:rFonts w:ascii="David" w:hAnsi="David" w:cs="David"/>
        </w:rPr>
      </w:pPr>
      <w:r w:rsidRPr="00D73D05">
        <w:rPr>
          <w:rFonts w:ascii="David" w:hAnsi="David" w:cs="David"/>
          <w:rtl/>
        </w:rPr>
        <w:t xml:space="preserve">במסגרת האיזון הנדרש, נהוג לראות בכלל הקבוע </w:t>
      </w:r>
      <w:hyperlink r:id="rId9" w:history="1">
        <w:r w:rsidRPr="000A48E6" w:rsidR="000A48E6">
          <w:rPr>
            <w:rStyle w:val="Hyperlink"/>
            <w:rFonts w:ascii="David" w:hAnsi="David" w:cs="David"/>
            <w:rtl/>
          </w:rPr>
          <w:t>בסעיף 197</w:t>
        </w:r>
      </w:hyperlink>
      <w:r w:rsidRPr="00D73D05">
        <w:rPr>
          <w:rFonts w:ascii="David" w:hAnsi="David" w:cs="David"/>
          <w:rtl/>
        </w:rPr>
        <w:t xml:space="preserve"> לחוק – בדבר חובת פיצוי עקב פגיעה תכנונית – כחלק בלתי נפרד מההגנה החוקתית על זכות הקניין, כמעוגנת </w:t>
      </w:r>
      <w:hyperlink r:id="rId29" w:history="1">
        <w:r w:rsidRPr="000A48E6" w:rsidR="000A48E6">
          <w:rPr>
            <w:rStyle w:val="Hyperlink"/>
            <w:rFonts w:ascii="David" w:hAnsi="David" w:cs="David"/>
            <w:rtl/>
          </w:rPr>
          <w:t>בסעיף 3</w:t>
        </w:r>
      </w:hyperlink>
      <w:r w:rsidRPr="00D73D05">
        <w:rPr>
          <w:rFonts w:ascii="David" w:hAnsi="David" w:cs="David"/>
          <w:rtl/>
        </w:rPr>
        <w:t xml:space="preserve"> ל</w:t>
      </w:r>
      <w:hyperlink r:id="rId30" w:history="1">
        <w:r w:rsidRPr="00EC305A" w:rsidR="00EC305A">
          <w:rPr>
            <w:rStyle w:val="Hyperlink"/>
            <w:rFonts w:ascii="David" w:hAnsi="David" w:cs="David"/>
            <w:rtl/>
          </w:rPr>
          <w:t>חוק יסוד: כבוד האדם וחירותו</w:t>
        </w:r>
      </w:hyperlink>
      <w:r w:rsidRPr="00D73D05">
        <w:rPr>
          <w:rFonts w:ascii="David" w:hAnsi="David" w:cs="David"/>
          <w:rtl/>
        </w:rPr>
        <w:t>. חובה זו משתלבת גם עם ע</w:t>
      </w:r>
      <w:r w:rsidRPr="00D73D05">
        <w:rPr>
          <w:rFonts w:ascii="David" w:hAnsi="David" w:cs="David"/>
          <w:rtl/>
        </w:rPr>
        <w:t xml:space="preserve">קרונות של צדק חלוקתי, ולפיכך פרשנותו של </w:t>
      </w:r>
      <w:hyperlink r:id="rId9" w:history="1">
        <w:r w:rsidRPr="000A48E6" w:rsidR="000A48E6">
          <w:rPr>
            <w:rStyle w:val="Hyperlink"/>
            <w:rFonts w:ascii="David" w:hAnsi="David" w:cs="David"/>
            <w:rtl/>
          </w:rPr>
          <w:t>סעיף 197</w:t>
        </w:r>
      </w:hyperlink>
      <w:r w:rsidRPr="00D73D05">
        <w:rPr>
          <w:rFonts w:ascii="David" w:hAnsi="David" w:cs="David"/>
          <w:rtl/>
        </w:rPr>
        <w:t xml:space="preserve"> נוטה להיות פרשנות מרחיבה, המעדיפה את קיומה של זכות לפיצוי</w:t>
      </w:r>
      <w:r>
        <w:rPr>
          <w:rFonts w:ascii="David" w:hAnsi="David" w:cs="David"/>
          <w:rtl/>
        </w:rPr>
        <w:t xml:space="preserve">. </w:t>
      </w:r>
      <w:r w:rsidRPr="00D73D05">
        <w:rPr>
          <w:rFonts w:ascii="David" w:hAnsi="David" w:cs="David"/>
          <w:rtl/>
        </w:rPr>
        <w:t>מנגד, החריגים לכלל הפיצוי</w:t>
      </w:r>
      <w:r>
        <w:rPr>
          <w:rFonts w:ascii="David" w:hAnsi="David" w:cs="David"/>
          <w:rtl/>
        </w:rPr>
        <w:t xml:space="preserve"> </w:t>
      </w:r>
      <w:r w:rsidRPr="00D73D05">
        <w:rPr>
          <w:rFonts w:ascii="David" w:hAnsi="David" w:cs="David"/>
          <w:rtl/>
        </w:rPr>
        <w:t>נתפסים כסטייה מהכלל החוקתי, ולפיכך פרשנותם היא פרשנות מצמצמת</w:t>
      </w:r>
      <w:r>
        <w:rPr>
          <w:rFonts w:ascii="David" w:hAnsi="David" w:cs="David"/>
          <w:rtl/>
        </w:rPr>
        <w:t xml:space="preserve"> (</w:t>
      </w:r>
      <w:hyperlink r:id="rId31" w:history="1">
        <w:r w:rsidRPr="00EC305A" w:rsidR="00EC305A">
          <w:rPr>
            <w:rStyle w:val="Hyperlink"/>
            <w:rFonts w:ascii="David" w:hAnsi="David" w:cs="David"/>
            <w:rtl/>
          </w:rPr>
          <w:t>ע"א 5958/15</w:t>
        </w:r>
      </w:hyperlink>
      <w:r w:rsidRPr="0022442C">
        <w:rPr>
          <w:rFonts w:ascii="David" w:hAnsi="David" w:cs="David"/>
          <w:rtl/>
        </w:rPr>
        <w:t xml:space="preserve"> </w:t>
      </w:r>
      <w:r w:rsidRPr="0022442C">
        <w:rPr>
          <w:rFonts w:ascii="Miriam" w:hAnsi="Miriam" w:cs="Miriam"/>
          <w:rtl/>
        </w:rPr>
        <w:t>פרחי ביקל בע"מ נ' הועדה המקומית לתכנון ולבניה - ראשון לציון</w:t>
      </w:r>
      <w:r w:rsidRPr="0022442C">
        <w:rPr>
          <w:rFonts w:ascii="David" w:hAnsi="David" w:cs="David"/>
          <w:rtl/>
        </w:rPr>
        <w:t xml:space="preserve"> (נבו 31.12.2015)</w:t>
      </w:r>
      <w:r>
        <w:rPr>
          <w:rFonts w:ascii="David" w:hAnsi="David" w:cs="David"/>
          <w:rtl/>
        </w:rPr>
        <w:t xml:space="preserve"> (להלן: </w:t>
      </w:r>
      <w:r w:rsidRPr="00366518">
        <w:rPr>
          <w:rFonts w:ascii="Miriam" w:hAnsi="Miriam" w:cs="Miriam"/>
          <w:rtl/>
        </w:rPr>
        <w:t>עניין</w:t>
      </w:r>
      <w:r>
        <w:rPr>
          <w:rFonts w:ascii="David" w:hAnsi="David" w:cs="David"/>
          <w:rtl/>
        </w:rPr>
        <w:t xml:space="preserve"> </w:t>
      </w:r>
      <w:r w:rsidRPr="0022442C">
        <w:rPr>
          <w:rFonts w:ascii="Miriam" w:hAnsi="Miriam" w:cs="Miriam"/>
          <w:rtl/>
        </w:rPr>
        <w:t>פרחי ביקל</w:t>
      </w:r>
      <w:r w:rsidRPr="00366518">
        <w:rPr>
          <w:rFonts w:ascii="David" w:hAnsi="David" w:cs="David"/>
          <w:rtl/>
        </w:rPr>
        <w:t>)</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FC3538">
        <w:rPr>
          <w:rFonts w:ascii="David" w:hAnsi="David" w:cs="David"/>
          <w:rtl/>
        </w:rPr>
        <w:t xml:space="preserve">חריג נוסף לכלל הפיצוי הקבוע </w:t>
      </w:r>
      <w:hyperlink r:id="rId9" w:history="1">
        <w:r w:rsidRPr="000A48E6" w:rsidR="000A48E6">
          <w:rPr>
            <w:rStyle w:val="Hyperlink"/>
            <w:rFonts w:ascii="David" w:hAnsi="David" w:cs="David"/>
            <w:rtl/>
          </w:rPr>
          <w:t>בסעיף 197</w:t>
        </w:r>
      </w:hyperlink>
      <w:r w:rsidRPr="00FC3538">
        <w:rPr>
          <w:rFonts w:ascii="David" w:hAnsi="David" w:cs="David"/>
          <w:rtl/>
        </w:rPr>
        <w:t xml:space="preserve"> לחוק מצ</w:t>
      </w:r>
      <w:r w:rsidRPr="00FC3538">
        <w:rPr>
          <w:rFonts w:ascii="David" w:hAnsi="David" w:cs="David"/>
          <w:rtl/>
        </w:rPr>
        <w:t xml:space="preserve">וי </w:t>
      </w:r>
      <w:hyperlink r:id="rId7" w:history="1">
        <w:r w:rsidRPr="000A48E6" w:rsidR="000A48E6">
          <w:rPr>
            <w:rStyle w:val="Hyperlink"/>
            <w:rFonts w:ascii="David" w:hAnsi="David" w:cs="David"/>
            <w:rtl/>
          </w:rPr>
          <w:t>בסעיף 119ד</w:t>
        </w:r>
      </w:hyperlink>
      <w:r w:rsidRPr="00FC3538">
        <w:rPr>
          <w:rFonts w:ascii="David" w:hAnsi="David" w:cs="David"/>
          <w:rtl/>
        </w:rPr>
        <w:t xml:space="preserve"> לחוק, אשר קובע כי מגיש של "תכנית דרך" חב בחובת שיפוי לוועדה המקומית בגין פיצויים שישולמו עקב אישורה של התוכנית </w:t>
      </w:r>
      <w:r>
        <w:rPr>
          <w:rFonts w:ascii="David" w:hAnsi="David" w:cs="David"/>
          <w:rtl/>
        </w:rPr>
        <w:t xml:space="preserve">(עניין </w:t>
      </w:r>
      <w:r w:rsidRPr="00366518">
        <w:rPr>
          <w:rFonts w:ascii="Miriam" w:hAnsi="Miriam" w:cs="Miriam"/>
          <w:rtl/>
        </w:rPr>
        <w:t>פרחי ביקל</w:t>
      </w:r>
      <w:r>
        <w:rPr>
          <w:rFonts w:ascii="David" w:hAnsi="David" w:cs="David"/>
          <w:rtl/>
        </w:rPr>
        <w:t xml:space="preserve">, בפסקה 33). </w:t>
      </w:r>
      <w:r w:rsidRPr="00FC3538">
        <w:rPr>
          <w:rFonts w:ascii="David" w:hAnsi="David" w:cs="David"/>
          <w:rtl/>
        </w:rPr>
        <w:t xml:space="preserve">חריג זה רלוונטי במיוחד בענייננו, שכן תת"ל 31 מהווה "תכנית דרך" כמשמעותה </w:t>
      </w:r>
      <w:hyperlink r:id="rId7" w:history="1">
        <w:r w:rsidRPr="000A48E6" w:rsidR="000A48E6">
          <w:rPr>
            <w:rStyle w:val="Hyperlink"/>
            <w:rFonts w:ascii="David" w:hAnsi="David" w:cs="David"/>
            <w:rtl/>
          </w:rPr>
          <w:t>בסעיף 119ד</w:t>
        </w:r>
      </w:hyperlink>
      <w:r w:rsidRPr="00FC3538">
        <w:rPr>
          <w:rFonts w:ascii="David" w:hAnsi="David" w:cs="David"/>
          <w:rtl/>
        </w:rPr>
        <w:t xml:space="preserve"> לחוק. בהתאם לכך, מוטלת על נת"י חובת שיפוי כלפי הוועדה המקומית, וזאת בשיעור שייקבע בהתאם להוראות הסעיף</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FC3538">
        <w:rPr>
          <w:rFonts w:ascii="David" w:hAnsi="David" w:cs="David"/>
          <w:rtl/>
        </w:rPr>
        <w:t xml:space="preserve">על רקע תחולתו של </w:t>
      </w:r>
      <w:r w:rsidRPr="00FC3538">
        <w:rPr>
          <w:rFonts w:ascii="David" w:hAnsi="David" w:cs="David"/>
          <w:rtl/>
        </w:rPr>
        <w:t xml:space="preserve">החריג הקבוע </w:t>
      </w:r>
      <w:hyperlink r:id="rId7" w:history="1">
        <w:r w:rsidRPr="000A48E6" w:rsidR="000A48E6">
          <w:rPr>
            <w:rStyle w:val="Hyperlink"/>
            <w:rFonts w:ascii="David" w:hAnsi="David" w:cs="David"/>
            <w:rtl/>
          </w:rPr>
          <w:t>בסעיף 119ד</w:t>
        </w:r>
      </w:hyperlink>
      <w:r w:rsidRPr="00FC3538">
        <w:rPr>
          <w:rFonts w:ascii="David" w:hAnsi="David" w:cs="David"/>
          <w:rtl/>
        </w:rPr>
        <w:t xml:space="preserve"> לחוק, נחלשת ההצדקה להחלת הפטור הקבוע </w:t>
      </w:r>
      <w:hyperlink r:id="rId10" w:history="1">
        <w:r w:rsidRPr="000A48E6" w:rsidR="000A48E6">
          <w:rPr>
            <w:rStyle w:val="Hyperlink"/>
            <w:rFonts w:ascii="David" w:hAnsi="David" w:cs="David"/>
            <w:rtl/>
          </w:rPr>
          <w:t>בסעיף 200</w:t>
        </w:r>
      </w:hyperlink>
      <w:r w:rsidRPr="00FC3538">
        <w:rPr>
          <w:rFonts w:ascii="David" w:hAnsi="David" w:cs="David"/>
          <w:rtl/>
        </w:rPr>
        <w:t xml:space="preserve"> לחוק. זאת, מאחר שהאיזון הנדרש בין זכות הקניין של הפרט לבין האינטרס הציבורי בתכנון</w:t>
      </w:r>
      <w:r w:rsidRPr="00FC3538">
        <w:rPr>
          <w:rFonts w:ascii="David" w:hAnsi="David" w:cs="David"/>
          <w:rtl/>
        </w:rPr>
        <w:t xml:space="preserve"> ובפיתוח מושג, הלכה למעשה, באמצעות ההסדר הספציפי שנקבע </w:t>
      </w:r>
      <w:hyperlink r:id="rId7" w:history="1">
        <w:r w:rsidRPr="000A48E6" w:rsidR="000A48E6">
          <w:rPr>
            <w:rStyle w:val="Hyperlink"/>
            <w:rFonts w:ascii="David" w:hAnsi="David" w:cs="David"/>
            <w:rtl/>
          </w:rPr>
          <w:t>בסעיף 119ד</w:t>
        </w:r>
      </w:hyperlink>
      <w:r>
        <w:rPr>
          <w:rFonts w:ascii="David" w:hAnsi="David" w:cs="David"/>
          <w:rtl/>
        </w:rPr>
        <w:t>,</w:t>
      </w:r>
      <w:r w:rsidRPr="00FC3538">
        <w:rPr>
          <w:rFonts w:ascii="David" w:hAnsi="David" w:cs="David"/>
          <w:rtl/>
        </w:rPr>
        <w:t xml:space="preserve"> המטיל את חובת השיפוי על יוזם תכנית הדרך. בנסיבות אלה, אין הצדקה לצמצם את זכות הפיצוי של הנפגע באמצעות תחולה מקבילה של פטור לפי </w:t>
      </w:r>
      <w:hyperlink r:id="rId10" w:history="1">
        <w:r w:rsidRPr="000A48E6" w:rsidR="000A48E6">
          <w:rPr>
            <w:rStyle w:val="Hyperlink"/>
            <w:rFonts w:ascii="David" w:hAnsi="David" w:cs="David"/>
            <w:rtl/>
          </w:rPr>
          <w:t>סעיף 200.</w:t>
        </w:r>
      </w:hyperlink>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5B37AB">
        <w:rPr>
          <w:rFonts w:ascii="David" w:hAnsi="David" w:cs="David"/>
          <w:rtl/>
        </w:rPr>
        <w:t>תוצאה זו מתחזקת גם משיקול נוסף, שעניינו פיזור הוגן של הנזק. בהקשר זה כבר נקבע כי יש ליתן משקל מיוחד לשיקול זה כאשר מדובר בתוכנית בעלת אופי כלל־ארצי, שאינה נועדה לשימושים קהילתיים או מקומיים מצומצמים</w:t>
      </w:r>
      <w:r>
        <w:rPr>
          <w:rFonts w:ascii="David" w:hAnsi="David" w:cs="David"/>
          <w:rtl/>
        </w:rPr>
        <w:t xml:space="preserve">. </w:t>
      </w:r>
      <w:r w:rsidRPr="005B37AB">
        <w:rPr>
          <w:rFonts w:ascii="David" w:hAnsi="David" w:cs="David"/>
          <w:rtl/>
        </w:rPr>
        <w:t>טעם</w:t>
      </w:r>
      <w:r w:rsidRPr="005B37AB">
        <w:rPr>
          <w:rFonts w:ascii="David" w:hAnsi="David" w:cs="David"/>
          <w:rtl/>
        </w:rPr>
        <w:t xml:space="preserve"> </w:t>
      </w:r>
      <w:r>
        <w:rPr>
          <w:rFonts w:ascii="David" w:hAnsi="David" w:cs="David"/>
          <w:rtl/>
        </w:rPr>
        <w:t>הדבר</w:t>
      </w:r>
      <w:r w:rsidRPr="005B37AB">
        <w:rPr>
          <w:rFonts w:ascii="David" w:hAnsi="David" w:cs="David"/>
          <w:rtl/>
        </w:rPr>
        <w:t xml:space="preserve"> נעוץ בכך שבנסיבות מעין אלו, נזקי התוכנית אינם מתפזרים באופן שוויוני על פני כלל הנהנים ממנה. לעיתים קרובות, הנפגע הישיר מן התוכנית</w:t>
      </w:r>
      <w:r>
        <w:rPr>
          <w:rFonts w:ascii="David" w:hAnsi="David" w:cs="David"/>
          <w:rtl/>
        </w:rPr>
        <w:t xml:space="preserve">, </w:t>
      </w:r>
      <w:r w:rsidRPr="005B37AB">
        <w:rPr>
          <w:rFonts w:ascii="David" w:hAnsi="David" w:cs="David"/>
          <w:rtl/>
        </w:rPr>
        <w:t>קרי בעל הקרקע שנפגעה</w:t>
      </w:r>
      <w:r>
        <w:rPr>
          <w:rFonts w:ascii="David" w:hAnsi="David" w:cs="David"/>
          <w:rtl/>
        </w:rPr>
        <w:t>,</w:t>
      </w:r>
      <w:r w:rsidRPr="005B37AB">
        <w:rPr>
          <w:rFonts w:ascii="David" w:hAnsi="David" w:cs="David"/>
          <w:rtl/>
        </w:rPr>
        <w:t xml:space="preserve"> אינו מהנהנים העיקריים מתועלותיה, בעוד ששאר חברי הציבור, הנהנים מהשיפור התחבורתי או התשתיתי, אינם </w:t>
      </w:r>
      <w:r w:rsidRPr="005B37AB">
        <w:rPr>
          <w:rFonts w:ascii="David" w:hAnsi="David" w:cs="David"/>
          <w:rtl/>
        </w:rPr>
        <w:t xml:space="preserve">נושאים </w:t>
      </w:r>
      <w:r w:rsidRPr="005B37AB">
        <w:rPr>
          <w:rFonts w:ascii="David" w:hAnsi="David" w:cs="David"/>
          <w:rtl/>
        </w:rPr>
        <w:t xml:space="preserve">בנטל הפגיעה. בנסיבות אלה, הותרת הנזק כולו על כתפי הנפגע פוגעת בעיקרון של צדק חלוקתי, ולכן יש להימנע מכך </w:t>
      </w:r>
      <w:r>
        <w:rPr>
          <w:rFonts w:ascii="David" w:hAnsi="David" w:cs="David"/>
          <w:rtl/>
        </w:rPr>
        <w:t>(</w:t>
      </w:r>
      <w:hyperlink r:id="rId17" w:history="1">
        <w:r w:rsidRPr="00EC305A" w:rsidR="00EC305A">
          <w:rPr>
            <w:rStyle w:val="Hyperlink"/>
            <w:rFonts w:ascii="David" w:hAnsi="David" w:cs="David"/>
            <w:rtl/>
          </w:rPr>
          <w:t>עע"מ 683/13</w:t>
        </w:r>
      </w:hyperlink>
      <w:r w:rsidRPr="00F13813">
        <w:rPr>
          <w:rFonts w:ascii="David" w:hAnsi="David" w:cs="David"/>
          <w:rtl/>
        </w:rPr>
        <w:t xml:space="preserve"> </w:t>
      </w:r>
      <w:r w:rsidRPr="00F13813">
        <w:rPr>
          <w:rFonts w:ascii="Miriam" w:hAnsi="Miriam" w:cs="Miriam"/>
          <w:rtl/>
        </w:rPr>
        <w:t>רשות שדות התעופה נ' אליהו טויטו ואח'</w:t>
      </w:r>
      <w:r w:rsidRPr="00F13813">
        <w:rPr>
          <w:rFonts w:ascii="David" w:hAnsi="David" w:cs="David"/>
          <w:rtl/>
        </w:rPr>
        <w:t xml:space="preserve"> (נבו 3.9.2015)</w:t>
      </w:r>
      <w:r>
        <w:rPr>
          <w:rFonts w:ascii="David" w:hAnsi="David" w:cs="David"/>
          <w:rtl/>
        </w:rPr>
        <w:t xml:space="preserve"> (להלן: </w:t>
      </w:r>
      <w:r w:rsidRPr="00F13813">
        <w:rPr>
          <w:rFonts w:ascii="Miriam" w:hAnsi="Miriam" w:cs="Miriam"/>
          <w:rtl/>
        </w:rPr>
        <w:t>עניין טויטו</w:t>
      </w:r>
      <w:r>
        <w:rPr>
          <w:rFonts w:ascii="David" w:hAnsi="David" w:cs="David"/>
          <w:rtl/>
        </w:rPr>
        <w:t xml:space="preserve">); </w:t>
      </w:r>
      <w:hyperlink r:id="rId32" w:history="1">
        <w:r w:rsidRPr="00EC305A" w:rsidR="00EC305A">
          <w:rPr>
            <w:rStyle w:val="Hyperlink"/>
            <w:rFonts w:ascii="David" w:hAnsi="David" w:cs="David"/>
            <w:rtl/>
          </w:rPr>
          <w:t>ע"א 210-88</w:t>
        </w:r>
      </w:hyperlink>
      <w:r w:rsidRPr="00AE3C43">
        <w:rPr>
          <w:rFonts w:ascii="David" w:hAnsi="David" w:cs="David"/>
          <w:rtl/>
        </w:rPr>
        <w:t xml:space="preserve"> </w:t>
      </w:r>
      <w:r w:rsidRPr="00AE3C43">
        <w:rPr>
          <w:rFonts w:ascii="Miriam" w:hAnsi="Miriam" w:cs="Miriam"/>
          <w:rtl/>
        </w:rPr>
        <w:t>החברה להפצת פרי הארץ בע"מ נ' הוועדה המקומית לתכנון ולבנייה, כפר-סבא</w:t>
      </w:r>
      <w:r w:rsidRPr="00AE3C43">
        <w:rPr>
          <w:rFonts w:ascii="David" w:hAnsi="David" w:cs="David"/>
          <w:rtl/>
        </w:rPr>
        <w:t>, מו(4) 627 (נבו 1.10.1992)</w:t>
      </w:r>
      <w:r>
        <w:rPr>
          <w:rFonts w:ascii="David" w:hAnsi="David" w:cs="David"/>
          <w:rtl/>
        </w:rPr>
        <w:t>).</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F57459">
        <w:rPr>
          <w:rFonts w:ascii="David" w:hAnsi="David" w:cs="David"/>
          <w:rtl/>
        </w:rPr>
        <w:t xml:space="preserve">די בכך, לטעמנו, כדי לדחות את טענות נת"י בדבר תחולתו של </w:t>
      </w:r>
      <w:hyperlink r:id="rId10" w:history="1">
        <w:r w:rsidRPr="000A48E6" w:rsidR="000A48E6">
          <w:rPr>
            <w:rStyle w:val="Hyperlink"/>
            <w:rFonts w:ascii="David" w:hAnsi="David" w:cs="David"/>
            <w:rtl/>
          </w:rPr>
          <w:t>סעיף 200</w:t>
        </w:r>
      </w:hyperlink>
      <w:r w:rsidRPr="00F57459">
        <w:rPr>
          <w:rFonts w:ascii="David" w:hAnsi="David" w:cs="David"/>
          <w:rtl/>
        </w:rPr>
        <w:t xml:space="preserve"> לחוק</w:t>
      </w:r>
      <w:r>
        <w:rPr>
          <w:rFonts w:ascii="David" w:hAnsi="David" w:cs="David"/>
          <w:rtl/>
        </w:rPr>
        <w:t>.</w:t>
      </w:r>
    </w:p>
    <w:p w:rsidR="007E0DC7" w:rsidRPr="0027156B" w:rsidP="0027156B">
      <w:pPr>
        <w:pStyle w:val="Ruller4"/>
        <w:numPr>
          <w:ilvl w:val="0"/>
          <w:numId w:val="31"/>
        </w:numPr>
        <w:tabs>
          <w:tab w:val="clear" w:pos="454"/>
          <w:tab w:val="clear" w:pos="800"/>
          <w:tab w:val="num" w:pos="1361"/>
        </w:tabs>
        <w:spacing w:before="240" w:after="240"/>
        <w:rPr>
          <w:rFonts w:ascii="David" w:hAnsi="David" w:cs="David"/>
        </w:rPr>
      </w:pPr>
      <w:r w:rsidRPr="00F57459">
        <w:rPr>
          <w:rFonts w:ascii="David" w:hAnsi="David" w:cs="David"/>
          <w:rtl/>
        </w:rPr>
        <w:t>מעבר לנדרש, נציין כי לא שוכנענו שהפגיעה שנגרמה לחלקות עקב אישורה של תת"ל 31 הייתה שולית או מצויה בגדר התחום הסביר. מהשוואת שווי החלקות בשלמותן לשיעור הפיצוי שנקבע בגינן עולה כי שיעור הפיצוי נע בין 5% ל־22%, בהתאם למאפייני כל חלקה. ב</w:t>
      </w:r>
      <w:r w:rsidRPr="00F57459">
        <w:rPr>
          <w:rFonts w:ascii="David" w:hAnsi="David" w:cs="David"/>
          <w:rtl/>
        </w:rPr>
        <w:t>רוב המקרים, שיעור הפגיעה עולה על 5%.</w:t>
      </w:r>
      <w:r>
        <w:rPr>
          <w:rFonts w:ascii="David" w:hAnsi="David" w:cs="David"/>
          <w:rtl/>
        </w:rPr>
        <w:t xml:space="preserve"> </w:t>
      </w:r>
      <w:r w:rsidRPr="00F57459">
        <w:rPr>
          <w:rFonts w:ascii="David" w:hAnsi="David" w:cs="David"/>
          <w:rtl/>
        </w:rPr>
        <w:t xml:space="preserve">לשיטתנו, מדובר בשיעור פגיעה מהותי, שאינו נכנס לגדר </w:t>
      </w:r>
      <w:r>
        <w:rPr>
          <w:rFonts w:ascii="David" w:hAnsi="David" w:cs="David"/>
          <w:rtl/>
        </w:rPr>
        <w:t>"</w:t>
      </w:r>
      <w:r w:rsidRPr="00F57459">
        <w:rPr>
          <w:rFonts w:ascii="David" w:hAnsi="David" w:cs="David"/>
          <w:rtl/>
        </w:rPr>
        <w:t>זוטי דברים</w:t>
      </w:r>
      <w:r>
        <w:rPr>
          <w:rFonts w:ascii="David" w:hAnsi="David" w:cs="David"/>
          <w:rtl/>
        </w:rPr>
        <w:t>"</w:t>
      </w:r>
      <w:r w:rsidRPr="00F57459">
        <w:rPr>
          <w:rFonts w:ascii="David" w:hAnsi="David" w:cs="David"/>
          <w:rtl/>
        </w:rPr>
        <w:t xml:space="preserve">, ואינו יכול להיחשב כתחום הסביר בנסיבות העניין. גם מטעם זה, אין מקום להחיל את הפטור הקבוע </w:t>
      </w:r>
      <w:hyperlink r:id="rId10" w:history="1">
        <w:r w:rsidRPr="000A48E6" w:rsidR="000A48E6">
          <w:rPr>
            <w:rStyle w:val="Hyperlink"/>
            <w:rFonts w:ascii="David" w:hAnsi="David" w:cs="David"/>
            <w:rtl/>
          </w:rPr>
          <w:t>בסעיף 200</w:t>
        </w:r>
      </w:hyperlink>
      <w:r w:rsidRPr="00F57459">
        <w:rPr>
          <w:rFonts w:ascii="David" w:hAnsi="David" w:cs="David"/>
          <w:rtl/>
        </w:rPr>
        <w:t xml:space="preserve"> לחוק</w:t>
      </w:r>
      <w:r>
        <w:rPr>
          <w:rFonts w:ascii="David" w:hAnsi="David" w:cs="David"/>
          <w:rtl/>
        </w:rPr>
        <w:t xml:space="preserve"> (השוו: </w:t>
      </w:r>
      <w:r w:rsidRPr="00F13813">
        <w:rPr>
          <w:rFonts w:ascii="Miriam" w:hAnsi="Miriam" w:cs="Miriam"/>
          <w:rtl/>
        </w:rPr>
        <w:t>עניין טויטו</w:t>
      </w:r>
      <w:r w:rsidRPr="00946044">
        <w:rPr>
          <w:rFonts w:ascii="David" w:hAnsi="David" w:cs="David"/>
          <w:rtl/>
        </w:rPr>
        <w:t xml:space="preserve">, </w:t>
      </w:r>
      <w:r w:rsidRPr="00F13813">
        <w:rPr>
          <w:rFonts w:ascii="David" w:hAnsi="David" w:cs="David"/>
          <w:rtl/>
        </w:rPr>
        <w:t>בפסקה 111).</w:t>
      </w:r>
    </w:p>
    <w:p w:rsidR="007E0DC7" w:rsidRPr="007E20CB" w:rsidP="007E20CB">
      <w:pPr>
        <w:pStyle w:val="Ruller4"/>
        <w:suppressLineNumbers/>
        <w:tabs>
          <w:tab w:val="clear" w:pos="800"/>
        </w:tabs>
        <w:spacing w:before="240" w:after="240"/>
        <w:ind w:left="567"/>
        <w:rPr>
          <w:rFonts w:ascii="Miriam" w:hAnsi="Miriam" w:cs="Miriam"/>
        </w:rPr>
      </w:pPr>
      <w:r w:rsidRPr="007E20CB">
        <w:rPr>
          <w:rFonts w:ascii="Miriam" w:hAnsi="Miriam" w:cs="Miriam"/>
          <w:rtl/>
        </w:rPr>
        <w:t>קיזוז תשלום פיצויי הפקעה</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F57459">
        <w:rPr>
          <w:rFonts w:ascii="David" w:hAnsi="David" w:cs="David"/>
          <w:rtl/>
        </w:rPr>
        <w:t>במסגרת החלטת הביניים, הונחתה השמאית המייעצת להעריך את שיעור הפיצוי ששולם לעוררים במסגרת פיצויי ההפקעה שניתנו על־ידי נת"י ביחס לחלק מהחלקות. לאחר גיבוש מסד הנתונים הרלוונטי, נדרשה השמאית להכריע האם י</w:t>
      </w:r>
      <w:r w:rsidRPr="00F57459">
        <w:rPr>
          <w:rFonts w:ascii="David" w:hAnsi="David" w:cs="David"/>
          <w:rtl/>
        </w:rPr>
        <w:t>ש מקום להפחית את שיעור הפיצוי שנקבע בשומות המייעצות, נוכח הסכומים שכבר שולמו לעוררים במסגרת הליכי ההפקעה</w:t>
      </w:r>
      <w:r>
        <w:rPr>
          <w:rFonts w:ascii="David" w:hAnsi="David" w:cs="David"/>
          <w:rtl/>
        </w:rPr>
        <w:t xml:space="preserve">.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F57459">
        <w:rPr>
          <w:rFonts w:ascii="David" w:hAnsi="David" w:cs="David"/>
          <w:rtl/>
        </w:rPr>
        <w:t>בהתייחס להוראות אלה, קבעה השמאית המייעצת כי לשיטתה יש להבחין בין שני שלבים נפרדים: האחד</w:t>
      </w:r>
      <w:r>
        <w:rPr>
          <w:rFonts w:ascii="David" w:hAnsi="David" w:cs="David"/>
          <w:rtl/>
        </w:rPr>
        <w:t>,</w:t>
      </w:r>
      <w:r w:rsidRPr="00F57459">
        <w:rPr>
          <w:rFonts w:ascii="David" w:hAnsi="David" w:cs="David"/>
          <w:rtl/>
        </w:rPr>
        <w:t xml:space="preserve"> שלב בחינת הפיצוי בגין שינוי ייעוד החלקות, שהוא נושא ההליך דנן; והאחר</w:t>
      </w:r>
      <w:r>
        <w:rPr>
          <w:rFonts w:ascii="David" w:hAnsi="David" w:cs="David"/>
          <w:rtl/>
        </w:rPr>
        <w:t>,</w:t>
      </w:r>
      <w:r w:rsidRPr="00F57459">
        <w:rPr>
          <w:rFonts w:ascii="David" w:hAnsi="David" w:cs="David"/>
          <w:rtl/>
        </w:rPr>
        <w:t xml:space="preserve"> שלב בחינת הפיצוי בגין נטילת הקרקע בפועל על־ידי הרשות המפקיעה, שהוא שלב עתידי ונפרד, אשר מחלוקות הנוגעות לו מתבררות במסגרת הליך נפרד בפני בית המשפט המוסמך. בהתאם לכך, אין מקום לבצע קיזוז</w:t>
      </w:r>
      <w:r w:rsidRPr="00F57459">
        <w:rPr>
          <w:rFonts w:ascii="David" w:hAnsi="David" w:cs="David"/>
          <w:rtl/>
        </w:rPr>
        <w:t xml:space="preserve"> או </w:t>
      </w:r>
      <w:r w:rsidRPr="00F57459">
        <w:rPr>
          <w:rFonts w:ascii="David" w:hAnsi="David" w:cs="David"/>
          <w:rtl/>
        </w:rPr>
        <w:t>התאמה במסגרת הליך זה, בשל תשלומים שנעשו במסגרת הליכי ההפקעה</w:t>
      </w:r>
      <w:r>
        <w:rPr>
          <w:rFonts w:ascii="David" w:hAnsi="David" w:cs="David"/>
          <w:rtl/>
        </w:rPr>
        <w:t xml:space="preserve">.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BD6ABB">
        <w:rPr>
          <w:rFonts w:ascii="David" w:hAnsi="David" w:cs="David"/>
          <w:rtl/>
        </w:rPr>
        <w:t xml:space="preserve">גישה זו התקבלה על דעת העוררים ועל ידי הוועדה המקומית. ואולם, </w:t>
      </w:r>
      <w:r>
        <w:rPr>
          <w:rFonts w:ascii="David" w:hAnsi="David" w:cs="David"/>
          <w:rtl/>
        </w:rPr>
        <w:t>כאמור</w:t>
      </w:r>
      <w:r w:rsidRPr="00BD6ABB">
        <w:rPr>
          <w:rFonts w:ascii="David" w:hAnsi="David" w:cs="David"/>
          <w:rtl/>
        </w:rPr>
        <w:t>, נת"י עומדת על טענתה שלפיה יש להורות על קיזוז הסכומים ששולמו על ידה לעוררים כפיצויי הפקעה, וזאת אף במסגרת ההליך דנן</w:t>
      </w:r>
      <w:r>
        <w:rPr>
          <w:rFonts w:ascii="David" w:hAnsi="David" w:cs="David"/>
          <w:rtl/>
        </w:rPr>
        <w:t>.</w:t>
      </w:r>
    </w:p>
    <w:p w:rsidR="007E0DC7" w:rsidP="00DB511E">
      <w:pPr>
        <w:pStyle w:val="Ruller4"/>
        <w:numPr>
          <w:ilvl w:val="0"/>
          <w:numId w:val="31"/>
        </w:numPr>
        <w:tabs>
          <w:tab w:val="clear" w:pos="454"/>
          <w:tab w:val="clear" w:pos="800"/>
          <w:tab w:val="num" w:pos="1361"/>
        </w:tabs>
        <w:spacing w:before="240" w:after="240"/>
        <w:rPr>
          <w:rFonts w:ascii="David" w:hAnsi="David" w:cs="David"/>
        </w:rPr>
      </w:pPr>
      <w:r w:rsidRPr="00BD6ABB">
        <w:rPr>
          <w:rFonts w:ascii="David" w:hAnsi="David" w:cs="David"/>
          <w:rtl/>
        </w:rPr>
        <w:t>לאחר ע</w:t>
      </w:r>
      <w:r w:rsidRPr="00BD6ABB">
        <w:rPr>
          <w:rFonts w:ascii="David" w:hAnsi="David" w:cs="David"/>
          <w:rtl/>
        </w:rPr>
        <w:t>יון, אנו סבורים כי יש לקבל את עמדת השמאית המייעצת. פעולת קיזוז משמעותה הפחתת סכום של זכות באמצעות הצבת סכום חוב מנגד</w:t>
      </w:r>
      <w:r w:rsidRPr="00060A87">
        <w:rPr>
          <w:rFonts w:ascii="David" w:hAnsi="David" w:cs="David"/>
          <w:rtl/>
        </w:rPr>
        <w:t xml:space="preserve"> (</w:t>
      </w:r>
      <w:hyperlink r:id="rId33" w:history="1">
        <w:r w:rsidRPr="00EC305A" w:rsidR="00EC305A">
          <w:rPr>
            <w:rStyle w:val="Hyperlink"/>
            <w:rFonts w:ascii="David" w:hAnsi="David" w:cs="David"/>
            <w:rtl/>
          </w:rPr>
          <w:t>בר"מ 4367/16</w:t>
        </w:r>
      </w:hyperlink>
      <w:r w:rsidRPr="00060A87">
        <w:rPr>
          <w:rFonts w:ascii="David" w:hAnsi="David" w:cs="David"/>
          <w:rtl/>
        </w:rPr>
        <w:t xml:space="preserve"> </w:t>
      </w:r>
      <w:r w:rsidRPr="00060A87">
        <w:rPr>
          <w:rFonts w:ascii="Miriam" w:hAnsi="Miriam" w:cs="Miriam"/>
          <w:rtl/>
        </w:rPr>
        <w:t>אהרון מאיר נ' הוועדה המקומית לתכנון ולבנייה הוד השרון</w:t>
      </w:r>
      <w:r w:rsidRPr="00060A87">
        <w:rPr>
          <w:rFonts w:ascii="David" w:hAnsi="David" w:cs="David"/>
          <w:rtl/>
        </w:rPr>
        <w:t xml:space="preserve"> (נבו 25.3.2018)). </w:t>
      </w:r>
      <w:r w:rsidRPr="00BD6ABB">
        <w:rPr>
          <w:rFonts w:ascii="David" w:hAnsi="David" w:cs="David"/>
          <w:rtl/>
        </w:rPr>
        <w:t>ל</w:t>
      </w:r>
      <w:r w:rsidRPr="00BD6ABB">
        <w:rPr>
          <w:rFonts w:ascii="David" w:hAnsi="David" w:cs="David"/>
          <w:rtl/>
        </w:rPr>
        <w:t>פיכך, כדי שניתן יהיה להורות על קיזוז סכום ששולם על־ידי נת"י, נדרש לקבוע תחילה כי לעוררים קיים חוב כלפי נת"י</w:t>
      </w:r>
      <w:r>
        <w:rPr>
          <w:rFonts w:ascii="David" w:hAnsi="David" w:cs="David"/>
          <w:rtl/>
        </w:rPr>
        <w:t xml:space="preserve">, </w:t>
      </w:r>
      <w:r w:rsidRPr="00BD6ABB">
        <w:rPr>
          <w:rFonts w:ascii="David" w:hAnsi="David" w:cs="David"/>
          <w:rtl/>
        </w:rPr>
        <w:t>דהיינו כי הסכום ששולם להם עולה על המגיע להם, ויש לראותו כפיצוי עודף.</w:t>
      </w:r>
    </w:p>
    <w:p w:rsidR="007E0DC7" w:rsidP="007803A0">
      <w:pPr>
        <w:pStyle w:val="Ruller4"/>
        <w:numPr>
          <w:ilvl w:val="0"/>
          <w:numId w:val="31"/>
        </w:numPr>
        <w:tabs>
          <w:tab w:val="clear" w:pos="454"/>
          <w:tab w:val="clear" w:pos="800"/>
          <w:tab w:val="num" w:pos="1361"/>
        </w:tabs>
        <w:spacing w:before="240" w:after="240"/>
        <w:rPr>
          <w:rFonts w:ascii="David" w:hAnsi="David" w:cs="David"/>
        </w:rPr>
      </w:pPr>
      <w:r w:rsidRPr="00BD6ABB">
        <w:rPr>
          <w:rFonts w:ascii="David" w:hAnsi="David" w:cs="David"/>
          <w:rtl/>
        </w:rPr>
        <w:t>השמאית המייעצת ציינה כי לא הוצגו לה נתונים שיכולים לתמוך בקביעה שלפיה הסכום ששולם לעוררים על־ידי נת"י מהווה פיצוי עודף. מנגד, העוררים חולקים על טענת נת"י לפיה הפיצוי שקיבלו כולל גם רכיב בגין שינוי ייעוד החלקות. תביעה שהגישו העוררים בעניין שיעור הפיצוי בגין</w:t>
      </w:r>
      <w:r w:rsidRPr="00BD6ABB">
        <w:rPr>
          <w:rFonts w:ascii="David" w:hAnsi="David" w:cs="David"/>
          <w:rtl/>
        </w:rPr>
        <w:t xml:space="preserve"> נטילת הקרקע מתבררת כיום </w:t>
      </w:r>
      <w:r>
        <w:rPr>
          <w:rFonts w:ascii="David" w:hAnsi="David" w:cs="David"/>
          <w:rtl/>
        </w:rPr>
        <w:t>ל</w:t>
      </w:r>
      <w:r w:rsidRPr="00BD6ABB">
        <w:rPr>
          <w:rFonts w:ascii="David" w:hAnsi="David" w:cs="David"/>
          <w:rtl/>
        </w:rPr>
        <w:t>פני בית המשפט המחוזי מרכז ב</w:t>
      </w:r>
      <w:hyperlink r:id="rId34" w:history="1">
        <w:r w:rsidRPr="00EC305A" w:rsidR="00EC305A">
          <w:rPr>
            <w:rStyle w:val="Hyperlink"/>
            <w:rFonts w:ascii="David" w:hAnsi="David" w:cs="David"/>
            <w:rtl/>
          </w:rPr>
          <w:t>ת"א 78177-03-25</w:t>
        </w:r>
      </w:hyperlink>
      <w:r w:rsidRPr="00BD6ABB">
        <w:rPr>
          <w:rFonts w:ascii="David" w:hAnsi="David" w:cs="David"/>
          <w:rtl/>
        </w:rPr>
        <w:t xml:space="preserve"> </w:t>
      </w:r>
      <w:r w:rsidRPr="00BD6ABB">
        <w:rPr>
          <w:rFonts w:ascii="Miriam" w:hAnsi="Miriam" w:cs="Miriam"/>
          <w:rtl/>
        </w:rPr>
        <w:t>אברהם בן דוד נ' נתיבי ישראל – החברה הלאומית לתשתיות תחבורה בע"מ</w:t>
      </w:r>
      <w:r w:rsidR="00567A17">
        <w:rPr>
          <w:rFonts w:ascii="Miriam" w:hAnsi="Miriam" w:cs="Miriam" w:hint="cs"/>
          <w:rtl/>
        </w:rPr>
        <w:t xml:space="preserve"> </w:t>
      </w:r>
      <w:r w:rsidR="00567A17">
        <w:rPr>
          <w:rFonts w:ascii="Miriam" w:hAnsi="Miriam" w:cs="Miriam"/>
          <w:rtl/>
        </w:rPr>
        <w:t>[נבו]</w:t>
      </w:r>
      <w:r>
        <w:rPr>
          <w:rFonts w:ascii="David" w:hAnsi="David" w:cs="David"/>
          <w:rtl/>
        </w:rPr>
        <w:t xml:space="preserve">. </w:t>
      </w:r>
      <w:r w:rsidRPr="00BD6ABB">
        <w:rPr>
          <w:rFonts w:ascii="David" w:hAnsi="David" w:cs="David"/>
          <w:rtl/>
        </w:rPr>
        <w:t>בנסיבות אלה, ובהיעדר נתונים או הכרעה שיפוטית שיכולה לבסס טענת תש</w:t>
      </w:r>
      <w:r w:rsidRPr="00BD6ABB">
        <w:rPr>
          <w:rFonts w:ascii="David" w:hAnsi="David" w:cs="David"/>
          <w:rtl/>
        </w:rPr>
        <w:t>לום ביתר מצד נת"י, אין מנוס מדחיית טענת הקיזוז במסגרת ההליך דנן</w:t>
      </w:r>
      <w:r>
        <w:rPr>
          <w:rFonts w:ascii="David" w:hAnsi="David" w:cs="David"/>
          <w:rtl/>
        </w:rPr>
        <w:t>.</w:t>
      </w:r>
    </w:p>
    <w:p w:rsidR="007E0DC7" w:rsidRPr="007803A0" w:rsidP="007803A0">
      <w:pPr>
        <w:pStyle w:val="Ruller4"/>
        <w:numPr>
          <w:ilvl w:val="0"/>
          <w:numId w:val="31"/>
        </w:numPr>
        <w:tabs>
          <w:tab w:val="clear" w:pos="454"/>
          <w:tab w:val="clear" w:pos="800"/>
          <w:tab w:val="num" w:pos="1361"/>
        </w:tabs>
        <w:spacing w:before="240" w:after="240"/>
        <w:rPr>
          <w:rFonts w:ascii="David" w:hAnsi="David" w:cs="David"/>
        </w:rPr>
      </w:pPr>
      <w:r w:rsidRPr="00BD6ABB">
        <w:rPr>
          <w:rFonts w:ascii="David" w:hAnsi="David" w:cs="David"/>
          <w:rtl/>
        </w:rPr>
        <w:t>לצד האמור, אנו רואים לנכון לשוב ולהבהיר כי אף במסגרת ההליך דנן, מקובלת עלינו טענתה העקרונית של נת"י, שלפיה הפיצוי הכולל המגיע לעוררים אינו יכול לעלות על מלוא הנזק שנגרם להם. עיקרון זה הוכר בפ</w:t>
      </w:r>
      <w:r w:rsidRPr="00BD6ABB">
        <w:rPr>
          <w:rFonts w:ascii="David" w:hAnsi="David" w:cs="David"/>
          <w:rtl/>
        </w:rPr>
        <w:t>סיקה ופורט בהרחבה</w:t>
      </w:r>
      <w:r>
        <w:rPr>
          <w:rFonts w:ascii="David" w:hAnsi="David" w:cs="David"/>
          <w:rtl/>
        </w:rPr>
        <w:t xml:space="preserve"> ב</w:t>
      </w:r>
      <w:hyperlink r:id="rId35" w:history="1">
        <w:r w:rsidRPr="00567A17" w:rsidR="00567A17">
          <w:rPr>
            <w:rStyle w:val="Hyperlink"/>
            <w:rFonts w:ascii="David" w:hAnsi="David" w:cs="David"/>
            <w:rtl/>
          </w:rPr>
          <w:t>ערר (ועדות ערר - תכנון ובנייה מרכז) 9016-12-21</w:t>
        </w:r>
      </w:hyperlink>
      <w:r w:rsidRPr="00475271">
        <w:rPr>
          <w:rFonts w:ascii="David" w:hAnsi="David" w:cs="David"/>
          <w:rtl/>
        </w:rPr>
        <w:t xml:space="preserve"> </w:t>
      </w:r>
      <w:r w:rsidRPr="00C443B6">
        <w:rPr>
          <w:rFonts w:ascii="Miriam" w:hAnsi="Miriam" w:cs="Miriam"/>
          <w:rtl/>
        </w:rPr>
        <w:t>יובל וגיתית רז נ' הוועדה המקומית עמק חפר</w:t>
      </w:r>
      <w:r w:rsidRPr="00475271">
        <w:rPr>
          <w:rFonts w:ascii="David" w:hAnsi="David" w:cs="David"/>
          <w:rtl/>
        </w:rPr>
        <w:t xml:space="preserve"> (נבו 12.5.2022)</w:t>
      </w:r>
      <w:r>
        <w:rPr>
          <w:rFonts w:ascii="David" w:hAnsi="David" w:cs="David"/>
          <w:rtl/>
        </w:rPr>
        <w:t xml:space="preserve">, והמעיין ישכיל. </w:t>
      </w:r>
    </w:p>
    <w:p w:rsidR="007E0DC7" w:rsidP="00B962C9">
      <w:pPr>
        <w:pStyle w:val="Ruller4"/>
        <w:numPr>
          <w:ilvl w:val="0"/>
          <w:numId w:val="31"/>
        </w:numPr>
        <w:tabs>
          <w:tab w:val="clear" w:pos="454"/>
          <w:tab w:val="clear" w:pos="800"/>
          <w:tab w:val="num" w:pos="1361"/>
        </w:tabs>
        <w:spacing w:before="240" w:after="240"/>
        <w:rPr>
          <w:rFonts w:ascii="David" w:hAnsi="David" w:cs="David"/>
        </w:rPr>
      </w:pPr>
      <w:r w:rsidRPr="00D81FC1">
        <w:rPr>
          <w:rFonts w:ascii="David" w:hAnsi="David" w:cs="David"/>
          <w:rtl/>
        </w:rPr>
        <w:t xml:space="preserve">לאחר שהבהרנו את עמדתנו, ובנסיבות, מקובלת עלינו עמדת השמאית </w:t>
      </w:r>
      <w:r w:rsidRPr="00D81FC1">
        <w:rPr>
          <w:rFonts w:ascii="David" w:hAnsi="David" w:cs="David"/>
          <w:rtl/>
        </w:rPr>
        <w:t>המייעצת שלפיה פעולת הקיזוז, ככל שתידרש, יש לבצע במסגרת הליך נפרד</w:t>
      </w:r>
      <w:r>
        <w:rPr>
          <w:rFonts w:ascii="David" w:hAnsi="David" w:cs="David"/>
          <w:rtl/>
        </w:rPr>
        <w:t xml:space="preserve">. </w:t>
      </w:r>
    </w:p>
    <w:p w:rsidR="007E0DC7" w:rsidRPr="007E20CB" w:rsidP="00033C13">
      <w:pPr>
        <w:pStyle w:val="Ruller4"/>
        <w:suppressLineNumbers/>
        <w:tabs>
          <w:tab w:val="clear" w:pos="800"/>
        </w:tabs>
        <w:spacing w:before="240" w:after="240"/>
        <w:ind w:left="567"/>
        <w:rPr>
          <w:rFonts w:ascii="Miriam" w:hAnsi="Miriam" w:cs="Miriam"/>
        </w:rPr>
      </w:pPr>
      <w:r>
        <w:rPr>
          <w:rFonts w:ascii="Miriam" w:hAnsi="Miriam" w:cs="Miriam"/>
          <w:rtl/>
        </w:rPr>
        <w:t>סיכום ו</w:t>
      </w:r>
      <w:r w:rsidRPr="007E20CB">
        <w:rPr>
          <w:rFonts w:ascii="Miriam" w:hAnsi="Miriam" w:cs="Miriam"/>
          <w:rtl/>
        </w:rPr>
        <w:t>הוצאות</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D3BE8">
        <w:rPr>
          <w:rFonts w:ascii="David" w:hAnsi="David" w:cs="David"/>
          <w:rtl/>
        </w:rPr>
        <w:t xml:space="preserve">אנו דוחים את השגות הצדדים ונותנים תוקף של החלטה לשומות המייעצות. בהתאם לכך, </w:t>
      </w:r>
      <w:r w:rsidRPr="005C7477">
        <w:rPr>
          <w:rFonts w:ascii="David" w:hAnsi="David" w:cs="David"/>
          <w:rtl/>
        </w:rPr>
        <w:t>העררים מתקבלים בחלקם</w:t>
      </w:r>
      <w:r w:rsidRPr="00CD3BE8">
        <w:rPr>
          <w:rFonts w:ascii="David" w:hAnsi="David" w:cs="David"/>
          <w:rtl/>
        </w:rPr>
        <w:t>, והעוררים זכאים לפיצוי בסכומים שנקבעו בשומות המייעצות</w:t>
      </w:r>
      <w:r>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CD3BE8">
        <w:rPr>
          <w:rFonts w:ascii="David" w:hAnsi="David" w:cs="David"/>
          <w:rtl/>
        </w:rPr>
        <w:t>שיעורו של סכום הפיצוי י</w:t>
      </w:r>
      <w:r w:rsidRPr="00CD3BE8">
        <w:rPr>
          <w:rFonts w:ascii="David" w:hAnsi="David" w:cs="David"/>
          <w:rtl/>
        </w:rPr>
        <w:t xml:space="preserve">עודכן בהתאם להוראות </w:t>
      </w:r>
      <w:hyperlink r:id="rId36" w:history="1">
        <w:r w:rsidRPr="00EC305A" w:rsidR="00EC305A">
          <w:rPr>
            <w:rStyle w:val="Hyperlink"/>
            <w:rFonts w:ascii="David" w:hAnsi="David" w:cs="David"/>
            <w:rtl/>
          </w:rPr>
          <w:t>חוק פסיקת ריבית והצמדה</w:t>
        </w:r>
      </w:hyperlink>
      <w:r w:rsidRPr="00CD3BE8">
        <w:rPr>
          <w:rFonts w:ascii="David" w:hAnsi="David" w:cs="David"/>
          <w:rtl/>
        </w:rPr>
        <w:t>, תשכ"א</w:t>
      </w:r>
      <w:r>
        <w:rPr>
          <w:rFonts w:ascii="David" w:hAnsi="David" w:cs="David"/>
          <w:rtl/>
        </w:rPr>
        <w:t>-</w:t>
      </w:r>
      <w:r w:rsidRPr="00CD3BE8">
        <w:rPr>
          <w:rFonts w:ascii="David" w:hAnsi="David" w:cs="David"/>
          <w:rtl/>
        </w:rPr>
        <w:t xml:space="preserve">1961, וזאת ממועד הגשת התביעות ועד למועד פירעון הסכום בפועל </w:t>
      </w:r>
      <w:r>
        <w:rPr>
          <w:rFonts w:ascii="David" w:hAnsi="David" w:cs="David"/>
          <w:rtl/>
        </w:rPr>
        <w:t xml:space="preserve">(ראו </w:t>
      </w:r>
      <w:hyperlink r:id="rId37" w:history="1">
        <w:r w:rsidRPr="00567A17" w:rsidR="00567A17">
          <w:rPr>
            <w:rStyle w:val="Hyperlink"/>
            <w:rFonts w:ascii="David" w:hAnsi="David" w:cs="David"/>
            <w:rtl/>
          </w:rPr>
          <w:t>ערר (ועדות ערר - תכנון ובנייה מרכז) 9013-09-21</w:t>
        </w:r>
      </w:hyperlink>
      <w:r w:rsidRPr="00B72E23">
        <w:rPr>
          <w:rFonts w:ascii="David" w:hAnsi="David" w:cs="David"/>
          <w:rtl/>
        </w:rPr>
        <w:t xml:space="preserve"> </w:t>
      </w:r>
      <w:r w:rsidRPr="00B72E23">
        <w:rPr>
          <w:rFonts w:ascii="Miriam" w:hAnsi="Miriam" w:cs="Miriam"/>
          <w:rtl/>
        </w:rPr>
        <w:t>חיים בן משה ו- 34 אחרים נ' הוועדה המקומית לתכנון ובנייה עמק חפר</w:t>
      </w:r>
      <w:r w:rsidRPr="00B72E23">
        <w:rPr>
          <w:rFonts w:ascii="David" w:hAnsi="David" w:cs="David"/>
          <w:rtl/>
        </w:rPr>
        <w:t xml:space="preserve"> (נבו 22.4.2025)</w:t>
      </w:r>
      <w:r>
        <w:rPr>
          <w:rFonts w:ascii="David" w:hAnsi="David" w:cs="David"/>
          <w:rtl/>
        </w:rPr>
        <w:t>).</w:t>
      </w:r>
    </w:p>
    <w:p w:rsidR="007E0DC7" w:rsidP="00CD3BE8">
      <w:pPr>
        <w:pStyle w:val="Ruller4"/>
        <w:tabs>
          <w:tab w:val="clear" w:pos="800"/>
        </w:tabs>
        <w:spacing w:before="240" w:after="240"/>
        <w:ind w:left="567"/>
        <w:rPr>
          <w:rFonts w:ascii="David" w:hAnsi="David" w:cs="David"/>
        </w:rPr>
      </w:pPr>
      <w:r>
        <w:rPr>
          <w:rFonts w:ascii="David" w:hAnsi="David" w:cs="David"/>
          <w:rtl/>
        </w:rPr>
        <w:t>[וכאמור – טענות נת"י לעניין קיזוז סכומים שכבר שולמו על ידה, שמורות לה.]</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112E20">
        <w:rPr>
          <w:rFonts w:ascii="David" w:hAnsi="David" w:cs="David"/>
          <w:rtl/>
        </w:rPr>
        <w:t xml:space="preserve">בהתחשב בשיעור הפיצוי שנקבע בשומות המייעצות, ביחס שבינו לבין הסכום שנתבע, במורכבות ההליך, בהיקף </w:t>
      </w:r>
      <w:r w:rsidRPr="00112E20">
        <w:rPr>
          <w:rFonts w:ascii="David" w:hAnsi="David" w:cs="David"/>
          <w:rtl/>
        </w:rPr>
        <w:t>המשאבים שהושקעו בהכנתו ובניהולו, וכן בסכום ההוצאות שהתבקש – אנו קובעים כי כל אחת מן המשיבות תישא לחוד בהוצאות העוררים בסך של 15,000 ש"ח (כולל מע"מ). סך ההוצאות הכולל יעמוד, אפוא, על 30,000 ש"ח</w:t>
      </w:r>
      <w:r>
        <w:rPr>
          <w:rFonts w:ascii="David" w:hAnsi="David" w:cs="David"/>
          <w:rtl/>
        </w:rPr>
        <w:t xml:space="preserve"> </w:t>
      </w:r>
      <w:r w:rsidRPr="00112E20">
        <w:rPr>
          <w:rFonts w:ascii="David" w:hAnsi="David" w:cs="David"/>
          <w:rtl/>
        </w:rPr>
        <w:t>(כולל מע"מ), אשר ישולמו לעוררים בתוך 30 ימים</w:t>
      </w:r>
      <w:r w:rsidRPr="00B72E23">
        <w:rPr>
          <w:rFonts w:ascii="David" w:hAnsi="David" w:cs="David"/>
          <w:rtl/>
        </w:rPr>
        <w:t>.</w:t>
      </w:r>
    </w:p>
    <w:p w:rsidR="007E0DC7" w:rsidP="00C25C52">
      <w:pPr>
        <w:pStyle w:val="Ruller4"/>
        <w:numPr>
          <w:ilvl w:val="0"/>
          <w:numId w:val="31"/>
        </w:numPr>
        <w:tabs>
          <w:tab w:val="clear" w:pos="454"/>
          <w:tab w:val="clear" w:pos="800"/>
          <w:tab w:val="num" w:pos="1361"/>
        </w:tabs>
        <w:spacing w:before="240" w:after="240"/>
        <w:rPr>
          <w:rFonts w:ascii="David" w:hAnsi="David" w:cs="David"/>
        </w:rPr>
      </w:pPr>
      <w:r w:rsidRPr="000A48E6">
        <w:rPr>
          <w:rFonts w:ascii="David" w:hAnsi="David" w:cs="David"/>
          <w:color w:val="FFFFFF"/>
          <w:sz w:val="2"/>
          <w:szCs w:val="2"/>
          <w:rtl/>
        </w:rPr>
        <w:t>5129371</w:t>
      </w:r>
      <w:r w:rsidRPr="00EC305A" w:rsidR="00EC305A">
        <w:rPr>
          <w:rFonts w:ascii="David" w:hAnsi="David" w:cs="David"/>
          <w:color w:val="FFFFFF"/>
          <w:sz w:val="2"/>
          <w:szCs w:val="2"/>
          <w:rtl/>
        </w:rPr>
        <w:t>5129371</w:t>
      </w:r>
      <w:r w:rsidRPr="00D72BD1" w:rsidR="00DA0999">
        <w:rPr>
          <w:rFonts w:ascii="David" w:hAnsi="David" w:cs="David"/>
          <w:rtl/>
        </w:rPr>
        <w:t>התי</w:t>
      </w:r>
      <w:r w:rsidRPr="00D72BD1" w:rsidR="00DA0999">
        <w:rPr>
          <w:rFonts w:ascii="David" w:hAnsi="David" w:cs="David"/>
          <w:rtl/>
        </w:rPr>
        <w:t>ק</w:t>
      </w:r>
      <w:r w:rsidR="00DA0999">
        <w:rPr>
          <w:rFonts w:ascii="David" w:hAnsi="David" w:cs="David"/>
          <w:rtl/>
        </w:rPr>
        <w:t>ים</w:t>
      </w:r>
      <w:r w:rsidRPr="00D72BD1" w:rsidR="00DA0999">
        <w:rPr>
          <w:rFonts w:ascii="David" w:hAnsi="David" w:cs="David"/>
          <w:rtl/>
        </w:rPr>
        <w:t xml:space="preserve"> ייסגר</w:t>
      </w:r>
      <w:r w:rsidR="00DA0999">
        <w:rPr>
          <w:rFonts w:ascii="David" w:hAnsi="David" w:cs="David"/>
          <w:rtl/>
        </w:rPr>
        <w:t>ו.</w:t>
      </w:r>
    </w:p>
    <w:p w:rsidR="00567A17" w:rsidP="00567A17">
      <w:pPr>
        <w:pStyle w:val="Ruller4"/>
        <w:tabs>
          <w:tab w:val="clear" w:pos="800"/>
        </w:tabs>
        <w:spacing w:before="240" w:after="240"/>
        <w:rPr>
          <w:rFonts w:ascii="David" w:hAnsi="David" w:cs="David"/>
        </w:rPr>
      </w:pPr>
    </w:p>
    <w:p w:rsidR="00567A17" w:rsidP="00567A17">
      <w:pPr>
        <w:pStyle w:val="Ruller4"/>
        <w:tabs>
          <w:tab w:val="clear" w:pos="800"/>
        </w:tabs>
        <w:spacing w:before="240" w:after="240"/>
        <w:rPr>
          <w:rFonts w:ascii="David" w:hAnsi="David" w:cs="David"/>
        </w:rPr>
      </w:pPr>
      <w:bookmarkStart w:id="9" w:name="Nitan"/>
      <w:r w:rsidRPr="000A48E6">
        <w:rPr>
          <w:rFonts w:ascii="David" w:hAnsi="David"/>
          <w:color w:val="FFFFFF"/>
          <w:sz w:val="2"/>
          <w:szCs w:val="2"/>
          <w:rtl/>
        </w:rPr>
        <w:t>54678313</w:t>
      </w:r>
      <w:r w:rsidRPr="00EC305A">
        <w:rPr>
          <w:rFonts w:ascii="David" w:hAnsi="David"/>
          <w:color w:val="FFFFFF"/>
          <w:sz w:val="2"/>
          <w:szCs w:val="2"/>
          <w:rtl/>
        </w:rPr>
        <w:t>54678313</w:t>
      </w:r>
      <w:r>
        <w:rPr>
          <w:rFonts w:ascii="David" w:hAnsi="David"/>
          <w:rtl/>
        </w:rPr>
        <w:t>ניתנה היום,‏ ד' אלול ה'תשפ"ה (28 אוגוסט 2025).</w:t>
      </w:r>
      <w:bookmarkEnd w:id="9"/>
    </w:p>
    <w:tbl>
      <w:tblPr>
        <w:bidiVisual/>
        <w:tblW w:w="8532" w:type="dxa"/>
        <w:tblLayout w:type="fixed"/>
        <w:tblLook w:val="00A0"/>
      </w:tblPr>
      <w:tblGrid>
        <w:gridCol w:w="4266"/>
        <w:gridCol w:w="4266"/>
      </w:tblGrid>
      <w:tr w:rsidTr="008268CA">
        <w:tblPrEx>
          <w:tblW w:w="8532" w:type="dxa"/>
          <w:tblLayout w:type="fixed"/>
          <w:tblLook w:val="00A0"/>
        </w:tblPrEx>
        <w:trPr>
          <w:trHeight w:val="68"/>
        </w:trPr>
        <w:tc>
          <w:tcPr>
            <w:tcW w:w="4266" w:type="dxa"/>
          </w:tcPr>
          <w:p w:rsidR="007E0DC7" w:rsidRPr="008E0154" w:rsidP="007A5016">
            <w:pPr>
              <w:pStyle w:val="Footer"/>
              <w:suppressLineNumbers/>
              <w:jc w:val="center"/>
              <w:rPr>
                <w:sz w:val="28"/>
                <w:szCs w:val="28"/>
                <w:rtl/>
              </w:rPr>
            </w:pPr>
            <w:r w:rsidRPr="008E0154">
              <w:rPr>
                <w:sz w:val="28"/>
                <w:szCs w:val="28"/>
                <w:rtl/>
              </w:rPr>
              <w:t>___________________</w:t>
            </w:r>
          </w:p>
          <w:p w:rsidR="007E0DC7" w:rsidRPr="008E0154" w:rsidP="007A5016">
            <w:pPr>
              <w:pStyle w:val="Footer"/>
              <w:suppressLineNumbers/>
              <w:ind w:left="720" w:hanging="720"/>
              <w:jc w:val="center"/>
              <w:rPr>
                <w:sz w:val="28"/>
                <w:szCs w:val="28"/>
                <w:rtl/>
              </w:rPr>
            </w:pPr>
            <w:r w:rsidRPr="008E0154">
              <w:rPr>
                <w:sz w:val="28"/>
                <w:szCs w:val="28"/>
                <w:rtl/>
              </w:rPr>
              <w:t>מורן יחיא</w:t>
            </w:r>
          </w:p>
          <w:p w:rsidR="007E0DC7" w:rsidRPr="008E0154" w:rsidP="007A5016">
            <w:pPr>
              <w:pStyle w:val="Footer"/>
              <w:suppressLineNumbers/>
              <w:ind w:left="720" w:hanging="720"/>
              <w:jc w:val="center"/>
              <w:rPr>
                <w:sz w:val="28"/>
                <w:szCs w:val="28"/>
                <w:rtl/>
              </w:rPr>
            </w:pPr>
            <w:r w:rsidRPr="008E0154">
              <w:rPr>
                <w:sz w:val="28"/>
                <w:szCs w:val="28"/>
                <w:rtl/>
              </w:rPr>
              <w:t xml:space="preserve"> מזכירת ועדת ערר</w:t>
            </w:r>
          </w:p>
          <w:p w:rsidR="007E0DC7" w:rsidRPr="008E0154" w:rsidP="007A5016">
            <w:pPr>
              <w:pStyle w:val="Footer"/>
              <w:suppressLineNumbers/>
              <w:ind w:left="720" w:hanging="720"/>
              <w:jc w:val="center"/>
              <w:rPr>
                <w:sz w:val="28"/>
                <w:szCs w:val="28"/>
                <w:rtl/>
              </w:rPr>
            </w:pPr>
            <w:r w:rsidRPr="008E0154">
              <w:rPr>
                <w:sz w:val="28"/>
                <w:szCs w:val="28"/>
                <w:rtl/>
              </w:rPr>
              <w:t>מחוז מרכז</w:t>
            </w:r>
          </w:p>
          <w:p w:rsidR="007E0DC7" w:rsidRPr="008E0154" w:rsidP="007A5016">
            <w:pPr>
              <w:pStyle w:val="Footer"/>
              <w:suppressLineNumbers/>
              <w:jc w:val="center"/>
              <w:rPr>
                <w:sz w:val="28"/>
                <w:szCs w:val="28"/>
              </w:rPr>
            </w:pPr>
          </w:p>
        </w:tc>
        <w:tc>
          <w:tcPr>
            <w:tcW w:w="4266" w:type="dxa"/>
          </w:tcPr>
          <w:p w:rsidR="007E0DC7" w:rsidRPr="008E0154" w:rsidP="007A5016">
            <w:pPr>
              <w:pStyle w:val="Footer"/>
              <w:suppressLineNumbers/>
              <w:jc w:val="center"/>
              <w:rPr>
                <w:sz w:val="28"/>
                <w:szCs w:val="28"/>
                <w:rtl/>
              </w:rPr>
            </w:pPr>
            <w:r w:rsidRPr="008E0154">
              <w:rPr>
                <w:sz w:val="28"/>
                <w:szCs w:val="28"/>
                <w:rtl/>
              </w:rPr>
              <w:t>___________________</w:t>
            </w:r>
          </w:p>
          <w:p w:rsidR="007E0DC7" w:rsidRPr="008E0154" w:rsidP="007A5016">
            <w:pPr>
              <w:pStyle w:val="Footer"/>
              <w:suppressLineNumbers/>
              <w:ind w:left="720" w:hanging="720"/>
              <w:jc w:val="center"/>
              <w:rPr>
                <w:sz w:val="28"/>
                <w:szCs w:val="28"/>
                <w:rtl/>
              </w:rPr>
            </w:pPr>
            <w:r w:rsidRPr="008E0154">
              <w:rPr>
                <w:sz w:val="28"/>
                <w:szCs w:val="28"/>
                <w:rtl/>
              </w:rPr>
              <w:t>דביר סגלוביץ', עו"ד</w:t>
            </w:r>
          </w:p>
          <w:p w:rsidR="007E0DC7" w:rsidRPr="008E0154" w:rsidP="007A5016">
            <w:pPr>
              <w:pStyle w:val="Footer"/>
              <w:suppressLineNumbers/>
              <w:ind w:left="720" w:hanging="720"/>
              <w:jc w:val="center"/>
              <w:rPr>
                <w:sz w:val="28"/>
                <w:szCs w:val="28"/>
                <w:rtl/>
              </w:rPr>
            </w:pPr>
            <w:r w:rsidRPr="008E0154">
              <w:rPr>
                <w:sz w:val="28"/>
                <w:szCs w:val="28"/>
                <w:rtl/>
              </w:rPr>
              <w:t>יו"ר ועדת ערר</w:t>
            </w:r>
          </w:p>
          <w:p w:rsidR="007E0DC7" w:rsidRPr="008E0154" w:rsidP="007A5016">
            <w:pPr>
              <w:pStyle w:val="Footer"/>
              <w:suppressLineNumbers/>
              <w:ind w:left="720" w:hanging="720"/>
              <w:jc w:val="center"/>
              <w:rPr>
                <w:sz w:val="28"/>
                <w:szCs w:val="28"/>
              </w:rPr>
            </w:pPr>
            <w:r w:rsidRPr="008E0154">
              <w:rPr>
                <w:sz w:val="28"/>
                <w:szCs w:val="28"/>
                <w:rtl/>
              </w:rPr>
              <w:t>מחוז מרכז</w:t>
            </w:r>
          </w:p>
        </w:tc>
      </w:tr>
    </w:tbl>
    <w:p w:rsidR="007E0DC7" w:rsidRPr="00EC305A" w:rsidP="00EC305A">
      <w:pPr>
        <w:pStyle w:val="Ruller4"/>
        <w:keepNext/>
        <w:tabs>
          <w:tab w:val="clear" w:pos="800"/>
        </w:tabs>
        <w:jc w:val="left"/>
        <w:rPr>
          <w:rFonts w:ascii="David" w:hAnsi="David" w:cs="David"/>
          <w:color w:val="000000"/>
          <w:szCs w:val="22"/>
          <w:rtl/>
        </w:rPr>
      </w:pPr>
    </w:p>
    <w:p w:rsidR="00EC305A" w:rsidRPr="000A48E6" w:rsidP="00EC305A">
      <w:pPr>
        <w:pStyle w:val="Ruller4"/>
        <w:suppressLineNumbers/>
        <w:tabs>
          <w:tab w:val="clear" w:pos="800"/>
        </w:tabs>
        <w:spacing w:before="240" w:after="240"/>
        <w:jc w:val="left"/>
        <w:rPr>
          <w:rFonts w:ascii="David" w:hAnsi="David" w:cs="David"/>
          <w:color w:val="FFFFFF"/>
          <w:sz w:val="2"/>
          <w:szCs w:val="2"/>
          <w:rtl/>
        </w:rPr>
      </w:pPr>
      <w:r w:rsidRPr="00567A17">
        <w:rPr>
          <w:rFonts w:ascii="David" w:hAnsi="David" w:cs="David"/>
          <w:color w:val="FFFFFF"/>
          <w:sz w:val="2"/>
          <w:szCs w:val="2"/>
          <w:rtl/>
        </w:rPr>
        <w:t>54678313</w:t>
      </w:r>
      <w:r w:rsidRPr="000A48E6" w:rsidR="000A48E6">
        <w:rPr>
          <w:rFonts w:ascii="David" w:hAnsi="David" w:cs="David"/>
          <w:color w:val="FFFFFF"/>
          <w:sz w:val="2"/>
          <w:szCs w:val="2"/>
          <w:rtl/>
        </w:rPr>
        <w:t>54678313</w:t>
      </w:r>
    </w:p>
    <w:p w:rsidR="00567A17" w:rsidRPr="00567A17" w:rsidP="00567A17">
      <w:pPr>
        <w:pStyle w:val="Ruller4"/>
        <w:keepNext/>
        <w:tabs>
          <w:tab w:val="clear" w:pos="800"/>
        </w:tabs>
        <w:jc w:val="left"/>
        <w:rPr>
          <w:rFonts w:ascii="David" w:hAnsi="David" w:cs="David"/>
          <w:color w:val="000000"/>
          <w:szCs w:val="22"/>
          <w:rtl/>
        </w:rPr>
      </w:pPr>
      <w:bookmarkStart w:id="10" w:name="_GoBack"/>
      <w:bookmarkEnd w:id="10"/>
    </w:p>
    <w:sectPr w:rsidSect="00567A17">
      <w:headerReference w:type="even" r:id="rId38"/>
      <w:headerReference w:type="default" r:id="rId39"/>
      <w:footerReference w:type="even" r:id="rId40"/>
      <w:footerReference w:type="default" r:id="rId41"/>
      <w:footerReference w:type="first" r:id="rId42"/>
      <w:pgSz w:w="11907" w:h="16840" w:code="9"/>
      <w:pgMar w:top="1701" w:right="1797" w:bottom="1440" w:left="1797" w:header="720" w:footer="510" w:gutter="0"/>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altName w:val="Malgun Gothic Semilight"/>
    <w:charset w:val="00"/>
    <w:family w:val="swiss"/>
    <w:pitch w:val="variable"/>
    <w:sig w:usb0="00001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altName w:val="Arial"/>
    <w:charset w:val="00"/>
    <w:family w:val="swiss"/>
    <w:pitch w:val="variable"/>
    <w:sig w:usb0="00001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altName w:val="Arial"/>
    <w:charset w:val="00"/>
    <w:family w:val="swiss"/>
    <w:pitch w:val="variable"/>
    <w:sig w:usb0="00001803" w:usb1="00000000" w:usb2="00000000" w:usb3="00000000" w:csb0="00000021" w:csb1="00000000"/>
  </w:font>
  <w:font w:name="Arial TUR">
    <w:altName w:val="Arial"/>
    <w:charset w:val="00"/>
    <w:family w:val="swiss"/>
    <w:pitch w:val="variable"/>
    <w:sig w:usb0="E0003EFF" w:usb1="C000785B" w:usb2="00000009" w:usb3="00000000" w:csb0="000001FF" w:csb1="00000000"/>
  </w:font>
  <w:font w:name="DavidFix">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A17" w:rsidP="00567A17">
    <w:pPr>
      <w:pStyle w:val="Footer"/>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w:t>
    </w:r>
    <w:r>
      <w:rPr>
        <w:rFonts w:ascii="FrankRuehl" w:hAnsi="FrankRuehl" w:cs="FrankRuehl"/>
        <w:rtl/>
      </w:rPr>
      <w:fldChar w:fldCharType="end"/>
    </w:r>
  </w:p>
  <w:p w:rsidR="00EC305A" w:rsidRPr="00567A17" w:rsidP="00567A17">
    <w:pPr>
      <w:pStyle w:val="Footer"/>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extent cx="552450" cy="228600"/>
          <wp:effectExtent l="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ologo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A17" w:rsidP="00567A17">
    <w:pPr>
      <w:pStyle w:val="Footer"/>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hint="cs"/>
      </w:rPr>
      <w:instrText>PAGE</w:instrText>
    </w:r>
    <w:r>
      <w:rPr>
        <w:rFonts w:ascii="FrankRuehl" w:hAnsi="FrankRuehl" w:cs="FrankRuehl" w:hint="cs"/>
        <w:rtl/>
      </w:rPr>
      <w:instrText xml:space="preserve">  \* </w:instrText>
    </w:r>
    <w:r>
      <w:rPr>
        <w:rFonts w:ascii="FrankRuehl" w:hAnsi="FrankRuehl" w:cs="FrankRuehl" w:hint="cs"/>
      </w:rPr>
      <w:instrText>MERGEFORMAT</w:instrText>
    </w:r>
    <w:r>
      <w:rPr>
        <w:rFonts w:ascii="FrankRuehl" w:hAnsi="FrankRuehl" w:cs="FrankRuehl"/>
        <w:rtl/>
      </w:rPr>
      <w:instrText xml:space="preserve"> </w:instrText>
    </w:r>
    <w:r>
      <w:rPr>
        <w:rFonts w:ascii="FrankRuehl" w:hAnsi="FrankRuehl" w:cs="FrankRuehl"/>
        <w:rtl/>
      </w:rPr>
      <w:fldChar w:fldCharType="separate"/>
    </w:r>
    <w:r w:rsidR="00FD6EE1">
      <w:rPr>
        <w:rFonts w:ascii="FrankRuehl" w:hAnsi="FrankRuehl" w:cs="FrankRuehl"/>
        <w:noProof/>
        <w:rtl/>
      </w:rPr>
      <w:t>3</w:t>
    </w:r>
    <w:r>
      <w:rPr>
        <w:rFonts w:ascii="FrankRuehl" w:hAnsi="FrankRuehl" w:cs="FrankRuehl"/>
        <w:rtl/>
      </w:rPr>
      <w:fldChar w:fldCharType="end"/>
    </w:r>
  </w:p>
  <w:p w:rsidR="007E0DC7" w:rsidRPr="00567A17" w:rsidP="00567A17">
    <w:pPr>
      <w:pStyle w:val="Footer"/>
      <w:pBdr>
        <w:top w:val="single" w:sz="4" w:space="1" w:color="auto"/>
        <w:between w:val="single" w:sz="4" w:space="0" w:color="auto"/>
      </w:pBdr>
      <w:spacing w:after="60"/>
      <w:jc w:val="center"/>
      <w:rPr>
        <w:rFonts w:ascii="FrankRuehl" w:hAnsi="FrankRuehl" w:cs="FrankRuehl"/>
        <w:color w:val="00000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DC7">
    <w:pPr>
      <w:pStyle w:val="Footer"/>
      <w:jc w:val="center"/>
    </w:pPr>
    <w:r>
      <w:fldChar w:fldCharType="begin"/>
    </w:r>
    <w:r>
      <w:instrText>PAGE   \* MERGEFORMAT</w:instrText>
    </w:r>
    <w:r>
      <w:fldChar w:fldCharType="separate"/>
    </w:r>
    <w:r>
      <w:rPr>
        <w:rtl/>
        <w:lang w:val="he-IL"/>
      </w:rPr>
      <w:t>2</w:t>
    </w:r>
    <w:r>
      <w:fldChar w:fldCharType="end"/>
    </w:r>
  </w:p>
  <w:p w:rsidR="007E0D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05A" w:rsidRPr="00567A17" w:rsidP="00567A17">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ערר (מרכז) 9006-10-20</w:t>
    </w:r>
    <w:r>
      <w:rPr>
        <w:rFonts w:ascii="David" w:hAnsi="David"/>
        <w:color w:val="000000"/>
        <w:sz w:val="22"/>
        <w:szCs w:val="22"/>
        <w:rtl/>
      </w:rPr>
      <w:tab/>
      <w:t xml:space="preserve"> דורי בן דוד נ' הוועדה המקומית לתכנון ובנייה עמק חפר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05A" w:rsidRPr="00567A17" w:rsidP="00567A17">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1" w:name="_Hlk207797661"/>
    <w:bookmarkStart w:id="12" w:name="_Hlk207797662"/>
    <w:r>
      <w:rPr>
        <w:rFonts w:ascii="David" w:hAnsi="David"/>
        <w:color w:val="000000"/>
        <w:sz w:val="22"/>
        <w:szCs w:val="22"/>
        <w:rtl/>
      </w:rPr>
      <w:t>ערר (מרכז) 9006-10-20</w:t>
    </w:r>
    <w:r>
      <w:rPr>
        <w:rFonts w:ascii="David" w:hAnsi="David"/>
        <w:color w:val="000000"/>
        <w:sz w:val="22"/>
        <w:szCs w:val="22"/>
        <w:rtl/>
      </w:rPr>
      <w:tab/>
      <w:t xml:space="preserve"> דורי בן דוד נ' הוועדה המקומית לתכנון ובנייה עמק חפר</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B4FEF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C81EDF8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70B6569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012F97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9C2DE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8B425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D047A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0BA1C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3AAE3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7A0A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6001B"/>
    <w:multiLevelType w:val="hybridMultilevel"/>
    <w:tmpl w:val="548CE25E"/>
    <w:lvl w:ilvl="0">
      <w:start w:val="1"/>
      <w:numFmt w:val="decimal"/>
      <w:pStyle w:val="Ruller40"/>
      <w:lvlText w:val="%1."/>
      <w:lvlJc w:val="left"/>
      <w:pPr>
        <w:tabs>
          <w:tab w:val="num" w:pos="907"/>
        </w:tabs>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B8F4369"/>
    <w:multiLevelType w:val="multilevel"/>
    <w:tmpl w:val="200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7C329A"/>
    <w:multiLevelType w:val="multilevel"/>
    <w:tmpl w:val="2000001F"/>
    <w:styleLink w:val="2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884A63"/>
    <w:multiLevelType w:val="multilevel"/>
    <w:tmpl w:val="4C246A3E"/>
    <w:lvl w:ilvl="0">
      <w:start w:val="1"/>
      <w:numFmt w:val="decimal"/>
      <w:lvlText w:val="%1."/>
      <w:lvlJc w:val="left"/>
      <w:pPr>
        <w:tabs>
          <w:tab w:val="num" w:pos="454"/>
        </w:tabs>
        <w:ind w:left="567" w:hanging="567"/>
      </w:pPr>
      <w:rPr>
        <w:rFonts w:cs="Times New Roman" w:hint="default"/>
      </w:rPr>
    </w:lvl>
    <w:lvl w:ilvl="1">
      <w:start w:val="1"/>
      <w:numFmt w:val="decimal"/>
      <w:lvlText w:val="%1.%2."/>
      <w:lvlJc w:val="left"/>
      <w:pPr>
        <w:ind w:left="908" w:hanging="454"/>
      </w:pPr>
      <w:rPr>
        <w:rFonts w:cs="Times New Roman" w:hint="default"/>
      </w:rPr>
    </w:lvl>
    <w:lvl w:ilvl="2">
      <w:start w:val="1"/>
      <w:numFmt w:val="decimal"/>
      <w:lvlText w:val="%1.%2.%3."/>
      <w:lvlJc w:val="left"/>
      <w:pPr>
        <w:ind w:left="1362" w:hanging="454"/>
      </w:pPr>
      <w:rPr>
        <w:rFonts w:cs="Times New Roman" w:hint="default"/>
      </w:rPr>
    </w:lvl>
    <w:lvl w:ilvl="3">
      <w:start w:val="1"/>
      <w:numFmt w:val="decimal"/>
      <w:lvlText w:val="%1.%2.%3.%4."/>
      <w:lvlJc w:val="left"/>
      <w:pPr>
        <w:ind w:left="1816" w:hanging="454"/>
      </w:pPr>
      <w:rPr>
        <w:rFonts w:cs="Times New Roman" w:hint="default"/>
      </w:rPr>
    </w:lvl>
    <w:lvl w:ilvl="4">
      <w:start w:val="1"/>
      <w:numFmt w:val="decimal"/>
      <w:lvlText w:val="%1.%2.%3.%4.%5."/>
      <w:lvlJc w:val="left"/>
      <w:pPr>
        <w:ind w:left="2270" w:hanging="454"/>
      </w:pPr>
      <w:rPr>
        <w:rFonts w:cs="Times New Roman" w:hint="default"/>
      </w:rPr>
    </w:lvl>
    <w:lvl w:ilvl="5">
      <w:start w:val="1"/>
      <w:numFmt w:val="decimal"/>
      <w:lvlText w:val="%1.%2.%3.%4.%5.%6."/>
      <w:lvlJc w:val="left"/>
      <w:pPr>
        <w:ind w:left="2724" w:hanging="454"/>
      </w:pPr>
      <w:rPr>
        <w:rFonts w:cs="Times New Roman" w:hint="default"/>
      </w:rPr>
    </w:lvl>
    <w:lvl w:ilvl="6">
      <w:start w:val="1"/>
      <w:numFmt w:val="decimal"/>
      <w:lvlText w:val="%1.%2.%3.%4.%5.%6.%7."/>
      <w:lvlJc w:val="left"/>
      <w:pPr>
        <w:ind w:left="3178" w:hanging="454"/>
      </w:pPr>
      <w:rPr>
        <w:rFonts w:cs="Times New Roman" w:hint="default"/>
      </w:rPr>
    </w:lvl>
    <w:lvl w:ilvl="7">
      <w:start w:val="1"/>
      <w:numFmt w:val="decimal"/>
      <w:lvlText w:val="%1.%2.%3.%4.%5.%6.%7.%8."/>
      <w:lvlJc w:val="left"/>
      <w:pPr>
        <w:ind w:left="3632" w:hanging="454"/>
      </w:pPr>
      <w:rPr>
        <w:rFonts w:cs="Times New Roman" w:hint="default"/>
      </w:rPr>
    </w:lvl>
    <w:lvl w:ilvl="8">
      <w:start w:val="1"/>
      <w:numFmt w:val="decimal"/>
      <w:lvlText w:val="%1.%2.%3.%4.%5.%6.%7.%8.%9."/>
      <w:lvlJc w:val="left"/>
      <w:pPr>
        <w:ind w:left="4086" w:hanging="454"/>
      </w:pPr>
      <w:rPr>
        <w:rFonts w:cs="Times New Roman" w:hint="default"/>
      </w:rPr>
    </w:lvl>
  </w:abstractNum>
  <w:abstractNum w:abstractNumId="14">
    <w:nsid w:val="43E01E67"/>
    <w:multiLevelType w:val="multilevel"/>
    <w:tmpl w:val="819A8DEC"/>
    <w:lvl w:ilvl="0">
      <w:start w:val="1"/>
      <w:numFmt w:val="decimal"/>
      <w:lvlText w:val="%1."/>
      <w:lvlJc w:val="left"/>
      <w:pPr>
        <w:ind w:left="454" w:hanging="454"/>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FE70B62"/>
    <w:multiLevelType w:val="hybridMultilevel"/>
    <w:tmpl w:val="ADA8711E"/>
    <w:lvl w:ilvl="0">
      <w:start w:val="1"/>
      <w:numFmt w:val="hebrew1"/>
      <w:pStyle w:val="Ruller41"/>
      <w:lvlText w:val="%1."/>
      <w:lvlJc w:val="left"/>
      <w:pPr>
        <w:tabs>
          <w:tab w:val="num" w:pos="907"/>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1CF3F4E"/>
    <w:multiLevelType w:val="hybridMultilevel"/>
    <w:tmpl w:val="77487980"/>
    <w:lvl w:ilvl="0">
      <w:start w:val="0"/>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C472711"/>
    <w:multiLevelType w:val="multilevel"/>
    <w:tmpl w:val="2000001F"/>
    <w:styleLink w:val="127"/>
    <w:lvl w:ilvl="0">
      <w:start w:val="1"/>
      <w:numFmt w:val="decimal"/>
      <w:lvlText w:val="%1."/>
      <w:lvlJc w:val="left"/>
      <w:pPr>
        <w:ind w:left="108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77527D2"/>
    <w:multiLevelType w:val="multilevel"/>
    <w:tmpl w:val="200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0"/>
  </w:num>
  <w:num w:numId="26">
    <w:abstractNumId w:val="10"/>
  </w:num>
  <w:num w:numId="27">
    <w:abstractNumId w:val="18"/>
  </w:num>
  <w:num w:numId="28">
    <w:abstractNumId w:val="17"/>
  </w:num>
  <w:num w:numId="29">
    <w:abstractNumId w:val="11"/>
  </w:num>
  <w:num w:numId="30">
    <w:abstractNumId w:val="14"/>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56"/>
    <w:rsid w:val="00000049"/>
    <w:rsid w:val="00000062"/>
    <w:rsid w:val="0000154F"/>
    <w:rsid w:val="00001679"/>
    <w:rsid w:val="000018C2"/>
    <w:rsid w:val="00001F03"/>
    <w:rsid w:val="0000226B"/>
    <w:rsid w:val="00003B2E"/>
    <w:rsid w:val="00003C33"/>
    <w:rsid w:val="00003FD6"/>
    <w:rsid w:val="00005C8B"/>
    <w:rsid w:val="00005F64"/>
    <w:rsid w:val="00006049"/>
    <w:rsid w:val="00007DE0"/>
    <w:rsid w:val="000107A8"/>
    <w:rsid w:val="00016099"/>
    <w:rsid w:val="00017F7F"/>
    <w:rsid w:val="00020B9A"/>
    <w:rsid w:val="00022272"/>
    <w:rsid w:val="00022314"/>
    <w:rsid w:val="0002719B"/>
    <w:rsid w:val="00033C13"/>
    <w:rsid w:val="000346CC"/>
    <w:rsid w:val="0004150A"/>
    <w:rsid w:val="00042C95"/>
    <w:rsid w:val="00043C8A"/>
    <w:rsid w:val="00046609"/>
    <w:rsid w:val="000473BD"/>
    <w:rsid w:val="0005092F"/>
    <w:rsid w:val="00051B29"/>
    <w:rsid w:val="00051FE5"/>
    <w:rsid w:val="000529D2"/>
    <w:rsid w:val="0005525C"/>
    <w:rsid w:val="00055509"/>
    <w:rsid w:val="00056289"/>
    <w:rsid w:val="000564AB"/>
    <w:rsid w:val="00056D26"/>
    <w:rsid w:val="00057380"/>
    <w:rsid w:val="000575AB"/>
    <w:rsid w:val="00060A87"/>
    <w:rsid w:val="000639E3"/>
    <w:rsid w:val="00064FBD"/>
    <w:rsid w:val="000668C7"/>
    <w:rsid w:val="00070F08"/>
    <w:rsid w:val="00073E6D"/>
    <w:rsid w:val="000747EA"/>
    <w:rsid w:val="000769C5"/>
    <w:rsid w:val="00076D9F"/>
    <w:rsid w:val="0008209C"/>
    <w:rsid w:val="000822AE"/>
    <w:rsid w:val="00082733"/>
    <w:rsid w:val="00082AB2"/>
    <w:rsid w:val="00082ABB"/>
    <w:rsid w:val="00082E25"/>
    <w:rsid w:val="00083705"/>
    <w:rsid w:val="00085CF6"/>
    <w:rsid w:val="000906FE"/>
    <w:rsid w:val="00092A2D"/>
    <w:rsid w:val="000936B8"/>
    <w:rsid w:val="0009445B"/>
    <w:rsid w:val="0009490B"/>
    <w:rsid w:val="00096AF7"/>
    <w:rsid w:val="000A36E6"/>
    <w:rsid w:val="000A48E6"/>
    <w:rsid w:val="000A5272"/>
    <w:rsid w:val="000A5946"/>
    <w:rsid w:val="000B0232"/>
    <w:rsid w:val="000B129D"/>
    <w:rsid w:val="000B1355"/>
    <w:rsid w:val="000B1534"/>
    <w:rsid w:val="000B1A03"/>
    <w:rsid w:val="000B344B"/>
    <w:rsid w:val="000B4144"/>
    <w:rsid w:val="000B7957"/>
    <w:rsid w:val="000C0814"/>
    <w:rsid w:val="000C09E6"/>
    <w:rsid w:val="000C3411"/>
    <w:rsid w:val="000C3B0F"/>
    <w:rsid w:val="000C3B60"/>
    <w:rsid w:val="000D1986"/>
    <w:rsid w:val="000D4190"/>
    <w:rsid w:val="000D50EC"/>
    <w:rsid w:val="000D511F"/>
    <w:rsid w:val="000D6785"/>
    <w:rsid w:val="000D67AC"/>
    <w:rsid w:val="000D7242"/>
    <w:rsid w:val="000E0DD2"/>
    <w:rsid w:val="000E12EA"/>
    <w:rsid w:val="000E2268"/>
    <w:rsid w:val="000E3AE8"/>
    <w:rsid w:val="000E3AF1"/>
    <w:rsid w:val="000E50E2"/>
    <w:rsid w:val="000E6388"/>
    <w:rsid w:val="000E7360"/>
    <w:rsid w:val="000E7768"/>
    <w:rsid w:val="000F0BC8"/>
    <w:rsid w:val="000F0DD6"/>
    <w:rsid w:val="000F0FF1"/>
    <w:rsid w:val="000F28B1"/>
    <w:rsid w:val="000F5613"/>
    <w:rsid w:val="00103959"/>
    <w:rsid w:val="00103DDE"/>
    <w:rsid w:val="001051B1"/>
    <w:rsid w:val="00105E0F"/>
    <w:rsid w:val="00107E6D"/>
    <w:rsid w:val="001104B0"/>
    <w:rsid w:val="00110593"/>
    <w:rsid w:val="00110A39"/>
    <w:rsid w:val="0011194C"/>
    <w:rsid w:val="00112E20"/>
    <w:rsid w:val="0011424C"/>
    <w:rsid w:val="0011479B"/>
    <w:rsid w:val="00115BCD"/>
    <w:rsid w:val="00116B4E"/>
    <w:rsid w:val="001173C6"/>
    <w:rsid w:val="00120E29"/>
    <w:rsid w:val="00122635"/>
    <w:rsid w:val="001239F0"/>
    <w:rsid w:val="00124D7E"/>
    <w:rsid w:val="001250B8"/>
    <w:rsid w:val="00125478"/>
    <w:rsid w:val="0012554A"/>
    <w:rsid w:val="001307AB"/>
    <w:rsid w:val="0013540A"/>
    <w:rsid w:val="001354CD"/>
    <w:rsid w:val="001367BC"/>
    <w:rsid w:val="00137898"/>
    <w:rsid w:val="00137CE4"/>
    <w:rsid w:val="00144A2C"/>
    <w:rsid w:val="00144C42"/>
    <w:rsid w:val="00144D2A"/>
    <w:rsid w:val="00145D50"/>
    <w:rsid w:val="0014630A"/>
    <w:rsid w:val="0014653E"/>
    <w:rsid w:val="0014654B"/>
    <w:rsid w:val="00146EF0"/>
    <w:rsid w:val="00147CF4"/>
    <w:rsid w:val="001524A1"/>
    <w:rsid w:val="0015254D"/>
    <w:rsid w:val="00153911"/>
    <w:rsid w:val="001548F8"/>
    <w:rsid w:val="00156DDD"/>
    <w:rsid w:val="00156FB8"/>
    <w:rsid w:val="00157963"/>
    <w:rsid w:val="00157BE1"/>
    <w:rsid w:val="00161063"/>
    <w:rsid w:val="00161131"/>
    <w:rsid w:val="00162D58"/>
    <w:rsid w:val="001639A0"/>
    <w:rsid w:val="00163BB5"/>
    <w:rsid w:val="00164854"/>
    <w:rsid w:val="00164A8A"/>
    <w:rsid w:val="00166720"/>
    <w:rsid w:val="00167C79"/>
    <w:rsid w:val="00171114"/>
    <w:rsid w:val="00171D9D"/>
    <w:rsid w:val="0017494F"/>
    <w:rsid w:val="0017583D"/>
    <w:rsid w:val="001758A8"/>
    <w:rsid w:val="001759D8"/>
    <w:rsid w:val="00176800"/>
    <w:rsid w:val="00180519"/>
    <w:rsid w:val="00182391"/>
    <w:rsid w:val="00187F85"/>
    <w:rsid w:val="00187FBB"/>
    <w:rsid w:val="00191C82"/>
    <w:rsid w:val="0019301E"/>
    <w:rsid w:val="00194609"/>
    <w:rsid w:val="00196D0B"/>
    <w:rsid w:val="001A1B05"/>
    <w:rsid w:val="001A1D09"/>
    <w:rsid w:val="001A2A19"/>
    <w:rsid w:val="001A5C3F"/>
    <w:rsid w:val="001A7522"/>
    <w:rsid w:val="001A7C76"/>
    <w:rsid w:val="001B30DD"/>
    <w:rsid w:val="001B70E9"/>
    <w:rsid w:val="001B740F"/>
    <w:rsid w:val="001C3809"/>
    <w:rsid w:val="001C3810"/>
    <w:rsid w:val="001C4003"/>
    <w:rsid w:val="001C4A10"/>
    <w:rsid w:val="001C564A"/>
    <w:rsid w:val="001C7F2D"/>
    <w:rsid w:val="001D23A0"/>
    <w:rsid w:val="001D24DF"/>
    <w:rsid w:val="001D27E2"/>
    <w:rsid w:val="001D2D38"/>
    <w:rsid w:val="001D4DBF"/>
    <w:rsid w:val="001E2234"/>
    <w:rsid w:val="001E3B6C"/>
    <w:rsid w:val="001E5368"/>
    <w:rsid w:val="001E5D0B"/>
    <w:rsid w:val="001E75CA"/>
    <w:rsid w:val="001E7AE7"/>
    <w:rsid w:val="001F06C0"/>
    <w:rsid w:val="001F08AC"/>
    <w:rsid w:val="001F1C68"/>
    <w:rsid w:val="001F3003"/>
    <w:rsid w:val="001F4726"/>
    <w:rsid w:val="001F5412"/>
    <w:rsid w:val="001F56EB"/>
    <w:rsid w:val="00200D83"/>
    <w:rsid w:val="0020121D"/>
    <w:rsid w:val="00203BDD"/>
    <w:rsid w:val="002129F9"/>
    <w:rsid w:val="00213C7F"/>
    <w:rsid w:val="00217DA6"/>
    <w:rsid w:val="00220130"/>
    <w:rsid w:val="002212F9"/>
    <w:rsid w:val="0022135A"/>
    <w:rsid w:val="00222199"/>
    <w:rsid w:val="0022442C"/>
    <w:rsid w:val="00225910"/>
    <w:rsid w:val="002265FF"/>
    <w:rsid w:val="00226A3B"/>
    <w:rsid w:val="00227703"/>
    <w:rsid w:val="002315A4"/>
    <w:rsid w:val="002320A9"/>
    <w:rsid w:val="00234053"/>
    <w:rsid w:val="00234CB1"/>
    <w:rsid w:val="00235B97"/>
    <w:rsid w:val="00240F07"/>
    <w:rsid w:val="00241A12"/>
    <w:rsid w:val="002438F6"/>
    <w:rsid w:val="00243ECD"/>
    <w:rsid w:val="00244081"/>
    <w:rsid w:val="00250911"/>
    <w:rsid w:val="002522E5"/>
    <w:rsid w:val="002523CF"/>
    <w:rsid w:val="00252C93"/>
    <w:rsid w:val="00254D00"/>
    <w:rsid w:val="00257D7F"/>
    <w:rsid w:val="002614B5"/>
    <w:rsid w:val="00264BBE"/>
    <w:rsid w:val="00265CDD"/>
    <w:rsid w:val="00266EC8"/>
    <w:rsid w:val="00270C62"/>
    <w:rsid w:val="00270D35"/>
    <w:rsid w:val="0027156B"/>
    <w:rsid w:val="00271B56"/>
    <w:rsid w:val="00271EF4"/>
    <w:rsid w:val="002733BF"/>
    <w:rsid w:val="002745D6"/>
    <w:rsid w:val="002832C9"/>
    <w:rsid w:val="00287B8E"/>
    <w:rsid w:val="0029002F"/>
    <w:rsid w:val="0029071D"/>
    <w:rsid w:val="00293304"/>
    <w:rsid w:val="0029530B"/>
    <w:rsid w:val="002959FD"/>
    <w:rsid w:val="0029746D"/>
    <w:rsid w:val="002A1B48"/>
    <w:rsid w:val="002A240D"/>
    <w:rsid w:val="002A2D26"/>
    <w:rsid w:val="002A3FD2"/>
    <w:rsid w:val="002A4896"/>
    <w:rsid w:val="002A5605"/>
    <w:rsid w:val="002A6A24"/>
    <w:rsid w:val="002B1EF5"/>
    <w:rsid w:val="002B2DBD"/>
    <w:rsid w:val="002B3C4D"/>
    <w:rsid w:val="002B5474"/>
    <w:rsid w:val="002B54AB"/>
    <w:rsid w:val="002B613E"/>
    <w:rsid w:val="002B68CA"/>
    <w:rsid w:val="002C0875"/>
    <w:rsid w:val="002C105E"/>
    <w:rsid w:val="002C166E"/>
    <w:rsid w:val="002C344E"/>
    <w:rsid w:val="002C3B17"/>
    <w:rsid w:val="002C5DF9"/>
    <w:rsid w:val="002D6342"/>
    <w:rsid w:val="002E4084"/>
    <w:rsid w:val="002E43C6"/>
    <w:rsid w:val="002E4422"/>
    <w:rsid w:val="002E4E73"/>
    <w:rsid w:val="002E56A6"/>
    <w:rsid w:val="002E6675"/>
    <w:rsid w:val="002E75E9"/>
    <w:rsid w:val="002E7B86"/>
    <w:rsid w:val="002F0B1E"/>
    <w:rsid w:val="002F18CF"/>
    <w:rsid w:val="002F7DA3"/>
    <w:rsid w:val="003001F8"/>
    <w:rsid w:val="0030081F"/>
    <w:rsid w:val="00302C7E"/>
    <w:rsid w:val="0030637B"/>
    <w:rsid w:val="00307A6A"/>
    <w:rsid w:val="00307C40"/>
    <w:rsid w:val="003101BA"/>
    <w:rsid w:val="0031056B"/>
    <w:rsid w:val="003108BB"/>
    <w:rsid w:val="00311F8E"/>
    <w:rsid w:val="00312D34"/>
    <w:rsid w:val="003148D9"/>
    <w:rsid w:val="00320433"/>
    <w:rsid w:val="00321775"/>
    <w:rsid w:val="003230C7"/>
    <w:rsid w:val="00324F19"/>
    <w:rsid w:val="00327967"/>
    <w:rsid w:val="00327A9A"/>
    <w:rsid w:val="00327E50"/>
    <w:rsid w:val="00331A29"/>
    <w:rsid w:val="0033219C"/>
    <w:rsid w:val="0033597A"/>
    <w:rsid w:val="0033689E"/>
    <w:rsid w:val="00336AF4"/>
    <w:rsid w:val="00340415"/>
    <w:rsid w:val="003412A1"/>
    <w:rsid w:val="00343165"/>
    <w:rsid w:val="00343502"/>
    <w:rsid w:val="00343D89"/>
    <w:rsid w:val="00346599"/>
    <w:rsid w:val="0034731D"/>
    <w:rsid w:val="003475D8"/>
    <w:rsid w:val="00350DE8"/>
    <w:rsid w:val="00354252"/>
    <w:rsid w:val="00354C76"/>
    <w:rsid w:val="003607C0"/>
    <w:rsid w:val="00361EFE"/>
    <w:rsid w:val="00362109"/>
    <w:rsid w:val="0036233B"/>
    <w:rsid w:val="00362612"/>
    <w:rsid w:val="00362B89"/>
    <w:rsid w:val="003637A5"/>
    <w:rsid w:val="00363B60"/>
    <w:rsid w:val="00363FDE"/>
    <w:rsid w:val="00365B07"/>
    <w:rsid w:val="00366518"/>
    <w:rsid w:val="00366715"/>
    <w:rsid w:val="0036743F"/>
    <w:rsid w:val="00367B06"/>
    <w:rsid w:val="003705B0"/>
    <w:rsid w:val="003715DD"/>
    <w:rsid w:val="00374AA9"/>
    <w:rsid w:val="0038115A"/>
    <w:rsid w:val="00381FFF"/>
    <w:rsid w:val="003823E0"/>
    <w:rsid w:val="003828C5"/>
    <w:rsid w:val="00382B2E"/>
    <w:rsid w:val="003865C6"/>
    <w:rsid w:val="0038697C"/>
    <w:rsid w:val="0039004A"/>
    <w:rsid w:val="00392D30"/>
    <w:rsid w:val="003946F4"/>
    <w:rsid w:val="00394A0B"/>
    <w:rsid w:val="00394A23"/>
    <w:rsid w:val="00395CA7"/>
    <w:rsid w:val="0039644E"/>
    <w:rsid w:val="0039647D"/>
    <w:rsid w:val="00396E25"/>
    <w:rsid w:val="00397082"/>
    <w:rsid w:val="003A4201"/>
    <w:rsid w:val="003A4521"/>
    <w:rsid w:val="003A60C0"/>
    <w:rsid w:val="003B1668"/>
    <w:rsid w:val="003B335B"/>
    <w:rsid w:val="003B3CD4"/>
    <w:rsid w:val="003B3E8D"/>
    <w:rsid w:val="003B557C"/>
    <w:rsid w:val="003B5E23"/>
    <w:rsid w:val="003C040D"/>
    <w:rsid w:val="003C0414"/>
    <w:rsid w:val="003C0948"/>
    <w:rsid w:val="003C326C"/>
    <w:rsid w:val="003C3D49"/>
    <w:rsid w:val="003C415C"/>
    <w:rsid w:val="003C4E4E"/>
    <w:rsid w:val="003D021A"/>
    <w:rsid w:val="003D0EE7"/>
    <w:rsid w:val="003D1C8C"/>
    <w:rsid w:val="003D1CD5"/>
    <w:rsid w:val="003D43C6"/>
    <w:rsid w:val="003E191E"/>
    <w:rsid w:val="003F08C4"/>
    <w:rsid w:val="003F2B9B"/>
    <w:rsid w:val="003F3A07"/>
    <w:rsid w:val="003F4F2E"/>
    <w:rsid w:val="003F5DBD"/>
    <w:rsid w:val="003F7553"/>
    <w:rsid w:val="00400369"/>
    <w:rsid w:val="0040096C"/>
    <w:rsid w:val="00402508"/>
    <w:rsid w:val="004033CD"/>
    <w:rsid w:val="00404AB1"/>
    <w:rsid w:val="00404D07"/>
    <w:rsid w:val="0040502F"/>
    <w:rsid w:val="004067B2"/>
    <w:rsid w:val="00414F1F"/>
    <w:rsid w:val="00420E9A"/>
    <w:rsid w:val="004219F4"/>
    <w:rsid w:val="004228C8"/>
    <w:rsid w:val="004260DB"/>
    <w:rsid w:val="004275A5"/>
    <w:rsid w:val="0043125D"/>
    <w:rsid w:val="00433644"/>
    <w:rsid w:val="00433AD8"/>
    <w:rsid w:val="0043502B"/>
    <w:rsid w:val="0043525C"/>
    <w:rsid w:val="004353FB"/>
    <w:rsid w:val="00440141"/>
    <w:rsid w:val="00440B2A"/>
    <w:rsid w:val="00440C3F"/>
    <w:rsid w:val="004418E3"/>
    <w:rsid w:val="00442A79"/>
    <w:rsid w:val="00443771"/>
    <w:rsid w:val="00443C27"/>
    <w:rsid w:val="004443AC"/>
    <w:rsid w:val="00444748"/>
    <w:rsid w:val="0044481B"/>
    <w:rsid w:val="00444A19"/>
    <w:rsid w:val="00444B02"/>
    <w:rsid w:val="004458C3"/>
    <w:rsid w:val="00446219"/>
    <w:rsid w:val="00447906"/>
    <w:rsid w:val="0045173F"/>
    <w:rsid w:val="00451BE4"/>
    <w:rsid w:val="00451E28"/>
    <w:rsid w:val="00451EB1"/>
    <w:rsid w:val="00452626"/>
    <w:rsid w:val="00453684"/>
    <w:rsid w:val="00462C62"/>
    <w:rsid w:val="004651C0"/>
    <w:rsid w:val="0046529F"/>
    <w:rsid w:val="00465D36"/>
    <w:rsid w:val="00470B99"/>
    <w:rsid w:val="00475271"/>
    <w:rsid w:val="004768A4"/>
    <w:rsid w:val="004801C6"/>
    <w:rsid w:val="00482292"/>
    <w:rsid w:val="00485D44"/>
    <w:rsid w:val="00485DC5"/>
    <w:rsid w:val="00487461"/>
    <w:rsid w:val="00487C6C"/>
    <w:rsid w:val="00493F63"/>
    <w:rsid w:val="00494193"/>
    <w:rsid w:val="00496849"/>
    <w:rsid w:val="00497325"/>
    <w:rsid w:val="00497E2F"/>
    <w:rsid w:val="004A022F"/>
    <w:rsid w:val="004A30A5"/>
    <w:rsid w:val="004A43C2"/>
    <w:rsid w:val="004A66C3"/>
    <w:rsid w:val="004B3A3B"/>
    <w:rsid w:val="004B4FEC"/>
    <w:rsid w:val="004B7C90"/>
    <w:rsid w:val="004C0D94"/>
    <w:rsid w:val="004C167D"/>
    <w:rsid w:val="004C17EE"/>
    <w:rsid w:val="004C1B5D"/>
    <w:rsid w:val="004C1E2C"/>
    <w:rsid w:val="004C2500"/>
    <w:rsid w:val="004C28D9"/>
    <w:rsid w:val="004C2934"/>
    <w:rsid w:val="004C2F93"/>
    <w:rsid w:val="004C37B2"/>
    <w:rsid w:val="004C4751"/>
    <w:rsid w:val="004C4BDF"/>
    <w:rsid w:val="004C52B4"/>
    <w:rsid w:val="004C5E85"/>
    <w:rsid w:val="004D05AE"/>
    <w:rsid w:val="004D06D6"/>
    <w:rsid w:val="004D072B"/>
    <w:rsid w:val="004D1187"/>
    <w:rsid w:val="004D2D20"/>
    <w:rsid w:val="004D2EBE"/>
    <w:rsid w:val="004D3AA0"/>
    <w:rsid w:val="004D4220"/>
    <w:rsid w:val="004D43C2"/>
    <w:rsid w:val="004E0589"/>
    <w:rsid w:val="004E1987"/>
    <w:rsid w:val="004E1E27"/>
    <w:rsid w:val="004E2E15"/>
    <w:rsid w:val="004E2F52"/>
    <w:rsid w:val="004E3314"/>
    <w:rsid w:val="004E33F3"/>
    <w:rsid w:val="004E4B20"/>
    <w:rsid w:val="004E4C5F"/>
    <w:rsid w:val="004E5755"/>
    <w:rsid w:val="004E6684"/>
    <w:rsid w:val="004E685D"/>
    <w:rsid w:val="004E6E3C"/>
    <w:rsid w:val="004E74E9"/>
    <w:rsid w:val="004E7538"/>
    <w:rsid w:val="004F0887"/>
    <w:rsid w:val="004F1FC6"/>
    <w:rsid w:val="004F29E7"/>
    <w:rsid w:val="004F4280"/>
    <w:rsid w:val="004F5BB9"/>
    <w:rsid w:val="004F7D9A"/>
    <w:rsid w:val="004F7FEB"/>
    <w:rsid w:val="0050077F"/>
    <w:rsid w:val="00502245"/>
    <w:rsid w:val="00502AED"/>
    <w:rsid w:val="00503A01"/>
    <w:rsid w:val="00505208"/>
    <w:rsid w:val="0050589E"/>
    <w:rsid w:val="00506179"/>
    <w:rsid w:val="005117EF"/>
    <w:rsid w:val="00511B90"/>
    <w:rsid w:val="00511CCE"/>
    <w:rsid w:val="00512D7A"/>
    <w:rsid w:val="00515024"/>
    <w:rsid w:val="005163C8"/>
    <w:rsid w:val="005167FB"/>
    <w:rsid w:val="00520898"/>
    <w:rsid w:val="005208FC"/>
    <w:rsid w:val="00520C7D"/>
    <w:rsid w:val="0052322D"/>
    <w:rsid w:val="00523621"/>
    <w:rsid w:val="0052404D"/>
    <w:rsid w:val="00524986"/>
    <w:rsid w:val="00524E14"/>
    <w:rsid w:val="005268F6"/>
    <w:rsid w:val="00526EA5"/>
    <w:rsid w:val="005279D4"/>
    <w:rsid w:val="00527BC9"/>
    <w:rsid w:val="00527D13"/>
    <w:rsid w:val="0053128A"/>
    <w:rsid w:val="0053250D"/>
    <w:rsid w:val="00534284"/>
    <w:rsid w:val="00534D6F"/>
    <w:rsid w:val="005427B6"/>
    <w:rsid w:val="00544ED7"/>
    <w:rsid w:val="00547DB7"/>
    <w:rsid w:val="00550A6A"/>
    <w:rsid w:val="005510F8"/>
    <w:rsid w:val="005517C6"/>
    <w:rsid w:val="005522A4"/>
    <w:rsid w:val="00554EFC"/>
    <w:rsid w:val="00557816"/>
    <w:rsid w:val="00564B88"/>
    <w:rsid w:val="00567272"/>
    <w:rsid w:val="00567A17"/>
    <w:rsid w:val="005706A9"/>
    <w:rsid w:val="00570A23"/>
    <w:rsid w:val="0057391A"/>
    <w:rsid w:val="005803F5"/>
    <w:rsid w:val="00580D73"/>
    <w:rsid w:val="00584BF3"/>
    <w:rsid w:val="00586EEC"/>
    <w:rsid w:val="00591734"/>
    <w:rsid w:val="00591C9C"/>
    <w:rsid w:val="005936B5"/>
    <w:rsid w:val="00595C7E"/>
    <w:rsid w:val="0059660E"/>
    <w:rsid w:val="005A3EB8"/>
    <w:rsid w:val="005A3ECB"/>
    <w:rsid w:val="005A5479"/>
    <w:rsid w:val="005A5532"/>
    <w:rsid w:val="005A5EC1"/>
    <w:rsid w:val="005A68AC"/>
    <w:rsid w:val="005B0412"/>
    <w:rsid w:val="005B2147"/>
    <w:rsid w:val="005B23A1"/>
    <w:rsid w:val="005B37AB"/>
    <w:rsid w:val="005B3A0A"/>
    <w:rsid w:val="005B798A"/>
    <w:rsid w:val="005B7FFB"/>
    <w:rsid w:val="005C0627"/>
    <w:rsid w:val="005C17DE"/>
    <w:rsid w:val="005C3494"/>
    <w:rsid w:val="005C7477"/>
    <w:rsid w:val="005C76A3"/>
    <w:rsid w:val="005D1B1A"/>
    <w:rsid w:val="005D38EB"/>
    <w:rsid w:val="005D3AAC"/>
    <w:rsid w:val="005D4485"/>
    <w:rsid w:val="005D5F44"/>
    <w:rsid w:val="005E0C60"/>
    <w:rsid w:val="005E27E8"/>
    <w:rsid w:val="005E2E59"/>
    <w:rsid w:val="005E76B7"/>
    <w:rsid w:val="005F2B51"/>
    <w:rsid w:val="005F44DF"/>
    <w:rsid w:val="005F4D45"/>
    <w:rsid w:val="005F4F09"/>
    <w:rsid w:val="005F5CC1"/>
    <w:rsid w:val="005F60B5"/>
    <w:rsid w:val="005F6B67"/>
    <w:rsid w:val="005F74A9"/>
    <w:rsid w:val="00601721"/>
    <w:rsid w:val="0060296F"/>
    <w:rsid w:val="0060342D"/>
    <w:rsid w:val="0060360F"/>
    <w:rsid w:val="006061DC"/>
    <w:rsid w:val="0061059D"/>
    <w:rsid w:val="0061276C"/>
    <w:rsid w:val="00612BB4"/>
    <w:rsid w:val="00613C1E"/>
    <w:rsid w:val="0061431B"/>
    <w:rsid w:val="0061439E"/>
    <w:rsid w:val="00620596"/>
    <w:rsid w:val="006224A7"/>
    <w:rsid w:val="0062272B"/>
    <w:rsid w:val="00622BAA"/>
    <w:rsid w:val="006306CF"/>
    <w:rsid w:val="006318D8"/>
    <w:rsid w:val="00632E05"/>
    <w:rsid w:val="0063390A"/>
    <w:rsid w:val="00634CE9"/>
    <w:rsid w:val="00636928"/>
    <w:rsid w:val="00640376"/>
    <w:rsid w:val="00641687"/>
    <w:rsid w:val="0064244A"/>
    <w:rsid w:val="00642A5B"/>
    <w:rsid w:val="00643632"/>
    <w:rsid w:val="0064376E"/>
    <w:rsid w:val="00644E9A"/>
    <w:rsid w:val="00645ADC"/>
    <w:rsid w:val="00650465"/>
    <w:rsid w:val="00651671"/>
    <w:rsid w:val="00651683"/>
    <w:rsid w:val="00651E71"/>
    <w:rsid w:val="00654BC1"/>
    <w:rsid w:val="00660641"/>
    <w:rsid w:val="00662518"/>
    <w:rsid w:val="00662B9C"/>
    <w:rsid w:val="006653EC"/>
    <w:rsid w:val="00667CC7"/>
    <w:rsid w:val="00670AB1"/>
    <w:rsid w:val="00670DF7"/>
    <w:rsid w:val="00671BD5"/>
    <w:rsid w:val="00674C32"/>
    <w:rsid w:val="00674DEE"/>
    <w:rsid w:val="0067638E"/>
    <w:rsid w:val="00677C5B"/>
    <w:rsid w:val="0068026C"/>
    <w:rsid w:val="006805C1"/>
    <w:rsid w:val="00680BE2"/>
    <w:rsid w:val="00684AD9"/>
    <w:rsid w:val="00686C21"/>
    <w:rsid w:val="006931C1"/>
    <w:rsid w:val="00693640"/>
    <w:rsid w:val="00693720"/>
    <w:rsid w:val="00693DF3"/>
    <w:rsid w:val="00694556"/>
    <w:rsid w:val="00695543"/>
    <w:rsid w:val="006975CF"/>
    <w:rsid w:val="006A03F7"/>
    <w:rsid w:val="006A0F0F"/>
    <w:rsid w:val="006A1141"/>
    <w:rsid w:val="006A446F"/>
    <w:rsid w:val="006A4F73"/>
    <w:rsid w:val="006A5B99"/>
    <w:rsid w:val="006A6DD5"/>
    <w:rsid w:val="006B2B7A"/>
    <w:rsid w:val="006B55AF"/>
    <w:rsid w:val="006B63A0"/>
    <w:rsid w:val="006B6AD6"/>
    <w:rsid w:val="006B7258"/>
    <w:rsid w:val="006C02F3"/>
    <w:rsid w:val="006C0D9B"/>
    <w:rsid w:val="006C15AD"/>
    <w:rsid w:val="006C1651"/>
    <w:rsid w:val="006C1ABC"/>
    <w:rsid w:val="006C2EA4"/>
    <w:rsid w:val="006C30C5"/>
    <w:rsid w:val="006D19D8"/>
    <w:rsid w:val="006D2F13"/>
    <w:rsid w:val="006D34D0"/>
    <w:rsid w:val="006D3B31"/>
    <w:rsid w:val="006D4FCB"/>
    <w:rsid w:val="006D5A52"/>
    <w:rsid w:val="006E0D96"/>
    <w:rsid w:val="006E1A53"/>
    <w:rsid w:val="006E2C49"/>
    <w:rsid w:val="006E4E6E"/>
    <w:rsid w:val="006F2076"/>
    <w:rsid w:val="006F56E6"/>
    <w:rsid w:val="006F5EE4"/>
    <w:rsid w:val="0070045E"/>
    <w:rsid w:val="00700B22"/>
    <w:rsid w:val="00701CFE"/>
    <w:rsid w:val="00704A13"/>
    <w:rsid w:val="00704EDA"/>
    <w:rsid w:val="007071A0"/>
    <w:rsid w:val="0070779C"/>
    <w:rsid w:val="007136EA"/>
    <w:rsid w:val="00714284"/>
    <w:rsid w:val="00715BAB"/>
    <w:rsid w:val="00717FFB"/>
    <w:rsid w:val="00721122"/>
    <w:rsid w:val="00721564"/>
    <w:rsid w:val="007245D2"/>
    <w:rsid w:val="00726175"/>
    <w:rsid w:val="007263C9"/>
    <w:rsid w:val="00726B3A"/>
    <w:rsid w:val="00726E72"/>
    <w:rsid w:val="00727C7B"/>
    <w:rsid w:val="0073127E"/>
    <w:rsid w:val="007317B1"/>
    <w:rsid w:val="007343A0"/>
    <w:rsid w:val="00734689"/>
    <w:rsid w:val="007358A2"/>
    <w:rsid w:val="00736737"/>
    <w:rsid w:val="007426BE"/>
    <w:rsid w:val="00742AB4"/>
    <w:rsid w:val="00746EF0"/>
    <w:rsid w:val="00750E66"/>
    <w:rsid w:val="0075112C"/>
    <w:rsid w:val="00753019"/>
    <w:rsid w:val="00753023"/>
    <w:rsid w:val="00753499"/>
    <w:rsid w:val="0075420B"/>
    <w:rsid w:val="0075479E"/>
    <w:rsid w:val="00754801"/>
    <w:rsid w:val="00754D61"/>
    <w:rsid w:val="0075769F"/>
    <w:rsid w:val="00757B05"/>
    <w:rsid w:val="00757F94"/>
    <w:rsid w:val="00760614"/>
    <w:rsid w:val="0076123B"/>
    <w:rsid w:val="0076131E"/>
    <w:rsid w:val="00761441"/>
    <w:rsid w:val="007621A0"/>
    <w:rsid w:val="007637C3"/>
    <w:rsid w:val="00765A33"/>
    <w:rsid w:val="007708DF"/>
    <w:rsid w:val="00771133"/>
    <w:rsid w:val="00771E8E"/>
    <w:rsid w:val="0077291F"/>
    <w:rsid w:val="00774A45"/>
    <w:rsid w:val="00775373"/>
    <w:rsid w:val="007755A2"/>
    <w:rsid w:val="00775D9F"/>
    <w:rsid w:val="00776815"/>
    <w:rsid w:val="00776E3E"/>
    <w:rsid w:val="00777719"/>
    <w:rsid w:val="00777F5F"/>
    <w:rsid w:val="007802A6"/>
    <w:rsid w:val="007803A0"/>
    <w:rsid w:val="00780E41"/>
    <w:rsid w:val="00780F73"/>
    <w:rsid w:val="00781015"/>
    <w:rsid w:val="00781647"/>
    <w:rsid w:val="00782576"/>
    <w:rsid w:val="007827F5"/>
    <w:rsid w:val="00783189"/>
    <w:rsid w:val="00783C55"/>
    <w:rsid w:val="00790B67"/>
    <w:rsid w:val="007915CD"/>
    <w:rsid w:val="00792344"/>
    <w:rsid w:val="007925E3"/>
    <w:rsid w:val="007929F8"/>
    <w:rsid w:val="007933F0"/>
    <w:rsid w:val="00794011"/>
    <w:rsid w:val="00795365"/>
    <w:rsid w:val="0079596B"/>
    <w:rsid w:val="007A0198"/>
    <w:rsid w:val="007A0590"/>
    <w:rsid w:val="007A351D"/>
    <w:rsid w:val="007A4A86"/>
    <w:rsid w:val="007A5016"/>
    <w:rsid w:val="007A5727"/>
    <w:rsid w:val="007A77AC"/>
    <w:rsid w:val="007B169E"/>
    <w:rsid w:val="007B1893"/>
    <w:rsid w:val="007B19A3"/>
    <w:rsid w:val="007B42CA"/>
    <w:rsid w:val="007B63E5"/>
    <w:rsid w:val="007B6D0A"/>
    <w:rsid w:val="007B71F0"/>
    <w:rsid w:val="007B7765"/>
    <w:rsid w:val="007B7821"/>
    <w:rsid w:val="007C2F76"/>
    <w:rsid w:val="007C5BDD"/>
    <w:rsid w:val="007C7015"/>
    <w:rsid w:val="007C7E7F"/>
    <w:rsid w:val="007D1FA0"/>
    <w:rsid w:val="007D2D76"/>
    <w:rsid w:val="007D2F2C"/>
    <w:rsid w:val="007D3701"/>
    <w:rsid w:val="007D3F25"/>
    <w:rsid w:val="007D45E3"/>
    <w:rsid w:val="007D463C"/>
    <w:rsid w:val="007D5521"/>
    <w:rsid w:val="007D565A"/>
    <w:rsid w:val="007E0560"/>
    <w:rsid w:val="007E0DC7"/>
    <w:rsid w:val="007E20CB"/>
    <w:rsid w:val="007E3661"/>
    <w:rsid w:val="007E6115"/>
    <w:rsid w:val="007E6EB7"/>
    <w:rsid w:val="007E7D76"/>
    <w:rsid w:val="007F09F4"/>
    <w:rsid w:val="007F4609"/>
    <w:rsid w:val="00800128"/>
    <w:rsid w:val="00800147"/>
    <w:rsid w:val="008009D4"/>
    <w:rsid w:val="0080144C"/>
    <w:rsid w:val="0080364E"/>
    <w:rsid w:val="00804030"/>
    <w:rsid w:val="00805D77"/>
    <w:rsid w:val="0080698D"/>
    <w:rsid w:val="00810028"/>
    <w:rsid w:val="00810F2B"/>
    <w:rsid w:val="008114EF"/>
    <w:rsid w:val="00813D2D"/>
    <w:rsid w:val="00814468"/>
    <w:rsid w:val="0081504C"/>
    <w:rsid w:val="00816362"/>
    <w:rsid w:val="008168D0"/>
    <w:rsid w:val="008176A1"/>
    <w:rsid w:val="00820005"/>
    <w:rsid w:val="0082052A"/>
    <w:rsid w:val="00820DD0"/>
    <w:rsid w:val="00820E91"/>
    <w:rsid w:val="00821633"/>
    <w:rsid w:val="00822F3B"/>
    <w:rsid w:val="0082412E"/>
    <w:rsid w:val="00824C18"/>
    <w:rsid w:val="0082505C"/>
    <w:rsid w:val="00825216"/>
    <w:rsid w:val="00826253"/>
    <w:rsid w:val="008268CA"/>
    <w:rsid w:val="00826CE8"/>
    <w:rsid w:val="00832A76"/>
    <w:rsid w:val="0083321E"/>
    <w:rsid w:val="0083588C"/>
    <w:rsid w:val="00840356"/>
    <w:rsid w:val="00841158"/>
    <w:rsid w:val="00843F3E"/>
    <w:rsid w:val="00844318"/>
    <w:rsid w:val="00844616"/>
    <w:rsid w:val="00851257"/>
    <w:rsid w:val="008543A0"/>
    <w:rsid w:val="00854840"/>
    <w:rsid w:val="00855BEF"/>
    <w:rsid w:val="00862F2F"/>
    <w:rsid w:val="00863F5D"/>
    <w:rsid w:val="0086458D"/>
    <w:rsid w:val="00867DF8"/>
    <w:rsid w:val="00870890"/>
    <w:rsid w:val="00871248"/>
    <w:rsid w:val="00872133"/>
    <w:rsid w:val="008721C2"/>
    <w:rsid w:val="008735BE"/>
    <w:rsid w:val="00873602"/>
    <w:rsid w:val="00873AAA"/>
    <w:rsid w:val="00874C6B"/>
    <w:rsid w:val="00875D12"/>
    <w:rsid w:val="0087615B"/>
    <w:rsid w:val="0087651B"/>
    <w:rsid w:val="00883035"/>
    <w:rsid w:val="0088479D"/>
    <w:rsid w:val="00886BEE"/>
    <w:rsid w:val="00886E33"/>
    <w:rsid w:val="008907C6"/>
    <w:rsid w:val="00891777"/>
    <w:rsid w:val="00891F42"/>
    <w:rsid w:val="00892EC6"/>
    <w:rsid w:val="00893BDA"/>
    <w:rsid w:val="0089412B"/>
    <w:rsid w:val="008945AF"/>
    <w:rsid w:val="00895068"/>
    <w:rsid w:val="00895E77"/>
    <w:rsid w:val="00896889"/>
    <w:rsid w:val="008969EA"/>
    <w:rsid w:val="008A1482"/>
    <w:rsid w:val="008A312A"/>
    <w:rsid w:val="008A570E"/>
    <w:rsid w:val="008A59EE"/>
    <w:rsid w:val="008A66C9"/>
    <w:rsid w:val="008A6E97"/>
    <w:rsid w:val="008A7445"/>
    <w:rsid w:val="008B58D8"/>
    <w:rsid w:val="008C145C"/>
    <w:rsid w:val="008C3335"/>
    <w:rsid w:val="008C4734"/>
    <w:rsid w:val="008C4946"/>
    <w:rsid w:val="008C53E8"/>
    <w:rsid w:val="008C5714"/>
    <w:rsid w:val="008D10B2"/>
    <w:rsid w:val="008D1AD3"/>
    <w:rsid w:val="008D1B00"/>
    <w:rsid w:val="008D61EB"/>
    <w:rsid w:val="008E0082"/>
    <w:rsid w:val="008E0154"/>
    <w:rsid w:val="008E07B3"/>
    <w:rsid w:val="008E1A4C"/>
    <w:rsid w:val="008E1CF1"/>
    <w:rsid w:val="008E1E70"/>
    <w:rsid w:val="008E375A"/>
    <w:rsid w:val="008E59A4"/>
    <w:rsid w:val="008E5F83"/>
    <w:rsid w:val="008E7A7B"/>
    <w:rsid w:val="008F1558"/>
    <w:rsid w:val="008F2E48"/>
    <w:rsid w:val="008F587B"/>
    <w:rsid w:val="008F5D82"/>
    <w:rsid w:val="008F60AF"/>
    <w:rsid w:val="008F63C3"/>
    <w:rsid w:val="008F6CC0"/>
    <w:rsid w:val="008F7406"/>
    <w:rsid w:val="00900F58"/>
    <w:rsid w:val="00902B5E"/>
    <w:rsid w:val="00903896"/>
    <w:rsid w:val="00906F3D"/>
    <w:rsid w:val="00910DCB"/>
    <w:rsid w:val="00922609"/>
    <w:rsid w:val="00926FB3"/>
    <w:rsid w:val="00930EB7"/>
    <w:rsid w:val="00933C48"/>
    <w:rsid w:val="00934C1E"/>
    <w:rsid w:val="00935E98"/>
    <w:rsid w:val="009367E2"/>
    <w:rsid w:val="0093705F"/>
    <w:rsid w:val="00937C86"/>
    <w:rsid w:val="0094299C"/>
    <w:rsid w:val="00942C2B"/>
    <w:rsid w:val="00943067"/>
    <w:rsid w:val="0094424E"/>
    <w:rsid w:val="0094590F"/>
    <w:rsid w:val="00946044"/>
    <w:rsid w:val="00947094"/>
    <w:rsid w:val="009509B7"/>
    <w:rsid w:val="0095212D"/>
    <w:rsid w:val="00952198"/>
    <w:rsid w:val="009544B0"/>
    <w:rsid w:val="00955642"/>
    <w:rsid w:val="00956860"/>
    <w:rsid w:val="00957E81"/>
    <w:rsid w:val="0096085E"/>
    <w:rsid w:val="0096179C"/>
    <w:rsid w:val="009622DF"/>
    <w:rsid w:val="009625E2"/>
    <w:rsid w:val="0096351C"/>
    <w:rsid w:val="0096493F"/>
    <w:rsid w:val="00966285"/>
    <w:rsid w:val="00966B00"/>
    <w:rsid w:val="009673FB"/>
    <w:rsid w:val="00967DFF"/>
    <w:rsid w:val="009717D0"/>
    <w:rsid w:val="00972364"/>
    <w:rsid w:val="00972C4D"/>
    <w:rsid w:val="00975424"/>
    <w:rsid w:val="0097630F"/>
    <w:rsid w:val="0098063F"/>
    <w:rsid w:val="00980990"/>
    <w:rsid w:val="0098448D"/>
    <w:rsid w:val="00985E99"/>
    <w:rsid w:val="00992CD7"/>
    <w:rsid w:val="009934EB"/>
    <w:rsid w:val="0099382E"/>
    <w:rsid w:val="00993BA1"/>
    <w:rsid w:val="00994341"/>
    <w:rsid w:val="009955C6"/>
    <w:rsid w:val="009970B8"/>
    <w:rsid w:val="0099751C"/>
    <w:rsid w:val="009A0423"/>
    <w:rsid w:val="009A1588"/>
    <w:rsid w:val="009A61C8"/>
    <w:rsid w:val="009B0891"/>
    <w:rsid w:val="009B110A"/>
    <w:rsid w:val="009B232C"/>
    <w:rsid w:val="009B40A2"/>
    <w:rsid w:val="009B447C"/>
    <w:rsid w:val="009B58A9"/>
    <w:rsid w:val="009B723A"/>
    <w:rsid w:val="009C1191"/>
    <w:rsid w:val="009C1232"/>
    <w:rsid w:val="009C16D2"/>
    <w:rsid w:val="009C6C61"/>
    <w:rsid w:val="009D1A48"/>
    <w:rsid w:val="009D317C"/>
    <w:rsid w:val="009D4E23"/>
    <w:rsid w:val="009D4EDF"/>
    <w:rsid w:val="009D5765"/>
    <w:rsid w:val="009D7C7A"/>
    <w:rsid w:val="009E042D"/>
    <w:rsid w:val="009E183C"/>
    <w:rsid w:val="009E1CE7"/>
    <w:rsid w:val="009E2859"/>
    <w:rsid w:val="009E31BD"/>
    <w:rsid w:val="009E360D"/>
    <w:rsid w:val="009E3B2D"/>
    <w:rsid w:val="009E4EA5"/>
    <w:rsid w:val="009F164B"/>
    <w:rsid w:val="009F323C"/>
    <w:rsid w:val="009F6632"/>
    <w:rsid w:val="00A008A0"/>
    <w:rsid w:val="00A04949"/>
    <w:rsid w:val="00A06FF1"/>
    <w:rsid w:val="00A10E20"/>
    <w:rsid w:val="00A11054"/>
    <w:rsid w:val="00A1244A"/>
    <w:rsid w:val="00A128D3"/>
    <w:rsid w:val="00A131DD"/>
    <w:rsid w:val="00A14558"/>
    <w:rsid w:val="00A16BF4"/>
    <w:rsid w:val="00A17441"/>
    <w:rsid w:val="00A175E0"/>
    <w:rsid w:val="00A20150"/>
    <w:rsid w:val="00A20D04"/>
    <w:rsid w:val="00A22B14"/>
    <w:rsid w:val="00A26088"/>
    <w:rsid w:val="00A3024E"/>
    <w:rsid w:val="00A30615"/>
    <w:rsid w:val="00A30B96"/>
    <w:rsid w:val="00A32402"/>
    <w:rsid w:val="00A32A99"/>
    <w:rsid w:val="00A3392B"/>
    <w:rsid w:val="00A33A79"/>
    <w:rsid w:val="00A33B7C"/>
    <w:rsid w:val="00A33B9C"/>
    <w:rsid w:val="00A34BC3"/>
    <w:rsid w:val="00A357BE"/>
    <w:rsid w:val="00A36143"/>
    <w:rsid w:val="00A365FD"/>
    <w:rsid w:val="00A37256"/>
    <w:rsid w:val="00A40F87"/>
    <w:rsid w:val="00A42E3F"/>
    <w:rsid w:val="00A45723"/>
    <w:rsid w:val="00A45B20"/>
    <w:rsid w:val="00A47D68"/>
    <w:rsid w:val="00A506FD"/>
    <w:rsid w:val="00A52BAA"/>
    <w:rsid w:val="00A5325F"/>
    <w:rsid w:val="00A535D1"/>
    <w:rsid w:val="00A57AD8"/>
    <w:rsid w:val="00A62A6F"/>
    <w:rsid w:val="00A632F5"/>
    <w:rsid w:val="00A637A0"/>
    <w:rsid w:val="00A638D4"/>
    <w:rsid w:val="00A709D3"/>
    <w:rsid w:val="00A71658"/>
    <w:rsid w:val="00A7168A"/>
    <w:rsid w:val="00A722DF"/>
    <w:rsid w:val="00A729FF"/>
    <w:rsid w:val="00A74B8B"/>
    <w:rsid w:val="00A76BFC"/>
    <w:rsid w:val="00A77C2B"/>
    <w:rsid w:val="00A81988"/>
    <w:rsid w:val="00A85E34"/>
    <w:rsid w:val="00A87DF6"/>
    <w:rsid w:val="00A90331"/>
    <w:rsid w:val="00A9144F"/>
    <w:rsid w:val="00A922FC"/>
    <w:rsid w:val="00A935DC"/>
    <w:rsid w:val="00A94B64"/>
    <w:rsid w:val="00A950A5"/>
    <w:rsid w:val="00A95B97"/>
    <w:rsid w:val="00A96834"/>
    <w:rsid w:val="00AA282B"/>
    <w:rsid w:val="00AA3229"/>
    <w:rsid w:val="00AA4939"/>
    <w:rsid w:val="00AA52ED"/>
    <w:rsid w:val="00AA5943"/>
    <w:rsid w:val="00AA690A"/>
    <w:rsid w:val="00AA726A"/>
    <w:rsid w:val="00AA7596"/>
    <w:rsid w:val="00AA7816"/>
    <w:rsid w:val="00AB3FDE"/>
    <w:rsid w:val="00AB41D6"/>
    <w:rsid w:val="00AB488C"/>
    <w:rsid w:val="00AB58B7"/>
    <w:rsid w:val="00AB5E52"/>
    <w:rsid w:val="00AB6A47"/>
    <w:rsid w:val="00AB6B40"/>
    <w:rsid w:val="00AC1619"/>
    <w:rsid w:val="00AC33C1"/>
    <w:rsid w:val="00AC3B02"/>
    <w:rsid w:val="00AC3B7B"/>
    <w:rsid w:val="00AC4B58"/>
    <w:rsid w:val="00AC5209"/>
    <w:rsid w:val="00AC5935"/>
    <w:rsid w:val="00AD08AB"/>
    <w:rsid w:val="00AD09B5"/>
    <w:rsid w:val="00AD2A30"/>
    <w:rsid w:val="00AD4442"/>
    <w:rsid w:val="00AE09C3"/>
    <w:rsid w:val="00AE0C73"/>
    <w:rsid w:val="00AE0E13"/>
    <w:rsid w:val="00AE0E34"/>
    <w:rsid w:val="00AE1BA2"/>
    <w:rsid w:val="00AE3C43"/>
    <w:rsid w:val="00AE52BE"/>
    <w:rsid w:val="00AE729E"/>
    <w:rsid w:val="00AE7752"/>
    <w:rsid w:val="00AF1FD1"/>
    <w:rsid w:val="00AF314E"/>
    <w:rsid w:val="00AF3CF8"/>
    <w:rsid w:val="00AF426D"/>
    <w:rsid w:val="00AF52F8"/>
    <w:rsid w:val="00AF7FDA"/>
    <w:rsid w:val="00B0014E"/>
    <w:rsid w:val="00B01A81"/>
    <w:rsid w:val="00B029F2"/>
    <w:rsid w:val="00B050A1"/>
    <w:rsid w:val="00B06560"/>
    <w:rsid w:val="00B1306E"/>
    <w:rsid w:val="00B1456C"/>
    <w:rsid w:val="00B147A4"/>
    <w:rsid w:val="00B14BB2"/>
    <w:rsid w:val="00B15426"/>
    <w:rsid w:val="00B15AA6"/>
    <w:rsid w:val="00B16D39"/>
    <w:rsid w:val="00B205EF"/>
    <w:rsid w:val="00B21839"/>
    <w:rsid w:val="00B25890"/>
    <w:rsid w:val="00B2798F"/>
    <w:rsid w:val="00B3072D"/>
    <w:rsid w:val="00B318D6"/>
    <w:rsid w:val="00B36AEE"/>
    <w:rsid w:val="00B37074"/>
    <w:rsid w:val="00B410F5"/>
    <w:rsid w:val="00B42299"/>
    <w:rsid w:val="00B436B6"/>
    <w:rsid w:val="00B44DD8"/>
    <w:rsid w:val="00B4573B"/>
    <w:rsid w:val="00B46C26"/>
    <w:rsid w:val="00B47022"/>
    <w:rsid w:val="00B4716F"/>
    <w:rsid w:val="00B5356E"/>
    <w:rsid w:val="00B55994"/>
    <w:rsid w:val="00B55C92"/>
    <w:rsid w:val="00B57003"/>
    <w:rsid w:val="00B57636"/>
    <w:rsid w:val="00B62AD7"/>
    <w:rsid w:val="00B63841"/>
    <w:rsid w:val="00B64DA9"/>
    <w:rsid w:val="00B664A2"/>
    <w:rsid w:val="00B66717"/>
    <w:rsid w:val="00B7095D"/>
    <w:rsid w:val="00B72E23"/>
    <w:rsid w:val="00B72EC0"/>
    <w:rsid w:val="00B73A5A"/>
    <w:rsid w:val="00B73E46"/>
    <w:rsid w:val="00B77019"/>
    <w:rsid w:val="00B771DC"/>
    <w:rsid w:val="00B777F1"/>
    <w:rsid w:val="00B8070E"/>
    <w:rsid w:val="00B809AD"/>
    <w:rsid w:val="00B80CBD"/>
    <w:rsid w:val="00B8115E"/>
    <w:rsid w:val="00B86096"/>
    <w:rsid w:val="00B86AC9"/>
    <w:rsid w:val="00B87844"/>
    <w:rsid w:val="00B87A39"/>
    <w:rsid w:val="00B90A78"/>
    <w:rsid w:val="00B9123B"/>
    <w:rsid w:val="00B9134F"/>
    <w:rsid w:val="00B933AD"/>
    <w:rsid w:val="00B93B66"/>
    <w:rsid w:val="00B95D6E"/>
    <w:rsid w:val="00B962C9"/>
    <w:rsid w:val="00B964D9"/>
    <w:rsid w:val="00B96A41"/>
    <w:rsid w:val="00B97105"/>
    <w:rsid w:val="00BA0A7C"/>
    <w:rsid w:val="00BA105F"/>
    <w:rsid w:val="00BA12D7"/>
    <w:rsid w:val="00BA20CF"/>
    <w:rsid w:val="00BA517C"/>
    <w:rsid w:val="00BA56A0"/>
    <w:rsid w:val="00BA76DA"/>
    <w:rsid w:val="00BB00A5"/>
    <w:rsid w:val="00BB3412"/>
    <w:rsid w:val="00BB3D05"/>
    <w:rsid w:val="00BB4B2F"/>
    <w:rsid w:val="00BB73BE"/>
    <w:rsid w:val="00BC2D89"/>
    <w:rsid w:val="00BC63C9"/>
    <w:rsid w:val="00BC707E"/>
    <w:rsid w:val="00BC752E"/>
    <w:rsid w:val="00BC7F16"/>
    <w:rsid w:val="00BD0FF2"/>
    <w:rsid w:val="00BD1CC1"/>
    <w:rsid w:val="00BD22F5"/>
    <w:rsid w:val="00BD3031"/>
    <w:rsid w:val="00BD4393"/>
    <w:rsid w:val="00BD6531"/>
    <w:rsid w:val="00BD67AE"/>
    <w:rsid w:val="00BD6975"/>
    <w:rsid w:val="00BD6ABB"/>
    <w:rsid w:val="00BE05B2"/>
    <w:rsid w:val="00BE24E8"/>
    <w:rsid w:val="00BE4BAA"/>
    <w:rsid w:val="00BE6FB0"/>
    <w:rsid w:val="00BF1908"/>
    <w:rsid w:val="00BF3039"/>
    <w:rsid w:val="00BF3E26"/>
    <w:rsid w:val="00BF45C2"/>
    <w:rsid w:val="00BF5E41"/>
    <w:rsid w:val="00BF647F"/>
    <w:rsid w:val="00BF65CD"/>
    <w:rsid w:val="00BF66E2"/>
    <w:rsid w:val="00C01061"/>
    <w:rsid w:val="00C02A87"/>
    <w:rsid w:val="00C02D68"/>
    <w:rsid w:val="00C02DC8"/>
    <w:rsid w:val="00C045D3"/>
    <w:rsid w:val="00C05621"/>
    <w:rsid w:val="00C05AEA"/>
    <w:rsid w:val="00C06334"/>
    <w:rsid w:val="00C06C32"/>
    <w:rsid w:val="00C07052"/>
    <w:rsid w:val="00C076A9"/>
    <w:rsid w:val="00C15406"/>
    <w:rsid w:val="00C1559F"/>
    <w:rsid w:val="00C15B5D"/>
    <w:rsid w:val="00C161C3"/>
    <w:rsid w:val="00C17E28"/>
    <w:rsid w:val="00C22685"/>
    <w:rsid w:val="00C22D93"/>
    <w:rsid w:val="00C23458"/>
    <w:rsid w:val="00C24F52"/>
    <w:rsid w:val="00C25C52"/>
    <w:rsid w:val="00C25CFB"/>
    <w:rsid w:val="00C25DEA"/>
    <w:rsid w:val="00C27B74"/>
    <w:rsid w:val="00C31120"/>
    <w:rsid w:val="00C315EF"/>
    <w:rsid w:val="00C31DE2"/>
    <w:rsid w:val="00C32727"/>
    <w:rsid w:val="00C34482"/>
    <w:rsid w:val="00C34CAE"/>
    <w:rsid w:val="00C3707D"/>
    <w:rsid w:val="00C370DB"/>
    <w:rsid w:val="00C4156E"/>
    <w:rsid w:val="00C43648"/>
    <w:rsid w:val="00C442BC"/>
    <w:rsid w:val="00C443B6"/>
    <w:rsid w:val="00C44C1D"/>
    <w:rsid w:val="00C44E02"/>
    <w:rsid w:val="00C47A0A"/>
    <w:rsid w:val="00C50A9F"/>
    <w:rsid w:val="00C531C3"/>
    <w:rsid w:val="00C53AEE"/>
    <w:rsid w:val="00C5580F"/>
    <w:rsid w:val="00C565E0"/>
    <w:rsid w:val="00C5786B"/>
    <w:rsid w:val="00C6090C"/>
    <w:rsid w:val="00C61B3B"/>
    <w:rsid w:val="00C6233D"/>
    <w:rsid w:val="00C6326D"/>
    <w:rsid w:val="00C641D8"/>
    <w:rsid w:val="00C642FA"/>
    <w:rsid w:val="00C645D4"/>
    <w:rsid w:val="00C6606A"/>
    <w:rsid w:val="00C66A46"/>
    <w:rsid w:val="00C67A61"/>
    <w:rsid w:val="00C72861"/>
    <w:rsid w:val="00C72C9F"/>
    <w:rsid w:val="00C7339F"/>
    <w:rsid w:val="00C74426"/>
    <w:rsid w:val="00C74BCF"/>
    <w:rsid w:val="00C7650C"/>
    <w:rsid w:val="00C856F7"/>
    <w:rsid w:val="00C87296"/>
    <w:rsid w:val="00C873FA"/>
    <w:rsid w:val="00C87ABB"/>
    <w:rsid w:val="00C87F69"/>
    <w:rsid w:val="00C9074B"/>
    <w:rsid w:val="00C91894"/>
    <w:rsid w:val="00C9207A"/>
    <w:rsid w:val="00C9217F"/>
    <w:rsid w:val="00C97D11"/>
    <w:rsid w:val="00CA17DD"/>
    <w:rsid w:val="00CA1C74"/>
    <w:rsid w:val="00CA23E8"/>
    <w:rsid w:val="00CA300E"/>
    <w:rsid w:val="00CA3383"/>
    <w:rsid w:val="00CA5922"/>
    <w:rsid w:val="00CA67D7"/>
    <w:rsid w:val="00CB25EB"/>
    <w:rsid w:val="00CB31F5"/>
    <w:rsid w:val="00CB6413"/>
    <w:rsid w:val="00CC06D5"/>
    <w:rsid w:val="00CC2B49"/>
    <w:rsid w:val="00CC3199"/>
    <w:rsid w:val="00CC3DFD"/>
    <w:rsid w:val="00CC447B"/>
    <w:rsid w:val="00CC4607"/>
    <w:rsid w:val="00CC5279"/>
    <w:rsid w:val="00CC54F5"/>
    <w:rsid w:val="00CC5834"/>
    <w:rsid w:val="00CC6C22"/>
    <w:rsid w:val="00CC7622"/>
    <w:rsid w:val="00CD075D"/>
    <w:rsid w:val="00CD0856"/>
    <w:rsid w:val="00CD24BA"/>
    <w:rsid w:val="00CD2CD0"/>
    <w:rsid w:val="00CD3BE8"/>
    <w:rsid w:val="00CD4CE4"/>
    <w:rsid w:val="00CD516B"/>
    <w:rsid w:val="00CD53F9"/>
    <w:rsid w:val="00CD5BAD"/>
    <w:rsid w:val="00CD608F"/>
    <w:rsid w:val="00CD61F1"/>
    <w:rsid w:val="00CE0084"/>
    <w:rsid w:val="00CE097D"/>
    <w:rsid w:val="00CE231C"/>
    <w:rsid w:val="00CE2BF8"/>
    <w:rsid w:val="00CE480C"/>
    <w:rsid w:val="00CE49A7"/>
    <w:rsid w:val="00CF0E01"/>
    <w:rsid w:val="00CF1B0D"/>
    <w:rsid w:val="00CF1EE9"/>
    <w:rsid w:val="00CF3F85"/>
    <w:rsid w:val="00CF403E"/>
    <w:rsid w:val="00CF4209"/>
    <w:rsid w:val="00CF47C3"/>
    <w:rsid w:val="00CF4A10"/>
    <w:rsid w:val="00CF6281"/>
    <w:rsid w:val="00CF6BB7"/>
    <w:rsid w:val="00D02839"/>
    <w:rsid w:val="00D02F95"/>
    <w:rsid w:val="00D04AA4"/>
    <w:rsid w:val="00D05B0A"/>
    <w:rsid w:val="00D05B6A"/>
    <w:rsid w:val="00D07365"/>
    <w:rsid w:val="00D07C5E"/>
    <w:rsid w:val="00D11698"/>
    <w:rsid w:val="00D1402D"/>
    <w:rsid w:val="00D14B6F"/>
    <w:rsid w:val="00D15A6C"/>
    <w:rsid w:val="00D17B6A"/>
    <w:rsid w:val="00D2078A"/>
    <w:rsid w:val="00D20B5F"/>
    <w:rsid w:val="00D23271"/>
    <w:rsid w:val="00D24218"/>
    <w:rsid w:val="00D27982"/>
    <w:rsid w:val="00D27DA8"/>
    <w:rsid w:val="00D3091A"/>
    <w:rsid w:val="00D32C36"/>
    <w:rsid w:val="00D33B86"/>
    <w:rsid w:val="00D33CC9"/>
    <w:rsid w:val="00D3722E"/>
    <w:rsid w:val="00D40908"/>
    <w:rsid w:val="00D41A87"/>
    <w:rsid w:val="00D4225A"/>
    <w:rsid w:val="00D4318F"/>
    <w:rsid w:val="00D443EF"/>
    <w:rsid w:val="00D44968"/>
    <w:rsid w:val="00D453DB"/>
    <w:rsid w:val="00D47950"/>
    <w:rsid w:val="00D5043D"/>
    <w:rsid w:val="00D51B01"/>
    <w:rsid w:val="00D52C45"/>
    <w:rsid w:val="00D53924"/>
    <w:rsid w:val="00D546F5"/>
    <w:rsid w:val="00D55D0C"/>
    <w:rsid w:val="00D60F05"/>
    <w:rsid w:val="00D6561E"/>
    <w:rsid w:val="00D6634B"/>
    <w:rsid w:val="00D70278"/>
    <w:rsid w:val="00D70621"/>
    <w:rsid w:val="00D72BD1"/>
    <w:rsid w:val="00D73D05"/>
    <w:rsid w:val="00D742E1"/>
    <w:rsid w:val="00D75B42"/>
    <w:rsid w:val="00D768CE"/>
    <w:rsid w:val="00D77AE1"/>
    <w:rsid w:val="00D80149"/>
    <w:rsid w:val="00D8144D"/>
    <w:rsid w:val="00D81FC1"/>
    <w:rsid w:val="00D90C5E"/>
    <w:rsid w:val="00D9115F"/>
    <w:rsid w:val="00D93E8F"/>
    <w:rsid w:val="00D946DC"/>
    <w:rsid w:val="00D96985"/>
    <w:rsid w:val="00D96D8C"/>
    <w:rsid w:val="00D97C0C"/>
    <w:rsid w:val="00DA05D1"/>
    <w:rsid w:val="00DA0999"/>
    <w:rsid w:val="00DA195F"/>
    <w:rsid w:val="00DA2F9C"/>
    <w:rsid w:val="00DA476F"/>
    <w:rsid w:val="00DA6649"/>
    <w:rsid w:val="00DB1316"/>
    <w:rsid w:val="00DB3513"/>
    <w:rsid w:val="00DB511E"/>
    <w:rsid w:val="00DB5406"/>
    <w:rsid w:val="00DB69E8"/>
    <w:rsid w:val="00DC0C60"/>
    <w:rsid w:val="00DC1259"/>
    <w:rsid w:val="00DC1BD2"/>
    <w:rsid w:val="00DC2571"/>
    <w:rsid w:val="00DC38AF"/>
    <w:rsid w:val="00DC4636"/>
    <w:rsid w:val="00DC487C"/>
    <w:rsid w:val="00DC4CFB"/>
    <w:rsid w:val="00DD157F"/>
    <w:rsid w:val="00DD1878"/>
    <w:rsid w:val="00DD1917"/>
    <w:rsid w:val="00DD2DC1"/>
    <w:rsid w:val="00DD3D50"/>
    <w:rsid w:val="00DD4335"/>
    <w:rsid w:val="00DD44B4"/>
    <w:rsid w:val="00DD4FDA"/>
    <w:rsid w:val="00DD5586"/>
    <w:rsid w:val="00DE015C"/>
    <w:rsid w:val="00DE0349"/>
    <w:rsid w:val="00DE1E7D"/>
    <w:rsid w:val="00DE2CB7"/>
    <w:rsid w:val="00DE3698"/>
    <w:rsid w:val="00DE44AC"/>
    <w:rsid w:val="00DE6BF6"/>
    <w:rsid w:val="00DE7E69"/>
    <w:rsid w:val="00DF2882"/>
    <w:rsid w:val="00DF2BB4"/>
    <w:rsid w:val="00DF4556"/>
    <w:rsid w:val="00DF47AB"/>
    <w:rsid w:val="00DF4A46"/>
    <w:rsid w:val="00E02121"/>
    <w:rsid w:val="00E02C30"/>
    <w:rsid w:val="00E03392"/>
    <w:rsid w:val="00E047C2"/>
    <w:rsid w:val="00E0571E"/>
    <w:rsid w:val="00E07C18"/>
    <w:rsid w:val="00E1068A"/>
    <w:rsid w:val="00E144BA"/>
    <w:rsid w:val="00E15569"/>
    <w:rsid w:val="00E15879"/>
    <w:rsid w:val="00E15BA6"/>
    <w:rsid w:val="00E25884"/>
    <w:rsid w:val="00E25B55"/>
    <w:rsid w:val="00E2644C"/>
    <w:rsid w:val="00E26B31"/>
    <w:rsid w:val="00E2722C"/>
    <w:rsid w:val="00E31C2B"/>
    <w:rsid w:val="00E3276D"/>
    <w:rsid w:val="00E33672"/>
    <w:rsid w:val="00E34DF5"/>
    <w:rsid w:val="00E369E2"/>
    <w:rsid w:val="00E37B70"/>
    <w:rsid w:val="00E40336"/>
    <w:rsid w:val="00E50192"/>
    <w:rsid w:val="00E51EDE"/>
    <w:rsid w:val="00E5426A"/>
    <w:rsid w:val="00E54642"/>
    <w:rsid w:val="00E56338"/>
    <w:rsid w:val="00E661DC"/>
    <w:rsid w:val="00E6654A"/>
    <w:rsid w:val="00E66A45"/>
    <w:rsid w:val="00E70222"/>
    <w:rsid w:val="00E715B0"/>
    <w:rsid w:val="00E754D0"/>
    <w:rsid w:val="00E7768E"/>
    <w:rsid w:val="00E80CBE"/>
    <w:rsid w:val="00E81E5D"/>
    <w:rsid w:val="00E86A8B"/>
    <w:rsid w:val="00E9241F"/>
    <w:rsid w:val="00E9269D"/>
    <w:rsid w:val="00E92ED1"/>
    <w:rsid w:val="00E958AA"/>
    <w:rsid w:val="00E962E3"/>
    <w:rsid w:val="00EA06A1"/>
    <w:rsid w:val="00EA26FE"/>
    <w:rsid w:val="00EA5443"/>
    <w:rsid w:val="00EA5E87"/>
    <w:rsid w:val="00EA65DD"/>
    <w:rsid w:val="00EA7017"/>
    <w:rsid w:val="00EA7DF6"/>
    <w:rsid w:val="00EB15FC"/>
    <w:rsid w:val="00EB3A4E"/>
    <w:rsid w:val="00EB513C"/>
    <w:rsid w:val="00EB53B1"/>
    <w:rsid w:val="00EB6C79"/>
    <w:rsid w:val="00EC10A9"/>
    <w:rsid w:val="00EC21B0"/>
    <w:rsid w:val="00EC305A"/>
    <w:rsid w:val="00EC37E9"/>
    <w:rsid w:val="00EC4CA7"/>
    <w:rsid w:val="00EC60F4"/>
    <w:rsid w:val="00EC69B7"/>
    <w:rsid w:val="00ED001D"/>
    <w:rsid w:val="00ED0CB8"/>
    <w:rsid w:val="00ED1340"/>
    <w:rsid w:val="00ED50CD"/>
    <w:rsid w:val="00ED6586"/>
    <w:rsid w:val="00EE2CE3"/>
    <w:rsid w:val="00EE7374"/>
    <w:rsid w:val="00EF3494"/>
    <w:rsid w:val="00EF3F2F"/>
    <w:rsid w:val="00EF587D"/>
    <w:rsid w:val="00EF64E5"/>
    <w:rsid w:val="00EF6F35"/>
    <w:rsid w:val="00EF792C"/>
    <w:rsid w:val="00EF7A03"/>
    <w:rsid w:val="00F00208"/>
    <w:rsid w:val="00F00C2A"/>
    <w:rsid w:val="00F01F0B"/>
    <w:rsid w:val="00F02EAD"/>
    <w:rsid w:val="00F038D8"/>
    <w:rsid w:val="00F03BEB"/>
    <w:rsid w:val="00F06995"/>
    <w:rsid w:val="00F07B5C"/>
    <w:rsid w:val="00F07C70"/>
    <w:rsid w:val="00F07D10"/>
    <w:rsid w:val="00F1106B"/>
    <w:rsid w:val="00F1172A"/>
    <w:rsid w:val="00F11BE6"/>
    <w:rsid w:val="00F12D66"/>
    <w:rsid w:val="00F12E8D"/>
    <w:rsid w:val="00F13114"/>
    <w:rsid w:val="00F13623"/>
    <w:rsid w:val="00F13813"/>
    <w:rsid w:val="00F13D58"/>
    <w:rsid w:val="00F1412F"/>
    <w:rsid w:val="00F14E68"/>
    <w:rsid w:val="00F170B3"/>
    <w:rsid w:val="00F17382"/>
    <w:rsid w:val="00F25E4B"/>
    <w:rsid w:val="00F27249"/>
    <w:rsid w:val="00F277FD"/>
    <w:rsid w:val="00F30CD6"/>
    <w:rsid w:val="00F30D59"/>
    <w:rsid w:val="00F333BD"/>
    <w:rsid w:val="00F34A77"/>
    <w:rsid w:val="00F37DA3"/>
    <w:rsid w:val="00F40FD9"/>
    <w:rsid w:val="00F428D0"/>
    <w:rsid w:val="00F44D1D"/>
    <w:rsid w:val="00F452D0"/>
    <w:rsid w:val="00F47407"/>
    <w:rsid w:val="00F5215A"/>
    <w:rsid w:val="00F542A4"/>
    <w:rsid w:val="00F54530"/>
    <w:rsid w:val="00F564D2"/>
    <w:rsid w:val="00F57459"/>
    <w:rsid w:val="00F61822"/>
    <w:rsid w:val="00F633E6"/>
    <w:rsid w:val="00F63C2E"/>
    <w:rsid w:val="00F63D92"/>
    <w:rsid w:val="00F64FAA"/>
    <w:rsid w:val="00F65558"/>
    <w:rsid w:val="00F658E8"/>
    <w:rsid w:val="00F66578"/>
    <w:rsid w:val="00F675E4"/>
    <w:rsid w:val="00F7041D"/>
    <w:rsid w:val="00F718E9"/>
    <w:rsid w:val="00F74D31"/>
    <w:rsid w:val="00F804ED"/>
    <w:rsid w:val="00F8345A"/>
    <w:rsid w:val="00F83960"/>
    <w:rsid w:val="00F83C07"/>
    <w:rsid w:val="00F848D7"/>
    <w:rsid w:val="00F84B6D"/>
    <w:rsid w:val="00F856E6"/>
    <w:rsid w:val="00F86DDB"/>
    <w:rsid w:val="00F87D25"/>
    <w:rsid w:val="00F91B4C"/>
    <w:rsid w:val="00F92B56"/>
    <w:rsid w:val="00F9344F"/>
    <w:rsid w:val="00F944BC"/>
    <w:rsid w:val="00F957E8"/>
    <w:rsid w:val="00F97E91"/>
    <w:rsid w:val="00FA0AFA"/>
    <w:rsid w:val="00FA1136"/>
    <w:rsid w:val="00FA205A"/>
    <w:rsid w:val="00FA311A"/>
    <w:rsid w:val="00FA5FDA"/>
    <w:rsid w:val="00FA65B9"/>
    <w:rsid w:val="00FA77BF"/>
    <w:rsid w:val="00FA7FD0"/>
    <w:rsid w:val="00FB0588"/>
    <w:rsid w:val="00FB05D1"/>
    <w:rsid w:val="00FB063C"/>
    <w:rsid w:val="00FB09F3"/>
    <w:rsid w:val="00FB168A"/>
    <w:rsid w:val="00FB20B8"/>
    <w:rsid w:val="00FB6AB3"/>
    <w:rsid w:val="00FB7ADF"/>
    <w:rsid w:val="00FB7C13"/>
    <w:rsid w:val="00FC08A9"/>
    <w:rsid w:val="00FC1690"/>
    <w:rsid w:val="00FC27A2"/>
    <w:rsid w:val="00FC3538"/>
    <w:rsid w:val="00FC42D2"/>
    <w:rsid w:val="00FC5934"/>
    <w:rsid w:val="00FC5D0B"/>
    <w:rsid w:val="00FC6D33"/>
    <w:rsid w:val="00FC70AD"/>
    <w:rsid w:val="00FC7D30"/>
    <w:rsid w:val="00FD08B8"/>
    <w:rsid w:val="00FD1419"/>
    <w:rsid w:val="00FD1B09"/>
    <w:rsid w:val="00FD268B"/>
    <w:rsid w:val="00FD2C11"/>
    <w:rsid w:val="00FD2E31"/>
    <w:rsid w:val="00FD3807"/>
    <w:rsid w:val="00FD4399"/>
    <w:rsid w:val="00FD5862"/>
    <w:rsid w:val="00FD6EE1"/>
    <w:rsid w:val="00FD79E4"/>
    <w:rsid w:val="00FD7AD8"/>
    <w:rsid w:val="00FE0262"/>
    <w:rsid w:val="00FE09EC"/>
    <w:rsid w:val="00FE2894"/>
    <w:rsid w:val="00FE4575"/>
    <w:rsid w:val="00FE48DF"/>
    <w:rsid w:val="00FE5AF0"/>
    <w:rsid w:val="00FE620D"/>
    <w:rsid w:val="00FF1D85"/>
    <w:rsid w:val="00FF3A99"/>
    <w:rsid w:val="00FF3B14"/>
    <w:rsid w:val="00FF3B96"/>
    <w:rsid w:val="00FF3EBA"/>
    <w:rsid w:val="00FF563F"/>
    <w:rsid w:val="00FF6C6D"/>
  </w:rsids>
  <w:docVars>
    <w:docVar w:name="MyInfo" w:val="This document was extracted from Nevo's sit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BB5E361"/>
  <w15:docId w15:val="{71943370-694D-4F59-AA3E-458B016A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2" w:locked="1" w:semiHidden="1" w:unhideWhenUsed="1"/>
    <w:lsdException w:name="List 3" w:locked="1"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locked/>
    <w:rsid w:val="00CB31F5"/>
    <w:pPr>
      <w:bidi/>
    </w:pPr>
    <w:rPr>
      <w:rFonts w:cs="David"/>
      <w:sz w:val="24"/>
      <w:szCs w:val="24"/>
      <w:lang w:bidi="he-IL"/>
    </w:rPr>
  </w:style>
  <w:style w:type="paragraph" w:styleId="Heading1">
    <w:name w:val="heading 1"/>
    <w:basedOn w:val="Normal"/>
    <w:next w:val="Normal"/>
    <w:link w:val="116"/>
    <w:qFormat/>
    <w:locked/>
    <w:rsid w:val="00BF66E2"/>
    <w:pPr>
      <w:keepNext/>
      <w:keepLines/>
      <w:spacing w:before="480" w:after="240"/>
      <w:outlineLvl w:val="0"/>
    </w:pPr>
    <w:rPr>
      <w:rFonts w:ascii="Miriam" w:hAnsi="Miriam" w:cs="Miriam"/>
      <w:sz w:val="28"/>
      <w:szCs w:val="28"/>
    </w:rPr>
  </w:style>
  <w:style w:type="paragraph" w:styleId="Heading2">
    <w:name w:val="heading 2"/>
    <w:basedOn w:val="Normal"/>
    <w:next w:val="Normal"/>
    <w:link w:val="2"/>
    <w:qFormat/>
    <w:locked/>
    <w:rsid w:val="00FE0262"/>
    <w:pPr>
      <w:keepNext/>
      <w:keepLines/>
      <w:overflowPunct w:val="0"/>
      <w:autoSpaceDE w:val="0"/>
      <w:autoSpaceDN w:val="0"/>
      <w:adjustRightInd w:val="0"/>
      <w:spacing w:before="280" w:after="240" w:line="480" w:lineRule="auto"/>
      <w:jc w:val="both"/>
      <w:textAlignment w:val="baseline"/>
      <w:outlineLvl w:val="1"/>
    </w:pPr>
    <w:rPr>
      <w:rFonts w:ascii="Cambria" w:hAnsi="Cambria" w:cs="Miriam"/>
      <w:spacing w:val="10"/>
      <w:sz w:val="26"/>
      <w:szCs w:val="28"/>
    </w:rPr>
  </w:style>
  <w:style w:type="paragraph" w:styleId="Heading3">
    <w:name w:val="heading 3"/>
    <w:basedOn w:val="Normal"/>
    <w:next w:val="Normal"/>
    <w:link w:val="30"/>
    <w:qFormat/>
    <w:locked/>
    <w:rsid w:val="00B55994"/>
    <w:pPr>
      <w:keepNext/>
      <w:keepLines/>
      <w:spacing w:before="40"/>
      <w:outlineLvl w:val="2"/>
    </w:pPr>
    <w:rPr>
      <w:rFonts w:ascii="Cambria" w:hAnsi="Cambria" w:cs="Times New Roman"/>
      <w:color w:val="243F60"/>
    </w:rPr>
  </w:style>
  <w:style w:type="paragraph" w:styleId="Heading4">
    <w:name w:val="heading 4"/>
    <w:basedOn w:val="Normal"/>
    <w:next w:val="Normal"/>
    <w:qFormat/>
    <w:locked/>
    <w:pPr>
      <w:keepNext/>
      <w:ind w:left="5760" w:firstLine="720"/>
      <w:outlineLvl w:val="3"/>
    </w:pPr>
    <w:rPr>
      <w:rFonts w:cs="Narkisim"/>
      <w:b/>
      <w:bCs/>
    </w:rPr>
  </w:style>
  <w:style w:type="paragraph" w:styleId="Heading5">
    <w:name w:val="heading 5"/>
    <w:basedOn w:val="Normal"/>
    <w:next w:val="Normal"/>
    <w:link w:val="5"/>
    <w:qFormat/>
    <w:locked/>
    <w:rsid w:val="00B55994"/>
    <w:pPr>
      <w:keepNext/>
      <w:keepLines/>
      <w:spacing w:before="40"/>
      <w:outlineLvl w:val="4"/>
    </w:pPr>
    <w:rPr>
      <w:rFonts w:ascii="Cambria" w:hAnsi="Cambria" w:cs="Times New Roman"/>
      <w:color w:val="365F91"/>
    </w:rPr>
  </w:style>
  <w:style w:type="paragraph" w:styleId="Heading6">
    <w:name w:val="heading 6"/>
    <w:basedOn w:val="Normal"/>
    <w:next w:val="Normal"/>
    <w:link w:val="6"/>
    <w:qFormat/>
    <w:locked/>
    <w:rsid w:val="00B55994"/>
    <w:pPr>
      <w:keepNext/>
      <w:keepLines/>
      <w:spacing w:before="40"/>
      <w:outlineLvl w:val="5"/>
    </w:pPr>
    <w:rPr>
      <w:rFonts w:ascii="Cambria" w:hAnsi="Cambria" w:cs="Times New Roman"/>
      <w:color w:val="243F60"/>
    </w:rPr>
  </w:style>
  <w:style w:type="paragraph" w:styleId="Heading7">
    <w:name w:val="heading 7"/>
    <w:basedOn w:val="Normal"/>
    <w:next w:val="Normal"/>
    <w:link w:val="7"/>
    <w:qFormat/>
    <w:locked/>
    <w:rsid w:val="00B55994"/>
    <w:pPr>
      <w:keepNext/>
      <w:keepLines/>
      <w:spacing w:before="40"/>
      <w:outlineLvl w:val="6"/>
    </w:pPr>
    <w:rPr>
      <w:rFonts w:ascii="Cambria" w:hAnsi="Cambria" w:cs="Times New Roman"/>
      <w:i/>
      <w:iCs/>
      <w:color w:val="243F60"/>
    </w:rPr>
  </w:style>
  <w:style w:type="paragraph" w:styleId="Heading8">
    <w:name w:val="heading 8"/>
    <w:basedOn w:val="Normal"/>
    <w:next w:val="Normal"/>
    <w:link w:val="8"/>
    <w:qFormat/>
    <w:locked/>
    <w:rsid w:val="00B55994"/>
    <w:pPr>
      <w:keepNext/>
      <w:keepLines/>
      <w:spacing w:before="40"/>
      <w:outlineLvl w:val="7"/>
    </w:pPr>
    <w:rPr>
      <w:rFonts w:ascii="Cambria" w:hAnsi="Cambria" w:cs="Times New Roman"/>
      <w:color w:val="272727"/>
      <w:sz w:val="21"/>
      <w:szCs w:val="21"/>
    </w:rPr>
  </w:style>
  <w:style w:type="paragraph" w:styleId="Heading9">
    <w:name w:val="heading 9"/>
    <w:basedOn w:val="Normal"/>
    <w:next w:val="Normal"/>
    <w:link w:val="9"/>
    <w:qFormat/>
    <w:locked/>
    <w:rsid w:val="00B55994"/>
    <w:pPr>
      <w:keepNext/>
      <w:keepLines/>
      <w:spacing w:before="40"/>
      <w:outlineLvl w:val="8"/>
    </w:pPr>
    <w:rPr>
      <w:rFonts w:ascii="Cambria"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0"/>
    <w:locked/>
    <w:pPr>
      <w:tabs>
        <w:tab w:val="center" w:pos="4153"/>
        <w:tab w:val="right" w:pos="8306"/>
      </w:tabs>
    </w:pPr>
  </w:style>
  <w:style w:type="paragraph" w:styleId="Footer">
    <w:name w:val="footer"/>
    <w:basedOn w:val="Normal"/>
    <w:link w:val="a1"/>
    <w:locked/>
    <w:pPr>
      <w:tabs>
        <w:tab w:val="center" w:pos="4153"/>
        <w:tab w:val="right" w:pos="8306"/>
      </w:tabs>
    </w:pPr>
  </w:style>
  <w:style w:type="paragraph" w:customStyle="1" w:styleId="a">
    <w:name w:val="סעיפים"/>
    <w:basedOn w:val="Normal"/>
    <w:pPr>
      <w:tabs>
        <w:tab w:val="left" w:pos="567"/>
        <w:tab w:val="left" w:pos="1134"/>
        <w:tab w:val="left" w:pos="1701"/>
        <w:tab w:val="left" w:pos="2268"/>
        <w:tab w:val="left" w:pos="2835"/>
        <w:tab w:val="left" w:pos="3402"/>
        <w:tab w:val="left" w:pos="3969"/>
      </w:tabs>
      <w:spacing w:line="360" w:lineRule="auto"/>
      <w:jc w:val="both"/>
    </w:pPr>
  </w:style>
  <w:style w:type="paragraph" w:styleId="CommentText">
    <w:name w:val="annotation text"/>
    <w:basedOn w:val="Normal"/>
    <w:link w:val="11"/>
    <w:locked/>
    <w:rPr>
      <w:rFonts w:cs="Times New Roman"/>
    </w:rPr>
  </w:style>
  <w:style w:type="character" w:styleId="CommentReference">
    <w:name w:val="annotation reference"/>
    <w:semiHidden/>
    <w:locked/>
    <w:rPr>
      <w:sz w:val="16"/>
    </w:rPr>
  </w:style>
  <w:style w:type="paragraph" w:styleId="BalloonText">
    <w:name w:val="Balloon Text"/>
    <w:basedOn w:val="Normal"/>
    <w:link w:val="a4"/>
    <w:semiHidden/>
    <w:locked/>
    <w:rPr>
      <w:rFonts w:ascii="Tahoma" w:hAnsi="Tahoma" w:cs="Tahoma"/>
      <w:sz w:val="16"/>
      <w:szCs w:val="16"/>
    </w:rPr>
  </w:style>
  <w:style w:type="table" w:styleId="TableGrid">
    <w:name w:val="Table Grid"/>
    <w:basedOn w:val="TableNormal"/>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locked/>
    <w:rsid w:val="000F28B1"/>
    <w:rPr>
      <w:rFonts w:ascii="Arial" w:hAnsi="Arial"/>
      <w:sz w:val="16"/>
    </w:rPr>
  </w:style>
  <w:style w:type="character" w:styleId="PageNumber">
    <w:name w:val="page number"/>
    <w:basedOn w:val="DefaultParagraphFont"/>
    <w:locked/>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3230C7"/>
    <w:rPr>
      <w:color w:val="808080"/>
    </w:rPr>
  </w:style>
  <w:style w:type="character" w:customStyle="1" w:styleId="a0">
    <w:name w:val="כותרת עליונה תו"/>
    <w:link w:val="Header"/>
    <w:locked/>
    <w:rsid w:val="001D27E2"/>
    <w:rPr>
      <w:sz w:val="24"/>
    </w:rPr>
  </w:style>
  <w:style w:type="character" w:customStyle="1" w:styleId="a1">
    <w:name w:val="כותרת תחתונה תו"/>
    <w:link w:val="Footer"/>
    <w:locked/>
    <w:rsid w:val="001D27E2"/>
    <w:rPr>
      <w:sz w:val="24"/>
    </w:rPr>
  </w:style>
  <w:style w:type="character" w:customStyle="1" w:styleId="2">
    <w:name w:val="כותרת 2 תו"/>
    <w:link w:val="Heading2"/>
    <w:semiHidden/>
    <w:locked/>
    <w:rsid w:val="00FE0262"/>
    <w:rPr>
      <w:rFonts w:ascii="Cambria" w:hAnsi="Cambria"/>
      <w:spacing w:val="10"/>
      <w:sz w:val="28"/>
    </w:rPr>
  </w:style>
  <w:style w:type="paragraph" w:customStyle="1" w:styleId="Ruller3">
    <w:name w:val="Ruller 3"/>
    <w:basedOn w:val="Normal"/>
    <w:link w:val="Ruller30"/>
    <w:rsid w:val="00B55994"/>
    <w:pPr>
      <w:tabs>
        <w:tab w:val="left" w:pos="3210"/>
        <w:tab w:val="left" w:pos="6753"/>
      </w:tabs>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Pskdinhead">
    <w:name w:val="Pskdin head"/>
    <w:basedOn w:val="Normal"/>
    <w:rsid w:val="00B55994"/>
    <w:pPr>
      <w:overflowPunct w:val="0"/>
      <w:autoSpaceDE w:val="0"/>
      <w:autoSpaceDN w:val="0"/>
      <w:adjustRightInd w:val="0"/>
      <w:spacing w:line="360" w:lineRule="auto"/>
      <w:textAlignment w:val="baseline"/>
    </w:pPr>
    <w:rPr>
      <w:rFonts w:ascii="Century" w:hAnsi="Century" w:cs="FrankRuehl"/>
      <w:b/>
      <w:bCs/>
      <w:spacing w:val="10"/>
      <w:sz w:val="20"/>
      <w:szCs w:val="28"/>
      <w:u w:val="single"/>
    </w:rPr>
  </w:style>
  <w:style w:type="paragraph" w:customStyle="1" w:styleId="FileNumber">
    <w:name w:val="File Number"/>
    <w:basedOn w:val="Normal"/>
    <w:rsid w:val="00B55994"/>
    <w:pPr>
      <w:overflowPunct w:val="0"/>
      <w:autoSpaceDE w:val="0"/>
      <w:autoSpaceDN w:val="0"/>
      <w:adjustRightInd w:val="0"/>
      <w:spacing w:line="360" w:lineRule="auto"/>
      <w:jc w:val="right"/>
      <w:textAlignment w:val="baseline"/>
    </w:pPr>
    <w:rPr>
      <w:rFonts w:ascii="Century" w:hAnsi="Century" w:cs="FrankRuehl"/>
      <w:bCs/>
      <w:spacing w:val="10"/>
      <w:sz w:val="20"/>
      <w:szCs w:val="28"/>
    </w:rPr>
  </w:style>
  <w:style w:type="paragraph" w:customStyle="1" w:styleId="FirstpagestylePsakdin">
    <w:name w:val="First page style Psak din"/>
    <w:basedOn w:val="Ruller3"/>
    <w:rsid w:val="00B55994"/>
    <w:pPr>
      <w:tabs>
        <w:tab w:val="left" w:pos="3209"/>
        <w:tab w:val="clear" w:pos="3210"/>
      </w:tabs>
    </w:pPr>
    <w:rPr>
      <w:bCs/>
    </w:rPr>
  </w:style>
  <w:style w:type="paragraph" w:customStyle="1" w:styleId="TyutaDate">
    <w:name w:val="Tyuta Date"/>
    <w:basedOn w:val="Normal"/>
    <w:rsid w:val="00B55994"/>
    <w:pPr>
      <w:overflowPunct w:val="0"/>
      <w:autoSpaceDE w:val="0"/>
      <w:autoSpaceDN w:val="0"/>
      <w:adjustRightInd w:val="0"/>
      <w:spacing w:line="360" w:lineRule="auto"/>
      <w:jc w:val="center"/>
      <w:textAlignment w:val="baseline"/>
    </w:pPr>
    <w:rPr>
      <w:rFonts w:ascii="Century" w:hAnsi="Century" w:cs="FrankRuehl"/>
      <w:b/>
      <w:bCs/>
      <w:i/>
      <w:iCs/>
      <w:spacing w:val="10"/>
      <w:sz w:val="28"/>
      <w:szCs w:val="28"/>
    </w:rPr>
  </w:style>
  <w:style w:type="paragraph" w:customStyle="1" w:styleId="DocumentHead">
    <w:name w:val="Document Head"/>
    <w:basedOn w:val="Normal"/>
    <w:rsid w:val="00B55994"/>
    <w:pPr>
      <w:overflowPunct w:val="0"/>
      <w:autoSpaceDE w:val="0"/>
      <w:autoSpaceDN w:val="0"/>
      <w:adjustRightInd w:val="0"/>
      <w:spacing w:line="360" w:lineRule="auto"/>
      <w:jc w:val="center"/>
      <w:textAlignment w:val="baseline"/>
    </w:pPr>
    <w:rPr>
      <w:rFonts w:ascii="Century" w:hAnsi="Century" w:cs="FrankRuehl"/>
      <w:bCs/>
      <w:spacing w:val="30"/>
      <w:sz w:val="20"/>
      <w:szCs w:val="28"/>
      <w:u w:val="single"/>
    </w:rPr>
  </w:style>
  <w:style w:type="paragraph" w:customStyle="1" w:styleId="TfutzaList">
    <w:name w:val="Tfutza List"/>
    <w:basedOn w:val="Normal"/>
    <w:rsid w:val="00B55994"/>
    <w:pPr>
      <w:overflowPunct w:val="0"/>
      <w:autoSpaceDE w:val="0"/>
      <w:autoSpaceDN w:val="0"/>
      <w:adjustRightInd w:val="0"/>
      <w:spacing w:line="360" w:lineRule="auto"/>
      <w:textAlignment w:val="baseline"/>
    </w:pPr>
    <w:rPr>
      <w:rFonts w:ascii="Century" w:hAnsi="Century" w:cs="FrankRuehl"/>
      <w:i/>
      <w:iCs/>
      <w:spacing w:val="10"/>
      <w:sz w:val="20"/>
      <w:szCs w:val="28"/>
    </w:rPr>
  </w:style>
  <w:style w:type="paragraph" w:customStyle="1" w:styleId="Ruller4">
    <w:name w:val="Ruller4"/>
    <w:basedOn w:val="Normal"/>
    <w:link w:val="Ruller44"/>
    <w:rsid w:val="00B55994"/>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paragraph" w:customStyle="1" w:styleId="Ruller5">
    <w:name w:val="Ruller5"/>
    <w:basedOn w:val="Normal"/>
    <w:rsid w:val="00B55994"/>
    <w:pPr>
      <w:overflowPunct w:val="0"/>
      <w:autoSpaceDE w:val="0"/>
      <w:autoSpaceDN w:val="0"/>
      <w:adjustRightInd w:val="0"/>
      <w:ind w:left="1644" w:right="1276"/>
      <w:jc w:val="both"/>
      <w:textAlignment w:val="baseline"/>
    </w:pPr>
    <w:rPr>
      <w:rFonts w:ascii="Arial TUR" w:hAnsi="Arial TUR" w:cs="FrankRuehl"/>
      <w:spacing w:val="10"/>
      <w:sz w:val="22"/>
      <w:szCs w:val="28"/>
    </w:rPr>
  </w:style>
  <w:style w:type="paragraph" w:customStyle="1" w:styleId="Ruller6">
    <w:name w:val="Ruller6"/>
    <w:basedOn w:val="Normal"/>
    <w:rsid w:val="00B55994"/>
    <w:pPr>
      <w:tabs>
        <w:tab w:val="left" w:pos="794"/>
        <w:tab w:val="left" w:pos="2268"/>
        <w:tab w:val="left" w:pos="5783"/>
        <w:tab w:val="left" w:pos="7371"/>
      </w:tabs>
      <w:overflowPunct w:val="0"/>
      <w:autoSpaceDE w:val="0"/>
      <w:autoSpaceDN w:val="0"/>
      <w:adjustRightInd w:val="0"/>
      <w:spacing w:line="360" w:lineRule="auto"/>
      <w:textAlignment w:val="baseline"/>
    </w:pPr>
    <w:rPr>
      <w:rFonts w:ascii="Arial TUR" w:hAnsi="Arial TUR" w:cs="DavidFix"/>
      <w:spacing w:val="10"/>
      <w:sz w:val="22"/>
      <w:szCs w:val="20"/>
    </w:rPr>
  </w:style>
  <w:style w:type="character" w:customStyle="1" w:styleId="Delete">
    <w:name w:val="Delete"/>
    <w:rsid w:val="00B55994"/>
    <w:rPr>
      <w:strike/>
    </w:rPr>
  </w:style>
  <w:style w:type="paragraph" w:customStyle="1" w:styleId="WriterName">
    <w:name w:val="Writer Name"/>
    <w:basedOn w:val="Ruller4"/>
    <w:next w:val="Ruller4"/>
    <w:rsid w:val="00B55994"/>
    <w:rPr>
      <w:rFonts w:cs="David"/>
      <w:b/>
      <w:bCs/>
      <w:u w:val="single"/>
    </w:rPr>
  </w:style>
  <w:style w:type="character" w:customStyle="1" w:styleId="Hand">
    <w:name w:val="Hand"/>
    <w:rsid w:val="00B55994"/>
  </w:style>
  <w:style w:type="paragraph" w:customStyle="1" w:styleId="20">
    <w:name w:val="ñâðåï2"/>
    <w:basedOn w:val="Normal"/>
    <w:rsid w:val="00B55994"/>
    <w:pPr>
      <w:autoSpaceDE w:val="0"/>
      <w:autoSpaceDN w:val="0"/>
      <w:adjustRightInd w:val="0"/>
      <w:spacing w:line="360" w:lineRule="auto"/>
    </w:pPr>
    <w:rPr>
      <w:rFonts w:ascii="Century" w:hAnsi="Century" w:cs="Times New Roman"/>
      <w:spacing w:val="10"/>
      <w:sz w:val="20"/>
      <w:szCs w:val="28"/>
    </w:rPr>
  </w:style>
  <w:style w:type="paragraph" w:customStyle="1" w:styleId="Casenameintextbody">
    <w:name w:val="Case name in text body"/>
    <w:basedOn w:val="Normal"/>
    <w:rsid w:val="00B55994"/>
    <w:pPr>
      <w:autoSpaceDE w:val="0"/>
      <w:autoSpaceDN w:val="0"/>
      <w:adjustRightInd w:val="0"/>
      <w:spacing w:line="360" w:lineRule="auto"/>
      <w:jc w:val="right"/>
    </w:pPr>
    <w:rPr>
      <w:rFonts w:ascii="Century" w:hAnsi="Century" w:cs="Times New Roman"/>
      <w:b/>
      <w:bCs/>
      <w:spacing w:val="10"/>
      <w:sz w:val="20"/>
      <w:szCs w:val="28"/>
      <w:u w:val="single"/>
    </w:rPr>
  </w:style>
  <w:style w:type="paragraph" w:customStyle="1" w:styleId="precasestyle">
    <w:name w:val="pre_case style"/>
    <w:basedOn w:val="Normal"/>
    <w:rsid w:val="00B55994"/>
    <w:pPr>
      <w:tabs>
        <w:tab w:val="left" w:pos="2552"/>
      </w:tabs>
      <w:autoSpaceDE w:val="0"/>
      <w:autoSpaceDN w:val="0"/>
      <w:adjustRightInd w:val="0"/>
      <w:spacing w:line="360" w:lineRule="auto"/>
      <w:ind w:right="2549"/>
    </w:pPr>
    <w:rPr>
      <w:rFonts w:ascii="Century" w:hAnsi="Century" w:cs="Times New Roman"/>
      <w:spacing w:val="10"/>
      <w:sz w:val="20"/>
      <w:szCs w:val="28"/>
    </w:rPr>
  </w:style>
  <w:style w:type="paragraph" w:customStyle="1" w:styleId="BodyRuller">
    <w:name w:val="Body Ruller"/>
    <w:basedOn w:val="Normal"/>
    <w:link w:val="BodyRuller0"/>
    <w:rsid w:val="00B55994"/>
    <w:pPr>
      <w:overflowPunct w:val="0"/>
      <w:autoSpaceDE w:val="0"/>
      <w:autoSpaceDN w:val="0"/>
      <w:adjustRightInd w:val="0"/>
      <w:spacing w:line="360" w:lineRule="auto"/>
      <w:textAlignment w:val="baseline"/>
    </w:pPr>
    <w:rPr>
      <w:rFonts w:ascii="Century" w:hAnsi="Century" w:cs="FrankRuehl"/>
      <w:spacing w:val="10"/>
      <w:sz w:val="22"/>
      <w:szCs w:val="28"/>
    </w:rPr>
  </w:style>
  <w:style w:type="paragraph" w:customStyle="1" w:styleId="Ruller38">
    <w:name w:val="סגנון Ruller 3 + (מורכב) ‏8 נק"/>
    <w:basedOn w:val="BodyRuller"/>
    <w:link w:val="Ruller380"/>
    <w:rsid w:val="00B55994"/>
    <w:rPr>
      <w:szCs w:val="16"/>
    </w:rPr>
  </w:style>
  <w:style w:type="character" w:customStyle="1" w:styleId="Ruller30">
    <w:name w:val="Ruller 3 תו"/>
    <w:link w:val="Ruller3"/>
    <w:locked/>
    <w:rsid w:val="00B55994"/>
    <w:rPr>
      <w:rFonts w:ascii="Century" w:hAnsi="Century"/>
      <w:spacing w:val="10"/>
      <w:sz w:val="28"/>
    </w:rPr>
  </w:style>
  <w:style w:type="character" w:customStyle="1" w:styleId="BodyRuller0">
    <w:name w:val="Body Ruller תו"/>
    <w:link w:val="BodyRuller"/>
    <w:locked/>
    <w:rsid w:val="00B55994"/>
    <w:rPr>
      <w:rFonts w:ascii="Century" w:hAnsi="Century"/>
      <w:spacing w:val="10"/>
      <w:sz w:val="28"/>
    </w:rPr>
  </w:style>
  <w:style w:type="character" w:customStyle="1" w:styleId="Ruller380">
    <w:name w:val="סגנון Ruller 3 + (מורכב) ‏8 נק תו"/>
    <w:link w:val="Ruller38"/>
    <w:locked/>
    <w:rsid w:val="00B55994"/>
    <w:rPr>
      <w:rFonts w:ascii="Century" w:hAnsi="Century"/>
      <w:spacing w:val="10"/>
      <w:sz w:val="16"/>
    </w:rPr>
  </w:style>
  <w:style w:type="paragraph" w:customStyle="1" w:styleId="Ruller40">
    <w:name w:val="Ruller 4 ממוספר"/>
    <w:basedOn w:val="Ruller4"/>
    <w:next w:val="Ruller4"/>
    <w:link w:val="Ruller43"/>
    <w:rsid w:val="00B55994"/>
    <w:pPr>
      <w:numPr>
        <w:numId w:val="11"/>
      </w:numPr>
    </w:pPr>
    <w:rPr>
      <w:rFonts w:ascii="Garamond" w:hAnsi="Garamond"/>
      <w:sz w:val="24"/>
    </w:rPr>
  </w:style>
  <w:style w:type="paragraph" w:customStyle="1" w:styleId="Ruller41">
    <w:name w:val="Ruller4 אלפביתי"/>
    <w:basedOn w:val="Ruller4"/>
    <w:next w:val="Ruller4"/>
    <w:rsid w:val="00B55994"/>
    <w:pPr>
      <w:numPr>
        <w:numId w:val="12"/>
      </w:numPr>
    </w:pPr>
  </w:style>
  <w:style w:type="character" w:styleId="Hyperlink">
    <w:name w:val="Hyperlink"/>
    <w:locked/>
    <w:rsid w:val="00B55994"/>
    <w:rPr>
      <w:color w:val="0000FF"/>
      <w:u w:val="single"/>
    </w:rPr>
  </w:style>
  <w:style w:type="paragraph" w:customStyle="1" w:styleId="ruller42">
    <w:name w:val="ruller4"/>
    <w:basedOn w:val="Normal"/>
    <w:rsid w:val="00B55994"/>
    <w:pPr>
      <w:overflowPunct w:val="0"/>
      <w:autoSpaceDE w:val="0"/>
      <w:autoSpaceDN w:val="0"/>
      <w:spacing w:line="360" w:lineRule="auto"/>
      <w:jc w:val="both"/>
    </w:pPr>
    <w:rPr>
      <w:rFonts w:ascii="Arial TUR" w:hAnsi="Arial TUR" w:cs="Times New Roman"/>
      <w:spacing w:val="10"/>
      <w:sz w:val="22"/>
      <w:szCs w:val="22"/>
      <w:lang w:eastAsia="he-IL"/>
    </w:rPr>
  </w:style>
  <w:style w:type="paragraph" w:customStyle="1" w:styleId="ruller50">
    <w:name w:val="ruller5"/>
    <w:basedOn w:val="Normal"/>
    <w:rsid w:val="00B55994"/>
    <w:pPr>
      <w:overflowPunct w:val="0"/>
      <w:autoSpaceDE w:val="0"/>
      <w:autoSpaceDN w:val="0"/>
      <w:ind w:left="1642" w:right="1282"/>
      <w:jc w:val="both"/>
    </w:pPr>
    <w:rPr>
      <w:rFonts w:ascii="Arial TUR" w:hAnsi="Arial TUR" w:cs="Times New Roman"/>
      <w:spacing w:val="10"/>
      <w:sz w:val="22"/>
      <w:szCs w:val="22"/>
      <w:lang w:eastAsia="he-IL"/>
    </w:rPr>
  </w:style>
  <w:style w:type="character" w:customStyle="1" w:styleId="a2">
    <w:name w:val="טקסט הערה תו"/>
    <w:rsid w:val="00B55994"/>
    <w:rPr>
      <w:rFonts w:ascii="Century" w:hAnsi="Century"/>
      <w:spacing w:val="10"/>
    </w:rPr>
  </w:style>
  <w:style w:type="paragraph" w:styleId="CommentSubject">
    <w:name w:val="annotation subject"/>
    <w:basedOn w:val="CommentText"/>
    <w:next w:val="CommentText"/>
    <w:link w:val="a3"/>
    <w:semiHidden/>
    <w:locked/>
    <w:rsid w:val="00B55994"/>
    <w:pPr>
      <w:overflowPunct w:val="0"/>
      <w:autoSpaceDE w:val="0"/>
      <w:autoSpaceDN w:val="0"/>
      <w:adjustRightInd w:val="0"/>
      <w:textAlignment w:val="baseline"/>
    </w:pPr>
    <w:rPr>
      <w:rFonts w:ascii="Century" w:hAnsi="Century" w:cs="FrankRuehl"/>
      <w:b/>
      <w:bCs/>
      <w:spacing w:val="10"/>
      <w:sz w:val="20"/>
      <w:szCs w:val="20"/>
    </w:rPr>
  </w:style>
  <w:style w:type="character" w:customStyle="1" w:styleId="11">
    <w:name w:val="טקסט הערה תו1"/>
    <w:link w:val="CommentText"/>
    <w:locked/>
    <w:rsid w:val="00B55994"/>
    <w:rPr>
      <w:sz w:val="24"/>
    </w:rPr>
  </w:style>
  <w:style w:type="character" w:customStyle="1" w:styleId="a3">
    <w:name w:val="נושא הערה תו"/>
    <w:link w:val="CommentSubject"/>
    <w:semiHidden/>
    <w:locked/>
    <w:rsid w:val="00B55994"/>
    <w:rPr>
      <w:rFonts w:ascii="Century" w:hAnsi="Century"/>
      <w:b/>
      <w:spacing w:val="10"/>
      <w:sz w:val="24"/>
    </w:rPr>
  </w:style>
  <w:style w:type="character" w:customStyle="1" w:styleId="a4">
    <w:name w:val="טקסט בלונים תו"/>
    <w:link w:val="BalloonText"/>
    <w:semiHidden/>
    <w:locked/>
    <w:rsid w:val="00B55994"/>
    <w:rPr>
      <w:rFonts w:ascii="Tahoma" w:hAnsi="Tahoma"/>
      <w:sz w:val="16"/>
    </w:rPr>
  </w:style>
  <w:style w:type="character" w:customStyle="1" w:styleId="Ruller43">
    <w:name w:val="Ruller 4 ממוספר תו"/>
    <w:link w:val="Ruller40"/>
    <w:locked/>
    <w:rsid w:val="00B55994"/>
    <w:rPr>
      <w:rFonts w:ascii="Garamond" w:hAnsi="Garamond" w:cs="FrankRuehl"/>
      <w:spacing w:val="10"/>
      <w:sz w:val="24"/>
      <w:szCs w:val="28"/>
      <w:lang w:val="en-US" w:eastAsia="en-US" w:bidi="he-IL"/>
    </w:rPr>
  </w:style>
  <w:style w:type="paragraph" w:customStyle="1" w:styleId="12">
    <w:name w:val="מהדורה1"/>
    <w:hidden/>
    <w:semiHidden/>
    <w:rsid w:val="00B55994"/>
    <w:rPr>
      <w:rFonts w:ascii="Century" w:hAnsi="Century" w:cs="FrankRuehl"/>
      <w:spacing w:val="10"/>
      <w:szCs w:val="28"/>
      <w:lang w:bidi="he-IL"/>
    </w:rPr>
  </w:style>
  <w:style w:type="paragraph" w:customStyle="1" w:styleId="ruller400">
    <w:name w:val="ruller40"/>
    <w:basedOn w:val="Normal"/>
    <w:rsid w:val="00B55994"/>
    <w:pPr>
      <w:bidi w:val="0"/>
      <w:spacing w:before="100" w:beforeAutospacing="1" w:after="100" w:afterAutospacing="1"/>
    </w:pPr>
    <w:rPr>
      <w:rFonts w:cs="Times New Roman"/>
    </w:rPr>
  </w:style>
  <w:style w:type="character" w:customStyle="1" w:styleId="Ruller44">
    <w:name w:val="Ruller4 תו"/>
    <w:link w:val="Ruller4"/>
    <w:locked/>
    <w:rsid w:val="00B55994"/>
    <w:rPr>
      <w:rFonts w:ascii="Arial TUR" w:hAnsi="Arial TUR"/>
      <w:spacing w:val="10"/>
      <w:sz w:val="28"/>
    </w:rPr>
  </w:style>
  <w:style w:type="paragraph" w:customStyle="1" w:styleId="13">
    <w:name w:val="פיסקת רשימה1"/>
    <w:basedOn w:val="Normal"/>
    <w:qFormat/>
    <w:rsid w:val="00B55994"/>
    <w:pPr>
      <w:spacing w:after="160" w:line="259" w:lineRule="auto"/>
      <w:ind w:left="720"/>
      <w:contextualSpacing/>
    </w:pPr>
    <w:rPr>
      <w:rFonts w:ascii="Calibri" w:hAnsi="Calibri" w:cs="Arial"/>
      <w:sz w:val="22"/>
      <w:szCs w:val="22"/>
    </w:rPr>
  </w:style>
  <w:style w:type="paragraph" w:customStyle="1" w:styleId="bodyverdict">
    <w:name w:val="bodyverdict"/>
    <w:basedOn w:val="Normal"/>
    <w:rsid w:val="00B55994"/>
    <w:pPr>
      <w:bidi w:val="0"/>
      <w:spacing w:before="100" w:beforeAutospacing="1" w:after="100" w:afterAutospacing="1"/>
    </w:pPr>
    <w:rPr>
      <w:rFonts w:cs="Times New Roman"/>
    </w:rPr>
  </w:style>
  <w:style w:type="character" w:customStyle="1" w:styleId="ruller420">
    <w:name w:val="ruller42"/>
    <w:rsid w:val="00B55994"/>
  </w:style>
  <w:style w:type="paragraph" w:styleId="NormalWeb">
    <w:name w:val="Normal (Web)"/>
    <w:basedOn w:val="Normal"/>
    <w:semiHidden/>
    <w:locked/>
    <w:rsid w:val="00B55994"/>
    <w:pPr>
      <w:bidi w:val="0"/>
      <w:spacing w:before="100" w:beforeAutospacing="1" w:after="100" w:afterAutospacing="1"/>
    </w:pPr>
    <w:rPr>
      <w:rFonts w:cs="Times New Roman"/>
    </w:rPr>
  </w:style>
  <w:style w:type="character" w:customStyle="1" w:styleId="term1">
    <w:name w:val="term_1"/>
    <w:rsid w:val="00B55994"/>
  </w:style>
  <w:style w:type="character" w:styleId="FollowedHyperlink">
    <w:name w:val="FollowedHyperlink"/>
    <w:semiHidden/>
    <w:locked/>
    <w:rsid w:val="00B55994"/>
    <w:rPr>
      <w:color w:val="800080"/>
      <w:u w:val="single"/>
    </w:rPr>
  </w:style>
  <w:style w:type="character" w:styleId="HTMLCite">
    <w:name w:val="HTML Cite"/>
    <w:semiHidden/>
    <w:locked/>
    <w:rsid w:val="00B55994"/>
    <w:rPr>
      <w:i/>
    </w:rPr>
  </w:style>
  <w:style w:type="character" w:styleId="HTMLCode">
    <w:name w:val="HTML Code"/>
    <w:semiHidden/>
    <w:locked/>
    <w:rsid w:val="00B55994"/>
    <w:rPr>
      <w:rFonts w:ascii="Consolas" w:hAnsi="Consolas"/>
      <w:sz w:val="20"/>
    </w:rPr>
  </w:style>
  <w:style w:type="character" w:styleId="HTMLDefinition">
    <w:name w:val="HTML Definition"/>
    <w:semiHidden/>
    <w:locked/>
    <w:rsid w:val="00B55994"/>
    <w:rPr>
      <w:i/>
    </w:rPr>
  </w:style>
  <w:style w:type="character" w:styleId="HTMLVariable">
    <w:name w:val="HTML Variable"/>
    <w:semiHidden/>
    <w:locked/>
    <w:rsid w:val="00B55994"/>
    <w:rPr>
      <w:i/>
    </w:rPr>
  </w:style>
  <w:style w:type="paragraph" w:styleId="HTMLPreformatted">
    <w:name w:val="HTML Preformatted"/>
    <w:basedOn w:val="Normal"/>
    <w:link w:val="HTML"/>
    <w:semiHidden/>
    <w:locked/>
    <w:rsid w:val="00B55994"/>
    <w:rPr>
      <w:rFonts w:ascii="Consolas" w:hAnsi="Consolas"/>
      <w:sz w:val="20"/>
      <w:szCs w:val="20"/>
    </w:rPr>
  </w:style>
  <w:style w:type="character" w:customStyle="1" w:styleId="HTML">
    <w:name w:val="HTML מעוצב מראש תו"/>
    <w:link w:val="HTMLPreformatted"/>
    <w:semiHidden/>
    <w:locked/>
    <w:rsid w:val="00B55994"/>
    <w:rPr>
      <w:rFonts w:ascii="Consolas" w:hAnsi="Consolas"/>
    </w:rPr>
  </w:style>
  <w:style w:type="paragraph" w:styleId="Index1">
    <w:name w:val="index 1"/>
    <w:basedOn w:val="Normal"/>
    <w:next w:val="Normal"/>
    <w:autoRedefine/>
    <w:semiHidden/>
    <w:locked/>
    <w:rsid w:val="00B55994"/>
    <w:pPr>
      <w:ind w:left="240" w:hanging="240"/>
    </w:pPr>
  </w:style>
  <w:style w:type="paragraph" w:styleId="Index2">
    <w:name w:val="index 2"/>
    <w:basedOn w:val="Normal"/>
    <w:next w:val="Normal"/>
    <w:autoRedefine/>
    <w:semiHidden/>
    <w:locked/>
    <w:rsid w:val="00B55994"/>
    <w:pPr>
      <w:ind w:left="480" w:hanging="240"/>
    </w:pPr>
  </w:style>
  <w:style w:type="paragraph" w:styleId="Index3">
    <w:name w:val="index 3"/>
    <w:basedOn w:val="Normal"/>
    <w:next w:val="Normal"/>
    <w:autoRedefine/>
    <w:semiHidden/>
    <w:locked/>
    <w:rsid w:val="00B55994"/>
    <w:pPr>
      <w:ind w:left="720" w:hanging="240"/>
    </w:pPr>
  </w:style>
  <w:style w:type="paragraph" w:styleId="Index4">
    <w:name w:val="index 4"/>
    <w:basedOn w:val="Normal"/>
    <w:next w:val="Normal"/>
    <w:autoRedefine/>
    <w:semiHidden/>
    <w:locked/>
    <w:rsid w:val="00B55994"/>
    <w:pPr>
      <w:ind w:left="960" w:hanging="240"/>
    </w:pPr>
  </w:style>
  <w:style w:type="paragraph" w:styleId="Index5">
    <w:name w:val="index 5"/>
    <w:basedOn w:val="Normal"/>
    <w:next w:val="Normal"/>
    <w:autoRedefine/>
    <w:semiHidden/>
    <w:locked/>
    <w:rsid w:val="00B55994"/>
    <w:pPr>
      <w:ind w:left="1200" w:hanging="240"/>
    </w:pPr>
  </w:style>
  <w:style w:type="paragraph" w:styleId="Index6">
    <w:name w:val="index 6"/>
    <w:basedOn w:val="Normal"/>
    <w:next w:val="Normal"/>
    <w:autoRedefine/>
    <w:semiHidden/>
    <w:locked/>
    <w:rsid w:val="00B55994"/>
    <w:pPr>
      <w:ind w:left="1440" w:hanging="240"/>
    </w:pPr>
  </w:style>
  <w:style w:type="paragraph" w:styleId="Index7">
    <w:name w:val="index 7"/>
    <w:basedOn w:val="Normal"/>
    <w:next w:val="Normal"/>
    <w:autoRedefine/>
    <w:semiHidden/>
    <w:locked/>
    <w:rsid w:val="00B55994"/>
    <w:pPr>
      <w:ind w:left="1680" w:hanging="240"/>
    </w:pPr>
  </w:style>
  <w:style w:type="paragraph" w:styleId="Index8">
    <w:name w:val="index 8"/>
    <w:basedOn w:val="Normal"/>
    <w:next w:val="Normal"/>
    <w:autoRedefine/>
    <w:semiHidden/>
    <w:locked/>
    <w:rsid w:val="00B55994"/>
    <w:pPr>
      <w:ind w:left="1920" w:hanging="240"/>
    </w:pPr>
  </w:style>
  <w:style w:type="paragraph" w:styleId="Index9">
    <w:name w:val="index 9"/>
    <w:basedOn w:val="Normal"/>
    <w:next w:val="Normal"/>
    <w:autoRedefine/>
    <w:semiHidden/>
    <w:locked/>
    <w:rsid w:val="00B55994"/>
    <w:pPr>
      <w:ind w:left="2160" w:hanging="240"/>
    </w:pPr>
  </w:style>
  <w:style w:type="paragraph" w:styleId="TOC1">
    <w:name w:val="toc 1"/>
    <w:basedOn w:val="Normal"/>
    <w:next w:val="Normal"/>
    <w:autoRedefine/>
    <w:semiHidden/>
    <w:locked/>
    <w:rsid w:val="00B55994"/>
    <w:pPr>
      <w:spacing w:after="100"/>
    </w:pPr>
  </w:style>
  <w:style w:type="paragraph" w:styleId="TOC2">
    <w:name w:val="toc 2"/>
    <w:basedOn w:val="Normal"/>
    <w:next w:val="Normal"/>
    <w:autoRedefine/>
    <w:semiHidden/>
    <w:locked/>
    <w:rsid w:val="00B55994"/>
    <w:pPr>
      <w:spacing w:after="100"/>
      <w:ind w:left="240"/>
    </w:pPr>
  </w:style>
  <w:style w:type="paragraph" w:styleId="TOC3">
    <w:name w:val="toc 3"/>
    <w:basedOn w:val="Normal"/>
    <w:next w:val="Normal"/>
    <w:autoRedefine/>
    <w:semiHidden/>
    <w:locked/>
    <w:rsid w:val="00B55994"/>
    <w:pPr>
      <w:spacing w:after="100"/>
      <w:ind w:left="480"/>
    </w:pPr>
  </w:style>
  <w:style w:type="paragraph" w:styleId="TOC4">
    <w:name w:val="toc 4"/>
    <w:basedOn w:val="Normal"/>
    <w:next w:val="Normal"/>
    <w:autoRedefine/>
    <w:semiHidden/>
    <w:locked/>
    <w:rsid w:val="00B55994"/>
    <w:pPr>
      <w:spacing w:after="100"/>
      <w:ind w:left="720"/>
    </w:pPr>
  </w:style>
  <w:style w:type="paragraph" w:styleId="TOC5">
    <w:name w:val="toc 5"/>
    <w:basedOn w:val="Normal"/>
    <w:next w:val="Normal"/>
    <w:autoRedefine/>
    <w:semiHidden/>
    <w:locked/>
    <w:rsid w:val="00B55994"/>
    <w:pPr>
      <w:spacing w:after="100"/>
      <w:ind w:left="960"/>
    </w:pPr>
  </w:style>
  <w:style w:type="paragraph" w:styleId="TOC6">
    <w:name w:val="toc 6"/>
    <w:basedOn w:val="Normal"/>
    <w:next w:val="Normal"/>
    <w:autoRedefine/>
    <w:semiHidden/>
    <w:locked/>
    <w:rsid w:val="00B55994"/>
    <w:pPr>
      <w:spacing w:after="100"/>
      <w:ind w:left="1200"/>
    </w:pPr>
  </w:style>
  <w:style w:type="paragraph" w:styleId="TOC7">
    <w:name w:val="toc 7"/>
    <w:basedOn w:val="Normal"/>
    <w:next w:val="Normal"/>
    <w:autoRedefine/>
    <w:semiHidden/>
    <w:locked/>
    <w:rsid w:val="00B55994"/>
    <w:pPr>
      <w:spacing w:after="100"/>
      <w:ind w:left="1440"/>
    </w:pPr>
  </w:style>
  <w:style w:type="paragraph" w:styleId="TOC8">
    <w:name w:val="toc 8"/>
    <w:basedOn w:val="Normal"/>
    <w:next w:val="Normal"/>
    <w:autoRedefine/>
    <w:semiHidden/>
    <w:locked/>
    <w:rsid w:val="00B55994"/>
    <w:pPr>
      <w:spacing w:after="100"/>
      <w:ind w:left="1680"/>
    </w:pPr>
  </w:style>
  <w:style w:type="paragraph" w:styleId="TOC9">
    <w:name w:val="toc 9"/>
    <w:basedOn w:val="Normal"/>
    <w:next w:val="Normal"/>
    <w:autoRedefine/>
    <w:semiHidden/>
    <w:locked/>
    <w:rsid w:val="00B55994"/>
    <w:pPr>
      <w:spacing w:after="100"/>
      <w:ind w:left="1920"/>
    </w:pPr>
  </w:style>
  <w:style w:type="table" w:styleId="Table3Deffects1">
    <w:name w:val="Table 3D effects 1"/>
    <w:basedOn w:val="TableNormal"/>
    <w:semiHidden/>
    <w:locked/>
    <w:rsid w:val="00B55994"/>
    <w:pPr>
      <w:bidi/>
    </w:pPr>
    <w:rPr>
      <w:lang w:bidi="he-I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55994"/>
    <w:pPr>
      <w:bidi/>
    </w:pPr>
    <w:rPr>
      <w:lang w:bidi="he-I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55994"/>
    <w:pPr>
      <w:bidi/>
    </w:pPr>
    <w:rPr>
      <w:lang w:bidi="he-I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4">
    <w:name w:val="ביבליוגרפיה1"/>
    <w:basedOn w:val="Normal"/>
    <w:next w:val="Normal"/>
    <w:semiHidden/>
    <w:rsid w:val="00B55994"/>
  </w:style>
  <w:style w:type="paragraph" w:styleId="Salutation">
    <w:name w:val="Salutation"/>
    <w:basedOn w:val="Normal"/>
    <w:next w:val="Normal"/>
    <w:link w:val="a5"/>
    <w:rsid w:val="00B55994"/>
  </w:style>
  <w:style w:type="character" w:customStyle="1" w:styleId="a5">
    <w:name w:val="ברכה תו"/>
    <w:link w:val="Salutation"/>
    <w:locked/>
    <w:rsid w:val="00B55994"/>
    <w:rPr>
      <w:sz w:val="24"/>
    </w:rPr>
  </w:style>
  <w:style w:type="paragraph" w:styleId="BodyText">
    <w:name w:val="Body Text"/>
    <w:basedOn w:val="Normal"/>
    <w:link w:val="a6"/>
    <w:semiHidden/>
    <w:locked/>
    <w:rsid w:val="00B55994"/>
    <w:pPr>
      <w:spacing w:after="120"/>
    </w:pPr>
  </w:style>
  <w:style w:type="character" w:customStyle="1" w:styleId="a6">
    <w:name w:val="גוף טקסט תו"/>
    <w:link w:val="BodyText"/>
    <w:semiHidden/>
    <w:locked/>
    <w:rsid w:val="00B55994"/>
    <w:rPr>
      <w:sz w:val="24"/>
    </w:rPr>
  </w:style>
  <w:style w:type="paragraph" w:styleId="BodyText2">
    <w:name w:val="Body Text 2"/>
    <w:basedOn w:val="Normal"/>
    <w:link w:val="21"/>
    <w:semiHidden/>
    <w:locked/>
    <w:rsid w:val="00B55994"/>
    <w:pPr>
      <w:spacing w:after="120" w:line="480" w:lineRule="auto"/>
    </w:pPr>
  </w:style>
  <w:style w:type="character" w:customStyle="1" w:styleId="21">
    <w:name w:val="גוף טקסט 2 תו"/>
    <w:link w:val="BodyText2"/>
    <w:semiHidden/>
    <w:locked/>
    <w:rsid w:val="00B55994"/>
    <w:rPr>
      <w:sz w:val="24"/>
    </w:rPr>
  </w:style>
  <w:style w:type="paragraph" w:styleId="BodyText3">
    <w:name w:val="Body Text 3"/>
    <w:basedOn w:val="Normal"/>
    <w:link w:val="3"/>
    <w:semiHidden/>
    <w:locked/>
    <w:rsid w:val="00B55994"/>
    <w:pPr>
      <w:spacing w:after="120"/>
    </w:pPr>
    <w:rPr>
      <w:sz w:val="16"/>
      <w:szCs w:val="16"/>
    </w:rPr>
  </w:style>
  <w:style w:type="character" w:customStyle="1" w:styleId="3">
    <w:name w:val="גוף טקסט 3 תו"/>
    <w:link w:val="BodyText3"/>
    <w:semiHidden/>
    <w:locked/>
    <w:rsid w:val="00B55994"/>
    <w:rPr>
      <w:sz w:val="16"/>
    </w:rPr>
  </w:style>
  <w:style w:type="character" w:styleId="HTMLSample">
    <w:name w:val="HTML Sample"/>
    <w:semiHidden/>
    <w:locked/>
    <w:rsid w:val="00B55994"/>
    <w:rPr>
      <w:rFonts w:ascii="Consolas" w:hAnsi="Consolas"/>
      <w:sz w:val="24"/>
    </w:rPr>
  </w:style>
  <w:style w:type="character" w:styleId="Emphasis">
    <w:name w:val="Emphasis"/>
    <w:qFormat/>
    <w:locked/>
    <w:rsid w:val="00B55994"/>
    <w:rPr>
      <w:i/>
    </w:rPr>
  </w:style>
  <w:style w:type="character" w:customStyle="1" w:styleId="15">
    <w:name w:val="הדגשה חזקה1"/>
    <w:qFormat/>
    <w:rsid w:val="00B55994"/>
    <w:rPr>
      <w:i/>
      <w:color w:val="4F81BD"/>
    </w:rPr>
  </w:style>
  <w:style w:type="character" w:customStyle="1" w:styleId="16">
    <w:name w:val="הדגשה עדינה1"/>
    <w:qFormat/>
    <w:rsid w:val="00B55994"/>
    <w:rPr>
      <w:i/>
      <w:color w:val="404040"/>
    </w:rPr>
  </w:style>
  <w:style w:type="paragraph" w:styleId="ListContinue">
    <w:name w:val="List Continue"/>
    <w:basedOn w:val="Normal"/>
    <w:semiHidden/>
    <w:locked/>
    <w:rsid w:val="00B55994"/>
    <w:pPr>
      <w:spacing w:after="120"/>
      <w:ind w:left="283"/>
      <w:contextualSpacing/>
    </w:pPr>
  </w:style>
  <w:style w:type="paragraph" w:styleId="ListContinue2">
    <w:name w:val="List Continue 2"/>
    <w:basedOn w:val="Normal"/>
    <w:semiHidden/>
    <w:locked/>
    <w:rsid w:val="00B55994"/>
    <w:pPr>
      <w:spacing w:after="120"/>
      <w:ind w:left="566"/>
      <w:contextualSpacing/>
    </w:pPr>
  </w:style>
  <w:style w:type="paragraph" w:styleId="ListContinue3">
    <w:name w:val="List Continue 3"/>
    <w:basedOn w:val="Normal"/>
    <w:semiHidden/>
    <w:locked/>
    <w:rsid w:val="00B55994"/>
    <w:pPr>
      <w:spacing w:after="120"/>
      <w:ind w:left="849"/>
      <w:contextualSpacing/>
    </w:pPr>
  </w:style>
  <w:style w:type="paragraph" w:styleId="ListContinue4">
    <w:name w:val="List Continue 4"/>
    <w:basedOn w:val="Normal"/>
    <w:semiHidden/>
    <w:locked/>
    <w:rsid w:val="00B55994"/>
    <w:pPr>
      <w:spacing w:after="120"/>
      <w:ind w:left="1132"/>
      <w:contextualSpacing/>
    </w:pPr>
  </w:style>
  <w:style w:type="paragraph" w:styleId="ListContinue5">
    <w:name w:val="List Continue 5"/>
    <w:basedOn w:val="Normal"/>
    <w:semiHidden/>
    <w:locked/>
    <w:rsid w:val="00B55994"/>
    <w:pPr>
      <w:spacing w:after="120"/>
      <w:ind w:left="1415"/>
      <w:contextualSpacing/>
    </w:pPr>
  </w:style>
  <w:style w:type="character" w:customStyle="1" w:styleId="17">
    <w:name w:val="הפניה חזקה1"/>
    <w:qFormat/>
    <w:rsid w:val="00B55994"/>
    <w:rPr>
      <w:b/>
      <w:smallCaps/>
      <w:color w:val="4F81BD"/>
      <w:spacing w:val="5"/>
    </w:rPr>
  </w:style>
  <w:style w:type="character" w:styleId="EndnoteReference">
    <w:name w:val="endnote reference"/>
    <w:semiHidden/>
    <w:locked/>
    <w:rsid w:val="00B55994"/>
    <w:rPr>
      <w:vertAlign w:val="superscript"/>
    </w:rPr>
  </w:style>
  <w:style w:type="character" w:styleId="FootnoteReference">
    <w:name w:val="footnote reference"/>
    <w:semiHidden/>
    <w:locked/>
    <w:rsid w:val="00B55994"/>
    <w:rPr>
      <w:vertAlign w:val="superscript"/>
    </w:rPr>
  </w:style>
  <w:style w:type="character" w:customStyle="1" w:styleId="18">
    <w:name w:val="הפניה עדינה1"/>
    <w:qFormat/>
    <w:rsid w:val="00B55994"/>
    <w:rPr>
      <w:smallCaps/>
      <w:color w:val="5A5A5A"/>
    </w:rPr>
  </w:style>
  <w:style w:type="table" w:customStyle="1" w:styleId="19">
    <w:name w:val="הצללה בהירה1"/>
    <w:semiHidden/>
    <w:rsid w:val="00B55994"/>
    <w:rPr>
      <w:color w:val="000000"/>
      <w:lang w:bidi="he-I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הצללה בהירה - הדגשה 11"/>
    <w:semiHidden/>
    <w:rsid w:val="00B55994"/>
    <w:rPr>
      <w:color w:val="365F91"/>
      <w:lang w:bidi="he-I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הצללה בהירה - הדגשה 21"/>
    <w:semiHidden/>
    <w:rsid w:val="00B55994"/>
    <w:rPr>
      <w:color w:val="943634"/>
      <w:lang w:bidi="he-I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1">
    <w:name w:val="הצללה בהירה - הדגשה 31"/>
    <w:semiHidden/>
    <w:rsid w:val="00B55994"/>
    <w:rPr>
      <w:color w:val="76923C"/>
      <w:lang w:bidi="he-I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41">
    <w:name w:val="הצללה בהירה - הדגשה 41"/>
    <w:semiHidden/>
    <w:rsid w:val="00B55994"/>
    <w:rPr>
      <w:color w:val="5F497A"/>
      <w:lang w:bidi="he-I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51">
    <w:name w:val="הצללה בהירה - הדגשה 51"/>
    <w:semiHidden/>
    <w:rsid w:val="00B55994"/>
    <w:rPr>
      <w:color w:val="31849B"/>
      <w:lang w:bidi="he-I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61">
    <w:name w:val="הצללה בהירה - הדגשה 61"/>
    <w:semiHidden/>
    <w:rsid w:val="00B55994"/>
    <w:rPr>
      <w:color w:val="E36C0A"/>
      <w:lang w:bidi="he-I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410">
    <w:name w:val="הצללה בינונית  - הדגשה 4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0">
    <w:name w:val="הצללה בינונית 11"/>
    <w:semiHidden/>
    <w:rsid w:val="00B55994"/>
    <w:rPr>
      <w:lang w:bidi="he-I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
    <w:name w:val="הצללה בינונית 1 - הדגשה 11"/>
    <w:semiHidden/>
    <w:rsid w:val="00B55994"/>
    <w:rPr>
      <w:lang w:bidi="he-I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21">
    <w:name w:val="הצללה בינונית 1 - הדגשה 21"/>
    <w:semiHidden/>
    <w:rsid w:val="00B55994"/>
    <w:rPr>
      <w:lang w:bidi="he-I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1-31">
    <w:name w:val="הצללה בינונית 1 - הדגשה 31"/>
    <w:semiHidden/>
    <w:rsid w:val="00B55994"/>
    <w:rPr>
      <w:lang w:bidi="he-I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1-41">
    <w:name w:val="הצללה בינונית 1 - הדגשה 41"/>
    <w:semiHidden/>
    <w:rsid w:val="00B55994"/>
    <w:rPr>
      <w:lang w:bidi="he-I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51">
    <w:name w:val="הצללה בינונית 1- הדגשה 51"/>
    <w:semiHidden/>
    <w:rsid w:val="00B55994"/>
    <w:rPr>
      <w:lang w:bidi="he-I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1-61">
    <w:name w:val="הצללה בינונית 1- הדגשה 61"/>
    <w:semiHidden/>
    <w:rsid w:val="00B55994"/>
    <w:rPr>
      <w:lang w:bidi="he-I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210">
    <w:name w:val="הצללה בינונית 2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1">
    <w:name w:val="הצללה בינונית 2 - הדגשה 1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1">
    <w:name w:val="הצללה בינונית 2 - הדגשה 2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הצללה בינונית 2 - הדגשה 3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הצללה בינונית 2- הדגשה 5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61">
    <w:name w:val="הצללה בינונית 2- הדגשה 61"/>
    <w:semiHidden/>
    <w:rsid w:val="00B55994"/>
    <w:rPr>
      <w:lang w:bidi="he-I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1">
    <w:name w:val="הצללה צבעונית1"/>
    <w:semiHidden/>
    <w:rsid w:val="00B55994"/>
    <w:rPr>
      <w:color w:val="000000"/>
      <w:lang w:bidi="he-IL"/>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110">
    <w:name w:val="הצללה צבעונית - הדגשה 11"/>
    <w:semiHidden/>
    <w:rsid w:val="00B55994"/>
    <w:rPr>
      <w:color w:val="000000"/>
      <w:lang w:bidi="he-IL"/>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210">
    <w:name w:val="הצללה צבעונית - הדגשה 21"/>
    <w:semiHidden/>
    <w:rsid w:val="00B55994"/>
    <w:rPr>
      <w:color w:val="000000"/>
      <w:lang w:bidi="he-IL"/>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310">
    <w:name w:val="הצללה צבעונית - הדגשה 31"/>
    <w:semiHidden/>
    <w:rsid w:val="00B55994"/>
    <w:rPr>
      <w:color w:val="000000"/>
      <w:lang w:bidi="he-IL"/>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411">
    <w:name w:val="הצללה צבעונית - הדגשה 41"/>
    <w:semiHidden/>
    <w:rsid w:val="00B55994"/>
    <w:rPr>
      <w:color w:val="000000"/>
      <w:lang w:bidi="he-IL"/>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510">
    <w:name w:val="הצללה צבעונית - הדגשה 51"/>
    <w:semiHidden/>
    <w:rsid w:val="00B55994"/>
    <w:rPr>
      <w:color w:val="000000"/>
      <w:lang w:bidi="he-IL"/>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610">
    <w:name w:val="הצללה צבעונית - הדגשה 61"/>
    <w:semiHidden/>
    <w:rsid w:val="00B55994"/>
    <w:rPr>
      <w:color w:val="000000"/>
      <w:lang w:bidi="he-IL"/>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character" w:styleId="Strong">
    <w:name w:val="Strong"/>
    <w:qFormat/>
    <w:locked/>
    <w:rsid w:val="00B55994"/>
    <w:rPr>
      <w:b/>
    </w:rPr>
  </w:style>
  <w:style w:type="paragraph" w:styleId="Signature">
    <w:name w:val="Signature"/>
    <w:basedOn w:val="Normal"/>
    <w:link w:val="a7"/>
    <w:semiHidden/>
    <w:locked/>
    <w:rsid w:val="00B55994"/>
    <w:pPr>
      <w:ind w:left="4252"/>
    </w:pPr>
  </w:style>
  <w:style w:type="character" w:customStyle="1" w:styleId="a7">
    <w:name w:val="חתימה תו"/>
    <w:link w:val="Signature"/>
    <w:semiHidden/>
    <w:locked/>
    <w:rsid w:val="00B55994"/>
    <w:rPr>
      <w:sz w:val="24"/>
    </w:rPr>
  </w:style>
  <w:style w:type="paragraph" w:styleId="E-mailSignature">
    <w:name w:val="E-mail Signature"/>
    <w:basedOn w:val="Normal"/>
    <w:link w:val="a8"/>
    <w:semiHidden/>
    <w:locked/>
    <w:rsid w:val="00B55994"/>
  </w:style>
  <w:style w:type="character" w:customStyle="1" w:styleId="a8">
    <w:name w:val="חתימת דואר אלקטרוני תו"/>
    <w:link w:val="E-mailSignature"/>
    <w:semiHidden/>
    <w:locked/>
    <w:rsid w:val="00B55994"/>
    <w:rPr>
      <w:sz w:val="24"/>
    </w:rPr>
  </w:style>
  <w:style w:type="table" w:styleId="TableElegant">
    <w:name w:val="Table Elegant"/>
    <w:basedOn w:val="TableNormal"/>
    <w:semiHidden/>
    <w:locked/>
    <w:rsid w:val="00B55994"/>
    <w:pPr>
      <w:bidi/>
    </w:pPr>
    <w:rPr>
      <w:lang w:bidi="he-I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semiHidden/>
    <w:locked/>
    <w:rsid w:val="00B55994"/>
    <w:pPr>
      <w:bidi/>
    </w:pPr>
    <w:rPr>
      <w:lang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B55994"/>
    <w:pPr>
      <w:bidi/>
    </w:pPr>
    <w:rPr>
      <w:lang w:bidi="he-I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B55994"/>
    <w:pPr>
      <w:bidi/>
    </w:pPr>
    <w:rPr>
      <w:lang w:bidi="he-I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semiHidden/>
    <w:locked/>
    <w:rsid w:val="00B55994"/>
    <w:pPr>
      <w:bidi/>
    </w:pPr>
    <w:rPr>
      <w:lang w:bidi="he-I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locked/>
    <w:rsid w:val="00B55994"/>
    <w:pPr>
      <w:bidi/>
    </w:pPr>
    <w:rPr>
      <w:lang w:bidi="he-I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55994"/>
    <w:pPr>
      <w:bidi/>
    </w:pPr>
    <w:rPr>
      <w:lang w:bidi="he-I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55994"/>
    <w:pPr>
      <w:bidi/>
    </w:pPr>
    <w:rPr>
      <w:lang w:bidi="he-I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semiHidden/>
    <w:locked/>
    <w:rsid w:val="00B55994"/>
    <w:pPr>
      <w:bidi/>
    </w:pPr>
    <w:rPr>
      <w:color w:val="FFFFFF"/>
      <w:lang w:bidi="he-I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55994"/>
    <w:pPr>
      <w:bidi/>
    </w:pPr>
    <w:rPr>
      <w:lang w:bidi="he-I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B55994"/>
    <w:pPr>
      <w:bidi/>
    </w:pPr>
    <w:rPr>
      <w:lang w:bidi="he-I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locked/>
    <w:rsid w:val="00B55994"/>
    <w:pPr>
      <w:bidi/>
    </w:pPr>
    <w:rPr>
      <w:lang w:bidi="he-I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B55994"/>
    <w:pPr>
      <w:bidi/>
    </w:pPr>
    <w:rPr>
      <w:lang w:bidi="he-I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55994"/>
    <w:pPr>
      <w:bidi/>
    </w:pPr>
    <w:rPr>
      <w:color w:val="000080"/>
      <w:lang w:bidi="he-I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55994"/>
    <w:pPr>
      <w:bidi/>
    </w:pPr>
    <w:rPr>
      <w:lang w:bidi="he-I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
    <w:name w:val="טבלה רגילה 11"/>
    <w:rsid w:val="00B55994"/>
    <w:rPr>
      <w:lang w:bidi="he-I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טבלה רגילה 21"/>
    <w:rsid w:val="00B55994"/>
    <w:rPr>
      <w:lang w:bidi="he-I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31">
    <w:name w:val="טבלה רגילה 3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41">
    <w:name w:val="טבלה רגילה 4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51">
    <w:name w:val="טבלה רגילה 51"/>
    <w:rsid w:val="00B55994"/>
    <w:rPr>
      <w:lang w:bidi="he-IL"/>
    </w:rPr>
    <w:tblPr>
      <w:tblStyleRowBandSize w:val="1"/>
      <w:tblStyleColBandSize w:val="1"/>
      <w:tblInd w:w="0" w:type="dxa"/>
      <w:tblCellMar>
        <w:top w:w="0" w:type="dxa"/>
        <w:left w:w="108" w:type="dxa"/>
        <w:bottom w:w="0" w:type="dxa"/>
        <w:right w:w="108" w:type="dxa"/>
      </w:tblCellMar>
    </w:tblPr>
  </w:style>
  <w:style w:type="table" w:styleId="TableWeb1">
    <w:name w:val="Table Web 1"/>
    <w:basedOn w:val="TableNormal"/>
    <w:semiHidden/>
    <w:locked/>
    <w:rsid w:val="00B55994"/>
    <w:pPr>
      <w:bidi/>
    </w:pPr>
    <w:rPr>
      <w:lang w:bidi="he-I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B55994"/>
    <w:pPr>
      <w:bidi/>
    </w:pPr>
    <w:rPr>
      <w:lang w:bidi="he-I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B55994"/>
    <w:pPr>
      <w:bidi/>
    </w:pPr>
    <w:rPr>
      <w:lang w:bidi="he-I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טבלת רשימה 1 בהירה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110">
    <w:name w:val="טבלת רשימה 1 בהירה - הדגשה 1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210">
    <w:name w:val="טבלת רשימה 1 בהירה - הדגשה 2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310">
    <w:name w:val="טבלת רשימה 1 בהירה - הדגשה 3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410">
    <w:name w:val="טבלת רשימה 1 בהירה - הדגשה 4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510">
    <w:name w:val="טבלת רשימה 1 בהירה - הדגשה 5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1-610">
    <w:name w:val="טבלת רשימה 1 בהירה - הדגשה 61"/>
    <w:rsid w:val="00B55994"/>
    <w:rPr>
      <w:lang w:bidi="he-IL"/>
    </w:rPr>
    <w:tblPr>
      <w:tblStyleRowBandSize w:val="1"/>
      <w:tblStyleColBandSize w:val="1"/>
      <w:tblInd w:w="0" w:type="dxa"/>
      <w:tblCellMar>
        <w:top w:w="0" w:type="dxa"/>
        <w:left w:w="108" w:type="dxa"/>
        <w:bottom w:w="0" w:type="dxa"/>
        <w:right w:w="108" w:type="dxa"/>
      </w:tblCellMar>
    </w:tblPr>
  </w:style>
  <w:style w:type="table" w:customStyle="1" w:styleId="212">
    <w:name w:val="טבלת רשימה 21"/>
    <w:rsid w:val="00B55994"/>
    <w:rPr>
      <w:lang w:bidi="he-IL"/>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2-110">
    <w:name w:val="טבלת רשימה 2 - הדגשה 11"/>
    <w:rsid w:val="00B55994"/>
    <w:rPr>
      <w:lang w:bidi="he-IL"/>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style>
  <w:style w:type="table" w:customStyle="1" w:styleId="2-210">
    <w:name w:val="טבלת רשימה 2 - הדגשה 21"/>
    <w:rsid w:val="00B55994"/>
    <w:rPr>
      <w:lang w:bidi="he-IL"/>
    </w:rPr>
    <w:tblPr>
      <w:tblStyleRowBandSize w:val="1"/>
      <w:tblStyleColBandSize w:val="1"/>
      <w:tblInd w:w="0" w:type="dxa"/>
      <w:tblBorders>
        <w:top w:val="single" w:sz="4" w:space="0" w:color="D99594"/>
        <w:bottom w:val="single" w:sz="4" w:space="0" w:color="D99594"/>
        <w:insideH w:val="single" w:sz="4" w:space="0" w:color="D99594"/>
      </w:tblBorders>
      <w:tblCellMar>
        <w:top w:w="0" w:type="dxa"/>
        <w:left w:w="108" w:type="dxa"/>
        <w:bottom w:w="0" w:type="dxa"/>
        <w:right w:w="108" w:type="dxa"/>
      </w:tblCellMar>
    </w:tblPr>
  </w:style>
  <w:style w:type="table" w:customStyle="1" w:styleId="2-310">
    <w:name w:val="טבלת רשימה 2 - הדגשה 31"/>
    <w:rsid w:val="00B55994"/>
    <w:rPr>
      <w:lang w:bidi="he-IL"/>
    </w:rPr>
    <w:tblPr>
      <w:tblStyleRowBandSize w:val="1"/>
      <w:tblStyleColBandSize w:val="1"/>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style>
  <w:style w:type="table" w:customStyle="1" w:styleId="2-41">
    <w:name w:val="טבלת רשימה 2 - הדגשה 41"/>
    <w:rsid w:val="00B55994"/>
    <w:rPr>
      <w:lang w:bidi="he-IL"/>
    </w:r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style>
  <w:style w:type="table" w:customStyle="1" w:styleId="2-510">
    <w:name w:val="טבלת רשימה 2 - הדגשה 51"/>
    <w:rsid w:val="00B55994"/>
    <w:rPr>
      <w:lang w:bidi="he-IL"/>
    </w:rPr>
    <w:tblPr>
      <w:tblStyleRowBandSize w:val="1"/>
      <w:tblStyleColBandSize w:val="1"/>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style>
  <w:style w:type="table" w:customStyle="1" w:styleId="2-610">
    <w:name w:val="טבלת רשימה 2 - הדגשה 61"/>
    <w:rsid w:val="00B55994"/>
    <w:rPr>
      <w:lang w:bidi="he-IL"/>
    </w:rPr>
    <w:tblPr>
      <w:tblStyleRowBandSize w:val="1"/>
      <w:tblStyleColBandSize w:val="1"/>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style>
  <w:style w:type="table" w:customStyle="1" w:styleId="310">
    <w:name w:val="טבלת רשימה 31"/>
    <w:rsid w:val="00B55994"/>
    <w:rPr>
      <w:lang w:bidi="he-I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3-11">
    <w:name w:val="טבלת רשימה 3 - הדגשה 11"/>
    <w:rsid w:val="00B55994"/>
    <w:rPr>
      <w:lang w:bidi="he-IL"/>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3-21">
    <w:name w:val="טבלת רשימה 3 - הדגשה 21"/>
    <w:rsid w:val="00B55994"/>
    <w:rPr>
      <w:lang w:bidi="he-IL"/>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style>
  <w:style w:type="table" w:customStyle="1" w:styleId="3-31">
    <w:name w:val="טבלת רשימה 3 - הדגשה 31"/>
    <w:rsid w:val="00B55994"/>
    <w:rPr>
      <w:lang w:bidi="he-IL"/>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style>
  <w:style w:type="table" w:customStyle="1" w:styleId="3-41">
    <w:name w:val="טבלת רשימה 3 - הדגשה 41"/>
    <w:rsid w:val="00B55994"/>
    <w:rPr>
      <w:lang w:bidi="he-IL"/>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style>
  <w:style w:type="table" w:customStyle="1" w:styleId="3-51">
    <w:name w:val="טבלת רשימה 3 - הדגשה 51"/>
    <w:rsid w:val="00B55994"/>
    <w:rPr>
      <w:lang w:bidi="he-IL"/>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style>
  <w:style w:type="table" w:customStyle="1" w:styleId="3-61">
    <w:name w:val="טבלת רשימה 3 - הדגשה 61"/>
    <w:rsid w:val="00B55994"/>
    <w:rPr>
      <w:lang w:bidi="he-IL"/>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style>
  <w:style w:type="table" w:customStyle="1" w:styleId="410">
    <w:name w:val="טבלת רשימה 41"/>
    <w:rsid w:val="00B55994"/>
    <w:rPr>
      <w:lang w:bidi="he-I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4-11">
    <w:name w:val="טבלת רשימה 4 - הדגשה 11"/>
    <w:rsid w:val="00B55994"/>
    <w:rPr>
      <w:lang w:bidi="he-I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table" w:customStyle="1" w:styleId="4-21">
    <w:name w:val="טבלת רשימה 4 - הדגשה 21"/>
    <w:rsid w:val="00B55994"/>
    <w:rPr>
      <w:lang w:bidi="he-IL"/>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tblBorders>
      <w:tblCellMar>
        <w:top w:w="0" w:type="dxa"/>
        <w:left w:w="108" w:type="dxa"/>
        <w:bottom w:w="0" w:type="dxa"/>
        <w:right w:w="108" w:type="dxa"/>
      </w:tblCellMar>
    </w:tblPr>
  </w:style>
  <w:style w:type="table" w:customStyle="1" w:styleId="4-31">
    <w:name w:val="טבלת רשימה 4 - הדגשה 31"/>
    <w:rsid w:val="00B55994"/>
    <w:rPr>
      <w:lang w:bidi="he-IL"/>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style>
  <w:style w:type="table" w:customStyle="1" w:styleId="4-41">
    <w:name w:val="טבלת רשימה 4 - הדגשה 41"/>
    <w:rsid w:val="00B55994"/>
    <w:rPr>
      <w:lang w:bidi="he-I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style>
  <w:style w:type="table" w:customStyle="1" w:styleId="4-51">
    <w:name w:val="טבלת רשימה 4 - הדגשה 51"/>
    <w:rsid w:val="00B55994"/>
    <w:rPr>
      <w:lang w:bidi="he-I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style>
  <w:style w:type="table" w:customStyle="1" w:styleId="4-61">
    <w:name w:val="טבלת רשימה 4 - הדגשה 61"/>
    <w:rsid w:val="00B55994"/>
    <w:rPr>
      <w:lang w:bidi="he-I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tblBorders>
      <w:tblCellMar>
        <w:top w:w="0" w:type="dxa"/>
        <w:left w:w="108" w:type="dxa"/>
        <w:bottom w:w="0" w:type="dxa"/>
        <w:right w:w="108" w:type="dxa"/>
      </w:tblCellMar>
    </w:tblPr>
  </w:style>
  <w:style w:type="table" w:customStyle="1" w:styleId="510">
    <w:name w:val="טבלת רשימה 5 כהה1"/>
    <w:rsid w:val="00B55994"/>
    <w:rPr>
      <w:color w:val="FFFFFF"/>
      <w:lang w:bidi="he-IL"/>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table" w:customStyle="1" w:styleId="5-11">
    <w:name w:val="טבלת רשימה 5 כהה - הדגשה 11"/>
    <w:rsid w:val="00B55994"/>
    <w:rPr>
      <w:color w:val="FFFFFF"/>
      <w:lang w:bidi="he-IL"/>
    </w:rPr>
    <w:tblPr>
      <w:tblStyleRowBandSize w:val="1"/>
      <w:tblStyleColBandSize w:val="1"/>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style>
  <w:style w:type="table" w:customStyle="1" w:styleId="5-21">
    <w:name w:val="טבלת רשימה 5 כהה - הדגשה 21"/>
    <w:rsid w:val="00B55994"/>
    <w:rPr>
      <w:color w:val="FFFFFF"/>
      <w:lang w:bidi="he-IL"/>
    </w:rPr>
    <w:tblPr>
      <w:tblStyleRowBandSize w:val="1"/>
      <w:tblStyleColBandSize w:val="1"/>
      <w:tblInd w:w="0" w:type="dxa"/>
      <w:tblBorders>
        <w:top w:val="single" w:sz="24" w:space="0" w:color="C0504D"/>
        <w:left w:val="single" w:sz="24" w:space="0" w:color="C0504D"/>
        <w:bottom w:val="single" w:sz="24" w:space="0" w:color="C0504D"/>
        <w:right w:val="single" w:sz="24" w:space="0" w:color="C0504D"/>
      </w:tblBorders>
      <w:tblCellMar>
        <w:top w:w="0" w:type="dxa"/>
        <w:left w:w="108" w:type="dxa"/>
        <w:bottom w:w="0" w:type="dxa"/>
        <w:right w:w="108" w:type="dxa"/>
      </w:tblCellMar>
    </w:tblPr>
    <w:tcPr>
      <w:shd w:val="clear" w:color="auto" w:fill="C0504D"/>
    </w:tcPr>
  </w:style>
  <w:style w:type="table" w:customStyle="1" w:styleId="5-31">
    <w:name w:val="טבלת רשימה 5 כהה - הדגשה 31"/>
    <w:rsid w:val="00B55994"/>
    <w:rPr>
      <w:color w:val="FFFFFF"/>
      <w:lang w:bidi="he-IL"/>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style>
  <w:style w:type="table" w:customStyle="1" w:styleId="5-41">
    <w:name w:val="טבלת רשימה 5 כהה - הדגשה 41"/>
    <w:rsid w:val="00B55994"/>
    <w:rPr>
      <w:color w:val="FFFFFF"/>
      <w:lang w:bidi="he-IL"/>
    </w:rPr>
    <w:tblPr>
      <w:tblStyleRowBandSize w:val="1"/>
      <w:tblStyleColBandSize w:val="1"/>
      <w:tblInd w:w="0" w:type="dxa"/>
      <w:tblBorders>
        <w:top w:val="single" w:sz="24" w:space="0" w:color="8064A2"/>
        <w:left w:val="single" w:sz="24" w:space="0" w:color="8064A2"/>
        <w:bottom w:val="single" w:sz="24" w:space="0" w:color="8064A2"/>
        <w:right w:val="single" w:sz="24" w:space="0" w:color="8064A2"/>
      </w:tblBorders>
      <w:tblCellMar>
        <w:top w:w="0" w:type="dxa"/>
        <w:left w:w="108" w:type="dxa"/>
        <w:bottom w:w="0" w:type="dxa"/>
        <w:right w:w="108" w:type="dxa"/>
      </w:tblCellMar>
    </w:tblPr>
    <w:tcPr>
      <w:shd w:val="clear" w:color="auto" w:fill="8064A2"/>
    </w:tcPr>
  </w:style>
  <w:style w:type="table" w:customStyle="1" w:styleId="5-51">
    <w:name w:val="טבלת רשימה 5 כהה - הדגשה 51"/>
    <w:rsid w:val="00B55994"/>
    <w:rPr>
      <w:color w:val="FFFFFF"/>
      <w:lang w:bidi="he-IL"/>
    </w:rPr>
    <w:tblPr>
      <w:tblStyleRowBandSize w:val="1"/>
      <w:tblStyleColBandSize w:val="1"/>
      <w:tblInd w:w="0" w:type="dxa"/>
      <w:tblBorders>
        <w:top w:val="single" w:sz="24" w:space="0" w:color="4BACC6"/>
        <w:left w:val="single" w:sz="24" w:space="0" w:color="4BACC6"/>
        <w:bottom w:val="single" w:sz="24" w:space="0" w:color="4BACC6"/>
        <w:right w:val="single" w:sz="24" w:space="0" w:color="4BACC6"/>
      </w:tblBorders>
      <w:tblCellMar>
        <w:top w:w="0" w:type="dxa"/>
        <w:left w:w="108" w:type="dxa"/>
        <w:bottom w:w="0" w:type="dxa"/>
        <w:right w:w="108" w:type="dxa"/>
      </w:tblCellMar>
    </w:tblPr>
    <w:tcPr>
      <w:shd w:val="clear" w:color="auto" w:fill="4BACC6"/>
    </w:tcPr>
  </w:style>
  <w:style w:type="table" w:customStyle="1" w:styleId="5-61">
    <w:name w:val="טבלת רשימה 5 כהה - הדגשה 61"/>
    <w:rsid w:val="00B55994"/>
    <w:rPr>
      <w:color w:val="FFFFFF"/>
      <w:lang w:bidi="he-IL"/>
    </w:rPr>
    <w:tblPr>
      <w:tblStyleRowBandSize w:val="1"/>
      <w:tblStyleColBandSize w:val="1"/>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style>
  <w:style w:type="table" w:customStyle="1" w:styleId="61">
    <w:name w:val="טבלת רשימה 6 צבעונית1"/>
    <w:rsid w:val="00B55994"/>
    <w:rPr>
      <w:color w:val="000000"/>
      <w:lang w:bidi="he-IL"/>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6-11">
    <w:name w:val="טבלת רשימה 6 צבעונית - הדגשה 11"/>
    <w:rsid w:val="00B55994"/>
    <w:rPr>
      <w:color w:val="365F91"/>
      <w:lang w:bidi="he-IL"/>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6-21">
    <w:name w:val="טבלת רשימה 6 צבעונית - הדגשה 21"/>
    <w:rsid w:val="00B55994"/>
    <w:rPr>
      <w:color w:val="943634"/>
      <w:lang w:bidi="he-IL"/>
    </w:rPr>
    <w:tblPr>
      <w:tblStyleRowBandSize w:val="1"/>
      <w:tblStyleColBandSize w:val="1"/>
      <w:tblInd w:w="0" w:type="dxa"/>
      <w:tblBorders>
        <w:top w:val="single" w:sz="4" w:space="0" w:color="C0504D"/>
        <w:bottom w:val="single" w:sz="4" w:space="0" w:color="C0504D"/>
      </w:tblBorders>
      <w:tblCellMar>
        <w:top w:w="0" w:type="dxa"/>
        <w:left w:w="108" w:type="dxa"/>
        <w:bottom w:w="0" w:type="dxa"/>
        <w:right w:w="108" w:type="dxa"/>
      </w:tblCellMar>
    </w:tblPr>
  </w:style>
  <w:style w:type="table" w:customStyle="1" w:styleId="6-31">
    <w:name w:val="טבלת רשימה 6 צבעונית - הדגשה 31"/>
    <w:rsid w:val="00B55994"/>
    <w:rPr>
      <w:color w:val="76923C"/>
      <w:lang w:bidi="he-IL"/>
    </w:rPr>
    <w:tblPr>
      <w:tblStyleRowBandSize w:val="1"/>
      <w:tblStyleColBandSize w:val="1"/>
      <w:tblInd w:w="0" w:type="dxa"/>
      <w:tblBorders>
        <w:top w:val="single" w:sz="4" w:space="0" w:color="9BBB59"/>
        <w:bottom w:val="single" w:sz="4" w:space="0" w:color="9BBB59"/>
      </w:tblBorders>
      <w:tblCellMar>
        <w:top w:w="0" w:type="dxa"/>
        <w:left w:w="108" w:type="dxa"/>
        <w:bottom w:w="0" w:type="dxa"/>
        <w:right w:w="108" w:type="dxa"/>
      </w:tblCellMar>
    </w:tblPr>
  </w:style>
  <w:style w:type="table" w:customStyle="1" w:styleId="6-41">
    <w:name w:val="טבלת רשימה 6 צבעונית - הדגשה 41"/>
    <w:rsid w:val="00B55994"/>
    <w:rPr>
      <w:color w:val="5F497A"/>
      <w:lang w:bidi="he-IL"/>
    </w:rPr>
    <w:tblPr>
      <w:tblStyleRowBandSize w:val="1"/>
      <w:tblStyleColBandSize w:val="1"/>
      <w:tblInd w:w="0" w:type="dxa"/>
      <w:tblBorders>
        <w:top w:val="single" w:sz="4" w:space="0" w:color="8064A2"/>
        <w:bottom w:val="single" w:sz="4" w:space="0" w:color="8064A2"/>
      </w:tblBorders>
      <w:tblCellMar>
        <w:top w:w="0" w:type="dxa"/>
        <w:left w:w="108" w:type="dxa"/>
        <w:bottom w:w="0" w:type="dxa"/>
        <w:right w:w="108" w:type="dxa"/>
      </w:tblCellMar>
    </w:tblPr>
  </w:style>
  <w:style w:type="table" w:customStyle="1" w:styleId="6-51">
    <w:name w:val="טבלת רשימה 6 צבעונית - הדגשה 51"/>
    <w:rsid w:val="00B55994"/>
    <w:rPr>
      <w:color w:val="31849B"/>
      <w:lang w:bidi="he-IL"/>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style>
  <w:style w:type="table" w:customStyle="1" w:styleId="6-61">
    <w:name w:val="טבלת רשימה 6 צבעונית - הדגשה 61"/>
    <w:rsid w:val="00B55994"/>
    <w:rPr>
      <w:color w:val="E36C0A"/>
      <w:lang w:bidi="he-IL"/>
    </w:rPr>
    <w:tblPr>
      <w:tblStyleRowBandSize w:val="1"/>
      <w:tblStyleColBandSize w:val="1"/>
      <w:tblInd w:w="0" w:type="dxa"/>
      <w:tblBorders>
        <w:top w:val="single" w:sz="4" w:space="0" w:color="F79646"/>
        <w:bottom w:val="single" w:sz="4" w:space="0" w:color="F79646"/>
      </w:tblBorders>
      <w:tblCellMar>
        <w:top w:w="0" w:type="dxa"/>
        <w:left w:w="108" w:type="dxa"/>
        <w:bottom w:w="0" w:type="dxa"/>
        <w:right w:w="108" w:type="dxa"/>
      </w:tblCellMar>
    </w:tblPr>
  </w:style>
  <w:style w:type="table" w:customStyle="1" w:styleId="71">
    <w:name w:val="טבלת רשימה 7 צבעונית1"/>
    <w:rsid w:val="00B55994"/>
    <w:rPr>
      <w:color w:val="000000"/>
      <w:lang w:bidi="he-IL"/>
    </w:rPr>
    <w:tblPr>
      <w:tblStyleRowBandSize w:val="1"/>
      <w:tblStyleColBandSize w:val="1"/>
      <w:tblInd w:w="0" w:type="dxa"/>
      <w:tblCellMar>
        <w:top w:w="0" w:type="dxa"/>
        <w:left w:w="108" w:type="dxa"/>
        <w:bottom w:w="0" w:type="dxa"/>
        <w:right w:w="108" w:type="dxa"/>
      </w:tblCellMar>
    </w:tblPr>
  </w:style>
  <w:style w:type="table" w:customStyle="1" w:styleId="7-11">
    <w:name w:val="טבלת רשימה 7 צבעונית - הדגשה 11"/>
    <w:rsid w:val="00B55994"/>
    <w:rPr>
      <w:color w:val="365F91"/>
      <w:lang w:bidi="he-IL"/>
    </w:rPr>
    <w:tblPr>
      <w:tblStyleRowBandSize w:val="1"/>
      <w:tblStyleColBandSize w:val="1"/>
      <w:tblInd w:w="0" w:type="dxa"/>
      <w:tblCellMar>
        <w:top w:w="0" w:type="dxa"/>
        <w:left w:w="108" w:type="dxa"/>
        <w:bottom w:w="0" w:type="dxa"/>
        <w:right w:w="108" w:type="dxa"/>
      </w:tblCellMar>
    </w:tblPr>
  </w:style>
  <w:style w:type="table" w:customStyle="1" w:styleId="7-21">
    <w:name w:val="טבלת רשימה 7 צבעונית - הדגשה 21"/>
    <w:rsid w:val="00B55994"/>
    <w:rPr>
      <w:color w:val="943634"/>
      <w:lang w:bidi="he-IL"/>
    </w:rPr>
    <w:tblPr>
      <w:tblStyleRowBandSize w:val="1"/>
      <w:tblStyleColBandSize w:val="1"/>
      <w:tblInd w:w="0" w:type="dxa"/>
      <w:tblCellMar>
        <w:top w:w="0" w:type="dxa"/>
        <w:left w:w="108" w:type="dxa"/>
        <w:bottom w:w="0" w:type="dxa"/>
        <w:right w:w="108" w:type="dxa"/>
      </w:tblCellMar>
    </w:tblPr>
  </w:style>
  <w:style w:type="table" w:customStyle="1" w:styleId="7-31">
    <w:name w:val="טבלת רשימה 7 צבעונית - הדגשה 31"/>
    <w:rsid w:val="00B55994"/>
    <w:rPr>
      <w:color w:val="76923C"/>
      <w:lang w:bidi="he-IL"/>
    </w:rPr>
    <w:tblPr>
      <w:tblStyleRowBandSize w:val="1"/>
      <w:tblStyleColBandSize w:val="1"/>
      <w:tblInd w:w="0" w:type="dxa"/>
      <w:tblCellMar>
        <w:top w:w="0" w:type="dxa"/>
        <w:left w:w="108" w:type="dxa"/>
        <w:bottom w:w="0" w:type="dxa"/>
        <w:right w:w="108" w:type="dxa"/>
      </w:tblCellMar>
    </w:tblPr>
  </w:style>
  <w:style w:type="table" w:customStyle="1" w:styleId="7-41">
    <w:name w:val="טבלת רשימה 7 צבעונית - הדגשה 41"/>
    <w:rsid w:val="00B55994"/>
    <w:rPr>
      <w:color w:val="5F497A"/>
      <w:lang w:bidi="he-IL"/>
    </w:rPr>
    <w:tblPr>
      <w:tblStyleRowBandSize w:val="1"/>
      <w:tblStyleColBandSize w:val="1"/>
      <w:tblInd w:w="0" w:type="dxa"/>
      <w:tblCellMar>
        <w:top w:w="0" w:type="dxa"/>
        <w:left w:w="108" w:type="dxa"/>
        <w:bottom w:w="0" w:type="dxa"/>
        <w:right w:w="108" w:type="dxa"/>
      </w:tblCellMar>
    </w:tblPr>
  </w:style>
  <w:style w:type="table" w:customStyle="1" w:styleId="7-51">
    <w:name w:val="טבלת רשימה 7 צבעונית - הדגשה 51"/>
    <w:rsid w:val="00B55994"/>
    <w:rPr>
      <w:color w:val="31849B"/>
      <w:lang w:bidi="he-IL"/>
    </w:rPr>
    <w:tblPr>
      <w:tblStyleRowBandSize w:val="1"/>
      <w:tblStyleColBandSize w:val="1"/>
      <w:tblInd w:w="0" w:type="dxa"/>
      <w:tblCellMar>
        <w:top w:w="0" w:type="dxa"/>
        <w:left w:w="108" w:type="dxa"/>
        <w:bottom w:w="0" w:type="dxa"/>
        <w:right w:w="108" w:type="dxa"/>
      </w:tblCellMar>
    </w:tblPr>
  </w:style>
  <w:style w:type="table" w:customStyle="1" w:styleId="7-61">
    <w:name w:val="טבלת רשימה 7 צבעונית - הדגשה 61"/>
    <w:rsid w:val="00B55994"/>
    <w:rPr>
      <w:color w:val="E36C0A"/>
      <w:lang w:bidi="he-IL"/>
    </w:rPr>
    <w:tblPr>
      <w:tblStyleRowBandSize w:val="1"/>
      <w:tblStyleColBandSize w:val="1"/>
      <w:tblInd w:w="0" w:type="dxa"/>
      <w:tblCellMar>
        <w:top w:w="0" w:type="dxa"/>
        <w:left w:w="108" w:type="dxa"/>
        <w:bottom w:w="0" w:type="dxa"/>
        <w:right w:w="108" w:type="dxa"/>
      </w:tblCellMar>
    </w:tblPr>
  </w:style>
  <w:style w:type="table" w:customStyle="1" w:styleId="114">
    <w:name w:val="טבלת רשת 1 בהירה1"/>
    <w:rsid w:val="00B55994"/>
    <w:rPr>
      <w:lang w:bidi="he-I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1">
    <w:name w:val="טבלת רשת 1 בהירה - הדגשה 11"/>
    <w:rsid w:val="00B55994"/>
    <w:rPr>
      <w:lang w:bidi="he-IL"/>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1-211">
    <w:name w:val="טבלת רשת 1 בהירה - הדגשה 21"/>
    <w:rsid w:val="00B55994"/>
    <w:rPr>
      <w:lang w:bidi="he-IL"/>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style>
  <w:style w:type="table" w:customStyle="1" w:styleId="1-311">
    <w:name w:val="טבלת רשת 1 בהירה - הדגשה 31"/>
    <w:rsid w:val="00B55994"/>
    <w:rPr>
      <w:lang w:bidi="he-IL"/>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1-411">
    <w:name w:val="טבלת רשת 1 בהירה - הדגשה 41"/>
    <w:rsid w:val="00B55994"/>
    <w:rPr>
      <w:lang w:bidi="he-IL"/>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style>
  <w:style w:type="table" w:customStyle="1" w:styleId="1-511">
    <w:name w:val="טבלת רשת 1 בהירה - הדגשה 51"/>
    <w:rsid w:val="00B55994"/>
    <w:rPr>
      <w:lang w:bidi="he-IL"/>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1-611">
    <w:name w:val="טבלת רשת 1 בהירה - הדגשה 61"/>
    <w:rsid w:val="00B55994"/>
    <w:rPr>
      <w:lang w:bidi="he-IL"/>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3">
    <w:name w:val="טבלת רשת 21"/>
    <w:rsid w:val="00B55994"/>
    <w:rPr>
      <w:lang w:bidi="he-IL"/>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2-111">
    <w:name w:val="טבלת רשת 2 - הדגשה 11"/>
    <w:rsid w:val="00B55994"/>
    <w:rPr>
      <w:lang w:bidi="he-IL"/>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customStyle="1" w:styleId="2-211">
    <w:name w:val="טבלת רשת 2 - הדגשה 21"/>
    <w:rsid w:val="00B55994"/>
    <w:rPr>
      <w:lang w:bidi="he-IL"/>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style>
  <w:style w:type="table" w:customStyle="1" w:styleId="2-311">
    <w:name w:val="טבלת רשת 2 - הדגשה 31"/>
    <w:rsid w:val="00B55994"/>
    <w:rPr>
      <w:lang w:bidi="he-IL"/>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table" w:customStyle="1" w:styleId="2-410">
    <w:name w:val="טבלת רשת 2 - הדגשה 41"/>
    <w:rsid w:val="00B55994"/>
    <w:rPr>
      <w:lang w:bidi="he-IL"/>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style>
  <w:style w:type="table" w:customStyle="1" w:styleId="2-511">
    <w:name w:val="טבלת רשת 2 - הדגשה 51"/>
    <w:rsid w:val="00B55994"/>
    <w:rPr>
      <w:lang w:bidi="he-IL"/>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style>
  <w:style w:type="table" w:customStyle="1" w:styleId="2-611">
    <w:name w:val="טבלת רשת 2 - הדגשה 61"/>
    <w:rsid w:val="00B55994"/>
    <w:rPr>
      <w:lang w:bidi="he-IL"/>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311">
    <w:name w:val="טבלת רשת 31"/>
    <w:rsid w:val="00B55994"/>
    <w:rPr>
      <w:lang w:bidi="he-I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3-110">
    <w:name w:val="טבלת רשת 3 - הדגשה 11"/>
    <w:rsid w:val="00B55994"/>
    <w:rPr>
      <w:lang w:bidi="he-I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3-210">
    <w:name w:val="טבלת רשת 3 - הדגשה 21"/>
    <w:rsid w:val="00B55994"/>
    <w:rPr>
      <w:lang w:bidi="he-IL"/>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3-310">
    <w:name w:val="טבלת רשת 3 - הדגשה 31"/>
    <w:rsid w:val="00B55994"/>
    <w:rPr>
      <w:lang w:bidi="he-IL"/>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3-410">
    <w:name w:val="טבלת רשת 3 - הדגשה 41"/>
    <w:rsid w:val="00B55994"/>
    <w:rPr>
      <w:lang w:bidi="he-I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3-510">
    <w:name w:val="טבלת רשת 3 - הדגשה 51"/>
    <w:rsid w:val="00B55994"/>
    <w:rPr>
      <w:lang w:bidi="he-I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3-610">
    <w:name w:val="טבלת רשת 3 - הדגשה 61"/>
    <w:rsid w:val="00B55994"/>
    <w:rPr>
      <w:lang w:bidi="he-I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411">
    <w:name w:val="טבלת רשת 41"/>
    <w:rsid w:val="00B55994"/>
    <w:rPr>
      <w:lang w:bidi="he-I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4-110">
    <w:name w:val="טבלת רשת 4 - הדגשה 11"/>
    <w:rsid w:val="00B55994"/>
    <w:rPr>
      <w:lang w:bidi="he-I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210">
    <w:name w:val="טבלת רשת 4 - הדגשה 21"/>
    <w:rsid w:val="00B55994"/>
    <w:rPr>
      <w:lang w:bidi="he-IL"/>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4-310">
    <w:name w:val="טבלת רשת 4 - הדגשה 31"/>
    <w:rsid w:val="00B55994"/>
    <w:rPr>
      <w:lang w:bidi="he-IL"/>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4-410">
    <w:name w:val="טבלת רשת 4 - הדגשה 41"/>
    <w:rsid w:val="00B55994"/>
    <w:rPr>
      <w:lang w:bidi="he-I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4-510">
    <w:name w:val="טבלת רשת 4 - הדגשה 51"/>
    <w:rsid w:val="00B55994"/>
    <w:rPr>
      <w:lang w:bidi="he-I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4-610">
    <w:name w:val="טבלת רשת 4 - הדגשה 61"/>
    <w:rsid w:val="00B55994"/>
    <w:rPr>
      <w:lang w:bidi="he-I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511">
    <w:name w:val="טבלת רשת 5 כהה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5-110">
    <w:name w:val="טבלת רשת 5 כהה - הדגשה 1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style>
  <w:style w:type="table" w:customStyle="1" w:styleId="5-210">
    <w:name w:val="טבלת רשת 5 כהה - הדגשה 2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310">
    <w:name w:val="טבלת רשת 5 כהה - הדגשה 3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5-410">
    <w:name w:val="טבלת רשת 5 כהה - הדגשה 4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510">
    <w:name w:val="טבלת רשת 5 כהה - הדגשה 5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610">
    <w:name w:val="טבלת רשת 5 כהה - הדגשה 61"/>
    <w:rsid w:val="00B55994"/>
    <w:rPr>
      <w:lang w:bidi="he-I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610">
    <w:name w:val="טבלת רשת 6 צבעונית1"/>
    <w:rsid w:val="00B55994"/>
    <w:rPr>
      <w:color w:val="000000"/>
      <w:lang w:bidi="he-I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6-110">
    <w:name w:val="טבלת רשת 6 צבעונית - הדגשה 11"/>
    <w:rsid w:val="00B55994"/>
    <w:rPr>
      <w:color w:val="365F91"/>
      <w:lang w:bidi="he-I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6-210">
    <w:name w:val="טבלת רשת 6 צבעונית - הדגשה 21"/>
    <w:rsid w:val="00B55994"/>
    <w:rPr>
      <w:color w:val="943634"/>
      <w:lang w:bidi="he-IL"/>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6-310">
    <w:name w:val="טבלת רשת 6 צבעונית - הדגשה 31"/>
    <w:rsid w:val="00B55994"/>
    <w:rPr>
      <w:color w:val="76923C"/>
      <w:lang w:bidi="he-IL"/>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6-410">
    <w:name w:val="טבלת רשת 6 צבעונית - הדגשה 41"/>
    <w:rsid w:val="00B55994"/>
    <w:rPr>
      <w:color w:val="5F497A"/>
      <w:lang w:bidi="he-I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6-510">
    <w:name w:val="טבלת רשת 6 צבעונית - הדגשה 51"/>
    <w:rsid w:val="00B55994"/>
    <w:rPr>
      <w:color w:val="31849B"/>
      <w:lang w:bidi="he-I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6-610">
    <w:name w:val="טבלת רשת 6 צבעונית - הדגשה 61"/>
    <w:rsid w:val="00B55994"/>
    <w:rPr>
      <w:color w:val="E36C0A"/>
      <w:lang w:bidi="he-I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710">
    <w:name w:val="טבלת רשת 7 צבעונית1"/>
    <w:rsid w:val="00B55994"/>
    <w:rPr>
      <w:color w:val="000000"/>
      <w:lang w:bidi="he-I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7-110">
    <w:name w:val="טבלת רשת 7 צבעונית - הדגשה 11"/>
    <w:rsid w:val="00B55994"/>
    <w:rPr>
      <w:color w:val="365F91"/>
      <w:lang w:bidi="he-I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7-210">
    <w:name w:val="טבלת רשת 7 צבעונית - הדגשה 21"/>
    <w:rsid w:val="00B55994"/>
    <w:rPr>
      <w:color w:val="943634"/>
      <w:lang w:bidi="he-IL"/>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7-310">
    <w:name w:val="טבלת רשת 7 צבעונית - הדגשה 31"/>
    <w:rsid w:val="00B55994"/>
    <w:rPr>
      <w:color w:val="76923C"/>
      <w:lang w:bidi="he-IL"/>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7-410">
    <w:name w:val="טבלת רשת 7 צבעונית - הדגשה 41"/>
    <w:rsid w:val="00B55994"/>
    <w:rPr>
      <w:color w:val="5F497A"/>
      <w:lang w:bidi="he-I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7-510">
    <w:name w:val="טבלת רשת 7 צבעונית - הדגשה 51"/>
    <w:rsid w:val="00B55994"/>
    <w:rPr>
      <w:color w:val="31849B"/>
      <w:lang w:bidi="he-I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7-610">
    <w:name w:val="טבלת רשת 7 צבעונית - הדגשה 61"/>
    <w:rsid w:val="00B55994"/>
    <w:rPr>
      <w:color w:val="E36C0A"/>
      <w:lang w:bidi="he-I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paragraph" w:styleId="BlockText">
    <w:name w:val="Block Text"/>
    <w:basedOn w:val="Normal"/>
    <w:semiHidden/>
    <w:locked/>
    <w:rsid w:val="00B55994"/>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EndnoteText">
    <w:name w:val="endnote text"/>
    <w:basedOn w:val="Normal"/>
    <w:link w:val="a9"/>
    <w:semiHidden/>
    <w:locked/>
    <w:rsid w:val="00B55994"/>
    <w:rPr>
      <w:sz w:val="20"/>
      <w:szCs w:val="20"/>
    </w:rPr>
  </w:style>
  <w:style w:type="character" w:customStyle="1" w:styleId="a9">
    <w:name w:val="טקסט הערת סיום תו"/>
    <w:link w:val="EndnoteText"/>
    <w:semiHidden/>
    <w:locked/>
    <w:rsid w:val="00B55994"/>
  </w:style>
  <w:style w:type="paragraph" w:styleId="FootnoteText">
    <w:name w:val="footnote text"/>
    <w:basedOn w:val="Normal"/>
    <w:link w:val="a10"/>
    <w:semiHidden/>
    <w:locked/>
    <w:rsid w:val="00B55994"/>
    <w:rPr>
      <w:sz w:val="20"/>
      <w:szCs w:val="20"/>
    </w:rPr>
  </w:style>
  <w:style w:type="character" w:customStyle="1" w:styleId="a10">
    <w:name w:val="טקסט הערת שוליים תו"/>
    <w:link w:val="FootnoteText"/>
    <w:semiHidden/>
    <w:locked/>
    <w:rsid w:val="00B55994"/>
  </w:style>
  <w:style w:type="paragraph" w:styleId="Macro">
    <w:name w:val="macro"/>
    <w:link w:val="a11"/>
    <w:semiHidden/>
    <w:locked/>
    <w:rsid w:val="00B55994"/>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11">
    <w:name w:val="טקסט מאקרו תו"/>
    <w:link w:val="Macro"/>
    <w:semiHidden/>
    <w:locked/>
    <w:rsid w:val="00B55994"/>
    <w:rPr>
      <w:rFonts w:ascii="Consolas" w:hAnsi="Consolas"/>
    </w:rPr>
  </w:style>
  <w:style w:type="paragraph" w:styleId="PlainText">
    <w:name w:val="Plain Text"/>
    <w:basedOn w:val="Normal"/>
    <w:link w:val="a12"/>
    <w:semiHidden/>
    <w:locked/>
    <w:rsid w:val="00B55994"/>
    <w:rPr>
      <w:rFonts w:ascii="Consolas" w:hAnsi="Consolas"/>
      <w:sz w:val="21"/>
      <w:szCs w:val="21"/>
    </w:rPr>
  </w:style>
  <w:style w:type="character" w:customStyle="1" w:styleId="a12">
    <w:name w:val="טקסט רגיל תו"/>
    <w:link w:val="PlainText"/>
    <w:semiHidden/>
    <w:locked/>
    <w:rsid w:val="00B55994"/>
    <w:rPr>
      <w:rFonts w:ascii="Consolas" w:hAnsi="Consolas"/>
      <w:sz w:val="21"/>
    </w:rPr>
  </w:style>
  <w:style w:type="character" w:customStyle="1" w:styleId="115">
    <w:name w:val="כותר הספר1"/>
    <w:qFormat/>
    <w:rsid w:val="00B55994"/>
    <w:rPr>
      <w:b/>
      <w:i/>
      <w:spacing w:val="5"/>
    </w:rPr>
  </w:style>
  <w:style w:type="character" w:customStyle="1" w:styleId="116">
    <w:name w:val="כותרת 1 תו"/>
    <w:link w:val="Heading1"/>
    <w:locked/>
    <w:rsid w:val="00BF66E2"/>
    <w:rPr>
      <w:rFonts w:ascii="Miriam" w:hAnsi="Miriam"/>
      <w:sz w:val="28"/>
    </w:rPr>
  </w:style>
  <w:style w:type="character" w:customStyle="1" w:styleId="30">
    <w:name w:val="כותרת 3 תו"/>
    <w:link w:val="Heading3"/>
    <w:semiHidden/>
    <w:locked/>
    <w:rsid w:val="00B55994"/>
    <w:rPr>
      <w:rFonts w:ascii="Cambria" w:hAnsi="Cambria"/>
      <w:color w:val="243F60"/>
      <w:sz w:val="24"/>
    </w:rPr>
  </w:style>
  <w:style w:type="character" w:customStyle="1" w:styleId="5">
    <w:name w:val="כותרת 5 תו"/>
    <w:link w:val="Heading5"/>
    <w:semiHidden/>
    <w:locked/>
    <w:rsid w:val="00B55994"/>
    <w:rPr>
      <w:rFonts w:ascii="Cambria" w:hAnsi="Cambria"/>
      <w:color w:val="365F91"/>
      <w:sz w:val="24"/>
    </w:rPr>
  </w:style>
  <w:style w:type="character" w:customStyle="1" w:styleId="6">
    <w:name w:val="כותרת 6 תו"/>
    <w:link w:val="Heading6"/>
    <w:semiHidden/>
    <w:locked/>
    <w:rsid w:val="00B55994"/>
    <w:rPr>
      <w:rFonts w:ascii="Cambria" w:hAnsi="Cambria"/>
      <w:color w:val="243F60"/>
      <w:sz w:val="24"/>
    </w:rPr>
  </w:style>
  <w:style w:type="character" w:customStyle="1" w:styleId="7">
    <w:name w:val="כותרת 7 תו"/>
    <w:link w:val="Heading7"/>
    <w:semiHidden/>
    <w:locked/>
    <w:rsid w:val="00B55994"/>
    <w:rPr>
      <w:rFonts w:ascii="Cambria" w:hAnsi="Cambria"/>
      <w:i/>
      <w:color w:val="243F60"/>
      <w:sz w:val="24"/>
    </w:rPr>
  </w:style>
  <w:style w:type="character" w:customStyle="1" w:styleId="8">
    <w:name w:val="כותרת 8 תו"/>
    <w:link w:val="Heading8"/>
    <w:semiHidden/>
    <w:locked/>
    <w:rsid w:val="00B55994"/>
    <w:rPr>
      <w:rFonts w:ascii="Cambria" w:hAnsi="Cambria"/>
      <w:color w:val="272727"/>
      <w:sz w:val="21"/>
    </w:rPr>
  </w:style>
  <w:style w:type="character" w:customStyle="1" w:styleId="9">
    <w:name w:val="כותרת 9 תו"/>
    <w:link w:val="Heading9"/>
    <w:semiHidden/>
    <w:locked/>
    <w:rsid w:val="00B55994"/>
    <w:rPr>
      <w:rFonts w:ascii="Cambria" w:hAnsi="Cambria"/>
      <w:i/>
      <w:color w:val="272727"/>
      <w:sz w:val="21"/>
    </w:rPr>
  </w:style>
  <w:style w:type="paragraph" w:styleId="IndexHeading">
    <w:name w:val="index heading"/>
    <w:basedOn w:val="Normal"/>
    <w:next w:val="Index1"/>
    <w:semiHidden/>
    <w:locked/>
    <w:rsid w:val="00B55994"/>
    <w:rPr>
      <w:rFonts w:ascii="Cambria" w:hAnsi="Cambria" w:cs="Times New Roman"/>
      <w:b/>
      <w:bCs/>
    </w:rPr>
  </w:style>
  <w:style w:type="paragraph" w:styleId="NoteHeading">
    <w:name w:val="Note Heading"/>
    <w:basedOn w:val="Normal"/>
    <w:next w:val="Normal"/>
    <w:link w:val="a13"/>
    <w:semiHidden/>
    <w:locked/>
    <w:rsid w:val="00B55994"/>
  </w:style>
  <w:style w:type="character" w:customStyle="1" w:styleId="a13">
    <w:name w:val="כותרת הערות תו"/>
    <w:link w:val="NoteHeading"/>
    <w:semiHidden/>
    <w:locked/>
    <w:rsid w:val="00B55994"/>
    <w:rPr>
      <w:sz w:val="24"/>
    </w:rPr>
  </w:style>
  <w:style w:type="paragraph" w:styleId="Title">
    <w:name w:val="Title"/>
    <w:basedOn w:val="Normal"/>
    <w:next w:val="Normal"/>
    <w:link w:val="a14"/>
    <w:qFormat/>
    <w:locked/>
    <w:rsid w:val="00B55994"/>
    <w:pPr>
      <w:contextualSpacing/>
    </w:pPr>
    <w:rPr>
      <w:rFonts w:ascii="Cambria" w:hAnsi="Cambria" w:cs="Times New Roman"/>
      <w:spacing w:val="-10"/>
      <w:kern w:val="28"/>
      <w:sz w:val="56"/>
      <w:szCs w:val="56"/>
    </w:rPr>
  </w:style>
  <w:style w:type="character" w:customStyle="1" w:styleId="a14">
    <w:name w:val="כותרת טקסט תו"/>
    <w:link w:val="Title"/>
    <w:locked/>
    <w:rsid w:val="00B55994"/>
    <w:rPr>
      <w:rFonts w:ascii="Cambria" w:hAnsi="Cambria"/>
      <w:spacing w:val="-10"/>
      <w:kern w:val="28"/>
      <w:sz w:val="56"/>
    </w:rPr>
  </w:style>
  <w:style w:type="paragraph" w:styleId="Subtitle">
    <w:name w:val="Subtitle"/>
    <w:basedOn w:val="Normal"/>
    <w:next w:val="Normal"/>
    <w:link w:val="a15"/>
    <w:qFormat/>
    <w:locked/>
    <w:rsid w:val="00B55994"/>
    <w:pPr>
      <w:numPr>
        <w:ilvl w:val="1"/>
      </w:numPr>
      <w:spacing w:after="160"/>
    </w:pPr>
    <w:rPr>
      <w:rFonts w:ascii="Calibri" w:hAnsi="Calibri" w:cs="Arial"/>
      <w:color w:val="5A5A5A"/>
      <w:spacing w:val="15"/>
      <w:sz w:val="22"/>
      <w:szCs w:val="22"/>
    </w:rPr>
  </w:style>
  <w:style w:type="character" w:customStyle="1" w:styleId="a15">
    <w:name w:val="כותרת משנה תו"/>
    <w:link w:val="Subtitle"/>
    <w:locked/>
    <w:rsid w:val="00B55994"/>
    <w:rPr>
      <w:rFonts w:ascii="Calibri" w:hAnsi="Calibri"/>
      <w:color w:val="5A5A5A"/>
      <w:spacing w:val="15"/>
      <w:sz w:val="22"/>
    </w:rPr>
  </w:style>
  <w:style w:type="paragraph" w:styleId="MessageHeader">
    <w:name w:val="Message Header"/>
    <w:basedOn w:val="Normal"/>
    <w:link w:val="a16"/>
    <w:semiHidden/>
    <w:locked/>
    <w:rsid w:val="00B559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16">
    <w:name w:val="כותרת עליונה של הודעה תו"/>
    <w:link w:val="MessageHeader"/>
    <w:semiHidden/>
    <w:locked/>
    <w:rsid w:val="00B55994"/>
    <w:rPr>
      <w:rFonts w:ascii="Cambria" w:hAnsi="Cambria"/>
      <w:sz w:val="24"/>
      <w:shd w:val="pct20" w:color="auto" w:fill="auto"/>
    </w:rPr>
  </w:style>
  <w:style w:type="paragraph" w:styleId="TOAHeading">
    <w:name w:val="toa heading"/>
    <w:basedOn w:val="Normal"/>
    <w:next w:val="Normal"/>
    <w:semiHidden/>
    <w:locked/>
    <w:rsid w:val="00B55994"/>
    <w:pPr>
      <w:spacing w:before="120"/>
    </w:pPr>
    <w:rPr>
      <w:rFonts w:ascii="Cambria" w:hAnsi="Cambria" w:cs="Times New Roman"/>
      <w:b/>
      <w:bCs/>
    </w:rPr>
  </w:style>
  <w:style w:type="paragraph" w:customStyle="1" w:styleId="117">
    <w:name w:val="כותרת תוכן עניינים1"/>
    <w:basedOn w:val="Heading1"/>
    <w:next w:val="Normal"/>
    <w:qFormat/>
    <w:rsid w:val="00B55994"/>
    <w:pPr>
      <w:outlineLvl w:val="9"/>
    </w:pPr>
  </w:style>
  <w:style w:type="paragraph" w:styleId="Caption">
    <w:name w:val="caption"/>
    <w:basedOn w:val="Normal"/>
    <w:next w:val="Normal"/>
    <w:qFormat/>
    <w:locked/>
    <w:rsid w:val="00B55994"/>
    <w:pPr>
      <w:spacing w:after="200"/>
    </w:pPr>
    <w:rPr>
      <w:i/>
      <w:iCs/>
      <w:color w:val="1F497D"/>
      <w:sz w:val="18"/>
      <w:szCs w:val="18"/>
    </w:rPr>
  </w:style>
  <w:style w:type="paragraph" w:styleId="BodyTextIndent">
    <w:name w:val="Body Text Indent"/>
    <w:basedOn w:val="Normal"/>
    <w:link w:val="a17"/>
    <w:semiHidden/>
    <w:locked/>
    <w:rsid w:val="00B55994"/>
    <w:pPr>
      <w:spacing w:after="120"/>
      <w:ind w:left="283"/>
    </w:pPr>
  </w:style>
  <w:style w:type="character" w:customStyle="1" w:styleId="a17">
    <w:name w:val="כניסה בגוף טקסט תו"/>
    <w:link w:val="BodyTextIndent"/>
    <w:semiHidden/>
    <w:locked/>
    <w:rsid w:val="00B55994"/>
    <w:rPr>
      <w:sz w:val="24"/>
    </w:rPr>
  </w:style>
  <w:style w:type="paragraph" w:styleId="BodyTextIndent2">
    <w:name w:val="Body Text Indent 2"/>
    <w:basedOn w:val="Normal"/>
    <w:link w:val="22"/>
    <w:semiHidden/>
    <w:locked/>
    <w:rsid w:val="00B55994"/>
    <w:pPr>
      <w:spacing w:after="120" w:line="480" w:lineRule="auto"/>
      <w:ind w:left="283"/>
    </w:pPr>
  </w:style>
  <w:style w:type="character" w:customStyle="1" w:styleId="22">
    <w:name w:val="כניסה בגוף טקסט 2 תו"/>
    <w:link w:val="BodyTextIndent2"/>
    <w:semiHidden/>
    <w:locked/>
    <w:rsid w:val="00B55994"/>
    <w:rPr>
      <w:sz w:val="24"/>
    </w:rPr>
  </w:style>
  <w:style w:type="paragraph" w:styleId="BodyTextIndent3">
    <w:name w:val="Body Text Indent 3"/>
    <w:basedOn w:val="Normal"/>
    <w:link w:val="32"/>
    <w:semiHidden/>
    <w:locked/>
    <w:rsid w:val="00B55994"/>
    <w:pPr>
      <w:spacing w:after="120"/>
      <w:ind w:left="283"/>
    </w:pPr>
    <w:rPr>
      <w:sz w:val="16"/>
      <w:szCs w:val="16"/>
    </w:rPr>
  </w:style>
  <w:style w:type="character" w:customStyle="1" w:styleId="32">
    <w:name w:val="כניסה בגוף טקסט 3 תו"/>
    <w:link w:val="BodyTextIndent3"/>
    <w:semiHidden/>
    <w:locked/>
    <w:rsid w:val="00B55994"/>
    <w:rPr>
      <w:sz w:val="16"/>
    </w:rPr>
  </w:style>
  <w:style w:type="paragraph" w:styleId="NormalIndent">
    <w:name w:val="Normal Indent"/>
    <w:basedOn w:val="Normal"/>
    <w:semiHidden/>
    <w:locked/>
    <w:rsid w:val="00B55994"/>
    <w:pPr>
      <w:ind w:left="720"/>
    </w:pPr>
  </w:style>
  <w:style w:type="paragraph" w:styleId="BodyTextFirstIndent">
    <w:name w:val="Body Text First Indent"/>
    <w:basedOn w:val="BodyText"/>
    <w:link w:val="a18"/>
    <w:rsid w:val="00B55994"/>
    <w:pPr>
      <w:spacing w:after="0"/>
      <w:ind w:firstLine="360"/>
    </w:pPr>
  </w:style>
  <w:style w:type="character" w:customStyle="1" w:styleId="a18">
    <w:name w:val="כניסת שורה ראשונה בגוף טקסט תו"/>
    <w:link w:val="BodyTextFirstIndent"/>
    <w:locked/>
    <w:rsid w:val="00B55994"/>
    <w:rPr>
      <w:sz w:val="24"/>
    </w:rPr>
  </w:style>
  <w:style w:type="paragraph" w:styleId="BodyTextFirstIndent2">
    <w:name w:val="Body Text First Indent 2"/>
    <w:basedOn w:val="BodyTextIndent"/>
    <w:link w:val="23"/>
    <w:semiHidden/>
    <w:locked/>
    <w:rsid w:val="00B55994"/>
    <w:pPr>
      <w:spacing w:after="0"/>
      <w:ind w:left="360" w:firstLine="360"/>
    </w:pPr>
  </w:style>
  <w:style w:type="character" w:customStyle="1" w:styleId="23">
    <w:name w:val="כניסת שורה ראשונה בגוף טקסט 2 תו"/>
    <w:link w:val="BodyTextFirstIndent2"/>
    <w:semiHidden/>
    <w:locked/>
    <w:rsid w:val="00B55994"/>
    <w:rPr>
      <w:sz w:val="24"/>
    </w:rPr>
  </w:style>
  <w:style w:type="paragraph" w:styleId="HTMLAddress">
    <w:name w:val="HTML Address"/>
    <w:basedOn w:val="Normal"/>
    <w:link w:val="HTML0"/>
    <w:semiHidden/>
    <w:locked/>
    <w:rsid w:val="00B55994"/>
    <w:rPr>
      <w:i/>
      <w:iCs/>
    </w:rPr>
  </w:style>
  <w:style w:type="character" w:customStyle="1" w:styleId="HTML0">
    <w:name w:val="כתובת HTML תו"/>
    <w:link w:val="HTMLAddress"/>
    <w:semiHidden/>
    <w:locked/>
    <w:rsid w:val="00B55994"/>
    <w:rPr>
      <w:i/>
      <w:sz w:val="24"/>
    </w:rPr>
  </w:style>
  <w:style w:type="paragraph" w:styleId="EnvelopeAddress">
    <w:name w:val="envelope address"/>
    <w:basedOn w:val="Normal"/>
    <w:semiHidden/>
    <w:locked/>
    <w:rsid w:val="00B55994"/>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semiHidden/>
    <w:locked/>
    <w:rsid w:val="00B55994"/>
    <w:rPr>
      <w:rFonts w:ascii="Cambria" w:hAnsi="Cambria" w:cs="Times New Roman"/>
      <w:sz w:val="20"/>
      <w:szCs w:val="20"/>
    </w:rPr>
  </w:style>
  <w:style w:type="paragraph" w:customStyle="1" w:styleId="118">
    <w:name w:val="ללא מרווח1"/>
    <w:qFormat/>
    <w:rsid w:val="00B55994"/>
    <w:pPr>
      <w:bidi/>
    </w:pPr>
    <w:rPr>
      <w:rFonts w:cs="David"/>
      <w:sz w:val="24"/>
      <w:szCs w:val="24"/>
      <w:lang w:bidi="he-IL"/>
    </w:rPr>
  </w:style>
  <w:style w:type="character" w:styleId="HTMLTypewriter">
    <w:name w:val="HTML Typewriter"/>
    <w:semiHidden/>
    <w:locked/>
    <w:rsid w:val="00B55994"/>
    <w:rPr>
      <w:rFonts w:ascii="Consolas" w:hAnsi="Consolas"/>
      <w:sz w:val="20"/>
    </w:rPr>
  </w:style>
  <w:style w:type="paragraph" w:styleId="DocumentMap">
    <w:name w:val="Document Map"/>
    <w:basedOn w:val="Normal"/>
    <w:link w:val="a19"/>
    <w:semiHidden/>
    <w:locked/>
    <w:rsid w:val="00B55994"/>
    <w:rPr>
      <w:rFonts w:ascii="Tahoma" w:hAnsi="Tahoma" w:cs="Tahoma"/>
      <w:sz w:val="16"/>
      <w:szCs w:val="16"/>
    </w:rPr>
  </w:style>
  <w:style w:type="character" w:customStyle="1" w:styleId="a19">
    <w:name w:val="מפת מסמך תו"/>
    <w:link w:val="DocumentMap"/>
    <w:semiHidden/>
    <w:locked/>
    <w:rsid w:val="00B55994"/>
    <w:rPr>
      <w:rFonts w:ascii="Tahoma" w:hAnsi="Tahoma"/>
      <w:sz w:val="16"/>
    </w:rPr>
  </w:style>
  <w:style w:type="character" w:styleId="HTMLKeyboard">
    <w:name w:val="HTML Keyboard"/>
    <w:semiHidden/>
    <w:locked/>
    <w:rsid w:val="00B55994"/>
    <w:rPr>
      <w:rFonts w:ascii="Consolas" w:hAnsi="Consolas"/>
      <w:sz w:val="20"/>
    </w:rPr>
  </w:style>
  <w:style w:type="table" w:styleId="TableTheme">
    <w:name w:val="Table Theme"/>
    <w:basedOn w:val="TableNormal"/>
    <w:semiHidden/>
    <w:locked/>
    <w:rsid w:val="00B55994"/>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a20"/>
    <w:semiHidden/>
    <w:locked/>
    <w:rsid w:val="00B55994"/>
    <w:pPr>
      <w:ind w:left="4252"/>
    </w:pPr>
  </w:style>
  <w:style w:type="character" w:customStyle="1" w:styleId="a20">
    <w:name w:val="סיום תו"/>
    <w:link w:val="Closing"/>
    <w:semiHidden/>
    <w:locked/>
    <w:rsid w:val="00B55994"/>
    <w:rPr>
      <w:sz w:val="24"/>
    </w:rPr>
  </w:style>
  <w:style w:type="table" w:styleId="TableColumns1">
    <w:name w:val="Table Columns 1"/>
    <w:basedOn w:val="TableNormal"/>
    <w:semiHidden/>
    <w:locked/>
    <w:rsid w:val="00B55994"/>
    <w:pPr>
      <w:bidi/>
    </w:pPr>
    <w:rPr>
      <w:b/>
      <w:bCs/>
      <w:lang w:bidi="he-I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B55994"/>
    <w:pPr>
      <w:bidi/>
    </w:pPr>
    <w:rPr>
      <w:b/>
      <w:bCs/>
      <w:lang w:bidi="he-I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B55994"/>
    <w:pPr>
      <w:bidi/>
    </w:pPr>
    <w:rPr>
      <w:b/>
      <w:bCs/>
      <w:lang w:bidi="he-I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B55994"/>
    <w:pPr>
      <w:bidi/>
    </w:pPr>
    <w:rPr>
      <w:lang w:bidi="he-I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B55994"/>
    <w:pPr>
      <w:bidi/>
    </w:pPr>
    <w:rPr>
      <w:lang w:bidi="he-I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119">
    <w:name w:val="ציטוט1"/>
    <w:basedOn w:val="Normal"/>
    <w:next w:val="Normal"/>
    <w:link w:val="QuoteChar"/>
    <w:qFormat/>
    <w:rsid w:val="00B55994"/>
    <w:pPr>
      <w:spacing w:before="200" w:after="160"/>
      <w:ind w:left="864" w:right="864"/>
      <w:jc w:val="center"/>
    </w:pPr>
    <w:rPr>
      <w:i/>
      <w:iCs/>
      <w:color w:val="404040"/>
    </w:rPr>
  </w:style>
  <w:style w:type="character" w:customStyle="1" w:styleId="QuoteChar">
    <w:name w:val="Quote Char"/>
    <w:link w:val="119"/>
    <w:locked/>
    <w:rsid w:val="00B55994"/>
    <w:rPr>
      <w:i/>
      <w:color w:val="404040"/>
      <w:sz w:val="24"/>
    </w:rPr>
  </w:style>
  <w:style w:type="paragraph" w:customStyle="1" w:styleId="120">
    <w:name w:val="ציטוט חזק1"/>
    <w:basedOn w:val="Normal"/>
    <w:next w:val="Normal"/>
    <w:link w:val="IntenseQuoteChar"/>
    <w:qFormat/>
    <w:rsid w:val="00B5599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20"/>
    <w:locked/>
    <w:rsid w:val="00B55994"/>
    <w:rPr>
      <w:i/>
      <w:color w:val="4F81BD"/>
      <w:sz w:val="24"/>
    </w:rPr>
  </w:style>
  <w:style w:type="character" w:styleId="HTMLAcronym">
    <w:name w:val="HTML Acronym"/>
    <w:basedOn w:val="DefaultParagraphFont"/>
    <w:semiHidden/>
    <w:locked/>
    <w:rsid w:val="00B55994"/>
  </w:style>
  <w:style w:type="paragraph" w:styleId="List">
    <w:name w:val="List"/>
    <w:basedOn w:val="Normal"/>
    <w:semiHidden/>
    <w:locked/>
    <w:rsid w:val="00B55994"/>
    <w:pPr>
      <w:ind w:left="283" w:hanging="283"/>
      <w:contextualSpacing/>
    </w:pPr>
  </w:style>
  <w:style w:type="paragraph" w:styleId="List2">
    <w:name w:val="List 2"/>
    <w:basedOn w:val="Normal"/>
    <w:semiHidden/>
    <w:locked/>
    <w:rsid w:val="00B55994"/>
    <w:pPr>
      <w:ind w:left="566" w:hanging="283"/>
      <w:contextualSpacing/>
    </w:pPr>
  </w:style>
  <w:style w:type="paragraph" w:styleId="List3">
    <w:name w:val="List 3"/>
    <w:basedOn w:val="Normal"/>
    <w:semiHidden/>
    <w:locked/>
    <w:rsid w:val="00B55994"/>
    <w:pPr>
      <w:ind w:left="849" w:hanging="283"/>
      <w:contextualSpacing/>
    </w:pPr>
  </w:style>
  <w:style w:type="paragraph" w:styleId="List4">
    <w:name w:val="List 4"/>
    <w:basedOn w:val="Normal"/>
    <w:rsid w:val="00B55994"/>
    <w:pPr>
      <w:ind w:left="1132" w:hanging="283"/>
      <w:contextualSpacing/>
    </w:pPr>
  </w:style>
  <w:style w:type="paragraph" w:styleId="List5">
    <w:name w:val="List 5"/>
    <w:basedOn w:val="Normal"/>
    <w:rsid w:val="00B55994"/>
    <w:pPr>
      <w:ind w:left="1415" w:hanging="283"/>
      <w:contextualSpacing/>
    </w:pPr>
  </w:style>
  <w:style w:type="table" w:customStyle="1" w:styleId="121">
    <w:name w:val="רשימה בהירה1"/>
    <w:semiHidden/>
    <w:rsid w:val="00B55994"/>
    <w:rPr>
      <w:lang w:bidi="he-I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רשימה בהירה - הדגשה 11"/>
    <w:semiHidden/>
    <w:rsid w:val="00B55994"/>
    <w:rPr>
      <w:lang w:bidi="he-I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
    <w:name w:val="רשימה בהירה - הדגשה 21"/>
    <w:semiHidden/>
    <w:rsid w:val="00B55994"/>
    <w:rPr>
      <w:lang w:bidi="he-I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311">
    <w:name w:val="רשימה בהירה - הדגשה 31"/>
    <w:semiHidden/>
    <w:rsid w:val="00B55994"/>
    <w:rPr>
      <w:lang w:bidi="he-I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412">
    <w:name w:val="רשימה בהירה - הדגשה 41"/>
    <w:semiHidden/>
    <w:rsid w:val="00B55994"/>
    <w:rPr>
      <w:lang w:bidi="he-I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511">
    <w:name w:val="רשימה בהירה - הדגשה 51"/>
    <w:semiHidden/>
    <w:rsid w:val="00B55994"/>
    <w:rPr>
      <w:lang w:bidi="he-I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611">
    <w:name w:val="רשימה בהירה - הדגשה 61"/>
    <w:semiHidden/>
    <w:rsid w:val="00B55994"/>
    <w:rPr>
      <w:lang w:bidi="he-I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TableList1">
    <w:name w:val="Table List 1"/>
    <w:basedOn w:val="TableNormal"/>
    <w:semiHidden/>
    <w:locked/>
    <w:rsid w:val="00B55994"/>
    <w:pPr>
      <w:bidi/>
    </w:pPr>
    <w:rPr>
      <w:lang w:bidi="he-I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B55994"/>
    <w:pPr>
      <w:bidi/>
    </w:pPr>
    <w:rPr>
      <w:lang w:bidi="he-I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B55994"/>
    <w:pPr>
      <w:bidi/>
    </w:pPr>
    <w:rPr>
      <w:lang w:bidi="he-I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55994"/>
    <w:pPr>
      <w:bidi/>
    </w:pPr>
    <w:rPr>
      <w:lang w:bidi="he-I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55994"/>
    <w:pPr>
      <w:bidi/>
    </w:pPr>
    <w:rPr>
      <w:lang w:bidi="he-I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B55994"/>
    <w:pPr>
      <w:bidi/>
    </w:pPr>
    <w:rPr>
      <w:lang w:bidi="he-I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55994"/>
    <w:pPr>
      <w:bidi/>
    </w:pPr>
    <w:rPr>
      <w:lang w:bidi="he-I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55994"/>
    <w:pPr>
      <w:bidi/>
    </w:pPr>
    <w:rPr>
      <w:lang w:bidi="he-I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0">
    <w:name w:val="רשימה בינונית 11"/>
    <w:semiHidden/>
    <w:rsid w:val="00B55994"/>
    <w:rPr>
      <w:color w:val="000000"/>
      <w:lang w:bidi="he-I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רשימה בינונית 1 - הדגשה 11"/>
    <w:semiHidden/>
    <w:rsid w:val="00B55994"/>
    <w:rPr>
      <w:color w:val="000000"/>
      <w:lang w:bidi="he-I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רשימה בינונית 1 - הדגשה 21"/>
    <w:semiHidden/>
    <w:rsid w:val="00B55994"/>
    <w:rPr>
      <w:color w:val="000000"/>
      <w:lang w:bidi="he-IL"/>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1-312">
    <w:name w:val="רשימה בינונית 1 - הדגשה 31"/>
    <w:semiHidden/>
    <w:rsid w:val="00B55994"/>
    <w:rPr>
      <w:color w:val="000000"/>
      <w:lang w:bidi="he-I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412">
    <w:name w:val="רשימה בינונית 1 - הדגשה 41"/>
    <w:semiHidden/>
    <w:rsid w:val="00B55994"/>
    <w:rPr>
      <w:color w:val="000000"/>
      <w:lang w:bidi="he-I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512">
    <w:name w:val="רשימה בינונית 1- הדגשה 51"/>
    <w:semiHidden/>
    <w:rsid w:val="00B55994"/>
    <w:rPr>
      <w:color w:val="000000"/>
      <w:lang w:bidi="he-I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1-612">
    <w:name w:val="רשימה בינונית 1- הדגשה 61"/>
    <w:semiHidden/>
    <w:rsid w:val="00B55994"/>
    <w:rPr>
      <w:color w:val="000000"/>
      <w:lang w:bidi="he-I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214">
    <w:name w:val="רשימה בינונית 21"/>
    <w:semiHidden/>
    <w:rsid w:val="00B55994"/>
    <w:rPr>
      <w:rFonts w:ascii="Cambria" w:hAnsi="Cambria"/>
      <w:color w:val="000000"/>
      <w:lang w:bidi="he-I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2">
    <w:name w:val="רשימה בינונית 2 - הדגשה 11"/>
    <w:semiHidden/>
    <w:rsid w:val="00B55994"/>
    <w:rPr>
      <w:rFonts w:ascii="Cambria" w:hAnsi="Cambria"/>
      <w:color w:val="000000"/>
      <w:lang w:bidi="he-I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12">
    <w:name w:val="רשימה בינונית 2 - הדגשה 21"/>
    <w:semiHidden/>
    <w:rsid w:val="00B55994"/>
    <w:rPr>
      <w:rFonts w:ascii="Cambria" w:hAnsi="Cambria"/>
      <w:color w:val="000000"/>
      <w:lang w:bidi="he-I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2-312">
    <w:name w:val="רשימה בינונית 2 - הדגשה 31"/>
    <w:semiHidden/>
    <w:rsid w:val="00B55994"/>
    <w:rPr>
      <w:rFonts w:ascii="Cambria" w:hAnsi="Cambria"/>
      <w:color w:val="000000"/>
      <w:lang w:bidi="he-I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411">
    <w:name w:val="רשימה בינונית 2 - הדגשה 41"/>
    <w:semiHidden/>
    <w:rsid w:val="00B55994"/>
    <w:rPr>
      <w:rFonts w:ascii="Cambria" w:hAnsi="Cambria"/>
      <w:color w:val="000000"/>
      <w:lang w:bidi="he-I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2-512">
    <w:name w:val="רשימה בינונית 2- הדגשה 51"/>
    <w:semiHidden/>
    <w:rsid w:val="00B55994"/>
    <w:rPr>
      <w:rFonts w:ascii="Cambria" w:hAnsi="Cambria"/>
      <w:color w:val="000000"/>
      <w:lang w:bidi="he-IL"/>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2-612">
    <w:name w:val="רשימה בינונית 2- הדגשה 61"/>
    <w:semiHidden/>
    <w:rsid w:val="00B55994"/>
    <w:rPr>
      <w:rFonts w:ascii="Cambria" w:hAnsi="Cambria"/>
      <w:color w:val="000000"/>
      <w:lang w:bidi="he-I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122">
    <w:name w:val="רשימה כהה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112">
    <w:name w:val="רשימה כהה - הדגשה 1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212">
    <w:name w:val="רשימה כהה - הדגשה 2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312">
    <w:name w:val="רשימה כהה - הדגשה 3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413">
    <w:name w:val="רשימה כהה - הדגשה 4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512">
    <w:name w:val="רשימה כהה - הדגשה 5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612">
    <w:name w:val="רשימה כהה - הדגשה 61"/>
    <w:semiHidden/>
    <w:rsid w:val="00B55994"/>
    <w:rPr>
      <w:color w:val="FFFFFF"/>
      <w:lang w:bidi="he-IL"/>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ListNumber">
    <w:name w:val="List Number"/>
    <w:basedOn w:val="Normal"/>
    <w:rsid w:val="00B55994"/>
    <w:pPr>
      <w:numPr>
        <w:numId w:val="15"/>
      </w:numPr>
      <w:contextualSpacing/>
    </w:pPr>
  </w:style>
  <w:style w:type="paragraph" w:styleId="ListNumber2">
    <w:name w:val="List Number 2"/>
    <w:basedOn w:val="Normal"/>
    <w:semiHidden/>
    <w:locked/>
    <w:rsid w:val="00B55994"/>
    <w:pPr>
      <w:numPr>
        <w:numId w:val="16"/>
      </w:numPr>
      <w:contextualSpacing/>
    </w:pPr>
  </w:style>
  <w:style w:type="paragraph" w:styleId="ListNumber3">
    <w:name w:val="List Number 3"/>
    <w:basedOn w:val="Normal"/>
    <w:semiHidden/>
    <w:locked/>
    <w:rsid w:val="00B55994"/>
    <w:pPr>
      <w:numPr>
        <w:numId w:val="17"/>
      </w:numPr>
      <w:contextualSpacing/>
    </w:pPr>
  </w:style>
  <w:style w:type="paragraph" w:styleId="ListNumber4">
    <w:name w:val="List Number 4"/>
    <w:basedOn w:val="Normal"/>
    <w:semiHidden/>
    <w:locked/>
    <w:rsid w:val="00B55994"/>
    <w:pPr>
      <w:numPr>
        <w:numId w:val="18"/>
      </w:numPr>
      <w:contextualSpacing/>
    </w:pPr>
  </w:style>
  <w:style w:type="paragraph" w:styleId="ListNumber5">
    <w:name w:val="List Number 5"/>
    <w:basedOn w:val="Normal"/>
    <w:semiHidden/>
    <w:locked/>
    <w:rsid w:val="00B55994"/>
    <w:pPr>
      <w:numPr>
        <w:numId w:val="19"/>
      </w:numPr>
      <w:contextualSpacing/>
    </w:pPr>
  </w:style>
  <w:style w:type="paragraph" w:styleId="ListBullet">
    <w:name w:val="List Bullet"/>
    <w:basedOn w:val="Normal"/>
    <w:semiHidden/>
    <w:locked/>
    <w:rsid w:val="00B55994"/>
    <w:pPr>
      <w:numPr>
        <w:numId w:val="20"/>
      </w:numPr>
      <w:contextualSpacing/>
    </w:pPr>
  </w:style>
  <w:style w:type="paragraph" w:styleId="ListBullet2">
    <w:name w:val="List Bullet 2"/>
    <w:basedOn w:val="Normal"/>
    <w:semiHidden/>
    <w:locked/>
    <w:rsid w:val="00B55994"/>
    <w:pPr>
      <w:numPr>
        <w:numId w:val="21"/>
      </w:numPr>
      <w:contextualSpacing/>
    </w:pPr>
  </w:style>
  <w:style w:type="paragraph" w:styleId="ListBullet3">
    <w:name w:val="List Bullet 3"/>
    <w:basedOn w:val="Normal"/>
    <w:semiHidden/>
    <w:locked/>
    <w:rsid w:val="00B55994"/>
    <w:pPr>
      <w:numPr>
        <w:numId w:val="22"/>
      </w:numPr>
      <w:contextualSpacing/>
    </w:pPr>
  </w:style>
  <w:style w:type="paragraph" w:styleId="ListBullet4">
    <w:name w:val="List Bullet 4"/>
    <w:basedOn w:val="Normal"/>
    <w:semiHidden/>
    <w:locked/>
    <w:rsid w:val="00B55994"/>
    <w:pPr>
      <w:numPr>
        <w:numId w:val="23"/>
      </w:numPr>
      <w:contextualSpacing/>
    </w:pPr>
  </w:style>
  <w:style w:type="paragraph" w:styleId="ListBullet5">
    <w:name w:val="List Bullet 5"/>
    <w:basedOn w:val="Normal"/>
    <w:semiHidden/>
    <w:locked/>
    <w:rsid w:val="00B55994"/>
    <w:pPr>
      <w:numPr>
        <w:numId w:val="24"/>
      </w:numPr>
      <w:contextualSpacing/>
    </w:pPr>
  </w:style>
  <w:style w:type="table" w:customStyle="1" w:styleId="123">
    <w:name w:val="רשימה צבעונית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13">
    <w:name w:val="רשימה צבעונית - הדגשה 1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13">
    <w:name w:val="רשימה צבעונית - הדגשה 2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313">
    <w:name w:val="רשימה צבעונית - הדגשה 3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414">
    <w:name w:val="רשימה צבעונית - הדגשה 4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513">
    <w:name w:val="רשימה צבעונית - הדגשה 5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613">
    <w:name w:val="רשימה צבעונית - הדגשה 61"/>
    <w:semiHidden/>
    <w:rsid w:val="00B55994"/>
    <w:rPr>
      <w:color w:val="000000"/>
      <w:lang w:bidi="he-IL"/>
    </w:rPr>
    <w:tblPr>
      <w:tblStyleRowBandSize w:val="1"/>
      <w:tblStyleColBandSize w:val="1"/>
      <w:tblInd w:w="0" w:type="dxa"/>
      <w:tblCellMar>
        <w:top w:w="0" w:type="dxa"/>
        <w:left w:w="108" w:type="dxa"/>
        <w:bottom w:w="0" w:type="dxa"/>
        <w:right w:w="108" w:type="dxa"/>
      </w:tblCellMar>
    </w:tblPr>
    <w:tcPr>
      <w:shd w:val="clear" w:color="auto" w:fill="FEF4EC"/>
    </w:tcPr>
  </w:style>
  <w:style w:type="paragraph" w:styleId="TableofFigures">
    <w:name w:val="table of figures"/>
    <w:basedOn w:val="Normal"/>
    <w:next w:val="Normal"/>
    <w:semiHidden/>
    <w:locked/>
    <w:rsid w:val="00B55994"/>
  </w:style>
  <w:style w:type="paragraph" w:styleId="TableofAuthorities">
    <w:name w:val="table of authorities"/>
    <w:basedOn w:val="Normal"/>
    <w:next w:val="Normal"/>
    <w:semiHidden/>
    <w:locked/>
    <w:rsid w:val="00B55994"/>
    <w:pPr>
      <w:ind w:left="240" w:hanging="240"/>
    </w:pPr>
  </w:style>
  <w:style w:type="table" w:customStyle="1" w:styleId="124">
    <w:name w:val="רשת בהירה1"/>
    <w:semiHidden/>
    <w:rsid w:val="00B55994"/>
    <w:rPr>
      <w:lang w:bidi="he-I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4">
    <w:name w:val="רשת בהירה - הדגשה 11"/>
    <w:semiHidden/>
    <w:rsid w:val="00B55994"/>
    <w:rPr>
      <w:lang w:bidi="he-I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214">
    <w:name w:val="רשת בהירה - הדגשה 21"/>
    <w:semiHidden/>
    <w:rsid w:val="00B55994"/>
    <w:rPr>
      <w:lang w:bidi="he-I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314">
    <w:name w:val="רשת בהירה - הדגשה 31"/>
    <w:semiHidden/>
    <w:rsid w:val="00B55994"/>
    <w:rPr>
      <w:lang w:bidi="he-I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5">
    <w:name w:val="רשת בהירה - הדגשה 41"/>
    <w:semiHidden/>
    <w:rsid w:val="00B55994"/>
    <w:rPr>
      <w:lang w:bidi="he-I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14">
    <w:name w:val="רשת בהירה - הדגשה 51"/>
    <w:semiHidden/>
    <w:rsid w:val="00B55994"/>
    <w:rPr>
      <w:lang w:bidi="he-I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614">
    <w:name w:val="רשת בהירה - הדגשה 61"/>
    <w:semiHidden/>
    <w:rsid w:val="00B55994"/>
    <w:rPr>
      <w:lang w:bidi="he-I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115">
    <w:name w:val="רשת בינונית - הדגשה 11"/>
    <w:semiHidden/>
    <w:rsid w:val="00B55994"/>
    <w:rPr>
      <w:lang w:bidi="he-I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111">
    <w:name w:val="רשת בינונית 11"/>
    <w:semiHidden/>
    <w:rsid w:val="00B55994"/>
    <w:rPr>
      <w:lang w:bidi="he-I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1-213">
    <w:name w:val="רשת בינונית 1 - הדגשה 21"/>
    <w:semiHidden/>
    <w:rsid w:val="00B55994"/>
    <w:rPr>
      <w:lang w:bidi="he-I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313">
    <w:name w:val="רשת בינונית 1 - הדגשה 31"/>
    <w:semiHidden/>
    <w:rsid w:val="00B55994"/>
    <w:rPr>
      <w:lang w:bidi="he-I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413">
    <w:name w:val="רשת בינונית 1 - הדגשה 41"/>
    <w:semiHidden/>
    <w:rsid w:val="00B55994"/>
    <w:rPr>
      <w:lang w:bidi="he-I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513">
    <w:name w:val="רשת בינונית 1 - הדגשה 51"/>
    <w:semiHidden/>
    <w:rsid w:val="00B55994"/>
    <w:rPr>
      <w:lang w:bidi="he-I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1-613">
    <w:name w:val="רשת בינונית 1 - הדגשה 61"/>
    <w:semiHidden/>
    <w:rsid w:val="00B55994"/>
    <w:rPr>
      <w:lang w:bidi="he-I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215">
    <w:name w:val="רשת בינונית 21"/>
    <w:semiHidden/>
    <w:rsid w:val="00B55994"/>
    <w:rPr>
      <w:rFonts w:ascii="Cambria" w:hAnsi="Cambria"/>
      <w:color w:val="000000"/>
      <w:lang w:bidi="he-I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2-113">
    <w:name w:val="רשת בינונית 2 - הדגשה 11"/>
    <w:semiHidden/>
    <w:rsid w:val="00B55994"/>
    <w:rPr>
      <w:rFonts w:ascii="Cambria" w:hAnsi="Cambria"/>
      <w:color w:val="000000"/>
      <w:lang w:bidi="he-I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2-213">
    <w:name w:val="רשת בינונית 2 - הדגשה 21"/>
    <w:semiHidden/>
    <w:rsid w:val="00B55994"/>
    <w:rPr>
      <w:rFonts w:ascii="Cambria" w:hAnsi="Cambria"/>
      <w:color w:val="000000"/>
      <w:lang w:bidi="he-I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2-313">
    <w:name w:val="רשת בינונית 2 - הדגשה 31"/>
    <w:semiHidden/>
    <w:rsid w:val="00B55994"/>
    <w:rPr>
      <w:rFonts w:ascii="Cambria" w:hAnsi="Cambria"/>
      <w:color w:val="000000"/>
      <w:lang w:bidi="he-I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2-412">
    <w:name w:val="רשת בינונית 2 - הדגשה 41"/>
    <w:semiHidden/>
    <w:rsid w:val="00B55994"/>
    <w:rPr>
      <w:rFonts w:ascii="Cambria" w:hAnsi="Cambria"/>
      <w:color w:val="000000"/>
      <w:lang w:bidi="he-I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2-513">
    <w:name w:val="רשת בינונית 2 - הדגשה 51"/>
    <w:semiHidden/>
    <w:rsid w:val="00B55994"/>
    <w:rPr>
      <w:rFonts w:ascii="Cambria" w:hAnsi="Cambria"/>
      <w:color w:val="000000"/>
      <w:lang w:bidi="he-I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2-613">
    <w:name w:val="רשת בינונית 2 - הדגשה 61"/>
    <w:semiHidden/>
    <w:rsid w:val="00B55994"/>
    <w:rPr>
      <w:rFonts w:ascii="Cambria" w:hAnsi="Cambria"/>
      <w:color w:val="000000"/>
      <w:lang w:bidi="he-I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312">
    <w:name w:val="רשת בינונית 3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3-111">
    <w:name w:val="רשת בינונית 3 - הדגשה 1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3-211">
    <w:name w:val="רשת בינונית 3 - הדגשה 2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3-311">
    <w:name w:val="רשת בינונית 3 - הדגשה 3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3-411">
    <w:name w:val="רשת בינונית 3 - הדגשה 4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3-511">
    <w:name w:val="רשת בינונית 3 - הדגשה 5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3-611">
    <w:name w:val="רשת בינונית 3 - הדגשה 61"/>
    <w:semiHidden/>
    <w:rsid w:val="00B55994"/>
    <w:rPr>
      <w:lang w:bidi="he-I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TableGrid1">
    <w:name w:val="Table Grid 1"/>
    <w:basedOn w:val="TableNormal"/>
    <w:semiHidden/>
    <w:locked/>
    <w:rsid w:val="00B55994"/>
    <w:pPr>
      <w:bidi/>
    </w:pPr>
    <w:rPr>
      <w:lang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B55994"/>
    <w:pPr>
      <w:bidi/>
    </w:pPr>
    <w:rPr>
      <w:lang w:bidi="he-I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B55994"/>
    <w:pPr>
      <w:bidi/>
    </w:pPr>
    <w:rPr>
      <w:lang w:bidi="he-I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B55994"/>
    <w:pPr>
      <w:bidi/>
    </w:pPr>
    <w:rPr>
      <w:lang w:bidi="he-I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55994"/>
    <w:pPr>
      <w:bidi/>
    </w:pPr>
    <w:rPr>
      <w:lang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B55994"/>
    <w:pPr>
      <w:bidi/>
    </w:pPr>
    <w:rPr>
      <w:lang w:bidi="he-I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B55994"/>
    <w:pPr>
      <w:bidi/>
    </w:pPr>
    <w:rPr>
      <w:b/>
      <w:bCs/>
      <w:lang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B55994"/>
    <w:pPr>
      <w:bidi/>
    </w:pPr>
    <w:rPr>
      <w:lang w:bidi="he-I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5">
    <w:name w:val="רשת טבלה בהירה1"/>
    <w:rsid w:val="00B55994"/>
    <w:rPr>
      <w:lang w:bidi="he-I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6">
    <w:name w:val="רשת צבעונית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6">
    <w:name w:val="רשת צבעונית - הדגשה 1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215">
    <w:name w:val="רשת צבעונית - הדגשה 2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315">
    <w:name w:val="רשת צבעונית - הדגשה 3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416">
    <w:name w:val="רשת צבעונית - הדגשה 4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515">
    <w:name w:val="רשת צבעונית - הדגשה 5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615">
    <w:name w:val="רשת צבעונית - הדגשה 61"/>
    <w:semiHidden/>
    <w:rsid w:val="00B55994"/>
    <w:rPr>
      <w:color w:val="000000"/>
      <w:lang w:bidi="he-I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paragraph" w:styleId="Date">
    <w:name w:val="Date"/>
    <w:basedOn w:val="Normal"/>
    <w:next w:val="Normal"/>
    <w:link w:val="a21"/>
    <w:rsid w:val="00B55994"/>
  </w:style>
  <w:style w:type="character" w:customStyle="1" w:styleId="a21">
    <w:name w:val="תאריך תו"/>
    <w:link w:val="Date"/>
    <w:locked/>
    <w:rsid w:val="00B55994"/>
    <w:rPr>
      <w:sz w:val="24"/>
    </w:rPr>
  </w:style>
  <w:style w:type="paragraph" w:customStyle="1" w:styleId="listparagraph">
    <w:name w:val="listparagraph"/>
    <w:basedOn w:val="Normal"/>
    <w:rsid w:val="006A03F7"/>
    <w:pPr>
      <w:bidi w:val="0"/>
      <w:spacing w:before="100" w:beforeAutospacing="1" w:after="100" w:afterAutospacing="1"/>
    </w:pPr>
    <w:rPr>
      <w:rFonts w:cs="Times New Roman"/>
    </w:rPr>
  </w:style>
  <w:style w:type="character" w:customStyle="1" w:styleId="default">
    <w:name w:val="default"/>
    <w:rsid w:val="00E9241F"/>
    <w:rPr>
      <w:rFonts w:cs="Times New Roman"/>
    </w:rPr>
  </w:style>
  <w:style w:type="numbering" w:customStyle="1" w:styleId="24">
    <w:name w:val="סגנון2"/>
    <w:rsid w:val="00F5599B"/>
    <w:pPr>
      <w:numPr>
        <w:numId w:val="32"/>
      </w:numPr>
    </w:pPr>
  </w:style>
  <w:style w:type="numbering" w:customStyle="1" w:styleId="127">
    <w:name w:val="סגנון1"/>
    <w:rsid w:val="00F559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evo.co.il/law/91073/200" TargetMode="External" /><Relationship Id="rId11" Type="http://schemas.openxmlformats.org/officeDocument/2006/relationships/hyperlink" Target="http://www.nevo.co.il/case/21915121" TargetMode="External" /><Relationship Id="rId12" Type="http://schemas.openxmlformats.org/officeDocument/2006/relationships/hyperlink" Target="http://www.nevo.co.il/case/7012229" TargetMode="External" /><Relationship Id="rId13" Type="http://schemas.openxmlformats.org/officeDocument/2006/relationships/hyperlink" Target="http://www.nevo.co.il/case/6139578" TargetMode="External" /><Relationship Id="rId14" Type="http://schemas.openxmlformats.org/officeDocument/2006/relationships/hyperlink" Target="http://www.nevo.co.il/case/6117319" TargetMode="External" /><Relationship Id="rId15" Type="http://schemas.openxmlformats.org/officeDocument/2006/relationships/hyperlink" Target="http://www.nevo.co.il/safrut/bookgroup/2218" TargetMode="External" /><Relationship Id="rId16" Type="http://schemas.openxmlformats.org/officeDocument/2006/relationships/hyperlink" Target="http://www.nevo.co.il/law/91073/189" TargetMode="External" /><Relationship Id="rId17" Type="http://schemas.openxmlformats.org/officeDocument/2006/relationships/hyperlink" Target="http://www.nevo.co.il/case/5146910" TargetMode="External" /><Relationship Id="rId18" Type="http://schemas.openxmlformats.org/officeDocument/2006/relationships/hyperlink" Target="http://www.nevo.co.il/case/21476741" TargetMode="External" /><Relationship Id="rId19" Type="http://schemas.openxmlformats.org/officeDocument/2006/relationships/hyperlink" Target="http://www.nevo.co.il/case/17939239" TargetMode="External" /><Relationship Id="rId2" Type="http://schemas.openxmlformats.org/officeDocument/2006/relationships/webSettings" Target="webSettings.xml" /><Relationship Id="rId20" Type="http://schemas.openxmlformats.org/officeDocument/2006/relationships/hyperlink" Target="http://www.nevo.co.il/case/5681577" TargetMode="External" /><Relationship Id="rId21" Type="http://schemas.openxmlformats.org/officeDocument/2006/relationships/hyperlink" Target="http://www.nevo.co.il/case/17928213" TargetMode="External" /><Relationship Id="rId22" Type="http://schemas.openxmlformats.org/officeDocument/2006/relationships/hyperlink" Target="http://www.nevo.co.il/case/5612272" TargetMode="External" /><Relationship Id="rId23" Type="http://schemas.openxmlformats.org/officeDocument/2006/relationships/hyperlink" Target="http://www.nevo.co.il/case/5721800" TargetMode="External" /><Relationship Id="rId24" Type="http://schemas.openxmlformats.org/officeDocument/2006/relationships/hyperlink" Target="http://www.nevo.co.il/case/30396018" TargetMode="External" /><Relationship Id="rId25" Type="http://schemas.openxmlformats.org/officeDocument/2006/relationships/hyperlink" Target="http://www.nevo.co.il/law/74663/3" TargetMode="External" /><Relationship Id="rId26" Type="http://schemas.openxmlformats.org/officeDocument/2006/relationships/hyperlink" Target="http://www.nevo.co.il/law/74663" TargetMode="External" /><Relationship Id="rId27" Type="http://schemas.openxmlformats.org/officeDocument/2006/relationships/hyperlink" Target="http://www.nevo.co.il/case/30488990" TargetMode="External" /><Relationship Id="rId28" Type="http://schemas.openxmlformats.org/officeDocument/2006/relationships/hyperlink" Target="http://www.nevo.co.il/case/17910957" TargetMode="External" /><Relationship Id="rId29" Type="http://schemas.openxmlformats.org/officeDocument/2006/relationships/hyperlink" Target="http://www.nevo.co.il/law/70320/3" TargetMode="External" /><Relationship Id="rId3" Type="http://schemas.openxmlformats.org/officeDocument/2006/relationships/fontTable" Target="fontTable.xml" /><Relationship Id="rId30" Type="http://schemas.openxmlformats.org/officeDocument/2006/relationships/hyperlink" Target="http://www.nevo.co.il/law/70320" TargetMode="External" /><Relationship Id="rId31" Type="http://schemas.openxmlformats.org/officeDocument/2006/relationships/hyperlink" Target="http://www.nevo.co.il/case/20642524" TargetMode="External" /><Relationship Id="rId32" Type="http://schemas.openxmlformats.org/officeDocument/2006/relationships/hyperlink" Target="http://www.nevo.co.il/case/17914634" TargetMode="External" /><Relationship Id="rId33" Type="http://schemas.openxmlformats.org/officeDocument/2006/relationships/hyperlink" Target="http://www.nevo.co.il/case/21474843" TargetMode="External" /><Relationship Id="rId34" Type="http://schemas.openxmlformats.org/officeDocument/2006/relationships/hyperlink" Target="http://www.nevo.co.il/case/33730560" TargetMode="External" /><Relationship Id="rId35" Type="http://schemas.openxmlformats.org/officeDocument/2006/relationships/hyperlink" Target="http://www.nevo.co.il/case/28648153" TargetMode="External" /><Relationship Id="rId36" Type="http://schemas.openxmlformats.org/officeDocument/2006/relationships/hyperlink" Target="http://www.nevo.co.il/law/75001" TargetMode="External" /><Relationship Id="rId37" Type="http://schemas.openxmlformats.org/officeDocument/2006/relationships/hyperlink" Target="http://www.nevo.co.il/case/28787577" TargetMode="External" /><Relationship Id="rId38" Type="http://schemas.openxmlformats.org/officeDocument/2006/relationships/header" Target="header1.xml" /><Relationship Id="rId39" Type="http://schemas.openxmlformats.org/officeDocument/2006/relationships/header" Target="header2.xml" /><Relationship Id="rId4" Type="http://schemas.openxmlformats.org/officeDocument/2006/relationships/hyperlink" Target="http://www.nevo.co.il/law/91073/iC" TargetMode="Externa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hyperlink" Target="http://www.nevo.co.il/law/91073" TargetMode="External" /><Relationship Id="rId6" Type="http://schemas.openxmlformats.org/officeDocument/2006/relationships/hyperlink" Target="http://www.nevo.co.il/law/91073/197.a" TargetMode="External" /><Relationship Id="rId7" Type="http://schemas.openxmlformats.org/officeDocument/2006/relationships/hyperlink" Target="http://www.nevo.co.il/law/91073/119d" TargetMode="External" /><Relationship Id="rId8" Type="http://schemas.openxmlformats.org/officeDocument/2006/relationships/hyperlink" Target="http://www.nevo.co.il/law/91073/198.f.2" TargetMode="External" /><Relationship Id="rId9" Type="http://schemas.openxmlformats.org/officeDocument/2006/relationships/hyperlink" Target="http://www.nevo.co.il/law/91073/197"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