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8307"/>
      </w:tblGrid>
      <w:tr w:rsidR="00D51BF7" w14:paraId="14CE4F48" w14:textId="77777777" w:rsidTr="00616AE2">
        <w:trPr>
          <w:trHeight w:hRule="exact" w:val="624"/>
          <w:jc w:val="center"/>
        </w:trPr>
        <w:tc>
          <w:tcPr>
            <w:tcW w:w="8307" w:type="dxa"/>
          </w:tcPr>
          <w:p w14:paraId="124FA735" w14:textId="77777777" w:rsidR="00270C62" w:rsidRPr="00A02610" w:rsidRDefault="00000000" w:rsidP="00345F89">
            <w:pPr>
              <w:pStyle w:val="a5"/>
              <w:jc w:val="center"/>
              <w:rPr>
                <w:rFonts w:ascii="Tahoma" w:hAnsi="Tahoma"/>
                <w:b/>
                <w:bCs/>
                <w:sz w:val="28"/>
                <w:szCs w:val="28"/>
                <w:rtl/>
              </w:rPr>
            </w:pPr>
            <w:r w:rsidRPr="00A02610">
              <w:rPr>
                <w:rFonts w:ascii="Tahoma" w:hAnsi="Tahoma" w:hint="cs"/>
                <w:b/>
                <w:bCs/>
                <w:sz w:val="28"/>
                <w:szCs w:val="28"/>
                <w:rtl/>
              </w:rPr>
              <w:t>בבית המשפט העליון בשבתו כבית משפט לערעורים אזרחיים</w:t>
            </w:r>
          </w:p>
        </w:tc>
      </w:tr>
    </w:tbl>
    <w:p w14:paraId="49C44B62" w14:textId="77777777" w:rsidR="00C9217F" w:rsidRPr="00A02610" w:rsidRDefault="00270C62" w:rsidP="00121C50">
      <w:pPr>
        <w:pStyle w:val="a5"/>
        <w:jc w:val="right"/>
        <w:rPr>
          <w:rFonts w:ascii="David" w:hAnsi="David"/>
          <w:sz w:val="28"/>
          <w:szCs w:val="28"/>
          <w:rtl/>
        </w:rPr>
      </w:pPr>
      <w:r w:rsidRPr="00A02610">
        <w:rPr>
          <w:rtl/>
        </w:rPr>
        <w:t xml:space="preserve"> </w:t>
      </w:r>
      <w:r w:rsidRPr="00A02610">
        <w:rPr>
          <w:rFonts w:ascii="David" w:hAnsi="David"/>
          <w:b/>
          <w:bCs/>
          <w:sz w:val="28"/>
          <w:szCs w:val="28"/>
          <w:rtl/>
        </w:rPr>
        <w:t>ע"א</w:t>
      </w:r>
      <w:r w:rsidR="00000000" w:rsidRPr="00A02610">
        <w:rPr>
          <w:rFonts w:ascii="David" w:hAnsi="David"/>
          <w:b/>
          <w:bCs/>
          <w:sz w:val="28"/>
          <w:szCs w:val="28"/>
          <w:rtl/>
        </w:rPr>
        <w:t xml:space="preserve"> </w:t>
      </w:r>
      <w:r w:rsidRPr="00A02610">
        <w:rPr>
          <w:rFonts w:ascii="David" w:hAnsi="David"/>
          <w:b/>
          <w:bCs/>
          <w:sz w:val="28"/>
          <w:szCs w:val="28"/>
        </w:rPr>
        <w:t>8699/21</w:t>
      </w:r>
      <w:r w:rsidR="00121C50" w:rsidRPr="00A02610">
        <w:rPr>
          <w:rFonts w:ascii="David" w:hAnsi="David"/>
          <w:sz w:val="28"/>
          <w:szCs w:val="28"/>
          <w:rtl/>
        </w:rPr>
        <w:t xml:space="preserve">     </w:t>
      </w:r>
    </w:p>
    <w:p w14:paraId="0A8CBA5C" w14:textId="77777777" w:rsidR="00121C50" w:rsidRPr="00A02610" w:rsidRDefault="00000000" w:rsidP="00121C50">
      <w:pPr>
        <w:pStyle w:val="a5"/>
        <w:jc w:val="right"/>
        <w:rPr>
          <w:rFonts w:ascii="David" w:hAnsi="David"/>
          <w:b/>
          <w:bCs/>
          <w:sz w:val="28"/>
          <w:szCs w:val="28"/>
          <w:rtl/>
        </w:rPr>
      </w:pPr>
      <w:r w:rsidRPr="00A02610">
        <w:rPr>
          <w:rFonts w:ascii="David" w:hAnsi="David" w:hint="cs"/>
          <w:b/>
          <w:bCs/>
          <w:sz w:val="28"/>
          <w:szCs w:val="28"/>
          <w:rtl/>
        </w:rPr>
        <w:t>וערעור משיב לפי תקנה 137ב</w:t>
      </w:r>
    </w:p>
    <w:tbl>
      <w:tblPr>
        <w:bidiVisual/>
        <w:tblW w:w="8348" w:type="dxa"/>
        <w:jc w:val="center"/>
        <w:tblLook w:val="01E0" w:firstRow="1" w:lastRow="1" w:firstColumn="1" w:lastColumn="1" w:noHBand="0" w:noVBand="0"/>
      </w:tblPr>
      <w:tblGrid>
        <w:gridCol w:w="3096"/>
        <w:gridCol w:w="5252"/>
      </w:tblGrid>
      <w:tr w:rsidR="00D51BF7" w14:paraId="53F29727" w14:textId="77777777" w:rsidTr="00A02610">
        <w:trPr>
          <w:trHeight w:val="295"/>
          <w:jc w:val="center"/>
        </w:trPr>
        <w:tc>
          <w:tcPr>
            <w:tcW w:w="8348" w:type="dxa"/>
            <w:gridSpan w:val="2"/>
            <w:shd w:val="clear" w:color="auto" w:fill="auto"/>
          </w:tcPr>
          <w:p w14:paraId="53D60109" w14:textId="77777777" w:rsidR="00105E0F" w:rsidRPr="00A02610" w:rsidRDefault="00105E0F" w:rsidP="00A02610">
            <w:pPr>
              <w:suppressLineNumbers/>
              <w:rPr>
                <w:rFonts w:ascii="Arial" w:hAnsi="Arial"/>
                <w:sz w:val="28"/>
                <w:szCs w:val="28"/>
                <w:rtl/>
              </w:rPr>
            </w:pPr>
          </w:p>
        </w:tc>
      </w:tr>
      <w:tr w:rsidR="00D51BF7" w14:paraId="61E64E3E" w14:textId="77777777" w:rsidTr="00A02610">
        <w:trPr>
          <w:jc w:val="center"/>
        </w:trPr>
        <w:tc>
          <w:tcPr>
            <w:tcW w:w="3096" w:type="dxa"/>
            <w:shd w:val="clear" w:color="auto" w:fill="auto"/>
          </w:tcPr>
          <w:p w14:paraId="1C9D87B1" w14:textId="77777777" w:rsidR="0094424E" w:rsidRPr="00A02610" w:rsidRDefault="00105E0F" w:rsidP="00A02610">
            <w:pPr>
              <w:suppressLineNumbers/>
              <w:ind w:right="-295"/>
              <w:jc w:val="both"/>
              <w:rPr>
                <w:rFonts w:ascii="David" w:hAnsi="David"/>
                <w:sz w:val="28"/>
                <w:szCs w:val="28"/>
                <w:rtl/>
              </w:rPr>
            </w:pPr>
            <w:r w:rsidRPr="00A02610">
              <w:rPr>
                <w:rFonts w:ascii="David" w:hAnsi="David"/>
                <w:sz w:val="28"/>
                <w:szCs w:val="28"/>
                <w:rtl/>
              </w:rPr>
              <w:t>ל</w:t>
            </w:r>
            <w:r w:rsidR="00000000" w:rsidRPr="00A02610">
              <w:rPr>
                <w:rFonts w:ascii="David" w:hAnsi="David"/>
                <w:sz w:val="28"/>
                <w:szCs w:val="28"/>
                <w:rtl/>
              </w:rPr>
              <w:t>פני</w:t>
            </w:r>
            <w:r w:rsidRPr="00A02610">
              <w:rPr>
                <w:rFonts w:ascii="David" w:hAnsi="David"/>
                <w:sz w:val="28"/>
                <w:szCs w:val="28"/>
                <w:rtl/>
              </w:rPr>
              <w:t>:</w:t>
            </w:r>
          </w:p>
        </w:tc>
        <w:tc>
          <w:tcPr>
            <w:tcW w:w="5252" w:type="dxa"/>
            <w:shd w:val="clear" w:color="auto" w:fill="auto"/>
          </w:tcPr>
          <w:p w14:paraId="626B4094" w14:textId="77777777" w:rsidR="00007DE0" w:rsidRPr="00A02610" w:rsidRDefault="000529D2" w:rsidP="00A02610">
            <w:pPr>
              <w:suppressLineNumbers/>
              <w:rPr>
                <w:rFonts w:ascii="David" w:hAnsi="David"/>
                <w:sz w:val="28"/>
                <w:szCs w:val="28"/>
                <w:rtl/>
              </w:rPr>
            </w:pPr>
            <w:bookmarkStart w:id="0" w:name="_Hlk197574481"/>
            <w:r w:rsidRPr="00A02610">
              <w:rPr>
                <w:rFonts w:ascii="David" w:hAnsi="David"/>
                <w:sz w:val="28"/>
                <w:szCs w:val="28"/>
                <w:rtl/>
              </w:rPr>
              <w:t>כבוד</w:t>
            </w:r>
            <w:r w:rsidR="0094424E" w:rsidRPr="00A02610">
              <w:rPr>
                <w:rFonts w:ascii="David" w:hAnsi="David"/>
                <w:sz w:val="28"/>
                <w:szCs w:val="28"/>
                <w:rtl/>
              </w:rPr>
              <w:t xml:space="preserve"> ה</w:t>
            </w:r>
            <w:r w:rsidRPr="00A02610">
              <w:rPr>
                <w:rFonts w:ascii="David" w:hAnsi="David"/>
                <w:sz w:val="28"/>
                <w:szCs w:val="28"/>
                <w:rtl/>
              </w:rPr>
              <w:t>נשיא</w:t>
            </w:r>
            <w:r w:rsidR="0094424E" w:rsidRPr="00A02610">
              <w:rPr>
                <w:rFonts w:ascii="David" w:hAnsi="David"/>
                <w:sz w:val="28"/>
                <w:szCs w:val="28"/>
                <w:rtl/>
              </w:rPr>
              <w:t xml:space="preserve"> </w:t>
            </w:r>
            <w:r w:rsidRPr="00A02610">
              <w:rPr>
                <w:rFonts w:ascii="David" w:hAnsi="David"/>
                <w:sz w:val="28"/>
                <w:szCs w:val="28"/>
                <w:rtl/>
              </w:rPr>
              <w:t>יצחק עמית</w:t>
            </w:r>
            <w:r w:rsidR="00A05A60" w:rsidRPr="00A02610">
              <w:rPr>
                <w:rFonts w:ascii="David" w:hAnsi="David"/>
                <w:sz w:val="28"/>
                <w:szCs w:val="28"/>
                <w:rtl/>
              </w:rPr>
              <w:br/>
            </w:r>
            <w:r w:rsidR="00A05A60" w:rsidRPr="00A02610">
              <w:rPr>
                <w:rFonts w:ascii="David" w:hAnsi="David" w:hint="cs"/>
                <w:sz w:val="28"/>
                <w:szCs w:val="28"/>
                <w:rtl/>
              </w:rPr>
              <w:t xml:space="preserve">כבוד השופט חאלד כבוב </w:t>
            </w:r>
            <w:r w:rsidR="00A05A60" w:rsidRPr="00A02610">
              <w:rPr>
                <w:rFonts w:ascii="David" w:hAnsi="David"/>
                <w:sz w:val="28"/>
                <w:szCs w:val="28"/>
                <w:rtl/>
              </w:rPr>
              <w:br/>
            </w:r>
            <w:r w:rsidR="00A05A60" w:rsidRPr="00A02610">
              <w:rPr>
                <w:rFonts w:ascii="David" w:hAnsi="David" w:hint="cs"/>
                <w:sz w:val="28"/>
                <w:szCs w:val="28"/>
                <w:rtl/>
              </w:rPr>
              <w:t xml:space="preserve">כבוד השופט יחיאל כשר </w:t>
            </w:r>
          </w:p>
          <w:bookmarkEnd w:id="0"/>
          <w:p w14:paraId="47995F35" w14:textId="77777777" w:rsidR="00CA4C49" w:rsidRPr="00A02610" w:rsidRDefault="00CA4C49" w:rsidP="00A02610">
            <w:pPr>
              <w:suppressLineNumbers/>
              <w:rPr>
                <w:rFonts w:ascii="David" w:hAnsi="David"/>
                <w:sz w:val="28"/>
                <w:szCs w:val="28"/>
              </w:rPr>
            </w:pPr>
          </w:p>
        </w:tc>
      </w:tr>
      <w:tr w:rsidR="00D51BF7" w14:paraId="3110227A" w14:textId="77777777" w:rsidTr="00A02610">
        <w:trPr>
          <w:jc w:val="center"/>
        </w:trPr>
        <w:tc>
          <w:tcPr>
            <w:tcW w:w="3096" w:type="dxa"/>
            <w:shd w:val="clear" w:color="auto" w:fill="auto"/>
          </w:tcPr>
          <w:p w14:paraId="5B548021" w14:textId="77777777" w:rsidR="0094424E" w:rsidRPr="00A02610" w:rsidRDefault="00C9217F" w:rsidP="00A02610">
            <w:pPr>
              <w:suppressLineNumbers/>
              <w:rPr>
                <w:rFonts w:ascii="David" w:hAnsi="David"/>
                <w:sz w:val="28"/>
                <w:szCs w:val="28"/>
                <w:rtl/>
              </w:rPr>
            </w:pPr>
            <w:bookmarkStart w:id="1" w:name="LastJudge"/>
            <w:bookmarkStart w:id="2" w:name="FirstAppellant"/>
            <w:bookmarkEnd w:id="1"/>
            <w:r w:rsidRPr="00A02610">
              <w:rPr>
                <w:rFonts w:ascii="David" w:hAnsi="David" w:hint="cs"/>
                <w:sz w:val="28"/>
                <w:szCs w:val="28"/>
                <w:rtl/>
              </w:rPr>
              <w:t>ה</w:t>
            </w:r>
            <w:r w:rsidRPr="00A02610">
              <w:rPr>
                <w:rFonts w:ascii="David" w:hAnsi="David"/>
                <w:sz w:val="28"/>
                <w:szCs w:val="28"/>
                <w:rtl/>
              </w:rPr>
              <w:t>מערער</w:t>
            </w:r>
            <w:r w:rsidR="00121C50" w:rsidRPr="00A02610">
              <w:rPr>
                <w:rFonts w:ascii="David" w:hAnsi="David" w:hint="cs"/>
                <w:sz w:val="28"/>
                <w:szCs w:val="28"/>
                <w:rtl/>
              </w:rPr>
              <w:t xml:space="preserve"> והמשיב בערעור משיב</w:t>
            </w:r>
            <w:r w:rsidRPr="00A02610">
              <w:rPr>
                <w:rFonts w:ascii="David" w:hAnsi="David" w:hint="cs"/>
                <w:sz w:val="28"/>
                <w:szCs w:val="28"/>
                <w:rtl/>
              </w:rPr>
              <w:t>:</w:t>
            </w:r>
          </w:p>
        </w:tc>
        <w:tc>
          <w:tcPr>
            <w:tcW w:w="5252" w:type="dxa"/>
            <w:shd w:val="clear" w:color="auto" w:fill="auto"/>
          </w:tcPr>
          <w:p w14:paraId="53C4697F" w14:textId="77777777" w:rsidR="0094424E" w:rsidRPr="00A02610" w:rsidRDefault="00121C50" w:rsidP="00A02610">
            <w:pPr>
              <w:suppressLineNumbers/>
              <w:rPr>
                <w:rFonts w:ascii="David" w:hAnsi="David"/>
                <w:sz w:val="28"/>
                <w:szCs w:val="28"/>
              </w:rPr>
            </w:pPr>
            <w:r w:rsidRPr="00A02610">
              <w:rPr>
                <w:rFonts w:ascii="David" w:hAnsi="David"/>
                <w:sz w:val="28"/>
                <w:szCs w:val="28"/>
                <w:rtl/>
              </w:rPr>
              <w:br/>
            </w:r>
            <w:r w:rsidR="007F4CC9" w:rsidRPr="00A02610">
              <w:rPr>
                <w:rFonts w:ascii="David" w:hAnsi="David"/>
                <w:sz w:val="28"/>
                <w:szCs w:val="28"/>
                <w:rtl/>
              </w:rPr>
              <w:t xml:space="preserve">מעון הורים סיני </w:t>
            </w:r>
            <w:r w:rsidR="00C77802" w:rsidRPr="00A02610">
              <w:rPr>
                <w:rFonts w:ascii="David" w:hAnsi="David"/>
                <w:sz w:val="28"/>
                <w:szCs w:val="28"/>
                <w:rtl/>
              </w:rPr>
              <w:t>–</w:t>
            </w:r>
            <w:r w:rsidR="007F4CC9" w:rsidRPr="00A02610">
              <w:rPr>
                <w:rFonts w:ascii="David" w:hAnsi="David"/>
                <w:sz w:val="28"/>
                <w:szCs w:val="28"/>
                <w:rtl/>
              </w:rPr>
              <w:t xml:space="preserve"> חיפה</w:t>
            </w:r>
          </w:p>
        </w:tc>
      </w:tr>
      <w:bookmarkEnd w:id="2"/>
      <w:tr w:rsidR="00D51BF7" w14:paraId="6E0D5738" w14:textId="77777777" w:rsidTr="00A02610">
        <w:trPr>
          <w:jc w:val="center"/>
        </w:trPr>
        <w:tc>
          <w:tcPr>
            <w:tcW w:w="8348" w:type="dxa"/>
            <w:gridSpan w:val="2"/>
            <w:shd w:val="clear" w:color="auto" w:fill="auto"/>
          </w:tcPr>
          <w:p w14:paraId="53076707" w14:textId="77777777" w:rsidR="0094424E" w:rsidRPr="00A02610" w:rsidRDefault="0094424E" w:rsidP="00A02610">
            <w:pPr>
              <w:suppressLineNumbers/>
              <w:rPr>
                <w:rFonts w:ascii="David" w:hAnsi="David"/>
                <w:sz w:val="28"/>
                <w:szCs w:val="28"/>
                <w:rtl/>
              </w:rPr>
            </w:pPr>
          </w:p>
          <w:p w14:paraId="5E086709" w14:textId="77777777" w:rsidR="0094424E" w:rsidRPr="00A02610" w:rsidRDefault="00616AE2" w:rsidP="00A02610">
            <w:pPr>
              <w:suppressLineNumbers/>
              <w:ind w:left="2880"/>
              <w:rPr>
                <w:rFonts w:ascii="David" w:hAnsi="David"/>
                <w:spacing w:val="40"/>
                <w:sz w:val="28"/>
                <w:szCs w:val="28"/>
                <w:rtl/>
              </w:rPr>
            </w:pPr>
            <w:r w:rsidRPr="00A02610">
              <w:rPr>
                <w:rFonts w:ascii="David" w:hAnsi="David" w:hint="cs"/>
                <w:spacing w:val="40"/>
                <w:sz w:val="28"/>
                <w:szCs w:val="28"/>
                <w:rtl/>
              </w:rPr>
              <w:t xml:space="preserve">  </w:t>
            </w:r>
            <w:r w:rsidR="00000000" w:rsidRPr="00A02610">
              <w:rPr>
                <w:rFonts w:ascii="David" w:hAnsi="David"/>
                <w:spacing w:val="40"/>
                <w:sz w:val="28"/>
                <w:szCs w:val="28"/>
                <w:rtl/>
              </w:rPr>
              <w:t>נגד</w:t>
            </w:r>
          </w:p>
          <w:p w14:paraId="0365A8E7" w14:textId="77777777" w:rsidR="0094424E" w:rsidRPr="00A02610" w:rsidRDefault="0094424E" w:rsidP="00A02610">
            <w:pPr>
              <w:suppressLineNumbers/>
              <w:rPr>
                <w:rFonts w:ascii="David" w:hAnsi="David"/>
                <w:sz w:val="28"/>
                <w:szCs w:val="28"/>
              </w:rPr>
            </w:pPr>
          </w:p>
        </w:tc>
      </w:tr>
      <w:tr w:rsidR="00D51BF7" w14:paraId="5D5FF158" w14:textId="77777777" w:rsidTr="00A02610">
        <w:trPr>
          <w:jc w:val="center"/>
        </w:trPr>
        <w:tc>
          <w:tcPr>
            <w:tcW w:w="3096" w:type="dxa"/>
            <w:shd w:val="clear" w:color="auto" w:fill="auto"/>
          </w:tcPr>
          <w:p w14:paraId="10D7ED1E" w14:textId="77777777" w:rsidR="0094424E" w:rsidRPr="00A02610" w:rsidRDefault="00C9217F" w:rsidP="00A02610">
            <w:pPr>
              <w:suppressLineNumbers/>
              <w:rPr>
                <w:rFonts w:ascii="David" w:hAnsi="David"/>
                <w:sz w:val="28"/>
                <w:szCs w:val="28"/>
              </w:rPr>
            </w:pPr>
            <w:r w:rsidRPr="00A02610">
              <w:rPr>
                <w:rFonts w:ascii="David" w:hAnsi="David" w:hint="cs"/>
                <w:sz w:val="28"/>
                <w:szCs w:val="28"/>
                <w:rtl/>
              </w:rPr>
              <w:t>ה</w:t>
            </w:r>
            <w:r w:rsidRPr="00A02610">
              <w:rPr>
                <w:rFonts w:ascii="David" w:hAnsi="David"/>
                <w:sz w:val="28"/>
                <w:szCs w:val="28"/>
                <w:rtl/>
              </w:rPr>
              <w:t>משיב</w:t>
            </w:r>
            <w:r w:rsidR="00121C50" w:rsidRPr="00A02610">
              <w:rPr>
                <w:rFonts w:ascii="David" w:hAnsi="David" w:hint="cs"/>
                <w:sz w:val="28"/>
                <w:szCs w:val="28"/>
                <w:rtl/>
              </w:rPr>
              <w:t>ה והמערערת בערעור משיב</w:t>
            </w:r>
            <w:r w:rsidRPr="00A02610">
              <w:rPr>
                <w:rFonts w:ascii="David" w:hAnsi="David" w:hint="cs"/>
                <w:sz w:val="28"/>
                <w:szCs w:val="28"/>
                <w:rtl/>
              </w:rPr>
              <w:t>:</w:t>
            </w:r>
          </w:p>
        </w:tc>
        <w:tc>
          <w:tcPr>
            <w:tcW w:w="5252" w:type="dxa"/>
            <w:shd w:val="clear" w:color="auto" w:fill="auto"/>
          </w:tcPr>
          <w:p w14:paraId="46B04F6C" w14:textId="77777777" w:rsidR="00121C50" w:rsidRPr="00A02610" w:rsidRDefault="00121C50" w:rsidP="00A02610">
            <w:pPr>
              <w:suppressLineNumbers/>
              <w:rPr>
                <w:rFonts w:ascii="David" w:hAnsi="David"/>
                <w:sz w:val="28"/>
                <w:szCs w:val="28"/>
                <w:rtl/>
              </w:rPr>
            </w:pPr>
          </w:p>
          <w:p w14:paraId="74E3AC8F" w14:textId="77777777" w:rsidR="00CF6BB7" w:rsidRPr="00A02610" w:rsidRDefault="007F4CC9" w:rsidP="00A02610">
            <w:pPr>
              <w:suppressLineNumbers/>
              <w:rPr>
                <w:rFonts w:ascii="David" w:hAnsi="David"/>
                <w:sz w:val="28"/>
                <w:szCs w:val="28"/>
                <w:rtl/>
              </w:rPr>
            </w:pPr>
            <w:r w:rsidRPr="00A02610">
              <w:rPr>
                <w:rFonts w:ascii="David" w:hAnsi="David"/>
                <w:sz w:val="28"/>
                <w:szCs w:val="28"/>
                <w:rtl/>
              </w:rPr>
              <w:t>עיריית חיפה</w:t>
            </w:r>
          </w:p>
        </w:tc>
      </w:tr>
      <w:tr w:rsidR="00D51BF7" w14:paraId="79984D7F" w14:textId="77777777" w:rsidTr="00A02610">
        <w:trPr>
          <w:jc w:val="center"/>
        </w:trPr>
        <w:tc>
          <w:tcPr>
            <w:tcW w:w="3096" w:type="dxa"/>
            <w:shd w:val="clear" w:color="auto" w:fill="auto"/>
          </w:tcPr>
          <w:p w14:paraId="44BA9F80" w14:textId="77777777" w:rsidR="00C9217F" w:rsidRPr="00A02610" w:rsidRDefault="00C9217F" w:rsidP="00A02610">
            <w:pPr>
              <w:suppressLineNumbers/>
              <w:rPr>
                <w:rFonts w:ascii="David" w:hAnsi="David"/>
                <w:sz w:val="28"/>
                <w:szCs w:val="28"/>
                <w:rtl/>
              </w:rPr>
            </w:pPr>
          </w:p>
        </w:tc>
        <w:tc>
          <w:tcPr>
            <w:tcW w:w="5252" w:type="dxa"/>
            <w:shd w:val="clear" w:color="auto" w:fill="auto"/>
          </w:tcPr>
          <w:p w14:paraId="4685C5DF" w14:textId="77777777" w:rsidR="00C9217F" w:rsidRPr="00A02610" w:rsidRDefault="00C9217F" w:rsidP="00A02610">
            <w:pPr>
              <w:suppressLineNumbers/>
              <w:rPr>
                <w:rFonts w:ascii="David" w:hAnsi="David"/>
                <w:rtl/>
              </w:rPr>
            </w:pPr>
          </w:p>
          <w:p w14:paraId="1504C3B9" w14:textId="77777777" w:rsidR="00616AE2" w:rsidRPr="00A02610" w:rsidRDefault="00000000" w:rsidP="00A02610">
            <w:pPr>
              <w:suppressLineNumbers/>
              <w:jc w:val="both"/>
              <w:rPr>
                <w:rFonts w:ascii="David" w:hAnsi="David"/>
                <w:rtl/>
              </w:rPr>
            </w:pPr>
            <w:r w:rsidRPr="00A02610">
              <w:rPr>
                <w:rFonts w:ascii="David" w:hAnsi="David" w:hint="cs"/>
                <w:rtl/>
              </w:rPr>
              <w:t>ערעור</w:t>
            </w:r>
            <w:r w:rsidR="00121C50" w:rsidRPr="00A02610">
              <w:rPr>
                <w:rFonts w:ascii="David" w:hAnsi="David" w:hint="cs"/>
                <w:rtl/>
              </w:rPr>
              <w:t xml:space="preserve"> וערעור משיב על פסק דינו של בית המשפט המחוזי בחיפה ב</w:t>
            </w:r>
            <w:hyperlink r:id="rId7" w:history="1">
              <w:r w:rsidR="00A02610" w:rsidRPr="00A02610">
                <w:rPr>
                  <w:rFonts w:ascii="David" w:hAnsi="David"/>
                  <w:color w:val="0000FF"/>
                  <w:u w:val="single"/>
                  <w:rtl/>
                </w:rPr>
                <w:t>ת"א 2269-05-18</w:t>
              </w:r>
            </w:hyperlink>
            <w:r w:rsidR="00121C50" w:rsidRPr="00A02610">
              <w:rPr>
                <w:rFonts w:ascii="David" w:hAnsi="David" w:hint="cs"/>
                <w:rtl/>
              </w:rPr>
              <w:t xml:space="preserve"> </w:t>
            </w:r>
            <w:r w:rsidR="00EF6807">
              <w:rPr>
                <w:rFonts w:ascii="David" w:hAnsi="David" w:hint="cs"/>
                <w:rtl/>
              </w:rPr>
              <w:t xml:space="preserve">[נבו] </w:t>
            </w:r>
            <w:r w:rsidR="00121C50" w:rsidRPr="00A02610">
              <w:rPr>
                <w:rFonts w:ascii="David" w:hAnsi="David" w:hint="cs"/>
                <w:rtl/>
              </w:rPr>
              <w:t>מיום 19.10.2021 שניתן על ידי כב' השופט רננאל שרעבי</w:t>
            </w:r>
          </w:p>
          <w:p w14:paraId="72D53D29" w14:textId="77777777" w:rsidR="00C9217F" w:rsidRPr="00A02610" w:rsidRDefault="00C9217F" w:rsidP="00A02610">
            <w:pPr>
              <w:suppressLineNumbers/>
              <w:rPr>
                <w:rFonts w:ascii="David" w:hAnsi="David"/>
                <w:sz w:val="28"/>
                <w:szCs w:val="28"/>
                <w:rtl/>
              </w:rPr>
            </w:pPr>
          </w:p>
        </w:tc>
      </w:tr>
      <w:tr w:rsidR="00D51BF7" w14:paraId="7D6FAE77" w14:textId="77777777" w:rsidTr="00A02610">
        <w:trPr>
          <w:jc w:val="center"/>
        </w:trPr>
        <w:tc>
          <w:tcPr>
            <w:tcW w:w="3096" w:type="dxa"/>
            <w:shd w:val="clear" w:color="auto" w:fill="auto"/>
          </w:tcPr>
          <w:p w14:paraId="62E1E7DD" w14:textId="77777777" w:rsidR="00193B4B" w:rsidRPr="00A02610" w:rsidRDefault="00000000" w:rsidP="00A02610">
            <w:pPr>
              <w:suppressLineNumbers/>
              <w:rPr>
                <w:rFonts w:ascii="David" w:hAnsi="David"/>
                <w:sz w:val="28"/>
                <w:szCs w:val="28"/>
                <w:rtl/>
              </w:rPr>
            </w:pPr>
            <w:r w:rsidRPr="00A02610">
              <w:rPr>
                <w:rFonts w:ascii="David" w:hAnsi="David" w:hint="cs"/>
                <w:rtl/>
              </w:rPr>
              <w:t>תאריך</w:t>
            </w:r>
            <w:r w:rsidRPr="00A02610">
              <w:rPr>
                <w:rFonts w:ascii="David" w:hAnsi="David" w:hint="cs"/>
                <w:sz w:val="28"/>
                <w:szCs w:val="28"/>
                <w:rtl/>
              </w:rPr>
              <w:t xml:space="preserve"> </w:t>
            </w:r>
            <w:r w:rsidR="00121C50" w:rsidRPr="00A02610">
              <w:rPr>
                <w:rFonts w:ascii="David" w:hAnsi="David" w:hint="cs"/>
                <w:rtl/>
              </w:rPr>
              <w:t>ישיבות</w:t>
            </w:r>
            <w:r w:rsidRPr="00A02610">
              <w:rPr>
                <w:rFonts w:ascii="David" w:hAnsi="David" w:hint="cs"/>
                <w:sz w:val="28"/>
                <w:szCs w:val="28"/>
                <w:rtl/>
              </w:rPr>
              <w:t xml:space="preserve">: </w:t>
            </w:r>
          </w:p>
        </w:tc>
        <w:tc>
          <w:tcPr>
            <w:tcW w:w="5252" w:type="dxa"/>
            <w:shd w:val="clear" w:color="auto" w:fill="auto"/>
          </w:tcPr>
          <w:p w14:paraId="0F88E454" w14:textId="77777777" w:rsidR="00121C50" w:rsidRPr="00A02610" w:rsidRDefault="00000000" w:rsidP="00A02610">
            <w:pPr>
              <w:suppressLineNumbers/>
              <w:rPr>
                <w:rFonts w:ascii="David" w:hAnsi="David"/>
                <w:rtl/>
              </w:rPr>
            </w:pPr>
            <w:r w:rsidRPr="00A02610">
              <w:rPr>
                <w:rFonts w:ascii="David" w:hAnsi="David" w:hint="cs"/>
                <w:rtl/>
              </w:rPr>
              <w:t>ג' בתמוז התשפ"ג (22.6.2023)</w:t>
            </w:r>
          </w:p>
          <w:p w14:paraId="11AC123B" w14:textId="77777777" w:rsidR="00193B4B" w:rsidRPr="00A02610" w:rsidRDefault="00121C50" w:rsidP="00A02610">
            <w:pPr>
              <w:suppressLineNumbers/>
              <w:rPr>
                <w:rFonts w:ascii="David" w:hAnsi="David"/>
                <w:rtl/>
              </w:rPr>
            </w:pPr>
            <w:r w:rsidRPr="00A02610">
              <w:rPr>
                <w:rFonts w:ascii="David" w:hAnsi="David" w:hint="cs"/>
                <w:rtl/>
              </w:rPr>
              <w:t>ח' בכסלו התשפ"ה (9.12.2024)</w:t>
            </w:r>
          </w:p>
          <w:p w14:paraId="11441F41" w14:textId="77777777" w:rsidR="00121C50" w:rsidRPr="00A02610" w:rsidRDefault="00121C50" w:rsidP="00A02610">
            <w:pPr>
              <w:suppressLineNumbers/>
              <w:rPr>
                <w:rFonts w:ascii="David" w:hAnsi="David"/>
                <w:rtl/>
              </w:rPr>
            </w:pPr>
          </w:p>
        </w:tc>
      </w:tr>
      <w:tr w:rsidR="00D51BF7" w14:paraId="11FF4885" w14:textId="77777777" w:rsidTr="00A02610">
        <w:trPr>
          <w:jc w:val="center"/>
        </w:trPr>
        <w:tc>
          <w:tcPr>
            <w:tcW w:w="3096" w:type="dxa"/>
            <w:shd w:val="clear" w:color="auto" w:fill="auto"/>
          </w:tcPr>
          <w:p w14:paraId="408511BA" w14:textId="77777777" w:rsidR="00105E0F" w:rsidRPr="00A02610" w:rsidRDefault="00C9217F" w:rsidP="00A02610">
            <w:pPr>
              <w:suppressLineNumbers/>
              <w:rPr>
                <w:rFonts w:ascii="David" w:hAnsi="David"/>
                <w:sz w:val="28"/>
                <w:szCs w:val="28"/>
              </w:rPr>
            </w:pPr>
            <w:r w:rsidRPr="00A02610">
              <w:rPr>
                <w:rFonts w:ascii="David" w:hAnsi="David" w:hint="cs"/>
                <w:sz w:val="28"/>
                <w:szCs w:val="28"/>
                <w:rtl/>
              </w:rPr>
              <w:t>בשם ה</w:t>
            </w:r>
            <w:r w:rsidR="00F1720B" w:rsidRPr="00A02610">
              <w:rPr>
                <w:rFonts w:ascii="David" w:hAnsi="David"/>
                <w:sz w:val="28"/>
                <w:szCs w:val="28"/>
                <w:rtl/>
              </w:rPr>
              <w:t>מערער</w:t>
            </w:r>
            <w:r w:rsidR="00F1720B" w:rsidRPr="00A02610">
              <w:rPr>
                <w:rFonts w:ascii="David" w:hAnsi="David" w:hint="cs"/>
                <w:sz w:val="28"/>
                <w:szCs w:val="28"/>
                <w:rtl/>
              </w:rPr>
              <w:t xml:space="preserve"> והמשיב בערעור משיב</w:t>
            </w:r>
            <w:r w:rsidRPr="00A02610">
              <w:rPr>
                <w:rFonts w:ascii="David" w:hAnsi="David" w:hint="cs"/>
                <w:sz w:val="28"/>
                <w:szCs w:val="28"/>
                <w:rtl/>
              </w:rPr>
              <w:t>:</w:t>
            </w:r>
          </w:p>
          <w:p w14:paraId="4C05E835" w14:textId="77777777" w:rsidR="00105E0F" w:rsidRPr="00A02610" w:rsidRDefault="00105E0F" w:rsidP="00A02610">
            <w:pPr>
              <w:suppressLineNumbers/>
              <w:rPr>
                <w:rFonts w:ascii="David" w:hAnsi="David"/>
                <w:sz w:val="28"/>
                <w:szCs w:val="28"/>
                <w:rtl/>
              </w:rPr>
            </w:pPr>
          </w:p>
        </w:tc>
        <w:tc>
          <w:tcPr>
            <w:tcW w:w="5252" w:type="dxa"/>
            <w:shd w:val="clear" w:color="auto" w:fill="auto"/>
          </w:tcPr>
          <w:p w14:paraId="19AA18B7" w14:textId="77777777" w:rsidR="00F1720B" w:rsidRPr="00A02610" w:rsidRDefault="00F1720B" w:rsidP="00A02610">
            <w:pPr>
              <w:suppressLineNumbers/>
              <w:rPr>
                <w:rFonts w:ascii="David" w:hAnsi="David"/>
                <w:sz w:val="28"/>
                <w:szCs w:val="28"/>
                <w:rtl/>
              </w:rPr>
            </w:pPr>
          </w:p>
          <w:p w14:paraId="2D82E7B1" w14:textId="77777777" w:rsidR="00105E0F" w:rsidRPr="00A02610" w:rsidRDefault="00616AE2" w:rsidP="00A02610">
            <w:pPr>
              <w:suppressLineNumbers/>
              <w:rPr>
                <w:rFonts w:ascii="David" w:hAnsi="David"/>
                <w:sz w:val="28"/>
                <w:szCs w:val="28"/>
                <w:rtl/>
              </w:rPr>
            </w:pPr>
            <w:r w:rsidRPr="00A02610">
              <w:rPr>
                <w:rFonts w:ascii="David" w:hAnsi="David" w:hint="cs"/>
                <w:sz w:val="28"/>
                <w:szCs w:val="28"/>
                <w:rtl/>
              </w:rPr>
              <w:t xml:space="preserve">עו"ד </w:t>
            </w:r>
            <w:r w:rsidRPr="00A02610">
              <w:rPr>
                <w:rFonts w:ascii="David" w:hAnsi="David"/>
                <w:sz w:val="28"/>
                <w:szCs w:val="28"/>
                <w:rtl/>
              </w:rPr>
              <w:t>אורן</w:t>
            </w:r>
            <w:r w:rsidR="00000000" w:rsidRPr="00A02610">
              <w:rPr>
                <w:rFonts w:ascii="David" w:hAnsi="David"/>
                <w:sz w:val="28"/>
                <w:szCs w:val="28"/>
                <w:rtl/>
              </w:rPr>
              <w:t xml:space="preserve"> </w:t>
            </w:r>
            <w:r w:rsidR="00F1720B" w:rsidRPr="00A02610">
              <w:rPr>
                <w:rFonts w:ascii="David" w:hAnsi="David"/>
                <w:sz w:val="28"/>
                <w:szCs w:val="28"/>
                <w:rtl/>
              </w:rPr>
              <w:t>אוז</w:t>
            </w:r>
            <w:r w:rsidR="00F1720B" w:rsidRPr="00A02610">
              <w:rPr>
                <w:rFonts w:ascii="David" w:hAnsi="David" w:hint="cs"/>
                <w:sz w:val="28"/>
                <w:szCs w:val="28"/>
                <w:rtl/>
              </w:rPr>
              <w:t>ן</w:t>
            </w:r>
          </w:p>
        </w:tc>
      </w:tr>
      <w:tr w:rsidR="00D51BF7" w14:paraId="777EB12C" w14:textId="77777777" w:rsidTr="00A02610">
        <w:trPr>
          <w:jc w:val="center"/>
        </w:trPr>
        <w:tc>
          <w:tcPr>
            <w:tcW w:w="3096" w:type="dxa"/>
            <w:shd w:val="clear" w:color="auto" w:fill="auto"/>
          </w:tcPr>
          <w:p w14:paraId="098DDA48" w14:textId="77777777" w:rsidR="00105E0F" w:rsidRPr="00A02610" w:rsidRDefault="00C9217F" w:rsidP="00A02610">
            <w:pPr>
              <w:suppressLineNumbers/>
              <w:rPr>
                <w:rFonts w:ascii="David" w:hAnsi="David"/>
                <w:sz w:val="28"/>
                <w:szCs w:val="28"/>
              </w:rPr>
            </w:pPr>
            <w:bookmarkStart w:id="3" w:name="FirstLawyer"/>
            <w:r w:rsidRPr="00A02610">
              <w:rPr>
                <w:rFonts w:ascii="David" w:hAnsi="David" w:hint="cs"/>
                <w:sz w:val="28"/>
                <w:szCs w:val="28"/>
                <w:rtl/>
              </w:rPr>
              <w:t>בשם ה</w:t>
            </w:r>
            <w:r w:rsidRPr="00A02610">
              <w:rPr>
                <w:rFonts w:ascii="David" w:hAnsi="David"/>
                <w:sz w:val="28"/>
                <w:szCs w:val="28"/>
                <w:rtl/>
              </w:rPr>
              <w:t>משיב</w:t>
            </w:r>
            <w:r w:rsidR="00F1720B" w:rsidRPr="00A02610">
              <w:rPr>
                <w:rFonts w:ascii="David" w:hAnsi="David" w:hint="cs"/>
                <w:sz w:val="28"/>
                <w:szCs w:val="28"/>
                <w:rtl/>
              </w:rPr>
              <w:t>ה והמערערת בערעור משיב</w:t>
            </w:r>
            <w:r w:rsidRPr="00A02610">
              <w:rPr>
                <w:rFonts w:ascii="David" w:hAnsi="David" w:hint="cs"/>
                <w:sz w:val="28"/>
                <w:szCs w:val="28"/>
                <w:rtl/>
              </w:rPr>
              <w:t>:</w:t>
            </w:r>
          </w:p>
        </w:tc>
        <w:tc>
          <w:tcPr>
            <w:tcW w:w="5252" w:type="dxa"/>
            <w:shd w:val="clear" w:color="auto" w:fill="auto"/>
          </w:tcPr>
          <w:p w14:paraId="21FBA5F8" w14:textId="77777777" w:rsidR="00F1720B" w:rsidRPr="00A02610" w:rsidRDefault="00F1720B" w:rsidP="00A02610">
            <w:pPr>
              <w:suppressLineNumbers/>
              <w:rPr>
                <w:rFonts w:ascii="David" w:hAnsi="David"/>
                <w:sz w:val="28"/>
                <w:szCs w:val="28"/>
                <w:rtl/>
              </w:rPr>
            </w:pPr>
          </w:p>
          <w:p w14:paraId="4E1ADC35" w14:textId="77777777" w:rsidR="00105E0F" w:rsidRPr="00A02610" w:rsidRDefault="00616AE2" w:rsidP="00A02610">
            <w:pPr>
              <w:suppressLineNumbers/>
              <w:rPr>
                <w:rFonts w:ascii="David" w:hAnsi="David"/>
                <w:sz w:val="28"/>
                <w:szCs w:val="28"/>
              </w:rPr>
            </w:pPr>
            <w:r w:rsidRPr="00A02610">
              <w:rPr>
                <w:rFonts w:ascii="David" w:hAnsi="David" w:hint="cs"/>
                <w:sz w:val="28"/>
                <w:szCs w:val="28"/>
                <w:rtl/>
              </w:rPr>
              <w:t xml:space="preserve">עו"ד </w:t>
            </w:r>
            <w:r w:rsidRPr="00A02610">
              <w:rPr>
                <w:rFonts w:ascii="David" w:hAnsi="David"/>
                <w:sz w:val="28"/>
                <w:szCs w:val="28"/>
                <w:rtl/>
              </w:rPr>
              <w:t>גיא</w:t>
            </w:r>
            <w:r w:rsidR="00000000" w:rsidRPr="00A02610">
              <w:rPr>
                <w:rFonts w:ascii="David" w:hAnsi="David"/>
                <w:sz w:val="28"/>
                <w:szCs w:val="28"/>
                <w:rtl/>
              </w:rPr>
              <w:t xml:space="preserve"> </w:t>
            </w:r>
            <w:r w:rsidRPr="00A02610">
              <w:rPr>
                <w:rFonts w:ascii="David" w:hAnsi="David"/>
                <w:sz w:val="28"/>
                <w:szCs w:val="28"/>
                <w:rtl/>
              </w:rPr>
              <w:t>פייביש</w:t>
            </w:r>
            <w:r w:rsidRPr="00A02610">
              <w:rPr>
                <w:rFonts w:ascii="David" w:hAnsi="David" w:hint="cs"/>
                <w:sz w:val="28"/>
                <w:szCs w:val="28"/>
                <w:rtl/>
              </w:rPr>
              <w:t xml:space="preserve"> </w:t>
            </w:r>
          </w:p>
        </w:tc>
      </w:tr>
      <w:bookmarkEnd w:id="3"/>
    </w:tbl>
    <w:p w14:paraId="525FCF9B" w14:textId="77777777" w:rsidR="0094424E" w:rsidRPr="00A02610" w:rsidRDefault="0094424E" w:rsidP="00D44968">
      <w:pPr>
        <w:suppressLineNumbers/>
        <w:rPr>
          <w:rFonts w:ascii="David" w:hAnsi="David"/>
          <w:rtl/>
        </w:rPr>
      </w:pPr>
    </w:p>
    <w:p w14:paraId="6C9DE3C2" w14:textId="77777777" w:rsidR="00B34754" w:rsidRPr="00EF6807" w:rsidRDefault="00B34754" w:rsidP="00EF6807">
      <w:pPr>
        <w:suppressLineNumbers/>
        <w:rPr>
          <w:rFonts w:ascii="David" w:hAnsi="David"/>
          <w:rtl/>
        </w:rPr>
      </w:pPr>
      <w:bookmarkStart w:id="4" w:name="LawTable"/>
      <w:bookmarkStart w:id="5" w:name="ABSTRACT_END"/>
      <w:bookmarkEnd w:id="4"/>
      <w:bookmarkEnd w:id="5"/>
    </w:p>
    <w:tbl>
      <w:tblPr>
        <w:bidiVisual/>
        <w:tblW w:w="8498" w:type="dxa"/>
        <w:jc w:val="center"/>
        <w:tblLook w:val="01E0" w:firstRow="1" w:lastRow="1" w:firstColumn="1" w:lastColumn="1" w:noHBand="0" w:noVBand="0"/>
      </w:tblPr>
      <w:tblGrid>
        <w:gridCol w:w="8498"/>
      </w:tblGrid>
      <w:tr w:rsidR="00D51BF7" w14:paraId="6B56A4A7" w14:textId="77777777" w:rsidTr="00A02610">
        <w:trPr>
          <w:jc w:val="center"/>
        </w:trPr>
        <w:tc>
          <w:tcPr>
            <w:tcW w:w="8498" w:type="dxa"/>
            <w:shd w:val="clear" w:color="auto" w:fill="auto"/>
          </w:tcPr>
          <w:p w14:paraId="00377A2C" w14:textId="77777777" w:rsidR="00D44968" w:rsidRPr="00A02610" w:rsidRDefault="00A02610" w:rsidP="00A02610">
            <w:pPr>
              <w:bidi w:val="0"/>
              <w:jc w:val="center"/>
              <w:rPr>
                <w:rFonts w:ascii="David" w:hAnsi="David"/>
                <w:b/>
                <w:bCs/>
                <w:u w:val="single"/>
              </w:rPr>
            </w:pPr>
            <w:bookmarkStart w:id="6" w:name="PsakDin"/>
            <w:r w:rsidRPr="00A02610">
              <w:rPr>
                <w:rFonts w:ascii="David" w:hAnsi="David"/>
                <w:b/>
                <w:bCs/>
                <w:spacing w:val="30"/>
                <w:sz w:val="28"/>
                <w:szCs w:val="28"/>
                <w:u w:val="single"/>
                <w:rtl/>
              </w:rPr>
              <w:t>פסק-דין</w:t>
            </w:r>
            <w:bookmarkEnd w:id="6"/>
          </w:p>
        </w:tc>
      </w:tr>
    </w:tbl>
    <w:p w14:paraId="75F77D1F" w14:textId="77777777" w:rsidR="00A05A60" w:rsidRDefault="00A05A60" w:rsidP="00E311E6">
      <w:pPr>
        <w:pStyle w:val="Ruller40"/>
        <w:rPr>
          <w:rFonts w:ascii="Century" w:hAnsi="Century" w:cs="Miriam"/>
          <w:b/>
          <w:spacing w:val="0"/>
          <w:szCs w:val="24"/>
          <w:u w:val="single"/>
          <w:rtl/>
        </w:rPr>
      </w:pPr>
      <w:bookmarkStart w:id="7" w:name="NGCSBookmark"/>
      <w:bookmarkEnd w:id="7"/>
    </w:p>
    <w:p w14:paraId="3288106A" w14:textId="77777777" w:rsidR="00E311E6" w:rsidRDefault="00000000" w:rsidP="00E311E6">
      <w:pPr>
        <w:pStyle w:val="Ruller40"/>
        <w:rPr>
          <w:rFonts w:ascii="Century" w:hAnsi="Century" w:cs="Miriam"/>
          <w:b/>
          <w:spacing w:val="0"/>
          <w:szCs w:val="24"/>
          <w:u w:val="single"/>
          <w:rtl/>
        </w:rPr>
      </w:pPr>
      <w:r w:rsidRPr="00E311E6">
        <w:rPr>
          <w:rFonts w:ascii="Century" w:hAnsi="Century" w:cs="Miriam"/>
          <w:b/>
          <w:spacing w:val="0"/>
          <w:szCs w:val="24"/>
          <w:u w:val="single"/>
          <w:rtl/>
        </w:rPr>
        <w:t>ה</w:t>
      </w:r>
      <w:r>
        <w:rPr>
          <w:rFonts w:ascii="Century" w:hAnsi="Century" w:cs="Miriam"/>
          <w:b/>
          <w:spacing w:val="0"/>
          <w:szCs w:val="24"/>
          <w:u w:val="single"/>
          <w:rtl/>
        </w:rPr>
        <w:t>נשיא</w:t>
      </w:r>
      <w:r w:rsidRPr="00E311E6">
        <w:rPr>
          <w:rFonts w:ascii="Century" w:hAnsi="Century" w:cs="Miriam"/>
          <w:b/>
          <w:spacing w:val="0"/>
          <w:szCs w:val="24"/>
          <w:u w:val="single"/>
          <w:rtl/>
        </w:rPr>
        <w:t xml:space="preserve"> </w:t>
      </w:r>
      <w:r>
        <w:rPr>
          <w:rFonts w:ascii="Century" w:hAnsi="Century" w:cs="Miriam"/>
          <w:b/>
          <w:spacing w:val="0"/>
          <w:szCs w:val="24"/>
          <w:u w:val="single"/>
          <w:rtl/>
        </w:rPr>
        <w:t>יצחק עמית</w:t>
      </w:r>
      <w:r w:rsidRPr="00E311E6">
        <w:rPr>
          <w:rFonts w:ascii="Century" w:hAnsi="Century" w:cs="Miriam"/>
          <w:b/>
          <w:spacing w:val="0"/>
          <w:szCs w:val="24"/>
          <w:u w:val="single"/>
          <w:rtl/>
        </w:rPr>
        <w:t>:</w:t>
      </w:r>
    </w:p>
    <w:p w14:paraId="28EA799E" w14:textId="77777777" w:rsidR="00E00713" w:rsidRDefault="00E00713" w:rsidP="00E311E6">
      <w:pPr>
        <w:pStyle w:val="Ruller40"/>
        <w:rPr>
          <w:rFonts w:ascii="Century" w:hAnsi="Century" w:cs="Miriam"/>
          <w:b/>
          <w:spacing w:val="0"/>
          <w:szCs w:val="24"/>
          <w:u w:val="single"/>
          <w:rtl/>
        </w:rPr>
      </w:pPr>
    </w:p>
    <w:p w14:paraId="46486456" w14:textId="77777777" w:rsidR="00E00713" w:rsidRDefault="00000000" w:rsidP="00E00713">
      <w:pPr>
        <w:pStyle w:val="Ruller40"/>
      </w:pPr>
      <w:r>
        <w:rPr>
          <w:rtl/>
        </w:rPr>
        <w:tab/>
        <w:t xml:space="preserve">ערעורים על פסק דינו של בית המשפט המחוזי בחיפה (כב' השופט </w:t>
      </w:r>
      <w:r>
        <w:rPr>
          <w:rFonts w:ascii="Century" w:hAnsi="Century" w:cs="Miriam"/>
          <w:b/>
          <w:spacing w:val="0"/>
          <w:szCs w:val="24"/>
          <w:rtl/>
        </w:rPr>
        <w:t>ח' שרעבי</w:t>
      </w:r>
      <w:r>
        <w:rPr>
          <w:rtl/>
        </w:rPr>
        <w:t>) מיום 19.10.2021 ב</w:t>
      </w:r>
      <w:hyperlink r:id="rId8" w:history="1">
        <w:r w:rsidR="00A02610" w:rsidRPr="00A02610">
          <w:rPr>
            <w:color w:val="0000FF"/>
            <w:u w:val="single"/>
            <w:rtl/>
          </w:rPr>
          <w:t>ת"א 2269-05-18</w:t>
        </w:r>
      </w:hyperlink>
      <w:r>
        <w:rPr>
          <w:rtl/>
        </w:rPr>
        <w:t xml:space="preserve">, </w:t>
      </w:r>
      <w:r w:rsidR="00EF6807">
        <w:rPr>
          <w:rFonts w:hint="cs"/>
          <w:rtl/>
        </w:rPr>
        <w:t xml:space="preserve">[נבו] </w:t>
      </w:r>
      <w:r>
        <w:rPr>
          <w:rtl/>
        </w:rPr>
        <w:t xml:space="preserve">שבמסגרתו נדחתה תביעת עיריית חיפה לביטול הסכם החכירה אך התקבלה טענתה באשר להעלאת שיעור דמי החכירה. </w:t>
      </w:r>
    </w:p>
    <w:p w14:paraId="623E0B16" w14:textId="77777777" w:rsidR="00E00713" w:rsidRDefault="00E00713" w:rsidP="00E00713">
      <w:pPr>
        <w:pStyle w:val="Ruller40"/>
        <w:rPr>
          <w:rtl/>
        </w:rPr>
      </w:pPr>
    </w:p>
    <w:p w14:paraId="013C2EA7" w14:textId="77777777" w:rsidR="00E00713" w:rsidRDefault="00000000" w:rsidP="00E00713">
      <w:pPr>
        <w:pStyle w:val="Ruller40"/>
        <w:rPr>
          <w:rFonts w:ascii="Century" w:hAnsi="Century" w:cs="Miriam"/>
          <w:b/>
          <w:spacing w:val="0"/>
          <w:szCs w:val="24"/>
          <w:rtl/>
        </w:rPr>
      </w:pPr>
      <w:r>
        <w:rPr>
          <w:rFonts w:ascii="Century" w:hAnsi="Century" w:cs="Miriam"/>
          <w:b/>
          <w:spacing w:val="0"/>
          <w:szCs w:val="24"/>
          <w:rtl/>
        </w:rPr>
        <w:t xml:space="preserve">העובדות </w:t>
      </w:r>
    </w:p>
    <w:p w14:paraId="7CD6601B" w14:textId="77777777" w:rsidR="00E00713" w:rsidRDefault="00E00713" w:rsidP="00E00713">
      <w:pPr>
        <w:pStyle w:val="Ruller40"/>
        <w:rPr>
          <w:rFonts w:ascii="Century" w:hAnsi="Century" w:cs="Miriam"/>
          <w:b/>
          <w:spacing w:val="0"/>
          <w:szCs w:val="24"/>
          <w:rtl/>
        </w:rPr>
      </w:pPr>
    </w:p>
    <w:p w14:paraId="4731E8CA" w14:textId="77777777" w:rsidR="00E00713" w:rsidRDefault="00000000" w:rsidP="00E00713">
      <w:pPr>
        <w:pStyle w:val="Ruller40"/>
        <w:rPr>
          <w:rFonts w:ascii="Century" w:hAnsi="Century"/>
          <w:rtl/>
        </w:rPr>
      </w:pPr>
      <w:r>
        <w:rPr>
          <w:rFonts w:ascii="Century" w:hAnsi="Century"/>
          <w:rtl/>
        </w:rPr>
        <w:t>1.</w:t>
      </w:r>
      <w:r>
        <w:rPr>
          <w:rFonts w:ascii="Century" w:hAnsi="Century"/>
          <w:rtl/>
        </w:rPr>
        <w:tab/>
        <w:t xml:space="preserve">המקרקעין מושא הערעור דנן, ששטחם 1,059 מ"ר, מצויים ברחוב סיני בחיפה, ידועים כחלקה 77 בגוש 10781 (להלן: </w:t>
      </w:r>
      <w:r>
        <w:rPr>
          <w:rFonts w:ascii="Century" w:hAnsi="Century" w:cs="Miriam"/>
          <w:b/>
          <w:spacing w:val="0"/>
          <w:szCs w:val="24"/>
          <w:rtl/>
        </w:rPr>
        <w:t>המקרקעין</w:t>
      </w:r>
      <w:r>
        <w:rPr>
          <w:rFonts w:ascii="Century" w:hAnsi="Century"/>
          <w:rtl/>
        </w:rPr>
        <w:t xml:space="preserve">), ובבעלות עיריית חיפה (להלן: </w:t>
      </w:r>
      <w:r>
        <w:rPr>
          <w:rFonts w:ascii="Century" w:hAnsi="Century" w:cs="Miriam"/>
          <w:b/>
          <w:spacing w:val="0"/>
          <w:szCs w:val="24"/>
          <w:rtl/>
        </w:rPr>
        <w:t>העירייה</w:t>
      </w:r>
      <w:r>
        <w:rPr>
          <w:rFonts w:ascii="Century" w:hAnsi="Century"/>
          <w:rtl/>
        </w:rPr>
        <w:t xml:space="preserve">). החלקות 76-75 הצמודות למקרקעין, ואשר שטחן 2,376 מ"ר, בבעלות עמותת </w:t>
      </w:r>
      <w:r>
        <w:rPr>
          <w:rFonts w:ascii="Century" w:hAnsi="Century"/>
          <w:rtl/>
        </w:rPr>
        <w:lastRenderedPageBreak/>
        <w:t xml:space="preserve">מעון הורים "סיני", עמותה ללא מטרות רווח, שהחלה דרכה כאגודה עותומנית (להלן: </w:t>
      </w:r>
      <w:r>
        <w:rPr>
          <w:rFonts w:ascii="Century" w:hAnsi="Century" w:cs="Miriam"/>
          <w:b/>
          <w:spacing w:val="0"/>
          <w:szCs w:val="24"/>
          <w:rtl/>
        </w:rPr>
        <w:t>המעון</w:t>
      </w:r>
      <w:r>
        <w:rPr>
          <w:rFonts w:ascii="Century" w:hAnsi="Century"/>
          <w:rtl/>
        </w:rPr>
        <w:t>).</w:t>
      </w:r>
    </w:p>
    <w:p w14:paraId="60BC71DC" w14:textId="77777777" w:rsidR="00E00713" w:rsidRDefault="00E00713" w:rsidP="00E00713">
      <w:pPr>
        <w:pStyle w:val="Ruller40"/>
        <w:rPr>
          <w:rFonts w:ascii="Century" w:hAnsi="Century"/>
          <w:rtl/>
        </w:rPr>
      </w:pPr>
    </w:p>
    <w:p w14:paraId="3868F504" w14:textId="77777777" w:rsidR="00E00713" w:rsidRDefault="00000000" w:rsidP="00E00713">
      <w:pPr>
        <w:pStyle w:val="Ruller40"/>
        <w:rPr>
          <w:rFonts w:ascii="Century" w:hAnsi="Century"/>
          <w:rtl/>
        </w:rPr>
      </w:pPr>
      <w:r>
        <w:rPr>
          <w:rFonts w:ascii="Century" w:hAnsi="Century"/>
          <w:rtl/>
        </w:rPr>
        <w:tab/>
        <w:t xml:space="preserve">ביום 1.2.1961 נחתם בין המעון והעירייה הסכם לפיו העירייה תחכיר למעון את המקרקעין עבור בניית בית אבות בשטח שלוש החלקות (להלן: </w:t>
      </w:r>
      <w:r>
        <w:rPr>
          <w:rFonts w:ascii="Century" w:hAnsi="Century" w:cs="Miriam"/>
          <w:b/>
          <w:spacing w:val="0"/>
          <w:szCs w:val="24"/>
          <w:rtl/>
        </w:rPr>
        <w:t>ההסכם</w:t>
      </w:r>
      <w:r>
        <w:rPr>
          <w:rFonts w:ascii="Century" w:hAnsi="Century"/>
          <w:rtl/>
        </w:rPr>
        <w:t xml:space="preserve"> או </w:t>
      </w:r>
      <w:r>
        <w:rPr>
          <w:rFonts w:ascii="Century" w:hAnsi="Century" w:cs="Miriam"/>
          <w:b/>
          <w:spacing w:val="0"/>
          <w:szCs w:val="24"/>
          <w:rtl/>
        </w:rPr>
        <w:t>הסכם</w:t>
      </w:r>
      <w:r>
        <w:rPr>
          <w:rFonts w:ascii="Century" w:hAnsi="Century"/>
          <w:rtl/>
        </w:rPr>
        <w:t xml:space="preserve"> </w:t>
      </w:r>
      <w:r>
        <w:rPr>
          <w:rFonts w:ascii="Century" w:hAnsi="Century" w:cs="Miriam"/>
          <w:b/>
          <w:spacing w:val="0"/>
          <w:szCs w:val="24"/>
          <w:rtl/>
        </w:rPr>
        <w:t>החכירה</w:t>
      </w:r>
      <w:r>
        <w:rPr>
          <w:rFonts w:ascii="Century" w:hAnsi="Century"/>
          <w:rtl/>
        </w:rPr>
        <w:t>). בהסכם צוינו התנאים הבאים: תקופת החכירה היא ל-99 שנים; דמי החכירה השנתיים יהיו 200 ל"י לשנה (אשר מוערכים להיות 1% משווי המקרקעין אותה עת) לשבע השנים הראשונות; בתום כל תקופה של שבע שנים העירייה תהא רשאית להעריך מחדש את שווי הקרקע; נוסח חוזה החכירה יהא זהה לתנאי ההסכם. אין מחלוקת כי מעבר להסכם הנ"ל, לא נחתם חוזה חכירה בין הצדדים.</w:t>
      </w:r>
    </w:p>
    <w:p w14:paraId="2D8C6A1A" w14:textId="77777777" w:rsidR="00E00713" w:rsidRDefault="00E00713" w:rsidP="00E00713">
      <w:pPr>
        <w:pStyle w:val="Ruller40"/>
        <w:rPr>
          <w:rFonts w:ascii="Century" w:hAnsi="Century"/>
          <w:rtl/>
        </w:rPr>
      </w:pPr>
    </w:p>
    <w:p w14:paraId="7ECF4481" w14:textId="77777777" w:rsidR="00E00713" w:rsidRDefault="00000000" w:rsidP="00E00713">
      <w:pPr>
        <w:pStyle w:val="Ruller40"/>
        <w:rPr>
          <w:rFonts w:ascii="Century" w:hAnsi="Century"/>
          <w:rtl/>
        </w:rPr>
      </w:pPr>
      <w:r>
        <w:rPr>
          <w:rFonts w:ascii="Century" w:hAnsi="Century"/>
          <w:rtl/>
        </w:rPr>
        <w:tab/>
        <w:t xml:space="preserve">בית האבות אכן נבנה על שטח החלקות, ופעל עד לחודש נובמבר 2016. בשנותיו האחרונות של בית האבות הצטבר למעון חוב דמי חכירה בסך של כשלושה מיליון שקלים בנוסף לחובות אחרים. בשל חובותיו, מצא המעון משקיעה, חברה בשם א.נ.מ.נ. מוריה קפיטל בע"מ (להלן: </w:t>
      </w:r>
      <w:r>
        <w:rPr>
          <w:rFonts w:ascii="Century" w:hAnsi="Century" w:cs="Miriam"/>
          <w:b/>
          <w:spacing w:val="0"/>
          <w:szCs w:val="24"/>
          <w:rtl/>
        </w:rPr>
        <w:t>חברת מוריה</w:t>
      </w:r>
      <w:r>
        <w:rPr>
          <w:rFonts w:ascii="Century" w:hAnsi="Century"/>
          <w:rtl/>
        </w:rPr>
        <w:t xml:space="preserve">), שהסכימה ליטול על עצמה את חובות בית האבות, לבנות בית אבות חדש תחת הקיים, ולנהל אותו יחד עם המעון. ביום 24.4.2017 נחתם הסכם בין השניים, וביום 25.6.2017 נחתמה תוספת להסכם (להלן: </w:t>
      </w:r>
      <w:r>
        <w:rPr>
          <w:rFonts w:ascii="Century" w:hAnsi="Century" w:cs="Miriam"/>
          <w:b/>
          <w:spacing w:val="0"/>
          <w:szCs w:val="24"/>
          <w:rtl/>
        </w:rPr>
        <w:t>הסכם 2017</w:t>
      </w:r>
      <w:r>
        <w:rPr>
          <w:rFonts w:ascii="Century" w:hAnsi="Century"/>
          <w:rtl/>
        </w:rPr>
        <w:t>). לאחר החתימה על הסכם 2017 התגלע סכסוך בין המעון והעירייה, אשר ביקשה להעלות את שיעור דמי החכירה ל-5%, במקום 1% שנהג עד לאותו זמן. בעקבות כך, העירייה הגישה תביעה לבית המשפט המחוזי.</w:t>
      </w:r>
    </w:p>
    <w:p w14:paraId="7083F9A1" w14:textId="77777777" w:rsidR="00E00713" w:rsidRDefault="00E00713" w:rsidP="00E00713">
      <w:pPr>
        <w:pStyle w:val="Ruller40"/>
        <w:rPr>
          <w:rFonts w:ascii="Century" w:hAnsi="Century" w:cs="Miriam"/>
          <w:b/>
          <w:spacing w:val="0"/>
          <w:szCs w:val="24"/>
          <w:rtl/>
        </w:rPr>
      </w:pPr>
    </w:p>
    <w:p w14:paraId="120C7D91" w14:textId="77777777" w:rsidR="00E00713" w:rsidRDefault="00000000" w:rsidP="00E00713">
      <w:pPr>
        <w:pStyle w:val="Ruller40"/>
        <w:rPr>
          <w:rFonts w:ascii="Century" w:hAnsi="Century" w:cs="Miriam"/>
          <w:b/>
          <w:spacing w:val="0"/>
          <w:szCs w:val="24"/>
          <w:rtl/>
        </w:rPr>
      </w:pPr>
      <w:r>
        <w:rPr>
          <w:rFonts w:ascii="Century" w:hAnsi="Century" w:cs="Miriam"/>
          <w:b/>
          <w:spacing w:val="0"/>
          <w:szCs w:val="24"/>
          <w:rtl/>
        </w:rPr>
        <w:t>פסק דינו של בית המשפט המחוזי</w:t>
      </w:r>
    </w:p>
    <w:p w14:paraId="0439E2B2" w14:textId="77777777" w:rsidR="00E00713" w:rsidRDefault="00E00713" w:rsidP="00E00713">
      <w:pPr>
        <w:pStyle w:val="Ruller40"/>
        <w:rPr>
          <w:rFonts w:ascii="Century" w:hAnsi="Century" w:cs="Miriam"/>
          <w:b/>
          <w:spacing w:val="0"/>
          <w:szCs w:val="24"/>
          <w:rtl/>
        </w:rPr>
      </w:pPr>
    </w:p>
    <w:p w14:paraId="3BBA70ED" w14:textId="77777777" w:rsidR="00E00713" w:rsidRDefault="00000000" w:rsidP="00E00713">
      <w:pPr>
        <w:pStyle w:val="Ruller40"/>
        <w:rPr>
          <w:rFonts w:ascii="Century" w:hAnsi="Century"/>
          <w:rtl/>
        </w:rPr>
      </w:pPr>
      <w:r>
        <w:rPr>
          <w:rFonts w:ascii="Century" w:hAnsi="Century"/>
          <w:rtl/>
        </w:rPr>
        <w:t>2.</w:t>
      </w:r>
      <w:r>
        <w:rPr>
          <w:rFonts w:ascii="Century" w:hAnsi="Century"/>
          <w:rtl/>
        </w:rPr>
        <w:tab/>
        <w:t xml:space="preserve">בית משפט קמא עסק בפסק דינו בארבע שאלות: </w:t>
      </w:r>
      <w:r>
        <w:rPr>
          <w:rFonts w:ascii="Century" w:hAnsi="Century" w:cs="Miriam"/>
          <w:b/>
          <w:spacing w:val="0"/>
          <w:szCs w:val="24"/>
          <w:rtl/>
        </w:rPr>
        <w:t>ראשית</w:t>
      </w:r>
      <w:r>
        <w:rPr>
          <w:rFonts w:ascii="Century" w:hAnsi="Century"/>
          <w:rtl/>
        </w:rPr>
        <w:t xml:space="preserve">, האם ההסכם הוא חוזה חכירה; </w:t>
      </w:r>
      <w:r>
        <w:rPr>
          <w:rFonts w:ascii="Century" w:hAnsi="Century" w:cs="Miriam"/>
          <w:b/>
          <w:spacing w:val="0"/>
          <w:szCs w:val="24"/>
          <w:rtl/>
        </w:rPr>
        <w:t>שנית</w:t>
      </w:r>
      <w:r>
        <w:rPr>
          <w:rFonts w:ascii="Century" w:hAnsi="Century"/>
          <w:rtl/>
        </w:rPr>
        <w:t xml:space="preserve">, האם החוזה הופר על ידי המעון; </w:t>
      </w:r>
      <w:r>
        <w:rPr>
          <w:rFonts w:ascii="Century" w:hAnsi="Century" w:cs="Miriam"/>
          <w:b/>
          <w:spacing w:val="0"/>
          <w:szCs w:val="24"/>
          <w:rtl/>
        </w:rPr>
        <w:t>שלישית</w:t>
      </w:r>
      <w:r>
        <w:rPr>
          <w:rFonts w:ascii="Century" w:hAnsi="Century"/>
          <w:rtl/>
        </w:rPr>
        <w:t xml:space="preserve">, מה שיעור דמי החכירה; </w:t>
      </w:r>
      <w:r>
        <w:rPr>
          <w:rFonts w:ascii="Century" w:hAnsi="Century" w:cs="Miriam"/>
          <w:b/>
          <w:spacing w:val="0"/>
          <w:szCs w:val="24"/>
          <w:rtl/>
        </w:rPr>
        <w:t>ורביעית</w:t>
      </w:r>
      <w:r>
        <w:rPr>
          <w:rFonts w:ascii="Century" w:hAnsi="Century"/>
          <w:rtl/>
        </w:rPr>
        <w:t>, מה ערך המקרקעין על בסיסו יש לחשב את דמי החכירה.</w:t>
      </w:r>
    </w:p>
    <w:p w14:paraId="7A8AF8A7" w14:textId="77777777" w:rsidR="00E00713" w:rsidRDefault="00E00713" w:rsidP="00E00713">
      <w:pPr>
        <w:pStyle w:val="Ruller40"/>
        <w:rPr>
          <w:rFonts w:ascii="Century" w:hAnsi="Century"/>
          <w:rtl/>
        </w:rPr>
      </w:pPr>
    </w:p>
    <w:p w14:paraId="40722697" w14:textId="77777777" w:rsidR="00E00713" w:rsidRDefault="00000000" w:rsidP="00E00713">
      <w:pPr>
        <w:pStyle w:val="Ruller40"/>
        <w:rPr>
          <w:rFonts w:ascii="Century" w:hAnsi="Century"/>
          <w:rtl/>
        </w:rPr>
      </w:pPr>
      <w:r>
        <w:rPr>
          <w:rFonts w:ascii="Century" w:hAnsi="Century"/>
          <w:rtl/>
        </w:rPr>
        <w:tab/>
        <w:t xml:space="preserve">תחילה, קבע בית משפט קמא כי ההסכם מהווה למעשה חוזה חכירה בין הצדדים, או לפחות שקול לחוזה חכירה כאמור – זאת מכיוון שהוא מפורט דיו והוראותיו ממילא היו זהות לחוזה חכירה, אם היה נחתם כזה – ובכל מקרה, הוא ההסכם המחייב היחיד בין הצדדים. </w:t>
      </w:r>
    </w:p>
    <w:p w14:paraId="763F3583" w14:textId="77777777" w:rsidR="00E00713" w:rsidRDefault="00E00713" w:rsidP="00E00713">
      <w:pPr>
        <w:pStyle w:val="Ruller40"/>
        <w:rPr>
          <w:rFonts w:ascii="Century" w:hAnsi="Century"/>
          <w:rtl/>
        </w:rPr>
      </w:pPr>
    </w:p>
    <w:p w14:paraId="71F4C771" w14:textId="77777777" w:rsidR="00E00713" w:rsidRDefault="00000000" w:rsidP="00E00713">
      <w:pPr>
        <w:pStyle w:val="Ruller40"/>
        <w:rPr>
          <w:rFonts w:ascii="Century" w:hAnsi="Century"/>
          <w:rtl/>
        </w:rPr>
      </w:pPr>
      <w:r>
        <w:rPr>
          <w:rFonts w:ascii="Century" w:hAnsi="Century"/>
          <w:rtl/>
        </w:rPr>
        <w:tab/>
        <w:t>בית המשפט דחה את טענת העירייה לפיה המעון הפר את ההסכם, וקבע, בין היתר, כי ההסכם לא אסר על שיתוף צד ג' בהפעלת בית האבות, ואף לא דרש את אישור העירייה לשם כך; כי לא נמצאה סתירה בין הסכם החכירה להסכם 2017; כי המטרה הציבורית לשמה נועד ההסכם – הקמת בית אבות – נותרה על כנה; כי על אף שלחברת מוריה מטרה רווחית, עומדים מנגד הסיכונים הכספיים והכלכליים הרבים שנטלה על עצמה במסגרת הסכם 2017, והעירייה לא הוכיחה שצירוף חברת מוריה לניהול משותף של בית האבות הוא החלטה לא ראויה; כי לא נערך שינוי בזכויות במקרקעין; וכי השימוש המיטבי למקרקעין, לטובת ורווחת תושבי חיפה, יהיה המשך קיום ההסכם ולא ביטולו.</w:t>
      </w:r>
    </w:p>
    <w:p w14:paraId="569426C5" w14:textId="77777777" w:rsidR="00E00713" w:rsidRDefault="00E00713" w:rsidP="00E00713">
      <w:pPr>
        <w:pStyle w:val="Ruller40"/>
        <w:rPr>
          <w:rFonts w:ascii="Century" w:hAnsi="Century"/>
          <w:rtl/>
        </w:rPr>
      </w:pPr>
    </w:p>
    <w:p w14:paraId="0CA042FD" w14:textId="77777777" w:rsidR="00E00713" w:rsidRDefault="00000000" w:rsidP="00E00713">
      <w:pPr>
        <w:pStyle w:val="Ruller40"/>
        <w:rPr>
          <w:rFonts w:ascii="Century" w:hAnsi="Century"/>
          <w:rtl/>
        </w:rPr>
      </w:pPr>
      <w:r>
        <w:rPr>
          <w:rFonts w:ascii="Century" w:hAnsi="Century"/>
          <w:rtl/>
        </w:rPr>
        <w:tab/>
        <w:t xml:space="preserve">באשר לשיעור דמי החכירה, בית המשפט קבע כי בעת חתימת ההסכם, הצדדים הסכימו על שיעור דמי חכירה לשבע השנים הראשונות בלבד; וכי החֶסֶר לגבי שיעור דמי החכירה בתום תקופה זו היה מכוון ובעל היגיון, שכן מדובר בחוזה ארוך שנים, ותמורות בשוק המקרקעין עשויות להשליך על שיעור דמי החכירה. בית המשפט מצא לנכון להעלות את שיעור דמי החכירה כך שממועד חתימת הסכם 2017 ועד סיום בניית בית האבות החדש יעמוד על שיעור של 3%, ומתחילת הפעלת בית האבות ועד סיום תקופת ההסכם יעמוד על שיעור של 5%. זאת, בין היתר, מכיוון שלא הוכח שהצדדים הסכימו על שיעור של 1% לכל אורך תקופת החכירה; כי מהתנהגות הצדדים עולה הסכמתם כי שיעור דמי החכירה יקבע על ידי ועדת הנכסים של העירייה, כאשר למעון עומדת האפשרות לבקש הנחה, כפי שאכן נעשה לאורך השנים; כי שיעור דמי החכירה הנהוג ברשות מקרקעי ישראל (להלן: </w:t>
      </w:r>
      <w:r>
        <w:rPr>
          <w:rFonts w:ascii="Century" w:hAnsi="Century" w:cs="Miriam"/>
          <w:b/>
          <w:spacing w:val="0"/>
          <w:szCs w:val="24"/>
          <w:rtl/>
        </w:rPr>
        <w:t>רמ"י</w:t>
      </w:r>
      <w:r>
        <w:rPr>
          <w:rFonts w:ascii="Century" w:hAnsi="Century"/>
          <w:rtl/>
        </w:rPr>
        <w:t xml:space="preserve">), המחכירה הגדולה ביותר בישראל, הוא 5%; כי השימוש במקרקעין במסגרת הסכם 2017 הוא מסחרי ולמטרות רווח, ומשעה שלא מדובר במטרה ציבורית בלבד, אין עוד הצדקה להמשיך וליתן למעון הנחה בדמי החכירה; וכי בעת החתימה על הסכם 2017 המעון וחברת מוריה צפו ואף לקחו בחשבון את העלאת שיעור דמי החכירה. </w:t>
      </w:r>
    </w:p>
    <w:p w14:paraId="7B369B34" w14:textId="77777777" w:rsidR="00E00713" w:rsidRDefault="00E00713" w:rsidP="00E00713">
      <w:pPr>
        <w:pStyle w:val="Ruller40"/>
        <w:rPr>
          <w:rFonts w:ascii="Century" w:hAnsi="Century"/>
          <w:rtl/>
        </w:rPr>
      </w:pPr>
    </w:p>
    <w:p w14:paraId="78ED1C0A" w14:textId="77777777" w:rsidR="00E00713" w:rsidRDefault="00000000" w:rsidP="00E00713">
      <w:pPr>
        <w:pStyle w:val="Ruller40"/>
        <w:rPr>
          <w:rFonts w:ascii="Century" w:hAnsi="Century"/>
          <w:rtl/>
        </w:rPr>
      </w:pPr>
      <w:r>
        <w:rPr>
          <w:rFonts w:ascii="Century" w:hAnsi="Century"/>
          <w:rtl/>
        </w:rPr>
        <w:tab/>
        <w:t xml:space="preserve">לבסוף, באשר לערך המקרקעין על בסיסו יחושבו דמי החכירה, בית המשפט אימץ את קביעת המומחה שמונה מטעמו, שניתנה לאחר מספר חקירות נגדיות, ולפיה ערך המקרקעין עומד על 4,039,000 ש"ח – זאת לאחר הפחתה של 25% משווי המקרקעין בשל שיקולים תכנוניים. </w:t>
      </w:r>
    </w:p>
    <w:p w14:paraId="3B59991B" w14:textId="77777777" w:rsidR="00E00713" w:rsidRDefault="00E00713" w:rsidP="00E00713">
      <w:pPr>
        <w:pStyle w:val="Ruller40"/>
        <w:rPr>
          <w:rFonts w:ascii="Century" w:hAnsi="Century" w:cs="Miriam"/>
          <w:b/>
          <w:spacing w:val="0"/>
          <w:szCs w:val="24"/>
          <w:rtl/>
        </w:rPr>
      </w:pPr>
    </w:p>
    <w:p w14:paraId="775362D1" w14:textId="77777777" w:rsidR="001C3313" w:rsidRDefault="001C3313">
      <w:pPr>
        <w:bidi w:val="0"/>
        <w:rPr>
          <w:rFonts w:ascii="Century" w:hAnsi="Century" w:cs="Miriam"/>
          <w:b/>
          <w:sz w:val="22"/>
          <w:rtl/>
        </w:rPr>
      </w:pPr>
    </w:p>
    <w:p w14:paraId="5502ED1A" w14:textId="77777777" w:rsidR="00E00713" w:rsidRDefault="00000000" w:rsidP="00E00713">
      <w:pPr>
        <w:pStyle w:val="Ruller40"/>
        <w:rPr>
          <w:rFonts w:ascii="Century" w:hAnsi="Century" w:cs="Miriam"/>
          <w:b/>
          <w:spacing w:val="0"/>
          <w:szCs w:val="24"/>
          <w:rtl/>
        </w:rPr>
      </w:pPr>
      <w:r>
        <w:rPr>
          <w:rFonts w:ascii="Century" w:hAnsi="Century" w:cs="Miriam"/>
          <w:b/>
          <w:spacing w:val="0"/>
          <w:szCs w:val="24"/>
          <w:rtl/>
        </w:rPr>
        <w:t>טענות הצדדים</w:t>
      </w:r>
    </w:p>
    <w:p w14:paraId="6C4EDDFA" w14:textId="77777777" w:rsidR="00E00713" w:rsidRDefault="00E00713" w:rsidP="00E00713">
      <w:pPr>
        <w:pStyle w:val="Ruller40"/>
        <w:rPr>
          <w:rFonts w:ascii="Century" w:hAnsi="Century" w:cs="Miriam"/>
          <w:b/>
          <w:spacing w:val="0"/>
          <w:szCs w:val="24"/>
          <w:rtl/>
        </w:rPr>
      </w:pPr>
    </w:p>
    <w:p w14:paraId="28A6B05D" w14:textId="77777777" w:rsidR="00E00713" w:rsidRDefault="00000000" w:rsidP="00E00713">
      <w:pPr>
        <w:pStyle w:val="Ruller40"/>
        <w:rPr>
          <w:rFonts w:ascii="Century" w:hAnsi="Century"/>
          <w:rtl/>
        </w:rPr>
      </w:pPr>
      <w:r>
        <w:rPr>
          <w:rFonts w:ascii="Century" w:hAnsi="Century"/>
          <w:rtl/>
        </w:rPr>
        <w:t>3.</w:t>
      </w:r>
      <w:r>
        <w:rPr>
          <w:rFonts w:ascii="Century" w:hAnsi="Century"/>
          <w:rtl/>
        </w:rPr>
        <w:tab/>
        <w:t xml:space="preserve">ערעור המעון מתמקד בשיעור דמי החכירה. לטענתו, פרשנות בית משפט קמא, לפיה יש להעלות את שיעור דמי החכירה השנתיים מ-1% ל-5%, היא פרשנות שגויה, חד-צדדית ובניגוד ללשון החוזה; ובכל מקרה, יש לפרש את ההסכם כנגד המנסחת, העירייה. נטען, בין היתר, כי סעיף ההסכם המתיר עדכון של </w:t>
      </w:r>
      <w:r>
        <w:rPr>
          <w:rFonts w:ascii="Century" w:hAnsi="Century" w:cs="Miriam"/>
          <w:b/>
          <w:spacing w:val="0"/>
          <w:szCs w:val="24"/>
          <w:rtl/>
        </w:rPr>
        <w:t>ערך המקרקעין</w:t>
      </w:r>
      <w:r>
        <w:rPr>
          <w:rFonts w:ascii="Century" w:hAnsi="Century"/>
          <w:rtl/>
        </w:rPr>
        <w:t xml:space="preserve"> אחת לשבע שנים, מהווה הסדר שלילי במובן זה שאין אפשרות לעדכן גם את </w:t>
      </w:r>
      <w:r>
        <w:rPr>
          <w:rFonts w:ascii="Century" w:hAnsi="Century" w:cs="Miriam"/>
          <w:b/>
          <w:spacing w:val="0"/>
          <w:szCs w:val="24"/>
          <w:rtl/>
        </w:rPr>
        <w:t>שיעור דמי החכירה</w:t>
      </w:r>
      <w:r>
        <w:rPr>
          <w:rFonts w:ascii="Century" w:hAnsi="Century"/>
          <w:rtl/>
        </w:rPr>
        <w:t xml:space="preserve">, ואין מדובר בחֶסֶר מכוון כפי שקבע בית משפט קמא; כי במשך למעלה מ-55 שנים ברציפות דמי החכירה עמדו על שיעור של 1%, והתנהלות העירייה יצרה מצג ברור ומחייב כי המצב אינו עומד להשתנות, והמעון הסתמך על כך; כי במכתבים רשמיים והחלטות של העירייה יש ביטוי לכך ששיעור דמי החכירה המוסכם בין הצדדים הוא 1%; כי אין ללמוד מחוזים של רמ"י לענייננו, וממילא גם לרמ"י חוזי חכירה עם מוסדות ציבוריים, ואף חוכרים מסחריים, בהם דמי החכירה בשיעור של 1%; וכי אלמלא התקשרות המעון בהסכם 2017 עם חברת מוריה, שיעור דמי החכירה היה נשאר על כנו, ואין בהסכם 2017 כשלעצמו כדי להצדיק שינוי של שיעור דמי החכירה. לחלופין, המעון מבקש להוון את יתרת דמי החכירה השנתיים עד לתום תקופת ההסכם, תמורת דמי חכירה כוללים בשיעור של 13.65%, ולכל היותר בשיעור של 22.75% מערך המקרקעין. </w:t>
      </w:r>
    </w:p>
    <w:p w14:paraId="1DC8B308" w14:textId="77777777" w:rsidR="00E00713" w:rsidRDefault="00E00713" w:rsidP="00E00713">
      <w:pPr>
        <w:pStyle w:val="Ruller40"/>
        <w:rPr>
          <w:rFonts w:ascii="Century" w:hAnsi="Century"/>
          <w:rtl/>
        </w:rPr>
      </w:pPr>
    </w:p>
    <w:p w14:paraId="37890C2E" w14:textId="77777777" w:rsidR="00E00713" w:rsidRDefault="00000000" w:rsidP="00E00713">
      <w:pPr>
        <w:pStyle w:val="Ruller40"/>
        <w:rPr>
          <w:rFonts w:ascii="Century" w:hAnsi="Century"/>
          <w:rtl/>
        </w:rPr>
      </w:pPr>
      <w:r>
        <w:rPr>
          <w:rFonts w:ascii="Century" w:hAnsi="Century"/>
          <w:rtl/>
        </w:rPr>
        <w:tab/>
        <w:t xml:space="preserve">העירייה בתשובתה טוענת כי המעון למעשה הרוויח מכך שהעירייה לא ביצעה הערכה מחודשת לדמי החכירה בכל סיומה של תקופה; כי המעון מבקש לתקוף קביעה עובדתית של בית משפט קמא לפיה הצדדים הסכימו כי דמי החכירה יקבעו על ידי ועדת הנכסים של העירייה; כי ההשוואה לעסקאות רמ"י הגיונית ונכונה; כי מעולם לא הוסכם בין הצדדים על שיעור דמי חכירה של 1%; כי אפילו המומחה מטעם בית המשפט העיד שדמי החכירה הנהוגים עומדים על שיעור של 5%; וכי שינוי שיעור דמי החכירה נעשה בעקבות העברת הזכויות ושינוי המחזיקים, ממוסד ציבורי למוסד בעל שיקולי רווח. </w:t>
      </w:r>
    </w:p>
    <w:p w14:paraId="1FA5051F" w14:textId="77777777" w:rsidR="00E00713" w:rsidRDefault="00E00713" w:rsidP="00E00713">
      <w:pPr>
        <w:pStyle w:val="Ruller40"/>
        <w:rPr>
          <w:rFonts w:ascii="Century" w:hAnsi="Century"/>
          <w:rtl/>
        </w:rPr>
      </w:pPr>
    </w:p>
    <w:p w14:paraId="18C249E2" w14:textId="77777777" w:rsidR="00E00713" w:rsidRDefault="00000000" w:rsidP="00E00713">
      <w:pPr>
        <w:pStyle w:val="Ruller40"/>
        <w:rPr>
          <w:rFonts w:ascii="Century" w:hAnsi="Century"/>
          <w:rtl/>
        </w:rPr>
      </w:pPr>
      <w:r>
        <w:rPr>
          <w:rFonts w:ascii="Century" w:hAnsi="Century"/>
          <w:rtl/>
        </w:rPr>
        <w:t>4.</w:t>
      </w:r>
      <w:r>
        <w:rPr>
          <w:rFonts w:ascii="Century" w:hAnsi="Century"/>
          <w:rtl/>
        </w:rPr>
        <w:tab/>
        <w:t xml:space="preserve">העירייה הגישה אף היא ערעור מטעמה, שבו היא טוענת כי בית משפט קמא שגה שעה שקבע כי המעון לא הפר את הסכם החכירה. בין היתר, נטען כי אין זה ראוי שגופים פרטיים ישיאו רווחים ממקרקעי ציבור, וייהנו מהחזקה במקרקעין ציבוריים ללא מכרז ובתמורה סמלית בלבד; כי לפי </w:t>
      </w:r>
      <w:hyperlink r:id="rId9" w:history="1">
        <w:r w:rsidR="00345F89" w:rsidRPr="00345F89">
          <w:rPr>
            <w:rStyle w:val="Hyperlink"/>
            <w:rFonts w:ascii="Century" w:hAnsi="Century" w:hint="eastAsia"/>
            <w:rtl/>
          </w:rPr>
          <w:t>סעיף</w:t>
        </w:r>
        <w:r w:rsidR="00345F89" w:rsidRPr="00345F89">
          <w:rPr>
            <w:rStyle w:val="Hyperlink"/>
            <w:rFonts w:ascii="Century" w:hAnsi="Century"/>
            <w:rtl/>
          </w:rPr>
          <w:t xml:space="preserve"> 65(2)</w:t>
        </w:r>
      </w:hyperlink>
      <w:r>
        <w:rPr>
          <w:rFonts w:ascii="Century" w:hAnsi="Century"/>
          <w:rtl/>
        </w:rPr>
        <w:t xml:space="preserve"> ל</w:t>
      </w:r>
      <w:hyperlink r:id="rId10" w:history="1">
        <w:r w:rsidR="00A02610" w:rsidRPr="00A02610">
          <w:rPr>
            <w:rFonts w:ascii="Century" w:hAnsi="Century" w:hint="eastAsia"/>
            <w:color w:val="0000FF"/>
            <w:u w:val="single"/>
            <w:rtl/>
          </w:rPr>
          <w:t>פקודת</w:t>
        </w:r>
        <w:r w:rsidR="00A02610" w:rsidRPr="00A02610">
          <w:rPr>
            <w:rFonts w:ascii="Century" w:hAnsi="Century"/>
            <w:color w:val="0000FF"/>
            <w:u w:val="single"/>
            <w:rtl/>
          </w:rPr>
          <w:t xml:space="preserve"> </w:t>
        </w:r>
        <w:r w:rsidR="00A02610" w:rsidRPr="00A02610">
          <w:rPr>
            <w:rFonts w:ascii="Century" w:hAnsi="Century" w:hint="eastAsia"/>
            <w:color w:val="0000FF"/>
            <w:u w:val="single"/>
            <w:rtl/>
          </w:rPr>
          <w:t>העיריות</w:t>
        </w:r>
      </w:hyperlink>
      <w:r>
        <w:rPr>
          <w:rFonts w:ascii="Century" w:hAnsi="Century"/>
          <w:rtl/>
        </w:rPr>
        <w:t xml:space="preserve">, 1934 (להלן: </w:t>
      </w:r>
      <w:r>
        <w:rPr>
          <w:rFonts w:ascii="Century" w:hAnsi="Century" w:cs="Miriam"/>
          <w:b/>
          <w:spacing w:val="0"/>
          <w:szCs w:val="24"/>
          <w:rtl/>
        </w:rPr>
        <w:t>פקודת העיריות)</w:t>
      </w:r>
      <w:r>
        <w:rPr>
          <w:rFonts w:ascii="Century" w:hAnsi="Century"/>
          <w:rtl/>
        </w:rPr>
        <w:t>, שהיה בתוקף בעת כריתת הסכם החכירה, לעירייה אסור להחכיר קרקע שבבעלותה אלא באישור מיוחד, ומכאן שהמעון לא יכול היה להעביר את המקרקעין לצד ג' מבלי לקבל לכך אישור מהעירייה; כי ההסכם הוא הסכם פיתוח בלבד, ורק לאחר עמידה בתנאים הקבועים בו, היה אמור להיחתם הסכם חכירה ובו תנאי האוסר על שיתוף צד ג'; כי בכל מקרה, יש לקרוא לתוך ההסכם תנאי מכללא האוסר על שיתוף צד ג' כפי שמקובל בהסכמי חכירה; וכי העירייה כלל לא ידעה על כוונת המעון להתקשר בהסכם עם חברת מוריה. לחילופין, העירייה טוענת כי שגה בית משפט קמא עת דירג את העלאת דמי החכירה ולא קבע לכתחילה דמי חכירה בשיעור של 5%. נטען, בין היתר, כי המעון כבר אינו מוסד ציבורי, אלא בית אבות מסחרי, ומשכך עליו לשלם דמי חכירה מלאים, ללא הפחתה; וכי יש ללמוד מדמי החכירה הנהוגים על ידי רמ"י, העומדים על שיעור של 5%. עוד נטען כי לא היה מקום להפחית מערך המקרקעין, שכן יש לראות במקרקעין ובחלקות הצמודות לו מגרש תכנוני אחד, וחישוב שווי המקרקעין בפני עצמו הוא תיאורטי בלבד.</w:t>
      </w:r>
    </w:p>
    <w:p w14:paraId="709931D9" w14:textId="77777777" w:rsidR="00E00713" w:rsidRDefault="00E00713" w:rsidP="00E00713">
      <w:pPr>
        <w:pStyle w:val="Ruller40"/>
        <w:rPr>
          <w:rFonts w:ascii="Century" w:hAnsi="Century"/>
          <w:rtl/>
        </w:rPr>
      </w:pPr>
    </w:p>
    <w:p w14:paraId="401A4E5D" w14:textId="77777777" w:rsidR="00E00713" w:rsidRDefault="00000000" w:rsidP="00E00713">
      <w:pPr>
        <w:pStyle w:val="Ruller40"/>
        <w:rPr>
          <w:rFonts w:ascii="Century" w:hAnsi="Century"/>
          <w:rtl/>
        </w:rPr>
      </w:pPr>
      <w:r>
        <w:rPr>
          <w:rFonts w:ascii="Century" w:hAnsi="Century"/>
          <w:rtl/>
        </w:rPr>
        <w:tab/>
        <w:t>בתשובתו, טוען המעון כי מדובר בניסיון של העירייה לנצל את המצב כדי לשפר את התנאים המוסכמים ולמעשה להתעשר על חשבונו; כי בניגוד לנטען, העירייה ידעה על הסכם 2017 המתגבש עם חברת מוריה; כי המעון לא הפר את ההסכם שכן הוא מעולם לא אסר על שיתוף צד ג' בהפעלת בית האבות, מטרת החכירה נותרה על כנה, המעון לא שינה צביונו, ולא נערך שינוי בזכויות המעון במקרקעין; וכי קביעת ערך המקרקעין היא קביעה עובדתית-מקצועית של שמאי ואין מקום להתערב בה.</w:t>
      </w:r>
    </w:p>
    <w:p w14:paraId="4C3D1B6E" w14:textId="77777777" w:rsidR="00E00713" w:rsidRDefault="00E00713" w:rsidP="00E00713">
      <w:pPr>
        <w:pStyle w:val="Ruller40"/>
        <w:rPr>
          <w:rFonts w:ascii="Century" w:hAnsi="Century"/>
          <w:rtl/>
        </w:rPr>
      </w:pPr>
    </w:p>
    <w:p w14:paraId="5F52160A" w14:textId="77777777" w:rsidR="00E00713" w:rsidRDefault="00000000" w:rsidP="00E00713">
      <w:pPr>
        <w:pStyle w:val="Ruller40"/>
        <w:rPr>
          <w:rFonts w:ascii="Century" w:hAnsi="Century"/>
          <w:rtl/>
        </w:rPr>
      </w:pPr>
      <w:r>
        <w:rPr>
          <w:rFonts w:ascii="Century" w:hAnsi="Century"/>
          <w:rtl/>
        </w:rPr>
        <w:t>5.</w:t>
      </w:r>
      <w:r>
        <w:rPr>
          <w:rFonts w:ascii="Century" w:hAnsi="Century"/>
          <w:rtl/>
        </w:rPr>
        <w:tab/>
        <w:t xml:space="preserve">ביום 22.6.2023 התקיים בפנינו דיון, שבמהלכו התברר כי נפתחו הליכי חדלות פירעון נגד חברת מוריה. נוכח ההשלכות האפשריות של מצב העניינים החדש, הוחלט כי הצדדים יגישו הודעת עדכון באשר להליכי חדלות הפירעון חצי שנה לאחר מכן, וכי עד אז המעון ימשיך לשלם דמי חכירה בגובה 1% מערך המקרקעין. לאחר מספר בקשות דחייה להגשת הודעת העדכון מטעם הצדדים, ביום 9.12.2024 התקיים דיון המשך. בדיון טענו הצדדים לגופם של דברים: </w:t>
      </w:r>
    </w:p>
    <w:p w14:paraId="6B24579F" w14:textId="77777777" w:rsidR="00E00713" w:rsidRDefault="00E00713" w:rsidP="00E00713">
      <w:pPr>
        <w:pStyle w:val="Ruller40"/>
        <w:rPr>
          <w:rFonts w:ascii="Century" w:hAnsi="Century"/>
          <w:rtl/>
        </w:rPr>
      </w:pPr>
    </w:p>
    <w:p w14:paraId="6C424E5E" w14:textId="77777777" w:rsidR="00E00713" w:rsidRDefault="00000000" w:rsidP="00E00713">
      <w:pPr>
        <w:pStyle w:val="Ruller40"/>
        <w:rPr>
          <w:rFonts w:ascii="Century" w:hAnsi="Century"/>
          <w:rtl/>
        </w:rPr>
      </w:pPr>
      <w:r>
        <w:rPr>
          <w:rFonts w:ascii="Century" w:hAnsi="Century"/>
          <w:rtl/>
        </w:rPr>
        <w:tab/>
        <w:t>בא כוח העירייה עמד על כך שהסכם 2017 מהווה הפרה של הסכם החכירה ולכן דין האחרון להתבטל, ואף הבהיר כי ככל שהסכם החכירה אכן יבוטל, יש תכניות להקמת גנים ומעונות בחלקה של העירייה. לחלופין, נטען כי המעון כבר אינו עמותה ללא מטרות רווח ולכן יש להעלות את דמי החכירה לשיעור של 5%. עוד נטען כי מאז הדיון הקודם לא שולמו דמי החכירה, אף לא בשיעור של 1% מערך הקרקע.</w:t>
      </w:r>
    </w:p>
    <w:p w14:paraId="46C563A9" w14:textId="77777777" w:rsidR="00E00713" w:rsidRDefault="00E00713" w:rsidP="00E00713">
      <w:pPr>
        <w:pStyle w:val="Ruller40"/>
        <w:rPr>
          <w:rFonts w:ascii="Century" w:hAnsi="Century"/>
          <w:rtl/>
        </w:rPr>
      </w:pPr>
    </w:p>
    <w:p w14:paraId="1D8D1972" w14:textId="77777777" w:rsidR="00E00713" w:rsidRDefault="00000000" w:rsidP="00E00713">
      <w:pPr>
        <w:pStyle w:val="Ruller40"/>
        <w:rPr>
          <w:rFonts w:ascii="Century" w:hAnsi="Century"/>
          <w:rtl/>
        </w:rPr>
      </w:pPr>
      <w:r>
        <w:rPr>
          <w:rFonts w:ascii="Century" w:hAnsi="Century"/>
          <w:rtl/>
        </w:rPr>
        <w:tab/>
        <w:t>בא כוח המעון עמד על כך שהסכם 2017 אושר על ידי רשם העמותות שהוא הרגולטור המפקח לעניין זה, ומשכך הוא אינו מפר את הסכם החכירה. לעניין גובה דמי החכירה, נטען כי בית משפט קמא פירש את החוזה בניגוד להסכמת הצדדים וללשון החוזה, לפיה אחת לשבע שנים יעודכן ערך המקרקעין בלבד.</w:t>
      </w:r>
    </w:p>
    <w:p w14:paraId="4915F617" w14:textId="77777777" w:rsidR="00E00713" w:rsidRDefault="00E00713" w:rsidP="00E00713">
      <w:pPr>
        <w:pStyle w:val="Ruller40"/>
        <w:rPr>
          <w:rFonts w:ascii="Century" w:hAnsi="Century"/>
          <w:rtl/>
        </w:rPr>
      </w:pPr>
    </w:p>
    <w:p w14:paraId="6A8EBBBA" w14:textId="77777777" w:rsidR="00E00713" w:rsidRDefault="00000000" w:rsidP="00E00713">
      <w:pPr>
        <w:pStyle w:val="Ruller40"/>
        <w:rPr>
          <w:rFonts w:ascii="Century" w:hAnsi="Century" w:cs="Miriam"/>
          <w:b/>
          <w:spacing w:val="0"/>
          <w:szCs w:val="24"/>
          <w:rtl/>
        </w:rPr>
      </w:pPr>
      <w:r>
        <w:rPr>
          <w:rFonts w:ascii="Century" w:hAnsi="Century" w:cs="Miriam"/>
          <w:b/>
          <w:spacing w:val="0"/>
          <w:szCs w:val="24"/>
          <w:rtl/>
        </w:rPr>
        <w:t>דיון והכרעה</w:t>
      </w:r>
    </w:p>
    <w:p w14:paraId="00C4B394" w14:textId="77777777" w:rsidR="00E00713" w:rsidRDefault="00E00713" w:rsidP="00E00713">
      <w:pPr>
        <w:pStyle w:val="Ruller40"/>
        <w:rPr>
          <w:rFonts w:ascii="Century" w:hAnsi="Century"/>
          <w:color w:val="FF0000"/>
          <w:rtl/>
        </w:rPr>
      </w:pPr>
    </w:p>
    <w:p w14:paraId="1529E28D" w14:textId="77777777" w:rsidR="00E00713" w:rsidRDefault="00000000" w:rsidP="00E00713">
      <w:pPr>
        <w:pStyle w:val="Ruller40"/>
        <w:rPr>
          <w:rFonts w:ascii="Century" w:hAnsi="Century"/>
          <w:rtl/>
        </w:rPr>
      </w:pPr>
      <w:r>
        <w:rPr>
          <w:rFonts w:ascii="Century" w:hAnsi="Century"/>
          <w:rtl/>
        </w:rPr>
        <w:t>6.</w:t>
      </w:r>
      <w:r>
        <w:rPr>
          <w:rFonts w:ascii="Century" w:hAnsi="Century"/>
          <w:rtl/>
        </w:rPr>
        <w:tab/>
        <w:t>לאחר שעיינתי בערעורים, בסיכומי הצדדים ובמוצגים שצורפו, ולאחר ששמענו את טיעוני הצדדים בעל-פה, הגעתי לכלל מסקנה כי יש לקבל את ערעור העירייה ולדחות את ערעור המעון, וכך אציע לחבריי כי יעשה.</w:t>
      </w:r>
    </w:p>
    <w:p w14:paraId="02E4EE07" w14:textId="77777777" w:rsidR="00E00713" w:rsidRDefault="00E00713" w:rsidP="00E00713">
      <w:pPr>
        <w:pStyle w:val="Ruller40"/>
        <w:rPr>
          <w:rFonts w:ascii="Century" w:hAnsi="Century"/>
          <w:rtl/>
        </w:rPr>
      </w:pPr>
    </w:p>
    <w:p w14:paraId="238C475E" w14:textId="77777777" w:rsidR="00E00713" w:rsidRDefault="00000000" w:rsidP="00E00713">
      <w:pPr>
        <w:pStyle w:val="Ruller40"/>
        <w:rPr>
          <w:rFonts w:ascii="Century" w:hAnsi="Century"/>
          <w:rtl/>
        </w:rPr>
      </w:pPr>
      <w:r>
        <w:rPr>
          <w:rFonts w:ascii="Century" w:hAnsi="Century"/>
          <w:rtl/>
        </w:rPr>
        <w:t>7.</w:t>
      </w:r>
      <w:r>
        <w:rPr>
          <w:rFonts w:ascii="Century" w:hAnsi="Century"/>
          <w:rtl/>
        </w:rPr>
        <w:tab/>
        <w:t xml:space="preserve">אקדים תובנה לדיון ואומר כי כפי שיפורט להלן, מצאתי כי הסכם החכירה אוסר על העברת זכויות ההחזקה והשימוש במקרקעין לצד ג', ומשכך, בעצם כריתת הסכם 2017 עם חברת מוריה המעון הפר את הסכם החכירה והעירייה רשאית לדרוש את ביטולו. ראוי להבהיר כי קביעותיי כאמור הינן מסקנות משפטיות הנסמכות כולן על פרשנות ההסכמים הכתובים שהוצגו בפניי, ומשכך, מצויים אנו במקרים החריגים שבהם נכונה ערכאת הערעור להתערב בקביעות הערכאה הדיונית (ראו, למשל, </w:t>
      </w:r>
      <w:hyperlink r:id="rId11" w:history="1">
        <w:r w:rsidR="00EF6807" w:rsidRPr="00EF6807">
          <w:rPr>
            <w:rStyle w:val="Hyperlink"/>
            <w:rFonts w:ascii="Century" w:hAnsi="Century" w:hint="eastAsia"/>
            <w:rtl/>
          </w:rPr>
          <w:t>ע</w:t>
        </w:r>
        <w:r w:rsidR="00EF6807" w:rsidRPr="00EF6807">
          <w:rPr>
            <w:rStyle w:val="Hyperlink"/>
            <w:rFonts w:ascii="Century" w:hAnsi="Century"/>
            <w:rtl/>
          </w:rPr>
          <w:t>"</w:t>
        </w:r>
        <w:r w:rsidR="00EF6807" w:rsidRPr="00EF6807">
          <w:rPr>
            <w:rStyle w:val="Hyperlink"/>
            <w:rFonts w:ascii="Century" w:hAnsi="Century" w:hint="eastAsia"/>
            <w:rtl/>
          </w:rPr>
          <w:t>א</w:t>
        </w:r>
        <w:r w:rsidR="00EF6807" w:rsidRPr="00EF6807">
          <w:rPr>
            <w:rStyle w:val="Hyperlink"/>
            <w:rFonts w:ascii="Century" w:hAnsi="Century"/>
            <w:rtl/>
          </w:rPr>
          <w:t xml:space="preserve"> 1064/03</w:t>
        </w:r>
      </w:hyperlink>
      <w:r>
        <w:rPr>
          <w:rFonts w:ascii="Century" w:hAnsi="Century"/>
          <w:rtl/>
        </w:rPr>
        <w:t xml:space="preserve"> </w:t>
      </w:r>
      <w:r>
        <w:rPr>
          <w:rFonts w:ascii="Century" w:hAnsi="Century" w:cs="Miriam"/>
          <w:b/>
          <w:spacing w:val="0"/>
          <w:szCs w:val="24"/>
          <w:rtl/>
        </w:rPr>
        <w:t>אליהו חברה לביטוח בע"מ נ' עיזבון המנוחה רחל שחר פיאמנטה ז"ל</w:t>
      </w:r>
      <w:r>
        <w:rPr>
          <w:rFonts w:ascii="Century" w:hAnsi="Century"/>
          <w:rtl/>
        </w:rPr>
        <w:t xml:space="preserve">, פ"ד ס(4) 375, 385-384 (2006); </w:t>
      </w:r>
      <w:hyperlink r:id="rId12" w:history="1">
        <w:r w:rsidR="00A02610" w:rsidRPr="00A02610">
          <w:rPr>
            <w:rFonts w:ascii="Century" w:hAnsi="Century" w:hint="eastAsia"/>
            <w:color w:val="0000FF"/>
            <w:u w:val="single"/>
            <w:rtl/>
          </w:rPr>
          <w:t>ע</w:t>
        </w:r>
        <w:r w:rsidR="00A02610" w:rsidRPr="00A02610">
          <w:rPr>
            <w:rFonts w:ascii="Century" w:hAnsi="Century"/>
            <w:color w:val="0000FF"/>
            <w:u w:val="single"/>
            <w:rtl/>
          </w:rPr>
          <w:t>"</w:t>
        </w:r>
        <w:r w:rsidR="00A02610" w:rsidRPr="00A02610">
          <w:rPr>
            <w:rFonts w:ascii="Century" w:hAnsi="Century" w:hint="eastAsia"/>
            <w:color w:val="0000FF"/>
            <w:u w:val="single"/>
            <w:rtl/>
          </w:rPr>
          <w:t>פ</w:t>
        </w:r>
        <w:r w:rsidR="00A02610" w:rsidRPr="00A02610">
          <w:rPr>
            <w:rFonts w:ascii="Century" w:hAnsi="Century"/>
            <w:color w:val="0000FF"/>
            <w:u w:val="single"/>
            <w:rtl/>
          </w:rPr>
          <w:t xml:space="preserve"> 8146/09</w:t>
        </w:r>
      </w:hyperlink>
      <w:r>
        <w:rPr>
          <w:rFonts w:ascii="Century" w:hAnsi="Century"/>
          <w:rtl/>
        </w:rPr>
        <w:t xml:space="preserve"> </w:t>
      </w:r>
      <w:r>
        <w:rPr>
          <w:rFonts w:ascii="Century" w:hAnsi="Century" w:cs="Miriam"/>
          <w:b/>
          <w:spacing w:val="0"/>
          <w:szCs w:val="24"/>
          <w:rtl/>
        </w:rPr>
        <w:t>אבשלום נ' מדינת ישראל</w:t>
      </w:r>
      <w:r>
        <w:rPr>
          <w:rFonts w:ascii="Century" w:hAnsi="Century"/>
          <w:rtl/>
        </w:rPr>
        <w:t xml:space="preserve">, פסקה 19 </w:t>
      </w:r>
      <w:r w:rsidR="00EF6807">
        <w:rPr>
          <w:rFonts w:ascii="Century" w:hAnsi="Century" w:hint="cs"/>
          <w:rtl/>
        </w:rPr>
        <w:t xml:space="preserve">[נבו] </w:t>
      </w:r>
      <w:r>
        <w:rPr>
          <w:rFonts w:ascii="Century" w:hAnsi="Century"/>
          <w:rtl/>
        </w:rPr>
        <w:t>(8.9.2011)).</w:t>
      </w:r>
    </w:p>
    <w:p w14:paraId="579AA18D" w14:textId="77777777" w:rsidR="00E00713" w:rsidRDefault="00E00713" w:rsidP="00E00713">
      <w:pPr>
        <w:pStyle w:val="Ruller40"/>
        <w:rPr>
          <w:rFonts w:ascii="Century" w:hAnsi="Century"/>
          <w:rtl/>
        </w:rPr>
      </w:pPr>
    </w:p>
    <w:p w14:paraId="6234807D" w14:textId="77777777" w:rsidR="00E00713" w:rsidRDefault="00000000" w:rsidP="00E00713">
      <w:pPr>
        <w:pStyle w:val="Ruller40"/>
        <w:rPr>
          <w:rFonts w:ascii="Century" w:hAnsi="Century"/>
          <w:rtl/>
        </w:rPr>
      </w:pPr>
      <w:r>
        <w:rPr>
          <w:rFonts w:ascii="Century" w:hAnsi="Century"/>
          <w:rtl/>
        </w:rPr>
        <w:t>8.</w:t>
      </w:r>
      <w:r>
        <w:rPr>
          <w:rFonts w:ascii="Century" w:hAnsi="Century"/>
          <w:rtl/>
        </w:rPr>
        <w:tab/>
        <w:t xml:space="preserve">בית משפט קמא הגיע למסקנה כי הסכם החכירה לא אסר על שיתוף צד ג' בזכויות ההחזקה והשימוש במקרקעין מן הטעם המרכזי שהוא לא כולל כל הוראה מפורשת בנושא. בקביעתו, בית משפט קמא התבסס על הסכם חכירה שהוצג בפניו (להלן: </w:t>
      </w:r>
      <w:r>
        <w:rPr>
          <w:rFonts w:ascii="Century" w:hAnsi="Century" w:cs="Miriam"/>
          <w:b/>
          <w:spacing w:val="0"/>
          <w:szCs w:val="24"/>
          <w:rtl/>
        </w:rPr>
        <w:t>הסכם החכירה להשוואה</w:t>
      </w:r>
      <w:r>
        <w:rPr>
          <w:rFonts w:ascii="Century" w:hAnsi="Century"/>
          <w:rtl/>
        </w:rPr>
        <w:t>), שבו נכללה הוראה מפורשת לפיה אסור לחוכר, בין היתר, לשתף אף איש בזכויות על השטח אלא בהסכמת המחכיר, ומכאן הסיק כי "</w:t>
      </w:r>
      <w:r>
        <w:rPr>
          <w:rFonts w:ascii="Arial" w:hAnsi="Arial"/>
          <w:rtl/>
        </w:rPr>
        <w:t>כשהעירייה רצתה למנוע שיתוף צד ג' בשימוש במקרקעין היא ידעה לעשות כן, כעולה מהסכם החכירה להשוואה</w:t>
      </w:r>
      <w:r>
        <w:rPr>
          <w:rFonts w:ascii="Century" w:hAnsi="Century"/>
          <w:rtl/>
        </w:rPr>
        <w:t xml:space="preserve">" (פסקה 43 לפסק דינו של בית משפט קמא). אני סבור אחרת. לטעמי, לא ניתן ללמוד מהסכם החכירה להשוואה לעניינו, וזאת משום שההסכם בין העירייה והמעון לא היה אמור להיות ההסכם הסופי. הגם שמעולם לא נכרת הסכם נוסף בין הצדדים, וכפי שקבע בית משפט קמא, ההסכם שלפנינו הוא ההסכם המחייב היחיד, השוואה בין ההסכמים מעלה כי קיים ביניהם שוני מהותי. ההסכם שלפנינו כולל סעיפים מותנים המעידים על כך שלא מדובר בהסכם סופי: "3. </w:t>
      </w:r>
      <w:r>
        <w:rPr>
          <w:rFonts w:ascii="Century" w:hAnsi="Century" w:cs="Miriam"/>
          <w:b/>
          <w:spacing w:val="0"/>
          <w:szCs w:val="24"/>
          <w:rtl/>
        </w:rPr>
        <w:t>אם</w:t>
      </w:r>
      <w:r>
        <w:rPr>
          <w:rFonts w:ascii="Century" w:hAnsi="Century"/>
          <w:rtl/>
        </w:rPr>
        <w:t xml:space="preserve"> ימלא מושב הזקנים את כל המוטל עליו בהתאם להסכם זה, </w:t>
      </w:r>
      <w:r>
        <w:rPr>
          <w:rFonts w:ascii="Century" w:hAnsi="Century" w:cs="Miriam"/>
          <w:b/>
          <w:spacing w:val="0"/>
          <w:szCs w:val="24"/>
          <w:rtl/>
        </w:rPr>
        <w:t>תחכיר העיריה למושב הזקנים את המגרש למטרה האמורה לתקופה של 99 שנה</w:t>
      </w:r>
      <w:r>
        <w:rPr>
          <w:rFonts w:ascii="Century" w:hAnsi="Century"/>
          <w:rtl/>
        </w:rPr>
        <w:t xml:space="preserve"> [...]"; "4. </w:t>
      </w:r>
      <w:r>
        <w:rPr>
          <w:rFonts w:ascii="Century" w:hAnsi="Century" w:cs="Miriam"/>
          <w:b/>
          <w:spacing w:val="0"/>
          <w:szCs w:val="24"/>
          <w:rtl/>
        </w:rPr>
        <w:t>אם</w:t>
      </w:r>
      <w:r>
        <w:rPr>
          <w:rFonts w:ascii="Century" w:hAnsi="Century"/>
          <w:rtl/>
        </w:rPr>
        <w:t xml:space="preserve"> בתום תקופת השנתיים לא יגמור מושב הזקנים את בנית הבית יפנה לפי דרישת העיריה את המגרש [...]"; "7. </w:t>
      </w:r>
      <w:r>
        <w:rPr>
          <w:rFonts w:ascii="Century" w:hAnsi="Century" w:cs="Miriam"/>
          <w:b/>
          <w:spacing w:val="0"/>
          <w:szCs w:val="24"/>
          <w:rtl/>
        </w:rPr>
        <w:t>נוסח חוזה החכירה</w:t>
      </w:r>
      <w:r>
        <w:rPr>
          <w:rFonts w:ascii="Century" w:hAnsi="Century"/>
          <w:rtl/>
        </w:rPr>
        <w:t xml:space="preserve"> בין העיריה לבין מושב הזקנים, </w:t>
      </w:r>
      <w:r>
        <w:rPr>
          <w:rFonts w:ascii="Century" w:hAnsi="Century" w:cs="Miriam"/>
          <w:b/>
          <w:spacing w:val="0"/>
          <w:szCs w:val="24"/>
          <w:rtl/>
        </w:rPr>
        <w:t>יהא</w:t>
      </w:r>
      <w:r>
        <w:rPr>
          <w:rFonts w:ascii="Century" w:hAnsi="Century"/>
          <w:rtl/>
        </w:rPr>
        <w:t xml:space="preserve"> זהה עם תנאי הסכם זה" (הדגשות הוספו – י"ע). לעומת זאת, לא ניתן למצוא סעיפים מעין אלה בהסכם החכירה להשוואה. נוכח כך, ונוכח אורכו של הסכם החכירה להשוואה ומידת הפירוט שבו, עולה כי האחרון הוא הסכם סופי ומוגמר, בשונה מההסכם שלפנינו. משכך, איני סבור כי ניתן להחיל בענייננו את העיקרון לפיו "מכלל ההן שומעים את הלאו" כמות שהוא, עיקרון שעמד בבסיס קביעתו של בית משפט קמא. איני רואה בהיעדר הוראה מפורשת בהסכם שלפנינו – בניגוד לקיומה בהסכם החכירה להשוואה – כחֶסֶר מכוון. </w:t>
      </w:r>
    </w:p>
    <w:p w14:paraId="133230E7" w14:textId="77777777" w:rsidR="00E00713" w:rsidRDefault="00E00713" w:rsidP="00E00713">
      <w:pPr>
        <w:pStyle w:val="Ruller40"/>
        <w:rPr>
          <w:rFonts w:ascii="Century" w:hAnsi="Century"/>
          <w:rtl/>
        </w:rPr>
      </w:pPr>
    </w:p>
    <w:p w14:paraId="078ABA34" w14:textId="77777777" w:rsidR="00E00713" w:rsidRDefault="00000000" w:rsidP="00E00713">
      <w:pPr>
        <w:pStyle w:val="Ruller40"/>
        <w:rPr>
          <w:rFonts w:ascii="Century" w:hAnsi="Century"/>
          <w:rtl/>
        </w:rPr>
      </w:pPr>
      <w:r>
        <w:rPr>
          <w:rFonts w:ascii="Century" w:hAnsi="Century"/>
          <w:rtl/>
        </w:rPr>
        <w:t>9.</w:t>
      </w:r>
      <w:r>
        <w:rPr>
          <w:rFonts w:ascii="Century" w:hAnsi="Century"/>
          <w:rtl/>
        </w:rPr>
        <w:tab/>
        <w:t xml:space="preserve">לאחר שסילקנו מלפנינו את הטענה כי היעדר הוראה מפורשת האוסרת על שיתוף צד ג' במקרקעין הוא חֶסֶר מכוון, אדרש עתה להסכם החכירה אשר מגלה כי המעון לא היה רשאי לשתף צד ג' בזכויותיו במקרקעין. סעיף 1 להסכם החכירה קובע כי "העיריה מרשה בזה למושב הזקנים לתפוש החזקה במגרש בתנאי, שכל מה שיבנה על המגרש ייחשב כרכושה של העיריה </w:t>
      </w:r>
      <w:r>
        <w:rPr>
          <w:rFonts w:ascii="Century" w:hAnsi="Century" w:cs="Miriam"/>
          <w:b/>
          <w:spacing w:val="0"/>
          <w:szCs w:val="24"/>
          <w:rtl/>
        </w:rPr>
        <w:t>מבלי שתשאר למושב הזקנים כל זכות מחוץ לזכויות המפורטות בהסכם זה</w:t>
      </w:r>
      <w:r>
        <w:rPr>
          <w:rFonts w:ascii="Century" w:hAnsi="Century"/>
          <w:rtl/>
        </w:rPr>
        <w:t xml:space="preserve">" (הדגשה הוספה – י"ע). אני סבור כי הוראה זו מלמדת על ברירת מחדל לפיה כל מה שלא פורט ונכתב בהסכם בין הצדדים הוא למעשה אסור. כלומר, אל לנו לחפש הוראה האוסרת על שיתוף צד ג'. עלינו לבחון האם יש בנמצא הוראה </w:t>
      </w:r>
      <w:r>
        <w:rPr>
          <w:rFonts w:ascii="Century" w:hAnsi="Century" w:cs="Miriam"/>
          <w:b/>
          <w:spacing w:val="0"/>
          <w:szCs w:val="24"/>
          <w:rtl/>
        </w:rPr>
        <w:t xml:space="preserve">המתירה </w:t>
      </w:r>
      <w:r>
        <w:rPr>
          <w:rFonts w:ascii="Century" w:hAnsi="Century"/>
          <w:rtl/>
        </w:rPr>
        <w:t>שיתוף כאמור, שכן זכויות המעון הן רק אלו שניתנו לו על פי הסכם החכירה, ותו לא. לכן, לפי העיקרון הקנייני הידוע לפיו אין אדם יכול להעביר יותר זכויות ממה שיש לו (</w:t>
      </w:r>
      <w:r>
        <w:rPr>
          <w:rFonts w:ascii="Times New Roman" w:hAnsi="Times New Roman" w:cs="Times New Roman"/>
          <w:sz w:val="24"/>
          <w:szCs w:val="32"/>
        </w:rPr>
        <w:t>nemo dat quod non habet</w:t>
      </w:r>
      <w:r>
        <w:rPr>
          <w:rFonts w:ascii="Century" w:hAnsi="Century"/>
          <w:rtl/>
        </w:rPr>
        <w:t xml:space="preserve">), ומשלא ניתן למצוא בהסכם החכירה הוראה מפורשת המתירה למעון לשתף צד ג' בזכות ההחזקה והשימוש במקרקעין שניתנו לו – הרי שהדבר אסור. </w:t>
      </w:r>
    </w:p>
    <w:p w14:paraId="70161DC7" w14:textId="77777777" w:rsidR="00E00713" w:rsidRDefault="00E00713" w:rsidP="00E00713">
      <w:pPr>
        <w:pStyle w:val="Ruller40"/>
        <w:rPr>
          <w:rFonts w:ascii="Century" w:hAnsi="Century"/>
          <w:rtl/>
        </w:rPr>
      </w:pPr>
    </w:p>
    <w:p w14:paraId="1B8140AC" w14:textId="77777777" w:rsidR="00E00713" w:rsidRDefault="00000000" w:rsidP="00E00713">
      <w:pPr>
        <w:pStyle w:val="Ruller40"/>
        <w:rPr>
          <w:rFonts w:ascii="Century" w:hAnsi="Century"/>
          <w:rtl/>
        </w:rPr>
      </w:pPr>
      <w:r>
        <w:rPr>
          <w:rFonts w:ascii="Century" w:hAnsi="Century"/>
          <w:rtl/>
        </w:rPr>
        <w:t>10.</w:t>
      </w:r>
      <w:r>
        <w:rPr>
          <w:rFonts w:ascii="Century" w:hAnsi="Century"/>
          <w:rtl/>
        </w:rPr>
        <w:tab/>
        <w:t xml:space="preserve">גם ללא הוראה מפורשת בהסכם החכירה, ומשעה שקבענו כי לא מדובר בחֶסֶר מכוון, אני סבור כי יש לקרוא להסכם החכירה הוראה מכללא כאמור. זאת בשל הטעמים שעמדו בבסיס התקשרות העירייה בהסכם החכירה עם המעון. אין להתעלם מכך שהמעון קיבל לידיו הטבה משמעותית – קרקע ציבורית בבעלות העירייה, ללא צורך במכרז ובעבור דמי חכירה מוזלים (כפי שקבע בית משפט קמא). </w:t>
      </w:r>
    </w:p>
    <w:p w14:paraId="489AD72F" w14:textId="77777777" w:rsidR="00E00713" w:rsidRDefault="00E00713" w:rsidP="00E00713">
      <w:pPr>
        <w:pStyle w:val="Ruller40"/>
        <w:rPr>
          <w:rFonts w:ascii="Century" w:hAnsi="Century"/>
          <w:rtl/>
        </w:rPr>
      </w:pPr>
    </w:p>
    <w:p w14:paraId="773DF199" w14:textId="77777777" w:rsidR="00E00713" w:rsidRDefault="00000000" w:rsidP="00E00713">
      <w:pPr>
        <w:pStyle w:val="Ruller40"/>
        <w:rPr>
          <w:rFonts w:ascii="Century" w:hAnsi="Century"/>
          <w:rtl/>
        </w:rPr>
      </w:pPr>
      <w:r>
        <w:rPr>
          <w:rFonts w:ascii="Century" w:hAnsi="Century"/>
          <w:rtl/>
        </w:rPr>
        <w:tab/>
        <w:t xml:space="preserve">בעת כריתת ההסכם בשנת 1961 הייתה בתוקף </w:t>
      </w:r>
      <w:hyperlink r:id="rId13" w:history="1">
        <w:r w:rsidR="00A02610" w:rsidRPr="00A02610">
          <w:rPr>
            <w:rFonts w:ascii="Century" w:hAnsi="Century" w:hint="eastAsia"/>
            <w:color w:val="0000FF"/>
            <w:u w:val="single"/>
            <w:rtl/>
          </w:rPr>
          <w:t>פקודת</w:t>
        </w:r>
        <w:r w:rsidR="00A02610" w:rsidRPr="00A02610">
          <w:rPr>
            <w:rFonts w:ascii="Century" w:hAnsi="Century"/>
            <w:color w:val="0000FF"/>
            <w:u w:val="single"/>
            <w:rtl/>
          </w:rPr>
          <w:t xml:space="preserve"> </w:t>
        </w:r>
        <w:r w:rsidR="00A02610" w:rsidRPr="00A02610">
          <w:rPr>
            <w:rFonts w:ascii="Century" w:hAnsi="Century" w:hint="eastAsia"/>
            <w:color w:val="0000FF"/>
            <w:u w:val="single"/>
            <w:rtl/>
          </w:rPr>
          <w:t>העיריות</w:t>
        </w:r>
      </w:hyperlink>
      <w:r>
        <w:rPr>
          <w:rFonts w:ascii="Century" w:hAnsi="Century"/>
          <w:rtl/>
        </w:rPr>
        <w:t xml:space="preserve"> שההסדרים הקבועים בה חלו על ענייננו. </w:t>
      </w:r>
      <w:hyperlink r:id="rId14" w:history="1">
        <w:r w:rsidR="00345F89" w:rsidRPr="00345F89">
          <w:rPr>
            <w:rStyle w:val="Hyperlink"/>
            <w:rFonts w:ascii="Century" w:hAnsi="Century" w:hint="eastAsia"/>
            <w:rtl/>
          </w:rPr>
          <w:t>סעיף</w:t>
        </w:r>
        <w:r w:rsidR="00345F89" w:rsidRPr="00345F89">
          <w:rPr>
            <w:rStyle w:val="Hyperlink"/>
            <w:rFonts w:ascii="Century" w:hAnsi="Century"/>
            <w:rtl/>
          </w:rPr>
          <w:t xml:space="preserve"> 94(1)</w:t>
        </w:r>
      </w:hyperlink>
      <w:r>
        <w:rPr>
          <w:rFonts w:ascii="Century" w:hAnsi="Century"/>
          <w:rtl/>
        </w:rPr>
        <w:t xml:space="preserve"> ל</w:t>
      </w:r>
      <w:hyperlink r:id="rId15" w:history="1">
        <w:r w:rsidR="00A02610" w:rsidRPr="00A02610">
          <w:rPr>
            <w:rFonts w:ascii="Century" w:hAnsi="Century" w:hint="eastAsia"/>
            <w:color w:val="0000FF"/>
            <w:u w:val="single"/>
            <w:rtl/>
          </w:rPr>
          <w:t>פקודת</w:t>
        </w:r>
        <w:r w:rsidR="00A02610" w:rsidRPr="00A02610">
          <w:rPr>
            <w:rFonts w:ascii="Century" w:hAnsi="Century"/>
            <w:color w:val="0000FF"/>
            <w:u w:val="single"/>
            <w:rtl/>
          </w:rPr>
          <w:t xml:space="preserve"> </w:t>
        </w:r>
        <w:r w:rsidR="00A02610" w:rsidRPr="00A02610">
          <w:rPr>
            <w:rFonts w:ascii="Century" w:hAnsi="Century" w:hint="eastAsia"/>
            <w:color w:val="0000FF"/>
            <w:u w:val="single"/>
            <w:rtl/>
          </w:rPr>
          <w:t>העיריות</w:t>
        </w:r>
      </w:hyperlink>
      <w:r>
        <w:rPr>
          <w:rFonts w:ascii="Century" w:hAnsi="Century"/>
          <w:rtl/>
        </w:rPr>
        <w:t xml:space="preserve"> קבע כי "לא תתקשר עיריה בחוזה להעברת מקרקעין או טובין, להזמנת טובין או לביצוע עבודה </w:t>
      </w:r>
      <w:r>
        <w:rPr>
          <w:rFonts w:ascii="Century" w:hAnsi="Century" w:cs="Miriam"/>
          <w:b/>
          <w:spacing w:val="0"/>
          <w:szCs w:val="24"/>
          <w:rtl/>
        </w:rPr>
        <w:t>אלא על פי מכרז פומבי</w:t>
      </w:r>
      <w:r>
        <w:rPr>
          <w:rFonts w:ascii="Century" w:hAnsi="Century"/>
          <w:rtl/>
        </w:rPr>
        <w:t xml:space="preserve">" (כיום </w:t>
      </w:r>
      <w:hyperlink r:id="rId16" w:history="1">
        <w:r w:rsidR="00345F89" w:rsidRPr="00345F89">
          <w:rPr>
            <w:rStyle w:val="Hyperlink"/>
            <w:rFonts w:ascii="Century" w:hAnsi="Century" w:hint="eastAsia"/>
            <w:rtl/>
          </w:rPr>
          <w:t>סעיף</w:t>
        </w:r>
        <w:r w:rsidR="00345F89" w:rsidRPr="00345F89">
          <w:rPr>
            <w:rStyle w:val="Hyperlink"/>
            <w:rFonts w:ascii="Century" w:hAnsi="Century"/>
            <w:rtl/>
          </w:rPr>
          <w:t xml:space="preserve"> 197</w:t>
        </w:r>
      </w:hyperlink>
      <w:r>
        <w:rPr>
          <w:rFonts w:ascii="Century" w:hAnsi="Century"/>
          <w:rtl/>
        </w:rPr>
        <w:t xml:space="preserve"> לפקודת העיריות [נוסח חדש]). ב</w:t>
      </w:r>
      <w:hyperlink r:id="rId17" w:history="1">
        <w:r w:rsidR="00A02610" w:rsidRPr="00A02610">
          <w:rPr>
            <w:rFonts w:ascii="Century" w:hAnsi="Century" w:hint="eastAsia"/>
            <w:color w:val="0000FF"/>
            <w:u w:val="single"/>
            <w:rtl/>
          </w:rPr>
          <w:t>תקנות</w:t>
        </w:r>
        <w:r w:rsidR="00A02610" w:rsidRPr="00A02610">
          <w:rPr>
            <w:rFonts w:ascii="Century" w:hAnsi="Century"/>
            <w:color w:val="0000FF"/>
            <w:u w:val="single"/>
            <w:rtl/>
          </w:rPr>
          <w:t xml:space="preserve"> </w:t>
        </w:r>
        <w:r w:rsidR="00A02610" w:rsidRPr="00A02610">
          <w:rPr>
            <w:rFonts w:ascii="Century" w:hAnsi="Century" w:hint="eastAsia"/>
            <w:color w:val="0000FF"/>
            <w:u w:val="single"/>
            <w:rtl/>
          </w:rPr>
          <w:t>העיריות</w:t>
        </w:r>
        <w:r w:rsidR="00A02610" w:rsidRPr="00A02610">
          <w:rPr>
            <w:rFonts w:ascii="Century" w:hAnsi="Century"/>
            <w:color w:val="0000FF"/>
            <w:u w:val="single"/>
            <w:rtl/>
          </w:rPr>
          <w:t xml:space="preserve"> (</w:t>
        </w:r>
        <w:r w:rsidR="00A02610" w:rsidRPr="00A02610">
          <w:rPr>
            <w:rFonts w:ascii="Century" w:hAnsi="Century" w:hint="eastAsia"/>
            <w:color w:val="0000FF"/>
            <w:u w:val="single"/>
            <w:rtl/>
          </w:rPr>
          <w:t>מכרזים</w:t>
        </w:r>
      </w:hyperlink>
      <w:r>
        <w:rPr>
          <w:rFonts w:ascii="Century" w:hAnsi="Century"/>
          <w:rtl/>
        </w:rPr>
        <w:t xml:space="preserve"> ודרכי הזמנתן וקבלתן של הצעות מחירים), התש"ך-1959, נקבעו חריגים לחובת המכרזים הפומביים, ובין היתר, מקרים שבהם המקרקעין מועברים לרשות </w:t>
      </w:r>
      <w:r>
        <w:rPr>
          <w:rFonts w:ascii="Century" w:hAnsi="Century" w:cs="Miriam"/>
          <w:b/>
          <w:spacing w:val="0"/>
          <w:szCs w:val="24"/>
          <w:rtl/>
        </w:rPr>
        <w:t>מוסד ציבורי</w:t>
      </w:r>
      <w:r>
        <w:rPr>
          <w:rFonts w:ascii="Century" w:hAnsi="Century"/>
          <w:rtl/>
        </w:rPr>
        <w:t xml:space="preserve"> למטרת סעד. כלומר, המעון זכה בפטור ממכרז פומבי בחכירת הקרקע בשל היותו עמותה ללא מטרות רווח (השוו לנוהל 35.10</w:t>
      </w:r>
      <w:r>
        <w:rPr>
          <w:rFonts w:ascii="Century" w:hAnsi="Century"/>
        </w:rPr>
        <w:t>B</w:t>
      </w:r>
      <w:r>
        <w:rPr>
          <w:rFonts w:ascii="Century" w:hAnsi="Century"/>
          <w:rtl/>
        </w:rPr>
        <w:t xml:space="preserve"> של רשות מקרקעי ישראל, לפיו מוסד ציבורי הוא בין היתר עמותה רשומה על פי </w:t>
      </w:r>
      <w:hyperlink r:id="rId18" w:history="1">
        <w:r w:rsidR="00A02610" w:rsidRPr="00A02610">
          <w:rPr>
            <w:rFonts w:ascii="Century" w:hAnsi="Century" w:hint="eastAsia"/>
            <w:color w:val="0000FF"/>
            <w:u w:val="single"/>
            <w:rtl/>
          </w:rPr>
          <w:t>חוק</w:t>
        </w:r>
        <w:r w:rsidR="00A02610" w:rsidRPr="00A02610">
          <w:rPr>
            <w:rFonts w:ascii="Century" w:hAnsi="Century"/>
            <w:color w:val="0000FF"/>
            <w:u w:val="single"/>
            <w:rtl/>
          </w:rPr>
          <w:t xml:space="preserve"> </w:t>
        </w:r>
        <w:r w:rsidR="00A02610" w:rsidRPr="00A02610">
          <w:rPr>
            <w:rFonts w:ascii="Century" w:hAnsi="Century" w:hint="eastAsia"/>
            <w:color w:val="0000FF"/>
            <w:u w:val="single"/>
            <w:rtl/>
          </w:rPr>
          <w:t>העמותות</w:t>
        </w:r>
      </w:hyperlink>
      <w:r>
        <w:rPr>
          <w:rFonts w:ascii="Century" w:hAnsi="Century"/>
          <w:rtl/>
        </w:rPr>
        <w:t xml:space="preserve">, התש"ם-1980), ונוכח מטרת החכירה – הקמת בית אבות. </w:t>
      </w:r>
    </w:p>
    <w:p w14:paraId="1E6A7E62" w14:textId="77777777" w:rsidR="00E00713" w:rsidRDefault="00E00713" w:rsidP="00E00713">
      <w:pPr>
        <w:pStyle w:val="Ruller40"/>
        <w:rPr>
          <w:rFonts w:ascii="Century" w:hAnsi="Century"/>
          <w:rtl/>
        </w:rPr>
      </w:pPr>
    </w:p>
    <w:p w14:paraId="767F3C8E" w14:textId="77777777" w:rsidR="00E00713" w:rsidRDefault="00000000" w:rsidP="00E00713">
      <w:pPr>
        <w:pStyle w:val="Ruller40"/>
        <w:rPr>
          <w:rFonts w:ascii="Century" w:hAnsi="Century"/>
          <w:rtl/>
        </w:rPr>
      </w:pPr>
      <w:r>
        <w:rPr>
          <w:rFonts w:ascii="Century" w:hAnsi="Century"/>
          <w:rtl/>
        </w:rPr>
        <w:tab/>
        <w:t>בית משפט זה קבע בעבר כי "החלטה להקצות מקרקעין שהינם רכוש הציבור שלא על ידי מכרז פומבי, אמורה להתקבל רק במקרים חריגים ונדירים" (</w:t>
      </w:r>
      <w:hyperlink r:id="rId19" w:history="1">
        <w:r w:rsidR="00A02610" w:rsidRPr="00A02610">
          <w:rPr>
            <w:rFonts w:ascii="Century" w:hAnsi="Century" w:hint="eastAsia"/>
            <w:color w:val="0000FF"/>
            <w:u w:val="single"/>
            <w:rtl/>
          </w:rPr>
          <w:t>עע</w:t>
        </w:r>
        <w:r w:rsidR="00A02610" w:rsidRPr="00A02610">
          <w:rPr>
            <w:rFonts w:ascii="Century" w:hAnsi="Century"/>
            <w:color w:val="0000FF"/>
            <w:u w:val="single"/>
            <w:rtl/>
          </w:rPr>
          <w:t>"</w:t>
        </w:r>
        <w:r w:rsidR="00A02610" w:rsidRPr="00A02610">
          <w:rPr>
            <w:rFonts w:ascii="Century" w:hAnsi="Century" w:hint="eastAsia"/>
            <w:color w:val="0000FF"/>
            <w:u w:val="single"/>
            <w:rtl/>
          </w:rPr>
          <w:t>מ</w:t>
        </w:r>
        <w:r w:rsidR="00A02610" w:rsidRPr="00A02610">
          <w:rPr>
            <w:rFonts w:ascii="Century" w:hAnsi="Century"/>
            <w:color w:val="0000FF"/>
            <w:u w:val="single"/>
            <w:rtl/>
          </w:rPr>
          <w:t xml:space="preserve"> 8412/07</w:t>
        </w:r>
      </w:hyperlink>
      <w:r>
        <w:rPr>
          <w:rFonts w:ascii="Century" w:hAnsi="Century"/>
          <w:rtl/>
        </w:rPr>
        <w:t xml:space="preserve"> </w:t>
      </w:r>
      <w:r>
        <w:rPr>
          <w:rFonts w:ascii="Century" w:hAnsi="Century" w:cs="Miriam"/>
          <w:b/>
          <w:spacing w:val="0"/>
          <w:szCs w:val="24"/>
          <w:rtl/>
        </w:rPr>
        <w:t>חברת מלון ומלון סוויטות אפ.אס.אר. בירושלים בע"מ נ' הורן</w:t>
      </w:r>
      <w:r>
        <w:rPr>
          <w:rFonts w:ascii="Century" w:hAnsi="Century"/>
          <w:rtl/>
        </w:rPr>
        <w:t xml:space="preserve">, פסקה 32 </w:t>
      </w:r>
      <w:r w:rsidR="00EF6807">
        <w:rPr>
          <w:rFonts w:ascii="Century" w:hAnsi="Century" w:hint="cs"/>
          <w:rtl/>
        </w:rPr>
        <w:t>[נבו]</w:t>
      </w:r>
      <w:r w:rsidR="00EF6807">
        <w:rPr>
          <w:rFonts w:ascii="Century" w:hAnsi="Century"/>
          <w:rtl/>
        </w:rPr>
        <w:t xml:space="preserve"> </w:t>
      </w:r>
      <w:r>
        <w:rPr>
          <w:rFonts w:ascii="Century" w:hAnsi="Century"/>
          <w:rtl/>
        </w:rPr>
        <w:t>(4.3.2009)); וכי "מקרקעי הציבור צריכים להתנהל לפי אמות מידה ממלכתיות. אימוץ אמת מידה כאמור הוא בגדר חובתן של רשויות ציבור בכל ענייניהן, ועל אחת כמה וכמה ככל שהדבר נוגע לטיפול ברכוש שהוא בבעלותו של הציבור כולו" (</w:t>
      </w:r>
      <w:hyperlink r:id="rId20" w:history="1">
        <w:r w:rsidR="00A02610" w:rsidRPr="00A02610">
          <w:rPr>
            <w:rFonts w:ascii="Century" w:hAnsi="Century" w:hint="eastAsia"/>
            <w:color w:val="0000FF"/>
            <w:u w:val="single"/>
            <w:rtl/>
          </w:rPr>
          <w:t>בג</w:t>
        </w:r>
        <w:r w:rsidR="00A02610" w:rsidRPr="00A02610">
          <w:rPr>
            <w:rFonts w:ascii="Century" w:hAnsi="Century"/>
            <w:color w:val="0000FF"/>
            <w:u w:val="single"/>
            <w:rtl/>
          </w:rPr>
          <w:t>"</w:t>
        </w:r>
        <w:r w:rsidR="00A02610" w:rsidRPr="00A02610">
          <w:rPr>
            <w:rFonts w:ascii="Century" w:hAnsi="Century" w:hint="eastAsia"/>
            <w:color w:val="0000FF"/>
            <w:u w:val="single"/>
            <w:rtl/>
          </w:rPr>
          <w:t>ץ</w:t>
        </w:r>
        <w:r w:rsidR="00A02610" w:rsidRPr="00A02610">
          <w:rPr>
            <w:rFonts w:ascii="Century" w:hAnsi="Century"/>
            <w:color w:val="0000FF"/>
            <w:u w:val="single"/>
            <w:rtl/>
          </w:rPr>
          <w:t xml:space="preserve"> 5023/91</w:t>
        </w:r>
      </w:hyperlink>
      <w:r>
        <w:rPr>
          <w:rFonts w:ascii="Century" w:hAnsi="Century"/>
          <w:rtl/>
        </w:rPr>
        <w:t xml:space="preserve"> </w:t>
      </w:r>
      <w:r>
        <w:rPr>
          <w:rFonts w:ascii="Century" w:hAnsi="Century" w:cs="Miriam"/>
          <w:b/>
          <w:spacing w:val="0"/>
          <w:szCs w:val="24"/>
          <w:rtl/>
        </w:rPr>
        <w:t>פורז נ' שר הבינוי והשיכון</w:t>
      </w:r>
      <w:r>
        <w:rPr>
          <w:rFonts w:ascii="Century" w:hAnsi="Century"/>
          <w:rtl/>
        </w:rPr>
        <w:t>, פ"ד מו(2) 793, 801 (1992)). העירייה החכירה את המקרקעין דנן למעון, לשימושו הבלבדי, בהיותו עמותה ללא מטרות רווח. מתן אותה הטבה לא נועד לאפשר העברת זכויות החזקה ושיתוף במקרקעין בשלב מאוחר יותר לחברה פרטית מסחרית באופן שעוקף את החובה במכרז פומבי, גם אם ייעוד השימוש בקרקע נותר זהה. שהרי, אם חברת מוריה הייתה מעוניינת להשתמש במקרקעין בעצמה, היא הייתה נדרשת במכרז. דברים אלה נכונים על אחת כמה וכמה כשהעירייה לא מעורבת בעצמה בהעברת הזכויות לצד ג'. נוכח האמור, אני סבור כי העברת זכויות החזקה ושימוש במקרקעין לצד ג', שהוא בעל אינטרסים כלכליים ומטרות רווח, מנוגדת לטעמים שעמדו בבסיס הסכם החכירה.</w:t>
      </w:r>
    </w:p>
    <w:p w14:paraId="0A431451" w14:textId="77777777" w:rsidR="00E00713" w:rsidRDefault="00E00713" w:rsidP="00E00713">
      <w:pPr>
        <w:pStyle w:val="Ruller40"/>
        <w:rPr>
          <w:rFonts w:ascii="Century" w:hAnsi="Century"/>
          <w:rtl/>
        </w:rPr>
      </w:pPr>
    </w:p>
    <w:p w14:paraId="4A6F1D4D" w14:textId="77777777" w:rsidR="00E00713" w:rsidRDefault="00000000" w:rsidP="00E00713">
      <w:pPr>
        <w:pStyle w:val="Ruller40"/>
        <w:rPr>
          <w:rFonts w:ascii="Century" w:hAnsi="Century"/>
          <w:rtl/>
        </w:rPr>
      </w:pPr>
      <w:r>
        <w:rPr>
          <w:rFonts w:ascii="Century" w:hAnsi="Century"/>
          <w:rtl/>
        </w:rPr>
        <w:t>11.</w:t>
      </w:r>
      <w:r>
        <w:rPr>
          <w:rFonts w:ascii="Century" w:hAnsi="Century"/>
          <w:rtl/>
        </w:rPr>
        <w:tab/>
        <w:t xml:space="preserve">מכל האמור עולה המסקנה כי כוונת העירייה בעת שהתקשרה בהסכם החכירה עם המעון – ללא מכרז פומבי ובדמי חכירה מוזלים – הייתה כי המחזיק בקרקע יהיה המעון, והוא בלבד. ודאי כי אין לקרוא את הסכם החכירה ככזה שמתיר לחברה מסחרית פרטית לתפוס חזקה במקרקעין ציבוריים בדרך עקיפה, ללא הסכמת העירייה וללא מכרז כנדרש. </w:t>
      </w:r>
    </w:p>
    <w:p w14:paraId="23C3DD74" w14:textId="77777777" w:rsidR="00E00713" w:rsidRDefault="00E00713" w:rsidP="00E00713">
      <w:pPr>
        <w:pStyle w:val="Ruller40"/>
        <w:rPr>
          <w:rFonts w:ascii="Century" w:hAnsi="Century"/>
          <w:rtl/>
        </w:rPr>
      </w:pPr>
    </w:p>
    <w:p w14:paraId="2C1373BF" w14:textId="77777777" w:rsidR="00E00713" w:rsidRDefault="00000000" w:rsidP="00E00713">
      <w:pPr>
        <w:pStyle w:val="Ruller40"/>
        <w:rPr>
          <w:rFonts w:ascii="Century" w:hAnsi="Century"/>
          <w:rtl/>
        </w:rPr>
      </w:pPr>
      <w:r>
        <w:rPr>
          <w:rFonts w:ascii="Century" w:hAnsi="Century"/>
          <w:rtl/>
        </w:rPr>
        <w:t>12.</w:t>
      </w:r>
      <w:r>
        <w:rPr>
          <w:rFonts w:ascii="Century" w:hAnsi="Century"/>
          <w:rtl/>
        </w:rPr>
        <w:tab/>
        <w:t xml:space="preserve">ייתכן כי לא היה מקום להתערבות אם ההחזקה והשימוש במקרקעין היו נותרות בידי המעון תוך ניהול משותף של בית האבות עם חברת מוריה. אולם, בניגוד לנטען על ידי המעון – איני סבור כי זה המצב. כדעתה של העירייה, אני סבור כי הסכם 2017 שינה בפועל את זהות המחזיק במקרקעין באופן שחורג מההסכמות בין העירייה והמעון לפי הסכם החכירה. קריאה של הסכם 2017 בכללותו מעלה כי לא מדובר בהיעזרות נקודתית וטכנית גרידא, שעמה ייתכן ועוד ניתן היה להשלים. חברת מוריה היא לא רק הגוף המממן העומד מאחורי הקמת בית האבות החדש. אדרבה, חברת מוריה היא היזמית והמנהלת של המקרקעין והבנוי עליהם, בעוד שלמעון נותרו סמכויות פיקוח בלבד. </w:t>
      </w:r>
    </w:p>
    <w:p w14:paraId="014C409B" w14:textId="77777777" w:rsidR="00E00713" w:rsidRDefault="00E00713" w:rsidP="00E00713">
      <w:pPr>
        <w:pStyle w:val="Ruller40"/>
        <w:rPr>
          <w:rFonts w:ascii="Century" w:hAnsi="Century"/>
          <w:rtl/>
        </w:rPr>
      </w:pPr>
    </w:p>
    <w:p w14:paraId="65572218" w14:textId="77777777" w:rsidR="00E00713" w:rsidRDefault="00000000" w:rsidP="00E00713">
      <w:pPr>
        <w:pStyle w:val="Ruller40"/>
        <w:rPr>
          <w:rFonts w:ascii="Century" w:hAnsi="Century"/>
          <w:rtl/>
        </w:rPr>
      </w:pPr>
      <w:r>
        <w:rPr>
          <w:rFonts w:ascii="Century" w:hAnsi="Century"/>
          <w:rtl/>
        </w:rPr>
        <w:tab/>
        <w:t>למעשה, די בדבריו של של עו"ד ינאי, מנהל המעון, כפי שעולים מפרוטוקול האסיפה הכללית של המעון שהתקיימה ביום 13.8.2018 כדי להבין את תכליתו של הסכם 2017 –"</w:t>
      </w:r>
      <w:r>
        <w:rPr>
          <w:rFonts w:ascii="Century" w:hAnsi="Century" w:cs="Miriam"/>
          <w:b/>
          <w:spacing w:val="0"/>
          <w:szCs w:val="24"/>
          <w:rtl/>
        </w:rPr>
        <w:t>העיקרון המנחה של ההסכם הוא שלנו אין שום חובות או התחייבויות כלפי הרשויות, הכל משלמת מוריה ואנחנו מקבלים דמי שימוש</w:t>
      </w:r>
      <w:r>
        <w:rPr>
          <w:rFonts w:ascii="Century" w:hAnsi="Century"/>
          <w:rtl/>
        </w:rPr>
        <w:t xml:space="preserve">" (פרוטוקול הישיבה, עמ' 3, פסקה 8). הכל על כתפיה של חברת מוריה. גם הסיכונים – פירעון חובותיו של המעון; הקמת בית אבות חדש; וניהולו לאחר מכן, אך גם הרווחים – "מוריה עומדת להשקיע בפרוייקט כ-50,000,000 ₪. סכום זה </w:t>
      </w:r>
      <w:r>
        <w:rPr>
          <w:rFonts w:ascii="Century" w:hAnsi="Century" w:cs="Miriam"/>
          <w:b/>
          <w:spacing w:val="0"/>
          <w:szCs w:val="24"/>
          <w:rtl/>
        </w:rPr>
        <w:t>היא מחזירה לעצמה מתוך הרווחים בתוך 10 שנים</w:t>
      </w:r>
      <w:r>
        <w:rPr>
          <w:rFonts w:ascii="Century" w:hAnsi="Century"/>
          <w:rtl/>
        </w:rPr>
        <w:t>" (דברי עו"ד ינאי, פרוטוקול הישיבה, עמ' 3, פס' 5) (ונזכיר כי הסכם 2017 נחתם ל-25 שנים כך שלאחר החזרת ההשקעות היו צפויות לחברת מוריה עוד שנים רבות של רווח "נקי").</w:t>
      </w:r>
    </w:p>
    <w:p w14:paraId="5AC3DDDE" w14:textId="77777777" w:rsidR="00E00713" w:rsidRDefault="00000000" w:rsidP="00E00713">
      <w:pPr>
        <w:pStyle w:val="Ruller40"/>
        <w:rPr>
          <w:rFonts w:ascii="Century" w:hAnsi="Century"/>
          <w:rtl/>
        </w:rPr>
      </w:pPr>
      <w:r>
        <w:rPr>
          <w:rFonts w:ascii="Century" w:hAnsi="Century"/>
          <w:rtl/>
        </w:rPr>
        <w:t xml:space="preserve">  </w:t>
      </w:r>
    </w:p>
    <w:p w14:paraId="27236936" w14:textId="77777777" w:rsidR="00E00713" w:rsidRDefault="00000000" w:rsidP="00E00713">
      <w:pPr>
        <w:pStyle w:val="Ruller40"/>
        <w:rPr>
          <w:rFonts w:ascii="Century" w:hAnsi="Century"/>
          <w:rtl/>
        </w:rPr>
      </w:pPr>
      <w:r>
        <w:rPr>
          <w:rFonts w:ascii="Century" w:hAnsi="Century"/>
          <w:rtl/>
        </w:rPr>
        <w:t>13.</w:t>
      </w:r>
      <w:r>
        <w:rPr>
          <w:rFonts w:ascii="Century" w:hAnsi="Century"/>
          <w:rtl/>
        </w:rPr>
        <w:tab/>
        <w:t>בחינה של סעיפי הסכם 2017 מגלה כמה מרכזי ובלעדי תפקידה של חברת מוריה בניהול בית האבות, באופן שהופך אותה למחזיקה העיקרית במקרקעין, ונעמוד על חלקם – חברת מוריה תהא רשאית לנהל משא ומתן עם העירייה, באופן ישיר וללא תיווכו של המעון, לרכישת זכויות במקרקעין והמעון מוותר על זכויות החכירה שלו (סעיף 4.4); המעון יחתום על כל מסמך הדרוש לצורך רישום זכויות חברת מוריה לפי הסכם זה (סעיף 4.8); המעון ישתף פעולה ויאפשר לחברת מוריה לבצע את תכניות הבנייה "</w:t>
      </w:r>
      <w:r>
        <w:rPr>
          <w:rFonts w:ascii="Century" w:hAnsi="Century" w:cs="Miriam"/>
          <w:b/>
          <w:spacing w:val="0"/>
          <w:szCs w:val="24"/>
          <w:rtl/>
        </w:rPr>
        <w:t>בלא כל הפרעה שהיא</w:t>
      </w:r>
      <w:r>
        <w:rPr>
          <w:rFonts w:ascii="Century" w:hAnsi="Century"/>
          <w:rtl/>
        </w:rPr>
        <w:t xml:space="preserve">" (הדגשה הוספה – י"ע; סעיף 4.9); חברת מוריה תהיה אחראית לקבלת כל הרישיונות וההיתרים הדרושים לשימוש בנכס ולהפעלתו (סעיף 17.2); הנהלת בית האבות תהא </w:t>
      </w:r>
      <w:r>
        <w:rPr>
          <w:rFonts w:ascii="Century" w:hAnsi="Century" w:cs="Miriam"/>
          <w:b/>
          <w:spacing w:val="0"/>
          <w:szCs w:val="24"/>
          <w:rtl/>
        </w:rPr>
        <w:t>מטעם חברת מוריה</w:t>
      </w:r>
      <w:r>
        <w:rPr>
          <w:rFonts w:ascii="Century" w:hAnsi="Century"/>
          <w:rtl/>
        </w:rPr>
        <w:t xml:space="preserve"> ונדרשות רק ארבע ישיבות משותפות עם נציגי המעון בכל שנה (סעיף 17.5); נציגי המעון יהיו </w:t>
      </w:r>
      <w:r>
        <w:rPr>
          <w:rFonts w:ascii="Century" w:hAnsi="Century" w:cs="Miriam"/>
          <w:b/>
          <w:spacing w:val="0"/>
          <w:szCs w:val="24"/>
          <w:rtl/>
        </w:rPr>
        <w:t>רשאים</w:t>
      </w:r>
      <w:r>
        <w:rPr>
          <w:rFonts w:ascii="Century" w:hAnsi="Century"/>
          <w:rtl/>
        </w:rPr>
        <w:t xml:space="preserve"> ליטול חלק בתכנון ובהליכים לבניית בית האבות, אולם אין חובה לכך, וככל שיש בעמדת נציגי המעון כדי להעמיס עלויות נוספות על מוריה, היא אף לא חייבת להתחשב בדעתם (סעיפים 17.8-17.6); חברת מוריה היא האחראית הבלעדית כלפי צד שלישי, בגין כל נזק שייגרם לגוף או לרכוש (סעיף 19); חברת מוריה אף רשאית להעביר את זכויותיה לצד שלישי ללא ידיעתו או אישורו של המעון (סעיף 29.4). כל שנותר למעון הוא סמכות פיקוח על פעילות בית האבות אשר יופעל על ידי חברת מוריה (סעיף 18).</w:t>
      </w:r>
    </w:p>
    <w:p w14:paraId="1488151C" w14:textId="77777777" w:rsidR="00E00713" w:rsidRDefault="00E00713" w:rsidP="00E00713">
      <w:pPr>
        <w:pStyle w:val="Ruller40"/>
        <w:rPr>
          <w:rFonts w:ascii="Century" w:hAnsi="Century"/>
          <w:rtl/>
        </w:rPr>
      </w:pPr>
    </w:p>
    <w:p w14:paraId="439E9A81" w14:textId="77777777" w:rsidR="00E00713" w:rsidRDefault="00000000" w:rsidP="00E00713">
      <w:pPr>
        <w:pStyle w:val="Ruller40"/>
        <w:rPr>
          <w:rFonts w:ascii="Century" w:hAnsi="Century"/>
          <w:rtl/>
        </w:rPr>
      </w:pPr>
      <w:r>
        <w:rPr>
          <w:rFonts w:ascii="Century" w:hAnsi="Century"/>
          <w:rtl/>
        </w:rPr>
        <w:t>14.</w:t>
      </w:r>
      <w:r>
        <w:rPr>
          <w:rFonts w:ascii="Century" w:hAnsi="Century"/>
          <w:rtl/>
        </w:rPr>
        <w:tab/>
        <w:t xml:space="preserve">על הנייר, המעון הוא המחזיק הבלעדי במקרקעין בעוד שבפועל הוא נותר מאחורי הקלעים, מפקח אך אינו לוקח חלק פעיל, וחברת מוריה נכנסת בנעליו הלכה למעשה. ברי כי הסכם 2017 נותן לחברת מוריה זכויות החזקה ושימוש במקרקעין. לא זו הייתה "כוונת המשורר" כשניתנה למעון אותה הטבה משמעותית של מקרקעין ציבוריים ללא מכרז ובעלות דמי חכירה מופחתים לפני למעלה מ-60 שנים. אין להסכין עם שינוי המחזיקים במקרקעין ללא אישורה של העירייה כמחכירה (ראו והשוו: </w:t>
      </w:r>
      <w:hyperlink r:id="rId21" w:history="1">
        <w:r w:rsidR="00A02610" w:rsidRPr="00A02610">
          <w:rPr>
            <w:color w:val="0000FF"/>
            <w:u w:val="single"/>
            <w:rtl/>
          </w:rPr>
          <w:t>בג"ץ 6131/06</w:t>
        </w:r>
      </w:hyperlink>
      <w:r>
        <w:rPr>
          <w:rtl/>
        </w:rPr>
        <w:t xml:space="preserve"> </w:t>
      </w:r>
      <w:r>
        <w:rPr>
          <w:rFonts w:ascii="Century" w:hAnsi="Century" w:cs="Miriam"/>
          <w:b/>
          <w:spacing w:val="0"/>
          <w:szCs w:val="24"/>
          <w:rtl/>
        </w:rPr>
        <w:t>גני מאורות המעיין בע"מ נ' שר הפנים</w:t>
      </w:r>
      <w:r>
        <w:rPr>
          <w:rtl/>
        </w:rPr>
        <w:t xml:space="preserve">, פסקה 7 </w:t>
      </w:r>
      <w:r w:rsidR="00EF6807">
        <w:rPr>
          <w:rFonts w:ascii="Century" w:hAnsi="Century" w:hint="cs"/>
          <w:rtl/>
        </w:rPr>
        <w:t>[נבו]</w:t>
      </w:r>
      <w:r w:rsidR="00EF6807">
        <w:rPr>
          <w:rtl/>
        </w:rPr>
        <w:t xml:space="preserve"> </w:t>
      </w:r>
      <w:r>
        <w:rPr>
          <w:rtl/>
        </w:rPr>
        <w:t>(19.2.2007)</w:t>
      </w:r>
      <w:r>
        <w:rPr>
          <w:rFonts w:ascii="Century" w:hAnsi="Century"/>
          <w:rtl/>
        </w:rPr>
        <w:t>). זאת על אחת כמה וכמה משום שחברת מוריה היא חברה עם כוונות רווח, שאיננה נופלת תחת הגדרתו של "מוסד ציבורי", תנאי הכרחי לקבלת המקרקעין הציבוריים ללא מכרז פומבי. כלומר, מבלי להידרש כלל לשאלה אם חברת מוריה ראויה או לא ראויה להיכנס כשותפה לניהול בית האבות, מעצם היותה גוף פרטי אין זה ראוי כי היא תשיא רווחים ממקרקעין ציבוריים מבלי שעמדה בתנאי הסף הדרושים לכך. משכך, אני סבור כי בעת שנקשר בהסכם 2017, המעון הפר את הסכם החכירה, והעירייה רשאית לדרוש את ביטולו.</w:t>
      </w:r>
    </w:p>
    <w:p w14:paraId="369A1DB5" w14:textId="77777777" w:rsidR="00E00713" w:rsidRDefault="00E00713" w:rsidP="00E00713">
      <w:pPr>
        <w:pStyle w:val="Ruller40"/>
        <w:rPr>
          <w:rFonts w:ascii="Century" w:hAnsi="Century"/>
          <w:rtl/>
        </w:rPr>
      </w:pPr>
    </w:p>
    <w:p w14:paraId="5172703C" w14:textId="77777777" w:rsidR="00E00713" w:rsidRDefault="00000000" w:rsidP="00E00713">
      <w:pPr>
        <w:pStyle w:val="Ruller40"/>
        <w:rPr>
          <w:rFonts w:ascii="Century" w:hAnsi="Century"/>
          <w:rtl/>
        </w:rPr>
      </w:pPr>
      <w:r>
        <w:rPr>
          <w:rFonts w:ascii="Century" w:hAnsi="Century"/>
          <w:rtl/>
        </w:rPr>
        <w:t>15.</w:t>
      </w:r>
      <w:r>
        <w:rPr>
          <w:rFonts w:ascii="Century" w:hAnsi="Century"/>
          <w:rtl/>
        </w:rPr>
        <w:tab/>
        <w:t xml:space="preserve">במאמר מוסגר: מאז שנת 2016 המקרקעין עומדים כאבן שאין לה הופכין. המעון, שנכנס לקשיים כלכליים, כבר אינו בעל יכולת כלכלית להשתמש בהם על מנת לקדם את המטרה הציבורית שלשמה הם הוחכרו לו לכתחילה – הקמה ותפעול של בית אבות. מהבחינה הזו, גם ההתקשרות עם חברת מוריה אין בה כדי לסייע שעה שמתנהלים בעניינה הליכי חדלות פירעון (וזאת ללא קשר להעברה האסורה של זכויות ההחזקה והשימוש במקרקעין). מקרקעין ציבוריים הם משאב יקר ערך, ובעוד שהם עומדים ללא כל שימוש, העירייה הצהירה בדיון שהתקיים לפנינו כי יש לה תכניות להקמת מבני חינוך ציבוריים בחלקת המקרקעין אשר בבעלותה. לכן, גם מבחינת האינטרס הציבורי דומה כי יש ערך בביטול הסכם החכירה (ראו והשוו: </w:t>
      </w:r>
      <w:hyperlink r:id="rId22" w:history="1">
        <w:r w:rsidR="00A02610" w:rsidRPr="00A02610">
          <w:rPr>
            <w:rFonts w:ascii="Century" w:hAnsi="Century" w:hint="eastAsia"/>
            <w:color w:val="0000FF"/>
            <w:u w:val="single"/>
            <w:rtl/>
          </w:rPr>
          <w:t>ע</w:t>
        </w:r>
        <w:r w:rsidR="00A02610" w:rsidRPr="00A02610">
          <w:rPr>
            <w:rFonts w:ascii="Century" w:hAnsi="Century"/>
            <w:color w:val="0000FF"/>
            <w:u w:val="single"/>
            <w:rtl/>
          </w:rPr>
          <w:t>"</w:t>
        </w:r>
        <w:r w:rsidR="00A02610" w:rsidRPr="00A02610">
          <w:rPr>
            <w:rFonts w:ascii="Century" w:hAnsi="Century" w:hint="eastAsia"/>
            <w:color w:val="0000FF"/>
            <w:u w:val="single"/>
            <w:rtl/>
          </w:rPr>
          <w:t>א</w:t>
        </w:r>
        <w:r w:rsidR="00A02610" w:rsidRPr="00A02610">
          <w:rPr>
            <w:rFonts w:ascii="Century" w:hAnsi="Century"/>
            <w:color w:val="0000FF"/>
            <w:u w:val="single"/>
            <w:rtl/>
          </w:rPr>
          <w:t xml:space="preserve"> 3257/21</w:t>
        </w:r>
      </w:hyperlink>
      <w:r>
        <w:rPr>
          <w:rFonts w:ascii="Century" w:hAnsi="Century"/>
          <w:rtl/>
        </w:rPr>
        <w:t xml:space="preserve"> </w:t>
      </w:r>
      <w:r>
        <w:rPr>
          <w:rFonts w:ascii="Century" w:hAnsi="Century" w:cs="Miriam"/>
          <w:b/>
          <w:spacing w:val="0"/>
          <w:szCs w:val="24"/>
          <w:rtl/>
        </w:rPr>
        <w:t>עמותת חזון יחזקאל נ' רשות התאגידים</w:t>
      </w:r>
      <w:r>
        <w:rPr>
          <w:rFonts w:ascii="Century" w:hAnsi="Century"/>
          <w:rtl/>
        </w:rPr>
        <w:t xml:space="preserve">, פסקה 35 </w:t>
      </w:r>
      <w:r w:rsidR="00EF6807">
        <w:rPr>
          <w:rFonts w:ascii="Century" w:hAnsi="Century" w:hint="cs"/>
          <w:rtl/>
        </w:rPr>
        <w:t>[נבו]</w:t>
      </w:r>
      <w:r w:rsidR="00EF6807">
        <w:rPr>
          <w:rFonts w:ascii="Century" w:hAnsi="Century"/>
          <w:rtl/>
        </w:rPr>
        <w:t xml:space="preserve"> </w:t>
      </w:r>
      <w:r>
        <w:rPr>
          <w:rFonts w:ascii="Century" w:hAnsi="Century"/>
          <w:rtl/>
        </w:rPr>
        <w:t>(27.3.2023)). אמנם אין בדברים אלו כדי להקים עילה עצמאית לביטול ההסכם, אולם יש בכך כדי לתמוך בתוצאה אליה הגענו.</w:t>
      </w:r>
    </w:p>
    <w:p w14:paraId="2E489294" w14:textId="77777777" w:rsidR="00E00713" w:rsidRDefault="00E00713" w:rsidP="00E00713">
      <w:pPr>
        <w:pStyle w:val="Ruller40"/>
        <w:rPr>
          <w:rFonts w:ascii="Century" w:hAnsi="Century"/>
          <w:rtl/>
        </w:rPr>
      </w:pPr>
    </w:p>
    <w:p w14:paraId="312BF702" w14:textId="77777777" w:rsidR="00E00713" w:rsidRDefault="00000000" w:rsidP="00E00713">
      <w:pPr>
        <w:pStyle w:val="Ruller40"/>
        <w:rPr>
          <w:rFonts w:ascii="Century" w:hAnsi="Century"/>
          <w:rtl/>
        </w:rPr>
      </w:pPr>
      <w:r>
        <w:rPr>
          <w:rFonts w:ascii="Century" w:hAnsi="Century"/>
          <w:rtl/>
        </w:rPr>
        <w:t>16.</w:t>
      </w:r>
      <w:r>
        <w:rPr>
          <w:rFonts w:ascii="Century" w:hAnsi="Century"/>
          <w:rtl/>
        </w:rPr>
        <w:tab/>
        <w:t>נוכח האמור, עמדתי היא כי יש לקבל את ערעור העירייה ולהורות על ביטול הסכם החכירה החל מיום מתן פסק דין זה. לצד ביטול ההסכם, קמה חובת השבה הדדית. המעון יפנה את המקרקעין וישיבם לידי העירייה בתוך 90 ימים. נוכח החזקת המעון במקרקעין עד למועד מתן פסק הדין, עליו להמשיך בתשלום דמי החכירה כפי שהוסכם בהסכם החכירה וכפי שנקבע בפסק דינו של בית משפט קמא – עד למועד חתימת הסכם 2017 ישולמו דמי חכירה בשיעור של 1% משווי המקרקעין; ממועד חתימת הסכם 2017, ומשלא נבנה בית האבות החדש, עד לביטול הסכם החכירה – ישולמו דמי חכירה בשווי של 3% משווי המקרקעין.</w:t>
      </w:r>
    </w:p>
    <w:p w14:paraId="7EAFC6E3" w14:textId="77777777" w:rsidR="00E00713" w:rsidRDefault="00E00713" w:rsidP="00E00713">
      <w:pPr>
        <w:pStyle w:val="Ruller40"/>
        <w:rPr>
          <w:rFonts w:ascii="Century" w:hAnsi="Century"/>
          <w:rtl/>
        </w:rPr>
      </w:pPr>
    </w:p>
    <w:p w14:paraId="386DF763" w14:textId="77777777" w:rsidR="00E00713" w:rsidRDefault="00000000" w:rsidP="00E00713">
      <w:pPr>
        <w:pStyle w:val="Ruller40"/>
        <w:rPr>
          <w:rFonts w:ascii="Century" w:hAnsi="Century"/>
          <w:rtl/>
        </w:rPr>
      </w:pPr>
      <w:r>
        <w:rPr>
          <w:rFonts w:ascii="Century" w:hAnsi="Century"/>
          <w:rtl/>
        </w:rPr>
        <w:tab/>
        <w:t>נוכח קביעתי כי יש לקבל את ערעור העירייה ולהורות על ביטול הסכם החכירה, הרי שאין עוד טעם להידרש לערעור המעון באשר לגובה דמי החכירה, ודינו להידחות.</w:t>
      </w:r>
    </w:p>
    <w:p w14:paraId="6DB873CB" w14:textId="77777777" w:rsidR="00E00713" w:rsidRDefault="00E00713" w:rsidP="00E00713">
      <w:pPr>
        <w:pStyle w:val="Ruller40"/>
        <w:rPr>
          <w:rFonts w:ascii="Century" w:hAnsi="Century"/>
          <w:rtl/>
        </w:rPr>
      </w:pPr>
    </w:p>
    <w:p w14:paraId="583F22FD" w14:textId="77777777" w:rsidR="00E00713" w:rsidRDefault="00000000" w:rsidP="00E00713">
      <w:pPr>
        <w:pStyle w:val="Ruller40"/>
        <w:rPr>
          <w:rFonts w:ascii="Century" w:hAnsi="Century"/>
          <w:rtl/>
        </w:rPr>
      </w:pPr>
      <w:r>
        <w:rPr>
          <w:rFonts w:ascii="Century" w:hAnsi="Century"/>
          <w:rtl/>
        </w:rPr>
        <w:t>17.</w:t>
      </w:r>
      <w:r>
        <w:rPr>
          <w:rFonts w:ascii="Century" w:hAnsi="Century"/>
          <w:rtl/>
        </w:rPr>
        <w:tab/>
        <w:t>סיכומם של דברים, אציע לחבריי לקבל את ערעור העירייה כך שייקבע כי המעון הפר את הסכם החכירה ודינו להתבטל, בכפוף לאמור בפסקה 17 לחוות דעתי. משכך, דין ערעור המעון להידחות. המעון יישא בהוצאות העירייה בהליך זה בסך של 15,000 ש"ח.</w:t>
      </w:r>
    </w:p>
    <w:p w14:paraId="092E21A6" w14:textId="77777777" w:rsidR="00462865" w:rsidRDefault="00462865" w:rsidP="00E311E6">
      <w:pPr>
        <w:pStyle w:val="Ruller40"/>
        <w:rPr>
          <w:rFonts w:ascii="Century" w:hAnsi="Century" w:cs="Miriam"/>
          <w:b/>
          <w:spacing w:val="0"/>
          <w:szCs w:val="24"/>
          <w:u w:val="single"/>
          <w:rtl/>
        </w:rPr>
      </w:pPr>
    </w:p>
    <w:p w14:paraId="49CD99B2" w14:textId="77777777" w:rsidR="00462865" w:rsidRPr="00105E0F" w:rsidRDefault="00462865" w:rsidP="00462865">
      <w:pPr>
        <w:tabs>
          <w:tab w:val="left" w:pos="2553"/>
        </w:tabs>
        <w:ind w:left="5040"/>
        <w:rPr>
          <w:rFonts w:ascii="FrankRuehl" w:hAnsi="FrankRuehl" w:cs="FrankRuehl"/>
          <w:sz w:val="28"/>
          <w:szCs w:val="28"/>
          <w:rtl/>
        </w:rPr>
      </w:pPr>
    </w:p>
    <w:tbl>
      <w:tblPr>
        <w:bidiVisual/>
        <w:tblW w:w="8306" w:type="dxa"/>
        <w:jc w:val="center"/>
        <w:tblLook w:val="01E0" w:firstRow="1" w:lastRow="1" w:firstColumn="1" w:lastColumn="1" w:noHBand="0" w:noVBand="0"/>
      </w:tblPr>
      <w:tblGrid>
        <w:gridCol w:w="2796"/>
        <w:gridCol w:w="526"/>
        <w:gridCol w:w="2029"/>
        <w:gridCol w:w="341"/>
        <w:gridCol w:w="2614"/>
      </w:tblGrid>
      <w:tr w:rsidR="00D51BF7" w14:paraId="4738D2E8" w14:textId="77777777" w:rsidTr="00A02610">
        <w:trPr>
          <w:trHeight w:val="426"/>
          <w:jc w:val="center"/>
        </w:trPr>
        <w:tc>
          <w:tcPr>
            <w:tcW w:w="2796" w:type="dxa"/>
            <w:shd w:val="clear" w:color="auto" w:fill="auto"/>
          </w:tcPr>
          <w:p w14:paraId="6F8E2AF0" w14:textId="77777777" w:rsidR="00462865" w:rsidRPr="00C11844" w:rsidRDefault="00462865" w:rsidP="00A02610">
            <w:pPr>
              <w:spacing w:before="40" w:after="40"/>
              <w:jc w:val="center"/>
              <w:rPr>
                <w:rtl/>
              </w:rPr>
            </w:pPr>
          </w:p>
        </w:tc>
        <w:tc>
          <w:tcPr>
            <w:tcW w:w="526" w:type="dxa"/>
            <w:shd w:val="clear" w:color="auto" w:fill="auto"/>
          </w:tcPr>
          <w:p w14:paraId="3C121AE5" w14:textId="77777777" w:rsidR="00462865" w:rsidRPr="00C11844" w:rsidRDefault="00462865" w:rsidP="00A02610">
            <w:pPr>
              <w:spacing w:before="40" w:after="40"/>
              <w:jc w:val="center"/>
              <w:rPr>
                <w:rtl/>
              </w:rPr>
            </w:pPr>
          </w:p>
        </w:tc>
        <w:tc>
          <w:tcPr>
            <w:tcW w:w="2029" w:type="dxa"/>
            <w:shd w:val="clear" w:color="auto" w:fill="auto"/>
          </w:tcPr>
          <w:p w14:paraId="1D9E97A3" w14:textId="77777777" w:rsidR="00462865" w:rsidRPr="00C11844" w:rsidRDefault="00462865" w:rsidP="00A02610">
            <w:pPr>
              <w:spacing w:before="40" w:after="40"/>
              <w:jc w:val="center"/>
              <w:rPr>
                <w:rtl/>
              </w:rPr>
            </w:pPr>
          </w:p>
        </w:tc>
        <w:tc>
          <w:tcPr>
            <w:tcW w:w="341" w:type="dxa"/>
            <w:shd w:val="clear" w:color="auto" w:fill="auto"/>
          </w:tcPr>
          <w:p w14:paraId="682C16E3" w14:textId="77777777" w:rsidR="00462865" w:rsidRPr="00C11844" w:rsidRDefault="00462865" w:rsidP="00A02610">
            <w:pPr>
              <w:spacing w:before="40" w:after="40"/>
              <w:jc w:val="center"/>
              <w:rPr>
                <w:rtl/>
              </w:rPr>
            </w:pPr>
          </w:p>
        </w:tc>
        <w:tc>
          <w:tcPr>
            <w:tcW w:w="2614" w:type="dxa"/>
            <w:shd w:val="clear" w:color="auto" w:fill="auto"/>
          </w:tcPr>
          <w:p w14:paraId="7E76F806" w14:textId="77777777" w:rsidR="00A02610" w:rsidRPr="00A02610" w:rsidRDefault="00A02610" w:rsidP="005E007D">
            <w:pPr>
              <w:rPr>
                <w:rFonts w:ascii="Courier New" w:hAnsi="Courier New"/>
              </w:rPr>
            </w:pPr>
          </w:p>
          <w:p w14:paraId="3515FE28" w14:textId="77777777" w:rsidR="00A02610" w:rsidRPr="00A02610" w:rsidRDefault="00000000" w:rsidP="00A02610">
            <w:pPr>
              <w:jc w:val="center"/>
              <w:rPr>
                <w:rFonts w:ascii="FrankRuehl" w:hAnsi="FrankRuehl" w:cs="FrankRuehl"/>
                <w:spacing w:val="10"/>
                <w:sz w:val="28"/>
                <w:szCs w:val="28"/>
                <w:rtl/>
              </w:rPr>
            </w:pPr>
            <w:r w:rsidRPr="00A02610">
              <w:rPr>
                <w:rFonts w:ascii="FrankRuehl" w:hAnsi="FrankRuehl" w:cs="FrankRuehl"/>
                <w:spacing w:val="10"/>
                <w:sz w:val="28"/>
                <w:szCs w:val="28"/>
                <w:rtl/>
              </w:rPr>
              <w:t>יצחק עמית</w:t>
            </w:r>
          </w:p>
          <w:p w14:paraId="27C427AA" w14:textId="77777777" w:rsidR="00A02610" w:rsidRPr="00A02610" w:rsidRDefault="00000000" w:rsidP="005E007D">
            <w:pPr>
              <w:rPr>
                <w:rFonts w:ascii="Courier New" w:hAnsi="Courier New"/>
              </w:rPr>
            </w:pPr>
            <w:r w:rsidRPr="00A02610">
              <w:rPr>
                <w:rFonts w:ascii="FrankRuehl" w:hAnsi="FrankRuehl" w:cs="FrankRuehl" w:hint="cs"/>
                <w:spacing w:val="10"/>
                <w:sz w:val="28"/>
                <w:szCs w:val="28"/>
                <w:rtl/>
              </w:rPr>
              <w:t>נשיא</w:t>
            </w:r>
          </w:p>
          <w:p w14:paraId="2B326426" w14:textId="77777777" w:rsidR="00462865" w:rsidRPr="00C11844" w:rsidRDefault="00462865" w:rsidP="00A02610">
            <w:pPr>
              <w:spacing w:before="40" w:after="40"/>
              <w:rPr>
                <w:rtl/>
              </w:rPr>
            </w:pPr>
          </w:p>
        </w:tc>
      </w:tr>
    </w:tbl>
    <w:p w14:paraId="69FFE499" w14:textId="77777777" w:rsidR="00462865" w:rsidRPr="00C11844" w:rsidRDefault="00462865" w:rsidP="00462865"/>
    <w:p w14:paraId="18F1A504" w14:textId="77777777" w:rsidR="00462865" w:rsidRDefault="00000000" w:rsidP="00462865">
      <w:pPr>
        <w:pStyle w:val="Ruller40"/>
        <w:rPr>
          <w:rFonts w:ascii="Century" w:hAnsi="Century" w:cs="Miriam"/>
          <w:b/>
          <w:spacing w:val="0"/>
          <w:szCs w:val="24"/>
          <w:u w:val="single"/>
          <w:rtl/>
        </w:rPr>
      </w:pPr>
      <w:r w:rsidRPr="00E311E6">
        <w:rPr>
          <w:rFonts w:ascii="Century" w:hAnsi="Century" w:cs="Miriam"/>
          <w:b/>
          <w:spacing w:val="0"/>
          <w:szCs w:val="24"/>
          <w:u w:val="single"/>
          <w:rtl/>
        </w:rPr>
        <w:t>ה</w:t>
      </w:r>
      <w:r>
        <w:rPr>
          <w:rFonts w:ascii="Century" w:hAnsi="Century" w:cs="Miriam" w:hint="cs"/>
          <w:b/>
          <w:spacing w:val="0"/>
          <w:szCs w:val="24"/>
          <w:u w:val="single"/>
          <w:rtl/>
        </w:rPr>
        <w:t>שופט חאלד כבוב</w:t>
      </w:r>
      <w:r w:rsidRPr="00E311E6">
        <w:rPr>
          <w:rFonts w:ascii="Century" w:hAnsi="Century" w:cs="Miriam"/>
          <w:b/>
          <w:spacing w:val="0"/>
          <w:szCs w:val="24"/>
          <w:u w:val="single"/>
          <w:rtl/>
        </w:rPr>
        <w:t>:</w:t>
      </w:r>
    </w:p>
    <w:p w14:paraId="09543F5B" w14:textId="77777777" w:rsidR="00E00713" w:rsidRPr="00E00713" w:rsidRDefault="00E00713" w:rsidP="00E00713">
      <w:pPr>
        <w:pStyle w:val="Ruller40"/>
        <w:rPr>
          <w:rFonts w:ascii="Century" w:hAnsi="Century"/>
          <w:rtl/>
        </w:rPr>
      </w:pPr>
    </w:p>
    <w:p w14:paraId="000F42AE" w14:textId="77777777" w:rsidR="00E00713" w:rsidRPr="00E00713" w:rsidRDefault="00000000" w:rsidP="00E00713">
      <w:pPr>
        <w:pStyle w:val="Ruller40"/>
        <w:rPr>
          <w:rFonts w:ascii="Century" w:hAnsi="Century"/>
          <w:rtl/>
        </w:rPr>
      </w:pPr>
      <w:r w:rsidRPr="00E00713">
        <w:rPr>
          <w:rFonts w:ascii="Century" w:hAnsi="Century"/>
          <w:rtl/>
        </w:rPr>
        <w:tab/>
      </w:r>
      <w:r w:rsidRPr="00E00713">
        <w:rPr>
          <w:rFonts w:ascii="Century" w:hAnsi="Century" w:hint="cs"/>
          <w:rtl/>
        </w:rPr>
        <w:t>אני מסכים.</w:t>
      </w:r>
    </w:p>
    <w:p w14:paraId="647DBEA9" w14:textId="77777777" w:rsidR="00E00713" w:rsidRPr="00E00713" w:rsidRDefault="00E00713" w:rsidP="00E00713">
      <w:pPr>
        <w:pStyle w:val="Ruller40"/>
        <w:rPr>
          <w:rFonts w:ascii="Century" w:hAnsi="Century"/>
          <w:rtl/>
        </w:rPr>
      </w:pPr>
    </w:p>
    <w:p w14:paraId="4708551A" w14:textId="77777777" w:rsidR="00E00713" w:rsidRPr="00E00713" w:rsidRDefault="00E00713" w:rsidP="00E00713">
      <w:pPr>
        <w:pStyle w:val="Ruller40"/>
        <w:rPr>
          <w:rFonts w:ascii="Century" w:hAnsi="Century"/>
          <w:rtl/>
        </w:rPr>
      </w:pPr>
    </w:p>
    <w:tbl>
      <w:tblPr>
        <w:bidiVisual/>
        <w:tblW w:w="8306" w:type="dxa"/>
        <w:jc w:val="center"/>
        <w:tblLook w:val="01E0" w:firstRow="1" w:lastRow="1" w:firstColumn="1" w:lastColumn="1" w:noHBand="0" w:noVBand="0"/>
      </w:tblPr>
      <w:tblGrid>
        <w:gridCol w:w="2796"/>
        <w:gridCol w:w="526"/>
        <w:gridCol w:w="2029"/>
        <w:gridCol w:w="341"/>
        <w:gridCol w:w="2614"/>
      </w:tblGrid>
      <w:tr w:rsidR="00D51BF7" w14:paraId="5A451EE1" w14:textId="77777777" w:rsidTr="00A02610">
        <w:trPr>
          <w:trHeight w:val="426"/>
          <w:jc w:val="center"/>
        </w:trPr>
        <w:tc>
          <w:tcPr>
            <w:tcW w:w="2796" w:type="dxa"/>
            <w:shd w:val="clear" w:color="auto" w:fill="auto"/>
          </w:tcPr>
          <w:p w14:paraId="25B5A9A7" w14:textId="77777777" w:rsidR="00462865" w:rsidRPr="00C11844" w:rsidRDefault="00462865" w:rsidP="00A02610">
            <w:pPr>
              <w:spacing w:before="40" w:after="40"/>
              <w:jc w:val="center"/>
              <w:rPr>
                <w:rtl/>
              </w:rPr>
            </w:pPr>
          </w:p>
        </w:tc>
        <w:tc>
          <w:tcPr>
            <w:tcW w:w="526" w:type="dxa"/>
            <w:shd w:val="clear" w:color="auto" w:fill="auto"/>
          </w:tcPr>
          <w:p w14:paraId="453A3207" w14:textId="77777777" w:rsidR="00462865" w:rsidRPr="00C11844" w:rsidRDefault="00462865" w:rsidP="00A02610">
            <w:pPr>
              <w:spacing w:before="40" w:after="40"/>
              <w:jc w:val="center"/>
              <w:rPr>
                <w:rtl/>
              </w:rPr>
            </w:pPr>
          </w:p>
        </w:tc>
        <w:tc>
          <w:tcPr>
            <w:tcW w:w="2029" w:type="dxa"/>
            <w:shd w:val="clear" w:color="auto" w:fill="auto"/>
          </w:tcPr>
          <w:p w14:paraId="649DFF85" w14:textId="77777777" w:rsidR="00462865" w:rsidRPr="00C11844" w:rsidRDefault="00462865" w:rsidP="00A02610">
            <w:pPr>
              <w:spacing w:before="40" w:after="40"/>
              <w:jc w:val="center"/>
              <w:rPr>
                <w:rtl/>
              </w:rPr>
            </w:pPr>
          </w:p>
        </w:tc>
        <w:tc>
          <w:tcPr>
            <w:tcW w:w="341" w:type="dxa"/>
            <w:shd w:val="clear" w:color="auto" w:fill="auto"/>
          </w:tcPr>
          <w:p w14:paraId="1C608E60" w14:textId="77777777" w:rsidR="00462865" w:rsidRPr="00C11844" w:rsidRDefault="00462865" w:rsidP="00A02610">
            <w:pPr>
              <w:spacing w:before="40" w:after="40"/>
              <w:jc w:val="center"/>
              <w:rPr>
                <w:rtl/>
              </w:rPr>
            </w:pPr>
          </w:p>
        </w:tc>
        <w:tc>
          <w:tcPr>
            <w:tcW w:w="2614" w:type="dxa"/>
            <w:shd w:val="clear" w:color="auto" w:fill="auto"/>
          </w:tcPr>
          <w:p w14:paraId="3F42B26C" w14:textId="77777777" w:rsidR="00A02610" w:rsidRPr="00A02610" w:rsidRDefault="00A02610" w:rsidP="005E007D">
            <w:pPr>
              <w:rPr>
                <w:rFonts w:ascii="Courier New" w:hAnsi="Courier New"/>
                <w:sz w:val="20"/>
                <w:szCs w:val="20"/>
                <w:rtl/>
              </w:rPr>
            </w:pPr>
          </w:p>
          <w:p w14:paraId="7CC39FE3" w14:textId="77777777" w:rsidR="00A02610" w:rsidRPr="00A02610" w:rsidRDefault="00000000" w:rsidP="00A02610">
            <w:pPr>
              <w:jc w:val="center"/>
              <w:rPr>
                <w:rFonts w:ascii="Courier New" w:hAnsi="Courier New" w:cs="FrankRuehl"/>
                <w:spacing w:val="10"/>
                <w:szCs w:val="28"/>
                <w:rtl/>
              </w:rPr>
            </w:pPr>
            <w:r w:rsidRPr="00A02610">
              <w:rPr>
                <w:rFonts w:ascii="Courier New" w:hAnsi="Courier New" w:cs="FrankRuehl" w:hint="cs"/>
                <w:spacing w:val="10"/>
                <w:szCs w:val="28"/>
                <w:rtl/>
              </w:rPr>
              <w:t>חאלד כבוב</w:t>
            </w:r>
          </w:p>
          <w:p w14:paraId="77D9D2AE" w14:textId="77777777" w:rsidR="00A02610" w:rsidRPr="00A02610" w:rsidRDefault="00000000" w:rsidP="005E007D">
            <w:pPr>
              <w:rPr>
                <w:rFonts w:ascii="Courier New" w:hAnsi="Courier New"/>
              </w:rPr>
            </w:pPr>
            <w:r w:rsidRPr="00A02610">
              <w:rPr>
                <w:rFonts w:ascii="Courier New" w:hAnsi="Courier New" w:cs="FrankRuehl" w:hint="cs"/>
                <w:spacing w:val="10"/>
                <w:szCs w:val="28"/>
                <w:rtl/>
              </w:rPr>
              <w:t>שופט</w:t>
            </w:r>
          </w:p>
          <w:p w14:paraId="7A7449EE" w14:textId="77777777" w:rsidR="00462865" w:rsidRPr="00C11844" w:rsidRDefault="00462865" w:rsidP="00A02610">
            <w:pPr>
              <w:spacing w:before="40" w:after="40"/>
              <w:rPr>
                <w:rtl/>
              </w:rPr>
            </w:pPr>
          </w:p>
        </w:tc>
      </w:tr>
    </w:tbl>
    <w:p w14:paraId="28BE7B7A" w14:textId="77777777" w:rsidR="00462865" w:rsidRDefault="00462865" w:rsidP="00462865">
      <w:pPr>
        <w:rPr>
          <w:rtl/>
        </w:rPr>
      </w:pPr>
    </w:p>
    <w:p w14:paraId="2E93B3B7" w14:textId="77777777" w:rsidR="001C3313" w:rsidRPr="00C11844" w:rsidRDefault="001C3313" w:rsidP="00462865"/>
    <w:p w14:paraId="73623663" w14:textId="77777777" w:rsidR="00462865" w:rsidRDefault="00000000" w:rsidP="00462865">
      <w:pPr>
        <w:pStyle w:val="Ruller40"/>
        <w:rPr>
          <w:rFonts w:ascii="Century" w:hAnsi="Century" w:cs="Miriam"/>
          <w:b/>
          <w:spacing w:val="0"/>
          <w:szCs w:val="24"/>
          <w:u w:val="single"/>
          <w:rtl/>
        </w:rPr>
      </w:pPr>
      <w:r>
        <w:rPr>
          <w:rFonts w:ascii="Century" w:hAnsi="Century" w:cs="Miriam" w:hint="cs"/>
          <w:b/>
          <w:spacing w:val="0"/>
          <w:szCs w:val="24"/>
          <w:u w:val="single"/>
          <w:rtl/>
        </w:rPr>
        <w:t>השופט</w:t>
      </w:r>
      <w:r w:rsidRPr="00E311E6">
        <w:rPr>
          <w:rFonts w:ascii="Century" w:hAnsi="Century" w:cs="Miriam"/>
          <w:b/>
          <w:spacing w:val="0"/>
          <w:szCs w:val="24"/>
          <w:u w:val="single"/>
          <w:rtl/>
        </w:rPr>
        <w:t xml:space="preserve"> </w:t>
      </w:r>
      <w:r>
        <w:rPr>
          <w:rFonts w:ascii="Century" w:hAnsi="Century" w:cs="Miriam" w:hint="cs"/>
          <w:b/>
          <w:spacing w:val="0"/>
          <w:szCs w:val="24"/>
          <w:u w:val="single"/>
          <w:rtl/>
        </w:rPr>
        <w:t>י</w:t>
      </w:r>
      <w:r w:rsidR="000B5195">
        <w:rPr>
          <w:rFonts w:ascii="Century" w:hAnsi="Century" w:cs="Miriam" w:hint="cs"/>
          <w:b/>
          <w:spacing w:val="0"/>
          <w:szCs w:val="24"/>
          <w:u w:val="single"/>
          <w:rtl/>
        </w:rPr>
        <w:t>חיאל כשר:</w:t>
      </w:r>
    </w:p>
    <w:p w14:paraId="19CD7C0A" w14:textId="77777777" w:rsidR="00E00713" w:rsidRDefault="00E00713" w:rsidP="00462865">
      <w:pPr>
        <w:pStyle w:val="Ruller40"/>
        <w:rPr>
          <w:rFonts w:ascii="Century" w:hAnsi="Century" w:cs="Miriam"/>
          <w:b/>
          <w:spacing w:val="0"/>
          <w:szCs w:val="24"/>
          <w:u w:val="single"/>
          <w:rtl/>
        </w:rPr>
      </w:pPr>
    </w:p>
    <w:p w14:paraId="7B1C39B6" w14:textId="77777777" w:rsidR="00E00713" w:rsidRDefault="00000000" w:rsidP="00E00713">
      <w:pPr>
        <w:pStyle w:val="Ruller40"/>
        <w:rPr>
          <w:rFonts w:ascii="Century" w:hAnsi="Century"/>
        </w:rPr>
      </w:pPr>
      <w:r>
        <w:rPr>
          <w:rFonts w:ascii="Century" w:hAnsi="Century"/>
          <w:rtl/>
        </w:rPr>
        <w:t>אני מסכים.</w:t>
      </w:r>
    </w:p>
    <w:p w14:paraId="04DEF029" w14:textId="77777777" w:rsidR="00E00713" w:rsidRDefault="00E00713" w:rsidP="00E00713">
      <w:pPr>
        <w:pStyle w:val="Ruller40"/>
        <w:rPr>
          <w:rFonts w:ascii="Century" w:hAnsi="Century"/>
          <w:rtl/>
        </w:rPr>
      </w:pPr>
    </w:p>
    <w:p w14:paraId="77AFFDE1" w14:textId="77777777" w:rsidR="00E00713" w:rsidRDefault="00000000" w:rsidP="00E00713">
      <w:pPr>
        <w:pStyle w:val="Ruller40"/>
        <w:rPr>
          <w:rFonts w:ascii="Century" w:hAnsi="Century"/>
          <w:rtl/>
        </w:rPr>
      </w:pPr>
      <w:r>
        <w:rPr>
          <w:rFonts w:ascii="Century" w:hAnsi="Century"/>
          <w:rtl/>
        </w:rPr>
        <w:tab/>
        <w:t>לשלמות התמונה אציין כי לדעתי בטענותיו של המעון לפיהן עיריית חיפה לא היתה רשאית להעלות את דמי החכירה אל מעבר ל- 1% משווי המקרקעין, היה ממש.</w:t>
      </w:r>
    </w:p>
    <w:p w14:paraId="35AB884A" w14:textId="77777777" w:rsidR="00E00713" w:rsidRDefault="00E00713" w:rsidP="00E00713">
      <w:pPr>
        <w:pStyle w:val="Ruller40"/>
        <w:rPr>
          <w:rFonts w:ascii="Century" w:hAnsi="Century"/>
          <w:rtl/>
        </w:rPr>
      </w:pPr>
    </w:p>
    <w:p w14:paraId="109859ED" w14:textId="77777777" w:rsidR="001C3313" w:rsidRDefault="00E00713" w:rsidP="00EF6807">
      <w:pPr>
        <w:pStyle w:val="Ruller40"/>
        <w:rPr>
          <w:rFonts w:ascii="Century" w:hAnsi="Century"/>
          <w:rtl/>
        </w:rPr>
      </w:pPr>
      <w:r>
        <w:rPr>
          <w:rFonts w:ascii="Century" w:hAnsi="Century"/>
          <w:rtl/>
        </w:rPr>
        <w:tab/>
        <w:t xml:space="preserve">ברם, האמור היה נכון כל עוד המעון הוא המחזיק במקרקעין ומבצע בהם את הפעילות הקבועה בהסכם. משהפר המעון את ההסכם, כאשר העביר למעשה את זכויותיו במקרקעין לחברת  מוריה, פקעה זכותו לעניין שיעור דמי החכירה והתגבשה זכותה של עיריית חיפה לבטל את הסכם, כקבוע בחוות דעתו של חברי </w:t>
      </w:r>
      <w:r>
        <w:rPr>
          <w:rFonts w:ascii="Century" w:hAnsi="Century" w:cs="Miriam"/>
          <w:b/>
          <w:spacing w:val="0"/>
          <w:szCs w:val="24"/>
          <w:rtl/>
        </w:rPr>
        <w:t>הנשיא</w:t>
      </w:r>
      <w:r>
        <w:rPr>
          <w:rFonts w:ascii="Century" w:hAnsi="Century"/>
          <w:rtl/>
        </w:rPr>
        <w:t xml:space="preserve">. </w:t>
      </w:r>
    </w:p>
    <w:p w14:paraId="3FBE80CF" w14:textId="77777777" w:rsidR="00EF6807" w:rsidRDefault="00EF6807" w:rsidP="00EF6807">
      <w:pPr>
        <w:pStyle w:val="Ruller40"/>
        <w:rPr>
          <w:rFonts w:ascii="Century" w:hAnsi="Century"/>
          <w:rtl/>
        </w:rPr>
      </w:pPr>
    </w:p>
    <w:tbl>
      <w:tblPr>
        <w:bidiVisual/>
        <w:tblW w:w="8306" w:type="dxa"/>
        <w:jc w:val="center"/>
        <w:tblLook w:val="01E0" w:firstRow="1" w:lastRow="1" w:firstColumn="1" w:lastColumn="1" w:noHBand="0" w:noVBand="0"/>
      </w:tblPr>
      <w:tblGrid>
        <w:gridCol w:w="2796"/>
        <w:gridCol w:w="526"/>
        <w:gridCol w:w="2029"/>
        <w:gridCol w:w="341"/>
        <w:gridCol w:w="2614"/>
      </w:tblGrid>
      <w:tr w:rsidR="00D51BF7" w14:paraId="6304E62A" w14:textId="77777777" w:rsidTr="00A02610">
        <w:trPr>
          <w:trHeight w:val="426"/>
          <w:jc w:val="center"/>
        </w:trPr>
        <w:tc>
          <w:tcPr>
            <w:tcW w:w="2796" w:type="dxa"/>
            <w:shd w:val="clear" w:color="auto" w:fill="auto"/>
          </w:tcPr>
          <w:p w14:paraId="0A606962" w14:textId="77777777" w:rsidR="000B5195" w:rsidRPr="00C11844" w:rsidRDefault="000B5195" w:rsidP="00A02610">
            <w:pPr>
              <w:spacing w:before="40" w:after="40"/>
              <w:jc w:val="center"/>
              <w:rPr>
                <w:rtl/>
              </w:rPr>
            </w:pPr>
          </w:p>
        </w:tc>
        <w:tc>
          <w:tcPr>
            <w:tcW w:w="526" w:type="dxa"/>
            <w:shd w:val="clear" w:color="auto" w:fill="auto"/>
          </w:tcPr>
          <w:p w14:paraId="2FB78276" w14:textId="77777777" w:rsidR="000B5195" w:rsidRPr="00C11844" w:rsidRDefault="000B5195" w:rsidP="00A02610">
            <w:pPr>
              <w:spacing w:before="40" w:after="40"/>
              <w:jc w:val="center"/>
              <w:rPr>
                <w:rtl/>
              </w:rPr>
            </w:pPr>
          </w:p>
        </w:tc>
        <w:tc>
          <w:tcPr>
            <w:tcW w:w="2029" w:type="dxa"/>
            <w:shd w:val="clear" w:color="auto" w:fill="auto"/>
          </w:tcPr>
          <w:p w14:paraId="2E14A2A3" w14:textId="77777777" w:rsidR="000B5195" w:rsidRPr="00C11844" w:rsidRDefault="000B5195" w:rsidP="00A02610">
            <w:pPr>
              <w:spacing w:before="40" w:after="40"/>
              <w:jc w:val="center"/>
              <w:rPr>
                <w:rtl/>
              </w:rPr>
            </w:pPr>
          </w:p>
        </w:tc>
        <w:tc>
          <w:tcPr>
            <w:tcW w:w="341" w:type="dxa"/>
            <w:shd w:val="clear" w:color="auto" w:fill="auto"/>
          </w:tcPr>
          <w:p w14:paraId="68B022C6" w14:textId="77777777" w:rsidR="000B5195" w:rsidRPr="00C11844" w:rsidRDefault="000B5195" w:rsidP="00A02610">
            <w:pPr>
              <w:spacing w:before="40" w:after="40"/>
              <w:jc w:val="center"/>
              <w:rPr>
                <w:rtl/>
              </w:rPr>
            </w:pPr>
          </w:p>
        </w:tc>
        <w:tc>
          <w:tcPr>
            <w:tcW w:w="2614" w:type="dxa"/>
            <w:shd w:val="clear" w:color="auto" w:fill="auto"/>
          </w:tcPr>
          <w:p w14:paraId="483304C8" w14:textId="77777777" w:rsidR="00A02610" w:rsidRPr="00A02610" w:rsidRDefault="00A02610" w:rsidP="005E007D">
            <w:pPr>
              <w:rPr>
                <w:rFonts w:ascii="Courier New" w:hAnsi="Courier New"/>
                <w:rtl/>
              </w:rPr>
            </w:pPr>
          </w:p>
          <w:p w14:paraId="684B5A59" w14:textId="77777777" w:rsidR="00A02610" w:rsidRPr="00A02610" w:rsidRDefault="00000000" w:rsidP="00A02610">
            <w:pPr>
              <w:pStyle w:val="31"/>
              <w:jc w:val="center"/>
              <w:rPr>
                <w:rFonts w:cs="FrankRuehl"/>
                <w:b/>
                <w:bCs/>
                <w:color w:val="000000"/>
                <w:spacing w:val="10"/>
                <w:sz w:val="28"/>
                <w:szCs w:val="28"/>
                <w:rtl/>
              </w:rPr>
            </w:pPr>
            <w:r w:rsidRPr="00A02610">
              <w:rPr>
                <w:rFonts w:cs="FrankRuehl" w:hint="cs"/>
                <w:color w:val="000000"/>
                <w:spacing w:val="10"/>
                <w:sz w:val="28"/>
                <w:szCs w:val="28"/>
                <w:rtl/>
              </w:rPr>
              <w:t xml:space="preserve">יחיאל כשר </w:t>
            </w:r>
          </w:p>
          <w:p w14:paraId="2DD6058A" w14:textId="77777777" w:rsidR="00A02610" w:rsidRPr="00A02610" w:rsidRDefault="00000000" w:rsidP="005E007D">
            <w:pPr>
              <w:pStyle w:val="31"/>
              <w:rPr>
                <w:rFonts w:cs="FrankRuehl"/>
                <w:b/>
                <w:bCs/>
                <w:spacing w:val="10"/>
                <w:sz w:val="28"/>
                <w:szCs w:val="28"/>
                <w:rtl/>
              </w:rPr>
            </w:pPr>
            <w:r w:rsidRPr="00A02610">
              <w:rPr>
                <w:rFonts w:cs="FrankRuehl" w:hint="cs"/>
                <w:color w:val="000000"/>
                <w:spacing w:val="10"/>
                <w:sz w:val="28"/>
                <w:szCs w:val="28"/>
                <w:rtl/>
              </w:rPr>
              <w:t>שופט</w:t>
            </w:r>
          </w:p>
          <w:p w14:paraId="069F469E" w14:textId="77777777" w:rsidR="000B5195" w:rsidRDefault="000B5195" w:rsidP="00A02610">
            <w:pPr>
              <w:jc w:val="center"/>
              <w:rPr>
                <w:rtl/>
              </w:rPr>
            </w:pPr>
          </w:p>
          <w:p w14:paraId="2764D9D1" w14:textId="77777777" w:rsidR="000B5195" w:rsidRPr="00C11844" w:rsidRDefault="000B5195" w:rsidP="00A02610">
            <w:pPr>
              <w:spacing w:before="40" w:after="40"/>
              <w:jc w:val="center"/>
              <w:rPr>
                <w:rtl/>
              </w:rPr>
            </w:pPr>
          </w:p>
        </w:tc>
      </w:tr>
    </w:tbl>
    <w:p w14:paraId="4DFEBEC9" w14:textId="77777777" w:rsidR="000B5195" w:rsidRPr="00C11844" w:rsidRDefault="000B5195" w:rsidP="000B5195"/>
    <w:p w14:paraId="40EA0394" w14:textId="77777777" w:rsidR="00E00713" w:rsidRDefault="00E00713" w:rsidP="000B5195">
      <w:pPr>
        <w:spacing w:line="360" w:lineRule="auto"/>
        <w:ind w:firstLine="720"/>
        <w:jc w:val="both"/>
        <w:rPr>
          <w:rFonts w:ascii="FrankRuehl" w:hAnsi="FrankRuehl" w:cs="FrankRuehl"/>
          <w:spacing w:val="10"/>
          <w:sz w:val="28"/>
          <w:szCs w:val="28"/>
          <w:rtl/>
        </w:rPr>
      </w:pPr>
    </w:p>
    <w:p w14:paraId="6C982772" w14:textId="77777777" w:rsidR="00C61238" w:rsidRDefault="000B5195" w:rsidP="000B5195">
      <w:pPr>
        <w:spacing w:line="360" w:lineRule="auto"/>
        <w:ind w:firstLine="720"/>
        <w:jc w:val="both"/>
        <w:rPr>
          <w:rFonts w:ascii="FrankRuehl" w:hAnsi="FrankRuehl" w:cs="FrankRuehl"/>
          <w:spacing w:val="10"/>
          <w:sz w:val="28"/>
          <w:szCs w:val="28"/>
          <w:rtl/>
        </w:rPr>
      </w:pPr>
      <w:r>
        <w:rPr>
          <w:rFonts w:ascii="FrankRuehl" w:hAnsi="FrankRuehl" w:cs="FrankRuehl" w:hint="cs"/>
          <w:spacing w:val="10"/>
          <w:sz w:val="28"/>
          <w:szCs w:val="28"/>
          <w:rtl/>
        </w:rPr>
        <w:t xml:space="preserve">לפיכך, הוחלט כאמור בפסק דינו של הנשיא </w:t>
      </w:r>
      <w:r w:rsidRPr="000B5195">
        <w:rPr>
          <w:rFonts w:ascii="Century" w:hAnsi="Century" w:cs="Miriam" w:hint="cs"/>
          <w:b/>
          <w:sz w:val="22"/>
          <w:rtl/>
        </w:rPr>
        <w:t>יצחק עמית</w:t>
      </w:r>
      <w:r>
        <w:rPr>
          <w:rFonts w:ascii="FrankRuehl" w:hAnsi="FrankRuehl" w:cs="FrankRuehl" w:hint="cs"/>
          <w:spacing w:val="10"/>
          <w:sz w:val="28"/>
          <w:szCs w:val="28"/>
          <w:rtl/>
        </w:rPr>
        <w:t xml:space="preserve">. </w:t>
      </w:r>
    </w:p>
    <w:p w14:paraId="242E22B9" w14:textId="77777777" w:rsidR="00E00713" w:rsidRDefault="00E00713" w:rsidP="000B5195">
      <w:pPr>
        <w:spacing w:line="360" w:lineRule="auto"/>
        <w:ind w:firstLine="720"/>
        <w:jc w:val="both"/>
        <w:rPr>
          <w:rFonts w:ascii="FrankRuehl" w:hAnsi="FrankRuehl" w:cs="FrankRuehl"/>
          <w:spacing w:val="10"/>
          <w:sz w:val="28"/>
          <w:szCs w:val="28"/>
          <w:rtl/>
        </w:rPr>
      </w:pPr>
    </w:p>
    <w:p w14:paraId="18F6D2AD" w14:textId="77777777" w:rsidR="00694556" w:rsidRDefault="00A02610" w:rsidP="006B7675">
      <w:pPr>
        <w:spacing w:line="360" w:lineRule="auto"/>
        <w:ind w:firstLine="720"/>
        <w:jc w:val="both"/>
        <w:rPr>
          <w:rFonts w:ascii="FrankRuehl" w:hAnsi="FrankRuehl" w:cs="FrankRuehl"/>
          <w:sz w:val="28"/>
          <w:szCs w:val="28"/>
          <w:rtl/>
        </w:rPr>
      </w:pPr>
      <w:bookmarkStart w:id="8" w:name="Nitan"/>
      <w:r w:rsidRPr="00A02610">
        <w:rPr>
          <w:rFonts w:ascii="FrankRuehl" w:hAnsi="FrankRuehl" w:cs="FrankRuehl"/>
          <w:color w:val="FFFFFF"/>
          <w:spacing w:val="10"/>
          <w:sz w:val="2"/>
          <w:szCs w:val="2"/>
          <w:rtl/>
        </w:rPr>
        <w:t>5129371</w:t>
      </w:r>
      <w:r>
        <w:rPr>
          <w:rFonts w:ascii="FrankRuehl" w:hAnsi="FrankRuehl" w:cs="FrankRuehl"/>
          <w:spacing w:val="10"/>
          <w:sz w:val="28"/>
          <w:szCs w:val="28"/>
          <w:rtl/>
        </w:rPr>
        <w:t xml:space="preserve">ניתן היום, ‏ז' באייר התשפ"ה (‏5.5.2025). </w:t>
      </w:r>
      <w:bookmarkEnd w:id="8"/>
    </w:p>
    <w:tbl>
      <w:tblPr>
        <w:bidiVisual/>
        <w:tblW w:w="0" w:type="auto"/>
        <w:tblLook w:val="04A0" w:firstRow="1" w:lastRow="0" w:firstColumn="1" w:lastColumn="0" w:noHBand="0" w:noVBand="1"/>
      </w:tblPr>
      <w:tblGrid>
        <w:gridCol w:w="2765"/>
        <w:gridCol w:w="2766"/>
        <w:gridCol w:w="2766"/>
      </w:tblGrid>
      <w:tr w:rsidR="00D51BF7" w14:paraId="17504CD9" w14:textId="77777777" w:rsidTr="00A02610">
        <w:tc>
          <w:tcPr>
            <w:tcW w:w="2765" w:type="dxa"/>
            <w:shd w:val="clear" w:color="auto" w:fill="auto"/>
          </w:tcPr>
          <w:p w14:paraId="4FFCE48E" w14:textId="77777777" w:rsidR="00A02610" w:rsidRPr="00A02610" w:rsidRDefault="00000000" w:rsidP="005E007D">
            <w:pPr>
              <w:rPr>
                <w:rFonts w:ascii="Courier New" w:hAnsi="Courier New"/>
                <w:color w:val="FFFFFF"/>
                <w:sz w:val="2"/>
                <w:szCs w:val="2"/>
              </w:rPr>
            </w:pPr>
            <w:r w:rsidRPr="00A02610">
              <w:rPr>
                <w:rFonts w:ascii="Courier New" w:hAnsi="Courier New"/>
                <w:color w:val="FFFFFF"/>
                <w:sz w:val="2"/>
                <w:szCs w:val="2"/>
                <w:rtl/>
              </w:rPr>
              <w:t>54678313</w:t>
            </w:r>
          </w:p>
          <w:p w14:paraId="33D8EDC9" w14:textId="77777777" w:rsidR="00A02610" w:rsidRPr="00A02610" w:rsidRDefault="00000000" w:rsidP="00A02610">
            <w:pPr>
              <w:jc w:val="center"/>
              <w:rPr>
                <w:rFonts w:ascii="FrankRuehl" w:hAnsi="FrankRuehl" w:cs="FrankRuehl"/>
                <w:spacing w:val="10"/>
                <w:sz w:val="28"/>
                <w:szCs w:val="28"/>
                <w:rtl/>
              </w:rPr>
            </w:pPr>
            <w:r w:rsidRPr="00A02610">
              <w:rPr>
                <w:rFonts w:ascii="FrankRuehl" w:hAnsi="FrankRuehl" w:cs="FrankRuehl"/>
                <w:spacing w:val="10"/>
                <w:sz w:val="28"/>
                <w:szCs w:val="28"/>
                <w:rtl/>
              </w:rPr>
              <w:t>יצחק עמית</w:t>
            </w:r>
          </w:p>
          <w:p w14:paraId="2426F576" w14:textId="77777777" w:rsidR="00A02610" w:rsidRPr="00A02610" w:rsidRDefault="00000000" w:rsidP="005E007D">
            <w:pPr>
              <w:rPr>
                <w:rFonts w:ascii="Courier New" w:hAnsi="Courier New"/>
              </w:rPr>
            </w:pPr>
            <w:r w:rsidRPr="00A02610">
              <w:rPr>
                <w:rFonts w:ascii="FrankRuehl" w:hAnsi="FrankRuehl" w:cs="FrankRuehl" w:hint="cs"/>
                <w:spacing w:val="10"/>
                <w:sz w:val="28"/>
                <w:szCs w:val="28"/>
                <w:rtl/>
              </w:rPr>
              <w:t>נשיא</w:t>
            </w:r>
          </w:p>
          <w:p w14:paraId="05A3879D" w14:textId="77777777" w:rsidR="00E90C45" w:rsidRPr="00A02610" w:rsidRDefault="00E90C45" w:rsidP="00A02610">
            <w:pPr>
              <w:spacing w:line="360" w:lineRule="auto"/>
              <w:rPr>
                <w:rFonts w:ascii="FrankRuehl" w:hAnsi="FrankRuehl" w:cs="FrankRuehl"/>
                <w:sz w:val="28"/>
                <w:szCs w:val="28"/>
                <w:rtl/>
              </w:rPr>
            </w:pPr>
          </w:p>
        </w:tc>
        <w:tc>
          <w:tcPr>
            <w:tcW w:w="2766" w:type="dxa"/>
            <w:shd w:val="clear" w:color="auto" w:fill="auto"/>
          </w:tcPr>
          <w:p w14:paraId="6D963A0B" w14:textId="77777777" w:rsidR="00A02610" w:rsidRPr="00A02610" w:rsidRDefault="00A02610" w:rsidP="005E007D">
            <w:pPr>
              <w:rPr>
                <w:rFonts w:ascii="Courier New" w:hAnsi="Courier New"/>
                <w:sz w:val="20"/>
                <w:szCs w:val="20"/>
                <w:rtl/>
              </w:rPr>
            </w:pPr>
          </w:p>
          <w:p w14:paraId="373DB80D" w14:textId="77777777" w:rsidR="00A02610" w:rsidRPr="00A02610" w:rsidRDefault="00000000" w:rsidP="00A02610">
            <w:pPr>
              <w:jc w:val="center"/>
              <w:rPr>
                <w:rFonts w:ascii="Courier New" w:hAnsi="Courier New" w:cs="FrankRuehl"/>
                <w:spacing w:val="10"/>
                <w:szCs w:val="28"/>
                <w:rtl/>
              </w:rPr>
            </w:pPr>
            <w:r w:rsidRPr="00A02610">
              <w:rPr>
                <w:rFonts w:ascii="Courier New" w:hAnsi="Courier New" w:cs="FrankRuehl" w:hint="cs"/>
                <w:spacing w:val="10"/>
                <w:szCs w:val="28"/>
                <w:rtl/>
              </w:rPr>
              <w:t>חאלד כבוב</w:t>
            </w:r>
          </w:p>
          <w:p w14:paraId="55CA8E88" w14:textId="77777777" w:rsidR="00A02610" w:rsidRPr="00A02610" w:rsidRDefault="00000000" w:rsidP="005E007D">
            <w:pPr>
              <w:rPr>
                <w:rFonts w:ascii="Courier New" w:hAnsi="Courier New"/>
              </w:rPr>
            </w:pPr>
            <w:r w:rsidRPr="00A02610">
              <w:rPr>
                <w:rFonts w:ascii="Courier New" w:hAnsi="Courier New" w:cs="FrankRuehl" w:hint="cs"/>
                <w:spacing w:val="10"/>
                <w:szCs w:val="28"/>
                <w:rtl/>
              </w:rPr>
              <w:t>שופט</w:t>
            </w:r>
          </w:p>
          <w:p w14:paraId="56CAE001" w14:textId="77777777" w:rsidR="00E90C45" w:rsidRPr="00A02610" w:rsidRDefault="00E90C45" w:rsidP="00A02610">
            <w:pPr>
              <w:spacing w:line="360" w:lineRule="auto"/>
              <w:rPr>
                <w:rFonts w:ascii="FrankRuehl" w:hAnsi="FrankRuehl" w:cs="FrankRuehl"/>
                <w:sz w:val="28"/>
                <w:szCs w:val="28"/>
                <w:rtl/>
              </w:rPr>
            </w:pPr>
          </w:p>
        </w:tc>
        <w:tc>
          <w:tcPr>
            <w:tcW w:w="2766" w:type="dxa"/>
            <w:shd w:val="clear" w:color="auto" w:fill="auto"/>
          </w:tcPr>
          <w:p w14:paraId="40007615" w14:textId="77777777" w:rsidR="00A02610" w:rsidRPr="00A02610" w:rsidRDefault="00A02610" w:rsidP="005E007D">
            <w:pPr>
              <w:rPr>
                <w:rFonts w:ascii="Courier New" w:hAnsi="Courier New"/>
                <w:rtl/>
              </w:rPr>
            </w:pPr>
          </w:p>
          <w:p w14:paraId="6CBED6CC" w14:textId="77777777" w:rsidR="00A02610" w:rsidRPr="00A02610" w:rsidRDefault="00000000" w:rsidP="00A02610">
            <w:pPr>
              <w:pStyle w:val="31"/>
              <w:jc w:val="center"/>
              <w:rPr>
                <w:rFonts w:cs="FrankRuehl"/>
                <w:b/>
                <w:bCs/>
                <w:color w:val="000000"/>
                <w:spacing w:val="10"/>
                <w:sz w:val="28"/>
                <w:szCs w:val="28"/>
                <w:rtl/>
              </w:rPr>
            </w:pPr>
            <w:r w:rsidRPr="00A02610">
              <w:rPr>
                <w:rFonts w:cs="FrankRuehl" w:hint="cs"/>
                <w:color w:val="000000"/>
                <w:spacing w:val="10"/>
                <w:sz w:val="28"/>
                <w:szCs w:val="28"/>
                <w:rtl/>
              </w:rPr>
              <w:t xml:space="preserve">יחיאל כשר </w:t>
            </w:r>
          </w:p>
          <w:p w14:paraId="704341C6" w14:textId="77777777" w:rsidR="00A02610" w:rsidRPr="00A02610" w:rsidRDefault="00000000" w:rsidP="005E007D">
            <w:pPr>
              <w:pStyle w:val="31"/>
              <w:rPr>
                <w:rFonts w:cs="FrankRuehl"/>
                <w:b/>
                <w:bCs/>
                <w:spacing w:val="10"/>
                <w:sz w:val="28"/>
                <w:szCs w:val="28"/>
                <w:rtl/>
              </w:rPr>
            </w:pPr>
            <w:r w:rsidRPr="00A02610">
              <w:rPr>
                <w:rFonts w:cs="FrankRuehl" w:hint="cs"/>
                <w:color w:val="000000"/>
                <w:spacing w:val="10"/>
                <w:sz w:val="28"/>
                <w:szCs w:val="28"/>
                <w:rtl/>
              </w:rPr>
              <w:t>שופט</w:t>
            </w:r>
          </w:p>
          <w:p w14:paraId="5F3F37E6" w14:textId="77777777" w:rsidR="00E90C45" w:rsidRPr="00A02610" w:rsidRDefault="00E90C45" w:rsidP="00A02610">
            <w:pPr>
              <w:spacing w:line="360" w:lineRule="auto"/>
              <w:rPr>
                <w:rFonts w:ascii="FrankRuehl" w:hAnsi="FrankRuehl" w:cs="FrankRuehl"/>
                <w:sz w:val="28"/>
                <w:szCs w:val="28"/>
                <w:rtl/>
              </w:rPr>
            </w:pPr>
          </w:p>
        </w:tc>
      </w:tr>
    </w:tbl>
    <w:p w14:paraId="7EA0CF95" w14:textId="77777777" w:rsidR="00E90C45" w:rsidRPr="00345F89" w:rsidRDefault="00345F89" w:rsidP="00E90C45">
      <w:pPr>
        <w:spacing w:line="360" w:lineRule="auto"/>
        <w:jc w:val="both"/>
        <w:rPr>
          <w:rFonts w:ascii="FrankRuehl" w:hAnsi="FrankRuehl" w:cs="FrankRuehl"/>
          <w:color w:val="FFFFFF"/>
          <w:sz w:val="2"/>
          <w:szCs w:val="2"/>
          <w:rtl/>
        </w:rPr>
      </w:pPr>
      <w:r w:rsidRPr="00345F89">
        <w:rPr>
          <w:rFonts w:ascii="FrankRuehl" w:hAnsi="FrankRuehl" w:cs="FrankRuehl"/>
          <w:color w:val="FFFFFF"/>
          <w:sz w:val="2"/>
          <w:szCs w:val="2"/>
          <w:rtl/>
        </w:rPr>
        <w:t>5129371</w:t>
      </w:r>
    </w:p>
    <w:p w14:paraId="7A489484" w14:textId="77777777" w:rsidR="00694556" w:rsidRPr="00345F89" w:rsidRDefault="00345F89" w:rsidP="00A02610">
      <w:pPr>
        <w:keepNext/>
        <w:tabs>
          <w:tab w:val="left" w:pos="2553"/>
        </w:tabs>
        <w:rPr>
          <w:rFonts w:ascii="David" w:hAnsi="David"/>
          <w:color w:val="FFFFFF"/>
          <w:sz w:val="2"/>
          <w:szCs w:val="2"/>
          <w:rtl/>
        </w:rPr>
      </w:pPr>
      <w:r w:rsidRPr="00345F89">
        <w:rPr>
          <w:rFonts w:ascii="FrankRuehl" w:hAnsi="FrankRuehl" w:cs="FrankRuehl"/>
          <w:color w:val="FFFFFF"/>
          <w:sz w:val="2"/>
          <w:szCs w:val="2"/>
          <w:rtl/>
        </w:rPr>
        <w:t>54678313</w:t>
      </w:r>
      <w:r w:rsidR="00BD6531" w:rsidRPr="00345F89">
        <w:rPr>
          <w:rFonts w:ascii="FrankRuehl" w:hAnsi="FrankRuehl" w:cs="FrankRuehl"/>
          <w:color w:val="FFFFFF"/>
          <w:sz w:val="2"/>
          <w:szCs w:val="2"/>
          <w:rtl/>
        </w:rPr>
        <w:tab/>
      </w:r>
      <w:r w:rsidR="00BD6531" w:rsidRPr="00345F89">
        <w:rPr>
          <w:rFonts w:ascii="FrankRuehl" w:hAnsi="FrankRuehl" w:cs="FrankRuehl"/>
          <w:color w:val="FFFFFF"/>
          <w:sz w:val="2"/>
          <w:szCs w:val="2"/>
          <w:rtl/>
        </w:rPr>
        <w:tab/>
      </w:r>
      <w:r w:rsidR="00BD6531" w:rsidRPr="00345F89">
        <w:rPr>
          <w:rFonts w:ascii="FrankRuehl" w:hAnsi="FrankRuehl" w:cs="FrankRuehl"/>
          <w:color w:val="FFFFFF"/>
          <w:sz w:val="2"/>
          <w:szCs w:val="2"/>
          <w:rtl/>
        </w:rPr>
        <w:tab/>
        <w:t xml:space="preserve">        </w:t>
      </w:r>
    </w:p>
    <w:p w14:paraId="4D7682DD" w14:textId="77777777" w:rsidR="00A02610" w:rsidRDefault="00A02610" w:rsidP="00A02610">
      <w:pPr>
        <w:tabs>
          <w:tab w:val="left" w:pos="2553"/>
        </w:tabs>
        <w:rPr>
          <w:rFonts w:ascii="FrankRuehl" w:hAnsi="FrankRuehl" w:cs="FrankRuehl"/>
          <w:sz w:val="28"/>
          <w:szCs w:val="28"/>
          <w:rtl/>
        </w:rPr>
      </w:pPr>
    </w:p>
    <w:p w14:paraId="36E4D1CD" w14:textId="70DC219F" w:rsidR="00A02610" w:rsidRPr="00A02610" w:rsidRDefault="00A02610" w:rsidP="00345F89">
      <w:pPr>
        <w:tabs>
          <w:tab w:val="left" w:pos="2553"/>
        </w:tabs>
        <w:rPr>
          <w:rFonts w:ascii="FrankRuehl" w:hAnsi="FrankRuehl"/>
          <w:color w:val="0000FF"/>
          <w:sz w:val="28"/>
          <w:u w:val="single"/>
          <w:rtl/>
        </w:rPr>
      </w:pPr>
    </w:p>
    <w:sectPr w:rsidR="00A02610" w:rsidRPr="00A02610" w:rsidSect="00345F89">
      <w:headerReference w:type="even" r:id="rId23"/>
      <w:headerReference w:type="default" r:id="rId24"/>
      <w:footerReference w:type="even" r:id="rId25"/>
      <w:footerReference w:type="default" r:id="rId26"/>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F8328" w14:textId="77777777" w:rsidR="000A7F19" w:rsidRDefault="000A7F19">
      <w:r>
        <w:separator/>
      </w:r>
    </w:p>
  </w:endnote>
  <w:endnote w:type="continuationSeparator" w:id="0">
    <w:p w14:paraId="63E72E43" w14:textId="77777777" w:rsidR="000A7F19" w:rsidRDefault="000A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20003A87" w:usb1="00000000" w:usb2="00000000" w:usb3="00000000" w:csb0="000001FF" w:csb1="00000000"/>
  </w:font>
  <w:font w:name="FrankRuehl">
    <w:panose1 w:val="020E050306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8D6E6" w14:textId="77777777" w:rsidR="00345F89" w:rsidRDefault="00000000" w:rsidP="00345F89">
    <w:pPr>
      <w:pStyle w:val="a7"/>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1</w:t>
    </w:r>
    <w:r>
      <w:rPr>
        <w:rFonts w:ascii="FrankRuehl" w:hAnsi="FrankRuehl" w:cs="FrankRuehl"/>
        <w:rtl/>
      </w:rPr>
      <w:fldChar w:fldCharType="end"/>
    </w:r>
  </w:p>
  <w:p w14:paraId="20592367" w14:textId="5D9AE39E" w:rsidR="00121C50" w:rsidRPr="00345F89" w:rsidRDefault="00534747" w:rsidP="00345F89">
    <w:pPr>
      <w:pStyle w:val="a7"/>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0A37F20E" wp14:editId="1327169B">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64B8" w14:textId="77777777" w:rsidR="00345F89" w:rsidRDefault="00000000" w:rsidP="00345F89">
    <w:pPr>
      <w:pStyle w:val="a7"/>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B34754">
      <w:rPr>
        <w:rFonts w:ascii="FrankRuehl" w:hAnsi="FrankRuehl" w:cs="FrankRuehl"/>
        <w:noProof/>
        <w:rtl/>
      </w:rPr>
      <w:t>3</w:t>
    </w:r>
    <w:r>
      <w:rPr>
        <w:rFonts w:ascii="FrankRuehl" w:hAnsi="FrankRuehl" w:cs="FrankRuehl"/>
        <w:rtl/>
      </w:rPr>
      <w:fldChar w:fldCharType="end"/>
    </w:r>
  </w:p>
  <w:p w14:paraId="4554EA7E" w14:textId="78E12883" w:rsidR="00121C50" w:rsidRPr="00345F89" w:rsidRDefault="00121C50" w:rsidP="00345F89">
    <w:pPr>
      <w:pStyle w:val="a7"/>
      <w:pBdr>
        <w:top w:val="single" w:sz="4" w:space="1" w:color="auto"/>
        <w:between w:val="single" w:sz="4" w:space="0" w:color="auto"/>
      </w:pBdr>
      <w:spacing w:after="60"/>
      <w:jc w:val="center"/>
      <w:rPr>
        <w:rFonts w:ascii="FrankRuehl" w:hAnsi="FrankRuehl" w:cs="FrankRueh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CE5B8" w14:textId="77777777" w:rsidR="000A7F19" w:rsidRDefault="000A7F19">
      <w:r>
        <w:separator/>
      </w:r>
    </w:p>
  </w:footnote>
  <w:footnote w:type="continuationSeparator" w:id="0">
    <w:p w14:paraId="0A6A175A" w14:textId="77777777" w:rsidR="000A7F19" w:rsidRDefault="000A7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2270" w14:textId="77777777" w:rsidR="00121C50" w:rsidRPr="00345F89" w:rsidRDefault="00345F89" w:rsidP="00345F89">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 xml:space="preserve">עא 8699/21 </w:t>
    </w:r>
    <w:r>
      <w:rPr>
        <w:rFonts w:ascii="David" w:hAnsi="David"/>
        <w:color w:val="000000"/>
        <w:sz w:val="22"/>
        <w:szCs w:val="22"/>
        <w:rtl/>
      </w:rPr>
      <w:tab/>
      <w:t xml:space="preserve"> מעון הורים סיני חיפה נ' עיריית חיפה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BB5BD" w14:textId="77777777" w:rsidR="00105E0F" w:rsidRPr="00345F89" w:rsidRDefault="00345F89" w:rsidP="00345F89">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9" w:name="_Hlk197574522"/>
    <w:bookmarkStart w:id="10" w:name="_Hlk197574523"/>
    <w:bookmarkStart w:id="11" w:name="_Hlk197574524"/>
    <w:bookmarkStart w:id="12" w:name="_Hlk197574525"/>
    <w:r>
      <w:rPr>
        <w:rFonts w:ascii="David" w:hAnsi="David"/>
        <w:color w:val="000000"/>
        <w:sz w:val="22"/>
        <w:szCs w:val="22"/>
        <w:rtl/>
      </w:rPr>
      <w:t xml:space="preserve">עא 8699/21 </w:t>
    </w:r>
    <w:r>
      <w:rPr>
        <w:rFonts w:ascii="David" w:hAnsi="David"/>
        <w:color w:val="000000"/>
        <w:sz w:val="22"/>
        <w:szCs w:val="22"/>
        <w:rtl/>
      </w:rPr>
      <w:tab/>
      <w:t xml:space="preserve"> מעון הורים סיני חיפה נ' עיריית חיפה</w:t>
    </w:r>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5E8E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B12980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6265D7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A5C665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8A67D5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B02C2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B2AA4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584C6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A2C14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9C0882C"/>
    <w:lvl w:ilvl="0">
      <w:start w:val="1"/>
      <w:numFmt w:val="bullet"/>
      <w:pStyle w:val="a0"/>
      <w:lvlText w:val=""/>
      <w:lvlJc w:val="left"/>
      <w:pPr>
        <w:tabs>
          <w:tab w:val="num" w:pos="360"/>
        </w:tabs>
        <w:ind w:left="360" w:hanging="360"/>
      </w:pPr>
      <w:rPr>
        <w:rFonts w:ascii="Symbol" w:hAnsi="Symbol" w:hint="default"/>
      </w:rPr>
    </w:lvl>
  </w:abstractNum>
  <w:num w:numId="1" w16cid:durableId="185952143">
    <w:abstractNumId w:val="8"/>
  </w:num>
  <w:num w:numId="2" w16cid:durableId="346295465">
    <w:abstractNumId w:val="3"/>
  </w:num>
  <w:num w:numId="3" w16cid:durableId="1772503159">
    <w:abstractNumId w:val="2"/>
  </w:num>
  <w:num w:numId="4" w16cid:durableId="422340178">
    <w:abstractNumId w:val="1"/>
  </w:num>
  <w:num w:numId="5" w16cid:durableId="1565752022">
    <w:abstractNumId w:val="0"/>
  </w:num>
  <w:num w:numId="6" w16cid:durableId="294722152">
    <w:abstractNumId w:val="9"/>
  </w:num>
  <w:num w:numId="7" w16cid:durableId="582036113">
    <w:abstractNumId w:val="7"/>
  </w:num>
  <w:num w:numId="8" w16cid:durableId="487017139">
    <w:abstractNumId w:val="6"/>
  </w:num>
  <w:num w:numId="9" w16cid:durableId="765199141">
    <w:abstractNumId w:val="5"/>
  </w:num>
  <w:num w:numId="10" w16cid:durableId="1002511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694556"/>
    <w:rsid w:val="00000062"/>
    <w:rsid w:val="0000226B"/>
    <w:rsid w:val="00005C8B"/>
    <w:rsid w:val="00007DE0"/>
    <w:rsid w:val="000346CC"/>
    <w:rsid w:val="000529D2"/>
    <w:rsid w:val="000529F0"/>
    <w:rsid w:val="000564AB"/>
    <w:rsid w:val="00064FBD"/>
    <w:rsid w:val="00082AB2"/>
    <w:rsid w:val="000906FE"/>
    <w:rsid w:val="00096AF7"/>
    <w:rsid w:val="000A7E49"/>
    <w:rsid w:val="000A7F19"/>
    <w:rsid w:val="000B344B"/>
    <w:rsid w:val="000B5195"/>
    <w:rsid w:val="000B6DBA"/>
    <w:rsid w:val="000C3B0F"/>
    <w:rsid w:val="000C3B60"/>
    <w:rsid w:val="000E0DD2"/>
    <w:rsid w:val="000E12EA"/>
    <w:rsid w:val="000E3AF1"/>
    <w:rsid w:val="000F0BC8"/>
    <w:rsid w:val="000F0DD6"/>
    <w:rsid w:val="00103959"/>
    <w:rsid w:val="00105E0F"/>
    <w:rsid w:val="00107E6D"/>
    <w:rsid w:val="0011194C"/>
    <w:rsid w:val="0011424C"/>
    <w:rsid w:val="001173C6"/>
    <w:rsid w:val="00121C50"/>
    <w:rsid w:val="00133652"/>
    <w:rsid w:val="001367BC"/>
    <w:rsid w:val="00144D2A"/>
    <w:rsid w:val="0014653E"/>
    <w:rsid w:val="001516B0"/>
    <w:rsid w:val="00180519"/>
    <w:rsid w:val="00191C82"/>
    <w:rsid w:val="00193B4B"/>
    <w:rsid w:val="001C3313"/>
    <w:rsid w:val="001C4003"/>
    <w:rsid w:val="001D4DBF"/>
    <w:rsid w:val="001E75CA"/>
    <w:rsid w:val="002265FF"/>
    <w:rsid w:val="00235B97"/>
    <w:rsid w:val="00261FEE"/>
    <w:rsid w:val="00270C62"/>
    <w:rsid w:val="00271B56"/>
    <w:rsid w:val="00275E20"/>
    <w:rsid w:val="00286B0C"/>
    <w:rsid w:val="002A1B48"/>
    <w:rsid w:val="002B6E93"/>
    <w:rsid w:val="002C344E"/>
    <w:rsid w:val="002E75E9"/>
    <w:rsid w:val="002F0B1E"/>
    <w:rsid w:val="00307A6A"/>
    <w:rsid w:val="00307C40"/>
    <w:rsid w:val="00320433"/>
    <w:rsid w:val="003230C7"/>
    <w:rsid w:val="00327E50"/>
    <w:rsid w:val="0033597A"/>
    <w:rsid w:val="00343D89"/>
    <w:rsid w:val="00345F89"/>
    <w:rsid w:val="00362612"/>
    <w:rsid w:val="0036743F"/>
    <w:rsid w:val="00367B06"/>
    <w:rsid w:val="003715DD"/>
    <w:rsid w:val="003823E0"/>
    <w:rsid w:val="003A4521"/>
    <w:rsid w:val="003B3E8D"/>
    <w:rsid w:val="003D1C8C"/>
    <w:rsid w:val="0040096C"/>
    <w:rsid w:val="00414F1F"/>
    <w:rsid w:val="0043125D"/>
    <w:rsid w:val="0043502B"/>
    <w:rsid w:val="004443AC"/>
    <w:rsid w:val="00444748"/>
    <w:rsid w:val="00444B02"/>
    <w:rsid w:val="00451E28"/>
    <w:rsid w:val="00462865"/>
    <w:rsid w:val="00462C62"/>
    <w:rsid w:val="00465D36"/>
    <w:rsid w:val="0047403A"/>
    <w:rsid w:val="004A4C2F"/>
    <w:rsid w:val="004A6EF4"/>
    <w:rsid w:val="004C17EE"/>
    <w:rsid w:val="004C4BDF"/>
    <w:rsid w:val="004D1187"/>
    <w:rsid w:val="004D3AA0"/>
    <w:rsid w:val="004E1987"/>
    <w:rsid w:val="004E2E15"/>
    <w:rsid w:val="004E4DFB"/>
    <w:rsid w:val="004E6E3C"/>
    <w:rsid w:val="004F5F21"/>
    <w:rsid w:val="00511B90"/>
    <w:rsid w:val="00520898"/>
    <w:rsid w:val="00523621"/>
    <w:rsid w:val="00524986"/>
    <w:rsid w:val="005268F6"/>
    <w:rsid w:val="00534284"/>
    <w:rsid w:val="00534747"/>
    <w:rsid w:val="00547DB7"/>
    <w:rsid w:val="005C0627"/>
    <w:rsid w:val="005E007D"/>
    <w:rsid w:val="005F4F09"/>
    <w:rsid w:val="0061431B"/>
    <w:rsid w:val="00616AE2"/>
    <w:rsid w:val="00622BAA"/>
    <w:rsid w:val="006306CF"/>
    <w:rsid w:val="006318D8"/>
    <w:rsid w:val="0063784C"/>
    <w:rsid w:val="00644E9A"/>
    <w:rsid w:val="00662538"/>
    <w:rsid w:val="00671BD5"/>
    <w:rsid w:val="006805C1"/>
    <w:rsid w:val="006833AE"/>
    <w:rsid w:val="00686C21"/>
    <w:rsid w:val="006906C3"/>
    <w:rsid w:val="006931C1"/>
    <w:rsid w:val="00694556"/>
    <w:rsid w:val="006B7258"/>
    <w:rsid w:val="006B7675"/>
    <w:rsid w:val="006C30C5"/>
    <w:rsid w:val="006D3B31"/>
    <w:rsid w:val="006E0D96"/>
    <w:rsid w:val="006E1A53"/>
    <w:rsid w:val="006F56E6"/>
    <w:rsid w:val="00704EDA"/>
    <w:rsid w:val="00721122"/>
    <w:rsid w:val="00734689"/>
    <w:rsid w:val="007447C7"/>
    <w:rsid w:val="00753019"/>
    <w:rsid w:val="00754801"/>
    <w:rsid w:val="00761441"/>
    <w:rsid w:val="00795365"/>
    <w:rsid w:val="007A351D"/>
    <w:rsid w:val="007B7765"/>
    <w:rsid w:val="007C5BDD"/>
    <w:rsid w:val="007D45E3"/>
    <w:rsid w:val="007E6115"/>
    <w:rsid w:val="007F4609"/>
    <w:rsid w:val="007F4CC9"/>
    <w:rsid w:val="00814468"/>
    <w:rsid w:val="008176A1"/>
    <w:rsid w:val="00820005"/>
    <w:rsid w:val="00841158"/>
    <w:rsid w:val="00844318"/>
    <w:rsid w:val="00851257"/>
    <w:rsid w:val="00863F5D"/>
    <w:rsid w:val="00870890"/>
    <w:rsid w:val="00873602"/>
    <w:rsid w:val="00875D12"/>
    <w:rsid w:val="0088479D"/>
    <w:rsid w:val="00891F42"/>
    <w:rsid w:val="00896889"/>
    <w:rsid w:val="008A59EE"/>
    <w:rsid w:val="008A6E97"/>
    <w:rsid w:val="008C5714"/>
    <w:rsid w:val="008D10B2"/>
    <w:rsid w:val="00903896"/>
    <w:rsid w:val="00906F3D"/>
    <w:rsid w:val="0094424E"/>
    <w:rsid w:val="00955642"/>
    <w:rsid w:val="009622DF"/>
    <w:rsid w:val="0096493F"/>
    <w:rsid w:val="00967DFF"/>
    <w:rsid w:val="00994341"/>
    <w:rsid w:val="009B741D"/>
    <w:rsid w:val="009D1A48"/>
    <w:rsid w:val="009E1CE7"/>
    <w:rsid w:val="009E4EA5"/>
    <w:rsid w:val="009F164B"/>
    <w:rsid w:val="009F323C"/>
    <w:rsid w:val="00A02610"/>
    <w:rsid w:val="00A05A60"/>
    <w:rsid w:val="00A3392B"/>
    <w:rsid w:val="00A81988"/>
    <w:rsid w:val="00A85E34"/>
    <w:rsid w:val="00A87DF6"/>
    <w:rsid w:val="00A9144F"/>
    <w:rsid w:val="00A94B64"/>
    <w:rsid w:val="00AA3229"/>
    <w:rsid w:val="00AA7596"/>
    <w:rsid w:val="00AB5E52"/>
    <w:rsid w:val="00AC3B02"/>
    <w:rsid w:val="00AC3B7B"/>
    <w:rsid w:val="00AC5209"/>
    <w:rsid w:val="00AE0E34"/>
    <w:rsid w:val="00AE729E"/>
    <w:rsid w:val="00AE7752"/>
    <w:rsid w:val="00AF6224"/>
    <w:rsid w:val="00AF7FDA"/>
    <w:rsid w:val="00B27E99"/>
    <w:rsid w:val="00B34754"/>
    <w:rsid w:val="00B5356E"/>
    <w:rsid w:val="00B62AD7"/>
    <w:rsid w:val="00B66717"/>
    <w:rsid w:val="00B77019"/>
    <w:rsid w:val="00B809AD"/>
    <w:rsid w:val="00B80CBD"/>
    <w:rsid w:val="00B86096"/>
    <w:rsid w:val="00B95D6E"/>
    <w:rsid w:val="00B964D9"/>
    <w:rsid w:val="00BA0A7C"/>
    <w:rsid w:val="00BA517C"/>
    <w:rsid w:val="00BB3D05"/>
    <w:rsid w:val="00BB73BE"/>
    <w:rsid w:val="00BC2D89"/>
    <w:rsid w:val="00BD6531"/>
    <w:rsid w:val="00BE05B2"/>
    <w:rsid w:val="00BF1908"/>
    <w:rsid w:val="00BF76BE"/>
    <w:rsid w:val="00C05869"/>
    <w:rsid w:val="00C11844"/>
    <w:rsid w:val="00C22D93"/>
    <w:rsid w:val="00C23458"/>
    <w:rsid w:val="00C31120"/>
    <w:rsid w:val="00C34482"/>
    <w:rsid w:val="00C43648"/>
    <w:rsid w:val="00C50A9F"/>
    <w:rsid w:val="00C61238"/>
    <w:rsid w:val="00C642FA"/>
    <w:rsid w:val="00C77802"/>
    <w:rsid w:val="00C9217F"/>
    <w:rsid w:val="00C96121"/>
    <w:rsid w:val="00CA4C49"/>
    <w:rsid w:val="00CC7622"/>
    <w:rsid w:val="00CD516B"/>
    <w:rsid w:val="00CD608F"/>
    <w:rsid w:val="00CE0084"/>
    <w:rsid w:val="00CF403E"/>
    <w:rsid w:val="00CF6BB7"/>
    <w:rsid w:val="00D04AA4"/>
    <w:rsid w:val="00D20565"/>
    <w:rsid w:val="00D27982"/>
    <w:rsid w:val="00D33B86"/>
    <w:rsid w:val="00D44968"/>
    <w:rsid w:val="00D51BF7"/>
    <w:rsid w:val="00D53924"/>
    <w:rsid w:val="00D55D0C"/>
    <w:rsid w:val="00D96D8C"/>
    <w:rsid w:val="00DA6649"/>
    <w:rsid w:val="00DC1259"/>
    <w:rsid w:val="00DC1BD2"/>
    <w:rsid w:val="00DC2571"/>
    <w:rsid w:val="00DC487C"/>
    <w:rsid w:val="00DC792F"/>
    <w:rsid w:val="00DD4335"/>
    <w:rsid w:val="00DE1E7D"/>
    <w:rsid w:val="00DE6BF6"/>
    <w:rsid w:val="00DF7222"/>
    <w:rsid w:val="00E00713"/>
    <w:rsid w:val="00E1068A"/>
    <w:rsid w:val="00E25884"/>
    <w:rsid w:val="00E25B55"/>
    <w:rsid w:val="00E311E6"/>
    <w:rsid w:val="00E31C2B"/>
    <w:rsid w:val="00E5426A"/>
    <w:rsid w:val="00E54642"/>
    <w:rsid w:val="00E80CBE"/>
    <w:rsid w:val="00E90C45"/>
    <w:rsid w:val="00E9269D"/>
    <w:rsid w:val="00E962E3"/>
    <w:rsid w:val="00EB6C79"/>
    <w:rsid w:val="00EC37E9"/>
    <w:rsid w:val="00EE56D8"/>
    <w:rsid w:val="00EF6807"/>
    <w:rsid w:val="00F038D8"/>
    <w:rsid w:val="00F06995"/>
    <w:rsid w:val="00F12D66"/>
    <w:rsid w:val="00F133C4"/>
    <w:rsid w:val="00F13623"/>
    <w:rsid w:val="00F14E68"/>
    <w:rsid w:val="00F1720B"/>
    <w:rsid w:val="00F27A14"/>
    <w:rsid w:val="00F33812"/>
    <w:rsid w:val="00F44D1D"/>
    <w:rsid w:val="00F84599"/>
    <w:rsid w:val="00F84B6D"/>
    <w:rsid w:val="00F856E6"/>
    <w:rsid w:val="00F957E8"/>
    <w:rsid w:val="00FA06C2"/>
    <w:rsid w:val="00FA311A"/>
    <w:rsid w:val="00FA5FDA"/>
    <w:rsid w:val="00FA7FD0"/>
    <w:rsid w:val="00FB3557"/>
    <w:rsid w:val="00FB6AB3"/>
    <w:rsid w:val="00FB7A67"/>
    <w:rsid w:val="00FD1419"/>
    <w:rsid w:val="00FD22A7"/>
    <w:rsid w:val="00FD79E4"/>
    <w:rsid w:val="00FE0020"/>
    <w:rsid w:val="00FE09EC"/>
    <w:rsid w:val="00FE2894"/>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4226D"/>
  <w15:docId w15:val="{C8136ECD-DE2A-49C9-A612-F2E27B4C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lang w:bidi="he-IL"/>
    </w:rPr>
  </w:style>
  <w:style w:type="paragraph" w:styleId="1">
    <w:name w:val="heading 1"/>
    <w:basedOn w:val="a1"/>
    <w:next w:val="a1"/>
    <w:link w:val="10"/>
    <w:qFormat/>
    <w:rsid w:val="0047403A"/>
    <w:pPr>
      <w:keepNext/>
      <w:keepLines/>
      <w:spacing w:before="240"/>
      <w:outlineLvl w:val="0"/>
    </w:pPr>
    <w:rPr>
      <w:rFonts w:ascii="Cambria" w:hAnsi="Cambria" w:cs="Times New Roman"/>
      <w:color w:val="365F91"/>
      <w:sz w:val="32"/>
      <w:szCs w:val="32"/>
    </w:rPr>
  </w:style>
  <w:style w:type="paragraph" w:styleId="21">
    <w:name w:val="heading 2"/>
    <w:basedOn w:val="a1"/>
    <w:next w:val="a1"/>
    <w:link w:val="22"/>
    <w:qFormat/>
    <w:rsid w:val="0047403A"/>
    <w:pPr>
      <w:keepNext/>
      <w:keepLines/>
      <w:spacing w:before="40"/>
      <w:outlineLvl w:val="1"/>
    </w:pPr>
    <w:rPr>
      <w:rFonts w:ascii="Cambria" w:hAnsi="Cambria" w:cs="Times New Roman"/>
      <w:color w:val="365F91"/>
      <w:sz w:val="26"/>
      <w:szCs w:val="26"/>
    </w:rPr>
  </w:style>
  <w:style w:type="paragraph" w:styleId="31">
    <w:name w:val="heading 3"/>
    <w:basedOn w:val="a1"/>
    <w:next w:val="a1"/>
    <w:link w:val="32"/>
    <w:qFormat/>
    <w:rsid w:val="0047403A"/>
    <w:pPr>
      <w:keepNext/>
      <w:keepLines/>
      <w:spacing w:before="40"/>
      <w:outlineLvl w:val="2"/>
    </w:pPr>
    <w:rPr>
      <w:rFonts w:ascii="Cambria" w:hAnsi="Cambria" w:cs="Times New Roman"/>
      <w:color w:val="243F60"/>
    </w:rPr>
  </w:style>
  <w:style w:type="paragraph" w:styleId="41">
    <w:name w:val="heading 4"/>
    <w:basedOn w:val="a1"/>
    <w:next w:val="a1"/>
    <w:qFormat/>
    <w:rsid w:val="00C64423"/>
    <w:pPr>
      <w:keepNext/>
      <w:ind w:left="5760" w:firstLine="720"/>
      <w:outlineLvl w:val="3"/>
    </w:pPr>
    <w:rPr>
      <w:rFonts w:cs="Narkisim"/>
      <w:b/>
      <w:bCs/>
    </w:rPr>
  </w:style>
  <w:style w:type="paragraph" w:styleId="51">
    <w:name w:val="heading 5"/>
    <w:basedOn w:val="a1"/>
    <w:next w:val="a1"/>
    <w:link w:val="52"/>
    <w:qFormat/>
    <w:rsid w:val="0047403A"/>
    <w:pPr>
      <w:keepNext/>
      <w:keepLines/>
      <w:spacing w:before="40"/>
      <w:outlineLvl w:val="4"/>
    </w:pPr>
    <w:rPr>
      <w:rFonts w:ascii="Cambria" w:hAnsi="Cambria" w:cs="Times New Roman"/>
      <w:color w:val="365F91"/>
    </w:rPr>
  </w:style>
  <w:style w:type="paragraph" w:styleId="6">
    <w:name w:val="heading 6"/>
    <w:basedOn w:val="a1"/>
    <w:next w:val="a1"/>
    <w:link w:val="60"/>
    <w:qFormat/>
    <w:rsid w:val="0047403A"/>
    <w:pPr>
      <w:keepNext/>
      <w:keepLines/>
      <w:spacing w:before="40"/>
      <w:outlineLvl w:val="5"/>
    </w:pPr>
    <w:rPr>
      <w:rFonts w:ascii="Cambria" w:hAnsi="Cambria" w:cs="Times New Roman"/>
      <w:color w:val="243F60"/>
    </w:rPr>
  </w:style>
  <w:style w:type="paragraph" w:styleId="7">
    <w:name w:val="heading 7"/>
    <w:basedOn w:val="a1"/>
    <w:next w:val="a1"/>
    <w:link w:val="70"/>
    <w:qFormat/>
    <w:rsid w:val="0047403A"/>
    <w:pPr>
      <w:keepNext/>
      <w:keepLines/>
      <w:spacing w:before="40"/>
      <w:outlineLvl w:val="6"/>
    </w:pPr>
    <w:rPr>
      <w:rFonts w:ascii="Cambria" w:hAnsi="Cambria" w:cs="Times New Roman"/>
      <w:i/>
      <w:iCs/>
      <w:color w:val="243F60"/>
    </w:rPr>
  </w:style>
  <w:style w:type="paragraph" w:styleId="8">
    <w:name w:val="heading 8"/>
    <w:basedOn w:val="a1"/>
    <w:next w:val="a1"/>
    <w:link w:val="80"/>
    <w:qFormat/>
    <w:rsid w:val="0047403A"/>
    <w:pPr>
      <w:keepNext/>
      <w:keepLines/>
      <w:spacing w:before="40"/>
      <w:outlineLvl w:val="7"/>
    </w:pPr>
    <w:rPr>
      <w:rFonts w:ascii="Cambria" w:hAnsi="Cambria" w:cs="Times New Roman"/>
      <w:color w:val="272727"/>
      <w:sz w:val="21"/>
      <w:szCs w:val="21"/>
    </w:rPr>
  </w:style>
  <w:style w:type="paragraph" w:styleId="9">
    <w:name w:val="heading 9"/>
    <w:basedOn w:val="a1"/>
    <w:next w:val="a1"/>
    <w:link w:val="90"/>
    <w:qFormat/>
    <w:rsid w:val="0047403A"/>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64423"/>
    <w:pPr>
      <w:tabs>
        <w:tab w:val="center" w:pos="4153"/>
        <w:tab w:val="right" w:pos="8306"/>
      </w:tabs>
    </w:pPr>
  </w:style>
  <w:style w:type="paragraph" w:styleId="a7">
    <w:name w:val="footer"/>
    <w:basedOn w:val="a1"/>
    <w:link w:val="a8"/>
    <w:uiPriority w:val="99"/>
    <w:rsid w:val="00C64423"/>
    <w:pPr>
      <w:tabs>
        <w:tab w:val="center" w:pos="4153"/>
        <w:tab w:val="right" w:pos="8306"/>
      </w:tabs>
    </w:pPr>
  </w:style>
  <w:style w:type="paragraph" w:customStyle="1" w:styleId="a9">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a">
    <w:name w:val="annotation text"/>
    <w:basedOn w:val="a1"/>
    <w:link w:val="ab"/>
    <w:rsid w:val="00C64423"/>
    <w:rPr>
      <w:rFonts w:cs="Times New Roman"/>
    </w:rPr>
  </w:style>
  <w:style w:type="character" w:styleId="ac">
    <w:name w:val="annotation reference"/>
    <w:rsid w:val="00C64423"/>
    <w:rPr>
      <w:noProof w:val="0"/>
      <w:sz w:val="16"/>
      <w:szCs w:val="16"/>
    </w:rPr>
  </w:style>
  <w:style w:type="paragraph" w:styleId="ad">
    <w:name w:val="Balloon Text"/>
    <w:basedOn w:val="a1"/>
    <w:rsid w:val="00C64423"/>
    <w:rPr>
      <w:rFonts w:ascii="Tahoma" w:hAnsi="Tahoma" w:cs="Tahoma"/>
      <w:sz w:val="16"/>
      <w:szCs w:val="16"/>
    </w:rPr>
  </w:style>
  <w:style w:type="table" w:styleId="ae">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rsid w:val="00C64423"/>
    <w:rPr>
      <w:noProof w:val="0"/>
    </w:rPr>
  </w:style>
  <w:style w:type="character" w:styleId="af0">
    <w:name w:val="page number"/>
    <w:rsid w:val="00C64423"/>
    <w:rPr>
      <w:noProof w:val="0"/>
    </w:rPr>
  </w:style>
  <w:style w:type="table" w:customStyle="1" w:styleId="11">
    <w:name w:val="טבלת רשת1"/>
    <w:basedOn w:val="a3"/>
    <w:next w:val="ae"/>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טקסט מציין מיקום1"/>
    <w:uiPriority w:val="99"/>
    <w:semiHidden/>
    <w:rsid w:val="003230C7"/>
    <w:rPr>
      <w:noProof w:val="0"/>
      <w:color w:val="808080"/>
    </w:rPr>
  </w:style>
  <w:style w:type="character" w:customStyle="1" w:styleId="a8">
    <w:name w:val="כותרת תחתונה תו"/>
    <w:link w:val="a7"/>
    <w:uiPriority w:val="99"/>
    <w:rsid w:val="00616AE2"/>
    <w:rPr>
      <w:rFonts w:cs="David"/>
      <w:noProof w:val="0"/>
      <w:sz w:val="24"/>
      <w:szCs w:val="24"/>
    </w:rPr>
  </w:style>
  <w:style w:type="character" w:customStyle="1" w:styleId="a6">
    <w:name w:val="כותרת עליונה תו"/>
    <w:link w:val="a5"/>
    <w:uiPriority w:val="99"/>
    <w:rsid w:val="00616AE2"/>
    <w:rPr>
      <w:rFonts w:cs="David"/>
      <w:noProof w:val="0"/>
      <w:sz w:val="24"/>
      <w:szCs w:val="24"/>
    </w:rPr>
  </w:style>
  <w:style w:type="character" w:customStyle="1" w:styleId="Ruller4">
    <w:name w:val="Ruller4 תו"/>
    <w:link w:val="Ruller40"/>
    <w:locked/>
    <w:rsid w:val="00E311E6"/>
    <w:rPr>
      <w:rFonts w:ascii="Arial TUR" w:hAnsi="Arial TUR" w:cs="FrankRuehl"/>
      <w:spacing w:val="10"/>
      <w:sz w:val="22"/>
      <w:szCs w:val="28"/>
    </w:rPr>
  </w:style>
  <w:style w:type="paragraph" w:customStyle="1" w:styleId="Ruller40">
    <w:name w:val="Ruller4"/>
    <w:basedOn w:val="a1"/>
    <w:link w:val="Ruller4"/>
    <w:rsid w:val="00E311E6"/>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character" w:styleId="FollowedHyperlink">
    <w:name w:val="FollowedHyperlink"/>
    <w:rsid w:val="0047403A"/>
    <w:rPr>
      <w:noProof w:val="0"/>
      <w:color w:val="800080"/>
      <w:u w:val="single"/>
    </w:rPr>
  </w:style>
  <w:style w:type="character" w:styleId="HTMLCite">
    <w:name w:val="HTML Cite"/>
    <w:rsid w:val="0047403A"/>
    <w:rPr>
      <w:i/>
      <w:iCs/>
      <w:noProof w:val="0"/>
    </w:rPr>
  </w:style>
  <w:style w:type="character" w:styleId="HTMLCode">
    <w:name w:val="HTML Code"/>
    <w:rsid w:val="0047403A"/>
    <w:rPr>
      <w:rFonts w:ascii="Consolas" w:hAnsi="Consolas"/>
      <w:noProof w:val="0"/>
      <w:sz w:val="20"/>
      <w:szCs w:val="20"/>
    </w:rPr>
  </w:style>
  <w:style w:type="character" w:styleId="HTMLDefinition">
    <w:name w:val="HTML Definition"/>
    <w:rsid w:val="0047403A"/>
    <w:rPr>
      <w:i/>
      <w:iCs/>
      <w:noProof w:val="0"/>
    </w:rPr>
  </w:style>
  <w:style w:type="character" w:styleId="HTMLVariable">
    <w:name w:val="HTML Variable"/>
    <w:rsid w:val="0047403A"/>
    <w:rPr>
      <w:i/>
      <w:iCs/>
      <w:noProof w:val="0"/>
    </w:rPr>
  </w:style>
  <w:style w:type="paragraph" w:styleId="HTML">
    <w:name w:val="HTML Preformatted"/>
    <w:basedOn w:val="a1"/>
    <w:link w:val="HTML0"/>
    <w:rsid w:val="0047403A"/>
    <w:rPr>
      <w:rFonts w:ascii="Consolas" w:hAnsi="Consolas"/>
      <w:sz w:val="20"/>
      <w:szCs w:val="20"/>
    </w:rPr>
  </w:style>
  <w:style w:type="character" w:customStyle="1" w:styleId="HTML0">
    <w:name w:val="HTML מעוצב מראש תו"/>
    <w:link w:val="HTML"/>
    <w:semiHidden/>
    <w:rsid w:val="0047403A"/>
    <w:rPr>
      <w:rFonts w:ascii="Consolas" w:hAnsi="Consolas" w:cs="David"/>
      <w:noProof w:val="0"/>
    </w:rPr>
  </w:style>
  <w:style w:type="character" w:styleId="Hyperlink">
    <w:name w:val="Hyperlink"/>
    <w:rsid w:val="0047403A"/>
    <w:rPr>
      <w:noProof w:val="0"/>
      <w:color w:val="0000FF"/>
      <w:u w:val="single"/>
    </w:rPr>
  </w:style>
  <w:style w:type="paragraph" w:styleId="Index1">
    <w:name w:val="index 1"/>
    <w:basedOn w:val="a1"/>
    <w:next w:val="a1"/>
    <w:autoRedefine/>
    <w:rsid w:val="0047403A"/>
    <w:pPr>
      <w:ind w:left="240" w:hanging="240"/>
    </w:pPr>
  </w:style>
  <w:style w:type="paragraph" w:styleId="Index2">
    <w:name w:val="index 2"/>
    <w:basedOn w:val="a1"/>
    <w:next w:val="a1"/>
    <w:autoRedefine/>
    <w:rsid w:val="0047403A"/>
    <w:pPr>
      <w:ind w:left="480" w:hanging="240"/>
    </w:pPr>
  </w:style>
  <w:style w:type="paragraph" w:styleId="Index3">
    <w:name w:val="index 3"/>
    <w:basedOn w:val="a1"/>
    <w:next w:val="a1"/>
    <w:autoRedefine/>
    <w:rsid w:val="0047403A"/>
    <w:pPr>
      <w:ind w:left="720" w:hanging="240"/>
    </w:pPr>
  </w:style>
  <w:style w:type="paragraph" w:styleId="Index4">
    <w:name w:val="index 4"/>
    <w:basedOn w:val="a1"/>
    <w:next w:val="a1"/>
    <w:autoRedefine/>
    <w:rsid w:val="0047403A"/>
    <w:pPr>
      <w:ind w:left="960" w:hanging="240"/>
    </w:pPr>
  </w:style>
  <w:style w:type="paragraph" w:styleId="Index5">
    <w:name w:val="index 5"/>
    <w:basedOn w:val="a1"/>
    <w:next w:val="a1"/>
    <w:autoRedefine/>
    <w:rsid w:val="0047403A"/>
    <w:pPr>
      <w:ind w:left="1200" w:hanging="240"/>
    </w:pPr>
  </w:style>
  <w:style w:type="paragraph" w:styleId="Index6">
    <w:name w:val="index 6"/>
    <w:basedOn w:val="a1"/>
    <w:next w:val="a1"/>
    <w:autoRedefine/>
    <w:rsid w:val="0047403A"/>
    <w:pPr>
      <w:ind w:left="1440" w:hanging="240"/>
    </w:pPr>
  </w:style>
  <w:style w:type="paragraph" w:styleId="Index7">
    <w:name w:val="index 7"/>
    <w:basedOn w:val="a1"/>
    <w:next w:val="a1"/>
    <w:autoRedefine/>
    <w:rsid w:val="0047403A"/>
    <w:pPr>
      <w:ind w:left="1680" w:hanging="240"/>
    </w:pPr>
  </w:style>
  <w:style w:type="paragraph" w:styleId="Index8">
    <w:name w:val="index 8"/>
    <w:basedOn w:val="a1"/>
    <w:next w:val="a1"/>
    <w:autoRedefine/>
    <w:rsid w:val="0047403A"/>
    <w:pPr>
      <w:ind w:left="1920" w:hanging="240"/>
    </w:pPr>
  </w:style>
  <w:style w:type="paragraph" w:styleId="Index9">
    <w:name w:val="index 9"/>
    <w:basedOn w:val="a1"/>
    <w:next w:val="a1"/>
    <w:autoRedefine/>
    <w:rsid w:val="0047403A"/>
    <w:pPr>
      <w:ind w:left="2160" w:hanging="240"/>
    </w:pPr>
  </w:style>
  <w:style w:type="paragraph" w:styleId="NormalWeb">
    <w:name w:val="Normal (Web)"/>
    <w:basedOn w:val="a1"/>
    <w:rsid w:val="0047403A"/>
    <w:rPr>
      <w:rFonts w:cs="Times New Roman"/>
    </w:rPr>
  </w:style>
  <w:style w:type="paragraph" w:styleId="TOC1">
    <w:name w:val="toc 1"/>
    <w:basedOn w:val="a1"/>
    <w:next w:val="a1"/>
    <w:autoRedefine/>
    <w:rsid w:val="0047403A"/>
    <w:pPr>
      <w:spacing w:after="100"/>
    </w:pPr>
  </w:style>
  <w:style w:type="paragraph" w:styleId="TOC2">
    <w:name w:val="toc 2"/>
    <w:basedOn w:val="a1"/>
    <w:next w:val="a1"/>
    <w:autoRedefine/>
    <w:rsid w:val="0047403A"/>
    <w:pPr>
      <w:spacing w:after="100"/>
      <w:ind w:left="240"/>
    </w:pPr>
  </w:style>
  <w:style w:type="paragraph" w:styleId="TOC3">
    <w:name w:val="toc 3"/>
    <w:basedOn w:val="a1"/>
    <w:next w:val="a1"/>
    <w:autoRedefine/>
    <w:rsid w:val="0047403A"/>
    <w:pPr>
      <w:spacing w:after="100"/>
      <w:ind w:left="480"/>
    </w:pPr>
  </w:style>
  <w:style w:type="paragraph" w:styleId="TOC4">
    <w:name w:val="toc 4"/>
    <w:basedOn w:val="a1"/>
    <w:next w:val="a1"/>
    <w:autoRedefine/>
    <w:rsid w:val="0047403A"/>
    <w:pPr>
      <w:spacing w:after="100"/>
      <w:ind w:left="720"/>
    </w:pPr>
  </w:style>
  <w:style w:type="paragraph" w:styleId="TOC5">
    <w:name w:val="toc 5"/>
    <w:basedOn w:val="a1"/>
    <w:next w:val="a1"/>
    <w:autoRedefine/>
    <w:rsid w:val="0047403A"/>
    <w:pPr>
      <w:spacing w:after="100"/>
      <w:ind w:left="960"/>
    </w:pPr>
  </w:style>
  <w:style w:type="paragraph" w:styleId="TOC6">
    <w:name w:val="toc 6"/>
    <w:basedOn w:val="a1"/>
    <w:next w:val="a1"/>
    <w:autoRedefine/>
    <w:rsid w:val="0047403A"/>
    <w:pPr>
      <w:spacing w:after="100"/>
      <w:ind w:left="1200"/>
    </w:pPr>
  </w:style>
  <w:style w:type="paragraph" w:styleId="TOC7">
    <w:name w:val="toc 7"/>
    <w:basedOn w:val="a1"/>
    <w:next w:val="a1"/>
    <w:autoRedefine/>
    <w:rsid w:val="0047403A"/>
    <w:pPr>
      <w:spacing w:after="100"/>
      <w:ind w:left="1440"/>
    </w:pPr>
  </w:style>
  <w:style w:type="paragraph" w:styleId="TOC8">
    <w:name w:val="toc 8"/>
    <w:basedOn w:val="a1"/>
    <w:next w:val="a1"/>
    <w:autoRedefine/>
    <w:rsid w:val="0047403A"/>
    <w:pPr>
      <w:spacing w:after="100"/>
      <w:ind w:left="1680"/>
    </w:pPr>
  </w:style>
  <w:style w:type="paragraph" w:styleId="TOC9">
    <w:name w:val="toc 9"/>
    <w:basedOn w:val="a1"/>
    <w:next w:val="a1"/>
    <w:autoRedefine/>
    <w:rsid w:val="0047403A"/>
    <w:pPr>
      <w:spacing w:after="100"/>
      <w:ind w:left="1920"/>
    </w:pPr>
  </w:style>
  <w:style w:type="table" w:styleId="-1">
    <w:name w:val="Table 3D effects 1"/>
    <w:basedOn w:val="a3"/>
    <w:rsid w:val="0047403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rsid w:val="0047403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rsid w:val="0047403A"/>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3">
    <w:name w:val="ביבליוגרפיה1"/>
    <w:basedOn w:val="a1"/>
    <w:next w:val="a1"/>
    <w:uiPriority w:val="37"/>
    <w:semiHidden/>
    <w:unhideWhenUsed/>
    <w:rsid w:val="0047403A"/>
  </w:style>
  <w:style w:type="paragraph" w:styleId="af1">
    <w:name w:val="Salutation"/>
    <w:basedOn w:val="a1"/>
    <w:next w:val="a1"/>
    <w:link w:val="af2"/>
    <w:rsid w:val="0047403A"/>
  </w:style>
  <w:style w:type="character" w:customStyle="1" w:styleId="af2">
    <w:name w:val="ברכה תו"/>
    <w:link w:val="af1"/>
    <w:rsid w:val="0047403A"/>
    <w:rPr>
      <w:rFonts w:cs="David"/>
      <w:noProof w:val="0"/>
      <w:sz w:val="24"/>
      <w:szCs w:val="24"/>
    </w:rPr>
  </w:style>
  <w:style w:type="paragraph" w:styleId="af3">
    <w:name w:val="Body Text"/>
    <w:basedOn w:val="a1"/>
    <w:link w:val="af4"/>
    <w:rsid w:val="0047403A"/>
    <w:pPr>
      <w:spacing w:after="120"/>
    </w:pPr>
  </w:style>
  <w:style w:type="character" w:customStyle="1" w:styleId="af4">
    <w:name w:val="גוף טקסט תו"/>
    <w:link w:val="af3"/>
    <w:semiHidden/>
    <w:rsid w:val="0047403A"/>
    <w:rPr>
      <w:rFonts w:cs="David"/>
      <w:noProof w:val="0"/>
      <w:sz w:val="24"/>
      <w:szCs w:val="24"/>
    </w:rPr>
  </w:style>
  <w:style w:type="paragraph" w:styleId="23">
    <w:name w:val="Body Text 2"/>
    <w:basedOn w:val="a1"/>
    <w:link w:val="24"/>
    <w:rsid w:val="0047403A"/>
    <w:pPr>
      <w:spacing w:after="120" w:line="480" w:lineRule="auto"/>
    </w:pPr>
  </w:style>
  <w:style w:type="character" w:customStyle="1" w:styleId="24">
    <w:name w:val="גוף טקסט 2 תו"/>
    <w:link w:val="23"/>
    <w:semiHidden/>
    <w:rsid w:val="0047403A"/>
    <w:rPr>
      <w:rFonts w:cs="David"/>
      <w:noProof w:val="0"/>
      <w:sz w:val="24"/>
      <w:szCs w:val="24"/>
    </w:rPr>
  </w:style>
  <w:style w:type="paragraph" w:styleId="33">
    <w:name w:val="Body Text 3"/>
    <w:basedOn w:val="a1"/>
    <w:link w:val="34"/>
    <w:rsid w:val="0047403A"/>
    <w:pPr>
      <w:spacing w:after="120"/>
    </w:pPr>
    <w:rPr>
      <w:sz w:val="16"/>
      <w:szCs w:val="16"/>
    </w:rPr>
  </w:style>
  <w:style w:type="character" w:customStyle="1" w:styleId="34">
    <w:name w:val="גוף טקסט 3 תו"/>
    <w:link w:val="33"/>
    <w:semiHidden/>
    <w:rsid w:val="0047403A"/>
    <w:rPr>
      <w:rFonts w:cs="David"/>
      <w:noProof w:val="0"/>
      <w:sz w:val="16"/>
      <w:szCs w:val="16"/>
    </w:rPr>
  </w:style>
  <w:style w:type="character" w:styleId="HTML1">
    <w:name w:val="HTML Sample"/>
    <w:rsid w:val="0047403A"/>
    <w:rPr>
      <w:rFonts w:ascii="Consolas" w:hAnsi="Consolas"/>
      <w:noProof w:val="0"/>
      <w:sz w:val="24"/>
      <w:szCs w:val="24"/>
    </w:rPr>
  </w:style>
  <w:style w:type="character" w:styleId="af5">
    <w:name w:val="Emphasis"/>
    <w:qFormat/>
    <w:rsid w:val="0047403A"/>
    <w:rPr>
      <w:i/>
      <w:iCs/>
      <w:noProof w:val="0"/>
    </w:rPr>
  </w:style>
  <w:style w:type="character" w:customStyle="1" w:styleId="14">
    <w:name w:val="הדגשה חזקה1"/>
    <w:uiPriority w:val="21"/>
    <w:qFormat/>
    <w:rsid w:val="0047403A"/>
    <w:rPr>
      <w:i/>
      <w:iCs/>
      <w:noProof w:val="0"/>
      <w:color w:val="4F81BD"/>
    </w:rPr>
  </w:style>
  <w:style w:type="character" w:customStyle="1" w:styleId="15">
    <w:name w:val="הדגשה עדינה1"/>
    <w:uiPriority w:val="19"/>
    <w:qFormat/>
    <w:rsid w:val="0047403A"/>
    <w:rPr>
      <w:i/>
      <w:iCs/>
      <w:noProof w:val="0"/>
      <w:color w:val="404040"/>
    </w:rPr>
  </w:style>
  <w:style w:type="paragraph" w:styleId="af6">
    <w:name w:val="List Continue"/>
    <w:basedOn w:val="a1"/>
    <w:rsid w:val="0047403A"/>
    <w:pPr>
      <w:spacing w:after="120"/>
      <w:ind w:left="283"/>
      <w:contextualSpacing/>
    </w:pPr>
  </w:style>
  <w:style w:type="paragraph" w:styleId="25">
    <w:name w:val="List Continue 2"/>
    <w:basedOn w:val="a1"/>
    <w:rsid w:val="0047403A"/>
    <w:pPr>
      <w:spacing w:after="120"/>
      <w:ind w:left="566"/>
      <w:contextualSpacing/>
    </w:pPr>
  </w:style>
  <w:style w:type="paragraph" w:styleId="35">
    <w:name w:val="List Continue 3"/>
    <w:basedOn w:val="a1"/>
    <w:rsid w:val="0047403A"/>
    <w:pPr>
      <w:spacing w:after="120"/>
      <w:ind w:left="849"/>
      <w:contextualSpacing/>
    </w:pPr>
  </w:style>
  <w:style w:type="paragraph" w:styleId="42">
    <w:name w:val="List Continue 4"/>
    <w:basedOn w:val="a1"/>
    <w:rsid w:val="0047403A"/>
    <w:pPr>
      <w:spacing w:after="120"/>
      <w:ind w:left="1132"/>
      <w:contextualSpacing/>
    </w:pPr>
  </w:style>
  <w:style w:type="paragraph" w:styleId="53">
    <w:name w:val="List Continue 5"/>
    <w:basedOn w:val="a1"/>
    <w:rsid w:val="0047403A"/>
    <w:pPr>
      <w:spacing w:after="120"/>
      <w:ind w:left="1415"/>
      <w:contextualSpacing/>
    </w:pPr>
  </w:style>
  <w:style w:type="character" w:customStyle="1" w:styleId="16">
    <w:name w:val="הפניה חזקה1"/>
    <w:uiPriority w:val="32"/>
    <w:qFormat/>
    <w:rsid w:val="0047403A"/>
    <w:rPr>
      <w:b/>
      <w:bCs/>
      <w:smallCaps/>
      <w:noProof w:val="0"/>
      <w:color w:val="4F81BD"/>
      <w:spacing w:val="5"/>
    </w:rPr>
  </w:style>
  <w:style w:type="character" w:styleId="af7">
    <w:name w:val="endnote reference"/>
    <w:rsid w:val="0047403A"/>
    <w:rPr>
      <w:noProof w:val="0"/>
      <w:vertAlign w:val="superscript"/>
    </w:rPr>
  </w:style>
  <w:style w:type="character" w:styleId="af8">
    <w:name w:val="footnote reference"/>
    <w:rsid w:val="0047403A"/>
    <w:rPr>
      <w:noProof w:val="0"/>
      <w:vertAlign w:val="superscript"/>
    </w:rPr>
  </w:style>
  <w:style w:type="character" w:customStyle="1" w:styleId="17">
    <w:name w:val="הפניה עדינה1"/>
    <w:uiPriority w:val="31"/>
    <w:qFormat/>
    <w:rsid w:val="0047403A"/>
    <w:rPr>
      <w:smallCaps/>
      <w:noProof w:val="0"/>
      <w:color w:val="5A5A5A"/>
    </w:rPr>
  </w:style>
  <w:style w:type="table" w:customStyle="1" w:styleId="18">
    <w:name w:val="הצללה בהירה1"/>
    <w:basedOn w:val="a3"/>
    <w:uiPriority w:val="60"/>
    <w:semiHidden/>
    <w:unhideWhenUsed/>
    <w:rsid w:val="0047403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3"/>
    <w:uiPriority w:val="60"/>
    <w:semiHidden/>
    <w:unhideWhenUsed/>
    <w:rsid w:val="0047403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3"/>
    <w:uiPriority w:val="60"/>
    <w:semiHidden/>
    <w:unhideWhenUsed/>
    <w:rsid w:val="0047403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3"/>
    <w:uiPriority w:val="60"/>
    <w:semiHidden/>
    <w:unhideWhenUsed/>
    <w:rsid w:val="0047403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3"/>
    <w:uiPriority w:val="60"/>
    <w:semiHidden/>
    <w:unhideWhenUsed/>
    <w:rsid w:val="0047403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3"/>
    <w:uiPriority w:val="60"/>
    <w:semiHidden/>
    <w:unhideWhenUsed/>
    <w:rsid w:val="0047403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3"/>
    <w:uiPriority w:val="60"/>
    <w:semiHidden/>
    <w:unhideWhenUsed/>
    <w:rsid w:val="0047403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3"/>
    <w:uiPriority w:val="64"/>
    <w:semiHidden/>
    <w:unhideWhenUsed/>
    <w:rsid w:val="004740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3"/>
    <w:uiPriority w:val="63"/>
    <w:semiHidden/>
    <w:unhideWhenUsed/>
    <w:rsid w:val="0047403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3"/>
    <w:uiPriority w:val="63"/>
    <w:semiHidden/>
    <w:unhideWhenUsed/>
    <w:rsid w:val="0047403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3"/>
    <w:uiPriority w:val="63"/>
    <w:semiHidden/>
    <w:unhideWhenUsed/>
    <w:rsid w:val="0047403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3"/>
    <w:uiPriority w:val="63"/>
    <w:semiHidden/>
    <w:unhideWhenUsed/>
    <w:rsid w:val="0047403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3"/>
    <w:uiPriority w:val="63"/>
    <w:semiHidden/>
    <w:unhideWhenUsed/>
    <w:rsid w:val="0047403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3"/>
    <w:uiPriority w:val="63"/>
    <w:semiHidden/>
    <w:unhideWhenUsed/>
    <w:rsid w:val="0047403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3"/>
    <w:uiPriority w:val="63"/>
    <w:semiHidden/>
    <w:unhideWhenUsed/>
    <w:rsid w:val="0047403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3"/>
    <w:uiPriority w:val="64"/>
    <w:semiHidden/>
    <w:unhideWhenUsed/>
    <w:rsid w:val="004740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3"/>
    <w:uiPriority w:val="64"/>
    <w:semiHidden/>
    <w:unhideWhenUsed/>
    <w:rsid w:val="004740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3"/>
    <w:uiPriority w:val="64"/>
    <w:semiHidden/>
    <w:unhideWhenUsed/>
    <w:rsid w:val="004740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3"/>
    <w:uiPriority w:val="64"/>
    <w:semiHidden/>
    <w:unhideWhenUsed/>
    <w:rsid w:val="004740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3"/>
    <w:uiPriority w:val="64"/>
    <w:semiHidden/>
    <w:unhideWhenUsed/>
    <w:rsid w:val="004740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3"/>
    <w:uiPriority w:val="64"/>
    <w:semiHidden/>
    <w:unhideWhenUsed/>
    <w:rsid w:val="004740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9">
    <w:name w:val="הצללה צבעונית1"/>
    <w:basedOn w:val="a3"/>
    <w:uiPriority w:val="71"/>
    <w:semiHidden/>
    <w:unhideWhenUsed/>
    <w:rsid w:val="0047403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3"/>
    <w:uiPriority w:val="71"/>
    <w:semiHidden/>
    <w:unhideWhenUsed/>
    <w:rsid w:val="0047403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3"/>
    <w:uiPriority w:val="71"/>
    <w:semiHidden/>
    <w:unhideWhenUsed/>
    <w:rsid w:val="0047403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3"/>
    <w:uiPriority w:val="71"/>
    <w:semiHidden/>
    <w:unhideWhenUsed/>
    <w:rsid w:val="0047403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3"/>
    <w:uiPriority w:val="71"/>
    <w:semiHidden/>
    <w:unhideWhenUsed/>
    <w:rsid w:val="0047403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3"/>
    <w:uiPriority w:val="71"/>
    <w:semiHidden/>
    <w:unhideWhenUsed/>
    <w:rsid w:val="0047403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3"/>
    <w:uiPriority w:val="71"/>
    <w:semiHidden/>
    <w:unhideWhenUsed/>
    <w:rsid w:val="0047403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9">
    <w:name w:val="Strong"/>
    <w:qFormat/>
    <w:rsid w:val="0047403A"/>
    <w:rPr>
      <w:b/>
      <w:bCs/>
      <w:noProof w:val="0"/>
    </w:rPr>
  </w:style>
  <w:style w:type="paragraph" w:styleId="afa">
    <w:name w:val="Signature"/>
    <w:basedOn w:val="a1"/>
    <w:link w:val="afb"/>
    <w:rsid w:val="0047403A"/>
    <w:pPr>
      <w:ind w:left="4252"/>
    </w:pPr>
  </w:style>
  <w:style w:type="character" w:customStyle="1" w:styleId="afb">
    <w:name w:val="חתימה תו"/>
    <w:link w:val="afa"/>
    <w:semiHidden/>
    <w:rsid w:val="0047403A"/>
    <w:rPr>
      <w:rFonts w:cs="David"/>
      <w:noProof w:val="0"/>
      <w:sz w:val="24"/>
      <w:szCs w:val="24"/>
    </w:rPr>
  </w:style>
  <w:style w:type="paragraph" w:styleId="afc">
    <w:name w:val="E-mail Signature"/>
    <w:basedOn w:val="a1"/>
    <w:link w:val="afd"/>
    <w:rsid w:val="0047403A"/>
  </w:style>
  <w:style w:type="character" w:customStyle="1" w:styleId="afd">
    <w:name w:val="חתימת דואר אלקטרוני תו"/>
    <w:link w:val="afc"/>
    <w:semiHidden/>
    <w:rsid w:val="0047403A"/>
    <w:rPr>
      <w:rFonts w:cs="David"/>
      <w:noProof w:val="0"/>
      <w:sz w:val="24"/>
      <w:szCs w:val="24"/>
    </w:rPr>
  </w:style>
  <w:style w:type="table" w:styleId="afe">
    <w:name w:val="Table Elegant"/>
    <w:basedOn w:val="a3"/>
    <w:rsid w:val="0047403A"/>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
    <w:name w:val="Table Professional"/>
    <w:basedOn w:val="a3"/>
    <w:rsid w:val="0047403A"/>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ubtle 1"/>
    <w:basedOn w:val="a3"/>
    <w:rsid w:val="0047403A"/>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rsid w:val="0047403A"/>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0">
    <w:name w:val="Table Contemporary"/>
    <w:basedOn w:val="a3"/>
    <w:rsid w:val="0047403A"/>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b">
    <w:name w:val="Table Simple 1"/>
    <w:basedOn w:val="a3"/>
    <w:rsid w:val="0047403A"/>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3"/>
    <w:rsid w:val="0047403A"/>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rsid w:val="0047403A"/>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olorful 1"/>
    <w:basedOn w:val="a3"/>
    <w:rsid w:val="0047403A"/>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rsid w:val="0047403A"/>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rsid w:val="0047403A"/>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d">
    <w:name w:val="Table Classic 1"/>
    <w:basedOn w:val="a3"/>
    <w:rsid w:val="0047403A"/>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rsid w:val="0047403A"/>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rsid w:val="0047403A"/>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rsid w:val="0047403A"/>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3"/>
    <w:uiPriority w:val="41"/>
    <w:rsid w:val="0047403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3"/>
    <w:uiPriority w:val="42"/>
    <w:rsid w:val="0047403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3"/>
    <w:uiPriority w:val="43"/>
    <w:rsid w:val="0047403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3"/>
    <w:uiPriority w:val="44"/>
    <w:rsid w:val="004740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3"/>
    <w:uiPriority w:val="45"/>
    <w:rsid w:val="0047403A"/>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e">
    <w:name w:val="Table Web 1"/>
    <w:basedOn w:val="a3"/>
    <w:rsid w:val="0047403A"/>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a">
    <w:name w:val="Table Web 2"/>
    <w:basedOn w:val="a3"/>
    <w:rsid w:val="0047403A"/>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rsid w:val="0047403A"/>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3"/>
    <w:uiPriority w:val="46"/>
    <w:rsid w:val="0047403A"/>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3"/>
    <w:uiPriority w:val="46"/>
    <w:rsid w:val="0047403A"/>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3"/>
    <w:uiPriority w:val="46"/>
    <w:rsid w:val="0047403A"/>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3"/>
    <w:uiPriority w:val="46"/>
    <w:rsid w:val="0047403A"/>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3"/>
    <w:uiPriority w:val="46"/>
    <w:rsid w:val="0047403A"/>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3"/>
    <w:uiPriority w:val="46"/>
    <w:rsid w:val="0047403A"/>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3"/>
    <w:uiPriority w:val="46"/>
    <w:rsid w:val="0047403A"/>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3"/>
    <w:uiPriority w:val="47"/>
    <w:rsid w:val="0047403A"/>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3"/>
    <w:uiPriority w:val="47"/>
    <w:rsid w:val="0047403A"/>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3"/>
    <w:uiPriority w:val="47"/>
    <w:rsid w:val="0047403A"/>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3"/>
    <w:uiPriority w:val="47"/>
    <w:rsid w:val="0047403A"/>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3"/>
    <w:uiPriority w:val="47"/>
    <w:rsid w:val="0047403A"/>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3"/>
    <w:uiPriority w:val="47"/>
    <w:rsid w:val="0047403A"/>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3"/>
    <w:uiPriority w:val="47"/>
    <w:rsid w:val="0047403A"/>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3"/>
    <w:uiPriority w:val="48"/>
    <w:rsid w:val="0047403A"/>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3"/>
    <w:uiPriority w:val="48"/>
    <w:rsid w:val="0047403A"/>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3"/>
    <w:uiPriority w:val="48"/>
    <w:rsid w:val="0047403A"/>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3"/>
    <w:uiPriority w:val="48"/>
    <w:rsid w:val="0047403A"/>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3"/>
    <w:uiPriority w:val="48"/>
    <w:rsid w:val="0047403A"/>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3"/>
    <w:uiPriority w:val="48"/>
    <w:rsid w:val="0047403A"/>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3"/>
    <w:uiPriority w:val="48"/>
    <w:rsid w:val="0047403A"/>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3"/>
    <w:uiPriority w:val="49"/>
    <w:rsid w:val="0047403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3"/>
    <w:uiPriority w:val="49"/>
    <w:rsid w:val="0047403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3"/>
    <w:uiPriority w:val="49"/>
    <w:rsid w:val="0047403A"/>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3"/>
    <w:uiPriority w:val="49"/>
    <w:rsid w:val="0047403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3"/>
    <w:uiPriority w:val="49"/>
    <w:rsid w:val="0047403A"/>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3"/>
    <w:uiPriority w:val="49"/>
    <w:rsid w:val="0047403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3"/>
    <w:uiPriority w:val="49"/>
    <w:rsid w:val="0047403A"/>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3"/>
    <w:uiPriority w:val="50"/>
    <w:rsid w:val="0047403A"/>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3"/>
    <w:uiPriority w:val="50"/>
    <w:rsid w:val="0047403A"/>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3"/>
    <w:uiPriority w:val="50"/>
    <w:rsid w:val="0047403A"/>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3"/>
    <w:uiPriority w:val="50"/>
    <w:rsid w:val="0047403A"/>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3"/>
    <w:uiPriority w:val="50"/>
    <w:rsid w:val="0047403A"/>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3"/>
    <w:uiPriority w:val="50"/>
    <w:rsid w:val="0047403A"/>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3"/>
    <w:uiPriority w:val="50"/>
    <w:rsid w:val="0047403A"/>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3"/>
    <w:uiPriority w:val="51"/>
    <w:rsid w:val="0047403A"/>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3"/>
    <w:uiPriority w:val="51"/>
    <w:rsid w:val="0047403A"/>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3"/>
    <w:uiPriority w:val="51"/>
    <w:rsid w:val="0047403A"/>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3"/>
    <w:uiPriority w:val="51"/>
    <w:rsid w:val="0047403A"/>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3"/>
    <w:uiPriority w:val="51"/>
    <w:rsid w:val="0047403A"/>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3"/>
    <w:uiPriority w:val="51"/>
    <w:rsid w:val="0047403A"/>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3"/>
    <w:uiPriority w:val="51"/>
    <w:rsid w:val="0047403A"/>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3"/>
    <w:uiPriority w:val="52"/>
    <w:rsid w:val="0047403A"/>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3"/>
    <w:uiPriority w:val="52"/>
    <w:rsid w:val="0047403A"/>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3"/>
    <w:uiPriority w:val="52"/>
    <w:rsid w:val="0047403A"/>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3"/>
    <w:uiPriority w:val="52"/>
    <w:rsid w:val="0047403A"/>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3"/>
    <w:uiPriority w:val="52"/>
    <w:rsid w:val="0047403A"/>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3"/>
    <w:uiPriority w:val="52"/>
    <w:rsid w:val="0047403A"/>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3"/>
    <w:uiPriority w:val="52"/>
    <w:rsid w:val="0047403A"/>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3"/>
    <w:uiPriority w:val="46"/>
    <w:rsid w:val="0047403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3"/>
    <w:uiPriority w:val="46"/>
    <w:rsid w:val="0047403A"/>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3"/>
    <w:uiPriority w:val="46"/>
    <w:rsid w:val="0047403A"/>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3"/>
    <w:uiPriority w:val="46"/>
    <w:rsid w:val="0047403A"/>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3"/>
    <w:uiPriority w:val="46"/>
    <w:rsid w:val="0047403A"/>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3"/>
    <w:uiPriority w:val="46"/>
    <w:rsid w:val="0047403A"/>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3"/>
    <w:uiPriority w:val="46"/>
    <w:rsid w:val="0047403A"/>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3"/>
    <w:uiPriority w:val="47"/>
    <w:rsid w:val="0047403A"/>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3"/>
    <w:uiPriority w:val="47"/>
    <w:rsid w:val="0047403A"/>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3"/>
    <w:uiPriority w:val="47"/>
    <w:rsid w:val="0047403A"/>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3"/>
    <w:uiPriority w:val="47"/>
    <w:rsid w:val="0047403A"/>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3"/>
    <w:uiPriority w:val="47"/>
    <w:rsid w:val="0047403A"/>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3"/>
    <w:uiPriority w:val="47"/>
    <w:rsid w:val="0047403A"/>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3"/>
    <w:uiPriority w:val="47"/>
    <w:rsid w:val="0047403A"/>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3"/>
    <w:uiPriority w:val="48"/>
    <w:rsid w:val="0047403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3"/>
    <w:uiPriority w:val="48"/>
    <w:rsid w:val="0047403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3"/>
    <w:uiPriority w:val="48"/>
    <w:rsid w:val="0047403A"/>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3"/>
    <w:uiPriority w:val="48"/>
    <w:rsid w:val="0047403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3"/>
    <w:uiPriority w:val="48"/>
    <w:rsid w:val="0047403A"/>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3"/>
    <w:uiPriority w:val="48"/>
    <w:rsid w:val="0047403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3"/>
    <w:uiPriority w:val="48"/>
    <w:rsid w:val="0047403A"/>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3"/>
    <w:uiPriority w:val="49"/>
    <w:rsid w:val="0047403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3"/>
    <w:uiPriority w:val="49"/>
    <w:rsid w:val="0047403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3"/>
    <w:uiPriority w:val="49"/>
    <w:rsid w:val="0047403A"/>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3"/>
    <w:uiPriority w:val="49"/>
    <w:rsid w:val="0047403A"/>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3"/>
    <w:uiPriority w:val="49"/>
    <w:rsid w:val="0047403A"/>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3"/>
    <w:uiPriority w:val="49"/>
    <w:rsid w:val="0047403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3"/>
    <w:uiPriority w:val="49"/>
    <w:rsid w:val="0047403A"/>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3"/>
    <w:uiPriority w:val="50"/>
    <w:rsid w:val="004740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3"/>
    <w:uiPriority w:val="50"/>
    <w:rsid w:val="004740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3"/>
    <w:uiPriority w:val="50"/>
    <w:rsid w:val="004740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3"/>
    <w:uiPriority w:val="50"/>
    <w:rsid w:val="004740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3"/>
    <w:uiPriority w:val="50"/>
    <w:rsid w:val="004740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3"/>
    <w:uiPriority w:val="50"/>
    <w:rsid w:val="004740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3"/>
    <w:uiPriority w:val="50"/>
    <w:rsid w:val="004740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3"/>
    <w:uiPriority w:val="51"/>
    <w:rsid w:val="0047403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3"/>
    <w:uiPriority w:val="51"/>
    <w:rsid w:val="0047403A"/>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3"/>
    <w:uiPriority w:val="51"/>
    <w:rsid w:val="0047403A"/>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3"/>
    <w:uiPriority w:val="51"/>
    <w:rsid w:val="0047403A"/>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3"/>
    <w:uiPriority w:val="51"/>
    <w:rsid w:val="0047403A"/>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3"/>
    <w:uiPriority w:val="51"/>
    <w:rsid w:val="0047403A"/>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3"/>
    <w:uiPriority w:val="51"/>
    <w:rsid w:val="0047403A"/>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3"/>
    <w:uiPriority w:val="52"/>
    <w:rsid w:val="0047403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3"/>
    <w:uiPriority w:val="52"/>
    <w:rsid w:val="0047403A"/>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3"/>
    <w:uiPriority w:val="52"/>
    <w:rsid w:val="0047403A"/>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3"/>
    <w:uiPriority w:val="52"/>
    <w:rsid w:val="0047403A"/>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3"/>
    <w:uiPriority w:val="52"/>
    <w:rsid w:val="0047403A"/>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3"/>
    <w:uiPriority w:val="52"/>
    <w:rsid w:val="0047403A"/>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3"/>
    <w:uiPriority w:val="52"/>
    <w:rsid w:val="0047403A"/>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f1">
    <w:name w:val="Block Text"/>
    <w:basedOn w:val="a1"/>
    <w:rsid w:val="0047403A"/>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aff2">
    <w:name w:val="endnote text"/>
    <w:basedOn w:val="a1"/>
    <w:link w:val="aff3"/>
    <w:rsid w:val="0047403A"/>
    <w:rPr>
      <w:sz w:val="20"/>
      <w:szCs w:val="20"/>
    </w:rPr>
  </w:style>
  <w:style w:type="character" w:customStyle="1" w:styleId="aff3">
    <w:name w:val="טקסט הערת סיום תו"/>
    <w:link w:val="aff2"/>
    <w:semiHidden/>
    <w:rsid w:val="0047403A"/>
    <w:rPr>
      <w:rFonts w:cs="David"/>
      <w:noProof w:val="0"/>
    </w:rPr>
  </w:style>
  <w:style w:type="paragraph" w:styleId="aff4">
    <w:name w:val="footnote text"/>
    <w:basedOn w:val="a1"/>
    <w:link w:val="aff5"/>
    <w:rsid w:val="0047403A"/>
    <w:rPr>
      <w:sz w:val="20"/>
      <w:szCs w:val="20"/>
    </w:rPr>
  </w:style>
  <w:style w:type="character" w:customStyle="1" w:styleId="aff5">
    <w:name w:val="טקסט הערת שוליים תו"/>
    <w:link w:val="aff4"/>
    <w:semiHidden/>
    <w:rsid w:val="0047403A"/>
    <w:rPr>
      <w:rFonts w:cs="David"/>
      <w:noProof w:val="0"/>
    </w:rPr>
  </w:style>
  <w:style w:type="paragraph" w:styleId="aff6">
    <w:name w:val="macro"/>
    <w:link w:val="aff7"/>
    <w:rsid w:val="0047403A"/>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7">
    <w:name w:val="טקסט מאקרו תו"/>
    <w:link w:val="aff6"/>
    <w:semiHidden/>
    <w:rsid w:val="0047403A"/>
    <w:rPr>
      <w:rFonts w:ascii="Consolas" w:hAnsi="Consolas" w:cs="David"/>
      <w:noProof w:val="0"/>
    </w:rPr>
  </w:style>
  <w:style w:type="paragraph" w:styleId="aff8">
    <w:name w:val="Plain Text"/>
    <w:basedOn w:val="a1"/>
    <w:link w:val="aff9"/>
    <w:rsid w:val="0047403A"/>
    <w:rPr>
      <w:rFonts w:ascii="Consolas" w:hAnsi="Consolas"/>
      <w:sz w:val="21"/>
      <w:szCs w:val="21"/>
    </w:rPr>
  </w:style>
  <w:style w:type="character" w:customStyle="1" w:styleId="aff9">
    <w:name w:val="טקסט רגיל תו"/>
    <w:link w:val="aff8"/>
    <w:semiHidden/>
    <w:rsid w:val="0047403A"/>
    <w:rPr>
      <w:rFonts w:ascii="Consolas" w:hAnsi="Consolas" w:cs="David"/>
      <w:noProof w:val="0"/>
      <w:sz w:val="21"/>
      <w:szCs w:val="21"/>
    </w:rPr>
  </w:style>
  <w:style w:type="character" w:customStyle="1" w:styleId="1f">
    <w:name w:val="כותר הספר1"/>
    <w:uiPriority w:val="33"/>
    <w:qFormat/>
    <w:rsid w:val="0047403A"/>
    <w:rPr>
      <w:b/>
      <w:bCs/>
      <w:i/>
      <w:iCs/>
      <w:noProof w:val="0"/>
      <w:spacing w:val="5"/>
    </w:rPr>
  </w:style>
  <w:style w:type="character" w:customStyle="1" w:styleId="10">
    <w:name w:val="כותרת 1 תו"/>
    <w:link w:val="1"/>
    <w:rsid w:val="0047403A"/>
    <w:rPr>
      <w:rFonts w:ascii="Cambria" w:eastAsia="Times New Roman" w:hAnsi="Cambria" w:cs="Times New Roman"/>
      <w:noProof w:val="0"/>
      <w:color w:val="365F91"/>
      <w:sz w:val="32"/>
      <w:szCs w:val="32"/>
    </w:rPr>
  </w:style>
  <w:style w:type="character" w:customStyle="1" w:styleId="22">
    <w:name w:val="כותרת 2 תו"/>
    <w:link w:val="21"/>
    <w:semiHidden/>
    <w:rsid w:val="0047403A"/>
    <w:rPr>
      <w:rFonts w:ascii="Cambria" w:eastAsia="Times New Roman" w:hAnsi="Cambria" w:cs="Times New Roman"/>
      <w:noProof w:val="0"/>
      <w:color w:val="365F91"/>
      <w:sz w:val="26"/>
      <w:szCs w:val="26"/>
    </w:rPr>
  </w:style>
  <w:style w:type="character" w:customStyle="1" w:styleId="32">
    <w:name w:val="כותרת 3 תו"/>
    <w:link w:val="31"/>
    <w:semiHidden/>
    <w:rsid w:val="0047403A"/>
    <w:rPr>
      <w:rFonts w:ascii="Cambria" w:eastAsia="Times New Roman" w:hAnsi="Cambria" w:cs="Times New Roman"/>
      <w:noProof w:val="0"/>
      <w:color w:val="243F60"/>
      <w:sz w:val="24"/>
      <w:szCs w:val="24"/>
    </w:rPr>
  </w:style>
  <w:style w:type="character" w:customStyle="1" w:styleId="52">
    <w:name w:val="כותרת 5 תו"/>
    <w:link w:val="51"/>
    <w:semiHidden/>
    <w:rsid w:val="0047403A"/>
    <w:rPr>
      <w:rFonts w:ascii="Cambria" w:eastAsia="Times New Roman" w:hAnsi="Cambria" w:cs="Times New Roman"/>
      <w:noProof w:val="0"/>
      <w:color w:val="365F91"/>
      <w:sz w:val="24"/>
      <w:szCs w:val="24"/>
    </w:rPr>
  </w:style>
  <w:style w:type="character" w:customStyle="1" w:styleId="60">
    <w:name w:val="כותרת 6 תו"/>
    <w:link w:val="6"/>
    <w:semiHidden/>
    <w:rsid w:val="0047403A"/>
    <w:rPr>
      <w:rFonts w:ascii="Cambria" w:eastAsia="Times New Roman" w:hAnsi="Cambria" w:cs="Times New Roman"/>
      <w:noProof w:val="0"/>
      <w:color w:val="243F60"/>
      <w:sz w:val="24"/>
      <w:szCs w:val="24"/>
    </w:rPr>
  </w:style>
  <w:style w:type="character" w:customStyle="1" w:styleId="70">
    <w:name w:val="כותרת 7 תו"/>
    <w:link w:val="7"/>
    <w:semiHidden/>
    <w:rsid w:val="0047403A"/>
    <w:rPr>
      <w:rFonts w:ascii="Cambria" w:eastAsia="Times New Roman" w:hAnsi="Cambria" w:cs="Times New Roman"/>
      <w:i/>
      <w:iCs/>
      <w:noProof w:val="0"/>
      <w:color w:val="243F60"/>
      <w:sz w:val="24"/>
      <w:szCs w:val="24"/>
    </w:rPr>
  </w:style>
  <w:style w:type="character" w:customStyle="1" w:styleId="80">
    <w:name w:val="כותרת 8 תו"/>
    <w:link w:val="8"/>
    <w:semiHidden/>
    <w:rsid w:val="0047403A"/>
    <w:rPr>
      <w:rFonts w:ascii="Cambria" w:eastAsia="Times New Roman" w:hAnsi="Cambria" w:cs="Times New Roman"/>
      <w:noProof w:val="0"/>
      <w:color w:val="272727"/>
      <w:sz w:val="21"/>
      <w:szCs w:val="21"/>
    </w:rPr>
  </w:style>
  <w:style w:type="character" w:customStyle="1" w:styleId="90">
    <w:name w:val="כותרת 9 תו"/>
    <w:link w:val="9"/>
    <w:semiHidden/>
    <w:rsid w:val="0047403A"/>
    <w:rPr>
      <w:rFonts w:ascii="Cambria" w:eastAsia="Times New Roman" w:hAnsi="Cambria" w:cs="Times New Roman"/>
      <w:i/>
      <w:iCs/>
      <w:noProof w:val="0"/>
      <w:color w:val="272727"/>
      <w:sz w:val="21"/>
      <w:szCs w:val="21"/>
    </w:rPr>
  </w:style>
  <w:style w:type="paragraph" w:styleId="affa">
    <w:name w:val="index heading"/>
    <w:basedOn w:val="a1"/>
    <w:next w:val="Index1"/>
    <w:rsid w:val="0047403A"/>
    <w:rPr>
      <w:rFonts w:ascii="Cambria" w:hAnsi="Cambria" w:cs="Times New Roman"/>
      <w:b/>
      <w:bCs/>
    </w:rPr>
  </w:style>
  <w:style w:type="paragraph" w:styleId="affb">
    <w:name w:val="Note Heading"/>
    <w:basedOn w:val="a1"/>
    <w:next w:val="a1"/>
    <w:link w:val="affc"/>
    <w:rsid w:val="0047403A"/>
  </w:style>
  <w:style w:type="character" w:customStyle="1" w:styleId="affc">
    <w:name w:val="כותרת הערות תו"/>
    <w:link w:val="affb"/>
    <w:semiHidden/>
    <w:rsid w:val="0047403A"/>
    <w:rPr>
      <w:rFonts w:cs="David"/>
      <w:noProof w:val="0"/>
      <w:sz w:val="24"/>
      <w:szCs w:val="24"/>
    </w:rPr>
  </w:style>
  <w:style w:type="paragraph" w:styleId="affd">
    <w:name w:val="Title"/>
    <w:basedOn w:val="a1"/>
    <w:next w:val="a1"/>
    <w:link w:val="affe"/>
    <w:qFormat/>
    <w:rsid w:val="0047403A"/>
    <w:pPr>
      <w:contextualSpacing/>
    </w:pPr>
    <w:rPr>
      <w:rFonts w:ascii="Cambria" w:hAnsi="Cambria" w:cs="Times New Roman"/>
      <w:spacing w:val="-10"/>
      <w:kern w:val="28"/>
      <w:sz w:val="56"/>
      <w:szCs w:val="56"/>
    </w:rPr>
  </w:style>
  <w:style w:type="character" w:customStyle="1" w:styleId="affe">
    <w:name w:val="כותרת טקסט תו"/>
    <w:link w:val="affd"/>
    <w:rsid w:val="0047403A"/>
    <w:rPr>
      <w:rFonts w:ascii="Cambria" w:eastAsia="Times New Roman" w:hAnsi="Cambria" w:cs="Times New Roman"/>
      <w:noProof w:val="0"/>
      <w:spacing w:val="-10"/>
      <w:kern w:val="28"/>
      <w:sz w:val="56"/>
      <w:szCs w:val="56"/>
    </w:rPr>
  </w:style>
  <w:style w:type="paragraph" w:styleId="afff">
    <w:name w:val="Subtitle"/>
    <w:basedOn w:val="a1"/>
    <w:next w:val="a1"/>
    <w:link w:val="afff0"/>
    <w:qFormat/>
    <w:rsid w:val="0047403A"/>
    <w:pPr>
      <w:numPr>
        <w:ilvl w:val="1"/>
      </w:numPr>
      <w:spacing w:after="160"/>
    </w:pPr>
    <w:rPr>
      <w:rFonts w:ascii="Calibri" w:hAnsi="Calibri" w:cs="Arial"/>
      <w:color w:val="5A5A5A"/>
      <w:spacing w:val="15"/>
      <w:sz w:val="22"/>
      <w:szCs w:val="22"/>
    </w:rPr>
  </w:style>
  <w:style w:type="character" w:customStyle="1" w:styleId="afff0">
    <w:name w:val="כותרת משנה תו"/>
    <w:link w:val="afff"/>
    <w:rsid w:val="0047403A"/>
    <w:rPr>
      <w:rFonts w:ascii="Calibri" w:eastAsia="Times New Roman" w:hAnsi="Calibri" w:cs="Arial"/>
      <w:noProof w:val="0"/>
      <w:color w:val="5A5A5A"/>
      <w:spacing w:val="15"/>
      <w:sz w:val="22"/>
      <w:szCs w:val="22"/>
    </w:rPr>
  </w:style>
  <w:style w:type="paragraph" w:styleId="afff1">
    <w:name w:val="Message Header"/>
    <w:basedOn w:val="a1"/>
    <w:link w:val="afff2"/>
    <w:rsid w:val="0047403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fff2">
    <w:name w:val="כותרת עליונה של הודעה תו"/>
    <w:link w:val="afff1"/>
    <w:semiHidden/>
    <w:rsid w:val="0047403A"/>
    <w:rPr>
      <w:rFonts w:ascii="Cambria" w:eastAsia="Times New Roman" w:hAnsi="Cambria" w:cs="Times New Roman"/>
      <w:noProof w:val="0"/>
      <w:sz w:val="24"/>
      <w:szCs w:val="24"/>
      <w:shd w:val="pct20" w:color="auto" w:fill="auto"/>
    </w:rPr>
  </w:style>
  <w:style w:type="paragraph" w:styleId="afff3">
    <w:name w:val="toa heading"/>
    <w:basedOn w:val="a1"/>
    <w:next w:val="a1"/>
    <w:rsid w:val="0047403A"/>
    <w:pPr>
      <w:spacing w:before="120"/>
    </w:pPr>
    <w:rPr>
      <w:rFonts w:ascii="Cambria" w:hAnsi="Cambria" w:cs="Times New Roman"/>
      <w:b/>
      <w:bCs/>
    </w:rPr>
  </w:style>
  <w:style w:type="paragraph" w:customStyle="1" w:styleId="1f0">
    <w:name w:val="כותרת תוכן עניינים1"/>
    <w:basedOn w:val="1"/>
    <w:next w:val="a1"/>
    <w:uiPriority w:val="39"/>
    <w:qFormat/>
    <w:rsid w:val="0047403A"/>
    <w:pPr>
      <w:outlineLvl w:val="9"/>
    </w:pPr>
  </w:style>
  <w:style w:type="paragraph" w:styleId="afff4">
    <w:name w:val="caption"/>
    <w:basedOn w:val="a1"/>
    <w:next w:val="a1"/>
    <w:qFormat/>
    <w:rsid w:val="0047403A"/>
    <w:pPr>
      <w:spacing w:after="200"/>
    </w:pPr>
    <w:rPr>
      <w:i/>
      <w:iCs/>
      <w:color w:val="1F497D"/>
      <w:sz w:val="18"/>
      <w:szCs w:val="18"/>
    </w:rPr>
  </w:style>
  <w:style w:type="paragraph" w:styleId="afff5">
    <w:name w:val="Body Text Indent"/>
    <w:basedOn w:val="a1"/>
    <w:link w:val="afff6"/>
    <w:rsid w:val="0047403A"/>
    <w:pPr>
      <w:spacing w:after="120"/>
      <w:ind w:left="283"/>
    </w:pPr>
  </w:style>
  <w:style w:type="character" w:customStyle="1" w:styleId="afff6">
    <w:name w:val="כניסה בגוף טקסט תו"/>
    <w:link w:val="afff5"/>
    <w:semiHidden/>
    <w:rsid w:val="0047403A"/>
    <w:rPr>
      <w:rFonts w:cs="David"/>
      <w:noProof w:val="0"/>
      <w:sz w:val="24"/>
      <w:szCs w:val="24"/>
    </w:rPr>
  </w:style>
  <w:style w:type="paragraph" w:styleId="2b">
    <w:name w:val="Body Text Indent 2"/>
    <w:basedOn w:val="a1"/>
    <w:link w:val="2c"/>
    <w:rsid w:val="0047403A"/>
    <w:pPr>
      <w:spacing w:after="120" w:line="480" w:lineRule="auto"/>
      <w:ind w:left="283"/>
    </w:pPr>
  </w:style>
  <w:style w:type="character" w:customStyle="1" w:styleId="2c">
    <w:name w:val="כניסה בגוף טקסט 2 תו"/>
    <w:link w:val="2b"/>
    <w:semiHidden/>
    <w:rsid w:val="0047403A"/>
    <w:rPr>
      <w:rFonts w:cs="David"/>
      <w:noProof w:val="0"/>
      <w:sz w:val="24"/>
      <w:szCs w:val="24"/>
    </w:rPr>
  </w:style>
  <w:style w:type="paragraph" w:styleId="3a">
    <w:name w:val="Body Text Indent 3"/>
    <w:basedOn w:val="a1"/>
    <w:link w:val="3b"/>
    <w:rsid w:val="0047403A"/>
    <w:pPr>
      <w:spacing w:after="120"/>
      <w:ind w:left="283"/>
    </w:pPr>
    <w:rPr>
      <w:sz w:val="16"/>
      <w:szCs w:val="16"/>
    </w:rPr>
  </w:style>
  <w:style w:type="character" w:customStyle="1" w:styleId="3b">
    <w:name w:val="כניסה בגוף טקסט 3 תו"/>
    <w:link w:val="3a"/>
    <w:semiHidden/>
    <w:rsid w:val="0047403A"/>
    <w:rPr>
      <w:rFonts w:cs="David"/>
      <w:noProof w:val="0"/>
      <w:sz w:val="16"/>
      <w:szCs w:val="16"/>
    </w:rPr>
  </w:style>
  <w:style w:type="paragraph" w:styleId="afff7">
    <w:name w:val="Normal Indent"/>
    <w:basedOn w:val="a1"/>
    <w:rsid w:val="0047403A"/>
    <w:pPr>
      <w:ind w:left="720"/>
    </w:pPr>
  </w:style>
  <w:style w:type="paragraph" w:styleId="afff8">
    <w:name w:val="Body Text First Indent"/>
    <w:basedOn w:val="af3"/>
    <w:link w:val="afff9"/>
    <w:rsid w:val="0047403A"/>
    <w:pPr>
      <w:spacing w:after="0"/>
      <w:ind w:firstLine="360"/>
    </w:pPr>
  </w:style>
  <w:style w:type="character" w:customStyle="1" w:styleId="afff9">
    <w:name w:val="כניסת שורה ראשונה בגוף טקסט תו"/>
    <w:link w:val="afff8"/>
    <w:rsid w:val="0047403A"/>
    <w:rPr>
      <w:rFonts w:cs="David"/>
      <w:noProof w:val="0"/>
      <w:sz w:val="24"/>
      <w:szCs w:val="24"/>
    </w:rPr>
  </w:style>
  <w:style w:type="paragraph" w:styleId="2d">
    <w:name w:val="Body Text First Indent 2"/>
    <w:basedOn w:val="afff5"/>
    <w:link w:val="2e"/>
    <w:rsid w:val="0047403A"/>
    <w:pPr>
      <w:spacing w:after="0"/>
      <w:ind w:left="360" w:firstLine="360"/>
    </w:pPr>
  </w:style>
  <w:style w:type="character" w:customStyle="1" w:styleId="2e">
    <w:name w:val="כניסת שורה ראשונה בגוף טקסט 2 תו"/>
    <w:link w:val="2d"/>
    <w:semiHidden/>
    <w:rsid w:val="0047403A"/>
    <w:rPr>
      <w:rFonts w:cs="David"/>
      <w:noProof w:val="0"/>
      <w:sz w:val="24"/>
      <w:szCs w:val="24"/>
    </w:rPr>
  </w:style>
  <w:style w:type="paragraph" w:styleId="HTML2">
    <w:name w:val="HTML Address"/>
    <w:basedOn w:val="a1"/>
    <w:link w:val="HTML3"/>
    <w:rsid w:val="0047403A"/>
    <w:rPr>
      <w:i/>
      <w:iCs/>
    </w:rPr>
  </w:style>
  <w:style w:type="character" w:customStyle="1" w:styleId="HTML3">
    <w:name w:val="כתובת HTML תו"/>
    <w:link w:val="HTML2"/>
    <w:semiHidden/>
    <w:rsid w:val="0047403A"/>
    <w:rPr>
      <w:rFonts w:cs="David"/>
      <w:i/>
      <w:iCs/>
      <w:noProof w:val="0"/>
      <w:sz w:val="24"/>
      <w:szCs w:val="24"/>
    </w:rPr>
  </w:style>
  <w:style w:type="paragraph" w:styleId="afffa">
    <w:name w:val="envelope address"/>
    <w:basedOn w:val="a1"/>
    <w:rsid w:val="0047403A"/>
    <w:pPr>
      <w:framePr w:w="7920" w:h="1980" w:hRule="exact" w:hSpace="180" w:wrap="auto" w:hAnchor="page" w:xAlign="center" w:yAlign="bottom"/>
      <w:ind w:left="2880"/>
    </w:pPr>
    <w:rPr>
      <w:rFonts w:ascii="Cambria" w:hAnsi="Cambria" w:cs="Times New Roman"/>
    </w:rPr>
  </w:style>
  <w:style w:type="paragraph" w:styleId="afffb">
    <w:name w:val="envelope return"/>
    <w:basedOn w:val="a1"/>
    <w:rsid w:val="0047403A"/>
    <w:rPr>
      <w:rFonts w:ascii="Cambria" w:hAnsi="Cambria" w:cs="Times New Roman"/>
      <w:sz w:val="20"/>
      <w:szCs w:val="20"/>
    </w:rPr>
  </w:style>
  <w:style w:type="paragraph" w:customStyle="1" w:styleId="1f1">
    <w:name w:val="ללא מרווח1"/>
    <w:uiPriority w:val="1"/>
    <w:qFormat/>
    <w:rsid w:val="0047403A"/>
    <w:pPr>
      <w:bidi/>
    </w:pPr>
    <w:rPr>
      <w:rFonts w:cs="David"/>
      <w:sz w:val="24"/>
      <w:szCs w:val="24"/>
      <w:lang w:bidi="he-IL"/>
    </w:rPr>
  </w:style>
  <w:style w:type="character" w:styleId="HTML4">
    <w:name w:val="HTML Typewriter"/>
    <w:rsid w:val="0047403A"/>
    <w:rPr>
      <w:rFonts w:ascii="Consolas" w:hAnsi="Consolas"/>
      <w:noProof w:val="0"/>
      <w:sz w:val="20"/>
      <w:szCs w:val="20"/>
    </w:rPr>
  </w:style>
  <w:style w:type="paragraph" w:styleId="afffc">
    <w:name w:val="Document Map"/>
    <w:basedOn w:val="a1"/>
    <w:link w:val="afffd"/>
    <w:rsid w:val="0047403A"/>
    <w:rPr>
      <w:rFonts w:ascii="Tahoma" w:hAnsi="Tahoma" w:cs="Tahoma"/>
      <w:sz w:val="16"/>
      <w:szCs w:val="16"/>
    </w:rPr>
  </w:style>
  <w:style w:type="character" w:customStyle="1" w:styleId="afffd">
    <w:name w:val="מפת מסמך תו"/>
    <w:link w:val="afffc"/>
    <w:semiHidden/>
    <w:rsid w:val="0047403A"/>
    <w:rPr>
      <w:rFonts w:ascii="Tahoma" w:hAnsi="Tahoma" w:cs="Tahoma"/>
      <w:noProof w:val="0"/>
      <w:sz w:val="16"/>
      <w:szCs w:val="16"/>
    </w:rPr>
  </w:style>
  <w:style w:type="character" w:styleId="HTML5">
    <w:name w:val="HTML Keyboard"/>
    <w:rsid w:val="0047403A"/>
    <w:rPr>
      <w:rFonts w:ascii="Consolas" w:hAnsi="Consolas"/>
      <w:noProof w:val="0"/>
      <w:sz w:val="20"/>
      <w:szCs w:val="20"/>
    </w:rPr>
  </w:style>
  <w:style w:type="paragraph" w:styleId="afffe">
    <w:name w:val="annotation subject"/>
    <w:basedOn w:val="aa"/>
    <w:next w:val="aa"/>
    <w:link w:val="affff"/>
    <w:rsid w:val="0047403A"/>
    <w:rPr>
      <w:rFonts w:cs="David"/>
      <w:b/>
      <w:bCs/>
      <w:sz w:val="20"/>
      <w:szCs w:val="20"/>
    </w:rPr>
  </w:style>
  <w:style w:type="character" w:customStyle="1" w:styleId="ab">
    <w:name w:val="טקסט הערה תו"/>
    <w:link w:val="aa"/>
    <w:semiHidden/>
    <w:rsid w:val="0047403A"/>
    <w:rPr>
      <w:noProof w:val="0"/>
      <w:sz w:val="24"/>
      <w:szCs w:val="24"/>
    </w:rPr>
  </w:style>
  <w:style w:type="character" w:customStyle="1" w:styleId="affff">
    <w:name w:val="נושא הערה תו"/>
    <w:link w:val="afffe"/>
    <w:semiHidden/>
    <w:rsid w:val="0047403A"/>
    <w:rPr>
      <w:rFonts w:cs="David"/>
      <w:b/>
      <w:bCs/>
      <w:noProof w:val="0"/>
      <w:sz w:val="24"/>
      <w:szCs w:val="24"/>
    </w:rPr>
  </w:style>
  <w:style w:type="table" w:styleId="affff0">
    <w:name w:val="Table Theme"/>
    <w:basedOn w:val="a3"/>
    <w:rsid w:val="0047403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Closing"/>
    <w:basedOn w:val="a1"/>
    <w:link w:val="affff2"/>
    <w:rsid w:val="0047403A"/>
    <w:pPr>
      <w:ind w:left="4252"/>
    </w:pPr>
  </w:style>
  <w:style w:type="character" w:customStyle="1" w:styleId="affff2">
    <w:name w:val="סיום תו"/>
    <w:link w:val="affff1"/>
    <w:semiHidden/>
    <w:rsid w:val="0047403A"/>
    <w:rPr>
      <w:rFonts w:cs="David"/>
      <w:noProof w:val="0"/>
      <w:sz w:val="24"/>
      <w:szCs w:val="24"/>
    </w:rPr>
  </w:style>
  <w:style w:type="table" w:styleId="1f2">
    <w:name w:val="Table Columns 1"/>
    <w:basedOn w:val="a3"/>
    <w:rsid w:val="0047403A"/>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3"/>
    <w:rsid w:val="0047403A"/>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rsid w:val="0047403A"/>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47403A"/>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47403A"/>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f3">
    <w:name w:val="פיסקת רשימה1"/>
    <w:basedOn w:val="a1"/>
    <w:uiPriority w:val="34"/>
    <w:qFormat/>
    <w:rsid w:val="0047403A"/>
    <w:pPr>
      <w:ind w:left="720"/>
      <w:contextualSpacing/>
    </w:pPr>
  </w:style>
  <w:style w:type="paragraph" w:customStyle="1" w:styleId="1f4">
    <w:name w:val="ציטוט1"/>
    <w:basedOn w:val="a1"/>
    <w:next w:val="a1"/>
    <w:link w:val="QuoteChar"/>
    <w:uiPriority w:val="29"/>
    <w:qFormat/>
    <w:rsid w:val="0047403A"/>
    <w:pPr>
      <w:spacing w:before="200" w:after="160"/>
      <w:ind w:left="864" w:right="864"/>
      <w:jc w:val="center"/>
    </w:pPr>
    <w:rPr>
      <w:i/>
      <w:iCs/>
      <w:color w:val="404040"/>
    </w:rPr>
  </w:style>
  <w:style w:type="character" w:customStyle="1" w:styleId="QuoteChar">
    <w:name w:val="Quote Char"/>
    <w:link w:val="1f4"/>
    <w:uiPriority w:val="29"/>
    <w:rsid w:val="0047403A"/>
    <w:rPr>
      <w:rFonts w:cs="David"/>
      <w:i/>
      <w:iCs/>
      <w:noProof w:val="0"/>
      <w:color w:val="404040"/>
      <w:sz w:val="24"/>
      <w:szCs w:val="24"/>
    </w:rPr>
  </w:style>
  <w:style w:type="paragraph" w:customStyle="1" w:styleId="1f5">
    <w:name w:val="ציטוט חזק1"/>
    <w:basedOn w:val="a1"/>
    <w:next w:val="a1"/>
    <w:link w:val="IntenseQuoteChar"/>
    <w:uiPriority w:val="30"/>
    <w:qFormat/>
    <w:rsid w:val="0047403A"/>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f5"/>
    <w:uiPriority w:val="30"/>
    <w:rsid w:val="0047403A"/>
    <w:rPr>
      <w:rFonts w:cs="David"/>
      <w:i/>
      <w:iCs/>
      <w:noProof w:val="0"/>
      <w:color w:val="4F81BD"/>
      <w:sz w:val="24"/>
      <w:szCs w:val="24"/>
    </w:rPr>
  </w:style>
  <w:style w:type="character" w:styleId="HTML6">
    <w:name w:val="HTML Acronym"/>
    <w:rsid w:val="0047403A"/>
    <w:rPr>
      <w:noProof w:val="0"/>
    </w:rPr>
  </w:style>
  <w:style w:type="paragraph" w:styleId="affff3">
    <w:name w:val="List"/>
    <w:basedOn w:val="a1"/>
    <w:rsid w:val="0047403A"/>
    <w:pPr>
      <w:ind w:left="283" w:hanging="283"/>
      <w:contextualSpacing/>
    </w:pPr>
  </w:style>
  <w:style w:type="paragraph" w:styleId="2f0">
    <w:name w:val="List 2"/>
    <w:basedOn w:val="a1"/>
    <w:rsid w:val="0047403A"/>
    <w:pPr>
      <w:ind w:left="566" w:hanging="283"/>
      <w:contextualSpacing/>
    </w:pPr>
  </w:style>
  <w:style w:type="paragraph" w:styleId="3d">
    <w:name w:val="List 3"/>
    <w:basedOn w:val="a1"/>
    <w:rsid w:val="0047403A"/>
    <w:pPr>
      <w:ind w:left="849" w:hanging="283"/>
      <w:contextualSpacing/>
    </w:pPr>
  </w:style>
  <w:style w:type="paragraph" w:styleId="45">
    <w:name w:val="List 4"/>
    <w:basedOn w:val="a1"/>
    <w:rsid w:val="0047403A"/>
    <w:pPr>
      <w:ind w:left="1132" w:hanging="283"/>
      <w:contextualSpacing/>
    </w:pPr>
  </w:style>
  <w:style w:type="paragraph" w:styleId="55">
    <w:name w:val="List 5"/>
    <w:basedOn w:val="a1"/>
    <w:rsid w:val="0047403A"/>
    <w:pPr>
      <w:ind w:left="1415" w:hanging="283"/>
      <w:contextualSpacing/>
    </w:pPr>
  </w:style>
  <w:style w:type="table" w:customStyle="1" w:styleId="1f6">
    <w:name w:val="רשימה בהירה1"/>
    <w:basedOn w:val="a3"/>
    <w:uiPriority w:val="61"/>
    <w:semiHidden/>
    <w:unhideWhenUsed/>
    <w:rsid w:val="0047403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a3"/>
    <w:uiPriority w:val="61"/>
    <w:semiHidden/>
    <w:unhideWhenUsed/>
    <w:rsid w:val="0047403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3"/>
    <w:uiPriority w:val="61"/>
    <w:semiHidden/>
    <w:unhideWhenUsed/>
    <w:rsid w:val="0047403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3"/>
    <w:uiPriority w:val="61"/>
    <w:semiHidden/>
    <w:unhideWhenUsed/>
    <w:rsid w:val="0047403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a3"/>
    <w:uiPriority w:val="61"/>
    <w:semiHidden/>
    <w:unhideWhenUsed/>
    <w:rsid w:val="0047403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a3"/>
    <w:uiPriority w:val="61"/>
    <w:semiHidden/>
    <w:unhideWhenUsed/>
    <w:rsid w:val="0047403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a3"/>
    <w:uiPriority w:val="61"/>
    <w:semiHidden/>
    <w:unhideWhenUsed/>
    <w:rsid w:val="0047403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7">
    <w:name w:val="Table List 1"/>
    <w:basedOn w:val="a3"/>
    <w:rsid w:val="0047403A"/>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rsid w:val="0047403A"/>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rsid w:val="0047403A"/>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rsid w:val="0047403A"/>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rsid w:val="0047403A"/>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rsid w:val="0047403A"/>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rsid w:val="0047403A"/>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rsid w:val="0047403A"/>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רשימה בינונית 11"/>
    <w:basedOn w:val="a3"/>
    <w:uiPriority w:val="65"/>
    <w:semiHidden/>
    <w:unhideWhenUsed/>
    <w:rsid w:val="0047403A"/>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a3"/>
    <w:uiPriority w:val="65"/>
    <w:semiHidden/>
    <w:unhideWhenUsed/>
    <w:rsid w:val="0047403A"/>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a3"/>
    <w:uiPriority w:val="65"/>
    <w:semiHidden/>
    <w:unhideWhenUsed/>
    <w:rsid w:val="0047403A"/>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a3"/>
    <w:uiPriority w:val="65"/>
    <w:semiHidden/>
    <w:unhideWhenUsed/>
    <w:rsid w:val="0047403A"/>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a3"/>
    <w:uiPriority w:val="65"/>
    <w:semiHidden/>
    <w:unhideWhenUsed/>
    <w:rsid w:val="0047403A"/>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a3"/>
    <w:uiPriority w:val="65"/>
    <w:semiHidden/>
    <w:unhideWhenUsed/>
    <w:rsid w:val="0047403A"/>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a3"/>
    <w:uiPriority w:val="65"/>
    <w:semiHidden/>
    <w:unhideWhenUsed/>
    <w:rsid w:val="0047403A"/>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רשימה בינונית 21"/>
    <w:basedOn w:val="a3"/>
    <w:uiPriority w:val="66"/>
    <w:semiHidden/>
    <w:unhideWhenUsed/>
    <w:rsid w:val="0047403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a3"/>
    <w:uiPriority w:val="66"/>
    <w:semiHidden/>
    <w:unhideWhenUsed/>
    <w:rsid w:val="0047403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a3"/>
    <w:uiPriority w:val="66"/>
    <w:semiHidden/>
    <w:unhideWhenUsed/>
    <w:rsid w:val="0047403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a3"/>
    <w:uiPriority w:val="66"/>
    <w:semiHidden/>
    <w:unhideWhenUsed/>
    <w:rsid w:val="0047403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a3"/>
    <w:uiPriority w:val="66"/>
    <w:semiHidden/>
    <w:unhideWhenUsed/>
    <w:rsid w:val="0047403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a3"/>
    <w:uiPriority w:val="66"/>
    <w:semiHidden/>
    <w:unhideWhenUsed/>
    <w:rsid w:val="0047403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a3"/>
    <w:uiPriority w:val="66"/>
    <w:semiHidden/>
    <w:unhideWhenUsed/>
    <w:rsid w:val="0047403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f8">
    <w:name w:val="רשימה כהה1"/>
    <w:basedOn w:val="a3"/>
    <w:uiPriority w:val="70"/>
    <w:semiHidden/>
    <w:unhideWhenUsed/>
    <w:rsid w:val="0047403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a3"/>
    <w:uiPriority w:val="70"/>
    <w:semiHidden/>
    <w:unhideWhenUsed/>
    <w:rsid w:val="0047403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a3"/>
    <w:uiPriority w:val="70"/>
    <w:semiHidden/>
    <w:unhideWhenUsed/>
    <w:rsid w:val="0047403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a3"/>
    <w:uiPriority w:val="70"/>
    <w:semiHidden/>
    <w:unhideWhenUsed/>
    <w:rsid w:val="0047403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a3"/>
    <w:uiPriority w:val="70"/>
    <w:semiHidden/>
    <w:unhideWhenUsed/>
    <w:rsid w:val="0047403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a3"/>
    <w:uiPriority w:val="70"/>
    <w:semiHidden/>
    <w:unhideWhenUsed/>
    <w:rsid w:val="0047403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a3"/>
    <w:uiPriority w:val="70"/>
    <w:semiHidden/>
    <w:unhideWhenUsed/>
    <w:rsid w:val="0047403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
    <w:name w:val="List Number"/>
    <w:basedOn w:val="a1"/>
    <w:rsid w:val="0047403A"/>
    <w:pPr>
      <w:numPr>
        <w:numId w:val="1"/>
      </w:numPr>
      <w:contextualSpacing/>
    </w:pPr>
  </w:style>
  <w:style w:type="paragraph" w:styleId="2">
    <w:name w:val="List Number 2"/>
    <w:basedOn w:val="a1"/>
    <w:rsid w:val="0047403A"/>
    <w:pPr>
      <w:numPr>
        <w:numId w:val="2"/>
      </w:numPr>
      <w:contextualSpacing/>
    </w:pPr>
  </w:style>
  <w:style w:type="paragraph" w:styleId="3">
    <w:name w:val="List Number 3"/>
    <w:basedOn w:val="a1"/>
    <w:rsid w:val="0047403A"/>
    <w:pPr>
      <w:numPr>
        <w:numId w:val="3"/>
      </w:numPr>
      <w:contextualSpacing/>
    </w:pPr>
  </w:style>
  <w:style w:type="paragraph" w:styleId="4">
    <w:name w:val="List Number 4"/>
    <w:basedOn w:val="a1"/>
    <w:rsid w:val="0047403A"/>
    <w:pPr>
      <w:numPr>
        <w:numId w:val="4"/>
      </w:numPr>
      <w:contextualSpacing/>
    </w:pPr>
  </w:style>
  <w:style w:type="paragraph" w:styleId="5">
    <w:name w:val="List Number 5"/>
    <w:basedOn w:val="a1"/>
    <w:rsid w:val="0047403A"/>
    <w:pPr>
      <w:numPr>
        <w:numId w:val="5"/>
      </w:numPr>
      <w:contextualSpacing/>
    </w:pPr>
  </w:style>
  <w:style w:type="paragraph" w:styleId="a0">
    <w:name w:val="List Bullet"/>
    <w:basedOn w:val="a1"/>
    <w:rsid w:val="0047403A"/>
    <w:pPr>
      <w:numPr>
        <w:numId w:val="6"/>
      </w:numPr>
      <w:contextualSpacing/>
    </w:pPr>
  </w:style>
  <w:style w:type="paragraph" w:styleId="20">
    <w:name w:val="List Bullet 2"/>
    <w:basedOn w:val="a1"/>
    <w:rsid w:val="0047403A"/>
    <w:pPr>
      <w:numPr>
        <w:numId w:val="7"/>
      </w:numPr>
      <w:contextualSpacing/>
    </w:pPr>
  </w:style>
  <w:style w:type="paragraph" w:styleId="30">
    <w:name w:val="List Bullet 3"/>
    <w:basedOn w:val="a1"/>
    <w:rsid w:val="0047403A"/>
    <w:pPr>
      <w:numPr>
        <w:numId w:val="8"/>
      </w:numPr>
      <w:contextualSpacing/>
    </w:pPr>
  </w:style>
  <w:style w:type="paragraph" w:styleId="40">
    <w:name w:val="List Bullet 4"/>
    <w:basedOn w:val="a1"/>
    <w:rsid w:val="0047403A"/>
    <w:pPr>
      <w:numPr>
        <w:numId w:val="9"/>
      </w:numPr>
      <w:contextualSpacing/>
    </w:pPr>
  </w:style>
  <w:style w:type="paragraph" w:styleId="50">
    <w:name w:val="List Bullet 5"/>
    <w:basedOn w:val="a1"/>
    <w:rsid w:val="0047403A"/>
    <w:pPr>
      <w:numPr>
        <w:numId w:val="10"/>
      </w:numPr>
      <w:contextualSpacing/>
    </w:pPr>
  </w:style>
  <w:style w:type="table" w:customStyle="1" w:styleId="1f9">
    <w:name w:val="רשימה צבעונית1"/>
    <w:basedOn w:val="a3"/>
    <w:uiPriority w:val="72"/>
    <w:semiHidden/>
    <w:unhideWhenUsed/>
    <w:rsid w:val="0047403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a3"/>
    <w:uiPriority w:val="72"/>
    <w:semiHidden/>
    <w:unhideWhenUsed/>
    <w:rsid w:val="0047403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a3"/>
    <w:uiPriority w:val="72"/>
    <w:semiHidden/>
    <w:unhideWhenUsed/>
    <w:rsid w:val="0047403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a3"/>
    <w:uiPriority w:val="72"/>
    <w:semiHidden/>
    <w:unhideWhenUsed/>
    <w:rsid w:val="0047403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a3"/>
    <w:uiPriority w:val="72"/>
    <w:semiHidden/>
    <w:unhideWhenUsed/>
    <w:rsid w:val="0047403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a3"/>
    <w:uiPriority w:val="72"/>
    <w:semiHidden/>
    <w:unhideWhenUsed/>
    <w:rsid w:val="0047403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3"/>
    <w:uiPriority w:val="72"/>
    <w:semiHidden/>
    <w:unhideWhenUsed/>
    <w:rsid w:val="0047403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4">
    <w:name w:val="table of figures"/>
    <w:basedOn w:val="a1"/>
    <w:next w:val="a1"/>
    <w:rsid w:val="0047403A"/>
  </w:style>
  <w:style w:type="paragraph" w:styleId="affff5">
    <w:name w:val="table of authorities"/>
    <w:basedOn w:val="a1"/>
    <w:next w:val="a1"/>
    <w:rsid w:val="0047403A"/>
    <w:pPr>
      <w:ind w:left="240" w:hanging="240"/>
    </w:pPr>
  </w:style>
  <w:style w:type="table" w:customStyle="1" w:styleId="1fa">
    <w:name w:val="רשת בהירה1"/>
    <w:basedOn w:val="a3"/>
    <w:uiPriority w:val="62"/>
    <w:semiHidden/>
    <w:unhideWhenUsed/>
    <w:rsid w:val="0047403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a3"/>
    <w:uiPriority w:val="62"/>
    <w:semiHidden/>
    <w:unhideWhenUsed/>
    <w:rsid w:val="0047403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a3"/>
    <w:uiPriority w:val="62"/>
    <w:semiHidden/>
    <w:unhideWhenUsed/>
    <w:rsid w:val="0047403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3"/>
    <w:uiPriority w:val="62"/>
    <w:semiHidden/>
    <w:unhideWhenUsed/>
    <w:rsid w:val="0047403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3"/>
    <w:uiPriority w:val="62"/>
    <w:semiHidden/>
    <w:unhideWhenUsed/>
    <w:rsid w:val="0047403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3"/>
    <w:uiPriority w:val="62"/>
    <w:semiHidden/>
    <w:unhideWhenUsed/>
    <w:rsid w:val="0047403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a3"/>
    <w:uiPriority w:val="62"/>
    <w:semiHidden/>
    <w:unhideWhenUsed/>
    <w:rsid w:val="0047403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a3"/>
    <w:uiPriority w:val="67"/>
    <w:semiHidden/>
    <w:unhideWhenUsed/>
    <w:rsid w:val="0047403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רשת בינונית 11"/>
    <w:basedOn w:val="a3"/>
    <w:uiPriority w:val="67"/>
    <w:semiHidden/>
    <w:unhideWhenUsed/>
    <w:rsid w:val="0047403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a3"/>
    <w:uiPriority w:val="67"/>
    <w:semiHidden/>
    <w:unhideWhenUsed/>
    <w:rsid w:val="0047403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a3"/>
    <w:uiPriority w:val="67"/>
    <w:semiHidden/>
    <w:unhideWhenUsed/>
    <w:rsid w:val="0047403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a3"/>
    <w:uiPriority w:val="67"/>
    <w:semiHidden/>
    <w:unhideWhenUsed/>
    <w:rsid w:val="0047403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a3"/>
    <w:uiPriority w:val="67"/>
    <w:semiHidden/>
    <w:unhideWhenUsed/>
    <w:rsid w:val="0047403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a3"/>
    <w:uiPriority w:val="67"/>
    <w:semiHidden/>
    <w:unhideWhenUsed/>
    <w:rsid w:val="0047403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רשת בינונית 21"/>
    <w:basedOn w:val="a3"/>
    <w:uiPriority w:val="68"/>
    <w:semiHidden/>
    <w:unhideWhenUsed/>
    <w:rsid w:val="0047403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a3"/>
    <w:uiPriority w:val="68"/>
    <w:semiHidden/>
    <w:unhideWhenUsed/>
    <w:rsid w:val="0047403A"/>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a3"/>
    <w:uiPriority w:val="68"/>
    <w:semiHidden/>
    <w:unhideWhenUsed/>
    <w:rsid w:val="0047403A"/>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a3"/>
    <w:uiPriority w:val="68"/>
    <w:semiHidden/>
    <w:unhideWhenUsed/>
    <w:rsid w:val="0047403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a3"/>
    <w:uiPriority w:val="68"/>
    <w:semiHidden/>
    <w:unhideWhenUsed/>
    <w:rsid w:val="0047403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a3"/>
    <w:uiPriority w:val="68"/>
    <w:semiHidden/>
    <w:unhideWhenUsed/>
    <w:rsid w:val="0047403A"/>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a3"/>
    <w:uiPriority w:val="68"/>
    <w:semiHidden/>
    <w:unhideWhenUsed/>
    <w:rsid w:val="0047403A"/>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3">
    <w:name w:val="רשת בינונית 31"/>
    <w:basedOn w:val="a3"/>
    <w:uiPriority w:val="69"/>
    <w:semiHidden/>
    <w:unhideWhenUsed/>
    <w:rsid w:val="0047403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a3"/>
    <w:uiPriority w:val="69"/>
    <w:semiHidden/>
    <w:unhideWhenUsed/>
    <w:rsid w:val="0047403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a3"/>
    <w:uiPriority w:val="69"/>
    <w:semiHidden/>
    <w:unhideWhenUsed/>
    <w:rsid w:val="0047403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a3"/>
    <w:uiPriority w:val="69"/>
    <w:semiHidden/>
    <w:unhideWhenUsed/>
    <w:rsid w:val="0047403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a3"/>
    <w:uiPriority w:val="69"/>
    <w:semiHidden/>
    <w:unhideWhenUsed/>
    <w:rsid w:val="0047403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a3"/>
    <w:uiPriority w:val="69"/>
    <w:semiHidden/>
    <w:unhideWhenUsed/>
    <w:rsid w:val="0047403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a3"/>
    <w:uiPriority w:val="69"/>
    <w:semiHidden/>
    <w:unhideWhenUsed/>
    <w:rsid w:val="0047403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fb">
    <w:name w:val="Table Grid 1"/>
    <w:basedOn w:val="a3"/>
    <w:rsid w:val="0047403A"/>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3"/>
    <w:rsid w:val="0047403A"/>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rsid w:val="0047403A"/>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rsid w:val="0047403A"/>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47403A"/>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47403A"/>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47403A"/>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47403A"/>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a3"/>
    <w:uiPriority w:val="40"/>
    <w:rsid w:val="0047403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c">
    <w:name w:val="רשת צבעונית1"/>
    <w:basedOn w:val="a3"/>
    <w:uiPriority w:val="73"/>
    <w:semiHidden/>
    <w:unhideWhenUsed/>
    <w:rsid w:val="0047403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a3"/>
    <w:uiPriority w:val="73"/>
    <w:semiHidden/>
    <w:unhideWhenUsed/>
    <w:rsid w:val="0047403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a3"/>
    <w:uiPriority w:val="73"/>
    <w:semiHidden/>
    <w:unhideWhenUsed/>
    <w:rsid w:val="0047403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a3"/>
    <w:uiPriority w:val="73"/>
    <w:semiHidden/>
    <w:unhideWhenUsed/>
    <w:rsid w:val="0047403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a3"/>
    <w:uiPriority w:val="73"/>
    <w:semiHidden/>
    <w:unhideWhenUsed/>
    <w:rsid w:val="0047403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a3"/>
    <w:uiPriority w:val="73"/>
    <w:semiHidden/>
    <w:unhideWhenUsed/>
    <w:rsid w:val="0047403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3"/>
    <w:uiPriority w:val="73"/>
    <w:semiHidden/>
    <w:unhideWhenUsed/>
    <w:rsid w:val="0047403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f6">
    <w:name w:val="Date"/>
    <w:basedOn w:val="a1"/>
    <w:next w:val="a1"/>
    <w:link w:val="affff7"/>
    <w:rsid w:val="0047403A"/>
  </w:style>
  <w:style w:type="character" w:customStyle="1" w:styleId="affff7">
    <w:name w:val="תאריך תו"/>
    <w:link w:val="affff6"/>
    <w:rsid w:val="0047403A"/>
    <w:rPr>
      <w:rFonts w:cs="David"/>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evo.co.il/case/24143245" TargetMode="External"/><Relationship Id="rId13" Type="http://schemas.openxmlformats.org/officeDocument/2006/relationships/hyperlink" Target="http://www.nevo.co.il/law/74255" TargetMode="External"/><Relationship Id="rId18" Type="http://schemas.openxmlformats.org/officeDocument/2006/relationships/hyperlink" Target="http://www.nevo.co.il/law/4496"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nevo.co.il/case/6050320" TargetMode="External"/><Relationship Id="rId7" Type="http://schemas.openxmlformats.org/officeDocument/2006/relationships/hyperlink" Target="http://www.nevo.co.il/case/24143245" TargetMode="External"/><Relationship Id="rId12" Type="http://schemas.openxmlformats.org/officeDocument/2006/relationships/hyperlink" Target="http://www.nevo.co.il/case/5756128" TargetMode="External"/><Relationship Id="rId17" Type="http://schemas.openxmlformats.org/officeDocument/2006/relationships/hyperlink" Target="http://www.nevo.co.il/law/451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evo.co.il/law/74255/197" TargetMode="External"/><Relationship Id="rId20" Type="http://schemas.openxmlformats.org/officeDocument/2006/relationships/hyperlink" Target="http://www.nevo.co.il/case/179252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5743914"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nevo.co.il/law/74255"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nevo.co.il/law/74255" TargetMode="External"/><Relationship Id="rId19" Type="http://schemas.openxmlformats.org/officeDocument/2006/relationships/hyperlink" Target="http://www.nevo.co.il/case/6128947" TargetMode="External"/><Relationship Id="rId4" Type="http://schemas.openxmlformats.org/officeDocument/2006/relationships/webSettings" Target="webSettings.xml"/><Relationship Id="rId9" Type="http://schemas.openxmlformats.org/officeDocument/2006/relationships/hyperlink" Target="http://www.nevo.co.il/law/131090/65.2" TargetMode="External"/><Relationship Id="rId14" Type="http://schemas.openxmlformats.org/officeDocument/2006/relationships/hyperlink" Target="http://www.nevo.co.il/law/131090/94.1" TargetMode="External"/><Relationship Id="rId22" Type="http://schemas.openxmlformats.org/officeDocument/2006/relationships/hyperlink" Target="http://www.nevo.co.il/case/27612099"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3510</Words>
  <Characters>17552</Characters>
  <Application>Microsoft Office Word</Application>
  <DocSecurity>0</DocSecurity>
  <Lines>146</Lines>
  <Paragraphs>42</Paragraphs>
  <ScaleCrop>false</ScaleCrop>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2025-05-08T02:29:00Z</dcterms:created>
  <dcterms:modified xsi:type="dcterms:W3CDTF">2025-05-08T02:29:00Z</dcterms:modified>
</cp:coreProperties>
</file>