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bidiVisual/>
        <w:tblW w:w="8363" w:type="dxa"/>
        <w:tblInd w:w="9" w:type="dxa"/>
        <w:tblLook w:val="0000" w:firstRow="0" w:lastRow="0" w:firstColumn="0" w:lastColumn="0" w:noHBand="0" w:noVBand="0"/>
      </w:tblPr>
      <w:tblGrid>
        <w:gridCol w:w="8363"/>
      </w:tblGrid>
      <w:tr w:rsidR="00396C28" w14:paraId="0919218A" w14:textId="77777777" w:rsidTr="00EC2771">
        <w:tc>
          <w:tcPr>
            <w:tcW w:w="8363" w:type="dxa"/>
          </w:tcPr>
          <w:p w14:paraId="4DAD36B8" w14:textId="77777777" w:rsidR="00916FF8" w:rsidRPr="006531B9" w:rsidRDefault="007B472F" w:rsidP="00EC2771">
            <w:pPr>
              <w:pStyle w:val="FileNumber0"/>
              <w:jc w:val="center"/>
              <w:rPr>
                <w:sz w:val="28"/>
                <w:rtl/>
              </w:rPr>
            </w:pPr>
            <w:r w:rsidRPr="006531B9">
              <w:rPr>
                <w:rtl/>
              </w:rPr>
              <w:t>בבית המשפט העליון בשבתו כבית משפט גבוה לצדק</w:t>
            </w:r>
          </w:p>
        </w:tc>
      </w:tr>
    </w:tbl>
    <w:p w14:paraId="242865CE" w14:textId="77777777" w:rsidR="00916FF8" w:rsidRPr="006531B9" w:rsidRDefault="00916FF8">
      <w:pPr>
        <w:jc w:val="right"/>
        <w:rPr>
          <w:rFonts w:cs="Miriam"/>
          <w:b/>
          <w:bCs/>
        </w:rPr>
      </w:pPr>
    </w:p>
    <w:tbl>
      <w:tblPr>
        <w:bidiVisual/>
        <w:tblW w:w="8363" w:type="dxa"/>
        <w:tblLook w:val="0000" w:firstRow="0" w:lastRow="0" w:firstColumn="0" w:lastColumn="0" w:noHBand="0" w:noVBand="0"/>
      </w:tblPr>
      <w:tblGrid>
        <w:gridCol w:w="8363"/>
      </w:tblGrid>
      <w:tr w:rsidR="00396C28" w14:paraId="042BB6DE" w14:textId="77777777" w:rsidTr="0039709B">
        <w:trPr>
          <w:trHeight w:val="342"/>
        </w:trPr>
        <w:tc>
          <w:tcPr>
            <w:tcW w:w="9828" w:type="dxa"/>
          </w:tcPr>
          <w:p w14:paraId="3CD64BEE" w14:textId="77777777" w:rsidR="00916FF8" w:rsidRPr="006531B9" w:rsidRDefault="007B472F">
            <w:pPr>
              <w:pStyle w:val="FileNumber"/>
              <w:rPr>
                <w:sz w:val="28"/>
                <w:szCs w:val="28"/>
              </w:rPr>
            </w:pPr>
            <w:bookmarkStart w:id="0" w:name="casename_body"/>
            <w:r w:rsidRPr="006531B9">
              <w:rPr>
                <w:sz w:val="28"/>
                <w:szCs w:val="28"/>
                <w:rtl/>
              </w:rPr>
              <w:t>בג"ץ  8487/23</w:t>
            </w:r>
          </w:p>
        </w:tc>
      </w:tr>
      <w:bookmarkEnd w:id="0"/>
    </w:tbl>
    <w:p w14:paraId="1C13081D" w14:textId="77777777" w:rsidR="00916FF8" w:rsidRPr="006531B9" w:rsidRDefault="00916FF8">
      <w:pPr>
        <w:jc w:val="right"/>
        <w:rPr>
          <w:rFonts w:cs="Miriam"/>
          <w:b/>
          <w:bCs/>
        </w:rPr>
      </w:pPr>
    </w:p>
    <w:tbl>
      <w:tblPr>
        <w:bidiVisual/>
        <w:tblW w:w="8364" w:type="dxa"/>
        <w:tblLayout w:type="fixed"/>
        <w:tblLook w:val="0000" w:firstRow="0" w:lastRow="0" w:firstColumn="0" w:lastColumn="0" w:noHBand="0" w:noVBand="0"/>
      </w:tblPr>
      <w:tblGrid>
        <w:gridCol w:w="3210"/>
        <w:gridCol w:w="5154"/>
      </w:tblGrid>
      <w:tr w:rsidR="00396C28" w14:paraId="1F77144F" w14:textId="77777777" w:rsidTr="00EC23AC">
        <w:trPr>
          <w:trHeight w:val="287"/>
        </w:trPr>
        <w:tc>
          <w:tcPr>
            <w:tcW w:w="3261" w:type="dxa"/>
          </w:tcPr>
          <w:p w14:paraId="212B137C" w14:textId="77777777" w:rsidR="00036227" w:rsidRPr="006531B9" w:rsidRDefault="00CB7600">
            <w:pPr>
              <w:pStyle w:val="BodyRuller"/>
              <w:rPr>
                <w:rFonts w:cs="Miriam"/>
                <w:b/>
                <w:bCs/>
              </w:rPr>
            </w:pPr>
            <w:r w:rsidRPr="006531B9">
              <w:rPr>
                <w:rFonts w:hint="cs"/>
                <w:rtl/>
              </w:rPr>
              <w:t>ל</w:t>
            </w:r>
            <w:r w:rsidR="00000000" w:rsidRPr="006531B9">
              <w:rPr>
                <w:rtl/>
              </w:rPr>
              <w:t>פני:</w:t>
            </w:r>
            <w:r w:rsidR="00000000" w:rsidRPr="006531B9">
              <w:rPr>
                <w:rtl/>
              </w:rPr>
              <w:tab/>
            </w:r>
          </w:p>
        </w:tc>
        <w:tc>
          <w:tcPr>
            <w:tcW w:w="5239" w:type="dxa"/>
          </w:tcPr>
          <w:p w14:paraId="0C973273" w14:textId="77777777" w:rsidR="00036227" w:rsidRPr="006531B9" w:rsidRDefault="007B472F">
            <w:pPr>
              <w:pStyle w:val="BodyRuller"/>
            </w:pPr>
            <w:r w:rsidRPr="006531B9">
              <w:rPr>
                <w:rtl/>
              </w:rPr>
              <w:t xml:space="preserve">כבוד השופט </w:t>
            </w:r>
            <w:bookmarkStart w:id="1" w:name="_Hlk163706803"/>
            <w:r w:rsidRPr="006531B9">
              <w:rPr>
                <w:rtl/>
              </w:rPr>
              <w:t>ד' מינץ</w:t>
            </w:r>
            <w:bookmarkEnd w:id="1"/>
          </w:p>
        </w:tc>
      </w:tr>
      <w:tr w:rsidR="00396C28" w14:paraId="0221D47E" w14:textId="77777777" w:rsidTr="00EC23AC">
        <w:trPr>
          <w:trHeight w:val="287"/>
        </w:trPr>
        <w:tc>
          <w:tcPr>
            <w:tcW w:w="3261" w:type="dxa"/>
          </w:tcPr>
          <w:p w14:paraId="3652ECD2" w14:textId="77777777" w:rsidR="007B472F" w:rsidRPr="006531B9" w:rsidRDefault="007B472F">
            <w:pPr>
              <w:pStyle w:val="BodyRuller"/>
              <w:rPr>
                <w:rtl/>
              </w:rPr>
            </w:pPr>
          </w:p>
        </w:tc>
        <w:tc>
          <w:tcPr>
            <w:tcW w:w="5239" w:type="dxa"/>
          </w:tcPr>
          <w:p w14:paraId="26541121" w14:textId="77777777" w:rsidR="007B472F" w:rsidRPr="006531B9" w:rsidRDefault="00000000">
            <w:pPr>
              <w:pStyle w:val="BodyRuller"/>
              <w:rPr>
                <w:rtl/>
              </w:rPr>
            </w:pPr>
            <w:r w:rsidRPr="006531B9">
              <w:rPr>
                <w:rtl/>
              </w:rPr>
              <w:t>כבוד השופטת ג' כנפי-שטייניץ</w:t>
            </w:r>
          </w:p>
        </w:tc>
      </w:tr>
      <w:tr w:rsidR="00396C28" w14:paraId="3264DC67" w14:textId="77777777" w:rsidTr="00EC23AC">
        <w:trPr>
          <w:trHeight w:val="287"/>
        </w:trPr>
        <w:tc>
          <w:tcPr>
            <w:tcW w:w="3261" w:type="dxa"/>
          </w:tcPr>
          <w:p w14:paraId="66E18D69" w14:textId="77777777" w:rsidR="007B472F" w:rsidRPr="006531B9" w:rsidRDefault="007B472F">
            <w:pPr>
              <w:pStyle w:val="BodyRuller"/>
              <w:rPr>
                <w:rtl/>
              </w:rPr>
            </w:pPr>
            <w:bookmarkStart w:id="2" w:name="LastJudge"/>
            <w:bookmarkEnd w:id="2"/>
          </w:p>
        </w:tc>
        <w:tc>
          <w:tcPr>
            <w:tcW w:w="5239" w:type="dxa"/>
          </w:tcPr>
          <w:p w14:paraId="75FAD25B" w14:textId="77777777" w:rsidR="007B472F" w:rsidRPr="006531B9" w:rsidRDefault="00000000">
            <w:pPr>
              <w:pStyle w:val="BodyRuller"/>
              <w:rPr>
                <w:rtl/>
              </w:rPr>
            </w:pPr>
            <w:r w:rsidRPr="006531B9">
              <w:rPr>
                <w:rtl/>
              </w:rPr>
              <w:t>כבוד השופט ח' כבוב</w:t>
            </w:r>
          </w:p>
        </w:tc>
      </w:tr>
    </w:tbl>
    <w:p w14:paraId="62683242" w14:textId="77777777" w:rsidR="00916FF8" w:rsidRPr="006531B9" w:rsidRDefault="00916FF8">
      <w:pPr>
        <w:pStyle w:val="Ruller3"/>
        <w:rPr>
          <w:rFonts w:cs="Miriam"/>
          <w:b/>
          <w:bCs/>
          <w:rtl/>
        </w:rPr>
      </w:pPr>
    </w:p>
    <w:tbl>
      <w:tblPr>
        <w:bidiVisual/>
        <w:tblW w:w="8364" w:type="dxa"/>
        <w:tblLayout w:type="fixed"/>
        <w:tblLook w:val="0000" w:firstRow="0" w:lastRow="0" w:firstColumn="0" w:lastColumn="0" w:noHBand="0" w:noVBand="0"/>
      </w:tblPr>
      <w:tblGrid>
        <w:gridCol w:w="3210"/>
        <w:gridCol w:w="5154"/>
      </w:tblGrid>
      <w:tr w:rsidR="00396C28" w14:paraId="254B4DC8" w14:textId="77777777" w:rsidTr="00D36236">
        <w:trPr>
          <w:trHeight w:val="287"/>
        </w:trPr>
        <w:tc>
          <w:tcPr>
            <w:tcW w:w="3261" w:type="dxa"/>
          </w:tcPr>
          <w:p w14:paraId="525CFBD2" w14:textId="77777777" w:rsidR="00D00CB7" w:rsidRPr="006531B9" w:rsidRDefault="007B472F" w:rsidP="00D36236">
            <w:pPr>
              <w:pStyle w:val="BodyRuller"/>
              <w:rPr>
                <w:rFonts w:ascii="David" w:hAnsi="David"/>
              </w:rPr>
            </w:pPr>
            <w:bookmarkStart w:id="3" w:name="FirstAppellant"/>
            <w:r w:rsidRPr="006531B9">
              <w:rPr>
                <w:rFonts w:ascii="David" w:hAnsi="David"/>
                <w:rtl/>
              </w:rPr>
              <w:t>העותרים:</w:t>
            </w:r>
          </w:p>
        </w:tc>
        <w:tc>
          <w:tcPr>
            <w:tcW w:w="5239" w:type="dxa"/>
          </w:tcPr>
          <w:p w14:paraId="54358C11" w14:textId="77777777" w:rsidR="00D00CB7" w:rsidRPr="006531B9" w:rsidRDefault="007B472F" w:rsidP="00D36236">
            <w:pPr>
              <w:pStyle w:val="BodyRuller"/>
            </w:pPr>
            <w:r w:rsidRPr="006531B9">
              <w:rPr>
                <w:rtl/>
              </w:rPr>
              <w:t>1. סלווא קרעאן</w:t>
            </w:r>
          </w:p>
        </w:tc>
      </w:tr>
      <w:bookmarkEnd w:id="3"/>
      <w:tr w:rsidR="00396C28" w14:paraId="7B51D582" w14:textId="77777777" w:rsidTr="00D36236">
        <w:trPr>
          <w:trHeight w:val="287"/>
        </w:trPr>
        <w:tc>
          <w:tcPr>
            <w:tcW w:w="3261" w:type="dxa"/>
          </w:tcPr>
          <w:p w14:paraId="54F3B0D2" w14:textId="77777777" w:rsidR="007B472F" w:rsidRPr="006531B9" w:rsidRDefault="007B472F" w:rsidP="00D36236">
            <w:pPr>
              <w:pStyle w:val="BodyRuller"/>
              <w:rPr>
                <w:rFonts w:ascii="David" w:hAnsi="David"/>
                <w:rtl/>
              </w:rPr>
            </w:pPr>
          </w:p>
        </w:tc>
        <w:tc>
          <w:tcPr>
            <w:tcW w:w="5239" w:type="dxa"/>
          </w:tcPr>
          <w:p w14:paraId="23D346DA" w14:textId="77777777" w:rsidR="007B472F" w:rsidRPr="006531B9" w:rsidRDefault="00000000" w:rsidP="00D36236">
            <w:pPr>
              <w:pStyle w:val="BodyRuller"/>
              <w:rPr>
                <w:rtl/>
              </w:rPr>
            </w:pPr>
            <w:r w:rsidRPr="006531B9">
              <w:rPr>
                <w:rtl/>
              </w:rPr>
              <w:t>2. עבד אלג'וואד דאר חמאייל</w:t>
            </w:r>
          </w:p>
        </w:tc>
      </w:tr>
    </w:tbl>
    <w:p w14:paraId="0D78E4E6" w14:textId="77777777" w:rsidR="00D00CB7" w:rsidRPr="006531B9" w:rsidRDefault="00D00CB7">
      <w:pPr>
        <w:pStyle w:val="Ruller3"/>
      </w:pPr>
    </w:p>
    <w:tbl>
      <w:tblPr>
        <w:bidiVisual/>
        <w:tblW w:w="8363" w:type="dxa"/>
        <w:tblLook w:val="0000" w:firstRow="0" w:lastRow="0" w:firstColumn="0" w:lastColumn="0" w:noHBand="0" w:noVBand="0"/>
      </w:tblPr>
      <w:tblGrid>
        <w:gridCol w:w="3222"/>
        <w:gridCol w:w="5141"/>
      </w:tblGrid>
      <w:tr w:rsidR="00396C28" w14:paraId="5118E0CF" w14:textId="77777777" w:rsidTr="0039709B">
        <w:tc>
          <w:tcPr>
            <w:tcW w:w="3284" w:type="dxa"/>
          </w:tcPr>
          <w:p w14:paraId="71F20B04" w14:textId="77777777" w:rsidR="00036227" w:rsidRPr="006531B9" w:rsidRDefault="00036227">
            <w:pPr>
              <w:pStyle w:val="BodyRuller"/>
            </w:pPr>
          </w:p>
        </w:tc>
        <w:tc>
          <w:tcPr>
            <w:tcW w:w="5238" w:type="dxa"/>
          </w:tcPr>
          <w:p w14:paraId="6D9D92E2" w14:textId="77777777" w:rsidR="00036227" w:rsidRPr="006531B9" w:rsidRDefault="00000000">
            <w:pPr>
              <w:pStyle w:val="BodyRuller"/>
            </w:pPr>
            <w:r w:rsidRPr="006531B9">
              <w:rPr>
                <w:rFonts w:hint="cs"/>
                <w:rtl/>
              </w:rPr>
              <w:t>נ</w:t>
            </w:r>
            <w:r w:rsidRPr="006531B9">
              <w:t xml:space="preserve">  </w:t>
            </w:r>
            <w:r w:rsidRPr="006531B9">
              <w:rPr>
                <w:rFonts w:hint="cs"/>
                <w:rtl/>
              </w:rPr>
              <w:t>ג</w:t>
            </w:r>
            <w:r w:rsidRPr="006531B9">
              <w:t xml:space="preserve">  </w:t>
            </w:r>
            <w:r w:rsidRPr="006531B9">
              <w:rPr>
                <w:rFonts w:hint="cs"/>
                <w:rtl/>
              </w:rPr>
              <w:t>ד</w:t>
            </w:r>
          </w:p>
        </w:tc>
      </w:tr>
    </w:tbl>
    <w:p w14:paraId="42755704" w14:textId="77777777" w:rsidR="00916FF8" w:rsidRPr="006531B9" w:rsidRDefault="00916FF8">
      <w:pPr>
        <w:pStyle w:val="Ruller3"/>
        <w:rPr>
          <w:rtl/>
        </w:rPr>
      </w:pPr>
    </w:p>
    <w:tbl>
      <w:tblPr>
        <w:bidiVisual/>
        <w:tblW w:w="8364" w:type="dxa"/>
        <w:tblLayout w:type="fixed"/>
        <w:tblLook w:val="0000" w:firstRow="0" w:lastRow="0" w:firstColumn="0" w:lastColumn="0" w:noHBand="0" w:noVBand="0"/>
      </w:tblPr>
      <w:tblGrid>
        <w:gridCol w:w="3210"/>
        <w:gridCol w:w="5154"/>
      </w:tblGrid>
      <w:tr w:rsidR="00396C28" w14:paraId="485987AE" w14:textId="77777777" w:rsidTr="00D36236">
        <w:trPr>
          <w:trHeight w:val="287"/>
        </w:trPr>
        <w:tc>
          <w:tcPr>
            <w:tcW w:w="3261" w:type="dxa"/>
          </w:tcPr>
          <w:p w14:paraId="2A980AEC" w14:textId="77777777" w:rsidR="0083345F" w:rsidRPr="006531B9" w:rsidRDefault="007B472F" w:rsidP="00D36236">
            <w:pPr>
              <w:pStyle w:val="BodyRuller"/>
              <w:rPr>
                <w:rFonts w:ascii="David" w:hAnsi="David"/>
              </w:rPr>
            </w:pPr>
            <w:r w:rsidRPr="006531B9">
              <w:rPr>
                <w:rFonts w:ascii="David" w:hAnsi="David"/>
                <w:rtl/>
              </w:rPr>
              <w:t>המשיבים:</w:t>
            </w:r>
          </w:p>
        </w:tc>
        <w:tc>
          <w:tcPr>
            <w:tcW w:w="5239" w:type="dxa"/>
          </w:tcPr>
          <w:p w14:paraId="25E7CABD" w14:textId="77777777" w:rsidR="0083345F" w:rsidRPr="006531B9" w:rsidRDefault="007B472F" w:rsidP="00D36236">
            <w:pPr>
              <w:pStyle w:val="BodyRuller"/>
            </w:pPr>
            <w:r w:rsidRPr="006531B9">
              <w:rPr>
                <w:rtl/>
              </w:rPr>
              <w:t>1. שר הביטחון</w:t>
            </w:r>
          </w:p>
        </w:tc>
      </w:tr>
      <w:tr w:rsidR="00396C28" w14:paraId="7EA081A5" w14:textId="77777777" w:rsidTr="00D36236">
        <w:trPr>
          <w:trHeight w:val="287"/>
        </w:trPr>
        <w:tc>
          <w:tcPr>
            <w:tcW w:w="3261" w:type="dxa"/>
          </w:tcPr>
          <w:p w14:paraId="2DB701F1" w14:textId="77777777" w:rsidR="007B472F" w:rsidRPr="006531B9" w:rsidRDefault="007B472F" w:rsidP="00D36236">
            <w:pPr>
              <w:pStyle w:val="BodyRuller"/>
              <w:rPr>
                <w:rFonts w:ascii="David" w:hAnsi="David"/>
                <w:rtl/>
              </w:rPr>
            </w:pPr>
          </w:p>
        </w:tc>
        <w:tc>
          <w:tcPr>
            <w:tcW w:w="5239" w:type="dxa"/>
          </w:tcPr>
          <w:p w14:paraId="60D24B52" w14:textId="77777777" w:rsidR="007B472F" w:rsidRPr="006531B9" w:rsidRDefault="00000000" w:rsidP="00D36236">
            <w:pPr>
              <w:pStyle w:val="BodyRuller"/>
              <w:rPr>
                <w:rtl/>
              </w:rPr>
            </w:pPr>
            <w:r w:rsidRPr="006531B9">
              <w:rPr>
                <w:rtl/>
              </w:rPr>
              <w:t>2. המפקד הצבאי לאזור הגדה המערבית</w:t>
            </w:r>
          </w:p>
        </w:tc>
      </w:tr>
      <w:tr w:rsidR="00396C28" w14:paraId="4879A4C4" w14:textId="77777777" w:rsidTr="00D36236">
        <w:trPr>
          <w:trHeight w:val="287"/>
        </w:trPr>
        <w:tc>
          <w:tcPr>
            <w:tcW w:w="3261" w:type="dxa"/>
          </w:tcPr>
          <w:p w14:paraId="6E9A969E" w14:textId="77777777" w:rsidR="007B472F" w:rsidRPr="006531B9" w:rsidRDefault="007B472F" w:rsidP="00D36236">
            <w:pPr>
              <w:pStyle w:val="BodyRuller"/>
              <w:rPr>
                <w:rFonts w:ascii="David" w:hAnsi="David"/>
                <w:rtl/>
              </w:rPr>
            </w:pPr>
          </w:p>
        </w:tc>
        <w:tc>
          <w:tcPr>
            <w:tcW w:w="5239" w:type="dxa"/>
          </w:tcPr>
          <w:p w14:paraId="3B911905" w14:textId="77777777" w:rsidR="007B472F" w:rsidRPr="006531B9" w:rsidRDefault="00000000" w:rsidP="00D36236">
            <w:pPr>
              <w:pStyle w:val="BodyRuller"/>
              <w:rPr>
                <w:rtl/>
              </w:rPr>
            </w:pPr>
            <w:r w:rsidRPr="006531B9">
              <w:rPr>
                <w:rtl/>
              </w:rPr>
              <w:t>3. ראש המינהל האזרחי באיו"ש</w:t>
            </w:r>
          </w:p>
        </w:tc>
      </w:tr>
      <w:tr w:rsidR="00396C28" w14:paraId="721F8A30" w14:textId="77777777" w:rsidTr="00D36236">
        <w:trPr>
          <w:trHeight w:val="287"/>
        </w:trPr>
        <w:tc>
          <w:tcPr>
            <w:tcW w:w="3261" w:type="dxa"/>
          </w:tcPr>
          <w:p w14:paraId="7DB2C5C5" w14:textId="77777777" w:rsidR="007B472F" w:rsidRPr="006531B9" w:rsidRDefault="007B472F" w:rsidP="00D36236">
            <w:pPr>
              <w:pStyle w:val="BodyRuller"/>
              <w:rPr>
                <w:rFonts w:ascii="David" w:hAnsi="David"/>
                <w:rtl/>
              </w:rPr>
            </w:pPr>
          </w:p>
        </w:tc>
        <w:tc>
          <w:tcPr>
            <w:tcW w:w="5239" w:type="dxa"/>
          </w:tcPr>
          <w:p w14:paraId="4E5A1D36" w14:textId="77777777" w:rsidR="007B472F" w:rsidRPr="006531B9" w:rsidRDefault="00000000" w:rsidP="00D36236">
            <w:pPr>
              <w:pStyle w:val="BodyRuller"/>
              <w:rPr>
                <w:rtl/>
              </w:rPr>
            </w:pPr>
            <w:r w:rsidRPr="006531B9">
              <w:rPr>
                <w:rtl/>
              </w:rPr>
              <w:t>4. מפקד משטרת מחוז ש"י</w:t>
            </w:r>
          </w:p>
        </w:tc>
      </w:tr>
      <w:tr w:rsidR="00396C28" w14:paraId="477ED277" w14:textId="77777777" w:rsidTr="00D36236">
        <w:trPr>
          <w:trHeight w:val="287"/>
        </w:trPr>
        <w:tc>
          <w:tcPr>
            <w:tcW w:w="3261" w:type="dxa"/>
          </w:tcPr>
          <w:p w14:paraId="3F055105" w14:textId="77777777" w:rsidR="007B472F" w:rsidRPr="006531B9" w:rsidRDefault="007B472F" w:rsidP="00D36236">
            <w:pPr>
              <w:pStyle w:val="BodyRuller"/>
              <w:rPr>
                <w:rFonts w:ascii="David" w:hAnsi="David"/>
                <w:rtl/>
              </w:rPr>
            </w:pPr>
          </w:p>
        </w:tc>
        <w:tc>
          <w:tcPr>
            <w:tcW w:w="5239" w:type="dxa"/>
          </w:tcPr>
          <w:p w14:paraId="4A01F0C7" w14:textId="77777777" w:rsidR="007B472F" w:rsidRPr="006531B9" w:rsidRDefault="00000000" w:rsidP="00D36236">
            <w:pPr>
              <w:pStyle w:val="BodyRuller"/>
              <w:rPr>
                <w:rtl/>
              </w:rPr>
            </w:pPr>
            <w:r w:rsidRPr="006531B9">
              <w:rPr>
                <w:rtl/>
              </w:rPr>
              <w:t>5. יחידת הפיקוח</w:t>
            </w:r>
          </w:p>
        </w:tc>
      </w:tr>
    </w:tbl>
    <w:p w14:paraId="675D06B4" w14:textId="77777777" w:rsidR="0083345F" w:rsidRPr="006531B9" w:rsidRDefault="0083345F">
      <w:pPr>
        <w:pStyle w:val="Ruller3"/>
        <w:rPr>
          <w:rtl/>
        </w:rPr>
      </w:pPr>
    </w:p>
    <w:p w14:paraId="76D721AC" w14:textId="77777777" w:rsidR="00A205A0" w:rsidRPr="006531B9" w:rsidRDefault="00A205A0">
      <w:pPr>
        <w:pStyle w:val="Ruller3"/>
      </w:pPr>
    </w:p>
    <w:tbl>
      <w:tblPr>
        <w:bidiVisual/>
        <w:tblW w:w="0" w:type="auto"/>
        <w:tblInd w:w="3209" w:type="dxa"/>
        <w:tblLook w:val="0000" w:firstRow="0" w:lastRow="0" w:firstColumn="0" w:lastColumn="0" w:noHBand="0" w:noVBand="0"/>
      </w:tblPr>
      <w:tblGrid>
        <w:gridCol w:w="5103"/>
      </w:tblGrid>
      <w:tr w:rsidR="00396C28" w14:paraId="77AB2DED" w14:textId="77777777" w:rsidTr="00CA1444">
        <w:tc>
          <w:tcPr>
            <w:tcW w:w="5103" w:type="dxa"/>
          </w:tcPr>
          <w:p w14:paraId="3633AE1C" w14:textId="77777777" w:rsidR="00916FF8" w:rsidRPr="006531B9" w:rsidRDefault="007B0174">
            <w:pPr>
              <w:pStyle w:val="BodyRuller"/>
              <w:rPr>
                <w:sz w:val="24"/>
                <w:szCs w:val="24"/>
              </w:rPr>
            </w:pPr>
            <w:r w:rsidRPr="006531B9">
              <w:rPr>
                <w:rFonts w:hint="cs"/>
                <w:sz w:val="24"/>
                <w:szCs w:val="24"/>
                <w:rtl/>
              </w:rPr>
              <w:t>עתירה למתן צו על תנאי</w:t>
            </w:r>
          </w:p>
        </w:tc>
      </w:tr>
    </w:tbl>
    <w:p w14:paraId="7D0DE16B" w14:textId="77777777" w:rsidR="00916FF8" w:rsidRPr="006531B9" w:rsidRDefault="00916FF8">
      <w:pPr>
        <w:pStyle w:val="Ruller3"/>
        <w:rPr>
          <w:rtl/>
        </w:rPr>
      </w:pPr>
    </w:p>
    <w:tbl>
      <w:tblPr>
        <w:bidiVisual/>
        <w:tblW w:w="8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4"/>
        <w:gridCol w:w="5149"/>
      </w:tblGrid>
      <w:tr w:rsidR="00396C28" w14:paraId="30C2A4E9" w14:textId="77777777" w:rsidTr="0064536D">
        <w:tc>
          <w:tcPr>
            <w:tcW w:w="3214" w:type="dxa"/>
            <w:tcBorders>
              <w:top w:val="nil"/>
              <w:left w:val="nil"/>
              <w:bottom w:val="nil"/>
              <w:right w:val="nil"/>
            </w:tcBorders>
          </w:tcPr>
          <w:p w14:paraId="188DBDAF" w14:textId="77777777" w:rsidR="00036227" w:rsidRPr="006531B9" w:rsidRDefault="007B472F">
            <w:pPr>
              <w:pStyle w:val="BodyRuller"/>
            </w:pPr>
            <w:r w:rsidRPr="006531B9">
              <w:rPr>
                <w:rtl/>
              </w:rPr>
              <w:t>בשם העותרים:</w:t>
            </w:r>
          </w:p>
        </w:tc>
        <w:tc>
          <w:tcPr>
            <w:tcW w:w="5149" w:type="dxa"/>
            <w:tcBorders>
              <w:top w:val="nil"/>
              <w:left w:val="nil"/>
              <w:bottom w:val="nil"/>
              <w:right w:val="nil"/>
            </w:tcBorders>
          </w:tcPr>
          <w:p w14:paraId="10B2A723" w14:textId="77777777" w:rsidR="00036227" w:rsidRPr="006531B9" w:rsidRDefault="007B472F" w:rsidP="0064536D">
            <w:pPr>
              <w:pStyle w:val="BodyRuller"/>
            </w:pPr>
            <w:r w:rsidRPr="006531B9">
              <w:rPr>
                <w:rtl/>
              </w:rPr>
              <w:t xml:space="preserve">עו"ד </w:t>
            </w:r>
            <w:r w:rsidR="0064536D" w:rsidRPr="006531B9">
              <w:rPr>
                <w:rFonts w:hint="cs"/>
                <w:rtl/>
              </w:rPr>
              <w:t xml:space="preserve">סלימאן </w:t>
            </w:r>
            <w:r w:rsidRPr="006531B9">
              <w:rPr>
                <w:rtl/>
              </w:rPr>
              <w:t xml:space="preserve">שאהין </w:t>
            </w:r>
          </w:p>
        </w:tc>
      </w:tr>
    </w:tbl>
    <w:p w14:paraId="363D4527" w14:textId="77777777" w:rsidR="00916FF8" w:rsidRPr="006531B9" w:rsidRDefault="00916FF8">
      <w:pPr>
        <w:pStyle w:val="Ruller3"/>
      </w:pPr>
    </w:p>
    <w:tbl>
      <w:tblPr>
        <w:bidiVisual/>
        <w:tblW w:w="8363"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5"/>
        <w:gridCol w:w="5148"/>
      </w:tblGrid>
      <w:tr w:rsidR="00396C28" w14:paraId="3DCC01B5" w14:textId="77777777" w:rsidTr="0064536D">
        <w:tc>
          <w:tcPr>
            <w:tcW w:w="3215" w:type="dxa"/>
            <w:tcBorders>
              <w:top w:val="nil"/>
              <w:left w:val="nil"/>
              <w:bottom w:val="nil"/>
              <w:right w:val="nil"/>
            </w:tcBorders>
          </w:tcPr>
          <w:p w14:paraId="6792C015" w14:textId="77777777" w:rsidR="00036227" w:rsidRPr="006531B9" w:rsidRDefault="007B472F">
            <w:pPr>
              <w:pStyle w:val="BodyRuller"/>
            </w:pPr>
            <w:bookmarkStart w:id="4" w:name="FirstLawyer"/>
            <w:r w:rsidRPr="006531B9">
              <w:rPr>
                <w:rtl/>
              </w:rPr>
              <w:t>בשם המשיבים:</w:t>
            </w:r>
          </w:p>
        </w:tc>
        <w:tc>
          <w:tcPr>
            <w:tcW w:w="5148" w:type="dxa"/>
            <w:tcBorders>
              <w:top w:val="nil"/>
              <w:left w:val="nil"/>
              <w:bottom w:val="nil"/>
              <w:right w:val="nil"/>
            </w:tcBorders>
          </w:tcPr>
          <w:p w14:paraId="03DFDA72" w14:textId="77777777" w:rsidR="00036227" w:rsidRPr="006531B9" w:rsidRDefault="007B472F" w:rsidP="0064536D">
            <w:pPr>
              <w:pStyle w:val="BodyRuller"/>
            </w:pPr>
            <w:r w:rsidRPr="006531B9">
              <w:rPr>
                <w:rtl/>
              </w:rPr>
              <w:t xml:space="preserve">עו"ד </w:t>
            </w:r>
            <w:r w:rsidR="0064536D" w:rsidRPr="006531B9">
              <w:rPr>
                <w:rFonts w:hint="cs"/>
                <w:rtl/>
              </w:rPr>
              <w:t xml:space="preserve">רועי </w:t>
            </w:r>
            <w:r w:rsidR="0064536D" w:rsidRPr="006531B9">
              <w:rPr>
                <w:rtl/>
              </w:rPr>
              <w:t>שויקה</w:t>
            </w:r>
            <w:r w:rsidR="0064536D" w:rsidRPr="006531B9">
              <w:rPr>
                <w:rFonts w:hint="cs"/>
                <w:rtl/>
              </w:rPr>
              <w:t>; עו"ד מתן שטיינבוך</w:t>
            </w:r>
          </w:p>
        </w:tc>
      </w:tr>
      <w:bookmarkEnd w:id="4"/>
    </w:tbl>
    <w:p w14:paraId="566A62BB" w14:textId="77777777" w:rsidR="00916FF8" w:rsidRPr="006531B9" w:rsidRDefault="00916FF8">
      <w:pPr>
        <w:tabs>
          <w:tab w:val="left" w:pos="2552"/>
        </w:tabs>
        <w:rPr>
          <w:rtl/>
        </w:rPr>
      </w:pPr>
    </w:p>
    <w:p w14:paraId="4A5A81F1" w14:textId="77777777" w:rsidR="00AB1FE0" w:rsidRDefault="00AB1FE0">
      <w:pPr>
        <w:tabs>
          <w:tab w:val="left" w:pos="2552"/>
        </w:tabs>
      </w:pPr>
    </w:p>
    <w:p w14:paraId="70914845" w14:textId="77777777" w:rsidR="00A205A0" w:rsidRPr="006531B9" w:rsidRDefault="00A205A0">
      <w:pPr>
        <w:tabs>
          <w:tab w:val="left" w:pos="2552"/>
        </w:tabs>
      </w:pPr>
      <w:bookmarkStart w:id="5" w:name="ABSTRACT_START"/>
      <w:bookmarkEnd w:id="5"/>
    </w:p>
    <w:tbl>
      <w:tblPr>
        <w:bidiVisual/>
        <w:tblW w:w="8363" w:type="dxa"/>
        <w:tblLook w:val="0000" w:firstRow="0" w:lastRow="0" w:firstColumn="0" w:lastColumn="0" w:noHBand="0" w:noVBand="0"/>
      </w:tblPr>
      <w:tblGrid>
        <w:gridCol w:w="8363"/>
      </w:tblGrid>
      <w:tr w:rsidR="00396C28" w14:paraId="45A40C97" w14:textId="77777777" w:rsidTr="00D00B1D">
        <w:tc>
          <w:tcPr>
            <w:tcW w:w="9837" w:type="dxa"/>
          </w:tcPr>
          <w:p w14:paraId="108E7ED3" w14:textId="77777777" w:rsidR="00916FF8" w:rsidRPr="006531B9" w:rsidRDefault="006531B9" w:rsidP="006531B9">
            <w:pPr>
              <w:pStyle w:val="DocumentHead"/>
            </w:pPr>
            <w:bookmarkStart w:id="6" w:name="secretary"/>
            <w:bookmarkStart w:id="7" w:name="BeginProtocol"/>
            <w:bookmarkStart w:id="8" w:name="PsakDin" w:colFirst="0" w:colLast="0"/>
            <w:bookmarkEnd w:id="6"/>
            <w:bookmarkEnd w:id="7"/>
            <w:r w:rsidRPr="006531B9">
              <w:rPr>
                <w:rtl/>
              </w:rPr>
              <w:t>פסק-דין</w:t>
            </w:r>
          </w:p>
        </w:tc>
      </w:tr>
      <w:bookmarkEnd w:id="8"/>
    </w:tbl>
    <w:p w14:paraId="4183CF94" w14:textId="77777777" w:rsidR="0065522F" w:rsidRDefault="0065522F">
      <w:pPr>
        <w:pStyle w:val="BODYVERDICT"/>
      </w:pPr>
    </w:p>
    <w:p w14:paraId="78BF289E" w14:textId="77777777" w:rsidR="00916FF8" w:rsidRPr="00503A3E" w:rsidRDefault="007B472F">
      <w:pPr>
        <w:pStyle w:val="BODYVERDICT"/>
        <w:rPr>
          <w:rFonts w:cs="Miriam"/>
          <w:sz w:val="24"/>
          <w:szCs w:val="24"/>
          <w:u w:val="single"/>
          <w:rtl/>
        </w:rPr>
      </w:pPr>
      <w:bookmarkStart w:id="9" w:name="Writer_Name"/>
      <w:bookmarkEnd w:id="9"/>
      <w:r>
        <w:rPr>
          <w:rFonts w:cs="Miriam"/>
          <w:sz w:val="24"/>
          <w:szCs w:val="24"/>
          <w:u w:val="single"/>
          <w:rtl/>
        </w:rPr>
        <w:t>השופט ד' מינץ:</w:t>
      </w:r>
    </w:p>
    <w:p w14:paraId="58863D04" w14:textId="77777777" w:rsidR="00AB1FE0" w:rsidRDefault="00AB1FE0" w:rsidP="00AB1FE0">
      <w:pPr>
        <w:pStyle w:val="Ruller40"/>
        <w:rPr>
          <w:rtl/>
        </w:rPr>
      </w:pPr>
      <w:bookmarkStart w:id="10" w:name="Start_Write"/>
      <w:bookmarkEnd w:id="10"/>
    </w:p>
    <w:p w14:paraId="30DFB9F7" w14:textId="77777777" w:rsidR="00AB1FE0" w:rsidRDefault="00000000" w:rsidP="00AB1FE0">
      <w:pPr>
        <w:pStyle w:val="Ruller40"/>
        <w:rPr>
          <w:rtl/>
        </w:rPr>
      </w:pPr>
      <w:r>
        <w:rPr>
          <w:rtl/>
        </w:rPr>
        <w:tab/>
      </w:r>
      <w:r>
        <w:rPr>
          <w:rFonts w:hint="eastAsia"/>
          <w:rtl/>
        </w:rPr>
        <w:t>לפנינו</w:t>
      </w:r>
      <w:r>
        <w:rPr>
          <w:rtl/>
        </w:rPr>
        <w:t xml:space="preserve"> </w:t>
      </w:r>
      <w:bookmarkStart w:id="11" w:name="_Hlk163706704"/>
      <w:r>
        <w:rPr>
          <w:rFonts w:hint="eastAsia"/>
          <w:rtl/>
        </w:rPr>
        <w:t>עתירה</w:t>
      </w:r>
      <w:r>
        <w:rPr>
          <w:rtl/>
        </w:rPr>
        <w:t xml:space="preserve"> </w:t>
      </w:r>
      <w:r>
        <w:rPr>
          <w:rFonts w:hint="eastAsia"/>
          <w:rtl/>
        </w:rPr>
        <w:t>למתן</w:t>
      </w:r>
      <w:r>
        <w:rPr>
          <w:rtl/>
        </w:rPr>
        <w:t xml:space="preserve"> </w:t>
      </w:r>
      <w:r>
        <w:rPr>
          <w:rFonts w:hint="eastAsia"/>
          <w:rtl/>
        </w:rPr>
        <w:t>צווים</w:t>
      </w:r>
      <w:r>
        <w:rPr>
          <w:rtl/>
        </w:rPr>
        <w:t xml:space="preserve"> </w:t>
      </w:r>
      <w:r>
        <w:rPr>
          <w:rFonts w:hint="eastAsia"/>
          <w:rtl/>
        </w:rPr>
        <w:t>על</w:t>
      </w:r>
      <w:r>
        <w:rPr>
          <w:rFonts w:hint="cs"/>
          <w:rtl/>
        </w:rPr>
        <w:t xml:space="preserve"> </w:t>
      </w:r>
      <w:r>
        <w:rPr>
          <w:rFonts w:hint="eastAsia"/>
          <w:rtl/>
        </w:rPr>
        <w:t>תנאי</w:t>
      </w:r>
      <w:r>
        <w:rPr>
          <w:rtl/>
        </w:rPr>
        <w:t xml:space="preserve">, </w:t>
      </w:r>
      <w:r>
        <w:rPr>
          <w:rFonts w:hint="eastAsia"/>
          <w:rtl/>
        </w:rPr>
        <w:t>בגדרה</w:t>
      </w:r>
      <w:r>
        <w:rPr>
          <w:rtl/>
        </w:rPr>
        <w:t xml:space="preserve"> </w:t>
      </w:r>
      <w:r>
        <w:rPr>
          <w:rFonts w:hint="eastAsia"/>
          <w:rtl/>
        </w:rPr>
        <w:t>התבקשנו</w:t>
      </w:r>
      <w:r>
        <w:rPr>
          <w:rtl/>
        </w:rPr>
        <w:t xml:space="preserve"> </w:t>
      </w:r>
      <w:r>
        <w:rPr>
          <w:rFonts w:hint="eastAsia"/>
          <w:rtl/>
        </w:rPr>
        <w:t>להורות</w:t>
      </w:r>
      <w:r>
        <w:rPr>
          <w:rtl/>
        </w:rPr>
        <w:t xml:space="preserve"> </w:t>
      </w:r>
      <w:r>
        <w:rPr>
          <w:rFonts w:hint="eastAsia"/>
          <w:rtl/>
        </w:rPr>
        <w:t>למשיבים</w:t>
      </w:r>
      <w:r>
        <w:rPr>
          <w:rtl/>
        </w:rPr>
        <w:t xml:space="preserve"> 5-1 </w:t>
      </w:r>
      <w:r>
        <w:rPr>
          <w:rFonts w:hint="cs"/>
          <w:rtl/>
        </w:rPr>
        <w:t xml:space="preserve">לפעול לפינוי והריסה מיידיים של בנייה בלתי חוקית שהוקמה על חלקה מספר 17 בגוש 2 באדמות אלבירה (להלן: </w:t>
      </w:r>
      <w:r w:rsidRPr="0087604D">
        <w:rPr>
          <w:rFonts w:ascii="Century" w:hAnsi="Century" w:cs="Miriam" w:hint="eastAsia"/>
          <w:b/>
          <w:spacing w:val="0"/>
          <w:szCs w:val="24"/>
          <w:rtl/>
        </w:rPr>
        <w:t>הבנייה</w:t>
      </w:r>
      <w:r w:rsidRPr="0087604D">
        <w:rPr>
          <w:rFonts w:ascii="Century" w:hAnsi="Century" w:cs="Miriam"/>
          <w:b/>
          <w:spacing w:val="0"/>
          <w:szCs w:val="24"/>
          <w:rtl/>
        </w:rPr>
        <w:t xml:space="preserve"> </w:t>
      </w:r>
      <w:r w:rsidRPr="0087604D">
        <w:rPr>
          <w:rFonts w:ascii="Century" w:hAnsi="Century" w:cs="Miriam" w:hint="eastAsia"/>
          <w:b/>
          <w:spacing w:val="0"/>
          <w:szCs w:val="24"/>
          <w:rtl/>
        </w:rPr>
        <w:t>הבלתי</w:t>
      </w:r>
      <w:r w:rsidRPr="0087604D">
        <w:rPr>
          <w:rFonts w:ascii="Century" w:hAnsi="Century" w:cs="Miriam"/>
          <w:b/>
          <w:spacing w:val="0"/>
          <w:szCs w:val="24"/>
          <w:rtl/>
        </w:rPr>
        <w:t xml:space="preserve"> </w:t>
      </w:r>
      <w:r w:rsidRPr="0087604D">
        <w:rPr>
          <w:rFonts w:ascii="Century" w:hAnsi="Century" w:cs="Miriam" w:hint="eastAsia"/>
          <w:b/>
          <w:spacing w:val="0"/>
          <w:szCs w:val="24"/>
          <w:rtl/>
        </w:rPr>
        <w:t>חוקית</w:t>
      </w:r>
      <w:r w:rsidRPr="005659F2">
        <w:rPr>
          <w:rtl/>
        </w:rPr>
        <w:t xml:space="preserve"> </w:t>
      </w:r>
      <w:r>
        <w:rPr>
          <w:rFonts w:hint="cs"/>
          <w:rtl/>
        </w:rPr>
        <w:t xml:space="preserve">או </w:t>
      </w:r>
      <w:r w:rsidRPr="0087604D">
        <w:rPr>
          <w:rFonts w:ascii="Century" w:hAnsi="Century" w:cs="Miriam" w:hint="eastAsia"/>
          <w:b/>
          <w:spacing w:val="0"/>
          <w:szCs w:val="24"/>
          <w:rtl/>
        </w:rPr>
        <w:t>המאחז</w:t>
      </w:r>
      <w:r w:rsidRPr="005659F2">
        <w:rPr>
          <w:rtl/>
        </w:rPr>
        <w:t xml:space="preserve"> </w:t>
      </w:r>
      <w:r>
        <w:rPr>
          <w:rFonts w:hint="cs"/>
          <w:rtl/>
        </w:rPr>
        <w:t>ו-</w:t>
      </w:r>
      <w:r w:rsidRPr="00BC08E9">
        <w:rPr>
          <w:rFonts w:ascii="Century" w:hAnsi="Century" w:cs="Miriam" w:hint="cs"/>
          <w:b/>
          <w:spacing w:val="0"/>
          <w:szCs w:val="24"/>
          <w:rtl/>
        </w:rPr>
        <w:t>החלקה</w:t>
      </w:r>
      <w:r>
        <w:rPr>
          <w:rFonts w:ascii="Century" w:hAnsi="Century" w:hint="cs"/>
          <w:rtl/>
        </w:rPr>
        <w:t>, בהתאמה</w:t>
      </w:r>
      <w:r>
        <w:rPr>
          <w:rFonts w:hint="cs"/>
          <w:rtl/>
        </w:rPr>
        <w:t>) ולפתוח בחקירה פלילית למיצוי הדין עם מקימיה.</w:t>
      </w:r>
    </w:p>
    <w:p w14:paraId="11EE07B5" w14:textId="77777777" w:rsidR="00AB1FE0" w:rsidRDefault="00AB1FE0" w:rsidP="00AB1FE0">
      <w:pPr>
        <w:pStyle w:val="Ruller40"/>
        <w:rPr>
          <w:rtl/>
        </w:rPr>
      </w:pPr>
    </w:p>
    <w:p w14:paraId="73AA6F76" w14:textId="77777777" w:rsidR="00AB1FE0" w:rsidRDefault="00000000" w:rsidP="00AB1FE0">
      <w:pPr>
        <w:pStyle w:val="Ruller4"/>
      </w:pPr>
      <w:r>
        <w:rPr>
          <w:rFonts w:hint="cs"/>
          <w:rtl/>
        </w:rPr>
        <w:t xml:space="preserve">לטענת העותרים, המאחז הוקם בחלקה (שעותרת 1 טוענת כי היא בעלת זכויות בה ועותר 2 טוען כי הוא בעל זכויות בחלקה הסמוכה לה) באופן בלתי חוקי על ידי </w:t>
      </w:r>
      <w:r>
        <w:rPr>
          <w:rFonts w:hint="cs"/>
          <w:rtl/>
        </w:rPr>
        <w:lastRenderedPageBreak/>
        <w:t xml:space="preserve">אנשים שזהותם אינה ידועה להם. המאחז הוקם לראשונה במהלך חודש מאי 2023 כאשר הבניה במקום הוסרה זמן קצר לאחר מכן, ככל הנראה על ידי רשויות המנהל האזרחי, אך הוא הוקם פעם נוספת במהלך חודש יולי 2023. בעקבות חידוש הקמת המאחז, באותו חודש הגישו העותרים, כל אחד בנפרד, תלונות במשטרה נגד מקימיו. לטענת העותרים, לאחרונה החלו דיירי המאחז בביצוע עבודות נוספות להרחבתו. </w:t>
      </w:r>
    </w:p>
    <w:p w14:paraId="6C82F15C" w14:textId="77777777" w:rsidR="00AB1FE0" w:rsidRDefault="00AB1FE0" w:rsidP="00AB1FE0">
      <w:pPr>
        <w:pStyle w:val="Ruller4"/>
        <w:numPr>
          <w:ilvl w:val="0"/>
          <w:numId w:val="0"/>
        </w:numPr>
      </w:pPr>
    </w:p>
    <w:p w14:paraId="76723B0C" w14:textId="77777777" w:rsidR="00AB1FE0" w:rsidRDefault="00000000" w:rsidP="00AB1FE0">
      <w:pPr>
        <w:pStyle w:val="Ruller4"/>
        <w:numPr>
          <w:ilvl w:val="0"/>
          <w:numId w:val="0"/>
        </w:numPr>
        <w:rPr>
          <w:rtl/>
        </w:rPr>
      </w:pPr>
      <w:r>
        <w:rPr>
          <w:rtl/>
        </w:rPr>
        <w:tab/>
      </w:r>
      <w:r>
        <w:rPr>
          <w:rFonts w:hint="cs"/>
          <w:rtl/>
        </w:rPr>
        <w:t>נטען כי מכוח עקרונות יסוד בדין הבינלאומי והחובות המוטלות על המפקד הצבאי מכוח המשפט הישראלי, ובהן השמירה על הסדר הציבורי, חלה על המפקד הצבאי חובה להגן על רכושם ולאסור על פגיעה בקניינם של העותרים. במקרה זה גם מתקיימים כל התנאים להפעלת סמכויות המשיבים הנתונות להם מכוח הוראות הדין השונות לסילוק מהיר של פולשים ממקרקעין פרטיים, כאשר הימנעותם מלנקוט בהליכים אלה עולה כדי חוסר סבירות קיצוני. בנוסף נטען כי מעשי הפולשים לחלקה מצדיקים פתיחת חקירה משטרתית, והימנעות המשיבים מפתיחת חקירה על אף הטענות מצד העותרים לאיומים ולהיזק לרכוש מצד הפולשים, מהווה הפרה חמורה של חובות המשטרה על פי דין.</w:t>
      </w:r>
    </w:p>
    <w:p w14:paraId="17503977" w14:textId="77777777" w:rsidR="00AB1FE0" w:rsidRDefault="00AB1FE0" w:rsidP="00AB1FE0">
      <w:pPr>
        <w:pStyle w:val="Ruller40"/>
        <w:rPr>
          <w:rtl/>
        </w:rPr>
      </w:pPr>
    </w:p>
    <w:bookmarkEnd w:id="11"/>
    <w:p w14:paraId="7BB958AD" w14:textId="77777777" w:rsidR="00AB1FE0" w:rsidRDefault="00000000" w:rsidP="00AB1FE0">
      <w:pPr>
        <w:pStyle w:val="Ruller4"/>
      </w:pPr>
      <w:r>
        <w:rPr>
          <w:rFonts w:hint="cs"/>
          <w:rtl/>
        </w:rPr>
        <w:t xml:space="preserve">המשיבים טענו מנגד כי דין העתירה להידחות על הסף בשל אי-צירוף משיבים העלולים להיפגע מקבלת העתירה שכן העותרים, לא צירפו את המחזיקים בבינוי הבלתי חוקי כמשיבים לעתירה וכלל לא צוין אם נעשו ניסיונות כלשהם לאתרם. גם אם קיים קושי באיתור המחזיקים במבנים, אין בכך כדי לפטור את העותרים מחובה יסודית זו. בנוסף נטען כי דין העתירה להידחות לגופה בשל היעדר עילה להתערבות. באשר לטענות בנוגע לאכיפה, נטען כי העתירה אינה מקימה עילה להתערבות בית המשפט בפעולות הפיקוח והאכיפה של רשויות המנהל. המשיבים פירטו בתגובתם את הפעולות הרבות שננקטו לאכיפת הדין כלפי הבנייה הבלתי חוקית: ביום 23.5.2023 אותר בחלקה בינוי בלתי חוקי הכולל צילייה עם עמודים ובזנטים, והוא נתפס ביום 24.5.2023 מכוח התקנות בדבר העברת טובין (הובלת מבנים יבילים) (יהודה והשומרון), התשנ"ג-1993 (להלן: </w:t>
      </w:r>
      <w:r w:rsidRPr="00AF7283">
        <w:rPr>
          <w:rFonts w:ascii="Century" w:hAnsi="Century" w:cs="Miriam" w:hint="cs"/>
          <w:b/>
          <w:spacing w:val="0"/>
          <w:sz w:val="22"/>
          <w:szCs w:val="24"/>
          <w:rtl/>
        </w:rPr>
        <w:t>התקנות</w:t>
      </w:r>
      <w:r>
        <w:rPr>
          <w:rFonts w:hint="cs"/>
          <w:rtl/>
        </w:rPr>
        <w:t xml:space="preserve">); ביום 28.5.2023 נמצא פעם נוספת בינוי בלתי חוקי בחלקה, והוא נתפס גם כן מכוח התקנות; ביום 11.6.2023 נמצא בחלקה פעם נוספת בינוי בלתי חוקי, והוא נתפס ביום 11.7.2023 מכוח התקנות; בינוי בלתי חוקי נמצא פעם נוספת בחלקה ביום 16.7.2023 והוא נתפס מכוח התקנות ביום 27.9.2023; ביום 3.12.2023 (לאחר הגשת העתירה) נמצא פעם נוספת בינוי בלתי חוקי בחלקה הכולל קונסטרוקציית מתכת לאוהל וצילייה עם עמודים ובזנטים, וגם בינוי זה נתפס מכוח התקנות ביום 25.12.2023. בהתחשב בכל אלה, נטען כי אין לקבל את הטענה כי המשיבים נמנעו מלנקוט בפעולות אכיפה משמעותיות, כאשר פעולות האכיפה בוצעו ועודן מתבצעות בהתאם לסדרי עדיפויות ובכפוף לאילוצים משפטיים, תכנונים ומבצעיים </w:t>
      </w:r>
      <w:r>
        <w:rPr>
          <w:rtl/>
        </w:rPr>
        <w:t>–</w:t>
      </w:r>
      <w:r>
        <w:rPr>
          <w:rFonts w:hint="cs"/>
          <w:rtl/>
        </w:rPr>
        <w:t xml:space="preserve"> אילוצים המקבלים משנה תוקף במצב של מלחמה. גם אין כל עילה להורות על שימוש באמצעי אכיפה אחר מזה שננקט. </w:t>
      </w:r>
    </w:p>
    <w:p w14:paraId="108BEBDF" w14:textId="77777777" w:rsidR="00AB1FE0" w:rsidRDefault="00AB1FE0" w:rsidP="00AB1FE0">
      <w:pPr>
        <w:pStyle w:val="Ruller4"/>
        <w:numPr>
          <w:ilvl w:val="0"/>
          <w:numId w:val="0"/>
        </w:numPr>
      </w:pPr>
    </w:p>
    <w:p w14:paraId="62E489C6" w14:textId="77777777" w:rsidR="00AB1FE0" w:rsidRDefault="00000000" w:rsidP="00AB1FE0">
      <w:pPr>
        <w:pStyle w:val="Ruller4"/>
        <w:rPr>
          <w:rtl/>
        </w:rPr>
      </w:pPr>
      <w:r>
        <w:rPr>
          <w:rFonts w:hint="cs"/>
          <w:rtl/>
        </w:rPr>
        <w:t xml:space="preserve">בהתייחס לתלונות שהגישו העותרים, נטען כי על-פי הנמסר מגורמי משטרת </w:t>
      </w:r>
      <w:r w:rsidRPr="0087604D">
        <w:rPr>
          <w:rFonts w:ascii="Century" w:hAnsi="Century" w:hint="cs"/>
          <w:sz w:val="22"/>
          <w:rtl/>
        </w:rPr>
        <w:t>ישראל, לתלונת עותרת 1 לא צורפו תמונות או סרטונים התומכים בה והיא אף טענה בתלונתה כי הבינוי פונה זה מכבר על ידי המינהל האזרחי. כמו כן</w:t>
      </w:r>
      <w:r w:rsidRPr="0087604D">
        <w:rPr>
          <w:rFonts w:hint="cs"/>
          <w:rtl/>
        </w:rPr>
        <w:t xml:space="preserve"> </w:t>
      </w:r>
      <w:r>
        <w:rPr>
          <w:rFonts w:hint="cs"/>
          <w:rtl/>
        </w:rPr>
        <w:t>בדיקה מודיעינית שבוצעה לאיתור חשודים לא העלתה ממצאים. בהתייחס לתלונת עותר 2, נטען כי בקשר לתלונתו הועבר דיווח לרשויות הצבא להמשך טיפול.</w:t>
      </w:r>
    </w:p>
    <w:p w14:paraId="748660DF" w14:textId="77777777" w:rsidR="00AB1FE0" w:rsidRDefault="00AB1FE0" w:rsidP="00AB1FE0">
      <w:pPr>
        <w:pStyle w:val="Ruller40"/>
        <w:rPr>
          <w:rtl/>
        </w:rPr>
      </w:pPr>
    </w:p>
    <w:p w14:paraId="623F3316" w14:textId="77777777" w:rsidR="00AB1FE0" w:rsidRDefault="00000000" w:rsidP="00AB1FE0">
      <w:pPr>
        <w:pStyle w:val="Ruller4"/>
      </w:pPr>
      <w:r>
        <w:rPr>
          <w:rFonts w:hint="cs"/>
          <w:rtl/>
        </w:rPr>
        <w:t xml:space="preserve">לעותרים ניתנה רשות להגיב לתגובת המשיבים, ובתגובתם טענו בין היתר כי המאחז ממשיך להתקיים החל מחודש יולי 2023 באופן רציף, כאשר ככל שננקטו פעולות אכיפה מדובר בפעולות מינימליות שלא מנעו מהמאחז להמשיך ולהתקיים. נטען כי אין מקום לטרוניית המשיבים בכל הנוגע לאי-צירופם של הפולשים לעתירה, שכן לעותרים אין כל אפשרות להגיע למאחז בשל חששם מפגיעה פיזית, ואף המשיבים עצמם מצביעים על כך שהתקשו לאתר את פרטי הפולשים. מה גם, אין כל חשש לפגיעה בזכויותיהם של הפולשים, שכן אין להם כל זכות לשהות בחלקה. העותרים טענו כי המאחז ממשיך לגדול ולהתרחב כאשר המשיבים לא הניחו כל תשתית </w:t>
      </w:r>
      <w:r>
        <w:rPr>
          <w:rFonts w:hint="eastAsia"/>
          <w:rtl/>
        </w:rPr>
        <w:t>לכך שבוצעו</w:t>
      </w:r>
      <w:r>
        <w:rPr>
          <w:rFonts w:hint="cs"/>
          <w:rtl/>
        </w:rPr>
        <w:t xml:space="preserve"> פעולות אכיפה משמעותיות ואפקטיביות. פעולות האכיפה שננקטו עד היום נכשלו לחלוטין באופן המצדיק את התערבות בית משפט זה, או לכל הפחות "מתן הוראה למשיבים להציג תכנית פעולה לסילוק המאחז". כן נטען כי לא נמסרה לעותרים כל הודעה בדבר סגירת התלונות שהגישו במשטרה ובכל מקרה, אין בנימוקים שצוינו בתגובת המשיבים כדי להצדיק את סגירתן.</w:t>
      </w:r>
    </w:p>
    <w:p w14:paraId="2D97B85F" w14:textId="77777777" w:rsidR="00AB1FE0" w:rsidRDefault="00AB1FE0" w:rsidP="00AB1FE0">
      <w:pPr>
        <w:pStyle w:val="Ruller40"/>
        <w:rPr>
          <w:rtl/>
        </w:rPr>
      </w:pPr>
    </w:p>
    <w:p w14:paraId="3088E523" w14:textId="77777777" w:rsidR="00AB1FE0" w:rsidRDefault="00000000" w:rsidP="00422DCF">
      <w:pPr>
        <w:pStyle w:val="Ruller4"/>
        <w:rPr>
          <w:rtl/>
        </w:rPr>
      </w:pPr>
      <w:r w:rsidRPr="00A373A5">
        <w:rPr>
          <w:rFonts w:hint="cs"/>
          <w:sz w:val="22"/>
          <w:rtl/>
        </w:rPr>
        <w:t xml:space="preserve">דין העתירה </w:t>
      </w:r>
      <w:r w:rsidR="00422DCF">
        <w:rPr>
          <w:rFonts w:hint="cs"/>
          <w:rtl/>
        </w:rPr>
        <w:t xml:space="preserve">להידחות. </w:t>
      </w:r>
      <w:r w:rsidRPr="00E74F40">
        <w:rPr>
          <w:rFonts w:hint="eastAsia"/>
          <w:rtl/>
        </w:rPr>
        <w:t>הלכה</w:t>
      </w:r>
      <w:r w:rsidRPr="00E74F40">
        <w:rPr>
          <w:rtl/>
        </w:rPr>
        <w:t xml:space="preserve"> </w:t>
      </w:r>
      <w:r w:rsidRPr="00E74F40">
        <w:rPr>
          <w:rFonts w:hint="eastAsia"/>
          <w:rtl/>
        </w:rPr>
        <w:t>היא</w:t>
      </w:r>
      <w:r w:rsidRPr="00E74F40">
        <w:rPr>
          <w:rtl/>
        </w:rPr>
        <w:t xml:space="preserve"> </w:t>
      </w:r>
      <w:r w:rsidRPr="00E74F40">
        <w:rPr>
          <w:rFonts w:hint="eastAsia"/>
          <w:rtl/>
        </w:rPr>
        <w:t>כי</w:t>
      </w:r>
      <w:r w:rsidRPr="00E74F40">
        <w:rPr>
          <w:rtl/>
        </w:rPr>
        <w:t xml:space="preserve"> </w:t>
      </w:r>
      <w:r w:rsidRPr="00E74F40">
        <w:rPr>
          <w:rFonts w:hint="eastAsia"/>
          <w:rtl/>
        </w:rPr>
        <w:t>קביעת</w:t>
      </w:r>
      <w:r w:rsidRPr="00E74F40">
        <w:rPr>
          <w:rtl/>
        </w:rPr>
        <w:t xml:space="preserve"> </w:t>
      </w:r>
      <w:r w:rsidRPr="00E74F40">
        <w:rPr>
          <w:rFonts w:hint="eastAsia"/>
          <w:rtl/>
        </w:rPr>
        <w:t>סדרי</w:t>
      </w:r>
      <w:r w:rsidRPr="00E74F40">
        <w:rPr>
          <w:rtl/>
        </w:rPr>
        <w:t xml:space="preserve"> </w:t>
      </w:r>
      <w:r w:rsidRPr="00E74F40">
        <w:rPr>
          <w:rFonts w:hint="eastAsia"/>
          <w:rtl/>
        </w:rPr>
        <w:t>העדיפויות</w:t>
      </w:r>
      <w:r w:rsidRPr="00E74F40">
        <w:rPr>
          <w:rtl/>
        </w:rPr>
        <w:t xml:space="preserve"> </w:t>
      </w:r>
      <w:r w:rsidRPr="00E74F40">
        <w:rPr>
          <w:rFonts w:hint="eastAsia"/>
          <w:rtl/>
        </w:rPr>
        <w:t>לאכיפת</w:t>
      </w:r>
      <w:r w:rsidRPr="00E74F40">
        <w:rPr>
          <w:rtl/>
        </w:rPr>
        <w:t xml:space="preserve"> </w:t>
      </w:r>
      <w:r w:rsidRPr="00E74F40">
        <w:rPr>
          <w:rFonts w:hint="eastAsia"/>
          <w:rtl/>
        </w:rPr>
        <w:t>הדין</w:t>
      </w:r>
      <w:r w:rsidRPr="00E74F40">
        <w:rPr>
          <w:rtl/>
        </w:rPr>
        <w:t xml:space="preserve"> </w:t>
      </w:r>
      <w:r w:rsidRPr="00E74F40">
        <w:rPr>
          <w:rFonts w:hint="eastAsia"/>
          <w:rtl/>
        </w:rPr>
        <w:t>מסורה</w:t>
      </w:r>
      <w:r w:rsidRPr="00E74F40">
        <w:rPr>
          <w:rtl/>
        </w:rPr>
        <w:t xml:space="preserve"> </w:t>
      </w:r>
      <w:r w:rsidRPr="00E74F40">
        <w:rPr>
          <w:rFonts w:hint="eastAsia"/>
          <w:rtl/>
        </w:rPr>
        <w:t>לרשות</w:t>
      </w:r>
      <w:r w:rsidRPr="00E74F40">
        <w:rPr>
          <w:rtl/>
        </w:rPr>
        <w:t xml:space="preserve"> </w:t>
      </w:r>
      <w:r w:rsidRPr="00E74F40">
        <w:rPr>
          <w:rFonts w:hint="eastAsia"/>
          <w:rtl/>
        </w:rPr>
        <w:t>המינהלית</w:t>
      </w:r>
      <w:r w:rsidRPr="00E74F40">
        <w:rPr>
          <w:rtl/>
        </w:rPr>
        <w:t xml:space="preserve"> </w:t>
      </w:r>
      <w:r w:rsidRPr="00E74F40">
        <w:rPr>
          <w:rFonts w:hint="eastAsia"/>
          <w:rtl/>
        </w:rPr>
        <w:t>המוסמכת</w:t>
      </w:r>
      <w:r w:rsidRPr="00E74F40">
        <w:rPr>
          <w:rtl/>
        </w:rPr>
        <w:t xml:space="preserve"> (</w:t>
      </w:r>
      <w:r w:rsidRPr="00E74F40">
        <w:rPr>
          <w:rFonts w:hint="eastAsia"/>
          <w:rtl/>
        </w:rPr>
        <w:t>ראו</w:t>
      </w:r>
      <w:r>
        <w:rPr>
          <w:rFonts w:hint="cs"/>
          <w:rtl/>
        </w:rPr>
        <w:t xml:space="preserve"> למשל: </w:t>
      </w:r>
      <w:hyperlink r:id="rId7" w:history="1">
        <w:r w:rsidR="006531B9" w:rsidRPr="006531B9">
          <w:rPr>
            <w:rFonts w:hint="eastAsia"/>
            <w:color w:val="0000FF"/>
            <w:u w:val="single"/>
            <w:rtl/>
          </w:rPr>
          <w:t>בג</w:t>
        </w:r>
        <w:r w:rsidR="006531B9" w:rsidRPr="006531B9">
          <w:rPr>
            <w:color w:val="0000FF"/>
            <w:u w:val="single"/>
            <w:rtl/>
          </w:rPr>
          <w:t>"</w:t>
        </w:r>
        <w:r w:rsidR="006531B9" w:rsidRPr="006531B9">
          <w:rPr>
            <w:rFonts w:hint="eastAsia"/>
            <w:color w:val="0000FF"/>
            <w:u w:val="single"/>
            <w:rtl/>
          </w:rPr>
          <w:t>ץ</w:t>
        </w:r>
        <w:r w:rsidR="006531B9" w:rsidRPr="006531B9">
          <w:rPr>
            <w:color w:val="0000FF"/>
            <w:u w:val="single"/>
            <w:rtl/>
          </w:rPr>
          <w:t xml:space="preserve"> 6243/08</w:t>
        </w:r>
      </w:hyperlink>
      <w:r w:rsidRPr="00E74F40">
        <w:rPr>
          <w:rtl/>
        </w:rPr>
        <w:t xml:space="preserve"> </w:t>
      </w:r>
      <w:r w:rsidRPr="00422DCF">
        <w:rPr>
          <w:rFonts w:ascii="Century" w:hAnsi="Century" w:cs="Miriam" w:hint="eastAsia"/>
          <w:b/>
          <w:spacing w:val="0"/>
          <w:szCs w:val="24"/>
          <w:rtl/>
        </w:rPr>
        <w:t>התנועה</w:t>
      </w:r>
      <w:r w:rsidRPr="00422DCF">
        <w:rPr>
          <w:rFonts w:ascii="Century" w:hAnsi="Century" w:cs="Miriam"/>
          <w:b/>
          <w:spacing w:val="0"/>
          <w:szCs w:val="24"/>
          <w:rtl/>
        </w:rPr>
        <w:t xml:space="preserve"> </w:t>
      </w:r>
      <w:r w:rsidRPr="00422DCF">
        <w:rPr>
          <w:rFonts w:ascii="Century" w:hAnsi="Century" w:cs="Miriam" w:hint="eastAsia"/>
          <w:b/>
          <w:spacing w:val="0"/>
          <w:szCs w:val="24"/>
          <w:rtl/>
        </w:rPr>
        <w:t>לשמירת</w:t>
      </w:r>
      <w:r w:rsidRPr="00422DCF">
        <w:rPr>
          <w:rFonts w:ascii="Century" w:hAnsi="Century" w:cs="Miriam"/>
          <w:b/>
          <w:spacing w:val="0"/>
          <w:szCs w:val="24"/>
          <w:rtl/>
        </w:rPr>
        <w:t xml:space="preserve"> </w:t>
      </w:r>
      <w:r w:rsidRPr="00422DCF">
        <w:rPr>
          <w:rFonts w:ascii="Century" w:hAnsi="Century" w:cs="Miriam" w:hint="eastAsia"/>
          <w:b/>
          <w:spacing w:val="0"/>
          <w:szCs w:val="24"/>
          <w:rtl/>
        </w:rPr>
        <w:t>אדמות</w:t>
      </w:r>
      <w:r w:rsidRPr="00422DCF">
        <w:rPr>
          <w:rFonts w:ascii="Century" w:hAnsi="Century" w:cs="Miriam"/>
          <w:b/>
          <w:spacing w:val="0"/>
          <w:szCs w:val="24"/>
          <w:rtl/>
        </w:rPr>
        <w:t xml:space="preserve"> </w:t>
      </w:r>
      <w:r w:rsidRPr="00422DCF">
        <w:rPr>
          <w:rFonts w:ascii="Century" w:hAnsi="Century" w:cs="Miriam" w:hint="eastAsia"/>
          <w:b/>
          <w:spacing w:val="0"/>
          <w:szCs w:val="24"/>
          <w:rtl/>
        </w:rPr>
        <w:t>הלאום</w:t>
      </w:r>
      <w:r w:rsidRPr="00422DCF">
        <w:rPr>
          <w:rFonts w:ascii="Century" w:hAnsi="Century" w:cs="Miriam"/>
          <w:b/>
          <w:spacing w:val="0"/>
          <w:szCs w:val="24"/>
          <w:rtl/>
        </w:rPr>
        <w:t xml:space="preserve"> </w:t>
      </w:r>
      <w:r w:rsidRPr="00422DCF">
        <w:rPr>
          <w:rFonts w:ascii="Century" w:hAnsi="Century" w:cs="Miriam" w:hint="eastAsia"/>
          <w:b/>
          <w:spacing w:val="0"/>
          <w:szCs w:val="24"/>
          <w:rtl/>
        </w:rPr>
        <w:t>נ</w:t>
      </w:r>
      <w:r w:rsidRPr="00422DCF">
        <w:rPr>
          <w:rFonts w:ascii="Century" w:hAnsi="Century" w:cs="Miriam"/>
          <w:b/>
          <w:spacing w:val="0"/>
          <w:szCs w:val="24"/>
          <w:rtl/>
        </w:rPr>
        <w:t xml:space="preserve">' </w:t>
      </w:r>
      <w:r w:rsidRPr="00422DCF">
        <w:rPr>
          <w:rFonts w:ascii="Century" w:hAnsi="Century" w:cs="Miriam" w:hint="eastAsia"/>
          <w:b/>
          <w:spacing w:val="0"/>
          <w:szCs w:val="24"/>
          <w:rtl/>
        </w:rPr>
        <w:t>שר</w:t>
      </w:r>
      <w:r w:rsidRPr="00422DCF">
        <w:rPr>
          <w:rFonts w:ascii="Century" w:hAnsi="Century" w:cs="Miriam"/>
          <w:b/>
          <w:spacing w:val="0"/>
          <w:szCs w:val="24"/>
          <w:rtl/>
        </w:rPr>
        <w:t xml:space="preserve"> </w:t>
      </w:r>
      <w:r w:rsidRPr="00422DCF">
        <w:rPr>
          <w:rFonts w:ascii="Century" w:hAnsi="Century" w:cs="Miriam" w:hint="eastAsia"/>
          <w:b/>
          <w:spacing w:val="0"/>
          <w:szCs w:val="24"/>
          <w:rtl/>
        </w:rPr>
        <w:t>הבטחון</w:t>
      </w:r>
      <w:r w:rsidRPr="00422DCF">
        <w:rPr>
          <w:rFonts w:ascii="Century" w:hAnsi="Century" w:cs="Miriam" w:hint="cs"/>
          <w:b/>
          <w:spacing w:val="0"/>
          <w:szCs w:val="24"/>
          <w:rtl/>
        </w:rPr>
        <w:t>, מר אהוד ברק</w:t>
      </w:r>
      <w:r w:rsidRPr="00E74F40">
        <w:rPr>
          <w:rtl/>
        </w:rPr>
        <w:t xml:space="preserve">, </w:t>
      </w:r>
      <w:r>
        <w:rPr>
          <w:rFonts w:hint="cs"/>
          <w:rtl/>
        </w:rPr>
        <w:t>פסקאות 24-23</w:t>
      </w:r>
      <w:r w:rsidRPr="00E74F40">
        <w:rPr>
          <w:rtl/>
        </w:rPr>
        <w:t xml:space="preserve"> </w:t>
      </w:r>
      <w:r w:rsidR="00D4634E" w:rsidRPr="00D4634E">
        <w:rPr>
          <w:rFonts w:ascii="Times New Roman" w:hAnsi="Times New Roman" w:cs="David"/>
          <w:spacing w:val="0"/>
          <w:sz w:val="22"/>
          <w:szCs w:val="24"/>
          <w:rtl/>
        </w:rPr>
        <w:t>[</w:t>
      </w:r>
      <w:r w:rsidR="00D4634E" w:rsidRPr="00D4634E">
        <w:rPr>
          <w:rFonts w:ascii="Times New Roman" w:hAnsi="Times New Roman" w:cs="David" w:hint="eastAsia"/>
          <w:spacing w:val="0"/>
          <w:sz w:val="22"/>
          <w:szCs w:val="24"/>
          <w:rtl/>
        </w:rPr>
        <w:t>פורסם</w:t>
      </w:r>
      <w:r w:rsidR="00D4634E" w:rsidRPr="00D4634E">
        <w:rPr>
          <w:rFonts w:ascii="Times New Roman" w:hAnsi="Times New Roman" w:cs="David"/>
          <w:spacing w:val="0"/>
          <w:sz w:val="22"/>
          <w:szCs w:val="24"/>
          <w:rtl/>
        </w:rPr>
        <w:t xml:space="preserve"> </w:t>
      </w:r>
      <w:r w:rsidR="00D4634E" w:rsidRPr="00D4634E">
        <w:rPr>
          <w:rFonts w:ascii="Times New Roman" w:hAnsi="Times New Roman" w:cs="David" w:hint="eastAsia"/>
          <w:spacing w:val="0"/>
          <w:sz w:val="22"/>
          <w:szCs w:val="24"/>
          <w:rtl/>
        </w:rPr>
        <w:t>בנבו</w:t>
      </w:r>
      <w:r w:rsidR="00D4634E" w:rsidRPr="00D4634E">
        <w:rPr>
          <w:rFonts w:ascii="Times New Roman" w:hAnsi="Times New Roman" w:cs="David"/>
          <w:spacing w:val="0"/>
          <w:sz w:val="22"/>
          <w:szCs w:val="24"/>
          <w:rtl/>
        </w:rPr>
        <w:t xml:space="preserve">] </w:t>
      </w:r>
      <w:r w:rsidRPr="00E74F40">
        <w:rPr>
          <w:rtl/>
        </w:rPr>
        <w:t>(2.12.2010)</w:t>
      </w:r>
      <w:r>
        <w:rPr>
          <w:rFonts w:hint="cs"/>
          <w:rtl/>
        </w:rPr>
        <w:t>;</w:t>
      </w:r>
      <w:r w:rsidRPr="00E74F40">
        <w:rPr>
          <w:rFonts w:hint="eastAsia"/>
          <w:rtl/>
        </w:rPr>
        <w:t xml:space="preserve"> </w:t>
      </w:r>
      <w:hyperlink r:id="rId8" w:history="1">
        <w:r w:rsidR="006531B9" w:rsidRPr="006531B9">
          <w:rPr>
            <w:rFonts w:hint="eastAsia"/>
            <w:color w:val="0000FF"/>
            <w:u w:val="single"/>
            <w:rtl/>
          </w:rPr>
          <w:t>עע</w:t>
        </w:r>
        <w:r w:rsidR="006531B9" w:rsidRPr="006531B9">
          <w:rPr>
            <w:color w:val="0000FF"/>
            <w:u w:val="single"/>
            <w:rtl/>
          </w:rPr>
          <w:t>"</w:t>
        </w:r>
        <w:r w:rsidR="006531B9" w:rsidRPr="006531B9">
          <w:rPr>
            <w:rFonts w:hint="eastAsia"/>
            <w:color w:val="0000FF"/>
            <w:u w:val="single"/>
            <w:rtl/>
          </w:rPr>
          <w:t>מ</w:t>
        </w:r>
        <w:r w:rsidR="006531B9" w:rsidRPr="006531B9">
          <w:rPr>
            <w:color w:val="0000FF"/>
            <w:u w:val="single"/>
            <w:rtl/>
          </w:rPr>
          <w:t xml:space="preserve"> 8840/23</w:t>
        </w:r>
      </w:hyperlink>
      <w:r>
        <w:rPr>
          <w:rFonts w:hint="cs"/>
          <w:rtl/>
        </w:rPr>
        <w:t xml:space="preserve"> </w:t>
      </w:r>
      <w:r w:rsidRPr="00422DCF">
        <w:rPr>
          <w:rFonts w:ascii="Century" w:hAnsi="Century" w:cs="Miriam" w:hint="eastAsia"/>
          <w:b/>
          <w:spacing w:val="0"/>
          <w:szCs w:val="24"/>
          <w:rtl/>
        </w:rPr>
        <w:t>אלאטרש</w:t>
      </w:r>
      <w:r w:rsidRPr="00422DCF">
        <w:rPr>
          <w:rFonts w:ascii="Century" w:hAnsi="Century" w:cs="Miriam"/>
          <w:b/>
          <w:spacing w:val="0"/>
          <w:szCs w:val="24"/>
          <w:rtl/>
        </w:rPr>
        <w:t xml:space="preserve"> </w:t>
      </w:r>
      <w:r w:rsidRPr="00422DCF">
        <w:rPr>
          <w:rFonts w:ascii="Century" w:hAnsi="Century" w:cs="Miriam" w:hint="eastAsia"/>
          <w:b/>
          <w:spacing w:val="0"/>
          <w:szCs w:val="24"/>
          <w:rtl/>
        </w:rPr>
        <w:t>נ</w:t>
      </w:r>
      <w:r w:rsidRPr="00422DCF">
        <w:rPr>
          <w:rFonts w:ascii="Century" w:hAnsi="Century" w:cs="Miriam"/>
          <w:b/>
          <w:spacing w:val="0"/>
          <w:szCs w:val="24"/>
          <w:rtl/>
        </w:rPr>
        <w:t xml:space="preserve">' </w:t>
      </w:r>
      <w:r w:rsidRPr="00422DCF">
        <w:rPr>
          <w:rFonts w:ascii="Century" w:hAnsi="Century" w:cs="Miriam" w:hint="eastAsia"/>
          <w:b/>
          <w:spacing w:val="0"/>
          <w:szCs w:val="24"/>
          <w:rtl/>
        </w:rPr>
        <w:t>המינהל</w:t>
      </w:r>
      <w:r w:rsidRPr="00422DCF">
        <w:rPr>
          <w:rFonts w:ascii="Century" w:hAnsi="Century" w:cs="Miriam"/>
          <w:b/>
          <w:spacing w:val="0"/>
          <w:szCs w:val="24"/>
          <w:rtl/>
        </w:rPr>
        <w:t xml:space="preserve"> </w:t>
      </w:r>
      <w:r w:rsidRPr="00422DCF">
        <w:rPr>
          <w:rFonts w:ascii="Century" w:hAnsi="Century" w:cs="Miriam" w:hint="eastAsia"/>
          <w:b/>
          <w:spacing w:val="0"/>
          <w:szCs w:val="24"/>
          <w:rtl/>
        </w:rPr>
        <w:t>האזרחי</w:t>
      </w:r>
      <w:r w:rsidRPr="00422DCF">
        <w:rPr>
          <w:rFonts w:ascii="Century" w:hAnsi="Century" w:cs="Miriam"/>
          <w:b/>
          <w:spacing w:val="0"/>
          <w:szCs w:val="24"/>
          <w:rtl/>
        </w:rPr>
        <w:t xml:space="preserve"> </w:t>
      </w:r>
      <w:r w:rsidRPr="00422DCF">
        <w:rPr>
          <w:rFonts w:ascii="Century" w:hAnsi="Century" w:cs="Miriam" w:hint="eastAsia"/>
          <w:b/>
          <w:spacing w:val="0"/>
          <w:szCs w:val="24"/>
          <w:rtl/>
        </w:rPr>
        <w:t>באיו</w:t>
      </w:r>
      <w:r w:rsidRPr="00422DCF">
        <w:rPr>
          <w:rFonts w:ascii="Century" w:hAnsi="Century" w:cs="Miriam"/>
          <w:b/>
          <w:spacing w:val="0"/>
          <w:szCs w:val="24"/>
          <w:rtl/>
        </w:rPr>
        <w:t>"</w:t>
      </w:r>
      <w:r w:rsidRPr="00422DCF">
        <w:rPr>
          <w:rFonts w:ascii="Century" w:hAnsi="Century" w:cs="Miriam" w:hint="eastAsia"/>
          <w:b/>
          <w:spacing w:val="0"/>
          <w:szCs w:val="24"/>
          <w:rtl/>
        </w:rPr>
        <w:t>ש</w:t>
      </w:r>
      <w:r>
        <w:rPr>
          <w:rFonts w:hint="cs"/>
          <w:rtl/>
        </w:rPr>
        <w:t xml:space="preserve">, פסקה 12 </w:t>
      </w:r>
      <w:r w:rsidR="00D4634E" w:rsidRPr="00D4634E">
        <w:rPr>
          <w:rFonts w:ascii="Times New Roman" w:hAnsi="Times New Roman" w:cs="David"/>
          <w:spacing w:val="0"/>
          <w:sz w:val="22"/>
          <w:szCs w:val="24"/>
          <w:rtl/>
        </w:rPr>
        <w:t>[</w:t>
      </w:r>
      <w:r w:rsidR="00D4634E" w:rsidRPr="00D4634E">
        <w:rPr>
          <w:rFonts w:ascii="Times New Roman" w:hAnsi="Times New Roman" w:cs="David" w:hint="eastAsia"/>
          <w:spacing w:val="0"/>
          <w:sz w:val="22"/>
          <w:szCs w:val="24"/>
          <w:rtl/>
        </w:rPr>
        <w:t>פורסם</w:t>
      </w:r>
      <w:r w:rsidR="00D4634E" w:rsidRPr="00D4634E">
        <w:rPr>
          <w:rFonts w:ascii="Times New Roman" w:hAnsi="Times New Roman" w:cs="David"/>
          <w:spacing w:val="0"/>
          <w:sz w:val="22"/>
          <w:szCs w:val="24"/>
          <w:rtl/>
        </w:rPr>
        <w:t xml:space="preserve"> </w:t>
      </w:r>
      <w:r w:rsidR="00D4634E" w:rsidRPr="00D4634E">
        <w:rPr>
          <w:rFonts w:ascii="Times New Roman" w:hAnsi="Times New Roman" w:cs="David" w:hint="eastAsia"/>
          <w:spacing w:val="0"/>
          <w:sz w:val="22"/>
          <w:szCs w:val="24"/>
          <w:rtl/>
        </w:rPr>
        <w:t>בנבו</w:t>
      </w:r>
      <w:r w:rsidR="00D4634E" w:rsidRPr="00D4634E">
        <w:rPr>
          <w:rFonts w:ascii="Times New Roman" w:hAnsi="Times New Roman" w:cs="David"/>
          <w:spacing w:val="0"/>
          <w:sz w:val="22"/>
          <w:szCs w:val="24"/>
          <w:rtl/>
        </w:rPr>
        <w:t xml:space="preserve">] </w:t>
      </w:r>
      <w:r>
        <w:rPr>
          <w:rFonts w:hint="cs"/>
          <w:rtl/>
        </w:rPr>
        <w:t>(22.1.2024)</w:t>
      </w:r>
      <w:r w:rsidRPr="00E74F40">
        <w:rPr>
          <w:rtl/>
        </w:rPr>
        <w:t>).</w:t>
      </w:r>
      <w:r w:rsidRPr="00E74F40">
        <w:rPr>
          <w:rFonts w:hint="eastAsia"/>
          <w:rtl/>
        </w:rPr>
        <w:t xml:space="preserve"> </w:t>
      </w:r>
      <w:r>
        <w:rPr>
          <w:rFonts w:hint="cs"/>
          <w:rtl/>
        </w:rPr>
        <w:t xml:space="preserve">התערבות בכגון דא תהיה מתוחמת ככלל למקרים חריגים </w:t>
      </w:r>
      <w:r>
        <w:rPr>
          <w:rFonts w:hint="eastAsia"/>
          <w:rtl/>
        </w:rPr>
        <w:t>ונדירים</w:t>
      </w:r>
      <w:r>
        <w:rPr>
          <w:rtl/>
        </w:rPr>
        <w:t xml:space="preserve"> </w:t>
      </w:r>
      <w:r>
        <w:rPr>
          <w:rFonts w:hint="cs"/>
          <w:rtl/>
        </w:rPr>
        <w:t xml:space="preserve">ביותר </w:t>
      </w:r>
      <w:r>
        <w:rPr>
          <w:rFonts w:hint="eastAsia"/>
          <w:rtl/>
        </w:rPr>
        <w:t>בהם</w:t>
      </w:r>
      <w:r>
        <w:rPr>
          <w:rtl/>
        </w:rPr>
        <w:t xml:space="preserve"> </w:t>
      </w:r>
      <w:r>
        <w:rPr>
          <w:rFonts w:hint="eastAsia"/>
          <w:rtl/>
        </w:rPr>
        <w:t>הוכח</w:t>
      </w:r>
      <w:r>
        <w:rPr>
          <w:rtl/>
        </w:rPr>
        <w:t xml:space="preserve"> </w:t>
      </w:r>
      <w:r>
        <w:rPr>
          <w:rFonts w:hint="eastAsia"/>
          <w:rtl/>
        </w:rPr>
        <w:t>כי</w:t>
      </w:r>
      <w:r>
        <w:rPr>
          <w:rtl/>
        </w:rPr>
        <w:t xml:space="preserve"> </w:t>
      </w:r>
      <w:r>
        <w:rPr>
          <w:rFonts w:hint="cs"/>
          <w:rtl/>
        </w:rPr>
        <w:t xml:space="preserve">הרשויות התנערו </w:t>
      </w:r>
      <w:r>
        <w:rPr>
          <w:rFonts w:hint="eastAsia"/>
          <w:rtl/>
        </w:rPr>
        <w:t>לחלוטין</w:t>
      </w:r>
      <w:r>
        <w:rPr>
          <w:rtl/>
        </w:rPr>
        <w:t xml:space="preserve"> </w:t>
      </w:r>
      <w:r>
        <w:rPr>
          <w:rFonts w:hint="eastAsia"/>
          <w:rtl/>
        </w:rPr>
        <w:t>מחובתן</w:t>
      </w:r>
      <w:r>
        <w:rPr>
          <w:rtl/>
        </w:rPr>
        <w:t xml:space="preserve"> </w:t>
      </w:r>
      <w:r>
        <w:rPr>
          <w:rFonts w:hint="eastAsia"/>
          <w:rtl/>
        </w:rPr>
        <w:t>לאכוף</w:t>
      </w:r>
      <w:r>
        <w:rPr>
          <w:rtl/>
        </w:rPr>
        <w:t xml:space="preserve"> </w:t>
      </w:r>
      <w:r>
        <w:rPr>
          <w:rFonts w:hint="eastAsia"/>
          <w:rtl/>
        </w:rPr>
        <w:t>את</w:t>
      </w:r>
      <w:r>
        <w:rPr>
          <w:rtl/>
        </w:rPr>
        <w:t xml:space="preserve"> </w:t>
      </w:r>
      <w:r>
        <w:rPr>
          <w:rFonts w:hint="cs"/>
          <w:rtl/>
        </w:rPr>
        <w:t xml:space="preserve">הדין </w:t>
      </w:r>
      <w:r>
        <w:rPr>
          <w:rFonts w:hint="eastAsia"/>
          <w:rtl/>
        </w:rPr>
        <w:t>או</w:t>
      </w:r>
      <w:r>
        <w:rPr>
          <w:rtl/>
        </w:rPr>
        <w:t xml:space="preserve"> </w:t>
      </w:r>
      <w:r>
        <w:rPr>
          <w:rFonts w:hint="eastAsia"/>
          <w:rtl/>
        </w:rPr>
        <w:t>כשהתברר</w:t>
      </w:r>
      <w:r>
        <w:rPr>
          <w:rtl/>
        </w:rPr>
        <w:t xml:space="preserve"> </w:t>
      </w:r>
      <w:r>
        <w:rPr>
          <w:rFonts w:hint="eastAsia"/>
          <w:rtl/>
        </w:rPr>
        <w:t>כי</w:t>
      </w:r>
      <w:r>
        <w:rPr>
          <w:rtl/>
        </w:rPr>
        <w:t xml:space="preserve"> </w:t>
      </w:r>
      <w:r>
        <w:rPr>
          <w:rFonts w:hint="eastAsia"/>
          <w:rtl/>
        </w:rPr>
        <w:t>נפל</w:t>
      </w:r>
      <w:r>
        <w:rPr>
          <w:rtl/>
        </w:rPr>
        <w:t xml:space="preserve"> </w:t>
      </w:r>
      <w:r>
        <w:rPr>
          <w:rFonts w:hint="eastAsia"/>
          <w:rtl/>
        </w:rPr>
        <w:t>פגם</w:t>
      </w:r>
      <w:r>
        <w:rPr>
          <w:rtl/>
        </w:rPr>
        <w:t xml:space="preserve"> </w:t>
      </w:r>
      <w:r>
        <w:rPr>
          <w:rFonts w:hint="eastAsia"/>
          <w:rtl/>
        </w:rPr>
        <w:t>מהותי</w:t>
      </w:r>
      <w:r>
        <w:rPr>
          <w:rtl/>
        </w:rPr>
        <w:t xml:space="preserve"> </w:t>
      </w:r>
      <w:r>
        <w:rPr>
          <w:rFonts w:hint="eastAsia"/>
          <w:rtl/>
        </w:rPr>
        <w:t>אחר</w:t>
      </w:r>
      <w:r>
        <w:rPr>
          <w:rtl/>
        </w:rPr>
        <w:t xml:space="preserve"> </w:t>
      </w:r>
      <w:r>
        <w:rPr>
          <w:rFonts w:hint="eastAsia"/>
          <w:rtl/>
        </w:rPr>
        <w:t>בהחלטות</w:t>
      </w:r>
      <w:r>
        <w:rPr>
          <w:rtl/>
        </w:rPr>
        <w:t xml:space="preserve"> </w:t>
      </w:r>
      <w:r>
        <w:rPr>
          <w:rFonts w:hint="cs"/>
          <w:rtl/>
        </w:rPr>
        <w:t>שהתקבלו (</w:t>
      </w:r>
      <w:r w:rsidRPr="006233DC">
        <w:rPr>
          <w:rFonts w:hint="eastAsia"/>
          <w:rtl/>
        </w:rPr>
        <w:t>ראו</w:t>
      </w:r>
      <w:r w:rsidRPr="006233DC">
        <w:rPr>
          <w:rtl/>
        </w:rPr>
        <w:t xml:space="preserve"> </w:t>
      </w:r>
      <w:r w:rsidRPr="006233DC">
        <w:rPr>
          <w:rFonts w:hint="eastAsia"/>
          <w:rtl/>
        </w:rPr>
        <w:t>למשל</w:t>
      </w:r>
      <w:r w:rsidRPr="006233DC">
        <w:rPr>
          <w:rtl/>
        </w:rPr>
        <w:t xml:space="preserve"> </w:t>
      </w:r>
      <w:hyperlink r:id="rId9" w:history="1">
        <w:r w:rsidR="006531B9" w:rsidRPr="006531B9">
          <w:rPr>
            <w:rFonts w:hint="eastAsia"/>
            <w:color w:val="0000FF"/>
            <w:u w:val="single"/>
            <w:rtl/>
          </w:rPr>
          <w:t>בג</w:t>
        </w:r>
        <w:r w:rsidR="006531B9" w:rsidRPr="006531B9">
          <w:rPr>
            <w:color w:val="0000FF"/>
            <w:u w:val="single"/>
            <w:rtl/>
          </w:rPr>
          <w:t>"</w:t>
        </w:r>
        <w:r w:rsidR="006531B9" w:rsidRPr="006531B9">
          <w:rPr>
            <w:rFonts w:hint="eastAsia"/>
            <w:color w:val="0000FF"/>
            <w:u w:val="single"/>
            <w:rtl/>
          </w:rPr>
          <w:t>ץ</w:t>
        </w:r>
        <w:r w:rsidR="006531B9" w:rsidRPr="006531B9">
          <w:rPr>
            <w:color w:val="0000FF"/>
            <w:u w:val="single"/>
            <w:rtl/>
          </w:rPr>
          <w:t xml:space="preserve"> 1161/06</w:t>
        </w:r>
      </w:hyperlink>
      <w:r w:rsidRPr="006233DC">
        <w:rPr>
          <w:rtl/>
        </w:rPr>
        <w:t xml:space="preserve"> </w:t>
      </w:r>
      <w:r w:rsidRPr="00422DCF">
        <w:rPr>
          <w:rFonts w:ascii="Century" w:hAnsi="Century" w:cs="Miriam" w:hint="eastAsia"/>
          <w:b/>
          <w:spacing w:val="0"/>
          <w:szCs w:val="24"/>
          <w:rtl/>
        </w:rPr>
        <w:t>תנועת</w:t>
      </w:r>
      <w:r w:rsidRPr="00422DCF">
        <w:rPr>
          <w:rFonts w:ascii="Century" w:hAnsi="Century" w:cs="Miriam"/>
          <w:b/>
          <w:spacing w:val="0"/>
          <w:szCs w:val="24"/>
          <w:rtl/>
        </w:rPr>
        <w:t xml:space="preserve"> "</w:t>
      </w:r>
      <w:r w:rsidRPr="00422DCF">
        <w:rPr>
          <w:rFonts w:ascii="Century" w:hAnsi="Century" w:cs="Miriam" w:hint="eastAsia"/>
          <w:b/>
          <w:spacing w:val="0"/>
          <w:szCs w:val="24"/>
          <w:rtl/>
        </w:rPr>
        <w:t>אנחנו</w:t>
      </w:r>
      <w:r w:rsidRPr="00422DCF">
        <w:rPr>
          <w:rFonts w:ascii="Century" w:hAnsi="Century" w:cs="Miriam"/>
          <w:b/>
          <w:spacing w:val="0"/>
          <w:szCs w:val="24"/>
          <w:rtl/>
        </w:rPr>
        <w:t xml:space="preserve"> </w:t>
      </w:r>
      <w:r w:rsidRPr="00422DCF">
        <w:rPr>
          <w:rFonts w:ascii="Century" w:hAnsi="Century" w:cs="Miriam" w:hint="eastAsia"/>
          <w:b/>
          <w:spacing w:val="0"/>
          <w:szCs w:val="24"/>
          <w:rtl/>
        </w:rPr>
        <w:t>על</w:t>
      </w:r>
      <w:r w:rsidRPr="00422DCF">
        <w:rPr>
          <w:rFonts w:ascii="Century" w:hAnsi="Century" w:cs="Miriam"/>
          <w:b/>
          <w:spacing w:val="0"/>
          <w:szCs w:val="24"/>
          <w:rtl/>
        </w:rPr>
        <w:t xml:space="preserve"> </w:t>
      </w:r>
      <w:r w:rsidRPr="00422DCF">
        <w:rPr>
          <w:rFonts w:ascii="Century" w:hAnsi="Century" w:cs="Miriam" w:hint="eastAsia"/>
          <w:b/>
          <w:spacing w:val="0"/>
          <w:szCs w:val="24"/>
          <w:rtl/>
        </w:rPr>
        <w:t>המפה</w:t>
      </w:r>
      <w:r w:rsidRPr="00422DCF">
        <w:rPr>
          <w:rFonts w:ascii="Century" w:hAnsi="Century" w:cs="Miriam"/>
          <w:b/>
          <w:spacing w:val="0"/>
          <w:szCs w:val="24"/>
          <w:rtl/>
        </w:rPr>
        <w:t xml:space="preserve">" </w:t>
      </w:r>
      <w:r w:rsidRPr="00422DCF">
        <w:rPr>
          <w:rFonts w:ascii="Century" w:hAnsi="Century" w:cs="Miriam" w:hint="eastAsia"/>
          <w:b/>
          <w:spacing w:val="0"/>
          <w:szCs w:val="24"/>
          <w:rtl/>
        </w:rPr>
        <w:t>נ</w:t>
      </w:r>
      <w:r w:rsidRPr="00422DCF">
        <w:rPr>
          <w:rFonts w:ascii="Century" w:hAnsi="Century" w:cs="Miriam"/>
          <w:b/>
          <w:spacing w:val="0"/>
          <w:szCs w:val="24"/>
          <w:rtl/>
        </w:rPr>
        <w:t xml:space="preserve">' </w:t>
      </w:r>
      <w:r w:rsidRPr="00422DCF">
        <w:rPr>
          <w:rFonts w:ascii="Century" w:hAnsi="Century" w:cs="Miriam" w:hint="eastAsia"/>
          <w:b/>
          <w:spacing w:val="0"/>
          <w:szCs w:val="24"/>
          <w:rtl/>
        </w:rPr>
        <w:t>שר</w:t>
      </w:r>
      <w:r w:rsidRPr="00422DCF">
        <w:rPr>
          <w:rFonts w:ascii="Century" w:hAnsi="Century" w:cs="Miriam"/>
          <w:b/>
          <w:spacing w:val="0"/>
          <w:szCs w:val="24"/>
          <w:rtl/>
        </w:rPr>
        <w:t xml:space="preserve"> </w:t>
      </w:r>
      <w:r w:rsidRPr="00422DCF">
        <w:rPr>
          <w:rFonts w:ascii="Century" w:hAnsi="Century" w:cs="Miriam" w:hint="eastAsia"/>
          <w:b/>
          <w:spacing w:val="0"/>
          <w:szCs w:val="24"/>
          <w:rtl/>
        </w:rPr>
        <w:t>הבטחון</w:t>
      </w:r>
      <w:r>
        <w:rPr>
          <w:rFonts w:hint="cs"/>
          <w:rtl/>
        </w:rPr>
        <w:t xml:space="preserve">, פסקאות </w:t>
      </w:r>
      <w:r>
        <w:rPr>
          <w:rtl/>
        </w:rPr>
        <w:t xml:space="preserve">11-9 </w:t>
      </w:r>
      <w:r w:rsidR="00D4634E" w:rsidRPr="00D4634E">
        <w:rPr>
          <w:rFonts w:ascii="Times New Roman" w:hAnsi="Times New Roman" w:cs="David"/>
          <w:spacing w:val="0"/>
          <w:sz w:val="22"/>
          <w:szCs w:val="24"/>
          <w:rtl/>
        </w:rPr>
        <w:t>[</w:t>
      </w:r>
      <w:r w:rsidR="00D4634E" w:rsidRPr="00D4634E">
        <w:rPr>
          <w:rFonts w:ascii="Times New Roman" w:hAnsi="Times New Roman" w:cs="David" w:hint="eastAsia"/>
          <w:spacing w:val="0"/>
          <w:sz w:val="22"/>
          <w:szCs w:val="24"/>
          <w:rtl/>
        </w:rPr>
        <w:t>פורסם</w:t>
      </w:r>
      <w:r w:rsidR="00D4634E" w:rsidRPr="00D4634E">
        <w:rPr>
          <w:rFonts w:ascii="Times New Roman" w:hAnsi="Times New Roman" w:cs="David"/>
          <w:spacing w:val="0"/>
          <w:sz w:val="22"/>
          <w:szCs w:val="24"/>
          <w:rtl/>
        </w:rPr>
        <w:t xml:space="preserve"> </w:t>
      </w:r>
      <w:r w:rsidR="00D4634E" w:rsidRPr="00D4634E">
        <w:rPr>
          <w:rFonts w:ascii="Times New Roman" w:hAnsi="Times New Roman" w:cs="David" w:hint="eastAsia"/>
          <w:spacing w:val="0"/>
          <w:sz w:val="22"/>
          <w:szCs w:val="24"/>
          <w:rtl/>
        </w:rPr>
        <w:t>בנבו</w:t>
      </w:r>
      <w:r w:rsidR="00D4634E" w:rsidRPr="00D4634E">
        <w:rPr>
          <w:rFonts w:ascii="Times New Roman" w:hAnsi="Times New Roman" w:cs="David"/>
          <w:spacing w:val="0"/>
          <w:sz w:val="22"/>
          <w:szCs w:val="24"/>
          <w:rtl/>
        </w:rPr>
        <w:t xml:space="preserve">] </w:t>
      </w:r>
      <w:r>
        <w:rPr>
          <w:rtl/>
        </w:rPr>
        <w:t>(14.10.2007)</w:t>
      </w:r>
      <w:r>
        <w:rPr>
          <w:rFonts w:hint="cs"/>
          <w:rtl/>
        </w:rPr>
        <w:t xml:space="preserve">; </w:t>
      </w:r>
      <w:hyperlink r:id="rId10" w:history="1">
        <w:r w:rsidR="006531B9" w:rsidRPr="006531B9">
          <w:rPr>
            <w:rFonts w:hint="eastAsia"/>
            <w:color w:val="0000FF"/>
            <w:u w:val="single"/>
            <w:rtl/>
          </w:rPr>
          <w:t>בג</w:t>
        </w:r>
        <w:r w:rsidR="006531B9" w:rsidRPr="006531B9">
          <w:rPr>
            <w:color w:val="0000FF"/>
            <w:u w:val="single"/>
            <w:rtl/>
          </w:rPr>
          <w:t>"</w:t>
        </w:r>
        <w:r w:rsidR="006531B9" w:rsidRPr="006531B9">
          <w:rPr>
            <w:rFonts w:hint="eastAsia"/>
            <w:color w:val="0000FF"/>
            <w:u w:val="single"/>
            <w:rtl/>
          </w:rPr>
          <w:t>ץ</w:t>
        </w:r>
        <w:r w:rsidR="006531B9" w:rsidRPr="006531B9">
          <w:rPr>
            <w:color w:val="0000FF"/>
            <w:u w:val="single"/>
            <w:rtl/>
          </w:rPr>
          <w:t xml:space="preserve"> 4475/09</w:t>
        </w:r>
      </w:hyperlink>
      <w:r w:rsidRPr="006233DC">
        <w:rPr>
          <w:rtl/>
        </w:rPr>
        <w:t xml:space="preserve"> </w:t>
      </w:r>
      <w:r w:rsidRPr="00422DCF">
        <w:rPr>
          <w:rFonts w:ascii="Century" w:hAnsi="Century" w:cs="Miriam" w:hint="eastAsia"/>
          <w:b/>
          <w:spacing w:val="0"/>
          <w:szCs w:val="24"/>
          <w:rtl/>
        </w:rPr>
        <w:t>סלמאן</w:t>
      </w:r>
      <w:r w:rsidRPr="00422DCF">
        <w:rPr>
          <w:rFonts w:ascii="Century" w:hAnsi="Century" w:cs="Miriam"/>
          <w:b/>
          <w:spacing w:val="0"/>
          <w:szCs w:val="24"/>
          <w:rtl/>
        </w:rPr>
        <w:t xml:space="preserve"> </w:t>
      </w:r>
      <w:r w:rsidRPr="00422DCF">
        <w:rPr>
          <w:rFonts w:ascii="Century" w:hAnsi="Century" w:cs="Miriam" w:hint="eastAsia"/>
          <w:b/>
          <w:spacing w:val="0"/>
          <w:szCs w:val="24"/>
          <w:rtl/>
        </w:rPr>
        <w:t>נ</w:t>
      </w:r>
      <w:r w:rsidRPr="00422DCF">
        <w:rPr>
          <w:rFonts w:ascii="Century" w:hAnsi="Century" w:cs="Miriam"/>
          <w:b/>
          <w:spacing w:val="0"/>
          <w:szCs w:val="24"/>
          <w:rtl/>
        </w:rPr>
        <w:t xml:space="preserve">' </w:t>
      </w:r>
      <w:r w:rsidRPr="00422DCF">
        <w:rPr>
          <w:rFonts w:ascii="Century" w:hAnsi="Century" w:cs="Miriam" w:hint="eastAsia"/>
          <w:b/>
          <w:spacing w:val="0"/>
          <w:szCs w:val="24"/>
          <w:rtl/>
        </w:rPr>
        <w:t>שר</w:t>
      </w:r>
      <w:r w:rsidRPr="00422DCF">
        <w:rPr>
          <w:rFonts w:ascii="Century" w:hAnsi="Century" w:cs="Miriam"/>
          <w:b/>
          <w:spacing w:val="0"/>
          <w:szCs w:val="24"/>
          <w:rtl/>
        </w:rPr>
        <w:t xml:space="preserve"> </w:t>
      </w:r>
      <w:r w:rsidRPr="00422DCF">
        <w:rPr>
          <w:rFonts w:ascii="Century" w:hAnsi="Century" w:cs="Miriam" w:hint="eastAsia"/>
          <w:b/>
          <w:spacing w:val="0"/>
          <w:szCs w:val="24"/>
          <w:rtl/>
        </w:rPr>
        <w:t>הביטחון</w:t>
      </w:r>
      <w:r w:rsidRPr="006233DC">
        <w:rPr>
          <w:rtl/>
        </w:rPr>
        <w:t xml:space="preserve">, </w:t>
      </w:r>
      <w:r w:rsidRPr="006233DC">
        <w:rPr>
          <w:rFonts w:hint="eastAsia"/>
          <w:rtl/>
        </w:rPr>
        <w:t>פסקה</w:t>
      </w:r>
      <w:r w:rsidRPr="006233DC">
        <w:rPr>
          <w:rtl/>
        </w:rPr>
        <w:t xml:space="preserve"> 14</w:t>
      </w:r>
      <w:r>
        <w:rPr>
          <w:rFonts w:hint="cs"/>
          <w:rtl/>
        </w:rPr>
        <w:t xml:space="preserve"> </w:t>
      </w:r>
      <w:r w:rsidR="00D4634E" w:rsidRPr="00D4634E">
        <w:rPr>
          <w:rFonts w:ascii="Times New Roman" w:hAnsi="Times New Roman" w:cs="David"/>
          <w:spacing w:val="0"/>
          <w:sz w:val="22"/>
          <w:szCs w:val="24"/>
          <w:rtl/>
        </w:rPr>
        <w:t>[</w:t>
      </w:r>
      <w:r w:rsidR="00D4634E" w:rsidRPr="00D4634E">
        <w:rPr>
          <w:rFonts w:ascii="Times New Roman" w:hAnsi="Times New Roman" w:cs="David" w:hint="eastAsia"/>
          <w:spacing w:val="0"/>
          <w:sz w:val="22"/>
          <w:szCs w:val="24"/>
          <w:rtl/>
        </w:rPr>
        <w:t>פורסם</w:t>
      </w:r>
      <w:r w:rsidR="00D4634E" w:rsidRPr="00D4634E">
        <w:rPr>
          <w:rFonts w:ascii="Times New Roman" w:hAnsi="Times New Roman" w:cs="David"/>
          <w:spacing w:val="0"/>
          <w:sz w:val="22"/>
          <w:szCs w:val="24"/>
          <w:rtl/>
        </w:rPr>
        <w:t xml:space="preserve"> </w:t>
      </w:r>
      <w:r w:rsidR="00D4634E" w:rsidRPr="00D4634E">
        <w:rPr>
          <w:rFonts w:ascii="Times New Roman" w:hAnsi="Times New Roman" w:cs="David" w:hint="eastAsia"/>
          <w:spacing w:val="0"/>
          <w:sz w:val="22"/>
          <w:szCs w:val="24"/>
          <w:rtl/>
        </w:rPr>
        <w:t>בנבו</w:t>
      </w:r>
      <w:r w:rsidR="00D4634E" w:rsidRPr="00D4634E">
        <w:rPr>
          <w:rFonts w:ascii="Times New Roman" w:hAnsi="Times New Roman" w:cs="David"/>
          <w:spacing w:val="0"/>
          <w:sz w:val="22"/>
          <w:szCs w:val="24"/>
          <w:rtl/>
        </w:rPr>
        <w:t xml:space="preserve">] </w:t>
      </w:r>
      <w:r w:rsidRPr="006233DC">
        <w:rPr>
          <w:rtl/>
        </w:rPr>
        <w:t>(8.8.2010)</w:t>
      </w:r>
      <w:r>
        <w:rPr>
          <w:rFonts w:hint="cs"/>
          <w:rtl/>
        </w:rPr>
        <w:t xml:space="preserve">; </w:t>
      </w:r>
      <w:hyperlink r:id="rId11" w:history="1">
        <w:r w:rsidR="006531B9" w:rsidRPr="006531B9">
          <w:rPr>
            <w:rFonts w:hint="eastAsia"/>
            <w:color w:val="0000FF"/>
            <w:u w:val="single"/>
            <w:rtl/>
          </w:rPr>
          <w:t>עע</w:t>
        </w:r>
        <w:r w:rsidR="006531B9" w:rsidRPr="006531B9">
          <w:rPr>
            <w:color w:val="0000FF"/>
            <w:u w:val="single"/>
            <w:rtl/>
          </w:rPr>
          <w:t>"</w:t>
        </w:r>
        <w:r w:rsidR="006531B9" w:rsidRPr="006531B9">
          <w:rPr>
            <w:rFonts w:hint="eastAsia"/>
            <w:color w:val="0000FF"/>
            <w:u w:val="single"/>
            <w:rtl/>
          </w:rPr>
          <w:t>מ</w:t>
        </w:r>
        <w:r w:rsidR="006531B9" w:rsidRPr="006531B9">
          <w:rPr>
            <w:color w:val="0000FF"/>
            <w:u w:val="single"/>
            <w:rtl/>
          </w:rPr>
          <w:t xml:space="preserve"> 4340/19</w:t>
        </w:r>
      </w:hyperlink>
      <w:r>
        <w:rPr>
          <w:rtl/>
        </w:rPr>
        <w:t xml:space="preserve"> </w:t>
      </w:r>
      <w:r w:rsidRPr="00422DCF">
        <w:rPr>
          <w:rFonts w:ascii="Century" w:hAnsi="Century" w:cs="Miriam" w:hint="eastAsia"/>
          <w:b/>
          <w:spacing w:val="0"/>
          <w:szCs w:val="24"/>
          <w:rtl/>
        </w:rPr>
        <w:t>אורנשטיין</w:t>
      </w:r>
      <w:r w:rsidRPr="00422DCF">
        <w:rPr>
          <w:rFonts w:ascii="Century" w:hAnsi="Century" w:cs="Miriam"/>
          <w:b/>
          <w:spacing w:val="0"/>
          <w:szCs w:val="24"/>
          <w:rtl/>
        </w:rPr>
        <w:t xml:space="preserve"> </w:t>
      </w:r>
      <w:r w:rsidRPr="00422DCF">
        <w:rPr>
          <w:rFonts w:ascii="Century" w:hAnsi="Century" w:cs="Miriam" w:hint="eastAsia"/>
          <w:b/>
          <w:spacing w:val="0"/>
          <w:szCs w:val="24"/>
          <w:rtl/>
        </w:rPr>
        <w:t>נ</w:t>
      </w:r>
      <w:r w:rsidRPr="00422DCF">
        <w:rPr>
          <w:rFonts w:ascii="Century" w:hAnsi="Century" w:cs="Miriam"/>
          <w:b/>
          <w:spacing w:val="0"/>
          <w:szCs w:val="24"/>
          <w:rtl/>
        </w:rPr>
        <w:t xml:space="preserve">' </w:t>
      </w:r>
      <w:r w:rsidRPr="00422DCF">
        <w:rPr>
          <w:rFonts w:ascii="Century" w:hAnsi="Century" w:cs="Miriam" w:hint="eastAsia"/>
          <w:b/>
          <w:spacing w:val="0"/>
          <w:szCs w:val="24"/>
          <w:rtl/>
        </w:rPr>
        <w:t>שר</w:t>
      </w:r>
      <w:r w:rsidRPr="00422DCF">
        <w:rPr>
          <w:rFonts w:ascii="Century" w:hAnsi="Century" w:cs="Miriam"/>
          <w:b/>
          <w:spacing w:val="0"/>
          <w:szCs w:val="24"/>
          <w:rtl/>
        </w:rPr>
        <w:t xml:space="preserve"> </w:t>
      </w:r>
      <w:r w:rsidRPr="00422DCF">
        <w:rPr>
          <w:rFonts w:ascii="Century" w:hAnsi="Century" w:cs="Miriam" w:hint="eastAsia"/>
          <w:b/>
          <w:spacing w:val="0"/>
          <w:szCs w:val="24"/>
          <w:rtl/>
        </w:rPr>
        <w:t>האוצר</w:t>
      </w:r>
      <w:r>
        <w:rPr>
          <w:rtl/>
        </w:rPr>
        <w:t xml:space="preserve">, </w:t>
      </w:r>
      <w:r>
        <w:rPr>
          <w:rFonts w:hint="eastAsia"/>
          <w:rtl/>
        </w:rPr>
        <w:t>פסקה</w:t>
      </w:r>
      <w:r>
        <w:rPr>
          <w:rtl/>
        </w:rPr>
        <w:t xml:space="preserve"> 21 </w:t>
      </w:r>
      <w:r w:rsidR="00D4634E" w:rsidRPr="00D4634E">
        <w:rPr>
          <w:rFonts w:ascii="Times New Roman" w:hAnsi="Times New Roman" w:cs="David"/>
          <w:spacing w:val="0"/>
          <w:sz w:val="22"/>
          <w:szCs w:val="24"/>
          <w:rtl/>
        </w:rPr>
        <w:t>[</w:t>
      </w:r>
      <w:r w:rsidR="00D4634E" w:rsidRPr="00D4634E">
        <w:rPr>
          <w:rFonts w:ascii="Times New Roman" w:hAnsi="Times New Roman" w:cs="David" w:hint="eastAsia"/>
          <w:spacing w:val="0"/>
          <w:sz w:val="22"/>
          <w:szCs w:val="24"/>
          <w:rtl/>
        </w:rPr>
        <w:t>פורסם</w:t>
      </w:r>
      <w:r w:rsidR="00D4634E" w:rsidRPr="00D4634E">
        <w:rPr>
          <w:rFonts w:ascii="Times New Roman" w:hAnsi="Times New Roman" w:cs="David"/>
          <w:spacing w:val="0"/>
          <w:sz w:val="22"/>
          <w:szCs w:val="24"/>
          <w:rtl/>
        </w:rPr>
        <w:t xml:space="preserve"> </w:t>
      </w:r>
      <w:r w:rsidR="00D4634E" w:rsidRPr="00D4634E">
        <w:rPr>
          <w:rFonts w:ascii="Times New Roman" w:hAnsi="Times New Roman" w:cs="David" w:hint="eastAsia"/>
          <w:spacing w:val="0"/>
          <w:sz w:val="22"/>
          <w:szCs w:val="24"/>
          <w:rtl/>
        </w:rPr>
        <w:t>בנבו</w:t>
      </w:r>
      <w:r w:rsidR="00D4634E" w:rsidRPr="00D4634E">
        <w:rPr>
          <w:rFonts w:ascii="Times New Roman" w:hAnsi="Times New Roman" w:cs="David"/>
          <w:spacing w:val="0"/>
          <w:sz w:val="22"/>
          <w:szCs w:val="24"/>
          <w:rtl/>
        </w:rPr>
        <w:t xml:space="preserve">] </w:t>
      </w:r>
      <w:r>
        <w:rPr>
          <w:rtl/>
        </w:rPr>
        <w:t>(22.2.2021</w:t>
      </w:r>
      <w:r>
        <w:rPr>
          <w:rFonts w:hint="cs"/>
          <w:rtl/>
        </w:rPr>
        <w:t xml:space="preserve">); </w:t>
      </w:r>
      <w:hyperlink r:id="rId12" w:history="1">
        <w:r w:rsidR="006531B9" w:rsidRPr="006531B9">
          <w:rPr>
            <w:rFonts w:hint="eastAsia"/>
            <w:color w:val="0000FF"/>
            <w:u w:val="single"/>
            <w:rtl/>
          </w:rPr>
          <w:t>בג</w:t>
        </w:r>
        <w:r w:rsidR="006531B9" w:rsidRPr="006531B9">
          <w:rPr>
            <w:color w:val="0000FF"/>
            <w:u w:val="single"/>
            <w:rtl/>
          </w:rPr>
          <w:t>"</w:t>
        </w:r>
        <w:r w:rsidR="006531B9" w:rsidRPr="006531B9">
          <w:rPr>
            <w:rFonts w:hint="eastAsia"/>
            <w:color w:val="0000FF"/>
            <w:u w:val="single"/>
            <w:rtl/>
          </w:rPr>
          <w:t>ץ</w:t>
        </w:r>
        <w:r w:rsidR="006531B9" w:rsidRPr="006531B9">
          <w:rPr>
            <w:color w:val="0000FF"/>
            <w:u w:val="single"/>
            <w:rtl/>
          </w:rPr>
          <w:t xml:space="preserve"> 5030/22</w:t>
        </w:r>
      </w:hyperlink>
      <w:r>
        <w:rPr>
          <w:rFonts w:hint="cs"/>
          <w:rtl/>
        </w:rPr>
        <w:t xml:space="preserve"> </w:t>
      </w:r>
      <w:r w:rsidRPr="00422DCF">
        <w:rPr>
          <w:rFonts w:ascii="Century" w:hAnsi="Century" w:cs="Miriam" w:hint="eastAsia"/>
          <w:b/>
          <w:spacing w:val="0"/>
          <w:szCs w:val="24"/>
          <w:rtl/>
        </w:rPr>
        <w:t>תנועת</w:t>
      </w:r>
      <w:r w:rsidRPr="00422DCF">
        <w:rPr>
          <w:rFonts w:ascii="Century" w:hAnsi="Century" w:cs="Miriam"/>
          <w:b/>
          <w:spacing w:val="0"/>
          <w:szCs w:val="24"/>
          <w:rtl/>
        </w:rPr>
        <w:t xml:space="preserve"> </w:t>
      </w:r>
      <w:r w:rsidRPr="00422DCF">
        <w:rPr>
          <w:rFonts w:ascii="Century" w:hAnsi="Century" w:cs="Miriam" w:hint="eastAsia"/>
          <w:b/>
          <w:spacing w:val="0"/>
          <w:szCs w:val="24"/>
          <w:rtl/>
        </w:rPr>
        <w:t>רגבים</w:t>
      </w:r>
      <w:r w:rsidRPr="00422DCF">
        <w:rPr>
          <w:rFonts w:ascii="Century" w:hAnsi="Century" w:cs="Miriam"/>
          <w:b/>
          <w:spacing w:val="0"/>
          <w:szCs w:val="24"/>
          <w:rtl/>
        </w:rPr>
        <w:t xml:space="preserve"> </w:t>
      </w:r>
      <w:r w:rsidRPr="00422DCF">
        <w:rPr>
          <w:rFonts w:ascii="Century" w:hAnsi="Century" w:cs="Miriam" w:hint="eastAsia"/>
          <w:b/>
          <w:spacing w:val="0"/>
          <w:szCs w:val="24"/>
          <w:rtl/>
        </w:rPr>
        <w:t>נ</w:t>
      </w:r>
      <w:r w:rsidRPr="00422DCF">
        <w:rPr>
          <w:rFonts w:ascii="Century" w:hAnsi="Century" w:cs="Miriam"/>
          <w:b/>
          <w:spacing w:val="0"/>
          <w:szCs w:val="24"/>
          <w:rtl/>
        </w:rPr>
        <w:t xml:space="preserve">' </w:t>
      </w:r>
      <w:r w:rsidRPr="00422DCF">
        <w:rPr>
          <w:rFonts w:ascii="Century" w:hAnsi="Century" w:cs="Miriam" w:hint="eastAsia"/>
          <w:b/>
          <w:spacing w:val="0"/>
          <w:szCs w:val="24"/>
          <w:rtl/>
        </w:rPr>
        <w:t>שר</w:t>
      </w:r>
      <w:r w:rsidRPr="00422DCF">
        <w:rPr>
          <w:rFonts w:ascii="Century" w:hAnsi="Century" w:cs="Miriam"/>
          <w:b/>
          <w:spacing w:val="0"/>
          <w:szCs w:val="24"/>
          <w:rtl/>
        </w:rPr>
        <w:t xml:space="preserve"> </w:t>
      </w:r>
      <w:r w:rsidRPr="00422DCF">
        <w:rPr>
          <w:rFonts w:ascii="Century" w:hAnsi="Century" w:cs="Miriam" w:hint="eastAsia"/>
          <w:b/>
          <w:spacing w:val="0"/>
          <w:szCs w:val="24"/>
          <w:rtl/>
        </w:rPr>
        <w:t>הביטחון</w:t>
      </w:r>
      <w:r>
        <w:rPr>
          <w:rFonts w:hint="cs"/>
          <w:rtl/>
        </w:rPr>
        <w:t xml:space="preserve">, פסקה 23 </w:t>
      </w:r>
      <w:r w:rsidR="00D4634E" w:rsidRPr="00D4634E">
        <w:rPr>
          <w:rFonts w:ascii="Times New Roman" w:hAnsi="Times New Roman" w:cs="David"/>
          <w:spacing w:val="0"/>
          <w:sz w:val="22"/>
          <w:szCs w:val="24"/>
          <w:rtl/>
        </w:rPr>
        <w:t>[</w:t>
      </w:r>
      <w:r w:rsidR="00D4634E" w:rsidRPr="00D4634E">
        <w:rPr>
          <w:rFonts w:ascii="Times New Roman" w:hAnsi="Times New Roman" w:cs="David" w:hint="eastAsia"/>
          <w:spacing w:val="0"/>
          <w:sz w:val="22"/>
          <w:szCs w:val="24"/>
          <w:rtl/>
        </w:rPr>
        <w:t>פורסם</w:t>
      </w:r>
      <w:r w:rsidR="00D4634E" w:rsidRPr="00D4634E">
        <w:rPr>
          <w:rFonts w:ascii="Times New Roman" w:hAnsi="Times New Roman" w:cs="David"/>
          <w:spacing w:val="0"/>
          <w:sz w:val="22"/>
          <w:szCs w:val="24"/>
          <w:rtl/>
        </w:rPr>
        <w:t xml:space="preserve"> </w:t>
      </w:r>
      <w:r w:rsidR="00D4634E" w:rsidRPr="00D4634E">
        <w:rPr>
          <w:rFonts w:ascii="Times New Roman" w:hAnsi="Times New Roman" w:cs="David" w:hint="eastAsia"/>
          <w:spacing w:val="0"/>
          <w:sz w:val="22"/>
          <w:szCs w:val="24"/>
          <w:rtl/>
        </w:rPr>
        <w:t>בנבו</w:t>
      </w:r>
      <w:r w:rsidR="00D4634E" w:rsidRPr="00D4634E">
        <w:rPr>
          <w:rFonts w:ascii="Times New Roman" w:hAnsi="Times New Roman" w:cs="David"/>
          <w:spacing w:val="0"/>
          <w:sz w:val="22"/>
          <w:szCs w:val="24"/>
          <w:rtl/>
        </w:rPr>
        <w:t xml:space="preserve">] </w:t>
      </w:r>
      <w:r>
        <w:rPr>
          <w:rFonts w:hint="cs"/>
          <w:rtl/>
        </w:rPr>
        <w:t>(20.8.2023))</w:t>
      </w:r>
      <w:r>
        <w:rPr>
          <w:rtl/>
        </w:rPr>
        <w:t>.</w:t>
      </w:r>
      <w:r>
        <w:rPr>
          <w:rFonts w:hint="cs"/>
          <w:rtl/>
        </w:rPr>
        <w:t xml:space="preserve"> לא השתכנעתי כי במקרה זה המשיבים התנערו מחובתם או כי התנהלותם לוקה בפגם מהותי באופן המצדיק את התערבות בית משפט זה. כמפורט בתגובת המשיבים, ננקטו פעולות שונות, 5 במספר עד כה, לצורך תפיסת הבנייה הבלתי חוקית. המשיבים הבהירו כי פעולות אלה מבוצעות בהתאם לסדרי העדיפויות ובכפוף לאילוצים שונים, תוך שקילת כלל השיקולים הרלוונטיים בהתחשב במשאבי הרשויות, בסיכון הבטחוני, בשיקולי רגישות מדינית ועוד; כאשר לכך מצטרף הנתון בדבר המשאבים המוגבלים העומדים לרשויות בין היתר נוכח העובדה שמדינת ישראל מצויה בימי מלחמה. בנסיבות האמורות, אין מדובר במצב דברים המצדיק את התערבותו של בית משפט זה. </w:t>
      </w:r>
    </w:p>
    <w:p w14:paraId="0ECB3447" w14:textId="77777777" w:rsidR="00AB1FE0" w:rsidRDefault="00AB1FE0" w:rsidP="00AB1FE0">
      <w:pPr>
        <w:pStyle w:val="Ruller40"/>
        <w:rPr>
          <w:rtl/>
        </w:rPr>
      </w:pPr>
    </w:p>
    <w:p w14:paraId="24A142FD" w14:textId="77777777" w:rsidR="00AB1FE0" w:rsidRDefault="00000000" w:rsidP="00AB1FE0">
      <w:pPr>
        <w:pStyle w:val="Ruller4"/>
        <w:rPr>
          <w:rtl/>
        </w:rPr>
      </w:pPr>
      <w:r>
        <w:rPr>
          <w:rFonts w:hint="cs"/>
          <w:rtl/>
        </w:rPr>
        <w:t xml:space="preserve">גם אין לשעות לטענת העותרים כי המשיבים אינם ממצים את "סל הכלים" המצוי ברשותם ואינם עושים שימוש בהוראות הדין השונות המאפשרות להם לפעול לסילוק פלישה טרייה. שעה שהמשיבים נקטו ונוקטים בפעולות אכיפה שונות תכופות, אין מקום לטרוניית העותרים לפיה על המשיבים לנקוט בדרך אחרת למימוש האכיפה מכוח הוראות דין שונות. לרשות המינהלית האפשרות לנקוט בפעולות מגוונות השאובות ממקורות נורמטיביים שונים, ולה נתונה </w:t>
      </w:r>
      <w:r w:rsidRPr="006233DC">
        <w:rPr>
          <w:rFonts w:hint="eastAsia"/>
          <w:rtl/>
        </w:rPr>
        <w:t>האוטונומיה</w:t>
      </w:r>
      <w:r w:rsidRPr="006233DC">
        <w:rPr>
          <w:rtl/>
        </w:rPr>
        <w:t xml:space="preserve"> </w:t>
      </w:r>
      <w:r w:rsidRPr="006233DC">
        <w:rPr>
          <w:rFonts w:hint="eastAsia"/>
          <w:rtl/>
        </w:rPr>
        <w:t>לבחור</w:t>
      </w:r>
      <w:r w:rsidRPr="006233DC">
        <w:rPr>
          <w:rtl/>
        </w:rPr>
        <w:t xml:space="preserve"> </w:t>
      </w:r>
      <w:r>
        <w:rPr>
          <w:rFonts w:hint="cs"/>
          <w:rtl/>
        </w:rPr>
        <w:t xml:space="preserve">אם </w:t>
      </w:r>
      <w:r w:rsidRPr="006233DC">
        <w:rPr>
          <w:rFonts w:hint="eastAsia"/>
          <w:rtl/>
        </w:rPr>
        <w:t>לנקוט</w:t>
      </w:r>
      <w:r w:rsidRPr="006233DC">
        <w:rPr>
          <w:rtl/>
        </w:rPr>
        <w:t xml:space="preserve"> </w:t>
      </w:r>
      <w:r w:rsidRPr="006233DC">
        <w:rPr>
          <w:rFonts w:hint="eastAsia"/>
          <w:rtl/>
        </w:rPr>
        <w:t>בדרך</w:t>
      </w:r>
      <w:r w:rsidRPr="006233DC">
        <w:rPr>
          <w:rtl/>
        </w:rPr>
        <w:t xml:space="preserve"> </w:t>
      </w:r>
      <w:r>
        <w:rPr>
          <w:rFonts w:hint="cs"/>
          <w:rtl/>
        </w:rPr>
        <w:t xml:space="preserve">זו </w:t>
      </w:r>
      <w:r w:rsidRPr="006233DC">
        <w:rPr>
          <w:rFonts w:hint="eastAsia"/>
          <w:rtl/>
        </w:rPr>
        <w:t>או</w:t>
      </w:r>
      <w:r w:rsidRPr="006233DC">
        <w:rPr>
          <w:rtl/>
        </w:rPr>
        <w:t xml:space="preserve"> </w:t>
      </w:r>
      <w:r>
        <w:rPr>
          <w:rFonts w:hint="cs"/>
          <w:rtl/>
        </w:rPr>
        <w:t xml:space="preserve">בדרך אחרת בהתחשב בתמונת המצב הקונקרטית ובנסיבות העומדות על הפרק (וראו למשל: </w:t>
      </w:r>
      <w:hyperlink r:id="rId13" w:history="1">
        <w:r w:rsidR="006531B9" w:rsidRPr="006531B9">
          <w:rPr>
            <w:rFonts w:hint="eastAsia"/>
            <w:color w:val="0000FF"/>
            <w:u w:val="single"/>
            <w:rtl/>
          </w:rPr>
          <w:t>בג</w:t>
        </w:r>
        <w:r w:rsidR="006531B9" w:rsidRPr="006531B9">
          <w:rPr>
            <w:color w:val="0000FF"/>
            <w:u w:val="single"/>
            <w:rtl/>
          </w:rPr>
          <w:t>"</w:t>
        </w:r>
        <w:r w:rsidR="006531B9" w:rsidRPr="006531B9">
          <w:rPr>
            <w:rFonts w:hint="eastAsia"/>
            <w:color w:val="0000FF"/>
            <w:u w:val="single"/>
            <w:rtl/>
          </w:rPr>
          <w:t>ץ</w:t>
        </w:r>
        <w:r w:rsidR="006531B9" w:rsidRPr="006531B9">
          <w:rPr>
            <w:color w:val="0000FF"/>
            <w:u w:val="single"/>
            <w:rtl/>
          </w:rPr>
          <w:t xml:space="preserve"> 3945/21</w:t>
        </w:r>
      </w:hyperlink>
      <w:r w:rsidRPr="006233DC">
        <w:rPr>
          <w:rtl/>
        </w:rPr>
        <w:t xml:space="preserve"> </w:t>
      </w:r>
      <w:r w:rsidRPr="006233DC">
        <w:rPr>
          <w:rFonts w:ascii="Century" w:hAnsi="Century" w:cs="Miriam" w:hint="eastAsia"/>
          <w:b/>
          <w:spacing w:val="0"/>
          <w:szCs w:val="24"/>
          <w:rtl/>
        </w:rPr>
        <w:t>עמותת</w:t>
      </w:r>
      <w:r w:rsidRPr="006233DC">
        <w:rPr>
          <w:rFonts w:ascii="Century" w:hAnsi="Century" w:cs="Miriam"/>
          <w:b/>
          <w:spacing w:val="0"/>
          <w:szCs w:val="24"/>
          <w:rtl/>
        </w:rPr>
        <w:t xml:space="preserve"> </w:t>
      </w:r>
      <w:r w:rsidRPr="006233DC">
        <w:rPr>
          <w:rFonts w:ascii="Century" w:hAnsi="Century" w:cs="Miriam" w:hint="eastAsia"/>
          <w:b/>
          <w:spacing w:val="0"/>
          <w:szCs w:val="24"/>
          <w:rtl/>
        </w:rPr>
        <w:t>רגבים</w:t>
      </w:r>
      <w:r w:rsidRPr="006233DC">
        <w:rPr>
          <w:rFonts w:ascii="Century" w:hAnsi="Century" w:cs="Miriam"/>
          <w:b/>
          <w:spacing w:val="0"/>
          <w:szCs w:val="24"/>
          <w:rtl/>
        </w:rPr>
        <w:t xml:space="preserve"> </w:t>
      </w:r>
      <w:r w:rsidRPr="006233DC">
        <w:rPr>
          <w:rFonts w:ascii="Century" w:hAnsi="Century" w:cs="Miriam" w:hint="eastAsia"/>
          <w:b/>
          <w:spacing w:val="0"/>
          <w:szCs w:val="24"/>
          <w:rtl/>
        </w:rPr>
        <w:t>נ</w:t>
      </w:r>
      <w:r w:rsidRPr="006233DC">
        <w:rPr>
          <w:rFonts w:ascii="Century" w:hAnsi="Century" w:cs="Miriam"/>
          <w:b/>
          <w:spacing w:val="0"/>
          <w:szCs w:val="24"/>
          <w:rtl/>
        </w:rPr>
        <w:t xml:space="preserve">' </w:t>
      </w:r>
      <w:r w:rsidRPr="006233DC">
        <w:rPr>
          <w:rFonts w:ascii="Century" w:hAnsi="Century" w:cs="Miriam" w:hint="eastAsia"/>
          <w:b/>
          <w:spacing w:val="0"/>
          <w:szCs w:val="24"/>
          <w:rtl/>
        </w:rPr>
        <w:t>ראש</w:t>
      </w:r>
      <w:r w:rsidRPr="006233DC">
        <w:rPr>
          <w:rFonts w:ascii="Century" w:hAnsi="Century" w:cs="Miriam"/>
          <w:b/>
          <w:spacing w:val="0"/>
          <w:szCs w:val="24"/>
          <w:rtl/>
        </w:rPr>
        <w:t xml:space="preserve"> </w:t>
      </w:r>
      <w:r w:rsidRPr="006233DC">
        <w:rPr>
          <w:rFonts w:ascii="Century" w:hAnsi="Century" w:cs="Miriam" w:hint="eastAsia"/>
          <w:b/>
          <w:spacing w:val="0"/>
          <w:szCs w:val="24"/>
          <w:rtl/>
        </w:rPr>
        <w:t>ממשלת</w:t>
      </w:r>
      <w:r w:rsidRPr="006233DC">
        <w:rPr>
          <w:rFonts w:ascii="Century" w:hAnsi="Century" w:cs="Miriam"/>
          <w:b/>
          <w:spacing w:val="0"/>
          <w:szCs w:val="24"/>
          <w:rtl/>
        </w:rPr>
        <w:t xml:space="preserve"> </w:t>
      </w:r>
      <w:r w:rsidRPr="006233DC">
        <w:rPr>
          <w:rFonts w:ascii="Century" w:hAnsi="Century" w:cs="Miriam" w:hint="eastAsia"/>
          <w:b/>
          <w:spacing w:val="0"/>
          <w:szCs w:val="24"/>
          <w:rtl/>
        </w:rPr>
        <w:t>ישראל</w:t>
      </w:r>
      <w:r>
        <w:rPr>
          <w:rFonts w:hint="cs"/>
          <w:rtl/>
        </w:rPr>
        <w:t xml:space="preserve">, פסקה 8 </w:t>
      </w:r>
      <w:r w:rsidR="00D4634E" w:rsidRPr="00D4634E">
        <w:rPr>
          <w:rFonts w:ascii="Times New Roman" w:hAnsi="Times New Roman" w:cs="David"/>
          <w:spacing w:val="0"/>
          <w:sz w:val="22"/>
          <w:szCs w:val="24"/>
          <w:rtl/>
        </w:rPr>
        <w:t>[</w:t>
      </w:r>
      <w:r w:rsidR="00D4634E" w:rsidRPr="00D4634E">
        <w:rPr>
          <w:rFonts w:ascii="Times New Roman" w:hAnsi="Times New Roman" w:cs="David" w:hint="eastAsia"/>
          <w:spacing w:val="0"/>
          <w:sz w:val="22"/>
          <w:szCs w:val="24"/>
          <w:rtl/>
        </w:rPr>
        <w:t>פורסם</w:t>
      </w:r>
      <w:r w:rsidR="00D4634E" w:rsidRPr="00D4634E">
        <w:rPr>
          <w:rFonts w:ascii="Times New Roman" w:hAnsi="Times New Roman" w:cs="David"/>
          <w:spacing w:val="0"/>
          <w:sz w:val="22"/>
          <w:szCs w:val="24"/>
          <w:rtl/>
        </w:rPr>
        <w:t xml:space="preserve"> </w:t>
      </w:r>
      <w:r w:rsidR="00D4634E" w:rsidRPr="00D4634E">
        <w:rPr>
          <w:rFonts w:ascii="Times New Roman" w:hAnsi="Times New Roman" w:cs="David" w:hint="eastAsia"/>
          <w:spacing w:val="0"/>
          <w:sz w:val="22"/>
          <w:szCs w:val="24"/>
          <w:rtl/>
        </w:rPr>
        <w:t>בנבו</w:t>
      </w:r>
      <w:r w:rsidR="00D4634E" w:rsidRPr="00D4634E">
        <w:rPr>
          <w:rFonts w:ascii="Times New Roman" w:hAnsi="Times New Roman" w:cs="David"/>
          <w:spacing w:val="0"/>
          <w:sz w:val="22"/>
          <w:szCs w:val="24"/>
          <w:rtl/>
        </w:rPr>
        <w:t xml:space="preserve">] </w:t>
      </w:r>
      <w:r>
        <w:rPr>
          <w:rFonts w:hint="cs"/>
          <w:rtl/>
        </w:rPr>
        <w:t>(2.2.2022)).</w:t>
      </w:r>
    </w:p>
    <w:p w14:paraId="5993AA6B" w14:textId="77777777" w:rsidR="00AB1FE0" w:rsidRDefault="00AB1FE0" w:rsidP="00AB1FE0">
      <w:pPr>
        <w:pStyle w:val="Ruller40"/>
        <w:rPr>
          <w:rtl/>
        </w:rPr>
      </w:pPr>
    </w:p>
    <w:p w14:paraId="10FDA1CB" w14:textId="77777777" w:rsidR="00AB1FE0" w:rsidRDefault="00000000" w:rsidP="00AB1FE0">
      <w:pPr>
        <w:pStyle w:val="Ruller4"/>
        <w:rPr>
          <w:rtl/>
        </w:rPr>
      </w:pPr>
      <w:r>
        <w:rPr>
          <w:rFonts w:hint="cs"/>
          <w:rtl/>
        </w:rPr>
        <w:t xml:space="preserve">באשר לסעד החלופי שהתבקש על ידי העותרים לראשונה בתשובתם לתגובת המשיבים (מבלי שכלל התבקש לתקן את העתירה ולכלול סעד זה כסעד שנתבקש בעתירה), כי לכל הפחות נורה למשיבים "להציג תכנית פעולה להסרת המאחז לרבות הגדרת לוח זמנים להסרת המאחז", יצוין שמדובר בסעד אשר משמעותו לא רק כי בית משפט זה יתערב בסדרי העדיפויות של רשויות האכיפה, אלא הלכה למעשה "יהפוך את עצמו לרשות המבצעת" </w:t>
      </w:r>
      <w:r w:rsidRPr="006233DC">
        <w:rPr>
          <w:rFonts w:hint="cs"/>
          <w:rtl/>
        </w:rPr>
        <w:t>(</w:t>
      </w:r>
      <w:hyperlink r:id="rId14" w:history="1">
        <w:r w:rsidR="006531B9" w:rsidRPr="006531B9">
          <w:rPr>
            <w:rFonts w:hint="eastAsia"/>
            <w:color w:val="0000FF"/>
            <w:u w:val="single"/>
            <w:rtl/>
          </w:rPr>
          <w:t>בג</w:t>
        </w:r>
        <w:r w:rsidR="006531B9" w:rsidRPr="006531B9">
          <w:rPr>
            <w:color w:val="0000FF"/>
            <w:u w:val="single"/>
            <w:rtl/>
          </w:rPr>
          <w:t>"</w:t>
        </w:r>
        <w:r w:rsidR="006531B9" w:rsidRPr="006531B9">
          <w:rPr>
            <w:rFonts w:hint="eastAsia"/>
            <w:color w:val="0000FF"/>
            <w:u w:val="single"/>
            <w:rtl/>
          </w:rPr>
          <w:t>ץ</w:t>
        </w:r>
        <w:r w:rsidR="006531B9" w:rsidRPr="006531B9">
          <w:rPr>
            <w:color w:val="0000FF"/>
            <w:u w:val="single"/>
            <w:rtl/>
          </w:rPr>
          <w:t xml:space="preserve"> 72/09</w:t>
        </w:r>
      </w:hyperlink>
      <w:r w:rsidRPr="006233DC">
        <w:rPr>
          <w:rtl/>
        </w:rPr>
        <w:t xml:space="preserve"> </w:t>
      </w:r>
      <w:r w:rsidRPr="006233DC">
        <w:rPr>
          <w:rFonts w:ascii="Century" w:hAnsi="Century" w:cs="Miriam" w:hint="eastAsia"/>
          <w:spacing w:val="0"/>
          <w:sz w:val="22"/>
          <w:szCs w:val="24"/>
          <w:rtl/>
        </w:rPr>
        <w:t>רגבים</w:t>
      </w:r>
      <w:r w:rsidRPr="006233DC">
        <w:rPr>
          <w:rFonts w:ascii="Century" w:hAnsi="Century" w:cs="Miriam"/>
          <w:spacing w:val="0"/>
          <w:sz w:val="22"/>
          <w:szCs w:val="24"/>
          <w:rtl/>
        </w:rPr>
        <w:t xml:space="preserve"> (</w:t>
      </w:r>
      <w:r w:rsidRPr="006233DC">
        <w:rPr>
          <w:rFonts w:ascii="Century" w:hAnsi="Century" w:cs="Miriam" w:hint="eastAsia"/>
          <w:spacing w:val="0"/>
          <w:sz w:val="22"/>
          <w:szCs w:val="24"/>
          <w:rtl/>
        </w:rPr>
        <w:t>לשעבר</w:t>
      </w:r>
      <w:r w:rsidRPr="006233DC">
        <w:rPr>
          <w:rFonts w:ascii="Century" w:hAnsi="Century" w:cs="Miriam"/>
          <w:spacing w:val="0"/>
          <w:sz w:val="22"/>
          <w:szCs w:val="24"/>
          <w:rtl/>
        </w:rPr>
        <w:t xml:space="preserve"> </w:t>
      </w:r>
      <w:r w:rsidRPr="006233DC">
        <w:rPr>
          <w:rFonts w:ascii="Century" w:hAnsi="Century" w:cs="Miriam" w:hint="eastAsia"/>
          <w:spacing w:val="0"/>
          <w:sz w:val="22"/>
          <w:szCs w:val="24"/>
          <w:rtl/>
        </w:rPr>
        <w:t>התנועה</w:t>
      </w:r>
      <w:r w:rsidRPr="006233DC">
        <w:rPr>
          <w:rFonts w:ascii="Century" w:hAnsi="Century" w:cs="Miriam"/>
          <w:spacing w:val="0"/>
          <w:sz w:val="22"/>
          <w:szCs w:val="24"/>
          <w:rtl/>
        </w:rPr>
        <w:t xml:space="preserve"> </w:t>
      </w:r>
      <w:r w:rsidRPr="006233DC">
        <w:rPr>
          <w:rFonts w:ascii="Century" w:hAnsi="Century" w:cs="Miriam" w:hint="eastAsia"/>
          <w:spacing w:val="0"/>
          <w:sz w:val="22"/>
          <w:szCs w:val="24"/>
          <w:rtl/>
        </w:rPr>
        <w:t>לשמירת</w:t>
      </w:r>
      <w:r w:rsidRPr="006233DC">
        <w:rPr>
          <w:rFonts w:ascii="Century" w:hAnsi="Century" w:cs="Miriam"/>
          <w:spacing w:val="0"/>
          <w:sz w:val="22"/>
          <w:szCs w:val="24"/>
          <w:rtl/>
        </w:rPr>
        <w:t xml:space="preserve"> </w:t>
      </w:r>
      <w:r w:rsidRPr="006233DC">
        <w:rPr>
          <w:rFonts w:ascii="Century" w:hAnsi="Century" w:cs="Miriam" w:hint="eastAsia"/>
          <w:spacing w:val="0"/>
          <w:sz w:val="22"/>
          <w:szCs w:val="24"/>
          <w:rtl/>
        </w:rPr>
        <w:t>אדמות</w:t>
      </w:r>
      <w:r w:rsidRPr="006233DC">
        <w:rPr>
          <w:rFonts w:ascii="Century" w:hAnsi="Century" w:cs="Miriam"/>
          <w:spacing w:val="0"/>
          <w:sz w:val="22"/>
          <w:szCs w:val="24"/>
          <w:rtl/>
        </w:rPr>
        <w:t xml:space="preserve"> </w:t>
      </w:r>
      <w:r w:rsidRPr="006233DC">
        <w:rPr>
          <w:rFonts w:ascii="Century" w:hAnsi="Century" w:cs="Miriam" w:hint="eastAsia"/>
          <w:spacing w:val="0"/>
          <w:sz w:val="22"/>
          <w:szCs w:val="24"/>
          <w:rtl/>
        </w:rPr>
        <w:t>הלאום</w:t>
      </w:r>
      <w:r w:rsidRPr="006233DC">
        <w:rPr>
          <w:rFonts w:ascii="Century" w:hAnsi="Century" w:cs="Miriam"/>
          <w:spacing w:val="0"/>
          <w:sz w:val="22"/>
          <w:szCs w:val="24"/>
          <w:rtl/>
        </w:rPr>
        <w:t xml:space="preserve">) </w:t>
      </w:r>
      <w:r w:rsidRPr="006233DC">
        <w:rPr>
          <w:rFonts w:ascii="Century" w:hAnsi="Century" w:cs="Miriam" w:hint="eastAsia"/>
          <w:spacing w:val="0"/>
          <w:sz w:val="22"/>
          <w:szCs w:val="24"/>
          <w:rtl/>
        </w:rPr>
        <w:t>נ</w:t>
      </w:r>
      <w:r w:rsidRPr="006233DC">
        <w:rPr>
          <w:rFonts w:ascii="Century" w:hAnsi="Century" w:cs="Miriam"/>
          <w:spacing w:val="0"/>
          <w:sz w:val="22"/>
          <w:szCs w:val="24"/>
          <w:rtl/>
        </w:rPr>
        <w:t xml:space="preserve">' </w:t>
      </w:r>
      <w:r w:rsidRPr="006233DC">
        <w:rPr>
          <w:rFonts w:ascii="Century" w:hAnsi="Century" w:cs="Miriam" w:hint="eastAsia"/>
          <w:spacing w:val="0"/>
          <w:sz w:val="22"/>
          <w:szCs w:val="24"/>
          <w:rtl/>
        </w:rPr>
        <w:t>שר</w:t>
      </w:r>
      <w:r w:rsidRPr="006233DC">
        <w:rPr>
          <w:rFonts w:ascii="Century" w:hAnsi="Century" w:cs="Miriam"/>
          <w:spacing w:val="0"/>
          <w:sz w:val="22"/>
          <w:szCs w:val="24"/>
          <w:rtl/>
        </w:rPr>
        <w:t xml:space="preserve"> </w:t>
      </w:r>
      <w:r w:rsidRPr="006233DC">
        <w:rPr>
          <w:rFonts w:ascii="Century" w:hAnsi="Century" w:cs="Miriam" w:hint="eastAsia"/>
          <w:spacing w:val="0"/>
          <w:sz w:val="22"/>
          <w:szCs w:val="24"/>
          <w:rtl/>
        </w:rPr>
        <w:t>הביטחון</w:t>
      </w:r>
      <w:r w:rsidRPr="006233DC">
        <w:rPr>
          <w:rFonts w:ascii="Century" w:hAnsi="Century" w:cs="Miriam"/>
          <w:spacing w:val="0"/>
          <w:sz w:val="22"/>
          <w:szCs w:val="24"/>
          <w:rtl/>
        </w:rPr>
        <w:t xml:space="preserve"> </w:t>
      </w:r>
      <w:r w:rsidRPr="006233DC">
        <w:rPr>
          <w:rFonts w:ascii="Century" w:hAnsi="Century" w:cs="Miriam" w:hint="eastAsia"/>
          <w:spacing w:val="0"/>
          <w:sz w:val="22"/>
          <w:szCs w:val="24"/>
          <w:rtl/>
        </w:rPr>
        <w:t>אהוד</w:t>
      </w:r>
      <w:r w:rsidRPr="006233DC">
        <w:rPr>
          <w:rFonts w:ascii="Century" w:hAnsi="Century" w:cs="Miriam"/>
          <w:spacing w:val="0"/>
          <w:sz w:val="22"/>
          <w:szCs w:val="24"/>
          <w:rtl/>
        </w:rPr>
        <w:t xml:space="preserve"> </w:t>
      </w:r>
      <w:r w:rsidRPr="006233DC">
        <w:rPr>
          <w:rFonts w:ascii="Century" w:hAnsi="Century" w:cs="Miriam" w:hint="eastAsia"/>
          <w:spacing w:val="0"/>
          <w:sz w:val="22"/>
          <w:szCs w:val="24"/>
          <w:rtl/>
        </w:rPr>
        <w:t>ברק</w:t>
      </w:r>
      <w:r w:rsidRPr="006233DC">
        <w:rPr>
          <w:rFonts w:hint="cs"/>
          <w:rtl/>
        </w:rPr>
        <w:t xml:space="preserve">, פסקה 6 </w:t>
      </w:r>
      <w:r w:rsidR="00D4634E" w:rsidRPr="00D4634E">
        <w:rPr>
          <w:rFonts w:ascii="Times New Roman" w:hAnsi="Times New Roman" w:cs="David"/>
          <w:spacing w:val="0"/>
          <w:sz w:val="22"/>
          <w:szCs w:val="24"/>
          <w:rtl/>
        </w:rPr>
        <w:t>[</w:t>
      </w:r>
      <w:r w:rsidR="00D4634E" w:rsidRPr="00D4634E">
        <w:rPr>
          <w:rFonts w:ascii="Times New Roman" w:hAnsi="Times New Roman" w:cs="David" w:hint="eastAsia"/>
          <w:spacing w:val="0"/>
          <w:sz w:val="22"/>
          <w:szCs w:val="24"/>
          <w:rtl/>
        </w:rPr>
        <w:t>פורסם</w:t>
      </w:r>
      <w:r w:rsidR="00D4634E" w:rsidRPr="00D4634E">
        <w:rPr>
          <w:rFonts w:ascii="Times New Roman" w:hAnsi="Times New Roman" w:cs="David"/>
          <w:spacing w:val="0"/>
          <w:sz w:val="22"/>
          <w:szCs w:val="24"/>
          <w:rtl/>
        </w:rPr>
        <w:t xml:space="preserve"> </w:t>
      </w:r>
      <w:r w:rsidR="00D4634E" w:rsidRPr="00D4634E">
        <w:rPr>
          <w:rFonts w:ascii="Times New Roman" w:hAnsi="Times New Roman" w:cs="David" w:hint="eastAsia"/>
          <w:spacing w:val="0"/>
          <w:sz w:val="22"/>
          <w:szCs w:val="24"/>
          <w:rtl/>
        </w:rPr>
        <w:t>בנבו</w:t>
      </w:r>
      <w:r w:rsidR="00D4634E" w:rsidRPr="00D4634E">
        <w:rPr>
          <w:rFonts w:ascii="Times New Roman" w:hAnsi="Times New Roman" w:cs="David"/>
          <w:spacing w:val="0"/>
          <w:sz w:val="22"/>
          <w:szCs w:val="24"/>
          <w:rtl/>
        </w:rPr>
        <w:t xml:space="preserve">] </w:t>
      </w:r>
      <w:r w:rsidRPr="006233DC">
        <w:rPr>
          <w:rFonts w:hint="cs"/>
          <w:rtl/>
        </w:rPr>
        <w:t>(13.11.2011)</w:t>
      </w:r>
      <w:r>
        <w:rPr>
          <w:rFonts w:hint="cs"/>
          <w:rtl/>
        </w:rPr>
        <w:t>). לכך לא ניתן להיעתר.</w:t>
      </w:r>
      <w:r w:rsidR="000D33BA">
        <w:rPr>
          <w:rFonts w:hint="cs"/>
          <w:rtl/>
        </w:rPr>
        <w:t xml:space="preserve"> בכל מקרה, חזקה על המשיבים שינקטו בפעולות האכיפה הנדרשות תוך פרק זמן סביר.</w:t>
      </w:r>
    </w:p>
    <w:p w14:paraId="6D3490D5" w14:textId="77777777" w:rsidR="00AB1FE0" w:rsidRPr="00A97036" w:rsidRDefault="00AB1FE0" w:rsidP="00AB1FE0">
      <w:pPr>
        <w:pStyle w:val="Ruller40"/>
      </w:pPr>
    </w:p>
    <w:p w14:paraId="14A51C0A" w14:textId="77777777" w:rsidR="00AB1FE0" w:rsidRDefault="00000000" w:rsidP="00AB1FE0">
      <w:pPr>
        <w:pStyle w:val="Ruller4"/>
        <w:rPr>
          <w:rtl/>
        </w:rPr>
      </w:pPr>
      <w:r>
        <w:rPr>
          <w:rFonts w:hint="cs"/>
          <w:rtl/>
        </w:rPr>
        <w:t xml:space="preserve">על האמור אוסיף, כי העתירה גם לא מצביעה על כל עילה להתערבות שיפוטית בנוגע לסעד שעניינו אי-חקירה פלילית או סגירת תיק החקירה. </w:t>
      </w:r>
      <w:r>
        <w:rPr>
          <w:rFonts w:hint="eastAsia"/>
          <w:rtl/>
        </w:rPr>
        <w:t>מידת</w:t>
      </w:r>
      <w:r>
        <w:rPr>
          <w:rtl/>
        </w:rPr>
        <w:t xml:space="preserve"> </w:t>
      </w:r>
      <w:r>
        <w:rPr>
          <w:rFonts w:hint="eastAsia"/>
          <w:rtl/>
        </w:rPr>
        <w:t>התערבותו</w:t>
      </w:r>
      <w:r>
        <w:rPr>
          <w:rtl/>
        </w:rPr>
        <w:t xml:space="preserve"> </w:t>
      </w:r>
      <w:r>
        <w:rPr>
          <w:rFonts w:hint="eastAsia"/>
          <w:rtl/>
        </w:rPr>
        <w:t>של</w:t>
      </w:r>
      <w:r>
        <w:rPr>
          <w:rtl/>
        </w:rPr>
        <w:t xml:space="preserve"> </w:t>
      </w:r>
      <w:r>
        <w:rPr>
          <w:rFonts w:hint="eastAsia"/>
          <w:rtl/>
        </w:rPr>
        <w:t>בית</w:t>
      </w:r>
      <w:r>
        <w:rPr>
          <w:rtl/>
        </w:rPr>
        <w:t xml:space="preserve"> </w:t>
      </w:r>
      <w:r>
        <w:rPr>
          <w:rFonts w:hint="eastAsia"/>
          <w:rtl/>
        </w:rPr>
        <w:t>משפט</w:t>
      </w:r>
      <w:r>
        <w:rPr>
          <w:rtl/>
        </w:rPr>
        <w:t xml:space="preserve"> </w:t>
      </w:r>
      <w:r>
        <w:rPr>
          <w:rFonts w:hint="eastAsia"/>
          <w:rtl/>
        </w:rPr>
        <w:t>זה</w:t>
      </w:r>
      <w:r>
        <w:rPr>
          <w:rtl/>
        </w:rPr>
        <w:t xml:space="preserve"> </w:t>
      </w:r>
      <w:r>
        <w:rPr>
          <w:rFonts w:hint="eastAsia"/>
          <w:rtl/>
        </w:rPr>
        <w:t>בשיקול</w:t>
      </w:r>
      <w:r>
        <w:rPr>
          <w:rtl/>
        </w:rPr>
        <w:t xml:space="preserve"> </w:t>
      </w:r>
      <w:r>
        <w:rPr>
          <w:rFonts w:hint="eastAsia"/>
          <w:rtl/>
        </w:rPr>
        <w:t>דעתן</w:t>
      </w:r>
      <w:r>
        <w:rPr>
          <w:rtl/>
        </w:rPr>
        <w:t xml:space="preserve"> </w:t>
      </w:r>
      <w:r>
        <w:rPr>
          <w:rFonts w:hint="eastAsia"/>
          <w:rtl/>
        </w:rPr>
        <w:t>של</w:t>
      </w:r>
      <w:r>
        <w:rPr>
          <w:rtl/>
        </w:rPr>
        <w:t xml:space="preserve"> </w:t>
      </w:r>
      <w:r>
        <w:rPr>
          <w:rFonts w:hint="eastAsia"/>
          <w:rtl/>
        </w:rPr>
        <w:t>רשויות</w:t>
      </w:r>
      <w:r>
        <w:rPr>
          <w:rtl/>
        </w:rPr>
        <w:t xml:space="preserve"> </w:t>
      </w:r>
      <w:r>
        <w:rPr>
          <w:rFonts w:hint="eastAsia"/>
          <w:rtl/>
        </w:rPr>
        <w:t>החקירה</w:t>
      </w:r>
      <w:r>
        <w:rPr>
          <w:rtl/>
        </w:rPr>
        <w:t xml:space="preserve"> </w:t>
      </w:r>
      <w:r>
        <w:rPr>
          <w:rFonts w:hint="cs"/>
          <w:rtl/>
        </w:rPr>
        <w:t xml:space="preserve">והתביעה </w:t>
      </w:r>
      <w:r>
        <w:rPr>
          <w:rFonts w:hint="eastAsia"/>
          <w:rtl/>
        </w:rPr>
        <w:t>מצומצמת</w:t>
      </w:r>
      <w:r>
        <w:rPr>
          <w:rtl/>
        </w:rPr>
        <w:t xml:space="preserve"> </w:t>
      </w:r>
      <w:r>
        <w:rPr>
          <w:rFonts w:hint="eastAsia"/>
          <w:rtl/>
        </w:rPr>
        <w:t>עד</w:t>
      </w:r>
      <w:r>
        <w:rPr>
          <w:rtl/>
        </w:rPr>
        <w:t xml:space="preserve"> </w:t>
      </w:r>
      <w:r>
        <w:rPr>
          <w:rFonts w:hint="eastAsia"/>
          <w:rtl/>
        </w:rPr>
        <w:t>מאוד</w:t>
      </w:r>
      <w:r>
        <w:rPr>
          <w:rtl/>
        </w:rPr>
        <w:t xml:space="preserve"> (</w:t>
      </w:r>
      <w:r>
        <w:rPr>
          <w:rFonts w:hint="cs"/>
          <w:rtl/>
        </w:rPr>
        <w:t xml:space="preserve">וראו למשל: </w:t>
      </w:r>
      <w:hyperlink r:id="rId15" w:history="1">
        <w:r w:rsidR="00D4634E" w:rsidRPr="00D4634E">
          <w:rPr>
            <w:rStyle w:val="Hyperlink"/>
            <w:rFonts w:hint="eastAsia"/>
            <w:rtl/>
          </w:rPr>
          <w:t>בג</w:t>
        </w:r>
        <w:r w:rsidR="00D4634E" w:rsidRPr="00D4634E">
          <w:rPr>
            <w:rStyle w:val="Hyperlink"/>
            <w:rtl/>
          </w:rPr>
          <w:t>"</w:t>
        </w:r>
        <w:r w:rsidR="00D4634E" w:rsidRPr="00D4634E">
          <w:rPr>
            <w:rStyle w:val="Hyperlink"/>
            <w:rFonts w:hint="eastAsia"/>
            <w:rtl/>
          </w:rPr>
          <w:t>ץ</w:t>
        </w:r>
        <w:r w:rsidR="00D4634E" w:rsidRPr="00D4634E">
          <w:rPr>
            <w:rStyle w:val="Hyperlink"/>
            <w:rtl/>
          </w:rPr>
          <w:t xml:space="preserve"> 4272/22</w:t>
        </w:r>
      </w:hyperlink>
      <w:r w:rsidRPr="00E74F40">
        <w:rPr>
          <w:rtl/>
        </w:rPr>
        <w:t xml:space="preserve">‏ </w:t>
      </w:r>
      <w:r w:rsidRPr="00A97036">
        <w:rPr>
          <w:rFonts w:ascii="Century" w:hAnsi="Century" w:cs="Miriam" w:hint="eastAsia"/>
          <w:b/>
          <w:spacing w:val="0"/>
          <w:szCs w:val="24"/>
          <w:rtl/>
        </w:rPr>
        <w:t>רגבים</w:t>
      </w:r>
      <w:r w:rsidRPr="00A97036">
        <w:rPr>
          <w:rFonts w:ascii="Century" w:hAnsi="Century" w:cs="Miriam"/>
          <w:b/>
          <w:spacing w:val="0"/>
          <w:szCs w:val="24"/>
          <w:rtl/>
        </w:rPr>
        <w:t xml:space="preserve"> </w:t>
      </w:r>
      <w:r w:rsidRPr="00A97036">
        <w:rPr>
          <w:rFonts w:ascii="Century" w:hAnsi="Century" w:cs="Miriam" w:hint="eastAsia"/>
          <w:b/>
          <w:spacing w:val="0"/>
          <w:szCs w:val="24"/>
          <w:rtl/>
        </w:rPr>
        <w:t>נ</w:t>
      </w:r>
      <w:r w:rsidRPr="00A97036">
        <w:rPr>
          <w:rFonts w:ascii="Century" w:hAnsi="Century" w:cs="Miriam"/>
          <w:b/>
          <w:spacing w:val="0"/>
          <w:szCs w:val="24"/>
          <w:rtl/>
        </w:rPr>
        <w:t xml:space="preserve">' </w:t>
      </w:r>
      <w:r w:rsidRPr="00A97036">
        <w:rPr>
          <w:rFonts w:ascii="Century" w:hAnsi="Century" w:cs="Miriam" w:hint="eastAsia"/>
          <w:b/>
          <w:spacing w:val="0"/>
          <w:szCs w:val="24"/>
          <w:rtl/>
        </w:rPr>
        <w:t>ראש</w:t>
      </w:r>
      <w:r w:rsidRPr="00A97036">
        <w:rPr>
          <w:rFonts w:ascii="Century" w:hAnsi="Century" w:cs="Miriam"/>
          <w:b/>
          <w:spacing w:val="0"/>
          <w:szCs w:val="24"/>
          <w:rtl/>
        </w:rPr>
        <w:t xml:space="preserve"> </w:t>
      </w:r>
      <w:r w:rsidRPr="00A97036">
        <w:rPr>
          <w:rFonts w:ascii="Century" w:hAnsi="Century" w:cs="Miriam" w:hint="eastAsia"/>
          <w:b/>
          <w:spacing w:val="0"/>
          <w:szCs w:val="24"/>
          <w:rtl/>
        </w:rPr>
        <w:t>ממשלת</w:t>
      </w:r>
      <w:r w:rsidRPr="00A97036">
        <w:rPr>
          <w:rFonts w:ascii="Century" w:hAnsi="Century" w:cs="Miriam"/>
          <w:b/>
          <w:spacing w:val="0"/>
          <w:szCs w:val="24"/>
          <w:rtl/>
        </w:rPr>
        <w:t xml:space="preserve"> </w:t>
      </w:r>
      <w:r w:rsidRPr="00A97036">
        <w:rPr>
          <w:rFonts w:ascii="Century" w:hAnsi="Century" w:cs="Miriam" w:hint="eastAsia"/>
          <w:b/>
          <w:spacing w:val="0"/>
          <w:szCs w:val="24"/>
          <w:rtl/>
        </w:rPr>
        <w:t>ישראל</w:t>
      </w:r>
      <w:r>
        <w:rPr>
          <w:rFonts w:hint="cs"/>
          <w:rtl/>
        </w:rPr>
        <w:t xml:space="preserve">, פסקה 19 </w:t>
      </w:r>
      <w:r w:rsidR="00D4634E" w:rsidRPr="00D4634E">
        <w:rPr>
          <w:rFonts w:ascii="Times New Roman" w:hAnsi="Times New Roman" w:cs="David"/>
          <w:spacing w:val="0"/>
          <w:sz w:val="22"/>
          <w:szCs w:val="24"/>
          <w:rtl/>
        </w:rPr>
        <w:t>[</w:t>
      </w:r>
      <w:r w:rsidR="00D4634E" w:rsidRPr="00D4634E">
        <w:rPr>
          <w:rFonts w:ascii="Times New Roman" w:hAnsi="Times New Roman" w:cs="David" w:hint="eastAsia"/>
          <w:spacing w:val="0"/>
          <w:sz w:val="22"/>
          <w:szCs w:val="24"/>
          <w:rtl/>
        </w:rPr>
        <w:t>פורסם</w:t>
      </w:r>
      <w:r w:rsidR="00D4634E" w:rsidRPr="00D4634E">
        <w:rPr>
          <w:rFonts w:ascii="Times New Roman" w:hAnsi="Times New Roman" w:cs="David"/>
          <w:spacing w:val="0"/>
          <w:sz w:val="22"/>
          <w:szCs w:val="24"/>
          <w:rtl/>
        </w:rPr>
        <w:t xml:space="preserve"> </w:t>
      </w:r>
      <w:r w:rsidR="00D4634E" w:rsidRPr="00D4634E">
        <w:rPr>
          <w:rFonts w:ascii="Times New Roman" w:hAnsi="Times New Roman" w:cs="David" w:hint="eastAsia"/>
          <w:spacing w:val="0"/>
          <w:sz w:val="22"/>
          <w:szCs w:val="24"/>
          <w:rtl/>
        </w:rPr>
        <w:t>בנבו</w:t>
      </w:r>
      <w:r w:rsidR="00D4634E" w:rsidRPr="00D4634E">
        <w:rPr>
          <w:rFonts w:ascii="Times New Roman" w:hAnsi="Times New Roman" w:cs="David"/>
          <w:spacing w:val="0"/>
          <w:sz w:val="22"/>
          <w:szCs w:val="24"/>
          <w:rtl/>
        </w:rPr>
        <w:t xml:space="preserve">] </w:t>
      </w:r>
      <w:r>
        <w:rPr>
          <w:rFonts w:hint="cs"/>
          <w:rtl/>
        </w:rPr>
        <w:t>(13.12.2022)). קל וחומר כשמדובר בעתירה מוקדמת משלא מוצו הליכי השגה וערר על ההחלטה על סגירת התיק, אשר לטענת העותרים טרם הובאה לידיעתם.</w:t>
      </w:r>
    </w:p>
    <w:p w14:paraId="1D316B66" w14:textId="77777777" w:rsidR="00AB1FE0" w:rsidRDefault="00AB1FE0" w:rsidP="00AB1FE0">
      <w:pPr>
        <w:pStyle w:val="Ruller40"/>
        <w:rPr>
          <w:rtl/>
        </w:rPr>
      </w:pPr>
    </w:p>
    <w:p w14:paraId="0BF1F1A3" w14:textId="77777777" w:rsidR="00AB1FE0" w:rsidRDefault="00000000" w:rsidP="00AB1FE0">
      <w:pPr>
        <w:pStyle w:val="Ruller40"/>
        <w:rPr>
          <w:rtl/>
        </w:rPr>
      </w:pPr>
      <w:r>
        <w:rPr>
          <w:rtl/>
        </w:rPr>
        <w:tab/>
      </w:r>
      <w:r>
        <w:rPr>
          <w:rFonts w:hint="cs"/>
          <w:rtl/>
        </w:rPr>
        <w:t>העתירה נדחית.</w:t>
      </w:r>
    </w:p>
    <w:p w14:paraId="5BCFBBED" w14:textId="77777777" w:rsidR="00CB311D" w:rsidRDefault="00CB311D" w:rsidP="00AB1FE0">
      <w:pPr>
        <w:pStyle w:val="Ruller40"/>
        <w:rPr>
          <w:rtl/>
        </w:rPr>
      </w:pPr>
    </w:p>
    <w:p w14:paraId="4B695866" w14:textId="77777777" w:rsidR="00CB311D" w:rsidRPr="0024615A" w:rsidRDefault="006531B9" w:rsidP="00AB1FE0">
      <w:pPr>
        <w:pStyle w:val="Ruller40"/>
      </w:pPr>
      <w:bookmarkStart w:id="12" w:name="Nitan"/>
      <w:r>
        <w:rPr>
          <w:rtl/>
        </w:rPr>
        <w:t xml:space="preserve"> ניתן היום, ‏כ"ט באדר ב התשפ"ד (‏8.4.2024). </w:t>
      </w:r>
      <w:bookmarkEnd w:id="12"/>
    </w:p>
    <w:p w14:paraId="23713113" w14:textId="77777777" w:rsidR="00016EF1" w:rsidRPr="006531B9" w:rsidRDefault="006531B9" w:rsidP="00A51FAE">
      <w:pPr>
        <w:pStyle w:val="Ruller40"/>
        <w:rPr>
          <w:color w:val="FFFFFF"/>
          <w:sz w:val="2"/>
          <w:szCs w:val="2"/>
          <w:rtl/>
        </w:rPr>
      </w:pPr>
      <w:r w:rsidRPr="006531B9">
        <w:rPr>
          <w:color w:val="FFFFFF"/>
          <w:sz w:val="2"/>
          <w:szCs w:val="2"/>
          <w:rtl/>
        </w:rPr>
        <w:t>5129371</w:t>
      </w:r>
    </w:p>
    <w:tbl>
      <w:tblPr>
        <w:bidiVisual/>
        <w:tblW w:w="8363" w:type="dxa"/>
        <w:tblLook w:val="01E0" w:firstRow="1" w:lastRow="1" w:firstColumn="1" w:lastColumn="1" w:noHBand="0" w:noVBand="0"/>
      </w:tblPr>
      <w:tblGrid>
        <w:gridCol w:w="2789"/>
        <w:gridCol w:w="2787"/>
        <w:gridCol w:w="2787"/>
      </w:tblGrid>
      <w:tr w:rsidR="00396C28" w14:paraId="02966BE2" w14:textId="77777777" w:rsidTr="00D00B1D">
        <w:tc>
          <w:tcPr>
            <w:tcW w:w="2842" w:type="dxa"/>
            <w:shd w:val="clear" w:color="auto" w:fill="auto"/>
          </w:tcPr>
          <w:p w14:paraId="48746E95" w14:textId="77777777" w:rsidR="00016EF1" w:rsidRDefault="006531B9" w:rsidP="00A51FAE">
            <w:pPr>
              <w:pStyle w:val="Ruller40"/>
              <w:rPr>
                <w:rtl/>
              </w:rPr>
            </w:pPr>
            <w:r w:rsidRPr="006531B9">
              <w:rPr>
                <w:color w:val="FFFFFF"/>
                <w:sz w:val="2"/>
                <w:szCs w:val="2"/>
                <w:rtl/>
              </w:rPr>
              <w:t>54678313</w:t>
            </w:r>
            <w:r w:rsidR="007B472F">
              <w:rPr>
                <w:rtl/>
              </w:rPr>
              <w:t>ש ו פ ט</w:t>
            </w:r>
          </w:p>
        </w:tc>
        <w:tc>
          <w:tcPr>
            <w:tcW w:w="2843" w:type="dxa"/>
            <w:shd w:val="clear" w:color="auto" w:fill="auto"/>
          </w:tcPr>
          <w:p w14:paraId="35C32B50" w14:textId="77777777" w:rsidR="001A0164" w:rsidRDefault="007B472F" w:rsidP="00BA0B08">
            <w:pPr>
              <w:pStyle w:val="Ruller40"/>
              <w:jc w:val="center"/>
              <w:rPr>
                <w:rtl/>
              </w:rPr>
            </w:pPr>
            <w:r>
              <w:rPr>
                <w:rtl/>
              </w:rPr>
              <w:t>ש ו פ ט ת</w:t>
            </w:r>
          </w:p>
        </w:tc>
        <w:tc>
          <w:tcPr>
            <w:tcW w:w="2843" w:type="dxa"/>
            <w:shd w:val="clear" w:color="auto" w:fill="auto"/>
          </w:tcPr>
          <w:p w14:paraId="1B616618" w14:textId="77777777" w:rsidR="001A0164" w:rsidRDefault="007B472F" w:rsidP="00BA0B08">
            <w:pPr>
              <w:pStyle w:val="Ruller40"/>
              <w:jc w:val="center"/>
              <w:rPr>
                <w:rtl/>
              </w:rPr>
            </w:pPr>
            <w:r>
              <w:rPr>
                <w:rtl/>
              </w:rPr>
              <w:t>ש ו פ ט</w:t>
            </w:r>
          </w:p>
        </w:tc>
      </w:tr>
    </w:tbl>
    <w:p w14:paraId="16BE2C30" w14:textId="77777777" w:rsidR="006531B9" w:rsidRPr="006531B9" w:rsidRDefault="006531B9" w:rsidP="006531B9">
      <w:pPr>
        <w:pStyle w:val="Ruller38"/>
        <w:jc w:val="center"/>
        <w:rPr>
          <w:color w:val="0000FF"/>
          <w:szCs w:val="24"/>
          <w:u w:val="single"/>
          <w:rtl/>
        </w:rPr>
      </w:pPr>
    </w:p>
    <w:sectPr w:rsidR="006531B9" w:rsidRPr="006531B9" w:rsidSect="007C2814">
      <w:headerReference w:type="even" r:id="rId16"/>
      <w:headerReference w:type="default" r:id="rId17"/>
      <w:footerReference w:type="even" r:id="rId18"/>
      <w:footerReference w:type="default" r:id="rId19"/>
      <w:headerReference w:type="first" r:id="rId20"/>
      <w:footerReference w:type="first" r:id="rId21"/>
      <w:endnotePr>
        <w:numFmt w:val="lowerLetter"/>
      </w:endnotePr>
      <w:pgSz w:w="11906" w:h="16838" w:code="9"/>
      <w:pgMar w:top="1701" w:right="1797" w:bottom="1440" w:left="1797" w:header="567" w:footer="397" w:gutter="0"/>
      <w:pgNumType w:start="1"/>
      <w:cols w:space="720"/>
      <w:bidi/>
      <w:rtlGutter/>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8EF470" w14:textId="77777777" w:rsidR="007C2814" w:rsidRDefault="007C2814">
      <w:r>
        <w:separator/>
      </w:r>
    </w:p>
  </w:endnote>
  <w:endnote w:type="continuationSeparator" w:id="0">
    <w:p w14:paraId="6B3BA742" w14:textId="77777777" w:rsidR="007C2814" w:rsidRDefault="007C2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Arial TUR">
    <w:altName w:val="Arial"/>
    <w:charset w:val="00"/>
    <w:family w:val="swiss"/>
    <w:pitch w:val="variable"/>
    <w:sig w:usb0="E0003EFF" w:usb1="C0007843" w:usb2="00000009" w:usb3="00000000" w:csb0="000001FF" w:csb1="00000000"/>
  </w:font>
  <w:font w:name="DavidFix">
    <w:charset w:val="B1"/>
    <w:family w:val="auto"/>
    <w:pitch w:val="variable"/>
    <w:sig w:usb0="00001801" w:usb1="00000000" w:usb2="00000000" w:usb3="00000000" w:csb0="00000020" w:csb1="00000000"/>
  </w:font>
  <w:font w:name="Guttman Yad">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iriam">
    <w:panose1 w:val="020B0502050101010101"/>
    <w:charset w:val="00"/>
    <w:family w:val="swiss"/>
    <w:pitch w:val="variable"/>
    <w:sig w:usb0="00000803" w:usb1="00000000" w:usb2="00000000" w:usb3="00000000" w:csb0="00000021"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C0EE30" w14:textId="77777777" w:rsidR="006531B9" w:rsidRDefault="00000000" w:rsidP="006531B9">
    <w:pPr>
      <w:pStyle w:val="a3"/>
      <w:jc w:val="center"/>
      <w:rPr>
        <w:rFonts w:ascii="FrankRuehl" w:hAnsi="FrankRuehl" w:cs="FrankRuehl"/>
        <w:sz w:val="24"/>
      </w:rPr>
    </w:pPr>
    <w:r>
      <w:rPr>
        <w:rFonts w:ascii="FrankRuehl" w:hAnsi="FrankRuehl" w:cs="FrankRuehl"/>
        <w:sz w:val="24"/>
        <w:rtl/>
      </w:rPr>
      <w:fldChar w:fldCharType="begin"/>
    </w:r>
    <w:r>
      <w:rPr>
        <w:rFonts w:ascii="FrankRuehl" w:hAnsi="FrankRuehl" w:cs="FrankRuehl"/>
        <w:sz w:val="24"/>
        <w:rtl/>
      </w:rPr>
      <w:instrText xml:space="preserve"> </w:instrText>
    </w:r>
    <w:r>
      <w:rPr>
        <w:rFonts w:ascii="FrankRuehl" w:hAnsi="FrankRuehl" w:cs="FrankRuehl"/>
        <w:sz w:val="24"/>
      </w:rPr>
      <w:instrText xml:space="preserve">PAGE </w:instrText>
    </w:r>
    <w:r>
      <w:rPr>
        <w:rFonts w:ascii="FrankRuehl" w:hAnsi="FrankRuehl" w:cs="FrankRuehl"/>
        <w:sz w:val="24"/>
        <w:rtl/>
      </w:rPr>
      <w:instrText xml:space="preserve"> \* </w:instrText>
    </w:r>
    <w:r>
      <w:rPr>
        <w:rFonts w:ascii="FrankRuehl" w:hAnsi="FrankRuehl" w:cs="FrankRuehl"/>
        <w:sz w:val="24"/>
      </w:rPr>
      <w:instrText>MERGEFORMAT</w:instrText>
    </w:r>
    <w:r>
      <w:rPr>
        <w:rFonts w:ascii="FrankRuehl" w:hAnsi="FrankRuehl" w:cs="FrankRuehl"/>
        <w:sz w:val="24"/>
        <w:rtl/>
      </w:rPr>
      <w:instrText xml:space="preserve"> </w:instrText>
    </w:r>
    <w:r>
      <w:rPr>
        <w:rFonts w:ascii="FrankRuehl" w:hAnsi="FrankRuehl" w:cs="FrankRuehl"/>
        <w:sz w:val="24"/>
        <w:rtl/>
      </w:rPr>
      <w:fldChar w:fldCharType="separate"/>
    </w:r>
    <w:r>
      <w:rPr>
        <w:rFonts w:ascii="FrankRuehl" w:hAnsi="FrankRuehl" w:cs="FrankRuehl"/>
        <w:noProof/>
        <w:sz w:val="24"/>
        <w:rtl/>
      </w:rPr>
      <w:t>5</w:t>
    </w:r>
    <w:r>
      <w:rPr>
        <w:rFonts w:ascii="FrankRuehl" w:hAnsi="FrankRuehl" w:cs="FrankRuehl"/>
        <w:sz w:val="24"/>
        <w:rtl/>
      </w:rPr>
      <w:fldChar w:fldCharType="end"/>
    </w:r>
  </w:p>
  <w:p w14:paraId="587E8DCA" w14:textId="5DA75D46" w:rsidR="00377102" w:rsidRPr="006531B9" w:rsidRDefault="004F7986" w:rsidP="006531B9">
    <w:pPr>
      <w:pStyle w:val="a3"/>
      <w:pBdr>
        <w:top w:val="single" w:sz="4" w:space="1" w:color="auto"/>
        <w:between w:val="single" w:sz="4" w:space="0" w:color="auto"/>
      </w:pBdr>
      <w:spacing w:after="60"/>
      <w:jc w:val="center"/>
      <w:rPr>
        <w:rFonts w:ascii="FrankRuehl" w:hAnsi="FrankRuehl" w:cs="FrankRuehl"/>
        <w:color w:val="000000"/>
        <w:sz w:val="24"/>
      </w:rPr>
    </w:pPr>
    <w:r>
      <w:rPr>
        <w:rFonts w:ascii="FrankRuehl" w:hAnsi="FrankRuehl" w:cs="FrankRuehl"/>
        <w:noProof/>
        <w:color w:val="000000"/>
        <w:sz w:val="24"/>
      </w:rPr>
      <w:drawing>
        <wp:inline distT="0" distB="0" distL="0" distR="0" wp14:anchorId="0E9931A0" wp14:editId="4868202E">
          <wp:extent cx="552450" cy="2286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228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818C5B" w14:textId="77777777" w:rsidR="006531B9" w:rsidRDefault="00000000" w:rsidP="006531B9">
    <w:pPr>
      <w:pStyle w:val="a3"/>
      <w:jc w:val="center"/>
      <w:rPr>
        <w:rFonts w:ascii="FrankRuehl" w:hAnsi="FrankRuehl" w:cs="FrankRuehl"/>
        <w:sz w:val="24"/>
      </w:rPr>
    </w:pPr>
    <w:r>
      <w:rPr>
        <w:rFonts w:ascii="FrankRuehl" w:hAnsi="FrankRuehl" w:cs="FrankRuehl"/>
        <w:sz w:val="24"/>
        <w:rtl/>
      </w:rPr>
      <w:fldChar w:fldCharType="begin"/>
    </w:r>
    <w:r>
      <w:rPr>
        <w:rFonts w:ascii="FrankRuehl" w:hAnsi="FrankRuehl" w:cs="FrankRuehl"/>
        <w:sz w:val="24"/>
        <w:rtl/>
      </w:rPr>
      <w:instrText xml:space="preserve"> </w:instrText>
    </w:r>
    <w:r>
      <w:rPr>
        <w:rFonts w:ascii="FrankRuehl" w:hAnsi="FrankRuehl" w:cs="FrankRuehl"/>
        <w:sz w:val="24"/>
      </w:rPr>
      <w:instrText xml:space="preserve">PAGE </w:instrText>
    </w:r>
    <w:r>
      <w:rPr>
        <w:rFonts w:ascii="FrankRuehl" w:hAnsi="FrankRuehl" w:cs="FrankRuehl"/>
        <w:sz w:val="24"/>
        <w:rtl/>
      </w:rPr>
      <w:instrText xml:space="preserve"> \* </w:instrText>
    </w:r>
    <w:r>
      <w:rPr>
        <w:rFonts w:ascii="FrankRuehl" w:hAnsi="FrankRuehl" w:cs="FrankRuehl"/>
        <w:sz w:val="24"/>
      </w:rPr>
      <w:instrText>MERGEFORMAT</w:instrText>
    </w:r>
    <w:r>
      <w:rPr>
        <w:rFonts w:ascii="FrankRuehl" w:hAnsi="FrankRuehl" w:cs="FrankRuehl"/>
        <w:sz w:val="24"/>
        <w:rtl/>
      </w:rPr>
      <w:instrText xml:space="preserve"> </w:instrText>
    </w:r>
    <w:r>
      <w:rPr>
        <w:rFonts w:ascii="FrankRuehl" w:hAnsi="FrankRuehl" w:cs="FrankRuehl"/>
        <w:sz w:val="24"/>
        <w:rtl/>
      </w:rPr>
      <w:fldChar w:fldCharType="separate"/>
    </w:r>
    <w:r w:rsidR="0084381D">
      <w:rPr>
        <w:rFonts w:ascii="FrankRuehl" w:hAnsi="FrankRuehl" w:cs="FrankRuehl"/>
        <w:noProof/>
        <w:sz w:val="24"/>
        <w:rtl/>
      </w:rPr>
      <w:t>1</w:t>
    </w:r>
    <w:r>
      <w:rPr>
        <w:rFonts w:ascii="FrankRuehl" w:hAnsi="FrankRuehl" w:cs="FrankRuehl"/>
        <w:sz w:val="24"/>
        <w:rtl/>
      </w:rPr>
      <w:fldChar w:fldCharType="end"/>
    </w:r>
  </w:p>
  <w:p w14:paraId="6DF28BD9" w14:textId="1D5C50F9" w:rsidR="006531B9" w:rsidRPr="006531B9" w:rsidRDefault="006531B9" w:rsidP="006531B9">
    <w:pPr>
      <w:pStyle w:val="a3"/>
      <w:pBdr>
        <w:top w:val="single" w:sz="4" w:space="1" w:color="auto"/>
        <w:between w:val="single" w:sz="4" w:space="0" w:color="auto"/>
      </w:pBdr>
      <w:spacing w:after="60"/>
      <w:jc w:val="center"/>
      <w:rPr>
        <w:rFonts w:ascii="FrankRuehl" w:hAnsi="FrankRuehl" w:cs="FrankRuehl"/>
        <w:color w:val="000000"/>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5C1A04" w14:textId="77777777" w:rsidR="00045B4D" w:rsidRPr="00F959DB" w:rsidRDefault="00045B4D" w:rsidP="00914156">
    <w:pPr>
      <w:pStyle w:val="a3"/>
      <w:bidi w:val="0"/>
      <w:jc w:val="right"/>
      <w:rPr>
        <w:sz w:val="16"/>
        <w:szCs w:val="16"/>
      </w:rPr>
    </w:pPr>
    <w:bookmarkStart w:id="17" w:name="footer_line"/>
    <w:bookmarkEnd w:id="17"/>
  </w:p>
  <w:p w14:paraId="165EC90C" w14:textId="77777777" w:rsidR="00045B4D" w:rsidRDefault="00045B4D">
    <w:pPr>
      <w:pStyle w:val="a3"/>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B4EFB6" w14:textId="77777777" w:rsidR="007C2814" w:rsidRDefault="007C2814">
      <w:r>
        <w:separator/>
      </w:r>
    </w:p>
  </w:footnote>
  <w:footnote w:type="continuationSeparator" w:id="0">
    <w:p w14:paraId="7C97CEEA" w14:textId="77777777" w:rsidR="007C2814" w:rsidRDefault="007C28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6A5BC0" w14:textId="77777777" w:rsidR="00377102" w:rsidRPr="006531B9" w:rsidRDefault="006531B9" w:rsidP="006531B9">
    <w:pPr>
      <w:pStyle w:val="a5"/>
      <w:pBdr>
        <w:bottom w:val="single" w:sz="4" w:space="1" w:color="auto"/>
      </w:pBdr>
      <w:tabs>
        <w:tab w:val="clear" w:pos="4153"/>
        <w:tab w:val="clear" w:pos="8306"/>
        <w:tab w:val="right" w:pos="8311"/>
      </w:tabs>
      <w:spacing w:line="220" w:lineRule="auto"/>
      <w:rPr>
        <w:rFonts w:ascii="David" w:hAnsi="David"/>
        <w:color w:val="000000"/>
        <w:sz w:val="22"/>
        <w:szCs w:val="22"/>
        <w:rtl/>
      </w:rPr>
    </w:pPr>
    <w:r>
      <w:rPr>
        <w:rFonts w:ascii="David" w:hAnsi="David"/>
        <w:color w:val="000000"/>
        <w:sz w:val="22"/>
        <w:szCs w:val="22"/>
        <w:rtl/>
      </w:rPr>
      <w:t xml:space="preserve">בגץ 8487/23 </w:t>
    </w:r>
    <w:r>
      <w:rPr>
        <w:rFonts w:ascii="David" w:hAnsi="David"/>
        <w:color w:val="000000"/>
        <w:sz w:val="22"/>
        <w:szCs w:val="22"/>
        <w:rtl/>
      </w:rPr>
      <w:tab/>
      <w:t xml:space="preserve"> סלווא קרעאן נ' שר הביטחון</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C7AD88" w14:textId="77777777" w:rsidR="006531B9" w:rsidRPr="006531B9" w:rsidRDefault="00000000" w:rsidP="006531B9">
    <w:pPr>
      <w:pStyle w:val="a5"/>
      <w:pBdr>
        <w:bottom w:val="single" w:sz="4" w:space="1" w:color="auto"/>
      </w:pBdr>
      <w:tabs>
        <w:tab w:val="clear" w:pos="4153"/>
        <w:tab w:val="clear" w:pos="8306"/>
        <w:tab w:val="right" w:pos="8311"/>
      </w:tabs>
      <w:spacing w:line="220" w:lineRule="auto"/>
      <w:rPr>
        <w:rFonts w:ascii="David" w:hAnsi="David"/>
        <w:color w:val="000000"/>
        <w:sz w:val="22"/>
        <w:szCs w:val="22"/>
        <w:rtl/>
      </w:rPr>
    </w:pPr>
    <w:bookmarkStart w:id="13" w:name="_Hlk163706613"/>
    <w:bookmarkStart w:id="14" w:name="_Hlk163706614"/>
    <w:bookmarkStart w:id="15" w:name="_Hlk163706615"/>
    <w:bookmarkStart w:id="16" w:name="_Hlk163706616"/>
    <w:r>
      <w:rPr>
        <w:rFonts w:ascii="David" w:hAnsi="David"/>
        <w:color w:val="000000"/>
        <w:sz w:val="22"/>
        <w:szCs w:val="22"/>
        <w:rtl/>
      </w:rPr>
      <w:t xml:space="preserve">בגץ 8487/23 </w:t>
    </w:r>
    <w:r>
      <w:rPr>
        <w:rFonts w:ascii="David" w:hAnsi="David"/>
        <w:color w:val="000000"/>
        <w:sz w:val="22"/>
        <w:szCs w:val="22"/>
        <w:rtl/>
      </w:rPr>
      <w:tab/>
      <w:t xml:space="preserve"> סלווא קרעאן נ' שר הביטחון</w:t>
    </w:r>
    <w:bookmarkEnd w:id="13"/>
    <w:bookmarkEnd w:id="14"/>
    <w:bookmarkEnd w:id="15"/>
    <w:bookmarkEnd w:id="16"/>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bidiVisual/>
      <w:tblW w:w="8363" w:type="dxa"/>
      <w:tblLook w:val="0000" w:firstRow="0" w:lastRow="0" w:firstColumn="0" w:lastColumn="0" w:noHBand="0" w:noVBand="0"/>
    </w:tblPr>
    <w:tblGrid>
      <w:gridCol w:w="8363"/>
    </w:tblGrid>
    <w:tr w:rsidR="00396C28" w14:paraId="0FECFBBD" w14:textId="77777777" w:rsidTr="00EC23AC">
      <w:trPr>
        <w:trHeight w:val="342"/>
      </w:trPr>
      <w:tc>
        <w:tcPr>
          <w:tcW w:w="9828" w:type="dxa"/>
        </w:tcPr>
        <w:p w14:paraId="51644D0E" w14:textId="14D91A30" w:rsidR="00377102" w:rsidRPr="002F7BB6" w:rsidRDefault="004F7986" w:rsidP="00045B4D">
          <w:pPr>
            <w:pStyle w:val="Casenameintextbody"/>
            <w:jc w:val="center"/>
            <w:rPr>
              <w:u w:val="none"/>
              <w:rtl/>
            </w:rPr>
          </w:pPr>
          <w:r>
            <w:rPr>
              <w:noProof/>
              <w:sz w:val="16"/>
              <w:szCs w:val="18"/>
              <w:u w:val="none"/>
            </w:rPr>
            <w:drawing>
              <wp:inline distT="0" distB="0" distL="0" distR="0" wp14:anchorId="08FAC7B7" wp14:editId="66563917">
                <wp:extent cx="466725" cy="447675"/>
                <wp:effectExtent l="0" t="0" r="0" b="0"/>
                <wp:docPr id="3"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p>
      </w:tc>
    </w:tr>
  </w:tbl>
  <w:p w14:paraId="1182397C" w14:textId="77777777" w:rsidR="00045B4D" w:rsidRDefault="00045B4D" w:rsidP="00045B4D">
    <w:pPr>
      <w:pStyle w:val="a5"/>
      <w:jc w:val="center"/>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C77A4F3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EB8EE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6485F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83003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204653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1CCE6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0264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21A09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7046C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B800B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A6001B"/>
    <w:multiLevelType w:val="hybridMultilevel"/>
    <w:tmpl w:val="B2C4B5E4"/>
    <w:lvl w:ilvl="0" w:tplc="A774AAC6">
      <w:start w:val="1"/>
      <w:numFmt w:val="decimal"/>
      <w:pStyle w:val="Ruller4"/>
      <w:lvlText w:val="%1."/>
      <w:lvlJc w:val="left"/>
      <w:pPr>
        <w:tabs>
          <w:tab w:val="num" w:pos="907"/>
        </w:tabs>
        <w:ind w:left="0" w:firstLine="0"/>
      </w:pPr>
      <w:rPr>
        <w:rFonts w:hint="default"/>
      </w:rPr>
    </w:lvl>
    <w:lvl w:ilvl="1" w:tplc="F14A5F14" w:tentative="1">
      <w:start w:val="1"/>
      <w:numFmt w:val="lowerLetter"/>
      <w:lvlText w:val="%2."/>
      <w:lvlJc w:val="left"/>
      <w:pPr>
        <w:tabs>
          <w:tab w:val="num" w:pos="1440"/>
        </w:tabs>
        <w:ind w:left="1440" w:hanging="360"/>
      </w:pPr>
    </w:lvl>
    <w:lvl w:ilvl="2" w:tplc="E8661210" w:tentative="1">
      <w:start w:val="1"/>
      <w:numFmt w:val="lowerRoman"/>
      <w:lvlText w:val="%3."/>
      <w:lvlJc w:val="right"/>
      <w:pPr>
        <w:tabs>
          <w:tab w:val="num" w:pos="2160"/>
        </w:tabs>
        <w:ind w:left="2160" w:hanging="180"/>
      </w:pPr>
    </w:lvl>
    <w:lvl w:ilvl="3" w:tplc="4CEEA444" w:tentative="1">
      <w:start w:val="1"/>
      <w:numFmt w:val="decimal"/>
      <w:lvlText w:val="%4."/>
      <w:lvlJc w:val="left"/>
      <w:pPr>
        <w:tabs>
          <w:tab w:val="num" w:pos="2880"/>
        </w:tabs>
        <w:ind w:left="2880" w:hanging="360"/>
      </w:pPr>
    </w:lvl>
    <w:lvl w:ilvl="4" w:tplc="757A237C" w:tentative="1">
      <w:start w:val="1"/>
      <w:numFmt w:val="lowerLetter"/>
      <w:lvlText w:val="%5."/>
      <w:lvlJc w:val="left"/>
      <w:pPr>
        <w:tabs>
          <w:tab w:val="num" w:pos="3600"/>
        </w:tabs>
        <w:ind w:left="3600" w:hanging="360"/>
      </w:pPr>
    </w:lvl>
    <w:lvl w:ilvl="5" w:tplc="A670BE1A" w:tentative="1">
      <w:start w:val="1"/>
      <w:numFmt w:val="lowerRoman"/>
      <w:lvlText w:val="%6."/>
      <w:lvlJc w:val="right"/>
      <w:pPr>
        <w:tabs>
          <w:tab w:val="num" w:pos="4320"/>
        </w:tabs>
        <w:ind w:left="4320" w:hanging="180"/>
      </w:pPr>
    </w:lvl>
    <w:lvl w:ilvl="6" w:tplc="601C948E" w:tentative="1">
      <w:start w:val="1"/>
      <w:numFmt w:val="decimal"/>
      <w:lvlText w:val="%7."/>
      <w:lvlJc w:val="left"/>
      <w:pPr>
        <w:tabs>
          <w:tab w:val="num" w:pos="5040"/>
        </w:tabs>
        <w:ind w:left="5040" w:hanging="360"/>
      </w:pPr>
    </w:lvl>
    <w:lvl w:ilvl="7" w:tplc="84EA7CDE" w:tentative="1">
      <w:start w:val="1"/>
      <w:numFmt w:val="lowerLetter"/>
      <w:lvlText w:val="%8."/>
      <w:lvlJc w:val="left"/>
      <w:pPr>
        <w:tabs>
          <w:tab w:val="num" w:pos="5760"/>
        </w:tabs>
        <w:ind w:left="5760" w:hanging="360"/>
      </w:pPr>
    </w:lvl>
    <w:lvl w:ilvl="8" w:tplc="F58228C0" w:tentative="1">
      <w:start w:val="1"/>
      <w:numFmt w:val="lowerRoman"/>
      <w:lvlText w:val="%9."/>
      <w:lvlJc w:val="right"/>
      <w:pPr>
        <w:tabs>
          <w:tab w:val="num" w:pos="6480"/>
        </w:tabs>
        <w:ind w:left="6480" w:hanging="180"/>
      </w:pPr>
    </w:lvl>
  </w:abstractNum>
  <w:num w:numId="1" w16cid:durableId="1306742389">
    <w:abstractNumId w:val="8"/>
  </w:num>
  <w:num w:numId="2" w16cid:durableId="1673483249">
    <w:abstractNumId w:val="3"/>
  </w:num>
  <w:num w:numId="3" w16cid:durableId="156531716">
    <w:abstractNumId w:val="2"/>
  </w:num>
  <w:num w:numId="4" w16cid:durableId="473841202">
    <w:abstractNumId w:val="1"/>
  </w:num>
  <w:num w:numId="5" w16cid:durableId="1759985589">
    <w:abstractNumId w:val="0"/>
  </w:num>
  <w:num w:numId="6" w16cid:durableId="582960281">
    <w:abstractNumId w:val="9"/>
  </w:num>
  <w:num w:numId="7" w16cid:durableId="837892185">
    <w:abstractNumId w:val="7"/>
  </w:num>
  <w:num w:numId="8" w16cid:durableId="1338071502">
    <w:abstractNumId w:val="6"/>
  </w:num>
  <w:num w:numId="9" w16cid:durableId="555777935">
    <w:abstractNumId w:val="5"/>
  </w:num>
  <w:num w:numId="10" w16cid:durableId="1206138019">
    <w:abstractNumId w:val="4"/>
  </w:num>
  <w:num w:numId="11" w16cid:durableId="74418055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20"/>
  <w:drawingGridHorizontalSpacing w:val="120"/>
  <w:drawingGridVerticalSpacing w:val="120"/>
  <w:displayVerticalDrawingGridEvery w:val="0"/>
  <w:doNotUseMarginsForDrawingGridOrigin/>
  <w:doNotShadeFormData/>
  <w:noPunctuationKerning/>
  <w:characterSpacingControl w:val="doNotCompress"/>
  <w:savePreviewPicture/>
  <w:hdrShapeDefaults>
    <o:shapedefaults v:ext="edit" spidmax="2050"/>
  </w:hdrShapeDefaults>
  <w:footnotePr>
    <w:footnote w:id="-1"/>
    <w:footnote w:id="0"/>
  </w:footnotePr>
  <w:endnotePr>
    <w:numFmt w:val="lowerLette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yInfo" w:val="This document was extracted from Nevo's site"/>
  </w:docVars>
  <w:rsids>
    <w:rsidRoot w:val="00036227"/>
    <w:rsid w:val="00016EF1"/>
    <w:rsid w:val="00032036"/>
    <w:rsid w:val="00036227"/>
    <w:rsid w:val="00044953"/>
    <w:rsid w:val="00045B4D"/>
    <w:rsid w:val="000725F5"/>
    <w:rsid w:val="00072AD2"/>
    <w:rsid w:val="000B1478"/>
    <w:rsid w:val="000C4690"/>
    <w:rsid w:val="000D25C4"/>
    <w:rsid w:val="000D33BA"/>
    <w:rsid w:val="000F197C"/>
    <w:rsid w:val="00132FA7"/>
    <w:rsid w:val="00134A67"/>
    <w:rsid w:val="0018407B"/>
    <w:rsid w:val="001A0164"/>
    <w:rsid w:val="00200D6B"/>
    <w:rsid w:val="0024615A"/>
    <w:rsid w:val="00265F6E"/>
    <w:rsid w:val="002876BF"/>
    <w:rsid w:val="002A4A7A"/>
    <w:rsid w:val="002A4BF3"/>
    <w:rsid w:val="002F7BB6"/>
    <w:rsid w:val="003448B2"/>
    <w:rsid w:val="00361DB2"/>
    <w:rsid w:val="0037622E"/>
    <w:rsid w:val="00377102"/>
    <w:rsid w:val="00396C28"/>
    <w:rsid w:val="0039709B"/>
    <w:rsid w:val="003D72DA"/>
    <w:rsid w:val="003F1F97"/>
    <w:rsid w:val="0041048F"/>
    <w:rsid w:val="00422DCF"/>
    <w:rsid w:val="00437D59"/>
    <w:rsid w:val="004610A4"/>
    <w:rsid w:val="004B29FF"/>
    <w:rsid w:val="004C7868"/>
    <w:rsid w:val="004F7986"/>
    <w:rsid w:val="00503A3E"/>
    <w:rsid w:val="00527F02"/>
    <w:rsid w:val="00531363"/>
    <w:rsid w:val="005659F2"/>
    <w:rsid w:val="005803E2"/>
    <w:rsid w:val="0058440A"/>
    <w:rsid w:val="00591983"/>
    <w:rsid w:val="005E6F41"/>
    <w:rsid w:val="006233DC"/>
    <w:rsid w:val="00624A42"/>
    <w:rsid w:val="0064536D"/>
    <w:rsid w:val="006531B9"/>
    <w:rsid w:val="0065522F"/>
    <w:rsid w:val="006A30F7"/>
    <w:rsid w:val="006C42AD"/>
    <w:rsid w:val="00725345"/>
    <w:rsid w:val="007372B4"/>
    <w:rsid w:val="00741CC0"/>
    <w:rsid w:val="007B0174"/>
    <w:rsid w:val="007B472F"/>
    <w:rsid w:val="007B512F"/>
    <w:rsid w:val="007C2814"/>
    <w:rsid w:val="007F7512"/>
    <w:rsid w:val="00810894"/>
    <w:rsid w:val="008143AB"/>
    <w:rsid w:val="008329AB"/>
    <w:rsid w:val="0083345F"/>
    <w:rsid w:val="00836667"/>
    <w:rsid w:val="0084381D"/>
    <w:rsid w:val="00866D0F"/>
    <w:rsid w:val="0087604D"/>
    <w:rsid w:val="008C2F11"/>
    <w:rsid w:val="008D78B9"/>
    <w:rsid w:val="008E3F85"/>
    <w:rsid w:val="009051E8"/>
    <w:rsid w:val="00914156"/>
    <w:rsid w:val="00916FF8"/>
    <w:rsid w:val="00922093"/>
    <w:rsid w:val="00930C85"/>
    <w:rsid w:val="009B38DA"/>
    <w:rsid w:val="009F2F53"/>
    <w:rsid w:val="009F4187"/>
    <w:rsid w:val="00A12E0F"/>
    <w:rsid w:val="00A205A0"/>
    <w:rsid w:val="00A35840"/>
    <w:rsid w:val="00A373A5"/>
    <w:rsid w:val="00A51FAE"/>
    <w:rsid w:val="00A80845"/>
    <w:rsid w:val="00A97036"/>
    <w:rsid w:val="00AB1FE0"/>
    <w:rsid w:val="00AB69F7"/>
    <w:rsid w:val="00AD097B"/>
    <w:rsid w:val="00AD64B9"/>
    <w:rsid w:val="00AE022B"/>
    <w:rsid w:val="00AF7283"/>
    <w:rsid w:val="00B009CC"/>
    <w:rsid w:val="00B0782A"/>
    <w:rsid w:val="00B32389"/>
    <w:rsid w:val="00B62B8C"/>
    <w:rsid w:val="00B63343"/>
    <w:rsid w:val="00B87FF7"/>
    <w:rsid w:val="00BA0B08"/>
    <w:rsid w:val="00BB4C68"/>
    <w:rsid w:val="00BC08E9"/>
    <w:rsid w:val="00BC0E82"/>
    <w:rsid w:val="00BD40F9"/>
    <w:rsid w:val="00C41C86"/>
    <w:rsid w:val="00C63A6C"/>
    <w:rsid w:val="00CA13AF"/>
    <w:rsid w:val="00CA1444"/>
    <w:rsid w:val="00CB1590"/>
    <w:rsid w:val="00CB311D"/>
    <w:rsid w:val="00CB7600"/>
    <w:rsid w:val="00CC0E9D"/>
    <w:rsid w:val="00CC3639"/>
    <w:rsid w:val="00D00B1D"/>
    <w:rsid w:val="00D00CB7"/>
    <w:rsid w:val="00D25F16"/>
    <w:rsid w:val="00D36236"/>
    <w:rsid w:val="00D4634E"/>
    <w:rsid w:val="00D75268"/>
    <w:rsid w:val="00D87144"/>
    <w:rsid w:val="00E21CA9"/>
    <w:rsid w:val="00E31063"/>
    <w:rsid w:val="00E36FE9"/>
    <w:rsid w:val="00E73E98"/>
    <w:rsid w:val="00E74F40"/>
    <w:rsid w:val="00E75223"/>
    <w:rsid w:val="00E8792E"/>
    <w:rsid w:val="00E90D72"/>
    <w:rsid w:val="00EA0BE1"/>
    <w:rsid w:val="00EC23AC"/>
    <w:rsid w:val="00EC2771"/>
    <w:rsid w:val="00EC2992"/>
    <w:rsid w:val="00ED46A4"/>
    <w:rsid w:val="00ED6FD9"/>
    <w:rsid w:val="00EE3810"/>
    <w:rsid w:val="00F63C3B"/>
    <w:rsid w:val="00F959DB"/>
    <w:rsid w:val="00FC025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E5798D"/>
  <w15:docId w15:val="{C3C55FC9-B244-4EF8-91A4-3E11644AD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overflowPunct w:val="0"/>
      <w:autoSpaceDE w:val="0"/>
      <w:autoSpaceDN w:val="0"/>
      <w:bidi/>
      <w:adjustRightInd w:val="0"/>
      <w:textAlignment w:val="baseline"/>
    </w:pPr>
    <w:rPr>
      <w:rFonts w:cs="David"/>
      <w:szCs w:val="24"/>
      <w:lang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uller3">
    <w:name w:val="Ruller 3"/>
    <w:basedOn w:val="a"/>
    <w:rsid w:val="00A51FAE"/>
    <w:pPr>
      <w:tabs>
        <w:tab w:val="left" w:pos="3210"/>
        <w:tab w:val="left" w:pos="6753"/>
      </w:tabs>
      <w:spacing w:line="360" w:lineRule="auto"/>
    </w:pPr>
    <w:rPr>
      <w:rFonts w:cs="FrankRuehl"/>
      <w:spacing w:val="10"/>
      <w:sz w:val="22"/>
      <w:szCs w:val="28"/>
    </w:rPr>
  </w:style>
  <w:style w:type="paragraph" w:customStyle="1" w:styleId="Pskdinhead">
    <w:name w:val="Pskdin head"/>
    <w:basedOn w:val="a"/>
    <w:pPr>
      <w:spacing w:line="360" w:lineRule="auto"/>
    </w:pPr>
    <w:rPr>
      <w:b/>
      <w:bCs/>
      <w:u w:val="single"/>
    </w:rPr>
  </w:style>
  <w:style w:type="paragraph" w:customStyle="1" w:styleId="FileNumber">
    <w:name w:val="File Number"/>
    <w:basedOn w:val="a"/>
    <w:pPr>
      <w:spacing w:line="360" w:lineRule="auto"/>
      <w:jc w:val="right"/>
    </w:pPr>
    <w:rPr>
      <w:bCs/>
    </w:rPr>
  </w:style>
  <w:style w:type="paragraph" w:customStyle="1" w:styleId="FirstpagestylePsakdin">
    <w:name w:val="First page style Psak din"/>
    <w:basedOn w:val="Ruller3"/>
    <w:pPr>
      <w:tabs>
        <w:tab w:val="clear" w:pos="3210"/>
        <w:tab w:val="left" w:pos="3209"/>
      </w:tabs>
    </w:pPr>
    <w:rPr>
      <w:bCs/>
    </w:rPr>
  </w:style>
  <w:style w:type="paragraph" w:customStyle="1" w:styleId="TyutaDate">
    <w:name w:val="Tyuta Date"/>
    <w:basedOn w:val="a"/>
    <w:pPr>
      <w:jc w:val="center"/>
    </w:pPr>
    <w:rPr>
      <w:b/>
      <w:bCs/>
      <w:i/>
      <w:iCs/>
      <w:sz w:val="28"/>
      <w:szCs w:val="28"/>
    </w:rPr>
  </w:style>
  <w:style w:type="paragraph" w:customStyle="1" w:styleId="DocumentHead">
    <w:name w:val="Document Head"/>
    <w:basedOn w:val="a"/>
    <w:pPr>
      <w:spacing w:line="360" w:lineRule="auto"/>
      <w:jc w:val="center"/>
    </w:pPr>
    <w:rPr>
      <w:bCs/>
      <w:spacing w:val="30"/>
      <w:szCs w:val="28"/>
      <w:u w:val="single"/>
    </w:rPr>
  </w:style>
  <w:style w:type="paragraph" w:customStyle="1" w:styleId="TfutzaList">
    <w:name w:val="Tfutza List"/>
    <w:basedOn w:val="a"/>
    <w:rPr>
      <w:i/>
      <w:iCs/>
    </w:rPr>
  </w:style>
  <w:style w:type="paragraph" w:customStyle="1" w:styleId="Ruller40">
    <w:name w:val="Ruller4"/>
    <w:basedOn w:val="a"/>
    <w:rsid w:val="00A51FAE"/>
    <w:pPr>
      <w:tabs>
        <w:tab w:val="left" w:pos="800"/>
      </w:tabs>
      <w:spacing w:line="360" w:lineRule="auto"/>
      <w:jc w:val="both"/>
    </w:pPr>
    <w:rPr>
      <w:rFonts w:ascii="Arial TUR" w:hAnsi="Arial TUR" w:cs="FrankRuehl"/>
      <w:spacing w:val="10"/>
      <w:sz w:val="22"/>
      <w:szCs w:val="28"/>
    </w:rPr>
  </w:style>
  <w:style w:type="paragraph" w:customStyle="1" w:styleId="Ruller5">
    <w:name w:val="Ruller5"/>
    <w:basedOn w:val="a"/>
    <w:rsid w:val="00A51FAE"/>
    <w:pPr>
      <w:ind w:left="1642" w:right="1282"/>
      <w:jc w:val="both"/>
    </w:pPr>
    <w:rPr>
      <w:rFonts w:ascii="Arial TUR" w:hAnsi="Arial TUR" w:cs="FrankRuehl"/>
      <w:spacing w:val="10"/>
      <w:sz w:val="22"/>
      <w:szCs w:val="28"/>
    </w:rPr>
  </w:style>
  <w:style w:type="paragraph" w:customStyle="1" w:styleId="Ruller6">
    <w:name w:val="Ruller6"/>
    <w:basedOn w:val="a"/>
    <w:rsid w:val="00A51FAE"/>
    <w:pPr>
      <w:tabs>
        <w:tab w:val="left" w:pos="794"/>
        <w:tab w:val="left" w:pos="2268"/>
        <w:tab w:val="left" w:pos="5783"/>
        <w:tab w:val="left" w:pos="7371"/>
      </w:tabs>
    </w:pPr>
    <w:rPr>
      <w:rFonts w:ascii="Arial TUR" w:hAnsi="Arial TUR" w:cs="DavidFix"/>
      <w:spacing w:val="10"/>
      <w:sz w:val="22"/>
      <w:szCs w:val="20"/>
    </w:rPr>
  </w:style>
  <w:style w:type="character" w:customStyle="1" w:styleId="Delete">
    <w:name w:val="Delete"/>
    <w:rPr>
      <w:strike/>
    </w:rPr>
  </w:style>
  <w:style w:type="paragraph" w:customStyle="1" w:styleId="WriterName">
    <w:name w:val="Writer Name"/>
    <w:basedOn w:val="Ruller40"/>
    <w:next w:val="Ruller40"/>
    <w:rPr>
      <w:rFonts w:cs="David"/>
      <w:b/>
      <w:bCs/>
      <w:u w:val="single"/>
    </w:rPr>
  </w:style>
  <w:style w:type="character" w:customStyle="1" w:styleId="Hand">
    <w:name w:val="Hand"/>
    <w:rPr>
      <w:rFonts w:cs="Guttman Yad"/>
    </w:rPr>
  </w:style>
  <w:style w:type="paragraph" w:styleId="a3">
    <w:name w:val="footer"/>
    <w:basedOn w:val="a"/>
    <w:pPr>
      <w:tabs>
        <w:tab w:val="center" w:pos="4153"/>
        <w:tab w:val="right" w:pos="8306"/>
      </w:tabs>
    </w:pPr>
  </w:style>
  <w:style w:type="character" w:styleId="a4">
    <w:name w:val="page number"/>
    <w:basedOn w:val="a0"/>
  </w:style>
  <w:style w:type="paragraph" w:styleId="a5">
    <w:name w:val="header"/>
    <w:basedOn w:val="a"/>
    <w:pPr>
      <w:tabs>
        <w:tab w:val="center" w:pos="4153"/>
        <w:tab w:val="right" w:pos="8306"/>
      </w:tabs>
    </w:pPr>
  </w:style>
  <w:style w:type="paragraph" w:customStyle="1" w:styleId="2">
    <w:name w:val="ñâðåï2"/>
    <w:basedOn w:val="a"/>
    <w:pPr>
      <w:overflowPunct/>
      <w:textAlignment w:val="auto"/>
    </w:pPr>
    <w:rPr>
      <w:rFonts w:cs="Times New Roman"/>
    </w:rPr>
  </w:style>
  <w:style w:type="paragraph" w:customStyle="1" w:styleId="Casenameintextbody">
    <w:name w:val="Case name in text body"/>
    <w:basedOn w:val="a"/>
    <w:pPr>
      <w:overflowPunct/>
      <w:jc w:val="right"/>
      <w:textAlignment w:val="auto"/>
    </w:pPr>
    <w:rPr>
      <w:rFonts w:cs="Times New Roman"/>
      <w:b/>
      <w:bCs/>
      <w:u w:val="single"/>
    </w:rPr>
  </w:style>
  <w:style w:type="paragraph" w:customStyle="1" w:styleId="precasestyle">
    <w:name w:val="pre_case style"/>
    <w:basedOn w:val="a"/>
    <w:pPr>
      <w:tabs>
        <w:tab w:val="left" w:pos="2552"/>
      </w:tabs>
      <w:overflowPunct/>
      <w:ind w:right="2549"/>
      <w:textAlignment w:val="auto"/>
    </w:pPr>
    <w:rPr>
      <w:rFonts w:cs="Times New Roman"/>
    </w:rPr>
  </w:style>
  <w:style w:type="paragraph" w:customStyle="1" w:styleId="BodyRuller">
    <w:name w:val="Body Ruller"/>
    <w:basedOn w:val="a"/>
    <w:rPr>
      <w:sz w:val="22"/>
      <w:szCs w:val="28"/>
    </w:rPr>
  </w:style>
  <w:style w:type="paragraph" w:customStyle="1" w:styleId="Ruller38">
    <w:name w:val="סגנון Ruller 3 + (מורכב) ‏8 נק"/>
    <w:basedOn w:val="BodyRuller"/>
    <w:rPr>
      <w:szCs w:val="16"/>
    </w:rPr>
  </w:style>
  <w:style w:type="character" w:customStyle="1" w:styleId="Ruller30">
    <w:name w:val="Ruller 3 תו"/>
    <w:rPr>
      <w:rFonts w:cs="FrankRuehl"/>
      <w:sz w:val="22"/>
      <w:szCs w:val="28"/>
      <w:lang w:val="en-US" w:eastAsia="en-US" w:bidi="he-IL"/>
    </w:rPr>
  </w:style>
  <w:style w:type="character" w:customStyle="1" w:styleId="BodyRuller0">
    <w:name w:val="Body Ruller תו"/>
    <w:rPr>
      <w:rFonts w:cs="David"/>
      <w:sz w:val="22"/>
      <w:szCs w:val="28"/>
      <w:lang w:val="en-US" w:eastAsia="en-US" w:bidi="he-IL"/>
    </w:rPr>
  </w:style>
  <w:style w:type="character" w:customStyle="1" w:styleId="Ruller380">
    <w:name w:val="סגנון Ruller 3 + (מורכב) ‏8 נק תו"/>
    <w:rPr>
      <w:rFonts w:cs="David"/>
      <w:sz w:val="22"/>
      <w:szCs w:val="16"/>
      <w:lang w:val="en-US" w:eastAsia="en-US" w:bidi="he-IL"/>
    </w:rPr>
  </w:style>
  <w:style w:type="paragraph" w:customStyle="1" w:styleId="FileNumber0">
    <w:name w:val="סגנון File Number + ימין"/>
    <w:basedOn w:val="FileNumber"/>
    <w:rsid w:val="004C7868"/>
    <w:pPr>
      <w:jc w:val="left"/>
    </w:pPr>
    <w:rPr>
      <w:szCs w:val="28"/>
    </w:rPr>
  </w:style>
  <w:style w:type="paragraph" w:customStyle="1" w:styleId="BODYVERDICT">
    <w:name w:val="BODY VERDICT"/>
    <w:basedOn w:val="a"/>
    <w:rsid w:val="00036227"/>
    <w:rPr>
      <w:rFonts w:cs="FrankRuehl"/>
      <w:spacing w:val="10"/>
      <w:sz w:val="22"/>
      <w:szCs w:val="28"/>
    </w:rPr>
  </w:style>
  <w:style w:type="character" w:styleId="Hyperlink">
    <w:name w:val="Hyperlink"/>
    <w:rsid w:val="003F1F97"/>
    <w:rPr>
      <w:color w:val="0000FF"/>
      <w:u w:val="single"/>
    </w:rPr>
  </w:style>
  <w:style w:type="table" w:styleId="a6">
    <w:name w:val="Table Grid"/>
    <w:basedOn w:val="a1"/>
    <w:rsid w:val="003F1F97"/>
    <w:pPr>
      <w:overflowPunct w:val="0"/>
      <w:autoSpaceDE w:val="0"/>
      <w:autoSpaceDN w:val="0"/>
      <w:bidi/>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58440A"/>
    <w:rPr>
      <w:color w:val="954F72"/>
      <w:u w:val="single"/>
    </w:rPr>
  </w:style>
  <w:style w:type="character" w:styleId="a7">
    <w:name w:val="annotation reference"/>
    <w:rsid w:val="00D00B1D"/>
    <w:rPr>
      <w:sz w:val="16"/>
      <w:szCs w:val="16"/>
    </w:rPr>
  </w:style>
  <w:style w:type="paragraph" w:styleId="a8">
    <w:name w:val="annotation text"/>
    <w:basedOn w:val="a"/>
    <w:link w:val="a9"/>
    <w:rsid w:val="00D00B1D"/>
    <w:rPr>
      <w:szCs w:val="20"/>
    </w:rPr>
  </w:style>
  <w:style w:type="character" w:customStyle="1" w:styleId="a9">
    <w:name w:val="טקסט הערה תו"/>
    <w:link w:val="a8"/>
    <w:rsid w:val="00D00B1D"/>
    <w:rPr>
      <w:rFonts w:cs="David"/>
    </w:rPr>
  </w:style>
  <w:style w:type="paragraph" w:styleId="aa">
    <w:name w:val="annotation subject"/>
    <w:basedOn w:val="a8"/>
    <w:next w:val="a8"/>
    <w:link w:val="ab"/>
    <w:rsid w:val="00D00B1D"/>
    <w:rPr>
      <w:b/>
      <w:bCs/>
    </w:rPr>
  </w:style>
  <w:style w:type="character" w:customStyle="1" w:styleId="ab">
    <w:name w:val="נושא הערה תו"/>
    <w:link w:val="aa"/>
    <w:rsid w:val="00D00B1D"/>
    <w:rPr>
      <w:rFonts w:cs="David"/>
      <w:b/>
      <w:bCs/>
    </w:rPr>
  </w:style>
  <w:style w:type="paragraph" w:styleId="ac">
    <w:name w:val="Balloon Text"/>
    <w:basedOn w:val="a"/>
    <w:link w:val="ad"/>
    <w:rsid w:val="00D00B1D"/>
    <w:rPr>
      <w:rFonts w:ascii="Tahoma" w:hAnsi="Tahoma" w:cs="Tahoma"/>
      <w:sz w:val="18"/>
      <w:szCs w:val="18"/>
    </w:rPr>
  </w:style>
  <w:style w:type="character" w:customStyle="1" w:styleId="ad">
    <w:name w:val="טקסט בלונים תו"/>
    <w:link w:val="ac"/>
    <w:rsid w:val="00D00B1D"/>
    <w:rPr>
      <w:rFonts w:ascii="Tahoma" w:hAnsi="Tahoma" w:cs="Tahoma"/>
      <w:sz w:val="18"/>
      <w:szCs w:val="18"/>
    </w:rPr>
  </w:style>
  <w:style w:type="paragraph" w:customStyle="1" w:styleId="Ruller4">
    <w:name w:val="Ruller 4 ממוספר"/>
    <w:basedOn w:val="Ruller40"/>
    <w:next w:val="Ruller40"/>
    <w:rsid w:val="00AB1FE0"/>
    <w:pPr>
      <w:numPr>
        <w:numId w:val="11"/>
      </w:numPr>
    </w:pPr>
    <w:rPr>
      <w:rFonts w:ascii="Garamond" w:hAnsi="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www.nevo.co.il/case/30273702" TargetMode="External"/><Relationship Id="rId13" Type="http://schemas.openxmlformats.org/officeDocument/2006/relationships/hyperlink" Target="http://www.nevo.co.il/case/27682182"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www.nevo.co.il/case/6055355" TargetMode="External"/><Relationship Id="rId12" Type="http://schemas.openxmlformats.org/officeDocument/2006/relationships/hyperlink" Target="http://www.nevo.co.il/case/28801826"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vo.co.il/case/25815975" TargetMode="External"/><Relationship Id="rId5" Type="http://schemas.openxmlformats.org/officeDocument/2006/relationships/footnotes" Target="footnotes.xml"/><Relationship Id="rId15" Type="http://schemas.openxmlformats.org/officeDocument/2006/relationships/hyperlink" Target="http://www.nevo.co.il/case/28718101" TargetMode="External"/><Relationship Id="rId23" Type="http://schemas.openxmlformats.org/officeDocument/2006/relationships/theme" Target="theme/theme1.xml"/><Relationship Id="rId10" Type="http://schemas.openxmlformats.org/officeDocument/2006/relationships/hyperlink" Target="http://www.nevo.co.il/case/5959704"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nevo.co.il/case/5750633" TargetMode="External"/><Relationship Id="rId14" Type="http://schemas.openxmlformats.org/officeDocument/2006/relationships/hyperlink" Target="http://www.nevo.co.il/case/5675522"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1330</Words>
  <Characters>6651</Characters>
  <Application>Microsoft Office Word</Application>
  <DocSecurity>0</DocSecurity>
  <Lines>55</Lines>
  <Paragraphs>15</Paragraphs>
  <ScaleCrop>false</ScaleCrop>
  <Company/>
  <LinksUpToDate>false</LinksUpToDate>
  <CharactersWithSpaces>7966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orit כהן</cp:lastModifiedBy>
  <cp:revision>2</cp:revision>
  <dcterms:created xsi:type="dcterms:W3CDTF">2024-04-11T02:54:00Z</dcterms:created>
  <dcterms:modified xsi:type="dcterms:W3CDTF">2024-04-11T02:54:00Z</dcterms:modified>
</cp:coreProperties>
</file>