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5F3F8" w14:textId="77777777" w:rsidR="00507694" w:rsidRPr="00F76CD4" w:rsidRDefault="00507694" w:rsidP="00F76CD4"/>
    <w:p w14:paraId="132075AA" w14:textId="25B06AFA" w:rsidR="00F76CD4" w:rsidRDefault="00F76CD4" w:rsidP="00F76CD4">
      <w:pPr>
        <w:rPr>
          <w:rtl/>
        </w:rPr>
      </w:pPr>
      <w:r w:rsidRPr="00F76CD4">
        <w:rPr>
          <w:rtl/>
        </w:rPr>
        <w:t>ה</w:t>
      </w:r>
      <w:r w:rsidRPr="00F76CD4">
        <w:rPr>
          <w:rFonts w:hint="cs"/>
          <w:rtl/>
        </w:rPr>
        <w:t>שופט</w:t>
      </w:r>
      <w:r>
        <w:rPr>
          <w:rFonts w:hint="cs"/>
          <w:rtl/>
        </w:rPr>
        <w:t>:</w:t>
      </w:r>
      <w:r w:rsidRPr="00F76CD4">
        <w:rPr>
          <w:rFonts w:hint="cs"/>
          <w:rtl/>
        </w:rPr>
        <w:t xml:space="preserve"> </w:t>
      </w:r>
      <w:r w:rsidRPr="00F76CD4">
        <w:rPr>
          <w:rtl/>
        </w:rPr>
        <w:t>מנחם מזרחי</w:t>
      </w:r>
    </w:p>
    <w:p w14:paraId="5E662256" w14:textId="235B2CF0" w:rsidR="00F76CD4" w:rsidRPr="00F76CD4" w:rsidRDefault="00F76CD4" w:rsidP="00F76CD4">
      <w:pPr>
        <w:rPr>
          <w:rtl/>
        </w:rPr>
      </w:pPr>
      <w:r>
        <w:rPr>
          <w:rFonts w:hint="cs"/>
          <w:rtl/>
        </w:rPr>
        <w:t xml:space="preserve">ת"פ (השלום </w:t>
      </w:r>
      <w:r>
        <w:rPr>
          <w:rtl/>
        </w:rPr>
        <w:t>–</w:t>
      </w:r>
      <w:r>
        <w:rPr>
          <w:rFonts w:hint="cs"/>
          <w:rtl/>
        </w:rPr>
        <w:t xml:space="preserve"> ראשון לציון) 8182-04-23 מ"י נ' </w:t>
      </w:r>
      <w:proofErr w:type="spellStart"/>
      <w:r>
        <w:rPr>
          <w:rFonts w:hint="cs"/>
          <w:rtl/>
        </w:rPr>
        <w:t>בביצקי</w:t>
      </w:r>
      <w:proofErr w:type="spellEnd"/>
      <w:r>
        <w:rPr>
          <w:rFonts w:hint="cs"/>
          <w:rtl/>
        </w:rPr>
        <w:t>, ניתן ביום 12.2.2025</w:t>
      </w:r>
    </w:p>
    <w:p w14:paraId="6180D807" w14:textId="37BD5957" w:rsidR="00F76CD4" w:rsidRPr="00F76CD4" w:rsidRDefault="00F76CD4" w:rsidP="00F76CD4">
      <w:r>
        <w:rPr>
          <w:rFonts w:hint="cs"/>
          <w:rtl/>
        </w:rPr>
        <w:t xml:space="preserve">למאשימה: </w:t>
      </w:r>
      <w:r w:rsidRPr="00F76CD4">
        <w:rPr>
          <w:rFonts w:hint="cs"/>
          <w:rtl/>
        </w:rPr>
        <w:t>עו"ד דודי ענבר</w:t>
      </w:r>
    </w:p>
    <w:p w14:paraId="330C3B03" w14:textId="6BF6CF45" w:rsidR="00F76CD4" w:rsidRPr="00F76CD4" w:rsidRDefault="00F76CD4" w:rsidP="00F76CD4">
      <w:r>
        <w:rPr>
          <w:rFonts w:hint="cs"/>
          <w:rtl/>
        </w:rPr>
        <w:t>ל</w:t>
      </w:r>
      <w:r w:rsidRPr="00F76CD4">
        <w:rPr>
          <w:rtl/>
        </w:rPr>
        <w:t>נאשם</w:t>
      </w:r>
      <w:r>
        <w:rPr>
          <w:rFonts w:hint="cs"/>
          <w:rtl/>
        </w:rPr>
        <w:t xml:space="preserve">: </w:t>
      </w:r>
      <w:r w:rsidRPr="00F76CD4">
        <w:rPr>
          <w:rtl/>
        </w:rPr>
        <w:t>עוה"ד</w:t>
      </w:r>
      <w:r w:rsidRPr="00F76CD4">
        <w:rPr>
          <w:rFonts w:hint="cs"/>
          <w:rtl/>
        </w:rPr>
        <w:t xml:space="preserve"> עדי כרמלי וארז אלוש</w:t>
      </w:r>
    </w:p>
    <w:p w14:paraId="3B7D958D" w14:textId="77777777" w:rsidR="005425CF" w:rsidRPr="00F76CD4" w:rsidRDefault="005425CF" w:rsidP="00F76CD4">
      <w:pPr>
        <w:rPr>
          <w:rtl/>
        </w:rPr>
      </w:pPr>
    </w:p>
    <w:p w14:paraId="77F6B45A" w14:textId="77777777" w:rsidR="00E4668F" w:rsidRPr="00E4668F" w:rsidRDefault="00E4668F" w:rsidP="00E4668F">
      <w:pPr>
        <w:rPr>
          <w:b/>
          <w:bCs/>
          <w:rtl/>
        </w:rPr>
      </w:pPr>
      <w:r>
        <w:rPr>
          <w:rtl/>
        </w:rPr>
        <w:t xml:space="preserve">בית המשפט הרשיע את סגן ראש עיריית ראשון לציון בעבירות חמורות, ובהן קשירת </w:t>
      </w:r>
      <w:r w:rsidRPr="00E4668F">
        <w:rPr>
          <w:b/>
          <w:bCs/>
          <w:rtl/>
        </w:rPr>
        <w:t>קשר לפשע, זיוף מסמכי עובד ציבור, מרמה והפרת אמונים, מסירת ידיעות כוזבות ושיבוש הליכי משפט.</w:t>
      </w:r>
    </w:p>
    <w:p w14:paraId="4E71E817" w14:textId="77777777" w:rsidR="00E4668F" w:rsidRDefault="00E4668F" w:rsidP="00E4668F">
      <w:pPr>
        <w:rPr>
          <w:rtl/>
        </w:rPr>
      </w:pPr>
    </w:p>
    <w:p w14:paraId="2690CD74" w14:textId="03CD077A" w:rsidR="00E4668F" w:rsidRDefault="00E4668F" w:rsidP="00E4668F">
      <w:pPr>
        <w:rPr>
          <w:rtl/>
        </w:rPr>
      </w:pPr>
      <w:r>
        <w:rPr>
          <w:rtl/>
        </w:rPr>
        <w:t xml:space="preserve">מעשה העבירה בוצע בתאריך 13.10.22, עת הנאשם יצר קשר עם אזרחית אוקראינה בשם </w:t>
      </w:r>
      <w:proofErr w:type="spellStart"/>
      <w:r>
        <w:rPr>
          <w:rtl/>
        </w:rPr>
        <w:t>קארינה</w:t>
      </w:r>
      <w:proofErr w:type="spellEnd"/>
      <w:r>
        <w:rPr>
          <w:rtl/>
        </w:rPr>
        <w:t xml:space="preserve"> </w:t>
      </w:r>
      <w:proofErr w:type="spellStart"/>
      <w:r>
        <w:rPr>
          <w:rtl/>
        </w:rPr>
        <w:t>קרוואנסקה</w:t>
      </w:r>
      <w:proofErr w:type="spellEnd"/>
      <w:r>
        <w:rPr>
          <w:rtl/>
        </w:rPr>
        <w:t>, אשר ביקשה סיוע בהנפקת אשרת כניסה לישראל. הנאשם, תוך ניצול מעמדו הציבורי, רקם עמה קשר במטרה להקל על כניסתה הבלתי חוקית לישראל.</w:t>
      </w:r>
      <w:r>
        <w:rPr>
          <w:rFonts w:hint="cs"/>
          <w:rtl/>
        </w:rPr>
        <w:t xml:space="preserve"> </w:t>
      </w:r>
      <w:r>
        <w:rPr>
          <w:rtl/>
        </w:rPr>
        <w:t xml:space="preserve">במסגרת זו, זייף הנאשם מסמך הזמנה רשמי מטעם עיריית ראשון לציון, בו נטען כי </w:t>
      </w:r>
      <w:proofErr w:type="spellStart"/>
      <w:r>
        <w:rPr>
          <w:rtl/>
        </w:rPr>
        <w:t>קארינה</w:t>
      </w:r>
      <w:proofErr w:type="spellEnd"/>
      <w:r>
        <w:rPr>
          <w:rtl/>
        </w:rPr>
        <w:t xml:space="preserve"> הוזמנה להשתתף בפורום בנושא אבטחה. בנוסף, דאג הנאשם להזמנה כוזבת בבית מלון בראשון לציון עבור </w:t>
      </w:r>
      <w:proofErr w:type="spellStart"/>
      <w:r>
        <w:rPr>
          <w:rtl/>
        </w:rPr>
        <w:t>קארינה</w:t>
      </w:r>
      <w:proofErr w:type="spellEnd"/>
      <w:r>
        <w:rPr>
          <w:rtl/>
        </w:rPr>
        <w:t>.</w:t>
      </w:r>
    </w:p>
    <w:p w14:paraId="1C269F1A" w14:textId="77777777" w:rsidR="00E4668F" w:rsidRDefault="00E4668F" w:rsidP="00E4668F">
      <w:pPr>
        <w:rPr>
          <w:rtl/>
        </w:rPr>
      </w:pPr>
    </w:p>
    <w:p w14:paraId="030F84B3" w14:textId="3AC1FF7F" w:rsidR="00E4668F" w:rsidRDefault="00E4668F" w:rsidP="00E4668F">
      <w:pPr>
        <w:rPr>
          <w:rtl/>
        </w:rPr>
      </w:pPr>
      <w:proofErr w:type="spellStart"/>
      <w:r>
        <w:rPr>
          <w:rtl/>
        </w:rPr>
        <w:t>קארינה</w:t>
      </w:r>
      <w:proofErr w:type="spellEnd"/>
      <w:r>
        <w:rPr>
          <w:rtl/>
        </w:rPr>
        <w:t xml:space="preserve"> הגיעה לישראל ב-20.10.22, אך כניסתה סורבה עקב חשד למסירת מידע כוזב. הנאשם, אשר המתין לה בשדה התעופה, ניסה בכל כוחו לסייע לה להיכנס לישראל, תוך שהוא מציג את עצמו כסגן ראש העיר ומפעיל לחץ על גורמי רשות האוכלוסין וההגירה.</w:t>
      </w:r>
      <w:r>
        <w:rPr>
          <w:rFonts w:hint="cs"/>
          <w:rtl/>
        </w:rPr>
        <w:t xml:space="preserve"> </w:t>
      </w:r>
      <w:r>
        <w:rPr>
          <w:rtl/>
        </w:rPr>
        <w:t xml:space="preserve">בחקירתו במשטרה, אשר נערכה ב-21.10.22, מחק הנאשם את כל ההתכתבויות והשיחות שלו עם </w:t>
      </w:r>
      <w:proofErr w:type="spellStart"/>
      <w:r>
        <w:rPr>
          <w:rtl/>
        </w:rPr>
        <w:t>קארינה</w:t>
      </w:r>
      <w:proofErr w:type="spellEnd"/>
      <w:r>
        <w:rPr>
          <w:rtl/>
        </w:rPr>
        <w:t xml:space="preserve"> במטרה לשבש את החקירה.</w:t>
      </w:r>
    </w:p>
    <w:p w14:paraId="2D953D74" w14:textId="77777777" w:rsidR="00E4668F" w:rsidRDefault="00E4668F" w:rsidP="00E4668F">
      <w:pPr>
        <w:rPr>
          <w:rtl/>
        </w:rPr>
      </w:pPr>
    </w:p>
    <w:p w14:paraId="6B3F9CBC" w14:textId="77777777" w:rsidR="00E4668F" w:rsidRDefault="00E4668F" w:rsidP="00E4668F">
      <w:pPr>
        <w:rPr>
          <w:rtl/>
        </w:rPr>
      </w:pPr>
    </w:p>
    <w:p w14:paraId="2C76275A" w14:textId="5163584F" w:rsidR="005425CF" w:rsidRPr="00F76CD4" w:rsidRDefault="005425CF" w:rsidP="00E4668F">
      <w:pPr>
        <w:rPr>
          <w:rtl/>
        </w:rPr>
      </w:pPr>
      <w:r w:rsidRPr="00F76CD4">
        <w:rPr>
          <w:rFonts w:hint="cs"/>
          <w:rtl/>
        </w:rPr>
        <w:t>ב. מתחם ענישה:</w:t>
      </w:r>
    </w:p>
    <w:p w14:paraId="4BD06151" w14:textId="77777777" w:rsidR="00E14869" w:rsidRPr="00F76CD4" w:rsidRDefault="00E14869" w:rsidP="00F76CD4">
      <w:pPr>
        <w:rPr>
          <w:rtl/>
        </w:rPr>
      </w:pPr>
    </w:p>
    <w:p w14:paraId="14322E0E" w14:textId="77777777" w:rsidR="00E14869" w:rsidRPr="00F76CD4" w:rsidRDefault="00AB013B" w:rsidP="00F76CD4">
      <w:pPr>
        <w:rPr>
          <w:rtl/>
        </w:rPr>
      </w:pPr>
      <w:r w:rsidRPr="00F76CD4">
        <w:rPr>
          <w:rFonts w:hint="cs"/>
          <w:rtl/>
        </w:rPr>
        <w:t xml:space="preserve">בהתאם לסעיפים 40א-40ה, 40ט  לחוק העונשין </w:t>
      </w:r>
      <w:proofErr w:type="spellStart"/>
      <w:r w:rsidRPr="00F76CD4">
        <w:rPr>
          <w:rFonts w:hint="cs"/>
          <w:rtl/>
        </w:rPr>
        <w:t>התשל"ז</w:t>
      </w:r>
      <w:proofErr w:type="spellEnd"/>
      <w:r w:rsidRPr="00F76CD4">
        <w:rPr>
          <w:rFonts w:hint="cs"/>
          <w:rtl/>
        </w:rPr>
        <w:t xml:space="preserve"> </w:t>
      </w:r>
      <w:r w:rsidRPr="00F76CD4">
        <w:rPr>
          <w:rtl/>
        </w:rPr>
        <w:t>–</w:t>
      </w:r>
      <w:r w:rsidRPr="00F76CD4">
        <w:rPr>
          <w:rFonts w:hint="cs"/>
          <w:rtl/>
        </w:rPr>
        <w:t xml:space="preserve"> 1977, לפי עובדות ונסיבות כתב-האישום שאותן תיארתי לעיל, </w:t>
      </w:r>
      <w:r w:rsidR="00E14869" w:rsidRPr="00F76CD4">
        <w:rPr>
          <w:rFonts w:hint="cs"/>
          <w:rtl/>
        </w:rPr>
        <w:t>נוכח עקרון ההלימה, הערכים המוגנים אחר העבירות שאותן ביצע הנאשם, פסיקה הנוהגת בתחום אני קובע כי מתחם הענישה האחיד הנוגע ל</w:t>
      </w:r>
      <w:r w:rsidR="00646263" w:rsidRPr="00F76CD4">
        <w:rPr>
          <w:rFonts w:hint="cs"/>
          <w:rtl/>
        </w:rPr>
        <w:t>כל</w:t>
      </w:r>
      <w:r w:rsidR="006D068A" w:rsidRPr="00F76CD4">
        <w:rPr>
          <w:rFonts w:hint="cs"/>
          <w:rtl/>
        </w:rPr>
        <w:t xml:space="preserve"> ה</w:t>
      </w:r>
      <w:r w:rsidR="00E14869" w:rsidRPr="00F76CD4">
        <w:rPr>
          <w:rFonts w:hint="cs"/>
          <w:rtl/>
        </w:rPr>
        <w:t>מתואר בכתב-הא</w:t>
      </w:r>
      <w:r w:rsidR="006D068A" w:rsidRPr="00F76CD4">
        <w:rPr>
          <w:rFonts w:hint="cs"/>
          <w:rtl/>
        </w:rPr>
        <w:t>ישום ולפי הממצאים שנקבעו בהכרעת-</w:t>
      </w:r>
      <w:r w:rsidR="00E14869" w:rsidRPr="00F76CD4">
        <w:rPr>
          <w:rFonts w:hint="cs"/>
          <w:rtl/>
        </w:rPr>
        <w:t xml:space="preserve">הדין, הינו בין מאסר על תנאי, </w:t>
      </w:r>
      <w:proofErr w:type="spellStart"/>
      <w:r w:rsidR="00E14869" w:rsidRPr="00F76CD4">
        <w:rPr>
          <w:rFonts w:hint="cs"/>
          <w:rtl/>
        </w:rPr>
        <w:t>של"צ</w:t>
      </w:r>
      <w:proofErr w:type="spellEnd"/>
      <w:r w:rsidR="00E14869" w:rsidRPr="00F76CD4">
        <w:rPr>
          <w:rFonts w:hint="cs"/>
          <w:rtl/>
        </w:rPr>
        <w:t xml:space="preserve"> ועד 9 חודשי מאסר הניתנים לריצוי בדרך של עבודות שירות.</w:t>
      </w:r>
    </w:p>
    <w:p w14:paraId="641D8974" w14:textId="77777777" w:rsidR="00AB013B" w:rsidRPr="00F76CD4" w:rsidRDefault="00AB013B" w:rsidP="00F76CD4">
      <w:pPr>
        <w:rPr>
          <w:rtl/>
        </w:rPr>
      </w:pPr>
    </w:p>
    <w:p w14:paraId="5C2F1416" w14:textId="77777777" w:rsidR="00AB013B" w:rsidRPr="00F76CD4" w:rsidRDefault="00AB013B" w:rsidP="00F76CD4">
      <w:pPr>
        <w:rPr>
          <w:rtl/>
        </w:rPr>
      </w:pPr>
      <w:r w:rsidRPr="00F76CD4">
        <w:rPr>
          <w:rFonts w:hint="cs"/>
          <w:rtl/>
        </w:rPr>
        <w:t>אזכיר, כי הנאשם ביצע שורת עבירות חמורות, לאחר תכנון ומחשבה, תוך ניצול מעמדו כסגן ראש עיר ושלא לטובת הציבור אשר בחר בו</w:t>
      </w:r>
      <w:r w:rsidR="00884DF4" w:rsidRPr="00F76CD4">
        <w:rPr>
          <w:rFonts w:hint="cs"/>
          <w:rtl/>
        </w:rPr>
        <w:t>.</w:t>
      </w:r>
    </w:p>
    <w:p w14:paraId="15226DE1" w14:textId="77777777" w:rsidR="00884DF4" w:rsidRPr="00F76CD4" w:rsidRDefault="00884DF4" w:rsidP="00F76CD4">
      <w:pPr>
        <w:rPr>
          <w:rtl/>
        </w:rPr>
      </w:pPr>
    </w:p>
    <w:p w14:paraId="64DE1B11" w14:textId="77777777" w:rsidR="00AB013B" w:rsidRPr="00F76CD4" w:rsidRDefault="00AB013B" w:rsidP="00F76CD4">
      <w:pPr>
        <w:rPr>
          <w:rtl/>
        </w:rPr>
      </w:pPr>
      <w:r w:rsidRPr="00F76CD4">
        <w:rPr>
          <w:rFonts w:hint="cs"/>
          <w:rtl/>
        </w:rPr>
        <w:t>יחד עם זאת, הנאשם ביצע את העבירות בלא כל מניע כלכלי או אישי וכתב-האישום אינו  מרמז דבר בעניין זה.</w:t>
      </w:r>
    </w:p>
    <w:p w14:paraId="37C13C35" w14:textId="77777777" w:rsidR="00AB013B" w:rsidRPr="00F76CD4" w:rsidRDefault="00AB013B" w:rsidP="00F76CD4">
      <w:pPr>
        <w:rPr>
          <w:rtl/>
        </w:rPr>
      </w:pPr>
    </w:p>
    <w:p w14:paraId="0B2F9FB7" w14:textId="77777777" w:rsidR="00AB013B" w:rsidRPr="00F76CD4" w:rsidRDefault="00AB013B" w:rsidP="00F76CD4">
      <w:pPr>
        <w:rPr>
          <w:rtl/>
        </w:rPr>
      </w:pPr>
      <w:r w:rsidRPr="00F76CD4">
        <w:rPr>
          <w:rFonts w:hint="cs"/>
          <w:rtl/>
        </w:rPr>
        <w:t xml:space="preserve">מבלי להקל ראש במעשיו, הנאשם ביקש לסייע </w:t>
      </w:r>
      <w:proofErr w:type="spellStart"/>
      <w:r w:rsidRPr="00F76CD4">
        <w:rPr>
          <w:rFonts w:hint="cs"/>
          <w:rtl/>
        </w:rPr>
        <w:t>לקארינה</w:t>
      </w:r>
      <w:proofErr w:type="spellEnd"/>
      <w:r w:rsidRPr="00F76CD4">
        <w:rPr>
          <w:rFonts w:hint="cs"/>
          <w:rtl/>
        </w:rPr>
        <w:t xml:space="preserve"> להיכנס לישראל ואין המדובר במי אשר תכננה להיכנס  לישראל לשם ביצוע עבריינות וכיו"ב.</w:t>
      </w:r>
    </w:p>
    <w:p w14:paraId="3D0ED685" w14:textId="77777777" w:rsidR="00AB013B" w:rsidRPr="00F76CD4" w:rsidRDefault="00AB013B" w:rsidP="00F76CD4">
      <w:pPr>
        <w:rPr>
          <w:rtl/>
        </w:rPr>
      </w:pPr>
    </w:p>
    <w:p w14:paraId="7D487824" w14:textId="77777777" w:rsidR="00AB013B" w:rsidRPr="00F76CD4" w:rsidRDefault="00AB013B" w:rsidP="00F76CD4">
      <w:pPr>
        <w:rPr>
          <w:rtl/>
        </w:rPr>
      </w:pPr>
      <w:r w:rsidRPr="00F76CD4">
        <w:rPr>
          <w:rFonts w:hint="cs"/>
          <w:rtl/>
        </w:rPr>
        <w:t xml:space="preserve">מבלי להקל ראש במעשיו, בסופו של יום </w:t>
      </w:r>
      <w:proofErr w:type="spellStart"/>
      <w:r w:rsidRPr="00F76CD4">
        <w:rPr>
          <w:rFonts w:hint="cs"/>
          <w:rtl/>
        </w:rPr>
        <w:t>קארינה</w:t>
      </w:r>
      <w:proofErr w:type="spellEnd"/>
      <w:r w:rsidRPr="00F76CD4">
        <w:rPr>
          <w:rFonts w:hint="cs"/>
          <w:rtl/>
        </w:rPr>
        <w:t xml:space="preserve"> נכנסה לישראל ונתפסה בשעריה, כך שהמטרה הפלילית לא הושלמה.</w:t>
      </w:r>
    </w:p>
    <w:p w14:paraId="6035F663" w14:textId="77777777" w:rsidR="00AB013B" w:rsidRPr="00F76CD4" w:rsidRDefault="00AB013B" w:rsidP="00F76CD4">
      <w:pPr>
        <w:rPr>
          <w:rtl/>
        </w:rPr>
      </w:pPr>
    </w:p>
    <w:p w14:paraId="113A10CE" w14:textId="77777777" w:rsidR="00AB013B" w:rsidRPr="00F76CD4" w:rsidRDefault="00AB013B" w:rsidP="00F76CD4">
      <w:pPr>
        <w:rPr>
          <w:rtl/>
        </w:rPr>
      </w:pPr>
      <w:r w:rsidRPr="00F76CD4">
        <w:rPr>
          <w:rFonts w:hint="cs"/>
          <w:rtl/>
        </w:rPr>
        <w:t>עוד יצוין, כי הנאשם ביצע את המעשים לאחר תכנון מוקדם, חלקו היחסי היה נכבד, הג</w:t>
      </w:r>
      <w:r w:rsidR="00884DF4" w:rsidRPr="00F76CD4">
        <w:rPr>
          <w:rFonts w:hint="cs"/>
          <w:rtl/>
        </w:rPr>
        <w:t xml:space="preserve">ם </w:t>
      </w:r>
      <w:proofErr w:type="spellStart"/>
      <w:r w:rsidR="00884DF4" w:rsidRPr="00F76CD4">
        <w:rPr>
          <w:rFonts w:hint="cs"/>
          <w:rtl/>
        </w:rPr>
        <w:t>שקארינה</w:t>
      </w:r>
      <w:proofErr w:type="spellEnd"/>
      <w:r w:rsidR="00884DF4" w:rsidRPr="00F76CD4">
        <w:rPr>
          <w:rFonts w:hint="cs"/>
          <w:rtl/>
        </w:rPr>
        <w:t xml:space="preserve"> הייתה שותפה מלאה, הנזק שהיה צפוי להיגרם אם העבירה הייתה יוצאת לפועל הינו כניסה במרמה לתחומי ישראל, הנאשם פעל מתוך מודעות מלאה, הוא עשה כן צעד אחר צעד ובכל שלב יכול היה לעצור את המעשה.</w:t>
      </w:r>
    </w:p>
    <w:p w14:paraId="7BA36455" w14:textId="77777777" w:rsidR="00AB013B" w:rsidRPr="00F76CD4" w:rsidRDefault="00AB013B" w:rsidP="00F76CD4">
      <w:pPr>
        <w:rPr>
          <w:rtl/>
        </w:rPr>
      </w:pPr>
    </w:p>
    <w:p w14:paraId="464D053E" w14:textId="77777777" w:rsidR="006D068A" w:rsidRPr="00F76CD4" w:rsidRDefault="006D068A" w:rsidP="00F76CD4">
      <w:pPr>
        <w:rPr>
          <w:rtl/>
        </w:rPr>
      </w:pPr>
      <w:r w:rsidRPr="00F76CD4">
        <w:rPr>
          <w:rFonts w:hint="cs"/>
          <w:rtl/>
        </w:rPr>
        <w:t xml:space="preserve">אפנה בעניין זה </w:t>
      </w:r>
      <w:proofErr w:type="spellStart"/>
      <w:r w:rsidRPr="00F76CD4">
        <w:rPr>
          <w:rFonts w:hint="cs"/>
          <w:rtl/>
        </w:rPr>
        <w:t>לרע"פ</w:t>
      </w:r>
      <w:proofErr w:type="spellEnd"/>
      <w:r w:rsidRPr="00F76CD4">
        <w:rPr>
          <w:rFonts w:hint="cs"/>
          <w:rtl/>
        </w:rPr>
        <w:t xml:space="preserve"> 5686/11 נתן וולך נגד מדינת ישראל (27.10.11) שאותו הגישו שני הצדדים: הנאשם, סגן ראש עיר, אשר הורשע בשלוש עבירות של מרמה והפרת אמונים, שלוש עבירות של מסירת ידיעה כוזבת, בכך שבמסגרת תפקידו כתב שלושה מכתבים לבקשתו של איש עסקים המקורב לו, לצורך השגת אישור ביקור בישראל עבור אזרחית מולדבית המקורבת לאותו איש </w:t>
      </w:r>
      <w:r w:rsidRPr="00F76CD4">
        <w:rPr>
          <w:rFonts w:hint="cs"/>
          <w:rtl/>
        </w:rPr>
        <w:lastRenderedPageBreak/>
        <w:t xml:space="preserve">עסקים שחפץ להזמינה לישראל, הנאשם הודה בכתב-האישום, נמסר תסקיר חיובי, חלפו כעשר שנים מאז העבירות, מצב בריאותי קשה, נדון ל </w:t>
      </w:r>
      <w:r w:rsidRPr="00F76CD4">
        <w:rPr>
          <w:rtl/>
        </w:rPr>
        <w:t>–</w:t>
      </w:r>
      <w:r w:rsidRPr="00F76CD4">
        <w:rPr>
          <w:rFonts w:hint="cs"/>
          <w:rtl/>
        </w:rPr>
        <w:t xml:space="preserve"> 200 שעות לתועלת הציבור, מאסר מותנה והוטל קלון.</w:t>
      </w:r>
    </w:p>
    <w:p w14:paraId="13CEF8D0" w14:textId="77777777" w:rsidR="001F53D8" w:rsidRPr="00F76CD4" w:rsidRDefault="001F53D8" w:rsidP="00F76CD4">
      <w:pPr>
        <w:rPr>
          <w:rtl/>
        </w:rPr>
      </w:pPr>
    </w:p>
    <w:p w14:paraId="062BFC83" w14:textId="77777777" w:rsidR="001F53D8" w:rsidRPr="00F76CD4" w:rsidRDefault="001F53D8" w:rsidP="00F76CD4">
      <w:pPr>
        <w:rPr>
          <w:rtl/>
        </w:rPr>
      </w:pPr>
      <w:r w:rsidRPr="00F76CD4">
        <w:rPr>
          <w:rFonts w:hint="cs"/>
          <w:rtl/>
        </w:rPr>
        <w:t xml:space="preserve">עוד אפנה </w:t>
      </w:r>
      <w:proofErr w:type="spellStart"/>
      <w:r w:rsidRPr="00F76CD4">
        <w:rPr>
          <w:rFonts w:hint="cs"/>
          <w:rtl/>
        </w:rPr>
        <w:t>לרע"פ</w:t>
      </w:r>
      <w:proofErr w:type="spellEnd"/>
      <w:r w:rsidRPr="00F76CD4">
        <w:rPr>
          <w:rFonts w:hint="cs"/>
          <w:rtl/>
        </w:rPr>
        <w:t xml:space="preserve"> 7120/09 פורר נגד מדינת ישראל (22.9.09) שבמסגרתו הוטל קלון על מי שהורשע בעבירה של מרמה והפרת אמונים ללא מרמה,  בכך שגרם למסירת פרויקטים</w:t>
      </w:r>
      <w:r w:rsidR="00EC7E93" w:rsidRPr="00F76CD4">
        <w:rPr>
          <w:rFonts w:hint="cs"/>
          <w:rtl/>
        </w:rPr>
        <w:t xml:space="preserve"> ללא מכרז</w:t>
      </w:r>
      <w:r w:rsidRPr="00F76CD4">
        <w:rPr>
          <w:rFonts w:hint="cs"/>
          <w:rtl/>
        </w:rPr>
        <w:t xml:space="preserve"> למקורבו, </w:t>
      </w:r>
      <w:r w:rsidR="00EC7E93" w:rsidRPr="00F76CD4">
        <w:rPr>
          <w:rFonts w:hint="cs"/>
          <w:rtl/>
        </w:rPr>
        <w:t xml:space="preserve">הוא </w:t>
      </w:r>
      <w:r w:rsidRPr="00F76CD4">
        <w:rPr>
          <w:rFonts w:hint="cs"/>
          <w:rtl/>
        </w:rPr>
        <w:t xml:space="preserve">הודה, חלוף זמן של 9 שנים,  והוא נדון ל </w:t>
      </w:r>
      <w:r w:rsidRPr="00F76CD4">
        <w:rPr>
          <w:rtl/>
        </w:rPr>
        <w:t>–</w:t>
      </w:r>
      <w:r w:rsidRPr="00F76CD4">
        <w:rPr>
          <w:rFonts w:hint="cs"/>
          <w:rtl/>
        </w:rPr>
        <w:t xml:space="preserve"> 220 </w:t>
      </w:r>
      <w:proofErr w:type="spellStart"/>
      <w:r w:rsidRPr="00F76CD4">
        <w:rPr>
          <w:rFonts w:hint="cs"/>
          <w:rtl/>
        </w:rPr>
        <w:t>של"צ</w:t>
      </w:r>
      <w:proofErr w:type="spellEnd"/>
      <w:r w:rsidRPr="00F76CD4">
        <w:rPr>
          <w:rFonts w:hint="cs"/>
          <w:rtl/>
        </w:rPr>
        <w:t xml:space="preserve">, מע"ת וקנס. </w:t>
      </w:r>
    </w:p>
    <w:p w14:paraId="6082E2DD" w14:textId="77777777" w:rsidR="00905D44" w:rsidRPr="00F76CD4" w:rsidRDefault="00905D44" w:rsidP="00F76CD4">
      <w:pPr>
        <w:rPr>
          <w:rtl/>
        </w:rPr>
      </w:pPr>
    </w:p>
    <w:p w14:paraId="184617BF" w14:textId="77777777" w:rsidR="005425CF" w:rsidRPr="00F76CD4" w:rsidRDefault="005425CF" w:rsidP="00F76CD4">
      <w:pPr>
        <w:rPr>
          <w:rtl/>
        </w:rPr>
      </w:pPr>
      <w:r w:rsidRPr="00F76CD4">
        <w:rPr>
          <w:rFonts w:hint="cs"/>
          <w:rtl/>
        </w:rPr>
        <w:t>ג. שיקולי ענישה</w:t>
      </w:r>
      <w:r w:rsidR="0094610F" w:rsidRPr="00F76CD4">
        <w:rPr>
          <w:rFonts w:hint="cs"/>
          <w:rtl/>
        </w:rPr>
        <w:t xml:space="preserve"> ושאלת ביטול ההרשעה</w:t>
      </w:r>
      <w:r w:rsidRPr="00F76CD4">
        <w:rPr>
          <w:rFonts w:hint="cs"/>
          <w:rtl/>
        </w:rPr>
        <w:t>:</w:t>
      </w:r>
    </w:p>
    <w:p w14:paraId="5409BD99" w14:textId="77777777" w:rsidR="005425CF" w:rsidRPr="00F76CD4" w:rsidRDefault="005425CF" w:rsidP="00F76CD4">
      <w:pPr>
        <w:rPr>
          <w:rtl/>
        </w:rPr>
      </w:pPr>
    </w:p>
    <w:p w14:paraId="14BB6DCD" w14:textId="77777777" w:rsidR="00530A9F" w:rsidRPr="00F76CD4" w:rsidRDefault="00530A9F" w:rsidP="00F76CD4">
      <w:pPr>
        <w:rPr>
          <w:rtl/>
        </w:rPr>
      </w:pPr>
      <w:r w:rsidRPr="00F76CD4">
        <w:rPr>
          <w:rFonts w:hint="cs"/>
          <w:rtl/>
        </w:rPr>
        <w:t>(1). כללי:</w:t>
      </w:r>
    </w:p>
    <w:p w14:paraId="7570156E" w14:textId="77777777" w:rsidR="00530A9F" w:rsidRPr="00F76CD4" w:rsidRDefault="00530A9F" w:rsidP="00F76CD4">
      <w:pPr>
        <w:rPr>
          <w:rtl/>
        </w:rPr>
      </w:pPr>
    </w:p>
    <w:p w14:paraId="67F3137F" w14:textId="77777777" w:rsidR="003814BC" w:rsidRPr="00F76CD4" w:rsidRDefault="00884DF4" w:rsidP="00F76CD4">
      <w:pPr>
        <w:rPr>
          <w:rtl/>
        </w:rPr>
      </w:pPr>
      <w:r w:rsidRPr="00F76CD4">
        <w:rPr>
          <w:rFonts w:hint="cs"/>
          <w:rtl/>
        </w:rPr>
        <w:t xml:space="preserve">כפי שפירטתי לעיל בכל הקשור למתחם, הרי שהנתונים </w:t>
      </w:r>
      <w:r w:rsidR="0029406D" w:rsidRPr="00F76CD4">
        <w:rPr>
          <w:rFonts w:hint="cs"/>
          <w:rtl/>
        </w:rPr>
        <w:t xml:space="preserve">אלו </w:t>
      </w:r>
      <w:r w:rsidRPr="00F76CD4">
        <w:rPr>
          <w:rFonts w:hint="cs"/>
          <w:rtl/>
        </w:rPr>
        <w:t xml:space="preserve">רלוונטיים כאשר דנים בשאלת ביטול ההרשעה גם במסגרת דיון זה: </w:t>
      </w:r>
      <w:r w:rsidR="007A0BE5" w:rsidRPr="00F76CD4">
        <w:rPr>
          <w:rFonts w:hint="cs"/>
          <w:rtl/>
        </w:rPr>
        <w:t xml:space="preserve">ראשית, </w:t>
      </w:r>
      <w:r w:rsidR="0029406D" w:rsidRPr="00F76CD4">
        <w:rPr>
          <w:rFonts w:hint="cs"/>
          <w:rtl/>
        </w:rPr>
        <w:t xml:space="preserve">העובדות והנסיבות שתוארו לעיל אינן מאפשרות להימנע מהרשעה (ע"פ 2083/96 תמר כתב </w:t>
      </w:r>
      <w:r w:rsidR="007A0BE5" w:rsidRPr="00F76CD4">
        <w:rPr>
          <w:rFonts w:hint="cs"/>
          <w:rtl/>
        </w:rPr>
        <w:t>נגד מדינת ישראל</w:t>
      </w:r>
      <w:r w:rsidR="00D45966" w:rsidRPr="00F76CD4">
        <w:rPr>
          <w:rFonts w:hint="cs"/>
          <w:rtl/>
        </w:rPr>
        <w:t>, פ"ד נב (3) 373</w:t>
      </w:r>
      <w:r w:rsidR="007A0BE5" w:rsidRPr="00F76CD4">
        <w:rPr>
          <w:rFonts w:hint="cs"/>
          <w:rtl/>
        </w:rPr>
        <w:t>)</w:t>
      </w:r>
      <w:r w:rsidR="0029406D" w:rsidRPr="00F76CD4">
        <w:rPr>
          <w:rFonts w:hint="cs"/>
          <w:rtl/>
        </w:rPr>
        <w:t xml:space="preserve">: </w:t>
      </w:r>
      <w:r w:rsidR="00905D44" w:rsidRPr="00F76CD4">
        <w:rPr>
          <w:rFonts w:hint="cs"/>
          <w:rtl/>
        </w:rPr>
        <w:t xml:space="preserve">הנאשם ביצע שורת עבירות חמורות, לאחר תכנון ומחשבה, תוך ניצול מעמדו כסגן ראש </w:t>
      </w:r>
      <w:r w:rsidRPr="00F76CD4">
        <w:rPr>
          <w:rFonts w:hint="cs"/>
          <w:rtl/>
        </w:rPr>
        <w:t>עיר ושלא לטובת הציבור אשר בחר בו</w:t>
      </w:r>
      <w:r w:rsidR="00D45966" w:rsidRPr="00F76CD4">
        <w:rPr>
          <w:rFonts w:hint="cs"/>
          <w:rtl/>
        </w:rPr>
        <w:t xml:space="preserve"> (לעניין החומרה הרבה של עובד ציבור המבצע עבריינות במסגרת ותוך ניצול תפקידו </w:t>
      </w:r>
      <w:r w:rsidR="00D45966" w:rsidRPr="00F76CD4">
        <w:rPr>
          <w:rtl/>
        </w:rPr>
        <w:t>–</w:t>
      </w:r>
      <w:r w:rsidR="00D45966" w:rsidRPr="00F76CD4">
        <w:rPr>
          <w:rFonts w:hint="cs"/>
          <w:rtl/>
        </w:rPr>
        <w:t xml:space="preserve"> ראו: </w:t>
      </w:r>
      <w:proofErr w:type="spellStart"/>
      <w:r w:rsidR="00D45966" w:rsidRPr="00F76CD4">
        <w:rPr>
          <w:rFonts w:hint="cs"/>
          <w:rtl/>
        </w:rPr>
        <w:t>דנ"פ</w:t>
      </w:r>
      <w:proofErr w:type="spellEnd"/>
      <w:r w:rsidR="00D45966" w:rsidRPr="00F76CD4">
        <w:rPr>
          <w:rFonts w:hint="cs"/>
          <w:rtl/>
        </w:rPr>
        <w:t xml:space="preserve"> 1397/03 שבס נגד מדינת ישראל, פ"ד נט (4) 385)</w:t>
      </w:r>
      <w:r w:rsidRPr="00F76CD4">
        <w:rPr>
          <w:rFonts w:hint="cs"/>
          <w:rtl/>
        </w:rPr>
        <w:t>, אף אם בלא כל מניע כלכלי או אישי וכל זאת אינם מאפשרים את החריגה מן הכלל, כי מי שהורשע בדינו תיוותר ההרשעה על כנה.</w:t>
      </w:r>
      <w:r w:rsidR="007A0BE5" w:rsidRPr="00F76CD4">
        <w:rPr>
          <w:rFonts w:hint="cs"/>
          <w:rtl/>
        </w:rPr>
        <w:t xml:space="preserve"> שנית, כפי שאפרט בפרק זה, איני סבור, כי עצם ההרשעה תפגע בשיקומו העתידי של הנאשם, הגם שאפרט נסיבות רבות לקולה, אך שאינן יורדות עד כדי ביטול ההרשעה.</w:t>
      </w:r>
    </w:p>
    <w:p w14:paraId="733FD6C2" w14:textId="77777777" w:rsidR="00905D44" w:rsidRPr="00F76CD4" w:rsidRDefault="00905D44" w:rsidP="00F76CD4">
      <w:pPr>
        <w:rPr>
          <w:rtl/>
        </w:rPr>
      </w:pPr>
    </w:p>
    <w:p w14:paraId="731ED8B2" w14:textId="77777777" w:rsidR="00D24938" w:rsidRPr="00F76CD4" w:rsidRDefault="007A0BE5" w:rsidP="00F76CD4">
      <w:pPr>
        <w:rPr>
          <w:rtl/>
        </w:rPr>
      </w:pPr>
      <w:r w:rsidRPr="00F76CD4">
        <w:rPr>
          <w:rFonts w:hint="cs"/>
          <w:rtl/>
        </w:rPr>
        <w:t xml:space="preserve">אכן, </w:t>
      </w:r>
      <w:r w:rsidR="00E14869" w:rsidRPr="00F76CD4">
        <w:rPr>
          <w:rFonts w:hint="cs"/>
          <w:rtl/>
        </w:rPr>
        <w:t>הנאשם נעדר כל עבר פלילי</w:t>
      </w:r>
      <w:r w:rsidRPr="00F76CD4">
        <w:rPr>
          <w:rFonts w:hint="cs"/>
          <w:rtl/>
        </w:rPr>
        <w:t xml:space="preserve">, </w:t>
      </w:r>
      <w:r w:rsidR="00D24938" w:rsidRPr="00F76CD4">
        <w:rPr>
          <w:rFonts w:hint="cs"/>
          <w:rtl/>
        </w:rPr>
        <w:t>זוהי הסתבכותו הראשונה והיחידה עם החוק הפלילי</w:t>
      </w:r>
      <w:r w:rsidRPr="00F76CD4">
        <w:rPr>
          <w:rFonts w:hint="cs"/>
          <w:rtl/>
        </w:rPr>
        <w:t xml:space="preserve"> ונתון זה הינו שיקול נכבד לקולה</w:t>
      </w:r>
      <w:r w:rsidR="00D24938" w:rsidRPr="00F76CD4">
        <w:rPr>
          <w:rFonts w:hint="cs"/>
          <w:rtl/>
        </w:rPr>
        <w:t>.</w:t>
      </w:r>
      <w:r w:rsidRPr="00F76CD4">
        <w:rPr>
          <w:rFonts w:hint="cs"/>
          <w:rtl/>
        </w:rPr>
        <w:t xml:space="preserve"> יחד עם זאת יש לזכור, כי כך הם פני הדברים כאשר דנו אנו בעניינם של נאשמים נבחרי ציבור, אשר מקיימים אורח חיים נורמטיבי. </w:t>
      </w:r>
    </w:p>
    <w:p w14:paraId="016C0733" w14:textId="77777777" w:rsidR="00D24938" w:rsidRPr="00F76CD4" w:rsidRDefault="00D24938" w:rsidP="00F76CD4">
      <w:pPr>
        <w:rPr>
          <w:rtl/>
        </w:rPr>
      </w:pPr>
    </w:p>
    <w:p w14:paraId="285CDD9C" w14:textId="77777777" w:rsidR="00D24938" w:rsidRPr="00F76CD4" w:rsidRDefault="00D24938" w:rsidP="00F76CD4">
      <w:pPr>
        <w:rPr>
          <w:rtl/>
        </w:rPr>
      </w:pPr>
      <w:r w:rsidRPr="00F76CD4">
        <w:rPr>
          <w:rFonts w:hint="cs"/>
          <w:rtl/>
        </w:rPr>
        <w:t>הנאשם ניהל משפט לא חסך את עדות</w:t>
      </w:r>
      <w:r w:rsidR="001232EA" w:rsidRPr="00F76CD4">
        <w:rPr>
          <w:rFonts w:hint="cs"/>
          <w:rtl/>
        </w:rPr>
        <w:t xml:space="preserve">ה של </w:t>
      </w:r>
      <w:proofErr w:type="spellStart"/>
      <w:r w:rsidR="001232EA" w:rsidRPr="00F76CD4">
        <w:rPr>
          <w:rFonts w:hint="cs"/>
          <w:rtl/>
        </w:rPr>
        <w:t>קארינה</w:t>
      </w:r>
      <w:proofErr w:type="spellEnd"/>
      <w:r w:rsidR="001232EA" w:rsidRPr="00F76CD4">
        <w:rPr>
          <w:rFonts w:hint="cs"/>
          <w:rtl/>
        </w:rPr>
        <w:t xml:space="preserve"> וכפי שתיארתי בהכרעת-</w:t>
      </w:r>
      <w:r w:rsidRPr="00F76CD4">
        <w:rPr>
          <w:rFonts w:hint="cs"/>
          <w:rtl/>
        </w:rPr>
        <w:t>הדין לא חסך ממנה קלה כחמורה בחקירה הנגדית</w:t>
      </w:r>
      <w:r w:rsidR="001232EA" w:rsidRPr="00F76CD4">
        <w:rPr>
          <w:rFonts w:hint="cs"/>
          <w:rtl/>
        </w:rPr>
        <w:t>,</w:t>
      </w:r>
      <w:r w:rsidRPr="00F76CD4">
        <w:rPr>
          <w:rFonts w:hint="cs"/>
          <w:rtl/>
        </w:rPr>
        <w:t xml:space="preserve"> וזאת אף כאשר התברר בסופו של יום כי זירת המחלוקת אינה כה רחבה</w:t>
      </w:r>
      <w:r w:rsidR="00BB4016" w:rsidRPr="00F76CD4">
        <w:rPr>
          <w:rFonts w:hint="cs"/>
          <w:rtl/>
        </w:rPr>
        <w:t xml:space="preserve"> באופן שהצדיק חקירה שכזו</w:t>
      </w:r>
      <w:r w:rsidRPr="00F76CD4">
        <w:rPr>
          <w:rFonts w:hint="cs"/>
          <w:rtl/>
        </w:rPr>
        <w:t>.</w:t>
      </w:r>
    </w:p>
    <w:p w14:paraId="0DAE785A" w14:textId="77777777" w:rsidR="00BC2258" w:rsidRPr="00F76CD4" w:rsidRDefault="00BC2258" w:rsidP="00F76CD4">
      <w:pPr>
        <w:rPr>
          <w:rtl/>
        </w:rPr>
      </w:pPr>
    </w:p>
    <w:p w14:paraId="794BC908" w14:textId="77777777" w:rsidR="00B56780" w:rsidRPr="00F76CD4" w:rsidRDefault="00BC2258" w:rsidP="00F76CD4">
      <w:pPr>
        <w:rPr>
          <w:rtl/>
        </w:rPr>
      </w:pPr>
      <w:r w:rsidRPr="00F76CD4">
        <w:rPr>
          <w:rFonts w:hint="cs"/>
          <w:rtl/>
        </w:rPr>
        <w:t>נשמעו עדי אופי אשר תארו את פעילותו רבת השנים של הנאשם לטובת הצי</w:t>
      </w:r>
      <w:r w:rsidR="007A0BE5" w:rsidRPr="00F76CD4">
        <w:rPr>
          <w:rFonts w:hint="cs"/>
          <w:rtl/>
        </w:rPr>
        <w:t>בור ולרווחתו:</w:t>
      </w:r>
      <w:r w:rsidR="004B77AA" w:rsidRPr="00F76CD4">
        <w:rPr>
          <w:rFonts w:hint="cs"/>
          <w:rtl/>
        </w:rPr>
        <w:t xml:space="preserve"> </w:t>
      </w:r>
    </w:p>
    <w:p w14:paraId="6B6C202B" w14:textId="77777777" w:rsidR="00B56780" w:rsidRPr="00F76CD4" w:rsidRDefault="00B56780" w:rsidP="00F76CD4">
      <w:pPr>
        <w:rPr>
          <w:rtl/>
        </w:rPr>
      </w:pPr>
    </w:p>
    <w:p w14:paraId="2E1AF534" w14:textId="77777777" w:rsidR="004B77AA" w:rsidRPr="00F76CD4" w:rsidRDefault="001232EA" w:rsidP="00F76CD4">
      <w:pPr>
        <w:rPr>
          <w:rtl/>
        </w:rPr>
      </w:pPr>
      <w:r w:rsidRPr="00F76CD4">
        <w:rPr>
          <w:rFonts w:hint="cs"/>
          <w:rtl/>
        </w:rPr>
        <w:t xml:space="preserve">מר מוטי נחמני העיד, כי מדובר ב"איש כולו של נתניה" ומסר פרטים. גב' </w:t>
      </w:r>
      <w:proofErr w:type="spellStart"/>
      <w:r w:rsidRPr="00F76CD4">
        <w:rPr>
          <w:rFonts w:hint="cs"/>
          <w:rtl/>
        </w:rPr>
        <w:t>לובוב</w:t>
      </w:r>
      <w:proofErr w:type="spellEnd"/>
      <w:r w:rsidRPr="00F76CD4">
        <w:rPr>
          <w:rFonts w:hint="cs"/>
          <w:rtl/>
        </w:rPr>
        <w:t xml:space="preserve"> </w:t>
      </w:r>
      <w:proofErr w:type="spellStart"/>
      <w:r w:rsidRPr="00F76CD4">
        <w:rPr>
          <w:rFonts w:hint="cs"/>
          <w:rtl/>
        </w:rPr>
        <w:t>חניס</w:t>
      </w:r>
      <w:proofErr w:type="spellEnd"/>
      <w:r w:rsidRPr="00F76CD4">
        <w:rPr>
          <w:rFonts w:hint="cs"/>
          <w:rtl/>
        </w:rPr>
        <w:t xml:space="preserve"> העידה, כיצד סייע לה הנאשם בחיי היום-יום בהיותה נכה ומר רומן </w:t>
      </w:r>
      <w:proofErr w:type="spellStart"/>
      <w:r w:rsidRPr="00F76CD4">
        <w:rPr>
          <w:rFonts w:hint="cs"/>
          <w:rtl/>
        </w:rPr>
        <w:t>קוגן</w:t>
      </w:r>
      <w:proofErr w:type="spellEnd"/>
      <w:r w:rsidRPr="00F76CD4">
        <w:rPr>
          <w:rFonts w:hint="cs"/>
          <w:rtl/>
        </w:rPr>
        <w:t xml:space="preserve"> העיד אודות פעילות ההתנדבות של הנאשם במסגרת הארגון שאותו הוא מרכז.</w:t>
      </w:r>
    </w:p>
    <w:p w14:paraId="5B3D8ECD" w14:textId="77777777" w:rsidR="00773AC0" w:rsidRPr="00F76CD4" w:rsidRDefault="00773AC0" w:rsidP="00F76CD4">
      <w:pPr>
        <w:rPr>
          <w:rtl/>
        </w:rPr>
      </w:pPr>
    </w:p>
    <w:p w14:paraId="639C302D" w14:textId="77777777" w:rsidR="00773AC0" w:rsidRPr="00F76CD4" w:rsidRDefault="00773AC0" w:rsidP="00F76CD4">
      <w:pPr>
        <w:rPr>
          <w:rtl/>
        </w:rPr>
      </w:pPr>
      <w:r w:rsidRPr="00F76CD4">
        <w:rPr>
          <w:rFonts w:hint="cs"/>
          <w:rtl/>
        </w:rPr>
        <w:t>בעניין זה אפנה אל התצלומים (</w:t>
      </w:r>
      <w:proofErr w:type="spellStart"/>
      <w:r w:rsidRPr="00F76CD4">
        <w:rPr>
          <w:rFonts w:hint="cs"/>
          <w:rtl/>
        </w:rPr>
        <w:t>במ</w:t>
      </w:r>
      <w:proofErr w:type="spellEnd"/>
      <w:r w:rsidRPr="00F76CD4">
        <w:rPr>
          <w:rFonts w:hint="cs"/>
          <w:rtl/>
        </w:rPr>
        <w:t xml:space="preserve">/7) והתעודות </w:t>
      </w:r>
      <w:r w:rsidR="00BB4016" w:rsidRPr="00F76CD4">
        <w:rPr>
          <w:rFonts w:hint="cs"/>
          <w:rtl/>
        </w:rPr>
        <w:t>(</w:t>
      </w:r>
      <w:proofErr w:type="spellStart"/>
      <w:r w:rsidRPr="00F76CD4">
        <w:rPr>
          <w:rFonts w:hint="cs"/>
          <w:rtl/>
        </w:rPr>
        <w:t>במ</w:t>
      </w:r>
      <w:proofErr w:type="spellEnd"/>
      <w:r w:rsidRPr="00F76CD4">
        <w:rPr>
          <w:rFonts w:hint="cs"/>
          <w:rtl/>
        </w:rPr>
        <w:t xml:space="preserve">/8 </w:t>
      </w:r>
      <w:r w:rsidRPr="00F76CD4">
        <w:rPr>
          <w:rtl/>
        </w:rPr>
        <w:t>–</w:t>
      </w:r>
      <w:r w:rsidRPr="00F76CD4">
        <w:rPr>
          <w:rFonts w:hint="cs"/>
          <w:rtl/>
        </w:rPr>
        <w:t xml:space="preserve"> </w:t>
      </w:r>
      <w:proofErr w:type="spellStart"/>
      <w:r w:rsidRPr="00F76CD4">
        <w:rPr>
          <w:rFonts w:hint="cs"/>
          <w:rtl/>
        </w:rPr>
        <w:t>במ</w:t>
      </w:r>
      <w:proofErr w:type="spellEnd"/>
      <w:r w:rsidRPr="00F76CD4">
        <w:rPr>
          <w:rFonts w:hint="cs"/>
          <w:rtl/>
        </w:rPr>
        <w:t>/11).</w:t>
      </w:r>
    </w:p>
    <w:p w14:paraId="79F12927" w14:textId="77777777" w:rsidR="00773AC0" w:rsidRPr="00F76CD4" w:rsidRDefault="00773AC0" w:rsidP="00F76CD4">
      <w:pPr>
        <w:rPr>
          <w:rtl/>
        </w:rPr>
      </w:pPr>
    </w:p>
    <w:p w14:paraId="33C4B235" w14:textId="77777777" w:rsidR="00773AC0" w:rsidRPr="00F76CD4" w:rsidRDefault="00773AC0" w:rsidP="00F76CD4">
      <w:pPr>
        <w:rPr>
          <w:rtl/>
        </w:rPr>
      </w:pPr>
      <w:r w:rsidRPr="00F76CD4">
        <w:rPr>
          <w:rFonts w:hint="cs"/>
          <w:rtl/>
        </w:rPr>
        <w:t>כל אלו מלמדים כי מדובר בנאשם מלא עשייה לטובת הציבור. אף המאשימה בטיעוניה הסכימה: "לא מתכחשים למעמדו וטוב לבו ומקבלים שהוא ביצע מעשים טובים" (עמוד 256 שורה 29).</w:t>
      </w:r>
    </w:p>
    <w:p w14:paraId="1BF56A9B" w14:textId="77777777" w:rsidR="003814BC" w:rsidRPr="00F76CD4" w:rsidRDefault="003814BC" w:rsidP="00F76CD4">
      <w:pPr>
        <w:rPr>
          <w:rtl/>
        </w:rPr>
      </w:pPr>
    </w:p>
    <w:p w14:paraId="31077D7F" w14:textId="77777777" w:rsidR="003814BC" w:rsidRPr="00F76CD4" w:rsidRDefault="003814BC" w:rsidP="00F76CD4">
      <w:pPr>
        <w:rPr>
          <w:rtl/>
        </w:rPr>
      </w:pPr>
      <w:r w:rsidRPr="00F76CD4">
        <w:rPr>
          <w:rFonts w:hint="cs"/>
          <w:rtl/>
        </w:rPr>
        <w:t>הוצג מסמך רפואי הנוגע לנאשם (</w:t>
      </w:r>
      <w:proofErr w:type="spellStart"/>
      <w:r w:rsidRPr="00F76CD4">
        <w:rPr>
          <w:rFonts w:hint="cs"/>
          <w:rtl/>
        </w:rPr>
        <w:t>במ</w:t>
      </w:r>
      <w:proofErr w:type="spellEnd"/>
      <w:r w:rsidRPr="00F76CD4">
        <w:rPr>
          <w:rFonts w:hint="cs"/>
          <w:rtl/>
        </w:rPr>
        <w:t>/1) אך איני סבור שיש בו כדי משקל לקולה.</w:t>
      </w:r>
    </w:p>
    <w:p w14:paraId="07664C07" w14:textId="77777777" w:rsidR="000F68F9" w:rsidRPr="00F76CD4" w:rsidRDefault="000F68F9" w:rsidP="00F76CD4">
      <w:pPr>
        <w:rPr>
          <w:rtl/>
        </w:rPr>
      </w:pPr>
    </w:p>
    <w:p w14:paraId="7A7F68AE" w14:textId="77777777" w:rsidR="000F68F9" w:rsidRPr="00F76CD4" w:rsidRDefault="000F68F9" w:rsidP="00F76CD4">
      <w:pPr>
        <w:rPr>
          <w:rtl/>
        </w:rPr>
      </w:pPr>
      <w:r w:rsidRPr="00F76CD4">
        <w:rPr>
          <w:rFonts w:hint="cs"/>
          <w:rtl/>
        </w:rPr>
        <w:t xml:space="preserve">עיינתי במצבו האישי/משפחתי כעולה מפרוטוקול הדיון בבית-המשפט לענייני משפחה, אשר </w:t>
      </w:r>
      <w:r w:rsidR="00F52A7B" w:rsidRPr="00F76CD4">
        <w:rPr>
          <w:rFonts w:hint="cs"/>
          <w:rtl/>
        </w:rPr>
        <w:t xml:space="preserve">צורף </w:t>
      </w:r>
      <w:r w:rsidRPr="00F76CD4">
        <w:rPr>
          <w:rFonts w:hint="cs"/>
          <w:rtl/>
        </w:rPr>
        <w:t>לו הסכם הגירושין</w:t>
      </w:r>
      <w:r w:rsidR="00B56780" w:rsidRPr="00F76CD4">
        <w:rPr>
          <w:rFonts w:hint="cs"/>
          <w:rtl/>
        </w:rPr>
        <w:t xml:space="preserve"> והבאתי את הדברים במסגרת כלל השיקולים</w:t>
      </w:r>
      <w:r w:rsidRPr="00F76CD4">
        <w:rPr>
          <w:rFonts w:hint="cs"/>
          <w:rtl/>
        </w:rPr>
        <w:t xml:space="preserve"> (</w:t>
      </w:r>
      <w:proofErr w:type="spellStart"/>
      <w:r w:rsidRPr="00F76CD4">
        <w:rPr>
          <w:rFonts w:hint="cs"/>
          <w:rtl/>
        </w:rPr>
        <w:t>במ</w:t>
      </w:r>
      <w:proofErr w:type="spellEnd"/>
      <w:r w:rsidRPr="00F76CD4">
        <w:rPr>
          <w:rFonts w:hint="cs"/>
          <w:rtl/>
        </w:rPr>
        <w:t>/4).</w:t>
      </w:r>
    </w:p>
    <w:p w14:paraId="04DFC7A3" w14:textId="77777777" w:rsidR="000F68F9" w:rsidRPr="00F76CD4" w:rsidRDefault="000F68F9" w:rsidP="00F76CD4">
      <w:pPr>
        <w:rPr>
          <w:rtl/>
        </w:rPr>
      </w:pPr>
    </w:p>
    <w:p w14:paraId="17FA6566" w14:textId="77777777" w:rsidR="000F68F9" w:rsidRPr="00F76CD4" w:rsidRDefault="000F68F9" w:rsidP="00F76CD4">
      <w:pPr>
        <w:rPr>
          <w:rtl/>
        </w:rPr>
      </w:pPr>
      <w:r w:rsidRPr="00F76CD4">
        <w:rPr>
          <w:rFonts w:hint="cs"/>
          <w:rtl/>
        </w:rPr>
        <w:t>עיינתי בהסכם השכירות (</w:t>
      </w:r>
      <w:proofErr w:type="spellStart"/>
      <w:r w:rsidRPr="00F76CD4">
        <w:rPr>
          <w:rFonts w:hint="cs"/>
          <w:rtl/>
        </w:rPr>
        <w:t>במ</w:t>
      </w:r>
      <w:proofErr w:type="spellEnd"/>
      <w:r w:rsidRPr="00F76CD4">
        <w:rPr>
          <w:rFonts w:hint="cs"/>
          <w:rtl/>
        </w:rPr>
        <w:t>/5).</w:t>
      </w:r>
    </w:p>
    <w:p w14:paraId="7C10C1D5" w14:textId="77777777" w:rsidR="000F68F9" w:rsidRPr="00F76CD4" w:rsidRDefault="000F68F9" w:rsidP="00F76CD4">
      <w:pPr>
        <w:rPr>
          <w:rtl/>
        </w:rPr>
      </w:pPr>
    </w:p>
    <w:p w14:paraId="29E90908" w14:textId="77777777" w:rsidR="000F68F9" w:rsidRPr="00F76CD4" w:rsidRDefault="000F68F9" w:rsidP="00F76CD4">
      <w:pPr>
        <w:rPr>
          <w:rtl/>
        </w:rPr>
      </w:pPr>
      <w:r w:rsidRPr="00F76CD4">
        <w:rPr>
          <w:rFonts w:hint="cs"/>
          <w:rtl/>
        </w:rPr>
        <w:t>בחנתי את ה</w:t>
      </w:r>
      <w:r w:rsidR="00B56780" w:rsidRPr="00F76CD4">
        <w:rPr>
          <w:rFonts w:hint="cs"/>
          <w:rtl/>
        </w:rPr>
        <w:t xml:space="preserve">מסמך הרפואי הנוגע לאמו של הנאשם, המלמד </w:t>
      </w:r>
      <w:r w:rsidR="00773AC0" w:rsidRPr="00F76CD4">
        <w:rPr>
          <w:rFonts w:hint="cs"/>
          <w:rtl/>
        </w:rPr>
        <w:t>שהוא סועד אותה</w:t>
      </w:r>
      <w:r w:rsidR="00B56780" w:rsidRPr="00F76CD4">
        <w:rPr>
          <w:rFonts w:hint="cs"/>
          <w:rtl/>
        </w:rPr>
        <w:t xml:space="preserve"> כבן מסור וטוב לאמו</w:t>
      </w:r>
      <w:r w:rsidR="00773AC0" w:rsidRPr="00F76CD4">
        <w:rPr>
          <w:rFonts w:hint="cs"/>
          <w:rtl/>
        </w:rPr>
        <w:t xml:space="preserve"> (</w:t>
      </w:r>
      <w:proofErr w:type="spellStart"/>
      <w:r w:rsidR="00773AC0" w:rsidRPr="00F76CD4">
        <w:rPr>
          <w:rFonts w:hint="cs"/>
          <w:rtl/>
        </w:rPr>
        <w:t>במ</w:t>
      </w:r>
      <w:proofErr w:type="spellEnd"/>
      <w:r w:rsidR="00773AC0" w:rsidRPr="00F76CD4">
        <w:rPr>
          <w:rFonts w:hint="cs"/>
          <w:rtl/>
        </w:rPr>
        <w:t>/6).</w:t>
      </w:r>
    </w:p>
    <w:p w14:paraId="6C0C4D19" w14:textId="77777777" w:rsidR="00C6415B" w:rsidRPr="00F76CD4" w:rsidRDefault="00C6415B" w:rsidP="00F76CD4">
      <w:pPr>
        <w:rPr>
          <w:rtl/>
        </w:rPr>
      </w:pPr>
    </w:p>
    <w:p w14:paraId="2EF6A614" w14:textId="77777777" w:rsidR="00C6415B" w:rsidRPr="00F76CD4" w:rsidRDefault="00C6415B" w:rsidP="00F76CD4">
      <w:pPr>
        <w:rPr>
          <w:rtl/>
        </w:rPr>
      </w:pPr>
      <w:r w:rsidRPr="00F76CD4">
        <w:rPr>
          <w:rFonts w:hint="cs"/>
          <w:rtl/>
        </w:rPr>
        <w:lastRenderedPageBreak/>
        <w:t>המסמך הנוסף (</w:t>
      </w:r>
      <w:proofErr w:type="spellStart"/>
      <w:r w:rsidRPr="00F76CD4">
        <w:rPr>
          <w:rFonts w:hint="cs"/>
          <w:rtl/>
        </w:rPr>
        <w:t>במ</w:t>
      </w:r>
      <w:proofErr w:type="spellEnd"/>
      <w:r w:rsidRPr="00F76CD4">
        <w:rPr>
          <w:rFonts w:hint="cs"/>
          <w:rtl/>
        </w:rPr>
        <w:t>/2 מיום 5.2.25) מחודש דצמבר 2024 בדבר החשש שאם ההרשעה תיוותר על כנה, אזי החברה המדוברת לא תוכל עוד לעבוד מול גופי הביטחון, אינה יכולה להוביל עד כדי נקיטה במהלך חריג של הימנעות מהרשעה.</w:t>
      </w:r>
    </w:p>
    <w:p w14:paraId="474E199E" w14:textId="77777777" w:rsidR="00C6415B" w:rsidRPr="00F76CD4" w:rsidRDefault="00C6415B" w:rsidP="00F76CD4">
      <w:pPr>
        <w:rPr>
          <w:rtl/>
        </w:rPr>
      </w:pPr>
    </w:p>
    <w:p w14:paraId="1A399FC3" w14:textId="77777777" w:rsidR="00530A9F" w:rsidRPr="00F76CD4" w:rsidRDefault="00530A9F" w:rsidP="00F76CD4">
      <w:pPr>
        <w:rPr>
          <w:rtl/>
        </w:rPr>
      </w:pPr>
      <w:r w:rsidRPr="00F76CD4">
        <w:rPr>
          <w:rFonts w:hint="cs"/>
          <w:rtl/>
        </w:rPr>
        <w:t xml:space="preserve">(2). טענה לאכיפה בררנית: </w:t>
      </w:r>
    </w:p>
    <w:p w14:paraId="2FB2BBC1" w14:textId="77777777" w:rsidR="00530A9F" w:rsidRPr="00F76CD4" w:rsidRDefault="00530A9F" w:rsidP="00F76CD4">
      <w:pPr>
        <w:rPr>
          <w:rtl/>
        </w:rPr>
      </w:pPr>
    </w:p>
    <w:p w14:paraId="76D9B2A0" w14:textId="77777777" w:rsidR="002F5235" w:rsidRPr="00F76CD4" w:rsidRDefault="00D24938" w:rsidP="00F76CD4">
      <w:pPr>
        <w:rPr>
          <w:rtl/>
        </w:rPr>
      </w:pPr>
      <w:r w:rsidRPr="00F76CD4">
        <w:rPr>
          <w:rFonts w:hint="cs"/>
          <w:rtl/>
        </w:rPr>
        <w:t xml:space="preserve">נמסר על-ידי המאשימה, כי התיק נגד </w:t>
      </w:r>
      <w:proofErr w:type="spellStart"/>
      <w:r w:rsidRPr="00F76CD4">
        <w:rPr>
          <w:rFonts w:hint="cs"/>
          <w:rtl/>
        </w:rPr>
        <w:t>קארינה</w:t>
      </w:r>
      <w:proofErr w:type="spellEnd"/>
      <w:r w:rsidRPr="00F76CD4">
        <w:rPr>
          <w:rFonts w:hint="cs"/>
          <w:rtl/>
        </w:rPr>
        <w:t xml:space="preserve"> נסגר מפאת "מכלול נסיבות העניין אינן מצדיקות הגשת אישום". </w:t>
      </w:r>
      <w:r w:rsidR="002F5235" w:rsidRPr="00F76CD4">
        <w:rPr>
          <w:rFonts w:hint="cs"/>
          <w:rtl/>
        </w:rPr>
        <w:t xml:space="preserve"> </w:t>
      </w:r>
    </w:p>
    <w:p w14:paraId="18A6AA53" w14:textId="77777777" w:rsidR="002F5235" w:rsidRPr="00F76CD4" w:rsidRDefault="002F5235" w:rsidP="00F76CD4">
      <w:pPr>
        <w:rPr>
          <w:rtl/>
        </w:rPr>
      </w:pPr>
    </w:p>
    <w:p w14:paraId="4CE0F1EA" w14:textId="77777777" w:rsidR="002F5235" w:rsidRPr="00F76CD4" w:rsidRDefault="002F5235" w:rsidP="00F76CD4">
      <w:pPr>
        <w:rPr>
          <w:rtl/>
        </w:rPr>
      </w:pPr>
      <w:r w:rsidRPr="00F76CD4">
        <w:rPr>
          <w:rFonts w:hint="cs"/>
          <w:rtl/>
        </w:rPr>
        <w:t>בישיבת יום 5.2.25 הוסיף ב"כ המאשימה פרטים אודות המתלוננת ונכון לסוף שנת 2024 היא עדיין בישראל תחת אשרת שהייה זמנית.</w:t>
      </w:r>
    </w:p>
    <w:p w14:paraId="6CAD8DF3" w14:textId="77777777" w:rsidR="002F5235" w:rsidRPr="00F76CD4" w:rsidRDefault="002F5235" w:rsidP="00F76CD4">
      <w:pPr>
        <w:rPr>
          <w:rtl/>
        </w:rPr>
      </w:pPr>
    </w:p>
    <w:p w14:paraId="592B8B5A" w14:textId="77777777" w:rsidR="002F5235" w:rsidRPr="00F76CD4" w:rsidRDefault="00F52A7B" w:rsidP="00F76CD4">
      <w:pPr>
        <w:rPr>
          <w:rtl/>
        </w:rPr>
      </w:pPr>
      <w:r w:rsidRPr="00F76CD4">
        <w:rPr>
          <w:rFonts w:hint="cs"/>
          <w:rtl/>
        </w:rPr>
        <w:t xml:space="preserve">במעמד הדיון </w:t>
      </w:r>
      <w:r w:rsidR="002F5235" w:rsidRPr="00F76CD4">
        <w:rPr>
          <w:rFonts w:hint="cs"/>
          <w:rtl/>
        </w:rPr>
        <w:t>הערתי את הדבר הבא:</w:t>
      </w:r>
    </w:p>
    <w:p w14:paraId="768DE112" w14:textId="77777777" w:rsidR="002F5235" w:rsidRPr="00F76CD4" w:rsidRDefault="002F5235" w:rsidP="00F76CD4">
      <w:pPr>
        <w:rPr>
          <w:rtl/>
        </w:rPr>
      </w:pPr>
    </w:p>
    <w:p w14:paraId="3C006687" w14:textId="77777777" w:rsidR="002F5235" w:rsidRPr="00F76CD4" w:rsidRDefault="002F5235" w:rsidP="00F76CD4">
      <w:pPr>
        <w:rPr>
          <w:rtl/>
        </w:rPr>
      </w:pPr>
      <w:r w:rsidRPr="00F76CD4">
        <w:rPr>
          <w:rtl/>
        </w:rPr>
        <w:drawing>
          <wp:inline distT="0" distB="0" distL="0" distR="0" wp14:anchorId="3937012E" wp14:editId="0E3511E3">
            <wp:extent cx="5400675" cy="687705"/>
            <wp:effectExtent l="0" t="0" r="952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675" cy="687705"/>
                    </a:xfrm>
                    <a:prstGeom prst="rect">
                      <a:avLst/>
                    </a:prstGeom>
                  </pic:spPr>
                </pic:pic>
              </a:graphicData>
            </a:graphic>
          </wp:inline>
        </w:drawing>
      </w:r>
    </w:p>
    <w:p w14:paraId="766A0D99" w14:textId="77777777" w:rsidR="002F5235" w:rsidRPr="00F76CD4" w:rsidRDefault="002F5235" w:rsidP="00F76CD4">
      <w:pPr>
        <w:rPr>
          <w:rtl/>
        </w:rPr>
      </w:pPr>
    </w:p>
    <w:p w14:paraId="5D98AE80" w14:textId="77777777" w:rsidR="00D24938" w:rsidRPr="00F76CD4" w:rsidRDefault="00B56780" w:rsidP="00F76CD4">
      <w:pPr>
        <w:rPr>
          <w:rtl/>
        </w:rPr>
      </w:pPr>
      <w:r w:rsidRPr="00F76CD4">
        <w:rPr>
          <w:rFonts w:hint="cs"/>
          <w:rtl/>
        </w:rPr>
        <w:t xml:space="preserve">אזכיר, כי </w:t>
      </w:r>
      <w:r w:rsidR="00D24938" w:rsidRPr="00F76CD4">
        <w:rPr>
          <w:rFonts w:hint="cs"/>
          <w:rtl/>
        </w:rPr>
        <w:t xml:space="preserve">כתב-האישום מייחס </w:t>
      </w:r>
      <w:proofErr w:type="spellStart"/>
      <w:r w:rsidR="00D24938" w:rsidRPr="00F76CD4">
        <w:rPr>
          <w:rFonts w:hint="cs"/>
          <w:rtl/>
        </w:rPr>
        <w:t>לקארינה</w:t>
      </w:r>
      <w:proofErr w:type="spellEnd"/>
      <w:r w:rsidR="00D24938" w:rsidRPr="00F76CD4">
        <w:rPr>
          <w:rFonts w:hint="cs"/>
          <w:rtl/>
        </w:rPr>
        <w:t xml:space="preserve"> קשירת קשר (סעיף 3) יחד עם הנא</w:t>
      </w:r>
      <w:r w:rsidR="00F52A7B" w:rsidRPr="00F76CD4">
        <w:rPr>
          <w:rFonts w:hint="cs"/>
          <w:rtl/>
        </w:rPr>
        <w:t xml:space="preserve">שם והיא חלק מן המעשה העברייני. </w:t>
      </w:r>
      <w:r w:rsidR="00D24938" w:rsidRPr="00F76CD4">
        <w:rPr>
          <w:rFonts w:hint="cs"/>
          <w:rtl/>
        </w:rPr>
        <w:t xml:space="preserve">במעמד הבאת הראיות בקשה המאשימה </w:t>
      </w:r>
      <w:r w:rsidR="001232EA" w:rsidRPr="00F76CD4">
        <w:rPr>
          <w:rFonts w:hint="cs"/>
          <w:rtl/>
        </w:rPr>
        <w:t xml:space="preserve">להשמיע </w:t>
      </w:r>
      <w:r w:rsidR="00D24938" w:rsidRPr="00F76CD4">
        <w:rPr>
          <w:rFonts w:hint="cs"/>
          <w:rtl/>
        </w:rPr>
        <w:t>את עדותה המקודמת משום שנטען כי היא עומדת לפני ג</w:t>
      </w:r>
      <w:r w:rsidR="00F20F96" w:rsidRPr="00F76CD4">
        <w:rPr>
          <w:rFonts w:hint="cs"/>
          <w:rtl/>
        </w:rPr>
        <w:t xml:space="preserve">ירוש מן הארץ. ניחא, אם מדובר במי אשר תפגוש את סנקציית הגירוש נוכח מעשיה הפליליים, אולם הסתבר, כי לפחות במעמד הטיעון לעונש </w:t>
      </w:r>
      <w:r w:rsidR="00F52A7B" w:rsidRPr="00F76CD4">
        <w:rPr>
          <w:rFonts w:hint="cs"/>
          <w:rtl/>
        </w:rPr>
        <w:t>ואף במעמד השלמת הדיון,</w:t>
      </w:r>
      <w:r w:rsidR="00F20F96" w:rsidRPr="00F76CD4">
        <w:rPr>
          <w:rFonts w:hint="cs"/>
          <w:rtl/>
        </w:rPr>
        <w:t xml:space="preserve"> </w:t>
      </w:r>
      <w:r w:rsidRPr="00F76CD4">
        <w:rPr>
          <w:rFonts w:hint="cs"/>
          <w:rtl/>
        </w:rPr>
        <w:t xml:space="preserve">המאשימה, </w:t>
      </w:r>
      <w:r w:rsidR="00F20F96" w:rsidRPr="00F76CD4">
        <w:rPr>
          <w:rFonts w:hint="cs"/>
          <w:rtl/>
        </w:rPr>
        <w:t xml:space="preserve">לא דאגה לגרשה, אלא להיפך שהיא קיבלה מעמד של תושבות </w:t>
      </w:r>
      <w:r w:rsidRPr="00F76CD4">
        <w:rPr>
          <w:rFonts w:hint="cs"/>
          <w:rtl/>
        </w:rPr>
        <w:t xml:space="preserve">זמנית </w:t>
      </w:r>
      <w:r w:rsidR="00F20F96" w:rsidRPr="00F76CD4">
        <w:rPr>
          <w:rFonts w:hint="cs"/>
          <w:rtl/>
        </w:rPr>
        <w:t xml:space="preserve">במדינת ישראל. על כן, על אף שניתן למתוח קו מאבחן בין הנאשם לבין </w:t>
      </w:r>
      <w:proofErr w:type="spellStart"/>
      <w:r w:rsidR="00F20F96" w:rsidRPr="00F76CD4">
        <w:rPr>
          <w:rFonts w:hint="cs"/>
          <w:rtl/>
        </w:rPr>
        <w:t>קארינה</w:t>
      </w:r>
      <w:proofErr w:type="spellEnd"/>
      <w:r w:rsidR="00F20F96" w:rsidRPr="00F76CD4">
        <w:rPr>
          <w:rFonts w:hint="cs"/>
          <w:rtl/>
        </w:rPr>
        <w:t xml:space="preserve">, עדיין, מיצוי הדין הפלילי עם הנאשם אל מול הפטור הגורף שהוענק </w:t>
      </w:r>
      <w:proofErr w:type="spellStart"/>
      <w:r w:rsidR="00F20F96" w:rsidRPr="00F76CD4">
        <w:rPr>
          <w:rFonts w:hint="cs"/>
          <w:rtl/>
        </w:rPr>
        <w:t>לקארינה</w:t>
      </w:r>
      <w:proofErr w:type="spellEnd"/>
      <w:r w:rsidR="00F20F96" w:rsidRPr="00F76CD4">
        <w:rPr>
          <w:rFonts w:hint="cs"/>
          <w:rtl/>
        </w:rPr>
        <w:t xml:space="preserve"> והפרס שבהותרתה כתושבת בישראל, בהחלט מחייב משיקולי צדק להקל בעונשו של הנאשם</w:t>
      </w:r>
      <w:r w:rsidR="00211663" w:rsidRPr="00F76CD4">
        <w:rPr>
          <w:rFonts w:hint="cs"/>
          <w:rtl/>
        </w:rPr>
        <w:t xml:space="preserve"> ואין להבדיל </w:t>
      </w:r>
      <w:proofErr w:type="spellStart"/>
      <w:r w:rsidR="00211663" w:rsidRPr="00F76CD4">
        <w:rPr>
          <w:rFonts w:hint="cs"/>
          <w:rtl/>
        </w:rPr>
        <w:t>בדנן</w:t>
      </w:r>
      <w:proofErr w:type="spellEnd"/>
      <w:r w:rsidR="00211663" w:rsidRPr="00F76CD4">
        <w:rPr>
          <w:rFonts w:hint="cs"/>
          <w:rtl/>
        </w:rPr>
        <w:t xml:space="preserve"> בין נאשם לנאשם שהינו עובד ציבור, כפי טענת המאשימה</w:t>
      </w:r>
      <w:r w:rsidR="00F20F96" w:rsidRPr="00F76CD4">
        <w:rPr>
          <w:rFonts w:hint="cs"/>
          <w:rtl/>
        </w:rPr>
        <w:t>. ראו בעניין זה</w:t>
      </w:r>
      <w:r w:rsidR="00211663" w:rsidRPr="00F76CD4">
        <w:rPr>
          <w:rFonts w:hint="cs"/>
          <w:rtl/>
        </w:rPr>
        <w:t xml:space="preserve"> </w:t>
      </w:r>
      <w:proofErr w:type="spellStart"/>
      <w:r w:rsidR="00211663" w:rsidRPr="00F76CD4">
        <w:rPr>
          <w:rFonts w:hint="cs"/>
          <w:rtl/>
        </w:rPr>
        <w:t>רע"פ</w:t>
      </w:r>
      <w:proofErr w:type="spellEnd"/>
      <w:r w:rsidR="00211663" w:rsidRPr="00F76CD4">
        <w:rPr>
          <w:rFonts w:hint="cs"/>
          <w:rtl/>
        </w:rPr>
        <w:t xml:space="preserve"> 1611/16 מדינת ישראל נגד יוסף ורדי (31.10.18) (פסקה 110)</w:t>
      </w:r>
      <w:r w:rsidR="00F20F96" w:rsidRPr="00F76CD4">
        <w:rPr>
          <w:rFonts w:hint="cs"/>
          <w:rtl/>
        </w:rPr>
        <w:t xml:space="preserve">: </w:t>
      </w:r>
    </w:p>
    <w:p w14:paraId="456B5185" w14:textId="77777777" w:rsidR="00211663" w:rsidRPr="00F76CD4" w:rsidRDefault="00211663" w:rsidP="00F76CD4">
      <w:pPr>
        <w:rPr>
          <w:rtl/>
        </w:rPr>
      </w:pPr>
    </w:p>
    <w:p w14:paraId="4123402C" w14:textId="77777777" w:rsidR="00211663" w:rsidRPr="00F76CD4" w:rsidRDefault="00211663" w:rsidP="00F76CD4">
      <w:pPr>
        <w:rPr>
          <w:rtl/>
        </w:rPr>
      </w:pPr>
      <w:r w:rsidRPr="00F76CD4">
        <w:rPr>
          <w:rFonts w:hint="cs"/>
          <w:rtl/>
        </w:rPr>
        <w:t>"</w:t>
      </w:r>
      <w:r w:rsidRPr="00F76CD4">
        <w:rPr>
          <w:rtl/>
        </w:rPr>
        <w:t>אין בסיס גם להבחנה לה טוענת המערערת, לפיה יש להבדיל נידונים רגילים לנושאי משרה ציבורית, ולסייג את החלתה של דוקטרינת ההגנה מן הצדק לגבי האחרונים, מקום בו אלה מעלו בתפקידם הציבורי. אין צורך לומר גם כי עובד הציבור אף הוא, כשאר בני האנוש, חשוף לעיתים לנחת זרוע שרירותית מצד רשויות האכיפה וההעמדה לדין, וגם בעניינו עלולים להתעורר פגמים בהליך ההעמדה לדין, אשר עשויים לסתור את תחושות הצדק וההגינות. טעמי המהות המבססים את עקרון ההגנה מן הצדק, מצדיקים אפוא אף את הכללת עובד הציבור תחת כנפיה של הגנה זו. יחד עם זאת – ברי כי בשלב השני של המבחן התלת-שלבי – בעת ביצוע איזון הערכים והאינטרסים לאור הפגיעה במידת הצדק – יש לייחס משמעות לחומרתה של העבירה, אופייה ונסיבותיה, ובקשר לכך יבואו בחשבון ההיבטים והשיקולים השונים הנוגעים לביצוע העבירה הנטענת בידי עובד הציבור – דוגמת המעמד הציבורי של מבצע העבירה, אותו הוא ניצל לרעה על פי הטענה, טיב המשאב הציבורי אליו הוא שלח את ידו ומידת הפגיעה באמון הציבור שהביאו מעשיו.</w:t>
      </w:r>
      <w:r w:rsidRPr="00F76CD4">
        <w:rPr>
          <w:rFonts w:hint="cs"/>
          <w:rtl/>
        </w:rPr>
        <w:t>"(פסקה 110)</w:t>
      </w:r>
      <w:r w:rsidR="00725A1A" w:rsidRPr="00F76CD4">
        <w:rPr>
          <w:rFonts w:hint="cs"/>
          <w:rtl/>
        </w:rPr>
        <w:t>.</w:t>
      </w:r>
    </w:p>
    <w:p w14:paraId="00619E32" w14:textId="77777777" w:rsidR="00725A1A" w:rsidRPr="00F76CD4" w:rsidRDefault="00725A1A" w:rsidP="00F76CD4">
      <w:pPr>
        <w:rPr>
          <w:rtl/>
        </w:rPr>
      </w:pPr>
    </w:p>
    <w:p w14:paraId="3BFE9F35" w14:textId="77777777" w:rsidR="00211663" w:rsidRPr="00F76CD4" w:rsidRDefault="00725A1A" w:rsidP="00F76CD4">
      <w:pPr>
        <w:rPr>
          <w:rtl/>
        </w:rPr>
      </w:pPr>
      <w:r w:rsidRPr="00F76CD4">
        <w:rPr>
          <w:rFonts w:hint="cs"/>
          <w:rtl/>
        </w:rPr>
        <w:t>וכן:</w:t>
      </w:r>
    </w:p>
    <w:p w14:paraId="322E9331" w14:textId="77777777" w:rsidR="00725A1A" w:rsidRPr="00F76CD4" w:rsidRDefault="00725A1A" w:rsidP="00F76CD4"/>
    <w:p w14:paraId="3FD185FC" w14:textId="77777777" w:rsidR="00211663" w:rsidRPr="00F76CD4" w:rsidRDefault="00211663" w:rsidP="00F76CD4">
      <w:pPr>
        <w:rPr>
          <w:rtl/>
        </w:rPr>
      </w:pPr>
      <w:r w:rsidRPr="00F76CD4">
        <w:rPr>
          <w:rtl/>
        </w:rPr>
        <w:t xml:space="preserve">"אמנם אין חולק כי האכיפה המפלה בנסיבות פרשת התארים המזויפים, היא תולדה של טעות, אשר נבעה משיקול דעת מוטעה ששקלו חלק מהפרקליטים שטיפלו בתיקי הפרשה, ולא כוונת זדון, או מניע פסול. יחד עם זאת, וכפי שקבע זאת בית המשפט המחוזי, קשה לראות כיצד בפרשה זו, המערבת מספר כה גבוה של חשודים שנסיבותיהם דומות, לא נעשה תיאום בין גורמי התביעה השונים, או נקבעו קריטריונים כלשהם כשיקול להעמדה לדין. התמונה המשתקפת ממבט-על על פרשת התארים המזויפים בכללותה – עגומה. מקצת התיקים אבדו, חלקם האחד של המעורבים באו על עונשם, ואילו חלקם האחר של המעורבים, לגביהם מונחת תשתית ראייתית מוצקה – לא </w:t>
      </w:r>
      <w:r w:rsidRPr="00F76CD4">
        <w:rPr>
          <w:rtl/>
        </w:rPr>
        <w:lastRenderedPageBreak/>
        <w:t>באו על עונשם, ולא מוצה הדין עמם. לדידי, מצב עניינים זה מורה על פגם משמעותי שנפל באופן בו טיפלו רשויות האכיפה במעורבים בפרשה זו, ואין בידי לקבל את טענות המערערת בדבר ההקפדה היתירה בה נקטו הערכאות הקודמות בעניין זה. לנוכח ההפליה הברורה, בכך שלפחות 15 מהמעורבים בפרשה לא עמדו בדין – חרף התשתית הראייתית הזהה לזו של המשיבים 5-3 – סבורני כי יש בתוצאה המפלה כדי להסב פגיעה משמעותית בתחושת הצדק שנעשה עם משיבים אלה. גם העובדה כי לא עלה בידי המערערת להציג תמונה מלאה של אופן הטיפול בכל תיקי החקירה שנפתחו בפרשת התארים המזויפים, ושל ההרשעות שהושגו – מעוררת קושי ממשי לבחון את היקף האכיפה המפלה, ולעמדת</w:t>
      </w:r>
      <w:r w:rsidR="0044747E" w:rsidRPr="00F76CD4">
        <w:rPr>
          <w:rtl/>
        </w:rPr>
        <w:t>י יש לזקוף נתון זה לחובת המערער</w:t>
      </w:r>
      <w:r w:rsidR="00B56780" w:rsidRPr="00F76CD4">
        <w:rPr>
          <w:rFonts w:hint="cs"/>
          <w:rtl/>
        </w:rPr>
        <w:t>"</w:t>
      </w:r>
      <w:r w:rsidR="001A6BD1" w:rsidRPr="00F76CD4">
        <w:t xml:space="preserve"> </w:t>
      </w:r>
      <w:r w:rsidR="001A6BD1" w:rsidRPr="00F76CD4">
        <w:rPr>
          <w:rFonts w:hint="cs"/>
          <w:rtl/>
        </w:rPr>
        <w:t>(פסקות 120-121)</w:t>
      </w:r>
      <w:r w:rsidR="001232EA" w:rsidRPr="00F76CD4">
        <w:rPr>
          <w:rFonts w:hint="cs"/>
          <w:rtl/>
        </w:rPr>
        <w:t>.</w:t>
      </w:r>
    </w:p>
    <w:p w14:paraId="640DDD73" w14:textId="77777777" w:rsidR="00D51622" w:rsidRPr="00F76CD4" w:rsidRDefault="00D51622" w:rsidP="00F76CD4">
      <w:pPr>
        <w:rPr>
          <w:rtl/>
        </w:rPr>
      </w:pPr>
    </w:p>
    <w:p w14:paraId="02F57ADE" w14:textId="77777777" w:rsidR="005425CF" w:rsidRPr="00F76CD4" w:rsidRDefault="005425CF" w:rsidP="00F76CD4">
      <w:pPr>
        <w:rPr>
          <w:rtl/>
        </w:rPr>
      </w:pPr>
    </w:p>
    <w:p w14:paraId="1E775451" w14:textId="77777777" w:rsidR="00530A9F" w:rsidRPr="00F76CD4" w:rsidRDefault="00530A9F" w:rsidP="00F76CD4">
      <w:pPr>
        <w:rPr>
          <w:rtl/>
        </w:rPr>
      </w:pPr>
      <w:r w:rsidRPr="00F76CD4">
        <w:rPr>
          <w:rFonts w:hint="cs"/>
          <w:rtl/>
        </w:rPr>
        <w:t xml:space="preserve">(3). </w:t>
      </w:r>
      <w:r w:rsidR="00C6415B" w:rsidRPr="00F76CD4">
        <w:rPr>
          <w:rFonts w:hint="cs"/>
          <w:rtl/>
        </w:rPr>
        <w:t xml:space="preserve">הטלת </w:t>
      </w:r>
      <w:r w:rsidRPr="00F76CD4">
        <w:rPr>
          <w:rFonts w:hint="cs"/>
          <w:rtl/>
        </w:rPr>
        <w:t>קלון:</w:t>
      </w:r>
    </w:p>
    <w:p w14:paraId="62EA6DB6" w14:textId="77777777" w:rsidR="00530A9F" w:rsidRPr="00F76CD4" w:rsidRDefault="00530A9F" w:rsidP="00F76CD4">
      <w:pPr>
        <w:rPr>
          <w:rtl/>
        </w:rPr>
      </w:pPr>
    </w:p>
    <w:p w14:paraId="567FB822" w14:textId="77777777" w:rsidR="00BC2258" w:rsidRPr="00F76CD4" w:rsidRDefault="00BC2258" w:rsidP="00F76CD4">
      <w:pPr>
        <w:rPr>
          <w:rtl/>
        </w:rPr>
      </w:pPr>
      <w:r w:rsidRPr="00F76CD4">
        <w:rPr>
          <w:rFonts w:hint="cs"/>
          <w:rtl/>
        </w:rPr>
        <w:t xml:space="preserve">המאשימה בקשה כי אטיל </w:t>
      </w:r>
      <w:r w:rsidR="00530A9F" w:rsidRPr="00F76CD4">
        <w:rPr>
          <w:rFonts w:hint="cs"/>
          <w:rtl/>
        </w:rPr>
        <w:t>על הנאשם קלון:</w:t>
      </w:r>
    </w:p>
    <w:p w14:paraId="7CC7C218" w14:textId="77777777" w:rsidR="00D4640B" w:rsidRPr="00F76CD4" w:rsidRDefault="00D4640B" w:rsidP="00F76CD4">
      <w:pPr>
        <w:rPr>
          <w:rtl/>
        </w:rPr>
      </w:pPr>
    </w:p>
    <w:p w14:paraId="166E1971" w14:textId="77777777" w:rsidR="00D4640B" w:rsidRPr="00F76CD4" w:rsidRDefault="00D4640B" w:rsidP="00F76CD4">
      <w:pPr>
        <w:rPr>
          <w:rtl/>
        </w:rPr>
      </w:pPr>
      <w:r w:rsidRPr="00F76CD4">
        <w:rPr>
          <w:rFonts w:hint="cs"/>
          <w:rtl/>
        </w:rPr>
        <w:t>פקודת העיריות קובעת:</w:t>
      </w:r>
    </w:p>
    <w:p w14:paraId="18D2CE4F" w14:textId="77777777" w:rsidR="00D4640B" w:rsidRPr="00F76CD4" w:rsidRDefault="00D4640B" w:rsidP="00F76CD4"/>
    <w:p w14:paraId="6A416066" w14:textId="77777777" w:rsidR="00D4640B" w:rsidRPr="00F76CD4" w:rsidRDefault="00D4640B" w:rsidP="00F76CD4">
      <w:pPr>
        <w:rPr>
          <w:rtl/>
        </w:rPr>
      </w:pPr>
      <w:bookmarkStart w:id="0" w:name="Seif21"/>
      <w:bookmarkEnd w:id="0"/>
      <w:r w:rsidRPr="00F76CD4">
        <w:rPr>
          <w:rFonts w:hint="cs"/>
          <w:rtl/>
        </w:rPr>
        <w:t>"</w:t>
      </w:r>
      <w:r w:rsidRPr="00F76CD4">
        <w:rPr>
          <w:rtl/>
        </w:rPr>
        <w:t>פסולים לכהונה</w:t>
      </w:r>
      <w:r w:rsidRPr="00F76CD4">
        <w:rPr>
          <w:rFonts w:hint="cs"/>
          <w:rtl/>
        </w:rPr>
        <w:t>:</w:t>
      </w:r>
    </w:p>
    <w:p w14:paraId="691C0FA1" w14:textId="77777777" w:rsidR="00D4640B" w:rsidRPr="00F76CD4" w:rsidRDefault="00D4640B" w:rsidP="00F76CD4">
      <w:pPr>
        <w:rPr>
          <w:rtl/>
        </w:rPr>
      </w:pPr>
      <w:r w:rsidRPr="00F76CD4">
        <w:rPr>
          <w:rtl/>
        </w:rPr>
        <w:t>120. ואלה פסולים לכהן כחברי מועצה:</w:t>
      </w:r>
      <w:r w:rsidRPr="00F76CD4">
        <w:rPr>
          <w:rFonts w:hint="cs"/>
          <w:rtl/>
        </w:rPr>
        <w:t>...</w:t>
      </w:r>
    </w:p>
    <w:p w14:paraId="749086E0" w14:textId="77777777" w:rsidR="00D4640B" w:rsidRPr="00F76CD4" w:rsidRDefault="00D4640B" w:rsidP="00F76CD4">
      <w:pPr>
        <w:rPr>
          <w:rtl/>
        </w:rPr>
      </w:pPr>
      <w:r w:rsidRPr="00F76CD4">
        <w:rPr>
          <w:rtl/>
        </w:rPr>
        <w:t xml:space="preserve">(8)  מי שהורשע בפסק דין שנהיה סופי לאחר שהחל לכהן כחבר המועצה, בין אם העבירה נעברה או ההרשעה </w:t>
      </w:r>
      <w:proofErr w:type="spellStart"/>
      <w:r w:rsidRPr="00F76CD4">
        <w:rPr>
          <w:rtl/>
        </w:rPr>
        <w:t>היתה</w:t>
      </w:r>
      <w:proofErr w:type="spellEnd"/>
      <w:r w:rsidRPr="00F76CD4">
        <w:rPr>
          <w:rtl/>
        </w:rPr>
        <w:t xml:space="preserve"> בזמן שכיהן כחבר המועצה ובין אם לפני שהחל לכהן כחבר המועצה, וקבע בית המשפט כי יש עם העבירה שבה הורשע משום קלון;</w:t>
      </w:r>
    </w:p>
    <w:p w14:paraId="67933516" w14:textId="77777777" w:rsidR="001D7245" w:rsidRPr="00F76CD4" w:rsidRDefault="001D7245" w:rsidP="00F76CD4">
      <w:pPr>
        <w:rPr>
          <w:rtl/>
        </w:rPr>
      </w:pPr>
      <w:r w:rsidRPr="00F76CD4">
        <w:rPr>
          <w:rFonts w:hint="cs"/>
          <w:rtl/>
        </w:rPr>
        <w:t>...</w:t>
      </w:r>
    </w:p>
    <w:p w14:paraId="1568749F" w14:textId="77777777" w:rsidR="00D4640B" w:rsidRPr="00F76CD4" w:rsidRDefault="00D4640B" w:rsidP="00F76CD4">
      <w:pPr>
        <w:rPr>
          <w:rtl/>
        </w:rPr>
      </w:pPr>
      <w:bookmarkStart w:id="1" w:name="Rov492"/>
      <w:bookmarkEnd w:id="1"/>
      <w:r w:rsidRPr="00F76CD4">
        <w:rPr>
          <w:rtl/>
        </w:rPr>
        <w:t xml:space="preserve">120א. (א) גזר בית המשפט את דינו של חבר מועצה בשל עבירה פלילית, בין אם העבירה נעברה או ההרשעה </w:t>
      </w:r>
      <w:proofErr w:type="spellStart"/>
      <w:r w:rsidRPr="00F76CD4">
        <w:rPr>
          <w:rtl/>
        </w:rPr>
        <w:t>היתה</w:t>
      </w:r>
      <w:proofErr w:type="spellEnd"/>
      <w:r w:rsidRPr="00F76CD4">
        <w:rPr>
          <w:rtl/>
        </w:rPr>
        <w:t xml:space="preserve"> בזמן שכיהן כחבר המועצה ובין אם לפני שהחל לכהן כחבר המועצה, יקבע בית המשפט בגזר הדין אם יש בעבירה שעבר משום קלון; החלטת בית המשפט לענין הקלון ניתנת לערעור כאילו </w:t>
      </w:r>
      <w:proofErr w:type="spellStart"/>
      <w:r w:rsidRPr="00F76CD4">
        <w:rPr>
          <w:rtl/>
        </w:rPr>
        <w:t>היתה</w:t>
      </w:r>
      <w:proofErr w:type="spellEnd"/>
      <w:r w:rsidRPr="00F76CD4">
        <w:rPr>
          <w:rtl/>
        </w:rPr>
        <w:t xml:space="preserve"> חלק מגזר הדין.</w:t>
      </w:r>
    </w:p>
    <w:p w14:paraId="634EB341" w14:textId="77777777" w:rsidR="00D4640B" w:rsidRPr="00F76CD4" w:rsidRDefault="00D4640B" w:rsidP="00F76CD4">
      <w:pPr>
        <w:rPr>
          <w:rtl/>
        </w:rPr>
      </w:pPr>
      <w:bookmarkStart w:id="2" w:name="Rov494"/>
      <w:bookmarkEnd w:id="2"/>
      <w:r w:rsidRPr="00F76CD4">
        <w:rPr>
          <w:rtl/>
        </w:rPr>
        <w:t>(ב)  לא קבע בית המשפט כאמור בסעיף קטן (א), או שחבר המועצה החל לכהן בין מועד מתן גזר הדין לבין המועד שבו פסק הדין נהיה סופי, רשאי היועץ המשפטי לממשלה או נציגו, כל עוד פסק הדין לא נהיה סופי, לפנות לבית המשפט ולבקשו לקבוע אם יש בעבירה משום קלון; הבקשה תוגש לבית המשפט שנתן את גזר הדין ואם הוגש ערעור, לבית המשפט שלערעור.</w:t>
      </w:r>
    </w:p>
    <w:p w14:paraId="5D3FA6FE" w14:textId="77777777" w:rsidR="00D4640B" w:rsidRPr="00F76CD4" w:rsidRDefault="00D4640B" w:rsidP="00F76CD4">
      <w:pPr>
        <w:rPr>
          <w:rtl/>
        </w:rPr>
      </w:pPr>
      <w:r w:rsidRPr="00F76CD4">
        <w:rPr>
          <w:rtl/>
        </w:rPr>
        <w:t>(ג)   מזכירות בית המשפט תמציא עותק מפסק הדין או מהחלטת בית המשפט, לפי הענין, למזכיר הרשות המקומית ולשר הפנים</w:t>
      </w:r>
      <w:r w:rsidR="001D7245" w:rsidRPr="00F76CD4">
        <w:rPr>
          <w:rFonts w:hint="cs"/>
          <w:rtl/>
        </w:rPr>
        <w:t>"</w:t>
      </w:r>
      <w:r w:rsidRPr="00F76CD4">
        <w:rPr>
          <w:rtl/>
        </w:rPr>
        <w:t>.</w:t>
      </w:r>
    </w:p>
    <w:p w14:paraId="6DF64B11" w14:textId="77777777" w:rsidR="00D4640B" w:rsidRPr="00F76CD4" w:rsidRDefault="00D4640B" w:rsidP="00F76CD4">
      <w:pPr>
        <w:rPr>
          <w:rtl/>
        </w:rPr>
      </w:pPr>
    </w:p>
    <w:p w14:paraId="1CAAC17D" w14:textId="77777777" w:rsidR="00CE317E" w:rsidRPr="00F76CD4" w:rsidRDefault="00CE317E" w:rsidP="00F76CD4">
      <w:r w:rsidRPr="00F76CD4">
        <w:rPr>
          <w:rFonts w:hint="cs"/>
          <w:rtl/>
        </w:rPr>
        <w:t xml:space="preserve">בית-המשפט העליון קבע את הגדרתו של המושג "קלון" </w:t>
      </w:r>
      <w:proofErr w:type="spellStart"/>
      <w:r w:rsidRPr="00F76CD4">
        <w:rPr>
          <w:rFonts w:hint="cs"/>
          <w:rtl/>
        </w:rPr>
        <w:t>בעש"מ</w:t>
      </w:r>
      <w:proofErr w:type="spellEnd"/>
      <w:r w:rsidRPr="00F76CD4">
        <w:rPr>
          <w:rFonts w:hint="cs"/>
          <w:rtl/>
        </w:rPr>
        <w:t xml:space="preserve"> 3/88 </w:t>
      </w:r>
      <w:proofErr w:type="spellStart"/>
      <w:r w:rsidRPr="00F76CD4">
        <w:rPr>
          <w:rFonts w:hint="cs"/>
          <w:rtl/>
        </w:rPr>
        <w:t>ארמנדט</w:t>
      </w:r>
      <w:proofErr w:type="spellEnd"/>
      <w:r w:rsidRPr="00F76CD4">
        <w:rPr>
          <w:rFonts w:hint="cs"/>
          <w:rtl/>
        </w:rPr>
        <w:t xml:space="preserve"> </w:t>
      </w:r>
      <w:proofErr w:type="spellStart"/>
      <w:r w:rsidRPr="00F76CD4">
        <w:rPr>
          <w:rFonts w:hint="cs"/>
          <w:rtl/>
        </w:rPr>
        <w:t>אזוט</w:t>
      </w:r>
      <w:proofErr w:type="spellEnd"/>
      <w:r w:rsidRPr="00F76CD4">
        <w:rPr>
          <w:rFonts w:hint="cs"/>
          <w:rtl/>
        </w:rPr>
        <w:t xml:space="preserve"> נגד מדינת ישראל, פ"ד מג (1) 873: </w:t>
      </w:r>
      <w:proofErr w:type="spellStart"/>
      <w:r w:rsidRPr="00F76CD4">
        <w:rPr>
          <w:rFonts w:hint="cs"/>
          <w:rtl/>
        </w:rPr>
        <w:t>בעש"מ</w:t>
      </w:r>
      <w:proofErr w:type="spellEnd"/>
      <w:r w:rsidRPr="00F76CD4">
        <w:rPr>
          <w:rFonts w:hint="cs"/>
          <w:rtl/>
        </w:rPr>
        <w:t xml:space="preserve"> 4/81 שלמה אוחיון נגד מדינת ישראל, פ"ד לה (4) 499  שם נאמרו הדברים הבאים:</w:t>
      </w:r>
    </w:p>
    <w:p w14:paraId="5DCDAB0E" w14:textId="77777777" w:rsidR="00CE317E" w:rsidRPr="00F76CD4" w:rsidRDefault="00CE317E" w:rsidP="00F76CD4">
      <w:pPr>
        <w:rPr>
          <w:rtl/>
        </w:rPr>
      </w:pPr>
    </w:p>
    <w:p w14:paraId="36281F57" w14:textId="77777777" w:rsidR="00CE317E" w:rsidRPr="00F76CD4" w:rsidRDefault="00CE317E" w:rsidP="00F76CD4">
      <w:pPr>
        <w:rPr>
          <w:rtl/>
        </w:rPr>
      </w:pPr>
      <w:r w:rsidRPr="00F76CD4">
        <w:rPr>
          <w:rFonts w:hint="cs"/>
          <w:rtl/>
        </w:rPr>
        <w:t>"הקלון אינו נמדד, כמובן, לפי עצם מהותו, על-פי אמות מידה משפטיות, כי מדובר במונח, השאוב מתחום המוסר, אשר אומץ לתוך מערכת הנורמות המשפטיות. כפי שכבר הוזכר לעיל, בית המשפט או בית הדין הם הקובעים, אם דבק במעשה או במחדל פגם או פסול מוסרי, העולה כדי קלון, ואשר לו צריכה להיות השלכה על המסקנות המשמעתיות, אותן מסיקים כלפי מי שמשמש במשרה אשר עליו חלה הוראת החוק הספציפית המכוננת את הדין המשמעתי. הקלון יכול שינבע מנסיבותיו העובדתיות של העניין ויכול שינבע מאופייה וממהותה של העבירה. יש עבירות, שעמן כרוך, בדרך כלל, קלון, ואשר לגביהן קשה להעלות על הדעת נסיבות עובדתיות, אשר אינן כרוכות בקלון. למשל, מעשה מרמה ממיט, בדרך כלל, קלון על עושהו, וקשה על-כן לייש</w:t>
      </w:r>
      <w:r w:rsidRPr="00F76CD4">
        <w:rPr>
          <w:rFonts w:hint="eastAsia"/>
          <w:rtl/>
        </w:rPr>
        <w:t>ב</w:t>
      </w:r>
      <w:r w:rsidRPr="00F76CD4">
        <w:rPr>
          <w:rFonts w:hint="cs"/>
          <w:rtl/>
        </w:rPr>
        <w:t xml:space="preserve">, בדרך כלל, הרשעה במרמה עם העדר קלון. אין פירושו של דבר, כי לא ייתכנו לעולם נסיבות כגון אלה, אך אלו בוודאי מקרים נדירים ביותר ויוצאי דופן במהותם ...הוא הדין לעניין היפוכו של דבר, היינו, גם עבירה, אשר לאור שמה ויסודותיה אין כרוך ביצועה, בדרך כלל, </w:t>
      </w:r>
      <w:proofErr w:type="spellStart"/>
      <w:r w:rsidRPr="00F76CD4">
        <w:rPr>
          <w:rFonts w:hint="cs"/>
          <w:rtl/>
        </w:rPr>
        <w:t>בהמטת</w:t>
      </w:r>
      <w:proofErr w:type="spellEnd"/>
      <w:r w:rsidRPr="00F76CD4">
        <w:rPr>
          <w:rFonts w:hint="cs"/>
          <w:rtl/>
        </w:rPr>
        <w:t xml:space="preserve"> קלון, יכול שבנסיבות עובדתיות נתונות, יתגלה גם בה יסוד הקלון...העבירה של נטילת שוחד כרוכה על פניה </w:t>
      </w:r>
      <w:proofErr w:type="spellStart"/>
      <w:r w:rsidRPr="00F76CD4">
        <w:rPr>
          <w:rFonts w:hint="cs"/>
          <w:rtl/>
        </w:rPr>
        <w:t>בהמטת</w:t>
      </w:r>
      <w:proofErr w:type="spellEnd"/>
      <w:r w:rsidRPr="00F76CD4">
        <w:rPr>
          <w:rFonts w:hint="cs"/>
          <w:rtl/>
        </w:rPr>
        <w:t xml:space="preserve"> קלון על עובד המדינה שהתחייב בה, וקשה להעלות על הדעת נסיבות, בהן נטילת שוחד על-ידי עובד מדינה איננה מוליכה למסקנה האחת והיחידה, כי בעובד, שהואשם בעבירה, דבק הכתם האמור"</w:t>
      </w:r>
    </w:p>
    <w:p w14:paraId="3C470B9F" w14:textId="77777777" w:rsidR="00D24A42" w:rsidRPr="00F76CD4" w:rsidRDefault="00D24A42" w:rsidP="00F76CD4">
      <w:pPr>
        <w:rPr>
          <w:rtl/>
        </w:rPr>
      </w:pPr>
    </w:p>
    <w:p w14:paraId="0C95A363" w14:textId="77777777" w:rsidR="00D24A42" w:rsidRPr="00F76CD4" w:rsidRDefault="00D24A42" w:rsidP="00F76CD4">
      <w:pPr>
        <w:rPr>
          <w:rtl/>
        </w:rPr>
      </w:pPr>
      <w:r w:rsidRPr="00F76CD4">
        <w:rPr>
          <w:rFonts w:hint="cs"/>
          <w:rtl/>
        </w:rPr>
        <w:t xml:space="preserve">וכן ראו: בג"צ 11243/02 </w:t>
      </w:r>
      <w:proofErr w:type="spellStart"/>
      <w:r w:rsidRPr="00F76CD4">
        <w:rPr>
          <w:rFonts w:hint="cs"/>
          <w:rtl/>
        </w:rPr>
        <w:t>פייגלין</w:t>
      </w:r>
      <w:proofErr w:type="spellEnd"/>
      <w:r w:rsidRPr="00F76CD4">
        <w:rPr>
          <w:rFonts w:hint="cs"/>
          <w:rtl/>
        </w:rPr>
        <w:t xml:space="preserve"> נגד </w:t>
      </w:r>
      <w:r w:rsidR="00152462" w:rsidRPr="00F76CD4">
        <w:rPr>
          <w:rFonts w:hint="cs"/>
          <w:rtl/>
        </w:rPr>
        <w:t>ועדת הבחירות</w:t>
      </w:r>
      <w:r w:rsidR="00E308DD" w:rsidRPr="00F76CD4">
        <w:rPr>
          <w:rFonts w:hint="cs"/>
          <w:rtl/>
        </w:rPr>
        <w:t xml:space="preserve">, פ"ד </w:t>
      </w:r>
      <w:proofErr w:type="spellStart"/>
      <w:r w:rsidR="00E308DD" w:rsidRPr="00F76CD4">
        <w:rPr>
          <w:rFonts w:hint="cs"/>
          <w:rtl/>
        </w:rPr>
        <w:t>נז</w:t>
      </w:r>
      <w:proofErr w:type="spellEnd"/>
      <w:r w:rsidR="00E308DD" w:rsidRPr="00F76CD4">
        <w:rPr>
          <w:rFonts w:hint="cs"/>
          <w:rtl/>
        </w:rPr>
        <w:t xml:space="preserve"> (4) 145: </w:t>
      </w:r>
    </w:p>
    <w:p w14:paraId="63A9D186" w14:textId="77777777" w:rsidR="00E308DD" w:rsidRPr="00F76CD4" w:rsidRDefault="00E308DD" w:rsidP="00F76CD4">
      <w:pPr>
        <w:rPr>
          <w:rtl/>
        </w:rPr>
      </w:pPr>
    </w:p>
    <w:p w14:paraId="04D7E33E" w14:textId="77777777" w:rsidR="00E308DD" w:rsidRPr="00F76CD4" w:rsidRDefault="00E308DD" w:rsidP="00F76CD4">
      <w:pPr>
        <w:rPr>
          <w:rtl/>
        </w:rPr>
      </w:pPr>
      <w:r w:rsidRPr="00F76CD4">
        <w:rPr>
          <w:rFonts w:hint="cs"/>
          <w:rtl/>
        </w:rPr>
        <w:t xml:space="preserve">"קלון הנלווה לעבירה מוסיף לה יסוד של שלילה החורג ממד הפרת החוק גרידא. זהו מושג הנושא עמו מטען מוסרי-ערכי שלישי, </w:t>
      </w:r>
      <w:r w:rsidR="001F53D8" w:rsidRPr="00F76CD4">
        <w:rPr>
          <w:rFonts w:hint="cs"/>
          <w:rtl/>
        </w:rPr>
        <w:t>בבחינת דופי מוסרי, הניזון מתפיסות ערכיות ואמות מידה מוסריות הרווחות בחברה"</w:t>
      </w:r>
    </w:p>
    <w:p w14:paraId="693561AA" w14:textId="77777777" w:rsidR="00725A1A" w:rsidRPr="00F76CD4" w:rsidRDefault="00725A1A" w:rsidP="00F76CD4">
      <w:pPr>
        <w:rPr>
          <w:rtl/>
        </w:rPr>
      </w:pPr>
    </w:p>
    <w:p w14:paraId="3FF0B40A" w14:textId="77777777" w:rsidR="00725A1A" w:rsidRPr="00F76CD4" w:rsidRDefault="00725A1A" w:rsidP="00F76CD4">
      <w:pPr>
        <w:rPr>
          <w:rtl/>
        </w:rPr>
      </w:pPr>
      <w:r w:rsidRPr="00F76CD4">
        <w:rPr>
          <w:rFonts w:hint="cs"/>
          <w:rtl/>
        </w:rPr>
        <w:t>ב</w:t>
      </w:r>
      <w:hyperlink r:id="rId9" w:history="1">
        <w:r w:rsidRPr="00F76CD4">
          <w:rPr>
            <w:rStyle w:val="Hyperlink"/>
            <w:rtl/>
          </w:rPr>
          <w:t>בג"ץ 5699/07 פלונית  נ</w:t>
        </w:r>
        <w:r w:rsidRPr="00F76CD4">
          <w:rPr>
            <w:rStyle w:val="Hyperlink"/>
            <w:rFonts w:hint="cs"/>
            <w:rtl/>
          </w:rPr>
          <w:t>גד</w:t>
        </w:r>
        <w:r w:rsidRPr="00F76CD4">
          <w:rPr>
            <w:rStyle w:val="Hyperlink"/>
            <w:rtl/>
          </w:rPr>
          <w:t xml:space="preserve"> היועץ המשפטי לממשלה</w:t>
        </w:r>
        <w:r w:rsidRPr="00F76CD4">
          <w:rPr>
            <w:rStyle w:val="Hyperlink"/>
          </w:rPr>
          <w:t xml:space="preserve">, </w:t>
        </w:r>
        <w:r w:rsidRPr="00F76CD4">
          <w:rPr>
            <w:rStyle w:val="Hyperlink"/>
            <w:rFonts w:hint="cs"/>
            <w:rtl/>
          </w:rPr>
          <w:t xml:space="preserve"> </w:t>
        </w:r>
        <w:r w:rsidRPr="00F76CD4">
          <w:rPr>
            <w:rStyle w:val="Hyperlink"/>
            <w:rtl/>
          </w:rPr>
          <w:t>סב</w:t>
        </w:r>
        <w:r w:rsidRPr="00F76CD4">
          <w:rPr>
            <w:rStyle w:val="Hyperlink"/>
            <w:rFonts w:hint="cs"/>
            <w:rtl/>
          </w:rPr>
          <w:t xml:space="preserve"> </w:t>
        </w:r>
        <w:r w:rsidRPr="00F76CD4">
          <w:rPr>
            <w:rStyle w:val="Hyperlink"/>
            <w:rtl/>
          </w:rPr>
          <w:t>(3) 550 ‏</w:t>
        </w:r>
      </w:hyperlink>
      <w:r w:rsidRPr="00F76CD4">
        <w:rPr>
          <w:rtl/>
        </w:rPr>
        <w:t xml:space="preserve">‏ </w:t>
      </w:r>
      <w:r w:rsidRPr="00F76CD4">
        <w:rPr>
          <w:rFonts w:hint="cs"/>
          <w:rtl/>
        </w:rPr>
        <w:t>נקבע:</w:t>
      </w:r>
    </w:p>
    <w:p w14:paraId="1037B216" w14:textId="77777777" w:rsidR="00725A1A" w:rsidRPr="00F76CD4" w:rsidRDefault="00725A1A" w:rsidP="00F76CD4">
      <w:pPr>
        <w:rPr>
          <w:rtl/>
        </w:rPr>
      </w:pPr>
    </w:p>
    <w:p w14:paraId="43B7B049" w14:textId="77777777" w:rsidR="00725A1A" w:rsidRPr="00F76CD4" w:rsidRDefault="00725A1A" w:rsidP="00F76CD4">
      <w:pPr>
        <w:rPr>
          <w:rtl/>
        </w:rPr>
      </w:pPr>
      <w:r w:rsidRPr="00F76CD4">
        <w:rPr>
          <w:rtl/>
        </w:rPr>
        <w:t xml:space="preserve">"הביטוי "עבירה שיש עמה קלון" הוא מונח משפטי, המבקש להבחין בין עברינים על-פי מידת הפגם המוסרי שדבק במעשה אשר בביצועו הורשעו. אמת, לכל עבירה, מעצם טבעה, נלווה יסוד של קלון. זהו קלונו של אדם אשר הפר את הוראות החוק הפלילי, ועבר בכך על איסור ערכי-מוסרי, שהיה חשוב דיו כדי שימצא ביטויו בדין (שניאור זלמן </w:t>
      </w:r>
      <w:proofErr w:type="spellStart"/>
      <w:r w:rsidRPr="00F76CD4">
        <w:rPr>
          <w:rtl/>
        </w:rPr>
        <w:t>פלר</w:t>
      </w:r>
      <w:proofErr w:type="spellEnd"/>
      <w:r w:rsidRPr="00F76CD4">
        <w:rPr>
          <w:rtl/>
        </w:rPr>
        <w:t xml:space="preserve"> יסודות בדיני עונשין כרך ג 30</w:t>
      </w:r>
      <w:r w:rsidRPr="00F76CD4">
        <w:t xml:space="preserve"> (1992)</w:t>
      </w:r>
      <w:r w:rsidRPr="00F76CD4">
        <w:rPr>
          <w:rtl/>
        </w:rPr>
        <w:t>).  ברם, לא לכך כיוון המחוקק בדברו בקלון משפטי. מושג זה מת</w:t>
      </w:r>
      <w:r w:rsidR="00B56780" w:rsidRPr="00F76CD4">
        <w:rPr>
          <w:rFonts w:hint="cs"/>
          <w:rtl/>
        </w:rPr>
        <w:t>י</w:t>
      </w:r>
      <w:r w:rsidRPr="00F76CD4">
        <w:rPr>
          <w:rtl/>
        </w:rPr>
        <w:t xml:space="preserve">יחס לפגיעה מיוחדת, קשה מהרגיל, בעקרונות של מוסר, אשר בשל חומרתה כרוכות בה השלכות מעשיות מעבר להרשעה בעבירה. "'קלון' הנלווה לעבירה" – הסבירה חברתי, השופטת </w:t>
      </w:r>
      <w:proofErr w:type="spellStart"/>
      <w:r w:rsidRPr="00F76CD4">
        <w:rPr>
          <w:rtl/>
        </w:rPr>
        <w:t>פרוקצ'יה</w:t>
      </w:r>
      <w:proofErr w:type="spellEnd"/>
      <w:r w:rsidRPr="00F76CD4">
        <w:rPr>
          <w:rtl/>
        </w:rPr>
        <w:t xml:space="preserve"> – "מוסיף לה יסוד של שלילה החורג מממד הפרת החוק גר</w:t>
      </w:r>
      <w:r w:rsidRPr="00F76CD4">
        <w:rPr>
          <w:rFonts w:hint="cs"/>
          <w:rtl/>
        </w:rPr>
        <w:t>י</w:t>
      </w:r>
      <w:r w:rsidRPr="00F76CD4">
        <w:rPr>
          <w:rtl/>
        </w:rPr>
        <w:t>דא. זהו מונח הנושא עמו מטען מוסרי-ערכי שלילי, בבחינת דופי מוסרי, הניזון מתפיסות ערכיות ומאמות מ</w:t>
      </w:r>
      <w:r w:rsidR="00187CE8" w:rsidRPr="00F76CD4">
        <w:rPr>
          <w:rtl/>
        </w:rPr>
        <w:t>ידה מוסריות הרווחות בחברה"</w:t>
      </w:r>
      <w:r w:rsidR="00187CE8" w:rsidRPr="00F76CD4">
        <w:rPr>
          <w:rFonts w:hint="cs"/>
          <w:rtl/>
        </w:rPr>
        <w:t>...</w:t>
      </w:r>
      <w:r w:rsidRPr="00F76CD4">
        <w:rPr>
          <w:rtl/>
        </w:rPr>
        <w:t>קיומו של קלון במובן זה, מגביל את האדם בו דבק או אף שולל ממנו לחלוטין את ההכשר למלא תפקידים ציבוריים שונים או לשמש בעיסוק הדורש מידה מיוחדת של יושרה ושל ניקיון כפיים. בתחיקה, על רבדיה השונים, מצויות הוראות-לעשרות המעגנות מגבלות מסוג זה</w:t>
      </w:r>
      <w:r w:rsidRPr="00F76CD4">
        <w:t>."</w:t>
      </w:r>
    </w:p>
    <w:p w14:paraId="78F2C67E" w14:textId="77777777" w:rsidR="00725A1A" w:rsidRPr="00F76CD4" w:rsidRDefault="00725A1A" w:rsidP="00F76CD4">
      <w:pPr>
        <w:rPr>
          <w:rtl/>
        </w:rPr>
      </w:pPr>
    </w:p>
    <w:p w14:paraId="14B5D825" w14:textId="77777777" w:rsidR="00CE317E" w:rsidRPr="00F76CD4" w:rsidRDefault="00CE317E" w:rsidP="00F76CD4">
      <w:pPr>
        <w:rPr>
          <w:rtl/>
        </w:rPr>
      </w:pPr>
      <w:proofErr w:type="spellStart"/>
      <w:r w:rsidRPr="00F76CD4">
        <w:rPr>
          <w:rFonts w:hint="cs"/>
          <w:rtl/>
        </w:rPr>
        <w:t>ברע"פ</w:t>
      </w:r>
      <w:proofErr w:type="spellEnd"/>
      <w:r w:rsidRPr="00F76CD4">
        <w:rPr>
          <w:rFonts w:hint="cs"/>
          <w:rtl/>
        </w:rPr>
        <w:t xml:space="preserve"> 5686/18 נתן וולך נגד מדינת ישראל (27.10.11) </w:t>
      </w:r>
      <w:r w:rsidR="001232EA" w:rsidRPr="00F76CD4">
        <w:rPr>
          <w:rFonts w:hint="cs"/>
          <w:rtl/>
        </w:rPr>
        <w:t xml:space="preserve">הנ"ל </w:t>
      </w:r>
      <w:r w:rsidRPr="00F76CD4">
        <w:rPr>
          <w:rFonts w:hint="cs"/>
          <w:rtl/>
        </w:rPr>
        <w:t xml:space="preserve">הורשע הנאשם בשלוש עבירות של מרמה והפרת אמונים ושלוש עבירות של מתן ידיעות כוזבות, בכך שבמסגרת תפקידו כתב שלושה מכתבים </w:t>
      </w:r>
      <w:r w:rsidR="00D24A42" w:rsidRPr="00F76CD4">
        <w:rPr>
          <w:rFonts w:hint="cs"/>
          <w:rtl/>
        </w:rPr>
        <w:t xml:space="preserve">כוזבים </w:t>
      </w:r>
      <w:r w:rsidRPr="00F76CD4">
        <w:rPr>
          <w:rFonts w:hint="cs"/>
          <w:rtl/>
        </w:rPr>
        <w:t>לבקשת איש עסקים המקורב לו לצורך השגת אישור ביקור בישראל עבור אזרחית מולדבית, אשר אותו מקו</w:t>
      </w:r>
      <w:r w:rsidR="00D24A42" w:rsidRPr="00F76CD4">
        <w:rPr>
          <w:rFonts w:hint="cs"/>
          <w:rtl/>
        </w:rPr>
        <w:t>רב חפץ להזמין לארץ.</w:t>
      </w:r>
    </w:p>
    <w:p w14:paraId="1F31CD66" w14:textId="77777777" w:rsidR="00D24A42" w:rsidRPr="00F76CD4" w:rsidRDefault="00D24A42" w:rsidP="00F76CD4">
      <w:pPr>
        <w:rPr>
          <w:rtl/>
        </w:rPr>
      </w:pPr>
    </w:p>
    <w:p w14:paraId="54A1803F" w14:textId="77777777" w:rsidR="00D24A42" w:rsidRPr="00F76CD4" w:rsidRDefault="00D24A42" w:rsidP="00F76CD4">
      <w:pPr>
        <w:rPr>
          <w:rtl/>
        </w:rPr>
      </w:pPr>
      <w:r w:rsidRPr="00F76CD4">
        <w:rPr>
          <w:rFonts w:hint="cs"/>
          <w:rtl/>
        </w:rPr>
        <w:t>עניין זה מקים יסודות של דמיון למקרה העומד בפניי</w:t>
      </w:r>
      <w:r w:rsidR="000F68F9" w:rsidRPr="00F76CD4">
        <w:rPr>
          <w:rFonts w:hint="cs"/>
          <w:rtl/>
        </w:rPr>
        <w:t xml:space="preserve"> ובהחלט ניתן ליישמו</w:t>
      </w:r>
      <w:r w:rsidRPr="00F76CD4">
        <w:rPr>
          <w:rFonts w:hint="cs"/>
          <w:rtl/>
        </w:rPr>
        <w:t>.</w:t>
      </w:r>
    </w:p>
    <w:p w14:paraId="52C1C195" w14:textId="77777777" w:rsidR="00D24A42" w:rsidRPr="00F76CD4" w:rsidRDefault="00D24A42" w:rsidP="00F76CD4">
      <w:pPr>
        <w:rPr>
          <w:rtl/>
        </w:rPr>
      </w:pPr>
    </w:p>
    <w:p w14:paraId="6E2C6304" w14:textId="77777777" w:rsidR="00D24A42" w:rsidRPr="00F76CD4" w:rsidRDefault="00D24A42" w:rsidP="00F76CD4">
      <w:pPr>
        <w:rPr>
          <w:rtl/>
        </w:rPr>
      </w:pPr>
      <w:r w:rsidRPr="00F76CD4">
        <w:rPr>
          <w:rFonts w:hint="cs"/>
          <w:rtl/>
        </w:rPr>
        <w:t>בית-המשפט העליון דחה את בקשת רשות הערעור, בין השאר, על הקביעה כי נכון היה</w:t>
      </w:r>
      <w:r w:rsidR="0044747E" w:rsidRPr="00F76CD4">
        <w:rPr>
          <w:rFonts w:hint="cs"/>
          <w:rtl/>
        </w:rPr>
        <w:t xml:space="preserve"> להטיל קלון על הנאשם. עיון בפסק-</w:t>
      </w:r>
      <w:r w:rsidRPr="00F76CD4">
        <w:rPr>
          <w:rFonts w:hint="cs"/>
          <w:rtl/>
        </w:rPr>
        <w:t>דינו של בית-המשפט המחוזי נשוא הדיון מלמד, כי הנימוקים להטלת הקלון היו עצם ניצול המעמד לצרכים פרטיים</w:t>
      </w:r>
      <w:r w:rsidR="00152462" w:rsidRPr="00F76CD4">
        <w:rPr>
          <w:rFonts w:hint="cs"/>
          <w:rtl/>
        </w:rPr>
        <w:t>, הפגיעה במעמד המדינה, הפגיעה בביטחון המדינה, ההתנהלות המסדירה עניינים רשמיים על בסיס היכרות, הטעיית הרשויות</w:t>
      </w:r>
      <w:r w:rsidRPr="00F76CD4">
        <w:rPr>
          <w:rFonts w:hint="cs"/>
          <w:rtl/>
        </w:rPr>
        <w:t xml:space="preserve"> </w:t>
      </w:r>
      <w:proofErr w:type="spellStart"/>
      <w:r w:rsidRPr="00F76CD4">
        <w:rPr>
          <w:rFonts w:hint="cs"/>
          <w:rtl/>
        </w:rPr>
        <w:t>והחזרתיות</w:t>
      </w:r>
      <w:proofErr w:type="spellEnd"/>
      <w:r w:rsidRPr="00F76CD4">
        <w:rPr>
          <w:rFonts w:hint="cs"/>
          <w:rtl/>
        </w:rPr>
        <w:t xml:space="preserve"> שבמעשים.</w:t>
      </w:r>
      <w:r w:rsidR="00152462" w:rsidRPr="00F76CD4">
        <w:rPr>
          <w:rFonts w:hint="cs"/>
          <w:rtl/>
        </w:rPr>
        <w:t xml:space="preserve"> אפנה בעניין זה על ההנמקות של בית-המשפט המחוזי תל-אביב </w:t>
      </w:r>
      <w:proofErr w:type="spellStart"/>
      <w:r w:rsidR="00152462" w:rsidRPr="00F76CD4">
        <w:rPr>
          <w:rFonts w:hint="cs"/>
          <w:rtl/>
        </w:rPr>
        <w:t>עפ"ג</w:t>
      </w:r>
      <w:proofErr w:type="spellEnd"/>
      <w:r w:rsidR="00152462" w:rsidRPr="00F76CD4">
        <w:rPr>
          <w:rFonts w:hint="cs"/>
          <w:rtl/>
        </w:rPr>
        <w:t xml:space="preserve"> 22556-06-10 היפים גם למקרה העומד לדיון בפניי. </w:t>
      </w:r>
    </w:p>
    <w:p w14:paraId="37DF9441" w14:textId="77777777" w:rsidR="00152462" w:rsidRPr="00F76CD4" w:rsidRDefault="00152462" w:rsidP="00F76CD4">
      <w:pPr>
        <w:rPr>
          <w:rtl/>
        </w:rPr>
      </w:pPr>
    </w:p>
    <w:p w14:paraId="17474893" w14:textId="77777777" w:rsidR="00152462" w:rsidRPr="00F76CD4" w:rsidRDefault="00152462" w:rsidP="00F76CD4">
      <w:pPr>
        <w:rPr>
          <w:rtl/>
        </w:rPr>
      </w:pPr>
      <w:r w:rsidRPr="00F76CD4">
        <w:rPr>
          <w:rFonts w:hint="cs"/>
          <w:rtl/>
        </w:rPr>
        <w:t xml:space="preserve">עוד אפנה </w:t>
      </w:r>
      <w:proofErr w:type="spellStart"/>
      <w:r w:rsidRPr="00F76CD4">
        <w:rPr>
          <w:rFonts w:hint="cs"/>
          <w:rtl/>
        </w:rPr>
        <w:t>לרע"פ</w:t>
      </w:r>
      <w:proofErr w:type="spellEnd"/>
      <w:r w:rsidRPr="00F76CD4">
        <w:rPr>
          <w:rFonts w:hint="cs"/>
          <w:rtl/>
        </w:rPr>
        <w:t xml:space="preserve"> 7120/09 פורר נגד מדינת ישראל </w:t>
      </w:r>
      <w:r w:rsidR="001406CF" w:rsidRPr="00F76CD4">
        <w:rPr>
          <w:rFonts w:hint="cs"/>
          <w:rtl/>
        </w:rPr>
        <w:t>(22.9.09)</w:t>
      </w:r>
      <w:r w:rsidR="001F53D8" w:rsidRPr="00F76CD4">
        <w:rPr>
          <w:rFonts w:hint="cs"/>
          <w:rtl/>
        </w:rPr>
        <w:t xml:space="preserve"> הנ"ל שבמסגרתו הוטל קלון על מי שהורשע בעבירה </w:t>
      </w:r>
      <w:r w:rsidR="00B56780" w:rsidRPr="00F76CD4">
        <w:rPr>
          <w:rFonts w:hint="cs"/>
          <w:rtl/>
        </w:rPr>
        <w:t xml:space="preserve">של מרמה והפרת אמונים ללא מרמה, </w:t>
      </w:r>
      <w:r w:rsidR="001F53D8" w:rsidRPr="00F76CD4">
        <w:rPr>
          <w:rFonts w:hint="cs"/>
          <w:rtl/>
        </w:rPr>
        <w:t>בכך שגרם למסירת פרויקטים למקורבו.</w:t>
      </w:r>
      <w:r w:rsidR="00C069A7" w:rsidRPr="00F76CD4">
        <w:rPr>
          <w:rFonts w:hint="cs"/>
          <w:rtl/>
        </w:rPr>
        <w:t xml:space="preserve"> אפנה בעניין זה לפסק-</w:t>
      </w:r>
      <w:r w:rsidR="00EC7E93" w:rsidRPr="00F76CD4">
        <w:rPr>
          <w:rFonts w:hint="cs"/>
          <w:rtl/>
        </w:rPr>
        <w:t xml:space="preserve">דינו של בית המשפט המחוזי מרכז במסגרת ע"פ </w:t>
      </w:r>
      <w:r w:rsidR="007B2615" w:rsidRPr="00F76CD4">
        <w:rPr>
          <w:rFonts w:hint="cs"/>
          <w:rtl/>
        </w:rPr>
        <w:t xml:space="preserve">               </w:t>
      </w:r>
      <w:r w:rsidR="00EC7E93" w:rsidRPr="00F76CD4">
        <w:rPr>
          <w:rFonts w:hint="cs"/>
          <w:rtl/>
        </w:rPr>
        <w:t xml:space="preserve">14051-04-09 על נימוקיו שיפים גם למקרה העומד לדיון בפניי. </w:t>
      </w:r>
    </w:p>
    <w:p w14:paraId="24B7E368" w14:textId="77777777" w:rsidR="001232EA" w:rsidRPr="00F76CD4" w:rsidRDefault="001232EA" w:rsidP="00F76CD4">
      <w:pPr>
        <w:rPr>
          <w:rtl/>
        </w:rPr>
      </w:pPr>
    </w:p>
    <w:p w14:paraId="3D9BC281" w14:textId="77777777" w:rsidR="001232EA" w:rsidRPr="00F76CD4" w:rsidRDefault="001232EA" w:rsidP="00F76CD4">
      <w:pPr>
        <w:rPr>
          <w:rtl/>
        </w:rPr>
      </w:pPr>
      <w:r w:rsidRPr="00F76CD4">
        <w:rPr>
          <w:rFonts w:hint="cs"/>
          <w:rtl/>
        </w:rPr>
        <w:t>אני סבור, כי לשונו של סעיף 1</w:t>
      </w:r>
      <w:r w:rsidR="00530A9F" w:rsidRPr="00F76CD4">
        <w:rPr>
          <w:rFonts w:hint="cs"/>
          <w:rtl/>
        </w:rPr>
        <w:t>20 (8) ותכליתו הינם ברורים:</w:t>
      </w:r>
      <w:r w:rsidR="00E308DD" w:rsidRPr="00F76CD4">
        <w:rPr>
          <w:rFonts w:hint="cs"/>
          <w:rtl/>
        </w:rPr>
        <w:t xml:space="preserve"> נאשם זה, אשר ניצל את מעמדו ואת תפקידו, כדי להשיג </w:t>
      </w:r>
      <w:proofErr w:type="spellStart"/>
      <w:r w:rsidR="00E308DD" w:rsidRPr="00F76CD4">
        <w:rPr>
          <w:rFonts w:hint="cs"/>
          <w:rtl/>
        </w:rPr>
        <w:t>לקארינה</w:t>
      </w:r>
      <w:proofErr w:type="spellEnd"/>
      <w:r w:rsidR="00E308DD" w:rsidRPr="00F76CD4">
        <w:rPr>
          <w:rFonts w:hint="cs"/>
          <w:rtl/>
        </w:rPr>
        <w:t xml:space="preserve"> טובת הנאה אישית, פגע בערכים המוגנים שבסעיף זה, וזאת כנבחר ציבור אשר אמון על הגנת המדינה והשמירה על הבאים בשעריה</w:t>
      </w:r>
      <w:r w:rsidR="007B2615" w:rsidRPr="00F76CD4">
        <w:rPr>
          <w:rFonts w:hint="cs"/>
          <w:rtl/>
        </w:rPr>
        <w:t>. זהו פגם אישי מוסרי לעשות שימוש בכוחו שלא ממניעים רלוונטיים. הוסף לכך את עבירת שיבוש מהלכי החקירה שבמחיקת ההודעות לקראת הח</w:t>
      </w:r>
      <w:r w:rsidR="00C069A7" w:rsidRPr="00F76CD4">
        <w:rPr>
          <w:rFonts w:hint="cs"/>
          <w:rtl/>
        </w:rPr>
        <w:t>קירה שאליה הוזמן והמסקנה היא כי</w:t>
      </w:r>
      <w:r w:rsidR="00E308DD" w:rsidRPr="00F76CD4">
        <w:rPr>
          <w:rFonts w:hint="cs"/>
          <w:rtl/>
        </w:rPr>
        <w:t xml:space="preserve"> יש במעשיו לקות מוסרית, ולפיכך אין להימנע מהטלת קלון.</w:t>
      </w:r>
    </w:p>
    <w:p w14:paraId="1B81B1C5" w14:textId="77777777" w:rsidR="00C6415B" w:rsidRPr="00F76CD4" w:rsidRDefault="00C6415B" w:rsidP="00F76CD4">
      <w:pPr>
        <w:rPr>
          <w:rtl/>
        </w:rPr>
      </w:pPr>
    </w:p>
    <w:p w14:paraId="598DA36A" w14:textId="77777777" w:rsidR="00C6415B" w:rsidRPr="00F76CD4" w:rsidRDefault="00C6415B" w:rsidP="00F76CD4">
      <w:pPr>
        <w:rPr>
          <w:rtl/>
        </w:rPr>
      </w:pPr>
      <w:r w:rsidRPr="00F76CD4">
        <w:rPr>
          <w:rFonts w:hint="cs"/>
          <w:rtl/>
        </w:rPr>
        <w:lastRenderedPageBreak/>
        <w:t xml:space="preserve">בנוסף, הטלת קלון מן הנימוקים דלעיל והימנעות מהרשעה הינם תרתי </w:t>
      </w:r>
      <w:proofErr w:type="spellStart"/>
      <w:r w:rsidRPr="00F76CD4">
        <w:rPr>
          <w:rFonts w:hint="cs"/>
          <w:rtl/>
        </w:rPr>
        <w:t>דתסתרי</w:t>
      </w:r>
      <w:proofErr w:type="spellEnd"/>
      <w:r w:rsidRPr="00F76CD4">
        <w:rPr>
          <w:rFonts w:hint="cs"/>
          <w:rtl/>
        </w:rPr>
        <w:t xml:space="preserve"> ובוודאי שאינם מקיימים את דרישות הדין למהלך כה חריג של הימנעות מהרשעה כלפי איש ציבור בנסיבות תיק זה.</w:t>
      </w:r>
    </w:p>
    <w:p w14:paraId="29C2F2F9" w14:textId="77777777" w:rsidR="00CE317E" w:rsidRPr="00F76CD4" w:rsidRDefault="00CE317E" w:rsidP="00F76CD4">
      <w:pPr>
        <w:rPr>
          <w:rtl/>
        </w:rPr>
      </w:pPr>
    </w:p>
    <w:p w14:paraId="36F00FA7" w14:textId="77777777" w:rsidR="00D51622" w:rsidRPr="00F76CD4" w:rsidRDefault="004B77AA" w:rsidP="00F76CD4">
      <w:pPr>
        <w:rPr>
          <w:rtl/>
        </w:rPr>
      </w:pPr>
      <w:r w:rsidRPr="00F76CD4">
        <w:rPr>
          <w:rFonts w:hint="cs"/>
          <w:rtl/>
        </w:rPr>
        <w:t>הנאשם צירף מכתב</w:t>
      </w:r>
      <w:r w:rsidR="003814BC" w:rsidRPr="00F76CD4">
        <w:rPr>
          <w:rFonts w:hint="cs"/>
          <w:rtl/>
        </w:rPr>
        <w:t xml:space="preserve"> המופנה לראש העיר ראשון לציון,</w:t>
      </w:r>
      <w:r w:rsidRPr="00F76CD4">
        <w:rPr>
          <w:rFonts w:hint="cs"/>
          <w:rtl/>
        </w:rPr>
        <w:t xml:space="preserve"> שלפיו הוא מתפטר</w:t>
      </w:r>
      <w:r w:rsidR="001F53D8" w:rsidRPr="00F76CD4">
        <w:rPr>
          <w:rFonts w:hint="cs"/>
          <w:rtl/>
        </w:rPr>
        <w:t xml:space="preserve"> </w:t>
      </w:r>
      <w:r w:rsidR="003814BC" w:rsidRPr="00F76CD4">
        <w:rPr>
          <w:rFonts w:hint="cs"/>
          <w:rtl/>
        </w:rPr>
        <w:t>"מכל הוועדות מכרז</w:t>
      </w:r>
      <w:r w:rsidR="000F68F9" w:rsidRPr="00F76CD4">
        <w:rPr>
          <w:rFonts w:hint="cs"/>
          <w:rtl/>
        </w:rPr>
        <w:t>ים והתפקידים במועצת העיר, לרבות ועדת תכנון ובניה" (</w:t>
      </w:r>
      <w:proofErr w:type="spellStart"/>
      <w:r w:rsidR="000F68F9" w:rsidRPr="00F76CD4">
        <w:rPr>
          <w:rFonts w:hint="cs"/>
          <w:rtl/>
        </w:rPr>
        <w:t>במ</w:t>
      </w:r>
      <w:proofErr w:type="spellEnd"/>
      <w:r w:rsidR="000F68F9" w:rsidRPr="00F76CD4">
        <w:rPr>
          <w:rFonts w:hint="cs"/>
          <w:rtl/>
        </w:rPr>
        <w:t>/2).</w:t>
      </w:r>
      <w:r w:rsidR="001F53D8" w:rsidRPr="00F76CD4">
        <w:rPr>
          <w:rFonts w:hint="cs"/>
          <w:rtl/>
        </w:rPr>
        <w:t xml:space="preserve"> </w:t>
      </w:r>
    </w:p>
    <w:p w14:paraId="3295414D" w14:textId="77777777" w:rsidR="00D51622" w:rsidRPr="00F76CD4" w:rsidRDefault="00D51622" w:rsidP="00F76CD4"/>
    <w:p w14:paraId="22F6F354" w14:textId="77777777" w:rsidR="00D51622" w:rsidRPr="00F76CD4" w:rsidRDefault="00D51622" w:rsidP="00F76CD4">
      <w:pPr>
        <w:rPr>
          <w:rtl/>
        </w:rPr>
      </w:pPr>
      <w:r w:rsidRPr="00F76CD4">
        <w:rPr>
          <w:rFonts w:hint="cs"/>
          <w:rtl/>
        </w:rPr>
        <w:t>אכן, ב</w:t>
      </w:r>
      <w:hyperlink r:id="rId10" w:history="1">
        <w:r w:rsidRPr="00F76CD4">
          <w:rPr>
            <w:rStyle w:val="Hyperlink"/>
            <w:rtl/>
          </w:rPr>
          <w:t>בג"ץ 5699/07 פלונית (א') נ</w:t>
        </w:r>
        <w:r w:rsidRPr="00F76CD4">
          <w:rPr>
            <w:rStyle w:val="Hyperlink"/>
            <w:rFonts w:hint="cs"/>
            <w:rtl/>
          </w:rPr>
          <w:t>גד</w:t>
        </w:r>
        <w:r w:rsidRPr="00F76CD4">
          <w:rPr>
            <w:rStyle w:val="Hyperlink"/>
            <w:rtl/>
          </w:rPr>
          <w:t xml:space="preserve"> היועץ המשפטי לממשלה</w:t>
        </w:r>
        <w:r w:rsidRPr="00F76CD4">
          <w:rPr>
            <w:rStyle w:val="Hyperlink"/>
          </w:rPr>
          <w:t xml:space="preserve">, </w:t>
        </w:r>
        <w:r w:rsidRPr="00F76CD4">
          <w:rPr>
            <w:rStyle w:val="Hyperlink"/>
            <w:rFonts w:hint="cs"/>
            <w:rtl/>
          </w:rPr>
          <w:t xml:space="preserve"> פ"ד </w:t>
        </w:r>
        <w:r w:rsidRPr="00F76CD4">
          <w:rPr>
            <w:rStyle w:val="Hyperlink"/>
            <w:rtl/>
          </w:rPr>
          <w:t>סב</w:t>
        </w:r>
        <w:r w:rsidRPr="00F76CD4">
          <w:rPr>
            <w:rStyle w:val="Hyperlink"/>
            <w:rFonts w:hint="cs"/>
            <w:rtl/>
          </w:rPr>
          <w:t xml:space="preserve"> </w:t>
        </w:r>
        <w:r w:rsidRPr="00F76CD4">
          <w:rPr>
            <w:rStyle w:val="Hyperlink"/>
            <w:rtl/>
          </w:rPr>
          <w:t xml:space="preserve">(3) 550 </w:t>
        </w:r>
        <w:r w:rsidRPr="00F76CD4">
          <w:rPr>
            <w:rStyle w:val="Hyperlink"/>
            <w:rFonts w:hint="cs"/>
            <w:rtl/>
          </w:rPr>
          <w:t>נקבע:</w:t>
        </w:r>
        <w:r w:rsidRPr="00F76CD4">
          <w:rPr>
            <w:rStyle w:val="Hyperlink"/>
            <w:rtl/>
          </w:rPr>
          <w:t>‏</w:t>
        </w:r>
      </w:hyperlink>
      <w:r w:rsidRPr="00F76CD4">
        <w:rPr>
          <w:rtl/>
        </w:rPr>
        <w:t>‏ "אך החשוב הוא, שקביעת הקלון אינה ענין ערטילאי. אין היא דבר שבעקרון. היא אינה נערכת בחלל ריק, ולעולם כפופה להקשר ולנסיבות. אין זו הצהרה כללית, אשר כוחה יפה לכל ענין ומטרה. השלכותיה ממוקדות. תכליתה קונקרטית. וקודם שתכלית זו מתקי</w:t>
      </w:r>
      <w:r w:rsidRPr="00F76CD4">
        <w:rPr>
          <w:rFonts w:hint="cs"/>
          <w:rtl/>
        </w:rPr>
        <w:t>י</w:t>
      </w:r>
      <w:r w:rsidRPr="00F76CD4">
        <w:rPr>
          <w:rtl/>
        </w:rPr>
        <w:t>מת, אין כל משמעות לעיסוק בשאלת הקלון. הניתן לבחון את מידת התאמתו המוסרית של אדם לתפקיד פלוני, שעה שאינך יודע מה עיסוק יבקש לעצמו ביום מן הימים, אם בכלל? לא זו בלבד שאין בדבר טעם, אלא שהכרעה המתקבלת טרם זמנה חוטאת לרוח הדין, ואסביר</w:t>
      </w:r>
      <w:r w:rsidRPr="00F76CD4">
        <w:t>."</w:t>
      </w:r>
    </w:p>
    <w:p w14:paraId="76E19483" w14:textId="77777777" w:rsidR="00D51622" w:rsidRPr="00F76CD4" w:rsidRDefault="00D51622" w:rsidP="00F76CD4">
      <w:pPr>
        <w:rPr>
          <w:rtl/>
        </w:rPr>
      </w:pPr>
    </w:p>
    <w:p w14:paraId="470B4BDE" w14:textId="77777777" w:rsidR="004B77AA" w:rsidRPr="00F76CD4" w:rsidRDefault="001F53D8" w:rsidP="00F76CD4">
      <w:pPr>
        <w:rPr>
          <w:rtl/>
        </w:rPr>
      </w:pPr>
      <w:r w:rsidRPr="00F76CD4">
        <w:rPr>
          <w:rFonts w:hint="cs"/>
          <w:rtl/>
        </w:rPr>
        <w:t xml:space="preserve">ואולם, </w:t>
      </w:r>
      <w:r w:rsidR="00C14074" w:rsidRPr="00F76CD4">
        <w:rPr>
          <w:rFonts w:hint="cs"/>
          <w:rtl/>
        </w:rPr>
        <w:t>ההתחייבות דלעיל אינה</w:t>
      </w:r>
      <w:r w:rsidRPr="00F76CD4">
        <w:rPr>
          <w:rFonts w:hint="cs"/>
          <w:rtl/>
        </w:rPr>
        <w:t xml:space="preserve"> </w:t>
      </w:r>
      <w:r w:rsidR="00C14074" w:rsidRPr="00F76CD4">
        <w:rPr>
          <w:rFonts w:hint="cs"/>
          <w:rtl/>
        </w:rPr>
        <w:t xml:space="preserve">כוללת התחייבות </w:t>
      </w:r>
      <w:r w:rsidRPr="00F76CD4">
        <w:rPr>
          <w:rFonts w:hint="cs"/>
          <w:rtl/>
        </w:rPr>
        <w:t xml:space="preserve">עתידית </w:t>
      </w:r>
      <w:r w:rsidR="00C14074" w:rsidRPr="00F76CD4">
        <w:rPr>
          <w:rFonts w:hint="cs"/>
          <w:rtl/>
        </w:rPr>
        <w:t xml:space="preserve">שלא לשוב ולפעול כחבר מועצה או כנבחר ציבור עירוני </w:t>
      </w:r>
      <w:r w:rsidR="00C14074" w:rsidRPr="00F76CD4">
        <w:rPr>
          <w:rtl/>
        </w:rPr>
        <w:t>–</w:t>
      </w:r>
      <w:r w:rsidR="00C14074" w:rsidRPr="00F76CD4">
        <w:rPr>
          <w:rFonts w:hint="cs"/>
          <w:rtl/>
        </w:rPr>
        <w:t xml:space="preserve"> תחום שבו פעל בשנים האחרונות </w:t>
      </w:r>
      <w:r w:rsidR="00C14074" w:rsidRPr="00F76CD4">
        <w:rPr>
          <w:rtl/>
        </w:rPr>
        <w:t>–</w:t>
      </w:r>
      <w:r w:rsidR="00C14074" w:rsidRPr="00F76CD4">
        <w:rPr>
          <w:rFonts w:hint="cs"/>
          <w:rtl/>
        </w:rPr>
        <w:t xml:space="preserve"> ותכלית </w:t>
      </w:r>
      <w:r w:rsidRPr="00F76CD4">
        <w:rPr>
          <w:rFonts w:hint="cs"/>
          <w:rtl/>
        </w:rPr>
        <w:t xml:space="preserve">הקלון </w:t>
      </w:r>
      <w:r w:rsidR="00C14074" w:rsidRPr="00F76CD4">
        <w:rPr>
          <w:rFonts w:hint="cs"/>
          <w:rtl/>
        </w:rPr>
        <w:t>צופה גם את</w:t>
      </w:r>
      <w:r w:rsidR="000F68F9" w:rsidRPr="00F76CD4">
        <w:rPr>
          <w:rFonts w:hint="cs"/>
          <w:rtl/>
        </w:rPr>
        <w:t xml:space="preserve"> פני עתיד</w:t>
      </w:r>
      <w:r w:rsidR="00C069A7" w:rsidRPr="00F76CD4">
        <w:rPr>
          <w:rFonts w:hint="cs"/>
          <w:rtl/>
        </w:rPr>
        <w:t>,</w:t>
      </w:r>
      <w:r w:rsidR="000F68F9" w:rsidRPr="00F76CD4">
        <w:rPr>
          <w:rFonts w:hint="cs"/>
          <w:rtl/>
        </w:rPr>
        <w:t xml:space="preserve"> והוא שהנאשם</w:t>
      </w:r>
      <w:r w:rsidRPr="00F76CD4">
        <w:rPr>
          <w:rFonts w:hint="cs"/>
          <w:rtl/>
        </w:rPr>
        <w:t xml:space="preserve"> יחדל מכך גם לעתיד</w:t>
      </w:r>
      <w:r w:rsidR="000F68F9" w:rsidRPr="00F76CD4">
        <w:rPr>
          <w:rFonts w:hint="cs"/>
          <w:rtl/>
        </w:rPr>
        <w:t xml:space="preserve"> כחבר מועצה</w:t>
      </w:r>
      <w:r w:rsidR="00DF7CFB" w:rsidRPr="00F76CD4">
        <w:rPr>
          <w:rFonts w:hint="cs"/>
          <w:rtl/>
        </w:rPr>
        <w:t xml:space="preserve"> או במסגרת רשויות מקומיות אחרות</w:t>
      </w:r>
      <w:r w:rsidRPr="00F76CD4">
        <w:rPr>
          <w:rFonts w:hint="cs"/>
          <w:rtl/>
        </w:rPr>
        <w:t>.</w:t>
      </w:r>
    </w:p>
    <w:p w14:paraId="176A5B3E" w14:textId="77777777" w:rsidR="000F68F9" w:rsidRPr="00F76CD4" w:rsidRDefault="000F68F9" w:rsidP="00F76CD4">
      <w:pPr>
        <w:rPr>
          <w:rtl/>
        </w:rPr>
      </w:pPr>
    </w:p>
    <w:p w14:paraId="663B19F6" w14:textId="77777777" w:rsidR="000F68F9" w:rsidRPr="00F76CD4" w:rsidRDefault="000F68F9" w:rsidP="00F76CD4">
      <w:pPr>
        <w:rPr>
          <w:rtl/>
        </w:rPr>
      </w:pPr>
      <w:r w:rsidRPr="00F76CD4">
        <w:rPr>
          <w:rFonts w:hint="cs"/>
          <w:rtl/>
        </w:rPr>
        <w:t>עוד נמסר, כי עקב ההתפטרות הגיש הנאשם תביעת אבטלה שאושרה (</w:t>
      </w:r>
      <w:proofErr w:type="spellStart"/>
      <w:r w:rsidRPr="00F76CD4">
        <w:rPr>
          <w:rFonts w:hint="cs"/>
          <w:rtl/>
        </w:rPr>
        <w:t>במ</w:t>
      </w:r>
      <w:proofErr w:type="spellEnd"/>
      <w:r w:rsidRPr="00F76CD4">
        <w:rPr>
          <w:rFonts w:hint="cs"/>
          <w:rtl/>
        </w:rPr>
        <w:t>/3).</w:t>
      </w:r>
      <w:r w:rsidR="00C6415B" w:rsidRPr="00F76CD4">
        <w:rPr>
          <w:rFonts w:hint="cs"/>
          <w:rtl/>
        </w:rPr>
        <w:t xml:space="preserve"> נתון זה הינו זמני, משום שהנאשם בהחלט מסוגל לשוב למעגל העבודה.</w:t>
      </w:r>
    </w:p>
    <w:p w14:paraId="045FD44D" w14:textId="77777777" w:rsidR="00530A9F" w:rsidRPr="00F76CD4" w:rsidRDefault="00530A9F" w:rsidP="00F76CD4">
      <w:pPr>
        <w:rPr>
          <w:rtl/>
        </w:rPr>
      </w:pPr>
    </w:p>
    <w:p w14:paraId="6B6050F5" w14:textId="77777777" w:rsidR="00530A9F" w:rsidRPr="00F76CD4" w:rsidRDefault="00530A9F" w:rsidP="00F76CD4">
      <w:pPr>
        <w:rPr>
          <w:rtl/>
        </w:rPr>
      </w:pPr>
      <w:r w:rsidRPr="00F76CD4">
        <w:rPr>
          <w:rFonts w:hint="cs"/>
          <w:rtl/>
        </w:rPr>
        <w:t>(4). תסקיר:</w:t>
      </w:r>
    </w:p>
    <w:p w14:paraId="690EAFAD" w14:textId="77777777" w:rsidR="0094610F" w:rsidRPr="00F76CD4" w:rsidRDefault="0094610F" w:rsidP="00F76CD4">
      <w:pPr>
        <w:rPr>
          <w:rtl/>
        </w:rPr>
      </w:pPr>
    </w:p>
    <w:p w14:paraId="7376769B" w14:textId="77777777" w:rsidR="0094610F" w:rsidRPr="00F76CD4" w:rsidRDefault="0094610F" w:rsidP="00F76CD4">
      <w:pPr>
        <w:rPr>
          <w:rtl/>
        </w:rPr>
      </w:pPr>
      <w:r w:rsidRPr="00F76CD4">
        <w:rPr>
          <w:rFonts w:hint="cs"/>
          <w:rtl/>
        </w:rPr>
        <w:t>שירות המבחן מסר תסקיר חיובי ובו לא המליץ להימנע מהרשעת הנאשם. התסקיר מתאר את תולדות חייו, מציג אורח חיים נורמטיבי, מציג את מערך ההתנדבות מצד הנאשם, מלמד כי הנאשם גילה הבנה לחומרת מעשיו, אך הו</w:t>
      </w:r>
      <w:r w:rsidR="00C069A7" w:rsidRPr="00F76CD4">
        <w:rPr>
          <w:rFonts w:hint="cs"/>
          <w:rtl/>
        </w:rPr>
        <w:t>א מתקשה לערוך בחינה של התנהלותו</w:t>
      </w:r>
      <w:r w:rsidRPr="00F76CD4">
        <w:rPr>
          <w:rFonts w:hint="cs"/>
          <w:rtl/>
        </w:rPr>
        <w:t xml:space="preserve"> </w:t>
      </w:r>
      <w:r w:rsidR="00C069A7" w:rsidRPr="00F76CD4">
        <w:rPr>
          <w:rFonts w:hint="cs"/>
          <w:rtl/>
        </w:rPr>
        <w:t>ו</w:t>
      </w:r>
      <w:r w:rsidRPr="00F76CD4">
        <w:rPr>
          <w:rFonts w:hint="cs"/>
          <w:rtl/>
        </w:rPr>
        <w:t>נוטה לצמצם את המעשים.</w:t>
      </w:r>
      <w:r w:rsidR="00773AC0" w:rsidRPr="00F76CD4">
        <w:rPr>
          <w:rFonts w:hint="cs"/>
          <w:rtl/>
        </w:rPr>
        <w:t xml:space="preserve"> </w:t>
      </w:r>
    </w:p>
    <w:p w14:paraId="22B114B1" w14:textId="77777777" w:rsidR="007B474A" w:rsidRPr="00F76CD4" w:rsidRDefault="007B474A" w:rsidP="00F76CD4">
      <w:pPr>
        <w:rPr>
          <w:rtl/>
        </w:rPr>
      </w:pPr>
    </w:p>
    <w:p w14:paraId="7E7391DB" w14:textId="77777777" w:rsidR="007B474A" w:rsidRPr="00F76CD4" w:rsidRDefault="009B53F2" w:rsidP="00F76CD4">
      <w:pPr>
        <w:rPr>
          <w:rtl/>
        </w:rPr>
      </w:pPr>
      <w:r w:rsidRPr="00F76CD4">
        <w:rPr>
          <w:rFonts w:hint="cs"/>
          <w:rtl/>
        </w:rPr>
        <w:t xml:space="preserve">בנוסף, </w:t>
      </w:r>
      <w:r w:rsidR="007B474A" w:rsidRPr="00F76CD4">
        <w:rPr>
          <w:rFonts w:hint="cs"/>
          <w:rtl/>
        </w:rPr>
        <w:t xml:space="preserve">הטענה שלפיה אם ההרשעה תיוותר על כנה </w:t>
      </w:r>
      <w:r w:rsidR="00C069A7" w:rsidRPr="00F76CD4">
        <w:rPr>
          <w:rFonts w:hint="cs"/>
          <w:rtl/>
        </w:rPr>
        <w:t xml:space="preserve">יגרם לנאשם נזק קונקרטי ממשי שמחייב את ביטול ההרשעה - </w:t>
      </w:r>
      <w:r w:rsidR="007B474A" w:rsidRPr="00F76CD4">
        <w:rPr>
          <w:rFonts w:hint="cs"/>
          <w:rtl/>
        </w:rPr>
        <w:t>לאו טענה היא בנסיבות תיק זה</w:t>
      </w:r>
      <w:r w:rsidR="000A5F6A" w:rsidRPr="00F76CD4">
        <w:rPr>
          <w:rFonts w:hint="cs"/>
          <w:rtl/>
        </w:rPr>
        <w:t xml:space="preserve">. </w:t>
      </w:r>
      <w:r w:rsidR="009F2441" w:rsidRPr="00F76CD4">
        <w:rPr>
          <w:rFonts w:hint="cs"/>
          <w:rtl/>
        </w:rPr>
        <w:t xml:space="preserve"> אכן, לנאשם רישיון תיווך ולפי מסמ</w:t>
      </w:r>
      <w:r w:rsidRPr="00F76CD4">
        <w:rPr>
          <w:rFonts w:hint="cs"/>
          <w:rtl/>
        </w:rPr>
        <w:t xml:space="preserve">ך </w:t>
      </w:r>
      <w:proofErr w:type="spellStart"/>
      <w:r w:rsidRPr="00F76CD4">
        <w:rPr>
          <w:rFonts w:hint="cs"/>
          <w:rtl/>
        </w:rPr>
        <w:t>במ</w:t>
      </w:r>
      <w:proofErr w:type="spellEnd"/>
      <w:r w:rsidRPr="00F76CD4">
        <w:rPr>
          <w:rFonts w:hint="cs"/>
          <w:rtl/>
        </w:rPr>
        <w:t>/1 מיום 5.2.25 הוא הוזמן על-</w:t>
      </w:r>
      <w:r w:rsidR="009F2441" w:rsidRPr="00F76CD4">
        <w:rPr>
          <w:rFonts w:hint="cs"/>
          <w:rtl/>
        </w:rPr>
        <w:t>ידי הרשם לשימוע. ואולם הנאשם לא עסק בתחום זה</w:t>
      </w:r>
      <w:r w:rsidR="00C069A7" w:rsidRPr="00F76CD4">
        <w:rPr>
          <w:rFonts w:hint="cs"/>
          <w:rtl/>
        </w:rPr>
        <w:t>, אין מדובר בפגיעה במשלח ידו של אדם העוסק בכך לפרנסתו משך שנים,</w:t>
      </w:r>
      <w:r w:rsidR="009F2441" w:rsidRPr="00F76CD4">
        <w:rPr>
          <w:rFonts w:hint="cs"/>
          <w:rtl/>
        </w:rPr>
        <w:t xml:space="preserve"> וממילא מדובר בסמכות שבשיקול דעת</w:t>
      </w:r>
      <w:r w:rsidR="00C069A7" w:rsidRPr="00F76CD4">
        <w:rPr>
          <w:rFonts w:hint="cs"/>
          <w:rtl/>
        </w:rPr>
        <w:t xml:space="preserve"> הרשם</w:t>
      </w:r>
      <w:r w:rsidR="009F2441" w:rsidRPr="00F76CD4">
        <w:rPr>
          <w:rFonts w:hint="cs"/>
          <w:rtl/>
        </w:rPr>
        <w:t>, שאינה תלויה בתוצאות המשפט.</w:t>
      </w:r>
    </w:p>
    <w:p w14:paraId="32AF6A4E" w14:textId="77777777" w:rsidR="00C6415B" w:rsidRPr="00F76CD4" w:rsidRDefault="00C6415B" w:rsidP="00F76CD4">
      <w:pPr>
        <w:rPr>
          <w:rtl/>
        </w:rPr>
      </w:pPr>
    </w:p>
    <w:p w14:paraId="0E8E13F9" w14:textId="77777777" w:rsidR="00C6415B" w:rsidRPr="00F76CD4" w:rsidRDefault="00C6415B" w:rsidP="00F76CD4">
      <w:pPr>
        <w:rPr>
          <w:rtl/>
        </w:rPr>
      </w:pPr>
      <w:r w:rsidRPr="00F76CD4">
        <w:rPr>
          <w:rFonts w:hint="cs"/>
          <w:rtl/>
        </w:rPr>
        <w:t>(5). איסור להיות חלק מגופי התכנון והבניה:</w:t>
      </w:r>
    </w:p>
    <w:p w14:paraId="7BA0DE91" w14:textId="77777777" w:rsidR="009F2441" w:rsidRPr="00F76CD4" w:rsidRDefault="009F2441" w:rsidP="00F76CD4">
      <w:pPr>
        <w:rPr>
          <w:rtl/>
        </w:rPr>
      </w:pPr>
    </w:p>
    <w:p w14:paraId="658759D5" w14:textId="77777777" w:rsidR="004B77AA" w:rsidRPr="00F76CD4" w:rsidRDefault="004B77AA" w:rsidP="00F76CD4">
      <w:pPr>
        <w:rPr>
          <w:rtl/>
        </w:rPr>
      </w:pPr>
      <w:r w:rsidRPr="00F76CD4">
        <w:rPr>
          <w:rFonts w:hint="cs"/>
          <w:rtl/>
        </w:rPr>
        <w:t>המאשימה ביקשה כי אוסיף צו שאוסר על הנאשם להיות חלק מגופי התכנון והבניה.</w:t>
      </w:r>
      <w:r w:rsidR="008A3A13" w:rsidRPr="00F76CD4">
        <w:rPr>
          <w:rFonts w:hint="cs"/>
          <w:rtl/>
        </w:rPr>
        <w:t xml:space="preserve"> המאשימה ביקשה שאפעיל את סמכותי לפי סעיף 44ב(ב) לחוק התכנון והבניה תשכ"ה - 1965 הקובע:</w:t>
      </w:r>
    </w:p>
    <w:p w14:paraId="148E35A5" w14:textId="77777777" w:rsidR="008A3A13" w:rsidRPr="00F76CD4" w:rsidRDefault="008A3A13" w:rsidP="00F76CD4">
      <w:pPr>
        <w:rPr>
          <w:rtl/>
        </w:rPr>
      </w:pPr>
    </w:p>
    <w:p w14:paraId="2EACB8AF" w14:textId="77777777" w:rsidR="008A3A13" w:rsidRPr="00F76CD4" w:rsidRDefault="00D4640B" w:rsidP="00F76CD4">
      <w:pPr>
        <w:rPr>
          <w:rtl/>
        </w:rPr>
      </w:pPr>
      <w:r w:rsidRPr="00F76CD4">
        <w:rPr>
          <w:rFonts w:hint="cs"/>
          <w:rtl/>
        </w:rPr>
        <w:t>"</w:t>
      </w:r>
      <w:r w:rsidR="008A3A13" w:rsidRPr="00F76CD4">
        <w:rPr>
          <w:rtl/>
        </w:rPr>
        <w:t>לא יחל אדם לכהן כחבר מוסד תכנון מקומי ולא יכהן כחבר מוסד תכנון מקומי אם הורשע בעבירה שבית המשפט קבע שמפאת מהותה, חומרתה או נסיבותיה אין הוא ראוי לכהן כחבר מוסד תכנון, בין שהעבירה נעברה בזמן שכיהן כחבר מוסד תכנון, ובין לפני שהחל לכהן כחבר מוסד תכנון, ובלבד שטרם חלפו שבע שנים מיום הרשעת</w:t>
      </w:r>
      <w:r w:rsidR="00646263" w:rsidRPr="00F76CD4">
        <w:rPr>
          <w:rFonts w:hint="cs"/>
          <w:rtl/>
        </w:rPr>
        <w:t>ו</w:t>
      </w:r>
      <w:r w:rsidR="008A3A13" w:rsidRPr="00F76CD4">
        <w:rPr>
          <w:rtl/>
        </w:rPr>
        <w:t xml:space="preserve"> כאמור; לא קבע בית המשפט כאמור בפסק הדין המרשיע, רשאי היועץ המשפטי לממשלה לפנות לבית המשפט בבקשה מתאימה לעניין זה, שתוגש לבית המשפט שנתן את גזר הדין, ואם הוגש ערעור – לבית המשפט שלערעור</w:t>
      </w:r>
      <w:r w:rsidRPr="00F76CD4">
        <w:rPr>
          <w:rFonts w:hint="cs"/>
          <w:rtl/>
        </w:rPr>
        <w:t>"</w:t>
      </w:r>
      <w:r w:rsidR="008A3A13" w:rsidRPr="00F76CD4">
        <w:rPr>
          <w:rtl/>
        </w:rPr>
        <w:t>.</w:t>
      </w:r>
    </w:p>
    <w:p w14:paraId="3335DED4" w14:textId="77777777" w:rsidR="00EF22CB" w:rsidRPr="00F76CD4" w:rsidRDefault="00EF22CB" w:rsidP="00F76CD4">
      <w:pPr>
        <w:rPr>
          <w:rtl/>
        </w:rPr>
      </w:pPr>
    </w:p>
    <w:p w14:paraId="34B228E8" w14:textId="77777777" w:rsidR="00EF22CB" w:rsidRPr="00F76CD4" w:rsidRDefault="00EF22CB" w:rsidP="00F76CD4">
      <w:pPr>
        <w:rPr>
          <w:rtl/>
        </w:rPr>
      </w:pPr>
      <w:r w:rsidRPr="00F76CD4">
        <w:rPr>
          <w:rFonts w:hint="cs"/>
          <w:rtl/>
        </w:rPr>
        <w:t>ב</w:t>
      </w:r>
      <w:hyperlink r:id="rId11" w:history="1">
        <w:r w:rsidRPr="00F76CD4">
          <w:rPr>
            <w:rStyle w:val="Hyperlink"/>
            <w:rtl/>
          </w:rPr>
          <w:t>בג"ץ 724/20 עמותת שומרי הסף - התנועה להגנת ערכי שלטון החוק נ</w:t>
        </w:r>
        <w:r w:rsidRPr="00F76CD4">
          <w:rPr>
            <w:rStyle w:val="Hyperlink"/>
            <w:rFonts w:hint="cs"/>
            <w:rtl/>
          </w:rPr>
          <w:t>גד</w:t>
        </w:r>
        <w:r w:rsidRPr="00F76CD4">
          <w:rPr>
            <w:rStyle w:val="Hyperlink"/>
            <w:rtl/>
          </w:rPr>
          <w:t xml:space="preserve"> היועמ"ש (21.12.2021)‏</w:t>
        </w:r>
      </w:hyperlink>
      <w:r w:rsidRPr="00F76CD4">
        <w:rPr>
          <w:rtl/>
        </w:rPr>
        <w:t xml:space="preserve">‏ </w:t>
      </w:r>
      <w:r w:rsidRPr="00F76CD4">
        <w:rPr>
          <w:rFonts w:hint="cs"/>
          <w:rtl/>
        </w:rPr>
        <w:t>נקבעו הדברים הבאים:</w:t>
      </w:r>
    </w:p>
    <w:p w14:paraId="31D82778" w14:textId="77777777" w:rsidR="00EF22CB" w:rsidRPr="00F76CD4" w:rsidRDefault="00EF22CB" w:rsidP="00F76CD4">
      <w:pPr>
        <w:rPr>
          <w:rtl/>
        </w:rPr>
      </w:pPr>
    </w:p>
    <w:p w14:paraId="4C6F029B" w14:textId="77777777" w:rsidR="00EF22CB" w:rsidRPr="00F76CD4" w:rsidRDefault="00EF22CB" w:rsidP="00F76CD4">
      <w:pPr>
        <w:rPr>
          <w:rtl/>
        </w:rPr>
      </w:pPr>
      <w:r w:rsidRPr="00F76CD4">
        <w:rPr>
          <w:rtl/>
        </w:rPr>
        <w:lastRenderedPageBreak/>
        <w:t xml:space="preserve">"הוראה זו, שהתווספה לחוק בשנת 2014, במסגרת תיקון 101 לו (ס"ח </w:t>
      </w:r>
      <w:proofErr w:type="spellStart"/>
      <w:r w:rsidRPr="00F76CD4">
        <w:rPr>
          <w:rtl/>
        </w:rPr>
        <w:t>התשע"ד</w:t>
      </w:r>
      <w:proofErr w:type="spellEnd"/>
      <w:r w:rsidRPr="00F76CD4">
        <w:rPr>
          <w:rtl/>
        </w:rPr>
        <w:t>, 474, 484), משקפת את עמדת המחוקק, לפיה הרחבת סמכויות מוסדות התכנון המקומיים "מחייבת טיפול בכשלים" שבהם הם עלולים ללקות – לרבות במישור טוהר המידות של חבריהם</w:t>
      </w:r>
      <w:r w:rsidRPr="00F76CD4">
        <w:rPr>
          <w:rFonts w:hint="cs"/>
          <w:rtl/>
        </w:rPr>
        <w:t>...</w:t>
      </w:r>
      <w:r w:rsidRPr="00F76CD4">
        <w:rPr>
          <w:rtl/>
        </w:rPr>
        <w:t>לשמירה על טוהר המידות בגופים אלה חשיבות רבה, הן משום שהיא מהווה תנאי לתפקוד תקין שלהם, והן בשל השפעתה על אמון הציבור ברשויות</w:t>
      </w:r>
      <w:r w:rsidRPr="00F76CD4">
        <w:rPr>
          <w:rFonts w:hint="cs"/>
          <w:rtl/>
        </w:rPr>
        <w:t>...</w:t>
      </w:r>
      <w:r w:rsidRPr="00F76CD4">
        <w:rPr>
          <w:rtl/>
        </w:rPr>
        <w:t xml:space="preserve">משכך, שומה על בית המשפט הדן בהליך הפלילי, ועל גורמי התביעה המעורבים בהליך, להגן על האינטרס הציבורי, ולתת את הדעת גם על השלכות ההליך על הכהונה במוסדות התכנון. במובן זה, יש חשיבות רבה להודעת היועמ"ש, לפיה יישום סעיף 44ב(ב) לחוק עבר את שלב חבלי הלידה, וכי התובעים המקומיים מונחים כיום, על ידי המחלקה להנחיית תובעים מוסמכי היועץ המשפטי לממשלה, להסב את תשומת לב בית המשפט לסמכויותיו לפי סעיף 44ב(ב). יש להקפיד כי כך ייעשה.  אף על פי כן, נוכח השתלשלות העניינים שפורטה לעיל, דין העתירה הקונקרטית שלפנינו – להימחק. זאת, בהתאם לתגובת העותרת להודעת היועץ המשפטי לממשלה, ממנה עולה כי היא אינה עומדת עוד על </w:t>
      </w:r>
      <w:proofErr w:type="spellStart"/>
      <w:r w:rsidRPr="00F76CD4">
        <w:rPr>
          <w:rtl/>
        </w:rPr>
        <w:t>הסעדים</w:t>
      </w:r>
      <w:proofErr w:type="spellEnd"/>
      <w:r w:rsidRPr="00F76CD4">
        <w:rPr>
          <w:rtl/>
        </w:rPr>
        <w:t xml:space="preserve"> שביקשה בעתירה – הן בהקשר של פנייה לבית המשפט, לפי סעיף 44ב(ב) לחוק התכנון והבנייה, והן בהקשר של היקף המתווה שאימץ היועץ.  במאמר מוסגר, אעיר כי העותרת והיועץ המשפטי לממשלה שותפים להנחה הבסיסית לפיה היועץ מחזיק בסמכות לפנות לבית המשפט לעניינים מקומיים בחדרה, לאחר תום ההליך הפלילי, בבקשה לבחון את המשך כהונת המשיבה במוסדות התכנון. ברם, דברי ימי החקיקה מלמדים כי הסמכות הקבועה בסיפא של סעיף 44ב(ב) נועדה, בעיקרה, למצבים שבהם "שתיקת" פסק הדין המרשיע נובעת מחוסר הרלוונטיות של סוגיית הכהונה במועד מתן פסק הדין</w:t>
      </w:r>
      <w:r w:rsidRPr="00F76CD4">
        <w:rPr>
          <w:rFonts w:hint="cs"/>
          <w:rtl/>
        </w:rPr>
        <w:t>..."</w:t>
      </w:r>
    </w:p>
    <w:p w14:paraId="59C3D03F" w14:textId="77777777" w:rsidR="00670714" w:rsidRPr="00F76CD4" w:rsidRDefault="00670714" w:rsidP="00F76CD4">
      <w:pPr>
        <w:rPr>
          <w:rtl/>
        </w:rPr>
      </w:pPr>
    </w:p>
    <w:p w14:paraId="4818D5DB" w14:textId="77777777" w:rsidR="00B96ED7" w:rsidRPr="00F76CD4" w:rsidRDefault="00670714" w:rsidP="00F76CD4">
      <w:pPr>
        <w:rPr>
          <w:rtl/>
        </w:rPr>
      </w:pPr>
      <w:r w:rsidRPr="00F76CD4">
        <w:rPr>
          <w:rFonts w:hint="cs"/>
          <w:rtl/>
        </w:rPr>
        <w:t xml:space="preserve">אני דוחה את עתירתה של המאשימה בעניין זה, משום שלהבדיל מהשימוש במעמדו של הנאשם לצורך קידום העניין הפרטי של </w:t>
      </w:r>
      <w:proofErr w:type="spellStart"/>
      <w:r w:rsidRPr="00F76CD4">
        <w:rPr>
          <w:rFonts w:hint="cs"/>
          <w:rtl/>
        </w:rPr>
        <w:t>קארינה</w:t>
      </w:r>
      <w:proofErr w:type="spellEnd"/>
      <w:r w:rsidRPr="00F76CD4">
        <w:rPr>
          <w:rFonts w:hint="cs"/>
          <w:rtl/>
        </w:rPr>
        <w:t xml:space="preserve">, אשר הצדיק הטלת קלון, במקרנו אין כל קשר בין המעשים שבגינם הורשע לפעילותו במסגרת מוסד תכנון מקומי. </w:t>
      </w:r>
    </w:p>
    <w:p w14:paraId="7BD10BA5" w14:textId="77777777" w:rsidR="00B96ED7" w:rsidRPr="00F76CD4" w:rsidRDefault="00B96ED7" w:rsidP="00F76CD4">
      <w:pPr>
        <w:rPr>
          <w:rtl/>
        </w:rPr>
      </w:pPr>
    </w:p>
    <w:p w14:paraId="1DB8B806" w14:textId="77777777" w:rsidR="00C6415B" w:rsidRPr="00F76CD4" w:rsidRDefault="00670714" w:rsidP="00F76CD4">
      <w:pPr>
        <w:rPr>
          <w:rtl/>
        </w:rPr>
      </w:pPr>
      <w:r w:rsidRPr="00F76CD4">
        <w:rPr>
          <w:rFonts w:hint="cs"/>
          <w:rtl/>
        </w:rPr>
        <w:t>איש לא י</w:t>
      </w:r>
      <w:r w:rsidR="00B96ED7" w:rsidRPr="00F76CD4">
        <w:rPr>
          <w:rFonts w:hint="cs"/>
          <w:rtl/>
        </w:rPr>
        <w:t>יחס לנאשם עבירות הנוגעות למעמדו</w:t>
      </w:r>
      <w:r w:rsidRPr="00F76CD4">
        <w:rPr>
          <w:rFonts w:hint="cs"/>
          <w:rtl/>
        </w:rPr>
        <w:t xml:space="preserve"> במסגרת זו ואין הקשר ענייני רלוונטי</w:t>
      </w:r>
      <w:r w:rsidR="00B96ED7" w:rsidRPr="00F76CD4">
        <w:rPr>
          <w:rFonts w:hint="cs"/>
          <w:rtl/>
        </w:rPr>
        <w:t xml:space="preserve"> בין המעשה לענישה המבוקשת ברכיב זה</w:t>
      </w:r>
      <w:r w:rsidR="00C6415B" w:rsidRPr="00F76CD4">
        <w:rPr>
          <w:rFonts w:hint="cs"/>
          <w:rtl/>
        </w:rPr>
        <w:t>.</w:t>
      </w:r>
    </w:p>
    <w:p w14:paraId="5278740D" w14:textId="77777777" w:rsidR="00C6415B" w:rsidRPr="00F76CD4" w:rsidRDefault="00C6415B" w:rsidP="00F76CD4">
      <w:pPr>
        <w:rPr>
          <w:rtl/>
        </w:rPr>
      </w:pPr>
    </w:p>
    <w:p w14:paraId="72090790" w14:textId="77777777" w:rsidR="00C6415B" w:rsidRPr="00F76CD4" w:rsidRDefault="00670714" w:rsidP="00F76CD4">
      <w:pPr>
        <w:rPr>
          <w:rtl/>
        </w:rPr>
      </w:pPr>
      <w:r w:rsidRPr="00F76CD4">
        <w:rPr>
          <w:rFonts w:hint="cs"/>
          <w:rtl/>
        </w:rPr>
        <w:t>הענישה</w:t>
      </w:r>
      <w:r w:rsidR="00DF7CFB" w:rsidRPr="00F76CD4">
        <w:rPr>
          <w:rFonts w:hint="cs"/>
          <w:rtl/>
        </w:rPr>
        <w:t xml:space="preserve"> חייבת להתאים לחטא ואל לה להרחיק</w:t>
      </w:r>
      <w:r w:rsidRPr="00F76CD4">
        <w:rPr>
          <w:rFonts w:hint="cs"/>
          <w:rtl/>
        </w:rPr>
        <w:t xml:space="preserve"> למרחקים אחרים. </w:t>
      </w:r>
    </w:p>
    <w:p w14:paraId="5F740E48" w14:textId="77777777" w:rsidR="00C6415B" w:rsidRPr="00F76CD4" w:rsidRDefault="00C6415B" w:rsidP="00F76CD4">
      <w:pPr>
        <w:rPr>
          <w:rtl/>
        </w:rPr>
      </w:pPr>
    </w:p>
    <w:p w14:paraId="0254BA73" w14:textId="77777777" w:rsidR="00C6415B" w:rsidRPr="00F76CD4" w:rsidRDefault="00670714" w:rsidP="00F76CD4">
      <w:pPr>
        <w:rPr>
          <w:rtl/>
        </w:rPr>
      </w:pPr>
      <w:r w:rsidRPr="00F76CD4">
        <w:rPr>
          <w:rFonts w:hint="cs"/>
          <w:rtl/>
        </w:rPr>
        <w:t xml:space="preserve">אדם צריך להבין שעונשו הוטל עליו באופן רלוונטי </w:t>
      </w:r>
      <w:r w:rsidR="00DF7CFB" w:rsidRPr="00F76CD4">
        <w:rPr>
          <w:rFonts w:hint="cs"/>
          <w:rtl/>
        </w:rPr>
        <w:t xml:space="preserve">והולם, </w:t>
      </w:r>
      <w:r w:rsidRPr="00F76CD4">
        <w:rPr>
          <w:rFonts w:hint="cs"/>
          <w:rtl/>
        </w:rPr>
        <w:t>ומ</w:t>
      </w:r>
      <w:r w:rsidR="00C6415B" w:rsidRPr="00F76CD4">
        <w:rPr>
          <w:rFonts w:hint="cs"/>
          <w:rtl/>
        </w:rPr>
        <w:t>תוך זיקה ישירה למעשיו ולא ההיפך ובמקרה זה אין כל שייכות בין המעשה לסנקציה המבוקשת ולכן יש לדחות את העתירה בעניין זה.</w:t>
      </w:r>
    </w:p>
    <w:p w14:paraId="07817C89" w14:textId="77777777" w:rsidR="00BC2258" w:rsidRPr="00F76CD4" w:rsidRDefault="00BC2258" w:rsidP="00F76CD4">
      <w:pPr>
        <w:rPr>
          <w:rtl/>
        </w:rPr>
      </w:pPr>
    </w:p>
    <w:p w14:paraId="0D935470" w14:textId="77777777" w:rsidR="005425CF" w:rsidRPr="00F76CD4" w:rsidRDefault="005425CF" w:rsidP="00F76CD4">
      <w:pPr>
        <w:rPr>
          <w:rtl/>
        </w:rPr>
      </w:pPr>
      <w:r w:rsidRPr="00F76CD4">
        <w:rPr>
          <w:rFonts w:hint="cs"/>
          <w:rtl/>
        </w:rPr>
        <w:t>ד. מסקנות:</w:t>
      </w:r>
    </w:p>
    <w:p w14:paraId="681B0DCA" w14:textId="77777777" w:rsidR="00670714" w:rsidRPr="00F76CD4" w:rsidRDefault="00670714" w:rsidP="00F76CD4">
      <w:pPr>
        <w:rPr>
          <w:rtl/>
        </w:rPr>
      </w:pPr>
    </w:p>
    <w:p w14:paraId="70ECE96A" w14:textId="77777777" w:rsidR="00670714" w:rsidRPr="00F76CD4" w:rsidRDefault="00670714" w:rsidP="00F76CD4">
      <w:pPr>
        <w:rPr>
          <w:rtl/>
        </w:rPr>
      </w:pPr>
      <w:r w:rsidRPr="00F76CD4">
        <w:rPr>
          <w:rFonts w:hint="cs"/>
          <w:rtl/>
        </w:rPr>
        <w:t>לאחר שבחנתי את מכלול השיקולים דלעיל, הגעתי למסקנות הבאות:</w:t>
      </w:r>
    </w:p>
    <w:p w14:paraId="4BC386BC" w14:textId="77777777" w:rsidR="00670714" w:rsidRPr="00F76CD4" w:rsidRDefault="00670714" w:rsidP="00F76CD4">
      <w:pPr>
        <w:rPr>
          <w:rtl/>
        </w:rPr>
      </w:pPr>
    </w:p>
    <w:p w14:paraId="2714C49F" w14:textId="77777777" w:rsidR="00670714" w:rsidRPr="00F76CD4" w:rsidRDefault="005D1DFF" w:rsidP="00F76CD4">
      <w:pPr>
        <w:rPr>
          <w:rtl/>
        </w:rPr>
      </w:pPr>
      <w:r w:rsidRPr="00F76CD4">
        <w:rPr>
          <w:rFonts w:hint="cs"/>
          <w:rtl/>
        </w:rPr>
        <w:t>יש למק</w:t>
      </w:r>
      <w:r w:rsidR="00670714" w:rsidRPr="00F76CD4">
        <w:rPr>
          <w:rFonts w:hint="cs"/>
          <w:rtl/>
        </w:rPr>
        <w:t>ם את עונשו של הנאשם בתחתית מתח</w:t>
      </w:r>
      <w:r w:rsidRPr="00F76CD4">
        <w:rPr>
          <w:rFonts w:hint="cs"/>
          <w:rtl/>
        </w:rPr>
        <w:t xml:space="preserve">ם הענישה משום כלל השיקולים </w:t>
      </w:r>
      <w:proofErr w:type="spellStart"/>
      <w:r w:rsidRPr="00F76CD4">
        <w:rPr>
          <w:rFonts w:hint="cs"/>
          <w:rtl/>
        </w:rPr>
        <w:t>לקולא</w:t>
      </w:r>
      <w:proofErr w:type="spellEnd"/>
      <w:r w:rsidR="00670714" w:rsidRPr="00F76CD4">
        <w:rPr>
          <w:rFonts w:hint="cs"/>
          <w:rtl/>
        </w:rPr>
        <w:t xml:space="preserve"> דלעיל.</w:t>
      </w:r>
    </w:p>
    <w:p w14:paraId="62C7D7EF" w14:textId="77777777" w:rsidR="00670714" w:rsidRPr="00F76CD4" w:rsidRDefault="00670714" w:rsidP="00F76CD4">
      <w:pPr>
        <w:rPr>
          <w:rtl/>
        </w:rPr>
      </w:pPr>
    </w:p>
    <w:p w14:paraId="27B3D34D" w14:textId="77777777" w:rsidR="00670714" w:rsidRPr="00F76CD4" w:rsidRDefault="00670714" w:rsidP="00F76CD4">
      <w:pPr>
        <w:rPr>
          <w:rtl/>
        </w:rPr>
      </w:pPr>
      <w:r w:rsidRPr="00F76CD4">
        <w:rPr>
          <w:rFonts w:hint="cs"/>
          <w:rtl/>
        </w:rPr>
        <w:t>יש לדחות את עתירתו להימנעות מהרשעה.</w:t>
      </w:r>
    </w:p>
    <w:p w14:paraId="38BE04E5" w14:textId="77777777" w:rsidR="00670714" w:rsidRPr="00F76CD4" w:rsidRDefault="00670714" w:rsidP="00F76CD4">
      <w:pPr>
        <w:rPr>
          <w:rtl/>
        </w:rPr>
      </w:pPr>
    </w:p>
    <w:p w14:paraId="6CCE8973" w14:textId="77777777" w:rsidR="00670714" w:rsidRPr="00F76CD4" w:rsidRDefault="00670714" w:rsidP="00F76CD4">
      <w:pPr>
        <w:rPr>
          <w:rtl/>
        </w:rPr>
      </w:pPr>
      <w:r w:rsidRPr="00F76CD4">
        <w:rPr>
          <w:rFonts w:hint="cs"/>
          <w:rtl/>
        </w:rPr>
        <w:t>אני מקבל את עתירת המאשימה להטלת קלון וכך אני מורה.</w:t>
      </w:r>
    </w:p>
    <w:p w14:paraId="4A7BECD3" w14:textId="77777777" w:rsidR="00670714" w:rsidRPr="00F76CD4" w:rsidRDefault="00670714" w:rsidP="00F76CD4">
      <w:pPr>
        <w:rPr>
          <w:rtl/>
        </w:rPr>
      </w:pPr>
    </w:p>
    <w:p w14:paraId="0F3931CC" w14:textId="77777777" w:rsidR="00C6415B" w:rsidRPr="00F76CD4" w:rsidRDefault="00670714" w:rsidP="00F76CD4">
      <w:pPr>
        <w:rPr>
          <w:rtl/>
        </w:rPr>
      </w:pPr>
      <w:r w:rsidRPr="00F76CD4">
        <w:rPr>
          <w:rFonts w:hint="cs"/>
          <w:rtl/>
        </w:rPr>
        <w:t>אני דוחה את העתירה בכל הקשור לאי כהונה במוסד תכנוני מקומי.</w:t>
      </w:r>
    </w:p>
    <w:p w14:paraId="20381C1A" w14:textId="77777777" w:rsidR="00C6415B" w:rsidRPr="00F76CD4" w:rsidRDefault="00C6415B" w:rsidP="00F76CD4">
      <w:pPr>
        <w:rPr>
          <w:rtl/>
        </w:rPr>
      </w:pPr>
    </w:p>
    <w:p w14:paraId="239AE5BE" w14:textId="77777777" w:rsidR="00C14074" w:rsidRPr="00F76CD4" w:rsidRDefault="00C14074" w:rsidP="00F76CD4">
      <w:pPr>
        <w:rPr>
          <w:rtl/>
        </w:rPr>
      </w:pPr>
      <w:r w:rsidRPr="00F76CD4">
        <w:rPr>
          <w:rtl/>
        </w:rPr>
        <w:br w:type="page"/>
      </w:r>
    </w:p>
    <w:p w14:paraId="086C6AC4" w14:textId="77777777" w:rsidR="005425CF" w:rsidRPr="00F76CD4" w:rsidRDefault="005425CF" w:rsidP="00F76CD4">
      <w:pPr>
        <w:rPr>
          <w:rtl/>
        </w:rPr>
      </w:pPr>
      <w:r w:rsidRPr="00F76CD4">
        <w:rPr>
          <w:rFonts w:hint="cs"/>
          <w:rtl/>
        </w:rPr>
        <w:lastRenderedPageBreak/>
        <w:t>ה. תוצאה:</w:t>
      </w:r>
    </w:p>
    <w:p w14:paraId="42489248" w14:textId="77777777" w:rsidR="005425CF" w:rsidRPr="00F76CD4" w:rsidRDefault="005425CF" w:rsidP="00F76CD4">
      <w:pPr>
        <w:rPr>
          <w:rtl/>
        </w:rPr>
      </w:pPr>
    </w:p>
    <w:p w14:paraId="7520AD05" w14:textId="77777777" w:rsidR="00D155DD" w:rsidRPr="00F76CD4" w:rsidRDefault="00D155DD" w:rsidP="00F76CD4">
      <w:pPr>
        <w:rPr>
          <w:rtl/>
        </w:rPr>
      </w:pPr>
      <w:r w:rsidRPr="00F76CD4">
        <w:rPr>
          <w:rFonts w:hint="cs"/>
          <w:rtl/>
        </w:rPr>
        <w:t>לאור כל האמור לעיל:</w:t>
      </w:r>
    </w:p>
    <w:p w14:paraId="019A82FE" w14:textId="77777777" w:rsidR="00D155DD" w:rsidRPr="00F76CD4" w:rsidRDefault="00D155DD" w:rsidP="00F76CD4">
      <w:pPr>
        <w:rPr>
          <w:rtl/>
        </w:rPr>
      </w:pPr>
    </w:p>
    <w:p w14:paraId="1FA00C96" w14:textId="77777777" w:rsidR="00D155DD" w:rsidRPr="00F76CD4" w:rsidRDefault="00D155DD" w:rsidP="00F76CD4">
      <w:pPr>
        <w:rPr>
          <w:rtl/>
        </w:rPr>
      </w:pPr>
      <w:r w:rsidRPr="00F76CD4">
        <w:rPr>
          <w:rFonts w:hint="cs"/>
          <w:rtl/>
        </w:rPr>
        <w:t>אני קובע כי ההרשעה תיוותר על כנה.</w:t>
      </w:r>
    </w:p>
    <w:p w14:paraId="5A0FA6D1" w14:textId="77777777" w:rsidR="00D155DD" w:rsidRPr="00F76CD4" w:rsidRDefault="00D155DD" w:rsidP="00F76CD4">
      <w:pPr>
        <w:rPr>
          <w:rtl/>
        </w:rPr>
      </w:pPr>
    </w:p>
    <w:p w14:paraId="257F7A7B" w14:textId="77777777" w:rsidR="00D155DD" w:rsidRPr="00F76CD4" w:rsidRDefault="00A26130" w:rsidP="00F76CD4">
      <w:pPr>
        <w:rPr>
          <w:rtl/>
        </w:rPr>
      </w:pPr>
      <w:r w:rsidRPr="00F76CD4">
        <w:rPr>
          <w:rFonts w:hint="cs"/>
          <w:rtl/>
        </w:rPr>
        <w:t>מוטל בזאת קלון על הנאשם בגין מעשיו שבהם הורשע</w:t>
      </w:r>
      <w:r w:rsidR="00D155DD" w:rsidRPr="00F76CD4">
        <w:rPr>
          <w:rFonts w:hint="cs"/>
          <w:rtl/>
        </w:rPr>
        <w:t>.</w:t>
      </w:r>
    </w:p>
    <w:p w14:paraId="268A74B0" w14:textId="77777777" w:rsidR="00D155DD" w:rsidRPr="00F76CD4" w:rsidRDefault="00D155DD" w:rsidP="00F76CD4">
      <w:pPr>
        <w:rPr>
          <w:rtl/>
        </w:rPr>
      </w:pPr>
    </w:p>
    <w:p w14:paraId="28AB39AA" w14:textId="77777777" w:rsidR="00670714" w:rsidRPr="00F76CD4" w:rsidRDefault="00D155DD" w:rsidP="00F76CD4">
      <w:pPr>
        <w:rPr>
          <w:rtl/>
        </w:rPr>
      </w:pPr>
      <w:r w:rsidRPr="00F76CD4">
        <w:rPr>
          <w:rFonts w:hint="cs"/>
          <w:rtl/>
        </w:rPr>
        <w:t xml:space="preserve"> </w:t>
      </w:r>
      <w:r w:rsidR="00670714" w:rsidRPr="00F76CD4">
        <w:rPr>
          <w:rFonts w:hint="cs"/>
          <w:rtl/>
        </w:rPr>
        <w:t>אני גוזר על הנאשם את העונשים הבאים:</w:t>
      </w:r>
    </w:p>
    <w:p w14:paraId="4BCFEB4D" w14:textId="77777777" w:rsidR="00670714" w:rsidRPr="00F76CD4" w:rsidRDefault="00670714" w:rsidP="00F76CD4">
      <w:pPr>
        <w:rPr>
          <w:rtl/>
        </w:rPr>
      </w:pPr>
    </w:p>
    <w:p w14:paraId="0282B9D3" w14:textId="77777777" w:rsidR="00D155DD" w:rsidRPr="00F76CD4" w:rsidRDefault="00D155DD" w:rsidP="00F76CD4">
      <w:pPr>
        <w:rPr>
          <w:rtl/>
        </w:rPr>
      </w:pPr>
      <w:r w:rsidRPr="00F76CD4">
        <w:rPr>
          <w:rFonts w:hint="cs"/>
          <w:rtl/>
        </w:rPr>
        <w:t xml:space="preserve">א. </w:t>
      </w:r>
      <w:r w:rsidR="00670714" w:rsidRPr="00F76CD4">
        <w:rPr>
          <w:rFonts w:hint="cs"/>
          <w:rtl/>
        </w:rPr>
        <w:t>350 שעות לתועלת הציבור לפי התכנית ש</w:t>
      </w:r>
      <w:r w:rsidR="00D46617" w:rsidRPr="00F76CD4">
        <w:rPr>
          <w:rFonts w:hint="cs"/>
          <w:rtl/>
        </w:rPr>
        <w:t>י</w:t>
      </w:r>
      <w:r w:rsidR="00670714" w:rsidRPr="00F76CD4">
        <w:rPr>
          <w:rFonts w:hint="cs"/>
          <w:rtl/>
        </w:rPr>
        <w:t xml:space="preserve">ציג שירות המבחן. </w:t>
      </w:r>
    </w:p>
    <w:p w14:paraId="6C1F86C0" w14:textId="77777777" w:rsidR="00D155DD" w:rsidRPr="00F76CD4" w:rsidRDefault="00D155DD" w:rsidP="00F76CD4">
      <w:pPr>
        <w:rPr>
          <w:rtl/>
        </w:rPr>
      </w:pPr>
    </w:p>
    <w:p w14:paraId="10816F50" w14:textId="77777777" w:rsidR="00D155DD" w:rsidRPr="00F76CD4" w:rsidRDefault="00670714" w:rsidP="00F76CD4">
      <w:pPr>
        <w:rPr>
          <w:rtl/>
        </w:rPr>
      </w:pPr>
      <w:r w:rsidRPr="00F76CD4">
        <w:rPr>
          <w:rFonts w:hint="cs"/>
          <w:rtl/>
        </w:rPr>
        <w:t xml:space="preserve">עותק לשירות </w:t>
      </w:r>
      <w:r w:rsidR="00A26130" w:rsidRPr="00F76CD4">
        <w:rPr>
          <w:rFonts w:hint="cs"/>
          <w:rtl/>
        </w:rPr>
        <w:t>המבחן.</w:t>
      </w:r>
      <w:r w:rsidR="00DF7CFB" w:rsidRPr="00F76CD4">
        <w:rPr>
          <w:rFonts w:hint="cs"/>
          <w:rtl/>
        </w:rPr>
        <w:t xml:space="preserve"> </w:t>
      </w:r>
    </w:p>
    <w:p w14:paraId="50980855" w14:textId="77777777" w:rsidR="00D155DD" w:rsidRPr="00F76CD4" w:rsidRDefault="00D155DD" w:rsidP="00F76CD4">
      <w:pPr>
        <w:rPr>
          <w:rtl/>
        </w:rPr>
      </w:pPr>
    </w:p>
    <w:p w14:paraId="73848E86" w14:textId="77777777" w:rsidR="00670714" w:rsidRPr="00F76CD4" w:rsidRDefault="00DF7CFB" w:rsidP="00F76CD4">
      <w:pPr>
        <w:rPr>
          <w:rtl/>
        </w:rPr>
      </w:pPr>
      <w:r w:rsidRPr="00F76CD4">
        <w:rPr>
          <w:rFonts w:hint="cs"/>
          <w:rtl/>
        </w:rPr>
        <w:t>הנאשם מוזהר, כי אם לא יבצע את השעות לתו</w:t>
      </w:r>
      <w:r w:rsidR="00D155DD" w:rsidRPr="00F76CD4">
        <w:rPr>
          <w:rFonts w:hint="cs"/>
          <w:rtl/>
        </w:rPr>
        <w:t>עלת הציבור אזי ניתן להשיבו לבית-</w:t>
      </w:r>
      <w:r w:rsidRPr="00F76CD4">
        <w:rPr>
          <w:rFonts w:hint="cs"/>
          <w:rtl/>
        </w:rPr>
        <w:t>המשפט ולגזור את עונשו מלכתחילה.</w:t>
      </w:r>
    </w:p>
    <w:p w14:paraId="3F5CAF3A" w14:textId="77777777" w:rsidR="00A26130" w:rsidRPr="00F76CD4" w:rsidRDefault="00A26130" w:rsidP="00F76CD4">
      <w:pPr>
        <w:rPr>
          <w:rtl/>
        </w:rPr>
      </w:pPr>
    </w:p>
    <w:p w14:paraId="61BB2A58" w14:textId="77777777" w:rsidR="00A26130" w:rsidRPr="00F76CD4" w:rsidRDefault="00A26130" w:rsidP="00F76CD4">
      <w:pPr>
        <w:rPr>
          <w:rtl/>
        </w:rPr>
      </w:pPr>
      <w:r w:rsidRPr="00F76CD4">
        <w:rPr>
          <w:rFonts w:hint="cs"/>
          <w:rtl/>
        </w:rPr>
        <w:t xml:space="preserve">ב. 3 חודשי מאסר שאותם לא ירצה הנאשם, אלא אם </w:t>
      </w:r>
      <w:r w:rsidR="00646263" w:rsidRPr="00F76CD4">
        <w:rPr>
          <w:rFonts w:hint="cs"/>
          <w:rtl/>
        </w:rPr>
        <w:t>כן יעבור בתוך 3 שנים מהיום אחת מן העבירות</w:t>
      </w:r>
      <w:r w:rsidRPr="00F76CD4">
        <w:rPr>
          <w:rFonts w:hint="cs"/>
          <w:rtl/>
        </w:rPr>
        <w:t xml:space="preserve"> בה</w:t>
      </w:r>
      <w:r w:rsidR="00646263" w:rsidRPr="00F76CD4">
        <w:rPr>
          <w:rFonts w:hint="cs"/>
          <w:rtl/>
        </w:rPr>
        <w:t>ן</w:t>
      </w:r>
      <w:r w:rsidRPr="00F76CD4">
        <w:rPr>
          <w:rFonts w:hint="cs"/>
          <w:rtl/>
        </w:rPr>
        <w:t xml:space="preserve"> הורשע. </w:t>
      </w:r>
    </w:p>
    <w:p w14:paraId="64546FD9" w14:textId="77777777" w:rsidR="00670714" w:rsidRPr="00F76CD4" w:rsidRDefault="00670714" w:rsidP="00F76CD4">
      <w:pPr>
        <w:rPr>
          <w:rtl/>
        </w:rPr>
      </w:pPr>
    </w:p>
    <w:p w14:paraId="1653B7AB" w14:textId="77777777" w:rsidR="005425CF" w:rsidRPr="00F76CD4" w:rsidRDefault="005425CF" w:rsidP="00F76CD4">
      <w:pPr>
        <w:rPr>
          <w:rtl/>
        </w:rPr>
      </w:pPr>
      <w:r w:rsidRPr="00F76CD4">
        <w:rPr>
          <w:rFonts w:hint="cs"/>
          <w:rtl/>
        </w:rPr>
        <w:t>זכות ערעור לבית-המשפט המחוזי מרכז/לוד בתוך 45 ימים.</w:t>
      </w:r>
    </w:p>
    <w:p w14:paraId="24B9DAD0" w14:textId="77777777" w:rsidR="00CA70C7" w:rsidRPr="00F76CD4" w:rsidRDefault="00CA70C7" w:rsidP="00F76CD4">
      <w:pPr>
        <w:rPr>
          <w:rtl/>
        </w:rPr>
      </w:pPr>
    </w:p>
    <w:p w14:paraId="090C202D" w14:textId="77777777" w:rsidR="00A26130" w:rsidRPr="00F76CD4" w:rsidRDefault="00A26130" w:rsidP="00F76CD4">
      <w:pPr>
        <w:rPr>
          <w:rtl/>
        </w:rPr>
      </w:pPr>
      <w:r w:rsidRPr="00F76CD4">
        <w:rPr>
          <w:rFonts w:hint="cs"/>
          <w:rtl/>
        </w:rPr>
        <w:t>צו כללי למוצגים.</w:t>
      </w:r>
    </w:p>
    <w:p w14:paraId="313B242F" w14:textId="77777777" w:rsidR="00CA70C7" w:rsidRPr="00F76CD4" w:rsidRDefault="00CA70C7" w:rsidP="00F76CD4">
      <w:pPr>
        <w:rPr>
          <w:rtl/>
        </w:rPr>
      </w:pPr>
    </w:p>
    <w:p w14:paraId="44E7DDA4" w14:textId="77777777" w:rsidR="00507694" w:rsidRPr="00F76CD4" w:rsidRDefault="00A26130" w:rsidP="00F76CD4">
      <w:pPr>
        <w:rPr>
          <w:rtl/>
        </w:rPr>
      </w:pPr>
      <w:r w:rsidRPr="00F76CD4">
        <w:rPr>
          <w:rFonts w:hint="cs"/>
          <w:rtl/>
        </w:rPr>
        <w:t>התיק סגור.</w:t>
      </w:r>
    </w:p>
    <w:p w14:paraId="0E2EA9C2" w14:textId="77777777" w:rsidR="00D155DD" w:rsidRPr="00F76CD4" w:rsidRDefault="00D155DD" w:rsidP="00F76CD4">
      <w:pPr>
        <w:rPr>
          <w:rtl/>
        </w:rPr>
      </w:pPr>
    </w:p>
    <w:p w14:paraId="2F332E66" w14:textId="77777777" w:rsidR="00507694" w:rsidRPr="00F76CD4" w:rsidRDefault="00507694" w:rsidP="00F76CD4">
      <w:pPr>
        <w:rPr>
          <w:rtl/>
        </w:rPr>
      </w:pPr>
    </w:p>
    <w:p w14:paraId="5987DE5D" w14:textId="01152C9D" w:rsidR="00ED4465" w:rsidRPr="00F76CD4" w:rsidRDefault="00684E84" w:rsidP="00F76CD4">
      <w:pPr>
        <w:rPr>
          <w:rtl/>
        </w:rPr>
      </w:pPr>
      <w:r w:rsidRPr="00F76CD4">
        <w:rPr>
          <w:rtl/>
        </w:rPr>
        <w:t xml:space="preserve">ניתן היום,  </w:t>
      </w:r>
      <w:r w:rsidRPr="00F76CD4">
        <w:rPr>
          <w:rFonts w:hint="cs"/>
          <w:rtl/>
        </w:rPr>
        <w:t>י"ד שבט תשפ"ה</w:t>
      </w:r>
      <w:r w:rsidRPr="00F76CD4">
        <w:rPr>
          <w:rtl/>
        </w:rPr>
        <w:t xml:space="preserve">, </w:t>
      </w:r>
      <w:r w:rsidRPr="00F76CD4">
        <w:rPr>
          <w:rFonts w:hint="cs"/>
          <w:rtl/>
        </w:rPr>
        <w:t>12 פברואר 2025</w:t>
      </w:r>
      <w:r w:rsidRPr="00F76CD4">
        <w:rPr>
          <w:rtl/>
        </w:rPr>
        <w:t>, ב</w:t>
      </w:r>
      <w:r w:rsidR="000A5C7E" w:rsidRPr="00F76CD4">
        <w:rPr>
          <w:rFonts w:hint="cs"/>
          <w:rtl/>
        </w:rPr>
        <w:t>מעמד</w:t>
      </w:r>
      <w:r w:rsidRPr="00F76CD4">
        <w:rPr>
          <w:rtl/>
        </w:rPr>
        <w:t xml:space="preserve"> הצדדים.</w:t>
      </w:r>
    </w:p>
    <w:p w14:paraId="4C6A716C" w14:textId="77777777" w:rsidR="00D155DD" w:rsidRPr="00F76CD4" w:rsidRDefault="00D155DD" w:rsidP="00F76CD4">
      <w:pPr>
        <w:rPr>
          <w:rtl/>
        </w:rPr>
      </w:pPr>
    </w:p>
    <w:p w14:paraId="2A8E1BB2" w14:textId="1AFE62A5" w:rsidR="00507694" w:rsidRPr="00F76CD4" w:rsidRDefault="00ED4465" w:rsidP="00F76CD4">
      <w:pPr>
        <w:rPr>
          <w:rtl/>
        </w:rPr>
      </w:pPr>
      <w:r w:rsidRPr="00F76CD4">
        <w:rPr>
          <w:rtl/>
        </w:rPr>
        <w:tab/>
      </w:r>
      <w:r w:rsidRPr="00F76CD4">
        <w:rPr>
          <w:rtl/>
        </w:rPr>
        <w:tab/>
      </w:r>
      <w:r w:rsidRPr="00F76CD4">
        <w:rPr>
          <w:rtl/>
        </w:rPr>
        <w:tab/>
      </w:r>
      <w:r w:rsidRPr="00F76CD4">
        <w:rPr>
          <w:rtl/>
        </w:rPr>
        <w:tab/>
      </w:r>
      <w:r w:rsidRPr="00F76CD4">
        <w:rPr>
          <w:rtl/>
        </w:rPr>
        <w:tab/>
      </w:r>
      <w:r w:rsidRPr="00F76CD4">
        <w:rPr>
          <w:rtl/>
        </w:rPr>
        <w:tab/>
      </w:r>
      <w:r w:rsidRPr="00F76CD4">
        <w:rPr>
          <w:rtl/>
        </w:rPr>
        <w:tab/>
      </w:r>
      <w:r w:rsidRPr="00F76CD4">
        <w:rPr>
          <w:rFonts w:hint="cs"/>
          <w:rtl/>
        </w:rPr>
        <w:t xml:space="preserve">     </w:t>
      </w:r>
    </w:p>
    <w:p w14:paraId="28C93EE0" w14:textId="5AD42118" w:rsidR="00507694" w:rsidRPr="00F76CD4" w:rsidRDefault="003E0C9F" w:rsidP="00F76CD4">
      <w:r w:rsidRPr="00F76CD4">
        <w:rPr>
          <w:rtl/>
        </w:rPr>
        <w:t xml:space="preserve">   </w:t>
      </w:r>
      <w:r w:rsidRPr="00F76CD4">
        <w:rPr>
          <w:rtl/>
        </w:rPr>
        <w:tab/>
      </w:r>
      <w:r w:rsidRPr="00F76CD4">
        <w:rPr>
          <w:rtl/>
        </w:rPr>
        <w:tab/>
      </w:r>
      <w:r w:rsidRPr="00F76CD4">
        <w:rPr>
          <w:rtl/>
        </w:rPr>
        <w:tab/>
      </w:r>
      <w:r w:rsidRPr="00F76CD4">
        <w:rPr>
          <w:rtl/>
        </w:rPr>
        <w:tab/>
      </w:r>
      <w:r w:rsidRPr="00F76CD4">
        <w:rPr>
          <w:rtl/>
        </w:rPr>
        <w:tab/>
      </w:r>
      <w:r w:rsidR="00C92D9B" w:rsidRPr="00F76CD4">
        <w:drawing>
          <wp:inline distT="0" distB="0" distL="0" distR="0" wp14:anchorId="24FBF294" wp14:editId="7095EBAF">
            <wp:extent cx="1497563" cy="50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12" cstate="print"/>
                    <a:stretch>
                      <a:fillRect/>
                    </a:stretch>
                  </pic:blipFill>
                  <pic:spPr>
                    <a:xfrm>
                      <a:off x="0" y="0"/>
                      <a:ext cx="1497563" cy="509000"/>
                    </a:xfrm>
                    <a:prstGeom prst="rect">
                      <a:avLst/>
                    </a:prstGeom>
                  </pic:spPr>
                </pic:pic>
              </a:graphicData>
            </a:graphic>
          </wp:inline>
        </w:drawing>
      </w:r>
    </w:p>
    <w:p w14:paraId="4B7DEE97" w14:textId="77777777" w:rsidR="00507694" w:rsidRPr="00F76CD4" w:rsidRDefault="00507694" w:rsidP="00F76CD4">
      <w:pPr>
        <w:rPr>
          <w:rtl/>
        </w:rPr>
      </w:pPr>
    </w:p>
    <w:sectPr w:rsidR="00507694" w:rsidRPr="00F76CD4" w:rsidSect="00507694">
      <w:headerReference w:type="even" r:id="rId13"/>
      <w:headerReference w:type="default" r:id="rId14"/>
      <w:footerReference w:type="even" r:id="rId15"/>
      <w:footerReference w:type="default" r:id="rId16"/>
      <w:headerReference w:type="first" r:id="rId17"/>
      <w:footerReference w:type="first" r:id="rId18"/>
      <w:pgSz w:w="11907" w:h="16840" w:code="9"/>
      <w:pgMar w:top="244" w:right="1701" w:bottom="2552" w:left="1701" w:header="187" w:footer="720" w:gutter="0"/>
      <w:cols w:space="720"/>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CC490" w14:textId="77777777" w:rsidR="00C6533E" w:rsidRDefault="00C6533E">
      <w:r>
        <w:separator/>
      </w:r>
    </w:p>
  </w:endnote>
  <w:endnote w:type="continuationSeparator" w:id="0">
    <w:p w14:paraId="21B4BBD3" w14:textId="77777777" w:rsidR="00C6533E" w:rsidRDefault="00C6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W1)">
    <w:altName w:val="Times New Roman"/>
    <w:charset w:val="00"/>
    <w:family w:val="roman"/>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Monotype Hadassah">
    <w:altName w:val="Arial"/>
    <w:charset w:val="B1"/>
    <w:family w:val="auto"/>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C6E4" w14:textId="77777777" w:rsidR="00BD67E7" w:rsidRDefault="0006726A" w:rsidP="007D46DD">
    <w:pPr>
      <w:pStyle w:val="a4"/>
      <w:framePr w:wrap="around" w:vAnchor="text" w:hAnchor="text" w:y="1"/>
      <w:rPr>
        <w:rStyle w:val="a9"/>
      </w:rPr>
    </w:pPr>
    <w:r>
      <w:rPr>
        <w:rStyle w:val="a9"/>
        <w:rtl/>
      </w:rPr>
      <w:fldChar w:fldCharType="begin"/>
    </w:r>
    <w:r w:rsidR="00BD67E7">
      <w:rPr>
        <w:rStyle w:val="a9"/>
      </w:rPr>
      <w:instrText xml:space="preserve">PAGE  </w:instrText>
    </w:r>
    <w:r>
      <w:rPr>
        <w:rStyle w:val="a9"/>
        <w:rtl/>
      </w:rPr>
      <w:fldChar w:fldCharType="end"/>
    </w:r>
  </w:p>
  <w:p w14:paraId="4DFE028D" w14:textId="77777777" w:rsidR="00BD67E7" w:rsidRDefault="00BD67E7" w:rsidP="00BD67E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E4D4" w14:textId="77777777" w:rsidR="00BD67E7" w:rsidRDefault="00BD67E7" w:rsidP="00BD67E7">
    <w:pPr>
      <w:pStyle w:val="a4"/>
      <w:ind w:right="360"/>
      <w:jc w:val="center"/>
    </w:pPr>
    <w:r>
      <w:rPr>
        <w:rtl/>
      </w:rPr>
      <w:t>עמוד</w:t>
    </w:r>
    <w:r>
      <w:t xml:space="preserve"> </w:t>
    </w:r>
    <w:r w:rsidR="0006726A">
      <w:fldChar w:fldCharType="begin"/>
    </w:r>
    <w:r>
      <w:instrText xml:space="preserve"> PAGE </w:instrText>
    </w:r>
    <w:r w:rsidR="0006726A">
      <w:fldChar w:fldCharType="separate"/>
    </w:r>
    <w:r w:rsidR="00C92D9B">
      <w:rPr>
        <w:noProof/>
        <w:rtl/>
      </w:rPr>
      <w:t>1</w:t>
    </w:r>
    <w:r w:rsidR="0006726A">
      <w:fldChar w:fldCharType="end"/>
    </w:r>
    <w:r>
      <w:t xml:space="preserve"> </w:t>
    </w:r>
    <w:r>
      <w:rPr>
        <w:rtl/>
      </w:rPr>
      <w:t>מתוך</w:t>
    </w:r>
    <w:r>
      <w:t xml:space="preserve"> </w:t>
    </w:r>
    <w:r w:rsidR="0006726A">
      <w:fldChar w:fldCharType="begin"/>
    </w:r>
    <w:r>
      <w:instrText xml:space="preserve"> NUMPAGES </w:instrText>
    </w:r>
    <w:r w:rsidR="0006726A">
      <w:fldChar w:fldCharType="separate"/>
    </w:r>
    <w:r w:rsidR="00C92D9B">
      <w:rPr>
        <w:noProof/>
        <w:rtl/>
      </w:rPr>
      <w:t>16</w:t>
    </w:r>
    <w:r w:rsidR="000672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0E99" w14:textId="77777777" w:rsidR="00C92D9B" w:rsidRDefault="00C92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95F8" w14:textId="77777777" w:rsidR="00C6533E" w:rsidRDefault="00C6533E">
      <w:r>
        <w:separator/>
      </w:r>
    </w:p>
  </w:footnote>
  <w:footnote w:type="continuationSeparator" w:id="0">
    <w:p w14:paraId="498B7B69" w14:textId="77777777" w:rsidR="00C6533E" w:rsidRDefault="00C6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4301" w14:textId="77777777" w:rsidR="00C92D9B" w:rsidRDefault="00C92D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A76B" w14:textId="77777777" w:rsidR="00507694" w:rsidRDefault="005C7B0B">
    <w:pPr>
      <w:pStyle w:val="a3"/>
      <w:jc w:val="center"/>
      <w:rPr>
        <w:rFonts w:cs="FrankRuehl"/>
        <w:sz w:val="28"/>
        <w:szCs w:val="28"/>
        <w:rtl/>
      </w:rPr>
    </w:pPr>
    <w:r>
      <w:rPr>
        <w:rFonts w:cs="FrankRuehl"/>
        <w:noProof/>
        <w:sz w:val="28"/>
        <w:szCs w:val="28"/>
      </w:rPr>
      <w:drawing>
        <wp:inline distT="0" distB="0" distL="0" distR="0" wp14:anchorId="562E94C1" wp14:editId="540DA5C0">
          <wp:extent cx="371475" cy="466725"/>
          <wp:effectExtent l="0" t="0" r="9525" b="9525"/>
          <wp:docPr id="3"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36"/>
      <w:gridCol w:w="3569"/>
    </w:tblGrid>
    <w:tr w:rsidR="00507694" w14:paraId="5A44A497" w14:textId="77777777">
      <w:trPr>
        <w:trHeight w:hRule="exact" w:val="418"/>
        <w:jc w:val="center"/>
      </w:trPr>
      <w:sdt>
        <w:sdtPr>
          <w:rPr>
            <w:rtl/>
          </w:rPr>
          <w:alias w:val="1174"/>
          <w:tag w:val="1174"/>
          <w:id w:val="-140351139"/>
          <w:text/>
        </w:sdtPr>
        <w:sdtContent>
          <w:tc>
            <w:tcPr>
              <w:tcW w:w="8861" w:type="dxa"/>
              <w:gridSpan w:val="2"/>
            </w:tcPr>
            <w:p w14:paraId="1E2A5D29" w14:textId="77777777" w:rsidR="00507694" w:rsidRDefault="00684E84">
              <w:pPr>
                <w:pStyle w:val="a3"/>
                <w:jc w:val="center"/>
                <w:rPr>
                  <w:rFonts w:ascii="Tahoma" w:hAnsi="Tahoma" w:cs="Tahoma"/>
                  <w:color w:val="000080"/>
                  <w:rtl/>
                </w:rPr>
              </w:pPr>
              <w:r>
                <w:rPr>
                  <w:rFonts w:ascii="Tahoma" w:hAnsi="Tahoma" w:cs="Tahoma"/>
                  <w:b/>
                  <w:bCs/>
                  <w:color w:val="000080"/>
                  <w:rtl/>
                </w:rPr>
                <w:t>בית משפט השלום בראשון לציון</w:t>
              </w:r>
            </w:p>
          </w:tc>
        </w:sdtContent>
      </w:sdt>
    </w:tr>
    <w:tr w:rsidR="00507694" w14:paraId="4FAD731F" w14:textId="77777777">
      <w:trPr>
        <w:trHeight w:val="337"/>
        <w:jc w:val="center"/>
      </w:trPr>
      <w:tc>
        <w:tcPr>
          <w:tcW w:w="5131" w:type="dxa"/>
        </w:tcPr>
        <w:p w14:paraId="166B25A0" w14:textId="77777777" w:rsidR="00507694" w:rsidRDefault="00000000">
          <w:pPr>
            <w:rPr>
              <w:rFonts w:cs="FrankRuehl"/>
              <w:sz w:val="28"/>
              <w:szCs w:val="28"/>
              <w:rtl/>
            </w:rPr>
          </w:pPr>
          <w:sdt>
            <w:sdtPr>
              <w:rPr>
                <w:rtl/>
              </w:rPr>
              <w:alias w:val="1170"/>
              <w:tag w:val="1170"/>
              <w:id w:val="2112628154"/>
              <w:text w:multiLine="1"/>
            </w:sdtPr>
            <w:sdtContent>
              <w:r w:rsidR="005E512F">
                <w:rPr>
                  <w:rFonts w:cs="FrankRuehl"/>
                  <w:sz w:val="28"/>
                  <w:szCs w:val="28"/>
                  <w:rtl/>
                </w:rPr>
                <w:t>ת"פ</w:t>
              </w:r>
            </w:sdtContent>
          </w:sdt>
          <w:r w:rsidR="00684E84">
            <w:rPr>
              <w:rFonts w:cs="FrankRuehl" w:hint="cs"/>
              <w:sz w:val="28"/>
              <w:szCs w:val="28"/>
              <w:rtl/>
            </w:rPr>
            <w:t xml:space="preserve"> </w:t>
          </w:r>
          <w:sdt>
            <w:sdtPr>
              <w:rPr>
                <w:rtl/>
              </w:rPr>
              <w:alias w:val="1171"/>
              <w:tag w:val="1171"/>
              <w:id w:val="-1870053316"/>
              <w:text w:multiLine="1"/>
            </w:sdtPr>
            <w:sdtContent>
              <w:r w:rsidR="005E512F">
                <w:rPr>
                  <w:rFonts w:cs="FrankRuehl"/>
                  <w:sz w:val="28"/>
                  <w:szCs w:val="28"/>
                  <w:rtl/>
                </w:rPr>
                <w:t>8182-04-23</w:t>
              </w:r>
            </w:sdtContent>
          </w:sdt>
          <w:r w:rsidR="00684E84">
            <w:rPr>
              <w:rFonts w:cs="FrankRuehl" w:hint="cs"/>
              <w:sz w:val="28"/>
              <w:szCs w:val="28"/>
              <w:rtl/>
            </w:rPr>
            <w:t xml:space="preserve"> </w:t>
          </w:r>
          <w:sdt>
            <w:sdtPr>
              <w:rPr>
                <w:rtl/>
              </w:rPr>
              <w:alias w:val="1172"/>
              <w:tag w:val="1172"/>
              <w:id w:val="-2143494014"/>
              <w:text w:multiLine="1"/>
            </w:sdtPr>
            <w:sdtContent>
              <w:r w:rsidR="005E512F">
                <w:rPr>
                  <w:rFonts w:cs="FrankRuehl"/>
                  <w:sz w:val="28"/>
                  <w:szCs w:val="28"/>
                  <w:rtl/>
                </w:rPr>
                <w:t xml:space="preserve">מדינת ישראל נ' </w:t>
              </w:r>
              <w:proofErr w:type="spellStart"/>
              <w:r w:rsidR="005E512F">
                <w:rPr>
                  <w:rFonts w:cs="FrankRuehl"/>
                  <w:sz w:val="28"/>
                  <w:szCs w:val="28"/>
                  <w:rtl/>
                </w:rPr>
                <w:t>בביצקי</w:t>
              </w:r>
              <w:proofErr w:type="spellEnd"/>
            </w:sdtContent>
          </w:sdt>
        </w:p>
        <w:p w14:paraId="278F2CC4" w14:textId="77777777" w:rsidR="00507694" w:rsidRDefault="00507694">
          <w:pPr>
            <w:pStyle w:val="a3"/>
            <w:rPr>
              <w:rFonts w:cs="FrankRuehl"/>
              <w:sz w:val="28"/>
              <w:szCs w:val="28"/>
              <w:rtl/>
            </w:rPr>
          </w:pPr>
        </w:p>
      </w:tc>
      <w:tc>
        <w:tcPr>
          <w:tcW w:w="3730" w:type="dxa"/>
        </w:tcPr>
        <w:p w14:paraId="3AB5132D" w14:textId="77777777" w:rsidR="00507694" w:rsidRDefault="00507694">
          <w:pPr>
            <w:pStyle w:val="a3"/>
            <w:jc w:val="right"/>
            <w:rPr>
              <w:rFonts w:cs="FrankRuehl"/>
              <w:sz w:val="28"/>
              <w:szCs w:val="28"/>
              <w:rtl/>
            </w:rPr>
          </w:pPr>
        </w:p>
      </w:tc>
    </w:tr>
  </w:tbl>
  <w:p w14:paraId="4C265AEE" w14:textId="77777777" w:rsidR="00507694" w:rsidRDefault="00684E84">
    <w:pPr>
      <w:pStyle w:val="a3"/>
      <w:rPr>
        <w:rtl/>
      </w:rPr>
    </w:pP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E3BC" w14:textId="77777777" w:rsidR="00C92D9B" w:rsidRDefault="00C92D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F5203"/>
    <w:multiLevelType w:val="hybridMultilevel"/>
    <w:tmpl w:val="13FC0D5A"/>
    <w:lvl w:ilvl="0" w:tplc="86641988">
      <w:start w:val="1"/>
      <w:numFmt w:val="decimal"/>
      <w:lvlText w:val="%1."/>
      <w:lvlJc w:val="left"/>
      <w:pPr>
        <w:tabs>
          <w:tab w:val="num" w:pos="1080"/>
        </w:tabs>
        <w:ind w:left="1080" w:hanging="720"/>
      </w:pPr>
      <w:rPr>
        <w:rFonts w:ascii="Times New (W1)" w:hAnsi="Times New (W1)" w:cs="Times New (W1)"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525919"/>
    <w:multiLevelType w:val="hybridMultilevel"/>
    <w:tmpl w:val="06181E58"/>
    <w:lvl w:ilvl="0" w:tplc="0F5A3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76D31"/>
    <w:multiLevelType w:val="hybridMultilevel"/>
    <w:tmpl w:val="DA98BC58"/>
    <w:lvl w:ilvl="0" w:tplc="F3386F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104BA"/>
    <w:multiLevelType w:val="hybridMultilevel"/>
    <w:tmpl w:val="735295CA"/>
    <w:lvl w:ilvl="0" w:tplc="0C60F9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B5CE5"/>
    <w:multiLevelType w:val="hybridMultilevel"/>
    <w:tmpl w:val="901E528C"/>
    <w:lvl w:ilvl="0" w:tplc="3474CFC0">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904CE0"/>
    <w:multiLevelType w:val="hybridMultilevel"/>
    <w:tmpl w:val="CA6665EA"/>
    <w:lvl w:ilvl="0" w:tplc="57AAA176">
      <w:start w:val="1"/>
      <w:numFmt w:val="hebrew1"/>
      <w:lvlText w:val="%1."/>
      <w:lvlJc w:val="left"/>
      <w:pPr>
        <w:ind w:left="975" w:hanging="61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643789">
    <w:abstractNumId w:val="4"/>
  </w:num>
  <w:num w:numId="2" w16cid:durableId="327102694">
    <w:abstractNumId w:val="0"/>
  </w:num>
  <w:num w:numId="3" w16cid:durableId="1815219840">
    <w:abstractNumId w:val="3"/>
  </w:num>
  <w:num w:numId="4" w16cid:durableId="1198816556">
    <w:abstractNumId w:val="2"/>
  </w:num>
  <w:num w:numId="5" w16cid:durableId="1658148691">
    <w:abstractNumId w:val="1"/>
  </w:num>
  <w:num w:numId="6" w16cid:durableId="319315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694"/>
    <w:rsid w:val="0000752B"/>
    <w:rsid w:val="00031F8A"/>
    <w:rsid w:val="000454A8"/>
    <w:rsid w:val="00054FC4"/>
    <w:rsid w:val="0006726A"/>
    <w:rsid w:val="000A5C7E"/>
    <w:rsid w:val="000A5F6A"/>
    <w:rsid w:val="000F2247"/>
    <w:rsid w:val="000F68F9"/>
    <w:rsid w:val="00100577"/>
    <w:rsid w:val="001232EA"/>
    <w:rsid w:val="001352F8"/>
    <w:rsid w:val="001406CF"/>
    <w:rsid w:val="00152462"/>
    <w:rsid w:val="00187CE8"/>
    <w:rsid w:val="001A6BD1"/>
    <w:rsid w:val="001A7C6A"/>
    <w:rsid w:val="001D7245"/>
    <w:rsid w:val="001F53D8"/>
    <w:rsid w:val="00211663"/>
    <w:rsid w:val="00212125"/>
    <w:rsid w:val="00224AC0"/>
    <w:rsid w:val="00250D34"/>
    <w:rsid w:val="0029406D"/>
    <w:rsid w:val="002B7D23"/>
    <w:rsid w:val="002C160D"/>
    <w:rsid w:val="002D6C61"/>
    <w:rsid w:val="002F5235"/>
    <w:rsid w:val="00367565"/>
    <w:rsid w:val="003814BC"/>
    <w:rsid w:val="003A6946"/>
    <w:rsid w:val="003B02A3"/>
    <w:rsid w:val="003D7D8A"/>
    <w:rsid w:val="003E0C9F"/>
    <w:rsid w:val="004215DC"/>
    <w:rsid w:val="0044747E"/>
    <w:rsid w:val="004902D6"/>
    <w:rsid w:val="004B77AA"/>
    <w:rsid w:val="00507694"/>
    <w:rsid w:val="00530A9F"/>
    <w:rsid w:val="005425CF"/>
    <w:rsid w:val="005C7B0B"/>
    <w:rsid w:val="005D1DFF"/>
    <w:rsid w:val="005E0C05"/>
    <w:rsid w:val="005E512F"/>
    <w:rsid w:val="005E7B41"/>
    <w:rsid w:val="00646263"/>
    <w:rsid w:val="00670714"/>
    <w:rsid w:val="00683ABD"/>
    <w:rsid w:val="00684E84"/>
    <w:rsid w:val="006C2095"/>
    <w:rsid w:val="006D068A"/>
    <w:rsid w:val="006E3347"/>
    <w:rsid w:val="00706644"/>
    <w:rsid w:val="00725A1A"/>
    <w:rsid w:val="00757983"/>
    <w:rsid w:val="00773AC0"/>
    <w:rsid w:val="007A0BE5"/>
    <w:rsid w:val="007B2615"/>
    <w:rsid w:val="007B474A"/>
    <w:rsid w:val="007C75A2"/>
    <w:rsid w:val="00810867"/>
    <w:rsid w:val="00821F29"/>
    <w:rsid w:val="00822550"/>
    <w:rsid w:val="00827450"/>
    <w:rsid w:val="00832D73"/>
    <w:rsid w:val="008819B4"/>
    <w:rsid w:val="00884DF4"/>
    <w:rsid w:val="00895DD7"/>
    <w:rsid w:val="008A3A13"/>
    <w:rsid w:val="008F30BF"/>
    <w:rsid w:val="00905D44"/>
    <w:rsid w:val="0094610F"/>
    <w:rsid w:val="00947B38"/>
    <w:rsid w:val="009705CC"/>
    <w:rsid w:val="00985985"/>
    <w:rsid w:val="009A730D"/>
    <w:rsid w:val="009B53F2"/>
    <w:rsid w:val="009E35A7"/>
    <w:rsid w:val="009E49A1"/>
    <w:rsid w:val="009F2441"/>
    <w:rsid w:val="009F504D"/>
    <w:rsid w:val="00A26130"/>
    <w:rsid w:val="00A504C4"/>
    <w:rsid w:val="00AB013B"/>
    <w:rsid w:val="00B05847"/>
    <w:rsid w:val="00B22E0A"/>
    <w:rsid w:val="00B56780"/>
    <w:rsid w:val="00B96ED7"/>
    <w:rsid w:val="00BB4016"/>
    <w:rsid w:val="00BC2258"/>
    <w:rsid w:val="00BD67E7"/>
    <w:rsid w:val="00BE0015"/>
    <w:rsid w:val="00C02463"/>
    <w:rsid w:val="00C069A7"/>
    <w:rsid w:val="00C14074"/>
    <w:rsid w:val="00C45023"/>
    <w:rsid w:val="00C55E62"/>
    <w:rsid w:val="00C572E8"/>
    <w:rsid w:val="00C6415B"/>
    <w:rsid w:val="00C6533E"/>
    <w:rsid w:val="00C92D9B"/>
    <w:rsid w:val="00CA70C7"/>
    <w:rsid w:val="00CB3C06"/>
    <w:rsid w:val="00CE317E"/>
    <w:rsid w:val="00D155DD"/>
    <w:rsid w:val="00D202F4"/>
    <w:rsid w:val="00D24938"/>
    <w:rsid w:val="00D24A42"/>
    <w:rsid w:val="00D3203D"/>
    <w:rsid w:val="00D45966"/>
    <w:rsid w:val="00D4640B"/>
    <w:rsid w:val="00D46617"/>
    <w:rsid w:val="00D51622"/>
    <w:rsid w:val="00DF7CFB"/>
    <w:rsid w:val="00E14869"/>
    <w:rsid w:val="00E308DD"/>
    <w:rsid w:val="00E4668F"/>
    <w:rsid w:val="00E47BFD"/>
    <w:rsid w:val="00E70F9C"/>
    <w:rsid w:val="00EC7E93"/>
    <w:rsid w:val="00ED4465"/>
    <w:rsid w:val="00EF22CB"/>
    <w:rsid w:val="00F20F96"/>
    <w:rsid w:val="00F52A7B"/>
    <w:rsid w:val="00F6105C"/>
    <w:rsid w:val="00F75AFC"/>
    <w:rsid w:val="00F76CD4"/>
    <w:rsid w:val="00FD7CF9"/>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76E3"/>
  <w15:docId w15:val="{EBBF236C-5AEA-4753-8B68-F6E1D726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7B41"/>
    <w:pPr>
      <w:bidi/>
    </w:pPr>
    <w:rPr>
      <w:rFonts w:cs="David"/>
      <w:sz w:val="24"/>
      <w:szCs w:val="24"/>
    </w:rPr>
  </w:style>
  <w:style w:type="paragraph" w:styleId="1">
    <w:name w:val="heading 1"/>
    <w:basedOn w:val="a"/>
    <w:next w:val="a"/>
    <w:qFormat/>
    <w:rsid w:val="003A7B41"/>
    <w:pPr>
      <w:keepNext/>
      <w:spacing w:before="240" w:after="60"/>
      <w:outlineLvl w:val="0"/>
    </w:pPr>
    <w:rPr>
      <w:rFonts w:ascii="Arial" w:hAnsi="Arial" w:cs="Arial"/>
      <w:b/>
      <w:bCs/>
      <w:kern w:val="32"/>
      <w:sz w:val="32"/>
      <w:szCs w:val="32"/>
    </w:rPr>
  </w:style>
  <w:style w:type="paragraph" w:styleId="4">
    <w:name w:val="heading 4"/>
    <w:basedOn w:val="a"/>
    <w:next w:val="a"/>
    <w:qFormat/>
    <w:rsid w:val="003A7B41"/>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7B41"/>
    <w:pPr>
      <w:tabs>
        <w:tab w:val="center" w:pos="4153"/>
        <w:tab w:val="right" w:pos="8306"/>
      </w:tabs>
    </w:pPr>
  </w:style>
  <w:style w:type="paragraph" w:styleId="a4">
    <w:name w:val="footer"/>
    <w:basedOn w:val="a"/>
    <w:rsid w:val="003A7B41"/>
    <w:pPr>
      <w:tabs>
        <w:tab w:val="center" w:pos="4153"/>
        <w:tab w:val="right" w:pos="8306"/>
      </w:tabs>
    </w:pPr>
  </w:style>
  <w:style w:type="character" w:styleId="a5">
    <w:name w:val="annotation reference"/>
    <w:basedOn w:val="a0"/>
    <w:semiHidden/>
    <w:rsid w:val="003A7B41"/>
    <w:rPr>
      <w:sz w:val="16"/>
      <w:szCs w:val="16"/>
    </w:rPr>
  </w:style>
  <w:style w:type="paragraph" w:styleId="a6">
    <w:name w:val="annotation text"/>
    <w:basedOn w:val="a"/>
    <w:semiHidden/>
    <w:rsid w:val="003A7B41"/>
    <w:rPr>
      <w:rFonts w:cs="Times New Roman"/>
      <w:lang w:eastAsia="he-IL"/>
    </w:rPr>
  </w:style>
  <w:style w:type="paragraph" w:styleId="a7">
    <w:name w:val="Balloon Text"/>
    <w:basedOn w:val="a"/>
    <w:semiHidden/>
    <w:rsid w:val="003A7B41"/>
    <w:rPr>
      <w:rFonts w:ascii="Tahoma" w:hAnsi="Tahoma" w:cs="Tahoma"/>
      <w:sz w:val="16"/>
      <w:szCs w:val="16"/>
    </w:rPr>
  </w:style>
  <w:style w:type="table" w:styleId="a8">
    <w:name w:val="Table Grid"/>
    <w:basedOn w:val="a1"/>
    <w:rsid w:val="003A7B4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BD67E7"/>
  </w:style>
  <w:style w:type="character" w:styleId="aa">
    <w:name w:val="Placeholder Text"/>
    <w:basedOn w:val="a0"/>
    <w:uiPriority w:val="99"/>
    <w:semiHidden/>
    <w:rsid w:val="003D7D8A"/>
    <w:rPr>
      <w:color w:val="808080"/>
    </w:rPr>
  </w:style>
  <w:style w:type="paragraph" w:styleId="ab">
    <w:name w:val="List Paragraph"/>
    <w:basedOn w:val="a"/>
    <w:uiPriority w:val="34"/>
    <w:qFormat/>
    <w:rsid w:val="005425CF"/>
    <w:pPr>
      <w:ind w:left="720"/>
      <w:contextualSpacing/>
    </w:pPr>
  </w:style>
  <w:style w:type="character" w:styleId="Hyperlink">
    <w:name w:val="Hyperlink"/>
    <w:basedOn w:val="a0"/>
    <w:uiPriority w:val="99"/>
    <w:unhideWhenUsed/>
    <w:rsid w:val="00211663"/>
    <w:rPr>
      <w:color w:val="0000FF"/>
      <w:u w:val="single"/>
    </w:rPr>
  </w:style>
  <w:style w:type="character" w:customStyle="1" w:styleId="P00">
    <w:name w:val="P00 תו"/>
    <w:link w:val="P000"/>
    <w:locked/>
    <w:rsid w:val="008A3A13"/>
    <w:rPr>
      <w:noProof/>
      <w:szCs w:val="26"/>
      <w:lang w:eastAsia="he-IL"/>
    </w:rPr>
  </w:style>
  <w:style w:type="paragraph" w:customStyle="1" w:styleId="P000">
    <w:name w:val="P00"/>
    <w:link w:val="P00"/>
    <w:rsid w:val="008A3A1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8A3A13"/>
    <w:rPr>
      <w:rFonts w:ascii="Times New Roman" w:hAnsi="Times New Roman" w:cs="Times New Roman" w:hint="default"/>
      <w:sz w:val="26"/>
      <w:szCs w:val="26"/>
    </w:rPr>
  </w:style>
  <w:style w:type="paragraph" w:styleId="ac">
    <w:name w:val="footnote text"/>
    <w:basedOn w:val="a"/>
    <w:link w:val="ad"/>
    <w:semiHidden/>
    <w:unhideWhenUsed/>
    <w:rsid w:val="00CE317E"/>
    <w:rPr>
      <w:rFonts w:cs="Miriam"/>
      <w:sz w:val="20"/>
      <w:szCs w:val="20"/>
    </w:rPr>
  </w:style>
  <w:style w:type="character" w:customStyle="1" w:styleId="ad">
    <w:name w:val="טקסט הערת שוליים תו"/>
    <w:basedOn w:val="a0"/>
    <w:link w:val="ac"/>
    <w:semiHidden/>
    <w:rsid w:val="00CE317E"/>
    <w:rPr>
      <w:rFonts w:cs="Miriam"/>
    </w:rPr>
  </w:style>
  <w:style w:type="paragraph" w:styleId="ae">
    <w:name w:val="Quote"/>
    <w:basedOn w:val="a"/>
    <w:next w:val="a"/>
    <w:link w:val="af"/>
    <w:qFormat/>
    <w:rsid w:val="00CE317E"/>
    <w:pPr>
      <w:keepLines/>
      <w:spacing w:line="360" w:lineRule="auto"/>
      <w:ind w:left="567" w:right="567"/>
      <w:jc w:val="both"/>
    </w:pPr>
    <w:rPr>
      <w:rFonts w:cs="Monotype Hadassah"/>
      <w:b/>
      <w:bCs/>
      <w:color w:val="0000FF"/>
      <w:sz w:val="22"/>
      <w:szCs w:val="20"/>
    </w:rPr>
  </w:style>
  <w:style w:type="character" w:customStyle="1" w:styleId="af">
    <w:name w:val="ציטוט תו"/>
    <w:basedOn w:val="a0"/>
    <w:link w:val="ae"/>
    <w:rsid w:val="00CE317E"/>
    <w:rPr>
      <w:rFonts w:cs="Monotype Hadassah"/>
      <w:b/>
      <w:bCs/>
      <w:color w:val="0000FF"/>
      <w:sz w:val="22"/>
    </w:rPr>
  </w:style>
  <w:style w:type="character" w:styleId="af0">
    <w:name w:val="footnote reference"/>
    <w:basedOn w:val="a0"/>
    <w:semiHidden/>
    <w:unhideWhenUsed/>
    <w:rsid w:val="00CE3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81484">
      <w:bodyDiv w:val="1"/>
      <w:marLeft w:val="0"/>
      <w:marRight w:val="0"/>
      <w:marTop w:val="0"/>
      <w:marBottom w:val="0"/>
      <w:divBdr>
        <w:top w:val="none" w:sz="0" w:space="0" w:color="auto"/>
        <w:left w:val="none" w:sz="0" w:space="0" w:color="auto"/>
        <w:bottom w:val="none" w:sz="0" w:space="0" w:color="auto"/>
        <w:right w:val="none" w:sz="0" w:space="0" w:color="auto"/>
      </w:divBdr>
    </w:div>
    <w:div w:id="395974773">
      <w:bodyDiv w:val="1"/>
      <w:marLeft w:val="0"/>
      <w:marRight w:val="0"/>
      <w:marTop w:val="0"/>
      <w:marBottom w:val="0"/>
      <w:divBdr>
        <w:top w:val="none" w:sz="0" w:space="0" w:color="auto"/>
        <w:left w:val="none" w:sz="0" w:space="0" w:color="auto"/>
        <w:bottom w:val="none" w:sz="0" w:space="0" w:color="auto"/>
        <w:right w:val="none" w:sz="0" w:space="0" w:color="auto"/>
      </w:divBdr>
    </w:div>
    <w:div w:id="1126196476">
      <w:bodyDiv w:val="1"/>
      <w:marLeft w:val="0"/>
      <w:marRight w:val="0"/>
      <w:marTop w:val="0"/>
      <w:marBottom w:val="0"/>
      <w:divBdr>
        <w:top w:val="none" w:sz="0" w:space="0" w:color="auto"/>
        <w:left w:val="none" w:sz="0" w:space="0" w:color="auto"/>
        <w:bottom w:val="none" w:sz="0" w:space="0" w:color="auto"/>
        <w:right w:val="none" w:sz="0" w:space="0" w:color="auto"/>
      </w:divBdr>
    </w:div>
    <w:div w:id="1242985817">
      <w:bodyDiv w:val="1"/>
      <w:marLeft w:val="0"/>
      <w:marRight w:val="0"/>
      <w:marTop w:val="0"/>
      <w:marBottom w:val="0"/>
      <w:divBdr>
        <w:top w:val="none" w:sz="0" w:space="0" w:color="auto"/>
        <w:left w:val="none" w:sz="0" w:space="0" w:color="auto"/>
        <w:bottom w:val="none" w:sz="0" w:space="0" w:color="auto"/>
        <w:right w:val="none" w:sz="0" w:space="0" w:color="auto"/>
      </w:divBdr>
    </w:div>
    <w:div w:id="1377268971">
      <w:bodyDiv w:val="1"/>
      <w:marLeft w:val="0"/>
      <w:marRight w:val="0"/>
      <w:marTop w:val="0"/>
      <w:marBottom w:val="0"/>
      <w:divBdr>
        <w:top w:val="none" w:sz="0" w:space="0" w:color="auto"/>
        <w:left w:val="none" w:sz="0" w:space="0" w:color="auto"/>
        <w:bottom w:val="none" w:sz="0" w:space="0" w:color="auto"/>
        <w:right w:val="none" w:sz="0" w:space="0" w:color="auto"/>
      </w:divBdr>
    </w:div>
    <w:div w:id="1615946014">
      <w:bodyDiv w:val="1"/>
      <w:marLeft w:val="0"/>
      <w:marRight w:val="0"/>
      <w:marTop w:val="0"/>
      <w:marBottom w:val="0"/>
      <w:divBdr>
        <w:top w:val="none" w:sz="0" w:space="0" w:color="auto"/>
        <w:left w:val="none" w:sz="0" w:space="0" w:color="auto"/>
        <w:bottom w:val="none" w:sz="0" w:space="0" w:color="auto"/>
        <w:right w:val="none" w:sz="0" w:space="0" w:color="auto"/>
      </w:divBdr>
    </w:div>
    <w:div w:id="1637565681">
      <w:bodyDiv w:val="1"/>
      <w:marLeft w:val="0"/>
      <w:marRight w:val="0"/>
      <w:marTop w:val="0"/>
      <w:marBottom w:val="0"/>
      <w:divBdr>
        <w:top w:val="none" w:sz="0" w:space="0" w:color="auto"/>
        <w:left w:val="none" w:sz="0" w:space="0" w:color="auto"/>
        <w:bottom w:val="none" w:sz="0" w:space="0" w:color="auto"/>
        <w:right w:val="none" w:sz="0" w:space="0" w:color="auto"/>
      </w:divBdr>
    </w:div>
    <w:div w:id="1733968590">
      <w:bodyDiv w:val="1"/>
      <w:marLeft w:val="0"/>
      <w:marRight w:val="0"/>
      <w:marTop w:val="0"/>
      <w:marBottom w:val="0"/>
      <w:divBdr>
        <w:top w:val="none" w:sz="0" w:space="0" w:color="auto"/>
        <w:left w:val="none" w:sz="0" w:space="0" w:color="auto"/>
        <w:bottom w:val="none" w:sz="0" w:space="0" w:color="auto"/>
        <w:right w:val="none" w:sz="0" w:space="0" w:color="auto"/>
      </w:divBdr>
    </w:div>
    <w:div w:id="1749225533">
      <w:bodyDiv w:val="1"/>
      <w:marLeft w:val="0"/>
      <w:marRight w:val="0"/>
      <w:marTop w:val="0"/>
      <w:marBottom w:val="0"/>
      <w:divBdr>
        <w:top w:val="none" w:sz="0" w:space="0" w:color="auto"/>
        <w:left w:val="none" w:sz="0" w:space="0" w:color="auto"/>
        <w:bottom w:val="none" w:sz="0" w:space="0" w:color="auto"/>
        <w:right w:val="none" w:sz="0" w:space="0" w:color="auto"/>
      </w:divBdr>
    </w:div>
    <w:div w:id="20111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nevo.co.il/psika_html/elyon/20007240-Z1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vo.co.il/psika_html/elyon/07056990-n45.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vo.co.il/psika_html/elyon/07056990-n45.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3211</Words>
  <Characters>16055</Characters>
  <Application>Microsoft Office Word</Application>
  <DocSecurity>0</DocSecurity>
  <Lines>133</Lines>
  <Paragraphs>38</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יעל לוי פרי</cp:lastModifiedBy>
  <cp:revision>4</cp:revision>
  <cp:lastPrinted>2025-02-09T16:58:00Z</cp:lastPrinted>
  <dcterms:created xsi:type="dcterms:W3CDTF">2025-02-16T07:10:00Z</dcterms:created>
  <dcterms:modified xsi:type="dcterms:W3CDTF">2025-02-16T07:13:00Z</dcterms:modified>
</cp:coreProperties>
</file>