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C802D9" w14:paraId="3D54CB1C" w14:textId="77777777" w:rsidTr="00616AE2">
        <w:trPr>
          <w:trHeight w:hRule="exact" w:val="624"/>
          <w:jc w:val="center"/>
        </w:trPr>
        <w:tc>
          <w:tcPr>
            <w:tcW w:w="8307" w:type="dxa"/>
          </w:tcPr>
          <w:p w14:paraId="7CBEC33C" w14:textId="77777777" w:rsidR="00270C62" w:rsidRPr="00715337" w:rsidRDefault="00000000" w:rsidP="00AB7FCD">
            <w:pPr>
              <w:pStyle w:val="a5"/>
              <w:jc w:val="center"/>
              <w:rPr>
                <w:rFonts w:ascii="Tahoma" w:hAnsi="Tahoma"/>
                <w:b/>
                <w:bCs/>
                <w:sz w:val="28"/>
                <w:szCs w:val="28"/>
                <w:rtl/>
              </w:rPr>
            </w:pPr>
            <w:bookmarkStart w:id="0" w:name="LastJudge"/>
            <w:r w:rsidRPr="00715337">
              <w:rPr>
                <w:rFonts w:ascii="Tahoma" w:hAnsi="Tahoma" w:hint="cs"/>
                <w:b/>
                <w:bCs/>
                <w:sz w:val="28"/>
                <w:szCs w:val="28"/>
                <w:rtl/>
              </w:rPr>
              <w:t>בבית המשפט העליון בשבתו כבית משפט לערעורים אזרחיים</w:t>
            </w:r>
          </w:p>
        </w:tc>
      </w:tr>
    </w:tbl>
    <w:p w14:paraId="7900C3D1" w14:textId="77777777" w:rsidR="00C9217F" w:rsidRPr="00715337" w:rsidRDefault="00270C62" w:rsidP="00270C62">
      <w:pPr>
        <w:pStyle w:val="a5"/>
        <w:jc w:val="right"/>
        <w:rPr>
          <w:rFonts w:ascii="David" w:hAnsi="David"/>
          <w:b/>
          <w:bCs/>
          <w:sz w:val="28"/>
          <w:szCs w:val="28"/>
          <w:rtl/>
        </w:rPr>
      </w:pPr>
      <w:r w:rsidRPr="00715337">
        <w:rPr>
          <w:rtl/>
        </w:rPr>
        <w:t xml:space="preserve"> </w:t>
      </w:r>
      <w:r w:rsidRPr="00715337">
        <w:rPr>
          <w:rFonts w:ascii="David" w:hAnsi="David"/>
          <w:b/>
          <w:bCs/>
          <w:sz w:val="28"/>
          <w:szCs w:val="28"/>
          <w:rtl/>
        </w:rPr>
        <w:t>ע"א</w:t>
      </w:r>
      <w:r w:rsidR="00000000" w:rsidRPr="00715337">
        <w:rPr>
          <w:rFonts w:ascii="David" w:hAnsi="David"/>
          <w:b/>
          <w:bCs/>
          <w:sz w:val="28"/>
          <w:szCs w:val="28"/>
          <w:rtl/>
        </w:rPr>
        <w:t xml:space="preserve"> </w:t>
      </w:r>
      <w:r w:rsidRPr="00715337">
        <w:rPr>
          <w:rFonts w:ascii="David" w:hAnsi="David"/>
          <w:b/>
          <w:bCs/>
          <w:sz w:val="28"/>
          <w:szCs w:val="28"/>
        </w:rPr>
        <w:t>8132/23</w:t>
      </w:r>
    </w:p>
    <w:p w14:paraId="2D65102E" w14:textId="77777777" w:rsidR="00C9217F" w:rsidRPr="00715337" w:rsidRDefault="00C9217F" w:rsidP="00C9217F">
      <w:pPr>
        <w:suppressLineNumbers/>
        <w:jc w:val="right"/>
        <w:rPr>
          <w:rtl/>
        </w:rPr>
      </w:pPr>
    </w:p>
    <w:tbl>
      <w:tblPr>
        <w:bidiVisual/>
        <w:tblW w:w="8348" w:type="dxa"/>
        <w:jc w:val="center"/>
        <w:tblLook w:val="01E0" w:firstRow="1" w:lastRow="1" w:firstColumn="1" w:lastColumn="1" w:noHBand="0" w:noVBand="0"/>
      </w:tblPr>
      <w:tblGrid>
        <w:gridCol w:w="3096"/>
        <w:gridCol w:w="5252"/>
      </w:tblGrid>
      <w:tr w:rsidR="00C802D9" w14:paraId="0CAC36F0" w14:textId="77777777" w:rsidTr="00715337">
        <w:trPr>
          <w:trHeight w:val="295"/>
          <w:jc w:val="center"/>
        </w:trPr>
        <w:tc>
          <w:tcPr>
            <w:tcW w:w="8348" w:type="dxa"/>
            <w:gridSpan w:val="2"/>
            <w:shd w:val="clear" w:color="auto" w:fill="auto"/>
          </w:tcPr>
          <w:p w14:paraId="192A73E1" w14:textId="77777777" w:rsidR="00105E0F" w:rsidRPr="00715337" w:rsidRDefault="0094424E" w:rsidP="00715337">
            <w:pPr>
              <w:suppressLineNumbers/>
              <w:rPr>
                <w:rFonts w:ascii="Arial" w:hAnsi="Arial"/>
                <w:sz w:val="28"/>
                <w:szCs w:val="28"/>
                <w:rtl/>
              </w:rPr>
            </w:pPr>
            <w:r w:rsidRPr="00715337">
              <w:rPr>
                <w:rtl/>
              </w:rPr>
              <w:t xml:space="preserve"> </w:t>
            </w:r>
          </w:p>
        </w:tc>
      </w:tr>
      <w:tr w:rsidR="00C802D9" w14:paraId="77334D06" w14:textId="77777777" w:rsidTr="00715337">
        <w:trPr>
          <w:jc w:val="center"/>
        </w:trPr>
        <w:tc>
          <w:tcPr>
            <w:tcW w:w="3096" w:type="dxa"/>
            <w:shd w:val="clear" w:color="auto" w:fill="auto"/>
          </w:tcPr>
          <w:p w14:paraId="45C45181" w14:textId="77777777" w:rsidR="0094424E" w:rsidRPr="00715337" w:rsidRDefault="00105E0F" w:rsidP="00715337">
            <w:pPr>
              <w:suppressLineNumbers/>
              <w:ind w:right="-295"/>
              <w:jc w:val="both"/>
              <w:rPr>
                <w:rFonts w:ascii="David" w:hAnsi="David"/>
                <w:sz w:val="28"/>
                <w:szCs w:val="28"/>
                <w:rtl/>
              </w:rPr>
            </w:pPr>
            <w:r w:rsidRPr="00715337">
              <w:rPr>
                <w:rFonts w:ascii="David" w:hAnsi="David"/>
                <w:sz w:val="28"/>
                <w:szCs w:val="28"/>
                <w:rtl/>
              </w:rPr>
              <w:t>ל</w:t>
            </w:r>
            <w:r w:rsidR="00000000" w:rsidRPr="00715337">
              <w:rPr>
                <w:rFonts w:ascii="David" w:hAnsi="David"/>
                <w:sz w:val="28"/>
                <w:szCs w:val="28"/>
                <w:rtl/>
              </w:rPr>
              <w:t>פני</w:t>
            </w:r>
            <w:r w:rsidRPr="00715337">
              <w:rPr>
                <w:rFonts w:ascii="David" w:hAnsi="David"/>
                <w:sz w:val="28"/>
                <w:szCs w:val="28"/>
                <w:rtl/>
              </w:rPr>
              <w:t>:</w:t>
            </w:r>
          </w:p>
        </w:tc>
        <w:tc>
          <w:tcPr>
            <w:tcW w:w="5252" w:type="dxa"/>
            <w:shd w:val="clear" w:color="auto" w:fill="auto"/>
          </w:tcPr>
          <w:p w14:paraId="1777A42C" w14:textId="77777777" w:rsidR="00667C59" w:rsidRPr="00715337" w:rsidRDefault="00000000" w:rsidP="00715337">
            <w:pPr>
              <w:suppressLineNumbers/>
              <w:rPr>
                <w:rFonts w:ascii="David" w:hAnsi="David"/>
                <w:sz w:val="28"/>
                <w:szCs w:val="28"/>
                <w:rtl/>
              </w:rPr>
            </w:pPr>
            <w:bookmarkStart w:id="1" w:name="_Hlk189125397"/>
            <w:r w:rsidRPr="00715337">
              <w:rPr>
                <w:rFonts w:ascii="David" w:hAnsi="David" w:hint="cs"/>
                <w:sz w:val="28"/>
                <w:szCs w:val="28"/>
                <w:rtl/>
              </w:rPr>
              <w:t>כבוד השופט דוד מינץ</w:t>
            </w:r>
          </w:p>
          <w:p w14:paraId="63E1EB72" w14:textId="77777777" w:rsidR="00007DE0" w:rsidRPr="00715337" w:rsidRDefault="000529D2" w:rsidP="00715337">
            <w:pPr>
              <w:suppressLineNumbers/>
              <w:rPr>
                <w:rFonts w:ascii="David" w:hAnsi="David"/>
                <w:sz w:val="28"/>
                <w:szCs w:val="28"/>
                <w:rtl/>
              </w:rPr>
            </w:pPr>
            <w:r w:rsidRPr="00715337">
              <w:rPr>
                <w:rFonts w:ascii="David" w:hAnsi="David"/>
                <w:sz w:val="28"/>
                <w:szCs w:val="28"/>
                <w:rtl/>
              </w:rPr>
              <w:t>כבוד</w:t>
            </w:r>
            <w:r w:rsidR="0094424E" w:rsidRPr="00715337">
              <w:rPr>
                <w:rFonts w:ascii="David" w:hAnsi="David"/>
                <w:sz w:val="28"/>
                <w:szCs w:val="28"/>
                <w:rtl/>
              </w:rPr>
              <w:t xml:space="preserve"> ה</w:t>
            </w:r>
            <w:r w:rsidRPr="00715337">
              <w:rPr>
                <w:rFonts w:ascii="David" w:hAnsi="David"/>
                <w:sz w:val="28"/>
                <w:szCs w:val="28"/>
                <w:rtl/>
              </w:rPr>
              <w:t>שופט</w:t>
            </w:r>
            <w:r w:rsidR="0094424E" w:rsidRPr="00715337">
              <w:rPr>
                <w:rFonts w:ascii="David" w:hAnsi="David"/>
                <w:sz w:val="28"/>
                <w:szCs w:val="28"/>
                <w:rtl/>
              </w:rPr>
              <w:t xml:space="preserve"> </w:t>
            </w:r>
            <w:r w:rsidRPr="00715337">
              <w:rPr>
                <w:rFonts w:ascii="David" w:hAnsi="David"/>
                <w:sz w:val="28"/>
                <w:szCs w:val="28"/>
                <w:rtl/>
              </w:rPr>
              <w:t>אלכס שטיין</w:t>
            </w:r>
            <w:r w:rsidR="00667C59" w:rsidRPr="00715337">
              <w:rPr>
                <w:rFonts w:ascii="David" w:hAnsi="David"/>
                <w:sz w:val="28"/>
                <w:szCs w:val="28"/>
                <w:rtl/>
              </w:rPr>
              <w:br/>
            </w:r>
            <w:r w:rsidR="00667C59" w:rsidRPr="00715337">
              <w:rPr>
                <w:rFonts w:ascii="David" w:hAnsi="David" w:hint="cs"/>
                <w:sz w:val="28"/>
                <w:szCs w:val="28"/>
                <w:rtl/>
              </w:rPr>
              <w:t>כבוד השופטת גילה כנפי-שטייניץ</w:t>
            </w:r>
          </w:p>
          <w:bookmarkEnd w:id="1"/>
          <w:p w14:paraId="6D126ED8" w14:textId="77777777" w:rsidR="00CA4C49" w:rsidRPr="00715337" w:rsidRDefault="00CA4C49" w:rsidP="00715337">
            <w:pPr>
              <w:suppressLineNumbers/>
              <w:rPr>
                <w:rFonts w:ascii="David" w:hAnsi="David"/>
                <w:sz w:val="28"/>
                <w:szCs w:val="28"/>
              </w:rPr>
            </w:pPr>
          </w:p>
        </w:tc>
      </w:tr>
      <w:tr w:rsidR="00C802D9" w14:paraId="170FD939" w14:textId="77777777" w:rsidTr="00715337">
        <w:trPr>
          <w:jc w:val="center"/>
        </w:trPr>
        <w:tc>
          <w:tcPr>
            <w:tcW w:w="3096" w:type="dxa"/>
            <w:shd w:val="clear" w:color="auto" w:fill="auto"/>
          </w:tcPr>
          <w:p w14:paraId="061EE96D" w14:textId="77777777" w:rsidR="0094424E" w:rsidRPr="00715337" w:rsidRDefault="00C9217F" w:rsidP="00715337">
            <w:pPr>
              <w:suppressLineNumbers/>
              <w:rPr>
                <w:rFonts w:ascii="David" w:hAnsi="David"/>
                <w:sz w:val="28"/>
                <w:szCs w:val="28"/>
                <w:rtl/>
              </w:rPr>
            </w:pPr>
            <w:bookmarkStart w:id="2" w:name="FirstAppellant"/>
            <w:r w:rsidRPr="00715337">
              <w:rPr>
                <w:rFonts w:ascii="David" w:hAnsi="David" w:hint="cs"/>
                <w:sz w:val="28"/>
                <w:szCs w:val="28"/>
                <w:rtl/>
              </w:rPr>
              <w:t>ה</w:t>
            </w:r>
            <w:r w:rsidRPr="00715337">
              <w:rPr>
                <w:rFonts w:ascii="David" w:hAnsi="David"/>
                <w:sz w:val="28"/>
                <w:szCs w:val="28"/>
                <w:rtl/>
              </w:rPr>
              <w:t>מערערים</w:t>
            </w:r>
            <w:r w:rsidRPr="00715337">
              <w:rPr>
                <w:rFonts w:ascii="David" w:hAnsi="David" w:hint="cs"/>
                <w:sz w:val="28"/>
                <w:szCs w:val="28"/>
                <w:rtl/>
              </w:rPr>
              <w:t>:</w:t>
            </w:r>
          </w:p>
        </w:tc>
        <w:tc>
          <w:tcPr>
            <w:tcW w:w="5252" w:type="dxa"/>
            <w:shd w:val="clear" w:color="auto" w:fill="auto"/>
          </w:tcPr>
          <w:p w14:paraId="6AEDB304" w14:textId="77777777" w:rsidR="0094424E" w:rsidRPr="00715337" w:rsidRDefault="007F4CC9" w:rsidP="00715337">
            <w:pPr>
              <w:suppressLineNumbers/>
              <w:rPr>
                <w:rFonts w:ascii="David" w:hAnsi="David"/>
                <w:sz w:val="28"/>
                <w:szCs w:val="28"/>
              </w:rPr>
            </w:pPr>
            <w:r w:rsidRPr="00715337">
              <w:rPr>
                <w:rFonts w:ascii="David" w:hAnsi="David"/>
                <w:sz w:val="28"/>
                <w:szCs w:val="28"/>
                <w:rtl/>
              </w:rPr>
              <w:t>1</w:t>
            </w:r>
            <w:r w:rsidR="00000000" w:rsidRPr="00715337">
              <w:rPr>
                <w:rFonts w:ascii="David" w:hAnsi="David"/>
                <w:sz w:val="28"/>
                <w:szCs w:val="28"/>
                <w:rtl/>
              </w:rPr>
              <w:t xml:space="preserve">. </w:t>
            </w:r>
            <w:r w:rsidRPr="00715337">
              <w:rPr>
                <w:rFonts w:ascii="David" w:hAnsi="David"/>
                <w:sz w:val="28"/>
                <w:szCs w:val="28"/>
                <w:rtl/>
              </w:rPr>
              <w:t xml:space="preserve">עאטף </w:t>
            </w:r>
            <w:r w:rsidR="00931968" w:rsidRPr="00715337">
              <w:rPr>
                <w:rFonts w:ascii="David" w:hAnsi="David"/>
                <w:sz w:val="28"/>
                <w:szCs w:val="28"/>
                <w:rtl/>
              </w:rPr>
              <w:t>איבר</w:t>
            </w:r>
            <w:r w:rsidRPr="00715337">
              <w:rPr>
                <w:rFonts w:ascii="David" w:hAnsi="David"/>
                <w:sz w:val="28"/>
                <w:szCs w:val="28"/>
                <w:rtl/>
              </w:rPr>
              <w:t>הים עלי חוסיין</w:t>
            </w:r>
          </w:p>
          <w:p w14:paraId="3BF9980A" w14:textId="77777777" w:rsidR="0094424E" w:rsidRPr="00715337" w:rsidRDefault="007F4CC9" w:rsidP="00715337">
            <w:pPr>
              <w:suppressLineNumbers/>
              <w:rPr>
                <w:rFonts w:ascii="David" w:hAnsi="David"/>
                <w:sz w:val="28"/>
                <w:szCs w:val="28"/>
              </w:rPr>
            </w:pPr>
            <w:r w:rsidRPr="00715337">
              <w:rPr>
                <w:rFonts w:ascii="David" w:hAnsi="David"/>
                <w:sz w:val="28"/>
                <w:szCs w:val="28"/>
                <w:rtl/>
              </w:rPr>
              <w:t>2</w:t>
            </w:r>
            <w:r w:rsidR="00000000" w:rsidRPr="00715337">
              <w:rPr>
                <w:rFonts w:ascii="David" w:hAnsi="David"/>
                <w:sz w:val="28"/>
                <w:szCs w:val="28"/>
                <w:rtl/>
              </w:rPr>
              <w:t xml:space="preserve">. </w:t>
            </w:r>
            <w:r w:rsidRPr="00715337">
              <w:rPr>
                <w:rFonts w:ascii="David" w:hAnsi="David"/>
                <w:sz w:val="28"/>
                <w:szCs w:val="28"/>
                <w:rtl/>
              </w:rPr>
              <w:t>מוחמד איברהים עלי חוסיין</w:t>
            </w:r>
          </w:p>
          <w:p w14:paraId="714A8D93" w14:textId="77777777" w:rsidR="0094424E" w:rsidRPr="00715337" w:rsidRDefault="007F4CC9" w:rsidP="00715337">
            <w:pPr>
              <w:suppressLineNumbers/>
              <w:rPr>
                <w:rFonts w:ascii="David" w:hAnsi="David"/>
                <w:sz w:val="28"/>
                <w:szCs w:val="28"/>
              </w:rPr>
            </w:pPr>
            <w:r w:rsidRPr="00715337">
              <w:rPr>
                <w:rFonts w:ascii="David" w:hAnsi="David"/>
                <w:sz w:val="28"/>
                <w:szCs w:val="28"/>
                <w:rtl/>
              </w:rPr>
              <w:t>3</w:t>
            </w:r>
            <w:r w:rsidR="00000000" w:rsidRPr="00715337">
              <w:rPr>
                <w:rFonts w:ascii="David" w:hAnsi="David"/>
                <w:sz w:val="28"/>
                <w:szCs w:val="28"/>
                <w:rtl/>
              </w:rPr>
              <w:t xml:space="preserve">. </w:t>
            </w:r>
            <w:r w:rsidRPr="00715337">
              <w:rPr>
                <w:rFonts w:ascii="David" w:hAnsi="David"/>
                <w:sz w:val="28"/>
                <w:szCs w:val="28"/>
                <w:rtl/>
              </w:rPr>
              <w:t>עלי איברהים עלי חוסיין</w:t>
            </w:r>
          </w:p>
          <w:p w14:paraId="5426275A" w14:textId="77777777" w:rsidR="0094424E" w:rsidRPr="00715337" w:rsidRDefault="007F4CC9" w:rsidP="00715337">
            <w:pPr>
              <w:suppressLineNumbers/>
              <w:rPr>
                <w:rFonts w:ascii="David" w:hAnsi="David"/>
                <w:sz w:val="28"/>
                <w:szCs w:val="28"/>
              </w:rPr>
            </w:pPr>
            <w:r w:rsidRPr="00715337">
              <w:rPr>
                <w:rFonts w:ascii="David" w:hAnsi="David"/>
                <w:sz w:val="28"/>
                <w:szCs w:val="28"/>
                <w:rtl/>
              </w:rPr>
              <w:t>4</w:t>
            </w:r>
            <w:r w:rsidR="00000000" w:rsidRPr="00715337">
              <w:rPr>
                <w:rFonts w:ascii="David" w:hAnsi="David"/>
                <w:sz w:val="28"/>
                <w:szCs w:val="28"/>
                <w:rtl/>
              </w:rPr>
              <w:t xml:space="preserve">. </w:t>
            </w:r>
            <w:r w:rsidRPr="00715337">
              <w:rPr>
                <w:rFonts w:ascii="David" w:hAnsi="David"/>
                <w:sz w:val="28"/>
                <w:szCs w:val="28"/>
                <w:rtl/>
              </w:rPr>
              <w:t>אמג'ד כאמל עלי חוסיין</w:t>
            </w:r>
          </w:p>
          <w:p w14:paraId="56C097B6" w14:textId="77777777" w:rsidR="0094424E" w:rsidRPr="00715337" w:rsidRDefault="007F4CC9" w:rsidP="00715337">
            <w:pPr>
              <w:suppressLineNumbers/>
              <w:rPr>
                <w:rFonts w:ascii="David" w:hAnsi="David"/>
                <w:sz w:val="28"/>
                <w:szCs w:val="28"/>
              </w:rPr>
            </w:pPr>
            <w:r w:rsidRPr="00715337">
              <w:rPr>
                <w:rFonts w:ascii="David" w:hAnsi="David"/>
                <w:sz w:val="28"/>
                <w:szCs w:val="28"/>
                <w:rtl/>
              </w:rPr>
              <w:t>5</w:t>
            </w:r>
            <w:r w:rsidR="00000000" w:rsidRPr="00715337">
              <w:rPr>
                <w:rFonts w:ascii="David" w:hAnsi="David"/>
                <w:sz w:val="28"/>
                <w:szCs w:val="28"/>
                <w:rtl/>
              </w:rPr>
              <w:t xml:space="preserve">. </w:t>
            </w:r>
            <w:r w:rsidRPr="00715337">
              <w:rPr>
                <w:rFonts w:ascii="David" w:hAnsi="David"/>
                <w:sz w:val="28"/>
                <w:szCs w:val="28"/>
                <w:rtl/>
              </w:rPr>
              <w:t>חמאדה איברהים עלי חוסיין</w:t>
            </w:r>
          </w:p>
          <w:p w14:paraId="35891029" w14:textId="77777777" w:rsidR="0094424E" w:rsidRPr="00715337" w:rsidRDefault="007F4CC9" w:rsidP="00715337">
            <w:pPr>
              <w:suppressLineNumbers/>
              <w:rPr>
                <w:rFonts w:ascii="David" w:hAnsi="David"/>
                <w:sz w:val="28"/>
                <w:szCs w:val="28"/>
              </w:rPr>
            </w:pPr>
            <w:r w:rsidRPr="00715337">
              <w:rPr>
                <w:rFonts w:ascii="David" w:hAnsi="David"/>
                <w:sz w:val="28"/>
                <w:szCs w:val="28"/>
                <w:rtl/>
              </w:rPr>
              <w:t>6</w:t>
            </w:r>
            <w:r w:rsidR="00000000" w:rsidRPr="00715337">
              <w:rPr>
                <w:rFonts w:ascii="David" w:hAnsi="David"/>
                <w:sz w:val="28"/>
                <w:szCs w:val="28"/>
                <w:rtl/>
              </w:rPr>
              <w:t xml:space="preserve">. </w:t>
            </w:r>
            <w:r w:rsidRPr="00715337">
              <w:rPr>
                <w:rFonts w:ascii="David" w:hAnsi="David"/>
                <w:sz w:val="28"/>
                <w:szCs w:val="28"/>
                <w:rtl/>
              </w:rPr>
              <w:t>פואד איברהים עלי חוסיין</w:t>
            </w:r>
          </w:p>
          <w:p w14:paraId="663DD613" w14:textId="77777777" w:rsidR="0094424E" w:rsidRPr="00715337" w:rsidRDefault="007F4CC9" w:rsidP="00715337">
            <w:pPr>
              <w:suppressLineNumbers/>
              <w:rPr>
                <w:rFonts w:ascii="David" w:hAnsi="David"/>
                <w:sz w:val="28"/>
                <w:szCs w:val="28"/>
              </w:rPr>
            </w:pPr>
            <w:r w:rsidRPr="00715337">
              <w:rPr>
                <w:rFonts w:ascii="David" w:hAnsi="David"/>
                <w:sz w:val="28"/>
                <w:szCs w:val="28"/>
                <w:rtl/>
              </w:rPr>
              <w:t>7</w:t>
            </w:r>
            <w:r w:rsidR="00000000" w:rsidRPr="00715337">
              <w:rPr>
                <w:rFonts w:ascii="David" w:hAnsi="David"/>
                <w:sz w:val="28"/>
                <w:szCs w:val="28"/>
                <w:rtl/>
              </w:rPr>
              <w:t xml:space="preserve">. </w:t>
            </w:r>
            <w:r w:rsidRPr="00715337">
              <w:rPr>
                <w:rFonts w:ascii="David" w:hAnsi="David"/>
                <w:sz w:val="28"/>
                <w:szCs w:val="28"/>
                <w:rtl/>
              </w:rPr>
              <w:t>מאהר איברהים עלי חוסיין</w:t>
            </w:r>
          </w:p>
          <w:p w14:paraId="6D4A874B" w14:textId="77777777" w:rsidR="0094424E" w:rsidRPr="00715337" w:rsidRDefault="007F4CC9" w:rsidP="00715337">
            <w:pPr>
              <w:suppressLineNumbers/>
              <w:rPr>
                <w:rFonts w:ascii="David" w:hAnsi="David"/>
                <w:sz w:val="28"/>
                <w:szCs w:val="28"/>
              </w:rPr>
            </w:pPr>
            <w:r w:rsidRPr="00715337">
              <w:rPr>
                <w:rFonts w:ascii="David" w:hAnsi="David"/>
                <w:sz w:val="28"/>
                <w:szCs w:val="28"/>
                <w:rtl/>
              </w:rPr>
              <w:t>8</w:t>
            </w:r>
            <w:r w:rsidR="00000000" w:rsidRPr="00715337">
              <w:rPr>
                <w:rFonts w:ascii="David" w:hAnsi="David"/>
                <w:sz w:val="28"/>
                <w:szCs w:val="28"/>
                <w:rtl/>
              </w:rPr>
              <w:t xml:space="preserve">. </w:t>
            </w:r>
            <w:r w:rsidRPr="00715337">
              <w:rPr>
                <w:rFonts w:ascii="David" w:hAnsi="David"/>
                <w:sz w:val="28"/>
                <w:szCs w:val="28"/>
                <w:rtl/>
              </w:rPr>
              <w:t>סאמר כאמל עלי חוסיין</w:t>
            </w:r>
          </w:p>
          <w:p w14:paraId="5F3533C4" w14:textId="77777777" w:rsidR="0094424E" w:rsidRPr="00715337" w:rsidRDefault="007F4CC9" w:rsidP="00715337">
            <w:pPr>
              <w:suppressLineNumbers/>
              <w:rPr>
                <w:rFonts w:ascii="David" w:hAnsi="David"/>
                <w:sz w:val="28"/>
                <w:szCs w:val="28"/>
              </w:rPr>
            </w:pPr>
            <w:r w:rsidRPr="00715337">
              <w:rPr>
                <w:rFonts w:ascii="David" w:hAnsi="David"/>
                <w:sz w:val="28"/>
                <w:szCs w:val="28"/>
                <w:rtl/>
              </w:rPr>
              <w:t>9</w:t>
            </w:r>
            <w:r w:rsidR="00000000" w:rsidRPr="00715337">
              <w:rPr>
                <w:rFonts w:ascii="David" w:hAnsi="David"/>
                <w:sz w:val="28"/>
                <w:szCs w:val="28"/>
                <w:rtl/>
              </w:rPr>
              <w:t xml:space="preserve">. </w:t>
            </w:r>
            <w:r w:rsidRPr="00715337">
              <w:rPr>
                <w:rFonts w:ascii="David" w:hAnsi="David"/>
                <w:sz w:val="28"/>
                <w:szCs w:val="28"/>
                <w:rtl/>
              </w:rPr>
              <w:t>מוחמד כאמל עלי חוסיין</w:t>
            </w:r>
          </w:p>
        </w:tc>
      </w:tr>
      <w:bookmarkEnd w:id="2"/>
      <w:tr w:rsidR="00C802D9" w14:paraId="0C6F30AA" w14:textId="77777777" w:rsidTr="00715337">
        <w:trPr>
          <w:jc w:val="center"/>
        </w:trPr>
        <w:tc>
          <w:tcPr>
            <w:tcW w:w="8348" w:type="dxa"/>
            <w:gridSpan w:val="2"/>
            <w:shd w:val="clear" w:color="auto" w:fill="auto"/>
          </w:tcPr>
          <w:p w14:paraId="560D0C37" w14:textId="77777777" w:rsidR="0094424E" w:rsidRPr="00715337" w:rsidRDefault="0094424E" w:rsidP="00715337">
            <w:pPr>
              <w:suppressLineNumbers/>
              <w:rPr>
                <w:rFonts w:ascii="David" w:hAnsi="David"/>
                <w:sz w:val="28"/>
                <w:szCs w:val="28"/>
                <w:rtl/>
              </w:rPr>
            </w:pPr>
          </w:p>
          <w:p w14:paraId="4D9A6FC6" w14:textId="77777777" w:rsidR="0094424E" w:rsidRPr="00715337" w:rsidRDefault="00616AE2" w:rsidP="00715337">
            <w:pPr>
              <w:suppressLineNumbers/>
              <w:ind w:left="2880"/>
              <w:rPr>
                <w:rFonts w:ascii="David" w:hAnsi="David"/>
                <w:spacing w:val="40"/>
                <w:sz w:val="28"/>
                <w:szCs w:val="28"/>
                <w:rtl/>
              </w:rPr>
            </w:pPr>
            <w:r w:rsidRPr="00715337">
              <w:rPr>
                <w:rFonts w:ascii="David" w:hAnsi="David" w:hint="cs"/>
                <w:spacing w:val="40"/>
                <w:sz w:val="28"/>
                <w:szCs w:val="28"/>
                <w:rtl/>
              </w:rPr>
              <w:t xml:space="preserve">  </w:t>
            </w:r>
            <w:r w:rsidR="00000000" w:rsidRPr="00715337">
              <w:rPr>
                <w:rFonts w:ascii="David" w:hAnsi="David"/>
                <w:spacing w:val="40"/>
                <w:sz w:val="28"/>
                <w:szCs w:val="28"/>
                <w:rtl/>
              </w:rPr>
              <w:t>נגד</w:t>
            </w:r>
          </w:p>
          <w:p w14:paraId="38BED7F2" w14:textId="77777777" w:rsidR="0094424E" w:rsidRPr="00715337" w:rsidRDefault="0094424E" w:rsidP="00715337">
            <w:pPr>
              <w:suppressLineNumbers/>
              <w:rPr>
                <w:rFonts w:ascii="David" w:hAnsi="David"/>
                <w:sz w:val="28"/>
                <w:szCs w:val="28"/>
              </w:rPr>
            </w:pPr>
          </w:p>
        </w:tc>
      </w:tr>
      <w:tr w:rsidR="00C802D9" w14:paraId="67914978" w14:textId="77777777" w:rsidTr="00715337">
        <w:trPr>
          <w:jc w:val="center"/>
        </w:trPr>
        <w:tc>
          <w:tcPr>
            <w:tcW w:w="3096" w:type="dxa"/>
            <w:shd w:val="clear" w:color="auto" w:fill="auto"/>
          </w:tcPr>
          <w:p w14:paraId="20AAA3C1" w14:textId="77777777" w:rsidR="0094424E" w:rsidRPr="00715337" w:rsidRDefault="00C9217F" w:rsidP="00715337">
            <w:pPr>
              <w:suppressLineNumbers/>
              <w:rPr>
                <w:rFonts w:ascii="David" w:hAnsi="David"/>
                <w:sz w:val="28"/>
                <w:szCs w:val="28"/>
              </w:rPr>
            </w:pPr>
            <w:r w:rsidRPr="00715337">
              <w:rPr>
                <w:rFonts w:ascii="David" w:hAnsi="David" w:hint="cs"/>
                <w:sz w:val="28"/>
                <w:szCs w:val="28"/>
                <w:rtl/>
              </w:rPr>
              <w:t>ה</w:t>
            </w:r>
            <w:r w:rsidRPr="00715337">
              <w:rPr>
                <w:rFonts w:ascii="David" w:hAnsi="David"/>
                <w:sz w:val="28"/>
                <w:szCs w:val="28"/>
                <w:rtl/>
              </w:rPr>
              <w:t>משיב</w:t>
            </w:r>
            <w:r w:rsidR="00F45965" w:rsidRPr="00715337">
              <w:rPr>
                <w:rFonts w:ascii="David" w:hAnsi="David" w:hint="cs"/>
                <w:sz w:val="28"/>
                <w:szCs w:val="28"/>
                <w:rtl/>
              </w:rPr>
              <w:t>ה</w:t>
            </w:r>
            <w:r w:rsidRPr="00715337">
              <w:rPr>
                <w:rFonts w:ascii="David" w:hAnsi="David" w:hint="cs"/>
                <w:sz w:val="28"/>
                <w:szCs w:val="28"/>
                <w:rtl/>
              </w:rPr>
              <w:t>:</w:t>
            </w:r>
          </w:p>
        </w:tc>
        <w:tc>
          <w:tcPr>
            <w:tcW w:w="5252" w:type="dxa"/>
            <w:shd w:val="clear" w:color="auto" w:fill="auto"/>
          </w:tcPr>
          <w:p w14:paraId="4D58ED38" w14:textId="77777777" w:rsidR="00CF6BB7" w:rsidRPr="00715337" w:rsidRDefault="007F4CC9" w:rsidP="00715337">
            <w:pPr>
              <w:suppressLineNumbers/>
              <w:rPr>
                <w:rFonts w:ascii="David" w:hAnsi="David"/>
                <w:sz w:val="28"/>
                <w:szCs w:val="28"/>
                <w:rtl/>
              </w:rPr>
            </w:pPr>
            <w:r w:rsidRPr="00715337">
              <w:rPr>
                <w:rFonts w:ascii="David" w:hAnsi="David"/>
                <w:sz w:val="28"/>
                <w:szCs w:val="28"/>
                <w:rtl/>
              </w:rPr>
              <w:t>מדינת ישראל</w:t>
            </w:r>
            <w:r w:rsidR="00F45965" w:rsidRPr="00715337">
              <w:rPr>
                <w:rFonts w:ascii="David" w:hAnsi="David"/>
                <w:sz w:val="28"/>
                <w:szCs w:val="28"/>
                <w:rtl/>
              </w:rPr>
              <w:t xml:space="preserve"> – </w:t>
            </w:r>
            <w:r w:rsidRPr="00715337">
              <w:rPr>
                <w:rFonts w:ascii="David" w:hAnsi="David"/>
                <w:sz w:val="28"/>
                <w:szCs w:val="28"/>
                <w:rtl/>
              </w:rPr>
              <w:t>רשות מקרקעי ישראל</w:t>
            </w:r>
          </w:p>
        </w:tc>
      </w:tr>
      <w:tr w:rsidR="00C802D9" w14:paraId="5076708B" w14:textId="77777777" w:rsidTr="00715337">
        <w:trPr>
          <w:jc w:val="center"/>
        </w:trPr>
        <w:tc>
          <w:tcPr>
            <w:tcW w:w="3096" w:type="dxa"/>
            <w:shd w:val="clear" w:color="auto" w:fill="auto"/>
          </w:tcPr>
          <w:p w14:paraId="4BBC6F6A" w14:textId="77777777" w:rsidR="00C9217F" w:rsidRPr="00715337" w:rsidRDefault="00C9217F" w:rsidP="00715337">
            <w:pPr>
              <w:suppressLineNumbers/>
              <w:rPr>
                <w:rFonts w:ascii="David" w:hAnsi="David"/>
                <w:sz w:val="28"/>
                <w:szCs w:val="28"/>
                <w:rtl/>
              </w:rPr>
            </w:pPr>
          </w:p>
        </w:tc>
        <w:tc>
          <w:tcPr>
            <w:tcW w:w="5252" w:type="dxa"/>
            <w:shd w:val="clear" w:color="auto" w:fill="auto"/>
          </w:tcPr>
          <w:p w14:paraId="170B01CA" w14:textId="77777777" w:rsidR="00C9217F" w:rsidRPr="00715337" w:rsidRDefault="00C9217F" w:rsidP="00715337">
            <w:pPr>
              <w:suppressLineNumbers/>
              <w:rPr>
                <w:rFonts w:ascii="David" w:hAnsi="David"/>
                <w:rtl/>
              </w:rPr>
            </w:pPr>
          </w:p>
          <w:p w14:paraId="1C50526A" w14:textId="77777777" w:rsidR="00F45965" w:rsidRPr="00715337" w:rsidRDefault="00000000" w:rsidP="00715337">
            <w:pPr>
              <w:suppressLineNumbers/>
              <w:jc w:val="both"/>
              <w:rPr>
                <w:rFonts w:ascii="David" w:hAnsi="David"/>
                <w:sz w:val="28"/>
                <w:szCs w:val="28"/>
                <w:rtl/>
              </w:rPr>
            </w:pPr>
            <w:r w:rsidRPr="00715337">
              <w:rPr>
                <w:rFonts w:hint="cs"/>
                <w:rtl/>
              </w:rPr>
              <w:t>ערעור על פסק דינו של בית המשפט המחוזי חיפה (השופטת ר' איזנברג) שניתן ביום 12.9.2023 ב</w:t>
            </w:r>
            <w:hyperlink r:id="rId7" w:history="1">
              <w:r w:rsidR="00715337" w:rsidRPr="00715337">
                <w:rPr>
                  <w:color w:val="0000FF"/>
                  <w:u w:val="single"/>
                  <w:rtl/>
                </w:rPr>
                <w:t>ת"א 68495-05-23</w:t>
              </w:r>
              <w:r w:rsidR="00715337" w:rsidRPr="00715337">
                <w:rPr>
                  <w:color w:val="0000FF"/>
                  <w:u w:val="single"/>
                  <w:rtl/>
                </w:rPr>
                <w:cr/>
              </w:r>
            </w:hyperlink>
            <w:r w:rsidR="00D51CAE">
              <w:rPr>
                <w:rFonts w:hint="cs"/>
                <w:rtl/>
              </w:rPr>
              <w:t>[נבו]</w:t>
            </w:r>
          </w:p>
        </w:tc>
      </w:tr>
      <w:tr w:rsidR="00C802D9" w14:paraId="47F6BBB9" w14:textId="77777777" w:rsidTr="00715337">
        <w:trPr>
          <w:jc w:val="center"/>
        </w:trPr>
        <w:tc>
          <w:tcPr>
            <w:tcW w:w="3096" w:type="dxa"/>
            <w:shd w:val="clear" w:color="auto" w:fill="auto"/>
          </w:tcPr>
          <w:p w14:paraId="6AC85BA3" w14:textId="77777777" w:rsidR="00105E0F" w:rsidRPr="00715337" w:rsidRDefault="00C9217F" w:rsidP="00715337">
            <w:pPr>
              <w:suppressLineNumbers/>
              <w:rPr>
                <w:rFonts w:ascii="David" w:hAnsi="David"/>
                <w:sz w:val="28"/>
                <w:szCs w:val="28"/>
              </w:rPr>
            </w:pPr>
            <w:r w:rsidRPr="00715337">
              <w:rPr>
                <w:rFonts w:ascii="David" w:hAnsi="David" w:hint="cs"/>
                <w:sz w:val="28"/>
                <w:szCs w:val="28"/>
                <w:rtl/>
              </w:rPr>
              <w:t>בשם ה</w:t>
            </w:r>
            <w:r w:rsidRPr="00715337">
              <w:rPr>
                <w:rFonts w:ascii="David" w:hAnsi="David"/>
                <w:sz w:val="28"/>
                <w:szCs w:val="28"/>
                <w:rtl/>
              </w:rPr>
              <w:t>מערערים</w:t>
            </w:r>
            <w:r w:rsidRPr="00715337">
              <w:rPr>
                <w:rFonts w:ascii="David" w:hAnsi="David" w:hint="cs"/>
                <w:sz w:val="28"/>
                <w:szCs w:val="28"/>
                <w:rtl/>
              </w:rPr>
              <w:t>:</w:t>
            </w:r>
          </w:p>
          <w:p w14:paraId="23705F92" w14:textId="77777777" w:rsidR="00105E0F" w:rsidRPr="00715337" w:rsidRDefault="00105E0F" w:rsidP="00715337">
            <w:pPr>
              <w:suppressLineNumbers/>
              <w:rPr>
                <w:rFonts w:ascii="David" w:hAnsi="David"/>
                <w:sz w:val="28"/>
                <w:szCs w:val="28"/>
                <w:rtl/>
              </w:rPr>
            </w:pPr>
          </w:p>
        </w:tc>
        <w:tc>
          <w:tcPr>
            <w:tcW w:w="5252" w:type="dxa"/>
            <w:shd w:val="clear" w:color="auto" w:fill="auto"/>
          </w:tcPr>
          <w:p w14:paraId="290F387C" w14:textId="77777777" w:rsidR="00105E0F" w:rsidRPr="00715337" w:rsidRDefault="00616AE2" w:rsidP="00715337">
            <w:pPr>
              <w:suppressLineNumbers/>
              <w:rPr>
                <w:rFonts w:ascii="David" w:hAnsi="David"/>
                <w:sz w:val="28"/>
                <w:szCs w:val="28"/>
                <w:rtl/>
              </w:rPr>
            </w:pPr>
            <w:r w:rsidRPr="00715337">
              <w:rPr>
                <w:rFonts w:ascii="David" w:hAnsi="David" w:hint="cs"/>
                <w:sz w:val="28"/>
                <w:szCs w:val="28"/>
                <w:rtl/>
              </w:rPr>
              <w:t xml:space="preserve">עו"ד </w:t>
            </w:r>
            <w:r w:rsidRPr="00715337">
              <w:rPr>
                <w:rFonts w:ascii="David" w:hAnsi="David"/>
                <w:sz w:val="28"/>
                <w:szCs w:val="28"/>
                <w:rtl/>
              </w:rPr>
              <w:t>זכי</w:t>
            </w:r>
            <w:r w:rsidR="00000000" w:rsidRPr="00715337">
              <w:rPr>
                <w:rFonts w:ascii="David" w:hAnsi="David"/>
                <w:sz w:val="28"/>
                <w:szCs w:val="28"/>
                <w:rtl/>
              </w:rPr>
              <w:t xml:space="preserve"> </w:t>
            </w:r>
            <w:r w:rsidRPr="00715337">
              <w:rPr>
                <w:rFonts w:ascii="David" w:hAnsi="David"/>
                <w:sz w:val="28"/>
                <w:szCs w:val="28"/>
                <w:rtl/>
              </w:rPr>
              <w:t>כמאל</w:t>
            </w:r>
            <w:r w:rsidRPr="00715337">
              <w:rPr>
                <w:rFonts w:ascii="David" w:hAnsi="David" w:hint="cs"/>
                <w:sz w:val="28"/>
                <w:szCs w:val="28"/>
                <w:rtl/>
              </w:rPr>
              <w:t xml:space="preserve"> </w:t>
            </w:r>
          </w:p>
        </w:tc>
      </w:tr>
      <w:tr w:rsidR="00C802D9" w14:paraId="2F0EC7D3" w14:textId="77777777" w:rsidTr="00715337">
        <w:trPr>
          <w:jc w:val="center"/>
        </w:trPr>
        <w:tc>
          <w:tcPr>
            <w:tcW w:w="3096" w:type="dxa"/>
            <w:shd w:val="clear" w:color="auto" w:fill="auto"/>
          </w:tcPr>
          <w:p w14:paraId="5F8C7768" w14:textId="77777777" w:rsidR="00105E0F" w:rsidRPr="00715337" w:rsidRDefault="00C9217F" w:rsidP="00715337">
            <w:pPr>
              <w:suppressLineNumbers/>
              <w:rPr>
                <w:rFonts w:ascii="David" w:hAnsi="David"/>
                <w:sz w:val="28"/>
                <w:szCs w:val="28"/>
              </w:rPr>
            </w:pPr>
            <w:bookmarkStart w:id="3" w:name="FirstLawyer"/>
            <w:r w:rsidRPr="00715337">
              <w:rPr>
                <w:rFonts w:ascii="David" w:hAnsi="David" w:hint="cs"/>
                <w:sz w:val="28"/>
                <w:szCs w:val="28"/>
                <w:rtl/>
              </w:rPr>
              <w:t>בשם ה</w:t>
            </w:r>
            <w:r w:rsidRPr="00715337">
              <w:rPr>
                <w:rFonts w:ascii="David" w:hAnsi="David"/>
                <w:sz w:val="28"/>
                <w:szCs w:val="28"/>
                <w:rtl/>
              </w:rPr>
              <w:t>משיב</w:t>
            </w:r>
            <w:r w:rsidR="00F45965" w:rsidRPr="00715337">
              <w:rPr>
                <w:rFonts w:ascii="David" w:hAnsi="David" w:hint="cs"/>
                <w:sz w:val="28"/>
                <w:szCs w:val="28"/>
                <w:rtl/>
              </w:rPr>
              <w:t>ה</w:t>
            </w:r>
            <w:r w:rsidRPr="00715337">
              <w:rPr>
                <w:rFonts w:ascii="David" w:hAnsi="David" w:hint="cs"/>
                <w:sz w:val="28"/>
                <w:szCs w:val="28"/>
                <w:rtl/>
              </w:rPr>
              <w:t>:</w:t>
            </w:r>
          </w:p>
        </w:tc>
        <w:tc>
          <w:tcPr>
            <w:tcW w:w="5252" w:type="dxa"/>
            <w:shd w:val="clear" w:color="auto" w:fill="auto"/>
          </w:tcPr>
          <w:p w14:paraId="2ACDAA66" w14:textId="77777777" w:rsidR="00105E0F" w:rsidRPr="00715337" w:rsidRDefault="00616AE2" w:rsidP="00715337">
            <w:pPr>
              <w:suppressLineNumbers/>
              <w:rPr>
                <w:rFonts w:ascii="David" w:hAnsi="David"/>
                <w:sz w:val="28"/>
                <w:szCs w:val="28"/>
              </w:rPr>
            </w:pPr>
            <w:r w:rsidRPr="00715337">
              <w:rPr>
                <w:rFonts w:ascii="David" w:hAnsi="David" w:hint="cs"/>
                <w:sz w:val="28"/>
                <w:szCs w:val="28"/>
                <w:rtl/>
              </w:rPr>
              <w:t xml:space="preserve">עו"ד </w:t>
            </w:r>
            <w:r w:rsidR="00667C59" w:rsidRPr="00715337">
              <w:rPr>
                <w:rFonts w:ascii="David" w:hAnsi="David" w:hint="cs"/>
                <w:sz w:val="28"/>
                <w:szCs w:val="28"/>
                <w:rtl/>
              </w:rPr>
              <w:t>תמר צפדיה</w:t>
            </w:r>
            <w:r w:rsidRPr="00715337">
              <w:rPr>
                <w:rFonts w:ascii="David" w:hAnsi="David" w:hint="cs"/>
                <w:sz w:val="28"/>
                <w:szCs w:val="28"/>
                <w:rtl/>
              </w:rPr>
              <w:t xml:space="preserve"> </w:t>
            </w:r>
          </w:p>
        </w:tc>
      </w:tr>
      <w:bookmarkEnd w:id="3"/>
    </w:tbl>
    <w:p w14:paraId="6514A90A" w14:textId="77777777" w:rsidR="0094424E" w:rsidRDefault="0094424E" w:rsidP="00D44968">
      <w:pPr>
        <w:suppressLineNumbers/>
        <w:rPr>
          <w:rFonts w:ascii="David" w:hAnsi="David"/>
          <w:rtl/>
        </w:rPr>
      </w:pPr>
    </w:p>
    <w:p w14:paraId="1799949B" w14:textId="77777777" w:rsidR="00A260AA" w:rsidRPr="00D51CAE" w:rsidRDefault="00A260AA" w:rsidP="00D51CAE">
      <w:pPr>
        <w:suppressLineNumbers/>
        <w:rPr>
          <w:rFonts w:ascii="David" w:hAnsi="David"/>
          <w:rtl/>
        </w:rPr>
      </w:pPr>
      <w:bookmarkStart w:id="4" w:name="ABSTRACT_END"/>
      <w:bookmarkEnd w:id="4"/>
    </w:p>
    <w:tbl>
      <w:tblPr>
        <w:bidiVisual/>
        <w:tblW w:w="8498" w:type="dxa"/>
        <w:jc w:val="center"/>
        <w:tblLook w:val="01E0" w:firstRow="1" w:lastRow="1" w:firstColumn="1" w:lastColumn="1" w:noHBand="0" w:noVBand="0"/>
      </w:tblPr>
      <w:tblGrid>
        <w:gridCol w:w="8498"/>
      </w:tblGrid>
      <w:tr w:rsidR="00C802D9" w14:paraId="2C15F888" w14:textId="77777777" w:rsidTr="00715337">
        <w:trPr>
          <w:jc w:val="center"/>
        </w:trPr>
        <w:tc>
          <w:tcPr>
            <w:tcW w:w="8498" w:type="dxa"/>
            <w:shd w:val="clear" w:color="auto" w:fill="auto"/>
          </w:tcPr>
          <w:p w14:paraId="79E6B77A" w14:textId="77777777" w:rsidR="00715337" w:rsidRPr="00715337" w:rsidRDefault="00000000" w:rsidP="00715337">
            <w:pPr>
              <w:bidi w:val="0"/>
              <w:jc w:val="center"/>
              <w:rPr>
                <w:rFonts w:ascii="David" w:hAnsi="David"/>
                <w:b/>
                <w:bCs/>
                <w:spacing w:val="30"/>
                <w:sz w:val="28"/>
                <w:szCs w:val="28"/>
                <w:u w:val="single"/>
                <w:rtl/>
              </w:rPr>
            </w:pPr>
            <w:bookmarkStart w:id="5" w:name="PsakDin"/>
            <w:r w:rsidRPr="00715337">
              <w:rPr>
                <w:rFonts w:ascii="David" w:hAnsi="David"/>
                <w:b/>
                <w:bCs/>
                <w:spacing w:val="30"/>
                <w:sz w:val="28"/>
                <w:szCs w:val="28"/>
                <w:u w:val="single"/>
                <w:rtl/>
              </w:rPr>
              <w:t>פסק-דין</w:t>
            </w:r>
          </w:p>
          <w:bookmarkEnd w:id="5"/>
          <w:p w14:paraId="2319B3DD" w14:textId="77777777" w:rsidR="00D44968" w:rsidRPr="00715337" w:rsidRDefault="00D44968" w:rsidP="00715337">
            <w:pPr>
              <w:bidi w:val="0"/>
              <w:jc w:val="center"/>
              <w:rPr>
                <w:rFonts w:ascii="David" w:hAnsi="David"/>
                <w:b/>
                <w:bCs/>
                <w:u w:val="single"/>
              </w:rPr>
            </w:pPr>
          </w:p>
        </w:tc>
      </w:tr>
    </w:tbl>
    <w:p w14:paraId="61EC4BAD" w14:textId="77777777" w:rsidR="00694556" w:rsidRPr="00FB7A67" w:rsidRDefault="00694556">
      <w:pPr>
        <w:spacing w:line="360" w:lineRule="auto"/>
        <w:jc w:val="both"/>
        <w:rPr>
          <w:rFonts w:ascii="FrankRuehl" w:hAnsi="FrankRuehl" w:cs="FrankRuehl"/>
          <w:spacing w:val="10"/>
          <w:sz w:val="28"/>
          <w:szCs w:val="28"/>
          <w:rtl/>
        </w:rPr>
      </w:pPr>
      <w:bookmarkStart w:id="6" w:name="NGCSBookmark"/>
      <w:bookmarkEnd w:id="0"/>
      <w:bookmarkEnd w:id="6"/>
    </w:p>
    <w:p w14:paraId="4120169F" w14:textId="77777777" w:rsidR="00E311E6" w:rsidRDefault="00000000" w:rsidP="00E311E6">
      <w:pPr>
        <w:pStyle w:val="Ruller41"/>
        <w:rPr>
          <w:rFonts w:ascii="Century" w:hAnsi="Century" w:cs="Miriam"/>
          <w:b/>
          <w:spacing w:val="0"/>
          <w:szCs w:val="24"/>
          <w:u w:val="single"/>
        </w:rPr>
      </w:pPr>
      <w:r w:rsidRPr="00E311E6">
        <w:rPr>
          <w:rFonts w:ascii="Century" w:hAnsi="Century" w:cs="Miriam"/>
          <w:b/>
          <w:spacing w:val="0"/>
          <w:szCs w:val="24"/>
          <w:u w:val="single"/>
          <w:rtl/>
        </w:rPr>
        <w:t>ה</w:t>
      </w:r>
      <w:r>
        <w:rPr>
          <w:rFonts w:ascii="Century" w:hAnsi="Century" w:cs="Miriam"/>
          <w:b/>
          <w:spacing w:val="0"/>
          <w:szCs w:val="24"/>
          <w:u w:val="single"/>
          <w:rtl/>
        </w:rPr>
        <w:t>שופט</w:t>
      </w:r>
      <w:r w:rsidRPr="00E311E6">
        <w:rPr>
          <w:rFonts w:ascii="Century" w:hAnsi="Century" w:cs="Miriam"/>
          <w:b/>
          <w:spacing w:val="0"/>
          <w:szCs w:val="24"/>
          <w:u w:val="single"/>
          <w:rtl/>
        </w:rPr>
        <w:t xml:space="preserve"> </w:t>
      </w:r>
      <w:r>
        <w:rPr>
          <w:rFonts w:ascii="Century" w:hAnsi="Century" w:cs="Miriam"/>
          <w:b/>
          <w:spacing w:val="0"/>
          <w:szCs w:val="24"/>
          <w:u w:val="single"/>
          <w:rtl/>
        </w:rPr>
        <w:t>אלכס שטיין</w:t>
      </w:r>
      <w:r w:rsidRPr="00E311E6">
        <w:rPr>
          <w:rFonts w:ascii="Century" w:hAnsi="Century" w:cs="Miriam"/>
          <w:b/>
          <w:spacing w:val="0"/>
          <w:szCs w:val="24"/>
          <w:u w:val="single"/>
          <w:rtl/>
        </w:rPr>
        <w:t>:</w:t>
      </w:r>
    </w:p>
    <w:p w14:paraId="0710A563" w14:textId="77777777" w:rsidR="00C61238" w:rsidRDefault="00C61238">
      <w:pPr>
        <w:spacing w:line="360" w:lineRule="auto"/>
        <w:jc w:val="both"/>
        <w:rPr>
          <w:rFonts w:ascii="FrankRuehl" w:hAnsi="FrankRuehl" w:cs="FrankRuehl"/>
          <w:spacing w:val="10"/>
          <w:sz w:val="28"/>
          <w:szCs w:val="28"/>
          <w:rtl/>
        </w:rPr>
      </w:pPr>
    </w:p>
    <w:p w14:paraId="24A56F5A" w14:textId="77777777" w:rsidR="00DC5EF2" w:rsidRDefault="00000000" w:rsidP="00DC5EF2">
      <w:pPr>
        <w:pStyle w:val="Ruller41"/>
        <w:rPr>
          <w:rFonts w:ascii="Century" w:hAnsi="Century" w:cs="Miriam"/>
          <w:b/>
          <w:spacing w:val="0"/>
          <w:szCs w:val="24"/>
        </w:rPr>
      </w:pPr>
      <w:r>
        <w:rPr>
          <w:rFonts w:ascii="Century" w:hAnsi="Century" w:cs="Miriam"/>
          <w:b/>
          <w:spacing w:val="0"/>
          <w:szCs w:val="24"/>
          <w:rtl/>
        </w:rPr>
        <w:t>הערעור</w:t>
      </w:r>
    </w:p>
    <w:p w14:paraId="79ADA5DC" w14:textId="77777777" w:rsidR="00DC5EF2" w:rsidRDefault="00DC5EF2" w:rsidP="00DC5EF2">
      <w:pPr>
        <w:pStyle w:val="Ruller41"/>
        <w:rPr>
          <w:rFonts w:ascii="Century" w:hAnsi="Century" w:cs="Miriam"/>
          <w:b/>
          <w:spacing w:val="0"/>
          <w:szCs w:val="24"/>
          <w:rtl/>
        </w:rPr>
      </w:pPr>
    </w:p>
    <w:p w14:paraId="15C0E4C8" w14:textId="77777777" w:rsidR="00DC5EF2" w:rsidRDefault="00000000" w:rsidP="00DC5EF2">
      <w:pPr>
        <w:pStyle w:val="Ruller4"/>
        <w:numPr>
          <w:ilvl w:val="0"/>
          <w:numId w:val="12"/>
        </w:numPr>
        <w:textAlignment w:val="auto"/>
        <w:rPr>
          <w:rtl/>
        </w:rPr>
      </w:pPr>
      <w:r>
        <w:rPr>
          <w:rtl/>
        </w:rPr>
        <w:t xml:space="preserve">לפנינו ערעור על פסק דינו של בית המשפט המחוזי חיפה (השופטת </w:t>
      </w:r>
      <w:r>
        <w:rPr>
          <w:rFonts w:ascii="Century" w:hAnsi="Century" w:cs="Miriam"/>
          <w:b/>
          <w:spacing w:val="0"/>
          <w:sz w:val="22"/>
          <w:szCs w:val="24"/>
          <w:rtl/>
        </w:rPr>
        <w:t>ר' איזנברג</w:t>
      </w:r>
      <w:r>
        <w:rPr>
          <w:rtl/>
        </w:rPr>
        <w:t xml:space="preserve">) (להלן: </w:t>
      </w:r>
      <w:r>
        <w:rPr>
          <w:rFonts w:ascii="Century" w:hAnsi="Century" w:cs="Miriam"/>
          <w:b/>
          <w:spacing w:val="0"/>
          <w:sz w:val="22"/>
          <w:szCs w:val="24"/>
          <w:rtl/>
        </w:rPr>
        <w:t>בית משפט קמא</w:t>
      </w:r>
      <w:r>
        <w:rPr>
          <w:rtl/>
        </w:rPr>
        <w:t>), אשר ניתן ביום 12.9.2023 ב</w:t>
      </w:r>
      <w:hyperlink r:id="rId8" w:history="1">
        <w:r w:rsidR="00715337" w:rsidRPr="00715337">
          <w:rPr>
            <w:rFonts w:hint="eastAsia"/>
            <w:color w:val="0000FF"/>
            <w:u w:val="single"/>
            <w:rtl/>
          </w:rPr>
          <w:t>ת</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68495-05-23</w:t>
        </w:r>
      </w:hyperlink>
      <w:r>
        <w:rPr>
          <w:rtl/>
        </w:rPr>
        <w:t xml:space="preserve">, </w:t>
      </w:r>
      <w:r w:rsidR="00D51CAE">
        <w:rPr>
          <w:rFonts w:hint="cs"/>
          <w:rtl/>
        </w:rPr>
        <w:t xml:space="preserve">[נבו] </w:t>
      </w:r>
      <w:r>
        <w:rPr>
          <w:rtl/>
        </w:rPr>
        <w:t xml:space="preserve">ואשר בגדרו קיבל בית משפט קמא את בקשת המשיבה, מדינת ישראל (להלן: </w:t>
      </w:r>
      <w:r>
        <w:rPr>
          <w:rFonts w:ascii="Century" w:hAnsi="Century" w:cs="Miriam"/>
          <w:b/>
          <w:spacing w:val="0"/>
          <w:sz w:val="22"/>
          <w:szCs w:val="24"/>
          <w:rtl/>
        </w:rPr>
        <w:t>המדינה</w:t>
      </w:r>
      <w:r>
        <w:rPr>
          <w:rtl/>
        </w:rPr>
        <w:t xml:space="preserve">), לסילוק התביעה על הסף. בתביעתם, ביקשו המערערים סעד הצהרתי כי יוכרו כבעלים במקרקעין המצויים בבסמת טבעון (להלן: </w:t>
      </w:r>
      <w:r>
        <w:rPr>
          <w:rFonts w:ascii="Century" w:hAnsi="Century" w:cs="Miriam"/>
          <w:b/>
          <w:spacing w:val="0"/>
          <w:sz w:val="22"/>
          <w:szCs w:val="24"/>
          <w:rtl/>
        </w:rPr>
        <w:t>המועצה</w:t>
      </w:r>
      <w:r>
        <w:rPr>
          <w:rtl/>
        </w:rPr>
        <w:t xml:space="preserve">), הידועים כגוש 10473, חלקה 6, ששטחו 149,030 מ"ר (להלן: </w:t>
      </w:r>
      <w:r>
        <w:rPr>
          <w:rFonts w:ascii="Century" w:hAnsi="Century" w:cs="Miriam"/>
          <w:b/>
          <w:spacing w:val="0"/>
          <w:sz w:val="22"/>
          <w:szCs w:val="24"/>
          <w:rtl/>
        </w:rPr>
        <w:t xml:space="preserve">המקרקעין נושא המחלוקת </w:t>
      </w:r>
      <w:r>
        <w:rPr>
          <w:rFonts w:ascii="Century" w:hAnsi="Century"/>
          <w:sz w:val="22"/>
          <w:rtl/>
        </w:rPr>
        <w:t xml:space="preserve">או </w:t>
      </w:r>
      <w:r>
        <w:rPr>
          <w:rFonts w:ascii="Century" w:hAnsi="Century" w:cs="Miriam"/>
          <w:b/>
          <w:spacing w:val="0"/>
          <w:sz w:val="22"/>
          <w:szCs w:val="24"/>
          <w:rtl/>
        </w:rPr>
        <w:t>המקרקעין</w:t>
      </w:r>
      <w:r>
        <w:rPr>
          <w:rtl/>
        </w:rPr>
        <w:t>). לחלופין, המערערים עתרו להכרה כבעלי רשות בלתי הדירה במקרקעין.</w:t>
      </w:r>
    </w:p>
    <w:p w14:paraId="241589E0" w14:textId="77777777" w:rsidR="00DC5EF2" w:rsidRDefault="00000000" w:rsidP="00DC5EF2">
      <w:pPr>
        <w:pStyle w:val="Ruller41"/>
        <w:rPr>
          <w:rFonts w:ascii="Century" w:hAnsi="Century" w:cs="Miriam"/>
          <w:b/>
          <w:spacing w:val="0"/>
          <w:szCs w:val="24"/>
          <w:rtl/>
        </w:rPr>
      </w:pPr>
      <w:r>
        <w:rPr>
          <w:rFonts w:ascii="Century" w:hAnsi="Century" w:cs="Miriam"/>
          <w:b/>
          <w:spacing w:val="0"/>
          <w:szCs w:val="24"/>
          <w:rtl/>
        </w:rPr>
        <w:lastRenderedPageBreak/>
        <w:t>העובדות</w:t>
      </w:r>
    </w:p>
    <w:p w14:paraId="69571935" w14:textId="77777777" w:rsidR="00DC5EF2" w:rsidRDefault="00DC5EF2" w:rsidP="00DC5EF2">
      <w:pPr>
        <w:pStyle w:val="Ruller41"/>
        <w:rPr>
          <w:rFonts w:ascii="Century" w:hAnsi="Century" w:cs="Miriam"/>
          <w:b/>
          <w:spacing w:val="0"/>
          <w:szCs w:val="24"/>
          <w:rtl/>
        </w:rPr>
      </w:pPr>
    </w:p>
    <w:p w14:paraId="4D6F075B" w14:textId="77777777" w:rsidR="00931968" w:rsidRPr="00931968" w:rsidRDefault="00000000" w:rsidP="00DC5EF2">
      <w:pPr>
        <w:pStyle w:val="Ruller4"/>
        <w:numPr>
          <w:ilvl w:val="0"/>
          <w:numId w:val="12"/>
        </w:numPr>
        <w:textAlignment w:val="auto"/>
        <w:rPr>
          <w:rFonts w:ascii="Century" w:hAnsi="Century" w:cs="Miriam"/>
          <w:b/>
          <w:spacing w:val="0"/>
          <w:szCs w:val="24"/>
        </w:rPr>
      </w:pPr>
      <w:r>
        <w:rPr>
          <w:rtl/>
        </w:rPr>
        <w:t>ואלה העובדות הדרושות לענייננו</w:t>
      </w:r>
      <w:r>
        <w:rPr>
          <w:rFonts w:hint="cs"/>
          <w:rtl/>
        </w:rPr>
        <w:t>.</w:t>
      </w:r>
      <w:r w:rsidR="00DC5EF2">
        <w:rPr>
          <w:rtl/>
        </w:rPr>
        <w:t xml:space="preserve"> </w:t>
      </w:r>
    </w:p>
    <w:p w14:paraId="377A06A0" w14:textId="77777777" w:rsidR="00931968" w:rsidRPr="00931968" w:rsidRDefault="00931968" w:rsidP="00931968">
      <w:pPr>
        <w:pStyle w:val="Ruller4"/>
        <w:numPr>
          <w:ilvl w:val="0"/>
          <w:numId w:val="0"/>
        </w:numPr>
        <w:textAlignment w:val="auto"/>
        <w:rPr>
          <w:rFonts w:ascii="Century" w:hAnsi="Century" w:cs="Miriam"/>
          <w:b/>
          <w:spacing w:val="0"/>
          <w:szCs w:val="24"/>
        </w:rPr>
      </w:pPr>
    </w:p>
    <w:p w14:paraId="5F5CF66C" w14:textId="77777777" w:rsidR="00DC5EF2" w:rsidRDefault="00000000" w:rsidP="00DC5EF2">
      <w:pPr>
        <w:pStyle w:val="Ruller4"/>
        <w:numPr>
          <w:ilvl w:val="0"/>
          <w:numId w:val="12"/>
        </w:numPr>
        <w:textAlignment w:val="auto"/>
        <w:rPr>
          <w:rFonts w:ascii="Century" w:hAnsi="Century" w:cs="Miriam"/>
          <w:b/>
          <w:spacing w:val="0"/>
          <w:szCs w:val="24"/>
          <w:rtl/>
        </w:rPr>
      </w:pPr>
      <w:r>
        <w:rPr>
          <w:rtl/>
        </w:rPr>
        <w:t xml:space="preserve">המקרקעין נושא המחלוקת רשומים בשלמותם על שם מדינת ישראל מכוח הליכי הסדר שהסתיימו ביום 4.5.1942 לפי שטר 144/1942. </w:t>
      </w:r>
    </w:p>
    <w:p w14:paraId="0C668652" w14:textId="77777777" w:rsidR="00DC5EF2" w:rsidRDefault="00DC5EF2" w:rsidP="00DC5EF2">
      <w:pPr>
        <w:pStyle w:val="Ruller41"/>
        <w:rPr>
          <w:rtl/>
        </w:rPr>
      </w:pPr>
    </w:p>
    <w:p w14:paraId="543BBFA5" w14:textId="77777777" w:rsidR="00DC5EF2" w:rsidRDefault="00000000" w:rsidP="00DC5EF2">
      <w:pPr>
        <w:pStyle w:val="Ruller4"/>
        <w:numPr>
          <w:ilvl w:val="0"/>
          <w:numId w:val="12"/>
        </w:numPr>
        <w:textAlignment w:val="auto"/>
        <w:rPr>
          <w:rtl/>
        </w:rPr>
      </w:pPr>
      <w:r>
        <w:rPr>
          <w:rtl/>
        </w:rPr>
        <w:t xml:space="preserve">המערערים הם צאצאים של מר כאמל מוחמד עלי חוסיין ומר איברהים מוחמד עלי חוסיין (להלן: </w:t>
      </w:r>
      <w:r>
        <w:rPr>
          <w:rFonts w:ascii="Century" w:hAnsi="Century" w:cs="Miriam"/>
          <w:b/>
          <w:spacing w:val="0"/>
          <w:sz w:val="22"/>
          <w:szCs w:val="24"/>
          <w:rtl/>
        </w:rPr>
        <w:t>כאמל ואיברהים</w:t>
      </w:r>
      <w:r>
        <w:rPr>
          <w:rtl/>
        </w:rPr>
        <w:t xml:space="preserve">). כאמל ואיברהים הם יורשי המנוח מוחמד עלי זבידאת. </w:t>
      </w:r>
    </w:p>
    <w:p w14:paraId="1333FE34" w14:textId="77777777" w:rsidR="00DC5EF2" w:rsidRDefault="00DC5EF2" w:rsidP="00DC5EF2">
      <w:pPr>
        <w:pStyle w:val="Ruller41"/>
        <w:rPr>
          <w:rtl/>
        </w:rPr>
      </w:pPr>
    </w:p>
    <w:p w14:paraId="4CABBB86" w14:textId="77777777" w:rsidR="00DC5EF2" w:rsidRDefault="00000000" w:rsidP="00DC5EF2">
      <w:pPr>
        <w:pStyle w:val="Ruller4"/>
        <w:numPr>
          <w:ilvl w:val="0"/>
          <w:numId w:val="12"/>
        </w:numPr>
        <w:textAlignment w:val="auto"/>
        <w:rPr>
          <w:rtl/>
        </w:rPr>
      </w:pPr>
      <w:r>
        <w:rPr>
          <w:rtl/>
        </w:rPr>
        <w:t>בין המדינה לבין אבותיהם של המערערים התנהלו שורה ארוכה של הליכים משפטיים אשר נוגעים לענייננו; ואלה עיקריהם:</w:t>
      </w:r>
    </w:p>
    <w:p w14:paraId="7345EB14" w14:textId="77777777" w:rsidR="00DC5EF2" w:rsidRDefault="00DC5EF2" w:rsidP="00DC5EF2">
      <w:pPr>
        <w:pStyle w:val="Ruller41"/>
        <w:rPr>
          <w:rtl/>
        </w:rPr>
      </w:pPr>
    </w:p>
    <w:p w14:paraId="5C585194" w14:textId="77777777" w:rsidR="00DC5EF2" w:rsidRDefault="00000000" w:rsidP="00DC5EF2">
      <w:pPr>
        <w:pStyle w:val="Ruller41"/>
        <w:rPr>
          <w:rtl/>
        </w:rPr>
      </w:pPr>
      <w:r>
        <w:rPr>
          <w:rtl/>
        </w:rPr>
        <w:tab/>
        <w:t xml:space="preserve">ביום 16.9.1982 ניתן פסק דינו של בית משפט השלום חיפה בת"א 4600/80 (להלן: </w:t>
      </w:r>
      <w:r>
        <w:rPr>
          <w:rFonts w:ascii="Century" w:hAnsi="Century" w:cs="Miriam"/>
          <w:b/>
          <w:spacing w:val="0"/>
          <w:szCs w:val="24"/>
          <w:rtl/>
        </w:rPr>
        <w:t>פסק הדין משנת 1982</w:t>
      </w:r>
      <w:r>
        <w:rPr>
          <w:rtl/>
        </w:rPr>
        <w:t xml:space="preserve">) אשר קבע כי אין לכאמל, איברהים או לאחיהם, אחמד מוחמד עלי חוסיין (להלן: </w:t>
      </w:r>
      <w:r>
        <w:rPr>
          <w:rFonts w:ascii="Century" w:hAnsi="Century" w:cs="Miriam"/>
          <w:b/>
          <w:spacing w:val="0"/>
          <w:szCs w:val="24"/>
          <w:rtl/>
        </w:rPr>
        <w:t>האחים עלי חוסיין</w:t>
      </w:r>
      <w:r>
        <w:rPr>
          <w:rtl/>
        </w:rPr>
        <w:t>) זכויות כלשהן במקרקעין נושא המחלוקת. בתוך כך, נקבע כי עליהם לסלק את ידיהם מהמקרקעין.</w:t>
      </w:r>
    </w:p>
    <w:p w14:paraId="433E8996" w14:textId="77777777" w:rsidR="00DC5EF2" w:rsidRDefault="00DC5EF2" w:rsidP="00DC5EF2">
      <w:pPr>
        <w:pStyle w:val="Ruller41"/>
        <w:ind w:left="720"/>
      </w:pPr>
    </w:p>
    <w:p w14:paraId="51310BC5" w14:textId="77777777" w:rsidR="00DC5EF2" w:rsidRDefault="00000000" w:rsidP="00D51CAE">
      <w:pPr>
        <w:pStyle w:val="Ruller41"/>
      </w:pPr>
      <w:r>
        <w:rPr>
          <w:rtl/>
        </w:rPr>
        <w:tab/>
        <w:t>משפסק הדין משנת 1982 לא קוים, הגישה המדינה תביעה לסילוק ידיהם של כאמל ואיברהים מהמקרקעין נושא המחלוקת. ביום 19.6.2014 ניתן פסק דינו של בית משפט השלום חיפה ב</w:t>
      </w:r>
      <w:hyperlink r:id="rId9" w:history="1">
        <w:r w:rsidR="00715337" w:rsidRPr="00715337">
          <w:rPr>
            <w:color w:val="0000FF"/>
            <w:u w:val="single"/>
            <w:rtl/>
          </w:rPr>
          <w:t>ת"א 19935-01-10</w:t>
        </w:r>
      </w:hyperlink>
      <w:r>
        <w:rPr>
          <w:rtl/>
        </w:rPr>
        <w:t xml:space="preserve"> </w:t>
      </w:r>
      <w:r w:rsidR="00D51CAE">
        <w:rPr>
          <w:rFonts w:hint="cs"/>
          <w:rtl/>
        </w:rPr>
        <w:t>[נבו]</w:t>
      </w:r>
      <w:r w:rsidR="00D51CAE">
        <w:rPr>
          <w:rtl/>
        </w:rPr>
        <w:t xml:space="preserve"> </w:t>
      </w:r>
      <w:r>
        <w:rPr>
          <w:rtl/>
        </w:rPr>
        <w:t xml:space="preserve">(להלן: </w:t>
      </w:r>
      <w:r>
        <w:rPr>
          <w:rFonts w:ascii="Century" w:hAnsi="Century" w:cs="Miriam"/>
          <w:b/>
          <w:spacing w:val="0"/>
          <w:szCs w:val="24"/>
          <w:rtl/>
        </w:rPr>
        <w:t>פסק הדין משנת 2014</w:t>
      </w:r>
      <w:r>
        <w:rPr>
          <w:rtl/>
        </w:rPr>
        <w:t>) שקיבל את תביעת המדינה במלואה. ביום 30.12.2014 נדחה ערעורם של כאמל ואיברהים לבית המשפט המחוזי חיפה ב</w:t>
      </w:r>
      <w:hyperlink r:id="rId10" w:history="1">
        <w:r w:rsidR="00715337" w:rsidRPr="00715337">
          <w:rPr>
            <w:color w:val="0000FF"/>
            <w:u w:val="single"/>
            <w:rtl/>
          </w:rPr>
          <w:t>ע"א 21138-09-14</w:t>
        </w:r>
      </w:hyperlink>
      <w:r>
        <w:rPr>
          <w:rtl/>
        </w:rPr>
        <w:t xml:space="preserve"> </w:t>
      </w:r>
      <w:r w:rsidR="00D51CAE">
        <w:rPr>
          <w:rFonts w:hint="cs"/>
          <w:rtl/>
        </w:rPr>
        <w:t xml:space="preserve">[נבו]. </w:t>
      </w:r>
      <w:r>
        <w:rPr>
          <w:rtl/>
        </w:rPr>
        <w:t>ביום 17.5.2015, נדחתה בקשת רשות ערעור שהוגשה על-ידי כאמל ואיברהים לבית המשפט העליון ב</w:t>
      </w:r>
      <w:hyperlink r:id="rId11" w:history="1">
        <w:r w:rsidR="00715337" w:rsidRPr="00715337">
          <w:rPr>
            <w:color w:val="0000FF"/>
            <w:u w:val="single"/>
            <w:rtl/>
          </w:rPr>
          <w:t>רע"א 702/15</w:t>
        </w:r>
      </w:hyperlink>
      <w:r w:rsidR="00D51CAE">
        <w:rPr>
          <w:rFonts w:hint="cs"/>
          <w:rtl/>
        </w:rPr>
        <w:t xml:space="preserve"> [נבו].</w:t>
      </w:r>
    </w:p>
    <w:p w14:paraId="619D5AF5" w14:textId="77777777" w:rsidR="00DC5EF2" w:rsidRDefault="00DC5EF2" w:rsidP="00DC5EF2">
      <w:pPr>
        <w:pStyle w:val="13"/>
      </w:pPr>
    </w:p>
    <w:p w14:paraId="6CB75366" w14:textId="77777777" w:rsidR="00DC5EF2" w:rsidRDefault="00000000" w:rsidP="00DC5EF2">
      <w:pPr>
        <w:pStyle w:val="Ruller41"/>
        <w:rPr>
          <w:rtl/>
        </w:rPr>
      </w:pPr>
      <w:r>
        <w:rPr>
          <w:rtl/>
        </w:rPr>
        <w:tab/>
        <w:t>לאחר שפסקי הדין לא קוימו, נפתח בלשכת הוצאה לפועל תיק 511738-10-17, במסגרתו, ביום 31.12.2017, הוצאו צווי פינוי מהמקרקעין לכאמל ולאיברהים.</w:t>
      </w:r>
    </w:p>
    <w:p w14:paraId="50076D8F" w14:textId="77777777" w:rsidR="00DC5EF2" w:rsidRDefault="00DC5EF2" w:rsidP="00DC5EF2">
      <w:pPr>
        <w:pStyle w:val="13"/>
      </w:pPr>
    </w:p>
    <w:p w14:paraId="4802EA61" w14:textId="77777777" w:rsidR="00DC5EF2" w:rsidRDefault="00000000" w:rsidP="00DC5EF2">
      <w:pPr>
        <w:pStyle w:val="Ruller41"/>
        <w:rPr>
          <w:rtl/>
        </w:rPr>
      </w:pPr>
      <w:r>
        <w:rPr>
          <w:rtl/>
        </w:rPr>
        <w:tab/>
        <w:t xml:space="preserve">ביום 29.3.2019 נחתם הסכם בין האחים עלי חוסיין למדינה (להלן: </w:t>
      </w:r>
      <w:r>
        <w:rPr>
          <w:rFonts w:ascii="Century" w:hAnsi="Century" w:cs="Miriam"/>
          <w:b/>
          <w:spacing w:val="0"/>
          <w:szCs w:val="24"/>
          <w:rtl/>
        </w:rPr>
        <w:t>ההסכם</w:t>
      </w:r>
      <w:r>
        <w:rPr>
          <w:rtl/>
        </w:rPr>
        <w:t xml:space="preserve">), במסגרתו הוסכם לדחות את מועד הפינוי בחצי שנה בתמורה לתשלום דמי שימוש </w:t>
      </w:r>
      <w:r>
        <w:rPr>
          <w:rtl/>
        </w:rPr>
        <w:lastRenderedPageBreak/>
        <w:t xml:space="preserve">ראויים עד מועד הפינוי בפועל. האחים עלי חוסיין אף הצהירו בגדר ההסכם כי הם מוותרים על כל טענה כלפי המדינה ביחס למקרקעין נושא המחלוקת. בהמשך, הוארך ההסכם לביצוע הפינוי פעמיים נוספות, בימים 10.10.2019 ו-22.3.2021, במסגרת </w:t>
      </w:r>
      <w:bookmarkStart w:id="7" w:name="Seif46"/>
      <w:r>
        <w:rPr>
          <w:rtl/>
        </w:rPr>
        <w:t xml:space="preserve">תוספות </w:t>
      </w:r>
      <w:bookmarkEnd w:id="7"/>
      <w:r>
        <w:rPr>
          <w:rtl/>
        </w:rPr>
        <w:t>להסכם.</w:t>
      </w:r>
    </w:p>
    <w:p w14:paraId="32E66681" w14:textId="77777777" w:rsidR="00DC5EF2" w:rsidRDefault="00DC5EF2" w:rsidP="00DC5EF2">
      <w:pPr>
        <w:pStyle w:val="13"/>
      </w:pPr>
    </w:p>
    <w:p w14:paraId="4BF71F7B" w14:textId="77777777" w:rsidR="00DC5EF2" w:rsidRDefault="00000000" w:rsidP="00DC5EF2">
      <w:pPr>
        <w:pStyle w:val="Ruller41"/>
        <w:rPr>
          <w:rtl/>
        </w:rPr>
      </w:pPr>
      <w:r>
        <w:rPr>
          <w:rtl/>
        </w:rPr>
        <w:tab/>
        <w:t>ביום 11.9.2021 הגישו האחים עלי חוסיין תביעה לבית משפט השלום חיפה בטענה כי יש לראותם כמי שקיימו את פסק הדין משנת 2014. ביום 14.9.2021, ניתן פסק הדין ב</w:t>
      </w:r>
      <w:hyperlink r:id="rId12" w:history="1">
        <w:r w:rsidR="00715337" w:rsidRPr="00715337">
          <w:rPr>
            <w:color w:val="0000FF"/>
            <w:u w:val="single"/>
            <w:rtl/>
          </w:rPr>
          <w:t>ת"א 15280-09-21</w:t>
        </w:r>
      </w:hyperlink>
      <w:r>
        <w:rPr>
          <w:rtl/>
        </w:rPr>
        <w:t xml:space="preserve"> </w:t>
      </w:r>
      <w:r w:rsidR="00D51CAE">
        <w:rPr>
          <w:rFonts w:hint="cs"/>
          <w:rtl/>
        </w:rPr>
        <w:t xml:space="preserve">[נבו] </w:t>
      </w:r>
      <w:r>
        <w:rPr>
          <w:rtl/>
        </w:rPr>
        <w:t>במסגרתו נקבע כי טענות האחים עלי חוסיין יידונו בתיק ההוצאה לפועל כטענת "פרעתי".</w:t>
      </w:r>
    </w:p>
    <w:p w14:paraId="627F897F" w14:textId="77777777" w:rsidR="00DC5EF2" w:rsidRDefault="00DC5EF2" w:rsidP="00DC5EF2">
      <w:pPr>
        <w:pStyle w:val="13"/>
      </w:pPr>
    </w:p>
    <w:p w14:paraId="51CAC8D8" w14:textId="77777777" w:rsidR="00DC5EF2" w:rsidRDefault="00000000" w:rsidP="00D51CAE">
      <w:pPr>
        <w:pStyle w:val="Ruller41"/>
        <w:rPr>
          <w:rtl/>
        </w:rPr>
      </w:pPr>
      <w:r>
        <w:rPr>
          <w:rtl/>
        </w:rPr>
        <w:tab/>
        <w:t>ביום 9.9.2022 נדחתה טענת "פרעתי" שהעלו האחים עלי חוסיין, על-ידי רשם ההוצאה לפועל בתיק 511738-10-17, והם חויבו לפנות את המקרקעין נושא המחלוקת לאלתר. הערעור שהגישו האחים עלי חוסיין לבית משפט השלום נתניה ב</w:t>
      </w:r>
      <w:hyperlink r:id="rId13" w:history="1">
        <w:r w:rsidR="00715337" w:rsidRPr="00715337">
          <w:rPr>
            <w:color w:val="0000FF"/>
            <w:u w:val="single"/>
            <w:rtl/>
          </w:rPr>
          <w:t>עש"א 8324-10-22</w:t>
        </w:r>
      </w:hyperlink>
      <w:r>
        <w:rPr>
          <w:rtl/>
        </w:rPr>
        <w:t xml:space="preserve"> </w:t>
      </w:r>
      <w:r w:rsidR="00D51CAE">
        <w:rPr>
          <w:rFonts w:hint="cs"/>
          <w:rtl/>
        </w:rPr>
        <w:t xml:space="preserve">[נבו] </w:t>
      </w:r>
      <w:r>
        <w:rPr>
          <w:rtl/>
        </w:rPr>
        <w:t>נדחה ביום 24.5.2023. ביום 16.5.2024 נדחה גם הערעור שהגישו האחים עלי חוסיין לבית המשפט המחוזי מרכז-לוד ב</w:t>
      </w:r>
      <w:hyperlink r:id="rId14" w:history="1">
        <w:r w:rsidR="00715337" w:rsidRPr="00715337">
          <w:rPr>
            <w:color w:val="0000FF"/>
            <w:u w:val="single"/>
            <w:rtl/>
          </w:rPr>
          <w:t>ע"א 51012-06-23</w:t>
        </w:r>
      </w:hyperlink>
      <w:r>
        <w:rPr>
          <w:rtl/>
        </w:rPr>
        <w:t xml:space="preserve"> </w:t>
      </w:r>
      <w:r w:rsidR="00D51CAE">
        <w:rPr>
          <w:rFonts w:hint="cs"/>
          <w:rtl/>
        </w:rPr>
        <w:t xml:space="preserve">[נבו]. </w:t>
      </w:r>
      <w:r>
        <w:rPr>
          <w:rtl/>
        </w:rPr>
        <w:t>בקשת רשות ערעור בגלגול רביעי לבית המשפט העליון ב</w:t>
      </w:r>
      <w:hyperlink r:id="rId15" w:history="1">
        <w:r w:rsidR="00715337" w:rsidRPr="00715337">
          <w:rPr>
            <w:color w:val="0000FF"/>
            <w:u w:val="single"/>
            <w:rtl/>
          </w:rPr>
          <w:t>רע"א 5549/24</w:t>
        </w:r>
      </w:hyperlink>
      <w:r>
        <w:rPr>
          <w:rtl/>
        </w:rPr>
        <w:t xml:space="preserve"> </w:t>
      </w:r>
      <w:r w:rsidR="00D51CAE">
        <w:rPr>
          <w:rFonts w:hint="cs"/>
          <w:rtl/>
        </w:rPr>
        <w:t xml:space="preserve">[נבו] </w:t>
      </w:r>
      <w:r>
        <w:rPr>
          <w:rtl/>
        </w:rPr>
        <w:t>נדחתה ביום 21.7.2024.</w:t>
      </w:r>
    </w:p>
    <w:p w14:paraId="6B87DC09" w14:textId="77777777" w:rsidR="00DC5EF2" w:rsidRDefault="00DC5EF2" w:rsidP="00DC5EF2">
      <w:pPr>
        <w:pStyle w:val="Ruller41"/>
      </w:pPr>
    </w:p>
    <w:p w14:paraId="56112FBE" w14:textId="77777777" w:rsidR="00DC5EF2" w:rsidRDefault="00000000" w:rsidP="00DC5EF2">
      <w:pPr>
        <w:pStyle w:val="Ruller41"/>
        <w:rPr>
          <w:rtl/>
        </w:rPr>
      </w:pPr>
      <w:r>
        <w:rPr>
          <w:rtl/>
        </w:rPr>
        <w:tab/>
        <w:t xml:space="preserve">ביום 5.6.2024 הונפקה לאחים עלי חוסיין הודעת פינוי מהמקרקעין על-ידי רשם ההוצאה לפועל בתיק </w:t>
      </w:r>
      <w:hyperlink r:id="rId16" w:history="1">
        <w:r w:rsidR="00D51CAE" w:rsidRPr="00D51CAE">
          <w:rPr>
            <w:rStyle w:val="Hyperlink"/>
            <w:rtl/>
          </w:rPr>
          <w:t>19935-01-10</w:t>
        </w:r>
      </w:hyperlink>
      <w:r w:rsidR="00D51CAE">
        <w:rPr>
          <w:rFonts w:hint="cs"/>
          <w:color w:val="0000FF"/>
          <w:u w:val="single"/>
          <w:rtl/>
        </w:rPr>
        <w:t xml:space="preserve"> </w:t>
      </w:r>
      <w:r w:rsidR="00D51CAE">
        <w:rPr>
          <w:rFonts w:hint="cs"/>
          <w:rtl/>
        </w:rPr>
        <w:t>[נבו]</w:t>
      </w:r>
      <w:r>
        <w:rPr>
          <w:rtl/>
        </w:rPr>
        <w:t>. במסגרת הודעה זו נקבע מועד הפינוי ליום 10.12.2024. ערעור לבית משפט השלום חיפה שהגישו האחים עלי חוסיין נדחה ב</w:t>
      </w:r>
      <w:hyperlink r:id="rId17" w:history="1">
        <w:r w:rsidR="00715337" w:rsidRPr="00715337">
          <w:rPr>
            <w:color w:val="0000FF"/>
            <w:u w:val="single"/>
            <w:rtl/>
          </w:rPr>
          <w:t>רער"צ 65471-08-24</w:t>
        </w:r>
      </w:hyperlink>
      <w:r>
        <w:rPr>
          <w:rtl/>
        </w:rPr>
        <w:t xml:space="preserve"> </w:t>
      </w:r>
      <w:r w:rsidR="00D51CAE">
        <w:rPr>
          <w:rFonts w:hint="cs"/>
          <w:rtl/>
        </w:rPr>
        <w:t xml:space="preserve">[נבו] </w:t>
      </w:r>
      <w:r>
        <w:rPr>
          <w:rtl/>
        </w:rPr>
        <w:t>ביום 2.12.2024.</w:t>
      </w:r>
    </w:p>
    <w:p w14:paraId="6C616A35" w14:textId="77777777" w:rsidR="00DC5EF2" w:rsidRDefault="00DC5EF2" w:rsidP="00DC5EF2">
      <w:pPr>
        <w:pStyle w:val="Ruller41"/>
        <w:rPr>
          <w:rtl/>
        </w:rPr>
      </w:pPr>
    </w:p>
    <w:p w14:paraId="70345974" w14:textId="77777777" w:rsidR="00DC5EF2" w:rsidRDefault="00000000" w:rsidP="00DC5EF2">
      <w:pPr>
        <w:pStyle w:val="Ruller41"/>
        <w:rPr>
          <w:rtl/>
        </w:rPr>
      </w:pPr>
      <w:r>
        <w:rPr>
          <w:rtl/>
        </w:rPr>
        <w:tab/>
        <w:t>ביום 30.9.2024 נדחתה בקשה לעיכוב הליכי הפינוי על-ידי רשם ההוצאה לפועל בתיק 511738-10-17. ערעור לבית משפט השלום נתניה שהגישו האחים עלי חוסיין נדחה ב</w:t>
      </w:r>
      <w:hyperlink r:id="rId18" w:history="1">
        <w:r w:rsidR="00715337" w:rsidRPr="00715337">
          <w:rPr>
            <w:color w:val="0000FF"/>
            <w:u w:val="single"/>
            <w:rtl/>
          </w:rPr>
          <w:t>רער"צ 52474-10-24</w:t>
        </w:r>
      </w:hyperlink>
      <w:r>
        <w:rPr>
          <w:rtl/>
        </w:rPr>
        <w:t xml:space="preserve"> </w:t>
      </w:r>
      <w:r w:rsidR="00D51CAE">
        <w:rPr>
          <w:rFonts w:hint="cs"/>
          <w:rtl/>
        </w:rPr>
        <w:t xml:space="preserve">[נבו]  </w:t>
      </w:r>
      <w:r>
        <w:rPr>
          <w:rtl/>
        </w:rPr>
        <w:t>ביום 27.11.2024.</w:t>
      </w:r>
    </w:p>
    <w:p w14:paraId="2358AE0E" w14:textId="77777777" w:rsidR="00DC5EF2" w:rsidRDefault="00DC5EF2" w:rsidP="00DC5EF2">
      <w:pPr>
        <w:pStyle w:val="Ruller41"/>
        <w:rPr>
          <w:rtl/>
        </w:rPr>
      </w:pPr>
    </w:p>
    <w:p w14:paraId="1C1A0CC1" w14:textId="77777777" w:rsidR="00DC5EF2" w:rsidRDefault="00000000" w:rsidP="00DC5EF2">
      <w:pPr>
        <w:pStyle w:val="Ruller4"/>
        <w:numPr>
          <w:ilvl w:val="0"/>
          <w:numId w:val="0"/>
        </w:numPr>
        <w:rPr>
          <w:rFonts w:ascii="Century" w:hAnsi="Century" w:cs="Miriam"/>
          <w:b/>
          <w:spacing w:val="0"/>
          <w:szCs w:val="24"/>
        </w:rPr>
      </w:pPr>
      <w:r>
        <w:rPr>
          <w:rFonts w:ascii="Century" w:hAnsi="Century" w:cs="Miriam"/>
          <w:b/>
          <w:spacing w:val="0"/>
          <w:szCs w:val="24"/>
          <w:rtl/>
        </w:rPr>
        <w:t>פסק הדין קמא</w:t>
      </w:r>
    </w:p>
    <w:p w14:paraId="2E680E66" w14:textId="77777777" w:rsidR="00DC5EF2" w:rsidRDefault="00DC5EF2" w:rsidP="00DC5EF2">
      <w:pPr>
        <w:pStyle w:val="Ruller41"/>
        <w:rPr>
          <w:rtl/>
        </w:rPr>
      </w:pPr>
    </w:p>
    <w:p w14:paraId="68FD2110" w14:textId="77777777" w:rsidR="00DC5EF2" w:rsidRDefault="00000000" w:rsidP="00DC5EF2">
      <w:pPr>
        <w:pStyle w:val="Ruller4"/>
        <w:numPr>
          <w:ilvl w:val="0"/>
          <w:numId w:val="12"/>
        </w:numPr>
        <w:textAlignment w:val="auto"/>
        <w:rPr>
          <w:rtl/>
        </w:rPr>
      </w:pPr>
      <w:r>
        <w:rPr>
          <w:rtl/>
        </w:rPr>
        <w:t xml:space="preserve">ביום 28.5.2023 הגישו המערערים תביעה לבית משפט קמא, במסגרתה עתרו למתן סעד הצהרתי כי יוכרזו כבעלים של המקרקעין נושא המחלוקת, ולחלופין כבעלי רשות בלתי הדירה בהם. המדינה הגישה בקשה לסילוק תביעת המערערים על הסף. </w:t>
      </w:r>
    </w:p>
    <w:p w14:paraId="51EA63FD" w14:textId="77777777" w:rsidR="00DC5EF2" w:rsidRDefault="00DC5EF2" w:rsidP="00DC5EF2">
      <w:pPr>
        <w:pStyle w:val="Ruller41"/>
        <w:rPr>
          <w:rtl/>
        </w:rPr>
      </w:pPr>
    </w:p>
    <w:p w14:paraId="280AC072" w14:textId="77777777" w:rsidR="00DC5EF2" w:rsidRDefault="00000000" w:rsidP="00DC5EF2">
      <w:pPr>
        <w:pStyle w:val="Ruller4"/>
        <w:numPr>
          <w:ilvl w:val="0"/>
          <w:numId w:val="12"/>
        </w:numPr>
        <w:textAlignment w:val="auto"/>
      </w:pPr>
      <w:r>
        <w:rPr>
          <w:rtl/>
        </w:rPr>
        <w:t xml:space="preserve">בית משפט קמא קיבל את הבקשה ודחה על הסף את תביעת המערערים. בפסק דינו, קבע בית משפט קמא כי טענות המערערים לבעלות במקרקעין מכוח החזקה רבת שנים במקרקעין אינן רלבנטיות משעה שהושלמו הליכי ההסדר, ונרשמו הזכויות במקרקעין לטובת המדינה. עוד נקבע כי המערערים לא הניחו ולו תשתית מינימלית להוכחת אחת העילות המנויות </w:t>
      </w:r>
      <w:hyperlink r:id="rId19" w:history="1">
        <w:r w:rsidR="00AB7FCD" w:rsidRPr="00AB7FCD">
          <w:rPr>
            <w:rStyle w:val="Hyperlink"/>
            <w:rFonts w:hint="eastAsia"/>
            <w:rtl/>
          </w:rPr>
          <w:t>ב</w:t>
        </w:r>
        <w:bookmarkStart w:id="8" w:name="Seif20"/>
        <w:r w:rsidR="00AB7FCD" w:rsidRPr="00AB7FCD">
          <w:rPr>
            <w:rStyle w:val="Hyperlink"/>
            <w:rFonts w:hint="eastAsia"/>
            <w:rtl/>
          </w:rPr>
          <w:t>סעיף</w:t>
        </w:r>
        <w:r w:rsidR="00AB7FCD" w:rsidRPr="00AB7FCD">
          <w:rPr>
            <w:rStyle w:val="Hyperlink"/>
            <w:rtl/>
          </w:rPr>
          <w:t xml:space="preserve"> </w:t>
        </w:r>
        <w:bookmarkEnd w:id="8"/>
        <w:r w:rsidR="00AB7FCD" w:rsidRPr="00AB7FCD">
          <w:rPr>
            <w:rStyle w:val="Hyperlink"/>
            <w:rtl/>
          </w:rPr>
          <w:t>93</w:t>
        </w:r>
      </w:hyperlink>
      <w:r>
        <w:rPr>
          <w:rtl/>
        </w:rPr>
        <w:t xml:space="preserve"> ל</w:t>
      </w:r>
      <w:hyperlink r:id="rId20" w:history="1">
        <w:r w:rsidR="00715337" w:rsidRPr="00715337">
          <w:rPr>
            <w:rFonts w:hint="eastAsia"/>
            <w:color w:val="0000FF"/>
            <w:u w:val="single"/>
            <w:rtl/>
          </w:rPr>
          <w:t>פקודת</w:t>
        </w:r>
        <w:r w:rsidR="00715337" w:rsidRPr="00715337">
          <w:rPr>
            <w:color w:val="0000FF"/>
            <w:u w:val="single"/>
            <w:rtl/>
          </w:rPr>
          <w:t xml:space="preserve"> </w:t>
        </w:r>
        <w:r w:rsidR="00715337" w:rsidRPr="00715337">
          <w:rPr>
            <w:rFonts w:hint="eastAsia"/>
            <w:color w:val="0000FF"/>
            <w:u w:val="single"/>
            <w:rtl/>
          </w:rPr>
          <w:t>הסדר</w:t>
        </w:r>
        <w:r w:rsidR="00715337" w:rsidRPr="00715337">
          <w:rPr>
            <w:color w:val="0000FF"/>
            <w:u w:val="single"/>
            <w:rtl/>
          </w:rPr>
          <w:t xml:space="preserve"> </w:t>
        </w:r>
        <w:r w:rsidR="00715337" w:rsidRPr="00715337">
          <w:rPr>
            <w:rFonts w:hint="eastAsia"/>
            <w:color w:val="0000FF"/>
            <w:u w:val="single"/>
            <w:rtl/>
          </w:rPr>
          <w:t>זכויות</w:t>
        </w:r>
        <w:r w:rsidR="00715337" w:rsidRPr="00715337">
          <w:rPr>
            <w:color w:val="0000FF"/>
            <w:u w:val="single"/>
            <w:rtl/>
          </w:rPr>
          <w:t xml:space="preserve"> </w:t>
        </w:r>
        <w:r w:rsidR="00715337" w:rsidRPr="00715337">
          <w:rPr>
            <w:rFonts w:hint="eastAsia"/>
            <w:color w:val="0000FF"/>
            <w:u w:val="single"/>
            <w:rtl/>
          </w:rPr>
          <w:t>במקרקעין</w:t>
        </w:r>
      </w:hyperlink>
      <w:r>
        <w:rPr>
          <w:rtl/>
        </w:rPr>
        <w:t xml:space="preserve"> [נוסח חדש], התשכ"ט-1969 (להלן: </w:t>
      </w:r>
      <w:r>
        <w:rPr>
          <w:rFonts w:ascii="Century" w:hAnsi="Century" w:cs="Miriam"/>
          <w:b/>
          <w:spacing w:val="0"/>
          <w:sz w:val="22"/>
          <w:szCs w:val="24"/>
          <w:rtl/>
        </w:rPr>
        <w:t>פקודת ההסדר</w:t>
      </w:r>
      <w:r>
        <w:rPr>
          <w:rtl/>
        </w:rPr>
        <w:t xml:space="preserve">), אשר מכוחן ניתן לסתור את האמור ברישום. לפיכך, נפסק כי דין התביעה להידחות מחמת היעדר עילה. כמו כן, בית משפט קמא דחה את טענת המערערים לבעלות מכוח חזקה נוגדת, בציינו כי הבסיס לטענה זו הוא מוסד ההתיישנות, ובהתאם </w:t>
      </w:r>
      <w:hyperlink r:id="rId21" w:history="1">
        <w:r w:rsidR="00AB7FCD" w:rsidRPr="00AB7FCD">
          <w:rPr>
            <w:rStyle w:val="Hyperlink"/>
            <w:rFonts w:hint="eastAsia"/>
            <w:rtl/>
          </w:rPr>
          <w:t>ל</w:t>
        </w:r>
        <w:bookmarkStart w:id="9" w:name="Seif21"/>
        <w:r w:rsidR="00AB7FCD" w:rsidRPr="00AB7FCD">
          <w:rPr>
            <w:rStyle w:val="Hyperlink"/>
            <w:rFonts w:hint="eastAsia"/>
            <w:rtl/>
          </w:rPr>
          <w:t>סעיף</w:t>
        </w:r>
        <w:r w:rsidR="00AB7FCD" w:rsidRPr="00AB7FCD">
          <w:rPr>
            <w:rStyle w:val="Hyperlink"/>
            <w:rtl/>
          </w:rPr>
          <w:t xml:space="preserve"> </w:t>
        </w:r>
        <w:bookmarkEnd w:id="9"/>
        <w:r w:rsidR="00AB7FCD" w:rsidRPr="00AB7FCD">
          <w:rPr>
            <w:rStyle w:val="Hyperlink"/>
            <w:rtl/>
          </w:rPr>
          <w:t>159(</w:t>
        </w:r>
        <w:r w:rsidR="00AB7FCD" w:rsidRPr="00AB7FCD">
          <w:rPr>
            <w:rStyle w:val="Hyperlink"/>
            <w:rFonts w:hint="eastAsia"/>
            <w:rtl/>
          </w:rPr>
          <w:t>ב</w:t>
        </w:r>
        <w:r w:rsidR="00AB7FCD" w:rsidRPr="00AB7FCD">
          <w:rPr>
            <w:rStyle w:val="Hyperlink"/>
            <w:rtl/>
          </w:rPr>
          <w:t>)</w:t>
        </w:r>
      </w:hyperlink>
      <w:r>
        <w:rPr>
          <w:rtl/>
        </w:rPr>
        <w:t xml:space="preserve"> ל</w:t>
      </w:r>
      <w:hyperlink r:id="rId22" w:history="1">
        <w:r w:rsidR="00715337" w:rsidRPr="00715337">
          <w:rPr>
            <w:rFonts w:hint="eastAsia"/>
            <w:color w:val="0000FF"/>
            <w:u w:val="single"/>
            <w:rtl/>
          </w:rPr>
          <w:t>חוק</w:t>
        </w:r>
        <w:r w:rsidR="00715337" w:rsidRPr="00715337">
          <w:rPr>
            <w:color w:val="0000FF"/>
            <w:u w:val="single"/>
            <w:rtl/>
          </w:rPr>
          <w:t xml:space="preserve"> </w:t>
        </w:r>
        <w:r w:rsidR="00715337" w:rsidRPr="00715337">
          <w:rPr>
            <w:rFonts w:hint="eastAsia"/>
            <w:color w:val="0000FF"/>
            <w:u w:val="single"/>
            <w:rtl/>
          </w:rPr>
          <w:t>המקרקעין</w:t>
        </w:r>
      </w:hyperlink>
      <w:r>
        <w:rPr>
          <w:rtl/>
        </w:rPr>
        <w:t xml:space="preserve">, התשכ"ט-1969, התיישנות רוכשת אינה רלבנטית עוד ביחס למקרקעין מוסדרים. בית משפט קמא הוסיף כי בשים לב לכך שהליכי ההסדר הסתיימו ברישום הזכויות במקרקעין לטובת המדינה בשנת 1942 – כ-81 שנים לפני הגשת התביעה – אף יש לדחות את התביעה מחמת התיישנות. אשר לטענה בדבר רשות בלתי הדירה, נפסק כי זכות כאמור במקרקעי הציבור תוכר אך במקרים חריגים ונדירים – נוכח האינטרס הציבורי בדבר השמירה על מקרקעי המדינה – והמקרה דכאן אינו נמנה ביניהם. למעלה מן הצורך אף צוין כי טענת המערערים לרשות בלתי הדירה אינה יכולה לדור בכפיפה אחת עם טענת המערערים לחזקה נוגדת, בהיותן טענות סותרות. עוד נפסק כי המערערים מושתקים מלהעלות טענותיהם, הואיל והן מבוססות על טענות שנטענו על-ידי בני משפחתם – ונדחו – בשורה ארוכה של הליכים משפטיים. נדחתה גם טענת המערערים כי ההליכים המשפטיים הקודמים נסובו סביב </w:t>
      </w:r>
      <w:bookmarkStart w:id="10" w:name="Seif47"/>
      <w:r>
        <w:rPr>
          <w:rtl/>
        </w:rPr>
        <w:t xml:space="preserve">חלק קטן </w:t>
      </w:r>
      <w:bookmarkEnd w:id="10"/>
      <w:r>
        <w:rPr>
          <w:rtl/>
        </w:rPr>
        <w:t>מהמקרקעין נושא המחלוקת שגודלו 800 מ"ר, חלף השטח כולו. נפסק כי טענה זו של המערערים נדחתה זה מכבר ב</w:t>
      </w:r>
      <w:hyperlink r:id="rId23" w:history="1">
        <w:r w:rsidR="00715337" w:rsidRPr="00715337">
          <w:rPr>
            <w:rFonts w:hint="eastAsia"/>
            <w:color w:val="0000FF"/>
            <w:u w:val="single"/>
            <w:rtl/>
          </w:rPr>
          <w:t>עש</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8324-10-22</w:t>
        </w:r>
      </w:hyperlink>
      <w:r>
        <w:rPr>
          <w:rtl/>
        </w:rPr>
        <w:t xml:space="preserve">, </w:t>
      </w:r>
      <w:r w:rsidR="00D51CAE">
        <w:rPr>
          <w:rFonts w:hint="cs"/>
          <w:rtl/>
        </w:rPr>
        <w:t xml:space="preserve">[נבו]  </w:t>
      </w:r>
      <w:r>
        <w:rPr>
          <w:rtl/>
        </w:rPr>
        <w:t>וכפועל יוצא מכך חל השתק בעניין זה.</w:t>
      </w:r>
    </w:p>
    <w:p w14:paraId="3F859F98" w14:textId="77777777" w:rsidR="00DC5EF2" w:rsidRDefault="00DC5EF2" w:rsidP="00DC5EF2">
      <w:pPr>
        <w:pStyle w:val="Ruller41"/>
        <w:rPr>
          <w:rtl/>
        </w:rPr>
      </w:pPr>
    </w:p>
    <w:p w14:paraId="04485D51" w14:textId="77777777" w:rsidR="00DC5EF2" w:rsidRDefault="00000000" w:rsidP="00DC5EF2">
      <w:pPr>
        <w:pStyle w:val="Ruller4"/>
        <w:numPr>
          <w:ilvl w:val="0"/>
          <w:numId w:val="12"/>
        </w:numPr>
        <w:textAlignment w:val="auto"/>
        <w:rPr>
          <w:rtl/>
        </w:rPr>
      </w:pPr>
      <w:r>
        <w:rPr>
          <w:rtl/>
        </w:rPr>
        <w:t xml:space="preserve">על פסק דין זה הוגש הערעור שלפנינו. בהמשך, הגישו המערערים גם בקשה לעיכוב ביצועו של הליך הפינוי המקרקעין נושא המחלוקת, אשר נקבע במסגרת תיק הוצאה לפועל 19935-01-10 ליום 10.12.2024. </w:t>
      </w:r>
    </w:p>
    <w:p w14:paraId="6730B0C2" w14:textId="77777777" w:rsidR="00DC5EF2" w:rsidRDefault="00DC5EF2" w:rsidP="00DC5EF2">
      <w:pPr>
        <w:pStyle w:val="Ruller41"/>
        <w:rPr>
          <w:rFonts w:ascii="Century" w:hAnsi="Century" w:cs="Miriam"/>
          <w:b/>
          <w:spacing w:val="0"/>
          <w:szCs w:val="24"/>
          <w:rtl/>
        </w:rPr>
      </w:pPr>
    </w:p>
    <w:p w14:paraId="51F9F57E" w14:textId="77777777" w:rsidR="00DC5EF2" w:rsidRDefault="00000000" w:rsidP="00DC5EF2">
      <w:pPr>
        <w:pStyle w:val="Ruller41"/>
        <w:rPr>
          <w:rFonts w:ascii="Century" w:hAnsi="Century" w:cs="Miriam"/>
          <w:b/>
          <w:spacing w:val="0"/>
          <w:szCs w:val="24"/>
          <w:rtl/>
        </w:rPr>
      </w:pPr>
      <w:r>
        <w:rPr>
          <w:rFonts w:ascii="Century" w:hAnsi="Century" w:cs="Miriam"/>
          <w:b/>
          <w:spacing w:val="0"/>
          <w:szCs w:val="24"/>
          <w:rtl/>
        </w:rPr>
        <w:t>טענות הצדדים</w:t>
      </w:r>
    </w:p>
    <w:p w14:paraId="7D4BB5A4" w14:textId="77777777" w:rsidR="00DC5EF2" w:rsidRDefault="00DC5EF2" w:rsidP="00DC5EF2">
      <w:pPr>
        <w:pStyle w:val="Ruller41"/>
        <w:rPr>
          <w:rFonts w:ascii="Century" w:hAnsi="Century" w:cs="Miriam"/>
          <w:b/>
          <w:spacing w:val="0"/>
          <w:szCs w:val="24"/>
          <w:rtl/>
        </w:rPr>
      </w:pPr>
    </w:p>
    <w:p w14:paraId="5C8450BC" w14:textId="77777777" w:rsidR="00DC5EF2" w:rsidRDefault="00000000" w:rsidP="00DC5EF2">
      <w:pPr>
        <w:pStyle w:val="Ruller41"/>
        <w:rPr>
          <w:rFonts w:ascii="Century" w:hAnsi="Century" w:cs="Miriam"/>
          <w:b/>
          <w:spacing w:val="0"/>
          <w:szCs w:val="24"/>
          <w:rtl/>
        </w:rPr>
      </w:pPr>
      <w:r>
        <w:rPr>
          <w:rFonts w:ascii="Century" w:hAnsi="Century" w:cs="Miriam"/>
          <w:b/>
          <w:spacing w:val="0"/>
          <w:szCs w:val="24"/>
          <w:rtl/>
        </w:rPr>
        <w:t>טענות המערערים</w:t>
      </w:r>
    </w:p>
    <w:p w14:paraId="5B1A1563" w14:textId="77777777" w:rsidR="00DC5EF2" w:rsidRDefault="00DC5EF2" w:rsidP="00DC5EF2">
      <w:pPr>
        <w:pStyle w:val="Ruller41"/>
        <w:rPr>
          <w:rFonts w:ascii="Century" w:hAnsi="Century" w:cs="Miriam"/>
          <w:b/>
          <w:spacing w:val="0"/>
          <w:szCs w:val="24"/>
          <w:rtl/>
        </w:rPr>
      </w:pPr>
    </w:p>
    <w:p w14:paraId="12B34FAF" w14:textId="77777777" w:rsidR="00DC5EF2" w:rsidRDefault="00000000" w:rsidP="00DC5EF2">
      <w:pPr>
        <w:pStyle w:val="Ruller4"/>
        <w:numPr>
          <w:ilvl w:val="0"/>
          <w:numId w:val="12"/>
        </w:numPr>
        <w:textAlignment w:val="auto"/>
        <w:rPr>
          <w:rtl/>
        </w:rPr>
      </w:pPr>
      <w:r>
        <w:rPr>
          <w:rtl/>
        </w:rPr>
        <w:lastRenderedPageBreak/>
        <w:t xml:space="preserve">המערערים מבקשים כי נבטל את פסק הדין קמא. במסגרת זאת, המערערים טוענים כי אין ממש בקביעה לפיה טענותיהם לבעלות אינן רלבנטיות משהושלם הליך ההסדר. לשיטתם, טענותיהם נולדו רק לאחר השלמת הליך ההסדר – עם כפירתה של המדינה בשימוש שעושים המערערים מזה 100 שנים במקרקעין נושא המחלוקת. </w:t>
      </w:r>
    </w:p>
    <w:p w14:paraId="0404A274" w14:textId="77777777" w:rsidR="00DC5EF2" w:rsidRDefault="00000000" w:rsidP="00DC5EF2">
      <w:pPr>
        <w:pStyle w:val="Ruller4"/>
        <w:numPr>
          <w:ilvl w:val="0"/>
          <w:numId w:val="12"/>
        </w:numPr>
        <w:textAlignment w:val="auto"/>
      </w:pPr>
      <w:r>
        <w:rPr>
          <w:rtl/>
        </w:rPr>
        <w:t>המערערים גורסים כי הרישום על שם המדינה נעשה תוך התחייבות לתושבי המועצה כי הרישום לא יפגע בזכות התושבים, וב</w:t>
      </w:r>
      <w:bookmarkStart w:id="11" w:name="Seif53"/>
      <w:r>
        <w:rPr>
          <w:rtl/>
        </w:rPr>
        <w:t xml:space="preserve">כלל זאת </w:t>
      </w:r>
      <w:bookmarkEnd w:id="11"/>
      <w:r>
        <w:rPr>
          <w:rtl/>
        </w:rPr>
        <w:t xml:space="preserve">בזכות המערערים, להחזיק במקרקעין נושא המחלוקת כבעלים. נטיעת עצי הזית והקמת בית הקברות במקרקעין נושא המחלוקת ללא כל התנגדות מצד המדינה, מהווים, כך לטענתם, הוכחה ברורה לכך שהמדינה נתנה הסכמתה לשימוש שעושים תושבי המועצה במקרקעין. המערערים רואים בכפירה בהתחייבות זו פגם ברישום מכוח </w:t>
      </w:r>
      <w:hyperlink r:id="rId24" w:history="1">
        <w:bookmarkStart w:id="12" w:name="Seif22"/>
        <w:r w:rsidR="00AB7FCD" w:rsidRPr="00AB7FCD">
          <w:rPr>
            <w:rStyle w:val="Hyperlink"/>
            <w:rFonts w:hint="eastAsia"/>
            <w:rtl/>
          </w:rPr>
          <w:t>סעיף</w:t>
        </w:r>
        <w:r w:rsidR="00AB7FCD" w:rsidRPr="00AB7FCD">
          <w:rPr>
            <w:rStyle w:val="Hyperlink"/>
            <w:rtl/>
          </w:rPr>
          <w:t xml:space="preserve"> </w:t>
        </w:r>
        <w:bookmarkEnd w:id="12"/>
        <w:r w:rsidR="00AB7FCD" w:rsidRPr="00AB7FCD">
          <w:rPr>
            <w:rStyle w:val="Hyperlink"/>
            <w:rtl/>
          </w:rPr>
          <w:t>93</w:t>
        </w:r>
      </w:hyperlink>
      <w:r>
        <w:rPr>
          <w:rtl/>
        </w:rPr>
        <w:t xml:space="preserve"> לפקודת ההסדר.</w:t>
      </w:r>
    </w:p>
    <w:p w14:paraId="40D8E042" w14:textId="77777777" w:rsidR="00DC5EF2" w:rsidRDefault="00DC5EF2" w:rsidP="00DC5EF2">
      <w:pPr>
        <w:pStyle w:val="Ruller41"/>
        <w:rPr>
          <w:rtl/>
        </w:rPr>
      </w:pPr>
    </w:p>
    <w:p w14:paraId="5B200C95" w14:textId="77777777" w:rsidR="00DC5EF2" w:rsidRDefault="00000000" w:rsidP="00DC5EF2">
      <w:pPr>
        <w:pStyle w:val="Ruller4"/>
        <w:numPr>
          <w:ilvl w:val="0"/>
          <w:numId w:val="12"/>
        </w:numPr>
        <w:textAlignment w:val="auto"/>
      </w:pPr>
      <w:r>
        <w:rPr>
          <w:rtl/>
        </w:rPr>
        <w:t>זאת ועוד: לשיטת המערערים לא חלה על טענותיהם התיישנות – זאת, משום שהמדינה לא טרחה לצרפם כמשיבים להליכים המשפטיים הקודמים כנגד אבותיהם, ולכן נבצר מהם – וכן מכל תושבי המועצה שזכויותיהם נפגעות – לדעת כי המדינה חולקת על זכויותיהם במקרקעין.</w:t>
      </w:r>
    </w:p>
    <w:p w14:paraId="778F8A57" w14:textId="77777777" w:rsidR="00DC5EF2" w:rsidRDefault="00000000" w:rsidP="00DC5EF2">
      <w:pPr>
        <w:pStyle w:val="Ruller4"/>
        <w:numPr>
          <w:ilvl w:val="0"/>
          <w:numId w:val="0"/>
        </w:numPr>
      </w:pPr>
      <w:r>
        <w:rPr>
          <w:rtl/>
        </w:rPr>
        <w:t xml:space="preserve"> </w:t>
      </w:r>
    </w:p>
    <w:p w14:paraId="58BB201E" w14:textId="77777777" w:rsidR="00DC5EF2" w:rsidRDefault="00000000" w:rsidP="00DC5EF2">
      <w:pPr>
        <w:pStyle w:val="Ruller4"/>
        <w:numPr>
          <w:ilvl w:val="0"/>
          <w:numId w:val="12"/>
        </w:numPr>
        <w:textAlignment w:val="auto"/>
      </w:pPr>
      <w:r>
        <w:rPr>
          <w:rtl/>
        </w:rPr>
        <w:t>באשר לטענה בדבר רשות בלתי הדירה, טוענים המערערים כי התנהלות המדינה ביחס למקרקעין מוכיחה כי נתנה הסכמה לכך שהמערערים יעשו שימוש במקרקעין. עוד מוסיפים המערערים כי טענותיהם לחזקה נוגדת ולרשות בלתי הדירה במקרקעין אינן סותרות, כי אם טענות משלימות: הליכי ההסדר מבטאים את התנגדות המדינה ומהווים ראיה בדבר חזקה נוגדת, והמשך השימוש במקרקעין על-ידי המערערים מוכיח כי החזקה הנוגדת השתכללה לכדי רישיון בהסכמת המדינה.</w:t>
      </w:r>
    </w:p>
    <w:p w14:paraId="1DCC0A20" w14:textId="77777777" w:rsidR="00DC5EF2" w:rsidRDefault="00000000" w:rsidP="00DC5EF2">
      <w:pPr>
        <w:pStyle w:val="Ruller4"/>
        <w:numPr>
          <w:ilvl w:val="0"/>
          <w:numId w:val="0"/>
        </w:numPr>
      </w:pPr>
      <w:r>
        <w:rPr>
          <w:rtl/>
        </w:rPr>
        <w:t xml:space="preserve"> </w:t>
      </w:r>
    </w:p>
    <w:p w14:paraId="37AD1E54" w14:textId="77777777" w:rsidR="00DC5EF2" w:rsidRDefault="00000000" w:rsidP="00DC5EF2">
      <w:pPr>
        <w:pStyle w:val="Ruller4"/>
        <w:numPr>
          <w:ilvl w:val="0"/>
          <w:numId w:val="12"/>
        </w:numPr>
        <w:textAlignment w:val="auto"/>
      </w:pPr>
      <w:r>
        <w:rPr>
          <w:rtl/>
        </w:rPr>
        <w:t xml:space="preserve">כמו כן, טוענים המערערים כי לא חל השתק בעניינם הואיל וטענותיהם אינן מושתתות על השימוש וההחזקה שעשו אבותיהם במקרקעין. עוד נטען כי במסגרת ההליכים המשפטיים הקודמים המדינה הציגה מצג שווא בחוסר תום-לב לפיו ההליכים נסובו סביב שטח קטן בלבד, שגודלו 800 מ"ר, מתוך כל המקרקעין נושא המחלוקת. </w:t>
      </w:r>
    </w:p>
    <w:p w14:paraId="077158E8" w14:textId="77777777" w:rsidR="00DC5EF2" w:rsidRDefault="00DC5EF2" w:rsidP="00DC5EF2">
      <w:pPr>
        <w:pStyle w:val="Ruller41"/>
        <w:rPr>
          <w:rtl/>
        </w:rPr>
      </w:pPr>
    </w:p>
    <w:p w14:paraId="226C6E56" w14:textId="77777777" w:rsidR="00DC5EF2" w:rsidRDefault="00000000" w:rsidP="00DC5EF2">
      <w:pPr>
        <w:pStyle w:val="Ruller41"/>
        <w:rPr>
          <w:rFonts w:ascii="Century" w:hAnsi="Century" w:cs="Miriam"/>
          <w:b/>
          <w:spacing w:val="0"/>
          <w:szCs w:val="24"/>
          <w:rtl/>
        </w:rPr>
      </w:pPr>
      <w:r>
        <w:rPr>
          <w:rFonts w:ascii="Century" w:hAnsi="Century" w:cs="Miriam"/>
          <w:b/>
          <w:spacing w:val="0"/>
          <w:szCs w:val="24"/>
          <w:rtl/>
        </w:rPr>
        <w:t>טענות המדינה</w:t>
      </w:r>
    </w:p>
    <w:p w14:paraId="34D1999B" w14:textId="77777777" w:rsidR="00DC5EF2" w:rsidRDefault="00DC5EF2" w:rsidP="00DC5EF2">
      <w:pPr>
        <w:pStyle w:val="Ruller41"/>
        <w:rPr>
          <w:rtl/>
        </w:rPr>
      </w:pPr>
    </w:p>
    <w:p w14:paraId="67FEAA45" w14:textId="77777777" w:rsidR="00DC5EF2" w:rsidRDefault="00000000" w:rsidP="00DC5EF2">
      <w:pPr>
        <w:pStyle w:val="Ruller4"/>
        <w:numPr>
          <w:ilvl w:val="0"/>
          <w:numId w:val="12"/>
        </w:numPr>
        <w:textAlignment w:val="auto"/>
        <w:rPr>
          <w:rtl/>
        </w:rPr>
      </w:pPr>
      <w:r>
        <w:rPr>
          <w:rtl/>
        </w:rPr>
        <w:t>מנגד, המדינה סבורה כי דין הערעור להידחות וסומכת ידיה על האמור בפסק הדין קמא.</w:t>
      </w:r>
    </w:p>
    <w:p w14:paraId="2FD7068A" w14:textId="77777777" w:rsidR="00DC5EF2" w:rsidRDefault="00000000" w:rsidP="00DC5EF2">
      <w:pPr>
        <w:pStyle w:val="Ruller4"/>
        <w:numPr>
          <w:ilvl w:val="0"/>
          <w:numId w:val="0"/>
        </w:numPr>
      </w:pPr>
      <w:r>
        <w:rPr>
          <w:rtl/>
        </w:rPr>
        <w:lastRenderedPageBreak/>
        <w:t xml:space="preserve"> </w:t>
      </w:r>
    </w:p>
    <w:p w14:paraId="67229E11" w14:textId="77777777" w:rsidR="00DC5EF2" w:rsidRDefault="00000000" w:rsidP="00DC5EF2">
      <w:pPr>
        <w:pStyle w:val="Ruller4"/>
        <w:numPr>
          <w:ilvl w:val="0"/>
          <w:numId w:val="12"/>
        </w:numPr>
        <w:textAlignment w:val="auto"/>
      </w:pPr>
      <w:r>
        <w:rPr>
          <w:rtl/>
        </w:rPr>
        <w:t>המדינה טוענת כי טענות המערערים מועלות בחלוף תקופת ההתיישנות – זאת, הואיל והמערערים היו מודעים לרישום המקרקעין על שם המדינה עוד משנת 1942, עם השלמת הליך ההסדר. לצד זאת, נטען כי אף אם תקופת ההתיישנות נמנית ממועד מתן פסק הדין בשנת 1982, תקופת ההתיישנות חלפה.</w:t>
      </w:r>
    </w:p>
    <w:p w14:paraId="3616EC62" w14:textId="77777777" w:rsidR="00DC5EF2" w:rsidRDefault="00000000" w:rsidP="00DC5EF2">
      <w:pPr>
        <w:pStyle w:val="Ruller4"/>
        <w:numPr>
          <w:ilvl w:val="0"/>
          <w:numId w:val="0"/>
        </w:numPr>
      </w:pPr>
      <w:r>
        <w:rPr>
          <w:rtl/>
        </w:rPr>
        <w:t xml:space="preserve"> </w:t>
      </w:r>
    </w:p>
    <w:p w14:paraId="28774F42" w14:textId="77777777" w:rsidR="00DC5EF2" w:rsidRDefault="00000000" w:rsidP="00DC5EF2">
      <w:pPr>
        <w:pStyle w:val="Ruller4"/>
        <w:numPr>
          <w:ilvl w:val="0"/>
          <w:numId w:val="12"/>
        </w:numPr>
        <w:textAlignment w:val="auto"/>
      </w:pPr>
      <w:r>
        <w:rPr>
          <w:rtl/>
        </w:rPr>
        <w:t>המדינה מוסיפה כי טענת המערערים לתרמית ברישום נטענה בעלמא ויש לדחותה. באשר לטענת המערערים בדבר התיישנות רוכשת או חזקה נוגדת – טוענת המדינה כי המקום להעלות טענות כגון-דא הוא במסגרת הליך ההסדר, שכן לאחר השלמת ההליך נמחקת כל זכות קודמת במקרקעין. למעלה מן הצורך נטען כי גם בתקופה שלאחר ההסדר המערערים לא עמדו בתנאים לקיומה של התיישנות רוכשת.</w:t>
      </w:r>
    </w:p>
    <w:p w14:paraId="042860C9" w14:textId="77777777" w:rsidR="00DC5EF2" w:rsidRDefault="00000000" w:rsidP="00DC5EF2">
      <w:pPr>
        <w:pStyle w:val="Ruller4"/>
        <w:numPr>
          <w:ilvl w:val="0"/>
          <w:numId w:val="0"/>
        </w:numPr>
      </w:pPr>
      <w:r>
        <w:rPr>
          <w:rtl/>
        </w:rPr>
        <w:t xml:space="preserve"> </w:t>
      </w:r>
    </w:p>
    <w:p w14:paraId="1C15AF47" w14:textId="77777777" w:rsidR="00DC5EF2" w:rsidRDefault="00000000" w:rsidP="00DC5EF2">
      <w:pPr>
        <w:pStyle w:val="Ruller4"/>
        <w:numPr>
          <w:ilvl w:val="0"/>
          <w:numId w:val="12"/>
        </w:numPr>
        <w:textAlignment w:val="auto"/>
      </w:pPr>
      <w:r>
        <w:rPr>
          <w:rtl/>
        </w:rPr>
        <w:t>עוד נטען כי המערערים הם חליפיהם של בעלי הדין בהליכים המשפטיים הקודמים, ולמצער קיימת קרבה משפטית בין ההליכים ובין בעלי הדין, באופן המגבש מעשה בית-דין ביחס לתביעה לזכויות קנייניות במקרקעין נושא המחלוקת. המדינה מוסיפה וטוענת כי טענות המערערים לבעלות ולהתיישנות רוכשת עומדות בסתירה לטענה בדבר "רשות בלתי-הדירה". כמו כן, לדברי המדינה, טענות המערערים ביחס להתחייבות המדינה לתושבי המועצה בדבר שמירת זכותם במקרקעין, או ביחס לזכותם במקרקעין על בסיס קיומו של בית הקברות, מוסיפות על האמור בכתב התביעה ועולות כדי הרחבת חזית. לבסוף, נטען כי המערערים עושים שימוש לרעה בהליכי משפט בנקטם הליכי סרק שכל מטרתם היא דחיית ביצוע צו הפינוי מהמקרקעין.</w:t>
      </w:r>
    </w:p>
    <w:p w14:paraId="06F1E960" w14:textId="77777777" w:rsidR="00DC5EF2" w:rsidRDefault="00DC5EF2" w:rsidP="00DC5EF2">
      <w:pPr>
        <w:pStyle w:val="Ruller41"/>
        <w:rPr>
          <w:rFonts w:ascii="Century" w:hAnsi="Century" w:cs="Miriam"/>
          <w:b/>
          <w:spacing w:val="0"/>
          <w:szCs w:val="24"/>
          <w:rtl/>
        </w:rPr>
      </w:pPr>
    </w:p>
    <w:p w14:paraId="0992AC4B" w14:textId="77777777" w:rsidR="00DC5EF2" w:rsidRDefault="00000000" w:rsidP="00DC5EF2">
      <w:pPr>
        <w:pStyle w:val="Ruller41"/>
        <w:rPr>
          <w:rFonts w:ascii="Century" w:hAnsi="Century" w:cs="Miriam"/>
          <w:b/>
          <w:spacing w:val="0"/>
          <w:szCs w:val="24"/>
          <w:rtl/>
        </w:rPr>
      </w:pPr>
      <w:r>
        <w:rPr>
          <w:rFonts w:ascii="Century" w:hAnsi="Century" w:cs="Miriam"/>
          <w:b/>
          <w:spacing w:val="0"/>
          <w:szCs w:val="24"/>
          <w:rtl/>
        </w:rPr>
        <w:t>דיון והכרעה</w:t>
      </w:r>
    </w:p>
    <w:p w14:paraId="5AE8775C" w14:textId="77777777" w:rsidR="00DC5EF2" w:rsidRDefault="00DC5EF2" w:rsidP="00DC5EF2">
      <w:pPr>
        <w:pStyle w:val="Ruller41"/>
        <w:rPr>
          <w:rFonts w:ascii="Century" w:hAnsi="Century" w:cs="Miriam"/>
          <w:b/>
          <w:spacing w:val="0"/>
          <w:szCs w:val="24"/>
          <w:rtl/>
        </w:rPr>
      </w:pPr>
    </w:p>
    <w:p w14:paraId="2337F484" w14:textId="77777777" w:rsidR="00DC5EF2" w:rsidRDefault="00000000" w:rsidP="00DC5EF2">
      <w:pPr>
        <w:pStyle w:val="Ruller4"/>
        <w:numPr>
          <w:ilvl w:val="0"/>
          <w:numId w:val="12"/>
        </w:numPr>
        <w:textAlignment w:val="auto"/>
        <w:rPr>
          <w:rtl/>
        </w:rPr>
      </w:pPr>
      <w:r>
        <w:rPr>
          <w:rtl/>
        </w:rPr>
        <w:t>לאחר עיון בכתובים שהונחו לפנינו, הגעתי ל</w:t>
      </w:r>
      <w:bookmarkStart w:id="13" w:name="Seif54"/>
      <w:r>
        <w:rPr>
          <w:rtl/>
        </w:rPr>
        <w:t xml:space="preserve">כלל מסקנה </w:t>
      </w:r>
      <w:bookmarkEnd w:id="13"/>
      <w:r>
        <w:rPr>
          <w:rtl/>
        </w:rPr>
        <w:t xml:space="preserve">כי דין הערעור להידחות – זאת, מכוח סמכותנו לפי </w:t>
      </w:r>
      <w:hyperlink r:id="rId25" w:history="1">
        <w:bookmarkStart w:id="14" w:name="Seif10"/>
        <w:r w:rsidR="00AB7FCD" w:rsidRPr="00AB7FCD">
          <w:rPr>
            <w:rStyle w:val="Hyperlink"/>
            <w:rFonts w:hint="eastAsia"/>
            <w:rtl/>
          </w:rPr>
          <w:t>תקנה</w:t>
        </w:r>
        <w:r w:rsidR="00AB7FCD" w:rsidRPr="00AB7FCD">
          <w:rPr>
            <w:rStyle w:val="Hyperlink"/>
            <w:rtl/>
          </w:rPr>
          <w:t xml:space="preserve"> </w:t>
        </w:r>
        <w:bookmarkEnd w:id="14"/>
        <w:r w:rsidR="00AB7FCD" w:rsidRPr="00AB7FCD">
          <w:rPr>
            <w:rStyle w:val="Hyperlink"/>
            <w:rtl/>
          </w:rPr>
          <w:t>138(</w:t>
        </w:r>
        <w:r w:rsidR="00AB7FCD" w:rsidRPr="00AB7FCD">
          <w:rPr>
            <w:rStyle w:val="Hyperlink"/>
            <w:rFonts w:hint="eastAsia"/>
            <w:rtl/>
          </w:rPr>
          <w:t>א</w:t>
        </w:r>
        <w:r w:rsidR="00AB7FCD" w:rsidRPr="00AB7FCD">
          <w:rPr>
            <w:rStyle w:val="Hyperlink"/>
            <w:rtl/>
          </w:rPr>
          <w:t>)(5)</w:t>
        </w:r>
      </w:hyperlink>
      <w:r>
        <w:rPr>
          <w:rtl/>
        </w:rPr>
        <w:t xml:space="preserve"> ל</w:t>
      </w:r>
      <w:hyperlink r:id="rId26" w:history="1">
        <w:bookmarkStart w:id="15" w:name="Seif9"/>
        <w:r w:rsidR="00715337" w:rsidRPr="00715337">
          <w:rPr>
            <w:rFonts w:hint="eastAsia"/>
            <w:color w:val="0000FF"/>
            <w:u w:val="single"/>
            <w:rtl/>
          </w:rPr>
          <w:t>תקנות</w:t>
        </w:r>
        <w:r w:rsidR="00715337" w:rsidRPr="00715337">
          <w:rPr>
            <w:color w:val="0000FF"/>
            <w:u w:val="single"/>
            <w:rtl/>
          </w:rPr>
          <w:t xml:space="preserve"> </w:t>
        </w:r>
        <w:bookmarkEnd w:id="15"/>
        <w:r w:rsidR="00715337" w:rsidRPr="00715337">
          <w:rPr>
            <w:rFonts w:hint="eastAsia"/>
            <w:color w:val="0000FF"/>
            <w:u w:val="single"/>
            <w:rtl/>
          </w:rPr>
          <w:t>סדר</w:t>
        </w:r>
        <w:r w:rsidR="00715337" w:rsidRPr="00715337">
          <w:rPr>
            <w:color w:val="0000FF"/>
            <w:u w:val="single"/>
            <w:rtl/>
          </w:rPr>
          <w:t xml:space="preserve"> </w:t>
        </w:r>
        <w:r w:rsidR="00715337" w:rsidRPr="00715337">
          <w:rPr>
            <w:rFonts w:hint="eastAsia"/>
            <w:color w:val="0000FF"/>
            <w:u w:val="single"/>
            <w:rtl/>
          </w:rPr>
          <w:t>הדין</w:t>
        </w:r>
        <w:r w:rsidR="00715337" w:rsidRPr="00715337">
          <w:rPr>
            <w:color w:val="0000FF"/>
            <w:u w:val="single"/>
            <w:rtl/>
          </w:rPr>
          <w:t xml:space="preserve"> </w:t>
        </w:r>
        <w:r w:rsidR="00715337" w:rsidRPr="00715337">
          <w:rPr>
            <w:rFonts w:hint="eastAsia"/>
            <w:color w:val="0000FF"/>
            <w:u w:val="single"/>
            <w:rtl/>
          </w:rPr>
          <w:t>האזרחי</w:t>
        </w:r>
        <w:r w:rsidR="00715337" w:rsidRPr="00715337">
          <w:rPr>
            <w:color w:val="0000FF"/>
            <w:u w:val="single"/>
            <w:rtl/>
          </w:rPr>
          <w:t xml:space="preserve">, </w:t>
        </w:r>
        <w:r w:rsidR="00715337" w:rsidRPr="00715337">
          <w:rPr>
            <w:rFonts w:hint="eastAsia"/>
            <w:color w:val="0000FF"/>
            <w:u w:val="single"/>
            <w:rtl/>
          </w:rPr>
          <w:t>התשע</w:t>
        </w:r>
        <w:r w:rsidR="00715337" w:rsidRPr="00715337">
          <w:rPr>
            <w:color w:val="0000FF"/>
            <w:u w:val="single"/>
            <w:rtl/>
          </w:rPr>
          <w:t>"</w:t>
        </w:r>
        <w:r w:rsidR="00715337" w:rsidRPr="00715337">
          <w:rPr>
            <w:rFonts w:hint="eastAsia"/>
            <w:color w:val="0000FF"/>
            <w:u w:val="single"/>
            <w:rtl/>
          </w:rPr>
          <w:t>ט</w:t>
        </w:r>
      </w:hyperlink>
      <w:r>
        <w:rPr>
          <w:rtl/>
        </w:rPr>
        <w:t xml:space="preserve">-2018. </w:t>
      </w:r>
    </w:p>
    <w:p w14:paraId="34AC3B9A" w14:textId="77777777" w:rsidR="00DC5EF2" w:rsidRDefault="00DC5EF2" w:rsidP="00DC5EF2">
      <w:pPr>
        <w:pStyle w:val="Ruller41"/>
        <w:rPr>
          <w:rtl/>
        </w:rPr>
      </w:pPr>
    </w:p>
    <w:p w14:paraId="4E776001" w14:textId="77777777" w:rsidR="00DC5EF2" w:rsidRDefault="00000000" w:rsidP="00DC5EF2">
      <w:pPr>
        <w:pStyle w:val="Ruller4"/>
        <w:numPr>
          <w:ilvl w:val="0"/>
          <w:numId w:val="12"/>
        </w:numPr>
        <w:textAlignment w:val="auto"/>
        <w:rPr>
          <w:rtl/>
        </w:rPr>
      </w:pPr>
      <w:r>
        <w:rPr>
          <w:rtl/>
        </w:rPr>
        <w:t>בית משפט קמא סילק את התביעה על הסף בהישענו על מספר טעמים: היעדר עילה; התיישנות; והשתק. המערערים העלו שלל טענות, מן הגורן ומן היקב, כנגד פסק הדין קמא, אולם סבורני כי דינן להידחות. כפי שיפורט להלן, נחה דעתי כי פסק הדין קמא נשען על יסודות איתנים ובדין יסודו, ועל-כן לא יהא בידנו להתערב בו.</w:t>
      </w:r>
    </w:p>
    <w:p w14:paraId="54AAF721" w14:textId="77777777" w:rsidR="00DC5EF2" w:rsidRDefault="00DC5EF2" w:rsidP="00DC5EF2">
      <w:pPr>
        <w:pStyle w:val="Ruller41"/>
        <w:rPr>
          <w:rtl/>
        </w:rPr>
      </w:pPr>
    </w:p>
    <w:p w14:paraId="3DD794FD" w14:textId="77777777" w:rsidR="00DC5EF2" w:rsidRDefault="00000000" w:rsidP="00DC5EF2">
      <w:pPr>
        <w:pStyle w:val="Ruller4"/>
        <w:numPr>
          <w:ilvl w:val="0"/>
          <w:numId w:val="12"/>
        </w:numPr>
        <w:textAlignment w:val="auto"/>
        <w:rPr>
          <w:rFonts w:ascii="Century" w:hAnsi="Century"/>
          <w:sz w:val="22"/>
          <w:rtl/>
        </w:rPr>
      </w:pPr>
      <w:r>
        <w:rPr>
          <w:rtl/>
        </w:rPr>
        <w:t xml:space="preserve">בשנת 1942 עברו המקרקעין נושא המחלוקת הליכי הסדר שבסופם נרשמו המקרקעין על שם המדינה. </w:t>
      </w:r>
      <w:hyperlink r:id="rId27" w:history="1">
        <w:bookmarkStart w:id="16" w:name="Seif23"/>
        <w:r w:rsidR="00AB7FCD" w:rsidRPr="00AB7FCD">
          <w:rPr>
            <w:rStyle w:val="Hyperlink"/>
            <w:rFonts w:hint="eastAsia"/>
            <w:rtl/>
          </w:rPr>
          <w:t>סעיף</w:t>
        </w:r>
        <w:r w:rsidR="00AB7FCD" w:rsidRPr="00AB7FCD">
          <w:rPr>
            <w:rStyle w:val="Hyperlink"/>
            <w:rtl/>
          </w:rPr>
          <w:t xml:space="preserve"> </w:t>
        </w:r>
        <w:bookmarkEnd w:id="16"/>
        <w:r w:rsidR="00AB7FCD" w:rsidRPr="00AB7FCD">
          <w:rPr>
            <w:rStyle w:val="Hyperlink"/>
            <w:rtl/>
          </w:rPr>
          <w:t>81</w:t>
        </w:r>
      </w:hyperlink>
      <w:r>
        <w:rPr>
          <w:rtl/>
        </w:rPr>
        <w:t xml:space="preserve"> לפקודת ההסדר קובע כי "</w:t>
      </w:r>
      <w:r>
        <w:rPr>
          <w:rFonts w:ascii="Century" w:hAnsi="Century" w:cs="Miriam"/>
          <w:b/>
          <w:spacing w:val="0"/>
          <w:sz w:val="22"/>
          <w:szCs w:val="24"/>
          <w:rtl/>
        </w:rPr>
        <w:t>הרישום של מקרקעין בפנקס החדש יבטל כל זכות הסותרת אותו רישום, אם אין בפקודה זו הוראה אחרת לענין זה</w:t>
      </w:r>
      <w:r>
        <w:rPr>
          <w:rtl/>
        </w:rPr>
        <w:t>". הווה אומר: מיום שנסתיימו הליכי ההסדר, כל זכות שסותרת את הרישום מתבטלת.</w:t>
      </w:r>
    </w:p>
    <w:p w14:paraId="127B8C3F" w14:textId="77777777" w:rsidR="00DC5EF2" w:rsidRDefault="00DC5EF2" w:rsidP="00DC5EF2">
      <w:pPr>
        <w:pStyle w:val="Ruller41"/>
        <w:rPr>
          <w:rtl/>
        </w:rPr>
      </w:pPr>
    </w:p>
    <w:p w14:paraId="28C01AAA" w14:textId="77777777" w:rsidR="00DC5EF2" w:rsidRDefault="00000000" w:rsidP="00DC5EF2">
      <w:pPr>
        <w:pStyle w:val="Ruller4"/>
        <w:numPr>
          <w:ilvl w:val="0"/>
          <w:numId w:val="12"/>
        </w:numPr>
        <w:textAlignment w:val="auto"/>
        <w:rPr>
          <w:rStyle w:val="default"/>
          <w:rFonts w:ascii="Century" w:hAnsi="Century"/>
          <w:sz w:val="22"/>
        </w:rPr>
      </w:pPr>
      <w:r>
        <w:rPr>
          <w:rtl/>
        </w:rPr>
        <w:t xml:space="preserve">בשלב שלאחר רישום הזכויות, המחוקק הותיר פתח צר לסתור את נכונות הרישום </w:t>
      </w:r>
      <w:hyperlink r:id="rId28" w:history="1">
        <w:r w:rsidR="00AB7FCD" w:rsidRPr="00AB7FCD">
          <w:rPr>
            <w:rStyle w:val="Hyperlink"/>
            <w:rFonts w:hint="eastAsia"/>
            <w:rtl/>
          </w:rPr>
          <w:t>ב</w:t>
        </w:r>
        <w:bookmarkStart w:id="17" w:name="Seif2"/>
        <w:r w:rsidR="00AB7FCD" w:rsidRPr="00AB7FCD">
          <w:rPr>
            <w:rStyle w:val="Hyperlink"/>
            <w:rFonts w:hint="eastAsia"/>
            <w:rtl/>
          </w:rPr>
          <w:t>סעיפים</w:t>
        </w:r>
        <w:r w:rsidR="00AB7FCD" w:rsidRPr="00AB7FCD">
          <w:rPr>
            <w:rStyle w:val="Hyperlink"/>
            <w:rtl/>
          </w:rPr>
          <w:t xml:space="preserve"> </w:t>
        </w:r>
        <w:bookmarkEnd w:id="17"/>
        <w:r w:rsidR="00AB7FCD" w:rsidRPr="00AB7FCD">
          <w:rPr>
            <w:rStyle w:val="Hyperlink"/>
            <w:rtl/>
          </w:rPr>
          <w:t>97-93</w:t>
        </w:r>
      </w:hyperlink>
      <w:r>
        <w:rPr>
          <w:rtl/>
        </w:rPr>
        <w:t xml:space="preserve"> לפקודת ההסדר. </w:t>
      </w:r>
      <w:hyperlink r:id="rId29" w:history="1">
        <w:bookmarkStart w:id="18" w:name="Seif24"/>
        <w:r w:rsidR="00AB7FCD" w:rsidRPr="00AB7FCD">
          <w:rPr>
            <w:rStyle w:val="Hyperlink"/>
            <w:rFonts w:hint="eastAsia"/>
            <w:rtl/>
          </w:rPr>
          <w:t>סעיף</w:t>
        </w:r>
        <w:r w:rsidR="00AB7FCD" w:rsidRPr="00AB7FCD">
          <w:rPr>
            <w:rStyle w:val="Hyperlink"/>
            <w:rtl/>
          </w:rPr>
          <w:t xml:space="preserve"> </w:t>
        </w:r>
        <w:bookmarkEnd w:id="18"/>
        <w:r w:rsidR="00AB7FCD" w:rsidRPr="00AB7FCD">
          <w:rPr>
            <w:rStyle w:val="Hyperlink"/>
            <w:rtl/>
          </w:rPr>
          <w:t>93</w:t>
        </w:r>
      </w:hyperlink>
      <w:r>
        <w:rPr>
          <w:rtl/>
        </w:rPr>
        <w:t xml:space="preserve"> לפקודת ההסדר קובע כי "</w:t>
      </w:r>
      <w:r>
        <w:rPr>
          <w:rStyle w:val="default"/>
          <w:rFonts w:ascii="Century" w:hAnsi="Century" w:cs="Miriam"/>
          <w:b/>
          <w:spacing w:val="0"/>
          <w:sz w:val="22"/>
          <w:szCs w:val="24"/>
          <w:rtl/>
        </w:rPr>
        <w:t>שוכנע בית המשפט לאחר ההסדר שרישומה של זכות בפנקס</w:t>
      </w:r>
      <w:r w:rsidR="00715337">
        <w:rPr>
          <w:rStyle w:val="default"/>
          <w:rFonts w:ascii="Century" w:hAnsi="Century" w:cs="Miriam"/>
          <w:b/>
          <w:spacing w:val="0"/>
          <w:sz w:val="22"/>
          <w:szCs w:val="24"/>
          <w:rtl/>
        </w:rPr>
        <w:t xml:space="preserve"> </w:t>
      </w:r>
      <w:r>
        <w:rPr>
          <w:rStyle w:val="default"/>
          <w:rFonts w:ascii="Century" w:hAnsi="Century" w:cs="Miriam"/>
          <w:b/>
          <w:spacing w:val="0"/>
          <w:sz w:val="22"/>
          <w:szCs w:val="24"/>
          <w:rtl/>
        </w:rPr>
        <w:t>הושג במרמה,</w:t>
      </w:r>
      <w:r>
        <w:rPr>
          <w:rStyle w:val="default"/>
          <w:rFonts w:ascii="Century" w:hAnsi="Century" w:cs="Miriam"/>
          <w:b/>
          <w:spacing w:val="0"/>
          <w:sz w:val="22"/>
          <w:szCs w:val="24"/>
        </w:rPr>
        <w:t xml:space="preserve"> </w:t>
      </w:r>
      <w:r>
        <w:rPr>
          <w:rStyle w:val="default"/>
          <w:rFonts w:ascii="Century" w:hAnsi="Century" w:cs="Miriam"/>
          <w:b/>
          <w:spacing w:val="0"/>
          <w:sz w:val="22"/>
          <w:szCs w:val="24"/>
          <w:rtl/>
        </w:rPr>
        <w:t>או</w:t>
      </w:r>
      <w:r w:rsidR="00715337">
        <w:rPr>
          <w:rStyle w:val="default"/>
          <w:rFonts w:ascii="Century" w:hAnsi="Century" w:cs="Miriam"/>
          <w:b/>
          <w:spacing w:val="0"/>
          <w:sz w:val="22"/>
          <w:szCs w:val="24"/>
          <w:rtl/>
        </w:rPr>
        <w:t xml:space="preserve"> </w:t>
      </w:r>
      <w:r>
        <w:rPr>
          <w:rStyle w:val="default"/>
          <w:rFonts w:ascii="Century" w:hAnsi="Century" w:cs="Miriam"/>
          <w:b/>
          <w:spacing w:val="0"/>
          <w:sz w:val="22"/>
          <w:szCs w:val="24"/>
          <w:rtl/>
        </w:rPr>
        <w:t>שזכות שהיתה רשומה בפנקס קיים הושמטה</w:t>
      </w:r>
      <w:r w:rsidR="00715337">
        <w:rPr>
          <w:rStyle w:val="default"/>
          <w:rFonts w:ascii="Century" w:hAnsi="Century" w:cs="Miriam"/>
          <w:b/>
          <w:spacing w:val="0"/>
          <w:sz w:val="22"/>
          <w:szCs w:val="24"/>
          <w:rtl/>
        </w:rPr>
        <w:t xml:space="preserve"> </w:t>
      </w:r>
      <w:r>
        <w:rPr>
          <w:rStyle w:val="default"/>
          <w:rFonts w:ascii="Century" w:hAnsi="Century" w:cs="Miriam"/>
          <w:b/>
          <w:spacing w:val="0"/>
          <w:sz w:val="22"/>
          <w:szCs w:val="24"/>
          <w:rtl/>
        </w:rPr>
        <w:t>מן הפנקס החדש או נרשמה בו שלא כשורה, רשאי בית המשפט,</w:t>
      </w:r>
      <w:r w:rsidR="00715337">
        <w:rPr>
          <w:rStyle w:val="default"/>
          <w:rFonts w:ascii="Century" w:hAnsi="Century" w:cs="Miriam"/>
          <w:b/>
          <w:spacing w:val="0"/>
          <w:sz w:val="22"/>
          <w:szCs w:val="24"/>
        </w:rPr>
        <w:t xml:space="preserve"> </w:t>
      </w:r>
      <w:r>
        <w:rPr>
          <w:rStyle w:val="default"/>
          <w:rFonts w:ascii="Century" w:hAnsi="Century" w:cs="Miriam"/>
          <w:b/>
          <w:spacing w:val="0"/>
          <w:sz w:val="22"/>
          <w:szCs w:val="24"/>
          <w:rtl/>
        </w:rPr>
        <w:t>בכפוף לדין החל על התיישנות תובענות,</w:t>
      </w:r>
      <w:r>
        <w:rPr>
          <w:rStyle w:val="default"/>
          <w:rFonts w:ascii="Century" w:hAnsi="Century" w:cs="Miriam"/>
          <w:b/>
          <w:spacing w:val="0"/>
          <w:sz w:val="22"/>
          <w:szCs w:val="24"/>
        </w:rPr>
        <w:t xml:space="preserve"> </w:t>
      </w:r>
      <w:r>
        <w:rPr>
          <w:rStyle w:val="default"/>
          <w:rFonts w:ascii="Century" w:hAnsi="Century" w:cs="Miriam"/>
          <w:b/>
          <w:spacing w:val="0"/>
          <w:sz w:val="22"/>
          <w:szCs w:val="24"/>
          <w:rtl/>
        </w:rPr>
        <w:t>להורות על תיקון הפנקס, אם דרך ביטול הרישום או בדרך אחרת כפי שבית המשפט ראה לנכון; אולם בית המשפט לא יורה על תיקון הפנקס אם רכש אדם מקרקעין בתום לב ובתמורה, מבעל רשום, אחרי ההסדר</w:t>
      </w:r>
      <w:r>
        <w:rPr>
          <w:rStyle w:val="default"/>
          <w:rFonts w:ascii="Century" w:hAnsi="Century"/>
          <w:sz w:val="22"/>
          <w:rtl/>
        </w:rPr>
        <w:t>". זה מכבר נקבע כי הבטחת יציבות המרשם וביצור אמינותו מחייבת פרשנות מצמצמת ל</w:t>
      </w:r>
      <w:bookmarkStart w:id="19" w:name="Seif25"/>
      <w:r>
        <w:rPr>
          <w:rStyle w:val="default"/>
          <w:rFonts w:ascii="Century" w:hAnsi="Century"/>
          <w:sz w:val="22"/>
          <w:rtl/>
        </w:rPr>
        <w:t xml:space="preserve">סעיף </w:t>
      </w:r>
      <w:bookmarkEnd w:id="19"/>
      <w:r>
        <w:rPr>
          <w:rStyle w:val="default"/>
          <w:rFonts w:ascii="Century" w:hAnsi="Century"/>
          <w:sz w:val="22"/>
          <w:rtl/>
        </w:rPr>
        <w:t xml:space="preserve">זה, כך שתיקון המרשם ייעשה במשורה ואך ורק במקרים חריגים. מגמה זו עולה בקנה אחד עם עיקרון סופיות הרישום אשר בא לידי ביטוי בהוראת </w:t>
      </w:r>
      <w:hyperlink r:id="rId30" w:history="1">
        <w:bookmarkStart w:id="20" w:name="Seif26"/>
        <w:r w:rsidR="00AB7FCD" w:rsidRPr="00AB7FCD">
          <w:rPr>
            <w:rStyle w:val="Hyperlink"/>
            <w:rFonts w:ascii="Century" w:hAnsi="Century" w:hint="eastAsia"/>
            <w:sz w:val="22"/>
            <w:rtl/>
          </w:rPr>
          <w:t>סעיף</w:t>
        </w:r>
        <w:r w:rsidR="00AB7FCD" w:rsidRPr="00AB7FCD">
          <w:rPr>
            <w:rStyle w:val="Hyperlink"/>
            <w:rFonts w:ascii="Century" w:hAnsi="Century"/>
            <w:sz w:val="22"/>
            <w:rtl/>
          </w:rPr>
          <w:t xml:space="preserve"> </w:t>
        </w:r>
        <w:bookmarkEnd w:id="20"/>
        <w:r w:rsidR="00AB7FCD" w:rsidRPr="00AB7FCD">
          <w:rPr>
            <w:rStyle w:val="Hyperlink"/>
            <w:rFonts w:ascii="Century" w:hAnsi="Century"/>
            <w:sz w:val="22"/>
            <w:rtl/>
          </w:rPr>
          <w:t>81</w:t>
        </w:r>
      </w:hyperlink>
      <w:r>
        <w:rPr>
          <w:rStyle w:val="default"/>
          <w:rFonts w:ascii="Century" w:hAnsi="Century"/>
          <w:sz w:val="22"/>
          <w:rtl/>
        </w:rPr>
        <w:t xml:space="preserve"> לפקודת ההסדר (ראו: </w:t>
      </w:r>
      <w:hyperlink r:id="rId31" w:history="1">
        <w:r w:rsidR="00715337" w:rsidRPr="00715337">
          <w:rPr>
            <w:rStyle w:val="default"/>
            <w:rFonts w:ascii="Century" w:hAnsi="Century" w:hint="eastAsia"/>
            <w:color w:val="0000FF"/>
            <w:sz w:val="22"/>
            <w:u w:val="single"/>
            <w:rtl/>
          </w:rPr>
          <w:t>ע</w:t>
        </w:r>
        <w:r w:rsidR="00715337" w:rsidRPr="00715337">
          <w:rPr>
            <w:rStyle w:val="default"/>
            <w:rFonts w:ascii="Century" w:hAnsi="Century"/>
            <w:color w:val="0000FF"/>
            <w:sz w:val="22"/>
            <w:u w:val="single"/>
            <w:rtl/>
          </w:rPr>
          <w:t>"</w:t>
        </w:r>
        <w:r w:rsidR="00715337" w:rsidRPr="00715337">
          <w:rPr>
            <w:rStyle w:val="default"/>
            <w:rFonts w:ascii="Century" w:hAnsi="Century" w:hint="eastAsia"/>
            <w:color w:val="0000FF"/>
            <w:sz w:val="22"/>
            <w:u w:val="single"/>
            <w:rtl/>
          </w:rPr>
          <w:t>א</w:t>
        </w:r>
        <w:r w:rsidR="00715337" w:rsidRPr="00715337">
          <w:rPr>
            <w:rStyle w:val="default"/>
            <w:rFonts w:ascii="Century" w:hAnsi="Century"/>
            <w:color w:val="0000FF"/>
            <w:sz w:val="22"/>
            <w:u w:val="single"/>
            <w:rtl/>
          </w:rPr>
          <w:t xml:space="preserve"> 7744/12</w:t>
        </w:r>
      </w:hyperlink>
      <w:r>
        <w:rPr>
          <w:rStyle w:val="default"/>
          <w:rFonts w:ascii="Century" w:hAnsi="Century"/>
          <w:sz w:val="22"/>
          <w:rtl/>
        </w:rPr>
        <w:t xml:space="preserve"> </w:t>
      </w:r>
      <w:r>
        <w:rPr>
          <w:rStyle w:val="default"/>
          <w:rFonts w:ascii="Century" w:hAnsi="Century" w:cs="Miriam"/>
          <w:b/>
          <w:spacing w:val="0"/>
          <w:sz w:val="22"/>
          <w:szCs w:val="24"/>
          <w:rtl/>
        </w:rPr>
        <w:t>שעלאן נ' מדינת ישראל</w:t>
      </w:r>
      <w:r>
        <w:rPr>
          <w:rStyle w:val="default"/>
          <w:rFonts w:ascii="Century" w:hAnsi="Century"/>
          <w:sz w:val="22"/>
          <w:rtl/>
        </w:rPr>
        <w:t xml:space="preserve">, </w:t>
      </w:r>
      <w:bookmarkStart w:id="21" w:name="Seif37"/>
      <w:r>
        <w:rPr>
          <w:rStyle w:val="default"/>
          <w:rFonts w:ascii="Century" w:hAnsi="Century"/>
          <w:sz w:val="22"/>
          <w:rtl/>
        </w:rPr>
        <w:t xml:space="preserve">פסקה </w:t>
      </w:r>
      <w:bookmarkEnd w:id="21"/>
      <w:r>
        <w:rPr>
          <w:rStyle w:val="default"/>
          <w:rFonts w:ascii="Century" w:hAnsi="Century"/>
          <w:sz w:val="22"/>
          <w:rtl/>
        </w:rPr>
        <w:t xml:space="preserve">12 </w:t>
      </w:r>
      <w:r w:rsidR="00D51CAE">
        <w:rPr>
          <w:rFonts w:hint="cs"/>
          <w:rtl/>
        </w:rPr>
        <w:t xml:space="preserve">[נבו] </w:t>
      </w:r>
      <w:r>
        <w:rPr>
          <w:rStyle w:val="default"/>
          <w:rFonts w:ascii="Century" w:hAnsi="Century"/>
          <w:sz w:val="22"/>
          <w:rtl/>
        </w:rPr>
        <w:t xml:space="preserve">(14.8.2014) (להלן: עניין </w:t>
      </w:r>
      <w:r>
        <w:rPr>
          <w:rStyle w:val="default"/>
          <w:rFonts w:ascii="Century" w:hAnsi="Century" w:cs="Miriam"/>
          <w:b/>
          <w:spacing w:val="0"/>
          <w:sz w:val="22"/>
          <w:szCs w:val="24"/>
          <w:rtl/>
        </w:rPr>
        <w:t>שעלאן</w:t>
      </w:r>
      <w:r>
        <w:rPr>
          <w:rStyle w:val="default"/>
          <w:rFonts w:ascii="Century" w:hAnsi="Century"/>
          <w:sz w:val="22"/>
          <w:rtl/>
        </w:rPr>
        <w:t>)).</w:t>
      </w:r>
    </w:p>
    <w:p w14:paraId="6CCBB410" w14:textId="77777777" w:rsidR="00DC5EF2" w:rsidRDefault="00DC5EF2" w:rsidP="00DC5EF2">
      <w:pPr>
        <w:pStyle w:val="Ruller41"/>
        <w:rPr>
          <w:rtl/>
        </w:rPr>
      </w:pPr>
    </w:p>
    <w:p w14:paraId="5DC7AE84" w14:textId="77777777" w:rsidR="00DC5EF2" w:rsidRDefault="00000000" w:rsidP="00DC5EF2">
      <w:pPr>
        <w:pStyle w:val="Ruller4"/>
        <w:numPr>
          <w:ilvl w:val="0"/>
          <w:numId w:val="12"/>
        </w:numPr>
        <w:textAlignment w:val="auto"/>
        <w:rPr>
          <w:rtl/>
        </w:rPr>
      </w:pPr>
      <w:r>
        <w:rPr>
          <w:rtl/>
        </w:rPr>
        <w:t xml:space="preserve">המערערים ניסו לשכנענו כי בהליכי ההסדר נפל פגם המחייב את ביטול הרישום – וזאת, מכוח הוראת </w:t>
      </w:r>
      <w:hyperlink r:id="rId32" w:history="1">
        <w:bookmarkStart w:id="22" w:name="Seif27"/>
        <w:r w:rsidR="00AB7FCD" w:rsidRPr="00AB7FCD">
          <w:rPr>
            <w:rStyle w:val="Hyperlink"/>
            <w:rFonts w:hint="eastAsia"/>
            <w:rtl/>
          </w:rPr>
          <w:t>סעיף</w:t>
        </w:r>
        <w:r w:rsidR="00AB7FCD" w:rsidRPr="00AB7FCD">
          <w:rPr>
            <w:rStyle w:val="Hyperlink"/>
            <w:rtl/>
          </w:rPr>
          <w:t xml:space="preserve"> </w:t>
        </w:r>
        <w:bookmarkEnd w:id="22"/>
        <w:r w:rsidR="00AB7FCD" w:rsidRPr="00AB7FCD">
          <w:rPr>
            <w:rStyle w:val="Hyperlink"/>
            <w:rtl/>
          </w:rPr>
          <w:t>93</w:t>
        </w:r>
      </w:hyperlink>
      <w:r>
        <w:rPr>
          <w:rtl/>
        </w:rPr>
        <w:t xml:space="preserve"> לפקודת ההסדר. במסגרת זאת, נטען כי המדינה התחייבה בפני המערערים שזכויותיהם במקרקעין תישמרנה אף לאחר הרישום, ולכן כפירתם בהתחייבות זו מוכיחה כי נפל פגם בהליכי ההסדר. דא-עקא, טענה זו נטענה לראשונה בכתב הערעור ומהווה הרחבת חזית, וממילא היא נטענה בעלמא מבלי שהובאה ולו תשתית עובדתית מינימלית להוכחתה. בידוע הוא, כי על הטוען לתיקון הרישום להעמיד בפני בית המשפט תשתית עובדתית מוצקה ומפורטת להוכחת טענתו. המערערים תולים את יהבם בהתחייבות שניתנה להם, כביכול, על-ידי המדינה לשמירה על זכויותיהם. אף אם נניח לטובת המערערים כי התחייבות כגון-דא עולה כדי תרמית או פגם אחר ברישום – ומסופקני אם אכן כך הדבר – טענת המערערים נעדרת פירוט עובדתי בסיסי. המערערים אינם מ</w:t>
      </w:r>
      <w:bookmarkStart w:id="23" w:name="Seif49"/>
      <w:r>
        <w:rPr>
          <w:rtl/>
        </w:rPr>
        <w:t xml:space="preserve">פרטים </w:t>
      </w:r>
      <w:bookmarkEnd w:id="23"/>
      <w:r>
        <w:rPr>
          <w:rtl/>
        </w:rPr>
        <w:t>מתי ניתנה התחייבות זו; מי בדיוק נתן אותה; למי בדיוק היא ניתנה; ומה היה היקפה – אם ב</w:t>
      </w:r>
      <w:bookmarkStart w:id="24" w:name="Seif55"/>
      <w:r>
        <w:rPr>
          <w:rtl/>
        </w:rPr>
        <w:t xml:space="preserve">כלל – </w:t>
      </w:r>
      <w:bookmarkEnd w:id="24"/>
      <w:r>
        <w:rPr>
          <w:rtl/>
        </w:rPr>
        <w:t xml:space="preserve">וברי כי בנסיבות כאלה אין </w:t>
      </w:r>
      <w:r>
        <w:rPr>
          <w:rtl/>
        </w:rPr>
        <w:lastRenderedPageBreak/>
        <w:t>לטענה זו על מה להישען. אשר על כן, בית משפט קמא צדק בסלקו על הסף את התביעה מחמת היעדר עילה.</w:t>
      </w:r>
    </w:p>
    <w:p w14:paraId="507EDC96" w14:textId="77777777" w:rsidR="00DC5EF2" w:rsidRDefault="00DC5EF2" w:rsidP="00DC5EF2">
      <w:pPr>
        <w:pStyle w:val="Ruller4"/>
        <w:numPr>
          <w:ilvl w:val="0"/>
          <w:numId w:val="0"/>
        </w:numPr>
      </w:pPr>
    </w:p>
    <w:p w14:paraId="2DE15024" w14:textId="77777777" w:rsidR="00DC5EF2" w:rsidRDefault="00000000" w:rsidP="00DC5EF2">
      <w:pPr>
        <w:pStyle w:val="Ruller4"/>
        <w:numPr>
          <w:ilvl w:val="0"/>
          <w:numId w:val="12"/>
        </w:numPr>
        <w:textAlignment w:val="auto"/>
        <w:rPr>
          <w:rtl/>
        </w:rPr>
      </w:pPr>
      <w:r>
        <w:rPr>
          <w:rtl/>
        </w:rPr>
        <w:t xml:space="preserve">המערערים מוסיפים וטוענים לבעלות מכוח התיישנות רוכשת. לטענה זו לא נוכל להשיב אלא בשלילה. משלא עלה בידי המערערים לבסס טענה לפגם בהליכי ההסדר לפי הוראת </w:t>
      </w:r>
      <w:hyperlink r:id="rId33" w:history="1">
        <w:bookmarkStart w:id="25" w:name="Seif28"/>
        <w:r w:rsidR="00AB7FCD" w:rsidRPr="00AB7FCD">
          <w:rPr>
            <w:rStyle w:val="Hyperlink"/>
            <w:rFonts w:hint="eastAsia"/>
            <w:rtl/>
          </w:rPr>
          <w:t>סעיף</w:t>
        </w:r>
        <w:r w:rsidR="00AB7FCD" w:rsidRPr="00AB7FCD">
          <w:rPr>
            <w:rStyle w:val="Hyperlink"/>
            <w:rtl/>
          </w:rPr>
          <w:t xml:space="preserve"> </w:t>
        </w:r>
        <w:bookmarkEnd w:id="25"/>
        <w:r w:rsidR="00AB7FCD" w:rsidRPr="00AB7FCD">
          <w:rPr>
            <w:rStyle w:val="Hyperlink"/>
            <w:rtl/>
          </w:rPr>
          <w:t>93</w:t>
        </w:r>
      </w:hyperlink>
      <w:r>
        <w:rPr>
          <w:rtl/>
        </w:rPr>
        <w:t xml:space="preserve"> לפקודת ההסדר, כל זכות התיישנות שצמחה למערערים עובר להליכי ההסדר, אם בכלל, היא זכות שסותרת את הרישום, ועל-כן היא בטלה לאחר הרישום (ראו: </w:t>
      </w:r>
      <w:hyperlink r:id="rId34" w:history="1">
        <w:bookmarkStart w:id="26" w:name="Seif29"/>
        <w:r w:rsidR="00AB7FCD" w:rsidRPr="00AB7FCD">
          <w:rPr>
            <w:rStyle w:val="Hyperlink"/>
            <w:rFonts w:hint="eastAsia"/>
            <w:rtl/>
          </w:rPr>
          <w:t>סעיף</w:t>
        </w:r>
        <w:r w:rsidR="00AB7FCD" w:rsidRPr="00AB7FCD">
          <w:rPr>
            <w:rStyle w:val="Hyperlink"/>
            <w:rtl/>
          </w:rPr>
          <w:t xml:space="preserve"> </w:t>
        </w:r>
        <w:bookmarkEnd w:id="26"/>
        <w:r w:rsidR="00AB7FCD" w:rsidRPr="00AB7FCD">
          <w:rPr>
            <w:rStyle w:val="Hyperlink"/>
            <w:rtl/>
          </w:rPr>
          <w:t>81</w:t>
        </w:r>
      </w:hyperlink>
      <w:r>
        <w:rPr>
          <w:rtl/>
        </w:rPr>
        <w:t xml:space="preserve"> לפקודת ההסדר; </w:t>
      </w:r>
      <w:hyperlink r:id="rId35" w:history="1">
        <w:r w:rsidR="00715337" w:rsidRPr="00715337">
          <w:rPr>
            <w:rFonts w:hint="eastAsia"/>
            <w:color w:val="0000FF"/>
            <w:u w:val="single"/>
            <w:rtl/>
          </w:rPr>
          <w:t>ע</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162/87</w:t>
        </w:r>
      </w:hyperlink>
      <w:r>
        <w:rPr>
          <w:rtl/>
        </w:rPr>
        <w:t xml:space="preserve"> </w:t>
      </w:r>
      <w:r>
        <w:rPr>
          <w:rFonts w:ascii="Century" w:hAnsi="Century" w:cs="Miriam"/>
          <w:b/>
          <w:spacing w:val="0"/>
          <w:sz w:val="22"/>
          <w:szCs w:val="24"/>
          <w:rtl/>
        </w:rPr>
        <w:t>אמארה נ' יוסף</w:t>
      </w:r>
      <w:r>
        <w:rPr>
          <w:rtl/>
        </w:rPr>
        <w:t xml:space="preserve">, פ"ד מה(5) 533, 549 (1991); עניין </w:t>
      </w:r>
      <w:r>
        <w:rPr>
          <w:rStyle w:val="default"/>
          <w:rFonts w:ascii="Century" w:hAnsi="Century" w:cs="Miriam"/>
          <w:b/>
          <w:spacing w:val="0"/>
          <w:sz w:val="22"/>
          <w:szCs w:val="24"/>
          <w:rtl/>
        </w:rPr>
        <w:t>שעלאן</w:t>
      </w:r>
      <w:r>
        <w:rPr>
          <w:rStyle w:val="default"/>
          <w:rFonts w:ascii="Century" w:hAnsi="Century"/>
          <w:sz w:val="22"/>
          <w:rtl/>
        </w:rPr>
        <w:t>, ב</w:t>
      </w:r>
      <w:bookmarkStart w:id="27" w:name="Seif38"/>
      <w:r>
        <w:rPr>
          <w:rStyle w:val="default"/>
          <w:rFonts w:ascii="Century" w:hAnsi="Century"/>
          <w:sz w:val="22"/>
          <w:rtl/>
        </w:rPr>
        <w:t xml:space="preserve">פסקה </w:t>
      </w:r>
      <w:bookmarkEnd w:id="27"/>
      <w:r>
        <w:rPr>
          <w:rStyle w:val="default"/>
          <w:rFonts w:ascii="Century" w:hAnsi="Century"/>
          <w:sz w:val="22"/>
          <w:rtl/>
        </w:rPr>
        <w:t>17</w:t>
      </w:r>
      <w:r>
        <w:rPr>
          <w:rtl/>
        </w:rPr>
        <w:t xml:space="preserve">). </w:t>
      </w:r>
    </w:p>
    <w:p w14:paraId="37CC5344" w14:textId="77777777" w:rsidR="00DC5EF2" w:rsidRDefault="00DC5EF2" w:rsidP="00DC5EF2">
      <w:pPr>
        <w:pStyle w:val="Ruller41"/>
        <w:rPr>
          <w:rtl/>
        </w:rPr>
      </w:pPr>
    </w:p>
    <w:p w14:paraId="34A3178B" w14:textId="77777777" w:rsidR="00DC5EF2" w:rsidRDefault="00000000" w:rsidP="00DC5EF2">
      <w:pPr>
        <w:pStyle w:val="Ruller4"/>
        <w:numPr>
          <w:ilvl w:val="0"/>
          <w:numId w:val="12"/>
        </w:numPr>
        <w:textAlignment w:val="auto"/>
      </w:pPr>
      <w:r>
        <w:rPr>
          <w:rtl/>
        </w:rPr>
        <w:t xml:space="preserve">זאת ועוד: רכישת זכויות במקרקעין מכוח מנגנון של התיישנות רוכשת אינה אפשרית גם לאחר שנסתיימו הליכי ההסדר במקרקעין. </w:t>
      </w:r>
      <w:hyperlink r:id="rId36" w:history="1">
        <w:bookmarkStart w:id="28" w:name="Seif30"/>
        <w:r w:rsidR="00AB7FCD" w:rsidRPr="00AB7FCD">
          <w:rPr>
            <w:rStyle w:val="Hyperlink"/>
            <w:rFonts w:hint="eastAsia"/>
            <w:rtl/>
          </w:rPr>
          <w:t>סעיף</w:t>
        </w:r>
        <w:r w:rsidR="00AB7FCD" w:rsidRPr="00AB7FCD">
          <w:rPr>
            <w:rStyle w:val="Hyperlink"/>
            <w:rtl/>
          </w:rPr>
          <w:t xml:space="preserve"> </w:t>
        </w:r>
        <w:bookmarkEnd w:id="28"/>
        <w:r w:rsidR="00AB7FCD" w:rsidRPr="00AB7FCD">
          <w:rPr>
            <w:rStyle w:val="Hyperlink"/>
            <w:rtl/>
          </w:rPr>
          <w:t>159(</w:t>
        </w:r>
        <w:r w:rsidR="00AB7FCD" w:rsidRPr="00AB7FCD">
          <w:rPr>
            <w:rStyle w:val="Hyperlink"/>
            <w:rFonts w:hint="eastAsia"/>
            <w:rtl/>
          </w:rPr>
          <w:t>ב</w:t>
        </w:r>
        <w:r w:rsidR="00AB7FCD" w:rsidRPr="00AB7FCD">
          <w:rPr>
            <w:rStyle w:val="Hyperlink"/>
            <w:rtl/>
          </w:rPr>
          <w:t>)</w:t>
        </w:r>
      </w:hyperlink>
      <w:r>
        <w:rPr>
          <w:rtl/>
        </w:rPr>
        <w:t xml:space="preserve"> ל</w:t>
      </w:r>
      <w:hyperlink r:id="rId37" w:history="1">
        <w:r w:rsidR="00715337" w:rsidRPr="00715337">
          <w:rPr>
            <w:rFonts w:hint="eastAsia"/>
            <w:color w:val="0000FF"/>
            <w:u w:val="single"/>
            <w:rtl/>
          </w:rPr>
          <w:t>חוק</w:t>
        </w:r>
        <w:r w:rsidR="00715337" w:rsidRPr="00715337">
          <w:rPr>
            <w:color w:val="0000FF"/>
            <w:u w:val="single"/>
            <w:rtl/>
          </w:rPr>
          <w:t xml:space="preserve"> </w:t>
        </w:r>
        <w:r w:rsidR="00715337" w:rsidRPr="00715337">
          <w:rPr>
            <w:rFonts w:hint="eastAsia"/>
            <w:color w:val="0000FF"/>
            <w:u w:val="single"/>
            <w:rtl/>
          </w:rPr>
          <w:t>המקרקעין</w:t>
        </w:r>
      </w:hyperlink>
      <w:r>
        <w:rPr>
          <w:rtl/>
        </w:rPr>
        <w:t xml:space="preserve"> קובע כי "</w:t>
      </w:r>
      <w:hyperlink r:id="rId38" w:history="1">
        <w:r w:rsidR="00715337" w:rsidRPr="00715337">
          <w:rPr>
            <w:rFonts w:ascii="Century" w:hAnsi="Century" w:cs="Miriam" w:hint="eastAsia"/>
            <w:b/>
            <w:color w:val="0000FF"/>
            <w:spacing w:val="0"/>
            <w:sz w:val="22"/>
            <w:szCs w:val="24"/>
            <w:u w:val="single"/>
            <w:shd w:val="clear" w:color="auto" w:fill="FFFFFF"/>
            <w:rtl/>
          </w:rPr>
          <w:t>חוק</w:t>
        </w:r>
        <w:r w:rsidR="00715337" w:rsidRPr="00715337">
          <w:rPr>
            <w:rFonts w:ascii="Century" w:hAnsi="Century" w:cs="Miriam"/>
            <w:b/>
            <w:color w:val="0000FF"/>
            <w:spacing w:val="0"/>
            <w:sz w:val="22"/>
            <w:szCs w:val="24"/>
            <w:u w:val="single"/>
            <w:shd w:val="clear" w:color="auto" w:fill="FFFFFF"/>
            <w:rtl/>
          </w:rPr>
          <w:t xml:space="preserve"> </w:t>
        </w:r>
        <w:r w:rsidR="00715337" w:rsidRPr="00715337">
          <w:rPr>
            <w:rFonts w:ascii="Century" w:hAnsi="Century" w:cs="Miriam" w:hint="eastAsia"/>
            <w:b/>
            <w:color w:val="0000FF"/>
            <w:spacing w:val="0"/>
            <w:sz w:val="22"/>
            <w:szCs w:val="24"/>
            <w:u w:val="single"/>
            <w:shd w:val="clear" w:color="auto" w:fill="FFFFFF"/>
            <w:rtl/>
          </w:rPr>
          <w:t>ההתיישנות</w:t>
        </w:r>
      </w:hyperlink>
      <w:r>
        <w:rPr>
          <w:rFonts w:ascii="Century" w:hAnsi="Century" w:cs="Miriam"/>
          <w:b/>
          <w:spacing w:val="0"/>
          <w:sz w:val="22"/>
          <w:szCs w:val="24"/>
          <w:shd w:val="clear" w:color="auto" w:fill="FFFFFF"/>
          <w:rtl/>
        </w:rPr>
        <w:t>, תשי"ח-1958, לא יחול על תביעות לקיום זכות במקרקעין מוסדרים, אולם אין בכך כדי למנוע טענה מכוח ההתיישנות שאדם היה זכאי לטעון אותה לפני תחילת חוק זה</w:t>
      </w:r>
      <w:r>
        <w:rPr>
          <w:rtl/>
        </w:rPr>
        <w:t xml:space="preserve">". </w:t>
      </w:r>
      <w:bookmarkStart w:id="29" w:name="Seif31"/>
      <w:r>
        <w:rPr>
          <w:rtl/>
        </w:rPr>
        <w:t xml:space="preserve">סעיף </w:t>
      </w:r>
      <w:bookmarkEnd w:id="29"/>
      <w:r>
        <w:rPr>
          <w:rtl/>
        </w:rPr>
        <w:t xml:space="preserve">זה מלמדנו כי התיישנות אינה יכולה לשמש עוד כאמצעי לרכישת בעלות במקרקעין מוסדרים. באמצעות </w:t>
      </w:r>
      <w:bookmarkStart w:id="30" w:name="Seif32"/>
      <w:r>
        <w:rPr>
          <w:rtl/>
        </w:rPr>
        <w:t xml:space="preserve">סעיף </w:t>
      </w:r>
      <w:bookmarkEnd w:id="30"/>
      <w:r>
        <w:rPr>
          <w:rtl/>
        </w:rPr>
        <w:t xml:space="preserve">זה חיסן המחוקק זכויות במקרקעין מוסדרים מפני טענה בדבר התיישנות רוכשת אשר עומדת בסתירה לרישום (ראו: </w:t>
      </w:r>
      <w:hyperlink r:id="rId39" w:history="1">
        <w:r w:rsidR="00715337" w:rsidRPr="00715337">
          <w:rPr>
            <w:rFonts w:hint="eastAsia"/>
            <w:color w:val="0000FF"/>
            <w:u w:val="single"/>
            <w:rtl/>
          </w:rPr>
          <w:t>ע</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520/96</w:t>
        </w:r>
      </w:hyperlink>
      <w:r>
        <w:rPr>
          <w:rtl/>
        </w:rPr>
        <w:t xml:space="preserve"> </w:t>
      </w:r>
      <w:r>
        <w:rPr>
          <w:rFonts w:ascii="Century" w:hAnsi="Century" w:cs="Miriam"/>
          <w:b/>
          <w:spacing w:val="0"/>
          <w:sz w:val="22"/>
          <w:szCs w:val="24"/>
          <w:rtl/>
        </w:rPr>
        <w:t>חוסין נ' מיר</w:t>
      </w:r>
      <w:r>
        <w:rPr>
          <w:rtl/>
        </w:rPr>
        <w:t xml:space="preserve">, פ"ד נד(3) 487, 495 (2000); עניין </w:t>
      </w:r>
      <w:r w:rsidRPr="00BE15EB">
        <w:rPr>
          <w:rStyle w:val="default"/>
          <w:rFonts w:ascii="Century" w:hAnsi="Century" w:cs="Miriam"/>
          <w:b/>
          <w:spacing w:val="0"/>
          <w:sz w:val="22"/>
          <w:szCs w:val="24"/>
          <w:rtl/>
        </w:rPr>
        <w:t>שעלאן</w:t>
      </w:r>
      <w:r>
        <w:rPr>
          <w:rStyle w:val="default"/>
          <w:rFonts w:ascii="Century" w:hAnsi="Century"/>
          <w:sz w:val="22"/>
          <w:rtl/>
        </w:rPr>
        <w:t>, ב</w:t>
      </w:r>
      <w:bookmarkStart w:id="31" w:name="Seif39"/>
      <w:r>
        <w:rPr>
          <w:rStyle w:val="default"/>
          <w:rFonts w:ascii="Century" w:hAnsi="Century"/>
          <w:sz w:val="22"/>
          <w:rtl/>
        </w:rPr>
        <w:t xml:space="preserve">פסקה </w:t>
      </w:r>
      <w:bookmarkEnd w:id="31"/>
      <w:r>
        <w:rPr>
          <w:rStyle w:val="default"/>
          <w:rFonts w:ascii="Century" w:hAnsi="Century"/>
          <w:sz w:val="22"/>
          <w:rtl/>
        </w:rPr>
        <w:t>16</w:t>
      </w:r>
      <w:r>
        <w:rPr>
          <w:rtl/>
        </w:rPr>
        <w:t xml:space="preserve">). בשים לב לכל אלה, ברי הוא כי טענת המערערים לבעלות במקרקעין מכוח התיישנות רוכשת נדונה לכישלון – זאת, בין אם נטענה ביחס לתקופה שלפני הליכי ההסדר, ובין אם לאחר מכן. </w:t>
      </w:r>
    </w:p>
    <w:p w14:paraId="6FCB000B" w14:textId="77777777" w:rsidR="00DC5EF2" w:rsidRDefault="00DC5EF2" w:rsidP="00DC5EF2">
      <w:pPr>
        <w:pStyle w:val="Ruller41"/>
        <w:rPr>
          <w:rtl/>
        </w:rPr>
      </w:pPr>
    </w:p>
    <w:p w14:paraId="59CD89F3" w14:textId="77777777" w:rsidR="00DC5EF2" w:rsidRDefault="00000000" w:rsidP="00D51CAE">
      <w:pPr>
        <w:pStyle w:val="Ruller4"/>
        <w:numPr>
          <w:ilvl w:val="0"/>
          <w:numId w:val="12"/>
        </w:numPr>
        <w:textAlignment w:val="auto"/>
      </w:pPr>
      <w:r>
        <w:rPr>
          <w:rtl/>
        </w:rPr>
        <w:t xml:space="preserve">ואם בכך לא סגי, דין הערעור להידחות על הסף גם מחמת התיישנות. בפי המערערים טענה לבעלות במקרקעין מכוח פגם בהליכי ההסדר. אולם מאז הליכי ההסדר בשנת 1942, ועד הגשת התביעה לבית משפט קמא חלפו למעלה מ-80 שנים. בידוע הוא כי טענה לפגם בהליכי ההסדר מכוח </w:t>
      </w:r>
      <w:hyperlink r:id="rId40" w:history="1">
        <w:bookmarkStart w:id="32" w:name="Seif33"/>
        <w:r w:rsidR="00AB7FCD" w:rsidRPr="00AB7FCD">
          <w:rPr>
            <w:rStyle w:val="Hyperlink"/>
            <w:rFonts w:hint="eastAsia"/>
            <w:rtl/>
          </w:rPr>
          <w:t>סעיף</w:t>
        </w:r>
        <w:r w:rsidR="00AB7FCD" w:rsidRPr="00AB7FCD">
          <w:rPr>
            <w:rStyle w:val="Hyperlink"/>
            <w:rtl/>
          </w:rPr>
          <w:t xml:space="preserve"> </w:t>
        </w:r>
        <w:bookmarkEnd w:id="32"/>
        <w:r w:rsidR="00AB7FCD" w:rsidRPr="00AB7FCD">
          <w:rPr>
            <w:rStyle w:val="Hyperlink"/>
            <w:rtl/>
          </w:rPr>
          <w:t>93</w:t>
        </w:r>
      </w:hyperlink>
      <w:r>
        <w:rPr>
          <w:rtl/>
        </w:rPr>
        <w:t xml:space="preserve"> לפקודת ההסדר כפופה לדין ההתיישנות. </w:t>
      </w:r>
      <w:hyperlink r:id="rId41" w:history="1">
        <w:bookmarkStart w:id="33" w:name="Seif34"/>
        <w:r w:rsidR="00AB7FCD" w:rsidRPr="00AB7FCD">
          <w:rPr>
            <w:rStyle w:val="Hyperlink"/>
            <w:rFonts w:hint="eastAsia"/>
            <w:rtl/>
          </w:rPr>
          <w:t>סעיף</w:t>
        </w:r>
        <w:r w:rsidR="00AB7FCD" w:rsidRPr="00AB7FCD">
          <w:rPr>
            <w:rStyle w:val="Hyperlink"/>
            <w:rtl/>
          </w:rPr>
          <w:t xml:space="preserve"> </w:t>
        </w:r>
        <w:bookmarkEnd w:id="33"/>
        <w:r w:rsidR="00AB7FCD" w:rsidRPr="00AB7FCD">
          <w:rPr>
            <w:rStyle w:val="Hyperlink"/>
            <w:rtl/>
          </w:rPr>
          <w:t>5(2)</w:t>
        </w:r>
      </w:hyperlink>
      <w:r>
        <w:rPr>
          <w:rtl/>
        </w:rPr>
        <w:t xml:space="preserve"> ל</w:t>
      </w:r>
      <w:hyperlink r:id="rId42" w:history="1">
        <w:r w:rsidR="00715337" w:rsidRPr="00715337">
          <w:rPr>
            <w:rFonts w:hint="eastAsia"/>
            <w:color w:val="0000FF"/>
            <w:u w:val="single"/>
            <w:rtl/>
          </w:rPr>
          <w:t>חוק</w:t>
        </w:r>
        <w:r w:rsidR="00715337" w:rsidRPr="00715337">
          <w:rPr>
            <w:color w:val="0000FF"/>
            <w:u w:val="single"/>
            <w:rtl/>
          </w:rPr>
          <w:t xml:space="preserve"> </w:t>
        </w:r>
        <w:r w:rsidR="00715337" w:rsidRPr="00715337">
          <w:rPr>
            <w:rFonts w:hint="eastAsia"/>
            <w:color w:val="0000FF"/>
            <w:u w:val="single"/>
            <w:rtl/>
          </w:rPr>
          <w:t>ההתיישנות</w:t>
        </w:r>
      </w:hyperlink>
      <w:r>
        <w:rPr>
          <w:rtl/>
        </w:rPr>
        <w:t xml:space="preserve">, התשי"ח-1958, קובע תקופת התיישנות של 15 שנים ביחס למקרקעין, ותקופה של 25 שנים ביחס למקרקעין מוסדרים. המערערים טוענים לפגם בהליכי ההסדר עצמם, ותקופת ההתיישנות נמנית אפוא מיום סיום הליכי ההסדר. איני רואה צורך לדון בשאלה כיצד יש למנות את תקופת ההתיישנות במקרקעין נושא המחלוקת – אם ביחס למקרקעין מוסדרים, ואם לאו (ובעניין זה, ראו: </w:t>
      </w:r>
      <w:hyperlink r:id="rId43" w:history="1">
        <w:r w:rsidR="00715337" w:rsidRPr="00715337">
          <w:rPr>
            <w:rFonts w:hint="eastAsia"/>
            <w:color w:val="0000FF"/>
            <w:u w:val="single"/>
            <w:rtl/>
          </w:rPr>
          <w:t>ע</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523/12</w:t>
        </w:r>
      </w:hyperlink>
      <w:r>
        <w:rPr>
          <w:rtl/>
        </w:rPr>
        <w:t xml:space="preserve"> </w:t>
      </w:r>
      <w:r>
        <w:rPr>
          <w:rFonts w:ascii="Century" w:hAnsi="Century" w:cs="Miriam"/>
          <w:b/>
          <w:spacing w:val="0"/>
          <w:sz w:val="22"/>
          <w:szCs w:val="24"/>
          <w:rtl/>
        </w:rPr>
        <w:t>אסמאעיל נ' לשכת הסדר המקרקעין</w:t>
      </w:r>
      <w:r>
        <w:rPr>
          <w:rtl/>
        </w:rPr>
        <w:t xml:space="preserve">, </w:t>
      </w:r>
      <w:bookmarkStart w:id="34" w:name="Seif40"/>
      <w:r>
        <w:rPr>
          <w:rtl/>
        </w:rPr>
        <w:t xml:space="preserve">פסקה </w:t>
      </w:r>
      <w:bookmarkEnd w:id="34"/>
      <w:r>
        <w:rPr>
          <w:rtl/>
        </w:rPr>
        <w:t xml:space="preserve">4 </w:t>
      </w:r>
      <w:r w:rsidR="00D51CAE">
        <w:rPr>
          <w:rFonts w:hint="cs"/>
          <w:rtl/>
        </w:rPr>
        <w:t xml:space="preserve">[נבו] </w:t>
      </w:r>
      <w:r>
        <w:rPr>
          <w:rtl/>
        </w:rPr>
        <w:t xml:space="preserve">(15.1.2014) (להלן: </w:t>
      </w:r>
      <w:r>
        <w:rPr>
          <w:rtl/>
        </w:rPr>
        <w:lastRenderedPageBreak/>
        <w:t xml:space="preserve">עניין </w:t>
      </w:r>
      <w:r>
        <w:rPr>
          <w:rFonts w:ascii="Century" w:hAnsi="Century" w:cs="Miriam"/>
          <w:b/>
          <w:spacing w:val="0"/>
          <w:sz w:val="22"/>
          <w:szCs w:val="24"/>
          <w:rtl/>
        </w:rPr>
        <w:t>אסמאעיל</w:t>
      </w:r>
      <w:r>
        <w:rPr>
          <w:rFonts w:ascii="Century" w:hAnsi="Century"/>
          <w:sz w:val="22"/>
          <w:rtl/>
        </w:rPr>
        <w:t>)</w:t>
      </w:r>
      <w:r>
        <w:rPr>
          <w:rtl/>
        </w:rPr>
        <w:t xml:space="preserve">; והשוו: </w:t>
      </w:r>
      <w:hyperlink r:id="rId44" w:history="1">
        <w:r w:rsidR="00715337" w:rsidRPr="00715337">
          <w:rPr>
            <w:rFonts w:hint="eastAsia"/>
            <w:color w:val="0000FF"/>
            <w:u w:val="single"/>
            <w:rtl/>
          </w:rPr>
          <w:t>ע</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531/92</w:t>
        </w:r>
      </w:hyperlink>
      <w:r>
        <w:rPr>
          <w:rtl/>
        </w:rPr>
        <w:t xml:space="preserve"> </w:t>
      </w:r>
      <w:r>
        <w:rPr>
          <w:rFonts w:ascii="Century" w:hAnsi="Century" w:cs="Miriam"/>
          <w:b/>
          <w:spacing w:val="0"/>
          <w:sz w:val="22"/>
          <w:szCs w:val="24"/>
          <w:rtl/>
        </w:rPr>
        <w:t>נזאל נ' דווירי</w:t>
      </w:r>
      <w:r>
        <w:rPr>
          <w:rtl/>
        </w:rPr>
        <w:t xml:space="preserve">, פ"ד מז(4) 824, 828-827 (1993)). זאת, מאחר שאף אם נניח לטובת המערערים כי מדובר בתקופת ההתיישנות הארוכה של 25 שנים – משך תקופת ההתיישנות ביחס למקרקעין מוסדרים – לא יהיה בכך כדי לסייע למערערים, שכן תקופת ההתיישנות חלפה לפני עשרות שנים (ראו: </w:t>
      </w:r>
      <w:hyperlink r:id="rId45" w:history="1">
        <w:r w:rsidR="00715337" w:rsidRPr="00715337">
          <w:rPr>
            <w:rFonts w:hint="eastAsia"/>
            <w:color w:val="0000FF"/>
            <w:u w:val="single"/>
            <w:rtl/>
          </w:rPr>
          <w:t>ע</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753/87</w:t>
        </w:r>
      </w:hyperlink>
      <w:r>
        <w:rPr>
          <w:rtl/>
        </w:rPr>
        <w:t xml:space="preserve"> </w:t>
      </w:r>
      <w:r>
        <w:rPr>
          <w:rFonts w:ascii="Century" w:hAnsi="Century" w:cs="Miriam"/>
          <w:b/>
          <w:spacing w:val="0"/>
          <w:sz w:val="22"/>
          <w:szCs w:val="24"/>
          <w:rtl/>
        </w:rPr>
        <w:t>בראשי נ' מנהל עיזבון המנוח משה בראשי ז"ל</w:t>
      </w:r>
      <w:r>
        <w:rPr>
          <w:rtl/>
        </w:rPr>
        <w:t xml:space="preserve">, פ"ד מג(3) 210, 214 (1989); עניין </w:t>
      </w:r>
      <w:r>
        <w:rPr>
          <w:rFonts w:ascii="Century" w:hAnsi="Century" w:cs="Miriam"/>
          <w:b/>
          <w:spacing w:val="0"/>
          <w:sz w:val="22"/>
          <w:szCs w:val="24"/>
          <w:rtl/>
        </w:rPr>
        <w:t>אסמאעיל</w:t>
      </w:r>
      <w:r>
        <w:rPr>
          <w:rtl/>
        </w:rPr>
        <w:t>, ב</w:t>
      </w:r>
      <w:bookmarkStart w:id="35" w:name="Seif41"/>
      <w:r>
        <w:rPr>
          <w:rtl/>
        </w:rPr>
        <w:t xml:space="preserve">פסקה </w:t>
      </w:r>
      <w:bookmarkEnd w:id="35"/>
      <w:r>
        <w:rPr>
          <w:rtl/>
        </w:rPr>
        <w:t>4).</w:t>
      </w:r>
    </w:p>
    <w:p w14:paraId="3D32151B" w14:textId="77777777" w:rsidR="00DC5EF2" w:rsidRDefault="00000000" w:rsidP="00DC5EF2">
      <w:pPr>
        <w:pStyle w:val="Ruller4"/>
        <w:numPr>
          <w:ilvl w:val="0"/>
          <w:numId w:val="0"/>
        </w:numPr>
      </w:pPr>
      <w:r>
        <w:rPr>
          <w:rtl/>
        </w:rPr>
        <w:t xml:space="preserve"> </w:t>
      </w:r>
    </w:p>
    <w:p w14:paraId="456080E1" w14:textId="77777777" w:rsidR="00DC5EF2" w:rsidRDefault="00000000" w:rsidP="00DC5EF2">
      <w:pPr>
        <w:pStyle w:val="Ruller4"/>
        <w:numPr>
          <w:ilvl w:val="0"/>
          <w:numId w:val="12"/>
        </w:numPr>
        <w:textAlignment w:val="auto"/>
      </w:pPr>
      <w:r>
        <w:rPr>
          <w:rtl/>
        </w:rPr>
        <w:t xml:space="preserve">המערערים טוענים, בהתבסס על הוראת </w:t>
      </w:r>
      <w:hyperlink r:id="rId46" w:history="1">
        <w:bookmarkStart w:id="36" w:name="Seif35"/>
        <w:r w:rsidR="00AB7FCD" w:rsidRPr="00AB7FCD">
          <w:rPr>
            <w:rStyle w:val="Hyperlink"/>
            <w:rFonts w:hint="eastAsia"/>
            <w:rtl/>
          </w:rPr>
          <w:t>סעיף</w:t>
        </w:r>
        <w:r w:rsidR="00AB7FCD" w:rsidRPr="00AB7FCD">
          <w:rPr>
            <w:rStyle w:val="Hyperlink"/>
            <w:rtl/>
          </w:rPr>
          <w:t xml:space="preserve"> </w:t>
        </w:r>
        <w:bookmarkEnd w:id="36"/>
        <w:r w:rsidR="00AB7FCD" w:rsidRPr="00AB7FCD">
          <w:rPr>
            <w:rStyle w:val="Hyperlink"/>
            <w:rtl/>
          </w:rPr>
          <w:t>8</w:t>
        </w:r>
      </w:hyperlink>
      <w:r>
        <w:rPr>
          <w:rtl/>
        </w:rPr>
        <w:t xml:space="preserve"> ל</w:t>
      </w:r>
      <w:hyperlink r:id="rId47" w:history="1">
        <w:r w:rsidR="00715337" w:rsidRPr="00715337">
          <w:rPr>
            <w:rFonts w:hint="eastAsia"/>
            <w:color w:val="0000FF"/>
            <w:u w:val="single"/>
            <w:rtl/>
          </w:rPr>
          <w:t>חוק</w:t>
        </w:r>
        <w:r w:rsidR="00715337" w:rsidRPr="00715337">
          <w:rPr>
            <w:color w:val="0000FF"/>
            <w:u w:val="single"/>
            <w:rtl/>
          </w:rPr>
          <w:t xml:space="preserve"> </w:t>
        </w:r>
        <w:r w:rsidR="00715337" w:rsidRPr="00715337">
          <w:rPr>
            <w:rFonts w:hint="eastAsia"/>
            <w:color w:val="0000FF"/>
            <w:u w:val="single"/>
            <w:rtl/>
          </w:rPr>
          <w:t>ההתיישנות</w:t>
        </w:r>
      </w:hyperlink>
      <w:r>
        <w:rPr>
          <w:rtl/>
        </w:rPr>
        <w:t xml:space="preserve">, כי עילת התביעה נודעה להם רק בשלב מאוחר יותר. טענה זו אינה מקובלת עלי </w:t>
      </w:r>
      <w:bookmarkStart w:id="37" w:name="Seif56"/>
      <w:r>
        <w:rPr>
          <w:rtl/>
        </w:rPr>
        <w:t>כלל ועיקר</w:t>
      </w:r>
      <w:bookmarkEnd w:id="37"/>
      <w:r>
        <w:rPr>
          <w:rtl/>
        </w:rPr>
        <w:t xml:space="preserve">. הלכה היא עמנו כי העובדה שהמקרקעין שבמחלוקת רשומים על שם המדינה במרשם המקרקעין, אשר פתוח לעיון הציבור, די בה כדי להוביל למסקנה כי המערערים יכלו לדעת את תוכן הרישום אילו פעלו בשקידה ראויה. בעניין זה, יפים דבריו של השופט </w:t>
      </w:r>
      <w:bookmarkStart w:id="38" w:name="Seif3"/>
      <w:r>
        <w:rPr>
          <w:rFonts w:ascii="Century" w:hAnsi="Century" w:cs="Miriam"/>
          <w:b/>
          <w:spacing w:val="0"/>
          <w:sz w:val="22"/>
          <w:szCs w:val="24"/>
          <w:rtl/>
        </w:rPr>
        <w:t xml:space="preserve">ס' </w:t>
      </w:r>
      <w:bookmarkEnd w:id="38"/>
      <w:r>
        <w:rPr>
          <w:rFonts w:ascii="Century" w:hAnsi="Century" w:cs="Miriam"/>
          <w:b/>
          <w:spacing w:val="0"/>
          <w:sz w:val="22"/>
          <w:szCs w:val="24"/>
          <w:rtl/>
        </w:rPr>
        <w:t>ג'ובראן</w:t>
      </w:r>
      <w:r>
        <w:rPr>
          <w:rtl/>
        </w:rPr>
        <w:t xml:space="preserve"> ב</w:t>
      </w:r>
      <w:hyperlink r:id="rId48" w:history="1">
        <w:r w:rsidR="00715337" w:rsidRPr="00715337">
          <w:rPr>
            <w:rFonts w:hint="eastAsia"/>
            <w:color w:val="0000FF"/>
            <w:u w:val="single"/>
            <w:rtl/>
          </w:rPr>
          <w:t>ע</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8995/03</w:t>
        </w:r>
      </w:hyperlink>
      <w:r>
        <w:rPr>
          <w:rtl/>
        </w:rPr>
        <w:t xml:space="preserve"> </w:t>
      </w:r>
      <w:r>
        <w:rPr>
          <w:rFonts w:ascii="Century" w:hAnsi="Century" w:cs="Miriam"/>
          <w:b/>
          <w:spacing w:val="0"/>
          <w:sz w:val="22"/>
          <w:szCs w:val="24"/>
          <w:rtl/>
        </w:rPr>
        <w:t>עמותת אהל יצחק נ' עמותת אהל דוד לצרכי דת</w:t>
      </w:r>
      <w:r>
        <w:rPr>
          <w:rtl/>
        </w:rPr>
        <w:t xml:space="preserve"> </w:t>
      </w:r>
      <w:r w:rsidR="00D51CAE">
        <w:rPr>
          <w:rFonts w:hint="cs"/>
          <w:rtl/>
        </w:rPr>
        <w:t xml:space="preserve">[נבו] </w:t>
      </w:r>
      <w:r>
        <w:rPr>
          <w:rtl/>
        </w:rPr>
        <w:t xml:space="preserve">(9.2.2009): </w:t>
      </w:r>
    </w:p>
    <w:p w14:paraId="223D09F0" w14:textId="77777777" w:rsidR="00DC5EF2" w:rsidRDefault="00DC5EF2" w:rsidP="00DC5EF2">
      <w:pPr>
        <w:pStyle w:val="Ruller41"/>
        <w:rPr>
          <w:rtl/>
        </w:rPr>
      </w:pPr>
    </w:p>
    <w:p w14:paraId="1AB2F9A2" w14:textId="77777777" w:rsidR="00DC5EF2" w:rsidRDefault="00000000" w:rsidP="00DC5EF2">
      <w:pPr>
        <w:pStyle w:val="Ruller5"/>
      </w:pPr>
      <w:r>
        <w:rPr>
          <w:rtl/>
        </w:rPr>
        <w:t>"</w:t>
      </w:r>
      <w:bookmarkStart w:id="39" w:name="Seif36"/>
      <w:r>
        <w:rPr>
          <w:rtl/>
        </w:rPr>
        <w:t xml:space="preserve">סעיף </w:t>
      </w:r>
      <w:bookmarkEnd w:id="39"/>
      <w:r>
        <w:rPr>
          <w:rtl/>
        </w:rPr>
        <w:t>8 דורש בתנאיו כי 'נעלמו מן התובע העובדות המהוות את עילת התובענה, מסיבות שלא היו תלויות בו ושאף בזהירות סבירה לא יכול היה למנוע אותן'. בנסיבות המקרה, משמדובר במקרקעין מוסדרים אשר רישום הבעלות בגינם גלוי לציבור, נראה כי מתחייבת המסקנה שהמשיבים יכלו לגלות עובדה זו בזהירות סבירה" (שם, ב</w:t>
      </w:r>
      <w:bookmarkStart w:id="40" w:name="Seif42"/>
      <w:r>
        <w:rPr>
          <w:rtl/>
        </w:rPr>
        <w:t xml:space="preserve">פסקה </w:t>
      </w:r>
      <w:bookmarkEnd w:id="40"/>
      <w:r>
        <w:rPr>
          <w:rtl/>
        </w:rPr>
        <w:t>32).</w:t>
      </w:r>
    </w:p>
    <w:p w14:paraId="5F1F6D3A" w14:textId="77777777" w:rsidR="00DC5EF2" w:rsidRDefault="00DC5EF2" w:rsidP="00DC5EF2">
      <w:pPr>
        <w:pStyle w:val="Ruller41"/>
        <w:rPr>
          <w:rtl/>
        </w:rPr>
      </w:pPr>
    </w:p>
    <w:p w14:paraId="53AE3ECF" w14:textId="77777777" w:rsidR="00DC5EF2" w:rsidRDefault="00000000" w:rsidP="00DC5EF2">
      <w:pPr>
        <w:pStyle w:val="Ruller4"/>
        <w:numPr>
          <w:ilvl w:val="0"/>
          <w:numId w:val="12"/>
        </w:numPr>
        <w:textAlignment w:val="auto"/>
        <w:rPr>
          <w:rtl/>
        </w:rPr>
      </w:pPr>
      <w:r>
        <w:rPr>
          <w:rtl/>
        </w:rPr>
        <w:t xml:space="preserve">טענה נוספת בפי המערערים היא כי שתיקתה של המדינה אל מול החזקת המערערים במקרקעין במשך שנים רבות מלמדת כי למערערים ניתן רישיון בלתי הדיר לשימוש במקרקעין. טענה זו תלויה על בלימה. המערערים מסיקים מתן רשות מכללא משתיקתה של המדינה – קרי: מתן רישיון המאפשר החזקה ושימוש בשטח כתוצאה משתיקת הבעלים. אלא שההלכה הפסוקה קובעת כי רשות מכללא במקרקעי ציבור, אשר נוצרת עקב חדילת הרשויות מעשיית פעולה לסילוקו של מסיג הגבול, תוכר במקרים נדירים בלבד. כידוע, מקרקעי ציבור הם רבים וקיים קושי ממשי בפיקוח על השימוש שנעשה בהם. לא פעם הרשות המנהלית אינה מודעת לפלישה, ולעיתים, אף אם היא מודעת לפלישה, הטיפול בה אינו מתנהל ביעילות. במציאות חיים זאת קשה לייחס לרשות מנהלית כוונה ליתן רשות מכללא לפולש להחזיק או להשתמש במקרקעי ציבור. רשות כאמור תוסק רק במקרים יוצאי דופן ותוך נקיטת משנה זהירות (ראו: </w:t>
      </w:r>
      <w:hyperlink r:id="rId49" w:history="1">
        <w:r w:rsidR="00715337" w:rsidRPr="00715337">
          <w:rPr>
            <w:rFonts w:hint="eastAsia"/>
            <w:color w:val="0000FF"/>
            <w:u w:val="single"/>
            <w:rtl/>
          </w:rPr>
          <w:t>ע</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w:t>
        </w:r>
        <w:r w:rsidR="00715337" w:rsidRPr="00715337">
          <w:rPr>
            <w:color w:val="0000FF"/>
            <w:u w:val="single"/>
            <w:rtl/>
          </w:rPr>
          <w:lastRenderedPageBreak/>
          <w:t>3846/13</w:t>
        </w:r>
      </w:hyperlink>
      <w:r>
        <w:rPr>
          <w:rtl/>
        </w:rPr>
        <w:t xml:space="preserve"> </w:t>
      </w:r>
      <w:r>
        <w:rPr>
          <w:rFonts w:ascii="Century" w:hAnsi="Century" w:cs="Miriam"/>
          <w:b/>
          <w:spacing w:val="0"/>
          <w:sz w:val="22"/>
          <w:szCs w:val="24"/>
          <w:rtl/>
        </w:rPr>
        <w:t>מדינת ישראל מינהל מקרקעי ישראל נ' היפר-חלף</w:t>
      </w:r>
      <w:r>
        <w:rPr>
          <w:rtl/>
        </w:rPr>
        <w:t xml:space="preserve">, </w:t>
      </w:r>
      <w:bookmarkStart w:id="41" w:name="Seif44"/>
      <w:r>
        <w:rPr>
          <w:rtl/>
        </w:rPr>
        <w:t xml:space="preserve">פסקאות </w:t>
      </w:r>
      <w:bookmarkEnd w:id="41"/>
      <w:r>
        <w:rPr>
          <w:rtl/>
        </w:rPr>
        <w:t xml:space="preserve">ל-לא לפסק דינו של השופט </w:t>
      </w:r>
      <w:r>
        <w:rPr>
          <w:rFonts w:ascii="Century" w:hAnsi="Century" w:cs="Miriam"/>
          <w:b/>
          <w:spacing w:val="0"/>
          <w:sz w:val="22"/>
          <w:szCs w:val="24"/>
          <w:rtl/>
        </w:rPr>
        <w:t>א' רובינשטיין</w:t>
      </w:r>
      <w:r>
        <w:rPr>
          <w:rtl/>
        </w:rPr>
        <w:t xml:space="preserve"> ו</w:t>
      </w:r>
      <w:bookmarkStart w:id="42" w:name="Seif45"/>
      <w:r>
        <w:rPr>
          <w:rtl/>
        </w:rPr>
        <w:t xml:space="preserve">פסקאות </w:t>
      </w:r>
      <w:bookmarkEnd w:id="42"/>
      <w:r>
        <w:rPr>
          <w:rtl/>
        </w:rPr>
        <w:t xml:space="preserve">7-3 לפסק דינו של השופט </w:t>
      </w:r>
      <w:r>
        <w:rPr>
          <w:rFonts w:ascii="Century" w:hAnsi="Century" w:cs="Miriam"/>
          <w:b/>
          <w:spacing w:val="0"/>
          <w:sz w:val="22"/>
          <w:szCs w:val="24"/>
          <w:rtl/>
        </w:rPr>
        <w:t>מ' מזוז</w:t>
      </w:r>
      <w:r>
        <w:rPr>
          <w:rtl/>
        </w:rPr>
        <w:t xml:space="preserve"> </w:t>
      </w:r>
      <w:r w:rsidR="00D51CAE">
        <w:rPr>
          <w:rFonts w:hint="cs"/>
          <w:rtl/>
        </w:rPr>
        <w:t xml:space="preserve">[נבו] </w:t>
      </w:r>
      <w:r>
        <w:rPr>
          <w:rtl/>
        </w:rPr>
        <w:t>(21.7.2015)). המקרה שבו קא-עסקינן אינו נופל בגדר המקרים הנדירים אשר מצדיקים ייחוס כוונה כאמור למדינה.</w:t>
      </w:r>
    </w:p>
    <w:p w14:paraId="5EAC64E3" w14:textId="77777777" w:rsidR="00DC5EF2" w:rsidRDefault="00000000" w:rsidP="00DC5EF2">
      <w:pPr>
        <w:pStyle w:val="Ruller4"/>
        <w:numPr>
          <w:ilvl w:val="0"/>
          <w:numId w:val="0"/>
        </w:numPr>
      </w:pPr>
      <w:r>
        <w:rPr>
          <w:rtl/>
        </w:rPr>
        <w:t xml:space="preserve"> </w:t>
      </w:r>
    </w:p>
    <w:p w14:paraId="16A74291" w14:textId="77777777" w:rsidR="00DC5EF2" w:rsidRDefault="00000000" w:rsidP="00DC5EF2">
      <w:pPr>
        <w:pStyle w:val="Ruller4"/>
        <w:numPr>
          <w:ilvl w:val="0"/>
          <w:numId w:val="12"/>
        </w:numPr>
        <w:textAlignment w:val="auto"/>
      </w:pPr>
      <w:r>
        <w:rPr>
          <w:rtl/>
        </w:rPr>
        <w:t xml:space="preserve">זאת ועוד: הלכה היא עמנו כי רשות בלתי הדירה במקרקעי ציבור, אם תינתן – וזאת, כאמור, במקרים חריגים ביותר – לעולם לא תוכל להתגבש לרשות בלתי הדירה שאינה ניתנת לביטול חד-צדדי (בכפוף להודעה מוקדמת). זאת, נוכח האינטרס הציבורי שלא לתמרץ מסיגי גבול לפלוש למקרקעי ציבור כדי לקבוע עובדות בשטח וליצור לעצמם זכות לצמיתות במקרקעין. שמירה על רכוש הציבור מחייבת אפוא את בית המשפט לעמוד בדווקנות על הלכה זו (ראו: </w:t>
      </w:r>
      <w:hyperlink r:id="rId50" w:history="1">
        <w:r w:rsidR="00715337" w:rsidRPr="00715337">
          <w:rPr>
            <w:rFonts w:hint="eastAsia"/>
            <w:color w:val="0000FF"/>
            <w:u w:val="single"/>
            <w:rtl/>
          </w:rPr>
          <w:t>ע</w:t>
        </w:r>
        <w:r w:rsidR="00715337" w:rsidRPr="00715337">
          <w:rPr>
            <w:color w:val="0000FF"/>
            <w:u w:val="single"/>
            <w:rtl/>
          </w:rPr>
          <w:t>"</w:t>
        </w:r>
        <w:r w:rsidR="00715337" w:rsidRPr="00715337">
          <w:rPr>
            <w:rFonts w:hint="eastAsia"/>
            <w:color w:val="0000FF"/>
            <w:u w:val="single"/>
            <w:rtl/>
          </w:rPr>
          <w:t>א</w:t>
        </w:r>
        <w:r w:rsidR="00715337" w:rsidRPr="00715337">
          <w:rPr>
            <w:color w:val="0000FF"/>
            <w:u w:val="single"/>
            <w:rtl/>
          </w:rPr>
          <w:t xml:space="preserve"> 6757/13</w:t>
        </w:r>
      </w:hyperlink>
      <w:r>
        <w:rPr>
          <w:rtl/>
        </w:rPr>
        <w:t xml:space="preserve"> </w:t>
      </w:r>
      <w:r>
        <w:rPr>
          <w:rFonts w:ascii="Century" w:hAnsi="Century" w:cs="Miriam"/>
          <w:b/>
          <w:spacing w:val="0"/>
          <w:sz w:val="22"/>
          <w:szCs w:val="24"/>
          <w:rtl/>
        </w:rPr>
        <w:t>נחום נ' מדינת ישראל – רשות הפיתוח</w:t>
      </w:r>
      <w:r>
        <w:rPr>
          <w:rtl/>
        </w:rPr>
        <w:t xml:space="preserve">, </w:t>
      </w:r>
      <w:bookmarkStart w:id="43" w:name="Seif43"/>
      <w:r>
        <w:rPr>
          <w:rtl/>
        </w:rPr>
        <w:t xml:space="preserve">פסקה </w:t>
      </w:r>
      <w:bookmarkEnd w:id="43"/>
      <w:r>
        <w:rPr>
          <w:rtl/>
        </w:rPr>
        <w:t xml:space="preserve">22 </w:t>
      </w:r>
      <w:r w:rsidR="00D51CAE">
        <w:rPr>
          <w:rFonts w:hint="cs"/>
          <w:rtl/>
        </w:rPr>
        <w:t xml:space="preserve">[נבו] </w:t>
      </w:r>
      <w:r>
        <w:rPr>
          <w:rtl/>
        </w:rPr>
        <w:t>(19.8.2015)).</w:t>
      </w:r>
    </w:p>
    <w:p w14:paraId="29B16FF2" w14:textId="77777777" w:rsidR="00DC5EF2" w:rsidRDefault="00DC5EF2" w:rsidP="00DC5EF2">
      <w:pPr>
        <w:pStyle w:val="Ruller4"/>
        <w:numPr>
          <w:ilvl w:val="0"/>
          <w:numId w:val="0"/>
        </w:numPr>
        <w:rPr>
          <w:rtl/>
        </w:rPr>
      </w:pPr>
    </w:p>
    <w:p w14:paraId="17206465" w14:textId="77777777" w:rsidR="00DC5EF2" w:rsidRDefault="00000000" w:rsidP="00DC5EF2">
      <w:pPr>
        <w:pStyle w:val="Ruller4"/>
        <w:numPr>
          <w:ilvl w:val="0"/>
          <w:numId w:val="12"/>
        </w:numPr>
        <w:textAlignment w:val="auto"/>
        <w:rPr>
          <w:rtl/>
        </w:rPr>
      </w:pPr>
      <w:r>
        <w:rPr>
          <w:rtl/>
        </w:rPr>
        <w:t xml:space="preserve">די בטעמים שמניתי לעיל כדי לדחות את הערעור על הסף. זאת, אף מבלי להידרש לסוגית ההשתק ולסוגיות נוספות אשר הועלו על-ידי המערערים. במצב דברים זה, לא נותר לנו אלא לקבוע כי אין בידנו עילה להתערבות בפסק דינו של בית משפט קמא, ודין הערעור להידחות על הסף. </w:t>
      </w:r>
    </w:p>
    <w:p w14:paraId="50B82320" w14:textId="77777777" w:rsidR="00DC5EF2" w:rsidRDefault="00DC5EF2" w:rsidP="00DC5EF2">
      <w:pPr>
        <w:pStyle w:val="Ruller41"/>
        <w:rPr>
          <w:rtl/>
        </w:rPr>
      </w:pPr>
    </w:p>
    <w:p w14:paraId="43285173" w14:textId="77777777" w:rsidR="00DC5EF2" w:rsidRDefault="00000000" w:rsidP="00DC5EF2">
      <w:pPr>
        <w:pStyle w:val="Ruller41"/>
        <w:rPr>
          <w:rFonts w:ascii="Century" w:hAnsi="Century" w:cs="Miriam"/>
          <w:b/>
          <w:spacing w:val="0"/>
          <w:szCs w:val="24"/>
          <w:rtl/>
        </w:rPr>
      </w:pPr>
      <w:r>
        <w:rPr>
          <w:rFonts w:ascii="Century" w:hAnsi="Century" w:cs="Miriam"/>
          <w:b/>
          <w:spacing w:val="0"/>
          <w:szCs w:val="24"/>
          <w:rtl/>
        </w:rPr>
        <w:t>סוף דבר</w:t>
      </w:r>
    </w:p>
    <w:p w14:paraId="7CC985E9" w14:textId="77777777" w:rsidR="00DC5EF2" w:rsidRDefault="00DC5EF2" w:rsidP="00DC5EF2">
      <w:pPr>
        <w:pStyle w:val="Ruller41"/>
        <w:rPr>
          <w:rFonts w:ascii="Century" w:hAnsi="Century" w:cs="Miriam"/>
          <w:b/>
          <w:spacing w:val="0"/>
          <w:szCs w:val="24"/>
          <w:rtl/>
        </w:rPr>
      </w:pPr>
    </w:p>
    <w:p w14:paraId="5A233361" w14:textId="77777777" w:rsidR="00DC5EF2" w:rsidRDefault="00000000" w:rsidP="00DC5EF2">
      <w:pPr>
        <w:pStyle w:val="Ruller4"/>
        <w:numPr>
          <w:ilvl w:val="0"/>
          <w:numId w:val="12"/>
        </w:numPr>
        <w:textAlignment w:val="auto"/>
        <w:rPr>
          <w:sz w:val="22"/>
          <w:rtl/>
        </w:rPr>
      </w:pPr>
      <w:r>
        <w:rPr>
          <w:rtl/>
        </w:rPr>
        <w:t xml:space="preserve">הערעור נדחה אפוא בזאת, ועמו נדחית גם הבקשה לעיכוב ביצוע. הדיון שנקבע ליום 21.5.2025 מבוטל. </w:t>
      </w:r>
    </w:p>
    <w:p w14:paraId="1376F445" w14:textId="77777777" w:rsidR="00DC5EF2" w:rsidRDefault="00DC5EF2" w:rsidP="00DC5EF2">
      <w:pPr>
        <w:pStyle w:val="Ruller4"/>
        <w:numPr>
          <w:ilvl w:val="0"/>
          <w:numId w:val="0"/>
        </w:numPr>
        <w:rPr>
          <w:sz w:val="22"/>
        </w:rPr>
      </w:pPr>
    </w:p>
    <w:p w14:paraId="5585C159" w14:textId="77777777" w:rsidR="00DC5EF2" w:rsidRDefault="00000000" w:rsidP="00DC5EF2">
      <w:pPr>
        <w:pStyle w:val="Ruller4"/>
        <w:numPr>
          <w:ilvl w:val="0"/>
          <w:numId w:val="12"/>
        </w:numPr>
        <w:textAlignment w:val="auto"/>
        <w:rPr>
          <w:sz w:val="22"/>
        </w:rPr>
      </w:pPr>
      <w:r>
        <w:rPr>
          <w:rtl/>
        </w:rPr>
        <w:t>נוכח המתכונת הדיונית שבה ניתן פסק הדין, לפנים משורת הדין, לא נעשה צו להוצאות.</w:t>
      </w:r>
      <w:r>
        <w:rPr>
          <w:sz w:val="22"/>
          <w:rtl/>
        </w:rPr>
        <w:t xml:space="preserve"> על המערערים לסלק את ידיהם מהמקרקעין לא יאוחר מיום 23.3.2025.</w:t>
      </w:r>
    </w:p>
    <w:p w14:paraId="07575BB6" w14:textId="77777777" w:rsidR="00DC5EF2" w:rsidRDefault="00715337" w:rsidP="00DC5EF2">
      <w:pPr>
        <w:pStyle w:val="ruller42"/>
        <w:bidi/>
        <w:spacing w:before="0" w:beforeAutospacing="0" w:after="0" w:afterAutospacing="0" w:line="330" w:lineRule="atLeast"/>
        <w:jc w:val="both"/>
        <w:rPr>
          <w:rFonts w:ascii="Arial TUR" w:hAnsi="Arial TUR" w:cs="Arial TUR"/>
          <w:color w:val="000000"/>
          <w:spacing w:val="10"/>
          <w:sz w:val="22"/>
          <w:szCs w:val="22"/>
          <w:rtl/>
        </w:rPr>
      </w:pPr>
      <w:r>
        <w:rPr>
          <w:rFonts w:ascii="Arial TUR" w:hAnsi="Arial TUR" w:cs="Arial TUR"/>
          <w:color w:val="000000"/>
          <w:spacing w:val="10"/>
          <w:sz w:val="14"/>
          <w:szCs w:val="14"/>
        </w:rPr>
        <w:t xml:space="preserve"> </w:t>
      </w:r>
    </w:p>
    <w:p w14:paraId="3D660991" w14:textId="77777777" w:rsidR="00F45965" w:rsidRDefault="00715337" w:rsidP="00BF76BE">
      <w:pPr>
        <w:spacing w:line="360" w:lineRule="auto"/>
        <w:ind w:firstLine="720"/>
        <w:jc w:val="both"/>
        <w:rPr>
          <w:rFonts w:ascii="FrankRuehl" w:hAnsi="FrankRuehl" w:cs="FrankRuehl"/>
          <w:sz w:val="28"/>
          <w:szCs w:val="28"/>
          <w:rtl/>
        </w:rPr>
      </w:pPr>
      <w:bookmarkStart w:id="44" w:name="Nitan"/>
      <w:r>
        <w:rPr>
          <w:rFonts w:ascii="FrankRuehl" w:hAnsi="FrankRuehl" w:cs="FrankRuehl"/>
          <w:spacing w:val="10"/>
          <w:sz w:val="28"/>
          <w:szCs w:val="28"/>
          <w:rtl/>
        </w:rPr>
        <w:t xml:space="preserve">ניתן היום, ‏ט"ז בטבת התשפ"ה (‏16.1.2025). </w:t>
      </w:r>
      <w:bookmarkEnd w:id="44"/>
    </w:p>
    <w:tbl>
      <w:tblPr>
        <w:bidiVisual/>
        <w:tblW w:w="0" w:type="auto"/>
        <w:tblLook w:val="04A0" w:firstRow="1" w:lastRow="0" w:firstColumn="1" w:lastColumn="0" w:noHBand="0" w:noVBand="1"/>
      </w:tblPr>
      <w:tblGrid>
        <w:gridCol w:w="2765"/>
        <w:gridCol w:w="2766"/>
        <w:gridCol w:w="2766"/>
      </w:tblGrid>
      <w:tr w:rsidR="00C802D9" w14:paraId="626F873C" w14:textId="77777777" w:rsidTr="00715337">
        <w:tc>
          <w:tcPr>
            <w:tcW w:w="2765" w:type="dxa"/>
            <w:shd w:val="clear" w:color="auto" w:fill="auto"/>
          </w:tcPr>
          <w:p w14:paraId="0E89DF36" w14:textId="77777777" w:rsidR="00715337" w:rsidRPr="00715337" w:rsidRDefault="00715337" w:rsidP="00560658">
            <w:pPr>
              <w:rPr>
                <w:rFonts w:ascii="Courier New" w:hAnsi="Courier New"/>
                <w:rtl/>
              </w:rPr>
            </w:pPr>
          </w:p>
          <w:p w14:paraId="5A44E4CB" w14:textId="77777777" w:rsidR="00715337" w:rsidRPr="00715337" w:rsidRDefault="00000000" w:rsidP="00715337">
            <w:pPr>
              <w:pStyle w:val="31"/>
              <w:spacing w:line="240" w:lineRule="auto"/>
              <w:jc w:val="center"/>
              <w:rPr>
                <w:rFonts w:cs="FrankRuehl"/>
                <w:b w:val="0"/>
                <w:bCs w:val="0"/>
                <w:spacing w:val="10"/>
                <w:sz w:val="28"/>
                <w:szCs w:val="28"/>
                <w:rtl/>
              </w:rPr>
            </w:pPr>
            <w:r w:rsidRPr="00715337">
              <w:rPr>
                <w:rFonts w:cs="FrankRuehl" w:hint="cs"/>
                <w:b w:val="0"/>
                <w:bCs w:val="0"/>
                <w:spacing w:val="10"/>
                <w:sz w:val="28"/>
                <w:szCs w:val="28"/>
                <w:rtl/>
              </w:rPr>
              <w:t xml:space="preserve">דוד מינץ </w:t>
            </w:r>
          </w:p>
          <w:p w14:paraId="200A3935" w14:textId="77777777" w:rsidR="00715337" w:rsidRPr="00715337" w:rsidRDefault="00000000" w:rsidP="00715337">
            <w:pPr>
              <w:pStyle w:val="31"/>
              <w:spacing w:line="240" w:lineRule="auto"/>
              <w:jc w:val="left"/>
              <w:rPr>
                <w:rFonts w:cs="FrankRuehl"/>
                <w:b w:val="0"/>
                <w:bCs w:val="0"/>
                <w:spacing w:val="10"/>
                <w:sz w:val="28"/>
                <w:szCs w:val="28"/>
                <w:rtl/>
              </w:rPr>
            </w:pPr>
            <w:r w:rsidRPr="00715337">
              <w:rPr>
                <w:rFonts w:cs="FrankRuehl" w:hint="cs"/>
                <w:b w:val="0"/>
                <w:bCs w:val="0"/>
                <w:spacing w:val="10"/>
                <w:sz w:val="28"/>
                <w:szCs w:val="28"/>
                <w:rtl/>
              </w:rPr>
              <w:t>שופט</w:t>
            </w:r>
          </w:p>
          <w:p w14:paraId="43416A97" w14:textId="77777777" w:rsidR="00F45965" w:rsidRDefault="00F45965" w:rsidP="00560658">
            <w:pPr>
              <w:rPr>
                <w:rtl/>
              </w:rPr>
            </w:pPr>
          </w:p>
          <w:p w14:paraId="3FA2EF82" w14:textId="77777777" w:rsidR="00E90C45" w:rsidRPr="00715337" w:rsidRDefault="00E90C45" w:rsidP="00715337">
            <w:pPr>
              <w:spacing w:line="360" w:lineRule="auto"/>
              <w:jc w:val="center"/>
              <w:rPr>
                <w:rFonts w:ascii="FrankRuehl" w:hAnsi="FrankRuehl" w:cs="FrankRuehl"/>
                <w:sz w:val="28"/>
                <w:szCs w:val="28"/>
                <w:rtl/>
              </w:rPr>
            </w:pPr>
          </w:p>
        </w:tc>
        <w:tc>
          <w:tcPr>
            <w:tcW w:w="2766" w:type="dxa"/>
            <w:shd w:val="clear" w:color="auto" w:fill="auto"/>
          </w:tcPr>
          <w:p w14:paraId="68CB2118" w14:textId="77777777" w:rsidR="00715337" w:rsidRPr="00715337" w:rsidRDefault="00715337" w:rsidP="00560658">
            <w:pPr>
              <w:rPr>
                <w:rFonts w:ascii="Courier New" w:hAnsi="Courier New"/>
              </w:rPr>
            </w:pPr>
          </w:p>
          <w:p w14:paraId="53C191E0" w14:textId="77777777" w:rsidR="00715337" w:rsidRPr="00715337" w:rsidRDefault="00000000" w:rsidP="00715337">
            <w:pPr>
              <w:pStyle w:val="31"/>
              <w:spacing w:line="240" w:lineRule="auto"/>
              <w:jc w:val="center"/>
              <w:rPr>
                <w:rFonts w:ascii="FrankRuehl" w:hAnsi="FrankRuehl" w:cs="FrankRuehl"/>
                <w:b w:val="0"/>
                <w:bCs w:val="0"/>
                <w:spacing w:val="10"/>
                <w:sz w:val="28"/>
                <w:szCs w:val="28"/>
                <w:rtl/>
              </w:rPr>
            </w:pPr>
            <w:r w:rsidRPr="00715337">
              <w:rPr>
                <w:rFonts w:ascii="FrankRuehl" w:hAnsi="FrankRuehl" w:cs="FrankRuehl"/>
                <w:b w:val="0"/>
                <w:bCs w:val="0"/>
                <w:spacing w:val="10"/>
                <w:sz w:val="28"/>
                <w:szCs w:val="28"/>
                <w:rtl/>
              </w:rPr>
              <w:t xml:space="preserve">אלכס שטיין </w:t>
            </w:r>
          </w:p>
          <w:p w14:paraId="44061764" w14:textId="77777777" w:rsidR="00715337" w:rsidRPr="00715337" w:rsidRDefault="00000000" w:rsidP="00715337">
            <w:pPr>
              <w:pStyle w:val="31"/>
              <w:spacing w:line="240" w:lineRule="auto"/>
              <w:jc w:val="left"/>
              <w:rPr>
                <w:rFonts w:ascii="FrankRuehl" w:hAnsi="FrankRuehl" w:cs="FrankRuehl"/>
                <w:b w:val="0"/>
                <w:bCs w:val="0"/>
                <w:spacing w:val="10"/>
                <w:sz w:val="28"/>
                <w:szCs w:val="28"/>
                <w:rtl/>
              </w:rPr>
            </w:pPr>
            <w:r w:rsidRPr="00715337">
              <w:rPr>
                <w:rFonts w:ascii="FrankRuehl" w:hAnsi="FrankRuehl" w:cs="FrankRuehl"/>
                <w:b w:val="0"/>
                <w:bCs w:val="0"/>
                <w:spacing w:val="10"/>
                <w:sz w:val="28"/>
                <w:szCs w:val="28"/>
                <w:rtl/>
              </w:rPr>
              <w:t>שופט</w:t>
            </w:r>
          </w:p>
          <w:p w14:paraId="38BC2913" w14:textId="77777777" w:rsidR="00F45965" w:rsidRDefault="00F45965" w:rsidP="00560658">
            <w:pPr>
              <w:rPr>
                <w:rtl/>
              </w:rPr>
            </w:pPr>
          </w:p>
          <w:p w14:paraId="25809E43" w14:textId="77777777" w:rsidR="00E90C45" w:rsidRPr="00715337" w:rsidRDefault="00E90C45" w:rsidP="00715337">
            <w:pPr>
              <w:spacing w:line="360" w:lineRule="auto"/>
              <w:jc w:val="center"/>
              <w:rPr>
                <w:rFonts w:ascii="FrankRuehl" w:hAnsi="FrankRuehl" w:cs="FrankRuehl"/>
                <w:sz w:val="28"/>
                <w:szCs w:val="28"/>
                <w:rtl/>
              </w:rPr>
            </w:pPr>
          </w:p>
        </w:tc>
        <w:tc>
          <w:tcPr>
            <w:tcW w:w="2766" w:type="dxa"/>
            <w:shd w:val="clear" w:color="auto" w:fill="auto"/>
          </w:tcPr>
          <w:p w14:paraId="52443A71" w14:textId="77777777" w:rsidR="00715337" w:rsidRPr="00715337" w:rsidRDefault="00715337" w:rsidP="00560658">
            <w:pPr>
              <w:rPr>
                <w:rFonts w:ascii="Courier New" w:hAnsi="Courier New"/>
                <w:rtl/>
              </w:rPr>
            </w:pPr>
          </w:p>
          <w:p w14:paraId="1E82F38B" w14:textId="77777777" w:rsidR="00715337" w:rsidRPr="00715337" w:rsidRDefault="00000000" w:rsidP="00715337">
            <w:pPr>
              <w:pStyle w:val="31"/>
              <w:spacing w:line="240" w:lineRule="auto"/>
              <w:jc w:val="left"/>
              <w:rPr>
                <w:rFonts w:cs="FrankRuehl"/>
                <w:b w:val="0"/>
                <w:bCs w:val="0"/>
                <w:spacing w:val="10"/>
                <w:sz w:val="28"/>
                <w:szCs w:val="28"/>
                <w:rtl/>
              </w:rPr>
            </w:pPr>
            <w:r w:rsidRPr="00715337">
              <w:rPr>
                <w:rFonts w:cs="FrankRuehl" w:hint="cs"/>
                <w:b w:val="0"/>
                <w:bCs w:val="0"/>
                <w:spacing w:val="10"/>
                <w:sz w:val="28"/>
                <w:szCs w:val="28"/>
                <w:rtl/>
              </w:rPr>
              <w:t xml:space="preserve">גילה כנפי-שטייניץ </w:t>
            </w:r>
            <w:r w:rsidRPr="00715337">
              <w:rPr>
                <w:rFonts w:cs="FrankRuehl"/>
                <w:b w:val="0"/>
                <w:bCs w:val="0"/>
                <w:spacing w:val="10"/>
                <w:sz w:val="28"/>
                <w:szCs w:val="28"/>
                <w:rtl/>
              </w:rPr>
              <w:t>שופטת</w:t>
            </w:r>
          </w:p>
          <w:p w14:paraId="20C5E3F4" w14:textId="77777777" w:rsidR="00F45965" w:rsidRDefault="00F45965" w:rsidP="00560658">
            <w:pPr>
              <w:rPr>
                <w:rtl/>
              </w:rPr>
            </w:pPr>
          </w:p>
          <w:p w14:paraId="62C6D3EA" w14:textId="77777777" w:rsidR="00715337" w:rsidRPr="00715337" w:rsidRDefault="00715337" w:rsidP="00715337">
            <w:pPr>
              <w:spacing w:line="360" w:lineRule="auto"/>
              <w:jc w:val="center"/>
              <w:rPr>
                <w:rFonts w:ascii="FrankRuehl" w:hAnsi="FrankRuehl" w:cs="FrankRuehl"/>
                <w:sz w:val="28"/>
                <w:szCs w:val="28"/>
                <w:rtl/>
              </w:rPr>
            </w:pPr>
          </w:p>
          <w:p w14:paraId="00BCB4C5" w14:textId="77777777" w:rsidR="00E90C45" w:rsidRPr="00715337" w:rsidRDefault="00E90C45" w:rsidP="00715337">
            <w:pPr>
              <w:spacing w:line="360" w:lineRule="auto"/>
              <w:jc w:val="center"/>
              <w:rPr>
                <w:rFonts w:ascii="FrankRuehl" w:hAnsi="FrankRuehl" w:cs="FrankRuehl"/>
                <w:sz w:val="28"/>
                <w:szCs w:val="28"/>
                <w:rtl/>
              </w:rPr>
            </w:pPr>
          </w:p>
        </w:tc>
      </w:tr>
    </w:tbl>
    <w:p w14:paraId="6BA4064D" w14:textId="77777777" w:rsidR="00E90C45" w:rsidRPr="00715337" w:rsidRDefault="00715337" w:rsidP="00E90C45">
      <w:pPr>
        <w:spacing w:line="360" w:lineRule="auto"/>
        <w:jc w:val="both"/>
        <w:rPr>
          <w:rFonts w:ascii="FrankRuehl" w:hAnsi="FrankRuehl" w:cs="FrankRuehl"/>
          <w:color w:val="FFFFFF"/>
          <w:sz w:val="2"/>
          <w:szCs w:val="2"/>
          <w:rtl/>
        </w:rPr>
      </w:pPr>
      <w:r w:rsidRPr="00715337">
        <w:rPr>
          <w:rFonts w:ascii="FrankRuehl" w:hAnsi="FrankRuehl" w:cs="FrankRuehl"/>
          <w:color w:val="FFFFFF"/>
          <w:sz w:val="2"/>
          <w:szCs w:val="2"/>
          <w:rtl/>
        </w:rPr>
        <w:t>5129371</w:t>
      </w:r>
    </w:p>
    <w:p w14:paraId="0E92A6CC" w14:textId="77777777" w:rsidR="00C43648" w:rsidRPr="00715337" w:rsidRDefault="00715337" w:rsidP="00BD6531">
      <w:pPr>
        <w:tabs>
          <w:tab w:val="left" w:pos="2553"/>
        </w:tabs>
        <w:ind w:left="5040"/>
        <w:rPr>
          <w:rFonts w:ascii="FrankRuehl" w:hAnsi="FrankRuehl" w:cs="FrankRuehl"/>
          <w:color w:val="FFFFFF"/>
          <w:sz w:val="2"/>
          <w:szCs w:val="2"/>
          <w:rtl/>
        </w:rPr>
      </w:pPr>
      <w:r w:rsidRPr="00715337">
        <w:rPr>
          <w:rFonts w:ascii="FrankRuehl" w:hAnsi="FrankRuehl" w:cs="FrankRuehl"/>
          <w:color w:val="FFFFFF"/>
          <w:sz w:val="2"/>
          <w:szCs w:val="2"/>
          <w:rtl/>
        </w:rPr>
        <w:t>54678313</w:t>
      </w:r>
    </w:p>
    <w:p w14:paraId="2B15861A" w14:textId="77777777" w:rsidR="00694556" w:rsidRPr="00715337" w:rsidRDefault="00BD6531" w:rsidP="00715337">
      <w:pPr>
        <w:keepNext/>
        <w:tabs>
          <w:tab w:val="left" w:pos="2553"/>
        </w:tabs>
        <w:rPr>
          <w:rFonts w:ascii="David" w:hAnsi="David"/>
          <w:color w:val="000000"/>
          <w:sz w:val="22"/>
          <w:szCs w:val="22"/>
          <w:rtl/>
        </w:rPr>
      </w:pPr>
      <w:r w:rsidRPr="00105E0F">
        <w:rPr>
          <w:rFonts w:ascii="FrankRuehl" w:hAnsi="FrankRuehl" w:cs="FrankRuehl"/>
          <w:sz w:val="28"/>
          <w:szCs w:val="28"/>
          <w:rtl/>
        </w:rPr>
        <w:lastRenderedPageBreak/>
        <w:tab/>
      </w:r>
      <w:r w:rsidRPr="00105E0F">
        <w:rPr>
          <w:rFonts w:ascii="FrankRuehl" w:hAnsi="FrankRuehl" w:cs="FrankRuehl"/>
          <w:sz w:val="28"/>
          <w:szCs w:val="28"/>
          <w:rtl/>
        </w:rPr>
        <w:tab/>
      </w:r>
      <w:r w:rsidRPr="00105E0F">
        <w:rPr>
          <w:rFonts w:ascii="FrankRuehl" w:hAnsi="FrankRuehl" w:cs="FrankRuehl"/>
          <w:sz w:val="28"/>
          <w:szCs w:val="28"/>
          <w:rtl/>
        </w:rPr>
        <w:tab/>
      </w:r>
      <w:r w:rsidRPr="00105E0F">
        <w:rPr>
          <w:rFonts w:ascii="FrankRuehl" w:hAnsi="FrankRuehl" w:cs="FrankRuehl"/>
          <w:sz w:val="28"/>
          <w:szCs w:val="28"/>
          <w:rtl/>
        </w:rPr>
        <w:tab/>
        <w:t xml:space="preserve">        </w:t>
      </w:r>
    </w:p>
    <w:p w14:paraId="050B1D9B" w14:textId="77777777" w:rsidR="00715337" w:rsidRPr="00715337" w:rsidRDefault="00715337" w:rsidP="00715337">
      <w:pPr>
        <w:tabs>
          <w:tab w:val="left" w:pos="2553"/>
        </w:tabs>
        <w:jc w:val="center"/>
        <w:rPr>
          <w:rFonts w:ascii="FrankRuehl" w:hAnsi="FrankRuehl"/>
          <w:color w:val="0000FF"/>
          <w:sz w:val="28"/>
          <w:u w:val="single"/>
          <w:rtl/>
        </w:rPr>
      </w:pPr>
    </w:p>
    <w:sectPr w:rsidR="00715337" w:rsidRPr="00715337" w:rsidSect="00715337">
      <w:headerReference w:type="even" r:id="rId51"/>
      <w:headerReference w:type="default" r:id="rId52"/>
      <w:footerReference w:type="even" r:id="rId53"/>
      <w:footerReference w:type="default" r:id="rId54"/>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4F097" w14:textId="77777777" w:rsidR="00135A9B" w:rsidRDefault="00135A9B">
      <w:r>
        <w:separator/>
      </w:r>
    </w:p>
  </w:endnote>
  <w:endnote w:type="continuationSeparator" w:id="0">
    <w:p w14:paraId="37E14048" w14:textId="77777777" w:rsidR="00135A9B" w:rsidRDefault="0013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3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A075" w14:textId="77777777" w:rsidR="00715337" w:rsidRDefault="00000000" w:rsidP="00715337">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8</w:t>
    </w:r>
    <w:r>
      <w:rPr>
        <w:rFonts w:ascii="FrankRuehl" w:hAnsi="FrankRuehl" w:cs="FrankRuehl"/>
        <w:rtl/>
      </w:rPr>
      <w:fldChar w:fldCharType="end"/>
    </w:r>
  </w:p>
  <w:p w14:paraId="6A026019" w14:textId="671BA52A" w:rsidR="00715337" w:rsidRPr="00715337" w:rsidRDefault="00C407CA" w:rsidP="00715337">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2FA63C41" wp14:editId="56AA8776">
          <wp:extent cx="552450" cy="228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D3F0" w14:textId="77777777" w:rsidR="00715337" w:rsidRDefault="00000000" w:rsidP="00715337">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676156">
      <w:rPr>
        <w:rFonts w:ascii="FrankRuehl" w:hAnsi="FrankRuehl" w:cs="FrankRuehl"/>
        <w:noProof/>
        <w:rtl/>
      </w:rPr>
      <w:t>1</w:t>
    </w:r>
    <w:r>
      <w:rPr>
        <w:rFonts w:ascii="FrankRuehl" w:hAnsi="FrankRuehl" w:cs="FrankRuehl"/>
        <w:rtl/>
      </w:rPr>
      <w:fldChar w:fldCharType="end"/>
    </w:r>
  </w:p>
  <w:p w14:paraId="095B5AA9" w14:textId="4593459C" w:rsidR="00715337" w:rsidRPr="00715337" w:rsidRDefault="00715337" w:rsidP="00715337">
    <w:pPr>
      <w:pStyle w:val="a7"/>
      <w:pBdr>
        <w:top w:val="single" w:sz="4" w:space="1" w:color="auto"/>
        <w:between w:val="single" w:sz="4" w:space="0" w:color="auto"/>
      </w:pBdr>
      <w:spacing w:after="60"/>
      <w:jc w:val="center"/>
      <w:rPr>
        <w:rFonts w:ascii="FrankRuehl" w:hAnsi="FrankRuehl" w:cs="FrankRueh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4B9CF" w14:textId="77777777" w:rsidR="00135A9B" w:rsidRDefault="00135A9B">
      <w:r>
        <w:separator/>
      </w:r>
    </w:p>
  </w:footnote>
  <w:footnote w:type="continuationSeparator" w:id="0">
    <w:p w14:paraId="160AFF02" w14:textId="77777777" w:rsidR="00135A9B" w:rsidRDefault="0013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033A" w14:textId="77777777" w:rsidR="00715337" w:rsidRPr="00715337" w:rsidRDefault="00000000" w:rsidP="00715337">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עא 8132/23 </w:t>
    </w:r>
    <w:r>
      <w:rPr>
        <w:rFonts w:ascii="David" w:hAnsi="David"/>
        <w:color w:val="000000"/>
        <w:sz w:val="22"/>
        <w:szCs w:val="22"/>
        <w:rtl/>
      </w:rPr>
      <w:tab/>
      <w:t xml:space="preserve"> עאטף איברהים עלי חוסיין נ' מדינת ישראל רשות מקרקעי ישראל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1DA13" w14:textId="77777777" w:rsidR="00105E0F" w:rsidRPr="00715337" w:rsidRDefault="00715337" w:rsidP="00715337">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45" w:name="_Hlk189125541"/>
    <w:bookmarkStart w:id="46" w:name="_Hlk189125542"/>
    <w:bookmarkStart w:id="47" w:name="_Hlk189125543"/>
    <w:bookmarkStart w:id="48" w:name="_Hlk189125544"/>
    <w:r>
      <w:rPr>
        <w:rFonts w:ascii="David" w:hAnsi="David"/>
        <w:color w:val="000000"/>
        <w:sz w:val="22"/>
        <w:szCs w:val="22"/>
        <w:rtl/>
      </w:rPr>
      <w:t xml:space="preserve">עא 8132/23 </w:t>
    </w:r>
    <w:r>
      <w:rPr>
        <w:rFonts w:ascii="David" w:hAnsi="David"/>
        <w:color w:val="000000"/>
        <w:sz w:val="22"/>
        <w:szCs w:val="22"/>
        <w:rtl/>
      </w:rPr>
      <w:tab/>
      <w:t xml:space="preserve"> עאטף איברהים עלי חוסיין נ' מדינת ישראל רשות מקרקעי ישראל</w:t>
    </w:r>
    <w:bookmarkEnd w:id="45"/>
    <w:bookmarkEnd w:id="46"/>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BC567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FC2E8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80D28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508CCF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B8039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F4E42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9208A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6A03F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892B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87E8AE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8BE0AF4A"/>
    <w:lvl w:ilvl="0" w:tplc="02AAA4C4">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vanish w:val="0"/>
        <w:color w:val="auto"/>
        <w:spacing w:val="10"/>
        <w:w w:val="100"/>
        <w:kern w:val="0"/>
        <w:position w:val="0"/>
        <w:sz w:val="22"/>
        <w:szCs w:val="2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93407F22" w:tentative="1">
      <w:start w:val="1"/>
      <w:numFmt w:val="lowerLetter"/>
      <w:lvlText w:val="%2."/>
      <w:lvlJc w:val="left"/>
      <w:pPr>
        <w:tabs>
          <w:tab w:val="num" w:pos="1440"/>
        </w:tabs>
        <w:ind w:left="1440" w:hanging="360"/>
      </w:pPr>
    </w:lvl>
    <w:lvl w:ilvl="2" w:tplc="C7FA3664" w:tentative="1">
      <w:start w:val="1"/>
      <w:numFmt w:val="lowerRoman"/>
      <w:lvlText w:val="%3."/>
      <w:lvlJc w:val="right"/>
      <w:pPr>
        <w:tabs>
          <w:tab w:val="num" w:pos="2160"/>
        </w:tabs>
        <w:ind w:left="2160" w:hanging="180"/>
      </w:pPr>
    </w:lvl>
    <w:lvl w:ilvl="3" w:tplc="E82A213A" w:tentative="1">
      <w:start w:val="1"/>
      <w:numFmt w:val="decimal"/>
      <w:lvlText w:val="%4."/>
      <w:lvlJc w:val="left"/>
      <w:pPr>
        <w:tabs>
          <w:tab w:val="num" w:pos="2880"/>
        </w:tabs>
        <w:ind w:left="2880" w:hanging="360"/>
      </w:pPr>
    </w:lvl>
    <w:lvl w:ilvl="4" w:tplc="FC225B4A" w:tentative="1">
      <w:start w:val="1"/>
      <w:numFmt w:val="lowerLetter"/>
      <w:lvlText w:val="%5."/>
      <w:lvlJc w:val="left"/>
      <w:pPr>
        <w:tabs>
          <w:tab w:val="num" w:pos="3600"/>
        </w:tabs>
        <w:ind w:left="3600" w:hanging="360"/>
      </w:pPr>
    </w:lvl>
    <w:lvl w:ilvl="5" w:tplc="AF5E29F6" w:tentative="1">
      <w:start w:val="1"/>
      <w:numFmt w:val="lowerRoman"/>
      <w:lvlText w:val="%6."/>
      <w:lvlJc w:val="right"/>
      <w:pPr>
        <w:tabs>
          <w:tab w:val="num" w:pos="4320"/>
        </w:tabs>
        <w:ind w:left="4320" w:hanging="180"/>
      </w:pPr>
    </w:lvl>
    <w:lvl w:ilvl="6" w:tplc="3C4C8D82" w:tentative="1">
      <w:start w:val="1"/>
      <w:numFmt w:val="decimal"/>
      <w:lvlText w:val="%7."/>
      <w:lvlJc w:val="left"/>
      <w:pPr>
        <w:tabs>
          <w:tab w:val="num" w:pos="5040"/>
        </w:tabs>
        <w:ind w:left="5040" w:hanging="360"/>
      </w:pPr>
    </w:lvl>
    <w:lvl w:ilvl="7" w:tplc="2D8CC3EC" w:tentative="1">
      <w:start w:val="1"/>
      <w:numFmt w:val="lowerLetter"/>
      <w:lvlText w:val="%8."/>
      <w:lvlJc w:val="left"/>
      <w:pPr>
        <w:tabs>
          <w:tab w:val="num" w:pos="5760"/>
        </w:tabs>
        <w:ind w:left="5760" w:hanging="360"/>
      </w:pPr>
    </w:lvl>
    <w:lvl w:ilvl="8" w:tplc="ABAC97DC" w:tentative="1">
      <w:start w:val="1"/>
      <w:numFmt w:val="lowerRoman"/>
      <w:lvlText w:val="%9."/>
      <w:lvlJc w:val="right"/>
      <w:pPr>
        <w:tabs>
          <w:tab w:val="num" w:pos="6480"/>
        </w:tabs>
        <w:ind w:left="6480" w:hanging="180"/>
      </w:pPr>
    </w:lvl>
  </w:abstractNum>
  <w:num w:numId="1" w16cid:durableId="2093769909">
    <w:abstractNumId w:val="10"/>
  </w:num>
  <w:num w:numId="2" w16cid:durableId="1830553966">
    <w:abstractNumId w:val="8"/>
  </w:num>
  <w:num w:numId="3" w16cid:durableId="1464498630">
    <w:abstractNumId w:val="3"/>
  </w:num>
  <w:num w:numId="4" w16cid:durableId="336269151">
    <w:abstractNumId w:val="2"/>
  </w:num>
  <w:num w:numId="5" w16cid:durableId="1316834569">
    <w:abstractNumId w:val="1"/>
  </w:num>
  <w:num w:numId="6" w16cid:durableId="1754429177">
    <w:abstractNumId w:val="0"/>
  </w:num>
  <w:num w:numId="7" w16cid:durableId="1044718085">
    <w:abstractNumId w:val="9"/>
  </w:num>
  <w:num w:numId="8" w16cid:durableId="1864704726">
    <w:abstractNumId w:val="7"/>
  </w:num>
  <w:num w:numId="9" w16cid:durableId="638808420">
    <w:abstractNumId w:val="6"/>
  </w:num>
  <w:num w:numId="10" w16cid:durableId="31005212">
    <w:abstractNumId w:val="5"/>
  </w:num>
  <w:num w:numId="11" w16cid:durableId="57561692">
    <w:abstractNumId w:val="4"/>
  </w:num>
  <w:num w:numId="12" w16cid:durableId="1212769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07DE0"/>
    <w:rsid w:val="000346CC"/>
    <w:rsid w:val="000529D2"/>
    <w:rsid w:val="000529F0"/>
    <w:rsid w:val="000564AB"/>
    <w:rsid w:val="00064FBD"/>
    <w:rsid w:val="00082AB2"/>
    <w:rsid w:val="000906FE"/>
    <w:rsid w:val="00096AF7"/>
    <w:rsid w:val="000B344B"/>
    <w:rsid w:val="000B6DBA"/>
    <w:rsid w:val="000C3B0F"/>
    <w:rsid w:val="000C3B60"/>
    <w:rsid w:val="000E0DD2"/>
    <w:rsid w:val="000E12EA"/>
    <w:rsid w:val="000E3AF1"/>
    <w:rsid w:val="000F0BC8"/>
    <w:rsid w:val="000F0DD6"/>
    <w:rsid w:val="00103959"/>
    <w:rsid w:val="00105E0F"/>
    <w:rsid w:val="00107E6D"/>
    <w:rsid w:val="0011194C"/>
    <w:rsid w:val="0011424C"/>
    <w:rsid w:val="001173C6"/>
    <w:rsid w:val="00135A9B"/>
    <w:rsid w:val="001367BC"/>
    <w:rsid w:val="00144D2A"/>
    <w:rsid w:val="0014653E"/>
    <w:rsid w:val="00180519"/>
    <w:rsid w:val="00191C82"/>
    <w:rsid w:val="00193B4B"/>
    <w:rsid w:val="001C4003"/>
    <w:rsid w:val="001D4DBF"/>
    <w:rsid w:val="001E75CA"/>
    <w:rsid w:val="002265FF"/>
    <w:rsid w:val="00235B97"/>
    <w:rsid w:val="00261FEE"/>
    <w:rsid w:val="00270C62"/>
    <w:rsid w:val="00271B56"/>
    <w:rsid w:val="00275E20"/>
    <w:rsid w:val="00286B0C"/>
    <w:rsid w:val="002A1B48"/>
    <w:rsid w:val="002C344E"/>
    <w:rsid w:val="002E75E9"/>
    <w:rsid w:val="002F0B1E"/>
    <w:rsid w:val="00307A6A"/>
    <w:rsid w:val="00307C40"/>
    <w:rsid w:val="00320433"/>
    <w:rsid w:val="003230C7"/>
    <w:rsid w:val="00327E50"/>
    <w:rsid w:val="0033597A"/>
    <w:rsid w:val="00343D89"/>
    <w:rsid w:val="00362612"/>
    <w:rsid w:val="0036743F"/>
    <w:rsid w:val="00367B06"/>
    <w:rsid w:val="003715DD"/>
    <w:rsid w:val="003823E0"/>
    <w:rsid w:val="003A4521"/>
    <w:rsid w:val="003B3E8D"/>
    <w:rsid w:val="003D1C8C"/>
    <w:rsid w:val="0040096C"/>
    <w:rsid w:val="00414F1F"/>
    <w:rsid w:val="0043125D"/>
    <w:rsid w:val="0043502B"/>
    <w:rsid w:val="004443AC"/>
    <w:rsid w:val="00444748"/>
    <w:rsid w:val="00444B02"/>
    <w:rsid w:val="00451E28"/>
    <w:rsid w:val="00462C62"/>
    <w:rsid w:val="004640AF"/>
    <w:rsid w:val="00465D36"/>
    <w:rsid w:val="00475083"/>
    <w:rsid w:val="004C17EE"/>
    <w:rsid w:val="004C4BDF"/>
    <w:rsid w:val="004D1187"/>
    <w:rsid w:val="004D3AA0"/>
    <w:rsid w:val="004E1987"/>
    <w:rsid w:val="004E2E15"/>
    <w:rsid w:val="004E6E3C"/>
    <w:rsid w:val="00511B90"/>
    <w:rsid w:val="00520898"/>
    <w:rsid w:val="00523621"/>
    <w:rsid w:val="00524986"/>
    <w:rsid w:val="005268F6"/>
    <w:rsid w:val="00534284"/>
    <w:rsid w:val="00547DB7"/>
    <w:rsid w:val="00560658"/>
    <w:rsid w:val="005C0627"/>
    <w:rsid w:val="005F4F09"/>
    <w:rsid w:val="0061431B"/>
    <w:rsid w:val="00616AE2"/>
    <w:rsid w:val="00622BAA"/>
    <w:rsid w:val="006306CF"/>
    <w:rsid w:val="006318D8"/>
    <w:rsid w:val="00644E9A"/>
    <w:rsid w:val="00667C59"/>
    <w:rsid w:val="00671BD5"/>
    <w:rsid w:val="00676156"/>
    <w:rsid w:val="006805C1"/>
    <w:rsid w:val="006833AE"/>
    <w:rsid w:val="00686C21"/>
    <w:rsid w:val="006931C1"/>
    <w:rsid w:val="00694556"/>
    <w:rsid w:val="006B7258"/>
    <w:rsid w:val="006C30C5"/>
    <w:rsid w:val="006D3B31"/>
    <w:rsid w:val="006E0D96"/>
    <w:rsid w:val="006E1A53"/>
    <w:rsid w:val="006F56E6"/>
    <w:rsid w:val="00704EDA"/>
    <w:rsid w:val="00715337"/>
    <w:rsid w:val="00721122"/>
    <w:rsid w:val="00734689"/>
    <w:rsid w:val="007447C7"/>
    <w:rsid w:val="00753019"/>
    <w:rsid w:val="00754801"/>
    <w:rsid w:val="00761441"/>
    <w:rsid w:val="007644ED"/>
    <w:rsid w:val="00795365"/>
    <w:rsid w:val="007A351D"/>
    <w:rsid w:val="007B7765"/>
    <w:rsid w:val="007C5BDD"/>
    <w:rsid w:val="007D45E3"/>
    <w:rsid w:val="007E6115"/>
    <w:rsid w:val="007F4609"/>
    <w:rsid w:val="007F4CC9"/>
    <w:rsid w:val="00814468"/>
    <w:rsid w:val="008176A1"/>
    <w:rsid w:val="00820005"/>
    <w:rsid w:val="00841158"/>
    <w:rsid w:val="00844318"/>
    <w:rsid w:val="00851257"/>
    <w:rsid w:val="00856CF6"/>
    <w:rsid w:val="00863F5D"/>
    <w:rsid w:val="00870890"/>
    <w:rsid w:val="00873602"/>
    <w:rsid w:val="00875D12"/>
    <w:rsid w:val="0088479D"/>
    <w:rsid w:val="00891F42"/>
    <w:rsid w:val="00896889"/>
    <w:rsid w:val="008A59EE"/>
    <w:rsid w:val="008A6E97"/>
    <w:rsid w:val="008C5714"/>
    <w:rsid w:val="008D10B2"/>
    <w:rsid w:val="00903896"/>
    <w:rsid w:val="00906F3D"/>
    <w:rsid w:val="00931968"/>
    <w:rsid w:val="0094424E"/>
    <w:rsid w:val="00955642"/>
    <w:rsid w:val="009622DF"/>
    <w:rsid w:val="0096493F"/>
    <w:rsid w:val="00967DFF"/>
    <w:rsid w:val="00994341"/>
    <w:rsid w:val="009A3047"/>
    <w:rsid w:val="009D1A48"/>
    <w:rsid w:val="009E1CE7"/>
    <w:rsid w:val="009E4EA5"/>
    <w:rsid w:val="009F164B"/>
    <w:rsid w:val="009F323C"/>
    <w:rsid w:val="009F4901"/>
    <w:rsid w:val="00A260AA"/>
    <w:rsid w:val="00A3392B"/>
    <w:rsid w:val="00A81988"/>
    <w:rsid w:val="00A85E34"/>
    <w:rsid w:val="00A87DF6"/>
    <w:rsid w:val="00A9144F"/>
    <w:rsid w:val="00A94B64"/>
    <w:rsid w:val="00AA3229"/>
    <w:rsid w:val="00AA7596"/>
    <w:rsid w:val="00AB5E52"/>
    <w:rsid w:val="00AB7FCD"/>
    <w:rsid w:val="00AC3B02"/>
    <w:rsid w:val="00AC3B7B"/>
    <w:rsid w:val="00AC5209"/>
    <w:rsid w:val="00AE0E34"/>
    <w:rsid w:val="00AE729E"/>
    <w:rsid w:val="00AE7752"/>
    <w:rsid w:val="00AF7FDA"/>
    <w:rsid w:val="00B27E99"/>
    <w:rsid w:val="00B51DE9"/>
    <w:rsid w:val="00B5356E"/>
    <w:rsid w:val="00B62AD7"/>
    <w:rsid w:val="00B66717"/>
    <w:rsid w:val="00B77019"/>
    <w:rsid w:val="00B809AD"/>
    <w:rsid w:val="00B80CBD"/>
    <w:rsid w:val="00B86096"/>
    <w:rsid w:val="00B95D6E"/>
    <w:rsid w:val="00B964D9"/>
    <w:rsid w:val="00BA0A7C"/>
    <w:rsid w:val="00BA517C"/>
    <w:rsid w:val="00BB3D05"/>
    <w:rsid w:val="00BB73BE"/>
    <w:rsid w:val="00BC2D89"/>
    <w:rsid w:val="00BD6531"/>
    <w:rsid w:val="00BE05B2"/>
    <w:rsid w:val="00BE15EB"/>
    <w:rsid w:val="00BF1908"/>
    <w:rsid w:val="00BF76BE"/>
    <w:rsid w:val="00C05869"/>
    <w:rsid w:val="00C22D93"/>
    <w:rsid w:val="00C23458"/>
    <w:rsid w:val="00C31120"/>
    <w:rsid w:val="00C34482"/>
    <w:rsid w:val="00C407CA"/>
    <w:rsid w:val="00C43648"/>
    <w:rsid w:val="00C50A9F"/>
    <w:rsid w:val="00C61238"/>
    <w:rsid w:val="00C642FA"/>
    <w:rsid w:val="00C802D9"/>
    <w:rsid w:val="00C827F9"/>
    <w:rsid w:val="00C9217F"/>
    <w:rsid w:val="00CA4C49"/>
    <w:rsid w:val="00CA73C2"/>
    <w:rsid w:val="00CC7622"/>
    <w:rsid w:val="00CD516B"/>
    <w:rsid w:val="00CD608F"/>
    <w:rsid w:val="00CE0084"/>
    <w:rsid w:val="00CF403E"/>
    <w:rsid w:val="00CF6BB7"/>
    <w:rsid w:val="00D01790"/>
    <w:rsid w:val="00D04AA4"/>
    <w:rsid w:val="00D20565"/>
    <w:rsid w:val="00D27982"/>
    <w:rsid w:val="00D33B86"/>
    <w:rsid w:val="00D44968"/>
    <w:rsid w:val="00D46D5D"/>
    <w:rsid w:val="00D51CAE"/>
    <w:rsid w:val="00D53924"/>
    <w:rsid w:val="00D55D0C"/>
    <w:rsid w:val="00D96D8C"/>
    <w:rsid w:val="00DA6649"/>
    <w:rsid w:val="00DC1259"/>
    <w:rsid w:val="00DC1BD2"/>
    <w:rsid w:val="00DC2571"/>
    <w:rsid w:val="00DC487C"/>
    <w:rsid w:val="00DC5EF2"/>
    <w:rsid w:val="00DC792F"/>
    <w:rsid w:val="00DD4335"/>
    <w:rsid w:val="00DE1E7D"/>
    <w:rsid w:val="00DE6BF6"/>
    <w:rsid w:val="00E1068A"/>
    <w:rsid w:val="00E25884"/>
    <w:rsid w:val="00E25B55"/>
    <w:rsid w:val="00E311E6"/>
    <w:rsid w:val="00E31C2B"/>
    <w:rsid w:val="00E5426A"/>
    <w:rsid w:val="00E54642"/>
    <w:rsid w:val="00E80CBE"/>
    <w:rsid w:val="00E90C45"/>
    <w:rsid w:val="00E9269D"/>
    <w:rsid w:val="00E95613"/>
    <w:rsid w:val="00E962E3"/>
    <w:rsid w:val="00EB6C79"/>
    <w:rsid w:val="00EC37E9"/>
    <w:rsid w:val="00F038D8"/>
    <w:rsid w:val="00F06995"/>
    <w:rsid w:val="00F102B4"/>
    <w:rsid w:val="00F12D66"/>
    <w:rsid w:val="00F13623"/>
    <w:rsid w:val="00F14E68"/>
    <w:rsid w:val="00F44D1D"/>
    <w:rsid w:val="00F45965"/>
    <w:rsid w:val="00F71FCD"/>
    <w:rsid w:val="00F7363A"/>
    <w:rsid w:val="00F84B6D"/>
    <w:rsid w:val="00F856E6"/>
    <w:rsid w:val="00F957E8"/>
    <w:rsid w:val="00FA311A"/>
    <w:rsid w:val="00FA5FDA"/>
    <w:rsid w:val="00FA66A9"/>
    <w:rsid w:val="00FA7FD0"/>
    <w:rsid w:val="00FB6AB3"/>
    <w:rsid w:val="00FB7A67"/>
    <w:rsid w:val="00FD1419"/>
    <w:rsid w:val="00FD22A7"/>
    <w:rsid w:val="00FD79E4"/>
    <w:rsid w:val="00FE09EC"/>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43461"/>
  <w15:docId w15:val="{36811682-6C2F-4B24-8D02-D8C2FA4C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F45965"/>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F45965"/>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F45965"/>
    <w:pPr>
      <w:keepNext/>
      <w:spacing w:line="360" w:lineRule="auto"/>
      <w:jc w:val="both"/>
      <w:outlineLvl w:val="2"/>
    </w:pPr>
    <w:rPr>
      <w:b/>
      <w:bCs/>
      <w:sz w:val="20"/>
      <w:lang w:eastAsia="he-IL"/>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F45965"/>
    <w:pPr>
      <w:keepNext/>
      <w:keepLines/>
      <w:spacing w:before="40"/>
      <w:outlineLvl w:val="4"/>
    </w:pPr>
    <w:rPr>
      <w:rFonts w:ascii="Cambria" w:hAnsi="Cambria" w:cs="Times New Roman"/>
      <w:color w:val="365F91"/>
    </w:rPr>
  </w:style>
  <w:style w:type="paragraph" w:styleId="6">
    <w:name w:val="heading 6"/>
    <w:basedOn w:val="a1"/>
    <w:next w:val="a1"/>
    <w:link w:val="60"/>
    <w:qFormat/>
    <w:rsid w:val="00F45965"/>
    <w:pPr>
      <w:keepNext/>
      <w:keepLines/>
      <w:spacing w:before="40"/>
      <w:outlineLvl w:val="5"/>
    </w:pPr>
    <w:rPr>
      <w:rFonts w:ascii="Cambria" w:hAnsi="Cambria" w:cs="Times New Roman"/>
      <w:color w:val="243F60"/>
    </w:rPr>
  </w:style>
  <w:style w:type="paragraph" w:styleId="7">
    <w:name w:val="heading 7"/>
    <w:basedOn w:val="a1"/>
    <w:next w:val="a1"/>
    <w:link w:val="70"/>
    <w:qFormat/>
    <w:rsid w:val="00F45965"/>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F45965"/>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F45965"/>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link w:val="a8"/>
    <w:uiPriority w:val="99"/>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ab"/>
    <w:rsid w:val="00C64423"/>
    <w:rPr>
      <w:rFonts w:cs="Times New Roman"/>
    </w:rPr>
  </w:style>
  <w:style w:type="character" w:styleId="ac">
    <w:name w:val="annotation reference"/>
    <w:rsid w:val="00C64423"/>
    <w:rPr>
      <w:noProof w:val="0"/>
      <w:sz w:val="16"/>
      <w:szCs w:val="16"/>
    </w:rPr>
  </w:style>
  <w:style w:type="paragraph" w:styleId="ad">
    <w:name w:val="Balloon Text"/>
    <w:basedOn w:val="a1"/>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1">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8">
    <w:name w:val="כותרת תחתונה תו"/>
    <w:link w:val="a7"/>
    <w:uiPriority w:val="99"/>
    <w:rsid w:val="00616AE2"/>
    <w:rPr>
      <w:rFonts w:cs="David"/>
      <w:noProof w:val="0"/>
      <w:sz w:val="24"/>
      <w:szCs w:val="24"/>
    </w:rPr>
  </w:style>
  <w:style w:type="character" w:customStyle="1" w:styleId="a6">
    <w:name w:val="כותרת עליונה תו"/>
    <w:link w:val="a5"/>
    <w:uiPriority w:val="99"/>
    <w:rsid w:val="00616AE2"/>
    <w:rPr>
      <w:rFonts w:cs="David"/>
      <w:noProof w:val="0"/>
      <w:sz w:val="24"/>
      <w:szCs w:val="24"/>
    </w:rPr>
  </w:style>
  <w:style w:type="character" w:customStyle="1" w:styleId="Ruller40">
    <w:name w:val="Ruller4 תו"/>
    <w:link w:val="Ruller41"/>
    <w:locked/>
    <w:rsid w:val="00E311E6"/>
    <w:rPr>
      <w:rFonts w:ascii="Arial TUR" w:hAnsi="Arial TUR" w:cs="FrankRuehl"/>
      <w:spacing w:val="10"/>
      <w:sz w:val="22"/>
      <w:szCs w:val="28"/>
    </w:rPr>
  </w:style>
  <w:style w:type="paragraph" w:customStyle="1" w:styleId="Ruller41">
    <w:name w:val="Ruller4"/>
    <w:basedOn w:val="a1"/>
    <w:link w:val="Ruller40"/>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5">
    <w:name w:val="Ruller5"/>
    <w:basedOn w:val="a1"/>
    <w:rsid w:val="00F45965"/>
    <w:pPr>
      <w:overflowPunct w:val="0"/>
      <w:autoSpaceDE w:val="0"/>
      <w:autoSpaceDN w:val="0"/>
      <w:adjustRightInd w:val="0"/>
      <w:ind w:left="1644" w:right="1276"/>
      <w:jc w:val="both"/>
      <w:textAlignment w:val="baseline"/>
    </w:pPr>
    <w:rPr>
      <w:rFonts w:ascii="Arial TUR" w:hAnsi="Arial TUR" w:cs="FrankRuehl"/>
      <w:spacing w:val="10"/>
      <w:sz w:val="22"/>
      <w:szCs w:val="28"/>
    </w:rPr>
  </w:style>
  <w:style w:type="paragraph" w:customStyle="1" w:styleId="Ruller4">
    <w:name w:val="Ruller 4 ממוספר"/>
    <w:basedOn w:val="Ruller41"/>
    <w:next w:val="Ruller41"/>
    <w:rsid w:val="00F45965"/>
    <w:pPr>
      <w:numPr>
        <w:numId w:val="1"/>
      </w:numPr>
      <w:textAlignment w:val="baseline"/>
    </w:pPr>
    <w:rPr>
      <w:rFonts w:ascii="Garamond" w:hAnsi="Garamond"/>
      <w:sz w:val="24"/>
    </w:rPr>
  </w:style>
  <w:style w:type="paragraph" w:customStyle="1" w:styleId="13">
    <w:name w:val="פיסקת רשימה1"/>
    <w:basedOn w:val="a1"/>
    <w:uiPriority w:val="34"/>
    <w:qFormat/>
    <w:rsid w:val="00F45965"/>
    <w:pPr>
      <w:overflowPunct w:val="0"/>
      <w:autoSpaceDE w:val="0"/>
      <w:autoSpaceDN w:val="0"/>
      <w:adjustRightInd w:val="0"/>
      <w:spacing w:line="360" w:lineRule="auto"/>
      <w:ind w:left="720"/>
      <w:contextualSpacing/>
      <w:textAlignment w:val="baseline"/>
    </w:pPr>
    <w:rPr>
      <w:rFonts w:ascii="Century" w:hAnsi="Century" w:cs="FrankRuehl"/>
      <w:spacing w:val="10"/>
      <w:sz w:val="20"/>
      <w:szCs w:val="28"/>
    </w:rPr>
  </w:style>
  <w:style w:type="paragraph" w:customStyle="1" w:styleId="ruller42">
    <w:name w:val="ruller4"/>
    <w:basedOn w:val="a1"/>
    <w:rsid w:val="00F45965"/>
    <w:pPr>
      <w:bidi w:val="0"/>
      <w:spacing w:before="100" w:beforeAutospacing="1" w:after="100" w:afterAutospacing="1"/>
    </w:pPr>
    <w:rPr>
      <w:rFonts w:cs="Times New Roman"/>
    </w:rPr>
  </w:style>
  <w:style w:type="character" w:customStyle="1" w:styleId="default">
    <w:name w:val="default"/>
    <w:rsid w:val="00F45965"/>
    <w:rPr>
      <w:noProof w:val="0"/>
    </w:rPr>
  </w:style>
  <w:style w:type="character" w:customStyle="1" w:styleId="32">
    <w:name w:val="כותרת 3 תו"/>
    <w:link w:val="31"/>
    <w:rsid w:val="00F45965"/>
    <w:rPr>
      <w:rFonts w:cs="David"/>
      <w:b/>
      <w:bCs/>
      <w:noProof w:val="0"/>
      <w:szCs w:val="24"/>
      <w:lang w:eastAsia="he-IL"/>
    </w:rPr>
  </w:style>
  <w:style w:type="character" w:styleId="FollowedHyperlink">
    <w:name w:val="FollowedHyperlink"/>
    <w:rsid w:val="00F45965"/>
    <w:rPr>
      <w:noProof w:val="0"/>
      <w:color w:val="800080"/>
      <w:u w:val="single"/>
    </w:rPr>
  </w:style>
  <w:style w:type="character" w:styleId="HTMLCite">
    <w:name w:val="HTML Cite"/>
    <w:rsid w:val="00F45965"/>
    <w:rPr>
      <w:i/>
      <w:iCs/>
      <w:noProof w:val="0"/>
    </w:rPr>
  </w:style>
  <w:style w:type="character" w:styleId="HTMLCode">
    <w:name w:val="HTML Code"/>
    <w:rsid w:val="00F45965"/>
    <w:rPr>
      <w:rFonts w:ascii="Consolas" w:hAnsi="Consolas"/>
      <w:noProof w:val="0"/>
      <w:sz w:val="20"/>
      <w:szCs w:val="20"/>
    </w:rPr>
  </w:style>
  <w:style w:type="character" w:styleId="HTMLDefinition">
    <w:name w:val="HTML Definition"/>
    <w:rsid w:val="00F45965"/>
    <w:rPr>
      <w:i/>
      <w:iCs/>
      <w:noProof w:val="0"/>
    </w:rPr>
  </w:style>
  <w:style w:type="character" w:styleId="HTMLVariable">
    <w:name w:val="HTML Variable"/>
    <w:rsid w:val="00F45965"/>
    <w:rPr>
      <w:i/>
      <w:iCs/>
      <w:noProof w:val="0"/>
    </w:rPr>
  </w:style>
  <w:style w:type="paragraph" w:styleId="HTML">
    <w:name w:val="HTML Preformatted"/>
    <w:basedOn w:val="a1"/>
    <w:link w:val="HTML0"/>
    <w:rsid w:val="00F45965"/>
    <w:rPr>
      <w:rFonts w:ascii="Consolas" w:hAnsi="Consolas"/>
      <w:sz w:val="20"/>
      <w:szCs w:val="20"/>
    </w:rPr>
  </w:style>
  <w:style w:type="character" w:customStyle="1" w:styleId="HTML0">
    <w:name w:val="HTML מעוצב מראש תו"/>
    <w:link w:val="HTML"/>
    <w:semiHidden/>
    <w:rsid w:val="00F45965"/>
    <w:rPr>
      <w:rFonts w:ascii="Consolas" w:hAnsi="Consolas" w:cs="David"/>
      <w:noProof w:val="0"/>
    </w:rPr>
  </w:style>
  <w:style w:type="character" w:styleId="Hyperlink">
    <w:name w:val="Hyperlink"/>
    <w:rsid w:val="00F45965"/>
    <w:rPr>
      <w:noProof w:val="0"/>
      <w:color w:val="0000FF"/>
      <w:u w:val="single"/>
    </w:rPr>
  </w:style>
  <w:style w:type="paragraph" w:styleId="Index1">
    <w:name w:val="index 1"/>
    <w:basedOn w:val="a1"/>
    <w:next w:val="a1"/>
    <w:autoRedefine/>
    <w:rsid w:val="00F45965"/>
    <w:pPr>
      <w:ind w:left="240" w:hanging="240"/>
    </w:pPr>
  </w:style>
  <w:style w:type="paragraph" w:styleId="Index2">
    <w:name w:val="index 2"/>
    <w:basedOn w:val="a1"/>
    <w:next w:val="a1"/>
    <w:autoRedefine/>
    <w:rsid w:val="00F45965"/>
    <w:pPr>
      <w:ind w:left="480" w:hanging="240"/>
    </w:pPr>
  </w:style>
  <w:style w:type="paragraph" w:styleId="Index3">
    <w:name w:val="index 3"/>
    <w:basedOn w:val="a1"/>
    <w:next w:val="a1"/>
    <w:autoRedefine/>
    <w:rsid w:val="00F45965"/>
    <w:pPr>
      <w:ind w:left="720" w:hanging="240"/>
    </w:pPr>
  </w:style>
  <w:style w:type="paragraph" w:styleId="Index4">
    <w:name w:val="index 4"/>
    <w:basedOn w:val="a1"/>
    <w:next w:val="a1"/>
    <w:autoRedefine/>
    <w:rsid w:val="00F45965"/>
    <w:pPr>
      <w:ind w:left="960" w:hanging="240"/>
    </w:pPr>
  </w:style>
  <w:style w:type="paragraph" w:styleId="Index5">
    <w:name w:val="index 5"/>
    <w:basedOn w:val="a1"/>
    <w:next w:val="a1"/>
    <w:autoRedefine/>
    <w:rsid w:val="00F45965"/>
    <w:pPr>
      <w:ind w:left="1200" w:hanging="240"/>
    </w:pPr>
  </w:style>
  <w:style w:type="paragraph" w:styleId="Index6">
    <w:name w:val="index 6"/>
    <w:basedOn w:val="a1"/>
    <w:next w:val="a1"/>
    <w:autoRedefine/>
    <w:rsid w:val="00F45965"/>
    <w:pPr>
      <w:ind w:left="1440" w:hanging="240"/>
    </w:pPr>
  </w:style>
  <w:style w:type="paragraph" w:styleId="Index7">
    <w:name w:val="index 7"/>
    <w:basedOn w:val="a1"/>
    <w:next w:val="a1"/>
    <w:autoRedefine/>
    <w:rsid w:val="00F45965"/>
    <w:pPr>
      <w:ind w:left="1680" w:hanging="240"/>
    </w:pPr>
  </w:style>
  <w:style w:type="paragraph" w:styleId="Index8">
    <w:name w:val="index 8"/>
    <w:basedOn w:val="a1"/>
    <w:next w:val="a1"/>
    <w:autoRedefine/>
    <w:rsid w:val="00F45965"/>
    <w:pPr>
      <w:ind w:left="1920" w:hanging="240"/>
    </w:pPr>
  </w:style>
  <w:style w:type="paragraph" w:styleId="Index9">
    <w:name w:val="index 9"/>
    <w:basedOn w:val="a1"/>
    <w:next w:val="a1"/>
    <w:autoRedefine/>
    <w:rsid w:val="00F45965"/>
    <w:pPr>
      <w:ind w:left="2160" w:hanging="240"/>
    </w:pPr>
  </w:style>
  <w:style w:type="paragraph" w:styleId="NormalWeb">
    <w:name w:val="Normal (Web)"/>
    <w:basedOn w:val="a1"/>
    <w:rsid w:val="00F45965"/>
    <w:rPr>
      <w:rFonts w:cs="Times New Roman"/>
    </w:rPr>
  </w:style>
  <w:style w:type="paragraph" w:styleId="TOC1">
    <w:name w:val="toc 1"/>
    <w:basedOn w:val="a1"/>
    <w:next w:val="a1"/>
    <w:autoRedefine/>
    <w:rsid w:val="00F45965"/>
    <w:pPr>
      <w:spacing w:after="100"/>
    </w:pPr>
  </w:style>
  <w:style w:type="paragraph" w:styleId="TOC2">
    <w:name w:val="toc 2"/>
    <w:basedOn w:val="a1"/>
    <w:next w:val="a1"/>
    <w:autoRedefine/>
    <w:rsid w:val="00F45965"/>
    <w:pPr>
      <w:spacing w:after="100"/>
      <w:ind w:left="240"/>
    </w:pPr>
  </w:style>
  <w:style w:type="paragraph" w:styleId="TOC3">
    <w:name w:val="toc 3"/>
    <w:basedOn w:val="a1"/>
    <w:next w:val="a1"/>
    <w:autoRedefine/>
    <w:rsid w:val="00F45965"/>
    <w:pPr>
      <w:spacing w:after="100"/>
      <w:ind w:left="480"/>
    </w:pPr>
  </w:style>
  <w:style w:type="paragraph" w:styleId="TOC4">
    <w:name w:val="toc 4"/>
    <w:basedOn w:val="a1"/>
    <w:next w:val="a1"/>
    <w:autoRedefine/>
    <w:rsid w:val="00F45965"/>
    <w:pPr>
      <w:spacing w:after="100"/>
      <w:ind w:left="720"/>
    </w:pPr>
  </w:style>
  <w:style w:type="paragraph" w:styleId="TOC5">
    <w:name w:val="toc 5"/>
    <w:basedOn w:val="a1"/>
    <w:next w:val="a1"/>
    <w:autoRedefine/>
    <w:rsid w:val="00F45965"/>
    <w:pPr>
      <w:spacing w:after="100"/>
      <w:ind w:left="960"/>
    </w:pPr>
  </w:style>
  <w:style w:type="paragraph" w:styleId="TOC6">
    <w:name w:val="toc 6"/>
    <w:basedOn w:val="a1"/>
    <w:next w:val="a1"/>
    <w:autoRedefine/>
    <w:rsid w:val="00F45965"/>
    <w:pPr>
      <w:spacing w:after="100"/>
      <w:ind w:left="1200"/>
    </w:pPr>
  </w:style>
  <w:style w:type="paragraph" w:styleId="TOC7">
    <w:name w:val="toc 7"/>
    <w:basedOn w:val="a1"/>
    <w:next w:val="a1"/>
    <w:autoRedefine/>
    <w:rsid w:val="00F45965"/>
    <w:pPr>
      <w:spacing w:after="100"/>
      <w:ind w:left="1440"/>
    </w:pPr>
  </w:style>
  <w:style w:type="paragraph" w:styleId="TOC8">
    <w:name w:val="toc 8"/>
    <w:basedOn w:val="a1"/>
    <w:next w:val="a1"/>
    <w:autoRedefine/>
    <w:rsid w:val="00F45965"/>
    <w:pPr>
      <w:spacing w:after="100"/>
      <w:ind w:left="1680"/>
    </w:pPr>
  </w:style>
  <w:style w:type="paragraph" w:styleId="TOC9">
    <w:name w:val="toc 9"/>
    <w:basedOn w:val="a1"/>
    <w:next w:val="a1"/>
    <w:autoRedefine/>
    <w:rsid w:val="00F45965"/>
    <w:pPr>
      <w:spacing w:after="100"/>
      <w:ind w:left="1920"/>
    </w:pPr>
  </w:style>
  <w:style w:type="table" w:styleId="-1">
    <w:name w:val="Table 3D effects 1"/>
    <w:basedOn w:val="a3"/>
    <w:rsid w:val="00F45965"/>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F45965"/>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F45965"/>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ביבליוגרפיה1"/>
    <w:basedOn w:val="a1"/>
    <w:next w:val="a1"/>
    <w:uiPriority w:val="37"/>
    <w:semiHidden/>
    <w:unhideWhenUsed/>
    <w:rsid w:val="00F45965"/>
  </w:style>
  <w:style w:type="paragraph" w:styleId="af1">
    <w:name w:val="Salutation"/>
    <w:basedOn w:val="a1"/>
    <w:next w:val="a1"/>
    <w:link w:val="af2"/>
    <w:rsid w:val="00F45965"/>
  </w:style>
  <w:style w:type="character" w:customStyle="1" w:styleId="af2">
    <w:name w:val="ברכה תו"/>
    <w:link w:val="af1"/>
    <w:rsid w:val="00F45965"/>
    <w:rPr>
      <w:rFonts w:cs="David"/>
      <w:noProof w:val="0"/>
      <w:sz w:val="24"/>
      <w:szCs w:val="24"/>
    </w:rPr>
  </w:style>
  <w:style w:type="paragraph" w:styleId="af3">
    <w:name w:val="Body Text"/>
    <w:basedOn w:val="a1"/>
    <w:link w:val="af4"/>
    <w:rsid w:val="00F45965"/>
    <w:pPr>
      <w:spacing w:after="120"/>
    </w:pPr>
  </w:style>
  <w:style w:type="character" w:customStyle="1" w:styleId="af4">
    <w:name w:val="גוף טקסט תו"/>
    <w:link w:val="af3"/>
    <w:semiHidden/>
    <w:rsid w:val="00F45965"/>
    <w:rPr>
      <w:rFonts w:cs="David"/>
      <w:noProof w:val="0"/>
      <w:sz w:val="24"/>
      <w:szCs w:val="24"/>
    </w:rPr>
  </w:style>
  <w:style w:type="paragraph" w:styleId="23">
    <w:name w:val="Body Text 2"/>
    <w:basedOn w:val="a1"/>
    <w:link w:val="24"/>
    <w:rsid w:val="00F45965"/>
    <w:pPr>
      <w:spacing w:after="120" w:line="480" w:lineRule="auto"/>
    </w:pPr>
  </w:style>
  <w:style w:type="character" w:customStyle="1" w:styleId="24">
    <w:name w:val="גוף טקסט 2 תו"/>
    <w:link w:val="23"/>
    <w:semiHidden/>
    <w:rsid w:val="00F45965"/>
    <w:rPr>
      <w:rFonts w:cs="David"/>
      <w:noProof w:val="0"/>
      <w:sz w:val="24"/>
      <w:szCs w:val="24"/>
    </w:rPr>
  </w:style>
  <w:style w:type="paragraph" w:styleId="33">
    <w:name w:val="Body Text 3"/>
    <w:basedOn w:val="a1"/>
    <w:link w:val="34"/>
    <w:rsid w:val="00F45965"/>
    <w:pPr>
      <w:spacing w:after="120"/>
    </w:pPr>
    <w:rPr>
      <w:sz w:val="16"/>
      <w:szCs w:val="16"/>
    </w:rPr>
  </w:style>
  <w:style w:type="character" w:customStyle="1" w:styleId="34">
    <w:name w:val="גוף טקסט 3 תו"/>
    <w:link w:val="33"/>
    <w:semiHidden/>
    <w:rsid w:val="00F45965"/>
    <w:rPr>
      <w:rFonts w:cs="David"/>
      <w:noProof w:val="0"/>
      <w:sz w:val="16"/>
      <w:szCs w:val="16"/>
    </w:rPr>
  </w:style>
  <w:style w:type="character" w:styleId="HTML1">
    <w:name w:val="HTML Sample"/>
    <w:rsid w:val="00F45965"/>
    <w:rPr>
      <w:rFonts w:ascii="Consolas" w:hAnsi="Consolas"/>
      <w:noProof w:val="0"/>
      <w:sz w:val="24"/>
      <w:szCs w:val="24"/>
    </w:rPr>
  </w:style>
  <w:style w:type="character" w:styleId="af5">
    <w:name w:val="Emphasis"/>
    <w:qFormat/>
    <w:rsid w:val="00F45965"/>
    <w:rPr>
      <w:i/>
      <w:iCs/>
      <w:noProof w:val="0"/>
    </w:rPr>
  </w:style>
  <w:style w:type="character" w:customStyle="1" w:styleId="15">
    <w:name w:val="הדגשה חזקה1"/>
    <w:uiPriority w:val="21"/>
    <w:qFormat/>
    <w:rsid w:val="00F45965"/>
    <w:rPr>
      <w:i/>
      <w:iCs/>
      <w:noProof w:val="0"/>
      <w:color w:val="4F81BD"/>
    </w:rPr>
  </w:style>
  <w:style w:type="character" w:customStyle="1" w:styleId="16">
    <w:name w:val="הדגשה עדינה1"/>
    <w:uiPriority w:val="19"/>
    <w:qFormat/>
    <w:rsid w:val="00F45965"/>
    <w:rPr>
      <w:i/>
      <w:iCs/>
      <w:noProof w:val="0"/>
      <w:color w:val="404040"/>
    </w:rPr>
  </w:style>
  <w:style w:type="paragraph" w:styleId="af6">
    <w:name w:val="List Continue"/>
    <w:basedOn w:val="a1"/>
    <w:rsid w:val="00F45965"/>
    <w:pPr>
      <w:spacing w:after="120"/>
      <w:ind w:left="283"/>
      <w:contextualSpacing/>
    </w:pPr>
  </w:style>
  <w:style w:type="paragraph" w:styleId="25">
    <w:name w:val="List Continue 2"/>
    <w:basedOn w:val="a1"/>
    <w:rsid w:val="00F45965"/>
    <w:pPr>
      <w:spacing w:after="120"/>
      <w:ind w:left="566"/>
      <w:contextualSpacing/>
    </w:pPr>
  </w:style>
  <w:style w:type="paragraph" w:styleId="35">
    <w:name w:val="List Continue 3"/>
    <w:basedOn w:val="a1"/>
    <w:rsid w:val="00F45965"/>
    <w:pPr>
      <w:spacing w:after="120"/>
      <w:ind w:left="849"/>
      <w:contextualSpacing/>
    </w:pPr>
  </w:style>
  <w:style w:type="paragraph" w:styleId="42">
    <w:name w:val="List Continue 4"/>
    <w:basedOn w:val="a1"/>
    <w:rsid w:val="00F45965"/>
    <w:pPr>
      <w:spacing w:after="120"/>
      <w:ind w:left="1132"/>
      <w:contextualSpacing/>
    </w:pPr>
  </w:style>
  <w:style w:type="paragraph" w:styleId="53">
    <w:name w:val="List Continue 5"/>
    <w:basedOn w:val="a1"/>
    <w:rsid w:val="00F45965"/>
    <w:pPr>
      <w:spacing w:after="120"/>
      <w:ind w:left="1415"/>
      <w:contextualSpacing/>
    </w:pPr>
  </w:style>
  <w:style w:type="character" w:customStyle="1" w:styleId="17">
    <w:name w:val="הפניה חזקה1"/>
    <w:uiPriority w:val="32"/>
    <w:qFormat/>
    <w:rsid w:val="00F45965"/>
    <w:rPr>
      <w:b/>
      <w:bCs/>
      <w:smallCaps/>
      <w:noProof w:val="0"/>
      <w:color w:val="4F81BD"/>
      <w:spacing w:val="5"/>
    </w:rPr>
  </w:style>
  <w:style w:type="character" w:styleId="af7">
    <w:name w:val="endnote reference"/>
    <w:rsid w:val="00F45965"/>
    <w:rPr>
      <w:noProof w:val="0"/>
      <w:vertAlign w:val="superscript"/>
    </w:rPr>
  </w:style>
  <w:style w:type="character" w:styleId="af8">
    <w:name w:val="footnote reference"/>
    <w:rsid w:val="00F45965"/>
    <w:rPr>
      <w:noProof w:val="0"/>
      <w:vertAlign w:val="superscript"/>
    </w:rPr>
  </w:style>
  <w:style w:type="character" w:customStyle="1" w:styleId="18">
    <w:name w:val="הפניה עדינה1"/>
    <w:uiPriority w:val="31"/>
    <w:qFormat/>
    <w:rsid w:val="00F45965"/>
    <w:rPr>
      <w:smallCaps/>
      <w:noProof w:val="0"/>
      <w:color w:val="5A5A5A"/>
    </w:rPr>
  </w:style>
  <w:style w:type="table" w:customStyle="1" w:styleId="19">
    <w:name w:val="הצללה בהירה1"/>
    <w:basedOn w:val="a3"/>
    <w:uiPriority w:val="60"/>
    <w:semiHidden/>
    <w:unhideWhenUsed/>
    <w:rsid w:val="00F459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F4596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F4596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F4596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F4596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F4596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F4596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F459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F4596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F4596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F4596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F4596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F4596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F4596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F4596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F459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F459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F459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F459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F459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F459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a">
    <w:name w:val="הצללה צבעונית1"/>
    <w:basedOn w:val="a3"/>
    <w:uiPriority w:val="71"/>
    <w:semiHidden/>
    <w:unhideWhenUsed/>
    <w:rsid w:val="00F4596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F4596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F4596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F4596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F4596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F4596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F4596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9">
    <w:name w:val="Strong"/>
    <w:qFormat/>
    <w:rsid w:val="00F45965"/>
    <w:rPr>
      <w:b/>
      <w:bCs/>
      <w:noProof w:val="0"/>
    </w:rPr>
  </w:style>
  <w:style w:type="paragraph" w:styleId="afa">
    <w:name w:val="Signature"/>
    <w:basedOn w:val="a1"/>
    <w:link w:val="afb"/>
    <w:rsid w:val="00F45965"/>
    <w:pPr>
      <w:ind w:left="4252"/>
    </w:pPr>
  </w:style>
  <w:style w:type="character" w:customStyle="1" w:styleId="afb">
    <w:name w:val="חתימה תו"/>
    <w:link w:val="afa"/>
    <w:semiHidden/>
    <w:rsid w:val="00F45965"/>
    <w:rPr>
      <w:rFonts w:cs="David"/>
      <w:noProof w:val="0"/>
      <w:sz w:val="24"/>
      <w:szCs w:val="24"/>
    </w:rPr>
  </w:style>
  <w:style w:type="paragraph" w:styleId="afc">
    <w:name w:val="E-mail Signature"/>
    <w:basedOn w:val="a1"/>
    <w:link w:val="afd"/>
    <w:rsid w:val="00F45965"/>
  </w:style>
  <w:style w:type="character" w:customStyle="1" w:styleId="afd">
    <w:name w:val="חתימת דואר אלקטרוני תו"/>
    <w:link w:val="afc"/>
    <w:semiHidden/>
    <w:rsid w:val="00F45965"/>
    <w:rPr>
      <w:rFonts w:cs="David"/>
      <w:noProof w:val="0"/>
      <w:sz w:val="24"/>
      <w:szCs w:val="24"/>
    </w:rPr>
  </w:style>
  <w:style w:type="table" w:styleId="afe">
    <w:name w:val="Table Elegant"/>
    <w:basedOn w:val="a3"/>
    <w:rsid w:val="00F45965"/>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
    <w:name w:val="Table Professional"/>
    <w:basedOn w:val="a3"/>
    <w:rsid w:val="00F45965"/>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ubtle 1"/>
    <w:basedOn w:val="a3"/>
    <w:rsid w:val="00F45965"/>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F45965"/>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Contemporary"/>
    <w:basedOn w:val="a3"/>
    <w:rsid w:val="00F45965"/>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rsid w:val="00F45965"/>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F45965"/>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F45965"/>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Colorful 1"/>
    <w:basedOn w:val="a3"/>
    <w:rsid w:val="00F45965"/>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F45965"/>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F45965"/>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lassic 1"/>
    <w:basedOn w:val="a3"/>
    <w:rsid w:val="00F45965"/>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F45965"/>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F45965"/>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F45965"/>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F4596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F4596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F4596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F459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F45965"/>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
    <w:name w:val="Table Web 1"/>
    <w:basedOn w:val="a3"/>
    <w:rsid w:val="00F45965"/>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F45965"/>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F45965"/>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F4596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F45965"/>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F45965"/>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F45965"/>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F45965"/>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F45965"/>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F45965"/>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F4596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F45965"/>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F45965"/>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F45965"/>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F45965"/>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F45965"/>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F45965"/>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F4596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F45965"/>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F45965"/>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F45965"/>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F45965"/>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F45965"/>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F45965"/>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F4596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F4596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F45965"/>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F45965"/>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F45965"/>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F45965"/>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F45965"/>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F4596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F45965"/>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F45965"/>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F45965"/>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F45965"/>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F45965"/>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F45965"/>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F4596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F45965"/>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F45965"/>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F45965"/>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F45965"/>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F45965"/>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F45965"/>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F45965"/>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F45965"/>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F45965"/>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F45965"/>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F45965"/>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F45965"/>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F45965"/>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F4596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F45965"/>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F45965"/>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F45965"/>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F45965"/>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F45965"/>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F45965"/>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F4596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F45965"/>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F45965"/>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F45965"/>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F45965"/>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F45965"/>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F45965"/>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F4596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F4596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F45965"/>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F45965"/>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F45965"/>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F45965"/>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F45965"/>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F4596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F4596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F45965"/>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F45965"/>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F45965"/>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F45965"/>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F45965"/>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F459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F459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F459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F459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F459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F459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F4596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F4596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F45965"/>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F45965"/>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F45965"/>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F45965"/>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F45965"/>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F45965"/>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F4596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F45965"/>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F45965"/>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F45965"/>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F45965"/>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F45965"/>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F45965"/>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1">
    <w:name w:val="Block Text"/>
    <w:basedOn w:val="a1"/>
    <w:rsid w:val="00F45965"/>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2">
    <w:name w:val="endnote text"/>
    <w:basedOn w:val="a1"/>
    <w:link w:val="aff3"/>
    <w:rsid w:val="00F45965"/>
    <w:rPr>
      <w:sz w:val="20"/>
      <w:szCs w:val="20"/>
    </w:rPr>
  </w:style>
  <w:style w:type="character" w:customStyle="1" w:styleId="aff3">
    <w:name w:val="טקסט הערת סיום תו"/>
    <w:link w:val="aff2"/>
    <w:semiHidden/>
    <w:rsid w:val="00F45965"/>
    <w:rPr>
      <w:rFonts w:cs="David"/>
      <w:noProof w:val="0"/>
    </w:rPr>
  </w:style>
  <w:style w:type="paragraph" w:styleId="aff4">
    <w:name w:val="footnote text"/>
    <w:basedOn w:val="a1"/>
    <w:link w:val="aff5"/>
    <w:rsid w:val="00F45965"/>
    <w:rPr>
      <w:sz w:val="20"/>
      <w:szCs w:val="20"/>
    </w:rPr>
  </w:style>
  <w:style w:type="character" w:customStyle="1" w:styleId="aff5">
    <w:name w:val="טקסט הערת שוליים תו"/>
    <w:link w:val="aff4"/>
    <w:semiHidden/>
    <w:rsid w:val="00F45965"/>
    <w:rPr>
      <w:rFonts w:cs="David"/>
      <w:noProof w:val="0"/>
    </w:rPr>
  </w:style>
  <w:style w:type="paragraph" w:styleId="aff6">
    <w:name w:val="macro"/>
    <w:link w:val="aff7"/>
    <w:rsid w:val="00F45965"/>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7">
    <w:name w:val="טקסט מאקרו תו"/>
    <w:link w:val="aff6"/>
    <w:semiHidden/>
    <w:rsid w:val="00F45965"/>
    <w:rPr>
      <w:rFonts w:ascii="Consolas" w:hAnsi="Consolas" w:cs="David"/>
      <w:noProof w:val="0"/>
    </w:rPr>
  </w:style>
  <w:style w:type="paragraph" w:styleId="aff8">
    <w:name w:val="Plain Text"/>
    <w:basedOn w:val="a1"/>
    <w:link w:val="aff9"/>
    <w:rsid w:val="00F45965"/>
    <w:rPr>
      <w:rFonts w:ascii="Consolas" w:hAnsi="Consolas"/>
      <w:sz w:val="21"/>
      <w:szCs w:val="21"/>
    </w:rPr>
  </w:style>
  <w:style w:type="character" w:customStyle="1" w:styleId="aff9">
    <w:name w:val="טקסט רגיל תו"/>
    <w:link w:val="aff8"/>
    <w:semiHidden/>
    <w:rsid w:val="00F45965"/>
    <w:rPr>
      <w:rFonts w:ascii="Consolas" w:hAnsi="Consolas" w:cs="David"/>
      <w:noProof w:val="0"/>
      <w:sz w:val="21"/>
      <w:szCs w:val="21"/>
    </w:rPr>
  </w:style>
  <w:style w:type="character" w:customStyle="1" w:styleId="1f0">
    <w:name w:val="כותר הספר1"/>
    <w:uiPriority w:val="33"/>
    <w:qFormat/>
    <w:rsid w:val="00F45965"/>
    <w:rPr>
      <w:b/>
      <w:bCs/>
      <w:i/>
      <w:iCs/>
      <w:noProof w:val="0"/>
      <w:spacing w:val="5"/>
    </w:rPr>
  </w:style>
  <w:style w:type="character" w:customStyle="1" w:styleId="10">
    <w:name w:val="כותרת 1 תו"/>
    <w:link w:val="1"/>
    <w:rsid w:val="00F45965"/>
    <w:rPr>
      <w:rFonts w:ascii="Cambria" w:eastAsia="Times New Roman" w:hAnsi="Cambria" w:cs="Times New Roman"/>
      <w:noProof w:val="0"/>
      <w:color w:val="365F91"/>
      <w:sz w:val="32"/>
      <w:szCs w:val="32"/>
    </w:rPr>
  </w:style>
  <w:style w:type="character" w:customStyle="1" w:styleId="22">
    <w:name w:val="כותרת 2 תו"/>
    <w:link w:val="21"/>
    <w:semiHidden/>
    <w:rsid w:val="00F45965"/>
    <w:rPr>
      <w:rFonts w:ascii="Cambria" w:eastAsia="Times New Roman" w:hAnsi="Cambria" w:cs="Times New Roman"/>
      <w:noProof w:val="0"/>
      <w:color w:val="365F91"/>
      <w:sz w:val="26"/>
      <w:szCs w:val="26"/>
    </w:rPr>
  </w:style>
  <w:style w:type="character" w:customStyle="1" w:styleId="52">
    <w:name w:val="כותרת 5 תו"/>
    <w:link w:val="51"/>
    <w:semiHidden/>
    <w:rsid w:val="00F45965"/>
    <w:rPr>
      <w:rFonts w:ascii="Cambria" w:eastAsia="Times New Roman" w:hAnsi="Cambria" w:cs="Times New Roman"/>
      <w:noProof w:val="0"/>
      <w:color w:val="365F91"/>
      <w:sz w:val="24"/>
      <w:szCs w:val="24"/>
    </w:rPr>
  </w:style>
  <w:style w:type="character" w:customStyle="1" w:styleId="60">
    <w:name w:val="כותרת 6 תו"/>
    <w:link w:val="6"/>
    <w:semiHidden/>
    <w:rsid w:val="00F45965"/>
    <w:rPr>
      <w:rFonts w:ascii="Cambria" w:eastAsia="Times New Roman" w:hAnsi="Cambria" w:cs="Times New Roman"/>
      <w:noProof w:val="0"/>
      <w:color w:val="243F60"/>
      <w:sz w:val="24"/>
      <w:szCs w:val="24"/>
    </w:rPr>
  </w:style>
  <w:style w:type="character" w:customStyle="1" w:styleId="70">
    <w:name w:val="כותרת 7 תו"/>
    <w:link w:val="7"/>
    <w:semiHidden/>
    <w:rsid w:val="00F45965"/>
    <w:rPr>
      <w:rFonts w:ascii="Cambria" w:eastAsia="Times New Roman" w:hAnsi="Cambria" w:cs="Times New Roman"/>
      <w:i/>
      <w:iCs/>
      <w:noProof w:val="0"/>
      <w:color w:val="243F60"/>
      <w:sz w:val="24"/>
      <w:szCs w:val="24"/>
    </w:rPr>
  </w:style>
  <w:style w:type="character" w:customStyle="1" w:styleId="80">
    <w:name w:val="כותרת 8 תו"/>
    <w:link w:val="8"/>
    <w:semiHidden/>
    <w:rsid w:val="00F45965"/>
    <w:rPr>
      <w:rFonts w:ascii="Cambria" w:eastAsia="Times New Roman" w:hAnsi="Cambria" w:cs="Times New Roman"/>
      <w:noProof w:val="0"/>
      <w:color w:val="272727"/>
      <w:sz w:val="21"/>
      <w:szCs w:val="21"/>
    </w:rPr>
  </w:style>
  <w:style w:type="character" w:customStyle="1" w:styleId="90">
    <w:name w:val="כותרת 9 תו"/>
    <w:link w:val="9"/>
    <w:semiHidden/>
    <w:rsid w:val="00F45965"/>
    <w:rPr>
      <w:rFonts w:ascii="Cambria" w:eastAsia="Times New Roman" w:hAnsi="Cambria" w:cs="Times New Roman"/>
      <w:i/>
      <w:iCs/>
      <w:noProof w:val="0"/>
      <w:color w:val="272727"/>
      <w:sz w:val="21"/>
      <w:szCs w:val="21"/>
    </w:rPr>
  </w:style>
  <w:style w:type="paragraph" w:styleId="affa">
    <w:name w:val="index heading"/>
    <w:basedOn w:val="a1"/>
    <w:next w:val="Index1"/>
    <w:rsid w:val="00F45965"/>
    <w:rPr>
      <w:rFonts w:ascii="Cambria" w:hAnsi="Cambria" w:cs="Times New Roman"/>
      <w:b/>
      <w:bCs/>
    </w:rPr>
  </w:style>
  <w:style w:type="paragraph" w:styleId="affb">
    <w:name w:val="Note Heading"/>
    <w:basedOn w:val="a1"/>
    <w:next w:val="a1"/>
    <w:link w:val="affc"/>
    <w:rsid w:val="00F45965"/>
  </w:style>
  <w:style w:type="character" w:customStyle="1" w:styleId="affc">
    <w:name w:val="כותרת הערות תו"/>
    <w:link w:val="affb"/>
    <w:semiHidden/>
    <w:rsid w:val="00F45965"/>
    <w:rPr>
      <w:rFonts w:cs="David"/>
      <w:noProof w:val="0"/>
      <w:sz w:val="24"/>
      <w:szCs w:val="24"/>
    </w:rPr>
  </w:style>
  <w:style w:type="paragraph" w:styleId="affd">
    <w:name w:val="Title"/>
    <w:basedOn w:val="a1"/>
    <w:next w:val="a1"/>
    <w:link w:val="affe"/>
    <w:qFormat/>
    <w:rsid w:val="00F45965"/>
    <w:pPr>
      <w:contextualSpacing/>
    </w:pPr>
    <w:rPr>
      <w:rFonts w:ascii="Cambria" w:hAnsi="Cambria" w:cs="Times New Roman"/>
      <w:spacing w:val="-10"/>
      <w:kern w:val="28"/>
      <w:sz w:val="56"/>
      <w:szCs w:val="56"/>
    </w:rPr>
  </w:style>
  <w:style w:type="character" w:customStyle="1" w:styleId="affe">
    <w:name w:val="כותרת טקסט תו"/>
    <w:link w:val="affd"/>
    <w:rsid w:val="00F45965"/>
    <w:rPr>
      <w:rFonts w:ascii="Cambria" w:eastAsia="Times New Roman" w:hAnsi="Cambria" w:cs="Times New Roman"/>
      <w:noProof w:val="0"/>
      <w:spacing w:val="-10"/>
      <w:kern w:val="28"/>
      <w:sz w:val="56"/>
      <w:szCs w:val="56"/>
    </w:rPr>
  </w:style>
  <w:style w:type="paragraph" w:styleId="afff">
    <w:name w:val="Subtitle"/>
    <w:basedOn w:val="a1"/>
    <w:next w:val="a1"/>
    <w:link w:val="afff0"/>
    <w:qFormat/>
    <w:rsid w:val="00F45965"/>
    <w:pPr>
      <w:numPr>
        <w:ilvl w:val="1"/>
      </w:numPr>
      <w:spacing w:after="160"/>
    </w:pPr>
    <w:rPr>
      <w:rFonts w:ascii="Calibri" w:hAnsi="Calibri" w:cs="Arial"/>
      <w:color w:val="5A5A5A"/>
      <w:spacing w:val="15"/>
      <w:sz w:val="22"/>
      <w:szCs w:val="22"/>
    </w:rPr>
  </w:style>
  <w:style w:type="character" w:customStyle="1" w:styleId="afff0">
    <w:name w:val="כותרת משנה תו"/>
    <w:link w:val="afff"/>
    <w:rsid w:val="00F45965"/>
    <w:rPr>
      <w:rFonts w:ascii="Calibri" w:eastAsia="Times New Roman" w:hAnsi="Calibri" w:cs="Arial"/>
      <w:noProof w:val="0"/>
      <w:color w:val="5A5A5A"/>
      <w:spacing w:val="15"/>
      <w:sz w:val="22"/>
      <w:szCs w:val="22"/>
    </w:rPr>
  </w:style>
  <w:style w:type="paragraph" w:styleId="afff1">
    <w:name w:val="Message Header"/>
    <w:basedOn w:val="a1"/>
    <w:link w:val="afff2"/>
    <w:rsid w:val="00F4596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2">
    <w:name w:val="כותרת עליונה של הודעה תו"/>
    <w:link w:val="afff1"/>
    <w:semiHidden/>
    <w:rsid w:val="00F45965"/>
    <w:rPr>
      <w:rFonts w:ascii="Cambria" w:eastAsia="Times New Roman" w:hAnsi="Cambria" w:cs="Times New Roman"/>
      <w:noProof w:val="0"/>
      <w:sz w:val="24"/>
      <w:szCs w:val="24"/>
      <w:shd w:val="pct20" w:color="auto" w:fill="auto"/>
    </w:rPr>
  </w:style>
  <w:style w:type="paragraph" w:styleId="afff3">
    <w:name w:val="toa heading"/>
    <w:basedOn w:val="a1"/>
    <w:next w:val="a1"/>
    <w:rsid w:val="00F45965"/>
    <w:pPr>
      <w:spacing w:before="120"/>
    </w:pPr>
    <w:rPr>
      <w:rFonts w:ascii="Cambria" w:hAnsi="Cambria" w:cs="Times New Roman"/>
      <w:b/>
      <w:bCs/>
    </w:rPr>
  </w:style>
  <w:style w:type="paragraph" w:customStyle="1" w:styleId="1f1">
    <w:name w:val="כותרת תוכן עניינים1"/>
    <w:basedOn w:val="1"/>
    <w:next w:val="a1"/>
    <w:uiPriority w:val="39"/>
    <w:qFormat/>
    <w:rsid w:val="00F45965"/>
    <w:pPr>
      <w:outlineLvl w:val="9"/>
    </w:pPr>
  </w:style>
  <w:style w:type="paragraph" w:styleId="afff4">
    <w:name w:val="caption"/>
    <w:basedOn w:val="a1"/>
    <w:next w:val="a1"/>
    <w:qFormat/>
    <w:rsid w:val="00F45965"/>
    <w:pPr>
      <w:spacing w:after="200"/>
    </w:pPr>
    <w:rPr>
      <w:i/>
      <w:iCs/>
      <w:color w:val="1F497D"/>
      <w:sz w:val="18"/>
      <w:szCs w:val="18"/>
    </w:rPr>
  </w:style>
  <w:style w:type="paragraph" w:styleId="afff5">
    <w:name w:val="Body Text Indent"/>
    <w:basedOn w:val="a1"/>
    <w:link w:val="afff6"/>
    <w:rsid w:val="00F45965"/>
    <w:pPr>
      <w:spacing w:after="120"/>
      <w:ind w:left="283"/>
    </w:pPr>
  </w:style>
  <w:style w:type="character" w:customStyle="1" w:styleId="afff6">
    <w:name w:val="כניסה בגוף טקסט תו"/>
    <w:link w:val="afff5"/>
    <w:semiHidden/>
    <w:rsid w:val="00F45965"/>
    <w:rPr>
      <w:rFonts w:cs="David"/>
      <w:noProof w:val="0"/>
      <w:sz w:val="24"/>
      <w:szCs w:val="24"/>
    </w:rPr>
  </w:style>
  <w:style w:type="paragraph" w:styleId="2b">
    <w:name w:val="Body Text Indent 2"/>
    <w:basedOn w:val="a1"/>
    <w:link w:val="2c"/>
    <w:rsid w:val="00F45965"/>
    <w:pPr>
      <w:spacing w:after="120" w:line="480" w:lineRule="auto"/>
      <w:ind w:left="283"/>
    </w:pPr>
  </w:style>
  <w:style w:type="character" w:customStyle="1" w:styleId="2c">
    <w:name w:val="כניסה בגוף טקסט 2 תו"/>
    <w:link w:val="2b"/>
    <w:semiHidden/>
    <w:rsid w:val="00F45965"/>
    <w:rPr>
      <w:rFonts w:cs="David"/>
      <w:noProof w:val="0"/>
      <w:sz w:val="24"/>
      <w:szCs w:val="24"/>
    </w:rPr>
  </w:style>
  <w:style w:type="paragraph" w:styleId="3a">
    <w:name w:val="Body Text Indent 3"/>
    <w:basedOn w:val="a1"/>
    <w:link w:val="3b"/>
    <w:rsid w:val="00F45965"/>
    <w:pPr>
      <w:spacing w:after="120"/>
      <w:ind w:left="283"/>
    </w:pPr>
    <w:rPr>
      <w:sz w:val="16"/>
      <w:szCs w:val="16"/>
    </w:rPr>
  </w:style>
  <w:style w:type="character" w:customStyle="1" w:styleId="3b">
    <w:name w:val="כניסה בגוף טקסט 3 תו"/>
    <w:link w:val="3a"/>
    <w:semiHidden/>
    <w:rsid w:val="00F45965"/>
    <w:rPr>
      <w:rFonts w:cs="David"/>
      <w:noProof w:val="0"/>
      <w:sz w:val="16"/>
      <w:szCs w:val="16"/>
    </w:rPr>
  </w:style>
  <w:style w:type="paragraph" w:styleId="afff7">
    <w:name w:val="Normal Indent"/>
    <w:basedOn w:val="a1"/>
    <w:rsid w:val="00F45965"/>
    <w:pPr>
      <w:ind w:left="720"/>
    </w:pPr>
  </w:style>
  <w:style w:type="paragraph" w:styleId="afff8">
    <w:name w:val="Body Text First Indent"/>
    <w:basedOn w:val="af3"/>
    <w:link w:val="afff9"/>
    <w:rsid w:val="00F45965"/>
    <w:pPr>
      <w:spacing w:after="0"/>
      <w:ind w:firstLine="360"/>
    </w:pPr>
  </w:style>
  <w:style w:type="character" w:customStyle="1" w:styleId="afff9">
    <w:name w:val="כניסת שורה ראשונה בגוף טקסט תו"/>
    <w:link w:val="afff8"/>
    <w:rsid w:val="00F45965"/>
    <w:rPr>
      <w:rFonts w:cs="David"/>
      <w:noProof w:val="0"/>
      <w:sz w:val="24"/>
      <w:szCs w:val="24"/>
    </w:rPr>
  </w:style>
  <w:style w:type="paragraph" w:styleId="2d">
    <w:name w:val="Body Text First Indent 2"/>
    <w:basedOn w:val="afff5"/>
    <w:link w:val="2e"/>
    <w:rsid w:val="00F45965"/>
    <w:pPr>
      <w:spacing w:after="0"/>
      <w:ind w:left="360" w:firstLine="360"/>
    </w:pPr>
  </w:style>
  <w:style w:type="character" w:customStyle="1" w:styleId="2e">
    <w:name w:val="כניסת שורה ראשונה בגוף טקסט 2 תו"/>
    <w:link w:val="2d"/>
    <w:semiHidden/>
    <w:rsid w:val="00F45965"/>
    <w:rPr>
      <w:rFonts w:cs="David"/>
      <w:noProof w:val="0"/>
      <w:sz w:val="24"/>
      <w:szCs w:val="24"/>
    </w:rPr>
  </w:style>
  <w:style w:type="paragraph" w:styleId="HTML2">
    <w:name w:val="HTML Address"/>
    <w:basedOn w:val="a1"/>
    <w:link w:val="HTML3"/>
    <w:rsid w:val="00F45965"/>
    <w:rPr>
      <w:i/>
      <w:iCs/>
    </w:rPr>
  </w:style>
  <w:style w:type="character" w:customStyle="1" w:styleId="HTML3">
    <w:name w:val="כתובת HTML תו"/>
    <w:link w:val="HTML2"/>
    <w:semiHidden/>
    <w:rsid w:val="00F45965"/>
    <w:rPr>
      <w:rFonts w:cs="David"/>
      <w:i/>
      <w:iCs/>
      <w:noProof w:val="0"/>
      <w:sz w:val="24"/>
      <w:szCs w:val="24"/>
    </w:rPr>
  </w:style>
  <w:style w:type="paragraph" w:styleId="afffa">
    <w:name w:val="envelope address"/>
    <w:basedOn w:val="a1"/>
    <w:rsid w:val="00F45965"/>
    <w:pPr>
      <w:framePr w:w="7920" w:h="1980" w:hRule="exact" w:hSpace="180" w:wrap="auto" w:hAnchor="page" w:xAlign="center" w:yAlign="bottom"/>
      <w:ind w:left="2880"/>
    </w:pPr>
    <w:rPr>
      <w:rFonts w:ascii="Cambria" w:hAnsi="Cambria" w:cs="Times New Roman"/>
    </w:rPr>
  </w:style>
  <w:style w:type="paragraph" w:styleId="afffb">
    <w:name w:val="envelope return"/>
    <w:basedOn w:val="a1"/>
    <w:rsid w:val="00F45965"/>
    <w:rPr>
      <w:rFonts w:ascii="Cambria" w:hAnsi="Cambria" w:cs="Times New Roman"/>
      <w:sz w:val="20"/>
      <w:szCs w:val="20"/>
    </w:rPr>
  </w:style>
  <w:style w:type="paragraph" w:customStyle="1" w:styleId="1f2">
    <w:name w:val="ללא מרווח1"/>
    <w:uiPriority w:val="1"/>
    <w:qFormat/>
    <w:rsid w:val="00F45965"/>
    <w:pPr>
      <w:bidi/>
    </w:pPr>
    <w:rPr>
      <w:rFonts w:cs="David"/>
      <w:sz w:val="24"/>
      <w:szCs w:val="24"/>
      <w:lang w:bidi="he-IL"/>
    </w:rPr>
  </w:style>
  <w:style w:type="character" w:styleId="HTML4">
    <w:name w:val="HTML Typewriter"/>
    <w:rsid w:val="00F45965"/>
    <w:rPr>
      <w:rFonts w:ascii="Consolas" w:hAnsi="Consolas"/>
      <w:noProof w:val="0"/>
      <w:sz w:val="20"/>
      <w:szCs w:val="20"/>
    </w:rPr>
  </w:style>
  <w:style w:type="paragraph" w:styleId="afffc">
    <w:name w:val="Document Map"/>
    <w:basedOn w:val="a1"/>
    <w:link w:val="afffd"/>
    <w:rsid w:val="00F45965"/>
    <w:rPr>
      <w:rFonts w:ascii="Tahoma" w:hAnsi="Tahoma" w:cs="Tahoma"/>
      <w:sz w:val="16"/>
      <w:szCs w:val="16"/>
    </w:rPr>
  </w:style>
  <w:style w:type="character" w:customStyle="1" w:styleId="afffd">
    <w:name w:val="מפת מסמך תו"/>
    <w:link w:val="afffc"/>
    <w:semiHidden/>
    <w:rsid w:val="00F45965"/>
    <w:rPr>
      <w:rFonts w:ascii="Tahoma" w:hAnsi="Tahoma" w:cs="Tahoma"/>
      <w:noProof w:val="0"/>
      <w:sz w:val="16"/>
      <w:szCs w:val="16"/>
    </w:rPr>
  </w:style>
  <w:style w:type="character" w:styleId="HTML5">
    <w:name w:val="HTML Keyboard"/>
    <w:rsid w:val="00F45965"/>
    <w:rPr>
      <w:rFonts w:ascii="Consolas" w:hAnsi="Consolas"/>
      <w:noProof w:val="0"/>
      <w:sz w:val="20"/>
      <w:szCs w:val="20"/>
    </w:rPr>
  </w:style>
  <w:style w:type="paragraph" w:styleId="afffe">
    <w:name w:val="annotation subject"/>
    <w:basedOn w:val="aa"/>
    <w:next w:val="aa"/>
    <w:link w:val="affff"/>
    <w:rsid w:val="00F45965"/>
    <w:rPr>
      <w:rFonts w:cs="David"/>
      <w:b/>
      <w:bCs/>
      <w:sz w:val="20"/>
      <w:szCs w:val="20"/>
    </w:rPr>
  </w:style>
  <w:style w:type="character" w:customStyle="1" w:styleId="ab">
    <w:name w:val="טקסט הערה תו"/>
    <w:link w:val="aa"/>
    <w:semiHidden/>
    <w:rsid w:val="00F45965"/>
    <w:rPr>
      <w:noProof w:val="0"/>
      <w:sz w:val="24"/>
      <w:szCs w:val="24"/>
    </w:rPr>
  </w:style>
  <w:style w:type="character" w:customStyle="1" w:styleId="affff">
    <w:name w:val="נושא הערה תו"/>
    <w:link w:val="afffe"/>
    <w:semiHidden/>
    <w:rsid w:val="00F45965"/>
    <w:rPr>
      <w:rFonts w:cs="David"/>
      <w:b/>
      <w:bCs/>
      <w:noProof w:val="0"/>
      <w:sz w:val="24"/>
      <w:szCs w:val="24"/>
    </w:rPr>
  </w:style>
  <w:style w:type="table" w:styleId="affff0">
    <w:name w:val="Table Theme"/>
    <w:basedOn w:val="a3"/>
    <w:rsid w:val="00F459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Closing"/>
    <w:basedOn w:val="a1"/>
    <w:link w:val="affff2"/>
    <w:rsid w:val="00F45965"/>
    <w:pPr>
      <w:ind w:left="4252"/>
    </w:pPr>
  </w:style>
  <w:style w:type="character" w:customStyle="1" w:styleId="affff2">
    <w:name w:val="סיום תו"/>
    <w:link w:val="affff1"/>
    <w:semiHidden/>
    <w:rsid w:val="00F45965"/>
    <w:rPr>
      <w:rFonts w:cs="David"/>
      <w:noProof w:val="0"/>
      <w:sz w:val="24"/>
      <w:szCs w:val="24"/>
    </w:rPr>
  </w:style>
  <w:style w:type="table" w:styleId="1f3">
    <w:name w:val="Table Columns 1"/>
    <w:basedOn w:val="a3"/>
    <w:rsid w:val="00F45965"/>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F45965"/>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F45965"/>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F45965"/>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F45965"/>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4">
    <w:name w:val="ציטוט1"/>
    <w:basedOn w:val="a1"/>
    <w:next w:val="a1"/>
    <w:link w:val="QuoteChar"/>
    <w:uiPriority w:val="29"/>
    <w:qFormat/>
    <w:rsid w:val="00F45965"/>
    <w:pPr>
      <w:spacing w:before="200" w:after="160"/>
      <w:ind w:left="864" w:right="864"/>
      <w:jc w:val="center"/>
    </w:pPr>
    <w:rPr>
      <w:i/>
      <w:iCs/>
      <w:color w:val="404040"/>
    </w:rPr>
  </w:style>
  <w:style w:type="character" w:customStyle="1" w:styleId="QuoteChar">
    <w:name w:val="Quote Char"/>
    <w:link w:val="1f4"/>
    <w:uiPriority w:val="29"/>
    <w:rsid w:val="00F45965"/>
    <w:rPr>
      <w:rFonts w:cs="David"/>
      <w:i/>
      <w:iCs/>
      <w:noProof w:val="0"/>
      <w:color w:val="404040"/>
      <w:sz w:val="24"/>
      <w:szCs w:val="24"/>
    </w:rPr>
  </w:style>
  <w:style w:type="paragraph" w:customStyle="1" w:styleId="1f5">
    <w:name w:val="ציטוט חזק1"/>
    <w:basedOn w:val="a1"/>
    <w:next w:val="a1"/>
    <w:link w:val="IntenseQuoteChar"/>
    <w:uiPriority w:val="30"/>
    <w:qFormat/>
    <w:rsid w:val="00F45965"/>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F45965"/>
    <w:rPr>
      <w:rFonts w:cs="David"/>
      <w:i/>
      <w:iCs/>
      <w:noProof w:val="0"/>
      <w:color w:val="4F81BD"/>
      <w:sz w:val="24"/>
      <w:szCs w:val="24"/>
    </w:rPr>
  </w:style>
  <w:style w:type="character" w:styleId="HTML6">
    <w:name w:val="HTML Acronym"/>
    <w:rsid w:val="00F45965"/>
    <w:rPr>
      <w:noProof w:val="0"/>
    </w:rPr>
  </w:style>
  <w:style w:type="paragraph" w:styleId="affff3">
    <w:name w:val="List"/>
    <w:basedOn w:val="a1"/>
    <w:rsid w:val="00F45965"/>
    <w:pPr>
      <w:ind w:left="283" w:hanging="283"/>
      <w:contextualSpacing/>
    </w:pPr>
  </w:style>
  <w:style w:type="paragraph" w:styleId="2f0">
    <w:name w:val="List 2"/>
    <w:basedOn w:val="a1"/>
    <w:rsid w:val="00F45965"/>
    <w:pPr>
      <w:ind w:left="566" w:hanging="283"/>
      <w:contextualSpacing/>
    </w:pPr>
  </w:style>
  <w:style w:type="paragraph" w:styleId="3d">
    <w:name w:val="List 3"/>
    <w:basedOn w:val="a1"/>
    <w:rsid w:val="00F45965"/>
    <w:pPr>
      <w:ind w:left="849" w:hanging="283"/>
      <w:contextualSpacing/>
    </w:pPr>
  </w:style>
  <w:style w:type="paragraph" w:styleId="45">
    <w:name w:val="List 4"/>
    <w:basedOn w:val="a1"/>
    <w:rsid w:val="00F45965"/>
    <w:pPr>
      <w:ind w:left="1132" w:hanging="283"/>
      <w:contextualSpacing/>
    </w:pPr>
  </w:style>
  <w:style w:type="paragraph" w:styleId="55">
    <w:name w:val="List 5"/>
    <w:basedOn w:val="a1"/>
    <w:rsid w:val="00F45965"/>
    <w:pPr>
      <w:ind w:left="1415" w:hanging="283"/>
      <w:contextualSpacing/>
    </w:pPr>
  </w:style>
  <w:style w:type="table" w:customStyle="1" w:styleId="1f6">
    <w:name w:val="רשימה בהירה1"/>
    <w:basedOn w:val="a3"/>
    <w:uiPriority w:val="61"/>
    <w:semiHidden/>
    <w:unhideWhenUsed/>
    <w:rsid w:val="00F4596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F4596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F4596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F4596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F4596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F4596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F4596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F45965"/>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F45965"/>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F45965"/>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F45965"/>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F45965"/>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F45965"/>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F45965"/>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F45965"/>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F45965"/>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F45965"/>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F45965"/>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F45965"/>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F45965"/>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F45965"/>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F45965"/>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F4596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F4596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F4596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F4596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F4596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F4596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F4596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F4596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F4596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F4596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F4596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F4596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F4596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F4596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F45965"/>
    <w:pPr>
      <w:numPr>
        <w:numId w:val="2"/>
      </w:numPr>
      <w:contextualSpacing/>
    </w:pPr>
  </w:style>
  <w:style w:type="paragraph" w:styleId="2">
    <w:name w:val="List Number 2"/>
    <w:basedOn w:val="a1"/>
    <w:rsid w:val="00F45965"/>
    <w:pPr>
      <w:numPr>
        <w:numId w:val="3"/>
      </w:numPr>
      <w:contextualSpacing/>
    </w:pPr>
  </w:style>
  <w:style w:type="paragraph" w:styleId="3">
    <w:name w:val="List Number 3"/>
    <w:basedOn w:val="a1"/>
    <w:rsid w:val="00F45965"/>
    <w:pPr>
      <w:numPr>
        <w:numId w:val="4"/>
      </w:numPr>
      <w:contextualSpacing/>
    </w:pPr>
  </w:style>
  <w:style w:type="paragraph" w:styleId="4">
    <w:name w:val="List Number 4"/>
    <w:basedOn w:val="a1"/>
    <w:rsid w:val="00F45965"/>
    <w:pPr>
      <w:numPr>
        <w:numId w:val="5"/>
      </w:numPr>
      <w:contextualSpacing/>
    </w:pPr>
  </w:style>
  <w:style w:type="paragraph" w:styleId="5">
    <w:name w:val="List Number 5"/>
    <w:basedOn w:val="a1"/>
    <w:rsid w:val="00F45965"/>
    <w:pPr>
      <w:numPr>
        <w:numId w:val="6"/>
      </w:numPr>
      <w:contextualSpacing/>
    </w:pPr>
  </w:style>
  <w:style w:type="paragraph" w:styleId="a0">
    <w:name w:val="List Bullet"/>
    <w:basedOn w:val="a1"/>
    <w:rsid w:val="00F45965"/>
    <w:pPr>
      <w:numPr>
        <w:numId w:val="7"/>
      </w:numPr>
      <w:contextualSpacing/>
    </w:pPr>
  </w:style>
  <w:style w:type="paragraph" w:styleId="20">
    <w:name w:val="List Bullet 2"/>
    <w:basedOn w:val="a1"/>
    <w:rsid w:val="00F45965"/>
    <w:pPr>
      <w:numPr>
        <w:numId w:val="8"/>
      </w:numPr>
      <w:contextualSpacing/>
    </w:pPr>
  </w:style>
  <w:style w:type="paragraph" w:styleId="30">
    <w:name w:val="List Bullet 3"/>
    <w:basedOn w:val="a1"/>
    <w:rsid w:val="00F45965"/>
    <w:pPr>
      <w:numPr>
        <w:numId w:val="9"/>
      </w:numPr>
      <w:contextualSpacing/>
    </w:pPr>
  </w:style>
  <w:style w:type="paragraph" w:styleId="40">
    <w:name w:val="List Bullet 4"/>
    <w:basedOn w:val="a1"/>
    <w:rsid w:val="00F45965"/>
    <w:pPr>
      <w:numPr>
        <w:numId w:val="10"/>
      </w:numPr>
      <w:contextualSpacing/>
    </w:pPr>
  </w:style>
  <w:style w:type="paragraph" w:styleId="50">
    <w:name w:val="List Bullet 5"/>
    <w:basedOn w:val="a1"/>
    <w:rsid w:val="00F45965"/>
    <w:pPr>
      <w:numPr>
        <w:numId w:val="11"/>
      </w:numPr>
      <w:contextualSpacing/>
    </w:pPr>
  </w:style>
  <w:style w:type="table" w:customStyle="1" w:styleId="1f9">
    <w:name w:val="רשימה צבעונית1"/>
    <w:basedOn w:val="a3"/>
    <w:uiPriority w:val="72"/>
    <w:semiHidden/>
    <w:unhideWhenUsed/>
    <w:rsid w:val="00F4596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F4596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F4596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F4596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F4596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F4596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F4596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4">
    <w:name w:val="table of figures"/>
    <w:basedOn w:val="a1"/>
    <w:next w:val="a1"/>
    <w:rsid w:val="00F45965"/>
  </w:style>
  <w:style w:type="paragraph" w:styleId="affff5">
    <w:name w:val="table of authorities"/>
    <w:basedOn w:val="a1"/>
    <w:next w:val="a1"/>
    <w:rsid w:val="00F45965"/>
    <w:pPr>
      <w:ind w:left="240" w:hanging="240"/>
    </w:pPr>
  </w:style>
  <w:style w:type="table" w:customStyle="1" w:styleId="1fa">
    <w:name w:val="רשת בהירה1"/>
    <w:basedOn w:val="a3"/>
    <w:uiPriority w:val="62"/>
    <w:semiHidden/>
    <w:unhideWhenUsed/>
    <w:rsid w:val="00F4596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F4596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F4596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F4596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F4596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F4596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F4596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F4596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F4596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F4596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F4596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F4596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F4596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F4596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F4596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F4596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F4596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F4596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F4596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F4596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F4596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F459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F459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F459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F459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F459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F459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F459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F45965"/>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F45965"/>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F45965"/>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F45965"/>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F45965"/>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F45965"/>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F45965"/>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F45965"/>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F4596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F4596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F4596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F4596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F4596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F4596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F4596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F4596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6">
    <w:name w:val="Date"/>
    <w:basedOn w:val="a1"/>
    <w:next w:val="a1"/>
    <w:link w:val="affff7"/>
    <w:rsid w:val="00F45965"/>
  </w:style>
  <w:style w:type="character" w:customStyle="1" w:styleId="affff7">
    <w:name w:val="תאריך תו"/>
    <w:link w:val="affff6"/>
    <w:rsid w:val="00F45965"/>
    <w:rPr>
      <w:rFonts w:cs="David"/>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case/29039984" TargetMode="External"/><Relationship Id="rId18" Type="http://schemas.openxmlformats.org/officeDocument/2006/relationships/hyperlink" Target="http://www.nevo.co.il/case/33183612" TargetMode="External"/><Relationship Id="rId26" Type="http://schemas.openxmlformats.org/officeDocument/2006/relationships/hyperlink" Target="http://www.nevo.co.il/law/157751" TargetMode="External"/><Relationship Id="rId39" Type="http://schemas.openxmlformats.org/officeDocument/2006/relationships/hyperlink" Target="http://www.nevo.co.il/case/5707242" TargetMode="External"/><Relationship Id="rId21" Type="http://schemas.openxmlformats.org/officeDocument/2006/relationships/hyperlink" Target="http://www.nevo.co.il/law/72897/159.b" TargetMode="External"/><Relationship Id="rId34" Type="http://schemas.openxmlformats.org/officeDocument/2006/relationships/hyperlink" Target="http://www.nevo.co.il/law/72912/81" TargetMode="External"/><Relationship Id="rId42" Type="http://schemas.openxmlformats.org/officeDocument/2006/relationships/hyperlink" Target="http://www.nevo.co.il/law/71809" TargetMode="External"/><Relationship Id="rId47" Type="http://schemas.openxmlformats.org/officeDocument/2006/relationships/hyperlink" Target="http://www.nevo.co.il/law/71809" TargetMode="External"/><Relationship Id="rId50" Type="http://schemas.openxmlformats.org/officeDocument/2006/relationships/hyperlink" Target="http://www.nevo.co.il/case/8463146" TargetMode="External"/><Relationship Id="rId55" Type="http://schemas.openxmlformats.org/officeDocument/2006/relationships/fontTable" Target="fontTable.xml"/><Relationship Id="rId7" Type="http://schemas.openxmlformats.org/officeDocument/2006/relationships/hyperlink" Target="http://www.nevo.co.il/case/29697496" TargetMode="External"/><Relationship Id="rId12" Type="http://schemas.openxmlformats.org/officeDocument/2006/relationships/hyperlink" Target="http://www.nevo.co.il/case/27924463" TargetMode="External"/><Relationship Id="rId17" Type="http://schemas.openxmlformats.org/officeDocument/2006/relationships/hyperlink" Target="http://www.nevo.co.il/case/32778426" TargetMode="External"/><Relationship Id="rId25" Type="http://schemas.openxmlformats.org/officeDocument/2006/relationships/hyperlink" Target="http://www.nevo.co.il/law/157751/138.a.5" TargetMode="External"/><Relationship Id="rId33" Type="http://schemas.openxmlformats.org/officeDocument/2006/relationships/hyperlink" Target="http://www.nevo.co.il/law/72912/93" TargetMode="External"/><Relationship Id="rId38" Type="http://schemas.openxmlformats.org/officeDocument/2006/relationships/hyperlink" Target="http://www.nevo.co.il/law/71809" TargetMode="External"/><Relationship Id="rId46" Type="http://schemas.openxmlformats.org/officeDocument/2006/relationships/hyperlink" Target="http://www.nevo.co.il/law/71809/8" TargetMode="External"/><Relationship Id="rId2" Type="http://schemas.openxmlformats.org/officeDocument/2006/relationships/styles" Target="styles.xml"/><Relationship Id="rId16" Type="http://schemas.openxmlformats.org/officeDocument/2006/relationships/hyperlink" Target="http://www.nevo.co.il/case/5895369" TargetMode="External"/><Relationship Id="rId20" Type="http://schemas.openxmlformats.org/officeDocument/2006/relationships/hyperlink" Target="http://www.nevo.co.il/law/72912" TargetMode="External"/><Relationship Id="rId29" Type="http://schemas.openxmlformats.org/officeDocument/2006/relationships/hyperlink" Target="http://www.nevo.co.il/law/72912/93" TargetMode="External"/><Relationship Id="rId41" Type="http://schemas.openxmlformats.org/officeDocument/2006/relationships/hyperlink" Target="http://www.nevo.co.il/law/71809/5.2"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20004187" TargetMode="External"/><Relationship Id="rId24" Type="http://schemas.openxmlformats.org/officeDocument/2006/relationships/hyperlink" Target="http://www.nevo.co.il/law/72912/93" TargetMode="External"/><Relationship Id="rId32" Type="http://schemas.openxmlformats.org/officeDocument/2006/relationships/hyperlink" Target="http://www.nevo.co.il/law/72912/93" TargetMode="External"/><Relationship Id="rId37" Type="http://schemas.openxmlformats.org/officeDocument/2006/relationships/hyperlink" Target="http://www.nevo.co.il/law/72897" TargetMode="External"/><Relationship Id="rId40" Type="http://schemas.openxmlformats.org/officeDocument/2006/relationships/hyperlink" Target="http://www.nevo.co.il/law/72912/93" TargetMode="External"/><Relationship Id="rId45" Type="http://schemas.openxmlformats.org/officeDocument/2006/relationships/hyperlink" Target="http://www.nevo.co.il/case/17937561"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evo.co.il/case/32802490" TargetMode="External"/><Relationship Id="rId23" Type="http://schemas.openxmlformats.org/officeDocument/2006/relationships/hyperlink" Target="http://www.nevo.co.il/case/29039984" TargetMode="External"/><Relationship Id="rId28" Type="http://schemas.openxmlformats.org/officeDocument/2006/relationships/hyperlink" Target="http://www.nevo.co.il/law/72912/97;94;95;96;93" TargetMode="External"/><Relationship Id="rId36" Type="http://schemas.openxmlformats.org/officeDocument/2006/relationships/hyperlink" Target="http://www.nevo.co.il/law/72897/159.b" TargetMode="External"/><Relationship Id="rId49" Type="http://schemas.openxmlformats.org/officeDocument/2006/relationships/hyperlink" Target="http://www.nevo.co.il/case/7023469" TargetMode="External"/><Relationship Id="rId10" Type="http://schemas.openxmlformats.org/officeDocument/2006/relationships/hyperlink" Target="http://www.nevo.co.il/case/18016746" TargetMode="External"/><Relationship Id="rId19" Type="http://schemas.openxmlformats.org/officeDocument/2006/relationships/hyperlink" Target="http://www.nevo.co.il/law/72912/93" TargetMode="External"/><Relationship Id="rId31" Type="http://schemas.openxmlformats.org/officeDocument/2006/relationships/hyperlink" Target="http://www.nevo.co.il/case/5603527" TargetMode="External"/><Relationship Id="rId44" Type="http://schemas.openxmlformats.org/officeDocument/2006/relationships/hyperlink" Target="http://www.nevo.co.il/case/17926293"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vo.co.il/case/5895369" TargetMode="External"/><Relationship Id="rId14" Type="http://schemas.openxmlformats.org/officeDocument/2006/relationships/hyperlink" Target="http://www.nevo.co.il/case/29770857" TargetMode="External"/><Relationship Id="rId22" Type="http://schemas.openxmlformats.org/officeDocument/2006/relationships/hyperlink" Target="http://www.nevo.co.il/law/72897" TargetMode="External"/><Relationship Id="rId27" Type="http://schemas.openxmlformats.org/officeDocument/2006/relationships/hyperlink" Target="http://www.nevo.co.il/law/72912/81" TargetMode="External"/><Relationship Id="rId30" Type="http://schemas.openxmlformats.org/officeDocument/2006/relationships/hyperlink" Target="http://www.nevo.co.il/law/72912/81" TargetMode="External"/><Relationship Id="rId35" Type="http://schemas.openxmlformats.org/officeDocument/2006/relationships/hyperlink" Target="http://www.nevo.co.il/case/17942730" TargetMode="External"/><Relationship Id="rId43" Type="http://schemas.openxmlformats.org/officeDocument/2006/relationships/hyperlink" Target="http://www.nevo.co.il/case/5571963" TargetMode="External"/><Relationship Id="rId48" Type="http://schemas.openxmlformats.org/officeDocument/2006/relationships/hyperlink" Target="http://www.nevo.co.il/case/6142648" TargetMode="External"/><Relationship Id="rId56" Type="http://schemas.openxmlformats.org/officeDocument/2006/relationships/theme" Target="theme/theme1.xml"/><Relationship Id="rId8" Type="http://schemas.openxmlformats.org/officeDocument/2006/relationships/hyperlink" Target="http://www.nevo.co.il/case/29697496" TargetMode="External"/><Relationship Id="rId51"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3105</Words>
  <Characters>15525</Characters>
  <Application>Microsoft Office Word</Application>
  <DocSecurity>0</DocSecurity>
  <Lines>129</Lines>
  <Paragraphs>37</Paragraphs>
  <ScaleCrop>false</ScaleCrop>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2025-01-30T08:33:00Z</dcterms:created>
  <dcterms:modified xsi:type="dcterms:W3CDTF">2025-01-30T08:33:00Z</dcterms:modified>
</cp:coreProperties>
</file>