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0" w:type="auto"/>
        <w:jc w:val="center"/>
        <w:tblLook w:val="0000" w:firstRow="0" w:lastRow="0" w:firstColumn="0" w:lastColumn="0" w:noHBand="0" w:noVBand="0"/>
      </w:tblPr>
      <w:tblGrid>
        <w:gridCol w:w="8307"/>
      </w:tblGrid>
      <w:tr w:rsidR="00320E8F" w14:paraId="5587558B" w14:textId="77777777" w:rsidTr="00616AE2">
        <w:trPr>
          <w:trHeight w:hRule="exact" w:val="624"/>
          <w:jc w:val="center"/>
        </w:trPr>
        <w:tc>
          <w:tcPr>
            <w:tcW w:w="8307" w:type="dxa"/>
          </w:tcPr>
          <w:p w14:paraId="15255DAC" w14:textId="77777777" w:rsidR="00270C62" w:rsidRPr="007A6BE9" w:rsidRDefault="00000000" w:rsidP="00894E25">
            <w:pPr>
              <w:pStyle w:val="a5"/>
              <w:jc w:val="center"/>
              <w:rPr>
                <w:rFonts w:ascii="Tahoma" w:hAnsi="Tahoma"/>
                <w:b/>
                <w:bCs/>
                <w:sz w:val="28"/>
                <w:szCs w:val="28"/>
                <w:rtl/>
              </w:rPr>
            </w:pPr>
            <w:r w:rsidRPr="007A6BE9">
              <w:rPr>
                <w:rFonts w:ascii="Tahoma" w:hAnsi="Tahoma" w:hint="cs"/>
                <w:b/>
                <w:bCs/>
                <w:sz w:val="28"/>
                <w:szCs w:val="28"/>
                <w:rtl/>
              </w:rPr>
              <w:t>בבית המשפט העליון בשבתו כבית משפט לערעורים אזרחיים</w:t>
            </w:r>
          </w:p>
        </w:tc>
      </w:tr>
    </w:tbl>
    <w:p w14:paraId="43E988F7" w14:textId="77777777" w:rsidR="00C9217F" w:rsidRPr="007A6BE9" w:rsidRDefault="00270C62" w:rsidP="00284859">
      <w:pPr>
        <w:pStyle w:val="a5"/>
        <w:jc w:val="right"/>
        <w:rPr>
          <w:rFonts w:ascii="David" w:hAnsi="David"/>
          <w:b/>
          <w:bCs/>
          <w:sz w:val="28"/>
          <w:szCs w:val="28"/>
          <w:rtl/>
        </w:rPr>
      </w:pPr>
      <w:r w:rsidRPr="007A6BE9">
        <w:rPr>
          <w:rtl/>
        </w:rPr>
        <w:t xml:space="preserve"> </w:t>
      </w:r>
      <w:r w:rsidRPr="007A6BE9">
        <w:rPr>
          <w:rFonts w:ascii="David" w:hAnsi="David"/>
          <w:b/>
          <w:bCs/>
          <w:sz w:val="28"/>
          <w:szCs w:val="28"/>
          <w:rtl/>
        </w:rPr>
        <w:t>ע"א</w:t>
      </w:r>
      <w:r w:rsidR="00000000" w:rsidRPr="007A6BE9">
        <w:rPr>
          <w:rFonts w:ascii="David" w:hAnsi="David"/>
          <w:b/>
          <w:bCs/>
          <w:sz w:val="28"/>
          <w:szCs w:val="28"/>
          <w:rtl/>
        </w:rPr>
        <w:t xml:space="preserve"> </w:t>
      </w:r>
      <w:r w:rsidRPr="007A6BE9">
        <w:rPr>
          <w:rFonts w:ascii="David" w:hAnsi="David"/>
          <w:b/>
          <w:bCs/>
          <w:sz w:val="28"/>
          <w:szCs w:val="28"/>
        </w:rPr>
        <w:t>8093/23</w:t>
      </w:r>
      <w:r w:rsidR="00284859" w:rsidRPr="007A6BE9">
        <w:rPr>
          <w:rFonts w:ascii="David" w:hAnsi="David"/>
          <w:b/>
          <w:bCs/>
          <w:sz w:val="28"/>
          <w:szCs w:val="28"/>
          <w:rtl/>
        </w:rPr>
        <w:br/>
      </w:r>
      <w:r w:rsidRPr="007A6BE9">
        <w:rPr>
          <w:rFonts w:ascii="David" w:hAnsi="David"/>
          <w:b/>
          <w:bCs/>
          <w:sz w:val="28"/>
          <w:szCs w:val="28"/>
          <w:rtl/>
        </w:rPr>
        <w:t>ע"א</w:t>
      </w:r>
      <w:r w:rsidR="00000000" w:rsidRPr="007A6BE9">
        <w:rPr>
          <w:rFonts w:ascii="David" w:hAnsi="David"/>
          <w:b/>
          <w:bCs/>
          <w:sz w:val="28"/>
          <w:szCs w:val="28"/>
          <w:rtl/>
        </w:rPr>
        <w:t xml:space="preserve"> </w:t>
      </w:r>
      <w:r w:rsidR="00284859" w:rsidRPr="007A6BE9">
        <w:rPr>
          <w:rFonts w:ascii="David" w:hAnsi="David"/>
          <w:b/>
          <w:bCs/>
          <w:sz w:val="28"/>
          <w:szCs w:val="28"/>
        </w:rPr>
        <w:t>8093</w:t>
      </w:r>
      <w:r w:rsidRPr="007A6BE9">
        <w:rPr>
          <w:rFonts w:ascii="David" w:hAnsi="David"/>
          <w:b/>
          <w:bCs/>
          <w:sz w:val="28"/>
          <w:szCs w:val="28"/>
        </w:rPr>
        <w:t>/23</w:t>
      </w:r>
      <w:r w:rsidR="00284859" w:rsidRPr="007A6BE9">
        <w:rPr>
          <w:rFonts w:ascii="David" w:hAnsi="David" w:hint="cs"/>
          <w:b/>
          <w:bCs/>
          <w:sz w:val="28"/>
          <w:szCs w:val="28"/>
          <w:rtl/>
        </w:rPr>
        <w:t xml:space="preserve"> לפי תק' 137(ב)</w:t>
      </w:r>
    </w:p>
    <w:p w14:paraId="713852E7" w14:textId="77777777" w:rsidR="0094424E" w:rsidRPr="007A6BE9" w:rsidRDefault="00000000" w:rsidP="00D44968">
      <w:pPr>
        <w:suppressLineNumbers/>
        <w:rPr>
          <w:rtl/>
        </w:rPr>
      </w:pPr>
      <w:r w:rsidRPr="007A6BE9">
        <w:rPr>
          <w:rtl/>
        </w:rPr>
        <w:t xml:space="preserve"> </w:t>
      </w:r>
    </w:p>
    <w:tbl>
      <w:tblPr>
        <w:bidiVisual/>
        <w:tblW w:w="8795" w:type="dxa"/>
        <w:jc w:val="center"/>
        <w:tblLook w:val="01E0" w:firstRow="1" w:lastRow="1" w:firstColumn="1" w:lastColumn="1" w:noHBand="0" w:noVBand="0"/>
      </w:tblPr>
      <w:tblGrid>
        <w:gridCol w:w="3267"/>
        <w:gridCol w:w="5521"/>
        <w:gridCol w:w="7"/>
      </w:tblGrid>
      <w:tr w:rsidR="00320E8F" w14:paraId="3543970C" w14:textId="77777777" w:rsidTr="007A6BE9">
        <w:trPr>
          <w:gridAfter w:val="1"/>
          <w:wAfter w:w="7" w:type="dxa"/>
          <w:trHeight w:val="295"/>
          <w:jc w:val="center"/>
        </w:trPr>
        <w:tc>
          <w:tcPr>
            <w:tcW w:w="8788" w:type="dxa"/>
            <w:gridSpan w:val="2"/>
            <w:shd w:val="clear" w:color="auto" w:fill="auto"/>
          </w:tcPr>
          <w:p w14:paraId="18D16CB2" w14:textId="77777777" w:rsidR="00796168" w:rsidRPr="007A6BE9" w:rsidRDefault="00796168" w:rsidP="007A6BE9">
            <w:pPr>
              <w:suppressLineNumbers/>
              <w:jc w:val="right"/>
              <w:rPr>
                <w:rFonts w:ascii="Arial" w:hAnsi="Arial"/>
                <w:sz w:val="28"/>
                <w:szCs w:val="28"/>
              </w:rPr>
            </w:pPr>
          </w:p>
        </w:tc>
      </w:tr>
      <w:tr w:rsidR="00320E8F" w14:paraId="5D0E375A" w14:textId="77777777" w:rsidTr="007A6BE9">
        <w:trPr>
          <w:jc w:val="center"/>
        </w:trPr>
        <w:tc>
          <w:tcPr>
            <w:tcW w:w="3267" w:type="dxa"/>
            <w:shd w:val="clear" w:color="auto" w:fill="auto"/>
          </w:tcPr>
          <w:p w14:paraId="7D066B8A" w14:textId="77777777" w:rsidR="00796168" w:rsidRPr="007A6BE9" w:rsidRDefault="00000000" w:rsidP="007A6BE9">
            <w:pPr>
              <w:suppressLineNumbers/>
              <w:ind w:right="-295"/>
              <w:rPr>
                <w:rFonts w:ascii="David" w:hAnsi="David"/>
                <w:noProof/>
                <w:sz w:val="32"/>
                <w:szCs w:val="28"/>
                <w:rtl/>
              </w:rPr>
            </w:pPr>
            <w:r w:rsidRPr="007A6BE9">
              <w:rPr>
                <w:rFonts w:ascii="David" w:hAnsi="David"/>
                <w:noProof/>
                <w:sz w:val="32"/>
                <w:szCs w:val="28"/>
                <w:rtl/>
              </w:rPr>
              <w:t>לפני:</w:t>
            </w:r>
          </w:p>
        </w:tc>
        <w:tc>
          <w:tcPr>
            <w:tcW w:w="5528" w:type="dxa"/>
            <w:gridSpan w:val="2"/>
            <w:shd w:val="clear" w:color="auto" w:fill="auto"/>
          </w:tcPr>
          <w:p w14:paraId="7A589892" w14:textId="77777777" w:rsidR="00796168" w:rsidRPr="007A6BE9" w:rsidRDefault="00000000" w:rsidP="007A6BE9">
            <w:pPr>
              <w:suppressLineNumbers/>
              <w:rPr>
                <w:rFonts w:ascii="David" w:hAnsi="David"/>
                <w:noProof/>
                <w:sz w:val="32"/>
                <w:szCs w:val="28"/>
                <w:rtl/>
              </w:rPr>
            </w:pPr>
            <w:bookmarkStart w:id="0" w:name="_Hlk178219032"/>
            <w:r w:rsidRPr="007A6BE9">
              <w:rPr>
                <w:rFonts w:ascii="David" w:hAnsi="David"/>
                <w:noProof/>
                <w:sz w:val="32"/>
                <w:szCs w:val="28"/>
                <w:rtl/>
              </w:rPr>
              <w:t>כבוד ממלא מקום הנשיא עוזי פוגלמן</w:t>
            </w:r>
          </w:p>
          <w:p w14:paraId="33E21A97" w14:textId="77777777" w:rsidR="00796168" w:rsidRPr="007A6BE9" w:rsidRDefault="00000000" w:rsidP="007A6BE9">
            <w:pPr>
              <w:suppressLineNumbers/>
              <w:rPr>
                <w:rFonts w:ascii="David" w:hAnsi="David"/>
                <w:noProof/>
                <w:sz w:val="32"/>
                <w:szCs w:val="28"/>
                <w:rtl/>
              </w:rPr>
            </w:pPr>
            <w:r w:rsidRPr="007A6BE9">
              <w:rPr>
                <w:rFonts w:ascii="David" w:hAnsi="David"/>
                <w:noProof/>
                <w:sz w:val="32"/>
                <w:szCs w:val="28"/>
                <w:rtl/>
              </w:rPr>
              <w:t>כבוד השופטת דפנה ברק-ארז</w:t>
            </w:r>
          </w:p>
          <w:p w14:paraId="0422EEF2" w14:textId="77777777" w:rsidR="00796168" w:rsidRPr="007A6BE9" w:rsidRDefault="00000000" w:rsidP="007A6BE9">
            <w:pPr>
              <w:suppressLineNumbers/>
              <w:rPr>
                <w:rFonts w:ascii="David" w:hAnsi="David"/>
                <w:noProof/>
                <w:sz w:val="32"/>
                <w:szCs w:val="28"/>
                <w:rtl/>
              </w:rPr>
            </w:pPr>
            <w:r w:rsidRPr="007A6BE9">
              <w:rPr>
                <w:rFonts w:ascii="David" w:hAnsi="David"/>
                <w:noProof/>
                <w:sz w:val="32"/>
                <w:szCs w:val="28"/>
                <w:rtl/>
              </w:rPr>
              <w:t>כבוד השופטת רות רונן</w:t>
            </w:r>
          </w:p>
          <w:bookmarkEnd w:id="0"/>
          <w:p w14:paraId="4B357675" w14:textId="77777777" w:rsidR="00796168" w:rsidRPr="007A6BE9" w:rsidRDefault="00796168" w:rsidP="007A6BE9">
            <w:pPr>
              <w:suppressLineNumbers/>
              <w:rPr>
                <w:rFonts w:ascii="David" w:hAnsi="David"/>
                <w:noProof/>
                <w:sz w:val="32"/>
                <w:szCs w:val="28"/>
                <w:rtl/>
              </w:rPr>
            </w:pPr>
          </w:p>
        </w:tc>
      </w:tr>
      <w:tr w:rsidR="00320E8F" w14:paraId="327CBE4E" w14:textId="77777777" w:rsidTr="007A6BE9">
        <w:trPr>
          <w:gridAfter w:val="1"/>
          <w:wAfter w:w="7" w:type="dxa"/>
          <w:jc w:val="center"/>
        </w:trPr>
        <w:tc>
          <w:tcPr>
            <w:tcW w:w="3267" w:type="dxa"/>
            <w:shd w:val="clear" w:color="auto" w:fill="auto"/>
          </w:tcPr>
          <w:p w14:paraId="056E512A" w14:textId="77777777" w:rsidR="00796168" w:rsidRPr="007A6BE9" w:rsidRDefault="00000000" w:rsidP="007A6BE9">
            <w:pPr>
              <w:suppressLineNumbers/>
              <w:rPr>
                <w:rFonts w:ascii="David" w:hAnsi="David"/>
                <w:sz w:val="32"/>
                <w:szCs w:val="28"/>
                <w:rtl/>
              </w:rPr>
            </w:pPr>
            <w:bookmarkStart w:id="1" w:name="LastJudge"/>
            <w:bookmarkStart w:id="2" w:name="FirstAppellant"/>
            <w:bookmarkEnd w:id="1"/>
            <w:r w:rsidRPr="007A6BE9">
              <w:rPr>
                <w:rFonts w:ascii="David" w:hAnsi="David"/>
                <w:noProof/>
                <w:sz w:val="32"/>
                <w:szCs w:val="28"/>
                <w:rtl/>
              </w:rPr>
              <w:t>המערערות והמשיבות בערעור לפי תק' 137(ב)</w:t>
            </w:r>
            <w:r w:rsidRPr="007A6BE9">
              <w:rPr>
                <w:rFonts w:ascii="David" w:hAnsi="David"/>
                <w:sz w:val="32"/>
                <w:szCs w:val="28"/>
                <w:rtl/>
              </w:rPr>
              <w:t>:</w:t>
            </w:r>
          </w:p>
        </w:tc>
        <w:tc>
          <w:tcPr>
            <w:tcW w:w="5521" w:type="dxa"/>
            <w:shd w:val="clear" w:color="auto" w:fill="auto"/>
          </w:tcPr>
          <w:p w14:paraId="742C6716" w14:textId="77777777" w:rsidR="00796168" w:rsidRPr="007A6BE9" w:rsidRDefault="00796168" w:rsidP="007A6BE9">
            <w:pPr>
              <w:suppressLineNumbers/>
              <w:rPr>
                <w:rFonts w:ascii="David" w:hAnsi="David"/>
                <w:sz w:val="32"/>
                <w:szCs w:val="28"/>
              </w:rPr>
            </w:pPr>
          </w:p>
          <w:p w14:paraId="667BA4FC" w14:textId="77777777" w:rsidR="00796168" w:rsidRPr="007A6BE9" w:rsidRDefault="00000000" w:rsidP="007A6BE9">
            <w:pPr>
              <w:suppressLineNumbers/>
              <w:rPr>
                <w:rFonts w:ascii="David" w:hAnsi="David"/>
                <w:sz w:val="32"/>
                <w:szCs w:val="28"/>
                <w:rtl/>
              </w:rPr>
            </w:pPr>
            <w:r w:rsidRPr="007A6BE9">
              <w:rPr>
                <w:rFonts w:ascii="David" w:hAnsi="David"/>
                <w:sz w:val="32"/>
                <w:szCs w:val="28"/>
                <w:rtl/>
              </w:rPr>
              <w:t>1. שפיר הנדסה אזרחית וימית בע"מ</w:t>
            </w:r>
          </w:p>
          <w:p w14:paraId="30754A43" w14:textId="77777777" w:rsidR="00796168" w:rsidRPr="007A6BE9" w:rsidRDefault="00000000" w:rsidP="007A6BE9">
            <w:pPr>
              <w:suppressLineNumbers/>
              <w:rPr>
                <w:rFonts w:ascii="David" w:hAnsi="David"/>
                <w:sz w:val="32"/>
                <w:szCs w:val="28"/>
                <w:rtl/>
              </w:rPr>
            </w:pPr>
            <w:r w:rsidRPr="007A6BE9">
              <w:rPr>
                <w:rFonts w:ascii="David" w:hAnsi="David"/>
                <w:sz w:val="32"/>
                <w:szCs w:val="28"/>
                <w:rtl/>
              </w:rPr>
              <w:t>2. שפיר מגורים ובניין בע"מ</w:t>
            </w:r>
          </w:p>
          <w:p w14:paraId="1EAEC9B4" w14:textId="77777777" w:rsidR="00796168" w:rsidRPr="007A6BE9" w:rsidRDefault="00000000" w:rsidP="007A6BE9">
            <w:pPr>
              <w:suppressLineNumbers/>
              <w:rPr>
                <w:rFonts w:ascii="David" w:hAnsi="David"/>
                <w:sz w:val="32"/>
                <w:szCs w:val="28"/>
              </w:rPr>
            </w:pPr>
            <w:r w:rsidRPr="007A6BE9">
              <w:rPr>
                <w:rFonts w:ascii="David" w:hAnsi="David"/>
                <w:sz w:val="32"/>
                <w:szCs w:val="28"/>
                <w:rtl/>
              </w:rPr>
              <w:t>3. דונה חברה להנדסה ובנין בע"מ</w:t>
            </w:r>
          </w:p>
        </w:tc>
      </w:tr>
      <w:bookmarkEnd w:id="2"/>
      <w:tr w:rsidR="00320E8F" w14:paraId="4AC05E10" w14:textId="77777777" w:rsidTr="007A6BE9">
        <w:trPr>
          <w:gridAfter w:val="1"/>
          <w:wAfter w:w="7" w:type="dxa"/>
          <w:jc w:val="center"/>
        </w:trPr>
        <w:tc>
          <w:tcPr>
            <w:tcW w:w="8788" w:type="dxa"/>
            <w:gridSpan w:val="2"/>
            <w:shd w:val="clear" w:color="auto" w:fill="auto"/>
          </w:tcPr>
          <w:p w14:paraId="769D8DD9" w14:textId="77777777" w:rsidR="00796168" w:rsidRPr="007A6BE9" w:rsidRDefault="00796168" w:rsidP="007A6BE9">
            <w:pPr>
              <w:suppressLineNumbers/>
              <w:rPr>
                <w:rFonts w:ascii="David" w:hAnsi="David"/>
                <w:sz w:val="32"/>
                <w:szCs w:val="28"/>
                <w:rtl/>
              </w:rPr>
            </w:pPr>
          </w:p>
          <w:p w14:paraId="1557C408" w14:textId="77777777" w:rsidR="00796168" w:rsidRPr="007A6BE9" w:rsidRDefault="00000000" w:rsidP="007A6BE9">
            <w:pPr>
              <w:suppressLineNumbers/>
              <w:ind w:left="2880"/>
              <w:rPr>
                <w:rFonts w:ascii="David" w:hAnsi="David"/>
                <w:spacing w:val="40"/>
                <w:sz w:val="32"/>
                <w:szCs w:val="28"/>
                <w:rtl/>
              </w:rPr>
            </w:pPr>
            <w:r w:rsidRPr="007A6BE9">
              <w:rPr>
                <w:rFonts w:ascii="David" w:hAnsi="David"/>
                <w:spacing w:val="40"/>
                <w:sz w:val="32"/>
                <w:szCs w:val="28"/>
                <w:rtl/>
              </w:rPr>
              <w:t xml:space="preserve">    נגד</w:t>
            </w:r>
          </w:p>
          <w:p w14:paraId="630826AB" w14:textId="77777777" w:rsidR="00796168" w:rsidRPr="007A6BE9" w:rsidRDefault="00796168" w:rsidP="007A6BE9">
            <w:pPr>
              <w:suppressLineNumbers/>
              <w:rPr>
                <w:rFonts w:ascii="David" w:hAnsi="David"/>
                <w:sz w:val="32"/>
                <w:szCs w:val="28"/>
                <w:rtl/>
              </w:rPr>
            </w:pPr>
          </w:p>
        </w:tc>
      </w:tr>
      <w:tr w:rsidR="00320E8F" w14:paraId="315B3664" w14:textId="77777777" w:rsidTr="007A6BE9">
        <w:trPr>
          <w:gridAfter w:val="1"/>
          <w:wAfter w:w="7" w:type="dxa"/>
          <w:jc w:val="center"/>
        </w:trPr>
        <w:tc>
          <w:tcPr>
            <w:tcW w:w="3267" w:type="dxa"/>
            <w:shd w:val="clear" w:color="auto" w:fill="auto"/>
          </w:tcPr>
          <w:p w14:paraId="50E573E3" w14:textId="77777777" w:rsidR="00796168" w:rsidRPr="007A6BE9" w:rsidRDefault="00000000" w:rsidP="007A6BE9">
            <w:pPr>
              <w:suppressLineNumbers/>
              <w:rPr>
                <w:rFonts w:ascii="David" w:hAnsi="David"/>
                <w:sz w:val="32"/>
                <w:szCs w:val="28"/>
                <w:rtl/>
              </w:rPr>
            </w:pPr>
            <w:r w:rsidRPr="007A6BE9">
              <w:rPr>
                <w:rFonts w:ascii="David" w:hAnsi="David"/>
                <w:noProof/>
                <w:sz w:val="32"/>
                <w:szCs w:val="28"/>
                <w:rtl/>
              </w:rPr>
              <w:t>ה</w:t>
            </w:r>
            <w:r w:rsidRPr="007A6BE9">
              <w:rPr>
                <w:rFonts w:ascii="David" w:hAnsi="David"/>
                <w:sz w:val="32"/>
                <w:szCs w:val="28"/>
                <w:rtl/>
              </w:rPr>
              <w:t>משיבה והמערערת בערעור לפי תק' 137(ב):</w:t>
            </w:r>
          </w:p>
        </w:tc>
        <w:tc>
          <w:tcPr>
            <w:tcW w:w="5521" w:type="dxa"/>
            <w:shd w:val="clear" w:color="auto" w:fill="auto"/>
          </w:tcPr>
          <w:p w14:paraId="0D9BB0C5" w14:textId="77777777" w:rsidR="00796168" w:rsidRPr="007A6BE9" w:rsidRDefault="00000000" w:rsidP="007A6BE9">
            <w:pPr>
              <w:suppressLineNumbers/>
              <w:rPr>
                <w:rFonts w:ascii="David" w:hAnsi="David"/>
                <w:sz w:val="32"/>
                <w:szCs w:val="28"/>
                <w:rtl/>
              </w:rPr>
            </w:pPr>
            <w:r w:rsidRPr="007A6BE9">
              <w:rPr>
                <w:rFonts w:ascii="David" w:hAnsi="David"/>
                <w:sz w:val="32"/>
                <w:szCs w:val="28"/>
                <w:rtl/>
              </w:rPr>
              <w:br/>
              <w:t>הוועדה המיוחדת לתכנון ובניה חריש</w:t>
            </w:r>
          </w:p>
          <w:p w14:paraId="28D93F39" w14:textId="77777777" w:rsidR="00796168" w:rsidRPr="007A6BE9" w:rsidRDefault="00796168" w:rsidP="007A6BE9">
            <w:pPr>
              <w:suppressLineNumbers/>
              <w:rPr>
                <w:rFonts w:ascii="David" w:hAnsi="David"/>
                <w:sz w:val="32"/>
                <w:szCs w:val="28"/>
              </w:rPr>
            </w:pPr>
          </w:p>
        </w:tc>
      </w:tr>
      <w:tr w:rsidR="00320E8F" w14:paraId="011907EA" w14:textId="77777777" w:rsidTr="007A6BE9">
        <w:trPr>
          <w:gridAfter w:val="1"/>
          <w:wAfter w:w="7" w:type="dxa"/>
          <w:jc w:val="center"/>
        </w:trPr>
        <w:tc>
          <w:tcPr>
            <w:tcW w:w="3267" w:type="dxa"/>
            <w:shd w:val="clear" w:color="auto" w:fill="auto"/>
          </w:tcPr>
          <w:p w14:paraId="13425526" w14:textId="77777777" w:rsidR="00796168" w:rsidRPr="007A6BE9" w:rsidRDefault="00796168" w:rsidP="007A6BE9">
            <w:pPr>
              <w:suppressLineNumbers/>
              <w:rPr>
                <w:rFonts w:ascii="David" w:hAnsi="David"/>
                <w:sz w:val="32"/>
                <w:szCs w:val="28"/>
                <w:rtl/>
              </w:rPr>
            </w:pPr>
          </w:p>
        </w:tc>
        <w:tc>
          <w:tcPr>
            <w:tcW w:w="5521" w:type="dxa"/>
            <w:shd w:val="clear" w:color="auto" w:fill="auto"/>
          </w:tcPr>
          <w:p w14:paraId="72C95CD5" w14:textId="77777777" w:rsidR="00796168" w:rsidRPr="007A6BE9" w:rsidRDefault="00796168" w:rsidP="007A6BE9">
            <w:pPr>
              <w:suppressLineNumbers/>
              <w:rPr>
                <w:rFonts w:ascii="David" w:hAnsi="David"/>
                <w:sz w:val="32"/>
                <w:szCs w:val="28"/>
                <w:rtl/>
              </w:rPr>
            </w:pPr>
          </w:p>
          <w:p w14:paraId="31FB42E7" w14:textId="77777777" w:rsidR="00796168" w:rsidRPr="007A6BE9" w:rsidRDefault="00000000" w:rsidP="007A6BE9">
            <w:pPr>
              <w:suppressLineNumbers/>
              <w:jc w:val="both"/>
              <w:rPr>
                <w:rFonts w:ascii="David" w:hAnsi="David"/>
                <w:sz w:val="28"/>
                <w:rtl/>
              </w:rPr>
            </w:pPr>
            <w:r w:rsidRPr="007A6BE9">
              <w:rPr>
                <w:rFonts w:ascii="David" w:hAnsi="David"/>
                <w:sz w:val="28"/>
                <w:rtl/>
              </w:rPr>
              <w:t>ערעור על פסק דינו של בית המשפט המחוזי בחיפה ב</w:t>
            </w:r>
            <w:hyperlink r:id="rId7" w:history="1">
              <w:r w:rsidR="007A6BE9" w:rsidRPr="007A6BE9">
                <w:rPr>
                  <w:rFonts w:ascii="David" w:hAnsi="David"/>
                  <w:color w:val="0000FF"/>
                  <w:sz w:val="28"/>
                  <w:u w:val="single"/>
                  <w:rtl/>
                </w:rPr>
                <w:t>ת"א 31400-10-22</w:t>
              </w:r>
            </w:hyperlink>
            <w:r w:rsidRPr="007A6BE9">
              <w:rPr>
                <w:rFonts w:ascii="David" w:hAnsi="David"/>
                <w:sz w:val="28"/>
                <w:rtl/>
              </w:rPr>
              <w:t xml:space="preserve"> </w:t>
            </w:r>
            <w:r w:rsidR="003B25DC">
              <w:rPr>
                <w:rFonts w:ascii="David" w:hAnsi="David" w:hint="cs"/>
                <w:sz w:val="28"/>
                <w:rtl/>
              </w:rPr>
              <w:t xml:space="preserve">[נבו] </w:t>
            </w:r>
            <w:r w:rsidRPr="007A6BE9">
              <w:rPr>
                <w:rFonts w:ascii="David" w:hAnsi="David"/>
                <w:sz w:val="28"/>
                <w:rtl/>
              </w:rPr>
              <w:t>שניתן ביום 9.8.2023 על ידי כב' השופט מ' רניאל</w:t>
            </w:r>
          </w:p>
          <w:p w14:paraId="0F426493" w14:textId="77777777" w:rsidR="00796168" w:rsidRPr="007A6BE9" w:rsidRDefault="00796168" w:rsidP="007A6BE9">
            <w:pPr>
              <w:suppressLineNumbers/>
              <w:rPr>
                <w:rFonts w:ascii="David" w:hAnsi="David"/>
                <w:sz w:val="32"/>
                <w:szCs w:val="28"/>
                <w:rtl/>
              </w:rPr>
            </w:pPr>
          </w:p>
        </w:tc>
      </w:tr>
      <w:tr w:rsidR="00320E8F" w14:paraId="18AF8A4A" w14:textId="77777777" w:rsidTr="007A6BE9">
        <w:trPr>
          <w:gridAfter w:val="1"/>
          <w:wAfter w:w="7" w:type="dxa"/>
          <w:jc w:val="center"/>
        </w:trPr>
        <w:tc>
          <w:tcPr>
            <w:tcW w:w="3267" w:type="dxa"/>
            <w:shd w:val="clear" w:color="auto" w:fill="auto"/>
          </w:tcPr>
          <w:p w14:paraId="38514B70" w14:textId="77777777" w:rsidR="00796168" w:rsidRPr="007A6BE9" w:rsidRDefault="00000000" w:rsidP="007A6BE9">
            <w:pPr>
              <w:suppressLineNumbers/>
              <w:rPr>
                <w:rFonts w:ascii="David" w:hAnsi="David"/>
                <w:sz w:val="28"/>
                <w:rtl/>
              </w:rPr>
            </w:pPr>
            <w:r w:rsidRPr="007A6BE9">
              <w:rPr>
                <w:rFonts w:ascii="David" w:hAnsi="David"/>
                <w:sz w:val="28"/>
                <w:rtl/>
              </w:rPr>
              <w:t>תאריך הישיבה:</w:t>
            </w:r>
          </w:p>
        </w:tc>
        <w:tc>
          <w:tcPr>
            <w:tcW w:w="5521" w:type="dxa"/>
            <w:shd w:val="clear" w:color="auto" w:fill="auto"/>
          </w:tcPr>
          <w:p w14:paraId="21C7E0B5" w14:textId="77777777" w:rsidR="00796168" w:rsidRPr="007A6BE9" w:rsidRDefault="00000000" w:rsidP="007A6BE9">
            <w:pPr>
              <w:suppressLineNumbers/>
              <w:rPr>
                <w:rFonts w:ascii="David" w:hAnsi="David"/>
                <w:sz w:val="28"/>
                <w:rtl/>
              </w:rPr>
            </w:pPr>
            <w:r w:rsidRPr="007A6BE9">
              <w:rPr>
                <w:rFonts w:ascii="David" w:hAnsi="David"/>
                <w:sz w:val="28"/>
                <w:rtl/>
              </w:rPr>
              <w:t>כ"ה בסיוון התשפ"ד (1.7.2024)</w:t>
            </w:r>
          </w:p>
          <w:p w14:paraId="0C04369B" w14:textId="77777777" w:rsidR="00796168" w:rsidRPr="007A6BE9" w:rsidRDefault="00796168" w:rsidP="007A6BE9">
            <w:pPr>
              <w:suppressLineNumbers/>
              <w:rPr>
                <w:rFonts w:ascii="David" w:hAnsi="David"/>
                <w:sz w:val="28"/>
                <w:rtl/>
              </w:rPr>
            </w:pPr>
          </w:p>
        </w:tc>
      </w:tr>
      <w:tr w:rsidR="00320E8F" w14:paraId="0628BFF6" w14:textId="77777777" w:rsidTr="007A6BE9">
        <w:trPr>
          <w:gridAfter w:val="1"/>
          <w:wAfter w:w="7" w:type="dxa"/>
          <w:jc w:val="center"/>
        </w:trPr>
        <w:tc>
          <w:tcPr>
            <w:tcW w:w="3267" w:type="dxa"/>
            <w:shd w:val="clear" w:color="auto" w:fill="auto"/>
          </w:tcPr>
          <w:p w14:paraId="2158F248" w14:textId="77777777" w:rsidR="00796168" w:rsidRPr="007A6BE9" w:rsidRDefault="00000000" w:rsidP="007A6BE9">
            <w:pPr>
              <w:suppressLineNumbers/>
              <w:rPr>
                <w:rFonts w:ascii="David" w:hAnsi="David"/>
                <w:noProof/>
                <w:sz w:val="32"/>
                <w:szCs w:val="28"/>
                <w:rtl/>
              </w:rPr>
            </w:pPr>
            <w:r w:rsidRPr="007A6BE9">
              <w:rPr>
                <w:rFonts w:ascii="David" w:hAnsi="David"/>
                <w:noProof/>
                <w:sz w:val="32"/>
                <w:szCs w:val="28"/>
                <w:rtl/>
              </w:rPr>
              <w:t>בשם המערערות והמשיבות בערעור לפי תק' 137(ב):</w:t>
            </w:r>
          </w:p>
          <w:p w14:paraId="6C536CE0" w14:textId="77777777" w:rsidR="00796168" w:rsidRPr="007A6BE9" w:rsidRDefault="00796168" w:rsidP="007A6BE9">
            <w:pPr>
              <w:suppressLineNumbers/>
              <w:rPr>
                <w:rFonts w:ascii="David" w:hAnsi="David"/>
                <w:noProof/>
                <w:sz w:val="32"/>
                <w:szCs w:val="28"/>
                <w:rtl/>
              </w:rPr>
            </w:pPr>
          </w:p>
        </w:tc>
        <w:tc>
          <w:tcPr>
            <w:tcW w:w="5521" w:type="dxa"/>
            <w:shd w:val="clear" w:color="auto" w:fill="auto"/>
          </w:tcPr>
          <w:p w14:paraId="5784BA78" w14:textId="77777777" w:rsidR="00796168" w:rsidRPr="007A6BE9" w:rsidRDefault="00796168" w:rsidP="007A6BE9">
            <w:pPr>
              <w:suppressLineNumbers/>
              <w:rPr>
                <w:rFonts w:ascii="David" w:hAnsi="David"/>
                <w:noProof/>
                <w:sz w:val="32"/>
                <w:szCs w:val="28"/>
              </w:rPr>
            </w:pPr>
          </w:p>
          <w:p w14:paraId="19F2796B" w14:textId="77777777" w:rsidR="00796168" w:rsidRPr="007A6BE9" w:rsidRDefault="00000000" w:rsidP="007A6BE9">
            <w:pPr>
              <w:suppressLineNumbers/>
              <w:rPr>
                <w:rFonts w:ascii="David" w:hAnsi="David"/>
                <w:noProof/>
                <w:sz w:val="32"/>
                <w:szCs w:val="28"/>
                <w:rtl/>
              </w:rPr>
            </w:pPr>
            <w:r w:rsidRPr="007A6BE9">
              <w:rPr>
                <w:rFonts w:ascii="David" w:hAnsi="David"/>
                <w:noProof/>
                <w:sz w:val="32"/>
                <w:szCs w:val="28"/>
                <w:rtl/>
              </w:rPr>
              <w:t>עו"ד אילן רובינשטיין; עו"ד תמיר בירן</w:t>
            </w:r>
          </w:p>
        </w:tc>
      </w:tr>
      <w:tr w:rsidR="00320E8F" w14:paraId="430BF450" w14:textId="77777777" w:rsidTr="007A6BE9">
        <w:trPr>
          <w:gridAfter w:val="1"/>
          <w:wAfter w:w="7" w:type="dxa"/>
          <w:jc w:val="center"/>
        </w:trPr>
        <w:tc>
          <w:tcPr>
            <w:tcW w:w="3267" w:type="dxa"/>
            <w:shd w:val="clear" w:color="auto" w:fill="auto"/>
          </w:tcPr>
          <w:p w14:paraId="6458FBC9" w14:textId="77777777" w:rsidR="00796168" w:rsidRPr="007A6BE9" w:rsidRDefault="00000000" w:rsidP="007A6BE9">
            <w:pPr>
              <w:suppressLineNumbers/>
              <w:rPr>
                <w:rFonts w:ascii="David" w:hAnsi="David"/>
                <w:noProof/>
                <w:sz w:val="32"/>
                <w:szCs w:val="28"/>
                <w:rtl/>
              </w:rPr>
            </w:pPr>
            <w:bookmarkStart w:id="3" w:name="FirstLawyer"/>
            <w:r w:rsidRPr="007A6BE9">
              <w:rPr>
                <w:rFonts w:ascii="David" w:hAnsi="David"/>
                <w:noProof/>
                <w:sz w:val="32"/>
                <w:szCs w:val="28"/>
                <w:rtl/>
              </w:rPr>
              <w:t>בשם ה</w:t>
            </w:r>
            <w:r w:rsidRPr="007A6BE9">
              <w:rPr>
                <w:rFonts w:ascii="David" w:hAnsi="David"/>
                <w:sz w:val="32"/>
                <w:szCs w:val="28"/>
                <w:rtl/>
              </w:rPr>
              <w:t>משיבה והמערערת בערעור לפי תק' 137(ב):</w:t>
            </w:r>
          </w:p>
        </w:tc>
        <w:tc>
          <w:tcPr>
            <w:tcW w:w="5521" w:type="dxa"/>
            <w:shd w:val="clear" w:color="auto" w:fill="auto"/>
          </w:tcPr>
          <w:p w14:paraId="44C0296F" w14:textId="77777777" w:rsidR="00796168" w:rsidRPr="007A6BE9" w:rsidRDefault="00796168" w:rsidP="007A6BE9">
            <w:pPr>
              <w:suppressLineNumbers/>
              <w:rPr>
                <w:rFonts w:ascii="David" w:hAnsi="David"/>
                <w:noProof/>
                <w:sz w:val="32"/>
                <w:szCs w:val="28"/>
                <w:rtl/>
              </w:rPr>
            </w:pPr>
          </w:p>
          <w:p w14:paraId="1B0251E1" w14:textId="77777777" w:rsidR="00796168" w:rsidRPr="007A6BE9" w:rsidRDefault="00000000" w:rsidP="007A6BE9">
            <w:pPr>
              <w:suppressLineNumbers/>
              <w:rPr>
                <w:rFonts w:ascii="David" w:hAnsi="David"/>
                <w:noProof/>
                <w:sz w:val="32"/>
                <w:szCs w:val="28"/>
                <w:rtl/>
              </w:rPr>
            </w:pPr>
            <w:r w:rsidRPr="007A6BE9">
              <w:rPr>
                <w:rFonts w:ascii="David" w:hAnsi="David"/>
                <w:noProof/>
                <w:sz w:val="32"/>
                <w:szCs w:val="28"/>
                <w:rtl/>
              </w:rPr>
              <w:t xml:space="preserve">עו"ד אברהם גולדהמר </w:t>
            </w:r>
          </w:p>
        </w:tc>
      </w:tr>
      <w:bookmarkEnd w:id="3"/>
    </w:tbl>
    <w:p w14:paraId="3CA87728" w14:textId="77777777" w:rsidR="00894E25" w:rsidRPr="007A6BE9" w:rsidRDefault="00894E25" w:rsidP="00894E25">
      <w:pPr>
        <w:bidi w:val="0"/>
        <w:jc w:val="center"/>
        <w:rPr>
          <w:rFonts w:ascii="David" w:hAnsi="David"/>
          <w:bCs/>
          <w:spacing w:val="40"/>
          <w:sz w:val="32"/>
          <w:szCs w:val="28"/>
          <w:rtl/>
        </w:rPr>
      </w:pPr>
    </w:p>
    <w:p w14:paraId="25F0080F" w14:textId="77777777" w:rsidR="003B25DC" w:rsidRPr="003B25DC" w:rsidRDefault="003B25DC" w:rsidP="00894E25">
      <w:pPr>
        <w:rPr>
          <w:rtl/>
        </w:rPr>
      </w:pPr>
    </w:p>
    <w:p w14:paraId="3EED0351" w14:textId="77777777" w:rsidR="003B25DC" w:rsidRPr="003B25DC" w:rsidRDefault="003B25DC" w:rsidP="003B25DC">
      <w:pPr>
        <w:spacing w:after="120" w:line="240" w:lineRule="exact"/>
        <w:ind w:left="283" w:hanging="283"/>
        <w:jc w:val="both"/>
      </w:pPr>
      <w:bookmarkStart w:id="4" w:name="Links_Start"/>
      <w:bookmarkStart w:id="5" w:name="ABSTRACT_END"/>
      <w:bookmarkEnd w:id="4"/>
      <w:bookmarkEnd w:id="5"/>
    </w:p>
    <w:tbl>
      <w:tblPr>
        <w:bidiVisual/>
        <w:tblW w:w="8820" w:type="dxa"/>
        <w:jc w:val="center"/>
        <w:tblLook w:val="01E0" w:firstRow="1" w:lastRow="1" w:firstColumn="1" w:lastColumn="1" w:noHBand="0" w:noVBand="0"/>
      </w:tblPr>
      <w:tblGrid>
        <w:gridCol w:w="8820"/>
      </w:tblGrid>
      <w:tr w:rsidR="00320E8F" w14:paraId="2344F5E1" w14:textId="77777777" w:rsidTr="007A6BE9">
        <w:trPr>
          <w:jc w:val="center"/>
        </w:trPr>
        <w:tc>
          <w:tcPr>
            <w:tcW w:w="8820" w:type="dxa"/>
            <w:shd w:val="clear" w:color="auto" w:fill="auto"/>
          </w:tcPr>
          <w:p w14:paraId="25A51B63" w14:textId="77777777" w:rsidR="007A6BE9" w:rsidRPr="00894E25" w:rsidRDefault="00000000" w:rsidP="00894E25">
            <w:pPr>
              <w:bidi w:val="0"/>
              <w:spacing w:after="120" w:line="240" w:lineRule="exact"/>
              <w:ind w:left="283" w:hanging="283"/>
              <w:jc w:val="center"/>
              <w:rPr>
                <w:rFonts w:ascii="David" w:hAnsi="David"/>
                <w:bCs/>
                <w:spacing w:val="40"/>
                <w:sz w:val="44"/>
                <w:szCs w:val="40"/>
                <w:u w:val="single"/>
              </w:rPr>
            </w:pPr>
            <w:bookmarkStart w:id="6" w:name="PsakDin"/>
            <w:r w:rsidRPr="00894E25">
              <w:rPr>
                <w:rFonts w:ascii="FrankRuehl" w:hAnsi="FrankRuehl" w:cs="FrankRuehl"/>
                <w:bCs/>
                <w:sz w:val="36"/>
                <w:szCs w:val="36"/>
                <w:rtl/>
              </w:rPr>
              <w:t>פסק-דין</w:t>
            </w:r>
          </w:p>
          <w:bookmarkEnd w:id="6"/>
          <w:p w14:paraId="4A185A17" w14:textId="77777777" w:rsidR="00796168" w:rsidRPr="007A6BE9" w:rsidRDefault="00796168" w:rsidP="007A6BE9">
            <w:pPr>
              <w:bidi w:val="0"/>
              <w:jc w:val="center"/>
              <w:rPr>
                <w:rFonts w:ascii="David" w:hAnsi="David"/>
                <w:b/>
                <w:sz w:val="32"/>
                <w:szCs w:val="28"/>
                <w:u w:val="single"/>
                <w:rtl/>
              </w:rPr>
            </w:pPr>
          </w:p>
        </w:tc>
      </w:tr>
    </w:tbl>
    <w:p w14:paraId="27998431" w14:textId="77777777" w:rsidR="00796168" w:rsidRDefault="00796168" w:rsidP="00D44968">
      <w:pPr>
        <w:suppressLineNumbers/>
        <w:rPr>
          <w:rtl/>
        </w:rPr>
      </w:pPr>
    </w:p>
    <w:p w14:paraId="47712245" w14:textId="77777777" w:rsidR="00E311E6" w:rsidRDefault="00000000" w:rsidP="00E311E6">
      <w:pPr>
        <w:pStyle w:val="Ruller40"/>
        <w:rPr>
          <w:rFonts w:ascii="Century" w:hAnsi="Century" w:cs="Miriam"/>
          <w:b/>
          <w:spacing w:val="0"/>
          <w:szCs w:val="24"/>
          <w:u w:val="single"/>
        </w:rPr>
      </w:pPr>
      <w:r w:rsidRPr="00E311E6">
        <w:rPr>
          <w:rFonts w:ascii="Century" w:hAnsi="Century" w:cs="Miriam"/>
          <w:b/>
          <w:spacing w:val="0"/>
          <w:szCs w:val="24"/>
          <w:u w:val="single"/>
          <w:rtl/>
        </w:rPr>
        <w:t>ה</w:t>
      </w:r>
      <w:r>
        <w:rPr>
          <w:rFonts w:ascii="Century" w:hAnsi="Century" w:cs="Miriam"/>
          <w:b/>
          <w:spacing w:val="0"/>
          <w:szCs w:val="24"/>
          <w:u w:val="single"/>
          <w:rtl/>
        </w:rPr>
        <w:t>שופטת</w:t>
      </w:r>
      <w:r w:rsidRPr="00E311E6">
        <w:rPr>
          <w:rFonts w:ascii="Century" w:hAnsi="Century" w:cs="Miriam"/>
          <w:b/>
          <w:spacing w:val="0"/>
          <w:szCs w:val="24"/>
          <w:u w:val="single"/>
          <w:rtl/>
        </w:rPr>
        <w:t xml:space="preserve"> </w:t>
      </w:r>
      <w:r>
        <w:rPr>
          <w:rFonts w:ascii="Century" w:hAnsi="Century" w:cs="Miriam"/>
          <w:b/>
          <w:spacing w:val="0"/>
          <w:szCs w:val="24"/>
          <w:u w:val="single"/>
          <w:rtl/>
        </w:rPr>
        <w:t>רות רונן</w:t>
      </w:r>
      <w:r w:rsidRPr="00E311E6">
        <w:rPr>
          <w:rFonts w:ascii="Century" w:hAnsi="Century" w:cs="Miriam"/>
          <w:b/>
          <w:spacing w:val="0"/>
          <w:szCs w:val="24"/>
          <w:u w:val="single"/>
          <w:rtl/>
        </w:rPr>
        <w:t>:</w:t>
      </w:r>
    </w:p>
    <w:p w14:paraId="5A3C7C11" w14:textId="77777777" w:rsidR="00694556" w:rsidRPr="00E311E6" w:rsidRDefault="00694556" w:rsidP="00E311E6">
      <w:pPr>
        <w:spacing w:line="360" w:lineRule="auto"/>
        <w:jc w:val="both"/>
        <w:rPr>
          <w:rFonts w:ascii="FrankRuehl" w:hAnsi="FrankRuehl" w:cs="FrankRuehl"/>
          <w:spacing w:val="10"/>
          <w:sz w:val="28"/>
          <w:szCs w:val="28"/>
          <w:rtl/>
        </w:rPr>
      </w:pPr>
    </w:p>
    <w:p w14:paraId="5D70918F" w14:textId="77777777" w:rsidR="00284859" w:rsidRPr="00284859" w:rsidRDefault="006A3C58"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 w:val="22"/>
          <w:szCs w:val="28"/>
          <w:rtl/>
        </w:rPr>
      </w:pPr>
      <w:r>
        <w:rPr>
          <w:rFonts w:ascii="Miriam" w:hAnsi="Miriam" w:cs="FrankRuehl" w:hint="cs"/>
          <w:spacing w:val="10"/>
          <w:szCs w:val="28"/>
          <w:rtl/>
        </w:rPr>
        <w:t>1.</w:t>
      </w:r>
      <w:r w:rsidR="00000000" w:rsidRPr="00284859">
        <w:rPr>
          <w:rFonts w:ascii="Miriam" w:hAnsi="Miriam" w:cs="FrankRuehl"/>
          <w:spacing w:val="10"/>
          <w:szCs w:val="28"/>
          <w:rtl/>
        </w:rPr>
        <w:tab/>
      </w:r>
      <w:r w:rsidR="00000000" w:rsidRPr="00284859">
        <w:rPr>
          <w:rFonts w:ascii="Garamond" w:hAnsi="Garamond" w:cs="FrankRuehl"/>
          <w:spacing w:val="10"/>
          <w:szCs w:val="28"/>
          <w:rtl/>
        </w:rPr>
        <w:t>לפנינו ערעור וערעור שכנגד על פסק דינו של בית המשפט המחוזי חיפה מיום 9.8.2023 ב</w:t>
      </w:r>
      <w:hyperlink r:id="rId8" w:history="1">
        <w:r w:rsidR="007A6BE9" w:rsidRPr="007A6BE9">
          <w:rPr>
            <w:rFonts w:ascii="Garamond" w:hAnsi="Garamond" w:cs="FrankRuehl" w:hint="eastAsia"/>
            <w:color w:val="0000FF"/>
            <w:spacing w:val="10"/>
            <w:szCs w:val="28"/>
            <w:u w:val="single"/>
            <w:rtl/>
          </w:rPr>
          <w:t>ת</w:t>
        </w:r>
        <w:r w:rsidR="007A6BE9" w:rsidRPr="007A6BE9">
          <w:rPr>
            <w:rFonts w:ascii="Garamond" w:hAnsi="Garamond" w:cs="FrankRuehl"/>
            <w:color w:val="0000FF"/>
            <w:spacing w:val="10"/>
            <w:szCs w:val="28"/>
            <w:u w:val="single"/>
            <w:rtl/>
          </w:rPr>
          <w:t>"</w:t>
        </w:r>
        <w:r w:rsidR="007A6BE9" w:rsidRPr="007A6BE9">
          <w:rPr>
            <w:rFonts w:ascii="Garamond" w:hAnsi="Garamond" w:cs="FrankRuehl" w:hint="eastAsia"/>
            <w:color w:val="0000FF"/>
            <w:spacing w:val="10"/>
            <w:szCs w:val="28"/>
            <w:u w:val="single"/>
            <w:rtl/>
          </w:rPr>
          <w:t>א</w:t>
        </w:r>
        <w:r w:rsidR="007A6BE9" w:rsidRPr="007A6BE9">
          <w:rPr>
            <w:rFonts w:ascii="Garamond" w:hAnsi="Garamond" w:cs="FrankRuehl"/>
            <w:color w:val="0000FF"/>
            <w:spacing w:val="10"/>
            <w:szCs w:val="28"/>
            <w:u w:val="single"/>
            <w:rtl/>
          </w:rPr>
          <w:t xml:space="preserve"> 31400-10-22</w:t>
        </w:r>
      </w:hyperlink>
      <w:r w:rsidR="00000000" w:rsidRPr="00284859">
        <w:rPr>
          <w:rFonts w:ascii="Garamond" w:hAnsi="Garamond" w:cs="FrankRuehl"/>
          <w:spacing w:val="10"/>
          <w:szCs w:val="28"/>
          <w:rtl/>
        </w:rPr>
        <w:t xml:space="preserve"> </w:t>
      </w:r>
      <w:r w:rsidR="003B25DC">
        <w:rPr>
          <w:rFonts w:ascii="Garamond" w:hAnsi="Garamond" w:cs="FrankRuehl" w:hint="cs"/>
          <w:spacing w:val="10"/>
          <w:szCs w:val="28"/>
          <w:rtl/>
        </w:rPr>
        <w:t xml:space="preserve">[נבו] </w:t>
      </w:r>
      <w:r w:rsidR="00000000" w:rsidRPr="00284859">
        <w:rPr>
          <w:rFonts w:ascii="Garamond" w:hAnsi="Garamond" w:cs="FrankRuehl"/>
          <w:spacing w:val="10"/>
          <w:szCs w:val="28"/>
          <w:rtl/>
        </w:rPr>
        <w:t>שניתן על ידי כבוד השופט</w:t>
      </w:r>
      <w:r w:rsidR="00000000" w:rsidRPr="00284859">
        <w:rPr>
          <w:rFonts w:ascii="Garamond" w:hAnsi="Garamond" w:cs="FrankRuehl"/>
          <w:b/>
          <w:szCs w:val="28"/>
          <w:rtl/>
        </w:rPr>
        <w:t xml:space="preserve"> </w:t>
      </w:r>
      <w:r w:rsidR="00000000" w:rsidRPr="00284859">
        <w:rPr>
          <w:rFonts w:ascii="Century" w:hAnsi="Century" w:cs="Miriam"/>
          <w:b/>
          <w:sz w:val="22"/>
          <w:rtl/>
        </w:rPr>
        <w:t>מ' רניאל</w:t>
      </w:r>
      <w:r w:rsidR="00000000" w:rsidRPr="00284859">
        <w:rPr>
          <w:rFonts w:ascii="Garamond" w:hAnsi="Garamond" w:cs="FrankRuehl"/>
          <w:spacing w:val="10"/>
          <w:szCs w:val="28"/>
          <w:rtl/>
        </w:rPr>
        <w:t xml:space="preserve">. </w:t>
      </w:r>
      <w:r w:rsidR="00000000" w:rsidRPr="00284859">
        <w:rPr>
          <w:rFonts w:ascii="Miriam" w:hAnsi="Miriam" w:cs="FrankRuehl"/>
          <w:spacing w:val="10"/>
          <w:szCs w:val="28"/>
          <w:rtl/>
        </w:rPr>
        <w:t xml:space="preserve">שני הערעורים  עוסקים בפרשנות של </w:t>
      </w:r>
      <w:hyperlink r:id="rId9" w:history="1">
        <w:r w:rsidR="007A6BE9" w:rsidRPr="007A6BE9">
          <w:rPr>
            <w:rFonts w:ascii="Miriam" w:hAnsi="Miriam" w:cs="FrankRuehl"/>
            <w:color w:val="0000FF"/>
            <w:spacing w:val="10"/>
            <w:szCs w:val="28"/>
            <w:u w:val="single"/>
            <w:rtl/>
          </w:rPr>
          <w:t>חוק לעידוד השקעות הון, התשי"ט-1959</w:t>
        </w:r>
      </w:hyperlink>
      <w:r w:rsidR="00000000" w:rsidRPr="00284859">
        <w:rPr>
          <w:rFonts w:ascii="Miriam" w:hAnsi="Miriam" w:cs="FrankRuehl"/>
          <w:spacing w:val="10"/>
          <w:szCs w:val="28"/>
          <w:rtl/>
        </w:rPr>
        <w:t xml:space="preserve"> (להלן: </w:t>
      </w:r>
      <w:r w:rsidR="00000000" w:rsidRPr="00284859">
        <w:rPr>
          <w:rFonts w:ascii="Century" w:hAnsi="Century" w:cs="Miriam"/>
          <w:b/>
          <w:sz w:val="22"/>
          <w:rtl/>
        </w:rPr>
        <w:t>החוק</w:t>
      </w:r>
      <w:r w:rsidR="00000000" w:rsidRPr="00284859">
        <w:rPr>
          <w:rFonts w:ascii="Miriam" w:hAnsi="Miriam" w:cs="FrankRuehl"/>
          <w:spacing w:val="10"/>
          <w:szCs w:val="28"/>
          <w:rtl/>
        </w:rPr>
        <w:t xml:space="preserve"> או </w:t>
      </w:r>
      <w:r w:rsidR="00000000" w:rsidRPr="00284859">
        <w:rPr>
          <w:rFonts w:ascii="Century" w:hAnsi="Century" w:cs="Miriam"/>
          <w:b/>
          <w:sz w:val="22"/>
          <w:rtl/>
        </w:rPr>
        <w:t>החוק לעידוד השקעות</w:t>
      </w:r>
      <w:r w:rsidR="00000000" w:rsidRPr="00284859">
        <w:rPr>
          <w:rFonts w:ascii="Miriam" w:hAnsi="Miriam" w:cs="FrankRuehl"/>
          <w:spacing w:val="10"/>
          <w:szCs w:val="28"/>
          <w:rtl/>
        </w:rPr>
        <w:t xml:space="preserve">) לעניין מועד מתן הפטור מתשלום מחצית מאגרת היתר לבניינים המיועדים להשכרה; והיקפו של הפטור כתלות בשטח הבניין המיועד להשכרה. </w:t>
      </w:r>
    </w:p>
    <w:p w14:paraId="428CFEAE"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361329FC" w14:textId="77777777" w:rsidR="00284859" w:rsidRPr="00284859" w:rsidRDefault="006A3C58"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tl/>
        </w:rPr>
      </w:pPr>
      <w:r>
        <w:rPr>
          <w:rFonts w:ascii="Garamond" w:hAnsi="Garamond" w:cs="FrankRuehl" w:hint="cs"/>
          <w:spacing w:val="10"/>
          <w:szCs w:val="28"/>
          <w:rtl/>
        </w:rPr>
        <w:t>2.</w:t>
      </w:r>
      <w:r>
        <w:rPr>
          <w:rFonts w:ascii="Garamond" w:hAnsi="Garamond" w:cs="FrankRuehl" w:hint="cs"/>
          <w:spacing w:val="10"/>
          <w:szCs w:val="28"/>
          <w:rtl/>
        </w:rPr>
        <w:tab/>
      </w:r>
      <w:r w:rsidR="00000000" w:rsidRPr="00284859">
        <w:rPr>
          <w:rFonts w:ascii="Garamond" w:hAnsi="Garamond" w:cs="FrankRuehl"/>
          <w:spacing w:val="10"/>
          <w:szCs w:val="28"/>
          <w:rtl/>
        </w:rPr>
        <w:t xml:space="preserve">המערערות 3-1 (להלן יחד: </w:t>
      </w:r>
      <w:r w:rsidR="00000000" w:rsidRPr="00284859">
        <w:rPr>
          <w:rFonts w:ascii="Miriam" w:hAnsi="Miriam" w:cs="Miriam"/>
          <w:spacing w:val="10"/>
          <w:rtl/>
        </w:rPr>
        <w:t>חברות שפיר</w:t>
      </w:r>
      <w:r w:rsidR="00000000" w:rsidRPr="00284859">
        <w:rPr>
          <w:rFonts w:ascii="Garamond" w:hAnsi="Garamond" w:cs="FrankRuehl"/>
          <w:spacing w:val="10"/>
          <w:szCs w:val="28"/>
          <w:rtl/>
        </w:rPr>
        <w:t xml:space="preserve">) הקימו בניינים בעיר חריש. חברות שפיר ביקשו להכיר בכל אחד מהבניינים נושא ההליך כ"בניין להשכרה" לפי </w:t>
      </w:r>
      <w:hyperlink r:id="rId10" w:history="1">
        <w:r w:rsidR="00894E25" w:rsidRPr="00894E25">
          <w:rPr>
            <w:rStyle w:val="Hyperlink"/>
            <w:rFonts w:ascii="Garamond" w:hAnsi="Garamond" w:cs="FrankRuehl" w:hint="eastAsia"/>
            <w:spacing w:val="10"/>
            <w:szCs w:val="28"/>
            <w:rtl/>
          </w:rPr>
          <w:t>סעיף</w:t>
        </w:r>
        <w:r w:rsidR="00894E25" w:rsidRPr="00894E25">
          <w:rPr>
            <w:rStyle w:val="Hyperlink"/>
            <w:rFonts w:ascii="Garamond" w:hAnsi="Garamond" w:cs="FrankRuehl"/>
            <w:spacing w:val="10"/>
            <w:szCs w:val="28"/>
            <w:rtl/>
          </w:rPr>
          <w:t xml:space="preserve"> 53</w:t>
        </w:r>
        <w:r w:rsidR="00894E25" w:rsidRPr="00894E25">
          <w:rPr>
            <w:rStyle w:val="Hyperlink"/>
            <w:rFonts w:ascii="Garamond" w:hAnsi="Garamond" w:cs="FrankRuehl" w:hint="eastAsia"/>
            <w:spacing w:val="10"/>
            <w:szCs w:val="28"/>
            <w:rtl/>
          </w:rPr>
          <w:t>א</w:t>
        </w:r>
      </w:hyperlink>
      <w:r w:rsidR="00000000" w:rsidRPr="00284859">
        <w:rPr>
          <w:rFonts w:ascii="Garamond" w:hAnsi="Garamond" w:cs="FrankRuehl"/>
          <w:spacing w:val="10"/>
          <w:szCs w:val="28"/>
          <w:rtl/>
        </w:rPr>
        <w:t xml:space="preserve"> לחוק לעידוד השקעות. אין חולק כי מארג החקיקה בענייננו מקנה לבניינים שאושרו כדין כ"בניינים להשכרה" פטור מתשלום מחצית מאגרת היתר לבניה לפי </w:t>
      </w:r>
      <w:hyperlink r:id="rId11" w:anchor="7" w:history="1">
        <w:r w:rsidR="00894E25" w:rsidRPr="00894E25">
          <w:rPr>
            <w:rStyle w:val="Hyperlink"/>
            <w:rFonts w:ascii="Garamond" w:hAnsi="Garamond" w:cs="FrankRuehl" w:hint="eastAsia"/>
            <w:spacing w:val="10"/>
            <w:szCs w:val="28"/>
            <w:rtl/>
          </w:rPr>
          <w:t>תקנה</w:t>
        </w:r>
        <w:r w:rsidR="00894E25" w:rsidRPr="00894E25">
          <w:rPr>
            <w:rStyle w:val="Hyperlink"/>
            <w:rFonts w:ascii="Garamond" w:hAnsi="Garamond" w:cs="FrankRuehl"/>
            <w:spacing w:val="10"/>
            <w:szCs w:val="28"/>
            <w:rtl/>
          </w:rPr>
          <w:t xml:space="preserve"> 1.00.7</w:t>
        </w:r>
      </w:hyperlink>
      <w:r w:rsidR="00000000" w:rsidRPr="00284859">
        <w:rPr>
          <w:rFonts w:ascii="Garamond" w:hAnsi="Garamond" w:cs="FrankRuehl"/>
          <w:spacing w:val="10"/>
          <w:szCs w:val="28"/>
          <w:rtl/>
        </w:rPr>
        <w:t xml:space="preserve"> בסימן ג' לתוספת השלישית ב</w:t>
      </w:r>
      <w:hyperlink r:id="rId12" w:history="1">
        <w:r w:rsidR="007A6BE9" w:rsidRPr="007A6BE9">
          <w:rPr>
            <w:rFonts w:ascii="Garamond" w:hAnsi="Garamond" w:cs="FrankRuehl" w:hint="eastAsia"/>
            <w:color w:val="0000FF"/>
            <w:spacing w:val="10"/>
            <w:szCs w:val="28"/>
            <w:u w:val="single"/>
            <w:rtl/>
          </w:rPr>
          <w:t>תקנות</w:t>
        </w:r>
        <w:r w:rsidR="007A6BE9" w:rsidRPr="007A6BE9">
          <w:rPr>
            <w:rFonts w:ascii="Garamond" w:hAnsi="Garamond" w:cs="FrankRuehl"/>
            <w:color w:val="0000FF"/>
            <w:spacing w:val="10"/>
            <w:szCs w:val="28"/>
            <w:u w:val="single"/>
            <w:rtl/>
          </w:rPr>
          <w:t xml:space="preserve"> </w:t>
        </w:r>
        <w:r w:rsidR="007A6BE9" w:rsidRPr="007A6BE9">
          <w:rPr>
            <w:rFonts w:ascii="Garamond" w:hAnsi="Garamond" w:cs="FrankRuehl" w:hint="eastAsia"/>
            <w:color w:val="0000FF"/>
            <w:spacing w:val="10"/>
            <w:szCs w:val="28"/>
            <w:u w:val="single"/>
            <w:rtl/>
          </w:rPr>
          <w:t>התכנון</w:t>
        </w:r>
        <w:r w:rsidR="007A6BE9" w:rsidRPr="007A6BE9">
          <w:rPr>
            <w:rFonts w:ascii="Garamond" w:hAnsi="Garamond" w:cs="FrankRuehl"/>
            <w:color w:val="0000FF"/>
            <w:spacing w:val="10"/>
            <w:szCs w:val="28"/>
            <w:u w:val="single"/>
            <w:rtl/>
          </w:rPr>
          <w:t xml:space="preserve"> </w:t>
        </w:r>
        <w:r w:rsidR="007A6BE9" w:rsidRPr="007A6BE9">
          <w:rPr>
            <w:rFonts w:ascii="Garamond" w:hAnsi="Garamond" w:cs="FrankRuehl" w:hint="eastAsia"/>
            <w:color w:val="0000FF"/>
            <w:spacing w:val="10"/>
            <w:szCs w:val="28"/>
            <w:u w:val="single"/>
            <w:rtl/>
          </w:rPr>
          <w:t>והבנייה</w:t>
        </w:r>
        <w:r w:rsidR="007A6BE9" w:rsidRPr="007A6BE9">
          <w:rPr>
            <w:rFonts w:ascii="Garamond" w:hAnsi="Garamond" w:cs="FrankRuehl"/>
            <w:color w:val="0000FF"/>
            <w:spacing w:val="10"/>
            <w:szCs w:val="28"/>
            <w:u w:val="single"/>
            <w:rtl/>
          </w:rPr>
          <w:t xml:space="preserve"> (</w:t>
        </w:r>
        <w:r w:rsidR="007A6BE9" w:rsidRPr="007A6BE9">
          <w:rPr>
            <w:rFonts w:ascii="Garamond" w:hAnsi="Garamond" w:cs="FrankRuehl" w:hint="eastAsia"/>
            <w:color w:val="0000FF"/>
            <w:spacing w:val="10"/>
            <w:szCs w:val="28"/>
            <w:u w:val="single"/>
            <w:rtl/>
          </w:rPr>
          <w:t>בקשה</w:t>
        </w:r>
        <w:r w:rsidR="007A6BE9" w:rsidRPr="007A6BE9">
          <w:rPr>
            <w:rFonts w:ascii="Garamond" w:hAnsi="Garamond" w:cs="FrankRuehl"/>
            <w:color w:val="0000FF"/>
            <w:spacing w:val="10"/>
            <w:szCs w:val="28"/>
            <w:u w:val="single"/>
            <w:rtl/>
          </w:rPr>
          <w:t xml:space="preserve"> </w:t>
        </w:r>
        <w:r w:rsidR="007A6BE9" w:rsidRPr="007A6BE9">
          <w:rPr>
            <w:rFonts w:ascii="Garamond" w:hAnsi="Garamond" w:cs="FrankRuehl" w:hint="eastAsia"/>
            <w:color w:val="0000FF"/>
            <w:spacing w:val="10"/>
            <w:szCs w:val="28"/>
            <w:u w:val="single"/>
            <w:rtl/>
          </w:rPr>
          <w:t>להיתר</w:t>
        </w:r>
      </w:hyperlink>
      <w:r w:rsidR="00000000" w:rsidRPr="00284859">
        <w:rPr>
          <w:rFonts w:ascii="Garamond" w:hAnsi="Garamond" w:cs="FrankRuehl"/>
          <w:spacing w:val="10"/>
          <w:szCs w:val="28"/>
          <w:rtl/>
        </w:rPr>
        <w:t xml:space="preserve">, תנאיו ואגרות), התש"ל-1970, (להלן בהתאמה: </w:t>
      </w:r>
      <w:r w:rsidR="00000000" w:rsidRPr="00284859">
        <w:rPr>
          <w:rFonts w:ascii="Century" w:hAnsi="Century" w:cs="Miriam"/>
          <w:b/>
          <w:sz w:val="22"/>
          <w:rtl/>
        </w:rPr>
        <w:t>האגרה</w:t>
      </w:r>
      <w:r w:rsidR="00000000" w:rsidRPr="00284859">
        <w:rPr>
          <w:rFonts w:ascii="Century" w:hAnsi="Century" w:cs="FrankRuehl"/>
          <w:spacing w:val="10"/>
          <w:sz w:val="22"/>
          <w:szCs w:val="28"/>
          <w:rtl/>
        </w:rPr>
        <w:t>,</w:t>
      </w:r>
      <w:r w:rsidR="00000000" w:rsidRPr="00284859">
        <w:rPr>
          <w:rFonts w:ascii="Garamond" w:hAnsi="Garamond" w:cs="FrankRuehl"/>
          <w:spacing w:val="10"/>
          <w:szCs w:val="28"/>
          <w:rtl/>
        </w:rPr>
        <w:t xml:space="preserve"> </w:t>
      </w:r>
      <w:r w:rsidR="00000000" w:rsidRPr="00284859">
        <w:rPr>
          <w:rFonts w:ascii="Century" w:hAnsi="Century" w:cs="Miriam"/>
          <w:b/>
          <w:sz w:val="22"/>
          <w:rtl/>
        </w:rPr>
        <w:t>ההטבה</w:t>
      </w:r>
      <w:r w:rsidR="00000000" w:rsidRPr="00284859">
        <w:rPr>
          <w:rFonts w:ascii="Garamond" w:hAnsi="Garamond" w:cs="FrankRuehl"/>
          <w:spacing w:val="10"/>
          <w:szCs w:val="28"/>
          <w:rtl/>
        </w:rPr>
        <w:t xml:space="preserve"> ו-</w:t>
      </w:r>
      <w:r w:rsidR="00000000" w:rsidRPr="00284859">
        <w:rPr>
          <w:rFonts w:ascii="Century" w:hAnsi="Century" w:cs="Miriam"/>
          <w:b/>
          <w:sz w:val="22"/>
          <w:rtl/>
        </w:rPr>
        <w:t>תקנות התכנון והבניה</w:t>
      </w:r>
      <w:r w:rsidR="00000000" w:rsidRPr="00284859">
        <w:rPr>
          <w:rFonts w:ascii="Garamond" w:hAnsi="Garamond" w:cs="FrankRuehl"/>
          <w:spacing w:val="10"/>
          <w:szCs w:val="28"/>
          <w:rtl/>
        </w:rPr>
        <w:t xml:space="preserve">). המחלוקת בין הצדדים נוגעת לשני עניינים: </w:t>
      </w:r>
      <w:r w:rsidR="00000000" w:rsidRPr="00284859">
        <w:rPr>
          <w:rFonts w:ascii="Century" w:hAnsi="Century" w:cs="Miriam"/>
          <w:b/>
          <w:sz w:val="22"/>
          <w:rtl/>
        </w:rPr>
        <w:t>הראשון</w:t>
      </w:r>
      <w:r w:rsidR="00000000" w:rsidRPr="00284859">
        <w:rPr>
          <w:rFonts w:ascii="Garamond" w:hAnsi="Garamond" w:cs="FrankRuehl"/>
          <w:spacing w:val="10"/>
          <w:szCs w:val="28"/>
          <w:rtl/>
        </w:rPr>
        <w:t>, לשאלה האם ההטבה מתייחסת לאגרה ששולמה ביחס לכל שטח הבניין שאושר כ"בניין להשכרה", או שהיא חלה רק על שטחן של הדירות המיועדות להשכרה; ו</w:t>
      </w:r>
      <w:r w:rsidR="00000000" w:rsidRPr="00284859">
        <w:rPr>
          <w:rFonts w:ascii="Century" w:hAnsi="Century" w:cs="Miriam"/>
          <w:b/>
          <w:sz w:val="22"/>
          <w:rtl/>
        </w:rPr>
        <w:t>השני</w:t>
      </w:r>
      <w:r w:rsidR="00000000" w:rsidRPr="00284859">
        <w:rPr>
          <w:rFonts w:ascii="Garamond" w:hAnsi="Garamond" w:cs="FrankRuehl"/>
          <w:spacing w:val="10"/>
          <w:szCs w:val="28"/>
          <w:rtl/>
        </w:rPr>
        <w:t xml:space="preserve">, לשאלה האם המועד למתן ההטבה הוא כאשר מינהלת הרשות להשקעות ולפיתוח התעשייה והכלכלה (להלן: </w:t>
      </w:r>
      <w:r w:rsidR="00000000" w:rsidRPr="00284859">
        <w:rPr>
          <w:rFonts w:ascii="Century" w:hAnsi="Century" w:cs="Miriam"/>
          <w:b/>
          <w:sz w:val="22"/>
          <w:rtl/>
        </w:rPr>
        <w:t>המינהלת</w:t>
      </w:r>
      <w:r w:rsidR="00000000" w:rsidRPr="00284859">
        <w:rPr>
          <w:rFonts w:ascii="Garamond" w:hAnsi="Garamond" w:cs="FrankRuehl"/>
          <w:spacing w:val="10"/>
          <w:szCs w:val="28"/>
          <w:rtl/>
        </w:rPr>
        <w:t xml:space="preserve">) מאשרת את התוכנית להקמתו של נכס שהוא "בנין להשכרה", או שמא רק בחלוף מספר שנים, כאשר ניתן לבחון האם מולאו כל התנאים שנקבעו בחוק לקבלת ההטבה, בנוגע למשך השכרת הדירות, מכירת הדירות המושכרות וכיוצא בזאת. </w:t>
      </w:r>
    </w:p>
    <w:p w14:paraId="183E7B0C"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30032E50" w14:textId="77777777" w:rsidR="00284859" w:rsidRPr="00284859" w:rsidRDefault="006A3C58"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tl/>
        </w:rPr>
      </w:pPr>
      <w:r>
        <w:rPr>
          <w:rFonts w:ascii="Garamond" w:hAnsi="Garamond" w:cs="FrankRuehl" w:hint="cs"/>
          <w:spacing w:val="10"/>
          <w:szCs w:val="28"/>
          <w:rtl/>
        </w:rPr>
        <w:t>3.</w:t>
      </w:r>
      <w:r>
        <w:rPr>
          <w:rFonts w:ascii="Garamond" w:hAnsi="Garamond" w:cs="FrankRuehl" w:hint="cs"/>
          <w:spacing w:val="10"/>
          <w:szCs w:val="28"/>
          <w:rtl/>
        </w:rPr>
        <w:tab/>
      </w:r>
      <w:r w:rsidR="00000000" w:rsidRPr="00284859">
        <w:rPr>
          <w:rFonts w:ascii="Garamond" w:hAnsi="Garamond" w:cs="FrankRuehl"/>
          <w:spacing w:val="10"/>
          <w:szCs w:val="28"/>
          <w:rtl/>
        </w:rPr>
        <w:t xml:space="preserve">חברות שפיר נדרשו ושילמו אגרות כתנאי להיתרי הבנייה שהן קיבלו לבניית הבניינים. בתביעתן הן טענו כי הן זכאיות להטבה של השבת מחצית האגרה ששולמה על ידיהן עבור כל אחד מהבניינים, בשל כך שכל אחד מהם הוכר ככנס שהינו "בניין חדש להשכרה" בכתב אישור שניתן על-ידי המינהלת על פי סמכותה מכוח החוק לעידוד השקעות (להלן: </w:t>
      </w:r>
      <w:r w:rsidR="00000000" w:rsidRPr="00284859">
        <w:rPr>
          <w:rFonts w:ascii="Century" w:hAnsi="Century" w:cs="Miriam"/>
          <w:b/>
          <w:sz w:val="22"/>
          <w:rtl/>
        </w:rPr>
        <w:t>כתב האישור</w:t>
      </w:r>
      <w:r w:rsidR="00000000" w:rsidRPr="00284859">
        <w:rPr>
          <w:rFonts w:ascii="Garamond" w:hAnsi="Garamond" w:cs="FrankRuehl"/>
          <w:spacing w:val="10"/>
          <w:szCs w:val="28"/>
          <w:rtl/>
        </w:rPr>
        <w:t xml:space="preserve">). לחלופין, הן טענו כי הן זכאיות להשבת מחצית האגרה ששולמה בגין אותו חלק מהבניינים המיועד להשכרה. עוד טענו חברות שפיר כי זכותן להטבה – השבת מחצית מסכום האגרה ששולמה – התגבשה מהיום שהבניינים אושרו כ"בניין חדש להשכרה" על-ידי המינהלת, עוד בטרם נבנו הבניינים והסתבר האם הם אכן שימשו להשכרה בפועל. </w:t>
      </w:r>
    </w:p>
    <w:p w14:paraId="05147A53"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7DA56BA9" w14:textId="77777777" w:rsidR="00284859" w:rsidRPr="00284859" w:rsidRDefault="00000000"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r w:rsidRPr="00284859">
        <w:rPr>
          <w:rFonts w:ascii="Arial TUR" w:hAnsi="Arial TUR" w:cs="FrankRuehl"/>
          <w:spacing w:val="10"/>
          <w:sz w:val="22"/>
          <w:szCs w:val="28"/>
          <w:rtl/>
        </w:rPr>
        <w:tab/>
        <w:t xml:space="preserve">מנגד, טענה המשיבה (להלן: </w:t>
      </w:r>
      <w:r w:rsidRPr="00284859">
        <w:rPr>
          <w:rFonts w:ascii="Miriam" w:hAnsi="Miriam" w:cs="Miriam"/>
          <w:spacing w:val="10"/>
          <w:sz w:val="22"/>
          <w:rtl/>
        </w:rPr>
        <w:t>הוועדה</w:t>
      </w:r>
      <w:r w:rsidRPr="00284859">
        <w:rPr>
          <w:rFonts w:ascii="Arial TUR" w:hAnsi="Arial TUR" w:cs="FrankRuehl"/>
          <w:spacing w:val="10"/>
          <w:sz w:val="22"/>
          <w:szCs w:val="28"/>
          <w:rtl/>
        </w:rPr>
        <w:t xml:space="preserve">) כי יש לדחות את טענותיהן של חברות שפיר. זאת, מאחר שהבניינים אינם עונים להגדרת "בניין חדש להשכרה" לפי </w:t>
      </w:r>
      <w:hyperlink r:id="rId13" w:history="1">
        <w:r w:rsidR="00894E25" w:rsidRPr="00894E25">
          <w:rPr>
            <w:rStyle w:val="Hyperlink"/>
            <w:rFonts w:ascii="Arial TUR" w:hAnsi="Arial TUR" w:cs="FrankRuehl"/>
            <w:spacing w:val="10"/>
            <w:sz w:val="22"/>
            <w:szCs w:val="28"/>
            <w:rtl/>
          </w:rPr>
          <w:t>סעיף 53א</w:t>
        </w:r>
      </w:hyperlink>
      <w:r w:rsidRPr="00284859">
        <w:rPr>
          <w:rFonts w:ascii="Arial TUR" w:hAnsi="Arial TUR" w:cs="FrankRuehl"/>
          <w:spacing w:val="10"/>
          <w:sz w:val="22"/>
          <w:szCs w:val="28"/>
          <w:rtl/>
        </w:rPr>
        <w:t xml:space="preserve"> לחוק, שכן הם טרם אושרו על-ידי המינהלת באופן סופי כנכסים מאושרים. נטען כי כתבי האישור שצורפו לכתב התביעה הינם אישורים עקרוניים;  אולם אישורים סופיים יינתנו רק לאחר שיתברר האם התקיימו התנאים שפורטו בכתב האישור העקרוני. רק לאחר מתן האישור הסופי על-ידי המינהלת, קרי לאחר שחברות שפיר יעמדו בתנאים הנוספים הקבועים </w:t>
      </w:r>
      <w:hyperlink r:id="rId14" w:history="1">
        <w:r w:rsidR="00894E25" w:rsidRPr="00894E25">
          <w:rPr>
            <w:rStyle w:val="Hyperlink"/>
            <w:rFonts w:ascii="Arial TUR" w:hAnsi="Arial TUR" w:cs="FrankRuehl"/>
            <w:spacing w:val="10"/>
            <w:sz w:val="22"/>
            <w:szCs w:val="28"/>
            <w:rtl/>
          </w:rPr>
          <w:t>בסעיף 53ב</w:t>
        </w:r>
      </w:hyperlink>
      <w:r w:rsidRPr="00284859">
        <w:rPr>
          <w:rFonts w:ascii="Arial TUR" w:hAnsi="Arial TUR" w:cs="FrankRuehl"/>
          <w:spacing w:val="10"/>
          <w:sz w:val="22"/>
          <w:szCs w:val="28"/>
          <w:rtl/>
        </w:rPr>
        <w:t xml:space="preserve"> לחוק – הן יהיו זכאיות להטבה. באשר </w:t>
      </w:r>
      <w:r w:rsidRPr="00284859">
        <w:rPr>
          <w:rFonts w:ascii="Arial TUR" w:hAnsi="Arial TUR" w:cs="FrankRuehl"/>
          <w:spacing w:val="10"/>
          <w:sz w:val="22"/>
          <w:szCs w:val="28"/>
          <w:rtl/>
        </w:rPr>
        <w:lastRenderedPageBreak/>
        <w:t>לגובה ההטבה – לטענת הוועדה, היתר לבנייתו של "בניין להשכרה" יהיה פטור ממחצית האגרה ששולמה בעד חלק הבניין המיועד להשכרה.</w:t>
      </w:r>
    </w:p>
    <w:p w14:paraId="4E20245C" w14:textId="77777777" w:rsidR="00284859" w:rsidRPr="00284859" w:rsidRDefault="00284859"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Pr>
      </w:pPr>
    </w:p>
    <w:p w14:paraId="421FC1E7" w14:textId="77777777" w:rsidR="00284859" w:rsidRPr="00284859" w:rsidRDefault="0071337E"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tl/>
        </w:rPr>
      </w:pPr>
      <w:r>
        <w:rPr>
          <w:rFonts w:ascii="Garamond" w:hAnsi="Garamond" w:cs="FrankRuehl" w:hint="cs"/>
          <w:spacing w:val="10"/>
          <w:szCs w:val="28"/>
          <w:rtl/>
        </w:rPr>
        <w:t>4.</w:t>
      </w:r>
      <w:r>
        <w:rPr>
          <w:rFonts w:ascii="Garamond" w:hAnsi="Garamond" w:cs="FrankRuehl" w:hint="cs"/>
          <w:spacing w:val="10"/>
          <w:szCs w:val="28"/>
          <w:rtl/>
        </w:rPr>
        <w:tab/>
      </w:r>
      <w:r w:rsidR="00000000" w:rsidRPr="00284859">
        <w:rPr>
          <w:rFonts w:ascii="Garamond" w:hAnsi="Garamond" w:cs="FrankRuehl"/>
          <w:spacing w:val="10"/>
          <w:szCs w:val="28"/>
          <w:rtl/>
        </w:rPr>
        <w:t>בית משפט קמא קבע בפסק דינו מיום 9.8.2023 כי ההטבה ניתנת רק בגין החלק בבניינים המיועד להשכרה לפי כתבי האישור, כך שעל הוועדה להשיב לחברות שפיר מחצית מסכום האגרה ששולמה רק בעד החלק המיועד להשכרה. כן נקבע כי ההטבה ניתנת לאחר שהבניין אושר כנכס מאושר על ידי המינהלת, קרי עובר לבניית הבניינים ועוד בטרם הובהר האם אכן התקיימו התנאים הקבועים בחוק לקבלת ההטבה. נקבע כי הזכאות להטבה מתגבשת במועד שבו הוכר הבניין כ"בניין להשכרה", וכי אם יתברר בהמשך כי תנאי מהתנאים הקבועים בחוק לקבלת ההטבה לא התקיים – תבוטל ההטבה למפרע.</w:t>
      </w:r>
    </w:p>
    <w:p w14:paraId="575E84A5"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6013A3F4" w14:textId="77777777" w:rsidR="00284859" w:rsidRPr="00284859" w:rsidRDefault="0071337E"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tl/>
        </w:rPr>
      </w:pPr>
      <w:r>
        <w:rPr>
          <w:rFonts w:ascii="Garamond" w:hAnsi="Garamond" w:cs="FrankRuehl" w:hint="cs"/>
          <w:spacing w:val="10"/>
          <w:szCs w:val="28"/>
          <w:rtl/>
        </w:rPr>
        <w:t>5.</w:t>
      </w:r>
      <w:r>
        <w:rPr>
          <w:rFonts w:ascii="Garamond" w:hAnsi="Garamond" w:cs="FrankRuehl" w:hint="cs"/>
          <w:spacing w:val="10"/>
          <w:szCs w:val="28"/>
          <w:rtl/>
        </w:rPr>
        <w:tab/>
      </w:r>
      <w:r w:rsidR="00000000" w:rsidRPr="00284859">
        <w:rPr>
          <w:rFonts w:ascii="Garamond" w:hAnsi="Garamond" w:cs="FrankRuehl"/>
          <w:spacing w:val="10"/>
          <w:szCs w:val="28"/>
          <w:rtl/>
        </w:rPr>
        <w:t xml:space="preserve">לאחר מתן פסק הדין, הגישו המערערות 2-1 בקשה לתיקון טעות סופר, בה טענו כי היה על בית משפט קמא לכלול בפסק הדין גם סעד ביחס לכתב אישור מספר 4519 שניתן ביום 22.4.2021 ביחס לפרויקט שהוגדר על ידיהן כפרויקט מספר 2 (להלן: </w:t>
      </w:r>
      <w:r w:rsidR="00000000" w:rsidRPr="00284859">
        <w:rPr>
          <w:rFonts w:ascii="Century" w:hAnsi="Century" w:cs="Miriam"/>
          <w:b/>
          <w:sz w:val="22"/>
          <w:rtl/>
        </w:rPr>
        <w:t>כתב אישור 4519</w:t>
      </w:r>
      <w:r w:rsidR="00000000" w:rsidRPr="00284859">
        <w:rPr>
          <w:rFonts w:ascii="Garamond" w:hAnsi="Garamond" w:cs="FrankRuehl"/>
          <w:spacing w:val="10"/>
          <w:szCs w:val="28"/>
          <w:rtl/>
        </w:rPr>
        <w:t>). בהחלטתו מיום 21.8.2023 דחה בית משפט קמא את הבקשה מהטעם שמדובר בתיקון מהותי. נקבע כי גם לגופם של דברים לא היה מקום להתייחס לכתב אישור 4519 בפסק הדין. זאת, הואיל והוועדה הכחישה שהמסמכים שצורפו לכתב התביעה הם "כתבי אישור" שניתנו כדין; חברות שפיר לא הגישו את כתב האישור כראייה אלא רק כנספח לכתב התביעה; וכי היה על כתבי האישור להיות מוגשים כראייה, שכן בית המשפט הסתמך עליהם בחישוב גובה ההטבה.</w:t>
      </w:r>
    </w:p>
    <w:p w14:paraId="6C85A4B3"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5E0C57CB" w14:textId="77777777" w:rsidR="00284859" w:rsidRPr="00284859" w:rsidRDefault="0071337E"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Pr>
      </w:pPr>
      <w:r>
        <w:rPr>
          <w:rFonts w:ascii="Garamond" w:hAnsi="Garamond" w:cs="FrankRuehl" w:hint="cs"/>
          <w:spacing w:val="10"/>
          <w:szCs w:val="28"/>
          <w:rtl/>
        </w:rPr>
        <w:t>6.</w:t>
      </w:r>
      <w:r>
        <w:rPr>
          <w:rFonts w:ascii="Garamond" w:hAnsi="Garamond" w:cs="FrankRuehl" w:hint="cs"/>
          <w:spacing w:val="10"/>
          <w:szCs w:val="28"/>
          <w:rtl/>
        </w:rPr>
        <w:tab/>
      </w:r>
      <w:r w:rsidR="00000000" w:rsidRPr="00284859">
        <w:rPr>
          <w:rFonts w:ascii="Garamond" w:hAnsi="Garamond" w:cs="FrankRuehl"/>
          <w:spacing w:val="10"/>
          <w:szCs w:val="28"/>
          <w:rtl/>
        </w:rPr>
        <w:t xml:space="preserve">מכאן הערעורים שלפנינו. </w:t>
      </w:r>
    </w:p>
    <w:p w14:paraId="1A90EED3" w14:textId="77777777" w:rsidR="00284859" w:rsidRPr="00284859" w:rsidRDefault="00284859"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tl/>
        </w:rPr>
      </w:pPr>
    </w:p>
    <w:p w14:paraId="4526D398" w14:textId="77777777" w:rsidR="00284859" w:rsidRPr="00284859" w:rsidRDefault="00000000"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tl/>
        </w:rPr>
      </w:pPr>
      <w:r w:rsidRPr="00284859">
        <w:rPr>
          <w:rFonts w:ascii="Garamond" w:hAnsi="Garamond" w:cs="FrankRuehl"/>
          <w:spacing w:val="10"/>
          <w:szCs w:val="28"/>
          <w:rtl/>
        </w:rPr>
        <w:tab/>
        <w:t xml:space="preserve">תחילה תובהר המסגרת הנורמטיבית הרלוונטית לצורך הכרעה במחלוקות נושא הערעורים, ולאחר מכן יידונו בנפרד שני הערעורים – ערעור חברות שפיר וערעור הוועדה. </w:t>
      </w:r>
    </w:p>
    <w:p w14:paraId="7D9037DF" w14:textId="77777777" w:rsidR="00284859" w:rsidRPr="00284859" w:rsidRDefault="00284859"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tl/>
        </w:rPr>
      </w:pPr>
    </w:p>
    <w:p w14:paraId="20BC550F" w14:textId="77777777" w:rsidR="00284859" w:rsidRPr="00284859" w:rsidRDefault="00000000" w:rsidP="00284859">
      <w:pPr>
        <w:tabs>
          <w:tab w:val="left" w:pos="800"/>
          <w:tab w:val="num" w:pos="1474"/>
        </w:tabs>
        <w:overflowPunct w:val="0"/>
        <w:autoSpaceDE w:val="0"/>
        <w:autoSpaceDN w:val="0"/>
        <w:adjustRightInd w:val="0"/>
        <w:spacing w:line="360" w:lineRule="auto"/>
        <w:jc w:val="both"/>
        <w:rPr>
          <w:rFonts w:ascii="Century" w:hAnsi="Century" w:cs="Miriam"/>
          <w:b/>
          <w:sz w:val="22"/>
          <w:rtl/>
        </w:rPr>
      </w:pPr>
      <w:r w:rsidRPr="00284859">
        <w:rPr>
          <w:rFonts w:ascii="Century" w:hAnsi="Century" w:cs="Miriam"/>
          <w:b/>
          <w:sz w:val="22"/>
          <w:rtl/>
        </w:rPr>
        <w:t>המסגרת הנורמטיבית</w:t>
      </w:r>
    </w:p>
    <w:p w14:paraId="7417DB6A" w14:textId="77777777" w:rsidR="00284859" w:rsidRPr="00284859" w:rsidRDefault="00284859"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tl/>
        </w:rPr>
      </w:pPr>
    </w:p>
    <w:p w14:paraId="52496FD6" w14:textId="77777777" w:rsidR="00284859" w:rsidRPr="00284859" w:rsidRDefault="0071337E"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Pr>
      </w:pPr>
      <w:r>
        <w:rPr>
          <w:rFonts w:ascii="Garamond" w:hAnsi="Garamond" w:cs="FrankRuehl" w:hint="cs"/>
          <w:spacing w:val="10"/>
          <w:szCs w:val="28"/>
          <w:rtl/>
        </w:rPr>
        <w:t>7.</w:t>
      </w:r>
      <w:r>
        <w:rPr>
          <w:rFonts w:ascii="Garamond" w:hAnsi="Garamond" w:cs="FrankRuehl" w:hint="cs"/>
          <w:spacing w:val="10"/>
          <w:szCs w:val="28"/>
          <w:rtl/>
        </w:rPr>
        <w:tab/>
      </w:r>
      <w:r w:rsidR="00000000" w:rsidRPr="00284859">
        <w:rPr>
          <w:rFonts w:ascii="Garamond" w:hAnsi="Garamond" w:cs="FrankRuehl"/>
          <w:spacing w:val="10"/>
          <w:szCs w:val="28"/>
          <w:rtl/>
        </w:rPr>
        <w:t xml:space="preserve">החוק לעידוד השקעות הגדיר את המונחים הרלוונטיים בו, ויש לעמוד תחילה  על הגדרות אלה. </w:t>
      </w:r>
      <w:hyperlink r:id="rId15" w:history="1">
        <w:r w:rsidR="00894E25" w:rsidRPr="00894E25">
          <w:rPr>
            <w:rStyle w:val="Hyperlink"/>
            <w:rFonts w:ascii="Garamond" w:hAnsi="Garamond" w:cs="FrankRuehl" w:hint="eastAsia"/>
            <w:spacing w:val="10"/>
            <w:szCs w:val="28"/>
            <w:rtl/>
          </w:rPr>
          <w:t>סעיף</w:t>
        </w:r>
        <w:r w:rsidR="00894E25" w:rsidRPr="00894E25">
          <w:rPr>
            <w:rStyle w:val="Hyperlink"/>
            <w:rFonts w:ascii="Garamond" w:hAnsi="Garamond" w:cs="FrankRuehl"/>
            <w:spacing w:val="10"/>
            <w:szCs w:val="28"/>
            <w:rtl/>
          </w:rPr>
          <w:t xml:space="preserve"> 3(2)</w:t>
        </w:r>
      </w:hyperlink>
      <w:r w:rsidR="00000000" w:rsidRPr="00284859">
        <w:rPr>
          <w:rFonts w:ascii="Garamond" w:hAnsi="Garamond" w:cs="FrankRuehl"/>
          <w:spacing w:val="10"/>
          <w:szCs w:val="28"/>
          <w:rtl/>
        </w:rPr>
        <w:t xml:space="preserve"> לחוק לעידוד השקעות קובע כי </w:t>
      </w:r>
      <w:r w:rsidR="00000000" w:rsidRPr="00284859">
        <w:rPr>
          <w:rFonts w:ascii="Century" w:hAnsi="Century" w:cs="Miriam"/>
          <w:b/>
          <w:sz w:val="22"/>
          <w:rtl/>
        </w:rPr>
        <w:t>"תכנית"</w:t>
      </w:r>
      <w:r w:rsidR="00000000" w:rsidRPr="00284859">
        <w:rPr>
          <w:rFonts w:ascii="Garamond" w:hAnsi="Garamond" w:cs="FrankRuehl"/>
          <w:spacing w:val="10"/>
          <w:szCs w:val="28"/>
          <w:rtl/>
        </w:rPr>
        <w:t xml:space="preserve"> לעניין החוק היא, </w:t>
      </w:r>
      <w:r w:rsidR="00000000" w:rsidRPr="00284859">
        <w:rPr>
          <w:rFonts w:ascii="Garamond" w:hAnsi="Garamond" w:cs="FrankRuehl"/>
          <w:spacing w:val="10"/>
          <w:szCs w:val="28"/>
          <w:rtl/>
        </w:rPr>
        <w:lastRenderedPageBreak/>
        <w:t xml:space="preserve">בין היתר, תכנית להקמתו של נכס שהוא </w:t>
      </w:r>
      <w:r w:rsidR="00000000" w:rsidRPr="00284859">
        <w:rPr>
          <w:rFonts w:ascii="Century" w:hAnsi="Century" w:cs="Miriam"/>
          <w:b/>
          <w:sz w:val="22"/>
          <w:rtl/>
        </w:rPr>
        <w:t>"בניין להשכרה"</w:t>
      </w:r>
      <w:r w:rsidR="00000000" w:rsidRPr="00284859">
        <w:rPr>
          <w:rFonts w:ascii="Garamond" w:hAnsi="Garamond" w:cs="FrankRuehl"/>
          <w:spacing w:val="10"/>
          <w:szCs w:val="28"/>
          <w:rtl/>
        </w:rPr>
        <w:t xml:space="preserve"> כהגדרתו </w:t>
      </w:r>
      <w:hyperlink r:id="rId16" w:history="1">
        <w:r w:rsidR="00894E25" w:rsidRPr="00894E25">
          <w:rPr>
            <w:rStyle w:val="Hyperlink"/>
            <w:rFonts w:ascii="Garamond" w:hAnsi="Garamond" w:cs="FrankRuehl" w:hint="eastAsia"/>
            <w:spacing w:val="10"/>
            <w:szCs w:val="28"/>
            <w:rtl/>
          </w:rPr>
          <w:t>בסעיף</w:t>
        </w:r>
        <w:r w:rsidR="00894E25" w:rsidRPr="00894E25">
          <w:rPr>
            <w:rStyle w:val="Hyperlink"/>
            <w:rFonts w:ascii="Garamond" w:hAnsi="Garamond" w:cs="FrankRuehl"/>
            <w:spacing w:val="10"/>
            <w:szCs w:val="28"/>
            <w:rtl/>
          </w:rPr>
          <w:t xml:space="preserve"> 53</w:t>
        </w:r>
        <w:r w:rsidR="00894E25" w:rsidRPr="00894E25">
          <w:rPr>
            <w:rStyle w:val="Hyperlink"/>
            <w:rFonts w:ascii="Garamond" w:hAnsi="Garamond" w:cs="FrankRuehl" w:hint="eastAsia"/>
            <w:spacing w:val="10"/>
            <w:szCs w:val="28"/>
            <w:rtl/>
          </w:rPr>
          <w:t>א</w:t>
        </w:r>
      </w:hyperlink>
      <w:r w:rsidR="00000000" w:rsidRPr="00284859">
        <w:rPr>
          <w:rFonts w:ascii="Garamond" w:hAnsi="Garamond" w:cs="FrankRuehl"/>
          <w:spacing w:val="10"/>
          <w:szCs w:val="28"/>
          <w:rtl/>
        </w:rPr>
        <w:t xml:space="preserve"> לחוק. </w:t>
      </w:r>
      <w:hyperlink r:id="rId17" w:history="1">
        <w:r w:rsidR="00894E25" w:rsidRPr="00894E25">
          <w:rPr>
            <w:rStyle w:val="Hyperlink"/>
            <w:rFonts w:ascii="Garamond" w:hAnsi="Garamond" w:cs="FrankRuehl" w:hint="eastAsia"/>
            <w:spacing w:val="10"/>
            <w:szCs w:val="28"/>
            <w:rtl/>
          </w:rPr>
          <w:t>סעיף</w:t>
        </w:r>
        <w:r w:rsidR="00894E25" w:rsidRPr="00894E25">
          <w:rPr>
            <w:rStyle w:val="Hyperlink"/>
            <w:rFonts w:ascii="Garamond" w:hAnsi="Garamond" w:cs="FrankRuehl"/>
            <w:spacing w:val="10"/>
            <w:szCs w:val="28"/>
            <w:rtl/>
          </w:rPr>
          <w:t xml:space="preserve"> 17</w:t>
        </w:r>
      </w:hyperlink>
      <w:r w:rsidR="00000000" w:rsidRPr="00284859">
        <w:rPr>
          <w:rFonts w:ascii="Garamond" w:hAnsi="Garamond" w:cs="FrankRuehl"/>
          <w:spacing w:val="10"/>
          <w:szCs w:val="28"/>
          <w:rtl/>
        </w:rPr>
        <w:t xml:space="preserve"> לחוק קובע כי המבקש אישור לתכנית, יגיש תיאור מפורט של הפעולה שיש בדעתו לבצע במסגרת התכנית וימסור כל פרט נוסף לשם בחינתה. </w:t>
      </w:r>
      <w:hyperlink r:id="rId18" w:history="1">
        <w:r w:rsidR="00894E25" w:rsidRPr="00894E25">
          <w:rPr>
            <w:rStyle w:val="Hyperlink"/>
            <w:rFonts w:ascii="Garamond" w:hAnsi="Garamond" w:cs="FrankRuehl" w:hint="eastAsia"/>
            <w:spacing w:val="10"/>
            <w:szCs w:val="28"/>
            <w:rtl/>
          </w:rPr>
          <w:t>סעיף</w:t>
        </w:r>
        <w:r w:rsidR="00894E25" w:rsidRPr="00894E25">
          <w:rPr>
            <w:rStyle w:val="Hyperlink"/>
            <w:rFonts w:ascii="Garamond" w:hAnsi="Garamond" w:cs="FrankRuehl"/>
            <w:spacing w:val="10"/>
            <w:szCs w:val="28"/>
            <w:rtl/>
          </w:rPr>
          <w:t xml:space="preserve"> 18(</w:t>
        </w:r>
        <w:r w:rsidR="00894E25" w:rsidRPr="00894E25">
          <w:rPr>
            <w:rStyle w:val="Hyperlink"/>
            <w:rFonts w:ascii="Garamond" w:hAnsi="Garamond" w:cs="FrankRuehl" w:hint="eastAsia"/>
            <w:spacing w:val="10"/>
            <w:szCs w:val="28"/>
            <w:rtl/>
          </w:rPr>
          <w:t>א</w:t>
        </w:r>
        <w:r w:rsidR="00894E25" w:rsidRPr="00894E25">
          <w:rPr>
            <w:rStyle w:val="Hyperlink"/>
            <w:rFonts w:ascii="Garamond" w:hAnsi="Garamond" w:cs="FrankRuehl"/>
            <w:spacing w:val="10"/>
            <w:szCs w:val="28"/>
            <w:rtl/>
          </w:rPr>
          <w:t>)(1)</w:t>
        </w:r>
      </w:hyperlink>
      <w:r w:rsidR="00000000" w:rsidRPr="00284859">
        <w:rPr>
          <w:rFonts w:ascii="Garamond" w:hAnsi="Garamond" w:cs="FrankRuehl"/>
          <w:spacing w:val="10"/>
          <w:szCs w:val="28"/>
          <w:rtl/>
        </w:rPr>
        <w:t xml:space="preserve"> לחוק קובע כי המינהלת רשאית לאשר תכנית אם ראתה שביצועה </w:t>
      </w:r>
      <w:r w:rsidR="00000000" w:rsidRPr="00284859">
        <w:rPr>
          <w:rFonts w:ascii="Century" w:hAnsi="Century" w:cs="Miriam"/>
          <w:b/>
          <w:sz w:val="22"/>
          <w:rtl/>
        </w:rPr>
        <w:t>"עשוי לסייע להגשמתה של מטרת חוק זה, ושרצוי לעודד הגשמתה על ידי מתן אישור"</w:t>
      </w:r>
      <w:r w:rsidR="00000000" w:rsidRPr="00284859">
        <w:rPr>
          <w:rFonts w:ascii="Garamond" w:hAnsi="Garamond" w:cs="FrankRuehl"/>
          <w:spacing w:val="10"/>
          <w:szCs w:val="28"/>
          <w:rtl/>
        </w:rPr>
        <w:t xml:space="preserve">. </w:t>
      </w:r>
      <w:hyperlink r:id="rId19" w:history="1">
        <w:r w:rsidR="00894E25" w:rsidRPr="00894E25">
          <w:rPr>
            <w:rStyle w:val="Hyperlink"/>
            <w:rFonts w:ascii="Garamond" w:hAnsi="Garamond" w:cs="FrankRuehl" w:hint="eastAsia"/>
            <w:spacing w:val="10"/>
            <w:szCs w:val="28"/>
            <w:rtl/>
          </w:rPr>
          <w:t>סעיף</w:t>
        </w:r>
        <w:r w:rsidR="00894E25" w:rsidRPr="00894E25">
          <w:rPr>
            <w:rStyle w:val="Hyperlink"/>
            <w:rFonts w:ascii="Garamond" w:hAnsi="Garamond" w:cs="FrankRuehl"/>
            <w:spacing w:val="10"/>
            <w:szCs w:val="28"/>
            <w:rtl/>
          </w:rPr>
          <w:t xml:space="preserve"> 18(</w:t>
        </w:r>
        <w:r w:rsidR="00894E25" w:rsidRPr="00894E25">
          <w:rPr>
            <w:rStyle w:val="Hyperlink"/>
            <w:rFonts w:ascii="Garamond" w:hAnsi="Garamond" w:cs="FrankRuehl" w:hint="eastAsia"/>
            <w:spacing w:val="10"/>
            <w:szCs w:val="28"/>
            <w:rtl/>
          </w:rPr>
          <w:t>א</w:t>
        </w:r>
        <w:r w:rsidR="00894E25" w:rsidRPr="00894E25">
          <w:rPr>
            <w:rStyle w:val="Hyperlink"/>
            <w:rFonts w:ascii="Garamond" w:hAnsi="Garamond" w:cs="FrankRuehl"/>
            <w:spacing w:val="10"/>
            <w:szCs w:val="28"/>
            <w:rtl/>
          </w:rPr>
          <w:t>)(3)</w:t>
        </w:r>
      </w:hyperlink>
      <w:r w:rsidR="00000000" w:rsidRPr="00284859">
        <w:rPr>
          <w:rFonts w:ascii="Garamond" w:hAnsi="Garamond" w:cs="FrankRuehl"/>
          <w:spacing w:val="10"/>
          <w:szCs w:val="28"/>
          <w:rtl/>
        </w:rPr>
        <w:t xml:space="preserve"> לחוק קובע כי תכנית או חלק ממנה שאושרה על-ידי המינהלת תהיה ל</w:t>
      </w:r>
      <w:r w:rsidR="00000000" w:rsidRPr="00284859">
        <w:rPr>
          <w:rFonts w:ascii="Century" w:hAnsi="Century" w:cs="Miriam"/>
          <w:b/>
          <w:sz w:val="22"/>
          <w:rtl/>
        </w:rPr>
        <w:t>"תכנית מאושרת"</w:t>
      </w:r>
      <w:r w:rsidR="00000000" w:rsidRPr="00284859">
        <w:rPr>
          <w:rFonts w:ascii="Garamond" w:hAnsi="Garamond" w:cs="FrankRuehl"/>
          <w:spacing w:val="10"/>
          <w:szCs w:val="28"/>
          <w:rtl/>
        </w:rPr>
        <w:t xml:space="preserve">; </w:t>
      </w:r>
      <w:hyperlink r:id="rId20" w:history="1">
        <w:r w:rsidR="00894E25" w:rsidRPr="00894E25">
          <w:rPr>
            <w:rStyle w:val="Hyperlink"/>
            <w:rFonts w:ascii="Garamond" w:hAnsi="Garamond" w:cs="FrankRuehl" w:hint="eastAsia"/>
            <w:spacing w:val="10"/>
            <w:szCs w:val="28"/>
            <w:rtl/>
          </w:rPr>
          <w:t>וסעיף</w:t>
        </w:r>
        <w:r w:rsidR="00894E25" w:rsidRPr="00894E25">
          <w:rPr>
            <w:rStyle w:val="Hyperlink"/>
            <w:rFonts w:ascii="Garamond" w:hAnsi="Garamond" w:cs="FrankRuehl"/>
            <w:spacing w:val="10"/>
            <w:szCs w:val="28"/>
            <w:rtl/>
          </w:rPr>
          <w:t xml:space="preserve"> 21</w:t>
        </w:r>
      </w:hyperlink>
      <w:r w:rsidR="00000000" w:rsidRPr="00284859">
        <w:rPr>
          <w:rFonts w:ascii="Garamond" w:hAnsi="Garamond" w:cs="FrankRuehl"/>
          <w:spacing w:val="10"/>
          <w:szCs w:val="28"/>
          <w:rtl/>
        </w:rPr>
        <w:t xml:space="preserve"> לחוק קובע כי נכס שביצועו הוא נושא תכנית מאושרת יהיה ל</w:t>
      </w:r>
      <w:r w:rsidR="00000000" w:rsidRPr="00284859">
        <w:rPr>
          <w:rFonts w:ascii="Century" w:hAnsi="Century" w:cs="Miriam"/>
          <w:b/>
          <w:sz w:val="22"/>
          <w:rtl/>
        </w:rPr>
        <w:t>"נכס מאושר".</w:t>
      </w:r>
    </w:p>
    <w:p w14:paraId="6654482C"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4A619B3F" w14:textId="77777777" w:rsidR="00284859" w:rsidRPr="00284859" w:rsidRDefault="0071337E" w:rsidP="00284859">
      <w:pPr>
        <w:tabs>
          <w:tab w:val="left" w:pos="800"/>
          <w:tab w:val="num" w:pos="907"/>
          <w:tab w:val="num" w:pos="1474"/>
        </w:tabs>
        <w:overflowPunct w:val="0"/>
        <w:autoSpaceDE w:val="0"/>
        <w:autoSpaceDN w:val="0"/>
        <w:adjustRightInd w:val="0"/>
        <w:spacing w:line="360" w:lineRule="auto"/>
        <w:jc w:val="both"/>
        <w:rPr>
          <w:rFonts w:ascii="Century" w:hAnsi="Century" w:cs="FrankRuehl"/>
          <w:spacing w:val="10"/>
          <w:sz w:val="22"/>
          <w:szCs w:val="28"/>
          <w:rtl/>
        </w:rPr>
      </w:pPr>
      <w:r>
        <w:rPr>
          <w:rFonts w:ascii="Century" w:hAnsi="Century" w:cs="FrankRuehl" w:hint="cs"/>
          <w:spacing w:val="10"/>
          <w:sz w:val="22"/>
          <w:szCs w:val="28"/>
          <w:rtl/>
        </w:rPr>
        <w:t>8.</w:t>
      </w:r>
      <w:r>
        <w:rPr>
          <w:rFonts w:ascii="Century" w:hAnsi="Century" w:cs="FrankRuehl" w:hint="cs"/>
          <w:spacing w:val="10"/>
          <w:sz w:val="22"/>
          <w:szCs w:val="28"/>
          <w:rtl/>
        </w:rPr>
        <w:tab/>
      </w:r>
      <w:hyperlink r:id="rId21" w:history="1">
        <w:r w:rsidR="00894E25" w:rsidRPr="00894E25">
          <w:rPr>
            <w:rStyle w:val="Hyperlink"/>
            <w:rFonts w:ascii="Century" w:hAnsi="Century" w:cs="FrankRuehl" w:hint="eastAsia"/>
            <w:spacing w:val="10"/>
            <w:sz w:val="22"/>
            <w:szCs w:val="28"/>
            <w:rtl/>
          </w:rPr>
          <w:t>סעיף</w:t>
        </w:r>
        <w:r w:rsidR="00894E25" w:rsidRPr="00894E25">
          <w:rPr>
            <w:rStyle w:val="Hyperlink"/>
            <w:rFonts w:ascii="Century" w:hAnsi="Century" w:cs="FrankRuehl"/>
            <w:spacing w:val="10"/>
            <w:sz w:val="22"/>
            <w:szCs w:val="28"/>
            <w:rtl/>
          </w:rPr>
          <w:t xml:space="preserve"> 53</w:t>
        </w:r>
        <w:r w:rsidR="00894E25" w:rsidRPr="00894E25">
          <w:rPr>
            <w:rStyle w:val="Hyperlink"/>
            <w:rFonts w:ascii="Century" w:hAnsi="Century" w:cs="FrankRuehl" w:hint="eastAsia"/>
            <w:spacing w:val="10"/>
            <w:sz w:val="22"/>
            <w:szCs w:val="28"/>
            <w:rtl/>
          </w:rPr>
          <w:t>א</w:t>
        </w:r>
        <w:r w:rsidR="00894E25" w:rsidRPr="00894E25">
          <w:rPr>
            <w:rStyle w:val="Hyperlink"/>
            <w:rFonts w:ascii="Century" w:hAnsi="Century" w:cs="FrankRuehl"/>
            <w:spacing w:val="10"/>
            <w:sz w:val="22"/>
            <w:szCs w:val="28"/>
            <w:rtl/>
          </w:rPr>
          <w:t>(</w:t>
        </w:r>
        <w:r w:rsidR="00894E25" w:rsidRPr="00894E25">
          <w:rPr>
            <w:rStyle w:val="Hyperlink"/>
            <w:rFonts w:ascii="Century" w:hAnsi="Century" w:cs="FrankRuehl" w:hint="eastAsia"/>
            <w:spacing w:val="10"/>
            <w:sz w:val="22"/>
            <w:szCs w:val="28"/>
            <w:rtl/>
          </w:rPr>
          <w:t>א</w:t>
        </w:r>
        <w:r w:rsidR="00894E25" w:rsidRPr="00894E25">
          <w:rPr>
            <w:rStyle w:val="Hyperlink"/>
            <w:rFonts w:ascii="Century" w:hAnsi="Century" w:cs="FrankRuehl"/>
            <w:spacing w:val="10"/>
            <w:sz w:val="22"/>
            <w:szCs w:val="28"/>
            <w:rtl/>
          </w:rPr>
          <w:t>)</w:t>
        </w:r>
      </w:hyperlink>
      <w:r w:rsidR="00000000" w:rsidRPr="00284859">
        <w:rPr>
          <w:rFonts w:ascii="Century" w:hAnsi="Century" w:cs="FrankRuehl"/>
          <w:spacing w:val="10"/>
          <w:sz w:val="22"/>
          <w:szCs w:val="28"/>
          <w:rtl/>
        </w:rPr>
        <w:t xml:space="preserve"> לחוק לעידוד השקעות מגדיר מה ייחשב "בניין להשכרה" ו"בניין חדש להשכרה":</w:t>
      </w:r>
    </w:p>
    <w:p w14:paraId="1D8DA2DF"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tbl>
      <w:tblPr>
        <w:bidiVisual/>
        <w:tblW w:w="0" w:type="auto"/>
        <w:tblInd w:w="1272" w:type="dxa"/>
        <w:tblLook w:val="01E0" w:firstRow="1" w:lastRow="1" w:firstColumn="1" w:lastColumn="1" w:noHBand="0" w:noVBand="0"/>
      </w:tblPr>
      <w:tblGrid>
        <w:gridCol w:w="1517"/>
        <w:gridCol w:w="4687"/>
      </w:tblGrid>
      <w:tr w:rsidR="00320E8F" w14:paraId="6C0F38C3" w14:textId="77777777" w:rsidTr="00284859">
        <w:trPr>
          <w:trHeight w:val="2791"/>
        </w:trPr>
        <w:tc>
          <w:tcPr>
            <w:tcW w:w="1517" w:type="dxa"/>
          </w:tcPr>
          <w:p w14:paraId="5DADF677" w14:textId="77777777" w:rsidR="00284859" w:rsidRPr="00284859" w:rsidRDefault="00000000" w:rsidP="00284859">
            <w:pPr>
              <w:tabs>
                <w:tab w:val="left" w:pos="800"/>
              </w:tabs>
              <w:overflowPunct w:val="0"/>
              <w:autoSpaceDE w:val="0"/>
              <w:autoSpaceDN w:val="0"/>
              <w:adjustRightInd w:val="0"/>
              <w:rPr>
                <w:rFonts w:ascii="FrankRuehl" w:hAnsi="FrankRuehl" w:cs="FrankRuehl"/>
                <w:b/>
                <w:sz w:val="28"/>
                <w:szCs w:val="28"/>
                <w:rtl/>
              </w:rPr>
            </w:pPr>
            <w:r w:rsidRPr="00284859">
              <w:rPr>
                <w:rFonts w:ascii="FrankRuehl" w:hAnsi="FrankRuehl" w:cs="FrankRuehl"/>
                <w:b/>
                <w:sz w:val="28"/>
                <w:szCs w:val="28"/>
                <w:rtl/>
              </w:rPr>
              <w:t>הגדרות</w:t>
            </w:r>
          </w:p>
        </w:tc>
        <w:tc>
          <w:tcPr>
            <w:tcW w:w="4687" w:type="dxa"/>
          </w:tcPr>
          <w:p w14:paraId="75D50892" w14:textId="77777777" w:rsidR="00284859" w:rsidRPr="00284859" w:rsidRDefault="00000000" w:rsidP="00284859">
            <w:pPr>
              <w:tabs>
                <w:tab w:val="left" w:pos="800"/>
              </w:tabs>
              <w:overflowPunct w:val="0"/>
              <w:autoSpaceDE w:val="0"/>
              <w:autoSpaceDN w:val="0"/>
              <w:adjustRightInd w:val="0"/>
              <w:jc w:val="both"/>
              <w:rPr>
                <w:rFonts w:ascii="FrankRuehl" w:hAnsi="FrankRuehl" w:cs="FrankRuehl"/>
                <w:b/>
                <w:sz w:val="28"/>
                <w:szCs w:val="28"/>
              </w:rPr>
            </w:pPr>
            <w:r w:rsidRPr="00284859">
              <w:rPr>
                <w:rFonts w:ascii="FrankRuehl" w:hAnsi="FrankRuehl" w:cs="FrankRuehl"/>
                <w:b/>
                <w:sz w:val="28"/>
                <w:szCs w:val="28"/>
                <w:rtl/>
              </w:rPr>
              <w:t xml:space="preserve">53א.(א)(3) "בנין להשכרה" – בנין שאושר כנכס מאושר ושהוגשה לגביו בקשה לאישור תכנית כאמור בסעיפים 3(2) ו-17 עד יום י"ט בטבת התשפ"ד (31 בדצמבר 2023), שלפחות מחצית שטחו </w:t>
            </w:r>
            <w:r w:rsidRPr="00284859">
              <w:rPr>
                <w:rFonts w:ascii="Century" w:hAnsi="Century" w:cs="FrankRuehl"/>
                <w:spacing w:val="10"/>
                <w:sz w:val="22"/>
                <w:szCs w:val="28"/>
                <w:rtl/>
              </w:rPr>
              <w:t>מיועדת</w:t>
            </w:r>
            <w:r w:rsidRPr="00284859">
              <w:rPr>
                <w:rFonts w:ascii="FrankRuehl" w:hAnsi="FrankRuehl" w:cs="FrankRuehl"/>
                <w:b/>
                <w:sz w:val="28"/>
                <w:szCs w:val="28"/>
                <w:rtl/>
              </w:rPr>
              <w:t xml:space="preserve"> להשכרה למגורים בהתאם לאמור בסעיף 53ב(א) או (ג), ובלבד שבנייתו נסתיימה אחרי יום י"ז באב תשמ"ח (31 ביולי 1988);</w:t>
            </w:r>
          </w:p>
          <w:p w14:paraId="08B6C4F9" w14:textId="77777777" w:rsidR="00284859" w:rsidRPr="00284859" w:rsidRDefault="00284859" w:rsidP="00284859">
            <w:pPr>
              <w:tabs>
                <w:tab w:val="left" w:pos="800"/>
              </w:tabs>
              <w:overflowPunct w:val="0"/>
              <w:autoSpaceDE w:val="0"/>
              <w:autoSpaceDN w:val="0"/>
              <w:adjustRightInd w:val="0"/>
              <w:jc w:val="both"/>
              <w:rPr>
                <w:rFonts w:ascii="FrankRuehl" w:hAnsi="FrankRuehl" w:cs="FrankRuehl"/>
                <w:b/>
                <w:sz w:val="28"/>
                <w:szCs w:val="28"/>
                <w:rtl/>
              </w:rPr>
            </w:pPr>
          </w:p>
          <w:p w14:paraId="66AF48B7" w14:textId="77777777" w:rsidR="00284859" w:rsidRPr="00284859" w:rsidRDefault="00000000" w:rsidP="00284859">
            <w:pPr>
              <w:tabs>
                <w:tab w:val="left" w:pos="800"/>
              </w:tabs>
              <w:overflowPunct w:val="0"/>
              <w:autoSpaceDE w:val="0"/>
              <w:autoSpaceDN w:val="0"/>
              <w:adjustRightInd w:val="0"/>
              <w:jc w:val="both"/>
              <w:rPr>
                <w:rFonts w:ascii="FrankRuehl" w:hAnsi="FrankRuehl" w:cs="FrankRuehl"/>
                <w:b/>
                <w:sz w:val="28"/>
                <w:szCs w:val="28"/>
                <w:rtl/>
              </w:rPr>
            </w:pPr>
            <w:r w:rsidRPr="00284859">
              <w:rPr>
                <w:rFonts w:ascii="FrankRuehl" w:hAnsi="FrankRuehl" w:cs="FrankRuehl"/>
                <w:b/>
                <w:sz w:val="28"/>
                <w:szCs w:val="28"/>
                <w:rtl/>
              </w:rPr>
              <w:t>(3א) "בניין חדש להשכרה" – בניין להשכרה שמתקיים בו גם אחד מאלה: (1) הוא אושר החל ביום הקובע;</w:t>
            </w:r>
          </w:p>
          <w:p w14:paraId="6D858086" w14:textId="77777777" w:rsidR="00284859" w:rsidRPr="00284859" w:rsidRDefault="00284859" w:rsidP="00284859">
            <w:pPr>
              <w:tabs>
                <w:tab w:val="left" w:pos="800"/>
              </w:tabs>
              <w:overflowPunct w:val="0"/>
              <w:autoSpaceDE w:val="0"/>
              <w:autoSpaceDN w:val="0"/>
              <w:adjustRightInd w:val="0"/>
              <w:jc w:val="both"/>
              <w:rPr>
                <w:rFonts w:ascii="FrankRuehl" w:hAnsi="FrankRuehl" w:cs="FrankRuehl"/>
                <w:b/>
                <w:sz w:val="28"/>
                <w:szCs w:val="28"/>
                <w:rtl/>
              </w:rPr>
            </w:pPr>
          </w:p>
          <w:p w14:paraId="35A09209" w14:textId="77777777" w:rsidR="00284859" w:rsidRPr="00284859" w:rsidRDefault="00000000" w:rsidP="00284859">
            <w:pPr>
              <w:tabs>
                <w:tab w:val="left" w:pos="800"/>
              </w:tabs>
              <w:overflowPunct w:val="0"/>
              <w:autoSpaceDE w:val="0"/>
              <w:autoSpaceDN w:val="0"/>
              <w:adjustRightInd w:val="0"/>
              <w:jc w:val="both"/>
              <w:rPr>
                <w:rFonts w:ascii="FrankRuehl" w:hAnsi="FrankRuehl" w:cs="FrankRuehl"/>
                <w:b/>
                <w:sz w:val="28"/>
                <w:szCs w:val="28"/>
                <w:rtl/>
              </w:rPr>
            </w:pPr>
            <w:r w:rsidRPr="00284859">
              <w:rPr>
                <w:rFonts w:ascii="FrankRuehl" w:hAnsi="FrankRuehl" w:cs="FrankRuehl"/>
                <w:b/>
                <w:sz w:val="28"/>
                <w:szCs w:val="28"/>
                <w:rtl/>
              </w:rPr>
              <w:t>(3ב) "היום הקובע" – ה' בטבת התשס"ט (1 בינואר 2009)</w:t>
            </w:r>
          </w:p>
        </w:tc>
      </w:tr>
    </w:tbl>
    <w:p w14:paraId="1F017459"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Pr>
      </w:pPr>
    </w:p>
    <w:p w14:paraId="15D93634" w14:textId="77777777" w:rsidR="00284859" w:rsidRPr="00284859" w:rsidRDefault="0071337E"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tl/>
        </w:rPr>
      </w:pPr>
      <w:r>
        <w:rPr>
          <w:rFonts w:ascii="Garamond" w:hAnsi="Garamond" w:cs="FrankRuehl" w:hint="cs"/>
          <w:spacing w:val="10"/>
          <w:szCs w:val="28"/>
          <w:rtl/>
        </w:rPr>
        <w:t>9.</w:t>
      </w:r>
      <w:r>
        <w:rPr>
          <w:rFonts w:ascii="Garamond" w:hAnsi="Garamond" w:cs="FrankRuehl" w:hint="cs"/>
          <w:spacing w:val="10"/>
          <w:szCs w:val="28"/>
          <w:rtl/>
        </w:rPr>
        <w:tab/>
      </w:r>
      <w:hyperlink r:id="rId22" w:history="1">
        <w:r w:rsidR="00894E25" w:rsidRPr="00894E25">
          <w:rPr>
            <w:rStyle w:val="Hyperlink"/>
            <w:rFonts w:ascii="Garamond" w:hAnsi="Garamond" w:cs="FrankRuehl" w:hint="eastAsia"/>
            <w:spacing w:val="10"/>
            <w:szCs w:val="28"/>
            <w:rtl/>
          </w:rPr>
          <w:t>סעיף</w:t>
        </w:r>
        <w:r w:rsidR="00894E25" w:rsidRPr="00894E25">
          <w:rPr>
            <w:rStyle w:val="Hyperlink"/>
            <w:rFonts w:ascii="Garamond" w:hAnsi="Garamond" w:cs="FrankRuehl"/>
            <w:spacing w:val="10"/>
            <w:szCs w:val="28"/>
            <w:rtl/>
          </w:rPr>
          <w:t xml:space="preserve"> 53</w:t>
        </w:r>
        <w:r w:rsidR="00894E25" w:rsidRPr="00894E25">
          <w:rPr>
            <w:rStyle w:val="Hyperlink"/>
            <w:rFonts w:ascii="Garamond" w:hAnsi="Garamond" w:cs="FrankRuehl" w:hint="eastAsia"/>
            <w:spacing w:val="10"/>
            <w:szCs w:val="28"/>
            <w:rtl/>
          </w:rPr>
          <w:t>ב</w:t>
        </w:r>
        <w:r w:rsidR="00894E25" w:rsidRPr="00894E25">
          <w:rPr>
            <w:rStyle w:val="Hyperlink"/>
            <w:rFonts w:ascii="Garamond" w:hAnsi="Garamond" w:cs="FrankRuehl"/>
            <w:spacing w:val="10"/>
            <w:szCs w:val="28"/>
            <w:rtl/>
          </w:rPr>
          <w:t>(</w:t>
        </w:r>
        <w:r w:rsidR="00894E25" w:rsidRPr="00894E25">
          <w:rPr>
            <w:rStyle w:val="Hyperlink"/>
            <w:rFonts w:ascii="Garamond" w:hAnsi="Garamond" w:cs="FrankRuehl" w:hint="eastAsia"/>
            <w:spacing w:val="10"/>
            <w:szCs w:val="28"/>
            <w:rtl/>
          </w:rPr>
          <w:t>ב</w:t>
        </w:r>
        <w:r w:rsidR="00894E25" w:rsidRPr="00894E25">
          <w:rPr>
            <w:rStyle w:val="Hyperlink"/>
            <w:rFonts w:ascii="Garamond" w:hAnsi="Garamond" w:cs="FrankRuehl"/>
            <w:spacing w:val="10"/>
            <w:szCs w:val="28"/>
            <w:rtl/>
          </w:rPr>
          <w:t>)</w:t>
        </w:r>
      </w:hyperlink>
      <w:r w:rsidR="00000000" w:rsidRPr="00284859">
        <w:rPr>
          <w:rFonts w:ascii="Garamond" w:hAnsi="Garamond" w:cs="FrankRuehl"/>
          <w:spacing w:val="10"/>
          <w:szCs w:val="28"/>
          <w:rtl/>
        </w:rPr>
        <w:t xml:space="preserve"> לחוק לעידוד השקעות מגדיר את התנאים למתן ההטבה בעבור "</w:t>
      </w:r>
      <w:r w:rsidR="00000000" w:rsidRPr="00284859">
        <w:rPr>
          <w:rFonts w:ascii="Century" w:hAnsi="Century" w:cs="FrankRuehl"/>
          <w:b/>
          <w:sz w:val="22"/>
          <w:szCs w:val="28"/>
          <w:rtl/>
        </w:rPr>
        <w:t>בניין חדש להשכרה</w:t>
      </w:r>
      <w:r w:rsidR="00000000" w:rsidRPr="00284859">
        <w:rPr>
          <w:rFonts w:ascii="Garamond" w:hAnsi="Garamond" w:cs="FrankRuehl"/>
          <w:spacing w:val="10"/>
          <w:szCs w:val="28"/>
          <w:rtl/>
        </w:rPr>
        <w:t xml:space="preserve">"; </w:t>
      </w:r>
      <w:hyperlink r:id="rId23" w:history="1">
        <w:r w:rsidR="00894E25" w:rsidRPr="00894E25">
          <w:rPr>
            <w:rStyle w:val="Hyperlink"/>
            <w:rFonts w:ascii="Garamond" w:hAnsi="Garamond" w:cs="FrankRuehl" w:hint="eastAsia"/>
            <w:spacing w:val="10"/>
            <w:szCs w:val="28"/>
            <w:rtl/>
          </w:rPr>
          <w:t>וסעיף</w:t>
        </w:r>
        <w:r w:rsidR="00894E25" w:rsidRPr="00894E25">
          <w:rPr>
            <w:rStyle w:val="Hyperlink"/>
            <w:rFonts w:ascii="Garamond" w:hAnsi="Garamond" w:cs="FrankRuehl"/>
            <w:spacing w:val="10"/>
            <w:szCs w:val="28"/>
            <w:rtl/>
          </w:rPr>
          <w:t xml:space="preserve"> 53</w:t>
        </w:r>
        <w:r w:rsidR="00894E25" w:rsidRPr="00894E25">
          <w:rPr>
            <w:rStyle w:val="Hyperlink"/>
            <w:rFonts w:ascii="Garamond" w:hAnsi="Garamond" w:cs="FrankRuehl" w:hint="eastAsia"/>
            <w:spacing w:val="10"/>
            <w:szCs w:val="28"/>
            <w:rtl/>
          </w:rPr>
          <w:t>ב</w:t>
        </w:r>
        <w:r w:rsidR="00894E25" w:rsidRPr="00894E25">
          <w:rPr>
            <w:rStyle w:val="Hyperlink"/>
            <w:rFonts w:ascii="Garamond" w:hAnsi="Garamond" w:cs="FrankRuehl"/>
            <w:spacing w:val="10"/>
            <w:szCs w:val="28"/>
            <w:rtl/>
          </w:rPr>
          <w:t>(</w:t>
        </w:r>
        <w:r w:rsidR="00894E25" w:rsidRPr="00894E25">
          <w:rPr>
            <w:rStyle w:val="Hyperlink"/>
            <w:rFonts w:ascii="Garamond" w:hAnsi="Garamond" w:cs="FrankRuehl" w:hint="eastAsia"/>
            <w:spacing w:val="10"/>
            <w:szCs w:val="28"/>
            <w:rtl/>
          </w:rPr>
          <w:t>ה</w:t>
        </w:r>
        <w:r w:rsidR="00894E25" w:rsidRPr="00894E25">
          <w:rPr>
            <w:rStyle w:val="Hyperlink"/>
            <w:rFonts w:ascii="Garamond" w:hAnsi="Garamond" w:cs="FrankRuehl"/>
            <w:spacing w:val="10"/>
            <w:szCs w:val="28"/>
            <w:rtl/>
          </w:rPr>
          <w:t>)</w:t>
        </w:r>
      </w:hyperlink>
      <w:r w:rsidR="00000000" w:rsidRPr="00284859">
        <w:rPr>
          <w:rFonts w:ascii="Garamond" w:hAnsi="Garamond" w:cs="FrankRuehl"/>
          <w:spacing w:val="10"/>
          <w:szCs w:val="28"/>
          <w:rtl/>
        </w:rPr>
        <w:t xml:space="preserve"> קובע את החובה של מקבל ההטבה להשיבה אם לא יקיים תנאי מהתנאים הקבועים </w:t>
      </w:r>
      <w:hyperlink r:id="rId24" w:history="1">
        <w:r w:rsidR="00894E25" w:rsidRPr="00894E25">
          <w:rPr>
            <w:rStyle w:val="Hyperlink"/>
            <w:rFonts w:ascii="Garamond" w:hAnsi="Garamond" w:cs="FrankRuehl" w:hint="eastAsia"/>
            <w:spacing w:val="10"/>
            <w:szCs w:val="28"/>
            <w:rtl/>
          </w:rPr>
          <w:t>בסעיף</w:t>
        </w:r>
        <w:r w:rsidR="00894E25" w:rsidRPr="00894E25">
          <w:rPr>
            <w:rStyle w:val="Hyperlink"/>
            <w:rFonts w:ascii="Garamond" w:hAnsi="Garamond" w:cs="FrankRuehl"/>
            <w:spacing w:val="10"/>
            <w:szCs w:val="28"/>
            <w:rtl/>
          </w:rPr>
          <w:t xml:space="preserve"> 53</w:t>
        </w:r>
        <w:r w:rsidR="00894E25" w:rsidRPr="00894E25">
          <w:rPr>
            <w:rStyle w:val="Hyperlink"/>
            <w:rFonts w:ascii="Garamond" w:hAnsi="Garamond" w:cs="FrankRuehl" w:hint="eastAsia"/>
            <w:spacing w:val="10"/>
            <w:szCs w:val="28"/>
            <w:rtl/>
          </w:rPr>
          <w:t>ב</w:t>
        </w:r>
        <w:r w:rsidR="00894E25" w:rsidRPr="00894E25">
          <w:rPr>
            <w:rStyle w:val="Hyperlink"/>
            <w:rFonts w:ascii="Garamond" w:hAnsi="Garamond" w:cs="FrankRuehl"/>
            <w:spacing w:val="10"/>
            <w:szCs w:val="28"/>
            <w:rtl/>
          </w:rPr>
          <w:t>(</w:t>
        </w:r>
        <w:r w:rsidR="00894E25" w:rsidRPr="00894E25">
          <w:rPr>
            <w:rStyle w:val="Hyperlink"/>
            <w:rFonts w:ascii="Garamond" w:hAnsi="Garamond" w:cs="FrankRuehl" w:hint="eastAsia"/>
            <w:spacing w:val="10"/>
            <w:szCs w:val="28"/>
            <w:rtl/>
          </w:rPr>
          <w:t>ב</w:t>
        </w:r>
        <w:r w:rsidR="00894E25" w:rsidRPr="00894E25">
          <w:rPr>
            <w:rStyle w:val="Hyperlink"/>
            <w:rFonts w:ascii="Garamond" w:hAnsi="Garamond" w:cs="FrankRuehl"/>
            <w:spacing w:val="10"/>
            <w:szCs w:val="28"/>
            <w:rtl/>
          </w:rPr>
          <w:t>)</w:t>
        </w:r>
      </w:hyperlink>
      <w:r w:rsidR="00000000" w:rsidRPr="00284859">
        <w:rPr>
          <w:rFonts w:ascii="Garamond" w:hAnsi="Garamond" w:cs="FrankRuehl"/>
          <w:spacing w:val="10"/>
          <w:szCs w:val="28"/>
          <w:rtl/>
        </w:rPr>
        <w:t>:</w:t>
      </w:r>
    </w:p>
    <w:p w14:paraId="49012163"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tbl>
      <w:tblPr>
        <w:bidiVisual/>
        <w:tblW w:w="0" w:type="auto"/>
        <w:tblInd w:w="1272" w:type="dxa"/>
        <w:tblLook w:val="01E0" w:firstRow="1" w:lastRow="1" w:firstColumn="1" w:lastColumn="1" w:noHBand="0" w:noVBand="0"/>
      </w:tblPr>
      <w:tblGrid>
        <w:gridCol w:w="1517"/>
        <w:gridCol w:w="4687"/>
      </w:tblGrid>
      <w:tr w:rsidR="00320E8F" w14:paraId="5CDFC2C2" w14:textId="77777777" w:rsidTr="00284859">
        <w:tc>
          <w:tcPr>
            <w:tcW w:w="1517" w:type="dxa"/>
          </w:tcPr>
          <w:p w14:paraId="4B6AAB28" w14:textId="77777777" w:rsidR="00284859" w:rsidRPr="00284859" w:rsidRDefault="00000000" w:rsidP="00284859">
            <w:pPr>
              <w:tabs>
                <w:tab w:val="left" w:pos="800"/>
              </w:tabs>
              <w:overflowPunct w:val="0"/>
              <w:autoSpaceDE w:val="0"/>
              <w:autoSpaceDN w:val="0"/>
              <w:adjustRightInd w:val="0"/>
              <w:rPr>
                <w:rFonts w:ascii="FrankRuehl" w:hAnsi="FrankRuehl" w:cs="FrankRuehl"/>
                <w:b/>
                <w:sz w:val="28"/>
                <w:szCs w:val="28"/>
                <w:rtl/>
              </w:rPr>
            </w:pPr>
            <w:r w:rsidRPr="00284859">
              <w:rPr>
                <w:rFonts w:ascii="FrankRuehl" w:hAnsi="FrankRuehl" w:cs="FrankRuehl"/>
                <w:b/>
                <w:sz w:val="28"/>
                <w:szCs w:val="28"/>
                <w:rtl/>
              </w:rPr>
              <w:t>זכות להטבות</w:t>
            </w:r>
          </w:p>
        </w:tc>
        <w:tc>
          <w:tcPr>
            <w:tcW w:w="4687" w:type="dxa"/>
          </w:tcPr>
          <w:p w14:paraId="5634EF5A" w14:textId="77777777" w:rsidR="00284859" w:rsidRPr="00284859" w:rsidRDefault="00000000" w:rsidP="00284859">
            <w:pPr>
              <w:tabs>
                <w:tab w:val="left" w:pos="800"/>
              </w:tabs>
              <w:overflowPunct w:val="0"/>
              <w:autoSpaceDE w:val="0"/>
              <w:autoSpaceDN w:val="0"/>
              <w:adjustRightInd w:val="0"/>
              <w:jc w:val="both"/>
              <w:rPr>
                <w:rFonts w:ascii="FrankRuehl" w:hAnsi="FrankRuehl" w:cs="FrankRuehl"/>
                <w:b/>
                <w:sz w:val="28"/>
                <w:szCs w:val="28"/>
              </w:rPr>
            </w:pPr>
            <w:r w:rsidRPr="00284859">
              <w:rPr>
                <w:rFonts w:ascii="FrankRuehl" w:hAnsi="FrankRuehl" w:cs="FrankRuehl"/>
                <w:b/>
                <w:sz w:val="28"/>
                <w:szCs w:val="28"/>
                <w:rtl/>
              </w:rPr>
              <w:t xml:space="preserve">53ב(ב) על אף האמור בסעיף קטן (א), בעליו של בנין להשכרה שהושכר לראשונה בתקופה שמיום כ"ב באלול תשנ"א (1 בספטמבר 1991) ועד תום שנת המס 2006 וכן בעליו של </w:t>
            </w:r>
            <w:r w:rsidRPr="00284859">
              <w:rPr>
                <w:rFonts w:ascii="Century" w:hAnsi="Century" w:cs="Miriam"/>
                <w:b/>
                <w:sz w:val="22"/>
                <w:rtl/>
              </w:rPr>
              <w:t>בניין חדש להשכרה</w:t>
            </w:r>
            <w:r w:rsidRPr="00284859">
              <w:rPr>
                <w:rFonts w:ascii="FrankRuehl" w:hAnsi="FrankRuehl" w:cs="FrankRuehl"/>
                <w:b/>
                <w:sz w:val="28"/>
                <w:szCs w:val="28"/>
                <w:rtl/>
              </w:rPr>
              <w:t xml:space="preserve">, יהא זכאי להטבות המפורטות בסעיפים 53ג ו-53ד, אם לפחות מחצית משטח הרצפות של הבנין הן דירות שהיו מושכרות למגורים ושתקופת ההשכרה הממוצעת שלהן היתה 5 שנים לפחות מתוך 7 השנים שלאחר תום הבניה, ובלבד שלגבי מחצית </w:t>
            </w:r>
            <w:r w:rsidRPr="00284859">
              <w:rPr>
                <w:rFonts w:ascii="FrankRuehl" w:hAnsi="FrankRuehl" w:cs="FrankRuehl"/>
                <w:b/>
                <w:sz w:val="28"/>
                <w:szCs w:val="28"/>
                <w:rtl/>
              </w:rPr>
              <w:lastRenderedPageBreak/>
              <w:t>משטח הרצפות של הבנין לא נעשתה מכירה כמשמעותה בסעיף 88 לפקודה לפני שחלפו 5 שנות השכרה.</w:t>
            </w:r>
          </w:p>
          <w:p w14:paraId="47CF3705" w14:textId="77777777" w:rsidR="00284859" w:rsidRPr="00284859" w:rsidRDefault="00284859" w:rsidP="00284859">
            <w:pPr>
              <w:tabs>
                <w:tab w:val="left" w:pos="800"/>
              </w:tabs>
              <w:overflowPunct w:val="0"/>
              <w:autoSpaceDE w:val="0"/>
              <w:autoSpaceDN w:val="0"/>
              <w:adjustRightInd w:val="0"/>
              <w:jc w:val="both"/>
              <w:rPr>
                <w:rFonts w:ascii="FrankRuehl" w:hAnsi="FrankRuehl" w:cs="FrankRuehl"/>
                <w:b/>
                <w:sz w:val="28"/>
                <w:szCs w:val="28"/>
                <w:rtl/>
              </w:rPr>
            </w:pPr>
          </w:p>
          <w:p w14:paraId="737EA729" w14:textId="77777777" w:rsidR="00284859" w:rsidRPr="00284859" w:rsidRDefault="00000000" w:rsidP="00284859">
            <w:pPr>
              <w:tabs>
                <w:tab w:val="left" w:pos="800"/>
              </w:tabs>
              <w:overflowPunct w:val="0"/>
              <w:autoSpaceDE w:val="0"/>
              <w:autoSpaceDN w:val="0"/>
              <w:adjustRightInd w:val="0"/>
              <w:jc w:val="both"/>
              <w:rPr>
                <w:rFonts w:ascii="FrankRuehl" w:hAnsi="FrankRuehl" w:cs="FrankRuehl"/>
                <w:b/>
                <w:sz w:val="28"/>
                <w:szCs w:val="28"/>
                <w:rtl/>
              </w:rPr>
            </w:pPr>
            <w:r w:rsidRPr="00284859">
              <w:rPr>
                <w:rFonts w:ascii="FrankRuehl" w:hAnsi="FrankRuehl" w:cs="FrankRuehl"/>
                <w:b/>
                <w:sz w:val="28"/>
                <w:szCs w:val="28"/>
                <w:rtl/>
              </w:rPr>
              <w:t xml:space="preserve">(ה) ניתנה הטבה לפי סעיפים 53ג או 53ד, או לפי סעיף 85(ד) לפקודה, ולא נתקיים תנאי מהתנאים הקבועים בסעיפים קטנים (א) עד (ב1), לפי העניין, </w:t>
            </w:r>
            <w:r w:rsidRPr="00284859">
              <w:rPr>
                <w:rFonts w:ascii="Century" w:hAnsi="Century" w:cs="Miriam"/>
                <w:b/>
                <w:rtl/>
              </w:rPr>
              <w:t>תבוטל ההטבה למפרע</w:t>
            </w:r>
            <w:r w:rsidRPr="00284859">
              <w:rPr>
                <w:rFonts w:ascii="FrankRuehl" w:hAnsi="FrankRuehl" w:cs="FrankRuehl"/>
                <w:b/>
                <w:rtl/>
              </w:rPr>
              <w:t xml:space="preserve"> </w:t>
            </w:r>
            <w:r w:rsidRPr="00284859">
              <w:rPr>
                <w:rFonts w:ascii="FrankRuehl" w:hAnsi="FrankRuehl" w:cs="FrankRuehl"/>
                <w:b/>
                <w:sz w:val="28"/>
                <w:szCs w:val="28"/>
                <w:rtl/>
              </w:rPr>
              <w:t>ובעל הבניין, משכיר הבניין או משכיר ממשיך, לפי הענין, יהיה חייב בתשלום המס שהיה חייב בו אילולא ההטבה, בתוספת הפרשי הצמדה וריבית מתום שנת המס שלגביה ניתנה ההטבה (ההדגשה שלי, ר.ר.).</w:t>
            </w:r>
          </w:p>
        </w:tc>
      </w:tr>
    </w:tbl>
    <w:p w14:paraId="0F3F77DA" w14:textId="77777777" w:rsidR="00284859" w:rsidRPr="00284859" w:rsidRDefault="00000000"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Pr>
      </w:pPr>
      <w:r w:rsidRPr="00284859">
        <w:rPr>
          <w:rFonts w:ascii="Garamond" w:hAnsi="Garamond" w:cs="FrankRuehl"/>
          <w:spacing w:val="10"/>
          <w:szCs w:val="28"/>
          <w:rtl/>
        </w:rPr>
        <w:lastRenderedPageBreak/>
        <w:t xml:space="preserve"> </w:t>
      </w:r>
    </w:p>
    <w:p w14:paraId="10E5A4D7" w14:textId="77777777" w:rsidR="00284859" w:rsidRPr="00284859" w:rsidRDefault="0071337E"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tl/>
        </w:rPr>
      </w:pPr>
      <w:r>
        <w:rPr>
          <w:rFonts w:ascii="Garamond" w:hAnsi="Garamond" w:cs="FrankRuehl" w:hint="cs"/>
          <w:spacing w:val="10"/>
          <w:szCs w:val="28"/>
          <w:rtl/>
        </w:rPr>
        <w:t>10.</w:t>
      </w:r>
      <w:r>
        <w:rPr>
          <w:rFonts w:ascii="Garamond" w:hAnsi="Garamond" w:cs="FrankRuehl" w:hint="cs"/>
          <w:spacing w:val="10"/>
          <w:szCs w:val="28"/>
          <w:rtl/>
        </w:rPr>
        <w:tab/>
      </w:r>
      <w:r w:rsidR="00000000" w:rsidRPr="00284859">
        <w:rPr>
          <w:rFonts w:ascii="Garamond" w:hAnsi="Garamond" w:cs="FrankRuehl"/>
          <w:spacing w:val="10"/>
          <w:szCs w:val="28"/>
          <w:rtl/>
        </w:rPr>
        <w:t xml:space="preserve">ההטבה נושא הערעורים דנן ניתנת מכוח </w:t>
      </w:r>
      <w:hyperlink r:id="rId25" w:history="1">
        <w:r w:rsidR="00894E25" w:rsidRPr="00894E25">
          <w:rPr>
            <w:rStyle w:val="Hyperlink"/>
            <w:rFonts w:ascii="Garamond" w:hAnsi="Garamond" w:cs="FrankRuehl" w:hint="eastAsia"/>
            <w:spacing w:val="10"/>
            <w:szCs w:val="28"/>
            <w:rtl/>
          </w:rPr>
          <w:t>סעיף</w:t>
        </w:r>
        <w:r w:rsidR="00894E25" w:rsidRPr="00894E25">
          <w:rPr>
            <w:rStyle w:val="Hyperlink"/>
            <w:rFonts w:ascii="Garamond" w:hAnsi="Garamond" w:cs="FrankRuehl"/>
            <w:spacing w:val="10"/>
            <w:szCs w:val="28"/>
            <w:rtl/>
          </w:rPr>
          <w:t xml:space="preserve"> 53</w:t>
        </w:r>
        <w:r w:rsidR="00894E25" w:rsidRPr="00894E25">
          <w:rPr>
            <w:rStyle w:val="Hyperlink"/>
            <w:rFonts w:ascii="Garamond" w:hAnsi="Garamond" w:cs="FrankRuehl" w:hint="eastAsia"/>
            <w:spacing w:val="10"/>
            <w:szCs w:val="28"/>
            <w:rtl/>
          </w:rPr>
          <w:t>ד</w:t>
        </w:r>
        <w:r w:rsidR="00894E25" w:rsidRPr="00894E25">
          <w:rPr>
            <w:rStyle w:val="Hyperlink"/>
            <w:rFonts w:ascii="Garamond" w:hAnsi="Garamond" w:cs="FrankRuehl"/>
            <w:spacing w:val="10"/>
            <w:szCs w:val="28"/>
            <w:rtl/>
          </w:rPr>
          <w:t>(</w:t>
        </w:r>
        <w:r w:rsidR="00894E25" w:rsidRPr="00894E25">
          <w:rPr>
            <w:rStyle w:val="Hyperlink"/>
            <w:rFonts w:ascii="Garamond" w:hAnsi="Garamond" w:cs="FrankRuehl" w:hint="eastAsia"/>
            <w:spacing w:val="10"/>
            <w:szCs w:val="28"/>
            <w:rtl/>
          </w:rPr>
          <w:t>ב</w:t>
        </w:r>
        <w:r w:rsidR="00894E25" w:rsidRPr="00894E25">
          <w:rPr>
            <w:rStyle w:val="Hyperlink"/>
            <w:rFonts w:ascii="Garamond" w:hAnsi="Garamond" w:cs="FrankRuehl"/>
            <w:spacing w:val="10"/>
            <w:szCs w:val="28"/>
            <w:rtl/>
          </w:rPr>
          <w:t>)</w:t>
        </w:r>
      </w:hyperlink>
      <w:r w:rsidR="00000000" w:rsidRPr="00284859">
        <w:rPr>
          <w:rFonts w:ascii="Garamond" w:hAnsi="Garamond" w:cs="FrankRuehl"/>
          <w:spacing w:val="10"/>
          <w:szCs w:val="28"/>
          <w:rtl/>
        </w:rPr>
        <w:t xml:space="preserve"> לחוק, המסדיר את סמכות שר הפנים לפטור הקמתו של "בניין להשכרה" מאגרת היתר לבנייה, ולקבוע תנאים לקבלת ההטבה כאמור:</w:t>
      </w:r>
    </w:p>
    <w:p w14:paraId="54F179E3"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tbl>
      <w:tblPr>
        <w:bidiVisual/>
        <w:tblW w:w="0" w:type="auto"/>
        <w:tblInd w:w="1272" w:type="dxa"/>
        <w:tblLook w:val="01E0" w:firstRow="1" w:lastRow="1" w:firstColumn="1" w:lastColumn="1" w:noHBand="0" w:noVBand="0"/>
      </w:tblPr>
      <w:tblGrid>
        <w:gridCol w:w="1517"/>
        <w:gridCol w:w="4687"/>
      </w:tblGrid>
      <w:tr w:rsidR="00320E8F" w14:paraId="53B85219" w14:textId="77777777" w:rsidTr="00284859">
        <w:tc>
          <w:tcPr>
            <w:tcW w:w="1517" w:type="dxa"/>
          </w:tcPr>
          <w:p w14:paraId="4EDDD2A1" w14:textId="77777777" w:rsidR="00284859" w:rsidRPr="00284859" w:rsidRDefault="00000000" w:rsidP="00284859">
            <w:pPr>
              <w:tabs>
                <w:tab w:val="left" w:pos="800"/>
              </w:tabs>
              <w:overflowPunct w:val="0"/>
              <w:autoSpaceDE w:val="0"/>
              <w:autoSpaceDN w:val="0"/>
              <w:adjustRightInd w:val="0"/>
              <w:rPr>
                <w:rFonts w:ascii="Century" w:hAnsi="Century" w:cs="FrankRuehl"/>
                <w:spacing w:val="10"/>
                <w:sz w:val="22"/>
                <w:szCs w:val="28"/>
                <w:rtl/>
              </w:rPr>
            </w:pPr>
            <w:r w:rsidRPr="00284859">
              <w:rPr>
                <w:rFonts w:ascii="Century" w:hAnsi="Century" w:cs="FrankRuehl"/>
                <w:spacing w:val="10"/>
                <w:sz w:val="22"/>
                <w:szCs w:val="28"/>
                <w:rtl/>
              </w:rPr>
              <w:t>פטור ממס רכוש וסמכות לפטור מאגרת בנין</w:t>
            </w:r>
          </w:p>
        </w:tc>
        <w:tc>
          <w:tcPr>
            <w:tcW w:w="4687" w:type="dxa"/>
          </w:tcPr>
          <w:p w14:paraId="2EE64A2C" w14:textId="77777777" w:rsidR="00284859" w:rsidRPr="00284859" w:rsidRDefault="00000000" w:rsidP="00284859">
            <w:pPr>
              <w:tabs>
                <w:tab w:val="left" w:pos="800"/>
              </w:tabs>
              <w:overflowPunct w:val="0"/>
              <w:autoSpaceDE w:val="0"/>
              <w:autoSpaceDN w:val="0"/>
              <w:adjustRightInd w:val="0"/>
              <w:jc w:val="both"/>
              <w:rPr>
                <w:rFonts w:ascii="Century" w:hAnsi="Century" w:cs="FrankRuehl"/>
                <w:spacing w:val="10"/>
                <w:sz w:val="22"/>
                <w:szCs w:val="28"/>
              </w:rPr>
            </w:pPr>
            <w:r w:rsidRPr="00284859">
              <w:rPr>
                <w:rFonts w:ascii="Century" w:hAnsi="Century" w:cs="FrankRuehl"/>
                <w:spacing w:val="10"/>
                <w:sz w:val="22"/>
                <w:szCs w:val="28"/>
                <w:rtl/>
              </w:rPr>
              <w:t xml:space="preserve">53ד(ב) שר הפנים רשאי בתקנות, בהתייעצות עם שר האוצר, לפטור הקמתו של בניין להשכרה או בניין לשכירות מוסדית מאגרת היתר לבנייה לפי </w:t>
            </w:r>
            <w:hyperlink r:id="rId26" w:history="1">
              <w:r w:rsidR="007A6BE9" w:rsidRPr="007A6BE9">
                <w:rPr>
                  <w:rFonts w:ascii="Century" w:hAnsi="Century" w:cs="FrankRuehl" w:hint="eastAsia"/>
                  <w:color w:val="0000FF"/>
                  <w:spacing w:val="10"/>
                  <w:sz w:val="22"/>
                  <w:szCs w:val="28"/>
                  <w:u w:val="single"/>
                  <w:rtl/>
                </w:rPr>
                <w:t>חוק</w:t>
              </w:r>
              <w:r w:rsidR="007A6BE9" w:rsidRPr="007A6BE9">
                <w:rPr>
                  <w:rFonts w:ascii="Century" w:hAnsi="Century" w:cs="FrankRuehl"/>
                  <w:color w:val="0000FF"/>
                  <w:spacing w:val="10"/>
                  <w:sz w:val="22"/>
                  <w:szCs w:val="28"/>
                  <w:u w:val="single"/>
                  <w:rtl/>
                </w:rPr>
                <w:t xml:space="preserve"> </w:t>
              </w:r>
              <w:r w:rsidR="007A6BE9" w:rsidRPr="007A6BE9">
                <w:rPr>
                  <w:rFonts w:ascii="Century" w:hAnsi="Century" w:cs="FrankRuehl" w:hint="eastAsia"/>
                  <w:color w:val="0000FF"/>
                  <w:spacing w:val="10"/>
                  <w:sz w:val="22"/>
                  <w:szCs w:val="28"/>
                  <w:u w:val="single"/>
                  <w:rtl/>
                </w:rPr>
                <w:t>התכנון</w:t>
              </w:r>
              <w:r w:rsidR="007A6BE9" w:rsidRPr="007A6BE9">
                <w:rPr>
                  <w:rFonts w:ascii="Century" w:hAnsi="Century" w:cs="FrankRuehl"/>
                  <w:color w:val="0000FF"/>
                  <w:spacing w:val="10"/>
                  <w:sz w:val="22"/>
                  <w:szCs w:val="28"/>
                  <w:u w:val="single"/>
                  <w:rtl/>
                </w:rPr>
                <w:t xml:space="preserve"> </w:t>
              </w:r>
              <w:r w:rsidR="007A6BE9" w:rsidRPr="007A6BE9">
                <w:rPr>
                  <w:rFonts w:ascii="Century" w:hAnsi="Century" w:cs="FrankRuehl" w:hint="eastAsia"/>
                  <w:color w:val="0000FF"/>
                  <w:spacing w:val="10"/>
                  <w:sz w:val="22"/>
                  <w:szCs w:val="28"/>
                  <w:u w:val="single"/>
                  <w:rtl/>
                </w:rPr>
                <w:t>והבנייה</w:t>
              </w:r>
            </w:hyperlink>
            <w:r w:rsidRPr="00284859">
              <w:rPr>
                <w:rFonts w:ascii="Century" w:hAnsi="Century" w:cs="FrankRuehl"/>
                <w:spacing w:val="10"/>
                <w:sz w:val="22"/>
                <w:szCs w:val="28"/>
                <w:rtl/>
              </w:rPr>
              <w:t xml:space="preserve"> תשכ"ה – 1965, כולה או מקצתה, בין באופן כללי ובין באזורים מסוימים או לסוגי בניינים מאושרים, ומותר לקבוע בתקנות כאמור תנאים לפטור לפיהן. </w:t>
            </w:r>
          </w:p>
        </w:tc>
      </w:tr>
    </w:tbl>
    <w:p w14:paraId="61327A4C"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Pr>
      </w:pPr>
    </w:p>
    <w:p w14:paraId="688AA10E" w14:textId="77777777" w:rsidR="00284859" w:rsidRPr="00284859" w:rsidRDefault="0071337E"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Pr>
      </w:pPr>
      <w:r>
        <w:rPr>
          <w:rFonts w:ascii="Garamond" w:hAnsi="Garamond" w:cs="FrankRuehl" w:hint="cs"/>
          <w:spacing w:val="10"/>
          <w:szCs w:val="28"/>
          <w:rtl/>
        </w:rPr>
        <w:t>11.</w:t>
      </w:r>
      <w:r>
        <w:rPr>
          <w:rFonts w:ascii="Garamond" w:hAnsi="Garamond" w:cs="FrankRuehl" w:hint="cs"/>
          <w:spacing w:val="10"/>
          <w:szCs w:val="28"/>
          <w:rtl/>
        </w:rPr>
        <w:tab/>
      </w:r>
      <w:r w:rsidR="00000000" w:rsidRPr="00284859">
        <w:rPr>
          <w:rFonts w:ascii="Garamond" w:hAnsi="Garamond" w:cs="FrankRuehl"/>
          <w:spacing w:val="10"/>
          <w:szCs w:val="28"/>
          <w:rtl/>
        </w:rPr>
        <w:t xml:space="preserve">בהמשך לאמור, השתמש שר הפנים בסמכות שהוענקה לו והתקין את התקנות לעידוד השקעות הון (מתן פטור מתשלום אגרת היתר בנייה לבניינים להשכרה), התשל"א-1971 (להלן: </w:t>
      </w:r>
      <w:r w:rsidR="00000000" w:rsidRPr="00284859">
        <w:rPr>
          <w:rFonts w:ascii="Century" w:hAnsi="Century" w:cs="Miriam"/>
          <w:b/>
          <w:rtl/>
        </w:rPr>
        <w:t>תקנות לעידוד השקעות</w:t>
      </w:r>
      <w:r w:rsidR="00000000" w:rsidRPr="00284859">
        <w:rPr>
          <w:rFonts w:ascii="Garamond" w:hAnsi="Garamond" w:cs="FrankRuehl"/>
          <w:spacing w:val="10"/>
          <w:szCs w:val="28"/>
          <w:rtl/>
        </w:rPr>
        <w:t xml:space="preserve">). </w:t>
      </w:r>
      <w:hyperlink r:id="rId27" w:history="1">
        <w:r w:rsidR="00894E25" w:rsidRPr="00894E25">
          <w:rPr>
            <w:rStyle w:val="Hyperlink"/>
            <w:rFonts w:ascii="Garamond" w:hAnsi="Garamond" w:cs="FrankRuehl" w:hint="eastAsia"/>
            <w:spacing w:val="10"/>
            <w:szCs w:val="28"/>
            <w:rtl/>
          </w:rPr>
          <w:t>תקנה</w:t>
        </w:r>
        <w:r w:rsidR="00894E25" w:rsidRPr="00894E25">
          <w:rPr>
            <w:rStyle w:val="Hyperlink"/>
            <w:rFonts w:ascii="Garamond" w:hAnsi="Garamond" w:cs="FrankRuehl"/>
            <w:spacing w:val="10"/>
            <w:szCs w:val="28"/>
            <w:rtl/>
          </w:rPr>
          <w:t xml:space="preserve"> 1</w:t>
        </w:r>
      </w:hyperlink>
      <w:r w:rsidR="00000000" w:rsidRPr="00284859">
        <w:rPr>
          <w:rFonts w:ascii="Garamond" w:hAnsi="Garamond" w:cs="FrankRuehl"/>
          <w:spacing w:val="10"/>
          <w:szCs w:val="28"/>
          <w:rtl/>
        </w:rPr>
        <w:t xml:space="preserve"> לתקנות אלה קובעת כי:</w:t>
      </w:r>
    </w:p>
    <w:p w14:paraId="2951820F" w14:textId="77777777" w:rsidR="00284859" w:rsidRPr="00284859" w:rsidRDefault="00284859"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Pr>
      </w:pPr>
    </w:p>
    <w:tbl>
      <w:tblPr>
        <w:bidiVisual/>
        <w:tblW w:w="0" w:type="auto"/>
        <w:tblInd w:w="1272" w:type="dxa"/>
        <w:tblLook w:val="01E0" w:firstRow="1" w:lastRow="1" w:firstColumn="1" w:lastColumn="1" w:noHBand="0" w:noVBand="0"/>
      </w:tblPr>
      <w:tblGrid>
        <w:gridCol w:w="1517"/>
        <w:gridCol w:w="4687"/>
      </w:tblGrid>
      <w:tr w:rsidR="00320E8F" w14:paraId="3EB0644D" w14:textId="77777777" w:rsidTr="00284859">
        <w:tc>
          <w:tcPr>
            <w:tcW w:w="1517" w:type="dxa"/>
          </w:tcPr>
          <w:p w14:paraId="36F74979" w14:textId="77777777" w:rsidR="00284859" w:rsidRPr="00284859" w:rsidRDefault="00000000" w:rsidP="00284859">
            <w:pPr>
              <w:tabs>
                <w:tab w:val="left" w:pos="800"/>
              </w:tabs>
              <w:overflowPunct w:val="0"/>
              <w:autoSpaceDE w:val="0"/>
              <w:autoSpaceDN w:val="0"/>
              <w:adjustRightInd w:val="0"/>
              <w:rPr>
                <w:rFonts w:ascii="Century" w:hAnsi="Century" w:cs="FrankRuehl"/>
                <w:spacing w:val="10"/>
                <w:sz w:val="22"/>
                <w:szCs w:val="28"/>
                <w:rtl/>
              </w:rPr>
            </w:pPr>
            <w:r w:rsidRPr="00284859">
              <w:rPr>
                <w:rFonts w:ascii="Century" w:hAnsi="Century" w:cs="FrankRuehl"/>
                <w:spacing w:val="10"/>
                <w:sz w:val="22"/>
                <w:szCs w:val="28"/>
                <w:rtl/>
              </w:rPr>
              <w:t>פטור מאגרת היתר לבניה</w:t>
            </w:r>
          </w:p>
        </w:tc>
        <w:tc>
          <w:tcPr>
            <w:tcW w:w="4687" w:type="dxa"/>
          </w:tcPr>
          <w:p w14:paraId="47CA807F" w14:textId="77777777" w:rsidR="00284859" w:rsidRPr="00284859" w:rsidRDefault="00000000" w:rsidP="00284859">
            <w:pPr>
              <w:tabs>
                <w:tab w:val="left" w:pos="800"/>
              </w:tabs>
              <w:overflowPunct w:val="0"/>
              <w:autoSpaceDE w:val="0"/>
              <w:autoSpaceDN w:val="0"/>
              <w:adjustRightInd w:val="0"/>
              <w:jc w:val="both"/>
              <w:rPr>
                <w:rFonts w:ascii="Century" w:hAnsi="Century" w:cs="FrankRuehl"/>
                <w:spacing w:val="10"/>
                <w:sz w:val="22"/>
                <w:szCs w:val="28"/>
              </w:rPr>
            </w:pPr>
            <w:r w:rsidRPr="00284859">
              <w:rPr>
                <w:rFonts w:ascii="Century" w:hAnsi="Century" w:cs="FrankRuehl"/>
                <w:spacing w:val="10"/>
                <w:sz w:val="22"/>
                <w:szCs w:val="28"/>
                <w:rtl/>
              </w:rPr>
              <w:t>1. היתר לבנייתו של בניין להשכרה כמשמעותו בסעיף 53א לחוק, יהיה פטור ממחצית האגרה בעד חלק הבניין המיועד להשכרה.</w:t>
            </w:r>
          </w:p>
        </w:tc>
      </w:tr>
    </w:tbl>
    <w:p w14:paraId="1004A17C" w14:textId="77777777" w:rsidR="00284859" w:rsidRPr="00284859" w:rsidRDefault="00284859" w:rsidP="00284859">
      <w:pPr>
        <w:tabs>
          <w:tab w:val="left" w:pos="800"/>
        </w:tabs>
        <w:overflowPunct w:val="0"/>
        <w:autoSpaceDE w:val="0"/>
        <w:autoSpaceDN w:val="0"/>
        <w:adjustRightInd w:val="0"/>
        <w:spacing w:line="360" w:lineRule="auto"/>
        <w:jc w:val="both"/>
        <w:rPr>
          <w:rFonts w:ascii="Century" w:hAnsi="Century" w:cs="FrankRuehl"/>
          <w:spacing w:val="10"/>
          <w:sz w:val="22"/>
          <w:szCs w:val="28"/>
        </w:rPr>
      </w:pPr>
    </w:p>
    <w:p w14:paraId="1CB3DEC7" w14:textId="77777777" w:rsidR="00284859" w:rsidRPr="00284859" w:rsidRDefault="0071337E"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tl/>
        </w:rPr>
      </w:pPr>
      <w:r>
        <w:rPr>
          <w:rFonts w:ascii="Garamond" w:hAnsi="Garamond" w:cs="FrankRuehl" w:hint="cs"/>
          <w:spacing w:val="10"/>
          <w:szCs w:val="28"/>
          <w:rtl/>
        </w:rPr>
        <w:t>12.</w:t>
      </w:r>
      <w:r>
        <w:rPr>
          <w:rFonts w:ascii="Garamond" w:hAnsi="Garamond" w:cs="FrankRuehl" w:hint="cs"/>
          <w:spacing w:val="10"/>
          <w:szCs w:val="28"/>
          <w:rtl/>
        </w:rPr>
        <w:tab/>
      </w:r>
      <w:r w:rsidR="00000000" w:rsidRPr="00284859">
        <w:rPr>
          <w:rFonts w:ascii="Garamond" w:hAnsi="Garamond" w:cs="FrankRuehl"/>
          <w:spacing w:val="10"/>
          <w:szCs w:val="28"/>
          <w:rtl/>
        </w:rPr>
        <w:t xml:space="preserve">הצדדים התייחסו בטענותיהם גם לפרט משנה (א) </w:t>
      </w:r>
      <w:hyperlink r:id="rId28" w:anchor="20" w:history="1">
        <w:r w:rsidR="00894E25" w:rsidRPr="00894E25">
          <w:rPr>
            <w:rStyle w:val="Hyperlink"/>
            <w:rFonts w:ascii="Garamond" w:hAnsi="Garamond" w:cs="FrankRuehl" w:hint="eastAsia"/>
            <w:spacing w:val="10"/>
            <w:szCs w:val="28"/>
            <w:rtl/>
          </w:rPr>
          <w:t>לתקנה</w:t>
        </w:r>
        <w:r w:rsidR="00894E25" w:rsidRPr="00894E25">
          <w:rPr>
            <w:rStyle w:val="Hyperlink"/>
            <w:rFonts w:ascii="Garamond" w:hAnsi="Garamond" w:cs="FrankRuehl"/>
            <w:spacing w:val="10"/>
            <w:szCs w:val="28"/>
            <w:rtl/>
          </w:rPr>
          <w:t xml:space="preserve"> 1.00.20</w:t>
        </w:r>
      </w:hyperlink>
      <w:r w:rsidR="00000000" w:rsidRPr="00284859">
        <w:rPr>
          <w:rFonts w:ascii="Garamond" w:hAnsi="Garamond" w:cs="FrankRuehl"/>
          <w:spacing w:val="10"/>
          <w:szCs w:val="28"/>
          <w:rtl/>
        </w:rPr>
        <w:t xml:space="preserve"> בסימן ג' לתוספת השלישית בתקנות התכנון והבנייה (להלן: </w:t>
      </w:r>
      <w:r w:rsidR="00000000" w:rsidRPr="00284859">
        <w:rPr>
          <w:rFonts w:ascii="Century" w:hAnsi="Century" w:cs="Miriam"/>
          <w:b/>
          <w:sz w:val="22"/>
          <w:rtl/>
        </w:rPr>
        <w:t>תקנה 1.00.20</w:t>
      </w:r>
      <w:r w:rsidR="00000000" w:rsidRPr="00284859">
        <w:rPr>
          <w:rFonts w:ascii="Garamond" w:hAnsi="Garamond" w:cs="FrankRuehl"/>
          <w:spacing w:val="10"/>
          <w:szCs w:val="28"/>
          <w:rtl/>
        </w:rPr>
        <w:t xml:space="preserve">) בו נקבע כי: </w:t>
      </w:r>
    </w:p>
    <w:p w14:paraId="3B762BC5"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tbl>
      <w:tblPr>
        <w:bidiVisual/>
        <w:tblW w:w="0" w:type="auto"/>
        <w:tblInd w:w="1272" w:type="dxa"/>
        <w:tblLook w:val="01E0" w:firstRow="1" w:lastRow="1" w:firstColumn="1" w:lastColumn="1" w:noHBand="0" w:noVBand="0"/>
      </w:tblPr>
      <w:tblGrid>
        <w:gridCol w:w="1517"/>
        <w:gridCol w:w="4687"/>
      </w:tblGrid>
      <w:tr w:rsidR="00320E8F" w14:paraId="76CD2661" w14:textId="77777777" w:rsidTr="00284859">
        <w:tc>
          <w:tcPr>
            <w:tcW w:w="1517" w:type="dxa"/>
          </w:tcPr>
          <w:p w14:paraId="3F79F63D" w14:textId="77777777" w:rsidR="00284859" w:rsidRPr="00284859" w:rsidRDefault="00000000" w:rsidP="00284859">
            <w:pPr>
              <w:tabs>
                <w:tab w:val="left" w:pos="800"/>
              </w:tabs>
              <w:overflowPunct w:val="0"/>
              <w:autoSpaceDE w:val="0"/>
              <w:autoSpaceDN w:val="0"/>
              <w:adjustRightInd w:val="0"/>
              <w:rPr>
                <w:rFonts w:ascii="Century" w:hAnsi="Century" w:cs="FrankRuehl"/>
                <w:spacing w:val="10"/>
                <w:sz w:val="22"/>
                <w:szCs w:val="28"/>
                <w:rtl/>
              </w:rPr>
            </w:pPr>
            <w:r w:rsidRPr="00284859">
              <w:rPr>
                <w:rFonts w:ascii="Century" w:hAnsi="Century" w:cs="FrankRuehl"/>
                <w:spacing w:val="10"/>
                <w:sz w:val="22"/>
                <w:szCs w:val="28"/>
                <w:rtl/>
              </w:rPr>
              <w:t>פטור חלקי לבניין להשכרה</w:t>
            </w:r>
          </w:p>
        </w:tc>
        <w:tc>
          <w:tcPr>
            <w:tcW w:w="4687" w:type="dxa"/>
          </w:tcPr>
          <w:p w14:paraId="44E85B8D" w14:textId="77777777" w:rsidR="00284859" w:rsidRPr="00284859" w:rsidRDefault="00000000" w:rsidP="00284859">
            <w:pPr>
              <w:tabs>
                <w:tab w:val="left" w:pos="800"/>
              </w:tabs>
              <w:overflowPunct w:val="0"/>
              <w:autoSpaceDE w:val="0"/>
              <w:autoSpaceDN w:val="0"/>
              <w:adjustRightInd w:val="0"/>
              <w:jc w:val="both"/>
              <w:rPr>
                <w:rFonts w:ascii="Century" w:hAnsi="Century" w:cs="FrankRuehl"/>
                <w:spacing w:val="10"/>
                <w:sz w:val="22"/>
                <w:szCs w:val="28"/>
              </w:rPr>
            </w:pPr>
            <w:r w:rsidRPr="00284859">
              <w:rPr>
                <w:rFonts w:ascii="Century" w:hAnsi="Century" w:cs="FrankRuehl"/>
                <w:spacing w:val="10"/>
                <w:sz w:val="22"/>
                <w:szCs w:val="28"/>
                <w:rtl/>
              </w:rPr>
              <w:t>1.00.20 (א) המבקש היתר לבנין להשכרה, כהגדרתו בסעיף 53א ל</w:t>
            </w:r>
            <w:hyperlink r:id="rId29" w:history="1">
              <w:r w:rsidR="007A6BE9" w:rsidRPr="007A6BE9">
                <w:rPr>
                  <w:rFonts w:ascii="Century" w:hAnsi="Century" w:cs="FrankRuehl" w:hint="eastAsia"/>
                  <w:color w:val="0000FF"/>
                  <w:spacing w:val="10"/>
                  <w:sz w:val="22"/>
                  <w:szCs w:val="28"/>
                  <w:u w:val="single"/>
                  <w:rtl/>
                </w:rPr>
                <w:t>חוק</w:t>
              </w:r>
              <w:r w:rsidR="007A6BE9" w:rsidRPr="007A6BE9">
                <w:rPr>
                  <w:rFonts w:ascii="Century" w:hAnsi="Century" w:cs="FrankRuehl"/>
                  <w:color w:val="0000FF"/>
                  <w:spacing w:val="10"/>
                  <w:sz w:val="22"/>
                  <w:szCs w:val="28"/>
                  <w:u w:val="single"/>
                  <w:rtl/>
                </w:rPr>
                <w:t xml:space="preserve"> </w:t>
              </w:r>
              <w:r w:rsidR="007A6BE9" w:rsidRPr="007A6BE9">
                <w:rPr>
                  <w:rFonts w:ascii="Century" w:hAnsi="Century" w:cs="FrankRuehl" w:hint="eastAsia"/>
                  <w:color w:val="0000FF"/>
                  <w:spacing w:val="10"/>
                  <w:sz w:val="22"/>
                  <w:szCs w:val="28"/>
                  <w:u w:val="single"/>
                  <w:rtl/>
                </w:rPr>
                <w:t>לעידוד</w:t>
              </w:r>
              <w:r w:rsidR="007A6BE9" w:rsidRPr="007A6BE9">
                <w:rPr>
                  <w:rFonts w:ascii="Century" w:hAnsi="Century" w:cs="FrankRuehl"/>
                  <w:color w:val="0000FF"/>
                  <w:spacing w:val="10"/>
                  <w:sz w:val="22"/>
                  <w:szCs w:val="28"/>
                  <w:u w:val="single"/>
                  <w:rtl/>
                </w:rPr>
                <w:t xml:space="preserve"> </w:t>
              </w:r>
              <w:r w:rsidR="007A6BE9" w:rsidRPr="007A6BE9">
                <w:rPr>
                  <w:rFonts w:ascii="Century" w:hAnsi="Century" w:cs="FrankRuehl" w:hint="eastAsia"/>
                  <w:color w:val="0000FF"/>
                  <w:spacing w:val="10"/>
                  <w:sz w:val="22"/>
                  <w:szCs w:val="28"/>
                  <w:u w:val="single"/>
                  <w:rtl/>
                </w:rPr>
                <w:t>השקעות</w:t>
              </w:r>
              <w:r w:rsidR="007A6BE9" w:rsidRPr="007A6BE9">
                <w:rPr>
                  <w:rFonts w:ascii="Century" w:hAnsi="Century" w:cs="FrankRuehl"/>
                  <w:color w:val="0000FF"/>
                  <w:spacing w:val="10"/>
                  <w:sz w:val="22"/>
                  <w:szCs w:val="28"/>
                  <w:u w:val="single"/>
                  <w:rtl/>
                </w:rPr>
                <w:t xml:space="preserve"> </w:t>
              </w:r>
              <w:r w:rsidR="007A6BE9" w:rsidRPr="007A6BE9">
                <w:rPr>
                  <w:rFonts w:ascii="Century" w:hAnsi="Century" w:cs="FrankRuehl" w:hint="eastAsia"/>
                  <w:color w:val="0000FF"/>
                  <w:spacing w:val="10"/>
                  <w:sz w:val="22"/>
                  <w:szCs w:val="28"/>
                  <w:u w:val="single"/>
                  <w:rtl/>
                </w:rPr>
                <w:t>הון</w:t>
              </w:r>
              <w:r w:rsidR="007A6BE9" w:rsidRPr="007A6BE9">
                <w:rPr>
                  <w:rFonts w:ascii="Century" w:hAnsi="Century" w:cs="FrankRuehl"/>
                  <w:color w:val="0000FF"/>
                  <w:spacing w:val="10"/>
                  <w:sz w:val="22"/>
                  <w:szCs w:val="28"/>
                  <w:u w:val="single"/>
                  <w:rtl/>
                </w:rPr>
                <w:t xml:space="preserve">, </w:t>
              </w:r>
              <w:r w:rsidR="007A6BE9" w:rsidRPr="007A6BE9">
                <w:rPr>
                  <w:rFonts w:ascii="Century" w:hAnsi="Century" w:cs="FrankRuehl" w:hint="eastAsia"/>
                  <w:color w:val="0000FF"/>
                  <w:spacing w:val="10"/>
                  <w:sz w:val="22"/>
                  <w:szCs w:val="28"/>
                  <w:u w:val="single"/>
                  <w:rtl/>
                </w:rPr>
                <w:t>התשי</w:t>
              </w:r>
              <w:r w:rsidR="007A6BE9" w:rsidRPr="007A6BE9">
                <w:rPr>
                  <w:rFonts w:ascii="Century" w:hAnsi="Century" w:cs="FrankRuehl"/>
                  <w:color w:val="0000FF"/>
                  <w:spacing w:val="10"/>
                  <w:sz w:val="22"/>
                  <w:szCs w:val="28"/>
                  <w:u w:val="single"/>
                  <w:rtl/>
                </w:rPr>
                <w:t>"</w:t>
              </w:r>
              <w:r w:rsidR="007A6BE9" w:rsidRPr="007A6BE9">
                <w:rPr>
                  <w:rFonts w:ascii="Century" w:hAnsi="Century" w:cs="FrankRuehl" w:hint="eastAsia"/>
                  <w:color w:val="0000FF"/>
                  <w:spacing w:val="10"/>
                  <w:sz w:val="22"/>
                  <w:szCs w:val="28"/>
                  <w:u w:val="single"/>
                  <w:rtl/>
                </w:rPr>
                <w:t>ט</w:t>
              </w:r>
              <w:r w:rsidR="007A6BE9" w:rsidRPr="007A6BE9">
                <w:rPr>
                  <w:rFonts w:ascii="Century" w:hAnsi="Century" w:cs="FrankRuehl"/>
                  <w:color w:val="0000FF"/>
                  <w:spacing w:val="10"/>
                  <w:sz w:val="22"/>
                  <w:szCs w:val="28"/>
                  <w:u w:val="single"/>
                  <w:rtl/>
                </w:rPr>
                <w:t>-1959</w:t>
              </w:r>
            </w:hyperlink>
            <w:r w:rsidRPr="00284859">
              <w:rPr>
                <w:rFonts w:ascii="Century" w:hAnsi="Century" w:cs="FrankRuehl"/>
                <w:spacing w:val="10"/>
                <w:sz w:val="22"/>
                <w:szCs w:val="28"/>
                <w:rtl/>
              </w:rPr>
              <w:t>, פטור מתשלום מחצית האגרה.</w:t>
            </w:r>
          </w:p>
          <w:p w14:paraId="210CFE73" w14:textId="77777777" w:rsidR="00284859" w:rsidRPr="00284859" w:rsidRDefault="00284859" w:rsidP="00284859">
            <w:pPr>
              <w:tabs>
                <w:tab w:val="left" w:pos="800"/>
              </w:tabs>
              <w:overflowPunct w:val="0"/>
              <w:autoSpaceDE w:val="0"/>
              <w:autoSpaceDN w:val="0"/>
              <w:adjustRightInd w:val="0"/>
              <w:jc w:val="both"/>
              <w:rPr>
                <w:rFonts w:ascii="Century" w:hAnsi="Century" w:cs="FrankRuehl"/>
                <w:spacing w:val="10"/>
                <w:sz w:val="22"/>
                <w:szCs w:val="28"/>
              </w:rPr>
            </w:pPr>
          </w:p>
          <w:p w14:paraId="0A8A4D89" w14:textId="77777777" w:rsidR="00284859" w:rsidRPr="00284859" w:rsidRDefault="00000000" w:rsidP="00284859">
            <w:pPr>
              <w:tabs>
                <w:tab w:val="left" w:pos="800"/>
              </w:tabs>
              <w:overflowPunct w:val="0"/>
              <w:autoSpaceDE w:val="0"/>
              <w:autoSpaceDN w:val="0"/>
              <w:adjustRightInd w:val="0"/>
              <w:jc w:val="both"/>
              <w:rPr>
                <w:rFonts w:ascii="Century" w:hAnsi="Century" w:cs="FrankRuehl"/>
                <w:spacing w:val="10"/>
                <w:sz w:val="22"/>
                <w:szCs w:val="28"/>
                <w:rtl/>
              </w:rPr>
            </w:pPr>
            <w:r w:rsidRPr="00284859">
              <w:rPr>
                <w:rFonts w:ascii="Century" w:hAnsi="Century" w:cs="FrankRuehl"/>
                <w:spacing w:val="10"/>
                <w:sz w:val="22"/>
                <w:szCs w:val="28"/>
                <w:rtl/>
              </w:rPr>
              <w:t>(ב)  נמכר בנין שניתן לו היתר כאמור בפרט משנה (א), חלקו או כולו, ישלם המוכר את המחצית הנותרת של האגרה שהיה פטור מתשלומה לפי פרט משנה (א).</w:t>
            </w:r>
          </w:p>
        </w:tc>
      </w:tr>
    </w:tbl>
    <w:p w14:paraId="37465E7C"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Pr>
      </w:pPr>
    </w:p>
    <w:p w14:paraId="21A38FA5" w14:textId="77777777" w:rsid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1ACA6331" w14:textId="77777777" w:rsidR="0071337E" w:rsidRPr="00284859" w:rsidRDefault="0071337E"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614C15C2" w14:textId="77777777" w:rsidR="00284859" w:rsidRPr="00284859" w:rsidRDefault="00000000" w:rsidP="00284859">
      <w:pPr>
        <w:tabs>
          <w:tab w:val="left" w:pos="800"/>
        </w:tabs>
        <w:overflowPunct w:val="0"/>
        <w:autoSpaceDE w:val="0"/>
        <w:autoSpaceDN w:val="0"/>
        <w:adjustRightInd w:val="0"/>
        <w:spacing w:line="360" w:lineRule="auto"/>
        <w:jc w:val="both"/>
        <w:rPr>
          <w:rFonts w:ascii="Miriam" w:hAnsi="Miriam" w:cs="Miriam"/>
          <w:spacing w:val="10"/>
          <w:rtl/>
        </w:rPr>
      </w:pPr>
      <w:r w:rsidRPr="00284859">
        <w:rPr>
          <w:rFonts w:ascii="Miriam" w:hAnsi="Miriam" w:cs="Miriam"/>
          <w:spacing w:val="10"/>
          <w:rtl/>
        </w:rPr>
        <w:t xml:space="preserve">ערעור חברות שפיר </w:t>
      </w:r>
    </w:p>
    <w:p w14:paraId="3EEB8DD7" w14:textId="77777777" w:rsidR="00284859" w:rsidRPr="00284859" w:rsidRDefault="00284859" w:rsidP="00284859">
      <w:pPr>
        <w:tabs>
          <w:tab w:val="left" w:pos="800"/>
        </w:tabs>
        <w:overflowPunct w:val="0"/>
        <w:autoSpaceDE w:val="0"/>
        <w:autoSpaceDN w:val="0"/>
        <w:adjustRightInd w:val="0"/>
        <w:spacing w:line="360" w:lineRule="auto"/>
        <w:jc w:val="both"/>
        <w:rPr>
          <w:rFonts w:ascii="Miriam" w:hAnsi="Miriam" w:cs="Miriam"/>
          <w:spacing w:val="10"/>
          <w:rtl/>
        </w:rPr>
      </w:pPr>
    </w:p>
    <w:p w14:paraId="6DAD4D31" w14:textId="77777777" w:rsidR="00284859" w:rsidRPr="00284859" w:rsidRDefault="0071337E"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tl/>
        </w:rPr>
      </w:pPr>
      <w:r>
        <w:rPr>
          <w:rFonts w:ascii="Garamond" w:hAnsi="Garamond" w:cs="FrankRuehl" w:hint="cs"/>
          <w:spacing w:val="10"/>
          <w:szCs w:val="28"/>
          <w:rtl/>
        </w:rPr>
        <w:t>13.</w:t>
      </w:r>
      <w:r>
        <w:rPr>
          <w:rFonts w:ascii="Garamond" w:hAnsi="Garamond" w:cs="FrankRuehl" w:hint="cs"/>
          <w:spacing w:val="10"/>
          <w:szCs w:val="28"/>
          <w:rtl/>
        </w:rPr>
        <w:tab/>
      </w:r>
      <w:r w:rsidR="00000000" w:rsidRPr="00284859">
        <w:rPr>
          <w:rFonts w:ascii="Garamond" w:hAnsi="Garamond" w:cs="FrankRuehl"/>
          <w:spacing w:val="10"/>
          <w:szCs w:val="28"/>
          <w:rtl/>
        </w:rPr>
        <w:t>חברות שפיר העלו בערעור טענות נגד קביעת בית משפט קמא לפיה הפטור מתשלום מחצית האגרה ניתן רק ביחס לאגרה ששולמה עבור חלק הבניין המיועד להשכרה, ולא ביחס לאגרה ששולמה עבור כלל שטח הבניין שאושר כ"בניין חדש להשכרה".</w:t>
      </w:r>
    </w:p>
    <w:p w14:paraId="2C7733B5"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74077799" w14:textId="77777777" w:rsidR="00284859" w:rsidRPr="00284859" w:rsidRDefault="00000000"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r w:rsidRPr="00284859">
        <w:rPr>
          <w:rFonts w:ascii="Arial TUR" w:hAnsi="Arial TUR" w:cs="FrankRuehl"/>
          <w:spacing w:val="10"/>
          <w:sz w:val="22"/>
          <w:szCs w:val="28"/>
          <w:rtl/>
        </w:rPr>
        <w:tab/>
        <w:t>הן הפנו להגדרות בחוק לעידוד השקעות ואף לתקנות לעידוד השקעות. לטענתן, בהתאם להגדרות אלה, משעה שהמינהלת אישרה את הבניינים כנכסים שהם "בניין להשכרה" – הן זכאיות להשבה של מחצית מאגרות הבנייה שהן שילמו ביחס לכלל השטח של כל אחד מהבניינים הללו. כך עולה לגישתן מהגדרתו של המונח "בניין להשכרה" בחוק לעידוד השקעות, המוגדר כבניין שאושר כנכס מאושר, שלפחות מחצית שטחו מיועד להשכרה למגורים. מסקנה דומה עולה גם מתקנה 1.00.20 שלפיה "</w:t>
      </w:r>
      <w:r w:rsidRPr="00284859">
        <w:rPr>
          <w:rFonts w:ascii="Century" w:hAnsi="Century" w:cs="Miriam"/>
          <w:b/>
          <w:sz w:val="22"/>
          <w:rtl/>
        </w:rPr>
        <w:t>המבקש היתר לבניין להשכרה, בהגדרתו בסעיף 53א לחוק עידוד השקעות... פטור מתשלום מחצית האגרה</w:t>
      </w:r>
      <w:r w:rsidRPr="00284859">
        <w:rPr>
          <w:rFonts w:ascii="Arial TUR" w:hAnsi="Arial TUR" w:cs="FrankRuehl"/>
          <w:spacing w:val="10"/>
          <w:sz w:val="22"/>
          <w:szCs w:val="28"/>
          <w:rtl/>
        </w:rPr>
        <w:t>".</w:t>
      </w:r>
    </w:p>
    <w:p w14:paraId="5D842869"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320F197D" w14:textId="77777777" w:rsidR="00284859" w:rsidRPr="00284859" w:rsidRDefault="00000000"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r w:rsidRPr="00284859">
        <w:rPr>
          <w:rFonts w:ascii="Arial TUR" w:hAnsi="Arial TUR" w:cs="FrankRuehl"/>
          <w:spacing w:val="10"/>
          <w:sz w:val="22"/>
          <w:szCs w:val="28"/>
          <w:rtl/>
        </w:rPr>
        <w:tab/>
        <w:t>עוד נטען כי השר אף הוסמך בחוק לאשר רק חלק מבניין כ"בניין להשכרה" – כך שבעל הבניין יהיה פטור ממחצית האגרה ששולמה בעד אותו חלק שהוכר כ"בניין להשכרה". לכן, מעת שהבניין, על כלל שטחו, אושר על-ידי המינהלת כ"בניין להשכרה", הרי שההטבה חלה ביחס לכלל שטח הבניין ולא רק ביחס לשטח המיועד להשכרה. חברות שפיר הוסיפו כי הפרשנות לעניין היקף ההטבה נובעת גם מתכליתו של החוק לעידוד השקעות – שנועד לתמרץ בנייה למגורים בתנאי שכירות ארוכת טווח באמצעות מתן הטבות כלכליות משמעותיות שיהפכו את הבנייה להשכרה לכדאית.</w:t>
      </w:r>
    </w:p>
    <w:p w14:paraId="0851A5FB" w14:textId="77777777" w:rsidR="00284859" w:rsidRPr="00284859" w:rsidRDefault="00000000"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r w:rsidRPr="00284859">
        <w:rPr>
          <w:rFonts w:ascii="Arial TUR" w:hAnsi="Arial TUR" w:cs="FrankRuehl"/>
          <w:spacing w:val="10"/>
          <w:sz w:val="22"/>
          <w:szCs w:val="28"/>
          <w:rtl/>
        </w:rPr>
        <w:t xml:space="preserve"> </w:t>
      </w:r>
    </w:p>
    <w:p w14:paraId="3F59524B" w14:textId="77777777" w:rsidR="00284859" w:rsidRPr="00284859" w:rsidRDefault="00000000"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r w:rsidRPr="00284859">
        <w:rPr>
          <w:rFonts w:ascii="Arial TUR" w:hAnsi="Arial TUR" w:cs="FrankRuehl"/>
          <w:spacing w:val="10"/>
          <w:sz w:val="22"/>
          <w:szCs w:val="28"/>
          <w:rtl/>
        </w:rPr>
        <w:tab/>
        <w:t xml:space="preserve">חברות שפיר אף העלו טענות ביחס להשמטתו מפסק הדין של כתב אישור 4519, באופן שהביא לידי כך שבית המשפט לא פסק סעד המשקף את ההטבה שהן </w:t>
      </w:r>
      <w:r w:rsidRPr="00284859">
        <w:rPr>
          <w:rFonts w:ascii="Arial TUR" w:hAnsi="Arial TUR" w:cs="FrankRuehl"/>
          <w:spacing w:val="10"/>
          <w:sz w:val="22"/>
          <w:szCs w:val="28"/>
          <w:rtl/>
        </w:rPr>
        <w:lastRenderedPageBreak/>
        <w:t xml:space="preserve">זכאיות לה לכאורה מכוחו. לטענתן, כתב אישור זה ניתן למערערות 2-1 בקשר לבניינים שאושרו כ"בניינים להשכרה" באחד הפרויקטים שלהן, והיתרי הבנייה והקבלות מוכיחים את תשלום האגרה גם לגבי בניינים אלה. לטענתן, האישור הוא תעודה ציבורית, קיומו ממילא לא הוכחש על-ידי הוועדה והוא מהווה חלק ברור בתובענה. לכן, היה על בית משפט קמא לכלול בפסק הדין גם סעד ביחס לבניינים שאושרו בכתב אישור 4519. </w:t>
      </w:r>
    </w:p>
    <w:p w14:paraId="60B6E55B"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6389B34A" w14:textId="77777777" w:rsidR="00284859" w:rsidRPr="00284859" w:rsidRDefault="0071337E"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tl/>
        </w:rPr>
      </w:pPr>
      <w:r>
        <w:rPr>
          <w:rFonts w:ascii="Garamond" w:hAnsi="Garamond" w:cs="FrankRuehl" w:hint="cs"/>
          <w:spacing w:val="10"/>
          <w:szCs w:val="28"/>
          <w:rtl/>
        </w:rPr>
        <w:t>14.</w:t>
      </w:r>
      <w:r>
        <w:rPr>
          <w:rFonts w:ascii="Garamond" w:hAnsi="Garamond" w:cs="FrankRuehl" w:hint="cs"/>
          <w:spacing w:val="10"/>
          <w:szCs w:val="28"/>
          <w:rtl/>
        </w:rPr>
        <w:tab/>
      </w:r>
      <w:r w:rsidR="00000000" w:rsidRPr="00284859">
        <w:rPr>
          <w:rFonts w:ascii="Garamond" w:hAnsi="Garamond" w:cs="FrankRuehl"/>
          <w:spacing w:val="10"/>
          <w:szCs w:val="28"/>
          <w:rtl/>
        </w:rPr>
        <w:t xml:space="preserve">הוועדה טענה מנגד כי בדין קבע בית משפט קמא כי יש לתת את ההטבה רק עבור חלק הבניין המיועד להשכרה. כך עולה במפורש מלשון </w:t>
      </w:r>
      <w:hyperlink r:id="rId30" w:history="1">
        <w:r w:rsidR="00894E25" w:rsidRPr="00894E25">
          <w:rPr>
            <w:rStyle w:val="Hyperlink"/>
            <w:rFonts w:ascii="Garamond" w:hAnsi="Garamond" w:cs="FrankRuehl" w:hint="eastAsia"/>
            <w:spacing w:val="10"/>
            <w:szCs w:val="28"/>
            <w:rtl/>
          </w:rPr>
          <w:t>תקנה</w:t>
        </w:r>
        <w:r w:rsidR="00894E25" w:rsidRPr="00894E25">
          <w:rPr>
            <w:rStyle w:val="Hyperlink"/>
            <w:rFonts w:ascii="Garamond" w:hAnsi="Garamond" w:cs="FrankRuehl"/>
            <w:spacing w:val="10"/>
            <w:szCs w:val="28"/>
            <w:rtl/>
          </w:rPr>
          <w:t xml:space="preserve"> 1</w:t>
        </w:r>
      </w:hyperlink>
      <w:r w:rsidR="00000000" w:rsidRPr="00284859">
        <w:rPr>
          <w:rFonts w:ascii="Garamond" w:hAnsi="Garamond" w:cs="FrankRuehl"/>
          <w:spacing w:val="10"/>
          <w:szCs w:val="28"/>
          <w:rtl/>
        </w:rPr>
        <w:t xml:space="preserve"> לתקנות לעידוד השקעות הון שלפיה "</w:t>
      </w:r>
      <w:r w:rsidR="00000000" w:rsidRPr="00284859">
        <w:rPr>
          <w:rFonts w:ascii="Century" w:hAnsi="Century" w:cs="Miriam"/>
          <w:b/>
          <w:sz w:val="22"/>
          <w:rtl/>
        </w:rPr>
        <w:t>היתר לבנייתו של בניין להשכרה... יהיה פטור ממחצית האגרה בעד חלק הבניין המיועד להשכרה</w:t>
      </w:r>
      <w:r w:rsidR="00000000" w:rsidRPr="00284859">
        <w:rPr>
          <w:rFonts w:ascii="Garamond" w:hAnsi="Garamond" w:cs="FrankRuehl"/>
          <w:spacing w:val="10"/>
          <w:szCs w:val="28"/>
          <w:rtl/>
        </w:rPr>
        <w:t>". היא הוסיפה כי אף אלמלא הייתה פרשנות זו עולה במפורש מלשון התקנה, יש להעדיף אותה מאחר שהיא מגשימה בצורה המיטבית את תכלית החקיקה. לגישת הוועדה, הואיל ותכלית החקיקה היא עידוד בניית דיור להשכרה לטווח ארוך – מתן ההטבה רק בגין החלק המיועד להשכרה, כפי שקבע בית משפט קמא, תתמרץ את היזמים להקצות חלק גדול יותר משטח הבניינים לדירות להשכרה, ולא להסתפק במינימום הנדרש לפי החוק.</w:t>
      </w:r>
    </w:p>
    <w:p w14:paraId="34B018EB"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62B8AC96" w14:textId="77777777" w:rsidR="00284859" w:rsidRPr="00284859" w:rsidRDefault="00000000"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Pr>
      </w:pPr>
      <w:r w:rsidRPr="00284859">
        <w:rPr>
          <w:rFonts w:ascii="Garamond" w:hAnsi="Garamond" w:cs="FrankRuehl"/>
          <w:spacing w:val="10"/>
          <w:szCs w:val="28"/>
          <w:rtl/>
        </w:rPr>
        <w:tab/>
        <w:t xml:space="preserve">בכל הנוגע לטענות ביחס לכתב אישור 4519, הוועדה טענה כי בית המשפט החליט באופן מודע שלא לכלול אותו בפסק הדין. זאת, שכן מדובר במסמך שהוועדה הכחישה שניתן כדין על-ידי המינהלת ואשר לא הוגש על ידי חברות שפיר כראייה. לכן, אין מדובר בטעות סופר, אלא בשינוי מהותי של פסק הדין. לגישתה, הואיל ובית משפט קמא הסתמך על כתבי האישור בקביעותיו ביחס לגובה ההטבה, אין מקום להסתמך על כתב אישור זה שלא הוכח בראיות. </w:t>
      </w:r>
    </w:p>
    <w:p w14:paraId="61C1DFB1"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65AF6409" w14:textId="77777777" w:rsidR="00284859" w:rsidRPr="00284859" w:rsidRDefault="00000000" w:rsidP="00284859">
      <w:pPr>
        <w:tabs>
          <w:tab w:val="left" w:pos="800"/>
        </w:tabs>
        <w:overflowPunct w:val="0"/>
        <w:autoSpaceDE w:val="0"/>
        <w:autoSpaceDN w:val="0"/>
        <w:adjustRightInd w:val="0"/>
        <w:spacing w:line="360" w:lineRule="auto"/>
        <w:jc w:val="both"/>
        <w:rPr>
          <w:rFonts w:ascii="Century" w:hAnsi="Century" w:cs="Miriam"/>
          <w:b/>
          <w:sz w:val="22"/>
          <w:rtl/>
        </w:rPr>
      </w:pPr>
      <w:r w:rsidRPr="00284859">
        <w:rPr>
          <w:rFonts w:ascii="Century" w:hAnsi="Century" w:cs="Miriam"/>
          <w:b/>
          <w:sz w:val="22"/>
          <w:rtl/>
        </w:rPr>
        <w:t>דיון והכרעה בערעור חברות שפיר</w:t>
      </w:r>
    </w:p>
    <w:p w14:paraId="149DAC33" w14:textId="77777777" w:rsidR="00284859" w:rsidRPr="00284859" w:rsidRDefault="00284859"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tl/>
        </w:rPr>
      </w:pPr>
    </w:p>
    <w:p w14:paraId="7FE3EED3" w14:textId="77777777" w:rsidR="00284859" w:rsidRPr="00284859" w:rsidRDefault="0071337E"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tl/>
        </w:rPr>
      </w:pPr>
      <w:r>
        <w:rPr>
          <w:rFonts w:ascii="Garamond" w:hAnsi="Garamond" w:cs="FrankRuehl" w:hint="cs"/>
          <w:spacing w:val="10"/>
          <w:szCs w:val="28"/>
          <w:rtl/>
        </w:rPr>
        <w:t>15.</w:t>
      </w:r>
      <w:r>
        <w:rPr>
          <w:rFonts w:ascii="Garamond" w:hAnsi="Garamond" w:cs="FrankRuehl" w:hint="cs"/>
          <w:spacing w:val="10"/>
          <w:szCs w:val="28"/>
          <w:rtl/>
        </w:rPr>
        <w:tab/>
      </w:r>
      <w:r w:rsidR="00000000" w:rsidRPr="00284859">
        <w:rPr>
          <w:rFonts w:ascii="Garamond" w:hAnsi="Garamond" w:cs="FrankRuehl"/>
          <w:spacing w:val="10"/>
          <w:szCs w:val="28"/>
          <w:rtl/>
        </w:rPr>
        <w:t xml:space="preserve">השאלה המרכזית המתעוררת בערעור זה היא האם יש לפטור את חברות שפיר מתשלום מחצית האגרה ששולמה ביחס </w:t>
      </w:r>
      <w:r w:rsidR="00000000" w:rsidRPr="00284859">
        <w:rPr>
          <w:rFonts w:ascii="Century" w:hAnsi="Century" w:cs="Miriam"/>
          <w:b/>
          <w:sz w:val="22"/>
          <w:rtl/>
        </w:rPr>
        <w:t>לכלל</w:t>
      </w:r>
      <w:r w:rsidR="00000000" w:rsidRPr="00284859">
        <w:rPr>
          <w:rFonts w:ascii="Garamond" w:hAnsi="Garamond" w:cs="FrankRuehl"/>
          <w:spacing w:val="10"/>
          <w:szCs w:val="28"/>
          <w:rtl/>
        </w:rPr>
        <w:t xml:space="preserve"> שטח הבניין שהוגדר כ"בניין להשכרה", או רק מתשלום מחצית האגרה ששולמה עבור חלק הבניין המיועד להשכרה. מהטעמים שיובהרו להלן, אני סבורה כי ההטבה צריכה להינתן ביחס לאגרה ששולמה עבור החלק המיועד להשכרה בלבד.</w:t>
      </w:r>
    </w:p>
    <w:p w14:paraId="664E0DBC"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5B71D384" w14:textId="77777777" w:rsidR="00284859" w:rsidRPr="00284859" w:rsidRDefault="0071337E"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tl/>
        </w:rPr>
      </w:pPr>
      <w:r>
        <w:rPr>
          <w:rFonts w:ascii="Garamond" w:hAnsi="Garamond" w:cs="FrankRuehl" w:hint="cs"/>
          <w:spacing w:val="10"/>
          <w:szCs w:val="28"/>
          <w:rtl/>
        </w:rPr>
        <w:lastRenderedPageBreak/>
        <w:t>16.</w:t>
      </w:r>
      <w:r>
        <w:rPr>
          <w:rFonts w:ascii="Garamond" w:hAnsi="Garamond" w:cs="FrankRuehl" w:hint="cs"/>
          <w:spacing w:val="10"/>
          <w:szCs w:val="28"/>
          <w:rtl/>
        </w:rPr>
        <w:tab/>
      </w:r>
      <w:r w:rsidR="00000000" w:rsidRPr="00284859">
        <w:rPr>
          <w:rFonts w:ascii="Garamond" w:hAnsi="Garamond" w:cs="FrankRuehl"/>
          <w:spacing w:val="10"/>
          <w:szCs w:val="28"/>
          <w:rtl/>
        </w:rPr>
        <w:t xml:space="preserve">כדי להכריע במחלוקת בין הצדדים, יש להידרש לפרשנות של החקיקה שצוטטה  לעיל. כידוע, השלב הראשון בפרשנות דבר חקיקה הוא בחינה של לשון החוק, שהיא היוצרת את מתחם הפרשנויות האפשריות. הלכה היא כי כאשר לשון החוק "סובלת" יותר מפרשנות אחת, יש לבחון את תכלית החקיקה, ומבין הפרשנויות האפשריות – לבחור את זו המיטיבה להגשים אותה (ראו: </w:t>
      </w:r>
      <w:hyperlink r:id="rId31" w:history="1">
        <w:r w:rsidR="007A6BE9" w:rsidRPr="007A6BE9">
          <w:rPr>
            <w:rFonts w:ascii="Garamond" w:hAnsi="Garamond" w:cs="FrankRuehl" w:hint="eastAsia"/>
            <w:color w:val="0000FF"/>
            <w:spacing w:val="10"/>
            <w:szCs w:val="28"/>
            <w:u w:val="single"/>
            <w:rtl/>
          </w:rPr>
          <w:t>עע</w:t>
        </w:r>
        <w:r w:rsidR="007A6BE9" w:rsidRPr="007A6BE9">
          <w:rPr>
            <w:rFonts w:ascii="Garamond" w:hAnsi="Garamond" w:cs="FrankRuehl"/>
            <w:color w:val="0000FF"/>
            <w:spacing w:val="10"/>
            <w:szCs w:val="28"/>
            <w:u w:val="single"/>
            <w:rtl/>
          </w:rPr>
          <w:t>"</w:t>
        </w:r>
        <w:r w:rsidR="007A6BE9" w:rsidRPr="007A6BE9">
          <w:rPr>
            <w:rFonts w:ascii="Garamond" w:hAnsi="Garamond" w:cs="FrankRuehl" w:hint="eastAsia"/>
            <w:color w:val="0000FF"/>
            <w:spacing w:val="10"/>
            <w:szCs w:val="28"/>
            <w:u w:val="single"/>
            <w:rtl/>
          </w:rPr>
          <w:t>מ</w:t>
        </w:r>
        <w:r w:rsidR="007A6BE9" w:rsidRPr="007A6BE9">
          <w:rPr>
            <w:rFonts w:ascii="Garamond" w:hAnsi="Garamond" w:cs="FrankRuehl"/>
            <w:color w:val="0000FF"/>
            <w:spacing w:val="10"/>
            <w:szCs w:val="28"/>
            <w:u w:val="single"/>
            <w:rtl/>
          </w:rPr>
          <w:t xml:space="preserve"> 3804/22</w:t>
        </w:r>
      </w:hyperlink>
      <w:r w:rsidR="00000000" w:rsidRPr="00284859">
        <w:rPr>
          <w:rFonts w:ascii="Garamond" w:hAnsi="Garamond" w:cs="FrankRuehl"/>
          <w:spacing w:val="10"/>
          <w:szCs w:val="28"/>
          <w:rtl/>
        </w:rPr>
        <w:t xml:space="preserve"> </w:t>
      </w:r>
      <w:r w:rsidR="00000000" w:rsidRPr="00284859">
        <w:rPr>
          <w:rFonts w:ascii="Century" w:hAnsi="Century" w:cs="Miriam"/>
          <w:b/>
          <w:sz w:val="22"/>
          <w:rtl/>
        </w:rPr>
        <w:t xml:space="preserve">נקארה נ' הוועדה המקומית לתכנון ובנייה חיפה, </w:t>
      </w:r>
      <w:r w:rsidR="00000000" w:rsidRPr="00284859">
        <w:rPr>
          <w:rFonts w:ascii="Century" w:hAnsi="Century" w:cs="FrankRuehl"/>
          <w:spacing w:val="10"/>
          <w:sz w:val="22"/>
          <w:szCs w:val="28"/>
          <w:rtl/>
        </w:rPr>
        <w:t>פסקה 41</w:t>
      </w:r>
      <w:r w:rsidR="00000000" w:rsidRPr="00284859">
        <w:rPr>
          <w:rFonts w:ascii="Garamond" w:hAnsi="Garamond" w:cs="FrankRuehl"/>
          <w:spacing w:val="10"/>
          <w:szCs w:val="28"/>
          <w:rtl/>
        </w:rPr>
        <w:t xml:space="preserve"> </w:t>
      </w:r>
      <w:r w:rsidR="003B25DC">
        <w:rPr>
          <w:rFonts w:ascii="Garamond" w:hAnsi="Garamond" w:cs="FrankRuehl" w:hint="cs"/>
          <w:spacing w:val="10"/>
          <w:szCs w:val="28"/>
          <w:rtl/>
        </w:rPr>
        <w:t>[נבו]</w:t>
      </w:r>
      <w:r w:rsidR="003B25DC" w:rsidRPr="00284859">
        <w:rPr>
          <w:rFonts w:ascii="Garamond" w:hAnsi="Garamond" w:cs="FrankRuehl"/>
          <w:spacing w:val="10"/>
          <w:szCs w:val="28"/>
          <w:rtl/>
        </w:rPr>
        <w:t xml:space="preserve"> </w:t>
      </w:r>
      <w:r w:rsidR="00000000" w:rsidRPr="00284859">
        <w:rPr>
          <w:rFonts w:ascii="Garamond" w:hAnsi="Garamond" w:cs="FrankRuehl"/>
          <w:spacing w:val="10"/>
          <w:szCs w:val="28"/>
          <w:rtl/>
        </w:rPr>
        <w:t xml:space="preserve">(29.7.2024) (להלן: </w:t>
      </w:r>
      <w:r w:rsidR="00000000" w:rsidRPr="00284859">
        <w:rPr>
          <w:rFonts w:ascii="Century" w:hAnsi="Century" w:cs="Miriam"/>
          <w:b/>
          <w:sz w:val="22"/>
          <w:rtl/>
        </w:rPr>
        <w:t>עניין נקארה</w:t>
      </w:r>
      <w:r w:rsidR="00000000" w:rsidRPr="00284859">
        <w:rPr>
          <w:rFonts w:ascii="Garamond" w:hAnsi="Garamond" w:cs="FrankRuehl"/>
          <w:spacing w:val="10"/>
          <w:szCs w:val="28"/>
          <w:rtl/>
        </w:rPr>
        <w:t xml:space="preserve">); </w:t>
      </w:r>
      <w:hyperlink r:id="rId32" w:history="1">
        <w:r w:rsidR="007A6BE9" w:rsidRPr="007A6BE9">
          <w:rPr>
            <w:rFonts w:ascii="Garamond" w:hAnsi="Garamond" w:cs="FrankRuehl" w:hint="eastAsia"/>
            <w:color w:val="0000FF"/>
            <w:spacing w:val="10"/>
            <w:szCs w:val="28"/>
            <w:u w:val="single"/>
            <w:rtl/>
          </w:rPr>
          <w:t>ע</w:t>
        </w:r>
        <w:r w:rsidR="007A6BE9" w:rsidRPr="007A6BE9">
          <w:rPr>
            <w:rFonts w:ascii="Garamond" w:hAnsi="Garamond" w:cs="FrankRuehl"/>
            <w:color w:val="0000FF"/>
            <w:spacing w:val="10"/>
            <w:szCs w:val="28"/>
            <w:u w:val="single"/>
            <w:rtl/>
          </w:rPr>
          <w:t>"</w:t>
        </w:r>
        <w:r w:rsidR="007A6BE9" w:rsidRPr="007A6BE9">
          <w:rPr>
            <w:rFonts w:ascii="Garamond" w:hAnsi="Garamond" w:cs="FrankRuehl" w:hint="eastAsia"/>
            <w:color w:val="0000FF"/>
            <w:spacing w:val="10"/>
            <w:szCs w:val="28"/>
            <w:u w:val="single"/>
            <w:rtl/>
          </w:rPr>
          <w:t>א</w:t>
        </w:r>
        <w:r w:rsidR="007A6BE9" w:rsidRPr="007A6BE9">
          <w:rPr>
            <w:rFonts w:ascii="Garamond" w:hAnsi="Garamond" w:cs="FrankRuehl"/>
            <w:color w:val="0000FF"/>
            <w:spacing w:val="10"/>
            <w:szCs w:val="28"/>
            <w:u w:val="single"/>
            <w:rtl/>
          </w:rPr>
          <w:t xml:space="preserve"> 2504/24</w:t>
        </w:r>
      </w:hyperlink>
      <w:r w:rsidR="00000000" w:rsidRPr="00284859">
        <w:rPr>
          <w:rFonts w:ascii="Garamond" w:hAnsi="Garamond" w:cs="FrankRuehl"/>
          <w:spacing w:val="10"/>
          <w:szCs w:val="28"/>
          <w:rtl/>
        </w:rPr>
        <w:t xml:space="preserve"> </w:t>
      </w:r>
      <w:r w:rsidR="00000000" w:rsidRPr="00284859">
        <w:rPr>
          <w:rFonts w:ascii="Century" w:hAnsi="Century" w:cs="Miriam"/>
          <w:b/>
          <w:sz w:val="22"/>
          <w:rtl/>
        </w:rPr>
        <w:t>המוסד לביטוח לאומי נ' לין</w:t>
      </w:r>
      <w:r w:rsidR="00000000" w:rsidRPr="00284859">
        <w:rPr>
          <w:rFonts w:ascii="Garamond" w:hAnsi="Garamond" w:cs="FrankRuehl"/>
          <w:spacing w:val="10"/>
          <w:szCs w:val="28"/>
          <w:rtl/>
        </w:rPr>
        <w:t xml:space="preserve">, פסקה 19 </w:t>
      </w:r>
      <w:r w:rsidR="003B25DC">
        <w:rPr>
          <w:rFonts w:ascii="Garamond" w:hAnsi="Garamond" w:cs="FrankRuehl" w:hint="cs"/>
          <w:spacing w:val="10"/>
          <w:szCs w:val="28"/>
          <w:rtl/>
        </w:rPr>
        <w:t>[נבו]</w:t>
      </w:r>
      <w:r w:rsidR="003B25DC" w:rsidRPr="00284859">
        <w:rPr>
          <w:rFonts w:ascii="Garamond" w:hAnsi="Garamond" w:cs="FrankRuehl"/>
          <w:spacing w:val="10"/>
          <w:szCs w:val="28"/>
          <w:rtl/>
        </w:rPr>
        <w:t xml:space="preserve"> </w:t>
      </w:r>
      <w:r w:rsidR="00000000" w:rsidRPr="00284859">
        <w:rPr>
          <w:rFonts w:ascii="Garamond" w:hAnsi="Garamond" w:cs="FrankRuehl"/>
          <w:spacing w:val="10"/>
          <w:szCs w:val="28"/>
          <w:rtl/>
        </w:rPr>
        <w:t xml:space="preserve">(21.4.2024); </w:t>
      </w:r>
      <w:hyperlink r:id="rId33" w:history="1">
        <w:r w:rsidR="007A6BE9" w:rsidRPr="007A6BE9">
          <w:rPr>
            <w:rFonts w:ascii="Garamond" w:hAnsi="Garamond" w:cs="FrankRuehl" w:hint="eastAsia"/>
            <w:color w:val="0000FF"/>
            <w:spacing w:val="10"/>
            <w:szCs w:val="28"/>
            <w:u w:val="single"/>
            <w:rtl/>
          </w:rPr>
          <w:t>בג</w:t>
        </w:r>
        <w:r w:rsidR="007A6BE9" w:rsidRPr="007A6BE9">
          <w:rPr>
            <w:rFonts w:ascii="Garamond" w:hAnsi="Garamond" w:cs="FrankRuehl"/>
            <w:color w:val="0000FF"/>
            <w:spacing w:val="10"/>
            <w:szCs w:val="28"/>
            <w:u w:val="single"/>
            <w:rtl/>
          </w:rPr>
          <w:t>"</w:t>
        </w:r>
        <w:r w:rsidR="007A6BE9" w:rsidRPr="007A6BE9">
          <w:rPr>
            <w:rFonts w:ascii="Garamond" w:hAnsi="Garamond" w:cs="FrankRuehl" w:hint="eastAsia"/>
            <w:color w:val="0000FF"/>
            <w:spacing w:val="10"/>
            <w:szCs w:val="28"/>
            <w:u w:val="single"/>
            <w:rtl/>
          </w:rPr>
          <w:t>ץ</w:t>
        </w:r>
        <w:r w:rsidR="007A6BE9" w:rsidRPr="007A6BE9">
          <w:rPr>
            <w:rFonts w:ascii="Garamond" w:hAnsi="Garamond" w:cs="FrankRuehl"/>
            <w:color w:val="0000FF"/>
            <w:spacing w:val="10"/>
            <w:szCs w:val="28"/>
            <w:u w:val="single"/>
            <w:rtl/>
          </w:rPr>
          <w:t xml:space="preserve"> 1765/22</w:t>
        </w:r>
      </w:hyperlink>
      <w:r w:rsidR="00000000" w:rsidRPr="00284859">
        <w:rPr>
          <w:rFonts w:ascii="Garamond" w:hAnsi="Garamond" w:cs="FrankRuehl"/>
          <w:spacing w:val="10"/>
          <w:szCs w:val="28"/>
          <w:rtl/>
        </w:rPr>
        <w:t xml:space="preserve"> </w:t>
      </w:r>
      <w:r w:rsidR="00000000" w:rsidRPr="00284859">
        <w:rPr>
          <w:rFonts w:ascii="Century" w:hAnsi="Century" w:cs="Miriam"/>
          <w:b/>
          <w:sz w:val="22"/>
          <w:rtl/>
        </w:rPr>
        <w:t>משרד תומר ורשה עורכי דין נ' שרת הפנים</w:t>
      </w:r>
      <w:r w:rsidR="00000000" w:rsidRPr="00284859">
        <w:rPr>
          <w:rFonts w:ascii="Garamond" w:hAnsi="Garamond" w:cs="FrankRuehl"/>
          <w:spacing w:val="10"/>
          <w:szCs w:val="28"/>
          <w:rtl/>
        </w:rPr>
        <w:t xml:space="preserve">, פסקה 23 </w:t>
      </w:r>
      <w:r w:rsidR="003B25DC">
        <w:rPr>
          <w:rFonts w:ascii="Garamond" w:hAnsi="Garamond" w:cs="FrankRuehl" w:hint="cs"/>
          <w:spacing w:val="10"/>
          <w:szCs w:val="28"/>
          <w:rtl/>
        </w:rPr>
        <w:t>[נבו]</w:t>
      </w:r>
      <w:r w:rsidR="003B25DC" w:rsidRPr="00284859">
        <w:rPr>
          <w:rFonts w:ascii="Garamond" w:hAnsi="Garamond" w:cs="FrankRuehl"/>
          <w:spacing w:val="10"/>
          <w:szCs w:val="28"/>
          <w:rtl/>
        </w:rPr>
        <w:t xml:space="preserve"> </w:t>
      </w:r>
      <w:r w:rsidR="00000000" w:rsidRPr="00284859">
        <w:rPr>
          <w:rFonts w:ascii="Garamond" w:hAnsi="Garamond" w:cs="FrankRuehl"/>
          <w:spacing w:val="10"/>
          <w:szCs w:val="28"/>
          <w:rtl/>
        </w:rPr>
        <w:t xml:space="preserve">(3.7.2022) (להלן: </w:t>
      </w:r>
      <w:r w:rsidR="00000000" w:rsidRPr="00284859">
        <w:rPr>
          <w:rFonts w:ascii="Century" w:hAnsi="Century" w:cs="Miriam"/>
          <w:b/>
          <w:sz w:val="22"/>
          <w:rtl/>
        </w:rPr>
        <w:t>עניין ורשה</w:t>
      </w:r>
      <w:r w:rsidR="00000000" w:rsidRPr="00284859">
        <w:rPr>
          <w:rFonts w:ascii="Garamond" w:hAnsi="Garamond" w:cs="FrankRuehl"/>
          <w:spacing w:val="10"/>
          <w:szCs w:val="28"/>
          <w:rtl/>
        </w:rPr>
        <w:t xml:space="preserve">); </w:t>
      </w:r>
      <w:hyperlink r:id="rId34" w:history="1">
        <w:r w:rsidR="007A6BE9" w:rsidRPr="007A6BE9">
          <w:rPr>
            <w:rFonts w:ascii="Garamond" w:hAnsi="Garamond" w:cs="FrankRuehl" w:hint="eastAsia"/>
            <w:color w:val="0000FF"/>
            <w:spacing w:val="10"/>
            <w:szCs w:val="28"/>
            <w:u w:val="single"/>
            <w:rtl/>
          </w:rPr>
          <w:t>ע</w:t>
        </w:r>
        <w:r w:rsidR="007A6BE9" w:rsidRPr="007A6BE9">
          <w:rPr>
            <w:rFonts w:ascii="Garamond" w:hAnsi="Garamond" w:cs="FrankRuehl"/>
            <w:color w:val="0000FF"/>
            <w:spacing w:val="10"/>
            <w:szCs w:val="28"/>
            <w:u w:val="single"/>
            <w:rtl/>
          </w:rPr>
          <w:t>"</w:t>
        </w:r>
        <w:r w:rsidR="007A6BE9" w:rsidRPr="007A6BE9">
          <w:rPr>
            <w:rFonts w:ascii="Garamond" w:hAnsi="Garamond" w:cs="FrankRuehl" w:hint="eastAsia"/>
            <w:color w:val="0000FF"/>
            <w:spacing w:val="10"/>
            <w:szCs w:val="28"/>
            <w:u w:val="single"/>
            <w:rtl/>
          </w:rPr>
          <w:t>א</w:t>
        </w:r>
        <w:r w:rsidR="007A6BE9" w:rsidRPr="007A6BE9">
          <w:rPr>
            <w:rFonts w:ascii="Garamond" w:hAnsi="Garamond" w:cs="FrankRuehl"/>
            <w:color w:val="0000FF"/>
            <w:spacing w:val="10"/>
            <w:szCs w:val="28"/>
            <w:u w:val="single"/>
            <w:rtl/>
          </w:rPr>
          <w:t xml:space="preserve"> 3464/22</w:t>
        </w:r>
      </w:hyperlink>
      <w:r w:rsidR="00000000" w:rsidRPr="00284859">
        <w:rPr>
          <w:rFonts w:ascii="Garamond" w:hAnsi="Garamond" w:cs="FrankRuehl"/>
          <w:spacing w:val="10"/>
          <w:szCs w:val="28"/>
          <w:rtl/>
        </w:rPr>
        <w:t xml:space="preserve"> </w:t>
      </w:r>
      <w:r w:rsidR="00000000" w:rsidRPr="00284859">
        <w:rPr>
          <w:rFonts w:ascii="Century" w:hAnsi="Century" w:cs="Miriam"/>
          <w:b/>
          <w:sz w:val="22"/>
          <w:rtl/>
        </w:rPr>
        <w:t>אידל נ' מימון ישיר מקבוצת ישיר (2006) בע"מ</w:t>
      </w:r>
      <w:r w:rsidR="00000000" w:rsidRPr="00284859">
        <w:rPr>
          <w:rFonts w:ascii="Century" w:hAnsi="Century" w:cs="FrankRuehl"/>
          <w:spacing w:val="10"/>
          <w:sz w:val="22"/>
          <w:szCs w:val="28"/>
          <w:rtl/>
        </w:rPr>
        <w:t>, פסקה 15</w:t>
      </w:r>
      <w:r w:rsidR="00000000" w:rsidRPr="00284859">
        <w:rPr>
          <w:rFonts w:ascii="Garamond" w:hAnsi="Garamond" w:cs="FrankRuehl"/>
          <w:spacing w:val="10"/>
          <w:szCs w:val="28"/>
          <w:rtl/>
        </w:rPr>
        <w:t xml:space="preserve"> </w:t>
      </w:r>
      <w:r w:rsidR="003B25DC">
        <w:rPr>
          <w:rFonts w:ascii="Garamond" w:hAnsi="Garamond" w:cs="FrankRuehl" w:hint="cs"/>
          <w:spacing w:val="10"/>
          <w:szCs w:val="28"/>
          <w:rtl/>
        </w:rPr>
        <w:t>[נבו]</w:t>
      </w:r>
      <w:r w:rsidR="003B25DC" w:rsidRPr="00284859">
        <w:rPr>
          <w:rFonts w:ascii="Garamond" w:hAnsi="Garamond" w:cs="FrankRuehl"/>
          <w:spacing w:val="10"/>
          <w:szCs w:val="28"/>
          <w:rtl/>
        </w:rPr>
        <w:t xml:space="preserve"> </w:t>
      </w:r>
      <w:r w:rsidR="00000000" w:rsidRPr="00284859">
        <w:rPr>
          <w:rFonts w:ascii="Garamond" w:hAnsi="Garamond" w:cs="FrankRuehl"/>
          <w:spacing w:val="10"/>
          <w:szCs w:val="28"/>
          <w:rtl/>
        </w:rPr>
        <w:t xml:space="preserve">(5.11.2023); </w:t>
      </w:r>
      <w:hyperlink r:id="rId35" w:history="1">
        <w:r w:rsidR="007A6BE9" w:rsidRPr="007A6BE9">
          <w:rPr>
            <w:rFonts w:ascii="Garamond" w:hAnsi="Garamond" w:cs="FrankRuehl" w:hint="eastAsia"/>
            <w:color w:val="0000FF"/>
            <w:spacing w:val="10"/>
            <w:szCs w:val="28"/>
            <w:u w:val="single"/>
            <w:rtl/>
          </w:rPr>
          <w:t>רע</w:t>
        </w:r>
        <w:r w:rsidR="007A6BE9" w:rsidRPr="007A6BE9">
          <w:rPr>
            <w:rFonts w:ascii="Garamond" w:hAnsi="Garamond" w:cs="FrankRuehl"/>
            <w:color w:val="0000FF"/>
            <w:spacing w:val="10"/>
            <w:szCs w:val="28"/>
            <w:u w:val="single"/>
            <w:rtl/>
          </w:rPr>
          <w:t>"</w:t>
        </w:r>
        <w:r w:rsidR="007A6BE9" w:rsidRPr="007A6BE9">
          <w:rPr>
            <w:rFonts w:ascii="Garamond" w:hAnsi="Garamond" w:cs="FrankRuehl" w:hint="eastAsia"/>
            <w:color w:val="0000FF"/>
            <w:spacing w:val="10"/>
            <w:szCs w:val="28"/>
            <w:u w:val="single"/>
            <w:rtl/>
          </w:rPr>
          <w:t>פ</w:t>
        </w:r>
        <w:r w:rsidR="007A6BE9" w:rsidRPr="007A6BE9">
          <w:rPr>
            <w:rFonts w:ascii="Garamond" w:hAnsi="Garamond" w:cs="FrankRuehl"/>
            <w:color w:val="0000FF"/>
            <w:spacing w:val="10"/>
            <w:szCs w:val="28"/>
            <w:u w:val="single"/>
            <w:rtl/>
          </w:rPr>
          <w:t xml:space="preserve"> 4808/22</w:t>
        </w:r>
      </w:hyperlink>
      <w:r w:rsidR="00000000" w:rsidRPr="00284859">
        <w:rPr>
          <w:rFonts w:ascii="Garamond" w:hAnsi="Garamond" w:cs="FrankRuehl"/>
          <w:spacing w:val="10"/>
          <w:szCs w:val="28"/>
          <w:rtl/>
        </w:rPr>
        <w:t xml:space="preserve"> </w:t>
      </w:r>
      <w:r w:rsidR="00000000" w:rsidRPr="00284859">
        <w:rPr>
          <w:rFonts w:ascii="Century" w:hAnsi="Century" w:cs="Miriam"/>
          <w:b/>
          <w:sz w:val="22"/>
          <w:rtl/>
        </w:rPr>
        <w:t>הוועדה המקומית לתכנון ובנייה גליל עליון נ' דרי</w:t>
      </w:r>
      <w:r w:rsidR="00000000" w:rsidRPr="00284859">
        <w:rPr>
          <w:rFonts w:ascii="Century" w:hAnsi="Century" w:cs="FrankRuehl"/>
          <w:spacing w:val="10"/>
          <w:sz w:val="22"/>
          <w:szCs w:val="28"/>
          <w:rtl/>
        </w:rPr>
        <w:t>, פסקה 9</w:t>
      </w:r>
      <w:r w:rsidR="00000000" w:rsidRPr="00284859">
        <w:rPr>
          <w:rFonts w:ascii="Garamond" w:hAnsi="Garamond" w:cs="FrankRuehl"/>
          <w:spacing w:val="10"/>
          <w:szCs w:val="28"/>
          <w:rtl/>
        </w:rPr>
        <w:t xml:space="preserve"> </w:t>
      </w:r>
      <w:r w:rsidR="003B25DC">
        <w:rPr>
          <w:rFonts w:ascii="Garamond" w:hAnsi="Garamond" w:cs="FrankRuehl" w:hint="cs"/>
          <w:spacing w:val="10"/>
          <w:szCs w:val="28"/>
          <w:rtl/>
        </w:rPr>
        <w:t>[נבו]</w:t>
      </w:r>
      <w:r w:rsidR="003B25DC" w:rsidRPr="00284859">
        <w:rPr>
          <w:rFonts w:ascii="Garamond" w:hAnsi="Garamond" w:cs="FrankRuehl"/>
          <w:spacing w:val="10"/>
          <w:szCs w:val="28"/>
          <w:rtl/>
        </w:rPr>
        <w:t xml:space="preserve"> </w:t>
      </w:r>
      <w:r w:rsidR="00000000" w:rsidRPr="00284859">
        <w:rPr>
          <w:rFonts w:ascii="Garamond" w:hAnsi="Garamond" w:cs="FrankRuehl"/>
          <w:spacing w:val="10"/>
          <w:szCs w:val="28"/>
          <w:rtl/>
        </w:rPr>
        <w:t>(25.7.2023)).</w:t>
      </w:r>
      <w:r w:rsidR="00000000" w:rsidRPr="00284859">
        <w:rPr>
          <w:rFonts w:ascii="Garamond" w:hAnsi="Garamond" w:cs="FrankRuehl" w:hint="cs"/>
          <w:spacing w:val="10"/>
          <w:szCs w:val="28"/>
        </w:rPr>
        <w:t xml:space="preserve"> </w:t>
      </w:r>
      <w:r w:rsidR="00000000" w:rsidRPr="00284859">
        <w:rPr>
          <w:rFonts w:ascii="Garamond" w:hAnsi="Garamond" w:cs="FrankRuehl"/>
          <w:spacing w:val="10"/>
          <w:szCs w:val="28"/>
          <w:rtl/>
        </w:rPr>
        <w:t xml:space="preserve">יוער כי הדברים יפים גם כאשר עסקינן – כמו במקרה דנן – בפרשנות של חקיקת משנה (ראוי מיני רבים: עניין </w:t>
      </w:r>
      <w:r w:rsidR="00000000" w:rsidRPr="00284859">
        <w:rPr>
          <w:rFonts w:ascii="Century" w:hAnsi="Century" w:cs="Miriam"/>
          <w:b/>
          <w:sz w:val="22"/>
          <w:rtl/>
        </w:rPr>
        <w:t>נקארה</w:t>
      </w:r>
      <w:r w:rsidR="00000000" w:rsidRPr="00284859">
        <w:rPr>
          <w:rFonts w:ascii="Garamond" w:hAnsi="Garamond" w:cs="FrankRuehl"/>
          <w:spacing w:val="10"/>
          <w:szCs w:val="28"/>
          <w:rtl/>
        </w:rPr>
        <w:t>; עניין</w:t>
      </w:r>
      <w:r w:rsidR="00000000" w:rsidRPr="00284859">
        <w:rPr>
          <w:rFonts w:ascii="Century" w:hAnsi="Century" w:cs="Miriam"/>
          <w:b/>
          <w:sz w:val="22"/>
          <w:rtl/>
        </w:rPr>
        <w:t xml:space="preserve"> ורשה</w:t>
      </w:r>
      <w:r w:rsidR="00000000" w:rsidRPr="00284859">
        <w:rPr>
          <w:rFonts w:ascii="Garamond" w:hAnsi="Garamond" w:cs="FrankRuehl"/>
          <w:spacing w:val="10"/>
          <w:szCs w:val="28"/>
          <w:rtl/>
        </w:rPr>
        <w:t xml:space="preserve">; </w:t>
      </w:r>
      <w:hyperlink r:id="rId36" w:history="1">
        <w:r w:rsidR="007A6BE9" w:rsidRPr="007A6BE9">
          <w:rPr>
            <w:rFonts w:ascii="Garamond" w:hAnsi="Garamond" w:cs="FrankRuehl" w:hint="eastAsia"/>
            <w:color w:val="0000FF"/>
            <w:spacing w:val="10"/>
            <w:szCs w:val="28"/>
            <w:u w:val="single"/>
            <w:rtl/>
          </w:rPr>
          <w:t>ע</w:t>
        </w:r>
        <w:r w:rsidR="007A6BE9" w:rsidRPr="007A6BE9">
          <w:rPr>
            <w:rFonts w:ascii="Garamond" w:hAnsi="Garamond" w:cs="FrankRuehl"/>
            <w:color w:val="0000FF"/>
            <w:spacing w:val="10"/>
            <w:szCs w:val="28"/>
            <w:u w:val="single"/>
            <w:rtl/>
          </w:rPr>
          <w:t>"</w:t>
        </w:r>
        <w:r w:rsidR="007A6BE9" w:rsidRPr="007A6BE9">
          <w:rPr>
            <w:rFonts w:ascii="Garamond" w:hAnsi="Garamond" w:cs="FrankRuehl" w:hint="eastAsia"/>
            <w:color w:val="0000FF"/>
            <w:spacing w:val="10"/>
            <w:szCs w:val="28"/>
            <w:u w:val="single"/>
            <w:rtl/>
          </w:rPr>
          <w:t>א</w:t>
        </w:r>
        <w:r w:rsidR="007A6BE9" w:rsidRPr="007A6BE9">
          <w:rPr>
            <w:rFonts w:ascii="Garamond" w:hAnsi="Garamond" w:cs="FrankRuehl"/>
            <w:color w:val="0000FF"/>
            <w:spacing w:val="10"/>
            <w:szCs w:val="28"/>
            <w:u w:val="single"/>
            <w:rtl/>
          </w:rPr>
          <w:t xml:space="preserve"> 8331/17</w:t>
        </w:r>
      </w:hyperlink>
      <w:r w:rsidR="00000000" w:rsidRPr="00284859">
        <w:rPr>
          <w:rFonts w:ascii="Garamond" w:hAnsi="Garamond" w:cs="FrankRuehl"/>
          <w:spacing w:val="10"/>
          <w:szCs w:val="28"/>
          <w:rtl/>
        </w:rPr>
        <w:t xml:space="preserve"> </w:t>
      </w:r>
      <w:r w:rsidR="00000000" w:rsidRPr="00284859">
        <w:rPr>
          <w:rFonts w:ascii="Century" w:hAnsi="Century" w:cs="Miriam"/>
          <w:b/>
          <w:sz w:val="22"/>
          <w:rtl/>
        </w:rPr>
        <w:t>רשות מקרקעי ישראל נ' באטה</w:t>
      </w:r>
      <w:r w:rsidR="00000000" w:rsidRPr="00284859">
        <w:rPr>
          <w:rFonts w:ascii="Garamond" w:hAnsi="Garamond" w:cs="FrankRuehl"/>
          <w:spacing w:val="10"/>
          <w:szCs w:val="28"/>
          <w:rtl/>
        </w:rPr>
        <w:t xml:space="preserve">, פסקה 4 </w:t>
      </w:r>
      <w:r w:rsidR="003B25DC">
        <w:rPr>
          <w:rFonts w:ascii="Garamond" w:hAnsi="Garamond" w:cs="FrankRuehl" w:hint="cs"/>
          <w:spacing w:val="10"/>
          <w:szCs w:val="28"/>
          <w:rtl/>
        </w:rPr>
        <w:t>[נבו]</w:t>
      </w:r>
      <w:r w:rsidR="003B25DC" w:rsidRPr="00284859">
        <w:rPr>
          <w:rFonts w:ascii="Garamond" w:hAnsi="Garamond" w:cs="FrankRuehl"/>
          <w:spacing w:val="10"/>
          <w:szCs w:val="28"/>
          <w:rtl/>
        </w:rPr>
        <w:t xml:space="preserve"> </w:t>
      </w:r>
      <w:r w:rsidR="00000000" w:rsidRPr="00284859">
        <w:rPr>
          <w:rFonts w:ascii="Garamond" w:hAnsi="Garamond" w:cs="FrankRuehl"/>
          <w:spacing w:val="10"/>
          <w:szCs w:val="28"/>
          <w:rtl/>
        </w:rPr>
        <w:t xml:space="preserve">(12.7.2020); </w:t>
      </w:r>
      <w:hyperlink r:id="rId37" w:history="1">
        <w:r w:rsidR="007A6BE9" w:rsidRPr="007A6BE9">
          <w:rPr>
            <w:rFonts w:ascii="Garamond" w:hAnsi="Garamond" w:cs="FrankRuehl" w:hint="eastAsia"/>
            <w:color w:val="0000FF"/>
            <w:spacing w:val="10"/>
            <w:szCs w:val="28"/>
            <w:u w:val="single"/>
            <w:rtl/>
          </w:rPr>
          <w:t>רע</w:t>
        </w:r>
        <w:r w:rsidR="007A6BE9" w:rsidRPr="007A6BE9">
          <w:rPr>
            <w:rFonts w:ascii="Garamond" w:hAnsi="Garamond" w:cs="FrankRuehl"/>
            <w:color w:val="0000FF"/>
            <w:spacing w:val="10"/>
            <w:szCs w:val="28"/>
            <w:u w:val="single"/>
            <w:rtl/>
          </w:rPr>
          <w:t>"</w:t>
        </w:r>
        <w:r w:rsidR="007A6BE9" w:rsidRPr="007A6BE9">
          <w:rPr>
            <w:rFonts w:ascii="Garamond" w:hAnsi="Garamond" w:cs="FrankRuehl" w:hint="eastAsia"/>
            <w:color w:val="0000FF"/>
            <w:spacing w:val="10"/>
            <w:szCs w:val="28"/>
            <w:u w:val="single"/>
            <w:rtl/>
          </w:rPr>
          <w:t>א</w:t>
        </w:r>
        <w:r w:rsidR="007A6BE9" w:rsidRPr="007A6BE9">
          <w:rPr>
            <w:rFonts w:ascii="Garamond" w:hAnsi="Garamond" w:cs="FrankRuehl"/>
            <w:color w:val="0000FF"/>
            <w:spacing w:val="10"/>
            <w:szCs w:val="28"/>
            <w:u w:val="single"/>
            <w:rtl/>
          </w:rPr>
          <w:t xml:space="preserve"> 6801/15</w:t>
        </w:r>
      </w:hyperlink>
      <w:r w:rsidR="00000000" w:rsidRPr="00284859">
        <w:rPr>
          <w:rFonts w:ascii="Garamond" w:hAnsi="Garamond" w:cs="FrankRuehl"/>
          <w:spacing w:val="10"/>
          <w:szCs w:val="28"/>
          <w:rtl/>
        </w:rPr>
        <w:t xml:space="preserve"> </w:t>
      </w:r>
      <w:r w:rsidR="00000000" w:rsidRPr="00284859">
        <w:rPr>
          <w:rFonts w:ascii="Century" w:hAnsi="Century" w:cs="Miriam"/>
          <w:b/>
          <w:sz w:val="22"/>
          <w:rtl/>
        </w:rPr>
        <w:t>ברנשטיין נ' נכסים ח.ומ.ג. בע"מ</w:t>
      </w:r>
      <w:r w:rsidR="00000000" w:rsidRPr="00284859">
        <w:rPr>
          <w:rFonts w:ascii="Garamond" w:hAnsi="Garamond" w:cs="FrankRuehl"/>
          <w:spacing w:val="10"/>
          <w:szCs w:val="28"/>
          <w:rtl/>
        </w:rPr>
        <w:t xml:space="preserve">, פסקה 17 </w:t>
      </w:r>
      <w:r w:rsidR="003B25DC">
        <w:rPr>
          <w:rFonts w:ascii="Garamond" w:hAnsi="Garamond" w:cs="FrankRuehl" w:hint="cs"/>
          <w:spacing w:val="10"/>
          <w:szCs w:val="28"/>
          <w:rtl/>
        </w:rPr>
        <w:t>[נבו]</w:t>
      </w:r>
      <w:r w:rsidR="003B25DC" w:rsidRPr="00284859">
        <w:rPr>
          <w:rFonts w:ascii="Garamond" w:hAnsi="Garamond" w:cs="FrankRuehl"/>
          <w:spacing w:val="10"/>
          <w:szCs w:val="28"/>
          <w:rtl/>
        </w:rPr>
        <w:t xml:space="preserve"> </w:t>
      </w:r>
      <w:r w:rsidR="00000000" w:rsidRPr="00284859">
        <w:rPr>
          <w:rFonts w:ascii="Garamond" w:hAnsi="Garamond" w:cs="FrankRuehl"/>
          <w:spacing w:val="10"/>
          <w:szCs w:val="28"/>
          <w:rtl/>
        </w:rPr>
        <w:t xml:space="preserve">(24.7.2016); </w:t>
      </w:r>
      <w:hyperlink r:id="rId38" w:history="1">
        <w:r w:rsidR="007A6BE9" w:rsidRPr="007A6BE9">
          <w:rPr>
            <w:rFonts w:ascii="Garamond" w:hAnsi="Garamond" w:cs="FrankRuehl" w:hint="eastAsia"/>
            <w:color w:val="0000FF"/>
            <w:spacing w:val="10"/>
            <w:szCs w:val="28"/>
            <w:u w:val="single"/>
            <w:rtl/>
          </w:rPr>
          <w:t>בג</w:t>
        </w:r>
        <w:r w:rsidR="007A6BE9" w:rsidRPr="007A6BE9">
          <w:rPr>
            <w:rFonts w:ascii="Garamond" w:hAnsi="Garamond" w:cs="FrankRuehl"/>
            <w:color w:val="0000FF"/>
            <w:spacing w:val="10"/>
            <w:szCs w:val="28"/>
            <w:u w:val="single"/>
            <w:rtl/>
          </w:rPr>
          <w:t>"</w:t>
        </w:r>
        <w:r w:rsidR="007A6BE9" w:rsidRPr="007A6BE9">
          <w:rPr>
            <w:rFonts w:ascii="Garamond" w:hAnsi="Garamond" w:cs="FrankRuehl" w:hint="eastAsia"/>
            <w:color w:val="0000FF"/>
            <w:spacing w:val="10"/>
            <w:szCs w:val="28"/>
            <w:u w:val="single"/>
            <w:rtl/>
          </w:rPr>
          <w:t>ץ</w:t>
        </w:r>
        <w:r w:rsidR="007A6BE9" w:rsidRPr="007A6BE9">
          <w:rPr>
            <w:rFonts w:ascii="Garamond" w:hAnsi="Garamond" w:cs="FrankRuehl"/>
            <w:color w:val="0000FF"/>
            <w:spacing w:val="10"/>
            <w:szCs w:val="28"/>
            <w:u w:val="single"/>
            <w:rtl/>
          </w:rPr>
          <w:t xml:space="preserve"> 1789/13</w:t>
        </w:r>
      </w:hyperlink>
      <w:r w:rsidR="00000000" w:rsidRPr="00284859">
        <w:rPr>
          <w:rFonts w:ascii="Garamond" w:hAnsi="Garamond" w:cs="FrankRuehl"/>
          <w:spacing w:val="10"/>
          <w:szCs w:val="28"/>
          <w:rtl/>
        </w:rPr>
        <w:t xml:space="preserve"> </w:t>
      </w:r>
      <w:r w:rsidR="00000000" w:rsidRPr="00284859">
        <w:rPr>
          <w:rFonts w:ascii="Century" w:hAnsi="Century" w:cs="Miriam"/>
          <w:b/>
          <w:sz w:val="22"/>
          <w:rtl/>
        </w:rPr>
        <w:t>לוטן נ' שרת החקלאות ופיתוח הכפר</w:t>
      </w:r>
      <w:r w:rsidR="00000000" w:rsidRPr="00284859">
        <w:rPr>
          <w:rFonts w:ascii="Garamond" w:hAnsi="Garamond" w:cs="FrankRuehl"/>
          <w:spacing w:val="10"/>
          <w:szCs w:val="28"/>
          <w:rtl/>
        </w:rPr>
        <w:t xml:space="preserve">, פסקה 22 </w:t>
      </w:r>
      <w:r w:rsidR="003B25DC">
        <w:rPr>
          <w:rFonts w:ascii="Garamond" w:hAnsi="Garamond" w:cs="FrankRuehl" w:hint="cs"/>
          <w:spacing w:val="10"/>
          <w:szCs w:val="28"/>
          <w:rtl/>
        </w:rPr>
        <w:t>[נבו]</w:t>
      </w:r>
      <w:r w:rsidR="003B25DC" w:rsidRPr="00284859">
        <w:rPr>
          <w:rFonts w:ascii="Garamond" w:hAnsi="Garamond" w:cs="FrankRuehl"/>
          <w:spacing w:val="10"/>
          <w:szCs w:val="28"/>
          <w:rtl/>
        </w:rPr>
        <w:t xml:space="preserve"> </w:t>
      </w:r>
      <w:r w:rsidR="00000000" w:rsidRPr="00284859">
        <w:rPr>
          <w:rFonts w:ascii="Garamond" w:hAnsi="Garamond" w:cs="FrankRuehl"/>
          <w:spacing w:val="10"/>
          <w:szCs w:val="28"/>
          <w:rtl/>
        </w:rPr>
        <w:t>(20.6.2013)).</w:t>
      </w:r>
    </w:p>
    <w:p w14:paraId="38CC5036" w14:textId="77777777" w:rsidR="00284859" w:rsidRPr="00284859" w:rsidRDefault="00284859"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Pr>
      </w:pPr>
    </w:p>
    <w:p w14:paraId="112DF89E" w14:textId="77777777" w:rsidR="00284859" w:rsidRPr="00284859" w:rsidRDefault="0071337E"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tl/>
        </w:rPr>
      </w:pPr>
      <w:r>
        <w:rPr>
          <w:rFonts w:ascii="Garamond" w:hAnsi="Garamond" w:cs="FrankRuehl" w:hint="cs"/>
          <w:spacing w:val="10"/>
          <w:szCs w:val="28"/>
          <w:rtl/>
        </w:rPr>
        <w:t>17.</w:t>
      </w:r>
      <w:r>
        <w:rPr>
          <w:rFonts w:ascii="Garamond" w:hAnsi="Garamond" w:cs="FrankRuehl" w:hint="cs"/>
          <w:spacing w:val="10"/>
          <w:szCs w:val="28"/>
          <w:rtl/>
        </w:rPr>
        <w:tab/>
      </w:r>
      <w:r w:rsidR="00000000" w:rsidRPr="00284859">
        <w:rPr>
          <w:rFonts w:ascii="Garamond" w:hAnsi="Garamond" w:cs="FrankRuehl"/>
          <w:spacing w:val="10"/>
          <w:szCs w:val="28"/>
          <w:rtl/>
        </w:rPr>
        <w:t xml:space="preserve">בענייננו, הדגיש כל אחד מהצדדים את לשונה של תקנה אחרת. הוועדה הפנתה בעיקר </w:t>
      </w:r>
      <w:hyperlink r:id="rId39" w:history="1">
        <w:r w:rsidR="00894E25" w:rsidRPr="00894E25">
          <w:rPr>
            <w:rStyle w:val="Hyperlink"/>
            <w:rFonts w:ascii="Garamond" w:hAnsi="Garamond" w:cs="FrankRuehl" w:hint="eastAsia"/>
            <w:spacing w:val="10"/>
            <w:szCs w:val="28"/>
            <w:rtl/>
          </w:rPr>
          <w:t>לתקנה</w:t>
        </w:r>
        <w:r w:rsidR="00894E25" w:rsidRPr="00894E25">
          <w:rPr>
            <w:rStyle w:val="Hyperlink"/>
            <w:rFonts w:ascii="Garamond" w:hAnsi="Garamond" w:cs="FrankRuehl"/>
            <w:spacing w:val="10"/>
            <w:szCs w:val="28"/>
            <w:rtl/>
          </w:rPr>
          <w:t xml:space="preserve"> 1</w:t>
        </w:r>
      </w:hyperlink>
      <w:r w:rsidR="00000000" w:rsidRPr="00284859">
        <w:rPr>
          <w:rFonts w:ascii="Garamond" w:hAnsi="Garamond" w:cs="FrankRuehl"/>
          <w:spacing w:val="10"/>
          <w:szCs w:val="28"/>
          <w:rtl/>
        </w:rPr>
        <w:t xml:space="preserve"> לתקנות לעידוד השקעות הון, ממנה עולה לשיטתה כי ההטבה פוטרת מתשלום מחצית האגרה ששולמה רק ביחס לשטח הבניין המיועד להשכרה; ואילו  חברות שפיר הפנו ללשונה של </w:t>
      </w:r>
      <w:hyperlink r:id="rId40" w:anchor="20" w:history="1">
        <w:r w:rsidR="00894E25" w:rsidRPr="00894E25">
          <w:rPr>
            <w:rStyle w:val="Hyperlink"/>
            <w:rFonts w:ascii="Garamond" w:hAnsi="Garamond" w:cs="FrankRuehl" w:hint="eastAsia"/>
            <w:spacing w:val="10"/>
            <w:szCs w:val="28"/>
            <w:rtl/>
          </w:rPr>
          <w:t>תקנה</w:t>
        </w:r>
        <w:r w:rsidR="00894E25" w:rsidRPr="00894E25">
          <w:rPr>
            <w:rStyle w:val="Hyperlink"/>
            <w:rFonts w:ascii="Garamond" w:hAnsi="Garamond" w:cs="FrankRuehl"/>
            <w:spacing w:val="10"/>
            <w:szCs w:val="28"/>
            <w:rtl/>
          </w:rPr>
          <w:t xml:space="preserve"> 1.00.20</w:t>
        </w:r>
      </w:hyperlink>
      <w:r w:rsidR="00000000" w:rsidRPr="00284859">
        <w:rPr>
          <w:rFonts w:ascii="Garamond" w:hAnsi="Garamond" w:cs="FrankRuehl"/>
          <w:spacing w:val="10"/>
          <w:szCs w:val="28"/>
          <w:rtl/>
        </w:rPr>
        <w:t xml:space="preserve"> שהותקנה מאוחר יותר, שעל פי הטענה עולה ממנה כי ההטבה פוטרת מתשלום מחצית האגרה ששולמה ביחס לכלל שטח הבניין שהוכר כ"בניין להשכרה". </w:t>
      </w:r>
    </w:p>
    <w:p w14:paraId="2BA78670" w14:textId="77777777" w:rsidR="00284859" w:rsidRPr="00284859" w:rsidRDefault="00284859"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tl/>
        </w:rPr>
      </w:pPr>
    </w:p>
    <w:p w14:paraId="54DD43A3" w14:textId="77777777" w:rsidR="00284859" w:rsidRPr="00284859" w:rsidRDefault="0071337E"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tl/>
        </w:rPr>
      </w:pPr>
      <w:r>
        <w:rPr>
          <w:rFonts w:ascii="Garamond" w:hAnsi="Garamond" w:cs="FrankRuehl" w:hint="cs"/>
          <w:spacing w:val="10"/>
          <w:szCs w:val="28"/>
          <w:rtl/>
        </w:rPr>
        <w:t>18.</w:t>
      </w:r>
      <w:r>
        <w:rPr>
          <w:rFonts w:ascii="Garamond" w:hAnsi="Garamond" w:cs="FrankRuehl" w:hint="cs"/>
          <w:spacing w:val="10"/>
          <w:szCs w:val="28"/>
          <w:rtl/>
        </w:rPr>
        <w:tab/>
      </w:r>
      <w:r w:rsidR="00000000" w:rsidRPr="00284859">
        <w:rPr>
          <w:rFonts w:ascii="Garamond" w:hAnsi="Garamond" w:cs="FrankRuehl"/>
          <w:spacing w:val="10"/>
          <w:szCs w:val="28"/>
          <w:rtl/>
        </w:rPr>
        <w:t xml:space="preserve">ההלכה הפסוקה קבעה כי ככלל, כאשר מדובר בפרשנות של הוראות הקבועות באותו מדרג נורמטיבי, והמחוקק או מחוקק המשנה לא קבע במפורש כי ההוראה המאוחרת בזמן ביטלה את ההוראה המוקדמת – יש לבחון את פירושה של כל אחת מההוראות על רקע תכליתה, ולנסות לפרשן באופן שהן יתקיימו בצוותא, זו לצד זו (ראו: </w:t>
      </w:r>
      <w:hyperlink r:id="rId41" w:history="1">
        <w:r w:rsidR="007A6BE9" w:rsidRPr="007A6BE9">
          <w:rPr>
            <w:rFonts w:ascii="Garamond" w:hAnsi="Garamond" w:cs="FrankRuehl" w:hint="eastAsia"/>
            <w:color w:val="0000FF"/>
            <w:spacing w:val="10"/>
            <w:szCs w:val="28"/>
            <w:u w:val="single"/>
            <w:rtl/>
          </w:rPr>
          <w:t>ע</w:t>
        </w:r>
        <w:r w:rsidR="007A6BE9" w:rsidRPr="007A6BE9">
          <w:rPr>
            <w:rFonts w:ascii="Garamond" w:hAnsi="Garamond" w:cs="FrankRuehl"/>
            <w:color w:val="0000FF"/>
            <w:spacing w:val="10"/>
            <w:szCs w:val="28"/>
            <w:u w:val="single"/>
            <w:rtl/>
          </w:rPr>
          <w:t>"</w:t>
        </w:r>
        <w:r w:rsidR="007A6BE9" w:rsidRPr="007A6BE9">
          <w:rPr>
            <w:rFonts w:ascii="Garamond" w:hAnsi="Garamond" w:cs="FrankRuehl" w:hint="eastAsia"/>
            <w:color w:val="0000FF"/>
            <w:spacing w:val="10"/>
            <w:szCs w:val="28"/>
            <w:u w:val="single"/>
            <w:rtl/>
          </w:rPr>
          <w:t>א</w:t>
        </w:r>
        <w:r w:rsidR="007A6BE9" w:rsidRPr="007A6BE9">
          <w:rPr>
            <w:rFonts w:ascii="Garamond" w:hAnsi="Garamond" w:cs="FrankRuehl"/>
            <w:color w:val="0000FF"/>
            <w:spacing w:val="10"/>
            <w:szCs w:val="28"/>
            <w:u w:val="single"/>
            <w:rtl/>
          </w:rPr>
          <w:t xml:space="preserve"> 2704/99</w:t>
        </w:r>
      </w:hyperlink>
      <w:r w:rsidR="00000000" w:rsidRPr="00284859">
        <w:rPr>
          <w:rFonts w:ascii="Century" w:hAnsi="Century" w:cs="Miriam"/>
          <w:b/>
          <w:sz w:val="22"/>
          <w:rtl/>
        </w:rPr>
        <w:t xml:space="preserve"> מילשטיין נ' פקיד שומה תל-אביב 1</w:t>
      </w:r>
      <w:r w:rsidR="00000000" w:rsidRPr="00284859">
        <w:rPr>
          <w:rFonts w:ascii="Garamond" w:hAnsi="Garamond" w:cs="FrankRuehl"/>
          <w:spacing w:val="10"/>
          <w:szCs w:val="28"/>
          <w:rtl/>
        </w:rPr>
        <w:t xml:space="preserve">, נז(5) 869, 886 (2003); אהרן ברק </w:t>
      </w:r>
      <w:hyperlink r:id="rId42" w:history="1">
        <w:r w:rsidR="007A6BE9" w:rsidRPr="007A6BE9">
          <w:rPr>
            <w:rFonts w:ascii="Century" w:hAnsi="Century" w:cs="Miriam" w:hint="eastAsia"/>
            <w:b/>
            <w:color w:val="0000FF"/>
            <w:sz w:val="22"/>
            <w:u w:val="single"/>
            <w:rtl/>
          </w:rPr>
          <w:t>פרשנות</w:t>
        </w:r>
        <w:r w:rsidR="007A6BE9" w:rsidRPr="007A6BE9">
          <w:rPr>
            <w:rFonts w:ascii="Century" w:hAnsi="Century" w:cs="Miriam"/>
            <w:b/>
            <w:color w:val="0000FF"/>
            <w:sz w:val="22"/>
            <w:u w:val="single"/>
            <w:rtl/>
          </w:rPr>
          <w:t xml:space="preserve"> </w:t>
        </w:r>
        <w:r w:rsidR="007A6BE9" w:rsidRPr="007A6BE9">
          <w:rPr>
            <w:rFonts w:ascii="Century" w:hAnsi="Century" w:cs="Miriam" w:hint="eastAsia"/>
            <w:b/>
            <w:color w:val="0000FF"/>
            <w:sz w:val="22"/>
            <w:u w:val="single"/>
            <w:rtl/>
          </w:rPr>
          <w:t>במשפט</w:t>
        </w:r>
      </w:hyperlink>
      <w:r w:rsidR="00000000" w:rsidRPr="00284859">
        <w:rPr>
          <w:rFonts w:ascii="Century" w:hAnsi="Century" w:cs="Miriam"/>
          <w:b/>
          <w:rtl/>
        </w:rPr>
        <w:t xml:space="preserve"> </w:t>
      </w:r>
      <w:r w:rsidR="00000000" w:rsidRPr="00284859">
        <w:rPr>
          <w:rFonts w:ascii="Century" w:hAnsi="Century" w:cs="FrankRuehl"/>
          <w:spacing w:val="10"/>
          <w:szCs w:val="28"/>
          <w:rtl/>
        </w:rPr>
        <w:t>כרך ראשון – תורת הפרשנות הכללית</w:t>
      </w:r>
      <w:r w:rsidR="00000000" w:rsidRPr="00284859">
        <w:rPr>
          <w:rFonts w:ascii="Garamond" w:hAnsi="Garamond" w:cs="FrankRuehl"/>
          <w:spacing w:val="10"/>
          <w:szCs w:val="28"/>
          <w:rtl/>
        </w:rPr>
        <w:t xml:space="preserve"> 567 (1992) (להלן: </w:t>
      </w:r>
      <w:r w:rsidR="00000000" w:rsidRPr="00284859">
        <w:rPr>
          <w:rFonts w:ascii="Century" w:hAnsi="Century" w:cs="Miriam"/>
          <w:b/>
          <w:rtl/>
        </w:rPr>
        <w:t>ברק – תורת הפרשנות</w:t>
      </w:r>
      <w:r w:rsidR="00000000" w:rsidRPr="00284859">
        <w:rPr>
          <w:rFonts w:ascii="Garamond" w:hAnsi="Garamond" w:cs="FrankRuehl"/>
          <w:spacing w:val="10"/>
          <w:szCs w:val="28"/>
          <w:rtl/>
        </w:rPr>
        <w:t xml:space="preserve">)). לכך יש להוסיף כי כאשר מדובר בהסדרים העוסקים באותו עניין ולשם אותה תכלית – יש לשאוף להגשמת עיקרון ההרמוניה הנורמטיבית ולפרשם ככל האפשר באופן שיתיישבו זה עם זה וישלימו זה את זה (ראו: </w:t>
      </w:r>
      <w:hyperlink r:id="rId43" w:history="1">
        <w:r w:rsidR="007A6BE9" w:rsidRPr="007A6BE9">
          <w:rPr>
            <w:rFonts w:ascii="Garamond" w:hAnsi="Garamond" w:cs="FrankRuehl" w:hint="eastAsia"/>
            <w:color w:val="0000FF"/>
            <w:spacing w:val="10"/>
            <w:szCs w:val="28"/>
            <w:u w:val="single"/>
            <w:rtl/>
          </w:rPr>
          <w:t>ע</w:t>
        </w:r>
        <w:r w:rsidR="007A6BE9" w:rsidRPr="007A6BE9">
          <w:rPr>
            <w:rFonts w:ascii="Garamond" w:hAnsi="Garamond" w:cs="FrankRuehl"/>
            <w:color w:val="0000FF"/>
            <w:spacing w:val="10"/>
            <w:szCs w:val="28"/>
            <w:u w:val="single"/>
            <w:rtl/>
          </w:rPr>
          <w:t>"</w:t>
        </w:r>
        <w:r w:rsidR="007A6BE9" w:rsidRPr="007A6BE9">
          <w:rPr>
            <w:rFonts w:ascii="Garamond" w:hAnsi="Garamond" w:cs="FrankRuehl" w:hint="eastAsia"/>
            <w:color w:val="0000FF"/>
            <w:spacing w:val="10"/>
            <w:szCs w:val="28"/>
            <w:u w:val="single"/>
            <w:rtl/>
          </w:rPr>
          <w:t>א</w:t>
        </w:r>
        <w:r w:rsidR="007A6BE9" w:rsidRPr="007A6BE9">
          <w:rPr>
            <w:rFonts w:ascii="Garamond" w:hAnsi="Garamond" w:cs="FrankRuehl"/>
            <w:color w:val="0000FF"/>
            <w:spacing w:val="10"/>
            <w:szCs w:val="28"/>
            <w:u w:val="single"/>
            <w:rtl/>
          </w:rPr>
          <w:t xml:space="preserve"> 8622/07</w:t>
        </w:r>
      </w:hyperlink>
      <w:r w:rsidR="00000000" w:rsidRPr="00284859">
        <w:rPr>
          <w:rFonts w:ascii="Garamond" w:hAnsi="Garamond" w:cs="FrankRuehl"/>
          <w:spacing w:val="10"/>
          <w:szCs w:val="28"/>
          <w:rtl/>
        </w:rPr>
        <w:t xml:space="preserve"> </w:t>
      </w:r>
      <w:r w:rsidR="00000000" w:rsidRPr="00284859">
        <w:rPr>
          <w:rFonts w:ascii="Century" w:hAnsi="Century" w:cs="Miriam"/>
          <w:b/>
          <w:sz w:val="22"/>
          <w:rtl/>
        </w:rPr>
        <w:t xml:space="preserve">רוטמן נ' </w:t>
      </w:r>
      <w:r w:rsidR="00000000" w:rsidRPr="00284859">
        <w:rPr>
          <w:rFonts w:ascii="Century" w:hAnsi="Century" w:cs="Miriam"/>
          <w:b/>
          <w:sz w:val="22"/>
          <w:rtl/>
        </w:rPr>
        <w:lastRenderedPageBreak/>
        <w:t>מע"צ החברה הלאומית לדרכים בישראל בע"מ</w:t>
      </w:r>
      <w:r w:rsidR="00000000" w:rsidRPr="00284859">
        <w:rPr>
          <w:rFonts w:ascii="Century" w:hAnsi="Century" w:cs="FrankRuehl"/>
          <w:spacing w:val="10"/>
          <w:sz w:val="22"/>
          <w:szCs w:val="28"/>
          <w:rtl/>
        </w:rPr>
        <w:t>, פסקה 98</w:t>
      </w:r>
      <w:r w:rsidR="00000000" w:rsidRPr="00284859">
        <w:rPr>
          <w:rFonts w:ascii="Garamond" w:hAnsi="Garamond" w:cs="FrankRuehl"/>
          <w:spacing w:val="10"/>
          <w:szCs w:val="28"/>
          <w:rtl/>
        </w:rPr>
        <w:t xml:space="preserve"> </w:t>
      </w:r>
      <w:r w:rsidR="003B25DC">
        <w:rPr>
          <w:rFonts w:ascii="Garamond" w:hAnsi="Garamond" w:cs="FrankRuehl" w:hint="cs"/>
          <w:spacing w:val="10"/>
          <w:szCs w:val="28"/>
          <w:rtl/>
        </w:rPr>
        <w:t>[נבו]</w:t>
      </w:r>
      <w:r w:rsidR="003B25DC" w:rsidRPr="00284859">
        <w:rPr>
          <w:rFonts w:ascii="Garamond" w:hAnsi="Garamond" w:cs="FrankRuehl"/>
          <w:spacing w:val="10"/>
          <w:szCs w:val="28"/>
          <w:rtl/>
        </w:rPr>
        <w:t xml:space="preserve"> </w:t>
      </w:r>
      <w:r w:rsidR="00000000" w:rsidRPr="00284859">
        <w:rPr>
          <w:rFonts w:ascii="Garamond" w:hAnsi="Garamond" w:cs="FrankRuehl"/>
          <w:spacing w:val="10"/>
          <w:szCs w:val="28"/>
          <w:rtl/>
        </w:rPr>
        <w:t xml:space="preserve">(14.5.2012); </w:t>
      </w:r>
      <w:hyperlink r:id="rId44" w:history="1">
        <w:r w:rsidR="007A6BE9" w:rsidRPr="007A6BE9">
          <w:rPr>
            <w:rFonts w:ascii="Garamond" w:hAnsi="Garamond" w:cs="FrankRuehl" w:hint="eastAsia"/>
            <w:color w:val="0000FF"/>
            <w:spacing w:val="10"/>
            <w:szCs w:val="28"/>
            <w:u w:val="single"/>
            <w:rtl/>
          </w:rPr>
          <w:t>ע</w:t>
        </w:r>
        <w:r w:rsidR="007A6BE9" w:rsidRPr="007A6BE9">
          <w:rPr>
            <w:rFonts w:ascii="Garamond" w:hAnsi="Garamond" w:cs="FrankRuehl"/>
            <w:color w:val="0000FF"/>
            <w:spacing w:val="10"/>
            <w:szCs w:val="28"/>
            <w:u w:val="single"/>
            <w:rtl/>
          </w:rPr>
          <w:t>"</w:t>
        </w:r>
        <w:r w:rsidR="007A6BE9" w:rsidRPr="007A6BE9">
          <w:rPr>
            <w:rFonts w:ascii="Garamond" w:hAnsi="Garamond" w:cs="FrankRuehl" w:hint="eastAsia"/>
            <w:color w:val="0000FF"/>
            <w:spacing w:val="10"/>
            <w:szCs w:val="28"/>
            <w:u w:val="single"/>
            <w:rtl/>
          </w:rPr>
          <w:t>א</w:t>
        </w:r>
        <w:r w:rsidR="007A6BE9" w:rsidRPr="007A6BE9">
          <w:rPr>
            <w:rFonts w:ascii="Garamond" w:hAnsi="Garamond" w:cs="FrankRuehl"/>
            <w:color w:val="0000FF"/>
            <w:spacing w:val="10"/>
            <w:szCs w:val="28"/>
            <w:u w:val="single"/>
            <w:rtl/>
          </w:rPr>
          <w:t xml:space="preserve"> 8569/06</w:t>
        </w:r>
      </w:hyperlink>
      <w:r w:rsidR="00000000" w:rsidRPr="00284859">
        <w:rPr>
          <w:rFonts w:ascii="Garamond" w:hAnsi="Garamond" w:cs="FrankRuehl"/>
          <w:spacing w:val="10"/>
          <w:szCs w:val="28"/>
          <w:rtl/>
        </w:rPr>
        <w:t xml:space="preserve"> </w:t>
      </w:r>
      <w:r w:rsidR="00000000" w:rsidRPr="00284859">
        <w:rPr>
          <w:rFonts w:ascii="Century" w:hAnsi="Century" w:cs="Miriam"/>
          <w:b/>
          <w:sz w:val="22"/>
          <w:rtl/>
        </w:rPr>
        <w:t>מנהל מיסוי מקרקעין חיפה נ' פוליטי</w:t>
      </w:r>
      <w:r w:rsidR="00000000" w:rsidRPr="00284859">
        <w:rPr>
          <w:rFonts w:ascii="Garamond" w:hAnsi="Garamond" w:cs="FrankRuehl"/>
          <w:spacing w:val="10"/>
          <w:szCs w:val="28"/>
          <w:rtl/>
        </w:rPr>
        <w:t xml:space="preserve">, סב(4) 280, פסקה 24 (2008); </w:t>
      </w:r>
      <w:hyperlink r:id="rId45" w:history="1">
        <w:r w:rsidR="007A6BE9" w:rsidRPr="007A6BE9">
          <w:rPr>
            <w:rFonts w:ascii="Garamond" w:hAnsi="Garamond" w:cs="FrankRuehl" w:hint="eastAsia"/>
            <w:color w:val="0000FF"/>
            <w:spacing w:val="10"/>
            <w:szCs w:val="28"/>
            <w:u w:val="single"/>
            <w:rtl/>
          </w:rPr>
          <w:t>דנ</w:t>
        </w:r>
        <w:r w:rsidR="007A6BE9" w:rsidRPr="007A6BE9">
          <w:rPr>
            <w:rFonts w:ascii="Garamond" w:hAnsi="Garamond" w:cs="FrankRuehl"/>
            <w:color w:val="0000FF"/>
            <w:spacing w:val="10"/>
            <w:szCs w:val="28"/>
            <w:u w:val="single"/>
            <w:rtl/>
          </w:rPr>
          <w:t>"</w:t>
        </w:r>
        <w:r w:rsidR="007A6BE9" w:rsidRPr="007A6BE9">
          <w:rPr>
            <w:rFonts w:ascii="Garamond" w:hAnsi="Garamond" w:cs="FrankRuehl" w:hint="eastAsia"/>
            <w:color w:val="0000FF"/>
            <w:spacing w:val="10"/>
            <w:szCs w:val="28"/>
            <w:u w:val="single"/>
            <w:rtl/>
          </w:rPr>
          <w:t>א</w:t>
        </w:r>
        <w:r w:rsidR="007A6BE9" w:rsidRPr="007A6BE9">
          <w:rPr>
            <w:rFonts w:ascii="Garamond" w:hAnsi="Garamond" w:cs="FrankRuehl"/>
            <w:color w:val="0000FF"/>
            <w:spacing w:val="10"/>
            <w:szCs w:val="28"/>
            <w:u w:val="single"/>
            <w:rtl/>
          </w:rPr>
          <w:t xml:space="preserve"> 3768/98</w:t>
        </w:r>
      </w:hyperlink>
      <w:r w:rsidR="00000000" w:rsidRPr="00284859">
        <w:rPr>
          <w:rFonts w:ascii="Garamond" w:hAnsi="Garamond" w:cs="FrankRuehl"/>
          <w:spacing w:val="10"/>
          <w:szCs w:val="28"/>
          <w:rtl/>
        </w:rPr>
        <w:t xml:space="preserve"> </w:t>
      </w:r>
      <w:r w:rsidR="00000000" w:rsidRPr="00284859">
        <w:rPr>
          <w:rFonts w:ascii="Century" w:hAnsi="Century" w:cs="Miriam"/>
          <w:b/>
          <w:sz w:val="22"/>
          <w:rtl/>
        </w:rPr>
        <w:t>קריית בית הכרם בע"מ נ' הוועדה המקומית לתכנון ולבנייה ירושלים</w:t>
      </w:r>
      <w:r w:rsidR="00000000" w:rsidRPr="00284859">
        <w:rPr>
          <w:rFonts w:ascii="Garamond" w:hAnsi="Garamond" w:cs="FrankRuehl"/>
          <w:spacing w:val="10"/>
          <w:szCs w:val="28"/>
          <w:rtl/>
        </w:rPr>
        <w:t xml:space="preserve">, נו(5) 49, 126-124 (2002); אהרן ברק </w:t>
      </w:r>
      <w:hyperlink r:id="rId46" w:history="1">
        <w:r w:rsidR="007A6BE9" w:rsidRPr="007A6BE9">
          <w:rPr>
            <w:rFonts w:ascii="Century" w:hAnsi="Century" w:cs="Miriam" w:hint="eastAsia"/>
            <w:b/>
            <w:color w:val="0000FF"/>
            <w:u w:val="single"/>
            <w:rtl/>
          </w:rPr>
          <w:t>פרשנות</w:t>
        </w:r>
        <w:r w:rsidR="007A6BE9" w:rsidRPr="007A6BE9">
          <w:rPr>
            <w:rFonts w:ascii="Century" w:hAnsi="Century" w:cs="Miriam"/>
            <w:b/>
            <w:color w:val="0000FF"/>
            <w:u w:val="single"/>
            <w:rtl/>
          </w:rPr>
          <w:t xml:space="preserve"> </w:t>
        </w:r>
        <w:r w:rsidR="007A6BE9" w:rsidRPr="007A6BE9">
          <w:rPr>
            <w:rFonts w:ascii="Century" w:hAnsi="Century" w:cs="Miriam" w:hint="eastAsia"/>
            <w:b/>
            <w:color w:val="0000FF"/>
            <w:u w:val="single"/>
            <w:rtl/>
          </w:rPr>
          <w:t>במשפט</w:t>
        </w:r>
      </w:hyperlink>
      <w:r w:rsidR="00000000" w:rsidRPr="00284859">
        <w:rPr>
          <w:rFonts w:ascii="Century" w:hAnsi="Century" w:cs="Miriam"/>
          <w:b/>
          <w:rtl/>
        </w:rPr>
        <w:t xml:space="preserve"> </w:t>
      </w:r>
      <w:r w:rsidR="00000000" w:rsidRPr="00284859">
        <w:rPr>
          <w:rFonts w:ascii="Century" w:hAnsi="Century" w:cs="FrankRuehl"/>
          <w:spacing w:val="10"/>
          <w:szCs w:val="28"/>
          <w:rtl/>
        </w:rPr>
        <w:t>כרך שני – פרשנות החקיקה</w:t>
      </w:r>
      <w:r w:rsidR="00000000" w:rsidRPr="00284859">
        <w:rPr>
          <w:rFonts w:ascii="Garamond" w:hAnsi="Garamond" w:cs="FrankRuehl"/>
          <w:spacing w:val="10"/>
          <w:szCs w:val="28"/>
          <w:rtl/>
        </w:rPr>
        <w:t xml:space="preserve"> 328, 603-602 (1993) (להלן: </w:t>
      </w:r>
      <w:r w:rsidR="00000000" w:rsidRPr="00284859">
        <w:rPr>
          <w:rFonts w:ascii="Century" w:hAnsi="Century" w:cs="Miriam"/>
          <w:b/>
          <w:rtl/>
        </w:rPr>
        <w:t>ברק – פרשנות החקיקה</w:t>
      </w:r>
      <w:r w:rsidR="00000000" w:rsidRPr="00284859">
        <w:rPr>
          <w:rFonts w:ascii="Garamond" w:hAnsi="Garamond" w:cs="FrankRuehl"/>
          <w:spacing w:val="10"/>
          <w:szCs w:val="28"/>
          <w:rtl/>
        </w:rPr>
        <w:t xml:space="preserve">)). </w:t>
      </w:r>
    </w:p>
    <w:p w14:paraId="4778B2F5"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7C764CAC" w14:textId="77777777" w:rsidR="00284859" w:rsidRPr="00284859" w:rsidRDefault="0071337E"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tl/>
        </w:rPr>
      </w:pPr>
      <w:r>
        <w:rPr>
          <w:rFonts w:ascii="Garamond" w:hAnsi="Garamond" w:cs="FrankRuehl" w:hint="cs"/>
          <w:spacing w:val="10"/>
          <w:szCs w:val="28"/>
          <w:rtl/>
        </w:rPr>
        <w:t>19.</w:t>
      </w:r>
      <w:r>
        <w:rPr>
          <w:rFonts w:ascii="Garamond" w:hAnsi="Garamond" w:cs="FrankRuehl" w:hint="cs"/>
          <w:spacing w:val="10"/>
          <w:szCs w:val="28"/>
          <w:rtl/>
        </w:rPr>
        <w:tab/>
      </w:r>
      <w:r w:rsidR="00000000" w:rsidRPr="00284859">
        <w:rPr>
          <w:rFonts w:ascii="Garamond" w:hAnsi="Garamond" w:cs="FrankRuehl"/>
          <w:spacing w:val="10"/>
          <w:szCs w:val="28"/>
          <w:rtl/>
        </w:rPr>
        <w:t xml:space="preserve">דומה כי לשון </w:t>
      </w:r>
      <w:hyperlink r:id="rId47" w:history="1">
        <w:r w:rsidR="00894E25" w:rsidRPr="00894E25">
          <w:rPr>
            <w:rStyle w:val="Hyperlink"/>
            <w:rFonts w:ascii="Garamond" w:hAnsi="Garamond" w:cs="FrankRuehl" w:hint="eastAsia"/>
            <w:spacing w:val="10"/>
            <w:szCs w:val="28"/>
            <w:rtl/>
          </w:rPr>
          <w:t>תקנה</w:t>
        </w:r>
        <w:r w:rsidR="00894E25" w:rsidRPr="00894E25">
          <w:rPr>
            <w:rStyle w:val="Hyperlink"/>
            <w:rFonts w:ascii="Garamond" w:hAnsi="Garamond" w:cs="FrankRuehl"/>
            <w:spacing w:val="10"/>
            <w:szCs w:val="28"/>
            <w:rtl/>
          </w:rPr>
          <w:t xml:space="preserve"> 1</w:t>
        </w:r>
      </w:hyperlink>
      <w:r w:rsidR="00000000" w:rsidRPr="00284859">
        <w:rPr>
          <w:rFonts w:ascii="Garamond" w:hAnsi="Garamond" w:cs="FrankRuehl"/>
          <w:spacing w:val="10"/>
          <w:szCs w:val="28"/>
          <w:rtl/>
        </w:rPr>
        <w:t xml:space="preserve"> לתקנות לעידוד השקעות יכולה לשאת פרשנות אחת, ולפיה המבקש היתר לבנייתו של בניין להשכרה לפי הגדרתו בחוק, יהיה פטור מתשלום מחצית האגרה ששולמה בעד חלק הבניין המיועד להשכרה. </w:t>
      </w:r>
    </w:p>
    <w:p w14:paraId="6168635C"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7CB8AA71" w14:textId="77777777" w:rsidR="00284859" w:rsidRPr="00284859" w:rsidRDefault="00000000"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r w:rsidRPr="00284859">
        <w:rPr>
          <w:rFonts w:ascii="Arial TUR" w:hAnsi="Arial TUR" w:cs="FrankRuehl"/>
          <w:spacing w:val="10"/>
          <w:sz w:val="22"/>
          <w:szCs w:val="28"/>
          <w:rtl/>
        </w:rPr>
        <w:tab/>
        <w:t xml:space="preserve">בעוד </w:t>
      </w:r>
      <w:hyperlink r:id="rId48" w:history="1">
        <w:r w:rsidR="00894E25" w:rsidRPr="00894E25">
          <w:rPr>
            <w:rStyle w:val="Hyperlink"/>
            <w:rFonts w:ascii="Arial TUR" w:hAnsi="Arial TUR" w:cs="FrankRuehl"/>
            <w:spacing w:val="10"/>
            <w:sz w:val="22"/>
            <w:szCs w:val="28"/>
            <w:rtl/>
          </w:rPr>
          <w:t>שתקנה 1</w:t>
        </w:r>
      </w:hyperlink>
      <w:r w:rsidRPr="00284859">
        <w:rPr>
          <w:rFonts w:ascii="Arial TUR" w:hAnsi="Arial TUR" w:cs="FrankRuehl"/>
          <w:spacing w:val="10"/>
          <w:sz w:val="22"/>
          <w:szCs w:val="28"/>
          <w:rtl/>
        </w:rPr>
        <w:t xml:space="preserve"> מורה במפורש כי הפטור יינתן ביחס לאגרה ששולמה בעד חלק הבניין המיועד להשכרה, </w:t>
      </w:r>
      <w:hyperlink r:id="rId49" w:anchor="20" w:history="1">
        <w:r w:rsidR="00894E25" w:rsidRPr="00894E25">
          <w:rPr>
            <w:rStyle w:val="Hyperlink"/>
            <w:rFonts w:ascii="Arial TUR" w:hAnsi="Arial TUR" w:cs="FrankRuehl"/>
            <w:spacing w:val="10"/>
            <w:sz w:val="22"/>
            <w:szCs w:val="28"/>
            <w:rtl/>
          </w:rPr>
          <w:t>תקנה 1.00.20</w:t>
        </w:r>
      </w:hyperlink>
      <w:r w:rsidRPr="00284859">
        <w:rPr>
          <w:rFonts w:ascii="Arial TUR" w:hAnsi="Arial TUR" w:cs="FrankRuehl"/>
          <w:spacing w:val="10"/>
          <w:sz w:val="22"/>
          <w:szCs w:val="28"/>
          <w:rtl/>
        </w:rPr>
        <w:t xml:space="preserve"> מציינת רק את קיומו של "פטור מתשלום מחצית האגרה" בלא להבהיר מהו היקפו של פטור זה: האם הוא חל על כלל שטח הבניין, או שמא רק על שטח הבניין המיועד להשכרה. שתיקת מתקין התקנות ביחס לכך איננה מצביעה בהכרח על כך שהפרשנות המתבקשת היא הפרשנות לה טוענות חברות שפיר. שתיקת מתקין התקנות עשויה גם להעיד על כך שבמסגרת התקנה אין התייחסות לשאלת היקף הפטור. במילים אחרות, הביטוי "</w:t>
      </w:r>
      <w:r w:rsidRPr="00284859">
        <w:rPr>
          <w:rFonts w:ascii="Century" w:hAnsi="Century" w:cs="Miriam"/>
          <w:b/>
          <w:sz w:val="22"/>
          <w:rtl/>
        </w:rPr>
        <w:t>פטור מתשלום מחצית האגרה</w:t>
      </w:r>
      <w:r w:rsidRPr="00284859">
        <w:rPr>
          <w:rFonts w:ascii="Arial TUR" w:hAnsi="Arial TUR" w:cs="FrankRuehl"/>
          <w:spacing w:val="10"/>
          <w:sz w:val="22"/>
          <w:szCs w:val="28"/>
          <w:rtl/>
        </w:rPr>
        <w:t xml:space="preserve">", יכול "לסבול" גם את הפרשנות לפיה מתקין התקנות לא הסדיר בתקנות התכנון והבנייה את השאלה לאיזה חלק מהבניין יינתן פטור מתשלום מחצית האגרה, כך שביחס להסדר הנוגע להיקף הפטור יש לפנות להוראה </w:t>
      </w:r>
      <w:hyperlink r:id="rId50" w:history="1">
        <w:r w:rsidR="00894E25" w:rsidRPr="00894E25">
          <w:rPr>
            <w:rStyle w:val="Hyperlink"/>
            <w:rFonts w:ascii="Arial TUR" w:hAnsi="Arial TUR" w:cs="FrankRuehl"/>
            <w:spacing w:val="10"/>
            <w:sz w:val="22"/>
            <w:szCs w:val="28"/>
            <w:rtl/>
          </w:rPr>
          <w:t>בתקנה 1</w:t>
        </w:r>
      </w:hyperlink>
      <w:r w:rsidRPr="00284859">
        <w:rPr>
          <w:rFonts w:ascii="Arial TUR" w:hAnsi="Arial TUR" w:cs="FrankRuehl"/>
          <w:spacing w:val="10"/>
          <w:sz w:val="22"/>
          <w:szCs w:val="28"/>
          <w:rtl/>
        </w:rPr>
        <w:t xml:space="preserve"> לתקנות לעידוד השקעות. </w:t>
      </w:r>
    </w:p>
    <w:p w14:paraId="536FB214"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7F0F7B02" w14:textId="77777777" w:rsidR="00284859" w:rsidRPr="00284859" w:rsidRDefault="0071337E"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tl/>
        </w:rPr>
      </w:pPr>
      <w:r>
        <w:rPr>
          <w:rFonts w:ascii="Garamond" w:hAnsi="Garamond" w:cs="FrankRuehl" w:hint="cs"/>
          <w:spacing w:val="10"/>
          <w:szCs w:val="28"/>
          <w:rtl/>
        </w:rPr>
        <w:t>20.</w:t>
      </w:r>
      <w:r>
        <w:rPr>
          <w:rFonts w:ascii="Garamond" w:hAnsi="Garamond" w:cs="FrankRuehl" w:hint="cs"/>
          <w:spacing w:val="10"/>
          <w:szCs w:val="28"/>
          <w:rtl/>
        </w:rPr>
        <w:tab/>
      </w:r>
      <w:r w:rsidR="00000000" w:rsidRPr="00284859">
        <w:rPr>
          <w:rFonts w:ascii="Garamond" w:hAnsi="Garamond" w:cs="FrankRuehl"/>
          <w:spacing w:val="10"/>
          <w:szCs w:val="28"/>
          <w:rtl/>
        </w:rPr>
        <w:t xml:space="preserve">הואיל </w:t>
      </w:r>
      <w:hyperlink r:id="rId51" w:anchor="20" w:history="1">
        <w:r w:rsidR="00894E25" w:rsidRPr="00894E25">
          <w:rPr>
            <w:rStyle w:val="Hyperlink"/>
            <w:rFonts w:ascii="Garamond" w:hAnsi="Garamond" w:cs="FrankRuehl" w:hint="eastAsia"/>
            <w:spacing w:val="10"/>
            <w:szCs w:val="28"/>
            <w:rtl/>
          </w:rPr>
          <w:t>ותקנה</w:t>
        </w:r>
        <w:r w:rsidR="00894E25" w:rsidRPr="00894E25">
          <w:rPr>
            <w:rStyle w:val="Hyperlink"/>
            <w:rFonts w:ascii="Garamond" w:hAnsi="Garamond" w:cs="FrankRuehl"/>
            <w:spacing w:val="10"/>
            <w:szCs w:val="28"/>
            <w:rtl/>
          </w:rPr>
          <w:t xml:space="preserve"> 1.00.20</w:t>
        </w:r>
      </w:hyperlink>
      <w:r w:rsidR="00000000" w:rsidRPr="00284859">
        <w:rPr>
          <w:rFonts w:ascii="Garamond" w:hAnsi="Garamond" w:cs="FrankRuehl"/>
          <w:spacing w:val="10"/>
          <w:szCs w:val="28"/>
          <w:rtl/>
        </w:rPr>
        <w:t xml:space="preserve"> יכולה לשאת מן הבחינה הלשונית גם פרשנות שאיננה עומדת בסתירה </w:t>
      </w:r>
      <w:hyperlink r:id="rId52" w:history="1">
        <w:r w:rsidR="00894E25" w:rsidRPr="00894E25">
          <w:rPr>
            <w:rStyle w:val="Hyperlink"/>
            <w:rFonts w:ascii="Garamond" w:hAnsi="Garamond" w:cs="FrankRuehl" w:hint="eastAsia"/>
            <w:spacing w:val="10"/>
            <w:szCs w:val="28"/>
            <w:rtl/>
          </w:rPr>
          <w:t>לתקנה</w:t>
        </w:r>
        <w:r w:rsidR="00894E25" w:rsidRPr="00894E25">
          <w:rPr>
            <w:rStyle w:val="Hyperlink"/>
            <w:rFonts w:ascii="Garamond" w:hAnsi="Garamond" w:cs="FrankRuehl"/>
            <w:spacing w:val="10"/>
            <w:szCs w:val="28"/>
            <w:rtl/>
          </w:rPr>
          <w:t xml:space="preserve"> 1</w:t>
        </w:r>
      </w:hyperlink>
      <w:r w:rsidR="00000000" w:rsidRPr="00284859">
        <w:rPr>
          <w:rFonts w:ascii="Garamond" w:hAnsi="Garamond" w:cs="FrankRuehl"/>
          <w:spacing w:val="10"/>
          <w:szCs w:val="28"/>
          <w:rtl/>
        </w:rPr>
        <w:t xml:space="preserve"> לתקנות לעידוד השקעות – יש להעדיף את הפרשנות המאפשרת לשתי התקנות להתקיים זו לצד זו בלא סתירה ביניהן. כפי שיובהר להלן, פרשנות זו לפיה ההטבה תינתן בגין החלק המיועד להשכרה בלבד, אף מגשימה בצורה המיטבית את תכלית החקיקה. </w:t>
      </w:r>
    </w:p>
    <w:p w14:paraId="0FEF0273"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5F3DC008" w14:textId="77777777" w:rsidR="00284859" w:rsidRPr="00284859" w:rsidRDefault="0071337E"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Pr>
      </w:pPr>
      <w:r>
        <w:rPr>
          <w:rFonts w:ascii="Garamond" w:hAnsi="Garamond" w:cs="FrankRuehl" w:hint="cs"/>
          <w:spacing w:val="10"/>
          <w:szCs w:val="28"/>
          <w:rtl/>
        </w:rPr>
        <w:t>21.</w:t>
      </w:r>
      <w:r>
        <w:rPr>
          <w:rFonts w:ascii="Garamond" w:hAnsi="Garamond" w:cs="FrankRuehl" w:hint="cs"/>
          <w:spacing w:val="10"/>
          <w:szCs w:val="28"/>
          <w:rtl/>
        </w:rPr>
        <w:tab/>
      </w:r>
      <w:r w:rsidR="00000000" w:rsidRPr="00284859">
        <w:rPr>
          <w:rFonts w:ascii="Garamond" w:hAnsi="Garamond" w:cs="FrankRuehl"/>
          <w:spacing w:val="10"/>
          <w:szCs w:val="28"/>
          <w:rtl/>
        </w:rPr>
        <w:t>אין חולק כי תכלית התקנות נושא המחלוקת בין הצדדים היא לתמרץ יזמים לבנות דירות להשכרה לטווח ארוך, וזאת כדי להגדיל את היצע הדירות למגורים בשכירות ((ראו גם: דברי ההסבר להצעת חוק לעידוד השקעות הון (תיקון מס' 34), התשמ"ז-1987, ה"ח הממשלה 305, 305;  ו</w:t>
      </w:r>
      <w:hyperlink r:id="rId53" w:history="1">
        <w:r w:rsidR="007A6BE9" w:rsidRPr="007A6BE9">
          <w:rPr>
            <w:rFonts w:ascii="Garamond" w:hAnsi="Garamond" w:cs="FrankRuehl" w:hint="eastAsia"/>
            <w:color w:val="0000FF"/>
            <w:spacing w:val="10"/>
            <w:szCs w:val="28"/>
            <w:u w:val="single"/>
            <w:rtl/>
          </w:rPr>
          <w:t>עע</w:t>
        </w:r>
        <w:r w:rsidR="007A6BE9" w:rsidRPr="007A6BE9">
          <w:rPr>
            <w:rFonts w:ascii="Garamond" w:hAnsi="Garamond" w:cs="FrankRuehl"/>
            <w:color w:val="0000FF"/>
            <w:spacing w:val="10"/>
            <w:szCs w:val="28"/>
            <w:u w:val="single"/>
            <w:rtl/>
          </w:rPr>
          <w:t>"</w:t>
        </w:r>
        <w:r w:rsidR="007A6BE9" w:rsidRPr="007A6BE9">
          <w:rPr>
            <w:rFonts w:ascii="Garamond" w:hAnsi="Garamond" w:cs="FrankRuehl" w:hint="eastAsia"/>
            <w:color w:val="0000FF"/>
            <w:spacing w:val="10"/>
            <w:szCs w:val="28"/>
            <w:u w:val="single"/>
            <w:rtl/>
          </w:rPr>
          <w:t>מ</w:t>
        </w:r>
        <w:r w:rsidR="007A6BE9" w:rsidRPr="007A6BE9">
          <w:rPr>
            <w:rFonts w:ascii="Garamond" w:hAnsi="Garamond" w:cs="FrankRuehl"/>
            <w:color w:val="0000FF"/>
            <w:spacing w:val="10"/>
            <w:szCs w:val="28"/>
            <w:u w:val="single"/>
            <w:rtl/>
          </w:rPr>
          <w:t xml:space="preserve"> 7711/22</w:t>
        </w:r>
      </w:hyperlink>
      <w:r w:rsidR="00000000" w:rsidRPr="00284859">
        <w:rPr>
          <w:rFonts w:ascii="Garamond" w:hAnsi="Garamond" w:cs="FrankRuehl"/>
          <w:spacing w:val="10"/>
          <w:szCs w:val="28"/>
          <w:rtl/>
        </w:rPr>
        <w:t xml:space="preserve"> </w:t>
      </w:r>
      <w:r w:rsidR="00000000" w:rsidRPr="00284859">
        <w:rPr>
          <w:rFonts w:ascii="Century" w:hAnsi="Century" w:cs="Miriam"/>
          <w:b/>
          <w:rtl/>
        </w:rPr>
        <w:t xml:space="preserve">מדינת ישראל נ' שפיר </w:t>
      </w:r>
      <w:r w:rsidR="00000000" w:rsidRPr="00284859">
        <w:rPr>
          <w:rFonts w:ascii="Century" w:hAnsi="Century" w:cs="Miriam"/>
          <w:b/>
          <w:rtl/>
        </w:rPr>
        <w:lastRenderedPageBreak/>
        <w:t>הנדסה חברה אזרחית וימית בע"מ</w:t>
      </w:r>
      <w:r w:rsidR="00000000" w:rsidRPr="00284859">
        <w:rPr>
          <w:rFonts w:ascii="Century" w:hAnsi="Century" w:cs="FrankRuehl"/>
          <w:spacing w:val="10"/>
          <w:szCs w:val="28"/>
          <w:rtl/>
        </w:rPr>
        <w:t>, פסקה 12 לפסק דינו של השופט</w:t>
      </w:r>
      <w:r w:rsidR="00000000" w:rsidRPr="00284859">
        <w:rPr>
          <w:rFonts w:ascii="Century" w:hAnsi="Century" w:cs="Miriam"/>
          <w:b/>
          <w:rtl/>
        </w:rPr>
        <w:t xml:space="preserve"> א' שטיין</w:t>
      </w:r>
      <w:r w:rsidR="00000000" w:rsidRPr="00284859">
        <w:rPr>
          <w:rFonts w:ascii="Garamond" w:hAnsi="Garamond" w:cs="FrankRuehl"/>
          <w:spacing w:val="10"/>
          <w:szCs w:val="28"/>
          <w:rtl/>
        </w:rPr>
        <w:t xml:space="preserve"> </w:t>
      </w:r>
      <w:r w:rsidR="003B25DC">
        <w:rPr>
          <w:rFonts w:ascii="Garamond" w:hAnsi="Garamond" w:cs="FrankRuehl" w:hint="cs"/>
          <w:spacing w:val="10"/>
          <w:szCs w:val="28"/>
          <w:rtl/>
        </w:rPr>
        <w:t>[נבו]</w:t>
      </w:r>
      <w:r w:rsidR="003B25DC" w:rsidRPr="00284859">
        <w:rPr>
          <w:rFonts w:ascii="Garamond" w:hAnsi="Garamond" w:cs="FrankRuehl"/>
          <w:spacing w:val="10"/>
          <w:szCs w:val="28"/>
          <w:rtl/>
        </w:rPr>
        <w:t xml:space="preserve"> </w:t>
      </w:r>
      <w:r w:rsidR="00000000" w:rsidRPr="00284859">
        <w:rPr>
          <w:rFonts w:ascii="Garamond" w:hAnsi="Garamond" w:cs="FrankRuehl"/>
          <w:spacing w:val="10"/>
          <w:szCs w:val="28"/>
          <w:rtl/>
        </w:rPr>
        <w:t xml:space="preserve">(27.6.2024). דומה כי שני הצדדים מסכימים על כך (פסקאות 17-15 לערעור הוועדה; ופסקה 25 לערעור חברות שפיר). </w:t>
      </w:r>
    </w:p>
    <w:p w14:paraId="5EFCCCF8" w14:textId="77777777" w:rsidR="00284859" w:rsidRPr="00284859" w:rsidRDefault="00284859"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Pr>
      </w:pPr>
    </w:p>
    <w:p w14:paraId="23502CAC" w14:textId="77777777" w:rsidR="00284859" w:rsidRPr="00284859" w:rsidRDefault="0071337E"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tl/>
        </w:rPr>
      </w:pPr>
      <w:r>
        <w:rPr>
          <w:rFonts w:ascii="Garamond" w:hAnsi="Garamond" w:cs="FrankRuehl" w:hint="cs"/>
          <w:spacing w:val="10"/>
          <w:szCs w:val="28"/>
          <w:rtl/>
        </w:rPr>
        <w:t>22.</w:t>
      </w:r>
      <w:r>
        <w:rPr>
          <w:rFonts w:ascii="Garamond" w:hAnsi="Garamond" w:cs="FrankRuehl" w:hint="cs"/>
          <w:spacing w:val="10"/>
          <w:szCs w:val="28"/>
          <w:rtl/>
        </w:rPr>
        <w:tab/>
      </w:r>
      <w:r w:rsidR="00000000" w:rsidRPr="00284859">
        <w:rPr>
          <w:rFonts w:ascii="Garamond" w:hAnsi="Garamond" w:cs="FrankRuehl"/>
          <w:spacing w:val="10"/>
          <w:szCs w:val="28"/>
          <w:rtl/>
        </w:rPr>
        <w:t>הפרשנות הלשונית שהוצעה לעיל מגשימה בצורה המיטבית את תכלית החוק. זאת, שכן בהתאם לפרשנות זו, ההטבה תהיה גדולה יותר ככל ששטח גדול יותר מהבניין יהיה מיועד להשכרה. באופן זה ניתן תמריץ ליזמים להפוך דירות נוספות לדירות להשכרה – מעבר לדירות ששטחן הכולל עולה כדי מחצית משטח הבניין.</w:t>
      </w:r>
    </w:p>
    <w:p w14:paraId="55CE8F82"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706463F0" w14:textId="77777777" w:rsidR="00284859" w:rsidRPr="00284859" w:rsidRDefault="00000000"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tl/>
        </w:rPr>
      </w:pPr>
      <w:r w:rsidRPr="00284859">
        <w:rPr>
          <w:rFonts w:ascii="Garamond" w:hAnsi="Garamond" w:cs="FrankRuehl"/>
          <w:spacing w:val="10"/>
          <w:szCs w:val="28"/>
          <w:rtl/>
        </w:rPr>
        <w:tab/>
        <w:t xml:space="preserve">מנגד, פרשנות </w:t>
      </w:r>
      <w:hyperlink r:id="rId54" w:anchor="20" w:history="1">
        <w:r w:rsidR="00894E25" w:rsidRPr="00894E25">
          <w:rPr>
            <w:rStyle w:val="Hyperlink"/>
            <w:rFonts w:ascii="Garamond" w:hAnsi="Garamond" w:cs="FrankRuehl" w:hint="eastAsia"/>
            <w:spacing w:val="10"/>
            <w:szCs w:val="28"/>
            <w:rtl/>
          </w:rPr>
          <w:t>תקנה</w:t>
        </w:r>
        <w:r w:rsidR="00894E25" w:rsidRPr="00894E25">
          <w:rPr>
            <w:rStyle w:val="Hyperlink"/>
            <w:rFonts w:ascii="Garamond" w:hAnsi="Garamond" w:cs="FrankRuehl"/>
            <w:spacing w:val="10"/>
            <w:szCs w:val="28"/>
            <w:rtl/>
          </w:rPr>
          <w:t xml:space="preserve"> 1.00.20</w:t>
        </w:r>
      </w:hyperlink>
      <w:r w:rsidRPr="00284859">
        <w:rPr>
          <w:rFonts w:ascii="Garamond" w:hAnsi="Garamond" w:cs="FrankRuehl"/>
          <w:spacing w:val="10"/>
          <w:szCs w:val="28"/>
          <w:rtl/>
        </w:rPr>
        <w:t xml:space="preserve"> בהתאם לגישת חברות שפיר, עלולה לייצר תמריץ המנוגד לתכלית החוק. פרשנות זו עשויה לעודד את היזמים לבנות בניינים שרק מחצית משטחם תהיה מיועדת להשכרה (ולא להגדיל את השטח האמור) כאשר די יהיה בכך כדי שכלל הדירות בבניין ייהנו מההטבה. </w:t>
      </w:r>
    </w:p>
    <w:p w14:paraId="565AD5BD"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75C68EB2" w14:textId="77777777" w:rsidR="00284859" w:rsidRPr="00284859" w:rsidRDefault="00000000"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r w:rsidRPr="00284859">
        <w:rPr>
          <w:rFonts w:ascii="Arial TUR" w:hAnsi="Arial TUR" w:cs="FrankRuehl"/>
          <w:spacing w:val="10"/>
          <w:sz w:val="22"/>
          <w:szCs w:val="28"/>
          <w:rtl/>
        </w:rPr>
        <w:tab/>
        <w:t xml:space="preserve">לכן, אין מקום להתערב בהכרעתו של בית משפט קמא ביחס להיקף ההטבה, וערעור חברות שפיר בהקשר זה נדחה. </w:t>
      </w:r>
    </w:p>
    <w:p w14:paraId="5D5D371A"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5C17C4C6" w14:textId="77777777" w:rsidR="00284859" w:rsidRPr="00284859" w:rsidRDefault="00000000" w:rsidP="00284859">
      <w:pPr>
        <w:tabs>
          <w:tab w:val="left" w:pos="800"/>
        </w:tabs>
        <w:overflowPunct w:val="0"/>
        <w:autoSpaceDE w:val="0"/>
        <w:autoSpaceDN w:val="0"/>
        <w:adjustRightInd w:val="0"/>
        <w:spacing w:line="360" w:lineRule="auto"/>
        <w:jc w:val="both"/>
        <w:rPr>
          <w:rFonts w:ascii="Century" w:hAnsi="Century" w:cs="Miriam"/>
          <w:b/>
          <w:sz w:val="22"/>
          <w:rtl/>
        </w:rPr>
      </w:pPr>
      <w:r w:rsidRPr="00284859">
        <w:rPr>
          <w:rFonts w:ascii="Century" w:hAnsi="Century" w:cs="Miriam"/>
          <w:b/>
          <w:sz w:val="22"/>
          <w:rtl/>
        </w:rPr>
        <w:t>כתב אישור 4519</w:t>
      </w:r>
    </w:p>
    <w:p w14:paraId="16E4C217"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60F69DE2" w14:textId="77777777" w:rsidR="00284859" w:rsidRPr="00284859" w:rsidRDefault="0071337E"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tl/>
        </w:rPr>
      </w:pPr>
      <w:r>
        <w:rPr>
          <w:rFonts w:ascii="Garamond" w:hAnsi="Garamond" w:cs="FrankRuehl" w:hint="cs"/>
          <w:spacing w:val="10"/>
          <w:szCs w:val="28"/>
          <w:rtl/>
        </w:rPr>
        <w:t>23.</w:t>
      </w:r>
      <w:r>
        <w:rPr>
          <w:rFonts w:ascii="Garamond" w:hAnsi="Garamond" w:cs="FrankRuehl" w:hint="cs"/>
          <w:spacing w:val="10"/>
          <w:szCs w:val="28"/>
          <w:rtl/>
        </w:rPr>
        <w:tab/>
      </w:r>
      <w:r w:rsidR="00000000" w:rsidRPr="00284859">
        <w:rPr>
          <w:rFonts w:ascii="Garamond" w:hAnsi="Garamond" w:cs="FrankRuehl"/>
          <w:spacing w:val="10"/>
          <w:szCs w:val="28"/>
          <w:rtl/>
        </w:rPr>
        <w:t>כזכור, חברות שפיר ערערו גם על כך שבית משפט קמא לא התייחס בפסק הדין לכתב אישור 4519, ועל כך שהוא לא פסק סעד המשקף את ההטבה לה הן זכאיות לכאורה מכוח כתב אישור זה. בית המשפט נימק זאת בכך שכתב אישור 4519 לא הוגש לפניו כראיה.</w:t>
      </w:r>
    </w:p>
    <w:p w14:paraId="7013C369" w14:textId="77777777" w:rsidR="00284859" w:rsidRPr="00284859" w:rsidRDefault="00284859"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tl/>
        </w:rPr>
      </w:pPr>
    </w:p>
    <w:p w14:paraId="413C8AF5" w14:textId="77777777" w:rsidR="00284859" w:rsidRPr="00284859" w:rsidRDefault="0071337E"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tl/>
        </w:rPr>
      </w:pPr>
      <w:r>
        <w:rPr>
          <w:rFonts w:ascii="Garamond" w:hAnsi="Garamond" w:cs="FrankRuehl" w:hint="cs"/>
          <w:spacing w:val="10"/>
          <w:szCs w:val="28"/>
          <w:rtl/>
        </w:rPr>
        <w:t>24.</w:t>
      </w:r>
      <w:r>
        <w:rPr>
          <w:rFonts w:ascii="Garamond" w:hAnsi="Garamond" w:cs="FrankRuehl" w:hint="cs"/>
          <w:spacing w:val="10"/>
          <w:szCs w:val="28"/>
          <w:rtl/>
        </w:rPr>
        <w:tab/>
      </w:r>
      <w:r w:rsidR="00000000" w:rsidRPr="00284859">
        <w:rPr>
          <w:rFonts w:ascii="Garamond" w:hAnsi="Garamond" w:cs="FrankRuehl"/>
          <w:spacing w:val="10"/>
          <w:szCs w:val="28"/>
          <w:rtl/>
        </w:rPr>
        <w:t>כפי שעולה מכתבי בית הדין שהוגשו בבית משפט קמא, הצדדים נותרו חלוקים בעניין היקף השטח המיועד להשכרה בפרויקט שכתב אישור 4519 ניתן לגביו. בית משפט קמא ביסס את הקביעה בדבר השטח הפטור ממחצית האגרה על כתבי האישור שניתנו מכוח החוק, ובהתאם לאמור בהם הוא חישב את ההטבה לה זכאיות חברות שפיר. לכן, היה על חברות שפיר להוכיח בראיות מהו שטח הפרויקט המיועד להשכרה למגורים באמצעות הגשת כתבי האישור שניתנו בעד כל אחד מהפרויקטים בהליך. יוער כי אף חברות שפיר בסיכומיהן הבהירו כי די בכתבי האישור כדי להוכיח מהו שטח הבניין המיועד להשכרה (ראו פסקה 24 לסיכומי התשובה מיום 3.8.2023).</w:t>
      </w:r>
    </w:p>
    <w:p w14:paraId="4AAB9D90" w14:textId="77777777" w:rsidR="00284859" w:rsidRPr="00284859" w:rsidRDefault="00284859"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tl/>
        </w:rPr>
      </w:pPr>
    </w:p>
    <w:p w14:paraId="34C87EDF" w14:textId="77777777" w:rsidR="00284859" w:rsidRPr="00284859" w:rsidRDefault="0071337E"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Pr>
      </w:pPr>
      <w:r>
        <w:rPr>
          <w:rFonts w:ascii="Garamond" w:hAnsi="Garamond" w:cs="FrankRuehl" w:hint="cs"/>
          <w:spacing w:val="10"/>
          <w:szCs w:val="28"/>
          <w:rtl/>
        </w:rPr>
        <w:t>25.</w:t>
      </w:r>
      <w:r>
        <w:rPr>
          <w:rFonts w:ascii="Garamond" w:hAnsi="Garamond" w:cs="FrankRuehl" w:hint="cs"/>
          <w:spacing w:val="10"/>
          <w:szCs w:val="28"/>
          <w:rtl/>
        </w:rPr>
        <w:tab/>
      </w:r>
      <w:r w:rsidR="00000000" w:rsidRPr="00284859">
        <w:rPr>
          <w:rFonts w:ascii="Garamond" w:hAnsi="Garamond" w:cs="FrankRuehl"/>
          <w:spacing w:val="10"/>
          <w:szCs w:val="28"/>
          <w:rtl/>
        </w:rPr>
        <w:t xml:space="preserve">ראשית, יובהר כי אין די בכך שכתב אישור 4519 הוגש כנספח לכתבי הטענות – כדי לקבוע כי הוא הוגש כראיה. כדי שמסמך יוגש כראיה, על בעל הדין המבקש להגישו – לעשות זאת באמצעות עד מטעמו. מסקנה זו עולה גם </w:t>
      </w:r>
      <w:hyperlink r:id="rId55" w:history="1">
        <w:r w:rsidR="00894E25" w:rsidRPr="00894E25">
          <w:rPr>
            <w:rStyle w:val="Hyperlink"/>
            <w:rFonts w:ascii="Garamond" w:hAnsi="Garamond" w:cs="FrankRuehl" w:hint="eastAsia"/>
            <w:spacing w:val="10"/>
            <w:szCs w:val="28"/>
            <w:rtl/>
          </w:rPr>
          <w:t>מתקנה</w:t>
        </w:r>
        <w:r w:rsidR="00894E25" w:rsidRPr="00894E25">
          <w:rPr>
            <w:rStyle w:val="Hyperlink"/>
            <w:rFonts w:ascii="Garamond" w:hAnsi="Garamond" w:cs="FrankRuehl"/>
            <w:spacing w:val="10"/>
            <w:szCs w:val="28"/>
            <w:rtl/>
          </w:rPr>
          <w:t xml:space="preserve"> 64(</w:t>
        </w:r>
        <w:r w:rsidR="00894E25" w:rsidRPr="00894E25">
          <w:rPr>
            <w:rStyle w:val="Hyperlink"/>
            <w:rFonts w:ascii="Garamond" w:hAnsi="Garamond" w:cs="FrankRuehl" w:hint="eastAsia"/>
            <w:spacing w:val="10"/>
            <w:szCs w:val="28"/>
            <w:rtl/>
          </w:rPr>
          <w:t>א</w:t>
        </w:r>
        <w:r w:rsidR="00894E25" w:rsidRPr="00894E25">
          <w:rPr>
            <w:rStyle w:val="Hyperlink"/>
            <w:rFonts w:ascii="Garamond" w:hAnsi="Garamond" w:cs="FrankRuehl"/>
            <w:spacing w:val="10"/>
            <w:szCs w:val="28"/>
            <w:rtl/>
          </w:rPr>
          <w:t>)</w:t>
        </w:r>
      </w:hyperlink>
      <w:r w:rsidR="00000000" w:rsidRPr="00284859">
        <w:rPr>
          <w:rFonts w:ascii="Garamond" w:hAnsi="Garamond" w:cs="FrankRuehl"/>
          <w:spacing w:val="10"/>
          <w:szCs w:val="28"/>
          <w:rtl/>
        </w:rPr>
        <w:t xml:space="preserve"> ל</w:t>
      </w:r>
      <w:hyperlink r:id="rId56" w:history="1">
        <w:r w:rsidR="007A6BE9" w:rsidRPr="007A6BE9">
          <w:rPr>
            <w:rFonts w:ascii="Garamond" w:hAnsi="Garamond" w:cs="FrankRuehl" w:hint="eastAsia"/>
            <w:color w:val="0000FF"/>
            <w:spacing w:val="10"/>
            <w:szCs w:val="28"/>
            <w:u w:val="single"/>
            <w:rtl/>
          </w:rPr>
          <w:t>תקנות</w:t>
        </w:r>
        <w:r w:rsidR="007A6BE9" w:rsidRPr="007A6BE9">
          <w:rPr>
            <w:rFonts w:ascii="Garamond" w:hAnsi="Garamond" w:cs="FrankRuehl"/>
            <w:color w:val="0000FF"/>
            <w:spacing w:val="10"/>
            <w:szCs w:val="28"/>
            <w:u w:val="single"/>
            <w:rtl/>
          </w:rPr>
          <w:t xml:space="preserve"> </w:t>
        </w:r>
        <w:r w:rsidR="007A6BE9" w:rsidRPr="007A6BE9">
          <w:rPr>
            <w:rFonts w:ascii="Garamond" w:hAnsi="Garamond" w:cs="FrankRuehl" w:hint="eastAsia"/>
            <w:color w:val="0000FF"/>
            <w:spacing w:val="10"/>
            <w:szCs w:val="28"/>
            <w:u w:val="single"/>
            <w:rtl/>
          </w:rPr>
          <w:t>סדר</w:t>
        </w:r>
        <w:r w:rsidR="007A6BE9" w:rsidRPr="007A6BE9">
          <w:rPr>
            <w:rFonts w:ascii="Garamond" w:hAnsi="Garamond" w:cs="FrankRuehl"/>
            <w:color w:val="0000FF"/>
            <w:spacing w:val="10"/>
            <w:szCs w:val="28"/>
            <w:u w:val="single"/>
            <w:rtl/>
          </w:rPr>
          <w:t xml:space="preserve"> </w:t>
        </w:r>
        <w:r w:rsidR="007A6BE9" w:rsidRPr="007A6BE9">
          <w:rPr>
            <w:rFonts w:ascii="Garamond" w:hAnsi="Garamond" w:cs="FrankRuehl" w:hint="eastAsia"/>
            <w:color w:val="0000FF"/>
            <w:spacing w:val="10"/>
            <w:szCs w:val="28"/>
            <w:u w:val="single"/>
            <w:rtl/>
          </w:rPr>
          <w:t>הדין</w:t>
        </w:r>
        <w:r w:rsidR="007A6BE9" w:rsidRPr="007A6BE9">
          <w:rPr>
            <w:rFonts w:ascii="Garamond" w:hAnsi="Garamond" w:cs="FrankRuehl"/>
            <w:color w:val="0000FF"/>
            <w:spacing w:val="10"/>
            <w:szCs w:val="28"/>
            <w:u w:val="single"/>
            <w:rtl/>
          </w:rPr>
          <w:t xml:space="preserve"> </w:t>
        </w:r>
        <w:r w:rsidR="007A6BE9" w:rsidRPr="007A6BE9">
          <w:rPr>
            <w:rFonts w:ascii="Garamond" w:hAnsi="Garamond" w:cs="FrankRuehl" w:hint="eastAsia"/>
            <w:color w:val="0000FF"/>
            <w:spacing w:val="10"/>
            <w:szCs w:val="28"/>
            <w:u w:val="single"/>
            <w:rtl/>
          </w:rPr>
          <w:t>האזרחי</w:t>
        </w:r>
        <w:r w:rsidR="007A6BE9" w:rsidRPr="007A6BE9">
          <w:rPr>
            <w:rFonts w:ascii="Garamond" w:hAnsi="Garamond" w:cs="FrankRuehl"/>
            <w:color w:val="0000FF"/>
            <w:spacing w:val="10"/>
            <w:szCs w:val="28"/>
            <w:u w:val="single"/>
            <w:rtl/>
          </w:rPr>
          <w:t xml:space="preserve">, </w:t>
        </w:r>
        <w:r w:rsidR="007A6BE9" w:rsidRPr="007A6BE9">
          <w:rPr>
            <w:rFonts w:ascii="Garamond" w:hAnsi="Garamond" w:cs="FrankRuehl" w:hint="eastAsia"/>
            <w:color w:val="0000FF"/>
            <w:spacing w:val="10"/>
            <w:szCs w:val="28"/>
            <w:u w:val="single"/>
            <w:rtl/>
          </w:rPr>
          <w:t>התשע</w:t>
        </w:r>
        <w:r w:rsidR="007A6BE9" w:rsidRPr="007A6BE9">
          <w:rPr>
            <w:rFonts w:ascii="Garamond" w:hAnsi="Garamond" w:cs="FrankRuehl"/>
            <w:color w:val="0000FF"/>
            <w:spacing w:val="10"/>
            <w:szCs w:val="28"/>
            <w:u w:val="single"/>
            <w:rtl/>
          </w:rPr>
          <w:t>"</w:t>
        </w:r>
        <w:r w:rsidR="007A6BE9" w:rsidRPr="007A6BE9">
          <w:rPr>
            <w:rFonts w:ascii="Garamond" w:hAnsi="Garamond" w:cs="FrankRuehl" w:hint="eastAsia"/>
            <w:color w:val="0000FF"/>
            <w:spacing w:val="10"/>
            <w:szCs w:val="28"/>
            <w:u w:val="single"/>
            <w:rtl/>
          </w:rPr>
          <w:t>ט</w:t>
        </w:r>
      </w:hyperlink>
      <w:r w:rsidR="00000000" w:rsidRPr="00284859">
        <w:rPr>
          <w:rFonts w:ascii="Garamond" w:hAnsi="Garamond" w:cs="FrankRuehl"/>
          <w:spacing w:val="10"/>
          <w:szCs w:val="28"/>
          <w:rtl/>
        </w:rPr>
        <w:t xml:space="preserve">-2018 (להלן: </w:t>
      </w:r>
      <w:r w:rsidR="00000000" w:rsidRPr="00284859">
        <w:rPr>
          <w:rFonts w:ascii="Century" w:hAnsi="Century" w:cs="Miriam"/>
          <w:b/>
          <w:sz w:val="22"/>
          <w:rtl/>
        </w:rPr>
        <w:t>תקנות סדר הדין</w:t>
      </w:r>
      <w:r w:rsidR="00000000" w:rsidRPr="00284859">
        <w:rPr>
          <w:rFonts w:ascii="Garamond" w:hAnsi="Garamond" w:cs="FrankRuehl"/>
          <w:spacing w:val="10"/>
          <w:szCs w:val="28"/>
          <w:rtl/>
        </w:rPr>
        <w:t xml:space="preserve">) בה נקבע כי רק לאחר ישיבת קדם המשפט המסכמת יתקיים דיון שבמסגרתו </w:t>
      </w:r>
      <w:r w:rsidR="00000000" w:rsidRPr="00284859">
        <w:rPr>
          <w:rFonts w:ascii="Century" w:hAnsi="Century" w:cs="Miriam"/>
          <w:b/>
          <w:rtl/>
        </w:rPr>
        <w:t>יובאו ראיות בעלי הדין</w:t>
      </w:r>
      <w:r w:rsidR="00000000" w:rsidRPr="00284859">
        <w:rPr>
          <w:rFonts w:ascii="Garamond" w:hAnsi="Garamond" w:cs="FrankRuehl"/>
          <w:spacing w:val="10"/>
          <w:szCs w:val="28"/>
          <w:rtl/>
        </w:rPr>
        <w:t xml:space="preserve"> – כלומר, קודם לכן לא נחשבים המסמכים שצורפו לכתבי בית הדין כראיות שהוגשו לבית המשפט. אף </w:t>
      </w:r>
      <w:hyperlink r:id="rId57" w:history="1">
        <w:r w:rsidR="00894E25" w:rsidRPr="00894E25">
          <w:rPr>
            <w:rStyle w:val="Hyperlink"/>
            <w:rFonts w:ascii="Garamond" w:hAnsi="Garamond" w:cs="FrankRuehl" w:hint="eastAsia"/>
            <w:spacing w:val="10"/>
            <w:szCs w:val="28"/>
            <w:rtl/>
          </w:rPr>
          <w:t>בתקנה</w:t>
        </w:r>
        <w:r w:rsidR="00894E25" w:rsidRPr="00894E25">
          <w:rPr>
            <w:rStyle w:val="Hyperlink"/>
            <w:rFonts w:ascii="Garamond" w:hAnsi="Garamond" w:cs="FrankRuehl"/>
            <w:spacing w:val="10"/>
            <w:szCs w:val="28"/>
            <w:rtl/>
          </w:rPr>
          <w:t xml:space="preserve"> 70(</w:t>
        </w:r>
        <w:r w:rsidR="00894E25" w:rsidRPr="00894E25">
          <w:rPr>
            <w:rStyle w:val="Hyperlink"/>
            <w:rFonts w:ascii="Garamond" w:hAnsi="Garamond" w:cs="FrankRuehl" w:hint="eastAsia"/>
            <w:spacing w:val="10"/>
            <w:szCs w:val="28"/>
            <w:rtl/>
          </w:rPr>
          <w:t>א</w:t>
        </w:r>
        <w:r w:rsidR="00894E25" w:rsidRPr="00894E25">
          <w:rPr>
            <w:rStyle w:val="Hyperlink"/>
            <w:rFonts w:ascii="Garamond" w:hAnsi="Garamond" w:cs="FrankRuehl"/>
            <w:spacing w:val="10"/>
            <w:szCs w:val="28"/>
            <w:rtl/>
          </w:rPr>
          <w:t>)</w:t>
        </w:r>
      </w:hyperlink>
      <w:r w:rsidR="00000000" w:rsidRPr="00284859">
        <w:rPr>
          <w:rFonts w:ascii="Garamond" w:hAnsi="Garamond" w:cs="FrankRuehl"/>
          <w:spacing w:val="10"/>
          <w:szCs w:val="28"/>
          <w:rtl/>
        </w:rPr>
        <w:t xml:space="preserve"> לתקנות סדר הדין הבחין המחוקק בין מסמך שהוגש כנספח לכתב הטענות לבין מסמך שהוגש כראיה. אכן, הצדדים יכולים גם להסכים על כך שמסמך יוגש כראיה גם ללא עד שיגיש אותו לבית המשפט. אולם, במקרה דנן הוועדה הכחישה את טענות חברות שפיר בדבר היקף השטח המיועד להשכרה בפרויקט שביחס אליו ניתן כתב אישור 4519, גם לאחר שכתב אישור זה צורף כנספח לכתב התביעה. לכן, אין מדובר במסמך מוסכם שניתן היה להסתמך עליו גם בלא הגשה שלו כדין כראיה.  </w:t>
      </w:r>
    </w:p>
    <w:p w14:paraId="0AB7F786"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4E9F803C" w14:textId="77777777" w:rsidR="00284859" w:rsidRPr="00284859" w:rsidRDefault="0071337E"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tl/>
        </w:rPr>
      </w:pPr>
      <w:r>
        <w:rPr>
          <w:rFonts w:ascii="Garamond" w:hAnsi="Garamond" w:cs="FrankRuehl" w:hint="cs"/>
          <w:spacing w:val="10"/>
          <w:szCs w:val="28"/>
          <w:rtl/>
        </w:rPr>
        <w:t>26.</w:t>
      </w:r>
      <w:r>
        <w:rPr>
          <w:rFonts w:ascii="Garamond" w:hAnsi="Garamond" w:cs="FrankRuehl"/>
          <w:spacing w:val="10"/>
          <w:szCs w:val="28"/>
          <w:rtl/>
        </w:rPr>
        <w:tab/>
      </w:r>
      <w:r w:rsidR="00000000" w:rsidRPr="00284859">
        <w:rPr>
          <w:rFonts w:ascii="Garamond" w:hAnsi="Garamond" w:cs="FrankRuehl"/>
          <w:spacing w:val="10"/>
          <w:szCs w:val="28"/>
          <w:rtl/>
        </w:rPr>
        <w:t xml:space="preserve">מאחר שכדי לחשב את שווי ההטבה, בית המשפט יכול היה להסתמך רק על ראיות שהוגשו לו, ומאחר שכתב אישור 4519 לא הוגש כראיה והצדדים אף לא הפנו אליו בדיון ההוכחות – בית המשפט לא יכול היה להסתמך עליו בחישוב. למעלה מן הצורך יצוין כי גם לו היו חברות שפיר סבורות כי כתב האישור הוא תעודה ציבורית בהתאם </w:t>
      </w:r>
      <w:hyperlink r:id="rId58" w:history="1">
        <w:r w:rsidR="00894E25" w:rsidRPr="00894E25">
          <w:rPr>
            <w:rStyle w:val="Hyperlink"/>
            <w:rFonts w:ascii="Garamond" w:hAnsi="Garamond" w:cs="FrankRuehl" w:hint="eastAsia"/>
            <w:spacing w:val="10"/>
            <w:szCs w:val="28"/>
            <w:rtl/>
          </w:rPr>
          <w:t>לסעיף</w:t>
        </w:r>
        <w:r w:rsidR="00894E25" w:rsidRPr="00894E25">
          <w:rPr>
            <w:rStyle w:val="Hyperlink"/>
            <w:rFonts w:ascii="Garamond" w:hAnsi="Garamond" w:cs="FrankRuehl"/>
            <w:spacing w:val="10"/>
            <w:szCs w:val="28"/>
            <w:rtl/>
          </w:rPr>
          <w:t xml:space="preserve"> 29</w:t>
        </w:r>
      </w:hyperlink>
      <w:r w:rsidR="00000000" w:rsidRPr="00284859">
        <w:rPr>
          <w:rFonts w:ascii="Garamond" w:hAnsi="Garamond" w:cs="FrankRuehl"/>
          <w:spacing w:val="10"/>
          <w:szCs w:val="28"/>
          <w:rtl/>
        </w:rPr>
        <w:t xml:space="preserve"> ל</w:t>
      </w:r>
      <w:hyperlink r:id="rId59" w:history="1">
        <w:r w:rsidR="007A6BE9" w:rsidRPr="007A6BE9">
          <w:rPr>
            <w:rFonts w:ascii="Garamond" w:hAnsi="Garamond" w:cs="FrankRuehl" w:hint="eastAsia"/>
            <w:color w:val="0000FF"/>
            <w:spacing w:val="10"/>
            <w:szCs w:val="28"/>
            <w:u w:val="single"/>
            <w:rtl/>
          </w:rPr>
          <w:t>פקודת</w:t>
        </w:r>
        <w:r w:rsidR="007A6BE9" w:rsidRPr="007A6BE9">
          <w:rPr>
            <w:rFonts w:ascii="Garamond" w:hAnsi="Garamond" w:cs="FrankRuehl"/>
            <w:color w:val="0000FF"/>
            <w:spacing w:val="10"/>
            <w:szCs w:val="28"/>
            <w:u w:val="single"/>
            <w:rtl/>
          </w:rPr>
          <w:t xml:space="preserve"> </w:t>
        </w:r>
        <w:r w:rsidR="007A6BE9" w:rsidRPr="007A6BE9">
          <w:rPr>
            <w:rFonts w:ascii="Garamond" w:hAnsi="Garamond" w:cs="FrankRuehl" w:hint="eastAsia"/>
            <w:color w:val="0000FF"/>
            <w:spacing w:val="10"/>
            <w:szCs w:val="28"/>
            <w:u w:val="single"/>
            <w:rtl/>
          </w:rPr>
          <w:t>הראיות</w:t>
        </w:r>
      </w:hyperlink>
      <w:r w:rsidR="00000000" w:rsidRPr="00284859">
        <w:rPr>
          <w:rFonts w:ascii="Garamond" w:hAnsi="Garamond" w:cs="FrankRuehl"/>
          <w:spacing w:val="10"/>
          <w:szCs w:val="28"/>
          <w:rtl/>
        </w:rPr>
        <w:t xml:space="preserve"> [נוסח חדש], התשל"א-1971 (להלן: </w:t>
      </w:r>
      <w:r w:rsidR="00000000" w:rsidRPr="00284859">
        <w:rPr>
          <w:rFonts w:ascii="Century" w:hAnsi="Century" w:cs="Miriam"/>
          <w:b/>
          <w:sz w:val="22"/>
          <w:rtl/>
        </w:rPr>
        <w:t>הפקודה</w:t>
      </w:r>
      <w:r w:rsidR="00000000" w:rsidRPr="00284859">
        <w:rPr>
          <w:rFonts w:ascii="Garamond" w:hAnsi="Garamond" w:cs="FrankRuehl"/>
          <w:spacing w:val="10"/>
          <w:szCs w:val="28"/>
          <w:rtl/>
        </w:rPr>
        <w:t xml:space="preserve">), היה עליהן להגישו במסגרת פרשת הראיות בהתאם להוראות </w:t>
      </w:r>
      <w:hyperlink r:id="rId60" w:history="1">
        <w:r w:rsidR="00894E25" w:rsidRPr="00894E25">
          <w:rPr>
            <w:rStyle w:val="Hyperlink"/>
            <w:rFonts w:ascii="Garamond" w:hAnsi="Garamond" w:cs="FrankRuehl" w:hint="eastAsia"/>
            <w:spacing w:val="10"/>
            <w:szCs w:val="28"/>
            <w:rtl/>
          </w:rPr>
          <w:t>תקנה</w:t>
        </w:r>
        <w:r w:rsidR="00894E25" w:rsidRPr="00894E25">
          <w:rPr>
            <w:rStyle w:val="Hyperlink"/>
            <w:rFonts w:ascii="Garamond" w:hAnsi="Garamond" w:cs="FrankRuehl"/>
            <w:spacing w:val="10"/>
            <w:szCs w:val="28"/>
            <w:rtl/>
          </w:rPr>
          <w:t xml:space="preserve"> 32</w:t>
        </w:r>
      </w:hyperlink>
      <w:r w:rsidR="00000000" w:rsidRPr="00284859">
        <w:rPr>
          <w:rFonts w:ascii="Garamond" w:hAnsi="Garamond" w:cs="FrankRuehl"/>
          <w:spacing w:val="10"/>
          <w:szCs w:val="28"/>
          <w:rtl/>
        </w:rPr>
        <w:t xml:space="preserve"> לפקודה. לכן, יש לדחות את ערעורן של חברות שפיר גם בהקשר זה. </w:t>
      </w:r>
    </w:p>
    <w:p w14:paraId="58074C3F"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2B04ED8C" w14:textId="77777777" w:rsidR="00284859" w:rsidRPr="00284859" w:rsidRDefault="0071337E"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Pr>
      </w:pPr>
      <w:r>
        <w:rPr>
          <w:rFonts w:ascii="Garamond" w:hAnsi="Garamond" w:cs="FrankRuehl" w:hint="cs"/>
          <w:spacing w:val="10"/>
          <w:szCs w:val="28"/>
          <w:rtl/>
        </w:rPr>
        <w:t>27.</w:t>
      </w:r>
      <w:r>
        <w:rPr>
          <w:rFonts w:ascii="Garamond" w:hAnsi="Garamond" w:cs="FrankRuehl" w:hint="cs"/>
          <w:spacing w:val="10"/>
          <w:szCs w:val="28"/>
          <w:rtl/>
        </w:rPr>
        <w:tab/>
      </w:r>
      <w:r w:rsidR="00000000" w:rsidRPr="00284859">
        <w:rPr>
          <w:rFonts w:ascii="Garamond" w:hAnsi="Garamond" w:cs="FrankRuehl"/>
          <w:spacing w:val="10"/>
          <w:szCs w:val="28"/>
          <w:rtl/>
        </w:rPr>
        <w:t xml:space="preserve">בשולי הדברים יצוין כי אף שחברות שפיר הבחינו כבר בסיכומיהן כי כתב אישור 4519 לא הוגש כראיה לבית משפט קמא (ראו פסקה 7 לסיכומים מטעם חברות שפיר מיום 21.6.2023), הן לא פעלו באמצעים הדיוניים שעמדו לרשותן כדי להביא להגשתו כראיה – לא לפני בית משפט קמא ואף לא לפני בית משפט זה במסגרת הערעור. </w:t>
      </w:r>
    </w:p>
    <w:p w14:paraId="7719D378" w14:textId="77777777" w:rsidR="00284859" w:rsidRPr="00284859" w:rsidRDefault="00284859"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tl/>
        </w:rPr>
      </w:pPr>
    </w:p>
    <w:p w14:paraId="34D2AAF7" w14:textId="77777777" w:rsidR="00284859" w:rsidRPr="00284859" w:rsidRDefault="00000000"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tl/>
        </w:rPr>
      </w:pPr>
      <w:r w:rsidRPr="00284859">
        <w:rPr>
          <w:rFonts w:ascii="Garamond" w:hAnsi="Garamond" w:cs="FrankRuehl"/>
          <w:spacing w:val="10"/>
          <w:szCs w:val="28"/>
          <w:rtl/>
        </w:rPr>
        <w:tab/>
        <w:t xml:space="preserve">למותר לציין כי אם אכן מדובר במסמך שאין מחלוקת לגביו – טוב יעשו הצדדים אם יביאו אותו בחשבון בחישוביהם בהתאם לכללים שהותוו בפסק דין זה </w:t>
      </w:r>
      <w:r w:rsidRPr="00284859">
        <w:rPr>
          <w:rFonts w:ascii="Garamond" w:hAnsi="Garamond" w:cs="FrankRuehl"/>
          <w:spacing w:val="10"/>
          <w:szCs w:val="28"/>
          <w:rtl/>
        </w:rPr>
        <w:lastRenderedPageBreak/>
        <w:t>לעיל, ולא יידרשו להליך נוסף שמטרתו רק ליישם את הכללים הללו גם על האישור האמור.</w:t>
      </w:r>
    </w:p>
    <w:p w14:paraId="10F58FB0"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37961121" w14:textId="77777777" w:rsidR="00284859" w:rsidRPr="00284859" w:rsidRDefault="00000000" w:rsidP="00284859">
      <w:pPr>
        <w:tabs>
          <w:tab w:val="left" w:pos="800"/>
        </w:tabs>
        <w:overflowPunct w:val="0"/>
        <w:autoSpaceDE w:val="0"/>
        <w:autoSpaceDN w:val="0"/>
        <w:adjustRightInd w:val="0"/>
        <w:spacing w:line="360" w:lineRule="auto"/>
        <w:jc w:val="both"/>
        <w:rPr>
          <w:rFonts w:ascii="Miriam" w:hAnsi="Miriam" w:cs="Miriam"/>
          <w:spacing w:val="10"/>
          <w:rtl/>
        </w:rPr>
      </w:pPr>
      <w:r w:rsidRPr="00284859">
        <w:rPr>
          <w:rFonts w:ascii="Miriam" w:hAnsi="Miriam" w:cs="Miriam"/>
          <w:spacing w:val="10"/>
          <w:rtl/>
        </w:rPr>
        <w:t xml:space="preserve">ערעור הוועדה </w:t>
      </w:r>
    </w:p>
    <w:p w14:paraId="131BEFB0" w14:textId="77777777" w:rsidR="00284859" w:rsidRPr="00284859" w:rsidRDefault="00284859" w:rsidP="00284859">
      <w:pPr>
        <w:tabs>
          <w:tab w:val="left" w:pos="800"/>
        </w:tabs>
        <w:overflowPunct w:val="0"/>
        <w:autoSpaceDE w:val="0"/>
        <w:autoSpaceDN w:val="0"/>
        <w:adjustRightInd w:val="0"/>
        <w:spacing w:line="360" w:lineRule="auto"/>
        <w:jc w:val="both"/>
        <w:rPr>
          <w:rFonts w:ascii="Miriam" w:hAnsi="Miriam" w:cs="Miriam"/>
          <w:spacing w:val="10"/>
          <w:rtl/>
        </w:rPr>
      </w:pPr>
    </w:p>
    <w:p w14:paraId="31C6FE77" w14:textId="77777777" w:rsidR="00284859" w:rsidRPr="00284859" w:rsidRDefault="0071337E"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tl/>
        </w:rPr>
      </w:pPr>
      <w:r>
        <w:rPr>
          <w:rFonts w:ascii="Garamond" w:hAnsi="Garamond" w:cs="FrankRuehl" w:hint="cs"/>
          <w:spacing w:val="10"/>
          <w:szCs w:val="28"/>
          <w:rtl/>
        </w:rPr>
        <w:t>28.</w:t>
      </w:r>
      <w:r>
        <w:rPr>
          <w:rFonts w:ascii="Garamond" w:hAnsi="Garamond" w:cs="FrankRuehl" w:hint="cs"/>
          <w:spacing w:val="10"/>
          <w:szCs w:val="28"/>
          <w:rtl/>
        </w:rPr>
        <w:tab/>
      </w:r>
      <w:r w:rsidR="00000000" w:rsidRPr="00284859">
        <w:rPr>
          <w:rFonts w:ascii="Garamond" w:hAnsi="Garamond" w:cs="FrankRuehl"/>
          <w:spacing w:val="10"/>
          <w:szCs w:val="28"/>
          <w:rtl/>
        </w:rPr>
        <w:t xml:space="preserve">בערעור מטעמה העלתה הוועדה טענות נגד קביעת בית המשפט לגבי מועד קבלת ההטבה. לגישתה, המועד לקבלת ההטבה של חברות שפיר טרם הגיע, והן יהיו זכאיות להטבה רק לאחר שיתברר כי הן עמדו בכל התנאים שנקבעו </w:t>
      </w:r>
      <w:hyperlink r:id="rId61" w:history="1">
        <w:r w:rsidR="00894E25" w:rsidRPr="00894E25">
          <w:rPr>
            <w:rStyle w:val="Hyperlink"/>
            <w:rFonts w:ascii="Garamond" w:hAnsi="Garamond" w:cs="FrankRuehl" w:hint="eastAsia"/>
            <w:spacing w:val="10"/>
            <w:szCs w:val="28"/>
            <w:rtl/>
          </w:rPr>
          <w:t>בפרק</w:t>
        </w:r>
        <w:r w:rsidR="00894E25" w:rsidRPr="00894E25">
          <w:rPr>
            <w:rStyle w:val="Hyperlink"/>
            <w:rFonts w:ascii="Garamond" w:hAnsi="Garamond" w:cs="FrankRuehl"/>
            <w:spacing w:val="10"/>
            <w:szCs w:val="28"/>
            <w:rtl/>
          </w:rPr>
          <w:t xml:space="preserve"> </w:t>
        </w:r>
        <w:r w:rsidR="00894E25" w:rsidRPr="00894E25">
          <w:rPr>
            <w:rStyle w:val="Hyperlink"/>
            <w:rFonts w:ascii="Garamond" w:hAnsi="Garamond" w:cs="FrankRuehl" w:hint="eastAsia"/>
            <w:spacing w:val="10"/>
            <w:szCs w:val="28"/>
            <w:rtl/>
          </w:rPr>
          <w:t>השביעי</w:t>
        </w:r>
        <w:r w:rsidR="00894E25" w:rsidRPr="00894E25">
          <w:rPr>
            <w:rStyle w:val="Hyperlink"/>
            <w:rFonts w:ascii="Garamond" w:hAnsi="Garamond" w:cs="FrankRuehl"/>
            <w:spacing w:val="10"/>
            <w:szCs w:val="28"/>
            <w:rtl/>
          </w:rPr>
          <w:t xml:space="preserve"> </w:t>
        </w:r>
        <w:r w:rsidR="00894E25" w:rsidRPr="00894E25">
          <w:rPr>
            <w:rStyle w:val="Hyperlink"/>
            <w:rFonts w:ascii="Garamond" w:hAnsi="Garamond" w:cs="FrankRuehl" w:hint="eastAsia"/>
            <w:spacing w:val="10"/>
            <w:szCs w:val="28"/>
            <w:rtl/>
          </w:rPr>
          <w:t>לחוק</w:t>
        </w:r>
      </w:hyperlink>
      <w:r w:rsidR="00000000" w:rsidRPr="00284859">
        <w:rPr>
          <w:rFonts w:ascii="Garamond" w:hAnsi="Garamond" w:cs="FrankRuehl"/>
          <w:spacing w:val="10"/>
          <w:szCs w:val="28"/>
          <w:rtl/>
        </w:rPr>
        <w:t xml:space="preserve"> לעידוד השקעות.</w:t>
      </w:r>
    </w:p>
    <w:p w14:paraId="3A1CF8AB" w14:textId="77777777" w:rsidR="00284859" w:rsidRPr="00284859" w:rsidRDefault="00000000"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Pr>
      </w:pPr>
      <w:r w:rsidRPr="00284859">
        <w:rPr>
          <w:rFonts w:ascii="Garamond" w:hAnsi="Garamond" w:cs="FrankRuehl"/>
          <w:spacing w:val="10"/>
          <w:szCs w:val="28"/>
          <w:rtl/>
        </w:rPr>
        <w:t xml:space="preserve"> </w:t>
      </w:r>
    </w:p>
    <w:p w14:paraId="047C7F02" w14:textId="77777777" w:rsidR="00284859" w:rsidRPr="00284859" w:rsidRDefault="00000000"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r w:rsidRPr="00284859">
        <w:rPr>
          <w:rFonts w:ascii="Arial TUR" w:hAnsi="Arial TUR" w:cs="FrankRuehl"/>
          <w:spacing w:val="10"/>
          <w:sz w:val="22"/>
          <w:szCs w:val="28"/>
          <w:rtl/>
        </w:rPr>
        <w:tab/>
        <w:t xml:space="preserve">לטענת הוועדה, הבניינים של חברות שפיר אינם עונים להגדרה של "בניין להשכרה" בהתאם </w:t>
      </w:r>
      <w:hyperlink r:id="rId62" w:history="1">
        <w:r w:rsidR="00894E25" w:rsidRPr="00894E25">
          <w:rPr>
            <w:rStyle w:val="Hyperlink"/>
            <w:rFonts w:ascii="Arial TUR" w:hAnsi="Arial TUR" w:cs="FrankRuehl"/>
            <w:spacing w:val="10"/>
            <w:sz w:val="22"/>
            <w:szCs w:val="28"/>
            <w:rtl/>
          </w:rPr>
          <w:t>לסעיף 53ב(א)</w:t>
        </w:r>
      </w:hyperlink>
      <w:r w:rsidRPr="00284859">
        <w:rPr>
          <w:rFonts w:ascii="Arial TUR" w:hAnsi="Arial TUR" w:cs="FrankRuehl"/>
          <w:spacing w:val="10"/>
          <w:sz w:val="22"/>
          <w:szCs w:val="28"/>
          <w:rtl/>
        </w:rPr>
        <w:t xml:space="preserve"> לחוק. בכתבי האישור שהוצגו על-ידי חברות שפיר בבית משפט קמא הובהר כי האישור לכך שמדובר ב"בניין להשכרה" מותנה במילוי התנאים הקבועים בחוק ובתנאים נוספים. כך, נדרש כי לפחות מחצית משטח הרצפות של הבניין הן דירות שהיו מושכרות למגורים במשך 5 שנים לפחות מתוך 7 השנים שלאחר תום הבנייה, ושלא תיעשה לגביהן "</w:t>
      </w:r>
      <w:r w:rsidRPr="00284859">
        <w:rPr>
          <w:rFonts w:ascii="Century" w:hAnsi="Century" w:cs="Miriam"/>
          <w:b/>
          <w:sz w:val="22"/>
          <w:rtl/>
        </w:rPr>
        <w:t>מכירה כמשמעותה בסעיף 88 לפקודה לפני שחלפו 5 שנות השכרה</w:t>
      </w:r>
      <w:r w:rsidRPr="00284859">
        <w:rPr>
          <w:rFonts w:ascii="Arial TUR" w:hAnsi="Arial TUR" w:cs="FrankRuehl"/>
          <w:spacing w:val="10"/>
          <w:sz w:val="22"/>
          <w:szCs w:val="28"/>
          <w:rtl/>
        </w:rPr>
        <w:t>". בנוסף, גם לאחר מילוי התנאים האמורים בכתב האישור, ה</w:t>
      </w:r>
      <w:hyperlink r:id="rId63" w:history="1">
        <w:r w:rsidR="007A6BE9" w:rsidRPr="007A6BE9">
          <w:rPr>
            <w:rFonts w:ascii="Arial TUR" w:hAnsi="Arial TUR" w:cs="FrankRuehl"/>
            <w:color w:val="0000FF"/>
            <w:spacing w:val="10"/>
            <w:sz w:val="22"/>
            <w:szCs w:val="28"/>
            <w:u w:val="single"/>
            <w:rtl/>
          </w:rPr>
          <w:t>חוק מתנה</w:t>
        </w:r>
      </w:hyperlink>
      <w:r w:rsidRPr="00284859">
        <w:rPr>
          <w:rFonts w:ascii="Arial TUR" w:hAnsi="Arial TUR" w:cs="FrankRuehl"/>
          <w:spacing w:val="10"/>
          <w:sz w:val="22"/>
          <w:szCs w:val="28"/>
          <w:rtl/>
        </w:rPr>
        <w:t xml:space="preserve"> את קבלת ההטבה במילוי התנאים הקבועים </w:t>
      </w:r>
      <w:hyperlink r:id="rId64" w:history="1">
        <w:r w:rsidR="00894E25" w:rsidRPr="00894E25">
          <w:rPr>
            <w:rStyle w:val="Hyperlink"/>
            <w:rFonts w:ascii="Arial TUR" w:hAnsi="Arial TUR" w:cs="FrankRuehl"/>
            <w:spacing w:val="10"/>
            <w:sz w:val="22"/>
            <w:szCs w:val="28"/>
            <w:rtl/>
          </w:rPr>
          <w:t>בסעיף 53ב(ב)</w:t>
        </w:r>
      </w:hyperlink>
      <w:r w:rsidRPr="00284859">
        <w:rPr>
          <w:rFonts w:ascii="Arial TUR" w:hAnsi="Arial TUR" w:cs="FrankRuehl"/>
          <w:spacing w:val="10"/>
          <w:sz w:val="22"/>
          <w:szCs w:val="28"/>
          <w:rtl/>
        </w:rPr>
        <w:t xml:space="preserve"> ובמילוי התנאי הקבוע </w:t>
      </w:r>
      <w:hyperlink r:id="rId65" w:history="1">
        <w:r w:rsidR="00894E25" w:rsidRPr="00894E25">
          <w:rPr>
            <w:rStyle w:val="Hyperlink"/>
            <w:rFonts w:ascii="Arial TUR" w:hAnsi="Arial TUR" w:cs="FrankRuehl"/>
            <w:spacing w:val="10"/>
            <w:sz w:val="22"/>
            <w:szCs w:val="28"/>
            <w:rtl/>
          </w:rPr>
          <w:t>בסעיף 53א1</w:t>
        </w:r>
      </w:hyperlink>
      <w:r w:rsidRPr="00284859">
        <w:rPr>
          <w:rFonts w:ascii="Arial TUR" w:hAnsi="Arial TUR" w:cs="FrankRuehl"/>
          <w:spacing w:val="10"/>
          <w:sz w:val="22"/>
          <w:szCs w:val="28"/>
          <w:rtl/>
        </w:rPr>
        <w:t xml:space="preserve"> לחוק ולפיו "</w:t>
      </w:r>
      <w:r w:rsidRPr="00284859">
        <w:rPr>
          <w:rFonts w:ascii="Century" w:hAnsi="Century" w:cs="Miriam"/>
          <w:b/>
          <w:sz w:val="22"/>
          <w:rtl/>
        </w:rPr>
        <w:t>נחה דעתו של נציב מס הכנסה... כי הובטח שתקופת השכירות לפי כל חוזה שכירות של דירה בבניין לא תקטן משלוש שנים</w:t>
      </w:r>
      <w:r w:rsidRPr="00284859">
        <w:rPr>
          <w:rFonts w:ascii="Arial TUR" w:hAnsi="Arial TUR" w:cs="FrankRuehl"/>
          <w:spacing w:val="10"/>
          <w:sz w:val="22"/>
          <w:szCs w:val="28"/>
          <w:rtl/>
        </w:rPr>
        <w:t>".</w:t>
      </w:r>
    </w:p>
    <w:p w14:paraId="37211CC2"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0C591EB0" w14:textId="77777777" w:rsidR="00284859" w:rsidRPr="00284859" w:rsidRDefault="00000000"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r w:rsidRPr="00284859">
        <w:rPr>
          <w:rFonts w:ascii="Arial TUR" w:hAnsi="Arial TUR" w:cs="FrankRuehl"/>
          <w:spacing w:val="10"/>
          <w:sz w:val="22"/>
          <w:szCs w:val="28"/>
          <w:rtl/>
        </w:rPr>
        <w:tab/>
        <w:t>לגישת הוועדה, זוהי המסקנה הנובעת הן מלשון החוק והן מתכלית החקיקה – שהיא כאמור לתמרץ יזמים לבנות דירות להשכרה לטווח ארוך כדי להגדיל את היצע הדירות למגורים בשכירות. מתן ההטבה מראש לא יעודד את היזמים לעמוד בתנאיה, והוועדה תיאלץ "לרדוף" אחריהם כדי לוודא את קיום תנאי ההטבה וכדי לדרוש השבה של הכספים אם לא יעמדו בתנאים אלה. לאור האמור גרסה הוועדה כי פרשנותן של חברות שפיר לחוק עלולה אף להביא לאובדן כספים ציבוריים.</w:t>
      </w:r>
    </w:p>
    <w:p w14:paraId="51FB021B"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258C9A2E" w14:textId="77777777" w:rsidR="00284859" w:rsidRPr="00284859" w:rsidRDefault="0071337E"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tl/>
        </w:rPr>
      </w:pPr>
      <w:r>
        <w:rPr>
          <w:rFonts w:ascii="Garamond" w:hAnsi="Garamond" w:cs="FrankRuehl" w:hint="cs"/>
          <w:spacing w:val="10"/>
          <w:szCs w:val="28"/>
          <w:rtl/>
        </w:rPr>
        <w:t>29.</w:t>
      </w:r>
      <w:r>
        <w:rPr>
          <w:rFonts w:ascii="Garamond" w:hAnsi="Garamond" w:cs="FrankRuehl" w:hint="cs"/>
          <w:spacing w:val="10"/>
          <w:szCs w:val="28"/>
          <w:rtl/>
        </w:rPr>
        <w:tab/>
      </w:r>
      <w:r w:rsidR="00000000" w:rsidRPr="00284859">
        <w:rPr>
          <w:rFonts w:ascii="Garamond" w:hAnsi="Garamond" w:cs="FrankRuehl"/>
          <w:spacing w:val="10"/>
          <w:szCs w:val="28"/>
          <w:rtl/>
        </w:rPr>
        <w:t xml:space="preserve">מנגד, חברות שפיר טענו כי כתבי האישור שניתנו להן על-ידי המינהלת הם סופיים, שכן נקבע בהם כי הבניינים אושרו כנכסים מאושרים שכל אחד מהם הוא "בניין להשכרה". לגישתן, יש לדחות את טענת הוועדה שלפיה רק לאחר שיתברר אם חברות שפיר עמדו בתנאי החוק – יהפכו כתבי האישור לסופיים והן יהיו זכאיות להטבה. </w:t>
      </w:r>
    </w:p>
    <w:p w14:paraId="1E039E6B" w14:textId="77777777" w:rsidR="00284859" w:rsidRPr="00284859" w:rsidRDefault="00284859"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Pr>
      </w:pPr>
    </w:p>
    <w:p w14:paraId="0BE14232" w14:textId="77777777" w:rsidR="00284859" w:rsidRPr="00284859" w:rsidRDefault="00000000"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tl/>
        </w:rPr>
      </w:pPr>
      <w:r w:rsidRPr="00284859">
        <w:rPr>
          <w:rFonts w:ascii="Garamond" w:hAnsi="Garamond" w:cs="FrankRuehl"/>
          <w:spacing w:val="10"/>
          <w:szCs w:val="28"/>
          <w:rtl/>
        </w:rPr>
        <w:tab/>
        <w:t xml:space="preserve">חברות שפיר הפנו </w:t>
      </w:r>
      <w:hyperlink r:id="rId66" w:history="1">
        <w:r w:rsidR="00894E25" w:rsidRPr="00894E25">
          <w:rPr>
            <w:rStyle w:val="Hyperlink"/>
            <w:rFonts w:ascii="Garamond" w:hAnsi="Garamond" w:cs="FrankRuehl" w:hint="eastAsia"/>
            <w:spacing w:val="10"/>
            <w:szCs w:val="28"/>
            <w:rtl/>
          </w:rPr>
          <w:t>לסעיף</w:t>
        </w:r>
        <w:r w:rsidR="00894E25" w:rsidRPr="00894E25">
          <w:rPr>
            <w:rStyle w:val="Hyperlink"/>
            <w:rFonts w:ascii="Garamond" w:hAnsi="Garamond" w:cs="FrankRuehl"/>
            <w:spacing w:val="10"/>
            <w:szCs w:val="28"/>
            <w:rtl/>
          </w:rPr>
          <w:t xml:space="preserve"> 53</w:t>
        </w:r>
        <w:r w:rsidR="00894E25" w:rsidRPr="00894E25">
          <w:rPr>
            <w:rStyle w:val="Hyperlink"/>
            <w:rFonts w:ascii="Garamond" w:hAnsi="Garamond" w:cs="FrankRuehl" w:hint="eastAsia"/>
            <w:spacing w:val="10"/>
            <w:szCs w:val="28"/>
            <w:rtl/>
          </w:rPr>
          <w:t>ב</w:t>
        </w:r>
        <w:r w:rsidR="00894E25" w:rsidRPr="00894E25">
          <w:rPr>
            <w:rStyle w:val="Hyperlink"/>
            <w:rFonts w:ascii="Garamond" w:hAnsi="Garamond" w:cs="FrankRuehl"/>
            <w:spacing w:val="10"/>
            <w:szCs w:val="28"/>
            <w:rtl/>
          </w:rPr>
          <w:t>(</w:t>
        </w:r>
        <w:r w:rsidR="00894E25" w:rsidRPr="00894E25">
          <w:rPr>
            <w:rStyle w:val="Hyperlink"/>
            <w:rFonts w:ascii="Garamond" w:hAnsi="Garamond" w:cs="FrankRuehl" w:hint="eastAsia"/>
            <w:spacing w:val="10"/>
            <w:szCs w:val="28"/>
            <w:rtl/>
          </w:rPr>
          <w:t>ה</w:t>
        </w:r>
        <w:r w:rsidR="00894E25" w:rsidRPr="00894E25">
          <w:rPr>
            <w:rStyle w:val="Hyperlink"/>
            <w:rFonts w:ascii="Garamond" w:hAnsi="Garamond" w:cs="FrankRuehl"/>
            <w:spacing w:val="10"/>
            <w:szCs w:val="28"/>
            <w:rtl/>
          </w:rPr>
          <w:t>)(1)</w:t>
        </w:r>
      </w:hyperlink>
      <w:r w:rsidRPr="00284859">
        <w:rPr>
          <w:rFonts w:ascii="Garamond" w:hAnsi="Garamond" w:cs="FrankRuehl"/>
          <w:spacing w:val="10"/>
          <w:szCs w:val="28"/>
          <w:rtl/>
        </w:rPr>
        <w:t xml:space="preserve"> לחוק, ממנו עולה כי הזכאות להטבה בעד "בניין להשכרה" תינתן מראש עם אישור הבניין כנכס מאושר להשכרה; ורק אם מקבל האישור לא יעמוד בתנאי החוק – תבוטל ההטבה למפרע, ומקבל ההטבה יהיה חייב בתשלום המס שהיה חייב בו אילולא ההטבה. לטענתן, אילו הזכאות להטבה הייתה נבחנת בדיעבד, הרי שלא היה צורך בהוראת סעיף זה לחוק. בנוסף, </w:t>
      </w:r>
      <w:hyperlink r:id="rId67" w:history="1">
        <w:r w:rsidR="00894E25" w:rsidRPr="00894E25">
          <w:rPr>
            <w:rStyle w:val="Hyperlink"/>
            <w:rFonts w:ascii="Garamond" w:hAnsi="Garamond" w:cs="FrankRuehl" w:hint="eastAsia"/>
            <w:spacing w:val="10"/>
            <w:szCs w:val="28"/>
            <w:rtl/>
          </w:rPr>
          <w:t>סעיף</w:t>
        </w:r>
        <w:r w:rsidR="00894E25" w:rsidRPr="00894E25">
          <w:rPr>
            <w:rStyle w:val="Hyperlink"/>
            <w:rFonts w:ascii="Garamond" w:hAnsi="Garamond" w:cs="FrankRuehl"/>
            <w:spacing w:val="10"/>
            <w:szCs w:val="28"/>
            <w:rtl/>
          </w:rPr>
          <w:t xml:space="preserve"> 53</w:t>
        </w:r>
        <w:r w:rsidR="00894E25" w:rsidRPr="00894E25">
          <w:rPr>
            <w:rStyle w:val="Hyperlink"/>
            <w:rFonts w:ascii="Garamond" w:hAnsi="Garamond" w:cs="FrankRuehl" w:hint="eastAsia"/>
            <w:spacing w:val="10"/>
            <w:szCs w:val="28"/>
            <w:rtl/>
          </w:rPr>
          <w:t>ד</w:t>
        </w:r>
        <w:r w:rsidR="00894E25" w:rsidRPr="00894E25">
          <w:rPr>
            <w:rStyle w:val="Hyperlink"/>
            <w:rFonts w:ascii="Garamond" w:hAnsi="Garamond" w:cs="FrankRuehl"/>
            <w:spacing w:val="10"/>
            <w:szCs w:val="28"/>
            <w:rtl/>
          </w:rPr>
          <w:t>(</w:t>
        </w:r>
        <w:r w:rsidR="00894E25" w:rsidRPr="00894E25">
          <w:rPr>
            <w:rStyle w:val="Hyperlink"/>
            <w:rFonts w:ascii="Garamond" w:hAnsi="Garamond" w:cs="FrankRuehl" w:hint="eastAsia"/>
            <w:spacing w:val="10"/>
            <w:szCs w:val="28"/>
            <w:rtl/>
          </w:rPr>
          <w:t>א</w:t>
        </w:r>
        <w:r w:rsidR="00894E25" w:rsidRPr="00894E25">
          <w:rPr>
            <w:rStyle w:val="Hyperlink"/>
            <w:rFonts w:ascii="Garamond" w:hAnsi="Garamond" w:cs="FrankRuehl"/>
            <w:spacing w:val="10"/>
            <w:szCs w:val="28"/>
            <w:rtl/>
          </w:rPr>
          <w:t>)</w:t>
        </w:r>
      </w:hyperlink>
      <w:r w:rsidRPr="00284859">
        <w:rPr>
          <w:rFonts w:ascii="Garamond" w:hAnsi="Garamond" w:cs="FrankRuehl"/>
          <w:spacing w:val="10"/>
          <w:szCs w:val="28"/>
          <w:rtl/>
        </w:rPr>
        <w:t xml:space="preserve"> לחוק קובע כי "</w:t>
      </w:r>
      <w:r w:rsidRPr="00284859">
        <w:rPr>
          <w:rFonts w:ascii="Century" w:hAnsi="Century" w:cs="Miriam"/>
          <w:b/>
          <w:sz w:val="22"/>
          <w:rtl/>
        </w:rPr>
        <w:t xml:space="preserve">קרקע שהמינהלה אישרה הקמת בנין להשכרה עליה, יחול לגביה פטור ממס רכוש החל בשנת המס שקדמה לשנה שבה נוצקה התקרה הראשונה בבנין...". </w:t>
      </w:r>
      <w:r w:rsidRPr="00284859">
        <w:rPr>
          <w:rFonts w:ascii="Garamond" w:hAnsi="Garamond" w:cs="FrankRuehl"/>
          <w:spacing w:val="10"/>
          <w:szCs w:val="28"/>
          <w:rtl/>
        </w:rPr>
        <w:t xml:space="preserve">לטענתן, ניתן להקיש ממועד מתן ההטבה בעניין מס הרכוש – שהוא עובר להשלמת הבנייה ולהתגבשות בפועל של התנאים למתן ההטבה בחוק – להטבה בענייננו, הקבועה בסעיף העוקב בחוק. </w:t>
      </w:r>
    </w:p>
    <w:p w14:paraId="5BB52B0A" w14:textId="77777777" w:rsidR="00284859" w:rsidRPr="00284859" w:rsidRDefault="00284859"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tl/>
        </w:rPr>
      </w:pPr>
    </w:p>
    <w:p w14:paraId="50410549" w14:textId="77777777" w:rsidR="00284859" w:rsidRDefault="00000000"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tl/>
        </w:rPr>
      </w:pPr>
      <w:r w:rsidRPr="00284859">
        <w:rPr>
          <w:rFonts w:ascii="Garamond" w:hAnsi="Garamond" w:cs="FrankRuehl"/>
          <w:spacing w:val="10"/>
          <w:szCs w:val="28"/>
          <w:rtl/>
        </w:rPr>
        <w:tab/>
        <w:t>חברות שפיר אף מפנות לאתר האינטרנט של משרד הכלכלה והתעשייה, שם מצוין כי לאחר קבלת כתב האישור יש להעביר לידי הרשות להשקעות דיווח עיתי בשנים שלאחר תחילת ההשכרה ובסיומה, ובו פירוט העמידה בהתחייבויות הקבועות בכתב האישור, והתחייבות להשבת הטבות המס בגין כל הפרה של כתב האישור.</w:t>
      </w:r>
    </w:p>
    <w:p w14:paraId="69749583" w14:textId="77777777" w:rsidR="00561BB9" w:rsidRPr="00284859" w:rsidRDefault="00561BB9"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tl/>
        </w:rPr>
      </w:pPr>
    </w:p>
    <w:p w14:paraId="3898B42F"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554530A3" w14:textId="77777777" w:rsidR="00284859" w:rsidRPr="00284859" w:rsidRDefault="00000000" w:rsidP="00284859">
      <w:pPr>
        <w:tabs>
          <w:tab w:val="left" w:pos="800"/>
        </w:tabs>
        <w:overflowPunct w:val="0"/>
        <w:autoSpaceDE w:val="0"/>
        <w:autoSpaceDN w:val="0"/>
        <w:adjustRightInd w:val="0"/>
        <w:spacing w:line="360" w:lineRule="auto"/>
        <w:jc w:val="both"/>
        <w:rPr>
          <w:rFonts w:ascii="Miriam" w:hAnsi="Miriam" w:cs="Miriam"/>
          <w:spacing w:val="10"/>
          <w:rtl/>
        </w:rPr>
      </w:pPr>
      <w:r w:rsidRPr="00284859">
        <w:rPr>
          <w:rFonts w:ascii="Miriam" w:hAnsi="Miriam" w:cs="Miriam"/>
          <w:spacing w:val="10"/>
          <w:rtl/>
        </w:rPr>
        <w:t>דיון והכרעה בערעור הוועדה</w:t>
      </w:r>
    </w:p>
    <w:p w14:paraId="5A67B494"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57878A06" w14:textId="77777777" w:rsidR="00284859" w:rsidRPr="00284859" w:rsidRDefault="003F4D61"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tl/>
        </w:rPr>
      </w:pPr>
      <w:r>
        <w:rPr>
          <w:rFonts w:ascii="Garamond" w:hAnsi="Garamond" w:cs="FrankRuehl" w:hint="cs"/>
          <w:spacing w:val="10"/>
          <w:szCs w:val="28"/>
          <w:rtl/>
        </w:rPr>
        <w:t>30.</w:t>
      </w:r>
      <w:r>
        <w:rPr>
          <w:rFonts w:ascii="Garamond" w:hAnsi="Garamond" w:cs="FrankRuehl" w:hint="cs"/>
          <w:spacing w:val="10"/>
          <w:szCs w:val="28"/>
          <w:rtl/>
        </w:rPr>
        <w:tab/>
      </w:r>
      <w:r w:rsidR="00000000" w:rsidRPr="00284859">
        <w:rPr>
          <w:rFonts w:ascii="Garamond" w:hAnsi="Garamond" w:cs="FrankRuehl"/>
          <w:spacing w:val="10"/>
          <w:szCs w:val="28"/>
          <w:rtl/>
        </w:rPr>
        <w:t xml:space="preserve">אני סבורה כי דין ערעור הוועדה להידחות. כך, אני סבורה כי כל אחד מהבניינים אושר כ"בניין להשכרה" בהתאם לחוק לעידוד השקעות; וכי באשר למועד מתן ההטבה – יש לקבל את עמדת חברות שפיר כך שההטבה תשולם להן כבר עתה, בכפוף לחיוב להשיב אותה אם הן לא יעמדו בתנאי החוק. עניינים אלה יפורטו להלן.  </w:t>
      </w:r>
    </w:p>
    <w:p w14:paraId="05C6F67A" w14:textId="77777777" w:rsidR="00284859" w:rsidRPr="00284859" w:rsidRDefault="00284859" w:rsidP="00284859">
      <w:pPr>
        <w:tabs>
          <w:tab w:val="left" w:pos="800"/>
        </w:tabs>
        <w:overflowPunct w:val="0"/>
        <w:autoSpaceDE w:val="0"/>
        <w:autoSpaceDN w:val="0"/>
        <w:adjustRightInd w:val="0"/>
        <w:spacing w:line="360" w:lineRule="auto"/>
        <w:jc w:val="both"/>
        <w:rPr>
          <w:rFonts w:ascii="Century" w:hAnsi="Century" w:cs="Miriam"/>
          <w:b/>
          <w:sz w:val="22"/>
          <w:rtl/>
        </w:rPr>
      </w:pPr>
    </w:p>
    <w:p w14:paraId="3CEA682F" w14:textId="77777777" w:rsidR="00284859" w:rsidRPr="00284859" w:rsidRDefault="00000000"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r w:rsidRPr="00284859">
        <w:rPr>
          <w:rFonts w:ascii="Century" w:hAnsi="Century" w:cs="Miriam"/>
          <w:b/>
          <w:sz w:val="22"/>
          <w:rtl/>
        </w:rPr>
        <w:t>הבניינים אושרו כבניינים להשכרה</w:t>
      </w:r>
    </w:p>
    <w:p w14:paraId="07AB9FF4"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5E24150D" w14:textId="77777777" w:rsidR="00284859" w:rsidRPr="00284859" w:rsidRDefault="003F4D61"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Pr>
      </w:pPr>
      <w:r>
        <w:rPr>
          <w:rFonts w:ascii="Garamond" w:hAnsi="Garamond" w:cs="FrankRuehl" w:hint="cs"/>
          <w:spacing w:val="10"/>
          <w:szCs w:val="28"/>
          <w:rtl/>
        </w:rPr>
        <w:t>31.</w:t>
      </w:r>
      <w:r>
        <w:rPr>
          <w:rFonts w:ascii="Garamond" w:hAnsi="Garamond" w:cs="FrankRuehl" w:hint="cs"/>
          <w:spacing w:val="10"/>
          <w:szCs w:val="28"/>
          <w:rtl/>
        </w:rPr>
        <w:tab/>
      </w:r>
      <w:r w:rsidR="00000000" w:rsidRPr="00284859">
        <w:rPr>
          <w:rFonts w:ascii="Garamond" w:hAnsi="Garamond" w:cs="FrankRuehl"/>
          <w:spacing w:val="10"/>
          <w:szCs w:val="28"/>
          <w:rtl/>
        </w:rPr>
        <w:t xml:space="preserve">ראשית, וכפי שטענו חברות שפיר, כל אחד מהבניינים אושר כנדרש כ"בניין חדש להשכרה". כך, החוק לעידוד השקעות קובע כי בקשה לאישור תכנית להקמתו של "בניין להשכרה" המוגשת לאישור המינהלת, צריכה להכיל תיאור מפורט של </w:t>
      </w:r>
      <w:r w:rsidR="00000000" w:rsidRPr="00284859">
        <w:rPr>
          <w:rFonts w:ascii="Century" w:hAnsi="Century" w:cs="Miriam"/>
          <w:b/>
          <w:sz w:val="22"/>
          <w:rtl/>
        </w:rPr>
        <w:t>הפעולה</w:t>
      </w:r>
      <w:r w:rsidR="00000000" w:rsidRPr="00284859">
        <w:rPr>
          <w:rFonts w:ascii="Garamond" w:hAnsi="Garamond" w:cs="FrankRuehl"/>
          <w:spacing w:val="10"/>
          <w:szCs w:val="28"/>
          <w:rtl/>
        </w:rPr>
        <w:t xml:space="preserve"> </w:t>
      </w:r>
      <w:r w:rsidR="00000000" w:rsidRPr="00284859">
        <w:rPr>
          <w:rFonts w:ascii="Century" w:hAnsi="Century" w:cs="Miriam"/>
          <w:b/>
          <w:sz w:val="22"/>
          <w:rtl/>
        </w:rPr>
        <w:t>שיש בדעתו של מגיש התכנית לבצע</w:t>
      </w:r>
      <w:r w:rsidR="00000000" w:rsidRPr="00284859">
        <w:rPr>
          <w:rFonts w:ascii="Garamond" w:hAnsi="Garamond" w:cs="FrankRuehl"/>
          <w:spacing w:val="10"/>
          <w:szCs w:val="28"/>
          <w:rtl/>
        </w:rPr>
        <w:t xml:space="preserve"> (</w:t>
      </w:r>
      <w:hyperlink r:id="rId68" w:history="1">
        <w:r w:rsidR="00894E25" w:rsidRPr="00894E25">
          <w:rPr>
            <w:rStyle w:val="Hyperlink"/>
            <w:rFonts w:ascii="Garamond" w:hAnsi="Garamond" w:cs="FrankRuehl" w:hint="eastAsia"/>
            <w:spacing w:val="10"/>
            <w:szCs w:val="28"/>
            <w:rtl/>
          </w:rPr>
          <w:t>סעיף</w:t>
        </w:r>
        <w:r w:rsidR="00894E25" w:rsidRPr="00894E25">
          <w:rPr>
            <w:rStyle w:val="Hyperlink"/>
            <w:rFonts w:ascii="Garamond" w:hAnsi="Garamond" w:cs="FrankRuehl"/>
            <w:spacing w:val="10"/>
            <w:szCs w:val="28"/>
            <w:rtl/>
          </w:rPr>
          <w:t xml:space="preserve"> 17</w:t>
        </w:r>
      </w:hyperlink>
      <w:r w:rsidR="00000000" w:rsidRPr="00284859">
        <w:rPr>
          <w:rFonts w:ascii="Garamond" w:hAnsi="Garamond" w:cs="FrankRuehl"/>
          <w:spacing w:val="10"/>
          <w:szCs w:val="28"/>
          <w:rtl/>
        </w:rPr>
        <w:t xml:space="preserve"> לחוק). מכאן שהתכנית המובאת לאישור היא תכנית המשרטטת את קווי המתאר המתוכננים לביצוע, וזאת עוד בטרם הוצאתה של התוכנית אל הפועל. גם אישור התכנית נעשה עובר לביצועה, כפי שעולה מלשונו </w:t>
      </w:r>
      <w:r w:rsidR="00000000" w:rsidRPr="00284859">
        <w:rPr>
          <w:rFonts w:ascii="Garamond" w:hAnsi="Garamond" w:cs="FrankRuehl"/>
          <w:spacing w:val="10"/>
          <w:szCs w:val="28"/>
          <w:rtl/>
        </w:rPr>
        <w:lastRenderedPageBreak/>
        <w:t xml:space="preserve">של  </w:t>
      </w:r>
      <w:hyperlink r:id="rId69" w:history="1">
        <w:r w:rsidR="00894E25" w:rsidRPr="00894E25">
          <w:rPr>
            <w:rStyle w:val="Hyperlink"/>
            <w:rFonts w:ascii="Garamond" w:hAnsi="Garamond" w:cs="FrankRuehl" w:hint="eastAsia"/>
            <w:spacing w:val="10"/>
            <w:szCs w:val="28"/>
            <w:rtl/>
          </w:rPr>
          <w:t>סעיף</w:t>
        </w:r>
        <w:r w:rsidR="00894E25" w:rsidRPr="00894E25">
          <w:rPr>
            <w:rStyle w:val="Hyperlink"/>
            <w:rFonts w:ascii="Garamond" w:hAnsi="Garamond" w:cs="FrankRuehl"/>
            <w:spacing w:val="10"/>
            <w:szCs w:val="28"/>
            <w:rtl/>
          </w:rPr>
          <w:t xml:space="preserve"> 18(</w:t>
        </w:r>
        <w:r w:rsidR="00894E25" w:rsidRPr="00894E25">
          <w:rPr>
            <w:rStyle w:val="Hyperlink"/>
            <w:rFonts w:ascii="Garamond" w:hAnsi="Garamond" w:cs="FrankRuehl" w:hint="eastAsia"/>
            <w:spacing w:val="10"/>
            <w:szCs w:val="28"/>
            <w:rtl/>
          </w:rPr>
          <w:t>א</w:t>
        </w:r>
        <w:r w:rsidR="00894E25" w:rsidRPr="00894E25">
          <w:rPr>
            <w:rStyle w:val="Hyperlink"/>
            <w:rFonts w:ascii="Garamond" w:hAnsi="Garamond" w:cs="FrankRuehl"/>
            <w:spacing w:val="10"/>
            <w:szCs w:val="28"/>
            <w:rtl/>
          </w:rPr>
          <w:t>)(1)</w:t>
        </w:r>
      </w:hyperlink>
      <w:r w:rsidR="00000000" w:rsidRPr="00284859">
        <w:rPr>
          <w:rFonts w:ascii="Garamond" w:hAnsi="Garamond" w:cs="FrankRuehl"/>
          <w:spacing w:val="10"/>
          <w:szCs w:val="28"/>
          <w:rtl/>
        </w:rPr>
        <w:t xml:space="preserve"> לחוק, הקובע כי האישור יינתן אם המינהלת ראתה "</w:t>
      </w:r>
      <w:r w:rsidR="00000000" w:rsidRPr="00284859">
        <w:rPr>
          <w:rFonts w:ascii="Century" w:hAnsi="Century" w:cs="Miriam"/>
          <w:b/>
          <w:sz w:val="22"/>
          <w:rtl/>
        </w:rPr>
        <w:t>שביצועה עשוי לסייע להגשמתה של מטרת חוק זה, ושרצוי לעודד הגשמתה על ידי מתן אישור</w:t>
      </w:r>
      <w:r w:rsidR="00000000" w:rsidRPr="00284859">
        <w:rPr>
          <w:rFonts w:ascii="Garamond" w:hAnsi="Garamond" w:cs="FrankRuehl"/>
          <w:spacing w:val="10"/>
          <w:szCs w:val="28"/>
          <w:rtl/>
        </w:rPr>
        <w:t xml:space="preserve">". דהיינו, אין מדובר בתכנית מושלמת, אלא בתכנית שיש לעודד את ביצועה על ידי מתן האישור. </w:t>
      </w:r>
    </w:p>
    <w:p w14:paraId="29488384" w14:textId="77777777" w:rsidR="00284859" w:rsidRPr="00284859" w:rsidRDefault="00284859"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Pr>
      </w:pPr>
    </w:p>
    <w:p w14:paraId="5DEA3917" w14:textId="77777777" w:rsidR="00284859" w:rsidRPr="00284859" w:rsidRDefault="00000000"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tl/>
        </w:rPr>
      </w:pPr>
      <w:r w:rsidRPr="00284859">
        <w:rPr>
          <w:rFonts w:ascii="Garamond" w:hAnsi="Garamond" w:cs="FrankRuehl"/>
          <w:spacing w:val="10"/>
          <w:szCs w:val="28"/>
          <w:rtl/>
        </w:rPr>
        <w:tab/>
        <w:t xml:space="preserve">העולה מהאמור לעיל הוא כי התכנית מאושרת על ידי המינהלת עובר להוצאתה לפועל, ומכאן כי היא מאושרת גם בטרם התברר אם היזם עמד בתנאים הקבועים </w:t>
      </w:r>
      <w:hyperlink r:id="rId70" w:history="1">
        <w:r w:rsidR="00894E25" w:rsidRPr="00894E25">
          <w:rPr>
            <w:rStyle w:val="Hyperlink"/>
            <w:rFonts w:ascii="Garamond" w:hAnsi="Garamond" w:cs="FrankRuehl" w:hint="eastAsia"/>
            <w:spacing w:val="10"/>
            <w:szCs w:val="28"/>
            <w:rtl/>
          </w:rPr>
          <w:t>בסעיף</w:t>
        </w:r>
        <w:r w:rsidR="00894E25" w:rsidRPr="00894E25">
          <w:rPr>
            <w:rStyle w:val="Hyperlink"/>
            <w:rFonts w:ascii="Garamond" w:hAnsi="Garamond" w:cs="FrankRuehl"/>
            <w:spacing w:val="10"/>
            <w:szCs w:val="28"/>
            <w:rtl/>
          </w:rPr>
          <w:t xml:space="preserve"> 53</w:t>
        </w:r>
        <w:r w:rsidR="00894E25" w:rsidRPr="00894E25">
          <w:rPr>
            <w:rStyle w:val="Hyperlink"/>
            <w:rFonts w:ascii="Garamond" w:hAnsi="Garamond" w:cs="FrankRuehl" w:hint="eastAsia"/>
            <w:spacing w:val="10"/>
            <w:szCs w:val="28"/>
            <w:rtl/>
          </w:rPr>
          <w:t>ב</w:t>
        </w:r>
      </w:hyperlink>
      <w:r w:rsidRPr="00284859">
        <w:rPr>
          <w:rFonts w:ascii="Garamond" w:hAnsi="Garamond" w:cs="FrankRuehl"/>
          <w:spacing w:val="10"/>
          <w:szCs w:val="28"/>
          <w:rtl/>
        </w:rPr>
        <w:t xml:space="preserve"> לקבלת ההטבה. משעה שהמינהלת החליטה לתת אישור לביצועה של תכנית, התוכנית היא "תכנית מאושרת", ובהתאמה – הנכס נושא התכנית הוא "נכס מאושר" (ראו </w:t>
      </w:r>
      <w:hyperlink r:id="rId71" w:history="1">
        <w:r w:rsidR="00894E25" w:rsidRPr="00894E25">
          <w:rPr>
            <w:rStyle w:val="Hyperlink"/>
            <w:rFonts w:ascii="Garamond" w:hAnsi="Garamond" w:cs="FrankRuehl" w:hint="eastAsia"/>
            <w:spacing w:val="10"/>
            <w:szCs w:val="28"/>
            <w:rtl/>
          </w:rPr>
          <w:t>סעיפים</w:t>
        </w:r>
        <w:r w:rsidR="00894E25" w:rsidRPr="00894E25">
          <w:rPr>
            <w:rStyle w:val="Hyperlink"/>
            <w:rFonts w:ascii="Garamond" w:hAnsi="Garamond" w:cs="FrankRuehl"/>
            <w:spacing w:val="10"/>
            <w:szCs w:val="28"/>
            <w:rtl/>
          </w:rPr>
          <w:t xml:space="preserve"> 18(</w:t>
        </w:r>
        <w:r w:rsidR="00894E25" w:rsidRPr="00894E25">
          <w:rPr>
            <w:rStyle w:val="Hyperlink"/>
            <w:rFonts w:ascii="Garamond" w:hAnsi="Garamond" w:cs="FrankRuehl" w:hint="eastAsia"/>
            <w:spacing w:val="10"/>
            <w:szCs w:val="28"/>
            <w:rtl/>
          </w:rPr>
          <w:t>א</w:t>
        </w:r>
        <w:r w:rsidR="00894E25" w:rsidRPr="00894E25">
          <w:rPr>
            <w:rStyle w:val="Hyperlink"/>
            <w:rFonts w:ascii="Garamond" w:hAnsi="Garamond" w:cs="FrankRuehl"/>
            <w:spacing w:val="10"/>
            <w:szCs w:val="28"/>
            <w:rtl/>
          </w:rPr>
          <w:t>)(3)</w:t>
        </w:r>
      </w:hyperlink>
      <w:r w:rsidRPr="00284859">
        <w:rPr>
          <w:rFonts w:ascii="Garamond" w:hAnsi="Garamond" w:cs="FrankRuehl"/>
          <w:spacing w:val="10"/>
          <w:szCs w:val="28"/>
          <w:rtl/>
        </w:rPr>
        <w:t xml:space="preserve"> ו-</w:t>
      </w:r>
      <w:hyperlink r:id="rId72" w:history="1">
        <w:r w:rsidR="00894E25" w:rsidRPr="00894E25">
          <w:rPr>
            <w:rStyle w:val="Hyperlink"/>
            <w:rFonts w:ascii="Garamond" w:hAnsi="Garamond" w:cs="FrankRuehl"/>
            <w:spacing w:val="10"/>
            <w:szCs w:val="28"/>
            <w:rtl/>
          </w:rPr>
          <w:t>21</w:t>
        </w:r>
      </w:hyperlink>
      <w:r w:rsidRPr="00284859">
        <w:rPr>
          <w:rFonts w:ascii="Garamond" w:hAnsi="Garamond" w:cs="FrankRuehl"/>
          <w:spacing w:val="10"/>
          <w:szCs w:val="28"/>
          <w:rtl/>
        </w:rPr>
        <w:t xml:space="preserve"> לחוק; ראו והשוו לניתוח ב</w:t>
      </w:r>
      <w:hyperlink r:id="rId73" w:history="1">
        <w:r w:rsidR="007A6BE9" w:rsidRPr="007A6BE9">
          <w:rPr>
            <w:rFonts w:ascii="Garamond" w:hAnsi="Garamond" w:cs="FrankRuehl" w:hint="eastAsia"/>
            <w:color w:val="0000FF"/>
            <w:spacing w:val="10"/>
            <w:szCs w:val="28"/>
            <w:u w:val="single"/>
            <w:rtl/>
          </w:rPr>
          <w:t>דנ</w:t>
        </w:r>
        <w:r w:rsidR="007A6BE9" w:rsidRPr="007A6BE9">
          <w:rPr>
            <w:rFonts w:ascii="Garamond" w:hAnsi="Garamond" w:cs="FrankRuehl"/>
            <w:color w:val="0000FF"/>
            <w:spacing w:val="10"/>
            <w:szCs w:val="28"/>
            <w:u w:val="single"/>
            <w:rtl/>
          </w:rPr>
          <w:t>"</w:t>
        </w:r>
        <w:r w:rsidR="007A6BE9" w:rsidRPr="007A6BE9">
          <w:rPr>
            <w:rFonts w:ascii="Garamond" w:hAnsi="Garamond" w:cs="FrankRuehl" w:hint="eastAsia"/>
            <w:color w:val="0000FF"/>
            <w:spacing w:val="10"/>
            <w:szCs w:val="28"/>
            <w:u w:val="single"/>
            <w:rtl/>
          </w:rPr>
          <w:t>א</w:t>
        </w:r>
        <w:r w:rsidR="007A6BE9" w:rsidRPr="007A6BE9">
          <w:rPr>
            <w:rFonts w:ascii="Garamond" w:hAnsi="Garamond" w:cs="FrankRuehl"/>
            <w:color w:val="0000FF"/>
            <w:spacing w:val="10"/>
            <w:szCs w:val="28"/>
            <w:u w:val="single"/>
            <w:rtl/>
          </w:rPr>
          <w:t xml:space="preserve"> 2948/95</w:t>
        </w:r>
      </w:hyperlink>
      <w:r w:rsidRPr="00284859">
        <w:rPr>
          <w:rFonts w:ascii="Garamond" w:hAnsi="Garamond" w:cs="FrankRuehl"/>
          <w:spacing w:val="10"/>
          <w:szCs w:val="28"/>
          <w:rtl/>
        </w:rPr>
        <w:t xml:space="preserve"> </w:t>
      </w:r>
      <w:r w:rsidRPr="00284859">
        <w:rPr>
          <w:rFonts w:ascii="Century" w:hAnsi="Century" w:cs="Miriam"/>
          <w:b/>
          <w:sz w:val="22"/>
          <w:rtl/>
        </w:rPr>
        <w:t>יצלף חברה למפעלי בנייה בע"מ נ' פקיד שומה למפעלים גדולים</w:t>
      </w:r>
      <w:r w:rsidRPr="00284859">
        <w:rPr>
          <w:rFonts w:ascii="Garamond" w:hAnsi="Garamond" w:cs="FrankRuehl"/>
          <w:spacing w:val="10"/>
          <w:szCs w:val="28"/>
          <w:rtl/>
        </w:rPr>
        <w:t>, נא(4) 424, 438-437 (1997)).</w:t>
      </w:r>
    </w:p>
    <w:p w14:paraId="7D9D14E6"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0E37AAD4" w14:textId="77777777" w:rsidR="00284859" w:rsidRPr="00284859" w:rsidRDefault="00000000"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r w:rsidRPr="00284859">
        <w:rPr>
          <w:rFonts w:ascii="Arial TUR" w:hAnsi="Arial TUR" w:cs="FrankRuehl"/>
          <w:spacing w:val="10"/>
          <w:sz w:val="22"/>
          <w:szCs w:val="28"/>
          <w:rtl/>
        </w:rPr>
        <w:tab/>
        <w:t xml:space="preserve">ביטוי נוסף לאמור לעיל ניתן למצוא אף בנוהל משרד הכלכלה והתעשייה שפורסם ביום 5.11.2018 ועודכן לאחרונה ביום 13.5.2024 (נוהל הרשות להשקעות ולפיתוח התעשייה והכלכלה 2045 "נוהל לעניין אישור תכניות להקמה, הרחבה או רכישה של נכס שהוא בניין השכרה למגורים בהתאם </w:t>
      </w:r>
      <w:hyperlink r:id="rId74" w:history="1">
        <w:r w:rsidR="00894E25" w:rsidRPr="00894E25">
          <w:rPr>
            <w:rStyle w:val="Hyperlink"/>
            <w:rFonts w:ascii="Arial TUR" w:hAnsi="Arial TUR" w:cs="FrankRuehl"/>
            <w:spacing w:val="10"/>
            <w:sz w:val="22"/>
            <w:szCs w:val="28"/>
            <w:rtl/>
          </w:rPr>
          <w:t>לפרק שביעי 1</w:t>
        </w:r>
      </w:hyperlink>
      <w:r w:rsidRPr="00284859">
        <w:rPr>
          <w:rFonts w:ascii="Arial TUR" w:hAnsi="Arial TUR" w:cs="FrankRuehl"/>
          <w:spacing w:val="10"/>
          <w:sz w:val="22"/>
          <w:szCs w:val="28"/>
          <w:rtl/>
        </w:rPr>
        <w:t xml:space="preserve"> לחוק לעידוד השקעות הון" (13.5.2024). בין התנאים המצטברים לקבלת כתב אישור לבניין להשכרה לפי נוהל זה, הוא כי הבקשה לאישור תכנית לבניין להשכרה למגורים הוגשה </w:t>
      </w:r>
      <w:r w:rsidRPr="00284859">
        <w:rPr>
          <w:rFonts w:ascii="Century" w:hAnsi="Century" w:cs="Miriam"/>
          <w:b/>
          <w:sz w:val="22"/>
          <w:rtl/>
        </w:rPr>
        <w:t>טרם סיום הבנייה</w:t>
      </w:r>
      <w:r w:rsidRPr="00284859">
        <w:rPr>
          <w:rFonts w:ascii="Arial TUR" w:hAnsi="Arial TUR" w:cs="FrankRuehl"/>
          <w:spacing w:val="10"/>
          <w:sz w:val="22"/>
          <w:szCs w:val="28"/>
          <w:rtl/>
        </w:rPr>
        <w:t xml:space="preserve">, וכי במועד הגשת הבקשה </w:t>
      </w:r>
      <w:r w:rsidRPr="00284859">
        <w:rPr>
          <w:rFonts w:ascii="Century" w:hAnsi="Century" w:cs="Miriam"/>
          <w:b/>
          <w:sz w:val="22"/>
          <w:rtl/>
        </w:rPr>
        <w:t>לא הושכרו או נמכרו</w:t>
      </w:r>
      <w:r w:rsidRPr="00284859">
        <w:rPr>
          <w:rFonts w:ascii="Arial TUR" w:hAnsi="Arial TUR" w:cs="FrankRuehl"/>
          <w:spacing w:val="10"/>
          <w:sz w:val="22"/>
          <w:szCs w:val="28"/>
          <w:rtl/>
        </w:rPr>
        <w:t xml:space="preserve"> הדירות נושא הבקשה.</w:t>
      </w:r>
    </w:p>
    <w:p w14:paraId="08A13074" w14:textId="77777777" w:rsidR="00284859" w:rsidRPr="00284859" w:rsidRDefault="00284859" w:rsidP="00284859">
      <w:pPr>
        <w:tabs>
          <w:tab w:val="left" w:pos="800"/>
          <w:tab w:val="num" w:pos="1474"/>
        </w:tabs>
        <w:overflowPunct w:val="0"/>
        <w:autoSpaceDE w:val="0"/>
        <w:autoSpaceDN w:val="0"/>
        <w:adjustRightInd w:val="0"/>
        <w:spacing w:line="360" w:lineRule="auto"/>
        <w:jc w:val="both"/>
        <w:rPr>
          <w:rFonts w:ascii="Arial TUR" w:hAnsi="Arial TUR" w:cs="FrankRuehl"/>
          <w:spacing w:val="10"/>
          <w:sz w:val="22"/>
          <w:szCs w:val="28"/>
          <w:rtl/>
        </w:rPr>
      </w:pPr>
    </w:p>
    <w:p w14:paraId="2ACC96C7" w14:textId="77777777" w:rsidR="00284859" w:rsidRPr="00284859" w:rsidRDefault="00000000"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tl/>
        </w:rPr>
      </w:pPr>
      <w:r w:rsidRPr="00284859">
        <w:rPr>
          <w:rFonts w:ascii="Arial TUR" w:hAnsi="Arial TUR" w:cs="FrankRuehl"/>
          <w:spacing w:val="10"/>
          <w:sz w:val="22"/>
          <w:szCs w:val="28"/>
          <w:rtl/>
        </w:rPr>
        <w:tab/>
      </w:r>
      <w:r w:rsidRPr="00284859">
        <w:rPr>
          <w:rFonts w:ascii="Garamond" w:hAnsi="Garamond" w:cs="FrankRuehl"/>
          <w:spacing w:val="10"/>
          <w:szCs w:val="28"/>
          <w:rtl/>
        </w:rPr>
        <w:t xml:space="preserve">לכן, הואיל והוגשה לגבי הבניינים נושא הערעורים בקשה לאישור תכנית; התכנית אושרה לאחר היום הקובע (כך שהבניינים הוכרו כנכס מאושר); ומחצית משטח הבניין </w:t>
      </w:r>
      <w:r w:rsidRPr="00284859">
        <w:rPr>
          <w:rFonts w:ascii="Century" w:hAnsi="Century" w:cs="Miriam"/>
          <w:b/>
          <w:rtl/>
        </w:rPr>
        <w:t>מיועדת</w:t>
      </w:r>
      <w:r w:rsidRPr="00284859">
        <w:rPr>
          <w:rFonts w:ascii="Garamond" w:hAnsi="Garamond" w:cs="FrankRuehl"/>
          <w:spacing w:val="10"/>
          <w:szCs w:val="28"/>
          <w:rtl/>
        </w:rPr>
        <w:t xml:space="preserve"> להשכרה למגורים – יש לראות בבניינים נושא הערעור כנכסים שאושרו באופן סופי כ"בניין חדש להשכרה" לפי </w:t>
      </w:r>
      <w:hyperlink r:id="rId75" w:history="1">
        <w:r w:rsidR="00894E25" w:rsidRPr="00894E25">
          <w:rPr>
            <w:rStyle w:val="Hyperlink"/>
            <w:rFonts w:ascii="Garamond" w:hAnsi="Garamond" w:cs="FrankRuehl" w:hint="eastAsia"/>
            <w:spacing w:val="10"/>
            <w:szCs w:val="28"/>
            <w:rtl/>
          </w:rPr>
          <w:t>סעיף</w:t>
        </w:r>
        <w:r w:rsidR="00894E25" w:rsidRPr="00894E25">
          <w:rPr>
            <w:rStyle w:val="Hyperlink"/>
            <w:rFonts w:ascii="Garamond" w:hAnsi="Garamond" w:cs="FrankRuehl"/>
            <w:spacing w:val="10"/>
            <w:szCs w:val="28"/>
            <w:rtl/>
          </w:rPr>
          <w:t xml:space="preserve"> 53</w:t>
        </w:r>
        <w:r w:rsidR="00894E25" w:rsidRPr="00894E25">
          <w:rPr>
            <w:rStyle w:val="Hyperlink"/>
            <w:rFonts w:ascii="Garamond" w:hAnsi="Garamond" w:cs="FrankRuehl" w:hint="eastAsia"/>
            <w:spacing w:val="10"/>
            <w:szCs w:val="28"/>
            <w:rtl/>
          </w:rPr>
          <w:t>א</w:t>
        </w:r>
        <w:r w:rsidR="00894E25" w:rsidRPr="00894E25">
          <w:rPr>
            <w:rStyle w:val="Hyperlink"/>
            <w:rFonts w:ascii="Garamond" w:hAnsi="Garamond" w:cs="FrankRuehl"/>
            <w:spacing w:val="10"/>
            <w:szCs w:val="28"/>
            <w:rtl/>
          </w:rPr>
          <w:t>(</w:t>
        </w:r>
        <w:r w:rsidR="00894E25" w:rsidRPr="00894E25">
          <w:rPr>
            <w:rStyle w:val="Hyperlink"/>
            <w:rFonts w:ascii="Garamond" w:hAnsi="Garamond" w:cs="FrankRuehl" w:hint="eastAsia"/>
            <w:spacing w:val="10"/>
            <w:szCs w:val="28"/>
            <w:rtl/>
          </w:rPr>
          <w:t>א</w:t>
        </w:r>
        <w:r w:rsidR="00894E25" w:rsidRPr="00894E25">
          <w:rPr>
            <w:rStyle w:val="Hyperlink"/>
            <w:rFonts w:ascii="Garamond" w:hAnsi="Garamond" w:cs="FrankRuehl"/>
            <w:spacing w:val="10"/>
            <w:szCs w:val="28"/>
            <w:rtl/>
          </w:rPr>
          <w:t>)(3</w:t>
        </w:r>
        <w:r w:rsidR="00894E25" w:rsidRPr="00894E25">
          <w:rPr>
            <w:rStyle w:val="Hyperlink"/>
            <w:rFonts w:ascii="Garamond" w:hAnsi="Garamond" w:cs="FrankRuehl" w:hint="eastAsia"/>
            <w:spacing w:val="10"/>
            <w:szCs w:val="28"/>
            <w:rtl/>
          </w:rPr>
          <w:t>א</w:t>
        </w:r>
        <w:r w:rsidR="00894E25" w:rsidRPr="00894E25">
          <w:rPr>
            <w:rStyle w:val="Hyperlink"/>
            <w:rFonts w:ascii="Garamond" w:hAnsi="Garamond" w:cs="FrankRuehl"/>
            <w:spacing w:val="10"/>
            <w:szCs w:val="28"/>
            <w:rtl/>
          </w:rPr>
          <w:t>)</w:t>
        </w:r>
      </w:hyperlink>
      <w:r w:rsidRPr="00284859">
        <w:rPr>
          <w:rFonts w:ascii="Garamond" w:hAnsi="Garamond" w:cs="FrankRuehl"/>
          <w:spacing w:val="10"/>
          <w:szCs w:val="28"/>
          <w:rtl/>
        </w:rPr>
        <w:t xml:space="preserve"> לחוק.</w:t>
      </w:r>
    </w:p>
    <w:p w14:paraId="05C11275"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5AEDD4E4" w14:textId="77777777" w:rsidR="00284859" w:rsidRPr="00284859" w:rsidRDefault="00000000" w:rsidP="00284859">
      <w:pPr>
        <w:tabs>
          <w:tab w:val="left" w:pos="800"/>
        </w:tabs>
        <w:overflowPunct w:val="0"/>
        <w:autoSpaceDE w:val="0"/>
        <w:autoSpaceDN w:val="0"/>
        <w:adjustRightInd w:val="0"/>
        <w:spacing w:line="360" w:lineRule="auto"/>
        <w:jc w:val="both"/>
        <w:rPr>
          <w:rFonts w:ascii="Century" w:hAnsi="Century" w:cs="Miriam"/>
          <w:b/>
          <w:sz w:val="22"/>
          <w:rtl/>
        </w:rPr>
      </w:pPr>
      <w:r w:rsidRPr="00284859">
        <w:rPr>
          <w:rFonts w:ascii="Century" w:hAnsi="Century" w:cs="Miriam"/>
          <w:b/>
          <w:sz w:val="22"/>
          <w:rtl/>
        </w:rPr>
        <w:t>מועד מתן ההטבה</w:t>
      </w:r>
    </w:p>
    <w:p w14:paraId="710D061E" w14:textId="77777777" w:rsidR="00284859" w:rsidRPr="00284859" w:rsidRDefault="00284859" w:rsidP="00284859">
      <w:pPr>
        <w:tabs>
          <w:tab w:val="left" w:pos="800"/>
        </w:tabs>
        <w:overflowPunct w:val="0"/>
        <w:autoSpaceDE w:val="0"/>
        <w:autoSpaceDN w:val="0"/>
        <w:adjustRightInd w:val="0"/>
        <w:spacing w:line="360" w:lineRule="auto"/>
        <w:jc w:val="both"/>
        <w:rPr>
          <w:rFonts w:ascii="Century" w:hAnsi="Century" w:cs="Miriam"/>
          <w:b/>
          <w:sz w:val="22"/>
          <w:rtl/>
        </w:rPr>
      </w:pPr>
    </w:p>
    <w:p w14:paraId="1BB09E31" w14:textId="77777777" w:rsidR="00284859" w:rsidRPr="00284859" w:rsidRDefault="003F4D61"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tl/>
        </w:rPr>
      </w:pPr>
      <w:r>
        <w:rPr>
          <w:rFonts w:ascii="Garamond" w:hAnsi="Garamond" w:cs="FrankRuehl" w:hint="cs"/>
          <w:spacing w:val="10"/>
          <w:szCs w:val="28"/>
          <w:rtl/>
        </w:rPr>
        <w:t>32.</w:t>
      </w:r>
      <w:r>
        <w:rPr>
          <w:rFonts w:ascii="Garamond" w:hAnsi="Garamond" w:cs="FrankRuehl" w:hint="cs"/>
          <w:spacing w:val="10"/>
          <w:szCs w:val="28"/>
          <w:rtl/>
        </w:rPr>
        <w:tab/>
      </w:r>
      <w:r w:rsidR="00000000" w:rsidRPr="00284859">
        <w:rPr>
          <w:rFonts w:ascii="Garamond" w:hAnsi="Garamond" w:cs="FrankRuehl"/>
          <w:spacing w:val="10"/>
          <w:szCs w:val="28"/>
          <w:rtl/>
        </w:rPr>
        <w:t xml:space="preserve">אולם, אין די בכך שהבניינים נושא הערעורים שלפניי מוגדרים כ"בניין חדש להשכרה", ויש לקבוע גם את המועד לקבלת ההטבה. לצורך כך יש לפרש את הוראות החוק וזאת – כפי שהובהר לעיל, תוך הידרשות ללשון החוק ולאפשרויות הקיימות בה; ולאחר מכן תוך בחירת האפשרות המגשימה בצורה מיטבית את תכליתו של החוק. </w:t>
      </w:r>
    </w:p>
    <w:p w14:paraId="61B189DA"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7302580B" w14:textId="77777777" w:rsidR="00284859" w:rsidRPr="00284859" w:rsidRDefault="003F4D61"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tl/>
        </w:rPr>
      </w:pPr>
      <w:r>
        <w:rPr>
          <w:rFonts w:ascii="Garamond" w:hAnsi="Garamond" w:cs="FrankRuehl" w:hint="cs"/>
          <w:spacing w:val="10"/>
          <w:szCs w:val="28"/>
          <w:rtl/>
        </w:rPr>
        <w:lastRenderedPageBreak/>
        <w:t>33.</w:t>
      </w:r>
      <w:r>
        <w:rPr>
          <w:rFonts w:ascii="Garamond" w:hAnsi="Garamond" w:cs="FrankRuehl" w:hint="cs"/>
          <w:spacing w:val="10"/>
          <w:szCs w:val="28"/>
          <w:rtl/>
        </w:rPr>
        <w:tab/>
      </w:r>
      <w:r w:rsidR="00000000" w:rsidRPr="00284859">
        <w:rPr>
          <w:rFonts w:ascii="Garamond" w:hAnsi="Garamond" w:cs="FrankRuehl"/>
          <w:spacing w:val="10"/>
          <w:szCs w:val="28"/>
          <w:rtl/>
        </w:rPr>
        <w:t xml:space="preserve">יש להבחין בין </w:t>
      </w:r>
      <w:r w:rsidR="00000000" w:rsidRPr="00284859">
        <w:rPr>
          <w:rFonts w:ascii="Century" w:hAnsi="Century" w:cs="Miriam"/>
          <w:b/>
          <w:sz w:val="22"/>
          <w:rtl/>
        </w:rPr>
        <w:t>מועד</w:t>
      </w:r>
      <w:r w:rsidR="00000000" w:rsidRPr="00284859">
        <w:rPr>
          <w:rFonts w:ascii="Garamond" w:hAnsi="Garamond" w:cs="FrankRuehl"/>
          <w:spacing w:val="10"/>
          <w:szCs w:val="28"/>
          <w:rtl/>
        </w:rPr>
        <w:t xml:space="preserve"> </w:t>
      </w:r>
      <w:r w:rsidR="00000000" w:rsidRPr="00284859">
        <w:rPr>
          <w:rFonts w:ascii="Century" w:hAnsi="Century" w:cs="Miriam"/>
          <w:b/>
          <w:sz w:val="22"/>
          <w:rtl/>
        </w:rPr>
        <w:t>הזכ</w:t>
      </w:r>
      <w:r w:rsidR="00000000" w:rsidRPr="00284859">
        <w:rPr>
          <w:rFonts w:ascii="Century" w:hAnsi="Century" w:cs="Miriam"/>
          <w:b/>
          <w:rtl/>
        </w:rPr>
        <w:t>א</w:t>
      </w:r>
      <w:r w:rsidR="00000000" w:rsidRPr="00284859">
        <w:rPr>
          <w:rFonts w:ascii="Century" w:hAnsi="Century" w:cs="Miriam"/>
          <w:b/>
          <w:sz w:val="22"/>
          <w:rtl/>
        </w:rPr>
        <w:t>ות להטבה</w:t>
      </w:r>
      <w:r w:rsidR="00000000" w:rsidRPr="00284859">
        <w:rPr>
          <w:rFonts w:ascii="Garamond" w:hAnsi="Garamond" w:cs="FrankRuehl"/>
          <w:spacing w:val="10"/>
          <w:szCs w:val="28"/>
          <w:rtl/>
        </w:rPr>
        <w:t xml:space="preserve"> לבין </w:t>
      </w:r>
      <w:r w:rsidR="00000000" w:rsidRPr="00284859">
        <w:rPr>
          <w:rFonts w:ascii="Century" w:hAnsi="Century" w:cs="Miriam"/>
          <w:b/>
          <w:sz w:val="22"/>
          <w:rtl/>
        </w:rPr>
        <w:t xml:space="preserve">מועד </w:t>
      </w:r>
      <w:r w:rsidR="00000000" w:rsidRPr="00284859">
        <w:rPr>
          <w:rFonts w:ascii="Century" w:hAnsi="Century" w:cs="Miriam"/>
          <w:b/>
          <w:rtl/>
        </w:rPr>
        <w:t>מתן</w:t>
      </w:r>
      <w:r w:rsidR="00000000" w:rsidRPr="00284859">
        <w:rPr>
          <w:rFonts w:ascii="Century" w:hAnsi="Century" w:cs="Miriam"/>
          <w:b/>
          <w:sz w:val="22"/>
          <w:rtl/>
        </w:rPr>
        <w:t xml:space="preserve"> ההטבה</w:t>
      </w:r>
      <w:r w:rsidR="00000000" w:rsidRPr="00284859">
        <w:rPr>
          <w:rFonts w:ascii="Garamond" w:hAnsi="Garamond" w:cs="FrankRuehl"/>
          <w:spacing w:val="10"/>
          <w:szCs w:val="28"/>
          <w:rtl/>
        </w:rPr>
        <w:t>. אין הכרח כי תתקיים חפיפה בין המועדים. מועד מתן ההטבה יכול להיות קודם למועד הזכאות לה, כאשר מתן ההטבה יותנה בהחזר שלה אם יתברר בדיעבד כי מקבל ההטבה לא היה זכאי לקבלה. מנגד, מועד הזכאות יכול גם להיות קודם למועד מתן ההטבה בפועל.</w:t>
      </w:r>
    </w:p>
    <w:p w14:paraId="3BF894C2"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4A6FAC92" w14:textId="77777777" w:rsidR="00284859" w:rsidRPr="00284859" w:rsidRDefault="003F4D61"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tl/>
        </w:rPr>
      </w:pPr>
      <w:r>
        <w:rPr>
          <w:rFonts w:ascii="Garamond" w:hAnsi="Garamond" w:cs="FrankRuehl" w:hint="cs"/>
          <w:spacing w:val="10"/>
          <w:szCs w:val="28"/>
          <w:rtl/>
        </w:rPr>
        <w:t>34.</w:t>
      </w:r>
      <w:r>
        <w:rPr>
          <w:rFonts w:ascii="Garamond" w:hAnsi="Garamond" w:cs="FrankRuehl" w:hint="cs"/>
          <w:spacing w:val="10"/>
          <w:szCs w:val="28"/>
          <w:rtl/>
        </w:rPr>
        <w:tab/>
      </w:r>
      <w:r w:rsidR="00000000" w:rsidRPr="00284859">
        <w:rPr>
          <w:rFonts w:ascii="Garamond" w:hAnsi="Garamond" w:cs="FrankRuehl"/>
          <w:spacing w:val="10"/>
          <w:szCs w:val="28"/>
          <w:rtl/>
        </w:rPr>
        <w:t xml:space="preserve">כפי שיפורט להלן, החוק קובע את </w:t>
      </w:r>
      <w:r w:rsidR="00000000" w:rsidRPr="00284859">
        <w:rPr>
          <w:rFonts w:ascii="Century" w:hAnsi="Century" w:cs="Miriam"/>
          <w:b/>
          <w:sz w:val="22"/>
          <w:rtl/>
        </w:rPr>
        <w:t>מועד הזכאות להטבה</w:t>
      </w:r>
      <w:r w:rsidR="00000000" w:rsidRPr="00284859">
        <w:rPr>
          <w:rFonts w:ascii="Garamond" w:hAnsi="Garamond" w:cs="FrankRuehl"/>
          <w:spacing w:val="10"/>
          <w:szCs w:val="28"/>
          <w:rtl/>
        </w:rPr>
        <w:t xml:space="preserve"> – המועד שבו נתמלאו תנאי הזכות להטבות – בתום לכל היותר 7 שנים מתום הבניה (</w:t>
      </w:r>
      <w:hyperlink r:id="rId76" w:history="1">
        <w:r w:rsidR="00894E25" w:rsidRPr="00894E25">
          <w:rPr>
            <w:rStyle w:val="Hyperlink"/>
            <w:rFonts w:ascii="Garamond" w:hAnsi="Garamond" w:cs="FrankRuehl" w:hint="eastAsia"/>
            <w:spacing w:val="10"/>
            <w:szCs w:val="28"/>
            <w:rtl/>
          </w:rPr>
          <w:t>סעיף</w:t>
        </w:r>
        <w:r w:rsidR="00894E25" w:rsidRPr="00894E25">
          <w:rPr>
            <w:rStyle w:val="Hyperlink"/>
            <w:rFonts w:ascii="Garamond" w:hAnsi="Garamond" w:cs="FrankRuehl"/>
            <w:spacing w:val="10"/>
            <w:szCs w:val="28"/>
            <w:rtl/>
          </w:rPr>
          <w:t xml:space="preserve"> 53</w:t>
        </w:r>
        <w:r w:rsidR="00894E25" w:rsidRPr="00894E25">
          <w:rPr>
            <w:rStyle w:val="Hyperlink"/>
            <w:rFonts w:ascii="Garamond" w:hAnsi="Garamond" w:cs="FrankRuehl" w:hint="eastAsia"/>
            <w:spacing w:val="10"/>
            <w:szCs w:val="28"/>
            <w:rtl/>
          </w:rPr>
          <w:t>ב</w:t>
        </w:r>
        <w:r w:rsidR="00894E25" w:rsidRPr="00894E25">
          <w:rPr>
            <w:rStyle w:val="Hyperlink"/>
            <w:rFonts w:ascii="Garamond" w:hAnsi="Garamond" w:cs="FrankRuehl"/>
            <w:spacing w:val="10"/>
            <w:szCs w:val="28"/>
            <w:rtl/>
          </w:rPr>
          <w:t>(</w:t>
        </w:r>
        <w:r w:rsidR="00894E25" w:rsidRPr="00894E25">
          <w:rPr>
            <w:rStyle w:val="Hyperlink"/>
            <w:rFonts w:ascii="Garamond" w:hAnsi="Garamond" w:cs="FrankRuehl" w:hint="eastAsia"/>
            <w:spacing w:val="10"/>
            <w:szCs w:val="28"/>
            <w:rtl/>
          </w:rPr>
          <w:t>ב</w:t>
        </w:r>
        <w:r w:rsidR="00894E25" w:rsidRPr="00894E25">
          <w:rPr>
            <w:rStyle w:val="Hyperlink"/>
            <w:rFonts w:ascii="Garamond" w:hAnsi="Garamond" w:cs="FrankRuehl"/>
            <w:spacing w:val="10"/>
            <w:szCs w:val="28"/>
            <w:rtl/>
          </w:rPr>
          <w:t>)</w:t>
        </w:r>
      </w:hyperlink>
      <w:r w:rsidR="00000000" w:rsidRPr="00284859">
        <w:rPr>
          <w:rFonts w:ascii="Garamond" w:hAnsi="Garamond" w:cs="FrankRuehl"/>
          <w:spacing w:val="10"/>
          <w:szCs w:val="28"/>
          <w:rtl/>
        </w:rPr>
        <w:t xml:space="preserve"> לחוק). לצד זאת, בהתאם לפרשנות הנלמדת מלשון החוק – </w:t>
      </w:r>
      <w:r w:rsidR="00000000" w:rsidRPr="00284859">
        <w:rPr>
          <w:rFonts w:ascii="Century" w:hAnsi="Century" w:cs="Miriam"/>
          <w:b/>
          <w:sz w:val="22"/>
          <w:rtl/>
        </w:rPr>
        <w:t>מועד מתן ההטבה</w:t>
      </w:r>
      <w:r w:rsidR="00000000" w:rsidRPr="00284859">
        <w:rPr>
          <w:rFonts w:ascii="Century" w:hAnsi="Century" w:cs="FrankRuehl"/>
          <w:spacing w:val="10"/>
          <w:sz w:val="22"/>
          <w:szCs w:val="28"/>
          <w:rtl/>
        </w:rPr>
        <w:t xml:space="preserve"> – המועד שבו תתבצע השבה של מחצית האגרה ששולמה בעד השטח בבניין המיועד להשכרה –</w:t>
      </w:r>
      <w:r w:rsidR="00000000" w:rsidRPr="00284859">
        <w:rPr>
          <w:rFonts w:ascii="Garamond" w:hAnsi="Garamond" w:cs="FrankRuehl"/>
          <w:spacing w:val="10"/>
          <w:szCs w:val="28"/>
          <w:rtl/>
        </w:rPr>
        <w:t xml:space="preserve"> הוא עובר למועד הזכאות לה. </w:t>
      </w:r>
    </w:p>
    <w:p w14:paraId="393C2B91" w14:textId="77777777" w:rsidR="00284859" w:rsidRPr="00284859" w:rsidRDefault="00284859"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Pr>
      </w:pPr>
    </w:p>
    <w:p w14:paraId="54601AF0" w14:textId="77777777" w:rsidR="00284859" w:rsidRPr="00284859" w:rsidRDefault="00000000" w:rsidP="00284859">
      <w:pPr>
        <w:tabs>
          <w:tab w:val="left" w:pos="800"/>
          <w:tab w:val="num" w:pos="1474"/>
        </w:tabs>
        <w:overflowPunct w:val="0"/>
        <w:autoSpaceDE w:val="0"/>
        <w:autoSpaceDN w:val="0"/>
        <w:adjustRightInd w:val="0"/>
        <w:spacing w:line="360" w:lineRule="auto"/>
        <w:jc w:val="both"/>
        <w:rPr>
          <w:rFonts w:ascii="Century" w:hAnsi="Century" w:cs="FrankRuehl"/>
          <w:spacing w:val="10"/>
          <w:sz w:val="22"/>
          <w:szCs w:val="28"/>
        </w:rPr>
      </w:pPr>
      <w:r w:rsidRPr="00284859">
        <w:rPr>
          <w:rFonts w:ascii="Garamond" w:hAnsi="Garamond" w:cs="FrankRuehl"/>
          <w:spacing w:val="10"/>
          <w:szCs w:val="28"/>
          <w:rtl/>
        </w:rPr>
        <w:tab/>
        <w:t xml:space="preserve">כך, </w:t>
      </w:r>
      <w:hyperlink r:id="rId77" w:history="1">
        <w:r w:rsidR="00894E25" w:rsidRPr="00894E25">
          <w:rPr>
            <w:rStyle w:val="Hyperlink"/>
            <w:rFonts w:ascii="Garamond" w:hAnsi="Garamond" w:cs="FrankRuehl" w:hint="eastAsia"/>
            <w:spacing w:val="10"/>
            <w:szCs w:val="28"/>
            <w:rtl/>
          </w:rPr>
          <w:t>סעיף</w:t>
        </w:r>
        <w:r w:rsidR="00894E25" w:rsidRPr="00894E25">
          <w:rPr>
            <w:rStyle w:val="Hyperlink"/>
            <w:rFonts w:ascii="Garamond" w:hAnsi="Garamond" w:cs="FrankRuehl"/>
            <w:spacing w:val="10"/>
            <w:szCs w:val="28"/>
            <w:rtl/>
          </w:rPr>
          <w:t xml:space="preserve"> 53</w:t>
        </w:r>
        <w:r w:rsidR="00894E25" w:rsidRPr="00894E25">
          <w:rPr>
            <w:rStyle w:val="Hyperlink"/>
            <w:rFonts w:ascii="Garamond" w:hAnsi="Garamond" w:cs="FrankRuehl" w:hint="eastAsia"/>
            <w:spacing w:val="10"/>
            <w:szCs w:val="28"/>
            <w:rtl/>
          </w:rPr>
          <w:t>ב</w:t>
        </w:r>
        <w:r w:rsidR="00894E25" w:rsidRPr="00894E25">
          <w:rPr>
            <w:rStyle w:val="Hyperlink"/>
            <w:rFonts w:ascii="Garamond" w:hAnsi="Garamond" w:cs="FrankRuehl"/>
            <w:spacing w:val="10"/>
            <w:szCs w:val="28"/>
            <w:rtl/>
          </w:rPr>
          <w:t>(</w:t>
        </w:r>
        <w:r w:rsidR="00894E25" w:rsidRPr="00894E25">
          <w:rPr>
            <w:rStyle w:val="Hyperlink"/>
            <w:rFonts w:ascii="Garamond" w:hAnsi="Garamond" w:cs="FrankRuehl" w:hint="eastAsia"/>
            <w:spacing w:val="10"/>
            <w:szCs w:val="28"/>
            <w:rtl/>
          </w:rPr>
          <w:t>ב</w:t>
        </w:r>
        <w:r w:rsidR="00894E25" w:rsidRPr="00894E25">
          <w:rPr>
            <w:rStyle w:val="Hyperlink"/>
            <w:rFonts w:ascii="Garamond" w:hAnsi="Garamond" w:cs="FrankRuehl"/>
            <w:spacing w:val="10"/>
            <w:szCs w:val="28"/>
            <w:rtl/>
          </w:rPr>
          <w:t>)</w:t>
        </w:r>
      </w:hyperlink>
      <w:r w:rsidRPr="00284859">
        <w:rPr>
          <w:rFonts w:ascii="Garamond" w:hAnsi="Garamond" w:cs="FrankRuehl"/>
          <w:spacing w:val="10"/>
          <w:szCs w:val="28"/>
          <w:rtl/>
        </w:rPr>
        <w:t xml:space="preserve"> לחוק קובע כי בעל "בניין חדש להשכרה" יהיה זכאי להטבה אם לפחות מחצית משטח הרצפות של הבניין הן דירות </w:t>
      </w:r>
      <w:r w:rsidRPr="00284859">
        <w:rPr>
          <w:rFonts w:ascii="Century" w:hAnsi="Century" w:cs="Miriam"/>
          <w:b/>
          <w:sz w:val="22"/>
          <w:rtl/>
        </w:rPr>
        <w:t>שהיו</w:t>
      </w:r>
      <w:r w:rsidRPr="00284859">
        <w:rPr>
          <w:rFonts w:ascii="Garamond" w:hAnsi="Garamond" w:cs="FrankRuehl"/>
          <w:spacing w:val="10"/>
          <w:szCs w:val="28"/>
          <w:rtl/>
        </w:rPr>
        <w:t xml:space="preserve"> מושכרות למגורים לפחות 5 שנים במשך 7 השנים שלאחר תום הבניה, ובתנאי שהדירות לא נמכרו לפני שחלפו 5 שנות השכרה. מהאמור עולה כי </w:t>
      </w:r>
      <w:r w:rsidRPr="00284859">
        <w:rPr>
          <w:rFonts w:ascii="Garamond" w:hAnsi="Garamond" w:cs="Miriam"/>
          <w:b/>
          <w:rtl/>
        </w:rPr>
        <w:t>הזכאות להטבה</w:t>
      </w:r>
      <w:r w:rsidRPr="00284859">
        <w:rPr>
          <w:rFonts w:ascii="Garamond" w:hAnsi="Garamond" w:cs="FrankRuehl"/>
          <w:spacing w:val="10"/>
          <w:szCs w:val="28"/>
          <w:rtl/>
        </w:rPr>
        <w:t xml:space="preserve"> מותנית בבחינה צופה פני עבר של משך ההשכרה של הדירות בבניין; ולרציפות אחזקתן כדירות להשכרה (כך עולה מהשימוש במונח "</w:t>
      </w:r>
      <w:r w:rsidRPr="00284859">
        <w:rPr>
          <w:rFonts w:ascii="Century" w:hAnsi="Century" w:cs="Miriam"/>
          <w:b/>
          <w:sz w:val="22"/>
          <w:rtl/>
        </w:rPr>
        <w:t>היו מושכרות למגורים</w:t>
      </w:r>
      <w:r w:rsidRPr="00284859">
        <w:rPr>
          <w:rFonts w:ascii="Garamond" w:hAnsi="Garamond" w:cs="FrankRuehl"/>
          <w:spacing w:val="10"/>
          <w:szCs w:val="28"/>
          <w:rtl/>
        </w:rPr>
        <w:t xml:space="preserve">", בלשון עבר ומהצורך לערוך ממוצע של תקופות ההשכרה). </w:t>
      </w:r>
    </w:p>
    <w:p w14:paraId="05F64B0C" w14:textId="77777777" w:rsidR="00284859" w:rsidRPr="00284859" w:rsidRDefault="00284859"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tl/>
        </w:rPr>
      </w:pPr>
    </w:p>
    <w:p w14:paraId="54A9C760" w14:textId="77777777" w:rsidR="00284859" w:rsidRPr="00284859" w:rsidRDefault="00000000"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tl/>
        </w:rPr>
      </w:pPr>
      <w:r w:rsidRPr="00284859">
        <w:rPr>
          <w:rFonts w:ascii="Garamond" w:hAnsi="Garamond" w:cs="FrankRuehl"/>
          <w:spacing w:val="10"/>
          <w:szCs w:val="28"/>
          <w:rtl/>
        </w:rPr>
        <w:tab/>
        <w:t xml:space="preserve">המסקנה הנובעת </w:t>
      </w:r>
      <w:hyperlink r:id="rId78" w:history="1">
        <w:r w:rsidR="00894E25" w:rsidRPr="00894E25">
          <w:rPr>
            <w:rStyle w:val="Hyperlink"/>
            <w:rFonts w:ascii="Garamond" w:hAnsi="Garamond" w:cs="FrankRuehl" w:hint="eastAsia"/>
            <w:spacing w:val="10"/>
            <w:szCs w:val="28"/>
            <w:rtl/>
          </w:rPr>
          <w:t>מסעיף</w:t>
        </w:r>
        <w:r w:rsidR="00894E25" w:rsidRPr="00894E25">
          <w:rPr>
            <w:rStyle w:val="Hyperlink"/>
            <w:rFonts w:ascii="Garamond" w:hAnsi="Garamond" w:cs="FrankRuehl"/>
            <w:spacing w:val="10"/>
            <w:szCs w:val="28"/>
            <w:rtl/>
          </w:rPr>
          <w:t xml:space="preserve"> 53</w:t>
        </w:r>
        <w:r w:rsidR="00894E25" w:rsidRPr="00894E25">
          <w:rPr>
            <w:rStyle w:val="Hyperlink"/>
            <w:rFonts w:ascii="Garamond" w:hAnsi="Garamond" w:cs="FrankRuehl" w:hint="eastAsia"/>
            <w:spacing w:val="10"/>
            <w:szCs w:val="28"/>
            <w:rtl/>
          </w:rPr>
          <w:t>ב</w:t>
        </w:r>
        <w:r w:rsidR="00894E25" w:rsidRPr="00894E25">
          <w:rPr>
            <w:rStyle w:val="Hyperlink"/>
            <w:rFonts w:ascii="Garamond" w:hAnsi="Garamond" w:cs="FrankRuehl"/>
            <w:spacing w:val="10"/>
            <w:szCs w:val="28"/>
            <w:rtl/>
          </w:rPr>
          <w:t>(</w:t>
        </w:r>
        <w:r w:rsidR="00894E25" w:rsidRPr="00894E25">
          <w:rPr>
            <w:rStyle w:val="Hyperlink"/>
            <w:rFonts w:ascii="Garamond" w:hAnsi="Garamond" w:cs="FrankRuehl" w:hint="eastAsia"/>
            <w:spacing w:val="10"/>
            <w:szCs w:val="28"/>
            <w:rtl/>
          </w:rPr>
          <w:t>ה</w:t>
        </w:r>
        <w:r w:rsidR="00894E25" w:rsidRPr="00894E25">
          <w:rPr>
            <w:rStyle w:val="Hyperlink"/>
            <w:rFonts w:ascii="Garamond" w:hAnsi="Garamond" w:cs="FrankRuehl"/>
            <w:spacing w:val="10"/>
            <w:szCs w:val="28"/>
            <w:rtl/>
          </w:rPr>
          <w:t>)(1)</w:t>
        </w:r>
      </w:hyperlink>
      <w:r w:rsidRPr="00284859">
        <w:rPr>
          <w:rFonts w:ascii="Garamond" w:hAnsi="Garamond" w:cs="FrankRuehl"/>
          <w:spacing w:val="10"/>
          <w:szCs w:val="28"/>
          <w:rtl/>
        </w:rPr>
        <w:t xml:space="preserve"> לחוק היא כי בחינת הזכאות להטבה תיעשה לאחר מועד מתן ההטבה בפועל לפי </w:t>
      </w:r>
      <w:hyperlink r:id="rId79" w:history="1">
        <w:r w:rsidR="00894E25" w:rsidRPr="00894E25">
          <w:rPr>
            <w:rStyle w:val="Hyperlink"/>
            <w:rFonts w:ascii="Garamond" w:hAnsi="Garamond" w:cs="FrankRuehl" w:hint="eastAsia"/>
            <w:spacing w:val="10"/>
            <w:szCs w:val="28"/>
            <w:rtl/>
          </w:rPr>
          <w:t>סעיף</w:t>
        </w:r>
        <w:r w:rsidR="00894E25" w:rsidRPr="00894E25">
          <w:rPr>
            <w:rStyle w:val="Hyperlink"/>
            <w:rFonts w:ascii="Garamond" w:hAnsi="Garamond" w:cs="FrankRuehl"/>
            <w:spacing w:val="10"/>
            <w:szCs w:val="28"/>
            <w:rtl/>
          </w:rPr>
          <w:t xml:space="preserve"> 53</w:t>
        </w:r>
        <w:r w:rsidR="00894E25" w:rsidRPr="00894E25">
          <w:rPr>
            <w:rStyle w:val="Hyperlink"/>
            <w:rFonts w:ascii="Garamond" w:hAnsi="Garamond" w:cs="FrankRuehl" w:hint="eastAsia"/>
            <w:spacing w:val="10"/>
            <w:szCs w:val="28"/>
            <w:rtl/>
          </w:rPr>
          <w:t>ד</w:t>
        </w:r>
        <w:r w:rsidR="00894E25" w:rsidRPr="00894E25">
          <w:rPr>
            <w:rStyle w:val="Hyperlink"/>
            <w:rFonts w:ascii="Garamond" w:hAnsi="Garamond" w:cs="FrankRuehl"/>
            <w:spacing w:val="10"/>
            <w:szCs w:val="28"/>
            <w:rtl/>
          </w:rPr>
          <w:t>.</w:t>
        </w:r>
      </w:hyperlink>
      <w:r w:rsidRPr="00284859">
        <w:rPr>
          <w:rFonts w:ascii="Garamond" w:hAnsi="Garamond" w:cs="FrankRuehl"/>
          <w:spacing w:val="10"/>
          <w:szCs w:val="28"/>
          <w:rtl/>
        </w:rPr>
        <w:t xml:space="preserve"> זאת, לאור הקביעה בסעיף זה לפיה אם לא התקיימו התנאים הקבועים </w:t>
      </w:r>
      <w:hyperlink r:id="rId80" w:history="1">
        <w:r w:rsidR="00894E25" w:rsidRPr="00894E25">
          <w:rPr>
            <w:rStyle w:val="Hyperlink"/>
            <w:rFonts w:ascii="Garamond" w:hAnsi="Garamond" w:cs="FrankRuehl" w:hint="eastAsia"/>
            <w:spacing w:val="10"/>
            <w:szCs w:val="28"/>
            <w:rtl/>
          </w:rPr>
          <w:t>בסעיף</w:t>
        </w:r>
        <w:r w:rsidR="00894E25" w:rsidRPr="00894E25">
          <w:rPr>
            <w:rStyle w:val="Hyperlink"/>
            <w:rFonts w:ascii="Garamond" w:hAnsi="Garamond" w:cs="FrankRuehl"/>
            <w:spacing w:val="10"/>
            <w:szCs w:val="28"/>
            <w:rtl/>
          </w:rPr>
          <w:t xml:space="preserve"> 53</w:t>
        </w:r>
        <w:r w:rsidR="00894E25" w:rsidRPr="00894E25">
          <w:rPr>
            <w:rStyle w:val="Hyperlink"/>
            <w:rFonts w:ascii="Garamond" w:hAnsi="Garamond" w:cs="FrankRuehl" w:hint="eastAsia"/>
            <w:spacing w:val="10"/>
            <w:szCs w:val="28"/>
            <w:rtl/>
          </w:rPr>
          <w:t>ב</w:t>
        </w:r>
        <w:r w:rsidR="00894E25" w:rsidRPr="00894E25">
          <w:rPr>
            <w:rStyle w:val="Hyperlink"/>
            <w:rFonts w:ascii="Garamond" w:hAnsi="Garamond" w:cs="FrankRuehl"/>
            <w:spacing w:val="10"/>
            <w:szCs w:val="28"/>
            <w:rtl/>
          </w:rPr>
          <w:t>(</w:t>
        </w:r>
        <w:r w:rsidR="00894E25" w:rsidRPr="00894E25">
          <w:rPr>
            <w:rStyle w:val="Hyperlink"/>
            <w:rFonts w:ascii="Garamond" w:hAnsi="Garamond" w:cs="FrankRuehl" w:hint="eastAsia"/>
            <w:spacing w:val="10"/>
            <w:szCs w:val="28"/>
            <w:rtl/>
          </w:rPr>
          <w:t>ב</w:t>
        </w:r>
        <w:r w:rsidR="00894E25" w:rsidRPr="00894E25">
          <w:rPr>
            <w:rStyle w:val="Hyperlink"/>
            <w:rFonts w:ascii="Garamond" w:hAnsi="Garamond" w:cs="FrankRuehl"/>
            <w:spacing w:val="10"/>
            <w:szCs w:val="28"/>
            <w:rtl/>
          </w:rPr>
          <w:t>)</w:t>
        </w:r>
      </w:hyperlink>
      <w:r w:rsidRPr="00284859">
        <w:rPr>
          <w:rFonts w:ascii="Garamond" w:hAnsi="Garamond" w:cs="FrankRuehl"/>
          <w:spacing w:val="10"/>
          <w:szCs w:val="28"/>
          <w:rtl/>
        </w:rPr>
        <w:t xml:space="preserve"> תבוטל ההטבה למפרע ומקבל ההטבה יהיה </w:t>
      </w:r>
      <w:r w:rsidRPr="00284859">
        <w:rPr>
          <w:rFonts w:ascii="Century" w:hAnsi="Century" w:cs="Miriam"/>
          <w:b/>
          <w:sz w:val="22"/>
          <w:rtl/>
        </w:rPr>
        <w:t>חייב להחזיר</w:t>
      </w:r>
      <w:r w:rsidRPr="00284859">
        <w:rPr>
          <w:rFonts w:ascii="Garamond" w:hAnsi="Garamond" w:cs="FrankRuehl"/>
          <w:spacing w:val="10"/>
          <w:szCs w:val="28"/>
          <w:rtl/>
        </w:rPr>
        <w:t xml:space="preserve"> את הסכום שהיה משלם אילולא ההטבה, בתוספת הפרשי הצמדה וריבית. החיוב להחזיר הטבה שכבר ניתנה, מעלה בבירור את המסקנה לפיה ההטבה ניתנת בפועל לפני הקביעה הסופית ביחס לזכאות לה. </w:t>
      </w:r>
    </w:p>
    <w:p w14:paraId="10529AAD" w14:textId="77777777" w:rsidR="00284859" w:rsidRPr="00284859" w:rsidRDefault="00284859"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tl/>
        </w:rPr>
      </w:pPr>
    </w:p>
    <w:p w14:paraId="4C04886F" w14:textId="77777777" w:rsidR="00284859" w:rsidRPr="00284859" w:rsidRDefault="00000000"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tl/>
        </w:rPr>
      </w:pPr>
      <w:r w:rsidRPr="00284859">
        <w:rPr>
          <w:rFonts w:ascii="Garamond" w:hAnsi="Garamond" w:cs="FrankRuehl"/>
          <w:spacing w:val="10"/>
          <w:szCs w:val="28"/>
          <w:rtl/>
        </w:rPr>
        <w:tab/>
        <w:t xml:space="preserve">מסקנה דומה ביחס למועד מתן ההטבה נובעת גם מהוראת </w:t>
      </w:r>
      <w:hyperlink r:id="rId81" w:history="1">
        <w:r w:rsidR="00894E25" w:rsidRPr="00894E25">
          <w:rPr>
            <w:rStyle w:val="Hyperlink"/>
            <w:rFonts w:ascii="Garamond" w:hAnsi="Garamond" w:cs="FrankRuehl" w:hint="eastAsia"/>
            <w:spacing w:val="10"/>
            <w:szCs w:val="28"/>
            <w:rtl/>
          </w:rPr>
          <w:t>סעיף</w:t>
        </w:r>
        <w:r w:rsidR="00894E25" w:rsidRPr="00894E25">
          <w:rPr>
            <w:rStyle w:val="Hyperlink"/>
            <w:rFonts w:ascii="Garamond" w:hAnsi="Garamond" w:cs="FrankRuehl"/>
            <w:spacing w:val="10"/>
            <w:szCs w:val="28"/>
            <w:rtl/>
          </w:rPr>
          <w:t xml:space="preserve"> 75</w:t>
        </w:r>
        <w:r w:rsidR="00894E25" w:rsidRPr="00894E25">
          <w:rPr>
            <w:rStyle w:val="Hyperlink"/>
            <w:rFonts w:ascii="Garamond" w:hAnsi="Garamond" w:cs="FrankRuehl" w:hint="eastAsia"/>
            <w:spacing w:val="10"/>
            <w:szCs w:val="28"/>
            <w:rtl/>
          </w:rPr>
          <w:t>א</w:t>
        </w:r>
      </w:hyperlink>
      <w:r w:rsidRPr="00284859">
        <w:rPr>
          <w:rFonts w:ascii="Garamond" w:hAnsi="Garamond" w:cs="FrankRuehl"/>
          <w:spacing w:val="10"/>
          <w:szCs w:val="28"/>
          <w:rtl/>
        </w:rPr>
        <w:t xml:space="preserve"> לחוק. סעיף זה קובע כי אם נוכחה המינהלת כי תנאי האישור לא קוימו במלואם (כאשר תנאי האישור נקבעים בהתאם לתנאי </w:t>
      </w:r>
      <w:hyperlink r:id="rId82" w:history="1">
        <w:r w:rsidR="00894E25" w:rsidRPr="00894E25">
          <w:rPr>
            <w:rStyle w:val="Hyperlink"/>
            <w:rFonts w:ascii="Garamond" w:hAnsi="Garamond" w:cs="FrankRuehl" w:hint="eastAsia"/>
            <w:spacing w:val="10"/>
            <w:szCs w:val="28"/>
            <w:rtl/>
          </w:rPr>
          <w:t>סעיף</w:t>
        </w:r>
        <w:r w:rsidR="00894E25" w:rsidRPr="00894E25">
          <w:rPr>
            <w:rStyle w:val="Hyperlink"/>
            <w:rFonts w:ascii="Garamond" w:hAnsi="Garamond" w:cs="FrankRuehl"/>
            <w:spacing w:val="10"/>
            <w:szCs w:val="28"/>
            <w:rtl/>
          </w:rPr>
          <w:t xml:space="preserve"> 53</w:t>
        </w:r>
        <w:r w:rsidR="00894E25" w:rsidRPr="00894E25">
          <w:rPr>
            <w:rStyle w:val="Hyperlink"/>
            <w:rFonts w:ascii="Garamond" w:hAnsi="Garamond" w:cs="FrankRuehl" w:hint="eastAsia"/>
            <w:spacing w:val="10"/>
            <w:szCs w:val="28"/>
            <w:rtl/>
          </w:rPr>
          <w:t>ב</w:t>
        </w:r>
        <w:r w:rsidR="00894E25" w:rsidRPr="00894E25">
          <w:rPr>
            <w:rStyle w:val="Hyperlink"/>
            <w:rFonts w:ascii="Garamond" w:hAnsi="Garamond" w:cs="FrankRuehl"/>
            <w:spacing w:val="10"/>
            <w:szCs w:val="28"/>
            <w:rtl/>
          </w:rPr>
          <w:t>(</w:t>
        </w:r>
        <w:r w:rsidR="00894E25" w:rsidRPr="00894E25">
          <w:rPr>
            <w:rStyle w:val="Hyperlink"/>
            <w:rFonts w:ascii="Garamond" w:hAnsi="Garamond" w:cs="FrankRuehl" w:hint="eastAsia"/>
            <w:spacing w:val="10"/>
            <w:szCs w:val="28"/>
            <w:rtl/>
          </w:rPr>
          <w:t>ב</w:t>
        </w:r>
        <w:r w:rsidR="00894E25" w:rsidRPr="00894E25">
          <w:rPr>
            <w:rStyle w:val="Hyperlink"/>
            <w:rFonts w:ascii="Garamond" w:hAnsi="Garamond" w:cs="FrankRuehl"/>
            <w:spacing w:val="10"/>
            <w:szCs w:val="28"/>
            <w:rtl/>
          </w:rPr>
          <w:t>))</w:t>
        </w:r>
      </w:hyperlink>
      <w:r w:rsidRPr="00284859">
        <w:rPr>
          <w:rFonts w:ascii="Garamond" w:hAnsi="Garamond" w:cs="FrankRuehl"/>
          <w:spacing w:val="10"/>
          <w:szCs w:val="28"/>
          <w:rtl/>
        </w:rPr>
        <w:t>, היא רשאית לדרוש החזר של התשלומים שלגביהם ניתנו ההטבות בצירוף ריבית פיגורים. גם מכאן נובע אפוא כי מועד התשלום קודם למועד בו נבחנת הזכאות וניתן לקבוע כי תנאי האישור קוימו במלואם.</w:t>
      </w:r>
    </w:p>
    <w:p w14:paraId="64F2DCE5" w14:textId="77777777" w:rsidR="00284859" w:rsidRPr="00284859" w:rsidRDefault="00284859"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tl/>
        </w:rPr>
      </w:pPr>
    </w:p>
    <w:p w14:paraId="54111D79" w14:textId="77777777" w:rsidR="00284859" w:rsidRPr="00284859" w:rsidRDefault="003F4D61"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tl/>
        </w:rPr>
      </w:pPr>
      <w:r>
        <w:rPr>
          <w:rFonts w:ascii="Garamond" w:hAnsi="Garamond" w:cs="FrankRuehl" w:hint="cs"/>
          <w:spacing w:val="10"/>
          <w:szCs w:val="28"/>
          <w:rtl/>
        </w:rPr>
        <w:lastRenderedPageBreak/>
        <w:t>35.</w:t>
      </w:r>
      <w:r>
        <w:rPr>
          <w:rFonts w:ascii="Garamond" w:hAnsi="Garamond" w:cs="FrankRuehl" w:hint="cs"/>
          <w:spacing w:val="10"/>
          <w:szCs w:val="28"/>
          <w:rtl/>
        </w:rPr>
        <w:tab/>
      </w:r>
      <w:r w:rsidR="00000000" w:rsidRPr="00284859">
        <w:rPr>
          <w:rFonts w:ascii="Garamond" w:hAnsi="Garamond" w:cs="FrankRuehl"/>
          <w:spacing w:val="10"/>
          <w:szCs w:val="28"/>
          <w:rtl/>
        </w:rPr>
        <w:t xml:space="preserve">אכן, וכפי שטענה הוועדה, מתן ההטבה מראש, עובר לבחינת הזכאות להטבה, מעורר חשש לכך שיהיו מקרים בהם יהיה על הוועדה להשקיע משאבים כאשר תידרש השבה של כספי הטבה שכבר ניתנו, וכאשר יסתבר בדיעבד כי לא הייתה זכות לכך.  אולם, נראה כי המחוקק היה ער לאפשרות זו, ומשום כך הוא קבע את ההסדרים ביחס להחזר ההטבות בדיעבד, לאחר בירור תנאי הזכאות. חרף הקושי האפשרי הכרוך בכך, העדיף המחוקק – כך נראה – את התועלת ממתן ההטבות בשלבים מוקדמים של הבנייה. </w:t>
      </w:r>
    </w:p>
    <w:p w14:paraId="2FA49475"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57E01CC0" w14:textId="77777777" w:rsidR="00284859" w:rsidRPr="00284859" w:rsidRDefault="00000000"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tl/>
        </w:rPr>
      </w:pPr>
      <w:r w:rsidRPr="00284859">
        <w:rPr>
          <w:rFonts w:ascii="Garamond" w:hAnsi="Garamond" w:cs="FrankRuehl"/>
          <w:spacing w:val="10"/>
          <w:szCs w:val="28"/>
          <w:rtl/>
        </w:rPr>
        <w:tab/>
        <w:t>בקביעה לפיה מועד מתן ההטבה קודם למועד קביעת הזכאות לה, אין די, ויש לקבוע מהו המועד המדויק בו יש לתת את ההטבה. כאמור, לשון החוק אינה מספקת מענה ברור לשאלה זו, ולכן יש לפרש את החוק באופן שיגשים באופן מיטבי את תכלית החקיקה (ראו פסקה 17 לפסק דין זה וההפניות שם).</w:t>
      </w:r>
    </w:p>
    <w:p w14:paraId="4BBBE032" w14:textId="77777777" w:rsidR="00284859" w:rsidRPr="00284859" w:rsidRDefault="00284859" w:rsidP="00284859">
      <w:pPr>
        <w:tabs>
          <w:tab w:val="left" w:pos="800"/>
        </w:tabs>
        <w:overflowPunct w:val="0"/>
        <w:autoSpaceDE w:val="0"/>
        <w:autoSpaceDN w:val="0"/>
        <w:adjustRightInd w:val="0"/>
        <w:spacing w:line="360" w:lineRule="auto"/>
        <w:jc w:val="both"/>
        <w:rPr>
          <w:rFonts w:ascii="Arial TUR" w:hAnsi="Arial TUR" w:cs="FrankRuehl"/>
          <w:spacing w:val="10"/>
          <w:sz w:val="22"/>
          <w:szCs w:val="28"/>
          <w:rtl/>
        </w:rPr>
      </w:pPr>
    </w:p>
    <w:p w14:paraId="0194ADF8" w14:textId="77777777" w:rsidR="00284859" w:rsidRPr="00284859" w:rsidRDefault="003F4D61" w:rsidP="00284859">
      <w:pPr>
        <w:tabs>
          <w:tab w:val="left" w:pos="800"/>
          <w:tab w:val="num" w:pos="907"/>
          <w:tab w:val="num" w:pos="1474"/>
        </w:tabs>
        <w:overflowPunct w:val="0"/>
        <w:autoSpaceDE w:val="0"/>
        <w:autoSpaceDN w:val="0"/>
        <w:adjustRightInd w:val="0"/>
        <w:spacing w:line="360" w:lineRule="auto"/>
        <w:jc w:val="both"/>
        <w:rPr>
          <w:rFonts w:ascii="Arial TUR" w:hAnsi="Arial TUR" w:cs="FrankRuehl"/>
          <w:spacing w:val="10"/>
          <w:sz w:val="22"/>
          <w:szCs w:val="28"/>
          <w:rtl/>
        </w:rPr>
      </w:pPr>
      <w:r>
        <w:rPr>
          <w:rFonts w:ascii="Garamond" w:hAnsi="Garamond" w:cs="FrankRuehl" w:hint="cs"/>
          <w:spacing w:val="10"/>
          <w:szCs w:val="28"/>
          <w:rtl/>
        </w:rPr>
        <w:t>36.</w:t>
      </w:r>
      <w:r>
        <w:rPr>
          <w:rFonts w:ascii="Garamond" w:hAnsi="Garamond" w:cs="FrankRuehl" w:hint="cs"/>
          <w:spacing w:val="10"/>
          <w:szCs w:val="28"/>
          <w:rtl/>
        </w:rPr>
        <w:tab/>
      </w:r>
      <w:r w:rsidR="00000000" w:rsidRPr="00284859">
        <w:rPr>
          <w:rFonts w:ascii="Garamond" w:hAnsi="Garamond" w:cs="FrankRuehl"/>
          <w:spacing w:val="10"/>
          <w:szCs w:val="28"/>
          <w:rtl/>
        </w:rPr>
        <w:t>כאמור, תכליתו של החוק בענייננו, לרבות תכליתה של ההטבה, היא לתמרץ יזמים לבנות דירות להשכרה כדי להגדיל את היצע הדירות למגורים בשכירות. מתכלית זו נובע לטעמי כי מועד מתן ההטבה הוא המועד המוקדם ביותר המתאפשר בהתאם ללשון החוק, קרי מועד קבלת כתב האישור עבור בניין להשכרה על-ידי המינהלת. זאת, משום שהתמריץ שהחוק מציע הוא בעל משמעות גדולה יותר עבור חברות יזמיות ככל שהוא ניתן בשלב מוקדם יותר. האמור נובע מ</w:t>
      </w:r>
      <w:r w:rsidR="00000000" w:rsidRPr="00284859">
        <w:rPr>
          <w:rFonts w:ascii="Arial TUR" w:hAnsi="Arial TUR" w:cs="FrankRuehl"/>
          <w:spacing w:val="10"/>
          <w:sz w:val="22"/>
          <w:szCs w:val="28"/>
          <w:rtl/>
        </w:rPr>
        <w:t>עקרון "ערך הזמן של כסף" (</w:t>
      </w:r>
      <w:r w:rsidR="00000000" w:rsidRPr="00284859">
        <w:rPr>
          <w:rFonts w:ascii="FrankRuehl" w:hAnsi="FrankRuehl" w:cs="FrankRuehl"/>
          <w:spacing w:val="10"/>
          <w:szCs w:val="32"/>
        </w:rPr>
        <w:t>Time value of money</w:t>
      </w:r>
      <w:r w:rsidR="00000000" w:rsidRPr="00284859">
        <w:rPr>
          <w:rFonts w:ascii="Arial TUR" w:hAnsi="Arial TUR" w:cs="FrankRuehl"/>
          <w:spacing w:val="10"/>
          <w:sz w:val="22"/>
          <w:szCs w:val="28"/>
          <w:rtl/>
        </w:rPr>
        <w:t xml:space="preserve">), שלפיו ערכו של שקל אחד הנמצא בידינו היום שווה יותר מערכו של השקל שנקבל בעתיד. זאת, נוכח האפשרות להשקיע את הסכום הנוכחי וליהנות מהתשואות שיתקבלו מהשקעה זו. עקרון זה מהווה הסבר להעדפה של הטבה עכשווית על פני הטבה עתידית נוכח שוויה הכספי הגדול יותר למקבל ההטבה ככל שהיא מתקבלת מוקדם </w:t>
      </w:r>
      <w:r w:rsidR="00000000" w:rsidRPr="00284859">
        <w:rPr>
          <w:rFonts w:ascii="Arial TUR" w:hAnsi="Arial TUR" w:cs="FrankRuehl"/>
          <w:spacing w:val="10"/>
          <w:sz w:val="28"/>
          <w:szCs w:val="28"/>
          <w:rtl/>
        </w:rPr>
        <w:t xml:space="preserve">יותר </w:t>
      </w:r>
      <w:r w:rsidR="00000000" w:rsidRPr="00284859">
        <w:rPr>
          <w:rFonts w:ascii="FrankRuehl" w:hAnsi="FrankRuehl" w:cs="FrankRuehl"/>
          <w:spacing w:val="10"/>
          <w:sz w:val="28"/>
          <w:szCs w:val="28"/>
          <w:rtl/>
        </w:rPr>
        <w:t>(</w:t>
      </w:r>
      <w:r w:rsidR="00000000" w:rsidRPr="00284859">
        <w:rPr>
          <w:rFonts w:ascii="FrankRuehl" w:hAnsi="FrankRuehl" w:cs="FrankRuehl"/>
          <w:spacing w:val="10"/>
          <w:szCs w:val="28"/>
        </w:rPr>
        <w:t xml:space="preserve">Jacob Nussim &amp; Avraham Tabbach, </w:t>
      </w:r>
      <w:r w:rsidR="00000000" w:rsidRPr="003F4D61">
        <w:rPr>
          <w:rFonts w:ascii="FrankRuehl" w:hAnsi="FrankRuehl" w:cs="FrankRuehl"/>
          <w:i/>
          <w:iCs/>
          <w:spacing w:val="10"/>
          <w:szCs w:val="28"/>
        </w:rPr>
        <w:t>Tax-Loss Mechanisms</w:t>
      </w:r>
      <w:r w:rsidR="00000000" w:rsidRPr="00284859">
        <w:rPr>
          <w:rFonts w:ascii="FrankRuehl" w:hAnsi="FrankRuehl" w:cs="FrankRuehl"/>
          <w:spacing w:val="10"/>
          <w:szCs w:val="28"/>
        </w:rPr>
        <w:t>, 81 U. Chi. L. Rev. 1509, 1532 (2014)</w:t>
      </w:r>
      <w:r w:rsidR="00000000" w:rsidRPr="00284859">
        <w:rPr>
          <w:rFonts w:ascii="FrankRuehl" w:hAnsi="FrankRuehl" w:cs="FrankRuehl"/>
          <w:spacing w:val="10"/>
          <w:sz w:val="28"/>
          <w:szCs w:val="32"/>
        </w:rPr>
        <w:t>.</w:t>
      </w:r>
      <w:r w:rsidR="00000000" w:rsidRPr="00284859">
        <w:rPr>
          <w:rFonts w:ascii="FrankRuehl" w:hAnsi="FrankRuehl" w:cs="FrankRuehl"/>
          <w:spacing w:val="10"/>
          <w:sz w:val="28"/>
          <w:szCs w:val="28"/>
          <w:rtl/>
        </w:rPr>
        <w:t>).</w:t>
      </w:r>
      <w:r w:rsidR="00000000" w:rsidRPr="00284859">
        <w:rPr>
          <w:rFonts w:ascii="FrankRuehl" w:hAnsi="FrankRuehl" w:cs="FrankRuehl"/>
          <w:spacing w:val="10"/>
          <w:sz w:val="22"/>
          <w:szCs w:val="28"/>
          <w:rtl/>
        </w:rPr>
        <w:t xml:space="preserve"> משום כך, </w:t>
      </w:r>
      <w:r w:rsidR="00000000" w:rsidRPr="00284859">
        <w:rPr>
          <w:rFonts w:ascii="Arial TUR" w:hAnsi="Arial TUR" w:cs="FrankRuehl"/>
          <w:spacing w:val="10"/>
          <w:sz w:val="22"/>
          <w:szCs w:val="28"/>
          <w:rtl/>
        </w:rPr>
        <w:t xml:space="preserve">ככל שההטבה תתקבל מוקדם יותר, כך יש לראות בה תמריץ משמעותי יותר להקמתם של בניינים להשכרה. </w:t>
      </w:r>
    </w:p>
    <w:p w14:paraId="3FE2A15D" w14:textId="77777777" w:rsidR="00284859" w:rsidRPr="00284859" w:rsidRDefault="00284859" w:rsidP="00284859">
      <w:pPr>
        <w:overflowPunct w:val="0"/>
        <w:autoSpaceDE w:val="0"/>
        <w:autoSpaceDN w:val="0"/>
        <w:adjustRightInd w:val="0"/>
        <w:spacing w:line="360" w:lineRule="auto"/>
        <w:ind w:firstLine="720"/>
        <w:jc w:val="both"/>
        <w:rPr>
          <w:rFonts w:ascii="Arial TUR" w:hAnsi="Arial TUR" w:cs="FrankRuehl"/>
          <w:spacing w:val="10"/>
          <w:sz w:val="22"/>
          <w:szCs w:val="28"/>
          <w:rtl/>
        </w:rPr>
      </w:pPr>
    </w:p>
    <w:p w14:paraId="7455554F" w14:textId="77777777" w:rsidR="00284859" w:rsidRPr="00284859" w:rsidRDefault="00000000" w:rsidP="00284859">
      <w:pPr>
        <w:overflowPunct w:val="0"/>
        <w:autoSpaceDE w:val="0"/>
        <w:autoSpaceDN w:val="0"/>
        <w:adjustRightInd w:val="0"/>
        <w:spacing w:line="360" w:lineRule="auto"/>
        <w:ind w:firstLine="720"/>
        <w:jc w:val="both"/>
        <w:rPr>
          <w:rFonts w:ascii="Century" w:hAnsi="Century" w:cs="FrankRuehl"/>
          <w:spacing w:val="10"/>
          <w:sz w:val="20"/>
          <w:szCs w:val="28"/>
          <w:rtl/>
        </w:rPr>
      </w:pPr>
      <w:r w:rsidRPr="00284859">
        <w:rPr>
          <w:rFonts w:ascii="Arial TUR" w:hAnsi="Arial TUR" w:cs="FrankRuehl"/>
          <w:spacing w:val="10"/>
          <w:sz w:val="22"/>
          <w:szCs w:val="28"/>
          <w:rtl/>
        </w:rPr>
        <w:t xml:space="preserve">גם לו הייתה ההטבה ניתנת בדיעבד במועד הזכאות, בתוספת הפרשי הצמדה וריבית מיום מתן כתב האישור על ידי המינהלת, לא היה די בכך. גם אז היה התמריץ במתן ההטבה במועד כתב האישור גדול יותר מהתמריץ הכרוך במתן ההטבה בעתיד, במועד הזכאות להטבה. </w:t>
      </w:r>
      <w:r w:rsidRPr="00284859">
        <w:rPr>
          <w:rFonts w:ascii="Century" w:hAnsi="Century" w:cs="FrankRuehl"/>
          <w:spacing w:val="10"/>
          <w:sz w:val="20"/>
          <w:szCs w:val="28"/>
          <w:rtl/>
        </w:rPr>
        <w:t xml:space="preserve">תופעת זו נובעת מהטיות פסיכולוגיות כגון "הפחתת ערך </w:t>
      </w:r>
      <w:r w:rsidRPr="00284859">
        <w:rPr>
          <w:rFonts w:ascii="Century" w:hAnsi="Century" w:cs="FrankRuehl"/>
          <w:spacing w:val="10"/>
          <w:sz w:val="28"/>
          <w:szCs w:val="28"/>
          <w:rtl/>
        </w:rPr>
        <w:lastRenderedPageBreak/>
        <w:t>מושהה" (</w:t>
      </w:r>
      <w:r w:rsidRPr="00284859">
        <w:rPr>
          <w:rFonts w:ascii="FrankRuehl" w:hAnsi="FrankRuehl" w:cs="FrankRuehl"/>
          <w:spacing w:val="10"/>
        </w:rPr>
        <w:t>Temporal discounting</w:t>
      </w:r>
      <w:r w:rsidRPr="00284859">
        <w:rPr>
          <w:rFonts w:ascii="FrankRuehl" w:hAnsi="FrankRuehl" w:cs="FrankRuehl"/>
          <w:spacing w:val="10"/>
          <w:sz w:val="28"/>
          <w:szCs w:val="28"/>
          <w:rtl/>
        </w:rPr>
        <w:t xml:space="preserve"> או </w:t>
      </w:r>
      <w:r w:rsidRPr="00284859">
        <w:rPr>
          <w:rFonts w:ascii="FrankRuehl" w:hAnsi="FrankRuehl" w:cs="FrankRuehl"/>
          <w:spacing w:val="10"/>
        </w:rPr>
        <w:t>Time discounting</w:t>
      </w:r>
      <w:r w:rsidRPr="00284859">
        <w:rPr>
          <w:rFonts w:ascii="Century" w:hAnsi="Century" w:cs="FrankRuehl"/>
          <w:spacing w:val="10"/>
          <w:sz w:val="28"/>
          <w:szCs w:val="28"/>
          <w:rtl/>
        </w:rPr>
        <w:t>) (</w:t>
      </w:r>
      <w:r w:rsidRPr="00284859">
        <w:rPr>
          <w:rFonts w:ascii="FrankRuehl" w:hAnsi="FrankRuehl" w:cs="FrankRuehl"/>
          <w:spacing w:val="10"/>
        </w:rPr>
        <w:t xml:space="preserve">John Black, Nigar Hashimzade &amp; Gareth Myles, </w:t>
      </w:r>
      <w:r w:rsidRPr="00284859">
        <w:rPr>
          <w:rFonts w:ascii="FrankRuehl" w:hAnsi="FrankRuehl" w:cs="FrankRuehl"/>
          <w:i/>
          <w:spacing w:val="10"/>
        </w:rPr>
        <w:t>A Dictionary of Economics</w:t>
      </w:r>
      <w:r w:rsidRPr="00284859">
        <w:rPr>
          <w:rFonts w:ascii="FrankRuehl" w:hAnsi="FrankRuehl" w:cs="FrankRuehl"/>
          <w:spacing w:val="10"/>
        </w:rPr>
        <w:t xml:space="preserve"> (Oxford Univ. Press, 5th ed. 2012)</w:t>
      </w:r>
      <w:r w:rsidRPr="00284859">
        <w:rPr>
          <w:rFonts w:ascii="Century" w:hAnsi="Century" w:cs="FrankRuehl"/>
          <w:spacing w:val="10"/>
          <w:sz w:val="28"/>
          <w:szCs w:val="28"/>
          <w:rtl/>
        </w:rPr>
        <w:t>).</w:t>
      </w:r>
      <w:r w:rsidRPr="00284859">
        <w:rPr>
          <w:rFonts w:ascii="Century" w:hAnsi="Century" w:cs="FrankRuehl"/>
          <w:spacing w:val="10"/>
          <w:sz w:val="20"/>
          <w:szCs w:val="28"/>
          <w:rtl/>
        </w:rPr>
        <w:t xml:space="preserve"> בהתאם לעיקרון זה, ההערכה הסובייקטיבית של תגמול גוברת ככל שהוא ניתן מוקדם יותר על פני ציר זמן, גם אם התשלום העתידי צפוי להיות משתלם יותר כלכלית.  </w:t>
      </w:r>
    </w:p>
    <w:p w14:paraId="08B6ABEB" w14:textId="77777777" w:rsidR="00284859" w:rsidRPr="00284859" w:rsidRDefault="00284859" w:rsidP="00284859">
      <w:pPr>
        <w:overflowPunct w:val="0"/>
        <w:autoSpaceDE w:val="0"/>
        <w:autoSpaceDN w:val="0"/>
        <w:adjustRightInd w:val="0"/>
        <w:spacing w:line="360" w:lineRule="auto"/>
        <w:ind w:firstLine="720"/>
        <w:jc w:val="both"/>
        <w:rPr>
          <w:rFonts w:ascii="Century" w:hAnsi="Century" w:cs="FrankRuehl"/>
          <w:spacing w:val="10"/>
          <w:sz w:val="20"/>
          <w:szCs w:val="28"/>
          <w:rtl/>
        </w:rPr>
      </w:pPr>
    </w:p>
    <w:p w14:paraId="62EDFF5B" w14:textId="77777777" w:rsidR="00284859" w:rsidRPr="00284859" w:rsidRDefault="003F4D61"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tl/>
        </w:rPr>
      </w:pPr>
      <w:r>
        <w:rPr>
          <w:rFonts w:ascii="Garamond" w:hAnsi="Garamond" w:cs="FrankRuehl" w:hint="cs"/>
          <w:spacing w:val="10"/>
          <w:szCs w:val="28"/>
          <w:rtl/>
        </w:rPr>
        <w:t>37.</w:t>
      </w:r>
      <w:r>
        <w:rPr>
          <w:rFonts w:ascii="Garamond" w:hAnsi="Garamond" w:cs="FrankRuehl" w:hint="cs"/>
          <w:spacing w:val="10"/>
          <w:szCs w:val="28"/>
          <w:rtl/>
        </w:rPr>
        <w:tab/>
      </w:r>
      <w:r w:rsidR="00000000" w:rsidRPr="00284859">
        <w:rPr>
          <w:rFonts w:ascii="Garamond" w:hAnsi="Garamond" w:cs="FrankRuehl"/>
          <w:spacing w:val="10"/>
          <w:szCs w:val="28"/>
          <w:rtl/>
        </w:rPr>
        <w:t xml:space="preserve">לכך יש להוסיף כי חברות כדוגמת חברות שפיר, אשר ככלל, בשלב הבנייה הכנסותיהן מוגבלות והוצאותיהן גבוהות, עשויות להעריך במיוחד תמריצים כספיים הניתנים בשלב הבנייה. תמריצים כאלה מסייעים להפחית את הלחץ התזרימי המוטל עליהן בשלב זה; ומביאים לנזילות גבוהה יותר המאפשרת תנאי מימון נוחים יותר הדרושים להקמתם של מפעלי בנייה עתירי משאבים. האפקט של תמריצים כספיים שיינתנו רק לאחר בחינת תנאי הזכאות צפוי להיות מצומצם יותר, שכן מדובר יהיה בשלב בו החברה כבר מקבלת בדרך כלל הכנסות מהשכרת הדירות או מכירתן. </w:t>
      </w:r>
    </w:p>
    <w:p w14:paraId="5F6A2D9C" w14:textId="77777777" w:rsidR="00284859" w:rsidRPr="00284859" w:rsidRDefault="00284859" w:rsidP="00284859">
      <w:pPr>
        <w:overflowPunct w:val="0"/>
        <w:autoSpaceDE w:val="0"/>
        <w:autoSpaceDN w:val="0"/>
        <w:adjustRightInd w:val="0"/>
        <w:spacing w:line="360" w:lineRule="auto"/>
        <w:jc w:val="both"/>
        <w:rPr>
          <w:rFonts w:ascii="Century" w:hAnsi="Century" w:cs="FrankRuehl"/>
          <w:spacing w:val="10"/>
          <w:sz w:val="20"/>
          <w:szCs w:val="28"/>
          <w:rtl/>
        </w:rPr>
      </w:pPr>
    </w:p>
    <w:p w14:paraId="07649490" w14:textId="77777777" w:rsidR="00284859" w:rsidRPr="00284859" w:rsidRDefault="003F4D61" w:rsidP="00284859">
      <w:pPr>
        <w:tabs>
          <w:tab w:val="left" w:pos="800"/>
          <w:tab w:val="num" w:pos="907"/>
          <w:tab w:val="num" w:pos="1474"/>
        </w:tabs>
        <w:overflowPunct w:val="0"/>
        <w:autoSpaceDE w:val="0"/>
        <w:autoSpaceDN w:val="0"/>
        <w:adjustRightInd w:val="0"/>
        <w:spacing w:line="360" w:lineRule="auto"/>
        <w:jc w:val="both"/>
        <w:rPr>
          <w:rFonts w:ascii="Garamond" w:hAnsi="Garamond" w:cs="FrankRuehl"/>
          <w:spacing w:val="10"/>
          <w:szCs w:val="28"/>
          <w:rtl/>
        </w:rPr>
      </w:pPr>
      <w:r>
        <w:rPr>
          <w:rFonts w:ascii="Garamond" w:hAnsi="Garamond" w:cs="FrankRuehl" w:hint="cs"/>
          <w:spacing w:val="10"/>
          <w:szCs w:val="28"/>
          <w:rtl/>
        </w:rPr>
        <w:t>38.</w:t>
      </w:r>
      <w:r>
        <w:rPr>
          <w:rFonts w:ascii="Garamond" w:hAnsi="Garamond" w:cs="FrankRuehl" w:hint="cs"/>
          <w:spacing w:val="10"/>
          <w:szCs w:val="28"/>
          <w:rtl/>
        </w:rPr>
        <w:tab/>
      </w:r>
      <w:r w:rsidR="00000000" w:rsidRPr="00284859">
        <w:rPr>
          <w:rFonts w:ascii="Garamond" w:hAnsi="Garamond" w:cs="FrankRuehl"/>
          <w:spacing w:val="10"/>
          <w:szCs w:val="28"/>
          <w:rtl/>
        </w:rPr>
        <w:t xml:space="preserve">אם כך, פרשנות לפיה ההטבה תינתן עם אישור הבניין כ"בניין חדש להשכרה", תיטיב להגשים את תכלית החוק שכן היא מעצימה את התמריץ ליזמים ומעודדת בנייה להשכרה. זאת, כאשר במקביל עומדת חובתו של היזם לעמוד במכלול התנאים וחובתו להשיב את סכום ההטבה בתוספת הפרשי הצמדה וריבית אם יתברר בדיעבד כי הוא לא עמד בתנאי הזכאות. </w:t>
      </w:r>
    </w:p>
    <w:p w14:paraId="38A41874" w14:textId="77777777" w:rsidR="00561BB9" w:rsidRPr="00284859" w:rsidRDefault="00561BB9" w:rsidP="00284859">
      <w:pPr>
        <w:tabs>
          <w:tab w:val="left" w:pos="800"/>
        </w:tabs>
        <w:overflowPunct w:val="0"/>
        <w:autoSpaceDE w:val="0"/>
        <w:autoSpaceDN w:val="0"/>
        <w:adjustRightInd w:val="0"/>
        <w:spacing w:line="360" w:lineRule="auto"/>
        <w:jc w:val="both"/>
        <w:rPr>
          <w:rFonts w:ascii="Arial TUR" w:hAnsi="Arial TUR" w:cs="FrankRuehl"/>
          <w:spacing w:val="10"/>
          <w:sz w:val="18"/>
          <w:szCs w:val="22"/>
          <w:rtl/>
        </w:rPr>
      </w:pPr>
    </w:p>
    <w:p w14:paraId="0A4AE034" w14:textId="77777777" w:rsidR="00284859" w:rsidRPr="00284859" w:rsidRDefault="00000000" w:rsidP="00284859">
      <w:pPr>
        <w:tabs>
          <w:tab w:val="left" w:pos="800"/>
        </w:tabs>
        <w:overflowPunct w:val="0"/>
        <w:autoSpaceDE w:val="0"/>
        <w:autoSpaceDN w:val="0"/>
        <w:adjustRightInd w:val="0"/>
        <w:spacing w:line="360" w:lineRule="auto"/>
        <w:jc w:val="both"/>
        <w:rPr>
          <w:rFonts w:ascii="Century" w:hAnsi="Century" w:cs="Miriam"/>
          <w:b/>
          <w:sz w:val="22"/>
          <w:rtl/>
        </w:rPr>
      </w:pPr>
      <w:r w:rsidRPr="00284859">
        <w:rPr>
          <w:rFonts w:ascii="Century" w:hAnsi="Century" w:cs="Miriam"/>
          <w:b/>
          <w:sz w:val="22"/>
          <w:rtl/>
        </w:rPr>
        <w:t xml:space="preserve">סוף דבר </w:t>
      </w:r>
    </w:p>
    <w:p w14:paraId="7587D7FF" w14:textId="77777777" w:rsidR="00561BB9" w:rsidRPr="00561BB9" w:rsidRDefault="00561BB9" w:rsidP="00284859">
      <w:pPr>
        <w:tabs>
          <w:tab w:val="left" w:pos="800"/>
          <w:tab w:val="num" w:pos="1474"/>
        </w:tabs>
        <w:overflowPunct w:val="0"/>
        <w:autoSpaceDE w:val="0"/>
        <w:autoSpaceDN w:val="0"/>
        <w:adjustRightInd w:val="0"/>
        <w:spacing w:line="360" w:lineRule="auto"/>
        <w:jc w:val="both"/>
        <w:rPr>
          <w:rFonts w:ascii="Garamond" w:hAnsi="Garamond" w:cs="FrankRuehl"/>
          <w:spacing w:val="10"/>
          <w:sz w:val="20"/>
          <w:szCs w:val="22"/>
          <w:rtl/>
        </w:rPr>
      </w:pPr>
    </w:p>
    <w:p w14:paraId="777638CF" w14:textId="77777777" w:rsidR="00284859" w:rsidRDefault="00000000"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tl/>
        </w:rPr>
      </w:pPr>
      <w:r w:rsidRPr="00284859">
        <w:rPr>
          <w:rFonts w:ascii="Garamond" w:hAnsi="Garamond" w:cs="FrankRuehl"/>
          <w:spacing w:val="10"/>
          <w:szCs w:val="28"/>
          <w:rtl/>
        </w:rPr>
        <w:tab/>
        <w:t>לאור כל האמור לעיל – אציע לחברי לדחות את הערעור והערעור שכנגד. בשים לב לתוצאה אליה הגעתי, אינני סבורה כי יש לעשות צו להוצאות.</w:t>
      </w:r>
    </w:p>
    <w:p w14:paraId="0D6E620D" w14:textId="77777777" w:rsidR="00284859" w:rsidRDefault="00284859" w:rsidP="00284859">
      <w:pPr>
        <w:tabs>
          <w:tab w:val="left" w:pos="800"/>
          <w:tab w:val="num" w:pos="1474"/>
        </w:tabs>
        <w:overflowPunct w:val="0"/>
        <w:autoSpaceDE w:val="0"/>
        <w:autoSpaceDN w:val="0"/>
        <w:adjustRightInd w:val="0"/>
        <w:spacing w:line="360" w:lineRule="auto"/>
        <w:jc w:val="both"/>
        <w:rPr>
          <w:rFonts w:ascii="Garamond" w:hAnsi="Garamond" w:cs="FrankRuehl"/>
          <w:spacing w:val="10"/>
          <w:szCs w:val="28"/>
          <w:rtl/>
        </w:rPr>
      </w:pPr>
    </w:p>
    <w:tbl>
      <w:tblPr>
        <w:bidiVisual/>
        <w:tblW w:w="0" w:type="auto"/>
        <w:tblLook w:val="04A0" w:firstRow="1" w:lastRow="0" w:firstColumn="1" w:lastColumn="0" w:noHBand="0" w:noVBand="1"/>
      </w:tblPr>
      <w:tblGrid>
        <w:gridCol w:w="2765"/>
        <w:gridCol w:w="2766"/>
        <w:gridCol w:w="2766"/>
      </w:tblGrid>
      <w:tr w:rsidR="00320E8F" w14:paraId="5E31413E" w14:textId="77777777" w:rsidTr="007A6BE9">
        <w:tc>
          <w:tcPr>
            <w:tcW w:w="2765" w:type="dxa"/>
            <w:shd w:val="clear" w:color="auto" w:fill="auto"/>
          </w:tcPr>
          <w:p w14:paraId="5EB44225" w14:textId="77777777" w:rsidR="00284859" w:rsidRPr="007A6BE9" w:rsidRDefault="00284859" w:rsidP="007A6BE9">
            <w:pPr>
              <w:spacing w:line="360" w:lineRule="auto"/>
              <w:jc w:val="center"/>
              <w:rPr>
                <w:rFonts w:ascii="FrankRuehl" w:hAnsi="FrankRuehl" w:cs="FrankRuehl"/>
                <w:sz w:val="28"/>
                <w:szCs w:val="28"/>
                <w:rtl/>
              </w:rPr>
            </w:pPr>
          </w:p>
        </w:tc>
        <w:tc>
          <w:tcPr>
            <w:tcW w:w="2766" w:type="dxa"/>
            <w:shd w:val="clear" w:color="auto" w:fill="auto"/>
          </w:tcPr>
          <w:p w14:paraId="445A72D6" w14:textId="77777777" w:rsidR="00284859" w:rsidRPr="007A6BE9" w:rsidRDefault="00284859" w:rsidP="007A6BE9">
            <w:pPr>
              <w:spacing w:line="360" w:lineRule="auto"/>
              <w:jc w:val="center"/>
              <w:rPr>
                <w:rFonts w:ascii="FrankRuehl" w:hAnsi="FrankRuehl" w:cs="FrankRuehl"/>
                <w:sz w:val="28"/>
                <w:szCs w:val="28"/>
                <w:rtl/>
              </w:rPr>
            </w:pPr>
          </w:p>
        </w:tc>
        <w:tc>
          <w:tcPr>
            <w:tcW w:w="2766" w:type="dxa"/>
            <w:shd w:val="clear" w:color="auto" w:fill="auto"/>
          </w:tcPr>
          <w:p w14:paraId="5CF45D13" w14:textId="77777777" w:rsidR="007A6BE9" w:rsidRPr="007A6BE9" w:rsidRDefault="007A6BE9">
            <w:pPr>
              <w:rPr>
                <w:rFonts w:ascii="Courier New" w:hAnsi="Courier New"/>
              </w:rPr>
            </w:pPr>
          </w:p>
          <w:p w14:paraId="25A379DF" w14:textId="77777777" w:rsidR="007A6BE9" w:rsidRPr="007A6BE9" w:rsidRDefault="00000000" w:rsidP="007A6BE9">
            <w:pPr>
              <w:jc w:val="center"/>
              <w:rPr>
                <w:rFonts w:ascii="FrankRuehl" w:hAnsi="FrankRuehl" w:cs="FrankRuehl"/>
                <w:spacing w:val="10"/>
                <w:sz w:val="28"/>
                <w:szCs w:val="28"/>
                <w:rtl/>
              </w:rPr>
            </w:pPr>
            <w:r w:rsidRPr="007A6BE9">
              <w:rPr>
                <w:rFonts w:ascii="FrankRuehl" w:hAnsi="FrankRuehl" w:cs="FrankRuehl"/>
                <w:spacing w:val="10"/>
                <w:sz w:val="28"/>
                <w:szCs w:val="28"/>
                <w:rtl/>
              </w:rPr>
              <w:t>רות רונן</w:t>
            </w:r>
          </w:p>
          <w:p w14:paraId="0B871CEF" w14:textId="77777777" w:rsidR="007A6BE9" w:rsidRPr="007A6BE9" w:rsidRDefault="00000000" w:rsidP="004F02E3">
            <w:pPr>
              <w:rPr>
                <w:rFonts w:ascii="Courier New" w:hAnsi="Courier New"/>
              </w:rPr>
            </w:pPr>
            <w:r w:rsidRPr="007A6BE9">
              <w:rPr>
                <w:rFonts w:ascii="FrankRuehl" w:hAnsi="FrankRuehl" w:cs="FrankRuehl"/>
                <w:spacing w:val="10"/>
                <w:sz w:val="28"/>
                <w:szCs w:val="28"/>
                <w:rtl/>
              </w:rPr>
              <w:t>שופטת</w:t>
            </w:r>
          </w:p>
          <w:p w14:paraId="596DA3C9" w14:textId="77777777" w:rsidR="00284859" w:rsidRPr="007A6BE9" w:rsidRDefault="00284859" w:rsidP="007A6BE9">
            <w:pPr>
              <w:spacing w:line="360" w:lineRule="auto"/>
              <w:rPr>
                <w:rFonts w:ascii="FrankRuehl" w:hAnsi="FrankRuehl" w:cs="FrankRuehl"/>
                <w:sz w:val="28"/>
                <w:szCs w:val="28"/>
                <w:rtl/>
              </w:rPr>
            </w:pPr>
          </w:p>
        </w:tc>
      </w:tr>
    </w:tbl>
    <w:p w14:paraId="22A0BE98" w14:textId="77777777" w:rsidR="00284859" w:rsidRDefault="00284859" w:rsidP="00284859">
      <w:pPr>
        <w:overflowPunct w:val="0"/>
        <w:autoSpaceDE w:val="0"/>
        <w:autoSpaceDN w:val="0"/>
        <w:adjustRightInd w:val="0"/>
        <w:spacing w:line="360" w:lineRule="auto"/>
        <w:rPr>
          <w:rFonts w:ascii="Garamond" w:hAnsi="Garamond" w:cs="FrankRuehl"/>
          <w:spacing w:val="10"/>
          <w:szCs w:val="28"/>
          <w:rtl/>
        </w:rPr>
      </w:pPr>
    </w:p>
    <w:p w14:paraId="0BBC833F" w14:textId="77777777" w:rsidR="00796168" w:rsidRPr="00284859" w:rsidRDefault="00796168" w:rsidP="00284859">
      <w:pPr>
        <w:overflowPunct w:val="0"/>
        <w:autoSpaceDE w:val="0"/>
        <w:autoSpaceDN w:val="0"/>
        <w:adjustRightInd w:val="0"/>
        <w:spacing w:line="360" w:lineRule="auto"/>
        <w:rPr>
          <w:rFonts w:ascii="Century" w:hAnsi="Century" w:cs="FrankRuehl"/>
          <w:spacing w:val="10"/>
          <w:sz w:val="20"/>
          <w:szCs w:val="28"/>
          <w:rtl/>
        </w:rPr>
      </w:pPr>
    </w:p>
    <w:p w14:paraId="5A03B9F0" w14:textId="77777777" w:rsidR="00284859" w:rsidRPr="00284859" w:rsidRDefault="00000000" w:rsidP="00284859">
      <w:pPr>
        <w:suppressLineNumbers/>
        <w:autoSpaceDN w:val="0"/>
        <w:rPr>
          <w:rFonts w:ascii="Century" w:hAnsi="Century" w:cs="Miriam"/>
          <w:b/>
          <w:sz w:val="22"/>
          <w:u w:val="single"/>
          <w:rtl/>
        </w:rPr>
      </w:pPr>
      <w:r w:rsidRPr="00284859">
        <w:rPr>
          <w:rFonts w:ascii="Century" w:hAnsi="Century" w:cs="Miriam"/>
          <w:b/>
          <w:sz w:val="22"/>
          <w:u w:val="single"/>
          <w:rtl/>
        </w:rPr>
        <w:t>ממלא מקום הנשיא עוזי פוגלמן:</w:t>
      </w:r>
    </w:p>
    <w:p w14:paraId="5C0112EA" w14:textId="77777777" w:rsidR="00284859" w:rsidRPr="00284859" w:rsidRDefault="00284859" w:rsidP="00284859">
      <w:pPr>
        <w:suppressLineNumbers/>
        <w:autoSpaceDN w:val="0"/>
        <w:rPr>
          <w:rFonts w:ascii="Century" w:hAnsi="Century" w:cs="Miriam"/>
          <w:b/>
          <w:sz w:val="22"/>
          <w:rtl/>
        </w:rPr>
      </w:pPr>
    </w:p>
    <w:p w14:paraId="303F75F9" w14:textId="77777777" w:rsidR="00284859" w:rsidRDefault="00284859" w:rsidP="00284859">
      <w:pPr>
        <w:suppressLineNumbers/>
        <w:autoSpaceDN w:val="0"/>
        <w:ind w:firstLine="720"/>
        <w:rPr>
          <w:rFonts w:ascii="Century" w:hAnsi="Century" w:cs="FrankRuehl"/>
          <w:spacing w:val="10"/>
          <w:sz w:val="22"/>
          <w:szCs w:val="28"/>
          <w:rtl/>
        </w:rPr>
      </w:pPr>
    </w:p>
    <w:p w14:paraId="0D9D9891" w14:textId="77777777" w:rsidR="00284859" w:rsidRPr="00284859" w:rsidRDefault="00000000" w:rsidP="00284859">
      <w:pPr>
        <w:suppressLineNumbers/>
        <w:autoSpaceDN w:val="0"/>
        <w:ind w:firstLine="720"/>
        <w:rPr>
          <w:rFonts w:ascii="Century" w:hAnsi="Century" w:cs="FrankRuehl"/>
          <w:spacing w:val="10"/>
          <w:sz w:val="22"/>
          <w:szCs w:val="28"/>
          <w:rtl/>
        </w:rPr>
      </w:pPr>
      <w:r>
        <w:rPr>
          <w:rFonts w:ascii="Century" w:hAnsi="Century" w:cs="FrankRuehl" w:hint="cs"/>
          <w:spacing w:val="10"/>
          <w:sz w:val="22"/>
          <w:szCs w:val="28"/>
          <w:rtl/>
        </w:rPr>
        <w:t>אני מסכים.</w:t>
      </w:r>
    </w:p>
    <w:p w14:paraId="71F2B49C" w14:textId="77777777" w:rsidR="00284859" w:rsidRDefault="00284859" w:rsidP="00284859">
      <w:pPr>
        <w:suppressLineNumbers/>
        <w:autoSpaceDN w:val="0"/>
        <w:rPr>
          <w:rFonts w:ascii="Century" w:hAnsi="Century" w:cs="Miriam"/>
          <w:b/>
          <w:sz w:val="22"/>
          <w:rtl/>
        </w:rPr>
      </w:pPr>
    </w:p>
    <w:tbl>
      <w:tblPr>
        <w:bidiVisual/>
        <w:tblW w:w="0" w:type="auto"/>
        <w:tblLook w:val="04A0" w:firstRow="1" w:lastRow="0" w:firstColumn="1" w:lastColumn="0" w:noHBand="0" w:noVBand="1"/>
      </w:tblPr>
      <w:tblGrid>
        <w:gridCol w:w="2765"/>
        <w:gridCol w:w="2766"/>
        <w:gridCol w:w="2766"/>
      </w:tblGrid>
      <w:tr w:rsidR="00320E8F" w14:paraId="45D578BF" w14:textId="77777777" w:rsidTr="007A6BE9">
        <w:tc>
          <w:tcPr>
            <w:tcW w:w="2765" w:type="dxa"/>
            <w:shd w:val="clear" w:color="auto" w:fill="auto"/>
          </w:tcPr>
          <w:p w14:paraId="0707BEE2" w14:textId="77777777" w:rsidR="00284859" w:rsidRPr="007A6BE9" w:rsidRDefault="00284859" w:rsidP="007A6BE9">
            <w:pPr>
              <w:spacing w:line="360" w:lineRule="auto"/>
              <w:jc w:val="center"/>
              <w:rPr>
                <w:rFonts w:ascii="FrankRuehl" w:hAnsi="FrankRuehl" w:cs="FrankRuehl"/>
                <w:sz w:val="28"/>
                <w:szCs w:val="28"/>
                <w:rtl/>
              </w:rPr>
            </w:pPr>
          </w:p>
        </w:tc>
        <w:tc>
          <w:tcPr>
            <w:tcW w:w="2766" w:type="dxa"/>
            <w:shd w:val="clear" w:color="auto" w:fill="auto"/>
          </w:tcPr>
          <w:p w14:paraId="4F32A178" w14:textId="77777777" w:rsidR="00284859" w:rsidRPr="007A6BE9" w:rsidRDefault="00284859" w:rsidP="007A6BE9">
            <w:pPr>
              <w:spacing w:line="360" w:lineRule="auto"/>
              <w:jc w:val="center"/>
              <w:rPr>
                <w:rFonts w:ascii="FrankRuehl" w:hAnsi="FrankRuehl" w:cs="FrankRuehl"/>
                <w:sz w:val="28"/>
                <w:szCs w:val="28"/>
                <w:rtl/>
              </w:rPr>
            </w:pPr>
          </w:p>
        </w:tc>
        <w:tc>
          <w:tcPr>
            <w:tcW w:w="2766" w:type="dxa"/>
            <w:shd w:val="clear" w:color="auto" w:fill="auto"/>
          </w:tcPr>
          <w:p w14:paraId="6469495D" w14:textId="77777777" w:rsidR="007A6BE9" w:rsidRPr="007A6BE9" w:rsidRDefault="007A6BE9">
            <w:pPr>
              <w:rPr>
                <w:rFonts w:ascii="Courier New" w:hAnsi="Courier New"/>
                <w:sz w:val="20"/>
                <w:szCs w:val="20"/>
              </w:rPr>
            </w:pPr>
          </w:p>
          <w:p w14:paraId="36306DA5" w14:textId="77777777" w:rsidR="007A6BE9" w:rsidRPr="007A6BE9" w:rsidRDefault="00000000" w:rsidP="007A6BE9">
            <w:pPr>
              <w:jc w:val="center"/>
              <w:rPr>
                <w:rFonts w:ascii="FrankRuehl" w:hAnsi="FrankRuehl" w:cs="FrankRuehl"/>
                <w:spacing w:val="10"/>
                <w:sz w:val="28"/>
                <w:szCs w:val="28"/>
                <w:rtl/>
              </w:rPr>
            </w:pPr>
            <w:r w:rsidRPr="007A6BE9">
              <w:rPr>
                <w:rFonts w:ascii="FrankRuehl" w:hAnsi="FrankRuehl" w:cs="FrankRuehl"/>
                <w:spacing w:val="10"/>
                <w:sz w:val="28"/>
                <w:szCs w:val="28"/>
                <w:rtl/>
              </w:rPr>
              <w:t>עוזי פוגלמן</w:t>
            </w:r>
          </w:p>
          <w:p w14:paraId="7AEB2C41" w14:textId="77777777" w:rsidR="007A6BE9" w:rsidRPr="007A6BE9" w:rsidRDefault="00000000" w:rsidP="004F02E3">
            <w:pPr>
              <w:rPr>
                <w:rFonts w:ascii="Courier New" w:hAnsi="Courier New"/>
              </w:rPr>
            </w:pPr>
            <w:r w:rsidRPr="007A6BE9">
              <w:rPr>
                <w:rFonts w:ascii="FrankRuehl" w:hAnsi="FrankRuehl" w:cs="FrankRuehl"/>
                <w:spacing w:val="10"/>
                <w:sz w:val="28"/>
                <w:szCs w:val="28"/>
                <w:rtl/>
              </w:rPr>
              <w:t>ממלא מקום הנשיא</w:t>
            </w:r>
          </w:p>
          <w:p w14:paraId="2B0DA73C" w14:textId="77777777" w:rsidR="00284859" w:rsidRPr="007A6BE9" w:rsidRDefault="00284859" w:rsidP="007A6BE9">
            <w:pPr>
              <w:spacing w:line="360" w:lineRule="auto"/>
              <w:rPr>
                <w:rFonts w:ascii="FrankRuehl" w:hAnsi="FrankRuehl" w:cs="FrankRuehl"/>
                <w:sz w:val="28"/>
                <w:szCs w:val="28"/>
                <w:rtl/>
              </w:rPr>
            </w:pPr>
          </w:p>
        </w:tc>
      </w:tr>
    </w:tbl>
    <w:p w14:paraId="298609F6" w14:textId="77777777" w:rsidR="00284859" w:rsidRPr="00284859" w:rsidRDefault="00284859" w:rsidP="00284859">
      <w:pPr>
        <w:suppressLineNumbers/>
        <w:autoSpaceDN w:val="0"/>
        <w:rPr>
          <w:rFonts w:ascii="Century" w:hAnsi="Century" w:cs="Miriam"/>
          <w:b/>
          <w:sz w:val="22"/>
          <w:rtl/>
        </w:rPr>
      </w:pPr>
    </w:p>
    <w:p w14:paraId="1638DC4A" w14:textId="77777777" w:rsidR="00284859" w:rsidRPr="00284859" w:rsidRDefault="00284859" w:rsidP="00284859">
      <w:pPr>
        <w:suppressLineNumbers/>
        <w:autoSpaceDN w:val="0"/>
        <w:rPr>
          <w:rFonts w:ascii="Century" w:hAnsi="Century" w:cs="Miriam"/>
          <w:b/>
          <w:sz w:val="22"/>
          <w:rtl/>
        </w:rPr>
      </w:pPr>
    </w:p>
    <w:p w14:paraId="1E67C605" w14:textId="77777777" w:rsidR="00284859" w:rsidRPr="00284859" w:rsidRDefault="00000000" w:rsidP="00284859">
      <w:pPr>
        <w:suppressLineNumbers/>
        <w:autoSpaceDN w:val="0"/>
        <w:rPr>
          <w:rFonts w:ascii="Century" w:hAnsi="Century" w:cs="Miriam"/>
          <w:b/>
          <w:sz w:val="22"/>
          <w:u w:val="single"/>
          <w:rtl/>
        </w:rPr>
      </w:pPr>
      <w:r w:rsidRPr="00284859">
        <w:rPr>
          <w:rFonts w:ascii="Century" w:hAnsi="Century" w:cs="Miriam"/>
          <w:b/>
          <w:sz w:val="22"/>
          <w:u w:val="single"/>
          <w:rtl/>
        </w:rPr>
        <w:t>השופטת דפנה ברק-ארז:</w:t>
      </w:r>
    </w:p>
    <w:p w14:paraId="0E247E11" w14:textId="77777777" w:rsidR="00284859" w:rsidRPr="00284859" w:rsidRDefault="00284859" w:rsidP="00284859">
      <w:pPr>
        <w:overflowPunct w:val="0"/>
        <w:autoSpaceDE w:val="0"/>
        <w:autoSpaceDN w:val="0"/>
        <w:adjustRightInd w:val="0"/>
        <w:spacing w:line="360" w:lineRule="auto"/>
        <w:rPr>
          <w:rFonts w:ascii="Century" w:hAnsi="Century" w:cs="FrankRuehl"/>
          <w:spacing w:val="10"/>
          <w:sz w:val="20"/>
          <w:szCs w:val="28"/>
          <w:rtl/>
        </w:rPr>
      </w:pPr>
    </w:p>
    <w:p w14:paraId="29051A42" w14:textId="77777777" w:rsidR="00C61238" w:rsidRDefault="00284859" w:rsidP="00284859">
      <w:pPr>
        <w:overflowPunct w:val="0"/>
        <w:autoSpaceDE w:val="0"/>
        <w:autoSpaceDN w:val="0"/>
        <w:adjustRightInd w:val="0"/>
        <w:spacing w:line="360" w:lineRule="auto"/>
        <w:ind w:firstLine="720"/>
        <w:rPr>
          <w:rFonts w:ascii="FrankRuehl" w:hAnsi="FrankRuehl" w:cs="FrankRuehl"/>
          <w:spacing w:val="10"/>
          <w:sz w:val="28"/>
          <w:szCs w:val="28"/>
          <w:rtl/>
        </w:rPr>
      </w:pPr>
      <w:r>
        <w:rPr>
          <w:rFonts w:ascii="Century" w:hAnsi="Century" w:cs="FrankRuehl" w:hint="cs"/>
          <w:spacing w:val="10"/>
          <w:sz w:val="22"/>
          <w:szCs w:val="28"/>
          <w:rtl/>
        </w:rPr>
        <w:t>אני מסכימה.</w:t>
      </w:r>
    </w:p>
    <w:tbl>
      <w:tblPr>
        <w:bidiVisual/>
        <w:tblW w:w="0" w:type="auto"/>
        <w:tblLook w:val="04A0" w:firstRow="1" w:lastRow="0" w:firstColumn="1" w:lastColumn="0" w:noHBand="0" w:noVBand="1"/>
      </w:tblPr>
      <w:tblGrid>
        <w:gridCol w:w="2765"/>
        <w:gridCol w:w="2766"/>
        <w:gridCol w:w="2766"/>
      </w:tblGrid>
      <w:tr w:rsidR="00320E8F" w14:paraId="7871CED3" w14:textId="77777777" w:rsidTr="007A6BE9">
        <w:tc>
          <w:tcPr>
            <w:tcW w:w="2765" w:type="dxa"/>
            <w:shd w:val="clear" w:color="auto" w:fill="auto"/>
          </w:tcPr>
          <w:p w14:paraId="43CD25C6" w14:textId="77777777" w:rsidR="00284859" w:rsidRPr="007A6BE9" w:rsidRDefault="00284859" w:rsidP="007A6BE9">
            <w:pPr>
              <w:spacing w:line="360" w:lineRule="auto"/>
              <w:jc w:val="center"/>
              <w:rPr>
                <w:rFonts w:ascii="FrankRuehl" w:hAnsi="FrankRuehl" w:cs="FrankRuehl"/>
                <w:sz w:val="28"/>
                <w:szCs w:val="28"/>
                <w:rtl/>
              </w:rPr>
            </w:pPr>
          </w:p>
        </w:tc>
        <w:tc>
          <w:tcPr>
            <w:tcW w:w="2766" w:type="dxa"/>
            <w:shd w:val="clear" w:color="auto" w:fill="auto"/>
          </w:tcPr>
          <w:p w14:paraId="302F07EE" w14:textId="77777777" w:rsidR="00284859" w:rsidRPr="007A6BE9" w:rsidRDefault="00284859" w:rsidP="007A6BE9">
            <w:pPr>
              <w:spacing w:line="360" w:lineRule="auto"/>
              <w:jc w:val="center"/>
              <w:rPr>
                <w:rFonts w:ascii="FrankRuehl" w:hAnsi="FrankRuehl" w:cs="FrankRuehl"/>
                <w:sz w:val="28"/>
                <w:szCs w:val="28"/>
                <w:rtl/>
              </w:rPr>
            </w:pPr>
          </w:p>
        </w:tc>
        <w:tc>
          <w:tcPr>
            <w:tcW w:w="2766" w:type="dxa"/>
            <w:shd w:val="clear" w:color="auto" w:fill="auto"/>
          </w:tcPr>
          <w:p w14:paraId="174FF7A0" w14:textId="77777777" w:rsidR="007A6BE9" w:rsidRPr="007A6BE9" w:rsidRDefault="007A6BE9" w:rsidP="004F02E3">
            <w:pPr>
              <w:rPr>
                <w:rFonts w:ascii="Courier New" w:hAnsi="Courier New"/>
                <w:rtl/>
              </w:rPr>
            </w:pPr>
          </w:p>
          <w:p w14:paraId="71DB7782" w14:textId="77777777" w:rsidR="007A6BE9" w:rsidRPr="007A6BE9" w:rsidRDefault="00000000" w:rsidP="007A6BE9">
            <w:pPr>
              <w:pStyle w:val="31"/>
              <w:jc w:val="center"/>
              <w:rPr>
                <w:rFonts w:cs="FrankRuehl"/>
                <w:b/>
                <w:bCs/>
                <w:spacing w:val="10"/>
                <w:sz w:val="28"/>
                <w:szCs w:val="28"/>
                <w:rtl/>
              </w:rPr>
            </w:pPr>
            <w:r w:rsidRPr="007A6BE9">
              <w:rPr>
                <w:rFonts w:cs="FrankRuehl" w:hint="cs"/>
                <w:spacing w:val="10"/>
                <w:sz w:val="28"/>
                <w:szCs w:val="28"/>
                <w:rtl/>
              </w:rPr>
              <w:t xml:space="preserve">דפנה ברק-ארז </w:t>
            </w:r>
          </w:p>
          <w:p w14:paraId="0B84B3E3" w14:textId="77777777" w:rsidR="007A6BE9" w:rsidRPr="007A6BE9" w:rsidRDefault="00000000" w:rsidP="004F02E3">
            <w:pPr>
              <w:pStyle w:val="31"/>
              <w:rPr>
                <w:rFonts w:cs="FrankRuehl"/>
                <w:b/>
                <w:bCs/>
                <w:spacing w:val="10"/>
                <w:sz w:val="28"/>
                <w:szCs w:val="28"/>
                <w:rtl/>
              </w:rPr>
            </w:pPr>
            <w:r w:rsidRPr="007A6BE9">
              <w:rPr>
                <w:rFonts w:cs="FrankRuehl"/>
                <w:spacing w:val="10"/>
                <w:sz w:val="28"/>
                <w:szCs w:val="28"/>
                <w:rtl/>
              </w:rPr>
              <w:t>שופטת</w:t>
            </w:r>
          </w:p>
          <w:p w14:paraId="7CF5B01A" w14:textId="77777777" w:rsidR="00284859" w:rsidRPr="007A6BE9" w:rsidRDefault="00284859" w:rsidP="007A6BE9">
            <w:pPr>
              <w:spacing w:line="360" w:lineRule="auto"/>
              <w:rPr>
                <w:rFonts w:ascii="FrankRuehl" w:hAnsi="FrankRuehl" w:cs="FrankRuehl"/>
                <w:sz w:val="28"/>
                <w:szCs w:val="28"/>
                <w:rtl/>
              </w:rPr>
            </w:pPr>
          </w:p>
        </w:tc>
      </w:tr>
    </w:tbl>
    <w:p w14:paraId="41187EBF" w14:textId="77777777" w:rsidR="00284859" w:rsidRPr="00FB7A67" w:rsidRDefault="00284859" w:rsidP="00284859">
      <w:pPr>
        <w:overflowPunct w:val="0"/>
        <w:autoSpaceDE w:val="0"/>
        <w:autoSpaceDN w:val="0"/>
        <w:adjustRightInd w:val="0"/>
        <w:spacing w:line="360" w:lineRule="auto"/>
        <w:rPr>
          <w:rFonts w:ascii="FrankRuehl" w:hAnsi="FrankRuehl" w:cs="FrankRuehl"/>
          <w:spacing w:val="10"/>
          <w:sz w:val="28"/>
          <w:szCs w:val="28"/>
          <w:rtl/>
        </w:rPr>
      </w:pPr>
    </w:p>
    <w:p w14:paraId="63C3363C" w14:textId="77777777" w:rsidR="00694556" w:rsidRDefault="00284859">
      <w:pPr>
        <w:spacing w:line="360" w:lineRule="auto"/>
        <w:jc w:val="both"/>
        <w:rPr>
          <w:rFonts w:ascii="FrankRuehl" w:hAnsi="FrankRuehl" w:cs="FrankRuehl"/>
          <w:spacing w:val="10"/>
          <w:sz w:val="28"/>
          <w:szCs w:val="28"/>
          <w:rtl/>
        </w:rPr>
      </w:pPr>
      <w:r>
        <w:rPr>
          <w:rFonts w:ascii="FrankRuehl" w:hAnsi="FrankRuehl" w:cs="FrankRuehl"/>
          <w:spacing w:val="10"/>
          <w:sz w:val="28"/>
          <w:szCs w:val="28"/>
          <w:rtl/>
        </w:rPr>
        <w:tab/>
      </w:r>
      <w:r>
        <w:rPr>
          <w:rFonts w:ascii="FrankRuehl" w:hAnsi="FrankRuehl" w:cs="FrankRuehl" w:hint="cs"/>
          <w:spacing w:val="10"/>
          <w:sz w:val="28"/>
          <w:szCs w:val="28"/>
          <w:rtl/>
        </w:rPr>
        <w:t xml:space="preserve">הוחלט כאמור בפסק דינה של השופטת </w:t>
      </w:r>
      <w:r w:rsidRPr="00796168">
        <w:rPr>
          <w:rFonts w:ascii="Miriam" w:hAnsi="Miriam" w:cs="Miriam"/>
          <w:spacing w:val="10"/>
          <w:rtl/>
        </w:rPr>
        <w:t>רות רונן</w:t>
      </w:r>
      <w:r>
        <w:rPr>
          <w:rFonts w:ascii="FrankRuehl" w:hAnsi="FrankRuehl" w:cs="FrankRuehl" w:hint="cs"/>
          <w:spacing w:val="10"/>
          <w:sz w:val="28"/>
          <w:szCs w:val="28"/>
          <w:rtl/>
        </w:rPr>
        <w:t>.</w:t>
      </w:r>
    </w:p>
    <w:p w14:paraId="53047543" w14:textId="77777777" w:rsidR="00284859" w:rsidRPr="00FB7A67" w:rsidRDefault="00284859">
      <w:pPr>
        <w:spacing w:line="360" w:lineRule="auto"/>
        <w:jc w:val="both"/>
        <w:rPr>
          <w:rFonts w:ascii="FrankRuehl" w:hAnsi="FrankRuehl" w:cs="FrankRuehl"/>
          <w:spacing w:val="10"/>
          <w:sz w:val="28"/>
          <w:szCs w:val="28"/>
          <w:rtl/>
        </w:rPr>
      </w:pPr>
    </w:p>
    <w:p w14:paraId="6D136088" w14:textId="77777777" w:rsidR="00561BB9" w:rsidRDefault="007A6BE9" w:rsidP="00561BB9">
      <w:pPr>
        <w:spacing w:line="360" w:lineRule="auto"/>
        <w:ind w:firstLine="720"/>
        <w:jc w:val="both"/>
        <w:rPr>
          <w:rFonts w:ascii="FrankRuehl" w:hAnsi="FrankRuehl" w:cs="FrankRuehl"/>
          <w:sz w:val="28"/>
          <w:szCs w:val="28"/>
          <w:rtl/>
        </w:rPr>
      </w:pPr>
      <w:bookmarkStart w:id="7" w:name="Nitan"/>
      <w:r w:rsidRPr="007A6BE9">
        <w:rPr>
          <w:rFonts w:ascii="FrankRuehl" w:hAnsi="FrankRuehl" w:cs="FrankRuehl"/>
          <w:color w:val="FFFFFF"/>
          <w:spacing w:val="10"/>
          <w:sz w:val="2"/>
          <w:szCs w:val="2"/>
          <w:rtl/>
        </w:rPr>
        <w:t>5129371</w:t>
      </w:r>
      <w:r>
        <w:rPr>
          <w:rFonts w:ascii="FrankRuehl" w:hAnsi="FrankRuehl" w:cs="FrankRuehl"/>
          <w:spacing w:val="10"/>
          <w:sz w:val="28"/>
          <w:szCs w:val="28"/>
          <w:rtl/>
        </w:rPr>
        <w:t xml:space="preserve">ניתן היום, י"ט אלול תשפ"ד (22 ספטמבר 2024). </w:t>
      </w:r>
      <w:bookmarkEnd w:id="7"/>
    </w:p>
    <w:tbl>
      <w:tblPr>
        <w:bidiVisual/>
        <w:tblW w:w="0" w:type="auto"/>
        <w:tblLook w:val="04A0" w:firstRow="1" w:lastRow="0" w:firstColumn="1" w:lastColumn="0" w:noHBand="0" w:noVBand="1"/>
      </w:tblPr>
      <w:tblGrid>
        <w:gridCol w:w="2765"/>
        <w:gridCol w:w="2766"/>
        <w:gridCol w:w="2766"/>
      </w:tblGrid>
      <w:tr w:rsidR="00320E8F" w14:paraId="7E89B143" w14:textId="77777777" w:rsidTr="007A6BE9">
        <w:tc>
          <w:tcPr>
            <w:tcW w:w="2765" w:type="dxa"/>
            <w:shd w:val="clear" w:color="auto" w:fill="auto"/>
          </w:tcPr>
          <w:p w14:paraId="1B6B2F67" w14:textId="77777777" w:rsidR="007A6BE9" w:rsidRPr="007A6BE9" w:rsidRDefault="00000000">
            <w:pPr>
              <w:rPr>
                <w:rFonts w:ascii="Courier New" w:hAnsi="Courier New"/>
                <w:color w:val="FFFFFF"/>
                <w:sz w:val="2"/>
                <w:szCs w:val="2"/>
              </w:rPr>
            </w:pPr>
            <w:r w:rsidRPr="007A6BE9">
              <w:rPr>
                <w:rFonts w:ascii="Courier New" w:hAnsi="Courier New"/>
                <w:color w:val="FFFFFF"/>
                <w:sz w:val="2"/>
                <w:szCs w:val="2"/>
                <w:rtl/>
              </w:rPr>
              <w:t>54678313</w:t>
            </w:r>
          </w:p>
          <w:p w14:paraId="7A064EC4" w14:textId="77777777" w:rsidR="007A6BE9" w:rsidRPr="007A6BE9" w:rsidRDefault="00000000" w:rsidP="007A6BE9">
            <w:pPr>
              <w:jc w:val="center"/>
              <w:rPr>
                <w:rFonts w:ascii="FrankRuehl" w:hAnsi="FrankRuehl" w:cs="FrankRuehl"/>
                <w:spacing w:val="10"/>
                <w:sz w:val="28"/>
                <w:szCs w:val="28"/>
                <w:rtl/>
              </w:rPr>
            </w:pPr>
            <w:r w:rsidRPr="007A6BE9">
              <w:rPr>
                <w:rFonts w:ascii="FrankRuehl" w:hAnsi="FrankRuehl" w:cs="FrankRuehl"/>
                <w:spacing w:val="10"/>
                <w:sz w:val="28"/>
                <w:szCs w:val="28"/>
                <w:rtl/>
              </w:rPr>
              <w:t>עוזי פוגלמן</w:t>
            </w:r>
          </w:p>
          <w:p w14:paraId="5F08B8ED" w14:textId="77777777" w:rsidR="007A6BE9" w:rsidRPr="007A6BE9" w:rsidRDefault="00000000" w:rsidP="004F02E3">
            <w:pPr>
              <w:rPr>
                <w:rFonts w:ascii="Courier New" w:hAnsi="Courier New"/>
              </w:rPr>
            </w:pPr>
            <w:r w:rsidRPr="007A6BE9">
              <w:rPr>
                <w:rFonts w:ascii="FrankRuehl" w:hAnsi="FrankRuehl" w:cs="FrankRuehl"/>
                <w:spacing w:val="10"/>
                <w:sz w:val="28"/>
                <w:szCs w:val="28"/>
                <w:rtl/>
              </w:rPr>
              <w:t>ממלא מקום הנשיא</w:t>
            </w:r>
          </w:p>
          <w:p w14:paraId="6CAB4286" w14:textId="77777777" w:rsidR="00E90C45" w:rsidRPr="007A6BE9" w:rsidRDefault="00E90C45" w:rsidP="007A6BE9">
            <w:pPr>
              <w:spacing w:line="360" w:lineRule="auto"/>
              <w:rPr>
                <w:rFonts w:ascii="FrankRuehl" w:hAnsi="FrankRuehl" w:cs="FrankRuehl"/>
                <w:sz w:val="28"/>
                <w:szCs w:val="28"/>
                <w:rtl/>
              </w:rPr>
            </w:pPr>
          </w:p>
        </w:tc>
        <w:tc>
          <w:tcPr>
            <w:tcW w:w="2766" w:type="dxa"/>
            <w:shd w:val="clear" w:color="auto" w:fill="auto"/>
          </w:tcPr>
          <w:p w14:paraId="0123F423" w14:textId="77777777" w:rsidR="007A6BE9" w:rsidRPr="007A6BE9" w:rsidRDefault="007A6BE9" w:rsidP="004F02E3">
            <w:pPr>
              <w:rPr>
                <w:rFonts w:ascii="Courier New" w:hAnsi="Courier New"/>
                <w:rtl/>
              </w:rPr>
            </w:pPr>
          </w:p>
          <w:p w14:paraId="5B599417" w14:textId="77777777" w:rsidR="007A6BE9" w:rsidRPr="007A6BE9" w:rsidRDefault="00000000" w:rsidP="007A6BE9">
            <w:pPr>
              <w:pStyle w:val="31"/>
              <w:jc w:val="center"/>
              <w:rPr>
                <w:rFonts w:cs="FrankRuehl"/>
                <w:b/>
                <w:bCs/>
                <w:spacing w:val="10"/>
                <w:sz w:val="28"/>
                <w:szCs w:val="28"/>
                <w:rtl/>
              </w:rPr>
            </w:pPr>
            <w:r w:rsidRPr="007A6BE9">
              <w:rPr>
                <w:rFonts w:cs="FrankRuehl" w:hint="cs"/>
                <w:spacing w:val="10"/>
                <w:sz w:val="28"/>
                <w:szCs w:val="28"/>
                <w:rtl/>
              </w:rPr>
              <w:t xml:space="preserve">דפנה ברק-ארז </w:t>
            </w:r>
          </w:p>
          <w:p w14:paraId="16932B19" w14:textId="77777777" w:rsidR="007A6BE9" w:rsidRPr="007A6BE9" w:rsidRDefault="00000000" w:rsidP="004F02E3">
            <w:pPr>
              <w:pStyle w:val="31"/>
              <w:rPr>
                <w:rFonts w:cs="FrankRuehl"/>
                <w:b/>
                <w:bCs/>
                <w:spacing w:val="10"/>
                <w:sz w:val="28"/>
                <w:szCs w:val="28"/>
                <w:rtl/>
              </w:rPr>
            </w:pPr>
            <w:r w:rsidRPr="007A6BE9">
              <w:rPr>
                <w:rFonts w:cs="FrankRuehl"/>
                <w:spacing w:val="10"/>
                <w:sz w:val="28"/>
                <w:szCs w:val="28"/>
                <w:rtl/>
              </w:rPr>
              <w:t>שופטת</w:t>
            </w:r>
          </w:p>
          <w:p w14:paraId="26E91CE0" w14:textId="77777777" w:rsidR="00E90C45" w:rsidRPr="007A6BE9" w:rsidRDefault="00E90C45" w:rsidP="007A6BE9">
            <w:pPr>
              <w:spacing w:line="360" w:lineRule="auto"/>
              <w:rPr>
                <w:rFonts w:ascii="FrankRuehl" w:hAnsi="FrankRuehl" w:cs="FrankRuehl"/>
                <w:sz w:val="28"/>
                <w:szCs w:val="28"/>
                <w:rtl/>
              </w:rPr>
            </w:pPr>
          </w:p>
        </w:tc>
        <w:tc>
          <w:tcPr>
            <w:tcW w:w="2766" w:type="dxa"/>
            <w:shd w:val="clear" w:color="auto" w:fill="auto"/>
          </w:tcPr>
          <w:p w14:paraId="58057917" w14:textId="77777777" w:rsidR="007A6BE9" w:rsidRPr="007A6BE9" w:rsidRDefault="007A6BE9">
            <w:pPr>
              <w:rPr>
                <w:rFonts w:ascii="Courier New" w:hAnsi="Courier New"/>
              </w:rPr>
            </w:pPr>
          </w:p>
          <w:p w14:paraId="65035EA4" w14:textId="77777777" w:rsidR="007A6BE9" w:rsidRPr="007A6BE9" w:rsidRDefault="00000000" w:rsidP="007A6BE9">
            <w:pPr>
              <w:jc w:val="center"/>
              <w:rPr>
                <w:rFonts w:ascii="FrankRuehl" w:hAnsi="FrankRuehl" w:cs="FrankRuehl"/>
                <w:spacing w:val="10"/>
                <w:sz w:val="28"/>
                <w:szCs w:val="28"/>
                <w:rtl/>
              </w:rPr>
            </w:pPr>
            <w:r w:rsidRPr="007A6BE9">
              <w:rPr>
                <w:rFonts w:ascii="FrankRuehl" w:hAnsi="FrankRuehl" w:cs="FrankRuehl"/>
                <w:spacing w:val="10"/>
                <w:sz w:val="28"/>
                <w:szCs w:val="28"/>
                <w:rtl/>
              </w:rPr>
              <w:t>רות רונן</w:t>
            </w:r>
          </w:p>
          <w:p w14:paraId="4D529A03" w14:textId="77777777" w:rsidR="007A6BE9" w:rsidRPr="007A6BE9" w:rsidRDefault="00000000" w:rsidP="004F02E3">
            <w:pPr>
              <w:rPr>
                <w:rFonts w:ascii="Courier New" w:hAnsi="Courier New"/>
              </w:rPr>
            </w:pPr>
            <w:r w:rsidRPr="007A6BE9">
              <w:rPr>
                <w:rFonts w:ascii="FrankRuehl" w:hAnsi="FrankRuehl" w:cs="FrankRuehl"/>
                <w:spacing w:val="10"/>
                <w:sz w:val="28"/>
                <w:szCs w:val="28"/>
                <w:rtl/>
              </w:rPr>
              <w:t>שופטת</w:t>
            </w:r>
          </w:p>
          <w:p w14:paraId="74EB3629" w14:textId="77777777" w:rsidR="00E90C45" w:rsidRPr="007A6BE9" w:rsidRDefault="00E90C45" w:rsidP="007A6BE9">
            <w:pPr>
              <w:spacing w:line="360" w:lineRule="auto"/>
              <w:jc w:val="center"/>
              <w:rPr>
                <w:rFonts w:ascii="FrankRuehl" w:hAnsi="FrankRuehl" w:cs="FrankRuehl"/>
                <w:sz w:val="28"/>
                <w:szCs w:val="28"/>
                <w:rtl/>
              </w:rPr>
            </w:pPr>
          </w:p>
        </w:tc>
      </w:tr>
    </w:tbl>
    <w:p w14:paraId="0362469D" w14:textId="77777777" w:rsidR="00694556" w:rsidRPr="007A6BE9" w:rsidRDefault="00BD6531" w:rsidP="007A6BE9">
      <w:pPr>
        <w:keepNext/>
        <w:tabs>
          <w:tab w:val="left" w:pos="2553"/>
        </w:tabs>
        <w:rPr>
          <w:rFonts w:ascii="David" w:hAnsi="David"/>
          <w:color w:val="000000"/>
          <w:sz w:val="22"/>
          <w:szCs w:val="22"/>
          <w:rtl/>
        </w:rPr>
      </w:pPr>
      <w:r w:rsidRPr="00105E0F">
        <w:rPr>
          <w:rFonts w:ascii="FrankRuehl" w:hAnsi="FrankRuehl" w:cs="FrankRuehl"/>
          <w:sz w:val="28"/>
          <w:szCs w:val="28"/>
          <w:rtl/>
        </w:rPr>
        <w:tab/>
      </w:r>
      <w:r w:rsidRPr="00105E0F">
        <w:rPr>
          <w:rFonts w:ascii="FrankRuehl" w:hAnsi="FrankRuehl" w:cs="FrankRuehl"/>
          <w:sz w:val="28"/>
          <w:szCs w:val="28"/>
          <w:rtl/>
        </w:rPr>
        <w:tab/>
      </w:r>
      <w:r w:rsidRPr="00105E0F">
        <w:rPr>
          <w:rFonts w:ascii="FrankRuehl" w:hAnsi="FrankRuehl" w:cs="FrankRuehl"/>
          <w:sz w:val="28"/>
          <w:szCs w:val="28"/>
          <w:rtl/>
        </w:rPr>
        <w:tab/>
        <w:t xml:space="preserve">        </w:t>
      </w:r>
    </w:p>
    <w:p w14:paraId="1F84DB5B" w14:textId="77777777" w:rsidR="007A6BE9" w:rsidRPr="007A6BE9" w:rsidRDefault="007A6BE9" w:rsidP="007A6BE9">
      <w:pPr>
        <w:tabs>
          <w:tab w:val="left" w:pos="2553"/>
        </w:tabs>
        <w:jc w:val="center"/>
        <w:rPr>
          <w:rFonts w:ascii="FrankRuehl" w:hAnsi="FrankRuehl"/>
          <w:color w:val="0000FF"/>
          <w:sz w:val="28"/>
          <w:u w:val="single"/>
          <w:rtl/>
        </w:rPr>
      </w:pPr>
    </w:p>
    <w:sectPr w:rsidR="007A6BE9" w:rsidRPr="007A6BE9" w:rsidSect="007A6BE9">
      <w:headerReference w:type="even" r:id="rId83"/>
      <w:headerReference w:type="default" r:id="rId84"/>
      <w:footerReference w:type="even" r:id="rId85"/>
      <w:footerReference w:type="default" r:id="rId86"/>
      <w:pgSz w:w="11907" w:h="16840" w:code="9"/>
      <w:pgMar w:top="1701" w:right="1800" w:bottom="1440" w:left="1800" w:header="720" w:footer="51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686E0" w14:textId="77777777" w:rsidR="00DC32A3" w:rsidRDefault="00DC32A3">
      <w:r>
        <w:separator/>
      </w:r>
    </w:p>
  </w:endnote>
  <w:endnote w:type="continuationSeparator" w:id="0">
    <w:p w14:paraId="7BD063B4" w14:textId="77777777" w:rsidR="00DC32A3" w:rsidRDefault="00DC3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TUR">
    <w:altName w:val="Arial"/>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FBF9C" w14:textId="77777777" w:rsidR="007A6BE9" w:rsidRDefault="00000000" w:rsidP="007A6BE9">
    <w:pPr>
      <w:pStyle w:val="a7"/>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noProof/>
        <w:rtl/>
      </w:rPr>
      <w:t>12</w:t>
    </w:r>
    <w:r>
      <w:rPr>
        <w:rFonts w:ascii="FrankRuehl" w:hAnsi="FrankRuehl" w:cs="FrankRuehl"/>
        <w:rtl/>
      </w:rPr>
      <w:fldChar w:fldCharType="end"/>
    </w:r>
  </w:p>
  <w:p w14:paraId="3776A72D" w14:textId="0F31A9E7" w:rsidR="007A6BE9" w:rsidRPr="007A6BE9" w:rsidRDefault="00AA020D" w:rsidP="007A6BE9">
    <w:pPr>
      <w:pStyle w:val="a7"/>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noProof/>
        <w:color w:val="000000"/>
      </w:rPr>
      <w:drawing>
        <wp:inline distT="0" distB="0" distL="0" distR="0" wp14:anchorId="34E6ADF7" wp14:editId="4EFE5C8F">
          <wp:extent cx="552450" cy="228600"/>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84BA1" w14:textId="77777777" w:rsidR="007A6BE9" w:rsidRDefault="00000000" w:rsidP="007A6BE9">
    <w:pPr>
      <w:pStyle w:val="a7"/>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sidR="00FC79C1">
      <w:rPr>
        <w:rFonts w:ascii="FrankRuehl" w:hAnsi="FrankRuehl" w:cs="FrankRuehl"/>
        <w:noProof/>
        <w:rtl/>
      </w:rPr>
      <w:t>4</w:t>
    </w:r>
    <w:r>
      <w:rPr>
        <w:rFonts w:ascii="FrankRuehl" w:hAnsi="FrankRuehl" w:cs="FrankRuehl"/>
        <w:rtl/>
      </w:rPr>
      <w:fldChar w:fldCharType="end"/>
    </w:r>
  </w:p>
  <w:p w14:paraId="36FA1151" w14:textId="1FC9E85E" w:rsidR="007A6BE9" w:rsidRPr="007A6BE9" w:rsidRDefault="007A6BE9" w:rsidP="007A6BE9">
    <w:pPr>
      <w:pStyle w:val="a7"/>
      <w:pBdr>
        <w:top w:val="single" w:sz="4" w:space="1" w:color="auto"/>
        <w:between w:val="single" w:sz="4" w:space="0" w:color="auto"/>
      </w:pBdr>
      <w:spacing w:after="60"/>
      <w:jc w:val="center"/>
      <w:rPr>
        <w:rFonts w:ascii="FrankRuehl" w:hAnsi="FrankRuehl" w:cs="FrankRueh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36D65" w14:textId="77777777" w:rsidR="00DC32A3" w:rsidRDefault="00DC32A3">
      <w:r>
        <w:separator/>
      </w:r>
    </w:p>
  </w:footnote>
  <w:footnote w:type="continuationSeparator" w:id="0">
    <w:p w14:paraId="24BAAA1F" w14:textId="77777777" w:rsidR="00DC32A3" w:rsidRDefault="00DC3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45E63" w14:textId="77777777" w:rsidR="007A6BE9" w:rsidRPr="007A6BE9" w:rsidRDefault="00000000" w:rsidP="007A6BE9">
    <w:pPr>
      <w:pStyle w:val="a5"/>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 xml:space="preserve">עא 8093/23 </w:t>
    </w:r>
    <w:r>
      <w:rPr>
        <w:rFonts w:ascii="David" w:hAnsi="David"/>
        <w:color w:val="000000"/>
        <w:sz w:val="22"/>
        <w:szCs w:val="22"/>
        <w:rtl/>
      </w:rPr>
      <w:tab/>
      <w:t xml:space="preserve"> שפיר הנדסה אזרחית וימית בע"מ נ' הוועדה המיוחדת לתכנון ובניה חריש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93A07" w14:textId="77777777" w:rsidR="00105E0F" w:rsidRPr="007A6BE9" w:rsidRDefault="007A6BE9" w:rsidP="007A6BE9">
    <w:pPr>
      <w:pStyle w:val="a5"/>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8" w:name="_Hlk178219215"/>
    <w:bookmarkStart w:id="9" w:name="_Hlk178219216"/>
    <w:bookmarkStart w:id="10" w:name="_Hlk178219217"/>
    <w:bookmarkStart w:id="11" w:name="_Hlk178219218"/>
    <w:r>
      <w:rPr>
        <w:rFonts w:ascii="David" w:hAnsi="David"/>
        <w:color w:val="000000"/>
        <w:sz w:val="22"/>
        <w:szCs w:val="22"/>
        <w:rtl/>
      </w:rPr>
      <w:t xml:space="preserve">עא 8093/23 </w:t>
    </w:r>
    <w:r>
      <w:rPr>
        <w:rFonts w:ascii="David" w:hAnsi="David"/>
        <w:color w:val="000000"/>
        <w:sz w:val="22"/>
        <w:szCs w:val="22"/>
        <w:rtl/>
      </w:rPr>
      <w:tab/>
      <w:t xml:space="preserve"> שפיר הנדסה אזרחית וימית בע"מ נ' הוועדה המיוחדת לתכנון ובניה חריש</w:t>
    </w:r>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D46998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1C013F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162B1D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568460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447A7E0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D62FA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30A94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70417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1057A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B2A9BD8"/>
    <w:lvl w:ilvl="0">
      <w:start w:val="1"/>
      <w:numFmt w:val="bullet"/>
      <w:pStyle w:val="a0"/>
      <w:lvlText w:val=""/>
      <w:lvlJc w:val="left"/>
      <w:pPr>
        <w:tabs>
          <w:tab w:val="num" w:pos="360"/>
        </w:tabs>
        <w:ind w:left="360" w:hanging="360"/>
      </w:pPr>
      <w:rPr>
        <w:rFonts w:ascii="Symbol" w:hAnsi="Symbol" w:hint="default"/>
      </w:rPr>
    </w:lvl>
  </w:abstractNum>
  <w:num w:numId="1" w16cid:durableId="1779138509">
    <w:abstractNumId w:val="8"/>
  </w:num>
  <w:num w:numId="2" w16cid:durableId="1695495708">
    <w:abstractNumId w:val="3"/>
  </w:num>
  <w:num w:numId="3" w16cid:durableId="377364327">
    <w:abstractNumId w:val="2"/>
  </w:num>
  <w:num w:numId="4" w16cid:durableId="898130417">
    <w:abstractNumId w:val="1"/>
  </w:num>
  <w:num w:numId="5" w16cid:durableId="464858737">
    <w:abstractNumId w:val="0"/>
  </w:num>
  <w:num w:numId="6" w16cid:durableId="1893613618">
    <w:abstractNumId w:val="9"/>
  </w:num>
  <w:num w:numId="7" w16cid:durableId="616640550">
    <w:abstractNumId w:val="7"/>
  </w:num>
  <w:num w:numId="8" w16cid:durableId="480539597">
    <w:abstractNumId w:val="6"/>
  </w:num>
  <w:num w:numId="9" w16cid:durableId="1197431159">
    <w:abstractNumId w:val="5"/>
  </w:num>
  <w:num w:numId="10" w16cid:durableId="1162350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seID" w:val="81827159"/>
    <w:docVar w:name="CasePresentationDS" w:val="&amp;lt;?xml version=&amp;quot;1.0&amp;quot;?&amp;gt;_x000d__x000a_&amp;lt;CasePresentationDS&amp;gt;_x000d__x000a_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_x000d__x000a_    &amp;lt;xs:element name=&amp;quot;CasePresentationDS&amp;quot; msdata:IsDataSet=&amp;quot;true&amp;quot; msdata:UseCurrentLocale=&amp;quot;true&amp;quot;&amp;gt;_x000d__x000a_      &amp;lt;xs:complexType&amp;gt;_x000d__x000a_        &amp;lt;xs:choice minOccurs=&amp;quot;0&amp;quot; maxOccurs=&amp;quot;unbounded&amp;quot;&amp;gt;_x000d__x000a_          &amp;lt;xs:element name=&amp;quot;CasePresentationDataSet&amp;quot;&amp;gt;_x000d__x000a_            &amp;lt;xs:complexType&amp;gt;_x000d__x000a_              &amp;lt;xs:sequence&amp;gt;_x000d__x000a_                &amp;lt;xs:element name=&amp;quot;CaseID&amp;quot; type=&amp;quot;xs:int&amp;quot; /&amp;gt;_x000d__x000a_                &amp;lt;xs:element name=&amp;quot;CaseMonth&amp;quot; type=&amp;quot;xs:int&amp;quot; /&amp;gt;_x000d__x000a_                &amp;lt;xs:element name=&amp;quot;CaseYear&amp;quot; type=&amp;quot;xs:int&amp;quot; /&amp;gt;_x000d__x000a_                &amp;lt;xs:element name=&amp;quot;CaseNumber&amp;quot; type=&amp;quot;xs:int&amp;quot; /&amp;gt;_x000d__x000a_                &amp;lt;xs:element name=&amp;quot;NumeratorGroupID&amp;quot; type=&amp;quot;xs:int&amp;quot; /&amp;gt;_x000d__x000a_                &amp;lt;xs:element name=&amp;quot;CaseName&amp;quot; type=&amp;quot;xs:string&amp;quot; /&amp;gt;_x000d__x000a_                &amp;lt;xs:element name=&amp;quot;CourtID&amp;quot; type=&amp;quot;xs:int&amp;quot; /&amp;gt;_x000d__x000a_                &amp;lt;xs:element name=&amp;quot;CaseTypeID&amp;quot; type=&amp;quot;xs:int&amp;quot; /&amp;gt;_x000d__x000a_                &amp;lt;xs:element name=&amp;quot;CaseInterestID&amp;quot; type=&amp;quot;xs:int&amp;quot; minOccurs=&amp;quot;0&amp;quot; /&amp;gt;_x000d__x000a_                &amp;lt;xs:element name=&amp;quot;CaseJudgeName&amp;quot; type=&amp;quot;xs:string&amp;quot; minOccurs=&amp;quot;0&amp;quot; /&amp;gt;_x000d__x000a_                &amp;lt;xs:element name=&amp;quot;CaseLinkTypeID&amp;quot; type=&amp;quot;xs:int&amp;quot; minOccurs=&amp;quot;0&amp;quot; /&amp;gt;_x000d__x000a_                &amp;lt;xs:element name=&amp;quot;ProcedureID&amp;quot; type=&amp;quot;xs:int&amp;quot; minOccurs=&amp;quot;0&amp;quot; /&amp;gt;_x000d__x000a_                &amp;lt;xs:element name=&amp;quot;PreviousCaseYear&amp;quot; type=&amp;quot;xs:string&amp;quot; minOccurs=&amp;quot;0&amp;quot; /&amp;gt;_x000d__x000a_                &amp;lt;xs:element name=&amp;quot;PreviousCaseNumber&amp;quot; type=&amp;quot;xs:int&amp;quot; minOccurs=&amp;quot;0&amp;quot; /&amp;gt;_x000d__x000a_                &amp;lt;xs:element name=&amp;quot;CaseStatusID&amp;quot; type=&amp;quot;xs:int&amp;quot; /&amp;gt;_x000d__x000a_                &amp;lt;xs:element name=&amp;quot;ProceedingID&amp;quot; type=&amp;quot;xs:int&amp;quot; /&amp;gt;_x000d__x000a_                &amp;lt;xs:element name=&amp;quot;IsCaseLinked&amp;quot; type=&amp;quot;xs:boolean&amp;quot; /&amp;gt;_x000d__x000a_                &amp;lt;xs:element name=&amp;quot;IsCaseConverted&amp;quot; type=&amp;quot;xs:boolean&amp;quot; minOccurs=&amp;quot;0&amp;quot; /&amp;gt;_x000d__x000a_                &amp;lt;xs:element name=&amp;quot;PrivilegeID&amp;quot; type=&amp;quot;xs:int&amp;quot; /&amp;gt;_x000d__x000a_                &amp;lt;xs:element name=&amp;quot;IsAppealingCaseExist&amp;quot; type=&amp;quot;xs:boolean&amp;quot; minOccurs=&amp;quot;0&amp;quot; /&amp;gt;_x000d__x000a_                &amp;lt;xs:element name=&amp;quot;CaseDisplayIdentifier&amp;quot; type=&amp;quot;xs:string&amp;quot; minOccurs=&amp;quot;0&amp;quot; /&amp;gt;_x000d__x000a_                &amp;lt;xs:element name=&amp;quot;CaseTypeDesc&amp;quot; type=&amp;quot;xs:string&amp;quot; minOccurs=&amp;quot;0&amp;quot; /&amp;gt;_x000d__x000a_                &amp;lt;xs:element name=&amp;quot;CourtDesc&amp;quot; type=&amp;quot;xs:string&amp;quot; minOccurs=&amp;quot;0&amp;quot; /&amp;gt;_x000d__x000a_                &amp;lt;xs:element name=&amp;quot;CaseStageDesc&amp;quot; type=&amp;quot;xs:string&amp;quot; /&amp;gt;_x000d__x000a_                &amp;lt;xs:element name=&amp;quot;IsPendingExemptionDecision&amp;quot; type=&amp;quot;xs:boolean&amp;quot; minOccurs=&amp;quot;0&amp;quot; /&amp;gt;_x000d__x000a_                &amp;lt;xs:element name=&amp;quot;IsPendingEntitlementDecision&amp;quot; type=&amp;quot;xs:boolean&amp;quot; minOccurs=&amp;quot;0&amp;quot; /&amp;gt;_x000d__x000a_                &amp;lt;xs:element name=&amp;quot;IsPendingDifferentCaseVerdict&amp;quot; type=&amp;quot;xs:boolean&amp;quot; minOccurs=&amp;quot;0&amp;quot; /&amp;gt;_x000d__x000a_                &amp;lt;xs:element name=&amp;quot;IsUnpaidFeeExist&amp;quot; type=&amp;quot;xs:boolean&amp;quot; minOccurs=&amp;quot;0&amp;quot; /&amp;gt;_x000d__x000a_                &amp;lt;xs:element name=&amp;quot;IsExecutionDelayed&amp;quot; type=&amp;quot;xs:boolean&amp;quot; minOccurs=&amp;quot;0&amp;quot; /&amp;gt;_x000d__x000a_                &amp;lt;xs:element name=&amp;quot;CaseEntitiesArrestResult&amp;quot; type=&amp;quot;xs:string&amp;quot; minOccurs=&amp;quot;0&amp;quot; /&amp;gt;_x000d__x000a_                &amp;lt;xs:element name=&amp;quot;CasePreviousSessionDate&amp;quot; type=&amp;quot;xs:dateTime&amp;quot; minOccurs=&amp;quot;0&amp;quot; /&amp;gt;_x000d__x000a_                &amp;lt;xs:element name=&amp;quot;CaseNextSessionDate&amp;quot; type=&amp;quot;xs:dateTime&amp;quot; minOccurs=&amp;quot;0&amp;quot; /&amp;gt;_x000d__x000a_                &amp;lt;xs:element name=&amp;quot;PreviousCaseNumberDesc&amp;quot; type=&amp;quot;xs:string&amp;quot; minOccurs=&amp;quot;0&amp;quot; /&amp;gt;_x000d__x000a_                &amp;lt;xs:element name=&amp;quot;SubCaseNumber&amp;quot; type=&amp;quot;xs:int&amp;quot; minOccurs=&amp;quot;0&amp;quot; /&amp;gt;_x000d__x000a_                &amp;lt;xs:element name=&amp;quot;CaseNextDeterminingTask&amp;quot; type=&amp;quot;xs:int&amp;quot; minOccurs=&amp;quot;0&amp;quot; /&amp;gt;_x000d__x000a_                &amp;lt;xs:element name=&amp;quot;TemporaryAidStatus&amp;quot; type=&amp;quot;xs:string&amp;quot; minOccurs=&amp;quot;0&amp;quot; /&amp;gt;_x000d__x000a_                &amp;lt;xs:element name=&amp;quot;CaseOpenDate&amp;quot; type=&amp;quot;xs:dateTime&amp;quot; /&amp;gt;_x000d__x000a_                &amp;lt;xs:element name=&amp;quot;PleaTypeID&amp;quot; type=&amp;quot;xs:int&amp;quot; minOccurs=&amp;quot;0&amp;quot; /&amp;gt;_x000d__x000a_                &amp;lt;xs:element name=&amp;quot;CourtLevelID&amp;quot; type=&amp;quot;xs:int&amp;quot; minOccurs=&amp;quot;0&amp;quot; /&amp;gt;_x000d__x000a_                &amp;lt;xs:element name=&amp;quot;CourtLevelCaseTypeInterestID&amp;quot; type=&amp;quot;xs:int&amp;quot; minOccurs=&amp;quot;0&amp;quot; /&amp;gt;_x000d__x000a_                &amp;lt;xs:element name=&amp;quot;CaseJudgeFirstName&amp;quot; type=&amp;quot;xs:string&amp;quot; minOccurs=&amp;quot;0&amp;quot; /&amp;gt;_x000d__x000a_                &amp;lt;xs:element name=&amp;quot;CaseJudgeLastName&amp;quot; type=&amp;quot;xs:string&amp;quot; minOccurs=&amp;quot;0&amp;quot; /&amp;gt;_x000d__x000a_                &amp;lt;xs:element name=&amp;quot;JudicalPersonID&amp;quot; type=&amp;quot;xs:string&amp;quot; minOccurs=&amp;quot;0&amp;quot; /&amp;gt;_x000d__x000a_                &amp;lt;xs:element name=&amp;quot;IsJudicalPanel&amp;quot; type=&amp;quot;xs:boolean&amp;quot; minOccurs=&amp;quot;0&amp;quot; /&amp;gt;_x000d__x000a_                &amp;lt;xs:element name=&amp;quot;CourtDisplayName&amp;quot; type=&amp;quot;xs:string&amp;quot; minOccurs=&amp;quot;0&amp;quot; /&amp;gt;_x000d__x000a_                &amp;lt;xs:element name=&amp;quot;IsAllStartDataCollected&amp;quot; type=&amp;quot;xs:boolean&amp;quot; minOccurs=&amp;quot;0&amp;quot; /&amp;gt;_x000d__x000a_                &amp;lt;xs:element name=&amp;quot;IsMainCase&amp;quot; type=&amp;quot;xs:boolean&amp;quot; minOccurs=&amp;quot;0&amp;quot; /&amp;gt;_x000d__x000a_                &amp;lt;xs:element name=&amp;quot;PreviousCourtID&amp;quot; type=&amp;quot;xs:int&amp;quot; minOccurs=&amp;quot;0&amp;quot; /&amp;gt;_x000d__x000a_                &amp;lt;xs:element name=&amp;quot;PreviousCaseTypeID&amp;quot; type=&amp;quot;xs:int&amp;quot; minOccurs=&amp;quot;0&amp;quot; /&amp;gt;_x000d__x000a_                &amp;lt;xs:element name=&amp;quot;CaseDesc&amp;quot; type=&amp;quot;xs:string&amp;quot; minOccurs=&amp;quot;0&amp;quot; /&amp;gt;_x000d__x000a_                &amp;lt;xs:element name=&amp;quot;isExistMinorSide&amp;quot; type=&amp;quot;xs:boolean&amp;quot; minOccurs=&amp;quot;0&amp;quot; /&amp;gt;_x000d__x000a_                &amp;lt;xs:element name=&amp;quot;isExistMinorWitness&amp;quot; type=&amp;quot;xs:boolean&amp;quot; minOccurs=&amp;quot;0&amp;quot; /&amp;gt;_x000d__x000a_                &amp;lt;xs:element name=&amp;quot;CaseNextSessionTypeID&amp;quot; type=&amp;quot;xs:int&amp;quot; minOccurs=&amp;quot;0&amp;quot; /&amp;gt;_x000d__x000a_                &amp;lt;xs:element name=&amp;quot;CasePreviousSessionTypeID&amp;quot; type=&amp;quot;xs:int&amp;quot; minOccurs=&amp;quot;0&amp;quot; /&amp;gt;_x000d__x000a_                &amp;lt;xs:element name=&amp;quot;CasePermitStatus&amp;quot; type=&amp;quot;xs:int&amp;quot; minOccurs=&amp;quot;0&amp;quot; /&amp;gt;_x000d__x000a_                &amp;lt;xs:element name=&amp;quot;InstitutionalPathID&amp;quot; type=&amp;quot;xs:int&amp;quot; minOccurs=&amp;quot;0&amp;quot; /&amp;gt;_x000d__x000a_                &amp;lt;xs:element name=&amp;quot;PreviousCaseIdentifier&amp;quot; type=&amp;quot;xs:string&amp;quot; minOccurs=&amp;quot;0&amp;quot; /&amp;gt;_x000d__x000a_                &amp;lt;xs:element name=&amp;quot;ArchivingActivityID&amp;quot; type=&amp;quot;xs:int&amp;quot; minOccurs=&amp;quot;0&amp;quot; /&amp;gt;_x000d__x000a_                &amp;lt;xs:element name=&amp;quot;GettingReasonID&amp;quot; type=&amp;quot;xs:int&amp;quot; minOccurs=&amp;quot;0&amp;quot; /&amp;gt;_x000d__x000a_                &amp;lt;xs:element name=&amp;quot;StorageDate&amp;quot; type=&amp;quot;xs:dateTime&amp;quot; minOccurs=&amp;quot;0&amp;quot; /&amp;gt;_x000d__x000a_                &amp;lt;xs:element name=&amp;quot;IsArchivingActivityManuallyUpdated&amp;quot; type=&amp;quot;xs:boolean&amp;quot; minOccurs=&amp;quot;0&amp;quot; /&amp;gt;_x000d__x000a_                &amp;lt;xs:element name=&amp;quot;StorageDateRecalculationDate&amp;quot; type=&amp;quot;xs:dateTime&amp;quot; minOccurs=&amp;quot;0&amp;quot; /&amp;gt;_x000d__x000a_                &amp;lt;xs:element name=&amp;quot;IsAccessibilityRequired&amp;quot; type=&amp;quot;xs:boolean&amp;quot; default=&amp;quot;false&amp;quot; /&amp;gt;_x000d__x000a_                &amp;lt;xs:element name=&amp;quot;IsDecisionTypeZaveElyon&amp;quot; type=&amp;quot;xs:boolean&amp;quot; minOccurs=&amp;quot;0&amp;quot; /&amp;gt;_x000d__x000a_                &amp;lt;xs:element name=&amp;quot;IsGuaranteeDeposit&amp;quot; type=&amp;quot;xs:boolean&amp;quot; minOccurs=&amp;quot;0&amp;quot; /&amp;gt;_x000d__x000a_                &amp;lt;xs:element name=&amp;quot;IsFeePaid&amp;quot; type=&amp;quot;xs:boolean&amp;quot; minOccurs=&amp;quot;0&amp;quot; /&amp;gt;_x000d__x000a_                &amp;lt;xs:element name=&amp;quot;IsExistCancelledArrest&amp;quot; type=&amp;quot;xs:boolean&amp;quot; minOccurs=&amp;quot;0&amp;quot; /&amp;gt;_x000d__x000a_                &amp;lt;xs:element name=&amp;quot;IsExistPrisoner&amp;quot; type=&amp;quot;xs:boolean&amp;quot; minOccurs=&amp;quot;0&amp;quot; /&amp;gt;_x000d__x000a_                &amp;lt;xs:element name=&amp;quot;IsExistDetainee&amp;quot; type=&amp;quot;xs:boolean&amp;quot; minOccurs=&amp;quot;0&amp;quot; /&amp;gt;_x000d__x000a_                &amp;lt;xs:element name=&amp;quot;IsDebitExist&amp;quot; type=&amp;quot;xs:boolean&amp;quot; minOccurs=&amp;quot;0&amp;quot; /&amp;gt;_x000d__x000a_                &amp;lt;xs:element name=&amp;quot;DebitExsitDate&amp;quot; type=&amp;quot;xs:dateTime&amp;quot; minOccurs=&amp;quot;0&amp;quot; /&amp;gt;_x000d__x000a_                &amp;lt;xs:element name=&amp;quot;OpenFeeIndication&amp;quot; type=&amp;quot;xs:int&amp;quot; minOccurs=&amp;quot;0&amp;quot; /&amp;gt;_x000d__x000a_                &amp;lt;xs:element name=&amp;quot;GuaranteeIndication&amp;quot; type=&amp;quot;xs:int&amp;quot; minOccurs=&amp;quot;0&amp;quot; /&amp;gt;_x000d__x000a_                &amp;lt;xs:element name=&amp;quot;DelayedPunishmentDate&amp;quot; type=&amp;quot;xs:dateTime&amp;quot; minOccurs=&amp;quot;0&amp;quot; /&amp;gt;_x000d__x000a_                &amp;lt;xs:element name=&amp;quot;IsExistSeizure&amp;quot; type=&amp;quot;xs:boolean&amp;quot; minOccurs=&amp;quot;0&amp;quot; /&amp;gt;_x000d__x000a_                &amp;lt;xs:element name=&amp;quot;IsExemptionExistInCase&amp;quot; type=&amp;quot;xs:boolean&amp;quot; minOccurs=&amp;quot;0&amp;quot; /&amp;gt;_x000d__x000a_                &amp;lt;xs:element name=&amp;quot;IsDebitTransferedInCase&amp;quot; type=&amp;quot;xs:boolean&amp;quot; minOccurs=&amp;quot;0&amp;quot; /&amp;gt;_x000d__x000a_                &amp;lt;xs:element name=&amp;quot;IsUnconvertedCase&amp;quot; type=&amp;quot;xs:boolean&amp;quot; minOccurs=&amp;quot;0&amp;quot; /&amp;gt;_x000d__x000a_                &amp;lt;xs:element name=&amp;quot;ActiveInCaseSuspendedLawyers&amp;quot; type=&amp;quot;xs:string&amp;quot; minOccurs=&amp;quot;0&amp;quot; /&amp;gt;_x000d__x000a_                &amp;lt;xs:element name=&amp;quot;IsElectronicallyMonitoredDetainee&amp;quot; type=&amp;quot;xs:boolean&amp;quot; minOccurs=&amp;quot;0&amp;quot; /&amp;gt;_x000d__x000a_                &amp;lt;xs:element name=&amp;quot;IsCasePredictedToAge&amp;quot; type=&amp;quot;xs:int&amp;quot; default=&amp;quot;0&amp;quot; minOccurs=&amp;quot;0&amp;quot; /&amp;gt;_x000d__x000a_                &amp;lt;xs:element name=&amp;quot;PendingWebSubmissionsQty&amp;quot; type=&amp;quot;xs:int&amp;quot; minOccurs=&amp;quot;0&amp;quot; /&amp;gt;_x000d__x000a_                &amp;lt;xs:element name=&amp;quot;PreviousSerialNumber&amp;quot; type=&amp;quot;xs:string&amp;quot; minOccurs=&amp;quot;0&amp;quot; /&amp;gt;_x000d__x000a_              &amp;lt;/xs:sequence&amp;gt;_x000d__x000a_            &amp;lt;/xs:complexType&amp;gt;_x000d__x000a_          &amp;lt;/xs:element&amp;gt;_x000d__x000a_        &amp;lt;/xs:choice&amp;gt;_x000d__x000a_      &amp;lt;/xs:complexType&amp;gt;_x000d__x000a_    &amp;lt;/xs:element&amp;gt;_x000d__x000a_  &amp;lt;/xs:schema&amp;gt;_x000d__x000a_  &amp;lt;diffgr:diffgram xmlns:msdata=&amp;quot;urn:schemas-microsoft-com:xml-msdata&amp;quot; xmlns:diffgr=&amp;quot;urn:schemas-microsoft-com:xml-diffgram-v1&amp;quot;&amp;gt;_x000d__x000a_    &amp;lt;CasePresentationDS xmlns=&amp;quot;http://tempuri.org/CasePresentationDS.xsd&amp;quot;&amp;gt;_x000d__x000a_      &amp;lt;CasePresentationDataSet diffgr:id=&amp;quot;CasePresentationDataSet1&amp;quot; msdata:rowOrder=&amp;quot;0&amp;quot; diffgr:hasChanges=&amp;quot;modified&amp;quot;&amp;gt;_x000d__x000a_        &amp;lt;CaseID&amp;gt;81827159&amp;lt;/CaseID&amp;gt;_x000d__x000a_        &amp;lt;CaseMonth&amp;gt;11&amp;lt;/CaseMonth&amp;gt;_x000d__x000a_        &amp;lt;CaseYear&amp;gt;2023&amp;lt;/CaseYear&amp;gt;_x000d__x000a_        &amp;lt;CaseNumber&amp;gt;67449&amp;lt;/CaseNumber&amp;gt;_x000d__x000a_        &amp;lt;NumeratorGroupID&amp;gt;1&amp;lt;/NumeratorGroupID&amp;gt;_x000d__x000a_        &amp;lt;CaseName&amp;gt;שפיר הנדסה אזחית וימית בע&amp;quot;מ  ואח&amp;#39; נ&amp;#39; הועדה המיוחדת לתכנון ובניה חריש &amp;lt;/CaseName&amp;gt;_x000d__x000a_        &amp;lt;CourtID&amp;gt;11&amp;lt;/CourtID&amp;gt;_x000d__x000a_        &amp;lt;CaseTypeID&amp;gt;10001&amp;lt;/CaseTypeID&amp;gt;_x000d__x000a_        &amp;lt;CaseInterestID&amp;gt;10711&amp;lt;/CaseInterestID&amp;gt;_x000d__x000a_        &amp;lt;CaseJudgeName&amp;gt;רות רונן&amp;lt;/CaseJudgeName&amp;gt;_x000d__x000a_        &amp;lt;CaseLinkTypeID&amp;gt;1&amp;lt;/CaseLinkTypeID&amp;gt;_x000d__x000a_        &amp;lt;ProcedureID&amp;gt;1&amp;lt;/ProcedureID&amp;gt;_x000d__x000a_        &amp;lt;PreviousCaseYear&amp;gt;2023&amp;lt;/PreviousCaseYear&amp;gt;_x000d__x000a_        &amp;lt;PreviousCaseNumber&amp;gt;8093&amp;lt;/PreviousCaseNumber&amp;gt;_x000d__x000a_        &amp;lt;CaseStatusID&amp;gt;1&amp;lt;/CaseStatusID&amp;gt;_x000d__x000a_        &amp;lt;ProceedingID&amp;gt;1&amp;lt;/ProceedingID&amp;gt;_x000d__x000a_        &amp;lt;IsCaseLinked&amp;gt;true&amp;lt;/IsCaseLinked&amp;gt;_x000d__x000a_        &amp;lt;IsCaseConverted&amp;gt;true&amp;lt;/IsCaseConverted&amp;gt;_x000d__x000a_        &amp;lt;PrivilegeID&amp;gt;1&amp;lt;/PrivilegeID&amp;gt;_x000d__x000a_        &amp;lt;IsAppealingCaseExist&amp;gt;false&amp;lt;/IsAppealingCaseExist&amp;gt;_x000d__x000a_        &amp;lt;CaseDisplayIdentifier&amp;gt;8093/23&amp;lt;/CaseDisplayIdentifier&amp;gt;_x000d__x000a_        &amp;lt;CaseTypeDesc&amp;gt;ע&amp;quot;א&amp;lt;/CaseTypeDesc&amp;gt;_x000d__x000a_        &amp;lt;CourtDesc&amp;gt;העליון&amp;lt;/CourtDesc&amp;gt;_x000d__x000a_        &amp;lt;CaseStageDesc&amp;gt;תיק נייר מוסב&amp;lt;/CaseStageDesc&amp;gt;_x000d__x000a_        &amp;lt;IsUnpaidFeeExist&amp;gt;false&amp;lt;/IsUnpaidFeeExist&amp;gt;_x000d__x000a_        &amp;lt;CaseOpenDate&amp;gt;2023-11-12T00:00:00+02:00&amp;lt;/CaseOpenDate&amp;gt;_x000d__x000a_        &amp;lt;PleaTypeID&amp;gt;6&amp;lt;/PleaTypeID&amp;gt;_x000d__x000a_        &amp;lt;CourtLevelID&amp;gt;3&amp;lt;/CourtLevelID&amp;gt;_x000d__x000a_        &amp;lt;CourtLevelCaseTypeInterestID&amp;gt;2484&amp;lt;/CourtLevelCaseTypeInterestID&amp;gt;_x000d__x000a_        &amp;lt;CaseJudgeFirstName&amp;gt;רות&amp;lt;/CaseJudgeFirstName&amp;gt;_x000d__x000a_        &amp;lt;CaseJudgeLastName&amp;gt;רונן&amp;lt;/CaseJudgeLastName&amp;gt;_x000d__x000a_        &amp;lt;JudicalPersonID&amp;gt;057825234@GOV.IL&amp;lt;/JudicalPersonID&amp;gt;_x000d__x000a_        &amp;lt;IsJudicalPanel&amp;gt;false&amp;lt;/IsJudicalPanel&amp;gt;_x000d__x000a_        &amp;lt;CourtDisplayName&amp;gt;בית המשפט העליון&amp;lt;/CourtDisplayName&amp;gt;_x000d__x000a_        &amp;lt;IsAllStartDataCollected&amp;gt;true&amp;lt;/IsAllStartDataCollected&amp;gt;_x000d__x000a_        &amp;lt;IsMainCase&amp;gt;false&amp;lt;/IsMainCase&amp;gt;_x000d__x000a_        &amp;lt;PreviousCourtID&amp;gt;1&amp;lt;/PreviousCourtID&amp;gt;_x000d__x000a_        &amp;lt;PreviousCaseTypeID&amp;gt;11&amp;lt;/PreviousCaseTypeID&amp;gt;_x000d__x000a_        &amp;lt;CaseDesc /&amp;gt;_x000d__x000a_        &amp;lt;isExistMinorSide&amp;gt;false&amp;lt;/isExistMinorSide&amp;gt;_x000d__x000a_        &amp;lt;isExistMinorWitness&amp;gt;false&amp;lt;/isExistMinorWitness&amp;gt;_x000d__x000a_        &amp;lt;PreviousCaseIdentifier&amp;gt;20230080930&amp;lt;/PreviousCaseIdentifier&amp;gt;_x000d__x000a_        &amp;lt;IsAccessibilityRequired&amp;gt;false&amp;lt;/IsAccessibilityRequired&amp;gt;_x000d__x000a_        &amp;lt;IsDecisionTypeZaveElyon&amp;gt;false&amp;lt;/IsDecisionTypeZaveElyon&amp;gt;_x000d__x000a_        &amp;lt;IsFeePaid&amp;gt;false&amp;lt;/IsFeePaid&amp;gt;_x000d__x000a_        &amp;lt;IsExistPrisoner&amp;gt;false&amp;lt;/IsExistPrisoner&amp;gt;_x000d__x000a_        &amp;lt;IsExistDetainee&amp;gt;false&amp;lt;/IsExistDetainee&amp;gt;_x000d__x000a_        &amp;lt;IsDebitExist&amp;gt;false&amp;lt;/IsDebitExist&amp;gt;_x000d__x000a_        &amp;lt;IsExistSeizure&amp;gt;false&amp;lt;/IsExistSeizure&amp;gt;_x000d__x000a_        &amp;lt;IsExemptionExistInCase&amp;gt;false&amp;lt;/IsExemptionExistInCase&amp;gt;_x000d__x000a_        &amp;lt;IsDebitTransferedInCase&amp;gt;false&amp;lt;/IsDebitTransferedInCase&amp;gt;_x000d__x000a_        &amp;lt;IsElectronicallyMonitoredDetainee&amp;gt;false&amp;lt;/IsElectronicallyMonitoredDetainee&amp;gt;_x000d__x000a_        &amp;lt;IsCasePredictedToAge&amp;gt;0&amp;lt;/IsCasePredictedToAge&amp;gt;_x000d__x000a_        &amp;lt;PendingWebSubmissionsQty&amp;gt;0&amp;lt;/PendingWebSubmissionsQty&amp;gt;_x000d__x000a_        &amp;lt;PreviousSerialNumber&amp;gt;0&amp;lt;/PreviousSerialNumber&amp;gt;_x000d__x000a_      &amp;lt;/CasePresentationDataSet&amp;gt;_x000d__x000a_    &amp;lt;/CasePresentationDS&amp;gt;_x000d__x000a_    &amp;lt;diffgr:before&amp;gt;_x000d__x000a_      &amp;lt;CasePresentationDataSet diffgr:id=&amp;quot;CasePresentationDataSet1&amp;quot; msdata:rowOrder=&amp;quot;0&amp;quot; xmlns=&amp;quot;http://tempuri.org/CasePresentationDS.xsd&amp;quot;&amp;gt;_x000d__x000a_        &amp;lt;CaseID&amp;gt;81827159&amp;lt;/CaseID&amp;gt;_x000d__x000a_        &amp;lt;CaseMonth&amp;gt;11&amp;lt;/CaseMonth&amp;gt;_x000d__x000a_        &amp;lt;CaseYear&amp;gt;2023&amp;lt;/CaseYear&amp;gt;_x000d__x000a_        &amp;lt;CaseNumber&amp;gt;67449&amp;lt;/CaseNumber&amp;gt;_x000d__x000a_        &amp;lt;NumeratorGroupID&amp;gt;1&amp;lt;/NumeratorGroupID&amp;gt;_x000d__x000a_        &amp;lt;CaseName&amp;gt;שפיר הנדסה אזחית וימית בע&amp;quot;מ  ואח&amp;#39; נ&amp;#39; הועדה המיוחדת לתכנון ובניה חריש &amp;lt;/CaseName&amp;gt;_x000d__x000a_        &amp;lt;CourtID&amp;gt;11&amp;lt;/CourtID&amp;gt;_x000d__x000a_        &amp;lt;CaseTypeID&amp;gt;10001&amp;lt;/CaseTypeID&amp;gt;_x000d__x000a_        &amp;lt;CaseInterestID&amp;gt;10711&amp;lt;/CaseInterestID&amp;gt;_x000d__x000a_        &amp;lt;CaseJudgeName&amp;gt;רות רונן&amp;lt;/CaseJudgeName&amp;gt;_x000d__x000a_        &amp;lt;CaseLinkTypeID&amp;gt;1&amp;lt;/CaseLinkTypeID&amp;gt;_x000d__x000a_        &amp;lt;ProcedureID&amp;gt;1&amp;lt;/ProcedureID&amp;gt;_x000d__x000a_        &amp;lt;PreviousCaseYear&amp;gt;2023&amp;lt;/PreviousCaseYear&amp;gt;_x000d__x000a_        &amp;lt;PreviousCaseNumber&amp;gt;8093&amp;lt;/PreviousCaseNumber&amp;gt;_x000d__x000a_        &amp;lt;CaseStatusID&amp;gt;1&amp;lt;/CaseStatusID&amp;gt;_x000d__x000a_        &amp;lt;ProceedingID&amp;gt;1&amp;lt;/ProceedingID&amp;gt;_x000d__x000a_        &amp;lt;IsCaseLinked&amp;gt;true&amp;lt;/IsCaseLinked&amp;gt;_x000d__x000a_        &amp;lt;IsCaseConverted&amp;gt;true&amp;lt;/IsCaseConverted&amp;gt;_x000d__x000a_        &amp;lt;PrivilegeID&amp;gt;1&amp;lt;/PrivilegeID&amp;gt;_x000d__x000a_        &amp;lt;IsAppealingCaseExist&amp;gt;false&amp;lt;/IsAppealingCaseExist&amp;gt;_x000d__x000a_        &amp;lt;CaseDisplayIdentifier&amp;gt;8093/23&amp;lt;/CaseDisplayIdentifier&amp;gt;_x000d__x000a_        &amp;lt;CaseTypeDesc&amp;gt;ע&amp;quot;א&amp;lt;/CaseTypeDesc&amp;gt;_x000d__x000a_        &amp;lt;CourtDesc&amp;gt;העליון&amp;lt;/CourtDesc&amp;gt;_x000d__x000a_        &amp;lt;CaseStageDesc&amp;gt;תיק נייר מוסב&amp;lt;/CaseStageDesc&amp;gt;_x000d__x000a_        &amp;lt;CaseOpenDate&amp;gt;2023-11-12T00:00:00+02:00&amp;lt;/CaseOpenDate&amp;gt;_x000d__x000a_        &amp;lt;PleaTypeID&amp;gt;6&amp;lt;/PleaTypeID&amp;gt;_x000d__x000a_        &amp;lt;CourtLevelID&amp;gt;3&amp;lt;/CourtLevelID&amp;gt;_x000d__x000a_        &amp;lt;CourtLevelCaseTypeInterestID&amp;gt;2484&amp;lt;/CourtLevelCaseTypeInterestID&amp;gt;_x000d__x000a_        &amp;lt;CaseJudgeFirstName&amp;gt;רות&amp;lt;/CaseJudgeFirstName&amp;gt;_x000d__x000a_        &amp;lt;CaseJudgeLastName&amp;gt;רונן&amp;lt;/CaseJudgeLastName&amp;gt;_x000d__x000a_        &amp;lt;JudicalPersonID&amp;gt;057825234@GOV.IL&amp;lt;/JudicalPersonID&amp;gt;_x000d__x000a_        &amp;lt;IsJudicalPanel&amp;gt;false&amp;lt;/IsJudicalPanel&amp;gt;_x000d__x000a_        &amp;lt;CourtDisplayName&amp;gt;בית המשפט העליון&amp;lt;/CourtDisplayName&amp;gt;_x000d__x000a_        &amp;lt;IsAllStartDataCollected&amp;gt;true&amp;lt;/IsAllStartDataCollected&amp;gt;_x000d__x000a_        &amp;lt;IsMainCase&amp;gt;false&amp;lt;/IsMainCase&amp;gt;_x000d__x000a_        &amp;lt;PreviousCourtID&amp;gt;1&amp;lt;/PreviousCourtID&amp;gt;_x000d__x000a_        &amp;lt;PreviousCaseTypeID&amp;gt;11&amp;lt;/PreviousCaseTypeID&amp;gt;_x000d__x000a_        &amp;lt;CaseDesc /&amp;gt;_x000d__x000a_        &amp;lt;PreviousCaseIdentifier&amp;gt;20230080930&amp;lt;/PreviousCaseIdentifier&amp;gt;_x000d__x000a_        &amp;lt;IsAccessibilityRequired&amp;gt;false&amp;lt;/IsAccessibilityRequired&amp;gt;_x000d__x000a_        &amp;lt;IsCasePredictedToAge&amp;gt;0&amp;lt;/IsCasePredictedToAge&amp;gt;_x000d__x000a_        &amp;lt;PendingWebSubmissionsQty&amp;gt;0&amp;lt;/PendingWebSubmissionsQty&amp;gt;_x000d__x000a_        &amp;lt;PreviousSerialNumber&amp;gt;0&amp;lt;/PreviousSerialNumber&amp;gt;_x000d__x000a_      &amp;lt;/CasePresentationDataSet&amp;gt;_x000d__x000a_    &amp;lt;/diffgr:before&amp;gt;_x000d__x000a_  &amp;lt;/diffgr:diffgram&amp;gt;_x000d__x000a_&amp;lt;/CasePresentationDS&amp;gt;"/>
    <w:docVar w:name="CourtID" w:val="11"/>
    <w:docVar w:name="DecisionDS" w:val="&amp;lt;?xml version=&amp;quot;1.0&amp;quot;?&amp;gt;_x000d__x000a_&amp;lt;DecisionDS&amp;gt;_x000d__x000a_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_x000d__x000a_    &amp;lt;xs:element name=&amp;quot;DecisionDS&amp;quot; msdata:IsDataSet=&amp;quot;true&amp;quot; msdata:Locale=&amp;quot;he-IL&amp;quot;&amp;gt;_x000d__x000a_      &amp;lt;xs:complexType&amp;gt;_x000d__x000a_        &amp;lt;xs:choice minOccurs=&amp;quot;0&amp;quot; maxOccurs=&amp;quot;unbounded&amp;quot;&amp;gt;_x000d__x000a_          &amp;lt;xs:element name=&amp;quot;dt_Decision&amp;quot;&amp;gt;_x000d__x000a_            &amp;lt;xs:complexType&amp;gt;_x000d__x000a_              &amp;lt;xs:sequence&amp;gt;_x000d__x000a_                &amp;lt;xs:element name=&amp;quot;DecisionID&amp;quot; msdata:ReadOnly=&amp;quot;true&amp;quot; msdata:AutoIncrement=&amp;quot;true&amp;quot; type=&amp;quot;xs:int&amp;quot; /&amp;gt;_x000d__x000a_                &amp;lt;xs:element name=&amp;quot;DecisionNumber&amp;quot; type=&amp;quot;xs:int&amp;quot; minOccurs=&amp;quot;0&amp;quot; /&amp;gt;_x000d__x000a_                &amp;lt;xs:element name=&amp;quot;DecisionName&amp;quot; type=&amp;quot;xs:string&amp;quot; /&amp;gt;_x000d__x000a_                &amp;lt;xs:element name=&amp;quot;DecisionStatusID&amp;quot; type=&amp;quot;xs:int&amp;quot; /&amp;gt;_x000d__x000a_                &amp;lt;xs:element name=&amp;quot;DecisionStatusChangeDate&amp;quot; type=&amp;quot;xs:dateTime&amp;quot; /&amp;gt;_x000d__x000a_                &amp;lt;xs:element name=&amp;quot;DecisionSignatureDate&amp;quot; type=&amp;quot;xs:dateTime&amp;quot; minOccurs=&amp;quot;0&amp;quot; /&amp;gt;_x000d__x000a_                &amp;lt;xs:element name=&amp;quot;DecisionSignatureUserID&amp;quot; type=&amp;quot;xs:string&amp;quot; minOccurs=&amp;quot;0&amp;quot; /&amp;gt;_x000d__x000a_                &amp;lt;xs:element name=&amp;quot;DecisionCreateDate&amp;quot; type=&amp;quot;xs:dateTime&amp;quot; /&amp;gt;_x000d__x000a_                &amp;lt;xs:element name=&amp;quot;DecisionChangeDate&amp;quot; type=&amp;quot;xs:dateTime&amp;quot; minOccurs=&amp;quot;0&amp;quot; /&amp;gt;_x000d__x000a_                &amp;lt;xs:element name=&amp;quot;DecisionChangeUserID&amp;quot; type=&amp;quot;xs:string&amp;quot; minOccurs=&amp;quot;0&amp;quot; /&amp;gt;_x000d__x000a_                &amp;lt;xs:element name=&amp;quot;DecisionDesc&amp;quot; type=&amp;quot;xs:string&amp;quot; minOccurs=&amp;quot;0&amp;quot; /&amp;gt;_x000d__x000a_                &amp;lt;xs:element name=&amp;quot;IsChosenDecision&amp;quot; type=&amp;quot;xs:boolean&amp;quot; default=&amp;quot;false&amp;quot; /&amp;gt;_x000d__x000a_                &amp;lt;xs:element name=&amp;quot;IsDecisionImplementationTask&amp;quot; type=&amp;quot;xs:boolean&amp;quot; default=&amp;quot;false&amp;quot; minOccurs=&amp;quot;0&amp;quot; /&amp;gt;_x000d__x000a_                &amp;lt;xs:element name=&amp;quot;IsDecisionInProtocol&amp;quot; type=&amp;quot;xs:boolean&amp;quot; default=&amp;quot;false&amp;quot; /&amp;gt;_x000d__x000a_                &amp;lt;xs:element name=&amp;quot;DecisionTypeID&amp;quot; type=&amp;quot;xs:int&amp;quot; /&amp;gt;_x000d__x000a_                &amp;lt;xs:element name=&amp;quot;DecisionText&amp;quot; type=&amp;quot;xs:string&amp;quot; minOccurs=&amp;quot;0&amp;quot; /&amp;gt;_x000d__x000a_                &amp;lt;xs:element name=&amp;quot;IsOnlyOneParty&amp;quot; type=&amp;quot;xs:boolean&amp;quot; default=&amp;quot;false&amp;quot; /&amp;gt;_x000d__x000a_                &amp;lt;xs:element name=&amp;quot;IsCanceledDecision&amp;quot; type=&amp;quot;xs:boolean&amp;quot; default=&amp;quot;false&amp;quot; /&amp;gt;_x000d__x000a_                &amp;lt;xs:element name=&amp;quot;DecisionLinkID&amp;quot; type=&amp;quot;xs:int&amp;quot; minOccurs=&amp;quot;0&amp;quot; /&amp;gt;_x000d__x000a_                &amp;lt;xs:element name=&amp;quot;DecisionLinkTypeID&amp;quot; type=&amp;quot;xs:int&amp;quot; minOccurs=&amp;quot;0&amp;quot; /&amp;gt;_x000d__x000a_                &amp;lt;xs:element name=&amp;quot;DocumentID&amp;quot; type=&amp;quot;xs:int&amp;quot; minOccurs=&amp;quot;0&amp;quot; /&amp;gt;_x000d__x000a_                &amp;lt;xs:element name=&amp;quot;PrivilegeID&amp;quot; type=&amp;quot;xs:int&amp;quot; /&amp;gt;_x000d__x000a_                &amp;lt;xs:element name=&amp;quot;IsDecisionConverted&amp;quot; type=&amp;quot;xs:boolean&amp;quot; default=&amp;quot;false&amp;quot; /&amp;gt;_x000d__x000a_                &amp;lt;xs:element name=&amp;quot;SignatureUserTypeID&amp;quot; type=&amp;quot;xs:int&amp;quot; minOccurs=&amp;quot;0&amp;quot; /&amp;gt;_x000d__x000a_                &amp;lt;xs:element name=&amp;quot;IsOpenedToSecondSide&amp;quot; type=&amp;quot;xs:boolean&amp;quot; default=&amp;quot;false&amp;quot; /&amp;gt;_x000d__x000a_                &amp;lt;xs:element name=&amp;quot;IsDecisionAppeled&amp;quot; type=&amp;quot;xs:boolean&amp;quot; default=&amp;quot;false&amp;quot; /&amp;gt;_x000d__x000a_                &amp;lt;xs:element name=&amp;quot;DecisionWriterID&amp;quot; type=&amp;quot;xs:string&amp;quot; minOccurs=&amp;quot;0&amp;quot; /&amp;gt;_x000d__x000a_                &amp;lt;xs:element name=&amp;quot;IsInstruction&amp;quot; type=&amp;quot;xs:boolean&amp;quot; default=&amp;quot;false&amp;quot; /&amp;gt;_x000d__x000a_                &amp;lt;xs:element name=&amp;quot;PreviousCaseID&amp;quot; type=&amp;quot;xs:string&amp;quot; minOccurs=&amp;quot;0&amp;quot; /&amp;gt;_x000d__x000a_                &amp;lt;xs:element name=&amp;quot;IsNeedAllSignatures&amp;quot; type=&amp;quot;xs:boolean&amp;quot; default=&amp;quot;false&amp;quot; minOccurs=&amp;quot;0&amp;quot; /&amp;gt;_x000d__x000a_                &amp;lt;xs:element name=&amp;quot;DecisionAttributeID&amp;quot; type=&amp;quot;xs:int&amp;quot; minOccurs=&amp;quot;0&amp;quot; /&amp;gt;_x000d__x000a_                &amp;lt;xs:element name=&amp;quot;DecisionCreationUserID&amp;quot; type=&amp;quot;xs:string&amp;quot; /&amp;gt;_x000d__x000a_                &amp;lt;xs:element name=&amp;quot;DecisionLinkName&amp;quot; type=&amp;quot;xs:string&amp;quot; minOccurs=&amp;quot;0&amp;quot; /&amp;gt;_x000d__x000a_                &amp;lt;xs:element name=&amp;quot;DecisionLinkCaseID&amp;quot; type=&amp;quot;xs:int&amp;quot; minOccurs=&amp;quot;0&amp;quot; /&amp;gt;_x000d__x000a_                &amp;lt;xs:element name=&amp;quot;DecisionDisplayName&amp;quot; type=&amp;quot;xs:string&amp;quot; minOccurs=&amp;quot;0&amp;quot; /&amp;gt;_x000d__x000a_                &amp;lt;xs:element name=&amp;quot;IsScanned&amp;quot; type=&amp;quot;xs:boolean&amp;quot; minOccurs=&amp;quot;0&amp;quot; /&amp;gt;_x000d__x000a_                &amp;lt;xs:element name=&amp;quot;DecisionSignatureUserName&amp;quot; type=&amp;quot;xs:string&amp;quot; minOccurs=&amp;quot;0&amp;quot; /&amp;gt;_x000d__x000a_                &amp;lt;xs:element name=&amp;quot;ChangePrivilegeUserID&amp;quot; type=&amp;quot;xs:string&amp;quot; minOccurs=&amp;quot;0&amp;quot; /&amp;gt;_x000d__x000a_                &amp;lt;xs:element name=&amp;quot;PublishInWebUserID&amp;quot; type=&amp;quot;xs:string&amp;quot; minOccurs=&amp;quot;0&amp;quot; /&amp;gt;_x000d__x000a_                &amp;lt;xs:element name=&amp;quot;NotificationTypeID&amp;quot; type=&amp;quot;xs:int&amp;quot; default=&amp;quot;1&amp;quot; minOccurs=&amp;quot;0&amp;quot; /&amp;gt;_x000d__x000a_                &amp;lt;xs:element name=&amp;quot;NotificationAuthorizeUserID&amp;quot; type=&amp;quot;xs:string&amp;quot; minOccurs=&amp;quot;0&amp;quot; /&amp;gt;_x000d__x000a_                &amp;lt;xs:element name=&amp;quot;DecisionReleaseDate&amp;quot; type=&amp;quot;xs:dateTime&amp;quot; minOccurs=&amp;quot;0&amp;quot; /&amp;gt;_x000d__x000a_                &amp;lt;xs:element name=&amp;quot;IsDecisionInNote&amp;quot; type=&amp;quot;xs:boolean&amp;quot; default=&amp;quot;false&amp;quot; /&amp;gt;_x000d__x000a_                &amp;lt;xs:element name=&amp;quot;IsDecisionUrgency&amp;quot; type=&amp;quot;xs:boolean&amp;quot; default=&amp;quot;false&amp;quot; /&amp;gt;_x000d__x000a_                &amp;lt;xs:element name=&amp;quot;IsTechnicalCancel&amp;quot; type=&amp;quot;xs:boolean&amp;quot; minOccurs=&amp;quot;0&amp;quot; /&amp;gt;_x000d__x000a_                &amp;lt;xs:element name=&amp;quot;IsPublishSmallCensorVersion&amp;quot; type=&amp;quot;xs:boolean&amp;quot; default=&amp;quot;false&amp;quot; minOccurs=&amp;quot;0&amp;quot; /&amp;gt;_x000d__x000a_                &amp;lt;xs:element name=&amp;quot;IsIDCPublished&amp;quot; type=&amp;quot;xs:boolean&amp;quot; default=&amp;quot;false&amp;quot; minOccurs=&amp;quot;0&amp;quot; /&amp;gt;_x000d__x000a_                &amp;lt;xs:element name=&amp;quot;SummaryVersionDocumentID&amp;quot; type=&amp;quot;xs:int&amp;quot; minOccurs=&amp;quot;0&amp;quot; /&amp;gt;_x000d__x000a_                &amp;lt;xs:element name=&amp;quot;IsIDCPublishedForSummary&amp;quot; type=&amp;quot;xs:boolean&amp;quot; default=&amp;quot;false&amp;quot; minOccurs=&amp;quot;0&amp;quot; /&amp;gt;_x000d__x000a_                &amp;lt;xs:element name=&amp;quot;DecisionNumberInCase&amp;quot; type=&amp;quot;xs:int&amp;quot; minOccurs=&amp;quot;0&amp;quot; /&amp;gt;_x000d__x000a_                &amp;lt;xs:element name=&amp;quot;DecisionNote&amp;quot; type=&amp;quot;xs:string&amp;quot; minOccurs=&amp;quot;0&amp;quot; /&amp;gt;_x000d__x000a_                &amp;lt;xs:element name=&amp;quot;DecisionMeetingDate&amp;quot; type=&amp;quot;xs:dateTime&amp;quot; minOccurs=&amp;quot;0&amp;quot; /&amp;gt;_x000d__x000a_                &amp;lt;xs:element name=&amp;quot;IsViewInSiteChosenVerdict&amp;quot; type=&amp;quot;xs:boolean&amp;quot; minOccurs=&amp;quot;0&amp;quot; /&amp;gt;_x000d__x000a_                &amp;lt;xs:element name=&amp;quot;IsOriginal&amp;quot; type=&amp;quot;xs:boolean&amp;quot; minOccurs=&amp;quot;0&amp;quot; /&amp;gt;_x000d__x000a_              &amp;lt;/xs:sequence&amp;gt;_x000d__x000a_            &amp;lt;/xs:complexType&amp;gt;_x000d__x000a_          &amp;lt;/xs:element&amp;gt;_x000d__x000a_          &amp;lt;xs:element name=&amp;quot;dt_DecisionCase&amp;quot;&amp;gt;_x000d__x000a_            &amp;lt;xs:complexType&amp;gt;_x000d__x000a_              &amp;lt;xs:sequence&amp;gt;_x000d__x000a_                &amp;lt;xs:element name=&amp;quot;DecisionID&amp;quot; type=&amp;quot;xs:int&amp;quot; /&amp;gt;_x000d__x000a_                &amp;lt;xs:element name=&amp;quot;CaseID&amp;quot; type=&amp;quot;xs:int&amp;quot; /&amp;gt;_x000d__x000a_                &amp;lt;xs:element name=&amp;quot;IsOriginal&amp;quot; type=&amp;quot;xs:boolean&amp;quot; default=&amp;quot;false&amp;quot; minOccurs=&amp;quot;0&amp;quot; /&amp;gt;_x000d__x000a_                &amp;lt;xs:element name=&amp;quot;IsDeleted&amp;quot; type=&amp;quot;xs:boolean&amp;quot; default=&amp;quot;false&amp;quot; /&amp;gt;_x000d__x000a_                &amp;lt;xs:element name=&amp;quot;CaseLinkTypeID&amp;quot; type=&amp;quot;xs:int&amp;quot; minOccurs=&amp;quot;0&amp;quot; /&amp;gt;_x000d__x000a_                &amp;lt;xs:element name=&amp;quot;CaseName&amp;quot; type=&amp;quot;xs:string&amp;quot; minOccurs=&amp;quot;0&amp;quot; /&amp;gt;_x000d__x000a_                &amp;lt;xs:element name=&amp;quot;CaseDisplayIdentifier&amp;quot; type=&amp;quot;xs:string&amp;quot; minOccurs=&amp;quot;0&amp;quot; /&amp;gt;_x000d__x000a_              &amp;lt;/xs:sequence&amp;gt;_x000d__x000a_            &amp;lt;/xs:complexType&amp;gt;_x000d__x000a_          &amp;lt;/xs:element&amp;gt;_x000d__x000a_          &amp;lt;xs:element name=&amp;quot;dt_DecisionMotion&amp;quot;&amp;gt;_x000d__x000a_            &amp;lt;xs:complexType&amp;gt;_x000d__x000a_              &amp;lt;xs:sequence&amp;gt;_x000d__x000a_                &amp;lt;xs:element name=&amp;quot;DecisionID&amp;quot; type=&amp;quot;xs:int&amp;quot; /&amp;gt;_x000d__x000a_                &amp;lt;xs:element name=&amp;quot;MotionID&amp;quot; type=&amp;quot;xs:int&amp;quot; /&amp;gt;_x000d__x000a_                &amp;lt;xs:element name=&amp;quot;DecisionResultID&amp;quot; type=&amp;quot;xs:int&amp;quot; minOccurs=&amp;quot;0&amp;quot; /&amp;gt;_x000d__x000a_                &amp;lt;xs:element name=&amp;quot;IsOriginalMotion&amp;quot; type=&amp;quot;xs:boolean&amp;quot; default=&amp;quot;false&amp;quot; minOccurs=&amp;quot;0&amp;quot; /&amp;gt;_x000d__x000a_                &amp;lt;xs:element name=&amp;quot;MotionName&amp;quot; type=&amp;quot;xs:string&amp;quot; minOccurs=&amp;quot;0&amp;quot; /&amp;gt;_x000d__x000a_                &amp;lt;xs:element name=&amp;quot;MotionOpenDate&amp;quot; type=&amp;quot;xs:dateTime&amp;quot; minOccurs=&amp;quot;0&amp;quot; /&amp;gt;_x000d__x000a_                &amp;lt;xs:element name=&amp;quot;CaseID&amp;quot; type=&amp;quot;xs:int&amp;quot; minOccurs=&amp;quot;0&amp;quot; /&amp;gt;_x000d__x000a_                &amp;lt;xs:element name=&amp;quot;CaseDisplayIdentifier&amp;quot; type=&amp;quot;xs:string&amp;quot; minOccurs=&amp;quot;0&amp;quot; /&amp;gt;_x000d__x000a_                &amp;lt;xs:element name=&amp;quot;ProcessNumber&amp;quot; type=&amp;quot;xs:int&amp;quot; minOccurs=&amp;quot;0&amp;quot; /&amp;gt;_x000d__x000a_                &amp;lt;xs:element name=&amp;quot;ListOfProcessIds&amp;quot; type=&amp;quot;xs:string&amp;quot; minOccurs=&amp;quot;0&amp;quot; /&amp;gt;_x000d__x000a_              &amp;lt;/xs:sequence&amp;gt;_x000d__x000a_            &amp;lt;/xs:complexType&amp;gt;_x000d__x000a_          &amp;lt;/xs:element&amp;gt;_x000d__x000a_          &amp;lt;xs:element name=&amp;quot;dt_DecisionProtocol&amp;quot;&amp;gt;_x000d__x000a_            &amp;lt;xs:complexType&amp;gt;_x000d__x000a_              &amp;lt;xs:sequence&amp;gt;_x000d__x000a_                &amp;lt;xs:element name=&amp;quot;DecisionID&amp;quot; type=&amp;quot;xs:int&amp;quot; /&amp;gt;_x000d__x000a_                &amp;lt;xs:element name=&amp;quot;ProtocolID&amp;quot; type=&amp;quot;xs:int&amp;quot; /&amp;gt;_x000d__x000a_                &amp;lt;xs:element name=&amp;quot;ProtocolEventID&amp;quot; type=&amp;quot;xs:int&amp;quot; /&amp;gt;_x000d__x000a_              &amp;lt;/xs:sequence&amp;gt;_x000d__x000a_            &amp;lt;/xs:complexType&amp;gt;_x000d__x000a_          &amp;lt;/xs:element&amp;gt;_x000d__x000a_          &amp;lt;xs:element name=&amp;quot;dt_DecisionJudgePanel&amp;quot;&amp;gt;_x000d__x000a_            &amp;lt;xs:complexType&amp;gt;_x000d__x000a_              &amp;lt;xs:sequence&amp;gt;_x000d__x000a_                &amp;lt;xs:element name=&amp;quot;DecisionID&amp;quot; type=&amp;quot;xs:int&amp;quot; /&amp;gt;_x000d__x000a_                &amp;lt;xs:element name=&amp;quot;JudgeID&amp;quot; type=&amp;quot;xs:string&amp;quot; /&amp;gt;_x000d__x000a_                &amp;lt;xs:element name=&amp;quot;DocumentSendDate&amp;quot; type=&amp;quot;xs:dateTime&amp;quot; minOccurs=&amp;quot;0&amp;quot; /&amp;gt;_x000d__x000a_                &amp;lt;xs:element name=&amp;quot;FinalDate&amp;quot; type=&amp;quot;xs:dateTime&amp;quot; minOccurs=&amp;quot;0&amp;quot; /&amp;gt;_x000d__x000a_                &amp;lt;xs:element name=&amp;quot;SignatureDate&amp;quot; type=&amp;quot;xs:dateTime&amp;quot; minOccurs=&amp;quot;0&amp;quot; /&amp;gt;_x000d__x000a_                &amp;lt;xs:element name=&amp;quot;DocumentID&amp;quot; type=&amp;quot;xs:int&amp;quot; minOccurs=&amp;quot;0&amp;quot; /&amp;gt;_x000d__x000a_                &amp;lt;xs:element name=&amp;quot;DecisionOpinionDate&amp;quot; type=&amp;quot;xs:dateTime&amp;quot; minOccurs=&amp;quot;0&amp;quot; /&amp;gt;_x000d__x000a_                &amp;lt;xs:element name=&amp;quot;WriterViewedDraftDate&amp;quot; type=&amp;quot;xs:dateTime&amp;quot; minOccurs=&amp;quot;0&amp;quot; /&amp;gt;_x000d__x000a_                &amp;lt;xs:element name=&amp;quot;IsNeedAllSignatures&amp;quot; type=&amp;quot;xs:boolean&amp;quot; minOccurs=&amp;quot;0&amp;quot; /&amp;gt;_x000d__x000a_                &amp;lt;xs:element name=&amp;quot;DocumentIDNotes&amp;quot; type=&amp;quot;xs:int&amp;quot; minOccurs=&amp;quot;0&amp;quot; /&amp;gt;_x000d__x000a_                &amp;lt;xs:element name=&amp;quot;OrdinalNumber&amp;quot; type=&amp;quot;xs:int&amp;quot; minOccurs=&amp;quot;0&amp;quot; /&amp;gt;_x000d__x000a_              &amp;lt;/xs:sequence&amp;gt;_x000d__x000a_            &amp;lt;/xs:complexType&amp;gt;_x000d__x000a_          &amp;lt;/xs:element&amp;gt;_x000d__x000a_          &amp;lt;xs:element name=&amp;quot;dt_Attachments&amp;quot;&amp;gt;_x000d__x000a_            &amp;lt;xs:complexType&amp;gt;_x000d__x000a_              &amp;lt;xs:sequence&amp;gt;_x000d__x000a_                &amp;lt;xs:element name=&amp;quot;DocumentID&amp;quot; type=&amp;quot;xs:int&amp;quot; minOccurs=&amp;quot;0&amp;quot; /&amp;gt;_x000d__x000a_                &amp;lt;xs:element name=&amp;quot;DocumentStatusChangeDate&amp;quot; type=&amp;quot;xs:dateTime&amp;quot; minOccurs=&amp;quot;0&amp;quot; /&amp;gt;_x000d__x000a_                &amp;lt;xs:element name=&amp;quot;DocumentDesc&amp;quot; type=&amp;quot;xs:string&amp;quot; minOccurs=&amp;quot;0&amp;quot; /&amp;gt;_x000d__x000a_                &amp;lt;xs:element name=&amp;quot;DocumentMainID&amp;quot; type=&amp;quot;xs:int&amp;quot; minOccurs=&amp;quot;0&amp;quot; /&amp;gt;_x000d__x000a_                &amp;lt;xs:element name=&amp;quot;IsIDCPublished&amp;quot; type=&amp;quot;xs:boolean&amp;quot; default=&amp;quot;false&amp;quot; minOccurs=&amp;quot;0&amp;quot; /&amp;gt;_x000d__x000a_              &amp;lt;/xs:sequence&amp;gt;_x000d__x000a_            &amp;lt;/xs:complexType&amp;gt;_x000d__x000a_          &amp;lt;/xs:element&amp;gt;_x000d__x000a_        &amp;lt;/xs:choice&amp;gt;_x000d__x000a_      &amp;lt;/xs:complexType&amp;gt;_x000d__x000a_      &amp;lt;xs:unique name=&amp;quot;DecisionDSKey1&amp;quot; msdata:PrimaryKey=&amp;quot;true&amp;quot;&amp;gt;_x000d__x000a_        &amp;lt;xs:selector xpath=&amp;quot;.//mstns:dt_Decision&amp;quot; /&amp;gt;_x000d__x000a_        &amp;lt;xs:field xpath=&amp;quot;mstns:DecisionID&amp;quot; /&amp;gt;_x000d__x000a_      &amp;lt;/xs:unique&amp;gt;_x000d__x000a_      &amp;lt;xs:unique name=&amp;quot;DecisionDSKey2&amp;quot; msdata:PrimaryKey=&amp;quot;true&amp;quot;&amp;gt;_x000d__x000a_        &amp;lt;xs:selector xpath=&amp;quot;.//mstns:dt_DecisionCase&amp;quot; /&amp;gt;_x000d__x000a_        &amp;lt;xs:field xpath=&amp;quot;mstns:DecisionID&amp;quot; /&amp;gt;_x000d__x000a_        &amp;lt;xs:field xpath=&amp;quot;mstns:CaseID&amp;quot; /&amp;gt;_x000d__x000a_      &amp;lt;/xs:unique&amp;gt;_x000d__x000a_      &amp;lt;xs:unique name=&amp;quot;DecisionDSKey3&amp;quot; msdata:PrimaryKey=&amp;quot;true&amp;quot;&amp;gt;_x000d__x000a_        &amp;lt;xs:selector xpath=&amp;quot;.//mstns:dt_DecisionMotion&amp;quot; /&amp;gt;_x000d__x000a_        &amp;lt;xs:field xpath=&amp;quot;mstns:DecisionID&amp;quot; /&amp;gt;_x000d__x000a_        &amp;lt;xs:field xpath=&amp;quot;mstns:MotionID&amp;quot; /&amp;gt;_x000d__x000a_      &amp;lt;/xs:unique&amp;gt;_x000d__x000a_      &amp;lt;xs:unique name=&amp;quot;DecisionDSKey4&amp;quot; msdata:PrimaryKey=&amp;quot;true&amp;quot;&amp;gt;_x000d__x000a_        &amp;lt;xs:selector xpath=&amp;quot;.//mstns:dt_DecisionProtocol&amp;quot; /&amp;gt;_x000d__x000a_        &amp;lt;xs:field xpath=&amp;quot;mstns:DecisionID&amp;quot; /&amp;gt;_x000d__x000a_        &amp;lt;xs:field xpath=&amp;quot;mstns:ProtocolID&amp;quot; /&amp;gt;_x000d__x000a_        &amp;lt;xs:field xpath=&amp;quot;mstns:ProtocolEventID&amp;quot; /&amp;gt;_x000d__x000a_      &amp;lt;/xs:unique&amp;gt;_x000d__x000a_      &amp;lt;xs:unique name=&amp;quot;DecisionDSKey10&amp;quot; msdata:PrimaryKey=&amp;quot;true&amp;quot;&amp;gt;_x000d__x000a_        &amp;lt;xs:selector xpath=&amp;quot;.//mstns:dt_DecisionJudgePanel&amp;quot; /&amp;gt;_x000d__x000a_        &amp;lt;xs:field xpath=&amp;quot;mstns:DecisionID&amp;quot; /&amp;gt;_x000d__x000a_        &amp;lt;xs:field xpath=&amp;quot;mstns:JudgeID&amp;quot; /&amp;gt;_x000d__x000a_      &amp;lt;/xs:unique&amp;gt;_x000d__x000a_      &amp;lt;xs:keyref name=&amp;quot;dt_Decisiondt_DecisionJudgePanel&amp;quot; refer=&amp;quot;DecisionDSKey1&amp;quot;&amp;gt;_x000d__x000a_        &amp;lt;xs:selector xpath=&amp;quot;.//mstns:dt_DecisionJudgePanel&amp;quot; /&amp;gt;_x000d__x000a_        &amp;lt;xs:field xpath=&amp;quot;mstns:DecisionID&amp;quot; /&amp;gt;_x000d__x000a_      &amp;lt;/xs:keyref&amp;gt;_x000d__x000a_      &amp;lt;xs:keyref name=&amp;quot;dt_Decisiondt_DecisionProtocol&amp;quot; refer=&amp;quot;DecisionDSKey1&amp;quot;&amp;gt;_x000d__x000a_        &amp;lt;xs:selector xpath=&amp;quot;.//mstns:dt_DecisionProtocol&amp;quot; /&amp;gt;_x000d__x000a_        &amp;lt;xs:field xpath=&amp;quot;mstns:DecisionID&amp;quot; /&amp;gt;_x000d__x000a_      &amp;lt;/xs:keyref&amp;gt;_x000d__x000a_      &amp;lt;xs:keyref name=&amp;quot;dt_Decisiondt_DecisionMotion&amp;quot; refer=&amp;quot;DecisionDSKey1&amp;quot;&amp;gt;_x000d__x000a_        &amp;lt;xs:selector xpath=&amp;quot;.//mstns:dt_DecisionMotion&amp;quot; /&amp;gt;_x000d__x000a_        &amp;lt;xs:field xpath=&amp;quot;mstns:DecisionID&amp;quot; /&amp;gt;_x000d__x000a_      &amp;lt;/xs:keyref&amp;gt;_x000d__x000a_      &amp;lt;xs:keyref name=&amp;quot;dt_Decisiondt_DecisionCase&amp;quot; refer=&amp;quot;DecisionDSKey1&amp;quot;&amp;gt;_x000d__x000a_        &amp;lt;xs:selector xpath=&amp;quot;.//mstns:dt_DecisionCase&amp;quot; /&amp;gt;_x000d__x000a_        &amp;lt;xs:field xpath=&amp;quot;mstns:DecisionID&amp;quot; /&amp;gt;_x000d__x000a_      &amp;lt;/xs:keyref&amp;gt;_x000d__x000a_    &amp;lt;/xs:element&amp;gt;_x000d__x000a_  &amp;lt;/xs:schema&amp;gt;_x000d__x000a_  &amp;lt;diffgr:diffgram xmlns:msdata=&amp;quot;urn:schemas-microsoft-com:xml-msdata&amp;quot; xmlns:diffgr=&amp;quot;urn:schemas-microsoft-com:xml-diffgram-v1&amp;quot;&amp;gt;_x000d__x000a_    &amp;lt;DecisionDS xmlns=&amp;quot;http://www.tempuri.org/DecisionDS.xsd&amp;quot;&amp;gt;_x000d__x000a_      &amp;lt;dt_Decision diffgr:id=&amp;quot;dt_Decision1&amp;quot; msdata:rowOrder=&amp;quot;0&amp;quot;&amp;gt;_x000d__x000a_        &amp;lt;DecisionID&amp;gt;155000791&amp;lt;/DecisionID&amp;gt;_x000d__x000a_        &amp;lt;DecisionName&amp;gt;פסק דין  שניתנה ע&amp;quot;י  רות רונן&amp;lt;/DecisionName&amp;gt;_x000d__x000a_        &amp;lt;DecisionStatusID&amp;gt;1&amp;lt;/DecisionStatusID&amp;gt;_x000d__x000a_        &amp;lt;DecisionStatusChangeDate&amp;gt;2024-09-19T16:07:21.803+03:00&amp;lt;/DecisionStatusChangeDate&amp;gt;_x000d__x000a_        &amp;lt;DecisionSignatureDate&amp;gt;2024-09-19T16:07:21.54+03:00&amp;lt;/DecisionSignatureDate&amp;gt;_x000d__x000a_        &amp;lt;DecisionSignatureUserID&amp;gt;057825234@GOV.IL&amp;lt;/DecisionSignatureUserID&amp;gt;_x000d__x000a_        &amp;lt;DecisionCreateDate&amp;gt;2024-09-18T15:06:21.377+03:00&amp;lt;/DecisionCreateDate&amp;gt;_x000d__x000a_        &amp;lt;DecisionChangeDate&amp;gt;2024-09-19T16:07:21.797+03:00&amp;lt;/DecisionChangeDate&amp;gt;_x000d__x000a_        &amp;lt;DecisionChangeUserID&amp;gt;208522557@GOV.IL&amp;lt;/DecisionChangeUserID&amp;gt;_x000d__x000a_        &amp;lt;IsChosenDecision&amp;gt;false&amp;lt;/IsChosenDecision&amp;gt;_x000d__x000a_        &amp;lt;IsDecisionImplementationTask&amp;gt;true&amp;lt;/IsDecisionImplementationTask&amp;gt;_x000d__x000a_        &amp;lt;IsDecisionInProtocol&amp;gt;false&amp;lt;/IsDecisionInProtocol&amp;gt;_x000d__x000a_        &amp;lt;DecisionTypeID&amp;gt;2&amp;lt;/DecisionTypeID&amp;gt;_x000d__x000a_        &amp;lt;IsOnlyOneParty&amp;gt;false&amp;lt;/IsOnlyOneParty&amp;gt;_x000d__x000a_        &amp;lt;IsCanceledDecision&amp;gt;false&amp;lt;/IsCanceledDecision&amp;gt;_x000d__x000a_        &amp;lt;DocumentID&amp;gt;455601739&amp;lt;/DocumentID&amp;gt;_x000d__x000a_        &amp;lt;PrivilegeID&amp;gt;1&amp;lt;/PrivilegeID&amp;gt;_x000d__x000a_        &amp;lt;IsDecisionConverted&amp;gt;false&amp;lt;/IsDecisionConverted&amp;gt;_x000d__x000a_        &amp;lt;IsOpenedToSecondSide&amp;gt;false&amp;lt;/IsOpenedToSecondSide&amp;gt;_x000d__x000a_        &amp;lt;IsDecisionAppeled&amp;gt;false&amp;lt;/IsDecisionAppeled&amp;gt;_x000d__x000a_        &amp;lt;DecisionWriterID&amp;gt;057825234@GOV.IL&amp;lt;/DecisionWriterID&amp;gt;_x000d__x000a_        &amp;lt;IsInstruction&amp;gt;false&amp;lt;/IsInstruction&amp;gt;_x000d__x000a_        &amp;lt;IsNeedAllSignatures&amp;gt;false&amp;lt;/IsNeedAllSignatures&amp;gt;_x000d__x000a_        &amp;lt;DecisionAttributeID&amp;gt;1&amp;lt;/DecisionAttributeID&amp;gt;_x000d__x000a_        &amp;lt;DecisionCreationUserID&amp;gt;315631721@GOV.IL&amp;lt;/DecisionCreationUserID&amp;gt;_x000d__x000a_        &amp;lt;DecisionDisplayName&amp;gt;פסק דין  שניתנה ע&amp;quot;י  רות רונן&amp;lt;/DecisionDisplayName&amp;gt;_x000d__x000a_        &amp;lt;IsScanned&amp;gt;false&amp;lt;/IsScanned&amp;gt;_x000d__x000a_        &amp;lt;DecisionSignatureUserName&amp;gt;רות רונן&amp;lt;/DecisionSignatureUserName&amp;gt;_x000d__x000a_        &amp;lt;NotificationTypeID&amp;gt;1&amp;lt;/NotificationTypeID&amp;gt;_x000d__x000a_        &amp;lt;IsDecisionInNote&amp;gt;false&amp;lt;/IsDecisionInNote&amp;gt;_x000d__x000a_        &amp;lt;IsDecisionUrgency&amp;gt;false&amp;lt;/IsDecisionUrgency&amp;gt;_x000d__x000a_        &amp;lt;IsPublishSmallCensorVersion&amp;gt;false&amp;lt;/IsPublishSmallCensorVersion&amp;gt;_x000d__x000a_        &amp;lt;IsIDCPublished&amp;gt;false&amp;lt;/IsIDCPublished&amp;gt;_x000d__x000a_        &amp;lt;IsIDCPublishedForSummary&amp;gt;false&amp;lt;/IsIDCPublishedForSummary&amp;gt;_x000d__x000a_        &amp;lt;DecisionNumberInCase&amp;gt;9&amp;lt;/DecisionNumberInCase&amp;gt;_x000d__x000a_        &amp;lt;DecisionMeetingDate&amp;gt;2024-09-18T00:00:00+03:00&amp;lt;/DecisionMeetingDate&amp;gt;_x000d__x000a_      &amp;lt;/dt_Decision&amp;gt;_x000d__x000a_      &amp;lt;dt_DecisionCase diffgr:id=&amp;quot;dt_DecisionCase1&amp;quot; msdata:rowOrder=&amp;quot;0&amp;quot;&amp;gt;_x000d__x000a_        &amp;lt;DecisionID&amp;gt;155000791&amp;lt;/DecisionID&amp;gt;_x000d__x000a_        &amp;lt;CaseID&amp;gt;81827160&amp;lt;/CaseID&amp;gt;_x000d__x000a_        &amp;lt;IsOriginal&amp;gt;false&amp;lt;/IsOriginal&amp;gt;_x000d__x000a_        &amp;lt;IsDeleted&amp;gt;false&amp;lt;/IsDeleted&amp;gt;_x000d__x000a_        &amp;lt;CaseLinkTypeID&amp;gt;1&amp;lt;/CaseLinkTypeID&amp;gt;_x000d__x000a_        &amp;lt;CaseName&amp;gt;הועדה המיוחדת לתגנון ולבניה חריש  נ&amp;#39; שפיר הנדסה אזרחית ימית בע&amp;quot;מ  ואח&amp;#39;&amp;lt;/CaseName&amp;gt;_x000d__x000a_        &amp;lt;CaseDisplayIdentifier&amp;gt;ע&amp;quot;א 8093-1/23&amp;lt;/CaseDisplayIdentifier&amp;gt;_x000d__x000a_      &amp;lt;/dt_DecisionCase&amp;gt;_x000d__x000a_      &amp;lt;dt_DecisionCase diffgr:id=&amp;quot;dt_DecisionCase2&amp;quot; msdata:rowOrder=&amp;quot;1&amp;quot;&amp;gt;_x000d__x000a_        &amp;lt;DecisionID&amp;gt;155000791&amp;lt;/DecisionID&amp;gt;_x000d__x000a_        &amp;lt;CaseID&amp;gt;81827159&amp;lt;/CaseID&amp;gt;_x000d__x000a_        &amp;lt;IsOriginal&amp;gt;true&amp;lt;/IsOriginal&amp;gt;_x000d__x000a_        &amp;lt;IsDeleted&amp;gt;false&amp;lt;/IsDeleted&amp;gt;_x000d__x000a_        &amp;lt;CaseLinkTypeID&amp;gt;1&amp;lt;/CaseLinkTypeID&amp;gt;_x000d__x000a_        &amp;lt;CaseName&amp;gt;שפיר הנדסה אזחית וימית בע&amp;quot;מ  ואח&amp;#39; נ&amp;#39; הועדה המיוחדת לתכנון ובניה חריש &amp;lt;/CaseName&amp;gt;_x000d__x000a_        &amp;lt;CaseDisplayIdentifier&amp;gt;ע&amp;quot;א 8093/23&amp;lt;/CaseDisplayIdentifier&amp;gt;_x000d__x000a_      &amp;lt;/dt_DecisionCase&amp;gt;_x000d__x000a_    &amp;lt;/DecisionDS&amp;gt;_x000d__x000a_  &amp;lt;/diffgr:diffgram&amp;gt;_x000d__x000a_&amp;lt;/DecisionDS&amp;gt;"/>
    <w:docVar w:name="DecisionID" w:val="155000791"/>
    <w:docVar w:name="MyInfo" w:val="This document was extracted from Nevo's site"/>
    <w:docVar w:name="WordClientAssemblyName" w:val="NGCS.Decision.ClientWordBL"/>
    <w:docVar w:name="WordClientClassName" w:val="NGCS.Decision.ClientWordBL.DecisionClient"/>
  </w:docVars>
  <w:rsids>
    <w:rsidRoot w:val="00694556"/>
    <w:rsid w:val="00000062"/>
    <w:rsid w:val="0000226B"/>
    <w:rsid w:val="00005C8B"/>
    <w:rsid w:val="00007DE0"/>
    <w:rsid w:val="000346CC"/>
    <w:rsid w:val="000529D2"/>
    <w:rsid w:val="000529F0"/>
    <w:rsid w:val="000564AB"/>
    <w:rsid w:val="00064FBD"/>
    <w:rsid w:val="00082AB2"/>
    <w:rsid w:val="000906FE"/>
    <w:rsid w:val="00096AF7"/>
    <w:rsid w:val="000B344B"/>
    <w:rsid w:val="000C3B0F"/>
    <w:rsid w:val="000C3B60"/>
    <w:rsid w:val="000E0DD2"/>
    <w:rsid w:val="000E12EA"/>
    <w:rsid w:val="000E3AF1"/>
    <w:rsid w:val="000F0BC8"/>
    <w:rsid w:val="000F0DD6"/>
    <w:rsid w:val="00103959"/>
    <w:rsid w:val="00105E0F"/>
    <w:rsid w:val="00107E6D"/>
    <w:rsid w:val="0011194C"/>
    <w:rsid w:val="0011424C"/>
    <w:rsid w:val="001173C6"/>
    <w:rsid w:val="001367BC"/>
    <w:rsid w:val="00144D2A"/>
    <w:rsid w:val="0014653E"/>
    <w:rsid w:val="00180519"/>
    <w:rsid w:val="00191C82"/>
    <w:rsid w:val="00193B4B"/>
    <w:rsid w:val="001C4003"/>
    <w:rsid w:val="001D4DBF"/>
    <w:rsid w:val="001E75CA"/>
    <w:rsid w:val="002172E3"/>
    <w:rsid w:val="00224175"/>
    <w:rsid w:val="002265FF"/>
    <w:rsid w:val="00235B97"/>
    <w:rsid w:val="00261FEE"/>
    <w:rsid w:val="00270C62"/>
    <w:rsid w:val="00271B56"/>
    <w:rsid w:val="00275E20"/>
    <w:rsid w:val="00284859"/>
    <w:rsid w:val="00286B0C"/>
    <w:rsid w:val="002A1B48"/>
    <w:rsid w:val="002C344E"/>
    <w:rsid w:val="002E75E9"/>
    <w:rsid w:val="002F0B1E"/>
    <w:rsid w:val="00307A6A"/>
    <w:rsid w:val="00307C40"/>
    <w:rsid w:val="00320433"/>
    <w:rsid w:val="00320E8F"/>
    <w:rsid w:val="003230C7"/>
    <w:rsid w:val="00327E50"/>
    <w:rsid w:val="0033597A"/>
    <w:rsid w:val="00343D89"/>
    <w:rsid w:val="00362612"/>
    <w:rsid w:val="0036743F"/>
    <w:rsid w:val="00367B06"/>
    <w:rsid w:val="003715DD"/>
    <w:rsid w:val="003823E0"/>
    <w:rsid w:val="003A4521"/>
    <w:rsid w:val="003B25DC"/>
    <w:rsid w:val="003B3E8D"/>
    <w:rsid w:val="003D1C8C"/>
    <w:rsid w:val="003E0725"/>
    <w:rsid w:val="003F4D61"/>
    <w:rsid w:val="0040096C"/>
    <w:rsid w:val="00414052"/>
    <w:rsid w:val="00414F1F"/>
    <w:rsid w:val="0043125D"/>
    <w:rsid w:val="0043502B"/>
    <w:rsid w:val="004443AC"/>
    <w:rsid w:val="00444748"/>
    <w:rsid w:val="00444B02"/>
    <w:rsid w:val="00451E28"/>
    <w:rsid w:val="00462C62"/>
    <w:rsid w:val="00465D36"/>
    <w:rsid w:val="004C17EE"/>
    <w:rsid w:val="004C4BDF"/>
    <w:rsid w:val="004D1187"/>
    <w:rsid w:val="004D3AA0"/>
    <w:rsid w:val="004D5AF0"/>
    <w:rsid w:val="004E1987"/>
    <w:rsid w:val="004E2E15"/>
    <w:rsid w:val="004E6E3C"/>
    <w:rsid w:val="004F02E3"/>
    <w:rsid w:val="00511B90"/>
    <w:rsid w:val="00520898"/>
    <w:rsid w:val="00523621"/>
    <w:rsid w:val="00524986"/>
    <w:rsid w:val="005268F6"/>
    <w:rsid w:val="00534284"/>
    <w:rsid w:val="00547DB7"/>
    <w:rsid w:val="00561BB9"/>
    <w:rsid w:val="005C0627"/>
    <w:rsid w:val="005F4F09"/>
    <w:rsid w:val="0061431B"/>
    <w:rsid w:val="00616AE2"/>
    <w:rsid w:val="00622BAA"/>
    <w:rsid w:val="006306CF"/>
    <w:rsid w:val="006318D8"/>
    <w:rsid w:val="00644E9A"/>
    <w:rsid w:val="00671BD5"/>
    <w:rsid w:val="006805C1"/>
    <w:rsid w:val="006833AE"/>
    <w:rsid w:val="00686C21"/>
    <w:rsid w:val="006931C1"/>
    <w:rsid w:val="00694556"/>
    <w:rsid w:val="006A3C58"/>
    <w:rsid w:val="006B7258"/>
    <w:rsid w:val="006C30C5"/>
    <w:rsid w:val="006D3B31"/>
    <w:rsid w:val="006E0D96"/>
    <w:rsid w:val="006E1A53"/>
    <w:rsid w:val="006F56E6"/>
    <w:rsid w:val="00704EDA"/>
    <w:rsid w:val="0071337E"/>
    <w:rsid w:val="00721122"/>
    <w:rsid w:val="00734689"/>
    <w:rsid w:val="007447C7"/>
    <w:rsid w:val="00753019"/>
    <w:rsid w:val="00754801"/>
    <w:rsid w:val="00761441"/>
    <w:rsid w:val="00795365"/>
    <w:rsid w:val="00796168"/>
    <w:rsid w:val="007A351D"/>
    <w:rsid w:val="007A6BE9"/>
    <w:rsid w:val="007B7765"/>
    <w:rsid w:val="007C5BDD"/>
    <w:rsid w:val="007D45E3"/>
    <w:rsid w:val="007E6115"/>
    <w:rsid w:val="007F4609"/>
    <w:rsid w:val="00814468"/>
    <w:rsid w:val="008176A1"/>
    <w:rsid w:val="00820005"/>
    <w:rsid w:val="00841158"/>
    <w:rsid w:val="00844318"/>
    <w:rsid w:val="00851257"/>
    <w:rsid w:val="00863F5D"/>
    <w:rsid w:val="00870890"/>
    <w:rsid w:val="00873602"/>
    <w:rsid w:val="00875D12"/>
    <w:rsid w:val="0088479D"/>
    <w:rsid w:val="00891F42"/>
    <w:rsid w:val="00894E25"/>
    <w:rsid w:val="00896889"/>
    <w:rsid w:val="008A59EE"/>
    <w:rsid w:val="008A6E97"/>
    <w:rsid w:val="008C5714"/>
    <w:rsid w:val="008D10B2"/>
    <w:rsid w:val="00903896"/>
    <w:rsid w:val="00906F3D"/>
    <w:rsid w:val="0094424E"/>
    <w:rsid w:val="00955642"/>
    <w:rsid w:val="009622DF"/>
    <w:rsid w:val="0096493F"/>
    <w:rsid w:val="00967DFF"/>
    <w:rsid w:val="00994341"/>
    <w:rsid w:val="009D1A48"/>
    <w:rsid w:val="009E1CE7"/>
    <w:rsid w:val="009E4EA5"/>
    <w:rsid w:val="009F164B"/>
    <w:rsid w:val="009F323C"/>
    <w:rsid w:val="00A3392B"/>
    <w:rsid w:val="00A5602A"/>
    <w:rsid w:val="00A81988"/>
    <w:rsid w:val="00A85E34"/>
    <w:rsid w:val="00A87DF6"/>
    <w:rsid w:val="00A9144F"/>
    <w:rsid w:val="00A94B64"/>
    <w:rsid w:val="00AA020D"/>
    <w:rsid w:val="00AA3229"/>
    <w:rsid w:val="00AA7596"/>
    <w:rsid w:val="00AB5E52"/>
    <w:rsid w:val="00AC3B02"/>
    <w:rsid w:val="00AC3B7B"/>
    <w:rsid w:val="00AC5209"/>
    <w:rsid w:val="00AE0E34"/>
    <w:rsid w:val="00AE729E"/>
    <w:rsid w:val="00AE7752"/>
    <w:rsid w:val="00AF7FDA"/>
    <w:rsid w:val="00B27E99"/>
    <w:rsid w:val="00B5356E"/>
    <w:rsid w:val="00B62AD7"/>
    <w:rsid w:val="00B66717"/>
    <w:rsid w:val="00B702EB"/>
    <w:rsid w:val="00B77019"/>
    <w:rsid w:val="00B809AD"/>
    <w:rsid w:val="00B80CBD"/>
    <w:rsid w:val="00B86096"/>
    <w:rsid w:val="00B95D6E"/>
    <w:rsid w:val="00B964D9"/>
    <w:rsid w:val="00BA0A7C"/>
    <w:rsid w:val="00BA517C"/>
    <w:rsid w:val="00BB3D05"/>
    <w:rsid w:val="00BB73BE"/>
    <w:rsid w:val="00BC2D89"/>
    <w:rsid w:val="00BD6531"/>
    <w:rsid w:val="00BE05B2"/>
    <w:rsid w:val="00BF1908"/>
    <w:rsid w:val="00BF76BE"/>
    <w:rsid w:val="00C05869"/>
    <w:rsid w:val="00C22D93"/>
    <w:rsid w:val="00C23458"/>
    <w:rsid w:val="00C31120"/>
    <w:rsid w:val="00C34482"/>
    <w:rsid w:val="00C43648"/>
    <w:rsid w:val="00C50A9F"/>
    <w:rsid w:val="00C61238"/>
    <w:rsid w:val="00C642FA"/>
    <w:rsid w:val="00C65B78"/>
    <w:rsid w:val="00C9217F"/>
    <w:rsid w:val="00CA4C49"/>
    <w:rsid w:val="00CB199D"/>
    <w:rsid w:val="00CC7622"/>
    <w:rsid w:val="00CD516B"/>
    <w:rsid w:val="00CD608F"/>
    <w:rsid w:val="00CE0084"/>
    <w:rsid w:val="00CF403E"/>
    <w:rsid w:val="00CF6BB7"/>
    <w:rsid w:val="00D04AA4"/>
    <w:rsid w:val="00D20565"/>
    <w:rsid w:val="00D27982"/>
    <w:rsid w:val="00D33B86"/>
    <w:rsid w:val="00D44968"/>
    <w:rsid w:val="00D46D85"/>
    <w:rsid w:val="00D53924"/>
    <w:rsid w:val="00D55D0C"/>
    <w:rsid w:val="00D94C4C"/>
    <w:rsid w:val="00D96D8C"/>
    <w:rsid w:val="00DA6649"/>
    <w:rsid w:val="00DC1259"/>
    <w:rsid w:val="00DC1BD2"/>
    <w:rsid w:val="00DC2571"/>
    <w:rsid w:val="00DC32A3"/>
    <w:rsid w:val="00DC487C"/>
    <w:rsid w:val="00DC792F"/>
    <w:rsid w:val="00DD4335"/>
    <w:rsid w:val="00DE1E7D"/>
    <w:rsid w:val="00DE6BF6"/>
    <w:rsid w:val="00E1068A"/>
    <w:rsid w:val="00E25884"/>
    <w:rsid w:val="00E25B55"/>
    <w:rsid w:val="00E311E6"/>
    <w:rsid w:val="00E31C2B"/>
    <w:rsid w:val="00E5426A"/>
    <w:rsid w:val="00E54642"/>
    <w:rsid w:val="00E80CBE"/>
    <w:rsid w:val="00E90C45"/>
    <w:rsid w:val="00E9269D"/>
    <w:rsid w:val="00E962E3"/>
    <w:rsid w:val="00EB6C79"/>
    <w:rsid w:val="00EB7B38"/>
    <w:rsid w:val="00EC37E9"/>
    <w:rsid w:val="00F038D8"/>
    <w:rsid w:val="00F06995"/>
    <w:rsid w:val="00F12D66"/>
    <w:rsid w:val="00F13623"/>
    <w:rsid w:val="00F14E68"/>
    <w:rsid w:val="00F44D1D"/>
    <w:rsid w:val="00F84B6D"/>
    <w:rsid w:val="00F856E6"/>
    <w:rsid w:val="00F957E8"/>
    <w:rsid w:val="00FA311A"/>
    <w:rsid w:val="00FA5FDA"/>
    <w:rsid w:val="00FA7FD0"/>
    <w:rsid w:val="00FB6AB3"/>
    <w:rsid w:val="00FB7A67"/>
    <w:rsid w:val="00FC79C1"/>
    <w:rsid w:val="00FD1419"/>
    <w:rsid w:val="00FD22A7"/>
    <w:rsid w:val="00FD79E4"/>
    <w:rsid w:val="00FE09EC"/>
    <w:rsid w:val="00FE2894"/>
    <w:rsid w:val="00FF6C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20EF8"/>
  <w15:docId w15:val="{529715EB-3895-4DDC-876E-F6112D2A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nhideWhenUsed="1"/>
    <w:lsdException w:name="HTML Bottom of Form"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64423"/>
    <w:pPr>
      <w:bidi/>
    </w:pPr>
    <w:rPr>
      <w:rFonts w:cs="David"/>
      <w:sz w:val="24"/>
      <w:szCs w:val="24"/>
      <w:lang w:bidi="he-IL"/>
    </w:rPr>
  </w:style>
  <w:style w:type="paragraph" w:styleId="1">
    <w:name w:val="heading 1"/>
    <w:basedOn w:val="a1"/>
    <w:next w:val="a1"/>
    <w:link w:val="10"/>
    <w:qFormat/>
    <w:rsid w:val="00284859"/>
    <w:pPr>
      <w:keepNext/>
      <w:keepLines/>
      <w:spacing w:before="240"/>
      <w:outlineLvl w:val="0"/>
    </w:pPr>
    <w:rPr>
      <w:rFonts w:ascii="Cambria" w:hAnsi="Cambria" w:cs="Times New Roman"/>
      <w:color w:val="365F91"/>
      <w:sz w:val="32"/>
      <w:szCs w:val="32"/>
    </w:rPr>
  </w:style>
  <w:style w:type="paragraph" w:styleId="21">
    <w:name w:val="heading 2"/>
    <w:basedOn w:val="a1"/>
    <w:next w:val="a1"/>
    <w:link w:val="22"/>
    <w:qFormat/>
    <w:rsid w:val="00284859"/>
    <w:pPr>
      <w:keepNext/>
      <w:keepLines/>
      <w:spacing w:before="40"/>
      <w:outlineLvl w:val="1"/>
    </w:pPr>
    <w:rPr>
      <w:rFonts w:ascii="Cambria" w:hAnsi="Cambria" w:cs="Times New Roman"/>
      <w:color w:val="365F91"/>
      <w:sz w:val="26"/>
      <w:szCs w:val="26"/>
    </w:rPr>
  </w:style>
  <w:style w:type="paragraph" w:styleId="31">
    <w:name w:val="heading 3"/>
    <w:basedOn w:val="a1"/>
    <w:next w:val="a1"/>
    <w:link w:val="32"/>
    <w:qFormat/>
    <w:rsid w:val="00284859"/>
    <w:pPr>
      <w:keepNext/>
      <w:keepLines/>
      <w:spacing w:before="40"/>
      <w:outlineLvl w:val="2"/>
    </w:pPr>
    <w:rPr>
      <w:rFonts w:ascii="Cambria" w:hAnsi="Cambria" w:cs="Times New Roman"/>
      <w:color w:val="243F60"/>
    </w:rPr>
  </w:style>
  <w:style w:type="paragraph" w:styleId="41">
    <w:name w:val="heading 4"/>
    <w:basedOn w:val="a1"/>
    <w:next w:val="a1"/>
    <w:qFormat/>
    <w:rsid w:val="00C64423"/>
    <w:pPr>
      <w:keepNext/>
      <w:ind w:left="5760" w:firstLine="720"/>
      <w:outlineLvl w:val="3"/>
    </w:pPr>
    <w:rPr>
      <w:rFonts w:cs="Narkisim"/>
      <w:b/>
      <w:bCs/>
    </w:rPr>
  </w:style>
  <w:style w:type="paragraph" w:styleId="51">
    <w:name w:val="heading 5"/>
    <w:basedOn w:val="a1"/>
    <w:next w:val="a1"/>
    <w:link w:val="52"/>
    <w:qFormat/>
    <w:rsid w:val="00284859"/>
    <w:pPr>
      <w:keepNext/>
      <w:keepLines/>
      <w:spacing w:before="40"/>
      <w:outlineLvl w:val="4"/>
    </w:pPr>
    <w:rPr>
      <w:rFonts w:ascii="Cambria" w:hAnsi="Cambria" w:cs="Times New Roman"/>
      <w:color w:val="365F91"/>
    </w:rPr>
  </w:style>
  <w:style w:type="paragraph" w:styleId="6">
    <w:name w:val="heading 6"/>
    <w:basedOn w:val="a1"/>
    <w:next w:val="a1"/>
    <w:link w:val="60"/>
    <w:qFormat/>
    <w:rsid w:val="00284859"/>
    <w:pPr>
      <w:keepNext/>
      <w:keepLines/>
      <w:spacing w:before="40"/>
      <w:outlineLvl w:val="5"/>
    </w:pPr>
    <w:rPr>
      <w:rFonts w:ascii="Cambria" w:hAnsi="Cambria" w:cs="Times New Roman"/>
      <w:color w:val="243F60"/>
    </w:rPr>
  </w:style>
  <w:style w:type="paragraph" w:styleId="7">
    <w:name w:val="heading 7"/>
    <w:basedOn w:val="a1"/>
    <w:next w:val="a1"/>
    <w:link w:val="70"/>
    <w:qFormat/>
    <w:rsid w:val="00284859"/>
    <w:pPr>
      <w:keepNext/>
      <w:keepLines/>
      <w:spacing w:before="40"/>
      <w:outlineLvl w:val="6"/>
    </w:pPr>
    <w:rPr>
      <w:rFonts w:ascii="Cambria" w:hAnsi="Cambria" w:cs="Times New Roman"/>
      <w:i/>
      <w:iCs/>
      <w:color w:val="243F60"/>
    </w:rPr>
  </w:style>
  <w:style w:type="paragraph" w:styleId="8">
    <w:name w:val="heading 8"/>
    <w:basedOn w:val="a1"/>
    <w:next w:val="a1"/>
    <w:link w:val="80"/>
    <w:qFormat/>
    <w:rsid w:val="00284859"/>
    <w:pPr>
      <w:keepNext/>
      <w:keepLines/>
      <w:spacing w:before="40"/>
      <w:outlineLvl w:val="7"/>
    </w:pPr>
    <w:rPr>
      <w:rFonts w:ascii="Cambria" w:hAnsi="Cambria" w:cs="Times New Roman"/>
      <w:color w:val="272727"/>
      <w:sz w:val="21"/>
      <w:szCs w:val="21"/>
    </w:rPr>
  </w:style>
  <w:style w:type="paragraph" w:styleId="9">
    <w:name w:val="heading 9"/>
    <w:basedOn w:val="a1"/>
    <w:next w:val="a1"/>
    <w:link w:val="90"/>
    <w:qFormat/>
    <w:rsid w:val="00284859"/>
    <w:pPr>
      <w:keepNext/>
      <w:keepLines/>
      <w:spacing w:before="40"/>
      <w:outlineLvl w:val="8"/>
    </w:pPr>
    <w:rPr>
      <w:rFonts w:ascii="Cambria" w:hAnsi="Cambria" w:cs="Times New Roman"/>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C64423"/>
    <w:pPr>
      <w:tabs>
        <w:tab w:val="center" w:pos="4153"/>
        <w:tab w:val="right" w:pos="8306"/>
      </w:tabs>
    </w:pPr>
  </w:style>
  <w:style w:type="paragraph" w:styleId="a7">
    <w:name w:val="footer"/>
    <w:basedOn w:val="a1"/>
    <w:link w:val="a8"/>
    <w:uiPriority w:val="99"/>
    <w:rsid w:val="00C64423"/>
    <w:pPr>
      <w:tabs>
        <w:tab w:val="center" w:pos="4153"/>
        <w:tab w:val="right" w:pos="8306"/>
      </w:tabs>
    </w:pPr>
  </w:style>
  <w:style w:type="paragraph" w:customStyle="1" w:styleId="a9">
    <w:name w:val="סעיפים"/>
    <w:basedOn w:val="a1"/>
    <w:rsid w:val="00C64423"/>
    <w:pPr>
      <w:tabs>
        <w:tab w:val="left" w:pos="567"/>
        <w:tab w:val="left" w:pos="1134"/>
        <w:tab w:val="left" w:pos="1701"/>
        <w:tab w:val="left" w:pos="2268"/>
        <w:tab w:val="left" w:pos="2835"/>
        <w:tab w:val="left" w:pos="3402"/>
        <w:tab w:val="left" w:pos="3969"/>
      </w:tabs>
      <w:spacing w:line="360" w:lineRule="auto"/>
      <w:jc w:val="both"/>
    </w:pPr>
  </w:style>
  <w:style w:type="paragraph" w:styleId="aa">
    <w:name w:val="annotation text"/>
    <w:basedOn w:val="a1"/>
    <w:link w:val="ab"/>
    <w:rsid w:val="00C64423"/>
    <w:rPr>
      <w:rFonts w:cs="Times New Roman"/>
    </w:rPr>
  </w:style>
  <w:style w:type="character" w:styleId="ac">
    <w:name w:val="annotation reference"/>
    <w:rsid w:val="00C64423"/>
    <w:rPr>
      <w:noProof w:val="0"/>
      <w:sz w:val="16"/>
      <w:szCs w:val="16"/>
    </w:rPr>
  </w:style>
  <w:style w:type="paragraph" w:styleId="ad">
    <w:name w:val="Balloon Text"/>
    <w:basedOn w:val="a1"/>
    <w:rsid w:val="00C64423"/>
    <w:rPr>
      <w:rFonts w:ascii="Tahoma" w:hAnsi="Tahoma" w:cs="Tahoma"/>
      <w:sz w:val="16"/>
      <w:szCs w:val="16"/>
    </w:rPr>
  </w:style>
  <w:style w:type="table" w:styleId="ae">
    <w:name w:val="Table Grid"/>
    <w:basedOn w:val="a3"/>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line number"/>
    <w:rsid w:val="00C64423"/>
    <w:rPr>
      <w:noProof w:val="0"/>
    </w:rPr>
  </w:style>
  <w:style w:type="character" w:styleId="af0">
    <w:name w:val="page number"/>
    <w:rsid w:val="00C64423"/>
    <w:rPr>
      <w:noProof w:val="0"/>
    </w:rPr>
  </w:style>
  <w:style w:type="table" w:customStyle="1" w:styleId="11">
    <w:name w:val="טבלת רשת1"/>
    <w:basedOn w:val="a3"/>
    <w:next w:val="ae"/>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טקסט מציין מיקום1"/>
    <w:uiPriority w:val="99"/>
    <w:semiHidden/>
    <w:rsid w:val="003230C7"/>
    <w:rPr>
      <w:noProof w:val="0"/>
      <w:color w:val="808080"/>
    </w:rPr>
  </w:style>
  <w:style w:type="character" w:customStyle="1" w:styleId="a8">
    <w:name w:val="כותרת תחתונה תו"/>
    <w:link w:val="a7"/>
    <w:uiPriority w:val="99"/>
    <w:rsid w:val="00616AE2"/>
    <w:rPr>
      <w:rFonts w:cs="David"/>
      <w:noProof w:val="0"/>
      <w:sz w:val="24"/>
      <w:szCs w:val="24"/>
    </w:rPr>
  </w:style>
  <w:style w:type="character" w:customStyle="1" w:styleId="a6">
    <w:name w:val="כותרת עליונה תו"/>
    <w:link w:val="a5"/>
    <w:uiPriority w:val="99"/>
    <w:rsid w:val="00616AE2"/>
    <w:rPr>
      <w:rFonts w:cs="David"/>
      <w:noProof w:val="0"/>
      <w:sz w:val="24"/>
      <w:szCs w:val="24"/>
    </w:rPr>
  </w:style>
  <w:style w:type="character" w:customStyle="1" w:styleId="Ruller4">
    <w:name w:val="Ruller4 תו"/>
    <w:link w:val="Ruller40"/>
    <w:locked/>
    <w:rsid w:val="00E311E6"/>
    <w:rPr>
      <w:rFonts w:ascii="Arial TUR" w:hAnsi="Arial TUR" w:cs="FrankRuehl"/>
      <w:spacing w:val="10"/>
      <w:sz w:val="22"/>
      <w:szCs w:val="28"/>
    </w:rPr>
  </w:style>
  <w:style w:type="paragraph" w:customStyle="1" w:styleId="Ruller40">
    <w:name w:val="Ruller4"/>
    <w:basedOn w:val="a1"/>
    <w:link w:val="Ruller4"/>
    <w:rsid w:val="00E311E6"/>
    <w:pPr>
      <w:tabs>
        <w:tab w:val="left" w:pos="800"/>
      </w:tabs>
      <w:overflowPunct w:val="0"/>
      <w:autoSpaceDE w:val="0"/>
      <w:autoSpaceDN w:val="0"/>
      <w:adjustRightInd w:val="0"/>
      <w:spacing w:line="360" w:lineRule="auto"/>
      <w:jc w:val="both"/>
    </w:pPr>
    <w:rPr>
      <w:rFonts w:ascii="Arial TUR" w:hAnsi="Arial TUR" w:cs="FrankRuehl"/>
      <w:spacing w:val="10"/>
      <w:sz w:val="22"/>
      <w:szCs w:val="28"/>
    </w:rPr>
  </w:style>
  <w:style w:type="character" w:styleId="FollowedHyperlink">
    <w:name w:val="FollowedHyperlink"/>
    <w:rsid w:val="00284859"/>
    <w:rPr>
      <w:noProof w:val="0"/>
      <w:color w:val="800080"/>
      <w:u w:val="single"/>
    </w:rPr>
  </w:style>
  <w:style w:type="character" w:styleId="HTMLCite">
    <w:name w:val="HTML Cite"/>
    <w:rsid w:val="00284859"/>
    <w:rPr>
      <w:i/>
      <w:iCs/>
      <w:noProof w:val="0"/>
    </w:rPr>
  </w:style>
  <w:style w:type="character" w:styleId="HTMLCode">
    <w:name w:val="HTML Code"/>
    <w:rsid w:val="00284859"/>
    <w:rPr>
      <w:rFonts w:ascii="Consolas" w:hAnsi="Consolas"/>
      <w:noProof w:val="0"/>
      <w:sz w:val="20"/>
      <w:szCs w:val="20"/>
    </w:rPr>
  </w:style>
  <w:style w:type="character" w:styleId="HTMLDefinition">
    <w:name w:val="HTML Definition"/>
    <w:rsid w:val="00284859"/>
    <w:rPr>
      <w:i/>
      <w:iCs/>
      <w:noProof w:val="0"/>
    </w:rPr>
  </w:style>
  <w:style w:type="character" w:styleId="HTMLVariable">
    <w:name w:val="HTML Variable"/>
    <w:rsid w:val="00284859"/>
    <w:rPr>
      <w:i/>
      <w:iCs/>
      <w:noProof w:val="0"/>
    </w:rPr>
  </w:style>
  <w:style w:type="paragraph" w:styleId="HTML">
    <w:name w:val="HTML Preformatted"/>
    <w:basedOn w:val="a1"/>
    <w:link w:val="HTML0"/>
    <w:rsid w:val="00284859"/>
    <w:rPr>
      <w:rFonts w:ascii="Consolas" w:hAnsi="Consolas"/>
      <w:sz w:val="20"/>
      <w:szCs w:val="20"/>
    </w:rPr>
  </w:style>
  <w:style w:type="character" w:customStyle="1" w:styleId="HTML0">
    <w:name w:val="HTML מעוצב מראש תו"/>
    <w:link w:val="HTML"/>
    <w:semiHidden/>
    <w:rsid w:val="00284859"/>
    <w:rPr>
      <w:rFonts w:ascii="Consolas" w:hAnsi="Consolas" w:cs="David"/>
      <w:noProof w:val="0"/>
    </w:rPr>
  </w:style>
  <w:style w:type="character" w:styleId="Hyperlink">
    <w:name w:val="Hyperlink"/>
    <w:rsid w:val="00284859"/>
    <w:rPr>
      <w:noProof w:val="0"/>
      <w:color w:val="0000FF"/>
      <w:u w:val="single"/>
    </w:rPr>
  </w:style>
  <w:style w:type="paragraph" w:styleId="Index1">
    <w:name w:val="index 1"/>
    <w:basedOn w:val="a1"/>
    <w:next w:val="a1"/>
    <w:autoRedefine/>
    <w:rsid w:val="00284859"/>
    <w:pPr>
      <w:ind w:left="240" w:hanging="240"/>
    </w:pPr>
  </w:style>
  <w:style w:type="paragraph" w:styleId="Index2">
    <w:name w:val="index 2"/>
    <w:basedOn w:val="a1"/>
    <w:next w:val="a1"/>
    <w:autoRedefine/>
    <w:rsid w:val="00284859"/>
    <w:pPr>
      <w:ind w:left="480" w:hanging="240"/>
    </w:pPr>
  </w:style>
  <w:style w:type="paragraph" w:styleId="Index3">
    <w:name w:val="index 3"/>
    <w:basedOn w:val="a1"/>
    <w:next w:val="a1"/>
    <w:autoRedefine/>
    <w:rsid w:val="00284859"/>
    <w:pPr>
      <w:ind w:left="720" w:hanging="240"/>
    </w:pPr>
  </w:style>
  <w:style w:type="paragraph" w:styleId="Index4">
    <w:name w:val="index 4"/>
    <w:basedOn w:val="a1"/>
    <w:next w:val="a1"/>
    <w:autoRedefine/>
    <w:rsid w:val="00284859"/>
    <w:pPr>
      <w:ind w:left="960" w:hanging="240"/>
    </w:pPr>
  </w:style>
  <w:style w:type="paragraph" w:styleId="Index5">
    <w:name w:val="index 5"/>
    <w:basedOn w:val="a1"/>
    <w:next w:val="a1"/>
    <w:autoRedefine/>
    <w:rsid w:val="00284859"/>
    <w:pPr>
      <w:ind w:left="1200" w:hanging="240"/>
    </w:pPr>
  </w:style>
  <w:style w:type="paragraph" w:styleId="Index6">
    <w:name w:val="index 6"/>
    <w:basedOn w:val="a1"/>
    <w:next w:val="a1"/>
    <w:autoRedefine/>
    <w:rsid w:val="00284859"/>
    <w:pPr>
      <w:ind w:left="1440" w:hanging="240"/>
    </w:pPr>
  </w:style>
  <w:style w:type="paragraph" w:styleId="Index7">
    <w:name w:val="index 7"/>
    <w:basedOn w:val="a1"/>
    <w:next w:val="a1"/>
    <w:autoRedefine/>
    <w:rsid w:val="00284859"/>
    <w:pPr>
      <w:ind w:left="1680" w:hanging="240"/>
    </w:pPr>
  </w:style>
  <w:style w:type="paragraph" w:styleId="Index8">
    <w:name w:val="index 8"/>
    <w:basedOn w:val="a1"/>
    <w:next w:val="a1"/>
    <w:autoRedefine/>
    <w:rsid w:val="00284859"/>
    <w:pPr>
      <w:ind w:left="1920" w:hanging="240"/>
    </w:pPr>
  </w:style>
  <w:style w:type="paragraph" w:styleId="Index9">
    <w:name w:val="index 9"/>
    <w:basedOn w:val="a1"/>
    <w:next w:val="a1"/>
    <w:autoRedefine/>
    <w:rsid w:val="00284859"/>
    <w:pPr>
      <w:ind w:left="2160" w:hanging="240"/>
    </w:pPr>
  </w:style>
  <w:style w:type="paragraph" w:styleId="NormalWeb">
    <w:name w:val="Normal (Web)"/>
    <w:basedOn w:val="a1"/>
    <w:rsid w:val="00284859"/>
    <w:rPr>
      <w:rFonts w:cs="Times New Roman"/>
    </w:rPr>
  </w:style>
  <w:style w:type="paragraph" w:styleId="TOC1">
    <w:name w:val="toc 1"/>
    <w:basedOn w:val="a1"/>
    <w:next w:val="a1"/>
    <w:autoRedefine/>
    <w:rsid w:val="00284859"/>
    <w:pPr>
      <w:spacing w:after="100"/>
    </w:pPr>
  </w:style>
  <w:style w:type="paragraph" w:styleId="TOC2">
    <w:name w:val="toc 2"/>
    <w:basedOn w:val="a1"/>
    <w:next w:val="a1"/>
    <w:autoRedefine/>
    <w:rsid w:val="00284859"/>
    <w:pPr>
      <w:spacing w:after="100"/>
      <w:ind w:left="240"/>
    </w:pPr>
  </w:style>
  <w:style w:type="paragraph" w:styleId="TOC3">
    <w:name w:val="toc 3"/>
    <w:basedOn w:val="a1"/>
    <w:next w:val="a1"/>
    <w:autoRedefine/>
    <w:rsid w:val="00284859"/>
    <w:pPr>
      <w:spacing w:after="100"/>
      <w:ind w:left="480"/>
    </w:pPr>
  </w:style>
  <w:style w:type="paragraph" w:styleId="TOC4">
    <w:name w:val="toc 4"/>
    <w:basedOn w:val="a1"/>
    <w:next w:val="a1"/>
    <w:autoRedefine/>
    <w:rsid w:val="00284859"/>
    <w:pPr>
      <w:spacing w:after="100"/>
      <w:ind w:left="720"/>
    </w:pPr>
  </w:style>
  <w:style w:type="paragraph" w:styleId="TOC5">
    <w:name w:val="toc 5"/>
    <w:basedOn w:val="a1"/>
    <w:next w:val="a1"/>
    <w:autoRedefine/>
    <w:rsid w:val="00284859"/>
    <w:pPr>
      <w:spacing w:after="100"/>
      <w:ind w:left="960"/>
    </w:pPr>
  </w:style>
  <w:style w:type="paragraph" w:styleId="TOC6">
    <w:name w:val="toc 6"/>
    <w:basedOn w:val="a1"/>
    <w:next w:val="a1"/>
    <w:autoRedefine/>
    <w:rsid w:val="00284859"/>
    <w:pPr>
      <w:spacing w:after="100"/>
      <w:ind w:left="1200"/>
    </w:pPr>
  </w:style>
  <w:style w:type="paragraph" w:styleId="TOC7">
    <w:name w:val="toc 7"/>
    <w:basedOn w:val="a1"/>
    <w:next w:val="a1"/>
    <w:autoRedefine/>
    <w:rsid w:val="00284859"/>
    <w:pPr>
      <w:spacing w:after="100"/>
      <w:ind w:left="1440"/>
    </w:pPr>
  </w:style>
  <w:style w:type="paragraph" w:styleId="TOC8">
    <w:name w:val="toc 8"/>
    <w:basedOn w:val="a1"/>
    <w:next w:val="a1"/>
    <w:autoRedefine/>
    <w:rsid w:val="00284859"/>
    <w:pPr>
      <w:spacing w:after="100"/>
      <w:ind w:left="1680"/>
    </w:pPr>
  </w:style>
  <w:style w:type="paragraph" w:styleId="TOC9">
    <w:name w:val="toc 9"/>
    <w:basedOn w:val="a1"/>
    <w:next w:val="a1"/>
    <w:autoRedefine/>
    <w:rsid w:val="00284859"/>
    <w:pPr>
      <w:spacing w:after="100"/>
      <w:ind w:left="1920"/>
    </w:pPr>
  </w:style>
  <w:style w:type="table" w:styleId="-1">
    <w:name w:val="Table 3D effects 1"/>
    <w:basedOn w:val="a3"/>
    <w:rsid w:val="00284859"/>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
    <w:name w:val="Table 3D effects 2"/>
    <w:basedOn w:val="a3"/>
    <w:rsid w:val="00284859"/>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3D effects 3"/>
    <w:basedOn w:val="a3"/>
    <w:rsid w:val="00284859"/>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3">
    <w:name w:val="ביבליוגרפיה1"/>
    <w:basedOn w:val="a1"/>
    <w:next w:val="a1"/>
    <w:uiPriority w:val="37"/>
    <w:semiHidden/>
    <w:unhideWhenUsed/>
    <w:rsid w:val="00284859"/>
  </w:style>
  <w:style w:type="paragraph" w:styleId="af1">
    <w:name w:val="Salutation"/>
    <w:basedOn w:val="a1"/>
    <w:next w:val="a1"/>
    <w:link w:val="af2"/>
    <w:rsid w:val="00284859"/>
  </w:style>
  <w:style w:type="character" w:customStyle="1" w:styleId="af2">
    <w:name w:val="ברכה תו"/>
    <w:link w:val="af1"/>
    <w:rsid w:val="00284859"/>
    <w:rPr>
      <w:rFonts w:cs="David"/>
      <w:noProof w:val="0"/>
      <w:sz w:val="24"/>
      <w:szCs w:val="24"/>
    </w:rPr>
  </w:style>
  <w:style w:type="paragraph" w:styleId="af3">
    <w:name w:val="Body Text"/>
    <w:basedOn w:val="a1"/>
    <w:link w:val="af4"/>
    <w:rsid w:val="00284859"/>
    <w:pPr>
      <w:spacing w:after="120"/>
    </w:pPr>
  </w:style>
  <w:style w:type="character" w:customStyle="1" w:styleId="af4">
    <w:name w:val="גוף טקסט תו"/>
    <w:link w:val="af3"/>
    <w:semiHidden/>
    <w:rsid w:val="00284859"/>
    <w:rPr>
      <w:rFonts w:cs="David"/>
      <w:noProof w:val="0"/>
      <w:sz w:val="24"/>
      <w:szCs w:val="24"/>
    </w:rPr>
  </w:style>
  <w:style w:type="paragraph" w:styleId="23">
    <w:name w:val="Body Text 2"/>
    <w:basedOn w:val="a1"/>
    <w:link w:val="24"/>
    <w:rsid w:val="00284859"/>
    <w:pPr>
      <w:spacing w:after="120" w:line="480" w:lineRule="auto"/>
    </w:pPr>
  </w:style>
  <w:style w:type="character" w:customStyle="1" w:styleId="24">
    <w:name w:val="גוף טקסט 2 תו"/>
    <w:link w:val="23"/>
    <w:semiHidden/>
    <w:rsid w:val="00284859"/>
    <w:rPr>
      <w:rFonts w:cs="David"/>
      <w:noProof w:val="0"/>
      <w:sz w:val="24"/>
      <w:szCs w:val="24"/>
    </w:rPr>
  </w:style>
  <w:style w:type="paragraph" w:styleId="33">
    <w:name w:val="Body Text 3"/>
    <w:basedOn w:val="a1"/>
    <w:link w:val="34"/>
    <w:rsid w:val="00284859"/>
    <w:pPr>
      <w:spacing w:after="120"/>
    </w:pPr>
    <w:rPr>
      <w:sz w:val="16"/>
      <w:szCs w:val="16"/>
    </w:rPr>
  </w:style>
  <w:style w:type="character" w:customStyle="1" w:styleId="34">
    <w:name w:val="גוף טקסט 3 תו"/>
    <w:link w:val="33"/>
    <w:semiHidden/>
    <w:rsid w:val="00284859"/>
    <w:rPr>
      <w:rFonts w:cs="David"/>
      <w:noProof w:val="0"/>
      <w:sz w:val="16"/>
      <w:szCs w:val="16"/>
    </w:rPr>
  </w:style>
  <w:style w:type="character" w:styleId="HTML1">
    <w:name w:val="HTML Sample"/>
    <w:rsid w:val="00284859"/>
    <w:rPr>
      <w:rFonts w:ascii="Consolas" w:hAnsi="Consolas"/>
      <w:noProof w:val="0"/>
      <w:sz w:val="24"/>
      <w:szCs w:val="24"/>
    </w:rPr>
  </w:style>
  <w:style w:type="character" w:styleId="af5">
    <w:name w:val="Emphasis"/>
    <w:qFormat/>
    <w:rsid w:val="00284859"/>
    <w:rPr>
      <w:i/>
      <w:iCs/>
      <w:noProof w:val="0"/>
    </w:rPr>
  </w:style>
  <w:style w:type="character" w:customStyle="1" w:styleId="14">
    <w:name w:val="הדגשה חזקה1"/>
    <w:uiPriority w:val="21"/>
    <w:qFormat/>
    <w:rsid w:val="00284859"/>
    <w:rPr>
      <w:i/>
      <w:iCs/>
      <w:noProof w:val="0"/>
      <w:color w:val="4F81BD"/>
    </w:rPr>
  </w:style>
  <w:style w:type="character" w:customStyle="1" w:styleId="15">
    <w:name w:val="הדגשה עדינה1"/>
    <w:uiPriority w:val="19"/>
    <w:qFormat/>
    <w:rsid w:val="00284859"/>
    <w:rPr>
      <w:i/>
      <w:iCs/>
      <w:noProof w:val="0"/>
      <w:color w:val="404040"/>
    </w:rPr>
  </w:style>
  <w:style w:type="paragraph" w:styleId="af6">
    <w:name w:val="List Continue"/>
    <w:basedOn w:val="a1"/>
    <w:rsid w:val="00284859"/>
    <w:pPr>
      <w:spacing w:after="120"/>
      <w:ind w:left="283"/>
      <w:contextualSpacing/>
    </w:pPr>
  </w:style>
  <w:style w:type="paragraph" w:styleId="25">
    <w:name w:val="List Continue 2"/>
    <w:basedOn w:val="a1"/>
    <w:rsid w:val="00284859"/>
    <w:pPr>
      <w:spacing w:after="120"/>
      <w:ind w:left="566"/>
      <w:contextualSpacing/>
    </w:pPr>
  </w:style>
  <w:style w:type="paragraph" w:styleId="35">
    <w:name w:val="List Continue 3"/>
    <w:basedOn w:val="a1"/>
    <w:rsid w:val="00284859"/>
    <w:pPr>
      <w:spacing w:after="120"/>
      <w:ind w:left="849"/>
      <w:contextualSpacing/>
    </w:pPr>
  </w:style>
  <w:style w:type="paragraph" w:styleId="42">
    <w:name w:val="List Continue 4"/>
    <w:basedOn w:val="a1"/>
    <w:rsid w:val="00284859"/>
    <w:pPr>
      <w:spacing w:after="120"/>
      <w:ind w:left="1132"/>
      <w:contextualSpacing/>
    </w:pPr>
  </w:style>
  <w:style w:type="paragraph" w:styleId="53">
    <w:name w:val="List Continue 5"/>
    <w:basedOn w:val="a1"/>
    <w:rsid w:val="00284859"/>
    <w:pPr>
      <w:spacing w:after="120"/>
      <w:ind w:left="1415"/>
      <w:contextualSpacing/>
    </w:pPr>
  </w:style>
  <w:style w:type="character" w:customStyle="1" w:styleId="16">
    <w:name w:val="הפניה חזקה1"/>
    <w:uiPriority w:val="32"/>
    <w:qFormat/>
    <w:rsid w:val="00284859"/>
    <w:rPr>
      <w:b/>
      <w:bCs/>
      <w:smallCaps/>
      <w:noProof w:val="0"/>
      <w:color w:val="4F81BD"/>
      <w:spacing w:val="5"/>
    </w:rPr>
  </w:style>
  <w:style w:type="character" w:styleId="af7">
    <w:name w:val="endnote reference"/>
    <w:rsid w:val="00284859"/>
    <w:rPr>
      <w:noProof w:val="0"/>
      <w:vertAlign w:val="superscript"/>
    </w:rPr>
  </w:style>
  <w:style w:type="character" w:styleId="af8">
    <w:name w:val="footnote reference"/>
    <w:rsid w:val="00284859"/>
    <w:rPr>
      <w:noProof w:val="0"/>
      <w:vertAlign w:val="superscript"/>
    </w:rPr>
  </w:style>
  <w:style w:type="character" w:customStyle="1" w:styleId="17">
    <w:name w:val="הפניה עדינה1"/>
    <w:uiPriority w:val="31"/>
    <w:qFormat/>
    <w:rsid w:val="00284859"/>
    <w:rPr>
      <w:smallCaps/>
      <w:noProof w:val="0"/>
      <w:color w:val="5A5A5A"/>
    </w:rPr>
  </w:style>
  <w:style w:type="table" w:customStyle="1" w:styleId="18">
    <w:name w:val="הצללה בהירה1"/>
    <w:basedOn w:val="a3"/>
    <w:uiPriority w:val="60"/>
    <w:semiHidden/>
    <w:unhideWhenUsed/>
    <w:rsid w:val="0028485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
    <w:name w:val="Light Shading - Accent 1"/>
    <w:basedOn w:val="a3"/>
    <w:uiPriority w:val="60"/>
    <w:semiHidden/>
    <w:unhideWhenUsed/>
    <w:rsid w:val="0028485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
    <w:name w:val="Light Shading - Accent 2"/>
    <w:basedOn w:val="a3"/>
    <w:uiPriority w:val="60"/>
    <w:semiHidden/>
    <w:unhideWhenUsed/>
    <w:rsid w:val="0028485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
    <w:name w:val="Light Shading - Accent 3"/>
    <w:basedOn w:val="a3"/>
    <w:uiPriority w:val="60"/>
    <w:semiHidden/>
    <w:unhideWhenUsed/>
    <w:rsid w:val="0028485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
    <w:name w:val="Light Shading - Accent 4"/>
    <w:basedOn w:val="a3"/>
    <w:uiPriority w:val="60"/>
    <w:semiHidden/>
    <w:unhideWhenUsed/>
    <w:rsid w:val="0028485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
    <w:name w:val="Light Shading - Accent 5"/>
    <w:basedOn w:val="a3"/>
    <w:uiPriority w:val="60"/>
    <w:semiHidden/>
    <w:unhideWhenUsed/>
    <w:rsid w:val="0028485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
    <w:name w:val="Light Shading - Accent 6"/>
    <w:basedOn w:val="a3"/>
    <w:uiPriority w:val="60"/>
    <w:semiHidden/>
    <w:unhideWhenUsed/>
    <w:rsid w:val="00284859"/>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4">
    <w:name w:val="Medium Shading 2 - Accent 4"/>
    <w:basedOn w:val="a3"/>
    <w:uiPriority w:val="64"/>
    <w:semiHidden/>
    <w:unhideWhenUsed/>
    <w:rsid w:val="002848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10">
    <w:name w:val="הצללה בינונית 11"/>
    <w:basedOn w:val="a3"/>
    <w:uiPriority w:val="63"/>
    <w:semiHidden/>
    <w:unhideWhenUsed/>
    <w:rsid w:val="0028485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
    <w:name w:val="Medium Shading 1 - Accent 1"/>
    <w:basedOn w:val="a3"/>
    <w:uiPriority w:val="63"/>
    <w:semiHidden/>
    <w:unhideWhenUsed/>
    <w:rsid w:val="0028485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
    <w:name w:val="Medium Shading 1 - Accent 2"/>
    <w:basedOn w:val="a3"/>
    <w:uiPriority w:val="63"/>
    <w:semiHidden/>
    <w:unhideWhenUsed/>
    <w:rsid w:val="0028485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
    <w:name w:val="Medium Shading 1 - Accent 3"/>
    <w:basedOn w:val="a3"/>
    <w:uiPriority w:val="63"/>
    <w:semiHidden/>
    <w:unhideWhenUsed/>
    <w:rsid w:val="0028485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
    <w:name w:val="Medium Shading 1 - Accent 4"/>
    <w:basedOn w:val="a3"/>
    <w:uiPriority w:val="63"/>
    <w:semiHidden/>
    <w:unhideWhenUsed/>
    <w:rsid w:val="0028485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
    <w:name w:val="Medium Shading 1 - Accent 5"/>
    <w:basedOn w:val="a3"/>
    <w:uiPriority w:val="63"/>
    <w:semiHidden/>
    <w:unhideWhenUsed/>
    <w:rsid w:val="0028485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
    <w:name w:val="Medium Shading 1 - Accent 6"/>
    <w:basedOn w:val="a3"/>
    <w:uiPriority w:val="63"/>
    <w:semiHidden/>
    <w:unhideWhenUsed/>
    <w:rsid w:val="0028485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0">
    <w:name w:val="הצללה בינונית 21"/>
    <w:basedOn w:val="a3"/>
    <w:uiPriority w:val="64"/>
    <w:semiHidden/>
    <w:unhideWhenUsed/>
    <w:rsid w:val="002848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
    <w:name w:val="Medium Shading 2 - Accent 1"/>
    <w:basedOn w:val="a3"/>
    <w:uiPriority w:val="64"/>
    <w:semiHidden/>
    <w:unhideWhenUsed/>
    <w:rsid w:val="002848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
    <w:name w:val="Medium Shading 2 - Accent 2"/>
    <w:basedOn w:val="a3"/>
    <w:uiPriority w:val="64"/>
    <w:semiHidden/>
    <w:unhideWhenUsed/>
    <w:rsid w:val="002848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
    <w:name w:val="Medium Shading 2 - Accent 3"/>
    <w:basedOn w:val="a3"/>
    <w:uiPriority w:val="64"/>
    <w:semiHidden/>
    <w:unhideWhenUsed/>
    <w:rsid w:val="002848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
    <w:name w:val="Medium Shading 2 - Accent 5"/>
    <w:basedOn w:val="a3"/>
    <w:uiPriority w:val="64"/>
    <w:semiHidden/>
    <w:unhideWhenUsed/>
    <w:rsid w:val="002848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
    <w:name w:val="Medium Shading 2 - Accent 6"/>
    <w:basedOn w:val="a3"/>
    <w:uiPriority w:val="64"/>
    <w:semiHidden/>
    <w:unhideWhenUsed/>
    <w:rsid w:val="002848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9">
    <w:name w:val="הצללה צבעונית1"/>
    <w:basedOn w:val="a3"/>
    <w:uiPriority w:val="71"/>
    <w:semiHidden/>
    <w:unhideWhenUsed/>
    <w:rsid w:val="0028485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
    <w:name w:val="Colorful Shading - Accent 1"/>
    <w:basedOn w:val="a3"/>
    <w:uiPriority w:val="71"/>
    <w:semiHidden/>
    <w:unhideWhenUsed/>
    <w:rsid w:val="0028485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
    <w:name w:val="Colorful Shading - Accent 2"/>
    <w:basedOn w:val="a3"/>
    <w:uiPriority w:val="71"/>
    <w:semiHidden/>
    <w:unhideWhenUsed/>
    <w:rsid w:val="0028485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
    <w:name w:val="Colorful Shading - Accent 3"/>
    <w:basedOn w:val="a3"/>
    <w:uiPriority w:val="71"/>
    <w:semiHidden/>
    <w:unhideWhenUsed/>
    <w:rsid w:val="0028485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
    <w:name w:val="Colorful Shading - Accent 4"/>
    <w:basedOn w:val="a3"/>
    <w:uiPriority w:val="71"/>
    <w:semiHidden/>
    <w:unhideWhenUsed/>
    <w:rsid w:val="0028485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
    <w:name w:val="Colorful Shading - Accent 5"/>
    <w:basedOn w:val="a3"/>
    <w:uiPriority w:val="71"/>
    <w:semiHidden/>
    <w:unhideWhenUsed/>
    <w:rsid w:val="0028485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
    <w:name w:val="Colorful Shading - Accent 6"/>
    <w:basedOn w:val="a3"/>
    <w:uiPriority w:val="71"/>
    <w:semiHidden/>
    <w:unhideWhenUsed/>
    <w:rsid w:val="0028485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af9">
    <w:name w:val="Strong"/>
    <w:qFormat/>
    <w:rsid w:val="00284859"/>
    <w:rPr>
      <w:b/>
      <w:bCs/>
      <w:noProof w:val="0"/>
    </w:rPr>
  </w:style>
  <w:style w:type="paragraph" w:styleId="afa">
    <w:name w:val="Signature"/>
    <w:basedOn w:val="a1"/>
    <w:link w:val="afb"/>
    <w:rsid w:val="00284859"/>
    <w:pPr>
      <w:ind w:left="4252"/>
    </w:pPr>
  </w:style>
  <w:style w:type="character" w:customStyle="1" w:styleId="afb">
    <w:name w:val="חתימה תו"/>
    <w:link w:val="afa"/>
    <w:semiHidden/>
    <w:rsid w:val="00284859"/>
    <w:rPr>
      <w:rFonts w:cs="David"/>
      <w:noProof w:val="0"/>
      <w:sz w:val="24"/>
      <w:szCs w:val="24"/>
    </w:rPr>
  </w:style>
  <w:style w:type="paragraph" w:styleId="afc">
    <w:name w:val="E-mail Signature"/>
    <w:basedOn w:val="a1"/>
    <w:link w:val="afd"/>
    <w:rsid w:val="00284859"/>
  </w:style>
  <w:style w:type="character" w:customStyle="1" w:styleId="afd">
    <w:name w:val="חתימת דואר אלקטרוני תו"/>
    <w:link w:val="afc"/>
    <w:semiHidden/>
    <w:rsid w:val="00284859"/>
    <w:rPr>
      <w:rFonts w:cs="David"/>
      <w:noProof w:val="0"/>
      <w:sz w:val="24"/>
      <w:szCs w:val="24"/>
    </w:rPr>
  </w:style>
  <w:style w:type="table" w:styleId="afe">
    <w:name w:val="Table Elegant"/>
    <w:basedOn w:val="a3"/>
    <w:rsid w:val="00284859"/>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
    <w:name w:val="Table Professional"/>
    <w:basedOn w:val="a3"/>
    <w:rsid w:val="00284859"/>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ubtle 1"/>
    <w:basedOn w:val="a3"/>
    <w:rsid w:val="00284859"/>
    <w:pPr>
      <w:bidi/>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3"/>
    <w:rsid w:val="00284859"/>
    <w:pPr>
      <w:bidi/>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0">
    <w:name w:val="Table Contemporary"/>
    <w:basedOn w:val="a3"/>
    <w:rsid w:val="00284859"/>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b">
    <w:name w:val="Table Simple 1"/>
    <w:basedOn w:val="a3"/>
    <w:rsid w:val="00284859"/>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7">
    <w:name w:val="Table Simple 2"/>
    <w:basedOn w:val="a3"/>
    <w:rsid w:val="00284859"/>
    <w:pPr>
      <w:bidi/>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3"/>
    <w:rsid w:val="00284859"/>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Colorful 1"/>
    <w:basedOn w:val="a3"/>
    <w:rsid w:val="00284859"/>
    <w:pPr>
      <w:bidi/>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3"/>
    <w:rsid w:val="00284859"/>
    <w:pPr>
      <w:bidi/>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3"/>
    <w:rsid w:val="00284859"/>
    <w:pPr>
      <w:bidi/>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d">
    <w:name w:val="Table Classic 1"/>
    <w:basedOn w:val="a3"/>
    <w:rsid w:val="00284859"/>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3"/>
    <w:rsid w:val="00284859"/>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3"/>
    <w:rsid w:val="00284859"/>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3"/>
    <w:rsid w:val="00284859"/>
    <w:pPr>
      <w:bidi/>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
    <w:name w:val="טבלה רגילה 11"/>
    <w:basedOn w:val="a3"/>
    <w:uiPriority w:val="41"/>
    <w:rsid w:val="0028485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טבלה רגילה 21"/>
    <w:basedOn w:val="a3"/>
    <w:uiPriority w:val="42"/>
    <w:rsid w:val="00284859"/>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טבלה רגילה 31"/>
    <w:basedOn w:val="a3"/>
    <w:uiPriority w:val="43"/>
    <w:rsid w:val="0028485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10">
    <w:name w:val="טבלה רגילה 41"/>
    <w:basedOn w:val="a3"/>
    <w:uiPriority w:val="44"/>
    <w:rsid w:val="0028485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0">
    <w:name w:val="טבלה רגילה 51"/>
    <w:basedOn w:val="a3"/>
    <w:uiPriority w:val="45"/>
    <w:rsid w:val="00284859"/>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e">
    <w:name w:val="Table Web 1"/>
    <w:basedOn w:val="a3"/>
    <w:rsid w:val="00284859"/>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a">
    <w:name w:val="Table Web 2"/>
    <w:basedOn w:val="a3"/>
    <w:rsid w:val="00284859"/>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9">
    <w:name w:val="Table Web 3"/>
    <w:basedOn w:val="a3"/>
    <w:rsid w:val="00284859"/>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
    <w:name w:val="טבלת רשימה 1 בהירה1"/>
    <w:basedOn w:val="a3"/>
    <w:uiPriority w:val="46"/>
    <w:rsid w:val="00284859"/>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
    <w:name w:val="List Table 1 Light - Accent 1"/>
    <w:basedOn w:val="a3"/>
    <w:uiPriority w:val="46"/>
    <w:rsid w:val="00284859"/>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1Light-Accent2">
    <w:name w:val="List Table 1 Light - Accent 2"/>
    <w:basedOn w:val="a3"/>
    <w:uiPriority w:val="46"/>
    <w:rsid w:val="00284859"/>
    <w:tblPr>
      <w:tblStyleRowBandSize w:val="1"/>
      <w:tblStyleColBandSize w:val="1"/>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1Light-Accent3">
    <w:name w:val="List Table 1 Light - Accent 3"/>
    <w:basedOn w:val="a3"/>
    <w:uiPriority w:val="46"/>
    <w:rsid w:val="00284859"/>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1Light-Accent4">
    <w:name w:val="List Table 1 Light - Accent 4"/>
    <w:basedOn w:val="a3"/>
    <w:uiPriority w:val="46"/>
    <w:rsid w:val="00284859"/>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1Light-Accent5">
    <w:name w:val="List Table 1 Light - Accent 5"/>
    <w:basedOn w:val="a3"/>
    <w:uiPriority w:val="46"/>
    <w:rsid w:val="00284859"/>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1Light-Accent6">
    <w:name w:val="List Table 1 Light - Accent 6"/>
    <w:basedOn w:val="a3"/>
    <w:uiPriority w:val="46"/>
    <w:rsid w:val="00284859"/>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212">
    <w:name w:val="טבלת רשימה 21"/>
    <w:basedOn w:val="a3"/>
    <w:uiPriority w:val="47"/>
    <w:rsid w:val="00284859"/>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
    <w:name w:val="List Table 2 - Accent 1"/>
    <w:basedOn w:val="a3"/>
    <w:uiPriority w:val="47"/>
    <w:rsid w:val="00284859"/>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2-Accent2">
    <w:name w:val="List Table 2 - Accent 2"/>
    <w:basedOn w:val="a3"/>
    <w:uiPriority w:val="47"/>
    <w:rsid w:val="00284859"/>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2-Accent3">
    <w:name w:val="List Table 2 - Accent 3"/>
    <w:basedOn w:val="a3"/>
    <w:uiPriority w:val="47"/>
    <w:rsid w:val="00284859"/>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2-Accent4">
    <w:name w:val="List Table 2 - Accent 4"/>
    <w:basedOn w:val="a3"/>
    <w:uiPriority w:val="47"/>
    <w:rsid w:val="00284859"/>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2-Accent5">
    <w:name w:val="List Table 2 - Accent 5"/>
    <w:basedOn w:val="a3"/>
    <w:uiPriority w:val="47"/>
    <w:rsid w:val="00284859"/>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6">
    <w:name w:val="List Table 2 - Accent 6"/>
    <w:basedOn w:val="a3"/>
    <w:uiPriority w:val="47"/>
    <w:rsid w:val="00284859"/>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1">
    <w:name w:val="טבלת רשימה 31"/>
    <w:basedOn w:val="a3"/>
    <w:uiPriority w:val="48"/>
    <w:rsid w:val="0028485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
    <w:name w:val="List Table 3 - Accent 1"/>
    <w:basedOn w:val="a3"/>
    <w:uiPriority w:val="48"/>
    <w:rsid w:val="0028485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Table3-Accent2">
    <w:name w:val="List Table 3 - Accent 2"/>
    <w:basedOn w:val="a3"/>
    <w:uiPriority w:val="48"/>
    <w:rsid w:val="00284859"/>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ListTable3-Accent3">
    <w:name w:val="List Table 3 - Accent 3"/>
    <w:basedOn w:val="a3"/>
    <w:uiPriority w:val="48"/>
    <w:rsid w:val="00284859"/>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ListTable3-Accent4">
    <w:name w:val="List Table 3 - Accent 4"/>
    <w:basedOn w:val="a3"/>
    <w:uiPriority w:val="48"/>
    <w:rsid w:val="00284859"/>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ListTable3-Accent5">
    <w:name w:val="List Table 3 - Accent 5"/>
    <w:basedOn w:val="a3"/>
    <w:uiPriority w:val="48"/>
    <w:rsid w:val="00284859"/>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ListTable3-Accent6">
    <w:name w:val="List Table 3 - Accent 6"/>
    <w:basedOn w:val="a3"/>
    <w:uiPriority w:val="48"/>
    <w:rsid w:val="00284859"/>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411">
    <w:name w:val="טבלת רשימה 41"/>
    <w:basedOn w:val="a3"/>
    <w:uiPriority w:val="49"/>
    <w:rsid w:val="0028485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
    <w:name w:val="List Table 4 - Accent 1"/>
    <w:basedOn w:val="a3"/>
    <w:uiPriority w:val="49"/>
    <w:rsid w:val="00284859"/>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4-Accent2">
    <w:name w:val="List Table 4 - Accent 2"/>
    <w:basedOn w:val="a3"/>
    <w:uiPriority w:val="49"/>
    <w:rsid w:val="00284859"/>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4-Accent3">
    <w:name w:val="List Table 4 - Accent 3"/>
    <w:basedOn w:val="a3"/>
    <w:uiPriority w:val="49"/>
    <w:rsid w:val="00284859"/>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Accent4">
    <w:name w:val="List Table 4 - Accent 4"/>
    <w:basedOn w:val="a3"/>
    <w:uiPriority w:val="49"/>
    <w:rsid w:val="00284859"/>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4-Accent5">
    <w:name w:val="List Table 4 - Accent 5"/>
    <w:basedOn w:val="a3"/>
    <w:uiPriority w:val="49"/>
    <w:rsid w:val="00284859"/>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6">
    <w:name w:val="List Table 4 - Accent 6"/>
    <w:basedOn w:val="a3"/>
    <w:uiPriority w:val="49"/>
    <w:rsid w:val="00284859"/>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1">
    <w:name w:val="טבלת רשימה 5 כהה1"/>
    <w:basedOn w:val="a3"/>
    <w:uiPriority w:val="50"/>
    <w:rsid w:val="00284859"/>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 Accent 1"/>
    <w:basedOn w:val="a3"/>
    <w:uiPriority w:val="50"/>
    <w:rsid w:val="00284859"/>
    <w:rPr>
      <w:color w:val="FFFFFF"/>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 Accent 2"/>
    <w:basedOn w:val="a3"/>
    <w:uiPriority w:val="50"/>
    <w:rsid w:val="00284859"/>
    <w:rPr>
      <w:color w:val="FFFFFF"/>
    </w:rPr>
    <w:tblPr>
      <w:tblStyleRowBandSize w:val="1"/>
      <w:tblStyleColBandSize w:val="1"/>
      <w:tblBorders>
        <w:top w:val="single" w:sz="24" w:space="0" w:color="C0504D"/>
        <w:left w:val="single" w:sz="24" w:space="0" w:color="C0504D"/>
        <w:bottom w:val="single" w:sz="24" w:space="0" w:color="C0504D"/>
        <w:right w:val="single" w:sz="24" w:space="0" w:color="C0504D"/>
      </w:tblBorders>
    </w:tblPr>
    <w:tcPr>
      <w:shd w:val="clear" w:color="auto" w:fill="C0504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 Accent 3"/>
    <w:basedOn w:val="a3"/>
    <w:uiPriority w:val="50"/>
    <w:rsid w:val="00284859"/>
    <w:rPr>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 Accent 4"/>
    <w:basedOn w:val="a3"/>
    <w:uiPriority w:val="50"/>
    <w:rsid w:val="00284859"/>
    <w:rPr>
      <w:color w:val="FFFFFF"/>
    </w:rPr>
    <w:tblPr>
      <w:tblStyleRowBandSize w:val="1"/>
      <w:tblStyleColBandSize w:val="1"/>
      <w:tblBorders>
        <w:top w:val="single" w:sz="24" w:space="0" w:color="8064A2"/>
        <w:left w:val="single" w:sz="24" w:space="0" w:color="8064A2"/>
        <w:bottom w:val="single" w:sz="24" w:space="0" w:color="8064A2"/>
        <w:right w:val="single" w:sz="24" w:space="0" w:color="8064A2"/>
      </w:tblBorders>
    </w:tblPr>
    <w:tcPr>
      <w:shd w:val="clear" w:color="auto" w:fill="8064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 Accent 5"/>
    <w:basedOn w:val="a3"/>
    <w:uiPriority w:val="50"/>
    <w:rsid w:val="00284859"/>
    <w:rPr>
      <w:color w:val="FFFFFF"/>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 Accent 6"/>
    <w:basedOn w:val="a3"/>
    <w:uiPriority w:val="50"/>
    <w:rsid w:val="00284859"/>
    <w:rPr>
      <w:color w:val="FFFFFF"/>
    </w:rPr>
    <w:tblPr>
      <w:tblStyleRowBandSize w:val="1"/>
      <w:tblStyleColBandSize w:val="1"/>
      <w:tblBorders>
        <w:top w:val="single" w:sz="24" w:space="0" w:color="F79646"/>
        <w:left w:val="single" w:sz="24" w:space="0" w:color="F79646"/>
        <w:bottom w:val="single" w:sz="24" w:space="0" w:color="F79646"/>
        <w:right w:val="single" w:sz="24" w:space="0" w:color="F79646"/>
      </w:tblBorders>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
    <w:name w:val="טבלת רשימה 6 צבעונית1"/>
    <w:basedOn w:val="a3"/>
    <w:uiPriority w:val="51"/>
    <w:rsid w:val="00284859"/>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
    <w:name w:val="List Table 6 Colorful - Accent 1"/>
    <w:basedOn w:val="a3"/>
    <w:uiPriority w:val="51"/>
    <w:rsid w:val="00284859"/>
    <w:rPr>
      <w:color w:val="365F91"/>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6Colorful-Accent2">
    <w:name w:val="List Table 6 Colorful - Accent 2"/>
    <w:basedOn w:val="a3"/>
    <w:uiPriority w:val="51"/>
    <w:rsid w:val="00284859"/>
    <w:rPr>
      <w:color w:val="943634"/>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6Colorful-Accent3">
    <w:name w:val="List Table 6 Colorful - Accent 3"/>
    <w:basedOn w:val="a3"/>
    <w:uiPriority w:val="51"/>
    <w:rsid w:val="00284859"/>
    <w:rPr>
      <w:color w:val="76923C"/>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6Colorful-Accent4">
    <w:name w:val="List Table 6 Colorful - Accent 4"/>
    <w:basedOn w:val="a3"/>
    <w:uiPriority w:val="51"/>
    <w:rsid w:val="00284859"/>
    <w:rPr>
      <w:color w:val="5F497A"/>
    </w:rPr>
    <w:tblPr>
      <w:tblStyleRowBandSize w:val="1"/>
      <w:tblStyleColBandSize w:val="1"/>
      <w:tblBorders>
        <w:top w:val="single" w:sz="4" w:space="0" w:color="8064A2"/>
        <w:bottom w:val="single" w:sz="4" w:space="0" w:color="8064A2"/>
      </w:tblBorders>
    </w:tblPr>
    <w:tblStylePr w:type="firstRow">
      <w:rPr>
        <w:b/>
        <w:bCs/>
      </w:rPr>
      <w:tblPr/>
      <w:tcPr>
        <w:tcBorders>
          <w:bottom w:val="single" w:sz="4" w:space="0" w:color="8064A2"/>
        </w:tcBorders>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6Colorful-Accent5">
    <w:name w:val="List Table 6 Colorful - Accent 5"/>
    <w:basedOn w:val="a3"/>
    <w:uiPriority w:val="51"/>
    <w:rsid w:val="00284859"/>
    <w:rPr>
      <w:color w:val="31849B"/>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6Colorful-Accent6">
    <w:name w:val="List Table 6 Colorful - Accent 6"/>
    <w:basedOn w:val="a3"/>
    <w:uiPriority w:val="51"/>
    <w:rsid w:val="00284859"/>
    <w:rPr>
      <w:color w:val="E36C0A"/>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
    <w:name w:val="טבלת רשימה 7 צבעונית1"/>
    <w:basedOn w:val="a3"/>
    <w:uiPriority w:val="52"/>
    <w:rsid w:val="00284859"/>
    <w:rPr>
      <w:color w:val="000000"/>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000000"/>
        </w:tcBorders>
        <w:shd w:val="clear" w:color="auto" w:fill="FFFFFF"/>
      </w:tcPr>
    </w:tblStylePr>
    <w:tblStylePr w:type="lastRow">
      <w:rPr>
        <w:rFonts w:ascii="Times New Roman" w:eastAsia="Times New Roman" w:hAnsi="Times New Roman" w:cs="Times New Roman"/>
        <w:i/>
        <w:iCs/>
        <w:sz w:val="26"/>
      </w:rPr>
      <w:tblPr/>
      <w:tcPr>
        <w:tcBorders>
          <w:top w:val="single" w:sz="4" w:space="0" w:color="000000"/>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000000"/>
        </w:tcBorders>
        <w:shd w:val="clear" w:color="auto" w:fill="FFFFFF"/>
      </w:tcPr>
    </w:tblStylePr>
    <w:tblStylePr w:type="lastCol">
      <w:rPr>
        <w:rFonts w:ascii="Times New Roman" w:eastAsia="Times New Roman" w:hAnsi="Times New Rom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 Accent 1"/>
    <w:basedOn w:val="a3"/>
    <w:uiPriority w:val="52"/>
    <w:rsid w:val="00284859"/>
    <w:rPr>
      <w:color w:val="365F91"/>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F81BD"/>
        </w:tcBorders>
        <w:shd w:val="clear" w:color="auto" w:fill="FFFFFF"/>
      </w:tcPr>
    </w:tblStylePr>
    <w:tblStylePr w:type="lastRow">
      <w:rPr>
        <w:rFonts w:ascii="Times New Roman" w:eastAsia="Times New Roman" w:hAnsi="Times New Roman" w:cs="Times New Roman"/>
        <w:i/>
        <w:iCs/>
        <w:sz w:val="26"/>
      </w:rPr>
      <w:tblPr/>
      <w:tcPr>
        <w:tcBorders>
          <w:top w:val="single" w:sz="4" w:space="0" w:color="4F81B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F81BD"/>
        </w:tcBorders>
        <w:shd w:val="clear" w:color="auto" w:fill="FFFFFF"/>
      </w:tcPr>
    </w:tblStylePr>
    <w:tblStylePr w:type="lastCol">
      <w:rPr>
        <w:rFonts w:ascii="Times New Roman" w:eastAsia="Times New Roman" w:hAnsi="Times New Roman"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 Accent 2"/>
    <w:basedOn w:val="a3"/>
    <w:uiPriority w:val="52"/>
    <w:rsid w:val="00284859"/>
    <w:rPr>
      <w:color w:val="943634"/>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C0504D"/>
        </w:tcBorders>
        <w:shd w:val="clear" w:color="auto" w:fill="FFFFFF"/>
      </w:tcPr>
    </w:tblStylePr>
    <w:tblStylePr w:type="lastRow">
      <w:rPr>
        <w:rFonts w:ascii="Times New Roman" w:eastAsia="Times New Roman" w:hAnsi="Times New Roman" w:cs="Times New Roman"/>
        <w:i/>
        <w:iCs/>
        <w:sz w:val="26"/>
      </w:rPr>
      <w:tblPr/>
      <w:tcPr>
        <w:tcBorders>
          <w:top w:val="single" w:sz="4" w:space="0" w:color="C0504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C0504D"/>
        </w:tcBorders>
        <w:shd w:val="clear" w:color="auto" w:fill="FFFFFF"/>
      </w:tcPr>
    </w:tblStylePr>
    <w:tblStylePr w:type="lastCol">
      <w:rPr>
        <w:rFonts w:ascii="Times New Roman" w:eastAsia="Times New Roman" w:hAnsi="Times New Roman" w:cs="Times New Roman"/>
        <w:i/>
        <w:iCs/>
        <w:sz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 Accent 3"/>
    <w:basedOn w:val="a3"/>
    <w:uiPriority w:val="52"/>
    <w:rsid w:val="00284859"/>
    <w:rPr>
      <w:color w:val="76923C"/>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9BBB59"/>
        </w:tcBorders>
        <w:shd w:val="clear" w:color="auto" w:fill="FFFFFF"/>
      </w:tcPr>
    </w:tblStylePr>
    <w:tblStylePr w:type="lastRow">
      <w:rPr>
        <w:rFonts w:ascii="Times New Roman" w:eastAsia="Times New Roman" w:hAnsi="Times New Roman" w:cs="Times New Roman"/>
        <w:i/>
        <w:iCs/>
        <w:sz w:val="26"/>
      </w:rPr>
      <w:tblPr/>
      <w:tcPr>
        <w:tcBorders>
          <w:top w:val="single" w:sz="4" w:space="0" w:color="9BBB59"/>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9BBB59"/>
        </w:tcBorders>
        <w:shd w:val="clear" w:color="auto" w:fill="FFFFFF"/>
      </w:tcPr>
    </w:tblStylePr>
    <w:tblStylePr w:type="lastCol">
      <w:rPr>
        <w:rFonts w:ascii="Times New Roman" w:eastAsia="Times New Roman" w:hAnsi="Times New Roman"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 Accent 4"/>
    <w:basedOn w:val="a3"/>
    <w:uiPriority w:val="52"/>
    <w:rsid w:val="00284859"/>
    <w:rPr>
      <w:color w:val="5F497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8064A2"/>
        </w:tcBorders>
        <w:shd w:val="clear" w:color="auto" w:fill="FFFFFF"/>
      </w:tcPr>
    </w:tblStylePr>
    <w:tblStylePr w:type="lastRow">
      <w:rPr>
        <w:rFonts w:ascii="Times New Roman" w:eastAsia="Times New Roman" w:hAnsi="Times New Roman" w:cs="Times New Roman"/>
        <w:i/>
        <w:iCs/>
        <w:sz w:val="26"/>
      </w:rPr>
      <w:tblPr/>
      <w:tcPr>
        <w:tcBorders>
          <w:top w:val="single" w:sz="4" w:space="0" w:color="8064A2"/>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8064A2"/>
        </w:tcBorders>
        <w:shd w:val="clear" w:color="auto" w:fill="FFFFFF"/>
      </w:tcPr>
    </w:tblStylePr>
    <w:tblStylePr w:type="lastCol">
      <w:rPr>
        <w:rFonts w:ascii="Times New Roman" w:eastAsia="Times New Roman" w:hAnsi="Times New Roman" w:cs="Times New Roman"/>
        <w:i/>
        <w:iCs/>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 Accent 5"/>
    <w:basedOn w:val="a3"/>
    <w:uiPriority w:val="52"/>
    <w:rsid w:val="00284859"/>
    <w:rPr>
      <w:color w:val="31849B"/>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BACC6"/>
        </w:tcBorders>
        <w:shd w:val="clear" w:color="auto" w:fill="FFFFFF"/>
      </w:tcPr>
    </w:tblStylePr>
    <w:tblStylePr w:type="lastRow">
      <w:rPr>
        <w:rFonts w:ascii="Times New Roman" w:eastAsia="Times New Roman" w:hAnsi="Times New Roman" w:cs="Times New Roman"/>
        <w:i/>
        <w:iCs/>
        <w:sz w:val="26"/>
      </w:rPr>
      <w:tblPr/>
      <w:tcPr>
        <w:tcBorders>
          <w:top w:val="single" w:sz="4" w:space="0" w:color="4BACC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BACC6"/>
        </w:tcBorders>
        <w:shd w:val="clear" w:color="auto" w:fill="FFFFFF"/>
      </w:tcPr>
    </w:tblStylePr>
    <w:tblStylePr w:type="lastCol">
      <w:rPr>
        <w:rFonts w:ascii="Times New Roman" w:eastAsia="Times New Roman" w:hAnsi="Times New Roman"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 Accent 6"/>
    <w:basedOn w:val="a3"/>
    <w:uiPriority w:val="52"/>
    <w:rsid w:val="00284859"/>
    <w:rPr>
      <w:color w:val="E36C0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F79646"/>
        </w:tcBorders>
        <w:shd w:val="clear" w:color="auto" w:fill="FFFFFF"/>
      </w:tcPr>
    </w:tblStylePr>
    <w:tblStylePr w:type="lastRow">
      <w:rPr>
        <w:rFonts w:ascii="Times New Roman" w:eastAsia="Times New Roman" w:hAnsi="Times New Roman" w:cs="Times New Roman"/>
        <w:i/>
        <w:iCs/>
        <w:sz w:val="26"/>
      </w:rPr>
      <w:tblPr/>
      <w:tcPr>
        <w:tcBorders>
          <w:top w:val="single" w:sz="4" w:space="0" w:color="F7964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F79646"/>
        </w:tcBorders>
        <w:shd w:val="clear" w:color="auto" w:fill="FFFFFF"/>
      </w:tcPr>
    </w:tblStylePr>
    <w:tblStylePr w:type="lastCol">
      <w:rPr>
        <w:rFonts w:ascii="Times New Roman" w:eastAsia="Times New Roman" w:hAnsi="Times New Roman"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
    <w:name w:val="טבלת רשת 1 בהירה1"/>
    <w:basedOn w:val="a3"/>
    <w:uiPriority w:val="46"/>
    <w:rsid w:val="00284859"/>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
    <w:name w:val="Grid Table 1 Light - Accent 1"/>
    <w:basedOn w:val="a3"/>
    <w:uiPriority w:val="46"/>
    <w:rsid w:val="0028485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
    <w:name w:val="Grid Table 1 Light - Accent 2"/>
    <w:basedOn w:val="a3"/>
    <w:uiPriority w:val="46"/>
    <w:rsid w:val="0028485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
    <w:name w:val="Grid Table 1 Light - Accent 3"/>
    <w:basedOn w:val="a3"/>
    <w:uiPriority w:val="46"/>
    <w:rsid w:val="0028485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
    <w:name w:val="Grid Table 1 Light - Accent 4"/>
    <w:basedOn w:val="a3"/>
    <w:uiPriority w:val="46"/>
    <w:rsid w:val="0028485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
    <w:name w:val="Grid Table 1 Light - Accent 5"/>
    <w:basedOn w:val="a3"/>
    <w:uiPriority w:val="46"/>
    <w:rsid w:val="0028485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
    <w:name w:val="Grid Table 1 Light - Accent 6"/>
    <w:basedOn w:val="a3"/>
    <w:uiPriority w:val="46"/>
    <w:rsid w:val="0028485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טבלת רשת 21"/>
    <w:basedOn w:val="a3"/>
    <w:uiPriority w:val="47"/>
    <w:rsid w:val="00284859"/>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
    <w:name w:val="Grid Table 2 - Accent 1"/>
    <w:basedOn w:val="a3"/>
    <w:uiPriority w:val="47"/>
    <w:rsid w:val="00284859"/>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2">
    <w:name w:val="Grid Table 2 - Accent 2"/>
    <w:basedOn w:val="a3"/>
    <w:uiPriority w:val="47"/>
    <w:rsid w:val="0028485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2-Accent3">
    <w:name w:val="Grid Table 2 - Accent 3"/>
    <w:basedOn w:val="a3"/>
    <w:uiPriority w:val="47"/>
    <w:rsid w:val="00284859"/>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4">
    <w:name w:val="Grid Table 2 - Accent 4"/>
    <w:basedOn w:val="a3"/>
    <w:uiPriority w:val="47"/>
    <w:rsid w:val="00284859"/>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2-Accent5">
    <w:name w:val="Grid Table 2 - Accent 5"/>
    <w:basedOn w:val="a3"/>
    <w:uiPriority w:val="47"/>
    <w:rsid w:val="00284859"/>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6">
    <w:name w:val="Grid Table 2 - Accent 6"/>
    <w:basedOn w:val="a3"/>
    <w:uiPriority w:val="47"/>
    <w:rsid w:val="00284859"/>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2">
    <w:name w:val="טבלת רשת 31"/>
    <w:basedOn w:val="a3"/>
    <w:uiPriority w:val="48"/>
    <w:rsid w:val="0028485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
    <w:name w:val="Grid Table 3 - Accent 1"/>
    <w:basedOn w:val="a3"/>
    <w:uiPriority w:val="48"/>
    <w:rsid w:val="00284859"/>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
    <w:name w:val="Grid Table 3 - Accent 2"/>
    <w:basedOn w:val="a3"/>
    <w:uiPriority w:val="48"/>
    <w:rsid w:val="00284859"/>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
    <w:name w:val="Grid Table 3 - Accent 3"/>
    <w:basedOn w:val="a3"/>
    <w:uiPriority w:val="48"/>
    <w:rsid w:val="00284859"/>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
    <w:name w:val="Grid Table 3 - Accent 4"/>
    <w:basedOn w:val="a3"/>
    <w:uiPriority w:val="48"/>
    <w:rsid w:val="00284859"/>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
    <w:name w:val="Grid Table 3 - Accent 5"/>
    <w:basedOn w:val="a3"/>
    <w:uiPriority w:val="48"/>
    <w:rsid w:val="00284859"/>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Accent6">
    <w:name w:val="Grid Table 3 - Accent 6"/>
    <w:basedOn w:val="a3"/>
    <w:uiPriority w:val="48"/>
    <w:rsid w:val="00284859"/>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412">
    <w:name w:val="טבלת רשת 41"/>
    <w:basedOn w:val="a3"/>
    <w:uiPriority w:val="49"/>
    <w:rsid w:val="0028485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
    <w:name w:val="Grid Table 4 - Accent 1"/>
    <w:basedOn w:val="a3"/>
    <w:uiPriority w:val="49"/>
    <w:rsid w:val="00284859"/>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2">
    <w:name w:val="Grid Table 4 - Accent 2"/>
    <w:basedOn w:val="a3"/>
    <w:uiPriority w:val="49"/>
    <w:rsid w:val="00284859"/>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3">
    <w:name w:val="Grid Table 4 - Accent 3"/>
    <w:basedOn w:val="a3"/>
    <w:uiPriority w:val="49"/>
    <w:rsid w:val="00284859"/>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4">
    <w:name w:val="Grid Table 4 - Accent 4"/>
    <w:basedOn w:val="a3"/>
    <w:uiPriority w:val="49"/>
    <w:rsid w:val="00284859"/>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
    <w:name w:val="Grid Table 4 - Accent 5"/>
    <w:basedOn w:val="a3"/>
    <w:uiPriority w:val="49"/>
    <w:rsid w:val="00284859"/>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6">
    <w:name w:val="Grid Table 4 - Accent 6"/>
    <w:basedOn w:val="a3"/>
    <w:uiPriority w:val="49"/>
    <w:rsid w:val="00284859"/>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2">
    <w:name w:val="טבלת רשת 5 כהה1"/>
    <w:basedOn w:val="a3"/>
    <w:uiPriority w:val="50"/>
    <w:rsid w:val="0028485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
    <w:name w:val="Grid Table 5 Dark - Accent 1"/>
    <w:basedOn w:val="a3"/>
    <w:uiPriority w:val="50"/>
    <w:rsid w:val="0028485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2">
    <w:name w:val="Grid Table 5 Dark - Accent 2"/>
    <w:basedOn w:val="a3"/>
    <w:uiPriority w:val="50"/>
    <w:rsid w:val="0028485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5Dark-Accent3">
    <w:name w:val="Grid Table 5 Dark - Accent 3"/>
    <w:basedOn w:val="a3"/>
    <w:uiPriority w:val="50"/>
    <w:rsid w:val="0028485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5Dark-Accent4">
    <w:name w:val="Grid Table 5 Dark - Accent 4"/>
    <w:basedOn w:val="a3"/>
    <w:uiPriority w:val="50"/>
    <w:rsid w:val="0028485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5Dark-Accent5">
    <w:name w:val="Grid Table 5 Dark - Accent 5"/>
    <w:basedOn w:val="a3"/>
    <w:uiPriority w:val="50"/>
    <w:rsid w:val="0028485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
    <w:name w:val="Grid Table 5 Dark - Accent 6"/>
    <w:basedOn w:val="a3"/>
    <w:uiPriority w:val="50"/>
    <w:rsid w:val="0028485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610">
    <w:name w:val="טבלת רשת 6 צבעונית1"/>
    <w:basedOn w:val="a3"/>
    <w:uiPriority w:val="51"/>
    <w:rsid w:val="00284859"/>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
    <w:name w:val="Grid Table 6 Colorful - Accent 1"/>
    <w:basedOn w:val="a3"/>
    <w:uiPriority w:val="51"/>
    <w:rsid w:val="00284859"/>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2">
    <w:name w:val="Grid Table 6 Colorful - Accent 2"/>
    <w:basedOn w:val="a3"/>
    <w:uiPriority w:val="51"/>
    <w:rsid w:val="00284859"/>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6Colorful-Accent3">
    <w:name w:val="Grid Table 6 Colorful - Accent 3"/>
    <w:basedOn w:val="a3"/>
    <w:uiPriority w:val="51"/>
    <w:rsid w:val="00284859"/>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6Colorful-Accent4">
    <w:name w:val="Grid Table 6 Colorful - Accent 4"/>
    <w:basedOn w:val="a3"/>
    <w:uiPriority w:val="51"/>
    <w:rsid w:val="00284859"/>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5">
    <w:name w:val="Grid Table 6 Colorful - Accent 5"/>
    <w:basedOn w:val="a3"/>
    <w:uiPriority w:val="51"/>
    <w:rsid w:val="00284859"/>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6">
    <w:name w:val="Grid Table 6 Colorful - Accent 6"/>
    <w:basedOn w:val="a3"/>
    <w:uiPriority w:val="51"/>
    <w:rsid w:val="00284859"/>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0">
    <w:name w:val="טבלת רשת 7 צבעונית1"/>
    <w:basedOn w:val="a3"/>
    <w:uiPriority w:val="52"/>
    <w:rsid w:val="00284859"/>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
    <w:name w:val="Grid Table 7 Colorful - Accent 1"/>
    <w:basedOn w:val="a3"/>
    <w:uiPriority w:val="52"/>
    <w:rsid w:val="00284859"/>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7Colorful-Accent2">
    <w:name w:val="Grid Table 7 Colorful - Accent 2"/>
    <w:basedOn w:val="a3"/>
    <w:uiPriority w:val="52"/>
    <w:rsid w:val="00284859"/>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Accent3">
    <w:name w:val="Grid Table 7 Colorful - Accent 3"/>
    <w:basedOn w:val="a3"/>
    <w:uiPriority w:val="52"/>
    <w:rsid w:val="00284859"/>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7Colorful-Accent4">
    <w:name w:val="Grid Table 7 Colorful - Accent 4"/>
    <w:basedOn w:val="a3"/>
    <w:uiPriority w:val="52"/>
    <w:rsid w:val="00284859"/>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7Colorful-Accent5">
    <w:name w:val="Grid Table 7 Colorful - Accent 5"/>
    <w:basedOn w:val="a3"/>
    <w:uiPriority w:val="52"/>
    <w:rsid w:val="00284859"/>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7Colorful-Accent6">
    <w:name w:val="Grid Table 7 Colorful - Accent 6"/>
    <w:basedOn w:val="a3"/>
    <w:uiPriority w:val="52"/>
    <w:rsid w:val="00284859"/>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paragraph" w:styleId="aff1">
    <w:name w:val="Block Text"/>
    <w:basedOn w:val="a1"/>
    <w:rsid w:val="00284859"/>
    <w:pPr>
      <w:pBdr>
        <w:top w:val="single" w:sz="2" w:space="10" w:color="4F81BD"/>
        <w:left w:val="single" w:sz="2" w:space="10" w:color="4F81BD"/>
        <w:bottom w:val="single" w:sz="2" w:space="10" w:color="4F81BD"/>
        <w:right w:val="single" w:sz="2" w:space="10" w:color="4F81BD"/>
      </w:pBdr>
      <w:ind w:left="1152" w:right="1152"/>
    </w:pPr>
    <w:rPr>
      <w:rFonts w:ascii="Calibri" w:hAnsi="Calibri" w:cs="Arial"/>
      <w:i/>
      <w:iCs/>
      <w:color w:val="4F81BD"/>
    </w:rPr>
  </w:style>
  <w:style w:type="paragraph" w:styleId="aff2">
    <w:name w:val="endnote text"/>
    <w:basedOn w:val="a1"/>
    <w:link w:val="aff3"/>
    <w:rsid w:val="00284859"/>
    <w:rPr>
      <w:sz w:val="20"/>
      <w:szCs w:val="20"/>
    </w:rPr>
  </w:style>
  <w:style w:type="character" w:customStyle="1" w:styleId="aff3">
    <w:name w:val="טקסט הערת סיום תו"/>
    <w:link w:val="aff2"/>
    <w:semiHidden/>
    <w:rsid w:val="00284859"/>
    <w:rPr>
      <w:rFonts w:cs="David"/>
      <w:noProof w:val="0"/>
    </w:rPr>
  </w:style>
  <w:style w:type="paragraph" w:styleId="aff4">
    <w:name w:val="footnote text"/>
    <w:basedOn w:val="a1"/>
    <w:link w:val="aff5"/>
    <w:rsid w:val="00284859"/>
    <w:rPr>
      <w:sz w:val="20"/>
      <w:szCs w:val="20"/>
    </w:rPr>
  </w:style>
  <w:style w:type="character" w:customStyle="1" w:styleId="aff5">
    <w:name w:val="טקסט הערת שוליים תו"/>
    <w:link w:val="aff4"/>
    <w:semiHidden/>
    <w:rsid w:val="00284859"/>
    <w:rPr>
      <w:rFonts w:cs="David"/>
      <w:noProof w:val="0"/>
    </w:rPr>
  </w:style>
  <w:style w:type="paragraph" w:styleId="aff6">
    <w:name w:val="macro"/>
    <w:link w:val="aff7"/>
    <w:rsid w:val="00284859"/>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David"/>
      <w:lang w:bidi="he-IL"/>
    </w:rPr>
  </w:style>
  <w:style w:type="character" w:customStyle="1" w:styleId="aff7">
    <w:name w:val="טקסט מאקרו תו"/>
    <w:link w:val="aff6"/>
    <w:semiHidden/>
    <w:rsid w:val="00284859"/>
    <w:rPr>
      <w:rFonts w:ascii="Consolas" w:hAnsi="Consolas" w:cs="David"/>
      <w:noProof w:val="0"/>
    </w:rPr>
  </w:style>
  <w:style w:type="paragraph" w:styleId="aff8">
    <w:name w:val="Plain Text"/>
    <w:basedOn w:val="a1"/>
    <w:link w:val="aff9"/>
    <w:rsid w:val="00284859"/>
    <w:rPr>
      <w:rFonts w:ascii="Consolas" w:hAnsi="Consolas"/>
      <w:sz w:val="21"/>
      <w:szCs w:val="21"/>
    </w:rPr>
  </w:style>
  <w:style w:type="character" w:customStyle="1" w:styleId="aff9">
    <w:name w:val="טקסט רגיל תו"/>
    <w:link w:val="aff8"/>
    <w:semiHidden/>
    <w:rsid w:val="00284859"/>
    <w:rPr>
      <w:rFonts w:ascii="Consolas" w:hAnsi="Consolas" w:cs="David"/>
      <w:noProof w:val="0"/>
      <w:sz w:val="21"/>
      <w:szCs w:val="21"/>
    </w:rPr>
  </w:style>
  <w:style w:type="character" w:customStyle="1" w:styleId="1f">
    <w:name w:val="כותר הספר1"/>
    <w:uiPriority w:val="33"/>
    <w:qFormat/>
    <w:rsid w:val="00284859"/>
    <w:rPr>
      <w:b/>
      <w:bCs/>
      <w:i/>
      <w:iCs/>
      <w:noProof w:val="0"/>
      <w:spacing w:val="5"/>
    </w:rPr>
  </w:style>
  <w:style w:type="character" w:customStyle="1" w:styleId="10">
    <w:name w:val="כותרת 1 תו"/>
    <w:link w:val="1"/>
    <w:rsid w:val="00284859"/>
    <w:rPr>
      <w:rFonts w:ascii="Cambria" w:eastAsia="Times New Roman" w:hAnsi="Cambria" w:cs="Times New Roman"/>
      <w:noProof w:val="0"/>
      <w:color w:val="365F91"/>
      <w:sz w:val="32"/>
      <w:szCs w:val="32"/>
    </w:rPr>
  </w:style>
  <w:style w:type="character" w:customStyle="1" w:styleId="22">
    <w:name w:val="כותרת 2 תו"/>
    <w:link w:val="21"/>
    <w:semiHidden/>
    <w:rsid w:val="00284859"/>
    <w:rPr>
      <w:rFonts w:ascii="Cambria" w:eastAsia="Times New Roman" w:hAnsi="Cambria" w:cs="Times New Roman"/>
      <w:noProof w:val="0"/>
      <w:color w:val="365F91"/>
      <w:sz w:val="26"/>
      <w:szCs w:val="26"/>
    </w:rPr>
  </w:style>
  <w:style w:type="character" w:customStyle="1" w:styleId="32">
    <w:name w:val="כותרת 3 תו"/>
    <w:link w:val="31"/>
    <w:semiHidden/>
    <w:rsid w:val="00284859"/>
    <w:rPr>
      <w:rFonts w:ascii="Cambria" w:eastAsia="Times New Roman" w:hAnsi="Cambria" w:cs="Times New Roman"/>
      <w:noProof w:val="0"/>
      <w:color w:val="243F60"/>
      <w:sz w:val="24"/>
      <w:szCs w:val="24"/>
    </w:rPr>
  </w:style>
  <w:style w:type="character" w:customStyle="1" w:styleId="52">
    <w:name w:val="כותרת 5 תו"/>
    <w:link w:val="51"/>
    <w:semiHidden/>
    <w:rsid w:val="00284859"/>
    <w:rPr>
      <w:rFonts w:ascii="Cambria" w:eastAsia="Times New Roman" w:hAnsi="Cambria" w:cs="Times New Roman"/>
      <w:noProof w:val="0"/>
      <w:color w:val="365F91"/>
      <w:sz w:val="24"/>
      <w:szCs w:val="24"/>
    </w:rPr>
  </w:style>
  <w:style w:type="character" w:customStyle="1" w:styleId="60">
    <w:name w:val="כותרת 6 תו"/>
    <w:link w:val="6"/>
    <w:semiHidden/>
    <w:rsid w:val="00284859"/>
    <w:rPr>
      <w:rFonts w:ascii="Cambria" w:eastAsia="Times New Roman" w:hAnsi="Cambria" w:cs="Times New Roman"/>
      <w:noProof w:val="0"/>
      <w:color w:val="243F60"/>
      <w:sz w:val="24"/>
      <w:szCs w:val="24"/>
    </w:rPr>
  </w:style>
  <w:style w:type="character" w:customStyle="1" w:styleId="70">
    <w:name w:val="כותרת 7 תו"/>
    <w:link w:val="7"/>
    <w:semiHidden/>
    <w:rsid w:val="00284859"/>
    <w:rPr>
      <w:rFonts w:ascii="Cambria" w:eastAsia="Times New Roman" w:hAnsi="Cambria" w:cs="Times New Roman"/>
      <w:i/>
      <w:iCs/>
      <w:noProof w:val="0"/>
      <w:color w:val="243F60"/>
      <w:sz w:val="24"/>
      <w:szCs w:val="24"/>
    </w:rPr>
  </w:style>
  <w:style w:type="character" w:customStyle="1" w:styleId="80">
    <w:name w:val="כותרת 8 תו"/>
    <w:link w:val="8"/>
    <w:semiHidden/>
    <w:rsid w:val="00284859"/>
    <w:rPr>
      <w:rFonts w:ascii="Cambria" w:eastAsia="Times New Roman" w:hAnsi="Cambria" w:cs="Times New Roman"/>
      <w:noProof w:val="0"/>
      <w:color w:val="272727"/>
      <w:sz w:val="21"/>
      <w:szCs w:val="21"/>
    </w:rPr>
  </w:style>
  <w:style w:type="character" w:customStyle="1" w:styleId="90">
    <w:name w:val="כותרת 9 תו"/>
    <w:link w:val="9"/>
    <w:semiHidden/>
    <w:rsid w:val="00284859"/>
    <w:rPr>
      <w:rFonts w:ascii="Cambria" w:eastAsia="Times New Roman" w:hAnsi="Cambria" w:cs="Times New Roman"/>
      <w:i/>
      <w:iCs/>
      <w:noProof w:val="0"/>
      <w:color w:val="272727"/>
      <w:sz w:val="21"/>
      <w:szCs w:val="21"/>
    </w:rPr>
  </w:style>
  <w:style w:type="paragraph" w:styleId="affa">
    <w:name w:val="index heading"/>
    <w:basedOn w:val="a1"/>
    <w:next w:val="Index1"/>
    <w:rsid w:val="00284859"/>
    <w:rPr>
      <w:rFonts w:ascii="Cambria" w:hAnsi="Cambria" w:cs="Times New Roman"/>
      <w:b/>
      <w:bCs/>
    </w:rPr>
  </w:style>
  <w:style w:type="paragraph" w:styleId="affb">
    <w:name w:val="Note Heading"/>
    <w:basedOn w:val="a1"/>
    <w:next w:val="a1"/>
    <w:link w:val="affc"/>
    <w:rsid w:val="00284859"/>
  </w:style>
  <w:style w:type="character" w:customStyle="1" w:styleId="affc">
    <w:name w:val="כותרת הערות תו"/>
    <w:link w:val="affb"/>
    <w:semiHidden/>
    <w:rsid w:val="00284859"/>
    <w:rPr>
      <w:rFonts w:cs="David"/>
      <w:noProof w:val="0"/>
      <w:sz w:val="24"/>
      <w:szCs w:val="24"/>
    </w:rPr>
  </w:style>
  <w:style w:type="paragraph" w:styleId="affd">
    <w:name w:val="Title"/>
    <w:basedOn w:val="a1"/>
    <w:next w:val="a1"/>
    <w:link w:val="affe"/>
    <w:qFormat/>
    <w:rsid w:val="00284859"/>
    <w:pPr>
      <w:contextualSpacing/>
    </w:pPr>
    <w:rPr>
      <w:rFonts w:ascii="Cambria" w:hAnsi="Cambria" w:cs="Times New Roman"/>
      <w:spacing w:val="-10"/>
      <w:kern w:val="28"/>
      <w:sz w:val="56"/>
      <w:szCs w:val="56"/>
    </w:rPr>
  </w:style>
  <w:style w:type="character" w:customStyle="1" w:styleId="affe">
    <w:name w:val="כותרת טקסט תו"/>
    <w:link w:val="affd"/>
    <w:rsid w:val="00284859"/>
    <w:rPr>
      <w:rFonts w:ascii="Cambria" w:eastAsia="Times New Roman" w:hAnsi="Cambria" w:cs="Times New Roman"/>
      <w:noProof w:val="0"/>
      <w:spacing w:val="-10"/>
      <w:kern w:val="28"/>
      <w:sz w:val="56"/>
      <w:szCs w:val="56"/>
    </w:rPr>
  </w:style>
  <w:style w:type="paragraph" w:styleId="afff">
    <w:name w:val="Subtitle"/>
    <w:basedOn w:val="a1"/>
    <w:next w:val="a1"/>
    <w:link w:val="afff0"/>
    <w:qFormat/>
    <w:rsid w:val="00284859"/>
    <w:pPr>
      <w:numPr>
        <w:ilvl w:val="1"/>
      </w:numPr>
      <w:spacing w:after="160"/>
    </w:pPr>
    <w:rPr>
      <w:rFonts w:ascii="Calibri" w:hAnsi="Calibri" w:cs="Arial"/>
      <w:color w:val="5A5A5A"/>
      <w:spacing w:val="15"/>
      <w:sz w:val="22"/>
      <w:szCs w:val="22"/>
    </w:rPr>
  </w:style>
  <w:style w:type="character" w:customStyle="1" w:styleId="afff0">
    <w:name w:val="כותרת משנה תו"/>
    <w:link w:val="afff"/>
    <w:rsid w:val="00284859"/>
    <w:rPr>
      <w:rFonts w:ascii="Calibri" w:eastAsia="Times New Roman" w:hAnsi="Calibri" w:cs="Arial"/>
      <w:noProof w:val="0"/>
      <w:color w:val="5A5A5A"/>
      <w:spacing w:val="15"/>
      <w:sz w:val="22"/>
      <w:szCs w:val="22"/>
    </w:rPr>
  </w:style>
  <w:style w:type="paragraph" w:styleId="afff1">
    <w:name w:val="Message Header"/>
    <w:basedOn w:val="a1"/>
    <w:link w:val="afff2"/>
    <w:rsid w:val="0028485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rPr>
  </w:style>
  <w:style w:type="character" w:customStyle="1" w:styleId="afff2">
    <w:name w:val="כותרת עליונה של הודעה תו"/>
    <w:link w:val="afff1"/>
    <w:semiHidden/>
    <w:rsid w:val="00284859"/>
    <w:rPr>
      <w:rFonts w:ascii="Cambria" w:eastAsia="Times New Roman" w:hAnsi="Cambria" w:cs="Times New Roman"/>
      <w:noProof w:val="0"/>
      <w:sz w:val="24"/>
      <w:szCs w:val="24"/>
      <w:shd w:val="pct20" w:color="auto" w:fill="auto"/>
    </w:rPr>
  </w:style>
  <w:style w:type="paragraph" w:styleId="afff3">
    <w:name w:val="toa heading"/>
    <w:basedOn w:val="a1"/>
    <w:next w:val="a1"/>
    <w:rsid w:val="00284859"/>
    <w:pPr>
      <w:spacing w:before="120"/>
    </w:pPr>
    <w:rPr>
      <w:rFonts w:ascii="Cambria" w:hAnsi="Cambria" w:cs="Times New Roman"/>
      <w:b/>
      <w:bCs/>
    </w:rPr>
  </w:style>
  <w:style w:type="paragraph" w:customStyle="1" w:styleId="1f0">
    <w:name w:val="כותרת תוכן עניינים1"/>
    <w:basedOn w:val="1"/>
    <w:next w:val="a1"/>
    <w:uiPriority w:val="39"/>
    <w:semiHidden/>
    <w:unhideWhenUsed/>
    <w:qFormat/>
    <w:rsid w:val="00284859"/>
    <w:pPr>
      <w:outlineLvl w:val="9"/>
    </w:pPr>
  </w:style>
  <w:style w:type="paragraph" w:styleId="afff4">
    <w:name w:val="caption"/>
    <w:basedOn w:val="a1"/>
    <w:next w:val="a1"/>
    <w:qFormat/>
    <w:rsid w:val="00284859"/>
    <w:pPr>
      <w:spacing w:after="200"/>
    </w:pPr>
    <w:rPr>
      <w:i/>
      <w:iCs/>
      <w:color w:val="1F497D"/>
      <w:sz w:val="18"/>
      <w:szCs w:val="18"/>
    </w:rPr>
  </w:style>
  <w:style w:type="paragraph" w:styleId="afff5">
    <w:name w:val="Body Text Indent"/>
    <w:basedOn w:val="a1"/>
    <w:link w:val="afff6"/>
    <w:rsid w:val="00284859"/>
    <w:pPr>
      <w:spacing w:after="120"/>
      <w:ind w:left="283"/>
    </w:pPr>
  </w:style>
  <w:style w:type="character" w:customStyle="1" w:styleId="afff6">
    <w:name w:val="כניסה בגוף טקסט תו"/>
    <w:link w:val="afff5"/>
    <w:semiHidden/>
    <w:rsid w:val="00284859"/>
    <w:rPr>
      <w:rFonts w:cs="David"/>
      <w:noProof w:val="0"/>
      <w:sz w:val="24"/>
      <w:szCs w:val="24"/>
    </w:rPr>
  </w:style>
  <w:style w:type="paragraph" w:styleId="2b">
    <w:name w:val="Body Text Indent 2"/>
    <w:basedOn w:val="a1"/>
    <w:link w:val="2c"/>
    <w:rsid w:val="00284859"/>
    <w:pPr>
      <w:spacing w:after="120" w:line="480" w:lineRule="auto"/>
      <w:ind w:left="283"/>
    </w:pPr>
  </w:style>
  <w:style w:type="character" w:customStyle="1" w:styleId="2c">
    <w:name w:val="כניסה בגוף טקסט 2 תו"/>
    <w:link w:val="2b"/>
    <w:semiHidden/>
    <w:rsid w:val="00284859"/>
    <w:rPr>
      <w:rFonts w:cs="David"/>
      <w:noProof w:val="0"/>
      <w:sz w:val="24"/>
      <w:szCs w:val="24"/>
    </w:rPr>
  </w:style>
  <w:style w:type="paragraph" w:styleId="3a">
    <w:name w:val="Body Text Indent 3"/>
    <w:basedOn w:val="a1"/>
    <w:link w:val="3b"/>
    <w:rsid w:val="00284859"/>
    <w:pPr>
      <w:spacing w:after="120"/>
      <w:ind w:left="283"/>
    </w:pPr>
    <w:rPr>
      <w:sz w:val="16"/>
      <w:szCs w:val="16"/>
    </w:rPr>
  </w:style>
  <w:style w:type="character" w:customStyle="1" w:styleId="3b">
    <w:name w:val="כניסה בגוף טקסט 3 תו"/>
    <w:link w:val="3a"/>
    <w:semiHidden/>
    <w:rsid w:val="00284859"/>
    <w:rPr>
      <w:rFonts w:cs="David"/>
      <w:noProof w:val="0"/>
      <w:sz w:val="16"/>
      <w:szCs w:val="16"/>
    </w:rPr>
  </w:style>
  <w:style w:type="paragraph" w:styleId="afff7">
    <w:name w:val="Normal Indent"/>
    <w:basedOn w:val="a1"/>
    <w:rsid w:val="00284859"/>
    <w:pPr>
      <w:ind w:left="720"/>
    </w:pPr>
  </w:style>
  <w:style w:type="paragraph" w:styleId="afff8">
    <w:name w:val="Body Text First Indent"/>
    <w:basedOn w:val="af3"/>
    <w:link w:val="afff9"/>
    <w:rsid w:val="00284859"/>
    <w:pPr>
      <w:spacing w:after="0"/>
      <w:ind w:firstLine="360"/>
    </w:pPr>
  </w:style>
  <w:style w:type="character" w:customStyle="1" w:styleId="afff9">
    <w:name w:val="כניסת שורה ראשונה בגוף טקסט תו"/>
    <w:link w:val="afff8"/>
    <w:rsid w:val="00284859"/>
    <w:rPr>
      <w:rFonts w:cs="David"/>
      <w:noProof w:val="0"/>
      <w:sz w:val="24"/>
      <w:szCs w:val="24"/>
    </w:rPr>
  </w:style>
  <w:style w:type="paragraph" w:styleId="2d">
    <w:name w:val="Body Text First Indent 2"/>
    <w:basedOn w:val="afff5"/>
    <w:link w:val="2e"/>
    <w:rsid w:val="00284859"/>
    <w:pPr>
      <w:spacing w:after="0"/>
      <w:ind w:left="360" w:firstLine="360"/>
    </w:pPr>
  </w:style>
  <w:style w:type="character" w:customStyle="1" w:styleId="2e">
    <w:name w:val="כניסת שורה ראשונה בגוף טקסט 2 תו"/>
    <w:link w:val="2d"/>
    <w:semiHidden/>
    <w:rsid w:val="00284859"/>
    <w:rPr>
      <w:rFonts w:cs="David"/>
      <w:noProof w:val="0"/>
      <w:sz w:val="24"/>
      <w:szCs w:val="24"/>
    </w:rPr>
  </w:style>
  <w:style w:type="paragraph" w:styleId="HTML2">
    <w:name w:val="HTML Address"/>
    <w:basedOn w:val="a1"/>
    <w:link w:val="HTML3"/>
    <w:rsid w:val="00284859"/>
    <w:rPr>
      <w:i/>
      <w:iCs/>
    </w:rPr>
  </w:style>
  <w:style w:type="character" w:customStyle="1" w:styleId="HTML3">
    <w:name w:val="כתובת HTML תו"/>
    <w:link w:val="HTML2"/>
    <w:semiHidden/>
    <w:rsid w:val="00284859"/>
    <w:rPr>
      <w:rFonts w:cs="David"/>
      <w:i/>
      <w:iCs/>
      <w:noProof w:val="0"/>
      <w:sz w:val="24"/>
      <w:szCs w:val="24"/>
    </w:rPr>
  </w:style>
  <w:style w:type="paragraph" w:styleId="afffa">
    <w:name w:val="envelope address"/>
    <w:basedOn w:val="a1"/>
    <w:rsid w:val="00284859"/>
    <w:pPr>
      <w:framePr w:w="7920" w:h="1980" w:hRule="exact" w:hSpace="180" w:wrap="auto" w:hAnchor="page" w:xAlign="center" w:yAlign="bottom"/>
      <w:ind w:left="2880"/>
    </w:pPr>
    <w:rPr>
      <w:rFonts w:ascii="Cambria" w:hAnsi="Cambria" w:cs="Times New Roman"/>
    </w:rPr>
  </w:style>
  <w:style w:type="paragraph" w:styleId="afffb">
    <w:name w:val="envelope return"/>
    <w:basedOn w:val="a1"/>
    <w:rsid w:val="00284859"/>
    <w:rPr>
      <w:rFonts w:ascii="Cambria" w:hAnsi="Cambria" w:cs="Times New Roman"/>
      <w:sz w:val="20"/>
      <w:szCs w:val="20"/>
    </w:rPr>
  </w:style>
  <w:style w:type="paragraph" w:customStyle="1" w:styleId="1f1">
    <w:name w:val="ללא מרווח1"/>
    <w:uiPriority w:val="1"/>
    <w:qFormat/>
    <w:rsid w:val="00284859"/>
    <w:pPr>
      <w:bidi/>
    </w:pPr>
    <w:rPr>
      <w:rFonts w:cs="David"/>
      <w:sz w:val="24"/>
      <w:szCs w:val="24"/>
      <w:lang w:bidi="he-IL"/>
    </w:rPr>
  </w:style>
  <w:style w:type="character" w:styleId="HTML4">
    <w:name w:val="HTML Typewriter"/>
    <w:rsid w:val="00284859"/>
    <w:rPr>
      <w:rFonts w:ascii="Consolas" w:hAnsi="Consolas"/>
      <w:noProof w:val="0"/>
      <w:sz w:val="20"/>
      <w:szCs w:val="20"/>
    </w:rPr>
  </w:style>
  <w:style w:type="paragraph" w:styleId="afffc">
    <w:name w:val="Document Map"/>
    <w:basedOn w:val="a1"/>
    <w:link w:val="afffd"/>
    <w:rsid w:val="00284859"/>
    <w:rPr>
      <w:rFonts w:ascii="Tahoma" w:hAnsi="Tahoma" w:cs="Tahoma"/>
      <w:sz w:val="16"/>
      <w:szCs w:val="16"/>
    </w:rPr>
  </w:style>
  <w:style w:type="character" w:customStyle="1" w:styleId="afffd">
    <w:name w:val="מפת מסמך תו"/>
    <w:link w:val="afffc"/>
    <w:semiHidden/>
    <w:rsid w:val="00284859"/>
    <w:rPr>
      <w:rFonts w:ascii="Tahoma" w:hAnsi="Tahoma" w:cs="Tahoma"/>
      <w:noProof w:val="0"/>
      <w:sz w:val="16"/>
      <w:szCs w:val="16"/>
    </w:rPr>
  </w:style>
  <w:style w:type="character" w:styleId="HTML5">
    <w:name w:val="HTML Keyboard"/>
    <w:rsid w:val="00284859"/>
    <w:rPr>
      <w:rFonts w:ascii="Consolas" w:hAnsi="Consolas"/>
      <w:noProof w:val="0"/>
      <w:sz w:val="20"/>
      <w:szCs w:val="20"/>
    </w:rPr>
  </w:style>
  <w:style w:type="paragraph" w:styleId="afffe">
    <w:name w:val="annotation subject"/>
    <w:basedOn w:val="aa"/>
    <w:next w:val="aa"/>
    <w:link w:val="affff"/>
    <w:rsid w:val="00284859"/>
    <w:rPr>
      <w:rFonts w:cs="David"/>
      <w:b/>
      <w:bCs/>
      <w:sz w:val="20"/>
      <w:szCs w:val="20"/>
    </w:rPr>
  </w:style>
  <w:style w:type="character" w:customStyle="1" w:styleId="ab">
    <w:name w:val="טקסט הערה תו"/>
    <w:link w:val="aa"/>
    <w:semiHidden/>
    <w:rsid w:val="00284859"/>
    <w:rPr>
      <w:noProof w:val="0"/>
      <w:sz w:val="24"/>
      <w:szCs w:val="24"/>
    </w:rPr>
  </w:style>
  <w:style w:type="character" w:customStyle="1" w:styleId="affff">
    <w:name w:val="נושא הערה תו"/>
    <w:link w:val="afffe"/>
    <w:semiHidden/>
    <w:rsid w:val="00284859"/>
    <w:rPr>
      <w:rFonts w:cs="David"/>
      <w:b/>
      <w:bCs/>
      <w:noProof w:val="0"/>
      <w:sz w:val="24"/>
      <w:szCs w:val="24"/>
    </w:rPr>
  </w:style>
  <w:style w:type="table" w:styleId="affff0">
    <w:name w:val="Table Theme"/>
    <w:basedOn w:val="a3"/>
    <w:rsid w:val="0028485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Closing"/>
    <w:basedOn w:val="a1"/>
    <w:link w:val="affff2"/>
    <w:rsid w:val="00284859"/>
    <w:pPr>
      <w:ind w:left="4252"/>
    </w:pPr>
  </w:style>
  <w:style w:type="character" w:customStyle="1" w:styleId="affff2">
    <w:name w:val="סיום תו"/>
    <w:link w:val="affff1"/>
    <w:semiHidden/>
    <w:rsid w:val="00284859"/>
    <w:rPr>
      <w:rFonts w:cs="David"/>
      <w:noProof w:val="0"/>
      <w:sz w:val="24"/>
      <w:szCs w:val="24"/>
    </w:rPr>
  </w:style>
  <w:style w:type="table" w:styleId="1f2">
    <w:name w:val="Table Columns 1"/>
    <w:basedOn w:val="a3"/>
    <w:rsid w:val="00284859"/>
    <w:pPr>
      <w:bidi/>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3"/>
    <w:rsid w:val="00284859"/>
    <w:pPr>
      <w:bidi/>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3"/>
    <w:rsid w:val="00284859"/>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3"/>
    <w:rsid w:val="00284859"/>
    <w:pPr>
      <w:bidi/>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rsid w:val="00284859"/>
    <w:pPr>
      <w:bidi/>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1f3">
    <w:name w:val="פיסקת רשימה1"/>
    <w:basedOn w:val="a1"/>
    <w:uiPriority w:val="34"/>
    <w:qFormat/>
    <w:rsid w:val="00284859"/>
    <w:pPr>
      <w:ind w:left="720"/>
      <w:contextualSpacing/>
    </w:pPr>
  </w:style>
  <w:style w:type="paragraph" w:customStyle="1" w:styleId="1f4">
    <w:name w:val="ציטוט1"/>
    <w:basedOn w:val="a1"/>
    <w:next w:val="a1"/>
    <w:link w:val="QuoteChar"/>
    <w:uiPriority w:val="29"/>
    <w:qFormat/>
    <w:rsid w:val="00284859"/>
    <w:pPr>
      <w:spacing w:before="200" w:after="160"/>
      <w:ind w:left="864" w:right="864"/>
      <w:jc w:val="center"/>
    </w:pPr>
    <w:rPr>
      <w:i/>
      <w:iCs/>
      <w:color w:val="404040"/>
    </w:rPr>
  </w:style>
  <w:style w:type="character" w:customStyle="1" w:styleId="QuoteChar">
    <w:name w:val="Quote Char"/>
    <w:link w:val="1f4"/>
    <w:uiPriority w:val="29"/>
    <w:rsid w:val="00284859"/>
    <w:rPr>
      <w:rFonts w:cs="David"/>
      <w:i/>
      <w:iCs/>
      <w:noProof w:val="0"/>
      <w:color w:val="404040"/>
      <w:sz w:val="24"/>
      <w:szCs w:val="24"/>
    </w:rPr>
  </w:style>
  <w:style w:type="paragraph" w:customStyle="1" w:styleId="1f5">
    <w:name w:val="ציטוט חזק1"/>
    <w:basedOn w:val="a1"/>
    <w:next w:val="a1"/>
    <w:link w:val="IntenseQuoteChar"/>
    <w:uiPriority w:val="30"/>
    <w:qFormat/>
    <w:rsid w:val="00284859"/>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1f5"/>
    <w:uiPriority w:val="30"/>
    <w:rsid w:val="00284859"/>
    <w:rPr>
      <w:rFonts w:cs="David"/>
      <w:i/>
      <w:iCs/>
      <w:noProof w:val="0"/>
      <w:color w:val="4F81BD"/>
      <w:sz w:val="24"/>
      <w:szCs w:val="24"/>
    </w:rPr>
  </w:style>
  <w:style w:type="character" w:styleId="HTML6">
    <w:name w:val="HTML Acronym"/>
    <w:rsid w:val="00284859"/>
    <w:rPr>
      <w:noProof w:val="0"/>
    </w:rPr>
  </w:style>
  <w:style w:type="paragraph" w:styleId="affff3">
    <w:name w:val="List"/>
    <w:basedOn w:val="a1"/>
    <w:rsid w:val="00284859"/>
    <w:pPr>
      <w:ind w:left="283" w:hanging="283"/>
      <w:contextualSpacing/>
    </w:pPr>
  </w:style>
  <w:style w:type="paragraph" w:styleId="2f0">
    <w:name w:val="List 2"/>
    <w:basedOn w:val="a1"/>
    <w:rsid w:val="00284859"/>
    <w:pPr>
      <w:ind w:left="566" w:hanging="283"/>
      <w:contextualSpacing/>
    </w:pPr>
  </w:style>
  <w:style w:type="paragraph" w:styleId="3d">
    <w:name w:val="List 3"/>
    <w:basedOn w:val="a1"/>
    <w:rsid w:val="00284859"/>
    <w:pPr>
      <w:ind w:left="849" w:hanging="283"/>
      <w:contextualSpacing/>
    </w:pPr>
  </w:style>
  <w:style w:type="paragraph" w:styleId="45">
    <w:name w:val="List 4"/>
    <w:basedOn w:val="a1"/>
    <w:rsid w:val="00284859"/>
    <w:pPr>
      <w:ind w:left="1132" w:hanging="283"/>
      <w:contextualSpacing/>
    </w:pPr>
  </w:style>
  <w:style w:type="paragraph" w:styleId="55">
    <w:name w:val="List 5"/>
    <w:basedOn w:val="a1"/>
    <w:rsid w:val="00284859"/>
    <w:pPr>
      <w:ind w:left="1415" w:hanging="283"/>
      <w:contextualSpacing/>
    </w:pPr>
  </w:style>
  <w:style w:type="table" w:customStyle="1" w:styleId="1f6">
    <w:name w:val="רשימה בהירה1"/>
    <w:basedOn w:val="a3"/>
    <w:uiPriority w:val="61"/>
    <w:semiHidden/>
    <w:unhideWhenUsed/>
    <w:rsid w:val="0028485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
    <w:name w:val="Light List - Accent 1"/>
    <w:basedOn w:val="a3"/>
    <w:uiPriority w:val="61"/>
    <w:semiHidden/>
    <w:unhideWhenUsed/>
    <w:rsid w:val="0028485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
    <w:name w:val="Light List - Accent 2"/>
    <w:basedOn w:val="a3"/>
    <w:uiPriority w:val="61"/>
    <w:semiHidden/>
    <w:unhideWhenUsed/>
    <w:rsid w:val="0028485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
    <w:name w:val="Light List - Accent 3"/>
    <w:basedOn w:val="a3"/>
    <w:uiPriority w:val="61"/>
    <w:semiHidden/>
    <w:unhideWhenUsed/>
    <w:rsid w:val="0028485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
    <w:name w:val="Light List - Accent 4"/>
    <w:basedOn w:val="a3"/>
    <w:uiPriority w:val="61"/>
    <w:semiHidden/>
    <w:unhideWhenUsed/>
    <w:rsid w:val="0028485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
    <w:name w:val="Light List - Accent 5"/>
    <w:basedOn w:val="a3"/>
    <w:uiPriority w:val="61"/>
    <w:semiHidden/>
    <w:unhideWhenUsed/>
    <w:rsid w:val="0028485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
    <w:name w:val="Light List - Accent 6"/>
    <w:basedOn w:val="a3"/>
    <w:uiPriority w:val="61"/>
    <w:semiHidden/>
    <w:unhideWhenUsed/>
    <w:rsid w:val="0028485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f7">
    <w:name w:val="Table List 1"/>
    <w:basedOn w:val="a3"/>
    <w:rsid w:val="00284859"/>
    <w:pPr>
      <w:bidi/>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List 2"/>
    <w:basedOn w:val="a3"/>
    <w:rsid w:val="00284859"/>
    <w:pPr>
      <w:bidi/>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List 3"/>
    <w:basedOn w:val="a3"/>
    <w:rsid w:val="00284859"/>
    <w:pPr>
      <w:bidi/>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3"/>
    <w:rsid w:val="00284859"/>
    <w:pPr>
      <w:bidi/>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rsid w:val="00284859"/>
    <w:pPr>
      <w:bidi/>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rsid w:val="00284859"/>
    <w:pPr>
      <w:bidi/>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3"/>
    <w:rsid w:val="00284859"/>
    <w:pPr>
      <w:bidi/>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rsid w:val="00284859"/>
    <w:pPr>
      <w:bidi/>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4">
    <w:name w:val="רשימה בינונית 11"/>
    <w:basedOn w:val="a3"/>
    <w:uiPriority w:val="65"/>
    <w:semiHidden/>
    <w:unhideWhenUsed/>
    <w:rsid w:val="00284859"/>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
    <w:name w:val="Medium List 1 - Accent 1"/>
    <w:basedOn w:val="a3"/>
    <w:uiPriority w:val="65"/>
    <w:semiHidden/>
    <w:unhideWhenUsed/>
    <w:rsid w:val="00284859"/>
    <w:rPr>
      <w:color w:val="00000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
    <w:name w:val="Medium List 1 - Accent 2"/>
    <w:basedOn w:val="a3"/>
    <w:uiPriority w:val="65"/>
    <w:semiHidden/>
    <w:unhideWhenUsed/>
    <w:rsid w:val="00284859"/>
    <w:rPr>
      <w:color w:val="00000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
    <w:name w:val="Medium List 1 - Accent 3"/>
    <w:basedOn w:val="a3"/>
    <w:uiPriority w:val="65"/>
    <w:semiHidden/>
    <w:unhideWhenUsed/>
    <w:rsid w:val="00284859"/>
    <w:rPr>
      <w:color w:val="00000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
    <w:name w:val="Medium List 1 - Accent 4"/>
    <w:basedOn w:val="a3"/>
    <w:uiPriority w:val="65"/>
    <w:semiHidden/>
    <w:unhideWhenUsed/>
    <w:rsid w:val="00284859"/>
    <w:rPr>
      <w:color w:val="00000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
    <w:name w:val="Medium List 1 - Accent 5"/>
    <w:basedOn w:val="a3"/>
    <w:uiPriority w:val="65"/>
    <w:semiHidden/>
    <w:unhideWhenUsed/>
    <w:rsid w:val="00284859"/>
    <w:rPr>
      <w:color w:val="00000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
    <w:name w:val="Medium List 1 - Accent 6"/>
    <w:basedOn w:val="a3"/>
    <w:uiPriority w:val="65"/>
    <w:semiHidden/>
    <w:unhideWhenUsed/>
    <w:rsid w:val="00284859"/>
    <w:rPr>
      <w:color w:val="00000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4">
    <w:name w:val="רשימה בינונית 21"/>
    <w:basedOn w:val="a3"/>
    <w:uiPriority w:val="66"/>
    <w:semiHidden/>
    <w:unhideWhenUsed/>
    <w:rsid w:val="0028485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
    <w:name w:val="Medium List 2 - Accent 1"/>
    <w:basedOn w:val="a3"/>
    <w:uiPriority w:val="66"/>
    <w:semiHidden/>
    <w:unhideWhenUsed/>
    <w:rsid w:val="0028485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
    <w:name w:val="Medium List 2 - Accent 2"/>
    <w:basedOn w:val="a3"/>
    <w:uiPriority w:val="66"/>
    <w:semiHidden/>
    <w:unhideWhenUsed/>
    <w:rsid w:val="0028485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
    <w:name w:val="Medium List 2 - Accent 3"/>
    <w:basedOn w:val="a3"/>
    <w:uiPriority w:val="66"/>
    <w:semiHidden/>
    <w:unhideWhenUsed/>
    <w:rsid w:val="0028485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
    <w:name w:val="Medium List 2 - Accent 4"/>
    <w:basedOn w:val="a3"/>
    <w:uiPriority w:val="66"/>
    <w:semiHidden/>
    <w:unhideWhenUsed/>
    <w:rsid w:val="0028485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
    <w:name w:val="Medium List 2 - Accent 5"/>
    <w:basedOn w:val="a3"/>
    <w:uiPriority w:val="66"/>
    <w:semiHidden/>
    <w:unhideWhenUsed/>
    <w:rsid w:val="0028485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
    <w:name w:val="Medium List 2 - Accent 6"/>
    <w:basedOn w:val="a3"/>
    <w:uiPriority w:val="66"/>
    <w:semiHidden/>
    <w:unhideWhenUsed/>
    <w:rsid w:val="0028485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f8">
    <w:name w:val="רשימה כהה1"/>
    <w:basedOn w:val="a3"/>
    <w:uiPriority w:val="70"/>
    <w:semiHidden/>
    <w:unhideWhenUsed/>
    <w:rsid w:val="0028485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
    <w:name w:val="Dark List - Accent 1"/>
    <w:basedOn w:val="a3"/>
    <w:uiPriority w:val="70"/>
    <w:semiHidden/>
    <w:unhideWhenUsed/>
    <w:rsid w:val="0028485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
    <w:name w:val="Dark List - Accent 2"/>
    <w:basedOn w:val="a3"/>
    <w:uiPriority w:val="70"/>
    <w:semiHidden/>
    <w:unhideWhenUsed/>
    <w:rsid w:val="0028485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
    <w:name w:val="Dark List - Accent 3"/>
    <w:basedOn w:val="a3"/>
    <w:uiPriority w:val="70"/>
    <w:semiHidden/>
    <w:unhideWhenUsed/>
    <w:rsid w:val="0028485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
    <w:name w:val="Dark List - Accent 4"/>
    <w:basedOn w:val="a3"/>
    <w:uiPriority w:val="70"/>
    <w:semiHidden/>
    <w:unhideWhenUsed/>
    <w:rsid w:val="0028485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
    <w:name w:val="Dark List - Accent 5"/>
    <w:basedOn w:val="a3"/>
    <w:uiPriority w:val="70"/>
    <w:semiHidden/>
    <w:unhideWhenUsed/>
    <w:rsid w:val="0028485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
    <w:name w:val="Dark List - Accent 6"/>
    <w:basedOn w:val="a3"/>
    <w:uiPriority w:val="70"/>
    <w:semiHidden/>
    <w:unhideWhenUsed/>
    <w:rsid w:val="0028485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a">
    <w:name w:val="List Number"/>
    <w:basedOn w:val="a1"/>
    <w:rsid w:val="00284859"/>
    <w:pPr>
      <w:numPr>
        <w:numId w:val="1"/>
      </w:numPr>
      <w:contextualSpacing/>
    </w:pPr>
  </w:style>
  <w:style w:type="paragraph" w:styleId="2">
    <w:name w:val="List Number 2"/>
    <w:basedOn w:val="a1"/>
    <w:rsid w:val="00284859"/>
    <w:pPr>
      <w:numPr>
        <w:numId w:val="2"/>
      </w:numPr>
      <w:contextualSpacing/>
    </w:pPr>
  </w:style>
  <w:style w:type="paragraph" w:styleId="3">
    <w:name w:val="List Number 3"/>
    <w:basedOn w:val="a1"/>
    <w:rsid w:val="00284859"/>
    <w:pPr>
      <w:numPr>
        <w:numId w:val="3"/>
      </w:numPr>
      <w:contextualSpacing/>
    </w:pPr>
  </w:style>
  <w:style w:type="paragraph" w:styleId="4">
    <w:name w:val="List Number 4"/>
    <w:basedOn w:val="a1"/>
    <w:rsid w:val="00284859"/>
    <w:pPr>
      <w:numPr>
        <w:numId w:val="4"/>
      </w:numPr>
      <w:contextualSpacing/>
    </w:pPr>
  </w:style>
  <w:style w:type="paragraph" w:styleId="5">
    <w:name w:val="List Number 5"/>
    <w:basedOn w:val="a1"/>
    <w:rsid w:val="00284859"/>
    <w:pPr>
      <w:numPr>
        <w:numId w:val="5"/>
      </w:numPr>
      <w:contextualSpacing/>
    </w:pPr>
  </w:style>
  <w:style w:type="paragraph" w:styleId="a0">
    <w:name w:val="List Bullet"/>
    <w:basedOn w:val="a1"/>
    <w:rsid w:val="00284859"/>
    <w:pPr>
      <w:numPr>
        <w:numId w:val="6"/>
      </w:numPr>
      <w:contextualSpacing/>
    </w:pPr>
  </w:style>
  <w:style w:type="paragraph" w:styleId="20">
    <w:name w:val="List Bullet 2"/>
    <w:basedOn w:val="a1"/>
    <w:rsid w:val="00284859"/>
    <w:pPr>
      <w:numPr>
        <w:numId w:val="7"/>
      </w:numPr>
      <w:contextualSpacing/>
    </w:pPr>
  </w:style>
  <w:style w:type="paragraph" w:styleId="30">
    <w:name w:val="List Bullet 3"/>
    <w:basedOn w:val="a1"/>
    <w:rsid w:val="00284859"/>
    <w:pPr>
      <w:numPr>
        <w:numId w:val="8"/>
      </w:numPr>
      <w:contextualSpacing/>
    </w:pPr>
  </w:style>
  <w:style w:type="paragraph" w:styleId="40">
    <w:name w:val="List Bullet 4"/>
    <w:basedOn w:val="a1"/>
    <w:rsid w:val="00284859"/>
    <w:pPr>
      <w:numPr>
        <w:numId w:val="9"/>
      </w:numPr>
      <w:contextualSpacing/>
    </w:pPr>
  </w:style>
  <w:style w:type="paragraph" w:styleId="50">
    <w:name w:val="List Bullet 5"/>
    <w:basedOn w:val="a1"/>
    <w:rsid w:val="00284859"/>
    <w:pPr>
      <w:numPr>
        <w:numId w:val="10"/>
      </w:numPr>
      <w:contextualSpacing/>
    </w:pPr>
  </w:style>
  <w:style w:type="table" w:customStyle="1" w:styleId="1f9">
    <w:name w:val="רשימה צבעונית1"/>
    <w:basedOn w:val="a3"/>
    <w:uiPriority w:val="72"/>
    <w:semiHidden/>
    <w:unhideWhenUsed/>
    <w:rsid w:val="0028485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
    <w:name w:val="Colorful List - Accent 1"/>
    <w:basedOn w:val="a3"/>
    <w:uiPriority w:val="72"/>
    <w:semiHidden/>
    <w:unhideWhenUsed/>
    <w:rsid w:val="0028485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
    <w:name w:val="Colorful List - Accent 2"/>
    <w:basedOn w:val="a3"/>
    <w:uiPriority w:val="72"/>
    <w:semiHidden/>
    <w:unhideWhenUsed/>
    <w:rsid w:val="00284859"/>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
    <w:name w:val="Colorful List - Accent 3"/>
    <w:basedOn w:val="a3"/>
    <w:uiPriority w:val="72"/>
    <w:semiHidden/>
    <w:unhideWhenUsed/>
    <w:rsid w:val="0028485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
    <w:name w:val="Colorful List - Accent 4"/>
    <w:basedOn w:val="a3"/>
    <w:uiPriority w:val="72"/>
    <w:semiHidden/>
    <w:unhideWhenUsed/>
    <w:rsid w:val="00284859"/>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
    <w:name w:val="Colorful List - Accent 5"/>
    <w:basedOn w:val="a3"/>
    <w:uiPriority w:val="72"/>
    <w:semiHidden/>
    <w:unhideWhenUsed/>
    <w:rsid w:val="0028485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
    <w:name w:val="Colorful List - Accent 6"/>
    <w:basedOn w:val="a3"/>
    <w:uiPriority w:val="72"/>
    <w:semiHidden/>
    <w:unhideWhenUsed/>
    <w:rsid w:val="00284859"/>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4">
    <w:name w:val="table of figures"/>
    <w:basedOn w:val="a1"/>
    <w:next w:val="a1"/>
    <w:rsid w:val="00284859"/>
  </w:style>
  <w:style w:type="paragraph" w:styleId="affff5">
    <w:name w:val="table of authorities"/>
    <w:basedOn w:val="a1"/>
    <w:next w:val="a1"/>
    <w:rsid w:val="00284859"/>
    <w:pPr>
      <w:ind w:left="240" w:hanging="240"/>
    </w:pPr>
  </w:style>
  <w:style w:type="table" w:customStyle="1" w:styleId="1fa">
    <w:name w:val="רשת בהירה1"/>
    <w:basedOn w:val="a3"/>
    <w:uiPriority w:val="62"/>
    <w:semiHidden/>
    <w:unhideWhenUsed/>
    <w:rsid w:val="0028485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
    <w:name w:val="Light Grid - Accent 1"/>
    <w:basedOn w:val="a3"/>
    <w:uiPriority w:val="62"/>
    <w:semiHidden/>
    <w:unhideWhenUsed/>
    <w:rsid w:val="0028485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
    <w:name w:val="Light Grid - Accent 2"/>
    <w:basedOn w:val="a3"/>
    <w:uiPriority w:val="62"/>
    <w:semiHidden/>
    <w:unhideWhenUsed/>
    <w:rsid w:val="0028485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
    <w:name w:val="Light Grid - Accent 3"/>
    <w:basedOn w:val="a3"/>
    <w:uiPriority w:val="62"/>
    <w:semiHidden/>
    <w:unhideWhenUsed/>
    <w:rsid w:val="0028485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
    <w:name w:val="Light Grid - Accent 4"/>
    <w:basedOn w:val="a3"/>
    <w:uiPriority w:val="62"/>
    <w:semiHidden/>
    <w:unhideWhenUsed/>
    <w:rsid w:val="0028485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
    <w:name w:val="Light Grid - Accent 5"/>
    <w:basedOn w:val="a3"/>
    <w:uiPriority w:val="62"/>
    <w:semiHidden/>
    <w:unhideWhenUsed/>
    <w:rsid w:val="0028485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
    <w:name w:val="Light Grid - Accent 6"/>
    <w:basedOn w:val="a3"/>
    <w:uiPriority w:val="62"/>
    <w:semiHidden/>
    <w:unhideWhenUsed/>
    <w:rsid w:val="0028485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Grid1-Accent1">
    <w:name w:val="Medium Grid 1 - Accent 1"/>
    <w:basedOn w:val="a3"/>
    <w:uiPriority w:val="67"/>
    <w:semiHidden/>
    <w:unhideWhenUsed/>
    <w:rsid w:val="0028485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5">
    <w:name w:val="רשת בינונית 11"/>
    <w:basedOn w:val="a3"/>
    <w:uiPriority w:val="67"/>
    <w:semiHidden/>
    <w:unhideWhenUsed/>
    <w:rsid w:val="0028485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2">
    <w:name w:val="Medium Grid 1 - Accent 2"/>
    <w:basedOn w:val="a3"/>
    <w:uiPriority w:val="67"/>
    <w:semiHidden/>
    <w:unhideWhenUsed/>
    <w:rsid w:val="0028485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
    <w:name w:val="Medium Grid 1 - Accent 3"/>
    <w:basedOn w:val="a3"/>
    <w:uiPriority w:val="67"/>
    <w:semiHidden/>
    <w:unhideWhenUsed/>
    <w:rsid w:val="0028485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
    <w:name w:val="Medium Grid 1 - Accent 4"/>
    <w:basedOn w:val="a3"/>
    <w:uiPriority w:val="67"/>
    <w:semiHidden/>
    <w:unhideWhenUsed/>
    <w:rsid w:val="0028485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
    <w:name w:val="Medium Grid 1 - Accent 5"/>
    <w:basedOn w:val="a3"/>
    <w:uiPriority w:val="67"/>
    <w:semiHidden/>
    <w:unhideWhenUsed/>
    <w:rsid w:val="0028485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
    <w:name w:val="Medium Grid 1 - Accent 6"/>
    <w:basedOn w:val="a3"/>
    <w:uiPriority w:val="67"/>
    <w:semiHidden/>
    <w:unhideWhenUsed/>
    <w:rsid w:val="0028485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5">
    <w:name w:val="רשת בינונית 21"/>
    <w:basedOn w:val="a3"/>
    <w:uiPriority w:val="68"/>
    <w:semiHidden/>
    <w:unhideWhenUsed/>
    <w:rsid w:val="0028485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
    <w:name w:val="Medium Grid 2 - Accent 1"/>
    <w:basedOn w:val="a3"/>
    <w:uiPriority w:val="68"/>
    <w:semiHidden/>
    <w:unhideWhenUsed/>
    <w:rsid w:val="0028485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
    <w:name w:val="Medium Grid 2 - Accent 2"/>
    <w:basedOn w:val="a3"/>
    <w:uiPriority w:val="68"/>
    <w:semiHidden/>
    <w:unhideWhenUsed/>
    <w:rsid w:val="0028485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
    <w:name w:val="Medium Grid 2 - Accent 3"/>
    <w:basedOn w:val="a3"/>
    <w:uiPriority w:val="68"/>
    <w:semiHidden/>
    <w:unhideWhenUsed/>
    <w:rsid w:val="0028485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
    <w:name w:val="Medium Grid 2 - Accent 4"/>
    <w:basedOn w:val="a3"/>
    <w:uiPriority w:val="68"/>
    <w:semiHidden/>
    <w:unhideWhenUsed/>
    <w:rsid w:val="0028485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
    <w:name w:val="Medium Grid 2 - Accent 5"/>
    <w:basedOn w:val="a3"/>
    <w:uiPriority w:val="68"/>
    <w:semiHidden/>
    <w:unhideWhenUsed/>
    <w:rsid w:val="0028485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
    <w:name w:val="Medium Grid 2 - Accent 6"/>
    <w:basedOn w:val="a3"/>
    <w:uiPriority w:val="68"/>
    <w:semiHidden/>
    <w:unhideWhenUsed/>
    <w:rsid w:val="0028485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3">
    <w:name w:val="רשת בינונית 31"/>
    <w:basedOn w:val="a3"/>
    <w:uiPriority w:val="69"/>
    <w:semiHidden/>
    <w:unhideWhenUsed/>
    <w:rsid w:val="002848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
    <w:name w:val="Medium Grid 3 - Accent 1"/>
    <w:basedOn w:val="a3"/>
    <w:uiPriority w:val="69"/>
    <w:semiHidden/>
    <w:unhideWhenUsed/>
    <w:rsid w:val="002848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
    <w:name w:val="Medium Grid 3 - Accent 2"/>
    <w:basedOn w:val="a3"/>
    <w:uiPriority w:val="69"/>
    <w:semiHidden/>
    <w:unhideWhenUsed/>
    <w:rsid w:val="002848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
    <w:name w:val="Medium Grid 3 - Accent 3"/>
    <w:basedOn w:val="a3"/>
    <w:uiPriority w:val="69"/>
    <w:semiHidden/>
    <w:unhideWhenUsed/>
    <w:rsid w:val="002848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
    <w:name w:val="Medium Grid 3 - Accent 4"/>
    <w:basedOn w:val="a3"/>
    <w:uiPriority w:val="69"/>
    <w:semiHidden/>
    <w:unhideWhenUsed/>
    <w:rsid w:val="002848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
    <w:name w:val="Medium Grid 3 - Accent 5"/>
    <w:basedOn w:val="a3"/>
    <w:uiPriority w:val="69"/>
    <w:semiHidden/>
    <w:unhideWhenUsed/>
    <w:rsid w:val="002848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
    <w:name w:val="Medium Grid 3 - Accent 6"/>
    <w:basedOn w:val="a3"/>
    <w:uiPriority w:val="69"/>
    <w:semiHidden/>
    <w:unhideWhenUsed/>
    <w:rsid w:val="002848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1fb">
    <w:name w:val="Table Grid 1"/>
    <w:basedOn w:val="a3"/>
    <w:rsid w:val="00284859"/>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3"/>
    <w:rsid w:val="00284859"/>
    <w:pPr>
      <w:bidi/>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3"/>
    <w:rsid w:val="00284859"/>
    <w:pPr>
      <w:bidi/>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3"/>
    <w:rsid w:val="00284859"/>
    <w:pPr>
      <w:bidi/>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rsid w:val="00284859"/>
    <w:pPr>
      <w:bidi/>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rsid w:val="00284859"/>
    <w:pPr>
      <w:bidi/>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rsid w:val="00284859"/>
    <w:pPr>
      <w:bidi/>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rsid w:val="00284859"/>
    <w:pPr>
      <w:bidi/>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
    <w:name w:val="Table Grid Light"/>
    <w:basedOn w:val="a3"/>
    <w:uiPriority w:val="40"/>
    <w:rsid w:val="0028485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fc">
    <w:name w:val="רשת צבעונית1"/>
    <w:basedOn w:val="a3"/>
    <w:uiPriority w:val="73"/>
    <w:semiHidden/>
    <w:unhideWhenUsed/>
    <w:rsid w:val="0028485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
    <w:name w:val="Colorful Grid - Accent 1"/>
    <w:basedOn w:val="a3"/>
    <w:uiPriority w:val="73"/>
    <w:semiHidden/>
    <w:unhideWhenUsed/>
    <w:rsid w:val="00284859"/>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
    <w:name w:val="Colorful Grid - Accent 2"/>
    <w:basedOn w:val="a3"/>
    <w:uiPriority w:val="73"/>
    <w:semiHidden/>
    <w:unhideWhenUsed/>
    <w:rsid w:val="00284859"/>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
    <w:name w:val="Colorful Grid - Accent 3"/>
    <w:basedOn w:val="a3"/>
    <w:uiPriority w:val="73"/>
    <w:semiHidden/>
    <w:unhideWhenUsed/>
    <w:rsid w:val="00284859"/>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
    <w:name w:val="Colorful Grid - Accent 4"/>
    <w:basedOn w:val="a3"/>
    <w:uiPriority w:val="73"/>
    <w:semiHidden/>
    <w:unhideWhenUsed/>
    <w:rsid w:val="00284859"/>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
    <w:name w:val="Colorful Grid - Accent 5"/>
    <w:basedOn w:val="a3"/>
    <w:uiPriority w:val="73"/>
    <w:semiHidden/>
    <w:unhideWhenUsed/>
    <w:rsid w:val="0028485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
    <w:name w:val="Colorful Grid - Accent 6"/>
    <w:basedOn w:val="a3"/>
    <w:uiPriority w:val="73"/>
    <w:semiHidden/>
    <w:unhideWhenUsed/>
    <w:rsid w:val="00284859"/>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affff6">
    <w:name w:val="Date"/>
    <w:basedOn w:val="a1"/>
    <w:next w:val="a1"/>
    <w:link w:val="affff7"/>
    <w:rsid w:val="00284859"/>
  </w:style>
  <w:style w:type="character" w:customStyle="1" w:styleId="affff7">
    <w:name w:val="תאריך תו"/>
    <w:link w:val="affff6"/>
    <w:rsid w:val="00284859"/>
    <w:rPr>
      <w:rFonts w:cs="David"/>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nevo.co.il/law/4480/53a" TargetMode="External"/><Relationship Id="rId18" Type="http://schemas.openxmlformats.org/officeDocument/2006/relationships/hyperlink" Target="http://www.nevo.co.il/law/4480/18.a.1" TargetMode="External"/><Relationship Id="rId26" Type="http://schemas.openxmlformats.org/officeDocument/2006/relationships/hyperlink" Target="http://www.nevo.co.il/law/91073" TargetMode="External"/><Relationship Id="rId39" Type="http://schemas.openxmlformats.org/officeDocument/2006/relationships/hyperlink" Target="http://www.nevo.co.il/law/4484/1" TargetMode="External"/><Relationship Id="rId21" Type="http://schemas.openxmlformats.org/officeDocument/2006/relationships/hyperlink" Target="http://www.nevo.co.il/law/4480/53a.a" TargetMode="External"/><Relationship Id="rId34" Type="http://schemas.openxmlformats.org/officeDocument/2006/relationships/hyperlink" Target="http://www.nevo.co.il/case/28629125" TargetMode="External"/><Relationship Id="rId42" Type="http://schemas.openxmlformats.org/officeDocument/2006/relationships/hyperlink" Target="http://www.nevo.co.il/safrut/bookgroup/360" TargetMode="External"/><Relationship Id="rId47" Type="http://schemas.openxmlformats.org/officeDocument/2006/relationships/hyperlink" Target="http://www.nevo.co.il/law/4484/1" TargetMode="External"/><Relationship Id="rId50" Type="http://schemas.openxmlformats.org/officeDocument/2006/relationships/hyperlink" Target="http://www.nevo.co.il/law/4484/1" TargetMode="External"/><Relationship Id="rId55" Type="http://schemas.openxmlformats.org/officeDocument/2006/relationships/hyperlink" Target="http://www.nevo.co.il/law/157751/64.a" TargetMode="External"/><Relationship Id="rId63" Type="http://schemas.openxmlformats.org/officeDocument/2006/relationships/hyperlink" Target="http://www.nevo.co.il/law/72994" TargetMode="External"/><Relationship Id="rId68" Type="http://schemas.openxmlformats.org/officeDocument/2006/relationships/hyperlink" Target="http://www.nevo.co.il/law/4480/17" TargetMode="External"/><Relationship Id="rId76" Type="http://schemas.openxmlformats.org/officeDocument/2006/relationships/hyperlink" Target="http://www.nevo.co.il/law/4480/53b.b" TargetMode="External"/><Relationship Id="rId84" Type="http://schemas.openxmlformats.org/officeDocument/2006/relationships/header" Target="header2.xml"/><Relationship Id="rId7" Type="http://schemas.openxmlformats.org/officeDocument/2006/relationships/hyperlink" Target="http://www.nevo.co.il/case/29065675" TargetMode="External"/><Relationship Id="rId71" Type="http://schemas.openxmlformats.org/officeDocument/2006/relationships/hyperlink" Target="http://www.nevo.co.il/law/4480/18.a.3" TargetMode="External"/><Relationship Id="rId2" Type="http://schemas.openxmlformats.org/officeDocument/2006/relationships/styles" Target="styles.xml"/><Relationship Id="rId16" Type="http://schemas.openxmlformats.org/officeDocument/2006/relationships/hyperlink" Target="http://www.nevo.co.il/law/4480/53a" TargetMode="External"/><Relationship Id="rId29" Type="http://schemas.openxmlformats.org/officeDocument/2006/relationships/hyperlink" Target="http://www.nevo.co.il/law/4480" TargetMode="External"/><Relationship Id="rId11" Type="http://schemas.openxmlformats.org/officeDocument/2006/relationships/hyperlink" Target="http://www.nevo.co.il/law/74637/3TcS1#00" TargetMode="External"/><Relationship Id="rId24" Type="http://schemas.openxmlformats.org/officeDocument/2006/relationships/hyperlink" Target="http://www.nevo.co.il/law/4480/53b.b" TargetMode="External"/><Relationship Id="rId32" Type="http://schemas.openxmlformats.org/officeDocument/2006/relationships/hyperlink" Target="http://www.nevo.co.il/case/30552291" TargetMode="External"/><Relationship Id="rId37" Type="http://schemas.openxmlformats.org/officeDocument/2006/relationships/hyperlink" Target="http://www.nevo.co.il/case/20625608" TargetMode="External"/><Relationship Id="rId40" Type="http://schemas.openxmlformats.org/officeDocument/2006/relationships/hyperlink" Target="http://www.nevo.co.il/law/74637/1#00" TargetMode="External"/><Relationship Id="rId45" Type="http://schemas.openxmlformats.org/officeDocument/2006/relationships/hyperlink" Target="http://www.nevo.co.il/case/5915095" TargetMode="External"/><Relationship Id="rId53" Type="http://schemas.openxmlformats.org/officeDocument/2006/relationships/hyperlink" Target="http://www.nevo.co.il/case/29128358" TargetMode="External"/><Relationship Id="rId58" Type="http://schemas.openxmlformats.org/officeDocument/2006/relationships/hyperlink" Target="http://www.nevo.co.il/law/98569/29" TargetMode="External"/><Relationship Id="rId66" Type="http://schemas.openxmlformats.org/officeDocument/2006/relationships/hyperlink" Target="http://www.nevo.co.il/law/4480/53b.e.1" TargetMode="External"/><Relationship Id="rId74" Type="http://schemas.openxmlformats.org/officeDocument/2006/relationships/hyperlink" Target="http://www.nevo.co.il/law/4480/g1C" TargetMode="External"/><Relationship Id="rId79" Type="http://schemas.openxmlformats.org/officeDocument/2006/relationships/hyperlink" Target="http://www.nevo.co.il/law/4480/53d"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nevo.co.il/law/4480/7C" TargetMode="External"/><Relationship Id="rId82" Type="http://schemas.openxmlformats.org/officeDocument/2006/relationships/hyperlink" Target="http://www.nevo.co.il/law/4480/53b.b" TargetMode="External"/><Relationship Id="rId19" Type="http://schemas.openxmlformats.org/officeDocument/2006/relationships/hyperlink" Target="http://www.nevo.co.il/law/4480/18.a.3" TargetMode="External"/><Relationship Id="rId4" Type="http://schemas.openxmlformats.org/officeDocument/2006/relationships/webSettings" Target="webSettings.xml"/><Relationship Id="rId9" Type="http://schemas.openxmlformats.org/officeDocument/2006/relationships/hyperlink" Target="http://www.nevo.co.il/law/4480" TargetMode="External"/><Relationship Id="rId14" Type="http://schemas.openxmlformats.org/officeDocument/2006/relationships/hyperlink" Target="http://www.nevo.co.il/law/4480/53b" TargetMode="External"/><Relationship Id="rId22" Type="http://schemas.openxmlformats.org/officeDocument/2006/relationships/hyperlink" Target="http://www.nevo.co.il/law/4480/53b.b" TargetMode="External"/><Relationship Id="rId27" Type="http://schemas.openxmlformats.org/officeDocument/2006/relationships/hyperlink" Target="http://www.nevo.co.il/law/4484/1" TargetMode="External"/><Relationship Id="rId30" Type="http://schemas.openxmlformats.org/officeDocument/2006/relationships/hyperlink" Target="http://www.nevo.co.il/law/4484/1" TargetMode="External"/><Relationship Id="rId35" Type="http://schemas.openxmlformats.org/officeDocument/2006/relationships/hyperlink" Target="http://www.nevo.co.il/case/28774453" TargetMode="External"/><Relationship Id="rId43" Type="http://schemas.openxmlformats.org/officeDocument/2006/relationships/hyperlink" Target="http://www.nevo.co.il/case/5721800" TargetMode="External"/><Relationship Id="rId48" Type="http://schemas.openxmlformats.org/officeDocument/2006/relationships/hyperlink" Target="http://www.nevo.co.il/law/4484/1" TargetMode="External"/><Relationship Id="rId56" Type="http://schemas.openxmlformats.org/officeDocument/2006/relationships/hyperlink" Target="http://www.nevo.co.il/law/157751" TargetMode="External"/><Relationship Id="rId64" Type="http://schemas.openxmlformats.org/officeDocument/2006/relationships/hyperlink" Target="http://www.nevo.co.il/law/4480/53b.b" TargetMode="External"/><Relationship Id="rId69" Type="http://schemas.openxmlformats.org/officeDocument/2006/relationships/hyperlink" Target="http://www.nevo.co.il/law/4480/18.a.1" TargetMode="External"/><Relationship Id="rId77" Type="http://schemas.openxmlformats.org/officeDocument/2006/relationships/hyperlink" Target="http://www.nevo.co.il/law/4480/53b.b" TargetMode="External"/><Relationship Id="rId8" Type="http://schemas.openxmlformats.org/officeDocument/2006/relationships/hyperlink" Target="http://www.nevo.co.il/case/29065675" TargetMode="External"/><Relationship Id="rId51" Type="http://schemas.openxmlformats.org/officeDocument/2006/relationships/hyperlink" Target="http://www.nevo.co.il/law/74637/1#00" TargetMode="External"/><Relationship Id="rId72" Type="http://schemas.openxmlformats.org/officeDocument/2006/relationships/hyperlink" Target="http://www.nevo.co.il/law/4480/21" TargetMode="External"/><Relationship Id="rId80" Type="http://schemas.openxmlformats.org/officeDocument/2006/relationships/hyperlink" Target="http://www.nevo.co.il/law/4480/53b.b"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nevo.co.il/law/74637" TargetMode="External"/><Relationship Id="rId17" Type="http://schemas.openxmlformats.org/officeDocument/2006/relationships/hyperlink" Target="http://www.nevo.co.il/law/4480/17" TargetMode="External"/><Relationship Id="rId25" Type="http://schemas.openxmlformats.org/officeDocument/2006/relationships/hyperlink" Target="http://www.nevo.co.il/law/4480/53d.b" TargetMode="External"/><Relationship Id="rId33" Type="http://schemas.openxmlformats.org/officeDocument/2006/relationships/hyperlink" Target="http://www.nevo.co.il/case/28396251" TargetMode="External"/><Relationship Id="rId38" Type="http://schemas.openxmlformats.org/officeDocument/2006/relationships/hyperlink" Target="http://www.nevo.co.il/case/6726060" TargetMode="External"/><Relationship Id="rId46" Type="http://schemas.openxmlformats.org/officeDocument/2006/relationships/hyperlink" Target="http://www.nevo.co.il/safrut/bookgroup/360" TargetMode="External"/><Relationship Id="rId59" Type="http://schemas.openxmlformats.org/officeDocument/2006/relationships/hyperlink" Target="http://www.nevo.co.il/law/98569" TargetMode="External"/><Relationship Id="rId67" Type="http://schemas.openxmlformats.org/officeDocument/2006/relationships/hyperlink" Target="http://www.nevo.co.il/law/4480/53d.a" TargetMode="External"/><Relationship Id="rId20" Type="http://schemas.openxmlformats.org/officeDocument/2006/relationships/hyperlink" Target="http://www.nevo.co.il/law/4480/21" TargetMode="External"/><Relationship Id="rId41" Type="http://schemas.openxmlformats.org/officeDocument/2006/relationships/hyperlink" Target="http://www.nevo.co.il/case/5851929" TargetMode="External"/><Relationship Id="rId54" Type="http://schemas.openxmlformats.org/officeDocument/2006/relationships/hyperlink" Target="http://www.nevo.co.il/law/74637/1#00" TargetMode="External"/><Relationship Id="rId62" Type="http://schemas.openxmlformats.org/officeDocument/2006/relationships/hyperlink" Target="http://www.nevo.co.il/law/4480/53b.a" TargetMode="External"/><Relationship Id="rId70" Type="http://schemas.openxmlformats.org/officeDocument/2006/relationships/hyperlink" Target="http://www.nevo.co.il/law/4480/53b" TargetMode="External"/><Relationship Id="rId75" Type="http://schemas.openxmlformats.org/officeDocument/2006/relationships/hyperlink" Target="http://www.nevo.co.il/law/4480/53a.a.3a" TargetMode="External"/><Relationship Id="rId83" Type="http://schemas.openxmlformats.org/officeDocument/2006/relationships/header" Target="header1.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evo.co.il/law/4480/3.2" TargetMode="External"/><Relationship Id="rId23" Type="http://schemas.openxmlformats.org/officeDocument/2006/relationships/hyperlink" Target="http://www.nevo.co.il/law/4480/53b.e" TargetMode="External"/><Relationship Id="rId28" Type="http://schemas.openxmlformats.org/officeDocument/2006/relationships/hyperlink" Target="http://www.nevo.co.il/law/74637/3TcS1#00" TargetMode="External"/><Relationship Id="rId36" Type="http://schemas.openxmlformats.org/officeDocument/2006/relationships/hyperlink" Target="http://www.nevo.co.il/case/23237988" TargetMode="External"/><Relationship Id="rId49" Type="http://schemas.openxmlformats.org/officeDocument/2006/relationships/hyperlink" Target="http://www.nevo.co.il/law/74637/1#00" TargetMode="External"/><Relationship Id="rId57" Type="http://schemas.openxmlformats.org/officeDocument/2006/relationships/hyperlink" Target="http://www.nevo.co.il/law/157751/70.a" TargetMode="External"/><Relationship Id="rId10" Type="http://schemas.openxmlformats.org/officeDocument/2006/relationships/hyperlink" Target="http://www.nevo.co.il/law/4480/53a" TargetMode="External"/><Relationship Id="rId31" Type="http://schemas.openxmlformats.org/officeDocument/2006/relationships/hyperlink" Target="http://www.nevo.co.il/case/28669297" TargetMode="External"/><Relationship Id="rId44" Type="http://schemas.openxmlformats.org/officeDocument/2006/relationships/hyperlink" Target="http://www.nevo.co.il/case/5992981" TargetMode="External"/><Relationship Id="rId52" Type="http://schemas.openxmlformats.org/officeDocument/2006/relationships/hyperlink" Target="http://www.nevo.co.il/law/4484/1" TargetMode="External"/><Relationship Id="rId60" Type="http://schemas.openxmlformats.org/officeDocument/2006/relationships/hyperlink" Target="http://www.nevo.co.il/law/98569/32" TargetMode="External"/><Relationship Id="rId65" Type="http://schemas.openxmlformats.org/officeDocument/2006/relationships/hyperlink" Target="http://www.nevo.co.il/law/4480/53a1" TargetMode="External"/><Relationship Id="rId73" Type="http://schemas.openxmlformats.org/officeDocument/2006/relationships/hyperlink" Target="http://www.nevo.co.il/case/5866472" TargetMode="External"/><Relationship Id="rId78" Type="http://schemas.openxmlformats.org/officeDocument/2006/relationships/hyperlink" Target="http://www.nevo.co.il/law/4480/53b.e.1" TargetMode="External"/><Relationship Id="rId81" Type="http://schemas.openxmlformats.org/officeDocument/2006/relationships/hyperlink" Target="http://www.nevo.co.il/law/4480/75a" TargetMode="External"/><Relationship Id="rId86"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5457</Words>
  <Characters>27287</Characters>
  <Application>Microsoft Office Word</Application>
  <DocSecurity>0</DocSecurity>
  <Lines>227</Lines>
  <Paragraphs>65</Paragraphs>
  <ScaleCrop>false</ScaleCrop>
  <Company/>
  <LinksUpToDate>false</LinksUpToDate>
  <CharactersWithSpaces>32679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2024-09-26T02:04:00Z</dcterms:created>
  <dcterms:modified xsi:type="dcterms:W3CDTF">2024-09-26T02:04:00Z</dcterms:modified>
</cp:coreProperties>
</file>