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8820" w:type="dxa"/>
        <w:jc w:val="center"/>
        <w:tblLook w:val="0000" w:firstRow="0" w:lastRow="0" w:firstColumn="0" w:lastColumn="0" w:noHBand="0" w:noVBand="0"/>
      </w:tblPr>
      <w:tblGrid>
        <w:gridCol w:w="743"/>
        <w:gridCol w:w="2506"/>
        <w:gridCol w:w="5472"/>
        <w:gridCol w:w="99"/>
      </w:tblGrid>
      <w:tr w:rsidR="001677A4" w14:paraId="3341654D" w14:textId="77777777" w:rsidTr="0021095F">
        <w:trPr>
          <w:gridAfter w:val="1"/>
          <w:wAfter w:w="99" w:type="dxa"/>
          <w:trHeight w:hRule="exact" w:val="670"/>
          <w:jc w:val="center"/>
        </w:trPr>
        <w:tc>
          <w:tcPr>
            <w:tcW w:w="8721" w:type="dxa"/>
            <w:gridSpan w:val="3"/>
          </w:tcPr>
          <w:p w14:paraId="4510DED5" w14:textId="3817AC77" w:rsidR="0084163C" w:rsidRPr="00744C80" w:rsidRDefault="000E78D6" w:rsidP="00FA5117">
            <w:pPr>
              <w:pStyle w:val="a3"/>
              <w:jc w:val="center"/>
              <w:rPr>
                <w:rFonts w:ascii="Tahoma" w:hAnsi="Tahoma" w:cs="Tahoma"/>
                <w:noProof w:val="0"/>
                <w:color w:val="000080"/>
                <w:rtl/>
              </w:rPr>
            </w:pPr>
            <w:bookmarkStart w:id="0" w:name="LastJudge"/>
            <w:r>
              <w:rPr>
                <w:rtl/>
              </w:rPr>
              <mc:AlternateContent>
                <mc:Choice Requires="wps">
                  <w:drawing>
                    <wp:anchor distT="0" distB="0" distL="114300" distR="114300" simplePos="0" relativeHeight="251658240" behindDoc="0" locked="0" layoutInCell="1" allowOverlap="1" wp14:anchorId="23128E66" wp14:editId="763DB362">
                      <wp:simplePos x="0" y="0"/>
                      <wp:positionH relativeFrom="margin">
                        <wp:align>center</wp:align>
                      </wp:positionH>
                      <wp:positionV relativeFrom="margin">
                        <wp:align>center</wp:align>
                      </wp:positionV>
                      <wp:extent cx="5157470" cy="266700"/>
                      <wp:effectExtent l="0" t="3810" r="0" b="0"/>
                      <wp:wrapNone/>
                      <wp:docPr id="176905254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wps:cNvSpPr>
                            <wps:spPr bwMode="auto">
                              <a:xfrm rot="-2700000">
                                <a:off x="0" y="0"/>
                                <a:ext cx="5157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8E385C" w14:textId="77777777" w:rsidR="0084163C" w:rsidRDefault="0084163C" w:rsidP="0021095F">
                                  <w:pPr>
                                    <w:pStyle w:val="NormalWeb"/>
                                    <w:bidi/>
                                    <w:spacing w:before="0" w:beforeAutospacing="0" w:after="0" w:afterAutospacing="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128E66" id="_x0000_t202" coordsize="21600,21600" o:spt="202" path="m,l,21600r21600,l21600,xe">
                      <v:stroke joinstyle="miter"/>
                      <v:path gradientshapeok="t" o:connecttype="rect"/>
                    </v:shapetype>
                    <v:shape id="Text Box 3" o:spid="_x0000_s1026" type="#_x0000_t202" style="position:absolute;left:0;text-align:left;margin-left:0;margin-top:0;width:406.1pt;height:2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" filled="f" stroked="f">
                      <v:stroke joinstyle="round"/>
                      <o:lock v:ext="edit" aspectratio="t" shapetype="t"/>
                      <v:textbox style="mso-fit-shape-to-text:t">
                        <w:txbxContent>
                          <w:p w14:paraId="648E385C" w14:textId="77777777" w:rsidR="0084163C" w:rsidRDefault="0084163C" w:rsidP="0021095F">
                            <w:pPr>
                              <w:pStyle w:val="NormalWeb"/>
                              <w:bidi/>
                              <w:spacing w:before="0" w:beforeAutospacing="0" w:after="0" w:afterAutospacing="0"/>
                            </w:pPr>
                          </w:p>
                        </w:txbxContent>
                      </v:textbox>
                      <w10:wrap anchorx="margin" anchory="margin"/>
                    </v:shape>
                  </w:pict>
                </mc:Fallback>
              </mc:AlternateContent>
            </w:r>
            <w:r w:rsidR="00000000" w:rsidRPr="00744C80">
              <w:rPr>
                <w:rFonts w:ascii="Tahoma" w:hAnsi="Tahoma" w:cs="Tahoma"/>
                <w:b/>
                <w:bCs/>
                <w:noProof w:val="0"/>
                <w:color w:val="000080"/>
                <w:rtl/>
              </w:rPr>
              <w:t>בית משפט לענייני משפחה בנוף הגליל-נצרת</w:t>
            </w:r>
          </w:p>
        </w:tc>
      </w:tr>
      <w:tr w:rsidR="001677A4" w14:paraId="78BA65F7" w14:textId="77777777" w:rsidTr="0021095F">
        <w:trPr>
          <w:gridAfter w:val="1"/>
          <w:wAfter w:w="99" w:type="dxa"/>
          <w:trHeight w:val="337"/>
          <w:jc w:val="center"/>
        </w:trPr>
        <w:tc>
          <w:tcPr>
            <w:tcW w:w="8721" w:type="dxa"/>
            <w:gridSpan w:val="3"/>
          </w:tcPr>
          <w:p w14:paraId="6ED7FF3B" w14:textId="77777777" w:rsidR="0084163C" w:rsidRPr="00744C80" w:rsidRDefault="00000000" w:rsidP="00FA5117">
            <w:pPr>
              <w:rPr>
                <w:b/>
                <w:bCs/>
                <w:noProof w:val="0"/>
                <w:sz w:val="26"/>
                <w:szCs w:val="26"/>
                <w:rtl/>
              </w:rPr>
            </w:pPr>
            <w:r w:rsidRPr="00744C80">
              <w:rPr>
                <w:b/>
                <w:bCs/>
                <w:noProof w:val="0"/>
                <w:sz w:val="26"/>
                <w:szCs w:val="26"/>
                <w:rtl/>
              </w:rPr>
              <w:t>תמ"ש 8085-03-22 מ</w:t>
            </w:r>
            <w:r w:rsidRPr="00744C80">
              <w:rPr>
                <w:rFonts w:hint="cs"/>
                <w:b/>
                <w:bCs/>
                <w:noProof w:val="0"/>
                <w:sz w:val="26"/>
                <w:szCs w:val="26"/>
                <w:rtl/>
              </w:rPr>
              <w:t xml:space="preserve"> </w:t>
            </w:r>
            <w:r w:rsidRPr="00744C80">
              <w:rPr>
                <w:b/>
                <w:bCs/>
                <w:noProof w:val="0"/>
                <w:sz w:val="26"/>
                <w:szCs w:val="26"/>
                <w:rtl/>
              </w:rPr>
              <w:t>נ' מ</w:t>
            </w:r>
            <w:r w:rsidRPr="00744C80">
              <w:rPr>
                <w:rFonts w:hint="cs"/>
                <w:b/>
                <w:bCs/>
                <w:noProof w:val="0"/>
                <w:sz w:val="26"/>
                <w:szCs w:val="26"/>
                <w:rtl/>
              </w:rPr>
              <w:t xml:space="preserve"> </w:t>
            </w:r>
            <w:r w:rsidRPr="00744C80">
              <w:rPr>
                <w:b/>
                <w:bCs/>
                <w:noProof w:val="0"/>
                <w:sz w:val="26"/>
                <w:szCs w:val="26"/>
                <w:rtl/>
              </w:rPr>
              <w:t>ואח'</w:t>
            </w:r>
          </w:p>
          <w:p w14:paraId="6F67667A" w14:textId="77777777" w:rsidR="0084163C" w:rsidRPr="00744C80" w:rsidRDefault="0084163C" w:rsidP="00FA5117">
            <w:pPr>
              <w:rPr>
                <w:b/>
                <w:bCs/>
                <w:noProof w:val="0"/>
                <w:sz w:val="2"/>
                <w:szCs w:val="2"/>
                <w:rtl/>
              </w:rPr>
            </w:pPr>
          </w:p>
          <w:p w14:paraId="6CD353D3" w14:textId="77777777" w:rsidR="0084163C" w:rsidRPr="00744C80" w:rsidRDefault="00000000" w:rsidP="00FA5117">
            <w:pPr>
              <w:rPr>
                <w:b/>
                <w:bCs/>
                <w:noProof w:val="0"/>
                <w:sz w:val="26"/>
                <w:szCs w:val="26"/>
                <w:rtl/>
              </w:rPr>
            </w:pPr>
            <w:r w:rsidRPr="00744C80">
              <w:rPr>
                <w:rFonts w:hint="cs"/>
                <w:b/>
                <w:bCs/>
                <w:noProof w:val="0"/>
                <w:sz w:val="26"/>
                <w:szCs w:val="26"/>
                <w:rtl/>
              </w:rPr>
              <w:t xml:space="preserve"> </w:t>
            </w:r>
          </w:p>
          <w:p w14:paraId="0243A916" w14:textId="77777777" w:rsidR="0084163C" w:rsidRPr="00744C80" w:rsidRDefault="00000000" w:rsidP="00FA5117">
            <w:pPr>
              <w:rPr>
                <w:b/>
                <w:bCs/>
                <w:noProof w:val="0"/>
                <w:sz w:val="26"/>
                <w:szCs w:val="26"/>
                <w:rtl/>
              </w:rPr>
            </w:pPr>
            <w:r w:rsidRPr="00744C80">
              <w:rPr>
                <w:rFonts w:hint="cs"/>
                <w:sz w:val="20"/>
                <w:szCs w:val="20"/>
                <w:rtl/>
              </w:rPr>
              <w:t xml:space="preserve">תיק חיצוני:   </w:t>
            </w:r>
          </w:p>
        </w:tc>
      </w:tr>
      <w:tr w:rsidR="001677A4" w14:paraId="04A28E2C" w14:textId="77777777" w:rsidTr="0021095F">
        <w:tblPrEx>
          <w:tblLook w:val="01E0" w:firstRow="1" w:lastRow="1" w:firstColumn="1" w:lastColumn="1" w:noHBand="0" w:noVBand="0"/>
        </w:tblPrEx>
        <w:trPr>
          <w:jc w:val="center"/>
        </w:trPr>
        <w:tc>
          <w:tcPr>
            <w:tcW w:w="743" w:type="dxa"/>
          </w:tcPr>
          <w:p w14:paraId="21E69EAF" w14:textId="77777777" w:rsidR="0084163C" w:rsidRPr="004B769B" w:rsidRDefault="00000000" w:rsidP="004B769B">
            <w:pPr>
              <w:spacing w:before="120" w:after="120" w:line="240" w:lineRule="exact"/>
              <w:jc w:val="both"/>
              <w:rPr>
                <w:rFonts w:ascii="Arial (W1)" w:hAnsi="Arial (W1)"/>
                <w:b/>
                <w:bCs/>
                <w:sz w:val="26"/>
                <w:szCs w:val="26"/>
              </w:rPr>
            </w:pPr>
            <w:r w:rsidRPr="004B769B">
              <w:rPr>
                <w:noProof w:val="0"/>
                <w:sz w:val="26"/>
                <w:szCs w:val="26"/>
                <w:rtl/>
              </w:rPr>
              <w:t xml:space="preserve"> </w:t>
            </w:r>
            <w:r w:rsidRPr="004B769B">
              <w:rPr>
                <w:rFonts w:hint="cs"/>
                <w:b/>
                <w:bCs/>
                <w:sz w:val="26"/>
                <w:szCs w:val="26"/>
                <w:rtl/>
              </w:rPr>
              <w:t xml:space="preserve">לפני </w:t>
            </w:r>
          </w:p>
        </w:tc>
        <w:tc>
          <w:tcPr>
            <w:tcW w:w="8077" w:type="dxa"/>
            <w:gridSpan w:val="3"/>
          </w:tcPr>
          <w:p w14:paraId="276263FC" w14:textId="77777777" w:rsidR="0084163C" w:rsidRPr="004B769B" w:rsidRDefault="00000000" w:rsidP="004B769B">
            <w:pPr>
              <w:spacing w:before="120" w:after="120" w:line="240" w:lineRule="exact"/>
              <w:rPr>
                <w:sz w:val="26"/>
                <w:szCs w:val="26"/>
              </w:rPr>
            </w:pPr>
            <w:r w:rsidRPr="004B769B">
              <w:rPr>
                <w:rFonts w:ascii="Arial" w:hAnsi="Arial" w:hint="cs"/>
                <w:b/>
                <w:bCs/>
                <w:sz w:val="26"/>
                <w:szCs w:val="26"/>
                <w:rtl/>
              </w:rPr>
              <w:t>כבוד ה</w:t>
            </w:r>
            <w:r w:rsidRPr="004B769B">
              <w:rPr>
                <w:rFonts w:ascii="Arial" w:hAnsi="Arial"/>
                <w:b/>
                <w:bCs/>
                <w:sz w:val="26"/>
                <w:szCs w:val="26"/>
                <w:rtl/>
              </w:rPr>
              <w:t>שופטת</w:t>
            </w:r>
            <w:r w:rsidRPr="004B769B">
              <w:rPr>
                <w:rFonts w:ascii="Arial" w:hAnsi="Arial" w:hint="cs"/>
                <w:b/>
                <w:bCs/>
                <w:sz w:val="26"/>
                <w:szCs w:val="26"/>
                <w:rtl/>
              </w:rPr>
              <w:t xml:space="preserve">  </w:t>
            </w:r>
            <w:bookmarkStart w:id="1" w:name="_Hlk215061177"/>
            <w:r w:rsidRPr="004B769B">
              <w:rPr>
                <w:rFonts w:ascii="Arial" w:hAnsi="Arial"/>
                <w:b/>
                <w:bCs/>
                <w:sz w:val="26"/>
                <w:szCs w:val="26"/>
                <w:rtl/>
              </w:rPr>
              <w:t>רונית גורביץ</w:t>
            </w:r>
            <w:bookmarkEnd w:id="1"/>
          </w:p>
        </w:tc>
      </w:tr>
      <w:tr w:rsidR="001677A4" w14:paraId="512278DA" w14:textId="77777777" w:rsidTr="0021095F">
        <w:tblPrEx>
          <w:tblLook w:val="01E0" w:firstRow="1" w:lastRow="1" w:firstColumn="1" w:lastColumn="1" w:noHBand="0" w:noVBand="0"/>
        </w:tblPrEx>
        <w:trPr>
          <w:jc w:val="center"/>
        </w:trPr>
        <w:tc>
          <w:tcPr>
            <w:tcW w:w="3249" w:type="dxa"/>
            <w:gridSpan w:val="2"/>
          </w:tcPr>
          <w:p w14:paraId="6B34D65E" w14:textId="77777777" w:rsidR="0084163C" w:rsidRPr="004B769B" w:rsidRDefault="00000000" w:rsidP="004B769B">
            <w:pPr>
              <w:spacing w:before="120" w:after="120" w:line="240" w:lineRule="exact"/>
              <w:rPr>
                <w:rFonts w:ascii="Arial (W1)" w:hAnsi="Arial (W1)"/>
                <w:b/>
                <w:bCs/>
                <w:noProof w:val="0"/>
                <w:sz w:val="26"/>
                <w:szCs w:val="26"/>
              </w:rPr>
            </w:pPr>
            <w:bookmarkStart w:id="2" w:name="FirstAppellant"/>
            <w:bookmarkStart w:id="3" w:name="FirstLawyer"/>
            <w:r w:rsidRPr="004B769B">
              <w:rPr>
                <w:rFonts w:hint="cs"/>
                <w:b/>
                <w:bCs/>
                <w:noProof w:val="0"/>
                <w:sz w:val="26"/>
                <w:szCs w:val="26"/>
                <w:rtl/>
              </w:rPr>
              <w:t>תובעת</w:t>
            </w:r>
          </w:p>
        </w:tc>
        <w:tc>
          <w:tcPr>
            <w:tcW w:w="5571" w:type="dxa"/>
            <w:gridSpan w:val="2"/>
          </w:tcPr>
          <w:p w14:paraId="6510D0AD" w14:textId="77777777" w:rsidR="0084163C" w:rsidRPr="004B769B" w:rsidRDefault="00000000" w:rsidP="004B769B">
            <w:pPr>
              <w:spacing w:before="120" w:after="120" w:line="240" w:lineRule="exact"/>
              <w:rPr>
                <w:rFonts w:ascii="Arial (W1)" w:hAnsi="Arial (W1)"/>
                <w:b/>
                <w:bCs/>
                <w:noProof w:val="0"/>
                <w:sz w:val="26"/>
                <w:szCs w:val="26"/>
              </w:rPr>
            </w:pPr>
            <w:r w:rsidRPr="004B769B">
              <w:rPr>
                <w:rFonts w:hint="cs"/>
                <w:b/>
                <w:bCs/>
                <w:noProof w:val="0"/>
                <w:sz w:val="26"/>
                <w:szCs w:val="26"/>
                <w:rtl/>
              </w:rPr>
              <w:t xml:space="preserve">ש. מ </w:t>
            </w:r>
            <w:r w:rsidRPr="004B769B">
              <w:rPr>
                <w:b/>
                <w:bCs/>
                <w:noProof w:val="0"/>
                <w:sz w:val="26"/>
                <w:szCs w:val="26"/>
                <w:rtl/>
              </w:rPr>
              <w:br/>
            </w:r>
            <w:r w:rsidRPr="004B769B">
              <w:rPr>
                <w:rFonts w:ascii="Arial" w:hAnsi="Arial"/>
                <w:b/>
                <w:bCs/>
                <w:noProof w:val="0"/>
                <w:sz w:val="26"/>
                <w:szCs w:val="26"/>
                <w:rtl/>
              </w:rPr>
              <w:t>ע"י ב"כ עוה"ד</w:t>
            </w:r>
            <w:r w:rsidRPr="004B769B">
              <w:rPr>
                <w:rFonts w:ascii="Arial (W1)" w:hAnsi="Arial (W1)" w:hint="cs"/>
                <w:b/>
                <w:bCs/>
                <w:noProof w:val="0"/>
                <w:sz w:val="26"/>
                <w:szCs w:val="26"/>
                <w:rtl/>
              </w:rPr>
              <w:t xml:space="preserve"> סמר דאהר-ח'ורי</w:t>
            </w:r>
          </w:p>
        </w:tc>
      </w:tr>
      <w:bookmarkEnd w:id="2"/>
      <w:bookmarkEnd w:id="3"/>
      <w:tr w:rsidR="001677A4" w14:paraId="6E872B34" w14:textId="77777777" w:rsidTr="0021095F">
        <w:tblPrEx>
          <w:tblLook w:val="01E0" w:firstRow="1" w:lastRow="1" w:firstColumn="1" w:lastColumn="1" w:noHBand="0" w:noVBand="0"/>
        </w:tblPrEx>
        <w:trPr>
          <w:jc w:val="center"/>
        </w:trPr>
        <w:tc>
          <w:tcPr>
            <w:tcW w:w="8820" w:type="dxa"/>
            <w:gridSpan w:val="4"/>
          </w:tcPr>
          <w:p w14:paraId="328334A3" w14:textId="77777777" w:rsidR="0084163C" w:rsidRPr="004B769B" w:rsidRDefault="00000000" w:rsidP="004B769B">
            <w:pPr>
              <w:spacing w:before="240" w:after="240" w:line="240" w:lineRule="exact"/>
              <w:jc w:val="center"/>
              <w:rPr>
                <w:rFonts w:ascii="Arial (W1)" w:hAnsi="Arial (W1)"/>
                <w:b/>
                <w:bCs/>
                <w:noProof w:val="0"/>
                <w:sz w:val="26"/>
                <w:szCs w:val="26"/>
              </w:rPr>
            </w:pPr>
            <w:r w:rsidRPr="004B769B">
              <w:rPr>
                <w:rFonts w:hint="cs"/>
                <w:b/>
                <w:bCs/>
                <w:noProof w:val="0"/>
                <w:sz w:val="26"/>
                <w:szCs w:val="26"/>
                <w:rtl/>
              </w:rPr>
              <w:t>נגד</w:t>
            </w:r>
          </w:p>
        </w:tc>
      </w:tr>
      <w:tr w:rsidR="001677A4" w14:paraId="46711CEC" w14:textId="77777777" w:rsidTr="0021095F">
        <w:tblPrEx>
          <w:tblLook w:val="01E0" w:firstRow="1" w:lastRow="1" w:firstColumn="1" w:lastColumn="1" w:noHBand="0" w:noVBand="0"/>
        </w:tblPrEx>
        <w:trPr>
          <w:jc w:val="center"/>
        </w:trPr>
        <w:tc>
          <w:tcPr>
            <w:tcW w:w="3249" w:type="dxa"/>
            <w:gridSpan w:val="2"/>
          </w:tcPr>
          <w:p w14:paraId="52914980" w14:textId="77777777" w:rsidR="0084163C" w:rsidRPr="004B769B" w:rsidRDefault="00000000" w:rsidP="004B769B">
            <w:pPr>
              <w:spacing w:before="120" w:after="120" w:line="240" w:lineRule="exact"/>
              <w:rPr>
                <w:rFonts w:ascii="Arial (W1)" w:hAnsi="Arial (W1)"/>
                <w:b/>
                <w:bCs/>
                <w:noProof w:val="0"/>
                <w:sz w:val="26"/>
                <w:szCs w:val="26"/>
              </w:rPr>
            </w:pPr>
            <w:r w:rsidRPr="004B769B">
              <w:rPr>
                <w:rFonts w:hint="cs"/>
                <w:b/>
                <w:bCs/>
                <w:noProof w:val="0"/>
                <w:sz w:val="26"/>
                <w:szCs w:val="26"/>
                <w:rtl/>
              </w:rPr>
              <w:t>נתבעים</w:t>
            </w:r>
          </w:p>
        </w:tc>
        <w:tc>
          <w:tcPr>
            <w:tcW w:w="5571" w:type="dxa"/>
            <w:gridSpan w:val="2"/>
          </w:tcPr>
          <w:p w14:paraId="2ABD84A6" w14:textId="77777777" w:rsidR="0084163C" w:rsidRPr="004B769B" w:rsidRDefault="00000000" w:rsidP="004B769B">
            <w:pPr>
              <w:spacing w:before="120" w:after="120" w:line="240" w:lineRule="exact"/>
              <w:rPr>
                <w:rFonts w:ascii="Arial (W1)" w:hAnsi="Arial (W1)"/>
                <w:b/>
                <w:bCs/>
                <w:noProof w:val="0"/>
                <w:sz w:val="26"/>
                <w:szCs w:val="26"/>
              </w:rPr>
            </w:pPr>
            <w:r w:rsidRPr="004B769B">
              <w:rPr>
                <w:rFonts w:hint="cs"/>
                <w:b/>
                <w:bCs/>
                <w:noProof w:val="0"/>
                <w:sz w:val="26"/>
                <w:szCs w:val="26"/>
                <w:rtl/>
              </w:rPr>
              <w:t xml:space="preserve">1.ע.מ </w:t>
            </w:r>
          </w:p>
          <w:p w14:paraId="4396A347" w14:textId="77777777" w:rsidR="0084163C" w:rsidRPr="004B769B" w:rsidRDefault="00000000" w:rsidP="004B769B">
            <w:pPr>
              <w:spacing w:before="120" w:after="120" w:line="240" w:lineRule="exact"/>
              <w:rPr>
                <w:rFonts w:ascii="Arial (W1)" w:hAnsi="Arial (W1)"/>
                <w:b/>
                <w:bCs/>
                <w:noProof w:val="0"/>
                <w:sz w:val="26"/>
                <w:szCs w:val="26"/>
              </w:rPr>
            </w:pPr>
            <w:r w:rsidRPr="004B769B">
              <w:rPr>
                <w:rFonts w:hint="cs"/>
                <w:b/>
                <w:bCs/>
                <w:noProof w:val="0"/>
                <w:sz w:val="26"/>
                <w:szCs w:val="26"/>
                <w:rtl/>
              </w:rPr>
              <w:t xml:space="preserve">2.ח.ח </w:t>
            </w:r>
          </w:p>
          <w:p w14:paraId="0502C5DF" w14:textId="77777777" w:rsidR="0084163C" w:rsidRPr="004B769B" w:rsidRDefault="00000000" w:rsidP="004B769B">
            <w:pPr>
              <w:spacing w:before="120" w:after="120" w:line="240" w:lineRule="exact"/>
              <w:rPr>
                <w:sz w:val="26"/>
                <w:szCs w:val="26"/>
                <w:rtl/>
              </w:rPr>
            </w:pPr>
            <w:r w:rsidRPr="004B769B">
              <w:rPr>
                <w:rFonts w:hint="cs"/>
                <w:b/>
                <w:bCs/>
                <w:noProof w:val="0"/>
                <w:sz w:val="26"/>
                <w:szCs w:val="26"/>
                <w:rtl/>
              </w:rPr>
              <w:t xml:space="preserve">3.בנק הפועלים בע"מ </w:t>
            </w:r>
            <w:r w:rsidRPr="004B769B">
              <w:rPr>
                <w:rFonts w:hint="eastAsia"/>
                <w:b/>
                <w:bCs/>
                <w:noProof w:val="0"/>
                <w:sz w:val="26"/>
                <w:szCs w:val="26"/>
                <w:rtl/>
              </w:rPr>
              <w:t>חברות</w:t>
            </w:r>
            <w:r w:rsidRPr="004B769B">
              <w:rPr>
                <w:rFonts w:hint="cs"/>
                <w:b/>
                <w:bCs/>
                <w:noProof w:val="0"/>
                <w:sz w:val="26"/>
                <w:szCs w:val="26"/>
                <w:rtl/>
              </w:rPr>
              <w:t xml:space="preserve"> </w:t>
            </w:r>
            <w:r w:rsidRPr="004B769B">
              <w:rPr>
                <w:rFonts w:hint="eastAsia"/>
                <w:b/>
                <w:bCs/>
                <w:noProof w:val="0"/>
                <w:sz w:val="26"/>
                <w:szCs w:val="26"/>
                <w:rtl/>
              </w:rPr>
              <w:t>520000118</w:t>
            </w:r>
            <w:r w:rsidRPr="004B769B">
              <w:rPr>
                <w:rFonts w:hint="cs"/>
                <w:sz w:val="26"/>
                <w:szCs w:val="26"/>
                <w:rtl/>
              </w:rPr>
              <w:t xml:space="preserve"> </w:t>
            </w:r>
          </w:p>
          <w:p w14:paraId="566D9EC7" w14:textId="77777777" w:rsidR="0084163C" w:rsidRPr="004B769B" w:rsidRDefault="00000000" w:rsidP="004B769B">
            <w:pPr>
              <w:spacing w:before="120" w:after="120" w:line="240" w:lineRule="exact"/>
              <w:rPr>
                <w:rFonts w:ascii="Arial (W1)" w:hAnsi="Arial (W1)"/>
                <w:b/>
                <w:bCs/>
                <w:noProof w:val="0"/>
                <w:sz w:val="26"/>
                <w:szCs w:val="26"/>
              </w:rPr>
            </w:pPr>
            <w:r w:rsidRPr="004B769B">
              <w:rPr>
                <w:rFonts w:ascii="Arial" w:hAnsi="Arial" w:hint="cs"/>
                <w:b/>
                <w:bCs/>
                <w:sz w:val="26"/>
                <w:szCs w:val="26"/>
                <w:rtl/>
              </w:rPr>
              <w:t xml:space="preserve">שניהם ע"י </w:t>
            </w:r>
            <w:r w:rsidRPr="004B769B">
              <w:rPr>
                <w:rFonts w:ascii="Arial" w:hAnsi="Arial"/>
                <w:b/>
                <w:bCs/>
                <w:noProof w:val="0"/>
                <w:sz w:val="26"/>
                <w:szCs w:val="26"/>
                <w:rtl/>
              </w:rPr>
              <w:t>ב"כ עוה"ד</w:t>
            </w:r>
            <w:r w:rsidRPr="004B769B">
              <w:rPr>
                <w:rFonts w:ascii="Arial (W1)" w:hAnsi="Arial (W1)" w:hint="cs"/>
                <w:b/>
                <w:bCs/>
                <w:noProof w:val="0"/>
                <w:sz w:val="26"/>
                <w:szCs w:val="26"/>
                <w:rtl/>
              </w:rPr>
              <w:t xml:space="preserve"> נועם רם</w:t>
            </w:r>
          </w:p>
        </w:tc>
      </w:tr>
    </w:tbl>
    <w:p w14:paraId="7C6F6166" w14:textId="77777777" w:rsidR="0084163C" w:rsidRPr="004B769B" w:rsidRDefault="0084163C" w:rsidP="004B769B">
      <w:pPr>
        <w:suppressLineNumbers/>
        <w:spacing w:before="120" w:after="120" w:line="240" w:lineRule="exact"/>
        <w:rPr>
          <w:rFonts w:ascii="Arial (W1)" w:hAnsi="Arial (W1)"/>
          <w:sz w:val="26"/>
          <w:szCs w:val="26"/>
          <w:rtl/>
        </w:rPr>
      </w:pPr>
    </w:p>
    <w:p w14:paraId="00DEF74B" w14:textId="77777777" w:rsidR="00D534E7" w:rsidRPr="004B769B" w:rsidRDefault="00D534E7" w:rsidP="004B769B">
      <w:pPr>
        <w:suppressLineNumbers/>
        <w:spacing w:after="120" w:line="240" w:lineRule="exact"/>
        <w:ind w:left="283" w:hanging="283"/>
        <w:jc w:val="both"/>
      </w:pPr>
      <w:bookmarkStart w:id="4" w:name="Links_Start"/>
      <w:bookmarkStart w:id="5" w:name="ABSTRACT_END"/>
      <w:bookmarkEnd w:id="4"/>
      <w:bookmarkEnd w:id="5"/>
    </w:p>
    <w:tbl>
      <w:tblPr>
        <w:bidiVisual/>
        <w:tblW w:w="8820" w:type="dxa"/>
        <w:jc w:val="center"/>
        <w:tblLook w:val="01E0" w:firstRow="1" w:lastRow="1" w:firstColumn="1" w:lastColumn="1" w:noHBand="0" w:noVBand="0"/>
      </w:tblPr>
      <w:tblGrid>
        <w:gridCol w:w="8820"/>
      </w:tblGrid>
      <w:tr w:rsidR="001677A4" w14:paraId="14DD0A45" w14:textId="77777777" w:rsidTr="0084163C">
        <w:trPr>
          <w:jc w:val="center"/>
        </w:trPr>
        <w:tc>
          <w:tcPr>
            <w:tcW w:w="8820" w:type="dxa"/>
          </w:tcPr>
          <w:p w14:paraId="04C1AB80" w14:textId="77777777" w:rsidR="0084163C" w:rsidRPr="00744C80" w:rsidRDefault="00744C80" w:rsidP="00744C80">
            <w:pPr>
              <w:bidi w:val="0"/>
              <w:jc w:val="center"/>
              <w:rPr>
                <w:rFonts w:ascii="Arial" w:hAnsi="Arial"/>
                <w:b/>
                <w:bCs/>
                <w:noProof w:val="0"/>
                <w:sz w:val="28"/>
                <w:szCs w:val="28"/>
                <w:u w:val="single"/>
              </w:rPr>
            </w:pPr>
            <w:bookmarkStart w:id="6" w:name="PsakDin" w:colFirst="0" w:colLast="0"/>
            <w:bookmarkEnd w:id="0"/>
            <w:r w:rsidRPr="00744C80">
              <w:rPr>
                <w:rFonts w:ascii="Arial" w:hAnsi="Arial"/>
                <w:b/>
                <w:bCs/>
                <w:noProof w:val="0"/>
                <w:sz w:val="28"/>
                <w:szCs w:val="28"/>
                <w:u w:val="single"/>
                <w:rtl/>
              </w:rPr>
              <w:t>פסק דין</w:t>
            </w:r>
          </w:p>
        </w:tc>
      </w:tr>
      <w:bookmarkEnd w:id="6"/>
    </w:tbl>
    <w:p w14:paraId="7EDFC3F3" w14:textId="77777777" w:rsidR="0084163C" w:rsidRDefault="0084163C" w:rsidP="0084163C">
      <w:pPr>
        <w:spacing w:line="360" w:lineRule="auto"/>
        <w:jc w:val="both"/>
        <w:rPr>
          <w:rFonts w:ascii="Arial" w:hAnsi="Arial"/>
          <w:noProof w:val="0"/>
          <w:rtl/>
        </w:rPr>
      </w:pPr>
    </w:p>
    <w:p w14:paraId="696D3BC4" w14:textId="77777777" w:rsidR="0084163C" w:rsidRPr="0084163C" w:rsidRDefault="00000000" w:rsidP="0084163C">
      <w:pPr>
        <w:spacing w:after="160" w:line="360" w:lineRule="auto"/>
        <w:jc w:val="both"/>
        <w:rPr>
          <w:rFonts w:ascii="David" w:eastAsia="Aptos" w:hAnsi="David"/>
          <w:noProof w:val="0"/>
          <w:kern w:val="2"/>
        </w:rPr>
      </w:pPr>
      <w:r w:rsidRPr="0084163C">
        <w:rPr>
          <w:rFonts w:ascii="David" w:eastAsia="Aptos" w:hAnsi="David"/>
          <w:noProof w:val="0"/>
          <w:kern w:val="2"/>
          <w:rtl/>
        </w:rPr>
        <w:t xml:space="preserve">התביעה עוסקת בתחרות בין זכויות – הצהרה על זכות האישה למחצית זכויות במקרקעין הרשומים ע"ש בעלה מכוח הלכת השיתוף אל מול זכות משכון רשומה של הבנק. </w:t>
      </w:r>
    </w:p>
    <w:p w14:paraId="1E9AAF3D" w14:textId="77777777" w:rsidR="0084163C" w:rsidRPr="0084163C" w:rsidRDefault="00000000" w:rsidP="0084163C">
      <w:pPr>
        <w:spacing w:after="160" w:line="360" w:lineRule="auto"/>
        <w:ind w:firstLine="360"/>
        <w:jc w:val="both"/>
        <w:rPr>
          <w:rFonts w:ascii="David" w:eastAsia="Aptos" w:hAnsi="David"/>
          <w:b/>
          <w:bCs/>
          <w:noProof w:val="0"/>
          <w:kern w:val="2"/>
          <w:u w:val="single"/>
          <w:rtl/>
        </w:rPr>
      </w:pPr>
      <w:r w:rsidRPr="0084163C">
        <w:rPr>
          <w:rFonts w:ascii="David" w:eastAsia="Aptos" w:hAnsi="David"/>
          <w:b/>
          <w:bCs/>
          <w:noProof w:val="0"/>
          <w:kern w:val="2"/>
          <w:u w:val="single"/>
          <w:rtl/>
        </w:rPr>
        <w:t>א</w:t>
      </w:r>
      <w:r w:rsidRPr="0084163C">
        <w:rPr>
          <w:rFonts w:ascii="David" w:eastAsia="Aptos" w:hAnsi="David"/>
          <w:b/>
          <w:bCs/>
          <w:noProof w:val="0"/>
          <w:kern w:val="2"/>
          <w:u w:val="single"/>
          <w:rtl/>
        </w:rPr>
        <w:tab/>
        <w:t>רקע</w:t>
      </w:r>
    </w:p>
    <w:p w14:paraId="2F417341"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tl/>
        </w:rPr>
      </w:pPr>
      <w:r w:rsidRPr="0084163C">
        <w:rPr>
          <w:rFonts w:ascii="David" w:eastAsia="Aptos" w:hAnsi="David"/>
          <w:noProof w:val="0"/>
          <w:kern w:val="2"/>
          <w:rtl/>
        </w:rPr>
        <w:t>בני הזוג נישאו בשנת 1990 ופרודים מ 02/2021 (להלן :"</w:t>
      </w:r>
      <w:r w:rsidRPr="0084163C">
        <w:rPr>
          <w:rFonts w:ascii="David" w:eastAsia="Aptos" w:hAnsi="David"/>
          <w:b/>
          <w:bCs/>
          <w:noProof w:val="0"/>
          <w:kern w:val="2"/>
          <w:rtl/>
        </w:rPr>
        <w:t>התובעת</w:t>
      </w:r>
      <w:r w:rsidRPr="0084163C">
        <w:rPr>
          <w:rFonts w:ascii="David" w:eastAsia="Aptos" w:hAnsi="David"/>
          <w:noProof w:val="0"/>
          <w:kern w:val="2"/>
          <w:rtl/>
        </w:rPr>
        <w:t>" ו- "</w:t>
      </w:r>
      <w:r w:rsidRPr="0084163C">
        <w:rPr>
          <w:rFonts w:ascii="David" w:eastAsia="Aptos" w:hAnsi="David"/>
          <w:b/>
          <w:bCs/>
          <w:noProof w:val="0"/>
          <w:kern w:val="2"/>
          <w:rtl/>
        </w:rPr>
        <w:t>הבעל</w:t>
      </w:r>
      <w:r w:rsidRPr="0084163C">
        <w:rPr>
          <w:rFonts w:ascii="David" w:eastAsia="Aptos" w:hAnsi="David"/>
          <w:noProof w:val="0"/>
          <w:kern w:val="2"/>
          <w:rtl/>
        </w:rPr>
        <w:t>")</w:t>
      </w:r>
    </w:p>
    <w:p w14:paraId="7CEF5203"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 xml:space="preserve">הנכס נשוא המחלוקת מגרש בחלקה </w:t>
      </w:r>
      <w:r w:rsidRPr="0084163C">
        <w:rPr>
          <w:rFonts w:ascii="David" w:eastAsia="Aptos" w:hAnsi="David" w:hint="cs"/>
          <w:noProof w:val="0"/>
          <w:kern w:val="2"/>
          <w:rtl/>
        </w:rPr>
        <w:t>...</w:t>
      </w:r>
      <w:r w:rsidRPr="0084163C">
        <w:rPr>
          <w:rFonts w:ascii="David" w:eastAsia="Aptos" w:hAnsi="David"/>
          <w:noProof w:val="0"/>
          <w:kern w:val="2"/>
          <w:rtl/>
        </w:rPr>
        <w:t xml:space="preserve"> גוש </w:t>
      </w:r>
      <w:r w:rsidRPr="0084163C">
        <w:rPr>
          <w:rFonts w:ascii="David" w:eastAsia="Aptos" w:hAnsi="David" w:hint="cs"/>
          <w:noProof w:val="0"/>
          <w:kern w:val="2"/>
          <w:rtl/>
        </w:rPr>
        <w:t>...</w:t>
      </w:r>
      <w:r w:rsidRPr="0084163C">
        <w:rPr>
          <w:rFonts w:ascii="David" w:eastAsia="Aptos" w:hAnsi="David"/>
          <w:noProof w:val="0"/>
          <w:kern w:val="2"/>
          <w:rtl/>
        </w:rPr>
        <w:t xml:space="preserve"> כפר </w:t>
      </w:r>
      <w:r w:rsidRPr="0084163C">
        <w:rPr>
          <w:rFonts w:ascii="David" w:eastAsia="Aptos" w:hAnsi="David" w:hint="cs"/>
          <w:noProof w:val="0"/>
          <w:kern w:val="2"/>
          <w:rtl/>
        </w:rPr>
        <w:t>...</w:t>
      </w:r>
      <w:r w:rsidRPr="0084163C">
        <w:rPr>
          <w:rFonts w:ascii="David" w:eastAsia="Aptos" w:hAnsi="David"/>
          <w:noProof w:val="0"/>
          <w:kern w:val="2"/>
          <w:rtl/>
        </w:rPr>
        <w:t xml:space="preserve"> (להלן</w:t>
      </w:r>
      <w:r w:rsidRPr="0084163C">
        <w:rPr>
          <w:rFonts w:ascii="David" w:eastAsia="Aptos" w:hAnsi="David"/>
          <w:b/>
          <w:bCs/>
          <w:noProof w:val="0"/>
          <w:kern w:val="2"/>
          <w:rtl/>
        </w:rPr>
        <w:t>:</w:t>
      </w:r>
      <w:r w:rsidRPr="0084163C">
        <w:rPr>
          <w:rFonts w:ascii="David" w:eastAsia="Aptos" w:hAnsi="David"/>
          <w:b/>
          <w:bCs/>
          <w:noProof w:val="0"/>
          <w:kern w:val="2"/>
        </w:rPr>
        <w:t xml:space="preserve"> </w:t>
      </w:r>
      <w:r w:rsidRPr="0084163C">
        <w:rPr>
          <w:rFonts w:ascii="David" w:eastAsia="Aptos" w:hAnsi="David"/>
          <w:b/>
          <w:bCs/>
          <w:noProof w:val="0"/>
          <w:kern w:val="2"/>
          <w:rtl/>
        </w:rPr>
        <w:t>"המקרקעין"/ "המגרש"</w:t>
      </w:r>
      <w:r w:rsidRPr="0084163C">
        <w:rPr>
          <w:rFonts w:ascii="David" w:eastAsia="Aptos" w:hAnsi="David"/>
          <w:noProof w:val="0"/>
          <w:kern w:val="2"/>
          <w:rtl/>
        </w:rPr>
        <w:t>).</w:t>
      </w:r>
    </w:p>
    <w:p w14:paraId="042A2F49"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 xml:space="preserve">המקרקעין נרכשו ביום </w:t>
      </w:r>
      <w:r w:rsidRPr="0084163C">
        <w:rPr>
          <w:rFonts w:ascii="David" w:eastAsia="Aptos" w:hAnsi="David" w:hint="cs"/>
          <w:noProof w:val="0"/>
          <w:kern w:val="2"/>
          <w:rtl/>
        </w:rPr>
        <w:t>09.-</w:t>
      </w:r>
      <w:r w:rsidRPr="0084163C">
        <w:rPr>
          <w:rFonts w:ascii="David" w:eastAsia="Aptos" w:hAnsi="David"/>
          <w:noProof w:val="0"/>
          <w:kern w:val="2"/>
          <w:rtl/>
        </w:rPr>
        <w:t xml:space="preserve"> ונרשמו על שם הבעל ואינם משמשים למגורים.</w:t>
      </w:r>
    </w:p>
    <w:p w14:paraId="6164B01A"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 xml:space="preserve">על זכויות הבעל במקרקעין נרשם משכון לטובת בנק הפועלים להבטחת אשראים בחשבון בנק עסקי שניהל אצל הבנק. </w:t>
      </w:r>
    </w:p>
    <w:p w14:paraId="6EC4B234"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הבעל לא פרע את האשראי שקיבל וביום 4.8.19 הבנק הגיש בקשה למימוש משכון בתיק הוצל"פ ומונה כונס נכסים למימוש המשכון.</w:t>
      </w:r>
    </w:p>
    <w:p w14:paraId="0AF57027"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התובעת טוענת למחצית זכויות הבעלות במקרקעין.</w:t>
      </w:r>
    </w:p>
    <w:p w14:paraId="04DC3401" w14:textId="77777777" w:rsidR="0084163C" w:rsidRPr="00002793" w:rsidRDefault="00000000" w:rsidP="0084163C">
      <w:pPr>
        <w:numPr>
          <w:ilvl w:val="0"/>
          <w:numId w:val="1"/>
        </w:numPr>
        <w:spacing w:after="160" w:line="360" w:lineRule="auto"/>
        <w:contextualSpacing/>
        <w:jc w:val="both"/>
        <w:rPr>
          <w:rFonts w:ascii="David" w:eastAsia="David" w:hAnsi="David"/>
          <w:noProof w:val="0"/>
        </w:rPr>
      </w:pPr>
      <w:r w:rsidRPr="0084163C">
        <w:rPr>
          <w:rFonts w:ascii="David" w:eastAsia="Aptos" w:hAnsi="David"/>
          <w:noProof w:val="0"/>
          <w:kern w:val="2"/>
          <w:rtl/>
        </w:rPr>
        <w:t xml:space="preserve">ביום 19.9.22 ניתן פסק דין כנגד הבעל שלא הגיש כתב הגנה ואף לא התייצב לדיון הקבוע, ונקבע כי הוא </w:t>
      </w:r>
      <w:r w:rsidRPr="00002793">
        <w:rPr>
          <w:rFonts w:ascii="David" w:eastAsia="David" w:hAnsi="David"/>
          <w:noProof w:val="0"/>
          <w:rtl/>
        </w:rPr>
        <w:t xml:space="preserve">חל במערכת היחסים בין בני הזוג  ואינו תקף כלפי הבנק ואף  לא ניתן לעשות שימוש בפס"ד כנגד הבנק  לצורך רישום בטאבו או בכל רשות אחרת. </w:t>
      </w:r>
    </w:p>
    <w:p w14:paraId="0EC3C7CF"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tl/>
        </w:rPr>
      </w:pPr>
      <w:r w:rsidRPr="0084163C">
        <w:rPr>
          <w:rFonts w:ascii="David" w:eastAsia="Aptos" w:hAnsi="David"/>
          <w:noProof w:val="0"/>
          <w:kern w:val="2"/>
          <w:rtl/>
        </w:rPr>
        <w:t>ביום 13.3.22 צורף הבנק כנתבע.</w:t>
      </w:r>
    </w:p>
    <w:p w14:paraId="07D50195"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ביום 7.3.22 עוכבו ההליכים בתיק ההוצל"פ.</w:t>
      </w:r>
    </w:p>
    <w:p w14:paraId="11AA5925" w14:textId="77777777" w:rsidR="0084163C" w:rsidRPr="0084163C" w:rsidRDefault="0084163C" w:rsidP="0084163C">
      <w:pPr>
        <w:spacing w:after="160" w:line="360" w:lineRule="auto"/>
        <w:ind w:left="720"/>
        <w:contextualSpacing/>
        <w:jc w:val="both"/>
        <w:rPr>
          <w:rFonts w:ascii="David" w:eastAsia="Aptos" w:hAnsi="David"/>
          <w:noProof w:val="0"/>
          <w:kern w:val="2"/>
          <w:rtl/>
        </w:rPr>
      </w:pPr>
    </w:p>
    <w:p w14:paraId="4F2A93C4" w14:textId="77777777" w:rsidR="0084163C" w:rsidRPr="0084163C" w:rsidRDefault="0084163C" w:rsidP="0084163C">
      <w:pPr>
        <w:spacing w:after="160" w:line="360" w:lineRule="auto"/>
        <w:ind w:left="720"/>
        <w:contextualSpacing/>
        <w:jc w:val="both"/>
        <w:rPr>
          <w:rFonts w:ascii="David" w:eastAsia="Aptos" w:hAnsi="David"/>
          <w:noProof w:val="0"/>
          <w:kern w:val="2"/>
          <w:rtl/>
        </w:rPr>
      </w:pPr>
    </w:p>
    <w:p w14:paraId="2F73B04E" w14:textId="77777777" w:rsidR="0084163C" w:rsidRPr="0084163C" w:rsidRDefault="0084163C" w:rsidP="0084163C">
      <w:pPr>
        <w:spacing w:after="160" w:line="360" w:lineRule="auto"/>
        <w:ind w:left="720"/>
        <w:contextualSpacing/>
        <w:jc w:val="both"/>
        <w:rPr>
          <w:rFonts w:ascii="David" w:eastAsia="Aptos" w:hAnsi="David"/>
          <w:noProof w:val="0"/>
          <w:kern w:val="2"/>
          <w:rtl/>
        </w:rPr>
      </w:pPr>
    </w:p>
    <w:p w14:paraId="043F5B9C" w14:textId="77777777" w:rsidR="0084163C" w:rsidRPr="0084163C" w:rsidRDefault="0084163C" w:rsidP="0084163C">
      <w:pPr>
        <w:spacing w:after="160" w:line="360" w:lineRule="auto"/>
        <w:ind w:left="720"/>
        <w:contextualSpacing/>
        <w:jc w:val="both"/>
        <w:rPr>
          <w:rFonts w:ascii="David" w:eastAsia="Aptos" w:hAnsi="David"/>
          <w:noProof w:val="0"/>
          <w:kern w:val="2"/>
          <w:rtl/>
        </w:rPr>
      </w:pPr>
    </w:p>
    <w:p w14:paraId="0DAA16CA" w14:textId="77777777" w:rsidR="0084163C" w:rsidRPr="0084163C" w:rsidRDefault="0084163C" w:rsidP="0084163C">
      <w:pPr>
        <w:spacing w:after="160" w:line="360" w:lineRule="auto"/>
        <w:ind w:left="720"/>
        <w:contextualSpacing/>
        <w:jc w:val="both"/>
        <w:rPr>
          <w:rFonts w:ascii="David" w:eastAsia="Aptos" w:hAnsi="David"/>
          <w:noProof w:val="0"/>
          <w:kern w:val="2"/>
          <w:rtl/>
        </w:rPr>
      </w:pPr>
    </w:p>
    <w:p w14:paraId="5138EFD1" w14:textId="77777777" w:rsidR="0084163C" w:rsidRPr="0084163C" w:rsidRDefault="0084163C" w:rsidP="0084163C">
      <w:pPr>
        <w:spacing w:after="160" w:line="360" w:lineRule="auto"/>
        <w:ind w:left="720"/>
        <w:contextualSpacing/>
        <w:jc w:val="both"/>
        <w:rPr>
          <w:rFonts w:ascii="David" w:eastAsia="Aptos" w:hAnsi="David"/>
          <w:noProof w:val="0"/>
          <w:kern w:val="2"/>
        </w:rPr>
      </w:pPr>
    </w:p>
    <w:p w14:paraId="1054F3C1" w14:textId="77777777" w:rsidR="0084163C" w:rsidRPr="0084163C" w:rsidRDefault="00000000" w:rsidP="0084163C">
      <w:pPr>
        <w:spacing w:after="160" w:line="360" w:lineRule="auto"/>
        <w:ind w:firstLine="360"/>
        <w:jc w:val="both"/>
        <w:rPr>
          <w:rFonts w:ascii="David" w:eastAsia="Aptos" w:hAnsi="David"/>
          <w:b/>
          <w:bCs/>
          <w:noProof w:val="0"/>
          <w:kern w:val="2"/>
          <w:u w:val="single"/>
        </w:rPr>
      </w:pPr>
      <w:r w:rsidRPr="0084163C">
        <w:rPr>
          <w:rFonts w:ascii="David" w:eastAsia="Aptos" w:hAnsi="David"/>
          <w:b/>
          <w:bCs/>
          <w:noProof w:val="0"/>
          <w:kern w:val="2"/>
          <w:u w:val="single"/>
          <w:rtl/>
        </w:rPr>
        <w:t>ב</w:t>
      </w:r>
      <w:r w:rsidRPr="0084163C">
        <w:rPr>
          <w:rFonts w:ascii="David" w:eastAsia="Aptos" w:hAnsi="David"/>
          <w:b/>
          <w:bCs/>
          <w:noProof w:val="0"/>
          <w:kern w:val="2"/>
          <w:u w:val="single"/>
          <w:rtl/>
        </w:rPr>
        <w:tab/>
        <w:t>טענות הצדדים</w:t>
      </w:r>
    </w:p>
    <w:p w14:paraId="2617E9E3" w14:textId="77777777" w:rsidR="0084163C" w:rsidRPr="0084163C" w:rsidRDefault="00000000" w:rsidP="0084163C">
      <w:pPr>
        <w:spacing w:after="160" w:line="360" w:lineRule="auto"/>
        <w:ind w:firstLine="720"/>
        <w:jc w:val="both"/>
        <w:rPr>
          <w:rFonts w:ascii="David" w:eastAsia="Aptos" w:hAnsi="David"/>
          <w:b/>
          <w:bCs/>
          <w:noProof w:val="0"/>
          <w:kern w:val="2"/>
          <w:u w:val="single"/>
          <w:rtl/>
        </w:rPr>
      </w:pPr>
      <w:r w:rsidRPr="0084163C">
        <w:rPr>
          <w:rFonts w:ascii="David" w:eastAsia="Aptos" w:hAnsi="David"/>
          <w:b/>
          <w:bCs/>
          <w:noProof w:val="0"/>
          <w:kern w:val="2"/>
          <w:u w:val="single"/>
          <w:rtl/>
        </w:rPr>
        <w:t>טענות התובעת</w:t>
      </w:r>
    </w:p>
    <w:p w14:paraId="7E747AD5"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tl/>
        </w:rPr>
      </w:pPr>
      <w:r w:rsidRPr="0084163C">
        <w:rPr>
          <w:rFonts w:ascii="David" w:eastAsia="Aptos" w:hAnsi="David"/>
          <w:noProof w:val="0"/>
          <w:kern w:val="2"/>
          <w:rtl/>
        </w:rPr>
        <w:t>התובעת טוענת כי בתקופת נישואיהם רכשו את המקרקעין שהינם נכס משפחתי למטרת בניית דירת מגורים.</w:t>
      </w:r>
    </w:p>
    <w:p w14:paraId="5599479F"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לאחר שיחסיהם עלו על שרטון, התברר לה כי המקרקעין ממשוכנים וקיים תיק מימוש משכון בלשכת ההוצל"פ כנגד בעלה.</w:t>
      </w:r>
    </w:p>
    <w:p w14:paraId="745D7D8B"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 xml:space="preserve">התובעת טוענת למחצית מזכויות הבעלות במקרקעין מכוח חזקת השיתוף בין בני זוג. </w:t>
      </w:r>
    </w:p>
    <w:p w14:paraId="41A63515" w14:textId="77777777" w:rsidR="0084163C" w:rsidRPr="0084163C" w:rsidRDefault="00000000" w:rsidP="0084163C">
      <w:pPr>
        <w:spacing w:after="160" w:line="360" w:lineRule="auto"/>
        <w:ind w:left="720"/>
        <w:contextualSpacing/>
        <w:jc w:val="both"/>
        <w:rPr>
          <w:rFonts w:ascii="David" w:eastAsia="Aptos" w:hAnsi="David"/>
          <w:noProof w:val="0"/>
          <w:kern w:val="2"/>
        </w:rPr>
      </w:pPr>
      <w:r w:rsidRPr="0084163C">
        <w:rPr>
          <w:rFonts w:ascii="David" w:eastAsia="Aptos" w:hAnsi="David"/>
          <w:noProof w:val="0"/>
          <w:kern w:val="2"/>
          <w:rtl/>
        </w:rPr>
        <w:t xml:space="preserve">לטענתה, הבנק לא קיבל את הסכמתה למשכון, ולא בדק את הזכויות במקרקעין, שעה שמדובר בנכס משפחתי לגביו תוכנית לייעוד מגורים, ולא מדובר בתעשייה או במסחר שייסעו לבעל בעסק שמנהל. </w:t>
      </w:r>
    </w:p>
    <w:p w14:paraId="204F3C93" w14:textId="77777777" w:rsidR="0084163C" w:rsidRPr="0084163C" w:rsidRDefault="00000000" w:rsidP="0084163C">
      <w:pPr>
        <w:numPr>
          <w:ilvl w:val="0"/>
          <w:numId w:val="1"/>
        </w:numPr>
        <w:spacing w:after="160" w:line="360" w:lineRule="auto"/>
        <w:ind w:left="714" w:hanging="357"/>
        <w:contextualSpacing/>
        <w:jc w:val="both"/>
        <w:rPr>
          <w:rFonts w:ascii="David" w:eastAsia="Aptos" w:hAnsi="David"/>
          <w:noProof w:val="0"/>
          <w:kern w:val="2"/>
          <w:rtl/>
        </w:rPr>
      </w:pPr>
      <w:r w:rsidRPr="0084163C">
        <w:rPr>
          <w:rFonts w:ascii="David" w:eastAsia="Aptos" w:hAnsi="David"/>
          <w:noProof w:val="0"/>
          <w:kern w:val="2"/>
          <w:rtl/>
        </w:rPr>
        <w:t xml:space="preserve">עוד טוענת כי הכספים לרכישת המקרקעין הינם פרי מאמץ משותף הכולל מכירת פריטים בבעלותה בשווי של 250,000 ₪ וכספים מאביה בסך 150,000 ₪ וכן חסכונות שצברה במהלך עבודתה. ואלמלא כספים אלו, עסקת הרכישה לא הייתה מתבצעת. </w:t>
      </w:r>
    </w:p>
    <w:p w14:paraId="1AD393FE"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tl/>
        </w:rPr>
      </w:pPr>
      <w:r w:rsidRPr="0084163C">
        <w:rPr>
          <w:rFonts w:ascii="David" w:eastAsia="Aptos" w:hAnsi="David"/>
          <w:noProof w:val="0"/>
          <w:kern w:val="2"/>
          <w:rtl/>
        </w:rPr>
        <w:t>לגישתה משך הזמן הארוך בו התנהלו חיי נישואין תקינים במשך 30 שנה, המאמץ הכלכלי המשותף וניהול משק בית משותף תוך גידול וחינוך ילדיהם מייצר חזקה בדבר שיתוף גם בנכסים שנרשמו על שם אחד מהם.</w:t>
      </w:r>
    </w:p>
    <w:p w14:paraId="41E140C7"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לטענתה, סמכה על בעלה באופן מוחלט בניהול התא המשפחתי, וכי כל פעולותיו נעשו לטובת שניהם. לדבריה, הנתבע לא היה פועל לרכוש קרקע אלא מתוך מטרה להבטיח את עתיד המשפחה כולה.</w:t>
      </w:r>
    </w:p>
    <w:p w14:paraId="797EF366"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לשיטתה, היעדר מעורבותה בזמן החתימה על הסכם המכר ותשלום הכספים נובע מהתנהלות רגילה במערכת יחסים זוגית מסורתית, בה ניהול הרכוש מופקד בידי הגבר.</w:t>
      </w:r>
    </w:p>
    <w:p w14:paraId="164C797B" w14:textId="77777777" w:rsidR="0084163C" w:rsidRPr="0084163C" w:rsidRDefault="00000000" w:rsidP="0084163C">
      <w:pPr>
        <w:numPr>
          <w:ilvl w:val="0"/>
          <w:numId w:val="1"/>
        </w:numPr>
        <w:spacing w:after="160" w:line="360" w:lineRule="auto"/>
        <w:contextualSpacing/>
        <w:jc w:val="both"/>
        <w:rPr>
          <w:rFonts w:ascii="David" w:eastAsia="Aptos" w:hAnsi="David"/>
          <w:noProof w:val="0"/>
          <w:kern w:val="2"/>
        </w:rPr>
      </w:pPr>
      <w:r w:rsidRPr="0084163C">
        <w:rPr>
          <w:rFonts w:ascii="David" w:eastAsia="Aptos" w:hAnsi="David"/>
          <w:noProof w:val="0"/>
          <w:kern w:val="2"/>
          <w:rtl/>
        </w:rPr>
        <w:t>עוד מוסיפה, כי הבנק לא היה רשאי להסתמך על הרישום בלבד שעה שמדובר בבני זוג נשואים וכי היה עליו לבדוק לעומק את טיב הזיקה של התובעת לנכס.</w:t>
      </w:r>
    </w:p>
    <w:p w14:paraId="0EDD2D0B" w14:textId="77777777" w:rsidR="0084163C" w:rsidRPr="0084163C" w:rsidRDefault="00744C80" w:rsidP="0084163C">
      <w:pPr>
        <w:numPr>
          <w:ilvl w:val="0"/>
          <w:numId w:val="1"/>
        </w:numPr>
        <w:spacing w:after="160" w:line="360" w:lineRule="auto"/>
        <w:contextualSpacing/>
        <w:jc w:val="both"/>
        <w:rPr>
          <w:rFonts w:ascii="David" w:eastAsia="Aptos" w:hAnsi="David"/>
          <w:noProof w:val="0"/>
          <w:kern w:val="2"/>
        </w:rPr>
      </w:pPr>
      <w:r w:rsidRPr="00744C80">
        <w:rPr>
          <w:rFonts w:ascii="David" w:eastAsia="Aptos" w:hAnsi="David"/>
          <w:noProof w:val="0"/>
          <w:color w:val="FFFFFF"/>
          <w:kern w:val="2"/>
          <w:sz w:val="2"/>
          <w:szCs w:val="2"/>
          <w:rtl/>
        </w:rPr>
        <w:t>ההתיישבות העותומנית [נוסח ישן] 1916</w:t>
      </w:r>
      <w:r w:rsidR="00000000" w:rsidRPr="0084163C">
        <w:rPr>
          <w:rFonts w:ascii="David" w:eastAsia="Aptos" w:hAnsi="David"/>
          <w:noProof w:val="0"/>
          <w:kern w:val="2"/>
          <w:rtl/>
        </w:rPr>
        <w:t>עותרת למתן צו הצהרתי המורה כי מחצית מזכויות המקרקעין שייכות לה מכוח חזקת השיתוף והיא קודמת למשכון המאוחר שהטיל הבנק.</w:t>
      </w:r>
    </w:p>
    <w:p w14:paraId="5615ABCD" w14:textId="77777777" w:rsidR="0084163C" w:rsidRPr="00744C80" w:rsidRDefault="00744C80" w:rsidP="0084163C">
      <w:pPr>
        <w:spacing w:after="160" w:line="360" w:lineRule="auto"/>
        <w:ind w:left="720"/>
        <w:contextualSpacing/>
        <w:jc w:val="both"/>
        <w:rPr>
          <w:rFonts w:ascii="David" w:eastAsia="Aptos" w:hAnsi="David"/>
          <w:noProof w:val="0"/>
          <w:color w:val="FFFFFF"/>
          <w:kern w:val="2"/>
          <w:sz w:val="2"/>
          <w:szCs w:val="2"/>
        </w:rPr>
      </w:pPr>
      <w:r w:rsidRPr="00744C80">
        <w:rPr>
          <w:rFonts w:ascii="David" w:eastAsia="Aptos" w:hAnsi="David"/>
          <w:noProof w:val="0"/>
          <w:color w:val="FFFFFF"/>
          <w:kern w:val="2"/>
          <w:sz w:val="2"/>
          <w:szCs w:val="2"/>
          <w:rtl/>
        </w:rPr>
        <w:t>12-34-56-78 צ'כוב נ' מדינת ישראל, פ'ד נא (2)</w:t>
      </w:r>
    </w:p>
    <w:p w14:paraId="186CC924" w14:textId="77777777" w:rsidR="0084163C" w:rsidRPr="0084163C" w:rsidRDefault="00000000" w:rsidP="0084163C">
      <w:pPr>
        <w:spacing w:after="160" w:line="360" w:lineRule="auto"/>
        <w:ind w:firstLine="720"/>
        <w:jc w:val="both"/>
        <w:rPr>
          <w:rFonts w:ascii="David" w:eastAsia="Aptos" w:hAnsi="David"/>
          <w:b/>
          <w:bCs/>
          <w:noProof w:val="0"/>
          <w:kern w:val="2"/>
          <w:u w:val="single"/>
        </w:rPr>
      </w:pPr>
      <w:r w:rsidRPr="0084163C">
        <w:rPr>
          <w:rFonts w:ascii="David" w:eastAsia="Aptos" w:hAnsi="David"/>
          <w:b/>
          <w:bCs/>
          <w:noProof w:val="0"/>
          <w:kern w:val="2"/>
          <w:u w:val="single"/>
          <w:rtl/>
        </w:rPr>
        <w:t>טענות הבנק</w:t>
      </w:r>
    </w:p>
    <w:p w14:paraId="206D329C" w14:textId="77777777" w:rsidR="0084163C" w:rsidRPr="0084163C" w:rsidRDefault="00000000" w:rsidP="0084163C">
      <w:pPr>
        <w:numPr>
          <w:ilvl w:val="0"/>
          <w:numId w:val="1"/>
        </w:numPr>
        <w:spacing w:after="160" w:line="360" w:lineRule="auto"/>
        <w:jc w:val="both"/>
        <w:rPr>
          <w:rFonts w:ascii="David" w:eastAsia="Aptos" w:hAnsi="David"/>
          <w:noProof w:val="0"/>
          <w:kern w:val="2"/>
          <w:rtl/>
        </w:rPr>
      </w:pPr>
      <w:r w:rsidRPr="0084163C">
        <w:rPr>
          <w:rFonts w:ascii="David" w:eastAsia="Aptos" w:hAnsi="David"/>
          <w:noProof w:val="0"/>
          <w:kern w:val="2"/>
          <w:rtl/>
        </w:rPr>
        <w:t xml:space="preserve">הבנק טוען כי מדובר בזכויות ביחס למקרקעין שהם מגרש ריק, שלא שימש ולא נועד לשמש למגורי בני הזוג. </w:t>
      </w:r>
    </w:p>
    <w:p w14:paraId="183B5DEC" w14:textId="77777777"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לטענתו המקרקעין נרכשו ע"י הבעל בלבד, בחוזה הרכישה נרשם מפורשות כי הוא לבדו רוכש את מלוא הזכויות במקרקעין, דיווחי המס נעשו אך ורק על שמו, הע"א נרשמה רק על שמו והתובעת לא הייתה מעורבת באופן כלשהוא ברכישת המקרקעין או בטיפול בכל הקשור לכך.</w:t>
      </w:r>
    </w:p>
    <w:p w14:paraId="388ED2A5" w14:textId="77777777"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עוד טוען כי הבעל רכש את המקרקעין לבדו כמגרש שאינו משמש את התובעת, בוודאי לא למגורים. והבנק הסתמך על המצגים הללו כדי לתת לבעל אשראים בחשבון עסקי בבנק אשר הובטח ברישום משכון על המקרקעין.</w:t>
      </w:r>
    </w:p>
    <w:p w14:paraId="5A33C85A" w14:textId="22F436D8"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 xml:space="preserve">הבנק טוען כי הלכת השיתוף אינה חלה והתובעת אינה יכולה לקבל זכויות במקרקעין מכוחה. אלא שלאור נשואי הצדדים בשנת 1990 הדין החל בעניינם הוא הסדר איזון </w:t>
      </w:r>
      <w:r w:rsidRPr="00A00782">
        <w:rPr>
          <w:rFonts w:ascii="David" w:eastAsia="Aptos" w:hAnsi="David"/>
          <w:noProof w:val="0"/>
          <w:kern w:val="2"/>
          <w:rtl/>
        </w:rPr>
        <w:t>משאבים המעוגן ב</w:t>
      </w:r>
      <w:r w:rsidR="00744C80" w:rsidRPr="00A00782">
        <w:rPr>
          <w:rFonts w:ascii="David" w:eastAsia="Aptos" w:hAnsi="David"/>
          <w:noProof w:val="0"/>
          <w:kern w:val="2"/>
          <w:rtl/>
        </w:rPr>
        <w:t>חוק יחסי ממון</w:t>
      </w:r>
      <w:r w:rsidRPr="00A00782">
        <w:rPr>
          <w:rFonts w:ascii="David" w:eastAsia="Aptos" w:hAnsi="David"/>
          <w:noProof w:val="0"/>
          <w:kern w:val="2"/>
          <w:rtl/>
        </w:rPr>
        <w:t>, ולפיו במהלך הנישואין שומר  כל אחד מבני הזוג על</w:t>
      </w:r>
      <w:r w:rsidRPr="0084163C">
        <w:rPr>
          <w:rFonts w:ascii="David" w:eastAsia="Aptos" w:hAnsi="David"/>
          <w:noProof w:val="0"/>
          <w:kern w:val="2"/>
          <w:rtl/>
        </w:rPr>
        <w:t xml:space="preserve"> זכויותיו ברכושו שלו, והשיתוף מתרחש רק עם פקיעת הנישואין או לאחר מות אחד מבני הזוג.</w:t>
      </w:r>
    </w:p>
    <w:p w14:paraId="0F99F852" w14:textId="77777777"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לטענת הבנק, התובעת עצמה הצהירה כי חיי הזוגיות שלהם עלו על שרטון רק בחודש 02/2021, שנים רבות לאחר שהבנק רכש את זכויותיו כדין באמצעות הערת אזהרה ומשכון שנרשמו בשנת 2016. לפיכך אפילו אם נניח כי התובעת רכשה זכויות במקרקעין  הרי שהמועד המוקדם ביותר לכך הינו שנת 2021. בנסיבות אלה, בתחרות בין זכותו הקניינית של הבנק שנתגבשה עוד בשנת 2016 ונרשמה כדין ובין זכותה של התובעת אשר טרם התגבשה - זכותו של הבנק גוברת.</w:t>
      </w:r>
    </w:p>
    <w:p w14:paraId="20D80A2D" w14:textId="77777777"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מעבר לנדרש, לטענתו אף אין בהלכת השיתוף כדי לסייע לה, שכן המקרקעין אינם מהווים דירת מגורים של בני הזוג, ובפסיקה עניפה נקבע כי ביחס לנכסים מסחריים השיתוף מתגבש רק בהתרחש "מועד קריטי" בחיי בני הזוג (פקיעת נישואין או מוות בן זוג) שנקבע ביחס למועד היווצרות הזכות של צד שלישי. היינו, במועד יצירת זכותו של הבנק (שנת 2016) לא אירע "אירוע קריטי" בחיי הזוגיות של בני הזוג.</w:t>
      </w:r>
    </w:p>
    <w:p w14:paraId="1B0B3685" w14:textId="77777777"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הבנק טוען כי אין עליו חובת לבדוק אם לבן הזוג הלא רשום קיימת זיקה נטענת למקרקעין שאינם מהווים דירת מגורים, והיה רשאי להסתמך על הרישום בפנקסי המקרקעין בלבד.</w:t>
      </w:r>
    </w:p>
    <w:p w14:paraId="18373B73" w14:textId="77777777"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לחלופין, ככל שנטענת חזקת שיתוף בין בני זוג, הרי כל פעולה של אחד מבני הזוג מול צד שלישי מחייבת אף את בן הזוג השני, ועל כן פעולות שביצע בעלה ביחס למקרקעין לרבות שעבוד לטובת הבנק נעשו גם עבורה ובשמה, ומחייבות גם את התובעת.</w:t>
      </w:r>
    </w:p>
    <w:p w14:paraId="19F067EC" w14:textId="77777777" w:rsidR="0084163C" w:rsidRPr="0084163C" w:rsidRDefault="00000000" w:rsidP="0084163C">
      <w:pPr>
        <w:numPr>
          <w:ilvl w:val="0"/>
          <w:numId w:val="1"/>
        </w:numPr>
        <w:spacing w:after="160" w:line="360" w:lineRule="auto"/>
        <w:jc w:val="both"/>
        <w:rPr>
          <w:rFonts w:ascii="David" w:eastAsia="Aptos" w:hAnsi="David"/>
          <w:noProof w:val="0"/>
          <w:kern w:val="2"/>
        </w:rPr>
      </w:pPr>
      <w:r w:rsidRPr="0084163C">
        <w:rPr>
          <w:rFonts w:ascii="David" w:eastAsia="Aptos" w:hAnsi="David"/>
          <w:noProof w:val="0"/>
          <w:kern w:val="2"/>
          <w:rtl/>
        </w:rPr>
        <w:t>וכך חזקה זו פועלת לשני הכיוונים, הן בזכויות והן בחובות. ומכוח חזקת השיתוף בחובות, זכאותו של הבנק לממש את הנכס נשוא המשכון-גוברת, בהיותו נושה תם-לב הפועל על יסוד בטוחה רשומה כדין שנרכשה טרם כל טענה שיתופית מצד התובעת.</w:t>
      </w:r>
    </w:p>
    <w:p w14:paraId="36CF849A" w14:textId="77777777" w:rsidR="0084163C" w:rsidRPr="0084163C" w:rsidRDefault="00744C80" w:rsidP="0084163C">
      <w:pPr>
        <w:spacing w:after="160" w:line="360" w:lineRule="auto"/>
        <w:ind w:firstLine="720"/>
        <w:jc w:val="both"/>
        <w:rPr>
          <w:rFonts w:ascii="David" w:eastAsia="Aptos" w:hAnsi="David"/>
          <w:b/>
          <w:bCs/>
          <w:noProof w:val="0"/>
          <w:kern w:val="2"/>
          <w:u w:val="single"/>
        </w:rPr>
      </w:pPr>
      <w:r w:rsidRPr="00744C80">
        <w:rPr>
          <w:rFonts w:ascii="David" w:eastAsia="Aptos" w:hAnsi="David"/>
          <w:b/>
          <w:bCs/>
          <w:noProof w:val="0"/>
          <w:color w:val="FFFFFF"/>
          <w:kern w:val="2"/>
          <w:sz w:val="2"/>
          <w:szCs w:val="2"/>
          <w:u w:val="single"/>
          <w:rtl/>
        </w:rPr>
        <w:t>הועתק מנבו</w:t>
      </w:r>
      <w:r w:rsidR="00000000" w:rsidRPr="0084163C">
        <w:rPr>
          <w:rFonts w:ascii="David" w:eastAsia="Aptos" w:hAnsi="David"/>
          <w:b/>
          <w:bCs/>
          <w:noProof w:val="0"/>
          <w:kern w:val="2"/>
          <w:u w:val="single"/>
          <w:rtl/>
        </w:rPr>
        <w:t>ג</w:t>
      </w:r>
      <w:r w:rsidR="00000000" w:rsidRPr="0084163C">
        <w:rPr>
          <w:rFonts w:ascii="David" w:eastAsia="Aptos" w:hAnsi="David"/>
          <w:b/>
          <w:bCs/>
          <w:noProof w:val="0"/>
          <w:kern w:val="2"/>
          <w:u w:val="single"/>
          <w:rtl/>
        </w:rPr>
        <w:tab/>
        <w:t>הכרעה</w:t>
      </w:r>
    </w:p>
    <w:p w14:paraId="521EE6CE" w14:textId="3281CAC9" w:rsidR="0084163C" w:rsidRPr="00A00782" w:rsidRDefault="00000000" w:rsidP="0084163C">
      <w:pPr>
        <w:numPr>
          <w:ilvl w:val="0"/>
          <w:numId w:val="1"/>
        </w:numPr>
        <w:spacing w:after="160" w:line="360" w:lineRule="auto"/>
        <w:contextualSpacing/>
        <w:jc w:val="both"/>
        <w:rPr>
          <w:rFonts w:ascii="David" w:eastAsia="Calibri" w:hAnsi="David"/>
          <w:noProof w:val="0"/>
          <w:rtl/>
        </w:rPr>
      </w:pPr>
      <w:r w:rsidRPr="00A00782">
        <w:rPr>
          <w:rFonts w:ascii="David" w:eastAsia="Calibri" w:hAnsi="David"/>
          <w:noProof w:val="0"/>
          <w:rtl/>
        </w:rPr>
        <w:t>בני הזוג נישאו בשנת 1990, והמשטר הרכושי החל בעניינם הוא המשטר הקבוע ב</w:t>
      </w:r>
      <w:r w:rsidR="00744C80" w:rsidRPr="00A00782">
        <w:rPr>
          <w:rFonts w:ascii="David" w:eastAsia="Calibri" w:hAnsi="David"/>
          <w:noProof w:val="0"/>
          <w:rtl/>
        </w:rPr>
        <w:t>חוק יחסי ממון בין בני זוג</w:t>
      </w:r>
      <w:r w:rsidRPr="00A00782">
        <w:rPr>
          <w:rFonts w:ascii="David" w:eastAsia="Calibri" w:hAnsi="David"/>
          <w:noProof w:val="0"/>
          <w:rtl/>
        </w:rPr>
        <w:t>, תשל"ג-1973 (להלן:</w:t>
      </w:r>
      <w:r w:rsidRPr="00A00782">
        <w:rPr>
          <w:rFonts w:ascii="David" w:eastAsia="Calibri" w:hAnsi="David"/>
          <w:noProof w:val="0"/>
        </w:rPr>
        <w:t xml:space="preserve"> </w:t>
      </w:r>
      <w:r w:rsidRPr="00A00782">
        <w:rPr>
          <w:rFonts w:ascii="David" w:eastAsia="Calibri" w:hAnsi="David"/>
          <w:noProof w:val="0"/>
          <w:rtl/>
        </w:rPr>
        <w:t>"</w:t>
      </w:r>
      <w:r w:rsidRPr="00A00782">
        <w:rPr>
          <w:rFonts w:ascii="David" w:eastAsia="Calibri" w:hAnsi="David"/>
          <w:b/>
          <w:bCs/>
          <w:noProof w:val="0"/>
          <w:rtl/>
        </w:rPr>
        <w:t>חוק יחסי ממון</w:t>
      </w:r>
      <w:r w:rsidRPr="00A00782">
        <w:rPr>
          <w:rFonts w:ascii="David" w:eastAsia="Calibri" w:hAnsi="David"/>
          <w:noProof w:val="0"/>
          <w:rtl/>
        </w:rPr>
        <w:t>")</w:t>
      </w:r>
      <w:r w:rsidRPr="00A00782">
        <w:rPr>
          <w:rFonts w:ascii="David" w:eastAsia="Calibri" w:hAnsi="David"/>
          <w:noProof w:val="0"/>
        </w:rPr>
        <w:t xml:space="preserve"> </w:t>
      </w:r>
      <w:r w:rsidRPr="00A00782">
        <w:rPr>
          <w:rFonts w:ascii="David" w:eastAsia="Calibri" w:hAnsi="David"/>
          <w:noProof w:val="0"/>
          <w:rtl/>
        </w:rPr>
        <w:t>.</w:t>
      </w:r>
    </w:p>
    <w:p w14:paraId="06894508" w14:textId="2AAE9865" w:rsidR="0084163C" w:rsidRPr="00A00782" w:rsidRDefault="00000000" w:rsidP="0084163C">
      <w:pPr>
        <w:numPr>
          <w:ilvl w:val="0"/>
          <w:numId w:val="1"/>
        </w:numPr>
        <w:spacing w:after="160" w:line="360" w:lineRule="auto"/>
        <w:contextualSpacing/>
        <w:jc w:val="both"/>
        <w:rPr>
          <w:rFonts w:ascii="David" w:eastAsia="Calibri" w:hAnsi="David"/>
          <w:noProof w:val="0"/>
        </w:rPr>
      </w:pPr>
      <w:r w:rsidRPr="00A00782">
        <w:rPr>
          <w:rFonts w:ascii="David" w:eastAsia="Calibri" w:hAnsi="David"/>
          <w:noProof w:val="0"/>
          <w:rtl/>
        </w:rPr>
        <w:t xml:space="preserve"> </w:t>
      </w:r>
      <w:r w:rsidR="00744C80" w:rsidRPr="00A00782">
        <w:rPr>
          <w:rFonts w:ascii="David" w:eastAsia="Calibri" w:hAnsi="David"/>
          <w:noProof w:val="0"/>
          <w:rtl/>
        </w:rPr>
        <w:t>חוק יחסי ממון</w:t>
      </w:r>
      <w:r w:rsidRPr="00A00782">
        <w:rPr>
          <w:rFonts w:ascii="David" w:eastAsia="Calibri" w:hAnsi="David" w:hint="cs"/>
          <w:noProof w:val="0"/>
          <w:rtl/>
        </w:rPr>
        <w:t xml:space="preserve">, המוחל על בני זוג אשר נישאו לאחר 1.1.1974, קובע עיקרון של הפרדה רכושית בין בני זוג. בניגוד לחזקת השיתוף, הקובעת שיתוף כבר במהלך הנישואין, </w:t>
      </w:r>
      <w:r w:rsidR="00744C80" w:rsidRPr="00A00782">
        <w:rPr>
          <w:rFonts w:ascii="David" w:eastAsia="Calibri" w:hAnsi="David"/>
          <w:noProof w:val="0"/>
          <w:rtl/>
        </w:rPr>
        <w:t>חוק יחסי ממון</w:t>
      </w:r>
      <w:r w:rsidRPr="00A00782">
        <w:rPr>
          <w:rFonts w:ascii="David" w:eastAsia="Calibri" w:hAnsi="David" w:hint="cs"/>
          <w:noProof w:val="0"/>
          <w:rtl/>
        </w:rPr>
        <w:t xml:space="preserve"> קובע מנגנון של שיתוף דחוי (בכל הנכסים עסקיים ומשפחתיים מובהקים כאחד) איזון המשאבים מבוצע במועד פקיעת הנישואין (</w:t>
      </w:r>
      <w:r w:rsidR="0021095F" w:rsidRPr="00A00782">
        <w:rPr>
          <w:rFonts w:ascii="David" w:eastAsia="Calibri" w:hAnsi="David"/>
          <w:noProof w:val="0"/>
          <w:rtl/>
        </w:rPr>
        <w:t>סעיף 5</w:t>
      </w:r>
      <w:r w:rsidRPr="00A00782">
        <w:rPr>
          <w:rFonts w:ascii="David" w:eastAsia="Calibri" w:hAnsi="David" w:hint="cs"/>
          <w:noProof w:val="0"/>
          <w:rtl/>
        </w:rPr>
        <w:t xml:space="preserve"> לחוק יחסי ממון) [שחר ליפשיץ </w:t>
      </w:r>
      <w:r w:rsidR="00744C80" w:rsidRPr="00A00782">
        <w:rPr>
          <w:rFonts w:ascii="David" w:eastAsia="Calibri" w:hAnsi="David"/>
          <w:b/>
          <w:bCs/>
          <w:noProof w:val="0"/>
          <w:rtl/>
        </w:rPr>
        <w:t>השיתוף הזוגי</w:t>
      </w:r>
      <w:r w:rsidRPr="00A00782">
        <w:rPr>
          <w:rFonts w:ascii="David" w:eastAsia="Calibri" w:hAnsi="David" w:hint="cs"/>
          <w:noProof w:val="0"/>
          <w:rtl/>
        </w:rPr>
        <w:t xml:space="preserve"> 208 (2016). לנוכח השיתוף הדחוי נראה לכאורה כי זכויות של צדדים שלישיים לרבות נושים, שנרכשו במהלך הנישואים אמורות לגבור על זכויותיהם של בני הזוג, זכויות שמתגבשות רק בעת גירושים או במועד מפקיע אחר לפי סעיף </w:t>
      </w:r>
      <w:r w:rsidR="0021095F" w:rsidRPr="00A00782">
        <w:rPr>
          <w:rFonts w:ascii="David" w:eastAsia="Calibri" w:hAnsi="David"/>
          <w:noProof w:val="0"/>
          <w:rtl/>
        </w:rPr>
        <w:t>5 א</w:t>
      </w:r>
      <w:r w:rsidRPr="00A00782">
        <w:rPr>
          <w:rFonts w:ascii="David" w:eastAsia="Calibri" w:hAnsi="David" w:hint="cs"/>
          <w:noProof w:val="0"/>
          <w:rtl/>
        </w:rPr>
        <w:t xml:space="preserve"> ל</w:t>
      </w:r>
      <w:r w:rsidR="00744C80" w:rsidRPr="00A00782">
        <w:rPr>
          <w:rFonts w:ascii="David" w:eastAsia="Calibri" w:hAnsi="David"/>
          <w:noProof w:val="0"/>
          <w:rtl/>
        </w:rPr>
        <w:t>חוק יחסי ממון</w:t>
      </w:r>
      <w:r w:rsidRPr="00A00782">
        <w:rPr>
          <w:rFonts w:ascii="David" w:eastAsia="Calibri" w:hAnsi="David" w:hint="cs"/>
          <w:noProof w:val="0"/>
          <w:rtl/>
        </w:rPr>
        <w:t>.</w:t>
      </w:r>
    </w:p>
    <w:p w14:paraId="5B29EF5D" w14:textId="6C407FBE" w:rsidR="0084163C" w:rsidRPr="00A00782" w:rsidRDefault="00000000" w:rsidP="0084163C">
      <w:pPr>
        <w:numPr>
          <w:ilvl w:val="0"/>
          <w:numId w:val="1"/>
        </w:numPr>
        <w:spacing w:after="160" w:line="360" w:lineRule="auto"/>
        <w:contextualSpacing/>
        <w:jc w:val="both"/>
        <w:rPr>
          <w:rFonts w:ascii="David" w:eastAsia="Calibri" w:hAnsi="David"/>
          <w:noProof w:val="0"/>
        </w:rPr>
      </w:pPr>
      <w:r w:rsidRPr="00A00782">
        <w:rPr>
          <w:rFonts w:ascii="David" w:eastAsia="Calibri" w:hAnsi="David"/>
          <w:noProof w:val="0"/>
          <w:rtl/>
        </w:rPr>
        <w:t xml:space="preserve">בספרו של פרופ' ליפשיץ </w:t>
      </w:r>
      <w:r w:rsidR="00744C80" w:rsidRPr="00A00782">
        <w:rPr>
          <w:rFonts w:ascii="David" w:eastAsia="Calibri" w:hAnsi="David"/>
          <w:noProof w:val="0"/>
          <w:rtl/>
        </w:rPr>
        <w:t>השיתוף הזוגי</w:t>
      </w:r>
      <w:r w:rsidRPr="00A00782">
        <w:rPr>
          <w:rFonts w:ascii="David" w:eastAsia="Calibri" w:hAnsi="David"/>
          <w:noProof w:val="0"/>
          <w:rtl/>
        </w:rPr>
        <w:t xml:space="preserve"> 2016 עמ' 208 מובא ההסבר לחקיקת החוק:</w:t>
      </w:r>
    </w:p>
    <w:p w14:paraId="72D0AA1C" w14:textId="77777777" w:rsidR="0084163C" w:rsidRPr="00002793" w:rsidRDefault="00000000" w:rsidP="0084163C">
      <w:pPr>
        <w:spacing w:line="360" w:lineRule="auto"/>
        <w:ind w:left="720"/>
        <w:contextualSpacing/>
        <w:jc w:val="both"/>
        <w:rPr>
          <w:rFonts w:ascii="David" w:eastAsia="Calibri" w:hAnsi="David"/>
          <w:noProof w:val="0"/>
        </w:rPr>
      </w:pPr>
      <w:r w:rsidRPr="00002793">
        <w:rPr>
          <w:rFonts w:ascii="David" w:eastAsia="Calibri" w:hAnsi="David"/>
          <w:noProof w:val="0"/>
          <w:rtl/>
        </w:rPr>
        <w:t xml:space="preserve">"בבסיס קביעת המחוקק בעניין זה עמדו תקינות המסחר, ובהקשר של דיני מקרקעין – וודאות המרשם, וכן הרצון לחסוך מן המתקשרים את הצורך לבחון את זכויות בני הזוג של האנשים שעמם התקשרו. בגישה זו תמכו גם המצדדים בתפיסות אינדיבידואליסטיות שאף בנוגע ליחסים הפנימיים בין בני הזוג תמכו במנגנון שלפיו כל צד מנהל את רכושו שלו במהלך הנישואים". </w:t>
      </w:r>
    </w:p>
    <w:p w14:paraId="4A1AE085" w14:textId="63787731" w:rsidR="0084163C" w:rsidRPr="00A00782" w:rsidRDefault="00000000" w:rsidP="0084163C">
      <w:pPr>
        <w:numPr>
          <w:ilvl w:val="0"/>
          <w:numId w:val="1"/>
        </w:numPr>
        <w:spacing w:after="160" w:line="360" w:lineRule="auto"/>
        <w:contextualSpacing/>
        <w:jc w:val="both"/>
        <w:rPr>
          <w:rFonts w:ascii="David" w:eastAsia="Calibri" w:hAnsi="David"/>
          <w:noProof w:val="0"/>
          <w:rtl/>
        </w:rPr>
      </w:pPr>
      <w:r w:rsidRPr="00A00782">
        <w:rPr>
          <w:rFonts w:ascii="David" w:eastAsia="Calibri" w:hAnsi="David"/>
          <w:noProof w:val="0"/>
          <w:rtl/>
        </w:rPr>
        <w:t xml:space="preserve">בענייננו, לא הוצגה כל ראייה לכך שהנישואין של בני הזוג פקעו, ואף לפי טענתה של התובעת חיי הזוגיות שלהם עלו על שרטון רק בחודש 2/2021 קרי חמש שנים לאחר שהבנק רכש את זכויותיו מכוח המשכון. בנסיבות אלה, </w:t>
      </w:r>
      <w:r w:rsidRPr="00A00782">
        <w:rPr>
          <w:rFonts w:ascii="David" w:eastAsia="Aptos" w:hAnsi="David"/>
          <w:noProof w:val="0"/>
          <w:kern w:val="2"/>
          <w:rtl/>
        </w:rPr>
        <w:t xml:space="preserve">אין לתובעת עילת תביעה מכוח </w:t>
      </w:r>
      <w:r w:rsidR="00744C80" w:rsidRPr="00A00782">
        <w:rPr>
          <w:rFonts w:ascii="David" w:eastAsia="Aptos" w:hAnsi="David"/>
          <w:noProof w:val="0"/>
          <w:kern w:val="2"/>
          <w:rtl/>
        </w:rPr>
        <w:t>חוק יחסי ממון</w:t>
      </w:r>
      <w:r w:rsidRPr="00A00782">
        <w:rPr>
          <w:rFonts w:ascii="David" w:eastAsia="Aptos" w:hAnsi="David"/>
          <w:noProof w:val="0"/>
          <w:kern w:val="2"/>
          <w:rtl/>
        </w:rPr>
        <w:t xml:space="preserve">, ובתחרות </w:t>
      </w:r>
      <w:r w:rsidRPr="00A00782">
        <w:rPr>
          <w:rFonts w:ascii="David" w:eastAsia="Calibri" w:hAnsi="David"/>
          <w:noProof w:val="0"/>
          <w:rtl/>
        </w:rPr>
        <w:t xml:space="preserve">בין זכותו הקניינית של הבנק שנתגבשה בשנת 2016 ונרשמה כדין לבין זכותה של התובעת אשר טרם התגבשה, שכן הנישואין טרם פקעו ואף לא עלו על שרטון קודם לחודש 2/21, זכותו של הבנק גוברת. </w:t>
      </w:r>
    </w:p>
    <w:p w14:paraId="04241AF9" w14:textId="3B8CB05F" w:rsidR="0084163C" w:rsidRPr="00A00782" w:rsidRDefault="00000000" w:rsidP="0084163C">
      <w:pPr>
        <w:numPr>
          <w:ilvl w:val="0"/>
          <w:numId w:val="1"/>
        </w:numPr>
        <w:spacing w:after="160" w:line="360" w:lineRule="auto"/>
        <w:contextualSpacing/>
        <w:jc w:val="both"/>
        <w:rPr>
          <w:rFonts w:ascii="David" w:eastAsia="Calibri" w:hAnsi="David"/>
          <w:noProof w:val="0"/>
        </w:rPr>
      </w:pPr>
      <w:r w:rsidRPr="00A00782">
        <w:rPr>
          <w:rFonts w:ascii="David" w:hAnsi="David"/>
          <w:noProof w:val="0"/>
          <w:rtl/>
          <w:lang w:eastAsia="he-IL"/>
        </w:rPr>
        <w:t xml:space="preserve">ואולם, בכך לא סגי. שכן בפועל הפסיקה קבעה כי גם אם על פי </w:t>
      </w:r>
      <w:r w:rsidR="00744C80" w:rsidRPr="00A00782">
        <w:rPr>
          <w:rFonts w:ascii="David" w:hAnsi="David"/>
          <w:noProof w:val="0"/>
          <w:rtl/>
          <w:lang w:eastAsia="he-IL"/>
        </w:rPr>
        <w:t>חוק יחסי ממון</w:t>
      </w:r>
      <w:r w:rsidRPr="00A00782">
        <w:rPr>
          <w:rFonts w:ascii="David" w:hAnsi="David"/>
          <w:noProof w:val="0"/>
          <w:rtl/>
          <w:lang w:eastAsia="he-IL"/>
        </w:rPr>
        <w:t xml:space="preserve"> הסדר איזון משאבים חל רק לאחר פקיעת הנישואים, וגם אם </w:t>
      </w:r>
      <w:r w:rsidR="0021095F" w:rsidRPr="00A00782">
        <w:rPr>
          <w:rFonts w:ascii="David" w:hAnsi="David"/>
          <w:noProof w:val="0"/>
          <w:rtl/>
          <w:lang w:eastAsia="he-IL"/>
        </w:rPr>
        <w:t>סעיף 4</w:t>
      </w:r>
      <w:r w:rsidRPr="00A00782">
        <w:rPr>
          <w:rFonts w:ascii="David" w:hAnsi="David"/>
          <w:noProof w:val="0"/>
          <w:rtl/>
          <w:lang w:eastAsia="he-IL"/>
        </w:rPr>
        <w:t xml:space="preserve"> לחוק יחסי מממון קובע כי הנישואים כשלעצמם אין מעניקים לבני הזוג זכויות זה בנכסי זה, בכל הנוגע לדירת מגורים ניתן להסיק שיתוף ספציפי של הצדדים כבר במהלך הנשואים מכוח הדין הכללי, וניתן להסיקו גם כאשר מדובר בדירת מגורים הרשומה על שמו של אחד מהצדדים בלבד.</w:t>
      </w:r>
    </w:p>
    <w:p w14:paraId="782B6EF6" w14:textId="5B6A1279" w:rsidR="0084163C" w:rsidRPr="00A00782" w:rsidRDefault="00000000" w:rsidP="0084163C">
      <w:pPr>
        <w:spacing w:line="360" w:lineRule="auto"/>
        <w:ind w:left="720"/>
        <w:contextualSpacing/>
        <w:jc w:val="both"/>
        <w:rPr>
          <w:rFonts w:ascii="David" w:eastAsia="Calibri" w:hAnsi="David"/>
          <w:noProof w:val="0"/>
        </w:rPr>
      </w:pPr>
      <w:r w:rsidRPr="00A00782">
        <w:rPr>
          <w:rFonts w:ascii="David" w:eastAsia="Calibri" w:hAnsi="David"/>
          <w:noProof w:val="0"/>
          <w:rtl/>
        </w:rPr>
        <w:t xml:space="preserve">(ראה  למשל </w:t>
      </w:r>
      <w:r w:rsidR="00744C80" w:rsidRPr="00A00782">
        <w:rPr>
          <w:rFonts w:ascii="David" w:eastAsia="Calibri" w:hAnsi="David"/>
          <w:noProof w:val="0"/>
          <w:rtl/>
        </w:rPr>
        <w:t>ע"א 6839/19</w:t>
      </w:r>
      <w:r w:rsidRPr="00A00782">
        <w:rPr>
          <w:rFonts w:ascii="David" w:eastAsia="Calibri" w:hAnsi="David"/>
          <w:noProof w:val="0"/>
          <w:rtl/>
        </w:rPr>
        <w:t xml:space="preserve"> </w:t>
      </w:r>
      <w:r w:rsidRPr="00A00782">
        <w:rPr>
          <w:rFonts w:ascii="David" w:eastAsia="Calibri" w:hAnsi="David"/>
          <w:b/>
          <w:bCs/>
          <w:noProof w:val="0"/>
          <w:rtl/>
        </w:rPr>
        <w:t>אבנר חדד נ' מדינה פיקהולץ</w:t>
      </w:r>
      <w:r w:rsidRPr="00A00782">
        <w:rPr>
          <w:rFonts w:ascii="David" w:eastAsia="Calibri" w:hAnsi="David"/>
          <w:noProof w:val="0"/>
          <w:rtl/>
        </w:rPr>
        <w:t xml:space="preserve"> (מיום 9.12.20) : "אין בתחולתו של הסדר איזון המשאבים על פי החוק כדי למנוע יצירת שיתוף בנכס ספציפי מכוח הדין הכללי – דיני החוזים, דיני הקניין, דיני הנאמנות וכיו"ב (עניין יעקובי, עמ' 621; </w:t>
      </w:r>
      <w:r w:rsidR="00744C80" w:rsidRPr="00A00782">
        <w:rPr>
          <w:rFonts w:ascii="David" w:eastAsia="Calibri" w:hAnsi="David"/>
          <w:noProof w:val="0"/>
          <w:rtl/>
        </w:rPr>
        <w:t>רע"א 8672/00</w:t>
      </w:r>
      <w:r w:rsidRPr="00A00782">
        <w:rPr>
          <w:rFonts w:ascii="David" w:eastAsia="Calibri" w:hAnsi="David"/>
          <w:noProof w:val="0"/>
          <w:rtl/>
        </w:rPr>
        <w:t xml:space="preserve"> אבו-רומי נ' אבו-רומי, פ"ד נו(6) 175, 183-180 (2002) (להלן: עניין אבו רומי); </w:t>
      </w:r>
      <w:r w:rsidR="00744C80" w:rsidRPr="00A00782">
        <w:rPr>
          <w:rFonts w:ascii="David" w:eastAsia="Calibri" w:hAnsi="David"/>
          <w:noProof w:val="0"/>
          <w:rtl/>
        </w:rPr>
        <w:t>ע"א 7687/04</w:t>
      </w:r>
      <w:r w:rsidRPr="00A00782">
        <w:rPr>
          <w:rFonts w:ascii="David" w:eastAsia="Calibri" w:hAnsi="David"/>
          <w:noProof w:val="0"/>
          <w:rtl/>
        </w:rPr>
        <w:t xml:space="preserve"> ששון נ' ששון, פ"ד נט(5) 596, 615-614 (2005) (להלן: עניין ששון)). </w:t>
      </w:r>
    </w:p>
    <w:p w14:paraId="354CCF86" w14:textId="57A18625" w:rsidR="0084163C" w:rsidRPr="00A00782" w:rsidRDefault="00000000" w:rsidP="0084163C">
      <w:pPr>
        <w:numPr>
          <w:ilvl w:val="0"/>
          <w:numId w:val="1"/>
        </w:numPr>
        <w:spacing w:after="160" w:line="360" w:lineRule="auto"/>
        <w:contextualSpacing/>
        <w:jc w:val="both"/>
        <w:rPr>
          <w:rFonts w:ascii="David" w:eastAsia="Calibri" w:hAnsi="David"/>
          <w:noProof w:val="0"/>
          <w:rtl/>
        </w:rPr>
      </w:pPr>
      <w:r w:rsidRPr="00002793">
        <w:rPr>
          <w:rFonts w:ascii="David" w:eastAsia="Calibri" w:hAnsi="David"/>
          <w:noProof w:val="0"/>
          <w:rtl/>
        </w:rPr>
        <w:t xml:space="preserve">על רקע קביעה זו של הפסיקה, מתעוררת השאלה במקרה זה כיצד ליישם את דיני </w:t>
      </w:r>
      <w:r w:rsidRPr="00A00782">
        <w:rPr>
          <w:rFonts w:ascii="David" w:eastAsia="Calibri" w:hAnsi="David"/>
          <w:noProof w:val="0"/>
          <w:rtl/>
        </w:rPr>
        <w:t>העסקאות הנוגדות (</w:t>
      </w:r>
      <w:r w:rsidR="0021095F" w:rsidRPr="00A00782">
        <w:rPr>
          <w:rFonts w:ascii="David" w:eastAsia="Calibri" w:hAnsi="David"/>
          <w:noProof w:val="0"/>
          <w:rtl/>
        </w:rPr>
        <w:t>סעיף 9</w:t>
      </w:r>
      <w:r w:rsidRPr="00A00782">
        <w:rPr>
          <w:rFonts w:ascii="David" w:eastAsia="Calibri" w:hAnsi="David"/>
          <w:noProof w:val="0"/>
          <w:rtl/>
        </w:rPr>
        <w:t xml:space="preserve"> ל</w:t>
      </w:r>
      <w:r w:rsidR="00744C80" w:rsidRPr="00A00782">
        <w:rPr>
          <w:rFonts w:ascii="David" w:eastAsia="Calibri" w:hAnsi="David"/>
          <w:noProof w:val="0"/>
          <w:rtl/>
        </w:rPr>
        <w:t>חוק המקרקעין</w:t>
      </w:r>
      <w:r w:rsidRPr="00A00782">
        <w:rPr>
          <w:rFonts w:ascii="David" w:eastAsia="Calibri" w:hAnsi="David"/>
          <w:noProof w:val="0"/>
          <w:rtl/>
        </w:rPr>
        <w:t xml:space="preserve">) כאשר מדובר בטענה לשיתוף מכוח הדין הכללי. </w:t>
      </w:r>
    </w:p>
    <w:p w14:paraId="5EC220C5" w14:textId="58D17382" w:rsidR="0084163C" w:rsidRPr="00A00782" w:rsidRDefault="00000000" w:rsidP="0084163C">
      <w:pPr>
        <w:spacing w:line="360" w:lineRule="auto"/>
        <w:ind w:left="720"/>
        <w:contextualSpacing/>
        <w:jc w:val="both"/>
        <w:rPr>
          <w:rFonts w:ascii="David" w:eastAsia="Calibri" w:hAnsi="David"/>
          <w:noProof w:val="0"/>
        </w:rPr>
      </w:pPr>
      <w:r w:rsidRPr="00A00782">
        <w:rPr>
          <w:rFonts w:ascii="David" w:eastAsia="Calibri" w:hAnsi="David"/>
          <w:noProof w:val="0"/>
          <w:rtl/>
        </w:rPr>
        <w:t xml:space="preserve">על פי </w:t>
      </w:r>
      <w:r w:rsidR="0021095F" w:rsidRPr="00A00782">
        <w:rPr>
          <w:rFonts w:ascii="David" w:eastAsia="Calibri" w:hAnsi="David"/>
          <w:noProof w:val="0"/>
          <w:rtl/>
        </w:rPr>
        <w:t>סעיף 9</w:t>
      </w:r>
      <w:r w:rsidRPr="00A00782">
        <w:rPr>
          <w:rFonts w:ascii="David" w:eastAsia="Calibri" w:hAnsi="David"/>
          <w:noProof w:val="0"/>
          <w:rtl/>
        </w:rPr>
        <w:t xml:space="preserve"> ל</w:t>
      </w:r>
      <w:r w:rsidR="00744C80" w:rsidRPr="00A00782">
        <w:rPr>
          <w:rFonts w:ascii="David" w:eastAsia="Calibri" w:hAnsi="David"/>
          <w:noProof w:val="0"/>
          <w:rtl/>
        </w:rPr>
        <w:t>חוק המקרקעין</w:t>
      </w:r>
      <w:r w:rsidRPr="00A00782">
        <w:rPr>
          <w:rFonts w:ascii="David" w:eastAsia="Calibri" w:hAnsi="David"/>
          <w:noProof w:val="0"/>
          <w:rtl/>
        </w:rPr>
        <w:t xml:space="preserve"> : בן זוג שני הוא בעל העסקה הראשונה, וזכותו עדיפה, אלא אם הנושה פעל בתום לב ובתמורה והעסקה נרשמה לטובתו בעודו בתום לב. אשר על כן, זכויות בן הזוג שאינו רשום מוגנות מול בעל התחייבות אחרת בהתאם לכללי העסקאות הנוגדות (פרשת שלם, פס' 23 לפסק דינו של הנשיא ברק).</w:t>
      </w:r>
    </w:p>
    <w:p w14:paraId="586FFE48" w14:textId="41CC51DC" w:rsidR="0084163C" w:rsidRPr="00002793" w:rsidRDefault="00000000" w:rsidP="0084163C">
      <w:pPr>
        <w:numPr>
          <w:ilvl w:val="0"/>
          <w:numId w:val="1"/>
        </w:numPr>
        <w:spacing w:after="160" w:line="360" w:lineRule="auto"/>
        <w:contextualSpacing/>
        <w:jc w:val="both"/>
        <w:rPr>
          <w:rFonts w:ascii="David" w:eastAsia="Calibri" w:hAnsi="David"/>
          <w:noProof w:val="0"/>
          <w:rtl/>
        </w:rPr>
      </w:pPr>
      <w:r w:rsidRPr="00A00782">
        <w:rPr>
          <w:rFonts w:ascii="David" w:eastAsia="Calibri" w:hAnsi="David"/>
          <w:noProof w:val="0"/>
          <w:rtl/>
        </w:rPr>
        <w:t xml:space="preserve">נושא עקרוני זה עלה בפרשת בן גיאת במאבקי זכויות בין נושים לבין בני זוג שנשאו לאחר 1974 ולכן חל עליהם </w:t>
      </w:r>
      <w:r w:rsidR="00744C80" w:rsidRPr="00A00782">
        <w:rPr>
          <w:rFonts w:ascii="David" w:eastAsia="Calibri" w:hAnsi="David"/>
          <w:noProof w:val="0"/>
          <w:rtl/>
        </w:rPr>
        <w:t>חוק יחסי ממון</w:t>
      </w:r>
      <w:r w:rsidRPr="00A00782">
        <w:rPr>
          <w:rFonts w:ascii="David" w:eastAsia="Calibri" w:hAnsi="David"/>
          <w:noProof w:val="0"/>
          <w:rtl/>
        </w:rPr>
        <w:t xml:space="preserve">  (</w:t>
      </w:r>
      <w:r w:rsidR="00744C80" w:rsidRPr="00A00782">
        <w:rPr>
          <w:rFonts w:ascii="David" w:eastAsia="Calibri" w:hAnsi="David"/>
          <w:noProof w:val="0"/>
          <w:rtl/>
        </w:rPr>
        <w:t>ע"א 7750-10</w:t>
      </w:r>
      <w:r w:rsidRPr="00A00782">
        <w:rPr>
          <w:rFonts w:ascii="David" w:eastAsia="Calibri" w:hAnsi="David"/>
          <w:noProof w:val="0"/>
          <w:rtl/>
        </w:rPr>
        <w:t xml:space="preserve"> </w:t>
      </w:r>
      <w:r w:rsidRPr="00A00782">
        <w:rPr>
          <w:rFonts w:ascii="David" w:eastAsia="Calibri" w:hAnsi="David"/>
          <w:b/>
          <w:bCs/>
          <w:noProof w:val="0"/>
          <w:rtl/>
        </w:rPr>
        <w:t>בן גיאת נ' הכשרת היישוב</w:t>
      </w:r>
      <w:r w:rsidRPr="00A00782">
        <w:rPr>
          <w:rFonts w:ascii="David" w:eastAsia="Calibri" w:hAnsi="David"/>
          <w:noProof w:val="0"/>
          <w:rtl/>
        </w:rPr>
        <w:t xml:space="preserve"> מיום 11.8.11 . השופט רובינשטיין בדעת מיעוט העדיף זכותו של רוכש הזכות על פני זכות בן הזוג. לדעתו לאור הוראות </w:t>
      </w:r>
      <w:r w:rsidR="00744C80" w:rsidRPr="00A00782">
        <w:rPr>
          <w:rFonts w:ascii="David" w:eastAsia="Calibri" w:hAnsi="David"/>
          <w:noProof w:val="0"/>
          <w:rtl/>
        </w:rPr>
        <w:t>חוק יחסי ממון</w:t>
      </w:r>
      <w:r w:rsidRPr="00A00782">
        <w:rPr>
          <w:rFonts w:ascii="David" w:eastAsia="Calibri" w:hAnsi="David"/>
          <w:noProof w:val="0"/>
          <w:rtl/>
        </w:rPr>
        <w:t xml:space="preserve"> הנטל לרשום את הזכויות הזוגיות מוטל על בן</w:t>
      </w:r>
      <w:r w:rsidRPr="00002793">
        <w:rPr>
          <w:rFonts w:ascii="David" w:eastAsia="Calibri" w:hAnsi="David"/>
          <w:noProof w:val="0"/>
          <w:rtl/>
        </w:rPr>
        <w:t xml:space="preserve"> הזוג, ומי שלא עמד בו חשוף לתוצאות של עסקאות שעשה הבעלים הרשום.</w:t>
      </w:r>
    </w:p>
    <w:p w14:paraId="5B7AEC64"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hAnsi="David"/>
          <w:noProof w:val="0"/>
          <w:spacing w:val="10"/>
        </w:rPr>
      </w:pPr>
      <w:r w:rsidRPr="00002793">
        <w:rPr>
          <w:rFonts w:ascii="David" w:eastAsia="Calibri" w:hAnsi="David"/>
          <w:noProof w:val="0"/>
          <w:spacing w:val="10"/>
          <w:rtl/>
        </w:rPr>
        <w:tab/>
        <w:t>השופטים עמית ופוגלמן בדעת רוב לא נתנו משקל רב להבחנה בין חזקת השיתוף לבין הלכת השיתוף הספציפי הנובע מן הדין הכללי, משום כך הם יישמו את הלכות חזקות השיתוף שנקבעו בנושא  בנוגע לנכס שהוא פרי מאמץ משותף, וסברו כי ככל שמדובר בדירת מגורים, נשלל תום ליבו של צד שלישי שרכש זכות בנכס בלי לבדוק בעת רישום העסקה את זכויותיו של בן הזוג הלא רשום. השופט עמית קבע בסעיף 27 לפסק הדין: "</w:t>
      </w:r>
      <w:r w:rsidRPr="00002793">
        <w:rPr>
          <w:rFonts w:ascii="David" w:hAnsi="David"/>
          <w:noProof w:val="0"/>
          <w:spacing w:val="10"/>
          <w:rtl/>
        </w:rPr>
        <w:t xml:space="preserve">מבלי להידרש למחלוקת הידועה אם חזקת השיתוף ממשיכה לחול גם על בני זוג שנישאו לאחר 1.1.1974, אני סבור כי מקום בו מדובר בדירת מגורים ובנושה מקצועי, אין להבחין בין שיתוף מכוח הדין לבין שיתוף ספציפי בדירת המגורים. בשני המקרים השיתוף מבוסס על חזקת השיתוף, הנתפסת בימינו כחזקה נורמטיבית ולא חזקה עובדתית-הסכמית ...ממילא איני סבור כי בענייננו יש נפקות להבחנה בין שיתוף מכוח הדין לשיתוף ספציפי בדירת המגורים". </w:t>
      </w:r>
    </w:p>
    <w:p w14:paraId="15CBA92C" w14:textId="3974AD7E" w:rsidR="0084163C" w:rsidRPr="00A00782" w:rsidRDefault="00000000" w:rsidP="0084163C">
      <w:pPr>
        <w:numPr>
          <w:ilvl w:val="0"/>
          <w:numId w:val="1"/>
        </w:numPr>
        <w:tabs>
          <w:tab w:val="left" w:pos="800"/>
        </w:tabs>
        <w:overflowPunct w:val="0"/>
        <w:autoSpaceDE w:val="0"/>
        <w:autoSpaceDN w:val="0"/>
        <w:adjustRightInd w:val="0"/>
        <w:spacing w:after="160" w:line="360" w:lineRule="auto"/>
        <w:jc w:val="both"/>
        <w:rPr>
          <w:rFonts w:ascii="David" w:hAnsi="David"/>
          <w:noProof w:val="0"/>
          <w:spacing w:val="10"/>
          <w:rtl/>
        </w:rPr>
      </w:pPr>
      <w:r w:rsidRPr="00A00782">
        <w:rPr>
          <w:rFonts w:ascii="David" w:hAnsi="David"/>
          <w:noProof w:val="0"/>
          <w:spacing w:val="10"/>
          <w:rtl/>
        </w:rPr>
        <w:t>הפסיקה קבעה כי הן לגבי בני זוג שחזקת השיתוף חלה עליהם והן לגבי בני זוג שכפופים ל</w:t>
      </w:r>
      <w:r w:rsidR="00744C80" w:rsidRPr="00A00782">
        <w:rPr>
          <w:rFonts w:ascii="David" w:hAnsi="David"/>
          <w:noProof w:val="0"/>
          <w:spacing w:val="10"/>
          <w:rtl/>
        </w:rPr>
        <w:t>חוק יחסי ממון</w:t>
      </w:r>
      <w:r w:rsidRPr="00A00782">
        <w:rPr>
          <w:rFonts w:ascii="David" w:hAnsi="David"/>
          <w:noProof w:val="0"/>
          <w:spacing w:val="10"/>
          <w:rtl/>
        </w:rPr>
        <w:t>, חלה הבחנה בין דירת המגורים המשפחתית שעליה חל הסדר שיתוף מיידי תוך העדפת בן הזוג, לבין פעילות עסקית, נכסי מקרקעין להשקעה ולהשכרה שנרשמו על שם אחד מבני הזוג, שעליהם חל הסדר שיתוף דחוי תוך העדפת הנושה.</w:t>
      </w:r>
    </w:p>
    <w:p w14:paraId="4125C597" w14:textId="33320817" w:rsidR="0084163C" w:rsidRPr="00A00782" w:rsidRDefault="00000000" w:rsidP="0084163C">
      <w:pPr>
        <w:tabs>
          <w:tab w:val="left" w:pos="800"/>
        </w:tabs>
        <w:overflowPunct w:val="0"/>
        <w:autoSpaceDE w:val="0"/>
        <w:autoSpaceDN w:val="0"/>
        <w:adjustRightInd w:val="0"/>
        <w:spacing w:line="360" w:lineRule="auto"/>
        <w:ind w:left="720"/>
        <w:jc w:val="both"/>
        <w:rPr>
          <w:rFonts w:ascii="David" w:hAnsi="David"/>
          <w:noProof w:val="0"/>
          <w:spacing w:val="10"/>
        </w:rPr>
      </w:pPr>
      <w:r w:rsidRPr="00A00782">
        <w:rPr>
          <w:rFonts w:ascii="David" w:hAnsi="David"/>
          <w:noProof w:val="0"/>
          <w:spacing w:val="10"/>
          <w:rtl/>
        </w:rPr>
        <w:t xml:space="preserve">ראה </w:t>
      </w:r>
      <w:r w:rsidR="00744C80" w:rsidRPr="00A00782">
        <w:rPr>
          <w:rFonts w:ascii="David" w:hAnsi="David"/>
          <w:noProof w:val="0"/>
          <w:spacing w:val="10"/>
          <w:rtl/>
        </w:rPr>
        <w:t>רע"א 8791/00</w:t>
      </w:r>
      <w:r w:rsidRPr="00A00782">
        <w:rPr>
          <w:rFonts w:ascii="David" w:hAnsi="David"/>
          <w:noProof w:val="0"/>
          <w:spacing w:val="10"/>
          <w:rtl/>
        </w:rPr>
        <w:t xml:space="preserve"> </w:t>
      </w:r>
      <w:r w:rsidRPr="00A00782">
        <w:rPr>
          <w:rFonts w:ascii="David" w:hAnsi="David"/>
          <w:b/>
          <w:bCs/>
          <w:noProof w:val="0"/>
          <w:spacing w:val="10"/>
          <w:rtl/>
        </w:rPr>
        <w:t>שלם נ' טווינקו</w:t>
      </w:r>
      <w:r w:rsidRPr="00A00782">
        <w:rPr>
          <w:rFonts w:ascii="David" w:hAnsi="David"/>
          <w:noProof w:val="0"/>
          <w:spacing w:val="10"/>
          <w:rtl/>
        </w:rPr>
        <w:t xml:space="preserve"> מיום 13.12.06 :</w:t>
      </w:r>
    </w:p>
    <w:p w14:paraId="611A0C11"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hAnsi="David"/>
          <w:noProof w:val="0"/>
          <w:rtl/>
          <w:lang w:eastAsia="he-IL"/>
        </w:rPr>
        <w:tab/>
        <w:t>"נקודת המוצא של הדיון בפעולת קונסטרוקציית השיתוף במשפט הפרטי היא כי מתקיימת חזקת שיתוף בין בני הזוג - ניהול אורח חיים תקין ומאמץ משותף. משמתמלא תנאי זה, יש להבחין בין הנכסים המשפחתיים המובהקים ובמרכזם דירת המגורים, לשאר הנכסים. לגבי נכסים משפחתיים מובהקים מתגבש השיתוף בהתמלא התנאים בדבר ניהול אורח חיים תקין ומאמץ משותף. לגבי כלל הזכויות והחובות (למעט הנכסים המשפחתיים המובהקים), מתגבש השיתוף "במועד קריטי" בחיי הנישואין"</w:t>
      </w:r>
      <w:r w:rsidRPr="00002793">
        <w:rPr>
          <w:rFonts w:ascii="David" w:hAnsi="David"/>
          <w:noProof w:val="0"/>
          <w:spacing w:val="10"/>
          <w:rtl/>
        </w:rPr>
        <w:t xml:space="preserve"> (סעיף 33 לפסק דינו של השופט ברק)... "</w:t>
      </w:r>
      <w:r w:rsidRPr="00002793">
        <w:rPr>
          <w:rFonts w:ascii="David" w:hAnsi="David"/>
          <w:noProof w:val="0"/>
          <w:spacing w:val="10"/>
          <w:rtl/>
          <w:lang w:eastAsia="he-IL"/>
        </w:rPr>
        <w:t>מועד קריטי" בחיי הנישואין, כגון מות אחד הצדדים או המועד בו חיי הנישואין עומדים בפני סכנה משמעותית להמשכם התקין, בשל משבר חמור בין בני הזוג. אירועים כלכליים חריגים, כגון "חיסול" נכסיו של אחד מבני הזוג, פעולה כלכלית חריגה תוך הפרת חובת האמון כלפי בן הזוג השני או כניסתו של בן זוג להליכי פשיטת רגל, עשויים גם הם להוות "מועד קריטי". על "המועד הקריטי" להיקבע ממקרה למקרה, לפי נסיבות העניין, ואין באמור אלא משום הדגמת מצבים אפשריים של "מועדים קריטיים". ב"מועד הקריטי" מתגבש השיתוף בשאר הנכסים".</w:t>
      </w:r>
    </w:p>
    <w:p w14:paraId="3F4DDCB1"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tl/>
        </w:rPr>
      </w:pPr>
      <w:r w:rsidRPr="00002793">
        <w:rPr>
          <w:rFonts w:ascii="David" w:eastAsia="Calibri" w:hAnsi="David"/>
          <w:noProof w:val="0"/>
          <w:spacing w:val="10"/>
          <w:rtl/>
        </w:rPr>
        <w:t xml:space="preserve">עוד נקבע בפסיקה כי בתחרות בין זכות בן זוג מכוח חזקת השיתוף ובין זכות צד שלישי, המועד הרלוונטי לבחינת קיומו של "מועד קריטי" הוא מועד היווצרות הזכות של הצד השלישי. </w:t>
      </w:r>
    </w:p>
    <w:p w14:paraId="29183716" w14:textId="2D2CEFD3" w:rsidR="0084163C" w:rsidRPr="00A00782" w:rsidRDefault="00744C8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Pr>
      </w:pPr>
      <w:r w:rsidRPr="00A00782">
        <w:rPr>
          <w:rFonts w:ascii="David" w:hAnsi="David"/>
          <w:noProof w:val="0"/>
          <w:sz w:val="2"/>
          <w:szCs w:val="2"/>
          <w:rtl/>
        </w:rPr>
        <w:t>051293710</w:t>
      </w:r>
      <w:r w:rsidR="00000000" w:rsidRPr="00A00782">
        <w:rPr>
          <w:rFonts w:ascii="David" w:hAnsi="David"/>
          <w:noProof w:val="0"/>
          <w:rtl/>
        </w:rPr>
        <w:t>(</w:t>
      </w:r>
      <w:r w:rsidRPr="00A00782">
        <w:rPr>
          <w:rFonts w:ascii="David" w:hAnsi="David"/>
          <w:noProof w:val="0"/>
          <w:rtl/>
        </w:rPr>
        <w:t>עא  8497/06</w:t>
      </w:r>
      <w:r w:rsidR="00000000" w:rsidRPr="00A00782">
        <w:rPr>
          <w:rFonts w:ascii="David" w:hAnsi="David"/>
          <w:noProof w:val="0"/>
          <w:rtl/>
        </w:rPr>
        <w:t xml:space="preserve"> </w:t>
      </w:r>
      <w:r w:rsidR="00000000" w:rsidRPr="00A00782">
        <w:rPr>
          <w:rFonts w:ascii="David" w:hAnsi="David"/>
          <w:b/>
          <w:bCs/>
          <w:noProof w:val="0"/>
          <w:rtl/>
        </w:rPr>
        <w:t>רות טורג'מן לחמן נ' בנק דיסקונט לישראל בע"מ</w:t>
      </w:r>
      <w:r w:rsidR="00000000" w:rsidRPr="00A00782">
        <w:rPr>
          <w:rFonts w:ascii="David" w:eastAsia="Calibri" w:hAnsi="David"/>
          <w:noProof w:val="0"/>
          <w:spacing w:val="10"/>
          <w:rtl/>
        </w:rPr>
        <w:t xml:space="preserve"> מיום 4.8.08 </w:t>
      </w:r>
      <w:r w:rsidRPr="00A00782">
        <w:rPr>
          <w:rFonts w:ascii="David" w:hAnsi="David"/>
          <w:noProof w:val="0"/>
          <w:sz w:val="20"/>
          <w:szCs w:val="22"/>
          <w:rtl/>
        </w:rPr>
        <w:t>עא 3352/07</w:t>
      </w:r>
      <w:r w:rsidR="00000000" w:rsidRPr="00A00782">
        <w:rPr>
          <w:rFonts w:ascii="David" w:hAnsi="David"/>
          <w:noProof w:val="0"/>
          <w:sz w:val="20"/>
          <w:szCs w:val="22"/>
          <w:rtl/>
        </w:rPr>
        <w:t xml:space="preserve"> </w:t>
      </w:r>
      <w:r w:rsidR="00000000" w:rsidRPr="00A00782">
        <w:rPr>
          <w:rFonts w:ascii="David" w:eastAsia="Calibri" w:hAnsi="David"/>
          <w:b/>
          <w:bCs/>
          <w:noProof w:val="0"/>
          <w:spacing w:val="10"/>
          <w:rtl/>
        </w:rPr>
        <w:t>בנק הפועלים בע"מ נ' קריסטין הורש</w:t>
      </w:r>
      <w:r w:rsidR="00000000" w:rsidRPr="00A00782">
        <w:rPr>
          <w:rFonts w:ascii="David" w:eastAsia="Calibri" w:hAnsi="David"/>
          <w:noProof w:val="0"/>
          <w:spacing w:val="10"/>
          <w:rtl/>
        </w:rPr>
        <w:t xml:space="preserve"> מיום 7.12.09).</w:t>
      </w:r>
    </w:p>
    <w:p w14:paraId="21061718" w14:textId="77777777" w:rsidR="0084163C" w:rsidRPr="00002793" w:rsidRDefault="00744C8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tl/>
        </w:rPr>
      </w:pPr>
      <w:r w:rsidRPr="00744C80">
        <w:rPr>
          <w:rFonts w:ascii="David" w:eastAsia="Calibri" w:hAnsi="David"/>
          <w:noProof w:val="0"/>
          <w:color w:val="FFFFFF"/>
          <w:spacing w:val="10"/>
          <w:sz w:val="2"/>
          <w:szCs w:val="2"/>
          <w:rtl/>
        </w:rPr>
        <w:t>054678313</w:t>
      </w:r>
      <w:r w:rsidR="00000000" w:rsidRPr="00002793">
        <w:rPr>
          <w:rFonts w:ascii="David" w:eastAsia="Calibri" w:hAnsi="David"/>
          <w:noProof w:val="0"/>
          <w:spacing w:val="10"/>
          <w:rtl/>
        </w:rPr>
        <w:t>התובעת הצהירה כי בני הזוג רכשו את המקרקעין במאמץ משותף.</w:t>
      </w:r>
    </w:p>
    <w:p w14:paraId="01B0ADDE"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Pr>
      </w:pPr>
      <w:r w:rsidRPr="00002793">
        <w:rPr>
          <w:rFonts w:ascii="David" w:eastAsia="Calibri" w:hAnsi="David"/>
          <w:noProof w:val="0"/>
          <w:spacing w:val="10"/>
          <w:rtl/>
        </w:rPr>
        <w:t>לעדותה הם קבלו יחדיו את החלטה על רכישת המקרקעין (עמ' 3 ש' 1-5).</w:t>
      </w:r>
    </w:p>
    <w:p w14:paraId="720ACF53"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התובעת הצהירה כי לצורך רכישת הקרקע עשו שימוש בחסכונותיהם, מכירת   זהב ששוויו בסך של 250,000 ₪ וצירפה תרגום הצהרת אביה המנוח שהוריש לה סך של 150,000 ₪.</w:t>
      </w:r>
    </w:p>
    <w:p w14:paraId="23C08D68"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tl/>
        </w:rPr>
      </w:pPr>
      <w:r w:rsidRPr="00002793">
        <w:rPr>
          <w:rFonts w:ascii="David" w:eastAsia="Calibri" w:hAnsi="David"/>
          <w:noProof w:val="0"/>
          <w:spacing w:val="10"/>
          <w:rtl/>
        </w:rPr>
        <w:t xml:space="preserve">הגם שהתובעת לא צרפה ראיות כי השתתפה במימון רכישת המקרקעין, </w:t>
      </w:r>
      <w:r w:rsidRPr="00002793">
        <w:rPr>
          <w:rFonts w:ascii="David" w:hAnsi="David"/>
          <w:noProof w:val="0"/>
          <w:spacing w:val="10"/>
          <w:rtl/>
        </w:rPr>
        <w:t>ואין בידיה קבלות לזהב שמכרה (עמ' 5 ש' 4-5), הרי ש</w:t>
      </w:r>
      <w:r w:rsidRPr="00002793">
        <w:rPr>
          <w:rFonts w:ascii="David" w:eastAsia="Calibri" w:hAnsi="David"/>
          <w:noProof w:val="0"/>
          <w:spacing w:val="10"/>
          <w:rtl/>
        </w:rPr>
        <w:t xml:space="preserve">אין חולק כי הם נרכשו במהלך החיים המשותפים. </w:t>
      </w:r>
    </w:p>
    <w:p w14:paraId="2CFD88B4"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Pr>
      </w:pPr>
      <w:r w:rsidRPr="00002793">
        <w:rPr>
          <w:rFonts w:ascii="David" w:eastAsia="Calibri" w:hAnsi="David"/>
          <w:noProof w:val="0"/>
          <w:spacing w:val="10"/>
          <w:rtl/>
        </w:rPr>
        <w:t>עוד הצהירה כי מדובר בקרקע פרטית עליה יקימו את דירת המגורים שלהם ושל ילדיהם שיחתנו (סעיף 4 לתצהיר) וטרם הקרע פנו למהנדס כדי להגיש בקשה למתן היתר בנייה כדי לבנות על הקרקע (סעיף 13).</w:t>
      </w:r>
    </w:p>
    <w:p w14:paraId="15722488"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tl/>
        </w:rPr>
      </w:pPr>
      <w:r w:rsidRPr="00002793">
        <w:rPr>
          <w:rFonts w:ascii="David" w:eastAsia="Calibri" w:hAnsi="David"/>
          <w:noProof w:val="0"/>
          <w:spacing w:val="10"/>
          <w:rtl/>
        </w:rPr>
        <w:t>מעדותה והצהרתה עולה כי מדובר בקרקע פנויה, אשר אינה משמשת למגורים.</w:t>
      </w:r>
    </w:p>
    <w:p w14:paraId="56F01F4A"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Pr>
      </w:pPr>
      <w:r w:rsidRPr="00002793">
        <w:rPr>
          <w:rFonts w:ascii="David" w:eastAsia="Calibri" w:hAnsi="David"/>
          <w:noProof w:val="0"/>
          <w:spacing w:val="10"/>
          <w:rtl/>
        </w:rPr>
        <w:t xml:space="preserve">התובעת אף העידה כי סמכה על בעלה באופן מוחלט וכי פעולותיו נעשו גם בשמה ועבורה : "ש: </w:t>
      </w:r>
      <w:r w:rsidRPr="00002793">
        <w:rPr>
          <w:rFonts w:ascii="David" w:eastAsia="Calibri" w:hAnsi="David"/>
          <w:noProof w:val="0"/>
          <w:spacing w:val="10"/>
          <w:rtl/>
        </w:rPr>
        <w:tab/>
        <w:t>את אומרת אני סמכתי עליו, נתתי לו שהוא יעשה מה שהוא רוצה בשביל שנינו</w:t>
      </w:r>
    </w:p>
    <w:p w14:paraId="54ED4853"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בדיוק" (תמליל עמ' עמ' 6 ש'5-6).</w:t>
      </w:r>
    </w:p>
    <w:p w14:paraId="2DFC8E51"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tl/>
        </w:rPr>
      </w:pPr>
      <w:r w:rsidRPr="00002793">
        <w:rPr>
          <w:rFonts w:ascii="David" w:eastAsia="Calibri" w:hAnsi="David"/>
          <w:noProof w:val="0"/>
          <w:spacing w:val="10"/>
          <w:rtl/>
        </w:rPr>
        <w:t>המקרקעין נרכשו על ידי הבעל בלבד כך עולה גם מחוזה הרכישה. דיווחי המס נעשו אך ורק על שמו והערת אזהרה נרשמה רק על שמו.</w:t>
      </w:r>
    </w:p>
    <w:p w14:paraId="4CEC7E0F"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Pr>
      </w:pPr>
      <w:r w:rsidRPr="00002793">
        <w:rPr>
          <w:rFonts w:ascii="David" w:eastAsia="Calibri" w:hAnsi="David"/>
          <w:noProof w:val="0"/>
          <w:spacing w:val="10"/>
          <w:rtl/>
        </w:rPr>
        <w:t>התובעת לא הייתה מעורבת ברכישת המקרקעין. היא לא  יודעת את שמו של מוכר המקרקעין, מעולם לא נפגשה ולא שוחחה עימו, היא לא מכירה את חוזה הרכישה, היא לא נכחה בעת החתימה עליו, היא לא יודעת פרטים על המקרקעין, בכמה נרכשו המקרקעין וכיצד שולמה התמורה, אינה יודעת מי העו"ד שייצג בעסק, היא לא יודעת את זהות המהנדס אשר לטענתה היה אמור לתכנן את בניית המבנה, לא יודעת אם הוכנה תוכנית, אם שולם סכום כלשהו למהנדס.</w:t>
      </w:r>
    </w:p>
    <w:p w14:paraId="27ACEDFA"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Pr>
      </w:pPr>
      <w:r w:rsidRPr="00002793">
        <w:rPr>
          <w:rFonts w:ascii="David" w:eastAsia="Calibri" w:hAnsi="David"/>
          <w:noProof w:val="0"/>
          <w:spacing w:val="10"/>
          <w:rtl/>
        </w:rPr>
        <w:t>"ש: שילמתם למהנדס?</w:t>
      </w:r>
    </w:p>
    <w:p w14:paraId="30325235"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לא, אני לא יודעת מזה</w:t>
      </w:r>
    </w:p>
    <w:p w14:paraId="1588928C"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תגידי, ממי קניתם את המגרש? את האדמה ממי קניתם?</w:t>
      </w:r>
    </w:p>
    <w:p w14:paraId="336ACFCA"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(מדברת בערבית)</w:t>
      </w:r>
    </w:p>
    <w:p w14:paraId="23B24470"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את לא יודעת מה השם שלו?</w:t>
      </w:r>
    </w:p>
    <w:p w14:paraId="08F83E2E"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 xml:space="preserve">ת: לא אולי </w:t>
      </w:r>
      <w:r>
        <w:rPr>
          <w:rFonts w:ascii="David" w:eastAsia="Calibri" w:hAnsi="David" w:hint="cs"/>
          <w:noProof w:val="0"/>
          <w:spacing w:val="10"/>
          <w:rtl/>
        </w:rPr>
        <w:t>...</w:t>
      </w:r>
      <w:r w:rsidRPr="00002793">
        <w:rPr>
          <w:rFonts w:ascii="David" w:eastAsia="Calibri" w:hAnsi="David"/>
          <w:noProof w:val="0"/>
          <w:spacing w:val="10"/>
          <w:rtl/>
        </w:rPr>
        <w:t xml:space="preserve"> מה המשפחה אבל מה השם שלו בדיוק אני לא יודעת</w:t>
      </w:r>
    </w:p>
    <w:p w14:paraId="367614BF"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 xml:space="preserve">ש: שם משפחה שלו </w:t>
      </w:r>
      <w:r>
        <w:rPr>
          <w:rFonts w:ascii="David" w:eastAsia="Calibri" w:hAnsi="David" w:hint="cs"/>
          <w:noProof w:val="0"/>
          <w:spacing w:val="10"/>
          <w:rtl/>
        </w:rPr>
        <w:t>...</w:t>
      </w:r>
    </w:p>
    <w:p w14:paraId="6B06B967"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 xml:space="preserve">ת: אולי זה </w:t>
      </w:r>
      <w:r>
        <w:rPr>
          <w:rFonts w:ascii="David" w:eastAsia="Calibri" w:hAnsi="David" w:hint="cs"/>
          <w:noProof w:val="0"/>
          <w:spacing w:val="10"/>
          <w:rtl/>
        </w:rPr>
        <w:t>...</w:t>
      </w:r>
    </w:p>
    <w:p w14:paraId="7C039256"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את נפגשת איתו פעם?</w:t>
      </w:r>
    </w:p>
    <w:p w14:paraId="3011D911"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לא, לא ראיתי אותו בכלל</w:t>
      </w:r>
    </w:p>
    <w:p w14:paraId="37C12357"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דיברת איתו פעם?</w:t>
      </w:r>
    </w:p>
    <w:p w14:paraId="077582FF"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לא דיברתי איתו בכלל</w:t>
      </w:r>
    </w:p>
    <w:p w14:paraId="422F2191"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את יודעת כמה מיסים שילמתם על הקניה?</w:t>
      </w:r>
    </w:p>
    <w:p w14:paraId="2527829B"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לא</w:t>
      </w:r>
    </w:p>
    <w:p w14:paraId="77CA405C"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איפה נחתם חוזה הרכישה? החוזה שקניתם את הקרקע, איפה הוא נחתם החוזה?</w:t>
      </w:r>
    </w:p>
    <w:p w14:paraId="2513F146"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אני לא יודעת, לא ראית</w:t>
      </w:r>
    </w:p>
    <w:p w14:paraId="091BDAFB"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מי העו"ד שייצג אתכם?</w:t>
      </w:r>
    </w:p>
    <w:p w14:paraId="0CAC8CC7"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גם אני לא יודעת</w:t>
      </w:r>
    </w:p>
    <w:p w14:paraId="52A16D9B"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מה הגודל של המגרש, של האדמה?</w:t>
      </w:r>
    </w:p>
    <w:p w14:paraId="15F6BFCF"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1,000 דונם</w:t>
      </w:r>
    </w:p>
    <w:p w14:paraId="36291C46"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ש: את יודעת איך העבירו את הכסף למוכר?</w:t>
      </w:r>
    </w:p>
    <w:p w14:paraId="622E8C7C"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ת: לא"</w:t>
      </w:r>
    </w:p>
    <w:p w14:paraId="2ED04FD5"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tl/>
        </w:rPr>
      </w:pPr>
      <w:r w:rsidRPr="00002793">
        <w:rPr>
          <w:rFonts w:ascii="David" w:eastAsia="Calibri" w:hAnsi="David"/>
          <w:noProof w:val="0"/>
          <w:spacing w:val="10"/>
          <w:rtl/>
        </w:rPr>
        <w:t>(עמ' 7 ש' 6-27).</w:t>
      </w:r>
    </w:p>
    <w:p w14:paraId="08936F9B"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jc w:val="both"/>
        <w:rPr>
          <w:rFonts w:ascii="David" w:eastAsia="Calibri" w:hAnsi="David"/>
          <w:noProof w:val="0"/>
          <w:spacing w:val="10"/>
        </w:rPr>
      </w:pPr>
      <w:r w:rsidRPr="00002793">
        <w:rPr>
          <w:rFonts w:ascii="David" w:eastAsia="Calibri" w:hAnsi="David"/>
          <w:noProof w:val="0"/>
          <w:spacing w:val="10"/>
          <w:rtl/>
        </w:rPr>
        <w:t>בעלה של התובעת רכש את המקרקעין לבדו בשנת 2009 כמגרש פנוי שאינו משמש למגורים.</w:t>
      </w:r>
    </w:p>
    <w:p w14:paraId="1B2D3CE4"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eastAsia="Calibri" w:hAnsi="David"/>
          <w:noProof w:val="0"/>
          <w:spacing w:val="10"/>
        </w:rPr>
      </w:pPr>
      <w:r w:rsidRPr="00002793">
        <w:rPr>
          <w:rFonts w:ascii="David" w:eastAsia="Calibri" w:hAnsi="David"/>
          <w:noProof w:val="0"/>
          <w:spacing w:val="10"/>
          <w:rtl/>
        </w:rPr>
        <w:t>התובעת לא הביאה את בעלה למתן עדות או מי מבני המשפחה כדי להפריך את המצג העובדתי הנ"ל.</w:t>
      </w:r>
    </w:p>
    <w:p w14:paraId="3185B76B" w14:textId="059EE2D1" w:rsidR="0084163C" w:rsidRPr="00002793" w:rsidRDefault="00000000" w:rsidP="0084163C">
      <w:pPr>
        <w:numPr>
          <w:ilvl w:val="0"/>
          <w:numId w:val="1"/>
        </w:numPr>
        <w:tabs>
          <w:tab w:val="left" w:pos="800"/>
        </w:tabs>
        <w:overflowPunct w:val="0"/>
        <w:autoSpaceDE w:val="0"/>
        <w:autoSpaceDN w:val="0"/>
        <w:adjustRightInd w:val="0"/>
        <w:spacing w:after="160" w:line="360" w:lineRule="auto"/>
        <w:ind w:left="714" w:hanging="357"/>
        <w:jc w:val="both"/>
        <w:rPr>
          <w:rFonts w:ascii="Arial TUR" w:hAnsi="Arial TUR" w:cs="FrankRuehl"/>
          <w:noProof w:val="0"/>
          <w:spacing w:val="10"/>
          <w:sz w:val="22"/>
          <w:szCs w:val="28"/>
        </w:rPr>
      </w:pPr>
      <w:r w:rsidRPr="00002793">
        <w:rPr>
          <w:rFonts w:ascii="David" w:eastAsia="Calibri" w:hAnsi="David"/>
          <w:noProof w:val="0"/>
          <w:spacing w:val="10"/>
          <w:rtl/>
        </w:rPr>
        <w:t xml:space="preserve">בנוסף, לא נרשמה על המקרקעין כל הערת אזהרה היכולה להעיד על זכויותיה של </w:t>
      </w:r>
      <w:r w:rsidRPr="00A00782">
        <w:rPr>
          <w:rFonts w:ascii="David" w:eastAsia="Calibri" w:hAnsi="David"/>
          <w:noProof w:val="0"/>
          <w:spacing w:val="10"/>
          <w:rtl/>
        </w:rPr>
        <w:t>התובעת בהם, עובדה השוללת את תום ליבה (</w:t>
      </w:r>
      <w:r w:rsidR="00744C80" w:rsidRPr="00A00782">
        <w:rPr>
          <w:rFonts w:ascii="David" w:eastAsia="Calibri" w:hAnsi="David"/>
          <w:noProof w:val="0"/>
          <w:spacing w:val="10"/>
          <w:rtl/>
        </w:rPr>
        <w:t>ע"א 2643/97</w:t>
      </w:r>
      <w:r w:rsidRPr="00A00782">
        <w:rPr>
          <w:rFonts w:ascii="David" w:eastAsia="Calibri" w:hAnsi="David"/>
          <w:noProof w:val="0"/>
          <w:spacing w:val="10"/>
          <w:rtl/>
        </w:rPr>
        <w:t xml:space="preserve"> </w:t>
      </w:r>
      <w:r w:rsidRPr="00A00782">
        <w:rPr>
          <w:rFonts w:ascii="David" w:eastAsia="Calibri" w:hAnsi="David"/>
          <w:b/>
          <w:bCs/>
          <w:noProof w:val="0"/>
          <w:spacing w:val="10"/>
          <w:rtl/>
        </w:rPr>
        <w:t>גנז נ' בריטיש</w:t>
      </w:r>
      <w:r w:rsidRPr="00002793">
        <w:rPr>
          <w:rFonts w:ascii="David" w:eastAsia="Calibri" w:hAnsi="David"/>
          <w:b/>
          <w:bCs/>
          <w:noProof w:val="0"/>
          <w:spacing w:val="10"/>
          <w:rtl/>
        </w:rPr>
        <w:t xml:space="preserve"> וקולוניאל חברה</w:t>
      </w:r>
      <w:r w:rsidRPr="00002793">
        <w:rPr>
          <w:rFonts w:ascii="David" w:eastAsia="Calibri" w:hAnsi="David"/>
          <w:noProof w:val="0"/>
          <w:spacing w:val="10"/>
          <w:rtl/>
        </w:rPr>
        <w:t xml:space="preserve"> </w:t>
      </w:r>
      <w:r w:rsidRPr="00002793">
        <w:rPr>
          <w:rFonts w:ascii="David" w:eastAsia="Calibri" w:hAnsi="David"/>
          <w:b/>
          <w:bCs/>
          <w:noProof w:val="0"/>
          <w:spacing w:val="10"/>
          <w:rtl/>
        </w:rPr>
        <w:t>בע"מ</w:t>
      </w:r>
      <w:r w:rsidRPr="00002793">
        <w:rPr>
          <w:rFonts w:ascii="David" w:eastAsia="Calibri" w:hAnsi="David"/>
          <w:noProof w:val="0"/>
          <w:spacing w:val="10"/>
          <w:rtl/>
        </w:rPr>
        <w:t>, פ"ד נז(2) 385 (2003).</w:t>
      </w:r>
    </w:p>
    <w:p w14:paraId="71DA4D5F" w14:textId="77777777" w:rsidR="0084163C" w:rsidRPr="00002793" w:rsidRDefault="00000000" w:rsidP="0084163C">
      <w:pPr>
        <w:numPr>
          <w:ilvl w:val="0"/>
          <w:numId w:val="1"/>
        </w:numPr>
        <w:spacing w:after="160" w:line="360" w:lineRule="auto"/>
        <w:contextualSpacing/>
        <w:jc w:val="both"/>
        <w:rPr>
          <w:rFonts w:ascii="Arial TUR" w:hAnsi="Arial TUR" w:cs="FrankRuehl"/>
          <w:noProof w:val="0"/>
          <w:sz w:val="22"/>
          <w:szCs w:val="28"/>
        </w:rPr>
      </w:pPr>
      <w:r w:rsidRPr="00002793">
        <w:rPr>
          <w:rFonts w:ascii="David" w:eastAsia="Calibri" w:hAnsi="David"/>
          <w:noProof w:val="0"/>
          <w:rtl/>
        </w:rPr>
        <w:t xml:space="preserve"> </w:t>
      </w:r>
      <w:r w:rsidRPr="00002793">
        <w:rPr>
          <w:rFonts w:ascii="David" w:hAnsi="David"/>
          <w:noProof w:val="0"/>
          <w:spacing w:val="10"/>
          <w:rtl/>
        </w:rPr>
        <w:t>לטענת הבנק הסתמך על המצגים הללו ועל הרישום בפנקס המקרקעין בלבד כדי לתת לבעל אשראי אשר הובטח בשעבוד על המקרקעין.</w:t>
      </w:r>
    </w:p>
    <w:p w14:paraId="5ED73CFB" w14:textId="77777777" w:rsidR="0084163C" w:rsidRPr="00002793" w:rsidRDefault="00000000" w:rsidP="0084163C">
      <w:pPr>
        <w:numPr>
          <w:ilvl w:val="0"/>
          <w:numId w:val="1"/>
        </w:numPr>
        <w:spacing w:after="160" w:line="360" w:lineRule="auto"/>
        <w:contextualSpacing/>
        <w:jc w:val="both"/>
        <w:rPr>
          <w:rFonts w:ascii="Arial TUR" w:hAnsi="Arial TUR" w:cs="FrankRuehl"/>
          <w:noProof w:val="0"/>
          <w:sz w:val="22"/>
          <w:szCs w:val="28"/>
        </w:rPr>
      </w:pPr>
      <w:r w:rsidRPr="00002793">
        <w:rPr>
          <w:rFonts w:ascii="David" w:hAnsi="David"/>
          <w:noProof w:val="0"/>
          <w:rtl/>
        </w:rPr>
        <w:t xml:space="preserve">מאחר שאין מדובר בדירת מגורים הרי שהמועד בו מתגבש השיתוף בזכויות בגין המקרקעין הינו "מועד קריטי" כלשהו, כגון משבר חמור בחיי הנישואין או אירוע כלכלי חריג (פרשת שלם). חתימת הבעל על שעבוד המקרקעין בשנת 2016 נעשתה בטרם התרחש "מועד קריטי" כלשהו בחיי בני הזוג, ולטענת התובעת חיי הנישואין התנהלו כרגיל עד לחודש 2/21. </w:t>
      </w:r>
    </w:p>
    <w:p w14:paraId="024B529D" w14:textId="77777777" w:rsidR="0084163C" w:rsidRPr="00002793" w:rsidRDefault="00000000" w:rsidP="0084163C">
      <w:pPr>
        <w:numPr>
          <w:ilvl w:val="0"/>
          <w:numId w:val="1"/>
        </w:numPr>
        <w:spacing w:after="160" w:line="360" w:lineRule="auto"/>
        <w:ind w:left="714" w:hanging="357"/>
        <w:contextualSpacing/>
        <w:jc w:val="both"/>
        <w:rPr>
          <w:rFonts w:ascii="David" w:hAnsi="David"/>
          <w:noProof w:val="0"/>
        </w:rPr>
      </w:pPr>
      <w:r w:rsidRPr="00002793">
        <w:rPr>
          <w:rFonts w:ascii="David" w:hAnsi="David"/>
          <w:noProof w:val="0"/>
          <w:rtl/>
        </w:rPr>
        <w:t>אשר על כן, שעבוד המקרקעין נעשה טרם "המועד הקריטי" והוא קודם לזכותה של התובעת בהם מכוח חזקת השיתוף.</w:t>
      </w:r>
    </w:p>
    <w:p w14:paraId="1EACF3F4" w14:textId="77777777" w:rsidR="0084163C" w:rsidRPr="00002793" w:rsidRDefault="00000000" w:rsidP="0084163C">
      <w:pPr>
        <w:numPr>
          <w:ilvl w:val="0"/>
          <w:numId w:val="1"/>
        </w:numPr>
        <w:spacing w:after="160" w:line="360" w:lineRule="auto"/>
        <w:contextualSpacing/>
        <w:jc w:val="both"/>
        <w:rPr>
          <w:rFonts w:ascii="Arial TUR" w:hAnsi="Arial TUR" w:cs="FrankRuehl"/>
          <w:noProof w:val="0"/>
          <w:sz w:val="22"/>
          <w:szCs w:val="28"/>
          <w:rtl/>
        </w:rPr>
      </w:pPr>
      <w:r w:rsidRPr="00002793">
        <w:rPr>
          <w:noProof w:val="0"/>
          <w:sz w:val="20"/>
          <w:rtl/>
        </w:rPr>
        <w:t>נותר לבחון את "חובת תום הלב" של הבנק במישור האובייקטיבי, בכך שהסתמך על הרישום בטאבו ולא החתים את התובעת על מסמכי המשכון ולא יידע אותה על כך.</w:t>
      </w:r>
    </w:p>
    <w:p w14:paraId="6C17A3D8" w14:textId="62D5A1A4" w:rsidR="0084163C" w:rsidRPr="00A00782" w:rsidRDefault="00000000" w:rsidP="0084163C">
      <w:pPr>
        <w:numPr>
          <w:ilvl w:val="0"/>
          <w:numId w:val="1"/>
        </w:numPr>
        <w:spacing w:after="160" w:line="360" w:lineRule="auto"/>
        <w:contextualSpacing/>
        <w:jc w:val="both"/>
        <w:rPr>
          <w:rFonts w:ascii="David" w:hAnsi="David"/>
          <w:noProof w:val="0"/>
        </w:rPr>
      </w:pPr>
      <w:r w:rsidRPr="00002793">
        <w:rPr>
          <w:noProof w:val="0"/>
          <w:sz w:val="20"/>
          <w:rtl/>
        </w:rPr>
        <w:t xml:space="preserve">לטענת התובעת, הבנק פעל בניגוד לדין ושלא בתום לב ברישום משכון על המקרקעין ללא יידוע התובעת. </w:t>
      </w:r>
      <w:r w:rsidRPr="00002793">
        <w:rPr>
          <w:rFonts w:ascii="David" w:hAnsi="David"/>
          <w:noProof w:val="0"/>
          <w:rtl/>
        </w:rPr>
        <w:t xml:space="preserve">היה על הבנק לדעת כי החייב נשוי, והיה עליו לערוך בירור ובדיקה יסודית באשר לזכויות בת הזוג במקרקעין לאור חזקת השיתוף ופער השנים בין מועד הרכישה </w:t>
      </w:r>
      <w:r w:rsidRPr="00A00782">
        <w:rPr>
          <w:rFonts w:ascii="David" w:hAnsi="David"/>
          <w:noProof w:val="0"/>
          <w:rtl/>
        </w:rPr>
        <w:t xml:space="preserve">לרישום המשכון. בכך מנוע הבנק מליהנות מהגנת </w:t>
      </w:r>
      <w:r w:rsidR="0021095F" w:rsidRPr="00A00782">
        <w:rPr>
          <w:rFonts w:ascii="David" w:hAnsi="David"/>
          <w:noProof w:val="0"/>
          <w:rtl/>
        </w:rPr>
        <w:t>סעיף 9</w:t>
      </w:r>
      <w:r w:rsidRPr="00A00782">
        <w:rPr>
          <w:rFonts w:ascii="David" w:hAnsi="David"/>
          <w:noProof w:val="0"/>
          <w:rtl/>
        </w:rPr>
        <w:t xml:space="preserve"> ל</w:t>
      </w:r>
      <w:r w:rsidR="00744C80" w:rsidRPr="00A00782">
        <w:rPr>
          <w:rFonts w:ascii="David" w:hAnsi="David"/>
          <w:noProof w:val="0"/>
          <w:rtl/>
        </w:rPr>
        <w:t>חוק המקרקעין</w:t>
      </w:r>
      <w:r w:rsidRPr="00A00782">
        <w:rPr>
          <w:rFonts w:ascii="David" w:hAnsi="David"/>
          <w:noProof w:val="0"/>
          <w:rtl/>
        </w:rPr>
        <w:t>.</w:t>
      </w:r>
    </w:p>
    <w:p w14:paraId="61F57BE5"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אני דוחה את טענת התובעת להעדר תום לב מצד הבנק, הן בהיבט של כל פעולה של בעלה מחייבת גם אותה במשתמע והן בהיבט שלא נתתי אמון בטענתה כי לא ידעה על הליכי מימוש המשכון והן בהיבט שמדובר במקרקעין שהם נכס להשקעה/עסקיים ולא שמשו למגורים.</w:t>
      </w:r>
    </w:p>
    <w:p w14:paraId="219EE5B9"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 xml:space="preserve">התובעת העידה כי בעלה פרנס את המשפחה מעסק </w:t>
      </w:r>
      <w:r>
        <w:rPr>
          <w:rFonts w:ascii="David" w:hAnsi="David" w:hint="cs"/>
          <w:noProof w:val="0"/>
          <w:rtl/>
        </w:rPr>
        <w:t>...</w:t>
      </w:r>
      <w:r w:rsidRPr="00002793">
        <w:rPr>
          <w:rFonts w:ascii="David" w:hAnsi="David"/>
          <w:noProof w:val="0"/>
          <w:rtl/>
        </w:rPr>
        <w:t xml:space="preserve"> שבבעלותו (עמ' 3 ש' 29-33) וכי סמכה על בעלה ואפשרה לו לבצע כל פעולה לפי שקול דעתו (עמ' 5 ש' 34) "אצלנו בעל הוא עושה הכול, אני נותנת לו מה שיש לי אבל אני סומכת עליו".</w:t>
      </w:r>
      <w:r w:rsidRPr="00002793">
        <w:rPr>
          <w:rFonts w:ascii="Arial TUR" w:hAnsi="Arial TUR" w:cs="FrankRuehl"/>
          <w:noProof w:val="0"/>
          <w:sz w:val="22"/>
          <w:szCs w:val="28"/>
          <w:rtl/>
        </w:rPr>
        <w:t xml:space="preserve"> </w:t>
      </w:r>
      <w:r w:rsidRPr="00002793">
        <w:rPr>
          <w:rFonts w:ascii="David" w:hAnsi="David"/>
          <w:noProof w:val="0"/>
          <w:rtl/>
        </w:rPr>
        <w:t>בסיכומיה הסבירה כי בהשתייכותה לעדה מסורתית שמרנית השאירה את כל העניינים הנוגעים לרכישת המקרקעין לבעלה (סעיף 12 לסיכומים). ובתצהירה הצהירה כי : "היא לא מכחישה שבעלה הסתבך כלכלית" (סעיף 6) ואישרה בעדותה: "שכשהוא מתחייב לשלם זה גם בשביל שניכם" (עמ' 6 ש' 4-5).</w:t>
      </w:r>
    </w:p>
    <w:p w14:paraId="67DFA267"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התובעת העידה כי לא ידוע לה כיצד בעלה מימון את הפעילות העסקית שלו (עמ' 4 ש' 14-16). כשמדובר בפעילות ונכסים עסקיים שתפעולם מחייב מומחיות, הגיוני שבן הזוג שהוא בעל המקצוע ושבמבקרים רבים גם הטמיע את אישיותו בעסק והשקיע את המוניטין האישי שלו יהיה גם בעל הסמכות הבלעדית לקבל החלטות בעניין ניהולו.</w:t>
      </w:r>
    </w:p>
    <w:p w14:paraId="09662C1A"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בפסיקה נקבע כי פעולה של אחד מבני הזוג מול צד שלישי מחייבת אף את בן הזוג השני, וזאת מכוח חזקת השיתוף המושתת על הנחה בדבר יחסי הרמוניה וחלוקת תפקידים בין בני הזוג.</w:t>
      </w:r>
    </w:p>
    <w:p w14:paraId="2FB69D64" w14:textId="156F7541" w:rsidR="0084163C" w:rsidRPr="00A00782" w:rsidRDefault="00000000" w:rsidP="0084163C">
      <w:pPr>
        <w:spacing w:after="160" w:line="360" w:lineRule="auto"/>
        <w:ind w:left="720"/>
        <w:contextualSpacing/>
        <w:jc w:val="both"/>
        <w:rPr>
          <w:rFonts w:ascii="David" w:hAnsi="David"/>
          <w:noProof w:val="0"/>
        </w:rPr>
      </w:pPr>
      <w:r w:rsidRPr="00002793">
        <w:rPr>
          <w:rFonts w:ascii="David" w:hAnsi="David"/>
          <w:noProof w:val="0"/>
          <w:rtl/>
        </w:rPr>
        <w:t xml:space="preserve">"פעולה שעשה בן-זוג בנכס הרשום על שמו עם צד שלישי בתום-לב מחייבת את בן הזוג האחר. שכן ההנחה – המעוגנת בתנאים שביסוד חזקת השיתוף: יחסים הרמוניים בין בני הזוג וחלוקת תפקידים ביניהם במאמץ המשותף – היא כי בן הזוג שהנכס רשום על שמו פעל גם בשם בן הזוג האחר...עם זאת, לנוכח ההנחה האמורה בדבר הסכמת בן הזוג, באין ידיעה לצד השלישי על פירוד או על מריבות, אין הוא חייב לתת דעתו לשאלה אם לבן הזוג </w:t>
      </w:r>
      <w:r w:rsidRPr="00A00782">
        <w:rPr>
          <w:rFonts w:ascii="David" w:hAnsi="David"/>
          <w:noProof w:val="0"/>
          <w:rtl/>
        </w:rPr>
        <w:t>זכויות ואם הוא הסכים לעסקה" (</w:t>
      </w:r>
      <w:r w:rsidR="00744C80" w:rsidRPr="00A00782">
        <w:rPr>
          <w:rFonts w:ascii="David" w:hAnsi="David"/>
          <w:noProof w:val="0"/>
          <w:rtl/>
        </w:rPr>
        <w:t>ע"א 3563/92</w:t>
      </w:r>
      <w:r w:rsidRPr="00A00782">
        <w:rPr>
          <w:rFonts w:ascii="David" w:hAnsi="David"/>
          <w:noProof w:val="0"/>
          <w:rtl/>
        </w:rPr>
        <w:t xml:space="preserve"> </w:t>
      </w:r>
      <w:r w:rsidRPr="00A00782">
        <w:rPr>
          <w:rFonts w:ascii="David" w:hAnsi="David"/>
          <w:b/>
          <w:bCs/>
          <w:noProof w:val="0"/>
          <w:rtl/>
        </w:rPr>
        <w:t xml:space="preserve">עזבון המנוח מאיר גיטלר ז"ל נ' דבורה גיטלר </w:t>
      </w:r>
      <w:r w:rsidRPr="00A00782">
        <w:rPr>
          <w:rFonts w:ascii="David" w:hAnsi="David"/>
          <w:noProof w:val="0"/>
          <w:rtl/>
        </w:rPr>
        <w:t>פ"ד מח (5) 485).</w:t>
      </w:r>
    </w:p>
    <w:p w14:paraId="0BC0C4CC" w14:textId="3325A865" w:rsidR="0084163C" w:rsidRPr="00A00782" w:rsidRDefault="00000000" w:rsidP="0084163C">
      <w:pPr>
        <w:spacing w:after="160" w:line="360" w:lineRule="auto"/>
        <w:ind w:left="720"/>
        <w:contextualSpacing/>
        <w:jc w:val="both"/>
        <w:rPr>
          <w:rFonts w:ascii="David" w:hAnsi="David"/>
          <w:noProof w:val="0"/>
          <w:rtl/>
        </w:rPr>
      </w:pPr>
      <w:r w:rsidRPr="00A00782">
        <w:rPr>
          <w:rFonts w:ascii="David" w:hAnsi="David"/>
          <w:noProof w:val="0"/>
          <w:rtl/>
        </w:rPr>
        <w:t xml:space="preserve">ראה לעניין זה גם </w:t>
      </w:r>
      <w:r w:rsidR="00744C80" w:rsidRPr="00A00782">
        <w:rPr>
          <w:rFonts w:ascii="David" w:hAnsi="David"/>
          <w:noProof w:val="0"/>
          <w:rtl/>
        </w:rPr>
        <w:t>ע"א 29/86</w:t>
      </w:r>
      <w:r w:rsidRPr="00A00782">
        <w:rPr>
          <w:rFonts w:ascii="David" w:hAnsi="David"/>
          <w:noProof w:val="0"/>
          <w:rtl/>
        </w:rPr>
        <w:t xml:space="preserve"> </w:t>
      </w:r>
      <w:r w:rsidRPr="00A00782">
        <w:rPr>
          <w:rFonts w:ascii="David" w:hAnsi="David"/>
          <w:b/>
          <w:bCs/>
          <w:noProof w:val="0"/>
          <w:rtl/>
        </w:rPr>
        <w:t>אי.תי.ס. נהיגה עצמית בע"מ נ' משה קרול</w:t>
      </w:r>
      <w:r w:rsidRPr="00A00782">
        <w:rPr>
          <w:rFonts w:ascii="David" w:hAnsi="David"/>
          <w:noProof w:val="0"/>
          <w:rtl/>
        </w:rPr>
        <w:t>, פ"ד מד(1) 864:</w:t>
      </w:r>
    </w:p>
    <w:p w14:paraId="7D4A73D0" w14:textId="67BFF8EC" w:rsidR="0084163C" w:rsidRPr="00002793" w:rsidRDefault="00000000" w:rsidP="0084163C">
      <w:pPr>
        <w:spacing w:after="160" w:line="360" w:lineRule="auto"/>
        <w:ind w:left="720"/>
        <w:contextualSpacing/>
        <w:jc w:val="both"/>
        <w:rPr>
          <w:rFonts w:ascii="David" w:hAnsi="David"/>
          <w:noProof w:val="0"/>
          <w:rtl/>
        </w:rPr>
      </w:pPr>
      <w:r w:rsidRPr="00002793">
        <w:rPr>
          <w:rFonts w:ascii="David" w:hAnsi="David"/>
          <w:noProof w:val="0"/>
          <w:rtl/>
        </w:rPr>
        <w:t xml:space="preserve">"על סמך כוונה נאמדת של בני הזוג, רואה אני הכרח להוסיף למסגרת "החוזה" גם תנאי משתמע, לפחות לגבי נכס שאינו דירת בני הזוג, כי התחייבות לעשות עיסקה, שהתחייב בן-הזוג הרשום כלפי צד שלישי תם-לב, הינה גם על דעת בן-הזוג האחר, כמשתמע "מעצם השארת הבעלות או החזקה בידי אותו בן-זוג" ... שאחרת מעמידים אנו את הלכת השיתוף, </w:t>
      </w:r>
      <w:r w:rsidRPr="00A00782">
        <w:rPr>
          <w:rFonts w:ascii="David" w:hAnsi="David"/>
          <w:noProof w:val="0"/>
          <w:rtl/>
        </w:rPr>
        <w:t xml:space="preserve">שהינה בסופו של דבר יצירת הפסיקה, לגמרי מחוץ למשטר המקרקעין, אותו קבע </w:t>
      </w:r>
      <w:r w:rsidR="00744C80" w:rsidRPr="00A00782">
        <w:rPr>
          <w:rFonts w:ascii="David" w:hAnsi="David"/>
          <w:noProof w:val="0"/>
          <w:rtl/>
        </w:rPr>
        <w:t>חוק המקרקעין</w:t>
      </w:r>
      <w:r w:rsidRPr="00A00782">
        <w:rPr>
          <w:rFonts w:ascii="David" w:hAnsi="David"/>
          <w:noProof w:val="0"/>
          <w:rtl/>
        </w:rPr>
        <w:t>, ובכלל זה כוחו הראייתי של הרישום (סעיף 125) וצורתה של התחייבות (סעיף</w:t>
      </w:r>
      <w:r w:rsidRPr="00002793">
        <w:rPr>
          <w:rFonts w:ascii="David" w:hAnsi="David"/>
          <w:noProof w:val="0"/>
          <w:rtl/>
        </w:rPr>
        <w:t xml:space="preserve"> 8).</w:t>
      </w:r>
    </w:p>
    <w:p w14:paraId="2C49EB20" w14:textId="77777777" w:rsidR="0084163C" w:rsidRPr="00002793" w:rsidRDefault="00000000" w:rsidP="0084163C">
      <w:pPr>
        <w:numPr>
          <w:ilvl w:val="0"/>
          <w:numId w:val="1"/>
        </w:numPr>
        <w:spacing w:after="160" w:line="360" w:lineRule="auto"/>
        <w:contextualSpacing/>
        <w:jc w:val="both"/>
        <w:rPr>
          <w:rFonts w:ascii="David" w:hAnsi="David"/>
          <w:noProof w:val="0"/>
          <w:rtl/>
        </w:rPr>
      </w:pPr>
      <w:r w:rsidRPr="00002793">
        <w:rPr>
          <w:rFonts w:ascii="David" w:hAnsi="David"/>
          <w:noProof w:val="0"/>
          <w:rtl/>
        </w:rPr>
        <w:t>מכאן שפעולות שביצע הבעל במקרקעין לרבות שעבודו לטובת הבנק, נעשו גם עבור התובעת ובשמה ומחייבות גם אותה. בהתגבש השיתוף מכוחו של הסכם השיתוף, עוברות הזכויות והחובות לבן הזוג האחר.</w:t>
      </w:r>
    </w:p>
    <w:p w14:paraId="2ACDE825" w14:textId="604E5646" w:rsidR="0084163C" w:rsidRPr="00A00782"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 xml:space="preserve">הפסיקה מציגה עמדה חד משמעית לגבי דרישת נושה להשתתפות בחובות שמקורם בנכס </w:t>
      </w:r>
      <w:r w:rsidRPr="00A00782">
        <w:rPr>
          <w:rFonts w:ascii="David" w:hAnsi="David"/>
          <w:noProof w:val="0"/>
          <w:rtl/>
        </w:rPr>
        <w:t>שבו תבע בן הזוג שותפות, ולפיה זכותו של בן הזוג בנכס כפופה לחובות הקשורים בו (</w:t>
      </w:r>
      <w:r w:rsidR="00744C80" w:rsidRPr="00A00782">
        <w:rPr>
          <w:rFonts w:ascii="David" w:hAnsi="David"/>
          <w:noProof w:val="0"/>
          <w:rtl/>
        </w:rPr>
        <w:t>ע"א 5598/94</w:t>
      </w:r>
      <w:r w:rsidRPr="00A00782">
        <w:rPr>
          <w:rFonts w:ascii="David" w:hAnsi="David"/>
          <w:noProof w:val="0"/>
          <w:rtl/>
        </w:rPr>
        <w:t xml:space="preserve"> </w:t>
      </w:r>
      <w:r w:rsidRPr="00A00782">
        <w:rPr>
          <w:rFonts w:ascii="David" w:hAnsi="David"/>
          <w:b/>
          <w:bCs/>
          <w:noProof w:val="0"/>
          <w:rtl/>
        </w:rPr>
        <w:t>נניקשוילי נ' נניקשוילי</w:t>
      </w:r>
      <w:r w:rsidRPr="00A00782">
        <w:rPr>
          <w:rFonts w:ascii="David" w:hAnsi="David"/>
          <w:noProof w:val="0"/>
          <w:rtl/>
        </w:rPr>
        <w:t xml:space="preserve">, פ"ד מט (5) 163). </w:t>
      </w:r>
    </w:p>
    <w:p w14:paraId="384F8BCA" w14:textId="77777777" w:rsidR="0084163C" w:rsidRPr="00002793" w:rsidRDefault="00000000" w:rsidP="0084163C">
      <w:pPr>
        <w:numPr>
          <w:ilvl w:val="0"/>
          <w:numId w:val="1"/>
        </w:numPr>
        <w:spacing w:after="160" w:line="360" w:lineRule="auto"/>
        <w:ind w:left="714" w:hanging="357"/>
        <w:contextualSpacing/>
        <w:jc w:val="both"/>
        <w:rPr>
          <w:rFonts w:ascii="David" w:hAnsi="David"/>
          <w:noProof w:val="0"/>
        </w:rPr>
      </w:pPr>
      <w:r w:rsidRPr="00002793">
        <w:rPr>
          <w:rFonts w:ascii="David" w:hAnsi="David"/>
          <w:noProof w:val="0"/>
          <w:rtl/>
        </w:rPr>
        <w:t>דהיינו, גם אם התקבלה תביעת האישה להכרה במחצית זכויותיה במקרקעין במערכת היחסים מול הבעל, בכל זאת יהיו זכויותיה כפופות לחובות הרובצים על המקרקעין  מכוח חזקת  השיתוף בחובות.</w:t>
      </w:r>
    </w:p>
    <w:p w14:paraId="5EB28EA3" w14:textId="77777777" w:rsidR="0084163C" w:rsidRPr="00002793" w:rsidRDefault="00000000" w:rsidP="0084163C">
      <w:pPr>
        <w:spacing w:after="160" w:line="360" w:lineRule="auto"/>
        <w:ind w:left="720"/>
        <w:contextualSpacing/>
        <w:jc w:val="both"/>
        <w:rPr>
          <w:rFonts w:ascii="David" w:hAnsi="David"/>
          <w:noProof w:val="0"/>
          <w:rtl/>
        </w:rPr>
      </w:pPr>
      <w:r w:rsidRPr="00002793">
        <w:rPr>
          <w:rFonts w:ascii="David" w:hAnsi="David"/>
          <w:noProof w:val="0"/>
          <w:rtl/>
        </w:rPr>
        <w:t xml:space="preserve">לפיכך זכותו של הבנק לגבות את החוב המובטח במשכון ממלוא המקרקעין. </w:t>
      </w:r>
    </w:p>
    <w:p w14:paraId="0316DD48" w14:textId="77777777" w:rsidR="0084163C" w:rsidRPr="00002793" w:rsidRDefault="00000000" w:rsidP="0084163C">
      <w:pPr>
        <w:numPr>
          <w:ilvl w:val="0"/>
          <w:numId w:val="1"/>
        </w:numPr>
        <w:spacing w:after="160" w:line="360" w:lineRule="auto"/>
        <w:contextualSpacing/>
        <w:jc w:val="both"/>
        <w:rPr>
          <w:rFonts w:ascii="David" w:hAnsi="David"/>
          <w:noProof w:val="0"/>
          <w:rtl/>
        </w:rPr>
      </w:pPr>
      <w:r w:rsidRPr="00002793">
        <w:rPr>
          <w:rFonts w:ascii="David" w:hAnsi="David"/>
          <w:noProof w:val="0"/>
          <w:rtl/>
        </w:rPr>
        <w:t xml:space="preserve">לעניין ייעוד המקרקעין, אושר כי אלה לא שמשו למגורים. </w:t>
      </w:r>
    </w:p>
    <w:p w14:paraId="1F33D35F" w14:textId="77777777" w:rsidR="0084163C" w:rsidRPr="00002793" w:rsidRDefault="00000000" w:rsidP="0084163C">
      <w:pPr>
        <w:spacing w:after="160" w:line="360" w:lineRule="auto"/>
        <w:ind w:left="720"/>
        <w:contextualSpacing/>
        <w:jc w:val="both"/>
        <w:rPr>
          <w:rFonts w:ascii="David" w:hAnsi="David"/>
          <w:noProof w:val="0"/>
        </w:rPr>
      </w:pPr>
      <w:r w:rsidRPr="00002793">
        <w:rPr>
          <w:rFonts w:ascii="David" w:hAnsi="David"/>
          <w:noProof w:val="0"/>
          <w:rtl/>
        </w:rPr>
        <w:t xml:space="preserve"> העידה נציגת הבנק, שלא הייתה כל אינדיקציה לכך שמדובר בנכס משפחתי או שנדרשת הסכמת אשת החייב. כאשר נשאלה העדה מדוע לא נדרשת הסכמת האישה, השיבה באופן ברור כי אין דרישה לקבל הצהרה על בת הזוג במקרים שלא מדובר בבית מגורים (עמ' 12 ש' 14-20). </w:t>
      </w:r>
    </w:p>
    <w:p w14:paraId="2240B08B" w14:textId="77777777" w:rsidR="0084163C" w:rsidRPr="00002793" w:rsidRDefault="00000000" w:rsidP="0084163C">
      <w:pPr>
        <w:numPr>
          <w:ilvl w:val="0"/>
          <w:numId w:val="1"/>
        </w:numPr>
        <w:spacing w:after="160" w:line="360" w:lineRule="auto"/>
        <w:contextualSpacing/>
        <w:jc w:val="both"/>
        <w:rPr>
          <w:rFonts w:ascii="David" w:hAnsi="David"/>
          <w:noProof w:val="0"/>
          <w:rtl/>
        </w:rPr>
      </w:pPr>
      <w:r w:rsidRPr="00002793">
        <w:rPr>
          <w:rFonts w:ascii="David" w:hAnsi="David"/>
          <w:noProof w:val="0"/>
          <w:rtl/>
        </w:rPr>
        <w:t>טענות התובעת שמדובר בנכס משפחתי לגביו תוכנית לייעוד מגורים, ולא מדובר בתעשייה או במסחר שייסעו לבעל בעסק שמנהל, לא הוכחה בראיות, בעדים, בזימון המהנדס שלהצהרתה אליו פנו בשביל שיגיש בקשה להיתר בנייה.</w:t>
      </w:r>
    </w:p>
    <w:p w14:paraId="26C1847D" w14:textId="37016633"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 xml:space="preserve">ההסדר שגיבש המשפט הישראלי הן לבני זוג שחזקת השיתוף חלה עליהם והן לבני זוג </w:t>
      </w:r>
      <w:r w:rsidRPr="00A00782">
        <w:rPr>
          <w:rFonts w:ascii="David" w:hAnsi="David"/>
          <w:noProof w:val="0"/>
          <w:rtl/>
        </w:rPr>
        <w:t>שבאופן פורמלי כפופים ל</w:t>
      </w:r>
      <w:r w:rsidR="00744C80" w:rsidRPr="00A00782">
        <w:rPr>
          <w:rFonts w:ascii="David" w:hAnsi="David"/>
          <w:noProof w:val="0"/>
          <w:rtl/>
        </w:rPr>
        <w:t>חוק יחסי ממון</w:t>
      </w:r>
      <w:r w:rsidRPr="00A00782">
        <w:rPr>
          <w:rFonts w:ascii="David" w:hAnsi="David"/>
          <w:noProof w:val="0"/>
          <w:rtl/>
        </w:rPr>
        <w:t>, מבוססת על ההבחנה בין דירת מגורים</w:t>
      </w:r>
      <w:r w:rsidRPr="00002793">
        <w:rPr>
          <w:rFonts w:ascii="David" w:hAnsi="David"/>
          <w:noProof w:val="0"/>
          <w:rtl/>
        </w:rPr>
        <w:t xml:space="preserve"> המשפחתית שעליה חל הסדר שיתוף מיידי לבין פעילות עסקית, שעליה חל הסדר שיתוף דחוי (ראה ספרו של ליפשיץ עמ' 215). </w:t>
      </w:r>
    </w:p>
    <w:p w14:paraId="69046787"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הטעמים להסדר דחוי  בנכסים עסקיים או הפעילות עסקית שוטפת נובעים מספר סיבות: ראשית, ראוי לתת עדיפות לאוטונומיה של הבעלים הרשום ולא ליישם את ההיבטים השיתופים של המשפחה כבר בחיי הנישואין ולפיכך יש להעדיף את הצד השלישי על פני בן הזוג הלא רשום. שנית, ודאות המרשמים. שלישית, הכפפת יחסי המסחר של אנשים נשואים לאישורים של בני זוגם לפעילות עסקיות למיניהן עלולה להשפיע לרעה על יציבות המסחר בשוק. ורביעית, לא ברור שהנזק הצפוי לבן הזוג שבו ייפגעו זכויותיו מעסקה שלא הסכים לה מלכתחילה גבוה מטבעו מהנזק שצפוי לצדדים שלישיים שייחשפו לביטול עסקה עם הבעלים הרשום ומהנזק הצפוי לנושים שיוכלו לגבות מן הנכסים המשועבדים רק מחצית מן החוב המקורי. (עמ' 216).</w:t>
      </w:r>
    </w:p>
    <w:p w14:paraId="6904A81E"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ראה לעניין זה גם בעיזבון גיטלר : "שונה המצב, כאשר הנכס, שעליו נסבה המחלוקת, הוא עסקי באופיו, כמו המשרד בענייננו. בכגון דא גובר הצורך להסיר מכשולים ממי שרוצה לבצע עיסקה של מכר או שעבוד בנכס, הרשום על שמו. במקרים אלה יש ויש מקום להגן על הצד השלישי, שהסתמך על הרישום כביטוי לזהות בעליו, וכל עוד לא ידע אחרת, די בכך כדי שייהנה מחזקה של תום לב" (עזבון גיטלר עמ' 499).</w:t>
      </w:r>
    </w:p>
    <w:p w14:paraId="72B26D53"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בעניינו שוכנעתי כי הבנק לא היה צריך לקבל את הסכמת בת הזוג כתנאי לתקפות עסקת המשכון ככל שהיא נוגעת לחלקה לאור טיבם של המקרקעין וייעודם.</w:t>
      </w:r>
    </w:p>
    <w:p w14:paraId="4218EE9B" w14:textId="77777777" w:rsidR="0084163C" w:rsidRPr="00002793" w:rsidRDefault="00000000" w:rsidP="0084163C">
      <w:pPr>
        <w:numPr>
          <w:ilvl w:val="0"/>
          <w:numId w:val="1"/>
        </w:numPr>
        <w:spacing w:after="160" w:line="360" w:lineRule="auto"/>
        <w:contextualSpacing/>
        <w:jc w:val="both"/>
        <w:rPr>
          <w:rFonts w:ascii="David" w:hAnsi="David"/>
          <w:noProof w:val="0"/>
          <w:rtl/>
        </w:rPr>
      </w:pPr>
      <w:r w:rsidRPr="00002793">
        <w:rPr>
          <w:rFonts w:ascii="David" w:hAnsi="David"/>
          <w:noProof w:val="0"/>
          <w:rtl/>
        </w:rPr>
        <w:t>באשר לידיעת התובעת על הליכי המימוש שנקט הבנק, לטענת התובעת היא לא ידעה על הליך רישום המשכון ולא הובא לידיעתה שמונה כונס נכסים על המקרקעין במסגרת הליכי גבייה שננקטו נגד בעלה בתיק הוצל"פ וברגע שנודע לה פנתה בבקשה לצו מניעה.</w:t>
      </w:r>
    </w:p>
    <w:p w14:paraId="5186880D"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מכתב התביעה ונספחיו עולה כי טרם פתיחת תיק הוצל"פ עוד ביום 22.6.19 נמסר לבעל מכתב התראה. כעולה מאישור המסירה מכתב ההתראה נמסר לידי בנם בכתובת ביתם.</w:t>
      </w:r>
    </w:p>
    <w:p w14:paraId="311E2919"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בנוסף נמסרה ביום 20.8.19 האזהרה בתיק הוצל"פ באמצעות בנם בכתובתם של התובעת ובעלה. וביום 7.12.19 נמסרה לבעל הודעה על מינוי כונס הנכסים באמצעות בנם הנוסף.</w:t>
      </w:r>
    </w:p>
    <w:p w14:paraId="6D1B7DC5"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הבנק טען כי ביום 7.10.19 התקיימה פגישה עם הבעל ובנו במשרד ב"כ  הבנק והכונס כמו כן התקיימה ישיבה נוספת והתנהלו שיחות טלפון והתכתבויות. טענה זו לא נסתרה ע"י התובעת.</w:t>
      </w:r>
    </w:p>
    <w:p w14:paraId="52B4D8AA"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לאחר שלא הושגו הסכמות בעניין החוב, הבעל הגיש ביום 24.10.20  לתיק הוצל"פ בקשה בטענת פרעתי, והיא נדחתה בהחלטת רשם הוצל"פ מיום 18.3.21.</w:t>
      </w:r>
    </w:p>
    <w:p w14:paraId="7EE8D363" w14:textId="77777777" w:rsidR="0084163C" w:rsidRPr="00002793" w:rsidRDefault="00000000" w:rsidP="0084163C">
      <w:pPr>
        <w:numPr>
          <w:ilvl w:val="0"/>
          <w:numId w:val="1"/>
        </w:numPr>
        <w:spacing w:after="160" w:line="360" w:lineRule="auto"/>
        <w:ind w:left="714" w:hanging="357"/>
        <w:contextualSpacing/>
        <w:jc w:val="both"/>
        <w:rPr>
          <w:rFonts w:ascii="David" w:hAnsi="David"/>
          <w:noProof w:val="0"/>
        </w:rPr>
      </w:pPr>
      <w:r w:rsidRPr="00002793">
        <w:rPr>
          <w:rFonts w:ascii="David" w:hAnsi="David"/>
          <w:noProof w:val="0"/>
          <w:rtl/>
        </w:rPr>
        <w:t>לטענת התובעת הם נפרדו בחודש 2/21, כשנה וחצי לאחר תחילת הליכי מימוש בתיק ההוצל"פ, כאשר במהלך תקופה זו הומצאו לביתם המשותף מסמכים, הודעות והחלטות מתיק ההוצל"פ.</w:t>
      </w:r>
    </w:p>
    <w:p w14:paraId="450270CE" w14:textId="77777777" w:rsidR="0084163C" w:rsidRPr="00002793" w:rsidRDefault="00000000" w:rsidP="0084163C">
      <w:pPr>
        <w:numPr>
          <w:ilvl w:val="0"/>
          <w:numId w:val="1"/>
        </w:numPr>
        <w:spacing w:after="160" w:line="360" w:lineRule="auto"/>
        <w:ind w:left="714" w:hanging="357"/>
        <w:contextualSpacing/>
        <w:jc w:val="both"/>
        <w:rPr>
          <w:rFonts w:ascii="David" w:hAnsi="David"/>
          <w:noProof w:val="0"/>
        </w:rPr>
      </w:pPr>
      <w:r w:rsidRPr="00002793">
        <w:rPr>
          <w:rFonts w:ascii="David" w:hAnsi="David"/>
          <w:noProof w:val="0"/>
          <w:rtl/>
        </w:rPr>
        <w:t xml:space="preserve">מעדותה של נציגת בנק הפועלים עלה כי לבית המשפחה נשלחו מכתבי התראה רבים (שצורפו לתצהיר הנתבעים כנספחים 7-9),  לגבי החוב, לגבי הכוונה לממש את הנכס ואף אודות מינוי כונס נכסים במסגרת תיק ההוצל"פ. לדבריה, הבנק פעל לפי הנהלים, שלח את ההתראות למען הרשום ולא הייתה כל אינדיקציה לסירוב לקבל או לאי ידיעה מצד התובעת. </w:t>
      </w:r>
    </w:p>
    <w:p w14:paraId="09AE61C9" w14:textId="77777777" w:rsidR="0084163C" w:rsidRPr="00002793" w:rsidRDefault="00000000" w:rsidP="0084163C">
      <w:pPr>
        <w:spacing w:after="160" w:line="360" w:lineRule="auto"/>
        <w:ind w:left="720"/>
        <w:contextualSpacing/>
        <w:jc w:val="both"/>
        <w:rPr>
          <w:rFonts w:ascii="David" w:hAnsi="David"/>
          <w:noProof w:val="0"/>
        </w:rPr>
      </w:pPr>
      <w:r w:rsidRPr="00002793">
        <w:rPr>
          <w:rFonts w:ascii="David" w:hAnsi="David"/>
          <w:noProof w:val="0"/>
          <w:rtl/>
        </w:rPr>
        <w:t>"כב' השופטת: לא, בסעיף 13 לתצהיר שלך את כאילו אומרת את מפילה לידיה את טענת השיהוי, שהיא לא העלתה שום טענה בעניין ההליכים של הגבייה, אז את אומרת בתחילת הפסוק ש' ידעה היטב הליכי המימוש, אני שואלת אותך מאיפה את יודעת שהיא ידעה היטב על הליכי המימוש?</w:t>
      </w:r>
    </w:p>
    <w:p w14:paraId="01EA126C" w14:textId="77777777" w:rsidR="0084163C" w:rsidRPr="00002793" w:rsidRDefault="00000000" w:rsidP="0084163C">
      <w:pPr>
        <w:spacing w:after="160" w:line="360" w:lineRule="auto"/>
        <w:ind w:left="720"/>
        <w:contextualSpacing/>
        <w:jc w:val="both"/>
        <w:rPr>
          <w:rFonts w:ascii="David" w:hAnsi="David"/>
          <w:noProof w:val="0"/>
          <w:spacing w:val="10"/>
          <w:rtl/>
        </w:rPr>
      </w:pPr>
      <w:r w:rsidRPr="00002793">
        <w:rPr>
          <w:rFonts w:ascii="David" w:hAnsi="David"/>
          <w:noProof w:val="0"/>
          <w:rtl/>
        </w:rPr>
        <w:t xml:space="preserve">ת:על הסתמכות מכתב התראה שהם קיבלו" </w:t>
      </w:r>
    </w:p>
    <w:p w14:paraId="0BD167C5" w14:textId="3544BBD4" w:rsidR="0084163C" w:rsidRPr="00002793" w:rsidRDefault="00000000" w:rsidP="0084163C">
      <w:pPr>
        <w:numPr>
          <w:ilvl w:val="0"/>
          <w:numId w:val="1"/>
        </w:numPr>
        <w:spacing w:after="160" w:line="360" w:lineRule="auto"/>
        <w:contextualSpacing/>
        <w:jc w:val="both"/>
        <w:rPr>
          <w:rFonts w:ascii="David" w:hAnsi="David"/>
          <w:noProof w:val="0"/>
          <w:spacing w:val="10"/>
          <w:rtl/>
        </w:rPr>
      </w:pPr>
      <w:r w:rsidRPr="00002793">
        <w:rPr>
          <w:rFonts w:ascii="David" w:hAnsi="David"/>
          <w:noProof w:val="0"/>
          <w:spacing w:val="10"/>
          <w:rtl/>
        </w:rPr>
        <w:t xml:space="preserve">התובעת לא זמנה לעדות את בעלה או עדים אחרים כדי לתמוך בגרסתה, ועדותה הינה בבחינת עדות בעל דין יחידה. על הקושי בשכנוע בית המשפט בהתבסס על עדות של בעל עניין בלבד, עמדה הפסיקה בפרשת פינקל שם נקבע, כי כאשר מרבית טענותיו של בעל דין שהינו עד מעוניין בתוצאות המשפט נתמכות בגרסתו בלבד, ללא שהוצגה כל ראיה חיצונית או עדות התומכת בגירסה זו, על בית המשפט לנמק </w:t>
      </w:r>
      <w:r w:rsidRPr="00A00782">
        <w:rPr>
          <w:rFonts w:ascii="David" w:hAnsi="David"/>
          <w:noProof w:val="0"/>
          <w:spacing w:val="10"/>
          <w:rtl/>
        </w:rPr>
        <w:t>בנימוקים מיוחדים מדוע מצא לקבל גירסה זו (</w:t>
      </w:r>
      <w:r w:rsidR="0021095F" w:rsidRPr="00A00782">
        <w:rPr>
          <w:rFonts w:ascii="David" w:hAnsi="David"/>
          <w:noProof w:val="0"/>
          <w:spacing w:val="10"/>
          <w:rtl/>
        </w:rPr>
        <w:t>סעיף 54</w:t>
      </w:r>
      <w:r w:rsidRPr="00A00782">
        <w:rPr>
          <w:rFonts w:ascii="David" w:hAnsi="David"/>
          <w:noProof w:val="0"/>
          <w:spacing w:val="10"/>
          <w:rtl/>
        </w:rPr>
        <w:t xml:space="preserve"> ל</w:t>
      </w:r>
      <w:r w:rsidR="00744C80" w:rsidRPr="00A00782">
        <w:rPr>
          <w:rFonts w:ascii="David" w:hAnsi="David"/>
          <w:noProof w:val="0"/>
          <w:spacing w:val="10"/>
          <w:rtl/>
        </w:rPr>
        <w:t>פקודת הראיות</w:t>
      </w:r>
      <w:r w:rsidRPr="00A00782">
        <w:rPr>
          <w:rFonts w:ascii="David" w:hAnsi="David"/>
          <w:noProof w:val="0"/>
          <w:spacing w:val="10"/>
          <w:rtl/>
        </w:rPr>
        <w:t xml:space="preserve"> [נוסח חדש], תשל"א-1971, </w:t>
      </w:r>
      <w:r w:rsidR="00744C80" w:rsidRPr="00A00782">
        <w:rPr>
          <w:rFonts w:ascii="David" w:hAnsi="David"/>
          <w:noProof w:val="0"/>
          <w:spacing w:val="10"/>
          <w:rtl/>
        </w:rPr>
        <w:t>ע"א 761/79</w:t>
      </w:r>
      <w:r w:rsidRPr="00A00782">
        <w:rPr>
          <w:rFonts w:ascii="David" w:hAnsi="David"/>
          <w:noProof w:val="0"/>
          <w:spacing w:val="10"/>
          <w:rtl/>
        </w:rPr>
        <w:t xml:space="preserve"> </w:t>
      </w:r>
      <w:r w:rsidRPr="00A00782">
        <w:rPr>
          <w:rFonts w:ascii="David" w:hAnsi="David"/>
          <w:b/>
          <w:bCs/>
          <w:noProof w:val="0"/>
          <w:spacing w:val="10"/>
          <w:rtl/>
        </w:rPr>
        <w:t>פינקל נ' "הדר" חברה לביטוח בע</w:t>
      </w:r>
      <w:r w:rsidRPr="00A00782">
        <w:rPr>
          <w:rFonts w:ascii="David" w:hAnsi="David"/>
          <w:noProof w:val="0"/>
          <w:spacing w:val="10"/>
          <w:rtl/>
        </w:rPr>
        <w:t>"</w:t>
      </w:r>
      <w:r w:rsidRPr="00A00782">
        <w:rPr>
          <w:rFonts w:ascii="David" w:hAnsi="David"/>
          <w:b/>
          <w:bCs/>
          <w:noProof w:val="0"/>
          <w:spacing w:val="10"/>
          <w:rtl/>
        </w:rPr>
        <w:t>מ</w:t>
      </w:r>
      <w:r w:rsidRPr="00A00782">
        <w:rPr>
          <w:rFonts w:ascii="David" w:hAnsi="David"/>
          <w:noProof w:val="0"/>
          <w:spacing w:val="10"/>
          <w:rtl/>
        </w:rPr>
        <w:t>, פ"ד לה(2)</w:t>
      </w:r>
      <w:r w:rsidRPr="00002793">
        <w:rPr>
          <w:rFonts w:ascii="David" w:hAnsi="David"/>
          <w:noProof w:val="0"/>
          <w:spacing w:val="10"/>
          <w:rtl/>
        </w:rPr>
        <w:t xml:space="preserve"> 48)</w:t>
      </w:r>
      <w:r w:rsidRPr="00002793">
        <w:rPr>
          <w:rFonts w:ascii="David" w:hAnsi="David"/>
          <w:noProof w:val="0"/>
          <w:spacing w:val="10"/>
        </w:rPr>
        <w:t>.</w:t>
      </w:r>
    </w:p>
    <w:p w14:paraId="7B869C53"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עוד תמוה כי טענות התובעת בתביעתה הועלו לראשונה רק בחלוף כשנה וחצי לאחר שהבנק נקט בהליכים למימוש המשכון, לאחר שמאמציהם של הבעל ובני משפחתו למנוע את מימוש המשכון לא צלחו.</w:t>
      </w:r>
    </w:p>
    <w:p w14:paraId="76280FFB"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spacing w:val="10"/>
          <w:rtl/>
        </w:rPr>
        <w:t>בענייננו לא נתתי אמון בעדותה שלא ידעה על הליכי ההוצל"פ, וכי הופתעה לגלות כי הזכויות ביחס למקרקעין ממושכנות לבנק כשכל אותו זמן היא התגוררה ביחד עם בעלה באותו הבית.</w:t>
      </w:r>
    </w:p>
    <w:p w14:paraId="79F9FA34" w14:textId="77777777" w:rsidR="0084163C" w:rsidRPr="00002793" w:rsidRDefault="00000000" w:rsidP="0084163C">
      <w:pPr>
        <w:numPr>
          <w:ilvl w:val="0"/>
          <w:numId w:val="1"/>
        </w:numPr>
        <w:spacing w:after="160" w:line="360" w:lineRule="auto"/>
        <w:contextualSpacing/>
        <w:jc w:val="both"/>
        <w:rPr>
          <w:rFonts w:ascii="David" w:hAnsi="David"/>
          <w:noProof w:val="0"/>
        </w:rPr>
      </w:pPr>
      <w:r w:rsidRPr="00002793">
        <w:rPr>
          <w:rFonts w:ascii="David" w:hAnsi="David"/>
          <w:noProof w:val="0"/>
          <w:rtl/>
        </w:rPr>
        <w:t>אשר על כן, גם מטעמי שיהוי שחל בהגשת התביעה, שהינה בבחינת ניסיון אחרון לסכל את הליכי המימוש, אני קובעת כי זכויות הבנק גוברות על זכויותיה של התובעת.</w:t>
      </w:r>
    </w:p>
    <w:p w14:paraId="06009DFF" w14:textId="77777777" w:rsidR="0084163C" w:rsidRPr="00002793" w:rsidRDefault="00000000" w:rsidP="0084163C">
      <w:pPr>
        <w:tabs>
          <w:tab w:val="left" w:pos="800"/>
        </w:tabs>
        <w:overflowPunct w:val="0"/>
        <w:autoSpaceDE w:val="0"/>
        <w:autoSpaceDN w:val="0"/>
        <w:adjustRightInd w:val="0"/>
        <w:spacing w:line="360" w:lineRule="auto"/>
        <w:ind w:left="720"/>
        <w:jc w:val="both"/>
        <w:rPr>
          <w:rFonts w:ascii="David" w:hAnsi="David"/>
          <w:b/>
          <w:bCs/>
          <w:noProof w:val="0"/>
          <w:spacing w:val="10"/>
          <w:u w:val="single"/>
          <w:rtl/>
        </w:rPr>
      </w:pPr>
      <w:r w:rsidRPr="00002793">
        <w:rPr>
          <w:rFonts w:ascii="David" w:hAnsi="David"/>
          <w:b/>
          <w:bCs/>
          <w:noProof w:val="0"/>
          <w:spacing w:val="10"/>
          <w:u w:val="single"/>
          <w:rtl/>
        </w:rPr>
        <w:t>ד</w:t>
      </w:r>
      <w:r w:rsidRPr="00002793">
        <w:rPr>
          <w:rFonts w:ascii="David" w:hAnsi="David"/>
          <w:b/>
          <w:bCs/>
          <w:noProof w:val="0"/>
          <w:spacing w:val="10"/>
          <w:u w:val="single"/>
          <w:rtl/>
        </w:rPr>
        <w:tab/>
        <w:t>אחרית דבר</w:t>
      </w:r>
    </w:p>
    <w:p w14:paraId="60B9F1E9" w14:textId="77777777" w:rsidR="0084163C" w:rsidRDefault="00000000" w:rsidP="0084163C">
      <w:pPr>
        <w:numPr>
          <w:ilvl w:val="0"/>
          <w:numId w:val="1"/>
        </w:numPr>
        <w:tabs>
          <w:tab w:val="left" w:pos="800"/>
        </w:tabs>
        <w:overflowPunct w:val="0"/>
        <w:autoSpaceDE w:val="0"/>
        <w:autoSpaceDN w:val="0"/>
        <w:adjustRightInd w:val="0"/>
        <w:spacing w:after="160" w:line="360" w:lineRule="auto"/>
        <w:contextualSpacing/>
        <w:jc w:val="both"/>
        <w:rPr>
          <w:rFonts w:ascii="David" w:hAnsi="David"/>
          <w:noProof w:val="0"/>
        </w:rPr>
      </w:pPr>
      <w:r w:rsidRPr="00002793">
        <w:rPr>
          <w:rFonts w:ascii="David" w:hAnsi="David"/>
          <w:noProof w:val="0"/>
          <w:spacing w:val="10"/>
          <w:rtl/>
        </w:rPr>
        <w:t xml:space="preserve">לאור האמור, אני מקבלת את התביעה באופן חלקי, אני קובעת כי מחצית מזכויות המקרקעין שייכות לתובעת ואולם אלה כפופות למשכון שהטיל הבנק, וזכותו של הבנק גוברת על זכותה של התובעת, באופן שהוא זכאי לפרוע את חובו ממלוא הזכויות במקרקעין. </w:t>
      </w:r>
    </w:p>
    <w:p w14:paraId="58827346" w14:textId="77777777" w:rsidR="0084163C" w:rsidRPr="00002793" w:rsidRDefault="00000000" w:rsidP="0084163C">
      <w:pPr>
        <w:numPr>
          <w:ilvl w:val="0"/>
          <w:numId w:val="1"/>
        </w:numPr>
        <w:tabs>
          <w:tab w:val="left" w:pos="800"/>
        </w:tabs>
        <w:overflowPunct w:val="0"/>
        <w:autoSpaceDE w:val="0"/>
        <w:autoSpaceDN w:val="0"/>
        <w:adjustRightInd w:val="0"/>
        <w:spacing w:after="160" w:line="360" w:lineRule="auto"/>
        <w:contextualSpacing/>
        <w:jc w:val="both"/>
        <w:rPr>
          <w:rFonts w:ascii="David" w:hAnsi="David"/>
          <w:noProof w:val="0"/>
        </w:rPr>
      </w:pPr>
      <w:r w:rsidRPr="00002793">
        <w:rPr>
          <w:rFonts w:ascii="David" w:hAnsi="David"/>
          <w:noProof w:val="0"/>
          <w:rtl/>
        </w:rPr>
        <w:t>מורה על ביטול עיכוב ההליכים בתיק הוצל"פ מיום 7.3.22.</w:t>
      </w:r>
    </w:p>
    <w:p w14:paraId="1F8D3965" w14:textId="77777777" w:rsidR="0084163C" w:rsidRPr="00002793" w:rsidRDefault="00000000" w:rsidP="0084163C">
      <w:pPr>
        <w:numPr>
          <w:ilvl w:val="0"/>
          <w:numId w:val="1"/>
        </w:numPr>
        <w:spacing w:after="160" w:line="360" w:lineRule="auto"/>
        <w:ind w:left="714" w:hanging="357"/>
        <w:contextualSpacing/>
        <w:jc w:val="both"/>
        <w:rPr>
          <w:rFonts w:ascii="David" w:hAnsi="David"/>
          <w:noProof w:val="0"/>
        </w:rPr>
      </w:pPr>
      <w:r w:rsidRPr="00002793">
        <w:rPr>
          <w:rFonts w:ascii="David" w:hAnsi="David"/>
          <w:noProof w:val="0"/>
          <w:rtl/>
        </w:rPr>
        <w:t>מחייבת את התובעת בהוצאות של 15,000 ₪ אשר ישולמו לנתבעים 2 ו-3  ביחד ולחוד תוך 45 ימים מקבלת פסק הדין ולא יישאו הפרשי הצמדה וריבית כדין עד לפירעונם.</w:t>
      </w:r>
    </w:p>
    <w:p w14:paraId="07DF9FED" w14:textId="77777777" w:rsidR="0084163C" w:rsidRPr="00002793" w:rsidRDefault="00000000" w:rsidP="0084163C">
      <w:pPr>
        <w:numPr>
          <w:ilvl w:val="0"/>
          <w:numId w:val="1"/>
        </w:numPr>
        <w:spacing w:after="160" w:line="360" w:lineRule="auto"/>
        <w:ind w:left="714" w:hanging="357"/>
        <w:contextualSpacing/>
        <w:jc w:val="both"/>
        <w:rPr>
          <w:rFonts w:ascii="David" w:hAnsi="David"/>
          <w:noProof w:val="0"/>
        </w:rPr>
      </w:pPr>
      <w:r w:rsidRPr="00002793">
        <w:rPr>
          <w:rFonts w:ascii="David" w:hAnsi="David"/>
          <w:noProof w:val="0"/>
          <w:rtl/>
        </w:rPr>
        <w:t>להמציא לצדדים.</w:t>
      </w:r>
    </w:p>
    <w:p w14:paraId="2906FE79" w14:textId="77777777" w:rsidR="0084163C" w:rsidRDefault="00000000" w:rsidP="0084163C">
      <w:pPr>
        <w:numPr>
          <w:ilvl w:val="0"/>
          <w:numId w:val="1"/>
        </w:numPr>
        <w:overflowPunct w:val="0"/>
        <w:autoSpaceDE w:val="0"/>
        <w:autoSpaceDN w:val="0"/>
        <w:adjustRightInd w:val="0"/>
        <w:spacing w:after="160" w:line="360" w:lineRule="auto"/>
        <w:ind w:left="714" w:hanging="357"/>
        <w:contextualSpacing/>
        <w:jc w:val="both"/>
        <w:rPr>
          <w:rFonts w:ascii="Arial TUR" w:hAnsi="Arial TUR" w:cs="FrankRuehl"/>
          <w:noProof w:val="0"/>
          <w:spacing w:val="10"/>
          <w:sz w:val="22"/>
          <w:szCs w:val="28"/>
        </w:rPr>
      </w:pPr>
      <w:r w:rsidRPr="00002793">
        <w:rPr>
          <w:rFonts w:ascii="David" w:hAnsi="David"/>
          <w:noProof w:val="0"/>
          <w:rtl/>
        </w:rPr>
        <w:t>מותר לפרסום ללא פרטים מזהים.</w:t>
      </w:r>
    </w:p>
    <w:p w14:paraId="0C5D245A" w14:textId="77777777" w:rsidR="0084163C" w:rsidRPr="00002793" w:rsidRDefault="0084163C" w:rsidP="0084163C">
      <w:pPr>
        <w:overflowPunct w:val="0"/>
        <w:autoSpaceDE w:val="0"/>
        <w:autoSpaceDN w:val="0"/>
        <w:adjustRightInd w:val="0"/>
        <w:spacing w:after="160" w:line="360" w:lineRule="auto"/>
        <w:ind w:left="720"/>
        <w:contextualSpacing/>
        <w:jc w:val="both"/>
        <w:rPr>
          <w:rFonts w:ascii="Arial TUR" w:hAnsi="Arial TUR" w:cs="FrankRuehl"/>
          <w:noProof w:val="0"/>
          <w:spacing w:val="10"/>
          <w:sz w:val="22"/>
          <w:szCs w:val="28"/>
        </w:rPr>
      </w:pPr>
    </w:p>
    <w:p w14:paraId="6C48539B" w14:textId="77777777" w:rsidR="0084163C" w:rsidRDefault="00744C80" w:rsidP="0084163C">
      <w:pPr>
        <w:spacing w:line="360" w:lineRule="auto"/>
        <w:jc w:val="both"/>
        <w:rPr>
          <w:rFonts w:ascii="Arial" w:hAnsi="Arial"/>
          <w:noProof w:val="0"/>
          <w:rtl/>
        </w:rPr>
      </w:pPr>
      <w:bookmarkStart w:id="7" w:name="Nitan"/>
      <w:r>
        <w:rPr>
          <w:rFonts w:ascii="Arial" w:hAnsi="Arial"/>
          <w:noProof w:val="0"/>
          <w:rtl/>
        </w:rPr>
        <w:t xml:space="preserve">ניתן היום,  כ"ו חשוון תשפ"ו, 17 נובמבר 2025, בהעדר הצדדים. </w:t>
      </w:r>
      <w:bookmarkEnd w:id="7"/>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ab/>
      </w:r>
      <w:r w:rsidR="00000000">
        <w:rPr>
          <w:rFonts w:ascii="Arial" w:hAnsi="Arial" w:hint="cs"/>
          <w:noProof w:val="0"/>
          <w:rtl/>
        </w:rPr>
        <w:tab/>
      </w:r>
      <w:r w:rsidR="00000000">
        <w:rPr>
          <w:rFonts w:ascii="Arial" w:hAnsi="Arial" w:hint="cs"/>
          <w:noProof w:val="0"/>
          <w:rtl/>
        </w:rPr>
        <w:tab/>
      </w:r>
      <w:r w:rsidR="00000000">
        <w:rPr>
          <w:rFonts w:ascii="Arial" w:hAnsi="Arial"/>
          <w:noProof w:val="0"/>
          <w:rtl/>
        </w:rPr>
        <w:t xml:space="preserve"> </w:t>
      </w:r>
    </w:p>
    <w:p w14:paraId="2DBC4304" w14:textId="77777777" w:rsidR="0084163C" w:rsidRDefault="0084163C" w:rsidP="0084163C">
      <w:pPr>
        <w:spacing w:line="360" w:lineRule="auto"/>
        <w:ind w:left="3600" w:firstLine="720"/>
      </w:pPr>
    </w:p>
    <w:p w14:paraId="2A63C4E6" w14:textId="77777777" w:rsidR="0084163C" w:rsidRDefault="0084163C" w:rsidP="0084163C">
      <w:pPr>
        <w:spacing w:line="360" w:lineRule="auto"/>
        <w:ind w:left="3600" w:firstLine="720"/>
        <w:rPr>
          <w:rFonts w:ascii="Arial" w:hAnsi="Arial"/>
          <w:noProof w:val="0"/>
          <w:rtl/>
        </w:rPr>
      </w:pPr>
    </w:p>
    <w:p w14:paraId="50857A3B" w14:textId="77777777" w:rsidR="0084163C" w:rsidRDefault="0084163C" w:rsidP="0084163C">
      <w:pPr>
        <w:spacing w:line="360" w:lineRule="auto"/>
        <w:jc w:val="both"/>
        <w:rPr>
          <w:rFonts w:ascii="Arial" w:hAnsi="Arial"/>
          <w:noProof w:val="0"/>
          <w:rtl/>
        </w:rPr>
      </w:pPr>
    </w:p>
    <w:p w14:paraId="11847F41" w14:textId="28E693DA" w:rsidR="00744C80" w:rsidRPr="00744C80" w:rsidRDefault="00744C80" w:rsidP="0021095F">
      <w:pPr>
        <w:rPr>
          <w:color w:val="0000FF"/>
          <w:u w:val="single"/>
        </w:rPr>
      </w:pPr>
    </w:p>
    <w:sectPr w:rsidR="00744C80" w:rsidRPr="00744C80" w:rsidSect="0021095F">
      <w:headerReference w:type="even" r:id="rId7"/>
      <w:headerReference w:type="default" r:id="rId8"/>
      <w:footerReference w:type="even" r:id="rId9"/>
      <w:footerReference w:type="default" r:id="rId10"/>
      <w:pgSz w:w="11907" w:h="16840" w:code="9"/>
      <w:pgMar w:top="1701" w:right="1701" w:bottom="1134" w:left="1701" w:header="720" w:footer="737"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5F21" w14:textId="77777777" w:rsidR="000A235A" w:rsidRDefault="000A235A">
      <w:r>
        <w:separator/>
      </w:r>
    </w:p>
  </w:endnote>
  <w:endnote w:type="continuationSeparator" w:id="0">
    <w:p w14:paraId="4057777F" w14:textId="77777777" w:rsidR="000A235A" w:rsidRDefault="000A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TUR">
    <w:altName w:val="Arial"/>
    <w:charset w:val="00"/>
    <w:family w:val="swiss"/>
    <w:pitch w:val="variable"/>
    <w:sig w:usb0="E0003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D3C2" w14:textId="77777777" w:rsidR="0021095F" w:rsidRDefault="00000000" w:rsidP="0021095F">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4</w:t>
    </w:r>
    <w:r>
      <w:rPr>
        <w:rFonts w:ascii="FrankRuehl" w:hAnsi="FrankRuehl" w:cs="FrankRuehl"/>
        <w:rtl/>
      </w:rPr>
      <w:fldChar w:fldCharType="end"/>
    </w:r>
  </w:p>
  <w:p w14:paraId="0F4277E5" w14:textId="142FC3A5" w:rsidR="00744C80" w:rsidRPr="0021095F" w:rsidRDefault="000E78D6" w:rsidP="0021095F">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5E6F829F" wp14:editId="6342C942">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A07D" w14:textId="77777777" w:rsidR="0021095F" w:rsidRDefault="00000000" w:rsidP="0021095F">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D534E7">
      <w:rPr>
        <w:rStyle w:val="a8"/>
        <w:rFonts w:ascii="FrankRuehl" w:hAnsi="FrankRuehl" w:cs="FrankRuehl"/>
        <w:rtl/>
      </w:rPr>
      <w:t>4</w:t>
    </w:r>
    <w:r>
      <w:rPr>
        <w:rStyle w:val="a8"/>
        <w:rFonts w:ascii="FrankRuehl" w:hAnsi="FrankRuehl" w:cs="FrankRuehl"/>
        <w:rtl/>
      </w:rPr>
      <w:fldChar w:fldCharType="end"/>
    </w:r>
  </w:p>
  <w:p w14:paraId="2639B9F9" w14:textId="5182DF5E" w:rsidR="00FA5117" w:rsidRPr="0021095F" w:rsidRDefault="00FA5117" w:rsidP="0021095F">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0FF7" w14:textId="77777777" w:rsidR="000A235A" w:rsidRDefault="000A235A">
      <w:r>
        <w:separator/>
      </w:r>
    </w:p>
  </w:footnote>
  <w:footnote w:type="continuationSeparator" w:id="0">
    <w:p w14:paraId="0ECF0B70" w14:textId="77777777" w:rsidR="000A235A" w:rsidRDefault="000A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B6FBF" w14:textId="77777777" w:rsidR="00744C80" w:rsidRPr="0021095F" w:rsidRDefault="0021095F" w:rsidP="0021095F">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תמש (נצ') 8085-03-22</w:t>
    </w:r>
    <w:r>
      <w:rPr>
        <w:rFonts w:ascii="David" w:hAnsi="David"/>
        <w:color w:val="000000"/>
        <w:sz w:val="22"/>
        <w:szCs w:val="22"/>
        <w:rtl/>
      </w:rPr>
      <w:tab/>
      <w:t xml:space="preserve"> ש. מ נ' ע.מ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405F" w14:textId="77777777" w:rsidR="00744C80" w:rsidRPr="0021095F" w:rsidRDefault="0021095F" w:rsidP="0021095F">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8" w:name="_Hlk215061228"/>
    <w:bookmarkStart w:id="9" w:name="_Hlk215061229"/>
    <w:bookmarkStart w:id="10" w:name="_Hlk215061230"/>
    <w:bookmarkStart w:id="11" w:name="_Hlk215061231"/>
    <w:bookmarkStart w:id="12" w:name="_Hlk215061296"/>
    <w:bookmarkStart w:id="13" w:name="_Hlk215061297"/>
    <w:r>
      <w:rPr>
        <w:rFonts w:ascii="David" w:hAnsi="David"/>
        <w:color w:val="000000"/>
        <w:sz w:val="22"/>
        <w:szCs w:val="22"/>
        <w:rtl/>
      </w:rPr>
      <w:t>תמש (נצ') 8085-03-22</w:t>
    </w:r>
    <w:r>
      <w:rPr>
        <w:rFonts w:ascii="David" w:hAnsi="David"/>
        <w:color w:val="000000"/>
        <w:sz w:val="22"/>
        <w:szCs w:val="22"/>
        <w:rtl/>
      </w:rPr>
      <w:tab/>
      <w:t xml:space="preserve"> ש. מ נ' ע.מ</w:t>
    </w:r>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D64DD"/>
    <w:multiLevelType w:val="hybridMultilevel"/>
    <w:tmpl w:val="3DD457FA"/>
    <w:lvl w:ilvl="0" w:tplc="95123A9A">
      <w:start w:val="1"/>
      <w:numFmt w:val="decimal"/>
      <w:lvlText w:val="%1."/>
      <w:lvlJc w:val="left"/>
      <w:pPr>
        <w:ind w:left="720" w:hanging="360"/>
      </w:pPr>
      <w:rPr>
        <w:color w:val="auto"/>
      </w:rPr>
    </w:lvl>
    <w:lvl w:ilvl="1" w:tplc="6F28D76A">
      <w:start w:val="1"/>
      <w:numFmt w:val="lowerLetter"/>
      <w:lvlText w:val="%2."/>
      <w:lvlJc w:val="left"/>
      <w:pPr>
        <w:ind w:left="1440" w:hanging="360"/>
      </w:pPr>
    </w:lvl>
    <w:lvl w:ilvl="2" w:tplc="B2D66F64">
      <w:start w:val="1"/>
      <w:numFmt w:val="lowerRoman"/>
      <w:lvlText w:val="%3."/>
      <w:lvlJc w:val="right"/>
      <w:pPr>
        <w:ind w:left="2160" w:hanging="180"/>
      </w:pPr>
    </w:lvl>
    <w:lvl w:ilvl="3" w:tplc="EB72FCD6">
      <w:start w:val="1"/>
      <w:numFmt w:val="decimal"/>
      <w:lvlText w:val="%4."/>
      <w:lvlJc w:val="left"/>
      <w:pPr>
        <w:ind w:left="2880" w:hanging="360"/>
      </w:pPr>
    </w:lvl>
    <w:lvl w:ilvl="4" w:tplc="60EE03D2">
      <w:start w:val="1"/>
      <w:numFmt w:val="lowerLetter"/>
      <w:lvlText w:val="%5."/>
      <w:lvlJc w:val="left"/>
      <w:pPr>
        <w:ind w:left="3600" w:hanging="360"/>
      </w:pPr>
    </w:lvl>
    <w:lvl w:ilvl="5" w:tplc="CD1C5BAC">
      <w:start w:val="1"/>
      <w:numFmt w:val="lowerRoman"/>
      <w:lvlText w:val="%6."/>
      <w:lvlJc w:val="right"/>
      <w:pPr>
        <w:ind w:left="4320" w:hanging="180"/>
      </w:pPr>
    </w:lvl>
    <w:lvl w:ilvl="6" w:tplc="2E305782">
      <w:start w:val="1"/>
      <w:numFmt w:val="decimal"/>
      <w:lvlText w:val="%7."/>
      <w:lvlJc w:val="left"/>
      <w:pPr>
        <w:ind w:left="5040" w:hanging="360"/>
      </w:pPr>
    </w:lvl>
    <w:lvl w:ilvl="7" w:tplc="A2AC093C">
      <w:start w:val="1"/>
      <w:numFmt w:val="lowerLetter"/>
      <w:lvlText w:val="%8."/>
      <w:lvlJc w:val="left"/>
      <w:pPr>
        <w:ind w:left="5760" w:hanging="360"/>
      </w:pPr>
    </w:lvl>
    <w:lvl w:ilvl="8" w:tplc="B436139A">
      <w:start w:val="1"/>
      <w:numFmt w:val="lowerRoman"/>
      <w:lvlText w:val="%9."/>
      <w:lvlJc w:val="right"/>
      <w:pPr>
        <w:ind w:left="6480" w:hanging="180"/>
      </w:pPr>
    </w:lvl>
  </w:abstractNum>
  <w:num w:numId="1" w16cid:durableId="257754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84163C"/>
    <w:rsid w:val="00002793"/>
    <w:rsid w:val="000A235A"/>
    <w:rsid w:val="000E78D6"/>
    <w:rsid w:val="001677A4"/>
    <w:rsid w:val="001B5A3B"/>
    <w:rsid w:val="0021095F"/>
    <w:rsid w:val="00384801"/>
    <w:rsid w:val="004B769B"/>
    <w:rsid w:val="004C7BC4"/>
    <w:rsid w:val="005F2184"/>
    <w:rsid w:val="006669D2"/>
    <w:rsid w:val="00744C80"/>
    <w:rsid w:val="00754CD2"/>
    <w:rsid w:val="0084163C"/>
    <w:rsid w:val="00913721"/>
    <w:rsid w:val="00A00782"/>
    <w:rsid w:val="00C93D8A"/>
    <w:rsid w:val="00D534E7"/>
    <w:rsid w:val="00E74BBE"/>
    <w:rsid w:val="00FA51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7714"/>
  <w15:docId w15:val="{440DB915-8721-419D-973E-537FCC21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63C"/>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163C"/>
    <w:pPr>
      <w:tabs>
        <w:tab w:val="center" w:pos="4153"/>
        <w:tab w:val="right" w:pos="8306"/>
      </w:tabs>
    </w:pPr>
  </w:style>
  <w:style w:type="character" w:customStyle="1" w:styleId="a4">
    <w:name w:val="כותרת עליונה תו"/>
    <w:link w:val="a3"/>
    <w:rsid w:val="0084163C"/>
    <w:rPr>
      <w:rFonts w:ascii="Times New Roman" w:eastAsia="Times New Roman" w:hAnsi="Times New Roman" w:cs="David"/>
      <w:noProof/>
      <w:sz w:val="24"/>
      <w:szCs w:val="24"/>
    </w:rPr>
  </w:style>
  <w:style w:type="paragraph" w:styleId="a5">
    <w:name w:val="footer"/>
    <w:basedOn w:val="a"/>
    <w:link w:val="a6"/>
    <w:rsid w:val="0084163C"/>
    <w:pPr>
      <w:tabs>
        <w:tab w:val="center" w:pos="4153"/>
        <w:tab w:val="right" w:pos="8306"/>
      </w:tabs>
    </w:pPr>
  </w:style>
  <w:style w:type="character" w:customStyle="1" w:styleId="a6">
    <w:name w:val="כותרת תחתונה תו"/>
    <w:link w:val="a5"/>
    <w:rsid w:val="0084163C"/>
    <w:rPr>
      <w:rFonts w:ascii="Times New Roman" w:eastAsia="Times New Roman" w:hAnsi="Times New Roman" w:cs="David"/>
      <w:noProof/>
      <w:sz w:val="24"/>
      <w:szCs w:val="24"/>
    </w:rPr>
  </w:style>
  <w:style w:type="table" w:styleId="a7">
    <w:name w:val="Table Grid"/>
    <w:basedOn w:val="a1"/>
    <w:rsid w:val="0084163C"/>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84163C"/>
  </w:style>
  <w:style w:type="paragraph" w:styleId="NormalWeb">
    <w:name w:val="Normal (Web)"/>
    <w:basedOn w:val="a"/>
    <w:rsid w:val="0084163C"/>
    <w:pPr>
      <w:bidi w:val="0"/>
      <w:spacing w:before="100" w:beforeAutospacing="1" w:after="100" w:afterAutospacing="1"/>
    </w:pPr>
    <w:rPr>
      <w:rFonts w:cs="Times New Roman"/>
      <w:noProof w:val="0"/>
    </w:rPr>
  </w:style>
  <w:style w:type="character" w:styleId="a9">
    <w:name w:val="line number"/>
    <w:rsid w:val="0084163C"/>
  </w:style>
  <w:style w:type="character" w:styleId="Hyperlink">
    <w:name w:val="Hyperlink"/>
    <w:rsid w:val="00744C80"/>
    <w:rPr>
      <w:color w:val="0000FF"/>
      <w:u w:val="single"/>
    </w:rPr>
  </w:style>
  <w:style w:type="paragraph" w:customStyle="1" w:styleId="1">
    <w:name w:val="ללא מרווח1"/>
    <w:qFormat/>
    <w:rsid w:val="00D534E7"/>
    <w:pPr>
      <w:bidi/>
    </w:pPr>
    <w:rPr>
      <w:rFonts w:ascii="Times New Roman" w:eastAsia="Times New Roman" w:hAnsi="Times New Roman" w:cs="David"/>
      <w:noProo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3566</Words>
  <Characters>17831</Characters>
  <Application>Microsoft Office Word</Application>
  <DocSecurity>0</DocSecurity>
  <Lines>148</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2025-11-26T13:02:00Z</dcterms:created>
  <dcterms:modified xsi:type="dcterms:W3CDTF">2025-11-26T13:02:00Z</dcterms:modified>
</cp:coreProperties>
</file>