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8372" w:type="dxa"/>
        <w:tblLook w:val="0000" w:firstRow="0" w:lastRow="0" w:firstColumn="0" w:lastColumn="0" w:noHBand="0" w:noVBand="0"/>
      </w:tblPr>
      <w:tblGrid>
        <w:gridCol w:w="9"/>
        <w:gridCol w:w="8354"/>
        <w:gridCol w:w="9"/>
      </w:tblGrid>
      <w:tr w:rsidR="00E34EA0" w:rsidTr="00537A0A">
        <w:trPr>
          <w:gridBefore w:val="1"/>
          <w:wBefore w:w="9" w:type="dxa"/>
        </w:trPr>
        <w:tc>
          <w:tcPr>
            <w:tcW w:w="8363" w:type="dxa"/>
            <w:gridSpan w:val="2"/>
          </w:tcPr>
          <w:p w:rsidR="00E34EA0" w:rsidRPr="00624A42" w:rsidRDefault="00E34EA0" w:rsidP="00537A0A">
            <w:pPr>
              <w:pStyle w:val="FileNumber0"/>
              <w:spacing w:line="240" w:lineRule="auto"/>
              <w:rPr>
                <w:sz w:val="28"/>
                <w:u w:val="single"/>
                <w:rtl/>
              </w:rPr>
            </w:pPr>
            <w:r>
              <w:rPr>
                <w:u w:val="single"/>
                <w:rtl/>
              </w:rPr>
              <w:t>בבית המשפט העליון בשבתו כבית משפט גבוה לצדק</w:t>
            </w:r>
          </w:p>
        </w:tc>
      </w:tr>
      <w:tr w:rsidR="00E34EA0" w:rsidTr="00537A0A">
        <w:trPr>
          <w:gridAfter w:val="1"/>
          <w:wAfter w:w="9" w:type="dxa"/>
          <w:trHeight w:val="342"/>
        </w:trPr>
        <w:tc>
          <w:tcPr>
            <w:tcW w:w="8363" w:type="dxa"/>
            <w:gridSpan w:val="2"/>
          </w:tcPr>
          <w:p w:rsidR="00E34EA0" w:rsidRPr="00810894" w:rsidRDefault="00E34EA0" w:rsidP="00537A0A">
            <w:pPr>
              <w:pStyle w:val="FileNumber"/>
              <w:spacing w:line="240" w:lineRule="auto"/>
              <w:rPr>
                <w:sz w:val="28"/>
                <w:szCs w:val="28"/>
              </w:rPr>
            </w:pPr>
            <w:bookmarkStart w:id="0" w:name="casename_body"/>
            <w:r>
              <w:rPr>
                <w:sz w:val="28"/>
                <w:szCs w:val="28"/>
                <w:rtl/>
              </w:rPr>
              <w:t>בג"ץ  8045/18</w:t>
            </w:r>
          </w:p>
        </w:tc>
      </w:tr>
      <w:bookmarkEnd w:id="0"/>
    </w:tbl>
    <w:p w:rsidR="00E34EA0" w:rsidRDefault="00E34EA0" w:rsidP="00E34EA0">
      <w:pPr>
        <w:jc w:val="right"/>
        <w:rPr>
          <w:rFonts w:cs="Miriam"/>
          <w:b/>
          <w:bCs/>
          <w:u w:val="single"/>
        </w:rPr>
      </w:pPr>
    </w:p>
    <w:tbl>
      <w:tblPr>
        <w:bidiVisual/>
        <w:tblW w:w="8364" w:type="dxa"/>
        <w:tblLayout w:type="fixed"/>
        <w:tblLook w:val="0000" w:firstRow="0" w:lastRow="0" w:firstColumn="0" w:lastColumn="0" w:noHBand="0" w:noVBand="0"/>
      </w:tblPr>
      <w:tblGrid>
        <w:gridCol w:w="3210"/>
        <w:gridCol w:w="5154"/>
      </w:tblGrid>
      <w:tr w:rsidR="00E34EA0" w:rsidTr="00537A0A">
        <w:trPr>
          <w:trHeight w:val="287"/>
        </w:trPr>
        <w:tc>
          <w:tcPr>
            <w:tcW w:w="3261" w:type="dxa"/>
          </w:tcPr>
          <w:p w:rsidR="00E34EA0" w:rsidRDefault="00E34EA0" w:rsidP="00537A0A">
            <w:pPr>
              <w:pStyle w:val="BodyRuller"/>
              <w:rPr>
                <w:rFonts w:cs="Miriam"/>
                <w:b/>
                <w:bCs/>
                <w:u w:val="single"/>
              </w:rPr>
            </w:pPr>
            <w:r>
              <w:rPr>
                <w:rFonts w:hint="cs"/>
                <w:rtl/>
              </w:rPr>
              <w:t>ל</w:t>
            </w:r>
            <w:r>
              <w:rPr>
                <w:rtl/>
              </w:rPr>
              <w:t>פני:</w:t>
            </w:r>
            <w:r>
              <w:rPr>
                <w:rtl/>
              </w:rPr>
              <w:tab/>
            </w:r>
          </w:p>
        </w:tc>
        <w:tc>
          <w:tcPr>
            <w:tcW w:w="5239" w:type="dxa"/>
          </w:tcPr>
          <w:p w:rsidR="00E34EA0" w:rsidRDefault="00E34EA0" w:rsidP="00537A0A">
            <w:pPr>
              <w:pStyle w:val="BodyRuller"/>
            </w:pPr>
            <w:r>
              <w:rPr>
                <w:rtl/>
              </w:rPr>
              <w:t>כבוד השופט י' עמית</w:t>
            </w:r>
          </w:p>
        </w:tc>
      </w:tr>
      <w:tr w:rsidR="00E34EA0" w:rsidTr="00537A0A">
        <w:trPr>
          <w:trHeight w:val="287"/>
        </w:trPr>
        <w:tc>
          <w:tcPr>
            <w:tcW w:w="3261" w:type="dxa"/>
          </w:tcPr>
          <w:p w:rsidR="00E34EA0" w:rsidRDefault="00E34EA0" w:rsidP="00537A0A">
            <w:pPr>
              <w:pStyle w:val="BodyRuller"/>
              <w:rPr>
                <w:rtl/>
              </w:rPr>
            </w:pPr>
          </w:p>
        </w:tc>
        <w:tc>
          <w:tcPr>
            <w:tcW w:w="5239" w:type="dxa"/>
          </w:tcPr>
          <w:p w:rsidR="00E34EA0" w:rsidRDefault="00E34EA0" w:rsidP="00537A0A">
            <w:pPr>
              <w:pStyle w:val="BodyRuller"/>
              <w:rPr>
                <w:rtl/>
              </w:rPr>
            </w:pPr>
            <w:r>
              <w:rPr>
                <w:rtl/>
              </w:rPr>
              <w:t xml:space="preserve">כבוד השופט נ' </w:t>
            </w:r>
            <w:proofErr w:type="spellStart"/>
            <w:r>
              <w:rPr>
                <w:rtl/>
              </w:rPr>
              <w:t>סולברג</w:t>
            </w:r>
            <w:proofErr w:type="spellEnd"/>
          </w:p>
        </w:tc>
      </w:tr>
      <w:tr w:rsidR="00E34EA0" w:rsidTr="00537A0A">
        <w:trPr>
          <w:trHeight w:val="287"/>
        </w:trPr>
        <w:tc>
          <w:tcPr>
            <w:tcW w:w="3261" w:type="dxa"/>
          </w:tcPr>
          <w:p w:rsidR="00E34EA0" w:rsidRDefault="00E34EA0" w:rsidP="00537A0A">
            <w:pPr>
              <w:pStyle w:val="BodyRuller"/>
              <w:rPr>
                <w:rtl/>
              </w:rPr>
            </w:pPr>
          </w:p>
        </w:tc>
        <w:tc>
          <w:tcPr>
            <w:tcW w:w="5239" w:type="dxa"/>
          </w:tcPr>
          <w:p w:rsidR="00E34EA0" w:rsidRDefault="00E34EA0" w:rsidP="00537A0A">
            <w:pPr>
              <w:pStyle w:val="BodyRuller"/>
              <w:rPr>
                <w:rtl/>
              </w:rPr>
            </w:pPr>
            <w:r>
              <w:rPr>
                <w:rtl/>
              </w:rPr>
              <w:t>כבוד השופט ד' מינץ</w:t>
            </w:r>
          </w:p>
        </w:tc>
      </w:tr>
    </w:tbl>
    <w:p w:rsidR="00E34EA0" w:rsidRDefault="00E34EA0" w:rsidP="00E34EA0">
      <w:pPr>
        <w:pStyle w:val="Ruller3"/>
        <w:spacing w:line="240" w:lineRule="auto"/>
        <w:rPr>
          <w:rFonts w:cs="Miriam"/>
          <w:b/>
          <w:bCs/>
          <w:u w:val="single"/>
          <w:rtl/>
        </w:rPr>
      </w:pPr>
    </w:p>
    <w:tbl>
      <w:tblPr>
        <w:bidiVisual/>
        <w:tblW w:w="8363" w:type="dxa"/>
        <w:tblLook w:val="0000" w:firstRow="0" w:lastRow="0" w:firstColumn="0" w:lastColumn="0" w:noHBand="0" w:noVBand="0"/>
      </w:tblPr>
      <w:tblGrid>
        <w:gridCol w:w="3229"/>
        <w:gridCol w:w="5134"/>
      </w:tblGrid>
      <w:tr w:rsidR="00E34EA0" w:rsidTr="00537A0A">
        <w:tc>
          <w:tcPr>
            <w:tcW w:w="3229" w:type="dxa"/>
          </w:tcPr>
          <w:p w:rsidR="00E34EA0" w:rsidRDefault="00E34EA0" w:rsidP="00537A0A">
            <w:pPr>
              <w:pStyle w:val="BodyRuller"/>
            </w:pPr>
            <w:r>
              <w:rPr>
                <w:rtl/>
              </w:rPr>
              <w:t>העותר:</w:t>
            </w:r>
          </w:p>
        </w:tc>
        <w:tc>
          <w:tcPr>
            <w:tcW w:w="5134" w:type="dxa"/>
          </w:tcPr>
          <w:p w:rsidR="00E34EA0" w:rsidRDefault="00E34EA0" w:rsidP="00537A0A">
            <w:pPr>
              <w:pStyle w:val="BodyRuller"/>
            </w:pPr>
            <w:r>
              <w:rPr>
                <w:rtl/>
              </w:rPr>
              <w:t>איתמר כהן</w:t>
            </w:r>
          </w:p>
        </w:tc>
      </w:tr>
    </w:tbl>
    <w:p w:rsidR="00E34EA0" w:rsidRDefault="00E34EA0" w:rsidP="00E34EA0">
      <w:pPr>
        <w:pStyle w:val="Ruller3"/>
        <w:spacing w:line="240" w:lineRule="auto"/>
      </w:pPr>
    </w:p>
    <w:tbl>
      <w:tblPr>
        <w:bidiVisual/>
        <w:tblW w:w="8363" w:type="dxa"/>
        <w:tblLook w:val="0000" w:firstRow="0" w:lastRow="0" w:firstColumn="0" w:lastColumn="0" w:noHBand="0" w:noVBand="0"/>
      </w:tblPr>
      <w:tblGrid>
        <w:gridCol w:w="3222"/>
        <w:gridCol w:w="5141"/>
      </w:tblGrid>
      <w:tr w:rsidR="00E34EA0" w:rsidTr="00537A0A">
        <w:tc>
          <w:tcPr>
            <w:tcW w:w="3222" w:type="dxa"/>
          </w:tcPr>
          <w:p w:rsidR="00E34EA0" w:rsidRDefault="00E34EA0" w:rsidP="00537A0A">
            <w:pPr>
              <w:pStyle w:val="BodyRuller"/>
            </w:pPr>
          </w:p>
        </w:tc>
        <w:tc>
          <w:tcPr>
            <w:tcW w:w="5141" w:type="dxa"/>
          </w:tcPr>
          <w:p w:rsidR="00E34EA0" w:rsidRDefault="00E34EA0" w:rsidP="00537A0A">
            <w:pPr>
              <w:pStyle w:val="BodyRuller"/>
            </w:pPr>
            <w:r>
              <w:rPr>
                <w:rFonts w:hint="cs"/>
                <w:rtl/>
              </w:rPr>
              <w:t>נ</w:t>
            </w:r>
            <w:r>
              <w:t xml:space="preserve">  </w:t>
            </w:r>
            <w:r>
              <w:rPr>
                <w:rFonts w:hint="cs"/>
                <w:rtl/>
              </w:rPr>
              <w:t>ג</w:t>
            </w:r>
            <w:r>
              <w:t xml:space="preserve">  </w:t>
            </w:r>
            <w:r>
              <w:rPr>
                <w:rFonts w:hint="cs"/>
                <w:rtl/>
              </w:rPr>
              <w:t>ד</w:t>
            </w:r>
          </w:p>
        </w:tc>
      </w:tr>
    </w:tbl>
    <w:p w:rsidR="00E34EA0" w:rsidRDefault="00E34EA0" w:rsidP="00E34EA0">
      <w:pPr>
        <w:pStyle w:val="Ruller3"/>
        <w:spacing w:line="240" w:lineRule="auto"/>
      </w:pPr>
    </w:p>
    <w:tbl>
      <w:tblPr>
        <w:bidiVisual/>
        <w:tblW w:w="8363" w:type="dxa"/>
        <w:tblLook w:val="0000" w:firstRow="0" w:lastRow="0" w:firstColumn="0" w:lastColumn="0" w:noHBand="0" w:noVBand="0"/>
      </w:tblPr>
      <w:tblGrid>
        <w:gridCol w:w="3232"/>
        <w:gridCol w:w="5131"/>
      </w:tblGrid>
      <w:tr w:rsidR="00E34EA0" w:rsidTr="00537A0A">
        <w:tc>
          <w:tcPr>
            <w:tcW w:w="3232" w:type="dxa"/>
          </w:tcPr>
          <w:p w:rsidR="00E34EA0" w:rsidRDefault="00E34EA0" w:rsidP="00537A0A">
            <w:pPr>
              <w:pStyle w:val="BodyRuller"/>
            </w:pPr>
            <w:r>
              <w:rPr>
                <w:rtl/>
              </w:rPr>
              <w:t>המשיבים:</w:t>
            </w:r>
          </w:p>
        </w:tc>
        <w:tc>
          <w:tcPr>
            <w:tcW w:w="5131" w:type="dxa"/>
          </w:tcPr>
          <w:p w:rsidR="00E34EA0" w:rsidRDefault="00E34EA0" w:rsidP="00537A0A">
            <w:pPr>
              <w:pStyle w:val="BodyRuller"/>
            </w:pPr>
            <w:r>
              <w:rPr>
                <w:rtl/>
              </w:rPr>
              <w:t>1. בית הדין הארצי לעבודה ירושלים</w:t>
            </w:r>
          </w:p>
        </w:tc>
      </w:tr>
      <w:tr w:rsidR="00E34EA0" w:rsidTr="00537A0A">
        <w:tc>
          <w:tcPr>
            <w:tcW w:w="3232" w:type="dxa"/>
          </w:tcPr>
          <w:p w:rsidR="00E34EA0" w:rsidRDefault="00E34EA0" w:rsidP="00537A0A">
            <w:pPr>
              <w:pStyle w:val="BodyRuller"/>
              <w:rPr>
                <w:rtl/>
              </w:rPr>
            </w:pPr>
          </w:p>
        </w:tc>
        <w:tc>
          <w:tcPr>
            <w:tcW w:w="5131" w:type="dxa"/>
          </w:tcPr>
          <w:p w:rsidR="00E34EA0" w:rsidRDefault="00E34EA0" w:rsidP="00537A0A">
            <w:pPr>
              <w:pStyle w:val="BodyRuller"/>
              <w:rPr>
                <w:rtl/>
              </w:rPr>
            </w:pPr>
            <w:r>
              <w:rPr>
                <w:rtl/>
              </w:rPr>
              <w:t>2. המוסד לביטוח לאומי</w:t>
            </w:r>
          </w:p>
        </w:tc>
      </w:tr>
    </w:tbl>
    <w:p w:rsidR="00E34EA0" w:rsidRDefault="00E34EA0" w:rsidP="00E34EA0">
      <w:pPr>
        <w:pStyle w:val="Ruller3"/>
        <w:spacing w:line="240" w:lineRule="auto"/>
        <w:rPr>
          <w:rtl/>
        </w:rPr>
      </w:pPr>
    </w:p>
    <w:tbl>
      <w:tblPr>
        <w:bidiVisual/>
        <w:tblW w:w="0" w:type="auto"/>
        <w:tblInd w:w="3209" w:type="dxa"/>
        <w:tblLook w:val="0000" w:firstRow="0" w:lastRow="0" w:firstColumn="0" w:lastColumn="0" w:noHBand="0" w:noVBand="0"/>
      </w:tblPr>
      <w:tblGrid>
        <w:gridCol w:w="5103"/>
      </w:tblGrid>
      <w:tr w:rsidR="00E34EA0" w:rsidTr="00537A0A">
        <w:tc>
          <w:tcPr>
            <w:tcW w:w="5103" w:type="dxa"/>
          </w:tcPr>
          <w:p w:rsidR="00E34EA0" w:rsidRPr="00265F6E" w:rsidRDefault="00E34EA0" w:rsidP="00537A0A">
            <w:pPr>
              <w:pStyle w:val="BodyRuller"/>
              <w:rPr>
                <w:sz w:val="24"/>
                <w:szCs w:val="24"/>
              </w:rPr>
            </w:pPr>
            <w:r>
              <w:rPr>
                <w:rFonts w:hint="cs"/>
                <w:sz w:val="24"/>
                <w:szCs w:val="24"/>
                <w:rtl/>
              </w:rPr>
              <w:t>עתירה למתן צו על תנאי</w:t>
            </w:r>
          </w:p>
        </w:tc>
      </w:tr>
    </w:tbl>
    <w:p w:rsidR="00E34EA0" w:rsidRDefault="00E34EA0" w:rsidP="00E34EA0">
      <w:pPr>
        <w:pStyle w:val="Ruller3"/>
        <w:spacing w:line="240" w:lineRule="auto"/>
        <w:rPr>
          <w:rtl/>
        </w:rPr>
      </w:pP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1"/>
        <w:gridCol w:w="5152"/>
      </w:tblGrid>
      <w:tr w:rsidR="00E34EA0" w:rsidTr="00537A0A">
        <w:tc>
          <w:tcPr>
            <w:tcW w:w="3211" w:type="dxa"/>
            <w:tcBorders>
              <w:top w:val="nil"/>
              <w:left w:val="nil"/>
              <w:bottom w:val="nil"/>
              <w:right w:val="nil"/>
            </w:tcBorders>
          </w:tcPr>
          <w:p w:rsidR="00E34EA0" w:rsidRDefault="00E34EA0" w:rsidP="00537A0A">
            <w:pPr>
              <w:pStyle w:val="BodyRuller"/>
            </w:pPr>
            <w:r>
              <w:rPr>
                <w:rtl/>
              </w:rPr>
              <w:t>בשם העותר:</w:t>
            </w:r>
          </w:p>
        </w:tc>
        <w:tc>
          <w:tcPr>
            <w:tcW w:w="5152" w:type="dxa"/>
            <w:tcBorders>
              <w:top w:val="nil"/>
              <w:left w:val="nil"/>
              <w:bottom w:val="nil"/>
              <w:right w:val="nil"/>
            </w:tcBorders>
          </w:tcPr>
          <w:p w:rsidR="00E34EA0" w:rsidRDefault="00E34EA0" w:rsidP="00537A0A">
            <w:pPr>
              <w:pStyle w:val="BodyRuller"/>
            </w:pPr>
            <w:r>
              <w:rPr>
                <w:rFonts w:hint="cs"/>
                <w:rtl/>
              </w:rPr>
              <w:t xml:space="preserve">עו"ד </w:t>
            </w:r>
            <w:proofErr w:type="spellStart"/>
            <w:r>
              <w:rPr>
                <w:rFonts w:hint="cs"/>
                <w:rtl/>
              </w:rPr>
              <w:t>שילת</w:t>
            </w:r>
            <w:proofErr w:type="spellEnd"/>
            <w:r>
              <w:rPr>
                <w:rFonts w:hint="cs"/>
                <w:rtl/>
              </w:rPr>
              <w:t xml:space="preserve"> דהן ועו"ד ליאור </w:t>
            </w:r>
            <w:proofErr w:type="spellStart"/>
            <w:r>
              <w:rPr>
                <w:rFonts w:hint="cs"/>
                <w:rtl/>
              </w:rPr>
              <w:t>טומשין</w:t>
            </w:r>
            <w:proofErr w:type="spellEnd"/>
          </w:p>
        </w:tc>
      </w:tr>
      <w:tr w:rsidR="00E34EA0" w:rsidTr="00537A0A">
        <w:tc>
          <w:tcPr>
            <w:tcW w:w="3211" w:type="dxa"/>
            <w:tcBorders>
              <w:top w:val="nil"/>
              <w:left w:val="nil"/>
              <w:bottom w:val="nil"/>
              <w:right w:val="nil"/>
            </w:tcBorders>
          </w:tcPr>
          <w:p w:rsidR="00E34EA0" w:rsidRPr="005D1BDE" w:rsidRDefault="00E34EA0" w:rsidP="00537A0A">
            <w:pPr>
              <w:pStyle w:val="BodyRuller"/>
              <w:rPr>
                <w:rtl/>
              </w:rPr>
            </w:pPr>
            <w:r>
              <w:rPr>
                <w:rFonts w:hint="cs"/>
                <w:rtl/>
              </w:rPr>
              <w:t>בשם המשיבים:</w:t>
            </w:r>
          </w:p>
        </w:tc>
        <w:tc>
          <w:tcPr>
            <w:tcW w:w="5152" w:type="dxa"/>
            <w:tcBorders>
              <w:top w:val="nil"/>
              <w:left w:val="nil"/>
              <w:bottom w:val="nil"/>
              <w:right w:val="nil"/>
            </w:tcBorders>
          </w:tcPr>
          <w:p w:rsidR="00E34EA0" w:rsidRDefault="00E34EA0" w:rsidP="00537A0A">
            <w:pPr>
              <w:pStyle w:val="BodyRuller"/>
              <w:rPr>
                <w:rtl/>
              </w:rPr>
            </w:pPr>
            <w:r>
              <w:rPr>
                <w:rFonts w:hint="cs"/>
                <w:rtl/>
              </w:rPr>
              <w:t>עו"ד ארנה רוזן-אמיר</w:t>
            </w:r>
          </w:p>
        </w:tc>
      </w:tr>
    </w:tbl>
    <w:p w:rsidR="00E34EA0" w:rsidRDefault="00E34EA0" w:rsidP="00E34EA0">
      <w:pPr>
        <w:pStyle w:val="Ruller3"/>
        <w:spacing w:line="240" w:lineRule="auto"/>
        <w:rPr>
          <w:rtl/>
        </w:rPr>
      </w:pPr>
    </w:p>
    <w:p w:rsidR="00E34EA0" w:rsidRDefault="00E34EA0" w:rsidP="00E34EA0">
      <w:pPr>
        <w:pStyle w:val="Ruller3"/>
        <w:spacing w:line="240" w:lineRule="auto"/>
        <w:rPr>
          <w:rtl/>
        </w:rPr>
      </w:pPr>
    </w:p>
    <w:tbl>
      <w:tblPr>
        <w:bidiVisual/>
        <w:tblW w:w="8363" w:type="dxa"/>
        <w:tblLook w:val="0000" w:firstRow="0" w:lastRow="0" w:firstColumn="0" w:lastColumn="0" w:noHBand="0" w:noVBand="0"/>
      </w:tblPr>
      <w:tblGrid>
        <w:gridCol w:w="8363"/>
      </w:tblGrid>
      <w:tr w:rsidR="00E34EA0" w:rsidTr="00537A0A">
        <w:tc>
          <w:tcPr>
            <w:tcW w:w="8363" w:type="dxa"/>
          </w:tcPr>
          <w:p w:rsidR="00E34EA0" w:rsidRDefault="00E34EA0" w:rsidP="00537A0A">
            <w:pPr>
              <w:pStyle w:val="DocumentHead"/>
              <w:spacing w:line="240" w:lineRule="auto"/>
            </w:pPr>
            <w:bookmarkStart w:id="1" w:name="secretary"/>
            <w:bookmarkStart w:id="2" w:name="BeginProtocol"/>
            <w:bookmarkEnd w:id="1"/>
            <w:bookmarkEnd w:id="2"/>
            <w:r>
              <w:rPr>
                <w:rtl/>
              </w:rPr>
              <w:t>פסק-דין</w:t>
            </w:r>
          </w:p>
        </w:tc>
      </w:tr>
    </w:tbl>
    <w:p w:rsidR="00E34EA0" w:rsidRPr="00503A3E" w:rsidRDefault="00E34EA0" w:rsidP="00E34EA0">
      <w:pPr>
        <w:pStyle w:val="BODYVERDICT"/>
        <w:rPr>
          <w:rFonts w:cs="Miriam"/>
          <w:sz w:val="24"/>
          <w:szCs w:val="24"/>
          <w:u w:val="single"/>
          <w:rtl/>
        </w:rPr>
      </w:pPr>
      <w:bookmarkStart w:id="3" w:name="Writer_Name"/>
      <w:bookmarkEnd w:id="3"/>
      <w:r>
        <w:rPr>
          <w:rFonts w:cs="Miriam"/>
          <w:sz w:val="24"/>
          <w:szCs w:val="24"/>
          <w:u w:val="single"/>
          <w:rtl/>
        </w:rPr>
        <w:t>השופט י' עמית</w:t>
      </w:r>
      <w:r w:rsidRPr="005D1BDE">
        <w:rPr>
          <w:rFonts w:cs="Miriam"/>
          <w:sz w:val="24"/>
          <w:szCs w:val="24"/>
          <w:rtl/>
        </w:rPr>
        <w:t>:</w:t>
      </w:r>
    </w:p>
    <w:p w:rsidR="00E34EA0" w:rsidRDefault="00E34EA0" w:rsidP="00E34EA0">
      <w:pPr>
        <w:pStyle w:val="Ruller4"/>
        <w:rPr>
          <w:rtl/>
        </w:rPr>
      </w:pPr>
      <w:bookmarkStart w:id="4" w:name="Start_Write"/>
      <w:bookmarkEnd w:id="4"/>
    </w:p>
    <w:p w:rsidR="00E34EA0" w:rsidRDefault="00E34EA0" w:rsidP="00E34EA0">
      <w:pPr>
        <w:pStyle w:val="Ruller4"/>
        <w:rPr>
          <w:rFonts w:ascii="Century" w:hAnsi="Century"/>
          <w:rtl/>
        </w:rPr>
      </w:pPr>
      <w:r>
        <w:rPr>
          <w:rFonts w:ascii="Century" w:hAnsi="Century" w:hint="cs"/>
          <w:rtl/>
        </w:rPr>
        <w:tab/>
        <w:t xml:space="preserve">בעתירה זו נתבקשנו להורות על ביטול פסק דינו של בית הדין הארצי לעבודה (כב' השופטים </w:t>
      </w:r>
      <w:r>
        <w:rPr>
          <w:rFonts w:ascii="Century" w:hAnsi="Century" w:cs="Miriam" w:hint="cs"/>
          <w:b/>
          <w:spacing w:val="0"/>
          <w:szCs w:val="24"/>
          <w:rtl/>
        </w:rPr>
        <w:t xml:space="preserve">ל' </w:t>
      </w:r>
      <w:proofErr w:type="spellStart"/>
      <w:r>
        <w:rPr>
          <w:rFonts w:ascii="Century" w:hAnsi="Century" w:cs="Miriam" w:hint="cs"/>
          <w:b/>
          <w:spacing w:val="0"/>
          <w:szCs w:val="24"/>
          <w:rtl/>
        </w:rPr>
        <w:t>גליקסמן</w:t>
      </w:r>
      <w:proofErr w:type="spellEnd"/>
      <w:r>
        <w:rPr>
          <w:rFonts w:ascii="Century" w:hAnsi="Century" w:hint="cs"/>
          <w:rtl/>
        </w:rPr>
        <w:t xml:space="preserve">, </w:t>
      </w:r>
      <w:r>
        <w:rPr>
          <w:rFonts w:ascii="Century" w:hAnsi="Century" w:cs="Miriam" w:hint="cs"/>
          <w:b/>
          <w:spacing w:val="0"/>
          <w:szCs w:val="24"/>
          <w:rtl/>
        </w:rPr>
        <w:t>ח' אופק-</w:t>
      </w:r>
      <w:proofErr w:type="spellStart"/>
      <w:r>
        <w:rPr>
          <w:rFonts w:ascii="Century" w:hAnsi="Century" w:cs="Miriam" w:hint="cs"/>
          <w:b/>
          <w:spacing w:val="0"/>
          <w:szCs w:val="24"/>
          <w:rtl/>
        </w:rPr>
        <w:t>גנדלר</w:t>
      </w:r>
      <w:proofErr w:type="spellEnd"/>
      <w:r>
        <w:rPr>
          <w:rFonts w:ascii="Century" w:hAnsi="Century" w:hint="cs"/>
          <w:rtl/>
        </w:rPr>
        <w:t xml:space="preserve"> ו</w:t>
      </w:r>
      <w:r>
        <w:rPr>
          <w:rFonts w:ascii="Century" w:hAnsi="Century" w:cs="Miriam" w:hint="cs"/>
          <w:b/>
          <w:spacing w:val="0"/>
          <w:szCs w:val="24"/>
          <w:rtl/>
        </w:rPr>
        <w:t>א' סופר</w:t>
      </w:r>
      <w:r>
        <w:rPr>
          <w:rFonts w:ascii="Century" w:hAnsi="Century" w:hint="cs"/>
          <w:rtl/>
        </w:rPr>
        <w:t xml:space="preserve">; להלן: </w:t>
      </w:r>
      <w:r>
        <w:rPr>
          <w:rFonts w:ascii="Century" w:hAnsi="Century" w:cs="Miriam" w:hint="cs"/>
          <w:b/>
          <w:spacing w:val="0"/>
          <w:szCs w:val="24"/>
          <w:rtl/>
        </w:rPr>
        <w:t>בית הדין הארצי</w:t>
      </w:r>
      <w:r>
        <w:rPr>
          <w:rFonts w:ascii="Century" w:hAnsi="Century" w:hint="cs"/>
          <w:rtl/>
        </w:rPr>
        <w:t xml:space="preserve">) </w:t>
      </w:r>
      <w:proofErr w:type="spellStart"/>
      <w:r>
        <w:rPr>
          <w:rFonts w:ascii="Century" w:hAnsi="Century" w:hint="cs"/>
          <w:rtl/>
        </w:rPr>
        <w:t>בבר"ע</w:t>
      </w:r>
      <w:proofErr w:type="spellEnd"/>
      <w:r>
        <w:rPr>
          <w:rFonts w:ascii="Century" w:hAnsi="Century" w:hint="cs"/>
          <w:rtl/>
        </w:rPr>
        <w:t xml:space="preserve"> 37133-12-16 מיום 14.8.2018, בגדרו נדחתה בקשתו של העותר לרשות ערעור על פסק דינו של בית הדין האזורי לעבודה בתל אביב-יפו (להלן: </w:t>
      </w:r>
      <w:r>
        <w:rPr>
          <w:rFonts w:ascii="Century" w:hAnsi="Century" w:cs="Miriam" w:hint="cs"/>
          <w:b/>
          <w:spacing w:val="0"/>
          <w:szCs w:val="24"/>
          <w:rtl/>
        </w:rPr>
        <w:t>בית הדין האזורי</w:t>
      </w:r>
      <w:r>
        <w:rPr>
          <w:rFonts w:ascii="Century" w:hAnsi="Century" w:hint="cs"/>
          <w:rtl/>
        </w:rPr>
        <w:t xml:space="preserve">) </w:t>
      </w:r>
      <w:proofErr w:type="spellStart"/>
      <w:r>
        <w:rPr>
          <w:rFonts w:ascii="Century" w:hAnsi="Century" w:hint="cs"/>
          <w:rtl/>
        </w:rPr>
        <w:t>בב"ל</w:t>
      </w:r>
      <w:proofErr w:type="spellEnd"/>
      <w:r>
        <w:rPr>
          <w:rFonts w:ascii="Century" w:hAnsi="Century" w:hint="cs"/>
          <w:rtl/>
        </w:rPr>
        <w:t xml:space="preserve"> (אזורי ת"א) 6006-05-15 מיום 18.11.2016 (כב' השופטת </w:t>
      </w:r>
      <w:r>
        <w:rPr>
          <w:rFonts w:ascii="Century" w:hAnsi="Century" w:cs="Miriam" w:hint="cs"/>
          <w:b/>
          <w:spacing w:val="0"/>
          <w:szCs w:val="24"/>
          <w:rtl/>
        </w:rPr>
        <w:t>כ' פלד</w:t>
      </w:r>
      <w:r>
        <w:rPr>
          <w:rFonts w:ascii="Century" w:hAnsi="Century" w:hint="cs"/>
          <w:rtl/>
        </w:rPr>
        <w:t>).</w:t>
      </w:r>
      <w:r>
        <w:rPr>
          <w:rFonts w:ascii="Century" w:hAnsi="Century" w:hint="cs"/>
          <w:rtl/>
        </w:rPr>
        <w:tab/>
      </w:r>
    </w:p>
    <w:p w:rsidR="00E34EA0" w:rsidRDefault="00E34EA0" w:rsidP="00E34EA0">
      <w:pPr>
        <w:pStyle w:val="Ruller41"/>
        <w:tabs>
          <w:tab w:val="num" w:pos="907"/>
        </w:tabs>
        <w:rPr>
          <w:rFonts w:ascii="Century" w:hAnsi="Century"/>
        </w:rPr>
      </w:pPr>
    </w:p>
    <w:p w:rsidR="00E34EA0" w:rsidRDefault="00E34EA0" w:rsidP="00E34EA0">
      <w:pPr>
        <w:pStyle w:val="Ruller41"/>
        <w:tabs>
          <w:tab w:val="num" w:pos="907"/>
        </w:tabs>
        <w:rPr>
          <w:rFonts w:ascii="Century" w:hAnsi="Century" w:cs="Miriam"/>
          <w:b/>
          <w:spacing w:val="0"/>
          <w:sz w:val="22"/>
          <w:szCs w:val="24"/>
          <w:rtl/>
        </w:rPr>
      </w:pPr>
      <w:r>
        <w:rPr>
          <w:rFonts w:ascii="Century" w:hAnsi="Century" w:cs="Miriam" w:hint="cs"/>
          <w:b/>
          <w:spacing w:val="0"/>
          <w:sz w:val="22"/>
          <w:szCs w:val="24"/>
          <w:rtl/>
        </w:rPr>
        <w:t>העובדות הצריכות לעניין ותמצית טענות העותר</w:t>
      </w:r>
    </w:p>
    <w:p w:rsidR="00E34EA0" w:rsidRDefault="00E34EA0" w:rsidP="00E34EA0">
      <w:pPr>
        <w:rPr>
          <w:rFonts w:ascii="Calibri" w:hAnsi="Calibri" w:cs="Arial"/>
          <w:sz w:val="22"/>
          <w:szCs w:val="22"/>
          <w:rtl/>
        </w:rPr>
      </w:pPr>
    </w:p>
    <w:p w:rsidR="00E34EA0" w:rsidRDefault="00E34EA0" w:rsidP="00E34EA0">
      <w:pPr>
        <w:pStyle w:val="Ruller4"/>
        <w:rPr>
          <w:rtl/>
        </w:rPr>
      </w:pPr>
      <w:r>
        <w:rPr>
          <w:rFonts w:hint="cs"/>
          <w:rtl/>
        </w:rPr>
        <w:t>1.</w:t>
      </w:r>
      <w:r>
        <w:rPr>
          <w:rFonts w:hint="cs"/>
          <w:rtl/>
        </w:rPr>
        <w:tab/>
        <w:t xml:space="preserve">העותר נפצע בתאונת עבודה ביום 15.2.1979 ואיבד את מאור עינו השמאלית. ועדה רפואית קבעה לו בשנת 1982 דרגת נכות צמיתה בשיעור של 15%, בהתאם לתקנות הביטוח הלאומי (קביעת דרגת נכות לנפגעי עבודה), התשט"ז-1956 (להלן: </w:t>
      </w:r>
      <w:r>
        <w:rPr>
          <w:rFonts w:cs="Miriam" w:hint="cs"/>
          <w:b/>
          <w:spacing w:val="0"/>
          <w:szCs w:val="24"/>
          <w:rtl/>
        </w:rPr>
        <w:t>תקנות הביטוח הלאומי</w:t>
      </w:r>
      <w:r>
        <w:rPr>
          <w:rFonts w:hint="cs"/>
          <w:rtl/>
        </w:rPr>
        <w:t xml:space="preserve"> או </w:t>
      </w:r>
      <w:r>
        <w:rPr>
          <w:rFonts w:cs="Miriam" w:hint="cs"/>
          <w:b/>
          <w:spacing w:val="0"/>
          <w:szCs w:val="24"/>
          <w:rtl/>
        </w:rPr>
        <w:t>התקנות</w:t>
      </w:r>
      <w:r>
        <w:rPr>
          <w:rFonts w:hint="cs"/>
          <w:rtl/>
        </w:rPr>
        <w:t xml:space="preserve">) כלהלן: 35% נכות בשל הפגיעה בעין, </w:t>
      </w:r>
      <w:r>
        <w:rPr>
          <w:rFonts w:cs="Miriam" w:hint="cs"/>
          <w:b/>
          <w:spacing w:val="0"/>
          <w:szCs w:val="24"/>
          <w:rtl/>
        </w:rPr>
        <w:t>בניכוי</w:t>
      </w:r>
      <w:r>
        <w:rPr>
          <w:rFonts w:hint="cs"/>
          <w:rtl/>
        </w:rPr>
        <w:t xml:space="preserve"> 20% בשל בעיה קודמת ממנה סבל העותר (המקנה, לפי פריט 62(א) לתקנות, 20% נכות). בשנת 1992 תוקנו התקנות (להלן: </w:t>
      </w:r>
      <w:r>
        <w:rPr>
          <w:rFonts w:cs="Miriam" w:hint="cs"/>
          <w:b/>
          <w:spacing w:val="0"/>
          <w:szCs w:val="24"/>
          <w:rtl/>
        </w:rPr>
        <w:t>תיקון 1992</w:t>
      </w:r>
      <w:r>
        <w:rPr>
          <w:rFonts w:hint="cs"/>
          <w:rtl/>
        </w:rPr>
        <w:t>), כך שפריט 62(א) הוחלף בפריט 62(ד), והוא מקנה עתה 10% נכות. דהיינו, לו הייתה הוועדה מתכנסת בעניינו של העותר כיום, הוא היה זכאי ל-25% נכות ולא 15%.</w:t>
      </w:r>
    </w:p>
    <w:p w:rsidR="00E34EA0" w:rsidRDefault="00E34EA0" w:rsidP="00E34EA0">
      <w:pPr>
        <w:pStyle w:val="Ruller4"/>
        <w:rPr>
          <w:rFonts w:ascii="Calibri" w:hAnsi="Calibri"/>
          <w:rtl/>
        </w:rPr>
      </w:pPr>
    </w:p>
    <w:p w:rsidR="00E34EA0" w:rsidRDefault="00E34EA0" w:rsidP="00E34EA0">
      <w:pPr>
        <w:pStyle w:val="Ruller4"/>
        <w:rPr>
          <w:rtl/>
        </w:rPr>
      </w:pPr>
      <w:r>
        <w:rPr>
          <w:rFonts w:hint="cs"/>
          <w:rtl/>
        </w:rPr>
        <w:lastRenderedPageBreak/>
        <w:tab/>
        <w:t xml:space="preserve">עקב כך, הגיש העותר בשנת 2014 בקשה להחמרת מצב, שבעקבותיה כונסה ועדה רפואית וזו עדכנה את דרגת נכותו ל-25%. המשיב 2 (להלן: </w:t>
      </w:r>
      <w:proofErr w:type="spellStart"/>
      <w:r>
        <w:rPr>
          <w:rFonts w:cs="Miriam" w:hint="cs"/>
          <w:b/>
          <w:spacing w:val="0"/>
          <w:szCs w:val="24"/>
          <w:rtl/>
        </w:rPr>
        <w:t>המל"ל</w:t>
      </w:r>
      <w:proofErr w:type="spellEnd"/>
      <w:r>
        <w:rPr>
          <w:rFonts w:hint="cs"/>
          <w:rtl/>
        </w:rPr>
        <w:t xml:space="preserve">) ערער על כך לוועדת </w:t>
      </w:r>
      <w:proofErr w:type="spellStart"/>
      <w:r>
        <w:rPr>
          <w:rFonts w:hint="cs"/>
          <w:rtl/>
        </w:rPr>
        <w:t>העררים</w:t>
      </w:r>
      <w:proofErr w:type="spellEnd"/>
      <w:r>
        <w:rPr>
          <w:rFonts w:hint="cs"/>
          <w:rtl/>
        </w:rPr>
        <w:t>, ומשנדחה – ערער לבית הדין האזורי. הערעור התקבל, ונקבע כי אין לעדכן את דרגת הנכות של העותר בהיעדר החמרה במצבו הרפואי, וזאת לאור תקנה 45 הקובעת כלהלן:</w:t>
      </w:r>
    </w:p>
    <w:p w:rsidR="00E34EA0" w:rsidRDefault="00E34EA0" w:rsidP="00E34EA0">
      <w:pPr>
        <w:pStyle w:val="Ruller4"/>
        <w:rPr>
          <w:rtl/>
        </w:rPr>
      </w:pPr>
    </w:p>
    <w:p w:rsidR="00E34EA0" w:rsidRPr="005D1BDE" w:rsidRDefault="00E34EA0" w:rsidP="00E34EA0">
      <w:pPr>
        <w:pStyle w:val="Ruller5"/>
        <w:rPr>
          <w:rFonts w:ascii="Century" w:hAnsi="Century" w:cs="Miriam"/>
          <w:b/>
          <w:spacing w:val="0"/>
          <w:szCs w:val="24"/>
          <w:rtl/>
        </w:rPr>
      </w:pPr>
      <w:r w:rsidRPr="005D1BDE">
        <w:rPr>
          <w:rFonts w:ascii="Century" w:hAnsi="Century" w:cs="Miriam" w:hint="cs"/>
          <w:b/>
          <w:spacing w:val="0"/>
          <w:szCs w:val="24"/>
          <w:rtl/>
        </w:rPr>
        <w:t xml:space="preserve">הוראות מעבר </w:t>
      </w:r>
    </w:p>
    <w:p w:rsidR="00E34EA0" w:rsidRPr="005D1BDE" w:rsidRDefault="00E34EA0" w:rsidP="00E34EA0">
      <w:pPr>
        <w:pStyle w:val="Ruller5"/>
        <w:rPr>
          <w:rStyle w:val="default"/>
          <w:rFonts w:ascii="Century" w:hAnsi="Century"/>
          <w:rtl/>
        </w:rPr>
      </w:pPr>
      <w:r w:rsidRPr="005D1BDE">
        <w:rPr>
          <w:rStyle w:val="default"/>
          <w:rFonts w:ascii="Century" w:hAnsi="Century" w:hint="cs"/>
          <w:rtl/>
        </w:rPr>
        <w:t>(א)</w:t>
      </w:r>
      <w:r w:rsidRPr="005D1BDE">
        <w:rPr>
          <w:rStyle w:val="default"/>
          <w:rFonts w:ascii="Century" w:hAnsi="Century" w:hint="cs"/>
          <w:rtl/>
        </w:rPr>
        <w:tab/>
        <w:t>נקבעה דרגת נכות על ידי רופא או ועדה אליהם הופנה נפגע על ידי המוסד לפני פרסום תקנות אלה ברשומות, רואים את דרגת הנכות שנקבעה כאמור כאילו נקבעה לפי תקנות אלה.</w:t>
      </w:r>
    </w:p>
    <w:p w:rsidR="00E34EA0" w:rsidRPr="005D1BDE" w:rsidRDefault="00E34EA0" w:rsidP="00E34EA0">
      <w:pPr>
        <w:pStyle w:val="Ruller5"/>
        <w:rPr>
          <w:rStyle w:val="default"/>
          <w:rFonts w:ascii="Century" w:hAnsi="Century"/>
          <w:rtl/>
        </w:rPr>
      </w:pPr>
      <w:r w:rsidRPr="005D1BDE">
        <w:rPr>
          <w:rFonts w:ascii="Century" w:hAnsi="Century" w:hint="cs"/>
          <w:noProof/>
          <w:rtl/>
        </w:rPr>
        <mc:AlternateContent>
          <mc:Choice Requires="wps">
            <w:drawing>
              <wp:anchor distT="0" distB="0" distL="114300" distR="114300" simplePos="0" relativeHeight="251659264" behindDoc="0" locked="0" layoutInCell="1" allowOverlap="1" wp14:anchorId="09E402AC" wp14:editId="0B472B7F">
                <wp:simplePos x="0" y="0"/>
                <wp:positionH relativeFrom="column">
                  <wp:posOffset>5972175</wp:posOffset>
                </wp:positionH>
                <wp:positionV relativeFrom="paragraph">
                  <wp:posOffset>90170</wp:posOffset>
                </wp:positionV>
                <wp:extent cx="914400" cy="142240"/>
                <wp:effectExtent l="0" t="4445"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4EA0" w:rsidRDefault="00E34EA0" w:rsidP="00E34EA0">
                            <w:pPr>
                              <w:spacing w:line="160" w:lineRule="exact"/>
                              <w:rPr>
                                <w:rFonts w:cs="Miriam"/>
                                <w:noProof/>
                                <w:szCs w:val="18"/>
                              </w:rPr>
                            </w:pP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402AC" id="_x0000_t202" coordsize="21600,21600" o:spt="202" path="m,l,21600r21600,l21600,xe">
                <v:stroke joinstyle="miter"/>
                <v:path gradientshapeok="t" o:connecttype="rect"/>
              </v:shapetype>
              <v:shape id="תיבת טקסט 2" o:spid="_x0000_s1026" type="#_x0000_t202" style="position:absolute;left:0;text-align:left;margin-left:470.25pt;margin-top:7.1pt;width:1in;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" filled="f" stroked="f">
                <v:textbox inset="1mm,0,1mm,0">
                  <w:txbxContent>
                    <w:p w:rsidR="00E34EA0" w:rsidRDefault="00E34EA0" w:rsidP="00E34EA0">
                      <w:pPr>
                        <w:spacing w:line="160" w:lineRule="exact"/>
                        <w:rPr>
                          <w:rFonts w:cs="Miriam"/>
                          <w:noProof/>
                          <w:szCs w:val="18"/>
                        </w:rPr>
                      </w:pPr>
                    </w:p>
                  </w:txbxContent>
                </v:textbox>
              </v:shape>
            </w:pict>
          </mc:Fallback>
        </mc:AlternateContent>
      </w:r>
      <w:r w:rsidRPr="005D1BDE">
        <w:rPr>
          <w:rStyle w:val="default"/>
          <w:rFonts w:ascii="Century" w:hAnsi="Century" w:hint="cs"/>
          <w:rtl/>
        </w:rPr>
        <w:t>(ב)</w:t>
      </w:r>
      <w:r w:rsidRPr="005D1BDE">
        <w:rPr>
          <w:rStyle w:val="default"/>
          <w:rFonts w:ascii="Century" w:hAnsi="Century" w:hint="cs"/>
          <w:rtl/>
        </w:rPr>
        <w:tab/>
        <w:t xml:space="preserve">המבחנים שבתוספת שהיו קיימים ערב פרסום המבחנים לפי תקנות הביטוח הלאומי (קביעת דרגת נכות לנפגעי עבודה) (תיקון), תש"ל-1970 (להלן - המבחנים החדשים), יישארו בתוקף במקרים שבהם נערך דיון מחדש לפי תקנות 36 ו-37, אם לדעת הרופא או הועדה הרפואית </w:t>
      </w:r>
      <w:proofErr w:type="spellStart"/>
      <w:r w:rsidRPr="005D1BDE">
        <w:rPr>
          <w:rStyle w:val="default"/>
          <w:rFonts w:ascii="Century" w:hAnsi="Century" w:hint="cs"/>
          <w:rtl/>
        </w:rPr>
        <w:t>לעררים</w:t>
      </w:r>
      <w:proofErr w:type="spellEnd"/>
      <w:r w:rsidRPr="005D1BDE">
        <w:rPr>
          <w:rStyle w:val="default"/>
          <w:rFonts w:ascii="Century" w:hAnsi="Century" w:hint="cs"/>
          <w:rtl/>
        </w:rPr>
        <w:t xml:space="preserve">, לפי </w:t>
      </w:r>
      <w:proofErr w:type="spellStart"/>
      <w:r w:rsidRPr="005D1BDE">
        <w:rPr>
          <w:rStyle w:val="default"/>
          <w:rFonts w:ascii="Century" w:hAnsi="Century" w:hint="cs"/>
          <w:rtl/>
        </w:rPr>
        <w:t>הענין</w:t>
      </w:r>
      <w:proofErr w:type="spellEnd"/>
      <w:r w:rsidRPr="005D1BDE">
        <w:rPr>
          <w:rStyle w:val="default"/>
          <w:rFonts w:ascii="Century" w:hAnsi="Century" w:hint="cs"/>
          <w:rtl/>
        </w:rPr>
        <w:t>, לא חל שינוי בדרגת נכותו של הנפגע.</w:t>
      </w:r>
    </w:p>
    <w:p w:rsidR="00E34EA0" w:rsidRDefault="00E34EA0" w:rsidP="00E34EA0">
      <w:pPr>
        <w:pStyle w:val="Ruller5"/>
        <w:rPr>
          <w:rStyle w:val="default"/>
          <w:rFonts w:ascii="Century" w:hAnsi="Century"/>
          <w:rtl/>
        </w:rPr>
      </w:pPr>
      <w:r w:rsidRPr="005D1BDE">
        <w:rPr>
          <w:rStyle w:val="default"/>
          <w:rFonts w:ascii="Century" w:hAnsi="Century" w:hint="cs"/>
          <w:rtl/>
        </w:rPr>
        <w:t>(ג)</w:t>
      </w:r>
      <w:r w:rsidRPr="005D1BDE">
        <w:rPr>
          <w:rStyle w:val="default"/>
          <w:rFonts w:ascii="Century" w:hAnsi="Century" w:hint="cs"/>
          <w:rtl/>
        </w:rPr>
        <w:tab/>
        <w:t>חל שינוי בדרגת נכותו של הנפגע כתוצאה מדיון מחדש לפי תקנות 36 ו-37, לא תופחת קצבת הנכות המשתלמת לנפגע לעומת הקצבה ששולמה לו ערב הדיון מחדש רק מחמת זאת שבמבחנים החדשים דרגת הנכות נמוכה יותר, ובלבד שלא חל שינוי בדרגת הנכות מסיבה רפואית".</w:t>
      </w:r>
    </w:p>
    <w:p w:rsidR="00E34EA0" w:rsidRDefault="00E34EA0" w:rsidP="00E34EA0">
      <w:pPr>
        <w:pStyle w:val="Ruller5"/>
        <w:rPr>
          <w:rStyle w:val="default"/>
          <w:rFonts w:ascii="Century" w:hAnsi="Century"/>
          <w:rtl/>
        </w:rPr>
      </w:pPr>
    </w:p>
    <w:p w:rsidR="00E34EA0" w:rsidRDefault="00E34EA0" w:rsidP="00E34EA0">
      <w:pPr>
        <w:pStyle w:val="Ruller4"/>
        <w:rPr>
          <w:rStyle w:val="default"/>
          <w:rFonts w:ascii="Century" w:hAnsi="Century"/>
          <w:rtl/>
        </w:rPr>
      </w:pPr>
    </w:p>
    <w:p w:rsidR="00E34EA0" w:rsidRDefault="00E34EA0" w:rsidP="00E34EA0">
      <w:pPr>
        <w:pStyle w:val="Ruller4"/>
        <w:rPr>
          <w:rtl/>
        </w:rPr>
      </w:pPr>
      <w:r>
        <w:rPr>
          <w:rStyle w:val="default"/>
          <w:rFonts w:ascii="Century" w:hAnsi="Century"/>
          <w:rtl/>
        </w:rPr>
        <w:tab/>
      </w:r>
      <w:r>
        <w:rPr>
          <w:rStyle w:val="default"/>
          <w:rFonts w:ascii="Century" w:hAnsi="Century" w:hint="cs"/>
          <w:rtl/>
        </w:rPr>
        <w:t>בק</w:t>
      </w:r>
      <w:r>
        <w:rPr>
          <w:rFonts w:hint="cs"/>
          <w:rtl/>
        </w:rPr>
        <w:t xml:space="preserve">שת רשות ערעור שהגיש העותר לבית הדין הארצי נדחתה, הגם שמנימוקים שונים מאלו עליהם התבסס בית הדין האזורי. בית הדין הארצי עמד על כך שתקנה 45 באה לעולם במציאות בה היו תקנות ישנות וחדשות, אך לא נועדה לחול על כל השינויים שיחולו בתקנות מכאן ואילך. בית הדין שם את הדגש על כך שבהעדר נסיבות מיוחדות או טעמים מיוחדים, רואים כל דבר חקיקה כחל מכאן ואילך. </w:t>
      </w:r>
      <w:r>
        <w:rPr>
          <w:rFonts w:hint="cs"/>
          <w:sz w:val="28"/>
          <w:rtl/>
        </w:rPr>
        <w:t xml:space="preserve">נקבע כי העותר אינו יכול להסתמך ישירות על תיקון 1992, נוכח הוראת התחולה, אשר מחריגה עניינים שנדונו לפני פרסום התיקון: "תחילתן של תקנות אלה 30 ימים מיום פרסומן והן יחולו גם לגבי מי שהגיש תביעה לפני יום התחילה והועדה או הועדה </w:t>
      </w:r>
      <w:proofErr w:type="spellStart"/>
      <w:r>
        <w:rPr>
          <w:rFonts w:hint="cs"/>
          <w:sz w:val="28"/>
          <w:rtl/>
        </w:rPr>
        <w:t>לעררים</w:t>
      </w:r>
      <w:proofErr w:type="spellEnd"/>
      <w:r>
        <w:rPr>
          <w:rFonts w:hint="cs"/>
          <w:sz w:val="28"/>
          <w:rtl/>
        </w:rPr>
        <w:t xml:space="preserve"> דנה בעניינו לאחר יום התחילה" (סעיף 2 לתיקון משנת 1992 </w:t>
      </w:r>
      <w:proofErr w:type="spellStart"/>
      <w:r>
        <w:rPr>
          <w:rFonts w:hint="cs"/>
          <w:sz w:val="28"/>
          <w:rtl/>
        </w:rPr>
        <w:t>ק"ת</w:t>
      </w:r>
      <w:proofErr w:type="spellEnd"/>
      <w:r>
        <w:rPr>
          <w:rFonts w:hint="cs"/>
          <w:sz w:val="28"/>
          <w:rtl/>
        </w:rPr>
        <w:t xml:space="preserve"> 5461, בעמ' 1408 (26.7.1992)).</w:t>
      </w:r>
      <w:r>
        <w:rPr>
          <w:rFonts w:hint="cs"/>
          <w:rtl/>
        </w:rPr>
        <w:t xml:space="preserve"> מכאן הסיק בית הדין כי מי שהגיש תביעה בשל אחד מהליקויים המופיעים בתקנות לאחר תיקונן עוד קודם ליום התחילה – התיקון אינו חל עליו. צוין כי העותר לא תקף את הוראות התחילה והתחולה, כך שהתיקון אינו חל עליו. בית הדין הפנה להוראת תקנה 36(א) לתקנות, ממנה עולה כי על הנפגע להראות כי חלה החמרה </w:t>
      </w:r>
      <w:r>
        <w:rPr>
          <w:rFonts w:cs="Miriam" w:hint="cs"/>
          <w:b/>
          <w:spacing w:val="0"/>
          <w:szCs w:val="24"/>
          <w:rtl/>
        </w:rPr>
        <w:t>רפואית</w:t>
      </w:r>
      <w:r>
        <w:rPr>
          <w:rFonts w:hint="cs"/>
          <w:rtl/>
        </w:rPr>
        <w:t xml:space="preserve"> במצבו. </w:t>
      </w:r>
    </w:p>
    <w:p w:rsidR="00E34EA0" w:rsidRDefault="00E34EA0" w:rsidP="00E34EA0">
      <w:pPr>
        <w:pStyle w:val="Ruller4"/>
        <w:rPr>
          <w:rtl/>
        </w:rPr>
      </w:pPr>
    </w:p>
    <w:p w:rsidR="00E34EA0" w:rsidRDefault="00E34EA0" w:rsidP="00E34EA0">
      <w:pPr>
        <w:pStyle w:val="Ruller4"/>
        <w:rPr>
          <w:rtl/>
        </w:rPr>
      </w:pPr>
      <w:r>
        <w:rPr>
          <w:rFonts w:hint="cs"/>
          <w:rtl/>
        </w:rPr>
        <w:lastRenderedPageBreak/>
        <w:t>2.</w:t>
      </w:r>
      <w:r>
        <w:rPr>
          <w:rFonts w:hint="cs"/>
          <w:rtl/>
        </w:rPr>
        <w:tab/>
        <w:t>בעתירתו טען העותר כי יש להתיר את עדכון דרגת הנכות של נכה תאונת עבודה, על בסיס שינוי בתקנות המיטיב עמו – "החמרה משפטית", בלשונו של העותר. העתירה מעלה שני קווי טיעון עיקריים: האופן בו פירש בית הדין הארצי את תקנה 36(א) לתקנות הביטוח הלאומי, העוסקת בדיון מחדש בעניינו של נכה; ושאלת ההכרה העקרונית בטענת "החמרה משפטית", על בסיס היקשים מההלכה הפסוקה ולאור השאיפה להימנע מהפליה בין סוגי נכים. פירוט בדבר שני קווי הטיעון הללו יובא להלן.</w:t>
      </w:r>
    </w:p>
    <w:p w:rsidR="00E34EA0" w:rsidRDefault="00E34EA0" w:rsidP="00E34EA0">
      <w:pPr>
        <w:pStyle w:val="Ruller4"/>
        <w:rPr>
          <w:rtl/>
        </w:rPr>
      </w:pPr>
    </w:p>
    <w:p w:rsidR="00E34EA0" w:rsidRDefault="00E34EA0" w:rsidP="00E34EA0">
      <w:pPr>
        <w:pStyle w:val="Ruller4"/>
        <w:rPr>
          <w:rFonts w:cs="Miriam"/>
          <w:b/>
          <w:spacing w:val="0"/>
          <w:szCs w:val="24"/>
          <w:rtl/>
        </w:rPr>
      </w:pPr>
      <w:r>
        <w:rPr>
          <w:rFonts w:cs="Miriam" w:hint="cs"/>
          <w:b/>
          <w:spacing w:val="0"/>
          <w:szCs w:val="24"/>
          <w:rtl/>
        </w:rPr>
        <w:t>דיון והכרעה</w:t>
      </w:r>
    </w:p>
    <w:p w:rsidR="00E34EA0" w:rsidRDefault="00E34EA0" w:rsidP="00E34EA0">
      <w:pPr>
        <w:pStyle w:val="Ruller4"/>
        <w:rPr>
          <w:rtl/>
        </w:rPr>
      </w:pPr>
    </w:p>
    <w:p w:rsidR="00E34EA0" w:rsidRDefault="00E34EA0" w:rsidP="00E34EA0">
      <w:pPr>
        <w:pStyle w:val="Ruller4"/>
        <w:rPr>
          <w:rtl/>
        </w:rPr>
      </w:pPr>
      <w:r>
        <w:rPr>
          <w:rFonts w:hint="cs"/>
          <w:rtl/>
        </w:rPr>
        <w:t>3.</w:t>
      </w:r>
      <w:r>
        <w:rPr>
          <w:rFonts w:hint="cs"/>
          <w:rtl/>
        </w:rPr>
        <w:tab/>
        <w:t xml:space="preserve">אקדים אחרית לראשית ואומר כי דין העתירה להידחות בשל היעדר עילה להתערבות בפסק דינו של בית הדין הארצי. על פי מושכלות יסוד, בית משפט זה אינו יושב כערכאת ערעור על בית הדין הארצי לעבודה, וההתערבות בפסקי דינו שמורה למקרים נדירים בהם אירעה "טעות משפטית מהותית" ששיקולי צדק מחייבים את תיקונה (בג"ץ 525/84 </w:t>
      </w:r>
      <w:r>
        <w:rPr>
          <w:rFonts w:cs="Miriam" w:hint="cs"/>
          <w:b/>
          <w:szCs w:val="24"/>
          <w:rtl/>
        </w:rPr>
        <w:t>חטיב נ' בית הדין הארצי לעבודה</w:t>
      </w:r>
      <w:r>
        <w:rPr>
          <w:rFonts w:hint="cs"/>
          <w:rtl/>
        </w:rPr>
        <w:t xml:space="preserve">, פ"ד מ(1) 673 (1986); בג"ץ 7033/12 </w:t>
      </w:r>
      <w:r>
        <w:rPr>
          <w:rFonts w:cs="Miriam" w:hint="cs"/>
          <w:b/>
          <w:szCs w:val="24"/>
          <w:rtl/>
        </w:rPr>
        <w:t>צברי נ' בית הדין הארצי לעבודה</w:t>
      </w:r>
      <w:r>
        <w:rPr>
          <w:rFonts w:hint="cs"/>
          <w:rtl/>
        </w:rPr>
        <w:t xml:space="preserve"> (9.10.2012)). הדבר נכון ביתר שאת באשר לנושאים המצויים בליבת מומחיותם של בתי הדין לעבודה כמו פרשנות חוק הביטוח הלאומי [נוסח משולב], התשנ"ה-1995 (להלן: </w:t>
      </w:r>
      <w:r>
        <w:rPr>
          <w:rFonts w:cs="Miriam" w:hint="cs"/>
          <w:b/>
          <w:spacing w:val="0"/>
          <w:szCs w:val="24"/>
          <w:rtl/>
        </w:rPr>
        <w:t>חוק הביטוח הלאומי</w:t>
      </w:r>
      <w:r>
        <w:rPr>
          <w:rFonts w:hint="cs"/>
          <w:rtl/>
        </w:rPr>
        <w:t xml:space="preserve">), והתקנות המותקנות על פיו </w:t>
      </w:r>
      <w:r>
        <w:rPr>
          <w:rFonts w:hint="cs"/>
          <w:color w:val="000000"/>
          <w:sz w:val="28"/>
          <w:rtl/>
        </w:rPr>
        <w:t xml:space="preserve">(ראו בג"ץ 5874/18 </w:t>
      </w:r>
      <w:r>
        <w:rPr>
          <w:rFonts w:cs="Miriam" w:hint="cs"/>
          <w:b/>
          <w:spacing w:val="0"/>
          <w:szCs w:val="24"/>
          <w:rtl/>
        </w:rPr>
        <w:t>רוחם נ' בית הדין הארצי לעבודה</w:t>
      </w:r>
      <w:r>
        <w:rPr>
          <w:rFonts w:hint="cs"/>
          <w:color w:val="000000"/>
          <w:sz w:val="28"/>
          <w:rtl/>
        </w:rPr>
        <w:t>, בפסקאות 15-14 (‏28.11.2018))</w:t>
      </w:r>
      <w:r>
        <w:rPr>
          <w:rFonts w:hint="cs"/>
          <w:rtl/>
        </w:rPr>
        <w:t>.</w:t>
      </w:r>
    </w:p>
    <w:p w:rsidR="00E34EA0" w:rsidRDefault="00E34EA0" w:rsidP="00E34EA0">
      <w:pPr>
        <w:pStyle w:val="Ruller4"/>
        <w:rPr>
          <w:rtl/>
        </w:rPr>
      </w:pPr>
    </w:p>
    <w:p w:rsidR="00E34EA0" w:rsidRDefault="00E34EA0" w:rsidP="00E34EA0">
      <w:pPr>
        <w:pStyle w:val="Ruller4"/>
        <w:rPr>
          <w:rtl/>
        </w:rPr>
      </w:pPr>
      <w:r>
        <w:rPr>
          <w:rFonts w:hint="cs"/>
          <w:rtl/>
        </w:rPr>
        <w:tab/>
        <w:t>לא שוכנעתי כי נפל פגם כלשהו בפסק הדין מושא העתירה, ודי בכך כדי לדחות את העתירה. עם זאת, ולמעלה מן הצורך, אדרש לטענות העותר לגופן, בחלוקה נושאית לפי שני אפיקי הטיעון שהעלה בעתירתו.</w:t>
      </w:r>
    </w:p>
    <w:p w:rsidR="00E34EA0" w:rsidRDefault="00E34EA0" w:rsidP="00E34EA0">
      <w:pPr>
        <w:pStyle w:val="Ruller4"/>
        <w:rPr>
          <w:rtl/>
        </w:rPr>
      </w:pPr>
    </w:p>
    <w:p w:rsidR="00E34EA0" w:rsidRDefault="00E34EA0" w:rsidP="00E34EA0">
      <w:pPr>
        <w:pStyle w:val="Ruller4"/>
        <w:rPr>
          <w:rFonts w:cs="Miriam"/>
          <w:b/>
          <w:spacing w:val="0"/>
          <w:szCs w:val="24"/>
          <w:rtl/>
        </w:rPr>
      </w:pPr>
      <w:r>
        <w:rPr>
          <w:rFonts w:cs="Miriam" w:hint="cs"/>
          <w:b/>
          <w:spacing w:val="0"/>
          <w:szCs w:val="24"/>
          <w:rtl/>
        </w:rPr>
        <w:t>א. פרשנות תקנות הביטוח הלאומי</w:t>
      </w:r>
    </w:p>
    <w:p w:rsidR="00E34EA0" w:rsidRDefault="00E34EA0" w:rsidP="00E34EA0">
      <w:pPr>
        <w:pStyle w:val="Ruller4"/>
        <w:rPr>
          <w:rFonts w:ascii="Calibri" w:hAnsi="Calibri" w:cs="Arial"/>
          <w:szCs w:val="22"/>
          <w:rtl/>
        </w:rPr>
      </w:pPr>
    </w:p>
    <w:p w:rsidR="00E34EA0" w:rsidRDefault="00E34EA0" w:rsidP="00E34EA0">
      <w:pPr>
        <w:pStyle w:val="Ruller4"/>
        <w:rPr>
          <w:rtl/>
        </w:rPr>
      </w:pPr>
      <w:r>
        <w:rPr>
          <w:rFonts w:hint="cs"/>
          <w:rtl/>
        </w:rPr>
        <w:t>4.</w:t>
      </w:r>
      <w:r>
        <w:rPr>
          <w:rFonts w:hint="cs"/>
          <w:rtl/>
        </w:rPr>
        <w:tab/>
        <w:t>העותר טען כי מכיוון שהדיון מחדש בעניינו התקיים לאחר כניסתו של תיקון 1992 לתוקף, יש לעדכן את דרגת הנכות שלו על בסיס התיקון. בקשתו של העותר לדיון מחדש הוגשה לאור תקנה 36(א) לתקנות הביטוח הלאומי, שלשונה כדלהלן:</w:t>
      </w:r>
    </w:p>
    <w:p w:rsidR="00E34EA0" w:rsidRDefault="00E34EA0" w:rsidP="00E34EA0">
      <w:pPr>
        <w:pStyle w:val="Ruller4"/>
        <w:rPr>
          <w:rtl/>
        </w:rPr>
      </w:pPr>
    </w:p>
    <w:p w:rsidR="00E34EA0" w:rsidRDefault="00E34EA0" w:rsidP="00E34EA0">
      <w:pPr>
        <w:pStyle w:val="Ruller5"/>
        <w:rPr>
          <w:rFonts w:ascii="Century" w:hAnsi="Century" w:cs="Miriam"/>
          <w:b/>
          <w:spacing w:val="0"/>
          <w:szCs w:val="24"/>
          <w:rtl/>
        </w:rPr>
      </w:pPr>
      <w:r>
        <w:rPr>
          <w:rFonts w:ascii="Century" w:hAnsi="Century" w:cs="Miriam" w:hint="cs"/>
          <w:b/>
          <w:spacing w:val="0"/>
          <w:szCs w:val="24"/>
          <w:rtl/>
        </w:rPr>
        <w:t>דיון מחדש לפי בקשת הנפגע</w:t>
      </w:r>
    </w:p>
    <w:p w:rsidR="00E34EA0" w:rsidRDefault="00E34EA0" w:rsidP="00E34EA0">
      <w:pPr>
        <w:pStyle w:val="Ruller5"/>
        <w:rPr>
          <w:rtl/>
        </w:rPr>
      </w:pPr>
      <w:r>
        <w:rPr>
          <w:rFonts w:hint="cs"/>
          <w:rtl/>
        </w:rPr>
        <w:t>"36.</w:t>
      </w:r>
      <w:r>
        <w:rPr>
          <w:rFonts w:hint="cs"/>
          <w:rtl/>
        </w:rPr>
        <w:tab/>
        <w:t xml:space="preserve">(א) עברו ששה חדשים מאז נקבעה לאחרונה דרגת נכותו של נפגע, אף אם נקבעה לתקופה קצובה ורופא שאושר במיוחד לכך על ידי שירות רפואי כאמור בסעיף 45(א)(1) או (3) לחוק אישר בכתב בתוקף תפקידו זה </w:t>
      </w:r>
      <w:r>
        <w:rPr>
          <w:rFonts w:ascii="Century" w:hAnsi="Century" w:cs="Miriam" w:hint="cs"/>
          <w:b/>
          <w:spacing w:val="0"/>
          <w:szCs w:val="24"/>
          <w:rtl/>
        </w:rPr>
        <w:t>כי הפגימה שבקשר אליה נקבעה דרגת הנכות הוחמרה</w:t>
      </w:r>
      <w:r>
        <w:rPr>
          <w:rFonts w:ascii="Century" w:hAnsi="Century" w:hint="cs"/>
          <w:rtl/>
        </w:rPr>
        <w:t xml:space="preserve"> או כי </w:t>
      </w:r>
      <w:r>
        <w:rPr>
          <w:rFonts w:ascii="Century" w:hAnsi="Century" w:hint="cs"/>
          <w:rtl/>
        </w:rPr>
        <w:lastRenderedPageBreak/>
        <w:t>נתגלתה פגימה חדשה</w:t>
      </w:r>
      <w:r>
        <w:rPr>
          <w:rFonts w:hint="cs"/>
          <w:rtl/>
        </w:rPr>
        <w:t xml:space="preserve">, רשאי הנפגע לבקש קביעת דרגת נכותו מחדש והוראות תקנות אלה יחולו בשינויים </w:t>
      </w:r>
      <w:proofErr w:type="spellStart"/>
      <w:r>
        <w:rPr>
          <w:rFonts w:hint="cs"/>
          <w:rtl/>
        </w:rPr>
        <w:t>המחוייבים</w:t>
      </w:r>
      <w:proofErr w:type="spellEnd"/>
      <w:r>
        <w:rPr>
          <w:rFonts w:hint="cs"/>
          <w:rtl/>
        </w:rPr>
        <w:t xml:space="preserve">" (הדגשה הוספה – </w:t>
      </w:r>
      <w:proofErr w:type="spellStart"/>
      <w:r>
        <w:rPr>
          <w:rFonts w:hint="cs"/>
          <w:rtl/>
        </w:rPr>
        <w:t>י"ע</w:t>
      </w:r>
      <w:proofErr w:type="spellEnd"/>
      <w:r>
        <w:rPr>
          <w:rFonts w:hint="cs"/>
          <w:rtl/>
        </w:rPr>
        <w:t>).</w:t>
      </w:r>
    </w:p>
    <w:p w:rsidR="00E34EA0" w:rsidRDefault="00E34EA0" w:rsidP="00E34EA0">
      <w:pPr>
        <w:pStyle w:val="Ruller5"/>
        <w:rPr>
          <w:rtl/>
        </w:rPr>
      </w:pPr>
    </w:p>
    <w:p w:rsidR="00E34EA0" w:rsidRDefault="00E34EA0" w:rsidP="00E34EA0">
      <w:pPr>
        <w:pStyle w:val="Ruller4"/>
        <w:rPr>
          <w:rtl/>
        </w:rPr>
      </w:pPr>
    </w:p>
    <w:p w:rsidR="00E34EA0" w:rsidRDefault="00E34EA0" w:rsidP="00E34EA0">
      <w:pPr>
        <w:pStyle w:val="Ruller4"/>
        <w:rPr>
          <w:sz w:val="28"/>
          <w:rtl/>
        </w:rPr>
      </w:pPr>
      <w:r>
        <w:rPr>
          <w:rtl/>
        </w:rPr>
        <w:tab/>
      </w:r>
      <w:r>
        <w:rPr>
          <w:rFonts w:hint="cs"/>
          <w:rtl/>
        </w:rPr>
        <w:t xml:space="preserve">יובהר, כי בקשת העותר הוגשה אך ורק על בסיס "החמרה משפטית", ומבלי שאירעה החמרה רפואית כלשהי במצבו. כאמור, בית הדין הארצי קבע כי הוועדה כלל לא הייתה מוסמכת לדון מחדש בעניינו של העותר, מכיוון שתקנה 36(א) מאפשרת דיון מחדש רק בהינתן החמרה </w:t>
      </w:r>
      <w:r>
        <w:rPr>
          <w:rFonts w:ascii="Century" w:hAnsi="Century" w:cs="Miriam" w:hint="cs"/>
          <w:b/>
          <w:spacing w:val="0"/>
          <w:szCs w:val="24"/>
          <w:rtl/>
        </w:rPr>
        <w:t>רפואית</w:t>
      </w:r>
      <w:r>
        <w:rPr>
          <w:rFonts w:hint="cs"/>
          <w:rtl/>
        </w:rPr>
        <w:t xml:space="preserve">. </w:t>
      </w:r>
      <w:r>
        <w:rPr>
          <w:rFonts w:hint="cs"/>
          <w:sz w:val="28"/>
          <w:rtl/>
        </w:rPr>
        <w:t>העותר לא חלק על כך בעתירתו, אך טען לתחולת תיקון 1992 "בדלת האחורית", דרך יישום תקנה 36(א).</w:t>
      </w:r>
    </w:p>
    <w:p w:rsidR="00E34EA0" w:rsidRDefault="00E34EA0" w:rsidP="00E34EA0">
      <w:pPr>
        <w:pStyle w:val="Ruller4"/>
      </w:pPr>
    </w:p>
    <w:p w:rsidR="00E34EA0" w:rsidRDefault="00E34EA0" w:rsidP="00E34EA0">
      <w:pPr>
        <w:pStyle w:val="Ruller4"/>
        <w:rPr>
          <w:rtl/>
        </w:rPr>
      </w:pPr>
      <w:r>
        <w:rPr>
          <w:rFonts w:hint="cs"/>
          <w:rtl/>
        </w:rPr>
        <w:t>5.</w:t>
      </w:r>
      <w:r>
        <w:rPr>
          <w:rFonts w:hint="cs"/>
          <w:rtl/>
        </w:rPr>
        <w:tab/>
        <w:t xml:space="preserve">לשיטתו של העותר, יש לפרש את המונח "הוחמרה" בתקנה 36(א) ככולל גם "החמרה משפטית", דהיינו שינוי בתקנות שמכוחו הפכה נכותו של הנפגע "חמורה" יותר. לגישת העותר, התקנה מנוסחת באופן דו-משמעי, ולאור תכליתם הסוציאלית של דיני הביטוח, יש לפרש עמימות זו לטובתו. מנגד, </w:t>
      </w:r>
      <w:proofErr w:type="spellStart"/>
      <w:r>
        <w:rPr>
          <w:rFonts w:hint="cs"/>
          <w:rtl/>
        </w:rPr>
        <w:t>המל"ל</w:t>
      </w:r>
      <w:proofErr w:type="spellEnd"/>
      <w:r>
        <w:rPr>
          <w:rFonts w:hint="cs"/>
          <w:rtl/>
        </w:rPr>
        <w:t xml:space="preserve"> טען כי פרשנותו של העותר אינה הולמת את לשון התקנה, שכן, אם די בהחמרה </w:t>
      </w:r>
      <w:r>
        <w:rPr>
          <w:rFonts w:ascii="Century" w:hAnsi="Century" w:cs="Miriam" w:hint="cs"/>
          <w:b/>
          <w:spacing w:val="0"/>
          <w:szCs w:val="24"/>
          <w:rtl/>
        </w:rPr>
        <w:t>משפטית</w:t>
      </w:r>
      <w:r>
        <w:rPr>
          <w:rFonts w:hint="cs"/>
          <w:rtl/>
        </w:rPr>
        <w:t xml:space="preserve"> לצורך כינוס הוועדה, לכאורה אין צורך בדרישה המנויה בתקנה לאישור בכתב מטעמו של רופא. </w:t>
      </w:r>
    </w:p>
    <w:p w:rsidR="00E34EA0" w:rsidRDefault="00E34EA0" w:rsidP="00E34EA0">
      <w:pPr>
        <w:pStyle w:val="Ruller4"/>
        <w:rPr>
          <w:rtl/>
        </w:rPr>
      </w:pPr>
    </w:p>
    <w:p w:rsidR="00E34EA0" w:rsidRDefault="00E34EA0" w:rsidP="00E34EA0">
      <w:pPr>
        <w:pStyle w:val="Ruller4"/>
        <w:rPr>
          <w:rtl/>
        </w:rPr>
      </w:pPr>
      <w:r>
        <w:rPr>
          <w:rFonts w:hint="cs"/>
          <w:rtl/>
        </w:rPr>
        <w:t>6.</w:t>
      </w:r>
      <w:r>
        <w:rPr>
          <w:rFonts w:hint="cs"/>
          <w:rtl/>
        </w:rPr>
        <w:tab/>
        <w:t xml:space="preserve">מבלי להכביר במילים, לא מצאתי ממש בפרשנות שמבקש העותר "לכפות" על תקנה 36(א). לשון התקנה מציינת במפורש החמרה </w:t>
      </w:r>
      <w:r>
        <w:rPr>
          <w:rFonts w:ascii="Century" w:hAnsi="Century" w:cs="Miriam" w:hint="cs"/>
          <w:b/>
          <w:spacing w:val="0"/>
          <w:szCs w:val="24"/>
          <w:rtl/>
        </w:rPr>
        <w:t>בפגימה</w:t>
      </w:r>
      <w:r>
        <w:rPr>
          <w:rFonts w:ascii="Century" w:hAnsi="Century" w:hint="cs"/>
          <w:rtl/>
        </w:rPr>
        <w:t xml:space="preserve">, </w:t>
      </w:r>
      <w:r>
        <w:rPr>
          <w:rFonts w:hint="cs"/>
          <w:rtl/>
        </w:rPr>
        <w:t xml:space="preserve">במובחן מהחמרה בסטטוס המשפטי של פגימה זו. מכאן, שאין בסיס לשוני בתקנות לסמכותה של הוועדה להתכנס ולדון בהחמרה משפטית גרידא. </w:t>
      </w:r>
    </w:p>
    <w:p w:rsidR="00E34EA0" w:rsidRDefault="00E34EA0" w:rsidP="00E34EA0">
      <w:pPr>
        <w:pStyle w:val="Ruller4"/>
        <w:rPr>
          <w:rtl/>
        </w:rPr>
      </w:pPr>
    </w:p>
    <w:p w:rsidR="00E34EA0" w:rsidRDefault="00E34EA0" w:rsidP="00E34EA0">
      <w:pPr>
        <w:pStyle w:val="Ruller4"/>
        <w:rPr>
          <w:rtl/>
        </w:rPr>
      </w:pPr>
      <w:r>
        <w:rPr>
          <w:rFonts w:hint="cs"/>
          <w:rtl/>
        </w:rPr>
        <w:tab/>
        <w:t>לשיטתו של העותר, אין מדובר בהסדר שלילי, וניתן לבסס את טענתו גם בהיקש להלכה הפסוקה ולנוכח הכללים בדבר איסור הפליה. לנושאים אלה נידרש עתה.</w:t>
      </w:r>
    </w:p>
    <w:p w:rsidR="00E34EA0" w:rsidRDefault="00E34EA0" w:rsidP="00E34EA0">
      <w:pPr>
        <w:pStyle w:val="Ruller4"/>
        <w:rPr>
          <w:rtl/>
        </w:rPr>
      </w:pPr>
    </w:p>
    <w:p w:rsidR="00E34EA0" w:rsidRDefault="00E34EA0" w:rsidP="00E34EA0">
      <w:pPr>
        <w:pStyle w:val="Ruller4"/>
        <w:rPr>
          <w:rFonts w:ascii="Century" w:hAnsi="Century" w:cs="Miriam"/>
          <w:b/>
          <w:spacing w:val="0"/>
          <w:szCs w:val="24"/>
          <w:rtl/>
        </w:rPr>
      </w:pPr>
      <w:r>
        <w:rPr>
          <w:rFonts w:ascii="Century" w:hAnsi="Century" w:cs="Miriam" w:hint="cs"/>
          <w:b/>
          <w:spacing w:val="0"/>
          <w:szCs w:val="24"/>
          <w:rtl/>
        </w:rPr>
        <w:t>ב. היקשים מהפסיקה ועיקרון השוויון</w:t>
      </w:r>
    </w:p>
    <w:p w:rsidR="00E34EA0" w:rsidRDefault="00E34EA0" w:rsidP="00E34EA0">
      <w:pPr>
        <w:pStyle w:val="Ruller4"/>
        <w:rPr>
          <w:rtl/>
        </w:rPr>
      </w:pPr>
    </w:p>
    <w:p w:rsidR="00E34EA0" w:rsidRDefault="00E34EA0" w:rsidP="00E34EA0">
      <w:pPr>
        <w:pStyle w:val="Ruller4"/>
        <w:rPr>
          <w:rtl/>
        </w:rPr>
      </w:pPr>
      <w:r>
        <w:rPr>
          <w:rFonts w:hint="cs"/>
          <w:rtl/>
        </w:rPr>
        <w:t>7.</w:t>
      </w:r>
      <w:r>
        <w:rPr>
          <w:rFonts w:hint="cs"/>
          <w:rtl/>
        </w:rPr>
        <w:tab/>
        <w:t xml:space="preserve">העותר טען כי פסק דינו של בית הדין הארצי מפלה אותו לרעה בהשוואה לשלוש קבוצות נכים: נכי צה"ל ונפגעי פעולות איבה; נכי תאונות עבודה שעניינם נדון לאחר תיקון 1992 או שחלה בעניינם החמרה רפואית ומשפטית גם יחד; </w:t>
      </w:r>
      <w:r>
        <w:rPr>
          <w:rFonts w:ascii="Century" w:hAnsi="Century" w:hint="cs"/>
          <w:rtl/>
        </w:rPr>
        <w:t>ונכים כלליים, הזכאים לקצבה לפי פרק ט' לחוק הביטוח הלאומי</w:t>
      </w:r>
      <w:r>
        <w:rPr>
          <w:rFonts w:hint="cs"/>
          <w:rtl/>
        </w:rPr>
        <w:t>. שלוש הקבוצות הללו זכאיות לדיון מחדש בפני ועדה רפואית באופן עתי, ודרגת הנכות של נכים אלה מעודכנת לפי השינויים בתקנות הרלוונטיות.</w:t>
      </w:r>
    </w:p>
    <w:p w:rsidR="00E34EA0" w:rsidRDefault="00E34EA0" w:rsidP="00E34EA0">
      <w:pPr>
        <w:pStyle w:val="Ruller4"/>
        <w:rPr>
          <w:rtl/>
        </w:rPr>
      </w:pPr>
    </w:p>
    <w:p w:rsidR="00E34EA0" w:rsidRDefault="00E34EA0" w:rsidP="00E34EA0">
      <w:pPr>
        <w:pStyle w:val="Ruller4"/>
        <w:rPr>
          <w:rtl/>
        </w:rPr>
      </w:pPr>
      <w:r>
        <w:rPr>
          <w:rFonts w:hint="cs"/>
          <w:rtl/>
        </w:rPr>
        <w:lastRenderedPageBreak/>
        <w:tab/>
        <w:t xml:space="preserve">בעתירתו הפנה העותר לאמור </w:t>
      </w:r>
      <w:proofErr w:type="spellStart"/>
      <w:r>
        <w:rPr>
          <w:rFonts w:hint="cs"/>
          <w:rtl/>
        </w:rPr>
        <w:t>ברע"א</w:t>
      </w:r>
      <w:proofErr w:type="spellEnd"/>
      <w:r>
        <w:rPr>
          <w:rFonts w:hint="cs"/>
          <w:rtl/>
        </w:rPr>
        <w:t xml:space="preserve"> 7678/98‏ </w:t>
      </w:r>
      <w:r>
        <w:rPr>
          <w:rFonts w:ascii="Century" w:hAnsi="Century" w:cs="Miriam" w:hint="cs"/>
          <w:b/>
          <w:spacing w:val="0"/>
          <w:szCs w:val="24"/>
          <w:rtl/>
        </w:rPr>
        <w:t xml:space="preserve">קצין התגמולים נ' </w:t>
      </w:r>
      <w:proofErr w:type="spellStart"/>
      <w:r>
        <w:rPr>
          <w:rFonts w:ascii="Century" w:hAnsi="Century" w:cs="Miriam" w:hint="cs"/>
          <w:b/>
          <w:spacing w:val="0"/>
          <w:szCs w:val="24"/>
          <w:rtl/>
        </w:rPr>
        <w:t>דוקטורי</w:t>
      </w:r>
      <w:proofErr w:type="spellEnd"/>
      <w:r>
        <w:rPr>
          <w:rFonts w:hint="cs"/>
          <w:rtl/>
        </w:rPr>
        <w:t xml:space="preserve">, פ"ד ס(1) 489 (2005) (להלן: עניין </w:t>
      </w:r>
      <w:proofErr w:type="spellStart"/>
      <w:r>
        <w:rPr>
          <w:rFonts w:ascii="Century" w:hAnsi="Century" w:cs="Miriam" w:hint="cs"/>
          <w:b/>
          <w:spacing w:val="0"/>
          <w:szCs w:val="24"/>
          <w:rtl/>
        </w:rPr>
        <w:t>דוקטורי</w:t>
      </w:r>
      <w:proofErr w:type="spellEnd"/>
      <w:r>
        <w:rPr>
          <w:rFonts w:hint="cs"/>
          <w:rtl/>
        </w:rPr>
        <w:t xml:space="preserve">). בפרשה זו נקבע כי ועדה רפואית שזימנה נכה צה"ל לבדיקה חוזרת מוסמכת להעלות, אך </w:t>
      </w:r>
      <w:r>
        <w:rPr>
          <w:rFonts w:ascii="Century" w:hAnsi="Century" w:cs="Miriam" w:hint="cs"/>
          <w:b/>
          <w:spacing w:val="0"/>
          <w:szCs w:val="24"/>
          <w:rtl/>
        </w:rPr>
        <w:t>לא</w:t>
      </w:r>
      <w:r>
        <w:rPr>
          <w:rFonts w:hint="cs"/>
          <w:rtl/>
        </w:rPr>
        <w:t xml:space="preserve"> להוריד, את דרגת נכותו בהתאם לשינוי שהתהווה בינתיים בתקנות. השאלה המשפטית באותו מקרה נסבה על </w:t>
      </w:r>
      <w:r>
        <w:rPr>
          <w:rFonts w:ascii="Century" w:hAnsi="Century" w:cs="Miriam" w:hint="cs"/>
          <w:b/>
          <w:spacing w:val="0"/>
          <w:szCs w:val="24"/>
          <w:rtl/>
        </w:rPr>
        <w:t>הורדת</w:t>
      </w:r>
      <w:r>
        <w:rPr>
          <w:rFonts w:hint="cs"/>
          <w:rtl/>
        </w:rPr>
        <w:t xml:space="preserve"> דרגת הנכות באופן המרע עם הנפגע, אך המשנה לנשיא </w:t>
      </w:r>
      <w:r>
        <w:rPr>
          <w:rFonts w:ascii="Century" w:hAnsi="Century" w:cs="Miriam" w:hint="cs"/>
          <w:b/>
          <w:spacing w:val="0"/>
          <w:szCs w:val="24"/>
          <w:rtl/>
        </w:rPr>
        <w:t xml:space="preserve">מ' חשין </w:t>
      </w:r>
      <w:r>
        <w:rPr>
          <w:rFonts w:hint="cs"/>
          <w:rtl/>
        </w:rPr>
        <w:t>הבהיר כי: "הכול מסכימים כי במקום שהתקנות החדשות מיטיבות עם הנכים הוותיקים, יחולו עליהם התקנות החדשות ועמהן המבחנים החדשים" (</w:t>
      </w:r>
      <w:r>
        <w:rPr>
          <w:rFonts w:ascii="Century" w:hAnsi="Century" w:cs="Miriam" w:hint="cs"/>
          <w:b/>
          <w:spacing w:val="0"/>
          <w:szCs w:val="24"/>
          <w:rtl/>
        </w:rPr>
        <w:t>שם</w:t>
      </w:r>
      <w:r>
        <w:rPr>
          <w:rFonts w:hint="cs"/>
          <w:rtl/>
        </w:rPr>
        <w:t>, בפסקה 3). עמדה דומה הובעה גם בקשר לנפגעי פעולות איבה (</w:t>
      </w:r>
      <w:proofErr w:type="spellStart"/>
      <w:r>
        <w:rPr>
          <w:rFonts w:hint="cs"/>
          <w:rtl/>
        </w:rPr>
        <w:t>ב"ל</w:t>
      </w:r>
      <w:proofErr w:type="spellEnd"/>
      <w:r>
        <w:rPr>
          <w:rFonts w:hint="cs"/>
          <w:rtl/>
        </w:rPr>
        <w:t xml:space="preserve"> (אזורי </w:t>
      </w:r>
      <w:proofErr w:type="spellStart"/>
      <w:r>
        <w:rPr>
          <w:rFonts w:hint="cs"/>
          <w:rtl/>
        </w:rPr>
        <w:t>נצ</w:t>
      </w:r>
      <w:proofErr w:type="spellEnd"/>
      <w:r>
        <w:rPr>
          <w:rFonts w:hint="cs"/>
          <w:rtl/>
        </w:rPr>
        <w:t xml:space="preserve">') 35134-08-13‏ </w:t>
      </w:r>
      <w:r>
        <w:rPr>
          <w:rFonts w:ascii="Century" w:hAnsi="Century" w:cs="Miriam" w:hint="cs"/>
          <w:b/>
          <w:spacing w:val="0"/>
          <w:szCs w:val="24"/>
          <w:rtl/>
        </w:rPr>
        <w:t>מור נ' המוסד לביטוח לאומי</w:t>
      </w:r>
      <w:r>
        <w:rPr>
          <w:rFonts w:hint="cs"/>
          <w:rtl/>
        </w:rPr>
        <w:t>, בפסקה 8 (29.1.2014)).</w:t>
      </w:r>
    </w:p>
    <w:p w:rsidR="00E34EA0" w:rsidRDefault="00E34EA0" w:rsidP="00E34EA0">
      <w:pPr>
        <w:pStyle w:val="Ruller4"/>
        <w:rPr>
          <w:rtl/>
        </w:rPr>
      </w:pPr>
    </w:p>
    <w:p w:rsidR="00E34EA0" w:rsidRDefault="00E34EA0" w:rsidP="00E34EA0">
      <w:pPr>
        <w:pStyle w:val="Ruller4"/>
        <w:rPr>
          <w:sz w:val="28"/>
          <w:rtl/>
        </w:rPr>
      </w:pPr>
      <w:r>
        <w:rPr>
          <w:rFonts w:hint="cs"/>
          <w:rtl/>
        </w:rPr>
        <w:tab/>
        <w:t xml:space="preserve">העותר טען כי ניתן ליישם בענייננו את המנגנון הא-סימטרי שנקבע בעניין </w:t>
      </w:r>
      <w:proofErr w:type="spellStart"/>
      <w:r>
        <w:rPr>
          <w:rFonts w:ascii="Century" w:hAnsi="Century" w:cs="Miriam" w:hint="cs"/>
          <w:b/>
          <w:spacing w:val="0"/>
          <w:szCs w:val="24"/>
          <w:rtl/>
        </w:rPr>
        <w:t>דוקטורי</w:t>
      </w:r>
      <w:proofErr w:type="spellEnd"/>
      <w:r>
        <w:rPr>
          <w:rFonts w:hint="cs"/>
          <w:rtl/>
        </w:rPr>
        <w:t xml:space="preserve">, וכי ראוי לעשות זאת לאור תכליתם הסוציאלית של דיני הביטוח. </w:t>
      </w:r>
      <w:proofErr w:type="spellStart"/>
      <w:r>
        <w:rPr>
          <w:rFonts w:hint="cs"/>
          <w:rtl/>
        </w:rPr>
        <w:t>המל"ל</w:t>
      </w:r>
      <w:proofErr w:type="spellEnd"/>
      <w:r>
        <w:rPr>
          <w:rFonts w:hint="cs"/>
          <w:rtl/>
        </w:rPr>
        <w:t xml:space="preserve">, לעומת זאת, טען כי קיים שוני רלוונטי מעניין </w:t>
      </w:r>
      <w:proofErr w:type="spellStart"/>
      <w:r>
        <w:rPr>
          <w:rFonts w:ascii="Century" w:hAnsi="Century" w:cs="Miriam" w:hint="cs"/>
          <w:b/>
          <w:spacing w:val="0"/>
          <w:szCs w:val="24"/>
          <w:rtl/>
        </w:rPr>
        <w:t>דוקטורי</w:t>
      </w:r>
      <w:proofErr w:type="spellEnd"/>
      <w:r>
        <w:rPr>
          <w:rFonts w:hint="cs"/>
          <w:rtl/>
        </w:rPr>
        <w:t xml:space="preserve">, שם נדונה פרשנות חוק הנכים (תגמולים ושיקום), התשי"ט-1959 [נוסח משולב], שהוראת התחולה בו שונה מזו של תיקון 1992, ושתכליותיו שונות מאלו של הכללים הנוגעים לנכי תאונות עבודה. כך, </w:t>
      </w:r>
      <w:r>
        <w:rPr>
          <w:rFonts w:hint="cs"/>
          <w:sz w:val="28"/>
          <w:rtl/>
        </w:rPr>
        <w:t>סעיף 10(א) לחוק הנכים אף קובע במפורש: "ועדה רפואית תקבע מזמן לזמן את דרגת נכותו של נכה", וזאת ללא תלות בטענה להחמרת מצב.</w:t>
      </w:r>
    </w:p>
    <w:p w:rsidR="00E34EA0" w:rsidRDefault="00E34EA0" w:rsidP="00E34EA0">
      <w:pPr>
        <w:pStyle w:val="Ruller4"/>
      </w:pPr>
    </w:p>
    <w:p w:rsidR="00E34EA0" w:rsidRDefault="00E34EA0" w:rsidP="00E34EA0">
      <w:pPr>
        <w:pStyle w:val="Ruller4"/>
        <w:rPr>
          <w:rtl/>
        </w:rPr>
      </w:pPr>
      <w:r>
        <w:rPr>
          <w:rFonts w:hint="cs"/>
          <w:rtl/>
        </w:rPr>
        <w:t>8.</w:t>
      </w:r>
      <w:r>
        <w:rPr>
          <w:rFonts w:hint="cs"/>
          <w:rtl/>
        </w:rPr>
        <w:tab/>
        <w:t xml:space="preserve">איני רואה לקבל טענת העותר להפליה ביחס לנכי מערכת הביטחון. כפי שנקבע בבג"ץ 5171/08 </w:t>
      </w:r>
      <w:r>
        <w:rPr>
          <w:rFonts w:ascii="Century" w:hAnsi="Century" w:cs="Miriam" w:hint="cs"/>
          <w:b/>
          <w:spacing w:val="0"/>
          <w:szCs w:val="24"/>
          <w:rtl/>
        </w:rPr>
        <w:t>ארגון נכי צה"ל נ' שר הביטחון</w:t>
      </w:r>
      <w:r>
        <w:rPr>
          <w:rFonts w:hint="cs"/>
          <w:rtl/>
        </w:rPr>
        <w:t xml:space="preserve"> (‏26.9.2016), בהקשרי הפליה "לא די בבידוד רכיב אחד של התשלום תוך התעלמות מהתמונה הכוללת" (פסקה 6).</w:t>
      </w:r>
    </w:p>
    <w:p w:rsidR="00E34EA0" w:rsidRDefault="00E34EA0" w:rsidP="00E34EA0">
      <w:pPr>
        <w:pStyle w:val="Ruller4"/>
        <w:rPr>
          <w:rFonts w:ascii="Garamond" w:hAnsi="Garamond"/>
          <w:sz w:val="24"/>
          <w:rtl/>
        </w:rPr>
      </w:pPr>
    </w:p>
    <w:p w:rsidR="00E34EA0" w:rsidRDefault="00E34EA0" w:rsidP="00E34EA0">
      <w:pPr>
        <w:pStyle w:val="Ruller4"/>
        <w:rPr>
          <w:rtl/>
        </w:rPr>
      </w:pPr>
      <w:r>
        <w:rPr>
          <w:rFonts w:hint="cs"/>
          <w:rtl/>
        </w:rPr>
        <w:tab/>
        <w:t xml:space="preserve">על כן, מקובלת עליי טענת </w:t>
      </w:r>
      <w:proofErr w:type="spellStart"/>
      <w:r>
        <w:rPr>
          <w:rFonts w:hint="cs"/>
          <w:rtl/>
        </w:rPr>
        <w:t>המל"ל</w:t>
      </w:r>
      <w:proofErr w:type="spellEnd"/>
      <w:r>
        <w:rPr>
          <w:rFonts w:hint="cs"/>
          <w:rtl/>
        </w:rPr>
        <w:t xml:space="preserve"> לפיה אין להקיש מעניין </w:t>
      </w:r>
      <w:proofErr w:type="spellStart"/>
      <w:r>
        <w:rPr>
          <w:rFonts w:ascii="Century" w:hAnsi="Century" w:cs="Miriam" w:hint="cs"/>
          <w:b/>
          <w:spacing w:val="0"/>
          <w:szCs w:val="24"/>
          <w:rtl/>
        </w:rPr>
        <w:t>דוקטורי</w:t>
      </w:r>
      <w:proofErr w:type="spellEnd"/>
      <w:r>
        <w:rPr>
          <w:rFonts w:hint="cs"/>
          <w:rtl/>
        </w:rPr>
        <w:t xml:space="preserve"> לענייננו, בשל השוני בהוראות החוק הרלוונטיות ותכליותיהן (לעניין זה ראו גם בג"ץ 5304/02 </w:t>
      </w:r>
      <w:r>
        <w:rPr>
          <w:rFonts w:ascii="Century" w:hAnsi="Century" w:cs="Miriam" w:hint="cs"/>
          <w:b/>
          <w:spacing w:val="0"/>
          <w:szCs w:val="24"/>
          <w:rtl/>
        </w:rPr>
        <w:t>ארגון נפגעי תאונות עבודה ואלמנות נפגעי עבודה בישראל נ' מדינת ישראל</w:t>
      </w:r>
      <w:r>
        <w:rPr>
          <w:rFonts w:hint="cs"/>
          <w:rtl/>
        </w:rPr>
        <w:t>, פ"ד נט(2) 135, 141 (2004)). הוא הדין בהשוואה לקצבת נכות כללית לפי חוק הביטוח הלאומי, שהתנאים לקבלתה שונים בתכלית מהתנאים לקבלת דרגת נכות עקב תאונת עבודה.</w:t>
      </w:r>
    </w:p>
    <w:p w:rsidR="00E34EA0" w:rsidRDefault="00E34EA0" w:rsidP="00E34EA0">
      <w:pPr>
        <w:pStyle w:val="Ruller4"/>
        <w:rPr>
          <w:rtl/>
        </w:rPr>
      </w:pPr>
    </w:p>
    <w:p w:rsidR="00E34EA0" w:rsidRDefault="00E34EA0" w:rsidP="00E34EA0">
      <w:pPr>
        <w:pStyle w:val="Ruller4"/>
        <w:rPr>
          <w:rFonts w:ascii="Century" w:hAnsi="Century"/>
          <w:rtl/>
        </w:rPr>
      </w:pPr>
      <w:r>
        <w:rPr>
          <w:rFonts w:ascii="Century" w:hAnsi="Century" w:hint="cs"/>
          <w:rtl/>
        </w:rPr>
        <w:t>9.</w:t>
      </w:r>
      <w:r>
        <w:rPr>
          <w:rFonts w:ascii="Century" w:hAnsi="Century" w:hint="cs"/>
          <w:rtl/>
        </w:rPr>
        <w:tab/>
        <w:t xml:space="preserve">לא מצאתי ממש גם בטענת ההפליה ביחס לנכי תאונות עבודה שעניינם נדון לאחר תיקון 1992, או שבמצבם חלה החמרה רפואית לצד "החמרה משפטית". אכן, נכים שעניינם נדון לפני תיקון 1992 ולאחריו עשויים להיות זכאים לדרגות נכות שונות. אולם, אין הדבר שונה מתחומים אחרים במשפט האזרחי המושפעים משינויים בחקיקה ובתקנות, אך אינם מתירים את פתיחת הדיון מחדש עקב כל שינוי המיטיב עם הנפגע (ראו, למשל: ע"א 570/75‏ </w:t>
      </w:r>
      <w:r>
        <w:rPr>
          <w:rFonts w:ascii="Century" w:hAnsi="Century" w:cs="Miriam" w:hint="cs"/>
          <w:b/>
          <w:spacing w:val="0"/>
          <w:szCs w:val="24"/>
          <w:rtl/>
        </w:rPr>
        <w:t>סייג נ' לוי</w:t>
      </w:r>
      <w:r>
        <w:rPr>
          <w:rFonts w:ascii="Century" w:hAnsi="Century" w:hint="cs"/>
          <w:rtl/>
        </w:rPr>
        <w:t xml:space="preserve">, פ"ד ל(2) 541, 546-545 (1976)). ממילא, כפי שציין בית הדין הארצי, שינוי בתקנות עשוי להיטיב עם נפגעים או להרע את מצבם. לכן </w:t>
      </w:r>
      <w:r>
        <w:rPr>
          <w:rFonts w:ascii="Century" w:hAnsi="Century" w:hint="cs"/>
          <w:rtl/>
        </w:rPr>
        <w:lastRenderedPageBreak/>
        <w:t>המסקנה שלעיל אינה בבחינת "פרס" למשתהים בהגשת בקשתם, כפי שטען העותר. לעתים ייהנו המשתהים מדרגת נכות גבוהה יותר מאלו שהזדרזו בבקשתם, ולעתים ההיפך.</w:t>
      </w:r>
    </w:p>
    <w:p w:rsidR="00E34EA0" w:rsidRDefault="00E34EA0" w:rsidP="00E34EA0">
      <w:pPr>
        <w:pStyle w:val="Ruller4"/>
        <w:rPr>
          <w:rFonts w:ascii="Calibri" w:hAnsi="Calibri"/>
          <w:rtl/>
        </w:rPr>
      </w:pPr>
    </w:p>
    <w:p w:rsidR="00E34EA0" w:rsidRDefault="00E34EA0" w:rsidP="00E34EA0">
      <w:pPr>
        <w:pStyle w:val="Ruller4"/>
        <w:rPr>
          <w:rtl/>
        </w:rPr>
      </w:pPr>
      <w:r>
        <w:rPr>
          <w:rFonts w:hint="cs"/>
          <w:rtl/>
        </w:rPr>
        <w:t>10.</w:t>
      </w:r>
      <w:r>
        <w:rPr>
          <w:rFonts w:hint="cs"/>
          <w:rtl/>
        </w:rPr>
        <w:tab/>
        <w:t xml:space="preserve">בעניין </w:t>
      </w:r>
      <w:proofErr w:type="spellStart"/>
      <w:r>
        <w:rPr>
          <w:rFonts w:ascii="Century" w:hAnsi="Century" w:cs="Miriam" w:hint="cs"/>
          <w:b/>
          <w:spacing w:val="0"/>
          <w:szCs w:val="24"/>
          <w:rtl/>
        </w:rPr>
        <w:t>דוקטורי</w:t>
      </w:r>
      <w:proofErr w:type="spellEnd"/>
      <w:r>
        <w:rPr>
          <w:rFonts w:hint="cs"/>
          <w:rtl/>
        </w:rPr>
        <w:t xml:space="preserve"> קבע המשנה לנשיא </w:t>
      </w:r>
      <w:r>
        <w:rPr>
          <w:rFonts w:ascii="Century" w:hAnsi="Century" w:cs="Miriam" w:hint="cs"/>
          <w:b/>
          <w:spacing w:val="0"/>
          <w:szCs w:val="24"/>
          <w:rtl/>
        </w:rPr>
        <w:t>מ' חשין</w:t>
      </w:r>
      <w:r>
        <w:rPr>
          <w:rFonts w:hint="cs"/>
          <w:rtl/>
        </w:rPr>
        <w:t xml:space="preserve"> כי:</w:t>
      </w:r>
    </w:p>
    <w:p w:rsidR="00E34EA0" w:rsidRDefault="00E34EA0" w:rsidP="00E34EA0">
      <w:pPr>
        <w:pStyle w:val="Ruller4"/>
        <w:rPr>
          <w:rtl/>
        </w:rPr>
      </w:pPr>
    </w:p>
    <w:p w:rsidR="00E34EA0" w:rsidRDefault="00E34EA0" w:rsidP="00E34EA0">
      <w:pPr>
        <w:pStyle w:val="Ruller5"/>
        <w:rPr>
          <w:rtl/>
        </w:rPr>
      </w:pPr>
      <w:r>
        <w:rPr>
          <w:rFonts w:hint="cs"/>
          <w:rtl/>
        </w:rPr>
        <w:t>"</w:t>
      </w:r>
      <w:r>
        <w:rPr>
          <w:rFonts w:ascii="Century" w:hAnsi="Century" w:hint="cs"/>
          <w:b/>
          <w:spacing w:val="0"/>
          <w:sz w:val="28"/>
          <w:rtl/>
        </w:rPr>
        <w:t>נתקשה לקבל, אמנם, כי חיילים שנפגעו באורח שווה לעת מלכותו של דין מסוים יזכו לתגמולים שונים זה-מזה</w:t>
      </w:r>
      <w:r>
        <w:rPr>
          <w:rFonts w:hint="cs"/>
          <w:sz w:val="28"/>
          <w:rtl/>
        </w:rPr>
        <w:t>.</w:t>
      </w:r>
      <w:r>
        <w:rPr>
          <w:rFonts w:hint="cs"/>
          <w:rtl/>
        </w:rPr>
        <w:t xml:space="preserve"> </w:t>
      </w:r>
      <w:r>
        <w:rPr>
          <w:rFonts w:ascii="Century" w:hAnsi="Century" w:cs="Miriam" w:hint="cs"/>
          <w:b/>
          <w:spacing w:val="0"/>
          <w:szCs w:val="24"/>
          <w:rtl/>
        </w:rPr>
        <w:t>לא כן במקום שהחיילים נפגעו, גם אם אותה פגיעה עצמה, אך בזמנים שונים ולעת מלכותם של דינים שונים</w:t>
      </w:r>
      <w:r>
        <w:rPr>
          <w:rFonts w:hint="cs"/>
          <w:rtl/>
        </w:rPr>
        <w:t xml:space="preserve">" (פסקה 22; הדגשה הוספה – </w:t>
      </w:r>
      <w:proofErr w:type="spellStart"/>
      <w:r>
        <w:rPr>
          <w:rFonts w:hint="cs"/>
          <w:rtl/>
        </w:rPr>
        <w:t>י"ע</w:t>
      </w:r>
      <w:proofErr w:type="spellEnd"/>
      <w:r>
        <w:rPr>
          <w:rFonts w:hint="cs"/>
          <w:rtl/>
        </w:rPr>
        <w:t>).</w:t>
      </w:r>
    </w:p>
    <w:p w:rsidR="00E34EA0" w:rsidRDefault="00E34EA0" w:rsidP="00E34EA0">
      <w:pPr>
        <w:pStyle w:val="Ruller5"/>
        <w:rPr>
          <w:rtl/>
        </w:rPr>
      </w:pPr>
    </w:p>
    <w:p w:rsidR="00E34EA0" w:rsidRDefault="00E34EA0" w:rsidP="00E34EA0">
      <w:pPr>
        <w:pStyle w:val="Ruller4"/>
        <w:rPr>
          <w:rtl/>
        </w:rPr>
      </w:pPr>
    </w:p>
    <w:p w:rsidR="00E34EA0" w:rsidRDefault="00E34EA0" w:rsidP="00E34EA0">
      <w:pPr>
        <w:pStyle w:val="Ruller4"/>
        <w:rPr>
          <w:sz w:val="36"/>
          <w:szCs w:val="36"/>
          <w:rtl/>
        </w:rPr>
      </w:pPr>
      <w:r>
        <w:rPr>
          <w:rtl/>
        </w:rPr>
        <w:tab/>
      </w:r>
      <w:r>
        <w:rPr>
          <w:rFonts w:hint="cs"/>
          <w:rtl/>
        </w:rPr>
        <w:t>הנה כי כן, אף לפי העיקרון שהותווה בשורות שלעיל ניתן להצדיק הבחנה בין שתי קבוצות הנכים הללו.</w:t>
      </w:r>
    </w:p>
    <w:p w:rsidR="00E34EA0" w:rsidRDefault="00E34EA0" w:rsidP="00E34EA0">
      <w:pPr>
        <w:pStyle w:val="Ruller4"/>
        <w:rPr>
          <w:rtl/>
        </w:rPr>
      </w:pPr>
    </w:p>
    <w:p w:rsidR="00E34EA0" w:rsidRDefault="00E34EA0" w:rsidP="00E34EA0">
      <w:pPr>
        <w:pStyle w:val="Ruller4"/>
        <w:rPr>
          <w:rtl/>
        </w:rPr>
      </w:pPr>
      <w:r>
        <w:rPr>
          <w:rFonts w:hint="cs"/>
          <w:rtl/>
        </w:rPr>
        <w:tab/>
        <w:t xml:space="preserve">טענה זהה לטענה שהעלה העותר, נדונה בדיון לה/117-01 (עבודה ארצי) </w:t>
      </w:r>
      <w:proofErr w:type="spellStart"/>
      <w:r>
        <w:rPr>
          <w:rFonts w:cs="Miriam" w:hint="cs"/>
          <w:b/>
          <w:spacing w:val="0"/>
          <w:szCs w:val="24"/>
          <w:rtl/>
        </w:rPr>
        <w:t>אספהני</w:t>
      </w:r>
      <w:proofErr w:type="spellEnd"/>
      <w:r>
        <w:rPr>
          <w:rFonts w:cs="Miriam" w:hint="cs"/>
          <w:b/>
          <w:spacing w:val="0"/>
          <w:szCs w:val="24"/>
          <w:rtl/>
        </w:rPr>
        <w:t xml:space="preserve"> נ' המוסד לביטוח לאומי</w:t>
      </w:r>
      <w:r>
        <w:rPr>
          <w:rFonts w:hint="cs"/>
          <w:rtl/>
        </w:rPr>
        <w:t xml:space="preserve">, </w:t>
      </w:r>
      <w:proofErr w:type="spellStart"/>
      <w:r>
        <w:rPr>
          <w:rFonts w:hint="cs"/>
          <w:rtl/>
        </w:rPr>
        <w:t>פד"ע</w:t>
      </w:r>
      <w:proofErr w:type="spellEnd"/>
      <w:r>
        <w:rPr>
          <w:rFonts w:hint="cs"/>
          <w:rtl/>
        </w:rPr>
        <w:t xml:space="preserve"> ז(1) 337 (1976). גם שם נשללה הטענה ל"החמרה משפטית", הגם </w:t>
      </w:r>
      <w:proofErr w:type="spellStart"/>
      <w:r>
        <w:rPr>
          <w:rFonts w:hint="cs"/>
          <w:rtl/>
        </w:rPr>
        <w:t>שבהסתמך</w:t>
      </w:r>
      <w:proofErr w:type="spellEnd"/>
      <w:r>
        <w:rPr>
          <w:rFonts w:hint="cs"/>
          <w:rtl/>
        </w:rPr>
        <w:t xml:space="preserve"> על הוראת המעבר שבתקנה 45, שאינה רלוונטית עוד, ועל כך עמד בית הדין הארצי בפסק דינו. באותו מקרה ציין בית הדין הארצי (הדגשה הוספה </w:t>
      </w:r>
      <w:r>
        <w:rPr>
          <w:rtl/>
        </w:rPr>
        <w:t>–</w:t>
      </w:r>
      <w:r>
        <w:rPr>
          <w:rFonts w:hint="cs"/>
          <w:rtl/>
        </w:rPr>
        <w:t xml:space="preserve"> </w:t>
      </w:r>
      <w:proofErr w:type="spellStart"/>
      <w:r>
        <w:rPr>
          <w:rFonts w:hint="cs"/>
          <w:rtl/>
        </w:rPr>
        <w:t>י"ע</w:t>
      </w:r>
      <w:proofErr w:type="spellEnd"/>
      <w:r>
        <w:rPr>
          <w:rFonts w:hint="cs"/>
          <w:rtl/>
        </w:rPr>
        <w:t xml:space="preserve">): </w:t>
      </w:r>
    </w:p>
    <w:p w:rsidR="00E34EA0" w:rsidRDefault="00E34EA0" w:rsidP="00E34EA0">
      <w:pPr>
        <w:pStyle w:val="Ruller5"/>
        <w:rPr>
          <w:rFonts w:ascii="Century" w:hAnsi="Century"/>
          <w:rtl/>
        </w:rPr>
      </w:pPr>
    </w:p>
    <w:p w:rsidR="00E34EA0" w:rsidRDefault="00E34EA0" w:rsidP="00E34EA0">
      <w:pPr>
        <w:pStyle w:val="Ruller5"/>
        <w:rPr>
          <w:rFonts w:ascii="Century" w:hAnsi="Century"/>
          <w:rtl/>
        </w:rPr>
      </w:pPr>
      <w:r w:rsidRPr="001C75FA">
        <w:rPr>
          <w:rFonts w:ascii="Century" w:hAnsi="Century"/>
          <w:rtl/>
        </w:rPr>
        <w:t xml:space="preserve">לכאורה לפחות, דרגת הנכות היא פונקציה של שניים: תיאור הפגיעה והאחוז שבצידה. </w:t>
      </w:r>
      <w:r w:rsidRPr="001C75FA">
        <w:rPr>
          <w:rFonts w:ascii="Century" w:hAnsi="Century" w:cs="Miriam"/>
          <w:b/>
          <w:spacing w:val="0"/>
          <w:szCs w:val="24"/>
          <w:rtl/>
        </w:rPr>
        <w:t xml:space="preserve">הפירוש הסביר היחיד שאפשר </w:t>
      </w:r>
      <w:proofErr w:type="spellStart"/>
      <w:r w:rsidRPr="001C75FA">
        <w:rPr>
          <w:rFonts w:ascii="Century" w:hAnsi="Century" w:cs="Miriam"/>
          <w:b/>
          <w:spacing w:val="0"/>
          <w:szCs w:val="24"/>
          <w:rtl/>
        </w:rPr>
        <w:t>ליתן</w:t>
      </w:r>
      <w:proofErr w:type="spellEnd"/>
      <w:r w:rsidRPr="001C75FA">
        <w:rPr>
          <w:rFonts w:ascii="Century" w:hAnsi="Century" w:cs="Miriam"/>
          <w:b/>
          <w:spacing w:val="0"/>
          <w:szCs w:val="24"/>
          <w:rtl/>
        </w:rPr>
        <w:t xml:space="preserve"> לסיפא של התקנה הוא, שהכוונה היא למקרה שבו חל שנוי במצבו של הנפגע ששימש לקביעה הקודמת</w:t>
      </w:r>
      <w:r w:rsidRPr="001C75FA">
        <w:rPr>
          <w:rFonts w:ascii="Century" w:hAnsi="Century"/>
          <w:rtl/>
        </w:rPr>
        <w:t>, היינו, כלשון</w:t>
      </w:r>
      <w:r>
        <w:rPr>
          <w:rFonts w:ascii="Century" w:hAnsi="Century" w:hint="cs"/>
          <w:rtl/>
        </w:rPr>
        <w:t xml:space="preserve"> תקנה 36</w:t>
      </w:r>
      <w:r w:rsidRPr="001C75FA">
        <w:rPr>
          <w:rFonts w:ascii="Century" w:hAnsi="Century"/>
          <w:rtl/>
        </w:rPr>
        <w:t xml:space="preserve"> כי </w:t>
      </w:r>
      <w:r>
        <w:rPr>
          <w:rFonts w:ascii="Century" w:hAnsi="Century" w:hint="cs"/>
          <w:rtl/>
        </w:rPr>
        <w:t>'</w:t>
      </w:r>
      <w:r w:rsidRPr="001C75FA">
        <w:rPr>
          <w:rFonts w:ascii="Century" w:hAnsi="Century"/>
          <w:rtl/>
        </w:rPr>
        <w:t>הפגימה הוחמרה או נתגלתה פגימה חדשה</w:t>
      </w:r>
      <w:r>
        <w:rPr>
          <w:rFonts w:ascii="Century" w:hAnsi="Century" w:hint="cs"/>
          <w:rtl/>
        </w:rPr>
        <w:t>'</w:t>
      </w:r>
      <w:r w:rsidRPr="001C75FA">
        <w:rPr>
          <w:rFonts w:ascii="Century" w:hAnsi="Century"/>
          <w:rtl/>
        </w:rPr>
        <w:t xml:space="preserve">. מכאן התוצאה שאם אמנם חלה, למעשה, החמרה במצב - יפעלו לפי התוספת החדשה, בסייגים להגנת הנפגע כאמור בתקנת משנה ג', </w:t>
      </w:r>
      <w:r w:rsidRPr="001C75FA">
        <w:rPr>
          <w:rFonts w:ascii="Century" w:hAnsi="Century" w:cs="Miriam"/>
          <w:b/>
          <w:spacing w:val="0"/>
          <w:szCs w:val="24"/>
          <w:rtl/>
        </w:rPr>
        <w:t>ואם לא חלה החמרה - לא יגדילו אחוזי הנכות, רק משום שבתוספת החדשה מייחסים שיעור נכות גבוה יותר בשל אותה פגימה</w:t>
      </w:r>
      <w:r>
        <w:rPr>
          <w:rFonts w:ascii="Century" w:hAnsi="Century" w:hint="cs"/>
          <w:rtl/>
        </w:rPr>
        <w:t>.</w:t>
      </w:r>
    </w:p>
    <w:p w:rsidR="00E34EA0" w:rsidRDefault="00E34EA0" w:rsidP="00E34EA0">
      <w:pPr>
        <w:pStyle w:val="Ruller5"/>
        <w:rPr>
          <w:rFonts w:ascii="Century" w:hAnsi="Century"/>
          <w:rtl/>
        </w:rPr>
      </w:pPr>
    </w:p>
    <w:p w:rsidR="00E34EA0" w:rsidRDefault="00E34EA0" w:rsidP="00E34EA0">
      <w:pPr>
        <w:pStyle w:val="Ruller5"/>
        <w:rPr>
          <w:rFonts w:ascii="Century" w:hAnsi="Century"/>
          <w:rtl/>
        </w:rPr>
      </w:pPr>
      <w:r>
        <w:rPr>
          <w:rFonts w:ascii="Century" w:hAnsi="Century" w:cs="Miriam" w:hint="cs"/>
          <w:b/>
          <w:spacing w:val="0"/>
          <w:szCs w:val="24"/>
          <w:rtl/>
        </w:rPr>
        <w:t xml:space="preserve">פירוש </w:t>
      </w:r>
      <w:r w:rsidRPr="001C75FA">
        <w:rPr>
          <w:rFonts w:ascii="Century" w:hAnsi="Century" w:cs="Miriam"/>
          <w:b/>
          <w:spacing w:val="0"/>
          <w:szCs w:val="24"/>
          <w:rtl/>
        </w:rPr>
        <w:t>זה מונע בעד הצורך לדון מחדש בכל אותם אלפי המקרים שבהם נקבעה בשעתו דרגת הנכות, רק משום ששונו התקנות ונקבעו שיעורי נכות גבוהים יותר בשל פגימות זהות</w:t>
      </w:r>
      <w:r w:rsidRPr="001C75FA">
        <w:rPr>
          <w:rFonts w:ascii="Century" w:hAnsi="Century"/>
          <w:rtl/>
        </w:rPr>
        <w:t xml:space="preserve">. יחד עם זאת, </w:t>
      </w:r>
      <w:proofErr w:type="spellStart"/>
      <w:r w:rsidRPr="001C75FA">
        <w:rPr>
          <w:rFonts w:ascii="Century" w:hAnsi="Century"/>
          <w:rtl/>
        </w:rPr>
        <w:t>משממילא</w:t>
      </w:r>
      <w:proofErr w:type="spellEnd"/>
      <w:r w:rsidRPr="001C75FA">
        <w:rPr>
          <w:rFonts w:ascii="Century" w:hAnsi="Century"/>
          <w:rtl/>
        </w:rPr>
        <w:t xml:space="preserve"> חלה החמרה בפגימה - מאפשר פירוש זה למנוע הפליה בין אלה שהחמרת מצבם נקבעה עקב דיון מחדש לבין אלה שההחמרה נקבעה בקביעה ראשונית.</w:t>
      </w:r>
    </w:p>
    <w:p w:rsidR="00E34EA0" w:rsidRPr="001C75FA" w:rsidRDefault="00E34EA0" w:rsidP="00E34EA0">
      <w:pPr>
        <w:pStyle w:val="Ruller5"/>
        <w:rPr>
          <w:rFonts w:ascii="Century" w:hAnsi="Century"/>
          <w:rtl/>
        </w:rPr>
      </w:pPr>
    </w:p>
    <w:p w:rsidR="00E34EA0" w:rsidRDefault="00E34EA0" w:rsidP="00E34EA0">
      <w:pPr>
        <w:pStyle w:val="Ruller4"/>
        <w:rPr>
          <w:rtl/>
        </w:rPr>
      </w:pPr>
    </w:p>
    <w:p w:rsidR="00E34EA0" w:rsidRDefault="00E34EA0" w:rsidP="00E34EA0">
      <w:pPr>
        <w:pStyle w:val="Ruller4"/>
        <w:rPr>
          <w:rtl/>
        </w:rPr>
      </w:pPr>
      <w:r>
        <w:rPr>
          <w:rtl/>
        </w:rPr>
        <w:lastRenderedPageBreak/>
        <w:tab/>
      </w:r>
      <w:r>
        <w:rPr>
          <w:rFonts w:hint="cs"/>
          <w:rtl/>
        </w:rPr>
        <w:t xml:space="preserve">מעניין </w:t>
      </w:r>
      <w:proofErr w:type="spellStart"/>
      <w:r>
        <w:rPr>
          <w:rFonts w:cs="Miriam" w:hint="cs"/>
          <w:b/>
          <w:spacing w:val="0"/>
          <w:szCs w:val="24"/>
          <w:rtl/>
        </w:rPr>
        <w:t>דוקטורי</w:t>
      </w:r>
      <w:proofErr w:type="spellEnd"/>
      <w:r>
        <w:rPr>
          <w:rFonts w:hint="cs"/>
          <w:rtl/>
        </w:rPr>
        <w:t xml:space="preserve"> עולה כי קיים שוני רלוונטי בין נכים שנפגעו "בזמנים שונים", ולטעמי ניתן לגזור מכך גזירה שווה בנוגע למרכיב השני בדרגת הנכות, הוא "אחוז" הנכות שקבעה הוועדה הרפואית. במילים אחרות, ניתן להצדיק גם הבחנה בין נכים שנפגעו "אותה פגיעה עצמה", באותו הזמן, אך "לעת מלכותם של דינים שונים", מכיוון שוועדות רפואית דנו בענייניהם במועדים שונים. </w:t>
      </w:r>
    </w:p>
    <w:p w:rsidR="00E34EA0" w:rsidRDefault="00E34EA0" w:rsidP="00E34EA0">
      <w:pPr>
        <w:pStyle w:val="Ruller4"/>
        <w:rPr>
          <w:rtl/>
        </w:rPr>
      </w:pPr>
    </w:p>
    <w:p w:rsidR="00E34EA0" w:rsidRDefault="00E34EA0" w:rsidP="00E34EA0">
      <w:pPr>
        <w:pStyle w:val="Ruller4"/>
        <w:rPr>
          <w:rtl/>
        </w:rPr>
      </w:pPr>
      <w:r>
        <w:rPr>
          <w:rFonts w:hint="cs"/>
          <w:rtl/>
        </w:rPr>
        <w:t>11.</w:t>
      </w:r>
      <w:r>
        <w:rPr>
          <w:rFonts w:hint="cs"/>
          <w:rtl/>
        </w:rPr>
        <w:tab/>
        <w:t xml:space="preserve">מקור נוסף ממנו ביקש העותר ללמוד על הכרה בטענת ההחמרה המשפטית, הוא בג"ץ 1634/09 </w:t>
      </w:r>
      <w:r>
        <w:rPr>
          <w:rFonts w:cs="Miriam" w:hint="cs"/>
          <w:b/>
          <w:spacing w:val="0"/>
          <w:szCs w:val="24"/>
          <w:rtl/>
        </w:rPr>
        <w:t>פנקס נ' בית הדין הארצי עבודה בירושלים</w:t>
      </w:r>
      <w:r>
        <w:rPr>
          <w:rFonts w:hint="cs"/>
          <w:rtl/>
        </w:rPr>
        <w:t xml:space="preserve"> (7.3.2011) (להלן: עניין </w:t>
      </w:r>
      <w:r>
        <w:rPr>
          <w:rFonts w:cs="Miriam" w:hint="cs"/>
          <w:b/>
          <w:spacing w:val="0"/>
          <w:szCs w:val="24"/>
          <w:rtl/>
        </w:rPr>
        <w:t>פנקס</w:t>
      </w:r>
      <w:r>
        <w:rPr>
          <w:rFonts w:cs="Miriam" w:hint="cs"/>
          <w:szCs w:val="24"/>
          <w:rtl/>
        </w:rPr>
        <w:t>)</w:t>
      </w:r>
      <w:r>
        <w:rPr>
          <w:rFonts w:hint="cs"/>
          <w:rtl/>
        </w:rPr>
        <w:t xml:space="preserve">. באותו מקרה, הסכים </w:t>
      </w:r>
      <w:proofErr w:type="spellStart"/>
      <w:r>
        <w:rPr>
          <w:rFonts w:hint="cs"/>
          <w:rtl/>
        </w:rPr>
        <w:t>המל"ל</w:t>
      </w:r>
      <w:proofErr w:type="spellEnd"/>
      <w:r>
        <w:rPr>
          <w:rFonts w:hint="cs"/>
          <w:rtl/>
        </w:rPr>
        <w:t xml:space="preserve"> לשנות את עמדתו בשאלה אם ניתן לקבל דרגת נכות על בסיס שני סוגי נכות מסוימים </w:t>
      </w:r>
      <w:r>
        <w:rPr>
          <w:rFonts w:cs="Miriam" w:hint="cs"/>
          <w:b/>
          <w:spacing w:val="0"/>
          <w:szCs w:val="24"/>
          <w:rtl/>
        </w:rPr>
        <w:t>במצטבר</w:t>
      </w:r>
      <w:r>
        <w:rPr>
          <w:rFonts w:hint="cs"/>
          <w:rtl/>
        </w:rPr>
        <w:t xml:space="preserve">, ולא רק לחלופין. במסגרת פסק הדין, נקבע כי כל מבוטח שסובל משני סוגי הנכות במצטבר "יוכל להגיש בקשה להחמרת מצב – אף אם מצבו הרפואי לא השתנה [...]" (פסקה 3). </w:t>
      </w:r>
    </w:p>
    <w:p w:rsidR="00E34EA0" w:rsidRDefault="00E34EA0" w:rsidP="00E34EA0">
      <w:pPr>
        <w:pStyle w:val="Ruller4"/>
        <w:rPr>
          <w:rtl/>
        </w:rPr>
      </w:pPr>
    </w:p>
    <w:p w:rsidR="00E34EA0" w:rsidRDefault="00E34EA0" w:rsidP="00E34EA0">
      <w:pPr>
        <w:pStyle w:val="Ruller4"/>
        <w:rPr>
          <w:rtl/>
        </w:rPr>
      </w:pPr>
      <w:r>
        <w:rPr>
          <w:rFonts w:hint="cs"/>
          <w:rtl/>
        </w:rPr>
        <w:tab/>
        <w:t xml:space="preserve">גם בהיבט זה אין בידי לקבל את טענת העותר. ראשית, אין להסיק מעניין </w:t>
      </w:r>
      <w:r>
        <w:rPr>
          <w:rFonts w:cs="Miriam" w:hint="cs"/>
          <w:szCs w:val="24"/>
          <w:rtl/>
        </w:rPr>
        <w:t>פנקס</w:t>
      </w:r>
      <w:r>
        <w:rPr>
          <w:rFonts w:hint="cs"/>
          <w:rtl/>
        </w:rPr>
        <w:t xml:space="preserve"> הכרה גורפת של </w:t>
      </w:r>
      <w:proofErr w:type="spellStart"/>
      <w:r>
        <w:rPr>
          <w:rFonts w:hint="cs"/>
          <w:rtl/>
        </w:rPr>
        <w:t>המל"ל</w:t>
      </w:r>
      <w:proofErr w:type="spellEnd"/>
      <w:r>
        <w:rPr>
          <w:rFonts w:hint="cs"/>
          <w:rtl/>
        </w:rPr>
        <w:t xml:space="preserve"> בטענה ל"החמרה משפטית" וכפי שציין בית הדין הארצי בפסק דינו, המדובר בשינוי הלכה בהסדר נקודתי-רפואי ולא בשינוי חקיקה. כפי שציין </w:t>
      </w:r>
      <w:proofErr w:type="spellStart"/>
      <w:r>
        <w:rPr>
          <w:rFonts w:hint="cs"/>
          <w:rtl/>
        </w:rPr>
        <w:t>המל"ל</w:t>
      </w:r>
      <w:proofErr w:type="spellEnd"/>
      <w:r>
        <w:rPr>
          <w:rFonts w:hint="cs"/>
          <w:rtl/>
        </w:rPr>
        <w:t xml:space="preserve"> בתגובתו, בעניין </w:t>
      </w:r>
      <w:r>
        <w:rPr>
          <w:rFonts w:cs="Miriam" w:hint="cs"/>
          <w:b/>
          <w:spacing w:val="0"/>
          <w:szCs w:val="24"/>
          <w:rtl/>
        </w:rPr>
        <w:t>פנקס</w:t>
      </w:r>
      <w:r>
        <w:rPr>
          <w:rFonts w:hint="cs"/>
          <w:rtl/>
        </w:rPr>
        <w:t xml:space="preserve"> הסכים המוסד לשנות את הפרשנות </w:t>
      </w:r>
      <w:r>
        <w:rPr>
          <w:rFonts w:cs="Miriam" w:hint="cs"/>
          <w:b/>
          <w:spacing w:val="0"/>
          <w:szCs w:val="24"/>
          <w:rtl/>
        </w:rPr>
        <w:t>הרפואית</w:t>
      </w:r>
      <w:r>
        <w:rPr>
          <w:rFonts w:hint="cs"/>
          <w:rtl/>
        </w:rPr>
        <w:t xml:space="preserve"> לפריט מסוים, כך שניתן יהיה לקבל אחוזי נכות הן בגין הנכות האורתופדית והן בגין הנכות הנוירולוגית. שנית, כידוע, שינויי חקיקה ותקנות חלים, על פי רוב, פרוספקטיבית – בעוד הלכות חדשות חלות לרוב גם למפרע (רע"א 8925/04‏ </w:t>
      </w:r>
      <w:r>
        <w:rPr>
          <w:rFonts w:cs="Miriam" w:hint="cs"/>
          <w:b/>
          <w:spacing w:val="0"/>
          <w:szCs w:val="24"/>
          <w:rtl/>
        </w:rPr>
        <w:t xml:space="preserve">סולל בונה בניין ותשתיות בע"מ נ' עזבון המנוח עבד </w:t>
      </w:r>
      <w:proofErr w:type="spellStart"/>
      <w:r>
        <w:rPr>
          <w:rFonts w:cs="Miriam" w:hint="cs"/>
          <w:b/>
          <w:spacing w:val="0"/>
          <w:szCs w:val="24"/>
          <w:rtl/>
        </w:rPr>
        <w:t>אלחמיד</w:t>
      </w:r>
      <w:proofErr w:type="spellEnd"/>
      <w:r>
        <w:rPr>
          <w:rFonts w:cs="Miriam" w:hint="cs"/>
          <w:b/>
          <w:spacing w:val="0"/>
          <w:szCs w:val="24"/>
          <w:rtl/>
        </w:rPr>
        <w:t xml:space="preserve"> ז"ל</w:t>
      </w:r>
      <w:r>
        <w:rPr>
          <w:rFonts w:hint="cs"/>
          <w:rtl/>
        </w:rPr>
        <w:t xml:space="preserve">, פ"ד </w:t>
      </w:r>
      <w:proofErr w:type="spellStart"/>
      <w:r>
        <w:rPr>
          <w:rFonts w:hint="cs"/>
          <w:rtl/>
        </w:rPr>
        <w:t>סא</w:t>
      </w:r>
      <w:proofErr w:type="spellEnd"/>
      <w:r>
        <w:rPr>
          <w:rFonts w:hint="cs"/>
          <w:rtl/>
        </w:rPr>
        <w:t>(1) 126, בפסקאות 7 ו-10 לפסק דינו של הנשיא (</w:t>
      </w:r>
      <w:proofErr w:type="spellStart"/>
      <w:r>
        <w:rPr>
          <w:rFonts w:hint="cs"/>
          <w:rtl/>
        </w:rPr>
        <w:t>בדימ</w:t>
      </w:r>
      <w:proofErr w:type="spellEnd"/>
      <w:r>
        <w:rPr>
          <w:rFonts w:hint="cs"/>
          <w:rtl/>
        </w:rPr>
        <w:t xml:space="preserve">') </w:t>
      </w:r>
      <w:r>
        <w:rPr>
          <w:rFonts w:cs="Miriam" w:hint="cs"/>
          <w:b/>
          <w:spacing w:val="0"/>
          <w:szCs w:val="24"/>
          <w:rtl/>
        </w:rPr>
        <w:t>א' ברק</w:t>
      </w:r>
      <w:r>
        <w:rPr>
          <w:rFonts w:hint="cs"/>
          <w:rtl/>
        </w:rPr>
        <w:t xml:space="preserve"> (2006)). מכאן, שמעצם יישומה של הלכה חדשה על ידי </w:t>
      </w:r>
      <w:proofErr w:type="spellStart"/>
      <w:r>
        <w:rPr>
          <w:rFonts w:hint="cs"/>
          <w:rtl/>
        </w:rPr>
        <w:t>המל"ל</w:t>
      </w:r>
      <w:proofErr w:type="spellEnd"/>
      <w:r>
        <w:rPr>
          <w:rFonts w:hint="cs"/>
          <w:rtl/>
        </w:rPr>
        <w:t>, אין בהכרח להסיק עיקרון שתקף גם בנוגע לתיקון פרוספקטיבי של תקנות. זאת, בפרט כאשר נתבקשה הכרה בטענה משפטית חדשה, שאין לה זכר בתקנות הביטוח הלאומי או בתיקון 1992.</w:t>
      </w:r>
    </w:p>
    <w:p w:rsidR="00E34EA0" w:rsidRDefault="00E34EA0" w:rsidP="00E34EA0">
      <w:pPr>
        <w:pStyle w:val="Ruller4"/>
        <w:rPr>
          <w:rtl/>
        </w:rPr>
      </w:pPr>
    </w:p>
    <w:p w:rsidR="00E34EA0" w:rsidRDefault="00E34EA0" w:rsidP="00E34EA0">
      <w:pPr>
        <w:pStyle w:val="Ruller4"/>
        <w:rPr>
          <w:rFonts w:cs="Miriam"/>
          <w:b/>
          <w:spacing w:val="0"/>
          <w:szCs w:val="24"/>
          <w:rtl/>
        </w:rPr>
      </w:pPr>
      <w:r>
        <w:rPr>
          <w:rFonts w:cs="Miriam" w:hint="cs"/>
          <w:b/>
          <w:spacing w:val="0"/>
          <w:szCs w:val="24"/>
          <w:rtl/>
        </w:rPr>
        <w:t>הערה לפני סיום</w:t>
      </w:r>
    </w:p>
    <w:p w:rsidR="00E34EA0" w:rsidRDefault="00E34EA0" w:rsidP="00E34EA0">
      <w:pPr>
        <w:pStyle w:val="Ruller4"/>
        <w:rPr>
          <w:rFonts w:ascii="Calibri" w:hAnsi="Calibri" w:cs="Arial"/>
          <w:szCs w:val="22"/>
          <w:rtl/>
        </w:rPr>
      </w:pPr>
    </w:p>
    <w:p w:rsidR="00E34EA0" w:rsidRDefault="00E34EA0" w:rsidP="00E34EA0">
      <w:pPr>
        <w:pStyle w:val="Ruller4"/>
        <w:rPr>
          <w:rtl/>
        </w:rPr>
      </w:pPr>
      <w:r>
        <w:rPr>
          <w:rFonts w:hint="cs"/>
          <w:rtl/>
        </w:rPr>
        <w:t>12.</w:t>
      </w:r>
      <w:r>
        <w:rPr>
          <w:rFonts w:hint="cs"/>
          <w:rtl/>
        </w:rPr>
        <w:tab/>
        <w:t xml:space="preserve">בשולי הדברים, אוסיף כי הסעד שנתבקש בעתירה – החלת תיקונים לתקנות באופן פרוספקטיבי כלפי </w:t>
      </w:r>
      <w:r>
        <w:rPr>
          <w:rFonts w:cs="Miriam" w:hint="cs"/>
          <w:b/>
          <w:spacing w:val="0"/>
          <w:szCs w:val="24"/>
          <w:rtl/>
        </w:rPr>
        <w:t>כל</w:t>
      </w:r>
      <w:r>
        <w:rPr>
          <w:rFonts w:hint="cs"/>
          <w:rtl/>
        </w:rPr>
        <w:t xml:space="preserve"> נכי תאונות העבודה – עשוי לכלול בחובו השלכות תקציביות לא מבוטלות. העותר עצמו ציין כי "עתירה זו היא בעלת השלכת רוחב על כל הנכים שהוכרו כנפגעי עבודה והנכים אשר יוכרו כנפגעי עבודה בעתיד".</w:t>
      </w:r>
    </w:p>
    <w:p w:rsidR="00E34EA0" w:rsidRDefault="00E34EA0" w:rsidP="00E34EA0">
      <w:pPr>
        <w:pStyle w:val="Ruller4"/>
        <w:rPr>
          <w:rtl/>
        </w:rPr>
      </w:pPr>
    </w:p>
    <w:p w:rsidR="00E34EA0" w:rsidRDefault="00E34EA0" w:rsidP="00E34EA0">
      <w:pPr>
        <w:pStyle w:val="Ruller4"/>
        <w:rPr>
          <w:rtl/>
        </w:rPr>
      </w:pPr>
      <w:r>
        <w:rPr>
          <w:rFonts w:hint="cs"/>
          <w:rtl/>
        </w:rPr>
        <w:lastRenderedPageBreak/>
        <w:tab/>
        <w:t xml:space="preserve">אופן חלוקת "העוגה התקציבית" של הביטוח הלאומי נמצא, כידוע, בליבת תחום סמכותן של רשויות המדינה, ובית משפט זה לא ימהר להתערב בכך (לעניין שיקולים תקציביים במדיניות ציבורית סוציאלית, ראו: בג"ץ 2223/04 </w:t>
      </w:r>
      <w:r>
        <w:rPr>
          <w:rFonts w:cs="Miriam" w:hint="cs"/>
          <w:b/>
          <w:spacing w:val="0"/>
          <w:szCs w:val="24"/>
          <w:rtl/>
        </w:rPr>
        <w:t>ניסים נ' מדינת ישראל</w:t>
      </w:r>
      <w:r>
        <w:rPr>
          <w:rFonts w:hint="cs"/>
          <w:rtl/>
        </w:rPr>
        <w:t xml:space="preserve">, בפסקאות 29-26 (4.9.2006); בג"ץ 1662/05 </w:t>
      </w:r>
      <w:r>
        <w:rPr>
          <w:rFonts w:cs="Miriam" w:hint="cs"/>
          <w:b/>
          <w:spacing w:val="0"/>
          <w:szCs w:val="24"/>
          <w:rtl/>
        </w:rPr>
        <w:t>לוי נ' ממשלת ישראל</w:t>
      </w:r>
      <w:r>
        <w:rPr>
          <w:rFonts w:hint="cs"/>
          <w:rtl/>
        </w:rPr>
        <w:t>, בפסקאות 53-50 (3.3.2009)). בענייננו לא העלה אף אחד מהצדדים טענות בנוגע להצדקת התערבותנו בהיבט זה, או בנוגע למשמעות התקציבית של הסעד המבוקש. בהיעדר נתונים לכאן או לכאן, איני נדרש לנושא במסגרת עתירה זו.</w:t>
      </w:r>
    </w:p>
    <w:p w:rsidR="00E34EA0" w:rsidRDefault="00E34EA0" w:rsidP="00E34EA0">
      <w:pPr>
        <w:pStyle w:val="Ruller4"/>
        <w:rPr>
          <w:rtl/>
        </w:rPr>
      </w:pPr>
    </w:p>
    <w:p w:rsidR="00E34EA0" w:rsidRDefault="00E34EA0" w:rsidP="00E34EA0">
      <w:pPr>
        <w:pStyle w:val="Ruller4"/>
        <w:rPr>
          <w:rtl/>
        </w:rPr>
      </w:pPr>
      <w:r>
        <w:rPr>
          <w:rFonts w:hint="cs"/>
          <w:rtl/>
        </w:rPr>
        <w:t>13.</w:t>
      </w:r>
      <w:r>
        <w:rPr>
          <w:rFonts w:hint="cs"/>
          <w:rtl/>
        </w:rPr>
        <w:tab/>
      </w:r>
      <w:r>
        <w:rPr>
          <w:rFonts w:cs="Miriam" w:hint="cs"/>
          <w:b/>
          <w:spacing w:val="0"/>
          <w:szCs w:val="24"/>
          <w:rtl/>
        </w:rPr>
        <w:t>סוף דבר</w:t>
      </w:r>
      <w:r>
        <w:rPr>
          <w:rFonts w:hint="cs"/>
          <w:rtl/>
        </w:rPr>
        <w:t>: העתירה נדחית. בנסיבות העניין, אין צו להוצאות.</w:t>
      </w:r>
    </w:p>
    <w:p w:rsidR="00E34EA0" w:rsidRDefault="00E34EA0" w:rsidP="00E34EA0">
      <w:pPr>
        <w:pStyle w:val="Ruller4"/>
        <w:rPr>
          <w:rtl/>
        </w:rPr>
      </w:pPr>
    </w:p>
    <w:p w:rsidR="00E34EA0" w:rsidRDefault="00E34EA0" w:rsidP="00E34EA0">
      <w:pPr>
        <w:pStyle w:val="Ruller4"/>
        <w:jc w:val="right"/>
        <w:rPr>
          <w:rtl/>
        </w:rPr>
      </w:pPr>
      <w:r>
        <w:rPr>
          <w:rFonts w:hint="cs"/>
          <w:rtl/>
        </w:rPr>
        <w:t>ש ו פ ט</w:t>
      </w:r>
    </w:p>
    <w:p w:rsidR="00E34EA0" w:rsidRDefault="00E34EA0" w:rsidP="00E34EA0">
      <w:pPr>
        <w:pStyle w:val="Ruller4"/>
        <w:rPr>
          <w:rtl/>
        </w:rPr>
      </w:pPr>
    </w:p>
    <w:p w:rsidR="00E34EA0" w:rsidRPr="009671B4" w:rsidRDefault="00E34EA0" w:rsidP="00E34EA0">
      <w:pPr>
        <w:pStyle w:val="Ruller4"/>
        <w:rPr>
          <w:rFonts w:ascii="Times New Roman" w:hAnsi="Times New Roman" w:cs="Miriam"/>
          <w:spacing w:val="0"/>
          <w:sz w:val="28"/>
          <w:szCs w:val="24"/>
          <w:rtl/>
        </w:rPr>
      </w:pPr>
      <w:r w:rsidRPr="009671B4">
        <w:rPr>
          <w:rFonts w:ascii="Times New Roman" w:hAnsi="Times New Roman" w:cs="Miriam" w:hint="cs"/>
          <w:spacing w:val="0"/>
          <w:sz w:val="28"/>
          <w:szCs w:val="24"/>
          <w:u w:val="single"/>
          <w:rtl/>
        </w:rPr>
        <w:t>השופ</w:t>
      </w:r>
      <w:r>
        <w:rPr>
          <w:rFonts w:ascii="Times New Roman" w:hAnsi="Times New Roman" w:cs="Miriam" w:hint="cs"/>
          <w:spacing w:val="0"/>
          <w:sz w:val="28"/>
          <w:szCs w:val="24"/>
          <w:u w:val="single"/>
          <w:rtl/>
        </w:rPr>
        <w:t xml:space="preserve">ט נ' </w:t>
      </w:r>
      <w:proofErr w:type="spellStart"/>
      <w:r>
        <w:rPr>
          <w:rFonts w:ascii="Times New Roman" w:hAnsi="Times New Roman" w:cs="Miriam" w:hint="cs"/>
          <w:spacing w:val="0"/>
          <w:sz w:val="28"/>
          <w:szCs w:val="24"/>
          <w:u w:val="single"/>
          <w:rtl/>
        </w:rPr>
        <w:t>סולברג</w:t>
      </w:r>
      <w:proofErr w:type="spellEnd"/>
      <w:r w:rsidRPr="009671B4">
        <w:rPr>
          <w:rFonts w:ascii="Times New Roman" w:hAnsi="Times New Roman" w:cs="Miriam" w:hint="cs"/>
          <w:spacing w:val="0"/>
          <w:sz w:val="28"/>
          <w:szCs w:val="24"/>
          <w:rtl/>
        </w:rPr>
        <w:t>:</w:t>
      </w:r>
    </w:p>
    <w:p w:rsidR="00E34EA0" w:rsidRDefault="00E34EA0" w:rsidP="00E34EA0">
      <w:pPr>
        <w:pStyle w:val="Ruller4"/>
        <w:rPr>
          <w:rtl/>
        </w:rPr>
      </w:pPr>
      <w:r>
        <w:rPr>
          <w:rtl/>
        </w:rPr>
        <w:tab/>
      </w:r>
      <w:r>
        <w:rPr>
          <w:rFonts w:hint="cs"/>
          <w:rtl/>
        </w:rPr>
        <w:t>אני מסכים.</w:t>
      </w:r>
    </w:p>
    <w:p w:rsidR="00E34EA0" w:rsidRDefault="00E34EA0" w:rsidP="00E34EA0">
      <w:pPr>
        <w:pStyle w:val="Ruller4"/>
        <w:jc w:val="right"/>
        <w:rPr>
          <w:rtl/>
        </w:rPr>
      </w:pPr>
      <w:r>
        <w:rPr>
          <w:rFonts w:hint="cs"/>
          <w:rtl/>
        </w:rPr>
        <w:t>ש ו פ ט</w:t>
      </w:r>
    </w:p>
    <w:p w:rsidR="00E34EA0" w:rsidRDefault="00E34EA0" w:rsidP="00E34EA0">
      <w:pPr>
        <w:pStyle w:val="Ruller4"/>
        <w:rPr>
          <w:rtl/>
        </w:rPr>
      </w:pPr>
    </w:p>
    <w:p w:rsidR="00E34EA0" w:rsidRPr="009671B4" w:rsidRDefault="00E34EA0" w:rsidP="00E34EA0">
      <w:pPr>
        <w:pStyle w:val="Ruller4"/>
        <w:rPr>
          <w:rFonts w:ascii="Times New Roman" w:hAnsi="Times New Roman" w:cs="Miriam"/>
          <w:spacing w:val="0"/>
          <w:sz w:val="28"/>
          <w:szCs w:val="24"/>
          <w:rtl/>
        </w:rPr>
      </w:pPr>
      <w:r w:rsidRPr="009671B4">
        <w:rPr>
          <w:rFonts w:ascii="Times New Roman" w:hAnsi="Times New Roman" w:cs="Miriam" w:hint="cs"/>
          <w:spacing w:val="0"/>
          <w:sz w:val="28"/>
          <w:szCs w:val="24"/>
          <w:u w:val="single"/>
          <w:rtl/>
        </w:rPr>
        <w:t>השופ</w:t>
      </w:r>
      <w:r>
        <w:rPr>
          <w:rFonts w:ascii="Times New Roman" w:hAnsi="Times New Roman" w:cs="Miriam" w:hint="cs"/>
          <w:spacing w:val="0"/>
          <w:sz w:val="28"/>
          <w:szCs w:val="24"/>
          <w:u w:val="single"/>
          <w:rtl/>
        </w:rPr>
        <w:t>ט ד' מינץ</w:t>
      </w:r>
      <w:r w:rsidRPr="009671B4">
        <w:rPr>
          <w:rFonts w:ascii="Times New Roman" w:hAnsi="Times New Roman" w:cs="Miriam" w:hint="cs"/>
          <w:spacing w:val="0"/>
          <w:sz w:val="28"/>
          <w:szCs w:val="24"/>
          <w:rtl/>
        </w:rPr>
        <w:t>:</w:t>
      </w:r>
    </w:p>
    <w:p w:rsidR="00E34EA0" w:rsidRDefault="00E34EA0" w:rsidP="00E34EA0">
      <w:pPr>
        <w:pStyle w:val="Ruller4"/>
        <w:rPr>
          <w:rtl/>
        </w:rPr>
      </w:pPr>
    </w:p>
    <w:p w:rsidR="00E34EA0" w:rsidRDefault="00E34EA0" w:rsidP="00E34EA0">
      <w:pPr>
        <w:pStyle w:val="Ruller4"/>
        <w:rPr>
          <w:szCs w:val="22"/>
          <w:rtl/>
        </w:rPr>
      </w:pPr>
      <w:r>
        <w:rPr>
          <w:rFonts w:hint="cs"/>
          <w:rtl/>
        </w:rPr>
        <w:tab/>
        <w:t xml:space="preserve">מסכים אני עם חוות דעתו של חברי, השופט </w:t>
      </w:r>
      <w:r>
        <w:rPr>
          <w:rFonts w:ascii="Century" w:hAnsi="Century" w:cs="Miriam" w:hint="cs"/>
          <w:b/>
          <w:spacing w:val="0"/>
          <w:szCs w:val="24"/>
          <w:rtl/>
        </w:rPr>
        <w:t>י' עמית</w:t>
      </w:r>
      <w:r>
        <w:rPr>
          <w:rFonts w:hint="cs"/>
          <w:rtl/>
        </w:rPr>
        <w:t xml:space="preserve">. </w:t>
      </w:r>
    </w:p>
    <w:p w:rsidR="00E34EA0" w:rsidRDefault="00E34EA0" w:rsidP="00E34EA0">
      <w:pPr>
        <w:pStyle w:val="Ruller4"/>
      </w:pPr>
    </w:p>
    <w:p w:rsidR="00E34EA0" w:rsidRDefault="00E34EA0" w:rsidP="00E34EA0">
      <w:pPr>
        <w:pStyle w:val="Ruller4"/>
      </w:pPr>
      <w:r>
        <w:rPr>
          <w:rFonts w:hint="cs"/>
          <w:rtl/>
        </w:rPr>
        <w:tab/>
        <w:t xml:space="preserve">לשונה של תקנה 36(א) לתקנות הביטוח הלאומי (קביעת דרגת נכות לנפגעי עבודה), התשט"ז-1956 (להלן: </w:t>
      </w:r>
      <w:r>
        <w:rPr>
          <w:rFonts w:ascii="Century" w:hAnsi="Century" w:cs="Miriam" w:hint="cs"/>
          <w:b/>
          <w:spacing w:val="0"/>
          <w:szCs w:val="24"/>
          <w:rtl/>
        </w:rPr>
        <w:t>התקנות</w:t>
      </w:r>
      <w:r>
        <w:rPr>
          <w:rFonts w:hint="cs"/>
          <w:rtl/>
        </w:rPr>
        <w:t xml:space="preserve">), ברורה, חד-משמעית ואינה מותירה מקום לספק כי ההחמרה המעניקה דרגת נכות חדשה היא החמרה ב"פגימה", היינו במצב הרפואי של הנפגע ולא בשינוי דרגת הנכות הקבועה בתקנות שלצד הפגימה הגופנית. טענות העותר שנפגעי עבודה מופלים לרעה לעומת קבוצות נכים אחרות כדוגמת נכי צה"ל, אין בהן כדי להוביל לפרשנות המטיבה עמו מקום שבו על פי פשוטו של מקרא – תרתי משמע – התקנות מורות במפורש אימתי יש לקיים דיון מחדש בעניינו של הנפגע מתאונת עבודה. </w:t>
      </w:r>
    </w:p>
    <w:p w:rsidR="00E34EA0" w:rsidRDefault="00E34EA0" w:rsidP="00E34EA0">
      <w:pPr>
        <w:pStyle w:val="Ruller4"/>
      </w:pPr>
    </w:p>
    <w:p w:rsidR="00E34EA0" w:rsidRDefault="00E34EA0" w:rsidP="00E34EA0">
      <w:pPr>
        <w:pStyle w:val="Ruller4"/>
        <w:rPr>
          <w:rtl/>
        </w:rPr>
      </w:pPr>
      <w:r>
        <w:rPr>
          <w:rFonts w:hint="cs"/>
          <w:rtl/>
        </w:rPr>
        <w:tab/>
        <w:t>מזורו של העותר היא בפנייה אל מחוקק המשנה בשינוי התקנה אך לא באילוצי פרשנות של התקנה הקיימת.</w:t>
      </w:r>
    </w:p>
    <w:p w:rsidR="00E34EA0" w:rsidRDefault="00E34EA0" w:rsidP="00E34EA0">
      <w:pPr>
        <w:pStyle w:val="Ruller4"/>
        <w:rPr>
          <w:rtl/>
        </w:rPr>
      </w:pPr>
    </w:p>
    <w:p w:rsidR="00E34EA0" w:rsidRDefault="00E34EA0" w:rsidP="00E34EA0">
      <w:pPr>
        <w:pStyle w:val="Ruller4"/>
        <w:rPr>
          <w:rtl/>
        </w:rPr>
      </w:pPr>
    </w:p>
    <w:p w:rsidR="00E34EA0" w:rsidRDefault="00E34EA0" w:rsidP="00E34EA0">
      <w:pPr>
        <w:pStyle w:val="Ruller4"/>
        <w:jc w:val="right"/>
        <w:rPr>
          <w:rtl/>
        </w:rPr>
      </w:pPr>
      <w:r>
        <w:rPr>
          <w:rFonts w:hint="cs"/>
          <w:rtl/>
        </w:rPr>
        <w:t>ש ו פ ט</w:t>
      </w:r>
    </w:p>
    <w:p w:rsidR="00E34EA0" w:rsidRDefault="00E34EA0" w:rsidP="00E34EA0">
      <w:pPr>
        <w:pStyle w:val="Ruller4"/>
        <w:rPr>
          <w:rtl/>
        </w:rPr>
      </w:pPr>
      <w:r>
        <w:rPr>
          <w:rFonts w:hint="cs"/>
          <w:rtl/>
        </w:rPr>
        <w:lastRenderedPageBreak/>
        <w:t xml:space="preserve"> </w:t>
      </w:r>
    </w:p>
    <w:p w:rsidR="00E34EA0" w:rsidRDefault="00E34EA0" w:rsidP="00E34EA0">
      <w:pPr>
        <w:pStyle w:val="Ruller4"/>
        <w:rPr>
          <w:rtl/>
        </w:rPr>
      </w:pPr>
    </w:p>
    <w:p w:rsidR="00E34EA0" w:rsidRDefault="00E34EA0" w:rsidP="00E34EA0">
      <w:pPr>
        <w:pStyle w:val="Ruller4"/>
        <w:rPr>
          <w:rtl/>
        </w:rPr>
      </w:pPr>
      <w:r>
        <w:rPr>
          <w:rtl/>
        </w:rPr>
        <w:tab/>
      </w:r>
      <w:r>
        <w:rPr>
          <w:rFonts w:hint="cs"/>
          <w:rtl/>
        </w:rPr>
        <w:t xml:space="preserve">הוחלט כאמור בפסק דינו של השופט </w:t>
      </w:r>
      <w:r w:rsidRPr="009671B4">
        <w:rPr>
          <w:rFonts w:ascii="Times New Roman" w:hAnsi="Times New Roman" w:cs="Miriam" w:hint="cs"/>
          <w:spacing w:val="0"/>
          <w:sz w:val="28"/>
          <w:szCs w:val="24"/>
          <w:rtl/>
        </w:rPr>
        <w:t>י' עמית</w:t>
      </w:r>
      <w:r>
        <w:rPr>
          <w:rFonts w:hint="cs"/>
          <w:rtl/>
        </w:rPr>
        <w:t>.</w:t>
      </w:r>
    </w:p>
    <w:p w:rsidR="00E34EA0" w:rsidRDefault="00E34EA0" w:rsidP="00E34EA0">
      <w:pPr>
        <w:pStyle w:val="Ruller4"/>
        <w:rPr>
          <w:rtl/>
        </w:rPr>
      </w:pPr>
    </w:p>
    <w:p w:rsidR="00E34EA0" w:rsidRDefault="00E34EA0" w:rsidP="00E34EA0">
      <w:pPr>
        <w:pStyle w:val="Ruller4"/>
        <w:rPr>
          <w:rtl/>
        </w:rPr>
      </w:pPr>
    </w:p>
    <w:p w:rsidR="00E34EA0" w:rsidRDefault="00E34EA0" w:rsidP="00E34EA0">
      <w:pPr>
        <w:pStyle w:val="Ruller4"/>
        <w:rPr>
          <w:rtl/>
        </w:rPr>
      </w:pPr>
      <w:r>
        <w:rPr>
          <w:rtl/>
        </w:rPr>
        <w:tab/>
        <w:t>נית</w:t>
      </w:r>
      <w:r>
        <w:rPr>
          <w:rFonts w:hint="cs"/>
          <w:rtl/>
        </w:rPr>
        <w:t>ן</w:t>
      </w:r>
      <w:r>
        <w:rPr>
          <w:rtl/>
        </w:rPr>
        <w:t xml:space="preserve"> היום, </w:t>
      </w:r>
      <w:r>
        <w:rPr>
          <w:rFonts w:hint="eastAsia"/>
          <w:rtl/>
        </w:rPr>
        <w:t>‏ג</w:t>
      </w:r>
      <w:r>
        <w:rPr>
          <w:rtl/>
        </w:rPr>
        <w:t xml:space="preserve">' באדר ב </w:t>
      </w:r>
      <w:proofErr w:type="spellStart"/>
      <w:r>
        <w:rPr>
          <w:rtl/>
        </w:rPr>
        <w:t>התשע"ט</w:t>
      </w:r>
      <w:proofErr w:type="spellEnd"/>
      <w:r>
        <w:rPr>
          <w:rtl/>
        </w:rPr>
        <w:t xml:space="preserve"> (</w:t>
      </w:r>
      <w:r>
        <w:rPr>
          <w:rFonts w:hint="eastAsia"/>
          <w:rtl/>
        </w:rPr>
        <w:t>‏</w:t>
      </w:r>
      <w:r>
        <w:rPr>
          <w:rtl/>
        </w:rPr>
        <w:t>10.3.2019).</w:t>
      </w:r>
    </w:p>
    <w:p w:rsidR="00E34EA0" w:rsidRDefault="00E34EA0" w:rsidP="00E34EA0">
      <w:pPr>
        <w:pStyle w:val="Ruller4"/>
        <w:rPr>
          <w:rtl/>
        </w:rPr>
      </w:pPr>
    </w:p>
    <w:p w:rsidR="00E34EA0" w:rsidRDefault="00E34EA0" w:rsidP="00E34EA0">
      <w:pPr>
        <w:pStyle w:val="Ruller4"/>
        <w:rPr>
          <w:rtl/>
        </w:rPr>
      </w:pPr>
    </w:p>
    <w:p w:rsidR="00E34EA0" w:rsidRDefault="00E34EA0" w:rsidP="00E34EA0">
      <w:pPr>
        <w:pStyle w:val="Ruller4"/>
        <w:rPr>
          <w:rtl/>
        </w:rPr>
      </w:pPr>
    </w:p>
    <w:tbl>
      <w:tblPr>
        <w:bidiVisual/>
        <w:tblW w:w="8363" w:type="dxa"/>
        <w:tblLook w:val="01E0" w:firstRow="1" w:lastRow="1" w:firstColumn="1" w:lastColumn="1" w:noHBand="0" w:noVBand="0"/>
      </w:tblPr>
      <w:tblGrid>
        <w:gridCol w:w="2787"/>
        <w:gridCol w:w="2788"/>
        <w:gridCol w:w="2788"/>
      </w:tblGrid>
      <w:tr w:rsidR="00E34EA0" w:rsidTr="00537A0A">
        <w:tc>
          <w:tcPr>
            <w:tcW w:w="2787" w:type="dxa"/>
            <w:shd w:val="clear" w:color="auto" w:fill="auto"/>
          </w:tcPr>
          <w:p w:rsidR="00E34EA0" w:rsidRDefault="00E34EA0" w:rsidP="00537A0A">
            <w:pPr>
              <w:pStyle w:val="Ruller4"/>
              <w:jc w:val="center"/>
              <w:rPr>
                <w:rtl/>
              </w:rPr>
            </w:pPr>
            <w:r>
              <w:rPr>
                <w:rtl/>
              </w:rPr>
              <w:t>ש ו פ ט</w:t>
            </w:r>
          </w:p>
        </w:tc>
        <w:tc>
          <w:tcPr>
            <w:tcW w:w="2788" w:type="dxa"/>
            <w:shd w:val="clear" w:color="auto" w:fill="auto"/>
          </w:tcPr>
          <w:p w:rsidR="00E34EA0" w:rsidRDefault="00E34EA0" w:rsidP="00537A0A">
            <w:pPr>
              <w:pStyle w:val="Ruller4"/>
              <w:jc w:val="center"/>
              <w:rPr>
                <w:rtl/>
              </w:rPr>
            </w:pPr>
            <w:r>
              <w:rPr>
                <w:rtl/>
              </w:rPr>
              <w:t>ש ו פ ט</w:t>
            </w:r>
          </w:p>
        </w:tc>
        <w:tc>
          <w:tcPr>
            <w:tcW w:w="2788" w:type="dxa"/>
            <w:shd w:val="clear" w:color="auto" w:fill="auto"/>
          </w:tcPr>
          <w:p w:rsidR="00E34EA0" w:rsidRDefault="00E34EA0" w:rsidP="00537A0A">
            <w:pPr>
              <w:pStyle w:val="Ruller4"/>
              <w:jc w:val="center"/>
              <w:rPr>
                <w:rtl/>
              </w:rPr>
            </w:pPr>
            <w:r>
              <w:rPr>
                <w:rtl/>
              </w:rPr>
              <w:t>ש ו פ ט</w:t>
            </w:r>
          </w:p>
        </w:tc>
      </w:tr>
    </w:tbl>
    <w:p w:rsidR="00E34EA0" w:rsidRDefault="00E34EA0" w:rsidP="00E34EA0">
      <w:pPr>
        <w:pStyle w:val="Ruller4"/>
        <w:rPr>
          <w:rtl/>
        </w:rPr>
      </w:pPr>
    </w:p>
    <w:p w:rsidR="00E34EA0" w:rsidRDefault="00E34EA0" w:rsidP="00E34EA0">
      <w:pPr>
        <w:pStyle w:val="Ruller4"/>
        <w:rPr>
          <w:rtl/>
        </w:rPr>
      </w:pPr>
    </w:p>
    <w:p w:rsidR="00E34EA0" w:rsidRDefault="00E34EA0" w:rsidP="00E34EA0">
      <w:pPr>
        <w:rPr>
          <w:szCs w:val="16"/>
          <w:rtl/>
        </w:rPr>
      </w:pPr>
      <w:r>
        <w:rPr>
          <w:szCs w:val="16"/>
          <w:rtl/>
        </w:rPr>
        <w:t>_________________</w:t>
      </w:r>
      <w:r>
        <w:rPr>
          <w:rFonts w:hint="cs"/>
          <w:szCs w:val="16"/>
          <w:rtl/>
        </w:rPr>
        <w:t>________</w:t>
      </w:r>
    </w:p>
    <w:p w:rsidR="00E34EA0" w:rsidRDefault="00E34EA0" w:rsidP="00E34EA0">
      <w:pPr>
        <w:pStyle w:val="Ruller38"/>
        <w:rPr>
          <w:rtl/>
        </w:rPr>
      </w:pPr>
      <w:r>
        <w:rPr>
          <w:sz w:val="16"/>
        </w:rPr>
        <w:t xml:space="preserve">   18080450_E02.docx   </w:t>
      </w:r>
      <w:r>
        <w:rPr>
          <w:sz w:val="16"/>
          <w:rtl/>
        </w:rPr>
        <w:t>עכ</w:t>
      </w:r>
      <w:r>
        <w:rPr>
          <w:rFonts w:hint="cs"/>
          <w:rtl/>
        </w:rPr>
        <w:t>ב</w:t>
      </w:r>
    </w:p>
    <w:p w:rsidR="00E34EA0" w:rsidRDefault="00E34EA0" w:rsidP="00E34EA0">
      <w:pPr>
        <w:pStyle w:val="Ruller38"/>
        <w:rPr>
          <w:rtl/>
        </w:rPr>
      </w:pPr>
      <w:r>
        <w:rPr>
          <w:rtl/>
        </w:rPr>
        <w:t>מרכז מידע, טל'</w:t>
      </w:r>
      <w:r>
        <w:rPr>
          <w:rFonts w:hint="cs"/>
          <w:rtl/>
        </w:rPr>
        <w:t xml:space="preserve"> 077-2703333 ; אתר אינטרנט,  </w:t>
      </w:r>
      <w:hyperlink r:id="rId4" w:history="1">
        <w:r w:rsidRPr="00CB1590">
          <w:rPr>
            <w:rStyle w:val="Hyperlink"/>
            <w:sz w:val="16"/>
          </w:rPr>
          <w:t>http://supreme.court.gov.i</w:t>
        </w:r>
      </w:hyperlink>
      <w:r w:rsidRPr="00CB1590">
        <w:rPr>
          <w:sz w:val="16"/>
        </w:rPr>
        <w:t>l</w:t>
      </w:r>
    </w:p>
    <w:p w:rsidR="00DB0CB5" w:rsidRDefault="00E34EA0">
      <w:bookmarkStart w:id="5" w:name="_GoBack"/>
      <w:bookmarkEnd w:id="5"/>
    </w:p>
    <w:sectPr w:rsidR="00DB0CB5" w:rsidSect="00591983">
      <w:headerReference w:type="even" r:id="rId5"/>
      <w:headerReference w:type="default" r:id="rId6"/>
      <w:footerReference w:type="even" r:id="rId7"/>
      <w:headerReference w:type="first" r:id="rId8"/>
      <w:footerReference w:type="first" r:id="rId9"/>
      <w:endnotePr>
        <w:numFmt w:val="lowerLetter"/>
      </w:endnotePr>
      <w:pgSz w:w="11906" w:h="16838" w:code="9"/>
      <w:pgMar w:top="1134" w:right="1797" w:bottom="1440" w:left="1797" w:header="567" w:footer="397" w:gutter="0"/>
      <w:cols w:space="720"/>
      <w:titlePg/>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TUR">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02" w:rsidRDefault="00E34EA0">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377102" w:rsidRDefault="00E34EA0">
    <w:pPr>
      <w:pStyle w:val="a3"/>
      <w:rPr>
        <w:rtl/>
      </w:rPr>
    </w:pPr>
  </w:p>
  <w:p w:rsidR="00377102" w:rsidRDefault="00E34EA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B4D" w:rsidRPr="00F959DB" w:rsidRDefault="00E34EA0" w:rsidP="00914156">
    <w:pPr>
      <w:pStyle w:val="a3"/>
      <w:bidi w:val="0"/>
      <w:jc w:val="right"/>
      <w:rPr>
        <w:sz w:val="16"/>
        <w:szCs w:val="16"/>
      </w:rPr>
    </w:pPr>
    <w:bookmarkStart w:id="6" w:name="footer_line"/>
    <w:bookmarkEnd w:id="6"/>
  </w:p>
  <w:p w:rsidR="00045B4D" w:rsidRDefault="00E34EA0">
    <w:pPr>
      <w:pStyle w:val="a3"/>
      <w:rPr>
        <w:rtl/>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02" w:rsidRDefault="00E34EA0">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377102" w:rsidRDefault="00E34EA0">
    <w:pPr>
      <w:pStyle w:val="a6"/>
      <w:rPr>
        <w:rtl/>
      </w:rPr>
    </w:pPr>
  </w:p>
  <w:p w:rsidR="00377102" w:rsidRDefault="00E34EA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102" w:rsidRDefault="00E34EA0">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9</w:t>
    </w:r>
    <w:r>
      <w:rPr>
        <w:rStyle w:val="a5"/>
        <w:rtl/>
      </w:rPr>
      <w:fldChar w:fldCharType="end"/>
    </w:r>
  </w:p>
  <w:p w:rsidR="00377102" w:rsidRDefault="00E34EA0">
    <w:pPr>
      <w:pStyle w:val="a6"/>
      <w:rPr>
        <w:rtl/>
      </w:rPr>
    </w:pPr>
  </w:p>
  <w:p w:rsidR="00377102" w:rsidRDefault="00E34EA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8363" w:type="dxa"/>
      <w:tblLook w:val="0000" w:firstRow="0" w:lastRow="0" w:firstColumn="0" w:lastColumn="0" w:noHBand="0" w:noVBand="0"/>
    </w:tblPr>
    <w:tblGrid>
      <w:gridCol w:w="8363"/>
    </w:tblGrid>
    <w:tr w:rsidR="00045B4D" w:rsidTr="00EC23AC">
      <w:trPr>
        <w:trHeight w:val="342"/>
      </w:trPr>
      <w:tc>
        <w:tcPr>
          <w:tcW w:w="9828" w:type="dxa"/>
        </w:tcPr>
        <w:p w:rsidR="00377102" w:rsidRPr="002F7BB6" w:rsidRDefault="00E34EA0" w:rsidP="00045B4D">
          <w:pPr>
            <w:pStyle w:val="Casenameintextbody"/>
            <w:jc w:val="center"/>
            <w:rPr>
              <w:u w:val="none"/>
              <w:rtl/>
            </w:rPr>
          </w:pPr>
          <w:r w:rsidRPr="002F7BB6">
            <w:rPr>
              <w:noProof/>
              <w:sz w:val="16"/>
              <w:szCs w:val="18"/>
              <w:u w:val="none"/>
              <w:rtl/>
            </w:rPr>
            <w:drawing>
              <wp:inline distT="0" distB="0" distL="0" distR="0" wp14:anchorId="508F3304" wp14:editId="20A4F50D">
                <wp:extent cx="464820" cy="4495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49580"/>
                        </a:xfrm>
                        <a:prstGeom prst="rect">
                          <a:avLst/>
                        </a:prstGeom>
                        <a:noFill/>
                        <a:ln>
                          <a:noFill/>
                        </a:ln>
                      </pic:spPr>
                    </pic:pic>
                  </a:graphicData>
                </a:graphic>
              </wp:inline>
            </w:drawing>
          </w:r>
        </w:p>
      </w:tc>
    </w:tr>
  </w:tbl>
  <w:p w:rsidR="00045B4D" w:rsidRDefault="00E34EA0" w:rsidP="00045B4D">
    <w:pPr>
      <w:pStyle w:val="a6"/>
      <w:jc w:val="center"/>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EA0"/>
    <w:rsid w:val="00E34EA0"/>
    <w:rsid w:val="00E97A3C"/>
    <w:rsid w:val="00F01C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9E7AD-8F6F-437F-9A11-7A2593AC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EA0"/>
    <w:pPr>
      <w:overflowPunct w:val="0"/>
      <w:autoSpaceDE w:val="0"/>
      <w:autoSpaceDN w:val="0"/>
      <w:bidi/>
      <w:adjustRightInd w:val="0"/>
      <w:spacing w:after="0" w:line="240" w:lineRule="auto"/>
      <w:textAlignment w:val="baseline"/>
    </w:pPr>
    <w:rPr>
      <w:rFonts w:ascii="Times New Roman" w:eastAsia="Times New Roman" w:hAnsi="Times New Roman" w:cs="David"/>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rsid w:val="00E34EA0"/>
    <w:pPr>
      <w:tabs>
        <w:tab w:val="left" w:pos="3210"/>
        <w:tab w:val="left" w:pos="6753"/>
      </w:tabs>
      <w:spacing w:line="360" w:lineRule="auto"/>
    </w:pPr>
    <w:rPr>
      <w:rFonts w:cs="FrankRuehl"/>
      <w:spacing w:val="10"/>
      <w:sz w:val="22"/>
      <w:szCs w:val="28"/>
    </w:rPr>
  </w:style>
  <w:style w:type="paragraph" w:customStyle="1" w:styleId="FileNumber">
    <w:name w:val="File Number"/>
    <w:basedOn w:val="a"/>
    <w:rsid w:val="00E34EA0"/>
    <w:pPr>
      <w:spacing w:line="360" w:lineRule="auto"/>
      <w:jc w:val="right"/>
    </w:pPr>
    <w:rPr>
      <w:bCs/>
    </w:rPr>
  </w:style>
  <w:style w:type="paragraph" w:customStyle="1" w:styleId="DocumentHead">
    <w:name w:val="Document Head"/>
    <w:basedOn w:val="a"/>
    <w:rsid w:val="00E34EA0"/>
    <w:pPr>
      <w:spacing w:line="360" w:lineRule="auto"/>
      <w:jc w:val="center"/>
    </w:pPr>
    <w:rPr>
      <w:bCs/>
      <w:spacing w:val="30"/>
      <w:szCs w:val="28"/>
      <w:u w:val="single"/>
    </w:rPr>
  </w:style>
  <w:style w:type="paragraph" w:customStyle="1" w:styleId="Ruller4">
    <w:name w:val="Ruller4"/>
    <w:basedOn w:val="a"/>
    <w:link w:val="Ruller40"/>
    <w:rsid w:val="00E34EA0"/>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rsid w:val="00E34EA0"/>
    <w:pPr>
      <w:ind w:left="1642" w:right="1282"/>
      <w:jc w:val="both"/>
    </w:pPr>
    <w:rPr>
      <w:rFonts w:ascii="Arial TUR" w:hAnsi="Arial TUR" w:cs="FrankRuehl"/>
      <w:spacing w:val="10"/>
      <w:sz w:val="22"/>
      <w:szCs w:val="28"/>
    </w:rPr>
  </w:style>
  <w:style w:type="paragraph" w:styleId="a3">
    <w:name w:val="footer"/>
    <w:basedOn w:val="a"/>
    <w:link w:val="a4"/>
    <w:rsid w:val="00E34EA0"/>
    <w:pPr>
      <w:tabs>
        <w:tab w:val="center" w:pos="4153"/>
        <w:tab w:val="right" w:pos="8306"/>
      </w:tabs>
    </w:pPr>
  </w:style>
  <w:style w:type="character" w:customStyle="1" w:styleId="a4">
    <w:name w:val="כותרת תחתונה תו"/>
    <w:basedOn w:val="a0"/>
    <w:link w:val="a3"/>
    <w:rsid w:val="00E34EA0"/>
    <w:rPr>
      <w:rFonts w:ascii="Times New Roman" w:eastAsia="Times New Roman" w:hAnsi="Times New Roman" w:cs="David"/>
      <w:sz w:val="20"/>
      <w:szCs w:val="24"/>
    </w:rPr>
  </w:style>
  <w:style w:type="character" w:styleId="a5">
    <w:name w:val="page number"/>
    <w:basedOn w:val="a0"/>
    <w:rsid w:val="00E34EA0"/>
  </w:style>
  <w:style w:type="paragraph" w:styleId="a6">
    <w:name w:val="header"/>
    <w:basedOn w:val="a"/>
    <w:link w:val="a7"/>
    <w:rsid w:val="00E34EA0"/>
    <w:pPr>
      <w:tabs>
        <w:tab w:val="center" w:pos="4153"/>
        <w:tab w:val="right" w:pos="8306"/>
      </w:tabs>
    </w:pPr>
  </w:style>
  <w:style w:type="character" w:customStyle="1" w:styleId="a7">
    <w:name w:val="כותרת עליונה תו"/>
    <w:basedOn w:val="a0"/>
    <w:link w:val="a6"/>
    <w:rsid w:val="00E34EA0"/>
    <w:rPr>
      <w:rFonts w:ascii="Times New Roman" w:eastAsia="Times New Roman" w:hAnsi="Times New Roman" w:cs="David"/>
      <w:sz w:val="20"/>
      <w:szCs w:val="24"/>
    </w:rPr>
  </w:style>
  <w:style w:type="paragraph" w:customStyle="1" w:styleId="Casenameintextbody">
    <w:name w:val="Case name in text body"/>
    <w:basedOn w:val="a"/>
    <w:rsid w:val="00E34EA0"/>
    <w:pPr>
      <w:overflowPunct/>
      <w:jc w:val="right"/>
      <w:textAlignment w:val="auto"/>
    </w:pPr>
    <w:rPr>
      <w:rFonts w:cs="Times New Roman"/>
      <w:b/>
      <w:bCs/>
      <w:u w:val="single"/>
    </w:rPr>
  </w:style>
  <w:style w:type="paragraph" w:customStyle="1" w:styleId="BodyRuller">
    <w:name w:val="Body Ruller"/>
    <w:basedOn w:val="a"/>
    <w:rsid w:val="00E34EA0"/>
    <w:rPr>
      <w:sz w:val="22"/>
      <w:szCs w:val="28"/>
    </w:rPr>
  </w:style>
  <w:style w:type="paragraph" w:customStyle="1" w:styleId="Ruller38">
    <w:name w:val="סגנון Ruller 3 + (מורכב) ‏8 נק"/>
    <w:basedOn w:val="BodyRuller"/>
    <w:rsid w:val="00E34EA0"/>
    <w:rPr>
      <w:szCs w:val="16"/>
    </w:rPr>
  </w:style>
  <w:style w:type="paragraph" w:customStyle="1" w:styleId="FileNumber0">
    <w:name w:val="סגנון File Number + ימין"/>
    <w:basedOn w:val="FileNumber"/>
    <w:rsid w:val="00E34EA0"/>
    <w:pPr>
      <w:jc w:val="left"/>
    </w:pPr>
    <w:rPr>
      <w:szCs w:val="28"/>
    </w:rPr>
  </w:style>
  <w:style w:type="paragraph" w:customStyle="1" w:styleId="BODYVERDICT">
    <w:name w:val="BODY VERDICT"/>
    <w:basedOn w:val="a"/>
    <w:rsid w:val="00E34EA0"/>
    <w:rPr>
      <w:rFonts w:cs="FrankRuehl"/>
      <w:spacing w:val="10"/>
      <w:sz w:val="22"/>
      <w:szCs w:val="28"/>
    </w:rPr>
  </w:style>
  <w:style w:type="character" w:styleId="Hyperlink">
    <w:name w:val="Hyperlink"/>
    <w:rsid w:val="00E34EA0"/>
    <w:rPr>
      <w:color w:val="0000FF"/>
      <w:u w:val="single"/>
    </w:rPr>
  </w:style>
  <w:style w:type="paragraph" w:customStyle="1" w:styleId="Ruller41">
    <w:name w:val="Ruller 4 ממוספר"/>
    <w:basedOn w:val="a"/>
    <w:next w:val="a"/>
    <w:rsid w:val="00E34EA0"/>
    <w:pPr>
      <w:tabs>
        <w:tab w:val="left" w:pos="800"/>
      </w:tabs>
      <w:spacing w:line="360" w:lineRule="auto"/>
      <w:jc w:val="both"/>
      <w:textAlignment w:val="auto"/>
    </w:pPr>
    <w:rPr>
      <w:rFonts w:ascii="Garamond" w:hAnsi="Garamond" w:cs="FrankRuehl"/>
      <w:spacing w:val="10"/>
      <w:sz w:val="24"/>
      <w:szCs w:val="28"/>
    </w:rPr>
  </w:style>
  <w:style w:type="character" w:customStyle="1" w:styleId="default">
    <w:name w:val="default"/>
    <w:rsid w:val="00E34EA0"/>
    <w:rPr>
      <w:rFonts w:ascii="Times New Roman" w:hAnsi="Times New Roman" w:cs="Times New Roman" w:hint="default"/>
      <w:sz w:val="20"/>
      <w:szCs w:val="26"/>
    </w:rPr>
  </w:style>
  <w:style w:type="character" w:customStyle="1" w:styleId="Ruller40">
    <w:name w:val="Ruller4 תו"/>
    <w:link w:val="Ruller4"/>
    <w:locked/>
    <w:rsid w:val="00E34EA0"/>
    <w:rPr>
      <w:rFonts w:ascii="Arial TUR" w:eastAsia="Times New Roman" w:hAnsi="Arial TUR" w:cs="FrankRuehl"/>
      <w:spacing w:val="1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hyperlink" Target="http://supreme.court.gov.il/" TargetMode="Externa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2331</Words>
  <Characters>11660</Characters>
  <Application>Microsoft Office Word</Application>
  <DocSecurity>0</DocSecurity>
  <Lines>97</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oded-a</dc:creator>
  <cp:keywords/>
  <dc:description/>
  <cp:lastModifiedBy>oded-a</cp:lastModifiedBy>
  <cp:revision>1</cp:revision>
  <dcterms:created xsi:type="dcterms:W3CDTF">2019-03-13T07:12:00Z</dcterms:created>
  <dcterms:modified xsi:type="dcterms:W3CDTF">2019-03-13T07:13:00Z</dcterms:modified>
</cp:coreProperties>
</file>