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4A0" w:firstRow="1" w:lastRow="0" w:firstColumn="1" w:lastColumn="0" w:noHBand="0" w:noVBand="1"/>
      </w:tblPr>
      <w:tblGrid>
        <w:gridCol w:w="8307"/>
      </w:tblGrid>
      <w:tr w:rsidR="00BE72B9" w14:paraId="1376BC73" w14:textId="77777777" w:rsidTr="00E03354">
        <w:trPr>
          <w:trHeight w:val="624"/>
          <w:jc w:val="center"/>
        </w:trPr>
        <w:tc>
          <w:tcPr>
            <w:tcW w:w="8307" w:type="dxa"/>
          </w:tcPr>
          <w:p w14:paraId="32A23277" w14:textId="77777777" w:rsidR="00E03354" w:rsidRPr="002F4E9F" w:rsidRDefault="00000000" w:rsidP="0073718B">
            <w:pPr>
              <w:pStyle w:val="a5"/>
              <w:jc w:val="center"/>
              <w:rPr>
                <w:rFonts w:ascii="Tahoma" w:hAnsi="Tahoma"/>
                <w:b/>
                <w:bCs/>
                <w:sz w:val="28"/>
                <w:szCs w:val="28"/>
              </w:rPr>
            </w:pPr>
            <w:bookmarkStart w:id="0" w:name="LastJudge"/>
            <w:r w:rsidRPr="002F4E9F">
              <w:rPr>
                <w:rFonts w:ascii="Tahoma" w:hAnsi="Tahoma"/>
                <w:b/>
                <w:bCs/>
                <w:sz w:val="28"/>
                <w:szCs w:val="28"/>
                <w:rtl/>
              </w:rPr>
              <w:t>בבית המשפט העליון בשבתו כבית משפט לערעורים אזרחיים</w:t>
            </w:r>
          </w:p>
        </w:tc>
      </w:tr>
    </w:tbl>
    <w:p w14:paraId="4D284A9D" w14:textId="77777777" w:rsidR="00E03354" w:rsidRPr="002F4E9F" w:rsidRDefault="00000000" w:rsidP="00E03354">
      <w:pPr>
        <w:pStyle w:val="a5"/>
        <w:jc w:val="right"/>
        <w:rPr>
          <w:rFonts w:ascii="David" w:hAnsi="David"/>
          <w:b/>
          <w:bCs/>
          <w:sz w:val="28"/>
          <w:szCs w:val="28"/>
        </w:rPr>
      </w:pPr>
      <w:r w:rsidRPr="002F4E9F">
        <w:rPr>
          <w:rtl/>
        </w:rPr>
        <w:t xml:space="preserve"> </w:t>
      </w:r>
      <w:r w:rsidRPr="002F4E9F">
        <w:rPr>
          <w:rFonts w:ascii="David" w:hAnsi="David"/>
          <w:b/>
          <w:bCs/>
          <w:sz w:val="28"/>
          <w:szCs w:val="28"/>
          <w:rtl/>
        </w:rPr>
        <w:t xml:space="preserve">רע"א </w:t>
      </w:r>
      <w:r w:rsidRPr="002F4E9F">
        <w:rPr>
          <w:rFonts w:ascii="David" w:hAnsi="David"/>
          <w:b/>
          <w:bCs/>
          <w:sz w:val="28"/>
          <w:szCs w:val="28"/>
        </w:rPr>
        <w:t>7708/23</w:t>
      </w:r>
    </w:p>
    <w:p w14:paraId="1DC343C7" w14:textId="77777777" w:rsidR="00E03354" w:rsidRPr="002F4E9F" w:rsidRDefault="00E03354" w:rsidP="00E03354">
      <w:pPr>
        <w:suppressLineNumbers/>
        <w:jc w:val="right"/>
        <w:rPr>
          <w:noProof/>
          <w:rtl/>
        </w:rPr>
      </w:pPr>
    </w:p>
    <w:tbl>
      <w:tblPr>
        <w:bidiVisual/>
        <w:tblW w:w="8348" w:type="dxa"/>
        <w:jc w:val="center"/>
        <w:tblLook w:val="01E0" w:firstRow="1" w:lastRow="1" w:firstColumn="1" w:lastColumn="1" w:noHBand="0" w:noVBand="0"/>
      </w:tblPr>
      <w:tblGrid>
        <w:gridCol w:w="3096"/>
        <w:gridCol w:w="5252"/>
      </w:tblGrid>
      <w:tr w:rsidR="00BE72B9" w14:paraId="4CF06570" w14:textId="77777777" w:rsidTr="002F4E9F">
        <w:trPr>
          <w:trHeight w:val="295"/>
          <w:jc w:val="center"/>
        </w:trPr>
        <w:tc>
          <w:tcPr>
            <w:tcW w:w="8348" w:type="dxa"/>
            <w:gridSpan w:val="2"/>
            <w:shd w:val="clear" w:color="auto" w:fill="auto"/>
          </w:tcPr>
          <w:p w14:paraId="670BDB7E" w14:textId="77777777" w:rsidR="00E03354" w:rsidRPr="002F4E9F" w:rsidRDefault="00000000" w:rsidP="002F4E9F">
            <w:pPr>
              <w:suppressLineNumbers/>
              <w:rPr>
                <w:rFonts w:ascii="Arial" w:hAnsi="Arial"/>
                <w:sz w:val="28"/>
                <w:szCs w:val="28"/>
                <w:rtl/>
              </w:rPr>
            </w:pPr>
            <w:r w:rsidRPr="002F4E9F">
              <w:rPr>
                <w:rtl/>
              </w:rPr>
              <w:t xml:space="preserve"> </w:t>
            </w:r>
          </w:p>
        </w:tc>
      </w:tr>
      <w:tr w:rsidR="00BE72B9" w14:paraId="6A7F98DF" w14:textId="77777777" w:rsidTr="002F4E9F">
        <w:trPr>
          <w:jc w:val="center"/>
        </w:trPr>
        <w:tc>
          <w:tcPr>
            <w:tcW w:w="3096" w:type="dxa"/>
            <w:shd w:val="clear" w:color="auto" w:fill="auto"/>
          </w:tcPr>
          <w:p w14:paraId="3D704C69" w14:textId="77777777" w:rsidR="00E03354" w:rsidRPr="002F4E9F" w:rsidRDefault="00000000" w:rsidP="002F4E9F">
            <w:pPr>
              <w:suppressLineNumbers/>
              <w:ind w:right="-295"/>
              <w:rPr>
                <w:rFonts w:ascii="David" w:hAnsi="David"/>
                <w:noProof/>
                <w:sz w:val="28"/>
                <w:szCs w:val="28"/>
                <w:rtl/>
              </w:rPr>
            </w:pPr>
            <w:r w:rsidRPr="002F4E9F">
              <w:rPr>
                <w:rFonts w:ascii="David" w:hAnsi="David"/>
                <w:sz w:val="28"/>
                <w:szCs w:val="28"/>
                <w:rtl/>
              </w:rPr>
              <w:t>לפני:</w:t>
            </w:r>
          </w:p>
        </w:tc>
        <w:tc>
          <w:tcPr>
            <w:tcW w:w="5252" w:type="dxa"/>
            <w:shd w:val="clear" w:color="auto" w:fill="auto"/>
          </w:tcPr>
          <w:p w14:paraId="18302001" w14:textId="77777777" w:rsidR="00E03354" w:rsidRPr="002F4E9F" w:rsidRDefault="00000000" w:rsidP="002F4E9F">
            <w:pPr>
              <w:suppressLineNumbers/>
              <w:rPr>
                <w:rFonts w:ascii="David" w:hAnsi="David"/>
                <w:sz w:val="28"/>
                <w:szCs w:val="28"/>
                <w:rtl/>
              </w:rPr>
            </w:pPr>
            <w:bookmarkStart w:id="1" w:name="_Hlk178193157"/>
            <w:r w:rsidRPr="002F4E9F">
              <w:rPr>
                <w:rFonts w:ascii="David" w:hAnsi="David"/>
                <w:sz w:val="28"/>
                <w:szCs w:val="28"/>
                <w:rtl/>
              </w:rPr>
              <w:t>כבוד השופט דוד מינץ</w:t>
            </w:r>
          </w:p>
          <w:p w14:paraId="09488143"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כבוד השופט עופר גרוסקופף</w:t>
            </w:r>
          </w:p>
          <w:p w14:paraId="3D9391F9"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כבוד השופט חאלד כבוב</w:t>
            </w:r>
          </w:p>
          <w:bookmarkEnd w:id="1"/>
          <w:p w14:paraId="6153E4DB" w14:textId="77777777" w:rsidR="00E03354" w:rsidRPr="002F4E9F" w:rsidRDefault="00E03354" w:rsidP="002F4E9F">
            <w:pPr>
              <w:suppressLineNumbers/>
              <w:rPr>
                <w:rFonts w:ascii="David" w:hAnsi="David"/>
                <w:sz w:val="28"/>
                <w:szCs w:val="28"/>
                <w:rtl/>
              </w:rPr>
            </w:pPr>
          </w:p>
        </w:tc>
      </w:tr>
      <w:tr w:rsidR="00BE72B9" w14:paraId="5C0B646E" w14:textId="77777777" w:rsidTr="002F4E9F">
        <w:trPr>
          <w:jc w:val="center"/>
        </w:trPr>
        <w:tc>
          <w:tcPr>
            <w:tcW w:w="3096" w:type="dxa"/>
            <w:shd w:val="clear" w:color="auto" w:fill="auto"/>
          </w:tcPr>
          <w:p w14:paraId="3C1891C2" w14:textId="77777777" w:rsidR="00E03354" w:rsidRPr="002F4E9F" w:rsidRDefault="00000000" w:rsidP="002F4E9F">
            <w:pPr>
              <w:suppressLineNumbers/>
              <w:rPr>
                <w:rFonts w:ascii="David" w:hAnsi="David"/>
                <w:sz w:val="28"/>
                <w:szCs w:val="28"/>
                <w:rtl/>
              </w:rPr>
            </w:pPr>
            <w:bookmarkStart w:id="2" w:name="FirstAppellant"/>
            <w:r w:rsidRPr="002F4E9F">
              <w:rPr>
                <w:rFonts w:ascii="David" w:hAnsi="David"/>
                <w:sz w:val="28"/>
                <w:szCs w:val="28"/>
                <w:rtl/>
              </w:rPr>
              <w:t>המבקשות:</w:t>
            </w:r>
          </w:p>
        </w:tc>
        <w:tc>
          <w:tcPr>
            <w:tcW w:w="5252" w:type="dxa"/>
            <w:shd w:val="clear" w:color="auto" w:fill="auto"/>
          </w:tcPr>
          <w:p w14:paraId="159C84CA" w14:textId="77777777" w:rsidR="00E03354" w:rsidRPr="002F4E9F" w:rsidRDefault="00000000" w:rsidP="002F4E9F">
            <w:pPr>
              <w:suppressLineNumbers/>
              <w:rPr>
                <w:rFonts w:ascii="David" w:hAnsi="David"/>
                <w:sz w:val="28"/>
                <w:szCs w:val="28"/>
              </w:rPr>
            </w:pPr>
            <w:r w:rsidRPr="002F4E9F">
              <w:rPr>
                <w:rFonts w:ascii="David" w:hAnsi="David"/>
                <w:sz w:val="28"/>
                <w:szCs w:val="28"/>
                <w:rtl/>
              </w:rPr>
              <w:t>1. גוליבר אנרג'י בע"מ</w:t>
            </w:r>
          </w:p>
          <w:p w14:paraId="309EED89"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2. גינקו חיפושי נפט בע"מ</w:t>
            </w:r>
          </w:p>
        </w:tc>
      </w:tr>
      <w:bookmarkEnd w:id="2"/>
      <w:tr w:rsidR="00BE72B9" w14:paraId="7B8F26D5" w14:textId="77777777" w:rsidTr="002F4E9F">
        <w:trPr>
          <w:jc w:val="center"/>
        </w:trPr>
        <w:tc>
          <w:tcPr>
            <w:tcW w:w="8348" w:type="dxa"/>
            <w:gridSpan w:val="2"/>
            <w:shd w:val="clear" w:color="auto" w:fill="auto"/>
          </w:tcPr>
          <w:p w14:paraId="3C18AAA0" w14:textId="77777777" w:rsidR="00E03354" w:rsidRPr="002F4E9F" w:rsidRDefault="00E03354" w:rsidP="002F4E9F">
            <w:pPr>
              <w:suppressLineNumbers/>
              <w:jc w:val="right"/>
              <w:rPr>
                <w:rFonts w:ascii="David" w:hAnsi="David"/>
                <w:sz w:val="28"/>
                <w:szCs w:val="28"/>
              </w:rPr>
            </w:pPr>
          </w:p>
          <w:p w14:paraId="19568DB9" w14:textId="77777777" w:rsidR="00E03354" w:rsidRPr="002F4E9F" w:rsidRDefault="00000000" w:rsidP="002F4E9F">
            <w:pPr>
              <w:suppressLineNumbers/>
              <w:ind w:left="2880"/>
              <w:rPr>
                <w:rFonts w:ascii="David" w:hAnsi="David"/>
                <w:spacing w:val="40"/>
                <w:sz w:val="28"/>
                <w:szCs w:val="28"/>
              </w:rPr>
            </w:pPr>
            <w:r w:rsidRPr="002F4E9F">
              <w:rPr>
                <w:rFonts w:ascii="David" w:hAnsi="David"/>
                <w:spacing w:val="40"/>
                <w:sz w:val="28"/>
                <w:szCs w:val="28"/>
                <w:rtl/>
              </w:rPr>
              <w:t xml:space="preserve">  נגד</w:t>
            </w:r>
          </w:p>
          <w:p w14:paraId="2887C4A1" w14:textId="77777777" w:rsidR="00E03354" w:rsidRPr="002F4E9F" w:rsidRDefault="00E03354" w:rsidP="002F4E9F">
            <w:pPr>
              <w:suppressLineNumbers/>
              <w:jc w:val="right"/>
              <w:rPr>
                <w:rFonts w:ascii="David" w:hAnsi="David"/>
                <w:sz w:val="28"/>
                <w:szCs w:val="28"/>
                <w:rtl/>
              </w:rPr>
            </w:pPr>
          </w:p>
        </w:tc>
      </w:tr>
      <w:tr w:rsidR="00BE72B9" w14:paraId="0D404D9D" w14:textId="77777777" w:rsidTr="002F4E9F">
        <w:trPr>
          <w:jc w:val="center"/>
        </w:trPr>
        <w:tc>
          <w:tcPr>
            <w:tcW w:w="3096" w:type="dxa"/>
            <w:shd w:val="clear" w:color="auto" w:fill="auto"/>
          </w:tcPr>
          <w:p w14:paraId="3DD1AB1F"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המשיבים:</w:t>
            </w:r>
          </w:p>
        </w:tc>
        <w:tc>
          <w:tcPr>
            <w:tcW w:w="5252" w:type="dxa"/>
            <w:shd w:val="clear" w:color="auto" w:fill="auto"/>
          </w:tcPr>
          <w:p w14:paraId="2F9E93E9" w14:textId="77777777" w:rsidR="00E03354" w:rsidRPr="002F4E9F" w:rsidRDefault="00000000" w:rsidP="002F4E9F">
            <w:pPr>
              <w:suppressLineNumbers/>
              <w:rPr>
                <w:rFonts w:ascii="David" w:hAnsi="David"/>
                <w:sz w:val="28"/>
                <w:szCs w:val="28"/>
              </w:rPr>
            </w:pPr>
            <w:r w:rsidRPr="002F4E9F">
              <w:rPr>
                <w:rFonts w:ascii="David" w:hAnsi="David"/>
                <w:sz w:val="28"/>
                <w:szCs w:val="28"/>
                <w:rtl/>
              </w:rPr>
              <w:t>1. עו"ד ליהי בלומנפלד - מנהלת ההסדר לחברות</w:t>
            </w:r>
          </w:p>
          <w:p w14:paraId="719D2EB4" w14:textId="77777777" w:rsidR="00E03354" w:rsidRPr="002F4E9F" w:rsidRDefault="00000000" w:rsidP="002F4E9F">
            <w:pPr>
              <w:suppressLineNumbers/>
              <w:rPr>
                <w:rFonts w:ascii="David" w:hAnsi="David"/>
                <w:sz w:val="28"/>
                <w:szCs w:val="28"/>
              </w:rPr>
            </w:pPr>
            <w:r w:rsidRPr="002F4E9F">
              <w:rPr>
                <w:rFonts w:ascii="David" w:hAnsi="David"/>
                <w:sz w:val="28"/>
                <w:szCs w:val="28"/>
                <w:rtl/>
              </w:rPr>
              <w:t>2. חברת קנדרה (ישראל) בע"מ</w:t>
            </w:r>
          </w:p>
          <w:p w14:paraId="3615A029"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3. שלמה דהוקי</w:t>
            </w:r>
          </w:p>
          <w:p w14:paraId="76AE069B" w14:textId="77777777" w:rsidR="00E03354" w:rsidRPr="002F4E9F" w:rsidRDefault="00000000" w:rsidP="002F4E9F">
            <w:pPr>
              <w:suppressLineNumbers/>
              <w:rPr>
                <w:rFonts w:ascii="David" w:hAnsi="David"/>
                <w:sz w:val="28"/>
                <w:szCs w:val="28"/>
                <w:rtl/>
              </w:rPr>
            </w:pPr>
            <w:r w:rsidRPr="002F4E9F">
              <w:rPr>
                <w:rFonts w:ascii="David" w:hAnsi="David"/>
                <w:sz w:val="28"/>
                <w:szCs w:val="28"/>
                <w:rtl/>
              </w:rPr>
              <w:t>4. הממונה על הליכי חדלות פרעון ושיקום כלכלי - מחוז ת"א</w:t>
            </w:r>
          </w:p>
        </w:tc>
      </w:tr>
      <w:tr w:rsidR="00BE72B9" w14:paraId="0FEBEAA8" w14:textId="77777777" w:rsidTr="002F4E9F">
        <w:trPr>
          <w:jc w:val="center"/>
        </w:trPr>
        <w:tc>
          <w:tcPr>
            <w:tcW w:w="3096" w:type="dxa"/>
            <w:shd w:val="clear" w:color="auto" w:fill="auto"/>
          </w:tcPr>
          <w:p w14:paraId="76EE49B0" w14:textId="77777777" w:rsidR="00E03354" w:rsidRPr="002F4E9F" w:rsidRDefault="00E03354" w:rsidP="002F4E9F">
            <w:pPr>
              <w:suppressLineNumbers/>
              <w:jc w:val="right"/>
              <w:rPr>
                <w:rFonts w:ascii="David" w:hAnsi="David"/>
                <w:sz w:val="28"/>
                <w:szCs w:val="28"/>
                <w:rtl/>
              </w:rPr>
            </w:pPr>
          </w:p>
        </w:tc>
        <w:tc>
          <w:tcPr>
            <w:tcW w:w="5252" w:type="dxa"/>
            <w:shd w:val="clear" w:color="auto" w:fill="auto"/>
          </w:tcPr>
          <w:p w14:paraId="2E8DD3FC" w14:textId="77777777" w:rsidR="00E03354" w:rsidRPr="002F4E9F" w:rsidRDefault="00E03354" w:rsidP="002F4E9F">
            <w:pPr>
              <w:suppressLineNumbers/>
              <w:jc w:val="right"/>
              <w:rPr>
                <w:rFonts w:ascii="David" w:hAnsi="David"/>
                <w:rtl/>
              </w:rPr>
            </w:pPr>
          </w:p>
          <w:p w14:paraId="120A2585" w14:textId="77777777" w:rsidR="00E03354" w:rsidRPr="002F4E9F" w:rsidRDefault="00000000" w:rsidP="002F4E9F">
            <w:pPr>
              <w:suppressLineNumbers/>
              <w:jc w:val="both"/>
              <w:rPr>
                <w:rFonts w:ascii="David" w:hAnsi="David"/>
                <w:rtl/>
              </w:rPr>
            </w:pPr>
            <w:r w:rsidRPr="002F4E9F">
              <w:rPr>
                <w:rFonts w:ascii="David" w:hAnsi="David"/>
                <w:rtl/>
              </w:rPr>
              <w:t>בקשת רשות ערעור על החלטת בית המשפט המחוזי בתל אביב-יפו מיום 19.8.2023 ב</w:t>
            </w:r>
            <w:hyperlink r:id="rId7" w:history="1">
              <w:r w:rsidR="002F4E9F" w:rsidRPr="002F4E9F">
                <w:rPr>
                  <w:rFonts w:ascii="David" w:hAnsi="David"/>
                  <w:color w:val="0000FF"/>
                  <w:u w:val="single"/>
                  <w:rtl/>
                </w:rPr>
                <w:t>חדל"ת 13662-03-21</w:t>
              </w:r>
            </w:hyperlink>
            <w:r w:rsidRPr="002F4E9F">
              <w:rPr>
                <w:rFonts w:ascii="David" w:hAnsi="David"/>
                <w:rtl/>
              </w:rPr>
              <w:t xml:space="preserve"> </w:t>
            </w:r>
            <w:r w:rsidR="00D0217A">
              <w:rPr>
                <w:rFonts w:ascii="David" w:hAnsi="David" w:hint="cs"/>
                <w:rtl/>
              </w:rPr>
              <w:t xml:space="preserve">[נבו] </w:t>
            </w:r>
            <w:r w:rsidRPr="002F4E9F">
              <w:rPr>
                <w:rFonts w:ascii="David" w:hAnsi="David"/>
                <w:rtl/>
              </w:rPr>
              <w:t>וב</w:t>
            </w:r>
            <w:hyperlink r:id="rId8" w:history="1">
              <w:r w:rsidR="002F4E9F" w:rsidRPr="002F4E9F">
                <w:rPr>
                  <w:rFonts w:ascii="David" w:hAnsi="David"/>
                  <w:color w:val="0000FF"/>
                  <w:u w:val="single"/>
                  <w:rtl/>
                </w:rPr>
                <w:t>חדל"ת 51762-04-21</w:t>
              </w:r>
            </w:hyperlink>
            <w:r w:rsidRPr="002F4E9F">
              <w:rPr>
                <w:rFonts w:ascii="David" w:hAnsi="David"/>
                <w:rtl/>
              </w:rPr>
              <w:t xml:space="preserve"> על ידי כבוד השופטת איריס לושי-עבודי</w:t>
            </w:r>
          </w:p>
          <w:p w14:paraId="2A4E10EC" w14:textId="77777777" w:rsidR="00E03354" w:rsidRPr="002F4E9F" w:rsidRDefault="00E03354" w:rsidP="002F4E9F">
            <w:pPr>
              <w:suppressLineNumbers/>
              <w:jc w:val="right"/>
              <w:rPr>
                <w:rFonts w:ascii="David" w:hAnsi="David"/>
                <w:sz w:val="28"/>
                <w:szCs w:val="28"/>
                <w:rtl/>
              </w:rPr>
            </w:pPr>
          </w:p>
        </w:tc>
      </w:tr>
      <w:tr w:rsidR="00BE72B9" w14:paraId="34CC4B34" w14:textId="77777777" w:rsidTr="002F4E9F">
        <w:trPr>
          <w:jc w:val="center"/>
        </w:trPr>
        <w:tc>
          <w:tcPr>
            <w:tcW w:w="3096" w:type="dxa"/>
            <w:shd w:val="clear" w:color="auto" w:fill="auto"/>
          </w:tcPr>
          <w:p w14:paraId="6895D5FE" w14:textId="77777777" w:rsidR="00E03354" w:rsidRPr="002F4E9F" w:rsidRDefault="00000000" w:rsidP="002F4E9F">
            <w:pPr>
              <w:suppressLineNumbers/>
              <w:spacing w:line="360" w:lineRule="auto"/>
              <w:rPr>
                <w:rFonts w:ascii="David" w:hAnsi="David"/>
                <w:noProof/>
                <w:sz w:val="28"/>
                <w:szCs w:val="28"/>
                <w:rtl/>
              </w:rPr>
            </w:pPr>
            <w:r w:rsidRPr="002F4E9F">
              <w:rPr>
                <w:rFonts w:ascii="David" w:hAnsi="David"/>
                <w:sz w:val="28"/>
                <w:szCs w:val="28"/>
                <w:rtl/>
              </w:rPr>
              <w:t>בשם המבקשות:</w:t>
            </w:r>
          </w:p>
        </w:tc>
        <w:tc>
          <w:tcPr>
            <w:tcW w:w="5252" w:type="dxa"/>
            <w:shd w:val="clear" w:color="auto" w:fill="auto"/>
          </w:tcPr>
          <w:p w14:paraId="573F5C7F" w14:textId="77777777" w:rsidR="00E03354" w:rsidRPr="002F4E9F" w:rsidRDefault="00000000" w:rsidP="002F4E9F">
            <w:pPr>
              <w:suppressLineNumbers/>
              <w:spacing w:line="360" w:lineRule="auto"/>
              <w:rPr>
                <w:rFonts w:ascii="David" w:hAnsi="David"/>
                <w:sz w:val="28"/>
                <w:szCs w:val="28"/>
              </w:rPr>
            </w:pPr>
            <w:r w:rsidRPr="002F4E9F">
              <w:rPr>
                <w:rFonts w:ascii="David" w:hAnsi="David"/>
                <w:sz w:val="28"/>
                <w:szCs w:val="28"/>
                <w:rtl/>
              </w:rPr>
              <w:t>עו"ד רפי שפירא; עו"ד יוסף חסיד</w:t>
            </w:r>
          </w:p>
        </w:tc>
      </w:tr>
      <w:tr w:rsidR="00BE72B9" w14:paraId="7E1C79FA" w14:textId="77777777" w:rsidTr="002F4E9F">
        <w:trPr>
          <w:jc w:val="center"/>
        </w:trPr>
        <w:tc>
          <w:tcPr>
            <w:tcW w:w="3096" w:type="dxa"/>
            <w:shd w:val="clear" w:color="auto" w:fill="auto"/>
          </w:tcPr>
          <w:p w14:paraId="1C6DE648" w14:textId="77777777" w:rsidR="00E03354" w:rsidRPr="002F4E9F" w:rsidRDefault="00000000" w:rsidP="002F4E9F">
            <w:pPr>
              <w:suppressLineNumbers/>
              <w:spacing w:line="360" w:lineRule="auto"/>
              <w:rPr>
                <w:rFonts w:ascii="David" w:hAnsi="David"/>
                <w:sz w:val="28"/>
                <w:szCs w:val="28"/>
                <w:rtl/>
              </w:rPr>
            </w:pPr>
            <w:bookmarkStart w:id="3" w:name="FirstLawyer"/>
            <w:r w:rsidRPr="002F4E9F">
              <w:rPr>
                <w:rFonts w:ascii="David" w:hAnsi="David"/>
                <w:sz w:val="28"/>
                <w:szCs w:val="28"/>
                <w:rtl/>
              </w:rPr>
              <w:t>בשם המשיבה 1:</w:t>
            </w:r>
          </w:p>
        </w:tc>
        <w:tc>
          <w:tcPr>
            <w:tcW w:w="5252" w:type="dxa"/>
            <w:shd w:val="clear" w:color="auto" w:fill="auto"/>
          </w:tcPr>
          <w:p w14:paraId="3F280A35" w14:textId="77777777" w:rsidR="00E03354" w:rsidRPr="002F4E9F" w:rsidRDefault="00000000" w:rsidP="002F4E9F">
            <w:pPr>
              <w:suppressLineNumbers/>
              <w:spacing w:line="360" w:lineRule="auto"/>
              <w:jc w:val="both"/>
              <w:rPr>
                <w:rFonts w:ascii="David" w:hAnsi="David"/>
                <w:sz w:val="28"/>
                <w:szCs w:val="28"/>
                <w:rtl/>
              </w:rPr>
            </w:pPr>
            <w:r w:rsidRPr="002F4E9F">
              <w:rPr>
                <w:rFonts w:ascii="David" w:hAnsi="David"/>
                <w:sz w:val="28"/>
                <w:szCs w:val="28"/>
                <w:rtl/>
              </w:rPr>
              <w:t xml:space="preserve">עו"ד אביעד גורמן; עו"ד ליהי בלומנפלד; </w:t>
            </w:r>
            <w:r w:rsidRPr="002F4E9F">
              <w:rPr>
                <w:rFonts w:ascii="David" w:hAnsi="David"/>
                <w:sz w:val="28"/>
                <w:szCs w:val="28"/>
                <w:rtl/>
              </w:rPr>
              <w:br/>
              <w:t>עו"ד מייקל שחר</w:t>
            </w:r>
          </w:p>
        </w:tc>
      </w:tr>
      <w:bookmarkEnd w:id="3"/>
      <w:tr w:rsidR="00BE72B9" w14:paraId="4409BFB0" w14:textId="77777777" w:rsidTr="002F4E9F">
        <w:trPr>
          <w:jc w:val="center"/>
        </w:trPr>
        <w:tc>
          <w:tcPr>
            <w:tcW w:w="3096" w:type="dxa"/>
            <w:shd w:val="clear" w:color="auto" w:fill="auto"/>
          </w:tcPr>
          <w:p w14:paraId="25806D26" w14:textId="77777777" w:rsidR="00E03354" w:rsidRPr="002F4E9F" w:rsidRDefault="00000000" w:rsidP="002F4E9F">
            <w:pPr>
              <w:suppressLineNumbers/>
              <w:spacing w:line="360" w:lineRule="auto"/>
              <w:rPr>
                <w:rFonts w:ascii="David" w:hAnsi="David"/>
                <w:sz w:val="28"/>
                <w:szCs w:val="28"/>
                <w:rtl/>
              </w:rPr>
            </w:pPr>
            <w:r w:rsidRPr="002F4E9F">
              <w:rPr>
                <w:rFonts w:ascii="David" w:hAnsi="David"/>
                <w:sz w:val="28"/>
                <w:szCs w:val="28"/>
                <w:rtl/>
              </w:rPr>
              <w:t>בשם המשיב 4:</w:t>
            </w:r>
          </w:p>
        </w:tc>
        <w:tc>
          <w:tcPr>
            <w:tcW w:w="5252" w:type="dxa"/>
            <w:shd w:val="clear" w:color="auto" w:fill="auto"/>
          </w:tcPr>
          <w:p w14:paraId="4AE81210" w14:textId="77777777" w:rsidR="00E03354" w:rsidRPr="002F4E9F" w:rsidRDefault="00000000" w:rsidP="002F4E9F">
            <w:pPr>
              <w:suppressLineNumbers/>
              <w:spacing w:line="360" w:lineRule="auto"/>
              <w:rPr>
                <w:rFonts w:ascii="David" w:hAnsi="David"/>
                <w:sz w:val="28"/>
                <w:szCs w:val="28"/>
                <w:rtl/>
              </w:rPr>
            </w:pPr>
            <w:r w:rsidRPr="002F4E9F">
              <w:rPr>
                <w:rFonts w:ascii="David" w:hAnsi="David"/>
                <w:sz w:val="28"/>
                <w:szCs w:val="28"/>
                <w:rtl/>
              </w:rPr>
              <w:t xml:space="preserve">עו"ד מיכל דלומי; עו"ד רועי נירון  </w:t>
            </w:r>
          </w:p>
        </w:tc>
      </w:tr>
    </w:tbl>
    <w:p w14:paraId="450B8E8A" w14:textId="77777777" w:rsidR="008E69CA" w:rsidRDefault="008E69CA" w:rsidP="00E03354">
      <w:pPr>
        <w:pStyle w:val="Ruller41"/>
        <w:rPr>
          <w:rtl/>
        </w:rPr>
      </w:pPr>
      <w:bookmarkStart w:id="4" w:name="Links_Kitvei_Start"/>
    </w:p>
    <w:p w14:paraId="5B443CF6" w14:textId="77777777" w:rsidR="003A5410" w:rsidRPr="003A5410" w:rsidRDefault="003A5410" w:rsidP="00E03354">
      <w:pPr>
        <w:pStyle w:val="Ruller41"/>
        <w:rPr>
          <w:rtl/>
        </w:rPr>
      </w:pPr>
      <w:bookmarkStart w:id="5" w:name="Links_Kitvei_End"/>
      <w:bookmarkEnd w:id="4"/>
      <w:bookmarkEnd w:id="5"/>
    </w:p>
    <w:p w14:paraId="787D62C5" w14:textId="77777777" w:rsidR="00325E11" w:rsidRDefault="00325E11" w:rsidP="003A5410">
      <w:pPr>
        <w:pStyle w:val="Ruller41"/>
        <w:spacing w:after="120" w:line="240" w:lineRule="exact"/>
        <w:ind w:left="283" w:hanging="283"/>
        <w:rPr>
          <w:rtl/>
        </w:rPr>
      </w:pPr>
      <w:bookmarkStart w:id="6" w:name="Links_Start"/>
      <w:bookmarkStart w:id="7" w:name="LawTable_End"/>
      <w:bookmarkStart w:id="8" w:name="ABSTRACT_END"/>
      <w:bookmarkEnd w:id="6"/>
      <w:bookmarkEnd w:id="7"/>
      <w:bookmarkEnd w:id="8"/>
    </w:p>
    <w:p w14:paraId="7D431F9E" w14:textId="77777777" w:rsidR="00325E11" w:rsidRPr="00325E11" w:rsidRDefault="00000000" w:rsidP="00325E11">
      <w:pPr>
        <w:pStyle w:val="Ruller41"/>
        <w:jc w:val="center"/>
        <w:rPr>
          <w:rFonts w:ascii="Century" w:hAnsi="Century" w:cs="Miriam"/>
          <w:b/>
          <w:sz w:val="32"/>
          <w:szCs w:val="32"/>
          <w:u w:val="single"/>
          <w:rtl/>
        </w:rPr>
      </w:pPr>
      <w:bookmarkStart w:id="9" w:name="PsakDin"/>
      <w:r w:rsidRPr="00325E11">
        <w:rPr>
          <w:rFonts w:ascii="FrankRuehl" w:hAnsi="FrankRuehl"/>
          <w:b/>
          <w:bCs/>
          <w:sz w:val="32"/>
          <w:szCs w:val="32"/>
          <w:rtl/>
        </w:rPr>
        <w:t>פסק-דין</w:t>
      </w:r>
    </w:p>
    <w:bookmarkEnd w:id="9"/>
    <w:p w14:paraId="1320DA93" w14:textId="77777777" w:rsidR="0073718B" w:rsidRPr="002F4E9F" w:rsidRDefault="0073718B" w:rsidP="002F4E9F">
      <w:pPr>
        <w:bidi w:val="0"/>
        <w:jc w:val="center"/>
        <w:rPr>
          <w:rFonts w:ascii="David" w:hAnsi="David"/>
          <w:b/>
          <w:bCs/>
          <w:u w:val="single"/>
        </w:rPr>
      </w:pPr>
    </w:p>
    <w:p w14:paraId="6E6DFBB6" w14:textId="77777777" w:rsidR="00E03354" w:rsidRDefault="00000000" w:rsidP="00E03354">
      <w:pPr>
        <w:pStyle w:val="Ruller41"/>
        <w:rPr>
          <w:rFonts w:ascii="Century" w:hAnsi="Century" w:cs="Miriam"/>
          <w:b/>
          <w:spacing w:val="0"/>
          <w:szCs w:val="24"/>
          <w:u w:val="single"/>
        </w:rPr>
      </w:pPr>
      <w:bookmarkStart w:id="10" w:name="NGCSBookmark"/>
      <w:bookmarkEnd w:id="0"/>
      <w:bookmarkEnd w:id="10"/>
      <w:r>
        <w:rPr>
          <w:rFonts w:ascii="Century" w:hAnsi="Century" w:cs="Miriam"/>
          <w:b/>
          <w:u w:val="single"/>
          <w:rtl/>
        </w:rPr>
        <w:t>השופט עופר גרוסקופף:</w:t>
      </w:r>
    </w:p>
    <w:p w14:paraId="0C5E6BCF" w14:textId="77777777" w:rsidR="00E03354" w:rsidRDefault="00E03354" w:rsidP="00E03354">
      <w:pPr>
        <w:pStyle w:val="Ruller41"/>
        <w:rPr>
          <w:rFonts w:cs="David"/>
          <w:noProof/>
          <w:rtl/>
        </w:rPr>
      </w:pPr>
    </w:p>
    <w:p w14:paraId="1D5A8CE3"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r>
        <w:rPr>
          <w:rFonts w:ascii="Arial TUR" w:hAnsi="Arial TUR" w:cs="FrankRuehl"/>
          <w:spacing w:val="10"/>
          <w:sz w:val="22"/>
          <w:szCs w:val="28"/>
          <w:rtl/>
        </w:rPr>
        <w:tab/>
        <w:t xml:space="preserve">לפניי בקשת רשות ערעור על החלטתו של בית המשפט המחוזי בתל אביב-יפו (כב' השופטת </w:t>
      </w:r>
      <w:r>
        <w:rPr>
          <w:rFonts w:ascii="Century" w:hAnsi="Century" w:cs="Miriam"/>
          <w:b/>
          <w:sz w:val="22"/>
          <w:rtl/>
        </w:rPr>
        <w:t>איריס לושי-עבודי</w:t>
      </w:r>
      <w:r>
        <w:rPr>
          <w:rFonts w:ascii="Arial TUR" w:hAnsi="Arial TUR" w:cs="FrankRuehl"/>
          <w:spacing w:val="10"/>
          <w:sz w:val="22"/>
          <w:szCs w:val="28"/>
          <w:rtl/>
        </w:rPr>
        <w:t>) ב</w:t>
      </w:r>
      <w:hyperlink r:id="rId9" w:history="1">
        <w:r w:rsidR="002F4E9F" w:rsidRPr="002F4E9F">
          <w:rPr>
            <w:rFonts w:ascii="Arial TUR" w:hAnsi="Arial TUR" w:cs="FrankRuehl"/>
            <w:color w:val="0000FF"/>
            <w:spacing w:val="10"/>
            <w:sz w:val="22"/>
            <w:szCs w:val="28"/>
            <w:u w:val="single"/>
            <w:rtl/>
          </w:rPr>
          <w:t>חדל"ת 13662-03-21</w:t>
        </w:r>
      </w:hyperlink>
      <w:r>
        <w:rPr>
          <w:rFonts w:ascii="Arial TUR" w:hAnsi="Arial TUR" w:cs="FrankRuehl"/>
          <w:spacing w:val="10"/>
          <w:sz w:val="22"/>
          <w:szCs w:val="28"/>
          <w:rtl/>
        </w:rPr>
        <w:t xml:space="preserve"> </w:t>
      </w:r>
      <w:r w:rsidR="00D0217A">
        <w:rPr>
          <w:rFonts w:ascii="Arial TUR" w:hAnsi="Arial TUR" w:cs="FrankRuehl" w:hint="cs"/>
          <w:spacing w:val="10"/>
          <w:sz w:val="22"/>
          <w:szCs w:val="28"/>
          <w:rtl/>
        </w:rPr>
        <w:t xml:space="preserve">[נבו] </w:t>
      </w:r>
      <w:r>
        <w:rPr>
          <w:rFonts w:ascii="Arial TUR" w:hAnsi="Arial TUR" w:cs="FrankRuehl"/>
          <w:spacing w:val="10"/>
          <w:sz w:val="22"/>
          <w:szCs w:val="28"/>
          <w:rtl/>
        </w:rPr>
        <w:t>וב</w:t>
      </w:r>
      <w:hyperlink r:id="rId10" w:history="1">
        <w:r w:rsidR="002F4E9F" w:rsidRPr="002F4E9F">
          <w:rPr>
            <w:rFonts w:ascii="Arial TUR" w:hAnsi="Arial TUR" w:cs="FrankRuehl"/>
            <w:color w:val="0000FF"/>
            <w:spacing w:val="10"/>
            <w:sz w:val="22"/>
            <w:szCs w:val="28"/>
            <w:u w:val="single"/>
            <w:rtl/>
          </w:rPr>
          <w:t>חדל"ת 51762-04-21</w:t>
        </w:r>
      </w:hyperlink>
      <w:r>
        <w:rPr>
          <w:rFonts w:ascii="Arial TUR" w:hAnsi="Arial TUR" w:cs="FrankRuehl"/>
          <w:spacing w:val="10"/>
          <w:sz w:val="22"/>
          <w:szCs w:val="28"/>
          <w:rtl/>
        </w:rPr>
        <w:t xml:space="preserve"> מיום 19.8.2023, במסגרתה התקבלה בקשת מנהלת ההסדר לחברות שבחדלות פירעון להורות למבקשות להעביר לקופות הסדר הנושים את כספי החזר המע"מ שקיבלו לידיהן מרשויות המס, לאחר ביצוע חלוקת דיבידנד במסגרת יישום הסדר נושים.</w:t>
      </w:r>
    </w:p>
    <w:p w14:paraId="35DBAC25"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767CC73"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r>
        <w:rPr>
          <w:rFonts w:ascii="Arial TUR" w:hAnsi="Arial TUR" w:cs="FrankRuehl"/>
          <w:spacing w:val="10"/>
          <w:sz w:val="22"/>
          <w:szCs w:val="28"/>
          <w:rtl/>
        </w:rPr>
        <w:lastRenderedPageBreak/>
        <w:tab/>
        <w:t xml:space="preserve">כבר בראשית הדברים אציין כי לאור הספק שהועלה על ידי הממונה על הליכי חדלות הפירעון ושיקום כלכלי (המשיב 4. להלן: </w:t>
      </w:r>
      <w:r>
        <w:rPr>
          <w:rFonts w:ascii="Century" w:hAnsi="Century" w:cs="Miriam"/>
          <w:b/>
          <w:sz w:val="22"/>
          <w:rtl/>
        </w:rPr>
        <w:t>הממונה</w:t>
      </w:r>
      <w:r>
        <w:rPr>
          <w:rFonts w:ascii="Arial TUR" w:hAnsi="Arial TUR" w:cs="FrankRuehl"/>
          <w:spacing w:val="10"/>
          <w:sz w:val="22"/>
          <w:szCs w:val="28"/>
          <w:rtl/>
        </w:rPr>
        <w:t xml:space="preserve">) ביחס לשאלה אם הערעור במקרה זה הוא ברשות או בזכות, ספק לו אני שותף, מצאתי לנכון לדון בבקשה שלפניי כבערעור, ולהביאה לפני מותב תלתא, וזאת בהתאם להוראת </w:t>
      </w:r>
      <w:hyperlink r:id="rId11" w:history="1">
        <w:r w:rsidR="0073718B" w:rsidRPr="0073718B">
          <w:rPr>
            <w:rStyle w:val="Hyperlink"/>
            <w:rFonts w:ascii="Arial TUR" w:hAnsi="Arial TUR" w:cs="FrankRuehl"/>
            <w:spacing w:val="10"/>
            <w:sz w:val="22"/>
            <w:szCs w:val="28"/>
            <w:rtl/>
          </w:rPr>
          <w:t>תקנה 149(4)</w:t>
        </w:r>
      </w:hyperlink>
      <w:r>
        <w:rPr>
          <w:rFonts w:ascii="Arial TUR" w:hAnsi="Arial TUR" w:cs="FrankRuehl"/>
          <w:spacing w:val="10"/>
          <w:sz w:val="22"/>
          <w:szCs w:val="28"/>
          <w:rtl/>
        </w:rPr>
        <w:t xml:space="preserve"> ל</w:t>
      </w:r>
      <w:hyperlink r:id="rId12" w:history="1">
        <w:r w:rsidR="002F4E9F" w:rsidRPr="002F4E9F">
          <w:rPr>
            <w:rFonts w:ascii="Arial TUR" w:hAnsi="Arial TUR" w:cs="FrankRuehl"/>
            <w:color w:val="0000FF"/>
            <w:spacing w:val="10"/>
            <w:sz w:val="22"/>
            <w:szCs w:val="28"/>
            <w:u w:val="single"/>
            <w:rtl/>
          </w:rPr>
          <w:t>תקנות סדר הדין האזרחי, התשע"ט</w:t>
        </w:r>
      </w:hyperlink>
      <w:r>
        <w:rPr>
          <w:rFonts w:ascii="Arial TUR" w:hAnsi="Arial TUR" w:cs="FrankRuehl"/>
          <w:spacing w:val="10"/>
          <w:sz w:val="22"/>
          <w:szCs w:val="28"/>
          <w:rtl/>
        </w:rPr>
        <w:t xml:space="preserve">-2018. בהמשך הדברים אתייחס אפוא להליך זה כערעור, ולמבקשים כמערערים. </w:t>
      </w:r>
    </w:p>
    <w:p w14:paraId="741B3CC7"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53F798CD"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Century" w:hAnsi="Century" w:cs="Miriam"/>
          <w:b/>
          <w:sz w:val="22"/>
          <w:rtl/>
        </w:rPr>
      </w:pPr>
      <w:r>
        <w:rPr>
          <w:rFonts w:ascii="Century" w:hAnsi="Century" w:cs="Miriam"/>
          <w:b/>
          <w:sz w:val="22"/>
          <w:rtl/>
        </w:rPr>
        <w:t>רקע והשתלשלות העניינים</w:t>
      </w:r>
    </w:p>
    <w:p w14:paraId="5CADC9B6"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122031C6"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ביום 1.2.2021, על רקע מצבה הכלכלי של המבקשת 1, חברת גוליבר אנרג'י בע"מ (להלן: </w:t>
      </w:r>
      <w:r>
        <w:rPr>
          <w:rFonts w:ascii="Century" w:hAnsi="Century" w:cs="Miriam"/>
          <w:b/>
          <w:sz w:val="22"/>
          <w:rtl/>
        </w:rPr>
        <w:t>גוליבר</w:t>
      </w:r>
      <w:r>
        <w:rPr>
          <w:rFonts w:ascii="Century" w:hAnsi="Century" w:cs="FrankRuehl"/>
          <w:spacing w:val="10"/>
          <w:sz w:val="22"/>
          <w:szCs w:val="28"/>
          <w:rtl/>
        </w:rPr>
        <w:t>)</w:t>
      </w:r>
      <w:r>
        <w:rPr>
          <w:rFonts w:ascii="Garamond" w:hAnsi="Garamond" w:cs="FrankRuehl"/>
          <w:spacing w:val="10"/>
          <w:szCs w:val="28"/>
          <w:rtl/>
        </w:rPr>
        <w:t xml:space="preserve">, קיבל דירקטוריון גוליבר החלטה על הגשת בקשה לצו לפתיחת הליכים לפי </w:t>
      </w:r>
      <w:hyperlink r:id="rId13" w:history="1">
        <w:r w:rsidR="0073718B" w:rsidRPr="0073718B">
          <w:rPr>
            <w:rStyle w:val="Hyperlink"/>
            <w:rFonts w:ascii="Garamond" w:hAnsi="Garamond" w:cs="FrankRuehl" w:hint="eastAsia"/>
            <w:spacing w:val="10"/>
            <w:szCs w:val="28"/>
            <w:rtl/>
          </w:rPr>
          <w:t>סעיף</w:t>
        </w:r>
        <w:r w:rsidR="0073718B" w:rsidRPr="0073718B">
          <w:rPr>
            <w:rStyle w:val="Hyperlink"/>
            <w:rFonts w:ascii="Garamond" w:hAnsi="Garamond" w:cs="FrankRuehl"/>
            <w:spacing w:val="10"/>
            <w:szCs w:val="28"/>
            <w:rtl/>
          </w:rPr>
          <w:t xml:space="preserve"> 7</w:t>
        </w:r>
      </w:hyperlink>
      <w:r>
        <w:rPr>
          <w:rFonts w:ascii="Garamond" w:hAnsi="Garamond" w:cs="FrankRuehl"/>
          <w:spacing w:val="10"/>
          <w:szCs w:val="28"/>
          <w:rtl/>
        </w:rPr>
        <w:t xml:space="preserve"> ל</w:t>
      </w:r>
      <w:hyperlink r:id="rId14" w:history="1">
        <w:r w:rsidR="002F4E9F" w:rsidRPr="002F4E9F">
          <w:rPr>
            <w:rFonts w:ascii="Garamond" w:hAnsi="Garamond" w:cs="FrankRuehl" w:hint="eastAsia"/>
            <w:color w:val="0000FF"/>
            <w:spacing w:val="10"/>
            <w:szCs w:val="28"/>
            <w:u w:val="single"/>
            <w:rtl/>
          </w:rPr>
          <w:t>חוק</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חדלות</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פירעון</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ושיקום</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כלכלי</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התשע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ח</w:t>
        </w:r>
        <w:r w:rsidR="002F4E9F" w:rsidRPr="002F4E9F">
          <w:rPr>
            <w:rFonts w:ascii="Garamond" w:hAnsi="Garamond" w:cs="FrankRuehl"/>
            <w:color w:val="0000FF"/>
            <w:spacing w:val="10"/>
            <w:szCs w:val="28"/>
            <w:u w:val="single"/>
            <w:rtl/>
          </w:rPr>
          <w:t>-2018</w:t>
        </w:r>
      </w:hyperlink>
      <w:r>
        <w:rPr>
          <w:rFonts w:ascii="Garamond" w:hAnsi="Garamond" w:cs="FrankRuehl"/>
          <w:spacing w:val="10"/>
          <w:szCs w:val="28"/>
          <w:rtl/>
        </w:rPr>
        <w:t xml:space="preserve"> (להלן: </w:t>
      </w:r>
      <w:r>
        <w:rPr>
          <w:rFonts w:ascii="Century" w:hAnsi="Century" w:cs="Miriam"/>
          <w:b/>
          <w:sz w:val="22"/>
          <w:rtl/>
        </w:rPr>
        <w:t xml:space="preserve">החוק </w:t>
      </w:r>
      <w:r>
        <w:rPr>
          <w:rFonts w:ascii="Century" w:hAnsi="Century" w:cs="FrankRuehl"/>
          <w:spacing w:val="10"/>
          <w:sz w:val="22"/>
          <w:szCs w:val="28"/>
          <w:rtl/>
        </w:rPr>
        <w:t>או</w:t>
      </w:r>
      <w:r>
        <w:rPr>
          <w:rFonts w:ascii="Century" w:hAnsi="Century" w:cs="Miriam"/>
          <w:b/>
          <w:sz w:val="22"/>
          <w:rtl/>
        </w:rPr>
        <w:t xml:space="preserve"> חוק חדלות פירעון</w:t>
      </w:r>
      <w:r>
        <w:rPr>
          <w:rFonts w:ascii="Garamond" w:hAnsi="Garamond" w:cs="FrankRuehl"/>
          <w:spacing w:val="10"/>
          <w:szCs w:val="28"/>
          <w:rtl/>
        </w:rPr>
        <w:t xml:space="preserve">). בהמשך להחלטה זו, פנתה לגוליבר המשיבה 2, חברת קנדרה (ישראל) בע"מ (להלן: </w:t>
      </w:r>
      <w:r>
        <w:rPr>
          <w:rFonts w:ascii="Century" w:hAnsi="Century" w:cs="Miriam"/>
          <w:b/>
          <w:sz w:val="22"/>
          <w:rtl/>
        </w:rPr>
        <w:t>קנדרה</w:t>
      </w:r>
      <w:r>
        <w:rPr>
          <w:rFonts w:ascii="Garamond" w:hAnsi="Garamond" w:cs="FrankRuehl"/>
          <w:spacing w:val="10"/>
          <w:szCs w:val="28"/>
          <w:rtl/>
        </w:rPr>
        <w:t xml:space="preserve">), אשר החזיקה בנקודת הזמן ההיא יחד עם המשיב 3, מר שלומי דהוקי (להלן: </w:t>
      </w:r>
      <w:r>
        <w:rPr>
          <w:rFonts w:ascii="Century" w:hAnsi="Century" w:cs="Miriam"/>
          <w:b/>
          <w:sz w:val="22"/>
          <w:rtl/>
        </w:rPr>
        <w:t>דהוקי</w:t>
      </w:r>
      <w:r>
        <w:rPr>
          <w:rFonts w:ascii="Garamond" w:hAnsi="Garamond" w:cs="FrankRuehl"/>
          <w:spacing w:val="10"/>
          <w:szCs w:val="28"/>
          <w:rtl/>
        </w:rPr>
        <w:t xml:space="preserve">; קנדרה ודהוקי יכונו יחד להלן: </w:t>
      </w:r>
      <w:r>
        <w:rPr>
          <w:rFonts w:ascii="Century" w:hAnsi="Century" w:cs="Miriam"/>
          <w:b/>
          <w:sz w:val="22"/>
          <w:rtl/>
        </w:rPr>
        <w:t>הרוכשים</w:t>
      </w:r>
      <w:r>
        <w:rPr>
          <w:rFonts w:ascii="Garamond" w:hAnsi="Garamond" w:cs="FrankRuehl"/>
          <w:spacing w:val="10"/>
          <w:szCs w:val="28"/>
          <w:rtl/>
        </w:rPr>
        <w:t xml:space="preserve">), כ-18.6% מהון מניות גוליבר, בהצעה להסדר נושים לפיו, בין היתר, היא תשלם לקופת מנהלת ההסדר סכום כולל של 2 מיליון ש"ח בעבור פירעון חלק מהחובות של גוליבר ושל המבקשת 2, חברת גינקו חיפושי נפט בע"מ (להלן: </w:t>
      </w:r>
      <w:r>
        <w:rPr>
          <w:rFonts w:ascii="Century" w:hAnsi="Century" w:cs="Miriam"/>
          <w:b/>
          <w:sz w:val="22"/>
          <w:rtl/>
        </w:rPr>
        <w:t>גינקו</w:t>
      </w:r>
      <w:r>
        <w:rPr>
          <w:rFonts w:ascii="Century" w:hAnsi="Century" w:cs="FrankRuehl"/>
          <w:spacing w:val="10"/>
          <w:sz w:val="22"/>
          <w:szCs w:val="28"/>
          <w:rtl/>
        </w:rPr>
        <w:t xml:space="preserve">; גוליבר וגינקו יכונו יחד להלן: </w:t>
      </w:r>
      <w:r>
        <w:rPr>
          <w:rFonts w:ascii="Century" w:hAnsi="Century" w:cs="Miriam"/>
          <w:b/>
          <w:sz w:val="22"/>
          <w:rtl/>
        </w:rPr>
        <w:t>החברות</w:t>
      </w:r>
      <w:r>
        <w:rPr>
          <w:rFonts w:ascii="Century" w:hAnsi="Century" w:cs="FrankRuehl"/>
          <w:spacing w:val="10"/>
          <w:sz w:val="22"/>
          <w:szCs w:val="28"/>
          <w:rtl/>
        </w:rPr>
        <w:t>. יוער כי גוליבר החזיקה, נכון למועד זה, במלוא מניותיה של גינקו)</w:t>
      </w:r>
      <w:r>
        <w:rPr>
          <w:rFonts w:ascii="Garamond" w:hAnsi="Garamond" w:cs="FrankRuehl"/>
          <w:spacing w:val="10"/>
          <w:szCs w:val="28"/>
          <w:rtl/>
        </w:rPr>
        <w:t xml:space="preserve">. לפי ההצעה, סך של 1,170,000 ש"ח מתוך התשלום יועבר לקופת הסדר הנושים של גוליבר, וסך של 830,000 ש"ח יועבר לקופת הסדר הנושים של גינקו. עוד הוצע כי במידה וגינקו תקבל תקבולים בגין עסקת מכירה של חברה בה החזיקה בעבר, עד למועד שהוגדר, היא תשלם לקופת הסדר הנושים 50% מתקבולים אלו, בניכוי מס (להלן: </w:t>
      </w:r>
      <w:r>
        <w:rPr>
          <w:rFonts w:ascii="Century" w:hAnsi="Century" w:cs="Miriam"/>
          <w:b/>
          <w:sz w:val="22"/>
          <w:rtl/>
        </w:rPr>
        <w:t>ההצעה</w:t>
      </w:r>
      <w:r>
        <w:rPr>
          <w:rFonts w:ascii="Garamond" w:hAnsi="Garamond" w:cs="FrankRuehl"/>
          <w:spacing w:val="10"/>
          <w:szCs w:val="28"/>
          <w:rtl/>
        </w:rPr>
        <w:t>).</w:t>
      </w:r>
    </w:p>
    <w:p w14:paraId="7822268F"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p>
    <w:p w14:paraId="512E2D8A"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בהתאם לפרטי ההצעה, ביום 7.3.2021 הגישו החברות בקשה מאוחדת לבית המשפט של חדלות פירעון להסדר חוב שלא במסגרת צו לפתיחת הליכים (</w:t>
      </w:r>
      <w:hyperlink r:id="rId15" w:history="1">
        <w:r w:rsidR="002F4E9F" w:rsidRPr="002F4E9F">
          <w:rPr>
            <w:rFonts w:ascii="Garamond" w:hAnsi="Garamond" w:cs="FrankRuehl" w:hint="eastAsia"/>
            <w:color w:val="0000FF"/>
            <w:spacing w:val="10"/>
            <w:szCs w:val="28"/>
            <w:u w:val="single"/>
            <w:rtl/>
          </w:rPr>
          <w:t>חדל</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ת</w:t>
        </w:r>
        <w:r w:rsidR="002F4E9F" w:rsidRPr="002F4E9F">
          <w:rPr>
            <w:rFonts w:ascii="Garamond" w:hAnsi="Garamond" w:cs="FrankRuehl"/>
            <w:color w:val="0000FF"/>
            <w:spacing w:val="10"/>
            <w:szCs w:val="28"/>
            <w:u w:val="single"/>
            <w:rtl/>
          </w:rPr>
          <w:t xml:space="preserve"> 13662-03-21</w:t>
        </w:r>
      </w:hyperlink>
      <w:r>
        <w:rPr>
          <w:rFonts w:ascii="Garamond" w:hAnsi="Garamond" w:cs="FrankRuehl"/>
          <w:spacing w:val="10"/>
          <w:szCs w:val="28"/>
          <w:rtl/>
        </w:rPr>
        <w:t xml:space="preserve">)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(להלן: </w:t>
      </w:r>
      <w:r>
        <w:rPr>
          <w:rFonts w:ascii="Century" w:hAnsi="Century" w:cs="Miriam"/>
          <w:b/>
          <w:sz w:val="22"/>
          <w:rtl/>
        </w:rPr>
        <w:t>הסדר הנושים המוצע</w:t>
      </w:r>
      <w:r>
        <w:rPr>
          <w:rFonts w:ascii="Garamond" w:hAnsi="Garamond" w:cs="FrankRuehl"/>
          <w:spacing w:val="10"/>
          <w:szCs w:val="28"/>
          <w:rtl/>
        </w:rPr>
        <w:t>). ביום 20.4.2021, לאחר שהוגשו עמדת הממונה ועמדת הרשות לניירות ערך, הורה בית המשפט קמא על כינוס אסיפות החברות לצורך אישור הסדר הנושים המוצע, בכפוף, בין היתר, לכך שהחברות ינקטו בהליך נפרד בעניינה של גינקו (בפני אותו מותב), ולכך שימונה מנהל הסדר ניטרלי אשר יוצע על ידי הממונה.</w:t>
      </w:r>
    </w:p>
    <w:p w14:paraId="7395EF0E"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5A00E9D0"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 xml:space="preserve"> לאחר שהועברו המלצות הממונה, ביום 22.4.2021 מינה בית המשפט קמא את המשיבה 1, עו"ד ליהי בלומנפלד, כמנהלת ההסדר לחברות (להלן: </w:t>
      </w:r>
      <w:r>
        <w:rPr>
          <w:rFonts w:ascii="Century" w:hAnsi="Century" w:cs="Miriam"/>
          <w:b/>
          <w:sz w:val="22"/>
          <w:rtl/>
        </w:rPr>
        <w:t>מנהלת ההסדר</w:t>
      </w:r>
      <w:r>
        <w:rPr>
          <w:rFonts w:ascii="Garamond" w:hAnsi="Garamond" w:cs="FrankRuehl"/>
          <w:spacing w:val="10"/>
          <w:szCs w:val="28"/>
          <w:rtl/>
        </w:rPr>
        <w:t>), וביום 25.4.2021 הגישה גינקו בקשה להסדר חוב שלא במסגרת צו לפתיחת הליכים (</w:t>
      </w:r>
      <w:hyperlink r:id="rId16" w:history="1">
        <w:r w:rsidR="002F4E9F" w:rsidRPr="002F4E9F">
          <w:rPr>
            <w:rFonts w:ascii="Garamond" w:hAnsi="Garamond" w:cs="FrankRuehl" w:hint="eastAsia"/>
            <w:color w:val="0000FF"/>
            <w:spacing w:val="10"/>
            <w:szCs w:val="28"/>
            <w:u w:val="single"/>
            <w:rtl/>
          </w:rPr>
          <w:t>חדל</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ת</w:t>
        </w:r>
        <w:r w:rsidR="002F4E9F" w:rsidRPr="002F4E9F">
          <w:rPr>
            <w:rFonts w:ascii="Garamond" w:hAnsi="Garamond" w:cs="FrankRuehl"/>
            <w:color w:val="0000FF"/>
            <w:spacing w:val="10"/>
            <w:szCs w:val="28"/>
            <w:u w:val="single"/>
            <w:rtl/>
          </w:rPr>
          <w:t xml:space="preserve"> 51762-04-21</w:t>
        </w:r>
      </w:hyperlink>
      <w:r>
        <w:rPr>
          <w:rFonts w:ascii="Garamond" w:hAnsi="Garamond" w:cs="FrankRuehl"/>
          <w:spacing w:val="10"/>
          <w:szCs w:val="28"/>
          <w:rtl/>
        </w:rPr>
        <w:t>). בהמשך לכך, מינה בית המשפט קמא ביום 26.4.2021 את מנהלת ההסדר אף לעניינה של גינקו, וביום 27.4.2021 הוא הורה, בעקבות בקשת מנהלת ההסדר, על איחודם של ההליכים בעניין גוליבר ובעניין גינקו.</w:t>
      </w:r>
    </w:p>
    <w:p w14:paraId="7016C8F8"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3528CE53"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ביום 7.6.2021 הגישה מנהלת ההסדר לבית המשפט קמא בקשה לאישורו של הסדר הנושים המוצע. כמתואר לעיל, במרכזו של ההסדר המוצע עומדת התחייבותם של הרוכשים לשלם לקופת מנהלת ההסדר סכום כולל של 2 מיליון ש"ח בעבור פירעון חלק מחובות החברות (להלן: </w:t>
      </w:r>
      <w:r>
        <w:rPr>
          <w:rFonts w:ascii="Century" w:hAnsi="Century" w:cs="Miriam"/>
          <w:b/>
          <w:sz w:val="22"/>
          <w:rtl/>
        </w:rPr>
        <w:t>התמורה</w:t>
      </w:r>
      <w:r>
        <w:rPr>
          <w:rFonts w:ascii="Garamond" w:hAnsi="Garamond" w:cs="FrankRuehl"/>
          <w:spacing w:val="10"/>
          <w:szCs w:val="28"/>
          <w:rtl/>
        </w:rPr>
        <w:t xml:space="preserve">). מנגד, גוליבר התחייבה להקצות מניות לרוכשים, כך שאחזקותיהם בחברה יעמדו לאחר ההקצאה על 89.9% מהון מניותיה המונפק והנפרע במועד השלמת העסקה (להלן: </w:t>
      </w:r>
      <w:r>
        <w:rPr>
          <w:rFonts w:ascii="Century" w:hAnsi="Century" w:cs="Miriam"/>
          <w:b/>
          <w:sz w:val="22"/>
          <w:rtl/>
        </w:rPr>
        <w:t>המניות</w:t>
      </w:r>
      <w:r>
        <w:rPr>
          <w:rFonts w:ascii="Garamond" w:hAnsi="Garamond" w:cs="FrankRuehl"/>
          <w:spacing w:val="10"/>
          <w:szCs w:val="28"/>
          <w:rtl/>
        </w:rPr>
        <w:t xml:space="preserve">). בנוסף הותנה בהסדר המוצע, כי החברות ישלמו לנושיהן דיבידנדים באמצעות כספי התמורה, כנגד סילוק סופי ומוחלט של מרבית החובות כלפיהם (יצוין, כי סילוק החובות אינו כולל חוב של גוליבר כלפי חברת פאי סיאם בע"מ, המוחזקת ב-50% על ידי גורמים הקשורים לבעלי השליטה בקנדרה. חברה זו, אשר הוגדרה כנושה מובטח, הסכימה להדחיית החוב בכפוף להשלמת הסדר הנושים. ראו סעיף 20 להסדר הנושים. לשם הנוחות בלבד, יקראו להלן נושי החברות, למעט חברה זו: </w:t>
      </w:r>
      <w:r>
        <w:rPr>
          <w:rFonts w:ascii="Century" w:hAnsi="Century" w:cs="Miriam"/>
          <w:b/>
          <w:sz w:val="22"/>
          <w:rtl/>
        </w:rPr>
        <w:t>הנושים</w:t>
      </w:r>
      <w:r>
        <w:rPr>
          <w:rFonts w:ascii="Garamond" w:hAnsi="Garamond" w:cs="FrankRuehl"/>
          <w:spacing w:val="10"/>
          <w:szCs w:val="28"/>
          <w:rtl/>
        </w:rPr>
        <w:t>).</w:t>
      </w:r>
    </w:p>
    <w:p w14:paraId="79802648"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4499A15"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 xml:space="preserve">ביום 8.7.2021, לאחר שהתקבלה עמדת הממונה </w:t>
      </w:r>
      <w:r>
        <w:rPr>
          <w:rFonts w:ascii="Century" w:hAnsi="Century" w:cs="FrankRuehl"/>
          <w:spacing w:val="10"/>
          <w:sz w:val="22"/>
          <w:szCs w:val="28"/>
          <w:rtl/>
        </w:rPr>
        <w:t xml:space="preserve">ביחס להסדר הנושים המוצע (להלן: </w:t>
      </w:r>
      <w:r>
        <w:rPr>
          <w:rFonts w:ascii="Century" w:hAnsi="Century" w:cs="Miriam"/>
          <w:b/>
          <w:sz w:val="22"/>
          <w:rtl/>
        </w:rPr>
        <w:t>עמדת הממונה בדבר הסדר הנושים המוצע</w:t>
      </w:r>
      <w:r>
        <w:rPr>
          <w:rFonts w:ascii="Century" w:hAnsi="Century" w:cs="FrankRuehl"/>
          <w:spacing w:val="10"/>
          <w:sz w:val="22"/>
          <w:szCs w:val="28"/>
          <w:rtl/>
        </w:rPr>
        <w:t xml:space="preserve">), ומשלא התקבלו לו התנגדויות, הגישה מנהלת ההסדר בקשה נוספת לאישור הסדר נושים, לה צורף הסדר נושים מעודכן, בו הוטמעו חלק מההערות אשר הובאו בעמדת הממונה בדבר הסדר הנושים המוצע (להלן: </w:t>
      </w:r>
      <w:r>
        <w:rPr>
          <w:rFonts w:ascii="Century" w:hAnsi="Century" w:cs="Miriam"/>
          <w:b/>
          <w:sz w:val="22"/>
          <w:rtl/>
        </w:rPr>
        <w:t xml:space="preserve">הסדר הנושים </w:t>
      </w:r>
      <w:r>
        <w:rPr>
          <w:rFonts w:ascii="Century" w:hAnsi="Century" w:cs="FrankRuehl"/>
          <w:spacing w:val="10"/>
          <w:sz w:val="22"/>
          <w:szCs w:val="28"/>
          <w:rtl/>
        </w:rPr>
        <w:t>ו-</w:t>
      </w:r>
      <w:r>
        <w:rPr>
          <w:rFonts w:ascii="Century" w:hAnsi="Century" w:cs="Miriam"/>
          <w:b/>
          <w:sz w:val="22"/>
          <w:rtl/>
        </w:rPr>
        <w:t>הבקשה השנייה לאישור הסדר הנושים</w:t>
      </w:r>
      <w:r>
        <w:rPr>
          <w:rFonts w:ascii="Century" w:hAnsi="Century" w:cs="FrankRuehl"/>
          <w:spacing w:val="10"/>
          <w:sz w:val="22"/>
          <w:szCs w:val="28"/>
          <w:rtl/>
        </w:rPr>
        <w:t>, בהתאמה). בפרט, כלל הסדר הנושים ארכה בת שנה למועד האחרון שעד אליו נדרשת גינקו להעביר את רכיב התקבולים, ככל שיתקבלו. עוד נקבע כי שכר היועצים המשפטיים אשר נטלו חלק בגיבוש הסדר הנושים לא ישולם באמצעות כספי התמורה.</w:t>
      </w:r>
      <w:r w:rsidRPr="002F4E9F">
        <w:rPr>
          <w:rFonts w:ascii="Century" w:hAnsi="Century" w:cs="FrankRuehl"/>
          <w:color w:val="808080"/>
          <w:spacing w:val="10"/>
          <w:sz w:val="22"/>
          <w:szCs w:val="28"/>
          <w:rtl/>
        </w:rPr>
        <w:t xml:space="preserve"> </w:t>
      </w:r>
      <w:r>
        <w:rPr>
          <w:rFonts w:ascii="Century" w:hAnsi="Century" w:cs="FrankRuehl"/>
          <w:spacing w:val="10"/>
          <w:sz w:val="22"/>
          <w:szCs w:val="28"/>
          <w:rtl/>
        </w:rPr>
        <w:t>בו ביום,</w:t>
      </w:r>
      <w:r>
        <w:rPr>
          <w:rFonts w:ascii="Garamond" w:hAnsi="Garamond" w:cs="FrankRuehl"/>
          <w:spacing w:val="10"/>
          <w:szCs w:val="28"/>
          <w:rtl/>
        </w:rPr>
        <w:t xml:space="preserve"> אישר בית המשפט קמא את הבקשה השנייה לאישור הסדר הנושים.</w:t>
      </w:r>
    </w:p>
    <w:p w14:paraId="56A8F045"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2A165C56"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lastRenderedPageBreak/>
        <w:t>בהמשך לכך, פתחה מנהלת ההסדר חשבון בנק עבור כל אחת מהחברות, וביום 3.8.2021 התקבלו כספי התמורה בחשבונות אלה. אי לכך, ביום 4.8.2021 הודיעה גוליבר, באישורה של מנהלת ההסדר, כי הקצתה את המניות לרוכשים (ראו סעיפים 15-12 לדו"ח מטעם מנהלת ההסדר מיום 4.10.2021).</w:t>
      </w:r>
    </w:p>
    <w:p w14:paraId="36E11DD8"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7542AFB2"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ביום 6.2.2022 הגישה מנהלת ההסדר בקשה לחלוקת דיבידנד לנושי החברות, לאישור שכר טרחה חלקי עבורה, לפי </w:t>
      </w:r>
      <w:hyperlink r:id="rId17" w:history="1">
        <w:r w:rsidR="0073718B" w:rsidRPr="0073718B">
          <w:rPr>
            <w:rStyle w:val="Hyperlink"/>
            <w:rFonts w:ascii="Garamond" w:hAnsi="Garamond" w:cs="FrankRuehl" w:hint="eastAsia"/>
            <w:spacing w:val="10"/>
            <w:szCs w:val="28"/>
            <w:rtl/>
          </w:rPr>
          <w:t>תקנה</w:t>
        </w:r>
        <w:r w:rsidR="0073718B" w:rsidRPr="0073718B">
          <w:rPr>
            <w:rStyle w:val="Hyperlink"/>
            <w:rFonts w:ascii="Garamond" w:hAnsi="Garamond" w:cs="FrankRuehl"/>
            <w:spacing w:val="10"/>
            <w:szCs w:val="28"/>
            <w:rtl/>
          </w:rPr>
          <w:t xml:space="preserve"> 8</w:t>
        </w:r>
      </w:hyperlink>
      <w:r>
        <w:rPr>
          <w:rFonts w:ascii="Garamond" w:hAnsi="Garamond" w:cs="FrankRuehl"/>
          <w:spacing w:val="10"/>
          <w:szCs w:val="28"/>
          <w:rtl/>
        </w:rPr>
        <w:t xml:space="preserve"> ל</w:t>
      </w:r>
      <w:hyperlink r:id="rId18" w:history="1">
        <w:r w:rsidR="002F4E9F" w:rsidRPr="002F4E9F">
          <w:rPr>
            <w:rFonts w:ascii="Garamond" w:hAnsi="Garamond" w:cs="FrankRuehl" w:hint="eastAsia"/>
            <w:color w:val="0000FF"/>
            <w:spacing w:val="10"/>
            <w:szCs w:val="28"/>
            <w:u w:val="single"/>
            <w:rtl/>
          </w:rPr>
          <w:t>תקנות</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החברות</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כללים</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בדבר</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מינוי</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כונסי</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נכסים</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ומפרקים</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ושכרם</w:t>
        </w:r>
        <w:r w:rsidR="002F4E9F" w:rsidRPr="002F4E9F">
          <w:rPr>
            <w:rFonts w:ascii="Garamond" w:hAnsi="Garamond" w:cs="FrankRuehl"/>
            <w:color w:val="0000FF"/>
            <w:spacing w:val="10"/>
            <w:szCs w:val="28"/>
            <w:u w:val="single"/>
            <w:rtl/>
          </w:rPr>
          <w:t>)</w:t>
        </w:r>
      </w:hyperlink>
      <w:r>
        <w:rPr>
          <w:rFonts w:ascii="Garamond" w:hAnsi="Garamond" w:cs="FrankRuehl"/>
          <w:spacing w:val="10"/>
          <w:szCs w:val="28"/>
          <w:rtl/>
        </w:rPr>
        <w:t xml:space="preserve">, התשמ"א-1981 ולתשלום אגרת השגחה בגין ניהול ההליך על ידה, בהתאם </w:t>
      </w:r>
      <w:hyperlink r:id="rId19" w:history="1">
        <w:r w:rsidR="0073718B" w:rsidRPr="0073718B">
          <w:rPr>
            <w:rStyle w:val="Hyperlink"/>
            <w:rFonts w:ascii="Garamond" w:hAnsi="Garamond" w:cs="FrankRuehl" w:hint="eastAsia"/>
            <w:spacing w:val="10"/>
            <w:szCs w:val="28"/>
            <w:rtl/>
          </w:rPr>
          <w:t>לתקנה</w:t>
        </w:r>
        <w:r w:rsidR="0073718B" w:rsidRPr="0073718B">
          <w:rPr>
            <w:rStyle w:val="Hyperlink"/>
            <w:rFonts w:ascii="Garamond" w:hAnsi="Garamond" w:cs="FrankRuehl"/>
            <w:spacing w:val="10"/>
            <w:szCs w:val="28"/>
            <w:rtl/>
          </w:rPr>
          <w:t xml:space="preserve"> 5</w:t>
        </w:r>
      </w:hyperlink>
      <w:r>
        <w:rPr>
          <w:rFonts w:ascii="Garamond" w:hAnsi="Garamond" w:cs="FrankRuehl"/>
          <w:spacing w:val="10"/>
          <w:szCs w:val="28"/>
          <w:rtl/>
        </w:rPr>
        <w:t xml:space="preserve"> לתקנות חדלות פירעון ושיקום כלכלי (אגרות), התשע"ט-2019. ביום 24.2.2022 הגיש הממונה את עמדתו ביחס לבקשה זו, וביום 6.3.2022, בתום דין ודברים בינו לבין מנהלת ההסדר, הגישה מנהלת ההסדר בקשה מעודכנת לחלוקת דיבידנד לנושי החברות ולאישור שכר טרחתה. בית המשפט קמא, בהחלטתו מאותו יום, קיבל את הבקשה, ובתוך כך אישר את חלוקת הדיבידנד לנושי החברות על סך כולל של כ-1.77 מיליון ש"ח, את תשלום שכר הטרחה עבור מנהלת ההסדר על סך 165,517 ש"ח בתוספת מע"מ (להלן: </w:t>
      </w:r>
      <w:r>
        <w:rPr>
          <w:rFonts w:ascii="Century" w:hAnsi="Century" w:cs="Miriam"/>
          <w:b/>
          <w:sz w:val="22"/>
          <w:rtl/>
        </w:rPr>
        <w:t>הדיבידנד</w:t>
      </w:r>
      <w:r>
        <w:rPr>
          <w:rFonts w:ascii="Garamond" w:hAnsi="Garamond" w:cs="FrankRuehl"/>
          <w:spacing w:val="10"/>
          <w:szCs w:val="28"/>
          <w:rtl/>
        </w:rPr>
        <w:t xml:space="preserve"> ו-</w:t>
      </w:r>
      <w:r>
        <w:rPr>
          <w:rFonts w:ascii="Century" w:hAnsi="Century" w:cs="Miriam"/>
          <w:b/>
          <w:sz w:val="22"/>
          <w:rtl/>
        </w:rPr>
        <w:t>שכר הטרחה</w:t>
      </w:r>
      <w:r>
        <w:rPr>
          <w:rFonts w:ascii="Garamond" w:hAnsi="Garamond" w:cs="FrankRuehl"/>
          <w:spacing w:val="10"/>
          <w:szCs w:val="28"/>
          <w:rtl/>
        </w:rPr>
        <w:t xml:space="preserve">, בהתאמה) ואת תשלום האגרה בגין ניהול ההליך על סך 28,786 ש"ח. </w:t>
      </w:r>
    </w:p>
    <w:p w14:paraId="1A5B43C4"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3A4372AC"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ביום 12.5.2022 פנתה מנהלת ההסדר במכתב לרוכשים, באמצעות חברת פאי איה אנרג'י בע"מ (היא חברת גוליבר אשר ביום 18.10.2021 שונה שמה. לשם הנוחות, תמשיך להיקרא החברה להלן: </w:t>
      </w:r>
      <w:r>
        <w:rPr>
          <w:rFonts w:ascii="Century" w:hAnsi="Century" w:cs="Miriam"/>
          <w:b/>
          <w:sz w:val="22"/>
          <w:rtl/>
        </w:rPr>
        <w:t>גוליבר</w:t>
      </w:r>
      <w:r>
        <w:rPr>
          <w:rFonts w:ascii="Garamond" w:hAnsi="Garamond" w:cs="FrankRuehl"/>
          <w:spacing w:val="10"/>
          <w:szCs w:val="28"/>
          <w:rtl/>
        </w:rPr>
        <w:t xml:space="preserve">), בבקשה שיפעלו לקבלת החזרי מע"מ בגין תשלומי הדיבידנד ושכר הטרחה, אשר מוערכים בכ-280,000 ש"ח, וכן תעבירם לקופות הסדר הנושים של החברות (להלן: </w:t>
      </w:r>
      <w:r>
        <w:rPr>
          <w:rFonts w:ascii="Century" w:hAnsi="Century" w:cs="Miriam"/>
          <w:b/>
          <w:sz w:val="22"/>
          <w:rtl/>
        </w:rPr>
        <w:t>פניית מנהלת ההסדר</w:t>
      </w:r>
      <w:r>
        <w:rPr>
          <w:rFonts w:ascii="Garamond" w:hAnsi="Garamond" w:cs="FrankRuehl"/>
          <w:spacing w:val="10"/>
          <w:szCs w:val="28"/>
          <w:rtl/>
        </w:rPr>
        <w:t xml:space="preserve">). בדו"ח שהגישה לבית המשפט קמא ביום 1.8.2022, ציינה מנהלת ההסדר כי גוליבר התחייבה לפנות בדרישה לקבלת החזרי המע"מ כאמור, ואולם טרם הביעה הסכמתה להעברת הכספים שיתקבלו לקופות הסדר הנושים של החברות. </w:t>
      </w:r>
    </w:p>
    <w:p w14:paraId="4892FA5D"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99B9F5F"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משלא הושגה הסכמה בין הצדדים, ביום 1.12.2022 הגישה מנהלת ההסדר בקשה למתן הוראות, במסגרתה ביקשה כי בית המשפט קמא יורה לחברות להעביר לקופות הסדר הנושים את מלוא סכום רכיב המע"מ אותו קיבלו ויקבלו בקשר עם חלוקת הדיבידנד ותשלום שכר הטרחה, אשר עמד בנקודת הזמן ההיא, לדבריה, על סך של 205,384.28 ש"ח (להלן: </w:t>
      </w:r>
      <w:r>
        <w:rPr>
          <w:rFonts w:ascii="Century" w:hAnsi="Century" w:cs="Miriam"/>
          <w:b/>
          <w:sz w:val="22"/>
          <w:rtl/>
        </w:rPr>
        <w:t>החזר המע"מ</w:t>
      </w:r>
      <w:r>
        <w:rPr>
          <w:rFonts w:ascii="Garamond" w:hAnsi="Garamond" w:cs="FrankRuehl"/>
          <w:spacing w:val="10"/>
          <w:szCs w:val="28"/>
          <w:rtl/>
        </w:rPr>
        <w:t xml:space="preserve">). לשיטת מנהלת ההסדר, כספי החזר המע"מ מהווים חלק משמעותי מהסכום הכולל אותו התחייבו הרוכשים לשלם כחלק מהסדר </w:t>
      </w:r>
      <w:r>
        <w:rPr>
          <w:rFonts w:ascii="Garamond" w:hAnsi="Garamond" w:cs="FrankRuehl"/>
          <w:spacing w:val="10"/>
          <w:szCs w:val="28"/>
          <w:rtl/>
        </w:rPr>
        <w:lastRenderedPageBreak/>
        <w:t xml:space="preserve">הנושים, ומשכך עליהם להיות מועברים לקופות הסדר הנושים לצורך חלוקתם לנושי החברות (להלן: </w:t>
      </w:r>
      <w:r>
        <w:rPr>
          <w:rFonts w:ascii="Century" w:hAnsi="Century" w:cs="Miriam"/>
          <w:b/>
          <w:sz w:val="22"/>
          <w:rtl/>
        </w:rPr>
        <w:t>הבקשה למתן הוראות</w:t>
      </w:r>
      <w:r>
        <w:rPr>
          <w:rFonts w:ascii="Garamond" w:hAnsi="Garamond" w:cs="FrankRuehl"/>
          <w:spacing w:val="10"/>
          <w:szCs w:val="28"/>
          <w:rtl/>
        </w:rPr>
        <w:t>).</w:t>
      </w:r>
    </w:p>
    <w:p w14:paraId="723DD454"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9078C08"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ביום 19.12.2022 הגישו הרוכשים והחברות את תשובתם לבקשה למתן הוראות, בה טענו, תחילה, כי לא ניתן לקבל את הבקשה ביחס לרוכשים, אשר אינם מחזיקים בכספי החזרי המע"מ. לגופם של דברים, הסבירו הרוכשים והחברות כי הוראות הסדר הנושים מעידות על כך שהרוכשים לא התחייבו להעביר לקופות הסדר הנושים סכום נוסף על הסך הכולל של 2 מיליון ש"ח – סכום אשר מגלם לשיטתם אף את רכיב המע"מ. בתוך כך, הודגש כי נושי החברות הסכימו להסדר הנושים תוך שנתנו דעתם לכך שיועבר לידם סכום אשר נגזר מסך התמורה הכולל שהעבירו הרוכשים לקופות הסדר הנושים, ולפיכך, לא עומדת להם כל טענת הסתמכות ביחס לסכום נוסף שיחולק בעתיד כתוצאה מקבלת החזר מע"מ. זאת, מוסבר, להבדיל מהרוכשים ומהחברות, אשר לקחו בחשבון את העובדה שסך התמורה כולל את רכיב המע"מ, וציפו לכך שיוכלו לנכות מס תשומות כנגדו בהתאם להוראות הדין (להלן: </w:t>
      </w:r>
      <w:r>
        <w:rPr>
          <w:rFonts w:ascii="Century" w:hAnsi="Century" w:cs="Miriam"/>
          <w:b/>
          <w:sz w:val="22"/>
          <w:rtl/>
        </w:rPr>
        <w:t>התשובה לבקשה למתן הוראות</w:t>
      </w:r>
      <w:r>
        <w:rPr>
          <w:rFonts w:ascii="Garamond" w:hAnsi="Garamond" w:cs="FrankRuehl"/>
          <w:spacing w:val="10"/>
          <w:szCs w:val="28"/>
          <w:rtl/>
        </w:rPr>
        <w:t>).</w:t>
      </w:r>
    </w:p>
    <w:p w14:paraId="4193EFF0"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6368ACA4"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ביום 4.1.2023 הגישה מנהלת ההסדר את תגובתה לתשובה לבקשה למתן הוראות, במסגרתה טענה כי אין מקום להבחין בין הרוכשים לבין החברות, שכן הרוכשים מחזיקים, בעקבות הסדר הנושים, ב-89.9% מהון המניות המונפק והנפרע של גוליבר, אשר מחזיקה בתורה ב-100% מהון המניות של גינקו, ובכך הפכו לבעלי השליטה בהן. יתרה מכך, מהתשובה לבקשה למתן הוראות עולה כי התנגדות הרוכשים היא זו שמונעת את העברת החזר המע"מ לקופות הסדר הנושים. עוד גרסה מנהלת ההסדר, כי מקורו של החזר המע"מ הוא בדיבידנדים שהיא שילמה לנושים, וכי היא הנמענת של רוב החשבוניות שהוצאו כנגד קבלתם, כמו גם בעלת הזכאות לבצע ניכוי מס תשומות (הן מבחינה פורמאלית והן לנוכח מאמציה בעניין), כך שהחזר המע"מ שייך לקופות הסדר הנושים. עוד הודגש, כי הרוכשים התחייבו לשלם סכום כולל של 2 מיליון ש"ח, וכי העברת החזר המע"מ לידם תוביל להפחתת סך התמורה לה התחייבו בהסדר הנושים, והוטעם כי התנגדות הרוכשים והחברות להעברת החזר המע"מ עולה כדי חוסר תום לב החותר תחת הסכמות הצדדים ושיקולי הצדק העומדים בבסיסם של דיני חדלות הפירעון.</w:t>
      </w:r>
    </w:p>
    <w:p w14:paraId="41B40358"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31F112CC"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lastRenderedPageBreak/>
        <w:t>ביום 24.1.2023 הגיש הממונה את עמדתו לבית המשפט קמא</w:t>
      </w:r>
      <w:r>
        <w:rPr>
          <w:rFonts w:ascii="Century" w:hAnsi="Century" w:cs="FrankRuehl"/>
          <w:spacing w:val="10"/>
          <w:sz w:val="22"/>
          <w:szCs w:val="28"/>
          <w:rtl/>
        </w:rPr>
        <w:t>. בתמצית, התנגד הממונה לבקשה למתן הוראות וטען כי הסדר הנושים נקב בסכום מפורש של 2 מיליון ש"ח, תוך הגדרת אופן חלוקתו בין החברות, והיות שההסדר שותק ביחס לסוגיית המע"מ, יש ליישם את פסיקתו של בית משפט זה לפיה קיימת חזקה שהמע"מ נכלל במחיר העסקה. בעניין דנן, הוסבר, המשמעות היא שעומדת לחברות האפשרות לנכות מס תשומות כנגד תשלום התמורה</w:t>
      </w:r>
      <w:r>
        <w:rPr>
          <w:rFonts w:ascii="Garamond" w:hAnsi="Garamond" w:cs="FrankRuehl"/>
          <w:spacing w:val="10"/>
          <w:szCs w:val="28"/>
          <w:rtl/>
        </w:rPr>
        <w:t>.</w:t>
      </w:r>
    </w:p>
    <w:p w14:paraId="086AEF0F"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0961C8DA"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Century" w:hAnsi="Century" w:cs="Miriam"/>
          <w:b/>
          <w:sz w:val="22"/>
          <w:rtl/>
        </w:rPr>
      </w:pPr>
      <w:r>
        <w:rPr>
          <w:rFonts w:ascii="Century" w:hAnsi="Century" w:cs="Miriam"/>
          <w:b/>
          <w:sz w:val="22"/>
          <w:rtl/>
        </w:rPr>
        <w:t>החלטת בית המשפט קמא</w:t>
      </w:r>
    </w:p>
    <w:p w14:paraId="076301BB"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7C460EB0"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 xml:space="preserve">ביום 19.8.2023 קיבל בית המשפט קמא את הבקשה למתן הוראות. בית המשפט קמא הבהיר כי לשיטתו המחלוקת אינה נוגעת לשאלה האם סכום התמורה כלל מע"מ או שלא – אלא לשאלה מי זכאי להחזר המע"מ שהתקבל עקב תשלום הדיבידנד מקופות הסדר הנושים של החברות לנושים. מבחינה פורמאלית, מוסבר, החזר המע"מ בוצע לידי החברות (שכן הן הרשאיות לתבוע אותו), ואולם מבחינה מהותית הוא מהווה חלק מסך התמורה ועל כך הוא שייך לקופות הסדר הנושים, ובתוך כך לנושי החברות. קביעתו זו של בית המשפט קמא התבססה, בין היתר, על החלטתי בעניין </w:t>
      </w:r>
      <w:hyperlink r:id="rId20" w:history="1">
        <w:r w:rsidR="002F4E9F" w:rsidRPr="002F4E9F">
          <w:rPr>
            <w:rFonts w:ascii="Garamond" w:hAnsi="Garamond" w:cs="FrankRuehl" w:hint="eastAsia"/>
            <w:color w:val="0000FF"/>
            <w:spacing w:val="10"/>
            <w:szCs w:val="28"/>
            <w:u w:val="single"/>
            <w:rtl/>
          </w:rPr>
          <w:t>רע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313/20</w:t>
        </w:r>
      </w:hyperlink>
      <w:r>
        <w:rPr>
          <w:rFonts w:ascii="Garamond" w:hAnsi="Garamond" w:cs="FrankRuehl"/>
          <w:spacing w:val="10"/>
          <w:szCs w:val="28"/>
          <w:rtl/>
        </w:rPr>
        <w:t xml:space="preserve"> </w:t>
      </w:r>
      <w:r>
        <w:rPr>
          <w:rFonts w:ascii="Century" w:hAnsi="Century" w:cs="Miriam"/>
          <w:b/>
          <w:sz w:val="22"/>
          <w:rtl/>
        </w:rPr>
        <w:t>חכם נ' נרדיה</w:t>
      </w:r>
      <w:r>
        <w:rPr>
          <w:rFonts w:ascii="Garamond" w:hAnsi="Garamond" w:cs="FrankRuehl"/>
          <w:spacing w:val="10"/>
          <w:szCs w:val="28"/>
          <w:rtl/>
        </w:rPr>
        <w:t xml:space="preserve">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(13.4.2020) (להלן: </w:t>
      </w:r>
      <w:r>
        <w:rPr>
          <w:rFonts w:ascii="Century" w:hAnsi="Century" w:cs="Miriam"/>
          <w:b/>
          <w:sz w:val="22"/>
          <w:rtl/>
        </w:rPr>
        <w:t>עניין חכם</w:t>
      </w:r>
      <w:r>
        <w:rPr>
          <w:rFonts w:ascii="Garamond" w:hAnsi="Garamond" w:cs="FrankRuehl"/>
          <w:spacing w:val="10"/>
          <w:szCs w:val="28"/>
          <w:rtl/>
        </w:rPr>
        <w:t>), במסגרתה ציינתי, מבלי לטעת מסמרות, כי הזכות להחזר מע"מ אינה מבוססת באופן בלעדי על השאלה מי רשאי לתבוע אותו מרשויות המס, כי אם על קיומן של זכויות מעין-קנייניות בכספי ההחזר. על כן, נקבע כי החזר המע"מ, כמו גם ההחזרים הבאים שינבעו מתשלומים נוספים במסגרת הסדר הנושים, יועברו לנושים.</w:t>
      </w:r>
    </w:p>
    <w:p w14:paraId="26AE7924"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0E6A0FA8"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למען שלמות התמונה, יצוין כי ביום 20.8.2023 פנה בא-כוח הרוכשים והחברות למנהלת ההסדר בבקשה לקבל את הסכמתה לכך שכספי החזר המע"מ יועברו לידיה, אך לא יחולקו עד להכרעה בהליך הערעור שברצונו להגיש על ההחלטה. מנהלת ההסדר נעתרה לבקשה, ופעלה בהתאם.</w:t>
      </w:r>
    </w:p>
    <w:p w14:paraId="15E74EA4"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65C09C4D"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Century" w:hAnsi="Century" w:cs="Miriam"/>
          <w:b/>
          <w:sz w:val="22"/>
          <w:rtl/>
        </w:rPr>
      </w:pPr>
      <w:r>
        <w:rPr>
          <w:rFonts w:ascii="Century" w:hAnsi="Century" w:cs="Miriam"/>
          <w:b/>
          <w:sz w:val="22"/>
          <w:rtl/>
        </w:rPr>
        <w:t xml:space="preserve">הליך הערעור דנן </w:t>
      </w:r>
    </w:p>
    <w:p w14:paraId="2939350E"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12B50FF6"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בהליך דנן סומכים הרוכשים והחברות ידיהם על פרשנות לשונית של הסדר הנושים, הנוקט לשון "</w:t>
      </w:r>
      <w:r>
        <w:rPr>
          <w:rFonts w:ascii="Century" w:hAnsi="Century" w:cs="Miriam"/>
          <w:b/>
          <w:sz w:val="22"/>
          <w:rtl/>
        </w:rPr>
        <w:t>סך כולל</w:t>
      </w:r>
      <w:r>
        <w:rPr>
          <w:rFonts w:ascii="Garamond" w:hAnsi="Garamond" w:cs="FrankRuehl"/>
          <w:spacing w:val="10"/>
          <w:szCs w:val="28"/>
          <w:rtl/>
        </w:rPr>
        <w:t xml:space="preserve">" ביחס ל-2 מיליון ש"ח בלבד, ומבקשים להימנע מיציקת תוכן פרשני חיצוני להסדר הנושים. לשיטתם, מסקנתו של בית המשפט קמא </w:t>
      </w:r>
      <w:r>
        <w:rPr>
          <w:rFonts w:ascii="Garamond" w:hAnsi="Garamond" w:cs="FrankRuehl"/>
          <w:spacing w:val="10"/>
          <w:szCs w:val="28"/>
          <w:rtl/>
        </w:rPr>
        <w:lastRenderedPageBreak/>
        <w:t xml:space="preserve">שגויה, משום שנושי החברות נתנו דעתם לכך שזהו הסכום המוגדר אשר יועבר לקופות הסדר הנושים, וכי ממנו ייגזרו הסכומים אשר יועברו לידיהם, כך שלא נוצרה להם כל ציפייה או הסתמכות לקבלת סכומים נוספים, בוודאי מקום בו החזר המע"מ אינו בגדר "מקור חדש" או "בלתי צפוי". הרוכשים והחברות, מן העבר השני, הביאו לטענתם בחשבון שהתמורה כוללת את רכיב המע"מ, כך שיוכלו לנכות מס תשומות כנגדו ולהשיב חלק מסוים מהתמורה בהחזר מע"מ. ציפייה זו מבוססת, כך נטען, על הוראות הדין הקובעות כי ברירת המחדל היא שסכום העסקה כולל את רכיב המע"מ (להלן: </w:t>
      </w:r>
      <w:r>
        <w:rPr>
          <w:rFonts w:ascii="Century" w:hAnsi="Century" w:cs="Miriam"/>
          <w:b/>
          <w:sz w:val="22"/>
          <w:rtl/>
        </w:rPr>
        <w:t>הטענה לציפיית החברות</w:t>
      </w:r>
      <w:r>
        <w:rPr>
          <w:rFonts w:ascii="Garamond" w:hAnsi="Garamond" w:cs="FrankRuehl"/>
          <w:spacing w:val="10"/>
          <w:szCs w:val="28"/>
          <w:rtl/>
        </w:rPr>
        <w:t xml:space="preserve">). הרוכשים והחברות העירו, כי הן מנהלת ההסדר, הן בית המשפט קמא, לא העלו את סוגיית המע"מ במסגרת הליך אישור הסדר הנושים, ואילו היו עושים כן, הרוכשים והחברות היו בוחנים בשנית את התחייבויותיהם במסגרתו. עוד ציינו, כי הסתמכותו של בית המשפט קמא על ההחלטה בעניין </w:t>
      </w:r>
      <w:r>
        <w:rPr>
          <w:rFonts w:ascii="Century" w:hAnsi="Century" w:cs="Miriam"/>
          <w:b/>
          <w:sz w:val="22"/>
          <w:rtl/>
        </w:rPr>
        <w:t>חכם</w:t>
      </w:r>
      <w:r>
        <w:rPr>
          <w:rFonts w:ascii="Garamond" w:hAnsi="Garamond" w:cs="FrankRuehl"/>
          <w:spacing w:val="10"/>
          <w:szCs w:val="28"/>
          <w:rtl/>
        </w:rPr>
        <w:t xml:space="preserve"> שגויה, שכן הקטע אליו מפנה בית המשפט קמא הובא כהערת אגב, וכי יישומו על נסיבות המקרה דנן מביא למסקנה ההפוכה. דברים אלו נתמכים, לשיטתם, גם בעובדה שהחברות הן ששילמו את מס העסקאות בגינו קמה הזכאות לנכות מס תשומות, וזאת בשים לב </w:t>
      </w:r>
      <w:hyperlink r:id="rId21" w:history="1">
        <w:r w:rsidR="0073718B" w:rsidRPr="0073718B">
          <w:rPr>
            <w:rStyle w:val="Hyperlink"/>
            <w:rFonts w:ascii="Garamond" w:hAnsi="Garamond" w:cs="FrankRuehl" w:hint="eastAsia"/>
            <w:spacing w:val="10"/>
            <w:szCs w:val="28"/>
            <w:rtl/>
          </w:rPr>
          <w:t>לסעיף</w:t>
        </w:r>
        <w:r w:rsidR="0073718B" w:rsidRPr="0073718B">
          <w:rPr>
            <w:rStyle w:val="Hyperlink"/>
            <w:rFonts w:ascii="Garamond" w:hAnsi="Garamond" w:cs="FrankRuehl"/>
            <w:spacing w:val="10"/>
            <w:szCs w:val="28"/>
            <w:rtl/>
          </w:rPr>
          <w:t xml:space="preserve"> 38(</w:t>
        </w:r>
        <w:r w:rsidR="0073718B" w:rsidRPr="0073718B">
          <w:rPr>
            <w:rStyle w:val="Hyperlink"/>
            <w:rFonts w:ascii="Garamond" w:hAnsi="Garamond" w:cs="FrankRuehl" w:hint="eastAsia"/>
            <w:spacing w:val="10"/>
            <w:szCs w:val="28"/>
            <w:rtl/>
          </w:rPr>
          <w:t>א</w:t>
        </w:r>
        <w:r w:rsidR="0073718B" w:rsidRPr="0073718B">
          <w:rPr>
            <w:rStyle w:val="Hyperlink"/>
            <w:rFonts w:ascii="Garamond" w:hAnsi="Garamond" w:cs="FrankRuehl"/>
            <w:spacing w:val="10"/>
            <w:szCs w:val="28"/>
            <w:rtl/>
          </w:rPr>
          <w:t>)</w:t>
        </w:r>
      </w:hyperlink>
      <w:r>
        <w:rPr>
          <w:rFonts w:ascii="Garamond" w:hAnsi="Garamond" w:cs="FrankRuehl"/>
          <w:spacing w:val="10"/>
          <w:szCs w:val="28"/>
          <w:rtl/>
        </w:rPr>
        <w:t xml:space="preserve"> ל</w:t>
      </w:r>
      <w:hyperlink r:id="rId22" w:history="1">
        <w:r w:rsidR="002F4E9F" w:rsidRPr="002F4E9F">
          <w:rPr>
            <w:rFonts w:ascii="Garamond" w:hAnsi="Garamond" w:cs="FrankRuehl" w:hint="eastAsia"/>
            <w:color w:val="0000FF"/>
            <w:spacing w:val="10"/>
            <w:szCs w:val="28"/>
            <w:u w:val="single"/>
            <w:rtl/>
          </w:rPr>
          <w:t>חוק</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מס</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ערך</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מוסף</w:t>
        </w:r>
      </w:hyperlink>
      <w:r>
        <w:rPr>
          <w:rFonts w:ascii="Garamond" w:hAnsi="Garamond" w:cs="FrankRuehl"/>
          <w:spacing w:val="10"/>
          <w:szCs w:val="28"/>
          <w:rtl/>
        </w:rPr>
        <w:t xml:space="preserve">, התשל"ו-1975 (להלן: </w:t>
      </w:r>
      <w:hyperlink r:id="rId23" w:history="1">
        <w:r w:rsidR="002F4E9F" w:rsidRPr="002F4E9F">
          <w:rPr>
            <w:rFonts w:ascii="Century" w:hAnsi="Century" w:cs="Miriam" w:hint="eastAsia"/>
            <w:b/>
            <w:color w:val="0000FF"/>
            <w:sz w:val="22"/>
            <w:u w:val="single"/>
            <w:rtl/>
          </w:rPr>
          <w:t>חוק</w:t>
        </w:r>
        <w:r w:rsidR="002F4E9F" w:rsidRPr="002F4E9F">
          <w:rPr>
            <w:rFonts w:ascii="Century" w:hAnsi="Century" w:cs="Miriam"/>
            <w:b/>
            <w:color w:val="0000FF"/>
            <w:sz w:val="22"/>
            <w:u w:val="single"/>
            <w:rtl/>
          </w:rPr>
          <w:t xml:space="preserve"> </w:t>
        </w:r>
        <w:r w:rsidR="002F4E9F" w:rsidRPr="002F4E9F">
          <w:rPr>
            <w:rFonts w:ascii="Century" w:hAnsi="Century" w:cs="Miriam" w:hint="eastAsia"/>
            <w:b/>
            <w:color w:val="0000FF"/>
            <w:sz w:val="22"/>
            <w:u w:val="single"/>
            <w:rtl/>
          </w:rPr>
          <w:t>מע</w:t>
        </w:r>
        <w:r w:rsidR="002F4E9F" w:rsidRPr="002F4E9F">
          <w:rPr>
            <w:rFonts w:ascii="Century" w:hAnsi="Century" w:cs="Miriam"/>
            <w:b/>
            <w:color w:val="0000FF"/>
            <w:sz w:val="22"/>
            <w:u w:val="single"/>
            <w:rtl/>
          </w:rPr>
          <w:t>"</w:t>
        </w:r>
        <w:r w:rsidR="002F4E9F" w:rsidRPr="002F4E9F">
          <w:rPr>
            <w:rFonts w:ascii="Century" w:hAnsi="Century" w:cs="Miriam" w:hint="eastAsia"/>
            <w:b/>
            <w:color w:val="0000FF"/>
            <w:sz w:val="22"/>
            <w:u w:val="single"/>
            <w:rtl/>
          </w:rPr>
          <w:t>מ</w:t>
        </w:r>
      </w:hyperlink>
      <w:r>
        <w:rPr>
          <w:rFonts w:ascii="Garamond" w:hAnsi="Garamond" w:cs="FrankRuehl"/>
          <w:spacing w:val="10"/>
          <w:szCs w:val="28"/>
          <w:rtl/>
        </w:rPr>
        <w:t>), הקובע את זכותו של עוסק לנכות את מס התשומות ממס "שהוא חייב בו".</w:t>
      </w:r>
    </w:p>
    <w:p w14:paraId="47321AD9"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Century" w:hAnsi="Century" w:cs="FrankRuehl"/>
          <w:spacing w:val="10"/>
          <w:sz w:val="22"/>
          <w:szCs w:val="28"/>
        </w:rPr>
      </w:pPr>
    </w:p>
    <w:p w14:paraId="683CBF6F"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בתשובת מנהלת ההסדר בהליך זה, זו טענה כי קבלת עמדת הרוכשים והחברות לפיה החזר המע"מ מוקנה להם, תוביל לכך שהתמורה תעמוד, הלכה למעשה, על כ-1.8 מיליון ש"ח (סך 2 מיליון ש"ח בניכוי החזר המע"מ). תוצאה זו עולה לדבריה כדי חוסר תום לב, התעשרות על חשבון נושי החברות וחתירה תחת הסכמות הצדדים. הוטעם, כי סכום התמורה כשלעצמו אינו חייב במע"מ, וכי הפעולה המהווה את המקור לקבלת החזר המע"מ היא חלוקת הדיבידנד, כאשר מבחינה מהותית מנהלת ההסדר, אשר ביצעה פעולה זו, היא הזכאית לקבלו עבור קופות הסדר הנושים של החברות, בשמם של נושי החברות. הוסבר, כי דרישת ההחזר בוצעה אומנם מבחינה פורמאלית וטכנית על ידי החברות, אך זאת רק משום שאין באמתחתה של מנהלת ההסדר מערך חשבונאי הולם לביצוע זיכויי המע"מ. עוד טענה מנהלת ההסדר כי בעניין </w:t>
      </w:r>
      <w:r>
        <w:rPr>
          <w:rFonts w:ascii="Century" w:hAnsi="Century" w:cs="Miriam"/>
          <w:b/>
          <w:sz w:val="22"/>
          <w:rtl/>
        </w:rPr>
        <w:t>חכם</w:t>
      </w:r>
      <w:r>
        <w:rPr>
          <w:rFonts w:ascii="Century" w:hAnsi="Century" w:cs="FrankRuehl"/>
          <w:spacing w:val="10"/>
          <w:sz w:val="22"/>
          <w:szCs w:val="28"/>
          <w:rtl/>
        </w:rPr>
        <w:t xml:space="preserve"> צוין, מבלי </w:t>
      </w:r>
      <w:r>
        <w:rPr>
          <w:rFonts w:ascii="Garamond" w:hAnsi="Garamond" w:cs="FrankRuehl"/>
          <w:spacing w:val="10"/>
          <w:szCs w:val="28"/>
          <w:rtl/>
        </w:rPr>
        <w:t>לטעת מסמרות, כי על רשויות המס להשיב את המע"מ לעוסק אשר שילמ</w:t>
      </w:r>
      <w:r>
        <w:rPr>
          <w:rFonts w:ascii="FrankRuehl" w:hAnsi="FrankRuehl" w:cs="FrankRuehl"/>
          <w:spacing w:val="10"/>
          <w:szCs w:val="28"/>
          <w:rtl/>
        </w:rPr>
        <w:t>וֹ</w:t>
      </w:r>
      <w:r>
        <w:rPr>
          <w:rFonts w:ascii="Garamond" w:hAnsi="Garamond" w:cs="FrankRuehl"/>
          <w:spacing w:val="10"/>
          <w:szCs w:val="28"/>
          <w:rtl/>
        </w:rPr>
        <w:t xml:space="preserve">, ובעניין דנן, מדובר במנהלת ההסדר אשר חילקה את הדיבידנדים. עוד הוער, כי לאחר מתן ההחלטה בעניין </w:t>
      </w:r>
      <w:r>
        <w:rPr>
          <w:rFonts w:ascii="Century" w:hAnsi="Century" w:cs="Miriam"/>
          <w:b/>
          <w:rtl/>
        </w:rPr>
        <w:t>חכם</w:t>
      </w:r>
      <w:r>
        <w:rPr>
          <w:rFonts w:ascii="Garamond" w:hAnsi="Garamond" w:cs="FrankRuehl"/>
          <w:spacing w:val="10"/>
          <w:szCs w:val="28"/>
          <w:rtl/>
        </w:rPr>
        <w:t>, הגיע המנהל המיוחד שם למסקנה כי עליו להשיב את תשלומי המע"מ לנושים, וכך יש להורות גם בענייננו (</w:t>
      </w:r>
      <w:hyperlink r:id="rId24" w:history="1">
        <w:r w:rsidR="002F4E9F" w:rsidRPr="002F4E9F">
          <w:rPr>
            <w:rFonts w:ascii="Garamond" w:hAnsi="Garamond" w:cs="FrankRuehl" w:hint="eastAsia"/>
            <w:color w:val="0000FF"/>
            <w:spacing w:val="10"/>
            <w:szCs w:val="28"/>
            <w:u w:val="single"/>
            <w:rtl/>
          </w:rPr>
          <w:t>פר</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ק</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מחוזי</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ת</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40516-02-21</w:t>
        </w:r>
      </w:hyperlink>
      <w:r>
        <w:rPr>
          <w:rFonts w:ascii="Garamond" w:hAnsi="Garamond" w:cs="FrankRuehl"/>
          <w:spacing w:val="10"/>
          <w:szCs w:val="28"/>
          <w:rtl/>
        </w:rPr>
        <w:t xml:space="preserve"> </w:t>
      </w:r>
      <w:r>
        <w:rPr>
          <w:rFonts w:ascii="Century" w:hAnsi="Century" w:cs="Miriam"/>
          <w:b/>
          <w:sz w:val="22"/>
          <w:rtl/>
        </w:rPr>
        <w:t>דרך התאנה בע"מ נ' כונס הנכסים הרשמי מחוז תל-אביב</w:t>
      </w:r>
      <w:r>
        <w:rPr>
          <w:rFonts w:ascii="Garamond" w:hAnsi="Garamond" w:cs="FrankRuehl"/>
          <w:spacing w:val="10"/>
          <w:szCs w:val="28"/>
          <w:rtl/>
        </w:rPr>
        <w:t xml:space="preserve">, פסקה 14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lastRenderedPageBreak/>
        <w:t>(26.6.2023)). נוסף על כך, מנהלת ההסדר הדגישה כי אין לקבל את הטענה לציפיית החברות, משום שאלו לא היו יכולים לצפות שמנהלת ההסדר תבצע את הליך החזר המע"מ דווקא באמצעותן. כמו כן, ככל שאכן התקיימה ציפייה כמתואר, היה על הרוכשים להתייחס אליה במסגרת המשא והמתן שנערך ביחס להסדר הנושים, ולציין זאת במפורש במסגרתו. למצער, היה עליהם לפנות למנהלת ההסדר בבקשה לקבל את החשבוניות שהנפיקו הנושים לשם קבלת ההחזר, ואילו מנהלת ההסדר היא זו שפנתה אליהם. מנגד, מוטעם, עומדת דווקא לנושים ציפייה לקבלת החזרי המע"מ, שכן הם מי שנשאו ברכיב המע"מ בגינו ניתן ההחזר.</w:t>
      </w:r>
    </w:p>
    <w:p w14:paraId="7D8905E6"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0CB43D12"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הממונה, בתשובתו בהליך דנן, ובשונה מעמדתו לפני בית המשפט קמא, תמך בתוצאה אליה הגיע בית המשפט קמא, אך מנימוקים שונים. לדברי הממונה, נקודת המוצא לדיון היא לשון הוראות הסדר הנושים, ואולם לשון זו שותקת בנסיבות העניין. שתיקה זו אינה ניתנת לגישתו ליישוב באמצעים פרשניים, ואף אין די בטענה הטכנית לפיה ההחזר התקבל בידי החברות כדי להכריע במחלוקת. בהינתן שהסוגיה לא נצפתה על ידי הצדדים להסדר, ולא זכתה להתייחסותם, דוחה הממונה את הטענה לציפיית החברות, משאינה נתמכת בכל ביסוס עובדתי או בשכל הישר. כן מבהיר הממונה, כי מס התשומות שנוכה מהחבות במע"מ נוצר מעצם תשלום הדיבידנד על ידי מנהלת ההסדר, מתוך מקורות ההסדר, לאחר המועד בו הופרדו קופות הסדר הנושים והחברות שבשליטת הרוכשים. עוד הוא מוסיף, כי מס העסקאות בגינו ניתן החזר המע"מ, אומנם שולם על ידי החברות, אך זאת עובר למועד בו הועברו לידי הרוכשים, ועל כן אין הוא מקנה לאחרונים זכות או נכס במצב הנוכחי. מטעמים אלו, כך נטען, זיקתו של החזר המע"מ מבחינה מהותית היא לקופת הסדר הנושים.</w:t>
      </w:r>
    </w:p>
    <w:p w14:paraId="7997A065"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8F1401F"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 xml:space="preserve">ביום 19.11.2023 הגישו הרוכשים והחברות את תגובתם לתשובותיהם של מנהלת ההסדר והממונה. </w:t>
      </w:r>
      <w:r>
        <w:rPr>
          <w:rFonts w:ascii="Century" w:hAnsi="Century" w:cs="Miriam"/>
          <w:b/>
          <w:sz w:val="22"/>
          <w:rtl/>
        </w:rPr>
        <w:t>ביחס לתשובת מנהלת ההסדר</w:t>
      </w:r>
      <w:r>
        <w:rPr>
          <w:rFonts w:ascii="Garamond" w:hAnsi="Garamond" w:cs="FrankRuehl"/>
          <w:spacing w:val="10"/>
          <w:szCs w:val="28"/>
          <w:rtl/>
        </w:rPr>
        <w:t xml:space="preserve">, הרוכשים התנגדו לקביעה לפיה החזר המע"מ צמח מחלוקת הדיבידנד ולא מביצוע הסדר הנושים. זאת, משום שהחברות הן העוסק אשר שילם את מס העסקאות בגינו קמה זכאות לניכוי מס תשומות, ומכיוון שהלכה למעשה כספי התמורה מהווים תשלום מטעם החברות לנושים, כאשר מנהלת ההסדר ממלאת בתשלום זה תפקיד מתווך בלבד. </w:t>
      </w:r>
      <w:r>
        <w:rPr>
          <w:rFonts w:ascii="Century" w:hAnsi="Century" w:cs="Miriam"/>
          <w:b/>
          <w:sz w:val="22"/>
          <w:rtl/>
        </w:rPr>
        <w:t>ביחס לתשובת הממונה</w:t>
      </w:r>
      <w:r>
        <w:rPr>
          <w:rFonts w:ascii="Garamond" w:hAnsi="Garamond" w:cs="FrankRuehl"/>
          <w:spacing w:val="10"/>
          <w:szCs w:val="28"/>
          <w:rtl/>
        </w:rPr>
        <w:t>, מציינים הרוכשים והחברות כי הממונה חזר בו מעמדתו בפני בית המשפט קמא ומוסיפים כי תשובתו בהליך דנן "</w:t>
      </w:r>
      <w:r>
        <w:rPr>
          <w:rFonts w:ascii="Century" w:hAnsi="Century" w:cs="Miriam"/>
          <w:b/>
          <w:sz w:val="22"/>
          <w:rtl/>
        </w:rPr>
        <w:t>מהוססת, לא קוהרנטית וחסרת יסוד</w:t>
      </w:r>
      <w:r>
        <w:rPr>
          <w:rFonts w:ascii="Garamond" w:hAnsi="Garamond" w:cs="FrankRuehl"/>
          <w:spacing w:val="10"/>
          <w:szCs w:val="28"/>
          <w:rtl/>
        </w:rPr>
        <w:t xml:space="preserve">" (סעיף 6 לתגובה). כך, בין היתר, נטען כי אין לקבל את הטענה לפיה הסדר הנושים שותק בנוגע </w:t>
      </w:r>
      <w:r>
        <w:rPr>
          <w:rFonts w:ascii="Garamond" w:hAnsi="Garamond" w:cs="FrankRuehl"/>
          <w:spacing w:val="10"/>
          <w:szCs w:val="28"/>
          <w:rtl/>
        </w:rPr>
        <w:lastRenderedPageBreak/>
        <w:t>לגורם הזכאי לקבל את החזר המע"מ, וזאת לאור ברירת המחדל בדין, שהייתה ידועה לצדדים, לפיה ככל שלא הותנה אחרת, כולל הסכום את רכיב המע"מ. הובהר, כי מטרת התיבות "</w:t>
      </w:r>
      <w:r>
        <w:rPr>
          <w:rFonts w:ascii="Century" w:hAnsi="Century" w:cs="Miriam"/>
          <w:b/>
          <w:sz w:val="22"/>
          <w:rtl/>
        </w:rPr>
        <w:t>סך כולל</w:t>
      </w:r>
      <w:r>
        <w:rPr>
          <w:rFonts w:ascii="Garamond" w:hAnsi="Garamond" w:cs="FrankRuehl"/>
          <w:spacing w:val="10"/>
          <w:szCs w:val="28"/>
          <w:rtl/>
        </w:rPr>
        <w:t>" ביחס לתמורה, היא להבהיר כי מדובר בסכום "ברוטו" אשר לא יתווסף עליו דבר. בשל הוראות הדין, נטען, נוצר לחברות אינטרס הסתמכות הן ביחס לכך שלא יחויבו בהעברת סכומים נוספים לנושים, והן ביחס לכך שיוכלו לקבל החזר מע"מ בגין ניכוי מס התשומות מהתשלום לנושיהן, שכן ידעו כי האחרונים הינם ספקים אשר ינפיקו חשבוניות מע"מ.</w:t>
      </w:r>
    </w:p>
    <w:p w14:paraId="6A35C1CC" w14:textId="77777777" w:rsidR="00E03354" w:rsidRDefault="00E03354" w:rsidP="00E03354">
      <w:pPr>
        <w:bidi w:val="0"/>
        <w:jc w:val="right"/>
        <w:rPr>
          <w:rFonts w:ascii="Century" w:hAnsi="Century" w:cs="Miriam"/>
          <w:b/>
          <w:sz w:val="22"/>
          <w:rtl/>
        </w:rPr>
      </w:pPr>
    </w:p>
    <w:p w14:paraId="2B589577" w14:textId="77777777" w:rsidR="00E03354" w:rsidRDefault="00000000" w:rsidP="00E03354">
      <w:pPr>
        <w:bidi w:val="0"/>
        <w:jc w:val="right"/>
        <w:rPr>
          <w:rFonts w:ascii="Century" w:hAnsi="Century" w:cs="Miriam"/>
          <w:b/>
          <w:sz w:val="22"/>
          <w:rtl/>
        </w:rPr>
      </w:pPr>
      <w:r>
        <w:rPr>
          <w:rFonts w:ascii="Century" w:hAnsi="Century" w:cs="Miriam"/>
          <w:b/>
          <w:sz w:val="22"/>
          <w:rtl/>
        </w:rPr>
        <w:t>דיון והכרעה</w:t>
      </w:r>
    </w:p>
    <w:p w14:paraId="006AAE5B"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17AF8E69"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 xml:space="preserve">לאחר שבחנתי את טענות הצדדים, ובכלל זאת את עמדת הממונה בהליך דנן, הגעתי לכלל מסקנה כי דין הערעור להידחות, מאחר שהתוצאה אליה הגיע בית המשפט קמא, ועיקרי ההנמקה התמציתית שנתן להחלטתו, נכונים, ואין מקום להתערב בהם. </w:t>
      </w:r>
    </w:p>
    <w:p w14:paraId="44F71236"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55826C35"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מן המפורסמות כי לבית המשפט של חדלות פירעון מוקנה שיקול דעת רחב וכי לא בנקל תתערב ערכאת הערעור בהחלטותיו, אלא במקרים חריגים בהם נפל פגם מהותי בהחלטה. זאת, בשל מומחיותו הייחודית והיכרותו הישירה עם בעלי הדין ועם נסיבותיהם הפרטניות של העניינים הנדונים לפניו (ראו </w:t>
      </w:r>
      <w:hyperlink r:id="rId25"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8389/20</w:t>
        </w:r>
      </w:hyperlink>
      <w:r>
        <w:rPr>
          <w:rFonts w:ascii="Garamond" w:hAnsi="Garamond" w:cs="FrankRuehl"/>
          <w:spacing w:val="10"/>
          <w:szCs w:val="28"/>
          <w:rtl/>
        </w:rPr>
        <w:t xml:space="preserve"> </w:t>
      </w:r>
      <w:r>
        <w:rPr>
          <w:rFonts w:ascii="Century" w:hAnsi="Century" w:cs="Miriam"/>
          <w:b/>
          <w:sz w:val="22"/>
          <w:rtl/>
        </w:rPr>
        <w:t>אלשטיין נ' עו"ד קליר ובנימיני בתוקף תפקידם ככונסי נכסים</w:t>
      </w:r>
      <w:r>
        <w:rPr>
          <w:rFonts w:ascii="Garamond" w:hAnsi="Garamond" w:cs="FrankRuehl"/>
          <w:spacing w:val="10"/>
          <w:szCs w:val="28"/>
          <w:rtl/>
        </w:rPr>
        <w:t xml:space="preserve">, פסקה 5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(9.2.2021); </w:t>
      </w:r>
      <w:hyperlink r:id="rId26"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7274/21</w:t>
        </w:r>
      </w:hyperlink>
      <w:r>
        <w:rPr>
          <w:rFonts w:ascii="Garamond" w:hAnsi="Garamond" w:cs="FrankRuehl"/>
          <w:spacing w:val="10"/>
          <w:szCs w:val="28"/>
          <w:rtl/>
        </w:rPr>
        <w:t xml:space="preserve"> </w:t>
      </w:r>
      <w:r>
        <w:rPr>
          <w:rFonts w:ascii="Century" w:hAnsi="Century" w:cs="Miriam"/>
          <w:b/>
          <w:sz w:val="22"/>
          <w:rtl/>
        </w:rPr>
        <w:t>בלולו נ' ברהולץ-סיטון-בלולו</w:t>
      </w:r>
      <w:r>
        <w:rPr>
          <w:rFonts w:ascii="Garamond" w:hAnsi="Garamond" w:cs="FrankRuehl"/>
          <w:spacing w:val="10"/>
          <w:szCs w:val="28"/>
          <w:rtl/>
        </w:rPr>
        <w:t xml:space="preserve">, פסקה 13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(15.11.2021); </w:t>
      </w:r>
      <w:hyperlink r:id="rId27"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5599/21</w:t>
        </w:r>
      </w:hyperlink>
      <w:r>
        <w:rPr>
          <w:rFonts w:ascii="Garamond" w:hAnsi="Garamond" w:cs="FrankRuehl"/>
          <w:spacing w:val="10"/>
          <w:szCs w:val="28"/>
          <w:rtl/>
        </w:rPr>
        <w:t xml:space="preserve"> </w:t>
      </w:r>
      <w:r>
        <w:rPr>
          <w:rFonts w:ascii="Century" w:hAnsi="Century" w:cs="Miriam"/>
          <w:b/>
          <w:sz w:val="22"/>
          <w:rtl/>
        </w:rPr>
        <w:t>בן מוחה נ' עו"ד זאבי</w:t>
      </w:r>
      <w:r>
        <w:rPr>
          <w:rFonts w:ascii="Garamond" w:hAnsi="Garamond" w:cs="FrankRuehl"/>
          <w:spacing w:val="10"/>
          <w:szCs w:val="28"/>
          <w:rtl/>
        </w:rPr>
        <w:t xml:space="preserve">, פסקה 8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(1.3.2022)). הדברים מקבלים משנה תוקף מקום בו מדובר במחלוקת ביחס לקביעותיו של בית משפט של חדלות פירעון בדבר פרשנותו של הסדר נושים, נוכח מעורבותו הפעילה בגיבושו (</w:t>
      </w:r>
      <w:hyperlink r:id="rId28"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7652/09</w:t>
        </w:r>
      </w:hyperlink>
      <w:r>
        <w:rPr>
          <w:rFonts w:ascii="Garamond" w:hAnsi="Garamond" w:cs="FrankRuehl"/>
          <w:spacing w:val="10"/>
          <w:szCs w:val="28"/>
          <w:rtl/>
        </w:rPr>
        <w:t xml:space="preserve"> </w:t>
      </w:r>
      <w:r>
        <w:rPr>
          <w:rFonts w:ascii="Century" w:hAnsi="Century" w:cs="Miriam"/>
          <w:b/>
          <w:sz w:val="22"/>
          <w:rtl/>
        </w:rPr>
        <w:t>עו"ד מולכו נ' עו"ד לורך</w:t>
      </w:r>
      <w:r>
        <w:rPr>
          <w:rFonts w:ascii="Garamond" w:hAnsi="Garamond" w:cs="FrankRuehl"/>
          <w:spacing w:val="10"/>
          <w:szCs w:val="28"/>
          <w:rtl/>
        </w:rPr>
        <w:t xml:space="preserve">, פסקה 15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(11.4.2011); </w:t>
      </w:r>
      <w:hyperlink r:id="rId29"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679/17</w:t>
        </w:r>
      </w:hyperlink>
      <w:r>
        <w:rPr>
          <w:rFonts w:ascii="Garamond" w:hAnsi="Garamond" w:cs="FrankRuehl"/>
          <w:spacing w:val="10"/>
          <w:szCs w:val="28"/>
          <w:rtl/>
        </w:rPr>
        <w:t xml:space="preserve"> </w:t>
      </w:r>
      <w:r>
        <w:rPr>
          <w:rFonts w:ascii="Century" w:hAnsi="Century" w:cs="Miriam"/>
          <w:b/>
          <w:sz w:val="22"/>
          <w:rtl/>
        </w:rPr>
        <w:t>מרכז לוגיסטי בי רבוע נדל"ן בע"מ נ' אורתם סהר הנדסה בע"מ</w:t>
      </w:r>
      <w:r>
        <w:rPr>
          <w:rFonts w:ascii="Garamond" w:hAnsi="Garamond" w:cs="FrankRuehl"/>
          <w:spacing w:val="10"/>
          <w:szCs w:val="28"/>
          <w:rtl/>
        </w:rPr>
        <w:t xml:space="preserve">, פסקאות 40-39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(11.2.2018) (להלן: </w:t>
      </w:r>
      <w:r>
        <w:rPr>
          <w:rFonts w:ascii="Century" w:hAnsi="Century" w:cs="Miriam"/>
          <w:b/>
          <w:sz w:val="22"/>
          <w:rtl/>
        </w:rPr>
        <w:t>עניין</w:t>
      </w:r>
      <w:r>
        <w:rPr>
          <w:rFonts w:ascii="Garamond" w:hAnsi="Garamond" w:cs="FrankRuehl"/>
          <w:spacing w:val="10"/>
          <w:szCs w:val="28"/>
          <w:rtl/>
        </w:rPr>
        <w:t xml:space="preserve"> </w:t>
      </w:r>
      <w:r>
        <w:rPr>
          <w:rFonts w:ascii="Century" w:hAnsi="Century" w:cs="Miriam"/>
          <w:b/>
          <w:sz w:val="22"/>
          <w:rtl/>
        </w:rPr>
        <w:t>בי רבוע</w:t>
      </w:r>
      <w:r>
        <w:rPr>
          <w:rFonts w:ascii="Garamond" w:hAnsi="Garamond" w:cs="FrankRuehl"/>
          <w:spacing w:val="10"/>
          <w:szCs w:val="28"/>
          <w:rtl/>
        </w:rPr>
        <w:t xml:space="preserve">); </w:t>
      </w:r>
      <w:hyperlink r:id="rId30"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582/17</w:t>
        </w:r>
      </w:hyperlink>
      <w:r>
        <w:rPr>
          <w:rFonts w:ascii="Garamond" w:hAnsi="Garamond" w:cs="FrankRuehl"/>
          <w:spacing w:val="10"/>
          <w:szCs w:val="28"/>
          <w:rtl/>
        </w:rPr>
        <w:t xml:space="preserve"> </w:t>
      </w:r>
      <w:r>
        <w:rPr>
          <w:rFonts w:ascii="Century" w:hAnsi="Century" w:cs="Miriam"/>
          <w:b/>
          <w:sz w:val="22"/>
          <w:rtl/>
        </w:rPr>
        <w:t>טאהר נ' נשר, עו"ד</w:t>
      </w:r>
      <w:r>
        <w:rPr>
          <w:rFonts w:ascii="Garamond" w:hAnsi="Garamond" w:cs="FrankRuehl"/>
          <w:spacing w:val="10"/>
          <w:szCs w:val="28"/>
          <w:rtl/>
        </w:rPr>
        <w:t xml:space="preserve">, פסקה 23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(25.2.2019) (להלן: </w:t>
      </w:r>
      <w:r>
        <w:rPr>
          <w:rFonts w:ascii="Century" w:hAnsi="Century" w:cs="Miriam"/>
          <w:b/>
          <w:sz w:val="22"/>
          <w:rtl/>
        </w:rPr>
        <w:t>עניין טאהר</w:t>
      </w:r>
      <w:r>
        <w:rPr>
          <w:rFonts w:ascii="Garamond" w:hAnsi="Garamond" w:cs="FrankRuehl"/>
          <w:spacing w:val="10"/>
          <w:szCs w:val="28"/>
          <w:rtl/>
        </w:rPr>
        <w:t>)). לא מצאתי כי נפל פגם מהותי בהחלטתו של בית המשפט קמא המצדיק את סטייתי מכלל אי-ההתערבות האמור. את דרך הילוכי אסביר עתה.</w:t>
      </w:r>
    </w:p>
    <w:p w14:paraId="077E1376"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Pr>
      </w:pPr>
    </w:p>
    <w:p w14:paraId="0ABD400E"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לפנינו שאלה פרשנית הנוגעת לאופן בו מסדיר הסדר הנושים את שאלת הזכאות לקבלת כספי החזר המע"מ – אם זו מוקנית לקופת החברות, כטענת המערערים, או שמא לקופות הסדר הנושים, כטענת מנהלת ההסדר. בטרם אדרש </w:t>
      </w:r>
      <w:r>
        <w:rPr>
          <w:rFonts w:ascii="Garamond" w:hAnsi="Garamond" w:cs="FrankRuehl"/>
          <w:spacing w:val="10"/>
          <w:szCs w:val="28"/>
          <w:rtl/>
        </w:rPr>
        <w:lastRenderedPageBreak/>
        <w:t>לביאורה של שאלה פרשנית זו ביחס להסדר הנושים, תחילה אבקש להעיר הערה מקדימה ביחס למהותה של קופת הסדר הנושים, ולהבחנה בינה ובין קופת החברה.</w:t>
      </w:r>
    </w:p>
    <w:p w14:paraId="194F16AE"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highlight w:val="green"/>
          <w:rtl/>
        </w:rPr>
      </w:pPr>
    </w:p>
    <w:p w14:paraId="0A25D087"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בחוק חדלות פירעון, ובכלל זאת </w:t>
      </w:r>
      <w:hyperlink r:id="rId31" w:history="1">
        <w:r w:rsidR="0073718B" w:rsidRPr="0073718B">
          <w:rPr>
            <w:rStyle w:val="Hyperlink"/>
            <w:rFonts w:ascii="Garamond" w:hAnsi="Garamond" w:cs="FrankRuehl" w:hint="eastAsia"/>
            <w:spacing w:val="10"/>
            <w:szCs w:val="28"/>
            <w:rtl/>
          </w:rPr>
          <w:t>בחלק</w:t>
        </w:r>
        <w:r w:rsidR="0073718B" w:rsidRPr="0073718B">
          <w:rPr>
            <w:rStyle w:val="Hyperlink"/>
            <w:rFonts w:ascii="Garamond" w:hAnsi="Garamond" w:cs="FrankRuehl"/>
            <w:spacing w:val="10"/>
            <w:szCs w:val="28"/>
            <w:rtl/>
          </w:rPr>
          <w:t xml:space="preserve"> </w:t>
        </w:r>
        <w:r w:rsidR="0073718B" w:rsidRPr="0073718B">
          <w:rPr>
            <w:rStyle w:val="Hyperlink"/>
            <w:rFonts w:ascii="Garamond" w:hAnsi="Garamond" w:cs="FrankRuehl" w:hint="eastAsia"/>
            <w:spacing w:val="10"/>
            <w:szCs w:val="28"/>
            <w:rtl/>
          </w:rPr>
          <w:t>י</w:t>
        </w:r>
      </w:hyperlink>
      <w:r>
        <w:rPr>
          <w:rFonts w:ascii="Garamond" w:hAnsi="Garamond" w:cs="FrankRuehl"/>
          <w:spacing w:val="10"/>
          <w:szCs w:val="28"/>
          <w:rtl/>
        </w:rPr>
        <w:t>' לחוק שעניינו בהסדרי חוב שלא במסגרת צו לפתיחת הליכים</w:t>
      </w:r>
      <w:r>
        <w:rPr>
          <w:rFonts w:ascii="Garamond" w:hAnsi="Garamond" w:cs="FrankRuehl"/>
          <w:spacing w:val="10"/>
          <w:szCs w:val="28"/>
        </w:rPr>
        <w:t xml:space="preserve"> </w:t>
      </w:r>
      <w:r>
        <w:rPr>
          <w:rFonts w:ascii="Garamond" w:hAnsi="Garamond" w:cs="FrankRuehl"/>
          <w:spacing w:val="10"/>
          <w:szCs w:val="28"/>
          <w:rtl/>
        </w:rPr>
        <w:t xml:space="preserve">(כגון זה הנדון בענייננו), לא מופיעה התייחסות במישרין למהותה של קופת הסדר הנושים. ברם, ניתן ללמוד על אופייה של קופה זו מההגדרה הקבועה </w:t>
      </w:r>
      <w:hyperlink r:id="rId32" w:history="1">
        <w:r w:rsidR="0073718B" w:rsidRPr="0073718B">
          <w:rPr>
            <w:rStyle w:val="Hyperlink"/>
            <w:rFonts w:ascii="Garamond" w:hAnsi="Garamond" w:cs="FrankRuehl" w:hint="eastAsia"/>
            <w:spacing w:val="10"/>
            <w:szCs w:val="28"/>
            <w:rtl/>
          </w:rPr>
          <w:t>בסעיף</w:t>
        </w:r>
        <w:r w:rsidR="0073718B" w:rsidRPr="0073718B">
          <w:rPr>
            <w:rStyle w:val="Hyperlink"/>
            <w:rFonts w:ascii="Garamond" w:hAnsi="Garamond" w:cs="FrankRuehl"/>
            <w:spacing w:val="10"/>
            <w:szCs w:val="28"/>
            <w:rtl/>
          </w:rPr>
          <w:t xml:space="preserve"> 216(1)</w:t>
        </w:r>
      </w:hyperlink>
      <w:r>
        <w:rPr>
          <w:rFonts w:ascii="Garamond" w:hAnsi="Garamond" w:cs="FrankRuehl"/>
          <w:spacing w:val="10"/>
          <w:szCs w:val="28"/>
          <w:rtl/>
        </w:rPr>
        <w:t xml:space="preserve"> לחוק ל"</w:t>
      </w:r>
      <w:r>
        <w:rPr>
          <w:rFonts w:ascii="Century" w:hAnsi="Century" w:cs="Miriam"/>
          <w:b/>
          <w:sz w:val="22"/>
          <w:rtl/>
        </w:rPr>
        <w:t>נכסי קופת הנשייה</w:t>
      </w:r>
      <w:r>
        <w:rPr>
          <w:rFonts w:ascii="Garamond" w:hAnsi="Garamond" w:cs="FrankRuehl"/>
          <w:spacing w:val="10"/>
          <w:szCs w:val="28"/>
          <w:rtl/>
        </w:rPr>
        <w:t>", המוקמת במקרים בהם מאושרת תכנית לשיקום כלכלי לגבי תאגיד שניתן לגביו צו לפתיחת הליכים. באותם מקרים, יבואו בסל נכסי הקופה "</w:t>
      </w:r>
      <w:r>
        <w:rPr>
          <w:rFonts w:ascii="Century" w:hAnsi="Century" w:cs="Miriam"/>
          <w:b/>
          <w:sz w:val="22"/>
          <w:rtl/>
        </w:rPr>
        <w:t>כל נכס של התאגיד בהתאם להוראות התכנית</w:t>
      </w:r>
      <w:r>
        <w:rPr>
          <w:rFonts w:ascii="Garamond" w:hAnsi="Garamond" w:cs="FrankRuehl"/>
          <w:spacing w:val="10"/>
          <w:szCs w:val="28"/>
          <w:rtl/>
        </w:rPr>
        <w:t xml:space="preserve"> [לשיקום כלכלי]" (יצוין, כי תכניות לשיקום כלכלי דומות במהותן להסדרי חוב מהסוג בו עסקינן, שכן הן מגובשות על ידי הנאמן במטרה להביא להבראתה של החברה לצד פירעון חלקי של זכויות הנושים, בתמורה לוויתור על זכויותיהם. על דמיון זה מעידים דברי ההסבר לחוק, המבהירים כי ההבחנה בין תכנית לשיקום כלכלי לבין הסדר חוב שלא במסגרת צו למתן הליכים לפי חלק י' להצעת החוק מהווה "</w:t>
      </w:r>
      <w:r>
        <w:rPr>
          <w:rFonts w:ascii="Century" w:hAnsi="Century" w:cs="Miriam"/>
          <w:b/>
          <w:sz w:val="22"/>
          <w:rtl/>
        </w:rPr>
        <w:t xml:space="preserve">הבדל צורני בלבד </w:t>
      </w:r>
      <w:r>
        <w:rPr>
          <w:rFonts w:ascii="Century" w:hAnsi="Century" w:cs="FrankRuehl"/>
          <w:spacing w:val="10"/>
          <w:sz w:val="22"/>
          <w:szCs w:val="28"/>
          <w:rtl/>
        </w:rPr>
        <w:t>[ש]</w:t>
      </w:r>
      <w:r>
        <w:rPr>
          <w:rFonts w:ascii="Century" w:hAnsi="Century" w:cs="Miriam"/>
          <w:b/>
          <w:sz w:val="22"/>
          <w:rtl/>
        </w:rPr>
        <w:t>תכליתו לפשט את מבנה החוק</w:t>
      </w:r>
      <w:r>
        <w:rPr>
          <w:rFonts w:ascii="Garamond" w:hAnsi="Garamond" w:cs="FrankRuehl"/>
          <w:spacing w:val="10"/>
          <w:szCs w:val="28"/>
          <w:rtl/>
        </w:rPr>
        <w:t xml:space="preserve">". ראו הצעת חוק חדלות פירעון ושיקום כלכלי, התשע"ו-2016, 604, 649 (להלן: </w:t>
      </w:r>
      <w:r>
        <w:rPr>
          <w:rFonts w:ascii="Century" w:hAnsi="Century" w:cs="Miriam"/>
          <w:b/>
          <w:sz w:val="22"/>
          <w:rtl/>
        </w:rPr>
        <w:t>דברי ההסבר</w:t>
      </w:r>
      <w:r>
        <w:rPr>
          <w:rFonts w:ascii="Century" w:hAnsi="Century" w:cs="Miriam"/>
          <w:b/>
          <w:rtl/>
        </w:rPr>
        <w:t xml:space="preserve"> לחוק</w:t>
      </w:r>
      <w:r>
        <w:rPr>
          <w:rFonts w:ascii="Garamond" w:hAnsi="Garamond" w:cs="FrankRuehl"/>
          <w:spacing w:val="10"/>
          <w:szCs w:val="28"/>
          <w:rtl/>
        </w:rPr>
        <w:t xml:space="preserve">)). </w:t>
      </w:r>
    </w:p>
    <w:p w14:paraId="67BD912C"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6E7745C9"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קופת הסדר הנושים איננה ישות משפטית נפרדת מהחברה, כי אם כינוי לאסופת הנכסים אשר הוחרגו מקופת החברה והמהווים את קניינה המיועד לפירעון חובותיה כלפי נושיה (ראו דברי ההסבר לחוק, בעמ' 710, המבהירים כי "</w:t>
      </w:r>
      <w:r>
        <w:rPr>
          <w:rFonts w:ascii="Century" w:hAnsi="Century" w:cs="Miriam"/>
          <w:b/>
          <w:sz w:val="22"/>
          <w:rtl/>
        </w:rPr>
        <w:t>נכסי קופת הנשייה הם נכסי החייב שישמשו לפירעון חובות העבר שלו בהליכי חדלות הפירעון. קופת הנשייה איננה אישיות משפטית נפרדת אלא רק כינוי לנכסים אלה</w:t>
      </w:r>
      <w:r>
        <w:rPr>
          <w:rFonts w:ascii="Garamond" w:hAnsi="Garamond" w:cs="FrankRuehl"/>
          <w:spacing w:val="10"/>
          <w:szCs w:val="28"/>
          <w:rtl/>
        </w:rPr>
        <w:t xml:space="preserve">"). כיוצא בכך, לחלוקת הנכסים בין קופת החברה לבין קופת הסדר הנושים ישנה נפקות מעשית הצומחת עם ביצועו של הסדר הנושים, עת מוקצים החובות והזכויות בנכסי החברה לחברות המובראות (קופת החברות) מחד גיסא, ולנושים (קופת הסדר הנושים) מאידך גיסא. </w:t>
      </w:r>
    </w:p>
    <w:p w14:paraId="70BD1312"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20919ED7"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ab/>
        <w:t xml:space="preserve">ודוק, דיני חדלות הפירעון אינם מגדירים את ברירת המחדל ביחס לחלוקת נכסי החברה במסגרת הסדרי נושים (וזאת להבדיל מבהליכי פירוק; ראו: </w:t>
      </w:r>
      <w:hyperlink r:id="rId33" w:history="1">
        <w:r w:rsidR="0073718B" w:rsidRPr="0073718B">
          <w:rPr>
            <w:rStyle w:val="Hyperlink"/>
            <w:rFonts w:ascii="Garamond" w:hAnsi="Garamond" w:cs="FrankRuehl" w:hint="eastAsia"/>
            <w:spacing w:val="10"/>
            <w:szCs w:val="28"/>
            <w:rtl/>
          </w:rPr>
          <w:t>סעיף</w:t>
        </w:r>
        <w:r w:rsidR="0073718B" w:rsidRPr="0073718B">
          <w:rPr>
            <w:rStyle w:val="Hyperlink"/>
            <w:rFonts w:ascii="Garamond" w:hAnsi="Garamond" w:cs="FrankRuehl"/>
            <w:spacing w:val="10"/>
            <w:szCs w:val="28"/>
            <w:rtl/>
          </w:rPr>
          <w:t xml:space="preserve"> 216(1)</w:t>
        </w:r>
      </w:hyperlink>
      <w:r>
        <w:rPr>
          <w:rFonts w:ascii="Garamond" w:hAnsi="Garamond" w:cs="FrankRuehl"/>
          <w:spacing w:val="10"/>
          <w:szCs w:val="28"/>
          <w:rtl/>
        </w:rPr>
        <w:t xml:space="preserve"> לחוק הקובע כי קופת הנשייה תכלול: "</w:t>
      </w:r>
      <w:r>
        <w:rPr>
          <w:rFonts w:ascii="Century" w:hAnsi="Century" w:cs="Miriam"/>
          <w:b/>
          <w:sz w:val="22"/>
          <w:rtl/>
        </w:rPr>
        <w:t>כל נכס של התאגיד במועד מתן הצו לפתיחת הליכים וכל נכס שיוקנה לתאגיד עד למועד חיסולו</w:t>
      </w:r>
      <w:r>
        <w:rPr>
          <w:rFonts w:ascii="Garamond" w:hAnsi="Garamond" w:cs="FrankRuehl"/>
          <w:spacing w:val="10"/>
          <w:szCs w:val="28"/>
          <w:rtl/>
        </w:rPr>
        <w:t xml:space="preserve">"). משמעות הדבר היא כי ההכרעה בדבר הזכאות לקבלת כספי החזרי המע"מ – לקופת החברה או לקופות הסדר הנושים </w:t>
      </w:r>
      <w:r>
        <w:rPr>
          <w:rFonts w:ascii="Garamond" w:hAnsi="Garamond" w:cs="FrankRuehl"/>
          <w:spacing w:val="10"/>
          <w:szCs w:val="28"/>
          <w:rtl/>
        </w:rPr>
        <w:lastRenderedPageBreak/>
        <w:t>– תלויה בהסדר הנושים הנדון ובפרשנות הסכמות הצדדים במסגרתו. משביארנו זאת, אפנה לבחינה זו.</w:t>
      </w:r>
    </w:p>
    <w:p w14:paraId="0D8756FB"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highlight w:val="green"/>
          <w:rtl/>
        </w:rPr>
      </w:pPr>
    </w:p>
    <w:p w14:paraId="1C20897E"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כפי שנפסק לא אחת, פרשנות של הסדר נושים צריכה להיעשות באמצעות כללי הפרשנות של דיני החוזים, וזאת משום שהסדר הנושים, מטבעו, מהווה חוזה המבטא הסכמות בין שני הצדדים: החברה ונושיה (עניין </w:t>
      </w:r>
      <w:r>
        <w:rPr>
          <w:rFonts w:ascii="Garamond" w:hAnsi="Garamond" w:cs="Miriam"/>
          <w:b/>
          <w:sz w:val="22"/>
          <w:rtl/>
        </w:rPr>
        <w:t>טאהר</w:t>
      </w:r>
      <w:r>
        <w:rPr>
          <w:rFonts w:ascii="Garamond" w:hAnsi="Garamond" w:cs="FrankRuehl"/>
          <w:spacing w:val="10"/>
          <w:szCs w:val="28"/>
          <w:rtl/>
        </w:rPr>
        <w:t xml:space="preserve">, בפסקה 17; </w:t>
      </w:r>
      <w:hyperlink r:id="rId34"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2467/22</w:t>
        </w:r>
      </w:hyperlink>
      <w:r>
        <w:rPr>
          <w:rFonts w:ascii="Garamond" w:hAnsi="Garamond" w:cs="FrankRuehl"/>
          <w:spacing w:val="10"/>
          <w:szCs w:val="28"/>
          <w:rtl/>
        </w:rPr>
        <w:t xml:space="preserve"> </w:t>
      </w:r>
      <w:r>
        <w:rPr>
          <w:rFonts w:ascii="Garamond" w:hAnsi="Garamond" w:cs="Miriam"/>
          <w:b/>
          <w:sz w:val="22"/>
          <w:rtl/>
        </w:rPr>
        <w:t>עברי נ' עו"ד חבר בתוקף תפקידו כנאמן להסדר של חברת אשפלסט מסחר ותעשיות פלסטיק 1999 בע"מ</w:t>
      </w:r>
      <w:r>
        <w:rPr>
          <w:rFonts w:ascii="Garamond" w:hAnsi="Garamond" w:cs="FrankRuehl"/>
          <w:spacing w:val="10"/>
          <w:szCs w:val="28"/>
          <w:rtl/>
        </w:rPr>
        <w:t xml:space="preserve">, פסקה 24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(14.11.2023) (להלן: </w:t>
      </w:r>
      <w:r>
        <w:rPr>
          <w:rFonts w:ascii="Garamond" w:hAnsi="Garamond" w:cs="Miriam"/>
          <w:b/>
          <w:sz w:val="22"/>
          <w:rtl/>
        </w:rPr>
        <w:t>עניין עברי</w:t>
      </w:r>
      <w:r>
        <w:rPr>
          <w:rFonts w:ascii="Garamond" w:hAnsi="Garamond" w:cs="FrankRuehl"/>
          <w:spacing w:val="10"/>
          <w:szCs w:val="28"/>
          <w:rtl/>
        </w:rPr>
        <w:t xml:space="preserve">)). פרשנותו של הסדר הנושים, כחוזה מיוחד, צריכה להיעשות בשים לב למסגרת המשפטית הרלוונטית לו, ובענייננו, המדובר בעקרונות הנוהגים בדיני חדלות הפירעון (עניין </w:t>
      </w:r>
      <w:r>
        <w:rPr>
          <w:rFonts w:ascii="Garamond" w:hAnsi="Garamond" w:cs="Miriam"/>
          <w:b/>
          <w:sz w:val="22"/>
          <w:rtl/>
        </w:rPr>
        <w:t>בי רבוע</w:t>
      </w:r>
      <w:r>
        <w:rPr>
          <w:rFonts w:ascii="Garamond" w:hAnsi="Garamond" w:cs="FrankRuehl"/>
          <w:spacing w:val="10"/>
          <w:szCs w:val="28"/>
          <w:rtl/>
        </w:rPr>
        <w:t xml:space="preserve">, בפסקאות 32-31; </w:t>
      </w:r>
      <w:hyperlink r:id="rId35" w:history="1">
        <w:r w:rsidR="002F4E9F" w:rsidRPr="002F4E9F">
          <w:rPr>
            <w:rFonts w:ascii="Garamond" w:hAnsi="Garamond" w:cs="FrankRuehl" w:hint="eastAsia"/>
            <w:color w:val="0000FF"/>
            <w:spacing w:val="10"/>
            <w:szCs w:val="28"/>
            <w:u w:val="single"/>
            <w:rtl/>
          </w:rPr>
          <w:t>רע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9183/20</w:t>
        </w:r>
      </w:hyperlink>
      <w:r>
        <w:rPr>
          <w:rFonts w:ascii="Garamond" w:hAnsi="Garamond" w:cs="FrankRuehl"/>
          <w:spacing w:val="10"/>
          <w:szCs w:val="28"/>
          <w:rtl/>
        </w:rPr>
        <w:t xml:space="preserve"> </w:t>
      </w:r>
      <w:r>
        <w:rPr>
          <w:rFonts w:ascii="Garamond" w:hAnsi="Garamond" w:cs="Miriam"/>
          <w:b/>
          <w:sz w:val="22"/>
          <w:rtl/>
        </w:rPr>
        <w:t>קרן מוסטנג מזנין נ' עו"ד ורדי</w:t>
      </w:r>
      <w:r>
        <w:rPr>
          <w:rFonts w:ascii="Garamond" w:hAnsi="Garamond" w:cs="FrankRuehl"/>
          <w:spacing w:val="10"/>
          <w:szCs w:val="28"/>
          <w:rtl/>
        </w:rPr>
        <w:t xml:space="preserve">, פסקה 18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(25.3.2021) (להלן: </w:t>
      </w:r>
      <w:r>
        <w:rPr>
          <w:rFonts w:ascii="Garamond" w:hAnsi="Garamond" w:cs="Miriam"/>
          <w:b/>
          <w:sz w:val="22"/>
          <w:rtl/>
        </w:rPr>
        <w:t>עניין קרן מוסטנג מזנין</w:t>
      </w:r>
      <w:r>
        <w:rPr>
          <w:rFonts w:ascii="Garamond" w:hAnsi="Garamond" w:cs="FrankRuehl"/>
          <w:spacing w:val="10"/>
          <w:szCs w:val="28"/>
          <w:rtl/>
        </w:rPr>
        <w:t xml:space="preserve">); עניין </w:t>
      </w:r>
      <w:r>
        <w:rPr>
          <w:rFonts w:ascii="Garamond" w:hAnsi="Garamond" w:cs="Miriam"/>
          <w:b/>
          <w:sz w:val="22"/>
          <w:rtl/>
        </w:rPr>
        <w:t>עברי</w:t>
      </w:r>
      <w:r>
        <w:rPr>
          <w:rFonts w:ascii="Garamond" w:hAnsi="Garamond" w:cs="FrankRuehl"/>
          <w:spacing w:val="10"/>
          <w:szCs w:val="28"/>
          <w:rtl/>
        </w:rPr>
        <w:t>, בפסקה 24).</w:t>
      </w:r>
    </w:p>
    <w:p w14:paraId="274763FE"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p>
    <w:p w14:paraId="78D3CA1B"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נקודת המוצא הפרשנית היא לשונו של הסד</w:t>
      </w:r>
      <w:r>
        <w:rPr>
          <w:rFonts w:ascii="Century" w:hAnsi="Century" w:cs="FrankRuehl"/>
          <w:spacing w:val="10"/>
          <w:sz w:val="22"/>
          <w:szCs w:val="28"/>
          <w:rtl/>
        </w:rPr>
        <w:t>ר הנושים (</w:t>
      </w:r>
      <w:hyperlink r:id="rId36" w:history="1">
        <w:r w:rsidR="0073718B" w:rsidRPr="0073718B">
          <w:rPr>
            <w:rStyle w:val="Hyperlink"/>
            <w:rFonts w:ascii="Century" w:hAnsi="Century" w:cs="FrankRuehl" w:hint="eastAsia"/>
            <w:spacing w:val="10"/>
            <w:sz w:val="22"/>
            <w:szCs w:val="28"/>
            <w:rtl/>
          </w:rPr>
          <w:t>סעיף</w:t>
        </w:r>
        <w:r w:rsidR="0073718B" w:rsidRPr="0073718B">
          <w:rPr>
            <w:rStyle w:val="Hyperlink"/>
            <w:rFonts w:ascii="Century" w:hAnsi="Century" w:cs="FrankRuehl"/>
            <w:spacing w:val="10"/>
            <w:sz w:val="22"/>
            <w:szCs w:val="28"/>
            <w:rtl/>
          </w:rPr>
          <w:t xml:space="preserve"> 25(</w:t>
        </w:r>
        <w:r w:rsidR="0073718B" w:rsidRPr="0073718B">
          <w:rPr>
            <w:rStyle w:val="Hyperlink"/>
            <w:rFonts w:ascii="Century" w:hAnsi="Century" w:cs="FrankRuehl" w:hint="eastAsia"/>
            <w:spacing w:val="10"/>
            <w:sz w:val="22"/>
            <w:szCs w:val="28"/>
            <w:rtl/>
          </w:rPr>
          <w:t>א</w:t>
        </w:r>
        <w:r w:rsidR="0073718B" w:rsidRPr="0073718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37" w:history="1">
        <w:r w:rsidR="002F4E9F" w:rsidRPr="002F4E9F">
          <w:rPr>
            <w:rFonts w:ascii="Century" w:hAnsi="Century" w:cs="FrankRuehl" w:hint="eastAsia"/>
            <w:color w:val="0000FF"/>
            <w:spacing w:val="10"/>
            <w:sz w:val="22"/>
            <w:szCs w:val="28"/>
            <w:u w:val="single"/>
            <w:rtl/>
          </w:rPr>
          <w:t>חוק</w:t>
        </w:r>
        <w:r w:rsidR="002F4E9F" w:rsidRPr="002F4E9F">
          <w:rPr>
            <w:rFonts w:ascii="Century" w:hAnsi="Century" w:cs="FrankRuehl"/>
            <w:color w:val="0000FF"/>
            <w:spacing w:val="10"/>
            <w:sz w:val="22"/>
            <w:szCs w:val="28"/>
            <w:u w:val="single"/>
            <w:rtl/>
          </w:rPr>
          <w:t xml:space="preserve"> </w:t>
        </w:r>
        <w:r w:rsidR="002F4E9F" w:rsidRPr="002F4E9F">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(חלק כללי), התשל"</w:t>
      </w:r>
      <w:r>
        <w:rPr>
          <w:rFonts w:ascii="Garamond" w:hAnsi="Garamond" w:cs="FrankRuehl"/>
          <w:spacing w:val="10"/>
          <w:szCs w:val="28"/>
          <w:rtl/>
        </w:rPr>
        <w:t xml:space="preserve">ג-1973; </w:t>
      </w:r>
      <w:hyperlink r:id="rId38"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1164/10</w:t>
        </w:r>
      </w:hyperlink>
      <w:r>
        <w:rPr>
          <w:rFonts w:ascii="Garamond" w:hAnsi="Garamond" w:cs="FrankRuehl"/>
          <w:spacing w:val="10"/>
          <w:szCs w:val="28"/>
          <w:rtl/>
        </w:rPr>
        <w:t xml:space="preserve"> </w:t>
      </w:r>
      <w:r>
        <w:rPr>
          <w:rFonts w:ascii="Garamond" w:hAnsi="Garamond" w:cs="Miriam"/>
          <w:b/>
          <w:sz w:val="22"/>
          <w:rtl/>
        </w:rPr>
        <w:t>עזבון המנוח מן ז"ל נ' יצחק גולדנצוייג עו"ד מפרק א.ב.ס הולדינגס בע"מ</w:t>
      </w:r>
      <w:r>
        <w:rPr>
          <w:rFonts w:ascii="Garamond" w:hAnsi="Garamond" w:cs="FrankRuehl"/>
          <w:spacing w:val="10"/>
          <w:szCs w:val="28"/>
          <w:rtl/>
        </w:rPr>
        <w:t xml:space="preserve">, פסקה 11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(30.5.2011) (להלן: </w:t>
      </w:r>
      <w:r>
        <w:rPr>
          <w:rFonts w:ascii="Century" w:hAnsi="Century" w:cs="Miriam"/>
          <w:b/>
          <w:sz w:val="22"/>
          <w:rtl/>
        </w:rPr>
        <w:t>עניין עזבון המנוח מן</w:t>
      </w:r>
      <w:r>
        <w:rPr>
          <w:rFonts w:ascii="Garamond" w:hAnsi="Garamond" w:cs="FrankRuehl"/>
          <w:spacing w:val="10"/>
          <w:szCs w:val="28"/>
          <w:rtl/>
        </w:rPr>
        <w:t xml:space="preserve">); </w:t>
      </w:r>
      <w:hyperlink r:id="rId39" w:history="1">
        <w:r w:rsidR="002F4E9F" w:rsidRPr="002F4E9F">
          <w:rPr>
            <w:rFonts w:ascii="Garamond" w:hAnsi="Garamond" w:cs="FrankRuehl" w:hint="eastAsia"/>
            <w:color w:val="0000FF"/>
            <w:spacing w:val="10"/>
            <w:szCs w:val="28"/>
            <w:u w:val="single"/>
            <w:rtl/>
          </w:rPr>
          <w:t>רע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6388/19</w:t>
        </w:r>
      </w:hyperlink>
      <w:r>
        <w:rPr>
          <w:rFonts w:ascii="Garamond" w:hAnsi="Garamond" w:cs="FrankRuehl"/>
          <w:spacing w:val="10"/>
          <w:szCs w:val="28"/>
          <w:rtl/>
        </w:rPr>
        <w:t xml:space="preserve"> </w:t>
      </w:r>
      <w:r>
        <w:rPr>
          <w:rFonts w:ascii="Century" w:hAnsi="Century" w:cs="Miriam"/>
          <w:b/>
          <w:sz w:val="22"/>
          <w:rtl/>
        </w:rPr>
        <w:t>הפניקס חברה לביטוח בע"מ נ' הופמן</w:t>
      </w:r>
      <w:r>
        <w:rPr>
          <w:rFonts w:ascii="Garamond" w:hAnsi="Garamond" w:cs="FrankRuehl"/>
          <w:spacing w:val="10"/>
          <w:szCs w:val="28"/>
          <w:rtl/>
        </w:rPr>
        <w:t xml:space="preserve">, פסקה 72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(22.6.2023) (להלן: </w:t>
      </w:r>
      <w:r>
        <w:rPr>
          <w:rFonts w:ascii="Century" w:hAnsi="Century" w:cs="Miriam"/>
          <w:b/>
          <w:sz w:val="22"/>
          <w:rtl/>
        </w:rPr>
        <w:t>עניין הופמן</w:t>
      </w:r>
      <w:r>
        <w:rPr>
          <w:rFonts w:ascii="Garamond" w:hAnsi="Garamond" w:cs="FrankRuehl"/>
          <w:spacing w:val="10"/>
          <w:szCs w:val="28"/>
          <w:rtl/>
        </w:rPr>
        <w:t>), ובענייננו, סעיף 21 להסדר הנושים, אשר קובע כי: "</w:t>
      </w:r>
      <w:r>
        <w:rPr>
          <w:rFonts w:ascii="Century" w:hAnsi="Century" w:cs="Miriam"/>
          <w:b/>
          <w:sz w:val="22"/>
          <w:rtl/>
        </w:rPr>
        <w:t>המשקיע ישלם לקופת מנהל ההסדר סך כולל של 2,000,000 ₪ עבור פירעון חלק מחובות באופן הבא: סך של 1,170,000 ₪ עבור נושי החברה וסך של 830,000 ₪ עבור נושי גינקו</w:t>
      </w:r>
      <w:r>
        <w:rPr>
          <w:rFonts w:ascii="Century" w:hAnsi="Century" w:cs="FrankRuehl"/>
          <w:spacing w:val="10"/>
          <w:sz w:val="22"/>
          <w:szCs w:val="28"/>
          <w:rtl/>
        </w:rPr>
        <w:t>"</w:t>
      </w:r>
      <w:r>
        <w:rPr>
          <w:rFonts w:ascii="Garamond" w:hAnsi="Garamond" w:cs="FrankRuehl"/>
          <w:spacing w:val="10"/>
          <w:szCs w:val="28"/>
          <w:rtl/>
        </w:rPr>
        <w:t xml:space="preserve">. טענת המערערים ביחס ללשון זו, בתמצית, היא כי התיבה "סך כולל" מעידה על כך שלא התחייבו להעביר לקופות הסדר הנושים כל סכום נוסף על הסכום הנקוב (2 מיליון ש"ח). מנגד, מנהלת ההסדר מדגישה כי פרשנות לשונית כאמור תוביל לתוצאה בלתי מתקבלת על הדעת, בה ישלמו הרוכשים בפועל סכום נמוך מסך התמורה שנקבעה בהסדר הנושים. הממונה, אשר הפך מסקנתו בערכאה זו ביחס לעמדתו בבית המשפט קמא, טוען עתה כי הסדר הנושים שותק ביחס לסוגיית המע"מ. במחלוקת זו, עמדתי כעמדת הממונה כפי שהוצגה בפניי, שכן הסדר הנושים אינו מתייחס כלל לשאלה למי שייכת הזכאות לקבלת כספי החזר המע"מ בהם עסקינן – לקופות הסדר הנושים או לקופת החברות, וכל ניסיון של מי מהצדדים לטעון בדבר לשונו של הסדר הנושים הוא בבחינת הנחת המבוקש. ודוק, ניסיון המערערים לטעון כי התיבה "סך כולל" בסעיף 21 להסדר הנושים מסדירה עניין זה אינו יכול להתקבל, מאחר שהוראה זו מתייחסת לסכום שהרוכשים ישלמו, ולא לשאלה מהם הנכסים שיקבלו (קרי, מה יוותר בקופת </w:t>
      </w:r>
      <w:r>
        <w:rPr>
          <w:rFonts w:ascii="Garamond" w:hAnsi="Garamond" w:cs="FrankRuehl"/>
          <w:spacing w:val="10"/>
          <w:szCs w:val="28"/>
          <w:rtl/>
        </w:rPr>
        <w:lastRenderedPageBreak/>
        <w:t xml:space="preserve">החברות). משקבעתי כך, יש להידרש לאופייה של השתיקה ולסווגה בהתאם לכללים שנקבעו בפסיקה. </w:t>
      </w:r>
    </w:p>
    <w:p w14:paraId="6FFD6EE8"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6894B948"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כפי שהסברתי בעבר, מקום בו טקסט משפטי "שותק" קיימות מספר פרשנויות לשתיקה זו: יכול הפרשן לקבוע כי מדובר בהסדר המשתמע מהוראות אחרות של הטקסט העומד לבחינה; כי מדובר בהסדר שנותר מחוץ לטקסט המשפטי תוך שהצדדים לא הביעו כל עמדה ביחס אליו, ועל כן ניתן ללמוד עליו מהסכמות אחרות של הצדדים או מהסדרים אחרים של הדין הרלוונטי לעניין; כי מדובר בהסדר שלילי; או כי מדובר בחֶסֶר (לאקונה) בטקסט המשפטי שהיה נדרש להסדירו אך הדבר לא נעשה ועל כן נדרשת השלמתו (ראו עניין </w:t>
      </w:r>
      <w:r>
        <w:rPr>
          <w:rFonts w:ascii="Century" w:hAnsi="Century" w:cs="Miriam"/>
          <w:b/>
          <w:sz w:val="22"/>
          <w:rtl/>
        </w:rPr>
        <w:t>הופמן</w:t>
      </w:r>
      <w:r>
        <w:rPr>
          <w:rFonts w:ascii="Garamond" w:hAnsi="Garamond" w:cs="FrankRuehl"/>
          <w:spacing w:val="10"/>
          <w:szCs w:val="28"/>
          <w:rtl/>
        </w:rPr>
        <w:t xml:space="preserve">, בפסקה 73. כן ראו </w:t>
      </w:r>
      <w:hyperlink r:id="rId40"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4628/93</w:t>
        </w:r>
      </w:hyperlink>
      <w:r>
        <w:rPr>
          <w:rFonts w:ascii="Garamond" w:hAnsi="Garamond" w:cs="FrankRuehl"/>
          <w:spacing w:val="10"/>
          <w:szCs w:val="28"/>
          <w:rtl/>
        </w:rPr>
        <w:t xml:space="preserve"> </w:t>
      </w:r>
      <w:r>
        <w:rPr>
          <w:rFonts w:ascii="Century" w:hAnsi="Century" w:cs="Miriam"/>
          <w:b/>
          <w:sz w:val="22"/>
          <w:rtl/>
        </w:rPr>
        <w:t>מדינת ישראל נ' אפרופים שיכון ויזום (1991) בע"מ</w:t>
      </w:r>
      <w:r>
        <w:rPr>
          <w:rFonts w:ascii="Garamond" w:hAnsi="Garamond" w:cs="FrankRuehl"/>
          <w:spacing w:val="10"/>
          <w:szCs w:val="28"/>
          <w:rtl/>
        </w:rPr>
        <w:t xml:space="preserve">, פ"ד מט(2) 265, 324-323 (1995); </w:t>
      </w:r>
      <w:r>
        <w:rPr>
          <w:rFonts w:ascii="Century" w:hAnsi="Century" w:cs="FrankRuehl"/>
          <w:spacing w:val="10"/>
          <w:sz w:val="22"/>
          <w:szCs w:val="28"/>
          <w:rtl/>
        </w:rPr>
        <w:t>אהר</w:t>
      </w:r>
      <w:r>
        <w:rPr>
          <w:rFonts w:ascii="Garamond" w:hAnsi="Garamond" w:cs="FrankRuehl"/>
          <w:spacing w:val="10"/>
          <w:szCs w:val="28"/>
          <w:rtl/>
        </w:rPr>
        <w:t xml:space="preserve">ן ברק </w:t>
      </w:r>
      <w:hyperlink r:id="rId41" w:history="1">
        <w:r w:rsidR="002F4E9F" w:rsidRPr="002F4E9F">
          <w:rPr>
            <w:rFonts w:ascii="Century" w:hAnsi="Century" w:cs="Miriam" w:hint="eastAsia"/>
            <w:b/>
            <w:color w:val="0000FF"/>
            <w:sz w:val="22"/>
            <w:u w:val="single"/>
            <w:rtl/>
          </w:rPr>
          <w:t>פרשנות</w:t>
        </w:r>
        <w:r w:rsidR="002F4E9F" w:rsidRPr="002F4E9F">
          <w:rPr>
            <w:rFonts w:ascii="Century" w:hAnsi="Century" w:cs="Miriam"/>
            <w:b/>
            <w:color w:val="0000FF"/>
            <w:sz w:val="22"/>
            <w:u w:val="single"/>
            <w:rtl/>
          </w:rPr>
          <w:t xml:space="preserve"> </w:t>
        </w:r>
        <w:r w:rsidR="002F4E9F" w:rsidRPr="002F4E9F">
          <w:rPr>
            <w:rFonts w:ascii="Century" w:hAnsi="Century" w:cs="Miriam" w:hint="eastAsia"/>
            <w:b/>
            <w:color w:val="0000FF"/>
            <w:sz w:val="22"/>
            <w:u w:val="single"/>
            <w:rtl/>
          </w:rPr>
          <w:t>במשפט</w:t>
        </w:r>
      </w:hyperlink>
      <w:r>
        <w:rPr>
          <w:rFonts w:ascii="Century" w:hAnsi="Century" w:cs="Miriam"/>
          <w:b/>
          <w:sz w:val="22"/>
          <w:rtl/>
        </w:rPr>
        <w:t xml:space="preserve"> </w:t>
      </w:r>
      <w:r>
        <w:rPr>
          <w:rFonts w:ascii="Century" w:hAnsi="Century" w:cs="FrankRuehl"/>
          <w:spacing w:val="10"/>
          <w:sz w:val="22"/>
          <w:szCs w:val="28"/>
          <w:rtl/>
        </w:rPr>
        <w:t xml:space="preserve">כרך רביעי – פרשנות החוזה 141-136 (2001) (להלן: </w:t>
      </w:r>
      <w:r>
        <w:rPr>
          <w:rFonts w:ascii="Century" w:hAnsi="Century" w:cs="Miriam"/>
          <w:b/>
          <w:sz w:val="22"/>
          <w:rtl/>
        </w:rPr>
        <w:t>ברק</w:t>
      </w:r>
      <w:r>
        <w:rPr>
          <w:rFonts w:ascii="Century" w:hAnsi="Century" w:cs="FrankRuehl"/>
          <w:spacing w:val="10"/>
          <w:sz w:val="22"/>
          <w:szCs w:val="28"/>
          <w:rtl/>
        </w:rPr>
        <w:t xml:space="preserve">); דניאל פרידמן ונילי כהן </w:t>
      </w:r>
      <w:hyperlink r:id="rId42" w:history="1">
        <w:r w:rsidR="002F4E9F" w:rsidRPr="002F4E9F">
          <w:rPr>
            <w:rFonts w:ascii="Century" w:hAnsi="Century" w:cs="Miriam" w:hint="eastAsia"/>
            <w:b/>
            <w:color w:val="0000FF"/>
            <w:sz w:val="22"/>
            <w:u w:val="single"/>
            <w:rtl/>
          </w:rPr>
          <w:t>חוזים</w:t>
        </w:r>
      </w:hyperlink>
      <w:r>
        <w:rPr>
          <w:rFonts w:ascii="Century" w:hAnsi="Century" w:cs="FrankRuehl"/>
          <w:spacing w:val="10"/>
          <w:sz w:val="22"/>
          <w:szCs w:val="28"/>
          <w:rtl/>
        </w:rPr>
        <w:t xml:space="preserve"> כרך ג 230-229 (2003)</w:t>
      </w:r>
      <w:r>
        <w:rPr>
          <w:rFonts w:ascii="Garamond" w:hAnsi="Garamond" w:cs="FrankRuehl"/>
          <w:spacing w:val="10"/>
          <w:szCs w:val="28"/>
          <w:rtl/>
        </w:rPr>
        <w:t xml:space="preserve">). בחינת הכתובים מעלה כי המקרה דנן נמנה עם סוג המקרים האחרון: אין בנמצא הוראות כלשהן הקבועות בהסדר הנושים עצמו אשר ביכולתן ללמד דבר או חצי דבר על זכאות אפשרית לקבלת כספי החזר המע"מ (וזאת להבדיל מזהות </w:t>
      </w:r>
      <w:r>
        <w:rPr>
          <w:rFonts w:ascii="Century" w:hAnsi="Century" w:cs="Miriam"/>
          <w:b/>
          <w:sz w:val="22"/>
          <w:rtl/>
        </w:rPr>
        <w:t>החייב</w:t>
      </w:r>
      <w:r>
        <w:rPr>
          <w:rFonts w:ascii="Garamond" w:hAnsi="Garamond" w:cs="FrankRuehl"/>
          <w:spacing w:val="10"/>
          <w:szCs w:val="28"/>
          <w:rtl/>
        </w:rPr>
        <w:t xml:space="preserve"> בתשלומי המיסים, ובכלל זאת בתשלום המע"מ, אשר לגביהם קובע סעיף 50 להסדר הנושים כי התשלום לא יוטל על קופת הסדר הנושים). </w:t>
      </w:r>
    </w:p>
    <w:p w14:paraId="2C94FADD"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6A68C5DA"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לצד האמור יודגש, כי הקביעה לפיה מדובר בחסר הדורש השלמה איננה עניין של מה בכך, ואינה נעשית בנקל (ראו </w:t>
      </w:r>
      <w:hyperlink r:id="rId43"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9551/04</w:t>
        </w:r>
      </w:hyperlink>
      <w:r>
        <w:rPr>
          <w:rFonts w:ascii="Garamond" w:hAnsi="Garamond" w:cs="FrankRuehl"/>
          <w:spacing w:val="10"/>
          <w:szCs w:val="28"/>
          <w:rtl/>
        </w:rPr>
        <w:t xml:space="preserve"> </w:t>
      </w:r>
      <w:r>
        <w:rPr>
          <w:rFonts w:ascii="Century" w:hAnsi="Century" w:cs="Miriam"/>
          <w:b/>
          <w:sz w:val="22"/>
          <w:rtl/>
        </w:rPr>
        <w:t>אספן בניה ופיתוח בע"מ נ' מדינת ישראל</w:t>
      </w:r>
      <w:r>
        <w:rPr>
          <w:rFonts w:ascii="Garamond" w:hAnsi="Garamond" w:cs="FrankRuehl"/>
          <w:spacing w:val="10"/>
          <w:szCs w:val="28"/>
          <w:rtl/>
        </w:rPr>
        <w:t xml:space="preserve">, פסקה 24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(12.10.2009); </w:t>
      </w:r>
      <w:r>
        <w:rPr>
          <w:rFonts w:ascii="Century" w:hAnsi="Century" w:cs="Miriam"/>
          <w:b/>
          <w:sz w:val="22"/>
          <w:rtl/>
        </w:rPr>
        <w:t>ברק</w:t>
      </w:r>
      <w:r>
        <w:rPr>
          <w:rFonts w:ascii="Garamond" w:hAnsi="Garamond" w:cs="FrankRuehl"/>
          <w:spacing w:val="10"/>
          <w:szCs w:val="28"/>
          <w:rtl/>
        </w:rPr>
        <w:t>, בעמ' 137). ואולם, מסקנה זו נתמכת לא רק בשתיקת לשון הסדר הנושים, ובשלילת האלטרנטיבות הפרשניות לשתיקה זו, אלא גם בניתוח התנהלות הצדדים, אשר מעלה מעבר לכל ספק כי הצדדים לא החזיקו באומד דעת משותף כלשהו ביחס לסוגיית החזר המע"מ. הטעמים לכך נעוצים הן בבחינת התנהלותם של הצדדים עובר לגיבוש ההסדר, הן בפעולותיהם לאחר תחילת ביצועו.</w:t>
      </w:r>
    </w:p>
    <w:p w14:paraId="507B26AB"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1F874C3C"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ab/>
        <w:t>כך, מן העבר האחד, לא ניתן לקבל את טענת הרוכשים והחברות לפיה הסתמכו במסגרת גיבוש הסדר הנושים על כך ש"</w:t>
      </w:r>
      <w:r>
        <w:rPr>
          <w:rFonts w:ascii="Garamond" w:hAnsi="Garamond" w:cs="Miriam"/>
          <w:b/>
          <w:sz w:val="22"/>
          <w:rtl/>
        </w:rPr>
        <w:t>החוק קובע (כברירת מחדל) כי הזיכוי בגין החזר תשלום המע"מ נתון לחברות עצמן (ולא לנושים)</w:t>
      </w:r>
      <w:r>
        <w:rPr>
          <w:rFonts w:ascii="Garamond" w:hAnsi="Garamond" w:cs="FrankRuehl"/>
          <w:spacing w:val="10"/>
          <w:szCs w:val="28"/>
          <w:rtl/>
        </w:rPr>
        <w:t xml:space="preserve">" (סעיף 31 לבקשת רשות הערעור). טענה זו, המנסה לשוות לשתיקה נופך של הסתמכות על הדין, נטענה בעלמא, מבלי </w:t>
      </w:r>
      <w:r>
        <w:rPr>
          <w:rFonts w:ascii="Garamond" w:hAnsi="Garamond" w:cs="FrankRuehl"/>
          <w:spacing w:val="10"/>
          <w:szCs w:val="28"/>
          <w:rtl/>
        </w:rPr>
        <w:lastRenderedPageBreak/>
        <w:t xml:space="preserve">שנסמכה על כל ראיה חיצונית להסדר הנושים. זאת במיוחד, שעה שהמערערים לא פעלו לקבלת החזר המע"מ אַחַר ביצוע העסקה, ועשו זאת רק לאחר פנייתה של מנהלת ההסדר (על התנהגות הצדדים כראיה לאומד דעתם הסובייקטיבי בעת כריתת חוזה ראו עניין </w:t>
      </w:r>
      <w:r>
        <w:rPr>
          <w:rFonts w:ascii="Garamond" w:hAnsi="Garamond" w:cs="Miriam"/>
          <w:b/>
          <w:sz w:val="22"/>
          <w:rtl/>
        </w:rPr>
        <w:t>עזבון המנוח מן</w:t>
      </w:r>
      <w:r>
        <w:rPr>
          <w:rFonts w:ascii="Garamond" w:hAnsi="Garamond" w:cs="FrankRuehl"/>
          <w:spacing w:val="10"/>
          <w:szCs w:val="28"/>
          <w:rtl/>
        </w:rPr>
        <w:t xml:space="preserve">, בפסקה 13; </w:t>
      </w:r>
      <w:hyperlink r:id="rId44"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874/13</w:t>
        </w:r>
      </w:hyperlink>
      <w:r>
        <w:rPr>
          <w:rFonts w:ascii="Garamond" w:hAnsi="Garamond" w:cs="FrankRuehl"/>
          <w:spacing w:val="10"/>
          <w:szCs w:val="28"/>
          <w:rtl/>
        </w:rPr>
        <w:t xml:space="preserve"> </w:t>
      </w:r>
      <w:r>
        <w:rPr>
          <w:rFonts w:ascii="Garamond" w:hAnsi="Garamond" w:cs="Miriam"/>
          <w:b/>
          <w:sz w:val="22"/>
          <w:rtl/>
        </w:rPr>
        <w:t>שד-של בילדינג אנד אינביסטמנט בע"מ נ' מירון</w:t>
      </w:r>
      <w:r>
        <w:rPr>
          <w:rFonts w:ascii="Garamond" w:hAnsi="Garamond" w:cs="FrankRuehl"/>
          <w:spacing w:val="10"/>
          <w:szCs w:val="28"/>
          <w:rtl/>
        </w:rPr>
        <w:t xml:space="preserve">, פסקה 14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(16.6.2015)). ואילו, מן העבר השני, אין לקבל את טענותיה הנוגדות של מנהלת ההסדר לפיה עומדת לנושים "</w:t>
      </w:r>
      <w:r>
        <w:rPr>
          <w:rFonts w:ascii="Century" w:hAnsi="Century" w:cs="Miriam"/>
          <w:b/>
          <w:sz w:val="22"/>
          <w:rtl/>
        </w:rPr>
        <w:t>הציפייה הלגיטימית והברורה</w:t>
      </w:r>
      <w:r>
        <w:rPr>
          <w:rFonts w:ascii="Garamond" w:hAnsi="Garamond" w:cs="FrankRuehl"/>
          <w:spacing w:val="10"/>
          <w:szCs w:val="28"/>
          <w:rtl/>
        </w:rPr>
        <w:t xml:space="preserve"> [...] </w:t>
      </w:r>
      <w:r>
        <w:rPr>
          <w:rFonts w:ascii="Century" w:hAnsi="Century" w:cs="Miriam"/>
          <w:b/>
          <w:sz w:val="22"/>
          <w:rtl/>
        </w:rPr>
        <w:t>לקבל את הסכום לו התחייבו הרוכשים בהסדר</w:t>
      </w:r>
      <w:r>
        <w:rPr>
          <w:rFonts w:ascii="Garamond" w:hAnsi="Garamond" w:cs="FrankRuehl"/>
          <w:spacing w:val="10"/>
          <w:szCs w:val="28"/>
          <w:rtl/>
        </w:rPr>
        <w:t xml:space="preserve">" (סעיף 53 לתשובת מנהלת ההסדר). טענה זו נטענה אף היא בעלמא, שכן ציפיית הנושים ביחס לקבלת כספי החזר המע"מ אינה "ברורה" מהסכמות הצדדים כלל וכלל – וחזקה אף על הנושים ומנהלת ההסדר כי אם צפו זאת, היו פועלים להתנות על כך במסגרת הסדר הנושים. בהקשר זה יש להוסיף, כי מנהלת ההסדר עוררה את סוגיית הזכאות לקבלת כספי החזר המע"מ רק לאחר כחודשיים מחלוקת הדיבידנד (ראו פניית מנהלת ההסדר לרוכשים מיום 12.5.2022, ומועדי ביצוע החלוקה לנושים כפי שאלו עולים מנספח 1 לדו"ח מטעם מנהלת ההסדר מיום 3.4.2022 להלן: </w:t>
      </w:r>
      <w:r>
        <w:rPr>
          <w:rFonts w:ascii="Century" w:hAnsi="Century" w:cs="Miriam"/>
          <w:b/>
          <w:rtl/>
        </w:rPr>
        <w:t>הדו"ח שהוגש לאחר חלוקת הדיבידנד</w:t>
      </w:r>
      <w:r>
        <w:rPr>
          <w:rFonts w:ascii="Garamond" w:hAnsi="Garamond" w:cs="FrankRuehl"/>
          <w:spacing w:val="10"/>
          <w:szCs w:val="28"/>
          <w:rtl/>
        </w:rPr>
        <w:t>)), ואף בדו"ח שהגישה מנהלת ההסדר לאחר חלוקת הדיבידנד היא לא הציגה את החזר המע"מ כמקור אפשרי לחלוקה נוספת (ראו שם, בסעיף 8. טענה זו הועלתה לראשונה בפני בית המשפט קמא במסגרת דו"ח מטעם מנהלת ההסדר מיום 1.8.2022).</w:t>
      </w:r>
    </w:p>
    <w:p w14:paraId="248452AB"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p>
    <w:p w14:paraId="03643ECB"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המסקנה מהאמור, היא כי הן לשון הסדר הנושים, הן הנסיבות אשר סבבו את כריתתו, מצביעות על כך שענייננו בחֶסֶר הדורש השלמה. בשים לב לאופיו המיוחד של החוזה, פרשנותו של חֶסֶר זה צריכה להיעשות בראש ובראשונה בשים לב למסגרת המשפטית הרלוונטית לו, ובענייננו, העקרונות הנוהגים ביחס לזכות לקבל החזר מע"מ, כמו גם דיני חדלות הפירעון (ראו עניין </w:t>
      </w:r>
      <w:r>
        <w:rPr>
          <w:rFonts w:ascii="Century" w:hAnsi="Century" w:cs="Miriam"/>
          <w:b/>
          <w:sz w:val="22"/>
          <w:rtl/>
        </w:rPr>
        <w:t>בי רבוע</w:t>
      </w:r>
      <w:r>
        <w:rPr>
          <w:rFonts w:ascii="Garamond" w:hAnsi="Garamond" w:cs="FrankRuehl"/>
          <w:spacing w:val="10"/>
          <w:szCs w:val="28"/>
          <w:rtl/>
        </w:rPr>
        <w:t xml:space="preserve">, בפסקה 32-31; עניין </w:t>
      </w:r>
      <w:r>
        <w:rPr>
          <w:rFonts w:ascii="Century" w:hAnsi="Century" w:cs="Miriam"/>
          <w:b/>
          <w:sz w:val="22"/>
          <w:rtl/>
        </w:rPr>
        <w:t>קרן מוסטנג מזנין</w:t>
      </w:r>
      <w:r>
        <w:rPr>
          <w:rFonts w:ascii="Garamond" w:hAnsi="Garamond" w:cs="FrankRuehl"/>
          <w:spacing w:val="10"/>
          <w:szCs w:val="28"/>
          <w:rtl/>
        </w:rPr>
        <w:t xml:space="preserve">, בפסקה 18; עניין </w:t>
      </w:r>
      <w:r>
        <w:rPr>
          <w:rFonts w:ascii="Century" w:hAnsi="Century" w:cs="Miriam"/>
          <w:b/>
          <w:sz w:val="22"/>
          <w:rtl/>
        </w:rPr>
        <w:t>עברי</w:t>
      </w:r>
      <w:r>
        <w:rPr>
          <w:rFonts w:ascii="Garamond" w:hAnsi="Garamond" w:cs="FrankRuehl"/>
          <w:spacing w:val="10"/>
          <w:szCs w:val="28"/>
          <w:rtl/>
        </w:rPr>
        <w:t xml:space="preserve">, בפסקה 24). אלו יובילנו, לשיטתי, למסקנה כי הזכאות לקבלת כספי החזר המע"מ צומחת לקופות הסדר הנושים ולא לחברות. </w:t>
      </w:r>
    </w:p>
    <w:p w14:paraId="37C9AEF7"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4F49FC91"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במצב הדברים הרגיל, </w:t>
      </w:r>
      <w:hyperlink r:id="rId45" w:history="1">
        <w:r w:rsidR="0073718B" w:rsidRPr="0073718B">
          <w:rPr>
            <w:rStyle w:val="Hyperlink"/>
            <w:rFonts w:ascii="Garamond" w:hAnsi="Garamond" w:cs="FrankRuehl" w:hint="eastAsia"/>
            <w:spacing w:val="10"/>
            <w:szCs w:val="28"/>
            <w:rtl/>
          </w:rPr>
          <w:t>סעיף</w:t>
        </w:r>
        <w:r w:rsidR="0073718B" w:rsidRPr="0073718B">
          <w:rPr>
            <w:rStyle w:val="Hyperlink"/>
            <w:rFonts w:ascii="Garamond" w:hAnsi="Garamond" w:cs="FrankRuehl"/>
            <w:spacing w:val="10"/>
            <w:szCs w:val="28"/>
            <w:rtl/>
          </w:rPr>
          <w:t xml:space="preserve"> 38(</w:t>
        </w:r>
        <w:r w:rsidR="0073718B" w:rsidRPr="0073718B">
          <w:rPr>
            <w:rStyle w:val="Hyperlink"/>
            <w:rFonts w:ascii="Garamond" w:hAnsi="Garamond" w:cs="FrankRuehl" w:hint="eastAsia"/>
            <w:spacing w:val="10"/>
            <w:szCs w:val="28"/>
            <w:rtl/>
          </w:rPr>
          <w:t>א</w:t>
        </w:r>
        <w:r w:rsidR="0073718B" w:rsidRPr="0073718B">
          <w:rPr>
            <w:rStyle w:val="Hyperlink"/>
            <w:rFonts w:ascii="Garamond" w:hAnsi="Garamond" w:cs="FrankRuehl"/>
            <w:spacing w:val="10"/>
            <w:szCs w:val="28"/>
            <w:rtl/>
          </w:rPr>
          <w:t>)</w:t>
        </w:r>
      </w:hyperlink>
      <w:r>
        <w:rPr>
          <w:rFonts w:ascii="Garamond" w:hAnsi="Garamond" w:cs="FrankRuehl"/>
          <w:spacing w:val="10"/>
          <w:szCs w:val="28"/>
          <w:rtl/>
        </w:rPr>
        <w:t xml:space="preserve"> ל</w:t>
      </w:r>
      <w:hyperlink r:id="rId46" w:history="1">
        <w:r w:rsidR="002F4E9F" w:rsidRPr="002F4E9F">
          <w:rPr>
            <w:rFonts w:ascii="Garamond" w:hAnsi="Garamond" w:cs="FrankRuehl" w:hint="eastAsia"/>
            <w:color w:val="0000FF"/>
            <w:spacing w:val="10"/>
            <w:szCs w:val="28"/>
            <w:u w:val="single"/>
            <w:rtl/>
          </w:rPr>
          <w:t>חוק</w:t>
        </w:r>
        <w:r w:rsidR="002F4E9F" w:rsidRPr="002F4E9F">
          <w:rPr>
            <w:rFonts w:ascii="Garamond" w:hAnsi="Garamond" w:cs="FrankRuehl"/>
            <w:color w:val="0000FF"/>
            <w:spacing w:val="10"/>
            <w:szCs w:val="28"/>
            <w:u w:val="single"/>
            <w:rtl/>
          </w:rPr>
          <w:t xml:space="preserve"> </w:t>
        </w:r>
        <w:r w:rsidR="002F4E9F" w:rsidRPr="002F4E9F">
          <w:rPr>
            <w:rFonts w:ascii="Garamond" w:hAnsi="Garamond" w:cs="FrankRuehl" w:hint="eastAsia"/>
            <w:color w:val="0000FF"/>
            <w:spacing w:val="10"/>
            <w:szCs w:val="28"/>
            <w:u w:val="single"/>
            <w:rtl/>
          </w:rPr>
          <w:t>מע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מ</w:t>
        </w:r>
      </w:hyperlink>
      <w:r>
        <w:rPr>
          <w:rFonts w:ascii="Garamond" w:hAnsi="Garamond" w:cs="FrankRuehl"/>
          <w:spacing w:val="10"/>
          <w:szCs w:val="28"/>
          <w:rtl/>
        </w:rPr>
        <w:t xml:space="preserve"> קובע כי "</w:t>
      </w:r>
      <w:r>
        <w:rPr>
          <w:rFonts w:ascii="Century" w:hAnsi="Century" w:cs="Miriam"/>
          <w:b/>
          <w:sz w:val="22"/>
          <w:rtl/>
        </w:rPr>
        <w:t xml:space="preserve">עוסק זכאי לנכות מהמס </w:t>
      </w:r>
      <w:r>
        <w:rPr>
          <w:rFonts w:ascii="Century" w:hAnsi="Century" w:cs="Miriam"/>
          <w:b/>
          <w:sz w:val="22"/>
          <w:u w:val="single"/>
          <w:rtl/>
        </w:rPr>
        <w:t>שהוא חייב בו</w:t>
      </w:r>
      <w:r>
        <w:rPr>
          <w:rFonts w:ascii="Century" w:hAnsi="Century" w:cs="Miriam"/>
          <w:b/>
          <w:sz w:val="22"/>
          <w:rtl/>
        </w:rPr>
        <w:t xml:space="preserve"> את מס התשומות הכלול בחשבונית מס שהוצאה לו כדין</w:t>
      </w:r>
      <w:r>
        <w:rPr>
          <w:rFonts w:ascii="Garamond" w:hAnsi="Garamond" w:cs="FrankRuehl"/>
          <w:spacing w:val="10"/>
          <w:szCs w:val="28"/>
          <w:rtl/>
        </w:rPr>
        <w:t xml:space="preserve">" (ההדגשה נוספה). אולם, כפי שציינתי בעניין </w:t>
      </w:r>
      <w:r>
        <w:rPr>
          <w:rFonts w:ascii="Century" w:hAnsi="Century" w:cs="Miriam"/>
          <w:b/>
          <w:sz w:val="22"/>
          <w:rtl/>
        </w:rPr>
        <w:t>חכם</w:t>
      </w:r>
      <w:r>
        <w:rPr>
          <w:rFonts w:ascii="Garamond" w:hAnsi="Garamond" w:cs="FrankRuehl"/>
          <w:spacing w:val="10"/>
          <w:szCs w:val="28"/>
          <w:rtl/>
        </w:rPr>
        <w:t>, מבלי לקבוע מסמרות, ייתכנו מקרים בהם קיימות זכויות מעין-קנייניות של צד כלשהו בכספי החזר מע"מ, אשר יצדיקו הקצאה שונה של הכספים מזו אשר תיושם אילו תתבצע בחינה פורמאלית בלבד (שם, בפסקה 30). המקרה שלפנינו הוא מקרה מסוג זה. אבאר.</w:t>
      </w:r>
    </w:p>
    <w:p w14:paraId="646B2169"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7CEDB812"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Garamond" w:hAnsi="Garamond" w:cs="FrankRuehl"/>
          <w:spacing w:val="10"/>
          <w:szCs w:val="28"/>
          <w:rtl/>
        </w:rPr>
        <w:t>הגם שמבחינה פורמאלית בענייננו החברות הן הזכאיות לקבלת כספי החזר המע"מ, שכן תשלומי מס העסקאות ביחס אליהם התבצע הניכוי שולמו על ידן (סעיף 23 לתשובת הממונה), אני סבור כי לקופות הסדר הנושים קיימת זיקה הדוקה יותר לכספים אלה, אשר מקנה להן בנסיבות העניין זכות מעין-קניינית בהם.</w:t>
      </w:r>
    </w:p>
    <w:p w14:paraId="46BB7F34"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p>
    <w:p w14:paraId="220BC0B0"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ab/>
        <w:t>זיקתן של קופות הסדר הנושים לכספי החזר המע"מ, נלמדת, בעיקרה, מזיקתן לפעולה בגינה התקבל החזר המע"מ. החזר זה התקבל בגין פעולה שבוצעה על ידי קופות הסדר הנושים (תשלום הדיבידנדים ותשלום שכר מנהלת ההסדר), כאשר חלקן של החברות בה (היותן עוסק אשר שילם מס עסקאות), הוא משני, ומתייחס לפעולות שביצעו החברות קודם להסדר הנושים</w:t>
      </w:r>
      <w:r>
        <w:rPr>
          <w:rFonts w:ascii="Century" w:hAnsi="Century" w:cs="FrankRuehl"/>
          <w:spacing w:val="10"/>
          <w:sz w:val="22"/>
          <w:szCs w:val="28"/>
          <w:rtl/>
        </w:rPr>
        <w:t>.</w:t>
      </w:r>
      <w:r>
        <w:rPr>
          <w:rFonts w:ascii="Garamond" w:hAnsi="Garamond" w:cs="FrankRuehl"/>
          <w:spacing w:val="10"/>
          <w:szCs w:val="28"/>
          <w:rtl/>
        </w:rPr>
        <w:t xml:space="preserve"> </w:t>
      </w:r>
      <w:r>
        <w:rPr>
          <w:rFonts w:ascii="Century" w:hAnsi="Century" w:cs="FrankRuehl"/>
          <w:spacing w:val="10"/>
          <w:sz w:val="22"/>
          <w:szCs w:val="28"/>
          <w:rtl/>
        </w:rPr>
        <w:t>בנסיבות אלה, בעוד שלקופות הסדר הנושים קיימת זיקה הדוקה לכספי החזר המע"מ שנתקבל, קופת החברות נעדרת זיקה ממשית אליהם.</w:t>
      </w:r>
    </w:p>
    <w:p w14:paraId="37EBEEC3"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p>
    <w:p w14:paraId="71338BF9"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Garamond" w:hAnsi="Garamond" w:cs="FrankRuehl"/>
          <w:spacing w:val="10"/>
          <w:szCs w:val="28"/>
          <w:rtl/>
        </w:rPr>
        <w:t xml:space="preserve">ויובהר, במקרה שלפנינו החזר המע"מ אינו בגין עסקת רכישת המניות עצמה, שכן אין כלל טענה כי עסקה זו הייתה חייבת במע"מ. כנגזר מכך אין כל משמעות בענייננו לשאלה אם סכום התמורה (2 מיליון ש"ח) היה כולל מע"מ או ללא מע"מ. כאמור, החזר המע"מ הוא בגין פעולות מאוחרות לעסקה זו שנעשו בכספי התמורה (תשלומי הדיבידנדים ושכר מנהלת ההסדר), אשר בוצעו, כמובהר, על ידי הזכאיות לתמורה החוזית – קופות הסדר הנושים. בנסיבות המיוחדות של המקרה דנן, ממילא אין בקביעה כי הזכאות המהותית להחזר המע"מ עומדת לקופות הסדר הנושים, ולא לקופת החברות, כדי לשנות מההלכה הידועה לפיה מקום בו חוזה (בענייננו, הסדר הנושים) שותק בעניין יש לראות בסכום התמורה המצוין בו כסכום הכולל מע"מ (וראו בעניין זה: </w:t>
      </w:r>
      <w:hyperlink r:id="rId47"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738/80</w:t>
        </w:r>
      </w:hyperlink>
      <w:r>
        <w:rPr>
          <w:rFonts w:ascii="Garamond" w:hAnsi="Garamond" w:cs="FrankRuehl"/>
          <w:spacing w:val="10"/>
          <w:szCs w:val="28"/>
          <w:rtl/>
        </w:rPr>
        <w:t xml:space="preserve"> </w:t>
      </w:r>
      <w:r>
        <w:rPr>
          <w:rFonts w:ascii="Century" w:hAnsi="Century" w:cs="Miriam"/>
          <w:b/>
          <w:sz w:val="22"/>
          <w:rtl/>
        </w:rPr>
        <w:t>נתן נ' זגורי</w:t>
      </w:r>
      <w:r>
        <w:rPr>
          <w:rFonts w:ascii="Garamond" w:hAnsi="Garamond" w:cs="FrankRuehl"/>
          <w:spacing w:val="10"/>
          <w:szCs w:val="28"/>
          <w:rtl/>
        </w:rPr>
        <w:t xml:space="preserve">, פ"ד לז(4) 387, 391 (1983); </w:t>
      </w:r>
      <w:hyperlink r:id="rId48" w:history="1">
        <w:r w:rsidR="002F4E9F" w:rsidRPr="002F4E9F">
          <w:rPr>
            <w:rFonts w:ascii="Garamond" w:hAnsi="Garamond" w:cs="FrankRuehl" w:hint="eastAsia"/>
            <w:color w:val="0000FF"/>
            <w:spacing w:val="10"/>
            <w:szCs w:val="28"/>
            <w:u w:val="single"/>
            <w:rtl/>
          </w:rPr>
          <w:t>ע</w:t>
        </w:r>
        <w:r w:rsidR="002F4E9F" w:rsidRPr="002F4E9F">
          <w:rPr>
            <w:rFonts w:ascii="Garamond" w:hAnsi="Garamond" w:cs="FrankRuehl"/>
            <w:color w:val="0000FF"/>
            <w:spacing w:val="10"/>
            <w:szCs w:val="28"/>
            <w:u w:val="single"/>
            <w:rtl/>
          </w:rPr>
          <w:t>"</w:t>
        </w:r>
        <w:r w:rsidR="002F4E9F" w:rsidRPr="002F4E9F">
          <w:rPr>
            <w:rFonts w:ascii="Garamond" w:hAnsi="Garamond" w:cs="FrankRuehl" w:hint="eastAsia"/>
            <w:color w:val="0000FF"/>
            <w:spacing w:val="10"/>
            <w:szCs w:val="28"/>
            <w:u w:val="single"/>
            <w:rtl/>
          </w:rPr>
          <w:t>א</w:t>
        </w:r>
        <w:r w:rsidR="002F4E9F" w:rsidRPr="002F4E9F">
          <w:rPr>
            <w:rFonts w:ascii="Garamond" w:hAnsi="Garamond" w:cs="FrankRuehl"/>
            <w:color w:val="0000FF"/>
            <w:spacing w:val="10"/>
            <w:szCs w:val="28"/>
            <w:u w:val="single"/>
            <w:rtl/>
          </w:rPr>
          <w:t xml:space="preserve"> 9922/02</w:t>
        </w:r>
      </w:hyperlink>
      <w:r>
        <w:rPr>
          <w:rFonts w:ascii="Garamond" w:hAnsi="Garamond" w:cs="FrankRuehl"/>
          <w:spacing w:val="10"/>
          <w:szCs w:val="28"/>
          <w:rtl/>
        </w:rPr>
        <w:t xml:space="preserve"> </w:t>
      </w:r>
      <w:r>
        <w:rPr>
          <w:rFonts w:ascii="Century" w:hAnsi="Century" w:cs="Miriam"/>
          <w:b/>
          <w:sz w:val="22"/>
          <w:rtl/>
        </w:rPr>
        <w:t>רשות השידור נ' שפ"מ שידורי פרסומות מאוחדים בע"מ</w:t>
      </w:r>
      <w:r>
        <w:rPr>
          <w:rFonts w:ascii="Garamond" w:hAnsi="Garamond" w:cs="FrankRuehl"/>
          <w:spacing w:val="10"/>
          <w:szCs w:val="28"/>
          <w:rtl/>
        </w:rPr>
        <w:t xml:space="preserve">, פסקה 7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 xml:space="preserve">(22.8.2007); </w:t>
      </w:r>
      <w:hyperlink r:id="rId49" w:history="1">
        <w:r w:rsidR="00D0217A" w:rsidRPr="00D0217A">
          <w:rPr>
            <w:rStyle w:val="Hyperlink"/>
            <w:rFonts w:ascii="Garamond" w:hAnsi="Garamond" w:cs="FrankRuehl" w:hint="eastAsia"/>
            <w:spacing w:val="10"/>
            <w:szCs w:val="28"/>
            <w:rtl/>
          </w:rPr>
          <w:t>ע</w:t>
        </w:r>
        <w:r w:rsidR="00D0217A" w:rsidRPr="00D0217A">
          <w:rPr>
            <w:rStyle w:val="Hyperlink"/>
            <w:rFonts w:ascii="Garamond" w:hAnsi="Garamond" w:cs="FrankRuehl"/>
            <w:spacing w:val="10"/>
            <w:szCs w:val="28"/>
            <w:rtl/>
          </w:rPr>
          <w:t>"</w:t>
        </w:r>
        <w:r w:rsidR="00D0217A" w:rsidRPr="00D0217A">
          <w:rPr>
            <w:rStyle w:val="Hyperlink"/>
            <w:rFonts w:ascii="Garamond" w:hAnsi="Garamond" w:cs="FrankRuehl" w:hint="eastAsia"/>
            <w:spacing w:val="10"/>
            <w:szCs w:val="28"/>
            <w:rtl/>
          </w:rPr>
          <w:t>א</w:t>
        </w:r>
        <w:r w:rsidR="00D0217A" w:rsidRPr="00D0217A">
          <w:rPr>
            <w:rStyle w:val="Hyperlink"/>
            <w:rFonts w:ascii="Garamond" w:hAnsi="Garamond" w:cs="FrankRuehl"/>
            <w:spacing w:val="10"/>
            <w:szCs w:val="28"/>
            <w:rtl/>
          </w:rPr>
          <w:t xml:space="preserve"> 1113/09</w:t>
        </w:r>
      </w:hyperlink>
      <w:r>
        <w:rPr>
          <w:rFonts w:ascii="Garamond" w:hAnsi="Garamond" w:cs="FrankRuehl"/>
          <w:spacing w:val="10"/>
          <w:szCs w:val="28"/>
          <w:rtl/>
        </w:rPr>
        <w:t xml:space="preserve"> </w:t>
      </w:r>
      <w:r>
        <w:rPr>
          <w:rFonts w:ascii="Century" w:hAnsi="Century" w:cs="Miriam"/>
          <w:b/>
          <w:sz w:val="22"/>
          <w:rtl/>
        </w:rPr>
        <w:t>עו"ד כהן נ' המשביר לצרכן החדש בע"מ</w:t>
      </w:r>
      <w:r>
        <w:rPr>
          <w:rFonts w:ascii="Garamond" w:hAnsi="Garamond" w:cs="FrankRuehl"/>
          <w:spacing w:val="10"/>
          <w:szCs w:val="28"/>
          <w:rtl/>
        </w:rPr>
        <w:t xml:space="preserve">, פסקה 7 </w:t>
      </w:r>
      <w:r w:rsidR="00D0217A">
        <w:rPr>
          <w:rFonts w:ascii="Arial TUR" w:hAnsi="Arial TUR" w:cs="FrankRuehl" w:hint="cs"/>
          <w:spacing w:val="10"/>
          <w:sz w:val="22"/>
          <w:szCs w:val="28"/>
          <w:rtl/>
        </w:rPr>
        <w:t>[נבו]</w:t>
      </w:r>
      <w:r w:rsidR="00D0217A">
        <w:rPr>
          <w:rFonts w:ascii="Garamond" w:hAnsi="Garamond" w:cs="FrankRuehl"/>
          <w:spacing w:val="10"/>
          <w:szCs w:val="28"/>
          <w:rtl/>
        </w:rPr>
        <w:t xml:space="preserve"> </w:t>
      </w:r>
      <w:r>
        <w:rPr>
          <w:rFonts w:ascii="Garamond" w:hAnsi="Garamond" w:cs="FrankRuehl"/>
          <w:spacing w:val="10"/>
          <w:szCs w:val="28"/>
          <w:rtl/>
        </w:rPr>
        <w:t>(27.1.2011)).</w:t>
      </w:r>
      <w:r>
        <w:rPr>
          <w:rFonts w:ascii="Century" w:hAnsi="Century" w:cs="FrankRuehl"/>
          <w:spacing w:val="10"/>
          <w:sz w:val="22"/>
          <w:szCs w:val="28"/>
          <w:rtl/>
        </w:rPr>
        <w:t xml:space="preserve"> </w:t>
      </w:r>
    </w:p>
    <w:p w14:paraId="618DC731"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r>
        <w:rPr>
          <w:rFonts w:ascii="Arial TUR" w:hAnsi="Arial TUR" w:cs="FrankRuehl"/>
          <w:spacing w:val="10"/>
          <w:sz w:val="22"/>
          <w:szCs w:val="28"/>
        </w:rPr>
        <w:tab/>
      </w:r>
    </w:p>
    <w:p w14:paraId="171F86D5"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Pr>
      </w:pPr>
      <w:r>
        <w:rPr>
          <w:rFonts w:ascii="Arial TUR" w:hAnsi="Arial TUR" w:cs="FrankRuehl"/>
          <w:spacing w:val="10"/>
          <w:sz w:val="22"/>
          <w:szCs w:val="28"/>
          <w:rtl/>
        </w:rPr>
        <w:tab/>
        <w:t>ה</w:t>
      </w:r>
      <w:r>
        <w:rPr>
          <w:rFonts w:ascii="Garamond" w:hAnsi="Garamond" w:cs="FrankRuehl"/>
          <w:spacing w:val="10"/>
          <w:szCs w:val="28"/>
          <w:rtl/>
        </w:rPr>
        <w:t xml:space="preserve">זיקה ההדוקה בין קופות הסדר הנושים לבין הזכאות להחזר מס היא שיוצרת לגישתי במקרה זה זכות מעין-קניינית של קופות הסדר הנושים בכספי החזר המע"מ, אשר מצדיקה בתורה את העדפת זכותן בהם על פני קופת החברות. משכך, אני סבור שיש להותיר את הכרעת בית המשפט קמא על כנה, ולהשאיר את כספי החזר המע"מ בידיהן של קופות הסדר הנושים. יובהר, כי החברות רשאיות לפנות למנהלת ההסדר </w:t>
      </w:r>
      <w:r>
        <w:rPr>
          <w:rFonts w:ascii="Garamond" w:hAnsi="Garamond" w:cs="FrankRuehl"/>
          <w:spacing w:val="10"/>
          <w:szCs w:val="28"/>
          <w:rtl/>
        </w:rPr>
        <w:lastRenderedPageBreak/>
        <w:t>בבקשה לקזז מכספי החזר המע"מ תשלומים אשר שילמו במסגרת הליך תביעתו מרשויות המס (ככל שיוכיחו הוצאות אלה להנחת דעתה).</w:t>
      </w:r>
    </w:p>
    <w:p w14:paraId="2F845FAA" w14:textId="77777777" w:rsidR="00E03354" w:rsidRDefault="00E03354" w:rsidP="003C6687">
      <w:pPr>
        <w:tabs>
          <w:tab w:val="left" w:pos="800"/>
        </w:tabs>
        <w:overflowPunct w:val="0"/>
        <w:autoSpaceDE w:val="0"/>
        <w:autoSpaceDN w:val="0"/>
        <w:adjustRightInd w:val="0"/>
        <w:jc w:val="both"/>
        <w:textAlignment w:val="baseline"/>
        <w:rPr>
          <w:rFonts w:ascii="Garamond" w:hAnsi="Garamond" w:cs="FrankRuehl"/>
          <w:spacing w:val="10"/>
          <w:szCs w:val="28"/>
          <w:rtl/>
        </w:rPr>
      </w:pPr>
    </w:p>
    <w:p w14:paraId="0456BEC6"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Century" w:hAnsi="Century" w:cs="FrankRuehl"/>
          <w:spacing w:val="10"/>
          <w:sz w:val="22"/>
          <w:szCs w:val="28"/>
          <w:rtl/>
        </w:rPr>
        <w:t xml:space="preserve">בטרם סיום, אבקש להעיר כי מצדדים לחוזה עסקי, דהיינו התקשרות עסקית בין שני עוסקים או יותר (ובכלל זה, הסדר נושים מהסוג בו עסקינן) מצופה שיתנו דעתם להתפתחויות הטבעיות של ההתקשרות ביניהם, ויסדירו באופן מפורש את זכויותיהם וחובותיהם ההדדיות. ככל שהיו הצדדים שלפנינו עושים כן, היה נחסך מבית המשפט </w:t>
      </w:r>
      <w:r>
        <w:rPr>
          <w:rFonts w:ascii="Garamond" w:hAnsi="Garamond" w:cs="FrankRuehl"/>
          <w:spacing w:val="10"/>
          <w:szCs w:val="28"/>
          <w:rtl/>
        </w:rPr>
        <w:t>הצורך בהשלמתו של חסר חוזי (לאקונה), המחייב את הפרשן לניתוח מהותי לשם הכרעה במחלוקת (והשוו</w:t>
      </w:r>
      <w:r>
        <w:rPr>
          <w:rFonts w:ascii="Garamond" w:hAnsi="Garamond" w:cs="FrankRuehl"/>
          <w:spacing w:val="10"/>
          <w:szCs w:val="28"/>
        </w:rPr>
        <w:t>:</w:t>
      </w:r>
      <w:r>
        <w:rPr>
          <w:rFonts w:ascii="Garamond" w:hAnsi="Garamond" w:cs="FrankRuehl"/>
          <w:spacing w:val="10"/>
          <w:szCs w:val="28"/>
          <w:rtl/>
        </w:rPr>
        <w:t xml:space="preserve"> </w:t>
      </w:r>
      <w:hyperlink r:id="rId50" w:history="1">
        <w:r w:rsidR="003A5410" w:rsidRPr="003A5410">
          <w:rPr>
            <w:rStyle w:val="Hyperlink"/>
            <w:rFonts w:ascii="Garamond" w:hAnsi="Garamond" w:cs="FrankRuehl" w:hint="eastAsia"/>
            <w:spacing w:val="10"/>
            <w:szCs w:val="28"/>
            <w:rtl/>
          </w:rPr>
          <w:t>עופר</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גרוסקופף</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ויפעת</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נפתלי</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בן</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ציון</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תכליות</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דיני</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פרשנות</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החוזים</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באיזו</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דרך</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עלינו</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ללכת</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כשחשוב</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לנו</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לאן</w:t>
        </w:r>
        <w:r w:rsidR="003A5410" w:rsidRPr="003A5410">
          <w:rPr>
            <w:rStyle w:val="Hyperlink"/>
            <w:rFonts w:ascii="Garamond" w:hAnsi="Garamond" w:cs="FrankRuehl"/>
            <w:spacing w:val="10"/>
            <w:szCs w:val="28"/>
            <w:rtl/>
          </w:rPr>
          <w:t xml:space="preserve"> </w:t>
        </w:r>
        <w:r w:rsidR="003A5410" w:rsidRPr="003A5410">
          <w:rPr>
            <w:rStyle w:val="Hyperlink"/>
            <w:rFonts w:ascii="Garamond" w:hAnsi="Garamond" w:cs="FrankRuehl" w:hint="eastAsia"/>
            <w:spacing w:val="10"/>
            <w:szCs w:val="28"/>
            <w:rtl/>
          </w:rPr>
          <w:t>נגיע</w:t>
        </w:r>
        <w:r w:rsidR="003A5410" w:rsidRPr="003A5410">
          <w:rPr>
            <w:rStyle w:val="Hyperlink"/>
            <w:rFonts w:ascii="Garamond" w:hAnsi="Garamond" w:cs="FrankRuehl"/>
            <w:spacing w:val="10"/>
            <w:szCs w:val="28"/>
            <w:rtl/>
          </w:rPr>
          <w:t xml:space="preserve">?" </w:t>
        </w:r>
      </w:hyperlink>
      <w:r>
        <w:rPr>
          <w:rFonts w:ascii="Garamond" w:hAnsi="Garamond" w:cs="FrankRuehl"/>
          <w:spacing w:val="10"/>
          <w:szCs w:val="28"/>
          <w:rtl/>
        </w:rPr>
        <w:t xml:space="preserve"> </w:t>
      </w:r>
      <w:r>
        <w:rPr>
          <w:rFonts w:ascii="Century" w:hAnsi="Century" w:cs="Miriam"/>
          <w:b/>
          <w:sz w:val="22"/>
          <w:rtl/>
        </w:rPr>
        <w:t>ספר גבריאלה שלו</w:t>
      </w:r>
      <w:r>
        <w:rPr>
          <w:rFonts w:ascii="Garamond" w:hAnsi="Garamond" w:cs="FrankRuehl"/>
          <w:spacing w:val="10"/>
          <w:szCs w:val="28"/>
          <w:rtl/>
        </w:rPr>
        <w:t xml:space="preserve"> 523, 548-546 (יהודה אדר ואח' עורכים התשפ"א)).</w:t>
      </w:r>
    </w:p>
    <w:p w14:paraId="0EE16662" w14:textId="77777777" w:rsidR="00E03354" w:rsidRDefault="00E03354" w:rsidP="003C6687">
      <w:pPr>
        <w:tabs>
          <w:tab w:val="left" w:pos="800"/>
        </w:tabs>
        <w:overflowPunct w:val="0"/>
        <w:autoSpaceDE w:val="0"/>
        <w:autoSpaceDN w:val="0"/>
        <w:adjustRightInd w:val="0"/>
        <w:jc w:val="both"/>
        <w:textAlignment w:val="baseline"/>
        <w:rPr>
          <w:rFonts w:ascii="Arial TUR" w:hAnsi="Arial TUR" w:cs="FrankRuehl"/>
          <w:spacing w:val="10"/>
          <w:sz w:val="22"/>
          <w:szCs w:val="28"/>
          <w:rtl/>
        </w:rPr>
      </w:pPr>
    </w:p>
    <w:p w14:paraId="782176C5" w14:textId="77777777" w:rsidR="00E03354" w:rsidRDefault="00000000" w:rsidP="00E03354">
      <w:pPr>
        <w:numPr>
          <w:ilvl w:val="0"/>
          <w:numId w:val="1"/>
        </w:numPr>
        <w:tabs>
          <w:tab w:val="left" w:pos="800"/>
        </w:tabs>
        <w:overflowPunct w:val="0"/>
        <w:autoSpaceDE w:val="0"/>
        <w:autoSpaceDN w:val="0"/>
        <w:adjustRightInd w:val="0"/>
        <w:spacing w:line="360" w:lineRule="auto"/>
        <w:jc w:val="both"/>
        <w:textAlignment w:val="baseline"/>
        <w:rPr>
          <w:rFonts w:ascii="Garamond" w:hAnsi="Garamond" w:cs="FrankRuehl"/>
          <w:spacing w:val="10"/>
          <w:szCs w:val="28"/>
          <w:rtl/>
        </w:rPr>
      </w:pPr>
      <w:r>
        <w:rPr>
          <w:rFonts w:ascii="Century" w:hAnsi="Century" w:cs="Miriam"/>
          <w:b/>
          <w:sz w:val="22"/>
          <w:rtl/>
        </w:rPr>
        <w:t>סוף דבר</w:t>
      </w:r>
      <w:r>
        <w:rPr>
          <w:rFonts w:ascii="Garamond" w:hAnsi="Garamond" w:cs="FrankRuehl"/>
          <w:spacing w:val="10"/>
          <w:szCs w:val="28"/>
          <w:rtl/>
        </w:rPr>
        <w:t xml:space="preserve">: דין בקשת רשות הערעור להתברר כערעור. אם תישמע דעתי, נדחה את הערעור. בנסיבות העניין, אציע כי המערערים יישאו יחדיו בהוצאות מנהלת ההסדר והממונה, על סך 10,000 ש"ח כל אחד (ובסך הכל – 20,000 ש"ח). </w:t>
      </w:r>
    </w:p>
    <w:tbl>
      <w:tblPr>
        <w:bidiVisual/>
        <w:tblW w:w="0" w:type="auto"/>
        <w:tblLook w:val="01E0" w:firstRow="1" w:lastRow="1" w:firstColumn="1" w:lastColumn="1" w:noHBand="0" w:noVBand="0"/>
      </w:tblPr>
      <w:tblGrid>
        <w:gridCol w:w="2736"/>
        <w:gridCol w:w="2737"/>
        <w:gridCol w:w="2834"/>
      </w:tblGrid>
      <w:tr w:rsidR="00BE72B9" w14:paraId="2379CB27" w14:textId="77777777" w:rsidTr="00E03354">
        <w:tc>
          <w:tcPr>
            <w:tcW w:w="2736" w:type="dxa"/>
          </w:tcPr>
          <w:p w14:paraId="36D6541C" w14:textId="77777777" w:rsidR="00E03354" w:rsidRDefault="00000000">
            <w:pPr>
              <w:tabs>
                <w:tab w:val="left" w:pos="800"/>
              </w:tabs>
              <w:overflowPunct w:val="0"/>
              <w:autoSpaceDE w:val="0"/>
              <w:autoSpaceDN w:val="0"/>
              <w:adjustRightInd w:val="0"/>
              <w:spacing w:line="360" w:lineRule="auto"/>
              <w:jc w:val="both"/>
              <w:textAlignment w:val="baseline"/>
              <w:rPr>
                <w:rFonts w:ascii="Arial TUR" w:hAnsi="Arial TUR" w:cs="FrankRuehl"/>
                <w:spacing w:val="10"/>
                <w:sz w:val="22"/>
                <w:szCs w:val="28"/>
                <w:rtl/>
              </w:rPr>
            </w:pPr>
            <w:r>
              <w:rPr>
                <w:rFonts w:ascii="Arial TUR" w:hAnsi="Arial TUR" w:cs="FrankRuehl"/>
                <w:spacing w:val="10"/>
                <w:sz w:val="22"/>
                <w:szCs w:val="28"/>
                <w:rtl/>
              </w:rPr>
              <w:t xml:space="preserve"> </w:t>
            </w:r>
          </w:p>
        </w:tc>
        <w:tc>
          <w:tcPr>
            <w:tcW w:w="2737" w:type="dxa"/>
          </w:tcPr>
          <w:p w14:paraId="5765896B" w14:textId="77777777" w:rsidR="00E03354" w:rsidRDefault="00000000">
            <w:pPr>
              <w:tabs>
                <w:tab w:val="left" w:pos="800"/>
              </w:tabs>
              <w:overflowPunct w:val="0"/>
              <w:autoSpaceDE w:val="0"/>
              <w:autoSpaceDN w:val="0"/>
              <w:adjustRightInd w:val="0"/>
              <w:spacing w:line="360" w:lineRule="auto"/>
              <w:jc w:val="center"/>
              <w:textAlignment w:val="baseline"/>
              <w:rPr>
                <w:rFonts w:ascii="Arial TUR" w:hAnsi="Arial TUR" w:cs="FrankRuehl"/>
                <w:spacing w:val="10"/>
                <w:sz w:val="22"/>
                <w:szCs w:val="28"/>
                <w:rtl/>
              </w:rPr>
            </w:pPr>
            <w:r>
              <w:rPr>
                <w:rFonts w:ascii="Arial TUR" w:hAnsi="Arial TUR" w:cs="FrankRuehl"/>
                <w:spacing w:val="10"/>
                <w:sz w:val="22"/>
                <w:szCs w:val="28"/>
                <w:rtl/>
              </w:rPr>
              <w:t xml:space="preserve"> </w:t>
            </w:r>
          </w:p>
        </w:tc>
        <w:tc>
          <w:tcPr>
            <w:tcW w:w="2834" w:type="dxa"/>
          </w:tcPr>
          <w:p w14:paraId="6D55A024" w14:textId="77777777" w:rsidR="002F4E9F" w:rsidRPr="006F3A20" w:rsidRDefault="002F4E9F">
            <w:pPr>
              <w:rPr>
                <w:rFonts w:ascii="Courier New" w:hAnsi="Courier New"/>
                <w:sz w:val="20"/>
                <w:szCs w:val="20"/>
                <w:rtl/>
              </w:rPr>
            </w:pPr>
          </w:p>
          <w:p w14:paraId="08ED6FDB" w14:textId="77777777" w:rsidR="002F4E9F" w:rsidRPr="006F3A20" w:rsidRDefault="00000000">
            <w:pPr>
              <w:jc w:val="center"/>
              <w:rPr>
                <w:rFonts w:ascii="FrankRuehl" w:hAnsi="FrankRuehl" w:cs="FrankRuehl"/>
                <w:spacing w:val="10"/>
                <w:sz w:val="28"/>
                <w:szCs w:val="28"/>
                <w:rtl/>
              </w:rPr>
            </w:pPr>
            <w:r>
              <w:rPr>
                <w:rFonts w:ascii="FrankRuehl" w:hAnsi="FrankRuehl" w:cs="FrankRuehl"/>
                <w:spacing w:val="10"/>
                <w:sz w:val="28"/>
                <w:szCs w:val="28"/>
                <w:rtl/>
              </w:rPr>
              <w:t>עופר גרוסקופף</w:t>
            </w:r>
          </w:p>
          <w:p w14:paraId="17E8D1E5" w14:textId="77777777" w:rsidR="002F4E9F" w:rsidRPr="006F3A20" w:rsidRDefault="00000000">
            <w:pPr>
              <w:rPr>
                <w:rFonts w:ascii="FrankRuehl" w:hAnsi="FrankRuehl" w:cs="FrankRuehl"/>
                <w:spacing w:val="10"/>
                <w:sz w:val="28"/>
                <w:szCs w:val="28"/>
                <w:rtl/>
              </w:rPr>
            </w:pPr>
            <w:r w:rsidRPr="006F3A20">
              <w:rPr>
                <w:rFonts w:ascii="FrankRuehl" w:hAnsi="FrankRuehl" w:cs="FrankRuehl"/>
                <w:spacing w:val="10"/>
                <w:sz w:val="28"/>
                <w:szCs w:val="28"/>
                <w:rtl/>
              </w:rPr>
              <w:t>שופט</w:t>
            </w:r>
          </w:p>
          <w:p w14:paraId="59C8ED8B" w14:textId="77777777" w:rsidR="00E03354" w:rsidRPr="006F3A20" w:rsidRDefault="00E03354" w:rsidP="00285F18"/>
          <w:p w14:paraId="0C4DE5E9" w14:textId="77777777" w:rsidR="00E03354" w:rsidRDefault="00E03354">
            <w:pPr>
              <w:tabs>
                <w:tab w:val="left" w:pos="800"/>
              </w:tabs>
              <w:overflowPunct w:val="0"/>
              <w:autoSpaceDE w:val="0"/>
              <w:autoSpaceDN w:val="0"/>
              <w:adjustRightInd w:val="0"/>
              <w:spacing w:line="360" w:lineRule="auto"/>
              <w:jc w:val="right"/>
              <w:textAlignment w:val="baseline"/>
              <w:rPr>
                <w:rFonts w:ascii="Arial TUR" w:hAnsi="Arial TUR" w:cs="FrankRuehl"/>
                <w:spacing w:val="10"/>
                <w:sz w:val="22"/>
                <w:szCs w:val="28"/>
                <w:rtl/>
              </w:rPr>
            </w:pPr>
          </w:p>
        </w:tc>
      </w:tr>
    </w:tbl>
    <w:p w14:paraId="127350CA" w14:textId="77777777" w:rsidR="00E03354" w:rsidRDefault="00000000" w:rsidP="00E03354">
      <w:pPr>
        <w:tabs>
          <w:tab w:val="left" w:pos="800"/>
        </w:tabs>
        <w:overflowPunct w:val="0"/>
        <w:autoSpaceDE w:val="0"/>
        <w:autoSpaceDN w:val="0"/>
        <w:adjustRightInd w:val="0"/>
        <w:spacing w:line="360" w:lineRule="auto"/>
        <w:jc w:val="both"/>
        <w:textAlignment w:val="baseline"/>
        <w:rPr>
          <w:rFonts w:ascii="Century" w:hAnsi="Century" w:cs="Miriam"/>
          <w:b/>
          <w:sz w:val="22"/>
          <w:u w:val="single"/>
          <w:rtl/>
        </w:rPr>
      </w:pPr>
      <w:r>
        <w:rPr>
          <w:rFonts w:ascii="Century" w:hAnsi="Century" w:cs="Miriam"/>
          <w:b/>
          <w:sz w:val="22"/>
          <w:u w:val="single"/>
          <w:rtl/>
        </w:rPr>
        <w:t>השופט דוד מינץ:</w:t>
      </w:r>
    </w:p>
    <w:p w14:paraId="6CEF2302" w14:textId="77777777" w:rsidR="00E03354" w:rsidRDefault="00E03354" w:rsidP="00E03354">
      <w:pPr>
        <w:tabs>
          <w:tab w:val="left" w:pos="800"/>
        </w:tabs>
        <w:overflowPunct w:val="0"/>
        <w:autoSpaceDE w:val="0"/>
        <w:autoSpaceDN w:val="0"/>
        <w:adjustRightInd w:val="0"/>
        <w:spacing w:line="360" w:lineRule="auto"/>
        <w:jc w:val="both"/>
        <w:textAlignment w:val="baseline"/>
        <w:rPr>
          <w:rFonts w:ascii="Century" w:hAnsi="Century" w:cs="Miriam"/>
          <w:b/>
          <w:sz w:val="22"/>
          <w:rtl/>
        </w:rPr>
      </w:pPr>
    </w:p>
    <w:p w14:paraId="2D1EE476" w14:textId="77777777" w:rsidR="00E03354" w:rsidRDefault="00000000" w:rsidP="00E03354">
      <w:pPr>
        <w:pStyle w:val="Ruller41"/>
        <w:rPr>
          <w:rFonts w:ascii="Century" w:hAnsi="Century"/>
          <w:noProof/>
          <w:rtl/>
        </w:rPr>
      </w:pPr>
      <w:r>
        <w:rPr>
          <w:rFonts w:ascii="Century" w:hAnsi="Century"/>
          <w:rtl/>
        </w:rPr>
        <w:tab/>
        <w:t>מסכים אני כי דין הערעור להידחות.</w:t>
      </w:r>
    </w:p>
    <w:tbl>
      <w:tblPr>
        <w:bidiVisual/>
        <w:tblW w:w="0" w:type="auto"/>
        <w:tblLook w:val="01E0" w:firstRow="1" w:lastRow="1" w:firstColumn="1" w:lastColumn="1" w:noHBand="0" w:noVBand="0"/>
      </w:tblPr>
      <w:tblGrid>
        <w:gridCol w:w="2742"/>
        <w:gridCol w:w="2743"/>
        <w:gridCol w:w="2822"/>
      </w:tblGrid>
      <w:tr w:rsidR="00BE72B9" w14:paraId="7C41B6F0" w14:textId="77777777" w:rsidTr="00E03354">
        <w:tc>
          <w:tcPr>
            <w:tcW w:w="2742" w:type="dxa"/>
          </w:tcPr>
          <w:p w14:paraId="152F4987" w14:textId="77777777" w:rsidR="00E03354" w:rsidRDefault="00E03354">
            <w:pPr>
              <w:pStyle w:val="Ruller41"/>
              <w:rPr>
                <w:rFonts w:ascii="Century" w:hAnsi="Century"/>
                <w:rtl/>
              </w:rPr>
            </w:pPr>
          </w:p>
        </w:tc>
        <w:tc>
          <w:tcPr>
            <w:tcW w:w="2743" w:type="dxa"/>
          </w:tcPr>
          <w:p w14:paraId="52247E88" w14:textId="77777777" w:rsidR="00E03354" w:rsidRDefault="00000000">
            <w:pPr>
              <w:pStyle w:val="Ruller41"/>
              <w:rPr>
                <w:rFonts w:ascii="Century" w:hAnsi="Century"/>
                <w:rtl/>
              </w:rPr>
            </w:pPr>
            <w:r>
              <w:rPr>
                <w:rFonts w:ascii="Century" w:hAnsi="Century"/>
                <w:rtl/>
              </w:rPr>
              <w:t xml:space="preserve"> </w:t>
            </w:r>
          </w:p>
        </w:tc>
        <w:tc>
          <w:tcPr>
            <w:tcW w:w="2822" w:type="dxa"/>
          </w:tcPr>
          <w:p w14:paraId="5D1713FA" w14:textId="77777777" w:rsidR="002F4E9F" w:rsidRPr="007363E6" w:rsidRDefault="002F4E9F" w:rsidP="00285F18">
            <w:pPr>
              <w:rPr>
                <w:rFonts w:ascii="Courier New" w:hAnsi="Courier New"/>
                <w:rtl/>
              </w:rPr>
            </w:pPr>
          </w:p>
          <w:p w14:paraId="59663F3A" w14:textId="77777777" w:rsidR="002F4E9F" w:rsidRPr="003C6687" w:rsidRDefault="00000000" w:rsidP="003C6687">
            <w:pPr>
              <w:jc w:val="center"/>
              <w:rPr>
                <w:rFonts w:ascii="Courier New" w:hAnsi="Courier New" w:cs="FrankRuehl"/>
                <w:spacing w:val="10"/>
                <w:szCs w:val="28"/>
                <w:rtl/>
              </w:rPr>
            </w:pPr>
            <w:r w:rsidRPr="003C6687">
              <w:rPr>
                <w:rFonts w:ascii="Courier New" w:hAnsi="Courier New" w:cs="FrankRuehl" w:hint="cs"/>
                <w:spacing w:val="10"/>
                <w:szCs w:val="28"/>
                <w:rtl/>
              </w:rPr>
              <w:t xml:space="preserve">דוד מינץ </w:t>
            </w:r>
          </w:p>
          <w:p w14:paraId="42947301" w14:textId="77777777" w:rsidR="002F4E9F" w:rsidRPr="003C6687" w:rsidRDefault="00000000" w:rsidP="003C6687">
            <w:pPr>
              <w:rPr>
                <w:rFonts w:ascii="Courier New" w:hAnsi="Courier New" w:cs="FrankRuehl"/>
                <w:spacing w:val="10"/>
                <w:szCs w:val="28"/>
                <w:rtl/>
              </w:rPr>
            </w:pPr>
            <w:r w:rsidRPr="003C6687">
              <w:rPr>
                <w:rFonts w:ascii="Courier New" w:hAnsi="Courier New" w:cs="FrankRuehl" w:hint="cs"/>
                <w:spacing w:val="10"/>
                <w:szCs w:val="28"/>
                <w:rtl/>
              </w:rPr>
              <w:t>שופט</w:t>
            </w:r>
          </w:p>
          <w:p w14:paraId="540CCC85" w14:textId="77777777" w:rsidR="00E03354" w:rsidRDefault="00E03354" w:rsidP="00285F18">
            <w:pPr>
              <w:rPr>
                <w:rtl/>
              </w:rPr>
            </w:pPr>
          </w:p>
          <w:p w14:paraId="0A0EFE62" w14:textId="77777777" w:rsidR="00E03354" w:rsidRDefault="00E03354" w:rsidP="00E03354">
            <w:pPr>
              <w:pStyle w:val="Ruller41"/>
              <w:jc w:val="center"/>
              <w:rPr>
                <w:rFonts w:ascii="Century" w:hAnsi="Century"/>
                <w:rtl/>
              </w:rPr>
            </w:pPr>
          </w:p>
        </w:tc>
      </w:tr>
    </w:tbl>
    <w:p w14:paraId="0013FE04" w14:textId="77777777" w:rsidR="00E03354" w:rsidRDefault="00000000" w:rsidP="00E03354">
      <w:pPr>
        <w:pStyle w:val="Ruller41"/>
        <w:rPr>
          <w:rFonts w:ascii="Century" w:hAnsi="Century" w:cs="Miriam"/>
          <w:b/>
          <w:spacing w:val="0"/>
          <w:szCs w:val="24"/>
          <w:u w:val="single"/>
          <w:rtl/>
        </w:rPr>
      </w:pPr>
      <w:r>
        <w:rPr>
          <w:rFonts w:ascii="Century" w:hAnsi="Century" w:cs="Miriam"/>
          <w:b/>
          <w:u w:val="single"/>
          <w:rtl/>
        </w:rPr>
        <w:t>השופט חאלד כבוב:</w:t>
      </w:r>
    </w:p>
    <w:p w14:paraId="1A04976D" w14:textId="77777777" w:rsidR="00E03354" w:rsidRDefault="00E03354" w:rsidP="00E03354">
      <w:pPr>
        <w:pStyle w:val="Ruller41"/>
        <w:rPr>
          <w:rFonts w:ascii="Century" w:hAnsi="Century"/>
          <w:b/>
          <w:rtl/>
        </w:rPr>
      </w:pPr>
    </w:p>
    <w:p w14:paraId="3D31FE60" w14:textId="77777777" w:rsidR="00E03354" w:rsidRDefault="00000000" w:rsidP="00E03354">
      <w:pPr>
        <w:pStyle w:val="Ruller41"/>
        <w:rPr>
          <w:rFonts w:ascii="Century" w:hAnsi="Century"/>
          <w:rtl/>
        </w:rPr>
      </w:pPr>
      <w:r>
        <w:rPr>
          <w:rFonts w:ascii="Century" w:hAnsi="Century"/>
          <w:rtl/>
        </w:rPr>
        <w:tab/>
        <w:t>אני מסכים.</w:t>
      </w:r>
    </w:p>
    <w:tbl>
      <w:tblPr>
        <w:bidiVisual/>
        <w:tblW w:w="0" w:type="auto"/>
        <w:tblLook w:val="01E0" w:firstRow="1" w:lastRow="1" w:firstColumn="1" w:lastColumn="1" w:noHBand="0" w:noVBand="0"/>
      </w:tblPr>
      <w:tblGrid>
        <w:gridCol w:w="2766"/>
        <w:gridCol w:w="2768"/>
        <w:gridCol w:w="2773"/>
      </w:tblGrid>
      <w:tr w:rsidR="00BE72B9" w14:paraId="1B4BA2A7" w14:textId="77777777" w:rsidTr="00E03354">
        <w:tc>
          <w:tcPr>
            <w:tcW w:w="2766" w:type="dxa"/>
          </w:tcPr>
          <w:p w14:paraId="41F87ED6" w14:textId="77777777" w:rsidR="00E03354" w:rsidRDefault="00E03354">
            <w:pPr>
              <w:pStyle w:val="Ruller41"/>
              <w:rPr>
                <w:rFonts w:ascii="Century" w:hAnsi="Century"/>
                <w:rtl/>
              </w:rPr>
            </w:pPr>
          </w:p>
        </w:tc>
        <w:tc>
          <w:tcPr>
            <w:tcW w:w="2768" w:type="dxa"/>
          </w:tcPr>
          <w:p w14:paraId="7526B6D3" w14:textId="77777777" w:rsidR="00E03354" w:rsidRDefault="00000000">
            <w:pPr>
              <w:pStyle w:val="Ruller41"/>
              <w:rPr>
                <w:rFonts w:ascii="Century" w:hAnsi="Century"/>
                <w:rtl/>
              </w:rPr>
            </w:pPr>
            <w:r>
              <w:rPr>
                <w:rFonts w:ascii="Century" w:hAnsi="Century"/>
                <w:rtl/>
              </w:rPr>
              <w:t xml:space="preserve"> </w:t>
            </w:r>
          </w:p>
        </w:tc>
        <w:tc>
          <w:tcPr>
            <w:tcW w:w="2773" w:type="dxa"/>
          </w:tcPr>
          <w:p w14:paraId="6940A9BF" w14:textId="77777777" w:rsidR="00E03354" w:rsidRPr="009332BB" w:rsidRDefault="00E03354">
            <w:pPr>
              <w:rPr>
                <w:rtl/>
              </w:rPr>
            </w:pPr>
          </w:p>
          <w:p w14:paraId="70BCF035" w14:textId="77777777" w:rsidR="002F4E9F" w:rsidRPr="009332BB" w:rsidRDefault="002F4E9F" w:rsidP="00285F18">
            <w:pPr>
              <w:rPr>
                <w:rFonts w:ascii="Courier New" w:hAnsi="Courier New"/>
                <w:sz w:val="20"/>
                <w:szCs w:val="20"/>
                <w:rtl/>
              </w:rPr>
            </w:pPr>
          </w:p>
          <w:p w14:paraId="1B5809B5" w14:textId="77777777" w:rsidR="002F4E9F" w:rsidRPr="009332BB" w:rsidRDefault="00000000" w:rsidP="00285F18">
            <w:pPr>
              <w:jc w:val="center"/>
              <w:rPr>
                <w:rFonts w:ascii="Courier New" w:hAnsi="Courier New" w:cs="FrankRuehl"/>
                <w:spacing w:val="10"/>
                <w:szCs w:val="28"/>
                <w:rtl/>
              </w:rPr>
            </w:pPr>
            <w:r>
              <w:rPr>
                <w:rFonts w:ascii="Courier New" w:hAnsi="Courier New" w:cs="FrankRuehl" w:hint="cs"/>
                <w:spacing w:val="10"/>
                <w:szCs w:val="28"/>
                <w:rtl/>
              </w:rPr>
              <w:t>חאלד כבוב</w:t>
            </w:r>
          </w:p>
          <w:p w14:paraId="1B792053" w14:textId="77777777" w:rsidR="002F4E9F" w:rsidRPr="009332BB" w:rsidRDefault="00000000" w:rsidP="00285F18">
            <w:pPr>
              <w:rPr>
                <w:rFonts w:ascii="Courier New" w:hAnsi="Courier New"/>
              </w:rPr>
            </w:pPr>
            <w:r w:rsidRPr="009332BB">
              <w:rPr>
                <w:rFonts w:ascii="Courier New" w:hAnsi="Courier New" w:cs="FrankRuehl" w:hint="cs"/>
                <w:spacing w:val="10"/>
                <w:szCs w:val="28"/>
                <w:rtl/>
              </w:rPr>
              <w:t>שופט</w:t>
            </w:r>
          </w:p>
          <w:p w14:paraId="10D9D324" w14:textId="77777777" w:rsidR="00E03354" w:rsidRDefault="00E03354"/>
          <w:p w14:paraId="0F85CE65" w14:textId="77777777" w:rsidR="00E03354" w:rsidRDefault="00E03354" w:rsidP="00E03354">
            <w:pPr>
              <w:pStyle w:val="Ruller41"/>
              <w:jc w:val="center"/>
              <w:rPr>
                <w:rFonts w:ascii="Century" w:hAnsi="Century"/>
                <w:rtl/>
              </w:rPr>
            </w:pPr>
          </w:p>
        </w:tc>
      </w:tr>
    </w:tbl>
    <w:p w14:paraId="3FABAFB8" w14:textId="77777777" w:rsidR="00316730" w:rsidRDefault="00E03354" w:rsidP="00E03354">
      <w:pPr>
        <w:pStyle w:val="Ruller41"/>
        <w:rPr>
          <w:rFonts w:ascii="Century" w:hAnsi="Century"/>
          <w:rtl/>
        </w:rPr>
      </w:pPr>
      <w:r>
        <w:rPr>
          <w:rFonts w:ascii="Century" w:hAnsi="Century"/>
          <w:rtl/>
        </w:rPr>
        <w:tab/>
      </w:r>
    </w:p>
    <w:p w14:paraId="3880F186" w14:textId="77777777" w:rsidR="00E03354" w:rsidRDefault="00316730" w:rsidP="00E03354">
      <w:pPr>
        <w:pStyle w:val="Ruller41"/>
        <w:rPr>
          <w:rFonts w:ascii="Century" w:hAnsi="Century"/>
          <w:rtl/>
        </w:rPr>
      </w:pPr>
      <w:r>
        <w:rPr>
          <w:rFonts w:ascii="Century" w:hAnsi="Century"/>
          <w:rtl/>
        </w:rPr>
        <w:lastRenderedPageBreak/>
        <w:tab/>
      </w:r>
      <w:r w:rsidR="00000000">
        <w:rPr>
          <w:rFonts w:ascii="Century" w:hAnsi="Century"/>
          <w:rtl/>
        </w:rPr>
        <w:t xml:space="preserve">הוחלט כאמור בפסק דינו של השופט </w:t>
      </w:r>
      <w:r w:rsidR="00000000">
        <w:rPr>
          <w:rFonts w:ascii="Century" w:hAnsi="Century" w:cs="Miriam"/>
          <w:b/>
          <w:rtl/>
        </w:rPr>
        <w:t>ע' גרוסקופף</w:t>
      </w:r>
      <w:r w:rsidR="00000000">
        <w:rPr>
          <w:rFonts w:ascii="Century" w:hAnsi="Century"/>
          <w:rtl/>
        </w:rPr>
        <w:t>.</w:t>
      </w:r>
    </w:p>
    <w:p w14:paraId="45BE66B0" w14:textId="77777777" w:rsidR="00E03354" w:rsidRDefault="00E03354" w:rsidP="00E03354">
      <w:pPr>
        <w:pStyle w:val="Ruller41"/>
        <w:rPr>
          <w:rFonts w:ascii="Century" w:hAnsi="Century"/>
          <w:rtl/>
        </w:rPr>
      </w:pPr>
    </w:p>
    <w:p w14:paraId="347652F1" w14:textId="77777777" w:rsidR="00E03354" w:rsidRDefault="002F4E9F" w:rsidP="00E03354">
      <w:pPr>
        <w:spacing w:line="360" w:lineRule="auto"/>
        <w:jc w:val="both"/>
        <w:rPr>
          <w:rFonts w:ascii="FrankRuehl" w:hAnsi="FrankRuehl" w:cs="FrankRuehl"/>
          <w:sz w:val="28"/>
          <w:szCs w:val="28"/>
          <w:rtl/>
        </w:rPr>
      </w:pPr>
      <w:bookmarkStart w:id="11" w:name="Nitan"/>
      <w:r>
        <w:rPr>
          <w:rFonts w:ascii="FrankRuehl" w:hAnsi="FrankRuehl" w:cs="FrankRuehl"/>
          <w:spacing w:val="10"/>
          <w:sz w:val="28"/>
          <w:szCs w:val="28"/>
          <w:rtl/>
        </w:rPr>
        <w:t xml:space="preserve">ניתן היום, י"ט אלול תשפ"ד (22 ספטמבר 2024). </w:t>
      </w:r>
      <w:bookmarkEnd w:id="11"/>
    </w:p>
    <w:tbl>
      <w:tblPr>
        <w:bidiVisual/>
        <w:tblW w:w="8306" w:type="dxa"/>
        <w:jc w:val="center"/>
        <w:tblLook w:val="01E0" w:firstRow="1" w:lastRow="1" w:firstColumn="1" w:lastColumn="1" w:noHBand="0" w:noVBand="0"/>
      </w:tblPr>
      <w:tblGrid>
        <w:gridCol w:w="2796"/>
        <w:gridCol w:w="526"/>
        <w:gridCol w:w="2029"/>
        <w:gridCol w:w="341"/>
        <w:gridCol w:w="2614"/>
      </w:tblGrid>
      <w:tr w:rsidR="00BE72B9" w14:paraId="2CEDC45A" w14:textId="77777777" w:rsidTr="002F4E9F">
        <w:trPr>
          <w:trHeight w:val="426"/>
          <w:jc w:val="center"/>
        </w:trPr>
        <w:tc>
          <w:tcPr>
            <w:tcW w:w="2796" w:type="dxa"/>
            <w:shd w:val="clear" w:color="auto" w:fill="auto"/>
          </w:tcPr>
          <w:p w14:paraId="3A58BBB2" w14:textId="77777777" w:rsidR="002F4E9F" w:rsidRPr="002F4E9F" w:rsidRDefault="002F4E9F" w:rsidP="00285F18">
            <w:pPr>
              <w:rPr>
                <w:rFonts w:ascii="FrankRuehl" w:hAnsi="FrankRuehl" w:cs="FrankRuehl"/>
                <w:spacing w:val="10"/>
                <w:sz w:val="28"/>
                <w:szCs w:val="28"/>
                <w:rtl/>
              </w:rPr>
            </w:pPr>
          </w:p>
          <w:p w14:paraId="792574D3" w14:textId="77777777" w:rsidR="002F4E9F" w:rsidRPr="002F4E9F" w:rsidRDefault="00000000" w:rsidP="002F4E9F">
            <w:pPr>
              <w:jc w:val="center"/>
              <w:rPr>
                <w:rFonts w:ascii="FrankRuehl" w:hAnsi="FrankRuehl" w:cs="FrankRuehl"/>
                <w:spacing w:val="10"/>
                <w:sz w:val="28"/>
                <w:szCs w:val="28"/>
                <w:rtl/>
              </w:rPr>
            </w:pPr>
            <w:r w:rsidRPr="002F4E9F">
              <w:rPr>
                <w:rFonts w:ascii="FrankRuehl" w:hAnsi="FrankRuehl" w:cs="FrankRuehl" w:hint="cs"/>
                <w:spacing w:val="10"/>
                <w:sz w:val="28"/>
                <w:szCs w:val="28"/>
                <w:rtl/>
              </w:rPr>
              <w:t xml:space="preserve">דוד מינץ </w:t>
            </w:r>
          </w:p>
          <w:p w14:paraId="2CFFC8B3" w14:textId="77777777" w:rsidR="002F4E9F" w:rsidRPr="002F4E9F" w:rsidRDefault="00000000" w:rsidP="00571427">
            <w:pPr>
              <w:rPr>
                <w:rFonts w:ascii="FrankRuehl" w:hAnsi="FrankRuehl" w:cs="FrankRuehl"/>
                <w:spacing w:val="10"/>
                <w:sz w:val="28"/>
                <w:szCs w:val="28"/>
                <w:rtl/>
              </w:rPr>
            </w:pPr>
            <w:r w:rsidRPr="002F4E9F">
              <w:rPr>
                <w:rFonts w:ascii="FrankRuehl" w:hAnsi="FrankRuehl" w:cs="FrankRuehl" w:hint="cs"/>
                <w:spacing w:val="10"/>
                <w:sz w:val="28"/>
                <w:szCs w:val="28"/>
                <w:rtl/>
              </w:rPr>
              <w:t>שופט</w:t>
            </w:r>
          </w:p>
          <w:p w14:paraId="6BC35337" w14:textId="77777777" w:rsidR="00E03354" w:rsidRPr="002F4E9F" w:rsidRDefault="00E03354" w:rsidP="002F4E9F">
            <w:pPr>
              <w:jc w:val="center"/>
              <w:rPr>
                <w:rFonts w:ascii="FrankRuehl" w:hAnsi="FrankRuehl" w:cs="FrankRuehl"/>
                <w:spacing w:val="10"/>
                <w:sz w:val="28"/>
                <w:szCs w:val="28"/>
                <w:rtl/>
              </w:rPr>
            </w:pPr>
          </w:p>
          <w:p w14:paraId="3F5C5D2A" w14:textId="77777777" w:rsidR="00E03354" w:rsidRPr="002F4E9F" w:rsidRDefault="00E03354" w:rsidP="002F4E9F">
            <w:pPr>
              <w:jc w:val="center"/>
              <w:rPr>
                <w:rFonts w:ascii="FrankRuehl" w:hAnsi="FrankRuehl" w:cs="FrankRuehl"/>
                <w:spacing w:val="10"/>
                <w:sz w:val="28"/>
                <w:szCs w:val="28"/>
                <w:rtl/>
              </w:rPr>
            </w:pPr>
          </w:p>
        </w:tc>
        <w:tc>
          <w:tcPr>
            <w:tcW w:w="526" w:type="dxa"/>
            <w:shd w:val="clear" w:color="auto" w:fill="auto"/>
          </w:tcPr>
          <w:p w14:paraId="556EFB95" w14:textId="77777777" w:rsidR="00E03354" w:rsidRPr="002F4E9F" w:rsidRDefault="00E03354" w:rsidP="002F4E9F">
            <w:pPr>
              <w:jc w:val="center"/>
              <w:rPr>
                <w:rFonts w:ascii="FrankRuehl" w:hAnsi="FrankRuehl" w:cs="FrankRuehl"/>
                <w:spacing w:val="10"/>
                <w:sz w:val="28"/>
                <w:szCs w:val="28"/>
                <w:rtl/>
              </w:rPr>
            </w:pPr>
          </w:p>
        </w:tc>
        <w:tc>
          <w:tcPr>
            <w:tcW w:w="2029" w:type="dxa"/>
            <w:shd w:val="clear" w:color="auto" w:fill="auto"/>
          </w:tcPr>
          <w:p w14:paraId="1DB66F7A" w14:textId="77777777" w:rsidR="002F4E9F" w:rsidRPr="002F4E9F" w:rsidRDefault="002F4E9F">
            <w:pPr>
              <w:rPr>
                <w:rFonts w:ascii="FrankRuehl" w:hAnsi="FrankRuehl" w:cs="FrankRuehl"/>
                <w:spacing w:val="10"/>
                <w:sz w:val="28"/>
                <w:szCs w:val="28"/>
                <w:rtl/>
              </w:rPr>
            </w:pPr>
          </w:p>
          <w:p w14:paraId="7ADF67D2" w14:textId="77777777" w:rsidR="002F4E9F" w:rsidRPr="002F4E9F" w:rsidRDefault="00000000" w:rsidP="002F4E9F">
            <w:pPr>
              <w:jc w:val="center"/>
              <w:rPr>
                <w:rFonts w:ascii="FrankRuehl" w:hAnsi="FrankRuehl" w:cs="FrankRuehl"/>
                <w:spacing w:val="10"/>
                <w:sz w:val="28"/>
                <w:szCs w:val="28"/>
                <w:rtl/>
              </w:rPr>
            </w:pPr>
            <w:r w:rsidRPr="002F4E9F">
              <w:rPr>
                <w:rFonts w:ascii="FrankRuehl" w:hAnsi="FrankRuehl" w:cs="FrankRuehl"/>
                <w:spacing w:val="10"/>
                <w:sz w:val="28"/>
                <w:szCs w:val="28"/>
                <w:rtl/>
              </w:rPr>
              <w:t>עופר גרוסקופף</w:t>
            </w:r>
          </w:p>
          <w:p w14:paraId="679ECE96" w14:textId="77777777" w:rsidR="002F4E9F" w:rsidRPr="002F4E9F" w:rsidRDefault="00000000">
            <w:pPr>
              <w:rPr>
                <w:rFonts w:ascii="FrankRuehl" w:hAnsi="FrankRuehl" w:cs="FrankRuehl"/>
                <w:spacing w:val="10"/>
                <w:sz w:val="28"/>
                <w:szCs w:val="28"/>
                <w:rtl/>
              </w:rPr>
            </w:pPr>
            <w:r w:rsidRPr="002F4E9F">
              <w:rPr>
                <w:rFonts w:ascii="FrankRuehl" w:hAnsi="FrankRuehl" w:cs="FrankRuehl"/>
                <w:spacing w:val="10"/>
                <w:sz w:val="28"/>
                <w:szCs w:val="28"/>
                <w:rtl/>
              </w:rPr>
              <w:t>שופט</w:t>
            </w:r>
          </w:p>
          <w:p w14:paraId="52682E87" w14:textId="77777777" w:rsidR="00E03354" w:rsidRPr="002F4E9F" w:rsidRDefault="00E03354" w:rsidP="002F4E9F">
            <w:pPr>
              <w:jc w:val="center"/>
              <w:rPr>
                <w:rFonts w:ascii="FrankRuehl" w:hAnsi="FrankRuehl" w:cs="FrankRuehl"/>
                <w:spacing w:val="10"/>
                <w:sz w:val="28"/>
                <w:szCs w:val="28"/>
              </w:rPr>
            </w:pPr>
          </w:p>
          <w:p w14:paraId="01CDC950" w14:textId="77777777" w:rsidR="00E03354" w:rsidRPr="002F4E9F" w:rsidRDefault="00E03354" w:rsidP="002F4E9F">
            <w:pPr>
              <w:jc w:val="center"/>
              <w:rPr>
                <w:rFonts w:ascii="FrankRuehl" w:hAnsi="FrankRuehl" w:cs="FrankRuehl"/>
                <w:spacing w:val="10"/>
                <w:sz w:val="28"/>
                <w:szCs w:val="28"/>
                <w:rtl/>
              </w:rPr>
            </w:pPr>
          </w:p>
        </w:tc>
        <w:tc>
          <w:tcPr>
            <w:tcW w:w="341" w:type="dxa"/>
            <w:shd w:val="clear" w:color="auto" w:fill="auto"/>
          </w:tcPr>
          <w:p w14:paraId="4EB0B47D" w14:textId="77777777" w:rsidR="00E03354" w:rsidRPr="002F4E9F" w:rsidRDefault="00E03354" w:rsidP="002F4E9F">
            <w:pPr>
              <w:jc w:val="center"/>
              <w:rPr>
                <w:rFonts w:ascii="FrankRuehl" w:hAnsi="FrankRuehl" w:cs="FrankRuehl"/>
                <w:spacing w:val="10"/>
                <w:sz w:val="28"/>
                <w:szCs w:val="28"/>
                <w:rtl/>
              </w:rPr>
            </w:pPr>
          </w:p>
        </w:tc>
        <w:tc>
          <w:tcPr>
            <w:tcW w:w="2614" w:type="dxa"/>
            <w:shd w:val="clear" w:color="auto" w:fill="auto"/>
          </w:tcPr>
          <w:p w14:paraId="6C09029D" w14:textId="77777777" w:rsidR="002F4E9F" w:rsidRPr="002F4E9F" w:rsidRDefault="002F4E9F" w:rsidP="00285F18">
            <w:pPr>
              <w:rPr>
                <w:rFonts w:ascii="FrankRuehl" w:hAnsi="FrankRuehl" w:cs="FrankRuehl"/>
                <w:spacing w:val="10"/>
                <w:sz w:val="28"/>
                <w:szCs w:val="28"/>
                <w:rtl/>
              </w:rPr>
            </w:pPr>
          </w:p>
          <w:p w14:paraId="30B644C3" w14:textId="77777777" w:rsidR="002F4E9F" w:rsidRPr="002F4E9F" w:rsidRDefault="00000000" w:rsidP="002F4E9F">
            <w:pPr>
              <w:jc w:val="center"/>
              <w:rPr>
                <w:rFonts w:ascii="FrankRuehl" w:hAnsi="FrankRuehl" w:cs="FrankRuehl"/>
                <w:spacing w:val="10"/>
                <w:sz w:val="28"/>
                <w:szCs w:val="28"/>
                <w:rtl/>
              </w:rPr>
            </w:pPr>
            <w:r w:rsidRPr="002F4E9F">
              <w:rPr>
                <w:rFonts w:ascii="FrankRuehl" w:hAnsi="FrankRuehl" w:cs="FrankRuehl" w:hint="cs"/>
                <w:spacing w:val="10"/>
                <w:sz w:val="28"/>
                <w:szCs w:val="28"/>
                <w:rtl/>
              </w:rPr>
              <w:t>חאלד כבוב</w:t>
            </w:r>
          </w:p>
          <w:p w14:paraId="5B78ACE7" w14:textId="77777777" w:rsidR="002F4E9F" w:rsidRPr="002F4E9F" w:rsidRDefault="00000000" w:rsidP="00285F18">
            <w:pPr>
              <w:rPr>
                <w:rFonts w:ascii="FrankRuehl" w:hAnsi="FrankRuehl" w:cs="FrankRuehl"/>
                <w:spacing w:val="10"/>
                <w:sz w:val="28"/>
                <w:szCs w:val="28"/>
              </w:rPr>
            </w:pPr>
            <w:r w:rsidRPr="002F4E9F">
              <w:rPr>
                <w:rFonts w:ascii="FrankRuehl" w:hAnsi="FrankRuehl" w:cs="FrankRuehl" w:hint="cs"/>
                <w:spacing w:val="10"/>
                <w:sz w:val="28"/>
                <w:szCs w:val="28"/>
                <w:rtl/>
              </w:rPr>
              <w:t>שופט</w:t>
            </w:r>
          </w:p>
          <w:p w14:paraId="3F8DFF5F" w14:textId="77777777" w:rsidR="00E03354" w:rsidRPr="002F4E9F" w:rsidRDefault="00E03354" w:rsidP="002F4E9F">
            <w:pPr>
              <w:jc w:val="center"/>
              <w:rPr>
                <w:rFonts w:ascii="FrankRuehl" w:hAnsi="FrankRuehl" w:cs="FrankRuehl"/>
                <w:spacing w:val="10"/>
                <w:sz w:val="28"/>
                <w:szCs w:val="28"/>
              </w:rPr>
            </w:pPr>
          </w:p>
          <w:p w14:paraId="458AB71A" w14:textId="77777777" w:rsidR="002F4E9F" w:rsidRPr="002F4E9F" w:rsidRDefault="002F4E9F" w:rsidP="002F4E9F">
            <w:pPr>
              <w:jc w:val="center"/>
              <w:rPr>
                <w:rFonts w:ascii="FrankRuehl" w:hAnsi="FrankRuehl" w:cs="FrankRuehl"/>
                <w:spacing w:val="10"/>
                <w:sz w:val="28"/>
                <w:szCs w:val="28"/>
                <w:rtl/>
              </w:rPr>
            </w:pPr>
          </w:p>
          <w:p w14:paraId="759F473E" w14:textId="77777777" w:rsidR="003A5410" w:rsidRDefault="003A5410" w:rsidP="002F4E9F">
            <w:pPr>
              <w:jc w:val="center"/>
              <w:rPr>
                <w:rFonts w:ascii="FrankRuehl" w:hAnsi="FrankRuehl" w:cs="FrankRuehl"/>
                <w:spacing w:val="10"/>
                <w:sz w:val="28"/>
                <w:szCs w:val="28"/>
                <w:rtl/>
              </w:rPr>
            </w:pPr>
          </w:p>
          <w:p w14:paraId="7A7D1DD1" w14:textId="77777777" w:rsidR="00E03354" w:rsidRPr="002F4E9F" w:rsidRDefault="00E03354" w:rsidP="002F4E9F">
            <w:pPr>
              <w:jc w:val="center"/>
              <w:rPr>
                <w:rFonts w:ascii="FrankRuehl" w:hAnsi="FrankRuehl" w:cs="FrankRuehl"/>
                <w:spacing w:val="10"/>
                <w:sz w:val="28"/>
                <w:szCs w:val="28"/>
                <w:rtl/>
              </w:rPr>
            </w:pPr>
          </w:p>
        </w:tc>
      </w:tr>
    </w:tbl>
    <w:p w14:paraId="38927A0D" w14:textId="77777777" w:rsidR="00E03354" w:rsidRPr="002F4E9F" w:rsidRDefault="003A5410" w:rsidP="002F4E9F">
      <w:pPr>
        <w:keepNext/>
        <w:rPr>
          <w:rFonts w:ascii="David" w:hAnsi="David"/>
          <w:color w:val="000000"/>
          <w:sz w:val="22"/>
          <w:szCs w:val="22"/>
        </w:rPr>
      </w:pPr>
      <w:r w:rsidRPr="003A5410">
        <w:rPr>
          <w:color w:val="FFFFFF"/>
          <w:sz w:val="2"/>
          <w:szCs w:val="2"/>
          <w:rtl/>
        </w:rPr>
        <w:t>5129371</w:t>
      </w:r>
      <w:r w:rsidR="002F4E9F" w:rsidRPr="002F4E9F">
        <w:rPr>
          <w:color w:val="FFFFFF"/>
          <w:sz w:val="2"/>
          <w:szCs w:val="2"/>
          <w:rtl/>
        </w:rPr>
        <w:t>5129371</w:t>
      </w:r>
      <w:r w:rsidR="002F4E9F" w:rsidRPr="002F4E9F">
        <w:rPr>
          <w:color w:val="FFFFFF"/>
          <w:sz w:val="2"/>
          <w:szCs w:val="2"/>
        </w:rPr>
        <w:t>54678313</w:t>
      </w:r>
    </w:p>
    <w:p w14:paraId="011B725F" w14:textId="12BE3551" w:rsidR="002F4E9F" w:rsidRPr="002F4E9F" w:rsidRDefault="002F4E9F" w:rsidP="003A5410">
      <w:pPr>
        <w:rPr>
          <w:color w:val="0000FF"/>
          <w:sz w:val="2"/>
          <w:u w:val="single"/>
        </w:rPr>
      </w:pPr>
    </w:p>
    <w:sectPr w:rsidR="002F4E9F" w:rsidRPr="002F4E9F" w:rsidSect="003A5410">
      <w:headerReference w:type="even" r:id="rId51"/>
      <w:headerReference w:type="default" r:id="rId52"/>
      <w:footerReference w:type="even" r:id="rId53"/>
      <w:footerReference w:type="default" r:id="rId54"/>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6F48" w14:textId="77777777" w:rsidR="00DE1475" w:rsidRDefault="00DE1475">
      <w:r>
        <w:separator/>
      </w:r>
    </w:p>
  </w:endnote>
  <w:endnote w:type="continuationSeparator" w:id="0">
    <w:p w14:paraId="49316317" w14:textId="77777777" w:rsidR="00DE1475" w:rsidRDefault="00DE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1FCE" w14:textId="77777777" w:rsidR="003A5410" w:rsidRDefault="00000000" w:rsidP="003A5410">
    <w:pPr>
      <w:pStyle w:val="a6"/>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w:t>
    </w:r>
    <w:r>
      <w:rPr>
        <w:rFonts w:ascii="FrankRuehl" w:hAnsi="FrankRuehl" w:cs="FrankRuehl"/>
        <w:rtl/>
      </w:rPr>
      <w:fldChar w:fldCharType="end"/>
    </w:r>
  </w:p>
  <w:p w14:paraId="168BE77C" w14:textId="776153E2" w:rsidR="002F4E9F" w:rsidRPr="003A5410" w:rsidRDefault="00A77293" w:rsidP="003A5410">
    <w:pPr>
      <w:pStyle w:val="a6"/>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4BF06138" wp14:editId="1306651A">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672B" w14:textId="77777777" w:rsidR="003A5410" w:rsidRDefault="00000000" w:rsidP="003A5410">
    <w:pPr>
      <w:pStyle w:val="a6"/>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8E69CA">
      <w:rPr>
        <w:rFonts w:ascii="FrankRuehl" w:hAnsi="FrankRuehl" w:cs="FrankRuehl"/>
        <w:noProof/>
        <w:rtl/>
      </w:rPr>
      <w:t>4</w:t>
    </w:r>
    <w:r>
      <w:rPr>
        <w:rFonts w:ascii="FrankRuehl" w:hAnsi="FrankRuehl" w:cs="FrankRuehl"/>
        <w:rtl/>
      </w:rPr>
      <w:fldChar w:fldCharType="end"/>
    </w:r>
  </w:p>
  <w:p w14:paraId="7648DF55" w14:textId="7FEBC3A9" w:rsidR="002F4E9F" w:rsidRPr="003A5410" w:rsidRDefault="002F4E9F" w:rsidP="003A5410">
    <w:pPr>
      <w:pStyle w:val="a6"/>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08D4" w14:textId="77777777" w:rsidR="00DE1475" w:rsidRDefault="00DE1475">
      <w:r>
        <w:separator/>
      </w:r>
    </w:p>
  </w:footnote>
  <w:footnote w:type="continuationSeparator" w:id="0">
    <w:p w14:paraId="3A49D2AC" w14:textId="77777777" w:rsidR="00DE1475" w:rsidRDefault="00DE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72A0" w14:textId="77777777" w:rsidR="002F4E9F" w:rsidRPr="003A5410" w:rsidRDefault="003A5410" w:rsidP="003A5410">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רעא 7708/23 </w:t>
    </w:r>
    <w:r>
      <w:rPr>
        <w:rFonts w:ascii="David" w:hAnsi="David"/>
        <w:color w:val="000000"/>
        <w:sz w:val="22"/>
        <w:szCs w:val="22"/>
        <w:rtl/>
      </w:rPr>
      <w:tab/>
      <w:t xml:space="preserve"> גוליבר אנרג'י בע"מ נ' עו"ד ליהי בלומנפלד - מנהלת ההסדר לחברות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151C" w14:textId="77777777" w:rsidR="00105E0F" w:rsidRPr="003A5410" w:rsidRDefault="003A5410" w:rsidP="003A5410">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2" w:name="_Hlk178193738"/>
    <w:bookmarkStart w:id="13" w:name="_Hlk178193739"/>
    <w:bookmarkStart w:id="14" w:name="_Hlk178193740"/>
    <w:bookmarkStart w:id="15" w:name="_Hlk178193741"/>
    <w:r>
      <w:rPr>
        <w:rFonts w:ascii="David" w:hAnsi="David"/>
        <w:color w:val="000000"/>
        <w:sz w:val="22"/>
        <w:szCs w:val="22"/>
        <w:rtl/>
      </w:rPr>
      <w:t xml:space="preserve">רעא 7708/23 </w:t>
    </w:r>
    <w:r>
      <w:rPr>
        <w:rFonts w:ascii="David" w:hAnsi="David"/>
        <w:color w:val="000000"/>
        <w:sz w:val="22"/>
        <w:szCs w:val="22"/>
        <w:rtl/>
      </w:rPr>
      <w:tab/>
      <w:t xml:space="preserve"> גוליבר אנרג'י בע"מ נ' עו"ד ליהי בלומנפלד - מנהלת ההסדר לחברות</w: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D0A71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1227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2DAFA4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5A0E70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A7A1B2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6FBA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D04B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A5F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CA0D9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2268E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BC5A63B2">
      <w:start w:val="1"/>
      <w:numFmt w:val="decimal"/>
      <w:pStyle w:val="Ruller4"/>
      <w:lvlText w:val="%1."/>
      <w:lvlJc w:val="left"/>
      <w:pPr>
        <w:tabs>
          <w:tab w:val="num" w:pos="907"/>
        </w:tabs>
        <w:ind w:left="0" w:firstLine="0"/>
      </w:pPr>
    </w:lvl>
    <w:lvl w:ilvl="1" w:tplc="1324C2D2">
      <w:start w:val="1"/>
      <w:numFmt w:val="lowerLetter"/>
      <w:lvlText w:val="%2."/>
      <w:lvlJc w:val="left"/>
      <w:pPr>
        <w:tabs>
          <w:tab w:val="num" w:pos="1440"/>
        </w:tabs>
        <w:ind w:left="1440" w:hanging="360"/>
      </w:pPr>
    </w:lvl>
    <w:lvl w:ilvl="2" w:tplc="679C3F90">
      <w:start w:val="1"/>
      <w:numFmt w:val="lowerRoman"/>
      <w:lvlText w:val="%3."/>
      <w:lvlJc w:val="right"/>
      <w:pPr>
        <w:tabs>
          <w:tab w:val="num" w:pos="2160"/>
        </w:tabs>
        <w:ind w:left="2160" w:hanging="180"/>
      </w:pPr>
    </w:lvl>
    <w:lvl w:ilvl="3" w:tplc="DAF68DAC">
      <w:start w:val="1"/>
      <w:numFmt w:val="decimal"/>
      <w:lvlText w:val="%4."/>
      <w:lvlJc w:val="left"/>
      <w:pPr>
        <w:tabs>
          <w:tab w:val="num" w:pos="2880"/>
        </w:tabs>
        <w:ind w:left="2880" w:hanging="360"/>
      </w:pPr>
    </w:lvl>
    <w:lvl w:ilvl="4" w:tplc="9A260FC6">
      <w:start w:val="1"/>
      <w:numFmt w:val="lowerLetter"/>
      <w:lvlText w:val="%5."/>
      <w:lvlJc w:val="left"/>
      <w:pPr>
        <w:tabs>
          <w:tab w:val="num" w:pos="3600"/>
        </w:tabs>
        <w:ind w:left="3600" w:hanging="360"/>
      </w:pPr>
    </w:lvl>
    <w:lvl w:ilvl="5" w:tplc="9940D2C6">
      <w:start w:val="1"/>
      <w:numFmt w:val="lowerRoman"/>
      <w:lvlText w:val="%6."/>
      <w:lvlJc w:val="right"/>
      <w:pPr>
        <w:tabs>
          <w:tab w:val="num" w:pos="4320"/>
        </w:tabs>
        <w:ind w:left="4320" w:hanging="180"/>
      </w:pPr>
    </w:lvl>
    <w:lvl w:ilvl="6" w:tplc="745A1346">
      <w:start w:val="1"/>
      <w:numFmt w:val="decimal"/>
      <w:lvlText w:val="%7."/>
      <w:lvlJc w:val="left"/>
      <w:pPr>
        <w:tabs>
          <w:tab w:val="num" w:pos="5040"/>
        </w:tabs>
        <w:ind w:left="5040" w:hanging="360"/>
      </w:pPr>
    </w:lvl>
    <w:lvl w:ilvl="7" w:tplc="D1483FD6">
      <w:start w:val="1"/>
      <w:numFmt w:val="lowerLetter"/>
      <w:lvlText w:val="%8."/>
      <w:lvlJc w:val="left"/>
      <w:pPr>
        <w:tabs>
          <w:tab w:val="num" w:pos="5760"/>
        </w:tabs>
        <w:ind w:left="5760" w:hanging="360"/>
      </w:pPr>
    </w:lvl>
    <w:lvl w:ilvl="8" w:tplc="62D87808">
      <w:start w:val="1"/>
      <w:numFmt w:val="lowerRoman"/>
      <w:lvlText w:val="%9."/>
      <w:lvlJc w:val="right"/>
      <w:pPr>
        <w:tabs>
          <w:tab w:val="num" w:pos="6480"/>
        </w:tabs>
        <w:ind w:left="6480" w:hanging="180"/>
      </w:pPr>
    </w:lvl>
  </w:abstractNum>
  <w:num w:numId="1" w16cid:durableId="1924411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922409">
    <w:abstractNumId w:val="8"/>
  </w:num>
  <w:num w:numId="3" w16cid:durableId="565528956">
    <w:abstractNumId w:val="3"/>
  </w:num>
  <w:num w:numId="4" w16cid:durableId="1534271287">
    <w:abstractNumId w:val="2"/>
  </w:num>
  <w:num w:numId="5" w16cid:durableId="298611092">
    <w:abstractNumId w:val="1"/>
  </w:num>
  <w:num w:numId="6" w16cid:durableId="620039755">
    <w:abstractNumId w:val="0"/>
  </w:num>
  <w:num w:numId="7" w16cid:durableId="88233392">
    <w:abstractNumId w:val="9"/>
  </w:num>
  <w:num w:numId="8" w16cid:durableId="714619055">
    <w:abstractNumId w:val="7"/>
  </w:num>
  <w:num w:numId="9" w16cid:durableId="1794327054">
    <w:abstractNumId w:val="6"/>
  </w:num>
  <w:num w:numId="10" w16cid:durableId="313460500">
    <w:abstractNumId w:val="5"/>
  </w:num>
  <w:num w:numId="11" w16cid:durableId="997264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26780"/>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26780&amp;lt;/CaseID&amp;gt;_x000d__x000a_        &amp;lt;CaseMonth&amp;gt;10&amp;lt;/CaseMonth&amp;gt;_x000d__x000a_        &amp;lt;CaseYear&amp;gt;2023&amp;lt;/CaseYear&amp;gt;_x000d__x000a_        &amp;lt;CaseNumber&amp;gt;56758&amp;lt;/CaseNumber&amp;gt;_x000d__x000a_        &amp;lt;NumeratorGroupID&amp;gt;1&amp;lt;/NumeratorGroupID&amp;gt;_x000d__x000a_        &amp;lt;CaseName&amp;gt;שמחה אוריאלי ובניו בע&amp;quot;מ  ואח&amp;#39; נ&amp;#39; עו&amp;quot;ד ליהי בלומנפלד - מנהלת ההסדר לחברות  ואח&amp;#39;&amp;lt;/CaseName&amp;gt;_x000d__x000a_        &amp;lt;CourtID&amp;gt;11&amp;lt;/CourtID&amp;gt;_x000d__x000a_        &amp;lt;CaseTypeID&amp;gt;78&amp;lt;/CaseTypeID&amp;gt;_x000d__x000a_        &amp;lt;CaseInterestID&amp;gt;10244&amp;lt;/CaseInterestID&amp;gt;_x000d__x000a_        &amp;lt;CaseLinkTypeID&amp;gt;7&amp;lt;/CaseLinkTypeID&amp;gt;_x000d__x000a_        &amp;lt;ProcedureID&amp;gt;1&amp;lt;/ProcedureID&amp;gt;_x000d__x000a_        &amp;lt;PreviousCaseYear&amp;gt;2023&amp;lt;/PreviousCaseYear&amp;gt;_x000d__x000a_        &amp;lt;PreviousCaseNumber&amp;gt;7708&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7708/23&amp;lt;/CaseDisplayIdentifier&amp;gt;_x000d__x000a_        &amp;lt;CaseTypeDesc&amp;gt;רע&amp;quot;א&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3-10-24T00:00:00+03:00&amp;lt;/CaseOpenDate&amp;gt;_x000d__x000a_        &amp;lt;PleaTypeID&amp;gt;364&amp;lt;/PleaTypeID&amp;gt;_x000d__x000a_        &amp;lt;CourtLevelID&amp;gt;3&amp;lt;/CourtLevelID&amp;gt;_x000d__x000a_        &amp;lt;CourtLevelCaseTypeInterestID&amp;gt;2247&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78&amp;lt;/PreviousCaseTypeID&amp;gt;_x000d__x000a_        &amp;lt;CaseDesc /&amp;gt;_x000d__x000a_        &amp;lt;isExistMinorSide&amp;gt;false&amp;lt;/isExistMinorSide&amp;gt;_x000d__x000a_        &amp;lt;isExistMinorWitness&amp;gt;false&amp;lt;/isExistMinorWitness&amp;gt;_x000d__x000a_        &amp;lt;PreviousCaseIdentifier&amp;gt;2023007708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26780&amp;lt;/CaseID&amp;gt;_x000d__x000a_        &amp;lt;CaseMonth&amp;gt;10&amp;lt;/CaseMonth&amp;gt;_x000d__x000a_        &amp;lt;CaseYear&amp;gt;2023&amp;lt;/CaseYear&amp;gt;_x000d__x000a_        &amp;lt;CaseNumber&amp;gt;56758&amp;lt;/CaseNumber&amp;gt;_x000d__x000a_        &amp;lt;NumeratorGroupID&amp;gt;1&amp;lt;/NumeratorGroupID&amp;gt;_x000d__x000a_        &amp;lt;CaseName&amp;gt;שמחה אוריאלי ובניו בע&amp;quot;מ  ואח&amp;#39; נ&amp;#39; עו&amp;quot;ד ליהי בלומנפלד - מנהלת ההסדר לחברות  ואח&amp;#39;&amp;lt;/CaseName&amp;gt;_x000d__x000a_        &amp;lt;CourtID&amp;gt;11&amp;lt;/CourtID&amp;gt;_x000d__x000a_        &amp;lt;CaseTypeID&amp;gt;78&amp;lt;/CaseTypeID&amp;gt;_x000d__x000a_        &amp;lt;CaseInterestID&amp;gt;10244&amp;lt;/CaseInterestID&amp;gt;_x000d__x000a_        &amp;lt;CaseLinkTypeID&amp;gt;7&amp;lt;/CaseLinkTypeID&amp;gt;_x000d__x000a_        &amp;lt;ProcedureID&amp;gt;1&amp;lt;/ProcedureID&amp;gt;_x000d__x000a_        &amp;lt;PreviousCaseYear&amp;gt;2023&amp;lt;/PreviousCaseYear&amp;gt;_x000d__x000a_        &amp;lt;PreviousCaseNumber&amp;gt;7708&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7708/23&amp;lt;/CaseDisplayIdentifier&amp;gt;_x000d__x000a_        &amp;lt;CaseTypeDesc&amp;gt;רע&amp;quot;א&amp;lt;/CaseTypeDesc&amp;gt;_x000d__x000a_        &amp;lt;CourtDesc&amp;gt;העליון&amp;lt;/CourtDesc&amp;gt;_x000d__x000a_        &amp;lt;CaseStageDesc&amp;gt;תיק נייר מוסב&amp;lt;/CaseStageDesc&amp;gt;_x000d__x000a_        &amp;lt;CaseOpenDate&amp;gt;2023-10-24T00:00:00+03:00&amp;lt;/CaseOpenDate&amp;gt;_x000d__x000a_        &amp;lt;PleaTypeID&amp;gt;364&amp;lt;/PleaTypeID&amp;gt;_x000d__x000a_        &amp;lt;CourtLevelID&amp;gt;3&amp;lt;/CourtLevelID&amp;gt;_x000d__x000a_        &amp;lt;CourtLevelCaseTypeInterestID&amp;gt;2247&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78&amp;lt;/PreviousCaseTypeID&amp;gt;_x000d__x000a_        &amp;lt;CaseDesc /&amp;gt;_x000d__x000a_        &amp;lt;PreviousCaseIdentifier&amp;gt;2023007708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044952&amp;lt;/DecisionID&amp;gt;_x000d__x000a_        &amp;lt;DecisionName&amp;gt;פסק דין  שניתנה ע&amp;quot;י  עופר גרוסקופף&amp;lt;/DecisionName&amp;gt;_x000d__x000a_        &amp;lt;DecisionStatusID&amp;gt;1&amp;lt;/DecisionStatusID&amp;gt;_x000d__x000a_        &amp;lt;DecisionStatusChangeDate&amp;gt;2024-09-22T13:42:39.577+03:00&amp;lt;/DecisionStatusChangeDate&amp;gt;_x000d__x000a_        &amp;lt;DecisionSignatureDate&amp;gt;2024-09-22T11:45:56.747+03:00&amp;lt;/DecisionSignatureDate&amp;gt;_x000d__x000a_        &amp;lt;DecisionSignatureUserID&amp;gt;024602203@GOV.IL&amp;lt;/DecisionSignatureUserID&amp;gt;_x000d__x000a_        &amp;lt;DecisionCreateDate&amp;gt;2024-09-22T10:02:30.517+03:00&amp;lt;/DecisionCreateDate&amp;gt;_x000d__x000a_        &amp;lt;DecisionChangeDate&amp;gt;2024-09-22T13:42:39.673+03:00&amp;lt;/DecisionChangeDate&amp;gt;_x000d__x000a_        &amp;lt;DecisionChangeUserID&amp;gt;305357964@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5816161&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24602203@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4815581@GOV.IL&amp;lt;/DecisionCreationUserID&amp;gt;_x000d__x000a_        &amp;lt;DecisionDisplayName&amp;gt;פסק דין  שניתנה ע&amp;quot;י  עופר גרוסקופף&amp;lt;/DecisionDisplayName&amp;gt;_x000d__x000a_        &amp;lt;IsScanned&amp;gt;false&amp;lt;/IsScanned&amp;gt;_x000d__x000a_        &amp;lt;DecisionSignatureUserName&amp;gt;עופר גרוסקופף&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5&amp;lt;/DecisionNumberInCase&amp;gt;_x000d__x000a_        &amp;lt;DecisionMeetingDate&amp;gt;2024-09-22T00:00:00+03:00&amp;lt;/DecisionMeetingDate&amp;gt;_x000d__x000a_      &amp;lt;/dt_Decision&amp;gt;_x000d__x000a_      &amp;lt;dt_DecisionCase diffgr:id=&amp;quot;dt_DecisionCase1&amp;quot; msdata:rowOrder=&amp;quot;0&amp;quot;&amp;gt;_x000d__x000a_        &amp;lt;DecisionID&amp;gt;155044952&amp;lt;/DecisionID&amp;gt;_x000d__x000a_        &amp;lt;CaseID&amp;gt;81826780&amp;lt;/CaseID&amp;gt;_x000d__x000a_        &amp;lt;IsOriginal&amp;gt;true&amp;lt;/IsOriginal&amp;gt;_x000d__x000a_        &amp;lt;IsDeleted&amp;gt;false&amp;lt;/IsDeleted&amp;gt;_x000d__x000a_        &amp;lt;CaseName&amp;gt;שמחה אוריאלי ובניו בע&amp;quot;מ  ואח&amp;#39; נ&amp;#39; עו&amp;quot;ד ליהי בלומנפלד - מנהלת ההסדר לחברות  ואח&amp;#39;&amp;lt;/CaseName&amp;gt;_x000d__x000a_        &amp;lt;CaseDisplayIdentifier&amp;gt;רע&amp;quot;א 7708/23&amp;lt;/CaseDisplayIdentifier&amp;gt;_x000d__x000a_      &amp;lt;/dt_DecisionCase&amp;gt;_x000d__x000a_    &amp;lt;/DecisionDS&amp;gt;_x000d__x000a_  &amp;lt;/diffgr:diffgram&amp;gt;_x000d__x000a_&amp;lt;/DecisionDS&amp;gt;"/>
    <w:docVar w:name="DecisionID" w:val="155044952"/>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6CC"/>
    <w:rsid w:val="000529D2"/>
    <w:rsid w:val="000529F0"/>
    <w:rsid w:val="000564AB"/>
    <w:rsid w:val="00064FBD"/>
    <w:rsid w:val="00082AB2"/>
    <w:rsid w:val="000906FE"/>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326B4"/>
    <w:rsid w:val="001367BC"/>
    <w:rsid w:val="00144D2A"/>
    <w:rsid w:val="0014653E"/>
    <w:rsid w:val="00164D97"/>
    <w:rsid w:val="00180519"/>
    <w:rsid w:val="00191C82"/>
    <w:rsid w:val="00193B4B"/>
    <w:rsid w:val="001C4003"/>
    <w:rsid w:val="001D4DBF"/>
    <w:rsid w:val="001E75CA"/>
    <w:rsid w:val="002265FF"/>
    <w:rsid w:val="00235B97"/>
    <w:rsid w:val="00261FEE"/>
    <w:rsid w:val="00270C62"/>
    <w:rsid w:val="00271B56"/>
    <w:rsid w:val="00275E20"/>
    <w:rsid w:val="00285F18"/>
    <w:rsid w:val="00286B0C"/>
    <w:rsid w:val="002A1B48"/>
    <w:rsid w:val="002C344E"/>
    <w:rsid w:val="002E75E9"/>
    <w:rsid w:val="002F0B1E"/>
    <w:rsid w:val="002F4E9F"/>
    <w:rsid w:val="00307A6A"/>
    <w:rsid w:val="00307C40"/>
    <w:rsid w:val="00316730"/>
    <w:rsid w:val="00320433"/>
    <w:rsid w:val="003230C7"/>
    <w:rsid w:val="00325E11"/>
    <w:rsid w:val="00327E50"/>
    <w:rsid w:val="0033597A"/>
    <w:rsid w:val="00343D89"/>
    <w:rsid w:val="00362612"/>
    <w:rsid w:val="0036743F"/>
    <w:rsid w:val="00367B06"/>
    <w:rsid w:val="003715DD"/>
    <w:rsid w:val="003823E0"/>
    <w:rsid w:val="003A4521"/>
    <w:rsid w:val="003A5410"/>
    <w:rsid w:val="003B3E8D"/>
    <w:rsid w:val="003C6687"/>
    <w:rsid w:val="003D1C8C"/>
    <w:rsid w:val="0040096C"/>
    <w:rsid w:val="00414F1F"/>
    <w:rsid w:val="0043125D"/>
    <w:rsid w:val="0043502B"/>
    <w:rsid w:val="00443C0E"/>
    <w:rsid w:val="004443AC"/>
    <w:rsid w:val="00444748"/>
    <w:rsid w:val="00444B02"/>
    <w:rsid w:val="00451E28"/>
    <w:rsid w:val="00462C62"/>
    <w:rsid w:val="00465D36"/>
    <w:rsid w:val="004C0515"/>
    <w:rsid w:val="004C17EE"/>
    <w:rsid w:val="004C4BDF"/>
    <w:rsid w:val="004D1187"/>
    <w:rsid w:val="004D3AA0"/>
    <w:rsid w:val="004E1987"/>
    <w:rsid w:val="004E2E15"/>
    <w:rsid w:val="004E6E3C"/>
    <w:rsid w:val="00511B90"/>
    <w:rsid w:val="00520898"/>
    <w:rsid w:val="00523621"/>
    <w:rsid w:val="00524986"/>
    <w:rsid w:val="005268F6"/>
    <w:rsid w:val="00534284"/>
    <w:rsid w:val="00547DB7"/>
    <w:rsid w:val="00571427"/>
    <w:rsid w:val="005C0627"/>
    <w:rsid w:val="005F4F09"/>
    <w:rsid w:val="005F523E"/>
    <w:rsid w:val="00604C4B"/>
    <w:rsid w:val="0061431B"/>
    <w:rsid w:val="00616AE2"/>
    <w:rsid w:val="00622BAA"/>
    <w:rsid w:val="006306CF"/>
    <w:rsid w:val="006318D8"/>
    <w:rsid w:val="00644E9A"/>
    <w:rsid w:val="00671BD5"/>
    <w:rsid w:val="006805C1"/>
    <w:rsid w:val="006833AE"/>
    <w:rsid w:val="00686C21"/>
    <w:rsid w:val="006931C1"/>
    <w:rsid w:val="00694556"/>
    <w:rsid w:val="006B7258"/>
    <w:rsid w:val="006C30C5"/>
    <w:rsid w:val="006D3B31"/>
    <w:rsid w:val="006E0D96"/>
    <w:rsid w:val="006E1A53"/>
    <w:rsid w:val="006F3A20"/>
    <w:rsid w:val="006F56E6"/>
    <w:rsid w:val="006F7B87"/>
    <w:rsid w:val="00704EDA"/>
    <w:rsid w:val="00721122"/>
    <w:rsid w:val="00734689"/>
    <w:rsid w:val="007363E6"/>
    <w:rsid w:val="0073718B"/>
    <w:rsid w:val="007447C7"/>
    <w:rsid w:val="007500D6"/>
    <w:rsid w:val="00753019"/>
    <w:rsid w:val="00754801"/>
    <w:rsid w:val="00761441"/>
    <w:rsid w:val="00795365"/>
    <w:rsid w:val="007A1762"/>
    <w:rsid w:val="007A351D"/>
    <w:rsid w:val="007B7765"/>
    <w:rsid w:val="007C5BDD"/>
    <w:rsid w:val="007D45E3"/>
    <w:rsid w:val="007E6115"/>
    <w:rsid w:val="007F4609"/>
    <w:rsid w:val="00814468"/>
    <w:rsid w:val="008176A1"/>
    <w:rsid w:val="00820005"/>
    <w:rsid w:val="008253FE"/>
    <w:rsid w:val="00841158"/>
    <w:rsid w:val="00844318"/>
    <w:rsid w:val="00846BA9"/>
    <w:rsid w:val="00851257"/>
    <w:rsid w:val="00863F5D"/>
    <w:rsid w:val="00870890"/>
    <w:rsid w:val="00873602"/>
    <w:rsid w:val="00875D12"/>
    <w:rsid w:val="0088479D"/>
    <w:rsid w:val="00891F42"/>
    <w:rsid w:val="00896889"/>
    <w:rsid w:val="008A59EE"/>
    <w:rsid w:val="008A6E97"/>
    <w:rsid w:val="008C5714"/>
    <w:rsid w:val="008D10B2"/>
    <w:rsid w:val="008E5C1F"/>
    <w:rsid w:val="008E69CA"/>
    <w:rsid w:val="00903896"/>
    <w:rsid w:val="00906F3D"/>
    <w:rsid w:val="009332BB"/>
    <w:rsid w:val="0094424E"/>
    <w:rsid w:val="00955642"/>
    <w:rsid w:val="009622DF"/>
    <w:rsid w:val="0096493F"/>
    <w:rsid w:val="00967DFF"/>
    <w:rsid w:val="00994341"/>
    <w:rsid w:val="009D1A48"/>
    <w:rsid w:val="009E1CE7"/>
    <w:rsid w:val="009E4EA5"/>
    <w:rsid w:val="009F164B"/>
    <w:rsid w:val="009F323C"/>
    <w:rsid w:val="00A06126"/>
    <w:rsid w:val="00A3392B"/>
    <w:rsid w:val="00A77293"/>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7FDA"/>
    <w:rsid w:val="00B27E9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6531"/>
    <w:rsid w:val="00BE05B2"/>
    <w:rsid w:val="00BE72B9"/>
    <w:rsid w:val="00BF1908"/>
    <w:rsid w:val="00BF76BE"/>
    <w:rsid w:val="00C05869"/>
    <w:rsid w:val="00C22D93"/>
    <w:rsid w:val="00C23458"/>
    <w:rsid w:val="00C31120"/>
    <w:rsid w:val="00C34482"/>
    <w:rsid w:val="00C43648"/>
    <w:rsid w:val="00C50A9F"/>
    <w:rsid w:val="00C61238"/>
    <w:rsid w:val="00C642FA"/>
    <w:rsid w:val="00C9217F"/>
    <w:rsid w:val="00CA4C49"/>
    <w:rsid w:val="00CC7622"/>
    <w:rsid w:val="00CD516B"/>
    <w:rsid w:val="00CD608F"/>
    <w:rsid w:val="00CE0084"/>
    <w:rsid w:val="00CF403E"/>
    <w:rsid w:val="00CF6BB7"/>
    <w:rsid w:val="00D0217A"/>
    <w:rsid w:val="00D04AA4"/>
    <w:rsid w:val="00D20565"/>
    <w:rsid w:val="00D228D9"/>
    <w:rsid w:val="00D27982"/>
    <w:rsid w:val="00D33B86"/>
    <w:rsid w:val="00D355D8"/>
    <w:rsid w:val="00D44968"/>
    <w:rsid w:val="00D53924"/>
    <w:rsid w:val="00D55D0C"/>
    <w:rsid w:val="00D96D8C"/>
    <w:rsid w:val="00DA6649"/>
    <w:rsid w:val="00DC1259"/>
    <w:rsid w:val="00DC1BD2"/>
    <w:rsid w:val="00DC2571"/>
    <w:rsid w:val="00DC487C"/>
    <w:rsid w:val="00DC792F"/>
    <w:rsid w:val="00DD4335"/>
    <w:rsid w:val="00DE1475"/>
    <w:rsid w:val="00DE1E7D"/>
    <w:rsid w:val="00DE6BF6"/>
    <w:rsid w:val="00E03354"/>
    <w:rsid w:val="00E1068A"/>
    <w:rsid w:val="00E25884"/>
    <w:rsid w:val="00E25B55"/>
    <w:rsid w:val="00E311E6"/>
    <w:rsid w:val="00E31C2B"/>
    <w:rsid w:val="00E5426A"/>
    <w:rsid w:val="00E54642"/>
    <w:rsid w:val="00E6777E"/>
    <w:rsid w:val="00E80CBE"/>
    <w:rsid w:val="00E90C45"/>
    <w:rsid w:val="00E9269D"/>
    <w:rsid w:val="00E94B75"/>
    <w:rsid w:val="00E962E3"/>
    <w:rsid w:val="00EB6C79"/>
    <w:rsid w:val="00EC37E9"/>
    <w:rsid w:val="00F038D8"/>
    <w:rsid w:val="00F06995"/>
    <w:rsid w:val="00F12D66"/>
    <w:rsid w:val="00F13623"/>
    <w:rsid w:val="00F14E68"/>
    <w:rsid w:val="00F44D1D"/>
    <w:rsid w:val="00F81F4D"/>
    <w:rsid w:val="00F84B6D"/>
    <w:rsid w:val="00F856E6"/>
    <w:rsid w:val="00F957E8"/>
    <w:rsid w:val="00FA311A"/>
    <w:rsid w:val="00FA5FDA"/>
    <w:rsid w:val="00FA7FD0"/>
    <w:rsid w:val="00FB6AB3"/>
    <w:rsid w:val="00FB7A67"/>
    <w:rsid w:val="00FD1419"/>
    <w:rsid w:val="00FD22A7"/>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69C1"/>
  <w15:docId w15:val="{F26D5595-3E12-425F-A66B-8E5FB503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1"/>
    <w:qFormat/>
    <w:rsid w:val="00E03354"/>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E03354"/>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E03354"/>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E03354"/>
    <w:pPr>
      <w:keepNext/>
      <w:keepLines/>
      <w:spacing w:before="40"/>
      <w:outlineLvl w:val="4"/>
    </w:pPr>
    <w:rPr>
      <w:rFonts w:ascii="Cambria" w:hAnsi="Cambria" w:cs="Times New Roman"/>
      <w:color w:val="365F91"/>
    </w:rPr>
  </w:style>
  <w:style w:type="paragraph" w:styleId="6">
    <w:name w:val="heading 6"/>
    <w:basedOn w:val="a1"/>
    <w:next w:val="a1"/>
    <w:link w:val="60"/>
    <w:qFormat/>
    <w:rsid w:val="00E03354"/>
    <w:pPr>
      <w:keepNext/>
      <w:keepLines/>
      <w:spacing w:before="40"/>
      <w:outlineLvl w:val="5"/>
    </w:pPr>
    <w:rPr>
      <w:rFonts w:ascii="Cambria" w:hAnsi="Cambria" w:cs="Times New Roman"/>
      <w:color w:val="243F60"/>
    </w:rPr>
  </w:style>
  <w:style w:type="paragraph" w:styleId="7">
    <w:name w:val="heading 7"/>
    <w:basedOn w:val="a1"/>
    <w:next w:val="a1"/>
    <w:link w:val="70"/>
    <w:qFormat/>
    <w:rsid w:val="00E03354"/>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E03354"/>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E03354"/>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link w:val="1"/>
    <w:rsid w:val="00E03354"/>
    <w:rPr>
      <w:rFonts w:ascii="Cambria" w:eastAsia="Times New Roman" w:hAnsi="Cambria" w:cs="Times New Roman"/>
      <w:noProof w:val="0"/>
      <w:color w:val="365F91"/>
      <w:sz w:val="32"/>
      <w:szCs w:val="32"/>
    </w:rPr>
  </w:style>
  <w:style w:type="character" w:customStyle="1" w:styleId="22">
    <w:name w:val="כותרת 2 תו"/>
    <w:link w:val="21"/>
    <w:semiHidden/>
    <w:rsid w:val="00E03354"/>
    <w:rPr>
      <w:rFonts w:ascii="Cambria" w:eastAsia="Times New Roman" w:hAnsi="Cambria" w:cs="Times New Roman"/>
      <w:noProof w:val="0"/>
      <w:color w:val="365F91"/>
      <w:sz w:val="26"/>
      <w:szCs w:val="26"/>
    </w:rPr>
  </w:style>
  <w:style w:type="character" w:customStyle="1" w:styleId="32">
    <w:name w:val="כותרת 3 תו"/>
    <w:link w:val="31"/>
    <w:semiHidden/>
    <w:rsid w:val="00E03354"/>
    <w:rPr>
      <w:rFonts w:ascii="Cambria" w:eastAsia="Times New Roman" w:hAnsi="Cambria" w:cs="Times New Roman"/>
      <w:noProof w:val="0"/>
      <w:color w:val="243F60"/>
      <w:sz w:val="24"/>
      <w:szCs w:val="24"/>
    </w:rPr>
  </w:style>
  <w:style w:type="character" w:customStyle="1" w:styleId="52">
    <w:name w:val="כותרת 5 תו"/>
    <w:link w:val="51"/>
    <w:semiHidden/>
    <w:rsid w:val="00E03354"/>
    <w:rPr>
      <w:rFonts w:ascii="Cambria" w:eastAsia="Times New Roman" w:hAnsi="Cambria" w:cs="Times New Roman"/>
      <w:noProof w:val="0"/>
      <w:color w:val="365F91"/>
      <w:sz w:val="24"/>
      <w:szCs w:val="24"/>
    </w:rPr>
  </w:style>
  <w:style w:type="character" w:customStyle="1" w:styleId="60">
    <w:name w:val="כותרת 6 תו"/>
    <w:link w:val="6"/>
    <w:semiHidden/>
    <w:rsid w:val="00E03354"/>
    <w:rPr>
      <w:rFonts w:ascii="Cambria" w:eastAsia="Times New Roman" w:hAnsi="Cambria" w:cs="Times New Roman"/>
      <w:noProof w:val="0"/>
      <w:color w:val="243F60"/>
      <w:sz w:val="24"/>
      <w:szCs w:val="24"/>
    </w:rPr>
  </w:style>
  <w:style w:type="character" w:customStyle="1" w:styleId="70">
    <w:name w:val="כותרת 7 תו"/>
    <w:link w:val="7"/>
    <w:semiHidden/>
    <w:rsid w:val="00E03354"/>
    <w:rPr>
      <w:rFonts w:ascii="Cambria" w:eastAsia="Times New Roman" w:hAnsi="Cambria" w:cs="Times New Roman"/>
      <w:i/>
      <w:iCs/>
      <w:noProof w:val="0"/>
      <w:color w:val="243F60"/>
      <w:sz w:val="24"/>
      <w:szCs w:val="24"/>
    </w:rPr>
  </w:style>
  <w:style w:type="character" w:customStyle="1" w:styleId="80">
    <w:name w:val="כותרת 8 תו"/>
    <w:link w:val="8"/>
    <w:semiHidden/>
    <w:rsid w:val="00E03354"/>
    <w:rPr>
      <w:rFonts w:ascii="Cambria" w:eastAsia="Times New Roman" w:hAnsi="Cambria" w:cs="Times New Roman"/>
      <w:noProof w:val="0"/>
      <w:color w:val="272727"/>
      <w:sz w:val="21"/>
      <w:szCs w:val="21"/>
    </w:rPr>
  </w:style>
  <w:style w:type="character" w:customStyle="1" w:styleId="90">
    <w:name w:val="כותרת 9 תו"/>
    <w:link w:val="9"/>
    <w:semiHidden/>
    <w:rsid w:val="00E03354"/>
    <w:rPr>
      <w:rFonts w:ascii="Cambria" w:eastAsia="Times New Roman" w:hAnsi="Cambria" w:cs="Times New Roman"/>
      <w:i/>
      <w:iCs/>
      <w:noProof w:val="0"/>
      <w:color w:val="272727"/>
      <w:sz w:val="21"/>
      <w:szCs w:val="21"/>
    </w:rPr>
  </w:style>
  <w:style w:type="paragraph" w:styleId="a5">
    <w:name w:val="header"/>
    <w:basedOn w:val="a1"/>
    <w:link w:val="10"/>
    <w:rsid w:val="00C64423"/>
    <w:pPr>
      <w:tabs>
        <w:tab w:val="center" w:pos="4153"/>
        <w:tab w:val="right" w:pos="8306"/>
      </w:tabs>
    </w:pPr>
  </w:style>
  <w:style w:type="character" w:customStyle="1" w:styleId="10">
    <w:name w:val="כותרת עליונה תו1"/>
    <w:link w:val="a5"/>
    <w:rsid w:val="00616AE2"/>
    <w:rPr>
      <w:rFonts w:cs="David"/>
      <w:noProof w:val="0"/>
      <w:sz w:val="24"/>
      <w:szCs w:val="24"/>
    </w:rPr>
  </w:style>
  <w:style w:type="paragraph" w:styleId="a6">
    <w:name w:val="footer"/>
    <w:basedOn w:val="a1"/>
    <w:link w:val="12"/>
    <w:uiPriority w:val="99"/>
    <w:rsid w:val="00C64423"/>
    <w:pPr>
      <w:tabs>
        <w:tab w:val="center" w:pos="4153"/>
        <w:tab w:val="right" w:pos="8306"/>
      </w:tabs>
    </w:pPr>
  </w:style>
  <w:style w:type="character" w:customStyle="1" w:styleId="12">
    <w:name w:val="כותרת תחתונה תו1"/>
    <w:link w:val="a6"/>
    <w:uiPriority w:val="99"/>
    <w:rsid w:val="00616AE2"/>
    <w:rPr>
      <w:rFonts w:cs="David"/>
      <w:noProof w:val="0"/>
      <w:sz w:val="24"/>
      <w:szCs w:val="24"/>
    </w:rPr>
  </w:style>
  <w:style w:type="paragraph" w:customStyle="1" w:styleId="a7">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8">
    <w:name w:val="annotation text"/>
    <w:basedOn w:val="a1"/>
    <w:link w:val="a9"/>
    <w:rsid w:val="00C64423"/>
    <w:rPr>
      <w:rFonts w:cs="Times New Roman"/>
    </w:rPr>
  </w:style>
  <w:style w:type="character" w:customStyle="1" w:styleId="a9">
    <w:name w:val="טקסט הערה תו"/>
    <w:link w:val="a8"/>
    <w:semiHidden/>
    <w:rsid w:val="00E03354"/>
    <w:rPr>
      <w:noProof w:val="0"/>
      <w:sz w:val="24"/>
      <w:szCs w:val="24"/>
    </w:rPr>
  </w:style>
  <w:style w:type="character" w:styleId="aa">
    <w:name w:val="annotation reference"/>
    <w:rsid w:val="00C64423"/>
    <w:rPr>
      <w:noProof w:val="0"/>
      <w:sz w:val="16"/>
      <w:szCs w:val="16"/>
    </w:rPr>
  </w:style>
  <w:style w:type="paragraph" w:styleId="ab">
    <w:name w:val="Balloon Text"/>
    <w:basedOn w:val="a1"/>
    <w:rsid w:val="00C64423"/>
    <w:rPr>
      <w:rFonts w:ascii="Tahoma" w:hAnsi="Tahoma" w:cs="Tahoma"/>
      <w:sz w:val="16"/>
      <w:szCs w:val="16"/>
    </w:rPr>
  </w:style>
  <w:style w:type="table" w:styleId="ac">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rsid w:val="00C64423"/>
    <w:rPr>
      <w:noProof w:val="0"/>
    </w:rPr>
  </w:style>
  <w:style w:type="character" w:styleId="ae">
    <w:name w:val="page number"/>
    <w:rsid w:val="00C64423"/>
    <w:rPr>
      <w:noProof w:val="0"/>
    </w:rPr>
  </w:style>
  <w:style w:type="table" w:customStyle="1" w:styleId="13">
    <w:name w:val="טבלת רשת1"/>
    <w:basedOn w:val="a3"/>
    <w:next w:val="ac"/>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טקסט מציין מיקום1"/>
    <w:uiPriority w:val="99"/>
    <w:semiHidden/>
    <w:rsid w:val="003230C7"/>
    <w:rPr>
      <w:noProof w:val="0"/>
      <w:color w:val="808080"/>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1"/>
    <w:link w:val="Ruller40"/>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4">
    <w:name w:val="Ruller 4 ממוספר"/>
    <w:basedOn w:val="Ruller41"/>
    <w:next w:val="Ruller41"/>
    <w:rsid w:val="00E03354"/>
    <w:pPr>
      <w:numPr>
        <w:numId w:val="1"/>
      </w:numPr>
      <w:tabs>
        <w:tab w:val="clear" w:pos="907"/>
        <w:tab w:val="num" w:pos="360"/>
      </w:tabs>
      <w:overflowPunct/>
      <w:autoSpaceDE/>
      <w:autoSpaceDN/>
      <w:adjustRightInd/>
      <w:spacing w:line="240" w:lineRule="auto"/>
    </w:pPr>
    <w:rPr>
      <w:rFonts w:ascii="Garamond" w:hAnsi="Garamond" w:cs="David"/>
      <w:spacing w:val="0"/>
      <w:sz w:val="24"/>
      <w:szCs w:val="24"/>
    </w:rPr>
  </w:style>
  <w:style w:type="character" w:styleId="FollowedHyperlink">
    <w:name w:val="FollowedHyperlink"/>
    <w:rsid w:val="00E03354"/>
    <w:rPr>
      <w:noProof w:val="0"/>
      <w:color w:val="800080"/>
      <w:u w:val="single"/>
    </w:rPr>
  </w:style>
  <w:style w:type="character" w:styleId="HTMLCite">
    <w:name w:val="HTML Cite"/>
    <w:rsid w:val="00E03354"/>
    <w:rPr>
      <w:i/>
      <w:iCs/>
      <w:noProof w:val="0"/>
    </w:rPr>
  </w:style>
  <w:style w:type="character" w:styleId="HTMLCode">
    <w:name w:val="HTML Code"/>
    <w:rsid w:val="00E03354"/>
    <w:rPr>
      <w:rFonts w:ascii="Consolas" w:hAnsi="Consolas"/>
      <w:noProof w:val="0"/>
      <w:sz w:val="20"/>
      <w:szCs w:val="20"/>
    </w:rPr>
  </w:style>
  <w:style w:type="character" w:styleId="HTMLDefinition">
    <w:name w:val="HTML Definition"/>
    <w:rsid w:val="00E03354"/>
    <w:rPr>
      <w:i/>
      <w:iCs/>
      <w:noProof w:val="0"/>
    </w:rPr>
  </w:style>
  <w:style w:type="character" w:styleId="HTMLVariable">
    <w:name w:val="HTML Variable"/>
    <w:rsid w:val="00E03354"/>
    <w:rPr>
      <w:i/>
      <w:iCs/>
      <w:noProof w:val="0"/>
    </w:rPr>
  </w:style>
  <w:style w:type="paragraph" w:styleId="HTML">
    <w:name w:val="HTML Preformatted"/>
    <w:basedOn w:val="a1"/>
    <w:link w:val="HTML0"/>
    <w:rsid w:val="00E03354"/>
    <w:rPr>
      <w:rFonts w:ascii="Consolas" w:hAnsi="Consolas"/>
      <w:sz w:val="20"/>
      <w:szCs w:val="20"/>
    </w:rPr>
  </w:style>
  <w:style w:type="character" w:customStyle="1" w:styleId="HTML0">
    <w:name w:val="HTML מעוצב מראש תו"/>
    <w:link w:val="HTML"/>
    <w:semiHidden/>
    <w:rsid w:val="00E03354"/>
    <w:rPr>
      <w:rFonts w:ascii="Consolas" w:hAnsi="Consolas" w:cs="David"/>
      <w:noProof w:val="0"/>
    </w:rPr>
  </w:style>
  <w:style w:type="character" w:styleId="Hyperlink">
    <w:name w:val="Hyperlink"/>
    <w:rsid w:val="00E03354"/>
    <w:rPr>
      <w:noProof w:val="0"/>
      <w:color w:val="0000FF"/>
      <w:u w:val="single"/>
    </w:rPr>
  </w:style>
  <w:style w:type="paragraph" w:styleId="Index1">
    <w:name w:val="index 1"/>
    <w:basedOn w:val="a1"/>
    <w:next w:val="a1"/>
    <w:autoRedefine/>
    <w:rsid w:val="00E03354"/>
    <w:pPr>
      <w:ind w:left="240" w:hanging="240"/>
    </w:pPr>
  </w:style>
  <w:style w:type="paragraph" w:styleId="Index2">
    <w:name w:val="index 2"/>
    <w:basedOn w:val="a1"/>
    <w:next w:val="a1"/>
    <w:autoRedefine/>
    <w:rsid w:val="00E03354"/>
    <w:pPr>
      <w:ind w:left="480" w:hanging="240"/>
    </w:pPr>
  </w:style>
  <w:style w:type="paragraph" w:styleId="Index3">
    <w:name w:val="index 3"/>
    <w:basedOn w:val="a1"/>
    <w:next w:val="a1"/>
    <w:autoRedefine/>
    <w:rsid w:val="00E03354"/>
    <w:pPr>
      <w:ind w:left="720" w:hanging="240"/>
    </w:pPr>
  </w:style>
  <w:style w:type="paragraph" w:styleId="Index4">
    <w:name w:val="index 4"/>
    <w:basedOn w:val="a1"/>
    <w:next w:val="a1"/>
    <w:autoRedefine/>
    <w:rsid w:val="00E03354"/>
    <w:pPr>
      <w:ind w:left="960" w:hanging="240"/>
    </w:pPr>
  </w:style>
  <w:style w:type="paragraph" w:styleId="Index5">
    <w:name w:val="index 5"/>
    <w:basedOn w:val="a1"/>
    <w:next w:val="a1"/>
    <w:autoRedefine/>
    <w:rsid w:val="00E03354"/>
    <w:pPr>
      <w:ind w:left="1200" w:hanging="240"/>
    </w:pPr>
  </w:style>
  <w:style w:type="paragraph" w:styleId="Index6">
    <w:name w:val="index 6"/>
    <w:basedOn w:val="a1"/>
    <w:next w:val="a1"/>
    <w:autoRedefine/>
    <w:rsid w:val="00E03354"/>
    <w:pPr>
      <w:ind w:left="1440" w:hanging="240"/>
    </w:pPr>
  </w:style>
  <w:style w:type="paragraph" w:styleId="Index7">
    <w:name w:val="index 7"/>
    <w:basedOn w:val="a1"/>
    <w:next w:val="a1"/>
    <w:autoRedefine/>
    <w:rsid w:val="00E03354"/>
    <w:pPr>
      <w:ind w:left="1680" w:hanging="240"/>
    </w:pPr>
  </w:style>
  <w:style w:type="paragraph" w:styleId="Index8">
    <w:name w:val="index 8"/>
    <w:basedOn w:val="a1"/>
    <w:next w:val="a1"/>
    <w:autoRedefine/>
    <w:rsid w:val="00E03354"/>
    <w:pPr>
      <w:ind w:left="1920" w:hanging="240"/>
    </w:pPr>
  </w:style>
  <w:style w:type="paragraph" w:styleId="Index9">
    <w:name w:val="index 9"/>
    <w:basedOn w:val="a1"/>
    <w:next w:val="a1"/>
    <w:autoRedefine/>
    <w:rsid w:val="00E03354"/>
    <w:pPr>
      <w:ind w:left="2160" w:hanging="240"/>
    </w:pPr>
  </w:style>
  <w:style w:type="paragraph" w:styleId="NormalWeb">
    <w:name w:val="Normal (Web)"/>
    <w:basedOn w:val="a1"/>
    <w:rsid w:val="00E03354"/>
    <w:rPr>
      <w:rFonts w:cs="Times New Roman"/>
    </w:rPr>
  </w:style>
  <w:style w:type="paragraph" w:styleId="TOC1">
    <w:name w:val="toc 1"/>
    <w:basedOn w:val="a1"/>
    <w:next w:val="a1"/>
    <w:autoRedefine/>
    <w:rsid w:val="00E03354"/>
    <w:pPr>
      <w:spacing w:after="100"/>
    </w:pPr>
  </w:style>
  <w:style w:type="paragraph" w:styleId="TOC2">
    <w:name w:val="toc 2"/>
    <w:basedOn w:val="a1"/>
    <w:next w:val="a1"/>
    <w:autoRedefine/>
    <w:rsid w:val="00E03354"/>
    <w:pPr>
      <w:spacing w:after="100"/>
      <w:ind w:left="240"/>
    </w:pPr>
  </w:style>
  <w:style w:type="paragraph" w:styleId="TOC3">
    <w:name w:val="toc 3"/>
    <w:basedOn w:val="a1"/>
    <w:next w:val="a1"/>
    <w:autoRedefine/>
    <w:rsid w:val="00E03354"/>
    <w:pPr>
      <w:spacing w:after="100"/>
      <w:ind w:left="480"/>
    </w:pPr>
  </w:style>
  <w:style w:type="paragraph" w:styleId="TOC4">
    <w:name w:val="toc 4"/>
    <w:basedOn w:val="a1"/>
    <w:next w:val="a1"/>
    <w:autoRedefine/>
    <w:rsid w:val="00E03354"/>
    <w:pPr>
      <w:spacing w:after="100"/>
      <w:ind w:left="720"/>
    </w:pPr>
  </w:style>
  <w:style w:type="paragraph" w:styleId="TOC5">
    <w:name w:val="toc 5"/>
    <w:basedOn w:val="a1"/>
    <w:next w:val="a1"/>
    <w:autoRedefine/>
    <w:rsid w:val="00E03354"/>
    <w:pPr>
      <w:spacing w:after="100"/>
      <w:ind w:left="960"/>
    </w:pPr>
  </w:style>
  <w:style w:type="paragraph" w:styleId="TOC6">
    <w:name w:val="toc 6"/>
    <w:basedOn w:val="a1"/>
    <w:next w:val="a1"/>
    <w:autoRedefine/>
    <w:rsid w:val="00E03354"/>
    <w:pPr>
      <w:spacing w:after="100"/>
      <w:ind w:left="1200"/>
    </w:pPr>
  </w:style>
  <w:style w:type="paragraph" w:styleId="TOC7">
    <w:name w:val="toc 7"/>
    <w:basedOn w:val="a1"/>
    <w:next w:val="a1"/>
    <w:autoRedefine/>
    <w:rsid w:val="00E03354"/>
    <w:pPr>
      <w:spacing w:after="100"/>
      <w:ind w:left="1440"/>
    </w:pPr>
  </w:style>
  <w:style w:type="paragraph" w:styleId="TOC8">
    <w:name w:val="toc 8"/>
    <w:basedOn w:val="a1"/>
    <w:next w:val="a1"/>
    <w:autoRedefine/>
    <w:rsid w:val="00E03354"/>
    <w:pPr>
      <w:spacing w:after="100"/>
      <w:ind w:left="1680"/>
    </w:pPr>
  </w:style>
  <w:style w:type="paragraph" w:styleId="TOC9">
    <w:name w:val="toc 9"/>
    <w:basedOn w:val="a1"/>
    <w:next w:val="a1"/>
    <w:autoRedefine/>
    <w:rsid w:val="00E03354"/>
    <w:pPr>
      <w:spacing w:after="100"/>
      <w:ind w:left="1920"/>
    </w:pPr>
  </w:style>
  <w:style w:type="table" w:styleId="-1">
    <w:name w:val="Table 3D effects 1"/>
    <w:basedOn w:val="a3"/>
    <w:rsid w:val="00E03354"/>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E03354"/>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E03354"/>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5">
    <w:name w:val="ביבליוגרפיה1"/>
    <w:basedOn w:val="a1"/>
    <w:next w:val="a1"/>
    <w:uiPriority w:val="37"/>
    <w:semiHidden/>
    <w:unhideWhenUsed/>
    <w:rsid w:val="00E03354"/>
  </w:style>
  <w:style w:type="paragraph" w:styleId="af">
    <w:name w:val="Salutation"/>
    <w:basedOn w:val="a1"/>
    <w:next w:val="a1"/>
    <w:link w:val="16"/>
    <w:rsid w:val="00E03354"/>
  </w:style>
  <w:style w:type="character" w:customStyle="1" w:styleId="16">
    <w:name w:val="ברכה תו1"/>
    <w:link w:val="af"/>
    <w:rsid w:val="00E03354"/>
    <w:rPr>
      <w:rFonts w:cs="David"/>
      <w:noProof w:val="0"/>
      <w:sz w:val="24"/>
      <w:szCs w:val="24"/>
    </w:rPr>
  </w:style>
  <w:style w:type="paragraph" w:styleId="af0">
    <w:name w:val="Body Text"/>
    <w:basedOn w:val="a1"/>
    <w:link w:val="af1"/>
    <w:rsid w:val="00E03354"/>
    <w:pPr>
      <w:spacing w:after="120"/>
    </w:pPr>
  </w:style>
  <w:style w:type="character" w:customStyle="1" w:styleId="af1">
    <w:name w:val="גוף טקסט תו"/>
    <w:link w:val="af0"/>
    <w:semiHidden/>
    <w:rsid w:val="00E03354"/>
    <w:rPr>
      <w:rFonts w:cs="David"/>
      <w:noProof w:val="0"/>
      <w:sz w:val="24"/>
      <w:szCs w:val="24"/>
    </w:rPr>
  </w:style>
  <w:style w:type="paragraph" w:styleId="23">
    <w:name w:val="Body Text 2"/>
    <w:basedOn w:val="a1"/>
    <w:link w:val="24"/>
    <w:rsid w:val="00E03354"/>
    <w:pPr>
      <w:spacing w:after="120" w:line="480" w:lineRule="auto"/>
    </w:pPr>
  </w:style>
  <w:style w:type="character" w:customStyle="1" w:styleId="24">
    <w:name w:val="גוף טקסט 2 תו"/>
    <w:link w:val="23"/>
    <w:semiHidden/>
    <w:rsid w:val="00E03354"/>
    <w:rPr>
      <w:rFonts w:cs="David"/>
      <w:noProof w:val="0"/>
      <w:sz w:val="24"/>
      <w:szCs w:val="24"/>
    </w:rPr>
  </w:style>
  <w:style w:type="paragraph" w:styleId="33">
    <w:name w:val="Body Text 3"/>
    <w:basedOn w:val="a1"/>
    <w:link w:val="34"/>
    <w:rsid w:val="00E03354"/>
    <w:pPr>
      <w:spacing w:after="120"/>
    </w:pPr>
    <w:rPr>
      <w:sz w:val="16"/>
      <w:szCs w:val="16"/>
    </w:rPr>
  </w:style>
  <w:style w:type="character" w:customStyle="1" w:styleId="34">
    <w:name w:val="גוף טקסט 3 תו"/>
    <w:link w:val="33"/>
    <w:semiHidden/>
    <w:rsid w:val="00E03354"/>
    <w:rPr>
      <w:rFonts w:cs="David"/>
      <w:noProof w:val="0"/>
      <w:sz w:val="16"/>
      <w:szCs w:val="16"/>
    </w:rPr>
  </w:style>
  <w:style w:type="character" w:styleId="HTML1">
    <w:name w:val="HTML Sample"/>
    <w:rsid w:val="00E03354"/>
    <w:rPr>
      <w:rFonts w:ascii="Consolas" w:hAnsi="Consolas"/>
      <w:noProof w:val="0"/>
      <w:sz w:val="24"/>
      <w:szCs w:val="24"/>
    </w:rPr>
  </w:style>
  <w:style w:type="character" w:styleId="af2">
    <w:name w:val="Emphasis"/>
    <w:qFormat/>
    <w:rsid w:val="00E03354"/>
    <w:rPr>
      <w:i/>
      <w:iCs/>
      <w:noProof w:val="0"/>
    </w:rPr>
  </w:style>
  <w:style w:type="character" w:customStyle="1" w:styleId="17">
    <w:name w:val="הדגשה חזקה1"/>
    <w:uiPriority w:val="21"/>
    <w:qFormat/>
    <w:rsid w:val="00E03354"/>
    <w:rPr>
      <w:i/>
      <w:iCs/>
      <w:noProof w:val="0"/>
      <w:color w:val="4F81BD"/>
    </w:rPr>
  </w:style>
  <w:style w:type="character" w:customStyle="1" w:styleId="18">
    <w:name w:val="הדגשה עדינה1"/>
    <w:uiPriority w:val="19"/>
    <w:qFormat/>
    <w:rsid w:val="00E03354"/>
    <w:rPr>
      <w:i/>
      <w:iCs/>
      <w:noProof w:val="0"/>
      <w:color w:val="404040"/>
    </w:rPr>
  </w:style>
  <w:style w:type="paragraph" w:styleId="af3">
    <w:name w:val="List Continue"/>
    <w:basedOn w:val="a1"/>
    <w:rsid w:val="00E03354"/>
    <w:pPr>
      <w:spacing w:after="120"/>
      <w:ind w:left="283"/>
      <w:contextualSpacing/>
    </w:pPr>
  </w:style>
  <w:style w:type="paragraph" w:styleId="25">
    <w:name w:val="List Continue 2"/>
    <w:basedOn w:val="a1"/>
    <w:rsid w:val="00E03354"/>
    <w:pPr>
      <w:spacing w:after="120"/>
      <w:ind w:left="566"/>
      <w:contextualSpacing/>
    </w:pPr>
  </w:style>
  <w:style w:type="paragraph" w:styleId="35">
    <w:name w:val="List Continue 3"/>
    <w:basedOn w:val="a1"/>
    <w:rsid w:val="00E03354"/>
    <w:pPr>
      <w:spacing w:after="120"/>
      <w:ind w:left="849"/>
      <w:contextualSpacing/>
    </w:pPr>
  </w:style>
  <w:style w:type="paragraph" w:styleId="42">
    <w:name w:val="List Continue 4"/>
    <w:basedOn w:val="a1"/>
    <w:rsid w:val="00E03354"/>
    <w:pPr>
      <w:spacing w:after="120"/>
      <w:ind w:left="1132"/>
      <w:contextualSpacing/>
    </w:pPr>
  </w:style>
  <w:style w:type="paragraph" w:styleId="53">
    <w:name w:val="List Continue 5"/>
    <w:basedOn w:val="a1"/>
    <w:rsid w:val="00E03354"/>
    <w:pPr>
      <w:spacing w:after="120"/>
      <w:ind w:left="1415"/>
      <w:contextualSpacing/>
    </w:pPr>
  </w:style>
  <w:style w:type="character" w:customStyle="1" w:styleId="19">
    <w:name w:val="הפניה חזקה1"/>
    <w:uiPriority w:val="32"/>
    <w:qFormat/>
    <w:rsid w:val="00E03354"/>
    <w:rPr>
      <w:b/>
      <w:bCs/>
      <w:smallCaps/>
      <w:noProof w:val="0"/>
      <w:color w:val="4F81BD"/>
      <w:spacing w:val="5"/>
    </w:rPr>
  </w:style>
  <w:style w:type="character" w:styleId="af4">
    <w:name w:val="endnote reference"/>
    <w:rsid w:val="00E03354"/>
    <w:rPr>
      <w:noProof w:val="0"/>
      <w:vertAlign w:val="superscript"/>
    </w:rPr>
  </w:style>
  <w:style w:type="character" w:styleId="af5">
    <w:name w:val="footnote reference"/>
    <w:rsid w:val="00E03354"/>
    <w:rPr>
      <w:noProof w:val="0"/>
      <w:vertAlign w:val="superscript"/>
    </w:rPr>
  </w:style>
  <w:style w:type="character" w:customStyle="1" w:styleId="1a">
    <w:name w:val="הפניה עדינה1"/>
    <w:uiPriority w:val="31"/>
    <w:qFormat/>
    <w:rsid w:val="00E03354"/>
    <w:rPr>
      <w:smallCaps/>
      <w:noProof w:val="0"/>
      <w:color w:val="5A5A5A"/>
    </w:rPr>
  </w:style>
  <w:style w:type="table" w:customStyle="1" w:styleId="1b">
    <w:name w:val="הצללה בהירה1"/>
    <w:basedOn w:val="a3"/>
    <w:uiPriority w:val="60"/>
    <w:semiHidden/>
    <w:unhideWhenUsed/>
    <w:rsid w:val="00E033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E033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E0335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E0335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E0335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E0335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E0335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E0335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E033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E0335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E0335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E0335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E0335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E0335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E0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c">
    <w:name w:val="הצללה צבעונית1"/>
    <w:basedOn w:val="a3"/>
    <w:uiPriority w:val="71"/>
    <w:semiHidden/>
    <w:unhideWhenUsed/>
    <w:rsid w:val="00E0335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E0335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E0335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E0335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E0335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E0335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E0335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6">
    <w:name w:val="Strong"/>
    <w:qFormat/>
    <w:rsid w:val="00E03354"/>
    <w:rPr>
      <w:b/>
      <w:bCs/>
      <w:noProof w:val="0"/>
    </w:rPr>
  </w:style>
  <w:style w:type="paragraph" w:styleId="af7">
    <w:name w:val="Signature"/>
    <w:basedOn w:val="a1"/>
    <w:link w:val="af8"/>
    <w:rsid w:val="00E03354"/>
    <w:pPr>
      <w:ind w:left="4252"/>
    </w:pPr>
  </w:style>
  <w:style w:type="character" w:customStyle="1" w:styleId="af8">
    <w:name w:val="חתימה תו"/>
    <w:link w:val="af7"/>
    <w:semiHidden/>
    <w:rsid w:val="00E03354"/>
    <w:rPr>
      <w:rFonts w:cs="David"/>
      <w:noProof w:val="0"/>
      <w:sz w:val="24"/>
      <w:szCs w:val="24"/>
    </w:rPr>
  </w:style>
  <w:style w:type="paragraph" w:styleId="af9">
    <w:name w:val="E-mail Signature"/>
    <w:basedOn w:val="a1"/>
    <w:link w:val="afa"/>
    <w:rsid w:val="00E03354"/>
  </w:style>
  <w:style w:type="character" w:customStyle="1" w:styleId="afa">
    <w:name w:val="חתימת דואר אלקטרוני תו"/>
    <w:link w:val="af9"/>
    <w:semiHidden/>
    <w:rsid w:val="00E03354"/>
    <w:rPr>
      <w:rFonts w:cs="David"/>
      <w:noProof w:val="0"/>
      <w:sz w:val="24"/>
      <w:szCs w:val="24"/>
    </w:rPr>
  </w:style>
  <w:style w:type="table" w:styleId="afb">
    <w:name w:val="Table Elegant"/>
    <w:basedOn w:val="a3"/>
    <w:rsid w:val="00E03354"/>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c">
    <w:name w:val="Table Professional"/>
    <w:basedOn w:val="a3"/>
    <w:rsid w:val="00E03354"/>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ubtle 1"/>
    <w:basedOn w:val="a3"/>
    <w:rsid w:val="00E03354"/>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E03354"/>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Contemporary"/>
    <w:basedOn w:val="a3"/>
    <w:rsid w:val="00E03354"/>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e">
    <w:name w:val="Table Simple 1"/>
    <w:basedOn w:val="a3"/>
    <w:rsid w:val="00E0335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E03354"/>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E03354"/>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Colorful 1"/>
    <w:basedOn w:val="a3"/>
    <w:rsid w:val="00E03354"/>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E03354"/>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E03354"/>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Table Classic 1"/>
    <w:basedOn w:val="a3"/>
    <w:rsid w:val="00E03354"/>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E03354"/>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E03354"/>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E03354"/>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E033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E033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E033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E033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E03354"/>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1">
    <w:name w:val="Table Web 1"/>
    <w:basedOn w:val="a3"/>
    <w:rsid w:val="00E03354"/>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E03354"/>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E03354"/>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E0335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E03354"/>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E03354"/>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E03354"/>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E03354"/>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E03354"/>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E03354"/>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E0335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E03354"/>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E0335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E03354"/>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E03354"/>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E03354"/>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E03354"/>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E0335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E03354"/>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E03354"/>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E03354"/>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E03354"/>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E03354"/>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E03354"/>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E033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E0335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E0335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E0335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E0335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E0335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E033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E0335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E03354"/>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E03354"/>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E03354"/>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E03354"/>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E03354"/>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E03354"/>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E0335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E03354"/>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E03354"/>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E03354"/>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E03354"/>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E03354"/>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E03354"/>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E03354"/>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E03354"/>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E03354"/>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E03354"/>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E03354"/>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E03354"/>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E03354"/>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E0335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E0335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E03354"/>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E03354"/>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E03354"/>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E03354"/>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E03354"/>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E0335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E03354"/>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E03354"/>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E03354"/>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E03354"/>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E03354"/>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E03354"/>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E033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E0335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E0335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E0335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E0335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E0335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E033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E033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E0335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E0335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E0335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E0335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E0335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E033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E033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E0335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E03354"/>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E03354"/>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E03354"/>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E03354"/>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E03354"/>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E03354"/>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E0335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E03354"/>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E03354"/>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E03354"/>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E03354"/>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E03354"/>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E03354"/>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e">
    <w:name w:val="Block Text"/>
    <w:basedOn w:val="a1"/>
    <w:rsid w:val="00E03354"/>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
    <w:name w:val="endnote text"/>
    <w:basedOn w:val="a1"/>
    <w:link w:val="aff0"/>
    <w:rsid w:val="00E03354"/>
    <w:rPr>
      <w:sz w:val="20"/>
      <w:szCs w:val="20"/>
    </w:rPr>
  </w:style>
  <w:style w:type="character" w:customStyle="1" w:styleId="aff0">
    <w:name w:val="טקסט הערת סיום תו"/>
    <w:link w:val="aff"/>
    <w:semiHidden/>
    <w:rsid w:val="00E03354"/>
    <w:rPr>
      <w:rFonts w:cs="David"/>
      <w:noProof w:val="0"/>
    </w:rPr>
  </w:style>
  <w:style w:type="paragraph" w:styleId="aff1">
    <w:name w:val="footnote text"/>
    <w:basedOn w:val="a1"/>
    <w:link w:val="aff2"/>
    <w:rsid w:val="00E03354"/>
    <w:rPr>
      <w:sz w:val="20"/>
      <w:szCs w:val="20"/>
    </w:rPr>
  </w:style>
  <w:style w:type="character" w:customStyle="1" w:styleId="aff2">
    <w:name w:val="טקסט הערת שוליים תו"/>
    <w:link w:val="aff1"/>
    <w:semiHidden/>
    <w:rsid w:val="00E03354"/>
    <w:rPr>
      <w:rFonts w:cs="David"/>
      <w:noProof w:val="0"/>
    </w:rPr>
  </w:style>
  <w:style w:type="paragraph" w:styleId="aff3">
    <w:name w:val="macro"/>
    <w:link w:val="aff4"/>
    <w:rsid w:val="00E03354"/>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4">
    <w:name w:val="טקסט מאקרו תו"/>
    <w:link w:val="aff3"/>
    <w:semiHidden/>
    <w:rsid w:val="00E03354"/>
    <w:rPr>
      <w:rFonts w:ascii="Consolas" w:hAnsi="Consolas" w:cs="David"/>
      <w:noProof w:val="0"/>
    </w:rPr>
  </w:style>
  <w:style w:type="paragraph" w:styleId="aff5">
    <w:name w:val="Plain Text"/>
    <w:basedOn w:val="a1"/>
    <w:link w:val="aff6"/>
    <w:rsid w:val="00E03354"/>
    <w:rPr>
      <w:rFonts w:ascii="Consolas" w:hAnsi="Consolas"/>
      <w:sz w:val="21"/>
      <w:szCs w:val="21"/>
    </w:rPr>
  </w:style>
  <w:style w:type="character" w:customStyle="1" w:styleId="aff6">
    <w:name w:val="טקסט רגיל תו"/>
    <w:link w:val="aff5"/>
    <w:semiHidden/>
    <w:rsid w:val="00E03354"/>
    <w:rPr>
      <w:rFonts w:ascii="Consolas" w:hAnsi="Consolas" w:cs="David"/>
      <w:noProof w:val="0"/>
      <w:sz w:val="21"/>
      <w:szCs w:val="21"/>
    </w:rPr>
  </w:style>
  <w:style w:type="character" w:customStyle="1" w:styleId="1f2">
    <w:name w:val="כותר הספר1"/>
    <w:uiPriority w:val="33"/>
    <w:qFormat/>
    <w:rsid w:val="00E03354"/>
    <w:rPr>
      <w:b/>
      <w:bCs/>
      <w:i/>
      <w:iCs/>
      <w:noProof w:val="0"/>
      <w:spacing w:val="5"/>
    </w:rPr>
  </w:style>
  <w:style w:type="paragraph" w:styleId="aff7">
    <w:name w:val="index heading"/>
    <w:basedOn w:val="a1"/>
    <w:next w:val="Index1"/>
    <w:rsid w:val="00E03354"/>
    <w:rPr>
      <w:rFonts w:ascii="Cambria" w:hAnsi="Cambria" w:cs="Times New Roman"/>
      <w:b/>
      <w:bCs/>
    </w:rPr>
  </w:style>
  <w:style w:type="paragraph" w:styleId="aff8">
    <w:name w:val="Note Heading"/>
    <w:basedOn w:val="a1"/>
    <w:next w:val="a1"/>
    <w:link w:val="aff9"/>
    <w:rsid w:val="00E03354"/>
  </w:style>
  <w:style w:type="character" w:customStyle="1" w:styleId="aff9">
    <w:name w:val="כותרת הערות תו"/>
    <w:link w:val="aff8"/>
    <w:semiHidden/>
    <w:rsid w:val="00E03354"/>
    <w:rPr>
      <w:rFonts w:cs="David"/>
      <w:noProof w:val="0"/>
      <w:sz w:val="24"/>
      <w:szCs w:val="24"/>
    </w:rPr>
  </w:style>
  <w:style w:type="paragraph" w:styleId="affa">
    <w:name w:val="Title"/>
    <w:basedOn w:val="a1"/>
    <w:next w:val="a1"/>
    <w:link w:val="1f3"/>
    <w:qFormat/>
    <w:rsid w:val="00E03354"/>
    <w:pPr>
      <w:contextualSpacing/>
    </w:pPr>
    <w:rPr>
      <w:rFonts w:ascii="Cambria" w:hAnsi="Cambria" w:cs="Times New Roman"/>
      <w:spacing w:val="-10"/>
      <w:kern w:val="28"/>
      <w:sz w:val="56"/>
      <w:szCs w:val="56"/>
    </w:rPr>
  </w:style>
  <w:style w:type="character" w:customStyle="1" w:styleId="1f3">
    <w:name w:val="כותרת טקסט תו1"/>
    <w:link w:val="affa"/>
    <w:rsid w:val="00E03354"/>
    <w:rPr>
      <w:rFonts w:ascii="Cambria" w:eastAsia="Times New Roman" w:hAnsi="Cambria" w:cs="Times New Roman"/>
      <w:noProof w:val="0"/>
      <w:spacing w:val="-10"/>
      <w:kern w:val="28"/>
      <w:sz w:val="56"/>
      <w:szCs w:val="56"/>
    </w:rPr>
  </w:style>
  <w:style w:type="paragraph" w:styleId="affb">
    <w:name w:val="Subtitle"/>
    <w:basedOn w:val="a1"/>
    <w:next w:val="a1"/>
    <w:link w:val="1f4"/>
    <w:qFormat/>
    <w:rsid w:val="00E03354"/>
    <w:pPr>
      <w:numPr>
        <w:ilvl w:val="1"/>
      </w:numPr>
      <w:spacing w:after="160"/>
    </w:pPr>
    <w:rPr>
      <w:rFonts w:ascii="Calibri" w:hAnsi="Calibri" w:cs="Arial"/>
      <w:color w:val="5A5A5A"/>
      <w:spacing w:val="15"/>
      <w:sz w:val="22"/>
      <w:szCs w:val="22"/>
    </w:rPr>
  </w:style>
  <w:style w:type="character" w:customStyle="1" w:styleId="1f4">
    <w:name w:val="כותרת משנה תו1"/>
    <w:link w:val="affb"/>
    <w:rsid w:val="00E03354"/>
    <w:rPr>
      <w:rFonts w:ascii="Calibri" w:eastAsia="Times New Roman" w:hAnsi="Calibri" w:cs="Arial"/>
      <w:noProof w:val="0"/>
      <w:color w:val="5A5A5A"/>
      <w:spacing w:val="15"/>
      <w:sz w:val="22"/>
      <w:szCs w:val="22"/>
    </w:rPr>
  </w:style>
  <w:style w:type="paragraph" w:styleId="affc">
    <w:name w:val="Message Header"/>
    <w:basedOn w:val="a1"/>
    <w:link w:val="affd"/>
    <w:rsid w:val="00E0335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d">
    <w:name w:val="כותרת עליונה של הודעה תו"/>
    <w:link w:val="affc"/>
    <w:semiHidden/>
    <w:rsid w:val="00E03354"/>
    <w:rPr>
      <w:rFonts w:ascii="Cambria" w:eastAsia="Times New Roman" w:hAnsi="Cambria" w:cs="Times New Roman"/>
      <w:noProof w:val="0"/>
      <w:sz w:val="24"/>
      <w:szCs w:val="24"/>
      <w:shd w:val="pct20" w:color="auto" w:fill="auto"/>
    </w:rPr>
  </w:style>
  <w:style w:type="paragraph" w:styleId="affe">
    <w:name w:val="toa heading"/>
    <w:basedOn w:val="a1"/>
    <w:next w:val="a1"/>
    <w:rsid w:val="00E03354"/>
    <w:pPr>
      <w:spacing w:before="120"/>
    </w:pPr>
    <w:rPr>
      <w:rFonts w:ascii="Cambria" w:hAnsi="Cambria" w:cs="Times New Roman"/>
      <w:b/>
      <w:bCs/>
    </w:rPr>
  </w:style>
  <w:style w:type="paragraph" w:customStyle="1" w:styleId="1f5">
    <w:name w:val="כותרת תוכן עניינים1"/>
    <w:basedOn w:val="1"/>
    <w:next w:val="a1"/>
    <w:uiPriority w:val="39"/>
    <w:qFormat/>
    <w:rsid w:val="00E03354"/>
    <w:pPr>
      <w:outlineLvl w:val="9"/>
    </w:pPr>
  </w:style>
  <w:style w:type="paragraph" w:styleId="afff">
    <w:name w:val="caption"/>
    <w:basedOn w:val="a1"/>
    <w:next w:val="a1"/>
    <w:qFormat/>
    <w:rsid w:val="00E03354"/>
    <w:pPr>
      <w:spacing w:after="200"/>
    </w:pPr>
    <w:rPr>
      <w:i/>
      <w:iCs/>
      <w:color w:val="1F497D"/>
      <w:sz w:val="18"/>
      <w:szCs w:val="18"/>
    </w:rPr>
  </w:style>
  <w:style w:type="paragraph" w:styleId="afff0">
    <w:name w:val="Body Text Indent"/>
    <w:basedOn w:val="a1"/>
    <w:link w:val="afff1"/>
    <w:rsid w:val="00E03354"/>
    <w:pPr>
      <w:spacing w:after="120"/>
      <w:ind w:left="283"/>
    </w:pPr>
  </w:style>
  <w:style w:type="character" w:customStyle="1" w:styleId="afff1">
    <w:name w:val="כניסה בגוף טקסט תו"/>
    <w:link w:val="afff0"/>
    <w:semiHidden/>
    <w:rsid w:val="00E03354"/>
    <w:rPr>
      <w:rFonts w:cs="David"/>
      <w:noProof w:val="0"/>
      <w:sz w:val="24"/>
      <w:szCs w:val="24"/>
    </w:rPr>
  </w:style>
  <w:style w:type="paragraph" w:styleId="2b">
    <w:name w:val="Body Text Indent 2"/>
    <w:basedOn w:val="a1"/>
    <w:link w:val="2c"/>
    <w:rsid w:val="00E03354"/>
    <w:pPr>
      <w:spacing w:after="120" w:line="480" w:lineRule="auto"/>
      <w:ind w:left="283"/>
    </w:pPr>
  </w:style>
  <w:style w:type="character" w:customStyle="1" w:styleId="2c">
    <w:name w:val="כניסה בגוף טקסט 2 תו"/>
    <w:link w:val="2b"/>
    <w:semiHidden/>
    <w:rsid w:val="00E03354"/>
    <w:rPr>
      <w:rFonts w:cs="David"/>
      <w:noProof w:val="0"/>
      <w:sz w:val="24"/>
      <w:szCs w:val="24"/>
    </w:rPr>
  </w:style>
  <w:style w:type="paragraph" w:styleId="3a">
    <w:name w:val="Body Text Indent 3"/>
    <w:basedOn w:val="a1"/>
    <w:link w:val="3b"/>
    <w:rsid w:val="00E03354"/>
    <w:pPr>
      <w:spacing w:after="120"/>
      <w:ind w:left="283"/>
    </w:pPr>
    <w:rPr>
      <w:sz w:val="16"/>
      <w:szCs w:val="16"/>
    </w:rPr>
  </w:style>
  <w:style w:type="character" w:customStyle="1" w:styleId="3b">
    <w:name w:val="כניסה בגוף טקסט 3 תו"/>
    <w:link w:val="3a"/>
    <w:semiHidden/>
    <w:rsid w:val="00E03354"/>
    <w:rPr>
      <w:rFonts w:cs="David"/>
      <w:noProof w:val="0"/>
      <w:sz w:val="16"/>
      <w:szCs w:val="16"/>
    </w:rPr>
  </w:style>
  <w:style w:type="paragraph" w:styleId="afff2">
    <w:name w:val="Normal Indent"/>
    <w:basedOn w:val="a1"/>
    <w:rsid w:val="00E03354"/>
    <w:pPr>
      <w:ind w:left="720"/>
    </w:pPr>
  </w:style>
  <w:style w:type="paragraph" w:styleId="afff3">
    <w:name w:val="Body Text First Indent"/>
    <w:basedOn w:val="af0"/>
    <w:link w:val="1f6"/>
    <w:rsid w:val="00E03354"/>
    <w:pPr>
      <w:spacing w:after="0"/>
      <w:ind w:firstLine="360"/>
    </w:pPr>
  </w:style>
  <w:style w:type="character" w:customStyle="1" w:styleId="1f6">
    <w:name w:val="כניסת שורה ראשונה בגוף טקסט תו1"/>
    <w:link w:val="afff3"/>
    <w:rsid w:val="00E03354"/>
    <w:rPr>
      <w:rFonts w:cs="David"/>
      <w:noProof w:val="0"/>
      <w:sz w:val="24"/>
      <w:szCs w:val="24"/>
    </w:rPr>
  </w:style>
  <w:style w:type="paragraph" w:styleId="2d">
    <w:name w:val="Body Text First Indent 2"/>
    <w:basedOn w:val="afff0"/>
    <w:link w:val="2e"/>
    <w:rsid w:val="00E03354"/>
    <w:pPr>
      <w:spacing w:after="0"/>
      <w:ind w:left="360" w:firstLine="360"/>
    </w:pPr>
  </w:style>
  <w:style w:type="character" w:customStyle="1" w:styleId="2e">
    <w:name w:val="כניסת שורה ראשונה בגוף טקסט 2 תו"/>
    <w:link w:val="2d"/>
    <w:semiHidden/>
    <w:rsid w:val="00E03354"/>
    <w:rPr>
      <w:rFonts w:cs="David"/>
      <w:noProof w:val="0"/>
      <w:sz w:val="24"/>
      <w:szCs w:val="24"/>
    </w:rPr>
  </w:style>
  <w:style w:type="paragraph" w:styleId="HTML2">
    <w:name w:val="HTML Address"/>
    <w:basedOn w:val="a1"/>
    <w:link w:val="HTML3"/>
    <w:rsid w:val="00E03354"/>
    <w:rPr>
      <w:i/>
      <w:iCs/>
    </w:rPr>
  </w:style>
  <w:style w:type="character" w:customStyle="1" w:styleId="HTML3">
    <w:name w:val="כתובת HTML תו"/>
    <w:link w:val="HTML2"/>
    <w:semiHidden/>
    <w:rsid w:val="00E03354"/>
    <w:rPr>
      <w:rFonts w:cs="David"/>
      <w:i/>
      <w:iCs/>
      <w:noProof w:val="0"/>
      <w:sz w:val="24"/>
      <w:szCs w:val="24"/>
    </w:rPr>
  </w:style>
  <w:style w:type="paragraph" w:styleId="afff4">
    <w:name w:val="envelope address"/>
    <w:basedOn w:val="a1"/>
    <w:rsid w:val="00E03354"/>
    <w:pPr>
      <w:framePr w:w="7920" w:h="1980" w:hRule="exact" w:hSpace="180" w:wrap="auto" w:hAnchor="page" w:xAlign="center" w:yAlign="bottom"/>
      <w:ind w:left="2880"/>
    </w:pPr>
    <w:rPr>
      <w:rFonts w:ascii="Cambria" w:hAnsi="Cambria" w:cs="Times New Roman"/>
    </w:rPr>
  </w:style>
  <w:style w:type="paragraph" w:styleId="afff5">
    <w:name w:val="envelope return"/>
    <w:basedOn w:val="a1"/>
    <w:rsid w:val="00E03354"/>
    <w:rPr>
      <w:rFonts w:ascii="Cambria" w:hAnsi="Cambria" w:cs="Times New Roman"/>
      <w:sz w:val="20"/>
      <w:szCs w:val="20"/>
    </w:rPr>
  </w:style>
  <w:style w:type="paragraph" w:customStyle="1" w:styleId="1f7">
    <w:name w:val="ללא מרווח1"/>
    <w:uiPriority w:val="1"/>
    <w:qFormat/>
    <w:rsid w:val="00E03354"/>
    <w:pPr>
      <w:bidi/>
    </w:pPr>
    <w:rPr>
      <w:rFonts w:cs="David"/>
      <w:sz w:val="24"/>
      <w:szCs w:val="24"/>
      <w:lang w:bidi="he-IL"/>
    </w:rPr>
  </w:style>
  <w:style w:type="character" w:styleId="HTML4">
    <w:name w:val="HTML Typewriter"/>
    <w:rsid w:val="00E03354"/>
    <w:rPr>
      <w:rFonts w:ascii="Consolas" w:hAnsi="Consolas"/>
      <w:noProof w:val="0"/>
      <w:sz w:val="20"/>
      <w:szCs w:val="20"/>
    </w:rPr>
  </w:style>
  <w:style w:type="paragraph" w:styleId="afff6">
    <w:name w:val="Document Map"/>
    <w:basedOn w:val="a1"/>
    <w:link w:val="afff7"/>
    <w:rsid w:val="00E03354"/>
    <w:rPr>
      <w:rFonts w:ascii="Tahoma" w:hAnsi="Tahoma" w:cs="Tahoma"/>
      <w:sz w:val="16"/>
      <w:szCs w:val="16"/>
    </w:rPr>
  </w:style>
  <w:style w:type="character" w:customStyle="1" w:styleId="afff7">
    <w:name w:val="מפת מסמך תו"/>
    <w:link w:val="afff6"/>
    <w:semiHidden/>
    <w:rsid w:val="00E03354"/>
    <w:rPr>
      <w:rFonts w:ascii="Tahoma" w:hAnsi="Tahoma" w:cs="Tahoma"/>
      <w:noProof w:val="0"/>
      <w:sz w:val="16"/>
      <w:szCs w:val="16"/>
    </w:rPr>
  </w:style>
  <w:style w:type="character" w:styleId="HTML5">
    <w:name w:val="HTML Keyboard"/>
    <w:rsid w:val="00E03354"/>
    <w:rPr>
      <w:rFonts w:ascii="Consolas" w:hAnsi="Consolas"/>
      <w:noProof w:val="0"/>
      <w:sz w:val="20"/>
      <w:szCs w:val="20"/>
    </w:rPr>
  </w:style>
  <w:style w:type="paragraph" w:styleId="afff8">
    <w:name w:val="annotation subject"/>
    <w:basedOn w:val="a8"/>
    <w:next w:val="a8"/>
    <w:link w:val="afff9"/>
    <w:rsid w:val="00E03354"/>
    <w:rPr>
      <w:rFonts w:cs="David"/>
      <w:b/>
      <w:bCs/>
      <w:sz w:val="20"/>
      <w:szCs w:val="20"/>
    </w:rPr>
  </w:style>
  <w:style w:type="character" w:customStyle="1" w:styleId="afff9">
    <w:name w:val="נושא הערה תו"/>
    <w:link w:val="afff8"/>
    <w:semiHidden/>
    <w:rsid w:val="00E03354"/>
    <w:rPr>
      <w:rFonts w:cs="David"/>
      <w:b/>
      <w:bCs/>
      <w:noProof w:val="0"/>
      <w:sz w:val="24"/>
      <w:szCs w:val="24"/>
    </w:rPr>
  </w:style>
  <w:style w:type="table" w:styleId="afffa">
    <w:name w:val="Table Theme"/>
    <w:basedOn w:val="a3"/>
    <w:rsid w:val="00E0335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Closing"/>
    <w:basedOn w:val="a1"/>
    <w:link w:val="afffc"/>
    <w:rsid w:val="00E03354"/>
    <w:pPr>
      <w:ind w:left="4252"/>
    </w:pPr>
  </w:style>
  <w:style w:type="character" w:customStyle="1" w:styleId="afffc">
    <w:name w:val="סיום תו"/>
    <w:link w:val="afffb"/>
    <w:semiHidden/>
    <w:rsid w:val="00E03354"/>
    <w:rPr>
      <w:rFonts w:cs="David"/>
      <w:noProof w:val="0"/>
      <w:sz w:val="24"/>
      <w:szCs w:val="24"/>
    </w:rPr>
  </w:style>
  <w:style w:type="table" w:styleId="1f8">
    <w:name w:val="Table Columns 1"/>
    <w:basedOn w:val="a3"/>
    <w:rsid w:val="00E03354"/>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E03354"/>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E03354"/>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E03354"/>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E03354"/>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9">
    <w:name w:val="פיסקת רשימה1"/>
    <w:basedOn w:val="a1"/>
    <w:uiPriority w:val="34"/>
    <w:qFormat/>
    <w:rsid w:val="00E03354"/>
    <w:pPr>
      <w:ind w:left="720"/>
      <w:contextualSpacing/>
    </w:pPr>
  </w:style>
  <w:style w:type="paragraph" w:customStyle="1" w:styleId="1fa">
    <w:name w:val="ציטוט1"/>
    <w:basedOn w:val="a1"/>
    <w:next w:val="a1"/>
    <w:link w:val="QuoteChar"/>
    <w:uiPriority w:val="29"/>
    <w:qFormat/>
    <w:rsid w:val="00E03354"/>
    <w:pPr>
      <w:spacing w:before="200" w:after="160"/>
      <w:ind w:left="864" w:right="864"/>
      <w:jc w:val="center"/>
    </w:pPr>
    <w:rPr>
      <w:i/>
      <w:iCs/>
      <w:color w:val="404040"/>
    </w:rPr>
  </w:style>
  <w:style w:type="character" w:customStyle="1" w:styleId="QuoteChar">
    <w:name w:val="Quote Char"/>
    <w:link w:val="1fa"/>
    <w:uiPriority w:val="29"/>
    <w:rsid w:val="00E03354"/>
    <w:rPr>
      <w:rFonts w:cs="David"/>
      <w:i/>
      <w:iCs/>
      <w:noProof w:val="0"/>
      <w:color w:val="404040"/>
      <w:sz w:val="24"/>
      <w:szCs w:val="24"/>
    </w:rPr>
  </w:style>
  <w:style w:type="paragraph" w:customStyle="1" w:styleId="1fb">
    <w:name w:val="ציטוט חזק1"/>
    <w:basedOn w:val="a1"/>
    <w:next w:val="a1"/>
    <w:link w:val="IntenseQuoteChar"/>
    <w:uiPriority w:val="30"/>
    <w:qFormat/>
    <w:rsid w:val="00E0335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b"/>
    <w:uiPriority w:val="30"/>
    <w:rsid w:val="00E03354"/>
    <w:rPr>
      <w:rFonts w:cs="David"/>
      <w:i/>
      <w:iCs/>
      <w:noProof w:val="0"/>
      <w:color w:val="4F81BD"/>
      <w:sz w:val="24"/>
      <w:szCs w:val="24"/>
    </w:rPr>
  </w:style>
  <w:style w:type="character" w:styleId="HTML6">
    <w:name w:val="HTML Acronym"/>
    <w:rsid w:val="00E03354"/>
    <w:rPr>
      <w:noProof w:val="0"/>
    </w:rPr>
  </w:style>
  <w:style w:type="paragraph" w:styleId="afffd">
    <w:name w:val="List"/>
    <w:basedOn w:val="a1"/>
    <w:rsid w:val="00E03354"/>
    <w:pPr>
      <w:ind w:left="283" w:hanging="283"/>
      <w:contextualSpacing/>
    </w:pPr>
  </w:style>
  <w:style w:type="paragraph" w:styleId="2f0">
    <w:name w:val="List 2"/>
    <w:basedOn w:val="a1"/>
    <w:rsid w:val="00E03354"/>
    <w:pPr>
      <w:ind w:left="566" w:hanging="283"/>
      <w:contextualSpacing/>
    </w:pPr>
  </w:style>
  <w:style w:type="paragraph" w:styleId="3d">
    <w:name w:val="List 3"/>
    <w:basedOn w:val="a1"/>
    <w:rsid w:val="00E03354"/>
    <w:pPr>
      <w:ind w:left="849" w:hanging="283"/>
      <w:contextualSpacing/>
    </w:pPr>
  </w:style>
  <w:style w:type="paragraph" w:styleId="45">
    <w:name w:val="List 4"/>
    <w:basedOn w:val="a1"/>
    <w:rsid w:val="00E03354"/>
    <w:pPr>
      <w:ind w:left="1132" w:hanging="283"/>
      <w:contextualSpacing/>
    </w:pPr>
  </w:style>
  <w:style w:type="paragraph" w:styleId="55">
    <w:name w:val="List 5"/>
    <w:basedOn w:val="a1"/>
    <w:rsid w:val="00E03354"/>
    <w:pPr>
      <w:ind w:left="1415" w:hanging="283"/>
      <w:contextualSpacing/>
    </w:pPr>
  </w:style>
  <w:style w:type="table" w:customStyle="1" w:styleId="1fc">
    <w:name w:val="רשימה בהירה1"/>
    <w:basedOn w:val="a3"/>
    <w:uiPriority w:val="61"/>
    <w:semiHidden/>
    <w:unhideWhenUsed/>
    <w:rsid w:val="00E0335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E0335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E0335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E0335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E0335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E0335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E0335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d">
    <w:name w:val="Table List 1"/>
    <w:basedOn w:val="a3"/>
    <w:rsid w:val="00E03354"/>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E03354"/>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E03354"/>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E03354"/>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E03354"/>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E03354"/>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E03354"/>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E03354"/>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E03354"/>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E03354"/>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E03354"/>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E03354"/>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E03354"/>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E03354"/>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E03354"/>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E0335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E0335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E0335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E0335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E0335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E0335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E0335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e">
    <w:name w:val="רשימה כהה1"/>
    <w:basedOn w:val="a3"/>
    <w:uiPriority w:val="70"/>
    <w:semiHidden/>
    <w:unhideWhenUsed/>
    <w:rsid w:val="00E0335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E0335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E0335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E0335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E0335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E0335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E0335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E03354"/>
    <w:pPr>
      <w:numPr>
        <w:numId w:val="2"/>
      </w:numPr>
      <w:contextualSpacing/>
    </w:pPr>
  </w:style>
  <w:style w:type="paragraph" w:styleId="2">
    <w:name w:val="List Number 2"/>
    <w:basedOn w:val="a1"/>
    <w:rsid w:val="00E03354"/>
    <w:pPr>
      <w:numPr>
        <w:numId w:val="3"/>
      </w:numPr>
      <w:contextualSpacing/>
    </w:pPr>
  </w:style>
  <w:style w:type="paragraph" w:styleId="3">
    <w:name w:val="List Number 3"/>
    <w:basedOn w:val="a1"/>
    <w:rsid w:val="00E03354"/>
    <w:pPr>
      <w:numPr>
        <w:numId w:val="4"/>
      </w:numPr>
      <w:contextualSpacing/>
    </w:pPr>
  </w:style>
  <w:style w:type="paragraph" w:styleId="4">
    <w:name w:val="List Number 4"/>
    <w:basedOn w:val="a1"/>
    <w:rsid w:val="00E03354"/>
    <w:pPr>
      <w:numPr>
        <w:numId w:val="5"/>
      </w:numPr>
      <w:contextualSpacing/>
    </w:pPr>
  </w:style>
  <w:style w:type="paragraph" w:styleId="5">
    <w:name w:val="List Number 5"/>
    <w:basedOn w:val="a1"/>
    <w:rsid w:val="00E03354"/>
    <w:pPr>
      <w:numPr>
        <w:numId w:val="6"/>
      </w:numPr>
      <w:contextualSpacing/>
    </w:pPr>
  </w:style>
  <w:style w:type="paragraph" w:styleId="a0">
    <w:name w:val="List Bullet"/>
    <w:basedOn w:val="a1"/>
    <w:rsid w:val="00E03354"/>
    <w:pPr>
      <w:numPr>
        <w:numId w:val="7"/>
      </w:numPr>
      <w:contextualSpacing/>
    </w:pPr>
  </w:style>
  <w:style w:type="paragraph" w:styleId="20">
    <w:name w:val="List Bullet 2"/>
    <w:basedOn w:val="a1"/>
    <w:rsid w:val="00E03354"/>
    <w:pPr>
      <w:numPr>
        <w:numId w:val="8"/>
      </w:numPr>
      <w:contextualSpacing/>
    </w:pPr>
  </w:style>
  <w:style w:type="paragraph" w:styleId="30">
    <w:name w:val="List Bullet 3"/>
    <w:basedOn w:val="a1"/>
    <w:rsid w:val="00E03354"/>
    <w:pPr>
      <w:numPr>
        <w:numId w:val="9"/>
      </w:numPr>
      <w:contextualSpacing/>
    </w:pPr>
  </w:style>
  <w:style w:type="paragraph" w:styleId="40">
    <w:name w:val="List Bullet 4"/>
    <w:basedOn w:val="a1"/>
    <w:rsid w:val="00E03354"/>
    <w:pPr>
      <w:numPr>
        <w:numId w:val="10"/>
      </w:numPr>
      <w:contextualSpacing/>
    </w:pPr>
  </w:style>
  <w:style w:type="paragraph" w:styleId="50">
    <w:name w:val="List Bullet 5"/>
    <w:basedOn w:val="a1"/>
    <w:rsid w:val="00E03354"/>
    <w:pPr>
      <w:numPr>
        <w:numId w:val="11"/>
      </w:numPr>
      <w:contextualSpacing/>
    </w:pPr>
  </w:style>
  <w:style w:type="table" w:customStyle="1" w:styleId="1ff">
    <w:name w:val="רשימה צבעונית1"/>
    <w:basedOn w:val="a3"/>
    <w:uiPriority w:val="72"/>
    <w:semiHidden/>
    <w:unhideWhenUsed/>
    <w:rsid w:val="00E0335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E0335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E0335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E0335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E0335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E0335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E0335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e">
    <w:name w:val="table of figures"/>
    <w:basedOn w:val="a1"/>
    <w:next w:val="a1"/>
    <w:rsid w:val="00E03354"/>
  </w:style>
  <w:style w:type="paragraph" w:styleId="affff">
    <w:name w:val="table of authorities"/>
    <w:basedOn w:val="a1"/>
    <w:next w:val="a1"/>
    <w:rsid w:val="00E03354"/>
    <w:pPr>
      <w:ind w:left="240" w:hanging="240"/>
    </w:pPr>
  </w:style>
  <w:style w:type="table" w:customStyle="1" w:styleId="1ff0">
    <w:name w:val="רשת בהירה1"/>
    <w:basedOn w:val="a3"/>
    <w:uiPriority w:val="62"/>
    <w:semiHidden/>
    <w:unhideWhenUsed/>
    <w:rsid w:val="00E0335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E0335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E0335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E0335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E0335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E0335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E033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E033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E0335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E0335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E0335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E0335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E0335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E0335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E0335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E0335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E0335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E0335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E0335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E0335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E0335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E033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f1">
    <w:name w:val="Table Grid 1"/>
    <w:basedOn w:val="a3"/>
    <w:rsid w:val="00E03354"/>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E03354"/>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E03354"/>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E03354"/>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E03354"/>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E03354"/>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E03354"/>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E03354"/>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E033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f2">
    <w:name w:val="רשת צבעונית1"/>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E0335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0">
    <w:name w:val="Date"/>
    <w:basedOn w:val="a1"/>
    <w:next w:val="a1"/>
    <w:link w:val="1ff3"/>
    <w:rsid w:val="00E03354"/>
  </w:style>
  <w:style w:type="character" w:customStyle="1" w:styleId="1ff3">
    <w:name w:val="תאריך תו1"/>
    <w:link w:val="affff0"/>
    <w:rsid w:val="00E03354"/>
    <w:rPr>
      <w:rFonts w:cs="David"/>
      <w:noProof w:val="0"/>
      <w:sz w:val="24"/>
      <w:szCs w:val="24"/>
    </w:rPr>
  </w:style>
  <w:style w:type="character" w:customStyle="1" w:styleId="affff1">
    <w:name w:val="כותרת תחתונה תו"/>
    <w:rsid w:val="00325E11"/>
    <w:rPr>
      <w:sz w:val="24"/>
    </w:rPr>
  </w:style>
  <w:style w:type="character" w:customStyle="1" w:styleId="affff2">
    <w:name w:val="כותרת עליונה תו"/>
    <w:rsid w:val="00325E11"/>
    <w:rPr>
      <w:sz w:val="24"/>
    </w:rPr>
  </w:style>
  <w:style w:type="character" w:customStyle="1" w:styleId="affff3">
    <w:name w:val="ברכה תו"/>
    <w:rsid w:val="00325E11"/>
    <w:rPr>
      <w:sz w:val="24"/>
    </w:rPr>
  </w:style>
  <w:style w:type="character" w:customStyle="1" w:styleId="1ff4">
    <w:name w:val="כותרת 1 תו"/>
    <w:rsid w:val="00325E11"/>
    <w:rPr>
      <w:rFonts w:ascii="Cambria" w:hAnsi="Cambria"/>
      <w:color w:val="365F91"/>
      <w:sz w:val="32"/>
    </w:rPr>
  </w:style>
  <w:style w:type="character" w:customStyle="1" w:styleId="affff4">
    <w:name w:val="כותרת טקסט תו"/>
    <w:rsid w:val="00325E11"/>
    <w:rPr>
      <w:rFonts w:ascii="Cambria" w:hAnsi="Cambria"/>
      <w:spacing w:val="-10"/>
      <w:kern w:val="28"/>
      <w:sz w:val="56"/>
    </w:rPr>
  </w:style>
  <w:style w:type="character" w:customStyle="1" w:styleId="affff5">
    <w:name w:val="כותרת משנה תו"/>
    <w:rsid w:val="00325E11"/>
    <w:rPr>
      <w:rFonts w:ascii="Calibri" w:hAnsi="Calibri"/>
      <w:color w:val="5A5A5A"/>
      <w:spacing w:val="15"/>
      <w:sz w:val="22"/>
    </w:rPr>
  </w:style>
  <w:style w:type="character" w:customStyle="1" w:styleId="affff6">
    <w:name w:val="כניסת שורה ראשונה בגוף טקסט תו"/>
    <w:rsid w:val="00325E11"/>
    <w:rPr>
      <w:sz w:val="24"/>
    </w:rPr>
  </w:style>
  <w:style w:type="character" w:customStyle="1" w:styleId="affff7">
    <w:name w:val="תאריך תו"/>
    <w:rsid w:val="00325E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154362/7" TargetMode="External"/><Relationship Id="rId18" Type="http://schemas.openxmlformats.org/officeDocument/2006/relationships/hyperlink" Target="http://www.nevo.co.il/law/71867" TargetMode="External"/><Relationship Id="rId26" Type="http://schemas.openxmlformats.org/officeDocument/2006/relationships/hyperlink" Target="http://www.nevo.co.il/case/28047959" TargetMode="External"/><Relationship Id="rId39" Type="http://schemas.openxmlformats.org/officeDocument/2006/relationships/hyperlink" Target="http://www.nevo.co.il/case/26075995" TargetMode="External"/><Relationship Id="rId21" Type="http://schemas.openxmlformats.org/officeDocument/2006/relationships/hyperlink" Target="http://www.nevo.co.il/law/72813/38.a" TargetMode="External"/><Relationship Id="rId34" Type="http://schemas.openxmlformats.org/officeDocument/2006/relationships/hyperlink" Target="http://www.nevo.co.il/case/28513853" TargetMode="External"/><Relationship Id="rId42" Type="http://schemas.openxmlformats.org/officeDocument/2006/relationships/hyperlink" Target="http://www.nevo.co.il/safrut/bookgroup/593" TargetMode="External"/><Relationship Id="rId47" Type="http://schemas.openxmlformats.org/officeDocument/2006/relationships/hyperlink" Target="http://www.nevo.co.il/case/17930996" TargetMode="External"/><Relationship Id="rId50" Type="http://schemas.openxmlformats.org/officeDocument/2006/relationships/hyperlink" Target="http://www.nevo.co.il/safrut/book/48607" TargetMode="External"/><Relationship Id="rId55" Type="http://schemas.openxmlformats.org/officeDocument/2006/relationships/fontTable" Target="fontTable.xml"/><Relationship Id="rId7" Type="http://schemas.openxmlformats.org/officeDocument/2006/relationships/hyperlink" Target="http://www.nevo.co.il/case/27452660" TargetMode="External"/><Relationship Id="rId12" Type="http://schemas.openxmlformats.org/officeDocument/2006/relationships/hyperlink" Target="http://www.nevo.co.il/law/157751" TargetMode="External"/><Relationship Id="rId17" Type="http://schemas.openxmlformats.org/officeDocument/2006/relationships/hyperlink" Target="http://www.nevo.co.il/law/71867/8" TargetMode="External"/><Relationship Id="rId25" Type="http://schemas.openxmlformats.org/officeDocument/2006/relationships/hyperlink" Target="http://www.nevo.co.il/case/27202771" TargetMode="External"/><Relationship Id="rId33" Type="http://schemas.openxmlformats.org/officeDocument/2006/relationships/hyperlink" Target="http://www.nevo.co.il/law/154362/216.1" TargetMode="External"/><Relationship Id="rId38" Type="http://schemas.openxmlformats.org/officeDocument/2006/relationships/hyperlink" Target="http://www.nevo.co.il/case/5727379" TargetMode="External"/><Relationship Id="rId46" Type="http://schemas.openxmlformats.org/officeDocument/2006/relationships/hyperlink" Target="http://www.nevo.co.il/law/72813" TargetMode="External"/><Relationship Id="rId2" Type="http://schemas.openxmlformats.org/officeDocument/2006/relationships/styles" Target="styles.xml"/><Relationship Id="rId16" Type="http://schemas.openxmlformats.org/officeDocument/2006/relationships/hyperlink" Target="http://www.nevo.co.il/case/27570302" TargetMode="External"/><Relationship Id="rId20" Type="http://schemas.openxmlformats.org/officeDocument/2006/relationships/hyperlink" Target="http://www.nevo.co.il/case/26358446" TargetMode="External"/><Relationship Id="rId29" Type="http://schemas.openxmlformats.org/officeDocument/2006/relationships/hyperlink" Target="http://www.nevo.co.il/case/22185494" TargetMode="External"/><Relationship Id="rId41" Type="http://schemas.openxmlformats.org/officeDocument/2006/relationships/hyperlink" Target="http://www.nevo.co.il/safrut/bookgroup/360"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157751/149.4" TargetMode="External"/><Relationship Id="rId24" Type="http://schemas.openxmlformats.org/officeDocument/2006/relationships/hyperlink" Target="http://www.nevo.co.il/case/27413172" TargetMode="External"/><Relationship Id="rId32" Type="http://schemas.openxmlformats.org/officeDocument/2006/relationships/hyperlink" Target="http://www.nevo.co.il/law/154362/216.1" TargetMode="External"/><Relationship Id="rId37" Type="http://schemas.openxmlformats.org/officeDocument/2006/relationships/hyperlink" Target="http://www.nevo.co.il/law/71888" TargetMode="External"/><Relationship Id="rId40" Type="http://schemas.openxmlformats.org/officeDocument/2006/relationships/hyperlink" Target="http://www.nevo.co.il/case/5968359" TargetMode="External"/><Relationship Id="rId45" Type="http://schemas.openxmlformats.org/officeDocument/2006/relationships/hyperlink" Target="http://www.nevo.co.il/law/72813/38.a"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case/27452660" TargetMode="External"/><Relationship Id="rId23" Type="http://schemas.openxmlformats.org/officeDocument/2006/relationships/hyperlink" Target="http://www.nevo.co.il/law/72813" TargetMode="External"/><Relationship Id="rId28" Type="http://schemas.openxmlformats.org/officeDocument/2006/relationships/hyperlink" Target="http://www.nevo.co.il/case/6109425" TargetMode="External"/><Relationship Id="rId36" Type="http://schemas.openxmlformats.org/officeDocument/2006/relationships/hyperlink" Target="http://www.nevo.co.il/law/71888/25.a" TargetMode="External"/><Relationship Id="rId49" Type="http://schemas.openxmlformats.org/officeDocument/2006/relationships/hyperlink" Target="http://www.nevo.co.il/case/5741671" TargetMode="External"/><Relationship Id="rId10" Type="http://schemas.openxmlformats.org/officeDocument/2006/relationships/hyperlink" Target="http://www.nevo.co.il/case/27570302" TargetMode="External"/><Relationship Id="rId19" Type="http://schemas.openxmlformats.org/officeDocument/2006/relationships/hyperlink" Target="http://www.nevo.co.il/law/71867/5" TargetMode="External"/><Relationship Id="rId31" Type="http://schemas.openxmlformats.org/officeDocument/2006/relationships/hyperlink" Target="http://www.nevo.co.il/law/154362/jP" TargetMode="External"/><Relationship Id="rId44" Type="http://schemas.openxmlformats.org/officeDocument/2006/relationships/hyperlink" Target="http://www.nevo.co.il/case/5569526"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27452660" TargetMode="External"/><Relationship Id="rId14" Type="http://schemas.openxmlformats.org/officeDocument/2006/relationships/hyperlink" Target="http://www.nevo.co.il/law/154362" TargetMode="External"/><Relationship Id="rId22" Type="http://schemas.openxmlformats.org/officeDocument/2006/relationships/hyperlink" Target="http://www.nevo.co.il/law/72813" TargetMode="External"/><Relationship Id="rId27" Type="http://schemas.openxmlformats.org/officeDocument/2006/relationships/hyperlink" Target="http://www.nevo.co.il/case/27865507" TargetMode="External"/><Relationship Id="rId30" Type="http://schemas.openxmlformats.org/officeDocument/2006/relationships/hyperlink" Target="http://www.nevo.co.il/case/22173606" TargetMode="External"/><Relationship Id="rId35" Type="http://schemas.openxmlformats.org/officeDocument/2006/relationships/hyperlink" Target="http://www.nevo.co.il/case/27280725" TargetMode="External"/><Relationship Id="rId43" Type="http://schemas.openxmlformats.org/officeDocument/2006/relationships/hyperlink" Target="http://www.nevo.co.il/case/5772153" TargetMode="External"/><Relationship Id="rId48" Type="http://schemas.openxmlformats.org/officeDocument/2006/relationships/hyperlink" Target="http://www.nevo.co.il/case/6141682" TargetMode="External"/><Relationship Id="rId56" Type="http://schemas.openxmlformats.org/officeDocument/2006/relationships/theme" Target="theme/theme1.xml"/><Relationship Id="rId8" Type="http://schemas.openxmlformats.org/officeDocument/2006/relationships/hyperlink" Target="http://www.nevo.co.il/case/27570302" TargetMode="External"/><Relationship Id="rId51"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4981</Words>
  <Characters>24909</Characters>
  <Application>Microsoft Office Word</Application>
  <DocSecurity>0</DocSecurity>
  <Lines>207</Lines>
  <Paragraphs>59</Paragraphs>
  <ScaleCrop>false</ScaleCrop>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2024-09-25T18:57:00Z</dcterms:created>
  <dcterms:modified xsi:type="dcterms:W3CDTF">2024-09-25T18:57:00Z</dcterms:modified>
</cp:coreProperties>
</file>