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4923"/>
        <w:gridCol w:w="3582"/>
      </w:tblGrid>
      <w:tr w:rsidR="003C42F9" w14:paraId="41ADA5D3" w14:textId="77777777" w:rsidTr="00D11945">
        <w:trPr>
          <w:trHeight w:hRule="exact" w:val="704"/>
          <w:jc w:val="center"/>
        </w:trPr>
        <w:tc>
          <w:tcPr>
            <w:tcW w:w="8721" w:type="dxa"/>
            <w:gridSpan w:val="2"/>
          </w:tcPr>
          <w:p w14:paraId="52A93D9E" w14:textId="77777777" w:rsidR="007A0BA1" w:rsidRPr="0088750C" w:rsidRDefault="00000000" w:rsidP="00D11945">
            <w:pPr>
              <w:pStyle w:val="a3"/>
              <w:jc w:val="center"/>
              <w:rPr>
                <w:rFonts w:ascii="Tahoma" w:hAnsi="Tahoma" w:cs="Tahoma"/>
                <w:b/>
                <w:bCs/>
                <w:noProof w:val="0"/>
                <w:color w:val="000080"/>
                <w:rtl/>
              </w:rPr>
            </w:pPr>
            <w:bookmarkStart w:id="0" w:name="LastJudge"/>
            <w:r w:rsidRPr="0088750C">
              <w:rPr>
                <w:rFonts w:ascii="Tahoma" w:hAnsi="Tahoma" w:cs="Tahoma"/>
                <w:b/>
                <w:bCs/>
                <w:noProof w:val="0"/>
                <w:color w:val="000080"/>
                <w:rtl/>
              </w:rPr>
              <w:t>בית משפט לענייני משפחה בחדרה</w:t>
            </w:r>
          </w:p>
        </w:tc>
      </w:tr>
      <w:tr w:rsidR="003C42F9" w14:paraId="2418C89C" w14:textId="77777777" w:rsidTr="00D11945">
        <w:trPr>
          <w:trHeight w:val="337"/>
          <w:jc w:val="center"/>
        </w:trPr>
        <w:tc>
          <w:tcPr>
            <w:tcW w:w="5047" w:type="dxa"/>
          </w:tcPr>
          <w:p w14:paraId="3DBF57CF" w14:textId="77777777" w:rsidR="007A0BA1" w:rsidRPr="007A0BA1" w:rsidRDefault="007A0BA1" w:rsidP="00D11945">
            <w:pPr>
              <w:rPr>
                <w:b/>
                <w:bCs/>
                <w:noProof w:val="0"/>
                <w:sz w:val="26"/>
                <w:szCs w:val="26"/>
                <w:rtl/>
              </w:rPr>
            </w:pPr>
          </w:p>
        </w:tc>
        <w:tc>
          <w:tcPr>
            <w:tcW w:w="3674" w:type="dxa"/>
          </w:tcPr>
          <w:p w14:paraId="709876F7" w14:textId="77777777" w:rsidR="007A0BA1" w:rsidRPr="007A0BA1" w:rsidRDefault="007A0BA1" w:rsidP="00D11945">
            <w:pPr>
              <w:pStyle w:val="a3"/>
              <w:jc w:val="right"/>
              <w:rPr>
                <w:b/>
                <w:bCs/>
                <w:noProof w:val="0"/>
                <w:sz w:val="26"/>
                <w:szCs w:val="26"/>
                <w:rtl/>
              </w:rPr>
            </w:pPr>
          </w:p>
        </w:tc>
      </w:tr>
      <w:tr w:rsidR="003C42F9" w14:paraId="3D5F2469" w14:textId="77777777" w:rsidTr="00D11945">
        <w:trPr>
          <w:trHeight w:val="337"/>
          <w:jc w:val="center"/>
        </w:trPr>
        <w:tc>
          <w:tcPr>
            <w:tcW w:w="8721" w:type="dxa"/>
            <w:gridSpan w:val="2"/>
          </w:tcPr>
          <w:p w14:paraId="65D4CB48" w14:textId="77777777" w:rsidR="007A0BA1" w:rsidRPr="007A0BA1" w:rsidRDefault="00000000" w:rsidP="00D11945">
            <w:pPr>
              <w:rPr>
                <w:b/>
                <w:bCs/>
                <w:noProof w:val="0"/>
                <w:sz w:val="26"/>
                <w:szCs w:val="26"/>
                <w:rtl/>
              </w:rPr>
            </w:pPr>
            <w:r w:rsidRPr="007A0BA1">
              <w:rPr>
                <w:b/>
                <w:bCs/>
                <w:noProof w:val="0"/>
                <w:sz w:val="26"/>
                <w:szCs w:val="26"/>
                <w:rtl/>
              </w:rPr>
              <w:t>תלה"מ 65546-02-23 ח נ' ג'</w:t>
            </w:r>
          </w:p>
          <w:p w14:paraId="2F87755B" w14:textId="77777777" w:rsidR="007A0BA1" w:rsidRPr="007A0BA1" w:rsidRDefault="007A0BA1" w:rsidP="00D11945">
            <w:pPr>
              <w:rPr>
                <w:b/>
                <w:bCs/>
                <w:noProof w:val="0"/>
                <w:sz w:val="2"/>
                <w:szCs w:val="2"/>
                <w:rtl/>
              </w:rPr>
            </w:pPr>
          </w:p>
          <w:p w14:paraId="7AADE29F" w14:textId="77777777" w:rsidR="007A0BA1" w:rsidRPr="007A0BA1" w:rsidRDefault="00000000" w:rsidP="00D11945">
            <w:pPr>
              <w:rPr>
                <w:noProof w:val="0"/>
                <w:sz w:val="20"/>
                <w:szCs w:val="20"/>
                <w:rtl/>
              </w:rPr>
            </w:pPr>
            <w:r w:rsidRPr="007A0BA1">
              <w:rPr>
                <w:noProof w:val="0"/>
                <w:rtl/>
              </w:rPr>
              <w:t xml:space="preserve">                           </w:t>
            </w:r>
            <w:r w:rsidRPr="007A0BA1">
              <w:rPr>
                <w:noProof w:val="0"/>
                <w:sz w:val="20"/>
                <w:szCs w:val="20"/>
                <w:rtl/>
              </w:rPr>
              <w:t xml:space="preserve">                                       </w:t>
            </w:r>
          </w:p>
          <w:p w14:paraId="7BDBE14C" w14:textId="77777777" w:rsidR="007A0BA1" w:rsidRPr="007A0BA1" w:rsidRDefault="00000000" w:rsidP="00D11945">
            <w:pPr>
              <w:rPr>
                <w:noProof w:val="0"/>
                <w:sz w:val="20"/>
                <w:szCs w:val="20"/>
                <w:rtl/>
              </w:rPr>
            </w:pPr>
            <w:r w:rsidRPr="007A0BA1">
              <w:rPr>
                <w:noProof w:val="0"/>
                <w:sz w:val="20"/>
                <w:szCs w:val="20"/>
                <w:rtl/>
              </w:rPr>
              <w:t xml:space="preserve">תיק חיצוני:    </w:t>
            </w:r>
          </w:p>
        </w:tc>
      </w:tr>
    </w:tbl>
    <w:p w14:paraId="0604971B" w14:textId="77777777" w:rsidR="007A0BA1" w:rsidRPr="007A0BA1" w:rsidRDefault="00000000" w:rsidP="007A0BA1">
      <w:pPr>
        <w:pStyle w:val="a3"/>
        <w:rPr>
          <w:noProof w:val="0"/>
          <w:rtl/>
        </w:rPr>
      </w:pPr>
      <w:r w:rsidRPr="007A0BA1">
        <w:rPr>
          <w:noProof w:val="0"/>
          <w:rtl/>
        </w:rPr>
        <w:t xml:space="preserve"> </w:t>
      </w:r>
    </w:p>
    <w:tbl>
      <w:tblPr>
        <w:bidiVisual/>
        <w:tblW w:w="8820" w:type="dxa"/>
        <w:jc w:val="center"/>
        <w:tblLook w:val="01E0" w:firstRow="1" w:lastRow="1" w:firstColumn="1" w:lastColumn="1" w:noHBand="0" w:noVBand="0"/>
      </w:tblPr>
      <w:tblGrid>
        <w:gridCol w:w="743"/>
        <w:gridCol w:w="2506"/>
        <w:gridCol w:w="5571"/>
      </w:tblGrid>
      <w:tr w:rsidR="003C42F9" w14:paraId="44A67A80" w14:textId="77777777" w:rsidTr="00E70B24">
        <w:trPr>
          <w:jc w:val="center"/>
        </w:trPr>
        <w:tc>
          <w:tcPr>
            <w:tcW w:w="743" w:type="dxa"/>
          </w:tcPr>
          <w:p w14:paraId="79259ACE" w14:textId="77777777" w:rsidR="00EA0D7B" w:rsidRPr="0088750C" w:rsidRDefault="00000000" w:rsidP="0088750C">
            <w:pPr>
              <w:suppressLineNumbers/>
              <w:spacing w:before="120" w:after="120" w:line="240" w:lineRule="exact"/>
              <w:jc w:val="both"/>
              <w:rPr>
                <w:rFonts w:ascii="Arial" w:hAnsi="Arial"/>
                <w:b/>
                <w:bCs/>
                <w:noProof w:val="0"/>
                <w:sz w:val="26"/>
                <w:szCs w:val="26"/>
                <w:rtl/>
              </w:rPr>
            </w:pPr>
            <w:r w:rsidRPr="0088750C">
              <w:rPr>
                <w:noProof w:val="0"/>
                <w:sz w:val="26"/>
                <w:szCs w:val="26"/>
                <w:rtl/>
              </w:rPr>
              <w:t xml:space="preserve"> </w:t>
            </w:r>
            <w:r w:rsidRPr="0088750C">
              <w:rPr>
                <w:rFonts w:ascii="Arial" w:hAnsi="Arial"/>
                <w:b/>
                <w:bCs/>
                <w:noProof w:val="0"/>
                <w:sz w:val="26"/>
                <w:szCs w:val="26"/>
                <w:rtl/>
              </w:rPr>
              <w:t xml:space="preserve">לפני </w:t>
            </w:r>
          </w:p>
        </w:tc>
        <w:tc>
          <w:tcPr>
            <w:tcW w:w="8077" w:type="dxa"/>
            <w:gridSpan w:val="2"/>
          </w:tcPr>
          <w:p w14:paraId="32B0D34A" w14:textId="77777777" w:rsidR="00EA0D7B" w:rsidRPr="0088750C" w:rsidRDefault="00000000" w:rsidP="0088750C">
            <w:pPr>
              <w:suppressLineNumbers/>
              <w:spacing w:before="120" w:after="120" w:line="240" w:lineRule="exact"/>
              <w:rPr>
                <w:rFonts w:ascii="Arial" w:hAnsi="Arial" w:cs="FrankRuehl"/>
                <w:sz w:val="26"/>
                <w:szCs w:val="26"/>
                <w:highlight w:val="yellow"/>
              </w:rPr>
            </w:pPr>
            <w:r w:rsidRPr="0088750C">
              <w:rPr>
                <w:rFonts w:ascii="Arial" w:hAnsi="Arial"/>
                <w:b/>
                <w:bCs/>
                <w:noProof w:val="0"/>
                <w:sz w:val="26"/>
                <w:szCs w:val="26"/>
                <w:rtl/>
              </w:rPr>
              <w:t xml:space="preserve">כבוד השופטת  </w:t>
            </w:r>
            <w:bookmarkStart w:id="1" w:name="_Hlk189733339"/>
            <w:r w:rsidRPr="0088750C">
              <w:rPr>
                <w:rFonts w:ascii="Arial" w:hAnsi="Arial"/>
                <w:b/>
                <w:bCs/>
                <w:noProof w:val="0"/>
                <w:sz w:val="26"/>
                <w:szCs w:val="26"/>
                <w:rtl/>
              </w:rPr>
              <w:t>יפעת שקדי שץ</w:t>
            </w:r>
            <w:bookmarkEnd w:id="1"/>
          </w:p>
        </w:tc>
      </w:tr>
      <w:tr w:rsidR="003C42F9" w14:paraId="072F8B23" w14:textId="77777777" w:rsidTr="00E70B24">
        <w:trPr>
          <w:jc w:val="center"/>
        </w:trPr>
        <w:tc>
          <w:tcPr>
            <w:tcW w:w="3249" w:type="dxa"/>
            <w:gridSpan w:val="2"/>
          </w:tcPr>
          <w:p w14:paraId="41B65851" w14:textId="77777777" w:rsidR="00EA0D7B" w:rsidRPr="0088750C" w:rsidRDefault="00000000" w:rsidP="0088750C">
            <w:pPr>
              <w:suppressLineNumbers/>
              <w:spacing w:before="120" w:after="120" w:line="240" w:lineRule="exact"/>
              <w:rPr>
                <w:rFonts w:ascii="Arial" w:hAnsi="Arial"/>
                <w:b/>
                <w:bCs/>
                <w:noProof w:val="0"/>
                <w:sz w:val="26"/>
                <w:szCs w:val="26"/>
                <w:rtl/>
              </w:rPr>
            </w:pPr>
            <w:bookmarkStart w:id="2" w:name="FirstAppellant"/>
            <w:r w:rsidRPr="0088750C">
              <w:rPr>
                <w:rFonts w:ascii="Arial" w:hAnsi="Arial"/>
                <w:b/>
                <w:bCs/>
                <w:noProof w:val="0"/>
                <w:sz w:val="26"/>
                <w:szCs w:val="26"/>
                <w:rtl/>
              </w:rPr>
              <w:t>תובעת</w:t>
            </w:r>
            <w:r w:rsidRPr="0088750C">
              <w:rPr>
                <w:b/>
                <w:bCs/>
                <w:noProof w:val="0"/>
                <w:sz w:val="26"/>
                <w:szCs w:val="26"/>
                <w:rtl/>
              </w:rPr>
              <w:t>/מבקשת</w:t>
            </w:r>
          </w:p>
        </w:tc>
        <w:tc>
          <w:tcPr>
            <w:tcW w:w="5571" w:type="dxa"/>
          </w:tcPr>
          <w:p w14:paraId="0B66F0C6" w14:textId="77777777" w:rsidR="00EA0D7B" w:rsidRPr="0088750C" w:rsidRDefault="00000000" w:rsidP="0088750C">
            <w:pPr>
              <w:suppressLineNumbers/>
              <w:spacing w:before="120" w:after="120" w:line="240" w:lineRule="exact"/>
              <w:rPr>
                <w:b/>
                <w:bCs/>
                <w:noProof w:val="0"/>
                <w:sz w:val="26"/>
                <w:szCs w:val="26"/>
              </w:rPr>
            </w:pPr>
            <w:r w:rsidRPr="0088750C">
              <w:rPr>
                <w:rFonts w:ascii="Arial" w:hAnsi="Arial"/>
                <w:b/>
                <w:bCs/>
                <w:noProof w:val="0"/>
                <w:sz w:val="26"/>
                <w:szCs w:val="26"/>
                <w:rtl/>
              </w:rPr>
              <w:t>ח.ג.  ת"ז  ------</w:t>
            </w:r>
          </w:p>
        </w:tc>
      </w:tr>
      <w:bookmarkEnd w:id="2"/>
      <w:tr w:rsidR="003C42F9" w14:paraId="0FF659C4" w14:textId="77777777" w:rsidTr="00E70B24">
        <w:trPr>
          <w:jc w:val="center"/>
        </w:trPr>
        <w:tc>
          <w:tcPr>
            <w:tcW w:w="8820" w:type="dxa"/>
            <w:gridSpan w:val="3"/>
          </w:tcPr>
          <w:p w14:paraId="45F981D3" w14:textId="77777777" w:rsidR="00EA0D7B" w:rsidRPr="0088750C" w:rsidRDefault="00000000" w:rsidP="0088750C">
            <w:pPr>
              <w:suppressLineNumbers/>
              <w:spacing w:before="240" w:after="240" w:line="240" w:lineRule="exact"/>
              <w:jc w:val="center"/>
              <w:rPr>
                <w:rFonts w:ascii="Arial" w:hAnsi="Arial"/>
                <w:b/>
                <w:bCs/>
                <w:noProof w:val="0"/>
                <w:sz w:val="26"/>
                <w:szCs w:val="26"/>
              </w:rPr>
            </w:pPr>
            <w:r w:rsidRPr="0088750C">
              <w:rPr>
                <w:rFonts w:ascii="Arial" w:hAnsi="Arial"/>
                <w:b/>
                <w:bCs/>
                <w:noProof w:val="0"/>
                <w:sz w:val="26"/>
                <w:szCs w:val="26"/>
                <w:rtl/>
              </w:rPr>
              <w:t>נגד</w:t>
            </w:r>
          </w:p>
        </w:tc>
      </w:tr>
      <w:tr w:rsidR="003C42F9" w14:paraId="339F32C5" w14:textId="77777777" w:rsidTr="00E70B24">
        <w:trPr>
          <w:jc w:val="center"/>
        </w:trPr>
        <w:tc>
          <w:tcPr>
            <w:tcW w:w="3249" w:type="dxa"/>
            <w:gridSpan w:val="2"/>
          </w:tcPr>
          <w:p w14:paraId="78DE6D12" w14:textId="77777777" w:rsidR="00EA0D7B" w:rsidRPr="0088750C" w:rsidRDefault="00000000" w:rsidP="0088750C">
            <w:pPr>
              <w:suppressLineNumbers/>
              <w:spacing w:before="120" w:after="120" w:line="240" w:lineRule="exact"/>
              <w:rPr>
                <w:rFonts w:ascii="Arial" w:hAnsi="Arial"/>
                <w:b/>
                <w:bCs/>
                <w:noProof w:val="0"/>
                <w:sz w:val="26"/>
                <w:szCs w:val="26"/>
              </w:rPr>
            </w:pPr>
            <w:r w:rsidRPr="0088750C">
              <w:rPr>
                <w:rFonts w:ascii="Arial" w:hAnsi="Arial"/>
                <w:b/>
                <w:bCs/>
                <w:noProof w:val="0"/>
                <w:sz w:val="26"/>
                <w:szCs w:val="26"/>
                <w:rtl/>
              </w:rPr>
              <w:t>נתבע</w:t>
            </w:r>
            <w:r w:rsidRPr="0088750C">
              <w:rPr>
                <w:b/>
                <w:bCs/>
                <w:noProof w:val="0"/>
                <w:sz w:val="26"/>
                <w:szCs w:val="26"/>
                <w:rtl/>
              </w:rPr>
              <w:t>/משיב</w:t>
            </w:r>
          </w:p>
        </w:tc>
        <w:tc>
          <w:tcPr>
            <w:tcW w:w="5571" w:type="dxa"/>
          </w:tcPr>
          <w:p w14:paraId="080B4693" w14:textId="77777777" w:rsidR="00EA0D7B" w:rsidRPr="0088750C" w:rsidRDefault="00000000" w:rsidP="0088750C">
            <w:pPr>
              <w:suppressLineNumbers/>
              <w:spacing w:before="120" w:after="120" w:line="240" w:lineRule="exact"/>
              <w:rPr>
                <w:rFonts w:ascii="Arial" w:hAnsi="Arial"/>
                <w:b/>
                <w:bCs/>
                <w:noProof w:val="0"/>
                <w:sz w:val="26"/>
                <w:szCs w:val="26"/>
                <w:rtl/>
              </w:rPr>
            </w:pPr>
            <w:r w:rsidRPr="0088750C">
              <w:rPr>
                <w:rFonts w:ascii="Arial" w:hAnsi="Arial"/>
                <w:b/>
                <w:bCs/>
                <w:noProof w:val="0"/>
                <w:sz w:val="26"/>
                <w:szCs w:val="26"/>
                <w:rtl/>
              </w:rPr>
              <w:t xml:space="preserve">א.ג. </w:t>
            </w:r>
            <w:r w:rsidRPr="0088750C">
              <w:rPr>
                <w:noProof w:val="0"/>
                <w:sz w:val="26"/>
                <w:szCs w:val="26"/>
                <w:rtl/>
              </w:rPr>
              <w:t xml:space="preserve"> </w:t>
            </w:r>
            <w:r w:rsidRPr="0088750C">
              <w:rPr>
                <w:rFonts w:ascii="Arial" w:hAnsi="Arial"/>
                <w:b/>
                <w:bCs/>
                <w:noProof w:val="0"/>
                <w:sz w:val="26"/>
                <w:szCs w:val="26"/>
                <w:rtl/>
              </w:rPr>
              <w:t>ת"ז ------</w:t>
            </w:r>
          </w:p>
        </w:tc>
      </w:tr>
    </w:tbl>
    <w:p w14:paraId="7D6B8056" w14:textId="77777777" w:rsidR="00246F39" w:rsidRPr="007A0BA1" w:rsidRDefault="00246F39" w:rsidP="00D44968">
      <w:pPr>
        <w:suppressLineNumbers/>
        <w:rPr>
          <w:noProof w:val="0"/>
        </w:rPr>
      </w:pPr>
    </w:p>
    <w:p w14:paraId="236928A3" w14:textId="77777777" w:rsidR="0088750C" w:rsidRPr="0088750C" w:rsidRDefault="0088750C" w:rsidP="0088750C">
      <w:pPr>
        <w:suppressLineNumbers/>
        <w:rPr>
          <w:noProof w:val="0"/>
          <w:rtl/>
        </w:rPr>
      </w:pPr>
    </w:p>
    <w:tbl>
      <w:tblPr>
        <w:bidiVisual/>
        <w:tblW w:w="8820" w:type="dxa"/>
        <w:jc w:val="center"/>
        <w:tblLook w:val="01E0" w:firstRow="1" w:lastRow="1" w:firstColumn="1" w:lastColumn="1" w:noHBand="0" w:noVBand="0"/>
      </w:tblPr>
      <w:tblGrid>
        <w:gridCol w:w="8820"/>
      </w:tblGrid>
      <w:tr w:rsidR="003C42F9" w14:paraId="4998B16C" w14:textId="77777777" w:rsidTr="00E70B24">
        <w:trPr>
          <w:jc w:val="center"/>
        </w:trPr>
        <w:tc>
          <w:tcPr>
            <w:tcW w:w="8820" w:type="dxa"/>
          </w:tcPr>
          <w:p w14:paraId="1448C0F8" w14:textId="77777777" w:rsidR="007A0BA1" w:rsidRPr="007A0BA1" w:rsidRDefault="00000000" w:rsidP="007A0BA1">
            <w:pPr>
              <w:bidi w:val="0"/>
              <w:jc w:val="center"/>
              <w:rPr>
                <w:rFonts w:ascii="Arial" w:hAnsi="Arial"/>
                <w:b/>
                <w:bCs/>
                <w:noProof w:val="0"/>
                <w:sz w:val="28"/>
                <w:szCs w:val="28"/>
                <w:u w:val="single"/>
                <w:rtl/>
              </w:rPr>
            </w:pPr>
            <w:bookmarkStart w:id="3" w:name="PsakDin"/>
            <w:r w:rsidRPr="007A0BA1">
              <w:rPr>
                <w:rFonts w:ascii="Arial" w:hAnsi="Arial"/>
                <w:b/>
                <w:bCs/>
                <w:noProof w:val="0"/>
                <w:sz w:val="28"/>
                <w:szCs w:val="28"/>
                <w:u w:val="single"/>
                <w:rtl/>
              </w:rPr>
              <w:t>החלטה</w:t>
            </w:r>
          </w:p>
          <w:bookmarkEnd w:id="3"/>
          <w:p w14:paraId="461FB612" w14:textId="77777777" w:rsidR="00EA0D7B" w:rsidRPr="00E70B24" w:rsidRDefault="00EA0D7B" w:rsidP="00E70B24">
            <w:pPr>
              <w:bidi w:val="0"/>
              <w:jc w:val="center"/>
              <w:rPr>
                <w:rFonts w:ascii="Arial" w:hAnsi="Arial"/>
                <w:b/>
                <w:bCs/>
                <w:noProof w:val="0"/>
                <w:sz w:val="28"/>
                <w:szCs w:val="28"/>
                <w:u w:val="single"/>
              </w:rPr>
            </w:pPr>
          </w:p>
        </w:tc>
      </w:tr>
    </w:tbl>
    <w:p w14:paraId="01DB50C2" w14:textId="77777777" w:rsidR="00EA0D7B" w:rsidRPr="00DE1E7D" w:rsidRDefault="00EA0D7B">
      <w:pPr>
        <w:spacing w:line="360" w:lineRule="auto"/>
        <w:jc w:val="both"/>
        <w:rPr>
          <w:rFonts w:ascii="Arial" w:hAnsi="Arial"/>
          <w:noProof w:val="0"/>
          <w:rtl/>
        </w:rPr>
      </w:pPr>
      <w:bookmarkStart w:id="4" w:name="NGCSBookmark"/>
      <w:bookmarkEnd w:id="0"/>
      <w:bookmarkEnd w:id="4"/>
    </w:p>
    <w:p w14:paraId="55B5D1C1" w14:textId="77777777" w:rsidR="00EA0D7B" w:rsidRPr="007F6568" w:rsidRDefault="00000000" w:rsidP="007F6568">
      <w:pPr>
        <w:spacing w:after="120" w:line="360" w:lineRule="auto"/>
        <w:jc w:val="both"/>
        <w:rPr>
          <w:rFonts w:ascii="Arial" w:hAnsi="Arial"/>
          <w:b/>
          <w:bCs/>
          <w:noProof w:val="0"/>
          <w:u w:val="single"/>
          <w:rtl/>
        </w:rPr>
      </w:pPr>
      <w:r>
        <w:rPr>
          <w:rFonts w:ascii="Arial" w:hAnsi="Arial"/>
          <w:b/>
          <w:bCs/>
          <w:noProof w:val="0"/>
          <w:rtl/>
        </w:rPr>
        <w:t xml:space="preserve">בענין: </w:t>
      </w:r>
      <w:r w:rsidRPr="007F6568">
        <w:rPr>
          <w:rFonts w:ascii="Arial" w:hAnsi="Arial"/>
          <w:b/>
          <w:bCs/>
          <w:noProof w:val="0"/>
          <w:u w:val="single"/>
          <w:rtl/>
        </w:rPr>
        <w:t xml:space="preserve">חלוקת מענקי מילואים </w:t>
      </w:r>
    </w:p>
    <w:p w14:paraId="3B3CCA8F" w14:textId="77777777" w:rsidR="00EA0D7B" w:rsidRDefault="00000000" w:rsidP="00674A9F">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הצדדים הוריו של גד (שם בדוי), יליד אפריל 2020.</w:t>
      </w:r>
    </w:p>
    <w:p w14:paraId="26339A94" w14:textId="77777777" w:rsidR="00EA0D7B" w:rsidRDefault="00000000" w:rsidP="00254B58">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 xml:space="preserve">ביום 8.5.2024 נפסקו מזונותיו הזמניים של גד בסך כולל של 1,500 ש"ח. בגדרה של ההחלטה האמורה נקבע, כי בשלב זה, אין להיעתר לבקשת המבקשת, האֵם, לחיוב בכפל בתקופת שירות מילואים של המשיב, האב לאור הנסיבות החריגות החלות, הסיוע ההדדי והגמישות הנדרשת. עוד נקבע, כי מאחר ששירות המילואים הסתיים, איני נעתרת למבוקש בנקודת זמן זו. </w:t>
      </w:r>
    </w:p>
    <w:p w14:paraId="24BDF64F" w14:textId="77777777" w:rsidR="00EA0D7B" w:rsidRDefault="00000000" w:rsidP="00DE7218">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 xml:space="preserve">הצדדים התבקשו להגיש מסמכים עדכניים לא יאוחר מ-14 ימים לפני ישיבת קדם המשפט. החלטה נוספת בענין זה ניתנה ביום 23.8.2024. </w:t>
      </w:r>
    </w:p>
    <w:p w14:paraId="269F06AC" w14:textId="77777777" w:rsidR="00EA0D7B" w:rsidRDefault="00000000" w:rsidP="00DE7218">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 xml:space="preserve">התובעת הגישה מסמכים עדכניים ביום 28.8.2024, הנתבע לא הגיש דבר. </w:t>
      </w:r>
    </w:p>
    <w:p w14:paraId="3DCFC362" w14:textId="77777777" w:rsidR="00EA0D7B" w:rsidRDefault="00000000" w:rsidP="00254B58">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 xml:space="preserve">בדיון שהתקיים ביום 9.9.2024 ציינה המבקשת, האֵם, כי המשיב, האב, גויס שוב למילואים לתקופה של כחודש ומשך כל תקופת הגיוס הקטין שוהה עם האֵם בלבד (עמ' 6, ש' 28 - עמ' 7, ש' 3). האֵם עמדה על זכותה לקבלת חלק ממענקי המילואים שקיבל האב בשל אופן חלוקת הנטל בתקופה זו. </w:t>
      </w:r>
    </w:p>
    <w:p w14:paraId="66876AB4" w14:textId="77777777" w:rsidR="00EA0D7B" w:rsidRDefault="00000000" w:rsidP="004E2F9E">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 xml:space="preserve">ביום 12.9.2024 הגיש האב התייחסותו לבקשה וציין, כי כמעט לא הפסיד את זמני השהות עם גד, כי הקפיד לקחת אותו במועדים כמעט כל הפעמים והכל בהתאם לאילוצי הצבא והמשימות. </w:t>
      </w:r>
    </w:p>
    <w:p w14:paraId="74156F01" w14:textId="77777777" w:rsidR="00EA0D7B" w:rsidRDefault="00000000" w:rsidP="004E2F9E">
      <w:pPr>
        <w:pStyle w:val="11"/>
        <w:spacing w:after="120" w:line="360" w:lineRule="auto"/>
        <w:ind w:left="567"/>
        <w:contextualSpacing w:val="0"/>
        <w:jc w:val="both"/>
        <w:rPr>
          <w:rFonts w:ascii="Arial" w:hAnsi="Arial"/>
          <w:noProof w:val="0"/>
          <w:rtl/>
        </w:rPr>
      </w:pPr>
      <w:r>
        <w:rPr>
          <w:rFonts w:ascii="Arial" w:hAnsi="Arial"/>
          <w:noProof w:val="0"/>
          <w:rtl/>
        </w:rPr>
        <w:t xml:space="preserve">לטענתו, מאז ה-7.10.2023 הוא זנח את עבודתו ואת חייו ומקיים שגרת חיים קשה המלווה במראות לא נעימים ולחימה יומיומית באיו"ש ובשטחי עזה. </w:t>
      </w:r>
    </w:p>
    <w:p w14:paraId="75505D9D" w14:textId="77777777" w:rsidR="00EA0D7B" w:rsidRDefault="00000000" w:rsidP="004E2F9E">
      <w:pPr>
        <w:pStyle w:val="11"/>
        <w:spacing w:after="120" w:line="360" w:lineRule="auto"/>
        <w:ind w:left="567"/>
        <w:contextualSpacing w:val="0"/>
        <w:jc w:val="both"/>
        <w:rPr>
          <w:rFonts w:ascii="Arial" w:hAnsi="Arial"/>
          <w:noProof w:val="0"/>
          <w:rtl/>
        </w:rPr>
      </w:pPr>
      <w:r>
        <w:rPr>
          <w:rFonts w:ascii="Arial" w:hAnsi="Arial"/>
          <w:noProof w:val="0"/>
          <w:rtl/>
        </w:rPr>
        <w:lastRenderedPageBreak/>
        <w:t xml:space="preserve">נטען, כי בשל השירות קיבל האב מענק חד פעמי של 18,000 ש"ח בחודש מאי 2024 וכי לא היתה לו יכול להגדיל את הכנסותיו בתקופה זו ושכרו היה נמוך מהרגיל באופן שבו המענק מהווה איזון של שכרו במקור. </w:t>
      </w:r>
    </w:p>
    <w:p w14:paraId="272451BD" w14:textId="77777777" w:rsidR="00EA0D7B" w:rsidRDefault="00000000" w:rsidP="00D06DC4">
      <w:pPr>
        <w:pStyle w:val="11"/>
        <w:spacing w:after="120" w:line="360" w:lineRule="auto"/>
        <w:ind w:left="567"/>
        <w:contextualSpacing w:val="0"/>
        <w:jc w:val="both"/>
        <w:rPr>
          <w:rFonts w:ascii="Arial" w:hAnsi="Arial"/>
          <w:noProof w:val="0"/>
          <w:rtl/>
        </w:rPr>
      </w:pPr>
      <w:r>
        <w:rPr>
          <w:rFonts w:ascii="Arial" w:hAnsi="Arial"/>
          <w:noProof w:val="0"/>
          <w:rtl/>
        </w:rPr>
        <w:t xml:space="preserve">עוד נטען, כי על אף השהות במילואים הוצאותיו נותרו כפי שהן ואילו האֵם, אשר אינה עובדת או עובדת זמן מועט, לא ספגה שום נזק בתקופה זו בשל השהות עם הקטין ולו בשל השעות בהן שוהה הקטין במסגרת - עד השעה 17:00. </w:t>
      </w:r>
    </w:p>
    <w:p w14:paraId="37608352" w14:textId="77777777" w:rsidR="00EA0D7B" w:rsidRDefault="00000000" w:rsidP="004E2F9E">
      <w:pPr>
        <w:pStyle w:val="11"/>
        <w:spacing w:after="120" w:line="360" w:lineRule="auto"/>
        <w:ind w:left="567"/>
        <w:contextualSpacing w:val="0"/>
        <w:jc w:val="both"/>
        <w:rPr>
          <w:rFonts w:ascii="Arial" w:hAnsi="Arial"/>
          <w:noProof w:val="0"/>
        </w:rPr>
      </w:pPr>
      <w:r>
        <w:rPr>
          <w:rFonts w:ascii="Arial" w:hAnsi="Arial"/>
          <w:noProof w:val="0"/>
          <w:rtl/>
        </w:rPr>
        <w:t xml:space="preserve">לתגובה צורפו מסמכים חלקיים אשר אינם עונים על הדרישה בהחלטה מיום 8.5.2024 ו-23.8.2024. לא צורפו תדפיסים מלאים וצורפו רק חלק מתלושי השכר. נוסף על כך, לא צורף תיעוד של הסכומים הנטענים, לא צורף מסמך המלמד על גובה המענק או מועד התשלום והנתונים לא עולים מתוך המסמכים החלקיים שצורפו. </w:t>
      </w:r>
    </w:p>
    <w:p w14:paraId="0C9ABB75" w14:textId="77777777" w:rsidR="00EA0D7B" w:rsidRDefault="00000000" w:rsidP="009C414F">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 xml:space="preserve">האֵם השיבה לנטען וציינה, כי בחודשים אוקטובר - דצמבר 2023 ובחודשים פברואר - מרץ 2024 לא התקיימו זמני שהות עם האב כלל והקטין, גד, שהה עמה גם באמצע השבוע וגם בסופי השבוע וכאשר התקיימה שהות היא היתה לשעות ספורות ולעיתים רחוקות. </w:t>
      </w:r>
    </w:p>
    <w:p w14:paraId="271622BD" w14:textId="77777777" w:rsidR="00EA0D7B" w:rsidRDefault="00000000" w:rsidP="00C64CA6">
      <w:pPr>
        <w:pStyle w:val="11"/>
        <w:spacing w:after="120" w:line="360" w:lineRule="auto"/>
        <w:ind w:left="567"/>
        <w:contextualSpacing w:val="0"/>
        <w:jc w:val="both"/>
        <w:rPr>
          <w:rFonts w:ascii="Arial" w:hAnsi="Arial"/>
          <w:noProof w:val="0"/>
          <w:rtl/>
        </w:rPr>
      </w:pPr>
      <w:r>
        <w:rPr>
          <w:rFonts w:ascii="Arial" w:hAnsi="Arial"/>
          <w:noProof w:val="0"/>
          <w:rtl/>
        </w:rPr>
        <w:t>האֵם טענה כי הדבר מנע ממנה לעבוד ויצר עלויות נוספות עבורה.</w:t>
      </w:r>
    </w:p>
    <w:p w14:paraId="173F7F16" w14:textId="77777777" w:rsidR="00EA0D7B" w:rsidRDefault="00000000" w:rsidP="00C64CA6">
      <w:pPr>
        <w:pStyle w:val="11"/>
        <w:spacing w:after="120" w:line="360" w:lineRule="auto"/>
        <w:ind w:left="567"/>
        <w:contextualSpacing w:val="0"/>
        <w:jc w:val="both"/>
        <w:rPr>
          <w:rFonts w:ascii="Arial" w:hAnsi="Arial"/>
          <w:noProof w:val="0"/>
          <w:rtl/>
        </w:rPr>
      </w:pPr>
      <w:r>
        <w:rPr>
          <w:rFonts w:ascii="Arial" w:hAnsi="Arial"/>
          <w:noProof w:val="0"/>
          <w:rtl/>
        </w:rPr>
        <w:t>עוד נטען, כי סכום המזונות נקבע בהתבסס על כך שהצדדים חולקים זמני שהות שווים ושינוי בזמני השהות יוצר השפעה כלכלית קשה על האֵם.</w:t>
      </w:r>
    </w:p>
    <w:p w14:paraId="79FB1AF9" w14:textId="77777777" w:rsidR="00EA0D7B" w:rsidRDefault="00000000" w:rsidP="00C64CA6">
      <w:pPr>
        <w:pStyle w:val="11"/>
        <w:spacing w:after="120" w:line="360" w:lineRule="auto"/>
        <w:ind w:left="567"/>
        <w:contextualSpacing w:val="0"/>
        <w:jc w:val="both"/>
        <w:rPr>
          <w:rFonts w:ascii="Arial" w:hAnsi="Arial"/>
          <w:noProof w:val="0"/>
          <w:rtl/>
        </w:rPr>
      </w:pPr>
      <w:r>
        <w:rPr>
          <w:rFonts w:ascii="Arial" w:hAnsi="Arial"/>
          <w:noProof w:val="0"/>
          <w:rtl/>
        </w:rPr>
        <w:t xml:space="preserve">לטענתה, האב הודיע לה שהוא יוצא לתקופות מילואים נוספות של כחודש במהלך ספטמבר 2024 ונובמבר 2024 כל שהקטין יהיה באחריותה המלאה והאב כלל לא מנסה למצוא סידור או סיוע. </w:t>
      </w:r>
    </w:p>
    <w:p w14:paraId="3146B433" w14:textId="77777777" w:rsidR="00EA0D7B" w:rsidRDefault="00000000" w:rsidP="00C64CA6">
      <w:pPr>
        <w:pStyle w:val="11"/>
        <w:spacing w:after="120" w:line="360" w:lineRule="auto"/>
        <w:ind w:left="567"/>
        <w:contextualSpacing w:val="0"/>
        <w:jc w:val="both"/>
        <w:rPr>
          <w:rFonts w:ascii="Arial" w:hAnsi="Arial"/>
          <w:noProof w:val="0"/>
        </w:rPr>
      </w:pPr>
      <w:r>
        <w:rPr>
          <w:rFonts w:ascii="Arial" w:hAnsi="Arial"/>
          <w:noProof w:val="0"/>
          <w:rtl/>
        </w:rPr>
        <w:t xml:space="preserve">האֵם צירפה פירוט התיעוד של זמני השהות. </w:t>
      </w:r>
    </w:p>
    <w:p w14:paraId="007BD82E" w14:textId="77777777" w:rsidR="00EA0D7B" w:rsidRDefault="00000000" w:rsidP="00EF5747">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ביום 29.9.2024 התבקש האב להגיש התייחסות למועד קיום זמני השהות ולשיעור הפגיעה בשכר אך לא הוגש דבר. בחלוף המועד ולאחר שהגישה האֵם בקשה למתן החלטה הגיש האב הבהרה וטען שבשוגג התגובה לא נסרקה.</w:t>
      </w:r>
    </w:p>
    <w:p w14:paraId="2A211369" w14:textId="77777777" w:rsidR="00EA0D7B" w:rsidRDefault="00000000" w:rsidP="00504049">
      <w:pPr>
        <w:pStyle w:val="11"/>
        <w:spacing w:after="120" w:line="360" w:lineRule="auto"/>
        <w:ind w:left="567"/>
        <w:contextualSpacing w:val="0"/>
        <w:jc w:val="both"/>
        <w:rPr>
          <w:rFonts w:ascii="Arial" w:hAnsi="Arial"/>
          <w:noProof w:val="0"/>
          <w:rtl/>
        </w:rPr>
      </w:pPr>
      <w:r>
        <w:rPr>
          <w:rFonts w:ascii="Arial" w:hAnsi="Arial"/>
          <w:noProof w:val="0"/>
          <w:rtl/>
        </w:rPr>
        <w:t xml:space="preserve">האב ציין את המועדים בהם שהה עם הקטין תוך כדי תקופת המילואים, הבהיר כי סכום המענק הכולל שקיבל - 18,000 ש"ח משתקף בדפי החשבון שהוגשו וטען שגד במסגרת חינוכית עד לשעה 17:00 כך שאין פגיעה בעבודתה או שגרת חייה של האֵם. </w:t>
      </w:r>
    </w:p>
    <w:p w14:paraId="51F26D8C" w14:textId="77777777" w:rsidR="00EA0D7B" w:rsidRDefault="00000000" w:rsidP="00AC36BF">
      <w:pPr>
        <w:pStyle w:val="11"/>
        <w:spacing w:after="120" w:line="360" w:lineRule="auto"/>
        <w:ind w:left="567"/>
        <w:contextualSpacing w:val="0"/>
        <w:jc w:val="both"/>
        <w:rPr>
          <w:rFonts w:ascii="Arial" w:hAnsi="Arial"/>
          <w:noProof w:val="0"/>
          <w:rtl/>
        </w:rPr>
      </w:pPr>
      <w:r>
        <w:rPr>
          <w:rFonts w:ascii="Arial" w:hAnsi="Arial"/>
          <w:noProof w:val="0"/>
          <w:rtl/>
        </w:rPr>
        <w:t xml:space="preserve">עוד ציין האב, כי שכרו השוטף הוא בסך 11,000 ש"ח וכי הוא נושא במזונות הקטין בסך 1,500 ש"ח, במחצית הוצאותיו, בשכירות בסך 2,800 ש"ח ובמחצית המשכנתא בסך 3,000 ש"ח. </w:t>
      </w:r>
    </w:p>
    <w:p w14:paraId="5C61875C" w14:textId="77777777" w:rsidR="00EA0D7B" w:rsidRDefault="00000000" w:rsidP="00AC36BF">
      <w:pPr>
        <w:pStyle w:val="11"/>
        <w:spacing w:after="120" w:line="360" w:lineRule="auto"/>
        <w:ind w:left="567"/>
        <w:contextualSpacing w:val="0"/>
        <w:jc w:val="both"/>
        <w:rPr>
          <w:rFonts w:ascii="Arial" w:hAnsi="Arial"/>
          <w:noProof w:val="0"/>
          <w:rtl/>
        </w:rPr>
      </w:pPr>
      <w:r>
        <w:rPr>
          <w:rFonts w:ascii="Arial" w:hAnsi="Arial"/>
          <w:noProof w:val="0"/>
          <w:rtl/>
        </w:rPr>
        <w:t xml:space="preserve">להתייחסות המשלימה צורפו תדפיסי חשבון בנק מלאים המלמדים על שיעור ההכנסות ועל יתרת חוב קבועה בחשבון. </w:t>
      </w:r>
    </w:p>
    <w:p w14:paraId="2492C15F" w14:textId="77777777" w:rsidR="00EA0D7B" w:rsidRDefault="00000000" w:rsidP="00674A9F">
      <w:pPr>
        <w:pStyle w:val="11"/>
        <w:spacing w:after="120" w:line="360" w:lineRule="auto"/>
        <w:ind w:left="567"/>
        <w:contextualSpacing w:val="0"/>
        <w:jc w:val="both"/>
        <w:rPr>
          <w:rFonts w:ascii="Arial" w:hAnsi="Arial"/>
          <w:noProof w:val="0"/>
        </w:rPr>
      </w:pPr>
      <w:r>
        <w:rPr>
          <w:rFonts w:ascii="Arial" w:hAnsi="Arial"/>
          <w:noProof w:val="0"/>
          <w:rtl/>
        </w:rPr>
        <w:t xml:space="preserve">בנוסף צורפו תלושי שכר מהם נלמדת הכנסה ממוצעת (ברוטו בהפחתת ניכויי חובה) בסך 11,507 ש"ח. </w:t>
      </w:r>
    </w:p>
    <w:p w14:paraId="2D111109" w14:textId="77777777" w:rsidR="00EA0D7B" w:rsidRDefault="00000000" w:rsidP="00EF5747">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lastRenderedPageBreak/>
        <w:t xml:space="preserve">האֵם טענה שהשהות עם הקטין בתקופת המילואים היתה בלתי צפויה והתרחשה בסוף השבוע כאשר ניתנה התראה קצרה ושהשהות האינטנסיבית באמצע השבוע לא איפשרה לה לעבוד בשעות אחר הצהריים או לעשות סידורים אישיים. </w:t>
      </w:r>
    </w:p>
    <w:p w14:paraId="02C7509A" w14:textId="77777777" w:rsidR="00EA0D7B" w:rsidRDefault="00000000" w:rsidP="00F12115">
      <w:pPr>
        <w:pStyle w:val="11"/>
        <w:spacing w:after="120" w:line="360" w:lineRule="auto"/>
        <w:ind w:left="567"/>
        <w:contextualSpacing w:val="0"/>
        <w:jc w:val="both"/>
        <w:rPr>
          <w:rFonts w:ascii="Arial" w:hAnsi="Arial"/>
          <w:noProof w:val="0"/>
        </w:rPr>
      </w:pPr>
      <w:r>
        <w:rPr>
          <w:rFonts w:ascii="Arial" w:hAnsi="Arial"/>
          <w:noProof w:val="0"/>
          <w:rtl/>
        </w:rPr>
        <w:t xml:space="preserve">עוד טענה, כי היא מוכרת כבעלת נכות עם אבדן כושר עבודה בשיעור של 100% וכי על אף האמור, היא עושה מאמצים להתפרנס אולם היא קורסת כלכלית ונפשית כשהיא עובדת בעבודות ניקיון, עבודה פיזית קשה של מבנים ציבוריים בישוב בו היא מתגוררת. לעיתים מתקיימים אירועים בשעות הערב והאֵם לא יכולה לעבוד בשעות אלה בשל שהות הקטין. כך גם היא אינה יכולה להתחייב ליציבות ורצף במתן שיעורים פרטיים וגם בכך נפגעה פרנסתה. </w:t>
      </w:r>
    </w:p>
    <w:p w14:paraId="336BDE9E" w14:textId="77777777" w:rsidR="00EA0D7B" w:rsidRDefault="00000000" w:rsidP="004F6B5B">
      <w:pPr>
        <w:pStyle w:val="11"/>
        <w:spacing w:after="120" w:line="360" w:lineRule="auto"/>
        <w:ind w:left="567"/>
        <w:contextualSpacing w:val="0"/>
        <w:jc w:val="both"/>
        <w:rPr>
          <w:rFonts w:ascii="Arial" w:hAnsi="Arial"/>
          <w:noProof w:val="0"/>
          <w:rtl/>
        </w:rPr>
      </w:pPr>
      <w:r>
        <w:rPr>
          <w:rFonts w:ascii="Arial" w:hAnsi="Arial"/>
          <w:noProof w:val="0"/>
          <w:rtl/>
        </w:rPr>
        <w:t xml:space="preserve">לבסוף טענה האֵם כי נשאה בעלות נוספת בשל הוצאות המזון, התחבורה, בייביסיטר ותחזוקה של הבית באופן שמצדיק פיצוי כספי. </w:t>
      </w:r>
    </w:p>
    <w:p w14:paraId="4C480F7E" w14:textId="77777777" w:rsidR="00EA0D7B" w:rsidRDefault="00000000" w:rsidP="003E57BC">
      <w:pPr>
        <w:spacing w:after="120" w:line="360" w:lineRule="auto"/>
        <w:jc w:val="both"/>
        <w:rPr>
          <w:rFonts w:ascii="Arial" w:hAnsi="Arial"/>
          <w:b/>
          <w:bCs/>
          <w:noProof w:val="0"/>
          <w:u w:val="single"/>
          <w:rtl/>
        </w:rPr>
      </w:pPr>
      <w:r w:rsidRPr="003E57BC">
        <w:rPr>
          <w:rFonts w:ascii="Arial" w:hAnsi="Arial"/>
          <w:b/>
          <w:bCs/>
          <w:noProof w:val="0"/>
          <w:u w:val="single"/>
          <w:rtl/>
        </w:rPr>
        <w:t>דיון והכרעה:</w:t>
      </w:r>
    </w:p>
    <w:p w14:paraId="0387392E" w14:textId="77777777" w:rsidR="00EA0D7B" w:rsidRDefault="00000000" w:rsidP="003E57BC">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שאלת ההתייחסות למענקי המילואים בהקשר של הכנסות הורה או הפסד כספי של הורה אחר עלתה לאחרונה בפסיקה, לאור מצבה של המדינה בשנה האחרונה, השינוי בחלוקת הנטל בשל שירות מילואים ממושך והמשמעויות הכלכליות:</w:t>
      </w:r>
    </w:p>
    <w:p w14:paraId="75A95C78" w14:textId="77777777" w:rsidR="00EA0D7B" w:rsidRDefault="00000000" w:rsidP="003E57BC">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ב</w:t>
      </w:r>
      <w:hyperlink r:id="rId7" w:history="1">
        <w:r w:rsidR="007A0BA1" w:rsidRPr="007A0BA1">
          <w:rPr>
            <w:rFonts w:ascii="Arial" w:hAnsi="Arial"/>
            <w:noProof w:val="0"/>
            <w:color w:val="0000FF"/>
            <w:u w:val="single"/>
            <w:rtl/>
          </w:rPr>
          <w:t>תלה"מ (אשדוד) 64175-08-22</w:t>
        </w:r>
      </w:hyperlink>
      <w:r w:rsidRPr="003E57BC">
        <w:rPr>
          <w:rFonts w:ascii="Arial" w:hAnsi="Arial"/>
          <w:noProof w:val="0"/>
          <w:rtl/>
        </w:rPr>
        <w:t>‏</w:t>
      </w:r>
      <w:r w:rsidR="007A0BA1">
        <w:rPr>
          <w:rFonts w:ascii="Arial" w:hAnsi="Arial"/>
          <w:noProof w:val="0"/>
          <w:rtl/>
        </w:rPr>
        <w:t xml:space="preserve"> </w:t>
      </w:r>
      <w:r w:rsidRPr="003E57BC">
        <w:rPr>
          <w:rFonts w:ascii="Arial" w:hAnsi="Arial"/>
          <w:b/>
          <w:bCs/>
          <w:noProof w:val="0"/>
          <w:rtl/>
        </w:rPr>
        <w:t>י.ג נ' א.ג</w:t>
      </w:r>
      <w:r>
        <w:rPr>
          <w:rFonts w:ascii="Arial" w:hAnsi="Arial"/>
          <w:noProof w:val="0"/>
          <w:rtl/>
        </w:rPr>
        <w:t xml:space="preserve"> </w:t>
      </w:r>
      <w:r w:rsidR="0088750C">
        <w:rPr>
          <w:rFonts w:ascii="Arial" w:hAnsi="Arial"/>
          <w:noProof w:val="0"/>
          <w:rtl/>
        </w:rPr>
        <w:t>[נבו]</w:t>
      </w:r>
      <w:r w:rsidR="0088750C">
        <w:rPr>
          <w:rFonts w:ascii="Arial" w:hAnsi="Arial" w:hint="cs"/>
          <w:noProof w:val="0"/>
          <w:rtl/>
        </w:rPr>
        <w:t xml:space="preserve"> </w:t>
      </w:r>
      <w:r>
        <w:rPr>
          <w:rFonts w:ascii="Arial" w:hAnsi="Arial"/>
          <w:noProof w:val="0"/>
          <w:rtl/>
        </w:rPr>
        <w:t>(16.12.2024) קבע בית המשפט, כך:</w:t>
      </w:r>
    </w:p>
    <w:p w14:paraId="7D4D61B9" w14:textId="77777777" w:rsidR="00EA0D7B" w:rsidRPr="00D27F13" w:rsidRDefault="00000000" w:rsidP="00D27F13">
      <w:pPr>
        <w:pStyle w:val="11"/>
        <w:spacing w:after="120" w:line="360" w:lineRule="auto"/>
        <w:ind w:left="1134" w:right="567"/>
        <w:contextualSpacing w:val="0"/>
        <w:jc w:val="both"/>
        <w:rPr>
          <w:rFonts w:ascii="Arial" w:hAnsi="Arial"/>
          <w:b/>
          <w:bCs/>
          <w:noProof w:val="0"/>
        </w:rPr>
      </w:pPr>
      <w:r w:rsidRPr="00D27F13">
        <w:rPr>
          <w:rFonts w:ascii="Arial" w:hAnsi="Arial"/>
          <w:b/>
          <w:bCs/>
          <w:noProof w:val="0"/>
          <w:rtl/>
        </w:rPr>
        <w:t>"כידוע, חלוקת המענקים המשתלמים למשרתי המילואים נולדה, בין היתר, על רקע חשש מירידה בהתייצבות לשירות מילואים לאחר למעלה משנה של לחימה סזיפית ברצועת עזה ובלבנון ומתוך רצון לתגמל ולתמרץ את משרתי המילואים לשוב ולהתייצב לשירות מילואים גם בעתיד.</w:t>
      </w:r>
    </w:p>
    <w:p w14:paraId="1CAAF969" w14:textId="77777777" w:rsidR="00EA0D7B" w:rsidRPr="003E57BC" w:rsidRDefault="00000000" w:rsidP="00D27F13">
      <w:pPr>
        <w:pStyle w:val="11"/>
        <w:spacing w:after="120" w:line="360" w:lineRule="auto"/>
        <w:ind w:left="1134" w:right="567"/>
        <w:contextualSpacing w:val="0"/>
        <w:jc w:val="both"/>
        <w:rPr>
          <w:rFonts w:ascii="Arial" w:hAnsi="Arial"/>
          <w:noProof w:val="0"/>
          <w:rtl/>
        </w:rPr>
      </w:pPr>
      <w:r w:rsidRPr="00D27F13">
        <w:rPr>
          <w:rFonts w:ascii="Arial" w:hAnsi="Arial"/>
          <w:b/>
          <w:bCs/>
          <w:noProof w:val="0"/>
          <w:rtl/>
        </w:rPr>
        <w:t>לא מן הנמנע, כי בצד המטרה שלעיל, נועדו התגמולים לסייע באופן כלכלי לחלק ממשרתי המילואים שהכנסתם נפגעה על רקע הגיוס לשירות במילואים ואף לאפשר לחלק ממשרתי המילואים לממן את המעטפת הטיפולית לה הם נזקקים או יזדקקו בעתיד, על רקע הלחימה וההשלכות הפיזיות והנפשיות המורכבות הנובעות ממנה</w:t>
      </w:r>
      <w:r w:rsidRPr="003E57BC">
        <w:rPr>
          <w:rFonts w:ascii="Arial" w:hAnsi="Arial"/>
          <w:noProof w:val="0"/>
          <w:rtl/>
        </w:rPr>
        <w:t>.</w:t>
      </w:r>
    </w:p>
    <w:p w14:paraId="662EE6B7" w14:textId="77777777" w:rsidR="00EA0D7B" w:rsidRPr="00D27F13" w:rsidRDefault="00000000" w:rsidP="00D27F13">
      <w:pPr>
        <w:pStyle w:val="11"/>
        <w:spacing w:after="120" w:line="360" w:lineRule="auto"/>
        <w:ind w:left="1134" w:right="567"/>
        <w:contextualSpacing w:val="0"/>
        <w:jc w:val="both"/>
        <w:rPr>
          <w:rFonts w:ascii="Arial" w:hAnsi="Arial"/>
          <w:b/>
          <w:bCs/>
          <w:noProof w:val="0"/>
          <w:rtl/>
        </w:rPr>
      </w:pPr>
      <w:r w:rsidRPr="00D27F13">
        <w:rPr>
          <w:rFonts w:ascii="Arial" w:hAnsi="Arial"/>
          <w:b/>
          <w:bCs/>
          <w:noProof w:val="0"/>
          <w:rtl/>
        </w:rPr>
        <w:t>כך גם, סבורני כי מענקים אלה הינם אישיים ומיועדים למשרת המילואים, בין היתר, על רקע הסיכונים הכרוכים ביציאה למלחמה וכאות הערכה והוקרה המוענק למשרתי המילואים, העוזבים את חיי הנוחות ויוצאים לחרף נפשם על הגנת המולדת</w:t>
      </w:r>
      <w:r>
        <w:rPr>
          <w:rFonts w:ascii="Arial" w:hAnsi="Arial"/>
          <w:b/>
          <w:bCs/>
          <w:noProof w:val="0"/>
          <w:rtl/>
        </w:rPr>
        <w:t>"</w:t>
      </w:r>
      <w:r w:rsidRPr="00D27F13">
        <w:rPr>
          <w:rFonts w:ascii="Arial" w:hAnsi="Arial"/>
          <w:b/>
          <w:bCs/>
          <w:noProof w:val="0"/>
          <w:rtl/>
        </w:rPr>
        <w:t>.</w:t>
      </w:r>
    </w:p>
    <w:p w14:paraId="3055F5D0" w14:textId="77777777" w:rsidR="00EA0D7B" w:rsidRDefault="00000000" w:rsidP="00D27F13">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עמדה שונה, המייחסת את מענק המילואים במסגרת חישוב מקורות ההכנסה לצורך פסיקת מזונות נקבעה ב</w:t>
      </w:r>
      <w:r w:rsidRPr="00D27F13">
        <w:rPr>
          <w:rFonts w:ascii="Arial" w:hAnsi="Arial"/>
          <w:noProof w:val="0"/>
          <w:rtl/>
        </w:rPr>
        <w:t>תלה</w:t>
      </w:r>
      <w:r>
        <w:rPr>
          <w:rFonts w:ascii="Arial" w:hAnsi="Arial"/>
          <w:noProof w:val="0"/>
          <w:rtl/>
        </w:rPr>
        <w:t>"</w:t>
      </w:r>
      <w:r w:rsidRPr="00D27F13">
        <w:rPr>
          <w:rFonts w:ascii="Arial" w:hAnsi="Arial"/>
          <w:noProof w:val="0"/>
          <w:rtl/>
        </w:rPr>
        <w:t>מ (ק"ש) 39184-07-24</w:t>
      </w:r>
      <w:r>
        <w:rPr>
          <w:rFonts w:ascii="Arial" w:hAnsi="Arial"/>
          <w:noProof w:val="0"/>
          <w:rtl/>
        </w:rPr>
        <w:t xml:space="preserve"> </w:t>
      </w:r>
      <w:r w:rsidRPr="00D27F13">
        <w:rPr>
          <w:rFonts w:ascii="Arial" w:hAnsi="Arial"/>
          <w:b/>
          <w:bCs/>
          <w:noProof w:val="0"/>
          <w:rtl/>
        </w:rPr>
        <w:t>ש' ס' נ' ש' ס'</w:t>
      </w:r>
      <w:r w:rsidRPr="00D27F13">
        <w:rPr>
          <w:rFonts w:ascii="Arial" w:hAnsi="Arial"/>
          <w:noProof w:val="0"/>
          <w:rtl/>
        </w:rPr>
        <w:t>‏</w:t>
      </w:r>
      <w:r>
        <w:rPr>
          <w:rFonts w:ascii="Arial" w:hAnsi="Arial"/>
          <w:noProof w:val="0"/>
          <w:rtl/>
        </w:rPr>
        <w:t xml:space="preserve"> (22.8.2024) (סעיף 6 להחלטה).</w:t>
      </w:r>
    </w:p>
    <w:p w14:paraId="6CC405A6" w14:textId="77777777" w:rsidR="00EA0D7B" w:rsidRPr="00F12115" w:rsidRDefault="00000000" w:rsidP="00C30247">
      <w:pPr>
        <w:pStyle w:val="11"/>
        <w:numPr>
          <w:ilvl w:val="0"/>
          <w:numId w:val="1"/>
        </w:numPr>
        <w:spacing w:after="120" w:line="360" w:lineRule="auto"/>
        <w:ind w:left="567" w:hanging="567"/>
        <w:contextualSpacing w:val="0"/>
        <w:jc w:val="both"/>
        <w:rPr>
          <w:rFonts w:ascii="Arial" w:hAnsi="Arial"/>
          <w:b/>
          <w:bCs/>
          <w:noProof w:val="0"/>
        </w:rPr>
      </w:pPr>
      <w:r>
        <w:rPr>
          <w:rFonts w:ascii="Arial" w:hAnsi="Arial"/>
          <w:noProof w:val="0"/>
          <w:rtl/>
        </w:rPr>
        <w:t>ב</w:t>
      </w:r>
      <w:hyperlink r:id="rId8" w:history="1">
        <w:r w:rsidR="007A0BA1" w:rsidRPr="007A0BA1">
          <w:rPr>
            <w:rFonts w:ascii="Arial" w:hAnsi="Arial"/>
            <w:noProof w:val="0"/>
            <w:color w:val="0000FF"/>
            <w:u w:val="single"/>
            <w:rtl/>
          </w:rPr>
          <w:t>תלה"מ (פ"ת) 60337-09-24</w:t>
        </w:r>
      </w:hyperlink>
      <w:r>
        <w:rPr>
          <w:rFonts w:ascii="Arial" w:hAnsi="Arial"/>
          <w:noProof w:val="0"/>
          <w:rtl/>
        </w:rPr>
        <w:t xml:space="preserve"> </w:t>
      </w:r>
      <w:r w:rsidRPr="00C30247">
        <w:rPr>
          <w:rFonts w:ascii="Arial" w:hAnsi="Arial"/>
          <w:b/>
          <w:bCs/>
          <w:noProof w:val="0"/>
          <w:rtl/>
        </w:rPr>
        <w:t>י.כ נ' מ. כ. ס</w:t>
      </w:r>
      <w:r>
        <w:rPr>
          <w:rFonts w:ascii="Arial" w:hAnsi="Arial"/>
          <w:b/>
          <w:bCs/>
          <w:noProof w:val="0"/>
          <w:rtl/>
        </w:rPr>
        <w:t xml:space="preserve"> (26.9.2024) </w:t>
      </w:r>
      <w:r>
        <w:rPr>
          <w:rFonts w:ascii="Arial" w:hAnsi="Arial"/>
          <w:noProof w:val="0"/>
          <w:rtl/>
        </w:rPr>
        <w:t>קבע בית המשפט, כי לשירות מילואים של האב משמעות כלכלית כלפי האֵם וכי "</w:t>
      </w:r>
      <w:r w:rsidRPr="00C30247">
        <w:rPr>
          <w:rFonts w:ascii="Arial" w:hAnsi="Arial"/>
          <w:b/>
          <w:bCs/>
          <w:noProof w:val="0"/>
          <w:rtl/>
        </w:rPr>
        <w:t>מדובר בתקופה זמנית בנסיבות חריגות בהן המדינה נמצאת במצב חירום לאומי</w:t>
      </w:r>
      <w:r>
        <w:rPr>
          <w:rFonts w:ascii="Arial" w:hAnsi="Arial"/>
          <w:noProof w:val="0"/>
          <w:rtl/>
        </w:rPr>
        <w:t xml:space="preserve">". </w:t>
      </w:r>
    </w:p>
    <w:p w14:paraId="3719B062" w14:textId="77777777" w:rsidR="00EA0D7B" w:rsidRPr="00C30247" w:rsidRDefault="00000000" w:rsidP="00F12115">
      <w:pPr>
        <w:pStyle w:val="11"/>
        <w:spacing w:after="120" w:line="360" w:lineRule="auto"/>
        <w:ind w:left="567"/>
        <w:contextualSpacing w:val="0"/>
        <w:jc w:val="both"/>
        <w:rPr>
          <w:rFonts w:ascii="Arial" w:hAnsi="Arial"/>
          <w:b/>
          <w:bCs/>
          <w:noProof w:val="0"/>
        </w:rPr>
      </w:pPr>
      <w:r>
        <w:rPr>
          <w:rFonts w:ascii="Arial" w:hAnsi="Arial"/>
          <w:noProof w:val="0"/>
          <w:rtl/>
        </w:rPr>
        <w:lastRenderedPageBreak/>
        <w:t xml:space="preserve">בית המשפט קבע, כי </w:t>
      </w:r>
      <w:r>
        <w:rPr>
          <w:rFonts w:ascii="David" w:hAnsi="David"/>
          <w:noProof w:val="0"/>
          <w:color w:val="000000"/>
          <w:rtl/>
        </w:rPr>
        <w:t>"</w:t>
      </w:r>
      <w:r w:rsidRPr="00C30247">
        <w:rPr>
          <w:rFonts w:ascii="David" w:hAnsi="David"/>
          <w:b/>
          <w:bCs/>
          <w:noProof w:val="0"/>
          <w:color w:val="000000"/>
          <w:rtl/>
        </w:rPr>
        <w:t>האיזון לכך יכול וייעשה למשל באמצעות תשלום לאם עבור הטיפול בקטינות בזמנים שצריכות לשהות עם האב. או למשל בתיאום זמנים בהמשך לרבות חופשות, חגים, חופש גדול, בהם ישהו הקטינות עם האב הגם שעל פי ההסכם נקבע שישהו עם האם</w:t>
      </w:r>
      <w:r>
        <w:rPr>
          <w:rFonts w:ascii="David" w:hAnsi="David"/>
          <w:b/>
          <w:bCs/>
          <w:noProof w:val="0"/>
          <w:color w:val="000000"/>
          <w:rtl/>
        </w:rPr>
        <w:t>"</w:t>
      </w:r>
      <w:r w:rsidRPr="00C30247">
        <w:rPr>
          <w:rFonts w:ascii="David" w:hAnsi="David"/>
          <w:b/>
          <w:bCs/>
          <w:color w:val="000000"/>
        </w:rPr>
        <w:t>.</w:t>
      </w:r>
    </w:p>
    <w:p w14:paraId="6F907BD6" w14:textId="77777777" w:rsidR="00EA0D7B" w:rsidRDefault="00000000" w:rsidP="00D27F13">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מעיון באתר הביטוח הלאומי, אתר משרד הביטחון ואתרי מידע עבור משרתי המילואים יש קושי לקבוע את היקף המענקים וסוג המענקים להם זכאי משרת מילואים. נדמה, כי הדבר תלוי בתקופת המילואים וסוג השירות. עוד נדמה, כי הוקצה מענק יעודי לטובת המשפחה.</w:t>
      </w:r>
    </w:p>
    <w:p w14:paraId="14EBB196" w14:textId="77777777" w:rsidR="00EA0D7B" w:rsidRDefault="00000000" w:rsidP="00512022">
      <w:pPr>
        <w:pStyle w:val="11"/>
        <w:spacing w:after="120" w:line="360" w:lineRule="auto"/>
        <w:ind w:left="567"/>
        <w:contextualSpacing w:val="0"/>
        <w:jc w:val="both"/>
        <w:rPr>
          <w:rFonts w:ascii="Arial" w:hAnsi="Arial"/>
          <w:noProof w:val="0"/>
          <w:rtl/>
        </w:rPr>
      </w:pPr>
      <w:r>
        <w:rPr>
          <w:rFonts w:ascii="Arial" w:hAnsi="Arial"/>
          <w:noProof w:val="0"/>
          <w:rtl/>
        </w:rPr>
        <w:t xml:space="preserve">משכך, בית המשפט אינו יכול, על סמך פרסום פומבי ובהעדר התייחסות ברורה ומפורטת של הצדדים או הצגת אסמכתא כלשהיא, לקבוע את תכליתו של המענק שקיבל האב. </w:t>
      </w:r>
    </w:p>
    <w:p w14:paraId="31089040" w14:textId="77777777" w:rsidR="00EA0D7B" w:rsidRDefault="00000000" w:rsidP="00A417A5">
      <w:pPr>
        <w:pStyle w:val="11"/>
        <w:numPr>
          <w:ilvl w:val="0"/>
          <w:numId w:val="1"/>
        </w:numPr>
        <w:spacing w:after="120" w:line="360" w:lineRule="auto"/>
        <w:ind w:left="567" w:hanging="567"/>
        <w:contextualSpacing w:val="0"/>
        <w:jc w:val="both"/>
        <w:rPr>
          <w:rFonts w:ascii="Arial" w:hAnsi="Arial"/>
          <w:noProof w:val="0"/>
          <w:rtl/>
        </w:rPr>
      </w:pPr>
      <w:r>
        <w:rPr>
          <w:rFonts w:ascii="Arial" w:hAnsi="Arial"/>
          <w:noProof w:val="0"/>
          <w:rtl/>
        </w:rPr>
        <w:t xml:space="preserve">מעיון </w:t>
      </w:r>
      <w:hyperlink r:id="rId9" w:history="1">
        <w:r w:rsidR="00E847A2" w:rsidRPr="00E847A2">
          <w:rPr>
            <w:rStyle w:val="Hyperlink"/>
            <w:rFonts w:ascii="Arial" w:hAnsi="Arial"/>
            <w:noProof w:val="0"/>
            <w:rtl/>
          </w:rPr>
          <w:t>בסעיפים 18-19</w:t>
        </w:r>
      </w:hyperlink>
      <w:r>
        <w:rPr>
          <w:rFonts w:ascii="Arial" w:hAnsi="Arial"/>
          <w:noProof w:val="0"/>
          <w:rtl/>
        </w:rPr>
        <w:t xml:space="preserve"> </w:t>
      </w:r>
      <w:r w:rsidRPr="003D3825">
        <w:rPr>
          <w:rFonts w:ascii="Arial" w:hAnsi="Arial"/>
          <w:noProof w:val="0"/>
          <w:u w:val="single"/>
          <w:rtl/>
        </w:rPr>
        <w:t>ל</w:t>
      </w:r>
      <w:hyperlink r:id="rId10" w:history="1">
        <w:r w:rsidR="007A0BA1" w:rsidRPr="007A0BA1">
          <w:rPr>
            <w:rFonts w:ascii="Arial" w:hAnsi="Arial"/>
            <w:noProof w:val="0"/>
            <w:color w:val="0000FF"/>
            <w:u w:val="single"/>
            <w:rtl/>
          </w:rPr>
          <w:t>חוק שירות המילואים</w:t>
        </w:r>
      </w:hyperlink>
      <w:r>
        <w:rPr>
          <w:rFonts w:ascii="Arial" w:hAnsi="Arial"/>
          <w:noProof w:val="0"/>
          <w:rtl/>
        </w:rPr>
        <w:t xml:space="preserve">, תשס"ח-2008 וכן בדברי ההסבר להצעת החוק (ה"ח הממשלה, תשס"ז 295, 584) והתיקונים לחוק האמור, אשר השמיטו הוראות הנוגעות להכנסה חייבת עולה כי הכוונה היא להקנות תגמול מיוחד עבור שירות מילואים שאינו נזקף כהכנסה לצורכי מס וביטוח לאומי.  </w:t>
      </w:r>
    </w:p>
    <w:p w14:paraId="3092A90A" w14:textId="77777777" w:rsidR="00EA0D7B" w:rsidRDefault="00000000" w:rsidP="003D3825">
      <w:pPr>
        <w:pStyle w:val="11"/>
        <w:spacing w:after="120" w:line="360" w:lineRule="auto"/>
        <w:ind w:left="567"/>
        <w:contextualSpacing w:val="0"/>
        <w:jc w:val="both"/>
        <w:rPr>
          <w:rFonts w:ascii="Arial" w:hAnsi="Arial"/>
          <w:noProof w:val="0"/>
          <w:rtl/>
        </w:rPr>
      </w:pPr>
      <w:r>
        <w:rPr>
          <w:rFonts w:ascii="Arial" w:hAnsi="Arial"/>
          <w:noProof w:val="0"/>
          <w:rtl/>
        </w:rPr>
        <w:t xml:space="preserve">החוק האמור קובע, כי תנאי הזכאות, שיעוריו ודרכי התשלום יקבעו בפקודות הצבא כך שיש קושי לדייק את תכליתו של המענק ולקבוע האם הוא נועד להוות תשלום אישי בשל הקושי האישי שחווה משרת המילואים או בשל הנזק הכללי הנגרם כתוצאה מהשירות, לרבות הפגיעה במשפחה. </w:t>
      </w:r>
    </w:p>
    <w:p w14:paraId="056BAA8B" w14:textId="77777777" w:rsidR="00EA0D7B" w:rsidRDefault="00000000" w:rsidP="003D3825">
      <w:pPr>
        <w:pStyle w:val="11"/>
        <w:spacing w:after="120" w:line="360" w:lineRule="auto"/>
        <w:ind w:left="567"/>
        <w:contextualSpacing w:val="0"/>
        <w:jc w:val="both"/>
        <w:rPr>
          <w:rFonts w:ascii="Arial" w:hAnsi="Arial"/>
          <w:noProof w:val="0"/>
          <w:rtl/>
        </w:rPr>
      </w:pPr>
      <w:r>
        <w:rPr>
          <w:rFonts w:ascii="Arial" w:hAnsi="Arial"/>
          <w:noProof w:val="0"/>
          <w:rtl/>
        </w:rPr>
        <w:t xml:space="preserve">נדמה, כי לאור המצב בו מצויה המדינה, נטל המילואים הכבד וההשלכות של אותו נטל על התא המשפחתי (בין אם מאוחד ובין פרוד) ענין זה וודאי יבחן לעומק והסוגיה תידרש להכרעה בהקשרים שונים. </w:t>
      </w:r>
    </w:p>
    <w:p w14:paraId="0E7A5C08" w14:textId="77777777" w:rsidR="00EA0D7B" w:rsidRDefault="00000000" w:rsidP="00A417A5">
      <w:pPr>
        <w:pStyle w:val="11"/>
        <w:spacing w:after="120" w:line="360" w:lineRule="auto"/>
        <w:ind w:left="567"/>
        <w:contextualSpacing w:val="0"/>
        <w:jc w:val="both"/>
        <w:rPr>
          <w:rFonts w:ascii="Arial" w:hAnsi="Arial"/>
          <w:noProof w:val="0"/>
          <w:rtl/>
        </w:rPr>
      </w:pPr>
      <w:r>
        <w:rPr>
          <w:rFonts w:ascii="Arial" w:hAnsi="Arial"/>
          <w:noProof w:val="0"/>
          <w:rtl/>
        </w:rPr>
        <w:t xml:space="preserve">על אף החֵסֵר אני סבורה כי ניתן לקבוע שבכל מקרה, חלקו של המענק "צבוע בצבע אישי" והוא נועד לאפשר רווחה וטיפול לאור הקושי בו נושא המשרת במילואים וחלקו נועד לפצות על עלויות נלוות וקשיים כלליים ובכלל כך גם נושאים הקשורים לילדיו של המשרת ובן זוגו או בן זוגו לשעבר. </w:t>
      </w:r>
    </w:p>
    <w:p w14:paraId="072967F7" w14:textId="77777777" w:rsidR="00EA0D7B" w:rsidRDefault="00000000" w:rsidP="00E03E25">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 xml:space="preserve">איני יכולה לקבוע האם טענתו של האב, כי המענק נועד לפצות על הפסד שעות עבודה נוספות נכונה שכן לא ניתן לקשור בין תקופת המענק והתלושים שהוצגו (המענק שולם בתשלום אחד כאשר נדמה שהוא מתייחס לתקופת השירות בשנת המס שקדמה, אולם הדברים אינם ברורים ולא הובהרו דיים); אולם גם אם הדבר נכון, הסכום הנטען גבוה מהסכום הגלובלי שנזקף עבור שעות העבודה הנוספות (מבלי שניתן לקבוע שרכיב זה הושמט בחודשים הרלבנטיים). </w:t>
      </w:r>
    </w:p>
    <w:p w14:paraId="5A862607" w14:textId="77777777" w:rsidR="00EA0D7B" w:rsidRDefault="00000000" w:rsidP="00E03E25">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 xml:space="preserve">על אף חוסר המידע הרשמי בכל הנוגע לתכלית המענק ותוך הדגשה שהכרעה זו נוגעת למקרה שלפניי, אני סבורה שאין להורות על חלוקת המענק שקיבל האב בשיעור אותו דרשה האֵם, אולם יש לפצות את האֵם על הטיפול הנוסף בקטין בתקופה הממושכת. </w:t>
      </w:r>
    </w:p>
    <w:p w14:paraId="676DB654" w14:textId="77777777" w:rsidR="00EA0D7B" w:rsidRDefault="00000000" w:rsidP="00CB58B1">
      <w:pPr>
        <w:pStyle w:val="11"/>
        <w:spacing w:after="120" w:line="360" w:lineRule="auto"/>
        <w:ind w:left="567"/>
        <w:contextualSpacing w:val="0"/>
        <w:jc w:val="both"/>
        <w:rPr>
          <w:rFonts w:ascii="Arial" w:hAnsi="Arial"/>
          <w:noProof w:val="0"/>
          <w:rtl/>
        </w:rPr>
      </w:pPr>
      <w:r>
        <w:rPr>
          <w:rFonts w:ascii="Arial" w:hAnsi="Arial"/>
          <w:noProof w:val="0"/>
          <w:rtl/>
        </w:rPr>
        <w:t>אפרט:</w:t>
      </w:r>
    </w:p>
    <w:p w14:paraId="76F8A1E8" w14:textId="77777777" w:rsidR="00EA0D7B" w:rsidRPr="002D04AD" w:rsidRDefault="00000000" w:rsidP="00A417A5">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lastRenderedPageBreak/>
        <w:t xml:space="preserve">אמנם, לא הוצגה תמונה ברורה המוכיחה ירידה בהכנסות האב באופן שמלמד על היות המענק תגמול לפיצוי בשל הירידה בהכנסות (ונדמה כי הוראות החוק האמור מצביעות על כך שלא זו תכלית התגמול וכן נדמה, כי קיים תגמול יעודי לעובד שנפגע מהפסד העבודה או מפגיעה בעסק) אולם ברור שגם אם לא היתה ירידה בהכנסות או שלא היתה פגיעה כלכלית וגם אם לא זו תכלית המענק, משרת המילואים משלם מחיר אישי, רגשי וגופני כבד באופן שמצדיק לאפשר לו לעשות שימוש בכספי המענק לצורך הטיפול, השיקום והחזרה לשגרה - </w:t>
      </w:r>
      <w:r>
        <w:rPr>
          <w:rFonts w:ascii="Arial" w:hAnsi="Arial"/>
          <w:b/>
          <w:bCs/>
          <w:noProof w:val="0"/>
          <w:rtl/>
        </w:rPr>
        <w:t xml:space="preserve">והכל תלוי גובה המענק, סוג השירות, האינטנסיביות ומצבו של המשרת. </w:t>
      </w:r>
    </w:p>
    <w:p w14:paraId="3B6848FA" w14:textId="77777777" w:rsidR="00EA0D7B" w:rsidRDefault="00000000" w:rsidP="00CB58B1">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 xml:space="preserve">מאידך, כל התא המשפחתי שילם מחיר. האֵם גיבתה את האב משך כל תקופת המילואים וגם אם התקיימה שהות כפי שציין האב, לא מדובר בשהות על פי הזמנים הקבועים באופן שניתן להסתמך עליה ולכן נכון לקבוע פיצוי מסוים שמשקף את הנזק שנגרם לאֵם. </w:t>
      </w:r>
    </w:p>
    <w:p w14:paraId="2AC476DD" w14:textId="77777777" w:rsidR="00EA0D7B" w:rsidRDefault="00000000" w:rsidP="00D85231">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t xml:space="preserve">במקרה שלפניי - </w:t>
      </w:r>
    </w:p>
    <w:p w14:paraId="4E10C02B" w14:textId="77777777" w:rsidR="00EA0D7B" w:rsidRDefault="00000000" w:rsidP="00D85231">
      <w:pPr>
        <w:pStyle w:val="11"/>
        <w:spacing w:after="120" w:line="360" w:lineRule="auto"/>
        <w:ind w:left="567"/>
        <w:contextualSpacing w:val="0"/>
        <w:jc w:val="both"/>
        <w:rPr>
          <w:rFonts w:ascii="Arial" w:hAnsi="Arial"/>
          <w:noProof w:val="0"/>
        </w:rPr>
      </w:pPr>
      <w:r>
        <w:rPr>
          <w:rFonts w:ascii="Arial" w:hAnsi="Arial"/>
          <w:noProof w:val="0"/>
          <w:rtl/>
        </w:rPr>
        <w:t xml:space="preserve">האֵם טענה לעלויות נוספות בשל הצורך בגיבוי של בייביסיטר, עליה בהוצאות המזון, התחבורה והוצאות אחזקת הבית. ברור ששהות נוספת יוצרת עלות נוספת בשל צריכת המזון, המים והחשמל אולם לא הוצגו ראיות לשיעור העליה בהוצאות ונדמה, כי לא מדובר בסכומים גבוהים במיוחד לאור גילו של הקטין. כך גם לא הוצגו ראיות לעלויות של בייביסיטר או הסבר לעליה בהוצאות תחבורה וכו'. </w:t>
      </w:r>
    </w:p>
    <w:p w14:paraId="73A92130" w14:textId="77777777" w:rsidR="00EA0D7B" w:rsidRDefault="00000000" w:rsidP="00D85231">
      <w:pPr>
        <w:pStyle w:val="11"/>
        <w:spacing w:after="120" w:line="360" w:lineRule="auto"/>
        <w:ind w:left="567"/>
        <w:contextualSpacing w:val="0"/>
        <w:jc w:val="both"/>
        <w:rPr>
          <w:rFonts w:ascii="Arial" w:hAnsi="Arial"/>
          <w:noProof w:val="0"/>
          <w:rtl/>
        </w:rPr>
      </w:pPr>
      <w:r>
        <w:rPr>
          <w:rFonts w:ascii="Arial" w:hAnsi="Arial"/>
          <w:noProof w:val="0"/>
          <w:rtl/>
        </w:rPr>
        <w:t xml:space="preserve">עוד טענה האֵם לפגיעה בהכנסותיה, אולם גם בהקשר זה לא הוצגה שום ראיה, לא צוין שיעור הפגיעה ויש קושי עם ההסבר בדבר הפסד אפשרות עבודה בשעות הערב לאור היקף העבודה המצומצם לכתחילה. </w:t>
      </w:r>
    </w:p>
    <w:p w14:paraId="3A6B1A09" w14:textId="77777777" w:rsidR="00EA0D7B" w:rsidRDefault="00000000" w:rsidP="00D85231">
      <w:pPr>
        <w:pStyle w:val="11"/>
        <w:spacing w:after="120" w:line="360" w:lineRule="auto"/>
        <w:ind w:left="567"/>
        <w:contextualSpacing w:val="0"/>
        <w:jc w:val="both"/>
        <w:rPr>
          <w:rFonts w:ascii="Arial" w:hAnsi="Arial"/>
          <w:noProof w:val="0"/>
          <w:rtl/>
        </w:rPr>
      </w:pPr>
      <w:r>
        <w:rPr>
          <w:rFonts w:ascii="Arial" w:hAnsi="Arial"/>
          <w:noProof w:val="0"/>
          <w:rtl/>
        </w:rPr>
        <w:t xml:space="preserve">בנוסף, האֵם לא הכחישה את טענותיו של האב בדבר שהותו של הקטין במסגרת חינוכית עד השעה 17:00 וממילא אין ניצול של שעות שהייתו במסגרת לעבודה (מסיבות שהובהרו וקשורות למצבה של האֵם) על כן יש קושי לקבל את הטענה בדבר הפסד עבודה. </w:t>
      </w:r>
    </w:p>
    <w:p w14:paraId="39D29ED1" w14:textId="77777777" w:rsidR="00EA0D7B" w:rsidRDefault="00000000" w:rsidP="00C06B33">
      <w:pPr>
        <w:pStyle w:val="11"/>
        <w:spacing w:after="120" w:line="360" w:lineRule="auto"/>
        <w:ind w:left="567"/>
        <w:contextualSpacing w:val="0"/>
        <w:jc w:val="both"/>
        <w:rPr>
          <w:rFonts w:ascii="Arial" w:hAnsi="Arial"/>
          <w:noProof w:val="0"/>
          <w:rtl/>
        </w:rPr>
      </w:pPr>
      <w:r>
        <w:rPr>
          <w:rFonts w:ascii="Arial" w:hAnsi="Arial"/>
          <w:noProof w:val="0"/>
          <w:rtl/>
        </w:rPr>
        <w:t xml:space="preserve">עם זאת, ברור שבמצב של זמני שהות שווים שאינם מקוימים כסדרם יש נזק - הן כלכלי והן בהיבט הנלווה להשתת הנטל באופן לא שווה, השחיקה והקושי הנובע. </w:t>
      </w:r>
    </w:p>
    <w:p w14:paraId="60237FB5" w14:textId="77777777" w:rsidR="00EA0D7B" w:rsidRDefault="007A0BA1" w:rsidP="00C06B33">
      <w:pPr>
        <w:pStyle w:val="11"/>
        <w:numPr>
          <w:ilvl w:val="0"/>
          <w:numId w:val="1"/>
        </w:numPr>
        <w:spacing w:after="120" w:line="360" w:lineRule="auto"/>
        <w:ind w:left="567" w:hanging="567"/>
        <w:contextualSpacing w:val="0"/>
        <w:jc w:val="both"/>
        <w:rPr>
          <w:rFonts w:ascii="Arial" w:hAnsi="Arial"/>
          <w:noProof w:val="0"/>
        </w:rPr>
      </w:pPr>
      <w:r w:rsidRPr="007A0BA1">
        <w:rPr>
          <w:rFonts w:ascii="Arial" w:hAnsi="Arial"/>
          <w:noProof w:val="0"/>
          <w:color w:val="FFFFFF"/>
          <w:sz w:val="2"/>
          <w:szCs w:val="2"/>
          <w:rtl/>
        </w:rPr>
        <w:t>5129371</w:t>
      </w:r>
      <w:r w:rsidR="00000000">
        <w:rPr>
          <w:rFonts w:ascii="Arial" w:hAnsi="Arial"/>
          <w:noProof w:val="0"/>
          <w:rtl/>
        </w:rPr>
        <w:t xml:space="preserve">לאור האמור, לאחר ששקלתי את היקף השהות המשתקף מהתיעוד שהציגו הצדדים; את סכום המענק; את תקופת השירות; את גילו של הקטין ואת הטיפול בו; את סכום המזונות המשולם; את הערכת המשמעות של השינוי בשיעור חלוקת הנטל ואת הערכת שיעור ההוצאות הנוספות להן נדרשה ונדרשת האֵם אני סבורה שיש לחייב את האב, מעתה והלאה, בסך 500 ש"ח עבור כל חודש מילואים בהם לא מתקיימים זמני השהות כסדרם (שהות ללא לינה אינה נחשבת קיום שהות כסדרה). </w:t>
      </w:r>
    </w:p>
    <w:p w14:paraId="4CE71D0B" w14:textId="77777777" w:rsidR="00EA0D7B" w:rsidRDefault="007A0BA1" w:rsidP="00286F76">
      <w:pPr>
        <w:pStyle w:val="11"/>
        <w:spacing w:after="120" w:line="360" w:lineRule="auto"/>
        <w:ind w:left="567"/>
        <w:contextualSpacing w:val="0"/>
        <w:jc w:val="both"/>
        <w:rPr>
          <w:rFonts w:ascii="Arial" w:hAnsi="Arial"/>
          <w:noProof w:val="0"/>
          <w:rtl/>
        </w:rPr>
      </w:pPr>
      <w:r w:rsidRPr="007A0BA1">
        <w:rPr>
          <w:rFonts w:ascii="Arial" w:hAnsi="Arial"/>
          <w:noProof w:val="0"/>
          <w:color w:val="FFFFFF"/>
          <w:sz w:val="2"/>
          <w:szCs w:val="2"/>
          <w:rtl/>
        </w:rPr>
        <w:t>54678313</w:t>
      </w:r>
      <w:r w:rsidR="00000000">
        <w:rPr>
          <w:rFonts w:ascii="Arial" w:hAnsi="Arial"/>
          <w:noProof w:val="0"/>
          <w:rtl/>
        </w:rPr>
        <w:t xml:space="preserve">אשר לתקופה שחלפה - האב ישלם סך כולל של 2,500 ש"ח לידי האֵם, כאשר סכום זה ישולם בעשרה תשלומים שווים שיצטרפו לתשלומי המזונות השוטפים החל מחודש פברואר 2025 ואילך. </w:t>
      </w:r>
    </w:p>
    <w:p w14:paraId="5952041D" w14:textId="77777777" w:rsidR="00EA0D7B" w:rsidRDefault="00000000" w:rsidP="00504049">
      <w:pPr>
        <w:pStyle w:val="11"/>
        <w:numPr>
          <w:ilvl w:val="0"/>
          <w:numId w:val="1"/>
        </w:numPr>
        <w:spacing w:after="120" w:line="360" w:lineRule="auto"/>
        <w:ind w:left="567" w:hanging="567"/>
        <w:contextualSpacing w:val="0"/>
        <w:jc w:val="both"/>
        <w:rPr>
          <w:rFonts w:ascii="Arial" w:hAnsi="Arial"/>
          <w:noProof w:val="0"/>
        </w:rPr>
      </w:pPr>
      <w:r>
        <w:rPr>
          <w:rFonts w:ascii="Arial" w:hAnsi="Arial"/>
          <w:noProof w:val="0"/>
          <w:rtl/>
        </w:rPr>
        <w:lastRenderedPageBreak/>
        <w:t xml:space="preserve">לאור טיבו של הענין, ההבנה שהמחלוקת נבעה מהנסיבות החריגות החלות כעת, מאחר שהאב נושא בנטל המילואים והאֵם נושאת בנטל הגיבוי ועל אף הקושי עם ההתנהלות שבאי הגשת המסמכים במועד ובאופן מלא על ידי האב, אני מורה כי כל צד יישא בהוצאותיו הכרוכות בבקשה זו. </w:t>
      </w:r>
    </w:p>
    <w:p w14:paraId="3A74B390" w14:textId="77777777" w:rsidR="00EA0D7B" w:rsidRPr="00C06B33" w:rsidRDefault="00000000" w:rsidP="00504049">
      <w:pPr>
        <w:pStyle w:val="11"/>
        <w:numPr>
          <w:ilvl w:val="0"/>
          <w:numId w:val="1"/>
        </w:numPr>
        <w:spacing w:after="120" w:line="360" w:lineRule="auto"/>
        <w:ind w:left="567" w:hanging="567"/>
        <w:contextualSpacing w:val="0"/>
        <w:jc w:val="both"/>
        <w:rPr>
          <w:rFonts w:ascii="Arial" w:hAnsi="Arial"/>
          <w:noProof w:val="0"/>
          <w:rtl/>
        </w:rPr>
      </w:pPr>
      <w:r w:rsidRPr="00C06B33">
        <w:rPr>
          <w:rFonts w:ascii="Arial" w:hAnsi="Arial"/>
          <w:noProof w:val="0"/>
          <w:rtl/>
        </w:rPr>
        <w:t xml:space="preserve">אני מתירה את פרסום ההחלטה בהשמטת פרטים מזהים. </w:t>
      </w:r>
    </w:p>
    <w:p w14:paraId="2A196BCA" w14:textId="77777777" w:rsidR="00EA0D7B" w:rsidRPr="00C06B33" w:rsidRDefault="00000000" w:rsidP="007F6568">
      <w:pPr>
        <w:spacing w:after="120" w:line="360" w:lineRule="auto"/>
        <w:jc w:val="both"/>
        <w:rPr>
          <w:rFonts w:ascii="Arial" w:hAnsi="Arial"/>
          <w:b/>
          <w:bCs/>
          <w:noProof w:val="0"/>
          <w:u w:val="single"/>
          <w:rtl/>
        </w:rPr>
      </w:pPr>
      <w:r w:rsidRPr="00C06B33">
        <w:rPr>
          <w:rFonts w:ascii="Arial" w:hAnsi="Arial"/>
          <w:b/>
          <w:bCs/>
          <w:noProof w:val="0"/>
          <w:u w:val="single"/>
          <w:rtl/>
        </w:rPr>
        <w:t>המזכירות תמציא החלטה זו לצדדים.</w:t>
      </w:r>
    </w:p>
    <w:p w14:paraId="2C48DB02" w14:textId="77777777" w:rsidR="00EA0D7B" w:rsidRDefault="007A0BA1" w:rsidP="007A0BA1">
      <w:pPr>
        <w:tabs>
          <w:tab w:val="left" w:pos="2553"/>
        </w:tabs>
        <w:spacing w:after="120" w:line="360" w:lineRule="auto"/>
      </w:pPr>
      <w:bookmarkStart w:id="5" w:name="Nitan"/>
      <w:r>
        <w:rPr>
          <w:rFonts w:ascii="Arial" w:hAnsi="Arial"/>
          <w:noProof w:val="0"/>
          <w:rtl/>
        </w:rPr>
        <w:t xml:space="preserve">ניתנה היום, ח' טבת תשפ"ה, 08 ינואר 2025, בהעדר הצדדים. </w:t>
      </w:r>
      <w:bookmarkEnd w:id="5"/>
      <w:r w:rsidR="00000000">
        <w:rPr>
          <w:noProof w:val="0"/>
          <w:rtl/>
        </w:rPr>
        <w:tab/>
      </w:r>
      <w:r w:rsidR="00000000">
        <w:rPr>
          <w:noProof w:val="0"/>
          <w:rtl/>
        </w:rPr>
        <w:tab/>
      </w:r>
      <w:r w:rsidR="00000000">
        <w:rPr>
          <w:noProof w:val="0"/>
          <w:rtl/>
        </w:rPr>
        <w:tab/>
      </w:r>
      <w:r w:rsidR="00000000">
        <w:rPr>
          <w:noProof w:val="0"/>
          <w:rtl/>
        </w:rPr>
        <w:tab/>
        <w:t xml:space="preserve">    </w:t>
      </w:r>
    </w:p>
    <w:p w14:paraId="02069F2B" w14:textId="77777777" w:rsidR="00EA0D7B" w:rsidRPr="007A0BA1" w:rsidRDefault="00EA0D7B" w:rsidP="007A0BA1">
      <w:pPr>
        <w:keepNext/>
        <w:tabs>
          <w:tab w:val="left" w:pos="2553"/>
        </w:tabs>
        <w:spacing w:line="360" w:lineRule="auto"/>
        <w:rPr>
          <w:rFonts w:ascii="David" w:hAnsi="David"/>
          <w:noProof w:val="0"/>
          <w:color w:val="000000"/>
          <w:sz w:val="22"/>
          <w:szCs w:val="22"/>
          <w:rtl/>
        </w:rPr>
      </w:pPr>
    </w:p>
    <w:p w14:paraId="13775FA7" w14:textId="77777777" w:rsidR="007A0BA1" w:rsidRPr="007A0BA1" w:rsidRDefault="007A0BA1" w:rsidP="007A0BA1">
      <w:pPr>
        <w:tabs>
          <w:tab w:val="left" w:pos="2553"/>
        </w:tabs>
        <w:spacing w:after="120" w:line="360" w:lineRule="auto"/>
        <w:jc w:val="center"/>
        <w:rPr>
          <w:rFonts w:ascii="Arial" w:hAnsi="Arial"/>
          <w:noProof w:val="0"/>
          <w:color w:val="0000FF"/>
          <w:u w:val="single"/>
          <w:rtl/>
        </w:rPr>
      </w:pPr>
    </w:p>
    <w:sectPr w:rsidR="007A0BA1" w:rsidRPr="007A0BA1" w:rsidSect="007A0BA1">
      <w:headerReference w:type="even" r:id="rId11"/>
      <w:headerReference w:type="default" r:id="rId12"/>
      <w:footerReference w:type="even" r:id="rId13"/>
      <w:footerReference w:type="default" r:id="rId14"/>
      <w:pgSz w:w="11907" w:h="16840" w:code="9"/>
      <w:pgMar w:top="1701" w:right="1701" w:bottom="1701" w:left="1701"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8B024" w14:textId="77777777" w:rsidR="00517271" w:rsidRDefault="00517271">
      <w:r>
        <w:separator/>
      </w:r>
    </w:p>
  </w:endnote>
  <w:endnote w:type="continuationSeparator" w:id="0">
    <w:p w14:paraId="5F403C74" w14:textId="77777777" w:rsidR="00517271" w:rsidRDefault="0051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FA81" w14:textId="77777777" w:rsidR="007A0BA1" w:rsidRDefault="00000000" w:rsidP="007A0BA1">
    <w:pPr>
      <w:pStyle w:val="a5"/>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20880580" w14:textId="572BD478" w:rsidR="007A0BA1" w:rsidRPr="007A0BA1" w:rsidRDefault="000A5191" w:rsidP="007A0BA1">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6C6163B5" wp14:editId="2497307C">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87734" w14:textId="77777777" w:rsidR="007A0BA1" w:rsidRDefault="00000000" w:rsidP="007A0BA1">
    <w:pPr>
      <w:pStyle w:val="a5"/>
      <w:jc w:val="center"/>
      <w:rPr>
        <w:rStyle w:val="ac"/>
        <w:rFonts w:ascii="FrankRuehl" w:hAnsi="FrankRuehl" w:cs="FrankRuehl"/>
        <w:rtl/>
      </w:rPr>
    </w:pPr>
    <w:r>
      <w:rPr>
        <w:rStyle w:val="ac"/>
        <w:rFonts w:ascii="FrankRuehl" w:hAnsi="FrankRuehl" w:cs="FrankRuehl"/>
        <w:rtl/>
      </w:rPr>
      <w:fldChar w:fldCharType="begin"/>
    </w:r>
    <w:r>
      <w:rPr>
        <w:rStyle w:val="ac"/>
        <w:rFonts w:ascii="FrankRuehl" w:hAnsi="FrankRuehl" w:cs="FrankRuehl"/>
        <w:rtl/>
      </w:rPr>
      <w:instrText xml:space="preserve"> </w:instrText>
    </w:r>
    <w:r>
      <w:rPr>
        <w:rStyle w:val="ac"/>
        <w:rFonts w:ascii="FrankRuehl" w:hAnsi="FrankRuehl" w:cs="FrankRuehl" w:hint="cs"/>
      </w:rPr>
      <w:instrText xml:space="preserve">PAGE </w:instrText>
    </w:r>
    <w:r>
      <w:rPr>
        <w:rStyle w:val="ac"/>
        <w:rFonts w:ascii="FrankRuehl" w:hAnsi="FrankRuehl" w:cs="FrankRuehl" w:hint="cs"/>
        <w:rtl/>
      </w:rPr>
      <w:instrText xml:space="preserve"> \* </w:instrText>
    </w:r>
    <w:r>
      <w:rPr>
        <w:rStyle w:val="ac"/>
        <w:rFonts w:ascii="FrankRuehl" w:hAnsi="FrankRuehl" w:cs="FrankRuehl" w:hint="cs"/>
      </w:rPr>
      <w:instrText>MERGEFORMAT</w:instrText>
    </w:r>
    <w:r>
      <w:rPr>
        <w:rStyle w:val="ac"/>
        <w:rFonts w:ascii="FrankRuehl" w:hAnsi="FrankRuehl" w:cs="FrankRuehl"/>
        <w:rtl/>
      </w:rPr>
      <w:instrText xml:space="preserve"> </w:instrText>
    </w:r>
    <w:r>
      <w:rPr>
        <w:rStyle w:val="ac"/>
        <w:rFonts w:ascii="FrankRuehl" w:hAnsi="FrankRuehl" w:cs="FrankRuehl"/>
        <w:rtl/>
      </w:rPr>
      <w:fldChar w:fldCharType="separate"/>
    </w:r>
    <w:r w:rsidR="00FA05C9">
      <w:rPr>
        <w:rStyle w:val="ac"/>
        <w:rFonts w:ascii="FrankRuehl" w:hAnsi="FrankRuehl" w:cs="FrankRuehl"/>
        <w:rtl/>
      </w:rPr>
      <w:t>1</w:t>
    </w:r>
    <w:r>
      <w:rPr>
        <w:rStyle w:val="ac"/>
        <w:rFonts w:ascii="FrankRuehl" w:hAnsi="FrankRuehl" w:cs="FrankRuehl"/>
        <w:rtl/>
      </w:rPr>
      <w:fldChar w:fldCharType="end"/>
    </w:r>
  </w:p>
  <w:p w14:paraId="10D1EC19" w14:textId="1E89890F" w:rsidR="00EA0D7B" w:rsidRPr="007A0BA1" w:rsidRDefault="00EA0D7B" w:rsidP="007A0BA1">
    <w:pPr>
      <w:pStyle w:val="a5"/>
      <w:pBdr>
        <w:top w:val="single" w:sz="4" w:space="1" w:color="auto"/>
        <w:between w:val="single" w:sz="4" w:space="0" w:color="auto"/>
      </w:pBdr>
      <w:spacing w:after="60"/>
      <w:jc w:val="center"/>
      <w:rPr>
        <w:rStyle w:val="ac"/>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63BA4" w14:textId="77777777" w:rsidR="00517271" w:rsidRDefault="00517271">
      <w:r>
        <w:separator/>
      </w:r>
    </w:p>
  </w:footnote>
  <w:footnote w:type="continuationSeparator" w:id="0">
    <w:p w14:paraId="645D0EF7" w14:textId="77777777" w:rsidR="00517271" w:rsidRDefault="0051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2D6B" w14:textId="77777777" w:rsidR="007A0BA1" w:rsidRPr="007A0BA1" w:rsidRDefault="00000000" w:rsidP="007A0BA1">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תלהמ (חד') 65546-02-23</w:t>
    </w:r>
    <w:r>
      <w:rPr>
        <w:rFonts w:ascii="David" w:hAnsi="David"/>
        <w:color w:val="000000"/>
        <w:sz w:val="22"/>
        <w:szCs w:val="22"/>
        <w:rtl/>
      </w:rPr>
      <w:tab/>
      <w:t xml:space="preserve"> ח.ג נ' א.ג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413E" w14:textId="77777777" w:rsidR="00EA0D7B" w:rsidRPr="007A0BA1" w:rsidRDefault="007A0BA1" w:rsidP="007A0BA1">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6" w:name="_Hlk189733058"/>
    <w:bookmarkStart w:id="7" w:name="_Hlk189733059"/>
    <w:bookmarkStart w:id="8" w:name="_Hlk189733060"/>
    <w:bookmarkStart w:id="9" w:name="_Hlk189733061"/>
    <w:r>
      <w:rPr>
        <w:rFonts w:ascii="David" w:hAnsi="David"/>
        <w:color w:val="000000"/>
        <w:sz w:val="22"/>
        <w:szCs w:val="22"/>
        <w:rtl/>
      </w:rPr>
      <w:t>תלהמ (חד') 65546-02-23</w:t>
    </w:r>
    <w:r>
      <w:rPr>
        <w:rFonts w:ascii="David" w:hAnsi="David"/>
        <w:color w:val="000000"/>
        <w:sz w:val="22"/>
        <w:szCs w:val="22"/>
        <w:rtl/>
      </w:rPr>
      <w:tab/>
      <w:t xml:space="preserve"> ח.ג נ' א.ג</w:t>
    </w:r>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357C7"/>
    <w:multiLevelType w:val="hybridMultilevel"/>
    <w:tmpl w:val="BA2E2382"/>
    <w:lvl w:ilvl="0" w:tplc="E1AC3F30">
      <w:start w:val="1"/>
      <w:numFmt w:val="decimal"/>
      <w:lvlText w:val="%1."/>
      <w:lvlJc w:val="left"/>
      <w:pPr>
        <w:ind w:left="720" w:hanging="360"/>
      </w:pPr>
      <w:rPr>
        <w:rFonts w:cs="Times New Roman" w:hint="default"/>
        <w:b w:val="0"/>
        <w:bCs w:val="0"/>
      </w:rPr>
    </w:lvl>
    <w:lvl w:ilvl="1" w:tplc="5E6E31CC" w:tentative="1">
      <w:start w:val="1"/>
      <w:numFmt w:val="lowerLetter"/>
      <w:lvlText w:val="%2."/>
      <w:lvlJc w:val="left"/>
      <w:pPr>
        <w:ind w:left="1440" w:hanging="360"/>
      </w:pPr>
      <w:rPr>
        <w:rFonts w:cs="Times New Roman"/>
      </w:rPr>
    </w:lvl>
    <w:lvl w:ilvl="2" w:tplc="DEDC4AD8" w:tentative="1">
      <w:start w:val="1"/>
      <w:numFmt w:val="lowerRoman"/>
      <w:lvlText w:val="%3."/>
      <w:lvlJc w:val="right"/>
      <w:pPr>
        <w:ind w:left="2160" w:hanging="180"/>
      </w:pPr>
      <w:rPr>
        <w:rFonts w:cs="Times New Roman"/>
      </w:rPr>
    </w:lvl>
    <w:lvl w:ilvl="3" w:tplc="9B8CDF60" w:tentative="1">
      <w:start w:val="1"/>
      <w:numFmt w:val="decimal"/>
      <w:lvlText w:val="%4."/>
      <w:lvlJc w:val="left"/>
      <w:pPr>
        <w:ind w:left="2880" w:hanging="360"/>
      </w:pPr>
      <w:rPr>
        <w:rFonts w:cs="Times New Roman"/>
      </w:rPr>
    </w:lvl>
    <w:lvl w:ilvl="4" w:tplc="020E24DC" w:tentative="1">
      <w:start w:val="1"/>
      <w:numFmt w:val="lowerLetter"/>
      <w:lvlText w:val="%5."/>
      <w:lvlJc w:val="left"/>
      <w:pPr>
        <w:ind w:left="3600" w:hanging="360"/>
      </w:pPr>
      <w:rPr>
        <w:rFonts w:cs="Times New Roman"/>
      </w:rPr>
    </w:lvl>
    <w:lvl w:ilvl="5" w:tplc="85FA3FCE" w:tentative="1">
      <w:start w:val="1"/>
      <w:numFmt w:val="lowerRoman"/>
      <w:lvlText w:val="%6."/>
      <w:lvlJc w:val="right"/>
      <w:pPr>
        <w:ind w:left="4320" w:hanging="180"/>
      </w:pPr>
      <w:rPr>
        <w:rFonts w:cs="Times New Roman"/>
      </w:rPr>
    </w:lvl>
    <w:lvl w:ilvl="6" w:tplc="1248D812" w:tentative="1">
      <w:start w:val="1"/>
      <w:numFmt w:val="decimal"/>
      <w:lvlText w:val="%7."/>
      <w:lvlJc w:val="left"/>
      <w:pPr>
        <w:ind w:left="5040" w:hanging="360"/>
      </w:pPr>
      <w:rPr>
        <w:rFonts w:cs="Times New Roman"/>
      </w:rPr>
    </w:lvl>
    <w:lvl w:ilvl="7" w:tplc="A81257A4" w:tentative="1">
      <w:start w:val="1"/>
      <w:numFmt w:val="lowerLetter"/>
      <w:lvlText w:val="%8."/>
      <w:lvlJc w:val="left"/>
      <w:pPr>
        <w:ind w:left="5760" w:hanging="360"/>
      </w:pPr>
      <w:rPr>
        <w:rFonts w:cs="Times New Roman"/>
      </w:rPr>
    </w:lvl>
    <w:lvl w:ilvl="8" w:tplc="83061F4A" w:tentative="1">
      <w:start w:val="1"/>
      <w:numFmt w:val="lowerRoman"/>
      <w:lvlText w:val="%9."/>
      <w:lvlJc w:val="right"/>
      <w:pPr>
        <w:ind w:left="6480" w:hanging="180"/>
      </w:pPr>
      <w:rPr>
        <w:rFonts w:cs="Times New Roman"/>
      </w:rPr>
    </w:lvl>
  </w:abstractNum>
  <w:num w:numId="1" w16cid:durableId="39704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94556"/>
    <w:rsid w:val="00000062"/>
    <w:rsid w:val="0000226B"/>
    <w:rsid w:val="00005C8B"/>
    <w:rsid w:val="000229A1"/>
    <w:rsid w:val="000467D1"/>
    <w:rsid w:val="000529D2"/>
    <w:rsid w:val="000564AB"/>
    <w:rsid w:val="00064651"/>
    <w:rsid w:val="00064FBD"/>
    <w:rsid w:val="00082AB2"/>
    <w:rsid w:val="000906FE"/>
    <w:rsid w:val="00096AF7"/>
    <w:rsid w:val="000A5191"/>
    <w:rsid w:val="000B344B"/>
    <w:rsid w:val="000C3B0F"/>
    <w:rsid w:val="000C3B60"/>
    <w:rsid w:val="000E0DD2"/>
    <w:rsid w:val="000E3AF1"/>
    <w:rsid w:val="000F0BC8"/>
    <w:rsid w:val="000F0DD6"/>
    <w:rsid w:val="00107A00"/>
    <w:rsid w:val="00107E6D"/>
    <w:rsid w:val="0011194C"/>
    <w:rsid w:val="0011424C"/>
    <w:rsid w:val="001173C6"/>
    <w:rsid w:val="001367BC"/>
    <w:rsid w:val="00144D2A"/>
    <w:rsid w:val="0014653E"/>
    <w:rsid w:val="00180519"/>
    <w:rsid w:val="00191C82"/>
    <w:rsid w:val="001C4003"/>
    <w:rsid w:val="001C5079"/>
    <w:rsid w:val="001C756E"/>
    <w:rsid w:val="001D4DBF"/>
    <w:rsid w:val="001E75CA"/>
    <w:rsid w:val="002265FF"/>
    <w:rsid w:val="00234943"/>
    <w:rsid w:val="00246F39"/>
    <w:rsid w:val="00254B58"/>
    <w:rsid w:val="00271B56"/>
    <w:rsid w:val="0028443A"/>
    <w:rsid w:val="00286F76"/>
    <w:rsid w:val="002C344E"/>
    <w:rsid w:val="002C3F4A"/>
    <w:rsid w:val="002D04AD"/>
    <w:rsid w:val="002E75E9"/>
    <w:rsid w:val="00307A6A"/>
    <w:rsid w:val="00307C40"/>
    <w:rsid w:val="00320433"/>
    <w:rsid w:val="003230C7"/>
    <w:rsid w:val="00327E50"/>
    <w:rsid w:val="0033597A"/>
    <w:rsid w:val="00343D89"/>
    <w:rsid w:val="00360BE2"/>
    <w:rsid w:val="00362612"/>
    <w:rsid w:val="0036743F"/>
    <w:rsid w:val="003715DD"/>
    <w:rsid w:val="003823E0"/>
    <w:rsid w:val="003971BE"/>
    <w:rsid w:val="003A4521"/>
    <w:rsid w:val="003C42F9"/>
    <w:rsid w:val="003D1C8C"/>
    <w:rsid w:val="003D3825"/>
    <w:rsid w:val="003E57BC"/>
    <w:rsid w:val="0040096C"/>
    <w:rsid w:val="00414F1F"/>
    <w:rsid w:val="0043125D"/>
    <w:rsid w:val="0043502B"/>
    <w:rsid w:val="004443AC"/>
    <w:rsid w:val="00444B02"/>
    <w:rsid w:val="00451E28"/>
    <w:rsid w:val="00462C62"/>
    <w:rsid w:val="00463C96"/>
    <w:rsid w:val="00465D36"/>
    <w:rsid w:val="004C17EE"/>
    <w:rsid w:val="004C4BDF"/>
    <w:rsid w:val="004D1187"/>
    <w:rsid w:val="004D3AA0"/>
    <w:rsid w:val="004E1987"/>
    <w:rsid w:val="004E2E15"/>
    <w:rsid w:val="004E2F9E"/>
    <w:rsid w:val="004E6E3C"/>
    <w:rsid w:val="004F6B5B"/>
    <w:rsid w:val="00504049"/>
    <w:rsid w:val="00512022"/>
    <w:rsid w:val="00517271"/>
    <w:rsid w:val="00520898"/>
    <w:rsid w:val="00523621"/>
    <w:rsid w:val="00524986"/>
    <w:rsid w:val="005268F6"/>
    <w:rsid w:val="00534284"/>
    <w:rsid w:val="00547DB7"/>
    <w:rsid w:val="00565660"/>
    <w:rsid w:val="005A6F2D"/>
    <w:rsid w:val="005F4F09"/>
    <w:rsid w:val="0061431B"/>
    <w:rsid w:val="00622BAA"/>
    <w:rsid w:val="006306CF"/>
    <w:rsid w:val="00644E9A"/>
    <w:rsid w:val="006560D7"/>
    <w:rsid w:val="00671BD5"/>
    <w:rsid w:val="00674A9F"/>
    <w:rsid w:val="006805C1"/>
    <w:rsid w:val="00686C21"/>
    <w:rsid w:val="006931C1"/>
    <w:rsid w:val="00694556"/>
    <w:rsid w:val="006B2923"/>
    <w:rsid w:val="006C30C5"/>
    <w:rsid w:val="006C4820"/>
    <w:rsid w:val="006D3B31"/>
    <w:rsid w:val="006E0D96"/>
    <w:rsid w:val="006E1A53"/>
    <w:rsid w:val="006F56E6"/>
    <w:rsid w:val="00704EDA"/>
    <w:rsid w:val="00721122"/>
    <w:rsid w:val="00753019"/>
    <w:rsid w:val="00754801"/>
    <w:rsid w:val="00761441"/>
    <w:rsid w:val="00795365"/>
    <w:rsid w:val="007A0BA1"/>
    <w:rsid w:val="007A351D"/>
    <w:rsid w:val="007B7765"/>
    <w:rsid w:val="007C514C"/>
    <w:rsid w:val="007C5BDD"/>
    <w:rsid w:val="007D45E3"/>
    <w:rsid w:val="007E6115"/>
    <w:rsid w:val="007F4609"/>
    <w:rsid w:val="007F6568"/>
    <w:rsid w:val="00814468"/>
    <w:rsid w:val="008176A1"/>
    <w:rsid w:val="00820005"/>
    <w:rsid w:val="00844318"/>
    <w:rsid w:val="0086061C"/>
    <w:rsid w:val="00863F5D"/>
    <w:rsid w:val="00870890"/>
    <w:rsid w:val="00873602"/>
    <w:rsid w:val="00875D12"/>
    <w:rsid w:val="00881CCE"/>
    <w:rsid w:val="0088479D"/>
    <w:rsid w:val="0088750C"/>
    <w:rsid w:val="00895942"/>
    <w:rsid w:val="00896889"/>
    <w:rsid w:val="00897DAF"/>
    <w:rsid w:val="008B521F"/>
    <w:rsid w:val="008C5714"/>
    <w:rsid w:val="008D10B2"/>
    <w:rsid w:val="00903896"/>
    <w:rsid w:val="00906F3D"/>
    <w:rsid w:val="0094424E"/>
    <w:rsid w:val="00950828"/>
    <w:rsid w:val="00955642"/>
    <w:rsid w:val="009622DF"/>
    <w:rsid w:val="0096493F"/>
    <w:rsid w:val="00967DFF"/>
    <w:rsid w:val="00994341"/>
    <w:rsid w:val="00996935"/>
    <w:rsid w:val="009C414F"/>
    <w:rsid w:val="009D1A48"/>
    <w:rsid w:val="009E1CE7"/>
    <w:rsid w:val="009E4EA5"/>
    <w:rsid w:val="009F15A5"/>
    <w:rsid w:val="009F164B"/>
    <w:rsid w:val="009F323C"/>
    <w:rsid w:val="00A15D4C"/>
    <w:rsid w:val="00A3392B"/>
    <w:rsid w:val="00A417A5"/>
    <w:rsid w:val="00A85E34"/>
    <w:rsid w:val="00A94B64"/>
    <w:rsid w:val="00AA3229"/>
    <w:rsid w:val="00AA7596"/>
    <w:rsid w:val="00AB5E52"/>
    <w:rsid w:val="00AC1527"/>
    <w:rsid w:val="00AC30D6"/>
    <w:rsid w:val="00AC36BF"/>
    <w:rsid w:val="00AC3B02"/>
    <w:rsid w:val="00AC3B7B"/>
    <w:rsid w:val="00AC5209"/>
    <w:rsid w:val="00AE0E34"/>
    <w:rsid w:val="00AE729E"/>
    <w:rsid w:val="00AE7752"/>
    <w:rsid w:val="00AF7FDA"/>
    <w:rsid w:val="00B0308B"/>
    <w:rsid w:val="00B5356E"/>
    <w:rsid w:val="00B809AD"/>
    <w:rsid w:val="00B80CBD"/>
    <w:rsid w:val="00B86096"/>
    <w:rsid w:val="00B964D9"/>
    <w:rsid w:val="00BA0A7C"/>
    <w:rsid w:val="00BA517C"/>
    <w:rsid w:val="00BB3D05"/>
    <w:rsid w:val="00BB73BE"/>
    <w:rsid w:val="00BC2D89"/>
    <w:rsid w:val="00BD6531"/>
    <w:rsid w:val="00BE05B2"/>
    <w:rsid w:val="00BF1908"/>
    <w:rsid w:val="00C06B33"/>
    <w:rsid w:val="00C22D93"/>
    <w:rsid w:val="00C23458"/>
    <w:rsid w:val="00C30247"/>
    <w:rsid w:val="00C31120"/>
    <w:rsid w:val="00C34482"/>
    <w:rsid w:val="00C43648"/>
    <w:rsid w:val="00C50A9F"/>
    <w:rsid w:val="00C642FA"/>
    <w:rsid w:val="00C64CA6"/>
    <w:rsid w:val="00C65C5C"/>
    <w:rsid w:val="00CB58B1"/>
    <w:rsid w:val="00CC7622"/>
    <w:rsid w:val="00CD608F"/>
    <w:rsid w:val="00CF6BB7"/>
    <w:rsid w:val="00D04AA4"/>
    <w:rsid w:val="00D06DC4"/>
    <w:rsid w:val="00D11945"/>
    <w:rsid w:val="00D24337"/>
    <w:rsid w:val="00D27982"/>
    <w:rsid w:val="00D27F13"/>
    <w:rsid w:val="00D33B86"/>
    <w:rsid w:val="00D44968"/>
    <w:rsid w:val="00D46D5D"/>
    <w:rsid w:val="00D53924"/>
    <w:rsid w:val="00D55D0C"/>
    <w:rsid w:val="00D85231"/>
    <w:rsid w:val="00D96D8C"/>
    <w:rsid w:val="00DA6649"/>
    <w:rsid w:val="00DC1259"/>
    <w:rsid w:val="00DC1BD2"/>
    <w:rsid w:val="00DC2571"/>
    <w:rsid w:val="00DC487C"/>
    <w:rsid w:val="00DD439E"/>
    <w:rsid w:val="00DE1E7D"/>
    <w:rsid w:val="00DE6BF6"/>
    <w:rsid w:val="00DE7218"/>
    <w:rsid w:val="00E03E25"/>
    <w:rsid w:val="00E04E84"/>
    <w:rsid w:val="00E1068A"/>
    <w:rsid w:val="00E25884"/>
    <w:rsid w:val="00E25B55"/>
    <w:rsid w:val="00E31C2B"/>
    <w:rsid w:val="00E5426A"/>
    <w:rsid w:val="00E54642"/>
    <w:rsid w:val="00E54CD9"/>
    <w:rsid w:val="00E70B24"/>
    <w:rsid w:val="00E80CBE"/>
    <w:rsid w:val="00E847A2"/>
    <w:rsid w:val="00E962E3"/>
    <w:rsid w:val="00EA0D7B"/>
    <w:rsid w:val="00EB6C79"/>
    <w:rsid w:val="00EC37E9"/>
    <w:rsid w:val="00ED5C91"/>
    <w:rsid w:val="00EF5747"/>
    <w:rsid w:val="00F038D8"/>
    <w:rsid w:val="00F06995"/>
    <w:rsid w:val="00F12115"/>
    <w:rsid w:val="00F13623"/>
    <w:rsid w:val="00F44D1D"/>
    <w:rsid w:val="00F63F23"/>
    <w:rsid w:val="00F65769"/>
    <w:rsid w:val="00F84B6D"/>
    <w:rsid w:val="00F957E8"/>
    <w:rsid w:val="00FA05C9"/>
    <w:rsid w:val="00FA311A"/>
    <w:rsid w:val="00FA5FDA"/>
    <w:rsid w:val="00FB6AB3"/>
    <w:rsid w:val="00FD1419"/>
    <w:rsid w:val="00FD79E4"/>
    <w:rsid w:val="00FE2818"/>
    <w:rsid w:val="00FE2894"/>
    <w:rsid w:val="00FF5C0B"/>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0AB11"/>
  <w15:docId w15:val="{36811682-6C2F-4B24-8D02-D8C2FA4C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locked/>
    <w:pPr>
      <w:tabs>
        <w:tab w:val="center" w:pos="4153"/>
        <w:tab w:val="right" w:pos="8306"/>
      </w:tabs>
    </w:pPr>
  </w:style>
  <w:style w:type="paragraph" w:styleId="a5">
    <w:name w:val="footer"/>
    <w:basedOn w:val="a"/>
    <w:locked/>
    <w:pPr>
      <w:tabs>
        <w:tab w:val="center" w:pos="4153"/>
        <w:tab w:val="right" w:pos="8306"/>
      </w:tabs>
    </w:pPr>
  </w:style>
  <w:style w:type="paragraph" w:customStyle="1" w:styleId="a6">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7">
    <w:name w:val="annotation text"/>
    <w:basedOn w:val="a"/>
    <w:semiHidden/>
    <w:locked/>
    <w:rPr>
      <w:rFonts w:cs="Times New Roman"/>
      <w:noProof w:val="0"/>
    </w:rPr>
  </w:style>
  <w:style w:type="character" w:styleId="a8">
    <w:name w:val="annotation reference"/>
    <w:semiHidden/>
    <w:locked/>
    <w:rPr>
      <w:sz w:val="16"/>
    </w:rPr>
  </w:style>
  <w:style w:type="paragraph" w:styleId="a9">
    <w:name w:val="Balloon Text"/>
    <w:basedOn w:val="a"/>
    <w:semiHidden/>
    <w:locked/>
    <w:rPr>
      <w:rFonts w:ascii="Tahoma" w:hAnsi="Tahoma" w:cs="Tahoma"/>
      <w:sz w:val="16"/>
      <w:szCs w:val="16"/>
    </w:rPr>
  </w:style>
  <w:style w:type="table" w:styleId="aa">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locked/>
    <w:rPr>
      <w:rFonts w:cs="Times New Roman"/>
    </w:rPr>
  </w:style>
  <w:style w:type="character" w:styleId="ac">
    <w:name w:val="page number"/>
    <w:locked/>
    <w:rPr>
      <w:rFonts w:cs="Times New Roman"/>
    </w:rPr>
  </w:style>
  <w:style w:type="table" w:customStyle="1" w:styleId="1">
    <w:name w:val="טבלת רשת1"/>
    <w:rsid w:val="001C4003"/>
    <w:pPr>
      <w:jc w:val="right"/>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טקסט מציין מיקום1"/>
    <w:semiHidden/>
    <w:rsid w:val="003230C7"/>
    <w:rPr>
      <w:color w:val="808080"/>
    </w:rPr>
  </w:style>
  <w:style w:type="paragraph" w:customStyle="1" w:styleId="11">
    <w:name w:val="פיסקת רשימה1"/>
    <w:basedOn w:val="a"/>
    <w:qFormat/>
    <w:rsid w:val="007F6568"/>
    <w:pPr>
      <w:ind w:left="720"/>
      <w:contextualSpacing/>
    </w:pPr>
  </w:style>
  <w:style w:type="character" w:customStyle="1" w:styleId="a4">
    <w:name w:val="כותרת עליונה תו"/>
    <w:link w:val="a3"/>
    <w:locked/>
    <w:rsid w:val="00C30247"/>
    <w:rPr>
      <w:noProof/>
      <w:sz w:val="24"/>
    </w:rPr>
  </w:style>
  <w:style w:type="character" w:styleId="Hyperlink">
    <w:name w:val="Hyperlink"/>
    <w:locked/>
    <w:rsid w:val="007A0BA1"/>
    <w:rPr>
      <w:color w:val="0000FF"/>
      <w:u w:val="single"/>
    </w:rPr>
  </w:style>
  <w:style w:type="paragraph" w:customStyle="1" w:styleId="12">
    <w:name w:val="ללא מרווח1"/>
    <w:qFormat/>
    <w:rsid w:val="009F15A5"/>
    <w:pPr>
      <w:bidi/>
    </w:pPr>
    <w:rPr>
      <w:rFonts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evo.co.il/case/3319805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vo.co.il/case/33438164"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vo.co.il/law/98642" TargetMode="External"/><Relationship Id="rId4" Type="http://schemas.openxmlformats.org/officeDocument/2006/relationships/webSettings" Target="webSettings.xml"/><Relationship Id="rId9" Type="http://schemas.openxmlformats.org/officeDocument/2006/relationships/hyperlink" Target="http://www.nevo.co.il/law/98642/18;19"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1746</Words>
  <Characters>8733</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2025-02-06T09:27:00Z</dcterms:created>
  <dcterms:modified xsi:type="dcterms:W3CDTF">2025-02-06T09:27:00Z</dcterms:modified>
</cp:coreProperties>
</file>