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BCC" w14:textId="77777777" w:rsidR="006816EC" w:rsidRDefault="006816EC" w:rsidP="006816EC">
      <w:pPr>
        <w:suppressLineNumbers/>
        <w:rPr>
          <w:sz w:val="26"/>
          <w:szCs w:val="26"/>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B50B9C" w14:paraId="20FC58EE" w14:textId="77777777" w:rsidTr="006816EC">
        <w:trPr>
          <w:jc w:val="center"/>
        </w:trPr>
        <w:tc>
          <w:tcPr>
            <w:tcW w:w="743" w:type="dxa"/>
            <w:hideMark/>
          </w:tcPr>
          <w:p w14:paraId="55171B11" w14:textId="77777777" w:rsidR="006816EC" w:rsidRDefault="008E77EA">
            <w:pPr>
              <w:jc w:val="both"/>
              <w:rPr>
                <w:rFonts w:ascii="Arial (W1)" w:hAnsi="Arial (W1)"/>
                <w:b/>
                <w:bCs/>
                <w:sz w:val="28"/>
                <w:szCs w:val="28"/>
              </w:rPr>
            </w:pPr>
            <w:r>
              <w:rPr>
                <w:rFonts w:hint="cs"/>
                <w:b/>
                <w:bCs/>
                <w:sz w:val="28"/>
                <w:rtl/>
              </w:rPr>
              <w:t xml:space="preserve">לפני </w:t>
            </w:r>
          </w:p>
        </w:tc>
        <w:tc>
          <w:tcPr>
            <w:tcW w:w="8077" w:type="dxa"/>
            <w:gridSpan w:val="2"/>
            <w:hideMark/>
          </w:tcPr>
          <w:p w14:paraId="72765096" w14:textId="77777777" w:rsidR="006816EC" w:rsidRDefault="008E77EA" w:rsidP="006816EC">
            <w:pPr>
              <w:rPr>
                <w:rFonts w:ascii="Arial" w:hAnsi="Arial"/>
                <w:b/>
                <w:bCs/>
                <w:rtl/>
              </w:rPr>
            </w:pPr>
            <w:r>
              <w:rPr>
                <w:rFonts w:ascii="Arial" w:hAnsi="Arial" w:hint="cs"/>
                <w:b/>
                <w:bCs/>
                <w:rtl/>
              </w:rPr>
              <w:t xml:space="preserve">כבוד </w:t>
            </w:r>
            <w:r w:rsidRPr="007A6DB1">
              <w:rPr>
                <w:rFonts w:ascii="Arial" w:hAnsi="Arial" w:hint="cs"/>
                <w:b/>
                <w:bCs/>
                <w:rtl/>
              </w:rPr>
              <w:t>ה</w:t>
            </w:r>
            <w:sdt>
              <w:sdtPr>
                <w:rPr>
                  <w:b/>
                  <w:bCs/>
                  <w:rtl/>
                </w:rPr>
                <w:alias w:val="1574"/>
                <w:tag w:val="1574"/>
                <w:id w:val="-868990752"/>
                <w:text w:multiLine="1"/>
              </w:sdtPr>
              <w:sdtContent>
                <w:r w:rsidRPr="007A6DB1">
                  <w:rPr>
                    <w:b/>
                    <w:bCs/>
                    <w:rtl/>
                  </w:rPr>
                  <w:t>שופטת</w:t>
                </w:r>
              </w:sdtContent>
            </w:sdt>
            <w:r w:rsidRPr="007A6DB1">
              <w:rPr>
                <w:rFonts w:ascii="Arial" w:hAnsi="Arial" w:hint="cs"/>
                <w:b/>
                <w:bCs/>
                <w:rtl/>
              </w:rPr>
              <w:t xml:space="preserve">  </w:t>
            </w:r>
            <w:sdt>
              <w:sdtPr>
                <w:rPr>
                  <w:b/>
                  <w:bCs/>
                  <w:rtl/>
                </w:rPr>
                <w:alias w:val="1573"/>
                <w:tag w:val="1573"/>
                <w:id w:val="407734867"/>
                <w:text w:multiLine="1"/>
              </w:sdtPr>
              <w:sdtContent>
                <w:r w:rsidRPr="007A6DB1">
                  <w:rPr>
                    <w:b/>
                    <w:bCs/>
                    <w:rtl/>
                  </w:rPr>
                  <w:t>מיכל סער</w:t>
                </w:r>
              </w:sdtContent>
            </w:sdt>
          </w:p>
          <w:p w14:paraId="3FFE7C89" w14:textId="77777777" w:rsidR="006816EC" w:rsidRPr="006816EC" w:rsidRDefault="006816EC" w:rsidP="006816EC"/>
        </w:tc>
      </w:tr>
      <w:tr w:rsidR="00B50B9C" w14:paraId="283006A3" w14:textId="77777777" w:rsidTr="006816EC">
        <w:trPr>
          <w:jc w:val="center"/>
        </w:trPr>
        <w:tc>
          <w:tcPr>
            <w:tcW w:w="3249" w:type="dxa"/>
            <w:gridSpan w:val="2"/>
          </w:tcPr>
          <w:p w14:paraId="0BEC6F0B" w14:textId="77777777" w:rsidR="006816EC" w:rsidRPr="00426E0C" w:rsidRDefault="006816EC">
            <w:pPr>
              <w:bidi w:val="0"/>
              <w:rPr>
                <w:rFonts w:ascii="Arial (W1)" w:hAnsi="Arial (W1)"/>
                <w:b/>
                <w:bCs/>
                <w:noProof w:val="0"/>
                <w:sz w:val="26"/>
                <w:szCs w:val="26"/>
                <w:rtl/>
              </w:rPr>
            </w:pPr>
          </w:p>
          <w:p w14:paraId="086C9E8A" w14:textId="77777777" w:rsidR="00540C7E" w:rsidRPr="00426E0C" w:rsidRDefault="008E77EA">
            <w:pPr>
              <w:rPr>
                <w:rFonts w:ascii="Arial (W1)" w:hAnsi="Arial (W1)"/>
                <w:b/>
                <w:bCs/>
                <w:noProof w:val="0"/>
                <w:sz w:val="26"/>
                <w:szCs w:val="26"/>
              </w:rPr>
            </w:pPr>
            <w:r w:rsidRPr="00426E0C">
              <w:rPr>
                <w:rFonts w:hint="cs"/>
                <w:b/>
                <w:bCs/>
                <w:noProof w:val="0"/>
                <w:sz w:val="26"/>
                <w:szCs w:val="26"/>
                <w:rtl/>
              </w:rPr>
              <w:t xml:space="preserve">מתנגדים </w:t>
            </w:r>
          </w:p>
        </w:tc>
        <w:tc>
          <w:tcPr>
            <w:tcW w:w="5571" w:type="dxa"/>
          </w:tcPr>
          <w:p w14:paraId="4A0AC7AF" w14:textId="77777777" w:rsidR="006816EC" w:rsidRPr="00426E0C" w:rsidRDefault="006816EC">
            <w:pPr>
              <w:rPr>
                <w:rFonts w:ascii="Arial (W1)" w:hAnsi="Arial (W1)"/>
                <w:b/>
                <w:bCs/>
                <w:noProof w:val="0"/>
                <w:sz w:val="26"/>
                <w:szCs w:val="26"/>
                <w:rtl/>
              </w:rPr>
            </w:pPr>
          </w:p>
          <w:p w14:paraId="1A9B5D38" w14:textId="77777777" w:rsidR="006816EC" w:rsidRPr="00426E0C" w:rsidRDefault="008E77EA" w:rsidP="00CD6592">
            <w:pPr>
              <w:rPr>
                <w:rFonts w:ascii="Arial (W1)" w:hAnsi="Arial (W1)"/>
                <w:b/>
                <w:bCs/>
                <w:noProof w:val="0"/>
                <w:sz w:val="26"/>
                <w:szCs w:val="26"/>
              </w:rPr>
            </w:pPr>
            <w:r w:rsidRPr="00426E0C">
              <w:rPr>
                <w:rFonts w:hint="cs"/>
                <w:b/>
                <w:bCs/>
                <w:noProof w:val="0"/>
                <w:sz w:val="26"/>
                <w:szCs w:val="26"/>
                <w:rtl/>
              </w:rPr>
              <w:t>1.</w:t>
            </w:r>
            <w:r w:rsidR="007A6DB1">
              <w:rPr>
                <w:rFonts w:hint="cs"/>
                <w:b/>
                <w:bCs/>
                <w:noProof w:val="0"/>
                <w:sz w:val="26"/>
                <w:szCs w:val="26"/>
                <w:rtl/>
              </w:rPr>
              <w:t xml:space="preserve">  </w:t>
            </w:r>
            <w:r w:rsidR="00CD6592">
              <w:rPr>
                <w:rFonts w:hint="cs"/>
                <w:b/>
                <w:bCs/>
                <w:noProof w:val="0"/>
                <w:sz w:val="26"/>
                <w:szCs w:val="26"/>
                <w:rtl/>
              </w:rPr>
              <w:t>מ.ו</w:t>
            </w:r>
          </w:p>
          <w:p w14:paraId="5553DC3F" w14:textId="77777777" w:rsidR="006816EC" w:rsidRPr="00426E0C" w:rsidRDefault="008E77EA" w:rsidP="00CD6592">
            <w:pPr>
              <w:rPr>
                <w:rFonts w:ascii="Arial (W1)" w:hAnsi="Arial (W1)"/>
                <w:b/>
                <w:bCs/>
                <w:noProof w:val="0"/>
                <w:sz w:val="26"/>
                <w:szCs w:val="26"/>
              </w:rPr>
            </w:pPr>
            <w:r w:rsidRPr="00426E0C">
              <w:rPr>
                <w:rFonts w:hint="cs"/>
                <w:b/>
                <w:bCs/>
                <w:noProof w:val="0"/>
                <w:sz w:val="26"/>
                <w:szCs w:val="26"/>
                <w:rtl/>
              </w:rPr>
              <w:t>2.</w:t>
            </w:r>
            <w:r w:rsidR="007A6DB1">
              <w:rPr>
                <w:rFonts w:hint="cs"/>
                <w:b/>
                <w:bCs/>
                <w:noProof w:val="0"/>
                <w:sz w:val="26"/>
                <w:szCs w:val="26"/>
                <w:rtl/>
              </w:rPr>
              <w:t xml:space="preserve">  </w:t>
            </w:r>
            <w:r w:rsidR="00CD6592">
              <w:rPr>
                <w:rFonts w:hint="cs"/>
                <w:b/>
                <w:bCs/>
                <w:noProof w:val="0"/>
                <w:sz w:val="26"/>
                <w:szCs w:val="26"/>
                <w:rtl/>
              </w:rPr>
              <w:t>ד.פ</w:t>
            </w:r>
          </w:p>
          <w:p w14:paraId="0D3551DA" w14:textId="77777777" w:rsidR="006816EC" w:rsidRPr="00426E0C" w:rsidRDefault="008E77EA" w:rsidP="00CD6592">
            <w:pPr>
              <w:rPr>
                <w:rFonts w:ascii="Arial (W1)" w:hAnsi="Arial (W1)"/>
                <w:b/>
                <w:bCs/>
                <w:noProof w:val="0"/>
                <w:sz w:val="26"/>
                <w:szCs w:val="26"/>
              </w:rPr>
            </w:pPr>
            <w:r w:rsidRPr="00426E0C">
              <w:rPr>
                <w:rFonts w:hint="cs"/>
                <w:b/>
                <w:bCs/>
                <w:noProof w:val="0"/>
                <w:sz w:val="26"/>
                <w:szCs w:val="26"/>
                <w:rtl/>
              </w:rPr>
              <w:t>3.</w:t>
            </w:r>
            <w:r w:rsidR="007A6DB1">
              <w:rPr>
                <w:rFonts w:hint="cs"/>
                <w:b/>
                <w:bCs/>
                <w:noProof w:val="0"/>
                <w:sz w:val="26"/>
                <w:szCs w:val="26"/>
                <w:rtl/>
              </w:rPr>
              <w:t xml:space="preserve">  </w:t>
            </w:r>
            <w:r w:rsidR="00CD6592">
              <w:rPr>
                <w:rFonts w:hint="cs"/>
                <w:b/>
                <w:bCs/>
                <w:noProof w:val="0"/>
                <w:sz w:val="26"/>
                <w:szCs w:val="26"/>
                <w:rtl/>
              </w:rPr>
              <w:t>א.פ</w:t>
            </w:r>
          </w:p>
          <w:p w14:paraId="5191E06D" w14:textId="77777777" w:rsidR="006816EC" w:rsidRPr="00426E0C" w:rsidRDefault="008E77EA" w:rsidP="00CD6592">
            <w:pPr>
              <w:rPr>
                <w:rFonts w:ascii="Arial (W1)" w:hAnsi="Arial (W1)"/>
                <w:b/>
                <w:bCs/>
                <w:noProof w:val="0"/>
                <w:sz w:val="26"/>
                <w:szCs w:val="26"/>
              </w:rPr>
            </w:pPr>
            <w:r w:rsidRPr="00426E0C">
              <w:rPr>
                <w:rFonts w:hint="cs"/>
                <w:b/>
                <w:bCs/>
                <w:noProof w:val="0"/>
                <w:sz w:val="26"/>
                <w:szCs w:val="26"/>
                <w:rtl/>
              </w:rPr>
              <w:t>4.</w:t>
            </w:r>
            <w:r w:rsidR="007A6DB1">
              <w:rPr>
                <w:rFonts w:hint="cs"/>
                <w:b/>
                <w:bCs/>
                <w:noProof w:val="0"/>
                <w:sz w:val="26"/>
                <w:szCs w:val="26"/>
                <w:rtl/>
              </w:rPr>
              <w:t xml:space="preserve">  </w:t>
            </w:r>
            <w:r w:rsidR="00CD6592">
              <w:rPr>
                <w:rFonts w:hint="cs"/>
                <w:b/>
                <w:bCs/>
                <w:noProof w:val="0"/>
                <w:sz w:val="26"/>
                <w:szCs w:val="26"/>
                <w:rtl/>
              </w:rPr>
              <w:t>א.ו</w:t>
            </w:r>
          </w:p>
          <w:p w14:paraId="645B9355" w14:textId="77777777" w:rsidR="006816EC" w:rsidRPr="00426E0C" w:rsidRDefault="008E77EA" w:rsidP="00CD6592">
            <w:pPr>
              <w:rPr>
                <w:rFonts w:ascii="Arial (W1)" w:hAnsi="Arial (W1)"/>
                <w:b/>
                <w:bCs/>
                <w:noProof w:val="0"/>
                <w:sz w:val="26"/>
                <w:szCs w:val="26"/>
              </w:rPr>
            </w:pPr>
            <w:r w:rsidRPr="00426E0C">
              <w:rPr>
                <w:rFonts w:hint="cs"/>
                <w:b/>
                <w:bCs/>
                <w:noProof w:val="0"/>
                <w:sz w:val="26"/>
                <w:szCs w:val="26"/>
                <w:rtl/>
              </w:rPr>
              <w:t>5.</w:t>
            </w:r>
            <w:r w:rsidR="007A6DB1">
              <w:rPr>
                <w:rFonts w:hint="cs"/>
                <w:b/>
                <w:bCs/>
                <w:noProof w:val="0"/>
                <w:sz w:val="26"/>
                <w:szCs w:val="26"/>
                <w:rtl/>
              </w:rPr>
              <w:t xml:space="preserve">  </w:t>
            </w:r>
            <w:proofErr w:type="spellStart"/>
            <w:r w:rsidR="00CD6592">
              <w:rPr>
                <w:rFonts w:hint="cs"/>
                <w:b/>
                <w:bCs/>
                <w:noProof w:val="0"/>
                <w:sz w:val="26"/>
                <w:szCs w:val="26"/>
                <w:rtl/>
              </w:rPr>
              <w:t>א</w:t>
            </w:r>
            <w:r w:rsidR="00756B3A">
              <w:rPr>
                <w:rFonts w:hint="cs"/>
                <w:b/>
                <w:bCs/>
                <w:noProof w:val="0"/>
                <w:sz w:val="26"/>
                <w:szCs w:val="26"/>
                <w:rtl/>
              </w:rPr>
              <w:t>ס</w:t>
            </w:r>
            <w:r w:rsidR="00CD6592">
              <w:rPr>
                <w:rFonts w:hint="cs"/>
                <w:b/>
                <w:bCs/>
                <w:noProof w:val="0"/>
                <w:sz w:val="26"/>
                <w:szCs w:val="26"/>
                <w:rtl/>
              </w:rPr>
              <w:t>.פ</w:t>
            </w:r>
            <w:proofErr w:type="spellEnd"/>
          </w:p>
        </w:tc>
      </w:tr>
      <w:tr w:rsidR="00B50B9C" w14:paraId="265B96E7" w14:textId="77777777" w:rsidTr="006816EC">
        <w:trPr>
          <w:jc w:val="center"/>
        </w:trPr>
        <w:tc>
          <w:tcPr>
            <w:tcW w:w="8820" w:type="dxa"/>
            <w:gridSpan w:val="3"/>
          </w:tcPr>
          <w:p w14:paraId="557B5E20" w14:textId="77777777" w:rsidR="006816EC" w:rsidRPr="00426E0C" w:rsidRDefault="006816EC">
            <w:pPr>
              <w:rPr>
                <w:rFonts w:ascii="Arial (W1)" w:hAnsi="Arial (W1)"/>
                <w:b/>
                <w:bCs/>
                <w:noProof w:val="0"/>
                <w:sz w:val="26"/>
                <w:szCs w:val="26"/>
                <w:rtl/>
              </w:rPr>
            </w:pPr>
          </w:p>
          <w:p w14:paraId="78D6D354" w14:textId="77777777" w:rsidR="006816EC" w:rsidRPr="00426E0C" w:rsidRDefault="008E77EA">
            <w:pPr>
              <w:jc w:val="center"/>
              <w:rPr>
                <w:b/>
                <w:bCs/>
                <w:noProof w:val="0"/>
                <w:sz w:val="26"/>
                <w:szCs w:val="26"/>
                <w:rtl/>
              </w:rPr>
            </w:pPr>
            <w:r w:rsidRPr="00426E0C">
              <w:rPr>
                <w:rFonts w:hint="cs"/>
                <w:b/>
                <w:bCs/>
                <w:noProof w:val="0"/>
                <w:sz w:val="26"/>
                <w:szCs w:val="26"/>
                <w:rtl/>
              </w:rPr>
              <w:t>נגד</w:t>
            </w:r>
          </w:p>
          <w:p w14:paraId="64763852" w14:textId="77777777" w:rsidR="006816EC" w:rsidRPr="00426E0C" w:rsidRDefault="006816EC">
            <w:pPr>
              <w:rPr>
                <w:rFonts w:ascii="Arial (W1)" w:hAnsi="Arial (W1)"/>
                <w:b/>
                <w:bCs/>
                <w:noProof w:val="0"/>
                <w:sz w:val="26"/>
                <w:szCs w:val="26"/>
              </w:rPr>
            </w:pPr>
          </w:p>
        </w:tc>
      </w:tr>
      <w:tr w:rsidR="00B50B9C" w14:paraId="4423341B" w14:textId="77777777" w:rsidTr="006816EC">
        <w:trPr>
          <w:jc w:val="center"/>
        </w:trPr>
        <w:tc>
          <w:tcPr>
            <w:tcW w:w="3249" w:type="dxa"/>
            <w:gridSpan w:val="2"/>
          </w:tcPr>
          <w:p w14:paraId="22B8F216" w14:textId="77777777" w:rsidR="006816EC" w:rsidRPr="00426E0C" w:rsidRDefault="006816EC">
            <w:pPr>
              <w:rPr>
                <w:rFonts w:ascii="Arial (W1)" w:hAnsi="Arial (W1)"/>
                <w:b/>
                <w:bCs/>
                <w:noProof w:val="0"/>
                <w:sz w:val="26"/>
                <w:szCs w:val="26"/>
                <w:rtl/>
              </w:rPr>
            </w:pPr>
          </w:p>
          <w:p w14:paraId="2C2C0B7D" w14:textId="77777777" w:rsidR="006816EC" w:rsidRPr="00426E0C" w:rsidRDefault="008E77EA">
            <w:pPr>
              <w:rPr>
                <w:rFonts w:ascii="Arial (W1)" w:hAnsi="Arial (W1)"/>
                <w:b/>
                <w:bCs/>
                <w:noProof w:val="0"/>
                <w:sz w:val="26"/>
                <w:szCs w:val="26"/>
              </w:rPr>
            </w:pPr>
            <w:r w:rsidRPr="00426E0C">
              <w:rPr>
                <w:rFonts w:hint="cs"/>
                <w:b/>
                <w:bCs/>
                <w:noProof w:val="0"/>
                <w:sz w:val="26"/>
                <w:szCs w:val="26"/>
                <w:rtl/>
              </w:rPr>
              <w:t>מבקשים</w:t>
            </w:r>
          </w:p>
        </w:tc>
        <w:tc>
          <w:tcPr>
            <w:tcW w:w="5571" w:type="dxa"/>
          </w:tcPr>
          <w:p w14:paraId="30C1778E" w14:textId="77777777" w:rsidR="006816EC" w:rsidRPr="00426E0C" w:rsidRDefault="006816EC" w:rsidP="00A76193">
            <w:pPr>
              <w:rPr>
                <w:rFonts w:ascii="Arial (W1)" w:hAnsi="Arial (W1)"/>
                <w:b/>
                <w:bCs/>
                <w:noProof w:val="0"/>
                <w:sz w:val="26"/>
                <w:szCs w:val="26"/>
                <w:rtl/>
              </w:rPr>
            </w:pPr>
          </w:p>
          <w:p w14:paraId="09143E75" w14:textId="77777777" w:rsidR="000F45CA" w:rsidRPr="00426E0C" w:rsidRDefault="008E77EA" w:rsidP="00CD6592">
            <w:pPr>
              <w:suppressLineNumbers/>
              <w:rPr>
                <w:rFonts w:ascii="Arial" w:hAnsi="Arial"/>
                <w:b/>
                <w:bCs/>
                <w:noProof w:val="0"/>
                <w:sz w:val="26"/>
                <w:szCs w:val="26"/>
              </w:rPr>
            </w:pPr>
            <w:r w:rsidRPr="00426E0C">
              <w:rPr>
                <w:rFonts w:ascii="Arial" w:hAnsi="Arial" w:hint="cs"/>
                <w:b/>
                <w:bCs/>
                <w:noProof w:val="0"/>
                <w:sz w:val="26"/>
                <w:szCs w:val="26"/>
                <w:rtl/>
              </w:rPr>
              <w:t xml:space="preserve">1. </w:t>
            </w:r>
            <w:r w:rsidR="007A6DB1">
              <w:rPr>
                <w:rFonts w:ascii="Arial" w:hAnsi="Arial" w:hint="cs"/>
                <w:b/>
                <w:bCs/>
                <w:noProof w:val="0"/>
                <w:sz w:val="26"/>
                <w:szCs w:val="26"/>
                <w:rtl/>
              </w:rPr>
              <w:t xml:space="preserve"> </w:t>
            </w:r>
            <w:proofErr w:type="spellStart"/>
            <w:r w:rsidR="00CD6592">
              <w:rPr>
                <w:rFonts w:ascii="Arial" w:hAnsi="Arial" w:hint="cs"/>
                <w:b/>
                <w:bCs/>
                <w:noProof w:val="0"/>
                <w:sz w:val="26"/>
                <w:szCs w:val="26"/>
                <w:rtl/>
              </w:rPr>
              <w:t>אב.פ</w:t>
            </w:r>
            <w:proofErr w:type="spellEnd"/>
          </w:p>
          <w:p w14:paraId="68ACC6FF" w14:textId="77777777" w:rsidR="000F45CA" w:rsidRPr="00426E0C" w:rsidRDefault="008E77EA" w:rsidP="00CD6592">
            <w:pPr>
              <w:suppressLineNumbers/>
              <w:rPr>
                <w:rFonts w:ascii="Arial" w:hAnsi="Arial"/>
                <w:b/>
                <w:bCs/>
                <w:noProof w:val="0"/>
                <w:sz w:val="26"/>
                <w:szCs w:val="26"/>
                <w:rtl/>
              </w:rPr>
            </w:pPr>
            <w:r w:rsidRPr="00426E0C">
              <w:rPr>
                <w:rFonts w:ascii="Arial" w:hAnsi="Arial" w:hint="cs"/>
                <w:b/>
                <w:bCs/>
                <w:noProof w:val="0"/>
                <w:sz w:val="26"/>
                <w:szCs w:val="26"/>
                <w:rtl/>
              </w:rPr>
              <w:t>2</w:t>
            </w:r>
            <w:r w:rsidRPr="00426E0C">
              <w:rPr>
                <w:rFonts w:ascii="Arial" w:hAnsi="Arial"/>
                <w:b/>
                <w:bCs/>
                <w:noProof w:val="0"/>
                <w:sz w:val="26"/>
                <w:szCs w:val="26"/>
                <w:rtl/>
              </w:rPr>
              <w:t xml:space="preserve">. </w:t>
            </w:r>
            <w:r w:rsidR="007A6DB1">
              <w:rPr>
                <w:rFonts w:ascii="Arial" w:hAnsi="Arial" w:hint="cs"/>
                <w:b/>
                <w:bCs/>
                <w:noProof w:val="0"/>
                <w:sz w:val="26"/>
                <w:szCs w:val="26"/>
                <w:rtl/>
              </w:rPr>
              <w:t xml:space="preserve"> </w:t>
            </w:r>
            <w:proofErr w:type="spellStart"/>
            <w:r w:rsidRPr="00426E0C">
              <w:rPr>
                <w:rFonts w:ascii="Arial" w:hAnsi="Arial"/>
                <w:b/>
                <w:bCs/>
                <w:noProof w:val="0"/>
                <w:sz w:val="26"/>
                <w:szCs w:val="26"/>
                <w:rtl/>
              </w:rPr>
              <w:t>ה</w:t>
            </w:r>
            <w:r w:rsidR="00CD6592">
              <w:rPr>
                <w:rFonts w:ascii="Arial" w:hAnsi="Arial" w:hint="cs"/>
                <w:b/>
                <w:bCs/>
                <w:noProof w:val="0"/>
                <w:sz w:val="26"/>
                <w:szCs w:val="26"/>
                <w:rtl/>
              </w:rPr>
              <w:t>ח.פ</w:t>
            </w:r>
            <w:proofErr w:type="spellEnd"/>
          </w:p>
          <w:p w14:paraId="475B2331" w14:textId="77777777" w:rsidR="000F45CA" w:rsidRPr="00426E0C" w:rsidRDefault="008E77EA" w:rsidP="00CD6592">
            <w:pPr>
              <w:suppressLineNumbers/>
              <w:rPr>
                <w:rFonts w:ascii="Arial" w:hAnsi="Arial"/>
                <w:b/>
                <w:bCs/>
                <w:noProof w:val="0"/>
                <w:sz w:val="26"/>
                <w:szCs w:val="26"/>
                <w:rtl/>
              </w:rPr>
            </w:pPr>
            <w:r w:rsidRPr="00426E0C">
              <w:rPr>
                <w:rFonts w:ascii="Arial" w:hAnsi="Arial" w:hint="cs"/>
                <w:b/>
                <w:bCs/>
                <w:noProof w:val="0"/>
                <w:sz w:val="26"/>
                <w:szCs w:val="26"/>
                <w:rtl/>
              </w:rPr>
              <w:t>3</w:t>
            </w:r>
            <w:r w:rsidRPr="00426E0C">
              <w:rPr>
                <w:rFonts w:ascii="Arial" w:hAnsi="Arial"/>
                <w:b/>
                <w:bCs/>
                <w:noProof w:val="0"/>
                <w:sz w:val="26"/>
                <w:szCs w:val="26"/>
                <w:rtl/>
              </w:rPr>
              <w:t xml:space="preserve">. </w:t>
            </w:r>
            <w:r w:rsidR="007A6DB1">
              <w:rPr>
                <w:rFonts w:ascii="Arial" w:hAnsi="Arial" w:hint="cs"/>
                <w:b/>
                <w:bCs/>
                <w:noProof w:val="0"/>
                <w:sz w:val="26"/>
                <w:szCs w:val="26"/>
                <w:rtl/>
              </w:rPr>
              <w:t xml:space="preserve"> </w:t>
            </w:r>
            <w:r w:rsidR="00CD6592">
              <w:rPr>
                <w:rFonts w:ascii="Arial" w:hAnsi="Arial" w:hint="cs"/>
                <w:b/>
                <w:bCs/>
                <w:noProof w:val="0"/>
                <w:sz w:val="26"/>
                <w:szCs w:val="26"/>
                <w:rtl/>
              </w:rPr>
              <w:t>מ.פ</w:t>
            </w:r>
          </w:p>
          <w:p w14:paraId="0E61E0A0" w14:textId="77777777" w:rsidR="000F45CA" w:rsidRDefault="008E77EA" w:rsidP="00CD6592">
            <w:pPr>
              <w:suppressLineNumbers/>
              <w:rPr>
                <w:rFonts w:ascii="Arial" w:hAnsi="Arial"/>
                <w:b/>
                <w:bCs/>
                <w:noProof w:val="0"/>
                <w:sz w:val="26"/>
                <w:szCs w:val="26"/>
                <w:rtl/>
              </w:rPr>
            </w:pPr>
            <w:r w:rsidRPr="00426E0C">
              <w:rPr>
                <w:rFonts w:ascii="Arial" w:hAnsi="Arial" w:hint="cs"/>
                <w:b/>
                <w:bCs/>
                <w:noProof w:val="0"/>
                <w:sz w:val="26"/>
                <w:szCs w:val="26"/>
                <w:rtl/>
              </w:rPr>
              <w:t>4</w:t>
            </w:r>
            <w:r w:rsidRPr="00426E0C">
              <w:rPr>
                <w:rFonts w:ascii="Arial" w:hAnsi="Arial"/>
                <w:b/>
                <w:bCs/>
                <w:noProof w:val="0"/>
                <w:sz w:val="26"/>
                <w:szCs w:val="26"/>
                <w:rtl/>
              </w:rPr>
              <w:t xml:space="preserve">. </w:t>
            </w:r>
            <w:r w:rsidR="007A6DB1">
              <w:rPr>
                <w:rFonts w:ascii="Arial" w:hAnsi="Arial" w:hint="cs"/>
                <w:b/>
                <w:bCs/>
                <w:noProof w:val="0"/>
                <w:sz w:val="26"/>
                <w:szCs w:val="26"/>
                <w:rtl/>
              </w:rPr>
              <w:t xml:space="preserve"> </w:t>
            </w:r>
            <w:r w:rsidR="00CD6592">
              <w:rPr>
                <w:rFonts w:ascii="Arial" w:hAnsi="Arial" w:hint="cs"/>
                <w:b/>
                <w:bCs/>
                <w:noProof w:val="0"/>
                <w:sz w:val="26"/>
                <w:szCs w:val="26"/>
                <w:rtl/>
              </w:rPr>
              <w:t>ע.פ</w:t>
            </w:r>
          </w:p>
          <w:p w14:paraId="5BF31B16" w14:textId="77777777" w:rsidR="00DB2CCA" w:rsidRPr="00426E0C" w:rsidRDefault="008E77EA" w:rsidP="00CD6592">
            <w:pPr>
              <w:suppressLineNumbers/>
              <w:rPr>
                <w:rFonts w:ascii="Arial" w:hAnsi="Arial"/>
                <w:b/>
                <w:bCs/>
                <w:noProof w:val="0"/>
                <w:sz w:val="26"/>
                <w:szCs w:val="26"/>
                <w:rtl/>
              </w:rPr>
            </w:pPr>
            <w:r>
              <w:rPr>
                <w:rFonts w:ascii="Arial" w:hAnsi="Arial" w:hint="cs"/>
                <w:b/>
                <w:bCs/>
                <w:noProof w:val="0"/>
                <w:sz w:val="26"/>
                <w:szCs w:val="26"/>
                <w:rtl/>
              </w:rPr>
              <w:t xml:space="preserve">5. </w:t>
            </w:r>
            <w:r w:rsidR="007A6DB1">
              <w:rPr>
                <w:rFonts w:ascii="Arial" w:hAnsi="Arial" w:hint="cs"/>
                <w:b/>
                <w:bCs/>
                <w:noProof w:val="0"/>
                <w:sz w:val="26"/>
                <w:szCs w:val="26"/>
                <w:rtl/>
              </w:rPr>
              <w:t xml:space="preserve"> </w:t>
            </w:r>
            <w:proofErr w:type="spellStart"/>
            <w:r w:rsidR="00CD6592">
              <w:rPr>
                <w:rFonts w:ascii="Arial" w:hAnsi="Arial" w:hint="cs"/>
                <w:b/>
                <w:bCs/>
                <w:noProof w:val="0"/>
                <w:sz w:val="26"/>
                <w:szCs w:val="26"/>
                <w:rtl/>
              </w:rPr>
              <w:t>א.ט.ע</w:t>
            </w:r>
            <w:proofErr w:type="spellEnd"/>
            <w:r>
              <w:rPr>
                <w:rFonts w:ascii="Arial" w:hAnsi="Arial" w:hint="cs"/>
                <w:b/>
                <w:bCs/>
                <w:noProof w:val="0"/>
                <w:sz w:val="26"/>
                <w:szCs w:val="26"/>
                <w:rtl/>
              </w:rPr>
              <w:t xml:space="preserve"> (קטין) </w:t>
            </w:r>
          </w:p>
          <w:p w14:paraId="18630757" w14:textId="77777777" w:rsidR="000F45CA" w:rsidRPr="00426E0C" w:rsidRDefault="000F45CA" w:rsidP="000F45CA">
            <w:pPr>
              <w:rPr>
                <w:rFonts w:ascii="Arial (W1)" w:hAnsi="Arial (W1)"/>
                <w:b/>
                <w:bCs/>
                <w:noProof w:val="0"/>
                <w:sz w:val="26"/>
                <w:szCs w:val="26"/>
              </w:rPr>
            </w:pPr>
          </w:p>
          <w:p w14:paraId="2A1D611C" w14:textId="77777777" w:rsidR="006816EC" w:rsidRPr="00426E0C" w:rsidRDefault="006816EC" w:rsidP="000F45CA">
            <w:pPr>
              <w:rPr>
                <w:rFonts w:ascii="Arial (W1)" w:hAnsi="Arial (W1)"/>
                <w:b/>
                <w:bCs/>
                <w:noProof w:val="0"/>
                <w:sz w:val="26"/>
                <w:szCs w:val="26"/>
              </w:rPr>
            </w:pPr>
          </w:p>
        </w:tc>
      </w:tr>
      <w:tr w:rsidR="00B50B9C" w14:paraId="75359815" w14:textId="77777777" w:rsidTr="006816EC">
        <w:trPr>
          <w:jc w:val="center"/>
        </w:trPr>
        <w:tc>
          <w:tcPr>
            <w:tcW w:w="3249" w:type="dxa"/>
            <w:gridSpan w:val="2"/>
          </w:tcPr>
          <w:p w14:paraId="1592CDD9" w14:textId="77777777" w:rsidR="00540C7E" w:rsidRDefault="00540C7E">
            <w:pPr>
              <w:rPr>
                <w:rFonts w:ascii="David" w:eastAsia="David" w:hAnsi="David"/>
                <w:noProof w:val="0"/>
              </w:rPr>
            </w:pPr>
          </w:p>
        </w:tc>
        <w:tc>
          <w:tcPr>
            <w:tcW w:w="5571" w:type="dxa"/>
          </w:tcPr>
          <w:p w14:paraId="3BEFAFBC" w14:textId="77777777" w:rsidR="00540C7E" w:rsidRDefault="00540C7E">
            <w:pPr>
              <w:rPr>
                <w:rFonts w:cs="Times New Roman"/>
              </w:rPr>
            </w:pPr>
          </w:p>
        </w:tc>
      </w:tr>
    </w:tbl>
    <w:p w14:paraId="24186733" w14:textId="77777777" w:rsidR="006816EC" w:rsidRDefault="006816EC" w:rsidP="006816EC">
      <w:pPr>
        <w:suppressLineNumbers/>
        <w:rPr>
          <w:rFonts w:ascii="Arial (W1)" w:hAnsi="Arial (W1)"/>
          <w:sz w:val="28"/>
          <w:szCs w:val="28"/>
          <w:rtl/>
        </w:rPr>
      </w:pPr>
    </w:p>
    <w:p w14:paraId="573BD5E2" w14:textId="77777777" w:rsidR="00426E0C" w:rsidRDefault="00426E0C" w:rsidP="006816EC">
      <w:pPr>
        <w:suppressLineNumbers/>
        <w:rPr>
          <w:rFonts w:ascii="Arial (W1)" w:hAnsi="Arial (W1)"/>
          <w:sz w:val="28"/>
          <w:szCs w:val="28"/>
          <w:rtl/>
        </w:rPr>
      </w:pPr>
    </w:p>
    <w:p w14:paraId="2D892E72" w14:textId="77777777" w:rsidR="006816EC" w:rsidRDefault="006816EC" w:rsidP="003823DA">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B50B9C" w14:paraId="3FA2C5B8" w14:textId="77777777">
        <w:trPr>
          <w:jc w:val="center"/>
        </w:trPr>
        <w:tc>
          <w:tcPr>
            <w:tcW w:w="8820" w:type="dxa"/>
          </w:tcPr>
          <w:p w14:paraId="02C7A21C" w14:textId="77777777" w:rsidR="00694556" w:rsidRDefault="008E77EA">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14:paraId="6287EA80" w14:textId="77777777" w:rsidR="00694556" w:rsidRDefault="00694556">
      <w:pPr>
        <w:spacing w:line="360" w:lineRule="auto"/>
        <w:jc w:val="both"/>
        <w:rPr>
          <w:rFonts w:ascii="Arial" w:hAnsi="Arial"/>
          <w:noProof w:val="0"/>
          <w:rtl/>
        </w:rPr>
      </w:pPr>
    </w:p>
    <w:p w14:paraId="133C2C5C" w14:textId="77777777" w:rsidR="001E28D5" w:rsidRDefault="001E28D5">
      <w:pPr>
        <w:spacing w:line="360" w:lineRule="auto"/>
        <w:jc w:val="both"/>
        <w:rPr>
          <w:rFonts w:ascii="Arial" w:hAnsi="Arial"/>
          <w:noProof w:val="0"/>
          <w:rtl/>
        </w:rPr>
      </w:pPr>
    </w:p>
    <w:p w14:paraId="067E8291" w14:textId="77777777" w:rsidR="00426E0C" w:rsidRDefault="00426E0C" w:rsidP="00426E0C">
      <w:pPr>
        <w:rPr>
          <w:rFonts w:ascii="David" w:hAnsi="David"/>
          <w:b/>
          <w:bCs/>
          <w:u w:val="single"/>
          <w:rtl/>
        </w:rPr>
      </w:pPr>
    </w:p>
    <w:p w14:paraId="3E63B08B" w14:textId="77777777" w:rsidR="00426E0C" w:rsidRDefault="00426E0C" w:rsidP="00426E0C">
      <w:pPr>
        <w:rPr>
          <w:rFonts w:ascii="David" w:hAnsi="David"/>
          <w:b/>
          <w:bCs/>
          <w:u w:val="single"/>
          <w:rtl/>
        </w:rPr>
      </w:pPr>
    </w:p>
    <w:p w14:paraId="1178A35C" w14:textId="77777777" w:rsidR="00426E0C" w:rsidRDefault="008E77EA" w:rsidP="00CD6592">
      <w:pPr>
        <w:numPr>
          <w:ilvl w:val="0"/>
          <w:numId w:val="1"/>
        </w:numPr>
        <w:spacing w:after="160" w:line="360" w:lineRule="auto"/>
        <w:jc w:val="both"/>
        <w:rPr>
          <w:rFonts w:ascii="David" w:hAnsi="David"/>
          <w:rtl/>
        </w:rPr>
      </w:pPr>
      <w:r>
        <w:rPr>
          <w:rFonts w:ascii="David" w:hAnsi="David"/>
          <w:rtl/>
        </w:rPr>
        <w:t xml:space="preserve">לפניי הליכים משפטיים בעניין צוואותיהם של שני מנוחים: המנוח </w:t>
      </w:r>
      <w:r w:rsidR="00CD6592">
        <w:rPr>
          <w:rFonts w:ascii="David" w:hAnsi="David" w:hint="cs"/>
          <w:b/>
          <w:bCs/>
          <w:rtl/>
        </w:rPr>
        <w:t>ק.פ</w:t>
      </w:r>
      <w:r>
        <w:rPr>
          <w:rFonts w:ascii="David" w:hAnsi="David"/>
          <w:b/>
          <w:bCs/>
          <w:rtl/>
        </w:rPr>
        <w:t xml:space="preserve"> ז"ל</w:t>
      </w:r>
      <w:r>
        <w:rPr>
          <w:rFonts w:ascii="David" w:hAnsi="David"/>
          <w:rtl/>
        </w:rPr>
        <w:t xml:space="preserve"> (להלן: </w:t>
      </w:r>
      <w:r>
        <w:rPr>
          <w:rFonts w:ascii="David" w:hAnsi="David"/>
          <w:b/>
          <w:bCs/>
          <w:rtl/>
        </w:rPr>
        <w:t xml:space="preserve">"האב המנוח" </w:t>
      </w:r>
      <w:r>
        <w:rPr>
          <w:rFonts w:ascii="David" w:hAnsi="David"/>
          <w:rtl/>
        </w:rPr>
        <w:t xml:space="preserve">או </w:t>
      </w:r>
      <w:r>
        <w:rPr>
          <w:rFonts w:ascii="David" w:hAnsi="David"/>
          <w:b/>
          <w:bCs/>
          <w:rtl/>
        </w:rPr>
        <w:t>"המנוח"</w:t>
      </w:r>
      <w:r>
        <w:rPr>
          <w:rFonts w:ascii="David" w:hAnsi="David"/>
          <w:rtl/>
        </w:rPr>
        <w:t xml:space="preserve">), ואשתו המנוחה </w:t>
      </w:r>
      <w:r w:rsidR="00CD6592">
        <w:rPr>
          <w:rFonts w:ascii="David" w:hAnsi="David" w:hint="cs"/>
          <w:rtl/>
        </w:rPr>
        <w:t>ז.פ</w:t>
      </w:r>
      <w:r w:rsidR="00D5636A">
        <w:rPr>
          <w:rFonts w:ascii="David" w:hAnsi="David" w:hint="cs"/>
          <w:rtl/>
        </w:rPr>
        <w:t xml:space="preserve"> </w:t>
      </w:r>
      <w:r>
        <w:rPr>
          <w:rFonts w:ascii="David" w:hAnsi="David"/>
          <w:rtl/>
        </w:rPr>
        <w:t xml:space="preserve">ז"ל (להלן: </w:t>
      </w:r>
      <w:r>
        <w:rPr>
          <w:rFonts w:ascii="David" w:hAnsi="David"/>
          <w:b/>
          <w:bCs/>
          <w:rtl/>
        </w:rPr>
        <w:t>"האם המנוחה"</w:t>
      </w:r>
      <w:r>
        <w:rPr>
          <w:rFonts w:ascii="David" w:hAnsi="David"/>
          <w:rtl/>
        </w:rPr>
        <w:t xml:space="preserve"> או </w:t>
      </w:r>
      <w:r>
        <w:rPr>
          <w:rFonts w:ascii="David" w:hAnsi="David"/>
          <w:b/>
          <w:bCs/>
          <w:rtl/>
        </w:rPr>
        <w:t>"המנוחה"</w:t>
      </w:r>
      <w:r>
        <w:rPr>
          <w:rFonts w:ascii="David" w:hAnsi="David"/>
          <w:rtl/>
        </w:rPr>
        <w:t xml:space="preserve">), (להלן ייקראו ביחד: </w:t>
      </w:r>
      <w:r>
        <w:rPr>
          <w:rFonts w:ascii="David" w:hAnsi="David"/>
          <w:b/>
          <w:bCs/>
          <w:rtl/>
        </w:rPr>
        <w:t>"המנוחים"</w:t>
      </w:r>
      <w:r>
        <w:rPr>
          <w:rFonts w:ascii="David" w:hAnsi="David"/>
          <w:rtl/>
        </w:rPr>
        <w:t>).</w:t>
      </w:r>
    </w:p>
    <w:p w14:paraId="5C1FB23F" w14:textId="77777777" w:rsidR="00426E0C" w:rsidRDefault="00426E0C" w:rsidP="00426E0C">
      <w:pPr>
        <w:pStyle w:val="ad"/>
        <w:rPr>
          <w:rFonts w:ascii="David" w:hAnsi="David" w:cs="David"/>
          <w:sz w:val="24"/>
          <w:szCs w:val="24"/>
        </w:rPr>
      </w:pPr>
    </w:p>
    <w:p w14:paraId="47061312" w14:textId="77777777" w:rsidR="00426E0C" w:rsidRDefault="008E77EA" w:rsidP="00426E0C">
      <w:pPr>
        <w:numPr>
          <w:ilvl w:val="0"/>
          <w:numId w:val="1"/>
        </w:numPr>
        <w:spacing w:after="160" w:line="360" w:lineRule="auto"/>
        <w:jc w:val="both"/>
        <w:rPr>
          <w:rFonts w:ascii="David" w:hAnsi="David"/>
        </w:rPr>
      </w:pPr>
      <w:r>
        <w:rPr>
          <w:rFonts w:ascii="David" w:hAnsi="David"/>
          <w:rtl/>
        </w:rPr>
        <w:t>בשנת 2006 חתמו שני המנוחים על צוואה בפני עדים. לאחר שהאב המנוח הלך לבית עולמו, ניתן צו לקיום צוואתו.</w:t>
      </w:r>
    </w:p>
    <w:p w14:paraId="4F1680DD" w14:textId="77777777" w:rsidR="00D5636A" w:rsidRDefault="00D5636A" w:rsidP="00D5636A">
      <w:pPr>
        <w:pStyle w:val="ad"/>
        <w:rPr>
          <w:rFonts w:ascii="David" w:hAnsi="David"/>
          <w:rtl/>
        </w:rPr>
      </w:pPr>
    </w:p>
    <w:p w14:paraId="2D5A8AA2" w14:textId="77777777" w:rsidR="00D5636A" w:rsidRDefault="00D5636A" w:rsidP="00D5636A">
      <w:pPr>
        <w:spacing w:after="160" w:line="360" w:lineRule="auto"/>
        <w:jc w:val="both"/>
        <w:rPr>
          <w:rFonts w:ascii="David" w:hAnsi="David"/>
        </w:rPr>
      </w:pPr>
    </w:p>
    <w:p w14:paraId="0585355B" w14:textId="77777777" w:rsidR="00426E0C" w:rsidRDefault="00426E0C" w:rsidP="00426E0C">
      <w:pPr>
        <w:pStyle w:val="ad"/>
        <w:rPr>
          <w:rFonts w:ascii="David" w:hAnsi="David"/>
          <w:rtl/>
        </w:rPr>
      </w:pPr>
    </w:p>
    <w:p w14:paraId="625CA8FE" w14:textId="77777777" w:rsidR="00426E0C" w:rsidRDefault="008E77EA" w:rsidP="00426E0C">
      <w:pPr>
        <w:numPr>
          <w:ilvl w:val="0"/>
          <w:numId w:val="1"/>
        </w:numPr>
        <w:spacing w:after="160" w:line="360" w:lineRule="auto"/>
        <w:jc w:val="both"/>
        <w:rPr>
          <w:rFonts w:ascii="David" w:hAnsi="David"/>
        </w:rPr>
      </w:pPr>
      <w:r>
        <w:rPr>
          <w:rFonts w:ascii="David" w:hAnsi="David"/>
          <w:rtl/>
        </w:rPr>
        <w:lastRenderedPageBreak/>
        <w:t>ההליכים שלפניי עניינם:</w:t>
      </w:r>
    </w:p>
    <w:p w14:paraId="17CBF650" w14:textId="77777777" w:rsidR="00426E0C" w:rsidRDefault="008E77EA" w:rsidP="00426E0C">
      <w:pPr>
        <w:pStyle w:val="ad"/>
        <w:numPr>
          <w:ilvl w:val="0"/>
          <w:numId w:val="2"/>
        </w:numPr>
        <w:spacing w:line="360" w:lineRule="auto"/>
        <w:jc w:val="both"/>
        <w:rPr>
          <w:rFonts w:ascii="David" w:hAnsi="David" w:cs="David"/>
          <w:sz w:val="24"/>
          <w:szCs w:val="24"/>
        </w:rPr>
      </w:pPr>
      <w:r>
        <w:rPr>
          <w:rFonts w:ascii="David" w:hAnsi="David" w:cs="David"/>
          <w:sz w:val="24"/>
          <w:szCs w:val="24"/>
          <w:rtl/>
        </w:rPr>
        <w:t>בקשה לביטול צו לקיום צוואת המנוח, שניתן ביום 24.2.2019 על ידי כב' הרשמת לענייני ירושה (ת"ע 29623-06-21).</w:t>
      </w:r>
    </w:p>
    <w:p w14:paraId="06B50CF8" w14:textId="77777777" w:rsidR="00426E0C" w:rsidRDefault="00D5636A" w:rsidP="00426E0C">
      <w:pPr>
        <w:pStyle w:val="ad"/>
        <w:numPr>
          <w:ilvl w:val="0"/>
          <w:numId w:val="2"/>
        </w:numPr>
        <w:spacing w:line="360" w:lineRule="auto"/>
        <w:jc w:val="both"/>
        <w:rPr>
          <w:rFonts w:ascii="David" w:hAnsi="David" w:cs="David"/>
          <w:sz w:val="24"/>
          <w:szCs w:val="24"/>
        </w:rPr>
      </w:pPr>
      <w:r>
        <w:rPr>
          <w:rFonts w:ascii="David" w:hAnsi="David" w:cs="David"/>
          <w:sz w:val="24"/>
          <w:szCs w:val="24"/>
          <w:rtl/>
        </w:rPr>
        <w:t xml:space="preserve">התנגדות לקיום צוואת המנוחה </w:t>
      </w:r>
      <w:r w:rsidR="008E77EA">
        <w:rPr>
          <w:rFonts w:ascii="David" w:hAnsi="David" w:cs="David"/>
          <w:sz w:val="24"/>
          <w:szCs w:val="24"/>
          <w:rtl/>
        </w:rPr>
        <w:t>(ת"ע 65329-04-21), ומנגד - בקשה למתן צו לקיום צוואתה (ת"ע 65295-04-21).</w:t>
      </w:r>
    </w:p>
    <w:p w14:paraId="6ABF3885" w14:textId="77777777" w:rsidR="00426E0C" w:rsidRDefault="00426E0C" w:rsidP="00426E0C">
      <w:pPr>
        <w:spacing w:line="360" w:lineRule="auto"/>
        <w:ind w:left="720"/>
        <w:contextualSpacing/>
        <w:jc w:val="both"/>
        <w:rPr>
          <w:rFonts w:ascii="David" w:hAnsi="David"/>
        </w:rPr>
      </w:pPr>
    </w:p>
    <w:p w14:paraId="44E82986" w14:textId="77777777" w:rsidR="00426E0C" w:rsidRDefault="008E77EA" w:rsidP="00426E0C">
      <w:pPr>
        <w:spacing w:line="360" w:lineRule="auto"/>
        <w:ind w:firstLine="360"/>
        <w:jc w:val="both"/>
        <w:rPr>
          <w:rFonts w:ascii="David" w:hAnsi="David"/>
          <w:b/>
          <w:bCs/>
          <w:u w:val="single"/>
        </w:rPr>
      </w:pPr>
      <w:r>
        <w:rPr>
          <w:rFonts w:ascii="David" w:hAnsi="David"/>
          <w:b/>
          <w:bCs/>
          <w:u w:val="single"/>
          <w:rtl/>
        </w:rPr>
        <w:t>הצדדים להליכים שלפניי</w:t>
      </w:r>
    </w:p>
    <w:p w14:paraId="198DC00A" w14:textId="77777777" w:rsidR="00426E0C" w:rsidRDefault="00426E0C" w:rsidP="00426E0C">
      <w:pPr>
        <w:spacing w:line="360" w:lineRule="auto"/>
        <w:ind w:left="720"/>
        <w:contextualSpacing/>
        <w:jc w:val="both"/>
        <w:rPr>
          <w:rFonts w:ascii="David" w:hAnsi="David"/>
        </w:rPr>
      </w:pPr>
    </w:p>
    <w:p w14:paraId="6E0D089C" w14:textId="77777777" w:rsidR="00426E0C" w:rsidRDefault="008E77EA" w:rsidP="00426E0C">
      <w:pPr>
        <w:numPr>
          <w:ilvl w:val="0"/>
          <w:numId w:val="1"/>
        </w:numPr>
        <w:spacing w:after="160" w:line="360" w:lineRule="auto"/>
        <w:jc w:val="both"/>
        <w:rPr>
          <w:rFonts w:ascii="David" w:hAnsi="David"/>
        </w:rPr>
      </w:pPr>
      <w:r>
        <w:rPr>
          <w:rFonts w:ascii="David" w:hAnsi="David"/>
          <w:rtl/>
        </w:rPr>
        <w:t>לשני המנוחים היו מערכות יחסים קודמות, מהן נולדו לכל אחד מהם ילדים. בנוסף, מנישואיהם נולדו למנוחים ילדים משותפים.</w:t>
      </w:r>
    </w:p>
    <w:p w14:paraId="051045BB" w14:textId="77777777" w:rsidR="00426E0C" w:rsidRDefault="00426E0C" w:rsidP="00426E0C">
      <w:pPr>
        <w:spacing w:line="360" w:lineRule="auto"/>
        <w:ind w:left="720"/>
        <w:contextualSpacing/>
        <w:jc w:val="both"/>
        <w:rPr>
          <w:rFonts w:ascii="David" w:hAnsi="David"/>
        </w:rPr>
      </w:pPr>
    </w:p>
    <w:p w14:paraId="5C4FD08D"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חלק מהמתנגדים בהליכים שלפניי הם ילדים משותפים של שני המנוחים, וחלקם ילדים של מי מהמנוחים (להלן, ביחד: </w:t>
      </w:r>
      <w:r>
        <w:rPr>
          <w:rFonts w:ascii="David" w:hAnsi="David"/>
          <w:b/>
          <w:bCs/>
          <w:rtl/>
        </w:rPr>
        <w:t>"המתנגדים"</w:t>
      </w:r>
      <w:r>
        <w:rPr>
          <w:rFonts w:ascii="David" w:hAnsi="David"/>
          <w:rtl/>
        </w:rPr>
        <w:t>), כדלקמן:</w:t>
      </w:r>
    </w:p>
    <w:p w14:paraId="7D00A535" w14:textId="77777777" w:rsidR="00426E0C" w:rsidRDefault="008E77EA" w:rsidP="00756B3A">
      <w:pPr>
        <w:pStyle w:val="ad"/>
        <w:numPr>
          <w:ilvl w:val="0"/>
          <w:numId w:val="3"/>
        </w:numPr>
        <w:spacing w:line="360" w:lineRule="auto"/>
        <w:jc w:val="both"/>
        <w:rPr>
          <w:rFonts w:ascii="David" w:hAnsi="David" w:cs="David"/>
          <w:sz w:val="24"/>
          <w:szCs w:val="24"/>
        </w:rPr>
      </w:pPr>
      <w:r>
        <w:rPr>
          <w:rFonts w:ascii="David" w:hAnsi="David" w:cs="David"/>
          <w:sz w:val="24"/>
          <w:szCs w:val="24"/>
          <w:rtl/>
        </w:rPr>
        <w:t xml:space="preserve">המתנגד 1, </w:t>
      </w:r>
      <w:r w:rsidR="00756B3A">
        <w:rPr>
          <w:rFonts w:ascii="David" w:hAnsi="David" w:cs="David" w:hint="cs"/>
          <w:sz w:val="24"/>
          <w:szCs w:val="24"/>
          <w:rtl/>
        </w:rPr>
        <w:t>מ.ו</w:t>
      </w:r>
      <w:r>
        <w:rPr>
          <w:rFonts w:ascii="David" w:hAnsi="David" w:cs="David"/>
          <w:sz w:val="24"/>
          <w:szCs w:val="24"/>
          <w:rtl/>
        </w:rPr>
        <w:t xml:space="preserve"> (להלן: </w:t>
      </w:r>
      <w:r>
        <w:rPr>
          <w:rFonts w:ascii="David" w:hAnsi="David" w:cs="David"/>
          <w:b/>
          <w:bCs/>
          <w:sz w:val="24"/>
          <w:szCs w:val="24"/>
          <w:rtl/>
        </w:rPr>
        <w:t>"המתנגד 1"</w:t>
      </w:r>
      <w:r>
        <w:rPr>
          <w:rFonts w:ascii="David" w:hAnsi="David" w:cs="David"/>
          <w:sz w:val="24"/>
          <w:szCs w:val="24"/>
          <w:rtl/>
        </w:rPr>
        <w:t>) – בנה של המנוחה בלבד.</w:t>
      </w:r>
    </w:p>
    <w:p w14:paraId="1CCEE95A" w14:textId="77777777" w:rsidR="00426E0C" w:rsidRDefault="008E77EA" w:rsidP="00756B3A">
      <w:pPr>
        <w:pStyle w:val="ad"/>
        <w:numPr>
          <w:ilvl w:val="0"/>
          <w:numId w:val="3"/>
        </w:numPr>
        <w:spacing w:line="360" w:lineRule="auto"/>
        <w:jc w:val="both"/>
        <w:rPr>
          <w:rFonts w:ascii="David" w:hAnsi="David" w:cs="David"/>
          <w:sz w:val="24"/>
          <w:szCs w:val="24"/>
        </w:rPr>
      </w:pPr>
      <w:r>
        <w:rPr>
          <w:rFonts w:ascii="David" w:hAnsi="David" w:cs="David"/>
          <w:sz w:val="24"/>
          <w:szCs w:val="24"/>
          <w:rtl/>
        </w:rPr>
        <w:t xml:space="preserve">המתנגדת 2, </w:t>
      </w:r>
      <w:r w:rsidR="00756B3A">
        <w:rPr>
          <w:rFonts w:ascii="David" w:hAnsi="David" w:cs="David" w:hint="cs"/>
          <w:sz w:val="24"/>
          <w:szCs w:val="24"/>
          <w:rtl/>
        </w:rPr>
        <w:t>ד.פ</w:t>
      </w:r>
      <w:r>
        <w:rPr>
          <w:rFonts w:ascii="David" w:hAnsi="David" w:cs="David"/>
          <w:sz w:val="24"/>
          <w:szCs w:val="24"/>
          <w:rtl/>
        </w:rPr>
        <w:t xml:space="preserve"> (להלן: </w:t>
      </w:r>
      <w:r>
        <w:rPr>
          <w:rFonts w:ascii="David" w:hAnsi="David" w:cs="David"/>
          <w:b/>
          <w:bCs/>
          <w:sz w:val="24"/>
          <w:szCs w:val="24"/>
          <w:rtl/>
        </w:rPr>
        <w:t>"המתנגדת 2"</w:t>
      </w:r>
      <w:r>
        <w:rPr>
          <w:rFonts w:ascii="David" w:hAnsi="David" w:cs="David"/>
          <w:sz w:val="24"/>
          <w:szCs w:val="24"/>
          <w:rtl/>
        </w:rPr>
        <w:t>) – בתם של שני המנוחים.</w:t>
      </w:r>
    </w:p>
    <w:p w14:paraId="48DAE85A" w14:textId="77777777" w:rsidR="00426E0C" w:rsidRDefault="008E77EA" w:rsidP="00756B3A">
      <w:pPr>
        <w:pStyle w:val="ad"/>
        <w:numPr>
          <w:ilvl w:val="0"/>
          <w:numId w:val="3"/>
        </w:numPr>
        <w:spacing w:line="360" w:lineRule="auto"/>
        <w:jc w:val="both"/>
        <w:rPr>
          <w:rFonts w:ascii="David" w:hAnsi="David" w:cs="David"/>
          <w:sz w:val="24"/>
          <w:szCs w:val="24"/>
        </w:rPr>
      </w:pPr>
      <w:r>
        <w:rPr>
          <w:rFonts w:ascii="David" w:hAnsi="David" w:cs="David"/>
          <w:sz w:val="24"/>
          <w:szCs w:val="24"/>
          <w:rtl/>
        </w:rPr>
        <w:t xml:space="preserve">המתנגד 3, </w:t>
      </w:r>
      <w:r w:rsidR="00756B3A">
        <w:rPr>
          <w:rFonts w:ascii="David" w:hAnsi="David" w:cs="David" w:hint="cs"/>
          <w:sz w:val="24"/>
          <w:szCs w:val="24"/>
          <w:rtl/>
        </w:rPr>
        <w:t>א.פ</w:t>
      </w:r>
      <w:r>
        <w:rPr>
          <w:rFonts w:ascii="David" w:hAnsi="David" w:cs="David"/>
          <w:sz w:val="24"/>
          <w:szCs w:val="24"/>
          <w:rtl/>
        </w:rPr>
        <w:t xml:space="preserve"> (להלן: "</w:t>
      </w:r>
      <w:r>
        <w:rPr>
          <w:rFonts w:ascii="David" w:hAnsi="David" w:cs="David"/>
          <w:b/>
          <w:bCs/>
          <w:sz w:val="24"/>
          <w:szCs w:val="24"/>
          <w:rtl/>
        </w:rPr>
        <w:t>המתנגד 3"</w:t>
      </w:r>
      <w:r>
        <w:rPr>
          <w:rFonts w:ascii="David" w:hAnsi="David" w:cs="David"/>
          <w:sz w:val="24"/>
          <w:szCs w:val="24"/>
          <w:rtl/>
        </w:rPr>
        <w:t>) – בנם של שני המנוחים.</w:t>
      </w:r>
    </w:p>
    <w:p w14:paraId="1110A98D" w14:textId="77777777" w:rsidR="00426E0C" w:rsidRDefault="008E77EA" w:rsidP="00756B3A">
      <w:pPr>
        <w:pStyle w:val="ad"/>
        <w:numPr>
          <w:ilvl w:val="0"/>
          <w:numId w:val="3"/>
        </w:numPr>
        <w:spacing w:line="360" w:lineRule="auto"/>
        <w:jc w:val="both"/>
        <w:rPr>
          <w:rFonts w:ascii="David" w:hAnsi="David" w:cs="David"/>
          <w:sz w:val="24"/>
          <w:szCs w:val="24"/>
        </w:rPr>
      </w:pPr>
      <w:r>
        <w:rPr>
          <w:rFonts w:ascii="David" w:hAnsi="David" w:cs="David"/>
          <w:sz w:val="24"/>
          <w:szCs w:val="24"/>
          <w:rtl/>
        </w:rPr>
        <w:t xml:space="preserve">המתנגד 4, </w:t>
      </w:r>
      <w:r w:rsidR="00756B3A">
        <w:rPr>
          <w:rFonts w:ascii="David" w:hAnsi="David" w:cs="David" w:hint="cs"/>
          <w:sz w:val="24"/>
          <w:szCs w:val="24"/>
          <w:rtl/>
        </w:rPr>
        <w:t>א.ו</w:t>
      </w:r>
      <w:r>
        <w:rPr>
          <w:rFonts w:ascii="David" w:hAnsi="David" w:cs="David"/>
          <w:sz w:val="24"/>
          <w:szCs w:val="24"/>
          <w:rtl/>
        </w:rPr>
        <w:t xml:space="preserve">  (להלן: </w:t>
      </w:r>
      <w:r>
        <w:rPr>
          <w:rFonts w:ascii="David" w:hAnsi="David" w:cs="David"/>
          <w:b/>
          <w:bCs/>
          <w:sz w:val="24"/>
          <w:szCs w:val="24"/>
          <w:rtl/>
        </w:rPr>
        <w:t>"המתנגד 4</w:t>
      </w:r>
      <w:r>
        <w:rPr>
          <w:rFonts w:ascii="David" w:hAnsi="David" w:cs="David"/>
          <w:sz w:val="24"/>
          <w:szCs w:val="24"/>
          <w:rtl/>
        </w:rPr>
        <w:t>") – בנה של המנוחה בלבד.</w:t>
      </w:r>
    </w:p>
    <w:p w14:paraId="47454C6E" w14:textId="77777777" w:rsidR="00426E0C" w:rsidRDefault="008E77EA" w:rsidP="00756B3A">
      <w:pPr>
        <w:pStyle w:val="ad"/>
        <w:numPr>
          <w:ilvl w:val="0"/>
          <w:numId w:val="3"/>
        </w:numPr>
        <w:spacing w:line="360" w:lineRule="auto"/>
        <w:jc w:val="both"/>
        <w:rPr>
          <w:rFonts w:ascii="David" w:hAnsi="David" w:cs="David"/>
          <w:sz w:val="24"/>
          <w:szCs w:val="24"/>
        </w:rPr>
      </w:pPr>
      <w:r>
        <w:rPr>
          <w:rFonts w:ascii="David" w:hAnsi="David" w:cs="David"/>
          <w:sz w:val="24"/>
          <w:szCs w:val="24"/>
          <w:rtl/>
        </w:rPr>
        <w:t xml:space="preserve">המתנגד 5, </w:t>
      </w:r>
      <w:proofErr w:type="spellStart"/>
      <w:r w:rsidR="00756B3A">
        <w:rPr>
          <w:rFonts w:ascii="David" w:hAnsi="David" w:cs="David" w:hint="cs"/>
          <w:sz w:val="24"/>
          <w:szCs w:val="24"/>
          <w:rtl/>
        </w:rPr>
        <w:t>אס.פ</w:t>
      </w:r>
      <w:proofErr w:type="spellEnd"/>
      <w:r>
        <w:rPr>
          <w:rFonts w:ascii="David" w:hAnsi="David" w:cs="David"/>
          <w:sz w:val="24"/>
          <w:szCs w:val="24"/>
          <w:rtl/>
        </w:rPr>
        <w:t xml:space="preserve"> (להלן: </w:t>
      </w:r>
      <w:r>
        <w:rPr>
          <w:rFonts w:ascii="David" w:hAnsi="David" w:cs="David"/>
          <w:b/>
          <w:bCs/>
          <w:sz w:val="24"/>
          <w:szCs w:val="24"/>
          <w:rtl/>
        </w:rPr>
        <w:t>"המתנגד 5"</w:t>
      </w:r>
      <w:r>
        <w:rPr>
          <w:rFonts w:ascii="David" w:hAnsi="David" w:cs="David"/>
          <w:sz w:val="24"/>
          <w:szCs w:val="24"/>
          <w:rtl/>
        </w:rPr>
        <w:t>) – בנם של שני המנוחים.</w:t>
      </w:r>
    </w:p>
    <w:p w14:paraId="4891F95E" w14:textId="77777777" w:rsidR="00426E0C" w:rsidRDefault="008E77EA" w:rsidP="00D174CB">
      <w:pPr>
        <w:pStyle w:val="ad"/>
        <w:spacing w:line="360" w:lineRule="auto"/>
        <w:ind w:left="1080"/>
        <w:jc w:val="both"/>
        <w:rPr>
          <w:rFonts w:ascii="David" w:hAnsi="David" w:cs="David"/>
          <w:sz w:val="24"/>
          <w:szCs w:val="24"/>
        </w:rPr>
      </w:pPr>
      <w:r>
        <w:rPr>
          <w:rFonts w:ascii="David" w:hAnsi="David" w:cs="David" w:hint="cs"/>
          <w:sz w:val="24"/>
          <w:szCs w:val="24"/>
          <w:rtl/>
        </w:rPr>
        <w:t xml:space="preserve">(תחילה צורף גם </w:t>
      </w:r>
      <w:r w:rsidR="00D174CB">
        <w:rPr>
          <w:rFonts w:ascii="David" w:hAnsi="David" w:cs="David" w:hint="cs"/>
          <w:sz w:val="24"/>
          <w:szCs w:val="24"/>
          <w:rtl/>
        </w:rPr>
        <w:t>ס.פ</w:t>
      </w:r>
      <w:r>
        <w:rPr>
          <w:rFonts w:ascii="David" w:hAnsi="David" w:cs="David"/>
          <w:sz w:val="24"/>
          <w:szCs w:val="24"/>
          <w:rtl/>
        </w:rPr>
        <w:t xml:space="preserve"> (להלן: </w:t>
      </w:r>
      <w:r>
        <w:rPr>
          <w:rFonts w:ascii="David" w:hAnsi="David" w:cs="David"/>
          <w:b/>
          <w:bCs/>
          <w:sz w:val="24"/>
          <w:szCs w:val="24"/>
          <w:rtl/>
        </w:rPr>
        <w:t>"</w:t>
      </w:r>
      <w:r w:rsidR="00D174CB">
        <w:rPr>
          <w:rFonts w:ascii="David" w:hAnsi="David" w:cs="David" w:hint="cs"/>
          <w:b/>
          <w:bCs/>
          <w:sz w:val="24"/>
          <w:szCs w:val="24"/>
          <w:rtl/>
        </w:rPr>
        <w:t>ס</w:t>
      </w:r>
      <w:r w:rsidR="00D5636A">
        <w:rPr>
          <w:rFonts w:ascii="David" w:hAnsi="David" w:cs="David" w:hint="cs"/>
          <w:b/>
          <w:bCs/>
          <w:sz w:val="24"/>
          <w:szCs w:val="24"/>
          <w:rtl/>
        </w:rPr>
        <w:t>.פ</w:t>
      </w:r>
      <w:r>
        <w:rPr>
          <w:rFonts w:ascii="David" w:hAnsi="David" w:cs="David"/>
          <w:b/>
          <w:bCs/>
          <w:sz w:val="24"/>
          <w:szCs w:val="24"/>
          <w:rtl/>
        </w:rPr>
        <w:t>"</w:t>
      </w:r>
      <w:r>
        <w:rPr>
          <w:rFonts w:ascii="David" w:hAnsi="David" w:cs="David"/>
          <w:sz w:val="24"/>
          <w:szCs w:val="24"/>
          <w:rtl/>
        </w:rPr>
        <w:t>) – בנו של המנוח בלבד</w:t>
      </w:r>
      <w:r>
        <w:rPr>
          <w:rFonts w:ascii="David" w:hAnsi="David" w:cs="David" w:hint="cs"/>
          <w:sz w:val="24"/>
          <w:szCs w:val="24"/>
          <w:rtl/>
        </w:rPr>
        <w:t>)</w:t>
      </w:r>
      <w:r>
        <w:rPr>
          <w:rFonts w:ascii="David" w:hAnsi="David" w:cs="David"/>
          <w:sz w:val="24"/>
          <w:szCs w:val="24"/>
          <w:rtl/>
        </w:rPr>
        <w:t xml:space="preserve">. </w:t>
      </w:r>
    </w:p>
    <w:p w14:paraId="23186A16" w14:textId="77777777" w:rsidR="00426E0C" w:rsidRDefault="008E77EA" w:rsidP="00426E0C">
      <w:pPr>
        <w:pStyle w:val="ad"/>
        <w:spacing w:line="360" w:lineRule="auto"/>
        <w:ind w:left="1080"/>
        <w:jc w:val="both"/>
        <w:rPr>
          <w:rFonts w:ascii="David" w:hAnsi="David" w:cs="David"/>
          <w:sz w:val="24"/>
          <w:szCs w:val="24"/>
        </w:rPr>
      </w:pPr>
      <w:r>
        <w:rPr>
          <w:rFonts w:ascii="David" w:hAnsi="David" w:cs="David"/>
          <w:sz w:val="24"/>
          <w:szCs w:val="24"/>
          <w:rtl/>
        </w:rPr>
        <w:t>(ראו: תצהירי המתנגדים).</w:t>
      </w:r>
    </w:p>
    <w:p w14:paraId="7AAA86C9" w14:textId="77777777" w:rsidR="00426E0C" w:rsidRDefault="00426E0C" w:rsidP="00426E0C">
      <w:pPr>
        <w:spacing w:line="360" w:lineRule="auto"/>
        <w:ind w:left="720"/>
        <w:contextualSpacing/>
        <w:jc w:val="both"/>
        <w:rPr>
          <w:rFonts w:ascii="David" w:hAnsi="David"/>
        </w:rPr>
      </w:pPr>
    </w:p>
    <w:p w14:paraId="7B01C115" w14:textId="77777777" w:rsidR="00426E0C" w:rsidRDefault="008E77EA" w:rsidP="00E17ABE">
      <w:pPr>
        <w:numPr>
          <w:ilvl w:val="0"/>
          <w:numId w:val="1"/>
        </w:numPr>
        <w:spacing w:after="160" w:line="360" w:lineRule="auto"/>
        <w:jc w:val="both"/>
        <w:rPr>
          <w:rFonts w:ascii="David" w:hAnsi="David"/>
        </w:rPr>
      </w:pPr>
      <w:r>
        <w:rPr>
          <w:rFonts w:ascii="David" w:hAnsi="David"/>
          <w:rtl/>
        </w:rPr>
        <w:t xml:space="preserve">מבקשי קיום הצוואה הם ילדיו ויורשיו לפי דין של </w:t>
      </w:r>
      <w:r w:rsidR="00E17ABE">
        <w:rPr>
          <w:rFonts w:ascii="David" w:hAnsi="David" w:hint="cs"/>
          <w:rtl/>
        </w:rPr>
        <w:t>ט.פ</w:t>
      </w:r>
      <w:r>
        <w:rPr>
          <w:rFonts w:ascii="David" w:hAnsi="David"/>
          <w:rtl/>
        </w:rPr>
        <w:t xml:space="preserve"> ז"ל, בנם של שני המנוחים והיורש לפי צוואתם, שהלך לבית עולמו לאחר פטירת המנוחים (להלן: </w:t>
      </w:r>
      <w:r>
        <w:rPr>
          <w:rFonts w:ascii="David" w:hAnsi="David"/>
          <w:b/>
          <w:bCs/>
          <w:rtl/>
        </w:rPr>
        <w:t>"המבקשים"</w:t>
      </w:r>
      <w:r>
        <w:rPr>
          <w:rFonts w:ascii="David" w:hAnsi="David"/>
          <w:rtl/>
        </w:rPr>
        <w:t xml:space="preserve">). </w:t>
      </w:r>
    </w:p>
    <w:p w14:paraId="0D592A68" w14:textId="77777777" w:rsidR="00426E0C" w:rsidRDefault="00426E0C" w:rsidP="00426E0C">
      <w:pPr>
        <w:pStyle w:val="ad"/>
        <w:rPr>
          <w:rFonts w:ascii="David" w:hAnsi="David" w:cs="David"/>
          <w:sz w:val="24"/>
          <w:szCs w:val="24"/>
        </w:rPr>
      </w:pPr>
    </w:p>
    <w:p w14:paraId="30BCA14A" w14:textId="77777777" w:rsidR="00426E0C" w:rsidRDefault="008E77EA" w:rsidP="00426E0C">
      <w:pPr>
        <w:spacing w:line="360" w:lineRule="auto"/>
        <w:ind w:firstLine="360"/>
        <w:jc w:val="both"/>
        <w:rPr>
          <w:rFonts w:ascii="David" w:hAnsi="David"/>
          <w:b/>
          <w:bCs/>
          <w:u w:val="single"/>
          <w:rtl/>
        </w:rPr>
      </w:pPr>
      <w:r>
        <w:rPr>
          <w:rFonts w:ascii="David" w:hAnsi="David"/>
          <w:b/>
          <w:bCs/>
          <w:u w:val="single"/>
          <w:rtl/>
        </w:rPr>
        <w:t>רקע כללי</w:t>
      </w:r>
    </w:p>
    <w:p w14:paraId="4F844EA0" w14:textId="77777777" w:rsidR="00426E0C" w:rsidRDefault="00426E0C" w:rsidP="00426E0C">
      <w:pPr>
        <w:pStyle w:val="ad"/>
        <w:rPr>
          <w:rFonts w:ascii="David" w:hAnsi="David" w:cs="David"/>
          <w:sz w:val="24"/>
          <w:szCs w:val="24"/>
        </w:rPr>
      </w:pPr>
    </w:p>
    <w:p w14:paraId="21C9398D" w14:textId="77777777" w:rsidR="00426E0C" w:rsidRDefault="008E77EA" w:rsidP="00E17ABE">
      <w:pPr>
        <w:numPr>
          <w:ilvl w:val="0"/>
          <w:numId w:val="1"/>
        </w:numPr>
        <w:spacing w:after="160" w:line="360" w:lineRule="auto"/>
        <w:jc w:val="both"/>
        <w:rPr>
          <w:rFonts w:ascii="David" w:hAnsi="David"/>
          <w:rtl/>
        </w:rPr>
      </w:pPr>
      <w:r>
        <w:rPr>
          <w:rFonts w:ascii="David" w:hAnsi="David"/>
          <w:rtl/>
        </w:rPr>
        <w:t xml:space="preserve">ביום 10.8.2006 חתמו המנוחים שניהם באמצעות טביעת אצבע, על צוואה בפני העדים עו"ד  צ.ר.ה וגב' </w:t>
      </w:r>
      <w:r w:rsidR="00E17ABE">
        <w:rPr>
          <w:rFonts w:ascii="David" w:hAnsi="David" w:hint="cs"/>
          <w:rtl/>
        </w:rPr>
        <w:t>מ.ק</w:t>
      </w:r>
      <w:r>
        <w:rPr>
          <w:rFonts w:ascii="David" w:hAnsi="David"/>
          <w:rtl/>
        </w:rPr>
        <w:t xml:space="preserve"> (להלן: </w:t>
      </w:r>
      <w:r>
        <w:rPr>
          <w:rFonts w:ascii="David" w:hAnsi="David"/>
          <w:b/>
          <w:bCs/>
          <w:rtl/>
        </w:rPr>
        <w:t>"הצוואות"</w:t>
      </w:r>
      <w:r>
        <w:rPr>
          <w:rFonts w:ascii="David" w:hAnsi="David"/>
          <w:rtl/>
        </w:rPr>
        <w:t xml:space="preserve">). במסגרת הצוואות  ציוו המנוחים את כל רכושם לאחד מילדיהם - בנם </w:t>
      </w:r>
      <w:r w:rsidR="00E17ABE">
        <w:rPr>
          <w:rFonts w:ascii="David" w:hAnsi="David" w:hint="cs"/>
          <w:rtl/>
        </w:rPr>
        <w:t>ט.פ</w:t>
      </w:r>
      <w:r>
        <w:rPr>
          <w:rFonts w:ascii="David" w:hAnsi="David"/>
          <w:rtl/>
        </w:rPr>
        <w:t xml:space="preserve"> ז"ל (להלן: </w:t>
      </w:r>
      <w:r>
        <w:rPr>
          <w:rFonts w:ascii="David" w:hAnsi="David"/>
          <w:b/>
          <w:bCs/>
          <w:rtl/>
        </w:rPr>
        <w:t>"היורש"</w:t>
      </w:r>
      <w:r>
        <w:rPr>
          <w:rFonts w:ascii="David" w:hAnsi="David"/>
          <w:rtl/>
        </w:rPr>
        <w:t xml:space="preserve">). </w:t>
      </w:r>
    </w:p>
    <w:p w14:paraId="3FB19F81"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בסעיף 3 לצוואה נקבע בין היתר, כדלקמן:</w:t>
      </w:r>
    </w:p>
    <w:p w14:paraId="1C40E411" w14:textId="77777777" w:rsidR="00426E0C" w:rsidRDefault="00426E0C" w:rsidP="00426E0C">
      <w:pPr>
        <w:spacing w:line="360" w:lineRule="auto"/>
        <w:ind w:left="720"/>
        <w:contextualSpacing/>
        <w:jc w:val="both"/>
        <w:rPr>
          <w:rFonts w:ascii="David" w:hAnsi="David"/>
        </w:rPr>
      </w:pPr>
    </w:p>
    <w:p w14:paraId="007A2F9B" w14:textId="77777777" w:rsidR="00426E0C" w:rsidRDefault="008E77EA" w:rsidP="00E17ABE">
      <w:pPr>
        <w:spacing w:line="360" w:lineRule="auto"/>
        <w:ind w:left="720" w:right="426"/>
        <w:jc w:val="both"/>
        <w:rPr>
          <w:rFonts w:ascii="David" w:hAnsi="David"/>
          <w:b/>
          <w:bCs/>
          <w:rtl/>
        </w:rPr>
      </w:pPr>
      <w:r>
        <w:rPr>
          <w:rFonts w:ascii="David" w:hAnsi="David"/>
          <w:b/>
          <w:bCs/>
          <w:rtl/>
        </w:rPr>
        <w:t xml:space="preserve">"... את כל רכושי הנני מצווה לבננו </w:t>
      </w:r>
      <w:r w:rsidR="00E17ABE">
        <w:rPr>
          <w:rFonts w:ascii="David" w:hAnsi="David" w:hint="cs"/>
          <w:b/>
          <w:bCs/>
          <w:rtl/>
        </w:rPr>
        <w:t>ט.פ</w:t>
      </w:r>
      <w:r>
        <w:rPr>
          <w:rFonts w:ascii="David" w:hAnsi="David"/>
          <w:b/>
          <w:bCs/>
          <w:rtl/>
        </w:rPr>
        <w:t xml:space="preserve"> ת.ז. ...., (להלן – בנינו").</w:t>
      </w:r>
    </w:p>
    <w:p w14:paraId="6A80EF19" w14:textId="77777777" w:rsidR="00426E0C" w:rsidRDefault="008E77EA" w:rsidP="00426E0C">
      <w:pPr>
        <w:spacing w:line="360" w:lineRule="auto"/>
        <w:ind w:left="720" w:right="426"/>
        <w:jc w:val="both"/>
        <w:rPr>
          <w:rFonts w:ascii="David" w:hAnsi="David"/>
          <w:b/>
          <w:bCs/>
          <w:rtl/>
        </w:rPr>
      </w:pPr>
      <w:r>
        <w:rPr>
          <w:rFonts w:ascii="David" w:hAnsi="David"/>
          <w:b/>
          <w:bCs/>
          <w:rtl/>
        </w:rPr>
        <w:t xml:space="preserve">   כפי שיפורט להלן:</w:t>
      </w:r>
    </w:p>
    <w:p w14:paraId="6F618F36" w14:textId="77777777" w:rsidR="00426E0C" w:rsidRDefault="008E77EA" w:rsidP="00426E0C">
      <w:pPr>
        <w:spacing w:line="360" w:lineRule="auto"/>
        <w:ind w:left="1440" w:right="426"/>
        <w:contextualSpacing/>
        <w:jc w:val="both"/>
        <w:rPr>
          <w:rFonts w:ascii="David" w:hAnsi="David"/>
          <w:b/>
          <w:bCs/>
          <w:rtl/>
        </w:rPr>
      </w:pPr>
      <w:r>
        <w:rPr>
          <w:rFonts w:ascii="David" w:hAnsi="David"/>
          <w:b/>
          <w:bCs/>
          <w:rtl/>
        </w:rPr>
        <w:t xml:space="preserve">את כל זכויותינו בדירה בת 2 חדרים הידועה כ... הנמצאת ברחוב ** ברחובות (להלן – "הדירה") הננו מצווים לבנינו הנ"ל. </w:t>
      </w:r>
    </w:p>
    <w:p w14:paraId="0CBFFCF6" w14:textId="77777777" w:rsidR="00426E0C" w:rsidRDefault="00426E0C" w:rsidP="00426E0C">
      <w:pPr>
        <w:spacing w:line="360" w:lineRule="auto"/>
        <w:ind w:left="1440" w:right="426"/>
        <w:contextualSpacing/>
        <w:jc w:val="both"/>
        <w:rPr>
          <w:rFonts w:ascii="David" w:hAnsi="David"/>
          <w:b/>
          <w:bCs/>
          <w:rtl/>
        </w:rPr>
      </w:pPr>
    </w:p>
    <w:p w14:paraId="3C582409" w14:textId="77777777" w:rsidR="00426E0C" w:rsidRDefault="008E77EA" w:rsidP="00426E0C">
      <w:pPr>
        <w:spacing w:line="360" w:lineRule="auto"/>
        <w:ind w:left="1440" w:right="426"/>
        <w:contextualSpacing/>
        <w:jc w:val="both"/>
        <w:rPr>
          <w:rFonts w:ascii="David" w:hAnsi="David"/>
          <w:b/>
          <w:bCs/>
          <w:rtl/>
        </w:rPr>
      </w:pPr>
      <w:r>
        <w:rPr>
          <w:rFonts w:ascii="David" w:hAnsi="David"/>
          <w:b/>
          <w:bCs/>
          <w:rtl/>
        </w:rPr>
        <w:t>את כל זכויותינו, שיש לנו ושיהיו לנו בעתיד, בחשבון בנק מס' ..., בנק ** רחובות.</w:t>
      </w:r>
    </w:p>
    <w:p w14:paraId="1C6B4FBA" w14:textId="77777777" w:rsidR="00426E0C" w:rsidRDefault="00426E0C" w:rsidP="00426E0C">
      <w:pPr>
        <w:spacing w:line="360" w:lineRule="auto"/>
        <w:ind w:left="1440" w:right="426"/>
        <w:contextualSpacing/>
        <w:jc w:val="both"/>
        <w:rPr>
          <w:rFonts w:ascii="David" w:hAnsi="David"/>
          <w:b/>
          <w:bCs/>
          <w:rtl/>
        </w:rPr>
      </w:pPr>
    </w:p>
    <w:p w14:paraId="5BDE5FF8" w14:textId="77777777" w:rsidR="00426E0C" w:rsidRDefault="008E77EA" w:rsidP="00426E0C">
      <w:pPr>
        <w:spacing w:line="360" w:lineRule="auto"/>
        <w:ind w:left="1440" w:right="426"/>
        <w:contextualSpacing/>
        <w:jc w:val="both"/>
        <w:rPr>
          <w:rFonts w:ascii="David" w:hAnsi="David"/>
          <w:b/>
          <w:bCs/>
          <w:rtl/>
        </w:rPr>
      </w:pPr>
      <w:r>
        <w:rPr>
          <w:rFonts w:ascii="David" w:hAnsi="David"/>
          <w:b/>
          <w:bCs/>
          <w:rtl/>
        </w:rPr>
        <w:t xml:space="preserve">אם יוכח חס וחלילה כי בנינו הנ"ל לא יהיה בחיים ביום מותנו, כי אז אנו מצווים, כי כל זכויותיו של בנינו על פי צוואה זו, יועברו לילדיו, בחלקים שווים ביניהם". </w:t>
      </w:r>
    </w:p>
    <w:p w14:paraId="7D149F48" w14:textId="77777777" w:rsidR="00426E0C" w:rsidRDefault="00426E0C" w:rsidP="00426E0C">
      <w:pPr>
        <w:spacing w:line="360" w:lineRule="auto"/>
        <w:ind w:left="720"/>
        <w:contextualSpacing/>
        <w:jc w:val="both"/>
        <w:rPr>
          <w:rFonts w:ascii="David" w:hAnsi="David"/>
        </w:rPr>
      </w:pPr>
    </w:p>
    <w:p w14:paraId="1B2F8678" w14:textId="77777777" w:rsidR="00426E0C" w:rsidRDefault="00426E0C" w:rsidP="00426E0C">
      <w:pPr>
        <w:spacing w:line="360" w:lineRule="auto"/>
        <w:ind w:left="720"/>
        <w:contextualSpacing/>
        <w:jc w:val="both"/>
        <w:rPr>
          <w:rFonts w:ascii="David" w:hAnsi="David"/>
        </w:rPr>
      </w:pPr>
    </w:p>
    <w:p w14:paraId="09466012" w14:textId="77777777" w:rsidR="00426E0C" w:rsidRDefault="008E77EA" w:rsidP="00426E0C">
      <w:pPr>
        <w:numPr>
          <w:ilvl w:val="0"/>
          <w:numId w:val="1"/>
        </w:numPr>
        <w:spacing w:after="160" w:line="360" w:lineRule="auto"/>
        <w:jc w:val="both"/>
        <w:rPr>
          <w:rFonts w:ascii="David" w:hAnsi="David"/>
        </w:rPr>
      </w:pPr>
      <w:r>
        <w:rPr>
          <w:rFonts w:ascii="David" w:hAnsi="David"/>
          <w:rtl/>
        </w:rPr>
        <w:t>לעניין תרגום הצוואה, צוין בסעיף 6 לצוואה כדלקמן:</w:t>
      </w:r>
    </w:p>
    <w:p w14:paraId="6BE04809" w14:textId="77777777" w:rsidR="00426E0C" w:rsidRDefault="00426E0C" w:rsidP="00426E0C">
      <w:pPr>
        <w:spacing w:line="360" w:lineRule="auto"/>
        <w:ind w:left="720"/>
        <w:contextualSpacing/>
        <w:jc w:val="both"/>
        <w:rPr>
          <w:rFonts w:ascii="David" w:hAnsi="David"/>
        </w:rPr>
      </w:pPr>
    </w:p>
    <w:p w14:paraId="163875A3" w14:textId="77777777" w:rsidR="00426E0C" w:rsidRDefault="008E77EA" w:rsidP="00426E0C">
      <w:pPr>
        <w:spacing w:line="360" w:lineRule="auto"/>
        <w:ind w:left="1440" w:right="426"/>
        <w:contextualSpacing/>
        <w:jc w:val="both"/>
        <w:rPr>
          <w:rFonts w:ascii="David" w:hAnsi="David"/>
          <w:b/>
          <w:bCs/>
        </w:rPr>
      </w:pPr>
      <w:r>
        <w:rPr>
          <w:rFonts w:ascii="David" w:hAnsi="David"/>
          <w:b/>
          <w:bCs/>
          <w:rtl/>
        </w:rPr>
        <w:t xml:space="preserve">"הנני מצהיר/ה כי זו צוואתנו האחרונה אשר הוקראה ותורגמה לנו לשפה האמהרית ע"י מר ק.ג ת.ז. ... ולאחר שהבנו תוכנה באנו על החתום בחתימת בוהן יד ימין, כאשר חתימתנו הנה מרצוננו הטוב והחופשי, בחתימת ידינו בפני שני עדים האמורים...". </w:t>
      </w:r>
    </w:p>
    <w:p w14:paraId="0F05A524" w14:textId="77777777" w:rsidR="00426E0C" w:rsidRDefault="00426E0C" w:rsidP="00426E0C">
      <w:pPr>
        <w:spacing w:line="360" w:lineRule="auto"/>
        <w:ind w:left="720"/>
        <w:contextualSpacing/>
        <w:jc w:val="both"/>
        <w:rPr>
          <w:rFonts w:ascii="David" w:hAnsi="David"/>
        </w:rPr>
      </w:pPr>
    </w:p>
    <w:p w14:paraId="669D0F06"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ביום 18.11.2011 הלך המנוח לבית עולמו. </w:t>
      </w:r>
    </w:p>
    <w:p w14:paraId="325634D1" w14:textId="77777777" w:rsidR="00426E0C" w:rsidRDefault="00426E0C" w:rsidP="00426E0C">
      <w:pPr>
        <w:ind w:left="720"/>
        <w:contextualSpacing/>
        <w:rPr>
          <w:rFonts w:ascii="David" w:hAnsi="David"/>
        </w:rPr>
      </w:pPr>
    </w:p>
    <w:p w14:paraId="30351563" w14:textId="77777777" w:rsidR="00426E0C" w:rsidRDefault="008E77EA" w:rsidP="00426E0C">
      <w:pPr>
        <w:numPr>
          <w:ilvl w:val="0"/>
          <w:numId w:val="1"/>
        </w:numPr>
        <w:spacing w:after="160" w:line="360" w:lineRule="auto"/>
        <w:jc w:val="both"/>
        <w:rPr>
          <w:rFonts w:ascii="David" w:hAnsi="David"/>
          <w:rtl/>
        </w:rPr>
      </w:pPr>
      <w:r>
        <w:rPr>
          <w:rFonts w:ascii="David" w:hAnsi="David"/>
          <w:rtl/>
        </w:rPr>
        <w:t xml:space="preserve">ביום 24.2.2019 ניתן צו לקיום צוואת המנוח על ידי כב' הרשמת לענייני ירושה. </w:t>
      </w:r>
    </w:p>
    <w:p w14:paraId="7F823A2C" w14:textId="77777777" w:rsidR="00426E0C" w:rsidRDefault="00426E0C" w:rsidP="00426E0C">
      <w:pPr>
        <w:ind w:left="720"/>
        <w:contextualSpacing/>
        <w:rPr>
          <w:rFonts w:ascii="David" w:hAnsi="David"/>
        </w:rPr>
      </w:pPr>
    </w:p>
    <w:p w14:paraId="41FEA790" w14:textId="77777777" w:rsidR="00426E0C" w:rsidRDefault="008E77EA" w:rsidP="00426E0C">
      <w:pPr>
        <w:numPr>
          <w:ilvl w:val="0"/>
          <w:numId w:val="1"/>
        </w:numPr>
        <w:spacing w:after="160" w:line="360" w:lineRule="auto"/>
        <w:jc w:val="both"/>
        <w:rPr>
          <w:rFonts w:ascii="David" w:hAnsi="David"/>
          <w:rtl/>
        </w:rPr>
      </w:pPr>
      <w:r>
        <w:rPr>
          <w:rFonts w:ascii="David" w:hAnsi="David"/>
          <w:rtl/>
        </w:rPr>
        <w:t>ביום 9.3.2019 הלכה המנוחה לבית עולמה.</w:t>
      </w:r>
    </w:p>
    <w:p w14:paraId="616F29A2" w14:textId="77777777" w:rsidR="00426E0C" w:rsidRDefault="00426E0C" w:rsidP="00426E0C">
      <w:pPr>
        <w:spacing w:line="360" w:lineRule="auto"/>
        <w:ind w:left="720"/>
        <w:contextualSpacing/>
        <w:jc w:val="both"/>
        <w:rPr>
          <w:rFonts w:ascii="David" w:hAnsi="David"/>
        </w:rPr>
      </w:pPr>
    </w:p>
    <w:p w14:paraId="009D2264" w14:textId="77777777" w:rsidR="00426E0C" w:rsidRDefault="008E77EA" w:rsidP="00E17ABE">
      <w:pPr>
        <w:numPr>
          <w:ilvl w:val="0"/>
          <w:numId w:val="1"/>
        </w:numPr>
        <w:spacing w:after="160" w:line="360" w:lineRule="auto"/>
        <w:jc w:val="both"/>
        <w:rPr>
          <w:rFonts w:ascii="David" w:hAnsi="David"/>
        </w:rPr>
      </w:pPr>
      <w:r>
        <w:rPr>
          <w:rFonts w:ascii="David" w:hAnsi="David"/>
          <w:rtl/>
        </w:rPr>
        <w:t xml:space="preserve">ביום 20.9.2019 נפטר </w:t>
      </w:r>
      <w:r w:rsidR="00E17ABE">
        <w:rPr>
          <w:rFonts w:ascii="David" w:hAnsi="David" w:hint="cs"/>
          <w:rtl/>
        </w:rPr>
        <w:t>ט.פ</w:t>
      </w:r>
      <w:r>
        <w:rPr>
          <w:rFonts w:ascii="David" w:hAnsi="David"/>
          <w:rtl/>
        </w:rPr>
        <w:t xml:space="preserve"> בנם של המנוחים – היורש לפי הצוואה. להשלמת התמונה יצוין, כי ביום 29.10.2024 ניתן צו ירושה לעיזבונו של היורש ז"ל (במסגרת ת"ע 40485-09-23), ולפיו ילדיו הם יורשיו לפי דין. כמו כן, במהלך ניהול ההליכים שלפניי התגלה כי ליורש ז"ל נולד ילד נוסף, שהינו קטין, ואף הוא יורש לפי דין. בית המשפט מינה לקטין אפו' לדין.  </w:t>
      </w:r>
    </w:p>
    <w:p w14:paraId="273D1771" w14:textId="77777777" w:rsidR="00426E0C" w:rsidRDefault="00426E0C" w:rsidP="00426E0C">
      <w:pPr>
        <w:spacing w:line="360" w:lineRule="auto"/>
        <w:ind w:left="720"/>
        <w:contextualSpacing/>
        <w:jc w:val="both"/>
        <w:rPr>
          <w:rFonts w:ascii="David" w:hAnsi="David"/>
        </w:rPr>
      </w:pPr>
    </w:p>
    <w:p w14:paraId="6DB91DF8" w14:textId="77777777" w:rsidR="00426E0C" w:rsidRDefault="008E77EA" w:rsidP="00426E0C">
      <w:pPr>
        <w:numPr>
          <w:ilvl w:val="0"/>
          <w:numId w:val="1"/>
        </w:numPr>
        <w:spacing w:after="160" w:line="360" w:lineRule="auto"/>
        <w:jc w:val="both"/>
        <w:rPr>
          <w:rFonts w:ascii="David" w:hAnsi="David"/>
          <w:rtl/>
        </w:rPr>
      </w:pPr>
      <w:r>
        <w:rPr>
          <w:rFonts w:ascii="David" w:hAnsi="David"/>
          <w:rtl/>
        </w:rPr>
        <w:t xml:space="preserve">המתנגדים הגישו התנגדות לקיום צוואת </w:t>
      </w:r>
      <w:r>
        <w:rPr>
          <w:rFonts w:ascii="David" w:hAnsi="David"/>
          <w:u w:val="single"/>
          <w:rtl/>
        </w:rPr>
        <w:t>האם המנוחה</w:t>
      </w:r>
      <w:r>
        <w:rPr>
          <w:rFonts w:ascii="David" w:hAnsi="David"/>
          <w:rtl/>
        </w:rPr>
        <w:t xml:space="preserve">. </w:t>
      </w:r>
    </w:p>
    <w:p w14:paraId="71BFA937" w14:textId="77777777" w:rsidR="00426E0C" w:rsidRDefault="00426E0C" w:rsidP="00426E0C">
      <w:pPr>
        <w:pStyle w:val="ad"/>
        <w:rPr>
          <w:rFonts w:ascii="David" w:hAnsi="David" w:cs="David"/>
          <w:sz w:val="24"/>
          <w:szCs w:val="24"/>
        </w:rPr>
      </w:pPr>
    </w:p>
    <w:p w14:paraId="60CB9DC9" w14:textId="77777777" w:rsidR="00426E0C" w:rsidRDefault="008E77EA" w:rsidP="00426E0C">
      <w:pPr>
        <w:spacing w:line="360" w:lineRule="auto"/>
        <w:ind w:left="720"/>
        <w:contextualSpacing/>
        <w:jc w:val="both"/>
        <w:rPr>
          <w:rFonts w:ascii="David" w:hAnsi="David"/>
          <w:rtl/>
        </w:rPr>
      </w:pPr>
      <w:r>
        <w:rPr>
          <w:rFonts w:ascii="David" w:hAnsi="David"/>
          <w:rtl/>
        </w:rPr>
        <w:t xml:space="preserve">מנגד, הגישו המבקשים, ילדיו של היורש ז"ל ויורשיו לפי דין, בקשה למתן צו לקיום צוואת האם המנוחה, והתיקים בעניין האם המנוחה התנהלו בפני מותב זה. </w:t>
      </w:r>
    </w:p>
    <w:p w14:paraId="7E711D21" w14:textId="77777777" w:rsidR="00426E0C" w:rsidRDefault="00426E0C" w:rsidP="00426E0C">
      <w:pPr>
        <w:pStyle w:val="ad"/>
        <w:rPr>
          <w:rFonts w:ascii="David" w:hAnsi="David" w:cs="David"/>
          <w:sz w:val="24"/>
          <w:szCs w:val="24"/>
        </w:rPr>
      </w:pPr>
    </w:p>
    <w:p w14:paraId="54777785" w14:textId="77777777" w:rsidR="00426E0C" w:rsidRDefault="008E77EA" w:rsidP="00426E0C">
      <w:pPr>
        <w:numPr>
          <w:ilvl w:val="0"/>
          <w:numId w:val="1"/>
        </w:numPr>
        <w:spacing w:after="160" w:line="360" w:lineRule="auto"/>
        <w:jc w:val="both"/>
        <w:rPr>
          <w:rFonts w:ascii="David" w:hAnsi="David"/>
          <w:rtl/>
        </w:rPr>
      </w:pPr>
      <w:r>
        <w:rPr>
          <w:rFonts w:ascii="David" w:hAnsi="David"/>
          <w:rtl/>
        </w:rPr>
        <w:t xml:space="preserve">בחודש מרץ 2021 הגישו המתנגדים לכב' הרשמת לענייני ירושה בקשה לביטול הצו לקיום צוואת </w:t>
      </w:r>
      <w:r>
        <w:rPr>
          <w:rFonts w:ascii="David" w:hAnsi="David"/>
          <w:u w:val="single"/>
          <w:rtl/>
        </w:rPr>
        <w:t>האב המנוח</w:t>
      </w:r>
      <w:r>
        <w:rPr>
          <w:rFonts w:ascii="David" w:hAnsi="David"/>
          <w:rtl/>
        </w:rPr>
        <w:t xml:space="preserve"> שניתן על ידה. מנגד, המבקשים התנגדו לביטול הצו לקיום צוואת האב המנוח. </w:t>
      </w:r>
    </w:p>
    <w:p w14:paraId="0630FEF7" w14:textId="77777777" w:rsidR="00426E0C" w:rsidRDefault="00426E0C" w:rsidP="00426E0C">
      <w:pPr>
        <w:ind w:left="720"/>
        <w:contextualSpacing/>
        <w:rPr>
          <w:rFonts w:ascii="David" w:hAnsi="David"/>
        </w:rPr>
      </w:pPr>
    </w:p>
    <w:p w14:paraId="20B1EE73" w14:textId="77777777" w:rsidR="00426E0C" w:rsidRDefault="008E77EA" w:rsidP="00426E0C">
      <w:pPr>
        <w:spacing w:line="360" w:lineRule="auto"/>
        <w:ind w:left="720"/>
        <w:contextualSpacing/>
        <w:jc w:val="both"/>
        <w:rPr>
          <w:rFonts w:ascii="David" w:hAnsi="David"/>
          <w:rtl/>
        </w:rPr>
      </w:pPr>
      <w:r>
        <w:rPr>
          <w:rFonts w:ascii="David" w:hAnsi="David"/>
          <w:rtl/>
        </w:rPr>
        <w:t xml:space="preserve">ביום 8.6.2021 ניתנה החלטת כב' הרשמת להעברת הבקשה לביטול הצו לבית המשפט, וזאת בין היתר "בשל השיהוי בהגשת הבקשה". </w:t>
      </w:r>
    </w:p>
    <w:p w14:paraId="65156567" w14:textId="77777777" w:rsidR="00426E0C" w:rsidRDefault="00426E0C" w:rsidP="00426E0C">
      <w:pPr>
        <w:spacing w:line="360" w:lineRule="auto"/>
        <w:ind w:left="720"/>
        <w:contextualSpacing/>
        <w:jc w:val="both"/>
        <w:rPr>
          <w:rFonts w:ascii="David" w:hAnsi="David"/>
        </w:rPr>
      </w:pPr>
    </w:p>
    <w:p w14:paraId="00E00008"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בשים לב לכך שמדובר במשפחה אחת ובצוואות זהות (שכן האב המנוח והאם המנוחה חתמו על אותה צוואה), הועבר אף הדיון בבקשה לביטול צו קיום צוואת האב המנוח, למותב זה, וההליכים נדונו יחד (ראו: החלטת כב' ס. הנשיא הש' מטלין מיום 13.10.2021). </w:t>
      </w:r>
    </w:p>
    <w:p w14:paraId="2C6DDDB1" w14:textId="77777777" w:rsidR="00426E0C" w:rsidRDefault="00426E0C" w:rsidP="00426E0C">
      <w:pPr>
        <w:pStyle w:val="ad"/>
        <w:rPr>
          <w:rFonts w:ascii="David" w:hAnsi="David" w:cs="David"/>
          <w:sz w:val="24"/>
          <w:szCs w:val="24"/>
        </w:rPr>
      </w:pPr>
    </w:p>
    <w:p w14:paraId="0DDE9E48" w14:textId="77777777" w:rsidR="00426E0C" w:rsidRDefault="008E77EA" w:rsidP="00426E0C">
      <w:pPr>
        <w:numPr>
          <w:ilvl w:val="0"/>
          <w:numId w:val="1"/>
        </w:numPr>
        <w:spacing w:after="160" w:line="360" w:lineRule="auto"/>
        <w:jc w:val="both"/>
        <w:rPr>
          <w:rFonts w:ascii="David" w:hAnsi="David"/>
          <w:rtl/>
        </w:rPr>
      </w:pPr>
      <w:r>
        <w:rPr>
          <w:rFonts w:ascii="David" w:hAnsi="David"/>
          <w:rtl/>
        </w:rPr>
        <w:t xml:space="preserve">הואיל ולא עלה בידי הצדדים להגיע להסכמות בהליכים שלפניי, הוריתי על הגשת תצהירים, וכן התקיימו דיוני הוכחות בכלל ההליכים שלפניי.  </w:t>
      </w:r>
    </w:p>
    <w:p w14:paraId="306ADA01" w14:textId="77777777" w:rsidR="00426E0C" w:rsidRDefault="00426E0C" w:rsidP="00426E0C">
      <w:pPr>
        <w:ind w:left="720"/>
        <w:contextualSpacing/>
        <w:rPr>
          <w:rFonts w:ascii="David" w:hAnsi="David"/>
        </w:rPr>
      </w:pPr>
    </w:p>
    <w:p w14:paraId="0E3A3025" w14:textId="77777777" w:rsidR="00426E0C" w:rsidRDefault="008E77EA" w:rsidP="00426E0C">
      <w:pPr>
        <w:spacing w:line="360" w:lineRule="auto"/>
        <w:ind w:firstLine="360"/>
        <w:jc w:val="both"/>
        <w:rPr>
          <w:rFonts w:ascii="David" w:hAnsi="David"/>
          <w:b/>
          <w:bCs/>
          <w:u w:val="single"/>
          <w:rtl/>
        </w:rPr>
      </w:pPr>
      <w:r>
        <w:rPr>
          <w:rFonts w:ascii="David" w:hAnsi="David"/>
          <w:b/>
          <w:bCs/>
          <w:u w:val="single"/>
          <w:rtl/>
        </w:rPr>
        <w:t>תמצית טענות המתנגדים</w:t>
      </w:r>
    </w:p>
    <w:p w14:paraId="6955BA1E" w14:textId="77777777" w:rsidR="00426E0C" w:rsidRDefault="00426E0C" w:rsidP="00426E0C">
      <w:pPr>
        <w:spacing w:line="360" w:lineRule="auto"/>
        <w:ind w:firstLine="360"/>
        <w:jc w:val="both"/>
        <w:rPr>
          <w:rFonts w:ascii="David" w:hAnsi="David"/>
          <w:b/>
          <w:bCs/>
          <w:u w:val="single"/>
          <w:rtl/>
        </w:rPr>
      </w:pPr>
    </w:p>
    <w:p w14:paraId="18D1FBB6" w14:textId="77777777" w:rsidR="00426E0C" w:rsidRDefault="008E77EA" w:rsidP="00426E0C">
      <w:pPr>
        <w:spacing w:line="360" w:lineRule="auto"/>
        <w:ind w:left="720"/>
        <w:contextualSpacing/>
        <w:jc w:val="both"/>
        <w:rPr>
          <w:rFonts w:ascii="David" w:hAnsi="David"/>
          <w:u w:val="single"/>
          <w:rtl/>
        </w:rPr>
      </w:pPr>
      <w:r>
        <w:rPr>
          <w:rFonts w:ascii="David" w:hAnsi="David"/>
          <w:u w:val="single"/>
          <w:rtl/>
        </w:rPr>
        <w:t>הבקשה לביטול צו קיום צוואת האב המנוח:</w:t>
      </w:r>
    </w:p>
    <w:p w14:paraId="4AB23900" w14:textId="77777777" w:rsidR="00426E0C" w:rsidRDefault="00426E0C" w:rsidP="00426E0C">
      <w:pPr>
        <w:spacing w:line="360" w:lineRule="auto"/>
        <w:ind w:left="720"/>
        <w:contextualSpacing/>
        <w:jc w:val="both"/>
        <w:rPr>
          <w:rFonts w:ascii="David" w:hAnsi="David"/>
          <w:u w:val="single"/>
          <w:rtl/>
        </w:rPr>
      </w:pPr>
    </w:p>
    <w:p w14:paraId="3241A492"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 המתנגדים, הבקשה למתן צו לקיום צוואת האב המנוח הוגשה למעלה מ-7 שנים לאחר פטירתו ומבלי ליידע את המתנגדים על קיומה של הצוואה. לטענתם, רק כשנה לאחר פטירת האם המנוחה נודע למתנגדים כי קיימת צוואה משותפת שערכו המנוחים. </w:t>
      </w:r>
    </w:p>
    <w:p w14:paraId="1B533A46" w14:textId="77777777" w:rsidR="00426E0C" w:rsidRDefault="00426E0C" w:rsidP="00426E0C">
      <w:pPr>
        <w:spacing w:line="360" w:lineRule="auto"/>
        <w:ind w:left="720"/>
        <w:contextualSpacing/>
        <w:jc w:val="both"/>
        <w:rPr>
          <w:rFonts w:ascii="David" w:hAnsi="David"/>
        </w:rPr>
      </w:pPr>
    </w:p>
    <w:p w14:paraId="62EF62F9"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לטענתם, הזוכה לפי הצוואה – היורש ז"ל, הלך לבית עולמו כחצי שנה לאחר פטירת האם המנוחה, אולם בטרם נפטר העביר את זכויות האב המנוח בדירה על שמו. </w:t>
      </w:r>
    </w:p>
    <w:p w14:paraId="14B4D89B" w14:textId="77777777" w:rsidR="00426E0C" w:rsidRDefault="00426E0C" w:rsidP="00426E0C">
      <w:pPr>
        <w:spacing w:line="360" w:lineRule="auto"/>
        <w:jc w:val="both"/>
        <w:rPr>
          <w:rFonts w:ascii="David" w:hAnsi="David"/>
        </w:rPr>
      </w:pPr>
    </w:p>
    <w:p w14:paraId="78E6663B"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 המתנגדים, כל עוד אימם הייתה בחיים הם לא עסקו בענייני הירושה, וכמנהג עדתם – בני העדה האתיופית, המשיכו בכך עד חלוף שנה ממועד פטירתה. </w:t>
      </w:r>
    </w:p>
    <w:p w14:paraId="39ECE0EB" w14:textId="77777777" w:rsidR="00426E0C" w:rsidRDefault="00426E0C" w:rsidP="00426E0C">
      <w:pPr>
        <w:spacing w:line="360" w:lineRule="auto"/>
        <w:ind w:left="720"/>
        <w:contextualSpacing/>
        <w:jc w:val="both"/>
        <w:rPr>
          <w:rFonts w:ascii="David" w:hAnsi="David"/>
        </w:rPr>
      </w:pPr>
    </w:p>
    <w:p w14:paraId="4F7D5809" w14:textId="77777777" w:rsidR="00426E0C" w:rsidRDefault="008E77EA" w:rsidP="00426E0C">
      <w:pPr>
        <w:numPr>
          <w:ilvl w:val="0"/>
          <w:numId w:val="1"/>
        </w:numPr>
        <w:spacing w:after="160" w:line="360" w:lineRule="auto"/>
        <w:jc w:val="both"/>
        <w:rPr>
          <w:rFonts w:ascii="David" w:hAnsi="David"/>
        </w:rPr>
      </w:pPr>
      <w:r>
        <w:rPr>
          <w:rFonts w:ascii="David" w:hAnsi="David"/>
          <w:rtl/>
        </w:rPr>
        <w:t>לטענתם, רק בתום תקופת האבל נודע להם שהאח היורש החתים את ההורים עוד בשנת 2006 על מסמך לפיו כביכול הם מורישים לו את כל רכושם. למרבה הצער, במועד זה פרצה מגפת הקורונה והמתנגדים חששו לצאת מבתיהם.</w:t>
      </w:r>
    </w:p>
    <w:p w14:paraId="16A721BF" w14:textId="77777777" w:rsidR="00426E0C" w:rsidRDefault="00426E0C" w:rsidP="00426E0C">
      <w:pPr>
        <w:spacing w:line="360" w:lineRule="auto"/>
        <w:ind w:left="720"/>
        <w:contextualSpacing/>
        <w:jc w:val="both"/>
        <w:rPr>
          <w:rFonts w:ascii="David" w:hAnsi="David"/>
        </w:rPr>
      </w:pPr>
    </w:p>
    <w:p w14:paraId="24C65303" w14:textId="77777777" w:rsidR="00426E0C" w:rsidRDefault="008E77EA" w:rsidP="00426E0C">
      <w:pPr>
        <w:spacing w:line="360" w:lineRule="auto"/>
        <w:ind w:left="720"/>
        <w:contextualSpacing/>
        <w:jc w:val="both"/>
        <w:rPr>
          <w:rFonts w:ascii="David" w:hAnsi="David"/>
          <w:u w:val="single"/>
        </w:rPr>
      </w:pPr>
      <w:r>
        <w:rPr>
          <w:rFonts w:ascii="David" w:hAnsi="David"/>
          <w:u w:val="single"/>
          <w:rtl/>
        </w:rPr>
        <w:t>ההתנגדות לקיום צוואת האם המנוחה:</w:t>
      </w:r>
    </w:p>
    <w:p w14:paraId="676B5D86" w14:textId="77777777" w:rsidR="00426E0C" w:rsidRDefault="00426E0C" w:rsidP="00426E0C">
      <w:pPr>
        <w:spacing w:line="360" w:lineRule="auto"/>
        <w:ind w:left="720"/>
        <w:contextualSpacing/>
        <w:jc w:val="both"/>
        <w:rPr>
          <w:rFonts w:ascii="David" w:hAnsi="David"/>
          <w:u w:val="single"/>
          <w:rtl/>
        </w:rPr>
      </w:pPr>
    </w:p>
    <w:p w14:paraId="1CEFC9CE" w14:textId="77777777" w:rsidR="00426E0C" w:rsidRDefault="008E77EA" w:rsidP="00426E0C">
      <w:pPr>
        <w:numPr>
          <w:ilvl w:val="0"/>
          <w:numId w:val="1"/>
        </w:numPr>
        <w:spacing w:after="160" w:line="360" w:lineRule="auto"/>
        <w:jc w:val="both"/>
        <w:rPr>
          <w:rFonts w:ascii="David" w:hAnsi="David"/>
        </w:rPr>
      </w:pPr>
      <w:r>
        <w:rPr>
          <w:rFonts w:ascii="David" w:hAnsi="David"/>
          <w:rtl/>
        </w:rPr>
        <w:t>לטענת המתנגדים, טיעוניהם מתייחסים לעיזבון המנוחים יחדיו, שכן הטיעונים העובדתיים והמשפטיים זהים לגבי שניהם.</w:t>
      </w:r>
    </w:p>
    <w:p w14:paraId="361D9B6F" w14:textId="77777777" w:rsidR="00426E0C" w:rsidRDefault="00426E0C" w:rsidP="00426E0C">
      <w:pPr>
        <w:spacing w:line="360" w:lineRule="auto"/>
        <w:ind w:left="720"/>
        <w:contextualSpacing/>
        <w:jc w:val="both"/>
        <w:rPr>
          <w:rFonts w:ascii="David" w:hAnsi="David"/>
        </w:rPr>
      </w:pPr>
    </w:p>
    <w:p w14:paraId="28E0C2A0" w14:textId="77777777" w:rsidR="00426E0C" w:rsidRDefault="008E77EA" w:rsidP="00426E0C">
      <w:pPr>
        <w:numPr>
          <w:ilvl w:val="0"/>
          <w:numId w:val="1"/>
        </w:numPr>
        <w:spacing w:after="160" w:line="360" w:lineRule="auto"/>
        <w:jc w:val="both"/>
        <w:rPr>
          <w:rFonts w:ascii="David" w:hAnsi="David"/>
        </w:rPr>
      </w:pPr>
      <w:r>
        <w:rPr>
          <w:rFonts w:ascii="David" w:hAnsi="David"/>
          <w:rtl/>
        </w:rPr>
        <w:t>לטענתם, היורש היה היחיד מכל האחים שידע קרוא וכתוב בעברית והיחיד שהיה בעל רישיון נהיגה. היורש אומנם סייע להוריו ולאחיו לעלות ארצה ואף סייע להם לאחר העליה, אך אין בכך כדי להצדיק את הדרת יתר האחים מעיזבון ההורים המנוחים.</w:t>
      </w:r>
    </w:p>
    <w:p w14:paraId="51972AAC" w14:textId="77777777" w:rsidR="00426E0C" w:rsidRDefault="00426E0C" w:rsidP="00426E0C">
      <w:pPr>
        <w:spacing w:line="360" w:lineRule="auto"/>
        <w:ind w:left="720"/>
        <w:contextualSpacing/>
        <w:jc w:val="both"/>
        <w:rPr>
          <w:rFonts w:ascii="David" w:hAnsi="David"/>
        </w:rPr>
      </w:pPr>
    </w:p>
    <w:p w14:paraId="2F4CEB51" w14:textId="77777777" w:rsidR="00426E0C" w:rsidRDefault="008E77EA" w:rsidP="00426E0C">
      <w:pPr>
        <w:numPr>
          <w:ilvl w:val="0"/>
          <w:numId w:val="1"/>
        </w:numPr>
        <w:spacing w:after="160" w:line="360" w:lineRule="auto"/>
        <w:jc w:val="both"/>
        <w:rPr>
          <w:rFonts w:ascii="David" w:hAnsi="David"/>
        </w:rPr>
      </w:pPr>
      <w:r>
        <w:rPr>
          <w:rFonts w:ascii="David" w:hAnsi="David"/>
          <w:rtl/>
        </w:rPr>
        <w:t>המתנגדים הופתעו לשמוע אודות קיום הצוואות, שכן היחסים של ההורים עם כל ילדיהם היו מצוינים ולא הייתה כל סיבה להעדפת הבן היורש על פני יתר האחים.</w:t>
      </w:r>
    </w:p>
    <w:p w14:paraId="34EC4C4E" w14:textId="77777777" w:rsidR="00426E0C" w:rsidRDefault="008E77EA" w:rsidP="00426E0C">
      <w:pPr>
        <w:numPr>
          <w:ilvl w:val="0"/>
          <w:numId w:val="1"/>
        </w:numPr>
        <w:spacing w:after="160" w:line="360" w:lineRule="auto"/>
        <w:jc w:val="both"/>
        <w:rPr>
          <w:rFonts w:ascii="David" w:hAnsi="David"/>
        </w:rPr>
      </w:pPr>
      <w:r>
        <w:rPr>
          <w:rFonts w:ascii="David" w:hAnsi="David"/>
          <w:rtl/>
        </w:rPr>
        <w:t>עוד נטען, כי העדים החתומים על הצוואות לא יודעים את השפה האמהרית ולא יכולים היו לדעת מכלי ראשון מה רצונם של המנוחים.</w:t>
      </w:r>
    </w:p>
    <w:p w14:paraId="683829EB" w14:textId="77777777" w:rsidR="00426E0C" w:rsidRDefault="00426E0C" w:rsidP="00426E0C">
      <w:pPr>
        <w:spacing w:line="360" w:lineRule="auto"/>
        <w:jc w:val="both"/>
        <w:rPr>
          <w:rFonts w:ascii="David" w:hAnsi="David"/>
        </w:rPr>
      </w:pPr>
    </w:p>
    <w:p w14:paraId="4DAD178D"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המתורגמן המצוין בצוואות מר ק.ג הינו קרוב משפחה של גרושתו של היורש (דודנים מדרגה שנייה) ואין למתנגדים ספק כי הוא לא הסביר למנוחים על מה הם חותמים וכי הם מנשלים את יתר ילדיהם מירושתם. </w:t>
      </w:r>
    </w:p>
    <w:p w14:paraId="046D6DBE" w14:textId="77777777" w:rsidR="00426E0C" w:rsidRDefault="00426E0C" w:rsidP="00426E0C">
      <w:pPr>
        <w:spacing w:line="360" w:lineRule="auto"/>
        <w:jc w:val="both"/>
        <w:rPr>
          <w:rFonts w:ascii="David" w:hAnsi="David"/>
        </w:rPr>
      </w:pPr>
    </w:p>
    <w:p w14:paraId="7517CC9D"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לטענתם, לא יעלה על הדעת כי ההורים היו מסכימים לקבוע כי ככל שהיורש לא יהיה בחיים, ירשו ילדיו של היורש את עיזבונם, ולא יתר ילדיהם. לפיכך, לטענתם הוריהם המנוחים רומו. </w:t>
      </w:r>
    </w:p>
    <w:p w14:paraId="2D11A4E3" w14:textId="77777777" w:rsidR="00426E0C" w:rsidRDefault="00426E0C" w:rsidP="00426E0C">
      <w:pPr>
        <w:spacing w:line="360" w:lineRule="auto"/>
        <w:jc w:val="both"/>
        <w:rPr>
          <w:rFonts w:ascii="David" w:hAnsi="David"/>
        </w:rPr>
      </w:pPr>
    </w:p>
    <w:p w14:paraId="18EF6A11"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 המתנגדים, הואיל והעדים החתומים על הצוואות אינם דוברים את השפה האמהרית, הרי שמדובר בצוואה ללא עדים, והדבר מהווה פגם המביא לביטול הצוואות, ומכל מקום מביא להיפוך נטל הראיה. </w:t>
      </w:r>
    </w:p>
    <w:p w14:paraId="33C4BA3C" w14:textId="77777777" w:rsidR="00426E0C" w:rsidRDefault="00426E0C" w:rsidP="00426E0C">
      <w:pPr>
        <w:spacing w:line="360" w:lineRule="auto"/>
        <w:jc w:val="both"/>
        <w:rPr>
          <w:rFonts w:ascii="David" w:hAnsi="David"/>
        </w:rPr>
      </w:pPr>
    </w:p>
    <w:p w14:paraId="1D296225"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לטענתם, המבקשים נמנעו מלהביא לעדות את העדים לצוואה ואת המתורגמן, שהם עדים מרכזיים שיש ביכולתם לשפוך אור על נסיבות עריכת הצוואה. יש לזקוף זאת לרעת המבקשים. </w:t>
      </w:r>
    </w:p>
    <w:p w14:paraId="57A6F0D1" w14:textId="77777777" w:rsidR="00426E0C" w:rsidRDefault="00426E0C" w:rsidP="00426E0C">
      <w:pPr>
        <w:spacing w:line="360" w:lineRule="auto"/>
        <w:ind w:left="720"/>
        <w:contextualSpacing/>
        <w:jc w:val="both"/>
        <w:rPr>
          <w:rFonts w:ascii="David" w:hAnsi="David"/>
        </w:rPr>
      </w:pPr>
    </w:p>
    <w:p w14:paraId="3A7177CA" w14:textId="77777777" w:rsidR="00426E0C" w:rsidRDefault="008E77EA" w:rsidP="00426E0C">
      <w:pPr>
        <w:spacing w:line="360" w:lineRule="auto"/>
        <w:ind w:left="720"/>
        <w:jc w:val="both"/>
        <w:rPr>
          <w:rFonts w:ascii="David" w:hAnsi="David"/>
          <w:b/>
          <w:bCs/>
          <w:u w:val="single"/>
          <w:rtl/>
        </w:rPr>
      </w:pPr>
      <w:r>
        <w:rPr>
          <w:rFonts w:ascii="David" w:hAnsi="David"/>
          <w:b/>
          <w:bCs/>
          <w:u w:val="single"/>
          <w:rtl/>
        </w:rPr>
        <w:t>תמצית טענות המבקשים</w:t>
      </w:r>
    </w:p>
    <w:p w14:paraId="2E0D4F82" w14:textId="77777777" w:rsidR="00426E0C" w:rsidRDefault="00426E0C" w:rsidP="00426E0C">
      <w:pPr>
        <w:spacing w:line="360" w:lineRule="auto"/>
        <w:ind w:left="720"/>
        <w:jc w:val="both"/>
        <w:rPr>
          <w:rFonts w:ascii="David" w:hAnsi="David"/>
          <w:b/>
          <w:bCs/>
          <w:u w:val="single"/>
        </w:rPr>
      </w:pPr>
    </w:p>
    <w:p w14:paraId="4FB000DF" w14:textId="77777777" w:rsidR="00426E0C" w:rsidRDefault="008E77EA" w:rsidP="00426E0C">
      <w:pPr>
        <w:spacing w:line="360" w:lineRule="auto"/>
        <w:ind w:left="720"/>
        <w:contextualSpacing/>
        <w:jc w:val="both"/>
        <w:rPr>
          <w:rFonts w:ascii="David" w:hAnsi="David"/>
          <w:u w:val="single"/>
        </w:rPr>
      </w:pPr>
      <w:r>
        <w:rPr>
          <w:rFonts w:ascii="David" w:hAnsi="David"/>
          <w:u w:val="single"/>
          <w:rtl/>
        </w:rPr>
        <w:t>הבקשה לביטול צו קיום צוואת האב המנוח:</w:t>
      </w:r>
    </w:p>
    <w:p w14:paraId="2E1E5244" w14:textId="77777777" w:rsidR="00426E0C" w:rsidRDefault="00426E0C" w:rsidP="00426E0C">
      <w:pPr>
        <w:spacing w:line="360" w:lineRule="auto"/>
        <w:ind w:left="720"/>
        <w:contextualSpacing/>
        <w:jc w:val="both"/>
        <w:rPr>
          <w:rFonts w:ascii="David" w:hAnsi="David"/>
          <w:u w:val="single"/>
          <w:rtl/>
        </w:rPr>
      </w:pPr>
    </w:p>
    <w:p w14:paraId="5C46B9B7" w14:textId="77777777" w:rsidR="00426E0C" w:rsidRDefault="008E77EA" w:rsidP="00426E0C">
      <w:pPr>
        <w:numPr>
          <w:ilvl w:val="0"/>
          <w:numId w:val="1"/>
        </w:numPr>
        <w:spacing w:after="160" w:line="360" w:lineRule="auto"/>
        <w:jc w:val="both"/>
        <w:rPr>
          <w:rFonts w:ascii="David" w:hAnsi="David"/>
        </w:rPr>
      </w:pPr>
      <w:r>
        <w:rPr>
          <w:rFonts w:ascii="David" w:hAnsi="David"/>
          <w:rtl/>
        </w:rPr>
        <w:t>לטענת המבקשים, המתנגדים מתייחסים בטענותיהם לשתי הצוואות יחד. אמנם מדובר בתיקים מאוחדים, אך ההליכים אינם זהים. בעניין האב המנוח הוגשה על ידי המתנגדים בקשה לביטול צו קיום צוואה (בשונה מההתנגדות שהוגשה בעניין צוואת האם המנוחה). ואולם ביטול צו קיום צוואה כמוהו כביטול פסק דין, והמתנגדים לא הרימו את הנטל הנדרש לביטול הצו שניתן.</w:t>
      </w:r>
    </w:p>
    <w:p w14:paraId="204F9878" w14:textId="77777777" w:rsidR="00426E0C" w:rsidRDefault="00426E0C" w:rsidP="00426E0C">
      <w:pPr>
        <w:spacing w:line="360" w:lineRule="auto"/>
        <w:ind w:left="720"/>
        <w:contextualSpacing/>
        <w:jc w:val="both"/>
        <w:rPr>
          <w:rFonts w:ascii="David" w:hAnsi="David"/>
        </w:rPr>
      </w:pPr>
    </w:p>
    <w:p w14:paraId="2898F828"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 המבקשים, ניתן צו לקיום צוואת האב המנוח כבר ביום 24.2.2019. המתנגדים היו מודעים לקיום הצוואה לכל המאוחר בסמוך לאחר פטירתו של היורש בחודש 9/2019, שאז פנה המתנגד 3 למבקשת 3 בעניין צוואת המנוחים. המתנגדים עצמם מודים כי נודע להם על צו קיום הצוואה בחודש 3/2020 (ס' 2 לבקשה לביטול צו קיום צוואה), ואולם הם הגישו את הבקשה לביטול הצו רק כעבור שנה - בחודש 3/2021. </w:t>
      </w:r>
    </w:p>
    <w:p w14:paraId="0F74D1BA" w14:textId="77777777" w:rsidR="00426E0C" w:rsidRDefault="00426E0C" w:rsidP="00426E0C">
      <w:pPr>
        <w:spacing w:line="360" w:lineRule="auto"/>
        <w:ind w:left="720"/>
        <w:contextualSpacing/>
        <w:jc w:val="both"/>
        <w:rPr>
          <w:rFonts w:ascii="David" w:hAnsi="David"/>
        </w:rPr>
      </w:pPr>
    </w:p>
    <w:p w14:paraId="0F9E9315"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לטענתם, השיהוי פגע קשות ביכולת לברר את העובדות, שכן בחלוף הזמן גם האם המנוחה וגם היורש ז"ל, אביהם של המבקשים (והזוכה לפי הצוואה), הלכו לבית עולמם ולא ניתן להביא את עדותם. </w:t>
      </w:r>
    </w:p>
    <w:p w14:paraId="517D3D2F" w14:textId="77777777" w:rsidR="00426E0C" w:rsidRDefault="00426E0C" w:rsidP="00426E0C">
      <w:pPr>
        <w:spacing w:line="360" w:lineRule="auto"/>
        <w:jc w:val="both"/>
        <w:rPr>
          <w:rFonts w:ascii="David" w:hAnsi="David"/>
        </w:rPr>
      </w:pPr>
    </w:p>
    <w:p w14:paraId="4CA10286" w14:textId="77777777" w:rsidR="00426E0C" w:rsidRDefault="008E77EA" w:rsidP="00426E0C">
      <w:pPr>
        <w:numPr>
          <w:ilvl w:val="0"/>
          <w:numId w:val="1"/>
        </w:numPr>
        <w:spacing w:after="160" w:line="360" w:lineRule="auto"/>
        <w:jc w:val="both"/>
        <w:rPr>
          <w:rFonts w:ascii="David" w:hAnsi="David"/>
        </w:rPr>
      </w:pPr>
      <w:r>
        <w:rPr>
          <w:rFonts w:ascii="David" w:hAnsi="David"/>
          <w:rtl/>
        </w:rPr>
        <w:t>עוד נטען, כי המתנגדים לא פירטו כיצד נודע להם על מתן צו קיום הצוואה. כמו כן, המתנגדים תולים את השיהוי הרב בטענה סתמית של פרוץ מגיפת הקורונה, וזאת מבלי לפרט ומבלי לתמוך טענותיהם באסמכתאות.</w:t>
      </w:r>
    </w:p>
    <w:p w14:paraId="57EAAF56" w14:textId="77777777" w:rsidR="00426E0C" w:rsidRDefault="00426E0C" w:rsidP="00426E0C">
      <w:pPr>
        <w:spacing w:line="360" w:lineRule="auto"/>
        <w:jc w:val="both"/>
        <w:rPr>
          <w:rFonts w:ascii="David" w:hAnsi="David"/>
        </w:rPr>
      </w:pPr>
    </w:p>
    <w:p w14:paraId="61555C38"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רק בשל שיהוי זה יש לדחות את הבקשה. ומכל מקום, יש להטיל על המתנגדים נטל מוגבר להוכחת טענותיהם, כאשר הם לא עמדו בנטל זה. </w:t>
      </w:r>
    </w:p>
    <w:p w14:paraId="22BFB25A" w14:textId="77777777" w:rsidR="00426E0C" w:rsidRDefault="00426E0C" w:rsidP="00426E0C">
      <w:pPr>
        <w:spacing w:line="360" w:lineRule="auto"/>
        <w:ind w:left="720"/>
        <w:contextualSpacing/>
        <w:jc w:val="both"/>
        <w:rPr>
          <w:rFonts w:ascii="David" w:hAnsi="David"/>
        </w:rPr>
      </w:pPr>
    </w:p>
    <w:p w14:paraId="2F29F0A7" w14:textId="77777777" w:rsidR="00426E0C" w:rsidRDefault="008E77EA" w:rsidP="00426E0C">
      <w:pPr>
        <w:spacing w:line="360" w:lineRule="auto"/>
        <w:ind w:left="720"/>
        <w:contextualSpacing/>
        <w:jc w:val="both"/>
        <w:rPr>
          <w:rFonts w:ascii="David" w:hAnsi="David"/>
          <w:u w:val="single"/>
        </w:rPr>
      </w:pPr>
      <w:r>
        <w:rPr>
          <w:rFonts w:ascii="David" w:hAnsi="David"/>
          <w:u w:val="single"/>
          <w:rtl/>
        </w:rPr>
        <w:t>לעניין ההתנגדות לקיום צוואת האם המנוחה</w:t>
      </w:r>
    </w:p>
    <w:p w14:paraId="7701F4DB" w14:textId="77777777" w:rsidR="00426E0C" w:rsidRDefault="00426E0C" w:rsidP="00426E0C">
      <w:pPr>
        <w:spacing w:line="360" w:lineRule="auto"/>
        <w:ind w:left="720"/>
        <w:contextualSpacing/>
        <w:jc w:val="both"/>
        <w:rPr>
          <w:rFonts w:ascii="David" w:hAnsi="David"/>
          <w:u w:val="single"/>
          <w:rtl/>
        </w:rPr>
      </w:pPr>
    </w:p>
    <w:p w14:paraId="211B6C9F" w14:textId="77777777" w:rsidR="00426E0C" w:rsidRDefault="008E77EA" w:rsidP="00FC3EB7">
      <w:pPr>
        <w:numPr>
          <w:ilvl w:val="0"/>
          <w:numId w:val="1"/>
        </w:numPr>
        <w:spacing w:after="160" w:line="360" w:lineRule="auto"/>
        <w:jc w:val="both"/>
        <w:rPr>
          <w:rFonts w:ascii="David" w:hAnsi="David"/>
        </w:rPr>
      </w:pPr>
      <w:r>
        <w:rPr>
          <w:rFonts w:ascii="David" w:hAnsi="David"/>
          <w:rtl/>
        </w:rPr>
        <w:t xml:space="preserve">לטענת המבקשים, הצוואה נחתמה בשנת 2006, כאשר אין חולק כי המנוחים היו צלולים וכשירים. היורש עלה ראשון ארצה יחד עם אשתו דאז – </w:t>
      </w:r>
      <w:r w:rsidR="00FC3EB7">
        <w:rPr>
          <w:rFonts w:ascii="David" w:hAnsi="David" w:hint="cs"/>
          <w:rtl/>
        </w:rPr>
        <w:t>גב' מ'</w:t>
      </w:r>
      <w:r>
        <w:rPr>
          <w:rFonts w:ascii="David" w:hAnsi="David"/>
          <w:rtl/>
        </w:rPr>
        <w:t xml:space="preserve"> (ממנה התגרש בשנת 2018), ופעל רבות על מנת להעלות ארצה גם את המנוחים, ואף את אחיו המתנגדים. כמו כן, היורש סייע כספית למנוחים ולמתנגדים בעת ששהו באתיופיה, וזאת במשך כ-10 שנים, טרם עלייתם ארצה. </w:t>
      </w:r>
    </w:p>
    <w:p w14:paraId="3422DB5E" w14:textId="77777777" w:rsidR="00426E0C" w:rsidRDefault="00426E0C" w:rsidP="00426E0C">
      <w:pPr>
        <w:spacing w:line="360" w:lineRule="auto"/>
        <w:ind w:left="720"/>
        <w:contextualSpacing/>
        <w:jc w:val="both"/>
        <w:rPr>
          <w:rFonts w:ascii="David" w:hAnsi="David"/>
        </w:rPr>
      </w:pPr>
    </w:p>
    <w:p w14:paraId="38466331"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לטענתם, המנוחים העריכו מאוד את היורש נוכח מאמציו אלו ורצו לגמול לו על עזרתו הרבה. בשנת 2005 לערך, בעת כינוס משפחתי בו נכחו גם המתנגדים הצהיר המנוח באופן מפורש כי ברצונם של המנוחים כי היורש יירש את דירתם. </w:t>
      </w:r>
    </w:p>
    <w:p w14:paraId="7F58118F" w14:textId="77777777" w:rsidR="00426E0C" w:rsidRDefault="00426E0C" w:rsidP="00426E0C">
      <w:pPr>
        <w:spacing w:line="360" w:lineRule="auto"/>
        <w:jc w:val="both"/>
        <w:rPr>
          <w:rFonts w:ascii="David" w:hAnsi="David"/>
        </w:rPr>
      </w:pPr>
    </w:p>
    <w:p w14:paraId="70A69514"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למנוחים היו יחסים חמים עם היורש ובני משפחתו, אשר סייעו להם אף לעת זקנתם. </w:t>
      </w:r>
    </w:p>
    <w:p w14:paraId="41B22377" w14:textId="77777777" w:rsidR="00426E0C" w:rsidRDefault="00426E0C" w:rsidP="00426E0C">
      <w:pPr>
        <w:spacing w:line="360" w:lineRule="auto"/>
        <w:jc w:val="both"/>
        <w:rPr>
          <w:rFonts w:ascii="David" w:hAnsi="David"/>
        </w:rPr>
      </w:pPr>
    </w:p>
    <w:p w14:paraId="6A07682A"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לטענת המבקשים, המנוחים היו עצמאיים והתגוררו בקרבת מקום לחלק מילדיהם. </w:t>
      </w:r>
    </w:p>
    <w:p w14:paraId="39340E97" w14:textId="77777777" w:rsidR="00426E0C" w:rsidRDefault="00426E0C" w:rsidP="00426E0C">
      <w:pPr>
        <w:spacing w:line="360" w:lineRule="auto"/>
        <w:jc w:val="both"/>
        <w:rPr>
          <w:rFonts w:ascii="David" w:hAnsi="David"/>
        </w:rPr>
      </w:pPr>
    </w:p>
    <w:p w14:paraId="1D208FF3" w14:textId="77777777" w:rsidR="00426E0C" w:rsidRDefault="008E77EA" w:rsidP="00426E0C">
      <w:pPr>
        <w:numPr>
          <w:ilvl w:val="0"/>
          <w:numId w:val="1"/>
        </w:numPr>
        <w:spacing w:after="160" w:line="360" w:lineRule="auto"/>
        <w:jc w:val="both"/>
        <w:rPr>
          <w:rFonts w:ascii="David" w:hAnsi="David"/>
        </w:rPr>
      </w:pPr>
      <w:r>
        <w:rPr>
          <w:rFonts w:ascii="David" w:hAnsi="David"/>
          <w:rtl/>
        </w:rPr>
        <w:t xml:space="preserve">עוד נטען כי היורש ו/או אשתו דאז לא הזמינו את המתורגמן מראש למעמד החתימה על הצוואה ולא היו עמו בקשר כלשהו בעניין זה טרם עריכת הצוואה. </w:t>
      </w:r>
    </w:p>
    <w:p w14:paraId="053F0FA2" w14:textId="77777777" w:rsidR="00426E0C" w:rsidRDefault="00426E0C" w:rsidP="00426E0C">
      <w:pPr>
        <w:spacing w:line="360" w:lineRule="auto"/>
        <w:jc w:val="both"/>
        <w:rPr>
          <w:rFonts w:ascii="David" w:hAnsi="David"/>
        </w:rPr>
      </w:pPr>
    </w:p>
    <w:p w14:paraId="5F476FB9" w14:textId="77777777" w:rsidR="00426E0C" w:rsidRDefault="008E77EA" w:rsidP="00426E0C">
      <w:pPr>
        <w:numPr>
          <w:ilvl w:val="0"/>
          <w:numId w:val="1"/>
        </w:numPr>
        <w:spacing w:after="160" w:line="360" w:lineRule="auto"/>
        <w:jc w:val="both"/>
        <w:rPr>
          <w:rFonts w:ascii="David" w:hAnsi="David"/>
        </w:rPr>
      </w:pPr>
      <w:r>
        <w:rPr>
          <w:rFonts w:ascii="David" w:hAnsi="David"/>
          <w:rtl/>
        </w:rPr>
        <w:t>לטענת המבקשים, המתנגדים לא הוכיחו כי נפל פגם בצוואה. המתנגדים טענו כי מדובר בצוואה ללא עדים כלל, אולם על גבי הצוו</w:t>
      </w:r>
      <w:r w:rsidR="00752117">
        <w:rPr>
          <w:rFonts w:ascii="David" w:hAnsi="David"/>
          <w:rtl/>
        </w:rPr>
        <w:t xml:space="preserve">אה חתומים שני עדים, וכן צוין </w:t>
      </w:r>
      <w:r w:rsidR="00752117">
        <w:rPr>
          <w:rFonts w:ascii="David" w:hAnsi="David" w:hint="cs"/>
          <w:rtl/>
        </w:rPr>
        <w:t xml:space="preserve">על </w:t>
      </w:r>
      <w:r>
        <w:rPr>
          <w:rFonts w:ascii="David" w:hAnsi="David"/>
          <w:rtl/>
        </w:rPr>
        <w:t xml:space="preserve">גבי הצוואה כי היא הוקראה למנוחים ותורגמה לשפה האמהרית, כך שהמנוחים הבינו את תוכנה של הצוואה עליה חתמו. </w:t>
      </w:r>
    </w:p>
    <w:p w14:paraId="5295FD0C" w14:textId="77777777" w:rsidR="00426E0C" w:rsidRDefault="00426E0C" w:rsidP="00426E0C">
      <w:pPr>
        <w:spacing w:line="360" w:lineRule="auto"/>
        <w:ind w:left="360"/>
        <w:jc w:val="both"/>
        <w:rPr>
          <w:rFonts w:ascii="David" w:hAnsi="David"/>
          <w:rtl/>
        </w:rPr>
      </w:pPr>
    </w:p>
    <w:p w14:paraId="5F19A454" w14:textId="77777777" w:rsidR="00426E0C" w:rsidRDefault="008E77EA" w:rsidP="00426E0C">
      <w:pPr>
        <w:spacing w:line="360" w:lineRule="auto"/>
        <w:ind w:firstLine="360"/>
        <w:jc w:val="both"/>
        <w:rPr>
          <w:rFonts w:ascii="David" w:hAnsi="David"/>
          <w:b/>
          <w:bCs/>
          <w:u w:val="single"/>
        </w:rPr>
      </w:pPr>
      <w:r>
        <w:rPr>
          <w:rFonts w:ascii="David" w:hAnsi="David"/>
          <w:b/>
          <w:bCs/>
          <w:u w:val="single"/>
          <w:rtl/>
        </w:rPr>
        <w:t>דיון והכרעה</w:t>
      </w:r>
    </w:p>
    <w:p w14:paraId="75C204BA" w14:textId="77777777" w:rsidR="00426E0C" w:rsidRDefault="00426E0C" w:rsidP="00426E0C">
      <w:pPr>
        <w:spacing w:line="360" w:lineRule="auto"/>
        <w:ind w:left="720"/>
        <w:contextualSpacing/>
        <w:jc w:val="both"/>
        <w:rPr>
          <w:rFonts w:ascii="David" w:hAnsi="David"/>
          <w:b/>
          <w:bCs/>
          <w:u w:val="single"/>
          <w:rtl/>
        </w:rPr>
      </w:pPr>
    </w:p>
    <w:p w14:paraId="2F3C4816" w14:textId="77777777" w:rsidR="00426E0C" w:rsidRDefault="008E77EA" w:rsidP="00426E0C">
      <w:pPr>
        <w:spacing w:line="360" w:lineRule="auto"/>
        <w:ind w:left="720"/>
        <w:contextualSpacing/>
        <w:jc w:val="both"/>
        <w:rPr>
          <w:rFonts w:ascii="David" w:hAnsi="David"/>
          <w:b/>
          <w:bCs/>
          <w:u w:val="single"/>
        </w:rPr>
      </w:pPr>
      <w:r>
        <w:rPr>
          <w:rFonts w:ascii="David" w:hAnsi="David"/>
          <w:b/>
          <w:bCs/>
          <w:u w:val="single"/>
          <w:rtl/>
        </w:rPr>
        <w:t>הבקשה לביטול הצו לקיום צוואת האב המנוח</w:t>
      </w:r>
    </w:p>
    <w:p w14:paraId="36A638DA" w14:textId="77777777" w:rsidR="00426E0C" w:rsidRDefault="00426E0C" w:rsidP="00426E0C">
      <w:pPr>
        <w:spacing w:line="360" w:lineRule="auto"/>
        <w:ind w:left="720"/>
        <w:contextualSpacing/>
        <w:jc w:val="both"/>
        <w:rPr>
          <w:rFonts w:ascii="David" w:hAnsi="David"/>
          <w:b/>
          <w:bCs/>
          <w:u w:val="single"/>
          <w:rtl/>
        </w:rPr>
      </w:pPr>
    </w:p>
    <w:p w14:paraId="21DFDA44" w14:textId="77777777" w:rsidR="00426E0C" w:rsidRDefault="008E77EA" w:rsidP="00426E0C">
      <w:pPr>
        <w:numPr>
          <w:ilvl w:val="0"/>
          <w:numId w:val="1"/>
        </w:numPr>
        <w:spacing w:after="160" w:line="360" w:lineRule="auto"/>
        <w:jc w:val="both"/>
        <w:rPr>
          <w:rFonts w:ascii="David" w:hAnsi="David"/>
        </w:rPr>
      </w:pPr>
      <w:r>
        <w:rPr>
          <w:rFonts w:ascii="David" w:hAnsi="David"/>
          <w:rtl/>
        </w:rPr>
        <w:t>תחילה יש להבהיר, כי אמנם לצורך היעילות הדיונית נדונו צוואות שני המנוחים יחד, אולם מדובר בהליכים משפטיים נפרדים, עם נטלי הוכחה שונים.</w:t>
      </w:r>
    </w:p>
    <w:p w14:paraId="23C518BA" w14:textId="77777777" w:rsidR="00426E0C" w:rsidRDefault="00426E0C" w:rsidP="00426E0C">
      <w:pPr>
        <w:spacing w:line="360" w:lineRule="auto"/>
        <w:ind w:left="720"/>
        <w:contextualSpacing/>
        <w:jc w:val="both"/>
        <w:rPr>
          <w:rFonts w:ascii="David" w:hAnsi="David"/>
        </w:rPr>
      </w:pPr>
    </w:p>
    <w:p w14:paraId="5B526FFC" w14:textId="77777777" w:rsidR="00426E0C" w:rsidRDefault="008E77EA" w:rsidP="00426E0C">
      <w:pPr>
        <w:spacing w:line="360" w:lineRule="auto"/>
        <w:ind w:left="720"/>
        <w:contextualSpacing/>
        <w:jc w:val="both"/>
        <w:rPr>
          <w:rFonts w:ascii="David" w:hAnsi="David"/>
          <w:rtl/>
        </w:rPr>
      </w:pPr>
      <w:r>
        <w:rPr>
          <w:rFonts w:ascii="David" w:hAnsi="David"/>
          <w:rtl/>
        </w:rPr>
        <w:t>בעניין צוואת האב המנוח –</w:t>
      </w:r>
      <w:r w:rsidR="00FC3EB7">
        <w:rPr>
          <w:rFonts w:ascii="David" w:hAnsi="David" w:hint="cs"/>
          <w:rtl/>
        </w:rPr>
        <w:t xml:space="preserve"> </w:t>
      </w:r>
      <w:r>
        <w:rPr>
          <w:rFonts w:ascii="David" w:hAnsi="David"/>
          <w:rtl/>
        </w:rPr>
        <w:t>ניתן צו לקיום צוואתו כבר ביום 24.2.2019, והבקשה שלפניי היא לביטול הצו שניתן.</w:t>
      </w:r>
    </w:p>
    <w:p w14:paraId="049EFD47" w14:textId="77777777" w:rsidR="00426E0C" w:rsidRDefault="00426E0C" w:rsidP="00426E0C">
      <w:pPr>
        <w:spacing w:line="360" w:lineRule="auto"/>
        <w:ind w:left="720"/>
        <w:contextualSpacing/>
        <w:jc w:val="both"/>
        <w:rPr>
          <w:rFonts w:ascii="David" w:hAnsi="David"/>
          <w:b/>
          <w:bCs/>
        </w:rPr>
      </w:pPr>
    </w:p>
    <w:p w14:paraId="62674164" w14:textId="77777777" w:rsidR="00426E0C" w:rsidRDefault="008E77EA" w:rsidP="00426E0C">
      <w:pPr>
        <w:numPr>
          <w:ilvl w:val="0"/>
          <w:numId w:val="1"/>
        </w:numPr>
        <w:spacing w:after="160" w:line="360" w:lineRule="auto"/>
        <w:jc w:val="both"/>
        <w:rPr>
          <w:rFonts w:ascii="David" w:hAnsi="David"/>
          <w:b/>
          <w:bCs/>
        </w:rPr>
      </w:pPr>
      <w:r>
        <w:rPr>
          <w:rFonts w:ascii="David" w:hAnsi="David"/>
          <w:b/>
          <w:bCs/>
          <w:rtl/>
        </w:rPr>
        <w:t xml:space="preserve">לאחר עיון בכלל הראיות שהונחו לפניי, מצאתי לדחות את הבקשה לביטול צו קיום צוואת האב המנוח. </w:t>
      </w:r>
    </w:p>
    <w:p w14:paraId="2E4486CD" w14:textId="77777777" w:rsidR="00426E0C" w:rsidRDefault="00426E0C" w:rsidP="00426E0C">
      <w:pPr>
        <w:spacing w:line="360" w:lineRule="auto"/>
        <w:ind w:left="720"/>
        <w:contextualSpacing/>
        <w:jc w:val="both"/>
        <w:rPr>
          <w:rFonts w:ascii="David" w:hAnsi="David"/>
          <w:b/>
          <w:bCs/>
        </w:rPr>
      </w:pPr>
    </w:p>
    <w:p w14:paraId="15F4286A" w14:textId="77777777" w:rsidR="00426E0C" w:rsidRDefault="008E77EA" w:rsidP="00426E0C">
      <w:pPr>
        <w:spacing w:line="360" w:lineRule="auto"/>
        <w:ind w:left="720"/>
        <w:contextualSpacing/>
        <w:jc w:val="both"/>
        <w:rPr>
          <w:rFonts w:ascii="David" w:hAnsi="David"/>
          <w:b/>
          <w:bCs/>
          <w:rtl/>
        </w:rPr>
      </w:pPr>
      <w:r>
        <w:rPr>
          <w:rFonts w:ascii="David" w:hAnsi="David"/>
          <w:b/>
          <w:bCs/>
          <w:rtl/>
        </w:rPr>
        <w:t>להלן נימוקיי</w:t>
      </w:r>
      <w:r>
        <w:rPr>
          <w:rFonts w:ascii="David" w:hAnsi="David" w:hint="cs"/>
          <w:b/>
          <w:bCs/>
          <w:rtl/>
        </w:rPr>
        <w:t>:</w:t>
      </w:r>
    </w:p>
    <w:p w14:paraId="52BF17FD" w14:textId="77777777" w:rsidR="00426E0C" w:rsidRDefault="00426E0C" w:rsidP="00426E0C">
      <w:pPr>
        <w:spacing w:line="360" w:lineRule="auto"/>
        <w:ind w:left="720"/>
        <w:contextualSpacing/>
        <w:jc w:val="both"/>
        <w:rPr>
          <w:rFonts w:ascii="David" w:hAnsi="David"/>
        </w:rPr>
      </w:pPr>
    </w:p>
    <w:p w14:paraId="08082892" w14:textId="77777777" w:rsidR="00426E0C" w:rsidRDefault="008E77EA" w:rsidP="00426E0C">
      <w:pPr>
        <w:spacing w:line="360" w:lineRule="auto"/>
        <w:ind w:left="720"/>
        <w:contextualSpacing/>
        <w:jc w:val="both"/>
        <w:rPr>
          <w:rFonts w:ascii="David" w:hAnsi="David"/>
          <w:u w:val="single"/>
          <w:rtl/>
        </w:rPr>
      </w:pPr>
      <w:r>
        <w:rPr>
          <w:rFonts w:ascii="David" w:hAnsi="David"/>
          <w:u w:val="single"/>
          <w:rtl/>
        </w:rPr>
        <w:t>מסגרת נורמטיבית</w:t>
      </w:r>
    </w:p>
    <w:p w14:paraId="3C090C7B" w14:textId="77777777" w:rsidR="00426E0C" w:rsidRDefault="00426E0C" w:rsidP="00426E0C">
      <w:pPr>
        <w:spacing w:line="360" w:lineRule="auto"/>
        <w:ind w:left="720"/>
        <w:contextualSpacing/>
        <w:jc w:val="both"/>
        <w:rPr>
          <w:rFonts w:ascii="David" w:hAnsi="David"/>
          <w:rtl/>
        </w:rPr>
      </w:pPr>
    </w:p>
    <w:p w14:paraId="4230A14D" w14:textId="77777777" w:rsidR="00426E0C" w:rsidRDefault="008E77EA" w:rsidP="00426E0C">
      <w:pPr>
        <w:numPr>
          <w:ilvl w:val="0"/>
          <w:numId w:val="1"/>
        </w:numPr>
        <w:spacing w:line="360" w:lineRule="auto"/>
        <w:jc w:val="both"/>
        <w:rPr>
          <w:rFonts w:ascii="David" w:hAnsi="David"/>
          <w:color w:val="000000"/>
        </w:rPr>
      </w:pPr>
      <w:r>
        <w:rPr>
          <w:rFonts w:ascii="David" w:hAnsi="David"/>
          <w:color w:val="000000"/>
          <w:rtl/>
        </w:rPr>
        <w:t xml:space="preserve">בפסיקה נקבע כי תוצאת צו ירושה או צו לקיום צוואה היא כשל פסק דין חפצא הפועל כלפי כולי עלמא, והוא למעשה מעמיד הכרעה סופית ומחייבת. צו קיום כזה ניתן לביטול בדרך של בקשה לתיקון או ביטול צו קיום הצוואה, בהתאם לתנאים הקבועים בסעיף 72 לחוק הירושה או בדרך של ערעור. (ע"א 3706/91 </w:t>
      </w:r>
      <w:r>
        <w:rPr>
          <w:rFonts w:ascii="David" w:hAnsi="David"/>
          <w:b/>
          <w:bCs/>
          <w:color w:val="000000"/>
          <w:rtl/>
        </w:rPr>
        <w:t>שאולוב נ' שאולוב</w:t>
      </w:r>
      <w:r>
        <w:rPr>
          <w:rFonts w:ascii="David" w:hAnsi="David"/>
          <w:color w:val="000000"/>
          <w:rtl/>
        </w:rPr>
        <w:t>, פ"ד מז(2) 865, 870</w:t>
      </w:r>
      <w:r>
        <w:rPr>
          <w:rFonts w:ascii="David" w:hAnsi="David"/>
          <w:color w:val="000000"/>
        </w:rPr>
        <w:t>(</w:t>
      </w:r>
      <w:r>
        <w:rPr>
          <w:rFonts w:ascii="David" w:hAnsi="David"/>
          <w:color w:val="000000"/>
          <w:rtl/>
        </w:rPr>
        <w:t>).</w:t>
      </w:r>
    </w:p>
    <w:p w14:paraId="5EA8DFE9" w14:textId="77777777" w:rsidR="00426E0C" w:rsidRDefault="00426E0C" w:rsidP="00426E0C">
      <w:pPr>
        <w:spacing w:line="360" w:lineRule="auto"/>
        <w:ind w:left="283"/>
        <w:jc w:val="both"/>
        <w:rPr>
          <w:rFonts w:ascii="David" w:hAnsi="David"/>
          <w:color w:val="000000"/>
          <w:rtl/>
        </w:rPr>
      </w:pPr>
    </w:p>
    <w:p w14:paraId="0FA2DECA" w14:textId="77777777" w:rsidR="00426E0C" w:rsidRDefault="008E77EA" w:rsidP="00426E0C">
      <w:pPr>
        <w:numPr>
          <w:ilvl w:val="0"/>
          <w:numId w:val="1"/>
        </w:numPr>
        <w:spacing w:line="360" w:lineRule="auto"/>
        <w:jc w:val="both"/>
        <w:rPr>
          <w:rFonts w:ascii="David" w:hAnsi="David"/>
          <w:noProof w:val="0"/>
          <w:rtl/>
        </w:rPr>
      </w:pPr>
      <w:r>
        <w:rPr>
          <w:rFonts w:ascii="David" w:hAnsi="David"/>
          <w:rtl/>
        </w:rPr>
        <w:t xml:space="preserve">סעיף 72(א) לחוק הירושה, תשכ"ה – 1965 (להלן: </w:t>
      </w:r>
      <w:r>
        <w:rPr>
          <w:rFonts w:ascii="David" w:hAnsi="David"/>
          <w:b/>
          <w:bCs/>
          <w:rtl/>
        </w:rPr>
        <w:t>"חוק הירושה"</w:t>
      </w:r>
      <w:r>
        <w:rPr>
          <w:rFonts w:ascii="David" w:hAnsi="David"/>
          <w:rtl/>
        </w:rPr>
        <w:t>), קובע כדלקמן:</w:t>
      </w:r>
    </w:p>
    <w:p w14:paraId="7649A97F" w14:textId="77777777" w:rsidR="00426E0C" w:rsidRDefault="00426E0C" w:rsidP="00426E0C">
      <w:pPr>
        <w:spacing w:line="360" w:lineRule="auto"/>
        <w:ind w:left="283"/>
        <w:jc w:val="both"/>
        <w:rPr>
          <w:rFonts w:ascii="David" w:hAnsi="David"/>
          <w:rtl/>
        </w:rPr>
      </w:pPr>
    </w:p>
    <w:p w14:paraId="02F85D3C" w14:textId="77777777" w:rsidR="00426E0C" w:rsidRDefault="008E77EA" w:rsidP="00426E0C">
      <w:pPr>
        <w:spacing w:after="120" w:line="360" w:lineRule="auto"/>
        <w:ind w:left="1440" w:right="709"/>
        <w:jc w:val="both"/>
        <w:rPr>
          <w:rFonts w:ascii="David" w:hAnsi="David"/>
          <w:b/>
          <w:bCs/>
          <w:rtl/>
        </w:rPr>
      </w:pPr>
      <w:r>
        <w:rPr>
          <w:rFonts w:ascii="David" w:hAnsi="David"/>
          <w:b/>
          <w:bCs/>
          <w:rtl/>
        </w:rPr>
        <w:t>"נתן רשם לעניני ירושה או בית משפט צו ירושה או צו קיום, רשאי כל אחד מהם, לגבי צווים שנתן, לפי בקשת מעוניין בדבר, לתקנם או לבטלם על סמך עובדות או טענות שלא היו בפניו בזמן מתן הצו, ואולם ראה רשם לעניני ירושה שלא להיזקק לעובדה או לטענה שהמבקש יכול היה להביאה לפני מתן הצו, או שיכול היה להביאה לאחר מכן ולא עשה כן בהזדמנות הסבירה הראשונה, יעביר את הבקשה לבית המשפט".</w:t>
      </w:r>
      <w:r>
        <w:rPr>
          <w:rFonts w:ascii="David" w:hAnsi="David"/>
          <w:b/>
          <w:bCs/>
          <w:rtl/>
        </w:rPr>
        <w:tab/>
      </w:r>
    </w:p>
    <w:p w14:paraId="0D1D7016" w14:textId="77777777" w:rsidR="00426E0C" w:rsidRDefault="00426E0C" w:rsidP="00426E0C">
      <w:pPr>
        <w:spacing w:line="360" w:lineRule="auto"/>
        <w:ind w:left="283"/>
        <w:jc w:val="both"/>
        <w:rPr>
          <w:rFonts w:ascii="David" w:hAnsi="David"/>
          <w:color w:val="000000"/>
          <w:rtl/>
        </w:rPr>
      </w:pPr>
    </w:p>
    <w:p w14:paraId="3D61B2B1" w14:textId="77777777" w:rsidR="00426E0C" w:rsidRDefault="008E77EA" w:rsidP="00426E0C">
      <w:pPr>
        <w:numPr>
          <w:ilvl w:val="0"/>
          <w:numId w:val="1"/>
        </w:numPr>
        <w:spacing w:line="360" w:lineRule="auto"/>
        <w:jc w:val="both"/>
        <w:rPr>
          <w:rFonts w:ascii="David" w:hAnsi="David"/>
          <w:color w:val="000000"/>
        </w:rPr>
      </w:pPr>
      <w:r>
        <w:rPr>
          <w:rFonts w:ascii="David" w:hAnsi="David"/>
          <w:color w:val="000000"/>
          <w:rtl/>
        </w:rPr>
        <w:t>סעיף 72(א) לחוק הירושה מהווה חריג לכלל סופיות הדיון. בפסיקה נקבע כי "לבית המשפט מסור שיקול דעת שלא להיזקק לבקשה לתיקון או לביטול, אם מצא שהגשתה נגועה בשיהוי" (ע"א 210/09 </w:t>
      </w:r>
      <w:r>
        <w:rPr>
          <w:rFonts w:ascii="David" w:hAnsi="David"/>
          <w:b/>
          <w:bCs/>
          <w:color w:val="000000"/>
          <w:rtl/>
        </w:rPr>
        <w:t>נחמה חן נ' עמותות לשכת אליהו הנביא 6 של הבונים</w:t>
      </w:r>
      <w:r>
        <w:rPr>
          <w:rFonts w:ascii="David" w:hAnsi="David"/>
          <w:color w:val="000000"/>
          <w:rtl/>
        </w:rPr>
        <w:t> (31.12.2009).</w:t>
      </w:r>
    </w:p>
    <w:p w14:paraId="681111B2" w14:textId="77777777" w:rsidR="00FC3EB7" w:rsidRDefault="00FC3EB7" w:rsidP="00FC3EB7">
      <w:pPr>
        <w:spacing w:line="360" w:lineRule="auto"/>
        <w:ind w:left="720"/>
        <w:jc w:val="both"/>
        <w:rPr>
          <w:rFonts w:ascii="David" w:hAnsi="David"/>
          <w:color w:val="000000"/>
          <w:rtl/>
        </w:rPr>
      </w:pPr>
    </w:p>
    <w:p w14:paraId="71E0CFAC" w14:textId="77777777" w:rsidR="00426E0C" w:rsidRDefault="008E77EA" w:rsidP="00426E0C">
      <w:pPr>
        <w:spacing w:line="360" w:lineRule="auto"/>
        <w:ind w:left="720"/>
        <w:jc w:val="both"/>
        <w:rPr>
          <w:rFonts w:ascii="David" w:hAnsi="David"/>
          <w:color w:val="000000"/>
        </w:rPr>
      </w:pPr>
      <w:r>
        <w:rPr>
          <w:rFonts w:ascii="David" w:hAnsi="David"/>
          <w:color w:val="000000"/>
          <w:rtl/>
        </w:rPr>
        <w:t>הפסיקה קבעה כי סעיף 72(א) לחוק הירושה "פותח אמנם פתח לחריגה מכלל סופיות הדיון, אולם פתח זה אינו כפתחו של אולם... אם בית המשפט מוצא כי בקשת הביטול הוגשה בשיהוי מאיין ונעדר הסבר מספק – רשאי הוא להחליט על דחייתה של בקשת הביטול על הסף". (רע"א 8920/08 </w:t>
      </w:r>
      <w:r>
        <w:rPr>
          <w:rFonts w:ascii="David" w:hAnsi="David"/>
          <w:b/>
          <w:bCs/>
          <w:color w:val="000000"/>
          <w:rtl/>
        </w:rPr>
        <w:t>גנאיים חמזה נ' האפוטרופוס הכללי</w:t>
      </w:r>
      <w:r>
        <w:rPr>
          <w:rFonts w:ascii="David" w:hAnsi="David"/>
          <w:color w:val="000000"/>
          <w:rtl/>
        </w:rPr>
        <w:t> (13.5.2010)</w:t>
      </w:r>
      <w:r>
        <w:rPr>
          <w:rFonts w:ascii="David" w:hAnsi="David"/>
          <w:rtl/>
        </w:rPr>
        <w:t xml:space="preserve">). </w:t>
      </w:r>
    </w:p>
    <w:p w14:paraId="588BFCE8" w14:textId="77777777" w:rsidR="00426E0C" w:rsidRDefault="00426E0C" w:rsidP="00426E0C">
      <w:pPr>
        <w:spacing w:line="360" w:lineRule="auto"/>
        <w:ind w:left="283"/>
        <w:jc w:val="both"/>
        <w:rPr>
          <w:rFonts w:ascii="David" w:hAnsi="David"/>
          <w:color w:val="000000"/>
          <w:rtl/>
        </w:rPr>
      </w:pPr>
    </w:p>
    <w:p w14:paraId="0D724134" w14:textId="77777777" w:rsidR="00426E0C" w:rsidRDefault="008E77EA" w:rsidP="00426E0C">
      <w:pPr>
        <w:numPr>
          <w:ilvl w:val="0"/>
          <w:numId w:val="1"/>
        </w:numPr>
        <w:spacing w:after="160" w:line="360" w:lineRule="auto"/>
        <w:jc w:val="both"/>
        <w:rPr>
          <w:rFonts w:ascii="David" w:eastAsiaTheme="minorHAnsi" w:hAnsi="David"/>
          <w:noProof w:val="0"/>
          <w:rtl/>
        </w:rPr>
      </w:pPr>
      <w:r>
        <w:rPr>
          <w:rFonts w:ascii="David" w:hAnsi="David"/>
          <w:rtl/>
        </w:rPr>
        <w:t>נקבע, כי על בית המשפט לשקול שלושה גורמים בבואו להכריע אם</w:t>
      </w:r>
      <w:r>
        <w:rPr>
          <w:rFonts w:ascii="David" w:hAnsi="David"/>
        </w:rPr>
        <w:t xml:space="preserve"> </w:t>
      </w:r>
      <w:r>
        <w:rPr>
          <w:rFonts w:ascii="David" w:hAnsi="David"/>
          <w:rtl/>
        </w:rPr>
        <w:t>יש</w:t>
      </w:r>
      <w:r>
        <w:rPr>
          <w:rFonts w:ascii="David" w:hAnsi="David"/>
        </w:rPr>
        <w:t xml:space="preserve"> </w:t>
      </w:r>
      <w:r>
        <w:rPr>
          <w:rFonts w:ascii="David" w:hAnsi="David"/>
          <w:rtl/>
        </w:rPr>
        <w:t>מקום</w:t>
      </w:r>
      <w:r>
        <w:rPr>
          <w:rFonts w:ascii="David" w:hAnsi="David"/>
        </w:rPr>
        <w:t xml:space="preserve"> </w:t>
      </w:r>
      <w:r>
        <w:rPr>
          <w:rFonts w:ascii="David" w:hAnsi="David"/>
          <w:rtl/>
        </w:rPr>
        <w:t>לפתוח</w:t>
      </w:r>
      <w:r>
        <w:rPr>
          <w:rFonts w:ascii="David" w:hAnsi="David"/>
        </w:rPr>
        <w:t xml:space="preserve"> </w:t>
      </w:r>
      <w:r>
        <w:rPr>
          <w:rFonts w:ascii="David" w:hAnsi="David"/>
          <w:rtl/>
        </w:rPr>
        <w:t>את</w:t>
      </w:r>
      <w:r>
        <w:rPr>
          <w:rFonts w:ascii="David" w:hAnsi="David"/>
        </w:rPr>
        <w:t xml:space="preserve"> </w:t>
      </w:r>
      <w:r>
        <w:rPr>
          <w:rFonts w:ascii="David" w:hAnsi="David"/>
          <w:rtl/>
        </w:rPr>
        <w:t>הדיון</w:t>
      </w:r>
      <w:r>
        <w:rPr>
          <w:rFonts w:ascii="David" w:hAnsi="David"/>
        </w:rPr>
        <w:t xml:space="preserve"> </w:t>
      </w:r>
      <w:r>
        <w:rPr>
          <w:rFonts w:ascii="David" w:hAnsi="David"/>
          <w:rtl/>
        </w:rPr>
        <w:t xml:space="preserve">מחדש: </w:t>
      </w:r>
    </w:p>
    <w:p w14:paraId="733C1119" w14:textId="77777777" w:rsidR="00426E0C" w:rsidRDefault="008E77EA" w:rsidP="00426E0C">
      <w:pPr>
        <w:numPr>
          <w:ilvl w:val="0"/>
          <w:numId w:val="4"/>
        </w:numPr>
        <w:spacing w:after="120" w:line="360" w:lineRule="auto"/>
        <w:ind w:right="426"/>
        <w:jc w:val="both"/>
        <w:rPr>
          <w:rFonts w:ascii="David" w:hAnsi="David"/>
          <w:rtl/>
        </w:rPr>
      </w:pPr>
      <w:r>
        <w:rPr>
          <w:rFonts w:ascii="David" w:hAnsi="David"/>
          <w:rtl/>
        </w:rPr>
        <w:t>"מידת האיחור בהגשת הבקשה ובהבאת העובדה והטענה החדשות לפני ביהמ"ש.</w:t>
      </w:r>
    </w:p>
    <w:p w14:paraId="6268E889" w14:textId="77777777" w:rsidR="00426E0C" w:rsidRDefault="008E77EA" w:rsidP="00426E0C">
      <w:pPr>
        <w:numPr>
          <w:ilvl w:val="0"/>
          <w:numId w:val="4"/>
        </w:numPr>
        <w:spacing w:after="120" w:line="360" w:lineRule="auto"/>
        <w:ind w:right="426"/>
        <w:jc w:val="both"/>
        <w:rPr>
          <w:rFonts w:ascii="David" w:hAnsi="David"/>
        </w:rPr>
      </w:pPr>
      <w:r>
        <w:rPr>
          <w:rFonts w:ascii="David" w:hAnsi="David"/>
          <w:rtl/>
        </w:rPr>
        <w:t>מהו הסברו של המבקש לאיחור בהגשת הבקשה, ומהי מידת הסבירות או אי הסבירות להסבר זה.</w:t>
      </w:r>
    </w:p>
    <w:p w14:paraId="6DADC4BB" w14:textId="77777777" w:rsidR="00426E0C" w:rsidRDefault="008E77EA" w:rsidP="00426E0C">
      <w:pPr>
        <w:numPr>
          <w:ilvl w:val="0"/>
          <w:numId w:val="4"/>
        </w:numPr>
        <w:spacing w:after="120" w:line="360" w:lineRule="auto"/>
        <w:ind w:right="426"/>
        <w:jc w:val="both"/>
        <w:rPr>
          <w:rFonts w:ascii="David" w:hAnsi="David"/>
        </w:rPr>
      </w:pPr>
      <w:r>
        <w:rPr>
          <w:rFonts w:ascii="David" w:hAnsi="David"/>
          <w:rtl/>
        </w:rPr>
        <w:t xml:space="preserve">האם בעטיו של האיחור נוצר קושי לברר את עובדות המקרה לאשורן, ובמיוחד, האם השהיית הגשת הבקשה מקשה על אחד הצדדים המעוניינים בעזבון, בהבאת חומר ראיות לפני ביהמ"ש לביסוס טענותיו..." </w:t>
      </w:r>
    </w:p>
    <w:p w14:paraId="3E612887" w14:textId="77777777" w:rsidR="00426E0C" w:rsidRDefault="00426E0C" w:rsidP="00426E0C">
      <w:pPr>
        <w:spacing w:after="120" w:line="360" w:lineRule="auto"/>
        <w:ind w:left="1440" w:right="426"/>
        <w:jc w:val="both"/>
        <w:rPr>
          <w:rFonts w:ascii="David" w:hAnsi="David"/>
        </w:rPr>
      </w:pPr>
    </w:p>
    <w:p w14:paraId="305CA0C8" w14:textId="77777777" w:rsidR="00426E0C" w:rsidRDefault="008E77EA" w:rsidP="00426E0C">
      <w:pPr>
        <w:spacing w:after="120" w:line="360" w:lineRule="auto"/>
        <w:ind w:left="720"/>
        <w:jc w:val="both"/>
        <w:rPr>
          <w:rFonts w:ascii="David" w:hAnsi="David"/>
          <w:b/>
          <w:bCs/>
        </w:rPr>
      </w:pPr>
      <w:r>
        <w:rPr>
          <w:rFonts w:ascii="David" w:hAnsi="David"/>
          <w:b/>
          <w:bCs/>
          <w:rtl/>
        </w:rPr>
        <w:t>(</w:t>
      </w:r>
      <w:r>
        <w:rPr>
          <w:rFonts w:ascii="David" w:hAnsi="David"/>
          <w:rtl/>
        </w:rPr>
        <w:t xml:space="preserve">ראו: ע"א 516/80 </w:t>
      </w:r>
      <w:r>
        <w:rPr>
          <w:rFonts w:ascii="David" w:hAnsi="David"/>
          <w:b/>
          <w:bCs/>
          <w:rtl/>
        </w:rPr>
        <w:t>לשינסקי נ' הנאמן על נכסי החייב מנפרד לשינסקי</w:t>
      </w:r>
      <w:r>
        <w:rPr>
          <w:rFonts w:ascii="David" w:hAnsi="David"/>
          <w:rtl/>
        </w:rPr>
        <w:t xml:space="preserve"> פ"ד לו(4), 337, 346, ע"א 4440/91  </w:t>
      </w:r>
      <w:r>
        <w:rPr>
          <w:rFonts w:ascii="David" w:hAnsi="David"/>
          <w:b/>
          <w:bCs/>
          <w:color w:val="000000"/>
          <w:rtl/>
        </w:rPr>
        <w:t xml:space="preserve">טורנר נ' טורנר </w:t>
      </w:r>
      <w:r>
        <w:rPr>
          <w:rFonts w:ascii="David" w:hAnsi="David"/>
          <w:color w:val="000000"/>
          <w:rtl/>
        </w:rPr>
        <w:t>פ"ד מ"ז</w:t>
      </w:r>
      <w:r>
        <w:rPr>
          <w:rFonts w:ascii="David" w:hAnsi="David"/>
          <w:rtl/>
        </w:rPr>
        <w:t xml:space="preserve">(2) 436). </w:t>
      </w:r>
    </w:p>
    <w:p w14:paraId="6C90D50C" w14:textId="77777777" w:rsidR="00426E0C" w:rsidRDefault="008E77EA" w:rsidP="00426E0C">
      <w:pPr>
        <w:spacing w:after="120" w:line="360" w:lineRule="auto"/>
        <w:ind w:left="720"/>
        <w:jc w:val="both"/>
        <w:rPr>
          <w:rFonts w:ascii="David" w:hAnsi="David"/>
          <w:b/>
          <w:bCs/>
          <w:rtl/>
        </w:rPr>
      </w:pPr>
      <w:r>
        <w:rPr>
          <w:rFonts w:ascii="David" w:hAnsi="David"/>
          <w:b/>
          <w:bCs/>
          <w:rtl/>
        </w:rPr>
        <w:tab/>
      </w:r>
    </w:p>
    <w:p w14:paraId="0B4A16A3" w14:textId="77777777" w:rsidR="00426E0C" w:rsidRDefault="008E77EA" w:rsidP="00426E0C">
      <w:pPr>
        <w:spacing w:line="360" w:lineRule="auto"/>
        <w:ind w:left="720"/>
        <w:jc w:val="both"/>
        <w:rPr>
          <w:rFonts w:ascii="David" w:hAnsi="David"/>
          <w:b/>
          <w:bCs/>
          <w:rtl/>
        </w:rPr>
      </w:pPr>
      <w:r>
        <w:rPr>
          <w:rFonts w:ascii="David" w:hAnsi="David"/>
          <w:rtl/>
        </w:rPr>
        <w:t xml:space="preserve">נקבע כי השיהוי נמדד מן המועד שבו נתגלתה למבקש העובדה החדשה המצדיקה את ביטול הצו. (ראו: ע"א 5640/92  </w:t>
      </w:r>
      <w:r>
        <w:rPr>
          <w:rFonts w:ascii="David" w:hAnsi="David"/>
          <w:b/>
          <w:bCs/>
          <w:color w:val="000000"/>
          <w:rtl/>
        </w:rPr>
        <w:t xml:space="preserve">אלוני נ' באומן </w:t>
      </w:r>
      <w:r>
        <w:rPr>
          <w:rFonts w:ascii="David" w:hAnsi="David"/>
          <w:color w:val="000000"/>
          <w:rtl/>
        </w:rPr>
        <w:t>פ"ד מ</w:t>
      </w:r>
      <w:r>
        <w:rPr>
          <w:rFonts w:ascii="David" w:hAnsi="David"/>
          <w:rtl/>
        </w:rPr>
        <w:t>"(5) 373)).</w:t>
      </w:r>
    </w:p>
    <w:p w14:paraId="345326A2" w14:textId="77777777" w:rsidR="00776C54" w:rsidRDefault="00776C54" w:rsidP="00426E0C">
      <w:pPr>
        <w:spacing w:line="360" w:lineRule="auto"/>
        <w:ind w:left="720"/>
        <w:jc w:val="both"/>
        <w:rPr>
          <w:rFonts w:ascii="David" w:hAnsi="David"/>
          <w:b/>
          <w:bCs/>
          <w:rtl/>
        </w:rPr>
      </w:pPr>
    </w:p>
    <w:p w14:paraId="74FDF043" w14:textId="77777777" w:rsidR="00776C54" w:rsidRDefault="00776C54" w:rsidP="00426E0C">
      <w:pPr>
        <w:spacing w:line="360" w:lineRule="auto"/>
        <w:ind w:left="720"/>
        <w:jc w:val="both"/>
        <w:rPr>
          <w:rFonts w:ascii="David" w:hAnsi="David"/>
          <w:b/>
          <w:bCs/>
          <w:rtl/>
        </w:rPr>
      </w:pPr>
    </w:p>
    <w:p w14:paraId="4CF72B42" w14:textId="77777777" w:rsidR="00426E0C" w:rsidRDefault="00426E0C" w:rsidP="00426E0C">
      <w:pPr>
        <w:ind w:left="720"/>
        <w:contextualSpacing/>
        <w:rPr>
          <w:rFonts w:ascii="David" w:eastAsiaTheme="minorHAnsi" w:hAnsi="David"/>
        </w:rPr>
      </w:pPr>
    </w:p>
    <w:p w14:paraId="414352A0" w14:textId="77777777" w:rsidR="00426E0C" w:rsidRDefault="008E77EA" w:rsidP="00426E0C">
      <w:pPr>
        <w:ind w:left="720"/>
        <w:contextualSpacing/>
        <w:rPr>
          <w:rFonts w:ascii="David" w:hAnsi="David"/>
          <w:u w:val="single"/>
          <w:rtl/>
        </w:rPr>
      </w:pPr>
      <w:r>
        <w:rPr>
          <w:rFonts w:ascii="David" w:hAnsi="David"/>
          <w:u w:val="single"/>
          <w:rtl/>
        </w:rPr>
        <w:t>שיהוי ניכר בהגשת הבקשה לביטול הצו</w:t>
      </w:r>
    </w:p>
    <w:p w14:paraId="4EC5A12F" w14:textId="77777777" w:rsidR="00426E0C" w:rsidRDefault="00426E0C" w:rsidP="00426E0C">
      <w:pPr>
        <w:ind w:left="720"/>
        <w:contextualSpacing/>
        <w:rPr>
          <w:rFonts w:ascii="David" w:hAnsi="David"/>
          <w:b/>
          <w:bCs/>
          <w:u w:val="single"/>
          <w:rtl/>
        </w:rPr>
      </w:pPr>
    </w:p>
    <w:p w14:paraId="0EC578D8" w14:textId="77777777" w:rsidR="00426E0C" w:rsidRDefault="00426E0C" w:rsidP="00426E0C">
      <w:pPr>
        <w:ind w:left="720"/>
        <w:contextualSpacing/>
        <w:rPr>
          <w:rFonts w:ascii="David" w:hAnsi="David"/>
          <w:rtl/>
        </w:rPr>
      </w:pPr>
    </w:p>
    <w:p w14:paraId="48B9B81B" w14:textId="77777777" w:rsidR="00426E0C" w:rsidRDefault="008E77EA" w:rsidP="00426E0C">
      <w:pPr>
        <w:numPr>
          <w:ilvl w:val="0"/>
          <w:numId w:val="1"/>
        </w:numPr>
        <w:spacing w:after="160" w:line="360" w:lineRule="auto"/>
        <w:jc w:val="both"/>
        <w:rPr>
          <w:rFonts w:ascii="David" w:hAnsi="David"/>
          <w:rtl/>
        </w:rPr>
      </w:pPr>
      <w:r>
        <w:rPr>
          <w:rFonts w:ascii="David" w:hAnsi="David"/>
          <w:rtl/>
        </w:rPr>
        <w:t xml:space="preserve">בענייננו, לאחר שמיעת הצדדים מצאתי כי הבקשה לביטול הצו הוגשה על ידי המבקשים בשיהוי רב, וללא מתן הסבר מניח את הדעת לכך. ואפרט. </w:t>
      </w:r>
    </w:p>
    <w:p w14:paraId="17D8C225" w14:textId="77777777" w:rsidR="00426E0C" w:rsidRDefault="00426E0C" w:rsidP="00426E0C">
      <w:pPr>
        <w:spacing w:line="360" w:lineRule="auto"/>
        <w:ind w:left="720"/>
        <w:contextualSpacing/>
        <w:jc w:val="both"/>
        <w:rPr>
          <w:rFonts w:ascii="David" w:hAnsi="David"/>
        </w:rPr>
      </w:pPr>
    </w:p>
    <w:p w14:paraId="719CD337" w14:textId="77777777" w:rsidR="00426E0C" w:rsidRDefault="008E77EA" w:rsidP="00426E0C">
      <w:pPr>
        <w:numPr>
          <w:ilvl w:val="0"/>
          <w:numId w:val="1"/>
        </w:numPr>
        <w:spacing w:after="160" w:line="360" w:lineRule="auto"/>
        <w:jc w:val="both"/>
        <w:rPr>
          <w:rFonts w:ascii="David" w:hAnsi="David"/>
          <w:b/>
          <w:bCs/>
          <w:u w:val="single"/>
        </w:rPr>
      </w:pPr>
      <w:r>
        <w:rPr>
          <w:rFonts w:ascii="David" w:hAnsi="David"/>
          <w:rtl/>
        </w:rPr>
        <w:t xml:space="preserve">הצו לקיום צוואת האב המנוח ניתן </w:t>
      </w:r>
      <w:r>
        <w:rPr>
          <w:rFonts w:ascii="David" w:hAnsi="David"/>
          <w:b/>
          <w:bCs/>
          <w:u w:val="single"/>
          <w:rtl/>
        </w:rPr>
        <w:t xml:space="preserve">כבר ביום 24.2.2019. </w:t>
      </w:r>
    </w:p>
    <w:p w14:paraId="285FD3A7" w14:textId="77777777" w:rsidR="00426E0C" w:rsidRDefault="00426E0C" w:rsidP="00426E0C">
      <w:pPr>
        <w:ind w:left="720"/>
        <w:contextualSpacing/>
        <w:rPr>
          <w:rFonts w:ascii="David" w:hAnsi="David"/>
        </w:rPr>
      </w:pPr>
    </w:p>
    <w:p w14:paraId="7F476C14" w14:textId="77777777" w:rsidR="00426E0C" w:rsidRDefault="008E77EA" w:rsidP="00426E0C">
      <w:pPr>
        <w:spacing w:line="360" w:lineRule="auto"/>
        <w:ind w:left="720"/>
        <w:contextualSpacing/>
        <w:jc w:val="both"/>
        <w:rPr>
          <w:rFonts w:ascii="David" w:hAnsi="David"/>
          <w:rtl/>
        </w:rPr>
      </w:pPr>
      <w:r>
        <w:rPr>
          <w:rFonts w:ascii="David" w:hAnsi="David"/>
          <w:rtl/>
        </w:rPr>
        <w:t xml:space="preserve">המתנגדים עצמם מודים כי נודע להם על קיומו של הצו לקיום צוואת האב המנוח כשנה לאחר פטירת האם המנוחה (אשר נפטרה בחודש מרץ 2019). דהיינו, נודע להם על קיומו של הצו כבר </w:t>
      </w:r>
      <w:r>
        <w:rPr>
          <w:rFonts w:ascii="David" w:hAnsi="David"/>
          <w:b/>
          <w:bCs/>
          <w:u w:val="single"/>
          <w:rtl/>
        </w:rPr>
        <w:t>בחודש מרץ 2020</w:t>
      </w:r>
      <w:r>
        <w:rPr>
          <w:rFonts w:ascii="David" w:hAnsi="David"/>
          <w:rtl/>
        </w:rPr>
        <w:t xml:space="preserve"> (ראו: סעיף 2 לבקשה לביטול צו קיום צוואה, ראו גם: דברי ב"כ המתנגדים בעמ' 3 שורה 13 לפרוטוקול מיום 27.1.22)). </w:t>
      </w:r>
    </w:p>
    <w:p w14:paraId="720A473B" w14:textId="77777777" w:rsidR="00426E0C" w:rsidRDefault="00426E0C" w:rsidP="00426E0C">
      <w:pPr>
        <w:spacing w:line="360" w:lineRule="auto"/>
        <w:ind w:left="720"/>
        <w:contextualSpacing/>
        <w:jc w:val="both"/>
        <w:rPr>
          <w:rFonts w:ascii="David" w:hAnsi="David"/>
          <w:rtl/>
        </w:rPr>
      </w:pPr>
    </w:p>
    <w:p w14:paraId="0F5B87F7" w14:textId="77777777" w:rsidR="00426E0C" w:rsidRDefault="008E77EA" w:rsidP="00426E0C">
      <w:pPr>
        <w:spacing w:line="360" w:lineRule="auto"/>
        <w:ind w:left="720"/>
        <w:contextualSpacing/>
        <w:jc w:val="both"/>
        <w:rPr>
          <w:rFonts w:ascii="David" w:hAnsi="David"/>
          <w:rtl/>
        </w:rPr>
      </w:pPr>
      <w:r>
        <w:rPr>
          <w:rFonts w:ascii="David" w:hAnsi="David"/>
          <w:b/>
          <w:bCs/>
          <w:u w:val="single"/>
          <w:rtl/>
        </w:rPr>
        <w:t>אולם רק בחודש מרץ 2021,</w:t>
      </w:r>
      <w:r>
        <w:rPr>
          <w:rFonts w:ascii="David" w:hAnsi="David"/>
          <w:rtl/>
        </w:rPr>
        <w:t xml:space="preserve"> בחלוף כשנה מאז נודע להם לטענתם על קיומו של הצו, ובחלוף שנתיים מאז מתן הצו, הגישו המבקשים את הבקשה לביטולו. </w:t>
      </w:r>
    </w:p>
    <w:p w14:paraId="457BC700" w14:textId="77777777" w:rsidR="00426E0C" w:rsidRDefault="00426E0C" w:rsidP="00426E0C">
      <w:pPr>
        <w:spacing w:line="360" w:lineRule="auto"/>
        <w:ind w:left="720"/>
        <w:contextualSpacing/>
        <w:jc w:val="both"/>
        <w:rPr>
          <w:rFonts w:ascii="David" w:hAnsi="David"/>
          <w:rtl/>
        </w:rPr>
      </w:pPr>
    </w:p>
    <w:p w14:paraId="388E34A6"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יצוין כי לטענת המתנגדים אין זה מקובל בעדה האתיופית להגיש בקשות הקשורות לעיזבון במהלך השנה שלאחר פטירת המנוחה. מעבר לכך שטענה זו לא הוכחה לפניי, הרי שגם אם הטענה תתקבל אזי המתנגדים השתהו, אף לטענתם, במשך כשנה נוספת לאחר שחלפה שנה מאז פטירת האם המנוחה (דהיינו, השתהו שנתיים מאז פטירת האם המנוחה). </w:t>
      </w:r>
    </w:p>
    <w:p w14:paraId="4286A27D" w14:textId="77777777" w:rsidR="00426E0C" w:rsidRDefault="00426E0C" w:rsidP="00426E0C">
      <w:pPr>
        <w:spacing w:line="360" w:lineRule="auto"/>
        <w:ind w:left="720"/>
        <w:contextualSpacing/>
        <w:jc w:val="both"/>
        <w:rPr>
          <w:rFonts w:ascii="David" w:hAnsi="David"/>
          <w:rtl/>
        </w:rPr>
      </w:pPr>
    </w:p>
    <w:p w14:paraId="42147B9D"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כמו כן, המתנגדים לא פירטו ולא הסבירו: מתי בדיוק נודע להם אודות קיומו של הצו, לא נקבו בתאריכים ברורים ולא הבהירו כיצד הדבר נודע להם, וזאת על אף שהנטל להוכיח את הבקשה לביטול הצו מוטל עליהם, וכי מדובר במידע המצוי בחזקתם. יש לזקוף התנהלות זו כנגדם.  </w:t>
      </w:r>
    </w:p>
    <w:p w14:paraId="26D70696" w14:textId="77777777" w:rsidR="00426E0C" w:rsidRDefault="00426E0C" w:rsidP="00426E0C">
      <w:pPr>
        <w:spacing w:line="360" w:lineRule="auto"/>
        <w:ind w:left="720"/>
        <w:contextualSpacing/>
        <w:jc w:val="both"/>
        <w:rPr>
          <w:rFonts w:ascii="David" w:hAnsi="David"/>
          <w:rtl/>
        </w:rPr>
      </w:pPr>
    </w:p>
    <w:p w14:paraId="22246616"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מצאתי כי פרק ז</w:t>
      </w:r>
      <w:r w:rsidR="00776C54">
        <w:rPr>
          <w:rFonts w:ascii="David" w:hAnsi="David" w:cs="David"/>
          <w:sz w:val="24"/>
          <w:szCs w:val="24"/>
          <w:rtl/>
        </w:rPr>
        <w:t xml:space="preserve">מן של כשנה מאז שלטענת המתנגדים </w:t>
      </w:r>
      <w:r>
        <w:rPr>
          <w:rFonts w:ascii="David" w:hAnsi="David" w:cs="David"/>
          <w:sz w:val="24"/>
          <w:szCs w:val="24"/>
          <w:rtl/>
        </w:rPr>
        <w:t xml:space="preserve">התגלה להם אודות הצו שניתן ועד להגשת הבקשה לביטולו, מהווה שיהוי ניכר. מה גם שבפועל המתנגדים השתהו פרק זמן רב יותר. </w:t>
      </w:r>
    </w:p>
    <w:p w14:paraId="696D194E" w14:textId="77777777" w:rsidR="00426E0C" w:rsidRDefault="00426E0C" w:rsidP="00426E0C">
      <w:pPr>
        <w:spacing w:line="360" w:lineRule="auto"/>
        <w:ind w:left="720"/>
        <w:contextualSpacing/>
        <w:jc w:val="both"/>
        <w:rPr>
          <w:rFonts w:ascii="David" w:hAnsi="David"/>
          <w:rtl/>
        </w:rPr>
      </w:pPr>
    </w:p>
    <w:p w14:paraId="1970B1D6" w14:textId="77777777" w:rsidR="00426E0C" w:rsidRDefault="008E77EA" w:rsidP="00FC3EB7">
      <w:pPr>
        <w:spacing w:line="360" w:lineRule="auto"/>
        <w:ind w:left="720"/>
        <w:contextualSpacing/>
        <w:jc w:val="both"/>
        <w:rPr>
          <w:rFonts w:ascii="David" w:hAnsi="David"/>
          <w:rtl/>
        </w:rPr>
      </w:pPr>
      <w:r>
        <w:rPr>
          <w:rFonts w:ascii="David" w:hAnsi="David"/>
          <w:rtl/>
        </w:rPr>
        <w:t xml:space="preserve">המתנגדים טענו בתצהיריהם כי לאחר האזכרה ליום השנה של האם המנוחה הם דיברו ביניהם ביחס לדירה ופנו לילדיו של היורש ז"ל, ורק אז נודע להם לראשונה כי המנוחים ערכו צוואה, במסגרתה נקבע כי </w:t>
      </w:r>
      <w:r w:rsidR="00FC3EB7">
        <w:rPr>
          <w:rFonts w:ascii="David" w:hAnsi="David" w:hint="cs"/>
          <w:rtl/>
        </w:rPr>
        <w:t>ט.פ</w:t>
      </w:r>
      <w:r>
        <w:rPr>
          <w:rFonts w:ascii="David" w:hAnsi="David"/>
          <w:rtl/>
        </w:rPr>
        <w:t xml:space="preserve"> הוא היורש. </w:t>
      </w:r>
    </w:p>
    <w:p w14:paraId="136312D2" w14:textId="77777777" w:rsidR="00426E0C" w:rsidRDefault="00426E0C" w:rsidP="00426E0C">
      <w:pPr>
        <w:spacing w:line="360" w:lineRule="auto"/>
        <w:ind w:left="720"/>
        <w:contextualSpacing/>
        <w:jc w:val="both"/>
        <w:rPr>
          <w:rFonts w:ascii="David" w:hAnsi="David"/>
          <w:rtl/>
        </w:rPr>
      </w:pPr>
    </w:p>
    <w:p w14:paraId="5AD5BEFB" w14:textId="77777777" w:rsidR="00426E0C" w:rsidRDefault="008E77EA" w:rsidP="00776C54">
      <w:pPr>
        <w:spacing w:line="360" w:lineRule="auto"/>
        <w:ind w:left="720"/>
        <w:contextualSpacing/>
        <w:jc w:val="both"/>
        <w:rPr>
          <w:rFonts w:ascii="David" w:hAnsi="David"/>
          <w:rtl/>
        </w:rPr>
      </w:pPr>
      <w:r>
        <w:rPr>
          <w:rFonts w:ascii="David" w:hAnsi="David"/>
          <w:rtl/>
        </w:rPr>
        <w:t xml:space="preserve">ואולם, המבקשת 3 – </w:t>
      </w:r>
      <w:r w:rsidR="00FC3EB7">
        <w:rPr>
          <w:rFonts w:ascii="David" w:hAnsi="David" w:hint="cs"/>
          <w:rtl/>
        </w:rPr>
        <w:t>מ.</w:t>
      </w:r>
      <w:r w:rsidR="00F5472E">
        <w:rPr>
          <w:rFonts w:ascii="David" w:hAnsi="David" w:hint="cs"/>
          <w:rtl/>
        </w:rPr>
        <w:t>פ</w:t>
      </w:r>
      <w:r>
        <w:rPr>
          <w:rFonts w:ascii="David" w:hAnsi="David"/>
          <w:rtl/>
        </w:rPr>
        <w:t xml:space="preserve"> (בתו של היורש), העידה בחקירתה כי כבר במהלך שלושים הימים שלאחר פטירת אביה היורש ז"ל, אשר נפטר כזכור ביום 20.9.2019, שוחח עמה המתנגד 3  - </w:t>
      </w:r>
      <w:r w:rsidR="00F5472E">
        <w:rPr>
          <w:rFonts w:ascii="David" w:hAnsi="David" w:hint="cs"/>
          <w:rtl/>
        </w:rPr>
        <w:t>א.פ</w:t>
      </w:r>
      <w:r>
        <w:rPr>
          <w:rFonts w:ascii="David" w:hAnsi="David"/>
          <w:rtl/>
        </w:rPr>
        <w:t>, אודות הצוואה. עדותה הייתה אמינה:</w:t>
      </w:r>
    </w:p>
    <w:p w14:paraId="550C81F8" w14:textId="77777777" w:rsidR="00426E0C" w:rsidRDefault="008E77EA" w:rsidP="00F5472E">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 xml:space="preserve">"ואת אומרת, </w:t>
      </w:r>
      <w:proofErr w:type="spellStart"/>
      <w:r w:rsidR="00F5472E">
        <w:rPr>
          <w:rFonts w:ascii="David" w:hAnsi="David" w:cs="David" w:hint="cs"/>
          <w:sz w:val="24"/>
          <w:szCs w:val="24"/>
          <w:u w:val="none"/>
          <w:rtl/>
        </w:rPr>
        <w:t>שא.פ</w:t>
      </w:r>
      <w:proofErr w:type="spellEnd"/>
      <w:r>
        <w:rPr>
          <w:rFonts w:ascii="David" w:hAnsi="David" w:cs="David"/>
          <w:sz w:val="24"/>
          <w:szCs w:val="24"/>
          <w:u w:val="none"/>
          <w:rtl/>
        </w:rPr>
        <w:t xml:space="preserve"> פנה אלייך בעניין הירושה של סבא וסבתא. ואת אומרת, שהוא אמר שהוא יודע על הצוואה של המנוחים.</w:t>
      </w:r>
    </w:p>
    <w:p w14:paraId="5BE2D851"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Pr>
      </w:pPr>
      <w:r>
        <w:rPr>
          <w:rFonts w:ascii="David" w:hAnsi="David" w:cs="David"/>
          <w:sz w:val="24"/>
          <w:szCs w:val="24"/>
          <w:u w:val="none"/>
          <w:rtl/>
        </w:rPr>
        <w:t xml:space="preserve">ת: </w:t>
      </w:r>
      <w:r>
        <w:rPr>
          <w:rFonts w:ascii="David" w:hAnsi="David" w:cs="David"/>
          <w:sz w:val="24"/>
          <w:szCs w:val="24"/>
          <w:u w:val="none"/>
          <w:rtl/>
        </w:rPr>
        <w:tab/>
        <w:t>נכון.</w:t>
      </w:r>
    </w:p>
    <w:p w14:paraId="2891715F"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אז למה הוא פנה אליכם?</w:t>
      </w:r>
    </w:p>
    <w:p w14:paraId="6EB70A19"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אז אני אדייק.</w:t>
      </w:r>
    </w:p>
    <w:p w14:paraId="7F0B50F2"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כן.</w:t>
      </w:r>
    </w:p>
    <w:p w14:paraId="702D5B75"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הוא פנה אלי, אחרי שהאחים שיושבים כאן, והמתנגד 3 שלא נמצא, פנו אליו בבקשה לפנות אלינו, כי הם החליטו שהם פתאום לא מדברים איתנו, מתי שאבא שלי נפטר. אז הם פנו אליו, ואמרו לו שהם רוצים לדעת מה קורה עם הצוואה, ומה אנחנו מתכננים לעשות עם הבית. התקשר אלי במהלך השלושים, עוד לפני השלושים,</w:t>
      </w:r>
    </w:p>
    <w:p w14:paraId="171A87F9"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כן.</w:t>
      </w:r>
    </w:p>
    <w:p w14:paraId="6FDF27A8"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ושאל את זה. וכשהוא שאל, אז לא הבנתי למה, למה הם פנו אליו. אז אמרתי לו, 'למה הם פנו אליך אם הם יודעים שיש צוואה?' אז הוא אמר לי, 'לא, אל תדאגי' . ודברים כמו, 'את יודעת שהחוק איתך. הרי יש לך צוואה.</w:t>
      </w:r>
    </w:p>
    <w:p w14:paraId="5F014DD1"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ש: </w:t>
      </w:r>
      <w:r>
        <w:rPr>
          <w:rFonts w:ascii="David" w:hAnsi="David" w:cs="David"/>
          <w:sz w:val="24"/>
          <w:szCs w:val="24"/>
          <w:u w:val="none"/>
          <w:rtl/>
        </w:rPr>
        <w:tab/>
        <w:t>ככה הוא אמר לך?</w:t>
      </w:r>
    </w:p>
    <w:p w14:paraId="50133972" w14:textId="77777777" w:rsidR="00426E0C" w:rsidRDefault="008E77EA" w:rsidP="00F5472E">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 xml:space="preserve">'כולנו גם יודעים מה הייתה הכוונה של ההורים שלנו. וכולם יודעים </w:t>
      </w:r>
      <w:proofErr w:type="spellStart"/>
      <w:r>
        <w:rPr>
          <w:rFonts w:ascii="David" w:hAnsi="David" w:cs="David"/>
          <w:sz w:val="24"/>
          <w:szCs w:val="24"/>
          <w:u w:val="none"/>
          <w:rtl/>
        </w:rPr>
        <w:t>ש</w:t>
      </w:r>
      <w:r w:rsidR="00F5472E">
        <w:rPr>
          <w:rFonts w:ascii="David" w:hAnsi="David" w:cs="David" w:hint="cs"/>
          <w:sz w:val="24"/>
          <w:szCs w:val="24"/>
          <w:u w:val="none"/>
          <w:rtl/>
        </w:rPr>
        <w:t>ט.פ</w:t>
      </w:r>
      <w:proofErr w:type="spellEnd"/>
      <w:r>
        <w:rPr>
          <w:rFonts w:ascii="David" w:hAnsi="David" w:cs="David"/>
          <w:sz w:val="24"/>
          <w:szCs w:val="24"/>
          <w:u w:val="none"/>
          <w:rtl/>
        </w:rPr>
        <w:t xml:space="preserve"> היה אמור לרשת אותם, אז אין לך מה לדאוג. אני בסך </w:t>
      </w:r>
      <w:proofErr w:type="spellStart"/>
      <w:r>
        <w:rPr>
          <w:rFonts w:ascii="David" w:hAnsi="David" w:cs="David"/>
          <w:sz w:val="24"/>
          <w:szCs w:val="24"/>
          <w:u w:val="none"/>
          <w:rtl/>
        </w:rPr>
        <w:t>הכל</w:t>
      </w:r>
      <w:proofErr w:type="spellEnd"/>
      <w:r>
        <w:rPr>
          <w:rFonts w:ascii="David" w:hAnsi="David" w:cs="David"/>
          <w:sz w:val="24"/>
          <w:szCs w:val="24"/>
          <w:u w:val="none"/>
          <w:rtl/>
        </w:rPr>
        <w:t xml:space="preserve"> מעביר לך מידע' .</w:t>
      </w:r>
    </w:p>
    <w:p w14:paraId="0C8FA12F"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באיזו שפה הוא אמר לך את זה? בעברית,</w:t>
      </w:r>
    </w:p>
    <w:p w14:paraId="7D274896"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באמהרית,</w:t>
      </w:r>
    </w:p>
    <w:p w14:paraId="67188B64"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או באמהרית?</w:t>
      </w:r>
    </w:p>
    <w:p w14:paraId="33A8608F"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אני דוברת,</w:t>
      </w:r>
    </w:p>
    <w:p w14:paraId="5D8D10A2"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אמהרית.</w:t>
      </w:r>
    </w:p>
    <w:p w14:paraId="07C40A05"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אמהרית. כן.</w:t>
      </w:r>
    </w:p>
    <w:p w14:paraId="06C11C44"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והוא אמר לך שהוא יודע שיש צוואה.</w:t>
      </w:r>
    </w:p>
    <w:p w14:paraId="396603E4" w14:textId="77777777" w:rsidR="00426E0C" w:rsidRDefault="008E77EA" w:rsidP="00426E0C">
      <w:pPr>
        <w:pStyle w:val="af"/>
        <w:shd w:val="clear" w:color="auto" w:fill="auto"/>
        <w:spacing w:line="360" w:lineRule="auto"/>
        <w:ind w:left="1985" w:right="426" w:hanging="767"/>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 xml:space="preserve">כמובן". </w:t>
      </w:r>
      <w:r>
        <w:rPr>
          <w:rFonts w:ascii="David" w:hAnsi="David" w:cs="David"/>
          <w:b w:val="0"/>
          <w:bCs w:val="0"/>
          <w:sz w:val="24"/>
          <w:szCs w:val="24"/>
          <w:u w:val="none"/>
          <w:rtl/>
        </w:rPr>
        <w:t xml:space="preserve"> (ראו: בעמ' 25-26 לפרוטוקול מיום 24.3.25).</w:t>
      </w:r>
    </w:p>
    <w:p w14:paraId="19B01B98" w14:textId="77777777" w:rsidR="00426E0C" w:rsidRDefault="00426E0C" w:rsidP="00426E0C">
      <w:pPr>
        <w:pStyle w:val="af"/>
        <w:shd w:val="clear" w:color="auto" w:fill="auto"/>
        <w:spacing w:line="360" w:lineRule="auto"/>
        <w:ind w:left="1985" w:right="426" w:hanging="767"/>
        <w:jc w:val="both"/>
        <w:rPr>
          <w:rFonts w:ascii="David" w:hAnsi="David" w:cs="David"/>
          <w:sz w:val="24"/>
          <w:szCs w:val="24"/>
          <w:u w:val="none"/>
          <w:rtl/>
        </w:rPr>
      </w:pPr>
    </w:p>
    <w:p w14:paraId="141F60ED"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דהיינו, לפחות חלק מהמתנגדים ידעו אודות קיומה של הצוואה עוד קודם לכן, ולא פעלו בעניין. </w:t>
      </w:r>
    </w:p>
    <w:p w14:paraId="12D61B3F" w14:textId="77777777" w:rsidR="00853C9F" w:rsidRDefault="00853C9F" w:rsidP="00426E0C">
      <w:pPr>
        <w:pStyle w:val="ad"/>
        <w:spacing w:line="360" w:lineRule="auto"/>
        <w:jc w:val="both"/>
        <w:rPr>
          <w:rFonts w:ascii="David" w:hAnsi="David" w:cs="David"/>
          <w:sz w:val="24"/>
          <w:szCs w:val="24"/>
          <w:rtl/>
        </w:rPr>
      </w:pPr>
    </w:p>
    <w:p w14:paraId="3AE00DBD" w14:textId="77777777" w:rsidR="00853C9F" w:rsidRDefault="008E77EA" w:rsidP="00853C9F">
      <w:pPr>
        <w:pStyle w:val="ad"/>
        <w:spacing w:line="360" w:lineRule="auto"/>
        <w:jc w:val="both"/>
        <w:rPr>
          <w:rFonts w:ascii="David" w:hAnsi="David" w:cs="David"/>
          <w:sz w:val="24"/>
          <w:szCs w:val="24"/>
          <w:rtl/>
        </w:rPr>
      </w:pPr>
      <w:r>
        <w:rPr>
          <w:rFonts w:ascii="David" w:hAnsi="David" w:cs="David" w:hint="cs"/>
          <w:sz w:val="24"/>
          <w:szCs w:val="24"/>
          <w:rtl/>
        </w:rPr>
        <w:t xml:space="preserve">יצוין כי בהחלטת כב' הרשמת לענייני ירושה מיום 22.3.21, בעניין בקשת המתנגדים לעיכוב ביצוע, צוין כי באמצע חודש ינואר 2021 הוגשה בקשה לעיון בתיק בשם חלק מילדיו של המנוח, וכי אף ממועד מתן העיון חלפו עוד מספר חודשים עד להגשת הבקשה. (ראו: נספח שצורף לבקשה מיום 8.6.21).   </w:t>
      </w:r>
    </w:p>
    <w:p w14:paraId="407BDAEF" w14:textId="77777777" w:rsidR="00426E0C" w:rsidRDefault="00426E0C" w:rsidP="00426E0C">
      <w:pPr>
        <w:pStyle w:val="ad"/>
        <w:spacing w:line="360" w:lineRule="auto"/>
        <w:jc w:val="both"/>
        <w:rPr>
          <w:rFonts w:ascii="David" w:hAnsi="David" w:cs="David"/>
          <w:sz w:val="24"/>
          <w:szCs w:val="24"/>
        </w:rPr>
      </w:pPr>
    </w:p>
    <w:p w14:paraId="6A8AE368"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כמו כן, לא מצאתי לקבל את נימוקי המתנגדים לשיהוי הרב בו נקטו בהגשת הבקשה לביטול הצו. בתביעה שהגישו המתנגדים, ציינו באופן כללי כי "מועד זה חל עת פרצה </w:t>
      </w:r>
      <w:proofErr w:type="spellStart"/>
      <w:r>
        <w:rPr>
          <w:rFonts w:ascii="David" w:hAnsi="David" w:cs="David"/>
          <w:sz w:val="24"/>
          <w:szCs w:val="24"/>
          <w:rtl/>
        </w:rPr>
        <w:t>מגיפת</w:t>
      </w:r>
      <w:proofErr w:type="spellEnd"/>
      <w:r>
        <w:rPr>
          <w:rFonts w:ascii="David" w:hAnsi="David" w:cs="David"/>
          <w:sz w:val="24"/>
          <w:szCs w:val="24"/>
          <w:rtl/>
        </w:rPr>
        <w:t xml:space="preserve"> הקורונה, וכי המתנגדים חששו לצאת מביתם נוכח גילם" (ראו: סעיף 7 לבקשה לביטול). אולם המתנגדים לא פרטו את הטענה, לא נקבו במועדים ברורים ולא צירפו כל ראיה בתמיכה לטענתם. </w:t>
      </w:r>
    </w:p>
    <w:p w14:paraId="6D42EBCA" w14:textId="77777777" w:rsidR="00426E0C" w:rsidRDefault="00426E0C" w:rsidP="00426E0C">
      <w:pPr>
        <w:pStyle w:val="ad"/>
        <w:spacing w:line="360" w:lineRule="auto"/>
        <w:jc w:val="both"/>
        <w:rPr>
          <w:rFonts w:ascii="David" w:hAnsi="David" w:cs="David"/>
          <w:sz w:val="24"/>
          <w:szCs w:val="24"/>
        </w:rPr>
      </w:pPr>
    </w:p>
    <w:p w14:paraId="3B5C8A83"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לטענת בא כוחם, "פרצה </w:t>
      </w:r>
      <w:proofErr w:type="spellStart"/>
      <w:r>
        <w:rPr>
          <w:rFonts w:ascii="David" w:hAnsi="David" w:cs="David"/>
          <w:sz w:val="24"/>
          <w:szCs w:val="24"/>
          <w:rtl/>
        </w:rPr>
        <w:t>מגיפת</w:t>
      </w:r>
      <w:proofErr w:type="spellEnd"/>
      <w:r>
        <w:rPr>
          <w:rFonts w:ascii="David" w:hAnsi="David" w:cs="David"/>
          <w:sz w:val="24"/>
          <w:szCs w:val="24"/>
          <w:rtl/>
        </w:rPr>
        <w:t xml:space="preserve"> הקורונה ולקח להם זמן להתמודד עם העניין ולשכור עורך דין" (ראו: בעמ' 3 שורה 14 לפרוטוקול מיום 27.1.22). </w:t>
      </w:r>
    </w:p>
    <w:p w14:paraId="683A8D3E" w14:textId="77777777" w:rsidR="00426E0C" w:rsidRDefault="00426E0C" w:rsidP="00426E0C">
      <w:pPr>
        <w:pStyle w:val="ad"/>
        <w:spacing w:line="360" w:lineRule="auto"/>
        <w:jc w:val="both"/>
        <w:rPr>
          <w:rFonts w:ascii="David" w:hAnsi="David" w:cs="David"/>
          <w:sz w:val="24"/>
          <w:szCs w:val="24"/>
        </w:rPr>
      </w:pPr>
    </w:p>
    <w:p w14:paraId="29497292" w14:textId="77777777" w:rsidR="00426E0C" w:rsidRDefault="008E77EA" w:rsidP="00426E0C">
      <w:pPr>
        <w:pStyle w:val="ad"/>
        <w:spacing w:line="360" w:lineRule="auto"/>
        <w:jc w:val="both"/>
        <w:rPr>
          <w:rFonts w:ascii="David" w:hAnsi="David" w:cs="David"/>
          <w:sz w:val="24"/>
          <w:szCs w:val="24"/>
        </w:rPr>
      </w:pPr>
      <w:r>
        <w:rPr>
          <w:rFonts w:ascii="David" w:hAnsi="David" w:cs="David"/>
          <w:sz w:val="24"/>
          <w:szCs w:val="24"/>
          <w:rtl/>
        </w:rPr>
        <w:t xml:space="preserve">גם במסגרת סיכומיהם טענו המתנגדים כי "המתינו לתום </w:t>
      </w:r>
      <w:proofErr w:type="spellStart"/>
      <w:r>
        <w:rPr>
          <w:rFonts w:ascii="David" w:hAnsi="David" w:cs="David"/>
          <w:sz w:val="24"/>
          <w:szCs w:val="24"/>
          <w:rtl/>
        </w:rPr>
        <w:t>מגיפת</w:t>
      </w:r>
      <w:proofErr w:type="spellEnd"/>
      <w:r>
        <w:rPr>
          <w:rFonts w:ascii="David" w:hAnsi="David" w:cs="David"/>
          <w:sz w:val="24"/>
          <w:szCs w:val="24"/>
          <w:rtl/>
        </w:rPr>
        <w:t xml:space="preserve"> הקורונה כדי לטפל בביטול הצוואה ולכן ההתנגדות הוגשה באיחור". (ראו: סעיף 12 לסיכומי המתנגדים). מדובר בטענה כללית, ללא פירוט מתאים, מבלי להתייחס לכל מתנגד באופן פרטני, ומבלי שהמתנגדים תמכו טענותיהם באסמכתאות כלל, לרבות אסמכתאות רפואיות. לא מצאתי לקבל טענה כללית זו שנטענה בעלמא, כנימוק המצדיק את השיהוי הרב בו נקטו המתנגדים.</w:t>
      </w:r>
    </w:p>
    <w:p w14:paraId="01BD05DD" w14:textId="77777777" w:rsidR="00426E0C" w:rsidRDefault="00426E0C" w:rsidP="00426E0C">
      <w:pPr>
        <w:spacing w:line="360" w:lineRule="auto"/>
        <w:ind w:left="720"/>
        <w:contextualSpacing/>
        <w:jc w:val="both"/>
        <w:rPr>
          <w:rFonts w:ascii="David" w:hAnsi="David"/>
          <w:rtl/>
        </w:rPr>
      </w:pPr>
    </w:p>
    <w:p w14:paraId="4B9692F3" w14:textId="77777777" w:rsidR="00426E0C" w:rsidRDefault="008E77EA" w:rsidP="00426E0C">
      <w:pPr>
        <w:spacing w:line="360" w:lineRule="auto"/>
        <w:ind w:left="720"/>
        <w:contextualSpacing/>
        <w:jc w:val="both"/>
        <w:rPr>
          <w:rFonts w:ascii="David" w:hAnsi="David"/>
          <w:rtl/>
        </w:rPr>
      </w:pPr>
      <w:r>
        <w:rPr>
          <w:rFonts w:ascii="David" w:hAnsi="David"/>
          <w:color w:val="000000"/>
          <w:rtl/>
        </w:rPr>
        <w:t>מצאתי כי היה באפשרות המתנגדים להביא את טענותיהם לכל הפחות בחלוף שנה ממועד מתן הצו, וכי הם לא פעלו "בהזדמנות הסבירה הראשונה" שהייתה להם לעשות כן, כלשון סעיף 72 לחוק הירושה, וזאת מבלי שנתנו הסבר סביר והגיוני למחדליהם בהגשת התביעה בשיהוי כה ניכר.</w:t>
      </w:r>
    </w:p>
    <w:p w14:paraId="6A905FCD" w14:textId="77777777" w:rsidR="00426E0C" w:rsidRDefault="00426E0C" w:rsidP="00426E0C">
      <w:pPr>
        <w:spacing w:line="360" w:lineRule="auto"/>
        <w:ind w:left="720"/>
        <w:contextualSpacing/>
        <w:jc w:val="both"/>
        <w:rPr>
          <w:rFonts w:ascii="David" w:hAnsi="David"/>
          <w:rtl/>
        </w:rPr>
      </w:pPr>
    </w:p>
    <w:p w14:paraId="3FB81F0D"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יתרה מכך, בחלוף כחצי שנה מאז פטירת האם, אביהם של המבקשים – היורש ז"ל, הלך לבית עולמו, כך שלא ניתן לחקור אותו ולשמוע עדותו. דהיינו, </w:t>
      </w:r>
      <w:r>
        <w:rPr>
          <w:rFonts w:ascii="David" w:eastAsia="Times New Roman" w:hAnsi="David" w:cs="David"/>
          <w:sz w:val="24"/>
          <w:szCs w:val="24"/>
          <w:rtl/>
        </w:rPr>
        <w:t xml:space="preserve">נוצר קושי לברר את עובדות המקרה </w:t>
      </w:r>
      <w:proofErr w:type="spellStart"/>
      <w:r>
        <w:rPr>
          <w:rFonts w:ascii="David" w:eastAsia="Times New Roman" w:hAnsi="David" w:cs="David"/>
          <w:sz w:val="24"/>
          <w:szCs w:val="24"/>
          <w:rtl/>
        </w:rPr>
        <w:t>לאשורן</w:t>
      </w:r>
      <w:proofErr w:type="spellEnd"/>
      <w:r>
        <w:rPr>
          <w:rFonts w:ascii="David" w:eastAsia="Times New Roman" w:hAnsi="David" w:cs="David"/>
          <w:sz w:val="24"/>
          <w:szCs w:val="24"/>
          <w:rtl/>
        </w:rPr>
        <w:t>, ו</w:t>
      </w:r>
      <w:r>
        <w:rPr>
          <w:rFonts w:ascii="David" w:hAnsi="David" w:cs="David"/>
          <w:sz w:val="24"/>
          <w:szCs w:val="24"/>
          <w:rtl/>
        </w:rPr>
        <w:t>למבקשים נגרם נזק ראייתי.</w:t>
      </w:r>
    </w:p>
    <w:p w14:paraId="158C1EED" w14:textId="77777777" w:rsidR="00426E0C" w:rsidRDefault="00426E0C" w:rsidP="00426E0C">
      <w:pPr>
        <w:pStyle w:val="ad"/>
        <w:spacing w:line="360" w:lineRule="auto"/>
        <w:jc w:val="both"/>
        <w:rPr>
          <w:rFonts w:ascii="David" w:hAnsi="David" w:cs="David"/>
          <w:sz w:val="24"/>
          <w:szCs w:val="24"/>
        </w:rPr>
      </w:pPr>
    </w:p>
    <w:p w14:paraId="3B8B1E79"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לסיכום, בשים לב לכך שהמתנגדים ידעו על פטירת המנוח כבר בשנת 2011, ידעו על קיומה של הצוואה ותוכנה לכל הפחות כשנה וחצי טרם פנו בבקשה לביטול הצו, וכן ידעו על מתן הצו לקיום צוואה לכל הפחות כשנה טרם פנו בבקשה לביטולו, והואיל והמתנגדים לא הבהירו באופן מספק, וממילא לא הוכיחו את הטעם לשיהוי הרב בו נקטו, הרי שדי בכך על מנת לדחות את הבקשה לביטול הצו שניתן לקיום צוואת האב המנוח. </w:t>
      </w:r>
    </w:p>
    <w:p w14:paraId="631CE085" w14:textId="77777777" w:rsidR="00426E0C" w:rsidRDefault="00426E0C" w:rsidP="00426E0C">
      <w:pPr>
        <w:pStyle w:val="ad"/>
        <w:rPr>
          <w:rFonts w:ascii="David" w:hAnsi="David" w:cs="David"/>
          <w:sz w:val="24"/>
          <w:szCs w:val="24"/>
        </w:rPr>
      </w:pPr>
    </w:p>
    <w:p w14:paraId="65DE42FA"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b/>
          <w:bCs/>
          <w:sz w:val="24"/>
          <w:szCs w:val="24"/>
          <w:rtl/>
        </w:rPr>
        <w:t>למעלה מן הצורך,</w:t>
      </w:r>
      <w:r>
        <w:rPr>
          <w:rFonts w:ascii="David" w:hAnsi="David" w:cs="David"/>
          <w:sz w:val="24"/>
          <w:szCs w:val="24"/>
          <w:rtl/>
        </w:rPr>
        <w:t xml:space="preserve"> והואיל והמתנגדים הגישו התנגדות ביחס לצוואת האם המנוחה וטענו טענות זהות אף ביחס לצוואת האב המנוח, אדון בטענותיהם ביחס לצוואת האב המנוח, יחד עם הטענות שנטענו במסגרת ההתנגדות לקיום צוואת האם המנוחה.</w:t>
      </w:r>
    </w:p>
    <w:p w14:paraId="1ABC69E8" w14:textId="77777777" w:rsidR="00426E0C" w:rsidRDefault="00426E0C" w:rsidP="00426E0C">
      <w:pPr>
        <w:spacing w:line="360" w:lineRule="auto"/>
        <w:ind w:left="720"/>
        <w:contextualSpacing/>
        <w:jc w:val="both"/>
        <w:rPr>
          <w:rFonts w:ascii="David" w:hAnsi="David"/>
          <w:rtl/>
        </w:rPr>
      </w:pPr>
    </w:p>
    <w:p w14:paraId="4937B123" w14:textId="77777777" w:rsidR="00426E0C" w:rsidRDefault="008E77EA" w:rsidP="00426E0C">
      <w:pPr>
        <w:spacing w:line="360" w:lineRule="auto"/>
        <w:ind w:left="720"/>
        <w:contextualSpacing/>
        <w:jc w:val="both"/>
        <w:rPr>
          <w:rFonts w:ascii="David" w:hAnsi="David"/>
          <w:b/>
          <w:bCs/>
          <w:u w:val="single"/>
          <w:rtl/>
        </w:rPr>
      </w:pPr>
      <w:r>
        <w:rPr>
          <w:rFonts w:ascii="David" w:hAnsi="David"/>
          <w:b/>
          <w:bCs/>
          <w:u w:val="single"/>
          <w:rtl/>
        </w:rPr>
        <w:t xml:space="preserve">טענות המתנגדים ביחס לצוואות המנוחים </w:t>
      </w:r>
    </w:p>
    <w:p w14:paraId="78936CF8" w14:textId="77777777" w:rsidR="001E28D5" w:rsidRDefault="001E28D5" w:rsidP="00426E0C">
      <w:pPr>
        <w:spacing w:line="360" w:lineRule="auto"/>
        <w:ind w:left="720"/>
        <w:contextualSpacing/>
        <w:jc w:val="both"/>
        <w:rPr>
          <w:rFonts w:ascii="David" w:hAnsi="David"/>
          <w:b/>
          <w:bCs/>
          <w:u w:val="single"/>
          <w:rtl/>
        </w:rPr>
      </w:pPr>
    </w:p>
    <w:p w14:paraId="4AC85D74" w14:textId="77777777" w:rsidR="00426E0C" w:rsidRDefault="008E77EA" w:rsidP="00426E0C">
      <w:pPr>
        <w:pStyle w:val="ad"/>
        <w:numPr>
          <w:ilvl w:val="0"/>
          <w:numId w:val="1"/>
        </w:numPr>
        <w:spacing w:line="360" w:lineRule="auto"/>
        <w:jc w:val="both"/>
        <w:rPr>
          <w:rFonts w:ascii="David" w:hAnsi="David" w:cs="David"/>
          <w:b/>
          <w:bCs/>
          <w:sz w:val="24"/>
          <w:szCs w:val="24"/>
          <w:u w:val="single"/>
          <w:rtl/>
        </w:rPr>
      </w:pPr>
      <w:r>
        <w:rPr>
          <w:rFonts w:ascii="David" w:hAnsi="David" w:cs="David"/>
          <w:sz w:val="24"/>
          <w:szCs w:val="24"/>
          <w:rtl/>
        </w:rPr>
        <w:t>בבוא בית המשפט לבחון צוואה, עליו לכבד את רצונו של המצווה ולהימנע ככל האפשר מלפגוע בחופש הציווי (</w:t>
      </w:r>
      <w:r>
        <w:rPr>
          <w:rFonts w:ascii="David" w:hAnsi="David" w:cs="David"/>
          <w:color w:val="000000"/>
          <w:sz w:val="24"/>
          <w:szCs w:val="24"/>
          <w:rtl/>
        </w:rPr>
        <w:t xml:space="preserve">ע"א 724/87 </w:t>
      </w:r>
      <w:r>
        <w:rPr>
          <w:rFonts w:ascii="David" w:hAnsi="David" w:cs="David"/>
          <w:b/>
          <w:bCs/>
          <w:color w:val="000000"/>
          <w:sz w:val="24"/>
          <w:szCs w:val="24"/>
          <w:rtl/>
        </w:rPr>
        <w:t>ורדה כלפה (גולד) נ' תמר גולד,</w:t>
      </w:r>
      <w:r>
        <w:rPr>
          <w:rFonts w:ascii="David" w:hAnsi="David" w:cs="David"/>
          <w:color w:val="000000"/>
          <w:sz w:val="24"/>
          <w:szCs w:val="24"/>
          <w:rtl/>
        </w:rPr>
        <w:t xml:space="preserve"> מח(1)22 (1993), בע"מ 11116/08 </w:t>
      </w:r>
      <w:r>
        <w:rPr>
          <w:rFonts w:ascii="David" w:hAnsi="David" w:cs="David"/>
          <w:b/>
          <w:bCs/>
          <w:color w:val="000000"/>
          <w:sz w:val="24"/>
          <w:szCs w:val="24"/>
          <w:rtl/>
        </w:rPr>
        <w:t>פלוני נ' אלמוני</w:t>
      </w:r>
      <w:r>
        <w:rPr>
          <w:rFonts w:ascii="David" w:hAnsi="David" w:cs="David"/>
          <w:color w:val="000000"/>
          <w:sz w:val="24"/>
          <w:szCs w:val="24"/>
          <w:rtl/>
        </w:rPr>
        <w:t xml:space="preserve"> (05.07.2012)</w:t>
      </w:r>
      <w:r>
        <w:rPr>
          <w:rFonts w:ascii="David" w:hAnsi="David" w:cs="David"/>
          <w:sz w:val="24"/>
          <w:szCs w:val="24"/>
          <w:rtl/>
        </w:rPr>
        <w:t xml:space="preserve">. </w:t>
      </w:r>
    </w:p>
    <w:p w14:paraId="03B6129F" w14:textId="77777777" w:rsidR="00426E0C" w:rsidRDefault="00426E0C" w:rsidP="00426E0C">
      <w:pPr>
        <w:pStyle w:val="ad"/>
        <w:spacing w:line="360" w:lineRule="auto"/>
        <w:jc w:val="both"/>
        <w:rPr>
          <w:rFonts w:ascii="David" w:hAnsi="David" w:cs="David"/>
          <w:b/>
          <w:bCs/>
          <w:sz w:val="24"/>
          <w:szCs w:val="24"/>
          <w:u w:val="single"/>
        </w:rPr>
      </w:pPr>
    </w:p>
    <w:p w14:paraId="7AF50B51" w14:textId="77777777" w:rsidR="00426E0C" w:rsidRDefault="008E77EA" w:rsidP="00426E0C">
      <w:pPr>
        <w:pStyle w:val="ad"/>
        <w:numPr>
          <w:ilvl w:val="0"/>
          <w:numId w:val="1"/>
        </w:numPr>
        <w:spacing w:line="360" w:lineRule="auto"/>
        <w:jc w:val="both"/>
        <w:rPr>
          <w:rFonts w:ascii="David" w:hAnsi="David" w:cs="David"/>
          <w:b/>
          <w:bCs/>
          <w:sz w:val="24"/>
          <w:szCs w:val="24"/>
          <w:u w:val="single"/>
          <w:rtl/>
        </w:rPr>
      </w:pPr>
      <w:r>
        <w:rPr>
          <w:rFonts w:ascii="David" w:hAnsi="David" w:cs="David"/>
          <w:sz w:val="24"/>
          <w:szCs w:val="24"/>
          <w:rtl/>
        </w:rPr>
        <w:t xml:space="preserve">בענייננו, ההתנגדות לקיום הצוואה מבוססת על מספר נימוקים אותם טוענים המתנגדים: </w:t>
      </w:r>
    </w:p>
    <w:p w14:paraId="25C00D0D" w14:textId="77777777" w:rsidR="00426E0C" w:rsidRDefault="00426E0C" w:rsidP="00426E0C">
      <w:pPr>
        <w:pStyle w:val="ad"/>
        <w:rPr>
          <w:rFonts w:ascii="David" w:hAnsi="David" w:cs="David"/>
          <w:sz w:val="24"/>
          <w:szCs w:val="24"/>
        </w:rPr>
      </w:pPr>
    </w:p>
    <w:p w14:paraId="53C1717B" w14:textId="77777777" w:rsidR="00426E0C" w:rsidRDefault="008E77EA" w:rsidP="00426E0C">
      <w:pPr>
        <w:pStyle w:val="ad"/>
        <w:numPr>
          <w:ilvl w:val="0"/>
          <w:numId w:val="5"/>
        </w:numPr>
        <w:spacing w:line="360" w:lineRule="auto"/>
        <w:jc w:val="both"/>
        <w:rPr>
          <w:rFonts w:ascii="David" w:hAnsi="David" w:cs="David"/>
          <w:sz w:val="24"/>
          <w:szCs w:val="24"/>
          <w:rtl/>
        </w:rPr>
      </w:pPr>
      <w:r>
        <w:rPr>
          <w:rFonts w:ascii="David" w:hAnsi="David" w:cs="David"/>
          <w:sz w:val="24"/>
          <w:szCs w:val="24"/>
          <w:rtl/>
        </w:rPr>
        <w:t>מדובר בצוואה ללא עדים שכן העדים אינם דוברים את השפה האמהרית. הדבר מהווה פגם מהותי בצוואה ומביא להיפוך נטל הראיה.</w:t>
      </w:r>
    </w:p>
    <w:p w14:paraId="3F2B59A5" w14:textId="77777777" w:rsidR="00426E0C" w:rsidRDefault="008E77EA" w:rsidP="00426E0C">
      <w:pPr>
        <w:pStyle w:val="ad"/>
        <w:numPr>
          <w:ilvl w:val="0"/>
          <w:numId w:val="5"/>
        </w:numPr>
        <w:spacing w:line="360" w:lineRule="auto"/>
        <w:jc w:val="both"/>
        <w:rPr>
          <w:rFonts w:ascii="David" w:hAnsi="David" w:cs="David"/>
          <w:sz w:val="24"/>
          <w:szCs w:val="24"/>
          <w:u w:val="single"/>
          <w:rtl/>
        </w:rPr>
      </w:pPr>
      <w:r>
        <w:rPr>
          <w:rFonts w:ascii="David" w:hAnsi="David" w:cs="David"/>
          <w:sz w:val="24"/>
          <w:szCs w:val="24"/>
          <w:rtl/>
        </w:rPr>
        <w:t>היחסים בין ההורים לבין המתנגדים היו מצוינים ואין סיבה להעדפת היורש ז"ל על פני יתר האחים.</w:t>
      </w:r>
    </w:p>
    <w:p w14:paraId="7D1AE03C" w14:textId="77777777" w:rsidR="00426E0C" w:rsidRDefault="008E77EA" w:rsidP="00426E0C">
      <w:pPr>
        <w:pStyle w:val="ad"/>
        <w:numPr>
          <w:ilvl w:val="0"/>
          <w:numId w:val="5"/>
        </w:numPr>
        <w:spacing w:line="360" w:lineRule="auto"/>
        <w:jc w:val="both"/>
        <w:rPr>
          <w:rFonts w:ascii="David" w:hAnsi="David" w:cs="David"/>
          <w:sz w:val="24"/>
          <w:szCs w:val="24"/>
        </w:rPr>
      </w:pPr>
      <w:r>
        <w:rPr>
          <w:rFonts w:ascii="David" w:hAnsi="David" w:cs="David"/>
          <w:sz w:val="24"/>
          <w:szCs w:val="24"/>
          <w:rtl/>
        </w:rPr>
        <w:t xml:space="preserve">טענה למעורבות של היורש בעריכת הצוואה, אשר הסיע את המנוחים לעורך הדין. עוד נטען, כי גרושתו של היורש הכירה את המתורגמן, וכי אין למתנגדים ספק כי המתורגמן לא הסביר למנוחים על מה הם חותמים ואת משמעות הצוואה. לטענתם, המנוחים רומו. </w:t>
      </w:r>
    </w:p>
    <w:p w14:paraId="0B196113" w14:textId="77777777" w:rsidR="00426E0C" w:rsidRDefault="00426E0C" w:rsidP="00426E0C">
      <w:pPr>
        <w:pStyle w:val="ad"/>
        <w:spacing w:line="360" w:lineRule="auto"/>
        <w:jc w:val="both"/>
        <w:rPr>
          <w:rFonts w:ascii="David" w:hAnsi="David" w:cs="David"/>
          <w:b/>
          <w:bCs/>
          <w:sz w:val="24"/>
          <w:szCs w:val="24"/>
          <w:u w:val="single"/>
        </w:rPr>
      </w:pPr>
    </w:p>
    <w:p w14:paraId="67ADD25E" w14:textId="77777777" w:rsidR="00426E0C" w:rsidRDefault="008E77EA" w:rsidP="00426E0C">
      <w:pPr>
        <w:pStyle w:val="ad"/>
        <w:numPr>
          <w:ilvl w:val="0"/>
          <w:numId w:val="1"/>
        </w:numPr>
        <w:spacing w:line="360" w:lineRule="auto"/>
        <w:jc w:val="both"/>
        <w:rPr>
          <w:rFonts w:ascii="David" w:hAnsi="David" w:cs="David"/>
          <w:b/>
          <w:bCs/>
          <w:sz w:val="24"/>
          <w:szCs w:val="24"/>
          <w:u w:val="single"/>
          <w:rtl/>
        </w:rPr>
      </w:pPr>
      <w:r>
        <w:rPr>
          <w:rFonts w:ascii="David" w:hAnsi="David" w:cs="David"/>
          <w:b/>
          <w:bCs/>
          <w:sz w:val="24"/>
          <w:szCs w:val="24"/>
          <w:rtl/>
        </w:rPr>
        <w:t>לאחר עיון במכלול הראיות שהונחו לפניי, מצאתי לדחות את טענות המתנגדים ביחס לצוואות. מצאתי כי לא נפל פגם צורני בצוואות, וכי המתנגדים שנטל ההוכחה מוטל עליהם, לא הוכיחו את העילות הנטענות. ואסביר.</w:t>
      </w:r>
    </w:p>
    <w:p w14:paraId="126C5065" w14:textId="77777777" w:rsidR="00426E0C" w:rsidRDefault="00426E0C" w:rsidP="00426E0C">
      <w:pPr>
        <w:pStyle w:val="ad"/>
        <w:spacing w:line="360" w:lineRule="auto"/>
        <w:jc w:val="both"/>
        <w:rPr>
          <w:rFonts w:ascii="David" w:hAnsi="David" w:cs="David"/>
          <w:b/>
          <w:bCs/>
          <w:sz w:val="24"/>
          <w:szCs w:val="24"/>
          <w:u w:val="single"/>
        </w:rPr>
      </w:pPr>
    </w:p>
    <w:p w14:paraId="6054E9E9" w14:textId="77777777" w:rsidR="00426E0C" w:rsidRDefault="008E77EA" w:rsidP="00426E0C">
      <w:pPr>
        <w:pStyle w:val="ad"/>
        <w:spacing w:line="360" w:lineRule="auto"/>
        <w:jc w:val="both"/>
        <w:rPr>
          <w:rFonts w:ascii="David" w:hAnsi="David" w:cs="David"/>
          <w:b/>
          <w:bCs/>
          <w:sz w:val="24"/>
          <w:szCs w:val="24"/>
          <w:u w:val="single"/>
        </w:rPr>
      </w:pPr>
      <w:r>
        <w:rPr>
          <w:rFonts w:ascii="David" w:hAnsi="David" w:cs="David"/>
          <w:b/>
          <w:bCs/>
          <w:sz w:val="24"/>
          <w:szCs w:val="24"/>
          <w:u w:val="single"/>
          <w:rtl/>
        </w:rPr>
        <w:t xml:space="preserve">הטענה לפגם בצוואה </w:t>
      </w:r>
    </w:p>
    <w:p w14:paraId="349E8AD4" w14:textId="77777777" w:rsidR="00426E0C" w:rsidRDefault="00426E0C" w:rsidP="00426E0C">
      <w:pPr>
        <w:pStyle w:val="ad"/>
        <w:spacing w:line="360" w:lineRule="auto"/>
        <w:jc w:val="both"/>
        <w:rPr>
          <w:rFonts w:ascii="David" w:hAnsi="David" w:cs="David"/>
          <w:sz w:val="24"/>
          <w:szCs w:val="24"/>
          <w:rtl/>
        </w:rPr>
      </w:pPr>
    </w:p>
    <w:p w14:paraId="4140B22B"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תחילה מצאתי לדון בטענת המתנגדים כי נפל פגם צורני בצוואה, שיש בו לטענתם כדי להעביר את נטל השכנוע אל כתפי המבקשים את קיום הצוואה. </w:t>
      </w:r>
    </w:p>
    <w:p w14:paraId="69FFFC93" w14:textId="77777777" w:rsidR="00426E0C" w:rsidRDefault="00426E0C" w:rsidP="00426E0C">
      <w:pPr>
        <w:pStyle w:val="ad"/>
        <w:spacing w:line="360" w:lineRule="auto"/>
        <w:jc w:val="both"/>
        <w:rPr>
          <w:rFonts w:ascii="David" w:hAnsi="David" w:cs="David"/>
          <w:sz w:val="24"/>
          <w:szCs w:val="24"/>
        </w:rPr>
      </w:pPr>
    </w:p>
    <w:p w14:paraId="1C899541"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לטענת המתנגדים, קיים פגם צורני בצוואה שכן העדים לצוואה אינם דוברים את השפה האמהרית, וזאת הסיבה שנכתב בצוואה כי תורגמה לשפה האמהרית. לטענתם, מדובר בצוואה ללא עדים כלל, שכן העדים אינם יכולים להעיד כי המנוחים הבינו על מה הם חותמים. עוד טוענים המתנגדים, כי המתורגמן הנו קרוב משפחה של אשת הזוכה ואינו חתום כעד על הצוואה. לפיכך נטען, כי לא התקיים תנאי יסוד המפורט בסעיף 25 לחוק הירושה, ויש לקבוע כי נטל הראיה והשכנוע חלים על מבקשי קיום הצוואה.</w:t>
      </w:r>
    </w:p>
    <w:p w14:paraId="652FB022" w14:textId="77777777" w:rsidR="00426E0C" w:rsidRDefault="00426E0C" w:rsidP="00426E0C">
      <w:pPr>
        <w:pStyle w:val="ad"/>
        <w:rPr>
          <w:rFonts w:ascii="David" w:hAnsi="David" w:cs="David"/>
          <w:sz w:val="24"/>
          <w:szCs w:val="24"/>
        </w:rPr>
      </w:pPr>
    </w:p>
    <w:p w14:paraId="7184FA2A" w14:textId="77777777" w:rsidR="00426E0C" w:rsidRDefault="00426E0C" w:rsidP="00426E0C">
      <w:pPr>
        <w:pStyle w:val="ad"/>
        <w:spacing w:line="360" w:lineRule="auto"/>
        <w:jc w:val="both"/>
        <w:rPr>
          <w:rFonts w:ascii="David" w:hAnsi="David" w:cs="David"/>
          <w:sz w:val="24"/>
          <w:szCs w:val="24"/>
          <w:rtl/>
        </w:rPr>
      </w:pPr>
    </w:p>
    <w:p w14:paraId="157E1A17"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מנגד, טוענים המבקשים כי אין מקום להיפוך הנטל, שכן מדובר בצוואה שהינה תקינה מבחינה צורנית. הצוואה חתומה על ידי שני המנוחים ועל ידי שני עדים. בסעיף 6 לצוואה נרשם כי הצוואה הוקראה למנוחים ותורגמה על ידי מתורגמן דובר השפה האמהרית. תפקיד העדים לאשר על פני הצוואה שהמצווה הצהיר לפניהם שזו צוואתו וחתם בפניהם על הצוואה, ואין כל דרישות נוספות. לפי הפסיקה אף אין חובה לציין בצוואה בעדים את עצם תרגומה. </w:t>
      </w:r>
    </w:p>
    <w:p w14:paraId="21BBAF83" w14:textId="77777777" w:rsidR="00426E0C" w:rsidRDefault="00426E0C" w:rsidP="00426E0C">
      <w:pPr>
        <w:pStyle w:val="ad"/>
        <w:spacing w:line="360" w:lineRule="auto"/>
        <w:jc w:val="both"/>
        <w:rPr>
          <w:rFonts w:ascii="David" w:hAnsi="David" w:cs="David"/>
          <w:sz w:val="24"/>
          <w:szCs w:val="24"/>
          <w:rtl/>
        </w:rPr>
      </w:pPr>
    </w:p>
    <w:p w14:paraId="3848EF2F" w14:textId="77777777" w:rsidR="00426E0C" w:rsidRDefault="008E77EA" w:rsidP="00426E0C">
      <w:pPr>
        <w:pStyle w:val="ad"/>
        <w:numPr>
          <w:ilvl w:val="0"/>
          <w:numId w:val="1"/>
        </w:numPr>
        <w:spacing w:line="360" w:lineRule="auto"/>
        <w:jc w:val="both"/>
        <w:rPr>
          <w:rFonts w:ascii="David" w:hAnsi="David" w:cs="David"/>
          <w:b/>
          <w:bCs/>
          <w:sz w:val="24"/>
          <w:szCs w:val="24"/>
          <w:rtl/>
        </w:rPr>
      </w:pPr>
      <w:r>
        <w:rPr>
          <w:rFonts w:ascii="David" w:hAnsi="David" w:cs="David"/>
          <w:b/>
          <w:bCs/>
          <w:sz w:val="24"/>
          <w:szCs w:val="24"/>
          <w:rtl/>
        </w:rPr>
        <w:t xml:space="preserve">לאחר עיון בטענות הצדדים, לא מצאתי לקבל את טענת המתנגדים לעניין העברת נטל השכנוע. </w:t>
      </w:r>
    </w:p>
    <w:p w14:paraId="610CB98F" w14:textId="77777777" w:rsidR="00426E0C" w:rsidRDefault="00426E0C" w:rsidP="00426E0C">
      <w:pPr>
        <w:pStyle w:val="ad"/>
        <w:rPr>
          <w:rFonts w:ascii="David" w:hAnsi="David" w:cs="David"/>
          <w:sz w:val="24"/>
          <w:szCs w:val="24"/>
        </w:rPr>
      </w:pPr>
    </w:p>
    <w:p w14:paraId="40379AD6"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אכן, כאשר מצווה אינו מסוגל לקרוא את הצוואה בשל אי ידיעת השפה, יש להבטיח שתוכנה יובא לידיעתו וכי עובדה זו תירשם על גבי הצוואה. ואולם, ככל שקיים רישום מתאים על גבי הצוואה המאשר כי היא הוקראה ותורגמה למצווה, הרי שהצוואה נחזית כתקינה מבחינה צורנית ומהותית. במצב זה, נטל ההוכחה שהמצווה לא הבין את תוכן הצוואה מוטל על המתנגדים ואינו עובר לכתפי מבקשי הקיום, שכן הרישום מהווה אינדיקציה לכך שהמצווה ידע על מה הוא חותם. רק אם יוכח כי למרות הרישום לא בוצע תרגום בפועל, יעבור הנטל למבקש הקיום. (ראו: ע"א 2119/94 </w:t>
      </w:r>
      <w:r>
        <w:rPr>
          <w:rFonts w:ascii="David" w:hAnsi="David" w:cs="David"/>
          <w:b/>
          <w:bCs/>
          <w:sz w:val="24"/>
          <w:szCs w:val="24"/>
          <w:rtl/>
        </w:rPr>
        <w:t>צפורה לנדאו נ' ברוך וין</w:t>
      </w:r>
      <w:r>
        <w:rPr>
          <w:rFonts w:ascii="David" w:hAnsi="David" w:cs="David"/>
          <w:sz w:val="24"/>
          <w:szCs w:val="24"/>
          <w:rtl/>
        </w:rPr>
        <w:t xml:space="preserve">, מט(2) 077 (9.8.1995), בע"מ 3779/10 </w:t>
      </w:r>
      <w:r>
        <w:rPr>
          <w:rFonts w:ascii="David" w:hAnsi="David" w:cs="David"/>
          <w:b/>
          <w:bCs/>
          <w:sz w:val="24"/>
          <w:szCs w:val="24"/>
          <w:rtl/>
        </w:rPr>
        <w:t>עזבון המנוחה פלונית ז"ל נ' פלוני</w:t>
      </w:r>
      <w:r>
        <w:rPr>
          <w:rFonts w:ascii="David" w:hAnsi="David" w:cs="David"/>
          <w:sz w:val="24"/>
          <w:szCs w:val="24"/>
          <w:rtl/>
        </w:rPr>
        <w:t xml:space="preserve"> (28.9.2010)</w:t>
      </w:r>
      <w:r w:rsidR="001B13F3">
        <w:rPr>
          <w:rFonts w:ascii="David" w:hAnsi="David" w:cs="David" w:hint="cs"/>
          <w:sz w:val="24"/>
          <w:szCs w:val="24"/>
          <w:rtl/>
        </w:rPr>
        <w:t>)</w:t>
      </w:r>
      <w:r>
        <w:rPr>
          <w:rFonts w:ascii="David" w:hAnsi="David" w:cs="David"/>
          <w:sz w:val="24"/>
          <w:szCs w:val="24"/>
          <w:rtl/>
        </w:rPr>
        <w:t>.</w:t>
      </w:r>
    </w:p>
    <w:p w14:paraId="303BCF32" w14:textId="77777777" w:rsidR="00426E0C" w:rsidRDefault="00426E0C" w:rsidP="00426E0C">
      <w:pPr>
        <w:pStyle w:val="ad"/>
        <w:spacing w:line="360" w:lineRule="auto"/>
        <w:jc w:val="both"/>
        <w:rPr>
          <w:rFonts w:ascii="David" w:hAnsi="David" w:cs="David"/>
          <w:sz w:val="24"/>
          <w:szCs w:val="24"/>
          <w:rtl/>
        </w:rPr>
      </w:pPr>
    </w:p>
    <w:p w14:paraId="018887A3"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בספרות נקבע כי צוואה בעדים הממלאת אחר דרישות סעיף 20 לחוק הירושה – חזקה עליה כי היא כשרה ועל התוקף אותה מוטל נטל הראיה להוכיח כי היא פסולה. הובהר כי מלבד החובות המפורטות בסעיף 20, "אין חובות נוספות על העדים, אין הם חייבים להכיר את תוכן הצוואה. אין הם חייבים לבדוק את מצבו השכלי או הגופני של המצווה. אם למשל תוכן הצוואה תורגם לשפה שהמצווה מבין, אין חובה על העדים לרשום עובדה זו על פני הצוואה – חובה הקיימת בצוואה בפני רשות. עשו העדים את המוטל עליהם על פי האמור בסעיף 20, חזקה שהצוואה תקפה, ומי שרוצה לתקוף אותה מסיבה זו או אחרת, עליו הראיה".  (ראו: שמואל שילה, </w:t>
      </w:r>
      <w:r>
        <w:rPr>
          <w:rFonts w:ascii="David" w:hAnsi="David" w:cs="David"/>
          <w:b/>
          <w:bCs/>
          <w:sz w:val="24"/>
          <w:szCs w:val="24"/>
          <w:rtl/>
        </w:rPr>
        <w:t>פירוש לחוק הירושה</w:t>
      </w:r>
      <w:r>
        <w:rPr>
          <w:rFonts w:ascii="David" w:hAnsi="David" w:cs="David"/>
          <w:sz w:val="24"/>
          <w:szCs w:val="24"/>
          <w:rtl/>
        </w:rPr>
        <w:t xml:space="preserve"> כרך א (1995), סעיף 20: צוואה בעדים, בעמ' 197). </w:t>
      </w:r>
    </w:p>
    <w:p w14:paraId="6DC81CDA" w14:textId="77777777" w:rsidR="00426E0C" w:rsidRDefault="00426E0C" w:rsidP="00426E0C">
      <w:pPr>
        <w:pStyle w:val="ad"/>
        <w:spacing w:line="360" w:lineRule="auto"/>
        <w:jc w:val="both"/>
        <w:rPr>
          <w:rFonts w:ascii="David" w:hAnsi="David" w:cs="David"/>
          <w:sz w:val="24"/>
          <w:szCs w:val="24"/>
          <w:rtl/>
        </w:rPr>
      </w:pPr>
    </w:p>
    <w:p w14:paraId="3107D095"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אמנם צוין כי העדר ציון מפורש בדבר תרגום הצוואה למצווה טרם חתימה יש בו כדי לתרום לחשש שהמצווה לא הבין את תוכן הצוואה עליה חתם, ואולם בענייננו, נרשם על גבי הצוואה באופן מפורש כי הצוואה הוקראה ותורגמה למנוחים. לפיכך, הצוואה נחשבת לתקינה על פניה. במצב זה, נטל השכנוע נותר על המתנגדים להוכיח כי המנוחים לא הבינו את תוכן הצוואה.</w:t>
      </w:r>
    </w:p>
    <w:p w14:paraId="13D9AD0A" w14:textId="77777777" w:rsidR="00426E0C" w:rsidRDefault="00426E0C" w:rsidP="00426E0C">
      <w:pPr>
        <w:pStyle w:val="ad"/>
        <w:spacing w:line="360" w:lineRule="auto"/>
        <w:jc w:val="both"/>
        <w:rPr>
          <w:rFonts w:ascii="David" w:hAnsi="David" w:cs="David"/>
          <w:sz w:val="24"/>
          <w:szCs w:val="24"/>
          <w:rtl/>
        </w:rPr>
      </w:pPr>
    </w:p>
    <w:p w14:paraId="20D001FF"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ראו גם דברי המלומד ש' שוחט בסוגיה:</w:t>
      </w:r>
    </w:p>
    <w:p w14:paraId="66E9514D" w14:textId="77777777" w:rsidR="00426E0C" w:rsidRDefault="00426E0C" w:rsidP="00426E0C">
      <w:pPr>
        <w:pStyle w:val="ad"/>
        <w:spacing w:line="360" w:lineRule="auto"/>
        <w:jc w:val="both"/>
        <w:rPr>
          <w:rFonts w:ascii="David" w:hAnsi="David" w:cs="David"/>
          <w:sz w:val="24"/>
          <w:szCs w:val="24"/>
          <w:rtl/>
        </w:rPr>
      </w:pPr>
    </w:p>
    <w:p w14:paraId="1FE0E39F" w14:textId="77777777" w:rsidR="00426E0C" w:rsidRDefault="008E77EA" w:rsidP="00426E0C">
      <w:pPr>
        <w:pStyle w:val="ad"/>
        <w:spacing w:line="360" w:lineRule="auto"/>
        <w:ind w:left="1440" w:right="709"/>
        <w:jc w:val="both"/>
        <w:rPr>
          <w:rFonts w:ascii="David" w:hAnsi="David" w:cs="David"/>
          <w:sz w:val="24"/>
          <w:szCs w:val="24"/>
          <w:rtl/>
        </w:rPr>
      </w:pPr>
      <w:r>
        <w:rPr>
          <w:rFonts w:ascii="David" w:hAnsi="David" w:cs="David"/>
          <w:b/>
          <w:bCs/>
          <w:sz w:val="24"/>
          <w:szCs w:val="24"/>
          <w:rtl/>
        </w:rPr>
        <w:t>"בשונה מצוואה בפני רשות, חוק הירושה אינו דורש כי צוואה בכתב שנעשתה בלשון שהמצווה אינו מבין תוקרא לפניו בלשון המובנת לו, וכי המתרגם יאשר על פני הצוואה את דבר התרגום. מכאן, שציון עובדת התרגום כשלעצמה על פני הצוואה אינו יסוד צורני שלה. עם זאת, בהקשר זה יש להבחין בין היעדר אישור על גבי הצוואה שלפיו הצוואה אכן תורגמה למצווה ובין העדר עצם תרגומה של הצוואה לשפה המובנת לו. בית המשפט השיב בשלילה על השאלה האם היעדר ציון עובדת התרגום על פני צוואה בכתב הנו פגם צורני, וקבע כי לעומת זאת היעדרו של עצם התרגום הנו פגם מהותי שלא ניתן להתעלם ממנו ולקיים את הצוואה מכוח הוראת סעיף 25 לחוק הירושה".</w:t>
      </w:r>
      <w:r>
        <w:rPr>
          <w:rFonts w:ascii="David" w:hAnsi="David" w:cs="David"/>
          <w:sz w:val="24"/>
          <w:szCs w:val="24"/>
          <w:rtl/>
        </w:rPr>
        <w:t xml:space="preserve"> (ראו: ש' שוחט </w:t>
      </w:r>
      <w:r>
        <w:rPr>
          <w:rFonts w:ascii="David" w:hAnsi="David" w:cs="David"/>
          <w:b/>
          <w:bCs/>
          <w:sz w:val="24"/>
          <w:szCs w:val="24"/>
          <w:rtl/>
        </w:rPr>
        <w:t>"פגמים בצוואות"</w:t>
      </w:r>
      <w:r>
        <w:rPr>
          <w:rFonts w:ascii="David" w:hAnsi="David" w:cs="David"/>
          <w:sz w:val="24"/>
          <w:szCs w:val="24"/>
          <w:rtl/>
        </w:rPr>
        <w:t xml:space="preserve">, עמ' 93-94). </w:t>
      </w:r>
    </w:p>
    <w:p w14:paraId="11890CC7" w14:textId="77777777" w:rsidR="00426E0C" w:rsidRDefault="00426E0C" w:rsidP="00426E0C">
      <w:pPr>
        <w:pStyle w:val="ad"/>
        <w:spacing w:line="360" w:lineRule="auto"/>
        <w:jc w:val="both"/>
        <w:rPr>
          <w:rFonts w:ascii="David" w:hAnsi="David" w:cs="David"/>
          <w:sz w:val="24"/>
          <w:szCs w:val="24"/>
          <w:rtl/>
        </w:rPr>
      </w:pPr>
    </w:p>
    <w:p w14:paraId="51BBE2BE"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המלומד ש' שוחט מפנה בספרו </w:t>
      </w:r>
      <w:r>
        <w:rPr>
          <w:rFonts w:ascii="David" w:hAnsi="David" w:cs="David"/>
          <w:b/>
          <w:bCs/>
          <w:sz w:val="24"/>
          <w:szCs w:val="24"/>
          <w:rtl/>
        </w:rPr>
        <w:t>"פגמים בצוואות"</w:t>
      </w:r>
      <w:r>
        <w:rPr>
          <w:rFonts w:ascii="David" w:hAnsi="David" w:cs="David"/>
          <w:sz w:val="24"/>
          <w:szCs w:val="24"/>
          <w:rtl/>
        </w:rPr>
        <w:t xml:space="preserve"> לע"א 2119/95 </w:t>
      </w:r>
      <w:proofErr w:type="spellStart"/>
      <w:r>
        <w:rPr>
          <w:rFonts w:ascii="David" w:hAnsi="David" w:cs="David"/>
          <w:b/>
          <w:bCs/>
          <w:sz w:val="24"/>
          <w:szCs w:val="24"/>
          <w:rtl/>
        </w:rPr>
        <w:t>אושרוב</w:t>
      </w:r>
      <w:proofErr w:type="spellEnd"/>
      <w:r>
        <w:rPr>
          <w:rFonts w:ascii="David" w:hAnsi="David" w:cs="David"/>
          <w:b/>
          <w:bCs/>
          <w:sz w:val="24"/>
          <w:szCs w:val="24"/>
          <w:rtl/>
        </w:rPr>
        <w:t xml:space="preserve"> נ' פרחי</w:t>
      </w:r>
      <w:r>
        <w:rPr>
          <w:rFonts w:ascii="David" w:hAnsi="David" w:cs="David"/>
          <w:sz w:val="24"/>
          <w:szCs w:val="24"/>
          <w:rtl/>
        </w:rPr>
        <w:t xml:space="preserve"> (8.1.1997) ומבהיר כי בית המשפט העליון הבחין "בין מצב שבו הצוואה (בעדים) לא תורגמה כלל ללשון שהמצווה מבין ובין מצב שבו הצוואה תורגמה, אלא שהאישור בדבר ביצועו של התרגום לא בא לידי ביטוי בצוואה. במצב הראשון ראה בית המשפט פגם מהותי, אשר בנסיבות שהוכחו לפניו באותו עניין היה בו כדי לעורר חשש ממשי שהוראות הצוואה אינן משקפות את רצונה האמיתי של המנוחה. אשר למצב השני, בית המשפט נזהר מלראות בהיעדר האישור בלבד פגם צורני, אך הבהיר כי היעדר האישור בדבר התרגום 'עלול אולי כשלעצמו ובוודאי בהצטרפו לפגמים אחרים לעורר חשש בעניין אמיתות הצוואה ולהעביר את הנטל למי שמבקש לקיימה".... (ראו: ש' שוחט </w:t>
      </w:r>
      <w:r>
        <w:rPr>
          <w:rFonts w:ascii="David" w:hAnsi="David" w:cs="David"/>
          <w:b/>
          <w:bCs/>
          <w:sz w:val="24"/>
          <w:szCs w:val="24"/>
          <w:rtl/>
        </w:rPr>
        <w:t>"פגמים בצוואות"</w:t>
      </w:r>
      <w:r>
        <w:rPr>
          <w:rFonts w:ascii="David" w:hAnsi="David" w:cs="David"/>
          <w:sz w:val="24"/>
          <w:szCs w:val="24"/>
          <w:rtl/>
        </w:rPr>
        <w:t xml:space="preserve"> בעמ' 95). </w:t>
      </w:r>
    </w:p>
    <w:p w14:paraId="2FF6728F" w14:textId="77777777" w:rsidR="00426E0C" w:rsidRDefault="00426E0C" w:rsidP="00426E0C">
      <w:pPr>
        <w:pStyle w:val="ad"/>
        <w:spacing w:line="360" w:lineRule="auto"/>
        <w:jc w:val="both"/>
        <w:rPr>
          <w:rFonts w:ascii="David" w:hAnsi="David" w:cs="David"/>
          <w:sz w:val="24"/>
          <w:szCs w:val="24"/>
          <w:rtl/>
        </w:rPr>
      </w:pPr>
    </w:p>
    <w:p w14:paraId="1C95A221"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דהיינו, הפסיקה הבחינה בין מצב בו הצוואה כלל לא תורגמה למצווה לבין מצב בו הצוואה תורגמה אך דבר התרגום לא צוין באופן מפורש על גבי הצוואה. ככל שהצוואה תורגמה אך דבר התרגום לא צוין על גבי הצוואה, עולה השאלה האם מדובר בפגם צורני המעביר את נטל השכנוע. </w:t>
      </w:r>
    </w:p>
    <w:p w14:paraId="33799F16" w14:textId="77777777" w:rsidR="00426E0C" w:rsidRDefault="00426E0C" w:rsidP="00426E0C">
      <w:pPr>
        <w:pStyle w:val="ad"/>
        <w:spacing w:line="360" w:lineRule="auto"/>
        <w:jc w:val="both"/>
        <w:rPr>
          <w:rFonts w:ascii="David" w:hAnsi="David" w:cs="David"/>
          <w:sz w:val="24"/>
          <w:szCs w:val="24"/>
          <w:rtl/>
        </w:rPr>
      </w:pPr>
    </w:p>
    <w:p w14:paraId="5BD8D353"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ואולם בענייננו, לא מדובר במקרה בו דבר התרגום כלל לא צוין על גבי הצוואה. ההיפך הוא הנכון. בגוף הצוואה צוין באופן מפורש כי הצוואה הוקראה ותורגמה למנוחים לשפה האמהרית על ידי מר ק.ג. לפיכך, אין מקום בענייננו להורות על העברת נטל השכנוע אל כתפי מבקשי הקיום. המתנגדים, שנטל ההוכחה נותר עליהם, לא הוכיחו כי המנוחים לא ידעו על מה חתמו. בכלל זה, המתנגדים לא מצאו לנכון לזמן את המתורגמן לחקירה, וזאת על אף טענותיהם כנגדו, כפי שיפורט בהמשך. </w:t>
      </w:r>
    </w:p>
    <w:p w14:paraId="28300A2B" w14:textId="77777777" w:rsidR="00426E0C" w:rsidRDefault="00426E0C" w:rsidP="00426E0C">
      <w:pPr>
        <w:pStyle w:val="ad"/>
        <w:spacing w:line="360" w:lineRule="auto"/>
        <w:jc w:val="both"/>
        <w:rPr>
          <w:rFonts w:ascii="David" w:hAnsi="David" w:cs="David"/>
          <w:sz w:val="24"/>
          <w:szCs w:val="24"/>
        </w:rPr>
      </w:pPr>
    </w:p>
    <w:p w14:paraId="5602E67E" w14:textId="77777777" w:rsidR="00426E0C" w:rsidRDefault="008E77EA" w:rsidP="00426E0C">
      <w:pPr>
        <w:pStyle w:val="ad"/>
        <w:spacing w:line="360" w:lineRule="auto"/>
        <w:jc w:val="both"/>
        <w:rPr>
          <w:rFonts w:ascii="David" w:hAnsi="David" w:cs="David"/>
          <w:sz w:val="24"/>
          <w:szCs w:val="24"/>
        </w:rPr>
      </w:pPr>
      <w:r>
        <w:rPr>
          <w:rFonts w:ascii="David" w:hAnsi="David" w:cs="David"/>
          <w:b/>
          <w:bCs/>
          <w:sz w:val="24"/>
          <w:szCs w:val="24"/>
          <w:u w:val="single"/>
          <w:rtl/>
        </w:rPr>
        <w:t>הגיונה של הצוואה ורצונם של המנוחים</w:t>
      </w:r>
    </w:p>
    <w:p w14:paraId="48514591" w14:textId="77777777" w:rsidR="00426E0C" w:rsidRDefault="00426E0C" w:rsidP="00426E0C">
      <w:pPr>
        <w:pStyle w:val="ad"/>
        <w:rPr>
          <w:rFonts w:ascii="David" w:hAnsi="David" w:cs="David"/>
          <w:sz w:val="24"/>
          <w:szCs w:val="24"/>
        </w:rPr>
      </w:pPr>
    </w:p>
    <w:p w14:paraId="70E6A4B0" w14:textId="77777777" w:rsidR="00426E0C" w:rsidRDefault="008E77EA" w:rsidP="00F5472E">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המתנגדים העידו בחקירתם, כי מי שסייע להביא את ההורים המנוחים לארץ ואף סייע להורים לאחר עלייתם ארצה ברכישת הדירה והשתלבות בארץ, הוא בנם היורש ז"ל, אשר עלה לארץ קודם לכן, ידע את השפה העברית והשתלב בארץ, וזאת יחד עם אשתו דאז – </w:t>
      </w:r>
      <w:r w:rsidR="00F5472E">
        <w:rPr>
          <w:rFonts w:ascii="David" w:hAnsi="David" w:cs="David" w:hint="cs"/>
          <w:sz w:val="24"/>
          <w:szCs w:val="24"/>
          <w:rtl/>
        </w:rPr>
        <w:t xml:space="preserve">הגב' </w:t>
      </w:r>
      <w:r>
        <w:rPr>
          <w:rFonts w:ascii="David" w:hAnsi="David" w:cs="David"/>
          <w:sz w:val="24"/>
          <w:szCs w:val="24"/>
          <w:rtl/>
        </w:rPr>
        <w:t xml:space="preserve">מ', אימם של המבקשים. </w:t>
      </w:r>
    </w:p>
    <w:p w14:paraId="5B48EC0C" w14:textId="77777777" w:rsidR="00426E0C" w:rsidRDefault="00426E0C" w:rsidP="00426E0C">
      <w:pPr>
        <w:pStyle w:val="ad"/>
        <w:spacing w:line="360" w:lineRule="auto"/>
        <w:jc w:val="both"/>
        <w:rPr>
          <w:rFonts w:ascii="David" w:hAnsi="David" w:cs="David"/>
          <w:sz w:val="24"/>
          <w:szCs w:val="24"/>
        </w:rPr>
      </w:pPr>
    </w:p>
    <w:p w14:paraId="179468CB" w14:textId="77777777" w:rsidR="00426E0C" w:rsidRDefault="008E77EA" w:rsidP="00F32861">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המתנגדת 2 </w:t>
      </w:r>
      <w:r w:rsidR="00F32861">
        <w:rPr>
          <w:rFonts w:ascii="David" w:hAnsi="David" w:cs="David"/>
          <w:sz w:val="24"/>
          <w:szCs w:val="24"/>
          <w:rtl/>
        </w:rPr>
        <w:t>–</w:t>
      </w:r>
      <w:r>
        <w:rPr>
          <w:rFonts w:ascii="David" w:hAnsi="David" w:cs="David"/>
          <w:sz w:val="24"/>
          <w:szCs w:val="24"/>
          <w:rtl/>
        </w:rPr>
        <w:t xml:space="preserve"> </w:t>
      </w:r>
      <w:r w:rsidR="00F32861">
        <w:rPr>
          <w:rFonts w:ascii="David" w:hAnsi="David" w:cs="David" w:hint="cs"/>
          <w:sz w:val="24"/>
          <w:szCs w:val="24"/>
          <w:rtl/>
        </w:rPr>
        <w:t>ד.פ</w:t>
      </w:r>
      <w:r>
        <w:rPr>
          <w:rFonts w:ascii="David" w:hAnsi="David" w:cs="David"/>
          <w:sz w:val="24"/>
          <w:szCs w:val="24"/>
          <w:rtl/>
        </w:rPr>
        <w:t xml:space="preserve"> חזרה והבהירה בעדותה כי האח היורש ז"ל עזר להביא אותם ארצה  וסייע להם: </w:t>
      </w:r>
      <w:r>
        <w:rPr>
          <w:rFonts w:ascii="David" w:hAnsi="David" w:cs="David"/>
          <w:b/>
          <w:bCs/>
          <w:sz w:val="24"/>
          <w:szCs w:val="24"/>
          <w:rtl/>
        </w:rPr>
        <w:t>"הוא הביא אותנו, הוא עזר לנו".</w:t>
      </w:r>
      <w:r>
        <w:rPr>
          <w:rFonts w:ascii="David" w:hAnsi="David" w:cs="David"/>
          <w:sz w:val="24"/>
          <w:szCs w:val="24"/>
          <w:rtl/>
        </w:rPr>
        <w:t xml:space="preserve"> (ראו: עדותה בעמ' 13 שורות 22-28 ובעמ' 14 שורות 9-10 לפרוטוקול מיום 24.3.25). </w:t>
      </w:r>
    </w:p>
    <w:p w14:paraId="338504D2" w14:textId="77777777" w:rsidR="00426E0C" w:rsidRDefault="00426E0C" w:rsidP="00426E0C">
      <w:pPr>
        <w:pStyle w:val="ad"/>
        <w:spacing w:line="360" w:lineRule="auto"/>
        <w:jc w:val="both"/>
        <w:rPr>
          <w:rFonts w:ascii="David" w:hAnsi="David" w:cs="David"/>
          <w:sz w:val="24"/>
          <w:szCs w:val="24"/>
        </w:rPr>
      </w:pPr>
    </w:p>
    <w:p w14:paraId="1116B44C" w14:textId="77777777" w:rsidR="00426E0C" w:rsidRDefault="008E77EA" w:rsidP="00426E0C">
      <w:pPr>
        <w:pStyle w:val="ad"/>
        <w:spacing w:line="360" w:lineRule="auto"/>
        <w:jc w:val="both"/>
        <w:rPr>
          <w:rFonts w:ascii="David" w:hAnsi="David" w:cs="David"/>
          <w:sz w:val="24"/>
          <w:szCs w:val="24"/>
        </w:rPr>
      </w:pPr>
      <w:r>
        <w:rPr>
          <w:rFonts w:ascii="David" w:hAnsi="David" w:cs="David"/>
          <w:sz w:val="24"/>
          <w:szCs w:val="24"/>
          <w:rtl/>
        </w:rPr>
        <w:t>כמו כן, המתנגדת 2 העידה כי אמנם גם יתר האחים והנכדים עזרו להורים המנוחים, אך היורש ז"ל סייע להם יותר, טיפל אף בחשבון הבנק של ההורים, וההורים סמכו עליו. המתנגדת 2 הוסיפה כי אף היא סמכה על היורש ז"ל:</w:t>
      </w:r>
    </w:p>
    <w:p w14:paraId="2F0F9071" w14:textId="77777777" w:rsidR="00426E0C" w:rsidRDefault="00426E0C" w:rsidP="00426E0C">
      <w:pPr>
        <w:pStyle w:val="ad"/>
        <w:spacing w:line="360" w:lineRule="auto"/>
        <w:ind w:right="567" w:hanging="494"/>
        <w:jc w:val="both"/>
        <w:rPr>
          <w:rFonts w:ascii="David" w:hAnsi="David" w:cs="David"/>
          <w:sz w:val="24"/>
          <w:szCs w:val="24"/>
        </w:rPr>
      </w:pPr>
    </w:p>
    <w:p w14:paraId="032507CF" w14:textId="77777777" w:rsidR="00426E0C" w:rsidRDefault="008E77EA" w:rsidP="00426E0C">
      <w:pPr>
        <w:pStyle w:val="af"/>
        <w:shd w:val="clear" w:color="auto" w:fill="auto"/>
        <w:spacing w:line="360" w:lineRule="auto"/>
        <w:ind w:left="1985" w:right="567" w:hanging="494"/>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"את אומרת בתצהיר שלך בסעיף 9, שהיורש היה מטפל בחשבון הבנק של ההורים. נכון?</w:t>
      </w:r>
    </w:p>
    <w:p w14:paraId="3EA951FD" w14:textId="77777777" w:rsidR="00426E0C" w:rsidRDefault="008E77EA" w:rsidP="00426E0C">
      <w:pPr>
        <w:pStyle w:val="af"/>
        <w:shd w:val="clear" w:color="auto" w:fill="auto"/>
        <w:spacing w:line="360" w:lineRule="auto"/>
        <w:ind w:left="1985" w:right="567" w:hanging="494"/>
        <w:jc w:val="both"/>
        <w:rPr>
          <w:rFonts w:ascii="David" w:hAnsi="David" w:cs="David"/>
          <w:sz w:val="24"/>
          <w:szCs w:val="24"/>
          <w:u w:val="none"/>
        </w:rPr>
      </w:pPr>
      <w:r>
        <w:rPr>
          <w:rFonts w:ascii="David" w:hAnsi="David" w:cs="David"/>
          <w:sz w:val="24"/>
          <w:szCs w:val="24"/>
          <w:u w:val="none"/>
          <w:rtl/>
        </w:rPr>
        <w:t xml:space="preserve">ת. </w:t>
      </w:r>
      <w:r>
        <w:rPr>
          <w:rFonts w:ascii="David" w:hAnsi="David" w:cs="David"/>
          <w:sz w:val="24"/>
          <w:szCs w:val="24"/>
          <w:u w:val="none"/>
          <w:rtl/>
        </w:rPr>
        <w:tab/>
        <w:t>בגלל שהוא הרבה זמן בארץ הוא היה עוזר לה מאשר האחרים, שהוא יותר יש לו ידע. והוא היה מטפל. והם גם עזרו. אבל בגדול הוא. בגלל שהוא היה לפניהם הוא יודע לעזור.</w:t>
      </w:r>
    </w:p>
    <w:p w14:paraId="00BB1CD3" w14:textId="77777777" w:rsidR="00426E0C" w:rsidRDefault="008E77EA" w:rsidP="00426E0C">
      <w:pPr>
        <w:pStyle w:val="af"/>
        <w:shd w:val="clear" w:color="auto" w:fill="auto"/>
        <w:spacing w:line="360" w:lineRule="auto"/>
        <w:ind w:left="1985" w:right="567" w:hanging="494"/>
        <w:jc w:val="both"/>
        <w:rPr>
          <w:rFonts w:ascii="David" w:hAnsi="David" w:cs="David"/>
          <w:sz w:val="24"/>
          <w:szCs w:val="24"/>
          <w:u w:val="none"/>
          <w:rtl/>
        </w:rPr>
      </w:pPr>
      <w:r>
        <w:rPr>
          <w:rFonts w:ascii="David" w:hAnsi="David" w:cs="David"/>
          <w:sz w:val="24"/>
          <w:szCs w:val="24"/>
          <w:u w:val="none"/>
          <w:rtl/>
        </w:rPr>
        <w:t xml:space="preserve">ש. </w:t>
      </w:r>
      <w:r>
        <w:rPr>
          <w:rFonts w:ascii="David" w:hAnsi="David" w:cs="David"/>
          <w:sz w:val="24"/>
          <w:szCs w:val="24"/>
          <w:u w:val="none"/>
          <w:rtl/>
        </w:rPr>
        <w:tab/>
        <w:t>זאת אומרת, סמכת עליו שהוא מטפל בכסף של ההורים?</w:t>
      </w:r>
    </w:p>
    <w:p w14:paraId="254D80D4" w14:textId="77777777" w:rsidR="00426E0C" w:rsidRDefault="008E77EA" w:rsidP="00426E0C">
      <w:pPr>
        <w:pStyle w:val="af"/>
        <w:shd w:val="clear" w:color="auto" w:fill="auto"/>
        <w:spacing w:line="360" w:lineRule="auto"/>
        <w:ind w:left="1985" w:right="567" w:hanging="494"/>
        <w:jc w:val="both"/>
        <w:rPr>
          <w:rFonts w:ascii="David" w:hAnsi="David" w:cs="David"/>
          <w:b w:val="0"/>
          <w:bCs w:val="0"/>
          <w:sz w:val="24"/>
          <w:szCs w:val="24"/>
          <w:u w:val="none"/>
          <w:rtl/>
        </w:rPr>
      </w:pPr>
      <w:r>
        <w:rPr>
          <w:rFonts w:ascii="David" w:hAnsi="David" w:cs="David"/>
          <w:sz w:val="24"/>
          <w:szCs w:val="24"/>
          <w:u w:val="none"/>
          <w:rtl/>
        </w:rPr>
        <w:t xml:space="preserve">ת. </w:t>
      </w:r>
      <w:r>
        <w:rPr>
          <w:rFonts w:ascii="David" w:hAnsi="David" w:cs="David"/>
          <w:sz w:val="24"/>
          <w:szCs w:val="24"/>
          <w:u w:val="none"/>
          <w:rtl/>
        </w:rPr>
        <w:tab/>
        <w:t xml:space="preserve">בוודאי". </w:t>
      </w:r>
      <w:r>
        <w:rPr>
          <w:rFonts w:ascii="David" w:hAnsi="David" w:cs="David"/>
          <w:b w:val="0"/>
          <w:bCs w:val="0"/>
          <w:sz w:val="24"/>
          <w:szCs w:val="24"/>
          <w:u w:val="none"/>
          <w:rtl/>
        </w:rPr>
        <w:t xml:space="preserve">(בעמ' 15 שורות 17-23 לפרוטוקול מיום 24.3.25). </w:t>
      </w:r>
    </w:p>
    <w:p w14:paraId="29540502" w14:textId="77777777" w:rsidR="00426E0C" w:rsidRDefault="00426E0C" w:rsidP="00426E0C">
      <w:pPr>
        <w:pStyle w:val="ad"/>
        <w:spacing w:line="360" w:lineRule="auto"/>
        <w:jc w:val="both"/>
        <w:rPr>
          <w:rFonts w:ascii="David" w:hAnsi="David" w:cs="David"/>
          <w:sz w:val="24"/>
          <w:szCs w:val="24"/>
          <w:rtl/>
        </w:rPr>
      </w:pPr>
    </w:p>
    <w:p w14:paraId="1750E15A" w14:textId="77777777" w:rsidR="00426E0C" w:rsidRDefault="008E77EA" w:rsidP="00F32861">
      <w:pPr>
        <w:pStyle w:val="ad"/>
        <w:spacing w:line="360" w:lineRule="auto"/>
        <w:jc w:val="both"/>
        <w:rPr>
          <w:rFonts w:ascii="David" w:hAnsi="David" w:cs="David"/>
          <w:sz w:val="24"/>
          <w:szCs w:val="24"/>
          <w:rtl/>
        </w:rPr>
      </w:pPr>
      <w:r>
        <w:rPr>
          <w:rFonts w:ascii="David" w:hAnsi="David" w:cs="David"/>
          <w:sz w:val="24"/>
          <w:szCs w:val="24"/>
          <w:rtl/>
        </w:rPr>
        <w:t xml:space="preserve">גם המתנגד 1 </w:t>
      </w:r>
      <w:r w:rsidR="00F32861">
        <w:rPr>
          <w:rFonts w:ascii="David" w:hAnsi="David" w:cs="David"/>
          <w:sz w:val="24"/>
          <w:szCs w:val="24"/>
          <w:rtl/>
        </w:rPr>
        <w:t>–</w:t>
      </w:r>
      <w:r>
        <w:rPr>
          <w:rFonts w:ascii="David" w:hAnsi="David" w:cs="David"/>
          <w:sz w:val="24"/>
          <w:szCs w:val="24"/>
          <w:rtl/>
        </w:rPr>
        <w:t xml:space="preserve"> </w:t>
      </w:r>
      <w:r w:rsidR="00F32861">
        <w:rPr>
          <w:rFonts w:ascii="David" w:hAnsi="David" w:cs="David" w:hint="cs"/>
          <w:sz w:val="24"/>
          <w:szCs w:val="24"/>
          <w:rtl/>
        </w:rPr>
        <w:t>מ.ו</w:t>
      </w:r>
      <w:r>
        <w:rPr>
          <w:rFonts w:ascii="David" w:hAnsi="David" w:cs="David"/>
          <w:sz w:val="24"/>
          <w:szCs w:val="24"/>
          <w:rtl/>
        </w:rPr>
        <w:t xml:space="preserve"> הודה בחקירתו כי היורש ז"ל ואשתו דאז </w:t>
      </w:r>
      <w:r w:rsidR="00F32861">
        <w:rPr>
          <w:rFonts w:ascii="David" w:hAnsi="David" w:cs="David" w:hint="cs"/>
          <w:sz w:val="24"/>
          <w:szCs w:val="24"/>
          <w:rtl/>
        </w:rPr>
        <w:t>גב'</w:t>
      </w:r>
      <w:r>
        <w:rPr>
          <w:rFonts w:ascii="David" w:hAnsi="David" w:cs="David"/>
          <w:sz w:val="24"/>
          <w:szCs w:val="24"/>
          <w:rtl/>
        </w:rPr>
        <w:t xml:space="preserve"> מ' סייעו להורים המנוחים:</w:t>
      </w:r>
    </w:p>
    <w:p w14:paraId="14E1FDB2" w14:textId="77777777" w:rsidR="00426E0C" w:rsidRDefault="00426E0C" w:rsidP="00426E0C">
      <w:pPr>
        <w:pStyle w:val="ad"/>
        <w:spacing w:line="360" w:lineRule="auto"/>
        <w:jc w:val="both"/>
        <w:rPr>
          <w:rFonts w:ascii="David" w:hAnsi="David" w:cs="David"/>
          <w:sz w:val="24"/>
          <w:szCs w:val="24"/>
          <w:rtl/>
        </w:rPr>
      </w:pPr>
    </w:p>
    <w:p w14:paraId="3CCE5624" w14:textId="77777777" w:rsidR="00426E0C" w:rsidRDefault="008E77EA" w:rsidP="00F32861">
      <w:pPr>
        <w:pStyle w:val="af"/>
        <w:shd w:val="clear" w:color="auto" w:fill="auto"/>
        <w:spacing w:line="360" w:lineRule="auto"/>
        <w:ind w:left="1985" w:right="426" w:hanging="352"/>
        <w:jc w:val="both"/>
        <w:rPr>
          <w:rFonts w:ascii="David" w:hAnsi="David" w:cs="David"/>
          <w:sz w:val="24"/>
          <w:szCs w:val="24"/>
          <w:u w:val="none"/>
          <w:rtl/>
        </w:rPr>
      </w:pPr>
      <w:r>
        <w:rPr>
          <w:rFonts w:ascii="David" w:hAnsi="David" w:cs="David"/>
          <w:sz w:val="24"/>
          <w:szCs w:val="24"/>
          <w:u w:val="none"/>
          <w:rtl/>
        </w:rPr>
        <w:t>ש.</w:t>
      </w:r>
      <w:r>
        <w:rPr>
          <w:rFonts w:ascii="David" w:hAnsi="David" w:cs="David"/>
          <w:sz w:val="24"/>
          <w:szCs w:val="24"/>
          <w:u w:val="none"/>
          <w:rtl/>
        </w:rPr>
        <w:tab/>
        <w:t>"... נכון שהיורש המנוח, ואשתו מ', עזרו הרבה לאבא ואמא? זה רק אבא שלו. נכון?</w:t>
      </w:r>
    </w:p>
    <w:p w14:paraId="52CB7550" w14:textId="77777777" w:rsidR="00426E0C" w:rsidRDefault="008E77EA" w:rsidP="00426E0C">
      <w:pPr>
        <w:pStyle w:val="af"/>
        <w:shd w:val="clear" w:color="auto" w:fill="auto"/>
        <w:spacing w:line="360" w:lineRule="auto"/>
        <w:ind w:left="1985" w:right="426" w:hanging="352"/>
        <w:jc w:val="both"/>
        <w:rPr>
          <w:rFonts w:ascii="David" w:hAnsi="David" w:cs="David"/>
          <w:sz w:val="24"/>
          <w:szCs w:val="24"/>
          <w:u w:val="none"/>
        </w:rPr>
      </w:pPr>
      <w:r>
        <w:rPr>
          <w:rFonts w:ascii="David" w:hAnsi="David" w:cs="David"/>
          <w:sz w:val="24"/>
          <w:szCs w:val="24"/>
          <w:u w:val="none"/>
          <w:rtl/>
        </w:rPr>
        <w:t>...</w:t>
      </w:r>
    </w:p>
    <w:p w14:paraId="62605221" w14:textId="77777777" w:rsidR="00426E0C" w:rsidRDefault="008E77EA" w:rsidP="00426E0C">
      <w:pPr>
        <w:pStyle w:val="af"/>
        <w:shd w:val="clear" w:color="auto" w:fill="auto"/>
        <w:spacing w:line="360" w:lineRule="auto"/>
        <w:ind w:left="1985" w:right="426" w:hanging="352"/>
        <w:jc w:val="both"/>
        <w:rPr>
          <w:rFonts w:ascii="David" w:hAnsi="David" w:cs="David"/>
          <w:sz w:val="24"/>
          <w:szCs w:val="24"/>
          <w:u w:val="none"/>
          <w:rtl/>
        </w:rPr>
      </w:pPr>
      <w:r>
        <w:rPr>
          <w:rFonts w:ascii="David" w:hAnsi="David" w:cs="David"/>
          <w:sz w:val="24"/>
          <w:szCs w:val="24"/>
          <w:u w:val="none"/>
          <w:rtl/>
        </w:rPr>
        <w:t xml:space="preserve">ת: </w:t>
      </w:r>
      <w:r>
        <w:rPr>
          <w:rFonts w:ascii="David" w:hAnsi="David" w:cs="David"/>
          <w:sz w:val="24"/>
          <w:szCs w:val="24"/>
          <w:u w:val="none"/>
          <w:rtl/>
        </w:rPr>
        <w:tab/>
        <w:t xml:space="preserve">ראשית, שהוא העלה אותם, היורש, מכיוון שהוא עלה לפניהם. לאחר מכן, הוא סייע להעלות אותם לארץ, והם עלו. אחרי שעלו, היו במרכז קליטה, כמו כל עולה. לאחר מכן, שהוא עזר להם לקנות בית לידם. וככה זה התנהל". </w:t>
      </w:r>
      <w:r>
        <w:rPr>
          <w:rFonts w:ascii="David" w:hAnsi="David" w:cs="David"/>
          <w:b w:val="0"/>
          <w:bCs w:val="0"/>
          <w:sz w:val="24"/>
          <w:szCs w:val="24"/>
          <w:u w:val="none"/>
          <w:rtl/>
        </w:rPr>
        <w:t>(ראו: בעמ' 16 שורות 17-22 לפרוטוקול מיום 24.3.25).</w:t>
      </w:r>
      <w:r>
        <w:rPr>
          <w:rFonts w:ascii="David" w:hAnsi="David" w:cs="David"/>
          <w:sz w:val="24"/>
          <w:szCs w:val="24"/>
          <w:u w:val="none"/>
          <w:rtl/>
        </w:rPr>
        <w:t xml:space="preserve"> </w:t>
      </w:r>
    </w:p>
    <w:p w14:paraId="243BB48D" w14:textId="77777777" w:rsidR="00426E0C" w:rsidRDefault="00426E0C" w:rsidP="00426E0C">
      <w:pPr>
        <w:pStyle w:val="ad"/>
        <w:spacing w:line="360" w:lineRule="auto"/>
        <w:ind w:right="426" w:hanging="352"/>
        <w:jc w:val="both"/>
        <w:rPr>
          <w:rFonts w:ascii="David" w:hAnsi="David" w:cs="David"/>
          <w:sz w:val="24"/>
          <w:szCs w:val="24"/>
          <w:rtl/>
        </w:rPr>
      </w:pPr>
    </w:p>
    <w:p w14:paraId="218A42AB"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כמו כן, המתנגד 1 העיד כי האב המנוח הודה ליורש ואשתו על עזרתם (ראו: עדותו של המתנגד 1 בעמ' 16 שורות 30-34, וכן בעמ' 17 שורות 1-6 לפרוטוקול מיום 24.3.25). </w:t>
      </w:r>
    </w:p>
    <w:p w14:paraId="502C4B80" w14:textId="77777777" w:rsidR="00426E0C" w:rsidRDefault="00426E0C" w:rsidP="00426E0C">
      <w:pPr>
        <w:pStyle w:val="ad"/>
        <w:spacing w:line="360" w:lineRule="auto"/>
        <w:jc w:val="both"/>
        <w:rPr>
          <w:rFonts w:ascii="David" w:hAnsi="David" w:cs="David"/>
          <w:sz w:val="24"/>
          <w:szCs w:val="24"/>
        </w:rPr>
      </w:pPr>
    </w:p>
    <w:p w14:paraId="4E593BE0" w14:textId="77777777" w:rsidR="00426E0C" w:rsidRDefault="008E77EA" w:rsidP="00F32861">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גם המתנגד 3 </w:t>
      </w:r>
      <w:r w:rsidR="00F32861">
        <w:rPr>
          <w:rFonts w:ascii="David" w:hAnsi="David" w:cs="David"/>
          <w:sz w:val="24"/>
          <w:szCs w:val="24"/>
          <w:rtl/>
        </w:rPr>
        <w:t>–</w:t>
      </w:r>
      <w:r>
        <w:rPr>
          <w:rFonts w:ascii="David" w:hAnsi="David" w:cs="David"/>
          <w:sz w:val="24"/>
          <w:szCs w:val="24"/>
          <w:rtl/>
        </w:rPr>
        <w:t xml:space="preserve"> </w:t>
      </w:r>
      <w:r w:rsidR="00F32861">
        <w:rPr>
          <w:rFonts w:ascii="David" w:hAnsi="David" w:cs="David" w:hint="cs"/>
          <w:sz w:val="24"/>
          <w:szCs w:val="24"/>
          <w:rtl/>
        </w:rPr>
        <w:t>א.פ</w:t>
      </w:r>
      <w:r>
        <w:rPr>
          <w:rFonts w:ascii="David" w:hAnsi="David" w:cs="David"/>
          <w:sz w:val="24"/>
          <w:szCs w:val="24"/>
          <w:rtl/>
        </w:rPr>
        <w:t xml:space="preserve"> העיד כי היורש  סייע להורים לעלות ארצה (ראו: עדותו של המתנגד 3, בעמ' 11 לפרוטוקול מיום 17.7.25). </w:t>
      </w:r>
    </w:p>
    <w:p w14:paraId="505ADA10" w14:textId="77777777" w:rsidR="00426E0C" w:rsidRDefault="00426E0C" w:rsidP="00426E0C">
      <w:pPr>
        <w:pStyle w:val="ad"/>
        <w:rPr>
          <w:rFonts w:ascii="David" w:hAnsi="David" w:cs="David"/>
          <w:sz w:val="24"/>
          <w:szCs w:val="24"/>
        </w:rPr>
      </w:pPr>
    </w:p>
    <w:p w14:paraId="486C81E9"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דהיינו, מהראיות עולה כי הבן היורש ז"ל סייע להורים,</w:t>
      </w:r>
      <w:r w:rsidR="00F32861">
        <w:rPr>
          <w:rFonts w:ascii="David" w:hAnsi="David" w:cs="David"/>
          <w:sz w:val="24"/>
          <w:szCs w:val="24"/>
          <w:rtl/>
        </w:rPr>
        <w:t xml:space="preserve"> עזר להעלות אותם לארץ, עזר להם </w:t>
      </w:r>
      <w:r>
        <w:rPr>
          <w:rFonts w:ascii="David" w:hAnsi="David" w:cs="David"/>
          <w:sz w:val="24"/>
          <w:szCs w:val="24"/>
          <w:rtl/>
        </w:rPr>
        <w:t>ברכישת הדירה, וכן סייע להם בכל הנדרש על מנת להסתדר בארץ. יתרה מכך, היורש ז"ל אף סייע לאחיו המתנגדים לעלות ארצה, וכן סייע להם במהלך חייהם בארץ.</w:t>
      </w:r>
    </w:p>
    <w:p w14:paraId="05C0A948" w14:textId="77777777" w:rsidR="00426E0C" w:rsidRDefault="00426E0C" w:rsidP="00426E0C">
      <w:pPr>
        <w:pStyle w:val="ad"/>
        <w:spacing w:line="360" w:lineRule="auto"/>
        <w:jc w:val="both"/>
        <w:rPr>
          <w:rFonts w:ascii="David" w:hAnsi="David" w:cs="David"/>
          <w:sz w:val="24"/>
          <w:szCs w:val="24"/>
        </w:rPr>
      </w:pPr>
    </w:p>
    <w:p w14:paraId="4B2AD645"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גם בסיכומיהם לא הכחישו המתנגדים כי היורש ז"ל סייע להורים המנוחים, ואף לחלק מאחיו המתנגדים (ראו: סעיף 2 לסיכומי המתנגדים). </w:t>
      </w:r>
    </w:p>
    <w:p w14:paraId="456AE7DD" w14:textId="77777777" w:rsidR="00426E0C" w:rsidRDefault="00426E0C" w:rsidP="00426E0C">
      <w:pPr>
        <w:pStyle w:val="ad"/>
        <w:rPr>
          <w:rFonts w:ascii="David" w:hAnsi="David" w:cs="David"/>
          <w:sz w:val="24"/>
          <w:szCs w:val="24"/>
        </w:rPr>
      </w:pPr>
    </w:p>
    <w:p w14:paraId="314DD81C"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עוד עולה מהראיות, כי גם לאחר פטירת האב המנוח, בשנת 2014 לערך, האם המנוחה עברה להתגורר בביתו של היורש ז"ל, וכי משפחתו של היורש סייעה בטיפול בה.  </w:t>
      </w:r>
    </w:p>
    <w:p w14:paraId="12688750" w14:textId="77777777" w:rsidR="00426E0C" w:rsidRDefault="00426E0C" w:rsidP="00426E0C">
      <w:pPr>
        <w:pStyle w:val="ad"/>
        <w:rPr>
          <w:rFonts w:ascii="David" w:hAnsi="David" w:cs="David"/>
          <w:sz w:val="24"/>
          <w:szCs w:val="24"/>
        </w:rPr>
      </w:pPr>
    </w:p>
    <w:p w14:paraId="4F1BB312"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חיזוק לכך ניתן למצוא גם בחקירת המבקשים, ילדיו של היורש ז"ל:</w:t>
      </w:r>
    </w:p>
    <w:p w14:paraId="74B19D6A" w14:textId="77777777" w:rsidR="00426E0C" w:rsidRDefault="00426E0C" w:rsidP="00426E0C">
      <w:pPr>
        <w:pStyle w:val="ad"/>
        <w:rPr>
          <w:rFonts w:ascii="David" w:hAnsi="David" w:cs="David"/>
          <w:sz w:val="24"/>
          <w:szCs w:val="24"/>
        </w:rPr>
      </w:pPr>
    </w:p>
    <w:p w14:paraId="5CF0F094"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המבקש 1, בנו של היורש ז"ל, העיד כי שמע את המנוח מהלל את היורש על עזרתו להוריו, בעת שהמנוח הגיע לבקר בביתם (ראו: בעמ' 23-24 לפרוטוקול מיום 24.3.25). כמו כן העיד, כי שמע את המנוח באופן ישיר אומר כי ברצונו להוריש ליורש את הדירה (ראו: בעמ' 24 לפרוטוקול מיום 24.3.25). </w:t>
      </w:r>
    </w:p>
    <w:p w14:paraId="224A4E63" w14:textId="77777777" w:rsidR="00426E0C" w:rsidRDefault="00426E0C" w:rsidP="00426E0C">
      <w:pPr>
        <w:pStyle w:val="ad"/>
        <w:spacing w:line="360" w:lineRule="auto"/>
        <w:jc w:val="both"/>
        <w:rPr>
          <w:rFonts w:ascii="David" w:hAnsi="David" w:cs="David"/>
          <w:sz w:val="24"/>
          <w:szCs w:val="24"/>
        </w:rPr>
      </w:pPr>
    </w:p>
    <w:p w14:paraId="17ADDFAB" w14:textId="77777777" w:rsidR="00426E0C" w:rsidRDefault="008E77EA" w:rsidP="00F32861">
      <w:pPr>
        <w:pStyle w:val="ad"/>
        <w:spacing w:line="360" w:lineRule="auto"/>
        <w:jc w:val="both"/>
        <w:rPr>
          <w:rFonts w:ascii="David" w:hAnsi="David" w:cs="David"/>
          <w:sz w:val="24"/>
          <w:szCs w:val="24"/>
        </w:rPr>
      </w:pPr>
      <w:r>
        <w:rPr>
          <w:rFonts w:ascii="David" w:hAnsi="David" w:cs="David"/>
          <w:sz w:val="24"/>
          <w:szCs w:val="24"/>
          <w:rtl/>
        </w:rPr>
        <w:t xml:space="preserve">גם </w:t>
      </w:r>
      <w:r w:rsidR="00F32861">
        <w:rPr>
          <w:rFonts w:ascii="David" w:hAnsi="David" w:cs="David" w:hint="cs"/>
          <w:sz w:val="24"/>
          <w:szCs w:val="24"/>
          <w:rtl/>
        </w:rPr>
        <w:t>גב' מ'</w:t>
      </w:r>
      <w:r>
        <w:rPr>
          <w:rFonts w:ascii="David" w:hAnsi="David" w:cs="David"/>
          <w:sz w:val="24"/>
          <w:szCs w:val="24"/>
          <w:rtl/>
        </w:rPr>
        <w:t xml:space="preserve"> גרושתו של היורש, העידה כי שמעה את המנוח אומר באופן מפורש בעת שהתארח בביתם בשנת 2005, כי ברצונו שהיורש יירש את דירתו, וכי האח המתנגד 1 קם ואישר את הדברים באותה העת (ראו: בעמ' 35 לפרוטוקול מיום 24.3.25). </w:t>
      </w:r>
    </w:p>
    <w:p w14:paraId="046A6357" w14:textId="77777777" w:rsidR="00426E0C" w:rsidRDefault="00426E0C" w:rsidP="00426E0C">
      <w:pPr>
        <w:pStyle w:val="ad"/>
        <w:spacing w:line="360" w:lineRule="auto"/>
        <w:jc w:val="both"/>
        <w:rPr>
          <w:rFonts w:ascii="David" w:hAnsi="David" w:cs="David"/>
          <w:sz w:val="24"/>
          <w:szCs w:val="24"/>
          <w:rtl/>
        </w:rPr>
      </w:pPr>
    </w:p>
    <w:p w14:paraId="0071A746" w14:textId="77777777" w:rsidR="00426E0C" w:rsidRDefault="008E77EA" w:rsidP="00F32861">
      <w:pPr>
        <w:pStyle w:val="ad"/>
        <w:spacing w:line="360" w:lineRule="auto"/>
        <w:jc w:val="both"/>
        <w:rPr>
          <w:rFonts w:ascii="David" w:hAnsi="David" w:cs="David"/>
          <w:sz w:val="24"/>
          <w:szCs w:val="24"/>
          <w:rtl/>
        </w:rPr>
      </w:pPr>
      <w:r>
        <w:rPr>
          <w:rFonts w:ascii="David" w:hAnsi="David" w:cs="David"/>
          <w:sz w:val="24"/>
          <w:szCs w:val="24"/>
          <w:rtl/>
        </w:rPr>
        <w:t xml:space="preserve">המבקשת 3, בתו של היורש ז"ל, העידה כי המתנגד 3 </w:t>
      </w:r>
      <w:r w:rsidR="00F32861">
        <w:rPr>
          <w:rFonts w:ascii="David" w:hAnsi="David" w:cs="David"/>
          <w:sz w:val="24"/>
          <w:szCs w:val="24"/>
          <w:rtl/>
        </w:rPr>
        <w:t>–</w:t>
      </w:r>
      <w:r>
        <w:rPr>
          <w:rFonts w:ascii="David" w:hAnsi="David" w:cs="David"/>
          <w:sz w:val="24"/>
          <w:szCs w:val="24"/>
          <w:rtl/>
        </w:rPr>
        <w:t xml:space="preserve"> </w:t>
      </w:r>
      <w:r w:rsidR="00F32861">
        <w:rPr>
          <w:rFonts w:ascii="David" w:hAnsi="David" w:cs="David" w:hint="cs"/>
          <w:sz w:val="24"/>
          <w:szCs w:val="24"/>
          <w:rtl/>
        </w:rPr>
        <w:t>א.פ</w:t>
      </w:r>
      <w:r>
        <w:rPr>
          <w:rFonts w:ascii="David" w:hAnsi="David" w:cs="David"/>
          <w:sz w:val="24"/>
          <w:szCs w:val="24"/>
          <w:rtl/>
        </w:rPr>
        <w:t xml:space="preserve"> אמר לה מפורשות בשנת 2019, לאחר פטירתו של אביה, כי הוא יודע שהמנוחים חפצו כי היורש יקבל את הדירה (ראו: בעמ' 26 לפרוטוקול מיום 24.3.25).</w:t>
      </w:r>
    </w:p>
    <w:p w14:paraId="232AD16B" w14:textId="77777777" w:rsidR="00426E0C" w:rsidRDefault="00426E0C" w:rsidP="00426E0C">
      <w:pPr>
        <w:pStyle w:val="ad"/>
        <w:spacing w:line="360" w:lineRule="auto"/>
        <w:jc w:val="both"/>
        <w:rPr>
          <w:rFonts w:ascii="David" w:hAnsi="David" w:cs="David"/>
          <w:sz w:val="24"/>
          <w:szCs w:val="24"/>
          <w:rtl/>
        </w:rPr>
      </w:pPr>
    </w:p>
    <w:p w14:paraId="3CB0B70F" w14:textId="77777777" w:rsidR="00426E0C" w:rsidRDefault="008E77EA" w:rsidP="00C73EEE">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מכל מקום, המתנגדים לא הוכיחו אחרת, ועדויות אלו של המבקשים היו אמינות והתיישבו עם עדויותיהם של המתנגדים עצמם, לפיהן היורש סייע להורים המנוחים לעלות ארצה, סייע להם ברכישת הדירה וכן סייע להם במהלך חייהם בארץ, וכי האב המנוח </w:t>
      </w:r>
      <w:r w:rsidR="00C73EEE">
        <w:rPr>
          <w:rFonts w:ascii="David" w:hAnsi="David" w:cs="David" w:hint="cs"/>
          <w:sz w:val="24"/>
          <w:szCs w:val="24"/>
          <w:rtl/>
        </w:rPr>
        <w:t>הכיר</w:t>
      </w:r>
      <w:r>
        <w:rPr>
          <w:rFonts w:ascii="David" w:hAnsi="David" w:cs="David"/>
          <w:sz w:val="24"/>
          <w:szCs w:val="24"/>
          <w:rtl/>
        </w:rPr>
        <w:t xml:space="preserve"> תודה ליורש על סיועו הרב לאורך השנים, ואמר כי ברצונו להוריש לו את רכושו.  </w:t>
      </w:r>
    </w:p>
    <w:p w14:paraId="626BA0D6" w14:textId="77777777" w:rsidR="00426E0C" w:rsidRDefault="00426E0C" w:rsidP="00426E0C">
      <w:pPr>
        <w:pStyle w:val="ad"/>
        <w:rPr>
          <w:rFonts w:ascii="David" w:hAnsi="David" w:cs="David"/>
          <w:sz w:val="24"/>
          <w:szCs w:val="24"/>
        </w:rPr>
      </w:pPr>
    </w:p>
    <w:p w14:paraId="560626EE"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לאחר שמיעת העדויות, התרשמתי כי רצונם של המנוחים היה לצוות את רכושם לבנם היורש, ומכל מקום המתנגדים שהנטל להוכחת הטענות מוטל עליהם - לא הוכיחו אחרת, ובכלל זה לא זימנו לעדות את העדים לצוואה ואת המתורגמן.</w:t>
      </w:r>
    </w:p>
    <w:p w14:paraId="45105599" w14:textId="77777777" w:rsidR="00426E0C" w:rsidRDefault="00426E0C" w:rsidP="00426E0C">
      <w:pPr>
        <w:pStyle w:val="ad"/>
        <w:spacing w:line="360" w:lineRule="auto"/>
        <w:jc w:val="both"/>
        <w:rPr>
          <w:rFonts w:ascii="David" w:hAnsi="David" w:cs="David"/>
          <w:sz w:val="24"/>
          <w:szCs w:val="24"/>
          <w:rtl/>
        </w:rPr>
      </w:pPr>
    </w:p>
    <w:p w14:paraId="1EB09FF5" w14:textId="77777777" w:rsidR="00426E0C" w:rsidRDefault="008E77EA" w:rsidP="00426E0C">
      <w:pPr>
        <w:pStyle w:val="ad"/>
        <w:spacing w:line="360" w:lineRule="auto"/>
        <w:jc w:val="both"/>
        <w:rPr>
          <w:rFonts w:ascii="David" w:hAnsi="David" w:cs="David"/>
          <w:b/>
          <w:bCs/>
          <w:sz w:val="24"/>
          <w:szCs w:val="24"/>
          <w:u w:val="single"/>
        </w:rPr>
      </w:pPr>
      <w:r>
        <w:rPr>
          <w:rFonts w:ascii="David" w:hAnsi="David" w:cs="David"/>
          <w:b/>
          <w:bCs/>
          <w:sz w:val="24"/>
          <w:szCs w:val="24"/>
          <w:u w:val="single"/>
          <w:rtl/>
        </w:rPr>
        <w:t>הטענה למעורבות של היורש ז"ל</w:t>
      </w:r>
    </w:p>
    <w:p w14:paraId="78F53784" w14:textId="77777777" w:rsidR="00426E0C" w:rsidRDefault="00426E0C" w:rsidP="00426E0C">
      <w:pPr>
        <w:pStyle w:val="ad"/>
        <w:rPr>
          <w:rFonts w:ascii="David" w:hAnsi="David" w:cs="David"/>
          <w:b/>
          <w:bCs/>
          <w:sz w:val="24"/>
          <w:szCs w:val="24"/>
          <w:u w:val="single"/>
        </w:rPr>
      </w:pPr>
    </w:p>
    <w:p w14:paraId="725FC806"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לטענת המתנגדים, היורש לקח את ההורים לעורך הדין אשר ערך את הצוואה, ויש בכך כדי להביא לפסילת הצוואה.</w:t>
      </w:r>
    </w:p>
    <w:p w14:paraId="5F897ECC" w14:textId="77777777" w:rsidR="00426E0C" w:rsidRDefault="00426E0C" w:rsidP="00426E0C">
      <w:pPr>
        <w:pStyle w:val="ad"/>
        <w:rPr>
          <w:rFonts w:ascii="David" w:hAnsi="David" w:cs="David"/>
          <w:sz w:val="24"/>
          <w:szCs w:val="24"/>
        </w:rPr>
      </w:pPr>
    </w:p>
    <w:p w14:paraId="38D23240" w14:textId="77777777" w:rsidR="00426E0C" w:rsidRDefault="008E77EA" w:rsidP="00300061">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לא נעלם מעיני כי במהלך החקירות עלה  כי היורש הוא שהסיע את ההורים המנוחים לעורך </w:t>
      </w:r>
      <w:r w:rsidR="00300061">
        <w:rPr>
          <w:rFonts w:ascii="David" w:hAnsi="David" w:cs="David"/>
          <w:sz w:val="24"/>
          <w:szCs w:val="24"/>
          <w:rtl/>
        </w:rPr>
        <w:t>הדין לצורך עריכת הצוואה (</w:t>
      </w:r>
      <w:r>
        <w:rPr>
          <w:rFonts w:ascii="David" w:hAnsi="David" w:cs="David"/>
          <w:sz w:val="24"/>
          <w:szCs w:val="24"/>
          <w:rtl/>
        </w:rPr>
        <w:t xml:space="preserve">המבקשת 3 </w:t>
      </w:r>
      <w:r w:rsidR="00300061">
        <w:rPr>
          <w:rFonts w:ascii="David" w:hAnsi="David" w:cs="David" w:hint="cs"/>
          <w:sz w:val="24"/>
          <w:szCs w:val="24"/>
          <w:rtl/>
        </w:rPr>
        <w:t xml:space="preserve">העידה כי </w:t>
      </w:r>
      <w:r>
        <w:rPr>
          <w:rFonts w:ascii="David" w:hAnsi="David" w:cs="David"/>
          <w:sz w:val="24"/>
          <w:szCs w:val="24"/>
          <w:rtl/>
        </w:rPr>
        <w:t xml:space="preserve">למיטב ידיעתה אביה לקח אותם – ראו בעמ' 31 שורות 25-31 לפרוטוקול מיום 24.3.25, וגם גרושתו של היורש </w:t>
      </w:r>
      <w:r w:rsidR="00C73EEE">
        <w:rPr>
          <w:rFonts w:ascii="David" w:hAnsi="David" w:cs="David" w:hint="cs"/>
          <w:sz w:val="24"/>
          <w:szCs w:val="24"/>
          <w:rtl/>
        </w:rPr>
        <w:t xml:space="preserve">גב' </w:t>
      </w:r>
      <w:r>
        <w:rPr>
          <w:rFonts w:ascii="David" w:hAnsi="David" w:cs="David"/>
          <w:sz w:val="24"/>
          <w:szCs w:val="24"/>
          <w:rtl/>
        </w:rPr>
        <w:t>מ' העידה כי היורש לקח אותם לעורך דין).</w:t>
      </w:r>
    </w:p>
    <w:p w14:paraId="72DE886E" w14:textId="77777777" w:rsidR="00426E0C" w:rsidRDefault="00426E0C" w:rsidP="00426E0C">
      <w:pPr>
        <w:pStyle w:val="ad"/>
        <w:spacing w:line="360" w:lineRule="auto"/>
        <w:jc w:val="both"/>
        <w:rPr>
          <w:rFonts w:ascii="David" w:hAnsi="David" w:cs="David"/>
          <w:sz w:val="24"/>
          <w:szCs w:val="24"/>
        </w:rPr>
      </w:pPr>
    </w:p>
    <w:p w14:paraId="5E24D33A" w14:textId="77777777" w:rsidR="00426E0C" w:rsidRDefault="008E77EA" w:rsidP="00F32861">
      <w:pPr>
        <w:pStyle w:val="ad"/>
        <w:spacing w:line="360" w:lineRule="auto"/>
        <w:jc w:val="both"/>
        <w:rPr>
          <w:rFonts w:ascii="David" w:hAnsi="David" w:cs="David"/>
          <w:sz w:val="24"/>
          <w:szCs w:val="24"/>
        </w:rPr>
      </w:pPr>
      <w:r>
        <w:rPr>
          <w:rFonts w:ascii="David" w:hAnsi="David" w:cs="David"/>
          <w:sz w:val="24"/>
          <w:szCs w:val="24"/>
          <w:rtl/>
        </w:rPr>
        <w:t xml:space="preserve">אך גרושתו של היורש </w:t>
      </w:r>
      <w:r w:rsidR="00F32861">
        <w:rPr>
          <w:rFonts w:ascii="David" w:hAnsi="David" w:cs="David"/>
          <w:sz w:val="24"/>
          <w:szCs w:val="24"/>
          <w:rtl/>
        </w:rPr>
        <w:t>–</w:t>
      </w:r>
      <w:r>
        <w:rPr>
          <w:rFonts w:ascii="David" w:hAnsi="David" w:cs="David"/>
          <w:sz w:val="24"/>
          <w:szCs w:val="24"/>
          <w:rtl/>
        </w:rPr>
        <w:t xml:space="preserve"> </w:t>
      </w:r>
      <w:r w:rsidR="00F32861">
        <w:rPr>
          <w:rFonts w:ascii="David" w:hAnsi="David" w:cs="David" w:hint="cs"/>
          <w:sz w:val="24"/>
          <w:szCs w:val="24"/>
          <w:rtl/>
        </w:rPr>
        <w:t>גב' מ'</w:t>
      </w:r>
      <w:r>
        <w:rPr>
          <w:rFonts w:ascii="David" w:hAnsi="David" w:cs="David"/>
          <w:sz w:val="24"/>
          <w:szCs w:val="24"/>
          <w:rtl/>
        </w:rPr>
        <w:t xml:space="preserve"> העידה כי היורש מסר לה במהלך חייו, כי המנוח הוא שביקש ללכת לעורך דין לערוך צוואה, וכי היורש לקח אותם והחזיר אותם מעורך הדין, אך המתין בחוץ ולא נכח עימם בפגישה בעת שחתמו על הצוואה. </w:t>
      </w:r>
    </w:p>
    <w:p w14:paraId="45C84E3B" w14:textId="77777777" w:rsidR="00426E0C" w:rsidRDefault="00426E0C" w:rsidP="00426E0C">
      <w:pPr>
        <w:pStyle w:val="ad"/>
        <w:spacing w:line="360" w:lineRule="auto"/>
        <w:jc w:val="both"/>
        <w:rPr>
          <w:rFonts w:ascii="David" w:hAnsi="David" w:cs="David"/>
          <w:sz w:val="24"/>
          <w:szCs w:val="24"/>
        </w:rPr>
      </w:pPr>
    </w:p>
    <w:p w14:paraId="306E186F"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בפסיקה נקבע כי פעולות עזר טכניות של נהנה, לרבות הסעת המצווה לעורך דין או יצירת קשר ראשוני עמו, אינן עולות כשלעצמן כדי "נטילת חלק בעריכת הצוואה" לפי סעיף 35 לחוק הירושה (ראו: ע"א 6496/98 </w:t>
      </w:r>
      <w:r>
        <w:rPr>
          <w:rFonts w:ascii="David" w:hAnsi="David" w:cs="David"/>
          <w:b/>
          <w:bCs/>
          <w:sz w:val="24"/>
          <w:szCs w:val="24"/>
          <w:rtl/>
        </w:rPr>
        <w:t xml:space="preserve">מופק </w:t>
      </w:r>
      <w:proofErr w:type="spellStart"/>
      <w:r>
        <w:rPr>
          <w:rFonts w:ascii="David" w:hAnsi="David" w:cs="David"/>
          <w:b/>
          <w:bCs/>
          <w:sz w:val="24"/>
          <w:szCs w:val="24"/>
          <w:rtl/>
        </w:rPr>
        <w:t>בוטו</w:t>
      </w:r>
      <w:proofErr w:type="spellEnd"/>
      <w:r>
        <w:rPr>
          <w:rFonts w:ascii="David" w:hAnsi="David" w:cs="David"/>
          <w:b/>
          <w:bCs/>
          <w:sz w:val="24"/>
          <w:szCs w:val="24"/>
          <w:rtl/>
        </w:rPr>
        <w:t xml:space="preserve"> נ' </w:t>
      </w:r>
      <w:proofErr w:type="spellStart"/>
      <w:r>
        <w:rPr>
          <w:rFonts w:ascii="David" w:hAnsi="David" w:cs="David"/>
          <w:b/>
          <w:bCs/>
          <w:sz w:val="24"/>
          <w:szCs w:val="24"/>
          <w:rtl/>
        </w:rPr>
        <w:t>סאמי</w:t>
      </w:r>
      <w:proofErr w:type="spellEnd"/>
      <w:r>
        <w:rPr>
          <w:rFonts w:ascii="David" w:hAnsi="David" w:cs="David"/>
          <w:b/>
          <w:bCs/>
          <w:sz w:val="24"/>
          <w:szCs w:val="24"/>
          <w:rtl/>
        </w:rPr>
        <w:t xml:space="preserve"> </w:t>
      </w:r>
      <w:proofErr w:type="spellStart"/>
      <w:r>
        <w:rPr>
          <w:rFonts w:ascii="David" w:hAnsi="David" w:cs="David"/>
          <w:b/>
          <w:bCs/>
          <w:sz w:val="24"/>
          <w:szCs w:val="24"/>
          <w:rtl/>
        </w:rPr>
        <w:t>בוטו</w:t>
      </w:r>
      <w:proofErr w:type="spellEnd"/>
      <w:r>
        <w:rPr>
          <w:rFonts w:ascii="David" w:hAnsi="David" w:cs="David"/>
          <w:sz w:val="24"/>
          <w:szCs w:val="24"/>
          <w:rtl/>
        </w:rPr>
        <w:t xml:space="preserve">, נד(1) 19 (4.1.2000), ע"א 5869/03 </w:t>
      </w:r>
      <w:r>
        <w:rPr>
          <w:rFonts w:ascii="David" w:hAnsi="David" w:cs="David"/>
          <w:b/>
          <w:bCs/>
          <w:sz w:val="24"/>
          <w:szCs w:val="24"/>
          <w:rtl/>
        </w:rPr>
        <w:t xml:space="preserve">נילי חרמון נ' בנימין </w:t>
      </w:r>
      <w:proofErr w:type="spellStart"/>
      <w:r>
        <w:rPr>
          <w:rFonts w:ascii="David" w:hAnsi="David" w:cs="David"/>
          <w:b/>
          <w:bCs/>
          <w:sz w:val="24"/>
          <w:szCs w:val="24"/>
          <w:rtl/>
        </w:rPr>
        <w:t>גולוב</w:t>
      </w:r>
      <w:proofErr w:type="spellEnd"/>
      <w:r>
        <w:rPr>
          <w:rFonts w:ascii="David" w:hAnsi="David" w:cs="David"/>
          <w:sz w:val="24"/>
          <w:szCs w:val="24"/>
          <w:rtl/>
        </w:rPr>
        <w:t xml:space="preserve">, נט(3) 1 (24.10.2004)). נפסק כי סעיף 35 לחוק הירושה דורש מעורבות פעילה ומהותית בתוכן המסמך (ראו: </w:t>
      </w:r>
      <w:proofErr w:type="spellStart"/>
      <w:r>
        <w:rPr>
          <w:rFonts w:ascii="David" w:hAnsi="David" w:cs="David"/>
          <w:sz w:val="24"/>
          <w:szCs w:val="24"/>
          <w:rtl/>
        </w:rPr>
        <w:t>עמ"ש</w:t>
      </w:r>
      <w:proofErr w:type="spellEnd"/>
      <w:r>
        <w:rPr>
          <w:rFonts w:ascii="David" w:hAnsi="David" w:cs="David"/>
          <w:sz w:val="24"/>
          <w:szCs w:val="24"/>
          <w:rtl/>
        </w:rPr>
        <w:t xml:space="preserve"> 45939-10-24 </w:t>
      </w:r>
      <w:r>
        <w:rPr>
          <w:rFonts w:ascii="David" w:hAnsi="David" w:cs="David"/>
          <w:b/>
          <w:bCs/>
          <w:sz w:val="24"/>
          <w:szCs w:val="24"/>
          <w:rtl/>
        </w:rPr>
        <w:t>נ.צ נ' האפוטרופוס הכללי</w:t>
      </w:r>
      <w:r>
        <w:rPr>
          <w:rFonts w:ascii="David" w:hAnsi="David" w:cs="David"/>
          <w:sz w:val="24"/>
          <w:szCs w:val="24"/>
          <w:rtl/>
        </w:rPr>
        <w:t xml:space="preserve"> (1.12.2025)). </w:t>
      </w:r>
    </w:p>
    <w:p w14:paraId="0AAC1C7D" w14:textId="77777777" w:rsidR="00426E0C" w:rsidRDefault="00426E0C" w:rsidP="00426E0C">
      <w:pPr>
        <w:pStyle w:val="ad"/>
        <w:spacing w:line="360" w:lineRule="auto"/>
        <w:jc w:val="both"/>
        <w:rPr>
          <w:rFonts w:ascii="David" w:hAnsi="David" w:cs="David"/>
          <w:sz w:val="24"/>
          <w:szCs w:val="24"/>
        </w:rPr>
      </w:pPr>
    </w:p>
    <w:p w14:paraId="07CDA9CD" w14:textId="77777777" w:rsidR="00426E0C" w:rsidRDefault="008E77EA" w:rsidP="00F32861">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כמו כן, לא נעלם מעיני כי </w:t>
      </w:r>
      <w:r w:rsidR="00F32861">
        <w:rPr>
          <w:rFonts w:ascii="David" w:hAnsi="David" w:cs="David" w:hint="cs"/>
          <w:sz w:val="24"/>
          <w:szCs w:val="24"/>
          <w:rtl/>
        </w:rPr>
        <w:t>גב' מ'</w:t>
      </w:r>
      <w:r>
        <w:rPr>
          <w:rFonts w:ascii="David" w:hAnsi="David" w:cs="David"/>
          <w:sz w:val="24"/>
          <w:szCs w:val="24"/>
          <w:rtl/>
        </w:rPr>
        <w:t xml:space="preserve"> - גרושתו של היורש, הכירה את המתורגמן. </w:t>
      </w:r>
      <w:r w:rsidR="00F32861">
        <w:rPr>
          <w:rFonts w:ascii="David" w:hAnsi="David" w:cs="David" w:hint="cs"/>
          <w:sz w:val="24"/>
          <w:szCs w:val="24"/>
          <w:rtl/>
        </w:rPr>
        <w:t>גב' מ'</w:t>
      </w:r>
      <w:r>
        <w:rPr>
          <w:rFonts w:ascii="David" w:hAnsi="David" w:cs="David"/>
          <w:sz w:val="24"/>
          <w:szCs w:val="24"/>
          <w:rtl/>
        </w:rPr>
        <w:t xml:space="preserve"> הבהירה כי הכירה אותו במרכז הקליטה ב</w:t>
      </w:r>
      <w:r w:rsidR="00F32861">
        <w:rPr>
          <w:rFonts w:ascii="David" w:hAnsi="David" w:cs="David" w:hint="cs"/>
          <w:sz w:val="24"/>
          <w:szCs w:val="24"/>
          <w:rtl/>
        </w:rPr>
        <w:t>עיר ד'</w:t>
      </w:r>
      <w:r>
        <w:rPr>
          <w:rFonts w:ascii="David" w:hAnsi="David" w:cs="David"/>
          <w:sz w:val="24"/>
          <w:szCs w:val="24"/>
          <w:rtl/>
        </w:rPr>
        <w:t xml:space="preserve"> בשנת 1993, כאשר התגוררה שם במשך כשנה וחמישה חודשים. אולם לא פגשה אותו לאחר מכן (ראו: בעמ' 41 לפרוטוקול מיום 24.3.25). אין בהיכרות לפני שנים רבות כדי להוכיח מעורבות, מה גם שגרושתו של היורש מ' עצמה אינה יורשת לפי הצוואה כלל. כמו כן, אין בכך כדי להוכיח שהמנוחים עצמם לא הכירו את המתורגמן קודם לכן, או שהיורש כן הכיר את המתורגמן ו/או פעל להביאו לעורך הדין. </w:t>
      </w:r>
    </w:p>
    <w:p w14:paraId="77F7CE66" w14:textId="77777777" w:rsidR="00426E0C" w:rsidRDefault="00426E0C" w:rsidP="00426E0C">
      <w:pPr>
        <w:pStyle w:val="ad"/>
        <w:rPr>
          <w:rFonts w:ascii="David" w:hAnsi="David" w:cs="David"/>
          <w:sz w:val="24"/>
          <w:szCs w:val="24"/>
        </w:rPr>
      </w:pPr>
    </w:p>
    <w:p w14:paraId="78B61058"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הואיל והיורש הלך לבית עולמו, לא ניתן לשמוע עדותו, ואילו המתנגדים לא מצאו לנכון לזמן לעדות את המתורגמן, חרף טענותיהם כלפיו.  </w:t>
      </w:r>
    </w:p>
    <w:p w14:paraId="7B9DF262" w14:textId="77777777" w:rsidR="00426E0C" w:rsidRDefault="00426E0C" w:rsidP="00426E0C">
      <w:pPr>
        <w:pStyle w:val="ad"/>
        <w:spacing w:line="360" w:lineRule="auto"/>
        <w:jc w:val="both"/>
        <w:rPr>
          <w:rFonts w:ascii="David" w:hAnsi="David" w:cs="David"/>
          <w:sz w:val="24"/>
          <w:szCs w:val="24"/>
        </w:rPr>
      </w:pPr>
    </w:p>
    <w:p w14:paraId="75688186" w14:textId="77777777" w:rsidR="00426E0C" w:rsidRDefault="008E77EA" w:rsidP="00426E0C">
      <w:pPr>
        <w:spacing w:line="360" w:lineRule="auto"/>
        <w:ind w:left="720"/>
        <w:jc w:val="both"/>
        <w:rPr>
          <w:rFonts w:ascii="David" w:hAnsi="David"/>
          <w:b/>
          <w:bCs/>
          <w:u w:val="single"/>
          <w:rtl/>
        </w:rPr>
      </w:pPr>
      <w:r>
        <w:rPr>
          <w:rFonts w:ascii="David" w:hAnsi="David"/>
          <w:rtl/>
        </w:rPr>
        <w:t xml:space="preserve">בפסיקה נקבע, כי בעל דין אשר נמנע מהבאת ראיה רלוונטית שהיא בהישג ידו, וזאת ללא כל הסבר סביר, ניתן להסיק כי אילו הובאה הראייה, הייתה פועלת כנגדו </w:t>
      </w:r>
      <w:r>
        <w:rPr>
          <w:rFonts w:ascii="David" w:hAnsi="David"/>
          <w:color w:val="000000"/>
          <w:rtl/>
        </w:rPr>
        <w:t xml:space="preserve">(ראו: ע"א 548/78 </w:t>
      </w:r>
      <w:r>
        <w:rPr>
          <w:rFonts w:ascii="David" w:hAnsi="David"/>
          <w:b/>
          <w:bCs/>
          <w:color w:val="000000"/>
          <w:rtl/>
        </w:rPr>
        <w:t>פלונית נ' פלוני,</w:t>
      </w:r>
      <w:r>
        <w:rPr>
          <w:rFonts w:ascii="David" w:hAnsi="David"/>
          <w:color w:val="000000"/>
          <w:rtl/>
        </w:rPr>
        <w:t xml:space="preserve"> פ"ד לה(1) 736,760 (1980), בג"ץ 3793/21 </w:t>
      </w:r>
      <w:r>
        <w:rPr>
          <w:rFonts w:ascii="David" w:hAnsi="David"/>
          <w:b/>
          <w:bCs/>
          <w:color w:val="000000"/>
          <w:rtl/>
        </w:rPr>
        <w:t>פלוני נ' בית הדין הרבני האזורי בירושלים</w:t>
      </w:r>
      <w:r>
        <w:rPr>
          <w:rFonts w:ascii="David" w:hAnsi="David"/>
          <w:color w:val="000000"/>
          <w:rtl/>
        </w:rPr>
        <w:t> (16.06.2021)).</w:t>
      </w:r>
      <w:r>
        <w:rPr>
          <w:rFonts w:ascii="David" w:hAnsi="David"/>
          <w:b/>
          <w:bCs/>
          <w:u w:val="single"/>
          <w:rtl/>
        </w:rPr>
        <w:t xml:space="preserve"> </w:t>
      </w:r>
    </w:p>
    <w:p w14:paraId="453DEF7C" w14:textId="77777777" w:rsidR="00300061" w:rsidRDefault="00300061" w:rsidP="00426E0C">
      <w:pPr>
        <w:spacing w:line="360" w:lineRule="auto"/>
        <w:ind w:left="720"/>
        <w:jc w:val="both"/>
        <w:rPr>
          <w:rFonts w:ascii="David" w:hAnsi="David"/>
          <w:b/>
          <w:bCs/>
          <w:u w:val="single"/>
        </w:rPr>
      </w:pPr>
    </w:p>
    <w:p w14:paraId="741940FC"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נוכח הכרעתי לפיה נטל הראיה מוטל על המתנגדים, הרי שהעובדה כי המתנגדים נמנעו מזימון עדי הצוואה והמתורגמן כדי לתמוך בגרסתם, נזקפת לחובתם ומחזקת את הטענה כי עדותם של עדים אלו הייתה תומכת דווקא בתקינות הצוואה ובטענות המבקשים (ראו: ת"ע 44965-05-21 </w:t>
      </w:r>
      <w:r>
        <w:rPr>
          <w:rFonts w:ascii="David" w:hAnsi="David" w:cs="David"/>
          <w:b/>
          <w:bCs/>
          <w:sz w:val="24"/>
          <w:szCs w:val="24"/>
          <w:rtl/>
        </w:rPr>
        <w:t>המנוחה נ' המתנגדים</w:t>
      </w:r>
      <w:r>
        <w:rPr>
          <w:rFonts w:ascii="David" w:hAnsi="David" w:cs="David"/>
          <w:sz w:val="24"/>
          <w:szCs w:val="24"/>
          <w:rtl/>
        </w:rPr>
        <w:t xml:space="preserve"> (8.11.2023)). </w:t>
      </w:r>
    </w:p>
    <w:p w14:paraId="07DEF4B1" w14:textId="77777777" w:rsidR="00426E0C" w:rsidRDefault="00426E0C" w:rsidP="00426E0C">
      <w:pPr>
        <w:pStyle w:val="ad"/>
        <w:rPr>
          <w:rFonts w:ascii="David" w:hAnsi="David" w:cs="David"/>
          <w:sz w:val="24"/>
          <w:szCs w:val="24"/>
        </w:rPr>
      </w:pPr>
    </w:p>
    <w:p w14:paraId="0F5DE892"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 ודוק, בענייננו מדובר בתביעה שבמסגרתה עלו טענות כנגד זוכה שהלך לבית עולמו. בפסיקה נקבע כי בתביעה נגד עיזבון מוטל על התובע נטל הוכחה מוגבר ורמת ההוכחה גבוהה מזו הנדרשת בהליך אזרחי רגיל, בשל חוסר יכולתו של המנוח להזים את הראיות (ראו: ע"א 5997/92 </w:t>
      </w:r>
      <w:r>
        <w:rPr>
          <w:rFonts w:ascii="David" w:hAnsi="David" w:cs="David"/>
          <w:b/>
          <w:bCs/>
          <w:sz w:val="24"/>
          <w:szCs w:val="24"/>
          <w:rtl/>
        </w:rPr>
        <w:t xml:space="preserve">דוד מלק נ' מנהל עיזבון הרב יהושע </w:t>
      </w:r>
      <w:proofErr w:type="spellStart"/>
      <w:r>
        <w:rPr>
          <w:rFonts w:ascii="David" w:hAnsi="David" w:cs="David"/>
          <w:b/>
          <w:bCs/>
          <w:sz w:val="24"/>
          <w:szCs w:val="24"/>
          <w:rtl/>
        </w:rPr>
        <w:t>דויטש</w:t>
      </w:r>
      <w:proofErr w:type="spellEnd"/>
      <w:r>
        <w:rPr>
          <w:rFonts w:ascii="David" w:hAnsi="David" w:cs="David"/>
          <w:sz w:val="24"/>
          <w:szCs w:val="24"/>
          <w:rtl/>
        </w:rPr>
        <w:t xml:space="preserve"> ז"ל, נא(5) 1 (28.9.1997), ע"א 2556/05 </w:t>
      </w:r>
      <w:r>
        <w:rPr>
          <w:rFonts w:ascii="David" w:hAnsi="David" w:cs="David"/>
          <w:b/>
          <w:bCs/>
          <w:sz w:val="24"/>
          <w:szCs w:val="24"/>
          <w:rtl/>
        </w:rPr>
        <w:t xml:space="preserve">שרה זלוטי נ' אליהו </w:t>
      </w:r>
      <w:proofErr w:type="spellStart"/>
      <w:r>
        <w:rPr>
          <w:rFonts w:ascii="David" w:hAnsi="David" w:cs="David"/>
          <w:b/>
          <w:bCs/>
          <w:sz w:val="24"/>
          <w:szCs w:val="24"/>
          <w:rtl/>
        </w:rPr>
        <w:t>אינדיבי</w:t>
      </w:r>
      <w:proofErr w:type="spellEnd"/>
      <w:r>
        <w:rPr>
          <w:rFonts w:ascii="David" w:hAnsi="David" w:cs="David"/>
          <w:sz w:val="24"/>
          <w:szCs w:val="24"/>
          <w:rtl/>
        </w:rPr>
        <w:t xml:space="preserve"> (8.2.2009). בענייננו, הואיל והזוכה לפי הצוואה נפטר, הרי שיש לבחון ביתר זהירות את הטענות כנגדו, שכן לא מן הנמנע כי אילו היה בחיים, היה באפשרותו לסתור את הטענות שעלו כנגדו. בפרט שעה שהמתנגדים התמהמהו בהגשת התביעות שלפניי: כשנתיים לאחר פטירת האם המנוחה, וכשנה וחצי לאחר פטירת הזוכה לפי הצוואות – האח היורש </w:t>
      </w:r>
      <w:r w:rsidR="00A85150">
        <w:rPr>
          <w:rFonts w:ascii="David" w:hAnsi="David" w:cs="David"/>
          <w:sz w:val="24"/>
          <w:szCs w:val="24"/>
          <w:rtl/>
        </w:rPr>
        <w:t xml:space="preserve">ז"ל. (האם נפטרה ביום 9.3.2019, </w:t>
      </w:r>
      <w:r>
        <w:rPr>
          <w:rFonts w:ascii="David" w:hAnsi="David" w:cs="David"/>
          <w:sz w:val="24"/>
          <w:szCs w:val="24"/>
          <w:rtl/>
        </w:rPr>
        <w:t>האח היורש נפטר ביום 20.9.2019, כחצי שנה לאחר פטירת האם, ואילו המתנגדים הגישו את ההתנגדות ביום 28.4.2021).</w:t>
      </w:r>
    </w:p>
    <w:p w14:paraId="20AFDA58" w14:textId="77777777" w:rsidR="00426E0C" w:rsidRDefault="00426E0C" w:rsidP="00426E0C">
      <w:pPr>
        <w:pStyle w:val="ad"/>
        <w:spacing w:line="360" w:lineRule="auto"/>
        <w:jc w:val="both"/>
        <w:rPr>
          <w:rFonts w:ascii="David" w:hAnsi="David" w:cs="David"/>
          <w:sz w:val="24"/>
          <w:szCs w:val="24"/>
          <w:rtl/>
        </w:rPr>
      </w:pPr>
    </w:p>
    <w:p w14:paraId="15582961" w14:textId="77777777" w:rsidR="00426E0C" w:rsidRDefault="008E77EA" w:rsidP="00426E0C">
      <w:pPr>
        <w:spacing w:after="200" w:line="360" w:lineRule="auto"/>
        <w:ind w:left="720"/>
        <w:jc w:val="both"/>
        <w:rPr>
          <w:rFonts w:ascii="David" w:hAnsi="David"/>
          <w:u w:val="single"/>
          <w:rtl/>
        </w:rPr>
      </w:pPr>
      <w:r>
        <w:rPr>
          <w:rFonts w:ascii="David" w:hAnsi="David"/>
          <w:u w:val="single"/>
          <w:rtl/>
        </w:rPr>
        <w:t xml:space="preserve">קשר חופשי ושוטף בין המתנגדים לבין המנוחים עד לפטירתם: </w:t>
      </w:r>
    </w:p>
    <w:p w14:paraId="723825AF" w14:textId="77777777" w:rsidR="00426E0C" w:rsidRDefault="00426E0C" w:rsidP="00426E0C">
      <w:pPr>
        <w:pStyle w:val="ad"/>
        <w:spacing w:line="360" w:lineRule="auto"/>
        <w:ind w:left="1080"/>
        <w:jc w:val="both"/>
        <w:rPr>
          <w:rFonts w:ascii="David" w:hAnsi="David" w:cs="David"/>
          <w:b/>
          <w:bCs/>
          <w:sz w:val="24"/>
          <w:szCs w:val="24"/>
          <w:u w:val="single"/>
        </w:rPr>
      </w:pPr>
    </w:p>
    <w:p w14:paraId="6F0A944C"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אמנם המתנגדים לא טענו באופן מפורש לעילה של השפעה בלתי הוגנת, ואולם נוכח טענותיהם ביחס למעורבותו של היורש, מצאתי להבהיר כי המתנגדים לא הוכיחו השפעה בלתי הוגנת של היורש ז"ל על המנוחים. </w:t>
      </w:r>
    </w:p>
    <w:p w14:paraId="03E80CD7" w14:textId="77777777" w:rsidR="00426E0C" w:rsidRDefault="00426E0C" w:rsidP="00426E0C">
      <w:pPr>
        <w:pStyle w:val="ad"/>
        <w:spacing w:line="360" w:lineRule="auto"/>
        <w:jc w:val="both"/>
        <w:rPr>
          <w:rFonts w:ascii="David" w:hAnsi="David" w:cs="David"/>
          <w:sz w:val="24"/>
          <w:szCs w:val="24"/>
        </w:rPr>
      </w:pPr>
    </w:p>
    <w:p w14:paraId="784156DD" w14:textId="77777777" w:rsidR="00426E0C" w:rsidRDefault="008E77EA" w:rsidP="00426E0C">
      <w:pPr>
        <w:spacing w:line="360" w:lineRule="auto"/>
        <w:ind w:left="720"/>
        <w:jc w:val="both"/>
        <w:rPr>
          <w:rFonts w:ascii="David" w:hAnsi="David"/>
          <w:rtl/>
        </w:rPr>
      </w:pPr>
      <w:r>
        <w:rPr>
          <w:rFonts w:ascii="David" w:hAnsi="David"/>
          <w:rtl/>
        </w:rPr>
        <w:t>הכלל המשפטי בהקשר זה קובע כי "אין פסול בניסיון להשפיע על אדם שיכתוב צוואה לטובתו או לטובת אחר, מה שפסול הוא השפעה בלתי הוגנת". (ראו: פרופ' שילה, "</w:t>
      </w:r>
      <w:r>
        <w:rPr>
          <w:rFonts w:ascii="David" w:hAnsi="David"/>
          <w:b/>
          <w:bCs/>
          <w:rtl/>
        </w:rPr>
        <w:t>פרוש לחוק הירושה, תשכ"ה-1965</w:t>
      </w:r>
      <w:r>
        <w:rPr>
          <w:rFonts w:ascii="David" w:hAnsi="David"/>
          <w:rtl/>
        </w:rPr>
        <w:t xml:space="preserve">", כרך 1 עמ' 269-270). בדנ"א 1516/95 </w:t>
      </w:r>
      <w:r>
        <w:rPr>
          <w:rFonts w:ascii="David" w:hAnsi="David"/>
          <w:b/>
          <w:bCs/>
          <w:rtl/>
        </w:rPr>
        <w:t>רינה מרום נ' היועץ המשפטי לממשלה</w:t>
      </w:r>
      <w:r>
        <w:rPr>
          <w:rFonts w:ascii="David" w:hAnsi="David"/>
          <w:rtl/>
        </w:rPr>
        <w:t>, פ"ד נב(2) 813 (1998) פירט כב' השופט  א' מצא  את "אבני הבוחן" לקיומה של תלות מוחלטת של המצווה בזוכה המקימה חזקה עובדתית בדבר השפעה בלתי הוגנת, כדלקמן: א. תלות ועצמאות; ב. תלות וסיוע; ג. קשרי המצווה עם אחרים; ד. מבחן נסיבות עריכת הצוואה.</w:t>
      </w:r>
    </w:p>
    <w:p w14:paraId="7DAE566A" w14:textId="77777777" w:rsidR="00300061" w:rsidRDefault="00300061" w:rsidP="00426E0C">
      <w:pPr>
        <w:spacing w:line="360" w:lineRule="auto"/>
        <w:ind w:left="720"/>
        <w:jc w:val="both"/>
        <w:rPr>
          <w:rFonts w:ascii="David" w:hAnsi="David"/>
        </w:rPr>
      </w:pPr>
    </w:p>
    <w:p w14:paraId="243623B6"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בענייננו, הצוואה נחתמה על ידי המנוחים בשנת 2006. אין חולק כי המנוחים היו כשירים בעת עריכת הצוואה, ולא נטען אחרת על ידי המתנגדים. כמו כן, התרשמתי כי אף שהיורש אכן סייע להם באופן מיוחד טרם עלייתם ואף לאחר מכן, הרי שהיה להם קשר שוטף גם עם יתר ילדיהם, כך שהם לא היו תלויים בו, וככל שהיה ברצונם לשנות את צוואתם, היו יכולים לפנות למי מילדיהם ולפעול בהתאם:</w:t>
      </w:r>
    </w:p>
    <w:p w14:paraId="4C04B2B1" w14:textId="77777777" w:rsidR="00426E0C" w:rsidRDefault="00426E0C" w:rsidP="00426E0C">
      <w:pPr>
        <w:pStyle w:val="ad"/>
        <w:spacing w:line="360" w:lineRule="auto"/>
        <w:jc w:val="both"/>
        <w:rPr>
          <w:rFonts w:ascii="David" w:hAnsi="David" w:cs="David"/>
          <w:b/>
          <w:bCs/>
          <w:sz w:val="24"/>
          <w:szCs w:val="24"/>
          <w:u w:val="single"/>
        </w:rPr>
      </w:pPr>
    </w:p>
    <w:p w14:paraId="6B480544" w14:textId="77777777" w:rsidR="00426E0C" w:rsidRDefault="008E77EA" w:rsidP="00426E0C">
      <w:pPr>
        <w:pStyle w:val="ad"/>
        <w:numPr>
          <w:ilvl w:val="0"/>
          <w:numId w:val="1"/>
        </w:numPr>
        <w:spacing w:after="200" w:line="360" w:lineRule="auto"/>
        <w:jc w:val="both"/>
        <w:rPr>
          <w:rFonts w:ascii="David" w:hAnsi="David" w:cs="David"/>
          <w:sz w:val="24"/>
          <w:szCs w:val="24"/>
        </w:rPr>
      </w:pPr>
      <w:r>
        <w:rPr>
          <w:rFonts w:ascii="David" w:hAnsi="David" w:cs="David"/>
          <w:sz w:val="24"/>
          <w:szCs w:val="24"/>
          <w:rtl/>
        </w:rPr>
        <w:t xml:space="preserve">המתנגדים טענו בכתב ההתנגדות כי להורים המנוחים היו יחסים מצוינים עם כל ילדיהם, וכי </w:t>
      </w:r>
      <w:r>
        <w:rPr>
          <w:rFonts w:ascii="David" w:hAnsi="David" w:cs="David"/>
          <w:b/>
          <w:bCs/>
          <w:sz w:val="24"/>
          <w:szCs w:val="24"/>
          <w:rtl/>
        </w:rPr>
        <w:t>"בקרבת דירת ההורים התגוררו שלושה מילדיהם שהיו איתם בקשר טוב ושוטף".</w:t>
      </w:r>
      <w:r>
        <w:rPr>
          <w:rFonts w:ascii="David" w:hAnsi="David" w:cs="David"/>
          <w:sz w:val="24"/>
          <w:szCs w:val="24"/>
          <w:rtl/>
        </w:rPr>
        <w:t xml:space="preserve"> (ראו: סעיפים 18,20 לכתב ההתנגדות. ראו גם: סעיף 28 לסיכומי המתנגדים). ואולם המנוחים לא עשו כן. יתרה מכך, לטענת המתנגדים, לאב המנוח היה "יחס מיוחד" למתנגדת 2, והוא אהב אותה במיוחד (ראו: סעיף 26 לסיכומי המתנגדים), כך שיש להניח כי ככל שהייתה השפעה או לחץ כלשהו מצדו של היורש, האב המנוח היה מוצא לנכון לשתף את המתנגדת 2 בכך.</w:t>
      </w:r>
    </w:p>
    <w:p w14:paraId="44FF0128" w14:textId="77777777" w:rsidR="00426E0C" w:rsidRDefault="00426E0C" w:rsidP="00426E0C">
      <w:pPr>
        <w:pStyle w:val="ad"/>
        <w:rPr>
          <w:rFonts w:ascii="David" w:hAnsi="David" w:cs="David"/>
          <w:sz w:val="24"/>
          <w:szCs w:val="24"/>
          <w:rtl/>
        </w:rPr>
      </w:pPr>
    </w:p>
    <w:p w14:paraId="05DC3453" w14:textId="77777777" w:rsidR="00426E0C" w:rsidRDefault="008E77EA" w:rsidP="00A85150">
      <w:pPr>
        <w:pStyle w:val="ad"/>
        <w:numPr>
          <w:ilvl w:val="0"/>
          <w:numId w:val="1"/>
        </w:numPr>
        <w:spacing w:line="360" w:lineRule="auto"/>
        <w:jc w:val="both"/>
        <w:rPr>
          <w:rFonts w:ascii="David" w:hAnsi="David" w:cs="David"/>
          <w:b/>
          <w:bCs/>
          <w:sz w:val="24"/>
          <w:szCs w:val="24"/>
          <w:u w:val="single"/>
          <w:rtl/>
        </w:rPr>
      </w:pPr>
      <w:r>
        <w:rPr>
          <w:rFonts w:ascii="David" w:hAnsi="David" w:cs="David"/>
          <w:sz w:val="24"/>
          <w:szCs w:val="24"/>
          <w:rtl/>
        </w:rPr>
        <w:t xml:space="preserve"> המתנגדת 2 </w:t>
      </w:r>
      <w:r w:rsidR="00A85150">
        <w:rPr>
          <w:rFonts w:ascii="David" w:hAnsi="David" w:cs="David"/>
          <w:sz w:val="24"/>
          <w:szCs w:val="24"/>
          <w:rtl/>
        </w:rPr>
        <w:t>–</w:t>
      </w:r>
      <w:r>
        <w:rPr>
          <w:rFonts w:ascii="David" w:hAnsi="David" w:cs="David"/>
          <w:sz w:val="24"/>
          <w:szCs w:val="24"/>
          <w:rtl/>
        </w:rPr>
        <w:t xml:space="preserve"> </w:t>
      </w:r>
      <w:r w:rsidR="00A85150">
        <w:rPr>
          <w:rFonts w:ascii="David" w:hAnsi="David" w:cs="David" w:hint="cs"/>
          <w:sz w:val="24"/>
          <w:szCs w:val="24"/>
          <w:rtl/>
        </w:rPr>
        <w:t>ד.פ</w:t>
      </w:r>
      <w:r>
        <w:rPr>
          <w:rFonts w:ascii="David" w:hAnsi="David" w:cs="David"/>
          <w:sz w:val="24"/>
          <w:szCs w:val="24"/>
          <w:rtl/>
        </w:rPr>
        <w:t xml:space="preserve"> העידה כי התגוררה בסמוך לבית ההורים המנוחים וביקרה אותם פעמים רבות ובאופן שוטף (ראו: בעמ' 13 שורות 31-33, וכן בעמ' 14 שורות 12-13 לפרוטוקול מיום 24.3.25).</w:t>
      </w:r>
    </w:p>
    <w:p w14:paraId="6BD010FE" w14:textId="77777777" w:rsidR="00426E0C" w:rsidRDefault="00426E0C" w:rsidP="00426E0C">
      <w:pPr>
        <w:pStyle w:val="ad"/>
        <w:spacing w:line="360" w:lineRule="auto"/>
        <w:jc w:val="both"/>
        <w:rPr>
          <w:rFonts w:ascii="David" w:hAnsi="David" w:cs="David"/>
          <w:b/>
          <w:bCs/>
          <w:sz w:val="24"/>
          <w:szCs w:val="24"/>
          <w:u w:val="single"/>
        </w:rPr>
      </w:pPr>
    </w:p>
    <w:p w14:paraId="2828CCFF" w14:textId="77777777" w:rsidR="00426E0C" w:rsidRDefault="008E77EA" w:rsidP="00426E0C">
      <w:pPr>
        <w:pStyle w:val="ad"/>
        <w:spacing w:line="360" w:lineRule="auto"/>
        <w:jc w:val="both"/>
        <w:rPr>
          <w:rFonts w:ascii="David" w:hAnsi="David" w:cs="David"/>
          <w:sz w:val="24"/>
          <w:szCs w:val="24"/>
        </w:rPr>
      </w:pPr>
      <w:r>
        <w:rPr>
          <w:rFonts w:ascii="David" w:hAnsi="David" w:cs="David"/>
          <w:sz w:val="24"/>
          <w:szCs w:val="24"/>
          <w:rtl/>
        </w:rPr>
        <w:t xml:space="preserve">כמו כן העידה, כי הנכדים נהגו להגיע לבית האם המנוחה ולסייע לה לאחר פטירתו של האב המנוח (ראו: בעמ' 15 שורות 11-16 לפרוטוקול מיום 24.3.25). </w:t>
      </w:r>
    </w:p>
    <w:p w14:paraId="404D1BB1" w14:textId="77777777" w:rsidR="00426E0C" w:rsidRDefault="00426E0C" w:rsidP="00426E0C">
      <w:pPr>
        <w:pStyle w:val="ad"/>
        <w:spacing w:line="360" w:lineRule="auto"/>
        <w:jc w:val="both"/>
        <w:rPr>
          <w:rFonts w:ascii="David" w:hAnsi="David" w:cs="David"/>
          <w:sz w:val="24"/>
          <w:szCs w:val="24"/>
          <w:rtl/>
        </w:rPr>
      </w:pPr>
    </w:p>
    <w:p w14:paraId="692C32F5" w14:textId="77777777" w:rsidR="00426E0C" w:rsidRDefault="008E77EA" w:rsidP="00A85150">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גם המתנגד 1 </w:t>
      </w:r>
      <w:r w:rsidR="00A85150">
        <w:rPr>
          <w:rFonts w:ascii="David" w:hAnsi="David" w:cs="David"/>
          <w:sz w:val="24"/>
          <w:szCs w:val="24"/>
          <w:rtl/>
        </w:rPr>
        <w:t>–</w:t>
      </w:r>
      <w:r>
        <w:rPr>
          <w:rFonts w:ascii="David" w:hAnsi="David" w:cs="David"/>
          <w:sz w:val="24"/>
          <w:szCs w:val="24"/>
          <w:rtl/>
        </w:rPr>
        <w:t xml:space="preserve"> </w:t>
      </w:r>
      <w:r w:rsidR="00A85150">
        <w:rPr>
          <w:rFonts w:ascii="David" w:hAnsi="David" w:cs="David" w:hint="cs"/>
          <w:sz w:val="24"/>
          <w:szCs w:val="24"/>
          <w:rtl/>
        </w:rPr>
        <w:t>מ.ו</w:t>
      </w:r>
      <w:r>
        <w:rPr>
          <w:rFonts w:ascii="David" w:hAnsi="David" w:cs="David"/>
          <w:sz w:val="24"/>
          <w:szCs w:val="24"/>
          <w:rtl/>
        </w:rPr>
        <w:t xml:space="preserve"> העיד כי חלק מהאחים התגוררו בסמוך להורים המנוחים, וביקרו אותם באופן שוטף (כגון: המתנגדת 2, המתנגד 3 ובנו של המנוח ס.פ., ראו: בעמ' 19 שורות 7-12 לפרוטוקול מיום 24.3.25). בנוסף, המתנגד 1 העיד כי כל האחים היו מבקרים את המנוחים בשבתות ומשוחחים עימם (ראו: בעמ' 17 שורות 28-129 לפרוטוקול מיום 24.3.25).</w:t>
      </w:r>
    </w:p>
    <w:p w14:paraId="5FABE327" w14:textId="77777777" w:rsidR="00426E0C" w:rsidRDefault="00426E0C" w:rsidP="00426E0C">
      <w:pPr>
        <w:pStyle w:val="ad"/>
        <w:spacing w:line="360" w:lineRule="auto"/>
        <w:jc w:val="both"/>
        <w:rPr>
          <w:rFonts w:ascii="David" w:hAnsi="David" w:cs="David"/>
          <w:sz w:val="24"/>
          <w:szCs w:val="24"/>
        </w:rPr>
      </w:pPr>
    </w:p>
    <w:p w14:paraId="60363C90" w14:textId="77777777" w:rsidR="00426E0C" w:rsidRDefault="008E77EA" w:rsidP="00A85150">
      <w:pPr>
        <w:pStyle w:val="ad"/>
        <w:numPr>
          <w:ilvl w:val="0"/>
          <w:numId w:val="1"/>
        </w:numPr>
        <w:spacing w:line="360" w:lineRule="auto"/>
        <w:jc w:val="both"/>
        <w:rPr>
          <w:rFonts w:ascii="David" w:hAnsi="David" w:cs="David"/>
          <w:sz w:val="24"/>
          <w:szCs w:val="24"/>
        </w:rPr>
      </w:pPr>
      <w:r>
        <w:rPr>
          <w:rFonts w:ascii="David" w:hAnsi="David" w:cs="David"/>
          <w:sz w:val="24"/>
          <w:szCs w:val="24"/>
          <w:rtl/>
        </w:rPr>
        <w:t xml:space="preserve">המתנגד 3 </w:t>
      </w:r>
      <w:r w:rsidR="00A85150">
        <w:rPr>
          <w:rFonts w:ascii="David" w:hAnsi="David" w:cs="David"/>
          <w:sz w:val="24"/>
          <w:szCs w:val="24"/>
          <w:rtl/>
        </w:rPr>
        <w:t>–</w:t>
      </w:r>
      <w:r>
        <w:rPr>
          <w:rFonts w:ascii="David" w:hAnsi="David" w:cs="David"/>
          <w:sz w:val="24"/>
          <w:szCs w:val="24"/>
          <w:rtl/>
        </w:rPr>
        <w:t xml:space="preserve"> </w:t>
      </w:r>
      <w:r w:rsidR="00A85150">
        <w:rPr>
          <w:rFonts w:ascii="David" w:hAnsi="David" w:cs="David" w:hint="cs"/>
          <w:sz w:val="24"/>
          <w:szCs w:val="24"/>
          <w:rtl/>
        </w:rPr>
        <w:t>א.פ</w:t>
      </w:r>
      <w:r>
        <w:rPr>
          <w:rFonts w:ascii="David" w:hAnsi="David" w:cs="David"/>
          <w:sz w:val="24"/>
          <w:szCs w:val="24"/>
          <w:rtl/>
        </w:rPr>
        <w:t xml:space="preserve"> העיד כי גם כאשר האב המנוח היה בחיים, המנוחים היו מבקרים אצל ילדיהם. דהיינו, במועד עריכת הצוואות של ההורים, המתנגדים היו בקשר עם שני ההורים. (ראו: עדות המתנגד 3 מיום 17.7.25).  </w:t>
      </w:r>
    </w:p>
    <w:p w14:paraId="1BBE41A6" w14:textId="77777777" w:rsidR="00426E0C" w:rsidRDefault="00426E0C" w:rsidP="00426E0C">
      <w:pPr>
        <w:pStyle w:val="ad"/>
        <w:spacing w:line="360" w:lineRule="auto"/>
        <w:jc w:val="both"/>
        <w:rPr>
          <w:rFonts w:ascii="David" w:hAnsi="David" w:cs="David"/>
          <w:sz w:val="24"/>
          <w:szCs w:val="24"/>
        </w:rPr>
      </w:pPr>
    </w:p>
    <w:p w14:paraId="6CE92EE8" w14:textId="77777777" w:rsidR="00426E0C" w:rsidRDefault="008E77EA" w:rsidP="00426E0C">
      <w:pPr>
        <w:pStyle w:val="ad"/>
        <w:spacing w:line="360" w:lineRule="auto"/>
        <w:jc w:val="both"/>
        <w:rPr>
          <w:rFonts w:ascii="David" w:hAnsi="David" w:cs="David"/>
          <w:sz w:val="24"/>
          <w:szCs w:val="24"/>
          <w:rtl/>
        </w:rPr>
      </w:pPr>
      <w:r>
        <w:rPr>
          <w:rFonts w:ascii="David" w:hAnsi="David" w:cs="David"/>
          <w:sz w:val="24"/>
          <w:szCs w:val="24"/>
          <w:rtl/>
        </w:rPr>
        <w:t xml:space="preserve"> (ראו גם: עדותו של המבקש 1, בעמ' 24 שורות 23-34 לפרוטוקול מיום 24.3.25). </w:t>
      </w:r>
    </w:p>
    <w:p w14:paraId="48B95D90" w14:textId="77777777" w:rsidR="00426E0C" w:rsidRDefault="00426E0C" w:rsidP="00426E0C">
      <w:pPr>
        <w:pStyle w:val="ad"/>
        <w:spacing w:line="360" w:lineRule="auto"/>
        <w:jc w:val="both"/>
        <w:rPr>
          <w:rFonts w:ascii="David" w:hAnsi="David" w:cs="David"/>
          <w:sz w:val="24"/>
          <w:szCs w:val="24"/>
          <w:rtl/>
        </w:rPr>
      </w:pPr>
    </w:p>
    <w:p w14:paraId="0A472AB8" w14:textId="77777777" w:rsidR="00426E0C" w:rsidRDefault="008E77EA" w:rsidP="00426E0C">
      <w:pPr>
        <w:pStyle w:val="ad"/>
        <w:numPr>
          <w:ilvl w:val="0"/>
          <w:numId w:val="1"/>
        </w:numPr>
        <w:spacing w:line="360" w:lineRule="auto"/>
        <w:jc w:val="both"/>
        <w:rPr>
          <w:rFonts w:ascii="David" w:hAnsi="David" w:cs="David"/>
          <w:b/>
          <w:bCs/>
          <w:sz w:val="24"/>
          <w:szCs w:val="24"/>
          <w:u w:val="single"/>
        </w:rPr>
      </w:pPr>
      <w:r>
        <w:rPr>
          <w:rFonts w:ascii="David" w:hAnsi="David" w:cs="David"/>
          <w:sz w:val="24"/>
          <w:szCs w:val="24"/>
          <w:rtl/>
        </w:rPr>
        <w:t>המנוחה עברה להתגורר עם היורש בביתו – אך היה זה לאחר מות  האב המנוח, וממילא לאחר עריכת הצוואה.</w:t>
      </w:r>
    </w:p>
    <w:p w14:paraId="673E7A4E" w14:textId="77777777" w:rsidR="00300061" w:rsidRDefault="00300061" w:rsidP="00300061">
      <w:pPr>
        <w:spacing w:line="360" w:lineRule="auto"/>
        <w:jc w:val="both"/>
        <w:rPr>
          <w:rFonts w:ascii="David" w:hAnsi="David"/>
          <w:b/>
          <w:bCs/>
          <w:u w:val="single"/>
          <w:rtl/>
        </w:rPr>
      </w:pPr>
    </w:p>
    <w:p w14:paraId="62E6FBA5" w14:textId="77777777" w:rsidR="00300061" w:rsidRDefault="00300061" w:rsidP="00300061">
      <w:pPr>
        <w:spacing w:line="360" w:lineRule="auto"/>
        <w:jc w:val="both"/>
        <w:rPr>
          <w:rFonts w:ascii="David" w:hAnsi="David"/>
          <w:b/>
          <w:bCs/>
          <w:u w:val="single"/>
          <w:rtl/>
        </w:rPr>
      </w:pPr>
    </w:p>
    <w:p w14:paraId="5250C5B4" w14:textId="77777777" w:rsidR="00300061" w:rsidRPr="00300061" w:rsidRDefault="00300061" w:rsidP="00300061">
      <w:pPr>
        <w:spacing w:line="360" w:lineRule="auto"/>
        <w:jc w:val="both"/>
        <w:rPr>
          <w:rFonts w:ascii="David" w:hAnsi="David"/>
          <w:b/>
          <w:bCs/>
          <w:u w:val="single"/>
          <w:rtl/>
        </w:rPr>
      </w:pPr>
    </w:p>
    <w:p w14:paraId="7FBD5F48" w14:textId="77777777" w:rsidR="00426E0C" w:rsidRDefault="00426E0C" w:rsidP="00426E0C">
      <w:pPr>
        <w:pStyle w:val="ad"/>
        <w:spacing w:line="360" w:lineRule="auto"/>
        <w:jc w:val="both"/>
        <w:rPr>
          <w:rFonts w:ascii="David" w:hAnsi="David" w:cs="David"/>
          <w:b/>
          <w:bCs/>
          <w:sz w:val="24"/>
          <w:szCs w:val="24"/>
          <w:u w:val="single"/>
        </w:rPr>
      </w:pPr>
    </w:p>
    <w:p w14:paraId="1EFD45A5" w14:textId="77777777" w:rsidR="00426E0C" w:rsidRDefault="008E77EA" w:rsidP="003A3CB9">
      <w:pPr>
        <w:pStyle w:val="ad"/>
        <w:spacing w:line="360" w:lineRule="auto"/>
        <w:jc w:val="both"/>
        <w:rPr>
          <w:rFonts w:ascii="David" w:hAnsi="David" w:cs="David"/>
          <w:sz w:val="24"/>
          <w:szCs w:val="24"/>
        </w:rPr>
      </w:pPr>
      <w:r>
        <w:rPr>
          <w:rFonts w:ascii="David" w:hAnsi="David" w:cs="David"/>
          <w:sz w:val="24"/>
          <w:szCs w:val="24"/>
          <w:rtl/>
        </w:rPr>
        <w:t xml:space="preserve">המתנגד 3 </w:t>
      </w:r>
      <w:r w:rsidR="003A3CB9">
        <w:rPr>
          <w:rFonts w:ascii="David" w:hAnsi="David" w:cs="David"/>
          <w:sz w:val="24"/>
          <w:szCs w:val="24"/>
          <w:rtl/>
        </w:rPr>
        <w:t>–</w:t>
      </w:r>
      <w:r>
        <w:rPr>
          <w:rFonts w:ascii="David" w:hAnsi="David" w:cs="David"/>
          <w:sz w:val="24"/>
          <w:szCs w:val="24"/>
          <w:rtl/>
        </w:rPr>
        <w:t xml:space="preserve"> </w:t>
      </w:r>
      <w:r w:rsidR="003A3CB9">
        <w:rPr>
          <w:rFonts w:ascii="David" w:hAnsi="David" w:cs="David" w:hint="cs"/>
          <w:sz w:val="24"/>
          <w:szCs w:val="24"/>
          <w:rtl/>
        </w:rPr>
        <w:t xml:space="preserve">א.פ </w:t>
      </w:r>
      <w:r>
        <w:rPr>
          <w:rFonts w:ascii="David" w:hAnsi="David" w:cs="David"/>
          <w:sz w:val="24"/>
          <w:szCs w:val="24"/>
          <w:rtl/>
        </w:rPr>
        <w:t xml:space="preserve">העיד כי האם עברה בין כל האחים – כל פעם התגוררה אצל אח אחר למשך זמן מה, ואף התגוררה בביתו (ראו: בעמ' 12 לפרוטוקול מיום 17.7.25). דהיינו גם ככל שהייתה השפעה כלשהי (והדבר לא הוכח), האם יכולה הייתה לספר על כך לאחד האחים עימם הייתה בקשר ובביתם שהתה, לפי דבריו של המתנגד 3: </w:t>
      </w:r>
      <w:r>
        <w:rPr>
          <w:rFonts w:ascii="David" w:hAnsi="David" w:cs="David"/>
          <w:b/>
          <w:bCs/>
          <w:sz w:val="24"/>
          <w:szCs w:val="24"/>
          <w:rtl/>
        </w:rPr>
        <w:t>"היא מחליטה".</w:t>
      </w:r>
      <w:r>
        <w:rPr>
          <w:rFonts w:ascii="David" w:hAnsi="David" w:cs="David"/>
          <w:sz w:val="24"/>
          <w:szCs w:val="24"/>
          <w:rtl/>
        </w:rPr>
        <w:t xml:space="preserve"> דהיינו, האם המנוחה החליטה כל פעם אצל מי תתגורר ולפי טענתו עברה בין האחים. עדות זו מחזקת את הטענה כי האחים היו בקשר עם האם המנוחה וכי לא התקיימו התנאים להשפעה בלתי הוגנת על המנוחה. (ראו: פרוטוקול מיום 17.7.25)</w:t>
      </w:r>
    </w:p>
    <w:p w14:paraId="75658169" w14:textId="77777777" w:rsidR="00426E0C" w:rsidRDefault="00426E0C" w:rsidP="00426E0C">
      <w:pPr>
        <w:pStyle w:val="ad"/>
        <w:spacing w:line="360" w:lineRule="auto"/>
        <w:jc w:val="both"/>
        <w:rPr>
          <w:rFonts w:ascii="David" w:hAnsi="David" w:cs="David"/>
          <w:sz w:val="24"/>
          <w:szCs w:val="24"/>
          <w:rtl/>
        </w:rPr>
      </w:pPr>
    </w:p>
    <w:p w14:paraId="52229B5E" w14:textId="77777777" w:rsidR="00426E0C" w:rsidRDefault="008E77EA" w:rsidP="003A3CB9">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לעניין טענת המתנגדים לתרמית מצד היורש ז"ל – מעבר לכך שאף טענה זו נטענה בעלמא וללא כל הוכחה, הרי שהמתנגד 3 – </w:t>
      </w:r>
      <w:r w:rsidR="003A3CB9">
        <w:rPr>
          <w:rFonts w:ascii="David" w:hAnsi="David" w:cs="David" w:hint="cs"/>
          <w:sz w:val="24"/>
          <w:szCs w:val="24"/>
          <w:rtl/>
        </w:rPr>
        <w:t>א.פ</w:t>
      </w:r>
      <w:r>
        <w:rPr>
          <w:rFonts w:ascii="David" w:hAnsi="David" w:cs="David"/>
          <w:sz w:val="24"/>
          <w:szCs w:val="24"/>
          <w:rtl/>
        </w:rPr>
        <w:t xml:space="preserve"> העיד כי אינו סבור שהיורש רימה את המנוחים, וזאת בשונה ממה שנטען על ידי המתנגדים בכתבי טענותיהם: </w:t>
      </w:r>
    </w:p>
    <w:p w14:paraId="14AF59AA" w14:textId="77777777" w:rsidR="00426E0C" w:rsidRDefault="00426E0C" w:rsidP="00426E0C">
      <w:pPr>
        <w:pStyle w:val="ad"/>
        <w:spacing w:line="360" w:lineRule="auto"/>
        <w:jc w:val="both"/>
        <w:rPr>
          <w:rFonts w:ascii="David" w:hAnsi="David" w:cs="David"/>
          <w:sz w:val="24"/>
          <w:szCs w:val="24"/>
        </w:rPr>
      </w:pPr>
    </w:p>
    <w:p w14:paraId="260F938B" w14:textId="77777777" w:rsidR="00426E0C" w:rsidRDefault="008E77EA" w:rsidP="00426E0C">
      <w:pPr>
        <w:pStyle w:val="ad"/>
        <w:spacing w:line="360" w:lineRule="auto"/>
        <w:ind w:left="1440"/>
        <w:jc w:val="both"/>
        <w:rPr>
          <w:rFonts w:ascii="David" w:hAnsi="David" w:cs="David"/>
          <w:b/>
          <w:bCs/>
          <w:sz w:val="24"/>
          <w:szCs w:val="24"/>
        </w:rPr>
      </w:pPr>
      <w:r>
        <w:rPr>
          <w:rFonts w:ascii="David" w:hAnsi="David" w:cs="David"/>
          <w:b/>
          <w:bCs/>
          <w:sz w:val="24"/>
          <w:szCs w:val="24"/>
          <w:rtl/>
        </w:rPr>
        <w:t>ש. "האם אתה טוען שהיורש רימה או לא רימה?</w:t>
      </w:r>
    </w:p>
    <w:p w14:paraId="3E9C0B98" w14:textId="77777777" w:rsidR="00426E0C" w:rsidRDefault="008E77EA" w:rsidP="00426E0C">
      <w:pPr>
        <w:pStyle w:val="ad"/>
        <w:spacing w:line="360" w:lineRule="auto"/>
        <w:ind w:left="1440"/>
        <w:jc w:val="both"/>
        <w:rPr>
          <w:rFonts w:ascii="David" w:hAnsi="David" w:cs="David"/>
          <w:sz w:val="24"/>
          <w:szCs w:val="24"/>
          <w:rtl/>
        </w:rPr>
      </w:pPr>
      <w:r>
        <w:rPr>
          <w:rFonts w:ascii="David" w:hAnsi="David" w:cs="David"/>
          <w:b/>
          <w:bCs/>
          <w:sz w:val="24"/>
          <w:szCs w:val="24"/>
          <w:rtl/>
        </w:rPr>
        <w:t>ת. אין לי מחשבה כזאת. במה ירמה אותם?"</w:t>
      </w:r>
      <w:r>
        <w:rPr>
          <w:rFonts w:ascii="David" w:hAnsi="David" w:cs="David"/>
          <w:sz w:val="24"/>
          <w:szCs w:val="24"/>
          <w:rtl/>
        </w:rPr>
        <w:t xml:space="preserve"> (ראו: בעמ' 11 שורות 20-21 לפרוטוקול מיום 17.7.25). </w:t>
      </w:r>
    </w:p>
    <w:p w14:paraId="0375A6BB" w14:textId="77777777" w:rsidR="00426E0C" w:rsidRDefault="00426E0C" w:rsidP="00426E0C">
      <w:pPr>
        <w:pStyle w:val="ad"/>
        <w:rPr>
          <w:rFonts w:ascii="David" w:hAnsi="David" w:cs="David"/>
          <w:sz w:val="24"/>
          <w:szCs w:val="24"/>
        </w:rPr>
      </w:pPr>
    </w:p>
    <w:p w14:paraId="538A059C" w14:textId="77777777" w:rsidR="00426E0C" w:rsidRDefault="00426E0C" w:rsidP="00426E0C">
      <w:pPr>
        <w:pStyle w:val="ad"/>
        <w:rPr>
          <w:rFonts w:ascii="David" w:hAnsi="David" w:cs="David"/>
          <w:sz w:val="24"/>
          <w:szCs w:val="24"/>
          <w:rtl/>
        </w:rPr>
      </w:pPr>
    </w:p>
    <w:p w14:paraId="71061BEB" w14:textId="77777777" w:rsidR="00426E0C" w:rsidRDefault="008E77EA" w:rsidP="00426E0C">
      <w:pPr>
        <w:pStyle w:val="ad"/>
        <w:numPr>
          <w:ilvl w:val="0"/>
          <w:numId w:val="1"/>
        </w:numPr>
        <w:spacing w:line="360" w:lineRule="auto"/>
        <w:jc w:val="both"/>
        <w:rPr>
          <w:rFonts w:ascii="David" w:hAnsi="David" w:cs="David"/>
          <w:sz w:val="24"/>
          <w:szCs w:val="24"/>
          <w:rtl/>
        </w:rPr>
      </w:pPr>
      <w:r>
        <w:rPr>
          <w:rFonts w:ascii="David" w:hAnsi="David" w:cs="David"/>
          <w:sz w:val="24"/>
          <w:szCs w:val="24"/>
          <w:rtl/>
        </w:rPr>
        <w:t xml:space="preserve">למעלה מן הצורך יצוין, כי המתנגדים טענו לראשונה בסיכומי התשובה שהגישו, כי אין הוכחה שהחתימות על גבי הצוואה שייכות למנוחים. ואולם טענה זו לא נטענה בכתבי הטענות. מעבר לכך שמדובר בהרחבת חזית אסורה, הרי שהמתנגדים לא ביקשו למנות מומחה לכתבי יד במהלך ניהול ההליכים לצורך בדיקתה, ולא הוכיחו את הטענה כלל, ויש לדחותה.  </w:t>
      </w:r>
    </w:p>
    <w:p w14:paraId="1269F5F1" w14:textId="77777777" w:rsidR="00426E0C" w:rsidRDefault="00426E0C" w:rsidP="00426E0C">
      <w:pPr>
        <w:pStyle w:val="ad"/>
        <w:rPr>
          <w:rFonts w:ascii="David" w:hAnsi="David" w:cs="David"/>
          <w:sz w:val="24"/>
          <w:szCs w:val="24"/>
        </w:rPr>
      </w:pPr>
    </w:p>
    <w:p w14:paraId="060CE3DD" w14:textId="77777777" w:rsidR="00426E0C" w:rsidRDefault="008E77EA" w:rsidP="00426E0C">
      <w:pPr>
        <w:spacing w:line="360" w:lineRule="auto"/>
        <w:ind w:left="720"/>
        <w:contextualSpacing/>
        <w:jc w:val="both"/>
        <w:rPr>
          <w:rFonts w:ascii="David" w:hAnsi="David"/>
          <w:b/>
          <w:bCs/>
          <w:u w:val="single"/>
          <w:rtl/>
        </w:rPr>
      </w:pPr>
      <w:r>
        <w:rPr>
          <w:rFonts w:ascii="David" w:hAnsi="David"/>
          <w:b/>
          <w:bCs/>
          <w:u w:val="single"/>
          <w:rtl/>
        </w:rPr>
        <w:t>לסיכום</w:t>
      </w:r>
    </w:p>
    <w:p w14:paraId="378E4970" w14:textId="77777777" w:rsidR="00426E0C" w:rsidRDefault="00426E0C" w:rsidP="00426E0C">
      <w:pPr>
        <w:spacing w:line="360" w:lineRule="auto"/>
        <w:ind w:left="720"/>
        <w:contextualSpacing/>
        <w:jc w:val="both"/>
        <w:rPr>
          <w:rFonts w:ascii="David" w:hAnsi="David"/>
          <w:b/>
          <w:bCs/>
          <w:u w:val="single"/>
          <w:rtl/>
        </w:rPr>
      </w:pPr>
    </w:p>
    <w:p w14:paraId="68A41158" w14:textId="77777777" w:rsidR="00426E0C" w:rsidRDefault="008E77EA" w:rsidP="00426E0C">
      <w:pPr>
        <w:numPr>
          <w:ilvl w:val="0"/>
          <w:numId w:val="1"/>
        </w:numPr>
        <w:spacing w:after="160" w:line="360" w:lineRule="auto"/>
        <w:jc w:val="both"/>
        <w:rPr>
          <w:rFonts w:ascii="David" w:hAnsi="David"/>
          <w:rtl/>
        </w:rPr>
      </w:pPr>
      <w:r>
        <w:rPr>
          <w:rFonts w:ascii="David" w:hAnsi="David"/>
          <w:rtl/>
        </w:rPr>
        <w:t>התביעה לביטול הצו לקיום צוואת האב המנוח – נדחית.</w:t>
      </w:r>
    </w:p>
    <w:p w14:paraId="793A5DFE" w14:textId="77777777" w:rsidR="00426E0C" w:rsidRDefault="008E77EA" w:rsidP="00426E0C">
      <w:pPr>
        <w:spacing w:line="360" w:lineRule="auto"/>
        <w:ind w:left="720"/>
        <w:contextualSpacing/>
        <w:jc w:val="both"/>
        <w:rPr>
          <w:rFonts w:ascii="David" w:hAnsi="David"/>
        </w:rPr>
      </w:pPr>
      <w:r>
        <w:rPr>
          <w:rFonts w:ascii="David" w:hAnsi="David"/>
          <w:rtl/>
        </w:rPr>
        <w:t>ההתנגדות לקיום צוואת האם המנוחה – נדחית.</w:t>
      </w:r>
    </w:p>
    <w:p w14:paraId="4F34D13C" w14:textId="77777777" w:rsidR="00426E0C" w:rsidRDefault="008E77EA" w:rsidP="00426E0C">
      <w:pPr>
        <w:spacing w:line="360" w:lineRule="auto"/>
        <w:ind w:left="720"/>
        <w:contextualSpacing/>
        <w:jc w:val="both"/>
        <w:rPr>
          <w:rFonts w:ascii="David" w:hAnsi="David"/>
          <w:rtl/>
        </w:rPr>
      </w:pPr>
      <w:r>
        <w:rPr>
          <w:rFonts w:ascii="David" w:hAnsi="David"/>
          <w:rtl/>
        </w:rPr>
        <w:t xml:space="preserve">הבקשה לקיום צוואת האם המנוחה – מתקבלת. תוגש פסיקתא מתאימה לחתימה.  </w:t>
      </w:r>
    </w:p>
    <w:p w14:paraId="384BBD4B" w14:textId="77777777" w:rsidR="00300061" w:rsidRDefault="00300061" w:rsidP="00426E0C">
      <w:pPr>
        <w:spacing w:line="360" w:lineRule="auto"/>
        <w:ind w:left="720"/>
        <w:contextualSpacing/>
        <w:jc w:val="both"/>
        <w:rPr>
          <w:rFonts w:ascii="David" w:hAnsi="David"/>
          <w:rtl/>
        </w:rPr>
      </w:pPr>
    </w:p>
    <w:p w14:paraId="4CA9BF8F" w14:textId="77777777" w:rsidR="00300061" w:rsidRDefault="00300061" w:rsidP="00426E0C">
      <w:pPr>
        <w:spacing w:line="360" w:lineRule="auto"/>
        <w:ind w:left="720"/>
        <w:contextualSpacing/>
        <w:jc w:val="both"/>
        <w:rPr>
          <w:rFonts w:ascii="David" w:hAnsi="David"/>
          <w:rtl/>
        </w:rPr>
      </w:pPr>
    </w:p>
    <w:p w14:paraId="2726BE92" w14:textId="77777777" w:rsidR="00300061" w:rsidRDefault="00300061" w:rsidP="00426E0C">
      <w:pPr>
        <w:spacing w:line="360" w:lineRule="auto"/>
        <w:ind w:left="720"/>
        <w:contextualSpacing/>
        <w:jc w:val="both"/>
        <w:rPr>
          <w:rFonts w:ascii="David" w:hAnsi="David"/>
          <w:rtl/>
        </w:rPr>
      </w:pPr>
    </w:p>
    <w:p w14:paraId="1469B6EA" w14:textId="77777777" w:rsidR="00300061" w:rsidRDefault="00300061" w:rsidP="00426E0C">
      <w:pPr>
        <w:spacing w:line="360" w:lineRule="auto"/>
        <w:ind w:left="720"/>
        <w:contextualSpacing/>
        <w:jc w:val="both"/>
        <w:rPr>
          <w:rFonts w:ascii="David" w:hAnsi="David"/>
        </w:rPr>
      </w:pPr>
    </w:p>
    <w:p w14:paraId="369AFA9D" w14:textId="77777777" w:rsidR="00426E0C" w:rsidRDefault="00426E0C" w:rsidP="00426E0C">
      <w:pPr>
        <w:spacing w:line="360" w:lineRule="auto"/>
        <w:ind w:left="720"/>
        <w:contextualSpacing/>
        <w:jc w:val="both"/>
        <w:rPr>
          <w:rFonts w:ascii="David" w:hAnsi="David"/>
        </w:rPr>
      </w:pPr>
    </w:p>
    <w:p w14:paraId="728D1713" w14:textId="77777777" w:rsidR="00426E0C" w:rsidRDefault="008E77EA" w:rsidP="00426E0C">
      <w:pPr>
        <w:pStyle w:val="ad"/>
        <w:numPr>
          <w:ilvl w:val="0"/>
          <w:numId w:val="1"/>
        </w:numPr>
        <w:spacing w:line="360" w:lineRule="auto"/>
        <w:jc w:val="both"/>
        <w:rPr>
          <w:rFonts w:ascii="David" w:hAnsi="David" w:cs="David"/>
          <w:sz w:val="24"/>
          <w:szCs w:val="24"/>
        </w:rPr>
      </w:pPr>
      <w:r>
        <w:rPr>
          <w:rFonts w:ascii="David" w:hAnsi="David" w:cs="David"/>
          <w:sz w:val="24"/>
          <w:szCs w:val="24"/>
          <w:rtl/>
        </w:rPr>
        <w:t>נוכח התוצאה אליה הגעתי, המתנגד</w:t>
      </w:r>
      <w:r w:rsidR="00EB6922">
        <w:rPr>
          <w:rFonts w:ascii="David" w:hAnsi="David" w:cs="David"/>
          <w:sz w:val="24"/>
          <w:szCs w:val="24"/>
          <w:rtl/>
        </w:rPr>
        <w:t xml:space="preserve">ים יישאו בתשלום הוצאות המבקשים </w:t>
      </w:r>
      <w:r>
        <w:rPr>
          <w:rFonts w:ascii="David" w:hAnsi="David" w:cs="David"/>
          <w:sz w:val="24"/>
          <w:szCs w:val="24"/>
          <w:rtl/>
        </w:rPr>
        <w:t>בסך 20,000 ₪ שישולמו תוך 30 יום מהיום.</w:t>
      </w:r>
    </w:p>
    <w:p w14:paraId="29BB1D07" w14:textId="77777777" w:rsidR="003A3CB9" w:rsidRDefault="003A3CB9" w:rsidP="003A3CB9">
      <w:pPr>
        <w:pStyle w:val="ad"/>
        <w:spacing w:line="360" w:lineRule="auto"/>
        <w:jc w:val="both"/>
        <w:rPr>
          <w:rFonts w:ascii="David" w:hAnsi="David" w:cs="David"/>
          <w:sz w:val="24"/>
          <w:szCs w:val="24"/>
          <w:rtl/>
        </w:rPr>
      </w:pPr>
    </w:p>
    <w:p w14:paraId="0A556964" w14:textId="77777777" w:rsidR="003A3CB9" w:rsidRDefault="003A3CB9" w:rsidP="003A3CB9">
      <w:pPr>
        <w:pStyle w:val="ad"/>
        <w:spacing w:line="360" w:lineRule="auto"/>
        <w:jc w:val="both"/>
        <w:rPr>
          <w:rFonts w:ascii="David" w:hAnsi="David" w:cs="David"/>
          <w:sz w:val="24"/>
          <w:szCs w:val="24"/>
          <w:rtl/>
        </w:rPr>
      </w:pPr>
      <w:r>
        <w:rPr>
          <w:rFonts w:ascii="David" w:hAnsi="David" w:cs="David" w:hint="cs"/>
          <w:sz w:val="24"/>
          <w:szCs w:val="24"/>
          <w:rtl/>
        </w:rPr>
        <w:t>פסק הדין מותר לפרסום בהשמטת פרטים מזהים.</w:t>
      </w:r>
    </w:p>
    <w:p w14:paraId="09B8DEA0" w14:textId="77777777" w:rsidR="00426E0C" w:rsidRDefault="00426E0C" w:rsidP="00426E0C">
      <w:pPr>
        <w:spacing w:line="360" w:lineRule="auto"/>
        <w:ind w:left="720"/>
        <w:contextualSpacing/>
        <w:jc w:val="both"/>
        <w:rPr>
          <w:rFonts w:ascii="David" w:hAnsi="David"/>
          <w:rtl/>
        </w:rPr>
      </w:pPr>
    </w:p>
    <w:p w14:paraId="14414392" w14:textId="77777777" w:rsidR="00426E0C" w:rsidRDefault="008E77EA" w:rsidP="00426E0C">
      <w:pPr>
        <w:spacing w:line="360" w:lineRule="auto"/>
        <w:ind w:left="720"/>
        <w:contextualSpacing/>
        <w:jc w:val="both"/>
        <w:rPr>
          <w:rFonts w:ascii="David" w:hAnsi="David"/>
          <w:b/>
          <w:bCs/>
          <w:u w:val="single"/>
          <w:rtl/>
        </w:rPr>
      </w:pPr>
      <w:r>
        <w:rPr>
          <w:rFonts w:ascii="David" w:hAnsi="David"/>
          <w:b/>
          <w:bCs/>
          <w:u w:val="single"/>
          <w:rtl/>
        </w:rPr>
        <w:t xml:space="preserve">תואיל המזכירות להמציא עותק מפסק הדין לצדדים ולסגור את התיקים. </w:t>
      </w:r>
    </w:p>
    <w:p w14:paraId="26C9E84B" w14:textId="77777777" w:rsidR="00426E0C" w:rsidRDefault="00426E0C" w:rsidP="00426E0C">
      <w:pPr>
        <w:spacing w:line="360" w:lineRule="auto"/>
        <w:ind w:left="720"/>
        <w:contextualSpacing/>
        <w:jc w:val="both"/>
        <w:rPr>
          <w:rFonts w:ascii="David" w:hAnsi="David"/>
          <w:rtl/>
        </w:rPr>
      </w:pPr>
    </w:p>
    <w:p w14:paraId="2AE15E30" w14:textId="77777777" w:rsidR="00694556" w:rsidRDefault="00694556">
      <w:pPr>
        <w:spacing w:line="360" w:lineRule="auto"/>
        <w:jc w:val="both"/>
        <w:rPr>
          <w:rFonts w:ascii="Arial" w:hAnsi="Arial"/>
          <w:noProof w:val="0"/>
          <w:rtl/>
        </w:rPr>
      </w:pPr>
    </w:p>
    <w:p w14:paraId="22E72238" w14:textId="77777777" w:rsidR="00694556" w:rsidRDefault="008E77EA">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Content>
          <w:r>
            <w:rPr>
              <w:rtl/>
            </w:rPr>
            <w:t>כ"ו אייר תשפ"ו</w:t>
          </w:r>
        </w:sdtContent>
      </w:sdt>
      <w:r>
        <w:rPr>
          <w:rFonts w:ascii="Arial" w:hAnsi="Arial"/>
          <w:noProof w:val="0"/>
          <w:rtl/>
        </w:rPr>
        <w:t xml:space="preserve">, </w:t>
      </w:r>
      <w:sdt>
        <w:sdtPr>
          <w:rPr>
            <w:rtl/>
          </w:rPr>
          <w:alias w:val="1456"/>
          <w:tag w:val="1456"/>
          <w:id w:val="-1101635932"/>
          <w:text w:multiLine="1"/>
        </w:sdtPr>
        <w:sdtContent>
          <w:r>
            <w:rPr>
              <w:rtl/>
            </w:rPr>
            <w:t>13 מאי 2026</w:t>
          </w:r>
        </w:sdtContent>
      </w:sdt>
      <w:r>
        <w:rPr>
          <w:rFonts w:ascii="Arial" w:hAnsi="Arial"/>
          <w:noProof w:val="0"/>
          <w:rtl/>
        </w:rPr>
        <w:t>, בהעדר הצדדים.</w:t>
      </w:r>
    </w:p>
    <w:p w14:paraId="18187C76" w14:textId="77777777" w:rsidR="007A6DB1" w:rsidRDefault="007A6DB1">
      <w:pPr>
        <w:spacing w:line="360" w:lineRule="auto"/>
        <w:jc w:val="both"/>
        <w:rPr>
          <w:rFonts w:ascii="Arial" w:hAnsi="Arial"/>
          <w:noProof w:val="0"/>
          <w:rtl/>
        </w:rPr>
      </w:pPr>
    </w:p>
    <w:p w14:paraId="7E6B8498" w14:textId="77777777" w:rsidR="007A6DB1" w:rsidRPr="007A6DB1" w:rsidRDefault="007A6DB1" w:rsidP="007A6DB1">
      <w:pPr>
        <w:rPr>
          <w:rFonts w:ascii="Arial" w:hAnsi="Arial"/>
          <w:rtl/>
        </w:rPr>
      </w:pPr>
    </w:p>
    <w:p w14:paraId="7DCAB13A" w14:textId="77777777" w:rsidR="0018072B" w:rsidRPr="007A6DB1" w:rsidRDefault="007A6DB1" w:rsidP="007A6DB1">
      <w:pPr>
        <w:tabs>
          <w:tab w:val="left" w:pos="2710"/>
        </w:tabs>
        <w:rPr>
          <w:rFonts w:ascii="Arial" w:hAnsi="Arial"/>
          <w:rtl/>
        </w:rPr>
      </w:pPr>
      <w:r>
        <w:rPr>
          <w:rFonts w:ascii="Arial" w:hAnsi="Arial"/>
          <w:rtl/>
        </w:rPr>
        <w:tab/>
      </w:r>
    </w:p>
    <w:p w14:paraId="63FE0191" w14:textId="77777777" w:rsidR="0018072B" w:rsidRDefault="0018072B">
      <w:pPr>
        <w:spacing w:line="360" w:lineRule="auto"/>
        <w:jc w:val="both"/>
        <w:rPr>
          <w:rFonts w:ascii="Arial" w:hAnsi="Arial"/>
          <w:noProof w:val="0"/>
        </w:rPr>
      </w:pP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drawing>
          <wp:inline distT="0" distB="0" distL="0" distR="0" wp14:anchorId="2A041BEC" wp14:editId="7AAFEA79">
            <wp:extent cx="1076325" cy="504824"/>
            <wp:effectExtent l="0" t="0" r="0" b="0"/>
            <wp:docPr id="88787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78773" name="Image12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504824"/>
                    </a:xfrm>
                    <a:prstGeom prst="rect">
                      <a:avLst/>
                    </a:prstGeom>
                  </pic:spPr>
                </pic:pic>
              </a:graphicData>
            </a:graphic>
          </wp:inline>
        </w:drawing>
      </w:r>
    </w:p>
    <w:p w14:paraId="228F0F7D" w14:textId="77777777" w:rsidR="00300061" w:rsidRDefault="00300061">
      <w:pPr>
        <w:spacing w:line="360" w:lineRule="auto"/>
        <w:jc w:val="both"/>
        <w:rPr>
          <w:rFonts w:ascii="Arial" w:hAnsi="Arial"/>
          <w:noProof w:val="0"/>
          <w:rtl/>
        </w:rPr>
      </w:pPr>
    </w:p>
    <w:p w14:paraId="6551F2E5" w14:textId="77777777" w:rsidR="005B0F49" w:rsidRDefault="008E77EA"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14:paraId="13E015C8" w14:textId="77777777" w:rsidR="00B50B9C" w:rsidRDefault="00000000">
      <w:sdt>
        <w:sdtPr>
          <w:rPr>
            <w:rtl/>
          </w:rPr>
          <w:alias w:val="MergeField"/>
          <w:tag w:val="1237"/>
          <w:id w:val="232995057"/>
          <w:showingPlcHdr/>
        </w:sdtPr>
        <w:sdtContent>
          <w:r w:rsidR="0018072B">
            <w:rPr>
              <w:rtl/>
            </w:rPr>
            <w:t xml:space="preserve">     </w:t>
          </w:r>
        </w:sdtContent>
      </w:sdt>
    </w:p>
    <w:p w14:paraId="16B0644A" w14:textId="77777777" w:rsidR="00694556" w:rsidRDefault="00694556" w:rsidP="00633C4F">
      <w:pPr>
        <w:spacing w:line="360" w:lineRule="auto"/>
        <w:ind w:left="3600" w:firstLine="720"/>
        <w:rPr>
          <w:rFonts w:ascii="Arial" w:hAnsi="Arial"/>
          <w:noProof w:val="0"/>
          <w:rtl/>
        </w:rPr>
      </w:pPr>
    </w:p>
    <w:p w14:paraId="08041B11" w14:textId="77777777" w:rsidR="00694556" w:rsidRDefault="00694556">
      <w:pPr>
        <w:spacing w:line="360" w:lineRule="auto"/>
        <w:jc w:val="both"/>
        <w:rPr>
          <w:rFonts w:ascii="Arial" w:hAnsi="Arial"/>
          <w:noProof w:val="0"/>
          <w:rtl/>
        </w:rPr>
      </w:pPr>
    </w:p>
    <w:p w14:paraId="208F06C9" w14:textId="77777777" w:rsidR="00694556" w:rsidRDefault="00694556">
      <w:pPr>
        <w:spacing w:line="360" w:lineRule="auto"/>
        <w:jc w:val="both"/>
        <w:rPr>
          <w:rFonts w:ascii="Arial" w:hAnsi="Arial"/>
          <w:noProof w:val="0"/>
          <w:rtl/>
        </w:rPr>
      </w:pPr>
    </w:p>
    <w:sectPr w:rsidR="00694556" w:rsidSect="00903896">
      <w:headerReference w:type="even" r:id="rId9"/>
      <w:headerReference w:type="default" r:id="rId10"/>
      <w:footerReference w:type="even" r:id="rId11"/>
      <w:footerReference w:type="default" r:id="rId12"/>
      <w:headerReference w:type="first" r:id="rId13"/>
      <w:footerReference w:type="first" r:id="rId14"/>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9E63" w14:textId="77777777" w:rsidR="00FD6464" w:rsidRDefault="00FD6464">
      <w:r>
        <w:separator/>
      </w:r>
    </w:p>
  </w:endnote>
  <w:endnote w:type="continuationSeparator" w:id="0">
    <w:p w14:paraId="3D0022C8" w14:textId="77777777" w:rsidR="00FD6464" w:rsidRDefault="00FD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BA0C" w14:textId="77777777" w:rsidR="008E77EA" w:rsidRDefault="008E77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8CDA" w14:textId="77777777" w:rsidR="00694556" w:rsidRPr="004E6E3C" w:rsidRDefault="008E77EA">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5A3623">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5A3623">
      <w:rPr>
        <w:rStyle w:val="ab"/>
        <w:rtl/>
      </w:rPr>
      <w:t>23</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CF99" w14:textId="77777777" w:rsidR="008E77EA" w:rsidRDefault="008E77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8AB9" w14:textId="77777777" w:rsidR="00FD6464" w:rsidRDefault="00FD6464">
      <w:r>
        <w:separator/>
      </w:r>
    </w:p>
  </w:footnote>
  <w:footnote w:type="continuationSeparator" w:id="0">
    <w:p w14:paraId="785B379A" w14:textId="77777777" w:rsidR="00FD6464" w:rsidRDefault="00FD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C4DE" w14:textId="77777777" w:rsidR="008E77EA" w:rsidRDefault="008E77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20A" w14:textId="77777777" w:rsidR="00694556" w:rsidRDefault="00000000">
    <w:pPr>
      <w:pStyle w:val="a3"/>
      <w:jc w:val="center"/>
      <w:rPr>
        <w:rFonts w:cs="FrankRuehl"/>
        <w:noProof w:val="0"/>
        <w:sz w:val="28"/>
        <w:szCs w:val="28"/>
        <w:rtl/>
      </w:rPr>
    </w:pPr>
    <w:r>
      <w:rPr>
        <w:rFonts w:cs="FrankRuehl"/>
        <w:sz w:val="28"/>
        <w:szCs w:val="28"/>
        <w:rtl/>
      </w:rPr>
      <w:pict w14:anchorId="3F4B2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4" type="#_x0000_t136" style="position:absolute;left:0;text-align:left;margin-left:0;margin-top:0;width:406.1pt;height:81.2pt;rotation:315;z-index:251658240;mso-position-horizontal:center;mso-position-horizontal-relative:margin;mso-position-vertical:center;mso-position-vertical-relative:margin" fillcolor="silver" stroked="f">
          <v:fill opacity=".5"/>
          <v:stroke r:id="rId1" o:title=""/>
          <v:shadow color="#868686"/>
          <v:textpath style="font-family:&quot;Times New Roman&quot;;font-size:1pt;v-text-kern:t" trim="t" fitpath="t" string="העתק החלטה"/>
          <o:lock v:ext="edit" aspectratio="t"/>
          <w10:wrap anchorx="page" anchory="margin"/>
        </v:shape>
      </w:pict>
    </w:r>
    <w:r w:rsidR="001277D7">
      <w:rPr>
        <w:rFonts w:cs="FrankRuehl"/>
        <w:sz w:val="28"/>
        <w:szCs w:val="28"/>
      </w:rPr>
      <w:drawing>
        <wp:inline distT="0" distB="0" distL="0" distR="0" wp14:anchorId="41136DE7" wp14:editId="216C1FF8">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ישראל - המנורה -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4"/>
      <w:gridCol w:w="3581"/>
    </w:tblGrid>
    <w:tr w:rsidR="00B50B9C" w14:paraId="768BB7F2" w14:textId="77777777" w:rsidTr="00426E0C">
      <w:trPr>
        <w:trHeight w:hRule="exact" w:val="670"/>
        <w:jc w:val="center"/>
      </w:trPr>
      <w:sdt>
        <w:sdtPr>
          <w:rPr>
            <w:rtl/>
          </w:rPr>
          <w:alias w:val="1174"/>
          <w:tag w:val="1174"/>
          <w:id w:val="-1775709220"/>
          <w:text/>
        </w:sdtPr>
        <w:sdtContent>
          <w:tc>
            <w:tcPr>
              <w:tcW w:w="8505" w:type="dxa"/>
              <w:gridSpan w:val="2"/>
            </w:tcPr>
            <w:p w14:paraId="0F0CBBC2" w14:textId="77777777" w:rsidR="00694556" w:rsidRDefault="008E77EA">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בראשון לציון</w:t>
              </w:r>
            </w:p>
          </w:tc>
        </w:sdtContent>
      </w:sdt>
    </w:tr>
    <w:tr w:rsidR="00B50B9C" w14:paraId="6554AC37" w14:textId="77777777" w:rsidTr="00426E0C">
      <w:trPr>
        <w:trHeight w:val="337"/>
        <w:jc w:val="center"/>
      </w:trPr>
      <w:tc>
        <w:tcPr>
          <w:tcW w:w="4924" w:type="dxa"/>
        </w:tcPr>
        <w:p w14:paraId="691CC123" w14:textId="77777777" w:rsidR="00694556" w:rsidRDefault="00694556">
          <w:pPr>
            <w:rPr>
              <w:b/>
              <w:bCs/>
              <w:noProof w:val="0"/>
              <w:sz w:val="26"/>
              <w:szCs w:val="26"/>
              <w:rtl/>
            </w:rPr>
          </w:pPr>
        </w:p>
      </w:tc>
      <w:tc>
        <w:tcPr>
          <w:tcW w:w="3581" w:type="dxa"/>
        </w:tcPr>
        <w:p w14:paraId="0F2A503B" w14:textId="77777777" w:rsidR="00694556" w:rsidRDefault="00694556">
          <w:pPr>
            <w:pStyle w:val="a3"/>
            <w:jc w:val="right"/>
            <w:rPr>
              <w:b/>
              <w:bCs/>
              <w:noProof w:val="0"/>
              <w:sz w:val="26"/>
              <w:szCs w:val="26"/>
              <w:rtl/>
            </w:rPr>
          </w:pPr>
        </w:p>
      </w:tc>
    </w:tr>
    <w:tr w:rsidR="00B50B9C" w14:paraId="7E00BF8E" w14:textId="77777777" w:rsidTr="00426E0C">
      <w:trPr>
        <w:trHeight w:val="337"/>
        <w:jc w:val="center"/>
      </w:trPr>
      <w:tc>
        <w:tcPr>
          <w:tcW w:w="8505" w:type="dxa"/>
          <w:gridSpan w:val="2"/>
        </w:tcPr>
        <w:p w14:paraId="7C5FB070" w14:textId="77777777" w:rsidR="00957C90" w:rsidRPr="00A76193" w:rsidRDefault="00000000" w:rsidP="001E28D5">
          <w:pPr>
            <w:rPr>
              <w:b/>
              <w:bCs/>
              <w:noProof w:val="0"/>
              <w:sz w:val="26"/>
              <w:szCs w:val="26"/>
              <w:rtl/>
            </w:rPr>
          </w:pPr>
          <w:sdt>
            <w:sdtPr>
              <w:rPr>
                <w:b/>
                <w:bCs/>
                <w:noProof w:val="0"/>
                <w:sz w:val="26"/>
                <w:szCs w:val="26"/>
                <w:rtl/>
              </w:rPr>
              <w:alias w:val="1170"/>
              <w:tag w:val="1170"/>
              <w:id w:val="299038016"/>
              <w:text w:multiLine="1"/>
            </w:sdtPr>
            <w:sdtContent>
              <w:r w:rsidR="008E77EA">
                <w:rPr>
                  <w:b/>
                  <w:bCs/>
                  <w:noProof w:val="0"/>
                  <w:sz w:val="26"/>
                  <w:szCs w:val="26"/>
                  <w:rtl/>
                </w:rPr>
                <w:t>ת"ע</w:t>
              </w:r>
            </w:sdtContent>
          </w:sdt>
          <w:r w:rsidR="00005C8B" w:rsidRPr="00A76193">
            <w:rPr>
              <w:b/>
              <w:bCs/>
              <w:noProof w:val="0"/>
              <w:sz w:val="26"/>
              <w:szCs w:val="26"/>
              <w:rtl/>
            </w:rPr>
            <w:t xml:space="preserve"> </w:t>
          </w:r>
          <w:sdt>
            <w:sdtPr>
              <w:rPr>
                <w:b/>
                <w:bCs/>
                <w:noProof w:val="0"/>
                <w:sz w:val="26"/>
                <w:szCs w:val="26"/>
                <w:rtl/>
              </w:rPr>
              <w:alias w:val="1171"/>
              <w:tag w:val="1171"/>
              <w:id w:val="81650337"/>
              <w:text w:multiLine="1"/>
            </w:sdtPr>
            <w:sdtContent>
              <w:r w:rsidR="008E77EA">
                <w:rPr>
                  <w:b/>
                  <w:bCs/>
                  <w:noProof w:val="0"/>
                  <w:sz w:val="26"/>
                  <w:szCs w:val="26"/>
                  <w:rtl/>
                </w:rPr>
                <w:t>65329-04-21</w:t>
              </w:r>
            </w:sdtContent>
          </w:sdt>
          <w:r w:rsidR="00005C8B" w:rsidRPr="00A76193">
            <w:rPr>
              <w:b/>
              <w:bCs/>
              <w:noProof w:val="0"/>
              <w:sz w:val="26"/>
              <w:szCs w:val="26"/>
              <w:rtl/>
            </w:rPr>
            <w:t xml:space="preserve"> </w:t>
          </w:r>
          <w:sdt>
            <w:sdtPr>
              <w:rPr>
                <w:b/>
                <w:bCs/>
                <w:sz w:val="26"/>
                <w:szCs w:val="26"/>
                <w:rtl/>
              </w:rPr>
              <w:alias w:val="1172"/>
              <w:tag w:val="1172"/>
              <w:id w:val="133921146"/>
              <w:text w:multiLine="1"/>
            </w:sdtPr>
            <w:sdtContent>
              <w:r w:rsidR="00A76193" w:rsidRPr="00A76193">
                <w:rPr>
                  <w:b/>
                  <w:bCs/>
                  <w:sz w:val="26"/>
                  <w:szCs w:val="26"/>
                  <w:rtl/>
                </w:rPr>
                <w:t>המתנגדים ואח' נ' האפוטרופוס הכללי במחוז תל-אביב ואח'</w:t>
              </w:r>
              <w:r w:rsidR="00A76193">
                <w:rPr>
                  <w:b/>
                  <w:bCs/>
                  <w:sz w:val="26"/>
                  <w:szCs w:val="26"/>
                  <w:rtl/>
                </w:rPr>
                <w:br/>
              </w:r>
              <w:r w:rsidR="00A76193">
                <w:rPr>
                  <w:rFonts w:hint="cs"/>
                  <w:b/>
                  <w:bCs/>
                  <w:sz w:val="26"/>
                  <w:szCs w:val="26"/>
                  <w:rtl/>
                </w:rPr>
                <w:t>ת"ע 65295-04-21</w:t>
              </w:r>
              <w:r w:rsidR="00A76193" w:rsidRPr="00A76193">
                <w:rPr>
                  <w:b/>
                  <w:bCs/>
                  <w:sz w:val="26"/>
                  <w:szCs w:val="26"/>
                  <w:rtl/>
                </w:rPr>
                <w:br/>
                <w:t xml:space="preserve">ת"ע 29623-06-21 </w:t>
              </w:r>
              <w:r w:rsidR="00A76193" w:rsidRPr="00A76193">
                <w:rPr>
                  <w:b/>
                  <w:bCs/>
                  <w:sz w:val="26"/>
                  <w:szCs w:val="26"/>
                  <w:rtl/>
                </w:rPr>
                <w:br/>
              </w:r>
              <w:r w:rsidR="00A76193" w:rsidRPr="00A76193">
                <w:rPr>
                  <w:b/>
                  <w:bCs/>
                  <w:sz w:val="26"/>
                  <w:szCs w:val="26"/>
                  <w:rtl/>
                </w:rPr>
                <w:br/>
                <w:t xml:space="preserve"> </w:t>
              </w:r>
            </w:sdtContent>
          </w:sdt>
        </w:p>
      </w:tc>
    </w:tr>
  </w:tbl>
  <w:p w14:paraId="7DC1A8FD" w14:textId="77777777" w:rsidR="001E28D5" w:rsidRDefault="001E28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CC69" w14:textId="77777777" w:rsidR="008E77EA" w:rsidRDefault="008E77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4EA7"/>
    <w:multiLevelType w:val="hybridMultilevel"/>
    <w:tmpl w:val="CC52ED6A"/>
    <w:lvl w:ilvl="0" w:tplc="1E72646A">
      <w:start w:val="1"/>
      <w:numFmt w:val="hebrew1"/>
      <w:lvlText w:val="%1."/>
      <w:lvlJc w:val="left"/>
      <w:pPr>
        <w:ind w:left="1800" w:hanging="360"/>
      </w:pPr>
    </w:lvl>
    <w:lvl w:ilvl="1" w:tplc="D55EF470">
      <w:start w:val="1"/>
      <w:numFmt w:val="lowerLetter"/>
      <w:lvlText w:val="%2."/>
      <w:lvlJc w:val="left"/>
      <w:pPr>
        <w:ind w:left="2520" w:hanging="360"/>
      </w:pPr>
    </w:lvl>
    <w:lvl w:ilvl="2" w:tplc="FCA867B8">
      <w:start w:val="1"/>
      <w:numFmt w:val="lowerRoman"/>
      <w:lvlText w:val="%3."/>
      <w:lvlJc w:val="right"/>
      <w:pPr>
        <w:ind w:left="3240" w:hanging="180"/>
      </w:pPr>
    </w:lvl>
    <w:lvl w:ilvl="3" w:tplc="65E44B9C">
      <w:start w:val="1"/>
      <w:numFmt w:val="decimal"/>
      <w:lvlText w:val="%4."/>
      <w:lvlJc w:val="left"/>
      <w:pPr>
        <w:ind w:left="3960" w:hanging="360"/>
      </w:pPr>
    </w:lvl>
    <w:lvl w:ilvl="4" w:tplc="FE361E2A">
      <w:start w:val="1"/>
      <w:numFmt w:val="lowerLetter"/>
      <w:lvlText w:val="%5."/>
      <w:lvlJc w:val="left"/>
      <w:pPr>
        <w:ind w:left="4680" w:hanging="360"/>
      </w:pPr>
    </w:lvl>
    <w:lvl w:ilvl="5" w:tplc="B3D0D470">
      <w:start w:val="1"/>
      <w:numFmt w:val="lowerRoman"/>
      <w:lvlText w:val="%6."/>
      <w:lvlJc w:val="right"/>
      <w:pPr>
        <w:ind w:left="5400" w:hanging="180"/>
      </w:pPr>
    </w:lvl>
    <w:lvl w:ilvl="6" w:tplc="7D6404DE">
      <w:start w:val="1"/>
      <w:numFmt w:val="decimal"/>
      <w:lvlText w:val="%7."/>
      <w:lvlJc w:val="left"/>
      <w:pPr>
        <w:ind w:left="6120" w:hanging="360"/>
      </w:pPr>
    </w:lvl>
    <w:lvl w:ilvl="7" w:tplc="375C1334">
      <w:start w:val="1"/>
      <w:numFmt w:val="lowerLetter"/>
      <w:lvlText w:val="%8."/>
      <w:lvlJc w:val="left"/>
      <w:pPr>
        <w:ind w:left="6840" w:hanging="360"/>
      </w:pPr>
    </w:lvl>
    <w:lvl w:ilvl="8" w:tplc="F40CFDB4">
      <w:start w:val="1"/>
      <w:numFmt w:val="lowerRoman"/>
      <w:lvlText w:val="%9."/>
      <w:lvlJc w:val="right"/>
      <w:pPr>
        <w:ind w:left="7560" w:hanging="180"/>
      </w:pPr>
    </w:lvl>
  </w:abstractNum>
  <w:abstractNum w:abstractNumId="1" w15:restartNumberingAfterBreak="0">
    <w:nsid w:val="41301AA6"/>
    <w:multiLevelType w:val="hybridMultilevel"/>
    <w:tmpl w:val="03E24E52"/>
    <w:lvl w:ilvl="0" w:tplc="B2BC6614">
      <w:start w:val="1"/>
      <w:numFmt w:val="decimal"/>
      <w:lvlText w:val="%1."/>
      <w:lvlJc w:val="left"/>
      <w:pPr>
        <w:ind w:left="720" w:hanging="360"/>
      </w:pPr>
    </w:lvl>
    <w:lvl w:ilvl="1" w:tplc="80781482">
      <w:start w:val="1"/>
      <w:numFmt w:val="lowerLetter"/>
      <w:lvlText w:val="%2."/>
      <w:lvlJc w:val="left"/>
      <w:pPr>
        <w:ind w:left="1440" w:hanging="360"/>
      </w:pPr>
    </w:lvl>
    <w:lvl w:ilvl="2" w:tplc="2F4CCCEE">
      <w:start w:val="1"/>
      <w:numFmt w:val="lowerRoman"/>
      <w:lvlText w:val="%3."/>
      <w:lvlJc w:val="right"/>
      <w:pPr>
        <w:ind w:left="2160" w:hanging="180"/>
      </w:pPr>
    </w:lvl>
    <w:lvl w:ilvl="3" w:tplc="5314A252">
      <w:start w:val="1"/>
      <w:numFmt w:val="decimal"/>
      <w:lvlText w:val="%4."/>
      <w:lvlJc w:val="left"/>
      <w:pPr>
        <w:ind w:left="2880" w:hanging="360"/>
      </w:pPr>
    </w:lvl>
    <w:lvl w:ilvl="4" w:tplc="B92C48B2">
      <w:start w:val="1"/>
      <w:numFmt w:val="lowerLetter"/>
      <w:lvlText w:val="%5."/>
      <w:lvlJc w:val="left"/>
      <w:pPr>
        <w:ind w:left="3600" w:hanging="360"/>
      </w:pPr>
    </w:lvl>
    <w:lvl w:ilvl="5" w:tplc="2BFCE526">
      <w:start w:val="1"/>
      <w:numFmt w:val="lowerRoman"/>
      <w:lvlText w:val="%6."/>
      <w:lvlJc w:val="right"/>
      <w:pPr>
        <w:ind w:left="4320" w:hanging="180"/>
      </w:pPr>
    </w:lvl>
    <w:lvl w:ilvl="6" w:tplc="7F4E4BA8">
      <w:start w:val="1"/>
      <w:numFmt w:val="decimal"/>
      <w:lvlText w:val="%7."/>
      <w:lvlJc w:val="left"/>
      <w:pPr>
        <w:ind w:left="5040" w:hanging="360"/>
      </w:pPr>
    </w:lvl>
    <w:lvl w:ilvl="7" w:tplc="D2521608">
      <w:start w:val="1"/>
      <w:numFmt w:val="lowerLetter"/>
      <w:lvlText w:val="%8."/>
      <w:lvlJc w:val="left"/>
      <w:pPr>
        <w:ind w:left="5760" w:hanging="360"/>
      </w:pPr>
    </w:lvl>
    <w:lvl w:ilvl="8" w:tplc="93F46B38">
      <w:start w:val="1"/>
      <w:numFmt w:val="lowerRoman"/>
      <w:lvlText w:val="%9."/>
      <w:lvlJc w:val="right"/>
      <w:pPr>
        <w:ind w:left="6480" w:hanging="180"/>
      </w:pPr>
    </w:lvl>
  </w:abstractNum>
  <w:abstractNum w:abstractNumId="2" w15:restartNumberingAfterBreak="0">
    <w:nsid w:val="52555A3C"/>
    <w:multiLevelType w:val="hybridMultilevel"/>
    <w:tmpl w:val="C65AEF82"/>
    <w:lvl w:ilvl="0" w:tplc="90907E92">
      <w:start w:val="1"/>
      <w:numFmt w:val="hebrew1"/>
      <w:lvlText w:val="%1."/>
      <w:lvlJc w:val="left"/>
      <w:pPr>
        <w:ind w:left="1080" w:hanging="360"/>
      </w:pPr>
    </w:lvl>
    <w:lvl w:ilvl="1" w:tplc="48CC37A4">
      <w:start w:val="1"/>
      <w:numFmt w:val="lowerLetter"/>
      <w:lvlText w:val="%2."/>
      <w:lvlJc w:val="left"/>
      <w:pPr>
        <w:ind w:left="1800" w:hanging="360"/>
      </w:pPr>
    </w:lvl>
    <w:lvl w:ilvl="2" w:tplc="E48C9478">
      <w:start w:val="1"/>
      <w:numFmt w:val="lowerRoman"/>
      <w:lvlText w:val="%3."/>
      <w:lvlJc w:val="right"/>
      <w:pPr>
        <w:ind w:left="2520" w:hanging="180"/>
      </w:pPr>
    </w:lvl>
    <w:lvl w:ilvl="3" w:tplc="62FCD498">
      <w:start w:val="1"/>
      <w:numFmt w:val="decimal"/>
      <w:lvlText w:val="%4."/>
      <w:lvlJc w:val="left"/>
      <w:pPr>
        <w:ind w:left="3240" w:hanging="360"/>
      </w:pPr>
    </w:lvl>
    <w:lvl w:ilvl="4" w:tplc="5DA28FC2">
      <w:start w:val="1"/>
      <w:numFmt w:val="lowerLetter"/>
      <w:lvlText w:val="%5."/>
      <w:lvlJc w:val="left"/>
      <w:pPr>
        <w:ind w:left="3960" w:hanging="360"/>
      </w:pPr>
    </w:lvl>
    <w:lvl w:ilvl="5" w:tplc="A28433B0">
      <w:start w:val="1"/>
      <w:numFmt w:val="lowerRoman"/>
      <w:lvlText w:val="%6."/>
      <w:lvlJc w:val="right"/>
      <w:pPr>
        <w:ind w:left="4680" w:hanging="180"/>
      </w:pPr>
    </w:lvl>
    <w:lvl w:ilvl="6" w:tplc="36E8E1C8">
      <w:start w:val="1"/>
      <w:numFmt w:val="decimal"/>
      <w:lvlText w:val="%7."/>
      <w:lvlJc w:val="left"/>
      <w:pPr>
        <w:ind w:left="5400" w:hanging="360"/>
      </w:pPr>
    </w:lvl>
    <w:lvl w:ilvl="7" w:tplc="5A5046F6">
      <w:start w:val="1"/>
      <w:numFmt w:val="lowerLetter"/>
      <w:lvlText w:val="%8."/>
      <w:lvlJc w:val="left"/>
      <w:pPr>
        <w:ind w:left="6120" w:hanging="360"/>
      </w:pPr>
    </w:lvl>
    <w:lvl w:ilvl="8" w:tplc="C2EED7AA">
      <w:start w:val="1"/>
      <w:numFmt w:val="lowerRoman"/>
      <w:lvlText w:val="%9."/>
      <w:lvlJc w:val="right"/>
      <w:pPr>
        <w:ind w:left="6840" w:hanging="180"/>
      </w:pPr>
    </w:lvl>
  </w:abstractNum>
  <w:abstractNum w:abstractNumId="3" w15:restartNumberingAfterBreak="0">
    <w:nsid w:val="5D2E68AB"/>
    <w:multiLevelType w:val="hybridMultilevel"/>
    <w:tmpl w:val="F80EB7A8"/>
    <w:lvl w:ilvl="0" w:tplc="6CCEA14A">
      <w:start w:val="1"/>
      <w:numFmt w:val="hebrew1"/>
      <w:lvlText w:val="%1."/>
      <w:lvlJc w:val="left"/>
      <w:pPr>
        <w:ind w:left="1080" w:hanging="360"/>
      </w:pPr>
    </w:lvl>
    <w:lvl w:ilvl="1" w:tplc="FC0E44A4">
      <w:start w:val="1"/>
      <w:numFmt w:val="lowerLetter"/>
      <w:lvlText w:val="%2."/>
      <w:lvlJc w:val="left"/>
      <w:pPr>
        <w:ind w:left="1800" w:hanging="360"/>
      </w:pPr>
    </w:lvl>
    <w:lvl w:ilvl="2" w:tplc="B444363C">
      <w:start w:val="1"/>
      <w:numFmt w:val="lowerRoman"/>
      <w:lvlText w:val="%3."/>
      <w:lvlJc w:val="right"/>
      <w:pPr>
        <w:ind w:left="2520" w:hanging="180"/>
      </w:pPr>
    </w:lvl>
    <w:lvl w:ilvl="3" w:tplc="050E672E">
      <w:start w:val="1"/>
      <w:numFmt w:val="decimal"/>
      <w:lvlText w:val="%4."/>
      <w:lvlJc w:val="left"/>
      <w:pPr>
        <w:ind w:left="3240" w:hanging="360"/>
      </w:pPr>
    </w:lvl>
    <w:lvl w:ilvl="4" w:tplc="CE924BA0">
      <w:start w:val="1"/>
      <w:numFmt w:val="lowerLetter"/>
      <w:lvlText w:val="%5."/>
      <w:lvlJc w:val="left"/>
      <w:pPr>
        <w:ind w:left="3960" w:hanging="360"/>
      </w:pPr>
    </w:lvl>
    <w:lvl w:ilvl="5" w:tplc="B2F2A2C0">
      <w:start w:val="1"/>
      <w:numFmt w:val="lowerRoman"/>
      <w:lvlText w:val="%6."/>
      <w:lvlJc w:val="right"/>
      <w:pPr>
        <w:ind w:left="4680" w:hanging="180"/>
      </w:pPr>
    </w:lvl>
    <w:lvl w:ilvl="6" w:tplc="32A2EE44">
      <w:start w:val="1"/>
      <w:numFmt w:val="decimal"/>
      <w:lvlText w:val="%7."/>
      <w:lvlJc w:val="left"/>
      <w:pPr>
        <w:ind w:left="5400" w:hanging="360"/>
      </w:pPr>
    </w:lvl>
    <w:lvl w:ilvl="7" w:tplc="39E0C048">
      <w:start w:val="1"/>
      <w:numFmt w:val="lowerLetter"/>
      <w:lvlText w:val="%8."/>
      <w:lvlJc w:val="left"/>
      <w:pPr>
        <w:ind w:left="6120" w:hanging="360"/>
      </w:pPr>
    </w:lvl>
    <w:lvl w:ilvl="8" w:tplc="1ACEB9C4">
      <w:start w:val="1"/>
      <w:numFmt w:val="lowerRoman"/>
      <w:lvlText w:val="%9."/>
      <w:lvlJc w:val="right"/>
      <w:pPr>
        <w:ind w:left="6840" w:hanging="180"/>
      </w:pPr>
    </w:lvl>
  </w:abstractNum>
  <w:abstractNum w:abstractNumId="4" w15:restartNumberingAfterBreak="0">
    <w:nsid w:val="715D4F08"/>
    <w:multiLevelType w:val="hybridMultilevel"/>
    <w:tmpl w:val="F384BE1C"/>
    <w:lvl w:ilvl="0" w:tplc="F65E0F76">
      <w:start w:val="1"/>
      <w:numFmt w:val="hebrew1"/>
      <w:lvlText w:val="%1."/>
      <w:lvlJc w:val="left"/>
      <w:pPr>
        <w:ind w:left="1440" w:hanging="360"/>
      </w:pPr>
    </w:lvl>
    <w:lvl w:ilvl="1" w:tplc="8732E806">
      <w:start w:val="1"/>
      <w:numFmt w:val="lowerLetter"/>
      <w:lvlText w:val="%2."/>
      <w:lvlJc w:val="left"/>
      <w:pPr>
        <w:ind w:left="2160" w:hanging="360"/>
      </w:pPr>
    </w:lvl>
    <w:lvl w:ilvl="2" w:tplc="EEB0741E">
      <w:start w:val="1"/>
      <w:numFmt w:val="lowerRoman"/>
      <w:lvlText w:val="%3."/>
      <w:lvlJc w:val="right"/>
      <w:pPr>
        <w:ind w:left="2880" w:hanging="180"/>
      </w:pPr>
    </w:lvl>
    <w:lvl w:ilvl="3" w:tplc="28B07342">
      <w:start w:val="1"/>
      <w:numFmt w:val="decimal"/>
      <w:lvlText w:val="%4."/>
      <w:lvlJc w:val="left"/>
      <w:pPr>
        <w:ind w:left="3600" w:hanging="360"/>
      </w:pPr>
    </w:lvl>
    <w:lvl w:ilvl="4" w:tplc="3122574A">
      <w:start w:val="1"/>
      <w:numFmt w:val="lowerLetter"/>
      <w:lvlText w:val="%5."/>
      <w:lvlJc w:val="left"/>
      <w:pPr>
        <w:ind w:left="4320" w:hanging="360"/>
      </w:pPr>
    </w:lvl>
    <w:lvl w:ilvl="5" w:tplc="47529364">
      <w:start w:val="1"/>
      <w:numFmt w:val="lowerRoman"/>
      <w:lvlText w:val="%6."/>
      <w:lvlJc w:val="right"/>
      <w:pPr>
        <w:ind w:left="5040" w:hanging="180"/>
      </w:pPr>
    </w:lvl>
    <w:lvl w:ilvl="6" w:tplc="CC24F930">
      <w:start w:val="1"/>
      <w:numFmt w:val="decimal"/>
      <w:lvlText w:val="%7."/>
      <w:lvlJc w:val="left"/>
      <w:pPr>
        <w:ind w:left="5760" w:hanging="360"/>
      </w:pPr>
    </w:lvl>
    <w:lvl w:ilvl="7" w:tplc="4B30D1D4">
      <w:start w:val="1"/>
      <w:numFmt w:val="lowerLetter"/>
      <w:lvlText w:val="%8."/>
      <w:lvlJc w:val="left"/>
      <w:pPr>
        <w:ind w:left="6480" w:hanging="360"/>
      </w:pPr>
    </w:lvl>
    <w:lvl w:ilvl="8" w:tplc="2AAEA81C">
      <w:start w:val="1"/>
      <w:numFmt w:val="lowerRoman"/>
      <w:lvlText w:val="%9."/>
      <w:lvlJc w:val="right"/>
      <w:pPr>
        <w:ind w:left="7200" w:hanging="180"/>
      </w:pPr>
    </w:lvl>
  </w:abstractNum>
  <w:num w:numId="1" w16cid:durableId="1535580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29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884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5832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845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seID" w:val="78295270"/>
    <w:docVar w:name="CourtID" w:val="40"/>
    <w:docVar w:name="DocumentDS" w:val="&amp;lt;?xml version=&amp;quot;1.0&amp;quot; encoding=&amp;quot;utf-8&amp;quot;?&amp;gt;_x000a_&amp;lt;DocumentDS&amp;gt;_x000a_  &amp;lt;xs:schema id=&amp;quot;DocumentDS&amp;quot; targetNamespace=&amp;quot;http://www.tempuri.org/DocumentDS.xsd&amp;quot; xmlns:mstns=&amp;quot;http://www.tempuri.org/DocumentDS.xsd&amp;quot; xmlns=&amp;quot;http://www.tempuri.org/DocumentDS.xsd&amp;quot; xmlns:xs=&amp;quot;http://www.w3.org/2001/XMLSchema&amp;quot; xmlns:msdata=&amp;quot;urn:schemas-microsoft-com:xml-msdata&amp;quot; attributeFormDefault=&amp;quot;qualified&amp;quot; elementFormDefault=&amp;quot;qualified&amp;quot;&amp;gt;_x000a_    &amp;lt;xs:element name=&amp;quot;DocumentDS&amp;quot; msdata:IsDataSet=&amp;quot;true&amp;quot; msdata:Locale=&amp;quot;en-US&amp;quot;&amp;gt;_x000a_      &amp;lt;xs:complexType&amp;gt;_x000a_        &amp;lt;xs:choice minOccurs=&amp;quot;0&amp;quot; maxOccurs=&amp;quot;unbounded&amp;quot;&amp;gt;_x000a_          &amp;lt;xs:element name=&amp;quot;dt_DocumentCase&amp;quot;&amp;gt;_x000a_            &amp;lt;xs:complexType&amp;gt;_x000a_              &amp;lt;xs:sequence&amp;gt;_x000a_                &amp;lt;xs:element name=&amp;quot;CaseID&amp;quot; type=&amp;quot;xs:int&amp;quot; /&amp;gt;_x000a_                &amp;lt;xs:element name=&amp;quot;DocumentID&amp;quot; type=&amp;quot;xs:int&amp;quot; /&amp;gt;_x000a_              &amp;lt;/xs:sequence&amp;gt;_x000a_            &amp;lt;/xs:complexType&amp;gt;_x000a_          &amp;lt;/xs:element&amp;gt;_x000a_          &amp;lt;xs:element name=&amp;quot;dt_Bookmark&amp;quot;&amp;gt;_x000a_            &amp;lt;xs:complexType&amp;gt;_x000a_              &amp;lt;xs:sequence&amp;gt;_x000a_                &amp;lt;xs:element name=&amp;quot;BookmarkID&amp;quot; msdata:ReadOnly=&amp;quot;true&amp;quot; msdata:AutoIncrement=&amp;quot;true&amp;quot; msdata:AutoIncrementSeed=&amp;quot;-1&amp;quot; msdata:AutoIncrementStep=&amp;quot;-1&amp;quot; type=&amp;quot;xs:int&amp;quot; /&amp;gt;_x000a_                &amp;lt;xs:element name=&amp;quot;DocumentID&amp;quot; type=&amp;quot;xs:int&amp;quot; /&amp;gt;_x000a_                &amp;lt;xs:element name=&amp;quot;BookmarkName&amp;quot; type=&amp;quot;xs:string&amp;quot; minOccurs=&amp;quot;0&amp;quot; /&amp;gt;_x000a_                &amp;lt;xs:element name=&amp;quot;DocumentPage&amp;quot; type=&amp;quot;xs:int&amp;quot; minOccurs=&amp;quot;0&amp;quot; /&amp;gt;_x000a_              &amp;lt;/xs:sequence&amp;gt;_x000a_            &amp;lt;/xs:complexType&amp;gt;_x000a_          &amp;lt;/xs:element&amp;gt;_x000a_          &amp;lt;xs:element name=&amp;quot;dt_Document&amp;quot;&amp;gt;_x000a_            &amp;lt;xs:complexType&amp;gt;_x000a_              &amp;lt;xs:sequence&amp;gt;_x000a_                &amp;lt;xs:element name=&amp;quot;DocumentID&amp;quot; msdata:ReadOnly=&amp;quot;true&amp;quot; msdata:AutoIncrement=&amp;quot;true&amp;quot; msdata:AutoIncrementSeed=&amp;quot;-1&amp;quot; msdata:AutoIncrementStep=&amp;quot;-1&amp;quot; type=&amp;quot;xs:int&amp;quot; /&amp;gt;_x000a_                &amp;lt;xs:element name=&amp;quot;DocumentMainID&amp;quot; type=&amp;quot;xs:int&amp;quot; /&amp;gt;_x000a_                &amp;lt;xs:element name=&amp;quot;CaseID&amp;quot; type=&amp;quot;xs:int&amp;quot; minOccurs=&amp;quot;0&amp;quot; /&amp;gt;_x000a_                &amp;lt;xs:element name=&amp;quot;ConvertCaseID&amp;quot; type=&amp;quot;xs:int&amp;quot; minOccurs=&amp;quot;0&amp;quot; /&amp;gt;_x000a_                &amp;lt;xs:element name=&amp;quot;OldDocumentID&amp;quot; type=&amp;quot;xs:string&amp;quot; minOccurs=&amp;quot;0&amp;quot; /&amp;gt;_x000a_                &amp;lt;xs:element name=&amp;quot;OldCaseID&amp;quot; type=&amp;quot;xs:string&amp;quot; minOccurs=&amp;quot;0&amp;quot; /&amp;gt;_x000a_                &amp;lt;xs:element name=&amp;quot;DocumentIncludedDate&amp;quot; type=&amp;quot;xs:dateTime&amp;quot; /&amp;gt;_x000a_                &amp;lt;xs:element name=&amp;quot;DocumentDesc&amp;quot; type=&amp;quot;xs:string&amp;quot; /&amp;gt;_x000a_                &amp;lt;xs:element name=&amp;quot;DocumentDirectionID&amp;quot; type=&amp;quot;xs:int&amp;quot; minOccurs=&amp;quot;0&amp;quot; /&amp;gt;_x000a_                &amp;lt;xs:element name=&amp;quot;SourceID&amp;quot; type=&amp;quot;xs:int&amp;quot; minOccurs=&amp;quot;0&amp;quot; /&amp;gt;_x000a_                &amp;lt;xs:element name=&amp;quot;SavingMethodID&amp;quot; type=&amp;quot;xs:int&amp;quot; minOccurs=&amp;quot;0&amp;quot; /&amp;gt;_x000a_                &amp;lt;xs:element name=&amp;quot;PaperDocumentSavingPlace&amp;quot; type=&amp;quot;xs:string&amp;quot; minOccurs=&amp;quot;0&amp;quot; /&amp;gt;_x000a_                &amp;lt;xs:element name=&amp;quot;VersionNumber&amp;quot; type=&amp;quot;xs:int&amp;quot; /&amp;gt;_x000a_                &amp;lt;xs:element name=&amp;quot;DocumentVersionTypeID&amp;quot; type=&amp;quot;xs:int&amp;quot; minOccurs=&amp;quot;0&amp;quot; /&amp;gt;_x000a_                &amp;lt;xs:element name=&amp;quot;IsAttachment&amp;quot; type=&amp;quot;xs:boolean&amp;quot; /&amp;gt;_x000a_                &amp;lt;xs:element name=&amp;quot;AttachmentOrdinalNumber&amp;quot; type=&amp;quot;xs:int&amp;quot; minOccurs=&amp;quot;0&amp;quot; /&amp;gt;_x000a_                &amp;lt;xs:element name=&amp;quot;DocumentTypeID&amp;quot; type=&amp;quot;xs:int&amp;quot; minOccurs=&amp;quot;0&amp;quot; /&amp;gt;_x000a_                &amp;lt;xs:element name=&amp;quot;DocumentSavingDate&amp;quot; type=&amp;quot;xs:dateTime&amp;quot; minOccurs=&amp;quot;0&amp;quot; /&amp;gt;_x000a_                &amp;lt;xs:element name=&amp;quot;DocumentChangeDate&amp;quot; type=&amp;quot;xs:dateTime&amp;quot; /&amp;gt;_x000a_                &amp;lt;xs:element name=&amp;quot;IsScanned&amp;quot; type=&amp;quot;xs:boolean&amp;quot; minOccurs=&amp;quot;0&amp;quot; /&amp;gt;_x000a_                &amp;lt;xs:element name=&amp;quot;DocumentScanningDate&amp;quot; type=&amp;quot;xs:dateTime&amp;quot; minOccurs=&amp;quot;0&amp;quot; /&amp;gt;_x000a_                &amp;lt;xs:element name=&amp;quot;PageQuantity&amp;quot; type=&amp;quot;xs:int&amp;quot; minOccurs=&amp;quot;0&amp;quot; /&amp;gt;_x000a_                &amp;lt;xs:element name=&amp;quot;DocumentStatusID&amp;quot; type=&amp;quot;xs:int&amp;quot; minOccurs=&amp;quot;0&amp;quot; /&amp;gt;_x000a_                &amp;lt;xs:element name=&amp;quot;DocumentStatusChangeDate&amp;quot; type=&amp;quot;xs:dateTime&amp;quot; minOccurs=&amp;quot;0&amp;quot; /&amp;gt;_x000a_                &amp;lt;xs:element name=&amp;quot;TemplateID&amp;quot; type=&amp;quot;xs:int&amp;quot; minOccurs=&amp;quot;0&amp;quot; /&amp;gt;_x000a_                &amp;lt;xs:element name=&amp;quot;TemplateVersionID&amp;quot; type=&amp;quot;xs:int&amp;quot; minOccurs=&amp;quot;0&amp;quot; /&amp;gt;_x000a_                &amp;lt;xs:element name=&amp;quot;DocumentChangeUserID&amp;quot; type=&amp;quot;xs:string&amp;quot; minOccurs=&amp;quot;0&amp;quot; /&amp;gt;_x000a_                &amp;lt;xs:element name=&amp;quot;DocumentCreationUserID&amp;quot; type=&amp;quot;xs:string&amp;quot; minOccurs=&amp;quot;0&amp;quot; /&amp;gt;_x000a_                &amp;lt;xs:element name=&amp;quot;OriginalDocumentID&amp;quot; type=&amp;quot;xs:int&amp;quot; minOccurs=&amp;quot;0&amp;quot; /&amp;gt;_x000a_                &amp;lt;xs:element name=&amp;quot;PrivillegeID&amp;quot; type=&amp;quot;xs:int&amp;quot; /&amp;gt;_x000a_                &amp;lt;xs:element name=&amp;quot;FromPage&amp;quot; type=&amp;quot;xs:int&amp;quot; default=&amp;quot;0&amp;quot; minOccurs=&amp;quot;0&amp;quot; /&amp;gt;_x000a_                &amp;lt;xs:element name=&amp;quot;ToPage&amp;quot; type=&amp;quot;xs:int&amp;quot; default=&amp;quot;0&amp;quot; minOccurs=&amp;quot;0&amp;quot; /&amp;gt;_x000a_                &amp;lt;xs:element name=&amp;quot;IsScannedWithoutEntity&amp;quot; type=&amp;quot;xs:boolean&amp;quot; minOccurs=&amp;quot;0&amp;quot; /&amp;gt;_x000a_                &amp;lt;xs:element name=&amp;quot;DocumentComment&amp;quot; type=&amp;quot;xs:string&amp;quot; minOccurs=&amp;quot;0&amp;quot; /&amp;gt;_x000a_                &amp;lt;xs:element name=&amp;quot;BoxNumber&amp;quot; type=&amp;quot;xs:string&amp;quot; minOccurs=&amp;quot;0&amp;quot; /&amp;gt;_x000a_                &amp;lt;xs:element name=&amp;quot;Archive&amp;quot; type=&amp;quot;xs:string&amp;quot; minOccurs=&amp;quot;0&amp;quot; /&amp;gt;_x000a_                &amp;lt;xs:element name=&amp;quot;CasePartyID&amp;quot; type=&amp;quot;xs:int&amp;quot; minOccurs=&amp;quot;0&amp;quot; /&amp;gt;_x000a_                &amp;lt;xs:element name=&amp;quot;FileID&amp;quot; type=&amp;quot;xs:string&amp;quot; minOccurs=&amp;quot;0&amp;quot; /&amp;gt;_x000a_                &amp;lt;xs:element name=&amp;quot;OriginalFileID&amp;quot; type=&amp;quot;xs:string&amp;quot; minOccurs=&amp;quot;0&amp;quot; /&amp;gt;_x000a_                &amp;lt;xs:element name=&amp;quot;CaseDisplayNumber&amp;quot; type=&amp;quot;xs:string&amp;quot; minOccurs=&amp;quot;0&amp;quot; /&amp;gt;_x000a_                &amp;lt;xs:element name=&amp;quot;URL&amp;quot; type=&amp;quot;xs:string&amp;quot; minOccurs=&amp;quot;0&amp;quot; /&amp;gt;_x000a_                &amp;lt;xs:element name=&amp;quot;SplittedNumberOfPages&amp;quot; type=&amp;quot;xs:int&amp;quot; minOccurs=&amp;quot;0&amp;quot; /&amp;gt;_x000a_                &amp;lt;xs:element name=&amp;quot;isOliveProcessed&amp;quot; type=&amp;quot;xs:boolean&amp;quot; minOccurs=&amp;quot;0&amp;quot; /&amp;gt;_x000a_                &amp;lt;xs:element name=&amp;quot;CasePartyDisplayName&amp;quot; type=&amp;quot;xs:string&amp;quot; minOccurs=&amp;quot;0&amp;quot; /&amp;gt;_x000a_                &amp;lt;xs:element name=&amp;quot;OlivePriority&amp;quot; type=&amp;quot;xs:int&amp;quot; default=&amp;quot;1&amp;quot; minOccurs=&amp;quot;0&amp;quot; /&amp;gt;_x000a_                &amp;lt;xs:element name=&amp;quot;PreFetchUrl&amp;quot; type=&amp;quot;xs:string&amp;quot; minOccurs=&amp;quot;0&amp;quot; /&amp;gt;_x000a_                &amp;lt;xs:element name=&amp;quot;DocumentCdImportID&amp;quot; type=&amp;quot;xs:string&amp;quot; minOccurs=&amp;quot;0&amp;quot; /&amp;gt;_x000a_                &amp;lt;xs:element name=&amp;quot;MetaDataTypeID&amp;quot; type=&amp;quot;xs:int&amp;quot; minOccurs=&amp;quot;0&amp;quot; /&amp;gt;_x000a_                &amp;lt;xs:element name=&amp;quot;MetaDataChangeDate&amp;quot; type=&amp;quot;xs:dateTime&amp;quot; minOccurs=&amp;quot;0&amp;quot; /&amp;gt;_x000a_                &amp;lt;xs:element name=&amp;quot;MetaData&amp;quot; type=&amp;quot;xs:string&amp;quot; minOccurs=&amp;quot;0&amp;quot; /&amp;gt;_x000a_                &amp;lt;xs:element name=&amp;quot;NewVersionRequired&amp;quot; type=&amp;quot;xs:boolean&amp;quot; minOccurs=&amp;quot;0&amp;quot; /&amp;gt;_x000a_                &amp;lt;xs:element name=&amp;quot;IsReturned&amp;quot; type=&amp;quot;xs:boolean&amp;quot; default=&amp;quot;false&amp;quot; /&amp;gt;_x000a_                &amp;lt;xs:element name=&amp;quot;SignatureURL&amp;quot; type=&amp;quot;xs:string&amp;quot; minOccurs=&amp;quot;0&amp;quot; /&amp;gt;_x000a_                &amp;lt;xs:element name=&amp;quot;IsCritical&amp;quot; type=&amp;quot;xs:boolean&amp;quot; default=&amp;quot;false&amp;quot; minOccurs=&amp;quot;0&amp;quot; /&amp;gt;_x000a_                &amp;lt;xs:element name=&amp;quot;IsEntityCanceled&amp;quot; type=&amp;quot;xs:boolean&amp;quot; default=&amp;quot;false&amp;quot; /&amp;gt;_x000a_                &amp;lt;xs:element name=&amp;quot;IsRepresentativeRegistryOpenToPublic&amp;quot; type=&amp;quot;xs:boolean&amp;quot; default=&amp;quot;false&amp;quot; minOccurs=&amp;quot;0&amp;quot; /&amp;gt;_x000a_                &amp;lt;xs:element name=&amp;quot;PresentationDate&amp;quot; type=&amp;quot;xs:dateTime&amp;quot; minOccurs=&amp;quot;0&amp;quot; /&amp;gt;_x000a_                &amp;lt;xs:element name=&amp;quot;IsIDCPublished&amp;quot; type=&amp;quot;xs:boolean&amp;quot; minOccurs=&amp;quot;0&amp;quot; /&amp;gt;_x000a_                &amp;lt;xs:element name=&amp;quot;IsDocumentPipexed&amp;quot; type=&amp;quot;xs:boolean&amp;quot; minOccurs=&amp;quot;0&amp;quot; /&amp;gt;_x000a_                &amp;lt;xs:element name=&amp;quot;ConvertToPdf&amp;quot; type=&amp;quot;xs:int&amp;quot; minOccurs=&amp;quot;0&amp;quot; /&amp;gt;_x000a_                &amp;lt;xs:element name=&amp;quot;PublishToIDC&amp;quot; type=&amp;quot;xs:int&amp;quot; minOccurs=&amp;quot;0&amp;quot; /&amp;gt;_x000a_                &amp;lt;xs:element name=&amp;quot;OCR&amp;quot; type=&amp;quot;xs:int&amp;quot; minOccurs=&amp;quot;0&amp;quot; /&amp;gt;_x000a_                &amp;lt;xs:element name=&amp;quot;DesicionPublish&amp;quot; type=&amp;quot;xs:int&amp;quot; minOccurs=&amp;quot;0&amp;quot; /&amp;gt;_x000a_                &amp;lt;xs:element name=&amp;quot;IsProof&amp;quot; type=&amp;quot;xs:int&amp;quot; minOccurs=&amp;quot;0&amp;quot; /&amp;gt;_x000a_                &amp;lt;xs:element name=&amp;quot;Summarization&amp;quot; type=&amp;quot;xs:int&amp;quot; minOccurs=&amp;quot;0&amp;quot; /&amp;gt;_x000a_                &amp;lt;xs:element name=&amp;quot;GetPunishmentData&amp;quot; type=&amp;quot;xs:int&amp;quot; minOccurs=&amp;quot;0&amp;quot; /&amp;gt;_x000a_                &amp;lt;xs:element name=&amp;quot;AutomaticallyDelivery&amp;quot; type=&amp;quot;xs:int&amp;quot; minOccurs=&amp;quot;0&amp;quot; /&amp;gt;_x000a_                &amp;lt;xs:element name=&amp;quot;Send2ELK&amp;quot; type=&amp;quot;xs:int&amp;quot; minOccurs=&amp;quot;0&amp;quot; /&amp;gt;_x000a_                &amp;lt;xs:element name=&amp;quot;TransportFineExtract&amp;quot; type=&amp;quot;xs:int&amp;quot; minOccurs=&amp;quot;0&amp;quot; /&amp;gt;_x000a_                &amp;lt;xs:element name=&amp;quot;StorageTypeID&amp;quot; type=&amp;quot;xs:int&amp;quot; default=&amp;quot;1&amp;quot; /&amp;gt;_x000a_                &amp;lt;xs:element name=&amp;quot;MediaEntityTypeID&amp;quot; type=&amp;quot;xs:int&amp;quot; default=&amp;quot;1&amp;quot; /&amp;gt;_x000a_                &amp;lt;xs:element name=&amp;quot;IsChat&amp;quot; type=&amp;quot;xs:boolean&amp;quot; minOccurs=&amp;quot;0&amp;quot; /&amp;gt;_x000a_                &amp;lt;xs:element name=&amp;quot;AutoCensorVersionStatusID&amp;quot; type=&amp;quot;xs:int&amp;quot; minOccurs=&amp;quot;0&amp;quot; /&amp;gt;_x000a_              &amp;lt;/xs:sequence&amp;gt;_x000a_            &amp;lt;/xs:complexType&amp;gt;_x000a_          &amp;lt;/xs:element&amp;gt;_x000a_          &amp;lt;xs:element name=&amp;quot;dt_DocumentNote&amp;quot;&amp;gt;_x000a_            &amp;lt;xs:complexType&amp;gt;_x000a_              &amp;lt;xs:sequence&amp;gt;_x000a_                &amp;lt;xs:element name=&amp;quot;DocumentNoteID&amp;quot; msdata:ReadOnly=&amp;quot;true&amp;quot; msdata:AutoIncrement=&amp;quot;true&amp;quot; msdata:AutoIncrementSeed=&amp;quot;-1&amp;quot; msdata:AutoIncrementStep=&amp;quot;-1&amp;quot; type=&amp;quot;xs:int&amp;quot; /&amp;gt;_x000a_                &amp;lt;xs:element name=&amp;quot;DocumentID&amp;quot; type=&amp;quot;xs:int&amp;quot; /&amp;gt;_x000a_                &amp;lt;xs:element name=&amp;quot;DocumentNoteCreateDate&amp;quot; type=&amp;quot;xs:dateTime&amp;quot; /&amp;gt;_x000a_                &amp;lt;xs:element name=&amp;quot;CreationUserID&amp;quot; type=&amp;quot;xs:string&amp;quot; /&amp;gt;_x000a_                &amp;lt;xs:element name=&amp;quot;DocumentNoteDesc&amp;quot; type=&amp;quot;xs:string&amp;quot; minOccurs=&amp;quot;0&amp;quot; /&amp;gt;_x000a_                &amp;lt;xs:element name=&amp;quot;DocumentNoteXML&amp;quot; type=&amp;quot;xs:string&amp;quot; minOccurs=&amp;quot;0&amp;quot; /&amp;gt;_x000a_                &amp;lt;xs:element name=&amp;quot;DescriptionPageNumber&amp;quot; type=&amp;quot;xs:int&amp;quot; minOccurs=&amp;quot;0&amp;quot; /&amp;gt;_x000a_                &amp;lt;xs:element name=&amp;quot;AccessTypeID&amp;quot; type=&amp;quot;xs:int&amp;quot; minOccurs=&amp;quot;0&amp;quot; /&amp;gt;_x000a_                &amp;lt;xs:element name=&amp;quot;NoteTypeID&amp;quot; type=&amp;quot;xs:int&amp;quot; minOccurs=&amp;quot;0&amp;quot; /&amp;gt;_x000a_                &amp;lt;xs:element name=&amp;quot;X1Location&amp;quot; type=&amp;quot;xs:decimal&amp;quot; /&amp;gt;_x000a_                &amp;lt;xs:element name=&amp;quot;X2Location&amp;quot; type=&amp;quot;xs:decimal&amp;quot; /&amp;gt;_x000a_                &amp;lt;xs:element name=&amp;quot;Y1Location&amp;quot; type=&amp;quot;xs:decimal&amp;quot; /&amp;gt;_x000a_                &amp;lt;xs:element name=&amp;quot;Y2Location&amp;quot; type=&amp;quot;xs:decimal&amp;quot; /&amp;gt;_x000a_                &amp;lt;xs:element name=&amp;quot;XmlContent&amp;quot; type=&amp;quot;xs:string&amp;quot; minOccurs=&amp;quot;0&amp;quot; /&amp;gt;_x000a_                &amp;lt;xs:element name=&amp;quot;X1RectLocation&amp;quot; type=&amp;quot;xs:decimal&amp;quot; /&amp;gt;_x000a_                &amp;lt;xs:element name=&amp;quot;X2RectLocation&amp;quot; type=&amp;quot;xs:decimal&amp;quot; /&amp;gt;_x000a_                &amp;lt;xs:element name=&amp;quot;Y1RectLocation&amp;quot; type=&amp;quot;xs:decimal&amp;quot; /&amp;gt;_x000a_                &amp;lt;xs:element name=&amp;quot;Y2RectLocation&amp;quot; type=&amp;quot;xs:decimal&amp;quot; /&amp;gt;_x000a_                &amp;lt;xs:element name=&amp;quot;IsPopupOpen&amp;quot; type=&amp;quot;xs:boolean&amp;quot; /&amp;gt;_x000a_                &amp;lt;xs:element name=&amp;quot;CDATA&amp;quot; type=&amp;quot;xs:string&amp;quot; minOccurs=&amp;quot;0&amp;quot; /&amp;gt;_x000a_                &amp;lt;xs:element name=&amp;quot;Title&amp;quot; type=&amp;quot;xs:string&amp;quot; minOccurs=&amp;quot;0&amp;quot; /&amp;gt;_x000a_                &amp;lt;xs:element name=&amp;quot;Page&amp;quot; type=&amp;quot;xs:int&amp;quot; minOccurs=&amp;quot;0&amp;quot; /&amp;gt;_x000a_                &amp;lt;xs:element name=&amp;quot;IsVisiable&amp;quot; type=&amp;quot;xs:boolean&amp;quot; default=&amp;quot;false&amp;quot; /&amp;gt;_x000a_                &amp;lt;xs:element name=&amp;quot;ActivityStatusID&amp;quot; type=&amp;quot;xs:int&amp;quot; default=&amp;quot;1&amp;quot; /&amp;gt;_x000a_                &amp;lt;xs:element name=&amp;quot;NoteCaseTitle&amp;quot; type=&amp;quot;xs:string&amp;quot; minOccurs=&amp;quot;0&amp;quot; /&amp;gt;_x000a_                &amp;lt;xs:element name=&amp;quot;NoteComposerTitle&amp;quot; type=&amp;quot;xs:string&amp;quot; minOccurs=&amp;quot;0&amp;quot; /&amp;gt;_x000a_                &amp;lt;xs:element name=&amp;quot;NoteZoom&amp;quot; type=&amp;quot;xs:decimal&amp;quot; minOccurs=&amp;quot;0&amp;quot; /&amp;gt;_x000a_              &amp;lt;/xs:sequence&amp;gt;_x000a_            &amp;lt;/xs:complexType&amp;gt;_x000a_          &amp;lt;/xs:element&amp;gt;_x000a_          &amp;lt;xs:element name=&amp;quot;dt_MLDocsAnalysisPunishment&amp;quot;&amp;gt;_x000a_            &amp;lt;xs:complexType&amp;gt;_x000a_              &amp;lt;xs:sequence&amp;gt;_x000a_                &amp;lt;xs:element name=&amp;quot;MLDocsAnalysisPunishmentID&amp;quot; msdata:AutoIncrement=&amp;quot;true&amp;quot; msdata:AutoIncrementSeed=&amp;quot;-1&amp;quot; msdata:AutoIncrementStep=&amp;quot;-1&amp;quot; type=&amp;quot;xs:int&amp;quot; /&amp;gt;_x000a_                &amp;lt;xs:element name=&amp;quot;MLDocsAnalysisID&amp;quot; type=&amp;quot;xs:int&amp;quot; /&amp;gt;_x000a_                &amp;lt;xs:element name=&amp;quot;FileID&amp;quot; type=&amp;quot;xs:string&amp;quot; /&amp;gt;_x000a_                &amp;lt;xs:element name=&amp;quot;DocumentID&amp;quot; type=&amp;quot;xs:int&amp;quot; /&amp;gt;_x000a_                &amp;lt;xs:element name=&amp;quot;PunishmentType&amp;quot; type=&amp;quot;xs:int&amp;quot; /&amp;gt;_x000a_                &amp;lt;xs:element name=&amp;quot;Result&amp;quot; type=&amp;quot;xs:string&amp;quot; minOccurs=&amp;quot;0&amp;quot; /&amp;gt;_x000a_              &amp;lt;/xs:sequence&amp;gt;_x000a_            &amp;lt;/xs:complexType&amp;gt;_x000a_          &amp;lt;/xs:element&amp;gt;_x000a_          &amp;lt;xs:element name=&amp;quot;dt_DocumentSummaryVersion&amp;quot;&amp;gt;_x000a_            &amp;lt;xs:complexType&amp;gt;_x000a_              &amp;lt;xs:sequence&amp;gt;_x000a_                &amp;lt;xs:element name=&amp;quot;DocumentID&amp;quot; type=&amp;quot;xs:int&amp;quot; minOccurs=&amp;quot;0&amp;quot; /&amp;gt;_x000a_                &amp;lt;xs:element name=&amp;quot;DocumentChangeDate&amp;quot; type=&amp;quot;xs:dateTime&amp;quot; minOccurs=&amp;quot;0&amp;quot; /&amp;gt;_x000a_                &amp;lt;xs:element name=&amp;quot;DocumentDesc&amp;quot; type=&amp;quot;xs:string&amp;quot; minOccurs=&amp;quot;0&amp;quot; /&amp;gt;_x000a_                &amp;lt;xs:element name=&amp;quot;IsCritical&amp;quot; type=&amp;quot;xs:boolean&amp;quot; minOccurs=&amp;quot;0&amp;quot; /&amp;gt;_x000a_                &amp;lt;xs:element name=&amp;quot;IsScanned&amp;quot; type=&amp;quot;xs:boolean&amp;quot; minOccurs=&amp;quot;0&amp;quot; /&amp;gt;_x000a_              &amp;lt;/xs:sequence&amp;gt;_x000a_            &amp;lt;/xs:complexType&amp;gt;_x000a_          &amp;lt;/xs:element&amp;gt;_x000a_        &amp;lt;/xs:choice&amp;gt;_x000a_      &amp;lt;/xs:complexType&amp;gt;_x000a_      &amp;lt;xs:unique name=&amp;quot;Constraint1&amp;quot; msdata:PrimaryKey=&amp;quot;true&amp;quot;&amp;gt;_x000a_        &amp;lt;xs:selector xpath=&amp;quot;.//mstns:dt_DocumentCase&amp;quot; /&amp;gt;_x000a_        &amp;lt;xs:field xpath=&amp;quot;mstns:CaseID&amp;quot; /&amp;gt;_x000a_        &amp;lt;xs:field xpath=&amp;quot;mstns:DocumentID&amp;quot; /&amp;gt;_x000a_      &amp;lt;/xs:unique&amp;gt;_x000a_      &amp;lt;xs:unique name=&amp;quot;dt_Bookmark_Constraint1&amp;quot; msdata:ConstraintName=&amp;quot;Constraint1&amp;quot; msdata:PrimaryKey=&amp;quot;true&amp;quot;&amp;gt;_x000a_        &amp;lt;xs:selector xpath=&amp;quot;.//mstns:dt_Bookmark&amp;quot; /&amp;gt;_x000a_        &amp;lt;xs:field xpath=&amp;quot;mstns:BookmarkID&amp;quot; /&amp;gt;_x000a_      &amp;lt;/xs:unique&amp;gt;_x000a_      &amp;lt;xs:unique name=&amp;quot;dt_Document_Constraint1&amp;quot; msdata:ConstraintName=&amp;quot;Constraint1&amp;quot; msdata:PrimaryKey=&amp;quot;true&amp;quot;&amp;gt;_x000a_        &amp;lt;xs:selector xpath=&amp;quot;.//mstns:dt_Document&amp;quot; /&amp;gt;_x000a_        &amp;lt;xs:field xpath=&amp;quot;mstns:DocumentID&amp;quot; /&amp;gt;_x000a_      &amp;lt;/xs:unique&amp;gt;_x000a_      &amp;lt;xs:unique name=&amp;quot;DocumentDSKey1&amp;quot; msdata:PrimaryKey=&amp;quot;true&amp;quot;&amp;gt;_x000a_        &amp;lt;xs:selector xpath=&amp;quot;.//mstns:dt_DocumentNote&amp;quot; /&amp;gt;_x000a_        &amp;lt;xs:field xpath=&amp;quot;mstns:DocumentNoteID&amp;quot; /&amp;gt;_x000a_      &amp;lt;/xs:unique&amp;gt;_x000a_      &amp;lt;xs:keyref name=&amp;quot;dt_Documentdt_DocumentNote&amp;quot; refer=&amp;quot;dt_Document_Constraint1&amp;quot;&amp;gt;_x000a_        &amp;lt;xs:selector xpath=&amp;quot;.//mstns:dt_DocumentNote&amp;quot; /&amp;gt;_x000a_        &amp;lt;xs:field xpath=&amp;quot;mstns:DocumentID&amp;quot; /&amp;gt;_x000a_      &amp;lt;/xs:keyref&amp;gt;_x000a_      &amp;lt;xs:keyref name=&amp;quot;dt_Documentdt_Bookmark&amp;quot; refer=&amp;quot;dt_Document_Constraint1&amp;quot;&amp;gt;_x000a_        &amp;lt;xs:selector xpath=&amp;quot;.//mstns:dt_Bookmark&amp;quot; /&amp;gt;_x000a_        &amp;lt;xs:field xpath=&amp;quot;mstns:DocumentID&amp;quot; /&amp;gt;_x000a_      &amp;lt;/xs:keyref&amp;gt;_x000a_      &amp;lt;xs:keyref name=&amp;quot;dt_Documentdt_DocumentCase&amp;quot; refer=&amp;quot;dt_Document_Constraint1&amp;quot;&amp;gt;_x000a_        &amp;lt;xs:selector xpath=&amp;quot;.//mstns:dt_DocumentCase&amp;quot; /&amp;gt;_x000a_        &amp;lt;xs:field xpath=&amp;quot;mstns:DocumentID&amp;quot; /&amp;gt;_x000a_      &amp;lt;/xs:keyref&amp;gt;_x000a_    &amp;lt;/xs:element&amp;gt;_x000a_    &amp;lt;xs:annotation&amp;gt;_x000a_      &amp;lt;xs:appinfo&amp;gt;_x000a_        &amp;lt;msdata:Relationship name=&amp;quot;dt_Document_dt_DocumentSummaryVersion&amp;quot; msdata:parent=&amp;quot;dt_Document&amp;quot; msdata:child=&amp;quot;dt_DocumentSummaryVersion&amp;quot; msdata:parentkey=&amp;quot;OriginalDocumentID&amp;quot; msdata:childkey=&amp;quot;DocumentID&amp;quot; /&amp;gt;_x000a_      &amp;lt;/xs:appinfo&amp;gt;_x000a_    &amp;lt;/xs:annotation&amp;gt;_x000a_  &amp;lt;/xs:schema&amp;gt;_x000a_  &amp;lt;diffgr:diffgram xmlns:msdata=&amp;quot;urn:schemas-microsoft-com:xml-msdata&amp;quot; xmlns:diffgr=&amp;quot;urn:schemas-microsoft-com:xml-diffgram-v1&amp;quot;&amp;gt;_x000a_    &amp;lt;DocumentDS xmlns=&amp;quot;http://www.tempuri.org/DocumentDS.xsd&amp;quot;&amp;gt;_x000a_      &amp;lt;dt_DocumentCase diffgr:id=&amp;quot;dt_DocumentCase1&amp;quot; msdata:rowOrder=&amp;quot;0&amp;quot;&amp;gt;_x000a_        &amp;lt;CaseID&amp;gt;78295270&amp;lt;/CaseID&amp;gt;_x000a_        &amp;lt;DocumentID&amp;gt;513942159&amp;lt;/DocumentID&amp;gt;_x000a_      &amp;lt;/dt_DocumentCase&amp;gt;_x000a_      &amp;lt;dt_Document diffgr:id=&amp;quot;dt_Document1&amp;quot; msdata:rowOrder=&amp;quot;0&amp;quot; diffgr:hasChanges=&amp;quot;modified&amp;quot;&amp;gt;_x000a_        &amp;lt;DocumentID&amp;gt;513942159&amp;lt;/DocumentID&amp;gt;_x000a_        &amp;lt;DocumentMainID&amp;gt;0&amp;lt;/DocumentMainID&amp;gt;_x000a_        &amp;lt;CaseID&amp;gt;78295270&amp;lt;/CaseID&amp;gt;_x000a_        &amp;lt;DocumentIncludedDate&amp;gt;2026-05-13T14:39:08.803+03:00&amp;lt;/DocumentIncludedDate&amp;gt;_x000a_        &amp;lt;DocumentDesc&amp;gt;פסק דין  שניתנה ע&amp;quot;י  מיכל סער&amp;lt;/DocumentDesc&amp;gt;_x000a_        &amp;lt;DocumentDirectionID&amp;gt;2&amp;lt;/DocumentDirectionID&amp;gt;_x000a_        &amp;lt;SourceID&amp;gt;1&amp;lt;/SourceID&amp;gt;_x000a_        &amp;lt;VersionNumber&amp;gt;1&amp;lt;/VersionNumber&amp;gt;_x000a_        &amp;lt;DocumentVersionTypeID&amp;gt;2&amp;lt;/DocumentVersionTypeID&amp;gt;_x000a_        &amp;lt;IsAttachment&amp;gt;false&amp;lt;/IsAttachment&amp;gt;_x000a_        &amp;lt;AttachmentOrdinalNumber&amp;gt;0&amp;lt;/AttachmentOrdinalNumber&amp;gt;_x000a_        &amp;lt;DocumentTypeID&amp;gt;73&amp;lt;/DocumentTypeID&amp;gt;_x000a_        &amp;lt;DocumentSavingDate&amp;gt;2026-05-13T14:39:08.803+03:00&amp;lt;/DocumentSavingDate&amp;gt;_x000a_        &amp;lt;DocumentChangeDate&amp;gt;2026-05-13T15:05:52.933+03:00&amp;lt;/DocumentChangeDate&amp;gt;_x000a_        &amp;lt;IsScanned&amp;gt;false&amp;lt;/IsScanned&amp;gt;_x000a_        &amp;lt;PageQuantity&amp;gt;0&amp;lt;/PageQuantity&amp;gt;_x000a_        &amp;lt;DocumentStatusID&amp;gt;2&amp;lt;/DocumentStatusID&amp;gt;_x000a_        &amp;lt;DocumentStatusChangeDate&amp;gt;2026-05-13T14:39:09.017+03:00&amp;lt;/DocumentStatusChangeDate&amp;gt;_x000a_        &amp;lt;TemplateVersionID&amp;gt;1&amp;lt;/TemplateVersionID&amp;gt;_x000a_        &amp;lt;DocumentChangeUserID&amp;gt;304276900@GOV.IL&amp;lt;/DocumentChangeUserID&amp;gt;_x000a_        &amp;lt;DocumentCreationUserID&amp;gt;034813295@GOV.IL&amp;lt;/DocumentCreationUserID&amp;gt;_x000a_        &amp;lt;OriginalDocumentID&amp;gt;501047101&amp;lt;/OriginalDocumentID&amp;gt;_x000a_        &amp;lt;PrivillegeID&amp;gt;1&amp;lt;/PrivillegeID&amp;gt;_x000a_        &amp;lt;FromPage&amp;gt;0&amp;lt;/FromPage&amp;gt;_x000a_        &amp;lt;ToPage&amp;gt;0&amp;lt;/ToPage&amp;gt;_x000a_        &amp;lt;FileID&amp;gt;b22e22219e010000090037f6b1b42d95&amp;lt;/FileID&amp;gt;_x000a_        &amp;lt;CaseDisplayNumber&amp;gt;65329-04-21&amp;lt;/CaseDisplayNumber&amp;gt;_x000a_        &amp;lt;URL&amp;gt;/ctlnfsv02/Doc_repository/986/928/b22e22219e010000090037f6b1b42d95.docx&amp;lt;/URL&amp;gt;_x000a_        &amp;lt;OlivePriority&amp;gt;1&amp;lt;/OlivePriority&amp;gt;_x000a_        &amp;lt;MetaDataTypeID&amp;gt;1&amp;lt;/MetaDataTypeID&amp;gt;_x000a_        &amp;lt;MetaDataChangeDate&amp;gt;2026-05-13T14:39:09.017+03:00&amp;lt;/MetaDataChangeDate&amp;gt;_x000a_        &amp;lt;MetaData&amp;gt;&amp;amp;lt;?xml version=&amp;quot;1.0&amp;quot; encoding=&amp;quot;utf-16&amp;quot;?&amp;amp;gt;_x000a_&amp;amp;lt;MetaDataSerializableObject xmlns:xsd=&amp;quot;http://www.w3.org/2001/XMLSchema&amp;quot; xmlns:xsi=&amp;quot;http://www.w3.org/2001/XMLSchema-instance&amp;quot;&amp;amp;gt;_x000a_  &amp;amp;lt;_keys&amp;amp;gt;_x000a_    &amp;amp;lt;string&amp;amp;gt;decisionType&amp;amp;lt;/string&amp;amp;gt;_x000a_    &amp;amp;lt;string&amp;amp;gt;technicalDecision&amp;amp;lt;/string&amp;amp;gt;_x000a_    &amp;amp;lt;string&amp;amp;gt;judgeName&amp;amp;lt;/string&amp;amp;gt;_x000a_    &amp;amp;lt;string&amp;amp;gt;decisionDate&amp;amp;lt;/string&amp;amp;gt;_x000a_  &amp;amp;lt;/_keys&amp;amp;gt;_x000a_  &amp;amp;lt;_values&amp;amp;gt;_x000a_    &amp;amp;lt;anyType xsi:type=&amp;quot;xsd:string&amp;quot;&amp;amp;gt;2&amp;amp;lt;/anyType&amp;amp;gt;_x000a_    &amp;amp;lt;anyType xsi:type=&amp;quot;xsd:string&amp;quot;&amp;amp;gt;1&amp;amp;lt;/anyType&amp;amp;gt;_x000a_    &amp;amp;lt;anyType xsi:type=&amp;quot;xsd:string&amp;quot;&amp;amp;gt;מיכל סער&amp;amp;lt;/anyType&amp;amp;gt;_x000a_    &amp;amp;lt;anyType xsi:type=&amp;quot;xsd:dateTime&amp;quot;&amp;amp;gt;2025-12-31T22:52:33.3509103&amp;amp;lt;/anyType&amp;amp;gt;_x000a_  &amp;amp;lt;/_values&amp;amp;gt;_x000a_&amp;amp;lt;/MetaDataSerializableObject&amp;amp;gt;&amp;lt;/MetaData&amp;gt;_x000a_        &amp;lt;IsReturned&amp;gt;false&amp;lt;/IsReturned&amp;gt;_x000a_        &amp;lt;IsCritical&amp;gt;true&amp;lt;/IsCritical&amp;gt;_x000a_        &amp;lt;IsEntityCanceled&amp;gt;false&amp;lt;/IsEntityCanceled&amp;gt;_x000a_        &amp;lt;IsRepresentativeRegistryOpenToPublic&amp;gt;false&amp;lt;/IsRepresentativeRegistryOpenToPublic&amp;gt;_x000a_        &amp;lt;PresentationDate&amp;gt;2025-12-31T22:52:33.35+02:00&amp;lt;/PresentationDate&amp;gt;_x000a_        &amp;lt;StorageTypeID&amp;gt;1&amp;lt;/StorageTypeID&amp;gt;_x000a_        &amp;lt;MediaEntityTypeID&amp;gt;1&amp;lt;/MediaEntityTypeID&amp;gt;_x000a_        &amp;lt;AutoCensorVersionStatusID&amp;gt;6&amp;lt;/AutoCensorVersionStatusID&amp;gt;_x000a_      &amp;lt;/dt_Document&amp;gt;_x000a_    &amp;lt;/DocumentDS&amp;gt;_x000a_    &amp;lt;diffgr:before&amp;gt;_x000a_      &amp;lt;dt_Document diffgr:id=&amp;quot;dt_Document1&amp;quot; msdata:rowOrder=&amp;quot;0&amp;quot; xmlns=&amp;quot;http://www.tempuri.org/DocumentDS.xsd&amp;quot;&amp;gt;_x000a_        &amp;lt;DocumentID&amp;gt;513942159&amp;lt;/DocumentID&amp;gt;_x000a_        &amp;lt;DocumentMainID&amp;gt;0&amp;lt;/DocumentMainID&amp;gt;_x000a_        &amp;lt;CaseID&amp;gt;78295270&amp;lt;/CaseID&amp;gt;_x000a_        &amp;lt;DocumentIncludedDate&amp;gt;2026-05-13T14:39:08.803+03:00&amp;lt;/DocumentIncludedDate&amp;gt;_x000a_        &amp;lt;DocumentDesc&amp;gt;פסק דין  שניתנה ע&amp;quot;י  מיכל סער&amp;lt;/DocumentDesc&amp;gt;_x000a_        &amp;lt;DocumentDirectionID&amp;gt;2&amp;lt;/DocumentDirectionID&amp;gt;_x000a_        &amp;lt;SourceID&amp;gt;1&amp;lt;/SourceID&amp;gt;_x000a_        &amp;lt;VersionNumber&amp;gt;1&amp;lt;/VersionNumber&amp;gt;_x000a_        &amp;lt;DocumentVersionTypeID&amp;gt;2&amp;lt;/DocumentVersionTypeID&amp;gt;_x000a_        &amp;lt;IsAttachment&amp;gt;false&amp;lt;/IsAttachment&amp;gt;_x000a_        &amp;lt;AttachmentOrdinalNumber&amp;gt;0&amp;lt;/AttachmentOrdinalNumber&amp;gt;_x000a_        &amp;lt;DocumentTypeID&amp;gt;73&amp;lt;/DocumentTypeID&amp;gt;_x000a_        &amp;lt;DocumentSavingDate&amp;gt;2026-05-13T14:39:08.803+03:00&amp;lt;/DocumentSavingDate&amp;gt;_x000a_        &amp;lt;DocumentChangeDate&amp;gt;2026-05-13T15:05:52.933+03:00&amp;lt;/DocumentChangeDate&amp;gt;_x000a_        &amp;lt;IsScanned&amp;gt;false&amp;lt;/IsScanned&amp;gt;_x000a_        &amp;lt;PageQuantity&amp;gt;0&amp;lt;/PageQuantity&amp;gt;_x000a_        &amp;lt;DocumentStatusID&amp;gt;2&amp;lt;/DocumentStatusID&amp;gt;_x000a_        &amp;lt;DocumentStatusChangeDate&amp;gt;2026-05-13T14:39:09.017+03:00&amp;lt;/DocumentStatusChangeDate&amp;gt;_x000a_        &amp;lt;TemplateVersionID&amp;gt;1&amp;lt;/TemplateVersionID&amp;gt;_x000a_        &amp;lt;DocumentChangeUserID&amp;gt;304276900@GOV.IL&amp;lt;/DocumentChangeUserID&amp;gt;_x000a_        &amp;lt;DocumentCreationUserID&amp;gt;034813295@GOV.IL&amp;lt;/DocumentCreationUserID&amp;gt;_x000a_        &amp;lt;OriginalDocumentID&amp;gt;501047101&amp;lt;/OriginalDocumentID&amp;gt;_x000a_        &amp;lt;PrivillegeID&amp;gt;1&amp;lt;/PrivillegeID&amp;gt;_x000a_        &amp;lt;FromPage&amp;gt;0&amp;lt;/FromPage&amp;gt;_x000a_        &amp;lt;ToPage&amp;gt;0&amp;lt;/ToPage&amp;gt;_x000a_        &amp;lt;FileID&amp;gt;b22e22219e010000090037f6b1b42d95&amp;lt;/FileID&amp;gt;_x000a_        &amp;lt;CaseDisplayNumber&amp;gt;65329-04-21&amp;lt;/CaseDisplayNumber&amp;gt;_x000a_        &amp;lt;URL&amp;gt;&amp;lt;/URL&amp;gt;_x000a_        &amp;lt;OlivePriority&amp;gt;1&amp;lt;/OlivePriority&amp;gt;_x000a_        &amp;lt;MetaDataTypeID&amp;gt;1&amp;lt;/MetaDataTypeID&amp;gt;_x000a_        &amp;lt;MetaDataChangeDate&amp;gt;2026-05-13T14:39:09.017+03:00&amp;lt;/MetaDataChangeDate&amp;gt;_x000a_        &amp;lt;MetaData&amp;gt;&amp;amp;lt;?xml version=&amp;quot;1.0&amp;quot; encoding=&amp;quot;utf-16&amp;quot;?&amp;amp;gt;_x000a_&amp;amp;lt;MetaDataSerializableObject xmlns:xsd=&amp;quot;http://www.w3.org/2001/XMLSchema&amp;quot; xmlns:xsi=&amp;quot;http://www.w3.org/2001/XMLSchema-instance&amp;quot;&amp;amp;gt;_x000a_  &amp;amp;lt;_keys&amp;amp;gt;_x000a_    &amp;amp;lt;string&amp;amp;gt;decisionType&amp;amp;lt;/string&amp;amp;gt;_x000a_    &amp;amp;lt;string&amp;amp;gt;technicalDecision&amp;amp;lt;/string&amp;amp;gt;_x000a_    &amp;amp;lt;string&amp;amp;gt;judgeName&amp;amp;lt;/string&amp;amp;gt;_x000a_    &amp;amp;lt;string&amp;amp;gt;decisionDate&amp;amp;lt;/string&amp;amp;gt;_x000a_  &amp;amp;lt;/_keys&amp;amp;gt;_x000a_  &amp;amp;lt;_values&amp;amp;gt;_x000a_    &amp;amp;lt;anyType xsi:type=&amp;quot;xsd:string&amp;quot;&amp;amp;gt;2&amp;amp;lt;/anyType&amp;amp;gt;_x000a_    &amp;amp;lt;anyType xsi:type=&amp;quot;xsd:string&amp;quot;&amp;amp;gt;1&amp;amp;lt;/anyType&amp;amp;gt;_x000a_    &amp;amp;lt;anyType xsi:type=&amp;quot;xsd:string&amp;quot;&amp;amp;gt;מיכל סער&amp;amp;lt;/anyType&amp;amp;gt;_x000a_    &amp;amp;lt;anyType xsi:type=&amp;quot;xsd:dateTime&amp;quot;&amp;amp;gt;2025-12-31T22:52:33.3509103&amp;amp;lt;/anyType&amp;amp;gt;_x000a_  &amp;amp;lt;/_values&amp;amp;gt;_x000a_&amp;amp;lt;/MetaDataSerializableObject&amp;amp;gt;&amp;lt;/MetaData&amp;gt;_x000a_        &amp;lt;IsReturned&amp;gt;false&amp;lt;/IsReturned&amp;gt;_x000a_        &amp;lt;IsCritical&amp;gt;true&amp;lt;/IsCritical&amp;gt;_x000a_        &amp;lt;IsEntityCanceled&amp;gt;false&amp;lt;/IsEntityCanceled&amp;gt;_x000a_        &amp;lt;IsRepresentativeRegistryOpenToPublic&amp;gt;false&amp;lt;/IsRepresentativeRegistryOpenToPublic&amp;gt;_x000a_        &amp;lt;PresentationDate&amp;gt;2025-12-31T22:52:33.35+02:00&amp;lt;/PresentationDate&amp;gt;_x000a_        &amp;lt;StorageTypeID&amp;gt;1&amp;lt;/StorageTypeID&amp;gt;_x000a_        &amp;lt;MediaEntityTypeID&amp;gt;1&amp;lt;/MediaEntityTypeID&amp;gt;_x000a_        &amp;lt;AutoCensorVersionStatusID&amp;gt;6&amp;lt;/AutoCensorVersionStatusID&amp;gt;_x000a_      &amp;lt;/dt_Document&amp;gt;_x000a_    &amp;lt;/diffgr:before&amp;gt;_x000a_  &amp;lt;/diffgr:diffgram&amp;gt;_x000a_&amp;lt;/DocumentDS&amp;gt;"/>
    <w:docVar w:name="WordClientAssemblyName" w:val="NGCS.Decision.ClientWordBL"/>
    <w:docVar w:name="WordClientClassName" w:val="NGCS.Decision.ClientWordBL.VersionWordClient"/>
  </w:docVars>
  <w:rsids>
    <w:rsidRoot w:val="00694556"/>
    <w:rsid w:val="00005C8B"/>
    <w:rsid w:val="000146C2"/>
    <w:rsid w:val="000169B4"/>
    <w:rsid w:val="00016C35"/>
    <w:rsid w:val="000258FD"/>
    <w:rsid w:val="000564AB"/>
    <w:rsid w:val="00076EC7"/>
    <w:rsid w:val="00093F8C"/>
    <w:rsid w:val="000C1C74"/>
    <w:rsid w:val="000D4A02"/>
    <w:rsid w:val="000F45CA"/>
    <w:rsid w:val="001072A9"/>
    <w:rsid w:val="00121F97"/>
    <w:rsid w:val="001277D7"/>
    <w:rsid w:val="00132017"/>
    <w:rsid w:val="0014234E"/>
    <w:rsid w:val="00145A87"/>
    <w:rsid w:val="0018072B"/>
    <w:rsid w:val="001B0010"/>
    <w:rsid w:val="001B13F3"/>
    <w:rsid w:val="001C4003"/>
    <w:rsid w:val="001E28D5"/>
    <w:rsid w:val="001F5474"/>
    <w:rsid w:val="002352F7"/>
    <w:rsid w:val="00243EB3"/>
    <w:rsid w:val="0027277D"/>
    <w:rsid w:val="002B6598"/>
    <w:rsid w:val="002D1438"/>
    <w:rsid w:val="00300061"/>
    <w:rsid w:val="00381D3A"/>
    <w:rsid w:val="003823DA"/>
    <w:rsid w:val="003A3CB9"/>
    <w:rsid w:val="003B4540"/>
    <w:rsid w:val="0042437D"/>
    <w:rsid w:val="00426E0C"/>
    <w:rsid w:val="0043595F"/>
    <w:rsid w:val="0047645A"/>
    <w:rsid w:val="00486F4D"/>
    <w:rsid w:val="0049151B"/>
    <w:rsid w:val="004D49A3"/>
    <w:rsid w:val="004D50AC"/>
    <w:rsid w:val="004E6E3C"/>
    <w:rsid w:val="005124F1"/>
    <w:rsid w:val="0051773D"/>
    <w:rsid w:val="005304D8"/>
    <w:rsid w:val="00530BAD"/>
    <w:rsid w:val="00540C7E"/>
    <w:rsid w:val="00541598"/>
    <w:rsid w:val="00547DB7"/>
    <w:rsid w:val="00567324"/>
    <w:rsid w:val="005A3623"/>
    <w:rsid w:val="005B0F49"/>
    <w:rsid w:val="005C7EC6"/>
    <w:rsid w:val="005D4BDB"/>
    <w:rsid w:val="005D6275"/>
    <w:rsid w:val="00622BAA"/>
    <w:rsid w:val="00625C89"/>
    <w:rsid w:val="00633C4F"/>
    <w:rsid w:val="00671BD5"/>
    <w:rsid w:val="006805C1"/>
    <w:rsid w:val="006816EC"/>
    <w:rsid w:val="00694556"/>
    <w:rsid w:val="006A0589"/>
    <w:rsid w:val="006D05FE"/>
    <w:rsid w:val="006E1A53"/>
    <w:rsid w:val="007056AA"/>
    <w:rsid w:val="00744F41"/>
    <w:rsid w:val="00752117"/>
    <w:rsid w:val="00756B3A"/>
    <w:rsid w:val="00776C54"/>
    <w:rsid w:val="007878CA"/>
    <w:rsid w:val="007A24FE"/>
    <w:rsid w:val="007A35AA"/>
    <w:rsid w:val="007A6DB1"/>
    <w:rsid w:val="007F1048"/>
    <w:rsid w:val="00803369"/>
    <w:rsid w:val="00820005"/>
    <w:rsid w:val="00846D27"/>
    <w:rsid w:val="00853C9F"/>
    <w:rsid w:val="008610A7"/>
    <w:rsid w:val="00864F2A"/>
    <w:rsid w:val="008E02EB"/>
    <w:rsid w:val="008E1332"/>
    <w:rsid w:val="008E77EA"/>
    <w:rsid w:val="00903896"/>
    <w:rsid w:val="00927813"/>
    <w:rsid w:val="00930C37"/>
    <w:rsid w:val="00944D13"/>
    <w:rsid w:val="009450B3"/>
    <w:rsid w:val="00957C90"/>
    <w:rsid w:val="009B70F6"/>
    <w:rsid w:val="009C358E"/>
    <w:rsid w:val="009C53A8"/>
    <w:rsid w:val="009E0263"/>
    <w:rsid w:val="00A05665"/>
    <w:rsid w:val="00A267CF"/>
    <w:rsid w:val="00A342BD"/>
    <w:rsid w:val="00A43458"/>
    <w:rsid w:val="00A571DE"/>
    <w:rsid w:val="00A76193"/>
    <w:rsid w:val="00A85150"/>
    <w:rsid w:val="00AB4218"/>
    <w:rsid w:val="00AC4E19"/>
    <w:rsid w:val="00AF1ED6"/>
    <w:rsid w:val="00B02BD2"/>
    <w:rsid w:val="00B32C61"/>
    <w:rsid w:val="00B368FE"/>
    <w:rsid w:val="00B40AEB"/>
    <w:rsid w:val="00B50B9C"/>
    <w:rsid w:val="00B80CBD"/>
    <w:rsid w:val="00BB5D41"/>
    <w:rsid w:val="00BC097F"/>
    <w:rsid w:val="00BC3369"/>
    <w:rsid w:val="00BE2CA6"/>
    <w:rsid w:val="00BF77EE"/>
    <w:rsid w:val="00C03291"/>
    <w:rsid w:val="00C32E0F"/>
    <w:rsid w:val="00C42BF9"/>
    <w:rsid w:val="00C44818"/>
    <w:rsid w:val="00C73EEE"/>
    <w:rsid w:val="00C74311"/>
    <w:rsid w:val="00C74B0A"/>
    <w:rsid w:val="00C83E56"/>
    <w:rsid w:val="00CC63CE"/>
    <w:rsid w:val="00CD3ADF"/>
    <w:rsid w:val="00CD6592"/>
    <w:rsid w:val="00D174CB"/>
    <w:rsid w:val="00D17D85"/>
    <w:rsid w:val="00D319B3"/>
    <w:rsid w:val="00D36A71"/>
    <w:rsid w:val="00D53924"/>
    <w:rsid w:val="00D5636A"/>
    <w:rsid w:val="00D60849"/>
    <w:rsid w:val="00D747F0"/>
    <w:rsid w:val="00D945D2"/>
    <w:rsid w:val="00D96D8C"/>
    <w:rsid w:val="00DA755B"/>
    <w:rsid w:val="00DB2CCA"/>
    <w:rsid w:val="00DD0135"/>
    <w:rsid w:val="00DD337E"/>
    <w:rsid w:val="00DE3EF2"/>
    <w:rsid w:val="00E00B6F"/>
    <w:rsid w:val="00E14AB3"/>
    <w:rsid w:val="00E17ABE"/>
    <w:rsid w:val="00E44DDF"/>
    <w:rsid w:val="00E54642"/>
    <w:rsid w:val="00E7126B"/>
    <w:rsid w:val="00E97908"/>
    <w:rsid w:val="00EA0D34"/>
    <w:rsid w:val="00EB6922"/>
    <w:rsid w:val="00EF3ED0"/>
    <w:rsid w:val="00F17E56"/>
    <w:rsid w:val="00F32861"/>
    <w:rsid w:val="00F5472E"/>
    <w:rsid w:val="00F63D08"/>
    <w:rsid w:val="00FB3C14"/>
    <w:rsid w:val="00FB4102"/>
    <w:rsid w:val="00FC3EB7"/>
    <w:rsid w:val="00FD64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8A0E700"/>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426E0C"/>
    <w:pPr>
      <w:spacing w:after="160" w:line="256" w:lineRule="auto"/>
      <w:ind w:left="720"/>
      <w:contextualSpacing/>
    </w:pPr>
    <w:rPr>
      <w:rFonts w:asciiTheme="minorHAnsi" w:eastAsiaTheme="minorHAnsi" w:hAnsiTheme="minorHAnsi" w:cstheme="minorBidi"/>
      <w:noProof w:val="0"/>
      <w:sz w:val="22"/>
      <w:szCs w:val="22"/>
    </w:rPr>
  </w:style>
  <w:style w:type="character" w:customStyle="1" w:styleId="ae">
    <w:name w:val="תואר תו"/>
    <w:link w:val="af"/>
    <w:locked/>
    <w:rsid w:val="00426E0C"/>
    <w:rPr>
      <w:b/>
      <w:bCs/>
      <w:szCs w:val="28"/>
      <w:u w:val="single"/>
      <w:shd w:val="pct20" w:color="auto" w:fill="FFFFFF"/>
      <w:lang w:eastAsia="he-IL"/>
    </w:rPr>
  </w:style>
  <w:style w:type="paragraph" w:customStyle="1" w:styleId="af">
    <w:name w:val="תואר"/>
    <w:basedOn w:val="a"/>
    <w:link w:val="ae"/>
    <w:qFormat/>
    <w:rsid w:val="00426E0C"/>
    <w:pPr>
      <w:shd w:val="pct20" w:color="auto" w:fill="FFFFFF"/>
      <w:spacing w:line="480" w:lineRule="auto"/>
      <w:ind w:left="1701" w:hanging="1701"/>
      <w:jc w:val="center"/>
    </w:pPr>
    <w:rPr>
      <w:rFonts w:cs="Times New Roman"/>
      <w:b/>
      <w:bCs/>
      <w:noProof w:val="0"/>
      <w:sz w:val="20"/>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1A29ED">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12"/>
    <w:rsid w:val="001A29ED"/>
    <w:rsid w:val="001B116E"/>
    <w:rsid w:val="00200BA6"/>
    <w:rsid w:val="00833049"/>
    <w:rsid w:val="00B40AEB"/>
    <w:rsid w:val="00B65812"/>
    <w:rsid w:val="00C44818"/>
    <w:rsid w:val="00CC5512"/>
    <w:rsid w:val="00EA7F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512"/>
    <w:pPr>
      <w:bidi/>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0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5271</Words>
  <Characters>26356</Characters>
  <Application>Microsoft Office Word</Application>
  <DocSecurity>0</DocSecurity>
  <Lines>219</Lines>
  <Paragraphs>63</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anatk</dc:creator>
  <cp:lastModifiedBy>orit כהן</cp:lastModifiedBy>
  <cp:revision>2</cp:revision>
  <dcterms:created xsi:type="dcterms:W3CDTF">2026-05-19T08:05:00Z</dcterms:created>
  <dcterms:modified xsi:type="dcterms:W3CDTF">2026-05-19T08:05:00Z</dcterms:modified>
</cp:coreProperties>
</file>