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9"/>
        <w:bidiVisual/>
        <w:tblW w:w="88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43"/>
        <w:gridCol w:w="2506"/>
        <w:gridCol w:w="5571"/>
      </w:tblGrid>
      <w:tr w:rsidR="006816EC" w:rsidRPr="00CD0055" w14:paraId="7593CE50" w14:textId="77777777" w:rsidTr="006816EC">
        <w:trPr>
          <w:jc w:val="center"/>
        </w:trPr>
        <w:tc>
          <w:tcPr>
            <w:tcW w:w="743" w:type="dxa"/>
            <w:hideMark/>
          </w:tcPr>
          <w:p w14:paraId="394C2318" w14:textId="77777777" w:rsidR="006816EC" w:rsidRPr="00CD0055" w:rsidRDefault="00295DD1">
            <w:pPr>
              <w:jc w:val="both"/>
              <w:rPr>
                <w:rFonts w:ascii="Arial (W1)" w:hAnsi="Arial (W1)"/>
                <w:b/>
                <w:bCs/>
                <w:sz w:val="26"/>
                <w:szCs w:val="26"/>
              </w:rPr>
            </w:pPr>
            <w:r>
              <w:rPr>
                <w:rFonts w:hint="cs"/>
                <w:b/>
                <w:bCs/>
                <w:sz w:val="26"/>
                <w:szCs w:val="26"/>
                <w:rtl/>
              </w:rPr>
              <w:t>ל</w:t>
            </w:r>
            <w:r w:rsidR="006816EC" w:rsidRPr="00CD0055">
              <w:rPr>
                <w:rFonts w:hint="cs"/>
                <w:b/>
                <w:bCs/>
                <w:sz w:val="26"/>
                <w:szCs w:val="26"/>
                <w:rtl/>
              </w:rPr>
              <w:t xml:space="preserve">פני </w:t>
            </w:r>
          </w:p>
        </w:tc>
        <w:tc>
          <w:tcPr>
            <w:tcW w:w="8077" w:type="dxa"/>
            <w:gridSpan w:val="2"/>
            <w:hideMark/>
          </w:tcPr>
          <w:p w14:paraId="38EB2D01" w14:textId="77777777" w:rsidR="006816EC" w:rsidRPr="00CD0055" w:rsidRDefault="00B32C61" w:rsidP="0027316B">
            <w:pPr>
              <w:rPr>
                <w:rFonts w:ascii="Arial" w:hAnsi="Arial"/>
                <w:b/>
                <w:bCs/>
                <w:sz w:val="26"/>
                <w:szCs w:val="26"/>
                <w:rtl/>
              </w:rPr>
            </w:pPr>
            <w:r w:rsidRPr="00CD0055">
              <w:rPr>
                <w:rFonts w:ascii="Arial" w:hAnsi="Arial" w:hint="cs"/>
                <w:b/>
                <w:bCs/>
                <w:sz w:val="26"/>
                <w:szCs w:val="26"/>
                <w:rtl/>
              </w:rPr>
              <w:t>כבוד</w:t>
            </w:r>
            <w:r w:rsidR="006816EC" w:rsidRPr="00CD0055">
              <w:rPr>
                <w:rFonts w:ascii="Arial" w:hAnsi="Arial" w:hint="cs"/>
                <w:b/>
                <w:bCs/>
                <w:sz w:val="26"/>
                <w:szCs w:val="26"/>
                <w:rtl/>
              </w:rPr>
              <w:t xml:space="preserve"> ה</w:t>
            </w:r>
            <w:sdt>
              <w:sdtPr>
                <w:rPr>
                  <w:sz w:val="26"/>
                  <w:szCs w:val="26"/>
                  <w:rtl/>
                </w:rPr>
                <w:alias w:val="1574"/>
                <w:tag w:val="1574"/>
                <w:id w:val="-868990752"/>
                <w:text w:multiLine="1"/>
              </w:sdtPr>
              <w:sdtEndPr/>
              <w:sdtContent>
                <w:r>
                  <w:rPr>
                    <w:rFonts w:ascii="Arial" w:hAnsi="Arial"/>
                    <w:b/>
                    <w:bCs/>
                    <w:sz w:val="26"/>
                    <w:szCs w:val="26"/>
                    <w:rtl/>
                  </w:rPr>
                  <w:t>שופט, סגן הנשיא</w:t>
                </w:r>
              </w:sdtContent>
            </w:sdt>
            <w:r w:rsidR="006816EC" w:rsidRPr="00CD0055">
              <w:rPr>
                <w:rFonts w:ascii="Arial" w:hAnsi="Arial" w:hint="cs"/>
                <w:b/>
                <w:bCs/>
                <w:sz w:val="26"/>
                <w:szCs w:val="26"/>
                <w:rtl/>
              </w:rPr>
              <w:t xml:space="preserve"> </w:t>
            </w:r>
            <w:sdt>
              <w:sdtPr>
                <w:rPr>
                  <w:b/>
                  <w:bCs/>
                  <w:sz w:val="26"/>
                  <w:szCs w:val="26"/>
                  <w:rtl/>
                </w:rPr>
                <w:alias w:val="1573"/>
                <w:tag w:val="1573"/>
                <w:id w:val="407734867"/>
                <w:text w:multiLine="1"/>
              </w:sdtPr>
              <w:sdtEndPr/>
              <w:sdtContent>
                <w:r w:rsidR="0027316B" w:rsidRPr="0027316B">
                  <w:rPr>
                    <w:rFonts w:hint="cs"/>
                    <w:b/>
                    <w:bCs/>
                    <w:sz w:val="26"/>
                    <w:szCs w:val="26"/>
                    <w:rtl/>
                  </w:rPr>
                  <w:t xml:space="preserve">שי </w:t>
                </w:r>
                <w:r w:rsidRPr="0027316B">
                  <w:rPr>
                    <w:rFonts w:ascii="Arial" w:hAnsi="Arial"/>
                    <w:b/>
                    <w:bCs/>
                    <w:sz w:val="26"/>
                    <w:szCs w:val="26"/>
                    <w:rtl/>
                  </w:rPr>
                  <w:t>יניב</w:t>
                </w:r>
              </w:sdtContent>
            </w:sdt>
          </w:p>
          <w:p w14:paraId="312A5EAC" w14:textId="77777777" w:rsidR="006816EC" w:rsidRPr="00CD0055" w:rsidRDefault="006816EC" w:rsidP="006816EC">
            <w:pPr>
              <w:rPr>
                <w:sz w:val="26"/>
                <w:szCs w:val="26"/>
              </w:rPr>
            </w:pPr>
          </w:p>
          <w:p w14:paraId="417EC81F" w14:textId="77777777" w:rsidR="006816EC" w:rsidRPr="00CD0055" w:rsidRDefault="00B32C61" w:rsidP="004822EB">
            <w:pPr>
              <w:rPr>
                <w:rFonts w:ascii="Arial" w:hAnsi="Arial"/>
                <w:b/>
                <w:bCs/>
                <w:sz w:val="26"/>
                <w:szCs w:val="26"/>
                <w:rtl/>
              </w:rPr>
            </w:pPr>
            <w:r w:rsidRPr="00CD0055">
              <w:rPr>
                <w:rFonts w:ascii="Arial" w:hAnsi="Arial" w:hint="cs"/>
                <w:b/>
                <w:bCs/>
                <w:sz w:val="26"/>
                <w:szCs w:val="26"/>
                <w:rtl/>
              </w:rPr>
              <w:t>כבוד</w:t>
            </w:r>
            <w:r w:rsidR="006816EC" w:rsidRPr="00CD0055">
              <w:rPr>
                <w:rFonts w:ascii="Arial" w:hAnsi="Arial" w:hint="cs"/>
                <w:b/>
                <w:bCs/>
                <w:sz w:val="26"/>
                <w:szCs w:val="26"/>
                <w:rtl/>
              </w:rPr>
              <w:t xml:space="preserve"> ה</w:t>
            </w:r>
            <w:sdt>
              <w:sdtPr>
                <w:rPr>
                  <w:sz w:val="26"/>
                  <w:szCs w:val="26"/>
                  <w:rtl/>
                </w:rPr>
                <w:alias w:val="1574"/>
                <w:tag w:val="1574"/>
                <w:id w:val="-1385626394"/>
                <w:text w:multiLine="1"/>
              </w:sdtPr>
              <w:sdtEndPr/>
              <w:sdtContent>
                <w:r>
                  <w:rPr>
                    <w:rFonts w:ascii="Arial" w:hAnsi="Arial"/>
                    <w:b/>
                    <w:bCs/>
                    <w:sz w:val="26"/>
                    <w:szCs w:val="26"/>
                    <w:rtl/>
                  </w:rPr>
                  <w:t>שופט</w:t>
                </w:r>
                <w:r w:rsidR="0027316B">
                  <w:rPr>
                    <w:rFonts w:ascii="Arial" w:hAnsi="Arial" w:hint="cs"/>
                    <w:b/>
                    <w:bCs/>
                    <w:sz w:val="26"/>
                    <w:szCs w:val="26"/>
                    <w:rtl/>
                  </w:rPr>
                  <w:t>ת</w:t>
                </w:r>
              </w:sdtContent>
            </w:sdt>
            <w:r w:rsidR="006816EC" w:rsidRPr="00CD0055">
              <w:rPr>
                <w:rFonts w:ascii="Arial" w:hAnsi="Arial" w:hint="cs"/>
                <w:b/>
                <w:bCs/>
                <w:sz w:val="26"/>
                <w:szCs w:val="26"/>
                <w:rtl/>
              </w:rPr>
              <w:t xml:space="preserve"> </w:t>
            </w:r>
            <w:sdt>
              <w:sdtPr>
                <w:rPr>
                  <w:b/>
                  <w:bCs/>
                  <w:sz w:val="26"/>
                  <w:szCs w:val="26"/>
                  <w:rtl/>
                </w:rPr>
                <w:alias w:val="1573"/>
                <w:tag w:val="1573"/>
                <w:id w:val="862793212"/>
                <w:text w:multiLine="1"/>
              </w:sdtPr>
              <w:sdtEndPr/>
              <w:sdtContent>
                <w:r w:rsidR="004822EB" w:rsidRPr="004822EB">
                  <w:rPr>
                    <w:rFonts w:hint="cs"/>
                    <w:b/>
                    <w:bCs/>
                    <w:sz w:val="26"/>
                    <w:szCs w:val="26"/>
                    <w:rtl/>
                  </w:rPr>
                  <w:t>דנה אמיר</w:t>
                </w:r>
              </w:sdtContent>
            </w:sdt>
          </w:p>
          <w:p w14:paraId="37D02CB9" w14:textId="77777777" w:rsidR="006816EC" w:rsidRPr="00CD0055" w:rsidRDefault="006816EC" w:rsidP="006816EC">
            <w:pPr>
              <w:rPr>
                <w:sz w:val="26"/>
                <w:szCs w:val="26"/>
              </w:rPr>
            </w:pPr>
          </w:p>
          <w:p w14:paraId="4850786B" w14:textId="77777777" w:rsidR="006816EC" w:rsidRPr="00CD0055" w:rsidRDefault="00B32C61" w:rsidP="004822EB">
            <w:pPr>
              <w:rPr>
                <w:rFonts w:ascii="Arial" w:hAnsi="Arial"/>
                <w:b/>
                <w:bCs/>
                <w:sz w:val="26"/>
                <w:szCs w:val="26"/>
                <w:rtl/>
              </w:rPr>
            </w:pPr>
            <w:r w:rsidRPr="00CD0055">
              <w:rPr>
                <w:rFonts w:ascii="Arial" w:hAnsi="Arial" w:hint="cs"/>
                <w:b/>
                <w:bCs/>
                <w:sz w:val="26"/>
                <w:szCs w:val="26"/>
                <w:rtl/>
              </w:rPr>
              <w:t>כבוד</w:t>
            </w:r>
            <w:r w:rsidR="006816EC" w:rsidRPr="00CD0055">
              <w:rPr>
                <w:rFonts w:ascii="Arial" w:hAnsi="Arial" w:hint="cs"/>
                <w:b/>
                <w:bCs/>
                <w:sz w:val="26"/>
                <w:szCs w:val="26"/>
                <w:rtl/>
              </w:rPr>
              <w:t xml:space="preserve"> ה</w:t>
            </w:r>
            <w:sdt>
              <w:sdtPr>
                <w:rPr>
                  <w:sz w:val="26"/>
                  <w:szCs w:val="26"/>
                  <w:rtl/>
                </w:rPr>
                <w:alias w:val="1574"/>
                <w:tag w:val="1574"/>
                <w:id w:val="233517189"/>
                <w:text w:multiLine="1"/>
              </w:sdtPr>
              <w:sdtEndPr/>
              <w:sdtContent>
                <w:r>
                  <w:rPr>
                    <w:rFonts w:ascii="Arial" w:hAnsi="Arial"/>
                    <w:b/>
                    <w:bCs/>
                    <w:sz w:val="26"/>
                    <w:szCs w:val="26"/>
                    <w:rtl/>
                  </w:rPr>
                  <w:t>שופטת</w:t>
                </w:r>
              </w:sdtContent>
            </w:sdt>
            <w:r w:rsidR="006816EC" w:rsidRPr="00CD0055">
              <w:rPr>
                <w:rFonts w:ascii="Arial" w:hAnsi="Arial" w:hint="cs"/>
                <w:b/>
                <w:bCs/>
                <w:sz w:val="26"/>
                <w:szCs w:val="26"/>
                <w:rtl/>
              </w:rPr>
              <w:t xml:space="preserve"> </w:t>
            </w:r>
            <w:sdt>
              <w:sdtPr>
                <w:rPr>
                  <w:sz w:val="26"/>
                  <w:szCs w:val="26"/>
                  <w:rtl/>
                </w:rPr>
                <w:alias w:val="1573"/>
                <w:tag w:val="1573"/>
                <w:id w:val="-1415161672"/>
                <w:text w:multiLine="1"/>
              </w:sdtPr>
              <w:sdtEndPr/>
              <w:sdtContent>
                <w:r w:rsidR="004822EB">
                  <w:rPr>
                    <w:rFonts w:ascii="Arial" w:hAnsi="Arial" w:hint="cs"/>
                    <w:b/>
                    <w:bCs/>
                    <w:sz w:val="26"/>
                    <w:szCs w:val="26"/>
                    <w:rtl/>
                  </w:rPr>
                  <w:t>מיכל רוזן עוזר</w:t>
                </w:r>
              </w:sdtContent>
            </w:sdt>
          </w:p>
          <w:p w14:paraId="52287816" w14:textId="77777777" w:rsidR="006816EC" w:rsidRPr="00CD0055" w:rsidRDefault="006816EC" w:rsidP="006816EC">
            <w:pPr>
              <w:rPr>
                <w:sz w:val="26"/>
                <w:szCs w:val="26"/>
              </w:rPr>
            </w:pPr>
          </w:p>
        </w:tc>
      </w:tr>
      <w:tr w:rsidR="006816EC" w:rsidRPr="00CD0055" w14:paraId="603D72C3" w14:textId="77777777" w:rsidTr="006816EC">
        <w:trPr>
          <w:jc w:val="center"/>
        </w:trPr>
        <w:tc>
          <w:tcPr>
            <w:tcW w:w="3249" w:type="dxa"/>
            <w:gridSpan w:val="2"/>
          </w:tcPr>
          <w:p w14:paraId="425EC999" w14:textId="77777777" w:rsidR="006816EC" w:rsidRPr="00CD0055" w:rsidRDefault="006816EC">
            <w:pPr>
              <w:bidi w:val="0"/>
              <w:rPr>
                <w:rFonts w:ascii="Arial (W1)" w:hAnsi="Arial (W1)"/>
                <w:b/>
                <w:bCs/>
                <w:noProof w:val="0"/>
                <w:sz w:val="26"/>
                <w:szCs w:val="26"/>
                <w:rtl/>
              </w:rPr>
            </w:pPr>
          </w:p>
          <w:sdt>
            <w:sdtPr>
              <w:rPr>
                <w:rFonts w:hint="cs"/>
                <w:sz w:val="26"/>
                <w:szCs w:val="26"/>
                <w:rtl/>
              </w:rPr>
              <w:alias w:val="1180"/>
              <w:tag w:val="1180"/>
              <w:id w:val="-803768281"/>
              <w:text w:multiLine="1"/>
            </w:sdtPr>
            <w:sdtEndPr/>
            <w:sdtContent>
              <w:p w14:paraId="4968DA35" w14:textId="77777777" w:rsidR="00B237C9" w:rsidRDefault="0027316B" w:rsidP="0027316B">
                <w:pPr>
                  <w:rPr>
                    <w:rFonts w:ascii="Arial (W1)" w:hAnsi="Arial (W1)"/>
                    <w:b/>
                    <w:bCs/>
                    <w:noProof w:val="0"/>
                    <w:sz w:val="26"/>
                    <w:szCs w:val="26"/>
                  </w:rPr>
                </w:pPr>
                <w:r>
                  <w:rPr>
                    <w:rFonts w:hint="cs"/>
                    <w:b/>
                    <w:bCs/>
                    <w:noProof w:val="0"/>
                    <w:sz w:val="26"/>
                    <w:szCs w:val="26"/>
                    <w:rtl/>
                  </w:rPr>
                  <w:t>ה</w:t>
                </w:r>
                <w:r w:rsidR="0028131F">
                  <w:rPr>
                    <w:rFonts w:hint="cs"/>
                    <w:b/>
                    <w:bCs/>
                    <w:noProof w:val="0"/>
                    <w:sz w:val="26"/>
                    <w:szCs w:val="26"/>
                    <w:rtl/>
                  </w:rPr>
                  <w:t>מערער</w:t>
                </w:r>
              </w:p>
            </w:sdtContent>
          </w:sdt>
        </w:tc>
        <w:tc>
          <w:tcPr>
            <w:tcW w:w="5571" w:type="dxa"/>
          </w:tcPr>
          <w:p w14:paraId="5688051C" w14:textId="77777777" w:rsidR="006816EC" w:rsidRPr="00CD0055" w:rsidRDefault="006816EC">
            <w:pPr>
              <w:rPr>
                <w:rFonts w:ascii="Arial (W1)" w:hAnsi="Arial (W1)"/>
                <w:b/>
                <w:bCs/>
                <w:noProof w:val="0"/>
                <w:sz w:val="26"/>
                <w:szCs w:val="26"/>
                <w:rtl/>
              </w:rPr>
            </w:pPr>
          </w:p>
          <w:p w14:paraId="3B38E58E" w14:textId="77777777" w:rsidR="00295DD1" w:rsidRDefault="00177DA9">
            <w:pPr>
              <w:rPr>
                <w:sz w:val="26"/>
                <w:szCs w:val="26"/>
                <w:rtl/>
              </w:rPr>
            </w:pPr>
            <w:sdt>
              <w:sdtPr>
                <w:rPr>
                  <w:rFonts w:hint="cs"/>
                  <w:sz w:val="26"/>
                  <w:szCs w:val="26"/>
                  <w:rtl/>
                </w:rPr>
                <w:alias w:val="1478"/>
                <w:tag w:val="1478"/>
                <w:id w:val="160126198"/>
                <w:text w:multiLine="1"/>
              </w:sdtPr>
              <w:sdtEndPr/>
              <w:sdtContent>
                <w:r w:rsidR="006B5553">
                  <w:rPr>
                    <w:rFonts w:hint="cs"/>
                    <w:b/>
                    <w:bCs/>
                    <w:noProof w:val="0"/>
                    <w:sz w:val="26"/>
                    <w:szCs w:val="26"/>
                    <w:rtl/>
                  </w:rPr>
                  <w:t xml:space="preserve">אספה </w:t>
                </w:r>
                <w:proofErr w:type="spellStart"/>
                <w:r w:rsidR="006B5553">
                  <w:rPr>
                    <w:rFonts w:hint="cs"/>
                    <w:b/>
                    <w:bCs/>
                    <w:noProof w:val="0"/>
                    <w:sz w:val="26"/>
                    <w:szCs w:val="26"/>
                    <w:rtl/>
                  </w:rPr>
                  <w:t>טסמה</w:t>
                </w:r>
                <w:proofErr w:type="spellEnd"/>
              </w:sdtContent>
            </w:sdt>
          </w:p>
          <w:p w14:paraId="10CB3F06" w14:textId="77777777" w:rsidR="006816EC" w:rsidRPr="00CD0055" w:rsidRDefault="00295DD1">
            <w:pPr>
              <w:rPr>
                <w:rFonts w:ascii="Arial (W1)" w:hAnsi="Arial (W1)"/>
                <w:b/>
                <w:bCs/>
                <w:noProof w:val="0"/>
                <w:sz w:val="26"/>
                <w:szCs w:val="26"/>
              </w:rPr>
            </w:pPr>
            <w:r>
              <w:rPr>
                <w:rFonts w:hint="cs"/>
                <w:sz w:val="26"/>
                <w:szCs w:val="26"/>
                <w:rtl/>
              </w:rPr>
              <w:t>ע"י ב"כ עו"ד</w:t>
            </w:r>
            <w:r w:rsidR="0027316B">
              <w:rPr>
                <w:rFonts w:ascii="Arial (W1)" w:hAnsi="Arial (W1)" w:hint="cs"/>
                <w:b/>
                <w:bCs/>
                <w:noProof w:val="0"/>
                <w:sz w:val="26"/>
                <w:szCs w:val="26"/>
                <w:rtl/>
              </w:rPr>
              <w:t xml:space="preserve"> </w:t>
            </w:r>
            <w:r w:rsidR="0027316B" w:rsidRPr="0027316B">
              <w:rPr>
                <w:rFonts w:ascii="Arial (W1)" w:hAnsi="Arial (W1)" w:hint="cs"/>
                <w:noProof w:val="0"/>
                <w:sz w:val="26"/>
                <w:szCs w:val="26"/>
                <w:rtl/>
              </w:rPr>
              <w:t>מיכל רובינשטיין</w:t>
            </w:r>
          </w:p>
        </w:tc>
      </w:tr>
      <w:tr w:rsidR="006816EC" w:rsidRPr="00CD0055" w14:paraId="2DBF9F26" w14:textId="77777777" w:rsidTr="006816EC">
        <w:trPr>
          <w:jc w:val="center"/>
        </w:trPr>
        <w:tc>
          <w:tcPr>
            <w:tcW w:w="8820" w:type="dxa"/>
            <w:gridSpan w:val="3"/>
          </w:tcPr>
          <w:p w14:paraId="30689BC6" w14:textId="77777777" w:rsidR="006816EC" w:rsidRPr="00CD0055" w:rsidRDefault="006816EC">
            <w:pPr>
              <w:rPr>
                <w:rFonts w:ascii="Arial (W1)" w:hAnsi="Arial (W1)"/>
                <w:b/>
                <w:bCs/>
                <w:noProof w:val="0"/>
                <w:sz w:val="26"/>
                <w:szCs w:val="26"/>
                <w:rtl/>
              </w:rPr>
            </w:pPr>
          </w:p>
          <w:p w14:paraId="382CDB37" w14:textId="77777777" w:rsidR="006816EC" w:rsidRPr="00CD0055" w:rsidRDefault="006816EC">
            <w:pPr>
              <w:jc w:val="center"/>
              <w:rPr>
                <w:b/>
                <w:bCs/>
                <w:noProof w:val="0"/>
                <w:sz w:val="26"/>
                <w:szCs w:val="26"/>
                <w:rtl/>
              </w:rPr>
            </w:pPr>
            <w:r w:rsidRPr="00CD0055">
              <w:rPr>
                <w:rFonts w:hint="cs"/>
                <w:b/>
                <w:bCs/>
                <w:noProof w:val="0"/>
                <w:sz w:val="26"/>
                <w:szCs w:val="26"/>
                <w:rtl/>
              </w:rPr>
              <w:t>נגד</w:t>
            </w:r>
          </w:p>
          <w:p w14:paraId="2BE2901E" w14:textId="77777777" w:rsidR="006816EC" w:rsidRPr="00CD0055" w:rsidRDefault="006816EC">
            <w:pPr>
              <w:rPr>
                <w:rFonts w:ascii="Arial (W1)" w:hAnsi="Arial (W1)"/>
                <w:b/>
                <w:bCs/>
                <w:noProof w:val="0"/>
                <w:sz w:val="26"/>
                <w:szCs w:val="26"/>
              </w:rPr>
            </w:pPr>
          </w:p>
        </w:tc>
      </w:tr>
      <w:tr w:rsidR="006816EC" w:rsidRPr="00CD0055" w14:paraId="74656CC4" w14:textId="77777777" w:rsidTr="006816EC">
        <w:trPr>
          <w:jc w:val="center"/>
        </w:trPr>
        <w:tc>
          <w:tcPr>
            <w:tcW w:w="3249" w:type="dxa"/>
            <w:gridSpan w:val="2"/>
          </w:tcPr>
          <w:p w14:paraId="2B493CE3" w14:textId="77777777" w:rsidR="006816EC" w:rsidRPr="00CD0055" w:rsidRDefault="00177DA9" w:rsidP="0027316B">
            <w:pPr>
              <w:rPr>
                <w:rFonts w:ascii="Arial (W1)" w:hAnsi="Arial (W1)"/>
                <w:b/>
                <w:bCs/>
                <w:noProof w:val="0"/>
                <w:sz w:val="26"/>
                <w:szCs w:val="26"/>
              </w:rPr>
            </w:pPr>
            <w:sdt>
              <w:sdtPr>
                <w:rPr>
                  <w:rFonts w:hint="cs"/>
                  <w:sz w:val="26"/>
                  <w:szCs w:val="26"/>
                  <w:rtl/>
                </w:rPr>
                <w:alias w:val="1184"/>
                <w:tag w:val="1184"/>
                <w:id w:val="-910234160"/>
                <w:text w:multiLine="1"/>
              </w:sdtPr>
              <w:sdtEndPr/>
              <w:sdtContent>
                <w:r w:rsidR="0027316B">
                  <w:rPr>
                    <w:rFonts w:hint="cs"/>
                    <w:b/>
                    <w:bCs/>
                    <w:noProof w:val="0"/>
                    <w:sz w:val="26"/>
                    <w:szCs w:val="26"/>
                    <w:rtl/>
                  </w:rPr>
                  <w:t>ה</w:t>
                </w:r>
                <w:r w:rsidR="006B5553">
                  <w:rPr>
                    <w:rFonts w:hint="cs"/>
                    <w:b/>
                    <w:bCs/>
                    <w:noProof w:val="0"/>
                    <w:sz w:val="26"/>
                    <w:szCs w:val="26"/>
                    <w:rtl/>
                  </w:rPr>
                  <w:t>משיב</w:t>
                </w:r>
                <w:r w:rsidR="0027316B">
                  <w:rPr>
                    <w:rFonts w:hint="cs"/>
                    <w:b/>
                    <w:bCs/>
                    <w:noProof w:val="0"/>
                    <w:sz w:val="26"/>
                    <w:szCs w:val="26"/>
                    <w:rtl/>
                  </w:rPr>
                  <w:t>ה</w:t>
                </w:r>
              </w:sdtContent>
            </w:sdt>
          </w:p>
        </w:tc>
        <w:tc>
          <w:tcPr>
            <w:tcW w:w="5571" w:type="dxa"/>
          </w:tcPr>
          <w:p w14:paraId="33B1A044" w14:textId="77777777" w:rsidR="00295DD1" w:rsidRDefault="00177DA9">
            <w:pPr>
              <w:rPr>
                <w:sz w:val="26"/>
                <w:szCs w:val="26"/>
                <w:rtl/>
              </w:rPr>
            </w:pPr>
            <w:sdt>
              <w:sdtPr>
                <w:rPr>
                  <w:rFonts w:hint="cs"/>
                  <w:sz w:val="26"/>
                  <w:szCs w:val="26"/>
                  <w:rtl/>
                </w:rPr>
                <w:alias w:val="1486"/>
                <w:tag w:val="1486"/>
                <w:id w:val="1487590763"/>
                <w:text w:multiLine="1"/>
              </w:sdtPr>
              <w:sdtEndPr/>
              <w:sdtContent>
                <w:r w:rsidR="006B5553">
                  <w:rPr>
                    <w:rFonts w:hint="cs"/>
                    <w:b/>
                    <w:bCs/>
                    <w:noProof w:val="0"/>
                    <w:sz w:val="26"/>
                    <w:szCs w:val="26"/>
                    <w:rtl/>
                  </w:rPr>
                  <w:t>מדינת ישראל</w:t>
                </w:r>
              </w:sdtContent>
            </w:sdt>
          </w:p>
          <w:p w14:paraId="405E1556" w14:textId="77777777" w:rsidR="006816EC" w:rsidRPr="00CD0055" w:rsidRDefault="00295DD1">
            <w:pPr>
              <w:rPr>
                <w:rFonts w:ascii="Arial (W1)" w:hAnsi="Arial (W1)"/>
                <w:b/>
                <w:bCs/>
                <w:noProof w:val="0"/>
                <w:sz w:val="26"/>
                <w:szCs w:val="26"/>
              </w:rPr>
            </w:pPr>
            <w:r>
              <w:rPr>
                <w:rFonts w:hint="cs"/>
                <w:sz w:val="26"/>
                <w:szCs w:val="26"/>
                <w:rtl/>
              </w:rPr>
              <w:t>ע"י ב"כ עו"ד</w:t>
            </w:r>
            <w:r w:rsidR="0027316B">
              <w:rPr>
                <w:rFonts w:ascii="Arial (W1)" w:hAnsi="Arial (W1)" w:hint="cs"/>
                <w:b/>
                <w:bCs/>
                <w:noProof w:val="0"/>
                <w:sz w:val="26"/>
                <w:szCs w:val="26"/>
                <w:rtl/>
              </w:rPr>
              <w:t xml:space="preserve"> </w:t>
            </w:r>
            <w:r w:rsidR="0027316B" w:rsidRPr="0027316B">
              <w:rPr>
                <w:rFonts w:ascii="Arial (W1)" w:hAnsi="Arial (W1)" w:hint="cs"/>
                <w:noProof w:val="0"/>
                <w:sz w:val="26"/>
                <w:szCs w:val="26"/>
                <w:rtl/>
              </w:rPr>
              <w:t xml:space="preserve">פיה </w:t>
            </w:r>
            <w:proofErr w:type="spellStart"/>
            <w:r w:rsidR="0027316B" w:rsidRPr="0027316B">
              <w:rPr>
                <w:rFonts w:ascii="Arial (W1)" w:hAnsi="Arial (W1)" w:hint="cs"/>
                <w:noProof w:val="0"/>
                <w:sz w:val="26"/>
                <w:szCs w:val="26"/>
                <w:rtl/>
              </w:rPr>
              <w:t>גלבר</w:t>
            </w:r>
            <w:proofErr w:type="spellEnd"/>
          </w:p>
        </w:tc>
      </w:tr>
    </w:tbl>
    <w:p w14:paraId="720A83F3" w14:textId="77777777" w:rsidR="006816EC" w:rsidRDefault="006816EC" w:rsidP="006816EC">
      <w:pPr>
        <w:suppressLineNumbers/>
        <w:rPr>
          <w:rFonts w:ascii="Arial (W1)" w:hAnsi="Arial (W1)"/>
          <w:sz w:val="28"/>
          <w:szCs w:val="28"/>
          <w:rtl/>
        </w:rPr>
      </w:pPr>
    </w:p>
    <w:tbl>
      <w:tblPr>
        <w:tblStyle w:val="a9"/>
        <w:bidiVisual/>
        <w:tblW w:w="88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820"/>
      </w:tblGrid>
      <w:tr w:rsidR="00694556" w14:paraId="24C528D2" w14:textId="77777777">
        <w:trPr>
          <w:jc w:val="center"/>
        </w:trPr>
        <w:tc>
          <w:tcPr>
            <w:tcW w:w="8820" w:type="dxa"/>
          </w:tcPr>
          <w:p w14:paraId="1874FF16" w14:textId="77777777" w:rsidR="00694556" w:rsidRDefault="00005C8B">
            <w:pPr>
              <w:bidi w:val="0"/>
              <w:jc w:val="center"/>
              <w:rPr>
                <w:rFonts w:ascii="Arial" w:hAnsi="Arial"/>
                <w:b/>
                <w:bCs/>
                <w:noProof w:val="0"/>
                <w:sz w:val="28"/>
                <w:szCs w:val="28"/>
                <w:u w:val="single"/>
              </w:rPr>
            </w:pPr>
            <w:r>
              <w:rPr>
                <w:rFonts w:ascii="Arial" w:hAnsi="Arial"/>
                <w:b/>
                <w:bCs/>
                <w:noProof w:val="0"/>
                <w:sz w:val="28"/>
                <w:szCs w:val="28"/>
                <w:u w:val="single"/>
                <w:rtl/>
              </w:rPr>
              <w:t>פסק דין</w:t>
            </w:r>
          </w:p>
          <w:p w14:paraId="5B6AA191" w14:textId="77777777" w:rsidR="004822EB" w:rsidRDefault="004822EB" w:rsidP="004822EB">
            <w:pPr>
              <w:bidi w:val="0"/>
              <w:jc w:val="center"/>
              <w:rPr>
                <w:rFonts w:ascii="Arial" w:hAnsi="Arial"/>
                <w:b/>
                <w:bCs/>
                <w:noProof w:val="0"/>
                <w:sz w:val="28"/>
                <w:szCs w:val="28"/>
                <w:u w:val="single"/>
              </w:rPr>
            </w:pPr>
          </w:p>
        </w:tc>
      </w:tr>
    </w:tbl>
    <w:p w14:paraId="3ABBBE68" w14:textId="77777777" w:rsidR="004822EB" w:rsidRDefault="004822EB" w:rsidP="004822EB">
      <w:pPr>
        <w:pStyle w:val="ad"/>
        <w:spacing w:after="0" w:line="360" w:lineRule="auto"/>
        <w:ind w:left="-58"/>
        <w:jc w:val="both"/>
        <w:rPr>
          <w:rFonts w:ascii="David" w:hAnsi="David" w:cs="David"/>
          <w:sz w:val="16"/>
          <w:szCs w:val="16"/>
        </w:rPr>
      </w:pPr>
      <w:r>
        <w:rPr>
          <w:rFonts w:ascii="David" w:hAnsi="David" w:cs="David"/>
          <w:sz w:val="24"/>
          <w:szCs w:val="24"/>
          <w:rtl/>
        </w:rPr>
        <w:t xml:space="preserve">ערעור על הרשעת המערער על ידי בית משפט קמא (כב' השופט א. הרמלין) בעבירה של הפרעה לשוטר במילוי תפקידו כחוק, לפי סעיף 275 לחוק העונשין התשל"ז-1977 (להלן: </w:t>
      </w:r>
      <w:r>
        <w:rPr>
          <w:rFonts w:ascii="David" w:hAnsi="David" w:cs="David"/>
          <w:b/>
          <w:bCs/>
          <w:sz w:val="24"/>
          <w:szCs w:val="24"/>
          <w:rtl/>
        </w:rPr>
        <w:t>החוק</w:t>
      </w:r>
      <w:r w:rsidR="0028131F">
        <w:rPr>
          <w:rFonts w:ascii="David" w:hAnsi="David" w:cs="David"/>
          <w:sz w:val="24"/>
          <w:szCs w:val="24"/>
          <w:rtl/>
        </w:rPr>
        <w:t>).</w:t>
      </w:r>
    </w:p>
    <w:p w14:paraId="4F846583" w14:textId="77777777" w:rsidR="004822EB" w:rsidRDefault="004822EB" w:rsidP="004822EB">
      <w:pPr>
        <w:jc w:val="both"/>
        <w:rPr>
          <w:rFonts w:ascii="David" w:hAnsi="David"/>
          <w:sz w:val="16"/>
          <w:szCs w:val="16"/>
          <w:rtl/>
        </w:rPr>
      </w:pPr>
    </w:p>
    <w:p w14:paraId="2537223E" w14:textId="77777777" w:rsidR="004822EB" w:rsidRDefault="004822EB" w:rsidP="004822EB">
      <w:pPr>
        <w:pStyle w:val="ad"/>
        <w:spacing w:after="0" w:line="360" w:lineRule="auto"/>
        <w:ind w:left="-58"/>
        <w:jc w:val="both"/>
        <w:rPr>
          <w:rFonts w:ascii="David" w:hAnsi="David" w:cs="David"/>
          <w:sz w:val="24"/>
          <w:szCs w:val="24"/>
          <w:rtl/>
        </w:rPr>
      </w:pPr>
      <w:r>
        <w:rPr>
          <w:rFonts w:ascii="David" w:hAnsi="David" w:cs="David"/>
          <w:sz w:val="24"/>
          <w:szCs w:val="24"/>
          <w:rtl/>
        </w:rPr>
        <w:t xml:space="preserve">כמצוות סעיף 218 לחוק סדר הדין הפלילי [נוסח משולב], תשמ"ב-1982 (להלן: </w:t>
      </w:r>
      <w:proofErr w:type="spellStart"/>
      <w:r>
        <w:rPr>
          <w:rFonts w:ascii="David" w:hAnsi="David" w:cs="David"/>
          <w:b/>
          <w:bCs/>
          <w:sz w:val="24"/>
          <w:szCs w:val="24"/>
          <w:rtl/>
        </w:rPr>
        <w:t>החסד"פ</w:t>
      </w:r>
      <w:proofErr w:type="spellEnd"/>
      <w:r>
        <w:rPr>
          <w:rFonts w:ascii="David" w:hAnsi="David" w:cs="David"/>
          <w:sz w:val="24"/>
          <w:szCs w:val="24"/>
          <w:rtl/>
        </w:rPr>
        <w:t>), אנו מודיעים על קבלת הערעור וזיכוי המערער מהעבירה בה הורשע.</w:t>
      </w:r>
    </w:p>
    <w:p w14:paraId="4F295B38" w14:textId="77777777" w:rsidR="004822EB" w:rsidRDefault="004822EB" w:rsidP="004822EB">
      <w:pPr>
        <w:jc w:val="both"/>
        <w:rPr>
          <w:rFonts w:ascii="David" w:hAnsi="David"/>
          <w:sz w:val="16"/>
          <w:szCs w:val="16"/>
          <w:rtl/>
        </w:rPr>
      </w:pPr>
    </w:p>
    <w:p w14:paraId="009D641D" w14:textId="77777777" w:rsidR="004822EB" w:rsidRDefault="004822EB" w:rsidP="004822EB">
      <w:pPr>
        <w:pStyle w:val="ad"/>
        <w:spacing w:after="0" w:line="360" w:lineRule="auto"/>
        <w:ind w:left="-58"/>
        <w:jc w:val="both"/>
        <w:rPr>
          <w:rFonts w:ascii="David" w:hAnsi="David" w:cs="David"/>
          <w:b/>
          <w:bCs/>
          <w:sz w:val="24"/>
          <w:szCs w:val="24"/>
          <w:u w:val="single"/>
          <w:rtl/>
        </w:rPr>
      </w:pPr>
      <w:r>
        <w:rPr>
          <w:rFonts w:ascii="David" w:hAnsi="David" w:cs="David"/>
          <w:b/>
          <w:bCs/>
          <w:sz w:val="24"/>
          <w:szCs w:val="24"/>
          <w:u w:val="single"/>
          <w:rtl/>
        </w:rPr>
        <w:t>עובדות כתב האישום ועיקרי הכרעת הדין בבית משפט קמא</w:t>
      </w:r>
    </w:p>
    <w:p w14:paraId="31166E2C" w14:textId="77777777" w:rsidR="004822EB" w:rsidRDefault="004822EB" w:rsidP="004822EB">
      <w:pPr>
        <w:pStyle w:val="ad"/>
        <w:numPr>
          <w:ilvl w:val="0"/>
          <w:numId w:val="1"/>
        </w:numPr>
        <w:spacing w:after="0" w:line="360" w:lineRule="auto"/>
        <w:ind w:left="-58" w:firstLine="0"/>
        <w:jc w:val="both"/>
        <w:rPr>
          <w:rFonts w:ascii="David" w:hAnsi="David" w:cs="David"/>
          <w:sz w:val="16"/>
          <w:szCs w:val="16"/>
          <w:rtl/>
        </w:rPr>
      </w:pPr>
      <w:r>
        <w:rPr>
          <w:rFonts w:ascii="David" w:hAnsi="David" w:cs="David"/>
          <w:sz w:val="24"/>
          <w:szCs w:val="24"/>
          <w:rtl/>
        </w:rPr>
        <w:t xml:space="preserve">המערער הואשם בעבירה של הפרעה לשוטר במילוי תפקידו כחוק לפי סעיף 275 לחוק, בעבירה של שימוש בכוח או איומים כדי למנוע או להכשיל מעצר חוקי לפי סעיף 47(א) לפקודת סדר הדין הפלילי (מעצר וחיפוש) [נוסח משולב], תשכ"ט-1969, ובעבירת איומים לפי סעיף 192 לחוק. בית המשפט קמא זיכה את המערער מביצוע עבירה של שימוש בכוח או באיומים כדי למנוע או להכשיל מעצר חוקי, הורה על ביטול האישום בעבירת האיומים מכוח סעיף 149(10) </w:t>
      </w:r>
      <w:proofErr w:type="spellStart"/>
      <w:r>
        <w:rPr>
          <w:rFonts w:ascii="David" w:hAnsi="David" w:cs="David"/>
          <w:sz w:val="24"/>
          <w:szCs w:val="24"/>
          <w:rtl/>
        </w:rPr>
        <w:t>לחסד"פ</w:t>
      </w:r>
      <w:proofErr w:type="spellEnd"/>
      <w:r>
        <w:rPr>
          <w:rFonts w:ascii="David" w:hAnsi="David" w:cs="David"/>
          <w:sz w:val="24"/>
          <w:szCs w:val="24"/>
          <w:rtl/>
        </w:rPr>
        <w:t>, והרשיעו בעבירה של הפרעה לשוטר במילוי תפקידו כחוק.</w:t>
      </w:r>
    </w:p>
    <w:p w14:paraId="448D6C52" w14:textId="77777777" w:rsidR="004822EB" w:rsidRDefault="004822EB" w:rsidP="004822EB">
      <w:pPr>
        <w:pStyle w:val="ad"/>
        <w:spacing w:after="0" w:line="240" w:lineRule="auto"/>
        <w:ind w:left="-58"/>
        <w:jc w:val="both"/>
        <w:rPr>
          <w:rFonts w:ascii="David" w:hAnsi="David" w:cs="David"/>
          <w:sz w:val="16"/>
          <w:szCs w:val="16"/>
        </w:rPr>
      </w:pPr>
      <w:r>
        <w:rPr>
          <w:rFonts w:ascii="David" w:hAnsi="David" w:cs="David"/>
          <w:sz w:val="24"/>
          <w:szCs w:val="24"/>
          <w:rtl/>
        </w:rPr>
        <w:t xml:space="preserve"> </w:t>
      </w:r>
    </w:p>
    <w:p w14:paraId="00815F12" w14:textId="77777777" w:rsidR="004822EB" w:rsidRDefault="004822EB" w:rsidP="004822EB">
      <w:pPr>
        <w:pStyle w:val="ad"/>
        <w:numPr>
          <w:ilvl w:val="0"/>
          <w:numId w:val="1"/>
        </w:numPr>
        <w:spacing w:after="0" w:line="360" w:lineRule="auto"/>
        <w:ind w:left="-58" w:firstLine="0"/>
        <w:jc w:val="both"/>
        <w:rPr>
          <w:rFonts w:ascii="David" w:hAnsi="David" w:cs="David"/>
          <w:sz w:val="24"/>
          <w:szCs w:val="24"/>
        </w:rPr>
      </w:pPr>
      <w:r>
        <w:rPr>
          <w:rFonts w:ascii="David" w:hAnsi="David" w:cs="David"/>
          <w:sz w:val="24"/>
          <w:szCs w:val="24"/>
          <w:rtl/>
        </w:rPr>
        <w:t xml:space="preserve">על פי עובדות כתב האישום, ביום 1.4.2021 בשעה 4:12 לערך, שהה המערער עם שניים מחבריו בתל אביב כשהם תחת השפעת אלכוהול, ושוטרים הגיעו למקום בעקבות קריאה בדבר חשד להיזק לרכוש והתנהגות פרועה. לאחר בירור, החליטו השוטרים לעצור את אחד מחבריו של המערער (אשר כונה בהכרעת הדין עופר) (להלן: </w:t>
      </w:r>
      <w:r>
        <w:rPr>
          <w:rFonts w:ascii="David" w:hAnsi="David" w:cs="David"/>
          <w:b/>
          <w:bCs/>
          <w:sz w:val="24"/>
          <w:szCs w:val="24"/>
          <w:rtl/>
        </w:rPr>
        <w:t>עידו</w:t>
      </w:r>
      <w:r>
        <w:rPr>
          <w:rFonts w:ascii="David" w:hAnsi="David" w:cs="David"/>
          <w:sz w:val="24"/>
          <w:szCs w:val="24"/>
          <w:rtl/>
        </w:rPr>
        <w:t xml:space="preserve">) והכניסו אותו לניידת. המערער ניגש לניידת והתבקש על ידי השוטרים להתרחק מהמקום אך סירב. בעקבות כך ביקשו ממנו השוטרים להזדהות, אך המערער סירב והחל להתרחק מהמקום כשהוא אומר שאין ברשותו תעודה מזהה. השוטרים ניגשו אליו וביקשו שוב שיזדהה אך המערער עמד על סירובו. השוטרים הסבירו למערער כי אם לא יזדהה יאלצו לעצרו, אך הוא המשיך בסירובו למסור את פרטיו, אז הודע לו כי הוא עצור. בהמשך כתב האישום נטען כי המערער התנגד למעצר, תוך שהדף את השוטר, שלח את ידיו מאוגרפות לכיוונו וקילל אותו, וכי התפרע, סרב למסור ידיו לאזוק והתנגד בכוח לכניסה לניידת תוך שהוא מקלל. </w:t>
      </w:r>
      <w:r>
        <w:rPr>
          <w:rFonts w:ascii="David" w:hAnsi="David" w:cs="David"/>
          <w:sz w:val="24"/>
          <w:szCs w:val="24"/>
          <w:rtl/>
        </w:rPr>
        <w:lastRenderedPageBreak/>
        <w:t xml:space="preserve">נטען כי גם במהלך הנסיעה המשיך המערער לקלל ואיים על השוטר, וכך גם בהגיעו לתחנת המשטרה. </w:t>
      </w:r>
    </w:p>
    <w:p w14:paraId="7E28E617" w14:textId="77777777" w:rsidR="004822EB" w:rsidRDefault="004822EB" w:rsidP="004822EB">
      <w:pPr>
        <w:pStyle w:val="ad"/>
        <w:spacing w:after="0" w:line="240" w:lineRule="auto"/>
        <w:ind w:left="-58"/>
        <w:jc w:val="both"/>
        <w:rPr>
          <w:rFonts w:ascii="David" w:hAnsi="David" w:cs="David"/>
          <w:sz w:val="16"/>
          <w:szCs w:val="16"/>
        </w:rPr>
      </w:pPr>
    </w:p>
    <w:p w14:paraId="020FF52D" w14:textId="77777777" w:rsidR="004822EB" w:rsidRDefault="004822EB" w:rsidP="004822EB">
      <w:pPr>
        <w:pStyle w:val="ad"/>
        <w:numPr>
          <w:ilvl w:val="0"/>
          <w:numId w:val="1"/>
        </w:numPr>
        <w:spacing w:after="0" w:line="360" w:lineRule="auto"/>
        <w:ind w:left="-58" w:firstLine="0"/>
        <w:jc w:val="both"/>
        <w:rPr>
          <w:rFonts w:ascii="David" w:hAnsi="David" w:cs="David"/>
          <w:sz w:val="24"/>
          <w:szCs w:val="24"/>
          <w:rtl/>
        </w:rPr>
      </w:pPr>
      <w:r>
        <w:rPr>
          <w:rFonts w:ascii="David" w:hAnsi="David" w:cs="David"/>
          <w:sz w:val="24"/>
          <w:szCs w:val="24"/>
          <w:rtl/>
        </w:rPr>
        <w:t xml:space="preserve">בהכרעת הדין הבהיר בית המשפט קמא כי הדגש הראייתי בקביעת העובדות מושם על תיעוד הווידאו ממצלמות הגוף של השוטרים באירוע (להלן: </w:t>
      </w:r>
      <w:r>
        <w:rPr>
          <w:rFonts w:ascii="David" w:hAnsi="David" w:cs="David"/>
          <w:b/>
          <w:bCs/>
          <w:sz w:val="24"/>
          <w:szCs w:val="24"/>
          <w:rtl/>
        </w:rPr>
        <w:t>הסרטונים</w:t>
      </w:r>
      <w:r>
        <w:rPr>
          <w:rFonts w:ascii="David" w:hAnsi="David" w:cs="David"/>
          <w:sz w:val="24"/>
          <w:szCs w:val="24"/>
          <w:rtl/>
        </w:rPr>
        <w:t xml:space="preserve">). בנוסף, ציין קושי עם טענתו של המערער לפיה הזמין משטרה למקום, ועם טענתו לפיה קילל ואיים על השוטר שעצר אותו על מנת שישאיר את מצלמת הגוף שלו פתוחה ולא יפגע בו – באופן הפוגע באמינותו. עוד ציין כי הגם שהמערער טען כי הותקף על ידי שוטר בתחנת המשטרה, טענה זו לא עלתה בחקירתו או במענה לכתב האישום והוא לא הגיש תלונה למח"ש. בנוסף, דחה בית המשפט קמא את טענת המערער ליחס מפלה מצד השוטרים בשל מוצאו האתיופי ומצא כי </w:t>
      </w:r>
      <w:r>
        <w:rPr>
          <w:rFonts w:ascii="David" w:hAnsi="David" w:cs="David"/>
          <w:i/>
          <w:iCs/>
          <w:sz w:val="24"/>
          <w:szCs w:val="24"/>
          <w:rtl/>
        </w:rPr>
        <w:t>"מבחינה אובייקטיבית צפייה בתיעוד האירוע אינה תומכת כלל בטענה נגד השוטרים"</w:t>
      </w:r>
      <w:r>
        <w:rPr>
          <w:rFonts w:ascii="David" w:hAnsi="David" w:cs="David"/>
          <w:sz w:val="24"/>
          <w:szCs w:val="24"/>
          <w:rtl/>
        </w:rPr>
        <w:t xml:space="preserve">. נקבע שיחס השוטרים למערער נבע מהתנהגותו הפסולה ולא משיקולים גזעניים, כי </w:t>
      </w:r>
      <w:r>
        <w:rPr>
          <w:rFonts w:ascii="David" w:hAnsi="David" w:cs="David"/>
          <w:i/>
          <w:iCs/>
          <w:sz w:val="24"/>
          <w:szCs w:val="24"/>
          <w:rtl/>
        </w:rPr>
        <w:t>"התיעוד מן השטח אינו מותיר ספק כי התנהגותו</w:t>
      </w:r>
      <w:r>
        <w:rPr>
          <w:rFonts w:ascii="David" w:hAnsi="David" w:cs="David"/>
          <w:sz w:val="24"/>
          <w:szCs w:val="24"/>
          <w:rtl/>
        </w:rPr>
        <w:t xml:space="preserve"> (של המערער –בית המשפט)</w:t>
      </w:r>
      <w:r>
        <w:rPr>
          <w:rFonts w:ascii="David" w:hAnsi="David" w:cs="David"/>
          <w:i/>
          <w:iCs/>
          <w:sz w:val="24"/>
          <w:szCs w:val="24"/>
          <w:rtl/>
        </w:rPr>
        <w:t xml:space="preserve"> כלפי השוטרים הייתה שונה לחלוטין מהתנהגות חבריו ולא לטובה", </w:t>
      </w:r>
      <w:r>
        <w:rPr>
          <w:rFonts w:ascii="David" w:hAnsi="David" w:cs="David"/>
          <w:sz w:val="24"/>
          <w:szCs w:val="24"/>
          <w:rtl/>
        </w:rPr>
        <w:t xml:space="preserve">וכי </w:t>
      </w:r>
      <w:r>
        <w:rPr>
          <w:rFonts w:ascii="David" w:hAnsi="David" w:cs="David"/>
          <w:i/>
          <w:iCs/>
          <w:sz w:val="24"/>
          <w:szCs w:val="24"/>
          <w:rtl/>
        </w:rPr>
        <w:t>"צפייה בסרטונים מלמדת כי הנאשם הוא שקירב את עצמו לשוטרים שוב ושוב והתגרה בהם עד שפקעה סבלנותם"</w:t>
      </w:r>
      <w:r>
        <w:rPr>
          <w:rFonts w:ascii="David" w:hAnsi="David" w:cs="David"/>
          <w:sz w:val="24"/>
          <w:szCs w:val="24"/>
          <w:rtl/>
        </w:rPr>
        <w:t xml:space="preserve">. </w:t>
      </w:r>
    </w:p>
    <w:p w14:paraId="393D5EE5" w14:textId="77777777" w:rsidR="004822EB" w:rsidRDefault="004822EB" w:rsidP="004822EB">
      <w:pPr>
        <w:pStyle w:val="ad"/>
        <w:spacing w:line="240" w:lineRule="auto"/>
        <w:rPr>
          <w:rFonts w:ascii="David" w:hAnsi="David" w:cs="David"/>
          <w:sz w:val="16"/>
          <w:szCs w:val="16"/>
        </w:rPr>
      </w:pPr>
    </w:p>
    <w:p w14:paraId="026E3CBB" w14:textId="77777777" w:rsidR="004822EB" w:rsidRDefault="004822EB" w:rsidP="004822EB">
      <w:pPr>
        <w:pStyle w:val="ad"/>
        <w:numPr>
          <w:ilvl w:val="0"/>
          <w:numId w:val="1"/>
        </w:numPr>
        <w:spacing w:after="0" w:line="360" w:lineRule="auto"/>
        <w:ind w:left="-58" w:firstLine="0"/>
        <w:jc w:val="both"/>
        <w:rPr>
          <w:rFonts w:ascii="David" w:hAnsi="David" w:cs="David"/>
          <w:sz w:val="24"/>
          <w:szCs w:val="24"/>
          <w:rtl/>
        </w:rPr>
      </w:pPr>
      <w:r>
        <w:rPr>
          <w:rFonts w:ascii="David" w:hAnsi="David" w:cs="David"/>
          <w:sz w:val="24"/>
          <w:szCs w:val="24"/>
          <w:rtl/>
        </w:rPr>
        <w:t xml:space="preserve">לצד תיאור המערער כמי שהסתובב </w:t>
      </w:r>
      <w:r>
        <w:rPr>
          <w:rFonts w:ascii="David" w:hAnsi="David" w:cs="David"/>
          <w:i/>
          <w:iCs/>
          <w:sz w:val="24"/>
          <w:szCs w:val="24"/>
          <w:rtl/>
        </w:rPr>
        <w:t>"לשוטרים בין הרגליים"</w:t>
      </w:r>
      <w:r>
        <w:rPr>
          <w:rFonts w:ascii="David" w:hAnsi="David" w:cs="David"/>
          <w:sz w:val="24"/>
          <w:szCs w:val="24"/>
          <w:rtl/>
        </w:rPr>
        <w:t xml:space="preserve">, התגרה בהם וזלזל בהם, וכמי שלא מיהר לציית להנחיותיהם, מצא בית המשפט קמא כי </w:t>
      </w:r>
      <w:r>
        <w:rPr>
          <w:rFonts w:ascii="David" w:hAnsi="David" w:cs="David"/>
          <w:i/>
          <w:iCs/>
          <w:sz w:val="24"/>
          <w:szCs w:val="24"/>
          <w:rtl/>
        </w:rPr>
        <w:t>"הקטע שיש בו משום הפרעה מובהקת של הנאשם לפעולת השוטרים נקלט בשעה 4:32:51 במצלמות הגוף של שלושת השוטרים"</w:t>
      </w:r>
      <w:r>
        <w:rPr>
          <w:rFonts w:ascii="David" w:hAnsi="David" w:cs="David"/>
          <w:sz w:val="24"/>
          <w:szCs w:val="24"/>
          <w:rtl/>
        </w:rPr>
        <w:t xml:space="preserve">. שם, כתיאור בית משפט קמא, נצפה המערער אומר לעידו חברו אשר החל להתלוות לשוטר שביקש שיבוא עמו, </w:t>
      </w:r>
      <w:r>
        <w:rPr>
          <w:rFonts w:ascii="David" w:hAnsi="David" w:cs="David"/>
          <w:i/>
          <w:iCs/>
          <w:sz w:val="24"/>
          <w:szCs w:val="24"/>
          <w:rtl/>
        </w:rPr>
        <w:t>"'שב בשקט', מושך מספר משיכות חזקות בידו של עידו לכיוון המנוגד לכיוונה של הניידת, ומונע מעידו למספר שניות ללכת עם השוטרים"</w:t>
      </w:r>
      <w:r>
        <w:rPr>
          <w:rFonts w:ascii="David" w:hAnsi="David" w:cs="David"/>
          <w:sz w:val="24"/>
          <w:szCs w:val="24"/>
          <w:rtl/>
        </w:rPr>
        <w:t xml:space="preserve"> (פסקאות 8-9 להכרעת הדין) (להלן: </w:t>
      </w:r>
      <w:r>
        <w:rPr>
          <w:rFonts w:ascii="David" w:hAnsi="David" w:cs="David"/>
          <w:b/>
          <w:bCs/>
          <w:sz w:val="24"/>
          <w:szCs w:val="24"/>
          <w:rtl/>
        </w:rPr>
        <w:t>משיכת עידו כאשר עידו התבקש להתלוות לשוטר</w:t>
      </w:r>
      <w:r>
        <w:rPr>
          <w:rFonts w:ascii="David" w:hAnsi="David" w:cs="David"/>
          <w:sz w:val="24"/>
          <w:szCs w:val="24"/>
          <w:rtl/>
        </w:rPr>
        <w:t xml:space="preserve">). הגם שעובדה זו לא נטענה בכתב האישום, בית המשפט קמא הרשיע את המערער בגינה, מכוח סמכותו לפי סעיף 184 </w:t>
      </w:r>
      <w:proofErr w:type="spellStart"/>
      <w:r>
        <w:rPr>
          <w:rFonts w:ascii="David" w:hAnsi="David" w:cs="David"/>
          <w:sz w:val="24"/>
          <w:szCs w:val="24"/>
          <w:rtl/>
        </w:rPr>
        <w:t>לחסד"פ</w:t>
      </w:r>
      <w:proofErr w:type="spellEnd"/>
      <w:r>
        <w:rPr>
          <w:rFonts w:ascii="David" w:hAnsi="David" w:cs="David"/>
          <w:sz w:val="24"/>
          <w:szCs w:val="24"/>
          <w:rtl/>
        </w:rPr>
        <w:t>, וקבע כאמור כי מדובר ב</w:t>
      </w:r>
      <w:r>
        <w:rPr>
          <w:rFonts w:ascii="David" w:hAnsi="David" w:cs="David"/>
          <w:i/>
          <w:iCs/>
          <w:sz w:val="24"/>
          <w:szCs w:val="24"/>
          <w:rtl/>
        </w:rPr>
        <w:t xml:space="preserve">"הפרעה מובהקת" </w:t>
      </w:r>
      <w:r>
        <w:rPr>
          <w:rFonts w:ascii="David" w:hAnsi="David" w:cs="David"/>
          <w:sz w:val="24"/>
          <w:szCs w:val="24"/>
          <w:rtl/>
        </w:rPr>
        <w:t xml:space="preserve">וכי ניתנה למערער הזדמנות סבירה להתגונן. בהקשר זה הפנה לכך שהתרחשות זו תועדה בסרטונים, לכך שהסנגורית והמערער חקרו את השוטרים לגביה, וכן הפנה להתייחסות הסנגורית בסיכומיה, </w:t>
      </w:r>
      <w:proofErr w:type="spellStart"/>
      <w:r>
        <w:rPr>
          <w:rFonts w:ascii="David" w:hAnsi="David" w:cs="David"/>
          <w:sz w:val="24"/>
          <w:szCs w:val="24"/>
          <w:rtl/>
        </w:rPr>
        <w:t>ול"</w:t>
      </w:r>
      <w:r>
        <w:rPr>
          <w:rFonts w:ascii="David" w:hAnsi="David" w:cs="David"/>
          <w:i/>
          <w:iCs/>
          <w:sz w:val="24"/>
          <w:szCs w:val="24"/>
          <w:rtl/>
        </w:rPr>
        <w:t>התייחסות</w:t>
      </w:r>
      <w:proofErr w:type="spellEnd"/>
      <w:r>
        <w:rPr>
          <w:rFonts w:ascii="David" w:hAnsi="David" w:cs="David"/>
          <w:i/>
          <w:iCs/>
          <w:sz w:val="24"/>
          <w:szCs w:val="24"/>
          <w:rtl/>
        </w:rPr>
        <w:t xml:space="preserve"> מפורטת"</w:t>
      </w:r>
      <w:r>
        <w:rPr>
          <w:rFonts w:ascii="David" w:hAnsi="David" w:cs="David"/>
          <w:sz w:val="24"/>
          <w:szCs w:val="24"/>
          <w:rtl/>
        </w:rPr>
        <w:t xml:space="preserve"> של ההגנה בדיון שהתקיים לאחר הגשת הסיכומים (להלן: </w:t>
      </w:r>
      <w:r>
        <w:rPr>
          <w:rFonts w:ascii="David" w:hAnsi="David" w:cs="David"/>
          <w:b/>
          <w:bCs/>
          <w:sz w:val="24"/>
          <w:szCs w:val="24"/>
          <w:rtl/>
        </w:rPr>
        <w:t>הדיון המשלים</w:t>
      </w:r>
      <w:r>
        <w:rPr>
          <w:rFonts w:ascii="David" w:hAnsi="David" w:cs="David"/>
          <w:sz w:val="24"/>
          <w:szCs w:val="24"/>
          <w:rtl/>
        </w:rPr>
        <w:t xml:space="preserve">). עוד ציין כי </w:t>
      </w:r>
      <w:r>
        <w:rPr>
          <w:rFonts w:ascii="David" w:hAnsi="David" w:cs="David"/>
          <w:i/>
          <w:iCs/>
          <w:sz w:val="24"/>
          <w:szCs w:val="24"/>
          <w:rtl/>
        </w:rPr>
        <w:t>"ההגנה לא טענה אחרת בעניין זה"</w:t>
      </w:r>
      <w:r>
        <w:rPr>
          <w:rFonts w:ascii="David" w:hAnsi="David" w:cs="David"/>
          <w:sz w:val="24"/>
          <w:szCs w:val="24"/>
          <w:rtl/>
        </w:rPr>
        <w:t xml:space="preserve">. אף נקבע כי </w:t>
      </w:r>
      <w:r>
        <w:rPr>
          <w:rFonts w:ascii="David" w:hAnsi="David" w:cs="David"/>
          <w:i/>
          <w:iCs/>
          <w:sz w:val="24"/>
          <w:szCs w:val="24"/>
          <w:rtl/>
        </w:rPr>
        <w:t>"ההפרעה הפיזית האקטיבית"</w:t>
      </w:r>
      <w:r>
        <w:rPr>
          <w:rFonts w:ascii="David" w:hAnsi="David" w:cs="David"/>
          <w:sz w:val="24"/>
          <w:szCs w:val="24"/>
          <w:rtl/>
        </w:rPr>
        <w:t xml:space="preserve"> של המערער לפעולת השוטרים לא הייתה מעשה קל ערך ונדחתה טענת ההגנה לתחולת סייג זוטי דברים לפי סעיף 34יז לחוק.</w:t>
      </w:r>
    </w:p>
    <w:p w14:paraId="5A1C8BA1" w14:textId="77777777" w:rsidR="004822EB" w:rsidRDefault="004822EB" w:rsidP="004822EB">
      <w:pPr>
        <w:pStyle w:val="ad"/>
        <w:spacing w:line="240" w:lineRule="auto"/>
        <w:rPr>
          <w:rFonts w:ascii="David" w:hAnsi="David" w:cs="David"/>
          <w:sz w:val="16"/>
          <w:szCs w:val="16"/>
        </w:rPr>
      </w:pPr>
    </w:p>
    <w:p w14:paraId="14257416" w14:textId="77777777" w:rsidR="004822EB" w:rsidRDefault="004822EB" w:rsidP="004822EB">
      <w:pPr>
        <w:pStyle w:val="ad"/>
        <w:numPr>
          <w:ilvl w:val="0"/>
          <w:numId w:val="1"/>
        </w:numPr>
        <w:spacing w:after="0" w:line="360" w:lineRule="auto"/>
        <w:ind w:left="-58" w:firstLine="0"/>
        <w:jc w:val="both"/>
        <w:rPr>
          <w:rFonts w:ascii="David" w:hAnsi="David" w:cs="David"/>
          <w:sz w:val="16"/>
          <w:szCs w:val="16"/>
          <w:rtl/>
        </w:rPr>
      </w:pPr>
      <w:r>
        <w:rPr>
          <w:rFonts w:ascii="David" w:hAnsi="David" w:cs="David"/>
          <w:sz w:val="24"/>
          <w:szCs w:val="24"/>
          <w:rtl/>
        </w:rPr>
        <w:t xml:space="preserve">בית המשפט קמא ציין </w:t>
      </w:r>
      <w:r>
        <w:rPr>
          <w:rFonts w:ascii="David" w:hAnsi="David" w:cs="David"/>
          <w:i/>
          <w:iCs/>
          <w:sz w:val="24"/>
          <w:szCs w:val="24"/>
          <w:rtl/>
        </w:rPr>
        <w:t>"בשולי הדברים"</w:t>
      </w:r>
      <w:r>
        <w:rPr>
          <w:rFonts w:ascii="David" w:hAnsi="David" w:cs="David"/>
          <w:sz w:val="24"/>
          <w:szCs w:val="24"/>
          <w:rtl/>
        </w:rPr>
        <w:t xml:space="preserve"> כי כדין התבקש המערער להזדהות על ידי השוטרים, ומצא כי </w:t>
      </w:r>
      <w:r>
        <w:rPr>
          <w:rFonts w:ascii="David" w:hAnsi="David" w:cs="David"/>
          <w:i/>
          <w:iCs/>
          <w:sz w:val="24"/>
          <w:szCs w:val="24"/>
          <w:rtl/>
        </w:rPr>
        <w:t>"את יחסו השלילי של הנאשם לדרישת הזדהות המופנית אליו ניתן להבין ככזה שבא על רקע החשש לקיומו של שיטור יתר כלפי יוצאי אתיופיה"</w:t>
      </w:r>
      <w:r>
        <w:rPr>
          <w:rFonts w:ascii="David" w:hAnsi="David" w:cs="David"/>
          <w:sz w:val="24"/>
          <w:szCs w:val="24"/>
          <w:rtl/>
        </w:rPr>
        <w:t>.</w:t>
      </w:r>
    </w:p>
    <w:p w14:paraId="7BE33D3D" w14:textId="77777777" w:rsidR="004822EB" w:rsidRDefault="004822EB" w:rsidP="004822EB">
      <w:pPr>
        <w:jc w:val="both"/>
        <w:rPr>
          <w:rFonts w:ascii="David" w:hAnsi="David"/>
          <w:sz w:val="16"/>
          <w:szCs w:val="16"/>
        </w:rPr>
      </w:pPr>
    </w:p>
    <w:p w14:paraId="57B157C7" w14:textId="77777777" w:rsidR="004822EB" w:rsidRDefault="004822EB" w:rsidP="004822EB">
      <w:pPr>
        <w:pStyle w:val="ad"/>
        <w:numPr>
          <w:ilvl w:val="0"/>
          <w:numId w:val="1"/>
        </w:numPr>
        <w:spacing w:after="0" w:line="360" w:lineRule="auto"/>
        <w:ind w:left="-58" w:firstLine="0"/>
        <w:jc w:val="both"/>
        <w:rPr>
          <w:rFonts w:ascii="David" w:hAnsi="David" w:cs="David"/>
          <w:sz w:val="16"/>
          <w:szCs w:val="16"/>
          <w:rtl/>
        </w:rPr>
      </w:pPr>
      <w:r>
        <w:rPr>
          <w:rFonts w:ascii="David" w:hAnsi="David" w:cs="David"/>
          <w:sz w:val="24"/>
          <w:szCs w:val="24"/>
          <w:rtl/>
        </w:rPr>
        <w:t xml:space="preserve">כאמור, בסופו של דבר, הרשיע בית המשפט קמא את המערער בעבירת הפרעה לשוטר במילוי תפקידו כחוק. את זיכויו מעבירה של שימוש בכוח או באיומים כדי למנוע מעצר נימק בכך </w:t>
      </w:r>
      <w:r>
        <w:rPr>
          <w:rFonts w:ascii="David" w:hAnsi="David" w:cs="David"/>
          <w:sz w:val="24"/>
          <w:szCs w:val="24"/>
          <w:rtl/>
        </w:rPr>
        <w:lastRenderedPageBreak/>
        <w:t xml:space="preserve">שקיים ספק לגבי חוקיות מעצרו. את ביטול האישום באיומים הסביר בכך שהאיומים הושמעו לאחר מעצר המערער שיש ספק בחוקיותו, תוך שמצא כי הרשעת המערער באיומים בנסיבות עומדת בסתירה לעקרונות של צדק והגינות משפטית מכוח סעיף 149(10) </w:t>
      </w:r>
      <w:proofErr w:type="spellStart"/>
      <w:r>
        <w:rPr>
          <w:rFonts w:ascii="David" w:hAnsi="David" w:cs="David"/>
          <w:sz w:val="24"/>
          <w:szCs w:val="24"/>
          <w:rtl/>
        </w:rPr>
        <w:t>לחסד"פ</w:t>
      </w:r>
      <w:proofErr w:type="spellEnd"/>
      <w:r>
        <w:rPr>
          <w:rFonts w:ascii="David" w:hAnsi="David" w:cs="David"/>
          <w:sz w:val="24"/>
          <w:szCs w:val="24"/>
          <w:rtl/>
        </w:rPr>
        <w:t>.</w:t>
      </w:r>
    </w:p>
    <w:p w14:paraId="498148A1" w14:textId="77777777" w:rsidR="004822EB" w:rsidRDefault="004822EB" w:rsidP="004822EB">
      <w:pPr>
        <w:pStyle w:val="ad"/>
        <w:spacing w:after="0" w:line="240" w:lineRule="auto"/>
        <w:ind w:left="-58"/>
        <w:jc w:val="both"/>
        <w:rPr>
          <w:rFonts w:ascii="David" w:hAnsi="David" w:cs="David"/>
          <w:sz w:val="16"/>
          <w:szCs w:val="16"/>
          <w:rtl/>
        </w:rPr>
      </w:pPr>
    </w:p>
    <w:p w14:paraId="7FCC326F" w14:textId="77777777" w:rsidR="004822EB" w:rsidRDefault="004822EB" w:rsidP="004822EB">
      <w:pPr>
        <w:pStyle w:val="ad"/>
        <w:spacing w:after="0" w:line="360" w:lineRule="auto"/>
        <w:ind w:left="-58"/>
        <w:jc w:val="both"/>
        <w:rPr>
          <w:rFonts w:ascii="David" w:hAnsi="David" w:cs="David"/>
          <w:sz w:val="24"/>
          <w:szCs w:val="24"/>
          <w:rtl/>
        </w:rPr>
      </w:pPr>
      <w:r>
        <w:rPr>
          <w:rFonts w:ascii="David" w:hAnsi="David" w:cs="David"/>
          <w:b/>
          <w:bCs/>
          <w:sz w:val="24"/>
          <w:szCs w:val="24"/>
          <w:u w:val="single"/>
          <w:rtl/>
        </w:rPr>
        <w:t>תמצית טיעוני המערער</w:t>
      </w:r>
    </w:p>
    <w:p w14:paraId="57B7C662" w14:textId="77777777" w:rsidR="004822EB" w:rsidRDefault="004822EB" w:rsidP="004822EB">
      <w:pPr>
        <w:pStyle w:val="ad"/>
        <w:numPr>
          <w:ilvl w:val="0"/>
          <w:numId w:val="1"/>
        </w:numPr>
        <w:spacing w:after="0" w:line="360" w:lineRule="auto"/>
        <w:ind w:left="-58" w:firstLine="0"/>
        <w:jc w:val="both"/>
        <w:rPr>
          <w:rFonts w:ascii="David" w:hAnsi="David" w:cs="David"/>
          <w:sz w:val="24"/>
          <w:szCs w:val="24"/>
        </w:rPr>
      </w:pPr>
      <w:r>
        <w:rPr>
          <w:rFonts w:ascii="David" w:hAnsi="David" w:cs="David"/>
          <w:sz w:val="24"/>
          <w:szCs w:val="24"/>
          <w:rtl/>
        </w:rPr>
        <w:t xml:space="preserve">טענות באת-כוח המערער הן כי המעשה בגינו הורשע המערער אינו מקיים את יסודות עבירת ההפרעה לשוטר במילוי תפקידו כחוק, כי המעשה חוסה תחת הגנת זוטי דברים, וכי לא היה מקום להרשיע את המערער על יסוד עובדות שלא נטענו בכתב האישום מכוח סעיף 184 </w:t>
      </w:r>
      <w:proofErr w:type="spellStart"/>
      <w:r>
        <w:rPr>
          <w:rFonts w:ascii="David" w:hAnsi="David" w:cs="David"/>
          <w:sz w:val="24"/>
          <w:szCs w:val="24"/>
          <w:rtl/>
        </w:rPr>
        <w:t>לחסד"פ</w:t>
      </w:r>
      <w:proofErr w:type="spellEnd"/>
      <w:r>
        <w:rPr>
          <w:rFonts w:ascii="David" w:hAnsi="David" w:cs="David"/>
          <w:sz w:val="24"/>
          <w:szCs w:val="24"/>
          <w:rtl/>
        </w:rPr>
        <w:t>, ואף לא ניתנה לו הזדמנות סבירה להתגונן.</w:t>
      </w:r>
    </w:p>
    <w:p w14:paraId="40427365" w14:textId="77777777" w:rsidR="004822EB" w:rsidRDefault="004822EB" w:rsidP="004822EB">
      <w:pPr>
        <w:pStyle w:val="ad"/>
        <w:spacing w:line="240" w:lineRule="auto"/>
        <w:rPr>
          <w:rFonts w:ascii="David" w:hAnsi="David" w:cs="David"/>
          <w:sz w:val="16"/>
          <w:szCs w:val="16"/>
        </w:rPr>
      </w:pPr>
    </w:p>
    <w:p w14:paraId="5051C2B5" w14:textId="77777777" w:rsidR="004822EB" w:rsidRDefault="004822EB" w:rsidP="004822EB">
      <w:pPr>
        <w:pStyle w:val="ad"/>
        <w:numPr>
          <w:ilvl w:val="0"/>
          <w:numId w:val="1"/>
        </w:numPr>
        <w:spacing w:after="0" w:line="360" w:lineRule="auto"/>
        <w:ind w:left="-58" w:firstLine="0"/>
        <w:jc w:val="both"/>
        <w:rPr>
          <w:rFonts w:ascii="David" w:hAnsi="David" w:cs="David"/>
          <w:sz w:val="24"/>
          <w:szCs w:val="24"/>
        </w:rPr>
      </w:pPr>
      <w:r>
        <w:rPr>
          <w:rFonts w:ascii="David" w:hAnsi="David" w:cs="David"/>
          <w:sz w:val="24"/>
          <w:szCs w:val="24"/>
          <w:rtl/>
        </w:rPr>
        <w:t xml:space="preserve">אשר לטענה לפיה המעשה בגינו הורשע המערער לפי סעיף 184 </w:t>
      </w:r>
      <w:proofErr w:type="spellStart"/>
      <w:r>
        <w:rPr>
          <w:rFonts w:ascii="David" w:hAnsi="David" w:cs="David"/>
          <w:sz w:val="24"/>
          <w:szCs w:val="24"/>
          <w:rtl/>
        </w:rPr>
        <w:t>לחסד"פ</w:t>
      </w:r>
      <w:proofErr w:type="spellEnd"/>
      <w:r>
        <w:rPr>
          <w:rFonts w:ascii="David" w:hAnsi="David" w:cs="David"/>
          <w:sz w:val="24"/>
          <w:szCs w:val="24"/>
          <w:rtl/>
        </w:rPr>
        <w:t xml:space="preserve"> אינו עולה כדי הפרעה לשוטר במילוי תפקידו כחוק: לטענת באת-כוח המערער, היסוד העובדתי והנפשי הנדרש לשם הרשעה אינו מתקיים במקרה זה. בכל הנוגע ליסוד העובדתי נטען כי התנהלות השוטרים הייתה בלתי חוקית כך שלא מתקיימת הנסיבה </w:t>
      </w:r>
      <w:r>
        <w:rPr>
          <w:rFonts w:ascii="David" w:hAnsi="David" w:cs="David"/>
          <w:i/>
          <w:iCs/>
          <w:sz w:val="24"/>
          <w:szCs w:val="24"/>
          <w:rtl/>
        </w:rPr>
        <w:t>"ממלא תפקידו על פי חוק"</w:t>
      </w:r>
      <w:r>
        <w:rPr>
          <w:rFonts w:ascii="David" w:hAnsi="David" w:cs="David"/>
          <w:sz w:val="24"/>
          <w:szCs w:val="24"/>
          <w:rtl/>
        </w:rPr>
        <w:t xml:space="preserve"> הנדרשת לשם הרשעה. אשר ליסוד הנפשי, נטען כי נותר ספק סביר בדבר כוונת המערער במעשיו, וכי בשלב בו משך המערער את ידו של עידו חברו, כוונת השוטרים כי עידו יתלווה אליהם לא הובהרה, וכאשר הובהרה, הרפה מאחיזתו. אף נטען כי לא הובאה ראיה לכך שהמערער שמע את דברי השוטר לעידו, </w:t>
      </w:r>
      <w:r>
        <w:rPr>
          <w:rFonts w:ascii="David" w:hAnsi="David" w:cs="David"/>
          <w:i/>
          <w:iCs/>
          <w:sz w:val="24"/>
          <w:szCs w:val="24"/>
          <w:rtl/>
        </w:rPr>
        <w:t>"אז בוא תעלה לאוטו"</w:t>
      </w:r>
      <w:r>
        <w:rPr>
          <w:rFonts w:ascii="David" w:hAnsi="David" w:cs="David"/>
          <w:sz w:val="24"/>
          <w:szCs w:val="24"/>
          <w:rtl/>
        </w:rPr>
        <w:t xml:space="preserve"> שנשמעו בקושי בסרטון. בנוסף, כי נפלה שגגה בקביעת בית משפט קמא לפיה הנחיית עידו לעלות לניידת שקולה להוראה להתלוות לתחנת המשטרה </w:t>
      </w:r>
      <w:r>
        <w:rPr>
          <w:rFonts w:ascii="David" w:hAnsi="David" w:cs="David"/>
          <w:i/>
          <w:iCs/>
          <w:sz w:val="24"/>
          <w:szCs w:val="24"/>
          <w:rtl/>
        </w:rPr>
        <w:t>"וכך היא הובנה על ידי כל המעורבים"</w:t>
      </w:r>
      <w:r>
        <w:rPr>
          <w:rFonts w:ascii="David" w:hAnsi="David" w:cs="David"/>
          <w:sz w:val="24"/>
          <w:szCs w:val="24"/>
          <w:rtl/>
        </w:rPr>
        <w:t xml:space="preserve">, מבלי שהמערער נחקר בעניין. כמו כן בזמן שהשוטר סימן לעידו במחוות גוף שיתחילו להתקדם לניידת, המערער התכופף מאחוריו ויישר את הכיסא, כך שקיים ספק סביר ביחס למודעותו. עוד צוין כי הגם שהמערער אחז בידו של עידו ומשך אותה, 8 שניות לאחר שאחז בה, ושנייה לאחר ששמע את </w:t>
      </w:r>
      <w:r>
        <w:rPr>
          <w:rFonts w:ascii="David" w:hAnsi="David" w:cs="David"/>
          <w:i/>
          <w:iCs/>
          <w:sz w:val="24"/>
          <w:szCs w:val="24"/>
          <w:rtl/>
        </w:rPr>
        <w:t>"ההוראה המפורשת"</w:t>
      </w:r>
      <w:r>
        <w:rPr>
          <w:rFonts w:ascii="David" w:hAnsi="David" w:cs="David"/>
          <w:sz w:val="24"/>
          <w:szCs w:val="24"/>
          <w:rtl/>
        </w:rPr>
        <w:t xml:space="preserve"> לעידו </w:t>
      </w:r>
      <w:r>
        <w:rPr>
          <w:rFonts w:ascii="David" w:hAnsi="David" w:cs="David"/>
          <w:i/>
          <w:iCs/>
          <w:sz w:val="24"/>
          <w:szCs w:val="24"/>
          <w:rtl/>
        </w:rPr>
        <w:t>"בוא איתנו בבקשה"</w:t>
      </w:r>
      <w:r>
        <w:rPr>
          <w:rFonts w:ascii="David" w:hAnsi="David" w:cs="David"/>
          <w:sz w:val="24"/>
          <w:szCs w:val="24"/>
          <w:rtl/>
        </w:rPr>
        <w:t>, הרפה ממנו.</w:t>
      </w:r>
    </w:p>
    <w:p w14:paraId="6BA76B80" w14:textId="77777777" w:rsidR="004822EB" w:rsidRDefault="004822EB" w:rsidP="004822EB">
      <w:pPr>
        <w:jc w:val="both"/>
        <w:rPr>
          <w:rFonts w:ascii="David" w:hAnsi="David"/>
          <w:sz w:val="16"/>
          <w:szCs w:val="16"/>
        </w:rPr>
      </w:pPr>
      <w:r>
        <w:rPr>
          <w:rFonts w:ascii="David" w:hAnsi="David"/>
          <w:rtl/>
        </w:rPr>
        <w:t xml:space="preserve"> </w:t>
      </w:r>
    </w:p>
    <w:p w14:paraId="10D3EDDC" w14:textId="77777777" w:rsidR="004822EB" w:rsidRDefault="004822EB" w:rsidP="004822EB">
      <w:pPr>
        <w:pStyle w:val="ad"/>
        <w:numPr>
          <w:ilvl w:val="0"/>
          <w:numId w:val="1"/>
        </w:numPr>
        <w:spacing w:after="0" w:line="360" w:lineRule="auto"/>
        <w:ind w:left="-58" w:firstLine="0"/>
        <w:jc w:val="both"/>
        <w:rPr>
          <w:rFonts w:ascii="David" w:hAnsi="David" w:cs="David"/>
          <w:sz w:val="24"/>
          <w:szCs w:val="24"/>
          <w:rtl/>
        </w:rPr>
      </w:pPr>
      <w:r>
        <w:rPr>
          <w:rFonts w:ascii="David" w:hAnsi="David" w:cs="David"/>
          <w:sz w:val="24"/>
          <w:szCs w:val="24"/>
          <w:rtl/>
        </w:rPr>
        <w:t>בנוסף, לטענת באת-כוח המערער, גם אם מתקיימים יסודות עבירת הפרעה לשוטר, קמה למערער הגנת זוטי דברים. זאת, משהמניע למעשי המערער, הנעוץ באחר, מלמד על קלות המעשה, ובמישור הפיזי המערער הפעיל כוח מינימלי לשניות בודדות</w:t>
      </w:r>
      <w:r w:rsidR="0028131F">
        <w:rPr>
          <w:rFonts w:ascii="David" w:hAnsi="David" w:cs="David"/>
          <w:sz w:val="24"/>
          <w:szCs w:val="24"/>
          <w:rtl/>
        </w:rPr>
        <w:t>. כמו כן, משהעבירה בוצעה על רקע</w:t>
      </w:r>
      <w:r>
        <w:rPr>
          <w:rFonts w:ascii="David" w:hAnsi="David" w:cs="David"/>
          <w:sz w:val="24"/>
          <w:szCs w:val="24"/>
          <w:rtl/>
        </w:rPr>
        <w:t xml:space="preserve"> אירוע שולי ונטול אופי עברייני, ונטען שאף קיים אינטרס ציבורי להקל עם המערער בנסיבותיו. עוד נטען כי קיים פער ממשי ברמת החומרה בין מעשה המערער לדוגמאות אליהן הפנה בית המשפט קמא, ובעניינינו אף נפל דופי בהתנהלות השוטרים ובעמדת המדינה ביחס למעשים המתוארים בכתב האישום.</w:t>
      </w:r>
    </w:p>
    <w:p w14:paraId="2D58DB2D" w14:textId="77777777" w:rsidR="004822EB" w:rsidRDefault="004822EB" w:rsidP="004822EB">
      <w:pPr>
        <w:pStyle w:val="ad"/>
        <w:spacing w:line="240" w:lineRule="auto"/>
        <w:rPr>
          <w:rFonts w:ascii="David" w:hAnsi="David" w:cs="David"/>
          <w:sz w:val="16"/>
          <w:szCs w:val="16"/>
        </w:rPr>
      </w:pPr>
    </w:p>
    <w:p w14:paraId="44DD2769" w14:textId="77777777" w:rsidR="004822EB" w:rsidRDefault="004822EB" w:rsidP="004822EB">
      <w:pPr>
        <w:pStyle w:val="ad"/>
        <w:numPr>
          <w:ilvl w:val="0"/>
          <w:numId w:val="1"/>
        </w:numPr>
        <w:spacing w:after="0" w:line="360" w:lineRule="auto"/>
        <w:ind w:left="-58" w:firstLine="0"/>
        <w:jc w:val="both"/>
        <w:rPr>
          <w:rFonts w:ascii="David" w:hAnsi="David" w:cs="David"/>
          <w:sz w:val="24"/>
          <w:szCs w:val="24"/>
          <w:rtl/>
        </w:rPr>
      </w:pPr>
      <w:r>
        <w:rPr>
          <w:rFonts w:ascii="David" w:hAnsi="David" w:cs="David"/>
          <w:sz w:val="24"/>
          <w:szCs w:val="24"/>
          <w:rtl/>
        </w:rPr>
        <w:t xml:space="preserve">לטענת באת-כוח המערער, בנסיבות המקרה אף לא היה מקום לעשות שימוש בסעיף 184 </w:t>
      </w:r>
      <w:proofErr w:type="spellStart"/>
      <w:r>
        <w:rPr>
          <w:rFonts w:ascii="David" w:hAnsi="David" w:cs="David"/>
          <w:sz w:val="24"/>
          <w:szCs w:val="24"/>
          <w:rtl/>
        </w:rPr>
        <w:t>לחסד"פ</w:t>
      </w:r>
      <w:proofErr w:type="spellEnd"/>
      <w:r>
        <w:rPr>
          <w:rFonts w:ascii="David" w:hAnsi="David" w:cs="David"/>
          <w:sz w:val="24"/>
          <w:szCs w:val="24"/>
          <w:rtl/>
        </w:rPr>
        <w:t xml:space="preserve"> לשם הרשעה על יסוד עובדות שלא נטענו בכתב האישום. זאת משהעבירה בה הורשע היא ברף נמוך ביותר, מאחר והראיות הרלוונטיות להרשעה היו לנגד עיני המאשימה לפני הגשת כתב האישום, ובשים לב לכך שהעובדות שבבסיס ההרשעה חורגות באופן משמעותי מן העובדות המתוארות בכתב האישום, כשמעשי המערער המתוארים בכתב האישום לא הלמו את הרף הנדרש </w:t>
      </w:r>
      <w:r>
        <w:rPr>
          <w:rFonts w:ascii="David" w:hAnsi="David" w:cs="David"/>
          <w:sz w:val="24"/>
          <w:szCs w:val="24"/>
          <w:rtl/>
        </w:rPr>
        <w:lastRenderedPageBreak/>
        <w:t xml:space="preserve">להרשעה ולא הובילו לכך. עוד נטען כי לא ניתנה למערער הזדמנות סבירה להתגונן ולא מתקיים היסוד הטכני-דיוני, והיסוד הענייני-מהותי בהקשר זה. נטען כי היו בפי ההגנה טענות אותן הייתה מבקשת להעלות לו ידעה כי תיתכן הרשעה בגין המעשה (כגון אלה שהעלתה במסגרת הערעור), וכי ההגנה לא יודעה בשום שלב על כוונת בית המשפט לעשות שימוש בסמכות בסעיף 184 </w:t>
      </w:r>
      <w:proofErr w:type="spellStart"/>
      <w:r>
        <w:rPr>
          <w:rFonts w:ascii="David" w:hAnsi="David" w:cs="David"/>
          <w:sz w:val="24"/>
          <w:szCs w:val="24"/>
          <w:rtl/>
        </w:rPr>
        <w:t>לחסד"פ</w:t>
      </w:r>
      <w:proofErr w:type="spellEnd"/>
      <w:r>
        <w:rPr>
          <w:rFonts w:ascii="David" w:hAnsi="David" w:cs="David"/>
          <w:sz w:val="24"/>
          <w:szCs w:val="24"/>
          <w:rtl/>
        </w:rPr>
        <w:t xml:space="preserve"> לשם הרשעה, אף לא במסגרת הדיון המשלים שקיים בית משפט קמא לאחר הסיכומים (להלן: </w:t>
      </w:r>
      <w:r>
        <w:rPr>
          <w:rFonts w:ascii="David" w:hAnsi="David" w:cs="David"/>
          <w:b/>
          <w:bCs/>
          <w:sz w:val="24"/>
          <w:szCs w:val="24"/>
          <w:rtl/>
        </w:rPr>
        <w:t>הדיון המשלים</w:t>
      </w:r>
      <w:r>
        <w:rPr>
          <w:rFonts w:ascii="David" w:hAnsi="David" w:cs="David"/>
          <w:sz w:val="24"/>
          <w:szCs w:val="24"/>
          <w:rtl/>
        </w:rPr>
        <w:t xml:space="preserve">), ולכן ההגנה אף לא התייחסה לאפשרות זו. </w:t>
      </w:r>
    </w:p>
    <w:p w14:paraId="733DCDB8" w14:textId="77777777" w:rsidR="004822EB" w:rsidRDefault="004822EB" w:rsidP="004822EB">
      <w:pPr>
        <w:pStyle w:val="ad"/>
        <w:spacing w:line="240" w:lineRule="auto"/>
        <w:rPr>
          <w:rFonts w:ascii="David" w:hAnsi="David" w:cs="David"/>
          <w:sz w:val="16"/>
          <w:szCs w:val="16"/>
          <w:highlight w:val="yellow"/>
        </w:rPr>
      </w:pPr>
    </w:p>
    <w:p w14:paraId="2509FF3C" w14:textId="77777777" w:rsidR="004822EB" w:rsidRDefault="004822EB" w:rsidP="004822EB">
      <w:pPr>
        <w:pStyle w:val="ad"/>
        <w:numPr>
          <w:ilvl w:val="0"/>
          <w:numId w:val="1"/>
        </w:numPr>
        <w:spacing w:after="0" w:line="360" w:lineRule="auto"/>
        <w:ind w:left="-58" w:firstLine="0"/>
        <w:jc w:val="both"/>
        <w:rPr>
          <w:rFonts w:ascii="David" w:hAnsi="David" w:cs="David"/>
          <w:sz w:val="24"/>
          <w:szCs w:val="24"/>
        </w:rPr>
      </w:pPr>
      <w:r>
        <w:rPr>
          <w:rFonts w:ascii="David" w:hAnsi="David" w:cs="David"/>
          <w:sz w:val="24"/>
          <w:szCs w:val="24"/>
          <w:rtl/>
        </w:rPr>
        <w:t xml:space="preserve">בדיון הוסיפה והדגישה באת-כוח המערער טענתה לפיה גם אם המערער התנהל באופן שאינו מנומס ובגסות, הוא לא ביצע עבירה פלילית, הביעה טרוניה כלפי התנהלות השוטרים, והבהירה כי במוקד הערעור השימוש שעשה בית משפט קמא בסעיף 184 </w:t>
      </w:r>
      <w:proofErr w:type="spellStart"/>
      <w:r>
        <w:rPr>
          <w:rFonts w:ascii="David" w:hAnsi="David" w:cs="David"/>
          <w:sz w:val="24"/>
          <w:szCs w:val="24"/>
          <w:rtl/>
        </w:rPr>
        <w:t>לחסד"פ</w:t>
      </w:r>
      <w:proofErr w:type="spellEnd"/>
      <w:r>
        <w:rPr>
          <w:rFonts w:ascii="David" w:hAnsi="David" w:cs="David"/>
          <w:sz w:val="24"/>
          <w:szCs w:val="24"/>
          <w:rtl/>
        </w:rPr>
        <w:t xml:space="preserve">. בהקשר זה הוסיפה שהמערער אף לא נחקר אודות משיכת עידו כאשר עידו התבקש להתלוות לשוטר, ובית המשפט קמא לא בחן את היסוד הנפשי ומודעות המערער כנדרש לשם הרשעה. כן טענה שמטרתו של הדיון המשלים לא הובהרה על ידי בית משפט קמא. תוך הפנייה לסעיף 216 </w:t>
      </w:r>
      <w:proofErr w:type="spellStart"/>
      <w:r>
        <w:rPr>
          <w:rFonts w:ascii="David" w:hAnsi="David" w:cs="David"/>
          <w:sz w:val="24"/>
          <w:szCs w:val="24"/>
          <w:rtl/>
        </w:rPr>
        <w:t>לחסד"פ</w:t>
      </w:r>
      <w:proofErr w:type="spellEnd"/>
      <w:r>
        <w:rPr>
          <w:rFonts w:ascii="David" w:hAnsi="David" w:cs="David"/>
          <w:sz w:val="24"/>
          <w:szCs w:val="24"/>
          <w:rtl/>
        </w:rPr>
        <w:t xml:space="preserve"> טענה כי לא ניתנה למערער הזדמנות סבירה להתגונן גם ביחס למעשים נוספים אשר קדמו למעצרו של עידו ונחזים בסרטונים, והתייחסות ההגנה להתרחשות עובר למעצרו של עידו נגעה לחוקיות מעצרו בלבד.</w:t>
      </w:r>
    </w:p>
    <w:p w14:paraId="0B917026" w14:textId="77777777" w:rsidR="004822EB" w:rsidRDefault="004822EB" w:rsidP="004822EB">
      <w:pPr>
        <w:pStyle w:val="ad"/>
        <w:spacing w:line="240" w:lineRule="auto"/>
        <w:rPr>
          <w:rFonts w:ascii="David" w:hAnsi="David" w:cs="David"/>
          <w:sz w:val="16"/>
          <w:szCs w:val="16"/>
        </w:rPr>
      </w:pPr>
    </w:p>
    <w:p w14:paraId="658822FE" w14:textId="77777777" w:rsidR="004822EB" w:rsidRDefault="004822EB" w:rsidP="004822EB">
      <w:pPr>
        <w:pStyle w:val="ad"/>
        <w:spacing w:after="0" w:line="360" w:lineRule="auto"/>
        <w:ind w:left="-58"/>
        <w:jc w:val="both"/>
        <w:rPr>
          <w:rFonts w:ascii="David" w:hAnsi="David" w:cs="David"/>
          <w:b/>
          <w:bCs/>
          <w:sz w:val="24"/>
          <w:szCs w:val="24"/>
          <w:u w:val="single"/>
          <w:rtl/>
        </w:rPr>
      </w:pPr>
      <w:r>
        <w:rPr>
          <w:rFonts w:ascii="David" w:hAnsi="David" w:cs="David"/>
          <w:b/>
          <w:bCs/>
          <w:sz w:val="24"/>
          <w:szCs w:val="24"/>
          <w:u w:val="single"/>
          <w:rtl/>
        </w:rPr>
        <w:t>תמצית טיעוני המשיבה</w:t>
      </w:r>
    </w:p>
    <w:p w14:paraId="32B3452A" w14:textId="77777777" w:rsidR="004822EB" w:rsidRDefault="004822EB" w:rsidP="004822EB">
      <w:pPr>
        <w:pStyle w:val="ad"/>
        <w:numPr>
          <w:ilvl w:val="0"/>
          <w:numId w:val="1"/>
        </w:numPr>
        <w:spacing w:after="0" w:line="360" w:lineRule="auto"/>
        <w:ind w:left="-58" w:firstLine="0"/>
        <w:jc w:val="both"/>
        <w:rPr>
          <w:rFonts w:ascii="David" w:hAnsi="David" w:cs="David"/>
          <w:b/>
          <w:bCs/>
          <w:sz w:val="24"/>
          <w:szCs w:val="24"/>
          <w:u w:val="single"/>
          <w:rtl/>
        </w:rPr>
      </w:pPr>
      <w:r>
        <w:rPr>
          <w:rFonts w:ascii="David" w:hAnsi="David" w:cs="David"/>
          <w:sz w:val="24"/>
          <w:szCs w:val="24"/>
          <w:rtl/>
        </w:rPr>
        <w:t xml:space="preserve">באת-כוח המשיבה הפנתה לסרטונים ולהשתלשלות האירוע. לטענתה, במהלך האירוע ועובר למעצרו של עידו, הפריע המערער אקטיבית לשוטרים בניסיונם להבין את אשר ארע במקום. עוד לטענתה, הסרטונים ביססו את כל המיוחס למערער בכתב האישום, נעשה עמו חסד בכך שהורשע בהפרעה לשוטר במילוי תפקידו כחוק בלבד, וניתנה לו הזדמנות סבירה להתגונן. לטענתה, בית המשפט קמא תיאר את הנחזה בסרטונים כמכלול </w:t>
      </w:r>
      <w:r>
        <w:rPr>
          <w:rFonts w:ascii="David" w:hAnsi="David" w:cs="David"/>
          <w:i/>
          <w:iCs/>
          <w:sz w:val="24"/>
          <w:szCs w:val="24"/>
          <w:rtl/>
        </w:rPr>
        <w:t>"כאשר יש מנעד של אירועים שמבססים עבירה של הפרעה לשוטר "</w:t>
      </w:r>
      <w:r>
        <w:rPr>
          <w:rFonts w:ascii="David" w:hAnsi="David" w:cs="David"/>
          <w:sz w:val="24"/>
          <w:szCs w:val="24"/>
          <w:rtl/>
        </w:rPr>
        <w:t xml:space="preserve"> ומשיכתו של עידו כאשר עידו התבקש להתלוות לשוטרים היא </w:t>
      </w:r>
      <w:r>
        <w:rPr>
          <w:rFonts w:ascii="David" w:hAnsi="David" w:cs="David"/>
          <w:i/>
          <w:iCs/>
          <w:sz w:val="24"/>
          <w:szCs w:val="24"/>
          <w:rtl/>
        </w:rPr>
        <w:t>"הפרעה מובהקת"</w:t>
      </w:r>
      <w:r>
        <w:rPr>
          <w:rFonts w:ascii="David" w:hAnsi="David" w:cs="David"/>
          <w:sz w:val="24"/>
          <w:szCs w:val="24"/>
          <w:rtl/>
        </w:rPr>
        <w:t xml:space="preserve"> אשר הובילה להרשעה תוך שימוש בסעיף 184 </w:t>
      </w:r>
      <w:proofErr w:type="spellStart"/>
      <w:r>
        <w:rPr>
          <w:rFonts w:ascii="David" w:hAnsi="David" w:cs="David"/>
          <w:sz w:val="24"/>
          <w:szCs w:val="24"/>
          <w:rtl/>
        </w:rPr>
        <w:t>לחסד"פ</w:t>
      </w:r>
      <w:proofErr w:type="spellEnd"/>
      <w:r>
        <w:rPr>
          <w:rFonts w:ascii="David" w:hAnsi="David" w:cs="David"/>
          <w:sz w:val="24"/>
          <w:szCs w:val="24"/>
          <w:rtl/>
        </w:rPr>
        <w:t xml:space="preserve">, לאחר שניתנה למערער הזדמנות להתגונן. </w:t>
      </w:r>
    </w:p>
    <w:p w14:paraId="22711C66" w14:textId="77777777" w:rsidR="004822EB" w:rsidRDefault="004822EB" w:rsidP="004822EB">
      <w:pPr>
        <w:pStyle w:val="ad"/>
        <w:spacing w:after="0" w:line="240" w:lineRule="auto"/>
        <w:ind w:left="-58"/>
        <w:jc w:val="both"/>
        <w:rPr>
          <w:rFonts w:ascii="David" w:hAnsi="David" w:cs="David"/>
          <w:sz w:val="16"/>
          <w:szCs w:val="16"/>
        </w:rPr>
      </w:pPr>
    </w:p>
    <w:p w14:paraId="685B3B1C" w14:textId="77777777" w:rsidR="004822EB" w:rsidRDefault="004822EB" w:rsidP="004822EB">
      <w:pPr>
        <w:pStyle w:val="ad"/>
        <w:spacing w:after="0" w:line="360" w:lineRule="auto"/>
        <w:ind w:left="-58"/>
        <w:jc w:val="both"/>
        <w:rPr>
          <w:rFonts w:ascii="David" w:hAnsi="David" w:cs="David"/>
          <w:b/>
          <w:bCs/>
          <w:sz w:val="24"/>
          <w:szCs w:val="24"/>
          <w:u w:val="single"/>
          <w:rtl/>
        </w:rPr>
      </w:pPr>
      <w:r>
        <w:rPr>
          <w:rFonts w:ascii="David" w:hAnsi="David" w:cs="David"/>
          <w:b/>
          <w:bCs/>
          <w:sz w:val="24"/>
          <w:szCs w:val="24"/>
          <w:u w:val="single"/>
          <w:rtl/>
        </w:rPr>
        <w:t>דיון והכרעה</w:t>
      </w:r>
    </w:p>
    <w:p w14:paraId="0EF79B02" w14:textId="77777777" w:rsidR="004822EB" w:rsidRDefault="004822EB" w:rsidP="004822EB">
      <w:pPr>
        <w:pStyle w:val="ad"/>
        <w:numPr>
          <w:ilvl w:val="0"/>
          <w:numId w:val="1"/>
        </w:numPr>
        <w:spacing w:after="0" w:line="360" w:lineRule="auto"/>
        <w:ind w:left="-58" w:firstLine="0"/>
        <w:jc w:val="both"/>
        <w:rPr>
          <w:rFonts w:ascii="David" w:hAnsi="David" w:cs="David"/>
          <w:sz w:val="16"/>
          <w:szCs w:val="16"/>
          <w:rtl/>
        </w:rPr>
      </w:pPr>
      <w:r>
        <w:rPr>
          <w:rFonts w:ascii="David" w:hAnsi="David" w:cs="David"/>
          <w:sz w:val="24"/>
          <w:szCs w:val="24"/>
          <w:rtl/>
        </w:rPr>
        <w:t xml:space="preserve">מבלי להקל ראש בדופי שנפל בהתנהלות המערער במהלך האירוע, כשקביעות בית המשפט קמא בהקשר זה בדין יסודן – לאחר שבחנו את הכרעת הדין וטיעוני הצדדים הגענו לכלל מסקנה כי דין הערעור להתקבל. זאת, בשים לב לעובדות כתב האישום, שאינן כוללות כל התייחסות להתנהלות המערער עובר למעצרו של עידו, ומשמצאנו שגגה המצדיקה התערבותנו בשימוש שעשה בית משפט קמא בסעיף 184 </w:t>
      </w:r>
      <w:proofErr w:type="spellStart"/>
      <w:r>
        <w:rPr>
          <w:rFonts w:ascii="David" w:hAnsi="David" w:cs="David"/>
          <w:sz w:val="24"/>
          <w:szCs w:val="24"/>
          <w:rtl/>
        </w:rPr>
        <w:t>לחסד"פ</w:t>
      </w:r>
      <w:proofErr w:type="spellEnd"/>
      <w:r>
        <w:rPr>
          <w:rFonts w:ascii="David" w:hAnsi="David" w:cs="David"/>
          <w:sz w:val="24"/>
          <w:szCs w:val="24"/>
          <w:rtl/>
        </w:rPr>
        <w:t>.</w:t>
      </w:r>
    </w:p>
    <w:p w14:paraId="4C025C8A" w14:textId="77777777" w:rsidR="004822EB" w:rsidRDefault="004822EB" w:rsidP="004822EB">
      <w:pPr>
        <w:pStyle w:val="ad"/>
        <w:spacing w:after="0" w:line="240" w:lineRule="auto"/>
        <w:ind w:left="-58"/>
        <w:jc w:val="both"/>
        <w:rPr>
          <w:rFonts w:ascii="David" w:hAnsi="David" w:cs="David"/>
          <w:sz w:val="16"/>
          <w:szCs w:val="16"/>
        </w:rPr>
      </w:pPr>
    </w:p>
    <w:p w14:paraId="11A4F88C" w14:textId="77777777" w:rsidR="004822EB" w:rsidRDefault="004822EB" w:rsidP="004822EB">
      <w:pPr>
        <w:pStyle w:val="ad"/>
        <w:numPr>
          <w:ilvl w:val="0"/>
          <w:numId w:val="1"/>
        </w:numPr>
        <w:spacing w:after="0" w:line="360" w:lineRule="auto"/>
        <w:ind w:left="-58" w:firstLine="0"/>
        <w:jc w:val="both"/>
        <w:rPr>
          <w:rFonts w:ascii="David" w:hAnsi="David" w:cs="David"/>
          <w:sz w:val="16"/>
          <w:szCs w:val="16"/>
          <w:rtl/>
        </w:rPr>
      </w:pPr>
      <w:r>
        <w:rPr>
          <w:rFonts w:ascii="David" w:hAnsi="David" w:cs="David"/>
          <w:sz w:val="24"/>
          <w:szCs w:val="24"/>
          <w:rtl/>
        </w:rPr>
        <w:t xml:space="preserve">כידוע, לפי סעיף 184 </w:t>
      </w:r>
      <w:proofErr w:type="spellStart"/>
      <w:r>
        <w:rPr>
          <w:rFonts w:ascii="David" w:hAnsi="David" w:cs="David"/>
          <w:sz w:val="24"/>
          <w:szCs w:val="24"/>
          <w:rtl/>
        </w:rPr>
        <w:t>לחסד"פ</w:t>
      </w:r>
      <w:proofErr w:type="spellEnd"/>
      <w:r>
        <w:rPr>
          <w:rFonts w:ascii="David" w:hAnsi="David" w:cs="David"/>
          <w:sz w:val="24"/>
          <w:szCs w:val="24"/>
          <w:rtl/>
        </w:rPr>
        <w:t xml:space="preserve"> בית המשפט רשאי להרשיע נאשם בעבירה שאשמתו בה התגלתה מן העובדות שהוכחו, גם אם עובדות אלה לא נטענו בכתב האישום, ובלבד שניתנה לנאשם הזדמנות סבירה להתגונן. מדובר בסמכות שבשיקול דעת, וכפי ששב וציין בית המשפט העליון מפי </w:t>
      </w:r>
      <w:r>
        <w:rPr>
          <w:rFonts w:ascii="David" w:hAnsi="David" w:cs="David"/>
          <w:sz w:val="24"/>
          <w:szCs w:val="24"/>
          <w:rtl/>
        </w:rPr>
        <w:lastRenderedPageBreak/>
        <w:t xml:space="preserve">השופטת </w:t>
      </w:r>
      <w:proofErr w:type="spellStart"/>
      <w:r>
        <w:rPr>
          <w:rFonts w:ascii="David" w:hAnsi="David" w:cs="David"/>
          <w:sz w:val="24"/>
          <w:szCs w:val="24"/>
          <w:rtl/>
        </w:rPr>
        <w:t>פרוקצ'יה</w:t>
      </w:r>
      <w:proofErr w:type="spellEnd"/>
      <w:r>
        <w:rPr>
          <w:rFonts w:ascii="David" w:hAnsi="David" w:cs="David"/>
          <w:sz w:val="24"/>
          <w:szCs w:val="24"/>
          <w:rtl/>
        </w:rPr>
        <w:t xml:space="preserve"> בע"פ 5102/03 </w:t>
      </w:r>
      <w:r>
        <w:rPr>
          <w:rFonts w:ascii="David" w:hAnsi="David" w:cs="David"/>
          <w:b/>
          <w:bCs/>
          <w:sz w:val="24"/>
          <w:szCs w:val="24"/>
          <w:rtl/>
        </w:rPr>
        <w:t>מדינת ישראל נ' קליין</w:t>
      </w:r>
      <w:r>
        <w:rPr>
          <w:rFonts w:ascii="David" w:hAnsi="David" w:cs="David"/>
          <w:sz w:val="24"/>
          <w:szCs w:val="24"/>
          <w:rtl/>
        </w:rPr>
        <w:t xml:space="preserve"> (04.09.2007) (להלן: </w:t>
      </w:r>
      <w:r>
        <w:rPr>
          <w:rFonts w:ascii="David" w:hAnsi="David" w:cs="David"/>
          <w:b/>
          <w:bCs/>
          <w:sz w:val="24"/>
          <w:szCs w:val="24"/>
          <w:rtl/>
        </w:rPr>
        <w:t>פסק דין קליין</w:t>
      </w:r>
      <w:r>
        <w:rPr>
          <w:rFonts w:ascii="David" w:hAnsi="David" w:cs="David"/>
          <w:sz w:val="24"/>
          <w:szCs w:val="24"/>
          <w:rtl/>
        </w:rPr>
        <w:t xml:space="preserve">) בפסקה 43: </w:t>
      </w:r>
      <w:r>
        <w:rPr>
          <w:rFonts w:ascii="David" w:hAnsi="David" w:cs="David"/>
          <w:b/>
          <w:bCs/>
          <w:sz w:val="24"/>
          <w:szCs w:val="24"/>
          <w:rtl/>
        </w:rPr>
        <w:t>"החריג שבסעיף 184 לחוק צריך להתפרש על רקע הכלל הרחב, התוחם את הדיון הפלילי למסגרת פרשת העובדות המתוארת בכתב האישום. על שום כך, החלתו מתחייבת בצמצום ובמשורה, כביטוי לצורך באיזון ראוי בין הצורך בחשיפת האמת ובעשיית צדק, לבין הבטחת זכותו של נאשם למשפט הוגן".</w:t>
      </w:r>
    </w:p>
    <w:p w14:paraId="00DFC13F" w14:textId="77777777" w:rsidR="004822EB" w:rsidRDefault="004822EB" w:rsidP="004822EB">
      <w:pPr>
        <w:jc w:val="both"/>
        <w:rPr>
          <w:rFonts w:ascii="David" w:hAnsi="David"/>
          <w:sz w:val="16"/>
          <w:szCs w:val="16"/>
        </w:rPr>
      </w:pPr>
      <w:r>
        <w:rPr>
          <w:rFonts w:ascii="David" w:hAnsi="David"/>
          <w:b/>
          <w:bCs/>
          <w:rtl/>
        </w:rPr>
        <w:t xml:space="preserve"> </w:t>
      </w:r>
    </w:p>
    <w:p w14:paraId="23052BB6" w14:textId="77777777" w:rsidR="004822EB" w:rsidRDefault="004822EB" w:rsidP="004822EB">
      <w:pPr>
        <w:pStyle w:val="ad"/>
        <w:numPr>
          <w:ilvl w:val="0"/>
          <w:numId w:val="1"/>
        </w:numPr>
        <w:spacing w:after="0" w:line="360" w:lineRule="auto"/>
        <w:ind w:left="-58" w:firstLine="0"/>
        <w:jc w:val="both"/>
        <w:rPr>
          <w:rFonts w:ascii="David" w:hAnsi="David" w:cs="David"/>
          <w:sz w:val="16"/>
          <w:szCs w:val="16"/>
          <w:rtl/>
        </w:rPr>
      </w:pPr>
      <w:r>
        <w:rPr>
          <w:rFonts w:ascii="David" w:hAnsi="David" w:cs="David"/>
          <w:sz w:val="24"/>
          <w:szCs w:val="24"/>
          <w:rtl/>
        </w:rPr>
        <w:t xml:space="preserve">אשר לתנאי שעניינו הזדמנות סבירה להתגונן: בע"פ 63/79 </w:t>
      </w:r>
      <w:r>
        <w:rPr>
          <w:rFonts w:ascii="David" w:hAnsi="David" w:cs="David"/>
          <w:b/>
          <w:bCs/>
          <w:sz w:val="24"/>
          <w:szCs w:val="24"/>
          <w:rtl/>
        </w:rPr>
        <w:t>עוזר נ' מדינת ישראל</w:t>
      </w:r>
      <w:r>
        <w:rPr>
          <w:rFonts w:ascii="David" w:hAnsi="David" w:cs="David"/>
          <w:sz w:val="24"/>
          <w:szCs w:val="24"/>
          <w:rtl/>
        </w:rPr>
        <w:t xml:space="preserve">, פס' 2 לפסק דינו של השופט (כתוארו אז) ברק, פס"ד לג(3) 606 (1979) (להלן: </w:t>
      </w:r>
      <w:r>
        <w:rPr>
          <w:rFonts w:ascii="David" w:hAnsi="David" w:cs="David"/>
          <w:b/>
          <w:bCs/>
          <w:sz w:val="24"/>
          <w:szCs w:val="24"/>
          <w:rtl/>
        </w:rPr>
        <w:t>הלכת עוזר</w:t>
      </w:r>
      <w:r>
        <w:rPr>
          <w:rFonts w:ascii="David" w:hAnsi="David" w:cs="David"/>
          <w:sz w:val="24"/>
          <w:szCs w:val="24"/>
          <w:rtl/>
        </w:rPr>
        <w:t xml:space="preserve">) נקבע מפי השופט, כתוארו אז, ברק, כי הזדמנות סבירה להתגונן כוללת יסוד טכני-דיוני ויסוד ענייני-מהותי. עניינו של היסוד הטכני-דיוני הוא בהזדמנות סבירה לנאשם להתנגד להבאת ראיות לעניין עובדות שאינן מוזכרות בכתב האישום, לחקור עדים ולהביא ראיות משלו. עניינו של היסוד הענייני-מהותי הוא במתן הזדמנות סבירה לנאשם לפתח ולייצב קו הגנה כנגד אישום שאינו מופיע בכתב האישום, אך עולה מתוך העובדות שהובאו לפני בית המשפט. </w:t>
      </w:r>
    </w:p>
    <w:p w14:paraId="186AA3D6" w14:textId="77777777" w:rsidR="004822EB" w:rsidRDefault="004822EB" w:rsidP="004822EB">
      <w:pPr>
        <w:pStyle w:val="ad"/>
        <w:spacing w:line="240" w:lineRule="auto"/>
        <w:rPr>
          <w:rFonts w:ascii="David" w:hAnsi="David" w:cs="David"/>
          <w:sz w:val="16"/>
          <w:szCs w:val="16"/>
        </w:rPr>
      </w:pPr>
    </w:p>
    <w:p w14:paraId="4E1C08FE" w14:textId="77777777" w:rsidR="004822EB" w:rsidRDefault="004822EB" w:rsidP="004822EB">
      <w:pPr>
        <w:pStyle w:val="ad"/>
        <w:numPr>
          <w:ilvl w:val="0"/>
          <w:numId w:val="1"/>
        </w:numPr>
        <w:spacing w:after="0" w:line="360" w:lineRule="auto"/>
        <w:ind w:left="-58" w:firstLine="0"/>
        <w:jc w:val="both"/>
        <w:rPr>
          <w:rFonts w:ascii="David" w:hAnsi="David" w:cs="David"/>
          <w:sz w:val="16"/>
          <w:szCs w:val="16"/>
          <w:rtl/>
        </w:rPr>
      </w:pPr>
      <w:r>
        <w:rPr>
          <w:rFonts w:ascii="David" w:hAnsi="David" w:cs="David"/>
          <w:sz w:val="24"/>
          <w:szCs w:val="24"/>
          <w:rtl/>
        </w:rPr>
        <w:t xml:space="preserve">בפסיקה נקבע כי השאלה אם ניתנה לנאשם הזדמנות סבירה להתגונן נבחנת בהתאם לאמות-מידה שונות ולנסיבות </w:t>
      </w:r>
      <w:r>
        <w:rPr>
          <w:rFonts w:ascii="David" w:eastAsia="Times New Roman" w:hAnsi="David" w:cs="David"/>
          <w:b/>
          <w:bCs/>
          <w:spacing w:val="10"/>
          <w:kern w:val="0"/>
          <w:sz w:val="24"/>
          <w:szCs w:val="24"/>
          <w:rtl/>
          <w14:ligatures w14:val="none"/>
        </w:rPr>
        <w:t xml:space="preserve">"שכן, אין ההחלטה להרשיע בעבירה שלא יוחסה לנאשם מלכתחילה בכתב האישום, כהחלטה בשאלה אם הייתה לנאשם הזדמנות להתגונן מפני קביעת מימצא על-פי חומר הראיות; ואין דומה שאלת ההזדמנות הסבירה להתגונן מפני מסקנה משפטית, להזדמנות הניתנת לנאשם כדי להתגונן מפני קביעת מימצאים עובדתיים העולים מחומר הראיות" </w:t>
      </w:r>
      <w:r>
        <w:rPr>
          <w:rFonts w:ascii="David" w:hAnsi="David" w:cs="David"/>
          <w:sz w:val="24"/>
          <w:szCs w:val="24"/>
          <w:rtl/>
        </w:rPr>
        <w:t xml:space="preserve">(ע"פ 6426/21 </w:t>
      </w:r>
      <w:r>
        <w:rPr>
          <w:rFonts w:ascii="David" w:hAnsi="David" w:cs="David"/>
          <w:b/>
          <w:bCs/>
          <w:sz w:val="24"/>
          <w:szCs w:val="24"/>
          <w:rtl/>
        </w:rPr>
        <w:t>מדינת ישראל נ' ביטון</w:t>
      </w:r>
      <w:r>
        <w:rPr>
          <w:rFonts w:ascii="David" w:hAnsi="David" w:cs="David"/>
          <w:sz w:val="24"/>
          <w:szCs w:val="24"/>
          <w:rtl/>
        </w:rPr>
        <w:t xml:space="preserve"> (28.1.2024), ולהרחבה נוספת, ראו </w:t>
      </w:r>
      <w:r>
        <w:rPr>
          <w:rFonts w:ascii="David" w:hAnsi="David" w:cs="David"/>
          <w:b/>
          <w:bCs/>
          <w:sz w:val="24"/>
          <w:szCs w:val="24"/>
          <w:rtl/>
        </w:rPr>
        <w:t>פסק דין קליין</w:t>
      </w:r>
      <w:r>
        <w:rPr>
          <w:rFonts w:ascii="David" w:hAnsi="David" w:cs="David"/>
          <w:sz w:val="24"/>
          <w:szCs w:val="24"/>
          <w:rtl/>
        </w:rPr>
        <w:t xml:space="preserve"> פסקאות 42-46). עוד נקבע כי </w:t>
      </w:r>
      <w:r>
        <w:rPr>
          <w:rFonts w:ascii="David" w:hAnsi="David" w:cs="David"/>
          <w:b/>
          <w:bCs/>
          <w:sz w:val="24"/>
          <w:szCs w:val="24"/>
          <w:rtl/>
        </w:rPr>
        <w:t>"אם קו ההגנה שבנה לעצמו הנאשם כלפי האישום שהופיע בכתב האישום כולל בחובו גם את קו ההגנה אותו היה מציב הנאשם לאישום בו הורשע אין לומר כי הנאשם הופתע, וכי לא ניתנה לו הזדמנות סבירה להתגונן"</w:t>
      </w:r>
      <w:r>
        <w:rPr>
          <w:rFonts w:ascii="David" w:hAnsi="David" w:cs="David"/>
          <w:sz w:val="24"/>
          <w:szCs w:val="24"/>
          <w:rtl/>
        </w:rPr>
        <w:t xml:space="preserve"> (</w:t>
      </w:r>
      <w:r>
        <w:rPr>
          <w:rFonts w:ascii="David" w:hAnsi="David" w:cs="David"/>
          <w:b/>
          <w:bCs/>
          <w:sz w:val="24"/>
          <w:szCs w:val="24"/>
          <w:rtl/>
        </w:rPr>
        <w:t>הלכת עוזר, פס' 2 לפסק דינו של השופט (כתוארו אז) ברק</w:t>
      </w:r>
      <w:r>
        <w:rPr>
          <w:rFonts w:ascii="David" w:hAnsi="David" w:cs="David"/>
          <w:sz w:val="24"/>
          <w:szCs w:val="24"/>
          <w:rtl/>
        </w:rPr>
        <w:t xml:space="preserve">). </w:t>
      </w:r>
    </w:p>
    <w:p w14:paraId="2491DBF8" w14:textId="77777777" w:rsidR="004822EB" w:rsidRDefault="004822EB" w:rsidP="004822EB">
      <w:pPr>
        <w:pStyle w:val="ad"/>
        <w:spacing w:line="240" w:lineRule="auto"/>
        <w:rPr>
          <w:rFonts w:ascii="David" w:hAnsi="David" w:cs="David"/>
          <w:sz w:val="16"/>
          <w:szCs w:val="16"/>
        </w:rPr>
      </w:pPr>
    </w:p>
    <w:p w14:paraId="0AB0733E" w14:textId="77777777" w:rsidR="004822EB" w:rsidRDefault="004822EB" w:rsidP="004822EB">
      <w:pPr>
        <w:pStyle w:val="ad"/>
        <w:numPr>
          <w:ilvl w:val="0"/>
          <w:numId w:val="1"/>
        </w:numPr>
        <w:spacing w:after="0" w:line="360" w:lineRule="auto"/>
        <w:ind w:left="-58" w:firstLine="0"/>
        <w:jc w:val="both"/>
        <w:rPr>
          <w:rFonts w:ascii="David" w:hAnsi="David" w:cs="David"/>
          <w:sz w:val="24"/>
          <w:szCs w:val="24"/>
          <w:rtl/>
        </w:rPr>
      </w:pPr>
      <w:r>
        <w:rPr>
          <w:rFonts w:ascii="David" w:hAnsi="David" w:cs="David"/>
          <w:sz w:val="24"/>
          <w:szCs w:val="24"/>
          <w:rtl/>
        </w:rPr>
        <w:t xml:space="preserve">בעניינינו, מבחינת השתלשלות ההליך בבית משפט קמא נותר לפחות ספק אם ניתנה למערער הזדמנות סבירה להתגונן טרם הרשעתו מכוח סעיף 184 </w:t>
      </w:r>
      <w:proofErr w:type="spellStart"/>
      <w:r>
        <w:rPr>
          <w:rFonts w:ascii="David" w:hAnsi="David" w:cs="David"/>
          <w:sz w:val="24"/>
          <w:szCs w:val="24"/>
          <w:rtl/>
        </w:rPr>
        <w:t>לחסד"פ</w:t>
      </w:r>
      <w:proofErr w:type="spellEnd"/>
      <w:r>
        <w:rPr>
          <w:rFonts w:ascii="David" w:hAnsi="David" w:cs="David"/>
          <w:sz w:val="24"/>
          <w:szCs w:val="24"/>
          <w:rtl/>
        </w:rPr>
        <w:t xml:space="preserve">. כך, עולה שהמערער לא הוזהר בשום שלב של המשפט כי בית המשפט קמא יעשה שימוש בסעיף 184 </w:t>
      </w:r>
      <w:proofErr w:type="spellStart"/>
      <w:r>
        <w:rPr>
          <w:rFonts w:ascii="David" w:hAnsi="David" w:cs="David"/>
          <w:sz w:val="24"/>
          <w:szCs w:val="24"/>
          <w:rtl/>
        </w:rPr>
        <w:t>לחסד"פ</w:t>
      </w:r>
      <w:proofErr w:type="spellEnd"/>
      <w:r>
        <w:rPr>
          <w:rFonts w:ascii="David" w:hAnsi="David" w:cs="David"/>
          <w:sz w:val="24"/>
          <w:szCs w:val="24"/>
          <w:rtl/>
        </w:rPr>
        <w:t xml:space="preserve"> לשם הרשעתו בגין משיכתו של עידו, ובעת עדותו לא התייחס המערער למשיכתו של עידו על ידו ולא נחקר על כך בחקירה נגדית. אמנם, אין חובה כי המערער יוזהר לשם הרשעה תוך שימוש בסעיף 184 </w:t>
      </w:r>
      <w:proofErr w:type="spellStart"/>
      <w:r>
        <w:rPr>
          <w:rFonts w:ascii="David" w:hAnsi="David" w:cs="David"/>
          <w:sz w:val="24"/>
          <w:szCs w:val="24"/>
          <w:rtl/>
        </w:rPr>
        <w:t>לחסד"פ</w:t>
      </w:r>
      <w:proofErr w:type="spellEnd"/>
      <w:r>
        <w:rPr>
          <w:rFonts w:ascii="David" w:hAnsi="David" w:cs="David"/>
          <w:sz w:val="24"/>
          <w:szCs w:val="24"/>
          <w:rtl/>
        </w:rPr>
        <w:t xml:space="preserve">, אך ברי כי מדובר בנתון עובדתי בעל חשיבות בעת בחינה אם ניתנה הזדמנות סבירה להתגונן. גם בדיון המשלים בבית משפט קמא לא נאמר למערער באופן מפורש כי בכוונת בית המשפט להרשיעו תוך שימוש בסעיף 184 </w:t>
      </w:r>
      <w:proofErr w:type="spellStart"/>
      <w:r>
        <w:rPr>
          <w:rFonts w:ascii="David" w:hAnsi="David" w:cs="David"/>
          <w:sz w:val="24"/>
          <w:szCs w:val="24"/>
          <w:rtl/>
        </w:rPr>
        <w:t>לחסד"פ</w:t>
      </w:r>
      <w:proofErr w:type="spellEnd"/>
      <w:r>
        <w:rPr>
          <w:rFonts w:ascii="David" w:hAnsi="David" w:cs="David"/>
          <w:sz w:val="24"/>
          <w:szCs w:val="24"/>
          <w:rtl/>
        </w:rPr>
        <w:t xml:space="preserve"> בגין המעשה, ואף לא הוצע לו להשלים עדותו בהקשר זה (הגם שנשאל שאלות בקשר אליו על ידי בית המשפט). בנוסף ובפרט, מנימוקי הערעור אף נראה כי בפי המערער טענות הגנה קונקרטיות ביחס למעשה בגינו הורשע תוך שימוש בסעיף 184 </w:t>
      </w:r>
      <w:proofErr w:type="spellStart"/>
      <w:r>
        <w:rPr>
          <w:rFonts w:ascii="David" w:hAnsi="David" w:cs="David"/>
          <w:sz w:val="24"/>
          <w:szCs w:val="24"/>
          <w:rtl/>
        </w:rPr>
        <w:t>לחסד"פ</w:t>
      </w:r>
      <w:proofErr w:type="spellEnd"/>
      <w:r>
        <w:rPr>
          <w:rFonts w:ascii="David" w:hAnsi="David" w:cs="David"/>
          <w:sz w:val="24"/>
          <w:szCs w:val="24"/>
          <w:rtl/>
        </w:rPr>
        <w:t xml:space="preserve">, הנוגעות ליסוד העובדתי וליסוד הנפשי של העבירה, אשר לא הועלו או נדונו בבית משפט קמא. </w:t>
      </w:r>
    </w:p>
    <w:p w14:paraId="2E41C334" w14:textId="77777777" w:rsidR="004822EB" w:rsidRDefault="004822EB" w:rsidP="004822EB">
      <w:pPr>
        <w:pStyle w:val="ad"/>
        <w:spacing w:line="240" w:lineRule="auto"/>
        <w:rPr>
          <w:rFonts w:ascii="David" w:hAnsi="David" w:cs="David"/>
          <w:sz w:val="16"/>
          <w:szCs w:val="16"/>
        </w:rPr>
      </w:pPr>
    </w:p>
    <w:p w14:paraId="2BEA65C7" w14:textId="77777777" w:rsidR="004822EB" w:rsidRDefault="004822EB" w:rsidP="004822EB">
      <w:pPr>
        <w:pStyle w:val="ad"/>
        <w:numPr>
          <w:ilvl w:val="0"/>
          <w:numId w:val="1"/>
        </w:numPr>
        <w:spacing w:after="0" w:line="360" w:lineRule="auto"/>
        <w:ind w:left="-58" w:firstLine="0"/>
        <w:jc w:val="both"/>
        <w:rPr>
          <w:rFonts w:ascii="David" w:hAnsi="David" w:cs="David"/>
          <w:sz w:val="16"/>
          <w:szCs w:val="16"/>
          <w:rtl/>
        </w:rPr>
      </w:pPr>
      <w:r>
        <w:rPr>
          <w:rFonts w:ascii="David" w:hAnsi="David" w:cs="David"/>
          <w:sz w:val="24"/>
          <w:szCs w:val="24"/>
          <w:rtl/>
        </w:rPr>
        <w:lastRenderedPageBreak/>
        <w:t xml:space="preserve">בנסיבות אלה מצאנו כאמור טעם בטענת באת-כוח המערער לפיה לא ניתנה למערער הזדמנות סבירה להתגונן, ולמצער קיים חשש לכך. נבהיר, לטעמנו, אין בעובדה שהשוטר יוגב נשאל, בין היתר, לגבי המעשה בחקירתו הנגדית, או בכך שהסנגורית התייחסה בפסקה אחת בסיכומיה לדברי השוטר יוגב בהקשר זה כדי להוביל למסקנה שונה. אף לא בכך שלא </w:t>
      </w:r>
      <w:r>
        <w:rPr>
          <w:rFonts w:ascii="David" w:hAnsi="David" w:cs="David"/>
          <w:i/>
          <w:iCs/>
          <w:sz w:val="24"/>
          <w:szCs w:val="24"/>
          <w:rtl/>
        </w:rPr>
        <w:t>"טענה אחרת"</w:t>
      </w:r>
      <w:r>
        <w:rPr>
          <w:rFonts w:ascii="David" w:hAnsi="David" w:cs="David"/>
          <w:sz w:val="24"/>
          <w:szCs w:val="24"/>
          <w:rtl/>
        </w:rPr>
        <w:t xml:space="preserve"> בכל הנוגע להרשעה מכוח סעיף 184 (כשכאמור, מפרוטוקול בית משפט קמא עולה כי הדבר לא נאמר מפורשות). </w:t>
      </w:r>
    </w:p>
    <w:p w14:paraId="5A4F4C7F" w14:textId="77777777" w:rsidR="004822EB" w:rsidRDefault="004822EB" w:rsidP="004822EB">
      <w:pPr>
        <w:pStyle w:val="ad"/>
        <w:spacing w:after="0" w:line="240" w:lineRule="auto"/>
        <w:ind w:left="-58"/>
        <w:jc w:val="both"/>
        <w:rPr>
          <w:rFonts w:ascii="David" w:hAnsi="David" w:cs="David"/>
          <w:sz w:val="16"/>
          <w:szCs w:val="16"/>
          <w:rtl/>
        </w:rPr>
      </w:pPr>
    </w:p>
    <w:p w14:paraId="2F368FBC" w14:textId="77777777" w:rsidR="004822EB" w:rsidRDefault="004822EB" w:rsidP="004822EB">
      <w:pPr>
        <w:pStyle w:val="ad"/>
        <w:numPr>
          <w:ilvl w:val="0"/>
          <w:numId w:val="1"/>
        </w:numPr>
        <w:spacing w:before="100" w:beforeAutospacing="1" w:after="100" w:afterAutospacing="1" w:line="360" w:lineRule="auto"/>
        <w:ind w:left="-58" w:firstLine="0"/>
        <w:jc w:val="both"/>
        <w:rPr>
          <w:rFonts w:ascii="David" w:hAnsi="David" w:cs="David"/>
          <w:sz w:val="16"/>
          <w:szCs w:val="16"/>
          <w:rtl/>
        </w:rPr>
      </w:pPr>
      <w:r>
        <w:rPr>
          <w:rFonts w:ascii="David" w:hAnsi="David" w:cs="David"/>
          <w:sz w:val="24"/>
          <w:szCs w:val="24"/>
          <w:rtl/>
        </w:rPr>
        <w:t xml:space="preserve">יתרה מכך : כאמור, הרשעה מכוח סעיף 184 </w:t>
      </w:r>
      <w:proofErr w:type="spellStart"/>
      <w:r>
        <w:rPr>
          <w:rFonts w:ascii="David" w:hAnsi="David" w:cs="David"/>
          <w:sz w:val="24"/>
          <w:szCs w:val="24"/>
          <w:rtl/>
        </w:rPr>
        <w:t>לחסד"פ</w:t>
      </w:r>
      <w:proofErr w:type="spellEnd"/>
      <w:r>
        <w:rPr>
          <w:rFonts w:ascii="David" w:hAnsi="David" w:cs="David"/>
          <w:sz w:val="24"/>
          <w:szCs w:val="24"/>
          <w:rtl/>
        </w:rPr>
        <w:t xml:space="preserve"> היא סמכות הנתונה לשיקול דעת בית המשפט אותה יש להפעיל בזהירות ובהתחשב בכלל הנסיבות (ע"פ 534/84 </w:t>
      </w:r>
      <w:r>
        <w:rPr>
          <w:rFonts w:ascii="David" w:hAnsi="David" w:cs="David"/>
          <w:b/>
          <w:bCs/>
          <w:sz w:val="24"/>
          <w:szCs w:val="24"/>
          <w:rtl/>
        </w:rPr>
        <w:t>אסתר אריה (פנחס) נ' מדינת ישראל</w:t>
      </w:r>
      <w:r>
        <w:rPr>
          <w:rFonts w:ascii="David" w:hAnsi="David" w:cs="David"/>
          <w:sz w:val="24"/>
          <w:szCs w:val="24"/>
          <w:rtl/>
        </w:rPr>
        <w:t xml:space="preserve"> פ"ד </w:t>
      </w:r>
      <w:proofErr w:type="spellStart"/>
      <w:r>
        <w:rPr>
          <w:rFonts w:ascii="David" w:hAnsi="David" w:cs="David"/>
          <w:sz w:val="24"/>
          <w:szCs w:val="24"/>
          <w:rtl/>
        </w:rPr>
        <w:t>מא</w:t>
      </w:r>
      <w:proofErr w:type="spellEnd"/>
      <w:r>
        <w:rPr>
          <w:rFonts w:ascii="David" w:hAnsi="David" w:cs="David"/>
          <w:sz w:val="24"/>
          <w:szCs w:val="24"/>
          <w:rtl/>
        </w:rPr>
        <w:t xml:space="preserve">(3) 561 (1985), </w:t>
      </w:r>
      <w:r>
        <w:rPr>
          <w:rFonts w:ascii="David" w:hAnsi="David" w:cs="David"/>
          <w:b/>
          <w:bCs/>
          <w:sz w:val="24"/>
          <w:szCs w:val="24"/>
          <w:rtl/>
        </w:rPr>
        <w:t>פסק דין קליין</w:t>
      </w:r>
      <w:r>
        <w:rPr>
          <w:rFonts w:ascii="David" w:hAnsi="David" w:cs="David"/>
          <w:sz w:val="24"/>
          <w:szCs w:val="24"/>
          <w:rtl/>
        </w:rPr>
        <w:t>) – ובעניינינו, לאחר בחינת הנסיבות מסקנתנו היא כי לא היה מקום לעשות שימוש בסמכות, גם אם היינו קובעים בדוחק כי ניתנה למערער הזדמנות סבירה להתגונן.</w:t>
      </w:r>
    </w:p>
    <w:p w14:paraId="5B34F2D7" w14:textId="77777777" w:rsidR="004822EB" w:rsidRDefault="004822EB" w:rsidP="004822EB">
      <w:pPr>
        <w:pStyle w:val="ad"/>
        <w:spacing w:line="240" w:lineRule="auto"/>
        <w:rPr>
          <w:rFonts w:ascii="David" w:hAnsi="David" w:cs="David"/>
          <w:sz w:val="16"/>
          <w:szCs w:val="16"/>
        </w:rPr>
      </w:pPr>
    </w:p>
    <w:p w14:paraId="19551041" w14:textId="77777777" w:rsidR="004822EB" w:rsidRDefault="004822EB" w:rsidP="004D5AD0">
      <w:pPr>
        <w:pStyle w:val="ad"/>
        <w:numPr>
          <w:ilvl w:val="0"/>
          <w:numId w:val="1"/>
        </w:numPr>
        <w:spacing w:before="100" w:beforeAutospacing="1" w:after="100" w:afterAutospacing="1" w:line="360" w:lineRule="auto"/>
        <w:ind w:left="-58" w:firstLine="0"/>
        <w:jc w:val="both"/>
        <w:rPr>
          <w:rFonts w:ascii="David" w:hAnsi="David" w:cs="David"/>
          <w:sz w:val="16"/>
          <w:szCs w:val="16"/>
          <w:rtl/>
        </w:rPr>
      </w:pPr>
      <w:r>
        <w:rPr>
          <w:rFonts w:ascii="David" w:hAnsi="David" w:cs="David"/>
          <w:sz w:val="24"/>
          <w:szCs w:val="24"/>
          <w:rtl/>
        </w:rPr>
        <w:t xml:space="preserve">ודוק: ראשית, אין חולק כי הראיות המבססות את העובדות שעל יסודן הורשע המערער תוך שימוש בסעיף 184 </w:t>
      </w:r>
      <w:proofErr w:type="spellStart"/>
      <w:r>
        <w:rPr>
          <w:rFonts w:ascii="David" w:hAnsi="David" w:cs="David"/>
          <w:sz w:val="24"/>
          <w:szCs w:val="24"/>
          <w:rtl/>
        </w:rPr>
        <w:t>לחסד"פ</w:t>
      </w:r>
      <w:proofErr w:type="spellEnd"/>
      <w:r>
        <w:rPr>
          <w:rFonts w:ascii="David" w:hAnsi="David" w:cs="David"/>
          <w:sz w:val="24"/>
          <w:szCs w:val="24"/>
          <w:rtl/>
        </w:rPr>
        <w:t xml:space="preserve"> היו בפני המאשימה בעת הגשת כתב האישום, אך היא בחרה שלא להאשימו בגינן. אמנם, אין בכך להוות חסם משימוש בסמכות מכוח סעיף 184 </w:t>
      </w:r>
      <w:proofErr w:type="spellStart"/>
      <w:r>
        <w:rPr>
          <w:rFonts w:ascii="David" w:hAnsi="David" w:cs="David"/>
          <w:sz w:val="24"/>
          <w:szCs w:val="24"/>
          <w:rtl/>
        </w:rPr>
        <w:t>לחסד"פ</w:t>
      </w:r>
      <w:proofErr w:type="spellEnd"/>
      <w:r>
        <w:rPr>
          <w:rFonts w:ascii="David" w:hAnsi="David" w:cs="David"/>
          <w:sz w:val="24"/>
          <w:szCs w:val="24"/>
          <w:rtl/>
        </w:rPr>
        <w:t xml:space="preserve"> (ע"פ 8168/05 </w:t>
      </w:r>
      <w:proofErr w:type="spellStart"/>
      <w:r>
        <w:rPr>
          <w:rFonts w:ascii="David" w:hAnsi="David" w:cs="David"/>
          <w:b/>
          <w:bCs/>
          <w:sz w:val="24"/>
          <w:szCs w:val="24"/>
          <w:rtl/>
        </w:rPr>
        <w:t>פלינק</w:t>
      </w:r>
      <w:proofErr w:type="spellEnd"/>
      <w:r>
        <w:rPr>
          <w:rFonts w:ascii="David" w:hAnsi="David" w:cs="David"/>
          <w:b/>
          <w:bCs/>
          <w:sz w:val="24"/>
          <w:szCs w:val="24"/>
          <w:rtl/>
        </w:rPr>
        <w:t xml:space="preserve"> נ' מדינת ישראל, פסקה 16</w:t>
      </w:r>
      <w:r>
        <w:rPr>
          <w:rFonts w:ascii="David" w:hAnsi="David" w:cs="David"/>
          <w:sz w:val="24"/>
          <w:szCs w:val="24"/>
          <w:rtl/>
        </w:rPr>
        <w:t xml:space="preserve"> (31.5.2007)), אך מדובר בנתון בעל משמעות אותו יש לשקול בעת הפעלת שיקול הדעת. כדברי השופטת, כתוארה אז, ביניש, </w:t>
      </w:r>
      <w:proofErr w:type="spellStart"/>
      <w:r>
        <w:rPr>
          <w:rFonts w:ascii="David" w:hAnsi="David" w:cs="David"/>
          <w:sz w:val="24"/>
          <w:szCs w:val="24"/>
          <w:rtl/>
        </w:rPr>
        <w:t>בדנ"פ</w:t>
      </w:r>
      <w:proofErr w:type="spellEnd"/>
      <w:r>
        <w:rPr>
          <w:rFonts w:ascii="David" w:hAnsi="David" w:cs="David"/>
          <w:sz w:val="24"/>
          <w:szCs w:val="24"/>
          <w:rtl/>
        </w:rPr>
        <w:t xml:space="preserve"> 4603/97 </w:t>
      </w:r>
      <w:r>
        <w:rPr>
          <w:rFonts w:ascii="David" w:hAnsi="David" w:cs="David"/>
          <w:b/>
          <w:bCs/>
          <w:sz w:val="24"/>
          <w:szCs w:val="24"/>
          <w:rtl/>
        </w:rPr>
        <w:t>משולם נ' מדינת ישראל</w:t>
      </w:r>
      <w:r>
        <w:rPr>
          <w:rFonts w:ascii="David" w:hAnsi="David" w:cs="David"/>
          <w:sz w:val="24"/>
          <w:szCs w:val="24"/>
          <w:rtl/>
        </w:rPr>
        <w:t>, פ"ד נא(3) 160, 197 (1998):</w:t>
      </w:r>
    </w:p>
    <w:p w14:paraId="6F5D4189" w14:textId="77777777" w:rsidR="004822EB" w:rsidRDefault="004822EB" w:rsidP="004822EB">
      <w:pPr>
        <w:pStyle w:val="ad"/>
        <w:spacing w:line="240" w:lineRule="auto"/>
        <w:rPr>
          <w:rFonts w:ascii="David" w:hAnsi="David" w:cs="David"/>
          <w:sz w:val="16"/>
          <w:szCs w:val="16"/>
        </w:rPr>
      </w:pPr>
    </w:p>
    <w:p w14:paraId="67A82040" w14:textId="77777777" w:rsidR="004822EB" w:rsidRDefault="004822EB" w:rsidP="004822EB">
      <w:pPr>
        <w:pStyle w:val="ad"/>
        <w:spacing w:before="100" w:beforeAutospacing="1" w:after="100" w:afterAutospacing="1" w:line="360" w:lineRule="auto"/>
        <w:ind w:left="737" w:right="737"/>
        <w:jc w:val="both"/>
        <w:rPr>
          <w:rFonts w:ascii="David" w:hAnsi="David" w:cs="David"/>
          <w:b/>
          <w:bCs/>
          <w:sz w:val="24"/>
          <w:szCs w:val="24"/>
          <w:rtl/>
        </w:rPr>
      </w:pPr>
      <w:r>
        <w:rPr>
          <w:rFonts w:ascii="David" w:hAnsi="David" w:cs="David"/>
          <w:b/>
          <w:bCs/>
          <w:sz w:val="24"/>
          <w:szCs w:val="24"/>
          <w:rtl/>
        </w:rPr>
        <w:t>"לא למותר להוסיף, כי יש בעובדה שהיה בידי התביעה חומר ראיות שניתן היה להרשיע על-פיו, והיא נמנעה מלהאשים בגינו, נימוק כבד משקל שבית-המשפט יביאו בגדר שיקוליו לעניין ההרשעה. שיקול זה יש בו טעם כפול: ראשית, משום שמלכתחילה לא ראתה התביעה עניין ציבורי בהשגת הרשעה על יסוד אותן עובדות; ושנית, משום ההגינות כלפי הנאשם המחייבת זהירות וריסון בנסיבות כאלה".</w:t>
      </w:r>
    </w:p>
    <w:p w14:paraId="37EA1E47" w14:textId="77777777" w:rsidR="004822EB" w:rsidRDefault="004822EB" w:rsidP="004822EB">
      <w:pPr>
        <w:pStyle w:val="ad"/>
        <w:spacing w:before="100" w:beforeAutospacing="1" w:after="100" w:afterAutospacing="1" w:line="240" w:lineRule="auto"/>
        <w:ind w:left="737" w:right="737"/>
        <w:jc w:val="both"/>
        <w:rPr>
          <w:rFonts w:ascii="David" w:hAnsi="David" w:cs="David"/>
          <w:sz w:val="16"/>
          <w:szCs w:val="16"/>
          <w:rtl/>
        </w:rPr>
      </w:pPr>
    </w:p>
    <w:p w14:paraId="2B985A44" w14:textId="77777777" w:rsidR="004822EB" w:rsidRDefault="004822EB" w:rsidP="004822EB">
      <w:pPr>
        <w:pStyle w:val="ad"/>
        <w:numPr>
          <w:ilvl w:val="0"/>
          <w:numId w:val="1"/>
        </w:numPr>
        <w:spacing w:before="100" w:beforeAutospacing="1" w:after="100" w:afterAutospacing="1" w:line="360" w:lineRule="auto"/>
        <w:ind w:left="-58" w:firstLine="0"/>
        <w:jc w:val="both"/>
        <w:rPr>
          <w:rFonts w:ascii="David" w:hAnsi="David" w:cs="David"/>
          <w:sz w:val="16"/>
          <w:szCs w:val="16"/>
        </w:rPr>
      </w:pPr>
      <w:r>
        <w:rPr>
          <w:rFonts w:ascii="David" w:hAnsi="David" w:cs="David"/>
          <w:sz w:val="24"/>
          <w:szCs w:val="24"/>
          <w:rtl/>
        </w:rPr>
        <w:t xml:space="preserve">שנית, המאשימה לא עתרה להרשעת המערער תוך שימוש בסעיף 184 </w:t>
      </w:r>
      <w:proofErr w:type="spellStart"/>
      <w:r>
        <w:rPr>
          <w:rFonts w:ascii="David" w:hAnsi="David" w:cs="David"/>
          <w:sz w:val="24"/>
          <w:szCs w:val="24"/>
          <w:rtl/>
        </w:rPr>
        <w:t>לחסד"פ</w:t>
      </w:r>
      <w:proofErr w:type="spellEnd"/>
      <w:r>
        <w:rPr>
          <w:rFonts w:ascii="David" w:hAnsi="David" w:cs="David"/>
          <w:sz w:val="24"/>
          <w:szCs w:val="24"/>
          <w:rtl/>
        </w:rPr>
        <w:t xml:space="preserve">, ומדובר במהלך יזום של בית המשפט קמא בהכרעת דינו. הגם שהמהלך מותר על פי חוק, ברי כי יש לעשותו במשורה ובזהירות בהינתן אופיו האדברסרי של ההליך. שלישית, מבלי להקל ראש, אופי המעשה, במהלכו משך המערער בעידו למספר שניות בודדות, ושחרר אחיזתו מיד כששמע את הוראה מפורשת לעידו להתלוות לשוטר, אינו כזה המצדיק מהלך חריג של הרשעה תוך שימוש בסעיף 184 </w:t>
      </w:r>
      <w:proofErr w:type="spellStart"/>
      <w:r>
        <w:rPr>
          <w:rFonts w:ascii="David" w:hAnsi="David" w:cs="David"/>
          <w:sz w:val="24"/>
          <w:szCs w:val="24"/>
          <w:rtl/>
        </w:rPr>
        <w:t>לחסד"פ</w:t>
      </w:r>
      <w:proofErr w:type="spellEnd"/>
      <w:r>
        <w:rPr>
          <w:rFonts w:ascii="David" w:hAnsi="David" w:cs="David"/>
          <w:sz w:val="24"/>
          <w:szCs w:val="24"/>
          <w:rtl/>
        </w:rPr>
        <w:t xml:space="preserve"> בנסיבות הכוללות, ואף בשים לב לזיכוי המערער מעבירה של שימוש בכוח או איומים למנוע מעצר וביטול האישום בעבירת האיומים.</w:t>
      </w:r>
    </w:p>
    <w:p w14:paraId="0ECBBFB1" w14:textId="77777777" w:rsidR="004822EB" w:rsidRDefault="004822EB" w:rsidP="004822EB">
      <w:pPr>
        <w:pStyle w:val="ad"/>
        <w:spacing w:before="100" w:beforeAutospacing="1" w:after="100" w:afterAutospacing="1" w:line="240" w:lineRule="auto"/>
        <w:ind w:left="-58"/>
        <w:jc w:val="both"/>
        <w:rPr>
          <w:rFonts w:ascii="David" w:hAnsi="David" w:cs="David"/>
          <w:sz w:val="16"/>
          <w:szCs w:val="16"/>
        </w:rPr>
      </w:pPr>
    </w:p>
    <w:p w14:paraId="3985ACBD" w14:textId="77777777" w:rsidR="004822EB" w:rsidRDefault="004822EB" w:rsidP="004822EB">
      <w:pPr>
        <w:pStyle w:val="ad"/>
        <w:numPr>
          <w:ilvl w:val="0"/>
          <w:numId w:val="1"/>
        </w:numPr>
        <w:spacing w:before="100" w:beforeAutospacing="1" w:after="100" w:afterAutospacing="1" w:line="360" w:lineRule="auto"/>
        <w:ind w:left="-58" w:firstLine="0"/>
        <w:jc w:val="both"/>
        <w:rPr>
          <w:rFonts w:ascii="David" w:hAnsi="David" w:cs="David"/>
          <w:sz w:val="24"/>
          <w:szCs w:val="24"/>
        </w:rPr>
      </w:pPr>
      <w:r>
        <w:rPr>
          <w:rFonts w:ascii="David" w:hAnsi="David" w:cs="David"/>
          <w:sz w:val="24"/>
          <w:szCs w:val="24"/>
          <w:rtl/>
        </w:rPr>
        <w:t xml:space="preserve">נדגיש, מקובלות עלינו לחלוטין קביעות בית המשפט קמא והדופי שמצא בהתנהלות המערער במהלך האירוע. כך גם קביעתו כי לא היה יחס מפלה מצד השוטרים כלפי המערער על רקע </w:t>
      </w:r>
      <w:r>
        <w:rPr>
          <w:rFonts w:ascii="David" w:hAnsi="David" w:cs="David"/>
          <w:sz w:val="24"/>
          <w:szCs w:val="24"/>
          <w:rtl/>
        </w:rPr>
        <w:lastRenderedPageBreak/>
        <w:t xml:space="preserve">מוצאו האתיופי או בכלל. כפי שקבע בית המשפט קמא, גם אנו מוצאים כי: </w:t>
      </w:r>
      <w:r>
        <w:rPr>
          <w:rFonts w:ascii="David" w:hAnsi="David" w:cs="David"/>
          <w:i/>
          <w:iCs/>
          <w:sz w:val="24"/>
          <w:szCs w:val="24"/>
          <w:rtl/>
        </w:rPr>
        <w:t>"מבחינה אובייקטיבית צפייה בתיעוד האירוע אינה תומכת כלל בטענה נגד השוטרים"</w:t>
      </w:r>
      <w:r>
        <w:rPr>
          <w:rFonts w:ascii="David" w:hAnsi="David" w:cs="David"/>
          <w:sz w:val="24"/>
          <w:szCs w:val="24"/>
          <w:rtl/>
        </w:rPr>
        <w:t>, ועולה כי יחס השוטרים למערער נבע מהתנהגותו הפסולה ולא משיקולים גזעניים.</w:t>
      </w:r>
    </w:p>
    <w:p w14:paraId="5840946B" w14:textId="77777777" w:rsidR="004822EB" w:rsidRDefault="004822EB" w:rsidP="004822EB">
      <w:pPr>
        <w:pStyle w:val="ad"/>
        <w:spacing w:line="240" w:lineRule="auto"/>
        <w:rPr>
          <w:rFonts w:ascii="David" w:hAnsi="David" w:cs="David"/>
          <w:sz w:val="16"/>
          <w:szCs w:val="16"/>
        </w:rPr>
      </w:pPr>
    </w:p>
    <w:p w14:paraId="408AAAD5" w14:textId="77777777" w:rsidR="004822EB" w:rsidRDefault="004822EB" w:rsidP="0028131F">
      <w:pPr>
        <w:pStyle w:val="ad"/>
        <w:numPr>
          <w:ilvl w:val="0"/>
          <w:numId w:val="1"/>
        </w:numPr>
        <w:spacing w:before="100" w:beforeAutospacing="1" w:after="100" w:afterAutospacing="1" w:line="360" w:lineRule="auto"/>
        <w:ind w:left="-58" w:firstLine="0"/>
        <w:jc w:val="both"/>
        <w:rPr>
          <w:rFonts w:ascii="David" w:hAnsi="David" w:cs="David"/>
          <w:sz w:val="16"/>
          <w:szCs w:val="16"/>
          <w:rtl/>
        </w:rPr>
      </w:pPr>
      <w:r>
        <w:rPr>
          <w:rFonts w:ascii="David" w:hAnsi="David" w:cs="David"/>
          <w:sz w:val="24"/>
          <w:szCs w:val="24"/>
          <w:rtl/>
        </w:rPr>
        <w:t xml:space="preserve">עם זאת, יש לתת את הדעת לכך שמהכרעת הדין נראה כי התייחסות בית משפט קמא להתנהלות המערער בשטח בזמן האירוע כמתגרה ומזלזלת </w:t>
      </w:r>
      <w:r>
        <w:rPr>
          <w:rFonts w:ascii="David" w:hAnsi="David" w:cs="David"/>
          <w:i/>
          <w:iCs/>
          <w:sz w:val="24"/>
          <w:szCs w:val="24"/>
          <w:rtl/>
        </w:rPr>
        <w:t>"השונה לחלוטין מהתנהלות חבריו ולא לטובה</w:t>
      </w:r>
      <w:r>
        <w:rPr>
          <w:rFonts w:ascii="David" w:hAnsi="David" w:cs="David"/>
          <w:sz w:val="24"/>
          <w:szCs w:val="24"/>
          <w:rtl/>
        </w:rPr>
        <w:t xml:space="preserve">", מתייחסת למעשיו עובר למעצרו של עידו, שאינם חלק מעובדות כתב האישום. זאת בעוד שביחס למעשים המפורטים בכתב האישום, ובכללם גם סירוב המערער להזדהות כשנדרש לעשות כן, לא מצא בית משפט קמא כאמור להרשיעו. בהקשר זה, ראו דרך התייחסות בית המשפט קמא לסירוב המערער להזדהות כמצויה </w:t>
      </w:r>
      <w:r>
        <w:rPr>
          <w:rFonts w:ascii="David" w:hAnsi="David" w:cs="David"/>
          <w:i/>
          <w:iCs/>
          <w:sz w:val="24"/>
          <w:szCs w:val="24"/>
          <w:rtl/>
        </w:rPr>
        <w:t>"בשולי הדברים"</w:t>
      </w:r>
      <w:r>
        <w:rPr>
          <w:rFonts w:ascii="David" w:hAnsi="David" w:cs="David"/>
          <w:sz w:val="24"/>
          <w:szCs w:val="24"/>
          <w:rtl/>
        </w:rPr>
        <w:t xml:space="preserve"> בלבד בסעיף 18 להכרעת הדין (לאחר שנקבעה הרשעת המערער בהפרעה לשוטר במילוי תפקידו כחוק תוך שימוש בסעיף 184 </w:t>
      </w:r>
      <w:proofErr w:type="spellStart"/>
      <w:r>
        <w:rPr>
          <w:rFonts w:ascii="David" w:hAnsi="David" w:cs="David"/>
          <w:sz w:val="24"/>
          <w:szCs w:val="24"/>
          <w:rtl/>
        </w:rPr>
        <w:t>לחסד"פ</w:t>
      </w:r>
      <w:proofErr w:type="spellEnd"/>
      <w:r>
        <w:rPr>
          <w:rFonts w:ascii="David" w:hAnsi="David" w:cs="David"/>
          <w:sz w:val="24"/>
          <w:szCs w:val="24"/>
          <w:rtl/>
        </w:rPr>
        <w:t>, המצויה בסעיף 15 להכרעת הדין).</w:t>
      </w:r>
    </w:p>
    <w:p w14:paraId="22C87EAE" w14:textId="77777777" w:rsidR="004822EB" w:rsidRDefault="004822EB" w:rsidP="004822EB">
      <w:pPr>
        <w:pStyle w:val="ad"/>
        <w:spacing w:before="100" w:beforeAutospacing="1" w:after="100" w:afterAutospacing="1" w:line="240" w:lineRule="auto"/>
        <w:ind w:left="-58"/>
        <w:jc w:val="both"/>
        <w:rPr>
          <w:rFonts w:ascii="David" w:hAnsi="David" w:cs="David"/>
          <w:sz w:val="16"/>
          <w:szCs w:val="16"/>
          <w:rtl/>
        </w:rPr>
      </w:pPr>
    </w:p>
    <w:p w14:paraId="00B08FC3" w14:textId="77777777" w:rsidR="004822EB" w:rsidRDefault="004822EB" w:rsidP="004822EB">
      <w:pPr>
        <w:spacing w:line="360" w:lineRule="auto"/>
        <w:jc w:val="both"/>
        <w:rPr>
          <w:rFonts w:ascii="Arial" w:hAnsi="Arial"/>
          <w:noProof w:val="0"/>
          <w:rtl/>
        </w:rPr>
      </w:pPr>
      <w:r>
        <w:rPr>
          <w:rFonts w:ascii="David" w:hAnsi="David"/>
          <w:rtl/>
        </w:rPr>
        <w:t>במקרה זה, בהינתן ממצאי הכרעת הדין, התייחסות בית משפט קמא לסירוב להזדהות בשולי הדברים כאמור, והטענות שבבסיס הערעור, ומשמצאנו כי לא היה מקום להרשיע את המערער תוך שימוש בסעיף 184 לחסד"פ, אנו מורים על זיכויו. בהתאמה, העונש אשר הוטל עליו מבוטל.</w:t>
      </w:r>
    </w:p>
    <w:p w14:paraId="1087E84F" w14:textId="77777777" w:rsidR="004822EB" w:rsidRDefault="004822EB">
      <w:pPr>
        <w:spacing w:line="360" w:lineRule="auto"/>
        <w:jc w:val="both"/>
        <w:rPr>
          <w:rFonts w:ascii="Arial" w:hAnsi="Arial"/>
          <w:noProof w:val="0"/>
          <w:rtl/>
        </w:rPr>
      </w:pPr>
    </w:p>
    <w:p w14:paraId="48E7E894" w14:textId="77777777" w:rsidR="00694556" w:rsidRDefault="00005C8B" w:rsidP="00E56272">
      <w:pPr>
        <w:spacing w:line="360" w:lineRule="auto"/>
        <w:jc w:val="both"/>
        <w:rPr>
          <w:rFonts w:ascii="Arial" w:hAnsi="Arial"/>
          <w:noProof w:val="0"/>
          <w:rtl/>
        </w:rPr>
      </w:pPr>
      <w:r>
        <w:rPr>
          <w:rFonts w:ascii="Arial" w:hAnsi="Arial"/>
          <w:noProof w:val="0"/>
          <w:rtl/>
        </w:rPr>
        <w:t xml:space="preserve">ניתן היום, </w:t>
      </w:r>
      <w:sdt>
        <w:sdtPr>
          <w:rPr>
            <w:rtl/>
          </w:rPr>
          <w:alias w:val="1455"/>
          <w:tag w:val="1455"/>
          <w:id w:val="242217728"/>
          <w:text w:multiLine="1"/>
        </w:sdtPr>
        <w:sdtEndPr/>
        <w:sdtContent>
          <w:r>
            <w:rPr>
              <w:rFonts w:ascii="Arial" w:hAnsi="Arial"/>
              <w:noProof w:val="0"/>
              <w:rtl/>
            </w:rPr>
            <w:t>כ"ב אלול תשפ"ה</w:t>
          </w:r>
        </w:sdtContent>
      </w:sdt>
      <w:r>
        <w:rPr>
          <w:rFonts w:ascii="Arial" w:hAnsi="Arial"/>
          <w:noProof w:val="0"/>
          <w:rtl/>
        </w:rPr>
        <w:t xml:space="preserve">, </w:t>
      </w:r>
      <w:sdt>
        <w:sdtPr>
          <w:rPr>
            <w:rtl/>
          </w:rPr>
          <w:alias w:val="1456"/>
          <w:tag w:val="1456"/>
          <w:id w:val="-1101635932"/>
          <w:text w:multiLine="1"/>
        </w:sdtPr>
        <w:sdtEndPr/>
        <w:sdtContent>
          <w:r>
            <w:rPr>
              <w:rFonts w:ascii="Arial" w:hAnsi="Arial"/>
              <w:noProof w:val="0"/>
              <w:rtl/>
            </w:rPr>
            <w:t>15 ספטמבר 2025</w:t>
          </w:r>
        </w:sdtContent>
      </w:sdt>
      <w:r>
        <w:rPr>
          <w:rFonts w:ascii="Arial" w:hAnsi="Arial"/>
          <w:noProof w:val="0"/>
          <w:rtl/>
        </w:rPr>
        <w:t xml:space="preserve">, </w:t>
      </w:r>
      <w:r w:rsidR="00E56272">
        <w:rPr>
          <w:rFonts w:ascii="Arial" w:hAnsi="Arial" w:hint="cs"/>
          <w:noProof w:val="0"/>
          <w:rtl/>
        </w:rPr>
        <w:t>במעמד</w:t>
      </w:r>
      <w:r>
        <w:rPr>
          <w:rFonts w:ascii="Arial" w:hAnsi="Arial"/>
          <w:noProof w:val="0"/>
          <w:rtl/>
        </w:rPr>
        <w:t xml:space="preserve"> הצדדים.</w:t>
      </w:r>
    </w:p>
    <w:tbl>
      <w:tblPr>
        <w:tblStyle w:val="a9"/>
        <w:tblpPr w:leftFromText="180" w:rightFromText="180" w:vertAnchor="text" w:horzAnchor="margin" w:tblpXSpec="center" w:tblpY="35"/>
        <w:bidiVisual/>
        <w:tblW w:w="86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63"/>
        <w:gridCol w:w="2654"/>
        <w:gridCol w:w="3456"/>
      </w:tblGrid>
      <w:tr w:rsidR="0028131F" w14:paraId="2E87D7D6" w14:textId="77777777" w:rsidTr="0028131F">
        <w:tc>
          <w:tcPr>
            <w:tcW w:w="2563" w:type="dxa"/>
            <w:vAlign w:val="center"/>
            <w:hideMark/>
          </w:tcPr>
          <w:sdt>
            <w:sdtPr>
              <w:rPr>
                <w:rFonts w:cs="Times New Roman"/>
                <w:rtl/>
              </w:rPr>
              <w:alias w:val="MergeField"/>
              <w:tag w:val="2250"/>
              <w:id w:val="-554320163"/>
            </w:sdtPr>
            <w:sdtEndPr/>
            <w:sdtContent>
              <w:p w14:paraId="03D25EDB" w14:textId="77777777" w:rsidR="0028131F" w:rsidRDefault="0028131F">
                <w:pPr>
                  <w:jc w:val="right"/>
                  <w:rPr>
                    <w:rFonts w:cs="Times New Roman"/>
                    <w:noProof w:val="0"/>
                  </w:rPr>
                </w:pPr>
                <w:r>
                  <w:drawing>
                    <wp:inline distT="0" distB="0" distL="0" distR="0" wp14:anchorId="5B63B901" wp14:editId="1BBD3967">
                      <wp:extent cx="1085850" cy="533400"/>
                      <wp:effectExtent l="0" t="0" r="0" b="0"/>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5850" cy="533400"/>
                              </a:xfrm>
                              <a:prstGeom prst="rect">
                                <a:avLst/>
                              </a:prstGeom>
                              <a:noFill/>
                              <a:ln>
                                <a:noFill/>
                              </a:ln>
                            </pic:spPr>
                          </pic:pic>
                        </a:graphicData>
                      </a:graphic>
                    </wp:inline>
                  </w:drawing>
                </w:r>
              </w:p>
            </w:sdtContent>
          </w:sdt>
        </w:tc>
        <w:tc>
          <w:tcPr>
            <w:tcW w:w="2654" w:type="dxa"/>
            <w:vAlign w:val="center"/>
            <w:hideMark/>
          </w:tcPr>
          <w:sdt>
            <w:sdtPr>
              <w:rPr>
                <w:rFonts w:cs="Times New Roman"/>
                <w:rtl/>
              </w:rPr>
              <w:alias w:val="MergeField"/>
              <w:tag w:val="2251"/>
              <w:id w:val="-1994863020"/>
            </w:sdtPr>
            <w:sdtEndPr/>
            <w:sdtContent>
              <w:p w14:paraId="388DB4B3" w14:textId="77777777" w:rsidR="0028131F" w:rsidRDefault="0028131F">
                <w:pPr>
                  <w:jc w:val="right"/>
                </w:pPr>
                <w:r>
                  <w:drawing>
                    <wp:inline distT="0" distB="0" distL="0" distR="0" wp14:anchorId="454FD652" wp14:editId="22DDE095">
                      <wp:extent cx="1257300" cy="428625"/>
                      <wp:effectExtent l="0" t="0" r="0" b="9525"/>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7300" cy="428625"/>
                              </a:xfrm>
                              <a:prstGeom prst="rect">
                                <a:avLst/>
                              </a:prstGeom>
                              <a:noFill/>
                              <a:ln>
                                <a:noFill/>
                              </a:ln>
                            </pic:spPr>
                          </pic:pic>
                        </a:graphicData>
                      </a:graphic>
                    </wp:inline>
                  </w:drawing>
                </w:r>
              </w:p>
            </w:sdtContent>
          </w:sdt>
        </w:tc>
        <w:tc>
          <w:tcPr>
            <w:tcW w:w="3456" w:type="dxa"/>
            <w:vAlign w:val="center"/>
            <w:hideMark/>
          </w:tcPr>
          <w:sdt>
            <w:sdtPr>
              <w:rPr>
                <w:rFonts w:cs="Times New Roman"/>
                <w:rtl/>
              </w:rPr>
              <w:alias w:val="MergeField"/>
              <w:tag w:val="2252"/>
              <w:id w:val="-1008518981"/>
            </w:sdtPr>
            <w:sdtEndPr/>
            <w:sdtContent>
              <w:p w14:paraId="2F5A1942" w14:textId="77777777" w:rsidR="0028131F" w:rsidRDefault="0028131F">
                <w:pPr>
                  <w:jc w:val="right"/>
                </w:pPr>
                <w:r>
                  <w:drawing>
                    <wp:inline distT="0" distB="0" distL="0" distR="0" wp14:anchorId="34FD70F9" wp14:editId="79E3C6D0">
                      <wp:extent cx="2057400" cy="1133475"/>
                      <wp:effectExtent l="0" t="0" r="0" b="9525"/>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7400" cy="1133475"/>
                              </a:xfrm>
                              <a:prstGeom prst="rect">
                                <a:avLst/>
                              </a:prstGeom>
                              <a:noFill/>
                              <a:ln>
                                <a:noFill/>
                              </a:ln>
                            </pic:spPr>
                          </pic:pic>
                        </a:graphicData>
                      </a:graphic>
                    </wp:inline>
                  </w:drawing>
                </w:r>
              </w:p>
            </w:sdtContent>
          </w:sdt>
        </w:tc>
      </w:tr>
      <w:tr w:rsidR="0028131F" w14:paraId="59C1E00C" w14:textId="77777777" w:rsidTr="0028131F">
        <w:tc>
          <w:tcPr>
            <w:tcW w:w="2563" w:type="dxa"/>
            <w:vAlign w:val="center"/>
            <w:hideMark/>
          </w:tcPr>
          <w:p w14:paraId="2C7004EF" w14:textId="77777777" w:rsidR="0028131F" w:rsidRDefault="00177DA9" w:rsidP="0028131F">
            <w:pPr>
              <w:spacing w:line="360" w:lineRule="auto"/>
              <w:jc w:val="center"/>
              <w:rPr>
                <w:rFonts w:ascii="David" w:hAnsi="David"/>
              </w:rPr>
            </w:pPr>
            <w:sdt>
              <w:sdtPr>
                <w:rPr>
                  <w:rtl/>
                </w:rPr>
                <w:alias w:val="2235"/>
                <w:tag w:val="2235"/>
                <w:id w:val="1100069598"/>
              </w:sdtPr>
              <w:sdtEndPr/>
              <w:sdtContent>
                <w:r w:rsidR="0028131F">
                  <w:rPr>
                    <w:rFonts w:ascii="David" w:hAnsi="David"/>
                    <w:rtl/>
                  </w:rPr>
                  <w:t>שי</w:t>
                </w:r>
              </w:sdtContent>
            </w:sdt>
            <w:r w:rsidR="0028131F">
              <w:rPr>
                <w:rFonts w:hint="cs"/>
                <w:rtl/>
              </w:rPr>
              <w:t xml:space="preserve"> </w:t>
            </w:r>
            <w:sdt>
              <w:sdtPr>
                <w:rPr>
                  <w:rFonts w:cs="Times New Roman"/>
                  <w:rtl/>
                </w:rPr>
                <w:alias w:val="2240"/>
                <w:tag w:val="2240"/>
                <w:id w:val="825638415"/>
              </w:sdtPr>
              <w:sdtEndPr/>
              <w:sdtContent>
                <w:r w:rsidR="0028131F">
                  <w:rPr>
                    <w:rtl/>
                  </w:rPr>
                  <w:t>יניב</w:t>
                </w:r>
              </w:sdtContent>
            </w:sdt>
            <w:r w:rsidR="0028131F">
              <w:rPr>
                <w:rFonts w:hint="cs"/>
                <w:rtl/>
              </w:rPr>
              <w:t xml:space="preserve">, </w:t>
            </w:r>
            <w:sdt>
              <w:sdtPr>
                <w:rPr>
                  <w:rFonts w:cs="Times New Roman"/>
                  <w:rtl/>
                </w:rPr>
                <w:alias w:val="2245"/>
                <w:tag w:val="2245"/>
                <w:id w:val="533847746"/>
              </w:sdtPr>
              <w:sdtEndPr/>
              <w:sdtContent>
                <w:r w:rsidR="0028131F">
                  <w:rPr>
                    <w:rtl/>
                  </w:rPr>
                  <w:t>שופט, סגן הנשיא</w:t>
                </w:r>
              </w:sdtContent>
            </w:sdt>
          </w:p>
        </w:tc>
        <w:tc>
          <w:tcPr>
            <w:tcW w:w="2654" w:type="dxa"/>
            <w:vAlign w:val="center"/>
            <w:hideMark/>
          </w:tcPr>
          <w:p w14:paraId="607A16A5" w14:textId="77777777" w:rsidR="0028131F" w:rsidRDefault="00177DA9">
            <w:pPr>
              <w:spacing w:line="360" w:lineRule="auto"/>
              <w:jc w:val="center"/>
              <w:rPr>
                <w:rFonts w:ascii="David" w:hAnsi="David"/>
                <w:rtl/>
              </w:rPr>
            </w:pPr>
            <w:sdt>
              <w:sdtPr>
                <w:rPr>
                  <w:rtl/>
                </w:rPr>
                <w:alias w:val="2236"/>
                <w:tag w:val="2236"/>
                <w:id w:val="639300144"/>
              </w:sdtPr>
              <w:sdtEndPr/>
              <w:sdtContent>
                <w:r w:rsidR="0028131F">
                  <w:rPr>
                    <w:rFonts w:ascii="David" w:hAnsi="David"/>
                    <w:rtl/>
                  </w:rPr>
                  <w:t>דנה</w:t>
                </w:r>
              </w:sdtContent>
            </w:sdt>
            <w:r w:rsidR="0028131F">
              <w:rPr>
                <w:rFonts w:hint="cs"/>
                <w:rtl/>
              </w:rPr>
              <w:t xml:space="preserve"> </w:t>
            </w:r>
            <w:sdt>
              <w:sdtPr>
                <w:rPr>
                  <w:rFonts w:cs="Times New Roman"/>
                  <w:rtl/>
                </w:rPr>
                <w:alias w:val="2241"/>
                <w:tag w:val="2241"/>
                <w:id w:val="-2097088705"/>
              </w:sdtPr>
              <w:sdtEndPr/>
              <w:sdtContent>
                <w:r w:rsidR="0028131F">
                  <w:rPr>
                    <w:rtl/>
                  </w:rPr>
                  <w:t>אמיר</w:t>
                </w:r>
              </w:sdtContent>
            </w:sdt>
            <w:r w:rsidR="0028131F">
              <w:rPr>
                <w:rFonts w:hint="cs"/>
                <w:rtl/>
              </w:rPr>
              <w:t xml:space="preserve">, </w:t>
            </w:r>
            <w:sdt>
              <w:sdtPr>
                <w:rPr>
                  <w:rFonts w:cs="Times New Roman"/>
                  <w:rtl/>
                </w:rPr>
                <w:alias w:val="2246"/>
                <w:tag w:val="2246"/>
                <w:id w:val="-1989393221"/>
              </w:sdtPr>
              <w:sdtEndPr/>
              <w:sdtContent>
                <w:r w:rsidR="0028131F">
                  <w:rPr>
                    <w:rtl/>
                  </w:rPr>
                  <w:t>שופטת</w:t>
                </w:r>
              </w:sdtContent>
            </w:sdt>
          </w:p>
        </w:tc>
        <w:tc>
          <w:tcPr>
            <w:tcW w:w="3456" w:type="dxa"/>
            <w:vAlign w:val="center"/>
            <w:hideMark/>
          </w:tcPr>
          <w:p w14:paraId="46C39F44" w14:textId="77777777" w:rsidR="0028131F" w:rsidRDefault="00177DA9">
            <w:pPr>
              <w:spacing w:line="360" w:lineRule="auto"/>
              <w:jc w:val="center"/>
              <w:rPr>
                <w:rFonts w:ascii="David" w:hAnsi="David"/>
                <w:rtl/>
              </w:rPr>
            </w:pPr>
            <w:sdt>
              <w:sdtPr>
                <w:rPr>
                  <w:rtl/>
                </w:rPr>
                <w:alias w:val="2237"/>
                <w:tag w:val="2237"/>
                <w:id w:val="-31890643"/>
              </w:sdtPr>
              <w:sdtEndPr/>
              <w:sdtContent>
                <w:r w:rsidR="0028131F">
                  <w:rPr>
                    <w:rFonts w:ascii="David" w:hAnsi="David"/>
                    <w:rtl/>
                  </w:rPr>
                  <w:t>מיכל</w:t>
                </w:r>
              </w:sdtContent>
            </w:sdt>
            <w:r w:rsidR="0028131F">
              <w:rPr>
                <w:rFonts w:hint="cs"/>
                <w:rtl/>
              </w:rPr>
              <w:t xml:space="preserve"> </w:t>
            </w:r>
            <w:sdt>
              <w:sdtPr>
                <w:rPr>
                  <w:rFonts w:cs="Times New Roman"/>
                  <w:rtl/>
                </w:rPr>
                <w:alias w:val="2242"/>
                <w:tag w:val="2242"/>
                <w:id w:val="358854881"/>
              </w:sdtPr>
              <w:sdtEndPr/>
              <w:sdtContent>
                <w:r w:rsidR="0028131F">
                  <w:rPr>
                    <w:rtl/>
                  </w:rPr>
                  <w:t>רוזן עוזר</w:t>
                </w:r>
              </w:sdtContent>
            </w:sdt>
            <w:r w:rsidR="0028131F">
              <w:rPr>
                <w:rFonts w:hint="cs"/>
                <w:rtl/>
              </w:rPr>
              <w:t xml:space="preserve">, </w:t>
            </w:r>
            <w:sdt>
              <w:sdtPr>
                <w:rPr>
                  <w:rFonts w:cs="Times New Roman"/>
                  <w:rtl/>
                </w:rPr>
                <w:alias w:val="2247"/>
                <w:tag w:val="2247"/>
                <w:id w:val="243227774"/>
              </w:sdtPr>
              <w:sdtEndPr/>
              <w:sdtContent>
                <w:r w:rsidR="0028131F">
                  <w:rPr>
                    <w:rtl/>
                  </w:rPr>
                  <w:t>שופטת</w:t>
                </w:r>
              </w:sdtContent>
            </w:sdt>
          </w:p>
        </w:tc>
      </w:tr>
    </w:tbl>
    <w:p w14:paraId="7DBD1F39" w14:textId="77777777" w:rsidR="00694556" w:rsidRDefault="00694556">
      <w:pPr>
        <w:spacing w:line="360" w:lineRule="auto"/>
        <w:jc w:val="both"/>
        <w:rPr>
          <w:rFonts w:ascii="Arial" w:hAnsi="Arial"/>
          <w:noProof w:val="0"/>
          <w:rtl/>
        </w:rPr>
      </w:pPr>
    </w:p>
    <w:sectPr w:rsidR="00694556" w:rsidSect="004157C6">
      <w:headerReference w:type="even" r:id="rId11"/>
      <w:headerReference w:type="default" r:id="rId12"/>
      <w:footerReference w:type="even" r:id="rId13"/>
      <w:footerReference w:type="default" r:id="rId14"/>
      <w:headerReference w:type="first" r:id="rId15"/>
      <w:footerReference w:type="first" r:id="rId16"/>
      <w:pgSz w:w="11907" w:h="16840" w:code="9"/>
      <w:pgMar w:top="1440" w:right="1800" w:bottom="1440" w:left="1800" w:header="720" w:footer="737" w:gutter="0"/>
      <w:cols w:space="720"/>
      <w:rtlGutter/>
      <w:docGrid w:linePitch="360"/>
    </w:sectPr>
  </w:body>
</w:document>
</file>

<file path=word/customizations.xml><?xml version="1.0" encoding="utf-8"?>
<wne:tcg xmlns:r="http://schemas.openxmlformats.org/officeDocument/2006/relationships" xmlns:wne="http://schemas.microsoft.com/office/word/2006/wordml">
  <wne:keymaps>
    <wne:keymap wne:kcmPrimary="0072">
      <wne:macro wne:macroName="PROJECT.MODULE1.CONTROLWDKEYF3A"/>
    </wne:keymap>
    <wne:keymap wne:kcmPrimary="0073">
      <wne:macro wne:macroName="PROJECT.MODULE1.CONTROLWDKEYF4A"/>
    </wne:keymap>
    <wne:keymap wne:kcmPrimary="0431">
      <wne:macro wne:macroName="PROJECT.MODULE1.CONTROLWDKEY1"/>
    </wne:keymap>
    <wne:keymap wne:kcmPrimary="0432">
      <wne:macro wne:macroName="PROJECT.MODULE1.CONTROLWDKEY2"/>
    </wne:keymap>
    <wne:keymap wne:kcmPrimary="0433">
      <wne:macro wne:macroName="PROJECT.MODULE1.CONTROLWDKEY3"/>
    </wne:keymap>
    <wne:keymap wne:kcmPrimary="0434">
      <wne:macro wne:macroName="PROJECT.MODULE1.CONTROLWDKEY4"/>
    </wne:keymap>
    <wne:keymap wne:kcmPrimary="0435">
      <wne:macro wne:macroName="PROJECT.MODULE1.CONTROLWDKEY5"/>
    </wne:keymap>
    <wne:keymap wne:kcmPrimary="0436">
      <wne:macro wne:macroName="PROJECT.MODULE1.CONTROLWDKEY6"/>
    </wne:keymap>
    <wne:keymap wne:kcmPrimary="0437">
      <wne:macro wne:macroName="PROJECT.MODULE1.CONTROLWDKEY7"/>
    </wne:keymap>
    <wne:keymap wne:kcmPrimary="0441">
      <wne:macro wne:macroName="PROJECT.MODULE1.CONTROLWDKEYA"/>
    </wne:keymap>
    <wne:keymap wne:kcmPrimary="0442">
      <wne:macro wne:macroName="PROJECT.MODULE1.CONTROLWDKEYB"/>
    </wne:keymap>
    <wne:keymap wne:kcmPrimary="0443">
      <wne:macro wne:macroName="PROJECT.MODULE1.CONTROLWDKEYC"/>
    </wne:keymap>
    <wne:keymap wne:kcmPrimary="0444">
      <wne:macro wne:macroName="PROJECT.MODULE1.CONTROLWDKEYD"/>
    </wne:keymap>
    <wne:keymap wne:kcmPrimary="0445">
      <wne:macro wne:macroName="PROJECT.MODULE1.CONTROLWDKEYE"/>
    </wne:keymap>
    <wne:keymap wne:kcmPrimary="0446">
      <wne:macro wne:macroName="PROJECT.MODULE1.CONTROLWDKEYF"/>
    </wne:keymap>
    <wne:keymap wne:kcmPrimary="0447">
      <wne:macro wne:macroName="PROJECT.MODULE1.CONTROLWDKEYG"/>
    </wne:keymap>
    <wne:keymap wne:kcmPrimary="0448">
      <wne:macro wne:macroName="PROJECT.MODULE1.CONTROLWDKEYH"/>
    </wne:keymap>
    <wne:keymap wne:kcmPrimary="044A">
      <wne:macro wne:macroName="PROJECT.MODULE1.CONTROLWDKEYJ"/>
    </wne:keymap>
    <wne:keymap wne:kcmPrimary="044B">
      <wne:macro wne:macroName="PROJECT.MODULE1.CONTROLWDKEYK"/>
    </wne:keymap>
    <wne:keymap wne:kcmPrimary="044C">
      <wne:macro wne:macroName="PROJECT.MODULE1.CONTROLWDKEYL"/>
    </wne:keymap>
    <wne:keymap wne:kcmPrimary="044D">
      <wne:macro wne:macroName="PROJECT.MODULE1.CONTROLWDKEYM"/>
    </wne:keymap>
    <wne:keymap wne:kcmPrimary="044E">
      <wne:macro wne:macroName="PROJECT.MODULE1.CONTROLWDKEYN"/>
    </wne:keymap>
    <wne:keymap wne:kcmPrimary="0450">
      <wne:macro wne:macroName="PROJECT.MODULE1.CONTROLWDKEYP"/>
    </wne:keymap>
    <wne:keymap wne:kcmPrimary="0451">
      <wne:macro wne:macroName="PROJECT.MODULE1.CONTROLWDKEYQ"/>
    </wne:keymap>
    <wne:keymap wne:kcmPrimary="0452">
      <wne:macro wne:macroName="PROJECT.MODULE1.CONTROLWDKEYR"/>
    </wne:keymap>
    <wne:keymap wne:kcmPrimary="0453">
      <wne:macro wne:macroName="PROJECT.MODULE1.CONTROLWDKEYS"/>
    </wne:keymap>
    <wne:keymap wne:kcmPrimary="0454">
      <wne:macro wne:macroName="PROJECT.MODULE1.CONTROLWDKEYT"/>
    </wne:keymap>
    <wne:keymap wne:kcmPrimary="0455">
      <wne:macro wne:macroName="PROJECT.MODULE1.CONTROLWDKEYU"/>
    </wne:keymap>
    <wne:keymap wne:kcmPrimary="0456">
      <wne:macro wne:macroName="PROJECT.MODULE1.CONTROLWDKEYV"/>
    </wne:keymap>
    <wne:keymap wne:kcmPrimary="0457">
      <wne:macro wne:macroName="PROJECT.MODULE1.CONTROLWDKEYW"/>
    </wne:keymap>
    <wne:keymap wne:kcmPrimary="0458">
      <wne:macro wne:macroName="PROJECT.MODULE1.CONTROLWDKEYX"/>
    </wne:keymap>
    <wne:keymap wne:kcmPrimary="0459">
      <wne:macro wne:macroName="PROJECT.MODULE1.CONTROLWDKEYY"/>
    </wne:keymap>
    <wne:keymap wne:kcmPrimary="045A">
      <wne:macro wne:macroName="PROJECT.MODULE1.CONTROLWDKEYZ"/>
    </wne:keymap>
    <wne:keymap wne:kcmPrimary="0470">
      <wne:macro wne:macroName="PROJECT.MODULE1.CONTROLWDKEYF1"/>
    </wne:keymap>
    <wne:keymap wne:kcmPrimary="0471">
      <wne:macro wne:macroName="PROJECT.MODULE1.CONTROLWDKEYF2"/>
    </wne:keymap>
    <wne:keymap wne:kcmPrimary="0474">
      <wne:macro wne:macroName="PROJECT.MODULE1.CONTROLWDKEYF5"/>
    </wne:keymap>
    <wne:keymap wne:kcmPrimary="0475">
      <wne:macro wne:macroName="PROJECT.MODULE1.CONTROLWDKEYF6"/>
    </wne:keymap>
    <wne:keymap wne:kcmPrimary="0476">
      <wne:macro wne:macroName="PROJECT.MODULE1.CONTROLWDKEYF7"/>
    </wne:keymap>
    <wne:keymap wne:kcmPrimary="0478">
      <wne:macro wne:macroName="PROJECT.MODULE1.CONTROLWDKEYF9"/>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BA040" w14:textId="77777777" w:rsidR="00694556" w:rsidRDefault="00005C8B">
      <w:r>
        <w:separator/>
      </w:r>
    </w:p>
  </w:endnote>
  <w:endnote w:type="continuationSeparator" w:id="0">
    <w:p w14:paraId="287C8735" w14:textId="77777777" w:rsidR="00694556" w:rsidRDefault="00005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FrankRuehl">
    <w:panose1 w:val="020E050306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3E678" w14:textId="77777777" w:rsidR="000B2E97" w:rsidRDefault="000B2E97">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0BBC0" w14:textId="77777777" w:rsidR="00694556" w:rsidRPr="004E6E3C" w:rsidRDefault="002352F7">
    <w:pPr>
      <w:pStyle w:val="a4"/>
      <w:jc w:val="center"/>
      <w:rPr>
        <w:rStyle w:val="ab"/>
      </w:rPr>
    </w:pPr>
    <w:r w:rsidRPr="004E6E3C">
      <w:rPr>
        <w:rStyle w:val="ab"/>
        <w:rFonts w:cs="Times New Roman"/>
      </w:rPr>
      <w:fldChar w:fldCharType="begin"/>
    </w:r>
    <w:r w:rsidR="00005C8B" w:rsidRPr="004E6E3C">
      <w:rPr>
        <w:rStyle w:val="ab"/>
        <w:rFonts w:cs="Times New Roman"/>
      </w:rPr>
      <w:instrText xml:space="preserve"> PAGE </w:instrText>
    </w:r>
    <w:r w:rsidRPr="004E6E3C">
      <w:rPr>
        <w:rStyle w:val="ab"/>
        <w:rFonts w:cs="Times New Roman"/>
      </w:rPr>
      <w:fldChar w:fldCharType="separate"/>
    </w:r>
    <w:r w:rsidR="004D5AD0">
      <w:rPr>
        <w:rStyle w:val="ab"/>
        <w:rFonts w:cs="Times New Roman"/>
        <w:rtl/>
      </w:rPr>
      <w:t>7</w:t>
    </w:r>
    <w:r w:rsidRPr="004E6E3C">
      <w:rPr>
        <w:rStyle w:val="ab"/>
        <w:rFonts w:cs="Times New Roman"/>
      </w:rPr>
      <w:fldChar w:fldCharType="end"/>
    </w:r>
    <w:r w:rsidR="00005C8B" w:rsidRPr="004E6E3C">
      <w:rPr>
        <w:rStyle w:val="ab"/>
        <w:rFonts w:hint="cs"/>
        <w:rtl/>
      </w:rPr>
      <w:t xml:space="preserve"> מתוך </w:t>
    </w:r>
    <w:r w:rsidRPr="004E6E3C">
      <w:rPr>
        <w:rStyle w:val="ab"/>
      </w:rPr>
      <w:fldChar w:fldCharType="begin"/>
    </w:r>
    <w:r w:rsidR="00005C8B" w:rsidRPr="004E6E3C">
      <w:rPr>
        <w:rStyle w:val="ab"/>
      </w:rPr>
      <w:instrText xml:space="preserve"> NUMPAGES </w:instrText>
    </w:r>
    <w:r w:rsidRPr="004E6E3C">
      <w:rPr>
        <w:rStyle w:val="ab"/>
      </w:rPr>
      <w:fldChar w:fldCharType="separate"/>
    </w:r>
    <w:r w:rsidR="004D5AD0">
      <w:rPr>
        <w:rStyle w:val="ab"/>
        <w:rtl/>
      </w:rPr>
      <w:t>7</w:t>
    </w:r>
    <w:r w:rsidRPr="004E6E3C">
      <w:rPr>
        <w:rStyle w:val="a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2DEE8" w14:textId="77777777" w:rsidR="000B2E97" w:rsidRDefault="000B2E9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58320" w14:textId="77777777" w:rsidR="00694556" w:rsidRDefault="00005C8B">
      <w:r>
        <w:separator/>
      </w:r>
    </w:p>
  </w:footnote>
  <w:footnote w:type="continuationSeparator" w:id="0">
    <w:p w14:paraId="00E03297" w14:textId="77777777" w:rsidR="00694556" w:rsidRDefault="00005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0402F" w14:textId="77777777" w:rsidR="000B2E97" w:rsidRDefault="000B2E9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984D6" w14:textId="77777777" w:rsidR="00694556" w:rsidRDefault="001277D7">
    <w:pPr>
      <w:pStyle w:val="a3"/>
      <w:jc w:val="center"/>
      <w:rPr>
        <w:rFonts w:cs="FrankRuehl"/>
        <w:noProof w:val="0"/>
        <w:sz w:val="28"/>
        <w:szCs w:val="28"/>
        <w:rtl/>
      </w:rPr>
    </w:pPr>
    <w:r>
      <w:rPr>
        <w:rFonts w:cs="FrankRuehl"/>
        <w:sz w:val="28"/>
        <w:szCs w:val="28"/>
      </w:rPr>
      <w:drawing>
        <wp:inline distT="0" distB="0" distL="0" distR="0" wp14:anchorId="724562D1" wp14:editId="6AECED8D">
          <wp:extent cx="371475" cy="466725"/>
          <wp:effectExtent l="0" t="0" r="9525" b="9525"/>
          <wp:docPr id="1" name="Picture 1" descr="ישראל - המנורה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ישראל - המנורה -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tbl>
    <w:tblPr>
      <w:bidiVisual/>
      <w:tblW w:w="0" w:type="auto"/>
      <w:jc w:val="center"/>
      <w:tblLook w:val="0000" w:firstRow="0" w:lastRow="0" w:firstColumn="0" w:lastColumn="0" w:noHBand="0" w:noVBand="0"/>
    </w:tblPr>
    <w:tblGrid>
      <w:gridCol w:w="4810"/>
      <w:gridCol w:w="3497"/>
    </w:tblGrid>
    <w:tr w:rsidR="00694556" w14:paraId="00B11C55" w14:textId="77777777" w:rsidTr="00541598">
      <w:trPr>
        <w:trHeight w:hRule="exact" w:val="670"/>
        <w:jc w:val="center"/>
      </w:trPr>
      <w:sdt>
        <w:sdtPr>
          <w:rPr>
            <w:sz w:val="32"/>
            <w:szCs w:val="32"/>
            <w:rtl/>
          </w:rPr>
          <w:alias w:val="1174"/>
          <w:tag w:val="1174"/>
          <w:id w:val="-1775709220"/>
          <w:text/>
        </w:sdtPr>
        <w:sdtEndPr/>
        <w:sdtContent>
          <w:tc>
            <w:tcPr>
              <w:tcW w:w="8721" w:type="dxa"/>
              <w:gridSpan w:val="2"/>
            </w:tcPr>
            <w:p w14:paraId="35D9D445" w14:textId="77777777" w:rsidR="00694556" w:rsidRPr="00CD0055" w:rsidRDefault="00005C8B">
              <w:pPr>
                <w:pStyle w:val="a3"/>
                <w:jc w:val="center"/>
                <w:rPr>
                  <w:rFonts w:ascii="Tahoma" w:hAnsi="Tahoma"/>
                  <w:noProof w:val="0"/>
                  <w:color w:val="000080"/>
                  <w:sz w:val="32"/>
                  <w:szCs w:val="32"/>
                  <w:rtl/>
                </w:rPr>
              </w:pPr>
              <w:r w:rsidRPr="00CD0055">
                <w:rPr>
                  <w:rFonts w:ascii="Tahoma" w:hAnsi="Tahoma"/>
                  <w:b/>
                  <w:bCs/>
                  <w:noProof w:val="0"/>
                  <w:color w:val="000080"/>
                  <w:sz w:val="32"/>
                  <w:szCs w:val="32"/>
                  <w:rtl/>
                </w:rPr>
                <w:t>בית המשפט המחוזי בתל אביב -יפו</w:t>
              </w:r>
            </w:p>
          </w:tc>
        </w:sdtContent>
      </w:sdt>
    </w:tr>
    <w:tr w:rsidR="00694556" w14:paraId="0C69CD21" w14:textId="77777777">
      <w:trPr>
        <w:trHeight w:val="337"/>
        <w:jc w:val="center"/>
      </w:trPr>
      <w:tc>
        <w:tcPr>
          <w:tcW w:w="5047" w:type="dxa"/>
        </w:tcPr>
        <w:p w14:paraId="2598A460" w14:textId="77777777" w:rsidR="00694556" w:rsidRDefault="00694556">
          <w:pPr>
            <w:rPr>
              <w:b/>
              <w:bCs/>
              <w:noProof w:val="0"/>
              <w:sz w:val="26"/>
              <w:szCs w:val="26"/>
              <w:rtl/>
            </w:rPr>
          </w:pPr>
        </w:p>
      </w:tc>
      <w:tc>
        <w:tcPr>
          <w:tcW w:w="3674" w:type="dxa"/>
        </w:tcPr>
        <w:p w14:paraId="6BE6B2E4" w14:textId="77777777" w:rsidR="00694556" w:rsidRDefault="00694556">
          <w:pPr>
            <w:pStyle w:val="a3"/>
            <w:jc w:val="right"/>
            <w:rPr>
              <w:b/>
              <w:bCs/>
              <w:noProof w:val="0"/>
              <w:sz w:val="26"/>
              <w:szCs w:val="26"/>
              <w:rtl/>
            </w:rPr>
          </w:pPr>
        </w:p>
      </w:tc>
    </w:tr>
    <w:tr w:rsidR="00694556" w:rsidRPr="00CD0055" w14:paraId="5E2884A0" w14:textId="77777777">
      <w:trPr>
        <w:trHeight w:val="337"/>
        <w:jc w:val="center"/>
      </w:trPr>
      <w:tc>
        <w:tcPr>
          <w:tcW w:w="8721" w:type="dxa"/>
          <w:gridSpan w:val="2"/>
        </w:tcPr>
        <w:p w14:paraId="51EF2342" w14:textId="77777777" w:rsidR="00957C90" w:rsidRPr="00CD0055" w:rsidRDefault="00177DA9" w:rsidP="004822EB">
          <w:pPr>
            <w:rPr>
              <w:b/>
              <w:bCs/>
              <w:noProof w:val="0"/>
              <w:sz w:val="26"/>
              <w:szCs w:val="26"/>
              <w:rtl/>
            </w:rPr>
          </w:pPr>
          <w:sdt>
            <w:sdtPr>
              <w:rPr>
                <w:b/>
                <w:bCs/>
                <w:noProof w:val="0"/>
                <w:sz w:val="26"/>
                <w:szCs w:val="26"/>
                <w:rtl/>
              </w:rPr>
              <w:alias w:val="1170"/>
              <w:tag w:val="1170"/>
              <w:id w:val="299038016"/>
              <w:text w:multiLine="1"/>
            </w:sdtPr>
            <w:sdtEndPr/>
            <w:sdtContent>
              <w:r w:rsidR="006B5553">
                <w:rPr>
                  <w:b/>
                  <w:bCs/>
                  <w:noProof w:val="0"/>
                  <w:sz w:val="26"/>
                  <w:szCs w:val="26"/>
                  <w:rtl/>
                </w:rPr>
                <w:t>ע"פ</w:t>
              </w:r>
            </w:sdtContent>
          </w:sdt>
          <w:r w:rsidR="00005C8B" w:rsidRPr="00CD0055">
            <w:rPr>
              <w:b/>
              <w:bCs/>
              <w:noProof w:val="0"/>
              <w:sz w:val="26"/>
              <w:szCs w:val="26"/>
              <w:rtl/>
            </w:rPr>
            <w:t xml:space="preserve"> </w:t>
          </w:r>
          <w:sdt>
            <w:sdtPr>
              <w:rPr>
                <w:b/>
                <w:bCs/>
                <w:noProof w:val="0"/>
                <w:sz w:val="26"/>
                <w:szCs w:val="26"/>
                <w:rtl/>
              </w:rPr>
              <w:alias w:val="1171"/>
              <w:tag w:val="1171"/>
              <w:id w:val="81650337"/>
              <w:text w:multiLine="1"/>
            </w:sdtPr>
            <w:sdtEndPr/>
            <w:sdtContent>
              <w:r w:rsidR="006B5553">
                <w:rPr>
                  <w:b/>
                  <w:bCs/>
                  <w:noProof w:val="0"/>
                  <w:sz w:val="26"/>
                  <w:szCs w:val="26"/>
                  <w:rtl/>
                </w:rPr>
                <w:t>63957-12-24</w:t>
              </w:r>
            </w:sdtContent>
          </w:sdt>
          <w:r w:rsidR="00005C8B" w:rsidRPr="00CD0055">
            <w:rPr>
              <w:b/>
              <w:bCs/>
              <w:noProof w:val="0"/>
              <w:sz w:val="26"/>
              <w:szCs w:val="26"/>
              <w:rtl/>
            </w:rPr>
            <w:t xml:space="preserve"> </w:t>
          </w:r>
          <w:sdt>
            <w:sdtPr>
              <w:rPr>
                <w:b/>
                <w:bCs/>
                <w:noProof w:val="0"/>
                <w:sz w:val="26"/>
                <w:szCs w:val="26"/>
                <w:rtl/>
              </w:rPr>
              <w:alias w:val="1172"/>
              <w:tag w:val="1172"/>
              <w:id w:val="-1742169342"/>
              <w:text w:multiLine="1"/>
            </w:sdtPr>
            <w:sdtEndPr/>
            <w:sdtContent>
              <w:proofErr w:type="spellStart"/>
              <w:r w:rsidR="006B5553">
                <w:rPr>
                  <w:b/>
                  <w:bCs/>
                  <w:noProof w:val="0"/>
                  <w:sz w:val="26"/>
                  <w:szCs w:val="26"/>
                  <w:rtl/>
                </w:rPr>
                <w:t>טסמה</w:t>
              </w:r>
              <w:proofErr w:type="spellEnd"/>
              <w:r w:rsidR="006B5553">
                <w:rPr>
                  <w:b/>
                  <w:bCs/>
                  <w:noProof w:val="0"/>
                  <w:sz w:val="26"/>
                  <w:szCs w:val="26"/>
                  <w:rtl/>
                </w:rPr>
                <w:t xml:space="preserve"> נ' מדינת ישראל</w:t>
              </w:r>
            </w:sdtContent>
          </w:sdt>
        </w:p>
      </w:tc>
    </w:tr>
  </w:tbl>
  <w:p w14:paraId="5374CC4F" w14:textId="77777777" w:rsidR="00694556" w:rsidRPr="00CD0055" w:rsidRDefault="00694556">
    <w:pPr>
      <w:pStyle w:val="a3"/>
      <w:rPr>
        <w:noProof w:val="0"/>
        <w:sz w:val="26"/>
        <w:szCs w:val="26"/>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9C853" w14:textId="77777777" w:rsidR="000B2E97" w:rsidRDefault="000B2E9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3C73BF"/>
    <w:multiLevelType w:val="hybridMultilevel"/>
    <w:tmpl w:val="1256C988"/>
    <w:lvl w:ilvl="0" w:tplc="A5961916">
      <w:start w:val="1"/>
      <w:numFmt w:val="decimal"/>
      <w:lvlText w:val="%1."/>
      <w:lvlJc w:val="left"/>
      <w:pPr>
        <w:ind w:left="720" w:hanging="360"/>
      </w:pPr>
      <w:rPr>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75328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556"/>
    <w:rsid w:val="00005C8B"/>
    <w:rsid w:val="000146C2"/>
    <w:rsid w:val="00016C35"/>
    <w:rsid w:val="000258FD"/>
    <w:rsid w:val="000564AB"/>
    <w:rsid w:val="000B2E97"/>
    <w:rsid w:val="000D4A02"/>
    <w:rsid w:val="001072A9"/>
    <w:rsid w:val="00121F97"/>
    <w:rsid w:val="001277D7"/>
    <w:rsid w:val="00132017"/>
    <w:rsid w:val="0014234E"/>
    <w:rsid w:val="00145A87"/>
    <w:rsid w:val="00177DA9"/>
    <w:rsid w:val="001C4003"/>
    <w:rsid w:val="001F5474"/>
    <w:rsid w:val="002352F7"/>
    <w:rsid w:val="0027316B"/>
    <w:rsid w:val="0028131F"/>
    <w:rsid w:val="00295DD1"/>
    <w:rsid w:val="002C57A9"/>
    <w:rsid w:val="00381D3A"/>
    <w:rsid w:val="003823DA"/>
    <w:rsid w:val="003D64C4"/>
    <w:rsid w:val="004157C6"/>
    <w:rsid w:val="0043595F"/>
    <w:rsid w:val="0047645A"/>
    <w:rsid w:val="004822EB"/>
    <w:rsid w:val="004D49A3"/>
    <w:rsid w:val="004D5AD0"/>
    <w:rsid w:val="004E6E3C"/>
    <w:rsid w:val="005124F1"/>
    <w:rsid w:val="0051350E"/>
    <w:rsid w:val="00530BAD"/>
    <w:rsid w:val="00541598"/>
    <w:rsid w:val="00547DB7"/>
    <w:rsid w:val="00567324"/>
    <w:rsid w:val="005B0F49"/>
    <w:rsid w:val="005C7EC6"/>
    <w:rsid w:val="005D4BDB"/>
    <w:rsid w:val="00622BAA"/>
    <w:rsid w:val="00625C89"/>
    <w:rsid w:val="00633C4F"/>
    <w:rsid w:val="00671BD5"/>
    <w:rsid w:val="006805C1"/>
    <w:rsid w:val="006816EC"/>
    <w:rsid w:val="00694556"/>
    <w:rsid w:val="006B5553"/>
    <w:rsid w:val="006E1A53"/>
    <w:rsid w:val="007056AA"/>
    <w:rsid w:val="00744F41"/>
    <w:rsid w:val="007A24FE"/>
    <w:rsid w:val="007A35AA"/>
    <w:rsid w:val="007F1048"/>
    <w:rsid w:val="00820005"/>
    <w:rsid w:val="0083107C"/>
    <w:rsid w:val="00846D27"/>
    <w:rsid w:val="008610A7"/>
    <w:rsid w:val="008E1332"/>
    <w:rsid w:val="00903896"/>
    <w:rsid w:val="00927813"/>
    <w:rsid w:val="00944D13"/>
    <w:rsid w:val="00957C90"/>
    <w:rsid w:val="009E0263"/>
    <w:rsid w:val="00A0260A"/>
    <w:rsid w:val="00A267CF"/>
    <w:rsid w:val="00A41BC7"/>
    <w:rsid w:val="00A43458"/>
    <w:rsid w:val="00AC4E19"/>
    <w:rsid w:val="00AF1ED6"/>
    <w:rsid w:val="00B237C9"/>
    <w:rsid w:val="00B32C61"/>
    <w:rsid w:val="00B368FE"/>
    <w:rsid w:val="00B80CBD"/>
    <w:rsid w:val="00BC3369"/>
    <w:rsid w:val="00BF77EE"/>
    <w:rsid w:val="00C32E0F"/>
    <w:rsid w:val="00C42BF9"/>
    <w:rsid w:val="00C83E56"/>
    <w:rsid w:val="00CD0055"/>
    <w:rsid w:val="00D319B3"/>
    <w:rsid w:val="00D50146"/>
    <w:rsid w:val="00D53924"/>
    <w:rsid w:val="00D60849"/>
    <w:rsid w:val="00D96D8C"/>
    <w:rsid w:val="00DD337E"/>
    <w:rsid w:val="00E00B6F"/>
    <w:rsid w:val="00E50B33"/>
    <w:rsid w:val="00E54642"/>
    <w:rsid w:val="00E56272"/>
    <w:rsid w:val="00E97908"/>
    <w:rsid w:val="00EF3ED0"/>
    <w:rsid w:val="00F17E56"/>
  </w:rsids>
  <m:mathPr>
    <m:mathFont m:val="Cambria Math"/>
    <m:brkBin m:val="before"/>
    <m:brkBinSub m:val="--"/>
    <m:smallFrac m:val="0"/>
    <m:dispDef/>
    <m:lMargin m:val="0"/>
    <m:rMargin m:val="0"/>
    <m:defJc m:val="centerGroup"/>
    <m:wrapIndent m:val="1440"/>
    <m:intLim m:val="subSup"/>
    <m:naryLim m:val="undOvr"/>
  </m:mathPr>
  <w:attachedSchema w:val="http://schemas.microsoft.com/InformationBridge/2004"/>
  <w:attachedSchema w:val="NGCS.MergeFields.Schema"/>
  <w:attachedSchema w:val="urn:schemas-microsoft-com:office:smarttags"/>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14:docId w14:val="350CEB86"/>
  <w15:docId w15:val="{1B536381-D80A-4082-BD55-2E470B05D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64423"/>
    <w:pPr>
      <w:bidi/>
    </w:pPr>
    <w:rPr>
      <w:rFonts w:cs="David"/>
      <w:noProof/>
      <w:sz w:val="24"/>
      <w:szCs w:val="24"/>
    </w:rPr>
  </w:style>
  <w:style w:type="paragraph" w:styleId="4">
    <w:name w:val="heading 4"/>
    <w:basedOn w:val="a"/>
    <w:next w:val="a"/>
    <w:qFormat/>
    <w:rsid w:val="00C64423"/>
    <w:pPr>
      <w:keepNext/>
      <w:ind w:left="5760" w:firstLine="720"/>
      <w:outlineLvl w:val="3"/>
    </w:pPr>
    <w:rPr>
      <w:rFonts w:cs="Narkisim"/>
      <w:b/>
      <w:bCs/>
      <w14:shadow w14:blurRad="50800" w14:dist="38100" w14:dir="2700000" w14:sx="100000" w14:sy="100000" w14:kx="0" w14:ky="0" w14:algn="tl">
        <w14:srgbClr w14:val="000000">
          <w14:alpha w14:val="60000"/>
        </w14:srgbClr>
      </w14:shado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64423"/>
    <w:pPr>
      <w:tabs>
        <w:tab w:val="center" w:pos="4153"/>
        <w:tab w:val="right" w:pos="8306"/>
      </w:tabs>
    </w:pPr>
  </w:style>
  <w:style w:type="paragraph" w:styleId="a4">
    <w:name w:val="footer"/>
    <w:basedOn w:val="a"/>
    <w:rsid w:val="00C64423"/>
    <w:pPr>
      <w:tabs>
        <w:tab w:val="center" w:pos="4153"/>
        <w:tab w:val="right" w:pos="8306"/>
      </w:tabs>
    </w:pPr>
  </w:style>
  <w:style w:type="paragraph" w:customStyle="1" w:styleId="a5">
    <w:name w:val="סעיפים"/>
    <w:basedOn w:val="a"/>
    <w:rsid w:val="00C64423"/>
    <w:pPr>
      <w:tabs>
        <w:tab w:val="left" w:pos="567"/>
        <w:tab w:val="left" w:pos="1134"/>
        <w:tab w:val="left" w:pos="1701"/>
        <w:tab w:val="left" w:pos="2268"/>
        <w:tab w:val="left" w:pos="2835"/>
        <w:tab w:val="left" w:pos="3402"/>
        <w:tab w:val="left" w:pos="3969"/>
      </w:tabs>
      <w:spacing w:line="360" w:lineRule="auto"/>
      <w:jc w:val="both"/>
    </w:pPr>
    <w:rPr>
      <w:noProof w:val="0"/>
    </w:rPr>
  </w:style>
  <w:style w:type="paragraph" w:styleId="a6">
    <w:name w:val="annotation text"/>
    <w:basedOn w:val="a"/>
    <w:semiHidden/>
    <w:rsid w:val="00C64423"/>
    <w:rPr>
      <w:rFonts w:cs="Times New Roman"/>
      <w:noProof w:val="0"/>
    </w:rPr>
  </w:style>
  <w:style w:type="character" w:styleId="a7">
    <w:name w:val="annotation reference"/>
    <w:basedOn w:val="a0"/>
    <w:semiHidden/>
    <w:rsid w:val="00C64423"/>
    <w:rPr>
      <w:sz w:val="16"/>
      <w:szCs w:val="16"/>
    </w:rPr>
  </w:style>
  <w:style w:type="paragraph" w:styleId="a8">
    <w:name w:val="Balloon Text"/>
    <w:basedOn w:val="a"/>
    <w:semiHidden/>
    <w:rsid w:val="00C64423"/>
    <w:rPr>
      <w:rFonts w:ascii="Tahoma" w:hAnsi="Tahoma" w:cs="Tahoma"/>
      <w:sz w:val="16"/>
      <w:szCs w:val="16"/>
    </w:rPr>
  </w:style>
  <w:style w:type="table" w:styleId="a9">
    <w:name w:val="Table Grid"/>
    <w:basedOn w:val="a1"/>
    <w:rsid w:val="00C64423"/>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C64423"/>
  </w:style>
  <w:style w:type="character" w:styleId="ab">
    <w:name w:val="page number"/>
    <w:basedOn w:val="a0"/>
    <w:rsid w:val="00C64423"/>
  </w:style>
  <w:style w:type="table" w:customStyle="1" w:styleId="1">
    <w:name w:val="טבלת רשת1"/>
    <w:basedOn w:val="a1"/>
    <w:next w:val="a9"/>
    <w:rsid w:val="001C4003"/>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laceholder Text"/>
    <w:basedOn w:val="a0"/>
    <w:uiPriority w:val="99"/>
    <w:semiHidden/>
    <w:rsid w:val="00957C90"/>
    <w:rPr>
      <w:color w:val="808080"/>
    </w:rPr>
  </w:style>
  <w:style w:type="paragraph" w:styleId="ad">
    <w:name w:val="List Paragraph"/>
    <w:basedOn w:val="a"/>
    <w:uiPriority w:val="34"/>
    <w:qFormat/>
    <w:rsid w:val="004822EB"/>
    <w:pPr>
      <w:spacing w:after="160" w:line="256" w:lineRule="auto"/>
      <w:ind w:left="720"/>
      <w:contextualSpacing/>
    </w:pPr>
    <w:rPr>
      <w:rFonts w:asciiTheme="minorHAnsi" w:eastAsiaTheme="minorHAnsi" w:hAnsiTheme="minorHAnsi" w:cstheme="minorBidi"/>
      <w:noProof w:val="0"/>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8664">
      <w:bodyDiv w:val="1"/>
      <w:marLeft w:val="0"/>
      <w:marRight w:val="0"/>
      <w:marTop w:val="0"/>
      <w:marBottom w:val="0"/>
      <w:divBdr>
        <w:top w:val="none" w:sz="0" w:space="0" w:color="auto"/>
        <w:left w:val="none" w:sz="0" w:space="0" w:color="auto"/>
        <w:bottom w:val="none" w:sz="0" w:space="0" w:color="auto"/>
        <w:right w:val="none" w:sz="0" w:space="0" w:color="auto"/>
      </w:divBdr>
    </w:div>
    <w:div w:id="40255961">
      <w:bodyDiv w:val="1"/>
      <w:marLeft w:val="0"/>
      <w:marRight w:val="0"/>
      <w:marTop w:val="0"/>
      <w:marBottom w:val="0"/>
      <w:divBdr>
        <w:top w:val="none" w:sz="0" w:space="0" w:color="auto"/>
        <w:left w:val="none" w:sz="0" w:space="0" w:color="auto"/>
        <w:bottom w:val="none" w:sz="0" w:space="0" w:color="auto"/>
        <w:right w:val="none" w:sz="0" w:space="0" w:color="auto"/>
      </w:divBdr>
    </w:div>
    <w:div w:id="1215235742">
      <w:bodyDiv w:val="1"/>
      <w:marLeft w:val="0"/>
      <w:marRight w:val="0"/>
      <w:marTop w:val="0"/>
      <w:marBottom w:val="0"/>
      <w:divBdr>
        <w:top w:val="none" w:sz="0" w:space="0" w:color="auto"/>
        <w:left w:val="none" w:sz="0" w:space="0" w:color="auto"/>
        <w:bottom w:val="none" w:sz="0" w:space="0" w:color="auto"/>
        <w:right w:val="none" w:sz="0" w:space="0" w:color="auto"/>
      </w:divBdr>
    </w:div>
    <w:div w:id="1281112861">
      <w:bodyDiv w:val="1"/>
      <w:marLeft w:val="0"/>
      <w:marRight w:val="0"/>
      <w:marTop w:val="0"/>
      <w:marBottom w:val="0"/>
      <w:divBdr>
        <w:top w:val="none" w:sz="0" w:space="0" w:color="auto"/>
        <w:left w:val="none" w:sz="0" w:space="0" w:color="auto"/>
        <w:bottom w:val="none" w:sz="0" w:space="0" w:color="auto"/>
        <w:right w:val="none" w:sz="0" w:space="0" w:color="auto"/>
      </w:divBdr>
    </w:div>
    <w:div w:id="1307122835">
      <w:bodyDiv w:val="1"/>
      <w:marLeft w:val="0"/>
      <w:marRight w:val="0"/>
      <w:marTop w:val="0"/>
      <w:marBottom w:val="0"/>
      <w:divBdr>
        <w:top w:val="none" w:sz="0" w:space="0" w:color="auto"/>
        <w:left w:val="none" w:sz="0" w:space="0" w:color="auto"/>
        <w:bottom w:val="none" w:sz="0" w:space="0" w:color="auto"/>
        <w:right w:val="none" w:sz="0" w:space="0" w:color="auto"/>
      </w:divBdr>
    </w:div>
    <w:div w:id="1432820806">
      <w:bodyDiv w:val="1"/>
      <w:marLeft w:val="0"/>
      <w:marRight w:val="0"/>
      <w:marTop w:val="0"/>
      <w:marBottom w:val="0"/>
      <w:divBdr>
        <w:top w:val="none" w:sz="0" w:space="0" w:color="auto"/>
        <w:left w:val="none" w:sz="0" w:space="0" w:color="auto"/>
        <w:bottom w:val="none" w:sz="0" w:space="0" w:color="auto"/>
        <w:right w:val="none" w:sz="0" w:space="0" w:color="auto"/>
      </w:divBdr>
    </w:div>
    <w:div w:id="1696467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2.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4B444B73C66F4D8F7A5C7372A0688B" ma:contentTypeVersion="14" ma:contentTypeDescription="Create a new document." ma:contentTypeScope="" ma:versionID="6f97b13a2971c188a3100fa1e45d5567">
  <xsd:schema xmlns:xsd="http://www.w3.org/2001/XMLSchema" xmlns:xs="http://www.w3.org/2001/XMLSchema" xmlns:p="http://schemas.microsoft.com/office/2006/metadata/properties" xmlns:ns2="f8a6e939-b6d5-48f2-beb1-cad6b6aab4f7" xmlns:ns3="0279f740-2c89-4fc7-8423-b7691f8f90b5" targetNamespace="http://schemas.microsoft.com/office/2006/metadata/properties" ma:root="true" ma:fieldsID="4334401de731390beb12b4b802a20213" ns2:_="" ns3:_="">
    <xsd:import namespace="f8a6e939-b6d5-48f2-beb1-cad6b6aab4f7"/>
    <xsd:import namespace="0279f740-2c89-4fc7-8423-b7691f8f90b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a6e939-b6d5-48f2-beb1-cad6b6aab4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8c8c603-0683-47a1-b6a0-4f7fe2db900d"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79f740-2c89-4fc7-8423-b7691f8f90b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7912b60-1afa-435e-b0ae-0ceb29cfce64}" ma:internalName="TaxCatchAll" ma:showField="CatchAllData" ma:web="0279f740-2c89-4fc7-8423-b7691f8f90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279f740-2c89-4fc7-8423-b7691f8f90b5" xsi:nil="true"/>
    <lcf76f155ced4ddcb4097134ff3c332f xmlns="f8a6e939-b6d5-48f2-beb1-cad6b6aab4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F6587E-8668-46DB-A93C-46633BACFA82}"/>
</file>

<file path=customXml/itemProps2.xml><?xml version="1.0" encoding="utf-8"?>
<ds:datastoreItem xmlns:ds="http://schemas.openxmlformats.org/officeDocument/2006/customXml" ds:itemID="{2B55F749-CCF0-45B5-A9B9-4EAB3AB9B5E4}"/>
</file>

<file path=customXml/itemProps3.xml><?xml version="1.0" encoding="utf-8"?>
<ds:datastoreItem xmlns:ds="http://schemas.openxmlformats.org/officeDocument/2006/customXml" ds:itemID="{82BB77A1-4246-4868-BF6B-16409B2F17B9}"/>
</file>

<file path=docProps/app.xml><?xml version="1.0" encoding="utf-8"?>
<Properties xmlns="http://schemas.openxmlformats.org/officeDocument/2006/extended-properties" xmlns:vt="http://schemas.openxmlformats.org/officeDocument/2006/docPropsVTypes">
  <Template>Normal.dotm</Template>
  <TotalTime>1</TotalTime>
  <Pages>7</Pages>
  <Words>2509</Words>
  <Characters>12548</Characters>
  <Application>Microsoft Office Word</Application>
  <DocSecurity>4</DocSecurity>
  <Lines>104</Lines>
  <Paragraphs>30</Paragraphs>
  <ScaleCrop>false</ScaleCrop>
  <HeadingPairs>
    <vt:vector size="2" baseType="variant">
      <vt:variant>
        <vt:lpstr>שם</vt:lpstr>
      </vt:variant>
      <vt:variant>
        <vt:i4>1</vt:i4>
      </vt:variant>
    </vt:vector>
  </HeadingPairs>
  <TitlesOfParts>
    <vt:vector size="1" baseType="lpstr">
      <vt:lpstr/>
    </vt:vector>
  </TitlesOfParts>
  <Company>Microsoft Corporation</Company>
  <LinksUpToDate>false</LinksUpToDate>
  <CharactersWithSpaces>15027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anatk</dc:creator>
  <cp:keywords/>
  <dc:description/>
  <cp:lastModifiedBy>יעל לוי פרי</cp:lastModifiedBy>
  <cp:revision>2</cp:revision>
  <cp:lastPrinted>2025-09-15T06:07:00Z</cp:lastPrinted>
  <dcterms:created xsi:type="dcterms:W3CDTF">2025-09-27T02:15:00Z</dcterms:created>
  <dcterms:modified xsi:type="dcterms:W3CDTF">2025-09-27T02:15:00Z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0x010100D14B444B73C66F4D8F7A5C7372A0688B</vt:lpwstr>
  </property>
</Properties>
</file>