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bidiVisual/>
        <w:tblW w:w="0" w:type="auto"/>
        <w:jc w:val="center"/>
        <w:tblLook w:val="0000" w:firstRow="0" w:lastRow="0" w:firstColumn="0" w:lastColumn="0" w:noHBand="0" w:noVBand="0"/>
      </w:tblPr>
      <w:tblGrid>
        <w:gridCol w:w="4677"/>
        <w:gridCol w:w="3828"/>
      </w:tblGrid>
      <w:tr w:rsidR="00927EBF" w14:paraId="656C87A7" w14:textId="77777777" w:rsidTr="00DD07D2">
        <w:trPr>
          <w:trHeight w:hRule="exact" w:val="418"/>
          <w:jc w:val="center"/>
        </w:trPr>
        <w:tc>
          <w:tcPr>
            <w:tcW w:w="8505" w:type="dxa"/>
            <w:gridSpan w:val="2"/>
          </w:tcPr>
          <w:p w14:paraId="07FBE428" w14:textId="77777777" w:rsidR="00360006" w:rsidRPr="001D022A" w:rsidRDefault="00000000" w:rsidP="00DD07D2">
            <w:pPr>
              <w:pStyle w:val="a3"/>
              <w:jc w:val="center"/>
              <w:rPr>
                <w:rFonts w:ascii="Tahoma" w:hAnsi="Tahoma" w:cs="Tahoma"/>
                <w:noProof w:val="0"/>
                <w:color w:val="000080"/>
                <w:rtl/>
              </w:rPr>
            </w:pPr>
            <w:bookmarkStart w:id="0" w:name="LastJudge"/>
            <w:r w:rsidRPr="001D022A">
              <w:rPr>
                <w:rFonts w:ascii="Tahoma" w:hAnsi="Tahoma" w:cs="Tahoma"/>
                <w:b/>
                <w:bCs/>
                <w:noProof w:val="0"/>
                <w:color w:val="000080"/>
                <w:rtl/>
              </w:rPr>
              <w:t>בית המשפט המחוזי בבאר שבע</w:t>
            </w:r>
          </w:p>
        </w:tc>
      </w:tr>
      <w:tr w:rsidR="00927EBF" w14:paraId="1AEB0673" w14:textId="77777777" w:rsidTr="00DD07D2">
        <w:trPr>
          <w:trHeight w:val="337"/>
          <w:jc w:val="center"/>
        </w:trPr>
        <w:tc>
          <w:tcPr>
            <w:tcW w:w="4677" w:type="dxa"/>
          </w:tcPr>
          <w:p w14:paraId="0F9D098E" w14:textId="77777777" w:rsidR="00360006" w:rsidRPr="00900120" w:rsidRDefault="00000000" w:rsidP="00900120">
            <w:pPr>
              <w:spacing w:before="120" w:after="120" w:line="240" w:lineRule="exact"/>
              <w:rPr>
                <w:rFonts w:ascii="David" w:hAnsi="David"/>
                <w:sz w:val="26"/>
                <w:szCs w:val="26"/>
                <w:rtl/>
              </w:rPr>
            </w:pPr>
            <w:r w:rsidRPr="00900120">
              <w:rPr>
                <w:rFonts w:ascii="David" w:hAnsi="David"/>
                <w:b/>
                <w:bCs/>
                <w:noProof w:val="0"/>
                <w:sz w:val="26"/>
                <w:szCs w:val="26"/>
                <w:rtl/>
              </w:rPr>
              <w:t xml:space="preserve">בפני: </w:t>
            </w:r>
            <w:r w:rsidRPr="00900120">
              <w:rPr>
                <w:rFonts w:ascii="David" w:hAnsi="David"/>
                <w:b/>
                <w:bCs/>
                <w:sz w:val="26"/>
                <w:szCs w:val="26"/>
                <w:rtl/>
              </w:rPr>
              <w:t xml:space="preserve"> כב' השופט  גיל דניאל</w:t>
            </w:r>
          </w:p>
        </w:tc>
        <w:tc>
          <w:tcPr>
            <w:tcW w:w="3828" w:type="dxa"/>
          </w:tcPr>
          <w:p w14:paraId="1684580B" w14:textId="77777777" w:rsidR="00360006" w:rsidRPr="00900120" w:rsidRDefault="00000000" w:rsidP="00900120">
            <w:pPr>
              <w:pStyle w:val="a3"/>
              <w:spacing w:before="120" w:after="120" w:line="240" w:lineRule="exact"/>
              <w:jc w:val="right"/>
              <w:rPr>
                <w:rFonts w:ascii="David" w:hAnsi="David"/>
                <w:b/>
                <w:bCs/>
                <w:noProof w:val="0"/>
                <w:sz w:val="26"/>
                <w:szCs w:val="26"/>
              </w:rPr>
            </w:pPr>
            <w:r w:rsidRPr="00900120">
              <w:rPr>
                <w:rFonts w:ascii="David" w:hAnsi="David"/>
                <w:b/>
                <w:bCs/>
                <w:noProof w:val="0"/>
                <w:sz w:val="26"/>
                <w:szCs w:val="26"/>
                <w:rtl/>
              </w:rPr>
              <w:t>31 מרץ 2024</w:t>
            </w:r>
          </w:p>
          <w:p w14:paraId="6E324E19" w14:textId="77777777" w:rsidR="00360006" w:rsidRPr="00900120" w:rsidRDefault="00000000" w:rsidP="00900120">
            <w:pPr>
              <w:spacing w:before="120" w:after="120" w:line="240" w:lineRule="exact"/>
              <w:jc w:val="right"/>
              <w:rPr>
                <w:rFonts w:ascii="David" w:hAnsi="David"/>
                <w:sz w:val="26"/>
                <w:szCs w:val="26"/>
                <w:rtl/>
              </w:rPr>
            </w:pPr>
            <w:r w:rsidRPr="00900120">
              <w:rPr>
                <w:rFonts w:ascii="David" w:hAnsi="David"/>
                <w:b/>
                <w:bCs/>
                <w:noProof w:val="0"/>
                <w:sz w:val="26"/>
                <w:szCs w:val="26"/>
                <w:rtl/>
              </w:rPr>
              <w:t>פש"ר 6358-02-19</w:t>
            </w:r>
          </w:p>
        </w:tc>
      </w:tr>
    </w:tbl>
    <w:p w14:paraId="45633CDF" w14:textId="77777777" w:rsidR="00360006" w:rsidRPr="00900120" w:rsidRDefault="00000000" w:rsidP="00900120">
      <w:pPr>
        <w:pStyle w:val="a3"/>
        <w:spacing w:before="120" w:after="120" w:line="240" w:lineRule="exact"/>
        <w:rPr>
          <w:rFonts w:ascii="David" w:hAnsi="David"/>
          <w:sz w:val="26"/>
          <w:szCs w:val="26"/>
          <w:rtl/>
        </w:rPr>
      </w:pPr>
      <w:r w:rsidRPr="00900120">
        <w:rPr>
          <w:rFonts w:ascii="David" w:hAnsi="David"/>
          <w:noProof w:val="0"/>
          <w:sz w:val="26"/>
          <w:szCs w:val="26"/>
          <w:rtl/>
        </w:rPr>
        <w:t xml:space="preserve"> </w:t>
      </w:r>
    </w:p>
    <w:tbl>
      <w:tblPr>
        <w:bidiVisual/>
        <w:tblW w:w="8794" w:type="dxa"/>
        <w:jc w:val="center"/>
        <w:tblLook w:val="01E0" w:firstRow="1" w:lastRow="1" w:firstColumn="1" w:lastColumn="1" w:noHBand="0" w:noVBand="0"/>
      </w:tblPr>
      <w:tblGrid>
        <w:gridCol w:w="1022"/>
        <w:gridCol w:w="4937"/>
        <w:gridCol w:w="2835"/>
      </w:tblGrid>
      <w:tr w:rsidR="00927EBF" w14:paraId="74C75D7A" w14:textId="77777777" w:rsidTr="00360006">
        <w:trPr>
          <w:jc w:val="center"/>
        </w:trPr>
        <w:tc>
          <w:tcPr>
            <w:tcW w:w="1022" w:type="dxa"/>
            <w:shd w:val="clear" w:color="auto" w:fill="auto"/>
          </w:tcPr>
          <w:p w14:paraId="0B2321B7" w14:textId="77777777" w:rsidR="00360006" w:rsidRPr="00900120" w:rsidRDefault="00000000" w:rsidP="00900120">
            <w:pPr>
              <w:spacing w:before="120" w:after="120" w:line="240" w:lineRule="exact"/>
              <w:rPr>
                <w:rFonts w:ascii="David" w:hAnsi="David"/>
                <w:b/>
                <w:bCs/>
                <w:noProof w:val="0"/>
                <w:sz w:val="26"/>
                <w:szCs w:val="26"/>
                <w:rtl/>
              </w:rPr>
            </w:pPr>
            <w:bookmarkStart w:id="1" w:name="FirstAppellant"/>
            <w:r w:rsidRPr="00900120">
              <w:rPr>
                <w:rFonts w:ascii="David" w:hAnsi="David"/>
                <w:b/>
                <w:bCs/>
                <w:noProof w:val="0"/>
                <w:sz w:val="26"/>
                <w:szCs w:val="26"/>
                <w:rtl/>
              </w:rPr>
              <w:t>בעניין:</w:t>
            </w:r>
          </w:p>
        </w:tc>
        <w:tc>
          <w:tcPr>
            <w:tcW w:w="4937" w:type="dxa"/>
            <w:shd w:val="clear" w:color="auto" w:fill="auto"/>
          </w:tcPr>
          <w:p w14:paraId="5DD10FC4" w14:textId="77777777" w:rsidR="00360006" w:rsidRPr="00900120" w:rsidRDefault="00000000" w:rsidP="00900120">
            <w:pPr>
              <w:spacing w:before="120" w:after="120" w:line="240" w:lineRule="exact"/>
              <w:rPr>
                <w:rFonts w:ascii="David" w:hAnsi="David"/>
                <w:sz w:val="26"/>
                <w:szCs w:val="26"/>
                <w:rtl/>
              </w:rPr>
            </w:pPr>
            <w:hyperlink r:id="rId6" w:history="1">
              <w:r w:rsidR="001D022A" w:rsidRPr="00900120">
                <w:rPr>
                  <w:rFonts w:ascii="David" w:hAnsi="David"/>
                  <w:b/>
                  <w:bCs/>
                  <w:color w:val="0000FF"/>
                  <w:sz w:val="26"/>
                  <w:szCs w:val="26"/>
                  <w:u w:val="single"/>
                  <w:rtl/>
                </w:rPr>
                <w:t>פקודת פשיטת הרגל</w:t>
              </w:r>
            </w:hyperlink>
            <w:r w:rsidRPr="00900120">
              <w:rPr>
                <w:rFonts w:ascii="David" w:hAnsi="David"/>
                <w:b/>
                <w:bCs/>
                <w:sz w:val="26"/>
                <w:szCs w:val="26"/>
                <w:rtl/>
              </w:rPr>
              <w:t>, התש"ם – 1980</w:t>
            </w:r>
          </w:p>
        </w:tc>
        <w:tc>
          <w:tcPr>
            <w:tcW w:w="2835" w:type="dxa"/>
            <w:shd w:val="clear" w:color="auto" w:fill="auto"/>
          </w:tcPr>
          <w:p w14:paraId="3856CB70" w14:textId="77777777" w:rsidR="00360006" w:rsidRPr="00900120" w:rsidRDefault="00000000" w:rsidP="00900120">
            <w:pPr>
              <w:spacing w:before="120" w:after="120" w:line="240" w:lineRule="exact"/>
              <w:rPr>
                <w:rFonts w:ascii="David" w:hAnsi="David"/>
                <w:b/>
                <w:bCs/>
                <w:noProof w:val="0"/>
                <w:sz w:val="26"/>
                <w:szCs w:val="26"/>
                <w:rtl/>
              </w:rPr>
            </w:pPr>
            <w:r w:rsidRPr="00900120">
              <w:rPr>
                <w:rFonts w:ascii="David" w:hAnsi="David"/>
                <w:b/>
                <w:bCs/>
                <w:sz w:val="26"/>
                <w:szCs w:val="26"/>
                <w:rtl/>
              </w:rPr>
              <w:t>להלן: "הפקודה"</w:t>
            </w:r>
          </w:p>
        </w:tc>
      </w:tr>
      <w:bookmarkEnd w:id="1"/>
      <w:tr w:rsidR="00927EBF" w14:paraId="65CAD0FC" w14:textId="77777777" w:rsidTr="00360006">
        <w:trPr>
          <w:jc w:val="center"/>
        </w:trPr>
        <w:tc>
          <w:tcPr>
            <w:tcW w:w="1022" w:type="dxa"/>
            <w:shd w:val="clear" w:color="auto" w:fill="auto"/>
          </w:tcPr>
          <w:p w14:paraId="1F5A10B3" w14:textId="77777777" w:rsidR="00360006" w:rsidRPr="00900120" w:rsidRDefault="00360006" w:rsidP="00900120">
            <w:pPr>
              <w:bidi w:val="0"/>
              <w:spacing w:before="120" w:after="120" w:line="240" w:lineRule="exact"/>
              <w:jc w:val="right"/>
              <w:rPr>
                <w:rFonts w:ascii="David" w:hAnsi="David"/>
                <w:b/>
                <w:bCs/>
                <w:noProof w:val="0"/>
                <w:sz w:val="26"/>
                <w:szCs w:val="26"/>
                <w:rtl/>
              </w:rPr>
            </w:pPr>
          </w:p>
        </w:tc>
        <w:tc>
          <w:tcPr>
            <w:tcW w:w="4937" w:type="dxa"/>
            <w:shd w:val="clear" w:color="auto" w:fill="auto"/>
          </w:tcPr>
          <w:p w14:paraId="5D3F74C6" w14:textId="77777777" w:rsidR="00360006" w:rsidRPr="00900120" w:rsidRDefault="00360006" w:rsidP="00900120">
            <w:pPr>
              <w:spacing w:before="120" w:after="120" w:line="240" w:lineRule="exact"/>
              <w:rPr>
                <w:rFonts w:ascii="David" w:hAnsi="David"/>
                <w:b/>
                <w:bCs/>
                <w:sz w:val="26"/>
                <w:szCs w:val="26"/>
                <w:rtl/>
              </w:rPr>
            </w:pPr>
          </w:p>
        </w:tc>
        <w:tc>
          <w:tcPr>
            <w:tcW w:w="2835" w:type="dxa"/>
            <w:shd w:val="clear" w:color="auto" w:fill="auto"/>
          </w:tcPr>
          <w:p w14:paraId="666FB049" w14:textId="77777777" w:rsidR="00360006" w:rsidRPr="00900120" w:rsidRDefault="00360006" w:rsidP="00900120">
            <w:pPr>
              <w:spacing w:before="120" w:after="120" w:line="240" w:lineRule="exact"/>
              <w:rPr>
                <w:rFonts w:ascii="David" w:hAnsi="David"/>
                <w:b/>
                <w:bCs/>
                <w:sz w:val="26"/>
                <w:szCs w:val="26"/>
                <w:rtl/>
              </w:rPr>
            </w:pPr>
          </w:p>
        </w:tc>
      </w:tr>
      <w:tr w:rsidR="00927EBF" w14:paraId="370F893F" w14:textId="77777777" w:rsidTr="00360006">
        <w:trPr>
          <w:jc w:val="center"/>
        </w:trPr>
        <w:tc>
          <w:tcPr>
            <w:tcW w:w="1022" w:type="dxa"/>
            <w:shd w:val="clear" w:color="auto" w:fill="auto"/>
          </w:tcPr>
          <w:p w14:paraId="30C0460A" w14:textId="77777777" w:rsidR="00360006" w:rsidRPr="00900120" w:rsidRDefault="00000000" w:rsidP="00900120">
            <w:pPr>
              <w:bidi w:val="0"/>
              <w:spacing w:before="120" w:after="120" w:line="240" w:lineRule="exact"/>
              <w:jc w:val="right"/>
              <w:rPr>
                <w:rFonts w:ascii="David" w:hAnsi="David"/>
                <w:b/>
                <w:bCs/>
                <w:noProof w:val="0"/>
                <w:sz w:val="26"/>
                <w:szCs w:val="26"/>
              </w:rPr>
            </w:pPr>
            <w:r w:rsidRPr="00900120">
              <w:rPr>
                <w:rFonts w:ascii="David" w:hAnsi="David"/>
                <w:b/>
                <w:bCs/>
                <w:noProof w:val="0"/>
                <w:sz w:val="26"/>
                <w:szCs w:val="26"/>
                <w:rtl/>
              </w:rPr>
              <w:t xml:space="preserve">ובעניין: </w:t>
            </w:r>
          </w:p>
        </w:tc>
        <w:tc>
          <w:tcPr>
            <w:tcW w:w="4937" w:type="dxa"/>
            <w:shd w:val="clear" w:color="auto" w:fill="auto"/>
          </w:tcPr>
          <w:p w14:paraId="5B4BB616" w14:textId="77777777" w:rsidR="00360006" w:rsidRPr="00900120" w:rsidRDefault="00000000" w:rsidP="00900120">
            <w:pPr>
              <w:spacing w:before="120" w:after="120" w:line="240" w:lineRule="exact"/>
              <w:rPr>
                <w:rFonts w:ascii="David" w:hAnsi="David"/>
                <w:b/>
                <w:bCs/>
                <w:noProof w:val="0"/>
                <w:sz w:val="26"/>
                <w:szCs w:val="26"/>
              </w:rPr>
            </w:pPr>
            <w:r w:rsidRPr="00900120">
              <w:rPr>
                <w:rFonts w:ascii="David" w:hAnsi="David"/>
                <w:b/>
                <w:bCs/>
                <w:noProof w:val="0"/>
                <w:sz w:val="26"/>
                <w:szCs w:val="26"/>
                <w:rtl/>
              </w:rPr>
              <w:t>שאול אריה אליהו</w:t>
            </w:r>
          </w:p>
        </w:tc>
        <w:tc>
          <w:tcPr>
            <w:tcW w:w="2835" w:type="dxa"/>
            <w:shd w:val="clear" w:color="auto" w:fill="auto"/>
            <w:vAlign w:val="bottom"/>
          </w:tcPr>
          <w:p w14:paraId="02955CA3" w14:textId="77777777" w:rsidR="00360006" w:rsidRPr="00900120" w:rsidRDefault="00000000" w:rsidP="00900120">
            <w:pPr>
              <w:spacing w:before="120" w:after="120" w:line="240" w:lineRule="exact"/>
              <w:rPr>
                <w:rFonts w:ascii="David" w:hAnsi="David"/>
                <w:b/>
                <w:bCs/>
                <w:noProof w:val="0"/>
                <w:sz w:val="26"/>
                <w:szCs w:val="26"/>
              </w:rPr>
            </w:pPr>
            <w:r w:rsidRPr="00900120">
              <w:rPr>
                <w:rFonts w:ascii="David" w:hAnsi="David"/>
                <w:b/>
                <w:bCs/>
                <w:noProof w:val="0"/>
                <w:sz w:val="26"/>
                <w:szCs w:val="26"/>
                <w:rtl/>
              </w:rPr>
              <w:t>להלן: "החייב"</w:t>
            </w:r>
          </w:p>
        </w:tc>
      </w:tr>
      <w:tr w:rsidR="00927EBF" w14:paraId="69CBABA9" w14:textId="77777777" w:rsidTr="00360006">
        <w:trPr>
          <w:jc w:val="center"/>
        </w:trPr>
        <w:tc>
          <w:tcPr>
            <w:tcW w:w="1022" w:type="dxa"/>
            <w:shd w:val="clear" w:color="auto" w:fill="auto"/>
          </w:tcPr>
          <w:p w14:paraId="6A10F9EC" w14:textId="77777777" w:rsidR="00360006" w:rsidRPr="00900120" w:rsidRDefault="00360006" w:rsidP="00900120">
            <w:pPr>
              <w:bidi w:val="0"/>
              <w:spacing w:before="120" w:after="120" w:line="240" w:lineRule="exact"/>
              <w:jc w:val="right"/>
              <w:rPr>
                <w:rFonts w:ascii="David" w:hAnsi="David"/>
                <w:b/>
                <w:bCs/>
                <w:noProof w:val="0"/>
                <w:sz w:val="26"/>
                <w:szCs w:val="26"/>
                <w:rtl/>
              </w:rPr>
            </w:pPr>
          </w:p>
        </w:tc>
        <w:tc>
          <w:tcPr>
            <w:tcW w:w="4937" w:type="dxa"/>
            <w:shd w:val="clear" w:color="auto" w:fill="auto"/>
          </w:tcPr>
          <w:p w14:paraId="2850C0E1" w14:textId="77777777" w:rsidR="00360006" w:rsidRPr="00900120" w:rsidRDefault="00360006" w:rsidP="00900120">
            <w:pPr>
              <w:spacing w:before="120" w:after="120" w:line="240" w:lineRule="exact"/>
              <w:rPr>
                <w:rFonts w:ascii="David" w:hAnsi="David"/>
                <w:sz w:val="26"/>
                <w:szCs w:val="26"/>
                <w:rtl/>
              </w:rPr>
            </w:pPr>
          </w:p>
        </w:tc>
        <w:tc>
          <w:tcPr>
            <w:tcW w:w="2835" w:type="dxa"/>
            <w:shd w:val="clear" w:color="auto" w:fill="auto"/>
          </w:tcPr>
          <w:p w14:paraId="3D045207" w14:textId="77777777" w:rsidR="00360006" w:rsidRPr="00900120" w:rsidRDefault="00360006" w:rsidP="00900120">
            <w:pPr>
              <w:spacing w:before="120" w:after="120" w:line="240" w:lineRule="exact"/>
              <w:rPr>
                <w:rFonts w:ascii="David" w:hAnsi="David"/>
                <w:b/>
                <w:bCs/>
                <w:noProof w:val="0"/>
                <w:sz w:val="26"/>
                <w:szCs w:val="26"/>
                <w:rtl/>
              </w:rPr>
            </w:pPr>
          </w:p>
        </w:tc>
      </w:tr>
      <w:tr w:rsidR="00927EBF" w14:paraId="64504B3B" w14:textId="77777777" w:rsidTr="00360006">
        <w:trPr>
          <w:jc w:val="center"/>
        </w:trPr>
        <w:tc>
          <w:tcPr>
            <w:tcW w:w="1022" w:type="dxa"/>
            <w:shd w:val="clear" w:color="auto" w:fill="auto"/>
          </w:tcPr>
          <w:p w14:paraId="4585596C" w14:textId="77777777" w:rsidR="00360006" w:rsidRPr="00900120" w:rsidRDefault="00360006" w:rsidP="00900120">
            <w:pPr>
              <w:spacing w:before="120" w:after="120" w:line="240" w:lineRule="exact"/>
              <w:rPr>
                <w:rFonts w:ascii="David" w:hAnsi="David"/>
                <w:b/>
                <w:bCs/>
                <w:noProof w:val="0"/>
                <w:sz w:val="26"/>
                <w:szCs w:val="26"/>
                <w:rtl/>
              </w:rPr>
            </w:pPr>
          </w:p>
        </w:tc>
        <w:tc>
          <w:tcPr>
            <w:tcW w:w="4937" w:type="dxa"/>
            <w:shd w:val="clear" w:color="auto" w:fill="auto"/>
          </w:tcPr>
          <w:p w14:paraId="27C454B6" w14:textId="77777777" w:rsidR="00360006" w:rsidRPr="00900120" w:rsidRDefault="00000000" w:rsidP="00900120">
            <w:pPr>
              <w:spacing w:before="120" w:after="120" w:line="240" w:lineRule="exact"/>
              <w:rPr>
                <w:rFonts w:ascii="David" w:hAnsi="David"/>
                <w:sz w:val="26"/>
                <w:szCs w:val="26"/>
                <w:rtl/>
              </w:rPr>
            </w:pPr>
            <w:r w:rsidRPr="00900120">
              <w:rPr>
                <w:rFonts w:ascii="David" w:hAnsi="David"/>
                <w:b/>
                <w:bCs/>
                <w:noProof w:val="0"/>
                <w:sz w:val="26"/>
                <w:szCs w:val="26"/>
                <w:rtl/>
              </w:rPr>
              <w:t>הכונס הרשמי</w:t>
            </w:r>
          </w:p>
          <w:p w14:paraId="31F280BE" w14:textId="77777777" w:rsidR="00360006" w:rsidRPr="00900120" w:rsidRDefault="00360006" w:rsidP="00900120">
            <w:pPr>
              <w:spacing w:before="120" w:after="120" w:line="240" w:lineRule="exact"/>
              <w:rPr>
                <w:rFonts w:ascii="David" w:hAnsi="David"/>
                <w:sz w:val="26"/>
                <w:szCs w:val="26"/>
                <w:rtl/>
              </w:rPr>
            </w:pPr>
          </w:p>
          <w:p w14:paraId="3F41BC76" w14:textId="77777777" w:rsidR="00360006" w:rsidRPr="00900120" w:rsidRDefault="00000000" w:rsidP="00900120">
            <w:pPr>
              <w:spacing w:before="120" w:after="120" w:line="240" w:lineRule="exact"/>
              <w:rPr>
                <w:rFonts w:ascii="David" w:hAnsi="David"/>
                <w:b/>
                <w:bCs/>
                <w:sz w:val="26"/>
                <w:szCs w:val="26"/>
                <w:rtl/>
              </w:rPr>
            </w:pPr>
            <w:r w:rsidRPr="00900120">
              <w:rPr>
                <w:rFonts w:ascii="David" w:hAnsi="David"/>
                <w:b/>
                <w:bCs/>
                <w:sz w:val="26"/>
                <w:szCs w:val="26"/>
                <w:rtl/>
              </w:rPr>
              <w:t>עו"ד אלדד שגב</w:t>
            </w:r>
          </w:p>
          <w:p w14:paraId="57E7C0A0" w14:textId="77777777" w:rsidR="00360006" w:rsidRPr="00900120" w:rsidRDefault="00360006" w:rsidP="00900120">
            <w:pPr>
              <w:spacing w:before="120" w:after="120" w:line="240" w:lineRule="exact"/>
              <w:rPr>
                <w:rFonts w:ascii="David" w:hAnsi="David"/>
                <w:b/>
                <w:bCs/>
                <w:sz w:val="26"/>
                <w:szCs w:val="26"/>
                <w:rtl/>
              </w:rPr>
            </w:pPr>
          </w:p>
          <w:p w14:paraId="70D59815" w14:textId="77777777" w:rsidR="00360006" w:rsidRPr="00900120" w:rsidRDefault="00000000" w:rsidP="00900120">
            <w:pPr>
              <w:spacing w:before="120" w:after="120" w:line="240" w:lineRule="exact"/>
              <w:rPr>
                <w:rFonts w:ascii="David" w:hAnsi="David"/>
                <w:b/>
                <w:bCs/>
                <w:sz w:val="26"/>
                <w:szCs w:val="26"/>
                <w:rtl/>
              </w:rPr>
            </w:pPr>
            <w:r w:rsidRPr="00900120">
              <w:rPr>
                <w:rFonts w:ascii="David" w:hAnsi="David"/>
                <w:b/>
                <w:bCs/>
                <w:sz w:val="26"/>
                <w:szCs w:val="26"/>
                <w:rtl/>
              </w:rPr>
              <w:t>בנק מרכנתיל דיסקונט בע"מ</w:t>
            </w:r>
          </w:p>
        </w:tc>
        <w:tc>
          <w:tcPr>
            <w:tcW w:w="2835" w:type="dxa"/>
            <w:shd w:val="clear" w:color="auto" w:fill="auto"/>
          </w:tcPr>
          <w:p w14:paraId="4D38554A" w14:textId="77777777" w:rsidR="00360006" w:rsidRPr="00900120" w:rsidRDefault="00000000" w:rsidP="00900120">
            <w:pPr>
              <w:spacing w:before="120" w:after="120" w:line="240" w:lineRule="exact"/>
              <w:rPr>
                <w:rFonts w:ascii="David" w:hAnsi="David"/>
                <w:b/>
                <w:bCs/>
                <w:noProof w:val="0"/>
                <w:sz w:val="26"/>
                <w:szCs w:val="26"/>
                <w:rtl/>
              </w:rPr>
            </w:pPr>
            <w:r w:rsidRPr="00900120">
              <w:rPr>
                <w:rFonts w:ascii="David" w:hAnsi="David"/>
                <w:b/>
                <w:bCs/>
                <w:noProof w:val="0"/>
                <w:sz w:val="26"/>
                <w:szCs w:val="26"/>
                <w:rtl/>
              </w:rPr>
              <w:t>להלן: "הכונ"ר"</w:t>
            </w:r>
          </w:p>
          <w:p w14:paraId="052CD4DF" w14:textId="77777777" w:rsidR="00360006" w:rsidRPr="00900120" w:rsidRDefault="00360006" w:rsidP="00900120">
            <w:pPr>
              <w:spacing w:before="120" w:after="120" w:line="240" w:lineRule="exact"/>
              <w:rPr>
                <w:rFonts w:ascii="David" w:hAnsi="David"/>
                <w:b/>
                <w:bCs/>
                <w:noProof w:val="0"/>
                <w:sz w:val="26"/>
                <w:szCs w:val="26"/>
                <w:rtl/>
              </w:rPr>
            </w:pPr>
          </w:p>
          <w:p w14:paraId="23EF3273" w14:textId="77777777" w:rsidR="00360006" w:rsidRPr="00900120" w:rsidRDefault="00000000" w:rsidP="00900120">
            <w:pPr>
              <w:spacing w:before="120" w:after="120" w:line="240" w:lineRule="exact"/>
              <w:rPr>
                <w:rFonts w:ascii="David" w:hAnsi="David"/>
                <w:b/>
                <w:bCs/>
                <w:noProof w:val="0"/>
                <w:sz w:val="26"/>
                <w:szCs w:val="26"/>
                <w:rtl/>
              </w:rPr>
            </w:pPr>
            <w:r w:rsidRPr="00900120">
              <w:rPr>
                <w:rFonts w:ascii="David" w:hAnsi="David"/>
                <w:b/>
                <w:bCs/>
                <w:noProof w:val="0"/>
                <w:sz w:val="26"/>
                <w:szCs w:val="26"/>
                <w:rtl/>
              </w:rPr>
              <w:t>להלן: "המנהל המיוחד"</w:t>
            </w:r>
          </w:p>
          <w:p w14:paraId="2A6F2B8A" w14:textId="77777777" w:rsidR="00360006" w:rsidRPr="00900120" w:rsidRDefault="00360006" w:rsidP="00900120">
            <w:pPr>
              <w:spacing w:before="120" w:after="120" w:line="240" w:lineRule="exact"/>
              <w:rPr>
                <w:rFonts w:ascii="David" w:hAnsi="David"/>
                <w:b/>
                <w:bCs/>
                <w:noProof w:val="0"/>
                <w:sz w:val="26"/>
                <w:szCs w:val="26"/>
                <w:rtl/>
              </w:rPr>
            </w:pPr>
          </w:p>
          <w:p w14:paraId="05E604BC" w14:textId="77777777" w:rsidR="00360006" w:rsidRPr="00900120" w:rsidRDefault="00000000" w:rsidP="00900120">
            <w:pPr>
              <w:spacing w:before="120" w:after="120" w:line="240" w:lineRule="exact"/>
              <w:rPr>
                <w:rFonts w:ascii="David" w:hAnsi="David"/>
                <w:b/>
                <w:bCs/>
                <w:noProof w:val="0"/>
                <w:sz w:val="26"/>
                <w:szCs w:val="26"/>
                <w:rtl/>
              </w:rPr>
            </w:pPr>
            <w:r w:rsidRPr="00900120">
              <w:rPr>
                <w:rFonts w:ascii="David" w:hAnsi="David"/>
                <w:b/>
                <w:bCs/>
                <w:noProof w:val="0"/>
                <w:sz w:val="26"/>
                <w:szCs w:val="26"/>
                <w:rtl/>
              </w:rPr>
              <w:t>להלן: "בנק דיסקונט"</w:t>
            </w:r>
          </w:p>
        </w:tc>
      </w:tr>
    </w:tbl>
    <w:p w14:paraId="7762F357" w14:textId="77777777" w:rsidR="00360006" w:rsidRPr="001D022A" w:rsidRDefault="00360006" w:rsidP="00360006">
      <w:pPr>
        <w:rPr>
          <w:sz w:val="32"/>
          <w:szCs w:val="32"/>
          <w:rtl/>
        </w:rPr>
      </w:pPr>
    </w:p>
    <w:p w14:paraId="2A1E59CD" w14:textId="77777777" w:rsidR="00900120" w:rsidRPr="00900120" w:rsidRDefault="00000000" w:rsidP="00900120">
      <w:pPr>
        <w:spacing w:before="120" w:after="120" w:line="240" w:lineRule="exact"/>
        <w:ind w:left="283" w:hanging="283"/>
        <w:jc w:val="both"/>
        <w:rPr>
          <w:rFonts w:ascii="FrankRuehl" w:hAnsi="FrankRuehl" w:cs="FrankRuehl"/>
          <w:noProof w:val="0"/>
          <w:rtl/>
        </w:rPr>
      </w:pPr>
      <w:bookmarkStart w:id="2" w:name="LawTable"/>
      <w:bookmarkEnd w:id="2"/>
      <w:r w:rsidRPr="00900120">
        <w:rPr>
          <w:rFonts w:ascii="FrankRuehl" w:hAnsi="FrankRuehl" w:cs="FrankRuehl"/>
          <w:noProof w:val="0"/>
          <w:rtl/>
        </w:rPr>
        <w:t xml:space="preserve">חקיקה שאוזכרה: </w:t>
      </w:r>
    </w:p>
    <w:p w14:paraId="6967D76D" w14:textId="77777777" w:rsidR="00900120" w:rsidRPr="00900120" w:rsidRDefault="00000000" w:rsidP="00900120">
      <w:pPr>
        <w:spacing w:before="120" w:after="120" w:line="240" w:lineRule="exact"/>
        <w:ind w:left="283" w:hanging="283"/>
        <w:jc w:val="both"/>
        <w:rPr>
          <w:rFonts w:ascii="FrankRuehl" w:hAnsi="FrankRuehl" w:cs="FrankRuehl"/>
          <w:noProof w:val="0"/>
          <w:color w:val="0000FF"/>
          <w:rtl/>
        </w:rPr>
      </w:pPr>
      <w:hyperlink r:id="rId7" w:history="1">
        <w:r w:rsidRPr="00900120">
          <w:rPr>
            <w:rStyle w:val="Hyperlink"/>
            <w:rFonts w:ascii="FrankRuehl" w:hAnsi="FrankRuehl" w:cs="FrankRuehl"/>
            <w:u w:val="none"/>
            <w:rtl/>
          </w:rPr>
          <w:t>פקודת פשיטת הרגל [נוסח חדש], תש"ם-1980</w:t>
        </w:r>
      </w:hyperlink>
    </w:p>
    <w:p w14:paraId="4FC05527" w14:textId="77777777" w:rsidR="00900120" w:rsidRPr="00900120" w:rsidRDefault="00000000" w:rsidP="00900120">
      <w:pPr>
        <w:spacing w:before="120" w:after="120" w:line="240" w:lineRule="exact"/>
        <w:ind w:left="283" w:hanging="283"/>
        <w:jc w:val="both"/>
        <w:rPr>
          <w:rFonts w:ascii="FrankRuehl" w:hAnsi="FrankRuehl" w:cs="FrankRuehl"/>
          <w:noProof w:val="0"/>
          <w:color w:val="0000FF"/>
          <w:rtl/>
        </w:rPr>
      </w:pPr>
      <w:hyperlink r:id="rId8" w:history="1">
        <w:r w:rsidRPr="00900120">
          <w:rPr>
            <w:rStyle w:val="Hyperlink"/>
            <w:rFonts w:ascii="FrankRuehl" w:hAnsi="FrankRuehl" w:cs="FrankRuehl"/>
            <w:u w:val="none"/>
            <w:rtl/>
          </w:rPr>
          <w:t>חוק חדלות פירעון ושיקום כלכלי, תשע"ח-2018</w:t>
        </w:r>
      </w:hyperlink>
    </w:p>
    <w:p w14:paraId="208F89DE" w14:textId="77777777" w:rsidR="002F7B1C" w:rsidRDefault="002F7B1C" w:rsidP="00900120">
      <w:pPr>
        <w:jc w:val="center"/>
        <w:rPr>
          <w:rFonts w:ascii="Arial" w:hAnsi="Arial"/>
          <w:noProof w:val="0"/>
          <w:sz w:val="28"/>
          <w:szCs w:val="28"/>
          <w:rtl/>
        </w:rPr>
      </w:pPr>
      <w:bookmarkStart w:id="3" w:name="LawTable_End"/>
      <w:bookmarkEnd w:id="3"/>
    </w:p>
    <w:p w14:paraId="3DA8D52D"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bookmarkStart w:id="4" w:name="ABSTRACT_START"/>
      <w:bookmarkEnd w:id="4"/>
      <w:r w:rsidRPr="004171C9">
        <w:rPr>
          <w:rFonts w:cs="FrankRuehl" w:hint="cs"/>
          <w:szCs w:val="26"/>
          <w:rtl/>
        </w:rPr>
        <w:t>מיני-רציו:</w:t>
      </w:r>
    </w:p>
    <w:p w14:paraId="1106FCC9"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4171C9">
        <w:rPr>
          <w:rFonts w:cs="FrankRuehl"/>
          <w:szCs w:val="26"/>
          <w:rtl/>
        </w:rPr>
        <w:t>אין מקום לכפות על הנושים להמשיך בניהול הליך פשיטת רגל שנפתח לבקשת החייב, במסגרתו פועל החייב בחוסר תום לב ו</w:t>
      </w:r>
      <w:r w:rsidRPr="004171C9">
        <w:rPr>
          <w:rFonts w:cs="FrankRuehl" w:hint="cs"/>
          <w:szCs w:val="26"/>
          <w:rtl/>
        </w:rPr>
        <w:t>מתנער</w:t>
      </w:r>
      <w:r w:rsidRPr="004171C9">
        <w:rPr>
          <w:rFonts w:cs="FrankRuehl"/>
          <w:szCs w:val="26"/>
          <w:rtl/>
        </w:rPr>
        <w:t xml:space="preserve"> מחובותיו הבסיסיות בהליך, כאשר העמדה המובילה של הנושים </w:t>
      </w:r>
      <w:r w:rsidRPr="004171C9">
        <w:rPr>
          <w:rFonts w:cs="FrankRuehl" w:hint="cs"/>
          <w:szCs w:val="26"/>
          <w:rtl/>
        </w:rPr>
        <w:t>מעדיפה את</w:t>
      </w:r>
      <w:r w:rsidRPr="004171C9">
        <w:rPr>
          <w:rFonts w:cs="FrankRuehl"/>
          <w:szCs w:val="26"/>
          <w:rtl/>
        </w:rPr>
        <w:t xml:space="preserve"> ביטול ההליך לצורך נקיטה בהליך משפטי חלופי העומד לזכותם</w:t>
      </w:r>
      <w:r w:rsidRPr="004171C9">
        <w:rPr>
          <w:rFonts w:cs="FrankRuehl" w:hint="cs"/>
          <w:szCs w:val="26"/>
          <w:rtl/>
        </w:rPr>
        <w:t>.</w:t>
      </w:r>
    </w:p>
    <w:p w14:paraId="541C71E7"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4171C9">
        <w:rPr>
          <w:rFonts w:cs="FrankRuehl"/>
          <w:szCs w:val="26"/>
          <w:rtl/>
        </w:rPr>
        <w:t>פשיטת רגל</w:t>
      </w:r>
      <w:r w:rsidRPr="004171C9">
        <w:rPr>
          <w:rFonts w:cs="FrankRuehl" w:hint="cs"/>
          <w:szCs w:val="26"/>
          <w:rtl/>
        </w:rPr>
        <w:t xml:space="preserve"> </w:t>
      </w:r>
      <w:r w:rsidRPr="004171C9">
        <w:rPr>
          <w:rFonts w:cs="FrankRuehl"/>
          <w:szCs w:val="26"/>
          <w:rtl/>
        </w:rPr>
        <w:t>–</w:t>
      </w:r>
      <w:r w:rsidRPr="004171C9">
        <w:rPr>
          <w:rFonts w:cs="FrankRuehl" w:hint="cs"/>
          <w:szCs w:val="26"/>
          <w:rtl/>
        </w:rPr>
        <w:t xml:space="preserve"> </w:t>
      </w:r>
      <w:r w:rsidRPr="004171C9">
        <w:rPr>
          <w:rFonts w:cs="FrankRuehl"/>
          <w:szCs w:val="26"/>
          <w:rtl/>
        </w:rPr>
        <w:t>הליכי פשיטת רגל</w:t>
      </w:r>
      <w:r w:rsidRPr="004171C9">
        <w:rPr>
          <w:rFonts w:cs="FrankRuehl" w:hint="cs"/>
          <w:szCs w:val="26"/>
          <w:rtl/>
        </w:rPr>
        <w:t xml:space="preserve"> </w:t>
      </w:r>
      <w:r w:rsidRPr="004171C9">
        <w:rPr>
          <w:rFonts w:cs="FrankRuehl"/>
          <w:szCs w:val="26"/>
          <w:rtl/>
        </w:rPr>
        <w:t>–</w:t>
      </w:r>
      <w:r w:rsidRPr="004171C9">
        <w:rPr>
          <w:rFonts w:cs="FrankRuehl" w:hint="cs"/>
          <w:szCs w:val="26"/>
          <w:rtl/>
        </w:rPr>
        <w:t xml:space="preserve"> ביטולם</w:t>
      </w:r>
    </w:p>
    <w:p w14:paraId="624A7E50"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Pr>
          <w:rFonts w:cs="FrankRuehl" w:hint="cs"/>
          <w:szCs w:val="26"/>
          <w:rtl/>
        </w:rPr>
        <w:t xml:space="preserve">* </w:t>
      </w:r>
      <w:r w:rsidRPr="004171C9">
        <w:rPr>
          <w:rFonts w:cs="FrankRuehl"/>
          <w:szCs w:val="26"/>
          <w:rtl/>
        </w:rPr>
        <w:t>פשיטת רגל</w:t>
      </w:r>
      <w:r w:rsidRPr="004171C9">
        <w:rPr>
          <w:rFonts w:cs="FrankRuehl" w:hint="cs"/>
          <w:szCs w:val="26"/>
          <w:rtl/>
        </w:rPr>
        <w:t xml:space="preserve"> </w:t>
      </w:r>
      <w:r w:rsidRPr="004171C9">
        <w:rPr>
          <w:rFonts w:cs="FrankRuehl"/>
          <w:szCs w:val="26"/>
          <w:rtl/>
        </w:rPr>
        <w:t>–</w:t>
      </w:r>
      <w:r w:rsidRPr="004171C9">
        <w:rPr>
          <w:rFonts w:cs="FrankRuehl" w:hint="cs"/>
          <w:szCs w:val="26"/>
          <w:rtl/>
        </w:rPr>
        <w:t xml:space="preserve"> </w:t>
      </w:r>
      <w:r w:rsidRPr="004171C9">
        <w:rPr>
          <w:rFonts w:cs="FrankRuehl"/>
          <w:szCs w:val="26"/>
          <w:rtl/>
        </w:rPr>
        <w:t>הליכי פשיטת רגל</w:t>
      </w:r>
      <w:r w:rsidRPr="004171C9">
        <w:rPr>
          <w:rFonts w:cs="FrankRuehl" w:hint="cs"/>
          <w:szCs w:val="26"/>
          <w:rtl/>
        </w:rPr>
        <w:t xml:space="preserve"> </w:t>
      </w:r>
      <w:r w:rsidRPr="004171C9">
        <w:rPr>
          <w:rFonts w:cs="FrankRuehl"/>
          <w:szCs w:val="26"/>
          <w:rtl/>
        </w:rPr>
        <w:t>–</w:t>
      </w:r>
      <w:r w:rsidRPr="004171C9">
        <w:rPr>
          <w:rFonts w:cs="FrankRuehl" w:hint="cs"/>
          <w:szCs w:val="26"/>
          <w:rtl/>
        </w:rPr>
        <w:t xml:space="preserve"> חובת תום הלב</w:t>
      </w:r>
    </w:p>
    <w:p w14:paraId="5EDCA345"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Pr>
          <w:rFonts w:cs="FrankRuehl" w:hint="cs"/>
          <w:szCs w:val="26"/>
          <w:rtl/>
        </w:rPr>
        <w:t>.</w:t>
      </w:r>
    </w:p>
    <w:p w14:paraId="51707099"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sidRPr="004171C9">
        <w:rPr>
          <w:rFonts w:cs="FrankRuehl"/>
          <w:szCs w:val="26"/>
          <w:rtl/>
        </w:rPr>
        <w:t>בקשת הנושה העיקרי של החייב לביטול ההליך. השאלה שעל הפרק היא, האם יש לכפות על הנושים המשך הליכי פשיטת רגל שנפתחו לפי בקשת החייב, או שמא יש לאפשר ל</w:t>
      </w:r>
      <w:r w:rsidRPr="004171C9">
        <w:rPr>
          <w:rFonts w:cs="FrankRuehl" w:hint="cs"/>
          <w:szCs w:val="26"/>
          <w:rtl/>
        </w:rPr>
        <w:t>ה</w:t>
      </w:r>
      <w:r w:rsidRPr="004171C9">
        <w:rPr>
          <w:rFonts w:cs="FrankRuehl"/>
          <w:szCs w:val="26"/>
          <w:rtl/>
        </w:rPr>
        <w:t>ם לנקוט בהליכי חדלות פירעון לפי חוק חדלות פירעון.</w:t>
      </w:r>
    </w:p>
    <w:p w14:paraId="619C71F3" w14:textId="77777777" w:rsidR="00C95C7F" w:rsidRDefault="00000000" w:rsidP="00C95C7F">
      <w:pPr>
        <w:pBdr>
          <w:top w:val="single" w:sz="4" w:space="1" w:color="auto"/>
          <w:bottom w:val="single" w:sz="4" w:space="1" w:color="auto"/>
        </w:pBdr>
        <w:spacing w:after="120" w:line="320" w:lineRule="exact"/>
        <w:jc w:val="both"/>
        <w:rPr>
          <w:rFonts w:cs="FrankRuehl"/>
          <w:szCs w:val="26"/>
          <w:rtl/>
        </w:rPr>
      </w:pPr>
      <w:r>
        <w:rPr>
          <w:rFonts w:cs="FrankRuehl" w:hint="cs"/>
          <w:szCs w:val="26"/>
          <w:rtl/>
        </w:rPr>
        <w:t>.</w:t>
      </w:r>
    </w:p>
    <w:p w14:paraId="49CC6559"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sidRPr="004171C9">
        <w:rPr>
          <w:rFonts w:cs="FrankRuehl"/>
          <w:szCs w:val="26"/>
          <w:rtl/>
        </w:rPr>
        <w:t>בית המשפט המחוזי עתר לבקשה ופסק:</w:t>
      </w:r>
    </w:p>
    <w:p w14:paraId="4158DAA7"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Pr>
      </w:pPr>
      <w:r w:rsidRPr="004171C9">
        <w:rPr>
          <w:rFonts w:cs="FrankRuehl"/>
          <w:szCs w:val="26"/>
          <w:rtl/>
        </w:rPr>
        <w:t xml:space="preserve">כאשר מדובר בהליך שנפתח לפי בקשת חייב, ההחלטה בשאלת ביטול ההליך מורכבת משני שלבים. השלב הראשון, בחינת התנהלות החייב והאם הוא זכאי להכרזתו כפושט רגל. ככל שהמענה לשאלה זו שלילי, דין ההליך להתבטל. עם זאת, גם במקום בו נמצא כי חייב התנהל בחוסר תום לב המצדיק ביטול ההליך, עדיין יש לבחון שאלה נוספת, הנוגעת לאינטרס הנושים בהמשך ההליך ולתועלת שיכולה לצמוח לנושים מהמשך </w:t>
      </w:r>
      <w:r w:rsidRPr="004171C9">
        <w:rPr>
          <w:rFonts w:cs="FrankRuehl"/>
          <w:szCs w:val="26"/>
          <w:rtl/>
        </w:rPr>
        <w:lastRenderedPageBreak/>
        <w:t xml:space="preserve">ההליך. ככל שנמצא כי החייב לא פעל בתום לב בנסיבות המצדיקות ביטול ההליך, אז מקבלת שאלת התועלת לנושים מעמד בכורה בבחינת המשך ניהול ההליך. החובה המוטלת על חייב בהליך פשיטת רגל לנהוג בתום לב משתרעת על פני שתי תקופות:  התקופה בה נוצרו חובותיו והתקופה בה מתנהל הליך פשיטת הרגל בעניינו. </w:t>
      </w:r>
    </w:p>
    <w:p w14:paraId="08C911E9" w14:textId="77777777" w:rsidR="00C95C7F" w:rsidRPr="004171C9" w:rsidRDefault="00000000" w:rsidP="00C95C7F">
      <w:pPr>
        <w:pBdr>
          <w:top w:val="single" w:sz="4" w:space="1" w:color="auto"/>
          <w:bottom w:val="single" w:sz="4" w:space="1" w:color="auto"/>
        </w:pBdr>
        <w:spacing w:after="120" w:line="320" w:lineRule="exact"/>
        <w:jc w:val="both"/>
        <w:rPr>
          <w:rFonts w:cs="FrankRuehl"/>
          <w:szCs w:val="26"/>
          <w:rtl/>
        </w:rPr>
      </w:pPr>
      <w:r w:rsidRPr="004171C9">
        <w:rPr>
          <w:rFonts w:cs="FrankRuehl"/>
          <w:szCs w:val="26"/>
          <w:rtl/>
        </w:rPr>
        <w:t>במקרה זה, לצד הטענות כבדות המשקל בנוגע להתנהלות החייב ביצירת החובות והברחת נכסים, החייב לא שילם מאומה משך תקופה ארוכה מאד, ומחדל מתמשך זה, לצד המחדל הנובע מהעדר הגשת דוחות כלכליים מסודרים ומהימנים, יש בו להביא לביטול ההליך. במצב דברים זה אין מקום לכפות על הנושים להמשיך בניהול הליך פשיטת רגל שנפתח לפי בקשת החייב, במסגרתו פועל החייב בחוסר תום לב ותוך התנערות מחובותיו הבסיסיות בהליך, כאשר העמדה המובילה והמכרעת של הנושים מלמדת על עדיפות לביטול ההליך לצורך מתן אפשרות לנקיטה בהליך משפטי חלופי העומד לזכותם. נוכח האמור יש להורות על ביטול ההליכים.</w:t>
      </w:r>
    </w:p>
    <w:p w14:paraId="24C0D7EF" w14:textId="77777777" w:rsidR="00C95C7F" w:rsidRPr="00900120" w:rsidRDefault="00C95C7F" w:rsidP="00900120">
      <w:pPr>
        <w:jc w:val="center"/>
        <w:rPr>
          <w:rFonts w:ascii="Arial" w:hAnsi="Arial"/>
          <w:noProof w:val="0"/>
          <w:sz w:val="28"/>
          <w:szCs w:val="28"/>
          <w:rtl/>
        </w:rPr>
      </w:pPr>
      <w:bookmarkStart w:id="5" w:name="ABSTRACT_END"/>
      <w:bookmarkEnd w:id="5"/>
    </w:p>
    <w:p w14:paraId="1528BFD2" w14:textId="77777777" w:rsidR="002F7B1C" w:rsidRPr="001D022A" w:rsidRDefault="00000000" w:rsidP="001D022A">
      <w:pPr>
        <w:bidi w:val="0"/>
        <w:jc w:val="center"/>
        <w:rPr>
          <w:rFonts w:ascii="Arial" w:hAnsi="Arial"/>
          <w:b/>
          <w:bCs/>
          <w:noProof w:val="0"/>
          <w:sz w:val="28"/>
          <w:szCs w:val="28"/>
          <w:u w:val="single"/>
          <w:rtl/>
        </w:rPr>
      </w:pPr>
      <w:bookmarkStart w:id="6" w:name="PsakDin"/>
      <w:r w:rsidRPr="001D022A">
        <w:rPr>
          <w:rFonts w:ascii="Arial" w:hAnsi="Arial"/>
          <w:b/>
          <w:bCs/>
          <w:noProof w:val="0"/>
          <w:sz w:val="28"/>
          <w:szCs w:val="28"/>
          <w:u w:val="single"/>
          <w:rtl/>
        </w:rPr>
        <w:t>פסק דין</w:t>
      </w:r>
    </w:p>
    <w:bookmarkEnd w:id="6"/>
    <w:p w14:paraId="5753A684" w14:textId="77777777" w:rsidR="002F7B1C" w:rsidRPr="00360006" w:rsidRDefault="002F7B1C" w:rsidP="00360006">
      <w:pPr>
        <w:bidi w:val="0"/>
        <w:jc w:val="center"/>
        <w:rPr>
          <w:rFonts w:ascii="Arial" w:hAnsi="Arial"/>
          <w:b/>
          <w:bCs/>
          <w:noProof w:val="0"/>
          <w:sz w:val="28"/>
          <w:szCs w:val="28"/>
          <w:u w:val="single"/>
        </w:rPr>
      </w:pPr>
    </w:p>
    <w:bookmarkEnd w:id="0"/>
    <w:p w14:paraId="3F27FDE1" w14:textId="77777777" w:rsidR="00360006" w:rsidRPr="00160558" w:rsidRDefault="00000000" w:rsidP="00360006">
      <w:pPr>
        <w:spacing w:line="360" w:lineRule="auto"/>
        <w:jc w:val="both"/>
        <w:rPr>
          <w:rFonts w:ascii="Arial" w:hAnsi="Arial"/>
          <w:noProof w:val="0"/>
          <w:u w:val="single"/>
          <w:rtl/>
        </w:rPr>
      </w:pPr>
      <w:r w:rsidRPr="00160558">
        <w:rPr>
          <w:rFonts w:ascii="Arial" w:hAnsi="Arial" w:hint="cs"/>
          <w:noProof w:val="0"/>
          <w:u w:val="single"/>
          <w:rtl/>
        </w:rPr>
        <w:t>הליך פשיטת הרגל</w:t>
      </w:r>
    </w:p>
    <w:p w14:paraId="7C43781A" w14:textId="77777777" w:rsidR="00360006" w:rsidRDefault="00360006" w:rsidP="00360006">
      <w:pPr>
        <w:spacing w:line="360" w:lineRule="auto"/>
        <w:jc w:val="both"/>
        <w:rPr>
          <w:rFonts w:ascii="Arial" w:hAnsi="Arial"/>
          <w:noProof w:val="0"/>
          <w:rtl/>
        </w:rPr>
      </w:pPr>
    </w:p>
    <w:p w14:paraId="436375B5" w14:textId="77777777" w:rsidR="00360006" w:rsidRDefault="00000000" w:rsidP="00360006">
      <w:pPr>
        <w:spacing w:line="360" w:lineRule="auto"/>
        <w:jc w:val="both"/>
        <w:rPr>
          <w:rFonts w:ascii="Arial" w:hAnsi="Arial"/>
          <w:noProof w:val="0"/>
          <w:rtl/>
        </w:rPr>
      </w:pPr>
      <w:r>
        <w:rPr>
          <w:rFonts w:ascii="Arial" w:hAnsi="Arial" w:hint="cs"/>
          <w:noProof w:val="0"/>
          <w:rtl/>
        </w:rPr>
        <w:t>ביום 4.2.2019 ניתן צו לכינוס נכסי החייב, לפי בקשתו.</w:t>
      </w:r>
    </w:p>
    <w:p w14:paraId="59A768C2" w14:textId="77777777" w:rsidR="00360006" w:rsidRDefault="00360006" w:rsidP="00360006">
      <w:pPr>
        <w:spacing w:line="360" w:lineRule="auto"/>
        <w:jc w:val="both"/>
        <w:rPr>
          <w:rFonts w:ascii="Arial" w:hAnsi="Arial"/>
          <w:noProof w:val="0"/>
          <w:rtl/>
        </w:rPr>
      </w:pPr>
    </w:p>
    <w:p w14:paraId="066AC9AD"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נגד החייב הוגשו 33 תביעות חוב </w:t>
      </w:r>
      <w:r w:rsidRPr="00C716C3">
        <w:rPr>
          <w:rFonts w:ascii="Arial" w:hAnsi="Arial" w:hint="cs"/>
          <w:b/>
          <w:bCs/>
          <w:noProof w:val="0"/>
          <w:rtl/>
        </w:rPr>
        <w:t>בסך כולל של 14,767,820 ₪</w:t>
      </w:r>
      <w:r>
        <w:rPr>
          <w:rFonts w:ascii="Arial" w:hAnsi="Arial" w:hint="cs"/>
          <w:noProof w:val="0"/>
          <w:rtl/>
        </w:rPr>
        <w:t>.</w:t>
      </w:r>
    </w:p>
    <w:p w14:paraId="49C7943D" w14:textId="77777777" w:rsidR="00360006" w:rsidRDefault="00360006" w:rsidP="00360006">
      <w:pPr>
        <w:spacing w:line="360" w:lineRule="auto"/>
        <w:jc w:val="both"/>
        <w:rPr>
          <w:rFonts w:ascii="Arial" w:hAnsi="Arial"/>
          <w:noProof w:val="0"/>
          <w:rtl/>
        </w:rPr>
      </w:pPr>
    </w:p>
    <w:p w14:paraId="088ED050" w14:textId="77777777" w:rsidR="00360006" w:rsidRDefault="00000000" w:rsidP="00360006">
      <w:pPr>
        <w:spacing w:line="360" w:lineRule="auto"/>
        <w:jc w:val="both"/>
        <w:rPr>
          <w:rFonts w:ascii="Arial" w:hAnsi="Arial"/>
          <w:noProof w:val="0"/>
          <w:rtl/>
        </w:rPr>
      </w:pPr>
      <w:r>
        <w:rPr>
          <w:rFonts w:ascii="Arial" w:hAnsi="Arial" w:hint="cs"/>
          <w:noProof w:val="0"/>
          <w:rtl/>
        </w:rPr>
        <w:t>החייב הגיש דוחות באופן חלקי בלבד, כאשר הדוחות הוגשו בצירוף אסמכתאות חלקיות. החייב מדווח כי הוא אינו עובד, וזאת ללא מתן הסבר מניח את הדעת.</w:t>
      </w:r>
    </w:p>
    <w:p w14:paraId="69DA52F8" w14:textId="77777777" w:rsidR="00360006" w:rsidRDefault="00360006" w:rsidP="00360006">
      <w:pPr>
        <w:spacing w:line="360" w:lineRule="auto"/>
        <w:jc w:val="both"/>
        <w:rPr>
          <w:rFonts w:ascii="Arial" w:hAnsi="Arial"/>
          <w:noProof w:val="0"/>
          <w:rtl/>
        </w:rPr>
      </w:pPr>
    </w:p>
    <w:p w14:paraId="77ADDFFD"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מתחילת ההליך, החייב לא עמד בצו התשלומים שהוטל עליו. כך, מתחילת ההליך שילם החייב תשלומים חודשיים בודדים המסתכמים בסך שך 9,750 ₪, כאשר סכום התשלומים שהיה עליו לשלם מתחילת הליך ועד לחודש 11/2023 (מועד הגשת התסקיר) עמד על סך של 206,000 ₪, כך שעד לחודש 11/2023 צבר החייב </w:t>
      </w:r>
      <w:r w:rsidRPr="00503E75">
        <w:rPr>
          <w:rFonts w:ascii="Arial" w:hAnsi="Arial" w:hint="cs"/>
          <w:b/>
          <w:bCs/>
          <w:noProof w:val="0"/>
          <w:rtl/>
        </w:rPr>
        <w:t>חוב פיגורים בגין 49 חודשים המסתכם בסך של 196,250 ₪.</w:t>
      </w:r>
      <w:r>
        <w:rPr>
          <w:rFonts w:ascii="Arial" w:hAnsi="Arial" w:hint="cs"/>
          <w:noProof w:val="0"/>
          <w:rtl/>
        </w:rPr>
        <w:t xml:space="preserve"> בהעדר דיווח על תשלומים נוספים, הרי שעד כה צמח חוב הפיגורים אף לסכום גבוה יותר מהסכום האמור, </w:t>
      </w:r>
      <w:r w:rsidRPr="00650D9F">
        <w:rPr>
          <w:rFonts w:ascii="Arial" w:hAnsi="Arial" w:hint="cs"/>
          <w:b/>
          <w:bCs/>
          <w:noProof w:val="0"/>
          <w:rtl/>
        </w:rPr>
        <w:t xml:space="preserve">בסך של </w:t>
      </w:r>
      <w:r>
        <w:rPr>
          <w:rFonts w:ascii="Arial" w:hAnsi="Arial" w:hint="cs"/>
          <w:b/>
          <w:bCs/>
          <w:noProof w:val="0"/>
          <w:rtl/>
        </w:rPr>
        <w:t>למעלה מ</w:t>
      </w:r>
      <w:r w:rsidRPr="00650D9F">
        <w:rPr>
          <w:rFonts w:ascii="Arial" w:hAnsi="Arial" w:hint="cs"/>
          <w:b/>
          <w:bCs/>
          <w:noProof w:val="0"/>
          <w:rtl/>
        </w:rPr>
        <w:t>- 200,0</w:t>
      </w:r>
      <w:r>
        <w:rPr>
          <w:rFonts w:ascii="Arial" w:hAnsi="Arial" w:hint="cs"/>
          <w:b/>
          <w:bCs/>
          <w:noProof w:val="0"/>
          <w:rtl/>
        </w:rPr>
        <w:t>0</w:t>
      </w:r>
      <w:r w:rsidRPr="00650D9F">
        <w:rPr>
          <w:rFonts w:ascii="Arial" w:hAnsi="Arial" w:hint="cs"/>
          <w:b/>
          <w:bCs/>
          <w:noProof w:val="0"/>
          <w:rtl/>
        </w:rPr>
        <w:t>0 ₪.</w:t>
      </w:r>
    </w:p>
    <w:p w14:paraId="6476DC54" w14:textId="77777777" w:rsidR="00360006" w:rsidRDefault="00360006" w:rsidP="00360006">
      <w:pPr>
        <w:spacing w:line="360" w:lineRule="auto"/>
        <w:jc w:val="both"/>
        <w:rPr>
          <w:rFonts w:ascii="Arial" w:hAnsi="Arial"/>
          <w:noProof w:val="0"/>
          <w:rtl/>
        </w:rPr>
      </w:pPr>
    </w:p>
    <w:p w14:paraId="3EEF6040" w14:textId="77777777" w:rsidR="00360006" w:rsidRDefault="00000000" w:rsidP="00360006">
      <w:pPr>
        <w:spacing w:line="360" w:lineRule="auto"/>
        <w:jc w:val="both"/>
        <w:rPr>
          <w:rFonts w:ascii="Arial" w:hAnsi="Arial"/>
          <w:noProof w:val="0"/>
          <w:rtl/>
        </w:rPr>
      </w:pPr>
      <w:r>
        <w:rPr>
          <w:rFonts w:ascii="Arial" w:hAnsi="Arial" w:hint="cs"/>
          <w:noProof w:val="0"/>
          <w:rtl/>
        </w:rPr>
        <w:t>הנה כי כן, החייב התנער באופן גורף מחובותיו בהליך ובעיקר מהחובה שהוטלה עליו לפי צו התשלומים. בדרך הדברים הרגילה, היה ההליך מבוטל כבר לפני זמן רב וזאת נוכח המחדלים הכבדים שצבר החייב, המלמדים על ניצול לרעה של ההליך.</w:t>
      </w:r>
    </w:p>
    <w:p w14:paraId="004C5A02" w14:textId="77777777" w:rsidR="00360006" w:rsidRDefault="00360006" w:rsidP="00360006">
      <w:pPr>
        <w:spacing w:line="360" w:lineRule="auto"/>
        <w:jc w:val="both"/>
        <w:rPr>
          <w:rFonts w:ascii="Arial" w:hAnsi="Arial"/>
          <w:noProof w:val="0"/>
          <w:rtl/>
        </w:rPr>
      </w:pPr>
    </w:p>
    <w:p w14:paraId="0C25C1A4" w14:textId="77777777" w:rsidR="00360006" w:rsidRDefault="00000000" w:rsidP="00360006">
      <w:pPr>
        <w:spacing w:line="360" w:lineRule="auto"/>
        <w:jc w:val="both"/>
        <w:rPr>
          <w:rFonts w:ascii="Arial" w:hAnsi="Arial"/>
          <w:noProof w:val="0"/>
          <w:rtl/>
        </w:rPr>
      </w:pPr>
      <w:r>
        <w:rPr>
          <w:rFonts w:ascii="Arial" w:hAnsi="Arial" w:hint="cs"/>
          <w:noProof w:val="0"/>
          <w:rtl/>
        </w:rPr>
        <w:t>ההליך לא בוטל אך משום שלחייב זכויות בנכס מקרקעין, משק במושב גבעתי. לחייב ולאשתו זכויות חכירה בנכס, ולחייב מחצית מהזכויות. לפי חוות דעת שמאי שהוגשה לתיק, שווי הזכויות בנכס הוערך בסך של 3,070,000 ₪. בניכוי עלויות הסדרת רישוי או הריסת מבנים בחריגה, הוערך שווי הזכויות בנכס בסך של 3,000,000 ₪. על הנכס רובצת משכנתא, כאשר יתרת החוב המובטח עומדת על סך של 534,530 ₪. המנהל המיוחד מציין בתסקיר שהוגש, כי אחת ההלוואות, בסך של 121,016 ₪, ניטלה על ידי החייב במסגרת ההליך והחייב לא מסר הסבר לגבי כך.</w:t>
      </w:r>
    </w:p>
    <w:p w14:paraId="1F826BED" w14:textId="77777777" w:rsidR="00360006" w:rsidRDefault="00360006" w:rsidP="00360006">
      <w:pPr>
        <w:spacing w:line="360" w:lineRule="auto"/>
        <w:jc w:val="both"/>
        <w:rPr>
          <w:rFonts w:ascii="Arial" w:hAnsi="Arial"/>
          <w:noProof w:val="0"/>
          <w:rtl/>
        </w:rPr>
      </w:pPr>
    </w:p>
    <w:p w14:paraId="69731F8E" w14:textId="77777777" w:rsidR="00360006" w:rsidRPr="00160558" w:rsidRDefault="00000000" w:rsidP="00360006">
      <w:pPr>
        <w:spacing w:line="360" w:lineRule="auto"/>
        <w:jc w:val="both"/>
        <w:rPr>
          <w:rFonts w:ascii="Arial" w:hAnsi="Arial"/>
          <w:noProof w:val="0"/>
          <w:u w:val="single"/>
          <w:rtl/>
        </w:rPr>
      </w:pPr>
      <w:r>
        <w:rPr>
          <w:rFonts w:ascii="Arial" w:hAnsi="Arial" w:hint="cs"/>
          <w:noProof w:val="0"/>
          <w:u w:val="single"/>
          <w:rtl/>
        </w:rPr>
        <w:t>בקשת בנק דיסקונט לביטול ההליך</w:t>
      </w:r>
    </w:p>
    <w:p w14:paraId="008E6B96" w14:textId="77777777" w:rsidR="00360006" w:rsidRDefault="00360006" w:rsidP="00360006">
      <w:pPr>
        <w:spacing w:line="360" w:lineRule="auto"/>
        <w:jc w:val="both"/>
        <w:rPr>
          <w:rFonts w:ascii="Arial" w:hAnsi="Arial"/>
          <w:noProof w:val="0"/>
          <w:rtl/>
        </w:rPr>
      </w:pPr>
    </w:p>
    <w:p w14:paraId="72C1FEF4" w14:textId="77777777" w:rsidR="00360006" w:rsidRPr="00FB333B" w:rsidRDefault="00000000" w:rsidP="00360006">
      <w:pPr>
        <w:spacing w:line="360" w:lineRule="auto"/>
        <w:jc w:val="both"/>
        <w:rPr>
          <w:rFonts w:ascii="Arial" w:hAnsi="Arial"/>
          <w:noProof w:val="0"/>
          <w:rtl/>
        </w:rPr>
      </w:pPr>
      <w:r>
        <w:rPr>
          <w:rFonts w:ascii="Arial" w:hAnsi="Arial" w:hint="cs"/>
          <w:noProof w:val="0"/>
          <w:rtl/>
        </w:rPr>
        <w:t xml:space="preserve">הנושה, בנק דיסקונט, הוא נושה עיקרי של החייב. בנק דיסקונט הגיש מספר </w:t>
      </w:r>
      <w:r w:rsidRPr="00FB333B">
        <w:rPr>
          <w:rFonts w:ascii="Arial" w:hAnsi="Arial" w:hint="cs"/>
          <w:noProof w:val="0"/>
          <w:rtl/>
        </w:rPr>
        <w:t>תביעות חוב העומדות על סך של 4,091,424 ₪.</w:t>
      </w:r>
    </w:p>
    <w:p w14:paraId="175ECFF4" w14:textId="77777777" w:rsidR="00360006" w:rsidRDefault="00360006" w:rsidP="00360006">
      <w:pPr>
        <w:spacing w:line="360" w:lineRule="auto"/>
        <w:jc w:val="both"/>
        <w:rPr>
          <w:rFonts w:ascii="Arial" w:hAnsi="Arial"/>
          <w:noProof w:val="0"/>
          <w:rtl/>
        </w:rPr>
      </w:pPr>
    </w:p>
    <w:p w14:paraId="2B5C85A7" w14:textId="77777777" w:rsidR="00360006" w:rsidRDefault="00000000" w:rsidP="00360006">
      <w:pPr>
        <w:spacing w:line="360" w:lineRule="auto"/>
        <w:jc w:val="both"/>
        <w:rPr>
          <w:rFonts w:ascii="Arial" w:hAnsi="Arial"/>
          <w:noProof w:val="0"/>
          <w:rtl/>
        </w:rPr>
      </w:pPr>
      <w:r>
        <w:rPr>
          <w:rFonts w:ascii="Arial" w:hAnsi="Arial" w:hint="cs"/>
          <w:noProof w:val="0"/>
          <w:rtl/>
        </w:rPr>
        <w:t>נוכח מחדליו הכבדים של החייב בהליך, בנק דיסקונט הגיש בקשה לביטול ההליך. בבקשה לביטול ההליך, וכן בבקשות החוזרות שהוגשו מטעם בנק דיסקונט בעניין זה, נטען כי החייב יצר את החובות כלפי הבנק במרמה ובהתנהלות העולה כדי חוסר תום לב כבד. נטען, כי מעבר לחוסר תום הלב ביצירת החובות, גם לאחר הקריסה הכלכלית של החייב הוא פעל בחוסר תום לב כאשר העלים ציוד רב ויקר ערך המשועבד לבנק כבטוחה להבטחת החוב ובכך מנע מהבנק האפשרות להיפרע ולו חלק מהחוב.</w:t>
      </w:r>
    </w:p>
    <w:p w14:paraId="1780327C" w14:textId="77777777" w:rsidR="00360006" w:rsidRDefault="00360006" w:rsidP="00360006">
      <w:pPr>
        <w:spacing w:line="360" w:lineRule="auto"/>
        <w:jc w:val="both"/>
        <w:rPr>
          <w:rFonts w:ascii="Arial" w:hAnsi="Arial"/>
          <w:noProof w:val="0"/>
          <w:rtl/>
        </w:rPr>
      </w:pPr>
    </w:p>
    <w:p w14:paraId="2C1D7838" w14:textId="77777777" w:rsidR="00360006" w:rsidRDefault="00000000" w:rsidP="00360006">
      <w:pPr>
        <w:spacing w:line="360" w:lineRule="auto"/>
        <w:jc w:val="both"/>
        <w:rPr>
          <w:rFonts w:ascii="Arial" w:hAnsi="Arial"/>
          <w:noProof w:val="0"/>
          <w:rtl/>
        </w:rPr>
      </w:pPr>
      <w:r>
        <w:rPr>
          <w:rFonts w:ascii="Arial" w:hAnsi="Arial" w:hint="cs"/>
          <w:noProof w:val="0"/>
          <w:rtl/>
        </w:rPr>
        <w:t>עוד נטען כי גם כיום החייב פועל בחוסר תום לב, אינו מקיים חובותיו בהליך, וככל הנראה ממשיך להפעיל את עסקיו באמצעות בני משפחה. כאמור, חרף החובות הכבדים, החייב נמנע מלשלם את צו התשלומים וצבר חוב פיגורים בסך של מעל 200,000 ₪ ואף הדוחות שהגיש, לא הוגשו באופן סדיר ואינם מספקים מידע אמיתי אודות פעילותו והכנסותיו.</w:t>
      </w:r>
    </w:p>
    <w:p w14:paraId="0199C687" w14:textId="77777777" w:rsidR="00360006" w:rsidRDefault="00360006" w:rsidP="00360006">
      <w:pPr>
        <w:spacing w:line="360" w:lineRule="auto"/>
        <w:jc w:val="both"/>
        <w:rPr>
          <w:rFonts w:ascii="Arial" w:hAnsi="Arial"/>
          <w:noProof w:val="0"/>
          <w:rtl/>
        </w:rPr>
      </w:pPr>
    </w:p>
    <w:p w14:paraId="0361D5C7" w14:textId="77777777" w:rsidR="00360006" w:rsidRPr="004602EE" w:rsidRDefault="00000000" w:rsidP="00360006">
      <w:pPr>
        <w:spacing w:line="360" w:lineRule="auto"/>
        <w:jc w:val="both"/>
        <w:rPr>
          <w:rFonts w:ascii="Arial" w:hAnsi="Arial"/>
          <w:noProof w:val="0"/>
          <w:rtl/>
        </w:rPr>
      </w:pPr>
      <w:r>
        <w:rPr>
          <w:rFonts w:ascii="Arial" w:hAnsi="Arial" w:hint="cs"/>
          <w:noProof w:val="0"/>
          <w:rtl/>
        </w:rPr>
        <w:t xml:space="preserve">בנק דיסקונט מבקש לבטל את ההליך ולאפשר לנושים לנקוט בהליך </w:t>
      </w:r>
      <w:r w:rsidRPr="004602EE">
        <w:rPr>
          <w:rFonts w:ascii="Arial" w:hAnsi="Arial" w:hint="cs"/>
          <w:noProof w:val="0"/>
          <w:rtl/>
        </w:rPr>
        <w:t xml:space="preserve">לפי </w:t>
      </w:r>
      <w:hyperlink r:id="rId9" w:history="1">
        <w:r w:rsidR="001D022A" w:rsidRPr="001D022A">
          <w:rPr>
            <w:rFonts w:ascii="Arial" w:hAnsi="Arial"/>
            <w:noProof w:val="0"/>
            <w:color w:val="0000FF"/>
            <w:u w:val="single"/>
            <w:rtl/>
          </w:rPr>
          <w:t>חוק חדלות פירעון ושיקום כלכלי, תשע"ח-2018</w:t>
        </w:r>
      </w:hyperlink>
      <w:r w:rsidRPr="004602EE">
        <w:rPr>
          <w:rFonts w:ascii="Arial" w:hAnsi="Arial"/>
          <w:noProof w:val="0"/>
          <w:rtl/>
        </w:rPr>
        <w:t xml:space="preserve"> (להלן - חוק חדלות פירעון)</w:t>
      </w:r>
      <w:r>
        <w:rPr>
          <w:rFonts w:ascii="Arial" w:hAnsi="Arial" w:hint="cs"/>
          <w:noProof w:val="0"/>
          <w:rtl/>
        </w:rPr>
        <w:t>, מאחר ולעמדתו הליך כאמור יאפשר גביית סכום גבוה יותר.</w:t>
      </w:r>
      <w:r w:rsidRPr="004602EE">
        <w:rPr>
          <w:rFonts w:ascii="Arial" w:hAnsi="Arial" w:hint="cs"/>
          <w:noProof w:val="0"/>
          <w:rtl/>
        </w:rPr>
        <w:t xml:space="preserve"> </w:t>
      </w:r>
    </w:p>
    <w:p w14:paraId="5B52F7A1" w14:textId="77777777" w:rsidR="00360006" w:rsidRDefault="00360006" w:rsidP="00360006">
      <w:pPr>
        <w:spacing w:line="360" w:lineRule="auto"/>
        <w:jc w:val="both"/>
        <w:rPr>
          <w:rFonts w:ascii="Arial" w:hAnsi="Arial"/>
          <w:noProof w:val="0"/>
          <w:rtl/>
        </w:rPr>
      </w:pPr>
    </w:p>
    <w:p w14:paraId="18F2B3A4"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בתגובה לבקשת בנק דיסקונט לביטול ההליך טען החייב, כי הוא מעונין להישאר בהליך פשיטת הרגל ואף הגיש בקשה למתן הפטר במסגרתה הציג הצעה לפדיון זכויותיו בנכס ולצורך קבלת הפטר. החייב הכחיש טענות הבנק לגבי נסיבות יצירת החוב וכן את הטענה לפיה הבריח ציוד רב שהיה משועבד לטובת הבנק. לטענת החייב, אין מקום לנקוט בצעד דראסטי של ביטול ההליך, ובפרט כאשר הדבר ייפגע בנושים אשר מעוניינים לסיים הליך ולקבל דיבידנד. החייב טען כי בשל מצבו הנפשי הוא אינו עובד ועל כן לא יכול היה לעמוד בתשלום החודשי שהוטל עליו. </w:t>
      </w:r>
    </w:p>
    <w:p w14:paraId="31E24E21" w14:textId="77777777" w:rsidR="00360006" w:rsidRDefault="00360006" w:rsidP="00360006">
      <w:pPr>
        <w:spacing w:line="360" w:lineRule="auto"/>
        <w:jc w:val="both"/>
        <w:rPr>
          <w:rFonts w:ascii="Arial" w:hAnsi="Arial"/>
          <w:noProof w:val="0"/>
          <w:rtl/>
        </w:rPr>
      </w:pPr>
    </w:p>
    <w:p w14:paraId="51DC20A1" w14:textId="77777777" w:rsidR="00360006" w:rsidRDefault="00000000" w:rsidP="00360006">
      <w:pPr>
        <w:spacing w:line="360" w:lineRule="auto"/>
        <w:jc w:val="both"/>
        <w:rPr>
          <w:rFonts w:ascii="Arial" w:hAnsi="Arial"/>
          <w:noProof w:val="0"/>
          <w:rtl/>
        </w:rPr>
      </w:pPr>
      <w:r>
        <w:rPr>
          <w:rFonts w:ascii="Arial" w:hAnsi="Arial" w:hint="cs"/>
          <w:noProof w:val="0"/>
          <w:rtl/>
        </w:rPr>
        <w:t>המנהל המיוחד ביקש שלא לבטל ההליך, אלא לאפשר למנהל המיוחד לנהל משא ומתן עם החייב בניסיון לגבש מתווה לפדיון זכויות בנכס, אשר ייתכן ויאפשר הותרת ההליך תחת ביטולו.</w:t>
      </w:r>
    </w:p>
    <w:p w14:paraId="04DC95C3" w14:textId="77777777" w:rsidR="00360006" w:rsidRDefault="00360006" w:rsidP="00360006">
      <w:pPr>
        <w:spacing w:line="360" w:lineRule="auto"/>
        <w:jc w:val="both"/>
        <w:rPr>
          <w:rFonts w:ascii="Arial" w:hAnsi="Arial"/>
          <w:noProof w:val="0"/>
          <w:rtl/>
        </w:rPr>
      </w:pPr>
    </w:p>
    <w:p w14:paraId="1D6A0214" w14:textId="77777777" w:rsidR="00360006" w:rsidRDefault="00000000" w:rsidP="00360006">
      <w:pPr>
        <w:spacing w:line="360" w:lineRule="auto"/>
        <w:jc w:val="both"/>
        <w:rPr>
          <w:rFonts w:ascii="Arial" w:hAnsi="Arial"/>
          <w:noProof w:val="0"/>
          <w:u w:val="single"/>
          <w:rtl/>
        </w:rPr>
      </w:pPr>
      <w:r>
        <w:rPr>
          <w:rFonts w:ascii="Arial" w:hAnsi="Arial" w:hint="cs"/>
          <w:noProof w:val="0"/>
          <w:u w:val="single"/>
          <w:rtl/>
        </w:rPr>
        <w:t>הצעת החייב לפדיון זכויות ולקבלת הפטר</w:t>
      </w:r>
    </w:p>
    <w:p w14:paraId="06DE8180" w14:textId="77777777" w:rsidR="00360006" w:rsidRDefault="00360006" w:rsidP="00360006">
      <w:pPr>
        <w:spacing w:line="360" w:lineRule="auto"/>
        <w:jc w:val="both"/>
        <w:rPr>
          <w:rFonts w:ascii="Arial" w:hAnsi="Arial"/>
          <w:noProof w:val="0"/>
          <w:u w:val="single"/>
          <w:rtl/>
        </w:rPr>
      </w:pPr>
    </w:p>
    <w:p w14:paraId="211AC2E0" w14:textId="77777777" w:rsidR="00360006" w:rsidRDefault="00000000" w:rsidP="00360006">
      <w:pPr>
        <w:spacing w:line="360" w:lineRule="auto"/>
        <w:jc w:val="both"/>
        <w:rPr>
          <w:rFonts w:ascii="Arial" w:hAnsi="Arial"/>
          <w:noProof w:val="0"/>
          <w:rtl/>
        </w:rPr>
      </w:pPr>
      <w:r>
        <w:rPr>
          <w:rFonts w:ascii="Arial" w:hAnsi="Arial" w:hint="cs"/>
          <w:noProof w:val="0"/>
          <w:rtl/>
        </w:rPr>
        <w:t>בין המנהל המיוחד ובין החייב התנהל משא ומתן ממושך. מעת לעת הוגשו בקשות לדחיית מועד לעניין שאלת גיבוש הסכמה בנושא פדיון הזכויות בנכס במושב גבעתי. כך חלפה תקופה של שנה, אשר במהלכה נמסר כי מתנהל משא ומתן ואילו הנושה, בנק דיסקונט, חזר על בקשתו לביטול ההליך.</w:t>
      </w:r>
    </w:p>
    <w:p w14:paraId="1AB2C7C5" w14:textId="77777777" w:rsidR="00360006" w:rsidRDefault="00360006" w:rsidP="00360006">
      <w:pPr>
        <w:spacing w:line="360" w:lineRule="auto"/>
        <w:jc w:val="both"/>
        <w:rPr>
          <w:rFonts w:ascii="Arial" w:hAnsi="Arial"/>
          <w:noProof w:val="0"/>
          <w:rtl/>
        </w:rPr>
      </w:pPr>
    </w:p>
    <w:p w14:paraId="57A6937A" w14:textId="77777777" w:rsidR="00360006" w:rsidRDefault="00000000" w:rsidP="00360006">
      <w:pPr>
        <w:spacing w:line="360" w:lineRule="auto"/>
        <w:jc w:val="both"/>
        <w:rPr>
          <w:rFonts w:ascii="Arial" w:hAnsi="Arial"/>
          <w:noProof w:val="0"/>
          <w:rtl/>
        </w:rPr>
      </w:pPr>
      <w:r>
        <w:rPr>
          <w:rFonts w:ascii="Arial" w:hAnsi="Arial" w:hint="cs"/>
          <w:noProof w:val="0"/>
          <w:rtl/>
        </w:rPr>
        <w:t>בהחלטה מיום 12.11.2023 נקבע:</w:t>
      </w:r>
    </w:p>
    <w:p w14:paraId="2C749107" w14:textId="77777777" w:rsidR="00360006" w:rsidRPr="00B83AA1" w:rsidRDefault="00360006" w:rsidP="00360006">
      <w:pPr>
        <w:spacing w:line="360" w:lineRule="auto"/>
        <w:jc w:val="both"/>
        <w:rPr>
          <w:rFonts w:ascii="Arial" w:hAnsi="Arial"/>
          <w:noProof w:val="0"/>
          <w:sz w:val="20"/>
          <w:szCs w:val="20"/>
          <w:rtl/>
        </w:rPr>
      </w:pPr>
    </w:p>
    <w:p w14:paraId="0EEC8DFE" w14:textId="77777777" w:rsidR="00360006" w:rsidRDefault="00000000" w:rsidP="00360006">
      <w:pPr>
        <w:ind w:left="567" w:right="567"/>
        <w:jc w:val="both"/>
        <w:rPr>
          <w:rFonts w:ascii="Arial" w:hAnsi="Arial"/>
          <w:noProof w:val="0"/>
          <w:rtl/>
        </w:rPr>
      </w:pPr>
      <w:r>
        <w:rPr>
          <w:rFonts w:ascii="Arial" w:hAnsi="Arial" w:hint="cs"/>
          <w:noProof w:val="0"/>
          <w:rtl/>
        </w:rPr>
        <w:t>"</w:t>
      </w:r>
      <w:r w:rsidRPr="00E26FC1">
        <w:rPr>
          <w:rFonts w:ascii="Arial" w:hAnsi="Arial"/>
          <w:noProof w:val="0"/>
          <w:rtl/>
        </w:rPr>
        <w:t>מעיון בתיק עולה כי לצד תביעות חוב שהוגשו בסכומים עצומים הצביע המנהל המיוחד על שורה ארוכה של מעשים ומחדלים מצד החייב המצדיקים ביטול ההליך.</w:t>
      </w:r>
    </w:p>
    <w:p w14:paraId="240FF196" w14:textId="77777777" w:rsidR="00360006" w:rsidRDefault="00000000" w:rsidP="00360006">
      <w:pPr>
        <w:ind w:left="567" w:right="567"/>
        <w:jc w:val="both"/>
        <w:rPr>
          <w:rFonts w:ascii="Arial" w:hAnsi="Arial"/>
          <w:noProof w:val="0"/>
          <w:rtl/>
        </w:rPr>
      </w:pPr>
      <w:r w:rsidRPr="00E26FC1">
        <w:rPr>
          <w:rFonts w:ascii="Arial" w:hAnsi="Arial"/>
          <w:noProof w:val="0"/>
          <w:rtl/>
        </w:rPr>
        <w:br/>
        <w:t>הוגשו בקשות מטעם נושים לביטול ההליך אולם ההליך לא בוטל אך משום שהמנהל המיוחד והחייב ניהלו משא ומתן ממושך בנ</w:t>
      </w:r>
      <w:r>
        <w:rPr>
          <w:rFonts w:ascii="Arial" w:hAnsi="Arial" w:hint="cs"/>
          <w:noProof w:val="0"/>
          <w:rtl/>
        </w:rPr>
        <w:t>י</w:t>
      </w:r>
      <w:r w:rsidRPr="00E26FC1">
        <w:rPr>
          <w:rFonts w:ascii="Arial" w:hAnsi="Arial"/>
          <w:noProof w:val="0"/>
          <w:rtl/>
        </w:rPr>
        <w:t>סיון לגבש הסדר לפדיון זכויות החייב בנחלה במושב גבעתי.</w:t>
      </w:r>
    </w:p>
    <w:p w14:paraId="12B3D6B2" w14:textId="77777777" w:rsidR="00360006" w:rsidRDefault="00000000" w:rsidP="00360006">
      <w:pPr>
        <w:ind w:left="567" w:right="567"/>
        <w:jc w:val="both"/>
        <w:rPr>
          <w:rFonts w:ascii="Arial" w:hAnsi="Arial"/>
          <w:noProof w:val="0"/>
          <w:rtl/>
        </w:rPr>
      </w:pPr>
      <w:r w:rsidRPr="00E26FC1">
        <w:rPr>
          <w:rFonts w:ascii="Arial" w:hAnsi="Arial"/>
          <w:noProof w:val="0"/>
          <w:rtl/>
        </w:rPr>
        <w:br/>
        <w:t>אלא שבפועל לא מונחת בפני בית המשפט הצעת פדיון קונקרטית אשר יכולה ללמד שיש בה תועלת לנושים.</w:t>
      </w:r>
    </w:p>
    <w:p w14:paraId="18401DEB" w14:textId="77777777" w:rsidR="00360006" w:rsidRDefault="00000000" w:rsidP="00360006">
      <w:pPr>
        <w:ind w:left="567" w:right="567"/>
        <w:jc w:val="both"/>
        <w:rPr>
          <w:rFonts w:ascii="Arial" w:hAnsi="Arial"/>
          <w:noProof w:val="0"/>
          <w:rtl/>
        </w:rPr>
      </w:pPr>
      <w:r w:rsidRPr="00E26FC1">
        <w:rPr>
          <w:rFonts w:ascii="Arial" w:hAnsi="Arial"/>
          <w:noProof w:val="0"/>
          <w:rtl/>
        </w:rPr>
        <w:br/>
        <w:t>במצב דברים זה, יש לשקול ביטול ההליך כפי בקשת הנושים.</w:t>
      </w:r>
    </w:p>
    <w:p w14:paraId="6EC87D23" w14:textId="77777777" w:rsidR="00360006" w:rsidRDefault="00000000" w:rsidP="00360006">
      <w:pPr>
        <w:ind w:left="567" w:right="567"/>
        <w:jc w:val="both"/>
        <w:rPr>
          <w:rFonts w:ascii="Arial" w:hAnsi="Arial"/>
          <w:noProof w:val="0"/>
          <w:rtl/>
        </w:rPr>
      </w:pPr>
      <w:r w:rsidRPr="00E26FC1">
        <w:rPr>
          <w:rFonts w:ascii="Arial" w:hAnsi="Arial"/>
          <w:noProof w:val="0"/>
          <w:rtl/>
        </w:rPr>
        <w:br/>
        <w:t>החייב יוכל להגיש תגובתו עד ליום 20.11.23 ובמסגרת תגובתו יציג הצעתו לפדיון הזכויות על מנת שניתן יהיה להבין האם יש תועלת של ממש בהמשך בירור סוגיית פדיון הזכויות</w:t>
      </w:r>
      <w:r>
        <w:rPr>
          <w:rFonts w:ascii="Arial" w:hAnsi="Arial" w:hint="cs"/>
          <w:noProof w:val="0"/>
          <w:rtl/>
        </w:rPr>
        <w:t>."</w:t>
      </w:r>
    </w:p>
    <w:p w14:paraId="1C758D78" w14:textId="77777777" w:rsidR="00360006" w:rsidRDefault="00360006" w:rsidP="00360006">
      <w:pPr>
        <w:spacing w:line="360" w:lineRule="auto"/>
        <w:jc w:val="both"/>
        <w:rPr>
          <w:rFonts w:ascii="Arial" w:hAnsi="Arial"/>
          <w:noProof w:val="0"/>
          <w:rtl/>
        </w:rPr>
      </w:pPr>
    </w:p>
    <w:p w14:paraId="64C101D8" w14:textId="77777777" w:rsidR="00360006" w:rsidRDefault="00000000" w:rsidP="00360006">
      <w:pPr>
        <w:spacing w:line="360" w:lineRule="auto"/>
        <w:jc w:val="both"/>
        <w:rPr>
          <w:rFonts w:ascii="Arial" w:hAnsi="Arial"/>
          <w:noProof w:val="0"/>
          <w:rtl/>
        </w:rPr>
      </w:pPr>
      <w:r>
        <w:rPr>
          <w:rFonts w:ascii="Arial" w:hAnsi="Arial" w:hint="cs"/>
          <w:noProof w:val="0"/>
          <w:rtl/>
        </w:rPr>
        <w:t>בתגובה להחלטת בית המשפט, החייב הציג הצעתו לפדיון זכויות בנכס. בתגובת החייב נטען כי יש להפחית משווי הנכס 15% בגין מימוש מהיר. כן נטען כי החייב ומשפחתו יהיו זכאים לדיור חלוף למשך 10 שנים לפחות ובסך של כ- 840,000 ₪. לעמדת החייב, שווי זכויותיו מסתכם בסך של כ- 590,000 ₪ בלבד. החייב סיכם תגובתו בכך שהוא מציע לשלם סך של 600,000 ₪. ניתן להבין מתגובת החייב, כי הצעתו האמורה כוללת גם דרישה למתן הפטר.</w:t>
      </w:r>
    </w:p>
    <w:p w14:paraId="5B709FB9" w14:textId="77777777" w:rsidR="00360006" w:rsidRDefault="00360006" w:rsidP="00360006">
      <w:pPr>
        <w:spacing w:line="360" w:lineRule="auto"/>
        <w:jc w:val="both"/>
        <w:rPr>
          <w:rFonts w:ascii="Arial" w:hAnsi="Arial"/>
          <w:noProof w:val="0"/>
          <w:rtl/>
        </w:rPr>
      </w:pPr>
    </w:p>
    <w:p w14:paraId="0AAC5766" w14:textId="77777777" w:rsidR="00360006" w:rsidRDefault="00000000" w:rsidP="00360006">
      <w:pPr>
        <w:spacing w:line="360" w:lineRule="auto"/>
        <w:jc w:val="both"/>
        <w:rPr>
          <w:rFonts w:ascii="Arial" w:hAnsi="Arial"/>
          <w:noProof w:val="0"/>
          <w:rtl/>
        </w:rPr>
      </w:pPr>
      <w:r>
        <w:rPr>
          <w:rFonts w:ascii="Arial" w:hAnsi="Arial" w:hint="cs"/>
          <w:noProof w:val="0"/>
          <w:rtl/>
        </w:rPr>
        <w:t>עם קבלת תגובת החייב, בהחלטה מיום 7.2.2024 נקבע:</w:t>
      </w:r>
    </w:p>
    <w:p w14:paraId="10A199B5" w14:textId="77777777" w:rsidR="00360006" w:rsidRPr="00B83AA1" w:rsidRDefault="00360006" w:rsidP="00360006">
      <w:pPr>
        <w:spacing w:line="360" w:lineRule="auto"/>
        <w:jc w:val="both"/>
        <w:rPr>
          <w:rFonts w:ascii="Arial" w:hAnsi="Arial"/>
          <w:noProof w:val="0"/>
          <w:sz w:val="22"/>
          <w:szCs w:val="22"/>
          <w:rtl/>
        </w:rPr>
      </w:pPr>
    </w:p>
    <w:p w14:paraId="22926A54" w14:textId="77777777" w:rsidR="00360006" w:rsidRDefault="00000000" w:rsidP="00360006">
      <w:pPr>
        <w:ind w:left="567" w:right="567"/>
        <w:jc w:val="both"/>
        <w:rPr>
          <w:rFonts w:ascii="Arial" w:hAnsi="Arial"/>
          <w:noProof w:val="0"/>
          <w:rtl/>
        </w:rPr>
      </w:pPr>
      <w:r>
        <w:rPr>
          <w:rFonts w:ascii="Arial" w:hAnsi="Arial" w:hint="cs"/>
          <w:noProof w:val="0"/>
          <w:rtl/>
        </w:rPr>
        <w:t>"</w:t>
      </w:r>
      <w:r w:rsidRPr="00B6711C">
        <w:rPr>
          <w:rFonts w:ascii="Arial" w:hAnsi="Arial"/>
          <w:noProof w:val="0"/>
          <w:rtl/>
        </w:rPr>
        <w:t>מעיון בתיק עולה כי הוגשו תביעות חוב בסכומים עצומים.</w:t>
      </w:r>
    </w:p>
    <w:p w14:paraId="6605ED7B" w14:textId="77777777" w:rsidR="00360006" w:rsidRDefault="00360006" w:rsidP="00360006">
      <w:pPr>
        <w:ind w:left="567" w:right="567"/>
        <w:jc w:val="both"/>
        <w:rPr>
          <w:rFonts w:ascii="Arial" w:hAnsi="Arial"/>
          <w:noProof w:val="0"/>
          <w:rtl/>
        </w:rPr>
      </w:pPr>
    </w:p>
    <w:p w14:paraId="0C748724" w14:textId="77777777" w:rsidR="00360006" w:rsidRDefault="00000000" w:rsidP="00360006">
      <w:pPr>
        <w:ind w:left="567" w:right="567"/>
        <w:jc w:val="both"/>
        <w:rPr>
          <w:rFonts w:ascii="Arial" w:hAnsi="Arial"/>
          <w:noProof w:val="0"/>
          <w:rtl/>
        </w:rPr>
      </w:pPr>
      <w:r w:rsidRPr="00B6711C">
        <w:rPr>
          <w:rFonts w:ascii="Arial" w:hAnsi="Arial"/>
          <w:noProof w:val="0"/>
          <w:rtl/>
        </w:rPr>
        <w:t>כמו כן עולה כי החייב לא עמד בחובותיו בהליך. אף הועלו טענות ביחס לתום הלב ביצירת החובות כמו גם בהתנהלות החייב בהליך.</w:t>
      </w:r>
    </w:p>
    <w:p w14:paraId="6D71226D" w14:textId="77777777" w:rsidR="00360006" w:rsidRDefault="00000000" w:rsidP="00360006">
      <w:pPr>
        <w:ind w:left="567" w:right="567"/>
        <w:jc w:val="both"/>
        <w:rPr>
          <w:rFonts w:ascii="Arial" w:hAnsi="Arial"/>
          <w:noProof w:val="0"/>
          <w:rtl/>
        </w:rPr>
      </w:pPr>
      <w:r w:rsidRPr="00B6711C">
        <w:rPr>
          <w:rFonts w:ascii="Arial" w:hAnsi="Arial"/>
          <w:noProof w:val="0"/>
          <w:rtl/>
        </w:rPr>
        <w:br/>
        <w:t>על פני הדברים, אלמלא קיומן של זכויות בנכס, היה מקום לשקול ביטול ההליך.</w:t>
      </w:r>
    </w:p>
    <w:p w14:paraId="2842B233" w14:textId="77777777" w:rsidR="00360006" w:rsidRDefault="00000000" w:rsidP="00360006">
      <w:pPr>
        <w:ind w:left="567" w:right="567"/>
        <w:jc w:val="both"/>
        <w:rPr>
          <w:rFonts w:ascii="Arial" w:hAnsi="Arial"/>
          <w:noProof w:val="0"/>
          <w:rtl/>
        </w:rPr>
      </w:pPr>
      <w:r w:rsidRPr="00B6711C">
        <w:rPr>
          <w:rFonts w:ascii="Arial" w:hAnsi="Arial"/>
          <w:noProof w:val="0"/>
          <w:rtl/>
        </w:rPr>
        <w:br/>
        <w:t>במצב כזה, שאלת הותרת ההליך או ביטולו מבוססת בעיקרה על שאלת התועלת לנושים מהמשך בירור ההליך.</w:t>
      </w:r>
    </w:p>
    <w:p w14:paraId="21BB1915" w14:textId="77777777" w:rsidR="00360006" w:rsidRDefault="00000000" w:rsidP="00360006">
      <w:pPr>
        <w:ind w:left="567" w:right="567"/>
        <w:jc w:val="both"/>
        <w:rPr>
          <w:rFonts w:ascii="Arial" w:hAnsi="Arial"/>
          <w:noProof w:val="0"/>
          <w:rtl/>
        </w:rPr>
      </w:pPr>
      <w:r w:rsidRPr="00B6711C">
        <w:rPr>
          <w:rFonts w:ascii="Arial" w:hAnsi="Arial"/>
          <w:noProof w:val="0"/>
          <w:rtl/>
        </w:rPr>
        <w:br/>
        <w:t>הוגשה בקשה של אחד הנושים לביטול ההליך, כאשר לעמדתו גם בהתחשב באפשרות פדיון הנכס בהליך, התוצאה המתחייבת היא בביטול ההליך.</w:t>
      </w:r>
    </w:p>
    <w:p w14:paraId="21BE0A34" w14:textId="77777777" w:rsidR="00360006" w:rsidRDefault="00000000" w:rsidP="00360006">
      <w:pPr>
        <w:ind w:left="567" w:right="567"/>
        <w:jc w:val="both"/>
        <w:rPr>
          <w:rFonts w:ascii="Arial" w:hAnsi="Arial"/>
          <w:noProof w:val="0"/>
          <w:rtl/>
        </w:rPr>
      </w:pPr>
      <w:r w:rsidRPr="00B6711C">
        <w:rPr>
          <w:rFonts w:ascii="Arial" w:hAnsi="Arial"/>
          <w:noProof w:val="0"/>
          <w:rtl/>
        </w:rPr>
        <w:t>כעת, כאשר הוצגה הצעת החייב לפדיון וכן גם עמדת הנאמן ביחס לסך ההולם לפדיון, ניתן לברר בצורה מושכלת את שאלת ביטול ההליך.</w:t>
      </w:r>
    </w:p>
    <w:p w14:paraId="129A42FD" w14:textId="77777777" w:rsidR="00360006" w:rsidRDefault="00000000" w:rsidP="00360006">
      <w:pPr>
        <w:ind w:left="567" w:right="567"/>
        <w:jc w:val="both"/>
        <w:rPr>
          <w:rFonts w:ascii="Arial" w:hAnsi="Arial"/>
          <w:noProof w:val="0"/>
          <w:rtl/>
        </w:rPr>
      </w:pPr>
      <w:r w:rsidRPr="00B6711C">
        <w:rPr>
          <w:rFonts w:ascii="Arial" w:hAnsi="Arial"/>
          <w:noProof w:val="0"/>
          <w:rtl/>
        </w:rPr>
        <w:br/>
        <w:t>לשם כך, מתבקש הנאמן להמציא החלטה זו לכלל הנושים, אשר יוכלו להודיע את עמדתם בשאלת הותרת ההליך ובירור שאלת פדיון הזכויות, או ביטול ההליך.</w:t>
      </w:r>
      <w:r>
        <w:rPr>
          <w:rFonts w:ascii="Arial" w:hAnsi="Arial" w:hint="cs"/>
          <w:noProof w:val="0"/>
          <w:rtl/>
        </w:rPr>
        <w:t>"</w:t>
      </w:r>
    </w:p>
    <w:p w14:paraId="43088C12" w14:textId="77777777" w:rsidR="00360006" w:rsidRDefault="00360006" w:rsidP="00360006">
      <w:pPr>
        <w:spacing w:line="360" w:lineRule="auto"/>
        <w:jc w:val="both"/>
        <w:rPr>
          <w:rFonts w:ascii="Arial" w:hAnsi="Arial"/>
          <w:noProof w:val="0"/>
          <w:rtl/>
        </w:rPr>
      </w:pPr>
    </w:p>
    <w:p w14:paraId="39F2762A" w14:textId="77777777" w:rsidR="00360006" w:rsidRDefault="00360006" w:rsidP="00360006">
      <w:pPr>
        <w:spacing w:line="360" w:lineRule="auto"/>
        <w:jc w:val="both"/>
        <w:rPr>
          <w:rFonts w:ascii="Arial" w:hAnsi="Arial"/>
          <w:noProof w:val="0"/>
          <w:rtl/>
        </w:rPr>
      </w:pPr>
    </w:p>
    <w:p w14:paraId="25AC0B1E" w14:textId="77777777" w:rsidR="00360006" w:rsidRDefault="00000000" w:rsidP="00360006">
      <w:pPr>
        <w:spacing w:line="360" w:lineRule="auto"/>
        <w:jc w:val="both"/>
        <w:rPr>
          <w:rFonts w:ascii="Arial" w:hAnsi="Arial"/>
          <w:noProof w:val="0"/>
          <w:u w:val="single"/>
          <w:rtl/>
        </w:rPr>
      </w:pPr>
      <w:r>
        <w:rPr>
          <w:rFonts w:ascii="Arial" w:hAnsi="Arial" w:hint="cs"/>
          <w:noProof w:val="0"/>
          <w:u w:val="single"/>
          <w:rtl/>
        </w:rPr>
        <w:t>עמדות הנושים ביחס להצעת הפדיון</w:t>
      </w:r>
    </w:p>
    <w:p w14:paraId="543339EA" w14:textId="77777777" w:rsidR="00360006" w:rsidRDefault="00360006" w:rsidP="00360006">
      <w:pPr>
        <w:spacing w:line="360" w:lineRule="auto"/>
        <w:jc w:val="both"/>
        <w:rPr>
          <w:rFonts w:ascii="Arial" w:hAnsi="Arial"/>
          <w:noProof w:val="0"/>
          <w:u w:val="single"/>
          <w:rtl/>
        </w:rPr>
      </w:pPr>
    </w:p>
    <w:p w14:paraId="4C41B2CE" w14:textId="77777777" w:rsidR="00360006" w:rsidRDefault="00000000" w:rsidP="00360006">
      <w:pPr>
        <w:spacing w:line="360" w:lineRule="auto"/>
        <w:jc w:val="both"/>
        <w:rPr>
          <w:rFonts w:ascii="Arial" w:hAnsi="Arial"/>
          <w:noProof w:val="0"/>
          <w:rtl/>
        </w:rPr>
      </w:pPr>
      <w:r>
        <w:rPr>
          <w:rFonts w:ascii="Arial" w:hAnsi="Arial" w:hint="cs"/>
          <w:noProof w:val="0"/>
          <w:rtl/>
        </w:rPr>
        <w:t>המנהל המיוחד הודיע לנושים על החלטת בית המשפט לפיה נתבקשו למסור עמדתם ביחס להצעת הפדיון וכיוצא מכך ביחס לשאלת הותרת ההליך או ביטולו.</w:t>
      </w:r>
    </w:p>
    <w:p w14:paraId="0F7558CA" w14:textId="77777777" w:rsidR="00360006" w:rsidRDefault="00360006" w:rsidP="00360006">
      <w:pPr>
        <w:spacing w:line="360" w:lineRule="auto"/>
        <w:jc w:val="both"/>
        <w:rPr>
          <w:rFonts w:ascii="Arial" w:hAnsi="Arial"/>
          <w:noProof w:val="0"/>
          <w:rtl/>
        </w:rPr>
      </w:pPr>
    </w:p>
    <w:p w14:paraId="23DBE998" w14:textId="77777777" w:rsidR="00360006" w:rsidRDefault="00000000" w:rsidP="00360006">
      <w:pPr>
        <w:spacing w:line="360" w:lineRule="auto"/>
        <w:jc w:val="both"/>
        <w:rPr>
          <w:rFonts w:ascii="Arial" w:hAnsi="Arial"/>
          <w:noProof w:val="0"/>
          <w:rtl/>
        </w:rPr>
      </w:pPr>
      <w:r>
        <w:rPr>
          <w:rFonts w:ascii="Arial" w:hAnsi="Arial" w:hint="cs"/>
          <w:noProof w:val="0"/>
          <w:rtl/>
        </w:rPr>
        <w:t>לתיק הוגשה עמדת הנושה פאי באר שיווק בע"מ (תביעת חוב הוגשה על סך של 426,000 ₪) במסגרתה נטען כי החייב אינו עומד בדרישות ההליך, הוא צבר חוב בפיגורים אסטרונומי בסך של למעלה מ-200,000 ₪, נסיבות ההסתבכות, העלמת הציוד הרב והמשך הפעלת העסק על ידי בני משפחתו מדיפים ריח רע של מרמה, והצעת החייב לפדיון הזכויות היא נמוכה ולא תניב תועלת של ממש לנושים. לעמדת הנושה, לנושים קיימת עדיפות לנקיטה בהליכי חדלות פירעון לפיו חוק חדלות פירעון ושיקום כלכלי. לעמדת הנושה, יש לבטל ההליך לאלתר.</w:t>
      </w:r>
    </w:p>
    <w:p w14:paraId="469D2623" w14:textId="77777777" w:rsidR="00360006" w:rsidRDefault="00360006" w:rsidP="00360006">
      <w:pPr>
        <w:spacing w:line="360" w:lineRule="auto"/>
        <w:jc w:val="both"/>
        <w:rPr>
          <w:rFonts w:ascii="Arial" w:hAnsi="Arial"/>
          <w:noProof w:val="0"/>
          <w:rtl/>
        </w:rPr>
      </w:pPr>
    </w:p>
    <w:p w14:paraId="15CCF637" w14:textId="77777777" w:rsidR="00360006" w:rsidRDefault="00000000" w:rsidP="00360006">
      <w:pPr>
        <w:spacing w:line="360" w:lineRule="auto"/>
        <w:jc w:val="both"/>
        <w:rPr>
          <w:rFonts w:ascii="Arial" w:hAnsi="Arial"/>
          <w:noProof w:val="0"/>
          <w:rtl/>
        </w:rPr>
      </w:pPr>
      <w:r>
        <w:rPr>
          <w:rFonts w:ascii="Arial" w:hAnsi="Arial" w:hint="cs"/>
          <w:noProof w:val="0"/>
          <w:rtl/>
        </w:rPr>
        <w:t>בעדכון מטעם המנהל המיוחד הוצגה גם עמדת הנושה אברך אלון גי. אס. בע"מ (תביעת חוב הוגשה על סך של 4,846 ₪) המתנגדת להצעת החייב לפדיון ועומדת על מימוש הנכס על ידי המנהל המיוחד, וכן עמדת הנושה רמי חלובה (תביעת החוב הוגשה על סך של 1,700,000 ₪) שהשאיר לשיקול דעת המנהל המיוחד את הצעת החייב אך סבור כי מדובר בהצעה נמוכה. עוד הוצגה עמדת הנושה אחים יעקב בע"מ (תביעת חוב הוגשה על סך של 256,509 ₪) אשר השאירה את ההחלטה לשיקול דעת המנהל המיוחד וציינה כי תכבד כל החלטה שייתן בית המשפט בעניין. גם הנושה פריים ליס (תביעת חוב הוגשה על סך של 46,502 ₪) השאירה הצעת החייב לשיקול דעת המנהל המיוחד ובית המשפט.</w:t>
      </w:r>
    </w:p>
    <w:p w14:paraId="730E6C3A" w14:textId="77777777" w:rsidR="00360006" w:rsidRDefault="00360006" w:rsidP="00360006">
      <w:pPr>
        <w:spacing w:line="360" w:lineRule="auto"/>
        <w:jc w:val="both"/>
        <w:rPr>
          <w:rFonts w:ascii="Arial" w:hAnsi="Arial"/>
          <w:noProof w:val="0"/>
          <w:rtl/>
        </w:rPr>
      </w:pPr>
    </w:p>
    <w:p w14:paraId="0B5ADB85" w14:textId="77777777" w:rsidR="00360006" w:rsidRDefault="00000000" w:rsidP="00360006">
      <w:pPr>
        <w:spacing w:line="360" w:lineRule="auto"/>
        <w:jc w:val="both"/>
        <w:rPr>
          <w:rFonts w:ascii="Arial" w:hAnsi="Arial"/>
          <w:noProof w:val="0"/>
          <w:rtl/>
        </w:rPr>
      </w:pPr>
      <w:r>
        <w:rPr>
          <w:rFonts w:ascii="Arial" w:hAnsi="Arial" w:hint="cs"/>
          <w:noProof w:val="0"/>
          <w:rtl/>
        </w:rPr>
        <w:t>ביחס לעמדת בנק דיסקונט מציין המנהל המיוחד בעדכון כי החישוב שהציג הבנק בתגובה אינו מדויק אך גם אינו רחוק מהמציאות ועל החייב לשפר את הצעתו הן בסכום והן במשך התכנית המוצעת. המנהל המיוחד מסכים עם הנושה כי יש לקבוע תכנית אשר תביא בחשבון את פדיון הזכויות בנכס, הסרת חוב הפיגורים ותשלום חודשי כפי שייקבע על ידי בית המשפט. על כן מבקש המנהל המיוחד לקבוע דיון בגורל ההליך.</w:t>
      </w:r>
    </w:p>
    <w:p w14:paraId="37A426E7" w14:textId="77777777" w:rsidR="00360006" w:rsidRDefault="00360006" w:rsidP="00360006">
      <w:pPr>
        <w:spacing w:line="360" w:lineRule="auto"/>
        <w:jc w:val="both"/>
        <w:rPr>
          <w:rFonts w:ascii="Arial" w:hAnsi="Arial"/>
          <w:noProof w:val="0"/>
          <w:rtl/>
        </w:rPr>
      </w:pPr>
    </w:p>
    <w:p w14:paraId="2F753E7E" w14:textId="77777777" w:rsidR="00360006" w:rsidRDefault="00000000" w:rsidP="00360006">
      <w:pPr>
        <w:spacing w:line="360" w:lineRule="auto"/>
        <w:jc w:val="both"/>
        <w:rPr>
          <w:rFonts w:ascii="Arial" w:hAnsi="Arial"/>
          <w:noProof w:val="0"/>
          <w:u w:val="single"/>
          <w:rtl/>
        </w:rPr>
      </w:pPr>
      <w:r>
        <w:rPr>
          <w:rFonts w:ascii="Arial" w:hAnsi="Arial" w:hint="cs"/>
          <w:noProof w:val="0"/>
          <w:u w:val="single"/>
          <w:rtl/>
        </w:rPr>
        <w:t>דיון והכרעה: שאלת ביטול ההליך</w:t>
      </w:r>
    </w:p>
    <w:p w14:paraId="3FEB21B1" w14:textId="77777777" w:rsidR="00360006" w:rsidRDefault="00360006" w:rsidP="00360006">
      <w:pPr>
        <w:spacing w:line="360" w:lineRule="auto"/>
        <w:jc w:val="both"/>
        <w:rPr>
          <w:rFonts w:ascii="Arial" w:hAnsi="Arial"/>
          <w:noProof w:val="0"/>
          <w:u w:val="single"/>
          <w:rtl/>
        </w:rPr>
      </w:pPr>
    </w:p>
    <w:p w14:paraId="3A786CCD" w14:textId="77777777" w:rsidR="00360006" w:rsidRDefault="00000000" w:rsidP="00360006">
      <w:pPr>
        <w:spacing w:line="360" w:lineRule="auto"/>
        <w:jc w:val="both"/>
        <w:rPr>
          <w:rFonts w:ascii="Arial" w:hAnsi="Arial"/>
          <w:noProof w:val="0"/>
          <w:rtl/>
        </w:rPr>
      </w:pPr>
      <w:r>
        <w:rPr>
          <w:rFonts w:ascii="Arial" w:hAnsi="Arial" w:hint="cs"/>
          <w:noProof w:val="0"/>
          <w:rtl/>
        </w:rPr>
        <w:t>השאלה העומדת על הפרק היא, האם יש לכפות על הנושים המשך הליכי פשיטת רגל שנפתחו לפי בקשת החייב, או שמא יש לאפשר לנושים לנקוט בהליכי חדלות פירעון לפי חוק חדלות פירעון.</w:t>
      </w:r>
    </w:p>
    <w:p w14:paraId="38F2C4B9" w14:textId="77777777" w:rsidR="00360006" w:rsidRDefault="00360006" w:rsidP="00360006">
      <w:pPr>
        <w:spacing w:line="360" w:lineRule="auto"/>
        <w:jc w:val="both"/>
        <w:rPr>
          <w:rFonts w:ascii="Arial" w:hAnsi="Arial"/>
          <w:noProof w:val="0"/>
          <w:rtl/>
        </w:rPr>
      </w:pPr>
    </w:p>
    <w:p w14:paraId="5471B54A" w14:textId="77777777" w:rsidR="00360006" w:rsidRDefault="00000000" w:rsidP="00360006">
      <w:pPr>
        <w:spacing w:line="360" w:lineRule="auto"/>
        <w:jc w:val="both"/>
        <w:rPr>
          <w:rFonts w:ascii="Arial" w:hAnsi="Arial"/>
          <w:noProof w:val="0"/>
          <w:rtl/>
        </w:rPr>
      </w:pPr>
      <w:r>
        <w:rPr>
          <w:rFonts w:ascii="Arial" w:hAnsi="Arial" w:hint="cs"/>
          <w:noProof w:val="0"/>
          <w:rtl/>
        </w:rPr>
        <w:t>כפי שהוסבר בהחלטה מיום 7.2.2024, כאשר מדובר בהליך שנפתח לפי בקשת חייב, ההחלטה בשאלת ביטול ההליך מורכבת משני שלבים. השלב הראשון, בחינת התנהלות החייב והאם החייב זכאי להכרזתו כפושט רגל. ככל שהמענה לשאלה זו שלילי, הרי שדין ההליך להתבטל. עם זאת, גם במקום בו נמצא כי חייב התנהל בחוסר תום לב המצדיק ביטול ההליך, עדיין יש לבחון שאלה נוספת, הנוגעת לאינטרס הנושים בהמשך ההליך ולתועלת שיכולה לצמוח לנושים מהמשך ההליך.</w:t>
      </w:r>
    </w:p>
    <w:p w14:paraId="2944A7AF" w14:textId="77777777" w:rsidR="00360006" w:rsidRDefault="00360006" w:rsidP="00360006">
      <w:pPr>
        <w:spacing w:line="360" w:lineRule="auto"/>
        <w:jc w:val="both"/>
        <w:rPr>
          <w:rFonts w:ascii="Arial" w:hAnsi="Arial"/>
          <w:noProof w:val="0"/>
          <w:rtl/>
        </w:rPr>
      </w:pPr>
    </w:p>
    <w:p w14:paraId="49E1A935" w14:textId="77777777" w:rsidR="00360006" w:rsidRDefault="00000000" w:rsidP="00360006">
      <w:pPr>
        <w:spacing w:line="360" w:lineRule="auto"/>
        <w:jc w:val="both"/>
        <w:rPr>
          <w:rFonts w:ascii="Arial" w:hAnsi="Arial"/>
          <w:noProof w:val="0"/>
          <w:rtl/>
        </w:rPr>
      </w:pPr>
      <w:r>
        <w:rPr>
          <w:rFonts w:ascii="Arial" w:hAnsi="Arial" w:hint="cs"/>
          <w:noProof w:val="0"/>
          <w:rtl/>
        </w:rPr>
        <w:t>שאלת תום לבו של החייב היא השאלה המרכזית והחשובה. יוער, כי כאשר מדובר בהליך שנפתח לפי בקשת חייב, ככל שהחייב עומד בכלל חובותיו ופועל בתום לב מלא אזי שאלת התועלת לנושים נמצאת בדרגת חשיבות משנית, שהרי אם נמצא כי החייב יצר חובותיו בתום לב ואף פעל בהליך בתום לב, אזי השיקול של תועלת לנושים (או ליתר דיוק העדר התועלת), לא ימנע המשך ניהול ההליך, ההליך יעמוד על כנו ואף ייבחנו התנאים להפטר. שונים הם פני הדברים ככל שנמצא כי החייב לא פעל בתום לב בנסיבות המצדיקות ביטול ההליך, כשאז מקבלת שאלת התועלת לנושים מעמד בכורה בבחינת המשך ניהול ההליך.</w:t>
      </w:r>
    </w:p>
    <w:p w14:paraId="71253EC7" w14:textId="77777777" w:rsidR="00360006" w:rsidRDefault="00360006" w:rsidP="00360006">
      <w:pPr>
        <w:spacing w:line="360" w:lineRule="auto"/>
        <w:jc w:val="both"/>
        <w:rPr>
          <w:rFonts w:ascii="Arial" w:hAnsi="Arial"/>
          <w:noProof w:val="0"/>
          <w:rtl/>
        </w:rPr>
      </w:pPr>
    </w:p>
    <w:p w14:paraId="3CE6410B" w14:textId="77777777" w:rsidR="00360006" w:rsidRDefault="00000000" w:rsidP="00360006">
      <w:pPr>
        <w:spacing w:line="360" w:lineRule="auto"/>
        <w:jc w:val="both"/>
        <w:rPr>
          <w:rFonts w:ascii="Arial" w:hAnsi="Arial"/>
          <w:noProof w:val="0"/>
          <w:u w:val="single"/>
          <w:rtl/>
        </w:rPr>
      </w:pPr>
      <w:r>
        <w:rPr>
          <w:rFonts w:ascii="Arial" w:hAnsi="Arial" w:hint="cs"/>
          <w:noProof w:val="0"/>
          <w:u w:val="single"/>
          <w:rtl/>
        </w:rPr>
        <w:t>ביטול ההליך בשל חוסר תום לב</w:t>
      </w:r>
    </w:p>
    <w:p w14:paraId="685A1A6F" w14:textId="77777777" w:rsidR="00360006" w:rsidRPr="009A4F3D" w:rsidRDefault="00360006" w:rsidP="00360006">
      <w:pPr>
        <w:spacing w:line="360" w:lineRule="auto"/>
        <w:jc w:val="both"/>
        <w:rPr>
          <w:rFonts w:ascii="Arial" w:hAnsi="Arial"/>
          <w:noProof w:val="0"/>
          <w:u w:val="single"/>
          <w:rtl/>
        </w:rPr>
      </w:pPr>
    </w:p>
    <w:p w14:paraId="63B5138D" w14:textId="77777777" w:rsidR="00360006" w:rsidRPr="00EA197C" w:rsidRDefault="00000000" w:rsidP="00360006">
      <w:pPr>
        <w:spacing w:line="360" w:lineRule="auto"/>
        <w:jc w:val="both"/>
        <w:rPr>
          <w:rFonts w:ascii="Arial" w:hAnsi="Arial"/>
          <w:noProof w:val="0"/>
        </w:rPr>
      </w:pPr>
      <w:r w:rsidRPr="00EA197C">
        <w:rPr>
          <w:rFonts w:ascii="Arial" w:hAnsi="Arial"/>
          <w:noProof w:val="0"/>
          <w:rtl/>
        </w:rPr>
        <w:t xml:space="preserve">החובה המוטלת על חייב בהליך פשיטת רגל לנהוג בתום לב משתרעת על פני שתי תקופות:  התקופה בה נוצרו חובותיו והתקופה בה מתנהל הליך פשיטת הרגל בעניינו. </w:t>
      </w:r>
    </w:p>
    <w:p w14:paraId="34BBF266" w14:textId="77777777" w:rsidR="00360006" w:rsidRPr="00EA197C" w:rsidRDefault="00360006" w:rsidP="00360006">
      <w:pPr>
        <w:spacing w:line="360" w:lineRule="auto"/>
        <w:jc w:val="both"/>
        <w:rPr>
          <w:rFonts w:ascii="Arial" w:hAnsi="Arial"/>
          <w:noProof w:val="0"/>
        </w:rPr>
      </w:pPr>
    </w:p>
    <w:p w14:paraId="294EF54B" w14:textId="77777777" w:rsidR="00360006" w:rsidRDefault="00000000" w:rsidP="00360006">
      <w:pPr>
        <w:spacing w:line="360" w:lineRule="auto"/>
        <w:jc w:val="both"/>
        <w:rPr>
          <w:rFonts w:ascii="Arial" w:hAnsi="Arial"/>
          <w:noProof w:val="0"/>
          <w:rtl/>
        </w:rPr>
      </w:pPr>
      <w:r w:rsidRPr="00EA197C">
        <w:rPr>
          <w:rFonts w:ascii="Arial" w:hAnsi="Arial"/>
          <w:noProof w:val="0"/>
          <w:rtl/>
        </w:rPr>
        <w:t>ראו, לדוגמא:</w:t>
      </w:r>
    </w:p>
    <w:p w14:paraId="5525079A" w14:textId="77777777" w:rsidR="00360006" w:rsidRDefault="00000000" w:rsidP="00360006">
      <w:pPr>
        <w:spacing w:line="360" w:lineRule="auto"/>
        <w:jc w:val="both"/>
        <w:rPr>
          <w:rFonts w:ascii="Arial" w:hAnsi="Arial"/>
          <w:noProof w:val="0"/>
          <w:rtl/>
        </w:rPr>
      </w:pPr>
      <w:hyperlink r:id="rId10" w:history="1">
        <w:r w:rsidR="001D022A" w:rsidRPr="001D022A">
          <w:rPr>
            <w:rFonts w:ascii="Arial" w:hAnsi="Arial"/>
            <w:noProof w:val="0"/>
            <w:color w:val="0000FF"/>
            <w:u w:val="single"/>
            <w:rtl/>
          </w:rPr>
          <w:t>רע"א 2282/03</w:t>
        </w:r>
      </w:hyperlink>
      <w:r>
        <w:rPr>
          <w:rFonts w:ascii="Arial" w:hAnsi="Arial" w:hint="cs"/>
          <w:noProof w:val="0"/>
          <w:rtl/>
        </w:rPr>
        <w:t xml:space="preserve"> </w:t>
      </w:r>
      <w:r w:rsidRPr="00360006">
        <w:rPr>
          <w:rFonts w:ascii="Arial" w:hAnsi="Arial" w:cs="Arial"/>
          <w:noProof w:val="0"/>
          <w:rtl/>
        </w:rPr>
        <w:t>ראובן גרינברג נ' כונס הנכסים הרשמי</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 xml:space="preserve"> (מיום 10.2.2004);</w:t>
      </w:r>
    </w:p>
    <w:p w14:paraId="08A1721F" w14:textId="77777777" w:rsidR="00360006" w:rsidRDefault="00000000" w:rsidP="00360006">
      <w:pPr>
        <w:spacing w:line="360" w:lineRule="auto"/>
        <w:jc w:val="both"/>
        <w:rPr>
          <w:rFonts w:ascii="Arial" w:hAnsi="Arial"/>
          <w:noProof w:val="0"/>
          <w:rtl/>
        </w:rPr>
      </w:pPr>
      <w:hyperlink r:id="rId11" w:history="1">
        <w:r w:rsidR="001D022A" w:rsidRPr="001D022A">
          <w:rPr>
            <w:rFonts w:ascii="Arial" w:hAnsi="Arial"/>
            <w:noProof w:val="0"/>
            <w:color w:val="0000FF"/>
            <w:u w:val="single"/>
            <w:rtl/>
          </w:rPr>
          <w:t>ע"א 7994/08</w:t>
        </w:r>
      </w:hyperlink>
      <w:r>
        <w:rPr>
          <w:rFonts w:ascii="Arial" w:hAnsi="Arial" w:hint="cs"/>
          <w:noProof w:val="0"/>
          <w:rtl/>
        </w:rPr>
        <w:t xml:space="preserve"> </w:t>
      </w:r>
      <w:r w:rsidRPr="00360006">
        <w:rPr>
          <w:rFonts w:ascii="Arial" w:hAnsi="Arial" w:cs="Arial"/>
          <w:noProof w:val="0"/>
          <w:rtl/>
        </w:rPr>
        <w:t>דוד גוטמן נ' כונס הנכסים הרשמי</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1.2.2011);</w:t>
      </w:r>
    </w:p>
    <w:p w14:paraId="34A3B434" w14:textId="77777777" w:rsidR="00360006" w:rsidRDefault="00000000" w:rsidP="00360006">
      <w:pPr>
        <w:spacing w:line="360" w:lineRule="auto"/>
        <w:jc w:val="both"/>
        <w:rPr>
          <w:rFonts w:ascii="Arial" w:hAnsi="Arial"/>
          <w:noProof w:val="0"/>
          <w:rtl/>
        </w:rPr>
      </w:pPr>
      <w:hyperlink r:id="rId12" w:history="1">
        <w:r w:rsidR="001D022A" w:rsidRPr="001D022A">
          <w:rPr>
            <w:rFonts w:ascii="Arial" w:hAnsi="Arial"/>
            <w:noProof w:val="0"/>
            <w:color w:val="0000FF"/>
            <w:u w:val="single"/>
            <w:rtl/>
          </w:rPr>
          <w:t>ע"א 3382/17</w:t>
        </w:r>
      </w:hyperlink>
      <w:r>
        <w:rPr>
          <w:rFonts w:ascii="Arial" w:hAnsi="Arial" w:hint="cs"/>
          <w:noProof w:val="0"/>
          <w:rtl/>
        </w:rPr>
        <w:t xml:space="preserve"> </w:t>
      </w:r>
      <w:r w:rsidRPr="00360006">
        <w:rPr>
          <w:rFonts w:ascii="Arial" w:hAnsi="Arial" w:cs="Arial"/>
          <w:noProof w:val="0"/>
          <w:rtl/>
        </w:rPr>
        <w:t>יעל צימבר נ' רועי סמט</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29.8.2018);</w:t>
      </w:r>
    </w:p>
    <w:p w14:paraId="0744F76D" w14:textId="77777777" w:rsidR="00360006" w:rsidRPr="00EA197C" w:rsidRDefault="00000000" w:rsidP="00360006">
      <w:pPr>
        <w:spacing w:line="360" w:lineRule="auto"/>
        <w:jc w:val="both"/>
        <w:rPr>
          <w:rFonts w:ascii="Arial" w:hAnsi="Arial"/>
          <w:noProof w:val="0"/>
          <w:rtl/>
        </w:rPr>
      </w:pPr>
      <w:hyperlink r:id="rId13" w:history="1">
        <w:r w:rsidR="001D022A" w:rsidRPr="001D022A">
          <w:rPr>
            <w:rFonts w:ascii="Arial" w:hAnsi="Arial"/>
            <w:noProof w:val="0"/>
            <w:color w:val="0000FF"/>
            <w:u w:val="single"/>
            <w:rtl/>
          </w:rPr>
          <w:t>ע"א 6892/18</w:t>
        </w:r>
      </w:hyperlink>
      <w:r>
        <w:rPr>
          <w:rFonts w:ascii="Arial" w:hAnsi="Arial" w:hint="cs"/>
          <w:noProof w:val="0"/>
          <w:rtl/>
        </w:rPr>
        <w:t xml:space="preserve"> </w:t>
      </w:r>
      <w:r w:rsidRPr="00360006">
        <w:rPr>
          <w:rFonts w:ascii="Arial" w:hAnsi="Arial" w:cs="Arial"/>
          <w:noProof w:val="0"/>
          <w:rtl/>
        </w:rPr>
        <w:t>עמוס אמיר רפאל נ' עו"ד זיסמן – מנהל מיוחד</w:t>
      </w:r>
      <w:r w:rsidRPr="00EA197C">
        <w:rPr>
          <w:rFonts w:ascii="Arial" w:hAnsi="Arial"/>
          <w:b/>
          <w:bCs/>
          <w:noProof w:val="0"/>
          <w:rtl/>
        </w:rPr>
        <w:t xml:space="preserve"> </w:t>
      </w:r>
      <w:r w:rsidR="00900120" w:rsidRPr="00900120">
        <w:rPr>
          <w:noProof w:val="0"/>
          <w:sz w:val="22"/>
          <w:rtl/>
        </w:rPr>
        <w:t xml:space="preserve">[פורסם בנבו] </w:t>
      </w:r>
      <w:r w:rsidRPr="00EA197C">
        <w:rPr>
          <w:rFonts w:ascii="Arial" w:hAnsi="Arial"/>
          <w:noProof w:val="0"/>
          <w:rtl/>
        </w:rPr>
        <w:t>(מיום 18.12.</w:t>
      </w:r>
      <w:r>
        <w:rPr>
          <w:rFonts w:ascii="Arial" w:hAnsi="Arial" w:hint="cs"/>
          <w:noProof w:val="0"/>
          <w:rtl/>
        </w:rPr>
        <w:t>2019</w:t>
      </w:r>
      <w:r w:rsidRPr="00EA197C">
        <w:rPr>
          <w:rFonts w:ascii="Arial" w:hAnsi="Arial"/>
          <w:noProof w:val="0"/>
          <w:rtl/>
        </w:rPr>
        <w:t>).</w:t>
      </w:r>
    </w:p>
    <w:p w14:paraId="7BD4BD7A" w14:textId="77777777" w:rsidR="00360006" w:rsidRPr="00EA197C" w:rsidRDefault="00360006" w:rsidP="00360006">
      <w:pPr>
        <w:spacing w:line="360" w:lineRule="auto"/>
        <w:jc w:val="both"/>
        <w:rPr>
          <w:rFonts w:ascii="Arial" w:hAnsi="Arial"/>
          <w:noProof w:val="0"/>
          <w:rtl/>
        </w:rPr>
      </w:pPr>
    </w:p>
    <w:p w14:paraId="2B75E9F5" w14:textId="77777777" w:rsidR="00360006" w:rsidRPr="00EA197C" w:rsidRDefault="00000000" w:rsidP="00360006">
      <w:pPr>
        <w:spacing w:line="360" w:lineRule="auto"/>
        <w:jc w:val="both"/>
        <w:rPr>
          <w:rFonts w:ascii="Arial" w:hAnsi="Arial"/>
          <w:noProof w:val="0"/>
          <w:rtl/>
        </w:rPr>
      </w:pPr>
      <w:r w:rsidRPr="00EA197C">
        <w:rPr>
          <w:rFonts w:ascii="Arial" w:hAnsi="Arial"/>
          <w:noProof w:val="0"/>
          <w:rtl/>
        </w:rPr>
        <w:t>וראו פסיקה נוספת של בית המשפט העליון ששמה דגש על דרישת תום הלב בהליכי חדלות פירעון. בית המשפט העליון חזר על העיקרון לפיו הליך פשיטת רגל מעניק לחייב ההזדמנות ייחודית להיחלץ מחובותיו ולהשתקם כלכלית ונוכח מאפיינים אלו של הליך פשיטת הרגל,  מלווה הוא בדרישה להתנהלות בתום-לב עילאי מצדו של החייב בכל אחד משלבי ההליך – זאת, על אחת כמה וכמה כאשר החייב הוא זה שיוזם את ההליך:</w:t>
      </w:r>
    </w:p>
    <w:p w14:paraId="659D2090" w14:textId="77777777" w:rsidR="00360006" w:rsidRDefault="00360006" w:rsidP="00360006">
      <w:pPr>
        <w:spacing w:line="360" w:lineRule="auto"/>
        <w:jc w:val="both"/>
        <w:rPr>
          <w:rFonts w:ascii="Arial" w:hAnsi="Arial"/>
          <w:noProof w:val="0"/>
          <w:rtl/>
        </w:rPr>
      </w:pPr>
    </w:p>
    <w:p w14:paraId="57F715DE" w14:textId="77777777" w:rsidR="00360006" w:rsidRDefault="00000000" w:rsidP="00360006">
      <w:pPr>
        <w:spacing w:line="360" w:lineRule="auto"/>
        <w:jc w:val="both"/>
        <w:rPr>
          <w:rFonts w:ascii="Arial" w:hAnsi="Arial"/>
          <w:noProof w:val="0"/>
          <w:rtl/>
        </w:rPr>
      </w:pPr>
      <w:hyperlink r:id="rId14" w:history="1">
        <w:r w:rsidR="001D022A" w:rsidRPr="001D022A">
          <w:rPr>
            <w:rFonts w:ascii="Arial" w:hAnsi="Arial"/>
            <w:noProof w:val="0"/>
            <w:color w:val="0000FF"/>
            <w:u w:val="single"/>
            <w:rtl/>
          </w:rPr>
          <w:t>ע"א 3109/22</w:t>
        </w:r>
      </w:hyperlink>
      <w:r>
        <w:rPr>
          <w:rFonts w:ascii="Arial" w:hAnsi="Arial" w:hint="cs"/>
          <w:noProof w:val="0"/>
          <w:rtl/>
        </w:rPr>
        <w:t xml:space="preserve"> </w:t>
      </w:r>
      <w:r w:rsidRPr="00360006">
        <w:rPr>
          <w:rFonts w:ascii="Arial" w:hAnsi="Arial" w:cs="Arial"/>
          <w:noProof w:val="0"/>
          <w:rtl/>
        </w:rPr>
        <w:t>אשרף מרעי נ' כונס הנכסים הרשמי</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10.8.</w:t>
      </w:r>
      <w:r>
        <w:rPr>
          <w:rFonts w:ascii="Arial" w:hAnsi="Arial" w:hint="cs"/>
          <w:noProof w:val="0"/>
          <w:rtl/>
        </w:rPr>
        <w:t>2022</w:t>
      </w:r>
      <w:r w:rsidRPr="00EA197C">
        <w:rPr>
          <w:rFonts w:ascii="Arial" w:hAnsi="Arial"/>
          <w:noProof w:val="0"/>
          <w:rtl/>
        </w:rPr>
        <w:t>);</w:t>
      </w:r>
    </w:p>
    <w:p w14:paraId="3D0ED285" w14:textId="77777777" w:rsidR="00360006" w:rsidRDefault="00000000" w:rsidP="00360006">
      <w:pPr>
        <w:spacing w:line="360" w:lineRule="auto"/>
        <w:jc w:val="both"/>
        <w:rPr>
          <w:rFonts w:ascii="Arial" w:hAnsi="Arial"/>
          <w:noProof w:val="0"/>
          <w:rtl/>
        </w:rPr>
      </w:pPr>
      <w:hyperlink r:id="rId15" w:history="1">
        <w:r w:rsidR="001D022A" w:rsidRPr="001D022A">
          <w:rPr>
            <w:rFonts w:ascii="Arial" w:hAnsi="Arial"/>
            <w:noProof w:val="0"/>
            <w:color w:val="0000FF"/>
            <w:u w:val="single"/>
            <w:rtl/>
          </w:rPr>
          <w:t>ע"א 7482/21</w:t>
        </w:r>
      </w:hyperlink>
      <w:r>
        <w:rPr>
          <w:rFonts w:ascii="Arial" w:hAnsi="Arial" w:hint="cs"/>
          <w:noProof w:val="0"/>
          <w:rtl/>
        </w:rPr>
        <w:t xml:space="preserve"> </w:t>
      </w:r>
      <w:r w:rsidRPr="00360006">
        <w:rPr>
          <w:rFonts w:ascii="Arial" w:hAnsi="Arial" w:cs="Arial"/>
          <w:noProof w:val="0"/>
          <w:rtl/>
        </w:rPr>
        <w:t>יאיר חסן נ' כונס הנכסים הרשמי</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22.12.</w:t>
      </w:r>
      <w:r>
        <w:rPr>
          <w:rFonts w:ascii="Arial" w:hAnsi="Arial" w:hint="cs"/>
          <w:noProof w:val="0"/>
          <w:rtl/>
        </w:rPr>
        <w:t>2021</w:t>
      </w:r>
      <w:r w:rsidRPr="00EA197C">
        <w:rPr>
          <w:rFonts w:ascii="Arial" w:hAnsi="Arial"/>
          <w:noProof w:val="0"/>
          <w:rtl/>
        </w:rPr>
        <w:t>);</w:t>
      </w:r>
    </w:p>
    <w:p w14:paraId="7CAF0F3B" w14:textId="77777777" w:rsidR="00360006" w:rsidRPr="00EA197C" w:rsidRDefault="00000000" w:rsidP="00360006">
      <w:pPr>
        <w:spacing w:line="360" w:lineRule="auto"/>
        <w:jc w:val="both"/>
        <w:rPr>
          <w:rFonts w:ascii="Arial" w:hAnsi="Arial"/>
          <w:noProof w:val="0"/>
          <w:rtl/>
        </w:rPr>
      </w:pPr>
      <w:hyperlink r:id="rId16" w:history="1">
        <w:r w:rsidR="001D022A" w:rsidRPr="001D022A">
          <w:rPr>
            <w:rFonts w:ascii="Arial" w:hAnsi="Arial"/>
            <w:noProof w:val="0"/>
            <w:color w:val="0000FF"/>
            <w:u w:val="single"/>
            <w:rtl/>
          </w:rPr>
          <w:t>ע"א 142/23</w:t>
        </w:r>
      </w:hyperlink>
      <w:r>
        <w:rPr>
          <w:rFonts w:ascii="Arial" w:hAnsi="Arial" w:hint="cs"/>
          <w:noProof w:val="0"/>
          <w:rtl/>
        </w:rPr>
        <w:t xml:space="preserve"> </w:t>
      </w:r>
      <w:r w:rsidRPr="00360006">
        <w:rPr>
          <w:rFonts w:ascii="Arial" w:hAnsi="Arial" w:cs="Arial"/>
          <w:noProof w:val="0"/>
          <w:rtl/>
        </w:rPr>
        <w:t>נסאר סרחאן נ' הכונס הרשמי</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10.1.</w:t>
      </w:r>
      <w:r>
        <w:rPr>
          <w:rFonts w:ascii="Arial" w:hAnsi="Arial" w:hint="cs"/>
          <w:noProof w:val="0"/>
          <w:rtl/>
        </w:rPr>
        <w:t>2023</w:t>
      </w:r>
      <w:r w:rsidRPr="00EA197C">
        <w:rPr>
          <w:rFonts w:ascii="Arial" w:hAnsi="Arial"/>
          <w:noProof w:val="0"/>
          <w:rtl/>
        </w:rPr>
        <w:t>);</w:t>
      </w:r>
    </w:p>
    <w:p w14:paraId="62E83F3F" w14:textId="77777777" w:rsidR="00360006" w:rsidRDefault="00000000" w:rsidP="00360006">
      <w:pPr>
        <w:spacing w:line="360" w:lineRule="auto"/>
        <w:jc w:val="both"/>
        <w:rPr>
          <w:rFonts w:ascii="Arial" w:hAnsi="Arial"/>
          <w:noProof w:val="0"/>
          <w:rtl/>
        </w:rPr>
      </w:pPr>
      <w:hyperlink r:id="rId17" w:history="1">
        <w:r w:rsidR="001D022A" w:rsidRPr="001D022A">
          <w:rPr>
            <w:rFonts w:ascii="Arial" w:hAnsi="Arial"/>
            <w:noProof w:val="0"/>
            <w:color w:val="0000FF"/>
            <w:u w:val="single"/>
            <w:rtl/>
          </w:rPr>
          <w:t>ע"א 4401/21</w:t>
        </w:r>
      </w:hyperlink>
      <w:r>
        <w:rPr>
          <w:rFonts w:ascii="Arial" w:hAnsi="Arial" w:hint="cs"/>
          <w:noProof w:val="0"/>
          <w:rtl/>
        </w:rPr>
        <w:t xml:space="preserve"> </w:t>
      </w:r>
      <w:r w:rsidRPr="00360006">
        <w:rPr>
          <w:rFonts w:ascii="Arial" w:hAnsi="Arial" w:cs="Arial"/>
          <w:noProof w:val="0"/>
          <w:rtl/>
        </w:rPr>
        <w:t>יהודה אמיתי נ' רחל קרויז</w:t>
      </w:r>
      <w:r w:rsidRPr="00EA197C">
        <w:rPr>
          <w:rFonts w:ascii="Arial" w:hAnsi="Arial"/>
          <w:noProof w:val="0"/>
          <w:rtl/>
        </w:rPr>
        <w:t xml:space="preserve"> </w:t>
      </w:r>
      <w:r w:rsidR="00900120" w:rsidRPr="00900120">
        <w:rPr>
          <w:noProof w:val="0"/>
          <w:sz w:val="22"/>
          <w:rtl/>
        </w:rPr>
        <w:t xml:space="preserve">[פורסם בנבו] </w:t>
      </w:r>
      <w:r w:rsidRPr="00EA197C">
        <w:rPr>
          <w:rFonts w:ascii="Arial" w:hAnsi="Arial"/>
          <w:noProof w:val="0"/>
          <w:rtl/>
        </w:rPr>
        <w:t>(מיום 15.11.</w:t>
      </w:r>
      <w:r>
        <w:rPr>
          <w:rFonts w:ascii="Arial" w:hAnsi="Arial" w:hint="cs"/>
          <w:noProof w:val="0"/>
          <w:rtl/>
        </w:rPr>
        <w:t>2023</w:t>
      </w:r>
      <w:r w:rsidRPr="00EA197C">
        <w:rPr>
          <w:rFonts w:ascii="Arial" w:hAnsi="Arial"/>
          <w:noProof w:val="0"/>
          <w:rtl/>
        </w:rPr>
        <w:t>) בפסקה 34.</w:t>
      </w:r>
    </w:p>
    <w:p w14:paraId="02CF34A0" w14:textId="77777777" w:rsidR="00360006" w:rsidRPr="00EA197C" w:rsidRDefault="00000000" w:rsidP="00360006">
      <w:pPr>
        <w:spacing w:line="360" w:lineRule="auto"/>
        <w:jc w:val="both"/>
        <w:rPr>
          <w:rFonts w:ascii="Arial" w:hAnsi="Arial"/>
          <w:noProof w:val="0"/>
          <w:rtl/>
        </w:rPr>
      </w:pPr>
      <w:r w:rsidRPr="00EA197C">
        <w:rPr>
          <w:rFonts w:ascii="Arial" w:hAnsi="Arial"/>
          <w:noProof w:val="0"/>
          <w:rtl/>
        </w:rPr>
        <w:t xml:space="preserve">ולאחרונה: </w:t>
      </w:r>
      <w:r>
        <w:rPr>
          <w:rFonts w:ascii="Arial" w:hAnsi="Arial" w:hint="cs"/>
          <w:noProof w:val="0"/>
          <w:rtl/>
        </w:rPr>
        <w:t xml:space="preserve"> </w:t>
      </w:r>
      <w:hyperlink r:id="rId18" w:history="1">
        <w:r w:rsidR="001D022A" w:rsidRPr="001D022A">
          <w:rPr>
            <w:rFonts w:ascii="Arial" w:hAnsi="Arial"/>
            <w:noProof w:val="0"/>
            <w:color w:val="0000FF"/>
            <w:u w:val="single"/>
            <w:rtl/>
          </w:rPr>
          <w:t>רע"א 6757/23</w:t>
        </w:r>
      </w:hyperlink>
      <w:r>
        <w:rPr>
          <w:rFonts w:ascii="Arial" w:hAnsi="Arial" w:hint="cs"/>
          <w:noProof w:val="0"/>
          <w:rtl/>
        </w:rPr>
        <w:t xml:space="preserve"> </w:t>
      </w:r>
      <w:r w:rsidRPr="00360006">
        <w:rPr>
          <w:rFonts w:ascii="Arial" w:hAnsi="Arial" w:cs="Arial"/>
          <w:noProof w:val="0"/>
          <w:rtl/>
        </w:rPr>
        <w:t>דוד לוי נ' הנאמן עו"ד שמואל מיכאל</w:t>
      </w:r>
      <w:r>
        <w:rPr>
          <w:rFonts w:ascii="Arial" w:hAnsi="Arial" w:hint="cs"/>
          <w:noProof w:val="0"/>
          <w:rtl/>
        </w:rPr>
        <w:t xml:space="preserve"> </w:t>
      </w:r>
      <w:r w:rsidR="00900120" w:rsidRPr="00900120">
        <w:rPr>
          <w:noProof w:val="0"/>
          <w:sz w:val="22"/>
          <w:rtl/>
        </w:rPr>
        <w:t xml:space="preserve">[פורסם בנבו] </w:t>
      </w:r>
      <w:r>
        <w:rPr>
          <w:rFonts w:ascii="Arial" w:hAnsi="Arial" w:hint="cs"/>
          <w:noProof w:val="0"/>
          <w:rtl/>
        </w:rPr>
        <w:t>(מיום 22.1.2024) בפסקה 17.</w:t>
      </w:r>
    </w:p>
    <w:p w14:paraId="62227E58" w14:textId="77777777" w:rsidR="00360006" w:rsidRDefault="00360006" w:rsidP="00360006">
      <w:pPr>
        <w:spacing w:line="360" w:lineRule="auto"/>
        <w:jc w:val="both"/>
        <w:rPr>
          <w:rFonts w:ascii="Arial" w:hAnsi="Arial"/>
          <w:noProof w:val="0"/>
          <w:rtl/>
        </w:rPr>
      </w:pPr>
    </w:p>
    <w:p w14:paraId="6055D3DB" w14:textId="77777777" w:rsidR="00360006" w:rsidRDefault="00000000" w:rsidP="00360006">
      <w:pPr>
        <w:spacing w:line="360" w:lineRule="auto"/>
        <w:jc w:val="both"/>
        <w:rPr>
          <w:rFonts w:ascii="Arial" w:hAnsi="Arial"/>
          <w:noProof w:val="0"/>
          <w:rtl/>
        </w:rPr>
      </w:pPr>
      <w:r>
        <w:rPr>
          <w:rFonts w:ascii="Arial" w:hAnsi="Arial" w:hint="cs"/>
          <w:noProof w:val="0"/>
          <w:rtl/>
        </w:rPr>
        <w:t>במקרה זה, התשובה לשאלה הראשונה, החשובה, בדבר תום לבו של החייב, היא פשוטה וברורה. בטיעוני הנושים והמנהל המיוחד הועלו טענות כבדות משקל ביחס לנסיבות יצירת החובות וכן להברחת ציוד יקר ערך שהיה משועבד לטובת הנושה בנק דיסקונט, וכך גם הועלו טענות כבדות משקל לגבי המשך פעילות העסק באמצעות בני משפחה אחרים. גם אלמלא כלל הטענות האמורות,  עולה בבירור כי התנהלות החייב בהליך היא בחוסר תום לב כבד באופן המצדיק ביטול ההליך. זאת שעה שהחייב נמנע מקיום חובותיו הבסיסיות ביותר בדבר הגשת דוחות כלכליים מהימנים מגובים באסמכתאות ותשלום צו התשלומים החודשי.</w:t>
      </w:r>
    </w:p>
    <w:p w14:paraId="57AD59E4" w14:textId="77777777" w:rsidR="00360006" w:rsidRDefault="00360006" w:rsidP="00360006">
      <w:pPr>
        <w:spacing w:line="360" w:lineRule="auto"/>
        <w:jc w:val="both"/>
        <w:rPr>
          <w:rFonts w:ascii="Arial" w:hAnsi="Arial"/>
          <w:noProof w:val="0"/>
          <w:rtl/>
        </w:rPr>
      </w:pPr>
    </w:p>
    <w:p w14:paraId="305E57CC" w14:textId="77777777" w:rsidR="00360006" w:rsidRDefault="00000000" w:rsidP="00360006">
      <w:pPr>
        <w:spacing w:line="360" w:lineRule="auto"/>
        <w:jc w:val="both"/>
        <w:rPr>
          <w:rFonts w:ascii="Arial" w:hAnsi="Arial"/>
          <w:noProof w:val="0"/>
          <w:rtl/>
        </w:rPr>
      </w:pPr>
      <w:r>
        <w:rPr>
          <w:rFonts w:ascii="Arial" w:hAnsi="Arial" w:hint="cs"/>
          <w:noProof w:val="0"/>
          <w:rtl/>
        </w:rPr>
        <w:t>אשר לטענתו של החייב כי הוא אינו עובד בשל קושי נפשי או רפואי, יצוין כי טענת החייב לא נתמכה במסמכים כלשהם, למעט מסמכים בודדים משנת 2021 מהם עולה כי סבל אז מבעיות בשרירי רגליים ייתכן בשל חיסון קורונה והומלץ לו פיזיותרפיה והידרותרפיה. מעבר לכך, החייב לא פנה בתביעה להכרה בנכות במוסד לביטוח לאומי ולא הוצג מסמך רפואי כלשהו המלמד על פגיעה בכושר ההשתכרות. מכאן, שיש לדחות על הסף טענות החייב המבקשות להביא לשינוי בדיעבד של גובה צו התשלומים, כפי שנקבע בהחלטות בית המשפט.</w:t>
      </w:r>
    </w:p>
    <w:p w14:paraId="2E5AEA07" w14:textId="77777777" w:rsidR="00360006" w:rsidRDefault="00360006" w:rsidP="00360006">
      <w:pPr>
        <w:spacing w:line="360" w:lineRule="auto"/>
        <w:jc w:val="both"/>
        <w:rPr>
          <w:rFonts w:ascii="Arial" w:hAnsi="Arial"/>
          <w:noProof w:val="0"/>
          <w:rtl/>
        </w:rPr>
      </w:pPr>
    </w:p>
    <w:p w14:paraId="70D0DBDE"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יצוין כי החייב נמנע, באופן גורף, מלשלם תשלומים כלשהם לקופת הכינוס, וזאת משך פרק זמן ארוך מאד. </w:t>
      </w:r>
    </w:p>
    <w:p w14:paraId="178FBEE0" w14:textId="77777777" w:rsidR="00360006" w:rsidRDefault="00360006" w:rsidP="00360006">
      <w:pPr>
        <w:spacing w:line="360" w:lineRule="auto"/>
        <w:jc w:val="both"/>
        <w:rPr>
          <w:rFonts w:ascii="Arial" w:hAnsi="Arial"/>
          <w:noProof w:val="0"/>
          <w:rtl/>
        </w:rPr>
      </w:pPr>
    </w:p>
    <w:p w14:paraId="009A4828" w14:textId="77777777" w:rsidR="00360006" w:rsidRDefault="00000000" w:rsidP="00360006">
      <w:pPr>
        <w:spacing w:line="360" w:lineRule="auto"/>
        <w:jc w:val="both"/>
        <w:rPr>
          <w:rFonts w:ascii="Arial" w:hAnsi="Arial"/>
          <w:noProof w:val="0"/>
          <w:rtl/>
        </w:rPr>
      </w:pPr>
      <w:r w:rsidRPr="00362F3C">
        <w:rPr>
          <w:rFonts w:ascii="Arial" w:hAnsi="Arial"/>
          <w:noProof w:val="0"/>
          <w:rtl/>
        </w:rPr>
        <w:t>עמידה בצו התשלומים היא אחת מחובותיו הבסיסיות של חייב בהליך פשיטת רגל וחייב אינו רשאי להתעלם מצו התשלומים, אפילו סבור כי התשלום שהוטל עליו גבוה יתר על המידה. כפי שציין בית המשפט העליון ב</w:t>
      </w:r>
      <w:hyperlink r:id="rId19" w:history="1">
        <w:r w:rsidR="00900120" w:rsidRPr="00900120">
          <w:rPr>
            <w:rStyle w:val="Hyperlink"/>
            <w:rFonts w:ascii="Arial" w:hAnsi="Arial"/>
            <w:noProof w:val="0"/>
            <w:rtl/>
          </w:rPr>
          <w:t>ע"א 2063/07</w:t>
        </w:r>
      </w:hyperlink>
      <w:r w:rsidRPr="00362F3C">
        <w:rPr>
          <w:rFonts w:ascii="Arial" w:hAnsi="Arial"/>
          <w:noProof w:val="0"/>
          <w:rtl/>
        </w:rPr>
        <w:t xml:space="preserve"> </w:t>
      </w:r>
      <w:r w:rsidRPr="00360006">
        <w:rPr>
          <w:rFonts w:ascii="Arial" w:hAnsi="Arial" w:cs="Arial"/>
          <w:noProof w:val="0"/>
          <w:rtl/>
        </w:rPr>
        <w:t>שלמה יצחקי נ' הכונס הרשמי</w:t>
      </w:r>
      <w:r w:rsidRPr="00362F3C">
        <w:rPr>
          <w:rFonts w:ascii="Arial" w:hAnsi="Arial"/>
          <w:noProof w:val="0"/>
          <w:rtl/>
        </w:rPr>
        <w:t xml:space="preserve"> </w:t>
      </w:r>
      <w:r w:rsidR="00900120" w:rsidRPr="00900120">
        <w:rPr>
          <w:noProof w:val="0"/>
          <w:sz w:val="22"/>
          <w:rtl/>
        </w:rPr>
        <w:t xml:space="preserve">[פורסם בנבו] </w:t>
      </w:r>
      <w:r w:rsidRPr="00362F3C">
        <w:rPr>
          <w:rFonts w:ascii="Arial" w:hAnsi="Arial"/>
          <w:noProof w:val="0"/>
          <w:rtl/>
        </w:rPr>
        <w:t>(מיום 31.7.2008):</w:t>
      </w:r>
    </w:p>
    <w:p w14:paraId="39CEE386" w14:textId="77777777" w:rsidR="00360006" w:rsidRPr="00CB0AAB" w:rsidRDefault="00360006" w:rsidP="00360006">
      <w:pPr>
        <w:spacing w:line="360" w:lineRule="auto"/>
        <w:jc w:val="both"/>
        <w:rPr>
          <w:rFonts w:ascii="Arial" w:hAnsi="Arial"/>
          <w:noProof w:val="0"/>
          <w:sz w:val="18"/>
          <w:szCs w:val="18"/>
        </w:rPr>
      </w:pPr>
    </w:p>
    <w:p w14:paraId="50FB5FF9" w14:textId="77777777" w:rsidR="00360006" w:rsidRDefault="00000000" w:rsidP="00360006">
      <w:pPr>
        <w:ind w:left="567" w:right="567"/>
        <w:jc w:val="both"/>
        <w:rPr>
          <w:rFonts w:ascii="Arial" w:hAnsi="Arial"/>
          <w:noProof w:val="0"/>
          <w:rtl/>
        </w:rPr>
      </w:pPr>
      <w:r w:rsidRPr="00362F3C">
        <w:rPr>
          <w:rFonts w:ascii="Arial" w:hAnsi="Arial"/>
          <w:noProof w:val="0"/>
          <w:rtl/>
        </w:rPr>
        <w:t>"דעתנו היא כי צדק בית המשפט המחוזי בהחליטו לבטל את צווי הכינוס. חייב שניתן לגביו צו כינוס זוכה להגנה מפני הליכי הוצאה לפועל. חייב כזה אינו רשאי ליטול את הדבש בלא העוקץ. צו הכינוס מטיל מגבלות שונות על החייב. בדרך כלל כולל צו הכינוס הוראה המחייבת את החייב בתשלום חודשי לקופת פשיטת הרגל. מיותר לומר שעל החייב לקיים את המגבלות ולשאת בתשלום בו הוא חויב. אם התשלום שהושת גבוה מדי לטעמו של החייב, רשאי הוא לפנות לבית המשפט בבקשה להקטנת שיעורו. מוכנים אנו להניח שאכן הסכום שהוטל על כל אחד משלושת המערערים לשלמו מידי חודש היה גבוה יתר על המידה. אף אם כך הוא, אין לקבל שהמערערים יעשו דין לעצמם ויחליטו באופן חד צדדי לא לשלם את הסכום. המינימום הנדרש הוא שיגישו בקשה להפחתתו של התשלום החודשי. עליהם היה לעשות כן בסמוך למועד בו הושת החיוב." (פסקה 5 לפסק הדין).</w:t>
      </w:r>
    </w:p>
    <w:p w14:paraId="569DC605" w14:textId="77777777" w:rsidR="00360006" w:rsidRPr="00362F3C" w:rsidRDefault="00360006" w:rsidP="00360006">
      <w:pPr>
        <w:ind w:left="567" w:right="567"/>
        <w:jc w:val="both"/>
        <w:rPr>
          <w:rFonts w:ascii="Arial" w:hAnsi="Arial"/>
          <w:noProof w:val="0"/>
        </w:rPr>
      </w:pPr>
    </w:p>
    <w:p w14:paraId="7DC2A39A" w14:textId="77777777" w:rsidR="00360006" w:rsidRDefault="00000000" w:rsidP="00360006">
      <w:pPr>
        <w:spacing w:line="360" w:lineRule="auto"/>
        <w:jc w:val="both"/>
        <w:rPr>
          <w:rFonts w:ascii="Arial" w:hAnsi="Arial"/>
          <w:noProof w:val="0"/>
          <w:rtl/>
        </w:rPr>
      </w:pPr>
      <w:r>
        <w:rPr>
          <w:rFonts w:ascii="Arial" w:hAnsi="Arial" w:hint="cs"/>
          <w:noProof w:val="0"/>
          <w:rtl/>
        </w:rPr>
        <w:t>ב</w:t>
      </w:r>
      <w:hyperlink r:id="rId20" w:history="1">
        <w:r w:rsidR="001D022A" w:rsidRPr="001D022A">
          <w:rPr>
            <w:rFonts w:ascii="Arial" w:hAnsi="Arial"/>
            <w:noProof w:val="0"/>
            <w:color w:val="0000FF"/>
            <w:u w:val="single"/>
            <w:rtl/>
          </w:rPr>
          <w:t>ע"א 4174/21</w:t>
        </w:r>
      </w:hyperlink>
      <w:r>
        <w:rPr>
          <w:rFonts w:ascii="Arial" w:hAnsi="Arial" w:hint="cs"/>
          <w:noProof w:val="0"/>
          <w:rtl/>
        </w:rPr>
        <w:t xml:space="preserve"> </w:t>
      </w:r>
      <w:r w:rsidRPr="00360006">
        <w:rPr>
          <w:rFonts w:ascii="Arial" w:hAnsi="Arial" w:cs="Arial"/>
          <w:noProof w:val="0"/>
          <w:rtl/>
        </w:rPr>
        <w:t>טואפרה חוסין נ' עו"ד גבריאלי עופר</w:t>
      </w:r>
      <w:r w:rsidRPr="00362F3C">
        <w:rPr>
          <w:rFonts w:ascii="Arial" w:hAnsi="Arial"/>
          <w:noProof w:val="0"/>
          <w:rtl/>
        </w:rPr>
        <w:t xml:space="preserve"> </w:t>
      </w:r>
      <w:r w:rsidR="00900120" w:rsidRPr="00900120">
        <w:rPr>
          <w:noProof w:val="0"/>
          <w:sz w:val="22"/>
          <w:rtl/>
        </w:rPr>
        <w:t xml:space="preserve">[פורסם בנבו] </w:t>
      </w:r>
      <w:r w:rsidRPr="00362F3C">
        <w:rPr>
          <w:rFonts w:ascii="Arial" w:hAnsi="Arial"/>
          <w:noProof w:val="0"/>
          <w:rtl/>
        </w:rPr>
        <w:t xml:space="preserve">(מיום 22.6.2021), בית המשפט העליון עמד על חוסר תום הלב שיש למצוא בהתנהלות חייב שנמנע מתשלום כלשהו משך תקופה ארוכה, אפילו יש לו טענות לגבי גובה התשלום שנקבע: </w:t>
      </w:r>
    </w:p>
    <w:p w14:paraId="2F0B3977" w14:textId="77777777" w:rsidR="00360006" w:rsidRPr="00CB0AAB" w:rsidRDefault="00360006" w:rsidP="00360006">
      <w:pPr>
        <w:spacing w:line="360" w:lineRule="auto"/>
        <w:jc w:val="both"/>
        <w:rPr>
          <w:rFonts w:ascii="Arial" w:hAnsi="Arial"/>
          <w:noProof w:val="0"/>
          <w:sz w:val="18"/>
          <w:szCs w:val="18"/>
        </w:rPr>
      </w:pPr>
    </w:p>
    <w:p w14:paraId="5CA86112" w14:textId="77777777" w:rsidR="00360006" w:rsidRDefault="00000000" w:rsidP="00360006">
      <w:pPr>
        <w:ind w:left="567" w:right="567"/>
        <w:jc w:val="both"/>
        <w:rPr>
          <w:rFonts w:ascii="Arial" w:hAnsi="Arial"/>
          <w:noProof w:val="0"/>
          <w:rtl/>
        </w:rPr>
      </w:pPr>
      <w:r w:rsidRPr="00362F3C">
        <w:rPr>
          <w:rFonts w:ascii="Arial" w:hAnsi="Arial"/>
          <w:noProof w:val="0"/>
          <w:rtl/>
        </w:rPr>
        <w:t>"בניסיון להצדיק את מחדלו מבקש המערער להיאחז בכך שבקשתו להפחתת התשלום החודשי מיום 19.2.2015 לא הוכרעה מעולם. אולם כפי שהודגש בפסק הדין, אין בכך כדי להצדיק את התנהלותו המתוארת של המערער, שכן כל עוד לא הוחלט אחרת היה עליו לעמוד בתשלום החודשי שנקבע בעניינו...  יתר  על כן, אף לוּ הייתה נענית בקשת המערער להפחית את צו התשלומים החודשי שהושת עליו ולהעמידו על סך של 500 ש"ח, היה עליו לשלם סכום זה. אולם, לא מיניה ולא מקצתיה. המערער לא שילם מאומה ואם התנהגות כזו אינה מוגדרת כהתנהגות חסרת תום לב, קשה לשער התנהגות אחרת שתכנס לגדרה." (פסקה 8 בפסק הדין).</w:t>
      </w:r>
    </w:p>
    <w:p w14:paraId="42A0DD62" w14:textId="77777777" w:rsidR="00360006" w:rsidRPr="00362F3C" w:rsidRDefault="00360006" w:rsidP="00360006">
      <w:pPr>
        <w:spacing w:line="360" w:lineRule="auto"/>
        <w:jc w:val="both"/>
        <w:rPr>
          <w:rFonts w:ascii="Arial" w:hAnsi="Arial"/>
          <w:noProof w:val="0"/>
        </w:rPr>
      </w:pPr>
    </w:p>
    <w:p w14:paraId="3059DD62"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לצד התנערות גורפת של החייב מתשלום צו התשלומים, החייב לא הגיש דוחות כלכליים באופן מלא ומסודר, בליווי אסמכתאות, והדיווחים אותם הגיש נמצאו כבלתי מהימנים. </w:t>
      </w:r>
      <w:r w:rsidRPr="003B46A9">
        <w:rPr>
          <w:rFonts w:ascii="Arial" w:hAnsi="Arial"/>
          <w:noProof w:val="0"/>
          <w:rtl/>
        </w:rPr>
        <w:t xml:space="preserve">המדובר במחדל כבד, אשר יש בו, בפני עצמו, כדי להוביל למסקנה בדבר ביטול ההליך. </w:t>
      </w:r>
    </w:p>
    <w:p w14:paraId="028EB7D8" w14:textId="77777777" w:rsidR="00360006" w:rsidRDefault="00360006" w:rsidP="00360006">
      <w:pPr>
        <w:spacing w:line="360" w:lineRule="auto"/>
        <w:jc w:val="both"/>
        <w:rPr>
          <w:rFonts w:ascii="Arial" w:hAnsi="Arial"/>
          <w:noProof w:val="0"/>
          <w:rtl/>
        </w:rPr>
      </w:pPr>
    </w:p>
    <w:p w14:paraId="382F98A2" w14:textId="77777777" w:rsidR="00360006" w:rsidRPr="003B46A9" w:rsidRDefault="00000000" w:rsidP="00360006">
      <w:pPr>
        <w:spacing w:line="360" w:lineRule="auto"/>
        <w:jc w:val="both"/>
        <w:rPr>
          <w:rFonts w:ascii="Arial" w:hAnsi="Arial"/>
          <w:noProof w:val="0"/>
        </w:rPr>
      </w:pPr>
      <w:r w:rsidRPr="003B46A9">
        <w:rPr>
          <w:rFonts w:ascii="Arial" w:hAnsi="Arial"/>
          <w:noProof w:val="0"/>
          <w:rtl/>
        </w:rPr>
        <w:t>בפסיקה נקבע לא אחת, כי העדר שיתוף פעולה במתן מידע לגבי התנהלותו הכלכלית של חייב ואי הגשת דוחות מצדיקים ביטול ההליך. כך למשל נקבע</w:t>
      </w:r>
      <w:r>
        <w:rPr>
          <w:rFonts w:ascii="Arial" w:hAnsi="Arial" w:hint="cs"/>
          <w:noProof w:val="0"/>
          <w:rtl/>
        </w:rPr>
        <w:t xml:space="preserve"> ב</w:t>
      </w:r>
      <w:hyperlink r:id="rId21" w:history="1">
        <w:r w:rsidR="001D022A" w:rsidRPr="001D022A">
          <w:rPr>
            <w:rFonts w:ascii="Arial" w:hAnsi="Arial"/>
            <w:noProof w:val="0"/>
            <w:color w:val="0000FF"/>
            <w:u w:val="single"/>
            <w:rtl/>
          </w:rPr>
          <w:t>ע"א 3296/16</w:t>
        </w:r>
      </w:hyperlink>
      <w:r>
        <w:rPr>
          <w:rFonts w:ascii="Arial" w:hAnsi="Arial" w:hint="cs"/>
          <w:noProof w:val="0"/>
          <w:rtl/>
        </w:rPr>
        <w:t xml:space="preserve"> </w:t>
      </w:r>
      <w:r w:rsidRPr="00360006">
        <w:rPr>
          <w:rFonts w:ascii="Arial" w:hAnsi="Arial" w:cs="Arial"/>
          <w:noProof w:val="0"/>
          <w:rtl/>
        </w:rPr>
        <w:t>יחיאל גרבש נ' איתן ארז- נאמן</w:t>
      </w:r>
      <w:r w:rsidRPr="003B46A9">
        <w:rPr>
          <w:rFonts w:ascii="Arial" w:hAnsi="Arial"/>
          <w:noProof w:val="0"/>
          <w:rtl/>
        </w:rPr>
        <w:t xml:space="preserve"> </w:t>
      </w:r>
      <w:r w:rsidR="00900120" w:rsidRPr="00900120">
        <w:rPr>
          <w:noProof w:val="0"/>
          <w:sz w:val="22"/>
          <w:rtl/>
        </w:rPr>
        <w:t xml:space="preserve">[פורסם בנבו] </w:t>
      </w:r>
      <w:r w:rsidRPr="003B46A9">
        <w:rPr>
          <w:rFonts w:ascii="Arial" w:hAnsi="Arial"/>
          <w:noProof w:val="0"/>
          <w:rtl/>
        </w:rPr>
        <w:t xml:space="preserve">(מיום 14.11.2017): </w:t>
      </w:r>
    </w:p>
    <w:p w14:paraId="14FF5D6B" w14:textId="77777777" w:rsidR="00360006" w:rsidRDefault="00360006" w:rsidP="00360006">
      <w:pPr>
        <w:spacing w:line="360" w:lineRule="auto"/>
        <w:jc w:val="both"/>
        <w:rPr>
          <w:rFonts w:ascii="Arial" w:hAnsi="Arial"/>
          <w:noProof w:val="0"/>
          <w:rtl/>
        </w:rPr>
      </w:pPr>
    </w:p>
    <w:p w14:paraId="23AF7ED5" w14:textId="77777777" w:rsidR="00360006" w:rsidRPr="003B46A9" w:rsidRDefault="00000000" w:rsidP="00360006">
      <w:pPr>
        <w:ind w:left="567" w:right="567"/>
        <w:jc w:val="both"/>
        <w:rPr>
          <w:rFonts w:ascii="Arial" w:hAnsi="Arial"/>
          <w:noProof w:val="0"/>
        </w:rPr>
      </w:pPr>
      <w:r w:rsidRPr="003B46A9">
        <w:rPr>
          <w:rFonts w:ascii="Arial" w:hAnsi="Arial"/>
          <w:noProof w:val="0"/>
          <w:rtl/>
        </w:rPr>
        <w:t xml:space="preserve">"חייב שלא שיתף פעולה עם הכנ"ר (והדברים יפים אף בהתייחס למי שמונה על ידי בית המשפט כנאמן), לא התייצב לחקירה שאליה זומן ולא מסר מידע ומסמכים על אף שנדרש לעשות כן, צפוי שבית המשפט יבטל את צו הכינוס שהוצא בעניינו... אנו סבורים כי הדברים נכונים אף בהתייחס להתעלמות מתמשכת של החייב מחובתו להגיש דו"חות על הכנסותיו והוצאותיו לנאמן ולכנ"ר." </w:t>
      </w:r>
    </w:p>
    <w:p w14:paraId="1EA16442" w14:textId="77777777" w:rsidR="00360006" w:rsidRDefault="00360006" w:rsidP="00360006">
      <w:pPr>
        <w:spacing w:line="360" w:lineRule="auto"/>
        <w:jc w:val="both"/>
        <w:rPr>
          <w:rFonts w:ascii="Arial" w:hAnsi="Arial"/>
          <w:noProof w:val="0"/>
          <w:rtl/>
        </w:rPr>
      </w:pPr>
    </w:p>
    <w:p w14:paraId="308FF844" w14:textId="77777777" w:rsidR="00360006" w:rsidRPr="003B46A9" w:rsidRDefault="00000000" w:rsidP="00360006">
      <w:pPr>
        <w:spacing w:line="360" w:lineRule="auto"/>
        <w:jc w:val="both"/>
        <w:rPr>
          <w:rFonts w:ascii="Arial" w:hAnsi="Arial"/>
          <w:noProof w:val="0"/>
        </w:rPr>
      </w:pPr>
      <w:r w:rsidRPr="003B46A9">
        <w:rPr>
          <w:rFonts w:ascii="Arial" w:hAnsi="Arial"/>
          <w:noProof w:val="0"/>
          <w:rtl/>
        </w:rPr>
        <w:t>בפסיקת בתי המשפט ניתן דגש לחובה בהגשת דוחות כלכליים ולהשלכות הנובעות ממחדל זה, שעה שמדובר לעתים במחדל אשר עולה במשקלו על המחדל הנפוץ באי תשלום לפי צו התשלומים. כך למשל נקבע בהחלטה בתיק</w:t>
      </w:r>
      <w:r>
        <w:rPr>
          <w:rFonts w:ascii="Arial" w:hAnsi="Arial" w:hint="cs"/>
          <w:noProof w:val="0"/>
          <w:rtl/>
        </w:rPr>
        <w:t xml:space="preserve"> </w:t>
      </w:r>
      <w:hyperlink r:id="rId22" w:history="1">
        <w:r w:rsidR="001D022A" w:rsidRPr="001D022A">
          <w:rPr>
            <w:rFonts w:ascii="Arial" w:hAnsi="Arial"/>
            <w:noProof w:val="0"/>
            <w:color w:val="0000FF"/>
            <w:u w:val="single"/>
            <w:rtl/>
          </w:rPr>
          <w:t>פש"ר (חיפה) 33982-12-11</w:t>
        </w:r>
      </w:hyperlink>
      <w:r>
        <w:rPr>
          <w:rFonts w:ascii="Arial" w:hAnsi="Arial" w:hint="cs"/>
          <w:noProof w:val="0"/>
          <w:rtl/>
        </w:rPr>
        <w:t xml:space="preserve"> </w:t>
      </w:r>
      <w:r w:rsidRPr="00360006">
        <w:rPr>
          <w:rFonts w:ascii="Arial" w:hAnsi="Arial" w:cs="Arial"/>
          <w:noProof w:val="0"/>
          <w:rtl/>
        </w:rPr>
        <w:t>חסדיה נ' כונס נכסים רשמי מחוז חיפה והצפון</w:t>
      </w:r>
      <w:r w:rsidRPr="003B46A9">
        <w:rPr>
          <w:rFonts w:ascii="Arial" w:hAnsi="Arial"/>
          <w:noProof w:val="0"/>
          <w:rtl/>
        </w:rPr>
        <w:t xml:space="preserve"> </w:t>
      </w:r>
      <w:r w:rsidR="00900120" w:rsidRPr="00900120">
        <w:rPr>
          <w:noProof w:val="0"/>
          <w:sz w:val="22"/>
          <w:rtl/>
        </w:rPr>
        <w:t xml:space="preserve">[פורסם בנבו] </w:t>
      </w:r>
      <w:r w:rsidRPr="003B46A9">
        <w:rPr>
          <w:rFonts w:ascii="Arial" w:hAnsi="Arial"/>
          <w:noProof w:val="0"/>
          <w:rtl/>
        </w:rPr>
        <w:t xml:space="preserve">(מיום 31.8.2014): </w:t>
      </w:r>
    </w:p>
    <w:p w14:paraId="1E341CB3" w14:textId="77777777" w:rsidR="00360006" w:rsidRDefault="00360006" w:rsidP="00360006">
      <w:pPr>
        <w:spacing w:line="360" w:lineRule="auto"/>
        <w:jc w:val="both"/>
        <w:rPr>
          <w:rFonts w:ascii="Arial" w:hAnsi="Arial"/>
          <w:noProof w:val="0"/>
          <w:rtl/>
        </w:rPr>
      </w:pPr>
    </w:p>
    <w:p w14:paraId="503DCA41" w14:textId="77777777" w:rsidR="00360006" w:rsidRPr="003B46A9" w:rsidRDefault="00000000" w:rsidP="00360006">
      <w:pPr>
        <w:ind w:left="567" w:right="567"/>
        <w:jc w:val="both"/>
        <w:rPr>
          <w:rFonts w:ascii="Arial" w:hAnsi="Arial"/>
          <w:noProof w:val="0"/>
        </w:rPr>
      </w:pPr>
      <w:r w:rsidRPr="003B46A9">
        <w:rPr>
          <w:rFonts w:ascii="Arial" w:hAnsi="Arial"/>
          <w:noProof w:val="0"/>
          <w:rtl/>
        </w:rPr>
        <w:t xml:space="preserve">"אמנם לזכותו של החייב יש לומר כי אין לו פיגורים במסגרת ההליך, ואולם לטעמי, המחדל של אי הגשת דוחות בצירוף אסמכתאות מלאות, עולה, לעיתים, בחומרתו על פיגורים לקופת הכינוס. אין צורך להכביר מילים ביחס לחשיבות מילוי חובתו של חייב בדבר הגשת דו"חות בדבר הכנסות והוצאות כסדרם, שכן הדו"חות נועדו, בראש ובראשונה, ליתן בידי בעלי התפקיד והנושים מידע עדכני בדבר התנהלותו היומיומית של החייב, הכנסות החייב והוצאותיו, כושר השתכרותו וכושרו לפרוע חובותיו. אי הגשת דו"חות מלאים מונעת מעקב אחר מצבו הכלכלי ורמת חייו של החייב. מחדל זה מקבל משנה תוקף על רקע העובדה כי המדובר בחובה הנעדרת עלות כספית, ולכן אין כל הצדקה לאי מילויה על ידי החייב.  ויוטעם, הגשת דוחות ללא אסמכתאות כמוה כאי הגשת דוחות כלל."  </w:t>
      </w:r>
    </w:p>
    <w:p w14:paraId="6D850789" w14:textId="77777777" w:rsidR="00360006" w:rsidRDefault="00360006" w:rsidP="00360006">
      <w:pPr>
        <w:spacing w:line="360" w:lineRule="auto"/>
        <w:jc w:val="both"/>
        <w:rPr>
          <w:rFonts w:ascii="Arial" w:hAnsi="Arial"/>
          <w:noProof w:val="0"/>
          <w:rtl/>
        </w:rPr>
      </w:pPr>
    </w:p>
    <w:p w14:paraId="237F1080" w14:textId="77777777" w:rsidR="00360006" w:rsidRDefault="00000000" w:rsidP="00360006">
      <w:pPr>
        <w:spacing w:line="360" w:lineRule="auto"/>
        <w:jc w:val="both"/>
        <w:rPr>
          <w:rFonts w:ascii="Arial" w:hAnsi="Arial"/>
          <w:noProof w:val="0"/>
          <w:rtl/>
        </w:rPr>
      </w:pPr>
      <w:r w:rsidRPr="00362F3C">
        <w:rPr>
          <w:rFonts w:ascii="Arial" w:hAnsi="Arial"/>
          <w:noProof w:val="0"/>
          <w:rtl/>
        </w:rPr>
        <w:t xml:space="preserve">במקרה זה, </w:t>
      </w:r>
      <w:r>
        <w:rPr>
          <w:rFonts w:ascii="Arial" w:hAnsi="Arial" w:hint="cs"/>
          <w:noProof w:val="0"/>
          <w:rtl/>
        </w:rPr>
        <w:t xml:space="preserve">לצד הטענות כבדות המשקל בנוגע להתנהלות החייב ביצירת החובות והברחת נכסים וכן ביחס לפעילות העסק הרשום על שם בני משפחה, </w:t>
      </w:r>
      <w:r w:rsidRPr="00362F3C">
        <w:rPr>
          <w:rFonts w:ascii="Arial" w:hAnsi="Arial"/>
          <w:noProof w:val="0"/>
          <w:rtl/>
        </w:rPr>
        <w:t xml:space="preserve">החייב לא שילם מאומה משך </w:t>
      </w:r>
      <w:r>
        <w:rPr>
          <w:rFonts w:ascii="Arial" w:hAnsi="Arial" w:hint="cs"/>
          <w:noProof w:val="0"/>
          <w:rtl/>
        </w:rPr>
        <w:t>תקופה ארוכה מאד</w:t>
      </w:r>
      <w:r w:rsidRPr="00362F3C">
        <w:rPr>
          <w:rFonts w:ascii="Arial" w:hAnsi="Arial"/>
          <w:noProof w:val="0"/>
          <w:rtl/>
        </w:rPr>
        <w:t xml:space="preserve">, ומחדל מתמשך זה, העומד לצד המחדל </w:t>
      </w:r>
      <w:r>
        <w:rPr>
          <w:rFonts w:ascii="Arial" w:hAnsi="Arial" w:hint="cs"/>
          <w:noProof w:val="0"/>
          <w:rtl/>
        </w:rPr>
        <w:t xml:space="preserve">הנובע מהעדר הגשת דוחות כלכליים מסודרים ומהימנים, </w:t>
      </w:r>
      <w:r w:rsidRPr="00362F3C">
        <w:rPr>
          <w:rFonts w:ascii="Arial" w:hAnsi="Arial"/>
          <w:noProof w:val="0"/>
          <w:rtl/>
        </w:rPr>
        <w:t>יש בו להביא לביטול ההליך</w:t>
      </w:r>
      <w:r>
        <w:rPr>
          <w:rFonts w:ascii="Arial" w:hAnsi="Arial" w:hint="cs"/>
          <w:noProof w:val="0"/>
          <w:rtl/>
        </w:rPr>
        <w:t>.</w:t>
      </w:r>
    </w:p>
    <w:p w14:paraId="5CA8D08C" w14:textId="77777777" w:rsidR="00360006" w:rsidRDefault="00360006" w:rsidP="00360006">
      <w:pPr>
        <w:spacing w:line="360" w:lineRule="auto"/>
        <w:jc w:val="both"/>
        <w:rPr>
          <w:rFonts w:ascii="Arial" w:hAnsi="Arial"/>
          <w:noProof w:val="0"/>
          <w:rtl/>
        </w:rPr>
      </w:pPr>
    </w:p>
    <w:p w14:paraId="535560BA" w14:textId="77777777" w:rsidR="00360006" w:rsidRDefault="00000000" w:rsidP="00360006">
      <w:pPr>
        <w:spacing w:line="360" w:lineRule="auto"/>
        <w:jc w:val="both"/>
        <w:rPr>
          <w:rFonts w:ascii="Arial" w:hAnsi="Arial"/>
          <w:noProof w:val="0"/>
          <w:rtl/>
        </w:rPr>
      </w:pPr>
      <w:r>
        <w:rPr>
          <w:rFonts w:ascii="Arial" w:hAnsi="Arial" w:hint="cs"/>
          <w:noProof w:val="0"/>
          <w:rtl/>
        </w:rPr>
        <w:t>במצב דברים זה, אין לחייב זכות לכפות על נושיו ניהול הליך פשיטת הרגל שנפתח לפי בקשתו. החייב אינו זכאי להגנת ההליך והתנהגותו אינה מצדיקה עיכוב הנושים מנקיטה בהליכים ואלו זכאים לפעול בהליכים לגביית החובות הגבוהים שיצר החייב כלפיהם.</w:t>
      </w:r>
    </w:p>
    <w:p w14:paraId="0D6C9F8F" w14:textId="77777777" w:rsidR="00360006" w:rsidRDefault="00360006" w:rsidP="00360006">
      <w:pPr>
        <w:spacing w:line="360" w:lineRule="auto"/>
        <w:jc w:val="both"/>
        <w:rPr>
          <w:rFonts w:ascii="Arial" w:hAnsi="Arial"/>
          <w:noProof w:val="0"/>
          <w:rtl/>
        </w:rPr>
      </w:pPr>
    </w:p>
    <w:p w14:paraId="1B31D837" w14:textId="77777777" w:rsidR="00360006" w:rsidRDefault="00000000" w:rsidP="00360006">
      <w:pPr>
        <w:spacing w:line="360" w:lineRule="auto"/>
        <w:jc w:val="both"/>
        <w:rPr>
          <w:rFonts w:ascii="Arial" w:hAnsi="Arial"/>
          <w:noProof w:val="0"/>
          <w:u w:val="single"/>
          <w:rtl/>
        </w:rPr>
      </w:pPr>
      <w:r>
        <w:rPr>
          <w:rFonts w:ascii="Arial" w:hAnsi="Arial" w:hint="cs"/>
          <w:noProof w:val="0"/>
          <w:u w:val="single"/>
          <w:rtl/>
        </w:rPr>
        <w:t>שאלת התועלת לנושים</w:t>
      </w:r>
    </w:p>
    <w:p w14:paraId="62407059" w14:textId="77777777" w:rsidR="00360006" w:rsidRDefault="00360006" w:rsidP="00360006">
      <w:pPr>
        <w:spacing w:line="360" w:lineRule="auto"/>
        <w:jc w:val="both"/>
        <w:rPr>
          <w:rFonts w:ascii="Arial" w:hAnsi="Arial"/>
          <w:noProof w:val="0"/>
          <w:u w:val="single"/>
          <w:rtl/>
        </w:rPr>
      </w:pPr>
    </w:p>
    <w:p w14:paraId="5D22F347" w14:textId="77777777" w:rsidR="00360006" w:rsidRDefault="00000000" w:rsidP="00360006">
      <w:pPr>
        <w:spacing w:line="360" w:lineRule="auto"/>
        <w:jc w:val="both"/>
        <w:rPr>
          <w:rFonts w:ascii="Arial" w:hAnsi="Arial"/>
          <w:noProof w:val="0"/>
          <w:rtl/>
        </w:rPr>
      </w:pPr>
      <w:r>
        <w:rPr>
          <w:rFonts w:ascii="Arial" w:hAnsi="Arial" w:hint="cs"/>
          <w:noProof w:val="0"/>
          <w:rtl/>
        </w:rPr>
        <w:t>משנקבע כי מדובר במקרה מובהק בו ראוי לבטל ההליך עקב מחדלים כבדים של החייב, יש לבחון את שאלת התועלת לנושים מהמשך ניהול ההליך.</w:t>
      </w:r>
    </w:p>
    <w:p w14:paraId="20DBC8AE" w14:textId="77777777" w:rsidR="00360006" w:rsidRDefault="00360006" w:rsidP="00360006">
      <w:pPr>
        <w:spacing w:line="360" w:lineRule="auto"/>
        <w:jc w:val="both"/>
        <w:rPr>
          <w:rFonts w:ascii="Arial" w:hAnsi="Arial"/>
          <w:noProof w:val="0"/>
          <w:rtl/>
        </w:rPr>
      </w:pPr>
    </w:p>
    <w:p w14:paraId="2AAE858B" w14:textId="77777777" w:rsidR="00360006" w:rsidRDefault="00000000" w:rsidP="00360006">
      <w:pPr>
        <w:spacing w:line="360" w:lineRule="auto"/>
        <w:jc w:val="both"/>
        <w:rPr>
          <w:rFonts w:ascii="Arial" w:hAnsi="Arial"/>
          <w:noProof w:val="0"/>
          <w:rtl/>
        </w:rPr>
      </w:pPr>
      <w:r>
        <w:rPr>
          <w:rFonts w:ascii="Arial" w:hAnsi="Arial" w:hint="cs"/>
          <w:noProof w:val="0"/>
          <w:rtl/>
        </w:rPr>
        <w:t>בשאלה זו, יש לתת משקל מכריע לעמדות הנושים כפי שהוצגו בפני בית המשפט.</w:t>
      </w:r>
    </w:p>
    <w:p w14:paraId="0445E02B" w14:textId="77777777" w:rsidR="00360006" w:rsidRDefault="00360006" w:rsidP="00360006">
      <w:pPr>
        <w:spacing w:line="360" w:lineRule="auto"/>
        <w:jc w:val="both"/>
        <w:rPr>
          <w:rFonts w:ascii="Arial" w:hAnsi="Arial"/>
          <w:noProof w:val="0"/>
          <w:rtl/>
        </w:rPr>
      </w:pPr>
    </w:p>
    <w:p w14:paraId="07B58DB8" w14:textId="77777777" w:rsidR="00360006" w:rsidRDefault="00000000" w:rsidP="00360006">
      <w:pPr>
        <w:spacing w:line="360" w:lineRule="auto"/>
        <w:jc w:val="both"/>
        <w:rPr>
          <w:rFonts w:ascii="Arial" w:hAnsi="Arial"/>
          <w:noProof w:val="0"/>
          <w:rtl/>
        </w:rPr>
      </w:pPr>
      <w:r>
        <w:rPr>
          <w:rFonts w:ascii="Arial" w:hAnsi="Arial" w:hint="cs"/>
          <w:noProof w:val="0"/>
          <w:rtl/>
        </w:rPr>
        <w:t>סיכום עמדות הנושים, ובפרט על רקע משקלן של עמדות הנושים ביחס לגובה תביעות החוב, מלמד בבירור כי הנושים מתנגדים להצעת החייב לפדיון הזכויות ויש לקבל עמדת הנושים העיקריים המבקשים לבטל ההליך ולאפשר להם נקיטה בהליכי חדלות פירעון לפי חוק חדלות פירעון.</w:t>
      </w:r>
    </w:p>
    <w:p w14:paraId="5B0A72E1" w14:textId="77777777" w:rsidR="00360006" w:rsidRDefault="00360006" w:rsidP="00360006">
      <w:pPr>
        <w:spacing w:line="360" w:lineRule="auto"/>
        <w:jc w:val="both"/>
        <w:rPr>
          <w:rFonts w:ascii="Arial" w:hAnsi="Arial"/>
          <w:noProof w:val="0"/>
          <w:rtl/>
        </w:rPr>
      </w:pPr>
    </w:p>
    <w:p w14:paraId="3AE613EE"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המנהל המיוחד ממליץ לנסות ולבחון מתווה מוסכם לפדיון זכויות החייב בנכס, וזאת לאחר שהמשא והמתן שהתנהל מול החייב משך למעלה משנה לא נשא פרי. אלא שבחינת עמדות הצדדים בנוגע לסכום הנדרש לפדיון הזכויות מלמד כי מדובר בפער שאינו ניתן לגישור, כשלצד זאת קיימים פערים משמעותיים נוספים. </w:t>
      </w:r>
    </w:p>
    <w:p w14:paraId="27976469" w14:textId="77777777" w:rsidR="00360006" w:rsidRDefault="00360006" w:rsidP="00360006">
      <w:pPr>
        <w:spacing w:line="360" w:lineRule="auto"/>
        <w:jc w:val="both"/>
        <w:rPr>
          <w:rFonts w:ascii="Arial" w:hAnsi="Arial"/>
          <w:noProof w:val="0"/>
          <w:rtl/>
        </w:rPr>
      </w:pPr>
    </w:p>
    <w:p w14:paraId="75F3C68A" w14:textId="77777777" w:rsidR="00360006" w:rsidRDefault="00000000" w:rsidP="00360006">
      <w:pPr>
        <w:spacing w:line="360" w:lineRule="auto"/>
        <w:jc w:val="both"/>
        <w:rPr>
          <w:rFonts w:ascii="Arial" w:hAnsi="Arial"/>
          <w:noProof w:val="0"/>
          <w:rtl/>
        </w:rPr>
      </w:pPr>
      <w:r>
        <w:rPr>
          <w:rFonts w:ascii="Arial" w:hAnsi="Arial" w:hint="cs"/>
          <w:noProof w:val="0"/>
          <w:rtl/>
        </w:rPr>
        <w:t xml:space="preserve">כמפורט לעיל, החייב הציע לשלם סך של 600,000 ₪ לפדיון הזכויות, כאשר הצעה זו כוללת גם דרישה למתן הפטר. כפי שהוסבר בתגובת בנק דיסקונט, הצעת החייב רחוקה מאד מהסכומים הרלבנטיים ואינה יכולה לשמש כבסיס לדיון. לפי עמדת בנק דיסקונט, סכום הפדיון ההולם, ובפרט בהליכי חדלות פירעון, מגיע לסך של 745,000 ₪. מאחר והצעת החייב כוללת גם דרישה למתן הפטר, היא מגלמת בהיבט פדיון הזכויות סכום נמוך בלבד, שכן יש להפחית ממנה את חוב הפיגורים שהחייב נדרש לשלם בסך של למעלה מ- 200,000 ₪ וכן סכום נוסף כבסיס לבקשה להפטר. </w:t>
      </w:r>
    </w:p>
    <w:p w14:paraId="24149764" w14:textId="77777777" w:rsidR="00360006" w:rsidRDefault="00360006" w:rsidP="00360006">
      <w:pPr>
        <w:spacing w:line="360" w:lineRule="auto"/>
        <w:jc w:val="both"/>
        <w:rPr>
          <w:rFonts w:ascii="Arial" w:hAnsi="Arial"/>
          <w:noProof w:val="0"/>
          <w:rtl/>
        </w:rPr>
      </w:pPr>
    </w:p>
    <w:p w14:paraId="4500A986" w14:textId="77777777" w:rsidR="00360006" w:rsidRDefault="00000000" w:rsidP="00360006">
      <w:pPr>
        <w:spacing w:line="360" w:lineRule="auto"/>
        <w:jc w:val="both"/>
        <w:rPr>
          <w:rFonts w:ascii="Arial" w:hAnsi="Arial"/>
          <w:noProof w:val="0"/>
          <w:rtl/>
        </w:rPr>
      </w:pPr>
      <w:r>
        <w:rPr>
          <w:rFonts w:ascii="Arial" w:hAnsi="Arial" w:hint="cs"/>
          <w:noProof w:val="0"/>
          <w:rtl/>
        </w:rPr>
        <w:t>לאחר ששקלתי את עמדות הצדדים ואת הטענות שהוצגו, אני מוצא כי בחלוף פרק זמן של למעלה משנה במהלכו התאפשר לצדדים לנסות ולגבש מתווה מוסכם ובשים לב לפער הגדול בין עמדות הצדדים, הרי שאין כל טעם בניסיון לגבש הסכמה ויש להכריע בגורל ההליך.</w:t>
      </w:r>
    </w:p>
    <w:p w14:paraId="45745D7C" w14:textId="77777777" w:rsidR="00360006" w:rsidRDefault="00360006" w:rsidP="00360006">
      <w:pPr>
        <w:spacing w:line="360" w:lineRule="auto"/>
        <w:jc w:val="both"/>
        <w:rPr>
          <w:rFonts w:ascii="Arial" w:hAnsi="Arial"/>
          <w:noProof w:val="0"/>
          <w:rtl/>
        </w:rPr>
      </w:pPr>
    </w:p>
    <w:p w14:paraId="1C3335CA" w14:textId="77777777" w:rsidR="00360006" w:rsidRDefault="00000000" w:rsidP="00360006">
      <w:pPr>
        <w:spacing w:line="360" w:lineRule="auto"/>
        <w:jc w:val="both"/>
        <w:rPr>
          <w:rFonts w:ascii="Arial" w:hAnsi="Arial"/>
          <w:noProof w:val="0"/>
          <w:rtl/>
        </w:rPr>
      </w:pPr>
      <w:r w:rsidRPr="006E79EA">
        <w:rPr>
          <w:rFonts w:ascii="Arial" w:hAnsi="Arial"/>
          <w:noProof w:val="0"/>
          <w:rtl/>
        </w:rPr>
        <w:t xml:space="preserve">ראוי להבהיר כי במקרה בו עולה מסקנה לביטול הליך בשל חוסר תום לב, הרי שגם אם מחליט בית המשפט להותיר ההליך בשל אפשרות לתועלת לנושים, אין בכך לסתור הקביעה בדבר חוסר תום לב שיש בו לפסול מתן הפטר. היינו, </w:t>
      </w:r>
      <w:r>
        <w:rPr>
          <w:rFonts w:ascii="Arial" w:hAnsi="Arial" w:hint="cs"/>
          <w:noProof w:val="0"/>
          <w:rtl/>
        </w:rPr>
        <w:t xml:space="preserve">גם אם היה נראה שיש טעם </w:t>
      </w:r>
      <w:r w:rsidRPr="006E79EA">
        <w:rPr>
          <w:rFonts w:ascii="Arial" w:hAnsi="Arial"/>
          <w:noProof w:val="0"/>
          <w:rtl/>
        </w:rPr>
        <w:t xml:space="preserve">לקדם ההליך על מנת לבחון התועלת לנושים, הרי שבסופו של ההליך, עם מימוש נכסי החייב, </w:t>
      </w:r>
      <w:r>
        <w:rPr>
          <w:rFonts w:ascii="Arial" w:hAnsi="Arial" w:hint="cs"/>
          <w:noProof w:val="0"/>
          <w:rtl/>
        </w:rPr>
        <w:t>היה מקום לשקול ביטול ההליך</w:t>
      </w:r>
      <w:r w:rsidRPr="006E79EA">
        <w:rPr>
          <w:rFonts w:ascii="Arial" w:hAnsi="Arial"/>
          <w:noProof w:val="0"/>
        </w:rPr>
        <w:t>.</w:t>
      </w:r>
      <w:r>
        <w:rPr>
          <w:rFonts w:ascii="Arial" w:hAnsi="Arial" w:hint="cs"/>
          <w:noProof w:val="0"/>
          <w:rtl/>
        </w:rPr>
        <w:t xml:space="preserve"> אלא שבמקרה זה, ראוי לקבל עמדת הנושים אשר מבקשים לבטל ההליך כעת על מנת לאפשר להם לנקוט בהליכי חדלות פירעון לפי חוק חדלות פירעון ושיקום כלכלי, כאשר לעמדתם מסלול זה הוא עדיף בהיבט התועלת לנושים.</w:t>
      </w:r>
    </w:p>
    <w:p w14:paraId="73A354C1" w14:textId="77777777" w:rsidR="00360006" w:rsidRPr="006E79EA" w:rsidRDefault="00360006" w:rsidP="00360006">
      <w:pPr>
        <w:spacing w:line="360" w:lineRule="auto"/>
        <w:jc w:val="both"/>
        <w:rPr>
          <w:rFonts w:ascii="Arial" w:hAnsi="Arial"/>
          <w:noProof w:val="0"/>
          <w:rtl/>
        </w:rPr>
      </w:pPr>
    </w:p>
    <w:p w14:paraId="5BF7702A" w14:textId="77777777" w:rsidR="00360006" w:rsidRDefault="00000000" w:rsidP="00360006">
      <w:pPr>
        <w:spacing w:line="360" w:lineRule="auto"/>
        <w:jc w:val="both"/>
        <w:rPr>
          <w:rFonts w:ascii="Arial" w:hAnsi="Arial"/>
          <w:noProof w:val="0"/>
          <w:rtl/>
        </w:rPr>
      </w:pPr>
      <w:r>
        <w:rPr>
          <w:rFonts w:ascii="Arial" w:hAnsi="Arial" w:hint="cs"/>
          <w:noProof w:val="0"/>
          <w:rtl/>
        </w:rPr>
        <w:t>אין מקום לכפות על הנושים להמשיך בניהול הליך פשיטת רגל שנפתח לפי בקשת החייב, במסגרתו פועל החייב בחוסר תום לב ותוך התנערות מחובותיו הבסיסיות בהליך, כאשר העמדה המובילה והמכרעת של הנושים מלמדת על עדיפות לביטול ההליך לצורך מתן אפשרות לנקיטה בהליך משפטי חלופי העומד לזכותם.</w:t>
      </w:r>
    </w:p>
    <w:p w14:paraId="3E96E56E" w14:textId="77777777" w:rsidR="00360006" w:rsidRDefault="00360006" w:rsidP="00360006">
      <w:pPr>
        <w:spacing w:line="360" w:lineRule="auto"/>
        <w:jc w:val="both"/>
        <w:rPr>
          <w:rFonts w:ascii="Arial" w:hAnsi="Arial"/>
          <w:noProof w:val="0"/>
          <w:rtl/>
        </w:rPr>
      </w:pPr>
    </w:p>
    <w:p w14:paraId="3DEC9590" w14:textId="77777777" w:rsidR="00360006" w:rsidRDefault="00000000" w:rsidP="00360006">
      <w:pPr>
        <w:spacing w:after="240" w:line="360" w:lineRule="auto"/>
        <w:jc w:val="both"/>
        <w:rPr>
          <w:rFonts w:ascii="Arial" w:hAnsi="Arial"/>
          <w:noProof w:val="0"/>
          <w:rtl/>
        </w:rPr>
      </w:pPr>
      <w:r w:rsidRPr="00D1212F">
        <w:rPr>
          <w:rFonts w:ascii="Arial" w:hAnsi="Arial"/>
          <w:noProof w:val="0"/>
          <w:rtl/>
        </w:rPr>
        <w:t xml:space="preserve">נוכח האמור לעיל, אני מורה על ביטול ההליכים בתיק. צו כינוס הנכסים ועיכוב ההליכים שניתנו להגנתו של החייב, בטלים; </w:t>
      </w:r>
      <w:r>
        <w:rPr>
          <w:rFonts w:ascii="Arial" w:hAnsi="Arial" w:hint="cs"/>
          <w:noProof w:val="0"/>
          <w:rtl/>
        </w:rPr>
        <w:t xml:space="preserve">ההגבלות שהוטלו על החייב ועל נכסיו לרבות </w:t>
      </w:r>
      <w:r w:rsidRPr="00D1212F">
        <w:rPr>
          <w:rFonts w:ascii="Arial" w:hAnsi="Arial"/>
          <w:noProof w:val="0"/>
          <w:rtl/>
        </w:rPr>
        <w:t>צו עיכוב היציאה מן הארץ נגד החייב יבוטל</w:t>
      </w:r>
      <w:r>
        <w:rPr>
          <w:rFonts w:ascii="Arial" w:hAnsi="Arial" w:hint="cs"/>
          <w:noProof w:val="0"/>
          <w:rtl/>
        </w:rPr>
        <w:t>ו</w:t>
      </w:r>
      <w:r w:rsidRPr="00D1212F">
        <w:rPr>
          <w:rFonts w:ascii="Arial" w:hAnsi="Arial"/>
          <w:noProof w:val="0"/>
          <w:rtl/>
        </w:rPr>
        <w:t xml:space="preserve"> בתוך </w:t>
      </w:r>
      <w:r>
        <w:rPr>
          <w:rFonts w:ascii="Arial" w:hAnsi="Arial" w:hint="cs"/>
          <w:noProof w:val="0"/>
          <w:rtl/>
        </w:rPr>
        <w:t>60</w:t>
      </w:r>
      <w:r w:rsidRPr="00D1212F">
        <w:rPr>
          <w:rFonts w:ascii="Arial" w:hAnsi="Arial"/>
          <w:noProof w:val="0"/>
          <w:rtl/>
        </w:rPr>
        <w:t xml:space="preserve"> יום, על-מנת לאפשר לנושים לפעול </w:t>
      </w:r>
      <w:r>
        <w:rPr>
          <w:rFonts w:ascii="Arial" w:hAnsi="Arial" w:hint="cs"/>
          <w:noProof w:val="0"/>
          <w:rtl/>
        </w:rPr>
        <w:t>למתן צו לפתיחת הליכים</w:t>
      </w:r>
      <w:r w:rsidRPr="00D1212F">
        <w:rPr>
          <w:rFonts w:ascii="Arial" w:hAnsi="Arial"/>
          <w:noProof w:val="0"/>
          <w:rtl/>
        </w:rPr>
        <w:t>; שכר</w:t>
      </w:r>
      <w:r>
        <w:rPr>
          <w:rFonts w:ascii="Arial" w:hAnsi="Arial" w:hint="cs"/>
          <w:noProof w:val="0"/>
          <w:rtl/>
        </w:rPr>
        <w:t>ו</w:t>
      </w:r>
      <w:r w:rsidRPr="00D1212F">
        <w:rPr>
          <w:rFonts w:ascii="Arial" w:hAnsi="Arial"/>
          <w:noProof w:val="0"/>
          <w:rtl/>
        </w:rPr>
        <w:t xml:space="preserve"> של </w:t>
      </w:r>
      <w:r>
        <w:rPr>
          <w:rFonts w:ascii="Arial" w:hAnsi="Arial" w:hint="cs"/>
          <w:noProof w:val="0"/>
          <w:rtl/>
        </w:rPr>
        <w:t>המנהל המיוחד</w:t>
      </w:r>
      <w:r w:rsidRPr="00D1212F">
        <w:rPr>
          <w:rFonts w:ascii="Arial" w:hAnsi="Arial"/>
          <w:noProof w:val="0"/>
          <w:rtl/>
        </w:rPr>
        <w:t xml:space="preserve"> ישולם בהתאם לתקנות השכר, והכונס הרשמי זכאי לשכר השגחה; היתרה שתיוותר לאחר תשלום הוצאות ההליך, </w:t>
      </w:r>
      <w:r>
        <w:rPr>
          <w:rFonts w:ascii="Arial" w:hAnsi="Arial" w:hint="cs"/>
          <w:noProof w:val="0"/>
          <w:rtl/>
        </w:rPr>
        <w:t>תועבר לקופת הנשייה בהליך חדלות הפירעון שעתיד להתנהל</w:t>
      </w:r>
      <w:r w:rsidRPr="00D1212F">
        <w:rPr>
          <w:rFonts w:ascii="Arial" w:hAnsi="Arial"/>
          <w:noProof w:val="0"/>
          <w:rtl/>
        </w:rPr>
        <w:t xml:space="preserve">. </w:t>
      </w:r>
    </w:p>
    <w:p w14:paraId="38327EAB" w14:textId="77777777" w:rsidR="00360006" w:rsidRPr="00D1212F" w:rsidRDefault="00000000" w:rsidP="00360006">
      <w:pPr>
        <w:spacing w:after="240" w:line="360" w:lineRule="auto"/>
        <w:jc w:val="both"/>
        <w:rPr>
          <w:rFonts w:ascii="Arial" w:hAnsi="Arial"/>
          <w:noProof w:val="0"/>
        </w:rPr>
      </w:pPr>
      <w:r>
        <w:rPr>
          <w:rFonts w:ascii="Arial" w:hAnsi="Arial" w:hint="cs"/>
          <w:noProof w:val="0"/>
          <w:rtl/>
        </w:rPr>
        <w:t>זכות ערעור לבית המשפט העליון.</w:t>
      </w:r>
    </w:p>
    <w:p w14:paraId="0432394C" w14:textId="77777777" w:rsidR="00360006" w:rsidRPr="00D1212F" w:rsidRDefault="00360006" w:rsidP="00360006">
      <w:pPr>
        <w:spacing w:line="360" w:lineRule="auto"/>
        <w:jc w:val="both"/>
        <w:rPr>
          <w:rFonts w:ascii="Arial" w:hAnsi="Arial"/>
          <w:noProof w:val="0"/>
          <w:rtl/>
        </w:rPr>
      </w:pPr>
    </w:p>
    <w:p w14:paraId="15CCBD8D" w14:textId="77777777" w:rsidR="00360006" w:rsidRDefault="001D022A" w:rsidP="00360006">
      <w:pPr>
        <w:spacing w:line="360" w:lineRule="auto"/>
        <w:jc w:val="both"/>
        <w:rPr>
          <w:rFonts w:ascii="Arial" w:hAnsi="Arial"/>
          <w:noProof w:val="0"/>
          <w:rtl/>
        </w:rPr>
      </w:pPr>
      <w:bookmarkStart w:id="7" w:name="Nitan"/>
      <w:r w:rsidRPr="001D022A">
        <w:rPr>
          <w:rFonts w:ascii="Arial" w:hAnsi="Arial"/>
          <w:noProof w:val="0"/>
          <w:color w:val="FFFFFF"/>
          <w:sz w:val="2"/>
          <w:szCs w:val="2"/>
          <w:rtl/>
        </w:rPr>
        <w:t>5129371</w:t>
      </w:r>
      <w:r>
        <w:rPr>
          <w:rFonts w:ascii="Arial" w:hAnsi="Arial"/>
          <w:noProof w:val="0"/>
          <w:rtl/>
        </w:rPr>
        <w:t xml:space="preserve">ניתן היום,  כ"א אדר ב' תשפ"ד, 31 מרץ 2024, בהעדר הצדדים. </w:t>
      </w:r>
      <w:bookmarkEnd w:id="7"/>
      <w:r w:rsidR="00000000">
        <w:rPr>
          <w:rFonts w:ascii="Arial" w:hAnsi="Arial"/>
          <w:noProof w:val="0"/>
          <w:rtl/>
        </w:rPr>
        <w:tab/>
      </w:r>
      <w:r w:rsidR="00000000">
        <w:rPr>
          <w:rFonts w:ascii="Arial" w:hAnsi="Arial"/>
          <w:noProof w:val="0"/>
          <w:rtl/>
        </w:rPr>
        <w:tab/>
      </w:r>
      <w:r w:rsidR="00000000">
        <w:rPr>
          <w:rFonts w:ascii="Arial" w:hAnsi="Arial"/>
          <w:noProof w:val="0"/>
          <w:rtl/>
        </w:rPr>
        <w:tab/>
      </w:r>
    </w:p>
    <w:tbl>
      <w:tblPr>
        <w:bidiVisual/>
        <w:tblW w:w="0" w:type="auto"/>
        <w:tblInd w:w="4760" w:type="dxa"/>
        <w:tblCellMar>
          <w:left w:w="0" w:type="dxa"/>
          <w:right w:w="0" w:type="dxa"/>
        </w:tblCellMar>
        <w:tblLook w:val="04A0" w:firstRow="1" w:lastRow="0" w:firstColumn="1" w:lastColumn="0" w:noHBand="0" w:noVBand="1"/>
      </w:tblPr>
      <w:tblGrid>
        <w:gridCol w:w="2496"/>
      </w:tblGrid>
      <w:tr w:rsidR="00927EBF" w14:paraId="475AC95C" w14:textId="77777777" w:rsidTr="00DD07D2">
        <w:trPr>
          <w:trHeight w:val="197"/>
        </w:trPr>
        <w:tc>
          <w:tcPr>
            <w:tcW w:w="2496" w:type="dxa"/>
            <w:tcMar>
              <w:top w:w="0" w:type="dxa"/>
              <w:left w:w="108" w:type="dxa"/>
              <w:bottom w:w="0" w:type="dxa"/>
              <w:right w:w="108" w:type="dxa"/>
            </w:tcMar>
          </w:tcPr>
          <w:p w14:paraId="6A9092C0" w14:textId="77777777" w:rsidR="00360006" w:rsidRPr="00831F43" w:rsidRDefault="00000000" w:rsidP="00DD07D2">
            <w:pPr>
              <w:jc w:val="center"/>
              <w:rPr>
                <w:rFonts w:ascii="Courier New" w:hAnsi="Courier New"/>
                <w:b/>
                <w:bCs/>
                <w:lang w:eastAsia="he-IL"/>
              </w:rPr>
            </w:pPr>
            <w:r>
              <w:rPr>
                <w:rFonts w:hint="cs"/>
                <w:b/>
                <w:bCs/>
                <w:rtl/>
              </w:rPr>
              <w:t>גיל דניאל</w:t>
            </w:r>
            <w:r w:rsidRPr="00831F43">
              <w:rPr>
                <w:b/>
                <w:bCs/>
                <w:rtl/>
              </w:rPr>
              <w:t>, שופט</w:t>
            </w:r>
          </w:p>
        </w:tc>
      </w:tr>
    </w:tbl>
    <w:p w14:paraId="00EBA0B3" w14:textId="77777777" w:rsidR="00360006" w:rsidRPr="002F7B1C" w:rsidRDefault="002F7B1C" w:rsidP="00360006">
      <w:pPr>
        <w:jc w:val="both"/>
        <w:rPr>
          <w:rFonts w:ascii="Arial" w:hAnsi="Arial"/>
          <w:noProof w:val="0"/>
          <w:color w:val="FFFFFF"/>
          <w:sz w:val="2"/>
          <w:szCs w:val="2"/>
          <w:rtl/>
        </w:rPr>
      </w:pPr>
      <w:r w:rsidRPr="002F7B1C">
        <w:rPr>
          <w:rFonts w:ascii="Arial" w:hAnsi="Arial"/>
          <w:noProof w:val="0"/>
          <w:color w:val="FFFFFF"/>
          <w:sz w:val="2"/>
          <w:szCs w:val="2"/>
          <w:rtl/>
        </w:rPr>
        <w:t>5129371</w:t>
      </w:r>
    </w:p>
    <w:p w14:paraId="6A809112" w14:textId="77777777" w:rsidR="001D022A" w:rsidRPr="002F7B1C" w:rsidRDefault="002F7B1C" w:rsidP="002F7B1C">
      <w:pPr>
        <w:keepNext/>
        <w:rPr>
          <w:rFonts w:ascii="David" w:hAnsi="David"/>
          <w:color w:val="FFFFFF"/>
          <w:sz w:val="2"/>
          <w:szCs w:val="2"/>
        </w:rPr>
      </w:pPr>
      <w:r w:rsidRPr="002F7B1C">
        <w:rPr>
          <w:rFonts w:ascii="David" w:hAnsi="David"/>
          <w:color w:val="FFFFFF"/>
          <w:sz w:val="2"/>
          <w:szCs w:val="2"/>
          <w:rtl/>
        </w:rPr>
        <w:t>54678313</w:t>
      </w:r>
    </w:p>
    <w:p w14:paraId="614A5986" w14:textId="77777777" w:rsidR="001D022A" w:rsidRDefault="001D022A" w:rsidP="001D022A">
      <w:pPr>
        <w:rPr>
          <w:rtl/>
        </w:rPr>
      </w:pPr>
    </w:p>
    <w:p w14:paraId="7C5943E4" w14:textId="77777777" w:rsidR="001D022A" w:rsidRDefault="00000000" w:rsidP="001D022A">
      <w:pPr>
        <w:jc w:val="center"/>
        <w:rPr>
          <w:color w:val="0000FF"/>
          <w:u w:val="single"/>
        </w:rPr>
      </w:pPr>
      <w:hyperlink r:id="rId23" w:history="1">
        <w:r>
          <w:rPr>
            <w:color w:val="0000FF"/>
            <w:u w:val="single"/>
            <w:rtl/>
          </w:rPr>
          <w:t>בעניין עריכה ושינויים במסמכי פסיקה, חקיקה ועוד באתר נבו – הקש כאן</w:t>
        </w:r>
      </w:hyperlink>
    </w:p>
    <w:p w14:paraId="078E7658" w14:textId="77777777" w:rsidR="002F7B1C" w:rsidRPr="002F7B1C" w:rsidRDefault="002F7B1C" w:rsidP="002F7B1C">
      <w:pPr>
        <w:keepNext/>
        <w:rPr>
          <w:rFonts w:ascii="David" w:hAnsi="David"/>
          <w:color w:val="000000"/>
          <w:sz w:val="22"/>
          <w:szCs w:val="22"/>
          <w:rtl/>
        </w:rPr>
      </w:pPr>
    </w:p>
    <w:p w14:paraId="7F5ED2D3" w14:textId="77777777" w:rsidR="002F7B1C" w:rsidRPr="002F7B1C" w:rsidRDefault="00000000" w:rsidP="002F7B1C">
      <w:pPr>
        <w:keepNext/>
        <w:rPr>
          <w:rFonts w:ascii="David" w:hAnsi="David"/>
          <w:color w:val="000000"/>
          <w:sz w:val="22"/>
          <w:szCs w:val="22"/>
          <w:rtl/>
        </w:rPr>
      </w:pPr>
      <w:r w:rsidRPr="002F7B1C">
        <w:rPr>
          <w:rFonts w:ascii="David" w:hAnsi="David"/>
          <w:color w:val="000000"/>
          <w:sz w:val="22"/>
          <w:szCs w:val="22"/>
          <w:rtl/>
        </w:rPr>
        <w:t>גיל דניאל 54678313-/</w:t>
      </w:r>
    </w:p>
    <w:p w14:paraId="73CAE614" w14:textId="77777777" w:rsidR="001D022A" w:rsidRPr="001D022A" w:rsidRDefault="002F7B1C" w:rsidP="002F7B1C">
      <w:pPr>
        <w:rPr>
          <w:color w:val="0000FF"/>
          <w:u w:val="single"/>
        </w:rPr>
      </w:pPr>
      <w:r w:rsidRPr="002F7B1C">
        <w:rPr>
          <w:color w:val="000000"/>
          <w:u w:val="single"/>
          <w:rtl/>
        </w:rPr>
        <w:t>נוסח מסמך זה כפוף לשינויי ניסוח ועריכה</w:t>
      </w:r>
    </w:p>
    <w:sectPr w:rsidR="001D022A" w:rsidRPr="001D022A" w:rsidSect="0067400E">
      <w:headerReference w:type="even" r:id="rId24"/>
      <w:headerReference w:type="default" r:id="rId25"/>
      <w:footerReference w:type="even" r:id="rId26"/>
      <w:footerReference w:type="default" r:id="rId27"/>
      <w:pgSz w:w="11907" w:h="16840" w:code="9"/>
      <w:pgMar w:top="1701" w:right="1701" w:bottom="1474" w:left="1701" w:header="720" w:footer="737"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DCCF2" w14:textId="77777777" w:rsidR="0067400E" w:rsidRDefault="0067400E">
      <w:r>
        <w:separator/>
      </w:r>
    </w:p>
  </w:endnote>
  <w:endnote w:type="continuationSeparator" w:id="0">
    <w:p w14:paraId="7352B0EA" w14:textId="77777777" w:rsidR="0067400E" w:rsidRDefault="0067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9A0A2" w14:textId="77777777" w:rsidR="002F7B1C" w:rsidRDefault="00000000" w:rsidP="002F7B1C">
    <w:pPr>
      <w:pStyle w:val="a5"/>
      <w:jc w:val="center"/>
      <w:rPr>
        <w:rFonts w:ascii="FrankRuehl" w:hAnsi="FrankRuehl" w:cs="FrankRuehl"/>
        <w:rt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2</w:t>
    </w:r>
    <w:r>
      <w:rPr>
        <w:rFonts w:ascii="FrankRuehl" w:hAnsi="FrankRuehl" w:cs="FrankRuehl"/>
        <w:rtl/>
      </w:rPr>
      <w:fldChar w:fldCharType="end"/>
    </w:r>
  </w:p>
  <w:p w14:paraId="35041A67" w14:textId="7876B34B" w:rsidR="001D022A" w:rsidRPr="002F7B1C" w:rsidRDefault="001E051E" w:rsidP="002F7B1C">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14:anchorId="026DE5D9" wp14:editId="10CBE0AB">
          <wp:extent cx="552450" cy="228600"/>
          <wp:effectExtent l="0" t="0" r="0" b="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6FB238" w14:textId="77777777" w:rsidR="002F7B1C" w:rsidRDefault="00000000" w:rsidP="002F7B1C">
    <w:pPr>
      <w:pStyle w:val="a5"/>
      <w:jc w:val="center"/>
      <w:rPr>
        <w:rStyle w:val="a8"/>
        <w:rFonts w:ascii="FrankRuehl" w:hAnsi="FrankRuehl" w:cs="FrankRuehl"/>
        <w:rtl/>
      </w:rPr>
    </w:pPr>
    <w:r>
      <w:rPr>
        <w:rStyle w:val="a8"/>
        <w:rFonts w:ascii="FrankRuehl" w:hAnsi="FrankRuehl" w:cs="FrankRuehl"/>
        <w:rtl/>
      </w:rPr>
      <w:fldChar w:fldCharType="begin"/>
    </w:r>
    <w:r>
      <w:rPr>
        <w:rStyle w:val="a8"/>
        <w:rFonts w:ascii="FrankRuehl" w:hAnsi="FrankRuehl" w:cs="FrankRuehl"/>
        <w:rtl/>
      </w:rPr>
      <w:instrText xml:space="preserve"> </w:instrText>
    </w:r>
    <w:r>
      <w:rPr>
        <w:rStyle w:val="a8"/>
        <w:rFonts w:ascii="FrankRuehl" w:hAnsi="FrankRuehl" w:cs="FrankRuehl" w:hint="cs"/>
      </w:rPr>
      <w:instrText>PAGE</w:instrText>
    </w:r>
    <w:r>
      <w:rPr>
        <w:rStyle w:val="a8"/>
        <w:rFonts w:ascii="FrankRuehl" w:hAnsi="FrankRuehl" w:cs="FrankRuehl" w:hint="cs"/>
        <w:rtl/>
      </w:rPr>
      <w:instrText xml:space="preserve">  \* </w:instrText>
    </w:r>
    <w:r>
      <w:rPr>
        <w:rStyle w:val="a8"/>
        <w:rFonts w:ascii="FrankRuehl" w:hAnsi="FrankRuehl" w:cs="FrankRuehl" w:hint="cs"/>
      </w:rPr>
      <w:instrText>MERGEFORMAT</w:instrText>
    </w:r>
    <w:r>
      <w:rPr>
        <w:rStyle w:val="a8"/>
        <w:rFonts w:ascii="FrankRuehl" w:hAnsi="FrankRuehl" w:cs="FrankRuehl"/>
        <w:rtl/>
      </w:rPr>
      <w:instrText xml:space="preserve"> </w:instrText>
    </w:r>
    <w:r>
      <w:rPr>
        <w:rStyle w:val="a8"/>
        <w:rFonts w:ascii="FrankRuehl" w:hAnsi="FrankRuehl" w:cs="FrankRuehl"/>
        <w:rtl/>
      </w:rPr>
      <w:fldChar w:fldCharType="separate"/>
    </w:r>
    <w:r w:rsidR="00CF63A7">
      <w:rPr>
        <w:rStyle w:val="a8"/>
        <w:rFonts w:ascii="FrankRuehl" w:hAnsi="FrankRuehl" w:cs="FrankRuehl"/>
        <w:rtl/>
      </w:rPr>
      <w:t>1</w:t>
    </w:r>
    <w:r>
      <w:rPr>
        <w:rStyle w:val="a8"/>
        <w:rFonts w:ascii="FrankRuehl" w:hAnsi="FrankRuehl" w:cs="FrankRuehl"/>
        <w:rtl/>
      </w:rPr>
      <w:fldChar w:fldCharType="end"/>
    </w:r>
  </w:p>
  <w:p w14:paraId="3C14EBA1" w14:textId="3FD2C37B" w:rsidR="00DD07D2" w:rsidRPr="002F7B1C" w:rsidRDefault="001E051E" w:rsidP="002F7B1C">
    <w:pPr>
      <w:pStyle w:val="a5"/>
      <w:pBdr>
        <w:top w:val="single" w:sz="4" w:space="1" w:color="auto"/>
        <w:between w:val="single" w:sz="4" w:space="0" w:color="auto"/>
      </w:pBdr>
      <w:spacing w:after="60"/>
      <w:jc w:val="center"/>
      <w:rPr>
        <w:rStyle w:val="a8"/>
        <w:rFonts w:ascii="FrankRuehl" w:hAnsi="FrankRuehl" w:cs="FrankRuehl"/>
        <w:color w:val="000000"/>
        <w:rtl/>
      </w:rPr>
    </w:pPr>
    <w:r>
      <w:rPr>
        <w:rStyle w:val="a8"/>
        <w:rFonts w:ascii="FrankRuehl" w:hAnsi="FrankRuehl" w:cs="FrankRuehl"/>
        <w:color w:val="000000"/>
      </w:rPr>
      <w:drawing>
        <wp:inline distT="0" distB="0" distL="0" distR="0" wp14:anchorId="4D17790B" wp14:editId="6E2C9811">
          <wp:extent cx="552450" cy="228600"/>
          <wp:effectExtent l="0" t="0" r="0" b="0"/>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7C973" w14:textId="77777777" w:rsidR="0067400E" w:rsidRDefault="0067400E">
      <w:r>
        <w:separator/>
      </w:r>
    </w:p>
  </w:footnote>
  <w:footnote w:type="continuationSeparator" w:id="0">
    <w:p w14:paraId="77CEC67B" w14:textId="77777777" w:rsidR="0067400E" w:rsidRDefault="0067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4F2E" w14:textId="77777777" w:rsidR="001D022A" w:rsidRPr="002F7B1C" w:rsidRDefault="002F7B1C" w:rsidP="002F7B1C">
    <w:pPr>
      <w:pStyle w:val="a3"/>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פשר (ב"ש) 6358-02-19</w:t>
    </w:r>
    <w:r>
      <w:rPr>
        <w:rFonts w:ascii="David" w:hAnsi="David"/>
        <w:color w:val="000000"/>
        <w:sz w:val="22"/>
        <w:szCs w:val="22"/>
        <w:rtl/>
      </w:rPr>
      <w:tab/>
      <w:t xml:space="preserve"> שאול אריה אליהו נ' הכונס הרשמי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07646" w14:textId="77777777" w:rsidR="001D022A" w:rsidRPr="002F7B1C" w:rsidRDefault="002F7B1C" w:rsidP="002F7B1C">
    <w:pPr>
      <w:pStyle w:val="a3"/>
      <w:pBdr>
        <w:bottom w:val="single" w:sz="4" w:space="1" w:color="auto"/>
      </w:pBdr>
      <w:tabs>
        <w:tab w:val="clear" w:pos="4153"/>
        <w:tab w:val="clear" w:pos="8306"/>
        <w:tab w:val="right" w:pos="8311"/>
      </w:tabs>
      <w:spacing w:line="220" w:lineRule="auto"/>
      <w:rPr>
        <w:rFonts w:ascii="David" w:hAnsi="David"/>
        <w:color w:val="000000"/>
        <w:sz w:val="22"/>
        <w:szCs w:val="22"/>
        <w:rtl/>
      </w:rPr>
    </w:pPr>
    <w:r>
      <w:rPr>
        <w:rFonts w:ascii="David" w:hAnsi="David"/>
        <w:color w:val="000000"/>
        <w:sz w:val="22"/>
        <w:szCs w:val="22"/>
        <w:rtl/>
      </w:rPr>
      <w:t>פשר (ב"ש) 6358-02-19</w:t>
    </w:r>
    <w:r>
      <w:rPr>
        <w:rFonts w:ascii="David" w:hAnsi="David"/>
        <w:color w:val="000000"/>
        <w:sz w:val="22"/>
        <w:szCs w:val="22"/>
        <w:rtl/>
      </w:rPr>
      <w:tab/>
      <w:t xml:space="preserve"> שאול אריה אליהו נ' הכונס הרשמי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yInfo" w:val="This document was extracted from Nevo's site"/>
  </w:docVars>
  <w:rsids>
    <w:rsidRoot w:val="00360006"/>
    <w:rsid w:val="00160558"/>
    <w:rsid w:val="001B5A3B"/>
    <w:rsid w:val="001D022A"/>
    <w:rsid w:val="001E051E"/>
    <w:rsid w:val="002F7B1C"/>
    <w:rsid w:val="00360006"/>
    <w:rsid w:val="00362F3C"/>
    <w:rsid w:val="003B46A9"/>
    <w:rsid w:val="004171C9"/>
    <w:rsid w:val="00451B25"/>
    <w:rsid w:val="004602EE"/>
    <w:rsid w:val="004810FA"/>
    <w:rsid w:val="00503E75"/>
    <w:rsid w:val="00546AB8"/>
    <w:rsid w:val="005E522E"/>
    <w:rsid w:val="00650D9F"/>
    <w:rsid w:val="0067400E"/>
    <w:rsid w:val="006E79EA"/>
    <w:rsid w:val="00831F43"/>
    <w:rsid w:val="00900120"/>
    <w:rsid w:val="00927EBF"/>
    <w:rsid w:val="009A4F3D"/>
    <w:rsid w:val="00A11B63"/>
    <w:rsid w:val="00AD1E62"/>
    <w:rsid w:val="00B6711C"/>
    <w:rsid w:val="00B83AA1"/>
    <w:rsid w:val="00C716C3"/>
    <w:rsid w:val="00C95C7F"/>
    <w:rsid w:val="00CB0AAB"/>
    <w:rsid w:val="00CE5D47"/>
    <w:rsid w:val="00CF63A7"/>
    <w:rsid w:val="00D1212F"/>
    <w:rsid w:val="00DD07D2"/>
    <w:rsid w:val="00E26FC1"/>
    <w:rsid w:val="00EA197C"/>
    <w:rsid w:val="00FB3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982F2"/>
  <w15:docId w15:val="{C3C55FC9-B244-4EF8-91A4-3E11644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0006"/>
    <w:pPr>
      <w:bidi/>
    </w:pPr>
    <w:rPr>
      <w:rFonts w:ascii="Times New Roman" w:eastAsia="Times New Roman" w:hAnsi="Times New Roman" w:cs="David"/>
      <w:noProof/>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0006"/>
    <w:pPr>
      <w:tabs>
        <w:tab w:val="center" w:pos="4153"/>
        <w:tab w:val="right" w:pos="8306"/>
      </w:tabs>
    </w:pPr>
  </w:style>
  <w:style w:type="character" w:customStyle="1" w:styleId="a4">
    <w:name w:val="כותרת עליונה תו"/>
    <w:link w:val="a3"/>
    <w:rsid w:val="00360006"/>
    <w:rPr>
      <w:rFonts w:ascii="Times New Roman" w:eastAsia="Times New Roman" w:hAnsi="Times New Roman" w:cs="David"/>
      <w:noProof/>
      <w:sz w:val="24"/>
      <w:szCs w:val="24"/>
    </w:rPr>
  </w:style>
  <w:style w:type="paragraph" w:styleId="a5">
    <w:name w:val="footer"/>
    <w:basedOn w:val="a"/>
    <w:link w:val="a6"/>
    <w:rsid w:val="00360006"/>
    <w:pPr>
      <w:tabs>
        <w:tab w:val="center" w:pos="4153"/>
        <w:tab w:val="right" w:pos="8306"/>
      </w:tabs>
    </w:pPr>
  </w:style>
  <w:style w:type="character" w:customStyle="1" w:styleId="a6">
    <w:name w:val="כותרת תחתונה תו"/>
    <w:link w:val="a5"/>
    <w:rsid w:val="00360006"/>
    <w:rPr>
      <w:rFonts w:ascii="Times New Roman" w:eastAsia="Times New Roman" w:hAnsi="Times New Roman" w:cs="David"/>
      <w:noProof/>
      <w:sz w:val="24"/>
      <w:szCs w:val="24"/>
    </w:rPr>
  </w:style>
  <w:style w:type="table" w:styleId="a7">
    <w:name w:val="Table Grid"/>
    <w:basedOn w:val="a1"/>
    <w:rsid w:val="0036000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sid w:val="00360006"/>
  </w:style>
  <w:style w:type="character" w:styleId="Hyperlink">
    <w:name w:val="Hyperlink"/>
    <w:rsid w:val="00360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154362" TargetMode="External"/><Relationship Id="rId13" Type="http://schemas.openxmlformats.org/officeDocument/2006/relationships/hyperlink" Target="http://www.nevo.co.il/case/25024275" TargetMode="External"/><Relationship Id="rId18" Type="http://schemas.openxmlformats.org/officeDocument/2006/relationships/hyperlink" Target="http://www.nevo.co.il/case/30019077"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evo.co.il/case/21473395" TargetMode="External"/><Relationship Id="rId7" Type="http://schemas.openxmlformats.org/officeDocument/2006/relationships/hyperlink" Target="http://www.nevo.co.il/law/4668" TargetMode="External"/><Relationship Id="rId12" Type="http://schemas.openxmlformats.org/officeDocument/2006/relationships/hyperlink" Target="http://www.nevo.co.il/case/22546581" TargetMode="External"/><Relationship Id="rId17" Type="http://schemas.openxmlformats.org/officeDocument/2006/relationships/hyperlink" Target="http://www.nevo.co.il/case/27728473"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nevo.co.il/case/29277432" TargetMode="External"/><Relationship Id="rId20" Type="http://schemas.openxmlformats.org/officeDocument/2006/relationships/hyperlink" Target="http://www.nevo.co.il/case/2770461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evo.co.il/law/4668" TargetMode="External"/><Relationship Id="rId11" Type="http://schemas.openxmlformats.org/officeDocument/2006/relationships/hyperlink" Target="http://www.nevo.co.il/case/6118139"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nevo.co.il/case/28067210" TargetMode="External"/><Relationship Id="rId23" Type="http://schemas.openxmlformats.org/officeDocument/2006/relationships/hyperlink" Target="http://www.nevo.co.il/advertisements/nevo-100.doc" TargetMode="External"/><Relationship Id="rId28" Type="http://schemas.openxmlformats.org/officeDocument/2006/relationships/fontTable" Target="fontTable.xml"/><Relationship Id="rId10" Type="http://schemas.openxmlformats.org/officeDocument/2006/relationships/hyperlink" Target="http://www.nevo.co.il/case/5823556" TargetMode="External"/><Relationship Id="rId19" Type="http://schemas.openxmlformats.org/officeDocument/2006/relationships/hyperlink" Target="http://www.nevo.co.il/case/5809102" TargetMode="External"/><Relationship Id="rId4" Type="http://schemas.openxmlformats.org/officeDocument/2006/relationships/footnotes" Target="footnotes.xml"/><Relationship Id="rId9" Type="http://schemas.openxmlformats.org/officeDocument/2006/relationships/hyperlink" Target="http://www.nevo.co.il/law/154362" TargetMode="External"/><Relationship Id="rId14" Type="http://schemas.openxmlformats.org/officeDocument/2006/relationships/hyperlink" Target="http://www.nevo.co.il/case/28593066" TargetMode="External"/><Relationship Id="rId22" Type="http://schemas.openxmlformats.org/officeDocument/2006/relationships/hyperlink" Target="http://www.nevo.co.il/case/5398914"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3382</Words>
  <Characters>16912</Characters>
  <Application>Microsoft Office Word</Application>
  <DocSecurity>0</DocSecurity>
  <Lines>140</Lines>
  <Paragraphs>40</Paragraphs>
  <ScaleCrop>false</ScaleCrop>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orit כהן</cp:lastModifiedBy>
  <cp:revision>2</cp:revision>
  <dcterms:created xsi:type="dcterms:W3CDTF">2024-04-10T17:15:00Z</dcterms:created>
  <dcterms:modified xsi:type="dcterms:W3CDTF">2024-04-10T17:15:00Z</dcterms:modified>
</cp:coreProperties>
</file>