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29958" w14:textId="24B90491" w:rsidR="00000000" w:rsidRDefault="00000000">
      <w:pPr>
        <w:divId w:val="1024092377"/>
        <w:rPr>
          <w:rFonts w:ascii="David" w:eastAsia="Times New Roman" w:hAnsi="David" w:cs="David"/>
        </w:rPr>
      </w:pPr>
    </w:p>
    <w:p w14:paraId="7FF1931E" w14:textId="77777777" w:rsidR="00000000" w:rsidRDefault="00000000">
      <w:pPr>
        <w:pStyle w:val="idhidden"/>
      </w:pPr>
      <w:r>
        <w:rPr>
          <w:rtl/>
        </w:rPr>
        <w:t>takd_id: עא@63268-12-24;takd_s:20260527;takd_d:27.05.2026;takd_u:28.05.2026;mms_s:מחוזי;mms_p:12013;mms_y:2026;mms_v:2;orig_filename:f82181bf8cd646be9e36fc2afd3a6163.html;taktzir_exist:0;kt_exist:0;</w:t>
      </w:r>
    </w:p>
    <w:tbl>
      <w:tblPr>
        <w:bidiVisual/>
        <w:tblW w:w="0" w:type="auto"/>
        <w:jc w:val="center"/>
        <w:tblCellMar>
          <w:left w:w="0" w:type="dxa"/>
          <w:right w:w="0" w:type="dxa"/>
        </w:tblCellMar>
        <w:tblLook w:val="04A0" w:firstRow="1" w:lastRow="0" w:firstColumn="1" w:lastColumn="0" w:noHBand="0" w:noVBand="1"/>
      </w:tblPr>
      <w:tblGrid>
        <w:gridCol w:w="4813"/>
        <w:gridCol w:w="3499"/>
      </w:tblGrid>
      <w:tr w:rsidR="00000000" w14:paraId="0151899D" w14:textId="77777777">
        <w:trPr>
          <w:trHeight w:val="670"/>
          <w:jc w:val="center"/>
        </w:trPr>
        <w:tc>
          <w:tcPr>
            <w:tcW w:w="8721" w:type="dxa"/>
            <w:gridSpan w:val="2"/>
            <w:tcMar>
              <w:top w:w="0" w:type="dxa"/>
              <w:left w:w="108" w:type="dxa"/>
              <w:bottom w:w="0" w:type="dxa"/>
              <w:right w:w="108" w:type="dxa"/>
            </w:tcMar>
            <w:hideMark/>
          </w:tcPr>
          <w:p w14:paraId="71A5D10B" w14:textId="77777777" w:rsidR="00000000" w:rsidRDefault="00000000">
            <w:pPr>
              <w:pStyle w:val="a3"/>
              <w:bidi/>
              <w:jc w:val="center"/>
              <w:rPr>
                <w:rtl/>
              </w:rPr>
            </w:pPr>
            <w:r>
              <w:rPr>
                <w:rStyle w:val="f4dinim"/>
                <w:rFonts w:ascii="David" w:hAnsi="David" w:cs="David"/>
                <w:sz w:val="32"/>
                <w:szCs w:val="32"/>
                <w:rtl/>
              </w:rPr>
              <w:t>בית המשפט המחוזי בתל אביב -יפו בשבתו כבית משפט לערעורים אזרחיים</w:t>
            </w:r>
          </w:p>
        </w:tc>
      </w:tr>
      <w:tr w:rsidR="00000000" w14:paraId="16EC4F0A" w14:textId="77777777">
        <w:trPr>
          <w:trHeight w:val="337"/>
          <w:jc w:val="center"/>
        </w:trPr>
        <w:tc>
          <w:tcPr>
            <w:tcW w:w="5047" w:type="dxa"/>
            <w:tcMar>
              <w:top w:w="0" w:type="dxa"/>
              <w:left w:w="108" w:type="dxa"/>
              <w:bottom w:w="0" w:type="dxa"/>
              <w:right w:w="108" w:type="dxa"/>
            </w:tcMar>
            <w:hideMark/>
          </w:tcPr>
          <w:p w14:paraId="3018EDD4" w14:textId="77777777" w:rsidR="00000000" w:rsidRDefault="00000000">
            <w:pPr>
              <w:bidi/>
              <w:rPr>
                <w:rtl/>
              </w:rPr>
            </w:pPr>
            <w:r>
              <w:rPr>
                <w:rFonts w:ascii="David" w:hAnsi="David" w:cs="David"/>
                <w:sz w:val="26"/>
                <w:szCs w:val="26"/>
                <w:rtl/>
              </w:rPr>
              <w:t> </w:t>
            </w:r>
          </w:p>
        </w:tc>
        <w:tc>
          <w:tcPr>
            <w:tcW w:w="3674" w:type="dxa"/>
            <w:tcMar>
              <w:top w:w="0" w:type="dxa"/>
              <w:left w:w="108" w:type="dxa"/>
              <w:bottom w:w="0" w:type="dxa"/>
              <w:right w:w="108" w:type="dxa"/>
            </w:tcMar>
            <w:hideMark/>
          </w:tcPr>
          <w:p w14:paraId="4768B4C9" w14:textId="77777777" w:rsidR="00000000" w:rsidRDefault="00000000">
            <w:pPr>
              <w:pStyle w:val="a3"/>
              <w:bidi/>
              <w:jc w:val="right"/>
              <w:rPr>
                <w:rtl/>
              </w:rPr>
            </w:pPr>
            <w:r>
              <w:rPr>
                <w:rFonts w:ascii="David" w:hAnsi="David" w:cs="David"/>
                <w:sz w:val="26"/>
                <w:szCs w:val="26"/>
                <w:rtl/>
              </w:rPr>
              <w:t> </w:t>
            </w:r>
          </w:p>
        </w:tc>
      </w:tr>
      <w:tr w:rsidR="00000000" w14:paraId="14E3A9E9" w14:textId="77777777">
        <w:trPr>
          <w:trHeight w:val="337"/>
          <w:jc w:val="center"/>
        </w:trPr>
        <w:tc>
          <w:tcPr>
            <w:tcW w:w="8721" w:type="dxa"/>
            <w:gridSpan w:val="2"/>
            <w:tcMar>
              <w:top w:w="0" w:type="dxa"/>
              <w:left w:w="108" w:type="dxa"/>
              <w:bottom w:w="0" w:type="dxa"/>
              <w:right w:w="108" w:type="dxa"/>
            </w:tcMar>
            <w:hideMark/>
          </w:tcPr>
          <w:p w14:paraId="02A0DD7F" w14:textId="77777777" w:rsidR="00000000" w:rsidRDefault="00000000">
            <w:pPr>
              <w:bidi/>
              <w:rPr>
                <w:rtl/>
              </w:rPr>
            </w:pPr>
            <w:r>
              <w:rPr>
                <w:rStyle w:val="f40dinim"/>
                <w:rFonts w:ascii="Arial" w:hAnsi="Arial" w:cs="Arial"/>
                <w:sz w:val="26"/>
                <w:szCs w:val="26"/>
                <w:rtl/>
              </w:rPr>
              <w:t>ע"א 63268-12-24</w:t>
            </w:r>
            <w:r>
              <w:rPr>
                <w:rFonts w:ascii="Arial" w:hAnsi="Arial" w:cs="Arial"/>
                <w:sz w:val="26"/>
                <w:szCs w:val="26"/>
                <w:rtl/>
              </w:rPr>
              <w:t xml:space="preserve"> מ.ח נ' מדינת ישראל - משרד החינוך ואח'</w:t>
            </w:r>
          </w:p>
          <w:p w14:paraId="705E00B7" w14:textId="77777777" w:rsidR="00000000" w:rsidRDefault="00000000">
            <w:pPr>
              <w:bidi/>
              <w:rPr>
                <w:rtl/>
              </w:rPr>
            </w:pPr>
            <w:r>
              <w:rPr>
                <w:rFonts w:ascii="David" w:hAnsi="David" w:cs="David"/>
                <w:sz w:val="26"/>
                <w:szCs w:val="26"/>
                <w:rtl/>
              </w:rPr>
              <w:t> </w:t>
            </w:r>
          </w:p>
          <w:p w14:paraId="614E536F" w14:textId="77777777" w:rsidR="00000000" w:rsidRDefault="00000000">
            <w:pPr>
              <w:bidi/>
              <w:rPr>
                <w:rtl/>
              </w:rPr>
            </w:pPr>
            <w:r>
              <w:rPr>
                <w:rFonts w:ascii="David" w:hAnsi="David" w:cs="David"/>
                <w:sz w:val="26"/>
                <w:szCs w:val="26"/>
                <w:rtl/>
              </w:rPr>
              <w:t> </w:t>
            </w:r>
          </w:p>
        </w:tc>
      </w:tr>
    </w:tbl>
    <w:p w14:paraId="7CFA0849" w14:textId="77777777" w:rsidR="00000000" w:rsidRDefault="00000000">
      <w:pPr>
        <w:bidi/>
        <w:spacing w:line="360" w:lineRule="auto"/>
        <w:jc w:val="both"/>
        <w:rPr>
          <w:rtl/>
        </w:rPr>
      </w:pPr>
      <w:r>
        <w:rPr>
          <w:rFonts w:ascii="David" w:hAnsi="David" w:cs="David"/>
          <w:sz w:val="28"/>
          <w:szCs w:val="28"/>
          <w:rtl/>
        </w:rPr>
        <w:t> </w:t>
      </w:r>
    </w:p>
    <w:p w14:paraId="1F1CE503" w14:textId="77777777" w:rsidR="00000000" w:rsidRDefault="00000000">
      <w:pPr>
        <w:bidi/>
        <w:spacing w:line="360" w:lineRule="auto"/>
        <w:jc w:val="both"/>
        <w:rPr>
          <w:rtl/>
        </w:rPr>
      </w:pPr>
      <w:r>
        <w:rPr>
          <w:rFonts w:ascii="David" w:hAnsi="David" w:cs="David"/>
          <w:sz w:val="28"/>
          <w:szCs w:val="28"/>
        </w:rPr>
        <w:t> </w:t>
      </w:r>
    </w:p>
    <w:tbl>
      <w:tblPr>
        <w:bidiVisual/>
        <w:tblW w:w="8802" w:type="dxa"/>
        <w:tblInd w:w="-28" w:type="dxa"/>
        <w:tblCellMar>
          <w:left w:w="0" w:type="dxa"/>
          <w:right w:w="0" w:type="dxa"/>
        </w:tblCellMar>
        <w:tblLook w:val="04A0" w:firstRow="1" w:lastRow="0" w:firstColumn="1" w:lastColumn="0" w:noHBand="0" w:noVBand="1"/>
      </w:tblPr>
      <w:tblGrid>
        <w:gridCol w:w="60"/>
        <w:gridCol w:w="2840"/>
        <w:gridCol w:w="5842"/>
        <w:gridCol w:w="60"/>
      </w:tblGrid>
      <w:tr w:rsidR="00000000" w14:paraId="3009F574" w14:textId="77777777">
        <w:tc>
          <w:tcPr>
            <w:tcW w:w="30" w:type="dxa"/>
            <w:tcBorders>
              <w:top w:val="nil"/>
              <w:left w:val="nil"/>
              <w:bottom w:val="nil"/>
              <w:right w:val="nil"/>
            </w:tcBorders>
            <w:vAlign w:val="center"/>
            <w:hideMark/>
          </w:tcPr>
          <w:p w14:paraId="328A6DBF" w14:textId="77777777" w:rsidR="00000000" w:rsidRDefault="00000000">
            <w:pPr>
              <w:bidi/>
              <w:rPr>
                <w:rtl/>
              </w:rPr>
            </w:pPr>
            <w:r>
              <w:rPr>
                <w:rtl/>
              </w:rPr>
              <w:t> </w:t>
            </w:r>
          </w:p>
        </w:tc>
        <w:tc>
          <w:tcPr>
            <w:tcW w:w="8718" w:type="dxa"/>
            <w:gridSpan w:val="2"/>
            <w:tcMar>
              <w:top w:w="0" w:type="dxa"/>
              <w:left w:w="108" w:type="dxa"/>
              <w:bottom w:w="0" w:type="dxa"/>
              <w:right w:w="108" w:type="dxa"/>
            </w:tcMar>
            <w:hideMark/>
          </w:tcPr>
          <w:p w14:paraId="03A10112" w14:textId="77777777" w:rsidR="00000000" w:rsidRDefault="00000000">
            <w:pPr>
              <w:bidi/>
              <w:spacing w:line="360" w:lineRule="auto"/>
              <w:jc w:val="both"/>
              <w:rPr>
                <w:rtl/>
              </w:rPr>
            </w:pPr>
            <w:r>
              <w:rPr>
                <w:rStyle w:val="f41dinim"/>
                <w:rFonts w:ascii="David" w:hAnsi="David" w:cs="David"/>
                <w:sz w:val="28"/>
                <w:szCs w:val="28"/>
                <w:rtl/>
              </w:rPr>
              <w:t>לפני כבוד השופטות ש. יעקובוביץ-אב"ד, י. אילני, א. מור-אל</w:t>
            </w:r>
            <w:r>
              <w:rPr>
                <w:rStyle w:val="timesnewromantimesnewroman"/>
                <w:rFonts w:ascii="David" w:hAnsi="David" w:cs="David"/>
                <w:b w:val="0"/>
                <w:bCs w:val="0"/>
                <w:sz w:val="28"/>
                <w:szCs w:val="28"/>
                <w:rtl/>
              </w:rPr>
              <w:t xml:space="preserve"> </w:t>
            </w:r>
          </w:p>
        </w:tc>
        <w:tc>
          <w:tcPr>
            <w:tcW w:w="60" w:type="dxa"/>
            <w:tcBorders>
              <w:top w:val="nil"/>
              <w:left w:val="nil"/>
              <w:bottom w:val="nil"/>
              <w:right w:val="nil"/>
            </w:tcBorders>
            <w:vAlign w:val="center"/>
            <w:hideMark/>
          </w:tcPr>
          <w:p w14:paraId="52B2CA5B" w14:textId="77777777" w:rsidR="00000000" w:rsidRDefault="00000000">
            <w:pPr>
              <w:bidi/>
              <w:rPr>
                <w:rtl/>
              </w:rPr>
            </w:pPr>
            <w:r>
              <w:rPr>
                <w:rtl/>
              </w:rPr>
              <w:t> </w:t>
            </w:r>
          </w:p>
        </w:tc>
      </w:tr>
      <w:tr w:rsidR="00000000" w14:paraId="2EC89B46" w14:textId="77777777">
        <w:trPr>
          <w:cantSplit/>
          <w:trHeight w:val="724"/>
        </w:trPr>
        <w:tc>
          <w:tcPr>
            <w:tcW w:w="2880" w:type="dxa"/>
            <w:gridSpan w:val="2"/>
            <w:tcMar>
              <w:top w:w="0" w:type="dxa"/>
              <w:left w:w="108" w:type="dxa"/>
              <w:bottom w:w="0" w:type="dxa"/>
              <w:right w:w="108" w:type="dxa"/>
            </w:tcMar>
            <w:hideMark/>
          </w:tcPr>
          <w:p w14:paraId="091A284E" w14:textId="77777777" w:rsidR="00000000" w:rsidRDefault="00000000">
            <w:pPr>
              <w:bidi/>
              <w:spacing w:line="360" w:lineRule="auto"/>
              <w:jc w:val="both"/>
              <w:rPr>
                <w:rtl/>
              </w:rPr>
            </w:pPr>
            <w:r>
              <w:rPr>
                <w:rFonts w:ascii="David" w:hAnsi="David" w:cs="David"/>
                <w:sz w:val="28"/>
                <w:szCs w:val="28"/>
                <w:rtl/>
              </w:rPr>
              <w:t> </w:t>
            </w:r>
          </w:p>
          <w:p w14:paraId="4B88DE8D" w14:textId="77777777" w:rsidR="00000000" w:rsidRDefault="00000000">
            <w:pPr>
              <w:bidi/>
              <w:spacing w:line="360" w:lineRule="auto"/>
              <w:jc w:val="both"/>
              <w:rPr>
                <w:rtl/>
              </w:rPr>
            </w:pPr>
            <w:r>
              <w:rPr>
                <w:rFonts w:ascii="David" w:hAnsi="David" w:cs="David"/>
                <w:sz w:val="28"/>
                <w:szCs w:val="28"/>
                <w:rtl/>
              </w:rPr>
              <w:t>המערער</w:t>
            </w:r>
          </w:p>
        </w:tc>
        <w:tc>
          <w:tcPr>
            <w:tcW w:w="5922" w:type="dxa"/>
            <w:gridSpan w:val="2"/>
            <w:tcMar>
              <w:top w:w="0" w:type="dxa"/>
              <w:left w:w="108" w:type="dxa"/>
              <w:bottom w:w="0" w:type="dxa"/>
              <w:right w:w="108" w:type="dxa"/>
            </w:tcMar>
            <w:hideMark/>
          </w:tcPr>
          <w:p w14:paraId="5CCE9320" w14:textId="77777777" w:rsidR="00000000" w:rsidRDefault="00000000">
            <w:pPr>
              <w:bidi/>
              <w:spacing w:line="360" w:lineRule="auto"/>
              <w:jc w:val="both"/>
              <w:rPr>
                <w:rtl/>
              </w:rPr>
            </w:pPr>
            <w:r>
              <w:rPr>
                <w:rFonts w:ascii="David" w:hAnsi="David" w:cs="David"/>
                <w:sz w:val="28"/>
                <w:szCs w:val="28"/>
                <w:rtl/>
              </w:rPr>
              <w:t> </w:t>
            </w:r>
          </w:p>
          <w:p w14:paraId="7BEF0C89" w14:textId="77777777" w:rsidR="00000000" w:rsidRDefault="00000000">
            <w:pPr>
              <w:bidi/>
              <w:spacing w:line="360" w:lineRule="auto"/>
              <w:jc w:val="both"/>
              <w:rPr>
                <w:rtl/>
              </w:rPr>
            </w:pPr>
            <w:r>
              <w:rPr>
                <w:rStyle w:val="f2dinim"/>
                <w:rFonts w:ascii="David" w:hAnsi="David" w:cs="David"/>
                <w:sz w:val="28"/>
                <w:szCs w:val="28"/>
                <w:rtl/>
              </w:rPr>
              <w:t>מ. ח.</w:t>
            </w:r>
          </w:p>
          <w:p w14:paraId="1CC0E2C7" w14:textId="77777777" w:rsidR="00000000" w:rsidRDefault="00000000">
            <w:pPr>
              <w:bidi/>
              <w:spacing w:line="360" w:lineRule="auto"/>
              <w:jc w:val="both"/>
              <w:rPr>
                <w:rtl/>
              </w:rPr>
            </w:pPr>
            <w:r>
              <w:rPr>
                <w:rFonts w:ascii="David" w:hAnsi="David" w:cs="David"/>
                <w:sz w:val="28"/>
                <w:szCs w:val="28"/>
                <w:rtl/>
              </w:rPr>
              <w:t>ע"י ב"כ עו"ד תומר הלל</w:t>
            </w:r>
          </w:p>
        </w:tc>
      </w:tr>
      <w:tr w:rsidR="00000000" w14:paraId="4FD48764" w14:textId="77777777">
        <w:tc>
          <w:tcPr>
            <w:tcW w:w="8802" w:type="dxa"/>
            <w:gridSpan w:val="4"/>
            <w:tcMar>
              <w:top w:w="0" w:type="dxa"/>
              <w:left w:w="108" w:type="dxa"/>
              <w:bottom w:w="0" w:type="dxa"/>
              <w:right w:w="108" w:type="dxa"/>
            </w:tcMar>
            <w:vAlign w:val="center"/>
            <w:hideMark/>
          </w:tcPr>
          <w:p w14:paraId="60F9A1FF" w14:textId="77777777" w:rsidR="00000000" w:rsidRDefault="00000000">
            <w:pPr>
              <w:bidi/>
              <w:spacing w:line="360" w:lineRule="auto"/>
              <w:jc w:val="both"/>
              <w:rPr>
                <w:rtl/>
              </w:rPr>
            </w:pPr>
            <w:r>
              <w:rPr>
                <w:rFonts w:ascii="David" w:hAnsi="David" w:cs="David"/>
                <w:sz w:val="28"/>
                <w:szCs w:val="28"/>
                <w:rtl/>
              </w:rPr>
              <w:t> </w:t>
            </w:r>
          </w:p>
          <w:p w14:paraId="63C89E1C" w14:textId="77777777" w:rsidR="00000000" w:rsidRDefault="00000000">
            <w:pPr>
              <w:bidi/>
              <w:spacing w:line="360" w:lineRule="auto"/>
              <w:jc w:val="center"/>
              <w:rPr>
                <w:rtl/>
              </w:rPr>
            </w:pPr>
            <w:r>
              <w:rPr>
                <w:rStyle w:val="f2ndinim"/>
                <w:rFonts w:ascii="David" w:hAnsi="David" w:cs="David"/>
                <w:sz w:val="28"/>
                <w:szCs w:val="28"/>
                <w:rtl/>
              </w:rPr>
              <w:t>נגד</w:t>
            </w:r>
          </w:p>
          <w:p w14:paraId="22667649" w14:textId="77777777" w:rsidR="00000000" w:rsidRDefault="00000000">
            <w:pPr>
              <w:bidi/>
              <w:spacing w:line="360" w:lineRule="auto"/>
              <w:jc w:val="both"/>
              <w:rPr>
                <w:rtl/>
              </w:rPr>
            </w:pPr>
            <w:r>
              <w:rPr>
                <w:rFonts w:ascii="David" w:hAnsi="David" w:cs="David"/>
                <w:sz w:val="28"/>
                <w:szCs w:val="28"/>
                <w:rtl/>
              </w:rPr>
              <w:t> </w:t>
            </w:r>
          </w:p>
        </w:tc>
      </w:tr>
      <w:tr w:rsidR="00000000" w14:paraId="07B75EAB" w14:textId="77777777">
        <w:tc>
          <w:tcPr>
            <w:tcW w:w="2880" w:type="dxa"/>
            <w:gridSpan w:val="2"/>
            <w:tcMar>
              <w:top w:w="0" w:type="dxa"/>
              <w:left w:w="108" w:type="dxa"/>
              <w:bottom w:w="0" w:type="dxa"/>
              <w:right w:w="108" w:type="dxa"/>
            </w:tcMar>
            <w:hideMark/>
          </w:tcPr>
          <w:p w14:paraId="275ADC00" w14:textId="77777777" w:rsidR="00000000" w:rsidRDefault="00000000">
            <w:pPr>
              <w:bidi/>
              <w:spacing w:line="360" w:lineRule="auto"/>
              <w:jc w:val="both"/>
              <w:rPr>
                <w:rtl/>
              </w:rPr>
            </w:pPr>
            <w:r>
              <w:rPr>
                <w:rFonts w:ascii="David" w:hAnsi="David" w:cs="David"/>
                <w:sz w:val="28"/>
                <w:szCs w:val="28"/>
                <w:rtl/>
              </w:rPr>
              <w:t>המשיבים</w:t>
            </w:r>
          </w:p>
        </w:tc>
        <w:tc>
          <w:tcPr>
            <w:tcW w:w="5922" w:type="dxa"/>
            <w:gridSpan w:val="2"/>
            <w:tcMar>
              <w:top w:w="0" w:type="dxa"/>
              <w:left w:w="108" w:type="dxa"/>
              <w:bottom w:w="0" w:type="dxa"/>
              <w:right w:w="108" w:type="dxa"/>
            </w:tcMar>
            <w:hideMark/>
          </w:tcPr>
          <w:p w14:paraId="63B6A937" w14:textId="77777777" w:rsidR="00000000" w:rsidRDefault="00000000">
            <w:pPr>
              <w:bidi/>
              <w:spacing w:line="360" w:lineRule="auto"/>
              <w:jc w:val="both"/>
              <w:rPr>
                <w:rtl/>
              </w:rPr>
            </w:pPr>
            <w:r>
              <w:rPr>
                <w:rFonts w:ascii="David" w:hAnsi="David" w:cs="David"/>
                <w:sz w:val="28"/>
                <w:szCs w:val="28"/>
              </w:rPr>
              <w:t> </w:t>
            </w:r>
            <w:r>
              <w:rPr>
                <w:rStyle w:val="f3dinim"/>
                <w:rFonts w:ascii="David" w:hAnsi="David" w:cs="David"/>
                <w:sz w:val="28"/>
                <w:szCs w:val="28"/>
                <w:rtl/>
              </w:rPr>
              <w:t>מדינת ישראל - משרד החינוך</w:t>
            </w:r>
          </w:p>
          <w:p w14:paraId="71868C2D" w14:textId="77777777" w:rsidR="00000000" w:rsidRDefault="00000000">
            <w:pPr>
              <w:bidi/>
              <w:spacing w:line="360" w:lineRule="auto"/>
              <w:jc w:val="both"/>
              <w:rPr>
                <w:rtl/>
              </w:rPr>
            </w:pPr>
            <w:r>
              <w:rPr>
                <w:rFonts w:ascii="David" w:hAnsi="David" w:cs="David"/>
                <w:sz w:val="28"/>
                <w:szCs w:val="28"/>
              </w:rPr>
              <w:t> </w:t>
            </w:r>
            <w:r>
              <w:rPr>
                <w:rStyle w:val="f3dinim"/>
                <w:rFonts w:ascii="David" w:hAnsi="David" w:cs="David"/>
                <w:sz w:val="28"/>
                <w:szCs w:val="28"/>
                <w:rtl/>
              </w:rPr>
              <w:t>מדינת ישראל - משרד הרווחה והשירותים החברתיים</w:t>
            </w:r>
          </w:p>
          <w:p w14:paraId="51BC9B73" w14:textId="77777777" w:rsidR="00000000" w:rsidRDefault="00000000">
            <w:pPr>
              <w:bidi/>
              <w:spacing w:line="360" w:lineRule="auto"/>
              <w:jc w:val="both"/>
              <w:rPr>
                <w:rtl/>
              </w:rPr>
            </w:pPr>
            <w:r>
              <w:rPr>
                <w:rFonts w:ascii="David" w:hAnsi="David" w:cs="David"/>
                <w:sz w:val="28"/>
                <w:szCs w:val="28"/>
                <w:rtl/>
              </w:rPr>
              <w:t>ע"י ב"כ עו"ד גיא שניאור</w:t>
            </w:r>
          </w:p>
          <w:p w14:paraId="4BA4636B" w14:textId="77777777" w:rsidR="00000000" w:rsidRDefault="00000000">
            <w:pPr>
              <w:bidi/>
              <w:spacing w:line="360" w:lineRule="auto"/>
              <w:jc w:val="both"/>
              <w:rPr>
                <w:rtl/>
              </w:rPr>
            </w:pPr>
            <w:r>
              <w:rPr>
                <w:rFonts w:ascii="David" w:hAnsi="David" w:cs="David"/>
                <w:sz w:val="28"/>
                <w:szCs w:val="28"/>
              </w:rPr>
              <w:t> </w:t>
            </w:r>
            <w:r>
              <w:rPr>
                <w:rStyle w:val="f3dinim"/>
                <w:rFonts w:ascii="David" w:hAnsi="David" w:cs="David"/>
                <w:sz w:val="28"/>
                <w:szCs w:val="28"/>
                <w:rtl/>
              </w:rPr>
              <w:t>מועצה אזורית עמק לוד</w:t>
            </w:r>
          </w:p>
          <w:p w14:paraId="7C86D523" w14:textId="77777777" w:rsidR="00000000" w:rsidRDefault="00000000">
            <w:pPr>
              <w:bidi/>
              <w:spacing w:line="360" w:lineRule="auto"/>
              <w:jc w:val="both"/>
              <w:rPr>
                <w:rtl/>
              </w:rPr>
            </w:pPr>
            <w:r>
              <w:rPr>
                <w:rFonts w:ascii="David" w:hAnsi="David" w:cs="David"/>
                <w:sz w:val="28"/>
                <w:szCs w:val="28"/>
                <w:rtl/>
              </w:rPr>
              <w:t>ע"י ב"כ עו"ד אריה מוסקונה</w:t>
            </w:r>
          </w:p>
          <w:p w14:paraId="5BAB94AD" w14:textId="77777777" w:rsidR="00000000" w:rsidRDefault="00000000">
            <w:pPr>
              <w:bidi/>
              <w:spacing w:line="360" w:lineRule="auto"/>
              <w:jc w:val="both"/>
              <w:rPr>
                <w:rtl/>
              </w:rPr>
            </w:pPr>
            <w:r>
              <w:rPr>
                <w:rFonts w:ascii="David" w:hAnsi="David" w:cs="David"/>
                <w:sz w:val="28"/>
                <w:szCs w:val="28"/>
              </w:rPr>
              <w:t> </w:t>
            </w:r>
            <w:r>
              <w:rPr>
                <w:rStyle w:val="f3dinim"/>
                <w:rFonts w:ascii="David" w:hAnsi="David" w:cs="David"/>
                <w:sz w:val="28"/>
                <w:szCs w:val="28"/>
                <w:rtl/>
              </w:rPr>
              <w:t>עיריית רמלה</w:t>
            </w:r>
          </w:p>
          <w:p w14:paraId="60739F84" w14:textId="77777777" w:rsidR="00000000" w:rsidRDefault="00000000">
            <w:pPr>
              <w:bidi/>
              <w:spacing w:line="360" w:lineRule="auto"/>
              <w:jc w:val="both"/>
              <w:rPr>
                <w:rtl/>
              </w:rPr>
            </w:pPr>
            <w:r>
              <w:rPr>
                <w:rFonts w:ascii="David" w:hAnsi="David" w:cs="David"/>
                <w:sz w:val="28"/>
                <w:szCs w:val="28"/>
                <w:rtl/>
              </w:rPr>
              <w:t>ע"י ב"כ עו"ד יצחק קסטרו</w:t>
            </w:r>
          </w:p>
          <w:p w14:paraId="4EBB6FA8" w14:textId="77777777" w:rsidR="00000000" w:rsidRDefault="00000000">
            <w:pPr>
              <w:bidi/>
              <w:spacing w:line="360" w:lineRule="auto"/>
              <w:jc w:val="both"/>
              <w:rPr>
                <w:rtl/>
              </w:rPr>
            </w:pPr>
            <w:r>
              <w:rPr>
                <w:rFonts w:ascii="David" w:hAnsi="David" w:cs="David"/>
                <w:sz w:val="28"/>
                <w:szCs w:val="28"/>
              </w:rPr>
              <w:t> </w:t>
            </w:r>
            <w:r>
              <w:rPr>
                <w:rStyle w:val="f3dinim"/>
                <w:rFonts w:ascii="David" w:hAnsi="David" w:cs="David"/>
                <w:sz w:val="28"/>
                <w:szCs w:val="28"/>
                <w:rtl/>
              </w:rPr>
              <w:t>נ. ס</w:t>
            </w:r>
            <w:r>
              <w:rPr>
                <w:rStyle w:val="f3dinim"/>
                <w:rFonts w:ascii="David" w:hAnsi="David" w:cs="David"/>
                <w:sz w:val="28"/>
                <w:szCs w:val="28"/>
              </w:rPr>
              <w:t>.</w:t>
            </w:r>
          </w:p>
        </w:tc>
      </w:tr>
      <w:tr w:rsidR="00000000" w14:paraId="763CA677" w14:textId="77777777">
        <w:tc>
          <w:tcPr>
            <w:tcW w:w="30" w:type="dxa"/>
            <w:tcBorders>
              <w:top w:val="nil"/>
              <w:left w:val="nil"/>
              <w:bottom w:val="nil"/>
              <w:right w:val="nil"/>
            </w:tcBorders>
            <w:vAlign w:val="center"/>
            <w:hideMark/>
          </w:tcPr>
          <w:p w14:paraId="20B78969" w14:textId="77777777" w:rsidR="00000000" w:rsidRDefault="00000000">
            <w:pPr>
              <w:rPr>
                <w:rtl/>
              </w:rPr>
            </w:pPr>
          </w:p>
        </w:tc>
        <w:tc>
          <w:tcPr>
            <w:tcW w:w="2850" w:type="dxa"/>
            <w:tcBorders>
              <w:top w:val="nil"/>
              <w:left w:val="nil"/>
              <w:bottom w:val="nil"/>
              <w:right w:val="nil"/>
            </w:tcBorders>
            <w:vAlign w:val="center"/>
            <w:hideMark/>
          </w:tcPr>
          <w:p w14:paraId="3C1F38F7" w14:textId="77777777" w:rsidR="00000000" w:rsidRDefault="00000000">
            <w:pPr>
              <w:bidi/>
              <w:rPr>
                <w:rFonts w:eastAsia="Times New Roman"/>
                <w:sz w:val="20"/>
                <w:szCs w:val="20"/>
              </w:rPr>
            </w:pPr>
          </w:p>
        </w:tc>
        <w:tc>
          <w:tcPr>
            <w:tcW w:w="5865" w:type="dxa"/>
            <w:tcBorders>
              <w:top w:val="nil"/>
              <w:left w:val="nil"/>
              <w:bottom w:val="nil"/>
              <w:right w:val="nil"/>
            </w:tcBorders>
            <w:vAlign w:val="center"/>
            <w:hideMark/>
          </w:tcPr>
          <w:p w14:paraId="14D941F0" w14:textId="77777777" w:rsidR="00000000" w:rsidRDefault="00000000">
            <w:pPr>
              <w:bidi/>
              <w:rPr>
                <w:rFonts w:eastAsia="Times New Roman"/>
                <w:sz w:val="20"/>
                <w:szCs w:val="20"/>
              </w:rPr>
            </w:pPr>
          </w:p>
        </w:tc>
        <w:tc>
          <w:tcPr>
            <w:tcW w:w="60" w:type="dxa"/>
            <w:tcBorders>
              <w:top w:val="nil"/>
              <w:left w:val="nil"/>
              <w:bottom w:val="nil"/>
              <w:right w:val="nil"/>
            </w:tcBorders>
            <w:vAlign w:val="center"/>
            <w:hideMark/>
          </w:tcPr>
          <w:p w14:paraId="6DC33E5F" w14:textId="77777777" w:rsidR="00000000" w:rsidRDefault="00000000">
            <w:pPr>
              <w:bidi/>
              <w:rPr>
                <w:rFonts w:eastAsia="Times New Roman"/>
                <w:sz w:val="20"/>
                <w:szCs w:val="20"/>
              </w:rPr>
            </w:pPr>
          </w:p>
        </w:tc>
      </w:tr>
    </w:tbl>
    <w:p w14:paraId="0FCB0910" w14:textId="77777777" w:rsidR="00000000" w:rsidRDefault="00000000">
      <w:pPr>
        <w:bidi/>
        <w:spacing w:line="360" w:lineRule="auto"/>
        <w:jc w:val="both"/>
      </w:pPr>
      <w:r>
        <w:rPr>
          <w:rFonts w:ascii="David" w:hAnsi="David" w:cs="David"/>
          <w:sz w:val="28"/>
          <w:szCs w:val="28"/>
          <w:rtl/>
        </w:rPr>
        <w:t> </w:t>
      </w:r>
    </w:p>
    <w:p w14:paraId="7B275897" w14:textId="77777777" w:rsidR="00000000" w:rsidRDefault="00000000">
      <w:pPr>
        <w:bidi/>
        <w:spacing w:line="360" w:lineRule="auto"/>
        <w:jc w:val="both"/>
        <w:rPr>
          <w:rtl/>
        </w:rPr>
      </w:pPr>
      <w:r>
        <w:rPr>
          <w:rFonts w:ascii="David" w:hAnsi="David" w:cs="David"/>
          <w:sz w:val="28"/>
          <w:szCs w:val="28"/>
        </w:rPr>
        <w:t> </w:t>
      </w:r>
    </w:p>
    <w:tbl>
      <w:tblPr>
        <w:bidiVisual/>
        <w:tblW w:w="8820" w:type="dxa"/>
        <w:jc w:val="center"/>
        <w:tblCellMar>
          <w:left w:w="0" w:type="dxa"/>
          <w:right w:w="0" w:type="dxa"/>
        </w:tblCellMar>
        <w:tblLook w:val="04A0" w:firstRow="1" w:lastRow="0" w:firstColumn="1" w:lastColumn="0" w:noHBand="0" w:noVBand="1"/>
      </w:tblPr>
      <w:tblGrid>
        <w:gridCol w:w="8820"/>
      </w:tblGrid>
      <w:tr w:rsidR="00000000" w14:paraId="26A8C770" w14:textId="77777777">
        <w:trPr>
          <w:jc w:val="center"/>
        </w:trPr>
        <w:tc>
          <w:tcPr>
            <w:tcW w:w="8820" w:type="dxa"/>
            <w:tcMar>
              <w:top w:w="0" w:type="dxa"/>
              <w:left w:w="108" w:type="dxa"/>
              <w:bottom w:w="0" w:type="dxa"/>
              <w:right w:w="108" w:type="dxa"/>
            </w:tcMar>
            <w:hideMark/>
          </w:tcPr>
          <w:p w14:paraId="2F7E9863" w14:textId="77777777" w:rsidR="00000000" w:rsidRDefault="00000000">
            <w:pPr>
              <w:bidi/>
              <w:spacing w:line="360" w:lineRule="auto"/>
              <w:jc w:val="center"/>
              <w:rPr>
                <w:rtl/>
              </w:rPr>
            </w:pPr>
            <w:r>
              <w:rPr>
                <w:rStyle w:val="f13hdinim"/>
                <w:rFonts w:ascii="David" w:hAnsi="David" w:cs="David"/>
                <w:b/>
                <w:bCs/>
                <w:sz w:val="28"/>
                <w:szCs w:val="28"/>
                <w:u w:val="single"/>
                <w:rtl/>
              </w:rPr>
              <w:t>פסק דין</w:t>
            </w:r>
          </w:p>
        </w:tc>
      </w:tr>
    </w:tbl>
    <w:p w14:paraId="33F7D361" w14:textId="77777777" w:rsidR="00000000" w:rsidRDefault="00000000">
      <w:pPr>
        <w:bidi/>
        <w:spacing w:line="360" w:lineRule="auto"/>
        <w:jc w:val="both"/>
        <w:rPr>
          <w:rtl/>
        </w:rPr>
      </w:pPr>
      <w:r>
        <w:rPr>
          <w:rFonts w:ascii="David" w:hAnsi="David" w:cs="David"/>
          <w:sz w:val="28"/>
          <w:szCs w:val="28"/>
          <w:rtl/>
        </w:rPr>
        <w:t> </w:t>
      </w:r>
    </w:p>
    <w:p w14:paraId="4574F2D9" w14:textId="77777777" w:rsidR="00000000" w:rsidRDefault="00000000">
      <w:pPr>
        <w:bidi/>
        <w:spacing w:line="360" w:lineRule="auto"/>
        <w:jc w:val="both"/>
        <w:rPr>
          <w:rtl/>
        </w:rPr>
      </w:pPr>
      <w:r>
        <w:rPr>
          <w:rFonts w:ascii="David" w:hAnsi="David" w:cs="David"/>
          <w:sz w:val="28"/>
          <w:szCs w:val="28"/>
          <w:rtl/>
        </w:rPr>
        <w:t> </w:t>
      </w:r>
    </w:p>
    <w:p w14:paraId="32955B08" w14:textId="77777777" w:rsidR="00000000" w:rsidRDefault="00000000">
      <w:pPr>
        <w:bidi/>
        <w:spacing w:line="360" w:lineRule="auto"/>
        <w:jc w:val="both"/>
        <w:rPr>
          <w:rtl/>
        </w:rPr>
      </w:pPr>
      <w:r>
        <w:rPr>
          <w:rFonts w:ascii="David" w:hAnsi="David" w:cs="David"/>
          <w:b/>
          <w:bCs/>
          <w:sz w:val="28"/>
          <w:szCs w:val="28"/>
          <w:u w:val="single"/>
          <w:rtl/>
        </w:rPr>
        <w:t>השופטת אורלי מור-אל</w:t>
      </w:r>
    </w:p>
    <w:p w14:paraId="26D20079" w14:textId="77777777" w:rsidR="00000000" w:rsidRDefault="00000000">
      <w:pPr>
        <w:bidi/>
        <w:spacing w:line="360" w:lineRule="auto"/>
        <w:jc w:val="both"/>
        <w:rPr>
          <w:rtl/>
        </w:rPr>
      </w:pPr>
      <w:r>
        <w:rPr>
          <w:rFonts w:ascii="David" w:hAnsi="David" w:cs="David"/>
          <w:sz w:val="28"/>
          <w:szCs w:val="28"/>
          <w:rtl/>
        </w:rPr>
        <w:t>לפנינו ערעור על פסק דינו של בית משפט השלום בבת ים (כב' השופטת אידית קליימן-בלק) מתאריך 15/10/2024</w:t>
      </w:r>
      <w:r>
        <w:rPr>
          <w:rFonts w:ascii="David" w:hAnsi="David" w:cs="David"/>
          <w:b/>
          <w:bCs/>
          <w:sz w:val="28"/>
          <w:szCs w:val="28"/>
          <w:rtl/>
        </w:rPr>
        <w:t>,</w:t>
      </w:r>
      <w:r>
        <w:rPr>
          <w:rFonts w:ascii="David" w:hAnsi="David" w:cs="David"/>
          <w:sz w:val="28"/>
          <w:szCs w:val="28"/>
          <w:rtl/>
        </w:rPr>
        <w:t xml:space="preserve"> בגדרו התקבלה תביעת המערער לפיצוי בגין נזק גוף מכוח פקודת </w:t>
      </w:r>
      <w:proofErr w:type="spellStart"/>
      <w:r>
        <w:rPr>
          <w:rFonts w:ascii="David" w:hAnsi="David" w:cs="David"/>
          <w:sz w:val="28"/>
          <w:szCs w:val="28"/>
          <w:rtl/>
        </w:rPr>
        <w:t>הנזיקין</w:t>
      </w:r>
      <w:proofErr w:type="spellEnd"/>
      <w:r>
        <w:rPr>
          <w:rFonts w:ascii="David" w:hAnsi="David" w:cs="David"/>
          <w:sz w:val="28"/>
          <w:szCs w:val="28"/>
          <w:rtl/>
        </w:rPr>
        <w:t xml:space="preserve"> [נוסח חדש] נגד המשיב-5 (נתבע-5 בכתב התביעה), בשל מעשה תקיפה ואיומים, ונדחתה נגד המשיבות 1-4 (נתבעות 1,3,4,6). בית משפט קמא חייב את המשיב-5 בתשלום פיצוי בשיעור של 1,642,000 ש"ח.</w:t>
      </w:r>
    </w:p>
    <w:p w14:paraId="6168EF22" w14:textId="77777777" w:rsidR="00000000" w:rsidRDefault="00000000">
      <w:pPr>
        <w:bidi/>
        <w:spacing w:line="360" w:lineRule="auto"/>
        <w:jc w:val="both"/>
        <w:rPr>
          <w:rtl/>
        </w:rPr>
      </w:pPr>
      <w:r>
        <w:rPr>
          <w:rFonts w:ascii="David" w:hAnsi="David" w:cs="David"/>
          <w:b/>
          <w:bCs/>
          <w:sz w:val="28"/>
          <w:szCs w:val="28"/>
          <w:rtl/>
        </w:rPr>
        <w:t> </w:t>
      </w:r>
    </w:p>
    <w:p w14:paraId="11AAC8A4" w14:textId="77777777" w:rsidR="00000000" w:rsidRDefault="00000000">
      <w:pPr>
        <w:bidi/>
        <w:spacing w:line="360" w:lineRule="auto"/>
        <w:jc w:val="both"/>
        <w:rPr>
          <w:rtl/>
        </w:rPr>
      </w:pPr>
      <w:r>
        <w:rPr>
          <w:rFonts w:ascii="David" w:hAnsi="David" w:cs="David"/>
          <w:b/>
          <w:bCs/>
          <w:sz w:val="28"/>
          <w:szCs w:val="28"/>
          <w:rtl/>
        </w:rPr>
        <w:lastRenderedPageBreak/>
        <w:t> </w:t>
      </w:r>
    </w:p>
    <w:p w14:paraId="5FDFF486" w14:textId="77777777" w:rsidR="00000000" w:rsidRDefault="00000000">
      <w:pPr>
        <w:bidi/>
        <w:spacing w:line="360" w:lineRule="auto"/>
        <w:jc w:val="both"/>
        <w:rPr>
          <w:rtl/>
        </w:rPr>
      </w:pPr>
      <w:r>
        <w:rPr>
          <w:rFonts w:ascii="David" w:hAnsi="David" w:cs="David"/>
          <w:b/>
          <w:bCs/>
          <w:sz w:val="28"/>
          <w:szCs w:val="28"/>
          <w:u w:val="single"/>
          <w:rtl/>
        </w:rPr>
        <w:t>השתלשלות ההליך והמחלוקות בין הצדדים</w:t>
      </w:r>
    </w:p>
    <w:p w14:paraId="2DB49452" w14:textId="77777777" w:rsidR="00000000" w:rsidRDefault="00000000">
      <w:pPr>
        <w:bidi/>
        <w:spacing w:line="360" w:lineRule="auto"/>
        <w:jc w:val="both"/>
        <w:rPr>
          <w:rtl/>
        </w:rPr>
      </w:pPr>
      <w:r>
        <w:rPr>
          <w:rFonts w:ascii="David" w:hAnsi="David" w:cs="David"/>
          <w:b/>
          <w:bCs/>
          <w:sz w:val="28"/>
          <w:szCs w:val="28"/>
          <w:rtl/>
        </w:rPr>
        <w:t> </w:t>
      </w:r>
    </w:p>
    <w:p w14:paraId="03AAC6E3" w14:textId="77777777" w:rsidR="00000000" w:rsidRDefault="00000000">
      <w:pPr>
        <w:pStyle w:val="a9"/>
        <w:spacing w:after="0" w:line="360" w:lineRule="auto"/>
        <w:ind w:left="0"/>
        <w:jc w:val="both"/>
        <w:rPr>
          <w:rtl/>
        </w:rPr>
      </w:pPr>
      <w:r>
        <w:rPr>
          <w:rFonts w:ascii="David" w:hAnsi="David" w:cs="David"/>
          <w:sz w:val="28"/>
          <w:szCs w:val="28"/>
          <w:rtl/>
        </w:rPr>
        <w:t>1.</w:t>
      </w:r>
      <w:r>
        <w:rPr>
          <w:rFonts w:ascii="Times New Roman" w:hAnsi="Times New Roman" w:cs="Times New Roman"/>
          <w:sz w:val="14"/>
          <w:szCs w:val="14"/>
          <w:rtl/>
        </w:rPr>
        <w:t xml:space="preserve">  </w:t>
      </w:r>
      <w:r>
        <w:rPr>
          <w:rFonts w:ascii="David" w:hAnsi="David" w:cs="David"/>
          <w:sz w:val="28"/>
          <w:szCs w:val="28"/>
          <w:rtl/>
        </w:rPr>
        <w:t>על פי כתב התביעה המתוקן, במועד האירועים היה המערער מחנך</w:t>
      </w:r>
      <w:r>
        <w:rPr>
          <w:rFonts w:ascii="David" w:hAnsi="David" w:cs="David"/>
          <w:b/>
          <w:bCs/>
          <w:sz w:val="28"/>
          <w:szCs w:val="28"/>
          <w:rtl/>
        </w:rPr>
        <w:t>,</w:t>
      </w:r>
      <w:r>
        <w:rPr>
          <w:rFonts w:ascii="David" w:hAnsi="David" w:cs="David"/>
          <w:sz w:val="28"/>
          <w:szCs w:val="28"/>
          <w:rtl/>
        </w:rPr>
        <w:t xml:space="preserve"> בהיקף של חצי משרה</w:t>
      </w:r>
      <w:r>
        <w:rPr>
          <w:rFonts w:ascii="David" w:hAnsi="David" w:cs="David"/>
          <w:b/>
          <w:bCs/>
          <w:sz w:val="28"/>
          <w:szCs w:val="28"/>
          <w:rtl/>
        </w:rPr>
        <w:t>,</w:t>
      </w:r>
      <w:r>
        <w:rPr>
          <w:rFonts w:ascii="David" w:hAnsi="David" w:cs="David"/>
          <w:sz w:val="28"/>
          <w:szCs w:val="28"/>
          <w:rtl/>
        </w:rPr>
        <w:t xml:space="preserve"> בכיתת חינוך מיוחד בבית הספר </w:t>
      </w:r>
      <w:r>
        <w:rPr>
          <w:rFonts w:ascii="David" w:hAnsi="David" w:cs="David"/>
          <w:b/>
          <w:bCs/>
          <w:sz w:val="28"/>
          <w:szCs w:val="28"/>
          <w:rtl/>
        </w:rPr>
        <w:t>'</w:t>
      </w:r>
      <w:r>
        <w:rPr>
          <w:rFonts w:ascii="David" w:hAnsi="David" w:cs="David"/>
          <w:sz w:val="28"/>
          <w:szCs w:val="28"/>
          <w:rtl/>
        </w:rPr>
        <w:t>אור שמחה</w:t>
      </w:r>
      <w:r>
        <w:rPr>
          <w:rFonts w:ascii="David" w:hAnsi="David" w:cs="David"/>
          <w:b/>
          <w:bCs/>
          <w:sz w:val="28"/>
          <w:szCs w:val="28"/>
          <w:rtl/>
        </w:rPr>
        <w:t>',</w:t>
      </w:r>
      <w:r>
        <w:rPr>
          <w:rFonts w:ascii="David" w:hAnsi="David" w:cs="David"/>
          <w:sz w:val="28"/>
          <w:szCs w:val="28"/>
          <w:rtl/>
        </w:rPr>
        <w:t xml:space="preserve"> אותו הפעילה עמותה, הנתבעת-2 בכתב התביעה המקורי, אשר לימים נמחקה מן ההליך (פסק דין בפרוטוקול מתאריך 23/1/2020). </w:t>
      </w:r>
    </w:p>
    <w:p w14:paraId="499CB5AD" w14:textId="77777777" w:rsidR="00000000" w:rsidRDefault="00000000">
      <w:pPr>
        <w:pStyle w:val="a9"/>
        <w:spacing w:after="0" w:line="360" w:lineRule="auto"/>
        <w:ind w:left="0"/>
        <w:jc w:val="both"/>
        <w:rPr>
          <w:rtl/>
        </w:rPr>
      </w:pPr>
      <w:r>
        <w:rPr>
          <w:rFonts w:ascii="David" w:hAnsi="David" w:cs="David"/>
          <w:sz w:val="28"/>
          <w:szCs w:val="28"/>
          <w:rtl/>
        </w:rPr>
        <w:t>בכתב התביעה מתאר המערער את קשייו בכיתה, למול צוות ההנהלה והתלמידים, ובעיקר למול המשיב-5 (להלן: "</w:t>
      </w:r>
      <w:r>
        <w:rPr>
          <w:rFonts w:ascii="David" w:hAnsi="David" w:cs="David"/>
          <w:b/>
          <w:bCs/>
          <w:sz w:val="28"/>
          <w:szCs w:val="28"/>
          <w:rtl/>
        </w:rPr>
        <w:t>התלמיד</w:t>
      </w:r>
      <w:r>
        <w:rPr>
          <w:rFonts w:ascii="David" w:hAnsi="David" w:cs="David"/>
          <w:sz w:val="28"/>
          <w:szCs w:val="28"/>
          <w:rtl/>
        </w:rPr>
        <w:t>"), שהיה תלמיד בכיתה אותה חנך המערער באותה עת. התביעה הוגשה בעיקרה בעקבות אירוע שאירע בתאריך 8/11/15, עת "</w:t>
      </w:r>
      <w:r>
        <w:rPr>
          <w:rFonts w:ascii="David" w:hAnsi="David" w:cs="David"/>
          <w:b/>
          <w:bCs/>
          <w:sz w:val="28"/>
          <w:szCs w:val="28"/>
          <w:rtl/>
        </w:rPr>
        <w:t xml:space="preserve">הנתבע 5 נכנס לכיתה, נעצר מאחורי התובע, וללא כל התגרות מצד התובע ו/או ללא כל אזהרה ו/או סיבה תקף באגרופו בעוצמה רבה את התובע וחבט בגבו" </w:t>
      </w:r>
      <w:r>
        <w:rPr>
          <w:rFonts w:ascii="David" w:hAnsi="David" w:cs="David"/>
          <w:sz w:val="28"/>
          <w:szCs w:val="28"/>
          <w:rtl/>
        </w:rPr>
        <w:t>ובהמשך</w:t>
      </w:r>
      <w:r>
        <w:rPr>
          <w:rFonts w:ascii="David" w:hAnsi="David" w:cs="David"/>
          <w:b/>
          <w:bCs/>
          <w:sz w:val="28"/>
          <w:szCs w:val="28"/>
          <w:rtl/>
        </w:rPr>
        <w:t xml:space="preserve"> "הצמיד את ראשו לראשו של התובע ואיים עליו, תוך שהוא מקניט אותו ומקלל אותו </w:t>
      </w:r>
      <w:proofErr w:type="spellStart"/>
      <w:r>
        <w:rPr>
          <w:rFonts w:ascii="David" w:hAnsi="David" w:cs="David"/>
          <w:b/>
          <w:bCs/>
          <w:sz w:val="28"/>
          <w:szCs w:val="28"/>
          <w:rtl/>
        </w:rPr>
        <w:t>אותו</w:t>
      </w:r>
      <w:proofErr w:type="spellEnd"/>
      <w:r>
        <w:rPr>
          <w:rFonts w:ascii="David" w:hAnsi="David" w:cs="David"/>
          <w:b/>
          <w:bCs/>
          <w:sz w:val="28"/>
          <w:szCs w:val="28"/>
          <w:rtl/>
        </w:rPr>
        <w:t xml:space="preserve"> ומאיים עליו ש"יביא את </w:t>
      </w:r>
      <w:proofErr w:type="spellStart"/>
      <w:r>
        <w:rPr>
          <w:rFonts w:ascii="David" w:hAnsi="David" w:cs="David"/>
          <w:b/>
          <w:bCs/>
          <w:sz w:val="28"/>
          <w:szCs w:val="28"/>
          <w:rtl/>
        </w:rPr>
        <w:t>ג'ואריש</w:t>
      </w:r>
      <w:proofErr w:type="spellEnd"/>
      <w:r>
        <w:rPr>
          <w:rFonts w:ascii="David" w:hAnsi="David" w:cs="David"/>
          <w:b/>
          <w:bCs/>
          <w:sz w:val="28"/>
          <w:szCs w:val="28"/>
          <w:rtl/>
        </w:rPr>
        <w:t xml:space="preserve"> אליו ויחזיר את התובע בחתיכות הביתה</w:t>
      </w:r>
      <w:r>
        <w:rPr>
          <w:rFonts w:ascii="David" w:hAnsi="David" w:cs="David"/>
          <w:sz w:val="28"/>
          <w:szCs w:val="28"/>
          <w:rtl/>
        </w:rPr>
        <w:t xml:space="preserve">". המערער דווח על האירוע למנהלת בית הספר וכשהשניים חזרו לכיתה, זרק התלמיד לעבר פניו, שקית סוכריות </w:t>
      </w:r>
      <w:proofErr w:type="spellStart"/>
      <w:r>
        <w:rPr>
          <w:rFonts w:ascii="David" w:hAnsi="David" w:cs="David"/>
          <w:sz w:val="28"/>
          <w:szCs w:val="28"/>
          <w:rtl/>
        </w:rPr>
        <w:t>שהיתה</w:t>
      </w:r>
      <w:proofErr w:type="spellEnd"/>
      <w:r>
        <w:rPr>
          <w:rFonts w:ascii="David" w:hAnsi="David" w:cs="David"/>
          <w:sz w:val="28"/>
          <w:szCs w:val="28"/>
          <w:rtl/>
        </w:rPr>
        <w:t xml:space="preserve"> מונחת על שולחנו של המערער, </w:t>
      </w:r>
      <w:proofErr w:type="spellStart"/>
      <w:r>
        <w:rPr>
          <w:rFonts w:ascii="David" w:hAnsi="David" w:cs="David"/>
          <w:sz w:val="28"/>
          <w:szCs w:val="28"/>
          <w:rtl/>
        </w:rPr>
        <w:t>כש"</w:t>
      </w:r>
      <w:r>
        <w:rPr>
          <w:rFonts w:ascii="David" w:hAnsi="David" w:cs="David"/>
          <w:b/>
          <w:bCs/>
          <w:sz w:val="28"/>
          <w:szCs w:val="28"/>
          <w:rtl/>
        </w:rPr>
        <w:t>ברגע</w:t>
      </w:r>
      <w:proofErr w:type="spellEnd"/>
      <w:r>
        <w:rPr>
          <w:rFonts w:ascii="David" w:hAnsi="David" w:cs="David"/>
          <w:b/>
          <w:bCs/>
          <w:sz w:val="28"/>
          <w:szCs w:val="28"/>
          <w:rtl/>
        </w:rPr>
        <w:t xml:space="preserve"> האחרון הזיז התובע את ראשו והשקית פגעה בלוח וכך הצליח התובע להתחמק מתקיפה נוספת של הנתבע-5 כלפיו. הנתבע 5 התקרב אליו ואיים כי ירצח אותו</w:t>
      </w:r>
      <w:r>
        <w:rPr>
          <w:rFonts w:ascii="David" w:hAnsi="David" w:cs="David"/>
          <w:sz w:val="28"/>
          <w:szCs w:val="28"/>
          <w:rtl/>
        </w:rPr>
        <w:t xml:space="preserve">". </w:t>
      </w:r>
    </w:p>
    <w:p w14:paraId="1BF28511" w14:textId="77777777" w:rsidR="00000000" w:rsidRDefault="00000000">
      <w:pPr>
        <w:pStyle w:val="a9"/>
        <w:spacing w:after="0" w:line="360" w:lineRule="auto"/>
        <w:ind w:left="0"/>
        <w:jc w:val="both"/>
        <w:rPr>
          <w:rtl/>
        </w:rPr>
      </w:pPr>
      <w:r>
        <w:rPr>
          <w:rFonts w:ascii="David" w:hAnsi="David" w:cs="David"/>
          <w:sz w:val="28"/>
          <w:szCs w:val="28"/>
          <w:rtl/>
        </w:rPr>
        <w:t> </w:t>
      </w:r>
    </w:p>
    <w:p w14:paraId="41E7A123" w14:textId="77777777" w:rsidR="00000000" w:rsidRDefault="00000000">
      <w:pPr>
        <w:pStyle w:val="a9"/>
        <w:spacing w:after="0" w:line="360" w:lineRule="auto"/>
        <w:ind w:left="0"/>
        <w:jc w:val="both"/>
        <w:rPr>
          <w:rtl/>
        </w:rPr>
      </w:pPr>
      <w:r>
        <w:rPr>
          <w:rFonts w:ascii="David" w:hAnsi="David" w:cs="David"/>
          <w:sz w:val="28"/>
          <w:szCs w:val="28"/>
          <w:rtl/>
        </w:rPr>
        <w:t>המשיב-1 (להלן: "</w:t>
      </w:r>
      <w:r>
        <w:rPr>
          <w:rFonts w:ascii="David" w:hAnsi="David" w:cs="David"/>
          <w:b/>
          <w:bCs/>
          <w:sz w:val="28"/>
          <w:szCs w:val="28"/>
          <w:rtl/>
        </w:rPr>
        <w:t>משרד החינוך</w:t>
      </w:r>
      <w:r>
        <w:rPr>
          <w:rFonts w:ascii="David" w:hAnsi="David" w:cs="David"/>
          <w:sz w:val="28"/>
          <w:szCs w:val="28"/>
          <w:rtl/>
        </w:rPr>
        <w:t>"), נתבע כמי שהעסיק את המערער והיה אחראי על הפיקוח הפדגוגי, הבטיחותי והמקצועי של בית הספר וכמי שהעסיק את סגל ההוראה. המשיב-2 (להלן: "</w:t>
      </w:r>
      <w:r>
        <w:rPr>
          <w:rFonts w:ascii="David" w:hAnsi="David" w:cs="David"/>
          <w:b/>
          <w:bCs/>
          <w:sz w:val="28"/>
          <w:szCs w:val="28"/>
          <w:rtl/>
        </w:rPr>
        <w:t>משרד הרווחה</w:t>
      </w:r>
      <w:r>
        <w:rPr>
          <w:rFonts w:ascii="David" w:hAnsi="David" w:cs="David"/>
          <w:sz w:val="28"/>
          <w:szCs w:val="28"/>
          <w:rtl/>
        </w:rPr>
        <w:t>"), נתבע כמי שהיה אחראי על שיבוץ התלמידים במסגרות החינוכיות של החינוך המיוחד וכמי שהיה המפקח או המפעיל או המעסיק של צוות העובדים או האחראי על התנהלות אגף הרווחה אצל המשיבה 3. המשיבה-3 (להלן: "</w:t>
      </w:r>
      <w:r>
        <w:rPr>
          <w:rFonts w:ascii="David" w:hAnsi="David" w:cs="David"/>
          <w:b/>
          <w:bCs/>
          <w:sz w:val="28"/>
          <w:szCs w:val="28"/>
          <w:rtl/>
        </w:rPr>
        <w:t>המועצה</w:t>
      </w:r>
      <w:r>
        <w:rPr>
          <w:rFonts w:ascii="David" w:hAnsi="David" w:cs="David"/>
          <w:sz w:val="28"/>
          <w:szCs w:val="28"/>
          <w:rtl/>
        </w:rPr>
        <w:t xml:space="preserve">") נתבעה כרשות מקומית, שהייתה המעסיקה של המערער </w:t>
      </w:r>
      <w:proofErr w:type="spellStart"/>
      <w:r>
        <w:rPr>
          <w:rFonts w:ascii="David" w:hAnsi="David" w:cs="David"/>
          <w:sz w:val="28"/>
          <w:szCs w:val="28"/>
          <w:rtl/>
        </w:rPr>
        <w:t>ואו</w:t>
      </w:r>
      <w:proofErr w:type="spellEnd"/>
      <w:r>
        <w:rPr>
          <w:rFonts w:ascii="David" w:hAnsi="David" w:cs="David"/>
          <w:sz w:val="28"/>
          <w:szCs w:val="28"/>
          <w:rtl/>
        </w:rPr>
        <w:t xml:space="preserve"> הבעלים או מפעילה או המנהלת או </w:t>
      </w:r>
      <w:proofErr w:type="spellStart"/>
      <w:r>
        <w:rPr>
          <w:rFonts w:ascii="David" w:hAnsi="David" w:cs="David"/>
          <w:sz w:val="28"/>
          <w:szCs w:val="28"/>
          <w:rtl/>
        </w:rPr>
        <w:t>מחזיקת</w:t>
      </w:r>
      <w:proofErr w:type="spellEnd"/>
      <w:r>
        <w:rPr>
          <w:rFonts w:ascii="David" w:hAnsi="David" w:cs="David"/>
          <w:sz w:val="28"/>
          <w:szCs w:val="28"/>
          <w:rtl/>
        </w:rPr>
        <w:t xml:space="preserve"> בית הספר. המשיבה 4 (להלן: "</w:t>
      </w:r>
      <w:r>
        <w:rPr>
          <w:rFonts w:ascii="David" w:hAnsi="David" w:cs="David"/>
          <w:b/>
          <w:bCs/>
          <w:sz w:val="28"/>
          <w:szCs w:val="28"/>
          <w:rtl/>
        </w:rPr>
        <w:t>העירייה</w:t>
      </w:r>
      <w:r>
        <w:rPr>
          <w:rFonts w:ascii="David" w:hAnsi="David" w:cs="David"/>
          <w:sz w:val="28"/>
          <w:szCs w:val="28"/>
          <w:rtl/>
        </w:rPr>
        <w:t>") נתבעה כמי שהייתה אחראית על שיבוץ התלמידים המתגוררים בתחום שיפוטה</w:t>
      </w:r>
      <w:r>
        <w:rPr>
          <w:rFonts w:ascii="David" w:hAnsi="David" w:cs="David"/>
          <w:b/>
          <w:bCs/>
          <w:sz w:val="28"/>
          <w:szCs w:val="28"/>
          <w:rtl/>
        </w:rPr>
        <w:t>,</w:t>
      </w:r>
      <w:r>
        <w:rPr>
          <w:rFonts w:ascii="David" w:hAnsi="David" w:cs="David"/>
          <w:sz w:val="28"/>
          <w:szCs w:val="28"/>
          <w:rtl/>
        </w:rPr>
        <w:t xml:space="preserve"> ובין היתר על שיבוץ התלמיד בכיתה שבה לימד המערער. התלמיד נתבע כמובן בשל אירוע התקיפה.</w:t>
      </w:r>
    </w:p>
    <w:p w14:paraId="6E1D8BE3" w14:textId="77777777" w:rsidR="00000000" w:rsidRDefault="00000000">
      <w:pPr>
        <w:pStyle w:val="a9"/>
        <w:spacing w:after="0" w:line="360" w:lineRule="auto"/>
        <w:ind w:left="0"/>
        <w:jc w:val="both"/>
        <w:rPr>
          <w:rtl/>
        </w:rPr>
      </w:pPr>
      <w:r>
        <w:rPr>
          <w:rFonts w:ascii="David" w:hAnsi="David" w:cs="David"/>
          <w:sz w:val="28"/>
          <w:szCs w:val="28"/>
          <w:rtl/>
        </w:rPr>
        <w:t> </w:t>
      </w:r>
    </w:p>
    <w:p w14:paraId="7E8C6AF0" w14:textId="77777777" w:rsidR="00000000" w:rsidRDefault="00000000">
      <w:pPr>
        <w:pStyle w:val="a9"/>
        <w:spacing w:after="0" w:line="360" w:lineRule="auto"/>
        <w:ind w:left="0"/>
        <w:jc w:val="both"/>
        <w:rPr>
          <w:rtl/>
        </w:rPr>
      </w:pPr>
      <w:r>
        <w:rPr>
          <w:rFonts w:ascii="David" w:hAnsi="David" w:cs="David"/>
          <w:sz w:val="28"/>
          <w:szCs w:val="28"/>
          <w:rtl/>
        </w:rPr>
        <w:t xml:space="preserve">אקדים ואציין שהתלמיד לא התגונן בהליך, הדיון כולו התנהל בהעדרו ופסק הדין בעניינו ניתן מבלי שגרסתו/הגנתו נשמעה (להלן לשם הנוחות אתייחס לכל יתר המשיבים כ"משיבים", כאשר מונח זה אינו כולל את התלמיד). </w:t>
      </w:r>
    </w:p>
    <w:p w14:paraId="6BEF738B" w14:textId="77777777" w:rsidR="00000000" w:rsidRDefault="00000000">
      <w:pPr>
        <w:pStyle w:val="a9"/>
        <w:spacing w:after="0" w:line="360" w:lineRule="auto"/>
        <w:ind w:left="0"/>
        <w:jc w:val="both"/>
        <w:rPr>
          <w:rtl/>
        </w:rPr>
      </w:pPr>
      <w:r>
        <w:rPr>
          <w:rFonts w:ascii="David" w:hAnsi="David" w:cs="David"/>
          <w:sz w:val="28"/>
          <w:szCs w:val="28"/>
          <w:rtl/>
        </w:rPr>
        <w:t> </w:t>
      </w:r>
    </w:p>
    <w:p w14:paraId="5C308D29" w14:textId="77777777" w:rsidR="00000000" w:rsidRDefault="00000000">
      <w:pPr>
        <w:pStyle w:val="a9"/>
        <w:spacing w:after="0" w:line="360" w:lineRule="auto"/>
        <w:ind w:left="0"/>
        <w:jc w:val="both"/>
        <w:rPr>
          <w:rtl/>
        </w:rPr>
      </w:pPr>
      <w:r>
        <w:rPr>
          <w:rFonts w:ascii="David" w:hAnsi="David" w:cs="David"/>
          <w:sz w:val="28"/>
          <w:szCs w:val="28"/>
          <w:rtl/>
        </w:rPr>
        <w:t>המערער טען, בין היתר, לאחריות המשיבים בכך שלא סיפקו לו מקום עבודה בטוח, לא סיפקו לו איש צוות נוסף, התעלמו מדרישותיו לעזרה, הציבו את התלמיד בכתתו חרף היותו מסוכן מבלי לספק לו אמצעים לשמור על בטחונו האישי כמו גם ביטחונם של התלמידים בכ</w:t>
      </w:r>
      <w:r>
        <w:rPr>
          <w:rFonts w:ascii="David" w:hAnsi="David" w:cs="David"/>
          <w:color w:val="FF0000"/>
          <w:sz w:val="28"/>
          <w:szCs w:val="28"/>
          <w:rtl/>
        </w:rPr>
        <w:t>י</w:t>
      </w:r>
      <w:r>
        <w:rPr>
          <w:rFonts w:ascii="David" w:hAnsi="David" w:cs="David"/>
          <w:sz w:val="28"/>
          <w:szCs w:val="28"/>
          <w:rtl/>
        </w:rPr>
        <w:t xml:space="preserve">תה, לא הדריכו אותו, שגו בשיבוץ התלמיד ולא מנעו את התנהגותו במכלול האמצעים העומדים לרשותם ועוד כהנה וכהנה טענות, שקצרה היריעה </w:t>
      </w:r>
      <w:proofErr w:type="spellStart"/>
      <w:r>
        <w:rPr>
          <w:rFonts w:ascii="David" w:hAnsi="David" w:cs="David"/>
          <w:sz w:val="28"/>
          <w:szCs w:val="28"/>
          <w:rtl/>
        </w:rPr>
        <w:t>מלפרטן</w:t>
      </w:r>
      <w:proofErr w:type="spellEnd"/>
      <w:r>
        <w:rPr>
          <w:rFonts w:ascii="David" w:hAnsi="David" w:cs="David"/>
          <w:sz w:val="28"/>
          <w:szCs w:val="28"/>
          <w:rtl/>
        </w:rPr>
        <w:t>.</w:t>
      </w:r>
    </w:p>
    <w:p w14:paraId="4DA44CDD" w14:textId="77777777" w:rsidR="00000000" w:rsidRDefault="00000000">
      <w:pPr>
        <w:pStyle w:val="a9"/>
        <w:spacing w:after="0" w:line="360" w:lineRule="auto"/>
        <w:ind w:left="0"/>
        <w:jc w:val="both"/>
        <w:rPr>
          <w:rtl/>
        </w:rPr>
      </w:pPr>
      <w:r>
        <w:rPr>
          <w:rFonts w:ascii="David" w:hAnsi="David" w:cs="David"/>
          <w:sz w:val="28"/>
          <w:szCs w:val="28"/>
        </w:rPr>
        <w:t> </w:t>
      </w:r>
    </w:p>
    <w:p w14:paraId="33259480" w14:textId="77777777" w:rsidR="00000000" w:rsidRDefault="00000000">
      <w:pPr>
        <w:pStyle w:val="a9"/>
        <w:spacing w:after="0" w:line="360" w:lineRule="auto"/>
        <w:ind w:left="0"/>
        <w:jc w:val="both"/>
        <w:rPr>
          <w:rtl/>
        </w:rPr>
      </w:pPr>
      <w:r>
        <w:rPr>
          <w:rFonts w:ascii="David" w:hAnsi="David" w:cs="David"/>
          <w:sz w:val="28"/>
          <w:szCs w:val="28"/>
          <w:rtl/>
        </w:rPr>
        <w:t>2.</w:t>
      </w:r>
      <w:r>
        <w:rPr>
          <w:rFonts w:ascii="Times New Roman" w:hAnsi="Times New Roman" w:cs="Times New Roman"/>
          <w:sz w:val="14"/>
          <w:szCs w:val="14"/>
          <w:rtl/>
        </w:rPr>
        <w:t xml:space="preserve">  </w:t>
      </w:r>
      <w:r>
        <w:rPr>
          <w:rFonts w:ascii="David" w:hAnsi="David" w:cs="David"/>
          <w:sz w:val="28"/>
          <w:szCs w:val="28"/>
          <w:rtl/>
        </w:rPr>
        <w:t>לטענת המערער בכתב התביעה "</w:t>
      </w:r>
      <w:r>
        <w:rPr>
          <w:rFonts w:ascii="David" w:hAnsi="David" w:cs="David"/>
          <w:b/>
          <w:bCs/>
          <w:sz w:val="28"/>
          <w:szCs w:val="28"/>
          <w:rtl/>
        </w:rPr>
        <w:t>כתוצאה מהתאונה נפגע קשות בכל חלקי גופו בעיקר בגבו (פגיעה שמקרינה לרגל שמאל) וצווארו וכן סובל מפגיעה נפשית קשה</w:t>
      </w:r>
      <w:r>
        <w:rPr>
          <w:rFonts w:ascii="David" w:hAnsi="David" w:cs="David"/>
          <w:sz w:val="28"/>
          <w:szCs w:val="28"/>
          <w:rtl/>
        </w:rPr>
        <w:t xml:space="preserve">". </w:t>
      </w:r>
    </w:p>
    <w:p w14:paraId="43BEC0A6" w14:textId="77777777" w:rsidR="00000000" w:rsidRDefault="00000000">
      <w:pPr>
        <w:pStyle w:val="a9"/>
        <w:spacing w:after="0" w:line="360" w:lineRule="auto"/>
        <w:ind w:left="0"/>
        <w:jc w:val="both"/>
        <w:rPr>
          <w:rtl/>
        </w:rPr>
      </w:pPr>
      <w:r>
        <w:rPr>
          <w:rFonts w:ascii="David" w:hAnsi="David" w:cs="David"/>
          <w:sz w:val="28"/>
          <w:szCs w:val="28"/>
          <w:rtl/>
        </w:rPr>
        <w:t xml:space="preserve">המערער צרף לתביעתו חוות דעת רפואית בתחום האורתופדיה, מטעם ד"ר נחשון רנד, אשר קבע לו נכויות זמניות, וכן נכות צמיתה בשיעור 20% בגין הגבלה בינונית בטווח תנועות עמוד שדרה מותני; בשיעור 10% בגין גירוי שורשי ניכר לאורך רגל שמאל הגורם לכאב נוירוטי קבוע; ובשיעור של 10% בגין הגבלה קלה בטווח תנועות עמוד שדרה צווארי. </w:t>
      </w:r>
    </w:p>
    <w:p w14:paraId="07F18B75" w14:textId="77777777" w:rsidR="00000000" w:rsidRDefault="00000000">
      <w:pPr>
        <w:pStyle w:val="a9"/>
        <w:spacing w:after="0" w:line="360" w:lineRule="auto"/>
        <w:ind w:left="0"/>
        <w:jc w:val="both"/>
        <w:rPr>
          <w:rtl/>
        </w:rPr>
      </w:pPr>
      <w:r>
        <w:rPr>
          <w:rFonts w:ascii="David" w:hAnsi="David" w:cs="David"/>
          <w:sz w:val="28"/>
          <w:szCs w:val="28"/>
          <w:rtl/>
        </w:rPr>
        <w:t xml:space="preserve">כן הגיש המערער חוות דעת רפואית מטעם ד"ר אינה </w:t>
      </w:r>
      <w:proofErr w:type="spellStart"/>
      <w:r>
        <w:rPr>
          <w:rFonts w:ascii="David" w:hAnsi="David" w:cs="David"/>
          <w:sz w:val="28"/>
          <w:szCs w:val="28"/>
          <w:rtl/>
        </w:rPr>
        <w:t>מרנזון</w:t>
      </w:r>
      <w:proofErr w:type="spellEnd"/>
      <w:r>
        <w:rPr>
          <w:rFonts w:ascii="David" w:hAnsi="David" w:cs="David"/>
          <w:sz w:val="28"/>
          <w:szCs w:val="28"/>
          <w:rtl/>
        </w:rPr>
        <w:t xml:space="preserve"> בתחום הפסיכיאטריה, שקבעה שהמערער סובל מנכות נפשית צמיתה בשיעור 30% עקב תסמונת בתר חבלתית.</w:t>
      </w:r>
    </w:p>
    <w:p w14:paraId="587FB13D" w14:textId="77777777" w:rsidR="00000000" w:rsidRDefault="00000000">
      <w:pPr>
        <w:pStyle w:val="a9"/>
        <w:spacing w:after="0" w:line="360" w:lineRule="auto"/>
        <w:ind w:left="0"/>
        <w:jc w:val="both"/>
        <w:rPr>
          <w:rtl/>
        </w:rPr>
      </w:pPr>
      <w:r>
        <w:rPr>
          <w:rFonts w:ascii="David" w:hAnsi="David" w:cs="David"/>
          <w:sz w:val="28"/>
          <w:szCs w:val="28"/>
        </w:rPr>
        <w:t> </w:t>
      </w:r>
    </w:p>
    <w:p w14:paraId="35BF51AB" w14:textId="77777777" w:rsidR="00000000" w:rsidRDefault="00000000">
      <w:pPr>
        <w:pStyle w:val="a9"/>
        <w:spacing w:after="0" w:line="360" w:lineRule="auto"/>
        <w:ind w:left="0"/>
        <w:jc w:val="both"/>
        <w:rPr>
          <w:rtl/>
        </w:rPr>
      </w:pPr>
      <w:r>
        <w:rPr>
          <w:rFonts w:ascii="David" w:hAnsi="David" w:cs="David"/>
          <w:sz w:val="28"/>
          <w:szCs w:val="28"/>
          <w:rtl/>
        </w:rPr>
        <w:t>3.</w:t>
      </w:r>
      <w:r>
        <w:rPr>
          <w:rFonts w:ascii="Times New Roman" w:hAnsi="Times New Roman" w:cs="Times New Roman"/>
          <w:sz w:val="14"/>
          <w:szCs w:val="14"/>
          <w:rtl/>
        </w:rPr>
        <w:t xml:space="preserve">  </w:t>
      </w:r>
      <w:r>
        <w:rPr>
          <w:rFonts w:ascii="David" w:hAnsi="David" w:cs="David"/>
          <w:sz w:val="28"/>
          <w:szCs w:val="28"/>
          <w:rtl/>
        </w:rPr>
        <w:t>המשיבים הכחישו מכל וכל את אחריותם, כאשר כל אחד הדגיש בכתב ההגנה מטעמו את העדר המעורבות והאחריות למעשה. משרד החינוך ומשרד הרווחה, הדגישו שהמערער אשר למד לתואר ראשון בחינוך המיוחד, אינו יכול להעלות טענות בגין קשיים שהם חלק בלתי נפרד מהעבודה. כן טענו כי עובר לאירוע מושא התביעה, ביקש המערער לעזוב את תפקידו כמחנך שכן החל ללמוד משפטים וכאשר נאמר לו שלא ניתן להשאיר את הכיתה ללא מחנך השיב שיש לו "דרכים משלו" לעזוב. עוד נטען שהמדובר במכה יחידה, אשר אינה מתיישבת עם כלל התחלואים הנטענים על ידי המערער וכי המדובר באירוע שארע באופן בלתי צפוי, מקרי ופתאומי ומבלי שהייתה יכולת לצפותו. העירייה טענה שלא נפל כל פגם בהחלטה לשבץ את התלמיד במסגרת החינוך בה שובץ, אשר כללה תכנית שיש בה מענה לתלמידי החינוך המיוחד.</w:t>
      </w:r>
    </w:p>
    <w:p w14:paraId="07ACE52A" w14:textId="77777777" w:rsidR="00000000" w:rsidRDefault="00000000">
      <w:pPr>
        <w:pStyle w:val="a9"/>
        <w:spacing w:after="0" w:line="360" w:lineRule="auto"/>
        <w:ind w:left="0"/>
        <w:jc w:val="both"/>
        <w:rPr>
          <w:rtl/>
        </w:rPr>
      </w:pPr>
      <w:r>
        <w:rPr>
          <w:rFonts w:ascii="David" w:hAnsi="David" w:cs="David"/>
          <w:sz w:val="28"/>
          <w:szCs w:val="28"/>
        </w:rPr>
        <w:t> </w:t>
      </w:r>
    </w:p>
    <w:p w14:paraId="0EE04025" w14:textId="77777777" w:rsidR="00000000" w:rsidRDefault="00000000">
      <w:pPr>
        <w:pStyle w:val="a9"/>
        <w:spacing w:after="0" w:line="360" w:lineRule="auto"/>
        <w:ind w:left="0"/>
        <w:jc w:val="both"/>
        <w:rPr>
          <w:rtl/>
        </w:rPr>
      </w:pPr>
      <w:r>
        <w:rPr>
          <w:rFonts w:ascii="David" w:hAnsi="David" w:cs="David"/>
          <w:sz w:val="28"/>
          <w:szCs w:val="28"/>
          <w:rtl/>
        </w:rPr>
        <w:t xml:space="preserve">המשיבים הגישו מטעמם חוות דעת בתחום האורתופדיה מטעם פרופ' </w:t>
      </w:r>
      <w:proofErr w:type="spellStart"/>
      <w:r>
        <w:rPr>
          <w:rFonts w:ascii="David" w:hAnsi="David" w:cs="David"/>
          <w:sz w:val="28"/>
          <w:szCs w:val="28"/>
          <w:rtl/>
        </w:rPr>
        <w:t>נרובאי</w:t>
      </w:r>
      <w:proofErr w:type="spellEnd"/>
      <w:r>
        <w:rPr>
          <w:rFonts w:ascii="David" w:hAnsi="David" w:cs="David"/>
          <w:sz w:val="28"/>
          <w:szCs w:val="28"/>
          <w:rtl/>
        </w:rPr>
        <w:t xml:space="preserve">, שקבע שלא נותרה למערער נכות כתוצאה מן האירוע, שעה שלא נמצאה כל הגבלה בתנועתיות עמוד השדרה ובהינתן עברו הרפואי. </w:t>
      </w:r>
    </w:p>
    <w:p w14:paraId="4C0994A5" w14:textId="77777777" w:rsidR="00000000" w:rsidRDefault="00000000">
      <w:pPr>
        <w:pStyle w:val="a9"/>
        <w:spacing w:after="0" w:line="360" w:lineRule="auto"/>
        <w:ind w:left="0"/>
        <w:jc w:val="both"/>
        <w:rPr>
          <w:rtl/>
        </w:rPr>
      </w:pPr>
      <w:r>
        <w:rPr>
          <w:rFonts w:ascii="David" w:hAnsi="David" w:cs="David"/>
          <w:sz w:val="28"/>
          <w:szCs w:val="28"/>
          <w:rtl/>
        </w:rPr>
        <w:t xml:space="preserve">כן הגישו המשיבים חוות דעת בתחום הפסיכיאטריה מטעם ד"ר נועה קרת. המומחית העריכה את נכותו של המערער בשיעור של 15%, עקב תסמינים בתר חבלתיים שפיתח כתוצאה מן האירוע. </w:t>
      </w:r>
    </w:p>
    <w:p w14:paraId="2698698A" w14:textId="77777777" w:rsidR="00000000" w:rsidRDefault="00000000">
      <w:pPr>
        <w:pStyle w:val="a9"/>
        <w:spacing w:after="0" w:line="360" w:lineRule="auto"/>
        <w:ind w:left="0"/>
        <w:jc w:val="both"/>
        <w:rPr>
          <w:rtl/>
        </w:rPr>
      </w:pPr>
      <w:r>
        <w:rPr>
          <w:rFonts w:ascii="David" w:hAnsi="David" w:cs="David"/>
          <w:sz w:val="28"/>
          <w:szCs w:val="28"/>
          <w:rtl/>
        </w:rPr>
        <w:t>הצדדים הסכימו להעמיד את נכותו של המערער בתחום הפסיכיאטרי על שיעור של 20%.</w:t>
      </w:r>
    </w:p>
    <w:p w14:paraId="4015A6AE" w14:textId="77777777" w:rsidR="00000000" w:rsidRDefault="00000000">
      <w:pPr>
        <w:pStyle w:val="a9"/>
        <w:spacing w:after="0" w:line="360" w:lineRule="auto"/>
        <w:ind w:left="0"/>
        <w:jc w:val="both"/>
        <w:rPr>
          <w:rtl/>
        </w:rPr>
      </w:pPr>
      <w:r>
        <w:rPr>
          <w:rFonts w:ascii="David" w:hAnsi="David" w:cs="David"/>
          <w:sz w:val="28"/>
          <w:szCs w:val="28"/>
        </w:rPr>
        <w:t> </w:t>
      </w:r>
    </w:p>
    <w:p w14:paraId="19A828FF" w14:textId="77777777" w:rsidR="00000000" w:rsidRDefault="00000000">
      <w:pPr>
        <w:pStyle w:val="a9"/>
        <w:spacing w:after="0" w:line="360" w:lineRule="auto"/>
        <w:ind w:left="0"/>
        <w:jc w:val="both"/>
        <w:rPr>
          <w:rtl/>
        </w:rPr>
      </w:pPr>
      <w:r>
        <w:rPr>
          <w:rFonts w:ascii="David" w:hAnsi="David" w:cs="David"/>
          <w:sz w:val="28"/>
          <w:szCs w:val="28"/>
          <w:rtl/>
        </w:rPr>
        <w:t>4.</w:t>
      </w:r>
      <w:r>
        <w:rPr>
          <w:rFonts w:ascii="Times New Roman" w:hAnsi="Times New Roman" w:cs="Times New Roman"/>
          <w:sz w:val="14"/>
          <w:szCs w:val="14"/>
          <w:rtl/>
        </w:rPr>
        <w:t xml:space="preserve">  </w:t>
      </w:r>
      <w:r>
        <w:rPr>
          <w:rFonts w:ascii="David" w:hAnsi="David" w:cs="David"/>
          <w:sz w:val="28"/>
          <w:szCs w:val="28"/>
          <w:rtl/>
        </w:rPr>
        <w:t xml:space="preserve">בתחום האורתופדיה מונה כמומחה מטעם בית המשפט ד"ר ששון עמיהוד, שקבע כי תלונותיו של המערער הם החמרה של מצב קיים בעמוד השדרה </w:t>
      </w:r>
      <w:proofErr w:type="spellStart"/>
      <w:r>
        <w:rPr>
          <w:rFonts w:ascii="David" w:hAnsi="David" w:cs="David"/>
          <w:sz w:val="28"/>
          <w:szCs w:val="28"/>
          <w:rtl/>
        </w:rPr>
        <w:t>המותני</w:t>
      </w:r>
      <w:proofErr w:type="spellEnd"/>
      <w:r>
        <w:rPr>
          <w:rFonts w:ascii="David" w:hAnsi="David" w:cs="David"/>
          <w:sz w:val="28"/>
          <w:szCs w:val="28"/>
          <w:rtl/>
        </w:rPr>
        <w:t xml:space="preserve"> ולא נגרמו עקב האירוע, כן הוסיף המומחה שקיימת האדרה של התסמינים. המומחה העריך את נכותו הכוללת של המערער ב- 20% עקב הגבלה בינונית בתנועות עמוד שדרה מותני, ואולם קבע שיש לנכות 2/3 מן הנכות בגין עברו המתועד וממצאי בדיקת הדימות שביצע עוד קודם לאירוע. משכך נכותו הצמיתה בגין האירוע הינה בשיעור של 7%. המומחה לא ראה לקבוע נכות נוספת בתחום האורתופדי.</w:t>
      </w:r>
    </w:p>
    <w:p w14:paraId="6339728F" w14:textId="77777777" w:rsidR="00000000" w:rsidRDefault="00000000">
      <w:pPr>
        <w:pStyle w:val="a9"/>
        <w:spacing w:after="0" w:line="360" w:lineRule="auto"/>
        <w:ind w:left="0"/>
        <w:jc w:val="both"/>
        <w:rPr>
          <w:rtl/>
        </w:rPr>
      </w:pPr>
      <w:r>
        <w:rPr>
          <w:rFonts w:ascii="David" w:hAnsi="David" w:cs="David"/>
          <w:sz w:val="28"/>
          <w:szCs w:val="28"/>
          <w:rtl/>
        </w:rPr>
        <w:t> </w:t>
      </w:r>
    </w:p>
    <w:p w14:paraId="2DECD36F" w14:textId="77777777" w:rsidR="00000000" w:rsidRDefault="00000000">
      <w:pPr>
        <w:pStyle w:val="a9"/>
        <w:spacing w:after="0" w:line="360" w:lineRule="auto"/>
        <w:ind w:left="0"/>
        <w:jc w:val="both"/>
        <w:rPr>
          <w:rtl/>
        </w:rPr>
      </w:pPr>
      <w:r>
        <w:rPr>
          <w:rFonts w:ascii="David" w:hAnsi="David" w:cs="David"/>
          <w:sz w:val="28"/>
          <w:szCs w:val="28"/>
          <w:rtl/>
        </w:rPr>
        <w:t>5.</w:t>
      </w:r>
      <w:r>
        <w:rPr>
          <w:rFonts w:ascii="Times New Roman" w:hAnsi="Times New Roman" w:cs="Times New Roman"/>
          <w:sz w:val="14"/>
          <w:szCs w:val="14"/>
          <w:rtl/>
        </w:rPr>
        <w:t xml:space="preserve">  </w:t>
      </w:r>
      <w:r>
        <w:rPr>
          <w:rFonts w:ascii="David" w:hAnsi="David" w:cs="David"/>
          <w:sz w:val="28"/>
          <w:szCs w:val="28"/>
          <w:rtl/>
        </w:rPr>
        <w:t xml:space="preserve">לאחר הגשת חוות הדעת, הגיש המערער בקשה לתקן את כתב התביעה, בכך שתוגש חוות דעת אורתופדית מעודכנת, בגדרה תעמוד נכותו בעמוד שדרה צווארי על שיעור של 20%. כן ביקש המערער להוסיף חוות דעת בתחום הראומטולוגיה והרפואה הפנימית מטעם ד"ר הווארד </w:t>
      </w:r>
      <w:proofErr w:type="spellStart"/>
      <w:r>
        <w:rPr>
          <w:rFonts w:ascii="David" w:hAnsi="David" w:cs="David"/>
          <w:sz w:val="28"/>
          <w:szCs w:val="28"/>
          <w:rtl/>
        </w:rPr>
        <w:t>עמיטל</w:t>
      </w:r>
      <w:proofErr w:type="spellEnd"/>
      <w:r>
        <w:rPr>
          <w:rFonts w:ascii="David" w:hAnsi="David" w:cs="David"/>
          <w:sz w:val="28"/>
          <w:szCs w:val="28"/>
          <w:rtl/>
        </w:rPr>
        <w:t>, לפיה הוא סובל מנכות בשיעור 30% בגין פיברומיאלגיה ונכות בשיעור של 10% בגין השמנה. בית המשפט נעתר לבקשה (החלטה מתאריך 19/10/2020).</w:t>
      </w:r>
    </w:p>
    <w:p w14:paraId="717809FC" w14:textId="77777777" w:rsidR="00000000" w:rsidRDefault="00000000">
      <w:pPr>
        <w:pStyle w:val="a9"/>
        <w:spacing w:after="0" w:line="360" w:lineRule="auto"/>
        <w:ind w:left="0"/>
        <w:jc w:val="both"/>
        <w:rPr>
          <w:rtl/>
        </w:rPr>
      </w:pPr>
      <w:r>
        <w:rPr>
          <w:rFonts w:ascii="David" w:hAnsi="David" w:cs="David"/>
          <w:sz w:val="28"/>
          <w:szCs w:val="28"/>
          <w:rtl/>
        </w:rPr>
        <w:t xml:space="preserve">המשיבים הגישו חוות דעת משלימה בתחום האורתופדיה, לפיה לא נותרה למערער כל נכות בתחום האורתופדי. </w:t>
      </w:r>
    </w:p>
    <w:p w14:paraId="2523FF63" w14:textId="77777777" w:rsidR="00000000" w:rsidRDefault="00000000">
      <w:pPr>
        <w:pStyle w:val="a9"/>
        <w:spacing w:after="0" w:line="360" w:lineRule="auto"/>
        <w:ind w:left="0"/>
        <w:jc w:val="both"/>
        <w:rPr>
          <w:rtl/>
        </w:rPr>
      </w:pPr>
      <w:r>
        <w:rPr>
          <w:rFonts w:ascii="David" w:hAnsi="David" w:cs="David"/>
          <w:sz w:val="28"/>
          <w:szCs w:val="28"/>
          <w:rtl/>
        </w:rPr>
        <w:t xml:space="preserve">בהינתן שד"ר עמיהוד המומחה מטעם בית המשפט, סרב לבצע בדיקה נוספת למערער, החליט בית המשפט למנות מומחה אחר תחתיו (החלטה מתאריך 17/8/2021), ומינה את ד"ר אמיר אמיתי, אשר קבע כי המערער סובל מפגיעה קלה בטווח תנועה של עמוד שדרה מותני, אותה ניתן לייחס למצבו טרם האירוע ולפיכך לא נגרמה לו כל נכות באירוע. </w:t>
      </w:r>
    </w:p>
    <w:p w14:paraId="71092FBC" w14:textId="77777777" w:rsidR="00000000" w:rsidRDefault="00000000">
      <w:pPr>
        <w:pStyle w:val="a9"/>
        <w:spacing w:after="0" w:line="360" w:lineRule="auto"/>
        <w:ind w:left="0"/>
        <w:jc w:val="both"/>
        <w:rPr>
          <w:rtl/>
        </w:rPr>
      </w:pPr>
      <w:r>
        <w:rPr>
          <w:rFonts w:ascii="David" w:hAnsi="David" w:cs="David"/>
          <w:sz w:val="28"/>
          <w:szCs w:val="28"/>
          <w:rtl/>
        </w:rPr>
        <w:t> </w:t>
      </w:r>
    </w:p>
    <w:p w14:paraId="08793709" w14:textId="77777777" w:rsidR="00000000" w:rsidRDefault="00000000">
      <w:pPr>
        <w:pStyle w:val="a9"/>
        <w:spacing w:after="0" w:line="360" w:lineRule="auto"/>
        <w:ind w:left="0"/>
        <w:jc w:val="both"/>
        <w:rPr>
          <w:rtl/>
        </w:rPr>
      </w:pPr>
      <w:r>
        <w:rPr>
          <w:rFonts w:ascii="David" w:hAnsi="David" w:cs="David"/>
          <w:sz w:val="28"/>
          <w:szCs w:val="28"/>
          <w:rtl/>
        </w:rPr>
        <w:t xml:space="preserve">בתחום הראומטולוגיה הגישו המשיבים את חוות דעתו של פרופ' משה </w:t>
      </w:r>
      <w:proofErr w:type="spellStart"/>
      <w:r>
        <w:rPr>
          <w:rFonts w:ascii="David" w:hAnsi="David" w:cs="David"/>
          <w:sz w:val="28"/>
          <w:szCs w:val="28"/>
          <w:rtl/>
        </w:rPr>
        <w:t>טישלר</w:t>
      </w:r>
      <w:proofErr w:type="spellEnd"/>
      <w:r>
        <w:rPr>
          <w:rFonts w:ascii="David" w:hAnsi="David" w:cs="David"/>
          <w:sz w:val="28"/>
          <w:szCs w:val="28"/>
          <w:rtl/>
        </w:rPr>
        <w:t xml:space="preserve"> ז"ל, אשר העריך את נכותו של המערער בשיעור של 20%. </w:t>
      </w:r>
    </w:p>
    <w:p w14:paraId="2D4111F0" w14:textId="77777777" w:rsidR="00000000" w:rsidRDefault="00000000">
      <w:pPr>
        <w:pStyle w:val="a9"/>
        <w:spacing w:after="0" w:line="360" w:lineRule="auto"/>
        <w:ind w:left="0"/>
        <w:jc w:val="both"/>
        <w:rPr>
          <w:rtl/>
        </w:rPr>
      </w:pPr>
      <w:r>
        <w:rPr>
          <w:rFonts w:ascii="David" w:hAnsi="David" w:cs="David"/>
          <w:sz w:val="28"/>
          <w:szCs w:val="28"/>
          <w:rtl/>
        </w:rPr>
        <w:t>הצדדים הגיעו להסכמה לפיה כתוצאה מהאירוע נותרה למערער נכות צמיתה בשיעור של 20% בשל פיברומיאלגיה.</w:t>
      </w:r>
    </w:p>
    <w:p w14:paraId="3459EA79" w14:textId="77777777" w:rsidR="00000000" w:rsidRDefault="00000000">
      <w:pPr>
        <w:pStyle w:val="a9"/>
        <w:spacing w:after="0" w:line="360" w:lineRule="auto"/>
        <w:ind w:left="0"/>
        <w:jc w:val="both"/>
        <w:rPr>
          <w:rtl/>
        </w:rPr>
      </w:pPr>
      <w:r>
        <w:rPr>
          <w:rFonts w:ascii="David" w:hAnsi="David" w:cs="David"/>
          <w:sz w:val="28"/>
          <w:szCs w:val="28"/>
          <w:rtl/>
        </w:rPr>
        <w:t> </w:t>
      </w:r>
    </w:p>
    <w:p w14:paraId="7884E5F7" w14:textId="77777777" w:rsidR="00000000" w:rsidRDefault="00000000">
      <w:pPr>
        <w:pStyle w:val="a9"/>
        <w:spacing w:after="0" w:line="360" w:lineRule="auto"/>
        <w:ind w:left="0"/>
        <w:jc w:val="both"/>
        <w:rPr>
          <w:rtl/>
        </w:rPr>
      </w:pPr>
      <w:r>
        <w:rPr>
          <w:rFonts w:ascii="David" w:hAnsi="David" w:cs="David"/>
          <w:sz w:val="28"/>
          <w:szCs w:val="28"/>
          <w:rtl/>
        </w:rPr>
        <w:t>6.</w:t>
      </w:r>
      <w:r>
        <w:rPr>
          <w:rFonts w:ascii="Times New Roman" w:hAnsi="Times New Roman" w:cs="Times New Roman"/>
          <w:sz w:val="14"/>
          <w:szCs w:val="14"/>
          <w:rtl/>
        </w:rPr>
        <w:t xml:space="preserve">  </w:t>
      </w:r>
      <w:r>
        <w:rPr>
          <w:rFonts w:ascii="David" w:hAnsi="David" w:cs="David"/>
          <w:sz w:val="28"/>
          <w:szCs w:val="28"/>
          <w:rtl/>
        </w:rPr>
        <w:t>נכותו הרפואית של המשיב הועמדה לפיכך על 20% בתחום הפסיכיאטריה ו- 20% בתחום הראומטולוגיה, סה"כ 36% נכות רפואית משוקללת.</w:t>
      </w:r>
    </w:p>
    <w:p w14:paraId="1D7735E9" w14:textId="77777777" w:rsidR="00000000" w:rsidRDefault="00000000">
      <w:pPr>
        <w:pStyle w:val="a9"/>
        <w:spacing w:after="0" w:line="360" w:lineRule="auto"/>
        <w:ind w:left="0"/>
        <w:jc w:val="both"/>
        <w:rPr>
          <w:rtl/>
        </w:rPr>
      </w:pPr>
      <w:r>
        <w:rPr>
          <w:rFonts w:ascii="David" w:hAnsi="David" w:cs="David"/>
          <w:sz w:val="28"/>
          <w:szCs w:val="28"/>
        </w:rPr>
        <w:t> </w:t>
      </w:r>
    </w:p>
    <w:p w14:paraId="015BE4D2" w14:textId="77777777" w:rsidR="00000000" w:rsidRDefault="00000000">
      <w:pPr>
        <w:pStyle w:val="a9"/>
        <w:spacing w:after="0" w:line="360" w:lineRule="auto"/>
        <w:ind w:left="0"/>
        <w:jc w:val="both"/>
        <w:rPr>
          <w:rtl/>
        </w:rPr>
      </w:pPr>
      <w:r>
        <w:rPr>
          <w:rFonts w:ascii="David" w:hAnsi="David" w:cs="David"/>
          <w:sz w:val="28"/>
          <w:szCs w:val="28"/>
          <w:rtl/>
        </w:rPr>
        <w:t>7.</w:t>
      </w:r>
      <w:r>
        <w:rPr>
          <w:rFonts w:ascii="Times New Roman" w:hAnsi="Times New Roman" w:cs="Times New Roman"/>
          <w:sz w:val="14"/>
          <w:szCs w:val="14"/>
          <w:rtl/>
        </w:rPr>
        <w:t xml:space="preserve">  </w:t>
      </w:r>
      <w:r>
        <w:rPr>
          <w:rFonts w:ascii="David" w:hAnsi="David" w:cs="David"/>
          <w:sz w:val="28"/>
          <w:szCs w:val="28"/>
          <w:rtl/>
        </w:rPr>
        <w:t>משהצדדים לא הגיעו להסכמות, הוגשו ראיותיהם בתצהירי עדות ראשית ותיקי מוצגים עבי כרס (630 עמודי נספחים מצד התובע ו- 342 עמודי נספחים מצד המדינה). התקיימו שני מועדי הוכחות במסגרתם נחקרו 14 עדים, כאשר פרוטוקול הדיון מחזיק כ- 450 עמודים.</w:t>
      </w:r>
    </w:p>
    <w:p w14:paraId="3D65F01B" w14:textId="77777777" w:rsidR="00000000" w:rsidRDefault="00000000">
      <w:pPr>
        <w:bidi/>
        <w:spacing w:line="360" w:lineRule="auto"/>
        <w:jc w:val="both"/>
        <w:rPr>
          <w:rtl/>
        </w:rPr>
      </w:pPr>
      <w:r>
        <w:rPr>
          <w:rFonts w:ascii="David" w:hAnsi="David" w:cs="David"/>
          <w:b/>
          <w:bCs/>
          <w:sz w:val="28"/>
          <w:szCs w:val="28"/>
          <w:rtl/>
        </w:rPr>
        <w:t> </w:t>
      </w:r>
    </w:p>
    <w:p w14:paraId="0AB90EE9" w14:textId="77777777" w:rsidR="00000000" w:rsidRDefault="00000000">
      <w:pPr>
        <w:bidi/>
        <w:spacing w:line="360" w:lineRule="auto"/>
        <w:jc w:val="both"/>
        <w:rPr>
          <w:rtl/>
        </w:rPr>
      </w:pPr>
      <w:r>
        <w:rPr>
          <w:rFonts w:ascii="David" w:hAnsi="David" w:cs="David"/>
          <w:b/>
          <w:bCs/>
          <w:sz w:val="28"/>
          <w:szCs w:val="28"/>
          <w:u w:val="single"/>
          <w:rtl/>
        </w:rPr>
        <w:t>פסק הדין</w:t>
      </w:r>
    </w:p>
    <w:p w14:paraId="787DAA14" w14:textId="77777777" w:rsidR="00000000" w:rsidRDefault="00000000">
      <w:pPr>
        <w:bidi/>
        <w:spacing w:line="360" w:lineRule="auto"/>
        <w:jc w:val="both"/>
        <w:rPr>
          <w:rtl/>
        </w:rPr>
      </w:pPr>
      <w:r>
        <w:rPr>
          <w:rFonts w:ascii="David" w:hAnsi="David" w:cs="David"/>
          <w:b/>
          <w:bCs/>
          <w:sz w:val="28"/>
          <w:szCs w:val="28"/>
        </w:rPr>
        <w:t> </w:t>
      </w:r>
    </w:p>
    <w:p w14:paraId="07F2AC44" w14:textId="77777777" w:rsidR="00000000" w:rsidRDefault="00000000">
      <w:pPr>
        <w:pStyle w:val="a9"/>
        <w:spacing w:after="0" w:line="360" w:lineRule="auto"/>
        <w:ind w:left="0"/>
        <w:jc w:val="both"/>
        <w:rPr>
          <w:rtl/>
        </w:rPr>
      </w:pPr>
      <w:r>
        <w:rPr>
          <w:rFonts w:ascii="David" w:hAnsi="David" w:cs="David"/>
          <w:sz w:val="28"/>
          <w:szCs w:val="28"/>
          <w:rtl/>
        </w:rPr>
        <w:t>8.</w:t>
      </w:r>
      <w:r>
        <w:rPr>
          <w:rFonts w:ascii="Times New Roman" w:hAnsi="Times New Roman" w:cs="Times New Roman"/>
          <w:sz w:val="14"/>
          <w:szCs w:val="14"/>
          <w:rtl/>
        </w:rPr>
        <w:t xml:space="preserve">  </w:t>
      </w:r>
      <w:r>
        <w:rPr>
          <w:rFonts w:ascii="David" w:hAnsi="David" w:cs="David"/>
          <w:sz w:val="28"/>
          <w:szCs w:val="28"/>
          <w:rtl/>
        </w:rPr>
        <w:t xml:space="preserve">פסק דינו של בית משפט קמא, עסק בעוולת הרשלנות המופנית כלפי המשיבים: משרדי החינוך והרווחה, המועצה והעירייה, שהרי נגד התלמיד ניתן פסק דין בהעדר הגנה. </w:t>
      </w:r>
    </w:p>
    <w:p w14:paraId="03C76EDE" w14:textId="77777777" w:rsidR="00000000" w:rsidRDefault="00000000">
      <w:pPr>
        <w:pStyle w:val="a9"/>
        <w:spacing w:after="0" w:line="360" w:lineRule="auto"/>
        <w:ind w:left="0"/>
        <w:jc w:val="both"/>
        <w:rPr>
          <w:rtl/>
        </w:rPr>
      </w:pPr>
      <w:r>
        <w:rPr>
          <w:rFonts w:ascii="David" w:hAnsi="David" w:cs="David"/>
          <w:sz w:val="28"/>
          <w:szCs w:val="28"/>
          <w:rtl/>
        </w:rPr>
        <w:t>בית המשפט קמא, פתח את הדיון בפסק דינו בהתייחסות ל"</w:t>
      </w:r>
      <w:r>
        <w:rPr>
          <w:rFonts w:ascii="David" w:hAnsi="David" w:cs="David"/>
          <w:b/>
          <w:bCs/>
          <w:sz w:val="28"/>
          <w:szCs w:val="28"/>
          <w:rtl/>
        </w:rPr>
        <w:t>חשיבות ההגנה על עובדי ציבור, בכללם מורים במערכת החינוך, מפני אירועי אלימות המופעלים נגדם במסגרת תפקידם</w:t>
      </w:r>
      <w:r>
        <w:rPr>
          <w:rFonts w:ascii="David" w:hAnsi="David" w:cs="David"/>
          <w:sz w:val="28"/>
          <w:szCs w:val="28"/>
          <w:rtl/>
        </w:rPr>
        <w:t>", ולצד זאת העלה את השאלה הדורשת הכרעה "</w:t>
      </w:r>
      <w:r>
        <w:rPr>
          <w:rFonts w:ascii="David" w:hAnsi="David" w:cs="David"/>
          <w:b/>
          <w:bCs/>
          <w:sz w:val="28"/>
          <w:szCs w:val="28"/>
          <w:rtl/>
        </w:rPr>
        <w:t>האם יש בכוחה של קביעה נורמטיבית זו, אשר אין עליה עוררין, כדי לחייב את הנתבעות בעוולת הרשלנות כלפי התובע בשל מעשה התקיפה של התלמיד במקרה דנן</w:t>
      </w:r>
      <w:r>
        <w:rPr>
          <w:rFonts w:ascii="David" w:hAnsi="David" w:cs="David"/>
          <w:sz w:val="28"/>
          <w:szCs w:val="28"/>
          <w:rtl/>
        </w:rPr>
        <w:t>".</w:t>
      </w:r>
    </w:p>
    <w:p w14:paraId="14F4FD0A" w14:textId="77777777" w:rsidR="00000000" w:rsidRDefault="00000000">
      <w:pPr>
        <w:pStyle w:val="a9"/>
        <w:spacing w:after="0" w:line="360" w:lineRule="auto"/>
        <w:ind w:left="0"/>
        <w:jc w:val="both"/>
        <w:rPr>
          <w:rtl/>
        </w:rPr>
      </w:pPr>
      <w:r>
        <w:rPr>
          <w:rFonts w:ascii="David" w:hAnsi="David" w:cs="David"/>
          <w:sz w:val="28"/>
          <w:szCs w:val="28"/>
          <w:rtl/>
        </w:rPr>
        <w:t> </w:t>
      </w:r>
    </w:p>
    <w:p w14:paraId="159C1990" w14:textId="77777777" w:rsidR="00000000" w:rsidRDefault="00000000">
      <w:pPr>
        <w:pStyle w:val="a9"/>
        <w:spacing w:after="0" w:line="360" w:lineRule="auto"/>
        <w:ind w:left="0"/>
        <w:jc w:val="both"/>
        <w:rPr>
          <w:rtl/>
        </w:rPr>
      </w:pPr>
      <w:r>
        <w:rPr>
          <w:rFonts w:ascii="David" w:hAnsi="David" w:cs="David"/>
          <w:sz w:val="28"/>
          <w:szCs w:val="28"/>
          <w:rtl/>
        </w:rPr>
        <w:t>בית משפט קמא, סקר באריכות את עדויות העדים ובכלל זה עדות עד ראיה מצד המערער, מי שהיה באותה עת תלמיד כיתתו, אשר תאר את האירוע ככזה שארע "</w:t>
      </w:r>
      <w:r>
        <w:rPr>
          <w:rFonts w:ascii="David" w:hAnsi="David" w:cs="David"/>
          <w:b/>
          <w:bCs/>
          <w:sz w:val="28"/>
          <w:szCs w:val="28"/>
          <w:rtl/>
        </w:rPr>
        <w:t>לפתע בלי שום סיבה</w:t>
      </w:r>
      <w:r>
        <w:rPr>
          <w:rFonts w:ascii="David" w:hAnsi="David" w:cs="David"/>
          <w:sz w:val="28"/>
          <w:szCs w:val="28"/>
          <w:rtl/>
        </w:rPr>
        <w:t>", ותאר את אופיו של התלמיד כאלים ומאיים, העד הכביר וטען שהבחין באגרופן שקוף בידו של התלמיד. בית משפט קמא עמד על כך שמדובר במי שחתם על התצהיר בהיותו בן 16, ללא ליווי מי מהוריו או מבוגר אחראי אחר למעט המערער, וקבע כי "</w:t>
      </w:r>
      <w:r>
        <w:rPr>
          <w:rFonts w:ascii="David" w:hAnsi="David" w:cs="David"/>
          <w:b/>
          <w:bCs/>
          <w:sz w:val="28"/>
          <w:szCs w:val="28"/>
          <w:rtl/>
        </w:rPr>
        <w:t>הדבר מטיל צל כבד על מהימנות ואמינות תצהיר של קטין, אשר נערך על ידי ב"כ התובע ונחתם במשרדו בנוכחות התובע, ללא הוריו</w:t>
      </w:r>
      <w:r>
        <w:rPr>
          <w:rFonts w:ascii="David" w:hAnsi="David" w:cs="David"/>
          <w:sz w:val="28"/>
          <w:szCs w:val="28"/>
          <w:rtl/>
        </w:rPr>
        <w:t>...". בית משפט קמא הוסיף וסקר את יחסי העד והמערער במהלך השנים, הקשיים בעדות העד וקבע כי הטענה העובדתית "</w:t>
      </w:r>
      <w:r>
        <w:rPr>
          <w:rFonts w:ascii="David" w:hAnsi="David" w:cs="David"/>
          <w:b/>
          <w:bCs/>
          <w:sz w:val="28"/>
          <w:szCs w:val="28"/>
          <w:rtl/>
        </w:rPr>
        <w:t>בדבר שימוש כביכול באגרופן או כלי נשק קר אחר במסגרת אירוע התקיפה, לא הוכח והוא נטען בעלמא</w:t>
      </w:r>
      <w:r>
        <w:rPr>
          <w:rFonts w:ascii="David" w:hAnsi="David" w:cs="David"/>
          <w:sz w:val="28"/>
          <w:szCs w:val="28"/>
          <w:rtl/>
        </w:rPr>
        <w:t xml:space="preserve">" (כך במקור - א' מ'). </w:t>
      </w:r>
    </w:p>
    <w:p w14:paraId="208D743E" w14:textId="77777777" w:rsidR="00000000" w:rsidRDefault="00000000">
      <w:pPr>
        <w:pStyle w:val="a9"/>
        <w:spacing w:after="0" w:line="360" w:lineRule="auto"/>
        <w:ind w:left="0"/>
        <w:jc w:val="both"/>
        <w:rPr>
          <w:rtl/>
        </w:rPr>
      </w:pPr>
      <w:r>
        <w:rPr>
          <w:rFonts w:ascii="David" w:hAnsi="David" w:cs="David"/>
          <w:sz w:val="28"/>
          <w:szCs w:val="28"/>
          <w:rtl/>
        </w:rPr>
        <w:t> </w:t>
      </w:r>
    </w:p>
    <w:p w14:paraId="6DB13A93" w14:textId="77777777" w:rsidR="00000000" w:rsidRDefault="00000000">
      <w:pPr>
        <w:pStyle w:val="a9"/>
        <w:spacing w:after="0" w:line="360" w:lineRule="auto"/>
        <w:ind w:left="0"/>
        <w:jc w:val="both"/>
        <w:rPr>
          <w:rtl/>
        </w:rPr>
      </w:pPr>
      <w:r>
        <w:rPr>
          <w:rFonts w:ascii="David" w:hAnsi="David" w:cs="David"/>
          <w:sz w:val="28"/>
          <w:szCs w:val="28"/>
          <w:rtl/>
        </w:rPr>
        <w:t>אשר לעדות המערער, בית משפט קמא התייחס ארוכות לרושם הכללי השלילי שהותירה העדות, הגדיר אותה "</w:t>
      </w:r>
      <w:r>
        <w:rPr>
          <w:rFonts w:ascii="David" w:hAnsi="David" w:cs="David"/>
          <w:b/>
          <w:bCs/>
          <w:sz w:val="28"/>
          <w:szCs w:val="28"/>
          <w:rtl/>
        </w:rPr>
        <w:t>ארוכה ופתלתלה במיוחד</w:t>
      </w:r>
      <w:r>
        <w:rPr>
          <w:rFonts w:ascii="David" w:hAnsi="David" w:cs="David"/>
          <w:sz w:val="28"/>
          <w:szCs w:val="28"/>
          <w:rtl/>
        </w:rPr>
        <w:t>", ציין ש"</w:t>
      </w:r>
      <w:r>
        <w:rPr>
          <w:rFonts w:ascii="David" w:hAnsi="David" w:cs="David"/>
          <w:b/>
          <w:bCs/>
          <w:sz w:val="28"/>
          <w:szCs w:val="28"/>
          <w:rtl/>
        </w:rPr>
        <w:t>התובע הקפיד בהתמדה לחמוק ממרבית התשובות</w:t>
      </w:r>
      <w:r>
        <w:rPr>
          <w:rFonts w:ascii="David" w:hAnsi="David" w:cs="David"/>
          <w:sz w:val="28"/>
          <w:szCs w:val="28"/>
          <w:rtl/>
        </w:rPr>
        <w:t>"</w:t>
      </w:r>
      <w:r>
        <w:rPr>
          <w:rFonts w:ascii="David" w:hAnsi="David" w:cs="David"/>
          <w:color w:val="FF0000"/>
          <w:sz w:val="28"/>
          <w:szCs w:val="28"/>
          <w:rtl/>
        </w:rPr>
        <w:t>,</w:t>
      </w:r>
      <w:r>
        <w:rPr>
          <w:rFonts w:ascii="David" w:hAnsi="David" w:cs="David"/>
          <w:sz w:val="28"/>
          <w:szCs w:val="28"/>
          <w:rtl/>
        </w:rPr>
        <w:t xml:space="preserve"> הוסיף ש"</w:t>
      </w:r>
      <w:r>
        <w:rPr>
          <w:rFonts w:ascii="David" w:hAnsi="David" w:cs="David"/>
          <w:b/>
          <w:bCs/>
          <w:sz w:val="28"/>
          <w:szCs w:val="28"/>
          <w:rtl/>
        </w:rPr>
        <w:t>בחלקים ניכרים מעדותו ליהג והשיב לא לעניין</w:t>
      </w:r>
      <w:r>
        <w:rPr>
          <w:rFonts w:ascii="David" w:hAnsi="David" w:cs="David"/>
          <w:sz w:val="28"/>
          <w:szCs w:val="28"/>
          <w:rtl/>
        </w:rPr>
        <w:t>", התייחס לכך שהמערער השיב תוך "</w:t>
      </w:r>
      <w:r>
        <w:rPr>
          <w:rFonts w:ascii="David" w:hAnsi="David" w:cs="David"/>
          <w:b/>
          <w:bCs/>
          <w:sz w:val="28"/>
          <w:szCs w:val="28"/>
          <w:rtl/>
        </w:rPr>
        <w:t>זריית חול בעיני בית המשפט</w:t>
      </w:r>
      <w:r>
        <w:rPr>
          <w:rFonts w:ascii="David" w:hAnsi="David" w:cs="David"/>
          <w:sz w:val="28"/>
          <w:szCs w:val="28"/>
          <w:rtl/>
        </w:rPr>
        <w:t>", כמו כן "</w:t>
      </w:r>
      <w:r>
        <w:rPr>
          <w:rFonts w:ascii="David" w:hAnsi="David" w:cs="David"/>
          <w:b/>
          <w:bCs/>
          <w:sz w:val="28"/>
          <w:szCs w:val="28"/>
          <w:rtl/>
        </w:rPr>
        <w:t xml:space="preserve">הגיב לפרקים בצורה מתריסה, מהולה </w:t>
      </w:r>
      <w:proofErr w:type="spellStart"/>
      <w:r>
        <w:rPr>
          <w:rFonts w:ascii="David" w:hAnsi="David" w:cs="David"/>
          <w:b/>
          <w:bCs/>
          <w:sz w:val="28"/>
          <w:szCs w:val="28"/>
          <w:rtl/>
        </w:rPr>
        <w:t>בסרקאזם</w:t>
      </w:r>
      <w:proofErr w:type="spellEnd"/>
      <w:r>
        <w:rPr>
          <w:rFonts w:ascii="David" w:hAnsi="David" w:cs="David"/>
          <w:b/>
          <w:bCs/>
          <w:sz w:val="28"/>
          <w:szCs w:val="28"/>
          <w:rtl/>
        </w:rPr>
        <w:t>, כעוסה ולעומתית</w:t>
      </w:r>
      <w:r>
        <w:rPr>
          <w:rFonts w:ascii="David" w:hAnsi="David" w:cs="David"/>
          <w:sz w:val="28"/>
          <w:szCs w:val="28"/>
          <w:rtl/>
        </w:rPr>
        <w:t>", נמנע מקשר עין, השיב בחוסר עניין, בפיזור דעת, עם עיניים עצומות במצב הכרתי מצומצם. בית משפט קמא שקל האם הדבר קשור בהנמכה קוגניטיבית או התנהגותית על רקע מצב נפשי ירוד, ואולם מסקנתו הייתה הפוכה והתרשמותו הייתה שמדובר "</w:t>
      </w:r>
      <w:r>
        <w:rPr>
          <w:rFonts w:ascii="David" w:hAnsi="David" w:cs="David"/>
          <w:b/>
          <w:bCs/>
          <w:sz w:val="28"/>
          <w:szCs w:val="28"/>
          <w:rtl/>
        </w:rPr>
        <w:t>בהתנהגות מגמתית ואף מכוונת, אשר נועדה להשחיר את התמונה ביחס למצבו ותפקודו וליצור רושם מוטעה לגבי מצבו הנפשי ומסוגלותו הקוגניטיבית הירודים כביכול</w:t>
      </w:r>
      <w:r>
        <w:rPr>
          <w:rFonts w:ascii="David" w:hAnsi="David" w:cs="David"/>
          <w:sz w:val="28"/>
          <w:szCs w:val="28"/>
          <w:rtl/>
        </w:rPr>
        <w:t>". בית משפט קמא עמד על כך שרק לקראת סוף החקירה התחוור שהמערער מצוי בשלבים מתקדמים לקראת סיום תואר במשפטים, תואר שהחל ללמוד מספר שנים לאחר האירוע, ובהינתן האמור קבע כי "</w:t>
      </w:r>
      <w:r>
        <w:rPr>
          <w:rFonts w:ascii="David" w:hAnsi="David" w:cs="David"/>
          <w:b/>
          <w:bCs/>
          <w:sz w:val="28"/>
          <w:szCs w:val="28"/>
          <w:rtl/>
        </w:rPr>
        <w:t xml:space="preserve">יש לראות בחומרה רבה את </w:t>
      </w:r>
      <w:proofErr w:type="spellStart"/>
      <w:r>
        <w:rPr>
          <w:rFonts w:ascii="David" w:hAnsi="David" w:cs="David"/>
          <w:b/>
          <w:bCs/>
          <w:sz w:val="28"/>
          <w:szCs w:val="28"/>
          <w:rtl/>
        </w:rPr>
        <w:t>נסיונו</w:t>
      </w:r>
      <w:proofErr w:type="spellEnd"/>
      <w:r>
        <w:rPr>
          <w:rFonts w:ascii="David" w:hAnsi="David" w:cs="David"/>
          <w:b/>
          <w:bCs/>
          <w:sz w:val="28"/>
          <w:szCs w:val="28"/>
          <w:rtl/>
        </w:rPr>
        <w:t xml:space="preserve"> של התובע, להאדיר את תמונת הנזק תוך הצגת מצג לפיו בעקבות האירוע עולמו חרב עליו</w:t>
      </w:r>
      <w:r>
        <w:rPr>
          <w:rFonts w:ascii="David" w:hAnsi="David" w:cs="David"/>
          <w:sz w:val="28"/>
          <w:szCs w:val="28"/>
          <w:rtl/>
        </w:rPr>
        <w:t>" וכי "</w:t>
      </w:r>
      <w:r>
        <w:rPr>
          <w:rFonts w:ascii="David" w:hAnsi="David" w:cs="David"/>
          <w:b/>
          <w:bCs/>
          <w:sz w:val="28"/>
          <w:szCs w:val="28"/>
          <w:rtl/>
        </w:rPr>
        <w:t>הצגת דברים זו הינה מגמתית, והדבר מטיל צל כבד סביב מהימנות ואמינות כל עדותו של התובע</w:t>
      </w:r>
      <w:r>
        <w:rPr>
          <w:rFonts w:ascii="David" w:hAnsi="David" w:cs="David"/>
          <w:sz w:val="28"/>
          <w:szCs w:val="28"/>
          <w:rtl/>
        </w:rPr>
        <w:t>".</w:t>
      </w:r>
    </w:p>
    <w:p w14:paraId="43210141" w14:textId="77777777" w:rsidR="00000000" w:rsidRDefault="00000000">
      <w:pPr>
        <w:pStyle w:val="a9"/>
        <w:spacing w:after="0" w:line="360" w:lineRule="auto"/>
        <w:ind w:left="0"/>
        <w:jc w:val="both"/>
        <w:rPr>
          <w:rtl/>
        </w:rPr>
      </w:pPr>
      <w:r>
        <w:rPr>
          <w:rFonts w:ascii="David" w:hAnsi="David" w:cs="David"/>
          <w:sz w:val="28"/>
          <w:szCs w:val="28"/>
          <w:rtl/>
        </w:rPr>
        <w:t> </w:t>
      </w:r>
    </w:p>
    <w:p w14:paraId="6439EB29" w14:textId="77777777" w:rsidR="00000000" w:rsidRDefault="00000000">
      <w:pPr>
        <w:pStyle w:val="a9"/>
        <w:spacing w:after="0" w:line="360" w:lineRule="auto"/>
        <w:ind w:left="0"/>
        <w:jc w:val="both"/>
        <w:rPr>
          <w:rtl/>
        </w:rPr>
      </w:pPr>
      <w:r>
        <w:rPr>
          <w:rFonts w:ascii="David" w:hAnsi="David" w:cs="David"/>
          <w:sz w:val="28"/>
          <w:szCs w:val="28"/>
          <w:rtl/>
        </w:rPr>
        <w:t>אשר לנסיבות המקרה, בחן בית משפט קמא את עדות המערער לגופה וחילץ הימנה, את העובדות הבאות: לפני קרות האירוע לא היה כל אירוע אלים מצד התלמיד כלפי המערער; לא היה כל טריגר שגרם לתלמיד לתת אגרוף בגבו של המערער; אין למערער מושג מה גרם לתלמיד לתקוף אותו; המערער היה מודע למצבו של התלמיד שהיה בעייתי מאוד ואף ניסה לסייע לו; המערער לא קיבל עזרה של סייעת; לאחר האירוע לא שב ללמד בכיתה עד סוף השנה למעט ביקורים ספורדיים. אשר לאירוע, המערער עצמו הגדירו כ"</w:t>
      </w:r>
      <w:r>
        <w:rPr>
          <w:rFonts w:ascii="David" w:hAnsi="David" w:cs="David"/>
          <w:b/>
          <w:bCs/>
          <w:sz w:val="28"/>
          <w:szCs w:val="28"/>
          <w:rtl/>
        </w:rPr>
        <w:t xml:space="preserve">אירוע חריג ברמה בלתי קונבנציונלית שלא ניתנת </w:t>
      </w:r>
      <w:proofErr w:type="spellStart"/>
      <w:r>
        <w:rPr>
          <w:rFonts w:ascii="David" w:hAnsi="David" w:cs="David"/>
          <w:b/>
          <w:bCs/>
          <w:sz w:val="28"/>
          <w:szCs w:val="28"/>
          <w:rtl/>
        </w:rPr>
        <w:t>לצפיה</w:t>
      </w:r>
      <w:proofErr w:type="spellEnd"/>
      <w:r>
        <w:rPr>
          <w:rFonts w:ascii="David" w:hAnsi="David" w:cs="David"/>
          <w:b/>
          <w:bCs/>
          <w:sz w:val="28"/>
          <w:szCs w:val="28"/>
          <w:rtl/>
        </w:rPr>
        <w:t xml:space="preserve"> מראש כי הוא בעצמו לא שולט על עצמו</w:t>
      </w:r>
      <w:r>
        <w:rPr>
          <w:rFonts w:ascii="David" w:hAnsi="David" w:cs="David"/>
          <w:sz w:val="28"/>
          <w:szCs w:val="28"/>
          <w:rtl/>
        </w:rPr>
        <w:t>". לגבי אירוע נוסף שהמערער טען לגביו שהתלמיד איים עליו עם מברג, בית המשפט קמא קבע שאין</w:t>
      </w:r>
      <w:r>
        <w:rPr>
          <w:rFonts w:ascii="David" w:hAnsi="David" w:cs="David"/>
          <w:color w:val="FF0000"/>
          <w:sz w:val="28"/>
          <w:szCs w:val="28"/>
          <w:rtl/>
        </w:rPr>
        <w:t xml:space="preserve"> </w:t>
      </w:r>
      <w:r>
        <w:rPr>
          <w:rFonts w:ascii="David" w:hAnsi="David" w:cs="David"/>
          <w:sz w:val="28"/>
          <w:szCs w:val="28"/>
          <w:rtl/>
        </w:rPr>
        <w:t xml:space="preserve">כל אינדיקציה בכתובים לקיומו, הוא מוכחש לחלוטין על ידי המנהלת, ואינו מתיישב עם עדות המערער עצמו. </w:t>
      </w:r>
    </w:p>
    <w:p w14:paraId="1CFF67DA" w14:textId="77777777" w:rsidR="00000000" w:rsidRDefault="00000000">
      <w:pPr>
        <w:pStyle w:val="a9"/>
        <w:spacing w:after="0" w:line="360" w:lineRule="auto"/>
        <w:ind w:left="0"/>
        <w:jc w:val="both"/>
        <w:rPr>
          <w:rtl/>
        </w:rPr>
      </w:pPr>
      <w:r>
        <w:rPr>
          <w:rFonts w:ascii="David" w:hAnsi="David" w:cs="David"/>
          <w:sz w:val="28"/>
          <w:szCs w:val="28"/>
          <w:rtl/>
        </w:rPr>
        <w:t> </w:t>
      </w:r>
    </w:p>
    <w:p w14:paraId="0D3FD583" w14:textId="77777777" w:rsidR="00000000" w:rsidRDefault="00000000">
      <w:pPr>
        <w:pStyle w:val="a9"/>
        <w:spacing w:after="0" w:line="360" w:lineRule="auto"/>
        <w:ind w:left="0"/>
        <w:jc w:val="both"/>
        <w:rPr>
          <w:rtl/>
        </w:rPr>
      </w:pPr>
      <w:r>
        <w:rPr>
          <w:rFonts w:ascii="David" w:hAnsi="David" w:cs="David"/>
          <w:sz w:val="28"/>
          <w:szCs w:val="28"/>
          <w:rtl/>
        </w:rPr>
        <w:t xml:space="preserve">עוד ובנוסף התייחס בית משפט קמא למכתב שיצא שלושה ימים לאחר האירוע, עליו חתום גם המערער עצמו ובו אין </w:t>
      </w:r>
      <w:proofErr w:type="spellStart"/>
      <w:r>
        <w:rPr>
          <w:rFonts w:ascii="David" w:hAnsi="David" w:cs="David"/>
          <w:sz w:val="28"/>
          <w:szCs w:val="28"/>
          <w:rtl/>
        </w:rPr>
        <w:t>איזכור</w:t>
      </w:r>
      <w:proofErr w:type="spellEnd"/>
      <w:r>
        <w:rPr>
          <w:rFonts w:ascii="David" w:hAnsi="David" w:cs="David"/>
          <w:sz w:val="28"/>
          <w:szCs w:val="28"/>
          <w:rtl/>
        </w:rPr>
        <w:t xml:space="preserve"> לתקיפה עם מברג ואף לא לאירוע מושא התביעה. כך גם בפניית המערער למשטרה אין אזכור לאירוע חמור של תקיפה עם מברג.</w:t>
      </w:r>
    </w:p>
    <w:p w14:paraId="64EEC8B9" w14:textId="77777777" w:rsidR="00000000" w:rsidRDefault="00000000">
      <w:pPr>
        <w:pStyle w:val="a9"/>
        <w:spacing w:after="0" w:line="360" w:lineRule="auto"/>
        <w:ind w:left="0"/>
        <w:jc w:val="both"/>
        <w:rPr>
          <w:rtl/>
        </w:rPr>
      </w:pPr>
      <w:r>
        <w:rPr>
          <w:rFonts w:ascii="David" w:hAnsi="David" w:cs="David"/>
          <w:sz w:val="28"/>
          <w:szCs w:val="28"/>
          <w:rtl/>
        </w:rPr>
        <w:t> </w:t>
      </w:r>
    </w:p>
    <w:p w14:paraId="37973BA5" w14:textId="77777777" w:rsidR="00000000" w:rsidRDefault="00000000">
      <w:pPr>
        <w:pStyle w:val="a9"/>
        <w:spacing w:after="0" w:line="360" w:lineRule="auto"/>
        <w:ind w:left="0"/>
        <w:jc w:val="both"/>
        <w:rPr>
          <w:rtl/>
        </w:rPr>
      </w:pPr>
      <w:r>
        <w:rPr>
          <w:rFonts w:ascii="David" w:hAnsi="David" w:cs="David"/>
          <w:sz w:val="28"/>
          <w:szCs w:val="28"/>
          <w:rtl/>
        </w:rPr>
        <w:t>אחר דברים אלה, נפנה בית משפט קמא לסקור את העדויות הנוספות שהובאו על ידי הנתבעים ובכלל זה עדות מנהלת בית הספר, אשר סיפרה שהתרשמה לטובה מן המערער והחליטה לקבלו על אף חוסר הניסיון, זאת לאחר שהמערער הבהיר כי "</w:t>
      </w:r>
      <w:r>
        <w:rPr>
          <w:rFonts w:ascii="David" w:hAnsi="David" w:cs="David"/>
          <w:b/>
          <w:bCs/>
          <w:sz w:val="28"/>
          <w:szCs w:val="28"/>
          <w:rtl/>
        </w:rPr>
        <w:t>הוא מכיר את האוכלוסייה וכי מבחינת משמעת הוא יסתדר למרות מורכבות התלמידים ונאות לקבל על עצמו את המחויבויות הנדרשות</w:t>
      </w:r>
      <w:r>
        <w:rPr>
          <w:rFonts w:ascii="David" w:hAnsi="David" w:cs="David"/>
          <w:sz w:val="28"/>
          <w:szCs w:val="28"/>
          <w:rtl/>
        </w:rPr>
        <w:t>". המנהלת סיפרה עוד שהמערער החל את השנה באיחור, לא נערך לתפקידו בשל קוצר זמן ולאחר כשבועיים ביקש לבחון שיבוץ מורה אחר תחתיו דבר שלא התאפשר.</w:t>
      </w:r>
    </w:p>
    <w:p w14:paraId="3FD80BFF" w14:textId="77777777" w:rsidR="00000000" w:rsidRDefault="00000000">
      <w:pPr>
        <w:pStyle w:val="a9"/>
        <w:spacing w:after="0" w:line="360" w:lineRule="auto"/>
        <w:ind w:left="0"/>
        <w:jc w:val="both"/>
        <w:rPr>
          <w:rtl/>
        </w:rPr>
      </w:pPr>
      <w:r>
        <w:rPr>
          <w:rFonts w:ascii="David" w:hAnsi="David" w:cs="David"/>
          <w:sz w:val="28"/>
          <w:szCs w:val="28"/>
          <w:rtl/>
        </w:rPr>
        <w:t>אשר לתלמיד, אישרה המנהלת "</w:t>
      </w:r>
      <w:r>
        <w:rPr>
          <w:rFonts w:ascii="David" w:hAnsi="David" w:cs="David"/>
          <w:b/>
          <w:bCs/>
          <w:sz w:val="28"/>
          <w:szCs w:val="28"/>
          <w:rtl/>
        </w:rPr>
        <w:t>אלימות מילולית מצידו</w:t>
      </w:r>
      <w:r>
        <w:rPr>
          <w:rFonts w:ascii="David" w:hAnsi="David" w:cs="David"/>
          <w:sz w:val="28"/>
          <w:szCs w:val="28"/>
          <w:rtl/>
        </w:rPr>
        <w:t>" וגם "</w:t>
      </w:r>
      <w:r>
        <w:rPr>
          <w:rFonts w:ascii="David" w:hAnsi="David" w:cs="David"/>
          <w:b/>
          <w:bCs/>
          <w:sz w:val="28"/>
          <w:szCs w:val="28"/>
          <w:rtl/>
        </w:rPr>
        <w:t>דווח על אירוע אלימות בודד עובר לאירוע מושא התביעה</w:t>
      </w:r>
      <w:r>
        <w:rPr>
          <w:rFonts w:ascii="David" w:hAnsi="David" w:cs="David"/>
          <w:sz w:val="28"/>
          <w:szCs w:val="28"/>
          <w:rtl/>
        </w:rPr>
        <w:t>"</w:t>
      </w:r>
      <w:r>
        <w:rPr>
          <w:rFonts w:ascii="David" w:hAnsi="David" w:cs="David"/>
          <w:b/>
          <w:bCs/>
          <w:sz w:val="28"/>
          <w:szCs w:val="28"/>
          <w:rtl/>
        </w:rPr>
        <w:t xml:space="preserve">, </w:t>
      </w:r>
      <w:r>
        <w:rPr>
          <w:rFonts w:ascii="David" w:hAnsi="David" w:cs="David"/>
          <w:sz w:val="28"/>
          <w:szCs w:val="28"/>
          <w:rtl/>
        </w:rPr>
        <w:t>אך שללה אלימות מינית או אירוע אלימות בשימוש מברג. לימים לאחר עזיבת המערער, נותר התלמיד ללמוד באותה כיתה, עבר תהליך, סיים בגרות טכנולוגית והתגייס לצבא.</w:t>
      </w:r>
    </w:p>
    <w:p w14:paraId="5E51146B" w14:textId="77777777" w:rsidR="00000000" w:rsidRDefault="00000000">
      <w:pPr>
        <w:pStyle w:val="a9"/>
        <w:spacing w:after="0" w:line="360" w:lineRule="auto"/>
        <w:ind w:left="0"/>
        <w:jc w:val="both"/>
        <w:rPr>
          <w:rtl/>
        </w:rPr>
      </w:pPr>
      <w:r>
        <w:rPr>
          <w:rFonts w:ascii="David" w:hAnsi="David" w:cs="David"/>
          <w:sz w:val="28"/>
          <w:szCs w:val="28"/>
          <w:rtl/>
        </w:rPr>
        <w:t>בהסתמך על עדות המנהלת ולאחר עיון במסמכים, לרבות תחלופת מיילים שהוגשה, דחה בית משפט קמא את הטענה שבית הספר "</w:t>
      </w:r>
      <w:r>
        <w:rPr>
          <w:rFonts w:ascii="David" w:hAnsi="David" w:cs="David"/>
          <w:b/>
          <w:bCs/>
          <w:sz w:val="28"/>
          <w:szCs w:val="28"/>
          <w:rtl/>
        </w:rPr>
        <w:t>עצם את עיניו אל מול אלימותו המתפרצת של התלמיד</w:t>
      </w:r>
      <w:r>
        <w:rPr>
          <w:rFonts w:ascii="David" w:hAnsi="David" w:cs="David"/>
          <w:sz w:val="28"/>
          <w:szCs w:val="28"/>
          <w:rtl/>
        </w:rPr>
        <w:t>" וקבע שאכן היו אירועי אלימות כלפי תלמידים אחרים והתנהגות חריגה ובעייתית ואולם "</w:t>
      </w:r>
      <w:r>
        <w:rPr>
          <w:rFonts w:ascii="David" w:hAnsi="David" w:cs="David"/>
          <w:b/>
          <w:bCs/>
          <w:sz w:val="28"/>
          <w:szCs w:val="28"/>
          <w:rtl/>
        </w:rPr>
        <w:t>הגם שאין חולק כי התנהגותו של התלמיד הפוגע הייתה בעייתית וחריגה אשר אכן הלכה והסלימה, לא נרשמו אירועי אלימות פיזית מצידו עד לאירוע הנדון, למעט אירוע בודד שקדם לו בסמיכות של ימים ספורים ובו טיפל בית הספר במיידית על ידי זימון הוריו והפניה לאבחון מקצועי</w:t>
      </w:r>
      <w:r>
        <w:rPr>
          <w:rFonts w:ascii="David" w:hAnsi="David" w:cs="David"/>
          <w:sz w:val="28"/>
          <w:szCs w:val="28"/>
          <w:rtl/>
        </w:rPr>
        <w:t xml:space="preserve">". </w:t>
      </w:r>
    </w:p>
    <w:p w14:paraId="67894474" w14:textId="77777777" w:rsidR="00000000" w:rsidRDefault="00000000">
      <w:pPr>
        <w:pStyle w:val="a9"/>
        <w:spacing w:after="0" w:line="360" w:lineRule="auto"/>
        <w:ind w:left="0"/>
        <w:jc w:val="both"/>
        <w:rPr>
          <w:rtl/>
        </w:rPr>
      </w:pPr>
      <w:r>
        <w:rPr>
          <w:rFonts w:ascii="David" w:hAnsi="David" w:cs="David"/>
          <w:sz w:val="28"/>
          <w:szCs w:val="28"/>
          <w:rtl/>
        </w:rPr>
        <w:t> </w:t>
      </w:r>
    </w:p>
    <w:p w14:paraId="18141273" w14:textId="77777777" w:rsidR="00000000" w:rsidRDefault="00000000">
      <w:pPr>
        <w:pStyle w:val="a9"/>
        <w:spacing w:after="0" w:line="360" w:lineRule="auto"/>
        <w:ind w:left="0"/>
        <w:jc w:val="both"/>
        <w:rPr>
          <w:rtl/>
        </w:rPr>
      </w:pPr>
      <w:r>
        <w:rPr>
          <w:rFonts w:ascii="David" w:hAnsi="David" w:cs="David"/>
          <w:sz w:val="28"/>
          <w:szCs w:val="28"/>
          <w:rtl/>
        </w:rPr>
        <w:t xml:space="preserve">בנוסף סקר בית משפט קמא את עדות המפקחת מטעם משרד החינוך, אשר התייחסה לשיבוצו של התלמיד בכיתת חינוך מיוחד, על פי אבחון שנעשה, שיבוץ שנותר בעינו גם בשנה שלאחר האירוע, ואף התייחסה להעדר חובה להצמיד סייעת לכיתה. העדה התייחסה למידע שהיה אז בנוגע לתלמיד וציינה כי היה ידוע שהיה </w:t>
      </w:r>
      <w:proofErr w:type="spellStart"/>
      <w:r>
        <w:rPr>
          <w:rFonts w:ascii="David" w:hAnsi="David" w:cs="David"/>
          <w:sz w:val="28"/>
          <w:szCs w:val="28"/>
          <w:rtl/>
        </w:rPr>
        <w:t>מתאגר</w:t>
      </w:r>
      <w:proofErr w:type="spellEnd"/>
      <w:r>
        <w:rPr>
          <w:rFonts w:ascii="David" w:hAnsi="David" w:cs="David"/>
          <w:sz w:val="28"/>
          <w:szCs w:val="28"/>
          <w:rtl/>
        </w:rPr>
        <w:t>, אך לא היה ידוע על אלימות כלפי מורים ומבוגרים. עדות נוספת בנושא ההשמה הובאה מצד יו"ר וועדת ההשמה של העיריה, שהסבירה את אופן קבלת ההחלטות ואת מצבו של התלמיד, אשר לא היה חריג ביחס לתלמידי החינוך המיוחד.</w:t>
      </w:r>
    </w:p>
    <w:p w14:paraId="5514865D" w14:textId="77777777" w:rsidR="00000000" w:rsidRDefault="00000000">
      <w:pPr>
        <w:pStyle w:val="a9"/>
        <w:spacing w:after="0" w:line="360" w:lineRule="auto"/>
        <w:ind w:left="0"/>
        <w:jc w:val="both"/>
        <w:rPr>
          <w:rtl/>
        </w:rPr>
      </w:pPr>
      <w:r>
        <w:rPr>
          <w:rFonts w:ascii="David" w:hAnsi="David" w:cs="David"/>
          <w:sz w:val="28"/>
          <w:szCs w:val="28"/>
          <w:rtl/>
        </w:rPr>
        <w:t>נשמעה גם עדותו של מנהל אגף התפעול במועצה, שבעקבותיה קבע בית משפט קמא, שיש לדחות מחמת העדר עילה את התביעה כנגד המועצה.</w:t>
      </w:r>
    </w:p>
    <w:p w14:paraId="0F738DA8" w14:textId="77777777" w:rsidR="00000000" w:rsidRDefault="00000000">
      <w:pPr>
        <w:pStyle w:val="a9"/>
        <w:spacing w:after="0" w:line="360" w:lineRule="auto"/>
        <w:ind w:left="0"/>
        <w:jc w:val="both"/>
        <w:rPr>
          <w:rtl/>
        </w:rPr>
      </w:pPr>
      <w:r>
        <w:rPr>
          <w:rFonts w:ascii="David" w:hAnsi="David" w:cs="David"/>
          <w:sz w:val="28"/>
          <w:szCs w:val="28"/>
          <w:rtl/>
        </w:rPr>
        <w:t> </w:t>
      </w:r>
    </w:p>
    <w:p w14:paraId="5F0E20C6" w14:textId="77777777" w:rsidR="00000000" w:rsidRDefault="00000000">
      <w:pPr>
        <w:pStyle w:val="a9"/>
        <w:spacing w:after="0" w:line="360" w:lineRule="auto"/>
        <w:ind w:left="0"/>
        <w:jc w:val="both"/>
        <w:rPr>
          <w:rtl/>
        </w:rPr>
      </w:pPr>
      <w:r>
        <w:rPr>
          <w:rFonts w:ascii="David" w:hAnsi="David" w:cs="David"/>
          <w:sz w:val="28"/>
          <w:szCs w:val="28"/>
          <w:rtl/>
        </w:rPr>
        <w:t>9.</w:t>
      </w:r>
      <w:r>
        <w:rPr>
          <w:rFonts w:ascii="Times New Roman" w:hAnsi="Times New Roman" w:cs="Times New Roman"/>
          <w:sz w:val="14"/>
          <w:szCs w:val="14"/>
          <w:rtl/>
        </w:rPr>
        <w:t xml:space="preserve">  </w:t>
      </w:r>
      <w:r>
        <w:rPr>
          <w:rFonts w:ascii="David" w:hAnsi="David" w:cs="David"/>
          <w:sz w:val="28"/>
          <w:szCs w:val="28"/>
          <w:rtl/>
        </w:rPr>
        <w:t xml:space="preserve">בהסתמך על מכלול העדויות שנשמעו קבע בית משפט קמא את הממצאים והמסקנות הבאות: </w:t>
      </w:r>
    </w:p>
    <w:p w14:paraId="3C0C355B" w14:textId="77777777" w:rsidR="00000000" w:rsidRDefault="00000000">
      <w:pPr>
        <w:pStyle w:val="a9"/>
        <w:spacing w:after="0" w:line="360" w:lineRule="auto"/>
        <w:ind w:left="0"/>
        <w:jc w:val="both"/>
        <w:rPr>
          <w:rtl/>
        </w:rPr>
      </w:pPr>
      <w:r>
        <w:rPr>
          <w:rFonts w:ascii="David" w:hAnsi="David" w:cs="David"/>
          <w:sz w:val="28"/>
          <w:szCs w:val="28"/>
          <w:rtl/>
        </w:rPr>
        <w:t>א.   "</w:t>
      </w:r>
      <w:r>
        <w:rPr>
          <w:rFonts w:ascii="David" w:hAnsi="David" w:cs="David"/>
          <w:b/>
          <w:bCs/>
          <w:sz w:val="28"/>
          <w:szCs w:val="28"/>
          <w:rtl/>
        </w:rPr>
        <w:t>אכן היה מדובר בתלמיד בעל התנהגות פרועה, חסרת גבולות ובעייתית... אולם מבלי שנרשמו אירועי אלימות פיזית קשים או משמעותיים מצדו עובר לאירוע הנדון, למעט אירוע בודד כלפי תלמיד.."</w:t>
      </w:r>
      <w:r>
        <w:rPr>
          <w:rFonts w:ascii="David" w:hAnsi="David" w:cs="David"/>
          <w:sz w:val="28"/>
          <w:szCs w:val="28"/>
          <w:rtl/>
        </w:rPr>
        <w:t xml:space="preserve"> שמועדו לא ידוע ושטופל מיד לאחר התרחשותו. </w:t>
      </w:r>
    </w:p>
    <w:p w14:paraId="3B67AD57" w14:textId="77777777" w:rsidR="00000000" w:rsidRDefault="00000000">
      <w:pPr>
        <w:pStyle w:val="a9"/>
        <w:spacing w:after="0" w:line="360" w:lineRule="auto"/>
        <w:ind w:left="0"/>
        <w:jc w:val="both"/>
        <w:rPr>
          <w:rtl/>
        </w:rPr>
      </w:pPr>
      <w:r>
        <w:rPr>
          <w:rFonts w:ascii="David" w:hAnsi="David" w:cs="David"/>
          <w:sz w:val="28"/>
          <w:szCs w:val="28"/>
          <w:rtl/>
        </w:rPr>
        <w:t>ב.  "</w:t>
      </w:r>
      <w:r>
        <w:rPr>
          <w:rFonts w:ascii="David" w:hAnsi="David" w:cs="David"/>
          <w:b/>
          <w:bCs/>
          <w:sz w:val="28"/>
          <w:szCs w:val="28"/>
          <w:rtl/>
        </w:rPr>
        <w:t>מדובר בכתת חינוך מיוחד, המאופיינת בילדים עם קשיי התנהגות, הסתגלות למסגרת חדשה, לא כל שכן בתחילת שנת הלימודים בבית ספר חדש מבחינת התלמיד שגם כך סובל מלקויות למידה</w:t>
      </w:r>
      <w:r>
        <w:rPr>
          <w:rFonts w:ascii="David" w:hAnsi="David" w:cs="David"/>
          <w:sz w:val="28"/>
          <w:szCs w:val="28"/>
          <w:rtl/>
        </w:rPr>
        <w:t xml:space="preserve">..". </w:t>
      </w:r>
    </w:p>
    <w:p w14:paraId="1371AED0" w14:textId="77777777" w:rsidR="00000000" w:rsidRDefault="00000000">
      <w:pPr>
        <w:pStyle w:val="a9"/>
        <w:spacing w:after="0" w:line="360" w:lineRule="auto"/>
        <w:ind w:left="0"/>
        <w:jc w:val="both"/>
        <w:rPr>
          <w:rtl/>
        </w:rPr>
      </w:pPr>
      <w:r>
        <w:rPr>
          <w:rFonts w:ascii="David" w:hAnsi="David" w:cs="David"/>
          <w:sz w:val="28"/>
          <w:szCs w:val="28"/>
          <w:rtl/>
        </w:rPr>
        <w:t>בהקשר לקביעה זו, אציין כבר כאן שבית משפט קמא שגה לחשוב שזו שנת הלימודים הראשונה של התלמיד במוסד החינוכי בעוד מדובר היה בשנת הלימודים השנייה, ואולם אין חולק שמדובר בשנה ראשונה, בכ</w:t>
      </w:r>
      <w:r>
        <w:rPr>
          <w:rFonts w:ascii="David" w:hAnsi="David" w:cs="David"/>
          <w:color w:val="FF0000"/>
          <w:sz w:val="28"/>
          <w:szCs w:val="28"/>
          <w:rtl/>
        </w:rPr>
        <w:t>י</w:t>
      </w:r>
      <w:r>
        <w:rPr>
          <w:rFonts w:ascii="David" w:hAnsi="David" w:cs="David"/>
          <w:sz w:val="28"/>
          <w:szCs w:val="28"/>
          <w:rtl/>
        </w:rPr>
        <w:t>תה המדוברת עם המערער כמחנך. כפי שעוד יפורט להלן, אין לטעמי בשגגה זו כדי לשנות מן התוצאה.</w:t>
      </w:r>
    </w:p>
    <w:p w14:paraId="0B4C0AA0" w14:textId="77777777" w:rsidR="00000000" w:rsidRDefault="00000000">
      <w:pPr>
        <w:pStyle w:val="a9"/>
        <w:spacing w:after="0" w:line="360" w:lineRule="auto"/>
        <w:ind w:left="0"/>
        <w:jc w:val="both"/>
        <w:rPr>
          <w:rtl/>
        </w:rPr>
      </w:pPr>
      <w:r>
        <w:rPr>
          <w:rFonts w:ascii="David" w:hAnsi="David" w:cs="David"/>
          <w:sz w:val="28"/>
          <w:szCs w:val="28"/>
          <w:rtl/>
        </w:rPr>
        <w:t>ג.  לאחר קרות האירוע מושא התביעה, נעשה טיפול מערכתי וחל שיפור בהתנהגותו ותפקודו של התלמיד, ושיבוצו נותר בעינו, מה שמלמד "</w:t>
      </w:r>
      <w:r>
        <w:rPr>
          <w:rFonts w:ascii="David" w:hAnsi="David" w:cs="David"/>
          <w:b/>
          <w:bCs/>
          <w:sz w:val="28"/>
          <w:szCs w:val="28"/>
          <w:rtl/>
        </w:rPr>
        <w:t>כי לא חלה כל התרשלות מקצועית של ועדות ההשמה והשיבוץ בעניינו של התלמיד וגם שלא של הצוות הבית ספרי בטיפול בעניינו, בניגוד לנטען על ידי התובע</w:t>
      </w:r>
      <w:r>
        <w:rPr>
          <w:rFonts w:ascii="David" w:hAnsi="David" w:cs="David"/>
          <w:sz w:val="28"/>
          <w:szCs w:val="28"/>
          <w:rtl/>
        </w:rPr>
        <w:t>", מה גם שהמערער "</w:t>
      </w:r>
      <w:r>
        <w:rPr>
          <w:rFonts w:ascii="David" w:hAnsi="David" w:cs="David"/>
          <w:b/>
          <w:bCs/>
          <w:sz w:val="28"/>
          <w:szCs w:val="28"/>
          <w:rtl/>
        </w:rPr>
        <w:t>לא הצביע על פגם כלשהו בקבלת ההחלטה המקצועית מטעם הועדה</w:t>
      </w:r>
      <w:r>
        <w:rPr>
          <w:rFonts w:ascii="David" w:hAnsi="David" w:cs="David"/>
          <w:sz w:val="28"/>
          <w:szCs w:val="28"/>
          <w:rtl/>
        </w:rPr>
        <w:t>", אשר ממילא אף גורם לא חלק על החלטתה ומשכך "</w:t>
      </w:r>
      <w:r>
        <w:rPr>
          <w:rFonts w:ascii="David" w:hAnsi="David" w:cs="David"/>
          <w:b/>
          <w:bCs/>
          <w:sz w:val="28"/>
          <w:szCs w:val="28"/>
          <w:rtl/>
        </w:rPr>
        <w:t>התובע לא הוכיח כי חלה התרשלות של אילו מבין הרשויות, בתהליך קבלת ההחלטות בכל הנוגע לשיבוצו של התלמיד</w:t>
      </w:r>
      <w:r>
        <w:rPr>
          <w:rFonts w:ascii="David" w:hAnsi="David" w:cs="David"/>
          <w:sz w:val="28"/>
          <w:szCs w:val="28"/>
          <w:rtl/>
        </w:rPr>
        <w:t>...".</w:t>
      </w:r>
    </w:p>
    <w:p w14:paraId="7F406447" w14:textId="77777777" w:rsidR="00000000" w:rsidRDefault="00000000">
      <w:pPr>
        <w:pStyle w:val="a9"/>
        <w:spacing w:after="0" w:line="360" w:lineRule="auto"/>
        <w:ind w:left="0"/>
        <w:jc w:val="both"/>
        <w:rPr>
          <w:rtl/>
        </w:rPr>
      </w:pPr>
      <w:r>
        <w:rPr>
          <w:rFonts w:ascii="David" w:hAnsi="David" w:cs="David"/>
          <w:sz w:val="28"/>
          <w:szCs w:val="28"/>
          <w:rtl/>
        </w:rPr>
        <w:t>ד.   המערער שסיים לימודי חינוך מיוחד וביקש להתנסות בתפקיד "</w:t>
      </w:r>
      <w:r>
        <w:rPr>
          <w:rFonts w:ascii="David" w:hAnsi="David" w:cs="David"/>
          <w:b/>
          <w:bCs/>
          <w:sz w:val="28"/>
          <w:szCs w:val="28"/>
          <w:rtl/>
        </w:rPr>
        <w:t>ידע או היה צריך לדעת לאן הוא מגיע ואיזה תפקיד הוא נוטל על עצמו, עם כל העול כמו גם השליחות שבצידו</w:t>
      </w:r>
      <w:r>
        <w:rPr>
          <w:rFonts w:ascii="David" w:hAnsi="David" w:cs="David"/>
          <w:sz w:val="28"/>
          <w:szCs w:val="28"/>
          <w:rtl/>
        </w:rPr>
        <w:t>". מכאן, שאין לקבל את טענות המערער כי לא קיבל כל הדרכה או לא עבר הכנה לקראת כניסתו לתפקיד, הגם שקיבל שהות של למעלה מחודש ימים להיערך, ברם הוא לא טרח לעשות כן, לא עיין בתיקי התלמידים, לא נפגש עם הצוות ולא ערך תכנית אישית לכל אחד מהם, "</w:t>
      </w:r>
      <w:r>
        <w:rPr>
          <w:rFonts w:ascii="David" w:hAnsi="David" w:cs="David"/>
          <w:b/>
          <w:bCs/>
          <w:sz w:val="28"/>
          <w:szCs w:val="28"/>
          <w:rtl/>
        </w:rPr>
        <w:t>מכל מקום, מהמסד הראייתי שנפרש לפניי לא ראיתי אינדיקציה כי התלמיד הפוגע היה בבחינת סכנה ברורה ומיידית כלפי סביבתו בכל הקשור לאלימות פיזית למשך פרק זמן ארוך ללא טיפול מטעם המערכת</w:t>
      </w:r>
      <w:r>
        <w:rPr>
          <w:rFonts w:ascii="David" w:hAnsi="David" w:cs="David"/>
          <w:sz w:val="28"/>
          <w:szCs w:val="28"/>
          <w:rtl/>
        </w:rPr>
        <w:t xml:space="preserve">...". </w:t>
      </w:r>
    </w:p>
    <w:p w14:paraId="6453F4EC" w14:textId="77777777" w:rsidR="00000000" w:rsidRDefault="00000000">
      <w:pPr>
        <w:pStyle w:val="a9"/>
        <w:spacing w:after="0" w:line="360" w:lineRule="auto"/>
        <w:ind w:left="0"/>
        <w:jc w:val="both"/>
        <w:rPr>
          <w:rtl/>
        </w:rPr>
      </w:pPr>
      <w:r>
        <w:rPr>
          <w:rFonts w:ascii="David" w:hAnsi="David" w:cs="David"/>
          <w:sz w:val="28"/>
          <w:szCs w:val="28"/>
          <w:rtl/>
        </w:rPr>
        <w:t>ה.  אין תקומה לטענת התרשלות כלפי המעסיק, בית הספר ומשרד החינוך, במיוחד שעה שהמערער עצמו "</w:t>
      </w:r>
      <w:r>
        <w:rPr>
          <w:rFonts w:ascii="David" w:hAnsi="David" w:cs="David"/>
          <w:b/>
          <w:bCs/>
          <w:sz w:val="28"/>
          <w:szCs w:val="28"/>
          <w:rtl/>
        </w:rPr>
        <w:t>במו פיו מאשר כי מהלומת האגרוף שספג בגבו מהתלמיד היה מבחינתו אירוע מפתיע ובלתי צפוי בעליל</w:t>
      </w:r>
      <w:r>
        <w:rPr>
          <w:rFonts w:ascii="David" w:hAnsi="David" w:cs="David"/>
          <w:sz w:val="28"/>
          <w:szCs w:val="28"/>
          <w:rtl/>
        </w:rPr>
        <w:t xml:space="preserve">". </w:t>
      </w:r>
    </w:p>
    <w:p w14:paraId="03E7E8C4" w14:textId="77777777" w:rsidR="00000000" w:rsidRDefault="00000000">
      <w:pPr>
        <w:pStyle w:val="a9"/>
        <w:spacing w:after="0" w:line="360" w:lineRule="auto"/>
        <w:ind w:left="0"/>
        <w:jc w:val="both"/>
        <w:rPr>
          <w:rtl/>
        </w:rPr>
      </w:pPr>
      <w:r>
        <w:rPr>
          <w:rFonts w:ascii="David" w:hAnsi="David" w:cs="David"/>
          <w:sz w:val="28"/>
          <w:szCs w:val="28"/>
          <w:rtl/>
        </w:rPr>
        <w:t>ו.  בהעדר מקור נורמטיבי המחייב לצרף סייעת לכיתה, כעדות המנהלת, חובה כזו לא קמה בנסיבות, ממילא לא הופרה, ומכל מקום נוכחותה של סייעת לא היה מונע את האירוע הקונקרטי, ש"</w:t>
      </w:r>
      <w:r>
        <w:rPr>
          <w:rFonts w:ascii="David" w:hAnsi="David" w:cs="David"/>
          <w:b/>
          <w:bCs/>
          <w:sz w:val="28"/>
          <w:szCs w:val="28"/>
          <w:rtl/>
        </w:rPr>
        <w:t xml:space="preserve">היה נקודתי, ספונטני, קצר במשכו שכן ארך שניות ספורות, פתאומי מפתיע, בלתי צפוי מבלי שקדם לו כל טריגר או </w:t>
      </w:r>
      <w:proofErr w:type="spellStart"/>
      <w:r>
        <w:rPr>
          <w:rFonts w:ascii="David" w:hAnsi="David" w:cs="David"/>
          <w:b/>
          <w:bCs/>
          <w:sz w:val="28"/>
          <w:szCs w:val="28"/>
          <w:rtl/>
        </w:rPr>
        <w:t>ציפיה</w:t>
      </w:r>
      <w:proofErr w:type="spellEnd"/>
      <w:r>
        <w:rPr>
          <w:rFonts w:ascii="David" w:hAnsi="David" w:cs="David"/>
          <w:b/>
          <w:bCs/>
          <w:sz w:val="28"/>
          <w:szCs w:val="28"/>
          <w:rtl/>
        </w:rPr>
        <w:t xml:space="preserve"> לאלימות מצד התלמיד</w:t>
      </w:r>
      <w:r>
        <w:rPr>
          <w:rFonts w:ascii="David" w:hAnsi="David" w:cs="David"/>
          <w:sz w:val="28"/>
          <w:szCs w:val="28"/>
          <w:rtl/>
        </w:rPr>
        <w:t>". האירוע היה "</w:t>
      </w:r>
      <w:r>
        <w:rPr>
          <w:rFonts w:ascii="David" w:hAnsi="David" w:cs="David"/>
          <w:b/>
          <w:bCs/>
          <w:sz w:val="28"/>
          <w:szCs w:val="28"/>
          <w:rtl/>
        </w:rPr>
        <w:t>בלתי צפוי וככזה בלתי ניתן למניעה</w:t>
      </w:r>
      <w:r>
        <w:rPr>
          <w:rFonts w:ascii="David" w:hAnsi="David" w:cs="David"/>
          <w:sz w:val="28"/>
          <w:szCs w:val="28"/>
          <w:rtl/>
        </w:rPr>
        <w:t xml:space="preserve">". </w:t>
      </w:r>
    </w:p>
    <w:p w14:paraId="72D9514F" w14:textId="77777777" w:rsidR="00000000" w:rsidRDefault="00000000">
      <w:pPr>
        <w:pStyle w:val="a9"/>
        <w:spacing w:after="0" w:line="360" w:lineRule="auto"/>
        <w:ind w:left="0"/>
        <w:jc w:val="both"/>
        <w:rPr>
          <w:rtl/>
        </w:rPr>
      </w:pPr>
      <w:r>
        <w:rPr>
          <w:rFonts w:ascii="David" w:hAnsi="David" w:cs="David"/>
          <w:sz w:val="28"/>
          <w:szCs w:val="28"/>
          <w:rtl/>
        </w:rPr>
        <w:t>ז.  נוכח פתאומיותו של האירוע והעדר הצפיות כי יתקיים, לא מתקיים קשר סיבתי.</w:t>
      </w:r>
    </w:p>
    <w:p w14:paraId="1611470D" w14:textId="77777777" w:rsidR="00000000" w:rsidRDefault="00000000">
      <w:pPr>
        <w:pStyle w:val="a9"/>
        <w:spacing w:after="0" w:line="360" w:lineRule="auto"/>
        <w:ind w:left="0"/>
        <w:jc w:val="both"/>
        <w:rPr>
          <w:rtl/>
        </w:rPr>
      </w:pPr>
      <w:r>
        <w:rPr>
          <w:rFonts w:ascii="David" w:hAnsi="David" w:cs="David"/>
          <w:sz w:val="28"/>
          <w:szCs w:val="28"/>
          <w:rtl/>
        </w:rPr>
        <w:t xml:space="preserve">ח.  עילת הפרת חובה חקוקה נזנחה בסיכומי המערער, והאחרון לא עמד בתנאים להוכחתה. </w:t>
      </w:r>
    </w:p>
    <w:p w14:paraId="2FDF813C" w14:textId="77777777" w:rsidR="00000000" w:rsidRDefault="00000000">
      <w:pPr>
        <w:pStyle w:val="a9"/>
        <w:spacing w:after="0" w:line="360" w:lineRule="auto"/>
        <w:ind w:left="0"/>
        <w:jc w:val="both"/>
        <w:rPr>
          <w:rtl/>
        </w:rPr>
      </w:pPr>
      <w:r>
        <w:rPr>
          <w:rFonts w:ascii="David" w:hAnsi="David" w:cs="David"/>
          <w:sz w:val="28"/>
          <w:szCs w:val="28"/>
          <w:rtl/>
        </w:rPr>
        <w:t>מעבר לצורך הוסיף בית משפט קמא לגבי בחובת הצפיות של משרד החינוך, כמעסיקו של המערער להשתלשלות הנזק והיקפו, והעלה תהיות האם "</w:t>
      </w:r>
      <w:r>
        <w:rPr>
          <w:rFonts w:ascii="David" w:hAnsi="David" w:cs="David"/>
          <w:b/>
          <w:bCs/>
          <w:sz w:val="28"/>
          <w:szCs w:val="28"/>
          <w:rtl/>
        </w:rPr>
        <w:t xml:space="preserve">על המעסיק מוטלת חובה לצפות הליך גרימה של נזק מעיל זה, קרי: פגיעה פיזית אשר מבחינה אובייקטיבית הייתה מינורית למדי, מבלי שהותירה כל נזק בגופו של התובע... אשר בסופו של יום </w:t>
      </w:r>
      <w:proofErr w:type="spellStart"/>
      <w:r>
        <w:rPr>
          <w:rFonts w:ascii="David" w:hAnsi="David" w:cs="David"/>
          <w:b/>
          <w:bCs/>
          <w:sz w:val="28"/>
          <w:szCs w:val="28"/>
          <w:rtl/>
        </w:rPr>
        <w:t>תצלק</w:t>
      </w:r>
      <w:proofErr w:type="spellEnd"/>
      <w:r>
        <w:rPr>
          <w:rFonts w:ascii="David" w:hAnsi="David" w:cs="David"/>
          <w:b/>
          <w:bCs/>
          <w:sz w:val="28"/>
          <w:szCs w:val="28"/>
          <w:rtl/>
        </w:rPr>
        <w:t xml:space="preserve"> נפשו עד שתגרום לו לקבל החלטה הרת גורל בנוגע לחייו המקצועיים</w:t>
      </w:r>
      <w:r>
        <w:rPr>
          <w:rFonts w:ascii="David" w:hAnsi="David" w:cs="David"/>
          <w:sz w:val="28"/>
          <w:szCs w:val="28"/>
          <w:rtl/>
        </w:rPr>
        <w:t xml:space="preserve">...", אך לנוכח התוצאה אליה הגיע, הותיר שאלה זו </w:t>
      </w:r>
      <w:proofErr w:type="spellStart"/>
      <w:r>
        <w:rPr>
          <w:rFonts w:ascii="David" w:hAnsi="David" w:cs="David"/>
          <w:sz w:val="28"/>
          <w:szCs w:val="28"/>
          <w:rtl/>
        </w:rPr>
        <w:t>בצריך</w:t>
      </w:r>
      <w:proofErr w:type="spellEnd"/>
      <w:r>
        <w:rPr>
          <w:rFonts w:ascii="David" w:hAnsi="David" w:cs="David"/>
          <w:sz w:val="28"/>
          <w:szCs w:val="28"/>
          <w:rtl/>
        </w:rPr>
        <w:t xml:space="preserve"> עיון.</w:t>
      </w:r>
    </w:p>
    <w:p w14:paraId="2C6DA786" w14:textId="77777777" w:rsidR="00000000" w:rsidRDefault="00000000">
      <w:pPr>
        <w:pStyle w:val="a9"/>
        <w:spacing w:after="0" w:line="360" w:lineRule="auto"/>
        <w:ind w:left="0"/>
        <w:jc w:val="both"/>
        <w:rPr>
          <w:rtl/>
        </w:rPr>
      </w:pPr>
      <w:r>
        <w:rPr>
          <w:rFonts w:ascii="David" w:hAnsi="David" w:cs="David"/>
          <w:sz w:val="28"/>
          <w:szCs w:val="28"/>
          <w:rtl/>
        </w:rPr>
        <w:t>על רקע כל האמור, הגיע בית משפט קמא למסקנה כי "</w:t>
      </w:r>
      <w:r>
        <w:rPr>
          <w:rFonts w:ascii="David" w:hAnsi="David" w:cs="David"/>
          <w:b/>
          <w:bCs/>
          <w:sz w:val="28"/>
          <w:szCs w:val="28"/>
          <w:rtl/>
        </w:rPr>
        <w:t>התובע לא הוכיח קיומה של התרשלות מצד הנתבעות או מי מהן ואף לא הראה קשר סיבתי בית המחדלים שהוא מייחס לנתבעות או מי מהן לבין הנזק שנגרם לו</w:t>
      </w:r>
      <w:r>
        <w:rPr>
          <w:rFonts w:ascii="David" w:hAnsi="David" w:cs="David"/>
          <w:sz w:val="28"/>
          <w:szCs w:val="28"/>
          <w:rtl/>
        </w:rPr>
        <w:t xml:space="preserve">". </w:t>
      </w:r>
    </w:p>
    <w:p w14:paraId="05C09986" w14:textId="77777777" w:rsidR="00000000" w:rsidRDefault="00000000">
      <w:pPr>
        <w:pStyle w:val="a9"/>
        <w:spacing w:after="0" w:line="360" w:lineRule="auto"/>
        <w:ind w:left="0"/>
        <w:jc w:val="both"/>
        <w:rPr>
          <w:rtl/>
        </w:rPr>
      </w:pPr>
      <w:r>
        <w:rPr>
          <w:rFonts w:ascii="David" w:hAnsi="David" w:cs="David"/>
          <w:sz w:val="28"/>
          <w:szCs w:val="28"/>
          <w:rtl/>
        </w:rPr>
        <w:t> </w:t>
      </w:r>
    </w:p>
    <w:p w14:paraId="48CE54FD" w14:textId="77777777" w:rsidR="00000000" w:rsidRDefault="00000000">
      <w:pPr>
        <w:pStyle w:val="a9"/>
        <w:spacing w:after="0" w:line="360" w:lineRule="auto"/>
        <w:ind w:left="0"/>
        <w:jc w:val="both"/>
        <w:rPr>
          <w:rtl/>
        </w:rPr>
      </w:pPr>
      <w:r>
        <w:rPr>
          <w:rFonts w:ascii="David" w:hAnsi="David" w:cs="David"/>
          <w:sz w:val="28"/>
          <w:szCs w:val="28"/>
          <w:rtl/>
        </w:rPr>
        <w:t>10.</w:t>
      </w:r>
      <w:r>
        <w:rPr>
          <w:rFonts w:ascii="Times New Roman" w:hAnsi="Times New Roman" w:cs="Times New Roman"/>
          <w:sz w:val="14"/>
          <w:szCs w:val="14"/>
          <w:rtl/>
        </w:rPr>
        <w:t xml:space="preserve">  </w:t>
      </w:r>
      <w:r>
        <w:rPr>
          <w:rFonts w:ascii="David" w:hAnsi="David" w:cs="David"/>
          <w:sz w:val="28"/>
          <w:szCs w:val="28"/>
          <w:rtl/>
        </w:rPr>
        <w:t xml:space="preserve">בהינתן פסק הדין שניתן נגד התלמיד אשר עומד בעינו, דן בית משפט קמא בנזק, כאשר עיקר המחלוקת הייתה פוטנציאל שכרו של המערער, לנוכח טענתו כי לולא האירוע היה מתקדם להיות מנהל בית הספר. בית משפט קמא, דן בראיות שהובאו, דחה טענה זו וקבע שלא ניתן לקחת בחשבון פוטנציאל השתכרות לפי </w:t>
      </w:r>
      <w:proofErr w:type="spellStart"/>
      <w:r>
        <w:rPr>
          <w:rFonts w:ascii="David" w:hAnsi="David" w:cs="David"/>
          <w:sz w:val="28"/>
          <w:szCs w:val="28"/>
          <w:rtl/>
        </w:rPr>
        <w:t>תכניות</w:t>
      </w:r>
      <w:proofErr w:type="spellEnd"/>
      <w:r>
        <w:rPr>
          <w:rFonts w:ascii="David" w:hAnsi="David" w:cs="David"/>
          <w:sz w:val="28"/>
          <w:szCs w:val="28"/>
          <w:rtl/>
        </w:rPr>
        <w:t xml:space="preserve"> בלבד, אשר לא הבשילו לכדי שלבים מעשיים. כן נקבע שהמערער לא עמד בדרישות הסף של משרד החינוך לניהול בית הספר. בהינתן האמור קבע בית המשפט את בסיס שכרו של המערער לתקופת העבר והעתיד על סמך שכרו קודם לתאונה.</w:t>
      </w:r>
    </w:p>
    <w:p w14:paraId="2E9F474D" w14:textId="77777777" w:rsidR="00000000" w:rsidRDefault="00000000">
      <w:pPr>
        <w:pStyle w:val="a9"/>
        <w:spacing w:after="0" w:line="360" w:lineRule="auto"/>
        <w:ind w:left="0"/>
        <w:jc w:val="both"/>
        <w:rPr>
          <w:rtl/>
        </w:rPr>
      </w:pPr>
      <w:r>
        <w:rPr>
          <w:rFonts w:ascii="David" w:hAnsi="David" w:cs="David"/>
          <w:sz w:val="28"/>
          <w:szCs w:val="28"/>
          <w:rtl/>
        </w:rPr>
        <w:t>אשר לנכות התפקודית, דחה בית משפט קמא את טענת המערער לנכות תפקודית בשיעור של 100% והעמידה על נכות הזהה לזו הרפואית בשיעור של 36%.</w:t>
      </w:r>
    </w:p>
    <w:p w14:paraId="2F7F2333" w14:textId="77777777" w:rsidR="00000000" w:rsidRDefault="00000000">
      <w:pPr>
        <w:pStyle w:val="a9"/>
        <w:spacing w:after="0" w:line="360" w:lineRule="auto"/>
        <w:ind w:left="0"/>
        <w:jc w:val="both"/>
        <w:rPr>
          <w:rtl/>
        </w:rPr>
      </w:pPr>
      <w:r>
        <w:rPr>
          <w:rFonts w:ascii="David" w:hAnsi="David" w:cs="David"/>
          <w:sz w:val="28"/>
          <w:szCs w:val="28"/>
          <w:rtl/>
        </w:rPr>
        <w:t>בית משפט קמא דן בראשי הנזק של עזרת הזולת, הוצאות נסיעה והוצאת רפואיות, ובסופו של דבר העמיד את נזקו של המערער על הסך של 2,127,000 ₪, בניכוי תגמולי המוסד לביטוח לאומי בשיעור של 485,352 ₪ ובסה"כ 1,642,000 ₪. בסכום זה חויב התלמיד בתוספת הוצאות משפט אגרה ושכר טרחה.</w:t>
      </w:r>
    </w:p>
    <w:p w14:paraId="3B762748" w14:textId="77777777" w:rsidR="00000000" w:rsidRDefault="00000000">
      <w:pPr>
        <w:pStyle w:val="a9"/>
        <w:spacing w:after="0" w:line="360" w:lineRule="auto"/>
        <w:ind w:left="0"/>
        <w:jc w:val="both"/>
        <w:rPr>
          <w:rtl/>
        </w:rPr>
      </w:pPr>
      <w:r>
        <w:rPr>
          <w:rFonts w:ascii="David" w:hAnsi="David" w:cs="David"/>
          <w:sz w:val="28"/>
          <w:szCs w:val="28"/>
          <w:rtl/>
        </w:rPr>
        <w:t xml:space="preserve">אשר למשיבים נפסק כי התובע </w:t>
      </w:r>
      <w:proofErr w:type="spellStart"/>
      <w:r>
        <w:rPr>
          <w:rFonts w:ascii="David" w:hAnsi="David" w:cs="David"/>
          <w:sz w:val="28"/>
          <w:szCs w:val="28"/>
          <w:rtl/>
        </w:rPr>
        <w:t>ישא</w:t>
      </w:r>
      <w:proofErr w:type="spellEnd"/>
      <w:r>
        <w:rPr>
          <w:rFonts w:ascii="David" w:hAnsi="David" w:cs="David"/>
          <w:sz w:val="28"/>
          <w:szCs w:val="28"/>
          <w:rtl/>
        </w:rPr>
        <w:t xml:space="preserve"> בהוצאות כל אחת מקבוצות המשיבים בסך 10,000 ₪ ובסך </w:t>
      </w:r>
      <w:proofErr w:type="spellStart"/>
      <w:r>
        <w:rPr>
          <w:rFonts w:ascii="David" w:hAnsi="David" w:cs="David"/>
          <w:sz w:val="28"/>
          <w:szCs w:val="28"/>
          <w:rtl/>
        </w:rPr>
        <w:t>הכל</w:t>
      </w:r>
      <w:proofErr w:type="spellEnd"/>
      <w:r>
        <w:rPr>
          <w:rFonts w:ascii="David" w:hAnsi="David" w:cs="David"/>
          <w:sz w:val="28"/>
          <w:szCs w:val="28"/>
          <w:rtl/>
        </w:rPr>
        <w:t xml:space="preserve"> 30,000 ₪.</w:t>
      </w:r>
    </w:p>
    <w:p w14:paraId="3ECDC122" w14:textId="77777777" w:rsidR="00000000" w:rsidRDefault="00000000">
      <w:pPr>
        <w:pStyle w:val="a9"/>
        <w:spacing w:after="0" w:line="360" w:lineRule="auto"/>
        <w:ind w:left="0"/>
        <w:jc w:val="both"/>
        <w:rPr>
          <w:rtl/>
        </w:rPr>
      </w:pPr>
      <w:r>
        <w:rPr>
          <w:rFonts w:ascii="David" w:hAnsi="David" w:cs="David"/>
          <w:sz w:val="28"/>
          <w:szCs w:val="28"/>
          <w:rtl/>
        </w:rPr>
        <w:t> </w:t>
      </w:r>
    </w:p>
    <w:p w14:paraId="7677163B" w14:textId="77777777" w:rsidR="00000000" w:rsidRDefault="00000000">
      <w:pPr>
        <w:bidi/>
        <w:spacing w:line="360" w:lineRule="auto"/>
        <w:jc w:val="both"/>
        <w:rPr>
          <w:rtl/>
        </w:rPr>
      </w:pPr>
      <w:r>
        <w:rPr>
          <w:rFonts w:ascii="David" w:hAnsi="David" w:cs="David"/>
          <w:b/>
          <w:bCs/>
          <w:sz w:val="28"/>
          <w:szCs w:val="28"/>
          <w:u w:val="single"/>
          <w:rtl/>
        </w:rPr>
        <w:t>הערעור שהוגש וטענות הצדדים</w:t>
      </w:r>
    </w:p>
    <w:p w14:paraId="519CD051" w14:textId="77777777" w:rsidR="00000000" w:rsidRDefault="00000000">
      <w:pPr>
        <w:bidi/>
        <w:spacing w:line="360" w:lineRule="auto"/>
        <w:jc w:val="both"/>
        <w:rPr>
          <w:rtl/>
        </w:rPr>
      </w:pPr>
      <w:r>
        <w:rPr>
          <w:rFonts w:ascii="David" w:hAnsi="David" w:cs="David"/>
          <w:b/>
          <w:bCs/>
          <w:sz w:val="28"/>
          <w:szCs w:val="28"/>
          <w:rtl/>
        </w:rPr>
        <w:t> </w:t>
      </w:r>
    </w:p>
    <w:p w14:paraId="07F08913" w14:textId="77777777" w:rsidR="00000000" w:rsidRDefault="00000000">
      <w:pPr>
        <w:pStyle w:val="a9"/>
        <w:spacing w:after="0" w:line="360" w:lineRule="auto"/>
        <w:ind w:left="0"/>
        <w:jc w:val="both"/>
        <w:rPr>
          <w:rtl/>
        </w:rPr>
      </w:pPr>
      <w:r>
        <w:rPr>
          <w:rFonts w:ascii="David" w:hAnsi="David" w:cs="David"/>
          <w:sz w:val="28"/>
          <w:szCs w:val="28"/>
          <w:rtl/>
        </w:rPr>
        <w:t>11.</w:t>
      </w:r>
      <w:r>
        <w:rPr>
          <w:rFonts w:ascii="Times New Roman" w:hAnsi="Times New Roman" w:cs="Times New Roman"/>
          <w:sz w:val="14"/>
          <w:szCs w:val="14"/>
          <w:rtl/>
        </w:rPr>
        <w:t xml:space="preserve">  </w:t>
      </w:r>
      <w:r>
        <w:rPr>
          <w:rFonts w:ascii="David" w:hAnsi="David" w:cs="David"/>
          <w:sz w:val="28"/>
          <w:szCs w:val="28"/>
          <w:rtl/>
        </w:rPr>
        <w:t xml:space="preserve">במסגרת הערעור, משיג המערער כמעט על כל אחת מקביעות המהימנות, הקביעות העובדתיות והקביעות המשפטיות במסגרת פסק הדין, והלכה למעשה, הרושם הוא שהערעור אינו אלא ניסיון לנהל פעם נוספת את התביעה עם ראיות חדשות נוספות, תוך בחינה חוזרת של הראיות והעדויות שהיו לפני בית משפט קמא. </w:t>
      </w:r>
    </w:p>
    <w:p w14:paraId="31C7429E" w14:textId="77777777" w:rsidR="00000000" w:rsidRDefault="00000000">
      <w:pPr>
        <w:pStyle w:val="a9"/>
        <w:spacing w:after="0" w:line="360" w:lineRule="auto"/>
        <w:ind w:left="0"/>
        <w:jc w:val="both"/>
        <w:rPr>
          <w:rtl/>
        </w:rPr>
      </w:pPr>
      <w:r>
        <w:rPr>
          <w:rFonts w:ascii="David" w:hAnsi="David" w:cs="David"/>
          <w:sz w:val="28"/>
          <w:szCs w:val="28"/>
          <w:rtl/>
        </w:rPr>
        <w:t xml:space="preserve">בכלל זה חולק המערער, על אופן הגדרת האירוע </w:t>
      </w:r>
      <w:proofErr w:type="spellStart"/>
      <w:r>
        <w:rPr>
          <w:rFonts w:ascii="David" w:hAnsi="David" w:cs="David"/>
          <w:sz w:val="28"/>
          <w:szCs w:val="28"/>
          <w:rtl/>
        </w:rPr>
        <w:t>וצפיותו</w:t>
      </w:r>
      <w:proofErr w:type="spellEnd"/>
      <w:r>
        <w:rPr>
          <w:rFonts w:ascii="David" w:hAnsi="David" w:cs="David"/>
          <w:sz w:val="28"/>
          <w:szCs w:val="28"/>
          <w:rtl/>
        </w:rPr>
        <w:t xml:space="preserve">, על הגדרת התלמיד ואפיונו, על קביעות מהימנות, ובכלל זה בנוגע לעדותו שלו ועדות העד מטעמו, על החלטות ביניים ובכללן ההחלטה שלא להתיר את חשיפת תיק התלמיד, והחלטה שלא לאפשר לעמת את המנהלת עם תכתובות </w:t>
      </w:r>
      <w:proofErr w:type="spellStart"/>
      <w:r>
        <w:rPr>
          <w:rFonts w:ascii="David" w:hAnsi="David" w:cs="David"/>
          <w:sz w:val="28"/>
          <w:szCs w:val="28"/>
        </w:rPr>
        <w:t>sms</w:t>
      </w:r>
      <w:proofErr w:type="spellEnd"/>
      <w:r>
        <w:rPr>
          <w:rFonts w:ascii="David" w:hAnsi="David" w:cs="David"/>
          <w:sz w:val="28"/>
          <w:szCs w:val="28"/>
          <w:rtl/>
        </w:rPr>
        <w:t xml:space="preserve"> שנשלחו בינה לבין המערער, החלטה שלא לאפשר לצרף לראשונה לסיכומים חוזר מנכ"ל. כן חולק המערער על אופן חישוב הנזק, בפרט בנוגע לשיעור הנכות התפקודית ולבסיס השכר שנקבעו. </w:t>
      </w:r>
    </w:p>
    <w:p w14:paraId="44538163" w14:textId="77777777" w:rsidR="00000000" w:rsidRDefault="00000000">
      <w:pPr>
        <w:pStyle w:val="a9"/>
        <w:spacing w:after="0" w:line="360" w:lineRule="auto"/>
        <w:ind w:left="0"/>
        <w:jc w:val="both"/>
        <w:rPr>
          <w:rtl/>
        </w:rPr>
      </w:pPr>
      <w:r>
        <w:rPr>
          <w:rFonts w:ascii="David" w:hAnsi="David" w:cs="David"/>
          <w:sz w:val="28"/>
          <w:szCs w:val="28"/>
          <w:rtl/>
        </w:rPr>
        <w:t>המערער מפרט את טענותיו עד דק, תוך שהוא מנסה לשכנע מה היה על בית משפט קמא להבין ולקבוע כתוצאה מן הראיות שהובאו, כך לשיטתו.</w:t>
      </w:r>
    </w:p>
    <w:p w14:paraId="52979293" w14:textId="77777777" w:rsidR="00000000" w:rsidRDefault="00000000">
      <w:pPr>
        <w:pStyle w:val="a9"/>
        <w:spacing w:after="0" w:line="360" w:lineRule="auto"/>
        <w:ind w:left="0"/>
        <w:jc w:val="both"/>
        <w:rPr>
          <w:rtl/>
        </w:rPr>
      </w:pPr>
      <w:r>
        <w:rPr>
          <w:rFonts w:ascii="David" w:hAnsi="David" w:cs="David"/>
          <w:sz w:val="28"/>
          <w:szCs w:val="28"/>
          <w:rtl/>
        </w:rPr>
        <w:t> </w:t>
      </w:r>
    </w:p>
    <w:p w14:paraId="1BDEE28D" w14:textId="77777777" w:rsidR="00000000" w:rsidRDefault="00000000">
      <w:pPr>
        <w:pStyle w:val="a9"/>
        <w:spacing w:after="0" w:line="360" w:lineRule="auto"/>
        <w:ind w:left="0"/>
        <w:jc w:val="both"/>
        <w:rPr>
          <w:rtl/>
        </w:rPr>
      </w:pPr>
      <w:r>
        <w:rPr>
          <w:rFonts w:ascii="David" w:hAnsi="David" w:cs="David"/>
          <w:sz w:val="28"/>
          <w:szCs w:val="28"/>
          <w:rtl/>
        </w:rPr>
        <w:t>12.</w:t>
      </w:r>
      <w:r>
        <w:rPr>
          <w:rFonts w:ascii="Times New Roman" w:hAnsi="Times New Roman" w:cs="Times New Roman"/>
          <w:sz w:val="14"/>
          <w:szCs w:val="14"/>
          <w:rtl/>
        </w:rPr>
        <w:t xml:space="preserve">  </w:t>
      </w:r>
      <w:r>
        <w:rPr>
          <w:rFonts w:ascii="David" w:hAnsi="David" w:cs="David"/>
          <w:sz w:val="28"/>
          <w:szCs w:val="28"/>
          <w:rtl/>
        </w:rPr>
        <w:t xml:space="preserve">המשיבים כולם, עומדים מאחורי פסק הדין וקביעותיו של בית משפט קמא, ומדגישים את הכלל בדבר העדר התערבות ערכאת הערעור בממצאי עובדה ומהימנות. המשיבים מדגישים את אופי התפקיד אותו ביקש המערער למלא כמורה ומחנך בבית ספר שבו לומדים ילדים עם צרכים מיוחדים, כאשר הוא זה האמון על ההשגחה עליהם, לרבות חובתו שלו לפקח גם על התלמיד עצמו. כן הדגישו המשיבים את חוסר מהימנות המערער, את פתאומיות האירוע והעדר </w:t>
      </w:r>
      <w:proofErr w:type="spellStart"/>
      <w:r>
        <w:rPr>
          <w:rFonts w:ascii="David" w:hAnsi="David" w:cs="David"/>
          <w:sz w:val="28"/>
          <w:szCs w:val="28"/>
          <w:rtl/>
        </w:rPr>
        <w:t>צפיותו</w:t>
      </w:r>
      <w:proofErr w:type="spellEnd"/>
      <w:r>
        <w:rPr>
          <w:rFonts w:ascii="David" w:hAnsi="David" w:cs="David"/>
          <w:sz w:val="28"/>
          <w:szCs w:val="28"/>
          <w:rtl/>
        </w:rPr>
        <w:t xml:space="preserve">, </w:t>
      </w:r>
      <w:proofErr w:type="spellStart"/>
      <w:r>
        <w:rPr>
          <w:rFonts w:ascii="David" w:hAnsi="David" w:cs="David"/>
          <w:sz w:val="28"/>
          <w:szCs w:val="28"/>
          <w:rtl/>
        </w:rPr>
        <w:t>הכל</w:t>
      </w:r>
      <w:proofErr w:type="spellEnd"/>
      <w:r>
        <w:rPr>
          <w:rFonts w:ascii="David" w:hAnsi="David" w:cs="David"/>
          <w:sz w:val="28"/>
          <w:szCs w:val="28"/>
          <w:rtl/>
        </w:rPr>
        <w:t xml:space="preserve"> כפי שקבע בית משפט קמא.</w:t>
      </w:r>
    </w:p>
    <w:p w14:paraId="50A60A32" w14:textId="77777777" w:rsidR="00000000" w:rsidRDefault="00000000">
      <w:pPr>
        <w:pStyle w:val="a9"/>
        <w:spacing w:after="0" w:line="360" w:lineRule="auto"/>
        <w:ind w:left="0"/>
        <w:jc w:val="both"/>
        <w:rPr>
          <w:rtl/>
        </w:rPr>
      </w:pPr>
      <w:r>
        <w:rPr>
          <w:rFonts w:ascii="David" w:hAnsi="David" w:cs="David"/>
          <w:sz w:val="28"/>
          <w:szCs w:val="28"/>
        </w:rPr>
        <w:t> </w:t>
      </w:r>
    </w:p>
    <w:p w14:paraId="0CE20B3D" w14:textId="77777777" w:rsidR="00000000" w:rsidRDefault="00000000">
      <w:pPr>
        <w:pStyle w:val="a9"/>
        <w:spacing w:after="0" w:line="360" w:lineRule="auto"/>
        <w:ind w:left="0"/>
        <w:jc w:val="both"/>
        <w:rPr>
          <w:rtl/>
        </w:rPr>
      </w:pPr>
      <w:r>
        <w:rPr>
          <w:rFonts w:ascii="David" w:hAnsi="David" w:cs="David"/>
          <w:sz w:val="28"/>
          <w:szCs w:val="28"/>
          <w:rtl/>
        </w:rPr>
        <w:t>13.</w:t>
      </w:r>
      <w:r>
        <w:rPr>
          <w:rFonts w:ascii="Times New Roman" w:hAnsi="Times New Roman" w:cs="Times New Roman"/>
          <w:sz w:val="14"/>
          <w:szCs w:val="14"/>
          <w:rtl/>
        </w:rPr>
        <w:t xml:space="preserve">  </w:t>
      </w:r>
      <w:r>
        <w:rPr>
          <w:rFonts w:ascii="David" w:hAnsi="David" w:cs="David"/>
          <w:sz w:val="28"/>
          <w:szCs w:val="28"/>
          <w:rtl/>
        </w:rPr>
        <w:t>לאחר הגשת תשובות המשיבים לערעור, הגיש המערער "</w:t>
      </w:r>
      <w:r>
        <w:rPr>
          <w:rFonts w:ascii="David" w:hAnsi="David" w:cs="David"/>
          <w:b/>
          <w:bCs/>
          <w:sz w:val="28"/>
          <w:szCs w:val="28"/>
          <w:rtl/>
        </w:rPr>
        <w:t>בקשה לצירוף מוצגים מטעם המערער</w:t>
      </w:r>
      <w:r>
        <w:rPr>
          <w:rFonts w:ascii="David" w:hAnsi="David" w:cs="David"/>
          <w:sz w:val="28"/>
          <w:szCs w:val="28"/>
          <w:rtl/>
        </w:rPr>
        <w:t xml:space="preserve">" בגדרה ביקש לצרף לראשונה לתיק בית המשפט חוזר מנכ"ל, הודעות </w:t>
      </w:r>
      <w:proofErr w:type="spellStart"/>
      <w:r>
        <w:rPr>
          <w:rFonts w:ascii="David" w:hAnsi="David" w:cs="David"/>
          <w:sz w:val="28"/>
          <w:szCs w:val="28"/>
        </w:rPr>
        <w:t>sms</w:t>
      </w:r>
      <w:proofErr w:type="spellEnd"/>
      <w:r>
        <w:rPr>
          <w:rFonts w:ascii="David" w:hAnsi="David" w:cs="David"/>
          <w:sz w:val="28"/>
          <w:szCs w:val="28"/>
          <w:rtl/>
        </w:rPr>
        <w:t>, וראיון קבלה שלו לתהליך גמילה מסמים לאחר חקירתו בבית המשפט. לנוכח הנחיית בית המשפט הגיש המערער בקשה מתוקנת בהתאם להנחיות תקנות סדר דין אזרחי, תשע"ט-2018 (להלן: "</w:t>
      </w:r>
      <w:r>
        <w:rPr>
          <w:rFonts w:ascii="David" w:hAnsi="David" w:cs="David"/>
          <w:b/>
          <w:bCs/>
          <w:sz w:val="28"/>
          <w:szCs w:val="28"/>
          <w:rtl/>
        </w:rPr>
        <w:t>תקנות סדר הדין האזרחי</w:t>
      </w:r>
      <w:r>
        <w:rPr>
          <w:rFonts w:ascii="David" w:hAnsi="David" w:cs="David"/>
          <w:sz w:val="28"/>
          <w:szCs w:val="28"/>
          <w:rtl/>
        </w:rPr>
        <w:t>").</w:t>
      </w:r>
    </w:p>
    <w:p w14:paraId="56D5EC4A" w14:textId="77777777" w:rsidR="00000000" w:rsidRDefault="00000000">
      <w:pPr>
        <w:pStyle w:val="a9"/>
        <w:spacing w:after="0" w:line="360" w:lineRule="auto"/>
        <w:ind w:left="0"/>
        <w:jc w:val="both"/>
        <w:rPr>
          <w:rtl/>
        </w:rPr>
      </w:pPr>
      <w:r>
        <w:rPr>
          <w:rFonts w:ascii="David" w:hAnsi="David" w:cs="David"/>
          <w:sz w:val="28"/>
          <w:szCs w:val="28"/>
        </w:rPr>
        <w:t> </w:t>
      </w:r>
    </w:p>
    <w:p w14:paraId="67D6B782" w14:textId="77777777" w:rsidR="00000000" w:rsidRDefault="00000000">
      <w:pPr>
        <w:pStyle w:val="a9"/>
        <w:spacing w:after="0" w:line="360" w:lineRule="auto"/>
        <w:ind w:left="0"/>
        <w:jc w:val="both"/>
        <w:rPr>
          <w:rtl/>
        </w:rPr>
      </w:pPr>
      <w:r>
        <w:rPr>
          <w:rFonts w:ascii="David" w:hAnsi="David" w:cs="David"/>
          <w:sz w:val="28"/>
          <w:szCs w:val="28"/>
          <w:rtl/>
        </w:rPr>
        <w:t>14.</w:t>
      </w:r>
      <w:r>
        <w:rPr>
          <w:rFonts w:ascii="Times New Roman" w:hAnsi="Times New Roman" w:cs="Times New Roman"/>
          <w:sz w:val="14"/>
          <w:szCs w:val="14"/>
          <w:rtl/>
        </w:rPr>
        <w:t xml:space="preserve">  </w:t>
      </w:r>
      <w:r>
        <w:rPr>
          <w:rFonts w:ascii="David" w:hAnsi="David" w:cs="David"/>
          <w:sz w:val="28"/>
          <w:szCs w:val="28"/>
          <w:rtl/>
        </w:rPr>
        <w:t xml:space="preserve">המשיבים התנגדו לבקשה, בטענה שעיקרה מדובר היה במסמכים שהיו בידיו של המערער בעת הגשת הראיות, ולגבי ראיון הקבלה בעת שעדיין המשפט התנהל, כך שלא הייתה מניעה להגשתן במועד. כן טענו שאין בראיות אלה גם אם תתקבלנה כדי לשנות מן התוצאה המתחייבת ממהות האירוע. </w:t>
      </w:r>
    </w:p>
    <w:p w14:paraId="334AF442" w14:textId="77777777" w:rsidR="00000000" w:rsidRDefault="00000000">
      <w:pPr>
        <w:pStyle w:val="a9"/>
        <w:spacing w:after="0" w:line="360" w:lineRule="auto"/>
        <w:ind w:left="0"/>
        <w:jc w:val="both"/>
        <w:rPr>
          <w:rtl/>
        </w:rPr>
      </w:pPr>
      <w:r>
        <w:rPr>
          <w:rFonts w:ascii="David" w:hAnsi="David" w:cs="David"/>
          <w:sz w:val="28"/>
          <w:szCs w:val="28"/>
        </w:rPr>
        <w:t> </w:t>
      </w:r>
    </w:p>
    <w:p w14:paraId="5D894F62" w14:textId="77777777" w:rsidR="00000000" w:rsidRDefault="00000000">
      <w:pPr>
        <w:bidi/>
        <w:spacing w:line="360" w:lineRule="auto"/>
        <w:jc w:val="both"/>
        <w:rPr>
          <w:rtl/>
        </w:rPr>
      </w:pPr>
      <w:r>
        <w:rPr>
          <w:rFonts w:ascii="David" w:hAnsi="David" w:cs="David"/>
          <w:b/>
          <w:bCs/>
          <w:sz w:val="28"/>
          <w:szCs w:val="28"/>
          <w:u w:val="single"/>
          <w:rtl/>
        </w:rPr>
        <w:t>דיון והכרעה</w:t>
      </w:r>
    </w:p>
    <w:p w14:paraId="77B74069" w14:textId="77777777" w:rsidR="00000000" w:rsidRDefault="00000000">
      <w:pPr>
        <w:bidi/>
        <w:spacing w:line="360" w:lineRule="auto"/>
        <w:jc w:val="both"/>
        <w:rPr>
          <w:rtl/>
        </w:rPr>
      </w:pPr>
      <w:r>
        <w:rPr>
          <w:rFonts w:ascii="David" w:hAnsi="David" w:cs="David"/>
          <w:b/>
          <w:bCs/>
          <w:sz w:val="28"/>
          <w:szCs w:val="28"/>
        </w:rPr>
        <w:t> </w:t>
      </w:r>
    </w:p>
    <w:p w14:paraId="4C2EE5DE" w14:textId="77777777" w:rsidR="00000000" w:rsidRDefault="00000000">
      <w:pPr>
        <w:pStyle w:val="a9"/>
        <w:spacing w:after="0" w:line="360" w:lineRule="auto"/>
        <w:ind w:left="0"/>
        <w:jc w:val="both"/>
        <w:rPr>
          <w:rtl/>
        </w:rPr>
      </w:pPr>
      <w:r>
        <w:rPr>
          <w:rFonts w:ascii="David" w:hAnsi="David" w:cs="David"/>
          <w:sz w:val="28"/>
          <w:szCs w:val="28"/>
          <w:rtl/>
        </w:rPr>
        <w:t>15.</w:t>
      </w:r>
      <w:r>
        <w:rPr>
          <w:rFonts w:ascii="Times New Roman" w:hAnsi="Times New Roman" w:cs="Times New Roman"/>
          <w:sz w:val="14"/>
          <w:szCs w:val="14"/>
          <w:rtl/>
        </w:rPr>
        <w:t xml:space="preserve">  </w:t>
      </w:r>
      <w:r>
        <w:rPr>
          <w:rFonts w:ascii="David" w:hAnsi="David" w:cs="David"/>
          <w:sz w:val="28"/>
          <w:szCs w:val="28"/>
          <w:rtl/>
        </w:rPr>
        <w:t xml:space="preserve">לאחר שנתתי דעתי לטיעוני הצדדים כפי שהועלו עלי כתב ובדיון לפנינו, באתי לכלל דעה כי דין הערעור להידחות וכך אציע לחברותיי לנהוג. </w:t>
      </w:r>
    </w:p>
    <w:p w14:paraId="3E355AE1" w14:textId="77777777" w:rsidR="00000000" w:rsidRDefault="00000000">
      <w:pPr>
        <w:pStyle w:val="a9"/>
        <w:spacing w:after="0" w:line="360" w:lineRule="auto"/>
        <w:ind w:left="0"/>
        <w:jc w:val="both"/>
        <w:rPr>
          <w:rtl/>
        </w:rPr>
      </w:pPr>
      <w:r>
        <w:rPr>
          <w:rFonts w:ascii="David" w:hAnsi="David" w:cs="David"/>
          <w:sz w:val="28"/>
          <w:szCs w:val="28"/>
          <w:rtl/>
        </w:rPr>
        <w:t xml:space="preserve">פסק דינו של בית משפט קמא, מתייחס לכל הטענות שבאו לפניו, מנומק ובהיר, בבחינת משנה סדורה. לא בכדי מצאתי לפרט באריכות את הנתונים שהיו לפני בית משפט קמא, כמו גם את עיקרי פסק הדין ואת טענות הצדדים, על מנת שניתן יהיה להיווכח על נקלה בכך שבית משפט קמא נתן דעתו לכל מחלוקת, בין עובדתית ובין משפטית, שנדרשה להכרעה, קבע ממצאים על יסוד הראיות שבאו לפניו והתרשמותו הבלתי אמצעית, וכל אלה תומכים במסקנותיו המשפטיות כמו גם בקביעותיו הנוספות, בהן לא מצאתי כל טעות שבחוק. משכך נכון לאמץ את פסק דינו של בית משפט קמא בהתאם לסמכותנו המעוגנת בהוראת </w:t>
      </w:r>
      <w:r>
        <w:rPr>
          <w:rFonts w:ascii="David" w:hAnsi="David" w:cs="David"/>
          <w:color w:val="000000"/>
          <w:sz w:val="28"/>
          <w:szCs w:val="28"/>
          <w:rtl/>
        </w:rPr>
        <w:t>תקנה 148(ב</w:t>
      </w:r>
      <w:r>
        <w:rPr>
          <w:rFonts w:ascii="David" w:hAnsi="David" w:cs="David"/>
          <w:color w:val="000000"/>
          <w:sz w:val="28"/>
          <w:szCs w:val="28"/>
        </w:rPr>
        <w:t>)</w:t>
      </w:r>
      <w:r>
        <w:rPr>
          <w:rFonts w:ascii="David" w:hAnsi="David" w:cs="David"/>
          <w:sz w:val="28"/>
          <w:szCs w:val="28"/>
          <w:rtl/>
        </w:rPr>
        <w:t xml:space="preserve"> לתקנות סדר הדין האזרחי, </w:t>
      </w:r>
      <w:proofErr w:type="spellStart"/>
      <w:r>
        <w:rPr>
          <w:rFonts w:ascii="David" w:hAnsi="David" w:cs="David"/>
          <w:sz w:val="28"/>
          <w:szCs w:val="28"/>
          <w:rtl/>
        </w:rPr>
        <w:t>התשע"ט</w:t>
      </w:r>
      <w:proofErr w:type="spellEnd"/>
      <w:r>
        <w:rPr>
          <w:rFonts w:ascii="David" w:hAnsi="David" w:cs="David"/>
          <w:sz w:val="28"/>
          <w:szCs w:val="28"/>
          <w:rtl/>
        </w:rPr>
        <w:t xml:space="preserve"> - 2018. </w:t>
      </w:r>
    </w:p>
    <w:p w14:paraId="1FEC2C6D" w14:textId="77777777" w:rsidR="00000000" w:rsidRDefault="00000000">
      <w:pPr>
        <w:pStyle w:val="a9"/>
        <w:spacing w:after="0" w:line="360" w:lineRule="auto"/>
        <w:ind w:left="0"/>
        <w:jc w:val="both"/>
        <w:rPr>
          <w:rtl/>
        </w:rPr>
      </w:pPr>
      <w:r>
        <w:rPr>
          <w:rFonts w:ascii="David" w:hAnsi="David" w:cs="David"/>
          <w:sz w:val="28"/>
          <w:szCs w:val="28"/>
          <w:rtl/>
        </w:rPr>
        <w:t>הערעור אינו אכסניה לניהול ההליך מחדש. מתפקידה של ערכאת הערעור לבחון שלא נפלה שגגה מלפני בית משפט קמא ובמידת הצורך לתקנה, כפי שנפסק לא פעם -</w:t>
      </w:r>
    </w:p>
    <w:p w14:paraId="42711E66" w14:textId="77777777" w:rsidR="00000000" w:rsidRDefault="00000000">
      <w:pPr>
        <w:bidi/>
        <w:spacing w:line="360" w:lineRule="auto"/>
        <w:jc w:val="both"/>
        <w:rPr>
          <w:rtl/>
        </w:rPr>
      </w:pPr>
      <w:r>
        <w:rPr>
          <w:rFonts w:ascii="David" w:hAnsi="David" w:cs="David"/>
          <w:sz w:val="28"/>
          <w:szCs w:val="28"/>
          <w:rtl/>
        </w:rPr>
        <w:t>"</w:t>
      </w:r>
      <w:r>
        <w:rPr>
          <w:rFonts w:ascii="David" w:hAnsi="David" w:cs="David"/>
          <w:b/>
          <w:bCs/>
          <w:sz w:val="28"/>
          <w:szCs w:val="28"/>
          <w:rtl/>
        </w:rPr>
        <w:t xml:space="preserve">ככלל, הליך הערעור לא נועד לפתיחתו מחדש של הסכסוך כולו על כל רבדיו ומחלוקותיו כאילו המדובר במשפט חדש או במשפט חוזר. תפקידה של ערכאת הערעור הוא לבחון אם הממצאים שנקבעו בפסק הדין "מעוגנים בחומר ראיות אמין, אם המסקנות שהוסקו עומדות במבחן ההוכחות, ההיגיון ומכלול הנסיבות, ואם התוצאה מתחייבת מבחינת הוראות הדין החלות על העניין" (ע"א 586/84 מקלף נ' </w:t>
      </w:r>
      <w:proofErr w:type="spellStart"/>
      <w:r>
        <w:rPr>
          <w:rFonts w:ascii="David" w:hAnsi="David" w:cs="David"/>
          <w:b/>
          <w:bCs/>
          <w:sz w:val="28"/>
          <w:szCs w:val="28"/>
          <w:rtl/>
        </w:rPr>
        <w:t>זילברברג</w:t>
      </w:r>
      <w:proofErr w:type="spellEnd"/>
      <w:r>
        <w:rPr>
          <w:rFonts w:ascii="David" w:hAnsi="David" w:cs="David"/>
          <w:b/>
          <w:bCs/>
          <w:sz w:val="28"/>
          <w:szCs w:val="28"/>
          <w:rtl/>
        </w:rPr>
        <w:t xml:space="preserve">, פ"ד מג(1) 137, 141 (1989); ע"א 8184/12 מרכז תורני לאומי </w:t>
      </w:r>
      <w:proofErr w:type="spellStart"/>
      <w:r>
        <w:rPr>
          <w:rFonts w:ascii="David" w:hAnsi="David" w:cs="David"/>
          <w:b/>
          <w:bCs/>
          <w:sz w:val="28"/>
          <w:szCs w:val="28"/>
          <w:rtl/>
        </w:rPr>
        <w:t>ע"ר</w:t>
      </w:r>
      <w:proofErr w:type="spellEnd"/>
      <w:r>
        <w:rPr>
          <w:rFonts w:ascii="David" w:hAnsi="David" w:cs="David"/>
          <w:b/>
          <w:bCs/>
          <w:sz w:val="28"/>
          <w:szCs w:val="28"/>
          <w:rtl/>
        </w:rPr>
        <w:t xml:space="preserve"> נ' קפלן, פסקה ל"ב (28.10.2015)). בית המשפט שלערעור נדרש לאזן בין שיקולי צדק לבין שיקולי יעילות בהפעלת הביקורת </w:t>
      </w:r>
      <w:proofErr w:type="spellStart"/>
      <w:r>
        <w:rPr>
          <w:rFonts w:ascii="David" w:hAnsi="David" w:cs="David"/>
          <w:b/>
          <w:bCs/>
          <w:sz w:val="28"/>
          <w:szCs w:val="28"/>
          <w:rtl/>
        </w:rPr>
        <w:t>הערעורית</w:t>
      </w:r>
      <w:proofErr w:type="spellEnd"/>
      <w:r>
        <w:rPr>
          <w:rFonts w:ascii="David" w:hAnsi="David" w:cs="David"/>
          <w:b/>
          <w:bCs/>
          <w:sz w:val="28"/>
          <w:szCs w:val="28"/>
          <w:rtl/>
        </w:rPr>
        <w:t>, ועליו להפעיל סמכותו באיפוק כדי שהדיון בערעור לא ייהפך לדיון מחודש בנושאים שנדונו והוכרעו בערכאה הקודמת מבלי שיש לכך הצדקה (ראו: חמי בן-נון וטל חבקין הערעור האזרחי 473 (2012))</w:t>
      </w:r>
      <w:r>
        <w:rPr>
          <w:rFonts w:ascii="David" w:hAnsi="David" w:cs="David"/>
          <w:sz w:val="28"/>
          <w:szCs w:val="28"/>
          <w:rtl/>
        </w:rPr>
        <w:t xml:space="preserve">". (ע"א 8184/12 </w:t>
      </w:r>
      <w:r>
        <w:rPr>
          <w:rFonts w:ascii="David" w:hAnsi="David" w:cs="David"/>
          <w:b/>
          <w:bCs/>
          <w:sz w:val="28"/>
          <w:szCs w:val="28"/>
          <w:rtl/>
        </w:rPr>
        <w:t xml:space="preserve">משה </w:t>
      </w:r>
      <w:proofErr w:type="spellStart"/>
      <w:r>
        <w:rPr>
          <w:rFonts w:ascii="David" w:hAnsi="David" w:cs="David"/>
          <w:b/>
          <w:bCs/>
          <w:sz w:val="28"/>
          <w:szCs w:val="28"/>
          <w:rtl/>
        </w:rPr>
        <w:t>איטח</w:t>
      </w:r>
      <w:proofErr w:type="spellEnd"/>
      <w:r>
        <w:rPr>
          <w:rFonts w:ascii="David" w:hAnsi="David" w:cs="David"/>
          <w:b/>
          <w:bCs/>
          <w:sz w:val="28"/>
          <w:szCs w:val="28"/>
          <w:rtl/>
        </w:rPr>
        <w:t xml:space="preserve"> נ' ש.פ. חברה לנאמנות ניהול ואחזקות בע"מ </w:t>
      </w:r>
      <w:r>
        <w:rPr>
          <w:rFonts w:ascii="David" w:hAnsi="David" w:cs="David"/>
          <w:sz w:val="28"/>
          <w:szCs w:val="28"/>
          <w:rtl/>
        </w:rPr>
        <w:t>(20.6.2018))</w:t>
      </w:r>
    </w:p>
    <w:p w14:paraId="08A80FDE" w14:textId="77777777" w:rsidR="00000000" w:rsidRDefault="00000000">
      <w:pPr>
        <w:pStyle w:val="a9"/>
        <w:spacing w:after="0" w:line="360" w:lineRule="auto"/>
        <w:ind w:left="0"/>
        <w:jc w:val="both"/>
        <w:rPr>
          <w:rtl/>
        </w:rPr>
      </w:pPr>
      <w:r>
        <w:rPr>
          <w:rFonts w:ascii="David" w:hAnsi="David" w:cs="David"/>
          <w:sz w:val="28"/>
          <w:szCs w:val="28"/>
          <w:rtl/>
        </w:rPr>
        <w:t> </w:t>
      </w:r>
    </w:p>
    <w:p w14:paraId="32755ED6" w14:textId="77777777" w:rsidR="00000000" w:rsidRDefault="00000000">
      <w:pPr>
        <w:pStyle w:val="a9"/>
        <w:spacing w:after="0" w:line="360" w:lineRule="auto"/>
        <w:ind w:left="0"/>
        <w:jc w:val="both"/>
        <w:rPr>
          <w:rtl/>
        </w:rPr>
      </w:pPr>
      <w:r>
        <w:rPr>
          <w:rFonts w:ascii="David" w:hAnsi="David" w:cs="David"/>
          <w:sz w:val="28"/>
          <w:szCs w:val="28"/>
          <w:rtl/>
        </w:rPr>
        <w:t>למותר לציין, שגם אין זו דרכה של ערכאת הערעור להתערב בקביעות מהימנות ובממצאים עובדתיים שנקבעו בערכאה המבררת, אלא אם נפלה בהם טעות של ממש, כך גם אין זו דרכה להתערב בקביעות שעניינן בשיעור הנכות התפקודית או בגובה הנזק, אלא כל שנדרש הוא בחינת סכום הפיצוי הכולל שנפסק מ"מעוף הציפור" והתאמתו לנתונים שהוכחו. סבורני כי בנסיבות המקרה שהוכחו בבית המשפט קמא, לא נפלה טעות המחייבת התערבות ותיקון, באף אחד מן התחומים.</w:t>
      </w:r>
    </w:p>
    <w:p w14:paraId="5BC41181" w14:textId="77777777" w:rsidR="00000000" w:rsidRDefault="00000000">
      <w:pPr>
        <w:pStyle w:val="a9"/>
        <w:spacing w:after="0" w:line="360" w:lineRule="auto"/>
        <w:ind w:left="0"/>
        <w:jc w:val="both"/>
        <w:rPr>
          <w:rtl/>
        </w:rPr>
      </w:pPr>
      <w:r>
        <w:rPr>
          <w:rFonts w:ascii="David" w:hAnsi="David" w:cs="David"/>
          <w:sz w:val="28"/>
          <w:szCs w:val="28"/>
          <w:rtl/>
        </w:rPr>
        <w:t> </w:t>
      </w:r>
    </w:p>
    <w:p w14:paraId="0BE072EF" w14:textId="77777777" w:rsidR="00000000" w:rsidRDefault="00000000">
      <w:pPr>
        <w:pStyle w:val="a9"/>
        <w:spacing w:after="0" w:line="360" w:lineRule="auto"/>
        <w:ind w:left="0"/>
        <w:jc w:val="both"/>
        <w:rPr>
          <w:rtl/>
        </w:rPr>
      </w:pPr>
      <w:r>
        <w:rPr>
          <w:rFonts w:ascii="David" w:hAnsi="David" w:cs="David"/>
          <w:sz w:val="28"/>
          <w:szCs w:val="28"/>
          <w:rtl/>
        </w:rPr>
        <w:t>16.</w:t>
      </w:r>
      <w:r>
        <w:rPr>
          <w:rFonts w:ascii="Times New Roman" w:hAnsi="Times New Roman" w:cs="Times New Roman"/>
          <w:sz w:val="14"/>
          <w:szCs w:val="14"/>
          <w:rtl/>
        </w:rPr>
        <w:t xml:space="preserve">  </w:t>
      </w:r>
      <w:r>
        <w:rPr>
          <w:rFonts w:ascii="David" w:hAnsi="David" w:cs="David"/>
          <w:sz w:val="28"/>
          <w:szCs w:val="28"/>
          <w:rtl/>
        </w:rPr>
        <w:t>'פטור בלא כלום אי אפשר' ולפיכך מוצאת אני להוסיף ולהתייחס למספר סוגיות העולות בערעור.</w:t>
      </w:r>
    </w:p>
    <w:p w14:paraId="3CA5F1F9" w14:textId="77777777" w:rsidR="00000000" w:rsidRDefault="00000000">
      <w:pPr>
        <w:pStyle w:val="a9"/>
        <w:spacing w:after="0" w:line="360" w:lineRule="auto"/>
        <w:ind w:left="0"/>
        <w:jc w:val="both"/>
        <w:rPr>
          <w:rtl/>
        </w:rPr>
      </w:pPr>
      <w:r>
        <w:rPr>
          <w:rFonts w:ascii="David" w:hAnsi="David" w:cs="David"/>
          <w:sz w:val="28"/>
          <w:szCs w:val="28"/>
          <w:rtl/>
        </w:rPr>
        <w:t xml:space="preserve">אפתח בכך שנדמה שבהתנהלות ראויה ומוקפדת של המערער בהבאת הראיות והעלאת הטענות, ניתן היה לייתר את העיסוק וההכרעה הנדרשים בעניין זה הן בערכאה קמא והן בערכאה דנן. מושכלות יסוד הן שצד המבקש להוכיח טענותיו, אמור לעשות כן באופן מיטבי, לטעון ולהביא את מלוא הראיות העומדות לרשותו 'בחבילה אחת', באופן שיאפשר לבית המשפט להתרשם ולהכריע. </w:t>
      </w:r>
    </w:p>
    <w:p w14:paraId="4540AB4F" w14:textId="77777777" w:rsidR="00000000" w:rsidRDefault="00000000">
      <w:pPr>
        <w:pStyle w:val="a9"/>
        <w:spacing w:after="0" w:line="360" w:lineRule="auto"/>
        <w:ind w:left="0"/>
        <w:jc w:val="both"/>
        <w:rPr>
          <w:rtl/>
        </w:rPr>
      </w:pPr>
      <w:r>
        <w:rPr>
          <w:rFonts w:ascii="David" w:hAnsi="David" w:cs="David"/>
          <w:sz w:val="28"/>
          <w:szCs w:val="28"/>
          <w:rtl/>
        </w:rPr>
        <w:t xml:space="preserve">כך במיוחד לגבי טענותיו של המערער בנוגע למסמכים שלא הותרה הגשתם ובקשותיו להביא ראיות נוספות בערעור, בכל הנוגע לתיק התלמיד, חוזר המנכ"ל, הודעות </w:t>
      </w:r>
      <w:proofErr w:type="spellStart"/>
      <w:r>
        <w:rPr>
          <w:rFonts w:ascii="David" w:hAnsi="David" w:cs="David"/>
          <w:sz w:val="28"/>
          <w:szCs w:val="28"/>
        </w:rPr>
        <w:t>sms</w:t>
      </w:r>
      <w:proofErr w:type="spellEnd"/>
      <w:r>
        <w:rPr>
          <w:rFonts w:ascii="David" w:hAnsi="David" w:cs="David"/>
          <w:sz w:val="28"/>
          <w:szCs w:val="28"/>
          <w:rtl/>
        </w:rPr>
        <w:t xml:space="preserve">, וראיון שעבר המערער בנוגע לגמילה. המערער ידע על כל אלה במהלך ההליך ולא נקט בפעולות הנדרשות לצורך בירור והגשת הראיות במועד, אלא עתה לאחר שעמדתו נדחתה בפסק הדין מבקש הוא, בבחינת 'מקצה שיפורים', להגיש את הראיות בערכאת הערעור. </w:t>
      </w:r>
    </w:p>
    <w:p w14:paraId="5CF8C4F9" w14:textId="77777777" w:rsidR="00000000" w:rsidRDefault="00000000">
      <w:pPr>
        <w:pStyle w:val="a9"/>
        <w:spacing w:after="0" w:line="360" w:lineRule="auto"/>
        <w:ind w:left="0"/>
        <w:jc w:val="both"/>
        <w:rPr>
          <w:rtl/>
        </w:rPr>
      </w:pPr>
      <w:r>
        <w:rPr>
          <w:rFonts w:ascii="David" w:hAnsi="David" w:cs="David"/>
          <w:sz w:val="28"/>
          <w:szCs w:val="28"/>
          <w:rtl/>
        </w:rPr>
        <w:t> </w:t>
      </w:r>
    </w:p>
    <w:p w14:paraId="4EA9650A" w14:textId="77777777" w:rsidR="00000000" w:rsidRDefault="00000000">
      <w:pPr>
        <w:pStyle w:val="a9"/>
        <w:spacing w:after="0" w:line="360" w:lineRule="auto"/>
        <w:ind w:left="0"/>
        <w:jc w:val="both"/>
        <w:rPr>
          <w:rtl/>
        </w:rPr>
      </w:pPr>
      <w:r>
        <w:rPr>
          <w:rFonts w:ascii="David" w:hAnsi="David" w:cs="David"/>
          <w:sz w:val="28"/>
          <w:szCs w:val="28"/>
          <w:rtl/>
        </w:rPr>
        <w:t>17.</w:t>
      </w:r>
      <w:r>
        <w:rPr>
          <w:rFonts w:ascii="Times New Roman" w:hAnsi="Times New Roman" w:cs="Times New Roman"/>
          <w:sz w:val="14"/>
          <w:szCs w:val="14"/>
          <w:rtl/>
        </w:rPr>
        <w:t xml:space="preserve">  </w:t>
      </w:r>
      <w:r>
        <w:rPr>
          <w:rFonts w:ascii="David" w:hAnsi="David" w:cs="David"/>
          <w:sz w:val="28"/>
          <w:szCs w:val="28"/>
          <w:rtl/>
        </w:rPr>
        <w:t xml:space="preserve">בהקשר זה, אין אלא להפנות לכלל הבסיסי בדיני סדר הדין האזרחי לפיו בעל דין אינו רשאי להגיש ראיות חדשות בערכאת הערעור, אלא במקרים בהם שוכנע בית המשפט שהן עשויות להשפיע על תוצאות הערעור ושמתקיים אחד משני תנאים חלופיים: לא ניתן היה לאתר את הראיה בשקידה סבירה ולהגישה בערכאה הראשונה או שהגשת הראיה דרושה כדי למנוע עיוות דין, כאשר התנאי לפיו הראיה עשויה להשפיע על תוצאות הערעור הוא תנאי הכרחי אך לא מספיק (ראו: תקנה 144 לתקנות סדר הדין האזרחי וכן ראו ע"א 8263/16 </w:t>
      </w:r>
      <w:r>
        <w:rPr>
          <w:rFonts w:ascii="David" w:hAnsi="David" w:cs="David"/>
          <w:b/>
          <w:bCs/>
          <w:sz w:val="28"/>
          <w:szCs w:val="28"/>
          <w:rtl/>
        </w:rPr>
        <w:t>אור סיטי נדל"ן מקבוצת ענבל אור בע"מ נ' ארז</w:t>
      </w:r>
      <w:r>
        <w:rPr>
          <w:rFonts w:ascii="David" w:hAnsi="David" w:cs="David"/>
          <w:sz w:val="28"/>
          <w:szCs w:val="28"/>
          <w:rtl/>
        </w:rPr>
        <w:t xml:space="preserve"> (19/3/2018), פיסקה 104; ע"א 6435/21 </w:t>
      </w:r>
      <w:r>
        <w:rPr>
          <w:rFonts w:ascii="David" w:hAnsi="David" w:cs="David"/>
          <w:b/>
          <w:bCs/>
          <w:sz w:val="28"/>
          <w:szCs w:val="28"/>
          <w:rtl/>
        </w:rPr>
        <w:t>אליעזר ברזילי נ' עירית חדרה</w:t>
      </w:r>
      <w:r>
        <w:rPr>
          <w:rFonts w:ascii="David" w:hAnsi="David" w:cs="David"/>
          <w:sz w:val="28"/>
          <w:szCs w:val="28"/>
          <w:rtl/>
        </w:rPr>
        <w:t xml:space="preserve"> (1/8/2022)).</w:t>
      </w:r>
    </w:p>
    <w:p w14:paraId="53960FA4" w14:textId="77777777" w:rsidR="00000000" w:rsidRDefault="00000000">
      <w:pPr>
        <w:pStyle w:val="a9"/>
        <w:spacing w:after="0" w:line="360" w:lineRule="auto"/>
        <w:ind w:left="0"/>
        <w:jc w:val="both"/>
        <w:rPr>
          <w:rtl/>
        </w:rPr>
      </w:pPr>
      <w:r>
        <w:rPr>
          <w:rFonts w:ascii="David" w:hAnsi="David" w:cs="David"/>
          <w:sz w:val="28"/>
          <w:szCs w:val="28"/>
          <w:rtl/>
        </w:rPr>
        <w:t xml:space="preserve">בענייננו, גרעין ההכרעה של בית משפט קמא, טמון בקביעה העובדתית והמשפטית המבוססת על שמיעה יסודית ונרחבת של העדויות והכרעה במהימנות העדויות שנשמעו, לפיה מדובר היה באירוע רגעי ובלתי צפוי, מצד תלמיד בחינוך המיוחד אשר התנהגותו, מטבע הדברים, הייתה מאתגרת אך לא אלימה ברמה המאפשרת צפיית האירוע ומכאן שגם לא ניתן היה </w:t>
      </w:r>
      <w:proofErr w:type="spellStart"/>
      <w:r>
        <w:rPr>
          <w:rFonts w:ascii="David" w:hAnsi="David" w:cs="David"/>
          <w:sz w:val="28"/>
          <w:szCs w:val="28"/>
          <w:rtl/>
        </w:rPr>
        <w:t>למונעו</w:t>
      </w:r>
      <w:proofErr w:type="spellEnd"/>
      <w:r>
        <w:rPr>
          <w:rFonts w:ascii="David" w:hAnsi="David" w:cs="David"/>
          <w:sz w:val="28"/>
          <w:szCs w:val="28"/>
          <w:rtl/>
        </w:rPr>
        <w:t xml:space="preserve">. </w:t>
      </w:r>
    </w:p>
    <w:p w14:paraId="3EE2ECB5" w14:textId="77777777" w:rsidR="00000000" w:rsidRDefault="00000000">
      <w:pPr>
        <w:pStyle w:val="a9"/>
        <w:spacing w:after="0" w:line="360" w:lineRule="auto"/>
        <w:ind w:left="0"/>
        <w:jc w:val="both"/>
        <w:rPr>
          <w:rtl/>
        </w:rPr>
      </w:pPr>
      <w:r>
        <w:rPr>
          <w:rFonts w:ascii="David" w:hAnsi="David" w:cs="David"/>
          <w:sz w:val="28"/>
          <w:szCs w:val="28"/>
          <w:rtl/>
        </w:rPr>
        <w:t xml:space="preserve">לא רק שהמערער חדל לגבי כל אחת מן הראיות אותן הוא מבקש להוסיף בשלב זה, </w:t>
      </w:r>
      <w:proofErr w:type="spellStart"/>
      <w:r>
        <w:rPr>
          <w:rFonts w:ascii="David" w:hAnsi="David" w:cs="David"/>
          <w:sz w:val="28"/>
          <w:szCs w:val="28"/>
          <w:rtl/>
        </w:rPr>
        <w:t>מלהגישה</w:t>
      </w:r>
      <w:proofErr w:type="spellEnd"/>
      <w:r>
        <w:rPr>
          <w:rFonts w:ascii="David" w:hAnsi="David" w:cs="David"/>
          <w:sz w:val="28"/>
          <w:szCs w:val="28"/>
          <w:rtl/>
        </w:rPr>
        <w:t xml:space="preserve"> בדרך הראויה בערכאה קמא, אלא שאין באף אחת מהן כדי 'להפוך קערה על פיה'.</w:t>
      </w:r>
    </w:p>
    <w:p w14:paraId="229FA556" w14:textId="77777777" w:rsidR="00000000" w:rsidRDefault="00000000">
      <w:pPr>
        <w:pStyle w:val="a9"/>
        <w:spacing w:after="0" w:line="360" w:lineRule="auto"/>
        <w:ind w:left="0"/>
        <w:jc w:val="both"/>
        <w:rPr>
          <w:rtl/>
        </w:rPr>
      </w:pPr>
      <w:r>
        <w:rPr>
          <w:rFonts w:ascii="David" w:hAnsi="David" w:cs="David"/>
          <w:sz w:val="28"/>
          <w:szCs w:val="28"/>
          <w:rtl/>
        </w:rPr>
        <w:t> </w:t>
      </w:r>
    </w:p>
    <w:p w14:paraId="619695F4" w14:textId="77777777" w:rsidR="00000000" w:rsidRDefault="00000000">
      <w:pPr>
        <w:pStyle w:val="a9"/>
        <w:spacing w:after="0" w:line="360" w:lineRule="auto"/>
        <w:ind w:left="0"/>
        <w:jc w:val="both"/>
        <w:rPr>
          <w:rtl/>
        </w:rPr>
      </w:pPr>
      <w:r>
        <w:rPr>
          <w:rFonts w:ascii="David" w:hAnsi="David" w:cs="David"/>
          <w:sz w:val="28"/>
          <w:szCs w:val="28"/>
          <w:rtl/>
        </w:rPr>
        <w:t>18.</w:t>
      </w:r>
      <w:r>
        <w:rPr>
          <w:rFonts w:ascii="Times New Roman" w:hAnsi="Times New Roman" w:cs="Times New Roman"/>
          <w:sz w:val="14"/>
          <w:szCs w:val="14"/>
          <w:rtl/>
        </w:rPr>
        <w:t xml:space="preserve">  </w:t>
      </w:r>
      <w:r>
        <w:rPr>
          <w:rFonts w:ascii="David" w:hAnsi="David" w:cs="David"/>
          <w:sz w:val="28"/>
          <w:szCs w:val="28"/>
          <w:rtl/>
        </w:rPr>
        <w:t xml:space="preserve">אשר להחלטת בית משפט קמא שלא להתיר את </w:t>
      </w:r>
      <w:r>
        <w:rPr>
          <w:rFonts w:ascii="David" w:hAnsi="David" w:cs="David"/>
          <w:sz w:val="28"/>
          <w:szCs w:val="28"/>
          <w:u w:val="single"/>
          <w:rtl/>
        </w:rPr>
        <w:t>הגשת תיק התלמיד</w:t>
      </w:r>
      <w:r>
        <w:rPr>
          <w:rFonts w:ascii="David" w:hAnsi="David" w:cs="David"/>
          <w:sz w:val="28"/>
          <w:szCs w:val="28"/>
          <w:rtl/>
        </w:rPr>
        <w:t xml:space="preserve"> - הרי שכפי שהכבירו המשיבים בתגובותיהם לערעור, המערער העלה את הבקשה בעניין זה בבית משפט קמא באיחור רב, על אף שהוסבר לו כבר בדיון קדם משפט מתאריך 23/1/2020 כי מדובר במסמך חסוי. המערער פנה לראשונה בבקשה נוספת רק בתאריך 9/2/22, אותה הפנה רק כלפי המשיבים, וכאשר זו נדחתה, ניסה, בדרך לא דרך, בחודש מאי , 2023באמצעות זימון עדה להגיש את התיק. </w:t>
      </w:r>
      <w:proofErr w:type="spellStart"/>
      <w:r>
        <w:rPr>
          <w:rFonts w:ascii="David" w:hAnsi="David" w:cs="David"/>
          <w:sz w:val="28"/>
          <w:szCs w:val="28"/>
          <w:rtl/>
        </w:rPr>
        <w:t>הכל</w:t>
      </w:r>
      <w:proofErr w:type="spellEnd"/>
      <w:r>
        <w:rPr>
          <w:rFonts w:ascii="David" w:hAnsi="David" w:cs="David"/>
          <w:sz w:val="28"/>
          <w:szCs w:val="28"/>
          <w:rtl/>
        </w:rPr>
        <w:t xml:space="preserve"> מבלי שטרח לבקש ולקבל את תגובת התלמיד, שללא קבלת עמדתו לא ניתן לקדם בקשה מסוג זה. בנסיבות אלה, בדין נדחתה הבקשה ואין מקום להתערבות ערכאת הערעור בהחלטות הדיוניות שניתנו בהקשר זה.</w:t>
      </w:r>
    </w:p>
    <w:p w14:paraId="690396F1" w14:textId="77777777" w:rsidR="00000000" w:rsidRDefault="00000000">
      <w:pPr>
        <w:pStyle w:val="a9"/>
        <w:spacing w:after="0" w:line="360" w:lineRule="auto"/>
        <w:ind w:left="0"/>
        <w:jc w:val="both"/>
        <w:rPr>
          <w:rtl/>
        </w:rPr>
      </w:pPr>
      <w:r>
        <w:rPr>
          <w:rFonts w:ascii="David" w:hAnsi="David" w:cs="David"/>
          <w:sz w:val="28"/>
          <w:szCs w:val="28"/>
          <w:rtl/>
        </w:rPr>
        <w:t>גם לגופו של עניין, אין בידי המערער לשכנע כי בתיק האישי של התלמיד יש כדי לשנות, שעה שהמערער עצמו אישר קיומו של אירוע אלימות אחד קודם באותה שנה כלפי תלמיד אחר, כפי שהעידו גם העדים האחרים ושעה שגם לאחר האירוע מושא התביעה לא שונה שיבוצו של התלמיד, דבר שהוכיח את עצמו שכן התלמיד השתקם וסיים לימודיו, כך שלא בשיבוץ התלמיד נפל הכשל. בהינתן אירוע בלתי צפוי ראשון מסוגו כלפי איש סגל, גם אם היה ניתן ללמוד על אירועי אלימות קודמים בשנה קודמת אין בכך כדי לשנות. ראוי להדגיש, שהמנהלת פרטה בתצהירה שבתחילת שנת הלימודים היה התלמיד קצת סוער, כאשר לא היה לכ</w:t>
      </w:r>
      <w:r>
        <w:rPr>
          <w:rFonts w:ascii="David" w:hAnsi="David" w:cs="David"/>
          <w:color w:val="FF0000"/>
          <w:sz w:val="28"/>
          <w:szCs w:val="28"/>
          <w:rtl/>
        </w:rPr>
        <w:t>י</w:t>
      </w:r>
      <w:r>
        <w:rPr>
          <w:rFonts w:ascii="David" w:hAnsi="David" w:cs="David"/>
          <w:sz w:val="28"/>
          <w:szCs w:val="28"/>
          <w:rtl/>
        </w:rPr>
        <w:t xml:space="preserve">תה מחנך וזה השפיע על התלמידים בכלל ועל התלמיד בפרט שהיה רגיש יותר. המצב החמיר בתקופה בה היה המערער מחנך (סעיף 40 לתצהיר). משמע, מצבו של התלמיד נבע מההתרחשויות בתחילת השנה ועברו ההתנהגותי אינו רלוונטי, מה גם שלא הייתה כל אינדיקציה לעבר התנהגותי אלים בכלל וכלפי הצוות בפרט. </w:t>
      </w:r>
    </w:p>
    <w:p w14:paraId="49C28B91" w14:textId="77777777" w:rsidR="00000000" w:rsidRDefault="00000000">
      <w:pPr>
        <w:pStyle w:val="a9"/>
        <w:spacing w:after="0" w:line="360" w:lineRule="auto"/>
        <w:ind w:left="0"/>
        <w:jc w:val="both"/>
        <w:rPr>
          <w:rtl/>
        </w:rPr>
      </w:pPr>
      <w:r>
        <w:rPr>
          <w:rFonts w:ascii="David" w:hAnsi="David" w:cs="David"/>
          <w:sz w:val="28"/>
          <w:szCs w:val="28"/>
          <w:rtl/>
        </w:rPr>
        <w:t> </w:t>
      </w:r>
    </w:p>
    <w:p w14:paraId="477128B8" w14:textId="77777777" w:rsidR="00000000" w:rsidRDefault="00000000">
      <w:pPr>
        <w:pStyle w:val="a9"/>
        <w:spacing w:after="0" w:line="360" w:lineRule="auto"/>
        <w:ind w:left="0"/>
        <w:jc w:val="both"/>
        <w:rPr>
          <w:rtl/>
        </w:rPr>
      </w:pPr>
      <w:r>
        <w:rPr>
          <w:rFonts w:ascii="David" w:hAnsi="David" w:cs="David"/>
          <w:sz w:val="28"/>
          <w:szCs w:val="28"/>
          <w:rtl/>
        </w:rPr>
        <w:t>19.</w:t>
      </w:r>
      <w:r>
        <w:rPr>
          <w:rFonts w:ascii="Times New Roman" w:hAnsi="Times New Roman" w:cs="Times New Roman"/>
          <w:sz w:val="14"/>
          <w:szCs w:val="14"/>
          <w:rtl/>
        </w:rPr>
        <w:t xml:space="preserve">  </w:t>
      </w:r>
      <w:r>
        <w:rPr>
          <w:rFonts w:ascii="David" w:hAnsi="David" w:cs="David"/>
          <w:sz w:val="28"/>
          <w:szCs w:val="28"/>
          <w:rtl/>
        </w:rPr>
        <w:t xml:space="preserve">אשר </w:t>
      </w:r>
      <w:r>
        <w:rPr>
          <w:rFonts w:ascii="David" w:hAnsi="David" w:cs="David"/>
          <w:sz w:val="28"/>
          <w:szCs w:val="28"/>
          <w:u w:val="single"/>
          <w:rtl/>
        </w:rPr>
        <w:t>לחוזר המנכ"ל</w:t>
      </w:r>
      <w:r>
        <w:rPr>
          <w:rFonts w:ascii="David" w:hAnsi="David" w:cs="David"/>
          <w:sz w:val="28"/>
          <w:szCs w:val="28"/>
          <w:rtl/>
        </w:rPr>
        <w:t>, הרי שלא הייתה למערער כל מניעה להגישו במועד, מכל מקום, כפי שעוד יפורט להלן, גם אם נתייחס לתוכנו של חוזר זה, דינה של טענת המערער כי יש לחשב את שכרו כשכר מנהל בית ספר, להידחות.</w:t>
      </w:r>
    </w:p>
    <w:p w14:paraId="5B33FC06" w14:textId="77777777" w:rsidR="00000000" w:rsidRDefault="00000000">
      <w:pPr>
        <w:pStyle w:val="a9"/>
        <w:spacing w:after="0" w:line="360" w:lineRule="auto"/>
        <w:ind w:left="0"/>
        <w:jc w:val="both"/>
        <w:rPr>
          <w:rtl/>
        </w:rPr>
      </w:pPr>
      <w:r>
        <w:rPr>
          <w:rFonts w:ascii="David" w:hAnsi="David" w:cs="David"/>
          <w:sz w:val="28"/>
          <w:szCs w:val="28"/>
          <w:rtl/>
        </w:rPr>
        <w:t> </w:t>
      </w:r>
    </w:p>
    <w:p w14:paraId="74586292" w14:textId="77777777" w:rsidR="00000000" w:rsidRDefault="00000000">
      <w:pPr>
        <w:pStyle w:val="a9"/>
        <w:spacing w:after="0" w:line="360" w:lineRule="auto"/>
        <w:ind w:left="0"/>
        <w:jc w:val="both"/>
        <w:rPr>
          <w:rtl/>
        </w:rPr>
      </w:pPr>
      <w:r>
        <w:rPr>
          <w:rFonts w:ascii="David" w:hAnsi="David" w:cs="David"/>
          <w:sz w:val="28"/>
          <w:szCs w:val="28"/>
          <w:rtl/>
        </w:rPr>
        <w:t>20.</w:t>
      </w:r>
      <w:r>
        <w:rPr>
          <w:rFonts w:ascii="Times New Roman" w:hAnsi="Times New Roman" w:cs="Times New Roman"/>
          <w:sz w:val="14"/>
          <w:szCs w:val="14"/>
          <w:rtl/>
        </w:rPr>
        <w:t xml:space="preserve">  </w:t>
      </w:r>
      <w:r>
        <w:rPr>
          <w:rFonts w:ascii="David" w:hAnsi="David" w:cs="David"/>
          <w:sz w:val="28"/>
          <w:szCs w:val="28"/>
          <w:rtl/>
        </w:rPr>
        <w:t xml:space="preserve">אשר </w:t>
      </w:r>
      <w:r>
        <w:rPr>
          <w:rFonts w:ascii="David" w:hAnsi="David" w:cs="David"/>
          <w:sz w:val="28"/>
          <w:szCs w:val="28"/>
          <w:u w:val="single"/>
          <w:rtl/>
        </w:rPr>
        <w:t xml:space="preserve">להודעות ה- </w:t>
      </w:r>
      <w:proofErr w:type="spellStart"/>
      <w:r>
        <w:rPr>
          <w:rFonts w:ascii="David" w:hAnsi="David" w:cs="David"/>
          <w:sz w:val="28"/>
          <w:szCs w:val="28"/>
          <w:u w:val="single"/>
        </w:rPr>
        <w:t>sms</w:t>
      </w:r>
      <w:proofErr w:type="spellEnd"/>
      <w:r>
        <w:rPr>
          <w:rFonts w:ascii="David" w:hAnsi="David" w:cs="David"/>
          <w:sz w:val="28"/>
          <w:szCs w:val="28"/>
          <w:rtl/>
        </w:rPr>
        <w:t>, אין חולק שאלו היו בידיעתו של המערער, קודם לשמיעת הראיות, המסמך לא גולה בגילוי מסמכים, לא צורף למוצגיו, לא עלה בתצהירו או בעדותו והוא ביקש לראשונה לעשות בו שימוש בעת עדויות עדי המדינה</w:t>
      </w:r>
      <w:r>
        <w:rPr>
          <w:rFonts w:ascii="David" w:hAnsi="David" w:cs="David"/>
          <w:b/>
          <w:bCs/>
          <w:sz w:val="28"/>
          <w:szCs w:val="28"/>
          <w:rtl/>
        </w:rPr>
        <w:t>.</w:t>
      </w:r>
      <w:r>
        <w:rPr>
          <w:rFonts w:ascii="David" w:hAnsi="David" w:cs="David"/>
          <w:sz w:val="28"/>
          <w:szCs w:val="28"/>
          <w:rtl/>
        </w:rPr>
        <w:t xml:space="preserve"> בדין נדחה ניסיון זה (ראו החלטת בית משפט קמא בפרוטוקול הדיון מתאריך 31/5/23, עמ' 156 שורה 34). מעבר לצורך, אציין כי עיינתי במסמך ואין בו משום טענה מהותית שיש בה כדי לשנות, המערער מבקש להסתמך על חלקי משפטים, שאין בהם כדי לסתור את מכלול העדויות שנשמעו. </w:t>
      </w:r>
    </w:p>
    <w:p w14:paraId="7DCA668F" w14:textId="77777777" w:rsidR="00000000" w:rsidRDefault="00000000">
      <w:pPr>
        <w:pStyle w:val="a9"/>
        <w:spacing w:after="0" w:line="360" w:lineRule="auto"/>
        <w:ind w:left="0"/>
        <w:jc w:val="both"/>
        <w:rPr>
          <w:rtl/>
        </w:rPr>
      </w:pPr>
      <w:r>
        <w:rPr>
          <w:rFonts w:ascii="David" w:hAnsi="David" w:cs="David"/>
          <w:sz w:val="28"/>
          <w:szCs w:val="28"/>
          <w:rtl/>
        </w:rPr>
        <w:t> </w:t>
      </w:r>
    </w:p>
    <w:p w14:paraId="58CD6EF7" w14:textId="77777777" w:rsidR="00000000" w:rsidRDefault="00000000">
      <w:pPr>
        <w:pStyle w:val="a9"/>
        <w:spacing w:after="0" w:line="360" w:lineRule="auto"/>
        <w:ind w:left="0"/>
        <w:jc w:val="both"/>
        <w:rPr>
          <w:rtl/>
        </w:rPr>
      </w:pPr>
      <w:r>
        <w:rPr>
          <w:rFonts w:ascii="David" w:hAnsi="David" w:cs="David"/>
          <w:sz w:val="28"/>
          <w:szCs w:val="28"/>
          <w:rtl/>
        </w:rPr>
        <w:t>21.</w:t>
      </w:r>
      <w:r>
        <w:rPr>
          <w:rFonts w:ascii="Times New Roman" w:hAnsi="Times New Roman" w:cs="Times New Roman"/>
          <w:sz w:val="14"/>
          <w:szCs w:val="14"/>
          <w:rtl/>
        </w:rPr>
        <w:t xml:space="preserve">  </w:t>
      </w:r>
      <w:r>
        <w:rPr>
          <w:rFonts w:ascii="David" w:hAnsi="David" w:cs="David"/>
          <w:sz w:val="28"/>
          <w:szCs w:val="28"/>
          <w:rtl/>
        </w:rPr>
        <w:t xml:space="preserve">אשר </w:t>
      </w:r>
      <w:r>
        <w:rPr>
          <w:rFonts w:ascii="David" w:hAnsi="David" w:cs="David"/>
          <w:sz w:val="28"/>
          <w:szCs w:val="28"/>
          <w:u w:val="single"/>
          <w:rtl/>
        </w:rPr>
        <w:t>לראיון הגמילה שעבר המערער</w:t>
      </w:r>
      <w:r>
        <w:rPr>
          <w:rFonts w:ascii="David" w:hAnsi="David" w:cs="David"/>
          <w:sz w:val="28"/>
          <w:szCs w:val="28"/>
          <w:rtl/>
        </w:rPr>
        <w:t>, לטענתו לאחר עדותו, הרי כפי שטוענים המשיבים, לו סבר המערער שהוא אינו כשיר להעיד, היה צריך להעלות זאת במועד. יתירה מזו, הריאיון נעשה סמוך לאחר העדות בעוד המשפט מתנהל ולא הייתה מלפניו כל מניעה לבקש להגישו. מכל מקום, קביעות בית משפט קמא בנוגע למהות האירוע, מתחייבות גם מדברי המערער עצמו בנוגע לאירוע, אינן נוגעות למהימנות עדותו והן יוצאות מתוך הנחה שהמערער תאר את האירוע נכוחה.</w:t>
      </w:r>
    </w:p>
    <w:p w14:paraId="5C26CCAD" w14:textId="77777777" w:rsidR="00000000" w:rsidRDefault="00000000">
      <w:pPr>
        <w:pStyle w:val="a9"/>
        <w:spacing w:after="0" w:line="360" w:lineRule="auto"/>
        <w:ind w:left="0"/>
        <w:jc w:val="both"/>
        <w:rPr>
          <w:rtl/>
        </w:rPr>
      </w:pPr>
      <w:r>
        <w:rPr>
          <w:rFonts w:ascii="David" w:hAnsi="David" w:cs="David"/>
          <w:sz w:val="28"/>
          <w:szCs w:val="28"/>
          <w:rtl/>
        </w:rPr>
        <w:t> </w:t>
      </w:r>
    </w:p>
    <w:p w14:paraId="5786E59C" w14:textId="77777777" w:rsidR="00000000" w:rsidRDefault="00000000">
      <w:pPr>
        <w:pStyle w:val="a9"/>
        <w:spacing w:after="0" w:line="360" w:lineRule="auto"/>
        <w:ind w:left="0"/>
        <w:jc w:val="both"/>
        <w:rPr>
          <w:rtl/>
        </w:rPr>
      </w:pPr>
      <w:r>
        <w:rPr>
          <w:rFonts w:ascii="David" w:hAnsi="David" w:cs="David"/>
          <w:sz w:val="28"/>
          <w:szCs w:val="28"/>
          <w:rtl/>
        </w:rPr>
        <w:t>22.</w:t>
      </w:r>
      <w:r>
        <w:rPr>
          <w:rFonts w:ascii="Times New Roman" w:hAnsi="Times New Roman" w:cs="Times New Roman"/>
          <w:sz w:val="14"/>
          <w:szCs w:val="14"/>
          <w:rtl/>
        </w:rPr>
        <w:t xml:space="preserve">  </w:t>
      </w:r>
      <w:r>
        <w:rPr>
          <w:rFonts w:ascii="David" w:hAnsi="David" w:cs="David"/>
          <w:sz w:val="28"/>
          <w:szCs w:val="28"/>
          <w:rtl/>
        </w:rPr>
        <w:t>העולה מן המקובץ - אין כל מקום להתערב בהחלטות הדיוניות של בית משפט קמא בנוגע לראיות שביקש המערער להגיש ונדחה ואין לקבל ראיות נוספות במסגרת הדיון בערעור.</w:t>
      </w:r>
    </w:p>
    <w:p w14:paraId="6D236690" w14:textId="77777777" w:rsidR="00000000" w:rsidRDefault="00000000">
      <w:pPr>
        <w:pStyle w:val="a9"/>
        <w:spacing w:after="0" w:line="360" w:lineRule="auto"/>
        <w:ind w:left="0"/>
        <w:jc w:val="both"/>
        <w:rPr>
          <w:rtl/>
        </w:rPr>
      </w:pPr>
      <w:r>
        <w:rPr>
          <w:rFonts w:ascii="David" w:hAnsi="David" w:cs="David"/>
          <w:sz w:val="28"/>
          <w:szCs w:val="28"/>
          <w:rtl/>
        </w:rPr>
        <w:t> </w:t>
      </w:r>
    </w:p>
    <w:p w14:paraId="02229ACD" w14:textId="77777777" w:rsidR="00000000" w:rsidRDefault="00000000">
      <w:pPr>
        <w:pStyle w:val="a9"/>
        <w:spacing w:after="0" w:line="360" w:lineRule="auto"/>
        <w:ind w:left="0"/>
        <w:jc w:val="both"/>
        <w:rPr>
          <w:rtl/>
        </w:rPr>
      </w:pPr>
      <w:r>
        <w:rPr>
          <w:rFonts w:ascii="David" w:hAnsi="David" w:cs="David"/>
          <w:sz w:val="28"/>
          <w:szCs w:val="28"/>
          <w:rtl/>
        </w:rPr>
        <w:t>23.</w:t>
      </w:r>
      <w:r>
        <w:rPr>
          <w:rFonts w:ascii="Times New Roman" w:hAnsi="Times New Roman" w:cs="Times New Roman"/>
          <w:sz w:val="14"/>
          <w:szCs w:val="14"/>
          <w:rtl/>
        </w:rPr>
        <w:t xml:space="preserve">  </w:t>
      </w:r>
      <w:r>
        <w:rPr>
          <w:rFonts w:ascii="David" w:hAnsi="David" w:cs="David"/>
          <w:sz w:val="28"/>
          <w:szCs w:val="28"/>
          <w:rtl/>
        </w:rPr>
        <w:t xml:space="preserve">ראוי עוד להתייחס לשגגה שנפלה בפסק הדין בקביעה שהתלמיד היה תלמיד שנה ראשונה בבית הספר ולא כך הוא. אכן ניכר שבית משפט קמא שגה בפרשנות תצהיר המנהלת בהקשר זה ואולם לא קביעה עובדתית זו עומדת בבסיס פסק הדין. כפי שעלה מן הראיות שהובאו בפירוט רב בפסק הדין, לאחר תחילת שנת הלימודים חלה התדרדרות בהתנהגותו של התלמיד שהחמירה בשבוע שלפני האירוע, בין היתר על רקע הנסיבות שהתהוו לאחר תחילת השנה, בכללן העדר מחנך והעדר תמיכה מספקת בתלמיד. שיאה של התדרדרות זו באירוע כלפי המערער ובאירוע אלימות נוסף, אירועים שלא ניתן היה לצפות ולמנוע. </w:t>
      </w:r>
    </w:p>
    <w:p w14:paraId="049960F3" w14:textId="77777777" w:rsidR="00000000" w:rsidRDefault="00000000">
      <w:pPr>
        <w:pStyle w:val="a9"/>
        <w:spacing w:after="0" w:line="360" w:lineRule="auto"/>
        <w:ind w:left="0"/>
        <w:jc w:val="both"/>
        <w:rPr>
          <w:rtl/>
        </w:rPr>
      </w:pPr>
      <w:r>
        <w:rPr>
          <w:rFonts w:ascii="David" w:hAnsi="David" w:cs="David"/>
          <w:sz w:val="28"/>
          <w:szCs w:val="28"/>
          <w:rtl/>
        </w:rPr>
        <w:t xml:space="preserve">בהקשר זה מדבר בעד עצמו המכתב שיצא לאחר האירוע מתאריך 11/11/15, בו מתוארת ההחמרה בהתנהגות התלמיד, דהיינו לא מדובר במצב שהיה קודם לכן. המערער מפנה לחליפת התכתבויות במייל, המלמדת לכאורה על דיון קודם במצבו של התלמיד ואולם כפי שנקבע, האותנטיות של המיילים שהוגשו מוטלת בספק (ראו סעיף 10 לתשובות המשיבות 1-2) ועיקר האמור בהם מתייחס למצב לאחר האירוע. </w:t>
      </w:r>
    </w:p>
    <w:p w14:paraId="0B28FFC8" w14:textId="77777777" w:rsidR="00000000" w:rsidRDefault="00000000">
      <w:pPr>
        <w:pStyle w:val="a9"/>
        <w:spacing w:after="0" w:line="360" w:lineRule="auto"/>
        <w:ind w:left="0"/>
        <w:jc w:val="both"/>
        <w:rPr>
          <w:rtl/>
        </w:rPr>
      </w:pPr>
      <w:r>
        <w:rPr>
          <w:rFonts w:ascii="David" w:hAnsi="David" w:cs="David"/>
          <w:sz w:val="28"/>
          <w:szCs w:val="28"/>
          <w:rtl/>
        </w:rPr>
        <w:t>לענייננו חשוב, שהשגגה שנפלה אינה יכולה לשנות את מהותו של האירוע, ומשכך הרי שאין בה כדי להצדיק התערבות בפסק הדין.</w:t>
      </w:r>
    </w:p>
    <w:p w14:paraId="3EE95A4A" w14:textId="77777777" w:rsidR="00000000" w:rsidRDefault="00000000">
      <w:pPr>
        <w:pStyle w:val="a9"/>
        <w:spacing w:after="0" w:line="360" w:lineRule="auto"/>
        <w:ind w:left="0"/>
        <w:jc w:val="both"/>
        <w:rPr>
          <w:rtl/>
        </w:rPr>
      </w:pPr>
      <w:r>
        <w:rPr>
          <w:rFonts w:ascii="David" w:hAnsi="David" w:cs="David"/>
          <w:sz w:val="28"/>
          <w:szCs w:val="28"/>
        </w:rPr>
        <w:t> </w:t>
      </w:r>
    </w:p>
    <w:p w14:paraId="19398DC6" w14:textId="77777777" w:rsidR="00000000" w:rsidRDefault="00000000">
      <w:pPr>
        <w:pStyle w:val="a9"/>
        <w:spacing w:after="0" w:line="360" w:lineRule="auto"/>
        <w:ind w:left="0"/>
        <w:jc w:val="both"/>
        <w:rPr>
          <w:rtl/>
        </w:rPr>
      </w:pPr>
      <w:r>
        <w:rPr>
          <w:rFonts w:ascii="David" w:hAnsi="David" w:cs="David"/>
          <w:sz w:val="28"/>
          <w:szCs w:val="28"/>
          <w:rtl/>
        </w:rPr>
        <w:t>24.</w:t>
      </w:r>
      <w:r>
        <w:rPr>
          <w:rFonts w:ascii="Times New Roman" w:hAnsi="Times New Roman" w:cs="Times New Roman"/>
          <w:sz w:val="14"/>
          <w:szCs w:val="14"/>
          <w:rtl/>
        </w:rPr>
        <w:t xml:space="preserve">  </w:t>
      </w:r>
      <w:r>
        <w:rPr>
          <w:rFonts w:ascii="David" w:hAnsi="David" w:cs="David"/>
          <w:sz w:val="28"/>
          <w:szCs w:val="28"/>
          <w:rtl/>
        </w:rPr>
        <w:t xml:space="preserve">אינני רואה צורך להכביר מילים על קביעות המהימנות הברורות והערכת העדויות, בהן לא תתערב מטבע הדברים ערכאת הערעור, כמו גם על יתר הקביעות המפורטות בפסק הדין, אותן אציע לאמץ כלשונן. </w:t>
      </w:r>
    </w:p>
    <w:p w14:paraId="50009D0D" w14:textId="77777777" w:rsidR="00000000" w:rsidRDefault="00000000">
      <w:pPr>
        <w:pStyle w:val="a9"/>
        <w:spacing w:after="0" w:line="360" w:lineRule="auto"/>
        <w:ind w:left="0"/>
        <w:jc w:val="both"/>
        <w:rPr>
          <w:rtl/>
        </w:rPr>
      </w:pPr>
      <w:r>
        <w:rPr>
          <w:rFonts w:ascii="David" w:hAnsi="David" w:cs="David"/>
          <w:sz w:val="28"/>
          <w:szCs w:val="28"/>
          <w:rtl/>
        </w:rPr>
        <w:t xml:space="preserve">לענייננו חשוב, שהאירוע עצמו כפי שגם המערער הגדיר אותו וכפי שעלה מכל העדויות שנשמעו היה אירוע רגעי, בלתי צפוי, שהאחריות בגינו מוטלת על התלמיד התוקף, כאשר בנסיבות שהתבררו אכן אין מקום להטיל אחריות על הגורמים הנוספים שנתבעו. נדגיש שהמערער נטל על עצמו את תפקיד המחנך בכתת חינוך מיוחד בה היו תלמידים מועטים בלבד, הוא הצהיר על יכולתו להתמודד עם התפקיד ולבצעו, הלכה למעשה, הוא מונע הנזק הטוב ביותר והוא זה שהיה אמון על הכלת התלמיד והתמודדות עמו. </w:t>
      </w:r>
    </w:p>
    <w:p w14:paraId="4295D76F" w14:textId="77777777" w:rsidR="00000000" w:rsidRDefault="00000000">
      <w:pPr>
        <w:pStyle w:val="a9"/>
        <w:spacing w:after="0" w:line="360" w:lineRule="auto"/>
        <w:ind w:left="0"/>
        <w:jc w:val="both"/>
        <w:rPr>
          <w:rtl/>
        </w:rPr>
      </w:pPr>
      <w:r>
        <w:rPr>
          <w:rFonts w:ascii="David" w:hAnsi="David" w:cs="David"/>
          <w:sz w:val="28"/>
          <w:szCs w:val="28"/>
          <w:rtl/>
        </w:rPr>
        <w:t> </w:t>
      </w:r>
    </w:p>
    <w:p w14:paraId="0976A3C1" w14:textId="77777777" w:rsidR="00000000" w:rsidRDefault="00000000">
      <w:pPr>
        <w:pStyle w:val="a9"/>
        <w:spacing w:after="0" w:line="360" w:lineRule="auto"/>
        <w:ind w:left="0"/>
        <w:jc w:val="both"/>
        <w:rPr>
          <w:rtl/>
        </w:rPr>
      </w:pPr>
      <w:r>
        <w:rPr>
          <w:rFonts w:ascii="David" w:hAnsi="David" w:cs="David"/>
          <w:sz w:val="28"/>
          <w:szCs w:val="28"/>
          <w:rtl/>
        </w:rPr>
        <w:t xml:space="preserve">בתי המשפט קבעו לא פעם, שכאשר מתרחשת פגיעה בין כותלי בית ספר מאירוע בלתי צפוי, לא קמה אחריות, מלבד אחריות התוקף. בהקשר זה ראו לדוגמא ע"א 868/79 </w:t>
      </w:r>
      <w:r>
        <w:rPr>
          <w:rFonts w:ascii="David" w:hAnsi="David" w:cs="David"/>
          <w:b/>
          <w:bCs/>
          <w:sz w:val="28"/>
          <w:szCs w:val="28"/>
          <w:rtl/>
        </w:rPr>
        <w:t xml:space="preserve">עטרה קובי נ' שפרה זיו </w:t>
      </w:r>
      <w:r>
        <w:rPr>
          <w:rFonts w:ascii="David" w:hAnsi="David" w:cs="David"/>
          <w:sz w:val="28"/>
          <w:szCs w:val="28"/>
          <w:rtl/>
        </w:rPr>
        <w:t xml:space="preserve">(14/12/81), שם נדחתה תביעה כנגד מנהלת בית ספר, משרד החינוך ועיריית ירושלים, אשר הגישה עוזרת טיפולית בבית ספר לתלמידים קשיי חינוך, שנפגעה מכיסא שנזרק עליה על ידי תלמיד. מדובר היה בתלמיד מאתגר, ובסייעת שנכנסה לכיתה לבדה בזמן העדרה של המחנכת. בית המשפט מתייחס לזה שהמערערת שם נכנסה לכיתה מרצונה וכן מתייחס לייחודם של הילדים, </w:t>
      </w:r>
      <w:proofErr w:type="spellStart"/>
      <w:r>
        <w:rPr>
          <w:rFonts w:ascii="David" w:hAnsi="David" w:cs="David"/>
          <w:sz w:val="28"/>
          <w:szCs w:val="28"/>
          <w:rtl/>
        </w:rPr>
        <w:t>ןבסופו</w:t>
      </w:r>
      <w:proofErr w:type="spellEnd"/>
      <w:r>
        <w:rPr>
          <w:rFonts w:ascii="David" w:hAnsi="David" w:cs="David"/>
          <w:sz w:val="28"/>
          <w:szCs w:val="28"/>
          <w:rtl/>
        </w:rPr>
        <w:t xml:space="preserve"> של דבר קובע כי לא הוכח שיש לייחס רשלנות למשיבות בקשר לתקרית. וראו גם ע"א 2191/08 </w:t>
      </w:r>
      <w:r>
        <w:rPr>
          <w:rFonts w:ascii="David" w:hAnsi="David" w:cs="David"/>
          <w:b/>
          <w:bCs/>
          <w:sz w:val="28"/>
          <w:szCs w:val="28"/>
          <w:rtl/>
        </w:rPr>
        <w:t>אשר יצחק נ' משרד החינוך</w:t>
      </w:r>
      <w:r>
        <w:rPr>
          <w:rFonts w:ascii="David" w:hAnsi="David" w:cs="David"/>
          <w:sz w:val="28"/>
          <w:szCs w:val="28"/>
          <w:rtl/>
        </w:rPr>
        <w:t xml:space="preserve"> (15/7/2008), שם תלמיד יידה אבן לעבר תלמיד אחר בשיעור חינוך גופני, בית המשפט שם התייחס לכך שמדובר במקרה שלא ניתן היה לצפותו וגם אם מדובר היה בילד שהיה אלים באירוע אחד או שניים, אין משמעות הדבר שצריך לנדותו או להוציאו מבית הספר. הדברים הם בבחינת קל וחומר, כאשר מדובר בתלמיד בחינוך המיוחד, בתחילת שנת לימודים, כאשר המעשה לא היה צפוי.</w:t>
      </w:r>
    </w:p>
    <w:p w14:paraId="2774E234" w14:textId="77777777" w:rsidR="00000000" w:rsidRDefault="00000000">
      <w:pPr>
        <w:pStyle w:val="a9"/>
        <w:spacing w:after="0" w:line="360" w:lineRule="auto"/>
        <w:ind w:left="0"/>
        <w:jc w:val="both"/>
        <w:rPr>
          <w:rtl/>
        </w:rPr>
      </w:pPr>
      <w:r>
        <w:rPr>
          <w:rFonts w:ascii="David" w:hAnsi="David" w:cs="David"/>
          <w:sz w:val="28"/>
          <w:szCs w:val="28"/>
          <w:rtl/>
        </w:rPr>
        <w:t> </w:t>
      </w:r>
    </w:p>
    <w:p w14:paraId="4A16BC7B" w14:textId="77777777" w:rsidR="00000000" w:rsidRDefault="00000000">
      <w:pPr>
        <w:pStyle w:val="a9"/>
        <w:spacing w:after="0" w:line="360" w:lineRule="auto"/>
        <w:ind w:left="0"/>
        <w:jc w:val="both"/>
        <w:rPr>
          <w:rtl/>
        </w:rPr>
      </w:pPr>
      <w:r>
        <w:rPr>
          <w:rFonts w:ascii="David" w:hAnsi="David" w:cs="David"/>
          <w:sz w:val="28"/>
          <w:szCs w:val="28"/>
          <w:rtl/>
        </w:rPr>
        <w:t xml:space="preserve">אכן, לא כל אירוע בו נגרם נזק מהווה אירוע המקים אחריות, בפרט כאשר מדובר באחריות של גורמים הנמצאים במעגל השני כבענייננו. כפי שפסק השופט עמית (כתוארו אז) - </w:t>
      </w:r>
    </w:p>
    <w:p w14:paraId="6549A17C" w14:textId="77777777" w:rsidR="00000000" w:rsidRDefault="00000000">
      <w:pPr>
        <w:pStyle w:val="a9"/>
        <w:spacing w:after="0" w:line="360" w:lineRule="auto"/>
        <w:ind w:left="0"/>
        <w:jc w:val="both"/>
        <w:rPr>
          <w:rtl/>
        </w:rPr>
      </w:pPr>
      <w:r>
        <w:rPr>
          <w:rFonts w:ascii="David" w:hAnsi="David" w:cs="David"/>
          <w:sz w:val="28"/>
          <w:szCs w:val="28"/>
          <w:rtl/>
        </w:rPr>
        <w:t>"</w:t>
      </w:r>
      <w:r>
        <w:rPr>
          <w:rFonts w:ascii="David" w:hAnsi="David" w:cs="David"/>
          <w:b/>
          <w:bCs/>
          <w:sz w:val="28"/>
          <w:szCs w:val="28"/>
          <w:rtl/>
        </w:rPr>
        <w:t>ליבנו עם המערער שחש כי נעשה לו עוול. ברי כי נגרמו למערער נזקים... אולם כפי שנאמר לא אחת, ענייננו בתביעת רשלנות ולא לכל נזק יש הורים ושם במשפט</w:t>
      </w:r>
      <w:r>
        <w:rPr>
          <w:rFonts w:ascii="David" w:hAnsi="David" w:cs="David"/>
          <w:sz w:val="28"/>
          <w:szCs w:val="28"/>
          <w:rtl/>
        </w:rPr>
        <w:t xml:space="preserve">" (ע"א 8209/19 </w:t>
      </w:r>
      <w:r>
        <w:rPr>
          <w:rFonts w:ascii="David" w:hAnsi="David" w:cs="David"/>
          <w:b/>
          <w:bCs/>
          <w:sz w:val="28"/>
          <w:szCs w:val="28"/>
          <w:rtl/>
        </w:rPr>
        <w:t xml:space="preserve">ד"ר רוברט </w:t>
      </w:r>
      <w:proofErr w:type="spellStart"/>
      <w:r>
        <w:rPr>
          <w:rFonts w:ascii="David" w:hAnsi="David" w:cs="David"/>
          <w:b/>
          <w:bCs/>
          <w:sz w:val="28"/>
          <w:szCs w:val="28"/>
          <w:rtl/>
        </w:rPr>
        <w:t>דויטש</w:t>
      </w:r>
      <w:proofErr w:type="spellEnd"/>
      <w:r>
        <w:rPr>
          <w:rFonts w:ascii="David" w:hAnsi="David" w:cs="David"/>
          <w:b/>
          <w:bCs/>
          <w:sz w:val="28"/>
          <w:szCs w:val="28"/>
          <w:rtl/>
        </w:rPr>
        <w:t xml:space="preserve"> נ' מדינת ישראל </w:t>
      </w:r>
      <w:r>
        <w:rPr>
          <w:rFonts w:ascii="David" w:hAnsi="David" w:cs="David"/>
          <w:sz w:val="28"/>
          <w:szCs w:val="28"/>
          <w:rtl/>
        </w:rPr>
        <w:t xml:space="preserve">(1/7/21)). </w:t>
      </w:r>
    </w:p>
    <w:p w14:paraId="54C4F3FA" w14:textId="77777777" w:rsidR="00000000" w:rsidRDefault="00000000">
      <w:pPr>
        <w:pStyle w:val="a9"/>
        <w:spacing w:after="0" w:line="360" w:lineRule="auto"/>
        <w:ind w:left="0"/>
        <w:jc w:val="both"/>
        <w:rPr>
          <w:rtl/>
        </w:rPr>
      </w:pPr>
      <w:r>
        <w:rPr>
          <w:rFonts w:ascii="David" w:hAnsi="David" w:cs="David"/>
          <w:sz w:val="28"/>
          <w:szCs w:val="28"/>
          <w:rtl/>
        </w:rPr>
        <w:t>בענייננו, מלבד האחריות שהוטלה על התלמיד, מדובר באירוע המהווה תאונת עבודה ואכן המערער מקבל תגמולים לא מבוטלים ואף עבר הליך שיקום מטעם המוסד לביטוח לאומי</w:t>
      </w:r>
      <w:r>
        <w:rPr>
          <w:rFonts w:ascii="David" w:hAnsi="David" w:cs="David"/>
          <w:color w:val="FF0000"/>
          <w:sz w:val="28"/>
          <w:szCs w:val="28"/>
          <w:rtl/>
        </w:rPr>
        <w:t>,</w:t>
      </w:r>
      <w:r>
        <w:rPr>
          <w:rFonts w:ascii="David" w:hAnsi="David" w:cs="David"/>
          <w:sz w:val="28"/>
          <w:szCs w:val="28"/>
          <w:rtl/>
        </w:rPr>
        <w:t xml:space="preserve"> בגדרו השלים לימודי משפטים, כך שלא נותר בלא כל פיצוי. כמו כן, בידו של המערער למצות את ההליכים במוסד לביטוח לאומי, דבר שטרם נעשה. </w:t>
      </w:r>
    </w:p>
    <w:p w14:paraId="22D0A72C" w14:textId="77777777" w:rsidR="00000000" w:rsidRDefault="00000000">
      <w:pPr>
        <w:pStyle w:val="a9"/>
        <w:spacing w:after="0" w:line="360" w:lineRule="auto"/>
        <w:ind w:left="0"/>
        <w:jc w:val="both"/>
        <w:rPr>
          <w:rtl/>
        </w:rPr>
      </w:pPr>
      <w:r>
        <w:rPr>
          <w:rFonts w:ascii="David" w:hAnsi="David" w:cs="David"/>
          <w:sz w:val="28"/>
          <w:szCs w:val="28"/>
          <w:rtl/>
        </w:rPr>
        <w:t> </w:t>
      </w:r>
    </w:p>
    <w:p w14:paraId="39AA054C" w14:textId="77777777" w:rsidR="00000000" w:rsidRDefault="00000000">
      <w:pPr>
        <w:pStyle w:val="a9"/>
        <w:spacing w:after="0" w:line="360" w:lineRule="auto"/>
        <w:ind w:left="0"/>
        <w:jc w:val="both"/>
        <w:rPr>
          <w:rtl/>
        </w:rPr>
      </w:pPr>
      <w:r>
        <w:rPr>
          <w:rFonts w:ascii="David" w:hAnsi="David" w:cs="David"/>
          <w:sz w:val="28"/>
          <w:szCs w:val="28"/>
          <w:rtl/>
        </w:rPr>
        <w:t>25.</w:t>
      </w:r>
      <w:r>
        <w:rPr>
          <w:rFonts w:ascii="Times New Roman" w:hAnsi="Times New Roman" w:cs="Times New Roman"/>
          <w:sz w:val="14"/>
          <w:szCs w:val="14"/>
          <w:rtl/>
        </w:rPr>
        <w:t xml:space="preserve">  </w:t>
      </w:r>
      <w:r>
        <w:rPr>
          <w:rFonts w:ascii="David" w:hAnsi="David" w:cs="David"/>
          <w:sz w:val="28"/>
          <w:szCs w:val="28"/>
          <w:rtl/>
        </w:rPr>
        <w:t xml:space="preserve">אשר לנזק, נדמה שאין צורך להרחיב. על פי הנוהג ערכאת הערעור אינה נדרשת לבחון את כל אחד מרכיבי הנזק, ונדרשת להתערב אך מקום בו מתגלה טעות ממשית ובולטת (ע"א 7157/07 </w:t>
      </w:r>
      <w:r>
        <w:rPr>
          <w:rFonts w:ascii="David" w:hAnsi="David" w:cs="David"/>
          <w:b/>
          <w:bCs/>
          <w:sz w:val="28"/>
          <w:szCs w:val="28"/>
          <w:rtl/>
        </w:rPr>
        <w:t xml:space="preserve">אי. איי. </w:t>
      </w:r>
      <w:proofErr w:type="spellStart"/>
      <w:r>
        <w:rPr>
          <w:rFonts w:ascii="David" w:hAnsi="David" w:cs="David"/>
          <w:b/>
          <w:bCs/>
          <w:sz w:val="28"/>
          <w:szCs w:val="28"/>
          <w:rtl/>
        </w:rPr>
        <w:t>גי</w:t>
      </w:r>
      <w:proofErr w:type="spellEnd"/>
      <w:r>
        <w:rPr>
          <w:rFonts w:ascii="David" w:hAnsi="David" w:cs="David"/>
          <w:b/>
          <w:bCs/>
          <w:sz w:val="28"/>
          <w:szCs w:val="28"/>
          <w:rtl/>
        </w:rPr>
        <w:t>. ביטוח זהב בע"מ נ' עזבון המנוח מ.א ז"ל</w:t>
      </w:r>
      <w:r>
        <w:rPr>
          <w:rFonts w:ascii="David" w:hAnsi="David" w:cs="David"/>
          <w:sz w:val="28"/>
          <w:szCs w:val="28"/>
          <w:rtl/>
        </w:rPr>
        <w:t xml:space="preserve"> (17.3.2008); </w:t>
      </w:r>
      <w:r>
        <w:rPr>
          <w:rFonts w:ascii="David" w:hAnsi="David" w:cs="David"/>
          <w:b/>
          <w:bCs/>
          <w:sz w:val="28"/>
          <w:szCs w:val="28"/>
          <w:rtl/>
        </w:rPr>
        <w:t>ע"א 741/10 כהן נ' צים חברת השיט הישראלית בע"מ, פסקאות 9-8</w:t>
      </w:r>
      <w:r>
        <w:rPr>
          <w:rFonts w:ascii="David" w:hAnsi="David" w:cs="David"/>
          <w:sz w:val="28"/>
          <w:szCs w:val="28"/>
          <w:rtl/>
        </w:rPr>
        <w:t xml:space="preserve"> (12.10.2010)); ע"א 6671/19 </w:t>
      </w:r>
      <w:r>
        <w:rPr>
          <w:rFonts w:ascii="David" w:hAnsi="David" w:cs="David"/>
          <w:b/>
          <w:bCs/>
          <w:sz w:val="28"/>
          <w:szCs w:val="28"/>
          <w:rtl/>
        </w:rPr>
        <w:t>פלונית נ' הפניקס</w:t>
      </w:r>
      <w:r>
        <w:rPr>
          <w:rFonts w:ascii="David" w:hAnsi="David" w:cs="David"/>
          <w:sz w:val="28"/>
          <w:szCs w:val="28"/>
          <w:rtl/>
        </w:rPr>
        <w:t xml:space="preserve"> (20.5.2021)).</w:t>
      </w:r>
    </w:p>
    <w:p w14:paraId="4A9A04EF" w14:textId="77777777" w:rsidR="00000000" w:rsidRDefault="00000000">
      <w:pPr>
        <w:pStyle w:val="a9"/>
        <w:spacing w:after="0" w:line="360" w:lineRule="auto"/>
        <w:ind w:left="0"/>
        <w:jc w:val="both"/>
        <w:rPr>
          <w:rtl/>
        </w:rPr>
      </w:pPr>
      <w:r>
        <w:rPr>
          <w:rFonts w:ascii="David" w:hAnsi="David" w:cs="David"/>
          <w:sz w:val="28"/>
          <w:szCs w:val="28"/>
        </w:rPr>
        <w:t> </w:t>
      </w:r>
    </w:p>
    <w:p w14:paraId="11BC13E0" w14:textId="77777777" w:rsidR="00000000" w:rsidRDefault="00000000">
      <w:pPr>
        <w:pStyle w:val="a9"/>
        <w:spacing w:after="0" w:line="360" w:lineRule="auto"/>
        <w:ind w:left="0"/>
        <w:jc w:val="both"/>
        <w:rPr>
          <w:rtl/>
        </w:rPr>
      </w:pPr>
      <w:r>
        <w:rPr>
          <w:rFonts w:ascii="David" w:hAnsi="David" w:cs="David"/>
          <w:sz w:val="28"/>
          <w:szCs w:val="28"/>
          <w:rtl/>
        </w:rPr>
        <w:t>במקרה דנן עותר המערער להתערב בשני רכיבים: האחד שיעור הנכות התפקודית והאחר בסיס השכר לאור שאיפתו שהייתה בעת הרלוונטית להיות מנהל בית הספר.</w:t>
      </w:r>
    </w:p>
    <w:p w14:paraId="7753440D" w14:textId="77777777" w:rsidR="00000000" w:rsidRDefault="00000000">
      <w:pPr>
        <w:pStyle w:val="a9"/>
        <w:spacing w:after="0" w:line="360" w:lineRule="auto"/>
        <w:ind w:left="0"/>
        <w:jc w:val="both"/>
        <w:rPr>
          <w:rtl/>
        </w:rPr>
      </w:pPr>
      <w:r>
        <w:rPr>
          <w:rFonts w:ascii="David" w:hAnsi="David" w:cs="David"/>
          <w:sz w:val="28"/>
          <w:szCs w:val="28"/>
          <w:rtl/>
        </w:rPr>
        <w:t xml:space="preserve">אשר לנכות התפקודית, נקבע שהיא זהה לנכות הרפואית שהוסכמה בין הצדדים, </w:t>
      </w:r>
      <w:r>
        <w:rPr>
          <w:rFonts w:ascii="David" w:hAnsi="David" w:cs="David"/>
          <w:color w:val="FF0000"/>
          <w:sz w:val="28"/>
          <w:szCs w:val="28"/>
          <w:rtl/>
        </w:rPr>
        <w:t>ו</w:t>
      </w:r>
      <w:r>
        <w:rPr>
          <w:rFonts w:ascii="David" w:hAnsi="David" w:cs="David"/>
          <w:sz w:val="28"/>
          <w:szCs w:val="28"/>
          <w:rtl/>
        </w:rPr>
        <w:t xml:space="preserve">אין כל עילה להתערב בקביעה זו. כפי שקבע בית משפט קמא, המערער פעל להאדיר את נזקו מעל ומעבר. בהינתן מהות הפגיעה ובכך שהמערער השלים כמעט עד תום לימודי משפטים, מה שמלמד על יכולת בלתי מבוטלת אינטלקטואלית ואחרת, אין כל מקום לקבל טענה של נכות תפקודית בגובה 100%, קרי; אובדן כושר עבודה מלא. בהקשר זה לא למותר להפנות גם לחוות הדעת בתחום האורתופדיה שהתייחסה לחוסר ההלימה בין תלונותיו של המערער ומצבו. העובדה שהמערער לא טורח למצות הליכים במוסד לביטוח לאומי ולא תבע כלל בגין נכות בתחום הראומטולוגיה דוברים בעד עצמם. </w:t>
      </w:r>
    </w:p>
    <w:p w14:paraId="50669218" w14:textId="77777777" w:rsidR="00000000" w:rsidRDefault="00000000">
      <w:pPr>
        <w:pStyle w:val="a9"/>
        <w:spacing w:after="0" w:line="360" w:lineRule="auto"/>
        <w:ind w:left="0"/>
        <w:jc w:val="both"/>
        <w:rPr>
          <w:rtl/>
        </w:rPr>
      </w:pPr>
      <w:r>
        <w:rPr>
          <w:rFonts w:ascii="David" w:hAnsi="David" w:cs="David"/>
          <w:sz w:val="28"/>
          <w:szCs w:val="28"/>
          <w:rtl/>
        </w:rPr>
        <w:t>אשר לשאיפתו של המערער להיות מנהל בית ספר, כפי שהיה אביו, וגם אם יונח שבהתאם לחוזר מנכ"ל, הדבר היה מתאפשר בתנאי שהמערער ישלים את לימודיו, הרי שמדובר בשאיפה ותו לאו. בעת האירוע נדרש המערער לחצי משרה של מחנך שגם אותה לא צלח, וכעבור שבועיים ביקש לעזוב את התפקיד. כפי שקבע בית משפט קמא, מכאן ועד לנהל את המוסד הדרך ארוכה ואין יסוד לפסוק בהתאם להנחה תיאורטית רחוקה מסוג זה.</w:t>
      </w:r>
    </w:p>
    <w:p w14:paraId="09FF87CD" w14:textId="77777777" w:rsidR="00000000" w:rsidRDefault="00000000">
      <w:pPr>
        <w:pStyle w:val="a9"/>
        <w:spacing w:after="0" w:line="360" w:lineRule="auto"/>
        <w:ind w:left="0"/>
        <w:jc w:val="both"/>
        <w:rPr>
          <w:rtl/>
        </w:rPr>
      </w:pPr>
      <w:r>
        <w:rPr>
          <w:rFonts w:ascii="David" w:hAnsi="David" w:cs="David"/>
          <w:sz w:val="28"/>
          <w:szCs w:val="28"/>
          <w:rtl/>
        </w:rPr>
        <w:t> </w:t>
      </w:r>
    </w:p>
    <w:p w14:paraId="2B097839" w14:textId="77777777" w:rsidR="00000000" w:rsidRDefault="00000000">
      <w:pPr>
        <w:bidi/>
        <w:spacing w:line="360" w:lineRule="auto"/>
        <w:jc w:val="both"/>
        <w:rPr>
          <w:rtl/>
        </w:rPr>
      </w:pPr>
      <w:r>
        <w:rPr>
          <w:rFonts w:ascii="David" w:hAnsi="David" w:cs="David"/>
          <w:b/>
          <w:bCs/>
          <w:sz w:val="28"/>
          <w:szCs w:val="28"/>
          <w:u w:val="single"/>
          <w:rtl/>
        </w:rPr>
        <w:t>סוף דבר</w:t>
      </w:r>
    </w:p>
    <w:p w14:paraId="2555F7C1" w14:textId="77777777" w:rsidR="00000000" w:rsidRDefault="00000000">
      <w:pPr>
        <w:bidi/>
        <w:spacing w:line="360" w:lineRule="auto"/>
        <w:jc w:val="both"/>
        <w:rPr>
          <w:rtl/>
        </w:rPr>
      </w:pPr>
      <w:r>
        <w:rPr>
          <w:rFonts w:ascii="David" w:hAnsi="David" w:cs="David"/>
          <w:b/>
          <w:bCs/>
          <w:sz w:val="28"/>
          <w:szCs w:val="28"/>
          <w:rtl/>
        </w:rPr>
        <w:t> </w:t>
      </w:r>
    </w:p>
    <w:p w14:paraId="6E0E60CE" w14:textId="77777777" w:rsidR="00000000" w:rsidRDefault="00000000">
      <w:pPr>
        <w:pStyle w:val="a9"/>
        <w:spacing w:after="0" w:line="360" w:lineRule="auto"/>
        <w:ind w:left="0"/>
        <w:jc w:val="both"/>
        <w:rPr>
          <w:rtl/>
        </w:rPr>
      </w:pPr>
      <w:r>
        <w:rPr>
          <w:rFonts w:ascii="David" w:hAnsi="David" w:cs="David"/>
          <w:sz w:val="28"/>
          <w:szCs w:val="28"/>
          <w:rtl/>
        </w:rPr>
        <w:t>26.</w:t>
      </w:r>
      <w:r>
        <w:rPr>
          <w:rFonts w:ascii="Times New Roman" w:hAnsi="Times New Roman" w:cs="Times New Roman"/>
          <w:sz w:val="14"/>
          <w:szCs w:val="14"/>
          <w:rtl/>
        </w:rPr>
        <w:t xml:space="preserve">  </w:t>
      </w:r>
      <w:r>
        <w:rPr>
          <w:rFonts w:ascii="David" w:hAnsi="David" w:cs="David"/>
          <w:sz w:val="28"/>
          <w:szCs w:val="28"/>
          <w:rtl/>
        </w:rPr>
        <w:t>בהינתן כל האמור לעיל, אציע לחברותיי לדחות את הערעור, אשר סבורני כי לא היה מקום להגישו, וודאי לא לעמוד על בירורו עד תום.</w:t>
      </w:r>
    </w:p>
    <w:p w14:paraId="38A4B9CB" w14:textId="77777777" w:rsidR="00000000" w:rsidRDefault="00000000">
      <w:pPr>
        <w:pStyle w:val="a9"/>
        <w:spacing w:after="0" w:line="360" w:lineRule="auto"/>
        <w:ind w:left="0"/>
        <w:jc w:val="both"/>
        <w:rPr>
          <w:rtl/>
        </w:rPr>
      </w:pPr>
      <w:r>
        <w:rPr>
          <w:rFonts w:ascii="David" w:hAnsi="David" w:cs="David"/>
          <w:sz w:val="28"/>
          <w:szCs w:val="28"/>
          <w:rtl/>
        </w:rPr>
        <w:t>באשר להוצאות המשפט בהליך זה, הרי שבשים לב להוצאות שנפסקו בערכאה קמא, אציע לחייב את המערער בהוצאות המשיבים באופן מתון, בסך כולל של 15,000 ₪ - 5,000 ₪ למשרד החינוך ולמשרד הרווחה, 5,000 ₪ למועצה, ו- 5,000 ₪ לעירייה.</w:t>
      </w:r>
    </w:p>
    <w:tbl>
      <w:tblPr>
        <w:tblpPr w:leftFromText="180" w:rightFromText="180" w:vertAnchor="text"/>
        <w:bidiVisual/>
        <w:tblW w:w="2891" w:type="dxa"/>
        <w:tblCellMar>
          <w:left w:w="0" w:type="dxa"/>
          <w:right w:w="0" w:type="dxa"/>
        </w:tblCellMar>
        <w:tblLook w:val="04A0" w:firstRow="1" w:lastRow="0" w:firstColumn="1" w:lastColumn="0" w:noHBand="0" w:noVBand="1"/>
      </w:tblPr>
      <w:tblGrid>
        <w:gridCol w:w="2891"/>
      </w:tblGrid>
      <w:tr w:rsidR="00000000" w14:paraId="0370D941" w14:textId="77777777">
        <w:tc>
          <w:tcPr>
            <w:tcW w:w="2891" w:type="dxa"/>
            <w:tcMar>
              <w:top w:w="0" w:type="dxa"/>
              <w:left w:w="108" w:type="dxa"/>
              <w:bottom w:w="0" w:type="dxa"/>
              <w:right w:w="108" w:type="dxa"/>
            </w:tcMar>
            <w:vAlign w:val="center"/>
            <w:hideMark/>
          </w:tcPr>
          <w:p w14:paraId="22787D6F" w14:textId="77777777" w:rsidR="00000000" w:rsidRDefault="00000000">
            <w:pPr>
              <w:bidi/>
              <w:rPr>
                <w:rtl/>
              </w:rPr>
            </w:pPr>
            <w:r>
              <w:rPr>
                <w:rFonts w:ascii="David" w:hAnsi="David" w:cs="David"/>
                <w:sz w:val="28"/>
                <w:szCs w:val="28"/>
                <w:rtl/>
              </w:rPr>
              <w:t> </w:t>
            </w:r>
            <w:r>
              <w:rPr>
                <w:rFonts w:ascii="David" w:hAnsi="David" w:cs="David"/>
                <w:noProof/>
                <w:sz w:val="28"/>
                <w:szCs w:val="28"/>
              </w:rPr>
              <w:drawing>
                <wp:inline distT="0" distB="0" distL="0" distR="0" wp14:anchorId="258FF4A6" wp14:editId="1EA95202">
                  <wp:extent cx="1085850" cy="657225"/>
                  <wp:effectExtent l="0" t="0" r="0" b="9525"/>
                  <wp:docPr id="2"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7"/>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85850" cy="657225"/>
                          </a:xfrm>
                          <a:prstGeom prst="rect">
                            <a:avLst/>
                          </a:prstGeom>
                          <a:noFill/>
                          <a:ln>
                            <a:noFill/>
                          </a:ln>
                        </pic:spPr>
                      </pic:pic>
                    </a:graphicData>
                  </a:graphic>
                </wp:inline>
              </w:drawing>
            </w:r>
          </w:p>
        </w:tc>
      </w:tr>
      <w:tr w:rsidR="00000000" w14:paraId="3142B83C" w14:textId="77777777">
        <w:tc>
          <w:tcPr>
            <w:tcW w:w="2891" w:type="dxa"/>
            <w:tcMar>
              <w:top w:w="0" w:type="dxa"/>
              <w:left w:w="108" w:type="dxa"/>
              <w:bottom w:w="0" w:type="dxa"/>
              <w:right w:w="108" w:type="dxa"/>
            </w:tcMar>
            <w:vAlign w:val="center"/>
            <w:hideMark/>
          </w:tcPr>
          <w:p w14:paraId="1B4B427F" w14:textId="77777777" w:rsidR="00000000" w:rsidRDefault="00000000">
            <w:pPr>
              <w:bidi/>
              <w:spacing w:line="360" w:lineRule="auto"/>
              <w:jc w:val="center"/>
              <w:rPr>
                <w:rtl/>
              </w:rPr>
            </w:pPr>
            <w:r>
              <w:rPr>
                <w:rFonts w:ascii="David" w:hAnsi="David" w:cs="David"/>
                <w:b/>
                <w:bCs/>
                <w:sz w:val="28"/>
                <w:szCs w:val="28"/>
                <w:rtl/>
              </w:rPr>
              <w:t>אורלי מור-אל, שופטת</w:t>
            </w:r>
          </w:p>
        </w:tc>
      </w:tr>
    </w:tbl>
    <w:p w14:paraId="67A2B52E" w14:textId="77777777" w:rsidR="00000000" w:rsidRDefault="00000000">
      <w:pPr>
        <w:bidi/>
        <w:jc w:val="both"/>
        <w:rPr>
          <w:rtl/>
        </w:rPr>
      </w:pPr>
      <w:r>
        <w:rPr>
          <w:rFonts w:ascii="David" w:hAnsi="David" w:cs="David"/>
          <w:sz w:val="28"/>
          <w:szCs w:val="28"/>
          <w:rtl/>
        </w:rPr>
        <w:t> </w:t>
      </w:r>
    </w:p>
    <w:p w14:paraId="680D8850" w14:textId="77777777" w:rsidR="00000000" w:rsidRDefault="00000000">
      <w:pPr>
        <w:bidi/>
        <w:spacing w:line="360" w:lineRule="auto"/>
        <w:jc w:val="both"/>
        <w:rPr>
          <w:rtl/>
        </w:rPr>
      </w:pPr>
      <w:r>
        <w:rPr>
          <w:rFonts w:ascii="David" w:hAnsi="David" w:cs="David"/>
          <w:sz w:val="28"/>
          <w:szCs w:val="28"/>
        </w:rPr>
        <w:t> </w:t>
      </w:r>
    </w:p>
    <w:p w14:paraId="6A3366C3" w14:textId="77777777" w:rsidR="00000000" w:rsidRDefault="00000000">
      <w:pPr>
        <w:bidi/>
        <w:rPr>
          <w:rtl/>
        </w:rPr>
      </w:pPr>
      <w:r>
        <w:rPr>
          <w:rFonts w:ascii="David" w:hAnsi="David" w:cs="David"/>
          <w:sz w:val="28"/>
          <w:szCs w:val="28"/>
          <w:rtl/>
        </w:rPr>
        <w:t> </w:t>
      </w:r>
    </w:p>
    <w:p w14:paraId="50FA30CA" w14:textId="77777777" w:rsidR="00000000" w:rsidRDefault="00000000">
      <w:pPr>
        <w:bidi/>
        <w:spacing w:line="360" w:lineRule="auto"/>
        <w:jc w:val="both"/>
        <w:rPr>
          <w:rtl/>
        </w:rPr>
      </w:pPr>
      <w:r>
        <w:rPr>
          <w:rFonts w:ascii="David" w:hAnsi="David" w:cs="David"/>
          <w:sz w:val="28"/>
          <w:szCs w:val="28"/>
        </w:rPr>
        <w:t> </w:t>
      </w:r>
    </w:p>
    <w:p w14:paraId="292E8914" w14:textId="77777777" w:rsidR="00000000" w:rsidRDefault="00000000">
      <w:pPr>
        <w:bidi/>
        <w:spacing w:line="360" w:lineRule="auto"/>
        <w:jc w:val="both"/>
        <w:rPr>
          <w:rtl/>
        </w:rPr>
      </w:pPr>
      <w:r>
        <w:rPr>
          <w:rFonts w:ascii="David" w:hAnsi="David" w:cs="David"/>
          <w:b/>
          <w:bCs/>
          <w:sz w:val="28"/>
          <w:szCs w:val="28"/>
          <w:rtl/>
        </w:rPr>
        <w:t> </w:t>
      </w:r>
    </w:p>
    <w:p w14:paraId="794D99FB" w14:textId="77777777" w:rsidR="00000000" w:rsidRDefault="00000000">
      <w:pPr>
        <w:bidi/>
        <w:spacing w:line="360" w:lineRule="auto"/>
        <w:jc w:val="both"/>
        <w:rPr>
          <w:rtl/>
        </w:rPr>
      </w:pPr>
      <w:r>
        <w:rPr>
          <w:rFonts w:ascii="David" w:hAnsi="David" w:cs="David"/>
          <w:b/>
          <w:bCs/>
          <w:sz w:val="28"/>
          <w:szCs w:val="28"/>
          <w:u w:val="single"/>
          <w:rtl/>
        </w:rPr>
        <w:t>השופטת שלומית יעקובוביץ</w:t>
      </w:r>
    </w:p>
    <w:p w14:paraId="31192A98" w14:textId="77777777" w:rsidR="00000000" w:rsidRDefault="00000000">
      <w:pPr>
        <w:bidi/>
        <w:spacing w:line="360" w:lineRule="auto"/>
        <w:jc w:val="both"/>
        <w:rPr>
          <w:rtl/>
        </w:rPr>
      </w:pPr>
      <w:r>
        <w:rPr>
          <w:rFonts w:ascii="David" w:hAnsi="David" w:cs="David"/>
          <w:sz w:val="28"/>
          <w:szCs w:val="28"/>
          <w:rtl/>
        </w:rPr>
        <w:t>אני מסכימה.</w:t>
      </w:r>
    </w:p>
    <w:tbl>
      <w:tblPr>
        <w:bidiVisual/>
        <w:tblW w:w="3203" w:type="dxa"/>
        <w:tblInd w:w="5111" w:type="dxa"/>
        <w:tblCellMar>
          <w:left w:w="0" w:type="dxa"/>
          <w:right w:w="0" w:type="dxa"/>
        </w:tblCellMar>
        <w:tblLook w:val="04A0" w:firstRow="1" w:lastRow="0" w:firstColumn="1" w:lastColumn="0" w:noHBand="0" w:noVBand="1"/>
      </w:tblPr>
      <w:tblGrid>
        <w:gridCol w:w="278"/>
        <w:gridCol w:w="2946"/>
      </w:tblGrid>
      <w:tr w:rsidR="00000000" w14:paraId="3DE76456" w14:textId="77777777">
        <w:tc>
          <w:tcPr>
            <w:tcW w:w="257" w:type="dxa"/>
            <w:tcMar>
              <w:top w:w="0" w:type="dxa"/>
              <w:left w:w="108" w:type="dxa"/>
              <w:bottom w:w="0" w:type="dxa"/>
              <w:right w:w="108" w:type="dxa"/>
            </w:tcMar>
            <w:vAlign w:val="center"/>
            <w:hideMark/>
          </w:tcPr>
          <w:p w14:paraId="2D83DF2A" w14:textId="77777777" w:rsidR="00000000" w:rsidRDefault="00000000">
            <w:pPr>
              <w:bidi/>
              <w:jc w:val="center"/>
              <w:rPr>
                <w:rtl/>
              </w:rPr>
            </w:pPr>
            <w:r>
              <w:rPr>
                <w:rFonts w:ascii="David" w:hAnsi="David" w:cs="David"/>
                <w:sz w:val="28"/>
                <w:szCs w:val="28"/>
                <w:rtl/>
              </w:rPr>
              <w:t> </w:t>
            </w:r>
          </w:p>
        </w:tc>
        <w:tc>
          <w:tcPr>
            <w:tcW w:w="2946" w:type="dxa"/>
            <w:tcBorders>
              <w:top w:val="nil"/>
              <w:left w:val="nil"/>
              <w:bottom w:val="single" w:sz="8" w:space="0" w:color="auto"/>
              <w:right w:val="nil"/>
            </w:tcBorders>
            <w:tcMar>
              <w:top w:w="0" w:type="dxa"/>
              <w:left w:w="108" w:type="dxa"/>
              <w:bottom w:w="0" w:type="dxa"/>
              <w:right w:w="108" w:type="dxa"/>
            </w:tcMar>
            <w:vAlign w:val="center"/>
            <w:hideMark/>
          </w:tcPr>
          <w:p w14:paraId="37150ED9" w14:textId="77777777" w:rsidR="00000000" w:rsidRDefault="00000000">
            <w:pPr>
              <w:rPr>
                <w:rtl/>
              </w:rPr>
            </w:pPr>
            <w:r>
              <w:rPr>
                <w:noProof/>
                <w:rtl/>
                <w:lang w:val="he-IL"/>
              </w:rPr>
              <w:drawing>
                <wp:anchor distT="0" distB="0" distL="114300" distR="114300" simplePos="0" relativeHeight="251658240" behindDoc="0" locked="0" layoutInCell="1" allowOverlap="0" wp14:anchorId="60BBD810" wp14:editId="215CC6A4">
                  <wp:simplePos x="0" y="0"/>
                  <wp:positionH relativeFrom="column">
                    <wp:align>left</wp:align>
                  </wp:positionH>
                  <wp:positionV relativeFrom="line">
                    <wp:posOffset>0</wp:posOffset>
                  </wp:positionV>
                  <wp:extent cx="1724025" cy="781050"/>
                  <wp:effectExtent l="0" t="0" r="9525" b="0"/>
                  <wp:wrapSquare wrapText="bothSides"/>
                  <wp:docPr id="1972235590"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724025" cy="7810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00000" w14:paraId="49A096D5" w14:textId="77777777">
        <w:tc>
          <w:tcPr>
            <w:tcW w:w="257" w:type="dxa"/>
            <w:tcMar>
              <w:top w:w="0" w:type="dxa"/>
              <w:left w:w="108" w:type="dxa"/>
              <w:bottom w:w="0" w:type="dxa"/>
              <w:right w:w="108" w:type="dxa"/>
            </w:tcMar>
            <w:hideMark/>
          </w:tcPr>
          <w:p w14:paraId="71011859" w14:textId="77777777" w:rsidR="00000000" w:rsidRDefault="00000000">
            <w:pPr>
              <w:bidi/>
              <w:jc w:val="center"/>
            </w:pPr>
            <w:r>
              <w:rPr>
                <w:rFonts w:ascii="David" w:hAnsi="David" w:cs="David"/>
                <w:b/>
                <w:bCs/>
                <w:sz w:val="28"/>
                <w:szCs w:val="28"/>
              </w:rPr>
              <w:t> </w:t>
            </w:r>
          </w:p>
        </w:tc>
        <w:tc>
          <w:tcPr>
            <w:tcW w:w="2946" w:type="dxa"/>
            <w:tcBorders>
              <w:top w:val="nil"/>
              <w:left w:val="nil"/>
              <w:bottom w:val="nil"/>
              <w:right w:val="nil"/>
            </w:tcBorders>
            <w:tcMar>
              <w:top w:w="0" w:type="dxa"/>
              <w:left w:w="108" w:type="dxa"/>
              <w:bottom w:w="0" w:type="dxa"/>
              <w:right w:w="108" w:type="dxa"/>
            </w:tcMar>
            <w:hideMark/>
          </w:tcPr>
          <w:p w14:paraId="520FF7C1" w14:textId="77777777" w:rsidR="00000000" w:rsidRDefault="00000000">
            <w:pPr>
              <w:bidi/>
              <w:jc w:val="center"/>
              <w:rPr>
                <w:rtl/>
              </w:rPr>
            </w:pPr>
            <w:r>
              <w:rPr>
                <w:rFonts w:ascii="David" w:hAnsi="David" w:cs="David"/>
                <w:b/>
                <w:bCs/>
                <w:sz w:val="28"/>
                <w:szCs w:val="28"/>
                <w:rtl/>
              </w:rPr>
              <w:t>שלומית יעקובוביץ-אב"ד שופטת</w:t>
            </w:r>
          </w:p>
        </w:tc>
      </w:tr>
    </w:tbl>
    <w:p w14:paraId="30C73C8D" w14:textId="77777777" w:rsidR="00000000" w:rsidRDefault="00000000">
      <w:pPr>
        <w:bidi/>
        <w:rPr>
          <w:rtl/>
        </w:rPr>
      </w:pPr>
      <w:r>
        <w:rPr>
          <w:rFonts w:ascii="David" w:hAnsi="David" w:cs="David"/>
          <w:sz w:val="28"/>
          <w:szCs w:val="28"/>
          <w:rtl/>
        </w:rPr>
        <w:t> </w:t>
      </w:r>
    </w:p>
    <w:p w14:paraId="666AB886" w14:textId="77777777" w:rsidR="00000000" w:rsidRDefault="00000000">
      <w:pPr>
        <w:bidi/>
        <w:rPr>
          <w:rtl/>
        </w:rPr>
      </w:pPr>
      <w:r>
        <w:rPr>
          <w:rFonts w:ascii="David" w:hAnsi="David" w:cs="David"/>
          <w:b/>
          <w:bCs/>
          <w:sz w:val="28"/>
          <w:szCs w:val="28"/>
          <w:u w:val="single"/>
          <w:rtl/>
        </w:rPr>
        <w:t>השופטת יעל אילני</w:t>
      </w:r>
    </w:p>
    <w:p w14:paraId="2735DB93" w14:textId="77777777" w:rsidR="00000000" w:rsidRDefault="00000000">
      <w:pPr>
        <w:bidi/>
        <w:rPr>
          <w:rtl/>
        </w:rPr>
      </w:pPr>
      <w:r>
        <w:rPr>
          <w:rFonts w:ascii="David" w:hAnsi="David" w:cs="David"/>
          <w:sz w:val="28"/>
          <w:szCs w:val="28"/>
          <w:rtl/>
        </w:rPr>
        <w:t>אני מסכימה.</w:t>
      </w:r>
    </w:p>
    <w:p w14:paraId="583569A6" w14:textId="77777777" w:rsidR="00000000" w:rsidRDefault="00000000">
      <w:pPr>
        <w:bidi/>
        <w:rPr>
          <w:rtl/>
        </w:rPr>
      </w:pPr>
      <w:r>
        <w:rPr>
          <w:rFonts w:ascii="David" w:hAnsi="David" w:cs="David"/>
          <w:sz w:val="28"/>
          <w:szCs w:val="28"/>
          <w:rtl/>
        </w:rPr>
        <w:t> </w:t>
      </w:r>
    </w:p>
    <w:p w14:paraId="1422D794" w14:textId="77777777" w:rsidR="00000000" w:rsidRDefault="00000000">
      <w:pPr>
        <w:bidi/>
        <w:jc w:val="center"/>
        <w:rPr>
          <w:rtl/>
        </w:rPr>
      </w:pPr>
      <w:r>
        <w:rPr>
          <w:rFonts w:ascii="David" w:hAnsi="David" w:cs="David"/>
          <w:sz w:val="28"/>
          <w:szCs w:val="28"/>
        </w:rPr>
        <w:t> </w:t>
      </w:r>
    </w:p>
    <w:tbl>
      <w:tblPr>
        <w:bidiVisual/>
        <w:tblW w:w="2127" w:type="dxa"/>
        <w:tblInd w:w="5666" w:type="dxa"/>
        <w:tblCellMar>
          <w:left w:w="0" w:type="dxa"/>
          <w:right w:w="0" w:type="dxa"/>
        </w:tblCellMar>
        <w:tblLook w:val="04A0" w:firstRow="1" w:lastRow="0" w:firstColumn="1" w:lastColumn="0" w:noHBand="0" w:noVBand="1"/>
      </w:tblPr>
      <w:tblGrid>
        <w:gridCol w:w="2127"/>
      </w:tblGrid>
      <w:tr w:rsidR="00000000" w14:paraId="17C74AF8" w14:textId="77777777">
        <w:trPr>
          <w:trHeight w:val="351"/>
        </w:trPr>
        <w:tc>
          <w:tcPr>
            <w:tcW w:w="2127" w:type="dxa"/>
            <w:tcBorders>
              <w:top w:val="nil"/>
              <w:left w:val="nil"/>
              <w:bottom w:val="single" w:sz="8" w:space="0" w:color="auto"/>
              <w:right w:val="nil"/>
            </w:tcBorders>
            <w:tcMar>
              <w:top w:w="0" w:type="dxa"/>
              <w:left w:w="108" w:type="dxa"/>
              <w:bottom w:w="0" w:type="dxa"/>
              <w:right w:w="108" w:type="dxa"/>
            </w:tcMar>
            <w:hideMark/>
          </w:tcPr>
          <w:p w14:paraId="17B50D2E" w14:textId="77777777" w:rsidR="00000000" w:rsidRDefault="00000000">
            <w:pPr>
              <w:bidi/>
              <w:jc w:val="center"/>
              <w:rPr>
                <w:rtl/>
              </w:rPr>
            </w:pPr>
            <w:r>
              <w:rPr>
                <w:rFonts w:ascii="David" w:hAnsi="David" w:cs="David"/>
                <w:noProof/>
                <w:sz w:val="28"/>
                <w:szCs w:val="28"/>
              </w:rPr>
              <w:drawing>
                <wp:inline distT="0" distB="0" distL="0" distR="0" wp14:anchorId="7F3D3979" wp14:editId="6AD2C420">
                  <wp:extent cx="685800" cy="390525"/>
                  <wp:effectExtent l="0" t="0" r="0" b="9525"/>
                  <wp:docPr id="3"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85800" cy="390525"/>
                          </a:xfrm>
                          <a:prstGeom prst="rect">
                            <a:avLst/>
                          </a:prstGeom>
                          <a:noFill/>
                          <a:ln>
                            <a:noFill/>
                          </a:ln>
                        </pic:spPr>
                      </pic:pic>
                    </a:graphicData>
                  </a:graphic>
                </wp:inline>
              </w:drawing>
            </w:r>
          </w:p>
        </w:tc>
      </w:tr>
      <w:tr w:rsidR="00000000" w14:paraId="6A3F66A2" w14:textId="77777777">
        <w:trPr>
          <w:trHeight w:val="415"/>
        </w:trPr>
        <w:tc>
          <w:tcPr>
            <w:tcW w:w="2127" w:type="dxa"/>
            <w:tcBorders>
              <w:top w:val="nil"/>
              <w:left w:val="nil"/>
              <w:bottom w:val="nil"/>
              <w:right w:val="nil"/>
            </w:tcBorders>
            <w:tcMar>
              <w:top w:w="0" w:type="dxa"/>
              <w:left w:w="108" w:type="dxa"/>
              <w:bottom w:w="0" w:type="dxa"/>
              <w:right w:w="108" w:type="dxa"/>
            </w:tcMar>
            <w:hideMark/>
          </w:tcPr>
          <w:p w14:paraId="5393DAD8" w14:textId="77777777" w:rsidR="00000000" w:rsidRDefault="00000000">
            <w:pPr>
              <w:bidi/>
              <w:jc w:val="center"/>
              <w:rPr>
                <w:rtl/>
              </w:rPr>
            </w:pPr>
            <w:r>
              <w:rPr>
                <w:rFonts w:ascii="David" w:hAnsi="David" w:cs="David"/>
                <w:b/>
                <w:bCs/>
                <w:sz w:val="28"/>
                <w:szCs w:val="28"/>
                <w:rtl/>
              </w:rPr>
              <w:t>יעל אילני, שופטת</w:t>
            </w:r>
          </w:p>
        </w:tc>
      </w:tr>
    </w:tbl>
    <w:p w14:paraId="1D5150B6" w14:textId="77777777" w:rsidR="00000000" w:rsidRDefault="00000000">
      <w:pPr>
        <w:bidi/>
        <w:rPr>
          <w:rtl/>
        </w:rPr>
      </w:pPr>
      <w:r>
        <w:rPr>
          <w:rFonts w:ascii="David" w:hAnsi="David" w:cs="David"/>
          <w:sz w:val="28"/>
          <w:szCs w:val="28"/>
        </w:rPr>
        <w:t> </w:t>
      </w:r>
    </w:p>
    <w:p w14:paraId="53921342" w14:textId="77777777" w:rsidR="00000000" w:rsidRDefault="00000000">
      <w:pPr>
        <w:bidi/>
        <w:spacing w:line="360" w:lineRule="auto"/>
        <w:jc w:val="both"/>
        <w:rPr>
          <w:rtl/>
        </w:rPr>
      </w:pPr>
      <w:r>
        <w:rPr>
          <w:rFonts w:ascii="David" w:hAnsi="David" w:cs="David"/>
          <w:b/>
          <w:bCs/>
          <w:sz w:val="28"/>
          <w:szCs w:val="28"/>
          <w:u w:val="single"/>
          <w:rtl/>
        </w:rPr>
        <w:t>התוצאה</w:t>
      </w:r>
    </w:p>
    <w:p w14:paraId="25F9AD36" w14:textId="77777777" w:rsidR="00000000" w:rsidRDefault="00000000">
      <w:pPr>
        <w:bidi/>
        <w:spacing w:line="360" w:lineRule="auto"/>
        <w:jc w:val="both"/>
        <w:rPr>
          <w:rtl/>
        </w:rPr>
      </w:pPr>
      <w:r>
        <w:rPr>
          <w:rFonts w:ascii="David" w:hAnsi="David" w:cs="David"/>
          <w:sz w:val="28"/>
          <w:szCs w:val="28"/>
          <w:rtl/>
        </w:rPr>
        <w:t>הערעור נדחה.</w:t>
      </w:r>
    </w:p>
    <w:p w14:paraId="7676A91C" w14:textId="77777777" w:rsidR="00000000" w:rsidRDefault="00000000">
      <w:pPr>
        <w:pStyle w:val="a9"/>
        <w:spacing w:after="0" w:line="360" w:lineRule="auto"/>
        <w:ind w:left="0"/>
        <w:jc w:val="both"/>
        <w:rPr>
          <w:rtl/>
        </w:rPr>
      </w:pPr>
      <w:r>
        <w:rPr>
          <w:rFonts w:ascii="David" w:hAnsi="David" w:cs="David"/>
          <w:sz w:val="28"/>
          <w:szCs w:val="28"/>
          <w:rtl/>
        </w:rPr>
        <w:t xml:space="preserve">המערער </w:t>
      </w:r>
      <w:proofErr w:type="spellStart"/>
      <w:r>
        <w:rPr>
          <w:rFonts w:ascii="David" w:hAnsi="David" w:cs="David"/>
          <w:sz w:val="28"/>
          <w:szCs w:val="28"/>
          <w:rtl/>
        </w:rPr>
        <w:t>ישא</w:t>
      </w:r>
      <w:proofErr w:type="spellEnd"/>
      <w:r>
        <w:rPr>
          <w:rFonts w:ascii="David" w:hAnsi="David" w:cs="David"/>
          <w:sz w:val="28"/>
          <w:szCs w:val="28"/>
          <w:rtl/>
        </w:rPr>
        <w:t xml:space="preserve"> בהוצאות המשיבים בסך כולל של 15,000 ₪ - 5,000 ₪ למשרד החינוך ולמשרד הרווחה, 5,000 ₪ למועצה, ו- 5,000 ₪ לעירייה. התשלום ישולם מתוך הערבון שהפקיד המערער בקופת בית המשפט.</w:t>
      </w:r>
      <w:r>
        <w:rPr>
          <w:rFonts w:ascii="David" w:hAnsi="David" w:cs="David"/>
          <w:sz w:val="28"/>
          <w:szCs w:val="28"/>
        </w:rPr>
        <w:t xml:space="preserve"> </w:t>
      </w:r>
    </w:p>
    <w:p w14:paraId="414295BA" w14:textId="77777777" w:rsidR="00000000" w:rsidRDefault="00000000">
      <w:pPr>
        <w:bidi/>
        <w:spacing w:line="360" w:lineRule="auto"/>
        <w:jc w:val="both"/>
        <w:rPr>
          <w:rtl/>
        </w:rPr>
      </w:pPr>
      <w:r>
        <w:rPr>
          <w:rFonts w:ascii="David" w:hAnsi="David" w:cs="David"/>
          <w:b/>
          <w:bCs/>
          <w:sz w:val="28"/>
          <w:szCs w:val="28"/>
          <w:u w:val="single"/>
          <w:rtl/>
        </w:rPr>
        <w:t>עם מתן פסק הדין, תיקי ההרכב (עותקי הנייר) יגרסו</w:t>
      </w:r>
      <w:r>
        <w:rPr>
          <w:rFonts w:ascii="David" w:hAnsi="David" w:cs="David"/>
          <w:b/>
          <w:bCs/>
          <w:sz w:val="28"/>
          <w:szCs w:val="28"/>
          <w:rtl/>
        </w:rPr>
        <w:t>.</w:t>
      </w:r>
    </w:p>
    <w:p w14:paraId="3276D278" w14:textId="77777777" w:rsidR="00000000" w:rsidRDefault="00000000">
      <w:pPr>
        <w:bidi/>
        <w:spacing w:line="360" w:lineRule="auto"/>
        <w:jc w:val="both"/>
        <w:rPr>
          <w:rtl/>
        </w:rPr>
      </w:pPr>
      <w:r>
        <w:rPr>
          <w:rFonts w:ascii="David" w:hAnsi="David" w:cs="David"/>
          <w:sz w:val="28"/>
          <w:szCs w:val="28"/>
        </w:rPr>
        <w:t> </w:t>
      </w:r>
    </w:p>
    <w:p w14:paraId="13750D87" w14:textId="77777777" w:rsidR="00000000" w:rsidRDefault="00000000">
      <w:pPr>
        <w:bidi/>
        <w:spacing w:line="360" w:lineRule="auto"/>
        <w:jc w:val="both"/>
        <w:rPr>
          <w:rtl/>
        </w:rPr>
      </w:pPr>
      <w:r>
        <w:rPr>
          <w:rFonts w:ascii="David" w:hAnsi="David" w:cs="David"/>
          <w:b/>
          <w:bCs/>
          <w:sz w:val="28"/>
          <w:szCs w:val="28"/>
          <w:rtl/>
        </w:rPr>
        <w:t xml:space="preserve">ניתן היום, י"א סיוון תשפ"ו, </w:t>
      </w:r>
      <w:r>
        <w:rPr>
          <w:rStyle w:val="f5dinim"/>
          <w:rFonts w:ascii="David" w:hAnsi="David" w:cs="David"/>
          <w:b/>
          <w:bCs/>
          <w:sz w:val="28"/>
          <w:szCs w:val="28"/>
          <w:rtl/>
        </w:rPr>
        <w:t>27 מאי 2026</w:t>
      </w:r>
      <w:r>
        <w:rPr>
          <w:rFonts w:ascii="David" w:hAnsi="David" w:cs="David"/>
          <w:b/>
          <w:bCs/>
          <w:sz w:val="28"/>
          <w:szCs w:val="28"/>
          <w:rtl/>
        </w:rPr>
        <w:t>, בהעדר הצדדים.</w:t>
      </w:r>
    </w:p>
    <w:p w14:paraId="0C94B5E9" w14:textId="77777777" w:rsidR="00000000" w:rsidRDefault="00000000">
      <w:pPr>
        <w:bidi/>
        <w:rPr>
          <w:rtl/>
        </w:rPr>
      </w:pPr>
      <w:r>
        <w:rPr>
          <w:rFonts w:ascii="David" w:hAnsi="David" w:cs="David"/>
          <w:sz w:val="28"/>
          <w:szCs w:val="28"/>
          <w:rtl/>
        </w:rPr>
        <w:t>         </w:t>
      </w:r>
    </w:p>
    <w:tbl>
      <w:tblPr>
        <w:tblpPr w:leftFromText="180" w:rightFromText="180" w:vertAnchor="text" w:tblpXSpec="right" w:tblpYSpec="center"/>
        <w:bidiVisual/>
        <w:tblW w:w="8673" w:type="dxa"/>
        <w:tblCellMar>
          <w:left w:w="0" w:type="dxa"/>
          <w:right w:w="0" w:type="dxa"/>
        </w:tblCellMar>
        <w:tblLook w:val="04A0" w:firstRow="1" w:lastRow="0" w:firstColumn="1" w:lastColumn="0" w:noHBand="0" w:noVBand="1"/>
      </w:tblPr>
      <w:tblGrid>
        <w:gridCol w:w="2891"/>
        <w:gridCol w:w="2891"/>
        <w:gridCol w:w="2891"/>
      </w:tblGrid>
      <w:tr w:rsidR="00000000" w14:paraId="58D91C20" w14:textId="77777777">
        <w:tc>
          <w:tcPr>
            <w:tcW w:w="2891" w:type="dxa"/>
            <w:tcMar>
              <w:top w:w="0" w:type="dxa"/>
              <w:left w:w="108" w:type="dxa"/>
              <w:bottom w:w="0" w:type="dxa"/>
              <w:right w:w="108" w:type="dxa"/>
            </w:tcMar>
            <w:vAlign w:val="center"/>
            <w:hideMark/>
          </w:tcPr>
          <w:p w14:paraId="40135228" w14:textId="77777777" w:rsidR="00000000" w:rsidRDefault="00000000">
            <w:pPr>
              <w:bidi/>
              <w:rPr>
                <w:rtl/>
              </w:rPr>
            </w:pPr>
            <w:r>
              <w:rPr>
                <w:rFonts w:ascii="David" w:hAnsi="David" w:cs="David"/>
                <w:sz w:val="28"/>
                <w:szCs w:val="28"/>
                <w:rtl/>
              </w:rPr>
              <w:t> </w:t>
            </w:r>
            <w:r>
              <w:rPr>
                <w:rFonts w:ascii="David" w:hAnsi="David" w:cs="David"/>
                <w:noProof/>
                <w:sz w:val="28"/>
                <w:szCs w:val="28"/>
              </w:rPr>
              <w:drawing>
                <wp:inline distT="0" distB="0" distL="0" distR="0" wp14:anchorId="32BAF27E" wp14:editId="48F590C8">
                  <wp:extent cx="1171575" cy="914400"/>
                  <wp:effectExtent l="0" t="0" r="9525" b="0"/>
                  <wp:docPr id="4"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0"/>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171575" cy="914400"/>
                          </a:xfrm>
                          <a:prstGeom prst="rect">
                            <a:avLst/>
                          </a:prstGeom>
                          <a:noFill/>
                          <a:ln>
                            <a:noFill/>
                          </a:ln>
                        </pic:spPr>
                      </pic:pic>
                    </a:graphicData>
                  </a:graphic>
                </wp:inline>
              </w:drawing>
            </w:r>
          </w:p>
        </w:tc>
        <w:tc>
          <w:tcPr>
            <w:tcW w:w="2891" w:type="dxa"/>
            <w:tcMar>
              <w:top w:w="0" w:type="dxa"/>
              <w:left w:w="108" w:type="dxa"/>
              <w:bottom w:w="0" w:type="dxa"/>
              <w:right w:w="108" w:type="dxa"/>
            </w:tcMar>
            <w:vAlign w:val="center"/>
            <w:hideMark/>
          </w:tcPr>
          <w:p w14:paraId="4043B04F" w14:textId="77777777" w:rsidR="00000000" w:rsidRDefault="00000000">
            <w:pPr>
              <w:bidi/>
              <w:rPr>
                <w:rtl/>
              </w:rPr>
            </w:pPr>
            <w:r>
              <w:rPr>
                <w:rFonts w:ascii="David" w:hAnsi="David" w:cs="David"/>
                <w:sz w:val="28"/>
                <w:szCs w:val="28"/>
                <w:rtl/>
              </w:rPr>
              <w:t> </w:t>
            </w:r>
            <w:r>
              <w:rPr>
                <w:rFonts w:ascii="David" w:hAnsi="David" w:cs="David"/>
                <w:noProof/>
                <w:sz w:val="28"/>
                <w:szCs w:val="28"/>
              </w:rPr>
              <w:drawing>
                <wp:inline distT="0" distB="0" distL="0" distR="0" wp14:anchorId="0FC02DAA" wp14:editId="5AA4808A">
                  <wp:extent cx="819150" cy="390525"/>
                  <wp:effectExtent l="0" t="0" r="0" b="9525"/>
                  <wp:docPr id="5"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1"/>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819150" cy="390525"/>
                          </a:xfrm>
                          <a:prstGeom prst="rect">
                            <a:avLst/>
                          </a:prstGeom>
                          <a:noFill/>
                          <a:ln>
                            <a:noFill/>
                          </a:ln>
                        </pic:spPr>
                      </pic:pic>
                    </a:graphicData>
                  </a:graphic>
                </wp:inline>
              </w:drawing>
            </w:r>
          </w:p>
        </w:tc>
        <w:tc>
          <w:tcPr>
            <w:tcW w:w="2891" w:type="dxa"/>
            <w:tcMar>
              <w:top w:w="0" w:type="dxa"/>
              <w:left w:w="108" w:type="dxa"/>
              <w:bottom w:w="0" w:type="dxa"/>
              <w:right w:w="108" w:type="dxa"/>
            </w:tcMar>
            <w:vAlign w:val="center"/>
            <w:hideMark/>
          </w:tcPr>
          <w:p w14:paraId="7FCF9020" w14:textId="77777777" w:rsidR="00000000" w:rsidRDefault="00000000">
            <w:pPr>
              <w:bidi/>
              <w:rPr>
                <w:rtl/>
              </w:rPr>
            </w:pPr>
            <w:r>
              <w:rPr>
                <w:rFonts w:ascii="David" w:hAnsi="David" w:cs="David"/>
                <w:sz w:val="28"/>
                <w:szCs w:val="28"/>
                <w:rtl/>
              </w:rPr>
              <w:t> </w:t>
            </w:r>
            <w:r>
              <w:rPr>
                <w:rFonts w:ascii="David" w:hAnsi="David" w:cs="David"/>
                <w:noProof/>
                <w:sz w:val="28"/>
                <w:szCs w:val="28"/>
              </w:rPr>
              <w:drawing>
                <wp:inline distT="0" distB="0" distL="0" distR="0" wp14:anchorId="73E4074B" wp14:editId="0DF8CE4C">
                  <wp:extent cx="1085850" cy="657225"/>
                  <wp:effectExtent l="0" t="0" r="0" b="9525"/>
                  <wp:docPr id="6"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2"/>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085850" cy="657225"/>
                          </a:xfrm>
                          <a:prstGeom prst="rect">
                            <a:avLst/>
                          </a:prstGeom>
                          <a:noFill/>
                          <a:ln>
                            <a:noFill/>
                          </a:ln>
                        </pic:spPr>
                      </pic:pic>
                    </a:graphicData>
                  </a:graphic>
                </wp:inline>
              </w:drawing>
            </w:r>
          </w:p>
        </w:tc>
      </w:tr>
      <w:tr w:rsidR="00000000" w14:paraId="66160074" w14:textId="77777777">
        <w:tc>
          <w:tcPr>
            <w:tcW w:w="2891" w:type="dxa"/>
            <w:tcMar>
              <w:top w:w="0" w:type="dxa"/>
              <w:left w:w="108" w:type="dxa"/>
              <w:bottom w:w="0" w:type="dxa"/>
              <w:right w:w="108" w:type="dxa"/>
            </w:tcMar>
            <w:vAlign w:val="center"/>
            <w:hideMark/>
          </w:tcPr>
          <w:p w14:paraId="1C18E53F" w14:textId="77777777" w:rsidR="00000000" w:rsidRDefault="00000000">
            <w:pPr>
              <w:bidi/>
              <w:spacing w:line="360" w:lineRule="auto"/>
              <w:jc w:val="center"/>
              <w:rPr>
                <w:rtl/>
              </w:rPr>
            </w:pPr>
            <w:r>
              <w:rPr>
                <w:rFonts w:ascii="David" w:hAnsi="David" w:cs="David"/>
                <w:b/>
                <w:bCs/>
                <w:sz w:val="28"/>
                <w:szCs w:val="28"/>
                <w:rtl/>
              </w:rPr>
              <w:t>שלומית יעקובוביץ-אב"ד, שופטת</w:t>
            </w:r>
          </w:p>
        </w:tc>
        <w:tc>
          <w:tcPr>
            <w:tcW w:w="2891" w:type="dxa"/>
            <w:tcMar>
              <w:top w:w="0" w:type="dxa"/>
              <w:left w:w="108" w:type="dxa"/>
              <w:bottom w:w="0" w:type="dxa"/>
              <w:right w:w="108" w:type="dxa"/>
            </w:tcMar>
            <w:vAlign w:val="center"/>
            <w:hideMark/>
          </w:tcPr>
          <w:p w14:paraId="021F71C4" w14:textId="77777777" w:rsidR="00000000" w:rsidRDefault="00000000">
            <w:pPr>
              <w:bidi/>
              <w:spacing w:line="360" w:lineRule="auto"/>
              <w:jc w:val="center"/>
              <w:rPr>
                <w:rtl/>
              </w:rPr>
            </w:pPr>
            <w:r>
              <w:rPr>
                <w:rFonts w:ascii="David" w:hAnsi="David" w:cs="David"/>
                <w:b/>
                <w:bCs/>
                <w:sz w:val="28"/>
                <w:szCs w:val="28"/>
                <w:rtl/>
              </w:rPr>
              <w:t>יעל אילני, שופטת</w:t>
            </w:r>
          </w:p>
        </w:tc>
        <w:tc>
          <w:tcPr>
            <w:tcW w:w="2891" w:type="dxa"/>
            <w:tcMar>
              <w:top w:w="0" w:type="dxa"/>
              <w:left w:w="108" w:type="dxa"/>
              <w:bottom w:w="0" w:type="dxa"/>
              <w:right w:w="108" w:type="dxa"/>
            </w:tcMar>
            <w:vAlign w:val="center"/>
            <w:hideMark/>
          </w:tcPr>
          <w:p w14:paraId="0B5C1172" w14:textId="77777777" w:rsidR="00000000" w:rsidRDefault="00000000">
            <w:pPr>
              <w:bidi/>
              <w:spacing w:line="360" w:lineRule="auto"/>
              <w:jc w:val="center"/>
              <w:rPr>
                <w:rtl/>
              </w:rPr>
            </w:pPr>
            <w:r>
              <w:rPr>
                <w:rFonts w:ascii="David" w:hAnsi="David" w:cs="David"/>
                <w:b/>
                <w:bCs/>
                <w:sz w:val="28"/>
                <w:szCs w:val="28"/>
                <w:rtl/>
              </w:rPr>
              <w:t>אורלי מור-אל, שופטת</w:t>
            </w:r>
          </w:p>
        </w:tc>
      </w:tr>
    </w:tbl>
    <w:p w14:paraId="751C6241" w14:textId="77777777" w:rsidR="00000000" w:rsidRDefault="00000000">
      <w:pPr>
        <w:bidi/>
        <w:spacing w:line="360" w:lineRule="auto"/>
        <w:jc w:val="both"/>
        <w:rPr>
          <w:rtl/>
        </w:rPr>
      </w:pPr>
      <w:r>
        <w:rPr>
          <w:rFonts w:ascii="David" w:hAnsi="David" w:cs="David"/>
          <w:b/>
          <w:bCs/>
          <w:sz w:val="28"/>
          <w:szCs w:val="28"/>
          <w:rtl/>
        </w:rPr>
        <w:t> </w:t>
      </w:r>
    </w:p>
    <w:p w14:paraId="5CF25FC2" w14:textId="77777777" w:rsidR="00000000" w:rsidRDefault="00000000">
      <w:pPr>
        <w:bidi/>
        <w:rPr>
          <w:rtl/>
        </w:rPr>
      </w:pPr>
      <w:r>
        <w:rPr>
          <w:rFonts w:ascii="David" w:hAnsi="David" w:cs="David"/>
          <w:color w:val="000000"/>
          <w:sz w:val="28"/>
          <w:szCs w:val="28"/>
          <w:rtl/>
        </w:rPr>
        <w:t> </w:t>
      </w:r>
    </w:p>
    <w:tbl>
      <w:tblPr>
        <w:bidiVisual/>
        <w:tblW w:w="5000" w:type="pct"/>
        <w:tblCellSpacing w:w="0" w:type="dxa"/>
        <w:tblCellMar>
          <w:left w:w="0" w:type="dxa"/>
          <w:right w:w="0" w:type="dxa"/>
        </w:tblCellMar>
        <w:tblLook w:val="04A0" w:firstRow="1" w:lastRow="0" w:firstColumn="1" w:lastColumn="0" w:noHBand="0" w:noVBand="1"/>
      </w:tblPr>
      <w:tblGrid>
        <w:gridCol w:w="8312"/>
      </w:tblGrid>
      <w:tr w:rsidR="00000000" w14:paraId="74A6DA10" w14:textId="77777777">
        <w:trPr>
          <w:tblCellSpacing w:w="0" w:type="dxa"/>
        </w:trPr>
        <w:tc>
          <w:tcPr>
            <w:tcW w:w="0" w:type="auto"/>
            <w:vAlign w:val="center"/>
            <w:hideMark/>
          </w:tcPr>
          <w:p w14:paraId="595070F6" w14:textId="77777777" w:rsidR="00000000" w:rsidRDefault="00000000">
            <w:pPr>
              <w:bidi/>
              <w:jc w:val="center"/>
              <w:divId w:val="1361780205"/>
              <w:rPr>
                <w:rFonts w:ascii="David" w:eastAsia="Times New Roman" w:hAnsi="David" w:cs="David"/>
                <w:rtl/>
              </w:rPr>
            </w:pPr>
            <w:proofErr w:type="spellStart"/>
            <w:r>
              <w:rPr>
                <w:rFonts w:ascii="David" w:eastAsia="Times New Roman" w:hAnsi="David" w:cs="David"/>
                <w:rtl/>
              </w:rPr>
              <w:t>עא</w:t>
            </w:r>
            <w:proofErr w:type="spellEnd"/>
            <w:r>
              <w:rPr>
                <w:rFonts w:ascii="David" w:eastAsia="Times New Roman" w:hAnsi="David" w:cs="David"/>
                <w:rtl/>
              </w:rPr>
              <w:t xml:space="preserve"> 63268-12-24 מ. ח. נגד מדינת ישראל - משרד </w:t>
            </w:r>
            <w:proofErr w:type="spellStart"/>
            <w:r>
              <w:rPr>
                <w:rFonts w:ascii="David" w:eastAsia="Times New Roman" w:hAnsi="David" w:cs="David"/>
                <w:rtl/>
              </w:rPr>
              <w:t>החינוך,מדינת</w:t>
            </w:r>
            <w:proofErr w:type="spellEnd"/>
            <w:r>
              <w:rPr>
                <w:rFonts w:ascii="David" w:eastAsia="Times New Roman" w:hAnsi="David" w:cs="David"/>
                <w:rtl/>
              </w:rPr>
              <w:t xml:space="preserve"> ישראל - משרד הרווחה והשירותים החברתיים</w:t>
            </w:r>
          </w:p>
          <w:p w14:paraId="7E0A8540" w14:textId="77777777" w:rsidR="00000000" w:rsidRDefault="00000000">
            <w:pPr>
              <w:pStyle w:val="a5"/>
              <w:bidi/>
              <w:jc w:val="center"/>
              <w:divId w:val="638652868"/>
              <w:rPr>
                <w:rtl/>
              </w:rPr>
            </w:pPr>
            <w:proofErr w:type="spellStart"/>
            <w:r>
              <w:rPr>
                <w:rtl/>
              </w:rPr>
              <w:t>עא</w:t>
            </w:r>
            <w:proofErr w:type="spellEnd"/>
            <w:r>
              <w:rPr>
                <w:rtl/>
              </w:rPr>
              <w:t xml:space="preserve"> 63268-12-24 מ. ח. נגד מדינת ישראל - משרד </w:t>
            </w:r>
            <w:proofErr w:type="spellStart"/>
            <w:r>
              <w:rPr>
                <w:rtl/>
              </w:rPr>
              <w:t>החינוך,מדינת</w:t>
            </w:r>
            <w:proofErr w:type="spellEnd"/>
            <w:r>
              <w:rPr>
                <w:rtl/>
              </w:rPr>
              <w:t xml:space="preserve"> ישראל - משרד הרווחה והשירותים החברתיים</w:t>
            </w:r>
          </w:p>
        </w:tc>
      </w:tr>
    </w:tbl>
    <w:p w14:paraId="400894B8" w14:textId="77777777" w:rsidR="00444810" w:rsidRDefault="00444810">
      <w:pPr>
        <w:rPr>
          <w:rFonts w:eastAsia="Times New Roman"/>
        </w:rPr>
      </w:pPr>
    </w:p>
    <w:sectPr w:rsidR="00444810">
      <w:footerReference w:type="default" r:id="rId12"/>
      <w:pgSz w:w="11906" w:h="16838"/>
      <w:pgMar w:top="1440" w:right="1797" w:bottom="1440" w:left="179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CEF64" w14:textId="77777777" w:rsidR="00444810" w:rsidRDefault="00444810">
      <w:r>
        <w:separator/>
      </w:r>
    </w:p>
  </w:endnote>
  <w:endnote w:type="continuationSeparator" w:id="0">
    <w:p w14:paraId="53310BC9" w14:textId="77777777" w:rsidR="00444810" w:rsidRDefault="0044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DC3D" w14:textId="77777777" w:rsidR="00000000" w:rsidRDefault="00000000">
    <w:pPr>
      <w:bidi/>
      <w:jc w:val="center"/>
      <w:rPr>
        <w:rFonts w:ascii="David" w:eastAsia="Times New Roman" w:hAnsi="David" w:cs="David"/>
        <w:rtl/>
      </w:rPr>
    </w:pPr>
    <w:proofErr w:type="spellStart"/>
    <w:r>
      <w:rPr>
        <w:rFonts w:ascii="David" w:eastAsia="Times New Roman" w:hAnsi="David" w:cs="David"/>
        <w:rtl/>
      </w:rPr>
      <w:t>עא</w:t>
    </w:r>
    <w:proofErr w:type="spellEnd"/>
    <w:r>
      <w:rPr>
        <w:rFonts w:ascii="David" w:eastAsia="Times New Roman" w:hAnsi="David" w:cs="David"/>
        <w:rtl/>
      </w:rPr>
      <w:t xml:space="preserve"> 63268-12-24 מ. ח. נגד מדינת ישראל - משרד </w:t>
    </w:r>
    <w:proofErr w:type="spellStart"/>
    <w:r>
      <w:rPr>
        <w:rFonts w:ascii="David" w:eastAsia="Times New Roman" w:hAnsi="David" w:cs="David"/>
        <w:rtl/>
      </w:rPr>
      <w:t>החינוך,מדינת</w:t>
    </w:r>
    <w:proofErr w:type="spellEnd"/>
    <w:r>
      <w:rPr>
        <w:rFonts w:ascii="David" w:eastAsia="Times New Roman" w:hAnsi="David" w:cs="David"/>
        <w:rtl/>
      </w:rPr>
      <w:t xml:space="preserve"> ישראל - משרד הרווחה והשירותים החברתיים</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1C8EF" w14:textId="77777777" w:rsidR="00444810" w:rsidRDefault="00444810">
      <w:r>
        <w:separator/>
      </w:r>
    </w:p>
  </w:footnote>
  <w:footnote w:type="continuationSeparator" w:id="0">
    <w:p w14:paraId="2196FB83" w14:textId="77777777" w:rsidR="00444810" w:rsidRDefault="004448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555B5"/>
    <w:rsid w:val="00444810"/>
    <w:rsid w:val="009555B5"/>
    <w:rsid w:val="00C44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80CFA1"/>
  <w15:chartTrackingRefBased/>
  <w15:docId w15:val="{093C4533-C232-4449-BEFD-3B67A985A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Pr>
      <w:color w:val="0000FF"/>
      <w:u w:val="single"/>
    </w:rPr>
  </w:style>
  <w:style w:type="character" w:styleId="FollowedHyperlink">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styleId="a3">
    <w:name w:val="header"/>
    <w:basedOn w:val="a"/>
    <w:link w:val="a4"/>
    <w:uiPriority w:val="99"/>
    <w:unhideWhenUsed/>
  </w:style>
  <w:style w:type="character" w:customStyle="1" w:styleId="a4">
    <w:name w:val="כותרת עליונה תו"/>
    <w:basedOn w:val="a0"/>
    <w:link w:val="a3"/>
    <w:uiPriority w:val="99"/>
    <w:rPr>
      <w:rFonts w:eastAsiaTheme="minorEastAsia"/>
      <w:sz w:val="24"/>
      <w:szCs w:val="24"/>
    </w:rPr>
  </w:style>
  <w:style w:type="paragraph" w:styleId="a5">
    <w:name w:val="footer"/>
    <w:basedOn w:val="a"/>
    <w:link w:val="a6"/>
    <w:uiPriority w:val="99"/>
    <w:unhideWhenUsed/>
    <w:pPr>
      <w:tabs>
        <w:tab w:val="center" w:pos="4320"/>
        <w:tab w:val="right" w:pos="8640"/>
      </w:tabs>
    </w:pPr>
    <w:rPr>
      <w:rFonts w:ascii="David" w:hAnsi="David" w:cs="David"/>
    </w:rPr>
  </w:style>
  <w:style w:type="character" w:customStyle="1" w:styleId="a6">
    <w:name w:val="כותרת תחתונה תו"/>
    <w:basedOn w:val="a0"/>
    <w:link w:val="a5"/>
    <w:uiPriority w:val="99"/>
    <w:rPr>
      <w:rFonts w:eastAsiaTheme="minorEastAsia"/>
      <w:sz w:val="24"/>
      <w:szCs w:val="24"/>
    </w:rPr>
  </w:style>
  <w:style w:type="paragraph" w:styleId="a7">
    <w:name w:val="Subtitle"/>
    <w:basedOn w:val="a"/>
    <w:link w:val="a8"/>
    <w:uiPriority w:val="11"/>
    <w:qFormat/>
    <w:pPr>
      <w:spacing w:after="60"/>
      <w:jc w:val="center"/>
    </w:pPr>
    <w:rPr>
      <w:rFonts w:ascii="Cambria" w:hAnsi="Cambria"/>
    </w:rPr>
  </w:style>
  <w:style w:type="character" w:customStyle="1" w:styleId="a8">
    <w:name w:val="כותרת משנה תו"/>
    <w:basedOn w:val="a0"/>
    <w:link w:val="a7"/>
    <w:uiPriority w:val="11"/>
    <w:rPr>
      <w:rFonts w:ascii="Cambria" w:hAnsi="Cambria" w:hint="default"/>
    </w:rPr>
  </w:style>
  <w:style w:type="paragraph" w:styleId="a9">
    <w:name w:val="List Paragraph"/>
    <w:basedOn w:val="a"/>
    <w:uiPriority w:val="34"/>
    <w:qFormat/>
    <w:pPr>
      <w:bidi/>
      <w:spacing w:after="160" w:line="256" w:lineRule="auto"/>
      <w:ind w:left="720"/>
    </w:pPr>
    <w:rPr>
      <w:rFonts w:ascii="Calibri" w:hAnsi="Calibri" w:cs="Calibri"/>
      <w:sz w:val="22"/>
      <w:szCs w:val="22"/>
    </w:rPr>
  </w:style>
  <w:style w:type="paragraph" w:customStyle="1" w:styleId="msolistparagraphcxspfirst">
    <w:name w:val="msolistparagraphcxspfirst"/>
    <w:basedOn w:val="a"/>
    <w:pPr>
      <w:bidi/>
      <w:spacing w:line="256" w:lineRule="auto"/>
      <w:ind w:left="720"/>
    </w:pPr>
    <w:rPr>
      <w:rFonts w:ascii="Calibri" w:hAnsi="Calibri" w:cs="Calibri"/>
      <w:sz w:val="22"/>
      <w:szCs w:val="22"/>
    </w:rPr>
  </w:style>
  <w:style w:type="paragraph" w:customStyle="1" w:styleId="msolistparagraphcxspmiddle">
    <w:name w:val="msolistparagraphcxspmiddle"/>
    <w:basedOn w:val="a"/>
    <w:pPr>
      <w:bidi/>
      <w:spacing w:line="256" w:lineRule="auto"/>
      <w:ind w:left="720"/>
    </w:pPr>
    <w:rPr>
      <w:rFonts w:ascii="Calibri" w:hAnsi="Calibri" w:cs="Calibri"/>
      <w:sz w:val="22"/>
      <w:szCs w:val="22"/>
    </w:rPr>
  </w:style>
  <w:style w:type="paragraph" w:customStyle="1" w:styleId="msolistparagraphcxsplast">
    <w:name w:val="msolistparagraphcxsplast"/>
    <w:basedOn w:val="a"/>
    <w:pPr>
      <w:bidi/>
      <w:spacing w:after="160" w:line="256" w:lineRule="auto"/>
      <w:ind w:left="720"/>
    </w:pPr>
    <w:rPr>
      <w:rFonts w:ascii="Calibri" w:hAnsi="Calibri" w:cs="Calibri"/>
      <w:sz w:val="22"/>
      <w:szCs w:val="22"/>
    </w:rPr>
  </w:style>
  <w:style w:type="paragraph" w:customStyle="1" w:styleId="idhidden">
    <w:name w:val="idhidden"/>
    <w:basedOn w:val="a"/>
    <w:pPr>
      <w:bidi/>
    </w:pPr>
    <w:rPr>
      <w:vanish/>
      <w:color w:val="3366FF"/>
    </w:rPr>
  </w:style>
  <w:style w:type="character" w:customStyle="1" w:styleId="mmtakdinchar">
    <w:name w:val="mmtakdin char"/>
    <w:basedOn w:val="a0"/>
    <w:link w:val="mmtakdin"/>
    <w:rPr>
      <w:vanish/>
      <w:webHidden w:val="0"/>
      <w:color w:val="FF0000"/>
      <w:specVanish w:val="0"/>
    </w:rPr>
  </w:style>
  <w:style w:type="paragraph" w:customStyle="1" w:styleId="mmtakdin">
    <w:name w:val="mmtakdin"/>
    <w:basedOn w:val="a"/>
    <w:link w:val="mmtakdinchar"/>
    <w:pPr>
      <w:bidi/>
    </w:pPr>
    <w:rPr>
      <w:vanish/>
      <w:color w:val="FF0000"/>
    </w:rPr>
  </w:style>
  <w:style w:type="character" w:customStyle="1" w:styleId="titlechar">
    <w:name w:val="title char"/>
    <w:basedOn w:val="a0"/>
    <w:link w:val="title"/>
    <w:rPr>
      <w:rFonts w:ascii="Arial" w:hAnsi="Arial" w:cs="Arial" w:hint="default"/>
      <w:b/>
      <w:bCs/>
    </w:rPr>
  </w:style>
  <w:style w:type="paragraph" w:customStyle="1" w:styleId="title">
    <w:name w:val="title"/>
    <w:basedOn w:val="a"/>
    <w:link w:val="titlechar"/>
    <w:pPr>
      <w:jc w:val="center"/>
    </w:pPr>
    <w:rPr>
      <w:rFonts w:ascii="Arial" w:hAnsi="Arial" w:cs="Arial"/>
      <w:b/>
      <w:bCs/>
      <w:sz w:val="32"/>
      <w:szCs w:val="32"/>
    </w:rPr>
  </w:style>
  <w:style w:type="paragraph" w:customStyle="1" w:styleId="datedoc">
    <w:name w:val="datedoc"/>
    <w:basedOn w:val="a"/>
    <w:pPr>
      <w:spacing w:after="200" w:line="276" w:lineRule="auto"/>
      <w:jc w:val="center"/>
    </w:pPr>
    <w:rPr>
      <w:rFonts w:ascii="Arial" w:hAnsi="Arial" w:cs="Arial"/>
      <w:b/>
      <w:bCs/>
      <w:spacing w:val="15"/>
      <w:sz w:val="28"/>
      <w:szCs w:val="28"/>
    </w:rPr>
  </w:style>
  <w:style w:type="paragraph" w:customStyle="1" w:styleId="content">
    <w:name w:val="content"/>
    <w:basedOn w:val="a"/>
    <w:pPr>
      <w:spacing w:after="200" w:line="276" w:lineRule="auto"/>
      <w:jc w:val="center"/>
    </w:pPr>
    <w:rPr>
      <w:rFonts w:ascii="Arial" w:hAnsi="Arial" w:cs="Arial"/>
      <w:spacing w:val="15"/>
      <w:sz w:val="28"/>
      <w:szCs w:val="28"/>
    </w:rPr>
  </w:style>
  <w:style w:type="paragraph" w:customStyle="1" w:styleId="judges">
    <w:name w:val="judges"/>
    <w:basedOn w:val="a"/>
    <w:pPr>
      <w:spacing w:after="200" w:line="276" w:lineRule="auto"/>
      <w:jc w:val="center"/>
    </w:pPr>
    <w:rPr>
      <w:rFonts w:ascii="Arial" w:hAnsi="Arial" w:cs="Arial"/>
      <w:spacing w:val="15"/>
      <w:sz w:val="28"/>
      <w:szCs w:val="28"/>
    </w:rPr>
  </w:style>
  <w:style w:type="paragraph" w:customStyle="1" w:styleId="lawyers">
    <w:name w:val="lawyers"/>
    <w:basedOn w:val="a"/>
    <w:pPr>
      <w:spacing w:after="200" w:line="276" w:lineRule="auto"/>
      <w:jc w:val="center"/>
    </w:pPr>
    <w:rPr>
      <w:rFonts w:ascii="Arial" w:hAnsi="Arial" w:cs="Arial"/>
      <w:spacing w:val="15"/>
    </w:rPr>
  </w:style>
  <w:style w:type="paragraph" w:customStyle="1" w:styleId="details">
    <w:name w:val="details"/>
    <w:basedOn w:val="a"/>
    <w:pPr>
      <w:spacing w:after="200" w:line="276" w:lineRule="auto"/>
      <w:jc w:val="center"/>
    </w:pPr>
    <w:rPr>
      <w:rFonts w:ascii="Arial" w:hAnsi="Arial" w:cs="Arial"/>
      <w:b/>
      <w:bCs/>
      <w:color w:val="800000"/>
      <w:spacing w:val="15"/>
      <w:sz w:val="30"/>
      <w:szCs w:val="30"/>
    </w:rPr>
  </w:style>
  <w:style w:type="paragraph" w:customStyle="1" w:styleId="sivugim">
    <w:name w:val="sivugim"/>
    <w:basedOn w:val="a"/>
    <w:pPr>
      <w:spacing w:after="200" w:line="276" w:lineRule="auto"/>
      <w:jc w:val="center"/>
    </w:pPr>
    <w:rPr>
      <w:rFonts w:ascii="Arial" w:hAnsi="Arial" w:cs="Arial"/>
      <w:spacing w:val="15"/>
    </w:rPr>
  </w:style>
  <w:style w:type="paragraph" w:customStyle="1" w:styleId="subtitle">
    <w:name w:val="subtitle"/>
    <w:basedOn w:val="a"/>
    <w:pPr>
      <w:spacing w:after="200" w:line="276" w:lineRule="auto"/>
    </w:pPr>
    <w:rPr>
      <w:rFonts w:ascii="Arial" w:hAnsi="Arial" w:cs="Arial"/>
      <w:b/>
      <w:bCs/>
      <w:spacing w:val="15"/>
    </w:rPr>
  </w:style>
  <w:style w:type="paragraph" w:customStyle="1" w:styleId="section1">
    <w:name w:val="section1"/>
    <w:basedOn w:val="a"/>
    <w:pPr>
      <w:spacing w:before="100" w:beforeAutospacing="1" w:after="100" w:afterAutospacing="1"/>
    </w:pPr>
  </w:style>
  <w:style w:type="character" w:styleId="aa">
    <w:name w:val="page number"/>
    <w:basedOn w:val="a0"/>
    <w:uiPriority w:val="99"/>
    <w:semiHidden/>
    <w:unhideWhenUsed/>
    <w:rPr>
      <w:rFonts w:ascii="Times New Roman" w:hAnsi="Times New Roman" w:cs="Times New Roman" w:hint="default"/>
    </w:rPr>
  </w:style>
  <w:style w:type="character" w:customStyle="1" w:styleId="timesnewromantimesnewroman">
    <w:name w:val="סגנון (לטיני) times new roman (עברית ושפות אחרות) times new roman..."/>
    <w:basedOn w:val="a0"/>
    <w:rPr>
      <w:rFonts w:ascii="Times New Roman" w:hAnsi="Times New Roman" w:cs="Times New Roman" w:hint="default"/>
      <w:b/>
      <w:bCs/>
    </w:rPr>
  </w:style>
  <w:style w:type="character" w:customStyle="1" w:styleId="f4dinim">
    <w:name w:val="f4dinim"/>
    <w:basedOn w:val="a0"/>
  </w:style>
  <w:style w:type="character" w:customStyle="1" w:styleId="f40dinim">
    <w:name w:val="f40dinim"/>
    <w:basedOn w:val="a0"/>
  </w:style>
  <w:style w:type="character" w:customStyle="1" w:styleId="f41dinim">
    <w:name w:val="f41dinim"/>
    <w:basedOn w:val="a0"/>
  </w:style>
  <w:style w:type="character" w:customStyle="1" w:styleId="f2dinim">
    <w:name w:val="f2dinim"/>
    <w:basedOn w:val="a0"/>
  </w:style>
  <w:style w:type="character" w:customStyle="1" w:styleId="f2ndinim">
    <w:name w:val="f2ndinim"/>
    <w:basedOn w:val="a0"/>
  </w:style>
  <w:style w:type="character" w:customStyle="1" w:styleId="f3dinim">
    <w:name w:val="f3dinim"/>
    <w:basedOn w:val="a0"/>
  </w:style>
  <w:style w:type="character" w:customStyle="1" w:styleId="f13hdinim">
    <w:name w:val="f13hdinim"/>
    <w:basedOn w:val="a0"/>
  </w:style>
  <w:style w:type="character" w:customStyle="1" w:styleId="f5dinim">
    <w:name w:val="f5dinim"/>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52868">
      <w:marLeft w:val="0"/>
      <w:marRight w:val="0"/>
      <w:marTop w:val="0"/>
      <w:marBottom w:val="0"/>
      <w:divBdr>
        <w:top w:val="none" w:sz="0" w:space="0" w:color="auto"/>
        <w:left w:val="none" w:sz="0" w:space="0" w:color="auto"/>
        <w:bottom w:val="none" w:sz="0" w:space="0" w:color="auto"/>
        <w:right w:val="none" w:sz="0" w:space="0" w:color="auto"/>
      </w:divBdr>
    </w:div>
    <w:div w:id="1361780205">
      <w:marLeft w:val="0"/>
      <w:marRight w:val="0"/>
      <w:marTop w:val="0"/>
      <w:marBottom w:val="0"/>
      <w:divBdr>
        <w:top w:val="none" w:sz="0" w:space="0" w:color="auto"/>
        <w:left w:val="none" w:sz="0" w:space="0" w:color="auto"/>
        <w:bottom w:val="none" w:sz="0" w:space="0" w:color="auto"/>
        <w:right w:val="none" w:sz="0" w:space="0" w:color="auto"/>
      </w:divBdr>
    </w:div>
    <w:div w:id="1829855790">
      <w:marLeft w:val="0"/>
      <w:marRight w:val="0"/>
      <w:marTop w:val="0"/>
      <w:marBottom w:val="0"/>
      <w:divBdr>
        <w:top w:val="none" w:sz="0" w:space="0" w:color="auto"/>
        <w:left w:val="none" w:sz="0" w:space="0" w:color="auto"/>
        <w:bottom w:val="none" w:sz="0" w:space="0" w:color="auto"/>
        <w:right w:val="none" w:sz="0" w:space="0" w:color="auto"/>
      </w:divBdr>
      <w:divsChild>
        <w:div w:id="102409237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https://takdin.co.il/hashavimcmsfiles/files/f82181bf8cd646be9e36fc2afd3a6163/image003.gi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takdin.co.il/hashavimcmsfiles/files/f82181bf8cd646be9e36fc2afd3a6163/image002.gif"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takdin.co.il/hashavimcmsfiles/files/f82181bf8cd646be9e36fc2afd3a6163/image001.jpg" TargetMode="External"/><Relationship Id="rId11" Type="http://schemas.openxmlformats.org/officeDocument/2006/relationships/image" Target="https://takdin.co.il/hashavimcmsfiles/files/f82181bf8cd646be9e36fc2afd3a6163/image006.jpg" TargetMode="External"/><Relationship Id="rId5" Type="http://schemas.openxmlformats.org/officeDocument/2006/relationships/endnotes" Target="endnotes.xml"/><Relationship Id="rId10" Type="http://schemas.openxmlformats.org/officeDocument/2006/relationships/image" Target="https://takdin.co.il/hashavimcmsfiles/files/f82181bf8cd646be9e36fc2afd3a6163/image005.gif" TargetMode="External"/><Relationship Id="rId4" Type="http://schemas.openxmlformats.org/officeDocument/2006/relationships/footnotes" Target="footnotes.xml"/><Relationship Id="rId9" Type="http://schemas.openxmlformats.org/officeDocument/2006/relationships/image" Target="https://takdin.co.il/hashavimcmsfiles/files/f82181bf8cd646be9e36fc2afd3a6163/image004.jpg" TargetMode="Externa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4986</Words>
  <Characters>24931</Characters>
  <Application>Microsoft Office Word</Application>
  <DocSecurity>0</DocSecurity>
  <Lines>207</Lines>
  <Paragraphs>59</Paragraphs>
  <ScaleCrop>false</ScaleCrop>
  <Company/>
  <LinksUpToDate>false</LinksUpToDate>
  <CharactersWithSpaces>29858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hxgfכגידיג</dc:title>
  <dc:subject/>
  <dc:creator>orit כהן</dc:creator>
  <cp:keywords/>
  <dc:description/>
  <cp:lastModifiedBy>orit כהן</cp:lastModifiedBy>
  <cp:revision>2</cp:revision>
  <dcterms:created xsi:type="dcterms:W3CDTF">2026-06-10T09:29:00Z</dcterms:created>
  <dcterms:modified xsi:type="dcterms:W3CDTF">2026-06-10T09:29:00Z</dcterms:modified>
</cp:coreProperties>
</file>