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E172C" w14:textId="5A103F20" w:rsidR="00000000" w:rsidRDefault="00000000">
      <w:pPr>
        <w:divId w:val="382876456"/>
        <w:rPr>
          <w:rFonts w:ascii="David" w:eastAsia="Times New Roman" w:hAnsi="David" w:cs="David"/>
        </w:rPr>
      </w:pPr>
    </w:p>
    <w:p w14:paraId="575BB0A6" w14:textId="77777777" w:rsidR="00000000" w:rsidRDefault="00000000">
      <w:pPr>
        <w:pStyle w:val="idhidden"/>
      </w:pPr>
      <w:r>
        <w:rPr>
          <w:rtl/>
        </w:rPr>
        <w:t>takd_id: תצ@63183-10-20;takd_s:20260222;takd_d:22.02.2026;takd_u:02.03.2026;mms_s:מחוזי;mms_p:17554;mms_y:2026;mms_v:1;orig_filename:eeaab363d4bd429b9119467f1654f621.html;taktzir_exist:0;kt_exist:0;</w:t>
      </w:r>
    </w:p>
    <w:tbl>
      <w:tblPr>
        <w:bidiVisual/>
        <w:tblW w:w="0" w:type="auto"/>
        <w:jc w:val="center"/>
        <w:tblCellMar>
          <w:left w:w="0" w:type="dxa"/>
          <w:right w:w="0" w:type="dxa"/>
        </w:tblCellMar>
        <w:tblLook w:val="04A0" w:firstRow="1" w:lastRow="0" w:firstColumn="1" w:lastColumn="0" w:noHBand="0" w:noVBand="1"/>
      </w:tblPr>
      <w:tblGrid>
        <w:gridCol w:w="4811"/>
        <w:gridCol w:w="3501"/>
      </w:tblGrid>
      <w:tr w:rsidR="00000000" w14:paraId="2C219EA7" w14:textId="77777777">
        <w:trPr>
          <w:trHeight w:val="704"/>
          <w:jc w:val="center"/>
        </w:trPr>
        <w:tc>
          <w:tcPr>
            <w:tcW w:w="8721" w:type="dxa"/>
            <w:gridSpan w:val="2"/>
            <w:tcMar>
              <w:top w:w="0" w:type="dxa"/>
              <w:left w:w="108" w:type="dxa"/>
              <w:bottom w:w="0" w:type="dxa"/>
              <w:right w:w="108" w:type="dxa"/>
            </w:tcMar>
            <w:hideMark/>
          </w:tcPr>
          <w:p w14:paraId="7394BCF3" w14:textId="77777777" w:rsidR="00000000" w:rsidRDefault="00000000">
            <w:pPr>
              <w:pStyle w:val="a5"/>
              <w:bidi/>
              <w:jc w:val="center"/>
              <w:rPr>
                <w:rtl/>
              </w:rPr>
            </w:pPr>
            <w:r>
              <w:rPr>
                <w:rStyle w:val="f4dinim"/>
                <w:rFonts w:ascii="David" w:hAnsi="David" w:cs="David"/>
                <w:color w:val="000080"/>
                <w:sz w:val="32"/>
                <w:szCs w:val="32"/>
                <w:rtl/>
              </w:rPr>
              <w:t>בית המשפט המחוזי בחיפה</w:t>
            </w:r>
          </w:p>
        </w:tc>
      </w:tr>
      <w:tr w:rsidR="00000000" w14:paraId="0A41AD6B" w14:textId="77777777">
        <w:trPr>
          <w:trHeight w:val="337"/>
          <w:jc w:val="center"/>
        </w:trPr>
        <w:tc>
          <w:tcPr>
            <w:tcW w:w="5047" w:type="dxa"/>
            <w:tcMar>
              <w:top w:w="0" w:type="dxa"/>
              <w:left w:w="108" w:type="dxa"/>
              <w:bottom w:w="0" w:type="dxa"/>
              <w:right w:w="108" w:type="dxa"/>
            </w:tcMar>
            <w:hideMark/>
          </w:tcPr>
          <w:p w14:paraId="20D0478F" w14:textId="77777777" w:rsidR="00000000" w:rsidRDefault="00000000">
            <w:pPr>
              <w:bidi/>
              <w:rPr>
                <w:rtl/>
              </w:rPr>
            </w:pPr>
            <w:r>
              <w:rPr>
                <w:rFonts w:ascii="David" w:hAnsi="David" w:cs="David"/>
                <w:b/>
                <w:bCs/>
                <w:sz w:val="26"/>
                <w:szCs w:val="26"/>
                <w:rtl/>
              </w:rPr>
              <w:t> </w:t>
            </w:r>
          </w:p>
        </w:tc>
        <w:tc>
          <w:tcPr>
            <w:tcW w:w="3674" w:type="dxa"/>
            <w:tcMar>
              <w:top w:w="0" w:type="dxa"/>
              <w:left w:w="108" w:type="dxa"/>
              <w:bottom w:w="0" w:type="dxa"/>
              <w:right w:w="108" w:type="dxa"/>
            </w:tcMar>
            <w:hideMark/>
          </w:tcPr>
          <w:p w14:paraId="7155F916" w14:textId="77777777" w:rsidR="00000000" w:rsidRDefault="00000000">
            <w:pPr>
              <w:pStyle w:val="a5"/>
              <w:bidi/>
              <w:jc w:val="right"/>
              <w:rPr>
                <w:rtl/>
              </w:rPr>
            </w:pPr>
            <w:r>
              <w:rPr>
                <w:rFonts w:ascii="David" w:hAnsi="David" w:cs="David"/>
                <w:b/>
                <w:bCs/>
                <w:sz w:val="26"/>
                <w:szCs w:val="26"/>
                <w:rtl/>
              </w:rPr>
              <w:t> </w:t>
            </w:r>
          </w:p>
        </w:tc>
      </w:tr>
      <w:tr w:rsidR="00000000" w14:paraId="0544605E" w14:textId="77777777">
        <w:trPr>
          <w:trHeight w:val="337"/>
          <w:jc w:val="center"/>
        </w:trPr>
        <w:tc>
          <w:tcPr>
            <w:tcW w:w="8721" w:type="dxa"/>
            <w:gridSpan w:val="2"/>
            <w:tcMar>
              <w:top w:w="0" w:type="dxa"/>
              <w:left w:w="108" w:type="dxa"/>
              <w:bottom w:w="0" w:type="dxa"/>
              <w:right w:w="108" w:type="dxa"/>
            </w:tcMar>
            <w:hideMark/>
          </w:tcPr>
          <w:p w14:paraId="14A68F0E" w14:textId="77777777" w:rsidR="00000000" w:rsidRDefault="00000000">
            <w:pPr>
              <w:bidi/>
              <w:rPr>
                <w:rtl/>
              </w:rPr>
            </w:pPr>
            <w:r>
              <w:rPr>
                <w:rStyle w:val="f40dinim"/>
                <w:rFonts w:ascii="David" w:hAnsi="David" w:cs="David"/>
                <w:color w:val="000000"/>
                <w:sz w:val="28"/>
                <w:szCs w:val="28"/>
                <w:rtl/>
              </w:rPr>
              <w:t>ת"צ 63183-10-20</w:t>
            </w:r>
            <w:r>
              <w:rPr>
                <w:rFonts w:ascii="David" w:hAnsi="David" w:cs="David"/>
                <w:sz w:val="28"/>
                <w:szCs w:val="28"/>
                <w:rtl/>
              </w:rPr>
              <w:t xml:space="preserve"> אביגל ואח' נ' דרך ארץ הייווייז (1997) בע"מ </w:t>
            </w:r>
          </w:p>
          <w:p w14:paraId="54CAD3DE" w14:textId="77777777" w:rsidR="00000000" w:rsidRDefault="00000000">
            <w:pPr>
              <w:bidi/>
              <w:rPr>
                <w:rtl/>
              </w:rPr>
            </w:pPr>
            <w:r>
              <w:rPr>
                <w:rFonts w:ascii="David" w:hAnsi="David" w:cs="David"/>
                <w:b/>
                <w:bCs/>
                <w:sz w:val="2"/>
                <w:szCs w:val="2"/>
                <w:rtl/>
              </w:rPr>
              <w:t> </w:t>
            </w:r>
          </w:p>
          <w:p w14:paraId="042EC5F1" w14:textId="77777777" w:rsidR="00000000" w:rsidRDefault="00000000">
            <w:pPr>
              <w:bidi/>
              <w:rPr>
                <w:rtl/>
              </w:rPr>
            </w:pPr>
            <w:r>
              <w:rPr>
                <w:rFonts w:ascii="David" w:hAnsi="David" w:cs="David"/>
                <w:sz w:val="20"/>
                <w:szCs w:val="20"/>
                <w:rtl/>
              </w:rPr>
              <w:t> </w:t>
            </w:r>
          </w:p>
          <w:p w14:paraId="116C5D4F" w14:textId="77777777" w:rsidR="00000000" w:rsidRDefault="00000000">
            <w:pPr>
              <w:bidi/>
              <w:rPr>
                <w:rtl/>
              </w:rPr>
            </w:pPr>
            <w:r>
              <w:rPr>
                <w:rFonts w:ascii="David" w:hAnsi="David" w:cs="David"/>
                <w:sz w:val="28"/>
                <w:szCs w:val="28"/>
                <w:rtl/>
              </w:rPr>
              <w:t>תיק חיצוני:  </w:t>
            </w:r>
          </w:p>
        </w:tc>
      </w:tr>
    </w:tbl>
    <w:p w14:paraId="2B31A042" w14:textId="77777777" w:rsidR="00000000" w:rsidRDefault="00000000">
      <w:pPr>
        <w:bidi/>
        <w:jc w:val="both"/>
        <w:rPr>
          <w:rtl/>
        </w:rPr>
      </w:pPr>
      <w:r>
        <w:rPr>
          <w:rFonts w:ascii="David" w:hAnsi="David" w:cs="David"/>
          <w:sz w:val="28"/>
          <w:szCs w:val="28"/>
          <w:rtl/>
        </w:rPr>
        <w:t> </w:t>
      </w:r>
    </w:p>
    <w:p w14:paraId="29DDE0F7" w14:textId="77777777" w:rsidR="00000000" w:rsidRDefault="00000000">
      <w:pPr>
        <w:bidi/>
        <w:jc w:val="both"/>
        <w:rPr>
          <w:rtl/>
        </w:rPr>
      </w:pPr>
      <w:r>
        <w:rPr>
          <w:rFonts w:ascii="David" w:hAnsi="David" w:cs="David"/>
          <w:sz w:val="28"/>
          <w:szCs w:val="28"/>
          <w:rtl/>
        </w:rPr>
        <w:t> </w:t>
      </w:r>
    </w:p>
    <w:tbl>
      <w:tblPr>
        <w:bidiVisual/>
        <w:tblW w:w="8802" w:type="dxa"/>
        <w:tblInd w:w="-28" w:type="dxa"/>
        <w:tblCellMar>
          <w:left w:w="0" w:type="dxa"/>
          <w:right w:w="0" w:type="dxa"/>
        </w:tblCellMar>
        <w:tblLook w:val="04A0" w:firstRow="1" w:lastRow="0" w:firstColumn="1" w:lastColumn="0" w:noHBand="0" w:noVBand="1"/>
      </w:tblPr>
      <w:tblGrid>
        <w:gridCol w:w="60"/>
        <w:gridCol w:w="2841"/>
        <w:gridCol w:w="5841"/>
        <w:gridCol w:w="60"/>
      </w:tblGrid>
      <w:tr w:rsidR="00000000" w14:paraId="63B8D2D3" w14:textId="77777777">
        <w:tc>
          <w:tcPr>
            <w:tcW w:w="30" w:type="dxa"/>
            <w:tcBorders>
              <w:top w:val="nil"/>
              <w:left w:val="nil"/>
              <w:bottom w:val="nil"/>
              <w:right w:val="nil"/>
            </w:tcBorders>
            <w:vAlign w:val="center"/>
            <w:hideMark/>
          </w:tcPr>
          <w:p w14:paraId="400C272B" w14:textId="77777777" w:rsidR="00000000" w:rsidRDefault="00000000">
            <w:pPr>
              <w:bidi/>
              <w:rPr>
                <w:rtl/>
              </w:rPr>
            </w:pPr>
            <w:r>
              <w:rPr>
                <w:rtl/>
              </w:rPr>
              <w:t> </w:t>
            </w:r>
          </w:p>
        </w:tc>
        <w:tc>
          <w:tcPr>
            <w:tcW w:w="8718" w:type="dxa"/>
            <w:gridSpan w:val="2"/>
            <w:tcMar>
              <w:top w:w="0" w:type="dxa"/>
              <w:left w:w="108" w:type="dxa"/>
              <w:bottom w:w="0" w:type="dxa"/>
              <w:right w:w="108" w:type="dxa"/>
            </w:tcMar>
            <w:hideMark/>
          </w:tcPr>
          <w:p w14:paraId="2D476261" w14:textId="77777777" w:rsidR="00000000" w:rsidRDefault="00000000">
            <w:pPr>
              <w:bidi/>
              <w:spacing w:line="360" w:lineRule="auto"/>
              <w:jc w:val="right"/>
              <w:rPr>
                <w:rtl/>
              </w:rPr>
            </w:pPr>
            <w:r>
              <w:rPr>
                <w:rStyle w:val="f41dinim"/>
                <w:rFonts w:ascii="David" w:hAnsi="David" w:cs="David"/>
                <w:color w:val="000000"/>
                <w:sz w:val="28"/>
                <w:szCs w:val="28"/>
                <w:rtl/>
              </w:rPr>
              <w:t xml:space="preserve">לפני כבוד השופט אברהים בולוס </w:t>
            </w:r>
          </w:p>
        </w:tc>
        <w:tc>
          <w:tcPr>
            <w:tcW w:w="60" w:type="dxa"/>
            <w:tcBorders>
              <w:top w:val="nil"/>
              <w:left w:val="nil"/>
              <w:bottom w:val="nil"/>
              <w:right w:val="nil"/>
            </w:tcBorders>
            <w:vAlign w:val="center"/>
            <w:hideMark/>
          </w:tcPr>
          <w:p w14:paraId="26960133" w14:textId="77777777" w:rsidR="00000000" w:rsidRDefault="00000000">
            <w:pPr>
              <w:bidi/>
              <w:rPr>
                <w:rtl/>
              </w:rPr>
            </w:pPr>
            <w:r>
              <w:rPr>
                <w:rtl/>
              </w:rPr>
              <w:t> </w:t>
            </w:r>
          </w:p>
        </w:tc>
      </w:tr>
      <w:tr w:rsidR="00000000" w14:paraId="7E2C79A8" w14:textId="77777777">
        <w:trPr>
          <w:cantSplit/>
          <w:trHeight w:val="724"/>
        </w:trPr>
        <w:tc>
          <w:tcPr>
            <w:tcW w:w="2880" w:type="dxa"/>
            <w:gridSpan w:val="2"/>
            <w:tcMar>
              <w:top w:w="0" w:type="dxa"/>
              <w:left w:w="108" w:type="dxa"/>
              <w:bottom w:w="0" w:type="dxa"/>
              <w:right w:w="108" w:type="dxa"/>
            </w:tcMar>
            <w:hideMark/>
          </w:tcPr>
          <w:p w14:paraId="447CC590" w14:textId="77777777" w:rsidR="00000000" w:rsidRDefault="00000000">
            <w:pPr>
              <w:bidi/>
              <w:ind w:left="26"/>
              <w:jc w:val="right"/>
              <w:rPr>
                <w:rtl/>
              </w:rPr>
            </w:pPr>
            <w:r>
              <w:rPr>
                <w:rFonts w:ascii="David" w:hAnsi="David" w:cs="David"/>
                <w:sz w:val="28"/>
                <w:szCs w:val="28"/>
                <w:rtl/>
              </w:rPr>
              <w:t> </w:t>
            </w:r>
          </w:p>
          <w:p w14:paraId="01B40826" w14:textId="77777777" w:rsidR="00000000" w:rsidRDefault="00000000">
            <w:pPr>
              <w:bidi/>
              <w:ind w:left="26"/>
              <w:jc w:val="right"/>
              <w:rPr>
                <w:rtl/>
              </w:rPr>
            </w:pPr>
            <w:r>
              <w:rPr>
                <w:rFonts w:ascii="David" w:hAnsi="David" w:cs="David"/>
                <w:sz w:val="28"/>
                <w:szCs w:val="28"/>
                <w:u w:val="single"/>
                <w:rtl/>
              </w:rPr>
              <w:t>המבקשים</w:t>
            </w:r>
          </w:p>
        </w:tc>
        <w:tc>
          <w:tcPr>
            <w:tcW w:w="5922" w:type="dxa"/>
            <w:gridSpan w:val="2"/>
            <w:tcMar>
              <w:top w:w="0" w:type="dxa"/>
              <w:left w:w="108" w:type="dxa"/>
              <w:bottom w:w="0" w:type="dxa"/>
              <w:right w:w="108" w:type="dxa"/>
            </w:tcMar>
            <w:hideMark/>
          </w:tcPr>
          <w:p w14:paraId="72A93D51" w14:textId="77777777" w:rsidR="00000000" w:rsidRDefault="00000000">
            <w:pPr>
              <w:bidi/>
              <w:jc w:val="right"/>
              <w:rPr>
                <w:rtl/>
              </w:rPr>
            </w:pPr>
            <w:r>
              <w:rPr>
                <w:rFonts w:ascii="David" w:hAnsi="David" w:cs="David"/>
                <w:sz w:val="28"/>
                <w:szCs w:val="28"/>
                <w:rtl/>
              </w:rPr>
              <w:t> </w:t>
            </w:r>
          </w:p>
          <w:p w14:paraId="61A25060" w14:textId="77777777" w:rsidR="00000000" w:rsidRDefault="00000000">
            <w:pPr>
              <w:bidi/>
              <w:jc w:val="right"/>
              <w:rPr>
                <w:rtl/>
              </w:rPr>
            </w:pPr>
            <w:r>
              <w:rPr>
                <w:rFonts w:ascii="David" w:hAnsi="David" w:cs="David"/>
                <w:sz w:val="28"/>
                <w:szCs w:val="28"/>
                <w:rtl/>
              </w:rPr>
              <w:t> </w:t>
            </w:r>
            <w:r>
              <w:rPr>
                <w:rStyle w:val="f2dinim"/>
                <w:rFonts w:ascii="David" w:hAnsi="David" w:cs="David"/>
                <w:color w:val="000000"/>
                <w:sz w:val="28"/>
                <w:szCs w:val="28"/>
                <w:rtl/>
              </w:rPr>
              <w:t>חיים אביגל</w:t>
            </w:r>
            <w:r>
              <w:rPr>
                <w:rFonts w:ascii="David" w:hAnsi="David" w:cs="David"/>
                <w:sz w:val="28"/>
                <w:szCs w:val="28"/>
                <w:rtl/>
              </w:rPr>
              <w:t xml:space="preserve">  </w:t>
            </w:r>
          </w:p>
          <w:p w14:paraId="2AF25EB3" w14:textId="77777777" w:rsidR="00000000" w:rsidRDefault="00000000">
            <w:pPr>
              <w:bidi/>
              <w:jc w:val="right"/>
              <w:rPr>
                <w:rtl/>
              </w:rPr>
            </w:pPr>
            <w:r>
              <w:rPr>
                <w:rFonts w:ascii="David" w:hAnsi="David" w:cs="David"/>
                <w:sz w:val="28"/>
                <w:szCs w:val="28"/>
                <w:rtl/>
              </w:rPr>
              <w:t> </w:t>
            </w:r>
            <w:r>
              <w:rPr>
                <w:rStyle w:val="f2dinim"/>
                <w:rFonts w:ascii="David" w:hAnsi="David" w:cs="David"/>
                <w:color w:val="000000"/>
                <w:sz w:val="28"/>
                <w:szCs w:val="28"/>
                <w:rtl/>
              </w:rPr>
              <w:t>פינחס גרינברג</w:t>
            </w:r>
            <w:r>
              <w:rPr>
                <w:rFonts w:ascii="David" w:hAnsi="David" w:cs="David"/>
                <w:sz w:val="28"/>
                <w:szCs w:val="28"/>
                <w:rtl/>
              </w:rPr>
              <w:t xml:space="preserve">  </w:t>
            </w:r>
          </w:p>
          <w:p w14:paraId="2F27BB1E" w14:textId="77777777" w:rsidR="00000000" w:rsidRDefault="00000000">
            <w:pPr>
              <w:bidi/>
              <w:jc w:val="right"/>
              <w:rPr>
                <w:rtl/>
              </w:rPr>
            </w:pPr>
            <w:r>
              <w:rPr>
                <w:rFonts w:ascii="David" w:hAnsi="David" w:cs="David"/>
                <w:sz w:val="28"/>
                <w:szCs w:val="28"/>
                <w:rtl/>
              </w:rPr>
              <w:t> </w:t>
            </w:r>
            <w:r>
              <w:rPr>
                <w:rStyle w:val="f2dinim"/>
                <w:rFonts w:ascii="David" w:hAnsi="David" w:cs="David"/>
                <w:color w:val="000000"/>
                <w:sz w:val="28"/>
                <w:szCs w:val="28"/>
                <w:rtl/>
              </w:rPr>
              <w:t>גד קונווי זוהר</w:t>
            </w:r>
            <w:r>
              <w:rPr>
                <w:rFonts w:ascii="David" w:hAnsi="David" w:cs="David"/>
                <w:sz w:val="28"/>
                <w:szCs w:val="28"/>
                <w:rtl/>
              </w:rPr>
              <w:t xml:space="preserve">  </w:t>
            </w:r>
          </w:p>
          <w:p w14:paraId="22422952" w14:textId="77777777" w:rsidR="00000000" w:rsidRDefault="00000000">
            <w:pPr>
              <w:bidi/>
              <w:jc w:val="right"/>
              <w:rPr>
                <w:rtl/>
              </w:rPr>
            </w:pPr>
            <w:r>
              <w:rPr>
                <w:rFonts w:ascii="David" w:hAnsi="David" w:cs="David"/>
                <w:sz w:val="28"/>
                <w:szCs w:val="28"/>
                <w:rtl/>
              </w:rPr>
              <w:t> </w:t>
            </w:r>
          </w:p>
          <w:p w14:paraId="5F37E3D6" w14:textId="77777777" w:rsidR="00000000" w:rsidRDefault="00000000">
            <w:pPr>
              <w:bidi/>
              <w:jc w:val="right"/>
              <w:rPr>
                <w:rtl/>
              </w:rPr>
            </w:pPr>
            <w:r>
              <w:rPr>
                <w:rFonts w:ascii="David" w:hAnsi="David" w:cs="David"/>
                <w:sz w:val="28"/>
                <w:szCs w:val="28"/>
                <w:rtl/>
              </w:rPr>
              <w:t>ע"י ב"כ עוה"ד ר' מושקין</w:t>
            </w:r>
          </w:p>
        </w:tc>
      </w:tr>
      <w:tr w:rsidR="00000000" w14:paraId="3CBFC489" w14:textId="77777777">
        <w:tc>
          <w:tcPr>
            <w:tcW w:w="8802" w:type="dxa"/>
            <w:gridSpan w:val="4"/>
            <w:tcMar>
              <w:top w:w="0" w:type="dxa"/>
              <w:left w:w="108" w:type="dxa"/>
              <w:bottom w:w="0" w:type="dxa"/>
              <w:right w:w="108" w:type="dxa"/>
            </w:tcMar>
            <w:vAlign w:val="center"/>
            <w:hideMark/>
          </w:tcPr>
          <w:p w14:paraId="0B4417F9" w14:textId="77777777" w:rsidR="00000000" w:rsidRDefault="00000000">
            <w:pPr>
              <w:bidi/>
              <w:jc w:val="center"/>
              <w:rPr>
                <w:rtl/>
              </w:rPr>
            </w:pPr>
            <w:r>
              <w:rPr>
                <w:rFonts w:ascii="David" w:hAnsi="David" w:cs="David"/>
                <w:sz w:val="28"/>
                <w:szCs w:val="28"/>
                <w:rtl/>
              </w:rPr>
              <w:t> </w:t>
            </w:r>
          </w:p>
          <w:p w14:paraId="4E585B56" w14:textId="77777777" w:rsidR="00000000" w:rsidRDefault="00000000">
            <w:pPr>
              <w:bidi/>
              <w:jc w:val="center"/>
              <w:rPr>
                <w:rtl/>
              </w:rPr>
            </w:pPr>
            <w:r>
              <w:rPr>
                <w:rStyle w:val="f2ndinim"/>
                <w:rFonts w:ascii="David" w:hAnsi="David" w:cs="David"/>
                <w:color w:val="000000"/>
                <w:sz w:val="28"/>
                <w:szCs w:val="28"/>
                <w:rtl/>
              </w:rPr>
              <w:t>נגד</w:t>
            </w:r>
          </w:p>
          <w:p w14:paraId="2EB4CEB5" w14:textId="77777777" w:rsidR="00000000" w:rsidRDefault="00000000">
            <w:pPr>
              <w:bidi/>
              <w:jc w:val="center"/>
              <w:rPr>
                <w:rtl/>
              </w:rPr>
            </w:pPr>
            <w:r>
              <w:rPr>
                <w:rFonts w:ascii="David" w:hAnsi="David" w:cs="David"/>
                <w:sz w:val="28"/>
                <w:szCs w:val="28"/>
                <w:rtl/>
              </w:rPr>
              <w:t> </w:t>
            </w:r>
          </w:p>
          <w:p w14:paraId="696AAEC6" w14:textId="77777777" w:rsidR="00000000" w:rsidRDefault="00000000">
            <w:pPr>
              <w:bidi/>
              <w:jc w:val="center"/>
              <w:rPr>
                <w:rtl/>
              </w:rPr>
            </w:pPr>
            <w:r>
              <w:rPr>
                <w:rFonts w:ascii="David" w:hAnsi="David" w:cs="David"/>
                <w:sz w:val="28"/>
                <w:szCs w:val="28"/>
                <w:rtl/>
              </w:rPr>
              <w:t> </w:t>
            </w:r>
          </w:p>
        </w:tc>
      </w:tr>
      <w:tr w:rsidR="00000000" w14:paraId="2466EA4F" w14:textId="77777777">
        <w:tc>
          <w:tcPr>
            <w:tcW w:w="2880" w:type="dxa"/>
            <w:gridSpan w:val="2"/>
            <w:tcMar>
              <w:top w:w="0" w:type="dxa"/>
              <w:left w:w="108" w:type="dxa"/>
              <w:bottom w:w="0" w:type="dxa"/>
              <w:right w:w="108" w:type="dxa"/>
            </w:tcMar>
            <w:hideMark/>
          </w:tcPr>
          <w:p w14:paraId="23E3971C" w14:textId="77777777" w:rsidR="00000000" w:rsidRDefault="00000000">
            <w:pPr>
              <w:bidi/>
              <w:ind w:left="26"/>
              <w:jc w:val="right"/>
              <w:rPr>
                <w:rtl/>
              </w:rPr>
            </w:pPr>
            <w:r>
              <w:rPr>
                <w:rFonts w:ascii="David" w:hAnsi="David" w:cs="David"/>
                <w:sz w:val="28"/>
                <w:szCs w:val="28"/>
                <w:u w:val="single"/>
                <w:rtl/>
              </w:rPr>
              <w:t xml:space="preserve">המשיבה </w:t>
            </w:r>
          </w:p>
        </w:tc>
        <w:tc>
          <w:tcPr>
            <w:tcW w:w="5922" w:type="dxa"/>
            <w:gridSpan w:val="2"/>
            <w:tcMar>
              <w:top w:w="0" w:type="dxa"/>
              <w:left w:w="108" w:type="dxa"/>
              <w:bottom w:w="0" w:type="dxa"/>
              <w:right w:w="108" w:type="dxa"/>
            </w:tcMar>
            <w:hideMark/>
          </w:tcPr>
          <w:p w14:paraId="6D28D0C1" w14:textId="77777777" w:rsidR="00000000" w:rsidRDefault="00000000">
            <w:pPr>
              <w:bidi/>
              <w:jc w:val="right"/>
              <w:rPr>
                <w:rtl/>
              </w:rPr>
            </w:pPr>
            <w:r>
              <w:rPr>
                <w:rStyle w:val="f3dinim"/>
                <w:rFonts w:ascii="David" w:hAnsi="David" w:cs="David"/>
                <w:color w:val="000000"/>
                <w:sz w:val="28"/>
                <w:szCs w:val="28"/>
                <w:rtl/>
              </w:rPr>
              <w:t>דרך ארץ הייווייז (1997) בע"מ</w:t>
            </w:r>
          </w:p>
          <w:p w14:paraId="51DD762C" w14:textId="77777777" w:rsidR="00000000" w:rsidRDefault="00000000">
            <w:pPr>
              <w:bidi/>
              <w:jc w:val="right"/>
              <w:rPr>
                <w:rtl/>
              </w:rPr>
            </w:pPr>
            <w:r>
              <w:rPr>
                <w:rFonts w:ascii="David" w:hAnsi="David" w:cs="David"/>
                <w:sz w:val="28"/>
                <w:szCs w:val="28"/>
                <w:rtl/>
              </w:rPr>
              <w:t> </w:t>
            </w:r>
          </w:p>
          <w:p w14:paraId="380B4BC7" w14:textId="77777777" w:rsidR="00000000" w:rsidRDefault="00000000">
            <w:pPr>
              <w:bidi/>
              <w:jc w:val="right"/>
              <w:rPr>
                <w:rtl/>
              </w:rPr>
            </w:pPr>
            <w:r>
              <w:rPr>
                <w:rFonts w:ascii="David" w:hAnsi="David" w:cs="David"/>
                <w:sz w:val="28"/>
                <w:szCs w:val="28"/>
                <w:rtl/>
              </w:rPr>
              <w:t>ע"י ב"כ עוה"ד יובל גרייבסקי ועמית דר</w:t>
            </w:r>
          </w:p>
        </w:tc>
      </w:tr>
      <w:tr w:rsidR="00000000" w14:paraId="7C07BB82" w14:textId="77777777">
        <w:tc>
          <w:tcPr>
            <w:tcW w:w="30" w:type="dxa"/>
            <w:tcBorders>
              <w:top w:val="nil"/>
              <w:left w:val="nil"/>
              <w:bottom w:val="nil"/>
              <w:right w:val="nil"/>
            </w:tcBorders>
            <w:vAlign w:val="center"/>
            <w:hideMark/>
          </w:tcPr>
          <w:p w14:paraId="1B37AA73" w14:textId="77777777" w:rsidR="00000000" w:rsidRDefault="00000000">
            <w:pPr>
              <w:rPr>
                <w:rtl/>
              </w:rPr>
            </w:pPr>
          </w:p>
        </w:tc>
        <w:tc>
          <w:tcPr>
            <w:tcW w:w="2850" w:type="dxa"/>
            <w:tcBorders>
              <w:top w:val="nil"/>
              <w:left w:val="nil"/>
              <w:bottom w:val="nil"/>
              <w:right w:val="nil"/>
            </w:tcBorders>
            <w:vAlign w:val="center"/>
            <w:hideMark/>
          </w:tcPr>
          <w:p w14:paraId="4192B7C6" w14:textId="77777777" w:rsidR="00000000" w:rsidRDefault="00000000">
            <w:pPr>
              <w:bidi/>
              <w:rPr>
                <w:rFonts w:eastAsia="Times New Roman"/>
                <w:sz w:val="20"/>
                <w:szCs w:val="20"/>
              </w:rPr>
            </w:pPr>
          </w:p>
        </w:tc>
        <w:tc>
          <w:tcPr>
            <w:tcW w:w="5865" w:type="dxa"/>
            <w:tcBorders>
              <w:top w:val="nil"/>
              <w:left w:val="nil"/>
              <w:bottom w:val="nil"/>
              <w:right w:val="nil"/>
            </w:tcBorders>
            <w:vAlign w:val="center"/>
            <w:hideMark/>
          </w:tcPr>
          <w:p w14:paraId="34A0F109" w14:textId="77777777" w:rsidR="00000000" w:rsidRDefault="00000000">
            <w:pPr>
              <w:bidi/>
              <w:rPr>
                <w:rFonts w:eastAsia="Times New Roman"/>
                <w:sz w:val="20"/>
                <w:szCs w:val="20"/>
              </w:rPr>
            </w:pPr>
          </w:p>
        </w:tc>
        <w:tc>
          <w:tcPr>
            <w:tcW w:w="60" w:type="dxa"/>
            <w:tcBorders>
              <w:top w:val="nil"/>
              <w:left w:val="nil"/>
              <w:bottom w:val="nil"/>
              <w:right w:val="nil"/>
            </w:tcBorders>
            <w:vAlign w:val="center"/>
            <w:hideMark/>
          </w:tcPr>
          <w:p w14:paraId="1D4BB266" w14:textId="77777777" w:rsidR="00000000" w:rsidRDefault="00000000">
            <w:pPr>
              <w:bidi/>
              <w:rPr>
                <w:rFonts w:eastAsia="Times New Roman"/>
                <w:sz w:val="20"/>
                <w:szCs w:val="20"/>
              </w:rPr>
            </w:pPr>
          </w:p>
        </w:tc>
      </w:tr>
    </w:tbl>
    <w:p w14:paraId="4FB15CDE" w14:textId="77777777" w:rsidR="00000000" w:rsidRDefault="00000000">
      <w:pPr>
        <w:bidi/>
        <w:spacing w:line="360" w:lineRule="auto"/>
        <w:jc w:val="both"/>
      </w:pPr>
      <w:r>
        <w:rPr>
          <w:rFonts w:ascii="David" w:hAnsi="David" w:cs="David"/>
          <w:sz w:val="28"/>
          <w:szCs w:val="28"/>
          <w:rtl/>
        </w:rPr>
        <w:t> </w:t>
      </w:r>
    </w:p>
    <w:p w14:paraId="62448730" w14:textId="77777777" w:rsidR="00000000" w:rsidRDefault="00000000">
      <w:pPr>
        <w:bidi/>
        <w:spacing w:line="360" w:lineRule="auto"/>
        <w:jc w:val="both"/>
        <w:rPr>
          <w:rtl/>
        </w:rPr>
      </w:pPr>
      <w:r>
        <w:rPr>
          <w:rFonts w:ascii="David" w:hAnsi="David" w:cs="David"/>
          <w:sz w:val="28"/>
          <w:szCs w:val="28"/>
          <w:rtl/>
        </w:rPr>
        <w:t> </w:t>
      </w:r>
    </w:p>
    <w:p w14:paraId="7A0334C5" w14:textId="77777777" w:rsidR="00000000" w:rsidRDefault="00000000">
      <w:pPr>
        <w:bidi/>
        <w:rPr>
          <w:rtl/>
        </w:rPr>
      </w:pPr>
      <w:r>
        <w:rPr>
          <w:rFonts w:ascii="David" w:hAnsi="David" w:cs="David"/>
          <w:sz w:val="28"/>
          <w:szCs w:val="28"/>
          <w:rtl/>
        </w:rPr>
        <w:t> </w:t>
      </w:r>
    </w:p>
    <w:p w14:paraId="680C5ED4" w14:textId="77777777" w:rsidR="00000000" w:rsidRDefault="00000000">
      <w:pPr>
        <w:bidi/>
        <w:jc w:val="both"/>
        <w:rPr>
          <w:rtl/>
        </w:rPr>
      </w:pPr>
      <w:r>
        <w:rPr>
          <w:rFonts w:ascii="David" w:hAnsi="David" w:cs="David"/>
          <w:sz w:val="28"/>
          <w:szCs w:val="28"/>
          <w:rtl/>
        </w:rPr>
        <w:t> </w:t>
      </w:r>
    </w:p>
    <w:p w14:paraId="3D9ECF32" w14:textId="77777777" w:rsidR="00000000" w:rsidRDefault="00000000">
      <w:pPr>
        <w:bidi/>
        <w:rPr>
          <w:rtl/>
        </w:rPr>
      </w:pPr>
      <w:r>
        <w:rPr>
          <w:rFonts w:ascii="David" w:hAnsi="David" w:cs="David"/>
          <w:sz w:val="28"/>
          <w:szCs w:val="28"/>
        </w:rPr>
        <w:t> </w:t>
      </w:r>
    </w:p>
    <w:tbl>
      <w:tblPr>
        <w:bidiVisual/>
        <w:tblW w:w="8820" w:type="dxa"/>
        <w:jc w:val="center"/>
        <w:tblCellMar>
          <w:left w:w="0" w:type="dxa"/>
          <w:right w:w="0" w:type="dxa"/>
        </w:tblCellMar>
        <w:tblLook w:val="04A0" w:firstRow="1" w:lastRow="0" w:firstColumn="1" w:lastColumn="0" w:noHBand="0" w:noVBand="1"/>
      </w:tblPr>
      <w:tblGrid>
        <w:gridCol w:w="8820"/>
      </w:tblGrid>
      <w:tr w:rsidR="00000000" w14:paraId="5FB667DC" w14:textId="77777777">
        <w:trPr>
          <w:jc w:val="center"/>
        </w:trPr>
        <w:tc>
          <w:tcPr>
            <w:tcW w:w="8820" w:type="dxa"/>
            <w:tcMar>
              <w:top w:w="0" w:type="dxa"/>
              <w:left w:w="108" w:type="dxa"/>
              <w:bottom w:w="0" w:type="dxa"/>
              <w:right w:w="108" w:type="dxa"/>
            </w:tcMar>
            <w:hideMark/>
          </w:tcPr>
          <w:p w14:paraId="107F8563" w14:textId="77777777" w:rsidR="00000000" w:rsidRDefault="00000000">
            <w:pPr>
              <w:bidi/>
              <w:jc w:val="center"/>
              <w:rPr>
                <w:rtl/>
              </w:rPr>
            </w:pPr>
            <w:r>
              <w:rPr>
                <w:rStyle w:val="f13hdinim"/>
                <w:rFonts w:ascii="David" w:hAnsi="David" w:cs="David"/>
                <w:b/>
                <w:bCs/>
                <w:color w:val="000000"/>
                <w:sz w:val="28"/>
                <w:szCs w:val="28"/>
                <w:u w:val="single"/>
                <w:rtl/>
              </w:rPr>
              <w:t>פסק דין</w:t>
            </w:r>
          </w:p>
          <w:p w14:paraId="072CE0BD" w14:textId="77777777" w:rsidR="00000000" w:rsidRDefault="00000000">
            <w:pPr>
              <w:bidi/>
              <w:jc w:val="center"/>
              <w:rPr>
                <w:rtl/>
              </w:rPr>
            </w:pPr>
            <w:r>
              <w:rPr>
                <w:rFonts w:ascii="David" w:hAnsi="David" w:cs="David"/>
                <w:b/>
                <w:bCs/>
                <w:sz w:val="28"/>
                <w:szCs w:val="28"/>
              </w:rPr>
              <w:t> </w:t>
            </w:r>
          </w:p>
        </w:tc>
      </w:tr>
    </w:tbl>
    <w:p w14:paraId="73BB3B69" w14:textId="77777777" w:rsidR="00000000" w:rsidRDefault="00000000">
      <w:pPr>
        <w:bidi/>
        <w:spacing w:line="360" w:lineRule="auto"/>
        <w:ind w:firstLine="720"/>
        <w:jc w:val="both"/>
        <w:rPr>
          <w:rtl/>
        </w:rPr>
      </w:pPr>
      <w:bookmarkStart w:id="0" w:name="ngcsbookmark"/>
      <w:bookmarkEnd w:id="0"/>
      <w:r>
        <w:rPr>
          <w:rFonts w:ascii="David" w:hAnsi="David" w:cs="David"/>
          <w:sz w:val="28"/>
          <w:szCs w:val="28"/>
          <w:rtl/>
        </w:rPr>
        <w:t xml:space="preserve">בקשה לאישור תובענה ייצוגית. </w:t>
      </w:r>
    </w:p>
    <w:p w14:paraId="70E318D6" w14:textId="77777777" w:rsidR="00000000" w:rsidRDefault="00000000">
      <w:pPr>
        <w:bidi/>
        <w:spacing w:line="360" w:lineRule="auto"/>
        <w:jc w:val="both"/>
        <w:rPr>
          <w:rtl/>
        </w:rPr>
      </w:pPr>
      <w:r>
        <w:rPr>
          <w:rFonts w:ascii="David" w:hAnsi="David" w:cs="David"/>
          <w:b/>
          <w:bCs/>
          <w:sz w:val="28"/>
          <w:szCs w:val="28"/>
          <w:rtl/>
        </w:rPr>
        <w:t> </w:t>
      </w:r>
    </w:p>
    <w:p w14:paraId="533CC6F2" w14:textId="77777777" w:rsidR="00000000" w:rsidRDefault="00000000">
      <w:pPr>
        <w:bidi/>
        <w:spacing w:line="360" w:lineRule="auto"/>
        <w:jc w:val="both"/>
        <w:rPr>
          <w:rtl/>
        </w:rPr>
      </w:pPr>
      <w:r>
        <w:rPr>
          <w:rFonts w:ascii="David" w:hAnsi="David" w:cs="David"/>
          <w:b/>
          <w:bCs/>
          <w:sz w:val="28"/>
          <w:szCs w:val="28"/>
          <w:u w:val="single"/>
          <w:rtl/>
        </w:rPr>
        <w:t xml:space="preserve">רקע כללי </w:t>
      </w:r>
    </w:p>
    <w:p w14:paraId="5DA91FD5" w14:textId="77777777" w:rsidR="00000000" w:rsidRDefault="00000000">
      <w:pPr>
        <w:bidi/>
        <w:spacing w:line="360" w:lineRule="auto"/>
        <w:jc w:val="both"/>
        <w:rPr>
          <w:rtl/>
        </w:rPr>
      </w:pPr>
      <w:r>
        <w:rPr>
          <w:rFonts w:ascii="David" w:hAnsi="David" w:cs="David"/>
          <w:b/>
          <w:bCs/>
          <w:sz w:val="28"/>
          <w:szCs w:val="28"/>
          <w:rtl/>
        </w:rPr>
        <w:t> </w:t>
      </w:r>
    </w:p>
    <w:p w14:paraId="3C371A20" w14:textId="77777777" w:rsidR="00000000" w:rsidRDefault="00000000">
      <w:pPr>
        <w:bidi/>
        <w:spacing w:line="360" w:lineRule="auto"/>
        <w:jc w:val="both"/>
        <w:rPr>
          <w:rtl/>
        </w:rPr>
      </w:pPr>
      <w:r>
        <w:rPr>
          <w:rFonts w:ascii="David" w:hAnsi="David" w:cs="David"/>
          <w:sz w:val="28"/>
          <w:szCs w:val="28"/>
          <w:rtl/>
        </w:rPr>
        <w:t xml:space="preserve">1.  בתמצית, נסובה בקשת האישור סביב טענת המבקשים כי המשיבה, חברת דרך ארץ הייווייז (1997) בע"מ (להלן: </w:t>
      </w:r>
      <w:r>
        <w:rPr>
          <w:rFonts w:ascii="David" w:hAnsi="David" w:cs="David"/>
          <w:b/>
          <w:bCs/>
          <w:sz w:val="28"/>
          <w:szCs w:val="28"/>
          <w:rtl/>
        </w:rPr>
        <w:t>המשיבה</w:t>
      </w:r>
      <w:r>
        <w:rPr>
          <w:rFonts w:ascii="David" w:hAnsi="David" w:cs="David"/>
          <w:sz w:val="28"/>
          <w:szCs w:val="28"/>
          <w:rtl/>
        </w:rPr>
        <w:t xml:space="preserve">), שהיא בעלת הזיכיון להפעלת המקטע המרכזי של כביש 6, מכביש 3 ועד מחלף עין תות (להלן: </w:t>
      </w:r>
      <w:r>
        <w:rPr>
          <w:rFonts w:ascii="David" w:hAnsi="David" w:cs="David"/>
          <w:b/>
          <w:bCs/>
          <w:sz w:val="28"/>
          <w:szCs w:val="28"/>
          <w:rtl/>
        </w:rPr>
        <w:t xml:space="preserve">"כביש 6" </w:t>
      </w:r>
      <w:r>
        <w:rPr>
          <w:rFonts w:ascii="David" w:hAnsi="David" w:cs="David"/>
          <w:sz w:val="28"/>
          <w:szCs w:val="28"/>
          <w:rtl/>
        </w:rPr>
        <w:t>או "</w:t>
      </w:r>
      <w:r>
        <w:rPr>
          <w:rFonts w:ascii="David" w:hAnsi="David" w:cs="David"/>
          <w:b/>
          <w:bCs/>
          <w:sz w:val="28"/>
          <w:szCs w:val="28"/>
          <w:rtl/>
        </w:rPr>
        <w:t>כביש האגרה"</w:t>
      </w:r>
      <w:r>
        <w:rPr>
          <w:rFonts w:ascii="David" w:hAnsi="David" w:cs="David"/>
          <w:sz w:val="28"/>
          <w:szCs w:val="28"/>
          <w:rtl/>
        </w:rPr>
        <w:t>), גובה דמי גבייה ממנוייה שלא כדין.</w:t>
      </w:r>
    </w:p>
    <w:p w14:paraId="28F21F1C" w14:textId="77777777" w:rsidR="00000000" w:rsidRDefault="00000000">
      <w:pPr>
        <w:bidi/>
        <w:spacing w:line="360" w:lineRule="auto"/>
        <w:ind w:left="368" w:hanging="368"/>
        <w:jc w:val="both"/>
        <w:rPr>
          <w:rtl/>
        </w:rPr>
      </w:pPr>
      <w:r>
        <w:rPr>
          <w:rFonts w:ascii="David" w:hAnsi="David" w:cs="David"/>
          <w:sz w:val="28"/>
          <w:szCs w:val="28"/>
          <w:rtl/>
        </w:rPr>
        <w:t> </w:t>
      </w:r>
    </w:p>
    <w:p w14:paraId="6BA034B5" w14:textId="77777777" w:rsidR="00000000" w:rsidRDefault="00000000">
      <w:pPr>
        <w:bidi/>
        <w:spacing w:line="360" w:lineRule="auto"/>
        <w:jc w:val="both"/>
        <w:rPr>
          <w:rtl/>
        </w:rPr>
      </w:pPr>
      <w:r>
        <w:rPr>
          <w:rFonts w:ascii="David" w:hAnsi="David" w:cs="David"/>
          <w:sz w:val="28"/>
          <w:szCs w:val="28"/>
          <w:rtl/>
        </w:rPr>
        <w:t>2.  תחילה, ולמען הבהירות, נעמוד על שלושת המסלולים האפשריים לצורך ההתקשרות עם המשיבה לשם השימוש בכביש האגרה:</w:t>
      </w:r>
    </w:p>
    <w:p w14:paraId="7C130527" w14:textId="77777777" w:rsidR="00000000" w:rsidRDefault="00000000">
      <w:pPr>
        <w:bidi/>
        <w:spacing w:line="360" w:lineRule="auto"/>
        <w:ind w:left="368" w:hanging="368"/>
        <w:jc w:val="both"/>
        <w:rPr>
          <w:rtl/>
        </w:rPr>
      </w:pPr>
      <w:r>
        <w:rPr>
          <w:rFonts w:ascii="David" w:hAnsi="David" w:cs="David"/>
          <w:sz w:val="28"/>
          <w:szCs w:val="28"/>
          <w:rtl/>
        </w:rPr>
        <w:t> </w:t>
      </w:r>
    </w:p>
    <w:p w14:paraId="00B99DB0" w14:textId="77777777" w:rsidR="00000000" w:rsidRDefault="00000000">
      <w:pPr>
        <w:bidi/>
        <w:spacing w:line="360" w:lineRule="auto"/>
        <w:ind w:left="713" w:hanging="345"/>
        <w:jc w:val="both"/>
        <w:rPr>
          <w:rtl/>
        </w:rPr>
      </w:pPr>
      <w:r>
        <w:rPr>
          <w:rFonts w:ascii="David" w:hAnsi="David" w:cs="David"/>
          <w:sz w:val="28"/>
          <w:szCs w:val="28"/>
          <w:rtl/>
        </w:rPr>
        <w:lastRenderedPageBreak/>
        <w:t xml:space="preserve">(א) </w:t>
      </w:r>
      <w:r>
        <w:rPr>
          <w:rFonts w:ascii="David" w:hAnsi="David" w:cs="David"/>
          <w:sz w:val="28"/>
          <w:szCs w:val="28"/>
          <w:u w:val="single"/>
          <w:rtl/>
        </w:rPr>
        <w:t>מנוי "פסקל"</w:t>
      </w:r>
      <w:r>
        <w:rPr>
          <w:rFonts w:ascii="David" w:hAnsi="David" w:cs="David"/>
          <w:sz w:val="28"/>
          <w:szCs w:val="28"/>
          <w:rtl/>
        </w:rPr>
        <w:t xml:space="preserve"> - משתמשים שהצטרפו מראש באמצעות הסכם מיוחד כמנויי כביש האגרה במסלול מתקן זיהוי פיזי מסוג "פסקל", והפקידו בידי המשיבה פיקדון עבור המכשיר. מכשיר הפסקל הינו התקן פיזי ייחודי המותקן בכלי הרכב, המאפשר זיהוי יעיל ומדויק של כלי הרכב בו הוא מותקן עם כניסתו לכביש האגרה. כמו כן, הפסקל מאפשר את זיהוי מספר המקטעים שכלי הרכב נסע בהם עד ליציאתו מהכביש, וזאת לצורך תמחור השימוש בכביש וגביית האגרה. לאחר הזיהוי נעשית הגביה בגין הנסיעה באמצעות פרטי כרטיס אשראי שהמנוי מסר במועד הצטרפותו.</w:t>
      </w:r>
    </w:p>
    <w:p w14:paraId="6BE3076E" w14:textId="77777777" w:rsidR="00000000" w:rsidRDefault="00000000">
      <w:pPr>
        <w:bidi/>
        <w:spacing w:line="360" w:lineRule="auto"/>
        <w:ind w:left="368" w:hanging="368"/>
        <w:jc w:val="both"/>
        <w:rPr>
          <w:rtl/>
        </w:rPr>
      </w:pPr>
      <w:r>
        <w:rPr>
          <w:rFonts w:ascii="David" w:hAnsi="David" w:cs="David"/>
          <w:sz w:val="28"/>
          <w:szCs w:val="28"/>
          <w:rtl/>
        </w:rPr>
        <w:t> </w:t>
      </w:r>
    </w:p>
    <w:p w14:paraId="7FA10463" w14:textId="77777777" w:rsidR="00000000" w:rsidRDefault="00000000">
      <w:pPr>
        <w:bidi/>
        <w:spacing w:line="360" w:lineRule="auto"/>
        <w:ind w:left="713" w:hanging="338"/>
        <w:jc w:val="both"/>
        <w:rPr>
          <w:rtl/>
        </w:rPr>
      </w:pPr>
      <w:r>
        <w:rPr>
          <w:rFonts w:ascii="David" w:hAnsi="David" w:cs="David"/>
          <w:sz w:val="28"/>
          <w:szCs w:val="28"/>
          <w:rtl/>
        </w:rPr>
        <w:t xml:space="preserve">(ב) </w:t>
      </w:r>
      <w:r>
        <w:rPr>
          <w:rFonts w:ascii="David" w:hAnsi="David" w:cs="David"/>
          <w:sz w:val="28"/>
          <w:szCs w:val="28"/>
          <w:u w:val="single"/>
          <w:rtl/>
        </w:rPr>
        <w:t>מנוי "ווידאו"</w:t>
      </w:r>
      <w:r>
        <w:rPr>
          <w:rFonts w:ascii="David" w:hAnsi="David" w:cs="David"/>
          <w:sz w:val="28"/>
          <w:szCs w:val="28"/>
          <w:rtl/>
        </w:rPr>
        <w:t xml:space="preserve"> - משתמשים שהצטרפו מראש כמנויי כביש האגרה באמצעות הסכם מיוחד, ומסרו את פרטיהם ופרטי הרכבים, וזיהויים לצורך גביית האגרה נעשה באמצעות צילום וידאו של לוחית הרישוי של הרכב, ובהמשך חיוב באמצעות פרטי כרטיס אשראי שהמנוי מסר למשיבה.</w:t>
      </w:r>
    </w:p>
    <w:p w14:paraId="5F325841" w14:textId="77777777" w:rsidR="00000000" w:rsidRDefault="00000000">
      <w:pPr>
        <w:bidi/>
        <w:spacing w:line="360" w:lineRule="auto"/>
        <w:ind w:left="713" w:hanging="338"/>
        <w:jc w:val="both"/>
        <w:rPr>
          <w:rtl/>
        </w:rPr>
      </w:pPr>
      <w:r>
        <w:rPr>
          <w:rFonts w:ascii="David" w:hAnsi="David" w:cs="David"/>
          <w:sz w:val="28"/>
          <w:szCs w:val="28"/>
          <w:rtl/>
        </w:rPr>
        <w:t> </w:t>
      </w:r>
    </w:p>
    <w:p w14:paraId="29708D0E" w14:textId="77777777" w:rsidR="00000000" w:rsidRDefault="00000000">
      <w:pPr>
        <w:bidi/>
        <w:spacing w:line="360" w:lineRule="auto"/>
        <w:ind w:left="713" w:hanging="338"/>
        <w:jc w:val="both"/>
        <w:rPr>
          <w:rtl/>
        </w:rPr>
      </w:pPr>
      <w:r>
        <w:rPr>
          <w:rFonts w:ascii="David" w:hAnsi="David" w:cs="David"/>
          <w:sz w:val="28"/>
          <w:szCs w:val="28"/>
          <w:rtl/>
        </w:rPr>
        <w:t>(ג)  "</w:t>
      </w:r>
      <w:r>
        <w:rPr>
          <w:rFonts w:ascii="David" w:hAnsi="David" w:cs="David"/>
          <w:sz w:val="28"/>
          <w:szCs w:val="28"/>
          <w:u w:val="single"/>
          <w:rtl/>
        </w:rPr>
        <w:t>משתמשים מזדמנים</w:t>
      </w:r>
      <w:r>
        <w:rPr>
          <w:rFonts w:ascii="David" w:hAnsi="David" w:cs="David"/>
          <w:sz w:val="28"/>
          <w:szCs w:val="28"/>
          <w:rtl/>
        </w:rPr>
        <w:t xml:space="preserve">" - נוסעים ארעיים המשתמשים בכביש האגרה באופן מזדמן, ולא הצטרפו מראש כמנויים לא באמצעות הפסקל ולא נרשמו באתר המשיבה כמנויי וידאו באמצעות הזדהות לרבות ציון מספר הרישוי של הרכב. פרטיהם אינם מצויים מבעוד מועד בידי המשיבה, זיהויים לצורך גביית האגרה מתבצע, בדומה למנויי הווידאו, באמצעות צילום של לוחית רישוי הרכב, אך המשיבה פועלת באופן אקטיבי לאיתורם ולשליחת החיוב בגין אגרת השימוש ודמי גבייה, בהתאם. </w:t>
      </w:r>
    </w:p>
    <w:p w14:paraId="5DE02AF3" w14:textId="77777777" w:rsidR="00000000" w:rsidRDefault="00000000">
      <w:pPr>
        <w:bidi/>
        <w:spacing w:line="360" w:lineRule="auto"/>
        <w:ind w:left="713" w:hanging="338"/>
        <w:jc w:val="both"/>
        <w:rPr>
          <w:rtl/>
        </w:rPr>
      </w:pPr>
      <w:r>
        <w:rPr>
          <w:rFonts w:ascii="David" w:hAnsi="David" w:cs="David"/>
          <w:sz w:val="28"/>
          <w:szCs w:val="28"/>
          <w:rtl/>
        </w:rPr>
        <w:t> </w:t>
      </w:r>
    </w:p>
    <w:p w14:paraId="7BDC9673" w14:textId="77777777" w:rsidR="00000000" w:rsidRDefault="00000000">
      <w:pPr>
        <w:bidi/>
        <w:spacing w:line="360" w:lineRule="auto"/>
        <w:ind w:firstLine="368"/>
        <w:jc w:val="both"/>
        <w:rPr>
          <w:rtl/>
        </w:rPr>
      </w:pPr>
      <w:r>
        <w:rPr>
          <w:rFonts w:ascii="David" w:hAnsi="David" w:cs="David"/>
          <w:b/>
          <w:bCs/>
          <w:sz w:val="28"/>
          <w:szCs w:val="28"/>
          <w:u w:val="single"/>
          <w:rtl/>
        </w:rPr>
        <w:t>המסגרת הנורמטיבית</w:t>
      </w:r>
    </w:p>
    <w:p w14:paraId="5884A260" w14:textId="77777777" w:rsidR="00000000" w:rsidRDefault="00000000">
      <w:pPr>
        <w:bidi/>
        <w:spacing w:line="360" w:lineRule="auto"/>
        <w:jc w:val="both"/>
        <w:rPr>
          <w:rtl/>
        </w:rPr>
      </w:pPr>
      <w:r>
        <w:rPr>
          <w:rFonts w:ascii="David" w:hAnsi="David" w:cs="David"/>
          <w:sz w:val="28"/>
          <w:szCs w:val="28"/>
          <w:rtl/>
        </w:rPr>
        <w:t> </w:t>
      </w:r>
    </w:p>
    <w:p w14:paraId="73562C97" w14:textId="77777777" w:rsidR="00000000" w:rsidRDefault="00000000">
      <w:pPr>
        <w:bidi/>
        <w:spacing w:line="360" w:lineRule="auto"/>
        <w:ind w:left="368" w:hanging="368"/>
        <w:jc w:val="both"/>
        <w:rPr>
          <w:rtl/>
        </w:rPr>
      </w:pPr>
      <w:r>
        <w:rPr>
          <w:rFonts w:ascii="David" w:hAnsi="David" w:cs="David"/>
          <w:sz w:val="28"/>
          <w:szCs w:val="28"/>
          <w:rtl/>
        </w:rPr>
        <w:t>3.    סעיף 1 ל</w:t>
      </w:r>
      <w:r>
        <w:rPr>
          <w:rFonts w:ascii="David" w:hAnsi="David" w:cs="David"/>
          <w:sz w:val="28"/>
          <w:szCs w:val="28"/>
          <w:u w:val="single"/>
          <w:rtl/>
        </w:rPr>
        <w:t>חוק כביש אגרה (כביש ארצי לישראל), התשנ"ה-1995</w:t>
      </w:r>
      <w:r>
        <w:rPr>
          <w:rFonts w:ascii="David" w:hAnsi="David" w:cs="David"/>
          <w:sz w:val="28"/>
          <w:szCs w:val="28"/>
          <w:rtl/>
        </w:rPr>
        <w:t xml:space="preserve"> (להלן: </w:t>
      </w:r>
      <w:r>
        <w:rPr>
          <w:rFonts w:ascii="David" w:hAnsi="David" w:cs="David"/>
          <w:b/>
          <w:bCs/>
          <w:sz w:val="28"/>
          <w:szCs w:val="28"/>
          <w:rtl/>
        </w:rPr>
        <w:t>החוק</w:t>
      </w:r>
      <w:r>
        <w:rPr>
          <w:rFonts w:ascii="David" w:hAnsi="David" w:cs="David"/>
          <w:sz w:val="28"/>
          <w:szCs w:val="28"/>
          <w:rtl/>
        </w:rPr>
        <w:t>), הוא סעיף ההגדרות, ומגדיר את המונחים הרלוונטיים לבקשת האישור, לרבות, "דמי גביה":</w:t>
      </w:r>
    </w:p>
    <w:p w14:paraId="4BF99664" w14:textId="77777777" w:rsidR="00000000" w:rsidRDefault="00000000">
      <w:pPr>
        <w:bidi/>
        <w:spacing w:line="360" w:lineRule="auto"/>
        <w:ind w:left="368" w:hanging="368"/>
        <w:jc w:val="both"/>
        <w:rPr>
          <w:rtl/>
        </w:rPr>
      </w:pPr>
      <w:r>
        <w:rPr>
          <w:rFonts w:ascii="David" w:hAnsi="David" w:cs="David"/>
          <w:sz w:val="28"/>
          <w:szCs w:val="28"/>
          <w:rtl/>
        </w:rPr>
        <w:t> </w:t>
      </w:r>
    </w:p>
    <w:p w14:paraId="410B45C8" w14:textId="77777777" w:rsidR="00000000" w:rsidRDefault="00000000">
      <w:pPr>
        <w:bidi/>
        <w:spacing w:line="360" w:lineRule="auto"/>
        <w:ind w:left="1643" w:right="1418"/>
        <w:jc w:val="both"/>
        <w:rPr>
          <w:rtl/>
        </w:rPr>
      </w:pPr>
      <w:r>
        <w:rPr>
          <w:rFonts w:ascii="David" w:hAnsi="David" w:cs="David"/>
          <w:b/>
          <w:bCs/>
          <w:sz w:val="28"/>
          <w:szCs w:val="28"/>
          <w:rtl/>
        </w:rPr>
        <w:t>"תשלום לפי חוק זה המיתוסף לאגרה בשל נסיעת רכב בכביש האגרה כאשר גביית האגרה נעשית שלא באמצעות תג חיוב".</w:t>
      </w:r>
    </w:p>
    <w:p w14:paraId="6880E01F" w14:textId="77777777" w:rsidR="00000000" w:rsidRDefault="00000000">
      <w:pPr>
        <w:bidi/>
        <w:spacing w:line="360" w:lineRule="auto"/>
        <w:ind w:left="368" w:hanging="368"/>
        <w:jc w:val="both"/>
        <w:rPr>
          <w:rtl/>
        </w:rPr>
      </w:pPr>
      <w:r>
        <w:rPr>
          <w:rFonts w:ascii="David" w:hAnsi="David" w:cs="David"/>
          <w:sz w:val="28"/>
          <w:szCs w:val="28"/>
          <w:rtl/>
        </w:rPr>
        <w:t xml:space="preserve">  </w:t>
      </w:r>
    </w:p>
    <w:p w14:paraId="3322F6A1" w14:textId="77777777" w:rsidR="00000000" w:rsidRDefault="00000000">
      <w:pPr>
        <w:bidi/>
        <w:spacing w:line="360" w:lineRule="auto"/>
        <w:ind w:left="368" w:hanging="368"/>
        <w:jc w:val="both"/>
        <w:rPr>
          <w:rtl/>
        </w:rPr>
      </w:pPr>
      <w:r>
        <w:rPr>
          <w:rFonts w:ascii="David" w:hAnsi="David" w:cs="David"/>
          <w:sz w:val="28"/>
          <w:szCs w:val="28"/>
          <w:rtl/>
        </w:rPr>
        <w:t>    כן, מגדיר הסעיף את המונח "תג חיוב":</w:t>
      </w:r>
    </w:p>
    <w:p w14:paraId="5F5C5182" w14:textId="77777777" w:rsidR="00000000" w:rsidRDefault="00000000">
      <w:pPr>
        <w:bidi/>
        <w:spacing w:line="360" w:lineRule="auto"/>
        <w:ind w:left="368" w:hanging="368"/>
        <w:jc w:val="both"/>
        <w:rPr>
          <w:rtl/>
        </w:rPr>
      </w:pPr>
      <w:r>
        <w:rPr>
          <w:rFonts w:ascii="David" w:hAnsi="David" w:cs="David"/>
          <w:sz w:val="28"/>
          <w:szCs w:val="28"/>
          <w:rtl/>
        </w:rPr>
        <w:t> </w:t>
      </w:r>
    </w:p>
    <w:p w14:paraId="73AFCBF4" w14:textId="77777777" w:rsidR="00000000" w:rsidRDefault="00000000">
      <w:pPr>
        <w:bidi/>
        <w:spacing w:line="360" w:lineRule="auto"/>
        <w:ind w:left="1643" w:right="1418"/>
        <w:jc w:val="both"/>
        <w:rPr>
          <w:rtl/>
        </w:rPr>
      </w:pPr>
      <w:r>
        <w:rPr>
          <w:rFonts w:ascii="David" w:hAnsi="David" w:cs="David"/>
          <w:b/>
          <w:bCs/>
          <w:sz w:val="28"/>
          <w:szCs w:val="28"/>
          <w:rtl/>
        </w:rPr>
        <w:t>"תג או התקן אחר שקבע בעל הזיכיון באישור הרשות הממונה, המיועדים לשמש אמצעי לתשלום האגרה".</w:t>
      </w:r>
      <w:r>
        <w:rPr>
          <w:rFonts w:ascii="David" w:hAnsi="David" w:cs="David"/>
          <w:sz w:val="28"/>
          <w:szCs w:val="28"/>
          <w:rtl/>
        </w:rPr>
        <w:t xml:space="preserve"> </w:t>
      </w:r>
    </w:p>
    <w:p w14:paraId="3A3046C7" w14:textId="77777777" w:rsidR="00000000" w:rsidRDefault="00000000">
      <w:pPr>
        <w:bidi/>
        <w:spacing w:line="360" w:lineRule="auto"/>
        <w:jc w:val="both"/>
        <w:rPr>
          <w:rtl/>
        </w:rPr>
      </w:pPr>
      <w:r>
        <w:rPr>
          <w:rFonts w:ascii="David" w:hAnsi="David" w:cs="David"/>
          <w:sz w:val="28"/>
          <w:szCs w:val="28"/>
          <w:rtl/>
        </w:rPr>
        <w:t> </w:t>
      </w:r>
    </w:p>
    <w:p w14:paraId="691812F0" w14:textId="77777777" w:rsidR="00000000" w:rsidRDefault="00000000">
      <w:pPr>
        <w:bidi/>
        <w:spacing w:line="360" w:lineRule="auto"/>
        <w:ind w:left="368" w:hanging="368"/>
        <w:jc w:val="both"/>
        <w:rPr>
          <w:rtl/>
        </w:rPr>
      </w:pPr>
      <w:r>
        <w:rPr>
          <w:rFonts w:ascii="David" w:hAnsi="David" w:cs="David"/>
          <w:sz w:val="28"/>
          <w:szCs w:val="28"/>
          <w:rtl/>
        </w:rPr>
        <w:t>    בהתאם לסעיף 1 לחוק :</w:t>
      </w:r>
    </w:p>
    <w:p w14:paraId="5B9B6870" w14:textId="77777777" w:rsidR="00000000" w:rsidRDefault="00000000">
      <w:pPr>
        <w:bidi/>
        <w:spacing w:line="360" w:lineRule="auto"/>
        <w:ind w:left="368" w:hanging="368"/>
        <w:jc w:val="both"/>
        <w:rPr>
          <w:rtl/>
        </w:rPr>
      </w:pPr>
      <w:r>
        <w:rPr>
          <w:rFonts w:ascii="David" w:hAnsi="David" w:cs="David"/>
          <w:sz w:val="28"/>
          <w:szCs w:val="28"/>
          <w:rtl/>
        </w:rPr>
        <w:t> </w:t>
      </w:r>
    </w:p>
    <w:p w14:paraId="74027610" w14:textId="77777777" w:rsidR="00000000" w:rsidRDefault="00000000">
      <w:pPr>
        <w:bidi/>
        <w:spacing w:line="360" w:lineRule="auto"/>
        <w:ind w:left="1643" w:right="1560"/>
        <w:jc w:val="both"/>
        <w:rPr>
          <w:rtl/>
        </w:rPr>
      </w:pPr>
      <w:r>
        <w:rPr>
          <w:rFonts w:ascii="David" w:hAnsi="David" w:cs="David"/>
          <w:b/>
          <w:bCs/>
          <w:sz w:val="28"/>
          <w:szCs w:val="28"/>
        </w:rPr>
        <w:t>"</w:t>
      </w:r>
      <w:r>
        <w:rPr>
          <w:rFonts w:ascii="David" w:hAnsi="David" w:cs="David"/>
          <w:b/>
          <w:bCs/>
          <w:sz w:val="28"/>
          <w:szCs w:val="28"/>
          <w:rtl/>
        </w:rPr>
        <w:t>הרשות הממונה</w:t>
      </w:r>
      <w:r>
        <w:rPr>
          <w:rFonts w:ascii="David" w:hAnsi="David" w:cs="David"/>
          <w:b/>
          <w:bCs/>
          <w:sz w:val="28"/>
          <w:szCs w:val="28"/>
        </w:rPr>
        <w:t xml:space="preserve">" - </w:t>
      </w:r>
      <w:r>
        <w:rPr>
          <w:rFonts w:ascii="David" w:hAnsi="David" w:cs="David"/>
          <w:b/>
          <w:bCs/>
          <w:sz w:val="28"/>
          <w:szCs w:val="28"/>
          <w:rtl/>
        </w:rPr>
        <w:t>חברת כביש חוצה ישראל בע"מ או מי שהממשלה תמנה בהתאם לחוזה הזיכיון</w:t>
      </w:r>
      <w:r>
        <w:rPr>
          <w:rFonts w:ascii="David" w:hAnsi="David" w:cs="David"/>
          <w:b/>
          <w:bCs/>
          <w:sz w:val="28"/>
          <w:szCs w:val="28"/>
        </w:rPr>
        <w:t>;</w:t>
      </w:r>
      <w:r>
        <w:rPr>
          <w:rFonts w:ascii="David" w:hAnsi="David" w:cs="David"/>
          <w:b/>
          <w:bCs/>
          <w:sz w:val="28"/>
          <w:szCs w:val="28"/>
          <w:rtl/>
        </w:rPr>
        <w:t>"</w:t>
      </w:r>
    </w:p>
    <w:p w14:paraId="1D783ACD" w14:textId="77777777" w:rsidR="00000000" w:rsidRDefault="00000000">
      <w:pPr>
        <w:bidi/>
        <w:spacing w:line="360" w:lineRule="auto"/>
        <w:ind w:left="1643" w:right="1560"/>
        <w:jc w:val="both"/>
        <w:rPr>
          <w:rtl/>
        </w:rPr>
      </w:pPr>
      <w:r>
        <w:rPr>
          <w:rFonts w:ascii="David" w:hAnsi="David" w:cs="David"/>
          <w:sz w:val="28"/>
          <w:szCs w:val="28"/>
          <w:rtl/>
        </w:rPr>
        <w:t> </w:t>
      </w:r>
    </w:p>
    <w:p w14:paraId="28748F09" w14:textId="77777777" w:rsidR="00000000" w:rsidRDefault="00000000">
      <w:pPr>
        <w:bidi/>
        <w:spacing w:line="360" w:lineRule="auto"/>
        <w:ind w:firstLine="720"/>
        <w:jc w:val="both"/>
        <w:rPr>
          <w:rtl/>
        </w:rPr>
      </w:pPr>
      <w:r>
        <w:rPr>
          <w:rFonts w:ascii="David" w:hAnsi="David" w:cs="David"/>
          <w:sz w:val="28"/>
          <w:szCs w:val="28"/>
          <w:rtl/>
        </w:rPr>
        <w:t xml:space="preserve">כקובע סעיף 1 לחוק חברת כביש חוצה ישראל בע"מ היא "הרשות הממונה" (להלן: </w:t>
      </w:r>
      <w:r>
        <w:rPr>
          <w:rFonts w:ascii="David" w:hAnsi="David" w:cs="David"/>
          <w:b/>
          <w:bCs/>
          <w:sz w:val="28"/>
          <w:szCs w:val="28"/>
          <w:rtl/>
        </w:rPr>
        <w:t xml:space="preserve">"חברת חוצה ישראל" </w:t>
      </w:r>
      <w:r>
        <w:rPr>
          <w:rFonts w:ascii="David" w:hAnsi="David" w:cs="David"/>
          <w:sz w:val="28"/>
          <w:szCs w:val="28"/>
          <w:rtl/>
        </w:rPr>
        <w:t>או "</w:t>
      </w:r>
      <w:r>
        <w:rPr>
          <w:rFonts w:ascii="David" w:hAnsi="David" w:cs="David"/>
          <w:b/>
          <w:bCs/>
          <w:sz w:val="28"/>
          <w:szCs w:val="28"/>
          <w:rtl/>
        </w:rPr>
        <w:t>הרשות הממונה"</w:t>
      </w:r>
      <w:r>
        <w:rPr>
          <w:rFonts w:ascii="David" w:hAnsi="David" w:cs="David"/>
          <w:sz w:val="28"/>
          <w:szCs w:val="28"/>
          <w:rtl/>
        </w:rPr>
        <w:t>) מטעם המדינה ליישום פרויקט כביש חוצה ישראל והפיקוח על הפעלתו, לרבות גביית אגרת הנסיעה, וכן היא בעלת תפקידים וסמכויות סטטוטוריים והסכמיים נוספים.</w:t>
      </w:r>
    </w:p>
    <w:p w14:paraId="1AA00777" w14:textId="77777777" w:rsidR="00000000" w:rsidRDefault="00000000">
      <w:pPr>
        <w:bidi/>
        <w:spacing w:line="360" w:lineRule="auto"/>
        <w:ind w:left="368" w:hanging="368"/>
        <w:jc w:val="both"/>
        <w:rPr>
          <w:rtl/>
        </w:rPr>
      </w:pPr>
      <w:r>
        <w:rPr>
          <w:rFonts w:ascii="David" w:hAnsi="David" w:cs="David"/>
          <w:sz w:val="28"/>
          <w:szCs w:val="28"/>
          <w:rtl/>
        </w:rPr>
        <w:t> </w:t>
      </w:r>
    </w:p>
    <w:p w14:paraId="084B26BE" w14:textId="77777777" w:rsidR="00000000" w:rsidRDefault="00000000">
      <w:pPr>
        <w:bidi/>
        <w:spacing w:line="360" w:lineRule="auto"/>
        <w:jc w:val="both"/>
        <w:rPr>
          <w:rtl/>
        </w:rPr>
      </w:pPr>
      <w:r>
        <w:rPr>
          <w:rFonts w:ascii="David" w:hAnsi="David" w:cs="David"/>
          <w:sz w:val="28"/>
          <w:szCs w:val="28"/>
          <w:rtl/>
        </w:rPr>
        <w:t>4.  כעולה מעמדת הרשות ממונה שהוגשה בתיק, בעלת הזיכיון (המשיבה) קבעה בהתאם לסמכות המוקנית לה בחוק כי "תג החיוב" בכל הנוגע להפעלת כביש 6 יהא התקן "פסקל". עוד הבהירה הרשות הממונה, כי אישרה את קביעת המשיבה כי הפסקל הינו "תג חיוב" לעניין סעיף 1 לחוק, חוזה הזיכיון והסכמי השימוש בין בעל הזיכיון לבין המשתמשים, מכוח סמכותה על פי חוק - עניין שאינו שנוי במחלוקת בין הצדדים.</w:t>
      </w:r>
    </w:p>
    <w:p w14:paraId="4619F794" w14:textId="77777777" w:rsidR="00000000" w:rsidRDefault="00000000">
      <w:pPr>
        <w:bidi/>
        <w:spacing w:line="360" w:lineRule="auto"/>
        <w:jc w:val="both"/>
        <w:rPr>
          <w:rtl/>
        </w:rPr>
      </w:pPr>
      <w:r>
        <w:rPr>
          <w:rFonts w:ascii="David" w:hAnsi="David" w:cs="David"/>
          <w:sz w:val="28"/>
          <w:szCs w:val="28"/>
          <w:rtl/>
        </w:rPr>
        <w:t> </w:t>
      </w:r>
    </w:p>
    <w:p w14:paraId="6D3BB737" w14:textId="77777777" w:rsidR="00000000" w:rsidRDefault="00000000">
      <w:pPr>
        <w:bidi/>
        <w:spacing w:line="360" w:lineRule="auto"/>
        <w:jc w:val="both"/>
        <w:rPr>
          <w:rtl/>
        </w:rPr>
      </w:pPr>
      <w:r>
        <w:rPr>
          <w:rFonts w:ascii="David" w:hAnsi="David" w:cs="David"/>
          <w:sz w:val="28"/>
          <w:szCs w:val="28"/>
          <w:rtl/>
        </w:rPr>
        <w:t xml:space="preserve">5.  עוד יש להזכיר, כי הסמכת המשיבה לגביית דמי גביה קיבלה ביטוי בסעיף 7(3) לחוק בזו הלשון: </w:t>
      </w:r>
    </w:p>
    <w:p w14:paraId="26F099A4" w14:textId="77777777" w:rsidR="00000000" w:rsidRDefault="00000000">
      <w:pPr>
        <w:bidi/>
        <w:spacing w:before="45" w:after="50" w:line="360" w:lineRule="auto"/>
        <w:ind w:left="1643" w:right="1560"/>
        <w:jc w:val="both"/>
        <w:rPr>
          <w:rtl/>
        </w:rPr>
      </w:pPr>
      <w:r>
        <w:rPr>
          <w:rFonts w:ascii="David" w:hAnsi="David" w:cs="David"/>
          <w:b/>
          <w:bCs/>
          <w:sz w:val="28"/>
          <w:szCs w:val="28"/>
          <w:rtl/>
        </w:rPr>
        <w:t>"לבעל הזכיון יהיו נתונות, לענין הפעלת כביש האגרה, הסמכויות הבאות -</w:t>
      </w:r>
    </w:p>
    <w:p w14:paraId="7742E857" w14:textId="77777777" w:rsidR="00000000" w:rsidRDefault="00000000">
      <w:pPr>
        <w:bidi/>
        <w:spacing w:before="45" w:after="50" w:line="360" w:lineRule="auto"/>
        <w:ind w:left="1643" w:right="1560"/>
        <w:jc w:val="both"/>
        <w:rPr>
          <w:rtl/>
        </w:rPr>
      </w:pPr>
      <w:r>
        <w:rPr>
          <w:rFonts w:ascii="David" w:hAnsi="David" w:cs="David"/>
          <w:b/>
          <w:bCs/>
          <w:sz w:val="28"/>
          <w:szCs w:val="28"/>
          <w:rtl/>
        </w:rPr>
        <w:t>   (3) סמכות לגבות אגרה באמצעות תג חיוב או אמצעים אחרים, וכן סמכות לגבות דמי גביה, פיצוי והחזר הוצאות, הכל לפי הוראות חוק זה וחוזה הזיכיון."</w:t>
      </w:r>
    </w:p>
    <w:p w14:paraId="5CD8418C" w14:textId="77777777" w:rsidR="00000000" w:rsidRDefault="00000000">
      <w:pPr>
        <w:bidi/>
        <w:spacing w:line="360" w:lineRule="auto"/>
        <w:jc w:val="both"/>
        <w:rPr>
          <w:rtl/>
        </w:rPr>
      </w:pPr>
      <w:r>
        <w:rPr>
          <w:rFonts w:ascii="David" w:hAnsi="David" w:cs="David"/>
          <w:sz w:val="28"/>
          <w:szCs w:val="28"/>
          <w:rtl/>
        </w:rPr>
        <w:t> </w:t>
      </w:r>
    </w:p>
    <w:p w14:paraId="6F578015" w14:textId="77777777" w:rsidR="00000000" w:rsidRDefault="00000000">
      <w:pPr>
        <w:bidi/>
        <w:spacing w:line="360" w:lineRule="auto"/>
        <w:ind w:left="720"/>
        <w:jc w:val="both"/>
        <w:rPr>
          <w:rtl/>
        </w:rPr>
      </w:pPr>
      <w:r>
        <w:rPr>
          <w:rFonts w:ascii="David" w:hAnsi="David" w:cs="David"/>
          <w:sz w:val="28"/>
          <w:szCs w:val="28"/>
          <w:rtl/>
        </w:rPr>
        <w:t>ולעניין קביעת סכומי דמי הגביה נקבע בסעיף 12(ב)(1) לחוק בזו הלשון:</w:t>
      </w:r>
    </w:p>
    <w:p w14:paraId="0AD998DF" w14:textId="77777777" w:rsidR="00000000" w:rsidRDefault="00000000">
      <w:pPr>
        <w:bidi/>
        <w:spacing w:line="360" w:lineRule="auto"/>
        <w:ind w:left="368" w:hanging="368"/>
        <w:jc w:val="both"/>
        <w:rPr>
          <w:rtl/>
        </w:rPr>
      </w:pPr>
      <w:r>
        <w:rPr>
          <w:rFonts w:ascii="David" w:hAnsi="David" w:cs="David"/>
          <w:sz w:val="28"/>
          <w:szCs w:val="28"/>
          <w:rtl/>
        </w:rPr>
        <w:t> </w:t>
      </w:r>
    </w:p>
    <w:p w14:paraId="58CA6493" w14:textId="77777777" w:rsidR="00000000" w:rsidRDefault="00000000">
      <w:pPr>
        <w:bidi/>
        <w:spacing w:before="45" w:after="50" w:line="360" w:lineRule="auto"/>
        <w:ind w:left="1440" w:hanging="720"/>
        <w:jc w:val="both"/>
        <w:rPr>
          <w:rtl/>
        </w:rPr>
      </w:pPr>
      <w:r>
        <w:rPr>
          <w:rFonts w:ascii="David" w:hAnsi="David" w:cs="David"/>
          <w:sz w:val="28"/>
          <w:szCs w:val="28"/>
          <w:rtl/>
        </w:rPr>
        <w:t xml:space="preserve">  </w:t>
      </w:r>
      <w:r>
        <w:rPr>
          <w:rFonts w:ascii="David" w:hAnsi="David" w:cs="David"/>
          <w:b/>
          <w:bCs/>
          <w:sz w:val="28"/>
          <w:szCs w:val="28"/>
          <w:rtl/>
        </w:rPr>
        <w:t>"(ב)  השר, בהסכמת שר האוצר ושר התחבורה, רשאי לקבוע -</w:t>
      </w:r>
    </w:p>
    <w:p w14:paraId="678132C4" w14:textId="77777777" w:rsidR="00000000" w:rsidRDefault="00000000">
      <w:pPr>
        <w:bidi/>
        <w:spacing w:before="45" w:after="50" w:line="360" w:lineRule="auto"/>
        <w:ind w:left="2160" w:hanging="720"/>
        <w:jc w:val="both"/>
        <w:rPr>
          <w:rtl/>
        </w:rPr>
      </w:pPr>
      <w:r>
        <w:rPr>
          <w:rFonts w:ascii="David" w:hAnsi="David" w:cs="David"/>
          <w:b/>
          <w:bCs/>
          <w:sz w:val="28"/>
          <w:szCs w:val="28"/>
          <w:rtl/>
        </w:rPr>
        <w:t>(1)  את סכומי דמי הגביה, באישור ועדת הכלכלה של הכנסת;</w:t>
      </w:r>
    </w:p>
    <w:p w14:paraId="62858176" w14:textId="77777777" w:rsidR="00000000" w:rsidRDefault="00000000">
      <w:pPr>
        <w:bidi/>
        <w:spacing w:line="360" w:lineRule="auto"/>
        <w:ind w:left="368" w:hanging="368"/>
        <w:jc w:val="both"/>
        <w:rPr>
          <w:rtl/>
        </w:rPr>
      </w:pPr>
      <w:r>
        <w:rPr>
          <w:rFonts w:ascii="David" w:hAnsi="David" w:cs="David"/>
          <w:sz w:val="28"/>
          <w:szCs w:val="28"/>
          <w:rtl/>
        </w:rPr>
        <w:t> </w:t>
      </w:r>
    </w:p>
    <w:p w14:paraId="36C47A2A" w14:textId="77777777" w:rsidR="00000000" w:rsidRDefault="00000000">
      <w:pPr>
        <w:bidi/>
        <w:spacing w:line="360" w:lineRule="auto"/>
        <w:ind w:left="368"/>
        <w:jc w:val="both"/>
        <w:rPr>
          <w:rtl/>
        </w:rPr>
      </w:pPr>
      <w:r>
        <w:rPr>
          <w:rFonts w:ascii="David" w:hAnsi="David" w:cs="David"/>
          <w:sz w:val="28"/>
          <w:szCs w:val="28"/>
          <w:rtl/>
        </w:rPr>
        <w:t>ובהמשך בסעיף 16 לחוק :</w:t>
      </w:r>
    </w:p>
    <w:p w14:paraId="2A8F5F1F" w14:textId="77777777" w:rsidR="00000000" w:rsidRDefault="00000000">
      <w:pPr>
        <w:bidi/>
        <w:spacing w:line="360" w:lineRule="auto"/>
        <w:ind w:left="368" w:hanging="368"/>
        <w:jc w:val="both"/>
        <w:rPr>
          <w:rtl/>
        </w:rPr>
      </w:pPr>
      <w:r>
        <w:rPr>
          <w:rFonts w:ascii="David" w:hAnsi="David" w:cs="David"/>
          <w:sz w:val="28"/>
          <w:szCs w:val="28"/>
          <w:rtl/>
        </w:rPr>
        <w:t> </w:t>
      </w:r>
    </w:p>
    <w:p w14:paraId="5940F523" w14:textId="77777777" w:rsidR="00000000" w:rsidRDefault="00000000">
      <w:pPr>
        <w:bidi/>
        <w:spacing w:line="360" w:lineRule="auto"/>
        <w:ind w:left="1643" w:right="1560"/>
        <w:jc w:val="both"/>
        <w:rPr>
          <w:rtl/>
        </w:rPr>
      </w:pPr>
      <w:r>
        <w:rPr>
          <w:rFonts w:ascii="David" w:hAnsi="David" w:cs="David"/>
          <w:b/>
          <w:bCs/>
          <w:sz w:val="28"/>
          <w:szCs w:val="28"/>
          <w:rtl/>
        </w:rPr>
        <w:t>"השר ממונה על ביצוע חוק זה והוא רשאי, בהסכמת שר האוצר ושר התחבורה, להתקין תקנות בכל הנוגע לביצועו."</w:t>
      </w:r>
    </w:p>
    <w:p w14:paraId="2C09277E" w14:textId="77777777" w:rsidR="00000000" w:rsidRDefault="00000000">
      <w:pPr>
        <w:bidi/>
        <w:spacing w:line="360" w:lineRule="auto"/>
        <w:jc w:val="both"/>
        <w:rPr>
          <w:rtl/>
        </w:rPr>
      </w:pPr>
      <w:r>
        <w:rPr>
          <w:rFonts w:ascii="David" w:hAnsi="David" w:cs="David"/>
          <w:b/>
          <w:bCs/>
          <w:sz w:val="28"/>
          <w:szCs w:val="28"/>
          <w:rtl/>
        </w:rPr>
        <w:t> </w:t>
      </w:r>
    </w:p>
    <w:p w14:paraId="763CD633" w14:textId="77777777" w:rsidR="00000000" w:rsidRDefault="00000000">
      <w:pPr>
        <w:bidi/>
        <w:spacing w:line="360" w:lineRule="auto"/>
        <w:jc w:val="both"/>
        <w:rPr>
          <w:rtl/>
        </w:rPr>
      </w:pPr>
      <w:r>
        <w:rPr>
          <w:rFonts w:ascii="David" w:hAnsi="David" w:cs="David"/>
          <w:sz w:val="28"/>
          <w:szCs w:val="28"/>
          <w:rtl/>
        </w:rPr>
        <w:t>6.</w:t>
      </w:r>
      <w:r>
        <w:rPr>
          <w:rFonts w:ascii="David" w:hAnsi="David" w:cs="David"/>
          <w:b/>
          <w:bCs/>
          <w:sz w:val="28"/>
          <w:szCs w:val="28"/>
          <w:rtl/>
        </w:rPr>
        <w:t xml:space="preserve">  </w:t>
      </w:r>
      <w:r>
        <w:rPr>
          <w:rFonts w:ascii="David" w:hAnsi="David" w:cs="David"/>
          <w:sz w:val="28"/>
          <w:szCs w:val="28"/>
          <w:rtl/>
        </w:rPr>
        <w:t>מתוקף הסמכות שניתנה לשר הממונה לפי סעיפים 12(ב)(1) ו-16 לחוק הותקנו</w:t>
      </w:r>
      <w:r>
        <w:rPr>
          <w:rFonts w:ascii="David" w:hAnsi="David" w:cs="David"/>
          <w:sz w:val="28"/>
          <w:szCs w:val="28"/>
          <w:u w:val="single"/>
          <w:rtl/>
        </w:rPr>
        <w:t xml:space="preserve"> תקנות כביש אגרה (כביש ארצי לישראל) (סכומי דמי הגביה), תשנ"ט-1999</w:t>
      </w:r>
      <w:r>
        <w:rPr>
          <w:rFonts w:ascii="David" w:hAnsi="David" w:cs="David"/>
          <w:sz w:val="28"/>
          <w:szCs w:val="28"/>
          <w:rtl/>
        </w:rPr>
        <w:t xml:space="preserve"> (להלן: </w:t>
      </w:r>
      <w:r>
        <w:rPr>
          <w:rFonts w:ascii="David" w:hAnsi="David" w:cs="David"/>
          <w:b/>
          <w:bCs/>
          <w:sz w:val="28"/>
          <w:szCs w:val="28"/>
          <w:rtl/>
        </w:rPr>
        <w:t>תקנות הגביה</w:t>
      </w:r>
      <w:r>
        <w:rPr>
          <w:rFonts w:ascii="David" w:hAnsi="David" w:cs="David"/>
          <w:sz w:val="28"/>
          <w:szCs w:val="28"/>
          <w:rtl/>
        </w:rPr>
        <w:t xml:space="preserve">). בתקנה 1 לתקנות הגביה הוגדרו סוגי החייבים, כלהלן : </w:t>
      </w:r>
    </w:p>
    <w:p w14:paraId="16F26308" w14:textId="77777777" w:rsidR="00000000" w:rsidRDefault="00000000">
      <w:pPr>
        <w:bidi/>
        <w:spacing w:line="276" w:lineRule="auto"/>
        <w:ind w:left="368"/>
        <w:jc w:val="both"/>
        <w:rPr>
          <w:rtl/>
        </w:rPr>
      </w:pPr>
      <w:r>
        <w:rPr>
          <w:rFonts w:ascii="David" w:hAnsi="David" w:cs="David"/>
          <w:sz w:val="28"/>
          <w:szCs w:val="28"/>
          <w:rtl/>
        </w:rPr>
        <w:t> </w:t>
      </w:r>
    </w:p>
    <w:p w14:paraId="6BCDF129" w14:textId="77777777" w:rsidR="00000000" w:rsidRDefault="00000000">
      <w:pPr>
        <w:bidi/>
        <w:spacing w:before="45" w:after="50" w:line="360" w:lineRule="auto"/>
        <w:ind w:left="1643" w:right="1560"/>
        <w:jc w:val="both"/>
        <w:rPr>
          <w:rtl/>
        </w:rPr>
      </w:pPr>
      <w:r>
        <w:rPr>
          <w:rFonts w:ascii="David" w:hAnsi="David" w:cs="David"/>
          <w:sz w:val="28"/>
          <w:szCs w:val="28"/>
          <w:rtl/>
        </w:rPr>
        <w:t>"</w:t>
      </w:r>
      <w:r>
        <w:rPr>
          <w:rFonts w:ascii="David" w:hAnsi="David" w:cs="David"/>
          <w:b/>
          <w:bCs/>
          <w:sz w:val="28"/>
          <w:szCs w:val="28"/>
          <w:rtl/>
        </w:rPr>
        <w:t>החייב בתשלום" - כמשמעותו בסעיף 6א לחוק, החייב בדמי גביה;</w:t>
      </w:r>
    </w:p>
    <w:p w14:paraId="56A9A821" w14:textId="77777777" w:rsidR="00000000" w:rsidRDefault="00000000">
      <w:pPr>
        <w:bidi/>
        <w:spacing w:before="45" w:after="50" w:line="360" w:lineRule="auto"/>
        <w:ind w:left="1643" w:right="1560"/>
        <w:jc w:val="both"/>
        <w:rPr>
          <w:rtl/>
        </w:rPr>
      </w:pPr>
      <w:r>
        <w:rPr>
          <w:rFonts w:ascii="David" w:hAnsi="David" w:cs="David"/>
          <w:b/>
          <w:bCs/>
          <w:sz w:val="28"/>
          <w:szCs w:val="28"/>
          <w:rtl/>
        </w:rPr>
        <w:t>"חייב חד-פעמי" - חייב בתשלום שאינו חייב רשום, אשר מסר לבעל הזיכיון פרטים מזהים לצורך חיובו בגין נסיעה מסוימת לפני מועד אותה נסיעה או בתוך 12 שעות לאחריה;</w:t>
      </w:r>
    </w:p>
    <w:p w14:paraId="45A3EC1B" w14:textId="77777777" w:rsidR="00000000" w:rsidRDefault="00000000">
      <w:pPr>
        <w:bidi/>
        <w:spacing w:before="45" w:after="50" w:line="360" w:lineRule="auto"/>
        <w:ind w:left="1643" w:right="1560"/>
        <w:jc w:val="both"/>
        <w:rPr>
          <w:rtl/>
        </w:rPr>
      </w:pPr>
      <w:r>
        <w:rPr>
          <w:rFonts w:ascii="David" w:hAnsi="David" w:cs="David"/>
          <w:b/>
          <w:bCs/>
          <w:sz w:val="28"/>
          <w:szCs w:val="28"/>
          <w:rtl/>
        </w:rPr>
        <w:t>"חייב רגיל" - חייב בתשלום שאינו חייב רשום ושאינו חייב חד-פעמי</w:t>
      </w:r>
    </w:p>
    <w:p w14:paraId="3CA593C9" w14:textId="77777777" w:rsidR="00000000" w:rsidRDefault="00000000">
      <w:pPr>
        <w:bidi/>
        <w:spacing w:before="45" w:after="50" w:line="360" w:lineRule="auto"/>
        <w:ind w:left="1643" w:right="1560"/>
        <w:jc w:val="both"/>
        <w:rPr>
          <w:rtl/>
        </w:rPr>
      </w:pPr>
      <w:r>
        <w:rPr>
          <w:rFonts w:ascii="David" w:hAnsi="David" w:cs="David"/>
          <w:b/>
          <w:bCs/>
          <w:sz w:val="28"/>
          <w:szCs w:val="28"/>
          <w:rtl/>
        </w:rPr>
        <w:t>"חייב רשום" - חייב בתשלום אשר לפני מועד משלוח החשבון בעבור נסיעת רכבו בכביש האגרה, התקשר בהסכם בכתב עם בעל הזיכיון שעל פיו רשאי בעל הזיכיון לחייבו באמצעות כרטיס אשראי או הוראת קבע, או באמצעות פיקדון שהפקיד אצל בעל הזיכיון, ובלבד שהסכום בפיקדון מספיק לכיסוי החיוב;</w:t>
      </w:r>
    </w:p>
    <w:p w14:paraId="372366E7" w14:textId="77777777" w:rsidR="00000000" w:rsidRDefault="00000000">
      <w:pPr>
        <w:bidi/>
        <w:spacing w:line="360" w:lineRule="auto"/>
        <w:ind w:left="368" w:hanging="368"/>
        <w:jc w:val="both"/>
        <w:rPr>
          <w:rtl/>
        </w:rPr>
      </w:pPr>
      <w:r>
        <w:rPr>
          <w:rFonts w:ascii="David" w:hAnsi="David" w:cs="David"/>
          <w:sz w:val="28"/>
          <w:szCs w:val="28"/>
        </w:rPr>
        <w:t> </w:t>
      </w:r>
    </w:p>
    <w:p w14:paraId="642F806F" w14:textId="77777777" w:rsidR="00000000" w:rsidRDefault="00000000">
      <w:pPr>
        <w:bidi/>
        <w:spacing w:line="360" w:lineRule="auto"/>
        <w:ind w:firstLine="720"/>
        <w:jc w:val="both"/>
        <w:rPr>
          <w:rtl/>
        </w:rPr>
      </w:pPr>
      <w:r>
        <w:rPr>
          <w:rFonts w:ascii="David" w:hAnsi="David" w:cs="David"/>
          <w:sz w:val="28"/>
          <w:szCs w:val="28"/>
          <w:rtl/>
        </w:rPr>
        <w:t>תקנה 2(א)(3) לתקנות הגבייה קובעת כי מנוי וידאו אשר כלול בגדר "חייב רשום", חייב בתשלום דמי גבייה בנוסף לתשלום אגרת הנסיעה כלהלן:</w:t>
      </w:r>
    </w:p>
    <w:p w14:paraId="0D5F1E55" w14:textId="77777777" w:rsidR="00000000" w:rsidRDefault="00000000">
      <w:pPr>
        <w:bidi/>
        <w:spacing w:line="360" w:lineRule="auto"/>
        <w:ind w:left="368"/>
        <w:jc w:val="both"/>
        <w:rPr>
          <w:rtl/>
        </w:rPr>
      </w:pPr>
      <w:r>
        <w:rPr>
          <w:rFonts w:ascii="David" w:hAnsi="David" w:cs="David"/>
          <w:sz w:val="28"/>
          <w:szCs w:val="28"/>
          <w:rtl/>
        </w:rPr>
        <w:t> </w:t>
      </w:r>
    </w:p>
    <w:p w14:paraId="151B6DF6" w14:textId="77777777" w:rsidR="00000000" w:rsidRDefault="00000000">
      <w:pPr>
        <w:bidi/>
        <w:spacing w:line="276" w:lineRule="auto"/>
        <w:ind w:left="1815" w:right="1560"/>
        <w:jc w:val="both"/>
        <w:rPr>
          <w:rtl/>
        </w:rPr>
      </w:pPr>
      <w:r>
        <w:rPr>
          <w:rFonts w:ascii="David" w:hAnsi="David" w:cs="David"/>
          <w:b/>
          <w:bCs/>
          <w:sz w:val="28"/>
          <w:szCs w:val="28"/>
          <w:rtl/>
        </w:rPr>
        <w:t>"2.(א) דמי הגבייה שישלם חייב בתשלום יהיו הסכומים כמפורט להלן:</w:t>
      </w:r>
    </w:p>
    <w:p w14:paraId="585629FE" w14:textId="77777777" w:rsidR="00000000" w:rsidRDefault="00000000">
      <w:pPr>
        <w:bidi/>
        <w:spacing w:line="276" w:lineRule="auto"/>
        <w:ind w:left="368"/>
        <w:jc w:val="both"/>
        <w:rPr>
          <w:rtl/>
        </w:rPr>
      </w:pPr>
      <w:r>
        <w:rPr>
          <w:rFonts w:ascii="David" w:hAnsi="David" w:cs="David"/>
          <w:b/>
          <w:bCs/>
          <w:sz w:val="28"/>
          <w:szCs w:val="28"/>
          <w:rtl/>
        </w:rPr>
        <w:t xml:space="preserve">  </w:t>
      </w:r>
      <w:r>
        <w:rPr>
          <w:rFonts w:ascii="David" w:hAnsi="David" w:cs="David"/>
          <w:b/>
          <w:bCs/>
          <w:sz w:val="28"/>
          <w:szCs w:val="28"/>
          <w:u w:val="single"/>
          <w:rtl/>
        </w:rPr>
        <w:t>בשקלים חדשים</w:t>
      </w:r>
      <w:r>
        <w:rPr>
          <w:rFonts w:ascii="David" w:hAnsi="David" w:cs="David"/>
          <w:b/>
          <w:bCs/>
          <w:sz w:val="28"/>
          <w:szCs w:val="28"/>
          <w:rtl/>
        </w:rPr>
        <w:t xml:space="preserve">  </w:t>
      </w:r>
    </w:p>
    <w:p w14:paraId="7C95D4E1" w14:textId="77777777" w:rsidR="00000000" w:rsidRDefault="00000000">
      <w:pPr>
        <w:bidi/>
        <w:spacing w:line="276" w:lineRule="auto"/>
        <w:ind w:left="368"/>
        <w:jc w:val="both"/>
        <w:rPr>
          <w:rtl/>
        </w:rPr>
      </w:pPr>
      <w:r>
        <w:rPr>
          <w:rFonts w:ascii="David" w:hAnsi="David" w:cs="David"/>
          <w:b/>
          <w:bCs/>
          <w:sz w:val="28"/>
          <w:szCs w:val="28"/>
          <w:rtl/>
        </w:rPr>
        <w:t>   (1) חייב רגיל  4</w:t>
      </w:r>
    </w:p>
    <w:p w14:paraId="1B14B340" w14:textId="77777777" w:rsidR="00000000" w:rsidRDefault="00000000">
      <w:pPr>
        <w:bidi/>
        <w:spacing w:line="276" w:lineRule="auto"/>
        <w:ind w:left="1088" w:firstLine="352"/>
        <w:jc w:val="both"/>
        <w:rPr>
          <w:rtl/>
        </w:rPr>
      </w:pPr>
      <w:r>
        <w:rPr>
          <w:rFonts w:ascii="David" w:hAnsi="David" w:cs="David"/>
          <w:b/>
          <w:bCs/>
          <w:sz w:val="28"/>
          <w:szCs w:val="28"/>
          <w:rtl/>
        </w:rPr>
        <w:t>(2) חייב חד-פעמי  3</w:t>
      </w:r>
    </w:p>
    <w:p w14:paraId="042D6D4E" w14:textId="77777777" w:rsidR="00000000" w:rsidRDefault="00000000">
      <w:pPr>
        <w:bidi/>
        <w:spacing w:line="276" w:lineRule="auto"/>
        <w:ind w:left="736" w:firstLine="704"/>
        <w:jc w:val="both"/>
        <w:rPr>
          <w:rtl/>
        </w:rPr>
      </w:pPr>
      <w:r>
        <w:rPr>
          <w:rFonts w:ascii="David" w:hAnsi="David" w:cs="David"/>
          <w:b/>
          <w:bCs/>
          <w:sz w:val="28"/>
          <w:szCs w:val="28"/>
          <w:rtl/>
        </w:rPr>
        <w:t>(3) חייב רשום  2"</w:t>
      </w:r>
      <w:r>
        <w:rPr>
          <w:rFonts w:ascii="David" w:hAnsi="David" w:cs="David"/>
          <w:sz w:val="28"/>
          <w:szCs w:val="28"/>
          <w:rtl/>
        </w:rPr>
        <w:t xml:space="preserve">  </w:t>
      </w:r>
    </w:p>
    <w:p w14:paraId="5DC6EEA6" w14:textId="77777777" w:rsidR="00000000" w:rsidRDefault="00000000">
      <w:pPr>
        <w:bidi/>
        <w:spacing w:line="360" w:lineRule="auto"/>
        <w:ind w:left="368" w:hanging="368"/>
        <w:jc w:val="both"/>
        <w:rPr>
          <w:rtl/>
        </w:rPr>
      </w:pPr>
      <w:r>
        <w:rPr>
          <w:rFonts w:ascii="David" w:hAnsi="David" w:cs="David"/>
          <w:sz w:val="28"/>
          <w:szCs w:val="28"/>
          <w:rtl/>
        </w:rPr>
        <w:t> </w:t>
      </w:r>
    </w:p>
    <w:p w14:paraId="33BE41AE" w14:textId="77777777" w:rsidR="00000000" w:rsidRDefault="00000000">
      <w:pPr>
        <w:bidi/>
        <w:spacing w:line="360" w:lineRule="auto"/>
        <w:jc w:val="both"/>
        <w:rPr>
          <w:rtl/>
        </w:rPr>
      </w:pPr>
      <w:r>
        <w:rPr>
          <w:rFonts w:ascii="David" w:hAnsi="David" w:cs="David"/>
          <w:sz w:val="28"/>
          <w:szCs w:val="28"/>
          <w:rtl/>
        </w:rPr>
        <w:t xml:space="preserve">7.  הנה כי כן, ההבדל המרכזי בין מנויי הפסקל למינויי הווידאו (שהוא חייב רשום) בכך שמנויי הפסקל אינם מחויבים בדמי גביה, מאחר והפסקל הוכר כ"תג חיוב" על ידי המשיבה, בעוד שמנויי הווידאו, כמו המשתמשים המזדמנים, מחויבים בתשלום דמי גביה מעבר לתשלום האגרה (מחיר הנסיעה), מכוח הוראות תקנות הגביה. </w:t>
      </w:r>
    </w:p>
    <w:p w14:paraId="24EA6EDA" w14:textId="77777777" w:rsidR="00000000" w:rsidRDefault="00000000">
      <w:pPr>
        <w:bidi/>
        <w:spacing w:line="360" w:lineRule="auto"/>
        <w:jc w:val="both"/>
        <w:rPr>
          <w:rtl/>
        </w:rPr>
      </w:pPr>
      <w:r>
        <w:rPr>
          <w:rFonts w:ascii="David" w:hAnsi="David" w:cs="David"/>
          <w:sz w:val="28"/>
          <w:szCs w:val="28"/>
          <w:rtl/>
        </w:rPr>
        <w:t> </w:t>
      </w:r>
    </w:p>
    <w:p w14:paraId="50AB7557" w14:textId="77777777" w:rsidR="00000000" w:rsidRDefault="00000000">
      <w:pPr>
        <w:bidi/>
        <w:spacing w:line="360" w:lineRule="auto"/>
        <w:jc w:val="both"/>
        <w:rPr>
          <w:rtl/>
        </w:rPr>
      </w:pPr>
      <w:r>
        <w:rPr>
          <w:rFonts w:ascii="David" w:hAnsi="David" w:cs="David"/>
          <w:sz w:val="28"/>
          <w:szCs w:val="28"/>
          <w:u w:val="single"/>
          <w:rtl/>
        </w:rPr>
        <w:t>הסעיפים הרלוונטיים בחוזה הזיכיון ובהסכמי המשתמש עם בעל הזכיון</w:t>
      </w:r>
    </w:p>
    <w:p w14:paraId="5CC163C5" w14:textId="77777777" w:rsidR="00000000" w:rsidRDefault="00000000">
      <w:pPr>
        <w:bidi/>
        <w:spacing w:line="360" w:lineRule="auto"/>
        <w:jc w:val="both"/>
        <w:rPr>
          <w:rtl/>
        </w:rPr>
      </w:pPr>
      <w:r>
        <w:rPr>
          <w:rFonts w:ascii="David" w:hAnsi="David" w:cs="David"/>
          <w:sz w:val="28"/>
          <w:szCs w:val="28"/>
          <w:rtl/>
        </w:rPr>
        <w:t> </w:t>
      </w:r>
    </w:p>
    <w:p w14:paraId="021D5C41" w14:textId="77777777" w:rsidR="00000000" w:rsidRDefault="00000000">
      <w:pPr>
        <w:bidi/>
        <w:spacing w:line="360" w:lineRule="auto"/>
        <w:jc w:val="both"/>
        <w:rPr>
          <w:rtl/>
        </w:rPr>
      </w:pPr>
      <w:r>
        <w:rPr>
          <w:rFonts w:ascii="David" w:hAnsi="David" w:cs="David"/>
          <w:sz w:val="28"/>
          <w:szCs w:val="28"/>
          <w:rtl/>
        </w:rPr>
        <w:t>8.  סעיף 3.4 להסכם הזיכיון מתייחס לסמכויותיה של הרשות הממונה, חברת חוצה ישראל, מכוח הוראות סעיף 1 לחוק , בזו הלשון:</w:t>
      </w:r>
    </w:p>
    <w:p w14:paraId="3B68DB5E" w14:textId="77777777" w:rsidR="00000000" w:rsidRDefault="00000000">
      <w:pPr>
        <w:bidi/>
        <w:spacing w:before="240" w:after="160" w:line="360" w:lineRule="auto"/>
        <w:ind w:left="1643" w:right="1560"/>
        <w:jc w:val="both"/>
        <w:rPr>
          <w:rtl/>
        </w:rPr>
      </w:pPr>
      <w:r>
        <w:rPr>
          <w:rFonts w:ascii="David" w:hAnsi="David" w:cs="David"/>
          <w:b/>
          <w:bCs/>
          <w:sz w:val="28"/>
          <w:szCs w:val="28"/>
          <w:rtl/>
        </w:rPr>
        <w:t>"הרשות הממונה מונתה והוסמכה כדין על ידי המדינה ליישם את הפרוייקט ולפקח על הקמתו, לרבות, אך לא רק, על גביית האגרות וקיום יתר התחייבויותיו של בעל הזיכיון על פי חוזה זיכיון זה. הרשות הממונה תחשב כפועלת אך ורק למען המדינה ומטעמה למטרות חוזה זכיון זה. דין פעולה של הרשות הממונה על פי חוזה זכיון זה כדין פעולה של המדינה.</w:t>
      </w:r>
    </w:p>
    <w:p w14:paraId="40B47001" w14:textId="77777777" w:rsidR="00000000" w:rsidRDefault="00000000">
      <w:pPr>
        <w:bidi/>
        <w:spacing w:line="360" w:lineRule="auto"/>
        <w:ind w:left="1643" w:right="1560"/>
        <w:jc w:val="both"/>
        <w:rPr>
          <w:rtl/>
        </w:rPr>
      </w:pPr>
      <w:r>
        <w:rPr>
          <w:rFonts w:ascii="David" w:hAnsi="David" w:cs="David"/>
          <w:b/>
          <w:bCs/>
          <w:sz w:val="28"/>
          <w:szCs w:val="28"/>
          <w:rtl/>
        </w:rPr>
        <w:t xml:space="preserve">תפקידיה וסמכויותיה של הרשות הממונה על פי חוזה זכיון זה יבוצעו באמצעות מספר נציגים מוסמכים, אשר זהותם תמסר לבעל הזכיון על ידי הרשות הממונה מעת לעת, הרשות הממונה תמציא לבעל הזכיון אישור בדבר הסכמתה לפעול כאמור לעיל וזאת בנוסח המצורף כנספח </w:t>
      </w:r>
      <w:r>
        <w:rPr>
          <w:rFonts w:ascii="David" w:hAnsi="David" w:cs="David"/>
          <w:b/>
          <w:bCs/>
          <w:sz w:val="28"/>
          <w:szCs w:val="28"/>
        </w:rPr>
        <w:t>xvii</w:t>
      </w:r>
      <w:r>
        <w:rPr>
          <w:rFonts w:ascii="David" w:hAnsi="David" w:cs="David"/>
          <w:b/>
          <w:bCs/>
          <w:sz w:val="28"/>
          <w:szCs w:val="28"/>
          <w:rtl/>
        </w:rPr>
        <w:t>."</w:t>
      </w:r>
    </w:p>
    <w:p w14:paraId="6539B273" w14:textId="77777777" w:rsidR="00000000" w:rsidRDefault="00000000">
      <w:pPr>
        <w:bidi/>
        <w:spacing w:line="360" w:lineRule="auto"/>
        <w:jc w:val="both"/>
        <w:rPr>
          <w:rtl/>
        </w:rPr>
      </w:pPr>
      <w:r>
        <w:rPr>
          <w:rFonts w:ascii="David" w:hAnsi="David" w:cs="David"/>
          <w:sz w:val="28"/>
          <w:szCs w:val="28"/>
          <w:rtl/>
        </w:rPr>
        <w:t> </w:t>
      </w:r>
    </w:p>
    <w:p w14:paraId="717FC8AE" w14:textId="77777777" w:rsidR="00000000" w:rsidRDefault="00000000">
      <w:pPr>
        <w:bidi/>
        <w:spacing w:line="360" w:lineRule="auto"/>
        <w:jc w:val="both"/>
        <w:rPr>
          <w:rtl/>
        </w:rPr>
      </w:pPr>
      <w:r>
        <w:rPr>
          <w:rFonts w:ascii="David" w:hAnsi="David" w:cs="David"/>
          <w:sz w:val="28"/>
          <w:szCs w:val="28"/>
          <w:rtl/>
        </w:rPr>
        <w:t>9.  סעיף 11.9 להסכם הזיכיון עוסק במערכת גביית האגרה, וקובע כדלקמן:</w:t>
      </w:r>
    </w:p>
    <w:p w14:paraId="4E42B26C" w14:textId="77777777" w:rsidR="00000000" w:rsidRDefault="00000000">
      <w:pPr>
        <w:bidi/>
        <w:spacing w:before="240" w:line="360" w:lineRule="auto"/>
        <w:ind w:left="1643" w:right="1560"/>
        <w:jc w:val="both"/>
        <w:rPr>
          <w:rtl/>
        </w:rPr>
      </w:pPr>
      <w:r>
        <w:rPr>
          <w:rFonts w:ascii="David" w:hAnsi="David" w:cs="David"/>
          <w:b/>
          <w:bCs/>
          <w:sz w:val="28"/>
          <w:szCs w:val="28"/>
          <w:rtl/>
        </w:rPr>
        <w:t xml:space="preserve">"מערכת האגרה תהא אלקטרונית באופן מלא בהתאם להוראות חוזה זכיון זה לרבות כרך 9. אחריותו של בעל הזכיון בנוגע למערכת האגרה האלקטרונית תשתרע על תשתית מערכת האגרה, על כל רכיביה והיבטיה, לרבות ארגון מרכזי הפצה להפצת תגים אלקטרונים לרכב וכל האביזרים והמתקנים האחרים הדרושים לצורך גביית האגרה. בעל הזכיון מתחייב לפעול בחריצות ובמקצועיות, על חשבונו בלבד, לשיווק, פרסום, הפצה ותחזוקה של התגים האלקטרונים וכל האביזרים האחרים הדרושים להפעלת מערכת האגרה". </w:t>
      </w:r>
    </w:p>
    <w:p w14:paraId="6FC3B2C5" w14:textId="77777777" w:rsidR="00000000" w:rsidRDefault="00000000">
      <w:pPr>
        <w:bidi/>
        <w:spacing w:line="360" w:lineRule="auto"/>
        <w:ind w:left="369"/>
        <w:jc w:val="both"/>
        <w:rPr>
          <w:rtl/>
        </w:rPr>
      </w:pPr>
      <w:r>
        <w:rPr>
          <w:rFonts w:ascii="David" w:hAnsi="David" w:cs="David"/>
          <w:sz w:val="28"/>
          <w:szCs w:val="28"/>
          <w:rtl/>
        </w:rPr>
        <w:t> </w:t>
      </w:r>
    </w:p>
    <w:p w14:paraId="41AE3217" w14:textId="77777777" w:rsidR="00000000" w:rsidRDefault="00000000">
      <w:pPr>
        <w:bidi/>
        <w:spacing w:line="360" w:lineRule="auto"/>
        <w:jc w:val="both"/>
        <w:rPr>
          <w:rtl/>
        </w:rPr>
      </w:pPr>
      <w:r>
        <w:rPr>
          <w:rFonts w:ascii="David" w:hAnsi="David" w:cs="David"/>
          <w:sz w:val="28"/>
          <w:szCs w:val="28"/>
          <w:rtl/>
        </w:rPr>
        <w:t>10.  סעיף 9 לכרך 9 (נספח 9) להסכם הזיכיון, המסדיר את נושא מערכת גבית האגרה, מתייחס, בין היתר, לתכונות הנדרשות להיכלל בתג החיוב:</w:t>
      </w:r>
    </w:p>
    <w:p w14:paraId="52C48661" w14:textId="77777777" w:rsidR="00000000" w:rsidRDefault="00000000">
      <w:pPr>
        <w:bidi/>
        <w:spacing w:line="360" w:lineRule="auto"/>
        <w:ind w:left="368"/>
        <w:jc w:val="right"/>
        <w:rPr>
          <w:rtl/>
        </w:rPr>
      </w:pPr>
      <w:r>
        <w:rPr>
          <w:rFonts w:ascii="David" w:hAnsi="David" w:cs="David"/>
          <w:sz w:val="28"/>
          <w:szCs w:val="28"/>
          <w:rtl/>
        </w:rPr>
        <w:t> </w:t>
      </w:r>
    </w:p>
    <w:p w14:paraId="586411E6" w14:textId="77777777" w:rsidR="00000000" w:rsidRDefault="00000000">
      <w:pPr>
        <w:bidi/>
        <w:spacing w:line="360" w:lineRule="auto"/>
        <w:ind w:right="1502"/>
        <w:jc w:val="both"/>
        <w:rPr>
          <w:rtl/>
        </w:rPr>
      </w:pPr>
      <w:r>
        <w:rPr>
          <w:rFonts w:ascii="David" w:hAnsi="David" w:cs="David"/>
          <w:b/>
          <w:bCs/>
          <w:sz w:val="28"/>
          <w:szCs w:val="28"/>
          <w:rtl/>
        </w:rPr>
        <w:t> </w:t>
      </w:r>
    </w:p>
    <w:p w14:paraId="120F9C85" w14:textId="77777777" w:rsidR="00000000" w:rsidRDefault="00000000">
      <w:pPr>
        <w:bidi/>
        <w:spacing w:line="360" w:lineRule="auto"/>
        <w:ind w:left="1701" w:right="1502"/>
        <w:jc w:val="both"/>
        <w:rPr>
          <w:rtl/>
        </w:rPr>
      </w:pPr>
      <w:r>
        <w:rPr>
          <w:rFonts w:ascii="David" w:hAnsi="David" w:cs="David"/>
          <w:b/>
          <w:bCs/>
          <w:sz w:val="28"/>
          <w:szCs w:val="28"/>
        </w:rPr>
        <w:t>"</w:t>
      </w:r>
      <w:proofErr w:type="gramStart"/>
      <w:r>
        <w:rPr>
          <w:rFonts w:ascii="David" w:hAnsi="David" w:cs="David"/>
          <w:b/>
          <w:bCs/>
          <w:sz w:val="28"/>
          <w:szCs w:val="28"/>
        </w:rPr>
        <w:t>it</w:t>
      </w:r>
      <w:proofErr w:type="gramEnd"/>
      <w:r>
        <w:rPr>
          <w:rFonts w:ascii="David" w:hAnsi="David" w:cs="David"/>
          <w:b/>
          <w:bCs/>
          <w:sz w:val="28"/>
          <w:szCs w:val="28"/>
        </w:rPr>
        <w:t xml:space="preserve"> is expected that in-vehicle units ("ivus"), used as either a payment or an identification devise, will be widely available, and that potential users will not </w:t>
      </w:r>
      <w:proofErr w:type="gramStart"/>
      <w:r>
        <w:rPr>
          <w:rFonts w:ascii="David" w:hAnsi="David" w:cs="David"/>
          <w:b/>
          <w:bCs/>
          <w:sz w:val="28"/>
          <w:szCs w:val="28"/>
        </w:rPr>
        <w:t>deterred</w:t>
      </w:r>
      <w:proofErr w:type="gramEnd"/>
      <w:r>
        <w:rPr>
          <w:rFonts w:ascii="David" w:hAnsi="David" w:cs="David"/>
          <w:b/>
          <w:bCs/>
          <w:sz w:val="28"/>
          <w:szCs w:val="28"/>
        </w:rPr>
        <w:t xml:space="preserve"> significantly from acquiring an ivu by an unreasonably high initial payment requirements, whether this takes the form of deposit or a pre-payment</w:t>
      </w:r>
      <w:r>
        <w:rPr>
          <w:rFonts w:ascii="David" w:hAnsi="David" w:cs="David"/>
          <w:sz w:val="28"/>
          <w:szCs w:val="28"/>
        </w:rPr>
        <w:t xml:space="preserve">…" </w:t>
      </w:r>
    </w:p>
    <w:p w14:paraId="7BF4465F" w14:textId="77777777" w:rsidR="00000000" w:rsidRDefault="00000000">
      <w:pPr>
        <w:bidi/>
        <w:spacing w:line="360" w:lineRule="auto"/>
        <w:ind w:left="1701" w:right="1502" w:hanging="368"/>
        <w:jc w:val="both"/>
        <w:rPr>
          <w:rtl/>
        </w:rPr>
      </w:pPr>
      <w:r>
        <w:rPr>
          <w:rFonts w:ascii="David" w:hAnsi="David" w:cs="David"/>
          <w:sz w:val="28"/>
          <w:szCs w:val="28"/>
          <w:rtl/>
        </w:rPr>
        <w:t xml:space="preserve">  </w:t>
      </w:r>
    </w:p>
    <w:p w14:paraId="653CA338" w14:textId="77777777" w:rsidR="00000000" w:rsidRDefault="00000000">
      <w:pPr>
        <w:bidi/>
        <w:spacing w:line="360" w:lineRule="auto"/>
        <w:ind w:firstLine="720"/>
        <w:jc w:val="both"/>
        <w:rPr>
          <w:rtl/>
        </w:rPr>
      </w:pPr>
      <w:r>
        <w:rPr>
          <w:rFonts w:ascii="David" w:hAnsi="David" w:cs="David"/>
          <w:sz w:val="28"/>
          <w:szCs w:val="28"/>
          <w:rtl/>
        </w:rPr>
        <w:t xml:space="preserve">יוער, כי בעמדת הרשות הממונה צוין כי בשלבים מוקדמים של הפרויקט נמצא שהתקן שמגשים שתי הפונקציות, זיהוי ותשלום, "חסר היתכנות כלכלית"(פסקה 17), ומכאן אושרה עמדת המשיבה כי הפסקל הוא "תג חיוב". עמדה זו זוכה לתימוכין מהכתוב בסעיף זה, אשר לפיו אין הכרח כי תג או התקן החיוב שהוגדר בסעיף 1 לחוק ישמש לגבייה, והוא יכול לשמש לזיהוי בלבד. </w:t>
      </w:r>
    </w:p>
    <w:p w14:paraId="624E8D28" w14:textId="77777777" w:rsidR="00000000" w:rsidRDefault="00000000">
      <w:pPr>
        <w:bidi/>
        <w:spacing w:line="360" w:lineRule="auto"/>
        <w:jc w:val="both"/>
        <w:rPr>
          <w:rtl/>
        </w:rPr>
      </w:pPr>
      <w:r>
        <w:rPr>
          <w:rFonts w:ascii="David" w:hAnsi="David" w:cs="David"/>
          <w:sz w:val="28"/>
          <w:szCs w:val="28"/>
          <w:rtl/>
        </w:rPr>
        <w:t> </w:t>
      </w:r>
    </w:p>
    <w:p w14:paraId="7A8A345C" w14:textId="77777777" w:rsidR="00000000" w:rsidRDefault="00000000">
      <w:pPr>
        <w:bidi/>
        <w:spacing w:line="360" w:lineRule="auto"/>
        <w:jc w:val="both"/>
        <w:rPr>
          <w:rtl/>
        </w:rPr>
      </w:pPr>
      <w:r>
        <w:rPr>
          <w:rFonts w:ascii="David" w:hAnsi="David" w:cs="David"/>
          <w:b/>
          <w:bCs/>
          <w:sz w:val="28"/>
          <w:szCs w:val="28"/>
          <w:u w:val="single"/>
          <w:rtl/>
        </w:rPr>
        <w:t>בקשת האישור והשתלשלות ההליך עד כה</w:t>
      </w:r>
    </w:p>
    <w:p w14:paraId="23079ECA" w14:textId="77777777" w:rsidR="00000000" w:rsidRDefault="00000000">
      <w:pPr>
        <w:bidi/>
        <w:spacing w:line="360" w:lineRule="auto"/>
        <w:jc w:val="both"/>
        <w:rPr>
          <w:rtl/>
        </w:rPr>
      </w:pPr>
      <w:r>
        <w:rPr>
          <w:rFonts w:ascii="David" w:hAnsi="David" w:cs="David"/>
          <w:b/>
          <w:bCs/>
          <w:sz w:val="28"/>
          <w:szCs w:val="28"/>
          <w:rtl/>
        </w:rPr>
        <w:t> </w:t>
      </w:r>
    </w:p>
    <w:p w14:paraId="76637E7A" w14:textId="77777777" w:rsidR="00000000" w:rsidRDefault="00000000">
      <w:pPr>
        <w:bidi/>
        <w:spacing w:line="360" w:lineRule="auto"/>
        <w:ind w:left="-58"/>
        <w:jc w:val="both"/>
        <w:rPr>
          <w:rtl/>
        </w:rPr>
      </w:pPr>
      <w:r>
        <w:rPr>
          <w:rFonts w:ascii="David" w:hAnsi="David" w:cs="David"/>
          <w:sz w:val="28"/>
          <w:szCs w:val="28"/>
          <w:rtl/>
        </w:rPr>
        <w:t>11.  כאמור, המבקשים הגישו בקשה לאישור תובענה ייצוגית רחבת היקף שבגדרה כמעט ואין טענה שלא נטענה. טענו מכל הבא ליד, סמכו על שורה ארוכה של עילות, הצביעו על פגמים נטענים רבים אשר לגישתם נפלו בהתנהלות המשיבה בכל הנוגע לגביית האגרה. טענתם המרכזית של המבקשים ממנה נסוגו בהמשך הדרך כפי שאפרט להלן, היא שהמשיבה לא הייתה רשאית לגבות דמי גבייה מקבוצת מנויי ה"ווידאו". לשיטתם, לאור העובדה כי התקן הפסקל אינו משמש לגבייה בפועל, כפי שאמור היה להיות, יש לפרש את המונח "תג חיוב" ככרטיס אשראי או הוראת קבע. מאחר ומנויי הווידאו משלמים באמצעות אמצעי תשלום אלו, בדיוק כפי שמשלמים מנויי הפסקל, אין למשיבה סמכות לגבות דמי גביה בעניינם ולהפלותם ביחס למנויי הפסקל, מהם לא נגבים דמי גבייה.</w:t>
      </w:r>
    </w:p>
    <w:p w14:paraId="61F7F904" w14:textId="77777777" w:rsidR="00000000" w:rsidRDefault="00000000">
      <w:pPr>
        <w:bidi/>
        <w:spacing w:line="360" w:lineRule="auto"/>
        <w:ind w:left="368" w:hanging="368"/>
        <w:jc w:val="both"/>
        <w:rPr>
          <w:rtl/>
        </w:rPr>
      </w:pPr>
      <w:r>
        <w:rPr>
          <w:rFonts w:ascii="David" w:hAnsi="David" w:cs="David"/>
          <w:sz w:val="28"/>
          <w:szCs w:val="28"/>
          <w:rtl/>
        </w:rPr>
        <w:t> </w:t>
      </w:r>
    </w:p>
    <w:p w14:paraId="01190179" w14:textId="77777777" w:rsidR="00000000" w:rsidRDefault="00000000">
      <w:pPr>
        <w:bidi/>
        <w:spacing w:line="360" w:lineRule="auto"/>
        <w:jc w:val="both"/>
        <w:rPr>
          <w:rtl/>
        </w:rPr>
      </w:pPr>
      <w:r>
        <w:rPr>
          <w:rFonts w:ascii="David" w:hAnsi="David" w:cs="David"/>
          <w:sz w:val="28"/>
          <w:szCs w:val="28"/>
          <w:rtl/>
        </w:rPr>
        <w:t>12.  לשיטת המבקשים, עלויות דמי הגבייה צריכות להיגזר מגובה ההוצאות הנוספות הנגרמות למשיבה ממשתמשים מזדמנים בלבד. מדובר בעלויות איתור הלקוח, ביצוע שאילתות מול משרד התחבורה, הוצאות דואר וביול; עוד נטען, כי המשיבה יוצרת כלפי מנוייה מצג שווא, לפיו הם מקבלים הנחה, אך בפועל לא מדובר בהנחה אלא בפטור יחסי מתשלום דמי גביה, ולשיטת המבקשים, גבייתו נעשית שלא עפ"י חוק. עוד טענו המבקשים להטעיית המשיבה לחברי הקבוצה זאת באשר לכדאיות מסלול הפסקל, בכך שלא חשפה ולא פרסמה את המידע הדרוש לקבלת ההחלטה לבחירה במסלול הזול יותר, וכל זאת כדי להביא את חברי הקבוצה או רובם לבחור במנוי הווידאו ובכך לזכות את המשיבה בדמי הגביה; כן עמדו על שורה ארוכה של הפרות נטענות. אין לי צורך לעמוד על כל הנטען, שכן, כפי שאציין בהמשך בפועל המבקשים נסוגו מרוב הנטען.</w:t>
      </w:r>
    </w:p>
    <w:p w14:paraId="375A2B77" w14:textId="77777777" w:rsidR="00000000" w:rsidRDefault="00000000">
      <w:pPr>
        <w:bidi/>
        <w:spacing w:line="360" w:lineRule="auto"/>
        <w:ind w:left="368" w:hanging="368"/>
        <w:jc w:val="both"/>
        <w:rPr>
          <w:rtl/>
        </w:rPr>
      </w:pPr>
      <w:r>
        <w:rPr>
          <w:rFonts w:ascii="David" w:hAnsi="David" w:cs="David"/>
          <w:sz w:val="28"/>
          <w:szCs w:val="28"/>
          <w:rtl/>
        </w:rPr>
        <w:t> </w:t>
      </w:r>
    </w:p>
    <w:p w14:paraId="19424A07" w14:textId="77777777" w:rsidR="00000000" w:rsidRDefault="00000000">
      <w:pPr>
        <w:bidi/>
        <w:spacing w:line="360" w:lineRule="auto"/>
        <w:ind w:left="-58"/>
        <w:jc w:val="both"/>
        <w:rPr>
          <w:rtl/>
        </w:rPr>
      </w:pPr>
      <w:r>
        <w:rPr>
          <w:rFonts w:ascii="David" w:hAnsi="David" w:cs="David"/>
          <w:sz w:val="28"/>
          <w:szCs w:val="28"/>
          <w:rtl/>
        </w:rPr>
        <w:t xml:space="preserve">13.  המבקשים 1-2 הם מנויי המשיבה. המבקש 1 בעל מנוי פסקל בגינו הפקיד פיקדון. לטענתו, היה בטוח כי מנוי הפסקל מזכה אותו בהנחה בשיעור של עד 40% ממחיר האגרה כפי פרסומי המשיבה, אך בפועל התברר לו כי הוא משלם מחיר מלא בגין הנסיעה; המבקש 2 היה בעבר בעל מספר מנויי וידאו למספר רכבים, אך החליף את המנויים הנ"ל במנוי פסקל, לאחר שנודע לו בדיעבד שאינו מקבל את ההנחה המקסימלית עבור המנויים כפי שהיה סבור. לדבריו, סברה זו התגבשה אצלו בעקבות הטעיית מוקדני המשיבה והפרסום באתר כביש האגרה; המבקש 3 אינו מנוי, אלא משתמש מזדמן, המשתמש בכביש האגרה מעת לעת. </w:t>
      </w:r>
    </w:p>
    <w:p w14:paraId="1F1EACA9" w14:textId="77777777" w:rsidR="00000000" w:rsidRDefault="00000000">
      <w:pPr>
        <w:bidi/>
        <w:spacing w:line="360" w:lineRule="auto"/>
        <w:jc w:val="both"/>
        <w:rPr>
          <w:rtl/>
        </w:rPr>
      </w:pPr>
      <w:r>
        <w:rPr>
          <w:rFonts w:ascii="David" w:hAnsi="David" w:cs="David"/>
          <w:sz w:val="28"/>
          <w:szCs w:val="28"/>
          <w:rtl/>
        </w:rPr>
        <w:t> </w:t>
      </w:r>
    </w:p>
    <w:p w14:paraId="76D2991F" w14:textId="77777777" w:rsidR="00000000" w:rsidRDefault="00000000">
      <w:pPr>
        <w:bidi/>
        <w:spacing w:line="360" w:lineRule="auto"/>
        <w:ind w:left="-58"/>
        <w:jc w:val="both"/>
        <w:rPr>
          <w:rtl/>
        </w:rPr>
      </w:pPr>
      <w:r>
        <w:rPr>
          <w:rFonts w:ascii="David" w:hAnsi="David" w:cs="David"/>
          <w:sz w:val="28"/>
          <w:szCs w:val="28"/>
          <w:rtl/>
        </w:rPr>
        <w:t xml:space="preserve">14.  המבקשים הגדירו את הקבוצה אשר בשמה מוגשת בקשת האישור כ - </w:t>
      </w:r>
      <w:r>
        <w:rPr>
          <w:rFonts w:ascii="David" w:hAnsi="David" w:cs="David"/>
          <w:i/>
          <w:iCs/>
          <w:sz w:val="28"/>
          <w:szCs w:val="28"/>
          <w:rtl/>
        </w:rPr>
        <w:t>"</w:t>
      </w:r>
      <w:r>
        <w:rPr>
          <w:rFonts w:ascii="David" w:hAnsi="David" w:cs="David"/>
          <w:sz w:val="28"/>
          <w:szCs w:val="28"/>
          <w:rtl/>
        </w:rPr>
        <w:t>יחיד ו/או תאגיד שנסעו אי פעם בכביש שש, בין אם הם מנויי פסקל ובין אם מנויי וידאו ובין אם הם נוסעים מזדמנים, וכן כאלו שנמנעו מלנסוע בכביש עקב דמי הגבייה המופרזים</w:t>
      </w:r>
      <w:r>
        <w:rPr>
          <w:rFonts w:ascii="David" w:hAnsi="David" w:cs="David"/>
          <w:i/>
          <w:iCs/>
          <w:sz w:val="28"/>
          <w:szCs w:val="28"/>
          <w:rtl/>
        </w:rPr>
        <w:t>"</w:t>
      </w:r>
      <w:r>
        <w:rPr>
          <w:rFonts w:ascii="David" w:hAnsi="David" w:cs="David"/>
          <w:sz w:val="28"/>
          <w:szCs w:val="28"/>
          <w:rtl/>
        </w:rPr>
        <w:t>.</w:t>
      </w:r>
    </w:p>
    <w:p w14:paraId="08493047" w14:textId="77777777" w:rsidR="00000000" w:rsidRDefault="00000000">
      <w:pPr>
        <w:bidi/>
        <w:spacing w:line="360" w:lineRule="auto"/>
        <w:ind w:left="368" w:hanging="368"/>
        <w:jc w:val="both"/>
        <w:rPr>
          <w:rtl/>
        </w:rPr>
      </w:pPr>
      <w:r>
        <w:rPr>
          <w:rFonts w:ascii="David" w:hAnsi="David" w:cs="David"/>
          <w:sz w:val="28"/>
          <w:szCs w:val="28"/>
          <w:rtl/>
        </w:rPr>
        <w:t> </w:t>
      </w:r>
    </w:p>
    <w:p w14:paraId="7ACDCA90" w14:textId="77777777" w:rsidR="00000000" w:rsidRDefault="00000000">
      <w:pPr>
        <w:bidi/>
        <w:spacing w:line="360" w:lineRule="auto"/>
        <w:ind w:firstLine="368"/>
        <w:jc w:val="both"/>
        <w:rPr>
          <w:rtl/>
        </w:rPr>
      </w:pPr>
      <w:r>
        <w:rPr>
          <w:rFonts w:ascii="David" w:hAnsi="David" w:cs="David"/>
          <w:sz w:val="28"/>
          <w:szCs w:val="28"/>
          <w:rtl/>
        </w:rPr>
        <w:t>באשר לסוג הנזקים שנגרמו לקבוצה, חילקו המבקשים את הקבוצה ל - 4 תתי קבוצות:</w:t>
      </w:r>
    </w:p>
    <w:p w14:paraId="43E0EE0C" w14:textId="77777777" w:rsidR="00000000" w:rsidRDefault="00000000">
      <w:pPr>
        <w:bidi/>
        <w:spacing w:line="360" w:lineRule="auto"/>
        <w:ind w:left="368"/>
        <w:jc w:val="both"/>
        <w:rPr>
          <w:rtl/>
        </w:rPr>
      </w:pPr>
      <w:r>
        <w:rPr>
          <w:rFonts w:ascii="David" w:hAnsi="David" w:cs="David"/>
          <w:sz w:val="28"/>
          <w:szCs w:val="28"/>
          <w:rtl/>
        </w:rPr>
        <w:t> </w:t>
      </w:r>
    </w:p>
    <w:p w14:paraId="27192664" w14:textId="77777777" w:rsidR="00000000" w:rsidRDefault="00000000">
      <w:pPr>
        <w:bidi/>
        <w:spacing w:line="360" w:lineRule="auto"/>
        <w:ind w:left="728" w:hanging="360"/>
        <w:jc w:val="both"/>
        <w:rPr>
          <w:rtl/>
        </w:rPr>
      </w:pPr>
      <w:r>
        <w:rPr>
          <w:rFonts w:ascii="David" w:hAnsi="David" w:cs="David"/>
          <w:sz w:val="28"/>
          <w:szCs w:val="28"/>
          <w:rtl/>
        </w:rPr>
        <w:t>א.</w:t>
      </w:r>
      <w:r>
        <w:rPr>
          <w:sz w:val="14"/>
          <w:szCs w:val="14"/>
          <w:rtl/>
        </w:rPr>
        <w:t xml:space="preserve">  </w:t>
      </w:r>
      <w:r>
        <w:rPr>
          <w:rFonts w:ascii="David" w:hAnsi="David" w:cs="David"/>
          <w:sz w:val="28"/>
          <w:szCs w:val="28"/>
          <w:u w:val="single"/>
          <w:rtl/>
        </w:rPr>
        <w:t>מנויי פסקל</w:t>
      </w:r>
      <w:r>
        <w:rPr>
          <w:rFonts w:ascii="David" w:hAnsi="David" w:cs="David"/>
          <w:sz w:val="28"/>
          <w:szCs w:val="28"/>
          <w:rtl/>
        </w:rPr>
        <w:t xml:space="preserve"> - לטענת המבקשים, נמנעת מהם הזכות לקבל את החזר הפיקדון ולעבור להיות מנויי וידאו, מנויי "פנגו" או מנויי "סלופארק" ללא תשלום דמי גביה. בנוסף, הם לא קיבלו הנחה של עד 40% מהתעריף כפי שהובטח להם.</w:t>
      </w:r>
    </w:p>
    <w:p w14:paraId="0AE2909D" w14:textId="77777777" w:rsidR="00000000" w:rsidRDefault="00000000">
      <w:pPr>
        <w:bidi/>
        <w:spacing w:line="360" w:lineRule="auto"/>
        <w:ind w:left="728"/>
        <w:jc w:val="both"/>
        <w:rPr>
          <w:rtl/>
        </w:rPr>
      </w:pPr>
      <w:r>
        <w:rPr>
          <w:rFonts w:ascii="David" w:hAnsi="David" w:cs="David"/>
          <w:sz w:val="28"/>
          <w:szCs w:val="28"/>
        </w:rPr>
        <w:t> </w:t>
      </w:r>
    </w:p>
    <w:p w14:paraId="30D2990C" w14:textId="77777777" w:rsidR="00000000" w:rsidRDefault="00000000">
      <w:pPr>
        <w:bidi/>
        <w:spacing w:line="360" w:lineRule="auto"/>
        <w:ind w:left="728" w:hanging="360"/>
        <w:jc w:val="both"/>
        <w:rPr>
          <w:rtl/>
        </w:rPr>
      </w:pPr>
      <w:r>
        <w:rPr>
          <w:rFonts w:ascii="David" w:hAnsi="David" w:cs="David"/>
          <w:sz w:val="28"/>
          <w:szCs w:val="28"/>
          <w:rtl/>
        </w:rPr>
        <w:t>ב.</w:t>
      </w:r>
      <w:r>
        <w:rPr>
          <w:sz w:val="14"/>
          <w:szCs w:val="14"/>
          <w:rtl/>
        </w:rPr>
        <w:t xml:space="preserve">  </w:t>
      </w:r>
      <w:r>
        <w:rPr>
          <w:rFonts w:ascii="David" w:hAnsi="David" w:cs="David"/>
          <w:sz w:val="28"/>
          <w:szCs w:val="28"/>
          <w:u w:val="single"/>
          <w:rtl/>
        </w:rPr>
        <w:t>מנויי הווידאו</w:t>
      </w:r>
      <w:r>
        <w:rPr>
          <w:rFonts w:ascii="David" w:hAnsi="David" w:cs="David"/>
          <w:sz w:val="28"/>
          <w:szCs w:val="28"/>
          <w:rtl/>
        </w:rPr>
        <w:t xml:space="preserve"> - לטענת המבקשים, נגבו וממשיכים להגבות מהם דמי גביה מופרזים ובלתי חוקיים, ולא ניתנה להם האפשרות לבצע את תשלומי האגרה באמצעות "פנגו" או "סלופארק"; הם לא קיבלו הנחה של עד 20% כפי שהובטח להם, והם צמצמו את הנאתם מהכביש בגלל דמי הגביה המופרזים.</w:t>
      </w:r>
    </w:p>
    <w:p w14:paraId="1A463C2D" w14:textId="77777777" w:rsidR="00000000" w:rsidRDefault="00000000">
      <w:pPr>
        <w:bidi/>
        <w:spacing w:line="254" w:lineRule="auto"/>
        <w:ind w:left="720"/>
        <w:rPr>
          <w:rtl/>
        </w:rPr>
      </w:pPr>
      <w:r>
        <w:rPr>
          <w:rFonts w:ascii="David" w:hAnsi="David" w:cs="David"/>
          <w:sz w:val="28"/>
          <w:szCs w:val="28"/>
        </w:rPr>
        <w:t> </w:t>
      </w:r>
    </w:p>
    <w:p w14:paraId="137F4385" w14:textId="77777777" w:rsidR="00000000" w:rsidRDefault="00000000">
      <w:pPr>
        <w:bidi/>
        <w:spacing w:line="360" w:lineRule="auto"/>
        <w:ind w:left="728" w:hanging="360"/>
        <w:jc w:val="both"/>
        <w:rPr>
          <w:rtl/>
        </w:rPr>
      </w:pPr>
      <w:r>
        <w:rPr>
          <w:rFonts w:ascii="David" w:hAnsi="David" w:cs="David"/>
          <w:sz w:val="28"/>
          <w:szCs w:val="28"/>
          <w:rtl/>
        </w:rPr>
        <w:t>ג.</w:t>
      </w:r>
      <w:r>
        <w:rPr>
          <w:sz w:val="14"/>
          <w:szCs w:val="14"/>
          <w:rtl/>
        </w:rPr>
        <w:t xml:space="preserve">  </w:t>
      </w:r>
      <w:r>
        <w:rPr>
          <w:rFonts w:ascii="David" w:hAnsi="David" w:cs="David"/>
          <w:sz w:val="28"/>
          <w:szCs w:val="28"/>
          <w:u w:val="single"/>
          <w:rtl/>
        </w:rPr>
        <w:t>לקוחות מזדמנים</w:t>
      </w:r>
      <w:r>
        <w:rPr>
          <w:rFonts w:ascii="David" w:hAnsi="David" w:cs="David"/>
          <w:sz w:val="28"/>
          <w:szCs w:val="28"/>
          <w:rtl/>
        </w:rPr>
        <w:t xml:space="preserve"> - לטענת המבקשים, נגבו וממשיכים לגבות מהם דמי גביה מופרזים ולא ניתנה להם האפשרות לבצע את תשלומי האגרה באמצעות "פנגו" או "סלופארק", והם לא עשו שימוש הולם בכביש עקב התמחור המופרז והבלתי חוקי.</w:t>
      </w:r>
    </w:p>
    <w:p w14:paraId="144E0F80" w14:textId="77777777" w:rsidR="00000000" w:rsidRDefault="00000000">
      <w:pPr>
        <w:bidi/>
        <w:spacing w:line="254" w:lineRule="auto"/>
        <w:ind w:left="720"/>
        <w:rPr>
          <w:rtl/>
        </w:rPr>
      </w:pPr>
      <w:r>
        <w:rPr>
          <w:rFonts w:ascii="David" w:hAnsi="David" w:cs="David"/>
          <w:sz w:val="28"/>
          <w:szCs w:val="28"/>
        </w:rPr>
        <w:t> </w:t>
      </w:r>
    </w:p>
    <w:p w14:paraId="11B54E3C" w14:textId="77777777" w:rsidR="00000000" w:rsidRDefault="00000000">
      <w:pPr>
        <w:bidi/>
        <w:spacing w:line="360" w:lineRule="auto"/>
        <w:ind w:left="728" w:hanging="360"/>
        <w:jc w:val="both"/>
        <w:rPr>
          <w:rtl/>
        </w:rPr>
      </w:pPr>
      <w:r>
        <w:rPr>
          <w:rFonts w:ascii="David" w:hAnsi="David" w:cs="David"/>
          <w:sz w:val="28"/>
          <w:szCs w:val="28"/>
          <w:rtl/>
        </w:rPr>
        <w:t>ד.</w:t>
      </w:r>
      <w:r>
        <w:rPr>
          <w:sz w:val="14"/>
          <w:szCs w:val="14"/>
          <w:rtl/>
        </w:rPr>
        <w:t xml:space="preserve">  </w:t>
      </w:r>
      <w:r>
        <w:rPr>
          <w:rFonts w:ascii="David" w:hAnsi="David" w:cs="David"/>
          <w:sz w:val="28"/>
          <w:szCs w:val="28"/>
          <w:u w:val="single"/>
          <w:rtl/>
        </w:rPr>
        <w:t>לקוחות שלא נסעו בכביש</w:t>
      </w:r>
      <w:r>
        <w:rPr>
          <w:rFonts w:ascii="David" w:hAnsi="David" w:cs="David"/>
          <w:sz w:val="28"/>
          <w:szCs w:val="28"/>
          <w:rtl/>
        </w:rPr>
        <w:t xml:space="preserve"> - לטענת המבקשים, לקוחות אלו לא נסעו בכביש עקב דמי הגביה המופרזים, ונגרם להם נזק בשל כך.</w:t>
      </w:r>
    </w:p>
    <w:p w14:paraId="73871821" w14:textId="77777777" w:rsidR="00000000" w:rsidRDefault="00000000">
      <w:pPr>
        <w:bidi/>
        <w:spacing w:line="360" w:lineRule="auto"/>
        <w:jc w:val="both"/>
        <w:rPr>
          <w:rtl/>
        </w:rPr>
      </w:pPr>
      <w:r>
        <w:rPr>
          <w:rFonts w:ascii="David" w:hAnsi="David" w:cs="David"/>
          <w:sz w:val="28"/>
          <w:szCs w:val="28"/>
          <w:rtl/>
        </w:rPr>
        <w:t> </w:t>
      </w:r>
    </w:p>
    <w:p w14:paraId="20B59D01" w14:textId="77777777" w:rsidR="00000000" w:rsidRDefault="00000000">
      <w:pPr>
        <w:bidi/>
        <w:spacing w:line="360" w:lineRule="auto"/>
        <w:ind w:firstLine="368"/>
        <w:jc w:val="both"/>
        <w:rPr>
          <w:rtl/>
        </w:rPr>
      </w:pPr>
      <w:r>
        <w:rPr>
          <w:rFonts w:ascii="David" w:hAnsi="David" w:cs="David"/>
          <w:sz w:val="28"/>
          <w:szCs w:val="28"/>
          <w:rtl/>
        </w:rPr>
        <w:t>לשיטת המבקשים, הנזק הכולל שנגרם לחברי הקבוצה, כפי שנאמד ע"י המומחה מטעמם בחוות דעתו, עומד על סך למעלה מ - 1,800 מיליון ₪.</w:t>
      </w:r>
    </w:p>
    <w:p w14:paraId="7255024E" w14:textId="77777777" w:rsidR="00000000" w:rsidRDefault="00000000">
      <w:pPr>
        <w:bidi/>
        <w:spacing w:line="360" w:lineRule="auto"/>
        <w:jc w:val="both"/>
        <w:rPr>
          <w:rtl/>
        </w:rPr>
      </w:pPr>
      <w:r>
        <w:rPr>
          <w:rFonts w:ascii="David" w:hAnsi="David" w:cs="David"/>
          <w:sz w:val="28"/>
          <w:szCs w:val="28"/>
          <w:rtl/>
        </w:rPr>
        <w:t> </w:t>
      </w:r>
    </w:p>
    <w:p w14:paraId="42466D76" w14:textId="77777777" w:rsidR="00000000" w:rsidRDefault="00000000">
      <w:pPr>
        <w:bidi/>
        <w:spacing w:line="360" w:lineRule="auto"/>
        <w:ind w:left="-58"/>
        <w:jc w:val="both"/>
        <w:rPr>
          <w:rtl/>
        </w:rPr>
      </w:pPr>
      <w:r>
        <w:rPr>
          <w:rFonts w:ascii="David" w:hAnsi="David" w:cs="David"/>
          <w:sz w:val="28"/>
          <w:szCs w:val="28"/>
          <w:rtl/>
        </w:rPr>
        <w:t xml:space="preserve">15.  לטענת המבקשים, בגביית תשלומים ללא הסמכה חוקית מפורשת, פוגעת המשיבה בזכות הקניין של חברי הקבוצה, בניגוד להוראות חוק יסוד: </w:t>
      </w:r>
      <w:r>
        <w:rPr>
          <w:rFonts w:ascii="David" w:hAnsi="David" w:cs="David"/>
          <w:sz w:val="28"/>
          <w:szCs w:val="28"/>
          <w:u w:val="single"/>
          <w:rtl/>
        </w:rPr>
        <w:t>כבוד האדם וחירותו</w:t>
      </w:r>
      <w:r>
        <w:rPr>
          <w:rFonts w:ascii="David" w:hAnsi="David" w:cs="David"/>
          <w:sz w:val="28"/>
          <w:szCs w:val="28"/>
          <w:rtl/>
        </w:rPr>
        <w:t xml:space="preserve">; כי המשיבה הפרה את הוראות </w:t>
      </w:r>
      <w:r>
        <w:rPr>
          <w:rFonts w:ascii="David" w:hAnsi="David" w:cs="David"/>
          <w:sz w:val="28"/>
          <w:szCs w:val="28"/>
          <w:u w:val="single"/>
          <w:rtl/>
        </w:rPr>
        <w:t>חוק החוזים (חלק כללי), התשל"ג-1967</w:t>
      </w:r>
      <w:r>
        <w:rPr>
          <w:rFonts w:ascii="David" w:hAnsi="David" w:cs="David"/>
          <w:sz w:val="28"/>
          <w:szCs w:val="28"/>
          <w:rtl/>
        </w:rPr>
        <w:t xml:space="preserve"> (להלן: </w:t>
      </w:r>
      <w:r>
        <w:rPr>
          <w:rFonts w:ascii="David" w:hAnsi="David" w:cs="David"/>
          <w:b/>
          <w:bCs/>
          <w:sz w:val="28"/>
          <w:szCs w:val="28"/>
          <w:rtl/>
        </w:rPr>
        <w:t>חוק החוזים</w:t>
      </w:r>
      <w:r>
        <w:rPr>
          <w:rFonts w:ascii="David" w:hAnsi="David" w:cs="David"/>
          <w:sz w:val="28"/>
          <w:szCs w:val="28"/>
          <w:rtl/>
        </w:rPr>
        <w:t xml:space="preserve">), בכך שפעלה בניגוד לחוזה ההתקשרות עם מנויי הווידאו, וכן בהפרת התחייבותה לפרסם את כדאיות הפסקל; כי המשיבה הפרה את הוראות </w:t>
      </w:r>
      <w:r>
        <w:rPr>
          <w:rFonts w:ascii="David" w:hAnsi="David" w:cs="David"/>
          <w:sz w:val="28"/>
          <w:szCs w:val="28"/>
          <w:u w:val="single"/>
          <w:rtl/>
        </w:rPr>
        <w:t>פקודת הנזיקין [נוסח חדש]</w:t>
      </w:r>
      <w:r>
        <w:rPr>
          <w:rFonts w:ascii="David" w:hAnsi="David" w:cs="David"/>
          <w:sz w:val="28"/>
          <w:szCs w:val="28"/>
          <w:rtl/>
        </w:rPr>
        <w:t xml:space="preserve"> (להלן: </w:t>
      </w:r>
      <w:r>
        <w:rPr>
          <w:rFonts w:ascii="David" w:hAnsi="David" w:cs="David"/>
          <w:b/>
          <w:bCs/>
          <w:sz w:val="28"/>
          <w:szCs w:val="28"/>
          <w:rtl/>
        </w:rPr>
        <w:t>פקודת הנזיקין</w:t>
      </w:r>
      <w:r>
        <w:rPr>
          <w:rFonts w:ascii="David" w:hAnsi="David" w:cs="David"/>
          <w:sz w:val="28"/>
          <w:szCs w:val="28"/>
          <w:rtl/>
        </w:rPr>
        <w:t xml:space="preserve">), התרשלה בכך שלא נהגה כפי שהיה נוהג זכיין סביר בנסיבות, וכן ביצעה עוולות תרמית וגזל לפי הוראות הפקודה; כי המשיבה הפרה ביחס למנויי הוידאו את הוראות חוק </w:t>
      </w:r>
      <w:r>
        <w:rPr>
          <w:rFonts w:ascii="David" w:hAnsi="David" w:cs="David"/>
          <w:sz w:val="28"/>
          <w:szCs w:val="28"/>
          <w:u w:val="single"/>
          <w:rtl/>
        </w:rPr>
        <w:t>הגנת הצרכן, התשמ"א-1981</w:t>
      </w:r>
      <w:r>
        <w:rPr>
          <w:rFonts w:ascii="David" w:hAnsi="David" w:cs="David"/>
          <w:sz w:val="28"/>
          <w:szCs w:val="28"/>
          <w:rtl/>
        </w:rPr>
        <w:t xml:space="preserve"> (להלן: </w:t>
      </w:r>
      <w:r>
        <w:rPr>
          <w:rFonts w:ascii="David" w:hAnsi="David" w:cs="David"/>
          <w:b/>
          <w:bCs/>
          <w:sz w:val="28"/>
          <w:szCs w:val="28"/>
          <w:rtl/>
        </w:rPr>
        <w:t>חוק הצרכן</w:t>
      </w:r>
      <w:r>
        <w:rPr>
          <w:rFonts w:ascii="David" w:hAnsi="David" w:cs="David"/>
          <w:sz w:val="28"/>
          <w:szCs w:val="28"/>
          <w:rtl/>
        </w:rPr>
        <w:t xml:space="preserve">), בכך שהטעתה את לקוחותיה במהות השירות שניתן להם, ובכלל זה את הוראות סעיף 13 לחוק, בגביית תשלום קבוע של דמי גביה לכל נסיעה בנפרד, ללא קשר להיקף הצריכה או השימוש; כי המשיבה מפרה בהתנהלותה את הוראות סעיפים 29 ו - 29א </w:t>
      </w:r>
      <w:r>
        <w:rPr>
          <w:rFonts w:ascii="David" w:hAnsi="David" w:cs="David"/>
          <w:sz w:val="28"/>
          <w:szCs w:val="28"/>
          <w:u w:val="single"/>
          <w:rtl/>
        </w:rPr>
        <w:t>לחוק התחרות הכלכלית, התשמ"ח-1988</w:t>
      </w:r>
      <w:r>
        <w:rPr>
          <w:rFonts w:ascii="David" w:hAnsi="David" w:cs="David"/>
          <w:sz w:val="28"/>
          <w:szCs w:val="28"/>
          <w:rtl/>
        </w:rPr>
        <w:t xml:space="preserve"> (להלן: </w:t>
      </w:r>
      <w:r>
        <w:rPr>
          <w:rFonts w:ascii="David" w:hAnsi="David" w:cs="David"/>
          <w:b/>
          <w:bCs/>
          <w:sz w:val="28"/>
          <w:szCs w:val="28"/>
          <w:rtl/>
        </w:rPr>
        <w:t>חוק התחרות הכלכלית</w:t>
      </w:r>
      <w:r>
        <w:rPr>
          <w:rFonts w:ascii="David" w:hAnsi="David" w:cs="David"/>
          <w:sz w:val="28"/>
          <w:szCs w:val="28"/>
          <w:rtl/>
        </w:rPr>
        <w:t xml:space="preserve">), וכן הפרה את הוראות </w:t>
      </w:r>
      <w:r>
        <w:rPr>
          <w:rFonts w:ascii="David" w:hAnsi="David" w:cs="David"/>
          <w:sz w:val="28"/>
          <w:szCs w:val="28"/>
          <w:u w:val="single"/>
          <w:rtl/>
        </w:rPr>
        <w:t>חוק עשיית עושר ולא במשפט, התשל"ט-1979</w:t>
      </w:r>
      <w:r>
        <w:rPr>
          <w:rFonts w:ascii="David" w:hAnsi="David" w:cs="David"/>
          <w:sz w:val="28"/>
          <w:szCs w:val="28"/>
          <w:rtl/>
        </w:rPr>
        <w:t xml:space="preserve"> (להלן: </w:t>
      </w:r>
      <w:r>
        <w:rPr>
          <w:rFonts w:ascii="David" w:hAnsi="David" w:cs="David"/>
          <w:b/>
          <w:bCs/>
          <w:sz w:val="28"/>
          <w:szCs w:val="28"/>
          <w:rtl/>
        </w:rPr>
        <w:t>חוק עשיית עושר ולא במשפט</w:t>
      </w:r>
      <w:r>
        <w:rPr>
          <w:rFonts w:ascii="David" w:hAnsi="David" w:cs="David"/>
          <w:sz w:val="28"/>
          <w:szCs w:val="28"/>
          <w:rtl/>
        </w:rPr>
        <w:t>).</w:t>
      </w:r>
    </w:p>
    <w:p w14:paraId="22E21CEA" w14:textId="77777777" w:rsidR="00000000" w:rsidRDefault="00000000">
      <w:pPr>
        <w:bidi/>
        <w:spacing w:line="360" w:lineRule="auto"/>
        <w:ind w:left="368" w:hanging="368"/>
        <w:jc w:val="both"/>
        <w:rPr>
          <w:rtl/>
        </w:rPr>
      </w:pPr>
      <w:r>
        <w:rPr>
          <w:rFonts w:ascii="David" w:hAnsi="David" w:cs="David"/>
          <w:sz w:val="28"/>
          <w:szCs w:val="28"/>
          <w:rtl/>
        </w:rPr>
        <w:t> </w:t>
      </w:r>
    </w:p>
    <w:p w14:paraId="577BF6B4" w14:textId="77777777" w:rsidR="00000000" w:rsidRDefault="00000000">
      <w:pPr>
        <w:bidi/>
        <w:spacing w:line="360" w:lineRule="auto"/>
        <w:ind w:left="-58"/>
        <w:jc w:val="both"/>
        <w:rPr>
          <w:rtl/>
        </w:rPr>
      </w:pPr>
      <w:r>
        <w:rPr>
          <w:rFonts w:ascii="David" w:hAnsi="David" w:cs="David"/>
          <w:sz w:val="28"/>
          <w:szCs w:val="28"/>
          <w:rtl/>
        </w:rPr>
        <w:t>16.  על יסוד טענות אלו, בית המשפט התבקש לאשר את עילות התובענה הייצוגית, להורות למשיבה לחדול מגביית דמי הגביה הבלתי חוקיים ולהשיב לחברי הקבוצה את כספי הגביה שגבתה מהמבקשים ומיתר חברי הקבוצה שלא כדין.</w:t>
      </w:r>
    </w:p>
    <w:p w14:paraId="49B42BFC" w14:textId="77777777" w:rsidR="00000000" w:rsidRDefault="00000000">
      <w:pPr>
        <w:bidi/>
        <w:spacing w:line="360" w:lineRule="auto"/>
        <w:jc w:val="both"/>
        <w:rPr>
          <w:rtl/>
        </w:rPr>
      </w:pPr>
      <w:r>
        <w:rPr>
          <w:rFonts w:ascii="David" w:hAnsi="David" w:cs="David"/>
          <w:sz w:val="28"/>
          <w:szCs w:val="28"/>
          <w:rtl/>
        </w:rPr>
        <w:t> </w:t>
      </w:r>
    </w:p>
    <w:p w14:paraId="20083F29" w14:textId="77777777" w:rsidR="00000000" w:rsidRDefault="00000000">
      <w:pPr>
        <w:bidi/>
        <w:spacing w:line="360" w:lineRule="auto"/>
        <w:jc w:val="both"/>
        <w:rPr>
          <w:rtl/>
        </w:rPr>
      </w:pPr>
      <w:r>
        <w:rPr>
          <w:rFonts w:ascii="David" w:hAnsi="David" w:cs="David"/>
          <w:sz w:val="28"/>
          <w:szCs w:val="28"/>
          <w:rtl/>
        </w:rPr>
        <w:t xml:space="preserve">17.  בתשובתה לבקשת האישור המשיבה עמדה על הרקע והליכי החקיקה שקדמו להקמת והפעלת כביש האגרה. החוק נחקק בשנת 1995, 7 שנים לפני הפעלתו ולפני הסדרת מנגנוני גבית החיובים בגין הנסיעה בו. תיקון ראשון לחוק נחקק ביום 29.07.98, ו-10 חודשים לאחר מכן, ביום 25.05.99, נחקקו תקנות הגבייה, ובמסגרתן הוגדרו במפורש "דמי הגבייה". התקנות קבעו מנגנון מדורג לגביית דמי גבייה בהתאם לסוג משתמש הכביש (תקנה 2) וסכומי דמי הגבייה נקבעו ללא תלות בהוצאות הגבייה בפועל. בעת אישור התקנות, העריכה הרשות הממונה את הוצאות הגבייה של המשיבה בהתחשב בסוגי המשתמשים השונים ובפעולות הגבייה הנדרשות לכל קטגוריה. מדינת ישראל העניקה למשיבה ערבויות שונות בגין סיכוני היקף הנסועה, אך לא בגין סיכוני דמי הגבייה. מכאן, המשיבה אינה זכאית לפיצוי במקרה שדמי הגבייה נמוכים מהוצאות הגבייה, אך מנגד, אינה חייבת בהפחתת דמי הגביה במקרה שההוצאות בפועל נמוכות מהערכות מוקדמות. הרשות הממונה הייתה צד ישיר מטעם המדינה לכינון הסדר זה. </w:t>
      </w:r>
    </w:p>
    <w:p w14:paraId="776BCED9" w14:textId="77777777" w:rsidR="00000000" w:rsidRDefault="00000000">
      <w:pPr>
        <w:bidi/>
        <w:spacing w:line="360" w:lineRule="auto"/>
        <w:ind w:left="360" w:hanging="360"/>
        <w:rPr>
          <w:rtl/>
        </w:rPr>
      </w:pPr>
      <w:r>
        <w:rPr>
          <w:rFonts w:ascii="David" w:hAnsi="David" w:cs="David"/>
          <w:sz w:val="28"/>
          <w:szCs w:val="28"/>
          <w:rtl/>
        </w:rPr>
        <w:t> </w:t>
      </w:r>
    </w:p>
    <w:p w14:paraId="7DEB5B8E" w14:textId="77777777" w:rsidR="00000000" w:rsidRDefault="00000000">
      <w:pPr>
        <w:bidi/>
        <w:spacing w:line="360" w:lineRule="auto"/>
        <w:jc w:val="both"/>
        <w:rPr>
          <w:rtl/>
        </w:rPr>
      </w:pPr>
      <w:r>
        <w:rPr>
          <w:rFonts w:ascii="David" w:hAnsi="David" w:cs="David"/>
          <w:sz w:val="28"/>
          <w:szCs w:val="28"/>
          <w:rtl/>
        </w:rPr>
        <w:t>18.  מנגנון דמי הגבייה הוסבר לחברי ועדת הכלכלה של הכנסת במהלך הליכי החקיקה, כנובע ממכלול פעולות הגבייה השונות המבוצעות ביחס למשתמשי הכביש השונים (ולא רק עבור עלות השאילתה למשרד הרישוי), והובהר כי הם נגבים עבור כל נסיעה בכביש. המשיבה הפנתה לפרוטוקולים מדיוני ועדת הכלכלה של הכנסת בימים 08.04.98 ו-09.03.99, ולדברי ח"כ אברהם פורז בישיבת ועדת הכלכלה של הכנסת, שציין שהסכומים נקבעו כ"דמי גבייה" ולא כ"החזר הוצאות" כדי למנוע טענות לפערים בין דמי הגבייה להוצאות בפועל. לשיטתה, על רקע זה יש לבחון את לשון החוק והתקנות. פרשנות המבקשים סותרת את לשון החוק ו"יוצרת" הוראה חדשה "יש מאין", החורגת מגבולות הפרשנות האפשרית ומהוראות חוזה הזיכיון. גביית דמי הגבייה החלה לאחר קביעת הסדרי הגביה בין המשיבה למדינה באמצעות הרשות הממונה, והיא נגבית ממועד הפעלת הכביש, בהתאם לתקנות והתעריפים הקבועים בהן, הן ממנויי הווידאו והן מייתר סוגי המשתמשים שהוגדרו בתקנות.</w:t>
      </w:r>
    </w:p>
    <w:p w14:paraId="49245930" w14:textId="77777777" w:rsidR="00000000" w:rsidRDefault="00000000">
      <w:pPr>
        <w:bidi/>
        <w:spacing w:line="360" w:lineRule="auto"/>
        <w:jc w:val="both"/>
        <w:rPr>
          <w:rtl/>
        </w:rPr>
      </w:pPr>
      <w:r>
        <w:rPr>
          <w:rFonts w:ascii="David" w:hAnsi="David" w:cs="David"/>
          <w:sz w:val="28"/>
          <w:szCs w:val="28"/>
          <w:rtl/>
        </w:rPr>
        <w:t> </w:t>
      </w:r>
    </w:p>
    <w:p w14:paraId="127E50FF" w14:textId="77777777" w:rsidR="00000000" w:rsidRDefault="00000000">
      <w:pPr>
        <w:bidi/>
        <w:spacing w:line="360" w:lineRule="auto"/>
        <w:ind w:left="-58"/>
        <w:jc w:val="both"/>
        <w:rPr>
          <w:rtl/>
        </w:rPr>
      </w:pPr>
      <w:r>
        <w:rPr>
          <w:rFonts w:ascii="David" w:hAnsi="David" w:cs="David"/>
          <w:sz w:val="28"/>
          <w:szCs w:val="28"/>
          <w:rtl/>
        </w:rPr>
        <w:t>19.  ביום 1.6.21 הוגשה עמדת הרשות הממונה לתיק. בתמצית, סבורה הרשות כי דין בקשת האישור להידחות. לשיטתה, הגישה הפרשנית המוצעת בבקשת האישור נוגדת במישרין את לשון החוק והתקנות; עולה לכדי תקיפה ישירה של החקיקה הרלוונטית שלא כדין; שגויה מעיקרה ואינה לוקחת בחשבון את מלוא התכליות והשיקולים הרלוונטיים; מציעה שינוי רדיקלי בדין הנוהג מזה עשרות שנים, שמשמעותו פגיעה חריפה באינטרס ההסתמכות של הצדדים לפרויקט, באינטרסים הלאומיים ובאינטרס הציבור.</w:t>
      </w:r>
    </w:p>
    <w:p w14:paraId="12F5EFDA" w14:textId="77777777" w:rsidR="00000000" w:rsidRDefault="00000000">
      <w:pPr>
        <w:bidi/>
        <w:spacing w:line="360" w:lineRule="auto"/>
        <w:ind w:left="368" w:hanging="426"/>
        <w:jc w:val="both"/>
        <w:rPr>
          <w:rtl/>
        </w:rPr>
      </w:pPr>
      <w:r>
        <w:rPr>
          <w:rFonts w:ascii="David" w:hAnsi="David" w:cs="David"/>
          <w:sz w:val="28"/>
          <w:szCs w:val="28"/>
          <w:rtl/>
        </w:rPr>
        <w:t> </w:t>
      </w:r>
    </w:p>
    <w:p w14:paraId="7FFF2DEC" w14:textId="77777777" w:rsidR="00000000" w:rsidRDefault="00000000">
      <w:pPr>
        <w:bidi/>
        <w:spacing w:line="360" w:lineRule="auto"/>
        <w:ind w:left="-58" w:firstLine="778"/>
        <w:jc w:val="both"/>
        <w:rPr>
          <w:rtl/>
        </w:rPr>
      </w:pPr>
      <w:r>
        <w:rPr>
          <w:rFonts w:ascii="David" w:hAnsi="David" w:cs="David"/>
          <w:sz w:val="28"/>
          <w:szCs w:val="28"/>
          <w:rtl/>
        </w:rPr>
        <w:t>עוד הוסבר, כי החוק הקנה לבעל הזיכיון סמכות ושיקול דעת לבחור באמצעי שיהווה "תג חיוב" ויגשים בצורה מיטבית את תכלית ודרישות המכרז, בכפוף לאישור הרשות. המשיבה הפעילה סמכות זו כחוק, וקבעה שתג החיוב יהא מכשיר הפסקל. מדובר בהתקן המאפשר זיהוי המשתמש וגביה קלה ויעילה של האגרה, שאינה מחייבת ביצוע פעולות נוספות כנדרש אצל משתמשים אחרים; אינדיקציות רבות שוללות את הטענה שהפסקל אינו תג חיוב מאחר והוא אמצעי זיהוי בלבד ומאידך, כרטיס אשראי או הוראת קבע הם, כביכול, "תג חיוב", כמו חוק הכביש, הוראות מסמכי המכרז, הוראות חוזה הזיכיון, הסכמי המשתמש בין המשיבה למנויים, התקנות מכוח חוק הכביש ופרוטוקול וועדת הכלכלה מיום 9.3.99; באשר לחוקיות שיעור דמי הגביה מלקוחות מזדמנים, בדיון ועדת הכלכלה מיום 18.5.98 נעשה ניתוק מוחלט בין הוצאות הגבייה בפועל לבין גובה דמי הגביה. בשל כך הוחלט שסכומים אלו יכונו "דמי גביה" ולא "החזר הוצאות". הרשות התייחסה בעמדתה לשיקולים נוספים, לרבות איסור תקיפה ישירה של חקיקה בהליך אזרחי ובוודאי שלא בתובענה ייצוגית ולשיקולי ודאות ויציבות, משפטית ומסחרית.</w:t>
      </w:r>
    </w:p>
    <w:p w14:paraId="7B91AB9F" w14:textId="77777777" w:rsidR="00000000" w:rsidRDefault="00000000">
      <w:pPr>
        <w:bidi/>
        <w:spacing w:line="360" w:lineRule="auto"/>
        <w:jc w:val="both"/>
        <w:rPr>
          <w:rtl/>
        </w:rPr>
      </w:pPr>
      <w:r>
        <w:rPr>
          <w:rFonts w:ascii="David" w:hAnsi="David" w:cs="David"/>
          <w:sz w:val="28"/>
          <w:szCs w:val="28"/>
          <w:rtl/>
        </w:rPr>
        <w:t> </w:t>
      </w:r>
    </w:p>
    <w:p w14:paraId="1E71DA64" w14:textId="77777777" w:rsidR="00000000" w:rsidRDefault="00000000">
      <w:pPr>
        <w:bidi/>
        <w:spacing w:line="360" w:lineRule="auto"/>
        <w:jc w:val="both"/>
        <w:rPr>
          <w:rtl/>
        </w:rPr>
      </w:pPr>
      <w:r>
        <w:rPr>
          <w:rFonts w:ascii="David" w:hAnsi="David" w:cs="David"/>
          <w:sz w:val="28"/>
          <w:szCs w:val="28"/>
          <w:rtl/>
        </w:rPr>
        <w:t>20.  לאחר הגשת עמדת הרשות הממונה בתיק ובעקבותיה, הגישה המשיבה בקשה לסלק על הסף את בקשת האישור. בדיון קדם משפט שהתקיים ביום 3.4.23, הודיעה המשיבה כי לא תעמוד, בשלב זה, על בקשתה זו, ובהסכמת הצדדים, צומצמו עילות התביעה כלהלן:</w:t>
      </w:r>
    </w:p>
    <w:p w14:paraId="10D3E9E6" w14:textId="77777777" w:rsidR="00000000" w:rsidRDefault="00000000">
      <w:pPr>
        <w:bidi/>
        <w:spacing w:line="360" w:lineRule="auto"/>
        <w:ind w:left="357" w:hanging="357"/>
        <w:jc w:val="both"/>
        <w:rPr>
          <w:rtl/>
        </w:rPr>
      </w:pPr>
      <w:r>
        <w:rPr>
          <w:rFonts w:ascii="David" w:hAnsi="David" w:cs="David"/>
          <w:sz w:val="28"/>
          <w:szCs w:val="28"/>
          <w:rtl/>
        </w:rPr>
        <w:t> </w:t>
      </w:r>
    </w:p>
    <w:p w14:paraId="2CC0DF8B" w14:textId="77777777" w:rsidR="00000000" w:rsidRDefault="00000000">
      <w:pPr>
        <w:bidi/>
        <w:spacing w:line="360" w:lineRule="auto"/>
        <w:ind w:left="720" w:hanging="357"/>
        <w:jc w:val="both"/>
        <w:rPr>
          <w:rtl/>
        </w:rPr>
      </w:pPr>
      <w:r>
        <w:rPr>
          <w:rFonts w:ascii="David" w:hAnsi="David" w:cs="David"/>
          <w:sz w:val="28"/>
          <w:szCs w:val="28"/>
          <w:rtl/>
        </w:rPr>
        <w:t>א.</w:t>
      </w:r>
      <w:r>
        <w:rPr>
          <w:sz w:val="14"/>
          <w:szCs w:val="14"/>
          <w:rtl/>
        </w:rPr>
        <w:t xml:space="preserve">  </w:t>
      </w:r>
      <w:r>
        <w:rPr>
          <w:rFonts w:ascii="David" w:hAnsi="David" w:cs="David"/>
          <w:sz w:val="28"/>
          <w:szCs w:val="28"/>
          <w:rtl/>
        </w:rPr>
        <w:t>טענת המבקשים בדבר חיוב המשיבה את מינויי הווידאו בסכום עודף בעסקה מתמשכת בניגוד להוראות סעיף 13ב(ב3) לחוק הגנת הצרכן;</w:t>
      </w:r>
    </w:p>
    <w:p w14:paraId="7E4C99CE" w14:textId="77777777" w:rsidR="00000000" w:rsidRDefault="00000000">
      <w:pPr>
        <w:bidi/>
        <w:spacing w:line="360" w:lineRule="auto"/>
        <w:ind w:left="720"/>
        <w:jc w:val="both"/>
        <w:rPr>
          <w:rtl/>
        </w:rPr>
      </w:pPr>
      <w:r>
        <w:rPr>
          <w:rFonts w:ascii="David" w:hAnsi="David" w:cs="David"/>
          <w:sz w:val="28"/>
          <w:szCs w:val="28"/>
          <w:rtl/>
        </w:rPr>
        <w:t> </w:t>
      </w:r>
    </w:p>
    <w:p w14:paraId="5BB56A85" w14:textId="77777777" w:rsidR="00000000" w:rsidRDefault="00000000">
      <w:pPr>
        <w:bidi/>
        <w:spacing w:line="360" w:lineRule="auto"/>
        <w:ind w:left="720" w:hanging="357"/>
        <w:jc w:val="both"/>
        <w:rPr>
          <w:rtl/>
        </w:rPr>
      </w:pPr>
      <w:r>
        <w:rPr>
          <w:rFonts w:ascii="David" w:hAnsi="David" w:cs="David"/>
          <w:sz w:val="28"/>
          <w:szCs w:val="28"/>
          <w:rtl/>
        </w:rPr>
        <w:t>ב.</w:t>
      </w:r>
      <w:r>
        <w:rPr>
          <w:sz w:val="14"/>
          <w:szCs w:val="14"/>
          <w:rtl/>
        </w:rPr>
        <w:t xml:space="preserve">  </w:t>
      </w:r>
      <w:r>
        <w:rPr>
          <w:rFonts w:ascii="David" w:hAnsi="David" w:cs="David"/>
          <w:sz w:val="28"/>
          <w:szCs w:val="28"/>
          <w:rtl/>
        </w:rPr>
        <w:t>הפרת המשיבה את התחייבותה המופיעה בחוזה לשווק ולקדם את מכשיר הפסקל;</w:t>
      </w:r>
    </w:p>
    <w:p w14:paraId="59C465BA" w14:textId="77777777" w:rsidR="00000000" w:rsidRDefault="00000000">
      <w:pPr>
        <w:bidi/>
        <w:spacing w:line="360" w:lineRule="auto"/>
        <w:ind w:left="720"/>
        <w:jc w:val="both"/>
        <w:rPr>
          <w:rtl/>
        </w:rPr>
      </w:pPr>
      <w:r>
        <w:rPr>
          <w:rFonts w:ascii="David" w:hAnsi="David" w:cs="David"/>
          <w:sz w:val="28"/>
          <w:szCs w:val="28"/>
        </w:rPr>
        <w:t> </w:t>
      </w:r>
    </w:p>
    <w:p w14:paraId="5E7F829C" w14:textId="77777777" w:rsidR="00000000" w:rsidRDefault="00000000">
      <w:pPr>
        <w:bidi/>
        <w:spacing w:line="360" w:lineRule="auto"/>
        <w:ind w:left="720" w:hanging="357"/>
        <w:jc w:val="both"/>
        <w:rPr>
          <w:rtl/>
        </w:rPr>
      </w:pPr>
      <w:r>
        <w:rPr>
          <w:rFonts w:ascii="David" w:hAnsi="David" w:cs="David"/>
          <w:sz w:val="28"/>
          <w:szCs w:val="28"/>
          <w:rtl/>
        </w:rPr>
        <w:t>ג.</w:t>
      </w:r>
      <w:r>
        <w:rPr>
          <w:sz w:val="14"/>
          <w:szCs w:val="14"/>
          <w:rtl/>
        </w:rPr>
        <w:t xml:space="preserve">  </w:t>
      </w:r>
      <w:r>
        <w:rPr>
          <w:rFonts w:ascii="David" w:hAnsi="David" w:cs="David"/>
          <w:sz w:val="28"/>
          <w:szCs w:val="28"/>
          <w:rtl/>
        </w:rPr>
        <w:t>הטעיית המשיבה את הציבור ביחס לכדאיות מנוי הפסקל ו"הסללת" הציבור למנוי וידאו;</w:t>
      </w:r>
    </w:p>
    <w:p w14:paraId="5CC2860B" w14:textId="77777777" w:rsidR="00000000" w:rsidRDefault="00000000">
      <w:pPr>
        <w:bidi/>
        <w:spacing w:line="360" w:lineRule="auto"/>
        <w:ind w:left="720"/>
        <w:jc w:val="both"/>
        <w:rPr>
          <w:rtl/>
        </w:rPr>
      </w:pPr>
      <w:r>
        <w:rPr>
          <w:rFonts w:ascii="David" w:hAnsi="David" w:cs="David"/>
          <w:sz w:val="28"/>
          <w:szCs w:val="28"/>
        </w:rPr>
        <w:t> </w:t>
      </w:r>
    </w:p>
    <w:p w14:paraId="2D9D3900" w14:textId="77777777" w:rsidR="00000000" w:rsidRDefault="00000000">
      <w:pPr>
        <w:bidi/>
        <w:spacing w:line="360" w:lineRule="auto"/>
        <w:ind w:left="720" w:hanging="357"/>
        <w:jc w:val="both"/>
        <w:rPr>
          <w:rtl/>
        </w:rPr>
      </w:pPr>
      <w:r>
        <w:rPr>
          <w:rFonts w:ascii="David" w:hAnsi="David" w:cs="David"/>
          <w:sz w:val="28"/>
          <w:szCs w:val="28"/>
          <w:rtl/>
        </w:rPr>
        <w:t>ד.</w:t>
      </w:r>
      <w:r>
        <w:rPr>
          <w:sz w:val="14"/>
          <w:szCs w:val="14"/>
          <w:rtl/>
        </w:rPr>
        <w:t xml:space="preserve">  </w:t>
      </w:r>
      <w:r>
        <w:rPr>
          <w:rFonts w:ascii="David" w:hAnsi="David" w:cs="David"/>
          <w:sz w:val="28"/>
          <w:szCs w:val="28"/>
          <w:rtl/>
        </w:rPr>
        <w:t>שימוש המשיבה במכשיר הפסקל כחסם, בניגוד לחוקי התחרות הכלכלית, כדי למנוע מהלקוחות לרכוש מנוי פסקל, ולהובילם למסלול מנוי וידאו או להשתמש בכביש כלקוחות מזדמנים;</w:t>
      </w:r>
    </w:p>
    <w:p w14:paraId="03A08926" w14:textId="77777777" w:rsidR="00000000" w:rsidRDefault="00000000">
      <w:pPr>
        <w:bidi/>
        <w:spacing w:line="360" w:lineRule="auto"/>
        <w:ind w:left="720"/>
        <w:jc w:val="both"/>
        <w:rPr>
          <w:rtl/>
        </w:rPr>
      </w:pPr>
      <w:r>
        <w:rPr>
          <w:rFonts w:ascii="David" w:hAnsi="David" w:cs="David"/>
          <w:sz w:val="28"/>
          <w:szCs w:val="28"/>
        </w:rPr>
        <w:t> </w:t>
      </w:r>
    </w:p>
    <w:p w14:paraId="40BA299B" w14:textId="77777777" w:rsidR="00000000" w:rsidRDefault="00000000">
      <w:pPr>
        <w:bidi/>
        <w:spacing w:line="360" w:lineRule="auto"/>
        <w:ind w:left="720" w:hanging="357"/>
        <w:jc w:val="both"/>
        <w:rPr>
          <w:rtl/>
        </w:rPr>
      </w:pPr>
      <w:r>
        <w:rPr>
          <w:rFonts w:ascii="David" w:hAnsi="David" w:cs="David"/>
          <w:sz w:val="28"/>
          <w:szCs w:val="28"/>
          <w:rtl/>
        </w:rPr>
        <w:t>ה.</w:t>
      </w:r>
      <w:r>
        <w:rPr>
          <w:sz w:val="14"/>
          <w:szCs w:val="14"/>
          <w:rtl/>
        </w:rPr>
        <w:t xml:space="preserve">  </w:t>
      </w:r>
      <w:r>
        <w:rPr>
          <w:rFonts w:ascii="David" w:hAnsi="David" w:cs="David"/>
          <w:sz w:val="28"/>
          <w:szCs w:val="28"/>
          <w:rtl/>
        </w:rPr>
        <w:t>הטענה כי המשיבה מהווה מונופול על שירותי הגביה ואינה מאפשרת תחרות לביצוע התשלום באמצעות ממשקי גביה אחרים כמו האפליקציות סלופארק או פנגו.</w:t>
      </w:r>
    </w:p>
    <w:p w14:paraId="40DAFEFE" w14:textId="77777777" w:rsidR="00000000" w:rsidRDefault="00000000">
      <w:pPr>
        <w:bidi/>
        <w:spacing w:line="360" w:lineRule="auto"/>
        <w:ind w:left="720"/>
        <w:jc w:val="both"/>
        <w:rPr>
          <w:rtl/>
        </w:rPr>
      </w:pPr>
      <w:r>
        <w:rPr>
          <w:rFonts w:ascii="David" w:hAnsi="David" w:cs="David"/>
          <w:sz w:val="28"/>
          <w:szCs w:val="28"/>
        </w:rPr>
        <w:t> </w:t>
      </w:r>
    </w:p>
    <w:p w14:paraId="2C752E64" w14:textId="77777777" w:rsidR="00000000" w:rsidRDefault="00000000">
      <w:pPr>
        <w:bidi/>
        <w:spacing w:line="360" w:lineRule="auto"/>
        <w:ind w:left="-58"/>
        <w:jc w:val="both"/>
        <w:rPr>
          <w:rtl/>
        </w:rPr>
      </w:pPr>
      <w:r>
        <w:rPr>
          <w:rFonts w:ascii="David" w:hAnsi="David" w:cs="David"/>
          <w:sz w:val="28"/>
          <w:szCs w:val="28"/>
          <w:rtl/>
        </w:rPr>
        <w:t>21.  בהמשך התקיימו שלוש ישיבות הוכחות, במהלכן נחקרו, המבקשים והעדים מטעמם, סמנכ"ל המשיבה והמומחים מטעם הצדדים</w:t>
      </w:r>
    </w:p>
    <w:p w14:paraId="26817D2F" w14:textId="77777777" w:rsidR="00000000" w:rsidRDefault="00000000">
      <w:pPr>
        <w:bidi/>
        <w:spacing w:line="360" w:lineRule="auto"/>
        <w:jc w:val="both"/>
        <w:rPr>
          <w:rtl/>
        </w:rPr>
      </w:pPr>
      <w:r>
        <w:rPr>
          <w:rFonts w:ascii="David" w:hAnsi="David" w:cs="David"/>
          <w:sz w:val="28"/>
          <w:szCs w:val="28"/>
          <w:rtl/>
        </w:rPr>
        <w:t> </w:t>
      </w:r>
    </w:p>
    <w:p w14:paraId="50AC3928" w14:textId="77777777" w:rsidR="00000000" w:rsidRDefault="00000000">
      <w:pPr>
        <w:bidi/>
        <w:spacing w:line="360" w:lineRule="auto"/>
        <w:jc w:val="both"/>
        <w:rPr>
          <w:rtl/>
        </w:rPr>
      </w:pPr>
      <w:r>
        <w:rPr>
          <w:rFonts w:ascii="David" w:hAnsi="David" w:cs="David"/>
          <w:b/>
          <w:bCs/>
          <w:sz w:val="28"/>
          <w:szCs w:val="28"/>
          <w:u w:val="single"/>
          <w:rtl/>
        </w:rPr>
        <w:t>תמצית סיכומי המבקשים</w:t>
      </w:r>
    </w:p>
    <w:p w14:paraId="7A199F80" w14:textId="77777777" w:rsidR="00000000" w:rsidRDefault="00000000">
      <w:pPr>
        <w:bidi/>
        <w:spacing w:line="360" w:lineRule="auto"/>
        <w:jc w:val="both"/>
        <w:rPr>
          <w:rtl/>
        </w:rPr>
      </w:pPr>
      <w:r>
        <w:rPr>
          <w:rFonts w:ascii="David" w:hAnsi="David" w:cs="David"/>
          <w:sz w:val="28"/>
          <w:szCs w:val="28"/>
          <w:rtl/>
        </w:rPr>
        <w:t> </w:t>
      </w:r>
    </w:p>
    <w:p w14:paraId="4408E7E3" w14:textId="77777777" w:rsidR="00000000" w:rsidRDefault="00000000">
      <w:pPr>
        <w:bidi/>
        <w:spacing w:line="360" w:lineRule="auto"/>
        <w:ind w:left="-58"/>
        <w:jc w:val="both"/>
        <w:rPr>
          <w:rtl/>
        </w:rPr>
      </w:pPr>
      <w:r>
        <w:rPr>
          <w:rFonts w:ascii="David" w:hAnsi="David" w:cs="David"/>
          <w:sz w:val="28"/>
          <w:szCs w:val="28"/>
          <w:rtl/>
        </w:rPr>
        <w:t xml:space="preserve">22.  לשיטת המבקשים, בקשת האישור אינה חולקת על הזכות לגבות עפ"י התקנות, ואינה משיגה על חוקיות התקנות, אלא על מעשים ומחדלים שביצעה המשיבה במסגרת מימושן; לשיטתם, הוכח כי המשיבה היא גוף דו מהותי הכפוף להגינות, איסור אפליה, תום לב, יושר, נאמנות וסבירות. </w:t>
      </w:r>
    </w:p>
    <w:p w14:paraId="24B4C902" w14:textId="77777777" w:rsidR="00000000" w:rsidRDefault="00000000">
      <w:pPr>
        <w:bidi/>
        <w:spacing w:line="360" w:lineRule="auto"/>
        <w:ind w:left="368" w:hanging="426"/>
        <w:jc w:val="both"/>
        <w:rPr>
          <w:rtl/>
        </w:rPr>
      </w:pPr>
      <w:r>
        <w:rPr>
          <w:rFonts w:ascii="David" w:hAnsi="David" w:cs="David"/>
          <w:sz w:val="28"/>
          <w:szCs w:val="28"/>
          <w:rtl/>
        </w:rPr>
        <w:t> </w:t>
      </w:r>
    </w:p>
    <w:p w14:paraId="46900786" w14:textId="77777777" w:rsidR="00000000" w:rsidRDefault="00000000">
      <w:pPr>
        <w:bidi/>
        <w:spacing w:line="360" w:lineRule="auto"/>
        <w:jc w:val="both"/>
        <w:rPr>
          <w:rtl/>
        </w:rPr>
      </w:pPr>
      <w:r>
        <w:rPr>
          <w:rFonts w:ascii="David" w:hAnsi="David" w:cs="David"/>
          <w:sz w:val="28"/>
          <w:szCs w:val="28"/>
          <w:u w:val="single"/>
          <w:rtl/>
        </w:rPr>
        <w:t>הטעיה</w:t>
      </w:r>
    </w:p>
    <w:p w14:paraId="1E7D898E" w14:textId="77777777" w:rsidR="00000000" w:rsidRDefault="00000000">
      <w:pPr>
        <w:bidi/>
        <w:spacing w:line="360" w:lineRule="auto"/>
        <w:jc w:val="both"/>
        <w:rPr>
          <w:rtl/>
        </w:rPr>
      </w:pPr>
      <w:r>
        <w:rPr>
          <w:rFonts w:ascii="David" w:hAnsi="David" w:cs="David"/>
          <w:sz w:val="28"/>
          <w:szCs w:val="28"/>
          <w:rtl/>
        </w:rPr>
        <w:t> </w:t>
      </w:r>
    </w:p>
    <w:p w14:paraId="5112D950" w14:textId="77777777" w:rsidR="00000000" w:rsidRDefault="00000000">
      <w:pPr>
        <w:bidi/>
        <w:spacing w:line="360" w:lineRule="auto"/>
        <w:ind w:left="-58"/>
        <w:jc w:val="both"/>
        <w:rPr>
          <w:rtl/>
        </w:rPr>
      </w:pPr>
      <w:r>
        <w:rPr>
          <w:rFonts w:ascii="David" w:hAnsi="David" w:cs="David"/>
          <w:sz w:val="28"/>
          <w:szCs w:val="28"/>
          <w:rtl/>
        </w:rPr>
        <w:t>23.  המבקשים הוכיחו כי די בנסיעה אחת בשנה כדי שמנוי הפסקל יהיה המשתלם ביותר ללקוח; הטעיה ע"י מונופול תחשב כ"ניצול מעמד לרעה". לפי הפסיקה, על מונופול שהוא גם גוף דו-מהותי מוטלת חובת גילוי אקטיבית מוגברת וחובת יידוע בהיר וקליט כאשר עודף מידע בלתי ברור מהווה הטעיה.</w:t>
      </w:r>
    </w:p>
    <w:p w14:paraId="5B27ABE6" w14:textId="77777777" w:rsidR="00000000" w:rsidRDefault="00000000">
      <w:pPr>
        <w:bidi/>
        <w:spacing w:line="360" w:lineRule="auto"/>
        <w:ind w:left="720" w:hanging="720"/>
        <w:jc w:val="both"/>
        <w:rPr>
          <w:rtl/>
        </w:rPr>
      </w:pPr>
      <w:r>
        <w:rPr>
          <w:rFonts w:ascii="David" w:hAnsi="David" w:cs="David"/>
          <w:sz w:val="28"/>
          <w:szCs w:val="28"/>
          <w:rtl/>
        </w:rPr>
        <w:t> </w:t>
      </w:r>
    </w:p>
    <w:p w14:paraId="1BFA8E98" w14:textId="77777777" w:rsidR="00000000" w:rsidRDefault="00000000">
      <w:pPr>
        <w:bidi/>
        <w:spacing w:line="360" w:lineRule="auto"/>
        <w:ind w:left="-58"/>
        <w:jc w:val="both"/>
        <w:rPr>
          <w:rtl/>
        </w:rPr>
      </w:pPr>
      <w:r>
        <w:rPr>
          <w:rFonts w:ascii="David" w:hAnsi="David" w:cs="David"/>
          <w:sz w:val="28"/>
          <w:szCs w:val="28"/>
          <w:rtl/>
        </w:rPr>
        <w:t>-  דמי גביה הם בגדר "ענין מהותי" בהתאם לסעיף 2(א) לחוק הגנת הצרכן. שיעור דמי הגביה למנוי וידאו מהווה 27.5% מהתשלום המינימלי של אגרת נסיעה, כך שבחירת סוג המנוי היא שיקול הדעת היחיד שניתן ללקוח; לאורך תקופה ההפרש בין מנוי וידאו לפסקל עשוי להגיע לעשרות אלפי שקלים. לשיטת המבקשים, מנוי הפסקל הוא המשתלם ביותר, ומכאן המשיבה חייבת ליידע על אודות קיום דמי גביה לנסיעה ועלותם ביחס לכל סוג משתמש. על אופן היידוע והנגשת המידע להיות בהירים וקליטים, לכל הפחות היה על המשיבה לציין מידע זה בחשבוניות, בשילוט על הכביש, באתר האינטרנט בראש העמוד הראשי, בהתקשרות טלפונית ובהפרדת דמי האגרה מדמי הגביה בחשבוניות.</w:t>
      </w:r>
    </w:p>
    <w:p w14:paraId="763D103E" w14:textId="77777777" w:rsidR="00000000" w:rsidRDefault="00000000">
      <w:pPr>
        <w:bidi/>
        <w:spacing w:line="360" w:lineRule="auto"/>
        <w:ind w:left="720"/>
        <w:jc w:val="both"/>
        <w:rPr>
          <w:rtl/>
        </w:rPr>
      </w:pPr>
      <w:r>
        <w:rPr>
          <w:rFonts w:ascii="David" w:hAnsi="David" w:cs="David"/>
          <w:sz w:val="28"/>
          <w:szCs w:val="28"/>
          <w:rtl/>
        </w:rPr>
        <w:t> </w:t>
      </w:r>
    </w:p>
    <w:p w14:paraId="1FA50F1D" w14:textId="77777777" w:rsidR="00000000" w:rsidRDefault="00000000">
      <w:pPr>
        <w:bidi/>
        <w:spacing w:line="360" w:lineRule="auto"/>
        <w:ind w:left="-58"/>
        <w:jc w:val="both"/>
        <w:rPr>
          <w:rtl/>
        </w:rPr>
      </w:pPr>
      <w:r>
        <w:rPr>
          <w:rFonts w:ascii="David" w:hAnsi="David" w:cs="David"/>
          <w:sz w:val="28"/>
          <w:szCs w:val="28"/>
          <w:rtl/>
        </w:rPr>
        <w:t>-  בהתאם לסעיף 4(א)(1) לחוק הגנת הצרכן חלה חובה לגלות כי שירות הנסיעה ללא מנוי הוא פגום ונחות משירות מנוי, וכי איכות מנוי הווידאו נחותה לעומת הפסקל. לפי הספרות, זוהי חובה מוחלטת שהפרתה מהווה עוולה נפרדת מעוולת ההטעיה ומקימה עילה מקבילה מכוח חוק החוזים. בין המשיבה למנוייה מערכת יחסים חוזית, כאשר המשיבה לא עמדה בחובת הגילוי בה עסקינן. משכך, קמה עילת הטעייה לפי סעיף 14-15 לחוק החוזים; כן, המשיבה הפרה את חובת תום הלב שבסעיף 12 ו - 39 לחוק החוזים, בשלבי המו"מ ובקיום החוזה, במיוחד לאור חובת תום הלב המוגברת החלה עליה.</w:t>
      </w:r>
    </w:p>
    <w:p w14:paraId="1A41974A" w14:textId="77777777" w:rsidR="00000000" w:rsidRDefault="00000000">
      <w:pPr>
        <w:bidi/>
        <w:spacing w:line="360" w:lineRule="auto"/>
        <w:ind w:left="368" w:hanging="426"/>
        <w:jc w:val="both"/>
        <w:rPr>
          <w:rtl/>
        </w:rPr>
      </w:pPr>
      <w:r>
        <w:rPr>
          <w:rFonts w:ascii="David" w:hAnsi="David" w:cs="David"/>
          <w:sz w:val="28"/>
          <w:szCs w:val="28"/>
          <w:rtl/>
        </w:rPr>
        <w:t> </w:t>
      </w:r>
    </w:p>
    <w:p w14:paraId="6155BDDC" w14:textId="77777777" w:rsidR="00000000" w:rsidRDefault="00000000">
      <w:pPr>
        <w:bidi/>
        <w:spacing w:line="360" w:lineRule="auto"/>
        <w:jc w:val="both"/>
        <w:rPr>
          <w:rtl/>
        </w:rPr>
      </w:pPr>
      <w:r>
        <w:rPr>
          <w:rFonts w:ascii="David" w:hAnsi="David" w:cs="David"/>
          <w:sz w:val="28"/>
          <w:szCs w:val="28"/>
          <w:rtl/>
        </w:rPr>
        <w:t xml:space="preserve">-  הפרת סעיף 13ב (ב3) לחוק הגנת הצרכן - באי פירוט דמי הגביה בחשבונית. המשיבה לא מציינת בחשבוניות את רכיב דמי הגביה בנפרד אלא במאוחד עם האגרה. חוזה הווידאו הוא "עסקה מתמשכת" כהגדרתו בחוק ודמי הגביה הם בגדר "תשלום קבוע". סעיף זה קובע כי על המשיבה לפרט בחשבונית את מרכיבי דמי הגבייה ואת סכומם, כדי שהצרכן יידע על מה הוא מחויב. משלא עשתה כן, היא מנועה מגביית דמי גביה ממנויי הווידאו. אף אם הוראות סעיף 13ב לחוק הגנת הצרכן אינן חלות בעניינו, הרי שמדובר בהטעיה במחדל (סעיף 2 לחוק הגנת הצרכן). אי ביצוע הפרדה בין האגרה לדמי גביה בחשבונית מהווה הטעיה אקטיבית, מאחר והחשבונית נוקבת במילים "תשלומים עבור נסיעות", בעוד מנויי הווידאו מחויבים בנוסף בדמי גבייה; </w:t>
      </w:r>
    </w:p>
    <w:p w14:paraId="316181CE" w14:textId="77777777" w:rsidR="00000000" w:rsidRDefault="00000000">
      <w:pPr>
        <w:bidi/>
        <w:spacing w:line="360" w:lineRule="auto"/>
        <w:ind w:left="368" w:hanging="426"/>
        <w:jc w:val="both"/>
        <w:rPr>
          <w:rtl/>
        </w:rPr>
      </w:pPr>
      <w:r>
        <w:rPr>
          <w:rFonts w:ascii="David" w:hAnsi="David" w:cs="David"/>
          <w:sz w:val="28"/>
          <w:szCs w:val="28"/>
          <w:rtl/>
        </w:rPr>
        <w:t> </w:t>
      </w:r>
    </w:p>
    <w:p w14:paraId="04BD905C" w14:textId="77777777" w:rsidR="00000000" w:rsidRDefault="00000000">
      <w:pPr>
        <w:bidi/>
        <w:spacing w:line="360" w:lineRule="auto"/>
        <w:jc w:val="both"/>
        <w:rPr>
          <w:rtl/>
        </w:rPr>
      </w:pPr>
      <w:r>
        <w:rPr>
          <w:rFonts w:ascii="David" w:hAnsi="David" w:cs="David"/>
          <w:sz w:val="28"/>
          <w:szCs w:val="28"/>
          <w:rtl/>
        </w:rPr>
        <w:t xml:space="preserve">-  הסתרה מדוברי אנגלית, ערבית ורוסית והתעלמות מחובת הנגישות: אין באתר או בחשבוניות אינפורמציה בשפות אלו. מדובר בהטעיה מכוונת, הן הטעיה במחדל והן ניצול מצוקת הצרכן. </w:t>
      </w:r>
    </w:p>
    <w:p w14:paraId="7757C8B3" w14:textId="77777777" w:rsidR="00000000" w:rsidRDefault="00000000">
      <w:pPr>
        <w:bidi/>
        <w:spacing w:line="360" w:lineRule="auto"/>
        <w:ind w:left="368"/>
        <w:jc w:val="both"/>
        <w:rPr>
          <w:rtl/>
        </w:rPr>
      </w:pPr>
      <w:r>
        <w:rPr>
          <w:rFonts w:ascii="David" w:hAnsi="David" w:cs="David"/>
          <w:sz w:val="28"/>
          <w:szCs w:val="28"/>
          <w:rtl/>
        </w:rPr>
        <w:t> </w:t>
      </w:r>
    </w:p>
    <w:p w14:paraId="7DBB6C77" w14:textId="77777777" w:rsidR="00000000" w:rsidRDefault="00000000">
      <w:pPr>
        <w:bidi/>
        <w:spacing w:line="360" w:lineRule="auto"/>
        <w:jc w:val="both"/>
        <w:rPr>
          <w:rtl/>
        </w:rPr>
      </w:pPr>
      <w:r>
        <w:rPr>
          <w:rFonts w:ascii="David" w:hAnsi="David" w:cs="David"/>
          <w:sz w:val="28"/>
          <w:szCs w:val="28"/>
          <w:rtl/>
        </w:rPr>
        <w:t>-  העדר שילוט בכביש המיידע על אודות "המידע המהותי" על הכביש ובתחנות השירות. המשתמשים המזדמנים ומנויי הווידאו אינם מיודעים במידע המהותי, שכן אין פירוט על גבי החשבוניות בדבר המידע המהותי או המלצה להצטרף כמנוי פסקל. אף נטען, כי דמי הגביה לא מופיעים במסמכי המשיבה, ולקוח שאינו מודע לקיומם, להבדל בין סוגי המנויים ולפער במחיר, לא יכול לקבל החלטה מושכלת לגבי המסלול שיבחר. כן נטען שקיימת חובה לכנות את התשלום הנוסף בשמו החוקי "דמי גביה" , וכאשר הדבר לא נעשה הרי מדובר בהטעיה</w:t>
      </w:r>
    </w:p>
    <w:p w14:paraId="1A3D11BC" w14:textId="77777777" w:rsidR="00000000" w:rsidRDefault="00000000">
      <w:pPr>
        <w:bidi/>
        <w:spacing w:line="360" w:lineRule="auto"/>
        <w:ind w:left="368"/>
        <w:jc w:val="both"/>
        <w:rPr>
          <w:rtl/>
        </w:rPr>
      </w:pPr>
      <w:r>
        <w:rPr>
          <w:rFonts w:ascii="David" w:hAnsi="David" w:cs="David"/>
          <w:sz w:val="28"/>
          <w:szCs w:val="28"/>
          <w:rtl/>
        </w:rPr>
        <w:t> </w:t>
      </w:r>
    </w:p>
    <w:p w14:paraId="33DE208E" w14:textId="77777777" w:rsidR="00000000" w:rsidRDefault="00000000">
      <w:pPr>
        <w:bidi/>
        <w:spacing w:line="360" w:lineRule="auto"/>
        <w:jc w:val="both"/>
        <w:rPr>
          <w:rtl/>
        </w:rPr>
      </w:pPr>
      <w:r>
        <w:rPr>
          <w:rFonts w:ascii="David" w:hAnsi="David" w:cs="David"/>
          <w:sz w:val="28"/>
          <w:szCs w:val="28"/>
          <w:rtl/>
        </w:rPr>
        <w:t>-  המבקשים גם טענו להטעיה טלפונית, במעשה ובמחדל, שהוכחה בהעדר ראיה לסתור. המבקש 2 הצהיר שהאמין כי מנוי ווידאו הוא המשתלם ביותר, והעיד כי נציגי המשיבה לא ציינו בשיחות הטלפוניות שקיימים דמי גביה, לא הוסבר שקיימים שני סוגי מנוי ולא נאמר שקיים הפרש של דמי גבייה במחיר, ועדותו לא נסתרה.</w:t>
      </w:r>
    </w:p>
    <w:p w14:paraId="6B93B775" w14:textId="77777777" w:rsidR="00000000" w:rsidRDefault="00000000">
      <w:pPr>
        <w:bidi/>
        <w:spacing w:line="360" w:lineRule="auto"/>
        <w:jc w:val="both"/>
        <w:rPr>
          <w:rtl/>
        </w:rPr>
      </w:pPr>
      <w:r>
        <w:rPr>
          <w:rFonts w:ascii="David" w:hAnsi="David" w:cs="David"/>
          <w:sz w:val="28"/>
          <w:szCs w:val="28"/>
          <w:rtl/>
        </w:rPr>
        <w:t> </w:t>
      </w:r>
    </w:p>
    <w:p w14:paraId="1CF1F579" w14:textId="77777777" w:rsidR="00000000" w:rsidRDefault="00000000">
      <w:pPr>
        <w:bidi/>
        <w:spacing w:line="360" w:lineRule="auto"/>
        <w:ind w:left="-58"/>
        <w:jc w:val="both"/>
        <w:rPr>
          <w:rtl/>
        </w:rPr>
      </w:pPr>
      <w:r>
        <w:rPr>
          <w:rFonts w:ascii="David" w:hAnsi="David" w:cs="David"/>
          <w:sz w:val="28"/>
          <w:szCs w:val="28"/>
          <w:rtl/>
        </w:rPr>
        <w:t xml:space="preserve">-  המבקשים גם עמדו על הטעיות, אי גילוי ו"הסללות" באתר האינטרנט. (1) בהליך ההרשמה באתר המשיבה הקישור למנוי הווידאו בולט ומואר, בניגוד למסלול מנוי הפסקל מה שיוצר מצג שמסלול הפסקל אינו זמין; (2) ברירת המחדל באתר החדש היא מנוי ווידאו. הלכה היא כי ברירת מחדל מובהקת לרעת הלקוח מהווה הטעיה; המידע המהותי לא מופיע בעמוד הבית והליך ההרשמה למנוי לא כולל את המידע המהותי. רק בסוף העמוד השני קיימת הפניה לסימן שאלה ביחס ל"סוג המנוי". לפי הפסיקה, אם נדרשת פעולת גלישה אקטיבית נוספת לקבלת המידע מדובר בהטעיה; (3) באופן דומה, גם באתר הישן נעשו פעולות הטעיה. אין אזכור למידע מהותי בעמוד הבית; שני סוגי המנויים מוצגים באופן זהה למרות השוני המהותי ביניהם; ההפניה למידע המהותי דרשה ביצוע פעולת גלישה אקטיבית נוספת, שסביר שהגולש לא יבחין בה; מידע על מחיר הפסקל "מוחבא" באתר והמשיבה באופן המקשה על איתורו; באתר הישן נדרש ביצוע 5 פעולות גלישה נוספות לפחות כדי להיחשף למחיר הפיקדון ואילו בנוכחי נדרשות 9 פעולות גלישה, ואף הן מובילות למידע חלקי ומטעה; (4) הטעיה נוספת מקורה במשפט "משלמים רק על נסיעות" המופיע באתר, תוך התעלמות מרכיב דמי הגבייה; כן הפרסום לפיו מדובר ב"הנחה" בעוד מדובר בפטור או תשלום דמי גבייה מופחתים אף הוא מעשה הטעיה; (5) המחירון מוסתר באתר וקשה מאד לאתרו. המחירון לא כולל את דמי הגביה והפרשי התעריפים בצורה מפורשת, הוא מסורבל, כולל עודף מידע שאינו רלוונטי וקשה לחלץ ממנו את הפרשי התמחור. </w:t>
      </w:r>
    </w:p>
    <w:p w14:paraId="0962E114" w14:textId="77777777" w:rsidR="00000000" w:rsidRDefault="00000000">
      <w:pPr>
        <w:bidi/>
        <w:spacing w:line="360" w:lineRule="auto"/>
        <w:jc w:val="both"/>
        <w:rPr>
          <w:rtl/>
        </w:rPr>
      </w:pPr>
      <w:r>
        <w:rPr>
          <w:rFonts w:ascii="David" w:hAnsi="David" w:cs="David"/>
          <w:sz w:val="28"/>
          <w:szCs w:val="28"/>
          <w:rtl/>
        </w:rPr>
        <w:t> </w:t>
      </w:r>
    </w:p>
    <w:p w14:paraId="31615FA2" w14:textId="77777777" w:rsidR="00000000" w:rsidRDefault="00000000">
      <w:pPr>
        <w:bidi/>
        <w:spacing w:line="360" w:lineRule="auto"/>
        <w:ind w:left="-58"/>
        <w:jc w:val="both"/>
        <w:rPr>
          <w:rtl/>
        </w:rPr>
      </w:pPr>
      <w:r>
        <w:rPr>
          <w:rFonts w:ascii="David" w:hAnsi="David" w:cs="David"/>
          <w:sz w:val="28"/>
          <w:szCs w:val="28"/>
          <w:rtl/>
        </w:rPr>
        <w:t>-  המשיבה התחייבה במסגרת סעיף 11.9 להסכם הזיכיון לשווק ולפרסם את הפסקל, ולא הכחישה שהיא אינה עושה כן. חובה על המשיבה לבצע על חשבונה פעולות שיווק ופרסום אקטיבי של הפסקל; אף במידה ולא מדובר בחוזה לטובת צד ג', עדיין ניתן לתבוע בגין רשלנות ועשיית עושר ולא במשפט. המשיבה התעשרה מעצם אי פרסום הפסקל, היא חסכה את הוצאות הפרסום והרוויחה דמי גביה.</w:t>
      </w:r>
    </w:p>
    <w:p w14:paraId="7F9E997F" w14:textId="77777777" w:rsidR="00000000" w:rsidRDefault="00000000">
      <w:pPr>
        <w:bidi/>
        <w:spacing w:line="360" w:lineRule="auto"/>
        <w:ind w:left="-58"/>
        <w:jc w:val="both"/>
        <w:rPr>
          <w:rtl/>
        </w:rPr>
      </w:pPr>
      <w:r>
        <w:rPr>
          <w:rFonts w:ascii="David" w:hAnsi="David" w:cs="David"/>
          <w:sz w:val="28"/>
          <w:szCs w:val="28"/>
          <w:rtl/>
        </w:rPr>
        <w:t> </w:t>
      </w:r>
    </w:p>
    <w:p w14:paraId="0273A091" w14:textId="77777777" w:rsidR="00000000" w:rsidRDefault="00000000">
      <w:pPr>
        <w:bidi/>
        <w:spacing w:line="360" w:lineRule="auto"/>
        <w:ind w:left="-58"/>
        <w:jc w:val="both"/>
        <w:rPr>
          <w:rtl/>
        </w:rPr>
      </w:pPr>
      <w:r>
        <w:rPr>
          <w:rFonts w:ascii="David" w:hAnsi="David" w:cs="David"/>
          <w:sz w:val="28"/>
          <w:szCs w:val="28"/>
          <w:u w:val="single"/>
          <w:rtl/>
        </w:rPr>
        <w:t>טענות נוספות שהעלו המבקשים בסיכומיהם</w:t>
      </w:r>
    </w:p>
    <w:p w14:paraId="28E37EDE" w14:textId="77777777" w:rsidR="00000000" w:rsidRDefault="00000000">
      <w:pPr>
        <w:bidi/>
        <w:spacing w:line="360" w:lineRule="auto"/>
        <w:ind w:left="720" w:hanging="720"/>
        <w:jc w:val="both"/>
        <w:rPr>
          <w:rtl/>
        </w:rPr>
      </w:pPr>
      <w:r>
        <w:rPr>
          <w:rFonts w:ascii="David" w:hAnsi="David" w:cs="David"/>
          <w:sz w:val="28"/>
          <w:szCs w:val="28"/>
          <w:rtl/>
        </w:rPr>
        <w:t> </w:t>
      </w:r>
    </w:p>
    <w:p w14:paraId="3A86DA3A" w14:textId="77777777" w:rsidR="00000000" w:rsidRDefault="00000000">
      <w:pPr>
        <w:bidi/>
        <w:spacing w:line="360" w:lineRule="auto"/>
        <w:ind w:left="-58"/>
        <w:jc w:val="both"/>
        <w:rPr>
          <w:rtl/>
        </w:rPr>
      </w:pPr>
      <w:r>
        <w:rPr>
          <w:rFonts w:ascii="David" w:hAnsi="David" w:cs="David"/>
          <w:sz w:val="28"/>
          <w:szCs w:val="28"/>
          <w:rtl/>
        </w:rPr>
        <w:t>24.  נטען, כי המשיבה אינה מחויבת בדין לגבות דמי גביה, שכן המדובר בזכות לגבות ולא בחובה. לפיכך, המשיבה מוסמכת לפטור את מנויי הווידאו והמשתמשים המזדמנים מדמי הגביה, או להפחיתם.</w:t>
      </w:r>
    </w:p>
    <w:p w14:paraId="626EA9CD" w14:textId="77777777" w:rsidR="00000000" w:rsidRDefault="00000000">
      <w:pPr>
        <w:bidi/>
        <w:spacing w:line="360" w:lineRule="auto"/>
        <w:ind w:left="368"/>
        <w:jc w:val="both"/>
        <w:rPr>
          <w:rtl/>
        </w:rPr>
      </w:pPr>
      <w:r>
        <w:rPr>
          <w:rFonts w:ascii="David" w:hAnsi="David" w:cs="David"/>
          <w:sz w:val="28"/>
          <w:szCs w:val="28"/>
          <w:rtl/>
        </w:rPr>
        <w:t> </w:t>
      </w:r>
    </w:p>
    <w:p w14:paraId="4A75094B" w14:textId="77777777" w:rsidR="00000000" w:rsidRDefault="00000000">
      <w:pPr>
        <w:bidi/>
        <w:spacing w:line="360" w:lineRule="auto"/>
        <w:ind w:left="-58"/>
        <w:jc w:val="both"/>
        <w:rPr>
          <w:rtl/>
        </w:rPr>
      </w:pPr>
      <w:r>
        <w:rPr>
          <w:rFonts w:ascii="David" w:hAnsi="David" w:cs="David"/>
          <w:sz w:val="28"/>
          <w:szCs w:val="28"/>
          <w:rtl/>
        </w:rPr>
        <w:t>25.  עוד נטען, כי הפסקל משמש כמכשיר לזיהוי ולא לחיוב, ולא יכול להיחשב כ"תג חיוב". אף אם הפסקל היה "תג חיוב", מרבית עילות התביעה היו תקפות; בניגוד לצילום, הפסקל אינו יכול לשמש כראיה על מעבר כביש, ולכן, לשיטת המבקשים, הוא נחות מווידאו; הוכח שעלות נסיעת פסקל יקרה משמעותית מעלות נסיעת מנוי ווידאו, הן למשתמשים והן למשיבה. הטענה שצילום נסיעות מנוי הוידאו מצדיק גביית דמי גביה קורסת מאחר ומערך הפסקל יקר משמעותית; לא ניתן להפעיל את הכביש ללא מערך הווידאו, אך ניתן להפעילו ללא מערך הפסקל; ייעוד דמי הגביה הוא כיסוי הוצאות ולא גריפת רווחים; הפסקל שברשות מנויים רבים תקול או אינו בשימוש על ידם, אך הם עדיין לא מחויבים בדמי גביה כפי שאישר מומחה המשיבה.</w:t>
      </w:r>
    </w:p>
    <w:p w14:paraId="06F26AB3" w14:textId="77777777" w:rsidR="00000000" w:rsidRDefault="00000000">
      <w:pPr>
        <w:bidi/>
        <w:spacing w:line="360" w:lineRule="auto"/>
        <w:ind w:left="720" w:hanging="720"/>
        <w:jc w:val="both"/>
        <w:rPr>
          <w:rtl/>
        </w:rPr>
      </w:pPr>
      <w:r>
        <w:rPr>
          <w:rFonts w:ascii="David" w:hAnsi="David" w:cs="David"/>
          <w:sz w:val="28"/>
          <w:szCs w:val="28"/>
          <w:rtl/>
        </w:rPr>
        <w:t> </w:t>
      </w:r>
    </w:p>
    <w:p w14:paraId="1CF41073" w14:textId="77777777" w:rsidR="00000000" w:rsidRDefault="00000000">
      <w:pPr>
        <w:bidi/>
        <w:spacing w:line="360" w:lineRule="auto"/>
        <w:ind w:left="-58"/>
        <w:jc w:val="both"/>
        <w:rPr>
          <w:rtl/>
        </w:rPr>
      </w:pPr>
      <w:r>
        <w:rPr>
          <w:rFonts w:ascii="David" w:hAnsi="David" w:cs="David"/>
          <w:sz w:val="28"/>
          <w:szCs w:val="28"/>
          <w:rtl/>
        </w:rPr>
        <w:t>26.  המשיבה היא מונופול, הן בזיקה לשימוש בכביש 6 והן על שירותי הגבייה, היה על המשיבה עפ"י חוק להכיר במנוי הווידאו כשווה ערך למנוי הפסקל, מכוח חובתה לשדרוג המערכות ולהפעלת סמכויותיה בחוק בסבירות ולטובת הציבור. חובתה להפעיל סמכות זו ולקבוע שמעמד מנוי הווידאו שווה למעמד מנוי הפסקל, בהעדר יתרון כלכלי או טכנולוגי לפסקל. החובה להפעיל שק"ד בסבירות חל במקביל לחובת המשיבה לשדרג את מערכותיה לטובת הציבור, כעולה מסעיף 9.3.17 לנספח 9 לחוזה הזיכיון.</w:t>
      </w:r>
    </w:p>
    <w:p w14:paraId="5A27C0D3" w14:textId="77777777" w:rsidR="00000000" w:rsidRDefault="00000000">
      <w:pPr>
        <w:bidi/>
        <w:spacing w:line="360" w:lineRule="auto"/>
        <w:ind w:left="720" w:hanging="720"/>
        <w:jc w:val="both"/>
        <w:rPr>
          <w:rtl/>
        </w:rPr>
      </w:pPr>
      <w:r>
        <w:rPr>
          <w:rFonts w:ascii="David" w:hAnsi="David" w:cs="David"/>
          <w:sz w:val="28"/>
          <w:szCs w:val="28"/>
          <w:rtl/>
        </w:rPr>
        <w:t> </w:t>
      </w:r>
    </w:p>
    <w:p w14:paraId="421D4F92" w14:textId="77777777" w:rsidR="00000000" w:rsidRDefault="00000000">
      <w:pPr>
        <w:bidi/>
        <w:spacing w:line="360" w:lineRule="auto"/>
        <w:ind w:left="-58"/>
        <w:jc w:val="both"/>
        <w:rPr>
          <w:rtl/>
        </w:rPr>
      </w:pPr>
      <w:r>
        <w:rPr>
          <w:rFonts w:ascii="David" w:hAnsi="David" w:cs="David"/>
          <w:sz w:val="28"/>
          <w:szCs w:val="28"/>
          <w:rtl/>
        </w:rPr>
        <w:t>27.  המשיבה אינה מאפשרת תשלום אגרה באמצעות אפליקציות "פנגו" או "סלופארק", בשונה מהמקובל בנתיב המהיר ובכביש 6 צפון, ובכך מונעת תחרות על שיעור דמי הגביה, העלאת רמת השירות לציבור והוזלת עלויות הגבייה. התנהלות זו מנוגדת לחובת המשיבה כמונופול וכגוף דו מהותי לאפשר שימוש במשאב חיוני. אין ממש בטענת המשיבה כי היא אינה מאפשרת חיוב בדרך זו כיוון שאינה מחויבת לעשות כן מכוח תנאי המכרז. עילה זו מתייחסת לתקופה שקדמה לרפורמת הגבייה שעוגנה בתוספת השלישית להסכם הזיכיון. מדובר באמצעי תשלום נפוץ, ידידותי וזמין בתחום התחבורה ובלתי סביר שהמשיבה לא תאפשר שימוש בו. סירוב זה אינו עומד בסטנדרטים המוחלים על המשיבה מכוח המשפט המנהלי. בענייננו, כך נטען, חלה דוקטרינת "המשאב החיוני". לשיטת המבקשים, ה"משאבים החיוניים" הם: אפשרות לתשלום אגרה ע"י אחד הממשקים, מתן גישה לנתוני הנסיעה של לקוחות הממשקים או מתן אפשרות למפעילי הממשק להציב מצלמות עצמאיות או טכנולוגיה חלופית; המונופול הוא השולט במשאב - המשיבה היא היחידה המוסמכת לאשר את הגבייה החלופית, היא השולטת בנתוני הנסיעה ובהצבת המצלמות; מהמתחרה נמנע באופן מעשי או סביר לשכפל את המשאב, ונמנעה ממנו זכות השימוש במשאב, כאשר הענקת האפשרות למתחרה לעשות שימוש במשאב ישימה. אין בטענת ההגנה שהעלתה המשיבה ממש, שכן אף אם ניתן לה "שיקול דעת עסקי", הרי שדיני התחרות גוברים עליו. טענת המשיבה לפיה יש צורך בשינוי החקיקה לצורך כניסת ממשקים נוספים לגבייה שגויות ומטעות, הלא הפעלת כביש 6 צפון מבוססת על בסיס חוקי זהה ושם התאפשר תשלום באפליקציות, מה גם שהרפורמה שנכנסה לתוקף בשנת 2024 אפשרה תשלום באפליקציות מבלי שנעשה שינוי כלשהו בחקיקה. המשיבה לא הצביעה על "הצדקה לגיטימית" לסירוב; התנאים הקבועים בהוראות סעיף 29, 29א ו- 30 לחוק התחרות הכלכלית מתקיימים במקרה דנן.</w:t>
      </w:r>
    </w:p>
    <w:p w14:paraId="7982639C" w14:textId="77777777" w:rsidR="00000000" w:rsidRDefault="00000000">
      <w:pPr>
        <w:bidi/>
        <w:spacing w:line="360" w:lineRule="auto"/>
        <w:jc w:val="both"/>
        <w:rPr>
          <w:rtl/>
        </w:rPr>
      </w:pPr>
      <w:r>
        <w:rPr>
          <w:rFonts w:ascii="David" w:hAnsi="David" w:cs="David"/>
          <w:sz w:val="28"/>
          <w:szCs w:val="28"/>
          <w:rtl/>
        </w:rPr>
        <w:t> </w:t>
      </w:r>
    </w:p>
    <w:p w14:paraId="1A345421" w14:textId="77777777" w:rsidR="00000000" w:rsidRDefault="00000000">
      <w:pPr>
        <w:bidi/>
        <w:spacing w:line="360" w:lineRule="auto"/>
        <w:ind w:left="-58"/>
        <w:jc w:val="both"/>
        <w:rPr>
          <w:rtl/>
        </w:rPr>
      </w:pPr>
      <w:r>
        <w:rPr>
          <w:rFonts w:ascii="David" w:hAnsi="David" w:cs="David"/>
          <w:sz w:val="28"/>
          <w:szCs w:val="28"/>
          <w:rtl/>
        </w:rPr>
        <w:t>28.  הפסקל משמש כ"חסם" על מנת להקשות על הציבור לזכות בפטור מדמי גביה, לפי הפסיקה, אסור למונופול ליצור חסמים שימנעו תחרות או יפגעו בציבור. עפ"י המבחן שנקבע בסעיף 29(א) לחוק התחרות הכלכלית, ככל שההתנהגות עלולה לפגוע בתחרות היא נופלת מחוץ לתחום ההתנהגויות שהן בגדר "תחרות לגופו של עניין", הרי שהיא אסורה. המשיבה לא הוכיחה קיום נימוק כלכלי מוצדק לשימוש במתקן הפסקל שלו חסרונות רבים אשר הופכים אותו לחסם מבחינת הלקוח. חסרונות אלו, ובעיקר עלות הפיקדון, משמשים כחסם. הוכח כי למשיבה אין כל צורך במערך הפסקל והוא מהווה נטל עבורה. הסיבה היחידה שבגינה היא עדיין משתמשת בפסקל הוא הנצחת אפליית המחירים שהיא מבצעת; לטענת המבקשים, המשיבה ממשיכה להפעיל את הפסקל מאחר וככל שמקשים על רכישת מנוי פסקל, כך לקוחות רבים יותר יבחרו במנוי ווידאו.</w:t>
      </w:r>
    </w:p>
    <w:p w14:paraId="648C4496" w14:textId="77777777" w:rsidR="00000000" w:rsidRDefault="00000000">
      <w:pPr>
        <w:bidi/>
        <w:spacing w:line="360" w:lineRule="auto"/>
        <w:ind w:left="720"/>
        <w:jc w:val="both"/>
        <w:rPr>
          <w:rtl/>
        </w:rPr>
      </w:pPr>
      <w:r>
        <w:rPr>
          <w:rFonts w:ascii="David" w:hAnsi="David" w:cs="David"/>
          <w:color w:val="FF0000"/>
          <w:sz w:val="28"/>
          <w:szCs w:val="28"/>
          <w:rtl/>
        </w:rPr>
        <w:t> </w:t>
      </w:r>
    </w:p>
    <w:p w14:paraId="74301D15" w14:textId="77777777" w:rsidR="00000000" w:rsidRDefault="00000000">
      <w:pPr>
        <w:bidi/>
        <w:spacing w:line="360" w:lineRule="auto"/>
        <w:ind w:left="-58"/>
        <w:jc w:val="both"/>
        <w:rPr>
          <w:rtl/>
        </w:rPr>
      </w:pPr>
      <w:r>
        <w:rPr>
          <w:rFonts w:ascii="David" w:hAnsi="David" w:cs="David"/>
          <w:sz w:val="28"/>
          <w:szCs w:val="28"/>
          <w:rtl/>
        </w:rPr>
        <w:t>29.  עוד נטען, כי לגוף דו מהותי אסור להציב בפני הציבור חסמים כדי להרוויח כסף או כדי למנוע מהם קבלת הטבות או הקלות. זאת ועוד, הוראות חוזה הזיכיון מחייבות את המשיבה לשדרג את מערכת האגרה (סעיף 9.3.17 לנספח חוזה הזכיון (אגרה)). בסמכותה לפטור מדמי גביה ללא צורך בפסקל, ומשכך, מתוקף החובה המוטלת עליה כגוף דו מהותי היא מחויבת לעשות כן; כפיית המשיבה על הציבור את הפסקל כתנאי לקבלת הנחה פוגעת בציבור. המשיבה גם לא הוכיחה קיום תועלת כלכלית לשימוש בפסקל, ומשכך מדובר בניצול מעמד לרעה.</w:t>
      </w:r>
    </w:p>
    <w:p w14:paraId="74D8B2B9" w14:textId="77777777" w:rsidR="00000000" w:rsidRDefault="00000000">
      <w:pPr>
        <w:bidi/>
        <w:spacing w:line="360" w:lineRule="auto"/>
        <w:jc w:val="both"/>
        <w:rPr>
          <w:rtl/>
        </w:rPr>
      </w:pPr>
      <w:r>
        <w:rPr>
          <w:rFonts w:ascii="David" w:hAnsi="David" w:cs="David"/>
          <w:sz w:val="28"/>
          <w:szCs w:val="28"/>
          <w:rtl/>
        </w:rPr>
        <w:t> </w:t>
      </w:r>
    </w:p>
    <w:p w14:paraId="384D6C67" w14:textId="77777777" w:rsidR="00000000" w:rsidRDefault="00000000">
      <w:pPr>
        <w:bidi/>
        <w:spacing w:line="360" w:lineRule="auto"/>
        <w:ind w:left="-58"/>
        <w:jc w:val="both"/>
        <w:rPr>
          <w:rtl/>
        </w:rPr>
      </w:pPr>
      <w:r>
        <w:rPr>
          <w:rFonts w:ascii="David" w:hAnsi="David" w:cs="David"/>
          <w:sz w:val="28"/>
          <w:szCs w:val="28"/>
          <w:rtl/>
        </w:rPr>
        <w:t>30.  המשיבה מפלה בין מנויי הווידאו למנויי הפסקל שמכשירם אינו תקין. המשיבה החליטה כמדיניות שלא לחייב לקוחות אלו בדמי גביה ולא לדרוש שיחליפו סוללה. טענת המשיבה, על בסיסה היא מצדיקה את ההבחנה בדמי הגביה, לפיה "את מנויי הוידאו מצלמים" אינה חלה ביחס למכשירי הפסקל שאינם תקינים, המחויבים לפי צילום; מדובר בהפליה חמורה מאחר ומנויי הפסקל מחויבים עפ"י חוזה לתחזק את המכשיר אך מפרים את ההסכם מול המשיבה. הוצאות המשיבה עבור מנויים אלו גבוהה משמעותית מהשקעתה במנויי הווידאו.</w:t>
      </w:r>
    </w:p>
    <w:p w14:paraId="0D447560" w14:textId="77777777" w:rsidR="00000000" w:rsidRDefault="00000000">
      <w:pPr>
        <w:bidi/>
        <w:spacing w:line="360" w:lineRule="auto"/>
        <w:jc w:val="both"/>
        <w:rPr>
          <w:rtl/>
        </w:rPr>
      </w:pPr>
      <w:r>
        <w:rPr>
          <w:rFonts w:ascii="David" w:hAnsi="David" w:cs="David"/>
          <w:sz w:val="28"/>
          <w:szCs w:val="28"/>
          <w:rtl/>
        </w:rPr>
        <w:t> </w:t>
      </w:r>
    </w:p>
    <w:p w14:paraId="1657A211" w14:textId="77777777" w:rsidR="00000000" w:rsidRDefault="00000000">
      <w:pPr>
        <w:bidi/>
        <w:spacing w:line="360" w:lineRule="auto"/>
        <w:ind w:left="720" w:hanging="720"/>
        <w:jc w:val="both"/>
        <w:rPr>
          <w:rtl/>
        </w:rPr>
      </w:pPr>
      <w:r>
        <w:rPr>
          <w:rFonts w:ascii="David" w:hAnsi="David" w:cs="David"/>
          <w:b/>
          <w:bCs/>
          <w:sz w:val="28"/>
          <w:szCs w:val="28"/>
          <w:u w:val="single"/>
          <w:rtl/>
        </w:rPr>
        <w:t>תמצית סיכומי המשיבה</w:t>
      </w:r>
    </w:p>
    <w:p w14:paraId="3AF136E0" w14:textId="77777777" w:rsidR="00000000" w:rsidRDefault="00000000">
      <w:pPr>
        <w:bidi/>
        <w:spacing w:line="360" w:lineRule="auto"/>
        <w:ind w:left="720" w:hanging="720"/>
        <w:jc w:val="both"/>
        <w:rPr>
          <w:rtl/>
        </w:rPr>
      </w:pPr>
      <w:r>
        <w:rPr>
          <w:rFonts w:ascii="David" w:hAnsi="David" w:cs="David"/>
          <w:b/>
          <w:bCs/>
          <w:sz w:val="28"/>
          <w:szCs w:val="28"/>
          <w:rtl/>
        </w:rPr>
        <w:t> </w:t>
      </w:r>
    </w:p>
    <w:p w14:paraId="52D2FAE7" w14:textId="77777777" w:rsidR="00000000" w:rsidRDefault="00000000">
      <w:pPr>
        <w:bidi/>
        <w:spacing w:line="360" w:lineRule="auto"/>
        <w:ind w:left="-58"/>
        <w:jc w:val="both"/>
        <w:rPr>
          <w:rtl/>
        </w:rPr>
      </w:pPr>
      <w:r>
        <w:rPr>
          <w:rFonts w:ascii="David" w:hAnsi="David" w:cs="David"/>
          <w:sz w:val="28"/>
          <w:szCs w:val="28"/>
          <w:rtl/>
        </w:rPr>
        <w:t>31.  בהתאם להסכמה הדיונית גודרו וצומצמו עילות התביעה לעילות וסעדים שבמקור היו חלופיים ומשניים; המבקשים בסיכומיהם חרגו מגדרי ההסכמה הדיונית תוך הרחבת חזית. די בכך שפעולות המשיבה ביחס לעילות שנותרו התבססו על הוראות הדין בכדי לשלול בקשה זו. המבקשים אשרו שאינם טוענים לאי חוקיות תקנות הגבייה ובא כוחם אישר שהגבייה נעשית לפי התקנות (פר' מיום 21.4.21, עמ' 1, ש' 16); הרשות הממונה אישרה כי התנהלות המשיבה בנוגע לגביית דמי גביה ממנויי הווידאו ומהלקוחות המזדמנים עומדת בקנה אחד עם עמדתה.</w:t>
      </w:r>
    </w:p>
    <w:p w14:paraId="02F04D5C" w14:textId="77777777" w:rsidR="00000000" w:rsidRDefault="00000000">
      <w:pPr>
        <w:bidi/>
        <w:spacing w:line="360" w:lineRule="auto"/>
        <w:ind w:left="720" w:hanging="720"/>
        <w:jc w:val="both"/>
        <w:rPr>
          <w:rtl/>
        </w:rPr>
      </w:pPr>
      <w:r>
        <w:rPr>
          <w:rFonts w:ascii="David" w:hAnsi="David" w:cs="David"/>
          <w:sz w:val="28"/>
          <w:szCs w:val="28"/>
          <w:rtl/>
        </w:rPr>
        <w:t> </w:t>
      </w:r>
    </w:p>
    <w:p w14:paraId="57D462F1" w14:textId="77777777" w:rsidR="00000000" w:rsidRDefault="00000000">
      <w:pPr>
        <w:bidi/>
        <w:spacing w:line="360" w:lineRule="auto"/>
        <w:ind w:left="-58"/>
        <w:jc w:val="both"/>
        <w:rPr>
          <w:rtl/>
        </w:rPr>
      </w:pPr>
      <w:r>
        <w:rPr>
          <w:rFonts w:ascii="David" w:hAnsi="David" w:cs="David"/>
          <w:sz w:val="28"/>
          <w:szCs w:val="28"/>
          <w:rtl/>
        </w:rPr>
        <w:t xml:space="preserve">32.  יש לדחות את התביעה מחמת התיישנות ולחלופין מחמת שיהוי כבד בהגשתה; המבקשים תוקפים חוקיות גבייה המתבצעת מזה כ-25 שנים, ממועד הפעלת הכביש בשנת 2002, את הליכי החקיקה שנעשו בין השנים 1995-1998, וטוענת להפרת הסכם הזיכיון שנכרת בשנת 1998. </w:t>
      </w:r>
    </w:p>
    <w:p w14:paraId="09E48AF4" w14:textId="77777777" w:rsidR="00000000" w:rsidRDefault="00000000">
      <w:pPr>
        <w:bidi/>
        <w:spacing w:line="360" w:lineRule="auto"/>
        <w:ind w:left="720" w:hanging="720"/>
        <w:jc w:val="both"/>
        <w:rPr>
          <w:rtl/>
        </w:rPr>
      </w:pPr>
      <w:r>
        <w:rPr>
          <w:rFonts w:ascii="David" w:hAnsi="David" w:cs="David"/>
          <w:sz w:val="28"/>
          <w:szCs w:val="28"/>
          <w:rtl/>
        </w:rPr>
        <w:t> </w:t>
      </w:r>
    </w:p>
    <w:p w14:paraId="1FB35D21" w14:textId="77777777" w:rsidR="00000000" w:rsidRDefault="00000000">
      <w:pPr>
        <w:bidi/>
        <w:spacing w:line="360" w:lineRule="auto"/>
        <w:ind w:left="-58"/>
        <w:jc w:val="both"/>
        <w:rPr>
          <w:rtl/>
        </w:rPr>
      </w:pPr>
      <w:r>
        <w:rPr>
          <w:rFonts w:ascii="David" w:hAnsi="David" w:cs="David"/>
          <w:sz w:val="28"/>
          <w:szCs w:val="28"/>
          <w:rtl/>
        </w:rPr>
        <w:t>33.  המשיבה פועלת בכל נושאי התביעה לפי דין; ההיגיון במנגנון המדורג בחוק נקבע בזיקה להיקף וסוג פעולות הגביה המשתנות הננקטות ביחס לסוגי משתמשי הכביש והוא מבחינת מושכלות יסוד בכל הקשור בהפעלת הכביש; בהתאם למצוות המחוקק, מנגנון הפסקל הוא היחיד המאפשר לנוסע בכביש להוזיל משמעותית את תעריפי הנסיעה בפטור מלא מדמי גביה; מרכיבי מנגנון הפסקל נקבעו ואושרו בדין וכדין; תנאי הסכם מנוי הפסקל, לרבות חובת הפקדת עירבון ותנאי השבתו, אושרו ע"י הרשות הממונה, שהיא הגורם האחראי והמוסמך לפי הדין לפקח על פעילות המשיבה.</w:t>
      </w:r>
    </w:p>
    <w:p w14:paraId="3F086E17" w14:textId="77777777" w:rsidR="00000000" w:rsidRDefault="00000000">
      <w:pPr>
        <w:bidi/>
        <w:spacing w:line="360" w:lineRule="auto"/>
        <w:ind w:left="720"/>
        <w:jc w:val="both"/>
        <w:rPr>
          <w:rtl/>
        </w:rPr>
      </w:pPr>
      <w:r>
        <w:rPr>
          <w:rFonts w:ascii="David" w:hAnsi="David" w:cs="David"/>
          <w:sz w:val="28"/>
          <w:szCs w:val="28"/>
          <w:rtl/>
        </w:rPr>
        <w:t> </w:t>
      </w:r>
    </w:p>
    <w:p w14:paraId="41743D8D" w14:textId="77777777" w:rsidR="00000000" w:rsidRDefault="00000000">
      <w:pPr>
        <w:bidi/>
        <w:spacing w:line="360" w:lineRule="auto"/>
        <w:ind w:left="-58"/>
        <w:jc w:val="both"/>
        <w:rPr>
          <w:rtl/>
        </w:rPr>
      </w:pPr>
      <w:r>
        <w:rPr>
          <w:rFonts w:ascii="David" w:hAnsi="David" w:cs="David"/>
          <w:sz w:val="28"/>
          <w:szCs w:val="28"/>
          <w:rtl/>
        </w:rPr>
        <w:t xml:space="preserve">34.  הסדרה מראש של כל היבטי הפעלת הכביש באמצעות הסכם הזיכיון והדין הייתה הכרחית להבטחת וודאות ויציבות לצורך גיוס הון למימון הפרויקט; סמנכ"ל המשיבה בתצהירו עמד על חלוקת סיכוני הפרויקט והסביר כי לא ניתנה למשיבה כל ערבות או התחייבות לעניין הוצאות הגביה שיידרשו להפעלת הפרויקט, ושספק אם הסגירה הפיננסית של הפרויקט הייתה יוצאת לפעול אילולא הותקנו תקנות הגבייה; הרשות הממונה לא פנתה מעולם למשיבה בדרישה לשינוי דמי הגביה, לא נקבע מנגנון לעדכונם בתקנות הגביה. הרשות אישרה שסכום דמי הגביה נקבע במנותק מהוצאות הגבייה בפועל. קבלת פרשנות המבקשים לדברי החקיקה או ערעור על זכות המשיבה לגבות את דמי הגבייה בהתאם לתקנות משמעה שינוי בדיעבד של הבסיס הכלכלי והמסחרי שבייסוד הזיכיון, מהווה פגיעה קשה בדיעבד באינטרס ההסתמכות של המשיבה, ונושא השלכות קשות שיחולו על הציבור עקב הפגיעה בוודאות וביציבות המסחרית והמשפטית הנדרשת לצורך ביצוע פרויקטים לאומיים ובגיוס כספים למימונם (סעיף 31-33 לעמדת הרשות). </w:t>
      </w:r>
    </w:p>
    <w:p w14:paraId="236A11DB" w14:textId="77777777" w:rsidR="00000000" w:rsidRDefault="00000000">
      <w:pPr>
        <w:bidi/>
        <w:spacing w:line="360" w:lineRule="auto"/>
        <w:ind w:left="720" w:hanging="720"/>
        <w:jc w:val="both"/>
        <w:rPr>
          <w:rtl/>
        </w:rPr>
      </w:pPr>
      <w:r>
        <w:rPr>
          <w:rFonts w:ascii="David" w:hAnsi="David" w:cs="David"/>
          <w:sz w:val="28"/>
          <w:szCs w:val="28"/>
          <w:rtl/>
        </w:rPr>
        <w:t> </w:t>
      </w:r>
    </w:p>
    <w:p w14:paraId="373BCAE9" w14:textId="77777777" w:rsidR="00000000" w:rsidRDefault="00000000">
      <w:pPr>
        <w:bidi/>
        <w:spacing w:line="360" w:lineRule="auto"/>
        <w:ind w:left="-58"/>
        <w:jc w:val="both"/>
        <w:rPr>
          <w:rtl/>
        </w:rPr>
      </w:pPr>
      <w:r>
        <w:rPr>
          <w:rFonts w:ascii="David" w:hAnsi="David" w:cs="David"/>
          <w:sz w:val="28"/>
          <w:szCs w:val="28"/>
          <w:rtl/>
        </w:rPr>
        <w:t>35.  אף אם ייקבע כי המשיבה עוולה באופן כלשהו בעניין דמי הגביה, עומדת לה הגנת סעיף 6 לפקודת הנזיקין. המשיבה פעלה לפי הרשאה חוקית או לחלופין מתוך אמונה סבירה ובתום לב לקיום הרשאה חוקית, קל וחומר לאור חזקת תקינות המעשה המנהלי החלה על אישוריה של הרשות הממונה.</w:t>
      </w:r>
    </w:p>
    <w:p w14:paraId="0BE42A02" w14:textId="77777777" w:rsidR="00000000" w:rsidRDefault="00000000">
      <w:pPr>
        <w:bidi/>
        <w:spacing w:line="360" w:lineRule="auto"/>
        <w:ind w:left="1440" w:hanging="720"/>
        <w:jc w:val="both"/>
        <w:rPr>
          <w:rtl/>
        </w:rPr>
      </w:pPr>
      <w:r>
        <w:rPr>
          <w:rFonts w:ascii="David" w:hAnsi="David" w:cs="David"/>
          <w:sz w:val="28"/>
          <w:szCs w:val="28"/>
          <w:rtl/>
        </w:rPr>
        <w:t> </w:t>
      </w:r>
    </w:p>
    <w:p w14:paraId="4B2C4EA4" w14:textId="77777777" w:rsidR="00000000" w:rsidRDefault="00000000">
      <w:pPr>
        <w:bidi/>
        <w:spacing w:line="360" w:lineRule="auto"/>
        <w:ind w:left="-58"/>
        <w:jc w:val="both"/>
        <w:rPr>
          <w:rtl/>
        </w:rPr>
      </w:pPr>
      <w:r>
        <w:rPr>
          <w:rFonts w:ascii="David" w:hAnsi="David" w:cs="David"/>
          <w:sz w:val="28"/>
          <w:szCs w:val="28"/>
          <w:rtl/>
        </w:rPr>
        <w:t>36.  לטענת המבקשים שימוש בפסקל לצורך מתן פטור מדמי גביה מהווה חסם הפוגע בתחרות ובציבור, אך המשיבה זכתה בזיכיון במכרז, בהתאם לתנאים ולדרישות שהציבה מדינת ישראל, ועל פיהם היא מחויבת. משכך, דיני התחרות אינם רלוונטיים לבחינת חוקיות פעולות המשיבה. כך גם לא ניתן לחייבה בטענה שהיא "מונופול" (מה שאינה) לחרוג מאופן הפעלת הכביש שנקבע בתנאי המכרז. חזקות סעיף 29א(ב)לחוק התחרות הכלכלית אינן חלות; הפעלת הפסקל אינה בגדר שיקול דעת עסקי של המשיבה אלא חובה המוטלת עליה מכוח הדין, שהפרתה תוביל לשלילת אפשרות הוזלת עלות הנסיעה. אין רלוונטיות לטענות בדבר העדר הצדק לגביית דמי גביה ממנוי הווידאו; בדבר חסרונות הפסקל; בדבר עלויות או יעילות המנגנון, פגיעה בנוסע בכביש בעטיים או העדר יתרון טכנולוגי בהפעלתו. מדובר בניסיון לתקיפה עקיפה של חוק הכביש והתקנות מכוחו. הפסקל הוא המנגנון היחיד שקבע המחוקק המאפשר לציבור פטור מדמי גביה; טענות המבקשים אינן מתבססות על הדין "המצוי", אלא על דין "רצוי" בעיניהם; כך, גם אין רלוונטיות לטענות המבקשים בדבר "שדרוג מערכת הגביה בשנת 2018". את חוקיות פעולות המשיבה יש לבחון לאור הדין החל.</w:t>
      </w:r>
    </w:p>
    <w:p w14:paraId="7DD1C117" w14:textId="77777777" w:rsidR="00000000" w:rsidRDefault="00000000">
      <w:pPr>
        <w:bidi/>
        <w:spacing w:line="360" w:lineRule="auto"/>
        <w:ind w:left="720"/>
        <w:jc w:val="both"/>
        <w:rPr>
          <w:rtl/>
        </w:rPr>
      </w:pPr>
      <w:r>
        <w:rPr>
          <w:rFonts w:ascii="David" w:hAnsi="David" w:cs="David"/>
          <w:sz w:val="28"/>
          <w:szCs w:val="28"/>
          <w:rtl/>
        </w:rPr>
        <w:t> </w:t>
      </w:r>
    </w:p>
    <w:p w14:paraId="72E9958D" w14:textId="77777777" w:rsidR="00000000" w:rsidRDefault="00000000">
      <w:pPr>
        <w:bidi/>
        <w:spacing w:line="360" w:lineRule="auto"/>
        <w:jc w:val="both"/>
        <w:rPr>
          <w:rtl/>
        </w:rPr>
      </w:pPr>
      <w:r>
        <w:rPr>
          <w:rFonts w:ascii="David" w:hAnsi="David" w:cs="David"/>
          <w:sz w:val="28"/>
          <w:szCs w:val="28"/>
          <w:rtl/>
        </w:rPr>
        <w:t>37.  המשיבה אינה גוף דו מהותי, אלא גוף פרטי. אין הלכה מחייבת בהקשר זה, והמבקשים גם לא הראו כיצד ואם בכלל, יש להחיל נורמות מנהליות על המשיבה. הפסיקה נוקטת בעניין בגישה זהירה, המתחייבת במקרה דנן במיוחד ביחס לפעילות המשיבה, אשר נפסק לגביה שהיא "פעילות עסקית מובהקת", שבוודאי אינה "פעולת רשות".</w:t>
      </w:r>
    </w:p>
    <w:p w14:paraId="061B285B" w14:textId="77777777" w:rsidR="00000000" w:rsidRDefault="00000000">
      <w:pPr>
        <w:bidi/>
        <w:spacing w:line="360" w:lineRule="auto"/>
        <w:jc w:val="both"/>
        <w:rPr>
          <w:rtl/>
        </w:rPr>
      </w:pPr>
      <w:r>
        <w:rPr>
          <w:rFonts w:ascii="David" w:hAnsi="David" w:cs="David"/>
          <w:color w:val="FF0000"/>
          <w:sz w:val="28"/>
          <w:szCs w:val="28"/>
          <w:rtl/>
        </w:rPr>
        <w:t> </w:t>
      </w:r>
    </w:p>
    <w:p w14:paraId="5AE7CE59" w14:textId="77777777" w:rsidR="00000000" w:rsidRDefault="00000000">
      <w:pPr>
        <w:bidi/>
        <w:spacing w:line="360" w:lineRule="auto"/>
        <w:ind w:left="-58"/>
        <w:jc w:val="both"/>
        <w:rPr>
          <w:rtl/>
        </w:rPr>
      </w:pPr>
      <w:r>
        <w:rPr>
          <w:rFonts w:ascii="David" w:hAnsi="David" w:cs="David"/>
          <w:sz w:val="28"/>
          <w:szCs w:val="28"/>
          <w:rtl/>
        </w:rPr>
        <w:t>38.  באשר לטענות ההפליה, הרי מדובר בהרחבת חזית שאינה חלק מההסכמה הדיונית, היא עילה נפרדת ועצמאית מטענת החסם, וכוללת שאלות עובדתיות ומשפטיות שונות. לא נתבעו סעדים ולא הוגדרה בבקשת האישור קבוצה רלוונטית; לא הוכחה אפשרות סבירה לקיום נזק או התעשרות של המשיבה עקב ההפליה. המשיבה פועלת בהתאם לדין במתן פטור למנוי הפסקל, ומכאן עסקינן בתקיפה עקיפה של הוראות הדין. טענת ההפליה נסמכת על הנחה שגויה שאין הבדל בין מנוי פסקל למנוי וידאו כי שניהם בגדר "חייב רשום" לפי תקנות הגביה. אין ממש בטענה להפליה מצד המשיבה באי חיוב מנוי פסקל בדמי גביה כשתג החיוב תקול. במקרים מוגדרים במערכת, לרבות תקלה במערכת האגרה או במכשיר הפסקל עצמו, יצולמו נסיעות הרכב, אך הלקוח עדיין יחויב בתעריף מוזל, מכוח התחייבותה החוזית של המשיבה לפי הסכם מנוי הפסקל. בסעיף 4(ד) להסכם נקבע מפורשות שבמקרה של תקלה יחויב הלקוח "כאילו בוצע החיוב באמצעות הפסקל, והלקוח לא יחויב בדמי גביה בגין נסיעות אלו"; למשיבה, כגורם מסחרי, נתונה הזכות לתת הקלות למנוי הפסקל, קל וחומר באופן המשרת את אינטרס. הטענה בדבר "עשרות אלפי מכשירי פסקל תקולים" לא הוכחה ואינה נכונה, כך שטענות אלו ממילא אינן רלוונטיות.</w:t>
      </w:r>
    </w:p>
    <w:p w14:paraId="09E41B61" w14:textId="77777777" w:rsidR="00000000" w:rsidRDefault="00000000">
      <w:pPr>
        <w:bidi/>
        <w:spacing w:line="360" w:lineRule="auto"/>
        <w:ind w:left="720" w:hanging="720"/>
        <w:jc w:val="both"/>
        <w:rPr>
          <w:rtl/>
        </w:rPr>
      </w:pPr>
      <w:r>
        <w:rPr>
          <w:rFonts w:ascii="David" w:hAnsi="David" w:cs="David"/>
          <w:sz w:val="28"/>
          <w:szCs w:val="28"/>
          <w:rtl/>
        </w:rPr>
        <w:t> </w:t>
      </w:r>
    </w:p>
    <w:p w14:paraId="0EFB130F" w14:textId="77777777" w:rsidR="00000000" w:rsidRDefault="00000000">
      <w:pPr>
        <w:bidi/>
        <w:spacing w:line="360" w:lineRule="auto"/>
        <w:ind w:left="-58"/>
        <w:jc w:val="both"/>
        <w:rPr>
          <w:rtl/>
        </w:rPr>
      </w:pPr>
      <w:r>
        <w:rPr>
          <w:rFonts w:ascii="David" w:hAnsi="David" w:cs="David"/>
          <w:sz w:val="28"/>
          <w:szCs w:val="28"/>
          <w:rtl/>
        </w:rPr>
        <w:t xml:space="preserve">39.  באשר לטענות לאי מתן אפשרות לשימוש ביישומונים פנגו וסלופארק, המשיבה הדגישה כי דיני התחרות אינם חלים עליה בהפעילה את סמכויותיה לפי דין; המשיבה מפעילה את הכביש לפי הסכם הזיכיון, הקובע חובותיה וזכויותיה, לרבות בעניין מערכת האגרה, ולפי הדין הייחודי. נספח מערכת האגרה (מס' 9) אינו מטיל חובה על המשיבה לשנות או לעדכן את מערכת האגרה. נקבע בדין כי החיובים ישולמו עפ"י הסכם בין בעל הזיכיון ובין בעל תג חיוב או חייב רשום, בנוסח שאישרה הרשות הממונה. לא ניתן לומר שאי מתן אפשרות לשימוש באפליקציות מונע מהיותה של המשיבה "מונופול" או עקב "ניצול לרעה" של מעמדה. מדובר ביישום לגיטימי של סמכויותיה לצורך הפעלת הכביש בהתאם לדרישות המדינה, כפי שמצאו ביטוי בהסכם הזיכיון ובדין החל; המשיבה אינה מתחרה עם בעלי האפליקציות ועיסוקה אינו בשירותי גביה, ואין כל נורמה המחייבת אותה לאפשר לאחר לבצע במקומה את התחייבויותיה לפי הסכם הזיכיון והדין. הנחת המבקשים כי שימוש באפליקציות יאפשר פטור מדמי גביה או הוזלתם אינה נתמכת בתשתית, ואין מחלוקת שגם השימוש באפליקציות יחייב זיהוי החייב וביצוע פעולות גביה. מכל מקום, ביום 8.8.22 נחתם תיקון לתוספת השלישית להסכם הזיכיון (מוצג 4), המסדיר מתן אפשרות לשימוש ביישומונים הנ"ל בכביש. התיקון נחתם ללא קשר לתביעה ואינו כולל התחייבות מצד המשיבה למתן פטור מלא או חלקי מדמי הגבייה למשתמשי היישומון. בסופו של דבר הוחלט שבעלי היישומונים ירשמו כמנויי וידאו של המשיבה ויחויבו בתשלום דמי גביה כ"חייב רשום", והם יחייבו את לקוחותיהם בעלויות דמי הגביה בהתאם, ובכך אין כל שינוי בעניין דמי הגביה. </w:t>
      </w:r>
    </w:p>
    <w:p w14:paraId="5116F07A" w14:textId="77777777" w:rsidR="00000000" w:rsidRDefault="00000000">
      <w:pPr>
        <w:bidi/>
        <w:spacing w:line="360" w:lineRule="auto"/>
        <w:ind w:left="720" w:hanging="720"/>
        <w:jc w:val="both"/>
        <w:rPr>
          <w:rtl/>
        </w:rPr>
      </w:pPr>
      <w:r>
        <w:rPr>
          <w:rFonts w:ascii="David" w:hAnsi="David" w:cs="David"/>
          <w:sz w:val="28"/>
          <w:szCs w:val="28"/>
          <w:rtl/>
        </w:rPr>
        <w:t> </w:t>
      </w:r>
    </w:p>
    <w:p w14:paraId="781463D7" w14:textId="77777777" w:rsidR="00000000" w:rsidRDefault="00000000">
      <w:pPr>
        <w:bidi/>
        <w:spacing w:line="360" w:lineRule="auto"/>
        <w:ind w:left="-58" w:firstLine="426"/>
        <w:jc w:val="both"/>
        <w:rPr>
          <w:rtl/>
        </w:rPr>
      </w:pPr>
      <w:r>
        <w:rPr>
          <w:rFonts w:ascii="David" w:hAnsi="David" w:cs="David"/>
          <w:sz w:val="28"/>
          <w:szCs w:val="28"/>
          <w:rtl/>
        </w:rPr>
        <w:t>עוד נטען, כי המשיבה אינה "מונופול" כהגדרתו בסעיף 26(א) לחוק התחרות, מאחר ומבחן התחליפיות לא מתקיים. העובדה כי בכביש משולמת אגרת נסיעה או קיימת צפייה לנסיעה מהירה, אינה מלמדת על היותו שוק מובחן וייעודי. הטענה לתחולת דוקטרינת המשאב החיוני אינה רלוונטית. המשיבה כאמור אינה מונופול, ובגביית תשלום בגין נסיעה בכביש המשיבה אינה "מתחרה", אלא מיישמת חובתה בהתאם להסכם הזיכיון והדין. אין כאן פעילות מתחרה למשיבה, אלא דרישה שאחר יבוא במקומה.</w:t>
      </w:r>
    </w:p>
    <w:p w14:paraId="4147220C" w14:textId="77777777" w:rsidR="00000000" w:rsidRDefault="00000000">
      <w:pPr>
        <w:bidi/>
        <w:spacing w:line="360" w:lineRule="auto"/>
        <w:ind w:left="368"/>
        <w:jc w:val="both"/>
        <w:rPr>
          <w:rtl/>
        </w:rPr>
      </w:pPr>
      <w:r>
        <w:rPr>
          <w:rFonts w:ascii="David" w:hAnsi="David" w:cs="David"/>
          <w:sz w:val="28"/>
          <w:szCs w:val="28"/>
          <w:rtl/>
        </w:rPr>
        <w:t> </w:t>
      </w:r>
    </w:p>
    <w:p w14:paraId="60F1F269" w14:textId="77777777" w:rsidR="00000000" w:rsidRDefault="00000000">
      <w:pPr>
        <w:bidi/>
        <w:spacing w:line="360" w:lineRule="auto"/>
        <w:ind w:left="368" w:hanging="426"/>
        <w:jc w:val="both"/>
        <w:rPr>
          <w:rtl/>
        </w:rPr>
      </w:pPr>
      <w:r>
        <w:rPr>
          <w:rFonts w:ascii="David" w:hAnsi="David" w:cs="David"/>
          <w:sz w:val="28"/>
          <w:szCs w:val="28"/>
          <w:u w:val="single"/>
          <w:rtl/>
        </w:rPr>
        <w:t>טענת ההטעיה</w:t>
      </w:r>
    </w:p>
    <w:p w14:paraId="3CED8DFF" w14:textId="77777777" w:rsidR="00000000" w:rsidRDefault="00000000">
      <w:pPr>
        <w:bidi/>
        <w:spacing w:line="360" w:lineRule="auto"/>
        <w:ind w:left="-58"/>
        <w:jc w:val="both"/>
        <w:rPr>
          <w:rtl/>
        </w:rPr>
      </w:pPr>
      <w:r>
        <w:rPr>
          <w:rFonts w:ascii="David" w:hAnsi="David" w:cs="David"/>
          <w:b/>
          <w:bCs/>
          <w:sz w:val="28"/>
          <w:szCs w:val="28"/>
          <w:rtl/>
        </w:rPr>
        <w:t> </w:t>
      </w:r>
    </w:p>
    <w:p w14:paraId="006D400A" w14:textId="77777777" w:rsidR="00000000" w:rsidRDefault="00000000">
      <w:pPr>
        <w:bidi/>
        <w:spacing w:line="360" w:lineRule="auto"/>
        <w:ind w:left="-58"/>
        <w:jc w:val="both"/>
        <w:rPr>
          <w:rtl/>
        </w:rPr>
      </w:pPr>
      <w:r>
        <w:rPr>
          <w:rFonts w:ascii="David" w:hAnsi="David" w:cs="David"/>
          <w:sz w:val="28"/>
          <w:szCs w:val="28"/>
          <w:rtl/>
        </w:rPr>
        <w:t>40.</w:t>
      </w:r>
      <w:r>
        <w:rPr>
          <w:rFonts w:ascii="David" w:hAnsi="David" w:cs="David"/>
          <w:b/>
          <w:bCs/>
          <w:sz w:val="28"/>
          <w:szCs w:val="28"/>
          <w:rtl/>
        </w:rPr>
        <w:t xml:space="preserve">  </w:t>
      </w:r>
      <w:r>
        <w:rPr>
          <w:rFonts w:ascii="David" w:hAnsi="David" w:cs="David"/>
          <w:sz w:val="28"/>
          <w:szCs w:val="28"/>
          <w:rtl/>
        </w:rPr>
        <w:t>אין נורמה המחייבת את המשיבה לקבוע ששירות מסוים הוא "המשתלם ביותר". לא מתקיימת הטעיה כי מנוי הפסקל אינו בהכרח "המשתלם ביותר". הקביעה כי די בנסיעה אחת בשנה כדי להפוך את מנוי הפסקל למשתלם ביותר שגויה אריתמטית, ונסתרת בראיות ובטענות המבקשים עצמם; מבקש 3 העיד שעקב העדפותיו, חששותיו וצרכיו, ממילא לא היה עושה מנוי פסקל, במנותק ממחיר הנסיעה; המבקשים טענו כי למכשיר חסרונות רבים המכבידים על השימוש בו. מדובר בעניין סובייקטיבי הנלמד ביחס לנסיבות כל לקוח. בנסיבות אלו, הצגת הפסקל כ"משתלם ביותר" עשויה להוות הטעיה לכשעצמה, קל וחומר משלא מדובר במידע מהותי המחויב הפרסום.</w:t>
      </w:r>
    </w:p>
    <w:p w14:paraId="7A3E6F49" w14:textId="77777777" w:rsidR="00000000" w:rsidRDefault="00000000">
      <w:pPr>
        <w:bidi/>
        <w:spacing w:line="360" w:lineRule="auto"/>
        <w:ind w:left="368" w:hanging="368"/>
        <w:jc w:val="both"/>
        <w:rPr>
          <w:rtl/>
        </w:rPr>
      </w:pPr>
      <w:r>
        <w:rPr>
          <w:rFonts w:ascii="David" w:hAnsi="David" w:cs="David"/>
          <w:sz w:val="28"/>
          <w:szCs w:val="28"/>
          <w:rtl/>
        </w:rPr>
        <w:t> </w:t>
      </w:r>
    </w:p>
    <w:p w14:paraId="48403171" w14:textId="77777777" w:rsidR="00000000" w:rsidRDefault="00000000">
      <w:pPr>
        <w:bidi/>
        <w:spacing w:line="360" w:lineRule="auto"/>
        <w:ind w:left="-58" w:firstLine="426"/>
        <w:jc w:val="both"/>
        <w:rPr>
          <w:rtl/>
        </w:rPr>
      </w:pPr>
      <w:r>
        <w:rPr>
          <w:rFonts w:ascii="David" w:hAnsi="David" w:cs="David"/>
          <w:sz w:val="28"/>
          <w:szCs w:val="28"/>
          <w:rtl/>
        </w:rPr>
        <w:t>לא מתקיימים יסודות עילת ההטעיה בסעיף 2(א)(1) לחוק הגנת הצרכן; לא נפרסה בבקשת האישור תשתית משפטית ועובדתית כמתחייב כי אי גילוי המידע שמנוי הפסקל הוא המשתלם ביותר גרם לנזק עקב תשלום דמי גביה. לחלופין ומטעמי זהירות, הבהירה המשיבה שהמידע המוצג באתר אותו מפעילה הוא מלא ואינו מטעה ביחס לתעריפי הנסיעה. לא מדובר בעניין שבמומחיות אלא בעובדות פשוטות. עיקר הנטען אינו בקיומו של מצג הטעיה, אלא בהכבדה לכאורה להגיע למידע המהותי, כך שהמבקשים עצמם סבורים כי המידע המוצג באתר מועיל ללקוח, אחרת להכבדה לא הייתה כל משמעות.</w:t>
      </w:r>
    </w:p>
    <w:p w14:paraId="61B58D0C" w14:textId="77777777" w:rsidR="00000000" w:rsidRDefault="00000000">
      <w:pPr>
        <w:bidi/>
        <w:spacing w:line="360" w:lineRule="auto"/>
        <w:ind w:left="720" w:hanging="720"/>
        <w:jc w:val="both"/>
        <w:rPr>
          <w:rtl/>
        </w:rPr>
      </w:pPr>
      <w:r>
        <w:rPr>
          <w:rFonts w:ascii="David" w:hAnsi="David" w:cs="David"/>
          <w:sz w:val="28"/>
          <w:szCs w:val="28"/>
          <w:rtl/>
        </w:rPr>
        <w:t> </w:t>
      </w:r>
    </w:p>
    <w:p w14:paraId="0CF0ECC4" w14:textId="77777777" w:rsidR="00000000" w:rsidRDefault="00000000">
      <w:pPr>
        <w:bidi/>
        <w:spacing w:line="360" w:lineRule="auto"/>
        <w:ind w:left="-58"/>
        <w:jc w:val="both"/>
        <w:rPr>
          <w:rtl/>
        </w:rPr>
      </w:pPr>
      <w:r>
        <w:rPr>
          <w:rFonts w:ascii="David" w:hAnsi="David" w:cs="David"/>
          <w:sz w:val="28"/>
          <w:szCs w:val="28"/>
          <w:rtl/>
        </w:rPr>
        <w:t>41.  עילות ההטעיה הרבות הנטענות מצביעות על קיומן של תתי קבוצות רבות, שלא הוגדרו בבקשת האישור, באופן השולל אפשרות סבירה שהתביעה תהא הדרך היעילה וההוגנת להכרעה במחלוקות. הגדרת הקבוצה בבקשת האישור לא כוללת קבוצת "מוטעים", והמבקשים גם לא הציעו מנגנון מעשי לאיתור חברי הקבוצה.</w:t>
      </w:r>
    </w:p>
    <w:p w14:paraId="11B7C1CB" w14:textId="77777777" w:rsidR="00000000" w:rsidRDefault="00000000">
      <w:pPr>
        <w:bidi/>
        <w:spacing w:line="360" w:lineRule="auto"/>
        <w:ind w:left="368" w:hanging="426"/>
        <w:jc w:val="both"/>
        <w:rPr>
          <w:rtl/>
        </w:rPr>
      </w:pPr>
      <w:r>
        <w:rPr>
          <w:rFonts w:ascii="David" w:hAnsi="David" w:cs="David"/>
          <w:sz w:val="28"/>
          <w:szCs w:val="28"/>
          <w:rtl/>
        </w:rPr>
        <w:t xml:space="preserve">  </w:t>
      </w:r>
    </w:p>
    <w:p w14:paraId="51925120" w14:textId="77777777" w:rsidR="00000000" w:rsidRDefault="00000000">
      <w:pPr>
        <w:bidi/>
        <w:spacing w:line="360" w:lineRule="auto"/>
        <w:ind w:left="-58"/>
        <w:jc w:val="both"/>
        <w:rPr>
          <w:rtl/>
        </w:rPr>
      </w:pPr>
      <w:r>
        <w:rPr>
          <w:rFonts w:ascii="David" w:hAnsi="David" w:cs="David"/>
          <w:sz w:val="28"/>
          <w:szCs w:val="28"/>
          <w:rtl/>
        </w:rPr>
        <w:t xml:space="preserve">42.  הטענה כי דמי הגביה ושיעורם הם "מידע מהותי" ללקוח מסתמכת על הנחה שלא די ללקוח לדעת מהו המחיר הכולל (תעריף הנסיעה), אלא מהותי עבורו לדעת מה רכיבי המחיר שהוא משלם. בקשת האישור אינה מבססת תשתית עובדתית, משפטית, או עילה אישית המצביעה כיצד אי ידיעת שיעור דמי הגבייה או היותם רכיב מתעריף הנסיעה מהווה הטעיה או שיש בה בכדי להשליך על בחירת הלקוח. מידת הגילוי הנדרשת לשיטת המבקשים משמעה הצפת הלקוח במידע והכבדה עליו. המבקשים עצמם הפנו לפסיקה לפיה "מידע עודף לצרכן" אינו רלוונטי ויש בו כדי להכביד על הצרכן. </w:t>
      </w:r>
    </w:p>
    <w:p w14:paraId="753F244B" w14:textId="77777777" w:rsidR="00000000" w:rsidRDefault="00000000">
      <w:pPr>
        <w:bidi/>
        <w:spacing w:line="360" w:lineRule="auto"/>
        <w:ind w:left="368" w:hanging="426"/>
        <w:jc w:val="both"/>
        <w:rPr>
          <w:rtl/>
        </w:rPr>
      </w:pPr>
      <w:r>
        <w:rPr>
          <w:rFonts w:ascii="David" w:hAnsi="David" w:cs="David"/>
          <w:sz w:val="28"/>
          <w:szCs w:val="28"/>
          <w:rtl/>
        </w:rPr>
        <w:t> </w:t>
      </w:r>
    </w:p>
    <w:p w14:paraId="12605220" w14:textId="77777777" w:rsidR="00000000" w:rsidRDefault="00000000">
      <w:pPr>
        <w:bidi/>
        <w:spacing w:line="360" w:lineRule="auto"/>
        <w:ind w:left="-58"/>
        <w:jc w:val="both"/>
        <w:rPr>
          <w:rtl/>
        </w:rPr>
      </w:pPr>
      <w:r>
        <w:rPr>
          <w:rFonts w:ascii="David" w:hAnsi="David" w:cs="David"/>
          <w:sz w:val="28"/>
          <w:szCs w:val="28"/>
          <w:rtl/>
        </w:rPr>
        <w:t xml:space="preserve">43.  סעיף 6(ב) לחוק קובע כי חובת פרסום תעריפי הנסיעה חלה רק ביחס לשינויים באגרת הנסיעה, ולא ביחס לדמי הגביה. הסדר שלילי זה מלמד על תפיסת המחוקק כי בראיית טובת הצרכן עדיפה הצגת המחיר הכולל לעסקה (סעיף 17א, 17ב(ב) לחוק הגנת הצרכן). מקום בו התכוון המחוקק בחוק הגנת הצרכן שיינתן פירוט לגבי תשלום מסוים, בנוסף להצגת המחיר הכולל, הייתה התייחסות מפורשת. כך נעשה רק במקרה של "תשלום קבוע" וביחס ל"עסקה מתמשכת" (סעיף 13ב.(ב3)) שאינם מתקיימים במקרה זה. כן, נטען כי ניתן גילוי מספק בדבר תוספת דמי הגביה, אף מעבר לנדרש בדין - בפרסום בעיתונות על שינוי סכומי האגרה; בטופס פתיחת המנוי, בפרק ההגדרות להסכם מנוי וידאו (נספח 6 לתצהיר המשיבה) ובהסכם המנוי עצמו (סעיף 5, 5(ד) להסכם). משכך, לא ניתן להלין על המשיבה ולא תתכן עילה חוזית כלפיה בהקשר זה. </w:t>
      </w:r>
    </w:p>
    <w:p w14:paraId="143B594A" w14:textId="77777777" w:rsidR="00000000" w:rsidRDefault="00000000">
      <w:pPr>
        <w:bidi/>
        <w:spacing w:line="360" w:lineRule="auto"/>
        <w:ind w:left="-58"/>
        <w:jc w:val="both"/>
        <w:rPr>
          <w:rtl/>
        </w:rPr>
      </w:pPr>
      <w:r>
        <w:rPr>
          <w:rFonts w:ascii="David" w:hAnsi="David" w:cs="David"/>
          <w:sz w:val="28"/>
          <w:szCs w:val="28"/>
          <w:rtl/>
        </w:rPr>
        <w:t> </w:t>
      </w:r>
    </w:p>
    <w:p w14:paraId="43DD202F" w14:textId="77777777" w:rsidR="00000000" w:rsidRDefault="00000000">
      <w:pPr>
        <w:bidi/>
        <w:spacing w:line="360" w:lineRule="auto"/>
        <w:ind w:left="-58"/>
        <w:jc w:val="both"/>
        <w:rPr>
          <w:rtl/>
        </w:rPr>
      </w:pPr>
      <w:r>
        <w:rPr>
          <w:rFonts w:ascii="David" w:hAnsi="David" w:cs="David"/>
          <w:sz w:val="28"/>
          <w:szCs w:val="28"/>
          <w:rtl/>
        </w:rPr>
        <w:t xml:space="preserve">44.  באשר לטענה להטעיה באתר האינטרנט המשיבה טענה, כי המידע על תעריפי הנסיעה באתר מוצג בפשטות ביחס לכל סוג משתמש. די במתן אפשרות לידיעת המידע הרלוונטי באחד מאמצעי הגילוי שמעמידה המשיבה בכדי לשלול את טענות ההטעיה; אין ממש בטענת המבקשים כי המידע המהותי צריך להופיע בעמוד הבית. לא ניתן מעשית להציג בעמוד הבית את כל המידע הרלוונטי ללקוח, והגעה למידע באמצעות הקשה על קישור, כמקובל, ודאי אינה עולה לכדי הטעיה. בעמוד הבית, ללא צורך בלחיצה על קישור מופיע מחשבון, ומתחתיו קישור נוסף ל"תעריפי הנסיעה". כשלקוח מזין נסיעה מתוכננת במחשבון, יוכל לדעת כי מנוי הפסקל הוא המשתלם ביותר בעלויות וכי מנוי הווידאו או משתמש מזדמן הן אפשרויות יקרות יותר. </w:t>
      </w:r>
    </w:p>
    <w:p w14:paraId="15287CAD" w14:textId="77777777" w:rsidR="00000000" w:rsidRDefault="00000000">
      <w:pPr>
        <w:bidi/>
        <w:spacing w:line="360" w:lineRule="auto"/>
        <w:ind w:left="368" w:hanging="426"/>
        <w:jc w:val="both"/>
        <w:rPr>
          <w:rtl/>
        </w:rPr>
      </w:pPr>
      <w:r>
        <w:rPr>
          <w:rFonts w:ascii="David" w:hAnsi="David" w:cs="David"/>
          <w:sz w:val="28"/>
          <w:szCs w:val="28"/>
          <w:rtl/>
        </w:rPr>
        <w:t> </w:t>
      </w:r>
    </w:p>
    <w:p w14:paraId="4D43A4E8" w14:textId="77777777" w:rsidR="00000000" w:rsidRDefault="00000000">
      <w:pPr>
        <w:bidi/>
        <w:spacing w:line="360" w:lineRule="auto"/>
        <w:ind w:left="-58"/>
        <w:jc w:val="both"/>
        <w:rPr>
          <w:rtl/>
        </w:rPr>
      </w:pPr>
      <w:r>
        <w:rPr>
          <w:rFonts w:ascii="David" w:hAnsi="David" w:cs="David"/>
          <w:sz w:val="28"/>
          <w:szCs w:val="28"/>
          <w:rtl/>
        </w:rPr>
        <w:t xml:space="preserve">45.  צילומי המסך שהגישו המבקשים לאחר דיון ההוכחות אינם מלמדים שלא קיימת אפשרות למנוי פסקל רק בשל העובדה שתיבת "מנוי וידאו" באתר מוארת. לקוח סביר היה לוחץ ליתר בטחון על תיבת הפסקל כדי לוודא זאת; בבקשת האישור אין תשתית עובדתית לכך שמפני שתיבת הפסקל לא הייתה מוארת באתר, או עקב אי הבנה של משמעות סימן השאלה מעל תיבות המנויים, או מפני שתיבת מנוי הווידאו מצויה בצד ימין - בחרו לקוחות במנוי ווידאו; קיימים שפע מצגים בעניין זה, כך שהלקוח ידע כי קיימת אפשרות למנוי פסקל, שאף מופיעה באותו מקום באתר. </w:t>
      </w:r>
    </w:p>
    <w:p w14:paraId="371A2AA1" w14:textId="77777777" w:rsidR="00000000" w:rsidRDefault="00000000">
      <w:pPr>
        <w:bidi/>
        <w:spacing w:line="360" w:lineRule="auto"/>
        <w:ind w:left="368" w:hanging="426"/>
        <w:jc w:val="both"/>
        <w:rPr>
          <w:rtl/>
        </w:rPr>
      </w:pPr>
      <w:r>
        <w:rPr>
          <w:rFonts w:ascii="David" w:hAnsi="David" w:cs="David"/>
          <w:sz w:val="28"/>
          <w:szCs w:val="28"/>
          <w:rtl/>
        </w:rPr>
        <w:t> </w:t>
      </w:r>
    </w:p>
    <w:p w14:paraId="01E22DDF" w14:textId="77777777" w:rsidR="00000000" w:rsidRDefault="00000000">
      <w:pPr>
        <w:bidi/>
        <w:spacing w:line="360" w:lineRule="auto"/>
        <w:jc w:val="both"/>
        <w:rPr>
          <w:rtl/>
        </w:rPr>
      </w:pPr>
      <w:r>
        <w:rPr>
          <w:rFonts w:ascii="David" w:hAnsi="David" w:cs="David"/>
          <w:sz w:val="28"/>
          <w:szCs w:val="28"/>
          <w:rtl/>
        </w:rPr>
        <w:t>46.  המבקשים לא הצביעו על כל נורמה המחייבת את המשיבה בפרסום מידע מהותי בשלטים לאורך הכביש או מקומות אחרים, הגם שמדובר בהרחבת חזית, אינו מעשי והמדובר בהרחבה בלתי סבירה של חובת הגילוי. די בכך שהמשיבה מאפשרת ללקוח את קבלת המידע באופן נגיש בכדי לשלול עילת הטעיה במחדל כאמור.</w:t>
      </w:r>
    </w:p>
    <w:p w14:paraId="5D066D25" w14:textId="77777777" w:rsidR="00000000" w:rsidRDefault="00000000">
      <w:pPr>
        <w:bidi/>
        <w:spacing w:line="360" w:lineRule="auto"/>
        <w:ind w:left="368" w:hanging="368"/>
        <w:jc w:val="both"/>
        <w:rPr>
          <w:rtl/>
        </w:rPr>
      </w:pPr>
      <w:r>
        <w:rPr>
          <w:rFonts w:ascii="David" w:hAnsi="David" w:cs="David"/>
          <w:sz w:val="28"/>
          <w:szCs w:val="28"/>
          <w:rtl/>
        </w:rPr>
        <w:t> </w:t>
      </w:r>
    </w:p>
    <w:p w14:paraId="5A9619EE" w14:textId="77777777" w:rsidR="00000000" w:rsidRDefault="00000000">
      <w:pPr>
        <w:bidi/>
        <w:spacing w:line="360" w:lineRule="auto"/>
        <w:ind w:firstLine="720"/>
        <w:jc w:val="both"/>
        <w:rPr>
          <w:rtl/>
        </w:rPr>
      </w:pPr>
      <w:r>
        <w:rPr>
          <w:rFonts w:ascii="David" w:hAnsi="David" w:cs="David"/>
          <w:sz w:val="28"/>
          <w:szCs w:val="28"/>
          <w:rtl/>
        </w:rPr>
        <w:t xml:space="preserve">הטענה להסתרה מדוברי אנגלית, ערבית ורוסית היא בגדר הרחבת חזית, והמבקשים לא הצביעו על נורמה המחייבת הצגה בשפות זרות באתר. אי הצגת מידע בשפות זרות אינה מהווה הטעיה. </w:t>
      </w:r>
    </w:p>
    <w:p w14:paraId="4B6DA91C" w14:textId="77777777" w:rsidR="00000000" w:rsidRDefault="00000000">
      <w:pPr>
        <w:bidi/>
        <w:spacing w:line="360" w:lineRule="auto"/>
        <w:ind w:left="368"/>
        <w:jc w:val="both"/>
        <w:rPr>
          <w:rtl/>
        </w:rPr>
      </w:pPr>
      <w:r>
        <w:rPr>
          <w:rFonts w:ascii="David" w:hAnsi="David" w:cs="David"/>
          <w:sz w:val="28"/>
          <w:szCs w:val="28"/>
          <w:rtl/>
        </w:rPr>
        <w:t> </w:t>
      </w:r>
    </w:p>
    <w:p w14:paraId="48FD755B" w14:textId="77777777" w:rsidR="00000000" w:rsidRDefault="00000000">
      <w:pPr>
        <w:bidi/>
        <w:spacing w:line="360" w:lineRule="auto"/>
        <w:ind w:firstLine="720"/>
        <w:jc w:val="both"/>
        <w:rPr>
          <w:rtl/>
        </w:rPr>
      </w:pPr>
      <w:r>
        <w:rPr>
          <w:rFonts w:ascii="David" w:hAnsi="David" w:cs="David"/>
          <w:sz w:val="28"/>
          <w:szCs w:val="28"/>
          <w:rtl/>
        </w:rPr>
        <w:t xml:space="preserve">הטענה שמנוי הווידאו או המזדמנים אינם מיודעים בחשבונית ובכלל במידע המהותי היא הרחבת חזית. אי גילוי המידע אינו הטעיה בהקשר לכדאיות הפסקל ואין טעם בהמלצה בחשבונית למי שכבר בחר מסלול והצטרף כמנוי. </w:t>
      </w:r>
    </w:p>
    <w:p w14:paraId="3E8C0A43" w14:textId="77777777" w:rsidR="00000000" w:rsidRDefault="00000000">
      <w:pPr>
        <w:bidi/>
        <w:spacing w:line="360" w:lineRule="auto"/>
        <w:jc w:val="both"/>
        <w:rPr>
          <w:rtl/>
        </w:rPr>
      </w:pPr>
      <w:r>
        <w:rPr>
          <w:rFonts w:ascii="David" w:hAnsi="David" w:cs="David"/>
          <w:sz w:val="28"/>
          <w:szCs w:val="28"/>
          <w:rtl/>
        </w:rPr>
        <w:t> </w:t>
      </w:r>
    </w:p>
    <w:p w14:paraId="1D727CE4" w14:textId="77777777" w:rsidR="00000000" w:rsidRDefault="00000000">
      <w:pPr>
        <w:bidi/>
        <w:spacing w:line="360" w:lineRule="auto"/>
        <w:ind w:left="-58" w:firstLine="426"/>
        <w:jc w:val="both"/>
        <w:rPr>
          <w:rtl/>
        </w:rPr>
      </w:pPr>
      <w:r>
        <w:rPr>
          <w:rFonts w:ascii="David" w:hAnsi="David" w:cs="David"/>
          <w:sz w:val="28"/>
          <w:szCs w:val="28"/>
          <w:rtl/>
        </w:rPr>
        <w:t xml:space="preserve">באתר לא נרשם "הנחה", אלא "חסכון" בתעריף הנסיעה (למשל, נספח 7 לתצהיר המשיבה). גם אם כך היה נרשם במקום מסוים אין בכך כדי להטעות או לגרום נזק; גם הטענה ל"טרמינולוגית הטעיה" נטולת יסוד. </w:t>
      </w:r>
    </w:p>
    <w:p w14:paraId="4C2DF46B" w14:textId="77777777" w:rsidR="00000000" w:rsidRDefault="00000000">
      <w:pPr>
        <w:bidi/>
        <w:spacing w:line="360" w:lineRule="auto"/>
        <w:jc w:val="both"/>
        <w:rPr>
          <w:rtl/>
        </w:rPr>
      </w:pPr>
      <w:r>
        <w:rPr>
          <w:rFonts w:ascii="David" w:hAnsi="David" w:cs="David"/>
          <w:sz w:val="28"/>
          <w:szCs w:val="28"/>
          <w:rtl/>
        </w:rPr>
        <w:t> </w:t>
      </w:r>
    </w:p>
    <w:p w14:paraId="1A06928D" w14:textId="77777777" w:rsidR="00000000" w:rsidRDefault="00000000">
      <w:pPr>
        <w:bidi/>
        <w:spacing w:line="360" w:lineRule="auto"/>
        <w:jc w:val="both"/>
        <w:rPr>
          <w:rtl/>
        </w:rPr>
      </w:pPr>
      <w:r>
        <w:rPr>
          <w:rFonts w:ascii="David" w:hAnsi="David" w:cs="David"/>
          <w:sz w:val="28"/>
          <w:szCs w:val="28"/>
          <w:rtl/>
        </w:rPr>
        <w:t>47.  המשיבה לא הפרה את סעיף 11.9 להסכם הזיכיון, וממילא לא היה בהפרה כזו בכדי להקים עילה למבקשים לאור סעיף 26.9 להסכם הזיכיון, הקובע שלא מדובר בהסכם לטובת צד שלישי, וכי אין בו כדי להקנות זכות כלשהי למשתמשים בכביש. לא הוכחה התעשרות של המשיבה שלא כדין, רשלנות וגם לא נפרשה תשתית להתקיימות עילות עשיית עושר. סעיף 11.9 מתייחס לשיווק, פרסום, הפצת ותחזוקת מכשירי הפסקל, לשם ייעול ופישוט השימוש בהם. לא מדובר בהתחייבות לשווק ופרסום כסוג של מנוי. אף בהנחה כי מדובר בהתחייבות כאמור (ולא כך), הרי שזו מולאה לאור מצגי ופרסומי המשיבה. אין זה מתפקידו של בימה"ש להחליף את הרשות הממונה ולקבוע מהו היקף אותו שיווק ופרסום. במשך 25 שנות הפעלת הכביש, הרשות לא פנתה למשיבה בתלונות בעניין, כפי שאישרה בעמדתה; לא קיימת קבוצה בהקשר זה בבקשת האישור ואין בה כל תשתית עובדתית לבסס קיום "נפגעים" עקב הפרת הפרה נטענת זו.</w:t>
      </w:r>
    </w:p>
    <w:p w14:paraId="0930F15C" w14:textId="77777777" w:rsidR="00000000" w:rsidRDefault="00000000">
      <w:pPr>
        <w:bidi/>
        <w:spacing w:line="360" w:lineRule="auto"/>
        <w:ind w:left="368"/>
        <w:jc w:val="both"/>
        <w:rPr>
          <w:rtl/>
        </w:rPr>
      </w:pPr>
      <w:r>
        <w:rPr>
          <w:rFonts w:ascii="David" w:hAnsi="David" w:cs="David"/>
          <w:sz w:val="28"/>
          <w:szCs w:val="28"/>
          <w:rtl/>
        </w:rPr>
        <w:t> </w:t>
      </w:r>
    </w:p>
    <w:p w14:paraId="35A80A7F" w14:textId="77777777" w:rsidR="00000000" w:rsidRDefault="00000000">
      <w:pPr>
        <w:bidi/>
        <w:spacing w:line="360" w:lineRule="auto"/>
        <w:jc w:val="both"/>
        <w:rPr>
          <w:rtl/>
        </w:rPr>
      </w:pPr>
      <w:r>
        <w:rPr>
          <w:rFonts w:ascii="David" w:hAnsi="David" w:cs="David"/>
          <w:sz w:val="28"/>
          <w:szCs w:val="28"/>
          <w:rtl/>
        </w:rPr>
        <w:t>48.  באשר לטענה להפרת סעיף 13ב.(ב3) לחוק הגנת הצרכן ההסדר הייעודי בתקנה 4 לתקנות, הוא הסדר ספציפי לעניין תכני החשבונית ואינו כולל חובת פירוט דמי הגביה. מנוי הווידאו לא מהווה "עסקה מתמשכת", שכן הלקוח אינו רוכש שירות כלשהו באופן מתמשך או בכלל. מהות הסכם המנוי הוא הסדר אופן תשלום החיובים בגין הנסיעה בכביש, שנקבעו בחוק הכביש ובתקנות מכוחו. לקוח יוכל להתקשר בהסכם ולהתמיד בו אף מבלי שיבצע ולו נסיעה אחת, ובהתאמה, מבלי שישלם דבר למשיבה, לרבות דמי גבייה. עוד נטען, כי דמי הגביה אינם "תשלום קבוע" ולא מהווים "תשלום נפרד מהתשלום על פי היקף הצריכה או השימוש.." דמי הגביה משולמים בגין כל נסיעה בכביש וממילא נגבים בזיקה ברורה ובלתי נפרדת מהיקף הצריכה. ככל שירבו הנסיעות כך יגבו דמי גביה גבוהים יותר.</w:t>
      </w:r>
    </w:p>
    <w:p w14:paraId="0AA78D32" w14:textId="77777777" w:rsidR="00000000" w:rsidRDefault="00000000">
      <w:pPr>
        <w:bidi/>
        <w:spacing w:line="360" w:lineRule="auto"/>
        <w:ind w:left="368" w:hanging="368"/>
        <w:jc w:val="both"/>
        <w:rPr>
          <w:rtl/>
        </w:rPr>
      </w:pPr>
      <w:r>
        <w:rPr>
          <w:rFonts w:ascii="David" w:hAnsi="David" w:cs="David"/>
          <w:sz w:val="28"/>
          <w:szCs w:val="28"/>
          <w:rtl/>
        </w:rPr>
        <w:t> </w:t>
      </w:r>
    </w:p>
    <w:p w14:paraId="58E06F95" w14:textId="77777777" w:rsidR="00000000" w:rsidRDefault="00000000">
      <w:pPr>
        <w:bidi/>
        <w:spacing w:line="360" w:lineRule="auto"/>
        <w:ind w:left="368" w:hanging="368"/>
        <w:jc w:val="both"/>
        <w:rPr>
          <w:rtl/>
        </w:rPr>
      </w:pPr>
      <w:r>
        <w:rPr>
          <w:rFonts w:ascii="David" w:hAnsi="David" w:cs="David"/>
          <w:b/>
          <w:bCs/>
          <w:sz w:val="28"/>
          <w:szCs w:val="28"/>
          <w:u w:val="single"/>
          <w:rtl/>
        </w:rPr>
        <w:t xml:space="preserve">תמצית סיכומי התשובה </w:t>
      </w:r>
    </w:p>
    <w:p w14:paraId="35259EB7" w14:textId="77777777" w:rsidR="00000000" w:rsidRDefault="00000000">
      <w:pPr>
        <w:bidi/>
        <w:spacing w:line="360" w:lineRule="auto"/>
        <w:ind w:left="368" w:hanging="368"/>
        <w:jc w:val="both"/>
        <w:rPr>
          <w:rtl/>
        </w:rPr>
      </w:pPr>
      <w:r>
        <w:rPr>
          <w:rFonts w:ascii="David" w:hAnsi="David" w:cs="David"/>
          <w:b/>
          <w:bCs/>
          <w:sz w:val="28"/>
          <w:szCs w:val="28"/>
          <w:rtl/>
        </w:rPr>
        <w:t> </w:t>
      </w:r>
    </w:p>
    <w:p w14:paraId="7F46A86B" w14:textId="77777777" w:rsidR="00000000" w:rsidRDefault="00000000">
      <w:pPr>
        <w:bidi/>
        <w:spacing w:line="360" w:lineRule="auto"/>
        <w:jc w:val="both"/>
        <w:rPr>
          <w:rtl/>
        </w:rPr>
      </w:pPr>
      <w:r>
        <w:rPr>
          <w:rFonts w:ascii="David" w:hAnsi="David" w:cs="David"/>
          <w:sz w:val="28"/>
          <w:szCs w:val="28"/>
          <w:rtl/>
        </w:rPr>
        <w:t>49.  טענות המבקשים לא חרגו מגדר ההסכמה הדיונית; הרשות הממונה אינה רגולטור ומצויה ב"שבי רגולטורי"; המבקשים לא טוענים שיש להפסיק את השימוש בפסקל, ולפיכך אישור הרשות לשימוש בו אינו רלוונטי לתביעה; הטענות ביחס לאתר החדש רלוונטיות שכן המשיבה מטעה באמצעותו מזה למעלה ל - 4 שנים; הרשות הממונה לא טענה כי יישום סעיף 13ב (ב3) לחוק הגנת הצרכן מהווה "שינוי דין" לפי סעיף 18.3 להסכם הזיכיון ולא התייחסה לסוגיה זו. טענה זו ממילא אינה רלוונטית מכיוון שהתנאים שנקבעו בסעיף 18.3.2 לחוזה הזיכיון אינם מתקיימים; טענת המשיבה כי מי שזכה במכרז ממשלתי אינו כפוף לדיני התחרות מנוגדת לחוק ולפסיקה; באשר לעילת תביעה אישית, אין חובה שלכל המבקשים תהיה עילת תביעה אישית בכל עילות התביעה, ודי שיש להם עילה אישית ביחס לחלק מהעילות התביעה.</w:t>
      </w:r>
    </w:p>
    <w:p w14:paraId="54B81E2F" w14:textId="77777777" w:rsidR="00000000" w:rsidRDefault="00000000">
      <w:pPr>
        <w:bidi/>
        <w:spacing w:line="360" w:lineRule="auto"/>
        <w:ind w:left="360" w:hanging="360"/>
        <w:jc w:val="both"/>
        <w:rPr>
          <w:rtl/>
        </w:rPr>
      </w:pPr>
      <w:r>
        <w:rPr>
          <w:rFonts w:ascii="David" w:hAnsi="David" w:cs="David"/>
          <w:sz w:val="28"/>
          <w:szCs w:val="28"/>
          <w:rtl/>
        </w:rPr>
        <w:t> </w:t>
      </w:r>
    </w:p>
    <w:p w14:paraId="366AE118" w14:textId="77777777" w:rsidR="00000000" w:rsidRDefault="00000000">
      <w:pPr>
        <w:bidi/>
        <w:spacing w:line="360" w:lineRule="auto"/>
        <w:jc w:val="both"/>
        <w:rPr>
          <w:rtl/>
        </w:rPr>
      </w:pPr>
      <w:r>
        <w:rPr>
          <w:rFonts w:ascii="David" w:hAnsi="David" w:cs="David"/>
          <w:b/>
          <w:bCs/>
          <w:sz w:val="28"/>
          <w:szCs w:val="28"/>
          <w:u w:val="single"/>
          <w:rtl/>
        </w:rPr>
        <w:t>דיון והכרעה</w:t>
      </w:r>
    </w:p>
    <w:p w14:paraId="3D4A1E66" w14:textId="77777777" w:rsidR="00000000" w:rsidRDefault="00000000">
      <w:pPr>
        <w:bidi/>
        <w:spacing w:line="360" w:lineRule="auto"/>
        <w:jc w:val="both"/>
        <w:rPr>
          <w:rtl/>
        </w:rPr>
      </w:pPr>
      <w:r>
        <w:rPr>
          <w:rFonts w:ascii="David" w:hAnsi="David" w:cs="David"/>
          <w:b/>
          <w:bCs/>
          <w:sz w:val="28"/>
          <w:szCs w:val="28"/>
          <w:rtl/>
        </w:rPr>
        <w:t> </w:t>
      </w:r>
    </w:p>
    <w:p w14:paraId="5F7D103C" w14:textId="77777777" w:rsidR="00000000" w:rsidRDefault="00000000">
      <w:pPr>
        <w:bidi/>
        <w:spacing w:line="360" w:lineRule="auto"/>
        <w:jc w:val="both"/>
        <w:rPr>
          <w:rtl/>
        </w:rPr>
      </w:pPr>
      <w:r>
        <w:rPr>
          <w:rFonts w:ascii="David" w:hAnsi="David" w:cs="David"/>
          <w:sz w:val="28"/>
          <w:szCs w:val="28"/>
          <w:rtl/>
        </w:rPr>
        <w:t>50.  כפי שנקבע רבות אין להקפיד בשלב זה עם המבקש, שכן הנטל המוטל עליו קל יחסית:</w:t>
      </w:r>
    </w:p>
    <w:p w14:paraId="5BE4BE30" w14:textId="77777777" w:rsidR="00000000" w:rsidRDefault="00000000">
      <w:pPr>
        <w:bidi/>
        <w:spacing w:line="360" w:lineRule="auto"/>
        <w:ind w:left="368" w:hanging="368"/>
        <w:jc w:val="both"/>
        <w:rPr>
          <w:rtl/>
        </w:rPr>
      </w:pPr>
      <w:r>
        <w:rPr>
          <w:rFonts w:ascii="David" w:hAnsi="David" w:cs="David"/>
          <w:sz w:val="28"/>
          <w:szCs w:val="28"/>
          <w:rtl/>
        </w:rPr>
        <w:t> </w:t>
      </w:r>
    </w:p>
    <w:p w14:paraId="716122F5" w14:textId="77777777" w:rsidR="00000000" w:rsidRDefault="00000000">
      <w:pPr>
        <w:bidi/>
        <w:spacing w:line="360" w:lineRule="auto"/>
        <w:ind w:left="1644" w:right="1560"/>
        <w:jc w:val="both"/>
        <w:rPr>
          <w:rtl/>
        </w:rPr>
      </w:pPr>
      <w:r>
        <w:rPr>
          <w:rFonts w:ascii="David" w:hAnsi="David" w:cs="David"/>
          <w:sz w:val="28"/>
          <w:szCs w:val="28"/>
          <w:rtl/>
        </w:rPr>
        <w:t>"</w:t>
      </w:r>
      <w:r>
        <w:rPr>
          <w:rFonts w:ascii="David" w:hAnsi="David" w:cs="David"/>
          <w:b/>
          <w:bCs/>
          <w:sz w:val="28"/>
          <w:szCs w:val="28"/>
          <w:rtl/>
        </w:rPr>
        <w:t>ההלכה הנוהגת בעניין זה היא ששומה על בית משפט לרדת לעובי הקורה ולבחון אם בקשת האישור מגלה עילה טובה; ואולם יש להישמר מפני הצבת מחסום גבוה מידי בפני תובעים ייצוגיים פוטנציאליים, על מנת שלא יהיה בכך משום גורם מצנן המרפה את ידיהם מפני הגשת תובענות ייצוגיות ראויות</w:t>
      </w:r>
      <w:r>
        <w:rPr>
          <w:rFonts w:ascii="David" w:hAnsi="David" w:cs="David"/>
          <w:sz w:val="28"/>
          <w:szCs w:val="28"/>
          <w:rtl/>
        </w:rPr>
        <w:t>" (בג"ץ 5148/18 </w:t>
      </w:r>
      <w:r>
        <w:rPr>
          <w:rFonts w:ascii="David" w:hAnsi="David" w:cs="David"/>
          <w:b/>
          <w:bCs/>
          <w:sz w:val="28"/>
          <w:szCs w:val="28"/>
          <w:rtl/>
        </w:rPr>
        <w:t>אור שחם נ' בית הדין הארצי לעבודה ואח'</w:t>
      </w:r>
      <w:r>
        <w:rPr>
          <w:rFonts w:ascii="David" w:hAnsi="David" w:cs="David"/>
          <w:sz w:val="28"/>
          <w:szCs w:val="28"/>
          <w:rtl/>
        </w:rPr>
        <w:t>, פס' 26 [נבו] (11.7.22)).</w:t>
      </w:r>
    </w:p>
    <w:p w14:paraId="368703F2" w14:textId="77777777" w:rsidR="00000000" w:rsidRDefault="00000000">
      <w:pPr>
        <w:bidi/>
        <w:spacing w:after="160" w:line="360" w:lineRule="atLeast"/>
        <w:ind w:left="368"/>
        <w:jc w:val="both"/>
        <w:rPr>
          <w:rtl/>
        </w:rPr>
      </w:pPr>
      <w:r>
        <w:rPr>
          <w:rFonts w:ascii="David" w:hAnsi="David" w:cs="David"/>
          <w:sz w:val="28"/>
          <w:szCs w:val="28"/>
          <w:rtl/>
        </w:rPr>
        <w:t xml:space="preserve">ועוד - </w:t>
      </w:r>
    </w:p>
    <w:p w14:paraId="74AF26F7" w14:textId="77777777" w:rsidR="00000000" w:rsidRDefault="00000000">
      <w:pPr>
        <w:bidi/>
        <w:spacing w:line="360" w:lineRule="auto"/>
        <w:ind w:left="1644" w:right="1560"/>
        <w:jc w:val="both"/>
        <w:rPr>
          <w:rtl/>
        </w:rPr>
      </w:pPr>
      <w:r>
        <w:rPr>
          <w:rFonts w:ascii="David" w:hAnsi="David" w:cs="David"/>
          <w:sz w:val="28"/>
          <w:szCs w:val="28"/>
          <w:rtl/>
        </w:rPr>
        <w:t>"</w:t>
      </w:r>
      <w:r>
        <w:rPr>
          <w:rFonts w:ascii="David" w:hAnsi="David" w:cs="David"/>
          <w:b/>
          <w:bCs/>
          <w:sz w:val="28"/>
          <w:szCs w:val="28"/>
          <w:rtl/>
        </w:rPr>
        <w:t>התובענה הייצוגית אינה צריכה להציב מחסום גבוה בפני תובעים ייצוגיים, וכי יש להביא בחשבון את פערי המידע הקיימים בין הצדדים. עם זאת, אין משמעות הדברים שהנטל המוטל על התובעים הייצוגיים יהיה קל כנוצה. על התובע הייצוגי להרים נטל ראשוני - נטל שיש לתת לו משמעות, מבלי שיהיה כבד מנשוא, תוך שבית המשפט נותן דעתו, בכל מקרה ומקרה, לקושי היחסי העומד בפני התובע הייצוגי כאשר הוא נדרש להוכיח את תביעתו לכאורה</w:t>
      </w:r>
      <w:r>
        <w:rPr>
          <w:rFonts w:ascii="David" w:hAnsi="David" w:cs="David"/>
          <w:sz w:val="28"/>
          <w:szCs w:val="28"/>
          <w:rtl/>
        </w:rPr>
        <w:t xml:space="preserve">" (רע"א 3489/09 </w:t>
      </w:r>
      <w:r>
        <w:rPr>
          <w:rFonts w:ascii="David" w:hAnsi="David" w:cs="David"/>
          <w:b/>
          <w:bCs/>
          <w:sz w:val="28"/>
          <w:szCs w:val="28"/>
          <w:rtl/>
        </w:rPr>
        <w:t>מגדל חברה לביטוח בע"מ נ' חברת צפוי מתכות עמק זבולון בע"מ</w:t>
      </w:r>
      <w:r>
        <w:rPr>
          <w:rFonts w:ascii="David" w:hAnsi="David" w:cs="David"/>
          <w:sz w:val="28"/>
          <w:szCs w:val="28"/>
          <w:rtl/>
        </w:rPr>
        <w:t xml:space="preserve">, פס' 59 (11.4.13); ראו גם: רע"א 2128/09 </w:t>
      </w:r>
      <w:r>
        <w:rPr>
          <w:rFonts w:ascii="David" w:hAnsi="David" w:cs="David"/>
          <w:b/>
          <w:bCs/>
          <w:sz w:val="28"/>
          <w:szCs w:val="28"/>
          <w:rtl/>
        </w:rPr>
        <w:t>הפניקס חברה לביטוח בע"מ נ' עמוסי</w:t>
      </w:r>
      <w:r>
        <w:rPr>
          <w:rFonts w:ascii="David" w:hAnsi="David" w:cs="David"/>
          <w:sz w:val="28"/>
          <w:szCs w:val="28"/>
          <w:rtl/>
        </w:rPr>
        <w:t>, פס' 15 (5.7.12).</w:t>
      </w:r>
    </w:p>
    <w:p w14:paraId="7E76B994" w14:textId="77777777" w:rsidR="00000000" w:rsidRDefault="00000000">
      <w:pPr>
        <w:bidi/>
        <w:spacing w:line="360" w:lineRule="auto"/>
        <w:ind w:left="368" w:hanging="368"/>
        <w:jc w:val="both"/>
        <w:rPr>
          <w:rtl/>
        </w:rPr>
      </w:pPr>
      <w:r>
        <w:rPr>
          <w:rFonts w:ascii="David" w:hAnsi="David" w:cs="David"/>
          <w:sz w:val="28"/>
          <w:szCs w:val="28"/>
          <w:rtl/>
        </w:rPr>
        <w:t> </w:t>
      </w:r>
    </w:p>
    <w:p w14:paraId="2BBA59AE" w14:textId="77777777" w:rsidR="00000000" w:rsidRDefault="00000000">
      <w:pPr>
        <w:bidi/>
        <w:spacing w:line="360" w:lineRule="auto"/>
        <w:ind w:firstLine="720"/>
        <w:jc w:val="both"/>
        <w:rPr>
          <w:rtl/>
        </w:rPr>
      </w:pPr>
      <w:r>
        <w:rPr>
          <w:rFonts w:ascii="David" w:hAnsi="David" w:cs="David"/>
          <w:sz w:val="28"/>
          <w:szCs w:val="28"/>
          <w:rtl/>
        </w:rPr>
        <w:t>אך בצד זאת, כדי שהמבקש יעבור את הפרוזדור להליך העיקרי עליו להניח תשתית משפטית ועובדתית התומכת בתביעתו ומקימה אפשרות סבירה להוכחת כל התנאים הקבועים בסעיף 3, 4 ו-8(א)</w:t>
      </w:r>
      <w:r>
        <w:rPr>
          <w:rFonts w:ascii="David" w:hAnsi="David" w:cs="David"/>
          <w:sz w:val="28"/>
          <w:szCs w:val="28"/>
        </w:rPr>
        <w:t> </w:t>
      </w:r>
      <w:r>
        <w:rPr>
          <w:rFonts w:ascii="David" w:hAnsi="David" w:cs="David"/>
          <w:sz w:val="28"/>
          <w:szCs w:val="28"/>
          <w:rtl/>
        </w:rPr>
        <w:t>לחוק התובענות הייצוגיות (רע"א 2128/09</w:t>
      </w:r>
      <w:r>
        <w:rPr>
          <w:rFonts w:ascii="David" w:hAnsi="David" w:cs="David"/>
          <w:sz w:val="28"/>
          <w:szCs w:val="28"/>
        </w:rPr>
        <w:t> </w:t>
      </w:r>
      <w:r>
        <w:rPr>
          <w:rFonts w:ascii="David" w:hAnsi="David" w:cs="David"/>
          <w:b/>
          <w:bCs/>
          <w:sz w:val="28"/>
          <w:szCs w:val="28"/>
          <w:rtl/>
        </w:rPr>
        <w:t>הפניקס חברה לביטוח בע"מ נ' עמוסי</w:t>
      </w:r>
      <w:r>
        <w:rPr>
          <w:rFonts w:ascii="David" w:hAnsi="David" w:cs="David"/>
          <w:sz w:val="28"/>
          <w:szCs w:val="28"/>
          <w:rtl/>
        </w:rPr>
        <w:t>,</w:t>
      </w:r>
      <w:r>
        <w:rPr>
          <w:rFonts w:ascii="David" w:hAnsi="David" w:cs="David"/>
          <w:sz w:val="28"/>
          <w:szCs w:val="28"/>
        </w:rPr>
        <w:t> </w:t>
      </w:r>
      <w:r>
        <w:rPr>
          <w:rFonts w:ascii="David" w:hAnsi="David" w:cs="David"/>
          <w:sz w:val="28"/>
          <w:szCs w:val="28"/>
          <w:rtl/>
        </w:rPr>
        <w:t>פס' 15</w:t>
      </w:r>
      <w:r>
        <w:rPr>
          <w:rFonts w:ascii="David" w:hAnsi="David" w:cs="David"/>
          <w:sz w:val="28"/>
          <w:szCs w:val="28"/>
        </w:rPr>
        <w:t> </w:t>
      </w:r>
      <w:r>
        <w:rPr>
          <w:rFonts w:ascii="David" w:hAnsi="David" w:cs="David"/>
          <w:sz w:val="28"/>
          <w:szCs w:val="28"/>
          <w:rtl/>
        </w:rPr>
        <w:t>(5.7.12); רע"א 3489/09</w:t>
      </w:r>
      <w:r>
        <w:rPr>
          <w:rFonts w:ascii="David" w:hAnsi="David" w:cs="David"/>
          <w:sz w:val="28"/>
          <w:szCs w:val="28"/>
        </w:rPr>
        <w:t> </w:t>
      </w:r>
      <w:r>
        <w:rPr>
          <w:rFonts w:ascii="David" w:hAnsi="David" w:cs="David"/>
          <w:b/>
          <w:bCs/>
          <w:sz w:val="28"/>
          <w:szCs w:val="28"/>
          <w:rtl/>
        </w:rPr>
        <w:t>מגדל חברה לביטוח בע"מ נ' חברת צפוי מתכות עמק זבולון בע"מ</w:t>
      </w:r>
      <w:r>
        <w:rPr>
          <w:rFonts w:ascii="David" w:hAnsi="David" w:cs="David"/>
          <w:sz w:val="28"/>
          <w:szCs w:val="28"/>
          <w:rtl/>
        </w:rPr>
        <w:t xml:space="preserve">, פס' 59 (11.4.13). בין היתר, על המבקש להראות קיומה של עילת תביעה המנויה בתוספת השנייה לחוק, קיומן של שאלות מהותיות של עובדה או משפט המשותפות לכלל חברי הקבוצה, הסבירות כי שאלות אלו יוכרעו לטובת הקבוצה, וכן לשכנע כי התובענה הייצוגית היא הדרך היעילה וההוגנת להכרעה במחלוקות. </w:t>
      </w:r>
    </w:p>
    <w:p w14:paraId="270F25E1" w14:textId="77777777" w:rsidR="00000000" w:rsidRDefault="00000000">
      <w:pPr>
        <w:bidi/>
        <w:spacing w:line="360" w:lineRule="auto"/>
        <w:jc w:val="both"/>
        <w:rPr>
          <w:rtl/>
        </w:rPr>
      </w:pPr>
      <w:r>
        <w:rPr>
          <w:rFonts w:ascii="David" w:hAnsi="David" w:cs="David"/>
          <w:sz w:val="28"/>
          <w:szCs w:val="28"/>
          <w:rtl/>
        </w:rPr>
        <w:t> </w:t>
      </w:r>
    </w:p>
    <w:p w14:paraId="0B2CEF06" w14:textId="77777777" w:rsidR="00000000" w:rsidRDefault="00000000">
      <w:pPr>
        <w:bidi/>
        <w:spacing w:line="360" w:lineRule="auto"/>
        <w:jc w:val="both"/>
        <w:rPr>
          <w:rtl/>
        </w:rPr>
      </w:pPr>
      <w:r>
        <w:rPr>
          <w:rFonts w:ascii="David" w:hAnsi="David" w:cs="David"/>
          <w:sz w:val="28"/>
          <w:szCs w:val="28"/>
          <w:rtl/>
        </w:rPr>
        <w:t xml:space="preserve">51.  אקדים ואומר שלאחר ששמעתי את טענות הצדדים, עיינתי בכתבי הטענות, בחוות הדעת ובמוצגים שהוגשו במסגרת ההליך ובסיכומי הצדדים, הגעתי לכלל מסקנה כי יש לדחות את בקשת האישור. לאחר קבלת עמדת הרשות הממונה, שהובילה, בין היתר, לצמצום עילות התביעה במסגרת הסכמה דיונית שגובשה בהמלצתי, השתכנעתי כי הסבירות שהשאלות המשותפות לחברי קבוצה בזיקה לעילות שנותרו יוכרעו לטובתם, היא נמוכה עד מאוד. </w:t>
      </w:r>
    </w:p>
    <w:p w14:paraId="55DA7B31" w14:textId="77777777" w:rsidR="00000000" w:rsidRDefault="00000000">
      <w:pPr>
        <w:bidi/>
        <w:spacing w:line="254" w:lineRule="auto"/>
        <w:ind w:left="720"/>
        <w:rPr>
          <w:rtl/>
        </w:rPr>
      </w:pPr>
      <w:r>
        <w:rPr>
          <w:rFonts w:ascii="David" w:hAnsi="David" w:cs="David"/>
          <w:spacing w:val="20"/>
          <w:sz w:val="28"/>
          <w:szCs w:val="28"/>
          <w:rtl/>
        </w:rPr>
        <w:t> </w:t>
      </w:r>
    </w:p>
    <w:p w14:paraId="39B4E19D" w14:textId="77777777" w:rsidR="00000000" w:rsidRDefault="00000000">
      <w:pPr>
        <w:bidi/>
        <w:spacing w:line="360" w:lineRule="auto"/>
        <w:jc w:val="both"/>
        <w:rPr>
          <w:rtl/>
        </w:rPr>
      </w:pPr>
      <w:r>
        <w:rPr>
          <w:rFonts w:ascii="David" w:hAnsi="David" w:cs="David"/>
          <w:sz w:val="28"/>
          <w:szCs w:val="28"/>
          <w:rtl/>
        </w:rPr>
        <w:t xml:space="preserve">52.  בענייננו, עיקר המחלוקות נסובות סביב פרשנות הוראות הדין, חוזה הזיכיון והסכמי המנויים (ווידאו ופסקל), ואילו המחלוקות שבעובדה הן שוליות וחסרות השלכה על התוצאה. בנסיבות אלה, משמלוא התמונה נפרשה לפניי ניתן לבחון לעומק את סבירות קבלת העילות להן טוענים המבקשים (ע"א 9294/16 </w:t>
      </w:r>
      <w:r>
        <w:rPr>
          <w:rFonts w:ascii="David" w:hAnsi="David" w:cs="David"/>
          <w:b/>
          <w:bCs/>
          <w:sz w:val="28"/>
          <w:szCs w:val="28"/>
          <w:rtl/>
        </w:rPr>
        <w:t>אושרת שמעון נ' חברת איי די איי חברה לביטוח בע"מ</w:t>
      </w:r>
      <w:r>
        <w:rPr>
          <w:rFonts w:ascii="David" w:hAnsi="David" w:cs="David"/>
          <w:sz w:val="28"/>
          <w:szCs w:val="28"/>
          <w:rtl/>
        </w:rPr>
        <w:t xml:space="preserve">, פסקה 59 לפסק דינה של כב' השופטת ארז ברק, ופסקה 2-4 לפסק דינו של כב' גרוסקופף (4.2.2020); רע"א 2128/09 </w:t>
      </w:r>
      <w:r>
        <w:rPr>
          <w:rFonts w:ascii="David" w:hAnsi="David" w:cs="David"/>
          <w:b/>
          <w:bCs/>
          <w:sz w:val="28"/>
          <w:szCs w:val="28"/>
          <w:rtl/>
        </w:rPr>
        <w:t>הפניקס חברה לביטוח בע"מ נ' עמוסי</w:t>
      </w:r>
      <w:r>
        <w:rPr>
          <w:rFonts w:ascii="David" w:hAnsi="David" w:cs="David"/>
          <w:sz w:val="28"/>
          <w:szCs w:val="28"/>
          <w:rtl/>
        </w:rPr>
        <w:t>, פס' 12-15 לפסק דינו של כב' השופט ריבלין (05.07.12)).</w:t>
      </w:r>
    </w:p>
    <w:p w14:paraId="6B402391" w14:textId="77777777" w:rsidR="00000000" w:rsidRDefault="00000000">
      <w:pPr>
        <w:bidi/>
        <w:spacing w:line="360" w:lineRule="auto"/>
        <w:jc w:val="both"/>
        <w:rPr>
          <w:rtl/>
        </w:rPr>
      </w:pPr>
      <w:r>
        <w:rPr>
          <w:rFonts w:ascii="David" w:hAnsi="David" w:cs="David"/>
          <w:sz w:val="28"/>
          <w:szCs w:val="28"/>
          <w:rtl/>
        </w:rPr>
        <w:t> </w:t>
      </w:r>
    </w:p>
    <w:p w14:paraId="16A16239" w14:textId="77777777" w:rsidR="00000000" w:rsidRDefault="00000000">
      <w:pPr>
        <w:bidi/>
        <w:spacing w:line="360" w:lineRule="auto"/>
        <w:jc w:val="both"/>
        <w:rPr>
          <w:rtl/>
        </w:rPr>
      </w:pPr>
      <w:r>
        <w:rPr>
          <w:rFonts w:ascii="David" w:hAnsi="David" w:cs="David"/>
          <w:sz w:val="28"/>
          <w:szCs w:val="28"/>
          <w:rtl/>
        </w:rPr>
        <w:t xml:space="preserve">53.   אוסיף, כי הדרך בה נקטו המבקשים בהצגת כל טענה אפשרית, אך מקשה על בירור הטענות שכן ראויות לבחינה מעמיקה ובמידה רבה אף מסיטה את הדיון מהעיקר לטפל. הדבר לא מתיישב עם אינטרס הקבוצה ואף מערער במידה רבה את שאלת התאמת הליך זה להתברר כתובענה ייצוגית. הליך זה מטבעו מורכב, צורך משאבים רבים, ומכאן, ראוי כי הנטען יהיה ממוקד תוך הצגת תשתית מלאה ועמידה בכל הדרישות שמציב חוק התובענות הייצוגיות. כידוע, המבקש לאשר תובענה ייצוגית נדרש להוכיח קיומה של אפשרות סבירה שהעילות עליהן הוא סומך או חלקן יוכרעו בתובענה לטובת הקבוצה. לשם הרמת נטל ראשוני זה יש להניח תשתית משפטית ועובדתית התומכת בבקשה לאישור תובענה ייצוגית והמקימה אפשרות סבירה להוכחת כל התנאים הקבועים בסע' 3, 4 ו-8(א) לחוק התובענות הייצוגיות (3489/09 </w:t>
      </w:r>
      <w:r>
        <w:rPr>
          <w:rFonts w:ascii="David" w:hAnsi="David" w:cs="David"/>
          <w:b/>
          <w:bCs/>
          <w:sz w:val="28"/>
          <w:szCs w:val="28"/>
          <w:rtl/>
        </w:rPr>
        <w:t>מגדל חברה לביטוח בע"מ נ' חברת צפוי מתכות עמק זבולון בע"מ</w:t>
      </w:r>
      <w:r>
        <w:rPr>
          <w:rFonts w:ascii="David" w:hAnsi="David" w:cs="David"/>
          <w:sz w:val="28"/>
          <w:szCs w:val="28"/>
          <w:rtl/>
        </w:rPr>
        <w:t>, פסקה 59 (11.4.13). תשתית כזו על מבקש האישור להציג בבקשתו לאישור תובענה ייצוגית בזיקה לכל עילה נטענת, שכן הוא חייב לערוך את בקשתו לרבות התצהיר התומך בה: "</w:t>
      </w:r>
      <w:r>
        <w:rPr>
          <w:rFonts w:ascii="David" w:hAnsi="David" w:cs="David"/>
          <w:b/>
          <w:bCs/>
          <w:sz w:val="28"/>
          <w:szCs w:val="28"/>
          <w:rtl/>
        </w:rPr>
        <w:t>ביסודיות ובכובד ראש</w:t>
      </w:r>
      <w:r>
        <w:rPr>
          <w:rFonts w:ascii="David" w:hAnsi="David" w:cs="David"/>
          <w:sz w:val="28"/>
          <w:szCs w:val="28"/>
          <w:rtl/>
        </w:rPr>
        <w:t xml:space="preserve">" (רע"א 2444/08 </w:t>
      </w:r>
      <w:r>
        <w:rPr>
          <w:rFonts w:ascii="David" w:hAnsi="David" w:cs="David"/>
          <w:b/>
          <w:bCs/>
          <w:sz w:val="28"/>
          <w:szCs w:val="28"/>
          <w:rtl/>
        </w:rPr>
        <w:t>שופרסל בע"מ נ' כהן</w:t>
      </w:r>
      <w:r>
        <w:rPr>
          <w:rFonts w:ascii="David" w:hAnsi="David" w:cs="David"/>
          <w:sz w:val="28"/>
          <w:szCs w:val="28"/>
          <w:rtl/>
        </w:rPr>
        <w:t>, פסקה 9 (21.12.08)), כן נקבע רבות :"</w:t>
      </w:r>
      <w:r>
        <w:rPr>
          <w:rFonts w:ascii="David" w:hAnsi="David" w:cs="David"/>
          <w:b/>
          <w:bCs/>
          <w:sz w:val="28"/>
          <w:szCs w:val="28"/>
          <w:rtl/>
        </w:rPr>
        <w:t>על המבקש בבקשה לאישור תובענה כייצוגית לבססה כדבעי מבחינה משפטית ועובדתית</w:t>
      </w:r>
      <w:r>
        <w:rPr>
          <w:rFonts w:ascii="David" w:hAnsi="David" w:cs="David"/>
          <w:sz w:val="28"/>
          <w:szCs w:val="28"/>
          <w:rtl/>
        </w:rPr>
        <w:t xml:space="preserve">"(רע"א 1235/19 </w:t>
      </w:r>
      <w:r>
        <w:rPr>
          <w:rFonts w:ascii="David" w:hAnsi="David" w:cs="David"/>
          <w:b/>
          <w:bCs/>
          <w:sz w:val="28"/>
          <w:szCs w:val="28"/>
          <w:rtl/>
        </w:rPr>
        <w:t>סופר נ' אורגד ח.ש.ן בע"מ</w:t>
      </w:r>
      <w:r>
        <w:rPr>
          <w:rFonts w:ascii="David" w:hAnsi="David" w:cs="David"/>
          <w:sz w:val="28"/>
          <w:szCs w:val="28"/>
          <w:rtl/>
        </w:rPr>
        <w:t>, פִסקה 12 (2.4.2020) - דבר שאינו אפשרי שעה שהמבקש מציף בבקשת האישור עשרות רבות של הפרות נטענות, שבחלקן הגדול משוללות יסוד או נעדרות אלמנטים מהותיים או התשתית הדרושה לוקה בחוסרים.</w:t>
      </w:r>
    </w:p>
    <w:p w14:paraId="4841D197" w14:textId="77777777" w:rsidR="00000000" w:rsidRDefault="00000000">
      <w:pPr>
        <w:bidi/>
        <w:spacing w:line="360" w:lineRule="auto"/>
        <w:jc w:val="both"/>
        <w:rPr>
          <w:rtl/>
        </w:rPr>
      </w:pPr>
      <w:r>
        <w:rPr>
          <w:rFonts w:ascii="David" w:hAnsi="David" w:cs="David"/>
          <w:sz w:val="28"/>
          <w:szCs w:val="28"/>
          <w:rtl/>
        </w:rPr>
        <w:t xml:space="preserve">  </w:t>
      </w:r>
    </w:p>
    <w:p w14:paraId="20126021" w14:textId="77777777" w:rsidR="00000000" w:rsidRDefault="00000000">
      <w:pPr>
        <w:bidi/>
        <w:spacing w:line="360" w:lineRule="auto"/>
        <w:jc w:val="both"/>
        <w:rPr>
          <w:rtl/>
        </w:rPr>
      </w:pPr>
      <w:r>
        <w:rPr>
          <w:rFonts w:ascii="David" w:hAnsi="David" w:cs="David"/>
          <w:sz w:val="28"/>
          <w:szCs w:val="28"/>
          <w:rtl/>
        </w:rPr>
        <w:t>54.  אחזור ואדגיש, כי למרות צמצום יריעת המחלוקת המבקשים חזרו בסיכומיהם על חלק מהטענות והעילות שזנחו דבר המהווה שינוי חזית ואותו אין לאשר. באותו הסדר המבקשים מיקדו את טיעוניהם וצמצמו את העילות - ולעילות אלו בלבד אדרש במסגרת הדיון.</w:t>
      </w:r>
    </w:p>
    <w:p w14:paraId="7BFE9665" w14:textId="77777777" w:rsidR="00000000" w:rsidRDefault="00000000">
      <w:pPr>
        <w:bidi/>
        <w:spacing w:line="360" w:lineRule="auto"/>
        <w:ind w:left="368" w:hanging="368"/>
        <w:jc w:val="both"/>
        <w:rPr>
          <w:rtl/>
        </w:rPr>
      </w:pPr>
      <w:r>
        <w:rPr>
          <w:rFonts w:ascii="David" w:hAnsi="David" w:cs="David"/>
          <w:sz w:val="28"/>
          <w:szCs w:val="28"/>
          <w:rtl/>
        </w:rPr>
        <w:t> </w:t>
      </w:r>
    </w:p>
    <w:p w14:paraId="70DC9AAC" w14:textId="77777777" w:rsidR="00000000" w:rsidRDefault="00000000">
      <w:pPr>
        <w:bidi/>
        <w:spacing w:after="120" w:line="360" w:lineRule="auto"/>
        <w:jc w:val="both"/>
        <w:rPr>
          <w:rtl/>
        </w:rPr>
      </w:pPr>
      <w:r>
        <w:rPr>
          <w:rFonts w:ascii="David" w:hAnsi="David" w:cs="David"/>
          <w:sz w:val="28"/>
          <w:szCs w:val="28"/>
          <w:u w:val="single"/>
          <w:rtl/>
        </w:rPr>
        <w:t>טענת המבקשים בדבר חיוב המשיבה למינויי הווידאו בסכום עודף בעסקה מתמשכת בניגוד להוראות סעיף 13ב(ב3) לחוק הגנת הצרכן</w:t>
      </w:r>
    </w:p>
    <w:p w14:paraId="5A26AD99" w14:textId="77777777" w:rsidR="00000000" w:rsidRDefault="00000000">
      <w:pPr>
        <w:bidi/>
        <w:spacing w:line="360" w:lineRule="auto"/>
        <w:jc w:val="both"/>
        <w:rPr>
          <w:rtl/>
        </w:rPr>
      </w:pPr>
      <w:r>
        <w:rPr>
          <w:rFonts w:ascii="David" w:hAnsi="David" w:cs="David"/>
          <w:sz w:val="28"/>
          <w:szCs w:val="28"/>
          <w:rtl/>
        </w:rPr>
        <w:t> </w:t>
      </w:r>
    </w:p>
    <w:p w14:paraId="18DE9CD4" w14:textId="77777777" w:rsidR="00000000" w:rsidRDefault="00000000">
      <w:pPr>
        <w:bidi/>
        <w:spacing w:line="360" w:lineRule="auto"/>
        <w:jc w:val="both"/>
        <w:rPr>
          <w:rtl/>
        </w:rPr>
      </w:pPr>
      <w:r>
        <w:rPr>
          <w:rFonts w:ascii="David" w:hAnsi="David" w:cs="David"/>
          <w:sz w:val="28"/>
          <w:szCs w:val="28"/>
          <w:rtl/>
        </w:rPr>
        <w:t>55.  במרכז המחלוקת ניצב תיקון מס' 54 ל</w:t>
      </w:r>
      <w:r>
        <w:rPr>
          <w:rFonts w:ascii="David" w:hAnsi="David" w:cs="David"/>
          <w:color w:val="000000"/>
          <w:sz w:val="28"/>
          <w:szCs w:val="28"/>
          <w:rtl/>
        </w:rPr>
        <w:t>חוק הגנת הצרכן</w:t>
      </w:r>
      <w:r>
        <w:rPr>
          <w:rFonts w:ascii="David" w:hAnsi="David" w:cs="David"/>
          <w:sz w:val="28"/>
          <w:szCs w:val="28"/>
          <w:rtl/>
        </w:rPr>
        <w:t>, במסגרתו עוגן </w:t>
      </w:r>
      <w:r>
        <w:rPr>
          <w:rFonts w:ascii="David" w:hAnsi="David" w:cs="David"/>
          <w:color w:val="000000"/>
          <w:sz w:val="28"/>
          <w:szCs w:val="28"/>
          <w:rtl/>
        </w:rPr>
        <w:t>סעיף 13ב(ב3)</w:t>
      </w:r>
      <w:r>
        <w:rPr>
          <w:rFonts w:ascii="David" w:hAnsi="David" w:cs="David"/>
          <w:sz w:val="28"/>
          <w:szCs w:val="28"/>
          <w:rtl/>
        </w:rPr>
        <w:t> לאותו החוק המורה לנו כלהלן:</w:t>
      </w:r>
    </w:p>
    <w:p w14:paraId="2F33271D" w14:textId="77777777" w:rsidR="00000000" w:rsidRDefault="00000000">
      <w:pPr>
        <w:bidi/>
        <w:spacing w:line="360" w:lineRule="auto"/>
        <w:jc w:val="both"/>
        <w:rPr>
          <w:rtl/>
        </w:rPr>
      </w:pPr>
      <w:r>
        <w:rPr>
          <w:rFonts w:ascii="David" w:hAnsi="David" w:cs="David"/>
          <w:sz w:val="28"/>
          <w:szCs w:val="28"/>
        </w:rPr>
        <w:t> </w:t>
      </w:r>
    </w:p>
    <w:p w14:paraId="587062EB" w14:textId="77777777" w:rsidR="00000000" w:rsidRDefault="00000000">
      <w:pPr>
        <w:bidi/>
        <w:spacing w:line="360" w:lineRule="auto"/>
        <w:ind w:left="1642" w:right="1560"/>
        <w:jc w:val="both"/>
        <w:rPr>
          <w:rtl/>
        </w:rPr>
      </w:pPr>
      <w:r>
        <w:rPr>
          <w:rFonts w:ascii="David" w:hAnsi="David" w:cs="David"/>
          <w:sz w:val="28"/>
          <w:szCs w:val="28"/>
          <w:rtl/>
        </w:rPr>
        <w:t>"</w:t>
      </w:r>
      <w:r>
        <w:rPr>
          <w:rFonts w:ascii="David" w:hAnsi="David" w:cs="David"/>
          <w:b/>
          <w:bCs/>
          <w:sz w:val="28"/>
          <w:szCs w:val="28"/>
          <w:rtl/>
        </w:rPr>
        <w:t>בעסקה מתמשכת, לרבות בעסקה להספקת גז בין צרכן גז לספק גז, שבה גובה העוסק תשלום קבוע, יפרט העוסק בחשבונית או בהודעת התשלום הנשלחת לצרכן את מרכיבי התשלום הקבוע ואת סכומם; לא פירט העוסק את מרכיבי התשלום הקבוע ואת סכומם, לא יהיה רשאי לגבות תשלום קבוע; בסעיף קטן זה, "תשלום קבוע" - תשלום נפרד מהתשלום על פי היקף הצריכה או השימוש שעושה הצרכן בטובין או בשירותים שהעוסק מספק לו או תשלום נלווה לתשלום על פי היקף כאמור, יהיה כינוים אשר יהיה</w:t>
      </w:r>
      <w:r>
        <w:rPr>
          <w:rFonts w:ascii="David" w:hAnsi="David" w:cs="David"/>
          <w:sz w:val="28"/>
          <w:szCs w:val="28"/>
          <w:rtl/>
        </w:rPr>
        <w:t>."</w:t>
      </w:r>
    </w:p>
    <w:p w14:paraId="6A8FB3F9" w14:textId="77777777" w:rsidR="00000000" w:rsidRDefault="00000000">
      <w:pPr>
        <w:bidi/>
        <w:spacing w:line="360" w:lineRule="auto"/>
        <w:ind w:left="1642" w:right="1282"/>
        <w:jc w:val="both"/>
        <w:rPr>
          <w:rtl/>
        </w:rPr>
      </w:pPr>
      <w:r>
        <w:rPr>
          <w:rFonts w:ascii="David" w:hAnsi="David" w:cs="David"/>
          <w:sz w:val="28"/>
          <w:szCs w:val="28"/>
          <w:rtl/>
        </w:rPr>
        <w:t> </w:t>
      </w:r>
    </w:p>
    <w:p w14:paraId="25F85929" w14:textId="77777777" w:rsidR="00000000" w:rsidRDefault="00000000">
      <w:pPr>
        <w:bidi/>
        <w:spacing w:line="360" w:lineRule="auto"/>
        <w:ind w:firstLine="720"/>
        <w:rPr>
          <w:rtl/>
        </w:rPr>
      </w:pPr>
      <w:r>
        <w:rPr>
          <w:rFonts w:ascii="David" w:hAnsi="David" w:cs="David"/>
          <w:sz w:val="28"/>
          <w:szCs w:val="28"/>
          <w:rtl/>
        </w:rPr>
        <w:t xml:space="preserve">עוד חשוב לעמוד על </w:t>
      </w:r>
      <w:r>
        <w:rPr>
          <w:rFonts w:ascii="David" w:hAnsi="David" w:cs="David"/>
          <w:sz w:val="28"/>
          <w:szCs w:val="28"/>
        </w:rPr>
        <w:t> </w:t>
      </w:r>
      <w:r>
        <w:rPr>
          <w:rFonts w:ascii="David" w:hAnsi="David" w:cs="David"/>
          <w:sz w:val="28"/>
          <w:szCs w:val="28"/>
          <w:rtl/>
        </w:rPr>
        <w:t>סעיף 13ג(א) לחוק הגנת הצרכן אשר בגדרו "עסקה מתמשכת" הוגדרה בזו הלשון:</w:t>
      </w:r>
    </w:p>
    <w:p w14:paraId="43813D7B" w14:textId="77777777" w:rsidR="00000000" w:rsidRDefault="00000000">
      <w:pPr>
        <w:bidi/>
        <w:spacing w:line="360" w:lineRule="auto"/>
        <w:rPr>
          <w:rtl/>
        </w:rPr>
      </w:pPr>
      <w:r>
        <w:rPr>
          <w:rFonts w:ascii="David" w:hAnsi="David" w:cs="David"/>
          <w:sz w:val="28"/>
          <w:szCs w:val="28"/>
          <w:rtl/>
        </w:rPr>
        <w:t> </w:t>
      </w:r>
    </w:p>
    <w:p w14:paraId="50206B61" w14:textId="77777777" w:rsidR="00000000" w:rsidRDefault="00000000">
      <w:pPr>
        <w:bidi/>
        <w:spacing w:line="360" w:lineRule="auto"/>
        <w:ind w:left="1643" w:right="1560"/>
        <w:jc w:val="both"/>
        <w:rPr>
          <w:rtl/>
        </w:rPr>
      </w:pPr>
      <w:r>
        <w:rPr>
          <w:rFonts w:ascii="David" w:hAnsi="David" w:cs="David"/>
          <w:sz w:val="28"/>
          <w:szCs w:val="28"/>
          <w:rtl/>
        </w:rPr>
        <w:t>"</w:t>
      </w:r>
      <w:r>
        <w:rPr>
          <w:rFonts w:ascii="David" w:hAnsi="David" w:cs="David"/>
          <w:b/>
          <w:bCs/>
          <w:sz w:val="28"/>
          <w:szCs w:val="28"/>
          <w:rtl/>
        </w:rPr>
        <w:t>עסקה מתמשכת" - עסקה לרכישה של טובין או שירותים באופן מתמשך, לרבות כל שינוי בעסקה או תוספת לה שאינם מהווים עסקה חדשה, והכל בין אם העסקה היא עסקה לתקופה קצובה ובין אם היא לתקופה בלתי קצובה, ולמעט עסקה להספקת גז בין צרכן גז לספק גז;"</w:t>
      </w:r>
    </w:p>
    <w:p w14:paraId="06C43DF6" w14:textId="77777777" w:rsidR="00000000" w:rsidRDefault="00000000">
      <w:pPr>
        <w:bidi/>
        <w:spacing w:line="360" w:lineRule="auto"/>
        <w:ind w:left="368" w:hanging="368"/>
        <w:jc w:val="both"/>
        <w:rPr>
          <w:rtl/>
        </w:rPr>
      </w:pPr>
      <w:r>
        <w:rPr>
          <w:rFonts w:ascii="David" w:hAnsi="David" w:cs="David"/>
          <w:sz w:val="28"/>
          <w:szCs w:val="28"/>
          <w:rtl/>
        </w:rPr>
        <w:t> </w:t>
      </w:r>
    </w:p>
    <w:p w14:paraId="3189B20D" w14:textId="77777777" w:rsidR="00000000" w:rsidRDefault="00000000">
      <w:pPr>
        <w:bidi/>
        <w:spacing w:line="360" w:lineRule="auto"/>
        <w:jc w:val="both"/>
        <w:rPr>
          <w:rtl/>
        </w:rPr>
      </w:pPr>
      <w:r>
        <w:rPr>
          <w:rFonts w:ascii="David" w:hAnsi="David" w:cs="David"/>
          <w:sz w:val="28"/>
          <w:szCs w:val="28"/>
          <w:rtl/>
        </w:rPr>
        <w:t>56.  המבקשים טוענים, כי המשיבה לא מציינת בחשבוניות אותן היא משגרת למשתמשים בכביש 6 את רכיב דמי הגביה בנפרד, אלא במאוחד עם האגרה, ובכך היא מפרה את הוראות הסעיף הנ"ל. לשיטתם, חוזה מנוי הווידאו הוא "עסקה מתמשכת" ודמי הגביה הם בגדר "תשלום קבוע", ומשכך היה על המשיבה לפרט בחשבונית את מרכיבי דמי הגביה. משלא עשתה כן, אזי לשיטת המבקשים המשיבה מנועה מגביית דמי גבייה ממנויי הווידאו וזאת ממועד כניסת תיקון זה לחוק לתוקף בשנת 2018. ומנגד, המשיבה בדעה כי דמי הגביה אינם תשלום קבוע וההסכם שנכרת בינה לבין מנויי הוידאו לא משקף עסקה מתמשכת.</w:t>
      </w:r>
    </w:p>
    <w:p w14:paraId="0A807298" w14:textId="77777777" w:rsidR="00000000" w:rsidRDefault="00000000">
      <w:pPr>
        <w:bidi/>
        <w:spacing w:line="360" w:lineRule="auto"/>
        <w:ind w:left="368" w:hanging="368"/>
        <w:jc w:val="both"/>
        <w:rPr>
          <w:rtl/>
        </w:rPr>
      </w:pPr>
      <w:r>
        <w:rPr>
          <w:rFonts w:ascii="David" w:hAnsi="David" w:cs="David"/>
          <w:sz w:val="28"/>
          <w:szCs w:val="28"/>
          <w:rtl/>
        </w:rPr>
        <w:t> </w:t>
      </w:r>
    </w:p>
    <w:p w14:paraId="7CB8EAD6" w14:textId="77777777" w:rsidR="00000000" w:rsidRDefault="00000000">
      <w:pPr>
        <w:bidi/>
        <w:spacing w:line="360" w:lineRule="auto"/>
        <w:jc w:val="both"/>
        <w:rPr>
          <w:rtl/>
        </w:rPr>
      </w:pPr>
      <w:r>
        <w:rPr>
          <w:rFonts w:ascii="David" w:hAnsi="David" w:cs="David"/>
          <w:sz w:val="28"/>
          <w:szCs w:val="28"/>
          <w:rtl/>
        </w:rPr>
        <w:t>57.  העובדות באשר לעילה זו מוסכמות ובפועל המחלוקת היחידה שנתגלעה בין הצדדים והטעונה הכרעה היא פרשנית לדבר חקיקה בו עסקינן. לפני שאביא את מסקנתי ונימוקיי אזכיר בתמצית, כי פרשנות חקיקה תעשה באופן מדורג. בשלב הראשון, יש לאתר את המשמעויות שלהן עוגן בלשון, כאשר "</w:t>
      </w:r>
      <w:r>
        <w:rPr>
          <w:rFonts w:ascii="David" w:hAnsi="David" w:cs="David"/>
          <w:b/>
          <w:bCs/>
          <w:sz w:val="28"/>
          <w:szCs w:val="28"/>
          <w:rtl/>
        </w:rPr>
        <w:t>הפרשנות המילולית אמנם טומנת בחובה גמישות מסוימת, אולם אין למתוח גבול הלשון בצורה מלאכותית</w:t>
      </w:r>
      <w:r>
        <w:rPr>
          <w:rFonts w:ascii="David" w:hAnsi="David" w:cs="David"/>
          <w:sz w:val="28"/>
          <w:szCs w:val="28"/>
          <w:rtl/>
        </w:rPr>
        <w:t>" (</w:t>
      </w:r>
      <w:r>
        <w:rPr>
          <w:rFonts w:ascii="David" w:hAnsi="David" w:cs="David"/>
          <w:b/>
          <w:bCs/>
          <w:sz w:val="28"/>
          <w:szCs w:val="28"/>
          <w:rtl/>
        </w:rPr>
        <w:t>רע"א 67114-01-25‏  ‏ פלוני נ' פייסל אסעד</w:t>
      </w:r>
      <w:r>
        <w:rPr>
          <w:rFonts w:ascii="David" w:hAnsi="David" w:cs="David"/>
          <w:sz w:val="28"/>
          <w:szCs w:val="28"/>
          <w:rtl/>
        </w:rPr>
        <w:t xml:space="preserve">, פסקאות 14 (22.12.25))(להלן : עניין </w:t>
      </w:r>
      <w:r>
        <w:rPr>
          <w:rFonts w:ascii="David" w:hAnsi="David" w:cs="David"/>
          <w:b/>
          <w:bCs/>
          <w:sz w:val="28"/>
          <w:szCs w:val="28"/>
          <w:rtl/>
        </w:rPr>
        <w:t>פלוני</w:t>
      </w:r>
      <w:r>
        <w:rPr>
          <w:rFonts w:ascii="David" w:hAnsi="David" w:cs="David"/>
          <w:sz w:val="28"/>
          <w:szCs w:val="28"/>
          <w:rtl/>
        </w:rPr>
        <w:t>).</w:t>
      </w:r>
      <w:r>
        <w:rPr>
          <w:rFonts w:ascii="David" w:hAnsi="David" w:cs="David"/>
          <w:color w:val="000000"/>
          <w:sz w:val="28"/>
          <w:szCs w:val="28"/>
          <w:rtl/>
        </w:rPr>
        <w:t xml:space="preserve"> </w:t>
      </w:r>
      <w:r>
        <w:rPr>
          <w:rFonts w:ascii="David" w:hAnsi="David" w:cs="David"/>
          <w:sz w:val="28"/>
          <w:szCs w:val="28"/>
          <w:rtl/>
        </w:rPr>
        <w:t xml:space="preserve">בשלב השני, ככל שלשון החוק סובלת יותר מפרשנות אחת, אזי יש לבחור בפרשנות שמגשימה את תכלית החוק בצורה הטובה ביותר (עע"ם 4846/20  </w:t>
      </w:r>
      <w:r>
        <w:rPr>
          <w:rFonts w:ascii="David" w:hAnsi="David" w:cs="David"/>
          <w:b/>
          <w:bCs/>
          <w:sz w:val="28"/>
          <w:szCs w:val="28"/>
          <w:rtl/>
        </w:rPr>
        <w:t>פז חברת נפט בע"מ נ' יושב ראש מועצת שמאי מקרקעין</w:t>
      </w:r>
      <w:r>
        <w:rPr>
          <w:rFonts w:ascii="David" w:hAnsi="David" w:cs="David"/>
          <w:sz w:val="28"/>
          <w:szCs w:val="28"/>
          <w:rtl/>
        </w:rPr>
        <w:t>, פסקה 13  והאסמכתאות שם(30.8.2022), כאשר:</w:t>
      </w:r>
    </w:p>
    <w:p w14:paraId="5D1607BB" w14:textId="77777777" w:rsidR="00000000" w:rsidRDefault="00000000">
      <w:pPr>
        <w:bidi/>
        <w:spacing w:line="360" w:lineRule="auto"/>
        <w:ind w:left="368" w:hanging="368"/>
        <w:jc w:val="both"/>
        <w:rPr>
          <w:rtl/>
        </w:rPr>
      </w:pPr>
      <w:r>
        <w:rPr>
          <w:rFonts w:ascii="David" w:hAnsi="David" w:cs="David"/>
          <w:sz w:val="28"/>
          <w:szCs w:val="28"/>
          <w:rtl/>
        </w:rPr>
        <w:t> </w:t>
      </w:r>
    </w:p>
    <w:p w14:paraId="313371AB" w14:textId="77777777" w:rsidR="00000000" w:rsidRDefault="00000000">
      <w:pPr>
        <w:bidi/>
        <w:spacing w:line="360" w:lineRule="auto"/>
        <w:ind w:left="1643" w:right="1560"/>
        <w:jc w:val="both"/>
        <w:rPr>
          <w:rtl/>
        </w:rPr>
      </w:pPr>
      <w:r>
        <w:rPr>
          <w:rFonts w:ascii="David" w:hAnsi="David" w:cs="David"/>
          <w:sz w:val="28"/>
          <w:szCs w:val="28"/>
          <w:rtl/>
        </w:rPr>
        <w:t>"</w:t>
      </w:r>
      <w:r>
        <w:rPr>
          <w:rFonts w:ascii="David" w:hAnsi="David" w:cs="David"/>
          <w:b/>
          <w:bCs/>
          <w:sz w:val="28"/>
          <w:szCs w:val="28"/>
          <w:rtl/>
        </w:rPr>
        <w:t>תכליתו של דבר חקיקה מורכבת משני רבדים: התכלית הסובייקטיבית והתכלית האובייקטיבית. התכלית הסובייקטיבית בוחנת את המטרה שהמחוקק ביקש לקדם באמצעות החוק, כפי שעמדה בפועל לנגד עיניו [...] זוהי "כוונת המחוקק" עת נחקק דבר החקיקה הספציפי, והיא נלמדת מתוך ההיסטוריה החקיקתית, כפי שהיא באה לידי ביטוי, בין היתר, בדברי ההסבר להצעת החוק, או בהתייחסות המחוקקים אליה תוך כדי הליך החקיקה במליאת הכנסת או בוועדותיה [....]  התכלית האובייקטיבית כוללת את המטרות, הערכים והעקרונות שאותם נועד להגשים כל דבר חקיקה בחברה דמוקרטית מודרנית והיא מופיעה ברמות הפשטה שונות</w:t>
      </w:r>
      <w:r>
        <w:rPr>
          <w:rFonts w:ascii="David" w:hAnsi="David" w:cs="David"/>
          <w:sz w:val="28"/>
          <w:szCs w:val="28"/>
          <w:rtl/>
        </w:rPr>
        <w:t xml:space="preserve"> "(עניין </w:t>
      </w:r>
      <w:r>
        <w:rPr>
          <w:rFonts w:ascii="David" w:hAnsi="David" w:cs="David"/>
          <w:b/>
          <w:bCs/>
          <w:sz w:val="28"/>
          <w:szCs w:val="28"/>
          <w:rtl/>
        </w:rPr>
        <w:t>פלוני</w:t>
      </w:r>
      <w:r>
        <w:rPr>
          <w:rFonts w:ascii="David" w:hAnsi="David" w:cs="David"/>
          <w:sz w:val="28"/>
          <w:szCs w:val="28"/>
          <w:rtl/>
        </w:rPr>
        <w:t>, פסקה 15).</w:t>
      </w:r>
    </w:p>
    <w:p w14:paraId="1D9C73B5" w14:textId="77777777" w:rsidR="00000000" w:rsidRDefault="00000000">
      <w:pPr>
        <w:bidi/>
        <w:spacing w:line="360" w:lineRule="auto"/>
        <w:jc w:val="both"/>
        <w:rPr>
          <w:rtl/>
        </w:rPr>
      </w:pPr>
      <w:r>
        <w:rPr>
          <w:rFonts w:ascii="David" w:hAnsi="David" w:cs="David"/>
          <w:sz w:val="28"/>
          <w:szCs w:val="28"/>
          <w:rtl/>
        </w:rPr>
        <w:t> </w:t>
      </w:r>
    </w:p>
    <w:p w14:paraId="160F9E47" w14:textId="77777777" w:rsidR="00000000" w:rsidRDefault="00000000">
      <w:pPr>
        <w:bidi/>
        <w:spacing w:line="360" w:lineRule="auto"/>
        <w:jc w:val="both"/>
        <w:rPr>
          <w:rtl/>
        </w:rPr>
      </w:pPr>
      <w:r>
        <w:rPr>
          <w:rFonts w:ascii="David" w:hAnsi="David" w:cs="David"/>
          <w:sz w:val="28"/>
          <w:szCs w:val="28"/>
          <w:rtl/>
        </w:rPr>
        <w:t xml:space="preserve">58.  </w:t>
      </w:r>
      <w:r>
        <w:rPr>
          <w:rFonts w:ascii="David" w:hAnsi="David" w:cs="David"/>
          <w:color w:val="000000"/>
          <w:sz w:val="28"/>
          <w:szCs w:val="28"/>
          <w:rtl/>
        </w:rPr>
        <w:t>סעיף 13ב(ב3)</w:t>
      </w:r>
      <w:r>
        <w:rPr>
          <w:rFonts w:ascii="David" w:hAnsi="David" w:cs="David"/>
          <w:sz w:val="28"/>
          <w:szCs w:val="28"/>
          <w:rtl/>
        </w:rPr>
        <w:t xml:space="preserve"> ל</w:t>
      </w:r>
      <w:r>
        <w:rPr>
          <w:rFonts w:ascii="David" w:hAnsi="David" w:cs="David"/>
          <w:color w:val="000000"/>
          <w:sz w:val="28"/>
          <w:szCs w:val="28"/>
          <w:rtl/>
        </w:rPr>
        <w:t>חוק הגנת הצרכן</w:t>
      </w:r>
      <w:r>
        <w:rPr>
          <w:rFonts w:ascii="David" w:hAnsi="David" w:cs="David"/>
          <w:sz w:val="28"/>
          <w:szCs w:val="28"/>
          <w:rtl/>
        </w:rPr>
        <w:t xml:space="preserve"> מחייב עוסק בעסקה מתמשכת שבה נגבה תשלום קבוע, לפרט את מרכיבי תשלום זה בחשבונית או בהודעת התשלום. "</w:t>
      </w:r>
      <w:r>
        <w:rPr>
          <w:rFonts w:ascii="David" w:hAnsi="David" w:cs="David"/>
          <w:b/>
          <w:bCs/>
          <w:sz w:val="28"/>
          <w:szCs w:val="28"/>
          <w:rtl/>
        </w:rPr>
        <w:t>תשלום קבוע</w:t>
      </w:r>
      <w:r>
        <w:rPr>
          <w:rFonts w:ascii="David" w:hAnsi="David" w:cs="David"/>
          <w:sz w:val="28"/>
          <w:szCs w:val="28"/>
          <w:rtl/>
        </w:rPr>
        <w:t>" הוגדר בסעיף עצמו: "</w:t>
      </w:r>
      <w:r>
        <w:rPr>
          <w:rFonts w:ascii="David" w:hAnsi="David" w:cs="David"/>
          <w:b/>
          <w:bCs/>
          <w:sz w:val="28"/>
          <w:szCs w:val="28"/>
          <w:rtl/>
        </w:rPr>
        <w:t>תשלום נפרד מהתשלום על פי היקף הצריכה או השימוש שעושה הצרכן בטובין או בשירותים שהעוסק מספק לו או תשלום נלווה לתשלום על פי היקף כאמור, יהיה כינוים אשר יהיה</w:t>
      </w:r>
      <w:r>
        <w:rPr>
          <w:rFonts w:ascii="David" w:hAnsi="David" w:cs="David"/>
          <w:sz w:val="28"/>
          <w:szCs w:val="28"/>
          <w:rtl/>
        </w:rPr>
        <w:t>". מהלשון עולה כי תשלום זה כשמו "קבוע" לא מושפע מהשימוש או הצריכה בפועל ובו מחויב הצרכן בין אם נעשה שימוש בשירות או בטובין בכל היקף ובין אם לאו. מכאן, אני סבור כי האפשרות הפרשנית הלשונית היחידה או למצער הסבירה ביותר היא זו בה דוגלת המשיבה</w:t>
      </w:r>
      <w:r>
        <w:rPr>
          <w:rFonts w:ascii="David" w:hAnsi="David" w:cs="David"/>
          <w:b/>
          <w:bCs/>
          <w:sz w:val="28"/>
          <w:szCs w:val="28"/>
          <w:rtl/>
        </w:rPr>
        <w:t xml:space="preserve"> </w:t>
      </w:r>
      <w:r>
        <w:rPr>
          <w:rFonts w:ascii="David" w:hAnsi="David" w:cs="David"/>
          <w:sz w:val="28"/>
          <w:szCs w:val="28"/>
          <w:rtl/>
        </w:rPr>
        <w:t xml:space="preserve">ואשר לפיה דמי הגביה אינם תשלום קבוע, אלא ההיפך מכך - עסקינן בתשלום המושפע מהיקף השימוש והנסיעה בכביש, שכן דמי הגביה, כמו דמי הנסיעה, נגבים בגין כל נסיעה ולא כסכום חודשי וקבוע (ת"צ (מרכז-לוד) 47858-02-22 </w:t>
      </w:r>
      <w:r>
        <w:rPr>
          <w:rFonts w:ascii="David" w:hAnsi="David" w:cs="David"/>
          <w:b/>
          <w:bCs/>
          <w:sz w:val="28"/>
          <w:szCs w:val="28"/>
          <w:rtl/>
        </w:rPr>
        <w:t>פינץ נ' דרך ארץ הייווייז (1997) בע"מ</w:t>
      </w:r>
      <w:r>
        <w:rPr>
          <w:rFonts w:ascii="David" w:hAnsi="David" w:cs="David"/>
          <w:sz w:val="28"/>
          <w:szCs w:val="28"/>
          <w:rtl/>
        </w:rPr>
        <w:t xml:space="preserve"> (24.8.25)).</w:t>
      </w:r>
    </w:p>
    <w:p w14:paraId="7037D41F" w14:textId="77777777" w:rsidR="00000000" w:rsidRDefault="00000000">
      <w:pPr>
        <w:bidi/>
        <w:spacing w:line="360" w:lineRule="auto"/>
        <w:jc w:val="both"/>
        <w:rPr>
          <w:rtl/>
        </w:rPr>
      </w:pPr>
      <w:r>
        <w:rPr>
          <w:rFonts w:ascii="David" w:hAnsi="David" w:cs="David"/>
          <w:sz w:val="28"/>
          <w:szCs w:val="28"/>
          <w:rtl/>
        </w:rPr>
        <w:t> </w:t>
      </w:r>
    </w:p>
    <w:p w14:paraId="28D18A4C" w14:textId="77777777" w:rsidR="00000000" w:rsidRDefault="00000000">
      <w:pPr>
        <w:bidi/>
        <w:spacing w:line="360" w:lineRule="auto"/>
        <w:ind w:firstLine="720"/>
        <w:jc w:val="both"/>
        <w:rPr>
          <w:rtl/>
        </w:rPr>
      </w:pPr>
      <w:r>
        <w:rPr>
          <w:rFonts w:ascii="David" w:hAnsi="David" w:cs="David"/>
          <w:sz w:val="28"/>
          <w:szCs w:val="28"/>
          <w:rtl/>
        </w:rPr>
        <w:t>זו גם הפרשנות הטבעית, הפשוטה והרגילה של הלשון:</w:t>
      </w:r>
    </w:p>
    <w:p w14:paraId="09B341C8" w14:textId="77777777" w:rsidR="00000000" w:rsidRDefault="00000000">
      <w:pPr>
        <w:bidi/>
        <w:spacing w:line="360" w:lineRule="auto"/>
        <w:jc w:val="both"/>
        <w:rPr>
          <w:rtl/>
        </w:rPr>
      </w:pPr>
      <w:r>
        <w:rPr>
          <w:rFonts w:ascii="David" w:hAnsi="David" w:cs="David"/>
          <w:sz w:val="28"/>
          <w:szCs w:val="28"/>
          <w:rtl/>
        </w:rPr>
        <w:t> </w:t>
      </w:r>
    </w:p>
    <w:p w14:paraId="3CEF43AA" w14:textId="77777777" w:rsidR="00000000" w:rsidRDefault="00000000">
      <w:pPr>
        <w:bidi/>
        <w:spacing w:line="360" w:lineRule="auto"/>
        <w:ind w:left="1701" w:right="1701"/>
        <w:jc w:val="both"/>
        <w:rPr>
          <w:rtl/>
        </w:rPr>
      </w:pPr>
      <w:r>
        <w:rPr>
          <w:rFonts w:ascii="David" w:hAnsi="David" w:cs="David"/>
          <w:sz w:val="28"/>
          <w:szCs w:val="28"/>
          <w:rtl/>
        </w:rPr>
        <w:t>"</w:t>
      </w:r>
      <w:r>
        <w:rPr>
          <w:rFonts w:ascii="David" w:hAnsi="David" w:cs="David"/>
          <w:b/>
          <w:bCs/>
          <w:sz w:val="28"/>
          <w:szCs w:val="28"/>
          <w:rtl/>
        </w:rPr>
        <w:t>חזקה היא, כי תכלית החוק תוגשם אם תינתן ללשון החוק המשמעות הטבעית, הפשוטה והמפורשת; שכן, רק כך יוכל המעיין בהוראת החוק ללמוד מלשונו על ההסדר הנורמטיבי העולה מתוכו. כבר נאמר, כי החוק נועד לציבור, ועליו להיות מובע בדרך המובנת לציבור</w:t>
      </w:r>
      <w:r>
        <w:rPr>
          <w:rFonts w:ascii="David" w:hAnsi="David" w:cs="David"/>
          <w:sz w:val="28"/>
          <w:szCs w:val="28"/>
          <w:rtl/>
        </w:rPr>
        <w:t xml:space="preserve">"(בע"מ 164/11 </w:t>
      </w:r>
      <w:r>
        <w:rPr>
          <w:rFonts w:ascii="David" w:hAnsi="David" w:cs="David"/>
          <w:b/>
          <w:bCs/>
          <w:sz w:val="28"/>
          <w:szCs w:val="28"/>
          <w:rtl/>
        </w:rPr>
        <w:t>פלוני נ' פלוני</w:t>
      </w:r>
      <w:r>
        <w:rPr>
          <w:rFonts w:ascii="David" w:hAnsi="David" w:cs="David"/>
          <w:sz w:val="28"/>
          <w:szCs w:val="28"/>
          <w:rtl/>
        </w:rPr>
        <w:t xml:space="preserve">, פס' 16 (29.4.12); ראו גם : (אהרן ברק, </w:t>
      </w:r>
      <w:r>
        <w:rPr>
          <w:rFonts w:ascii="David" w:hAnsi="David" w:cs="David"/>
          <w:b/>
          <w:bCs/>
          <w:sz w:val="28"/>
          <w:szCs w:val="28"/>
          <w:rtl/>
        </w:rPr>
        <w:t>פרשנות במשפט - תורת הפרשנות הכללית (1992</w:t>
      </w:r>
      <w:r>
        <w:rPr>
          <w:rFonts w:ascii="David" w:hAnsi="David" w:cs="David"/>
          <w:sz w:val="28"/>
          <w:szCs w:val="28"/>
          <w:rtl/>
        </w:rPr>
        <w:t>), עמ' 118).</w:t>
      </w:r>
    </w:p>
    <w:p w14:paraId="42039877" w14:textId="77777777" w:rsidR="00000000" w:rsidRDefault="00000000">
      <w:pPr>
        <w:bidi/>
        <w:spacing w:line="360" w:lineRule="auto"/>
        <w:jc w:val="both"/>
        <w:rPr>
          <w:rtl/>
        </w:rPr>
      </w:pPr>
      <w:r>
        <w:rPr>
          <w:rFonts w:ascii="David" w:hAnsi="David" w:cs="David"/>
          <w:sz w:val="28"/>
          <w:szCs w:val="28"/>
          <w:rtl/>
        </w:rPr>
        <w:t> </w:t>
      </w:r>
    </w:p>
    <w:p w14:paraId="1EFCE08E" w14:textId="77777777" w:rsidR="00000000" w:rsidRDefault="00000000">
      <w:pPr>
        <w:bidi/>
        <w:spacing w:line="360" w:lineRule="auto"/>
        <w:jc w:val="both"/>
        <w:rPr>
          <w:rtl/>
        </w:rPr>
      </w:pPr>
      <w:r>
        <w:rPr>
          <w:rFonts w:ascii="David" w:hAnsi="David" w:cs="David"/>
          <w:sz w:val="28"/>
          <w:szCs w:val="28"/>
          <w:rtl/>
        </w:rPr>
        <w:t>59.  הפרשנות בה דוגלים המבקשים לא מתיישבת עם הלשון וגם לא מגשימה את תכלית החקיקה אותה ביטא המחוקק בדברי ההסבר (ה"ח 692 ח' באדר תשע"ו, 6.3.2017), בזו הלשון :</w:t>
      </w:r>
    </w:p>
    <w:p w14:paraId="663F5A76" w14:textId="77777777" w:rsidR="00000000" w:rsidRDefault="00000000">
      <w:pPr>
        <w:bidi/>
        <w:spacing w:line="360" w:lineRule="auto"/>
        <w:ind w:left="1077" w:right="1134"/>
        <w:jc w:val="both"/>
        <w:rPr>
          <w:rtl/>
        </w:rPr>
      </w:pPr>
      <w:r>
        <w:rPr>
          <w:rFonts w:ascii="David" w:hAnsi="David" w:cs="David"/>
          <w:b/>
          <w:bCs/>
          <w:sz w:val="28"/>
          <w:szCs w:val="28"/>
          <w:rtl/>
        </w:rPr>
        <w:t> </w:t>
      </w:r>
    </w:p>
    <w:p w14:paraId="277E4785" w14:textId="77777777" w:rsidR="00000000" w:rsidRDefault="00000000">
      <w:pPr>
        <w:bidi/>
        <w:spacing w:line="360" w:lineRule="auto"/>
        <w:ind w:left="1643" w:right="1560"/>
        <w:jc w:val="both"/>
        <w:rPr>
          <w:rtl/>
        </w:rPr>
      </w:pPr>
      <w:r>
        <w:rPr>
          <w:rFonts w:ascii="David" w:hAnsi="David" w:cs="David"/>
          <w:b/>
          <w:bCs/>
          <w:sz w:val="28"/>
          <w:szCs w:val="28"/>
          <w:rtl/>
        </w:rPr>
        <w:t xml:space="preserve">"בעסקה מתמשכת חברות המספקות שירותי חשמל, מים, תקשורת, גז או טובין אחרים נוהגות לעתים לגבות תשלום </w:t>
      </w:r>
      <w:r>
        <w:rPr>
          <w:rFonts w:ascii="David" w:hAnsi="David" w:cs="David"/>
          <w:b/>
          <w:bCs/>
          <w:sz w:val="28"/>
          <w:szCs w:val="28"/>
          <w:u w:val="single"/>
          <w:rtl/>
        </w:rPr>
        <w:t>שאינו תלוי בהיקף השימוש שהצרכן עושה בטובין או בשירותים שהן מספקות לו</w:t>
      </w:r>
      <w:r>
        <w:rPr>
          <w:rFonts w:ascii="David" w:hAnsi="David" w:cs="David"/>
          <w:b/>
          <w:bCs/>
          <w:sz w:val="28"/>
          <w:szCs w:val="28"/>
          <w:rtl/>
        </w:rPr>
        <w:t xml:space="preserve"> (להלן - תשלום קבוע)...". </w:t>
      </w:r>
      <w:r>
        <w:rPr>
          <w:rFonts w:ascii="David" w:hAnsi="David" w:cs="David"/>
          <w:sz w:val="28"/>
          <w:szCs w:val="28"/>
          <w:rtl/>
        </w:rPr>
        <w:t>(הדגשה שלי - א' ב')</w:t>
      </w:r>
    </w:p>
    <w:p w14:paraId="328A8D50" w14:textId="77777777" w:rsidR="00000000" w:rsidRDefault="00000000">
      <w:pPr>
        <w:bidi/>
        <w:spacing w:after="160" w:line="360" w:lineRule="atLeast"/>
        <w:ind w:firstLine="720"/>
        <w:jc w:val="both"/>
        <w:rPr>
          <w:rtl/>
        </w:rPr>
      </w:pPr>
      <w:r>
        <w:rPr>
          <w:rFonts w:ascii="David" w:hAnsi="David" w:cs="David"/>
          <w:sz w:val="28"/>
          <w:szCs w:val="28"/>
          <w:rtl/>
        </w:rPr>
        <w:t>בפרשנות זו גם תומך הממונה על הרשות להגנת הצרכן ולסחר הוגן בהנחייתו מיום 18.6.2018 . בהנחיה זו הממונה הדגיש כי תיקון זה "</w:t>
      </w:r>
      <w:r>
        <w:rPr>
          <w:rFonts w:ascii="David" w:hAnsi="David" w:cs="David"/>
          <w:b/>
          <w:bCs/>
          <w:sz w:val="28"/>
          <w:szCs w:val="28"/>
          <w:rtl/>
        </w:rPr>
        <w:t>יחול למעשה רק על עסקאות שלהן שני רכיבי תשלום בהתיחס לשאלה מהו תשלום קבוע הוחלט כי התיקון יחול על עסקאות שבהן שני מרכיבי תשלום. מרכיב אחד הוא תשלום בגין היקף שימוש, כאשר הסכום נקבע על פי יחידות מידה מקובלות באותו שירות ובהכפלת הכמות שנצרכה או נעשה בה שימוש. מרכיב שני הוא תשלום שאינו תלוי בהיקף השימוש כאמור ועל כן מכונה תשלום קבוע</w:t>
      </w:r>
      <w:r>
        <w:rPr>
          <w:rFonts w:ascii="David" w:hAnsi="David" w:cs="David"/>
          <w:sz w:val="28"/>
          <w:szCs w:val="28"/>
          <w:rtl/>
        </w:rPr>
        <w:t>" (פסקה 7 להנחיה). עוד צוין באותה ההנחיה כי התכלית העומדת מאחורי התיקון היא בפועל הגברת השקיפות ומתן מידע לצרכן בכל הנוגע לשירותים שבגינם נגבה ממנו תשלום קבוע שאינו תלוי בהיקף השימוש שלו בשירות "</w:t>
      </w:r>
      <w:r>
        <w:rPr>
          <w:rFonts w:ascii="David" w:hAnsi="David" w:cs="David"/>
          <w:b/>
          <w:bCs/>
          <w:sz w:val="28"/>
          <w:szCs w:val="28"/>
          <w:rtl/>
        </w:rPr>
        <w:t>מתוך מטרה שתשלומים אלה לא יהיו שרירותיים וישקפו עלויות אמתיות, כגון עלויות תחזוקה ובטיחות</w:t>
      </w:r>
      <w:r>
        <w:rPr>
          <w:rFonts w:ascii="David" w:hAnsi="David" w:cs="David"/>
          <w:sz w:val="28"/>
          <w:szCs w:val="28"/>
          <w:rtl/>
        </w:rPr>
        <w:t>"(פסקה 1 להנחיה).</w:t>
      </w:r>
    </w:p>
    <w:p w14:paraId="085C014B" w14:textId="77777777" w:rsidR="00000000" w:rsidRDefault="00000000">
      <w:pPr>
        <w:bidi/>
        <w:spacing w:after="160" w:line="360" w:lineRule="atLeast"/>
        <w:jc w:val="both"/>
        <w:rPr>
          <w:rtl/>
        </w:rPr>
      </w:pPr>
      <w:r>
        <w:rPr>
          <w:rFonts w:ascii="David" w:hAnsi="David" w:cs="David"/>
          <w:sz w:val="28"/>
          <w:szCs w:val="28"/>
          <w:rtl/>
        </w:rPr>
        <w:t xml:space="preserve">  למרות שהמילה האחרונה בדבר פרשנות החוק נתונה לבית המשפט נכון ליחס משקל לעמדת הגורם המקצועי - עמדה שלרוב מבוססת על היכרות קרובה לנושא, על מומחיות וניסיון רב שנים (עע"מ 8814/17 </w:t>
      </w:r>
      <w:r>
        <w:rPr>
          <w:rFonts w:ascii="David" w:hAnsi="David" w:cs="David"/>
          <w:b/>
          <w:bCs/>
          <w:sz w:val="28"/>
          <w:szCs w:val="28"/>
          <w:rtl/>
        </w:rPr>
        <w:t>דן נ' עיריית תל אביב -יפו</w:t>
      </w:r>
      <w:r>
        <w:rPr>
          <w:rFonts w:ascii="David" w:hAnsi="David" w:cs="David"/>
          <w:sz w:val="28"/>
          <w:szCs w:val="28"/>
          <w:rtl/>
        </w:rPr>
        <w:t>, פסקה 32 (26.5.2019). לא זו אף זו, מדברי הממונה עולה כי התכלית שביסוד התיקון היא מניעת שרירות בקביעת התשלום הקבוע שצריך לשקף עלויות אמת ומכאן נדרש גילוי בכל חשבון. סכום דמי הגביה נקבע ע"י מחוקק המשנה ואין הוא קשור כלל להוצאות בפועל, כפי שגם הרשות הממונה אשרה בעמדתה.</w:t>
      </w:r>
    </w:p>
    <w:p w14:paraId="4CAA5BCF" w14:textId="77777777" w:rsidR="00000000" w:rsidRDefault="00000000">
      <w:pPr>
        <w:bidi/>
        <w:spacing w:line="360" w:lineRule="atLeast"/>
        <w:jc w:val="both"/>
        <w:rPr>
          <w:rtl/>
        </w:rPr>
      </w:pPr>
      <w:r>
        <w:rPr>
          <w:rFonts w:ascii="David" w:hAnsi="David" w:cs="David"/>
          <w:sz w:val="28"/>
          <w:szCs w:val="28"/>
          <w:rtl/>
        </w:rPr>
        <w:t>60.  ועוד, בניגוד לעמדת המבקשים איני סבור כי המדובר בעסקה מתמשכת. בהסכם ההתקשרות בין מנוי הווידאו או הפסקל המשתמש בפועל אינו רוכש שירות מתמשך וגם לא לתקופה קצובה, שכן מטרת הסכמים אלה היא בחירה במסלול המנוי והסדרת אמצעי התשלום בלבד. משתמש יכול לבחור באחד משני המסלולים ועדיין, למרות שהוא מוחזק כמנוי, לא לעשות שימוש כלשהוא בכביש, ובפועל לא יחויב לא בגין האגרה ולא דמי הגביה. ועוד, נושא העסקה המתמשכת הוסדר בתיקון מס' 23 משס"ח-2008 לחוק הגנת הצרכן. בדברי ההסבר לתיקון זה (כ' באדר א' התשס"ח, מס' 210, 26.2.2008) הוסבר כי צרכנים המתקשרים בעסקאות להספקת טובין או למתן שירותים באופן מתמשך נתקלים לעתים בקשיים בבואם לבטל עסקאות אלה, ועל כן מחויבים בתשלומים מכוחן. עסקה מתמשכת, היא כזו המגבילה את חופש ההתקשרות של הצרכן ויכולתו להשתחרר ממנה, ומכאן הצורך ביצירת מנגנון סיום מהיר ופשוט שנועד להקל על הצרכנים לבטל עסקאות מתמשכות ולחזק את מעמדם מול העוסקים. ואילו בענייננו, עם חתימת הסכם המנוי לא נקשרה כל עסקה שבגדרה המנוי התחייב בתשלום כלשהוא - הסכם שניתן לבטל כהרף עין ללא קשיים כלשהם, ואף להותירו על כנו ללא כל מימוש או התחייבות כלשהיא.</w:t>
      </w:r>
      <w:r>
        <w:rPr>
          <w:rFonts w:ascii="David" w:hAnsi="David" w:cs="David"/>
          <w:color w:val="000000"/>
          <w:sz w:val="28"/>
          <w:szCs w:val="28"/>
          <w:rtl/>
        </w:rPr>
        <w:t xml:space="preserve"> </w:t>
      </w:r>
    </w:p>
    <w:p w14:paraId="3E90EB91" w14:textId="77777777" w:rsidR="00000000" w:rsidRDefault="00000000">
      <w:pPr>
        <w:bidi/>
        <w:spacing w:line="360" w:lineRule="atLeast"/>
        <w:jc w:val="both"/>
        <w:rPr>
          <w:rtl/>
        </w:rPr>
      </w:pPr>
      <w:r>
        <w:rPr>
          <w:rFonts w:ascii="David" w:hAnsi="David" w:cs="David"/>
          <w:color w:val="000000"/>
          <w:sz w:val="28"/>
          <w:szCs w:val="28"/>
          <w:rtl/>
        </w:rPr>
        <w:t> </w:t>
      </w:r>
    </w:p>
    <w:p w14:paraId="58A9EB92" w14:textId="77777777" w:rsidR="00000000" w:rsidRDefault="00000000">
      <w:pPr>
        <w:bidi/>
        <w:spacing w:line="360" w:lineRule="atLeast"/>
        <w:jc w:val="both"/>
        <w:rPr>
          <w:rtl/>
        </w:rPr>
      </w:pPr>
      <w:r>
        <w:rPr>
          <w:rFonts w:ascii="David" w:hAnsi="David" w:cs="David"/>
          <w:color w:val="000000"/>
          <w:sz w:val="28"/>
          <w:szCs w:val="28"/>
          <w:rtl/>
        </w:rPr>
        <w:t>61.  יודגש, כי מתן משקל במלאכת הפרשנות לתכליתה הצרכנית של הוראה זו, לא יצדיק אימוצה של פרשנות שלא מתיישבת לא עם הלשון וגם לא עם התכלית הקונקרטית שביסוד הסדר זה. כלומר, לא בכל מצב בו הדין נועד להגן על אינטרסים לגיטימיים של הצרכן ולגשר על פערי הכוחות והמידע המובנים בינו ובין העוסק, אזי יש לאמץ באופן עיוור את עמדת הצרכן במנותק מהלשון של החוק והתכלית שביסודו.</w:t>
      </w:r>
    </w:p>
    <w:p w14:paraId="09BF2E56" w14:textId="77777777" w:rsidR="00000000" w:rsidRDefault="00000000">
      <w:pPr>
        <w:bidi/>
        <w:spacing w:line="360" w:lineRule="auto"/>
        <w:jc w:val="both"/>
        <w:rPr>
          <w:rtl/>
        </w:rPr>
      </w:pPr>
      <w:r>
        <w:rPr>
          <w:rFonts w:ascii="David" w:hAnsi="David" w:cs="David"/>
          <w:sz w:val="28"/>
          <w:szCs w:val="28"/>
          <w:rtl/>
        </w:rPr>
        <w:t> </w:t>
      </w:r>
    </w:p>
    <w:p w14:paraId="06615B1C" w14:textId="77777777" w:rsidR="00000000" w:rsidRDefault="00000000">
      <w:pPr>
        <w:bidi/>
        <w:spacing w:line="360" w:lineRule="auto"/>
        <w:jc w:val="both"/>
        <w:rPr>
          <w:rtl/>
        </w:rPr>
      </w:pPr>
      <w:r>
        <w:rPr>
          <w:rFonts w:ascii="David" w:hAnsi="David" w:cs="David"/>
          <w:sz w:val="28"/>
          <w:szCs w:val="28"/>
          <w:rtl/>
        </w:rPr>
        <w:t xml:space="preserve">62.  מעבר לדרוש אוסיף, כי עמדת המשיבה גם מתיישבת עם תקנה 4(א) </w:t>
      </w:r>
      <w:r>
        <w:rPr>
          <w:rFonts w:ascii="David" w:hAnsi="David" w:cs="David"/>
          <w:sz w:val="28"/>
          <w:szCs w:val="28"/>
          <w:u w:val="single"/>
          <w:rtl/>
        </w:rPr>
        <w:t>לתקנות כביש אגרה (כביש ארצי לישראל) (אכיפת תשלומים), תשנ"ט-1999</w:t>
      </w:r>
      <w:r>
        <w:rPr>
          <w:rFonts w:ascii="David" w:hAnsi="David" w:cs="David"/>
          <w:sz w:val="28"/>
          <w:szCs w:val="28"/>
          <w:rtl/>
        </w:rPr>
        <w:t>, אשר לפיה על המשיבה לפרט בחשבון, בין היתר, את "</w:t>
      </w:r>
      <w:r>
        <w:rPr>
          <w:rFonts w:ascii="David" w:hAnsi="David" w:cs="David"/>
          <w:b/>
          <w:bCs/>
          <w:sz w:val="28"/>
          <w:szCs w:val="28"/>
          <w:rtl/>
        </w:rPr>
        <w:t>סכום החיוב הכולל</w:t>
      </w:r>
      <w:r>
        <w:rPr>
          <w:rFonts w:ascii="David" w:hAnsi="David" w:cs="David"/>
          <w:sz w:val="28"/>
          <w:szCs w:val="28"/>
          <w:rtl/>
        </w:rPr>
        <w:t>". בהינתן הפרטים הרבים שצוינו בתקנה שכן על המשיבה להזכיר בחשבון, נראה כי המדובר הוא בהסדר שלילי אשר לפיו על המשיבה להזכיר אך ורק את סכום החיוב הכולל ולא את רכיביו השונים. מכאן אפשרי, כטענת המשיבה, כי היא חוסה תחת ההגנה שבסעיף 6</w:t>
      </w:r>
      <w:r>
        <w:rPr>
          <w:rFonts w:ascii="David" w:hAnsi="David" w:cs="David"/>
          <w:sz w:val="28"/>
          <w:szCs w:val="28"/>
        </w:rPr>
        <w:t> </w:t>
      </w:r>
      <w:r>
        <w:rPr>
          <w:rFonts w:ascii="David" w:hAnsi="David" w:cs="David"/>
          <w:sz w:val="28"/>
          <w:szCs w:val="28"/>
          <w:u w:val="single"/>
          <w:rtl/>
        </w:rPr>
        <w:t>לפקודת</w:t>
      </w:r>
      <w:r>
        <w:rPr>
          <w:rFonts w:ascii="David" w:hAnsi="David" w:cs="David"/>
          <w:sz w:val="28"/>
          <w:szCs w:val="28"/>
          <w:u w:val="single"/>
        </w:rPr>
        <w:t> </w:t>
      </w:r>
      <w:r>
        <w:rPr>
          <w:rFonts w:ascii="David" w:hAnsi="David" w:cs="David"/>
          <w:sz w:val="28"/>
          <w:szCs w:val="28"/>
          <w:u w:val="single"/>
          <w:rtl/>
        </w:rPr>
        <w:t>הנזיקין [נוסח משולב</w:t>
      </w:r>
      <w:r>
        <w:rPr>
          <w:rFonts w:ascii="David" w:hAnsi="David" w:cs="David"/>
          <w:color w:val="000000"/>
          <w:sz w:val="28"/>
          <w:szCs w:val="28"/>
          <w:u w:val="single"/>
          <w:rtl/>
        </w:rPr>
        <w:t>]</w:t>
      </w:r>
      <w:r>
        <w:rPr>
          <w:rFonts w:ascii="David" w:hAnsi="David" w:cs="David"/>
          <w:color w:val="000000"/>
          <w:sz w:val="28"/>
          <w:szCs w:val="28"/>
          <w:rtl/>
        </w:rPr>
        <w:t xml:space="preserve"> שמקנה הגנה מפני עוולות גם מחוץ לפקודת הנזיקין - בעניין הגנה זו ארחיב בהמשך הדברים, כאשר דבריי שלהלן ישימים ונכונים גם בזיקה לסוגיה זו.</w:t>
      </w:r>
    </w:p>
    <w:p w14:paraId="5FF0E7AF" w14:textId="77777777" w:rsidR="00000000" w:rsidRDefault="00000000">
      <w:pPr>
        <w:bidi/>
        <w:spacing w:line="360" w:lineRule="auto"/>
        <w:jc w:val="both"/>
        <w:rPr>
          <w:rtl/>
        </w:rPr>
      </w:pPr>
      <w:r>
        <w:rPr>
          <w:rFonts w:ascii="David" w:hAnsi="David" w:cs="David"/>
          <w:b/>
          <w:bCs/>
          <w:color w:val="000000"/>
          <w:sz w:val="28"/>
          <w:szCs w:val="28"/>
          <w:rtl/>
        </w:rPr>
        <w:t> </w:t>
      </w:r>
    </w:p>
    <w:p w14:paraId="37F50C5A" w14:textId="77777777" w:rsidR="00000000" w:rsidRDefault="00000000">
      <w:pPr>
        <w:bidi/>
        <w:spacing w:line="360" w:lineRule="auto"/>
        <w:jc w:val="both"/>
        <w:rPr>
          <w:rtl/>
        </w:rPr>
      </w:pPr>
      <w:r>
        <w:rPr>
          <w:rFonts w:ascii="David" w:hAnsi="David" w:cs="David"/>
          <w:sz w:val="28"/>
          <w:szCs w:val="28"/>
          <w:u w:val="single"/>
          <w:rtl/>
        </w:rPr>
        <w:t>הפרת המשיבה את התחייבותה המופיעה בחוזה לשווק ולקדם את מכשיר הפסקל</w:t>
      </w:r>
    </w:p>
    <w:p w14:paraId="4EE7A220" w14:textId="77777777" w:rsidR="00000000" w:rsidRDefault="00000000">
      <w:pPr>
        <w:bidi/>
        <w:spacing w:line="360" w:lineRule="auto"/>
        <w:ind w:left="735"/>
        <w:jc w:val="both"/>
        <w:rPr>
          <w:rtl/>
        </w:rPr>
      </w:pPr>
      <w:r>
        <w:rPr>
          <w:rFonts w:ascii="David" w:hAnsi="David" w:cs="David"/>
          <w:b/>
          <w:bCs/>
          <w:sz w:val="28"/>
          <w:szCs w:val="28"/>
        </w:rPr>
        <w:t> </w:t>
      </w:r>
    </w:p>
    <w:p w14:paraId="27437FC4" w14:textId="77777777" w:rsidR="00000000" w:rsidRDefault="00000000">
      <w:pPr>
        <w:bidi/>
        <w:spacing w:line="360" w:lineRule="auto"/>
        <w:ind w:left="368" w:hanging="368"/>
        <w:jc w:val="both"/>
        <w:rPr>
          <w:rtl/>
        </w:rPr>
      </w:pPr>
      <w:r>
        <w:rPr>
          <w:rFonts w:ascii="David" w:hAnsi="David" w:cs="David"/>
          <w:sz w:val="28"/>
          <w:szCs w:val="28"/>
          <w:rtl/>
        </w:rPr>
        <w:t>63.  כמוסכם בסעיף 11.9 להסכם הזיכיון :</w:t>
      </w:r>
    </w:p>
    <w:p w14:paraId="63894962" w14:textId="77777777" w:rsidR="00000000" w:rsidRDefault="00000000">
      <w:pPr>
        <w:bidi/>
        <w:spacing w:line="360" w:lineRule="auto"/>
        <w:ind w:left="368" w:hanging="368"/>
        <w:jc w:val="both"/>
        <w:rPr>
          <w:rtl/>
        </w:rPr>
      </w:pPr>
      <w:r>
        <w:rPr>
          <w:rFonts w:ascii="David" w:hAnsi="David" w:cs="David"/>
          <w:sz w:val="28"/>
          <w:szCs w:val="28"/>
          <w:rtl/>
        </w:rPr>
        <w:t> </w:t>
      </w:r>
    </w:p>
    <w:p w14:paraId="24D123DF" w14:textId="77777777" w:rsidR="00000000" w:rsidRDefault="00000000">
      <w:pPr>
        <w:bidi/>
        <w:spacing w:line="360" w:lineRule="auto"/>
        <w:ind w:left="1643" w:right="1560"/>
        <w:jc w:val="both"/>
        <w:rPr>
          <w:rtl/>
        </w:rPr>
      </w:pPr>
      <w:r>
        <w:rPr>
          <w:rFonts w:ascii="David" w:hAnsi="David" w:cs="David"/>
          <w:b/>
          <w:bCs/>
          <w:sz w:val="28"/>
          <w:szCs w:val="28"/>
          <w:rtl/>
        </w:rPr>
        <w:t xml:space="preserve">"מערכת האגרה תהא אלקטרונית באופן מלא בהתאם להוראות חוזה זכיון זה לרבות כרך 9. אחריותו של בעל הזכיון בנוגע למערכת האגרה האלקטרונית תשתרע על תשתית מערכת האגרה, על כל רכיביה והיבטיה, לרבות ארגון מרכזי הפצה להפצת תגים אלקטרונים לרכב וכל האביזרים והמתקנים האחרים הדרושים לצורך גביית האגרה. בעל </w:t>
      </w:r>
      <w:r>
        <w:rPr>
          <w:rFonts w:ascii="David" w:hAnsi="David" w:cs="David"/>
          <w:b/>
          <w:bCs/>
          <w:sz w:val="28"/>
          <w:szCs w:val="28"/>
          <w:u w:val="single"/>
          <w:rtl/>
        </w:rPr>
        <w:t>הזכיון מתחייב לפעול בחריצות ובמקצועיות, על חשבונו בלבד, לשיווק, פרסום</w:t>
      </w:r>
      <w:r>
        <w:rPr>
          <w:rFonts w:ascii="David" w:hAnsi="David" w:cs="David"/>
          <w:b/>
          <w:bCs/>
          <w:sz w:val="28"/>
          <w:szCs w:val="28"/>
          <w:rtl/>
        </w:rPr>
        <w:t>, הפצה ותחזוקה של התגים האלקטרונים וכל האביזרים האחרים הדרושים להפעלת מערכת האגרה</w:t>
      </w:r>
      <w:r>
        <w:rPr>
          <w:rFonts w:ascii="David" w:hAnsi="David" w:cs="David"/>
          <w:sz w:val="28"/>
          <w:szCs w:val="28"/>
          <w:rtl/>
        </w:rPr>
        <w:t>".(ההדגש אינה במקור)</w:t>
      </w:r>
    </w:p>
    <w:p w14:paraId="0659F1BD" w14:textId="77777777" w:rsidR="00000000" w:rsidRDefault="00000000">
      <w:pPr>
        <w:bidi/>
        <w:spacing w:line="360" w:lineRule="auto"/>
        <w:ind w:left="735"/>
        <w:jc w:val="both"/>
        <w:rPr>
          <w:rtl/>
        </w:rPr>
      </w:pPr>
      <w:r>
        <w:rPr>
          <w:rFonts w:ascii="David" w:hAnsi="David" w:cs="David"/>
          <w:b/>
          <w:bCs/>
          <w:sz w:val="28"/>
          <w:szCs w:val="28"/>
        </w:rPr>
        <w:t> </w:t>
      </w:r>
    </w:p>
    <w:p w14:paraId="439B9D54" w14:textId="77777777" w:rsidR="00000000" w:rsidRDefault="00000000">
      <w:pPr>
        <w:bidi/>
        <w:spacing w:line="360" w:lineRule="auto"/>
        <w:jc w:val="both"/>
        <w:rPr>
          <w:rtl/>
        </w:rPr>
      </w:pPr>
      <w:r>
        <w:rPr>
          <w:rFonts w:ascii="David" w:hAnsi="David" w:cs="David"/>
          <w:sz w:val="28"/>
          <w:szCs w:val="28"/>
          <w:rtl/>
        </w:rPr>
        <w:t>64.  המבקשים טוענים כי המשיבה התחייבה במסגרת סעיף 11.9 להסכם הזיכיון לשווק ולפרסם את הפסקל, דבר שלא נעשה. לגישתם על המשיבה לבצע פעולות פרסום אקטיביות לעידוד הבחירה במנוי זה נוכח החיסכון הכרוך בכך לרבות בשילוט מתאים בכביש, בחשבוניות החודשיות ובראש העמוד הראשון של אתר האינטרנט אותו מפעילה המשיבה. הפרה זו בולטת במיוחד עבור הציבור המוגבל בידיעת השפה העברית, שכן כל הפרטים המפורסמים באתר המשיבה כתובים רק בעברית.</w:t>
      </w:r>
    </w:p>
    <w:p w14:paraId="43EF65CC" w14:textId="77777777" w:rsidR="00000000" w:rsidRDefault="00000000">
      <w:pPr>
        <w:bidi/>
        <w:spacing w:line="360" w:lineRule="auto"/>
        <w:ind w:left="368" w:hanging="368"/>
        <w:jc w:val="both"/>
        <w:rPr>
          <w:rtl/>
        </w:rPr>
      </w:pPr>
      <w:r>
        <w:rPr>
          <w:rFonts w:ascii="David" w:hAnsi="David" w:cs="David"/>
          <w:sz w:val="28"/>
          <w:szCs w:val="28"/>
          <w:rtl/>
        </w:rPr>
        <w:t> </w:t>
      </w:r>
    </w:p>
    <w:p w14:paraId="52212B7C" w14:textId="77777777" w:rsidR="00000000" w:rsidRDefault="00000000">
      <w:pPr>
        <w:bidi/>
        <w:spacing w:line="360" w:lineRule="auto"/>
        <w:jc w:val="both"/>
        <w:rPr>
          <w:rtl/>
        </w:rPr>
      </w:pPr>
      <w:r>
        <w:rPr>
          <w:rFonts w:ascii="David" w:hAnsi="David" w:cs="David"/>
          <w:sz w:val="28"/>
          <w:szCs w:val="28"/>
          <w:rtl/>
        </w:rPr>
        <w:t>65.  מנגד המשיבה בדעה כי התחייבות זו אינה לטובת צד שלישי, הגם שהכוונה היא לפרסום הדרוש להפעלת הפסקל באופן יעיל בלבד ולא על אודות החיסכון הכרוך במנוי הפסקל. עוד נטען לחילופין, כי היא מקיימת אחר חובה זו שעה שכל הפרטים הדרושים מפורסמים באתר אותו מפעילה במספר הקשרים שונים, ודרכי הפרסום המוצעות אינן יעילות ואף חלקן (כמו השילוט) עלול לפגום בתשומת הלב של הנהגים ולהעמידם בסכנה ממשית.</w:t>
      </w:r>
    </w:p>
    <w:p w14:paraId="5D8E0EDC" w14:textId="77777777" w:rsidR="00000000" w:rsidRDefault="00000000">
      <w:pPr>
        <w:bidi/>
        <w:spacing w:line="360" w:lineRule="auto"/>
        <w:ind w:left="368"/>
        <w:jc w:val="both"/>
        <w:rPr>
          <w:rtl/>
        </w:rPr>
      </w:pPr>
      <w:r>
        <w:rPr>
          <w:rFonts w:ascii="David" w:hAnsi="David" w:cs="David"/>
          <w:sz w:val="28"/>
          <w:szCs w:val="28"/>
          <w:rtl/>
        </w:rPr>
        <w:t> </w:t>
      </w:r>
    </w:p>
    <w:p w14:paraId="2DDCED75" w14:textId="77777777" w:rsidR="00000000" w:rsidRDefault="00000000">
      <w:pPr>
        <w:bidi/>
        <w:spacing w:line="360" w:lineRule="auto"/>
        <w:jc w:val="both"/>
        <w:rPr>
          <w:rtl/>
        </w:rPr>
      </w:pPr>
      <w:r>
        <w:rPr>
          <w:rFonts w:ascii="David" w:hAnsi="David" w:cs="David"/>
          <w:sz w:val="28"/>
          <w:szCs w:val="28"/>
          <w:rtl/>
        </w:rPr>
        <w:t>66.  המבקשים בעצם טוענים כי המדובר בפועל בהתחייבות שנטלה על עצמה המשיבה לטובת כלל הציבור, כאשר העדר הקיום הסב לחברי הקבוצה נזקים משלא נחשף בפניהם מלוא המידע על אודות יתרונותיו של מנוי הפסקל וזאת בזיקה לדמי הגביה. אני סבור כי סיכוייה של טענה זו להתקבל הם נמוכים עד מאוד, ואין הם מצדיקים אישור ניהולה של תובענה ייצוגית, ממספר טעמים חלופיים.</w:t>
      </w:r>
    </w:p>
    <w:p w14:paraId="0F8E6BB0" w14:textId="77777777" w:rsidR="00000000" w:rsidRDefault="00000000">
      <w:pPr>
        <w:bidi/>
        <w:spacing w:line="360" w:lineRule="auto"/>
        <w:ind w:left="368"/>
        <w:jc w:val="both"/>
        <w:rPr>
          <w:rtl/>
        </w:rPr>
      </w:pPr>
      <w:r>
        <w:rPr>
          <w:rFonts w:ascii="David" w:hAnsi="David" w:cs="David"/>
          <w:sz w:val="28"/>
          <w:szCs w:val="28"/>
          <w:rtl/>
        </w:rPr>
        <w:t> </w:t>
      </w:r>
    </w:p>
    <w:p w14:paraId="65C5EBAB" w14:textId="77777777" w:rsidR="00000000" w:rsidRDefault="00000000">
      <w:pPr>
        <w:bidi/>
        <w:spacing w:line="360" w:lineRule="auto"/>
        <w:jc w:val="both"/>
        <w:rPr>
          <w:rtl/>
        </w:rPr>
      </w:pPr>
      <w:r>
        <w:rPr>
          <w:rFonts w:ascii="David" w:hAnsi="David" w:cs="David"/>
          <w:sz w:val="28"/>
          <w:szCs w:val="28"/>
          <w:rtl/>
        </w:rPr>
        <w:t>67.  טענת המבקשים כי מדובר בחוזה לטובת צד שלישי לא מתיישבת עם הכתוב בסעיף 26.9 לאותו הסכם לפיו "</w:t>
      </w:r>
      <w:r>
        <w:rPr>
          <w:rFonts w:ascii="David" w:hAnsi="David" w:cs="David"/>
          <w:b/>
          <w:bCs/>
          <w:sz w:val="28"/>
          <w:szCs w:val="28"/>
          <w:rtl/>
        </w:rPr>
        <w:t>חוזה זיכיון זה נעשה אך ורק לטובת המדינה, הרשות הממונה, בעל הזיכיון והממנים ולאף צד שלישי אחר לא תהיינה זכויות על פיו והוא לא יחשה כמוטב על פיו</w:t>
      </w:r>
      <w:r>
        <w:rPr>
          <w:rFonts w:ascii="David" w:hAnsi="David" w:cs="David"/>
          <w:sz w:val="28"/>
          <w:szCs w:val="28"/>
          <w:rtl/>
        </w:rPr>
        <w:t>". כלומר, בהתאם לכוונת הצדדים לחוזה הזיכיון אותה גילו מפורשות לא תוקנה מכוחו של חוזה זה כל זכות לטובת צד שלישי. זכות לטובת צד שלישי לא תקום אלא בקיומה של הסכמה של הצדדים לחוזה, כאשר כוונת ההקניה היא תנאי להיווצרות זכות המוטב לעתור לסעדים בעקבות ההפרה. הווה אומר, על הכוונה המשתמעת מן החוזה להקנות למוטב את הזכות גם לדרוש את קיום החיוב (</w:t>
      </w:r>
      <w:r>
        <w:rPr>
          <w:rFonts w:ascii="David" w:hAnsi="David" w:cs="David"/>
          <w:b/>
          <w:bCs/>
          <w:sz w:val="28"/>
          <w:szCs w:val="28"/>
          <w:rtl/>
        </w:rPr>
        <w:t>גבריאלה שלו ואפי צמח, דיני חוזים</w:t>
      </w:r>
      <w:r>
        <w:rPr>
          <w:rFonts w:ascii="David" w:hAnsi="David" w:cs="David"/>
          <w:sz w:val="28"/>
          <w:szCs w:val="28"/>
          <w:rtl/>
        </w:rPr>
        <w:t xml:space="preserve"> עמ' 721 (מהדורה רביעית, 2019), ואין להסתפק בטענה כי מאן דהוא הזר לחוזה היה נהנה בצורה זו או אחרת מקיום ההתחייבות שהופרה:</w:t>
      </w:r>
    </w:p>
    <w:p w14:paraId="74EEE9D1" w14:textId="77777777" w:rsidR="00000000" w:rsidRDefault="00000000">
      <w:pPr>
        <w:bidi/>
        <w:spacing w:line="360" w:lineRule="auto"/>
        <w:ind w:left="368"/>
        <w:jc w:val="both"/>
        <w:rPr>
          <w:rtl/>
        </w:rPr>
      </w:pPr>
      <w:r>
        <w:rPr>
          <w:rFonts w:ascii="David" w:hAnsi="David" w:cs="David"/>
          <w:sz w:val="28"/>
          <w:szCs w:val="28"/>
          <w:rtl/>
        </w:rPr>
        <w:t> </w:t>
      </w:r>
    </w:p>
    <w:p w14:paraId="0C8CE9F2" w14:textId="77777777" w:rsidR="00000000" w:rsidRDefault="00000000">
      <w:pPr>
        <w:bidi/>
        <w:spacing w:line="360" w:lineRule="auto"/>
        <w:ind w:left="1643" w:right="1560"/>
        <w:jc w:val="both"/>
        <w:rPr>
          <w:rtl/>
        </w:rPr>
      </w:pPr>
      <w:r>
        <w:rPr>
          <w:rFonts w:ascii="David" w:hAnsi="David" w:cs="David"/>
          <w:sz w:val="28"/>
          <w:szCs w:val="28"/>
          <w:rtl/>
        </w:rPr>
        <w:t>"</w:t>
      </w:r>
      <w:r>
        <w:rPr>
          <w:rFonts w:ascii="David" w:hAnsi="David" w:cs="David"/>
          <w:b/>
          <w:bCs/>
          <w:sz w:val="28"/>
          <w:szCs w:val="28"/>
          <w:rtl/>
        </w:rPr>
        <w:t>ככלל, הסכם מחייב אך ורק את הצדדים לו כמסמך שהוא פרי רצונם של מי שהתקשרו בהסכם ולצדדים שלישיים אין בו חלק. על כן, להוציא חוזים שהם על פי מתכונתם חוזים לטובת צד ג' (ראו סעיף 34 ל</w:t>
      </w:r>
      <w:r>
        <w:rPr>
          <w:rFonts w:ascii="David" w:hAnsi="David" w:cs="David"/>
          <w:b/>
          <w:bCs/>
          <w:sz w:val="28"/>
          <w:szCs w:val="28"/>
          <w:u w:val="single"/>
          <w:rtl/>
        </w:rPr>
        <w:t>חוק החוזים</w:t>
      </w:r>
      <w:r>
        <w:rPr>
          <w:rFonts w:ascii="David" w:hAnsi="David" w:cs="David"/>
          <w:b/>
          <w:bCs/>
          <w:sz w:val="28"/>
          <w:szCs w:val="28"/>
        </w:rPr>
        <w:t> </w:t>
      </w:r>
      <w:r>
        <w:rPr>
          <w:rFonts w:ascii="David" w:hAnsi="David" w:cs="David"/>
          <w:b/>
          <w:bCs/>
          <w:sz w:val="28"/>
          <w:szCs w:val="28"/>
          <w:rtl/>
        </w:rPr>
        <w:t>(חלק כללי), התשל"ג-1973), אין לצד ג' הזכות לדרוש מפלוני לקיים התחייבות שהתחייב לה בחוזה אותו פלוני כלפי פלמוני</w:t>
      </w:r>
      <w:r>
        <w:rPr>
          <w:rFonts w:ascii="David" w:hAnsi="David" w:cs="David"/>
          <w:b/>
          <w:bCs/>
          <w:sz w:val="28"/>
          <w:szCs w:val="28"/>
        </w:rPr>
        <w:t>. </w:t>
      </w:r>
      <w:r>
        <w:rPr>
          <w:rFonts w:ascii="David" w:hAnsi="David" w:cs="David"/>
          <w:b/>
          <w:bCs/>
          <w:sz w:val="28"/>
          <w:szCs w:val="28"/>
          <w:rtl/>
        </w:rPr>
        <w:t>זאת גם אם צד ג' יש לו אינטרס בביצוע ההתחייבות, שכן התחייבותו החוזית של פלוני לא נעשתה כלפיו </w:t>
      </w:r>
      <w:r>
        <w:rPr>
          <w:rFonts w:ascii="David" w:hAnsi="David" w:cs="David"/>
          <w:b/>
          <w:bCs/>
          <w:sz w:val="28"/>
          <w:szCs w:val="28"/>
        </w:rPr>
        <w:t>[...]</w:t>
      </w:r>
      <w:r>
        <w:rPr>
          <w:rFonts w:ascii="David" w:hAnsi="David" w:cs="David"/>
          <w:b/>
          <w:bCs/>
          <w:sz w:val="28"/>
          <w:szCs w:val="28"/>
          <w:rtl/>
        </w:rPr>
        <w:t xml:space="preserve"> </w:t>
      </w:r>
      <w:r>
        <w:rPr>
          <w:rFonts w:ascii="David" w:hAnsi="David" w:cs="David" w:hint="cs"/>
          <w:b/>
          <w:bCs/>
          <w:sz w:val="28"/>
          <w:szCs w:val="28"/>
          <w:rtl/>
        </w:rPr>
        <w:t>כמו כן אין צד ג' זכאי לדרוש בעילה חוזית פיצוי בגין הפרת אותה התחייבות</w:t>
      </w:r>
      <w:r>
        <w:rPr>
          <w:rFonts w:ascii="David" w:hAnsi="David" w:cs="David"/>
          <w:sz w:val="28"/>
          <w:szCs w:val="28"/>
        </w:rPr>
        <w:t>"</w:t>
      </w:r>
      <w:r>
        <w:rPr>
          <w:rFonts w:ascii="David" w:hAnsi="David" w:cs="David"/>
          <w:color w:val="000000"/>
          <w:spacing w:val="10"/>
          <w:sz w:val="28"/>
          <w:szCs w:val="28"/>
          <w:rtl/>
        </w:rPr>
        <w:t xml:space="preserve"> </w:t>
      </w:r>
      <w:r>
        <w:rPr>
          <w:rFonts w:ascii="David" w:hAnsi="David" w:cs="David"/>
          <w:sz w:val="28"/>
          <w:szCs w:val="28"/>
          <w:rtl/>
        </w:rPr>
        <w:t>(ע"א 6507/11</w:t>
      </w:r>
      <w:r>
        <w:rPr>
          <w:rFonts w:ascii="David" w:hAnsi="David" w:cs="David"/>
          <w:sz w:val="28"/>
          <w:szCs w:val="28"/>
        </w:rPr>
        <w:t> </w:t>
      </w:r>
      <w:r>
        <w:rPr>
          <w:rFonts w:ascii="David" w:hAnsi="David" w:cs="David"/>
          <w:b/>
          <w:bCs/>
          <w:sz w:val="28"/>
          <w:szCs w:val="28"/>
          <w:rtl/>
        </w:rPr>
        <w:t>מפעלי לוקי לבניה בע"מ נ' ג.ד עיט חברה לשירותים בע"מ</w:t>
      </w:r>
      <w:r>
        <w:rPr>
          <w:rFonts w:ascii="David" w:hAnsi="David" w:cs="David"/>
          <w:sz w:val="28"/>
          <w:szCs w:val="28"/>
        </w:rPr>
        <w:t xml:space="preserve">, </w:t>
      </w:r>
      <w:r>
        <w:rPr>
          <w:rFonts w:ascii="David" w:hAnsi="David" w:cs="David"/>
          <w:sz w:val="28"/>
          <w:szCs w:val="28"/>
          <w:rtl/>
        </w:rPr>
        <w:t xml:space="preserve">פסקה 8 </w:t>
      </w:r>
      <w:r>
        <w:rPr>
          <w:rFonts w:ascii="David" w:hAnsi="David" w:cs="David"/>
          <w:sz w:val="28"/>
          <w:szCs w:val="28"/>
        </w:rPr>
        <w:t> (11.3.2014)</w:t>
      </w:r>
    </w:p>
    <w:p w14:paraId="14F79580" w14:textId="77777777" w:rsidR="00000000" w:rsidRDefault="00000000">
      <w:pPr>
        <w:bidi/>
        <w:spacing w:line="360" w:lineRule="auto"/>
        <w:ind w:left="368"/>
        <w:jc w:val="both"/>
        <w:rPr>
          <w:rtl/>
        </w:rPr>
      </w:pPr>
      <w:r>
        <w:rPr>
          <w:rFonts w:ascii="David" w:hAnsi="David" w:cs="David"/>
          <w:sz w:val="28"/>
          <w:szCs w:val="28"/>
          <w:rtl/>
        </w:rPr>
        <w:t> </w:t>
      </w:r>
    </w:p>
    <w:p w14:paraId="792F05E5" w14:textId="77777777" w:rsidR="00000000" w:rsidRDefault="00000000">
      <w:pPr>
        <w:bidi/>
        <w:spacing w:after="160" w:line="360" w:lineRule="auto"/>
        <w:ind w:firstLine="720"/>
        <w:jc w:val="both"/>
        <w:rPr>
          <w:rtl/>
        </w:rPr>
      </w:pPr>
      <w:r>
        <w:rPr>
          <w:rFonts w:ascii="David" w:hAnsi="David" w:cs="David"/>
          <w:sz w:val="28"/>
          <w:szCs w:val="28"/>
          <w:rtl/>
        </w:rPr>
        <w:t>והדבר נכון ביתר שאת :</w:t>
      </w:r>
    </w:p>
    <w:p w14:paraId="1C021D73" w14:textId="77777777" w:rsidR="00000000" w:rsidRDefault="00000000">
      <w:pPr>
        <w:bidi/>
        <w:spacing w:line="360" w:lineRule="auto"/>
        <w:ind w:left="1643" w:right="1560"/>
        <w:jc w:val="both"/>
        <w:rPr>
          <w:rtl/>
        </w:rPr>
      </w:pPr>
      <w:r>
        <w:rPr>
          <w:rFonts w:ascii="David" w:hAnsi="David" w:cs="David"/>
          <w:b/>
          <w:bCs/>
          <w:sz w:val="28"/>
          <w:szCs w:val="28"/>
          <w:rtl/>
        </w:rPr>
        <w:t>"</w:t>
      </w:r>
      <w:r>
        <w:rPr>
          <w:rFonts w:ascii="David" w:hAnsi="David" w:cs="David"/>
          <w:b/>
          <w:bCs/>
          <w:color w:val="000000"/>
          <w:spacing w:val="10"/>
          <w:sz w:val="28"/>
          <w:szCs w:val="28"/>
          <w:rtl/>
        </w:rPr>
        <w:t>...</w:t>
      </w:r>
      <w:r>
        <w:rPr>
          <w:rFonts w:ascii="David" w:hAnsi="David" w:cs="David"/>
          <w:b/>
          <w:bCs/>
          <w:sz w:val="28"/>
          <w:szCs w:val="28"/>
          <w:rtl/>
        </w:rPr>
        <w:t xml:space="preserve"> בחוזים אשר המדינה צד להם. כפי שציינה היועצת המשפטית, במקרים רבים חוזים שהמדינה צד להם, ובפרט חוזי מכרז, מיועדים להיטיב עם הציבור, או עם ציבור מסוים. אין משמעות הדבר שאותו ציבור רשאי לתבוע סעדים מכוחם של אותם חוזים. הכרה בזכות מעין זו תשלול את חופש החוזים של המדינה ושל הצד השני לחוזה, אשר בחרו שלא להעניק לציבור זכות לתבוע סעדים בגין הפרת החוזה שנערך לטובתו, ואף תשלול או תצמצם את שיקול הדעת הרחב שעומד למדינה באשר לנקיטת הליכים במקרים של הפרת חוזה שהיא צד לו</w:t>
      </w:r>
      <w:r>
        <w:rPr>
          <w:rFonts w:ascii="David" w:hAnsi="David" w:cs="David"/>
          <w:sz w:val="28"/>
          <w:szCs w:val="28"/>
          <w:rtl/>
        </w:rPr>
        <w:t xml:space="preserve">."(רע"א 4933/22 ‏ ‏ </w:t>
      </w:r>
      <w:r>
        <w:rPr>
          <w:rFonts w:ascii="David" w:hAnsi="David" w:cs="David"/>
          <w:b/>
          <w:bCs/>
          <w:sz w:val="28"/>
          <w:szCs w:val="28"/>
          <w:rtl/>
        </w:rPr>
        <w:t>שלמה ביטון נ' בונייך בנייה פתוח והשקעות בע"מ</w:t>
      </w:r>
      <w:r>
        <w:rPr>
          <w:rFonts w:ascii="David" w:hAnsi="David" w:cs="David"/>
          <w:sz w:val="28"/>
          <w:szCs w:val="28"/>
          <w:rtl/>
        </w:rPr>
        <w:t>, פסקה 25 (24.4.23)).</w:t>
      </w:r>
    </w:p>
    <w:p w14:paraId="183096FA" w14:textId="77777777" w:rsidR="00000000" w:rsidRDefault="00000000">
      <w:pPr>
        <w:bidi/>
        <w:spacing w:line="360" w:lineRule="auto"/>
        <w:ind w:left="1643" w:right="1560"/>
        <w:jc w:val="both"/>
        <w:rPr>
          <w:rtl/>
        </w:rPr>
      </w:pPr>
      <w:r>
        <w:rPr>
          <w:rFonts w:ascii="David" w:hAnsi="David" w:cs="David"/>
          <w:sz w:val="28"/>
          <w:szCs w:val="28"/>
          <w:rtl/>
        </w:rPr>
        <w:t> </w:t>
      </w:r>
    </w:p>
    <w:p w14:paraId="1B1CB244" w14:textId="77777777" w:rsidR="00000000" w:rsidRDefault="00000000">
      <w:pPr>
        <w:bidi/>
        <w:spacing w:after="160" w:line="360" w:lineRule="auto"/>
        <w:jc w:val="both"/>
        <w:rPr>
          <w:rtl/>
        </w:rPr>
      </w:pPr>
      <w:r>
        <w:rPr>
          <w:rFonts w:ascii="David" w:hAnsi="David" w:cs="David"/>
          <w:sz w:val="28"/>
          <w:szCs w:val="28"/>
          <w:rtl/>
        </w:rPr>
        <w:t xml:space="preserve">68. ועוד, עסקינן בהתחייבות מסוג השתדלות, שכן המשיבה התחייבה לפעול כמיטב יכולתה ולעשות כל מאמץ סביר לביצועו של פרסום, והיא לא התחייבה להשגתה של תוצאה המוגדרת מראש זאת גם אם נסווג את ההתחייבות ברמה גבוהה של אחריות (ע"א 8389/17 </w:t>
      </w:r>
      <w:r>
        <w:rPr>
          <w:rFonts w:ascii="David" w:hAnsi="David" w:cs="David"/>
          <w:b/>
          <w:bCs/>
          <w:sz w:val="28"/>
          <w:szCs w:val="28"/>
          <w:rtl/>
        </w:rPr>
        <w:t>‏דניאל אלכס א.ש. חזקות בע"מ נ' לקסל אסטבלישמנט</w:t>
      </w:r>
      <w:r>
        <w:rPr>
          <w:rFonts w:ascii="David" w:hAnsi="David" w:cs="David"/>
          <w:sz w:val="28"/>
          <w:szCs w:val="28"/>
          <w:rtl/>
        </w:rPr>
        <w:t xml:space="preserve">, פסקה 15 לפסק-דינו של כב' השופט מינץ (6.5.19)); ע"א 4176/20  </w:t>
      </w:r>
      <w:r>
        <w:rPr>
          <w:rFonts w:ascii="David" w:hAnsi="David" w:cs="David"/>
          <w:b/>
          <w:bCs/>
          <w:sz w:val="28"/>
          <w:szCs w:val="28"/>
          <w:rtl/>
        </w:rPr>
        <w:t>דרור כהן נ' מול גולן בע"מ</w:t>
      </w:r>
      <w:r>
        <w:rPr>
          <w:rFonts w:ascii="David" w:hAnsi="David" w:cs="David"/>
          <w:sz w:val="28"/>
          <w:szCs w:val="28"/>
          <w:rtl/>
        </w:rPr>
        <w:t>, פסקה 12 (30.5.23)). נוכח פרסומי המשיבה עליהם אעמוד בהמשך הדברים נראה קשה עד מאוד להוכיח קיומה של הפרה, זאת במיוחד על רקע הקושי המובנה בהוכחת</w:t>
      </w:r>
      <w:r>
        <w:rPr>
          <w:rFonts w:ascii="David" w:hAnsi="David" w:cs="David"/>
          <w:b/>
          <w:bCs/>
          <w:sz w:val="28"/>
          <w:szCs w:val="28"/>
          <w:rtl/>
        </w:rPr>
        <w:t xml:space="preserve"> </w:t>
      </w:r>
      <w:r>
        <w:rPr>
          <w:rFonts w:ascii="David" w:hAnsi="David" w:cs="David"/>
          <w:sz w:val="28"/>
          <w:szCs w:val="28"/>
          <w:rtl/>
        </w:rPr>
        <w:t xml:space="preserve">הפרת חיוב מסוג השתדלות (ע"א 444/94 </w:t>
      </w:r>
      <w:r>
        <w:rPr>
          <w:rFonts w:ascii="David" w:hAnsi="David" w:cs="David"/>
          <w:b/>
          <w:bCs/>
          <w:sz w:val="28"/>
          <w:szCs w:val="28"/>
          <w:rtl/>
        </w:rPr>
        <w:t>אורות ייצוג אמנים נ' עטרי</w:t>
      </w:r>
      <w:r>
        <w:rPr>
          <w:rFonts w:ascii="David" w:hAnsi="David" w:cs="David"/>
          <w:sz w:val="28"/>
          <w:szCs w:val="28"/>
          <w:rtl/>
        </w:rPr>
        <w:t xml:space="preserve">, פ"ד נא(5) 241, 254 (2.12.97)); ע"א 1546/16 </w:t>
      </w:r>
      <w:r>
        <w:rPr>
          <w:rFonts w:ascii="David" w:hAnsi="David" w:cs="David"/>
          <w:b/>
          <w:bCs/>
          <w:sz w:val="28"/>
          <w:szCs w:val="28"/>
          <w:rtl/>
        </w:rPr>
        <w:t>עפו סעיד ביסאן נ' מדינת ישראל רשות הפיתוח וקק"ל</w:t>
      </w:r>
      <w:r>
        <w:rPr>
          <w:rFonts w:ascii="David" w:hAnsi="David" w:cs="David"/>
          <w:sz w:val="28"/>
          <w:szCs w:val="28"/>
          <w:rtl/>
        </w:rPr>
        <w:t>, פסקה 40 (16.9.2020); כן מהטעם שגבולותיה של חובה זו לא נגזרת ולא מושפעת מרצון המבקשים ומדרכי הפרסום הראויות בעיניהם, אלא מהחובות המוטלות על המשיבה בהתאם לחוזי ההתקשות והדין.</w:t>
      </w:r>
    </w:p>
    <w:p w14:paraId="36EF8C15" w14:textId="77777777" w:rsidR="00000000" w:rsidRDefault="00000000">
      <w:pPr>
        <w:bidi/>
        <w:spacing w:after="160" w:line="360" w:lineRule="auto"/>
        <w:jc w:val="both"/>
        <w:rPr>
          <w:rtl/>
        </w:rPr>
      </w:pPr>
      <w:r>
        <w:rPr>
          <w:rFonts w:ascii="David" w:hAnsi="David" w:cs="David"/>
          <w:sz w:val="28"/>
          <w:szCs w:val="28"/>
          <w:rtl/>
        </w:rPr>
        <w:t xml:space="preserve">69. מעבר לדרוש ובתמצית אוסיף, סעיף 34 לחוק החוזים מקנה למוטב את הזכות לעתור לקיום החיוב, ואולם מתוקף מעמדו כנפגע הוא יכול גם לעתור לסעדים נוספים שקיבלו ביטוי בסעיף 1 </w:t>
      </w:r>
      <w:r>
        <w:rPr>
          <w:rFonts w:ascii="David" w:hAnsi="David" w:cs="David"/>
          <w:sz w:val="28"/>
          <w:szCs w:val="28"/>
          <w:u w:val="single"/>
          <w:rtl/>
        </w:rPr>
        <w:t>לחוק החוזים (תרופות בשל הפרת חוזה</w:t>
      </w:r>
      <w:r>
        <w:rPr>
          <w:rFonts w:ascii="David" w:hAnsi="David" w:cs="David"/>
          <w:sz w:val="28"/>
          <w:szCs w:val="28"/>
          <w:rtl/>
        </w:rPr>
        <w:t>), תשל"א-1970 (</w:t>
      </w:r>
      <w:r>
        <w:rPr>
          <w:rFonts w:ascii="David" w:hAnsi="David" w:cs="David"/>
          <w:b/>
          <w:bCs/>
          <w:sz w:val="28"/>
          <w:szCs w:val="28"/>
          <w:rtl/>
        </w:rPr>
        <w:t>דניאל פרידמן, נילי כהן, חוזים</w:t>
      </w:r>
      <w:r>
        <w:rPr>
          <w:rFonts w:ascii="David" w:hAnsi="David" w:cs="David"/>
          <w:sz w:val="28"/>
          <w:szCs w:val="28"/>
          <w:rtl/>
        </w:rPr>
        <w:t xml:space="preserve">, עמ' 196 (כרך ג, 2003)). המוטב זכאי גם לעתור לפיצויים בגין נזק שהוסב לו:".... </w:t>
      </w:r>
      <w:r>
        <w:rPr>
          <w:rFonts w:ascii="David" w:hAnsi="David" w:cs="David"/>
          <w:b/>
          <w:bCs/>
          <w:sz w:val="28"/>
          <w:szCs w:val="28"/>
          <w:rtl/>
        </w:rPr>
        <w:t>עקב ההפרה ותוצאותיה ושהמפר ראה אותו או שהיה עליו לראותו מראש, בעת כריתת החוזה, כתוצאה מסתברת של ההפרה</w:t>
      </w:r>
      <w:r>
        <w:rPr>
          <w:rFonts w:ascii="David" w:hAnsi="David" w:cs="David"/>
          <w:sz w:val="28"/>
          <w:szCs w:val="28"/>
          <w:rtl/>
        </w:rPr>
        <w:t>."(סעיף 10 לחוק החוזים תרופות). כלומר, קיימת דרישה לקשר סיבתי עובדתי בין ההפרה לנזק וגם שהנזק היה צפוי בפועל או בכח בעיני המפר. הקשר הסיבתי המשפטי מחייב קרבה בין ההפרה לנזק, כאשר נזק רחוק פוטר את המפר מאחריות למרות קיומו של קשר סיבתי עובדתי (</w:t>
      </w:r>
      <w:r>
        <w:rPr>
          <w:rFonts w:ascii="David" w:hAnsi="David" w:cs="David"/>
          <w:b/>
          <w:bCs/>
          <w:sz w:val="28"/>
          <w:szCs w:val="28"/>
          <w:rtl/>
        </w:rPr>
        <w:t>דניאל פרידמן, נילי כהן חוזים</w:t>
      </w:r>
      <w:r>
        <w:rPr>
          <w:rFonts w:ascii="David" w:hAnsi="David" w:cs="David"/>
          <w:sz w:val="28"/>
          <w:szCs w:val="28"/>
          <w:rtl/>
        </w:rPr>
        <w:t xml:space="preserve"> - כרך ד, עמ' 596 (2011)). גם אם המשיבה לא נקטה במלוא המאמצים וההשקעה, עדיין קיים קושי ממשי בהוכחת הקשר הסיבתי המשפטי. קשה עד מאוד ליחס למשיבה צפיות בזמן כריתת החוזה לכך שאי נקיטה בדרך פרסום מסוימת אלא באחרת שגם היא אפקטיבית, והכוונה לפרסומים באתר האינטרנט אותו מפעילה המשיבה " </w:t>
      </w:r>
      <w:r>
        <w:rPr>
          <w:rFonts w:ascii="David" w:hAnsi="David" w:cs="David"/>
          <w:b/>
          <w:bCs/>
          <w:sz w:val="28"/>
          <w:szCs w:val="28"/>
          <w:rtl/>
        </w:rPr>
        <w:t>למטרות אלה קיימים אפיקי פרסום אחרים, יעילים בהרבה, ובראשם פרסום באתר האינטרנט של העוסק - אשר הינו נגיש וזמין לכל</w:t>
      </w:r>
      <w:r>
        <w:rPr>
          <w:rFonts w:ascii="David" w:hAnsi="David" w:cs="David"/>
          <w:sz w:val="28"/>
          <w:szCs w:val="28"/>
          <w:rtl/>
        </w:rPr>
        <w:t xml:space="preserve">" (רע"א 3688/20 ‏ ‏ </w:t>
      </w:r>
      <w:r>
        <w:rPr>
          <w:rFonts w:ascii="David" w:hAnsi="David" w:cs="David"/>
          <w:b/>
          <w:bCs/>
          <w:sz w:val="28"/>
          <w:szCs w:val="28"/>
          <w:rtl/>
        </w:rPr>
        <w:t>דרך ארץ הייווייז (1997) בע"מ נ' שלמה כתראן</w:t>
      </w:r>
      <w:r>
        <w:rPr>
          <w:rFonts w:ascii="David" w:hAnsi="David" w:cs="David"/>
          <w:sz w:val="28"/>
          <w:szCs w:val="28"/>
          <w:rtl/>
        </w:rPr>
        <w:t xml:space="preserve">, פסקה 6 לפסק-דינו של כב' השופט גרוסקופף (17.5.22)), תביא לנזקים הנטענים לחברי הקבוצה. </w:t>
      </w:r>
    </w:p>
    <w:p w14:paraId="1EDDD002" w14:textId="77777777" w:rsidR="00000000" w:rsidRDefault="00000000">
      <w:pPr>
        <w:bidi/>
        <w:spacing w:after="160" w:line="360" w:lineRule="auto"/>
        <w:ind w:firstLine="720"/>
        <w:jc w:val="both"/>
        <w:rPr>
          <w:rtl/>
        </w:rPr>
      </w:pPr>
      <w:r>
        <w:rPr>
          <w:rFonts w:ascii="David" w:hAnsi="David" w:cs="David"/>
          <w:sz w:val="28"/>
          <w:szCs w:val="28"/>
          <w:rtl/>
        </w:rPr>
        <w:t xml:space="preserve">לא זו אף זו, קיימים גם קשיים ממשיים בהוכחת הקשר הסיבתי העובדתי. אין הטוען כי לא היה כלל פרסום, כן כפי התרשמותי עליה אעמוד בהמשך הדברים, אף היו פרסומים יעילים ואפקטיביים. אכן, לדרכי הפרסום נודעת חשיבות רבה באשר לאפקטיביות היידוע, ואולם זמינותם של פרסומים חלופיים, יעילים ואפקטיביים עשויה להשפיע על הזכאות לפיצוי. אם הנפגע לא הסתמך על הפרסום המטעה, או שהנזק לא נגרם כתוצאה ישירה מהפרת חובת הפרסום הספציפית בשל קיומם של מקורות מידע חלופיים ואיכותיים לרוב לא יוכח קשר סיבתי עובדתי בין ההפרה לנזק (ע"א 3849/20 </w:t>
      </w:r>
      <w:r>
        <w:rPr>
          <w:rFonts w:ascii="David" w:hAnsi="David" w:cs="David"/>
          <w:b/>
          <w:bCs/>
          <w:sz w:val="28"/>
          <w:szCs w:val="28"/>
          <w:rtl/>
        </w:rPr>
        <w:t>יפתח טמיר נ' סלקום ישראל בע"מ</w:t>
      </w:r>
      <w:r>
        <w:rPr>
          <w:rFonts w:ascii="David" w:hAnsi="David" w:cs="David"/>
          <w:sz w:val="28"/>
          <w:szCs w:val="28"/>
          <w:rtl/>
        </w:rPr>
        <w:t xml:space="preserve">, פסקאות 4-6 לפסק דינו של כב' השופט גרוסקופף (30.5.23)), כפי שנקבע, העדר הסתמכות על פרסום מטעה לא מקים את יסוד הקשר הסיבתי העובדתי (דנ"א 5712/01 </w:t>
      </w:r>
      <w:r>
        <w:rPr>
          <w:rFonts w:ascii="David" w:hAnsi="David" w:cs="David"/>
          <w:b/>
          <w:bCs/>
          <w:sz w:val="28"/>
          <w:szCs w:val="28"/>
          <w:rtl/>
        </w:rPr>
        <w:t>ברזני נ' בזק, חברה ישראלית לתקשורת בע"מ</w:t>
      </w:r>
      <w:r>
        <w:rPr>
          <w:rFonts w:ascii="David" w:hAnsi="David" w:cs="David"/>
          <w:sz w:val="28"/>
          <w:szCs w:val="28"/>
          <w:rtl/>
        </w:rPr>
        <w:t>, פ''ד נז(6) 385 (11.08.2003)), וכך גם שעה שנעשה פרסום באתר המשיבה שאפשר קבלת מלוא המידע - דרך שאינה כרוכה במורכבות כלשהיא או במאמץ מיוחד.</w:t>
      </w:r>
    </w:p>
    <w:p w14:paraId="3E81900E" w14:textId="77777777" w:rsidR="00000000" w:rsidRDefault="00000000">
      <w:pPr>
        <w:bidi/>
        <w:spacing w:after="160" w:line="360" w:lineRule="auto"/>
        <w:jc w:val="both"/>
        <w:rPr>
          <w:rtl/>
        </w:rPr>
      </w:pPr>
      <w:r>
        <w:rPr>
          <w:rFonts w:ascii="David" w:hAnsi="David" w:cs="David"/>
          <w:sz w:val="28"/>
          <w:szCs w:val="28"/>
          <w:u w:val="single"/>
          <w:rtl/>
        </w:rPr>
        <w:t>הטעיית המשיבה ביחס לכדאיות מנוי הפסקל והכוונת הציבור למנוי וידאו</w:t>
      </w:r>
    </w:p>
    <w:p w14:paraId="0B802CD3" w14:textId="77777777" w:rsidR="00000000" w:rsidRDefault="00000000">
      <w:pPr>
        <w:bidi/>
        <w:spacing w:after="160" w:line="254" w:lineRule="auto"/>
        <w:rPr>
          <w:rtl/>
        </w:rPr>
      </w:pPr>
      <w:r>
        <w:rPr>
          <w:rFonts w:ascii="David" w:hAnsi="David" w:cs="David"/>
          <w:sz w:val="28"/>
          <w:szCs w:val="28"/>
          <w:rtl/>
        </w:rPr>
        <w:t>70.  בהתאם לסעיף 2(א) לחוק הגנת הצרכן:</w:t>
      </w:r>
    </w:p>
    <w:p w14:paraId="4F4455EC" w14:textId="77777777" w:rsidR="00000000" w:rsidRDefault="00000000">
      <w:pPr>
        <w:bidi/>
        <w:spacing w:line="360" w:lineRule="auto"/>
        <w:ind w:left="1643" w:right="1560"/>
        <w:jc w:val="both"/>
        <w:rPr>
          <w:rtl/>
        </w:rPr>
      </w:pPr>
      <w:r>
        <w:rPr>
          <w:rFonts w:ascii="David" w:hAnsi="David" w:cs="David"/>
          <w:sz w:val="28"/>
          <w:szCs w:val="28"/>
          <w:rtl/>
        </w:rPr>
        <w:t>"(</w:t>
      </w:r>
      <w:r>
        <w:rPr>
          <w:rFonts w:ascii="David" w:hAnsi="David" w:cs="David"/>
          <w:b/>
          <w:bCs/>
          <w:sz w:val="28"/>
          <w:szCs w:val="28"/>
          <w:rtl/>
        </w:rPr>
        <w:t>א) לא יעשה עוסק דבר - במעשה או במחדל, בכתב או בעל פה או בכל דרך אחרת לרבות לאחר מועד ההתקשרות בעסקה - העלול להטעות צרכן בכל ענין מהותי בעסקה (להלן - הטעיה); בלי לגרוע מכלליות האמור יראו ענינים אלה כמהותיים בעסקה:</w:t>
      </w:r>
    </w:p>
    <w:p w14:paraId="0BA10C37" w14:textId="77777777" w:rsidR="00000000" w:rsidRDefault="00000000">
      <w:pPr>
        <w:bidi/>
        <w:spacing w:line="360" w:lineRule="auto"/>
        <w:ind w:left="1643" w:right="1560"/>
        <w:jc w:val="both"/>
        <w:rPr>
          <w:rtl/>
        </w:rPr>
      </w:pPr>
      <w:r>
        <w:rPr>
          <w:rFonts w:ascii="David" w:hAnsi="David" w:cs="David"/>
          <w:b/>
          <w:bCs/>
          <w:sz w:val="28"/>
          <w:szCs w:val="28"/>
          <w:rtl/>
        </w:rPr>
        <w:t> </w:t>
      </w:r>
    </w:p>
    <w:p w14:paraId="3C5E466A" w14:textId="77777777" w:rsidR="00000000" w:rsidRDefault="00000000">
      <w:pPr>
        <w:bidi/>
        <w:spacing w:line="360" w:lineRule="auto"/>
        <w:ind w:left="1643" w:right="1560"/>
        <w:jc w:val="both"/>
        <w:rPr>
          <w:rtl/>
        </w:rPr>
      </w:pPr>
      <w:r>
        <w:rPr>
          <w:rFonts w:ascii="David" w:hAnsi="David" w:cs="David"/>
          <w:b/>
          <w:bCs/>
          <w:sz w:val="28"/>
          <w:szCs w:val="28"/>
          <w:rtl/>
        </w:rPr>
        <w:t>(1) הטיב, המהות, הכמות והסוג של נכס או שירות;</w:t>
      </w:r>
      <w:r>
        <w:rPr>
          <w:rFonts w:ascii="David" w:hAnsi="David" w:cs="David"/>
          <w:sz w:val="28"/>
          <w:szCs w:val="28"/>
          <w:rtl/>
        </w:rPr>
        <w:t>"</w:t>
      </w:r>
    </w:p>
    <w:p w14:paraId="07C01F56" w14:textId="77777777" w:rsidR="00000000" w:rsidRDefault="00000000">
      <w:pPr>
        <w:bidi/>
        <w:spacing w:after="160" w:line="360" w:lineRule="auto"/>
        <w:jc w:val="both"/>
        <w:rPr>
          <w:rtl/>
        </w:rPr>
      </w:pPr>
      <w:r>
        <w:rPr>
          <w:rFonts w:ascii="David" w:hAnsi="David" w:cs="David"/>
          <w:sz w:val="28"/>
          <w:szCs w:val="28"/>
          <w:rtl/>
        </w:rPr>
        <w:t> </w:t>
      </w:r>
    </w:p>
    <w:p w14:paraId="707EDD03" w14:textId="77777777" w:rsidR="00000000" w:rsidRDefault="00000000">
      <w:pPr>
        <w:bidi/>
        <w:spacing w:after="160" w:line="360" w:lineRule="auto"/>
        <w:ind w:firstLine="720"/>
        <w:jc w:val="both"/>
        <w:rPr>
          <w:rtl/>
        </w:rPr>
      </w:pPr>
      <w:r>
        <w:rPr>
          <w:rFonts w:ascii="David" w:hAnsi="David" w:cs="David"/>
          <w:sz w:val="28"/>
          <w:szCs w:val="28"/>
          <w:rtl/>
        </w:rPr>
        <w:t>איסור ההטעיה שבחוק הגנת הצרכן חל גם אם הצרכן לא הוטעה בפועל שכן די בדבר העלול להטעותו, אך בצד זאת :"</w:t>
      </w:r>
      <w:r>
        <w:rPr>
          <w:rFonts w:ascii="David" w:hAnsi="David" w:cs="David"/>
          <w:b/>
          <w:bCs/>
          <w:sz w:val="28"/>
          <w:szCs w:val="28"/>
          <w:rtl/>
        </w:rPr>
        <w:t>לפי סעיף 31(א) לחוק הגנת הצרכן דין הפרה של "איסור הטעיה" כדין עוולה בפקודת הנזיקין. בהתאם, על מנת שהפרת האיסור תזכה את התובע בסעד של פיצוי, נדרש להוכיח גם הסתמכות על המצג המטעה וקשר סיבתי בין ההסתמכות לנזק הנטען</w:t>
      </w:r>
      <w:r>
        <w:rPr>
          <w:rFonts w:ascii="David" w:hAnsi="David" w:cs="David"/>
          <w:sz w:val="28"/>
          <w:szCs w:val="28"/>
          <w:rtl/>
        </w:rPr>
        <w:t xml:space="preserve">" (רע"א 4486/18 </w:t>
      </w:r>
      <w:r>
        <w:rPr>
          <w:rFonts w:ascii="David" w:hAnsi="David" w:cs="David"/>
          <w:b/>
          <w:bCs/>
          <w:sz w:val="28"/>
          <w:szCs w:val="28"/>
        </w:rPr>
        <w:t>james</w:t>
      </w:r>
      <w:r>
        <w:rPr>
          <w:rFonts w:ascii="David" w:hAnsi="David" w:cs="David"/>
          <w:sz w:val="28"/>
          <w:szCs w:val="28"/>
        </w:rPr>
        <w:t xml:space="preserve"> </w:t>
      </w:r>
      <w:r>
        <w:rPr>
          <w:rFonts w:ascii="David" w:hAnsi="David" w:cs="David"/>
          <w:b/>
          <w:bCs/>
          <w:sz w:val="28"/>
          <w:szCs w:val="28"/>
        </w:rPr>
        <w:t>richardson proprietry ltd</w:t>
      </w:r>
      <w:r>
        <w:rPr>
          <w:rFonts w:ascii="David" w:hAnsi="David" w:cs="David"/>
          <w:b/>
          <w:bCs/>
          <w:sz w:val="28"/>
          <w:szCs w:val="28"/>
          <w:rtl/>
        </w:rPr>
        <w:t xml:space="preserve"> </w:t>
      </w:r>
      <w:r>
        <w:rPr>
          <w:rFonts w:ascii="David" w:hAnsi="David" w:cs="David" w:hint="cs"/>
          <w:b/>
          <w:bCs/>
          <w:sz w:val="28"/>
          <w:szCs w:val="28"/>
          <w:rtl/>
        </w:rPr>
        <w:t>נ' עינת יעיש כהן</w:t>
      </w:r>
      <w:r>
        <w:rPr>
          <w:rFonts w:ascii="David" w:hAnsi="David" w:cs="David"/>
          <w:sz w:val="28"/>
          <w:szCs w:val="28"/>
          <w:rtl/>
        </w:rPr>
        <w:t xml:space="preserve">, פסקה 20 והאסמכתאות שם (1.7.19)). הווה אומר, על המבקשים להוכיח שלושה תנאים מצטברים. הראשון - הפרה של איסור ההטעיה הקבוע בחוק הגנת הצרכן; השני- קיומו של נזק; והשלישי - הנזק נגרם בעקבות ההסתמכות על המצג המטעה (ע"א 458/06 </w:t>
      </w:r>
      <w:r>
        <w:rPr>
          <w:rFonts w:ascii="David" w:hAnsi="David" w:cs="David"/>
          <w:b/>
          <w:bCs/>
          <w:sz w:val="28"/>
          <w:szCs w:val="28"/>
          <w:rtl/>
        </w:rPr>
        <w:t>שטנדל נ' בנק לאומי בע"מ</w:t>
      </w:r>
      <w:r>
        <w:rPr>
          <w:rFonts w:ascii="David" w:hAnsi="David" w:cs="David"/>
          <w:sz w:val="28"/>
          <w:szCs w:val="28"/>
          <w:rtl/>
        </w:rPr>
        <w:t xml:space="preserve"> (6.5.09)). כך גם בעניין התגבשות עילת ההטעיה החוזית הקבועה בסעיף 15 לחוק החוזים, על הצד הנפגע להוכיח הטעיה בפועל וקשר בין הטעות להתקשרות בחוזה. </w:t>
      </w:r>
    </w:p>
    <w:p w14:paraId="4DF1B3D3" w14:textId="77777777" w:rsidR="00000000" w:rsidRDefault="00000000">
      <w:pPr>
        <w:bidi/>
        <w:spacing w:after="160" w:line="360" w:lineRule="auto"/>
        <w:jc w:val="both"/>
        <w:rPr>
          <w:rtl/>
        </w:rPr>
      </w:pPr>
      <w:r>
        <w:rPr>
          <w:rFonts w:ascii="David" w:hAnsi="David" w:cs="David"/>
          <w:sz w:val="28"/>
          <w:szCs w:val="28"/>
          <w:rtl/>
        </w:rPr>
        <w:t>71.  כפי שנקבע רבות הטעיה צרכנית היא הצהרה כוזבת "</w:t>
      </w:r>
      <w:r>
        <w:rPr>
          <w:rFonts w:ascii="David" w:hAnsi="David" w:cs="David"/>
          <w:color w:val="000000"/>
          <w:spacing w:val="10"/>
          <w:sz w:val="28"/>
          <w:szCs w:val="28"/>
          <w:rtl/>
        </w:rPr>
        <w:t>...</w:t>
      </w:r>
      <w:r>
        <w:rPr>
          <w:rFonts w:ascii="David" w:hAnsi="David" w:cs="David"/>
          <w:sz w:val="28"/>
          <w:szCs w:val="28"/>
          <w:rtl/>
        </w:rPr>
        <w:t> </w:t>
      </w:r>
      <w:r>
        <w:rPr>
          <w:rFonts w:ascii="David" w:hAnsi="David" w:cs="David"/>
          <w:b/>
          <w:bCs/>
          <w:sz w:val="28"/>
          <w:szCs w:val="28"/>
          <w:rtl/>
        </w:rPr>
        <w:t>במעשה -</w:t>
      </w:r>
      <w:r>
        <w:rPr>
          <w:rFonts w:ascii="David" w:hAnsi="David" w:cs="David"/>
          <w:b/>
          <w:bCs/>
          <w:sz w:val="28"/>
          <w:szCs w:val="28"/>
        </w:rPr>
        <w:t xml:space="preserve"> </w:t>
      </w:r>
      <w:r>
        <w:rPr>
          <w:rFonts w:ascii="David" w:hAnsi="David" w:cs="David"/>
          <w:b/>
          <w:bCs/>
          <w:sz w:val="28"/>
          <w:szCs w:val="28"/>
          <w:rtl/>
        </w:rPr>
        <w:t>דהיינו הצגת מצג שווא הכולל פרטים שאינם תואמים למציאות; הן על ידי הטעיה במחדל -</w:t>
      </w:r>
      <w:r>
        <w:rPr>
          <w:rFonts w:ascii="David" w:hAnsi="David" w:cs="David"/>
          <w:b/>
          <w:bCs/>
          <w:sz w:val="28"/>
          <w:szCs w:val="28"/>
        </w:rPr>
        <w:t xml:space="preserve"> </w:t>
      </w:r>
      <w:r>
        <w:rPr>
          <w:rFonts w:ascii="David" w:hAnsi="David" w:cs="David"/>
          <w:b/>
          <w:bCs/>
          <w:sz w:val="28"/>
          <w:szCs w:val="28"/>
          <w:rtl/>
        </w:rPr>
        <w:t>דהיינו בדרך של אי-גילוי פרטים שיש חובה לגלותם</w:t>
      </w:r>
      <w:r>
        <w:rPr>
          <w:rFonts w:ascii="David" w:hAnsi="David" w:cs="David"/>
          <w:sz w:val="28"/>
          <w:szCs w:val="28"/>
          <w:rtl/>
        </w:rPr>
        <w:t xml:space="preserve">"( רע"א 51875-09-24‏ </w:t>
      </w:r>
      <w:r>
        <w:rPr>
          <w:rFonts w:ascii="David" w:hAnsi="David" w:cs="David"/>
          <w:b/>
          <w:bCs/>
          <w:sz w:val="28"/>
          <w:szCs w:val="28"/>
          <w:rtl/>
        </w:rPr>
        <w:t>‏ רשת חנויות רמי לוי שיווק השיקמה 2006 בע"מ נ' דרור עמירם</w:t>
      </w:r>
      <w:r>
        <w:rPr>
          <w:rFonts w:ascii="David" w:hAnsi="David" w:cs="David"/>
          <w:sz w:val="28"/>
          <w:szCs w:val="28"/>
          <w:rtl/>
        </w:rPr>
        <w:t xml:space="preserve">, פסקה 13 לפסק-דינו של כב' השופט גרוסקופף (5.2.26)), זאת כאשר נוצר פער בין הדברים המוצגים או המוסתרים לבין המציאות (רע"א 2837/98 </w:t>
      </w:r>
      <w:r>
        <w:rPr>
          <w:rFonts w:ascii="David" w:hAnsi="David" w:cs="David"/>
          <w:b/>
          <w:bCs/>
          <w:sz w:val="28"/>
          <w:szCs w:val="28"/>
          <w:rtl/>
        </w:rPr>
        <w:t>ארד נ' בזק החברה הישראלית לתקשורת בע"מ</w:t>
      </w:r>
      <w:r>
        <w:rPr>
          <w:rFonts w:ascii="David" w:hAnsi="David" w:cs="David"/>
          <w:sz w:val="28"/>
          <w:szCs w:val="28"/>
          <w:rtl/>
        </w:rPr>
        <w:t xml:space="preserve">, פ"ד נד(1) 600, 607 (2000). הדבר נכון בעניינים מהותיים לעסקה בלבד לרבות אלה המנויים בסע' 2(א) לחוק הגנת הצרכן (רע"א 3530/21 </w:t>
      </w:r>
      <w:r>
        <w:rPr>
          <w:rFonts w:ascii="David" w:hAnsi="David" w:cs="David"/>
          <w:b/>
          <w:bCs/>
          <w:sz w:val="28"/>
          <w:szCs w:val="28"/>
          <w:rtl/>
        </w:rPr>
        <w:t>אופטיקה הלפרין בע"מ נ' כוכב זיס</w:t>
      </w:r>
      <w:r>
        <w:rPr>
          <w:rFonts w:ascii="David" w:hAnsi="David" w:cs="David"/>
          <w:sz w:val="28"/>
          <w:szCs w:val="28"/>
          <w:rtl/>
        </w:rPr>
        <w:t>, פסקאות 15-16 והאסמכתאות שם(13.3.22), כאשר ההטעיה הצרכנית אינה מוגבלת לשלב הטרום-חוזי בלבד אלא גם לשלב קיום החוזה</w:t>
      </w:r>
      <w:r>
        <w:rPr>
          <w:rFonts w:ascii="David" w:hAnsi="David" w:cs="David"/>
          <w:b/>
          <w:bCs/>
          <w:sz w:val="28"/>
          <w:szCs w:val="28"/>
          <w:rtl/>
        </w:rPr>
        <w:t xml:space="preserve"> </w:t>
      </w:r>
      <w:r>
        <w:rPr>
          <w:rFonts w:ascii="David" w:hAnsi="David" w:cs="David"/>
          <w:sz w:val="28"/>
          <w:szCs w:val="28"/>
          <w:rtl/>
        </w:rPr>
        <w:t xml:space="preserve">(רע"א 3456/13 </w:t>
      </w:r>
      <w:r>
        <w:rPr>
          <w:rFonts w:ascii="David" w:hAnsi="David" w:cs="David"/>
          <w:b/>
          <w:bCs/>
          <w:sz w:val="28"/>
          <w:szCs w:val="28"/>
          <w:rtl/>
        </w:rPr>
        <w:t>חברת חשמל לישראל בע"מ נ' שליידר</w:t>
      </w:r>
      <w:r>
        <w:rPr>
          <w:rFonts w:ascii="David" w:hAnsi="David" w:cs="David"/>
          <w:sz w:val="28"/>
          <w:szCs w:val="28"/>
          <w:rtl/>
        </w:rPr>
        <w:t>, פסקה נ' (29.8.2017))</w:t>
      </w:r>
    </w:p>
    <w:p w14:paraId="4C8C89AE" w14:textId="77777777" w:rsidR="00000000" w:rsidRDefault="00000000">
      <w:pPr>
        <w:bidi/>
        <w:spacing w:after="160" w:line="360" w:lineRule="auto"/>
        <w:jc w:val="both"/>
        <w:rPr>
          <w:rtl/>
        </w:rPr>
      </w:pPr>
      <w:r>
        <w:rPr>
          <w:rFonts w:ascii="David" w:hAnsi="David" w:cs="David"/>
          <w:sz w:val="28"/>
          <w:szCs w:val="28"/>
          <w:rtl/>
        </w:rPr>
        <w:t>72.  לפני שאדרש בפירוט לטענות המבקשים אדגיש כי בניגוד לעמדתם עליה חזרו רבות באשר לתחולת סעיף 4(א)(1) לחוק הגנת הצרכן, הרי המחוקק הביע את כוונתו באופן מפורש לפיה עוסק חייב לגלות לצרכן "</w:t>
      </w:r>
      <w:r>
        <w:rPr>
          <w:rFonts w:ascii="David" w:hAnsi="David" w:cs="David"/>
          <w:b/>
          <w:bCs/>
          <w:sz w:val="28"/>
          <w:szCs w:val="28"/>
          <w:rtl/>
        </w:rPr>
        <w:t>כל פגם או איכות נחותה או תכונה אחרת הידועים לו, המפחיתים באופן משמעותי מערכו של הנכס</w:t>
      </w:r>
      <w:r>
        <w:rPr>
          <w:rFonts w:ascii="David" w:hAnsi="David" w:cs="David"/>
          <w:sz w:val="28"/>
          <w:szCs w:val="28"/>
        </w:rPr>
        <w:t>;</w:t>
      </w:r>
      <w:r>
        <w:rPr>
          <w:rFonts w:ascii="David" w:hAnsi="David" w:cs="David"/>
          <w:sz w:val="28"/>
          <w:szCs w:val="28"/>
          <w:rtl/>
        </w:rPr>
        <w:t xml:space="preserve">", ואילו נכס זכה להגדרה בסעיף 1 לחוק הגנת הצרכן המבדילה אותו משירות הכוללים בחובם את דמי הגביה, שכן מתן שירות הוא כל עסקה שאינה מכירת נכס (ע"א 7187/12 </w:t>
      </w:r>
      <w:r>
        <w:rPr>
          <w:rFonts w:ascii="David" w:hAnsi="David" w:cs="David"/>
          <w:b/>
          <w:bCs/>
          <w:sz w:val="28"/>
          <w:szCs w:val="28"/>
          <w:rtl/>
        </w:rPr>
        <w:t>עו"ד ליאור צמח נ' אל על נתיבי אויר לישראל</w:t>
      </w:r>
      <w:r>
        <w:rPr>
          <w:rFonts w:ascii="David" w:hAnsi="David" w:cs="David"/>
          <w:sz w:val="28"/>
          <w:szCs w:val="28"/>
          <w:rtl/>
        </w:rPr>
        <w:t>, פסקה סב (17.8.14)).</w:t>
      </w:r>
    </w:p>
    <w:p w14:paraId="468AC4DB" w14:textId="77777777" w:rsidR="00000000" w:rsidRDefault="00000000">
      <w:pPr>
        <w:bidi/>
        <w:spacing w:line="360" w:lineRule="auto"/>
        <w:ind w:left="-58"/>
        <w:jc w:val="both"/>
        <w:rPr>
          <w:rtl/>
        </w:rPr>
      </w:pPr>
      <w:r>
        <w:rPr>
          <w:rFonts w:ascii="David" w:hAnsi="David" w:cs="David"/>
          <w:sz w:val="28"/>
          <w:szCs w:val="28"/>
          <w:rtl/>
        </w:rPr>
        <w:t xml:space="preserve">73.  הטענה המרכזית היא להטעיה במחדל, בכך שהמשיבה לא עמדה בחובת גילוי המידע בדבר חיוב המשתמשים בדמי הגביה במסלול מנויי הווידאו והמשתמש המזדמן. המענה למחלוקת זו נגזר מהיקף חובת הגלוי המוטלת על המשיבה. בזיקה לסוגיה זו אני תמים דעים עם המשיבה כי לא מדובר בעניין שבמומחיות אלא בעובדות ויישום הדין, מכאן איני רואה צורך או טעם להידרש לעמדות המומחים מטעם שני הצדדים. ועוד, הבחינה לא צריכה להתמקד במה שאין ואשר לגישת המבקשים צריך גם להיות, אלא במה שנעשה בפועל והאם בפרסום זה המשיבה עמדה בחובת הגילוי. אכן גם הכבדה באיתור מידע מהותי באתר האינטרנט של עוסק, גם אם המידע זמין טכנית, עלולה להיחשב כהטעיה במחדל לפי חוק הגנת הצרכן, שכן על העוסק מוטלת חובה אקטיבית לגלות מידע באופן ברור, נגיש ויעיל, שיאפשר לצרכן להבין ולקלוט אותו, ולא רק להציגו באופן שדורש מאמץ מיוחד מצד הצרכן. אך בצד זאת, ניתן לנקוט בדרכי ידוע רבות ומגוונות, והמשיבה אינה חייבת לנקוט בכל דרך אפשרית אלא עליה לקיים חובה זו בסבירות. נוסף לאמור, יש להדגיש, כי אין זה מתפקידה של המשיבה לבחור עבור מנויה במסלול אשר לגישתה הוא החסכוני ביותר; אין זה מתפקידה להכווין, אלא רק להביא את המידע המלא והרלוונטי לבחירת והחלטת המצטרפים. </w:t>
      </w:r>
    </w:p>
    <w:p w14:paraId="54AEEDEF" w14:textId="77777777" w:rsidR="00000000" w:rsidRDefault="00000000">
      <w:pPr>
        <w:bidi/>
        <w:spacing w:line="360" w:lineRule="auto"/>
        <w:ind w:left="-58"/>
        <w:jc w:val="both"/>
        <w:rPr>
          <w:rtl/>
        </w:rPr>
      </w:pPr>
      <w:r>
        <w:rPr>
          <w:rFonts w:ascii="David" w:hAnsi="David" w:cs="David"/>
          <w:sz w:val="28"/>
          <w:szCs w:val="28"/>
          <w:rtl/>
        </w:rPr>
        <w:t> </w:t>
      </w:r>
    </w:p>
    <w:p w14:paraId="55EAC4A3" w14:textId="77777777" w:rsidR="00000000" w:rsidRDefault="00000000">
      <w:pPr>
        <w:bidi/>
        <w:spacing w:line="360" w:lineRule="auto"/>
        <w:ind w:left="-58"/>
        <w:jc w:val="both"/>
        <w:rPr>
          <w:rtl/>
        </w:rPr>
      </w:pPr>
      <w:r>
        <w:rPr>
          <w:rFonts w:ascii="David" w:hAnsi="David" w:cs="David"/>
          <w:sz w:val="28"/>
          <w:szCs w:val="28"/>
          <w:rtl/>
        </w:rPr>
        <w:t>74.  דיני הגנת הצרכן נועדו לגשר על פערי המידע שבין הצרכן לעוסק ובבסיסם ניצבת הנחה כי יחסים אלה מאופיינים בחוסר שוויון מבחינת המומחיות והמידע, דבר שעלול להגביל את כוח המיקוח של הצרכן או ליטול מיכולתו לקבל ההחלטה הראויה בעיניו. דיני הגנת הצרכן מיועדים  למנוע ניצול לרעה של פערי הכוחות בין הצדדים כדי לאפשר לצרכן בחירה מושכלת ועל יסוד מלוא התשתית הרלוונטית.  אך בצד זאת, דיני הגנת הצרכן אינם מבוססים על הנחה שהצרכן חסר היגיון, אלא מכירים בכך שלצרכן יש יכולת לקבל החלטות רציונליות. תכלית חוק  הגנת הצרכן היא לאפשר לצרכן  הרציונאלי והסביר לממש את יכולתו זו ולכלכל את צעדיו באופן מושכל לאחר חשיפה למידע מלא והוגן (השוו</w:t>
      </w:r>
      <w:r>
        <w:rPr>
          <w:rFonts w:ascii="David" w:hAnsi="David" w:cs="David"/>
          <w:sz w:val="28"/>
          <w:szCs w:val="28"/>
        </w:rPr>
        <w:t xml:space="preserve"> : </w:t>
      </w:r>
      <w:r>
        <w:rPr>
          <w:rFonts w:ascii="David" w:hAnsi="David" w:cs="David"/>
          <w:sz w:val="28"/>
          <w:szCs w:val="28"/>
          <w:rtl/>
        </w:rPr>
        <w:t>ע"א 6930/19</w:t>
      </w:r>
      <w:r>
        <w:rPr>
          <w:rFonts w:ascii="David" w:hAnsi="David" w:cs="David"/>
          <w:sz w:val="28"/>
          <w:szCs w:val="28"/>
        </w:rPr>
        <w:t> </w:t>
      </w:r>
      <w:r>
        <w:rPr>
          <w:rFonts w:ascii="David" w:hAnsi="David" w:cs="David"/>
          <w:b/>
          <w:bCs/>
          <w:sz w:val="28"/>
          <w:szCs w:val="28"/>
          <w:rtl/>
        </w:rPr>
        <w:t>הר פז נ' נגב קרמיקה שיווק (1982) בע"מ</w:t>
      </w:r>
      <w:r>
        <w:rPr>
          <w:rFonts w:ascii="David" w:hAnsi="David" w:cs="David"/>
          <w:sz w:val="28"/>
          <w:szCs w:val="28"/>
        </w:rPr>
        <w:t xml:space="preserve">, </w:t>
      </w:r>
      <w:r>
        <w:rPr>
          <w:rFonts w:ascii="David" w:hAnsi="David" w:cs="David"/>
          <w:sz w:val="28"/>
          <w:szCs w:val="28"/>
          <w:rtl/>
        </w:rPr>
        <w:t>פסקה 47 (6.2.23));</w:t>
      </w:r>
      <w:r>
        <w:rPr>
          <w:rFonts w:ascii="David" w:hAnsi="David" w:cs="David"/>
          <w:sz w:val="28"/>
          <w:szCs w:val="28"/>
        </w:rPr>
        <w:t> </w:t>
      </w:r>
      <w:r>
        <w:rPr>
          <w:rFonts w:ascii="David" w:hAnsi="David" w:cs="David"/>
          <w:sz w:val="28"/>
          <w:szCs w:val="28"/>
          <w:rtl/>
        </w:rPr>
        <w:t>ע"א 8336/17</w:t>
      </w:r>
      <w:r>
        <w:rPr>
          <w:rFonts w:ascii="David" w:hAnsi="David" w:cs="David"/>
          <w:sz w:val="28"/>
          <w:szCs w:val="28"/>
        </w:rPr>
        <w:t> </w:t>
      </w:r>
      <w:r>
        <w:rPr>
          <w:rFonts w:ascii="David" w:hAnsi="David" w:cs="David"/>
          <w:b/>
          <w:bCs/>
          <w:sz w:val="28"/>
          <w:szCs w:val="28"/>
          <w:rtl/>
        </w:rPr>
        <w:t>ראובן נ' סופר-דוש בע"מ</w:t>
      </w:r>
      <w:r>
        <w:rPr>
          <w:rFonts w:ascii="David" w:hAnsi="David" w:cs="David"/>
          <w:sz w:val="28"/>
          <w:szCs w:val="28"/>
        </w:rPr>
        <w:t xml:space="preserve">, </w:t>
      </w:r>
      <w:r>
        <w:rPr>
          <w:rFonts w:ascii="David" w:hAnsi="David" w:cs="David"/>
          <w:sz w:val="28"/>
          <w:szCs w:val="28"/>
          <w:rtl/>
        </w:rPr>
        <w:t>פסקה 32 (15.5.22));</w:t>
      </w:r>
      <w:r>
        <w:rPr>
          <w:rFonts w:ascii="David" w:hAnsi="David" w:cs="David"/>
          <w:sz w:val="28"/>
          <w:szCs w:val="28"/>
        </w:rPr>
        <w:t> </w:t>
      </w:r>
      <w:r>
        <w:rPr>
          <w:rFonts w:ascii="David" w:hAnsi="David" w:cs="David"/>
          <w:sz w:val="28"/>
          <w:szCs w:val="28"/>
          <w:rtl/>
        </w:rPr>
        <w:t>ע"א 10085/08</w:t>
      </w:r>
      <w:r>
        <w:rPr>
          <w:rFonts w:ascii="David" w:hAnsi="David" w:cs="David"/>
          <w:sz w:val="28"/>
          <w:szCs w:val="28"/>
        </w:rPr>
        <w:t> </w:t>
      </w:r>
      <w:r>
        <w:rPr>
          <w:rFonts w:ascii="David" w:hAnsi="David" w:cs="David"/>
          <w:b/>
          <w:bCs/>
          <w:sz w:val="28"/>
          <w:szCs w:val="28"/>
          <w:rtl/>
        </w:rPr>
        <w:t>תנובה - מרכז שיתופי נ' עזבון המנוח ראבי ז"ל</w:t>
      </w:r>
      <w:r>
        <w:rPr>
          <w:rFonts w:ascii="David" w:hAnsi="David" w:cs="David"/>
          <w:sz w:val="28"/>
          <w:szCs w:val="28"/>
        </w:rPr>
        <w:t xml:space="preserve">, </w:t>
      </w:r>
      <w:r>
        <w:rPr>
          <w:rFonts w:ascii="David" w:hAnsi="David" w:cs="David"/>
          <w:sz w:val="28"/>
          <w:szCs w:val="28"/>
          <w:rtl/>
        </w:rPr>
        <w:t xml:space="preserve">פסקה 22 (4.12.2011)); ומכאן הטענה כי אפשרות הבחירה במנוי הווידאו "מוארת" באתר המשיבה החדש (עדכון שנעשה באתר הישן כחודש לפני הגשת בקשת האישור) בשונה מזו של הבחירה בפסקל (שאינה מוארת), לא יכולה להתקבל. בפני כל הנכנס לאתר המשיבה עמדו שתי האפשרויות, זו לצד זו, כן כפי שהמשיבה הבהירה היטב בסיכומיה, ולאחר שבחנתי את תהליך הרישום, אכן ניתנה לכל מתעניין אפשרות סבירה לעמוד על העלויות, על ההבדלים בין מסלולי ההצטרפות וגם זכות הבחירה המלאה ללא אף השפעה שאינה הוגנת וללא הכוונה למסלול זה או אחר, כן לא מצאתי סתירה בין אותם מדעים או פרסומים שהמשיבה הציגה באתר האינטרנט (רע"א 4114/17 </w:t>
      </w:r>
      <w:r>
        <w:rPr>
          <w:rFonts w:ascii="David" w:hAnsi="David" w:cs="David"/>
          <w:b/>
          <w:bCs/>
          <w:sz w:val="28"/>
          <w:szCs w:val="28"/>
          <w:rtl/>
        </w:rPr>
        <w:t>כמיפל בע"מ נ' זוהר</w:t>
      </w:r>
      <w:r>
        <w:rPr>
          <w:rFonts w:ascii="David" w:hAnsi="David" w:cs="David"/>
          <w:sz w:val="28"/>
          <w:szCs w:val="28"/>
          <w:rtl/>
        </w:rPr>
        <w:t>, פסקה 6 (2.11.2017)).</w:t>
      </w:r>
    </w:p>
    <w:p w14:paraId="2A8680C0" w14:textId="77777777" w:rsidR="00000000" w:rsidRDefault="00000000">
      <w:pPr>
        <w:bidi/>
        <w:spacing w:line="360" w:lineRule="auto"/>
        <w:ind w:left="-58"/>
        <w:jc w:val="both"/>
        <w:rPr>
          <w:rtl/>
        </w:rPr>
      </w:pPr>
      <w:r>
        <w:rPr>
          <w:rFonts w:ascii="David" w:hAnsi="David" w:cs="David"/>
          <w:sz w:val="28"/>
          <w:szCs w:val="28"/>
          <w:rtl/>
        </w:rPr>
        <w:t> </w:t>
      </w:r>
    </w:p>
    <w:p w14:paraId="05060FEF" w14:textId="77777777" w:rsidR="00000000" w:rsidRDefault="00000000">
      <w:pPr>
        <w:bidi/>
        <w:spacing w:line="360" w:lineRule="auto"/>
        <w:ind w:left="-58" w:firstLine="778"/>
        <w:jc w:val="both"/>
        <w:rPr>
          <w:rtl/>
        </w:rPr>
      </w:pPr>
      <w:r>
        <w:rPr>
          <w:rFonts w:ascii="David" w:hAnsi="David" w:cs="David"/>
          <w:sz w:val="28"/>
          <w:szCs w:val="28"/>
          <w:rtl/>
        </w:rPr>
        <w:t>להלן אעמוד בתמצית על התהליך וחלק מהכלים אותם מעמידה המשיבה לרשות המתעניינים באתר האינטרנט אותו היא מפעילה:</w:t>
      </w:r>
    </w:p>
    <w:p w14:paraId="549DF08E" w14:textId="77777777" w:rsidR="00000000" w:rsidRDefault="00000000">
      <w:pPr>
        <w:bidi/>
        <w:spacing w:line="360" w:lineRule="auto"/>
        <w:ind w:left="-58"/>
        <w:jc w:val="both"/>
        <w:rPr>
          <w:rtl/>
        </w:rPr>
      </w:pPr>
      <w:r>
        <w:rPr>
          <w:rFonts w:ascii="David" w:hAnsi="David" w:cs="David"/>
          <w:sz w:val="28"/>
          <w:szCs w:val="28"/>
          <w:rtl/>
        </w:rPr>
        <w:t> </w:t>
      </w:r>
    </w:p>
    <w:p w14:paraId="4A226249" w14:textId="77777777" w:rsidR="00000000" w:rsidRDefault="00000000">
      <w:pPr>
        <w:bidi/>
        <w:spacing w:line="360" w:lineRule="auto"/>
        <w:ind w:left="302" w:hanging="360"/>
        <w:jc w:val="both"/>
        <w:rPr>
          <w:rtl/>
        </w:rPr>
      </w:pPr>
      <w:r>
        <w:rPr>
          <w:rFonts w:ascii="David" w:hAnsi="David" w:cs="David"/>
          <w:sz w:val="28"/>
          <w:szCs w:val="28"/>
          <w:rtl/>
        </w:rPr>
        <w:t>-</w:t>
      </w:r>
      <w:r>
        <w:rPr>
          <w:sz w:val="14"/>
          <w:szCs w:val="14"/>
          <w:rtl/>
        </w:rPr>
        <w:t xml:space="preserve">  </w:t>
      </w:r>
      <w:r>
        <w:rPr>
          <w:rFonts w:ascii="David" w:hAnsi="David" w:cs="David"/>
          <w:sz w:val="28"/>
          <w:szCs w:val="28"/>
          <w:rtl/>
        </w:rPr>
        <w:t xml:space="preserve">כבר בעמוד הבית מופיעה הכותרת "כמה עולה לי ואיך אני מגיע"(עמ' 161 לבקשת האישור), ותחתיה מחשבון שמאפשר הזנת הנסיעה וקבלת המחיר הכולל בכל אחד מהמסלולים. </w:t>
      </w:r>
    </w:p>
    <w:p w14:paraId="2421572C" w14:textId="77777777" w:rsidR="00000000" w:rsidRDefault="00000000">
      <w:pPr>
        <w:bidi/>
        <w:spacing w:line="360" w:lineRule="auto"/>
        <w:ind w:left="-58"/>
        <w:jc w:val="both"/>
        <w:rPr>
          <w:rtl/>
        </w:rPr>
      </w:pPr>
      <w:r>
        <w:rPr>
          <w:rFonts w:ascii="David" w:hAnsi="David" w:cs="David"/>
          <w:sz w:val="28"/>
          <w:szCs w:val="28"/>
          <w:rtl/>
        </w:rPr>
        <w:t> </w:t>
      </w:r>
    </w:p>
    <w:p w14:paraId="2E1A05DB" w14:textId="77777777" w:rsidR="00000000" w:rsidRDefault="00000000">
      <w:pPr>
        <w:bidi/>
        <w:spacing w:line="360" w:lineRule="auto"/>
        <w:ind w:left="302" w:hanging="360"/>
        <w:jc w:val="both"/>
        <w:rPr>
          <w:rtl/>
        </w:rPr>
      </w:pPr>
      <w:r>
        <w:rPr>
          <w:rFonts w:ascii="David" w:hAnsi="David" w:cs="David"/>
          <w:sz w:val="28"/>
          <w:szCs w:val="28"/>
          <w:rtl/>
        </w:rPr>
        <w:t>-</w:t>
      </w:r>
      <w:r>
        <w:rPr>
          <w:sz w:val="14"/>
          <w:szCs w:val="14"/>
          <w:rtl/>
        </w:rPr>
        <w:t xml:space="preserve">  </w:t>
      </w:r>
      <w:r>
        <w:rPr>
          <w:rFonts w:ascii="David" w:hAnsi="David" w:cs="David"/>
          <w:sz w:val="28"/>
          <w:szCs w:val="28"/>
          <w:rtl/>
        </w:rPr>
        <w:t>למחירון זה ניתן להגיע גם באמצעות לחיצה על "תעריפי הנסועה" בעמוד הראשי של האתר.</w:t>
      </w:r>
    </w:p>
    <w:p w14:paraId="375F785A" w14:textId="77777777" w:rsidR="00000000" w:rsidRDefault="00000000">
      <w:pPr>
        <w:bidi/>
        <w:spacing w:line="360" w:lineRule="auto"/>
        <w:ind w:left="-58"/>
        <w:jc w:val="both"/>
        <w:rPr>
          <w:rtl/>
        </w:rPr>
      </w:pPr>
      <w:r>
        <w:rPr>
          <w:rFonts w:ascii="David" w:hAnsi="David" w:cs="David"/>
          <w:sz w:val="28"/>
          <w:szCs w:val="28"/>
          <w:rtl/>
        </w:rPr>
        <w:t> </w:t>
      </w:r>
    </w:p>
    <w:p w14:paraId="6498EDB5" w14:textId="77777777" w:rsidR="00000000" w:rsidRDefault="00000000">
      <w:pPr>
        <w:bidi/>
        <w:spacing w:line="360" w:lineRule="auto"/>
        <w:ind w:left="302" w:hanging="360"/>
        <w:jc w:val="both"/>
        <w:rPr>
          <w:rtl/>
        </w:rPr>
      </w:pPr>
      <w:r>
        <w:rPr>
          <w:rFonts w:ascii="David" w:hAnsi="David" w:cs="David"/>
          <w:sz w:val="28"/>
          <w:szCs w:val="28"/>
          <w:rtl/>
        </w:rPr>
        <w:t>-</w:t>
      </w:r>
      <w:r>
        <w:rPr>
          <w:sz w:val="14"/>
          <w:szCs w:val="14"/>
          <w:rtl/>
        </w:rPr>
        <w:t xml:space="preserve">  </w:t>
      </w:r>
      <w:r>
        <w:rPr>
          <w:rFonts w:ascii="David" w:hAnsi="David" w:cs="David"/>
          <w:sz w:val="28"/>
          <w:szCs w:val="28"/>
          <w:rtl/>
        </w:rPr>
        <w:t>ניתן להגיע לאותו המחירון גם באמצעות לחיצה על "שירות ללקוח" בעמוד הבית.</w:t>
      </w:r>
    </w:p>
    <w:p w14:paraId="59E430DD" w14:textId="77777777" w:rsidR="00000000" w:rsidRDefault="00000000">
      <w:pPr>
        <w:bidi/>
        <w:spacing w:line="360" w:lineRule="auto"/>
        <w:ind w:left="-58"/>
        <w:jc w:val="both"/>
        <w:rPr>
          <w:rtl/>
        </w:rPr>
      </w:pPr>
      <w:r>
        <w:rPr>
          <w:rFonts w:ascii="David" w:hAnsi="David" w:cs="David"/>
          <w:sz w:val="28"/>
          <w:szCs w:val="28"/>
          <w:rtl/>
        </w:rPr>
        <w:t> </w:t>
      </w:r>
    </w:p>
    <w:p w14:paraId="22336EA5" w14:textId="77777777" w:rsidR="00000000" w:rsidRDefault="00000000">
      <w:pPr>
        <w:bidi/>
        <w:spacing w:line="360" w:lineRule="auto"/>
        <w:ind w:left="302" w:hanging="360"/>
        <w:jc w:val="both"/>
        <w:rPr>
          <w:rtl/>
        </w:rPr>
      </w:pPr>
      <w:r>
        <w:rPr>
          <w:rFonts w:ascii="David" w:hAnsi="David" w:cs="David"/>
          <w:sz w:val="28"/>
          <w:szCs w:val="28"/>
          <w:rtl/>
        </w:rPr>
        <w:t>-</w:t>
      </w:r>
      <w:r>
        <w:rPr>
          <w:sz w:val="14"/>
          <w:szCs w:val="14"/>
          <w:rtl/>
        </w:rPr>
        <w:t xml:space="preserve">  </w:t>
      </w:r>
      <w:r>
        <w:rPr>
          <w:rFonts w:ascii="David" w:hAnsi="David" w:cs="David"/>
          <w:sz w:val="28"/>
          <w:szCs w:val="28"/>
          <w:rtl/>
        </w:rPr>
        <w:t>לחיצה על "מנויים" בעמוד הבית פותח עמוד שבו מצוין מפורשות כי בחירה בפסקל תביא לחיסכון עד 40% בעלויות הנסיעה, ואילו מנוי הווידאו עד 20% בהשוואה למנוי מזדמן.</w:t>
      </w:r>
    </w:p>
    <w:p w14:paraId="2A287A0C" w14:textId="77777777" w:rsidR="00000000" w:rsidRDefault="00000000">
      <w:pPr>
        <w:bidi/>
        <w:spacing w:line="360" w:lineRule="auto"/>
        <w:ind w:left="-58"/>
        <w:jc w:val="both"/>
        <w:rPr>
          <w:rtl/>
        </w:rPr>
      </w:pPr>
      <w:r>
        <w:rPr>
          <w:rFonts w:ascii="David" w:hAnsi="David" w:cs="David"/>
          <w:sz w:val="28"/>
          <w:szCs w:val="28"/>
          <w:rtl/>
        </w:rPr>
        <w:t> </w:t>
      </w:r>
    </w:p>
    <w:p w14:paraId="6DDEEA7C" w14:textId="77777777" w:rsidR="00000000" w:rsidRDefault="00000000">
      <w:pPr>
        <w:bidi/>
        <w:spacing w:line="360" w:lineRule="auto"/>
        <w:ind w:left="302" w:hanging="360"/>
        <w:jc w:val="both"/>
        <w:rPr>
          <w:rtl/>
        </w:rPr>
      </w:pPr>
      <w:r>
        <w:rPr>
          <w:rFonts w:ascii="David" w:hAnsi="David" w:cs="David"/>
          <w:sz w:val="28"/>
          <w:szCs w:val="28"/>
          <w:rtl/>
        </w:rPr>
        <w:t>-</w:t>
      </w:r>
      <w:r>
        <w:rPr>
          <w:sz w:val="14"/>
          <w:szCs w:val="14"/>
          <w:rtl/>
        </w:rPr>
        <w:t xml:space="preserve">  </w:t>
      </w:r>
      <w:r>
        <w:rPr>
          <w:rFonts w:ascii="David" w:hAnsi="David" w:cs="David"/>
          <w:sz w:val="28"/>
          <w:szCs w:val="28"/>
          <w:rtl/>
        </w:rPr>
        <w:t>לא זו אף זו, מי שהחליט להירשם מבלי שבחן את העלויות, דבר שלא נראה סביר, וניגש ישירות לבחור בין שני המסלולים, פסקל ווידאו, יכול לקבל מידע מלא באמצעות לחציה על סימן השאלה המודגש אשר מופיע מעל לשתי האפשרויות.</w:t>
      </w:r>
    </w:p>
    <w:p w14:paraId="1BD685DE" w14:textId="77777777" w:rsidR="00000000" w:rsidRDefault="00000000">
      <w:pPr>
        <w:bidi/>
        <w:spacing w:line="254" w:lineRule="auto"/>
        <w:ind w:left="720"/>
        <w:rPr>
          <w:rtl/>
        </w:rPr>
      </w:pPr>
      <w:r>
        <w:rPr>
          <w:rFonts w:ascii="David" w:hAnsi="David" w:cs="David"/>
          <w:sz w:val="28"/>
          <w:szCs w:val="28"/>
        </w:rPr>
        <w:t> </w:t>
      </w:r>
    </w:p>
    <w:p w14:paraId="0FDA6201" w14:textId="77777777" w:rsidR="00000000" w:rsidRDefault="00000000">
      <w:pPr>
        <w:bidi/>
        <w:spacing w:line="360" w:lineRule="auto"/>
        <w:ind w:left="302" w:hanging="360"/>
        <w:jc w:val="both"/>
        <w:rPr>
          <w:rtl/>
        </w:rPr>
      </w:pPr>
      <w:r>
        <w:rPr>
          <w:rFonts w:ascii="David" w:hAnsi="David" w:cs="David"/>
          <w:sz w:val="28"/>
          <w:szCs w:val="28"/>
          <w:rtl/>
        </w:rPr>
        <w:t>-</w:t>
      </w:r>
      <w:r>
        <w:rPr>
          <w:sz w:val="14"/>
          <w:szCs w:val="14"/>
          <w:rtl/>
        </w:rPr>
        <w:t xml:space="preserve">  </w:t>
      </w:r>
      <w:r>
        <w:rPr>
          <w:rFonts w:ascii="David" w:hAnsi="David" w:cs="David"/>
          <w:sz w:val="28"/>
          <w:szCs w:val="28"/>
          <w:rtl/>
        </w:rPr>
        <w:t>באתר המשיבה קיים רובוט שנותן מענה לשאלות. המבקשים צירפו עמוד בו הוצגה שאלה באשר למנוי הפסקל, ובתשובה שהתקבלה צויין מפורשות החיסכון האפשרי עד 40% מהעלות של משתמש מזדמן (עמ' 164 לבקשת האישור).</w:t>
      </w:r>
    </w:p>
    <w:p w14:paraId="47EE775C" w14:textId="77777777" w:rsidR="00000000" w:rsidRDefault="00000000">
      <w:pPr>
        <w:bidi/>
        <w:spacing w:line="254" w:lineRule="auto"/>
        <w:ind w:left="720"/>
        <w:rPr>
          <w:rtl/>
        </w:rPr>
      </w:pPr>
      <w:r>
        <w:rPr>
          <w:rFonts w:ascii="David" w:hAnsi="David" w:cs="David"/>
          <w:sz w:val="28"/>
          <w:szCs w:val="28"/>
        </w:rPr>
        <w:t> </w:t>
      </w:r>
    </w:p>
    <w:p w14:paraId="2265EAB3" w14:textId="77777777" w:rsidR="00000000" w:rsidRDefault="00000000">
      <w:pPr>
        <w:bidi/>
        <w:spacing w:line="360" w:lineRule="auto"/>
        <w:ind w:left="302" w:hanging="360"/>
        <w:jc w:val="both"/>
        <w:rPr>
          <w:rtl/>
        </w:rPr>
      </w:pPr>
      <w:r>
        <w:rPr>
          <w:rFonts w:ascii="David" w:hAnsi="David" w:cs="David"/>
          <w:sz w:val="28"/>
          <w:szCs w:val="28"/>
          <w:rtl/>
        </w:rPr>
        <w:t>-</w:t>
      </w:r>
      <w:r>
        <w:rPr>
          <w:sz w:val="14"/>
          <w:szCs w:val="14"/>
          <w:rtl/>
        </w:rPr>
        <w:t xml:space="preserve">  </w:t>
      </w:r>
      <w:r>
        <w:rPr>
          <w:rFonts w:ascii="David" w:hAnsi="David" w:cs="David"/>
          <w:sz w:val="28"/>
          <w:szCs w:val="28"/>
          <w:rtl/>
        </w:rPr>
        <w:t>נוסף לאמור, חלק מהמשתמשים נרשמים "לשירות אישי" באתר המשיבה כאשר מופיעה מיד אפשרות לקבלת הסבר על סוגי המנויים לרבות החיסכון בכל אחד מהמסלולים.</w:t>
      </w:r>
    </w:p>
    <w:p w14:paraId="3AE9AC8B" w14:textId="77777777" w:rsidR="00000000" w:rsidRDefault="00000000">
      <w:pPr>
        <w:bidi/>
        <w:spacing w:line="360" w:lineRule="auto"/>
        <w:ind w:left="-58"/>
        <w:jc w:val="both"/>
        <w:rPr>
          <w:rtl/>
        </w:rPr>
      </w:pPr>
      <w:r>
        <w:rPr>
          <w:rFonts w:ascii="David" w:hAnsi="David" w:cs="David"/>
          <w:sz w:val="28"/>
          <w:szCs w:val="28"/>
        </w:rPr>
        <w:t> </w:t>
      </w:r>
    </w:p>
    <w:p w14:paraId="318D3055" w14:textId="77777777" w:rsidR="00000000" w:rsidRDefault="00000000">
      <w:pPr>
        <w:bidi/>
        <w:spacing w:after="160" w:line="360" w:lineRule="auto"/>
        <w:ind w:left="-58"/>
        <w:jc w:val="both"/>
        <w:rPr>
          <w:rtl/>
        </w:rPr>
      </w:pPr>
      <w:r>
        <w:rPr>
          <w:rFonts w:ascii="David" w:hAnsi="David" w:cs="David"/>
          <w:sz w:val="28"/>
          <w:szCs w:val="28"/>
          <w:rtl/>
        </w:rPr>
        <w:t>75.  בניגוד לטענת המבקשים, איני סבור כי ציון שיעור החיסכון תחת דמי הגביה מהווה הטעיה, אלא ההפך מכך. הדגשת החיסכון נותנת אף תמונה בהירה וקליטה יותר ובהחלט מהווה תמריץ ממשי לכל המתעניין לבחור במסלול הזול משמעותית מהאחרים, שהוא מסלול הפסקל. התכלית בסופו של דבר לגלות לכל משתמש אפשרי את הכדאיות בבחירה במסלול הפסקל, כאשר הדרך בה בחרה המשיבה בהחלט מעבירה מסר זה היטב. כפי שציינתי מקודם (פסקה 68) אם הנפגע לא הסתמך על הפרסום שנטען כי הוא מטעה, או שהנזק לא נגרם כתוצאה ישירה מהפרת חובת הגילוי  לא יוכח קשר סיבתי עובדתי בין ההפרה לנזק. בענייננו, כן נעשה גילוי יעיל ואפקטיבי באשר ליתרון הכלכלי הטמון במסלול הפסקל לו נחשף כל המתעניין באתר האינטרנט של המשיבה, ומכאן אין כל תוחלת להסתמכות הנטענת על מידע זה באופן המקים את יסוד הקשר הסיבתי העובדתי. יתרה מכך, גם אם נראה בשימוש בשיטת האחוזים אף כהגזמה מסוימת, עדיין אין בה כדי להעיד על הטעיה (רע"א 51875-09-24 </w:t>
      </w:r>
      <w:r>
        <w:rPr>
          <w:rFonts w:ascii="David" w:hAnsi="David" w:cs="David"/>
          <w:b/>
          <w:bCs/>
          <w:sz w:val="28"/>
          <w:szCs w:val="28"/>
          <w:rtl/>
        </w:rPr>
        <w:t>רשת חנויות רמי לוי שיווק השיקמה 2006 בע"מ</w:t>
      </w:r>
      <w:r>
        <w:rPr>
          <w:rFonts w:ascii="David" w:hAnsi="David" w:cs="David"/>
          <w:sz w:val="28"/>
          <w:szCs w:val="28"/>
          <w:rtl/>
        </w:rPr>
        <w:t> נ</w:t>
      </w:r>
      <w:r>
        <w:rPr>
          <w:rFonts w:ascii="David" w:hAnsi="David" w:cs="David"/>
          <w:sz w:val="28"/>
          <w:szCs w:val="28"/>
        </w:rPr>
        <w:t>' </w:t>
      </w:r>
      <w:r>
        <w:rPr>
          <w:rFonts w:ascii="David" w:hAnsi="David" w:cs="David"/>
          <w:b/>
          <w:bCs/>
          <w:sz w:val="28"/>
          <w:szCs w:val="28"/>
          <w:rtl/>
        </w:rPr>
        <w:t>דרור עמירם</w:t>
      </w:r>
      <w:r>
        <w:rPr>
          <w:rFonts w:ascii="David" w:hAnsi="David" w:cs="David"/>
          <w:sz w:val="28"/>
          <w:szCs w:val="28"/>
          <w:rtl/>
        </w:rPr>
        <w:t xml:space="preserve"> (5.2.26)), ובוודאי לא במובן לו טענו המבקשים כהסתרה ליתרונות מסלול הפסקל והכוונה לבחירה במנוי הווידאו.</w:t>
      </w:r>
    </w:p>
    <w:p w14:paraId="1083EC92" w14:textId="77777777" w:rsidR="00000000" w:rsidRDefault="00000000">
      <w:pPr>
        <w:bidi/>
        <w:spacing w:after="160" w:line="360" w:lineRule="auto"/>
        <w:ind w:left="-58"/>
        <w:jc w:val="both"/>
        <w:rPr>
          <w:rtl/>
        </w:rPr>
      </w:pPr>
      <w:r>
        <w:rPr>
          <w:rFonts w:ascii="David" w:hAnsi="David" w:cs="David"/>
          <w:sz w:val="28"/>
          <w:szCs w:val="28"/>
          <w:rtl/>
        </w:rPr>
        <w:t>76.  אין לקבל את עמדת המבקשים כי היה על המשיבה להציג את כל המידע המהותי בעמוד הבית. דרישה זו אינה סבירה וגם לא מעשית כלל, ובוודאי אינה עולה כדי הטעיה שעה שהמידע זמין באתר בדרכים פשוטות ונגישות. ועוד, המבקשים לא הצביעו על כל נורמה המחייבת את המשיבה בפרסום מידע מהותי דווקא בשלטים לאורך הכביש, הגם שנראה כי דרך מוצעת זו דווקא עלולה להסיח את דעתו של כל הנוהג בכביש ואף להגביר את הסכנה להתרחשותן של תאונות. היקף חובת הגילוי והמידה שבה נדרש העוסק לוודא שהמידע נקלט והובן על ידי הצרכן תלויים בטיבה של חובת הגילוי ובנסיבות העניין. המחוקק הטיל על העוסק להביא את כל המידע האמין לצרכן, מתוך הכרה בכך שלצרכן אין את הכלים והמשאבים לאסוף את כל המידע הרלוונטי בעצמו - החובה היא לנקוט בדרכי גילוי סבירות ואפקטיביות - ובחובה זו עמדה המשיבה.</w:t>
      </w:r>
    </w:p>
    <w:p w14:paraId="30175FA7" w14:textId="77777777" w:rsidR="00000000" w:rsidRDefault="00000000">
      <w:pPr>
        <w:bidi/>
        <w:spacing w:after="160" w:line="360" w:lineRule="auto"/>
        <w:ind w:left="-58"/>
        <w:jc w:val="both"/>
        <w:rPr>
          <w:rtl/>
        </w:rPr>
      </w:pPr>
      <w:r>
        <w:rPr>
          <w:rFonts w:ascii="David" w:hAnsi="David" w:cs="David"/>
          <w:sz w:val="28"/>
          <w:szCs w:val="28"/>
          <w:rtl/>
        </w:rPr>
        <w:t xml:space="preserve">77.  אין לאשר את העילה הנטענת להטעיה באמצעות הפרת חובת הפרסום באתר המשיבה בשפות הרוסית והערבית. ראשית, המדובר בשינוי חזית ובחריגה ממסגרת הדיון המוסכמת; שנית, עילה זו לא עומדת לאף אחד מהמבקשים, דבר שניתן היה לצפות מראש, ומכאן, גם לו נמצא </w:t>
      </w:r>
      <w:r>
        <w:rPr>
          <w:rFonts w:ascii="David" w:hAnsi="David" w:cs="David"/>
          <w:color w:val="000000"/>
          <w:sz w:val="28"/>
          <w:szCs w:val="28"/>
          <w:rtl/>
        </w:rPr>
        <w:t xml:space="preserve">כי </w:t>
      </w:r>
      <w:r>
        <w:rPr>
          <w:rFonts w:ascii="David" w:hAnsi="David" w:cs="David"/>
          <w:sz w:val="28"/>
          <w:szCs w:val="28"/>
          <w:rtl/>
        </w:rPr>
        <w:t>התקיימו כל התנאים להגשת תביעה ייצוגית בעילה זו אין להורות על החלפת תובע מייצג</w:t>
      </w:r>
      <w:r>
        <w:rPr>
          <w:rFonts w:ascii="David" w:hAnsi="David" w:cs="David"/>
          <w:b/>
          <w:bCs/>
          <w:color w:val="000000"/>
          <w:sz w:val="28"/>
          <w:szCs w:val="28"/>
          <w:rtl/>
        </w:rPr>
        <w:t xml:space="preserve"> </w:t>
      </w:r>
      <w:r>
        <w:rPr>
          <w:rFonts w:ascii="David" w:hAnsi="David" w:cs="David"/>
          <w:sz w:val="28"/>
          <w:szCs w:val="28"/>
          <w:rtl/>
        </w:rPr>
        <w:t xml:space="preserve">(רע"א 2022/07 </w:t>
      </w:r>
      <w:r>
        <w:rPr>
          <w:rFonts w:ascii="David" w:hAnsi="David" w:cs="David"/>
          <w:b/>
          <w:bCs/>
          <w:sz w:val="28"/>
          <w:szCs w:val="28"/>
          <w:rtl/>
        </w:rPr>
        <w:t>הבנק הבינלאומי הראשון לישראל בע"מ נ' אר און השקעות בע"מ</w:t>
      </w:r>
      <w:r>
        <w:rPr>
          <w:rFonts w:ascii="David" w:hAnsi="David" w:cs="David"/>
          <w:sz w:val="28"/>
          <w:szCs w:val="28"/>
          <w:rtl/>
        </w:rPr>
        <w:t xml:space="preserve">, פסקה 5 (13.8.2007)); (עע"מ 4190/21 </w:t>
      </w:r>
      <w:r>
        <w:rPr>
          <w:rFonts w:ascii="David" w:hAnsi="David" w:cs="David"/>
          <w:b/>
          <w:bCs/>
          <w:sz w:val="28"/>
          <w:szCs w:val="28"/>
          <w:rtl/>
        </w:rPr>
        <w:t>עווד אסכאפי נ' הוועדה המקומית לתכנון פרדס חנה ואח'</w:t>
      </w:r>
      <w:r>
        <w:rPr>
          <w:rFonts w:ascii="David" w:hAnsi="David" w:cs="David"/>
          <w:sz w:val="28"/>
          <w:szCs w:val="28"/>
          <w:rtl/>
        </w:rPr>
        <w:t>, פסקה 3 (7.7.22)).</w:t>
      </w:r>
    </w:p>
    <w:p w14:paraId="0BBD4F81" w14:textId="77777777" w:rsidR="00000000" w:rsidRDefault="00000000">
      <w:pPr>
        <w:bidi/>
        <w:spacing w:after="160" w:line="360" w:lineRule="auto"/>
        <w:ind w:left="-58"/>
        <w:jc w:val="both"/>
        <w:rPr>
          <w:rtl/>
        </w:rPr>
      </w:pPr>
      <w:r>
        <w:rPr>
          <w:rFonts w:ascii="David" w:hAnsi="David" w:cs="David"/>
          <w:sz w:val="28"/>
          <w:szCs w:val="28"/>
          <w:rtl/>
        </w:rPr>
        <w:t>78.  באשר לטענת המבקשים להטעיה טלפונית, הרי המדובר במקרה בודד שנטען על-ידי המבקש 2 בלבד. מבקש זה הצהיר ביחס</w:t>
      </w:r>
      <w:r>
        <w:rPr>
          <w:rFonts w:ascii="David" w:hAnsi="David" w:cs="David"/>
          <w:sz w:val="28"/>
          <w:szCs w:val="28"/>
        </w:rPr>
        <w:t xml:space="preserve"> </w:t>
      </w:r>
      <w:r>
        <w:rPr>
          <w:rFonts w:ascii="David" w:hAnsi="David" w:cs="David"/>
          <w:sz w:val="28"/>
          <w:szCs w:val="28"/>
          <w:rtl/>
        </w:rPr>
        <w:t>למנויי וידאו שעשה</w:t>
      </w:r>
      <w:r>
        <w:rPr>
          <w:rFonts w:ascii="David" w:hAnsi="David" w:cs="David"/>
          <w:sz w:val="28"/>
          <w:szCs w:val="28"/>
        </w:rPr>
        <w:t xml:space="preserve"> </w:t>
      </w:r>
      <w:r>
        <w:rPr>
          <w:rFonts w:ascii="David" w:hAnsi="David" w:cs="David"/>
          <w:sz w:val="28"/>
          <w:szCs w:val="28"/>
          <w:rtl/>
        </w:rPr>
        <w:t xml:space="preserve">טלפונית לארבעה רכבים כאשר באותה שיחה הוטעה לחשוב, כך טען, כי זה המנוי המשתלם ביותר. גם אם נצא מנקודת הנחה כי הנטען נכון הרי עסקינן לכל היותר בהצהרה המעידה על טעות נקודתית ובוודאי לא מדיניות או התנהלות מפרה מכוונת, בטעות או בעקבות רשלנות, או למצער מהנטען המבקשים לא עמדו ברמת ההוכחה הדרושה (ע"א 2112/17 </w:t>
      </w:r>
      <w:r>
        <w:rPr>
          <w:rFonts w:ascii="David" w:hAnsi="David" w:cs="David"/>
          <w:b/>
          <w:bCs/>
          <w:sz w:val="28"/>
          <w:szCs w:val="28"/>
          <w:rtl/>
        </w:rPr>
        <w:t>גרסט נ' נטוויז'ן בע"מ</w:t>
      </w:r>
      <w:r>
        <w:rPr>
          <w:rFonts w:ascii="David" w:hAnsi="David" w:cs="David"/>
          <w:sz w:val="28"/>
          <w:szCs w:val="28"/>
          <w:rtl/>
        </w:rPr>
        <w:t xml:space="preserve"> (02.09.18)); רע"א 6182/22 </w:t>
      </w:r>
      <w:r>
        <w:rPr>
          <w:rFonts w:ascii="David" w:hAnsi="David" w:cs="David"/>
          <w:b/>
          <w:bCs/>
          <w:sz w:val="28"/>
          <w:szCs w:val="28"/>
          <w:rtl/>
        </w:rPr>
        <w:t>תנובה מרכז שיתופי לשיווק תוצרת חקלאית בע"מ נ' נחום וינקר</w:t>
      </w:r>
      <w:r>
        <w:rPr>
          <w:rFonts w:ascii="David" w:hAnsi="David" w:cs="David"/>
          <w:sz w:val="28"/>
          <w:szCs w:val="28"/>
          <w:rtl/>
        </w:rPr>
        <w:t>, פסקה 19 (24.08.23)).</w:t>
      </w:r>
    </w:p>
    <w:p w14:paraId="789FC66D" w14:textId="77777777" w:rsidR="00000000" w:rsidRDefault="00000000">
      <w:pPr>
        <w:bidi/>
        <w:spacing w:line="360" w:lineRule="auto"/>
        <w:ind w:left="-58"/>
        <w:jc w:val="both"/>
        <w:rPr>
          <w:rtl/>
        </w:rPr>
      </w:pPr>
      <w:r>
        <w:rPr>
          <w:rFonts w:ascii="David" w:hAnsi="David" w:cs="David"/>
          <w:sz w:val="28"/>
          <w:szCs w:val="28"/>
          <w:rtl/>
        </w:rPr>
        <w:t> </w:t>
      </w:r>
    </w:p>
    <w:p w14:paraId="248C3724" w14:textId="77777777" w:rsidR="00000000" w:rsidRDefault="00000000">
      <w:pPr>
        <w:bidi/>
        <w:spacing w:line="360" w:lineRule="auto"/>
        <w:ind w:left="-58"/>
        <w:jc w:val="both"/>
        <w:rPr>
          <w:rtl/>
        </w:rPr>
      </w:pPr>
      <w:r>
        <w:rPr>
          <w:rFonts w:ascii="David" w:hAnsi="David" w:cs="David"/>
          <w:sz w:val="28"/>
          <w:szCs w:val="28"/>
          <w:u w:val="single"/>
          <w:rtl/>
        </w:rPr>
        <w:t>שימוש המשיבה במכשיר הפסקל כחסם, כדי להוביל הציבור למסלול מנוי וידאו או להשתמש בכביש כלקוחות מזדמנים</w:t>
      </w:r>
    </w:p>
    <w:p w14:paraId="322C1727" w14:textId="77777777" w:rsidR="00000000" w:rsidRDefault="00000000">
      <w:pPr>
        <w:bidi/>
        <w:spacing w:line="360" w:lineRule="auto"/>
        <w:ind w:left="-58"/>
        <w:jc w:val="both"/>
        <w:rPr>
          <w:rtl/>
        </w:rPr>
      </w:pPr>
      <w:r>
        <w:rPr>
          <w:rFonts w:ascii="David" w:hAnsi="David" w:cs="David"/>
          <w:sz w:val="28"/>
          <w:szCs w:val="28"/>
          <w:rtl/>
        </w:rPr>
        <w:t> </w:t>
      </w:r>
    </w:p>
    <w:p w14:paraId="6080FA0C" w14:textId="77777777" w:rsidR="00000000" w:rsidRDefault="00000000">
      <w:pPr>
        <w:bidi/>
        <w:spacing w:line="360" w:lineRule="auto"/>
        <w:ind w:left="-58"/>
        <w:jc w:val="both"/>
        <w:rPr>
          <w:rtl/>
        </w:rPr>
      </w:pPr>
      <w:r>
        <w:rPr>
          <w:rFonts w:ascii="David" w:hAnsi="David" w:cs="David"/>
          <w:sz w:val="28"/>
          <w:szCs w:val="28"/>
          <w:rtl/>
        </w:rPr>
        <w:t>79.  נטען כי המשיבה מתנה את השימוש בפסקל לרבת בהפקדת פקדון, כאשר התכלית האמתית והסמויה היא הכבדה לשם הכוונה לבחירה במסלולים האחרים. בהתנהלות זו, כך נטען, המשיבה בעצם גובה דמי גביה ומעשירה את כיסה על חשבון מנויי הווידאו והמנויים המזדמנים. בסיכומיהם המבקשים הדגישו כי המשיבה היא מונופול המשתמשת בחסם למניעת תחרות, מה גם שאין חולק כי אין לפסקל כל יתרון לא טכנולוגי ולא כלכלי על מנוי הווידאו, אלא ההפך מכך כמו הפקדון, החשש מקרינה, ועוד - ובהתנהלותה זו היא פוגעת בציבור בניגוד, בין היתר, לסעיף 29א(ב)(4) לחוק התחרות הכלכלית. במילים אחרות, הטענה היא בעצם להתנהגות</w:t>
      </w:r>
      <w:r>
        <w:rPr>
          <w:rFonts w:ascii="David" w:hAnsi="David" w:cs="David"/>
          <w:color w:val="000000"/>
          <w:spacing w:val="10"/>
          <w:sz w:val="28"/>
          <w:szCs w:val="28"/>
          <w:rtl/>
        </w:rPr>
        <w:t xml:space="preserve"> </w:t>
      </w:r>
      <w:r>
        <w:rPr>
          <w:rFonts w:ascii="David" w:hAnsi="David" w:cs="David"/>
          <w:sz w:val="28"/>
          <w:szCs w:val="28"/>
          <w:rtl/>
        </w:rPr>
        <w:t>נצלנית</w:t>
      </w:r>
      <w:r>
        <w:rPr>
          <w:rFonts w:ascii="David" w:hAnsi="David" w:cs="David"/>
          <w:sz w:val="28"/>
          <w:szCs w:val="28"/>
        </w:rPr>
        <w:t xml:space="preserve"> </w:t>
      </w:r>
      <w:r>
        <w:rPr>
          <w:rFonts w:ascii="David" w:hAnsi="David" w:cs="David"/>
          <w:sz w:val="28"/>
          <w:szCs w:val="28"/>
          <w:rtl/>
        </w:rPr>
        <w:t xml:space="preserve">ובשימוש במעמד המונופוליסטי על מנת להשיג תנאי התקשרות החורגים מהמקובל וההוגן ובאמצעות כך לגרוף רווח על חשבון הצרכנים (ע"א 8387/20 </w:t>
      </w:r>
      <w:r>
        <w:rPr>
          <w:rFonts w:ascii="David" w:hAnsi="David" w:cs="David"/>
          <w:b/>
          <w:bCs/>
          <w:sz w:val="28"/>
          <w:szCs w:val="28"/>
          <w:rtl/>
        </w:rPr>
        <w:t>חברת נמל אשדוד בע"מ נ' הממונה על התחרות</w:t>
      </w:r>
      <w:r>
        <w:rPr>
          <w:rFonts w:ascii="David" w:hAnsi="David" w:cs="David"/>
          <w:sz w:val="28"/>
          <w:szCs w:val="28"/>
          <w:rtl/>
        </w:rPr>
        <w:t xml:space="preserve">, פסקה 52 לפסק-דינו של כב' השופט גרוסקופף (8.1.24)(להלן: עניין </w:t>
      </w:r>
      <w:r>
        <w:rPr>
          <w:rFonts w:ascii="David" w:hAnsi="David" w:cs="David"/>
          <w:b/>
          <w:bCs/>
          <w:sz w:val="28"/>
          <w:szCs w:val="28"/>
          <w:rtl/>
        </w:rPr>
        <w:t>נמל אשדוד</w:t>
      </w:r>
      <w:r>
        <w:rPr>
          <w:rFonts w:ascii="David" w:hAnsi="David" w:cs="David"/>
          <w:sz w:val="28"/>
          <w:szCs w:val="28"/>
          <w:rtl/>
        </w:rPr>
        <w:t>),</w:t>
      </w:r>
    </w:p>
    <w:p w14:paraId="4F05981E" w14:textId="77777777" w:rsidR="00000000" w:rsidRDefault="00000000">
      <w:pPr>
        <w:bidi/>
        <w:spacing w:line="360" w:lineRule="auto"/>
        <w:ind w:left="-58"/>
        <w:jc w:val="both"/>
        <w:rPr>
          <w:rtl/>
        </w:rPr>
      </w:pPr>
      <w:r>
        <w:rPr>
          <w:rFonts w:ascii="David" w:hAnsi="David" w:cs="David"/>
          <w:sz w:val="28"/>
          <w:szCs w:val="28"/>
          <w:rtl/>
        </w:rPr>
        <w:t> </w:t>
      </w:r>
    </w:p>
    <w:p w14:paraId="24A9971C" w14:textId="77777777" w:rsidR="00000000" w:rsidRDefault="00000000">
      <w:pPr>
        <w:bidi/>
        <w:spacing w:line="360" w:lineRule="auto"/>
        <w:ind w:left="-58"/>
        <w:jc w:val="both"/>
        <w:rPr>
          <w:rtl/>
        </w:rPr>
      </w:pPr>
      <w:r>
        <w:rPr>
          <w:rFonts w:ascii="David" w:hAnsi="David" w:cs="David"/>
          <w:sz w:val="28"/>
          <w:szCs w:val="28"/>
          <w:rtl/>
        </w:rPr>
        <w:t>80.  לצורכי הדיון אניח כי המשיבה היא בעלת מונופולין כהגדרת מונח זה בסעיף 26 לחוק התחרות הכלכלית. כל זאת, הנחתי משום שאיני סבור כי קיים צורך להרחיב בהקשר זה גם לא להתייחס לעמדות המומחים, מהטעם הפשוט שלמשיבה עומדת ההגנה שבסעיף 6 לפקודת הנזיקין.</w:t>
      </w:r>
    </w:p>
    <w:p w14:paraId="1916C958" w14:textId="77777777" w:rsidR="00000000" w:rsidRDefault="00000000">
      <w:pPr>
        <w:bidi/>
        <w:spacing w:line="360" w:lineRule="auto"/>
        <w:ind w:left="-58"/>
        <w:rPr>
          <w:rtl/>
        </w:rPr>
      </w:pPr>
      <w:r>
        <w:rPr>
          <w:rFonts w:ascii="David" w:hAnsi="David" w:cs="David"/>
          <w:color w:val="000000"/>
          <w:spacing w:val="10"/>
          <w:sz w:val="28"/>
          <w:szCs w:val="28"/>
          <w:rtl/>
        </w:rPr>
        <w:t> </w:t>
      </w:r>
    </w:p>
    <w:p w14:paraId="1A36E2FA" w14:textId="77777777" w:rsidR="00000000" w:rsidRDefault="00000000">
      <w:pPr>
        <w:bidi/>
        <w:spacing w:line="360" w:lineRule="auto"/>
        <w:jc w:val="both"/>
        <w:rPr>
          <w:rtl/>
        </w:rPr>
      </w:pPr>
      <w:r>
        <w:rPr>
          <w:rFonts w:ascii="David" w:hAnsi="David" w:cs="David"/>
          <w:sz w:val="28"/>
          <w:szCs w:val="28"/>
          <w:rtl/>
        </w:rPr>
        <w:t xml:space="preserve">81.  אחזור ואזכיר, כי כעולה מעמדת הרשות הממונה שהוגשה בתיק ואשר אין חולק לגביה, המשיבה קבעה בהתאם לסמכות המוקנית לה בחוק כי "תג החיוב" בכל הנוגע להפעלת כביש 6 יהא הפסקל. עוד הבהירה הרשות הממונה, כי אישרה את קביעת המשיבה כי הפסקל הינו "תג חיוב" לעניין סעיף 1 לחוק, חוזה הזיכיון והסכמי השימוש בין בעל הזיכיון לבין המשתמשים, מכוח סמכות האחרונה על פי חוק. </w:t>
      </w:r>
    </w:p>
    <w:p w14:paraId="46AE5887" w14:textId="77777777" w:rsidR="00000000" w:rsidRDefault="00000000">
      <w:pPr>
        <w:bidi/>
        <w:spacing w:line="360" w:lineRule="auto"/>
        <w:jc w:val="both"/>
        <w:rPr>
          <w:rtl/>
        </w:rPr>
      </w:pPr>
      <w:r>
        <w:rPr>
          <w:rFonts w:ascii="David" w:hAnsi="David" w:cs="David"/>
          <w:sz w:val="28"/>
          <w:szCs w:val="28"/>
          <w:rtl/>
        </w:rPr>
        <w:t> </w:t>
      </w:r>
    </w:p>
    <w:p w14:paraId="2987065D" w14:textId="77777777" w:rsidR="00000000" w:rsidRDefault="00000000">
      <w:pPr>
        <w:bidi/>
        <w:spacing w:line="360" w:lineRule="auto"/>
        <w:ind w:left="-58"/>
        <w:jc w:val="both"/>
        <w:rPr>
          <w:rtl/>
        </w:rPr>
      </w:pPr>
      <w:r>
        <w:rPr>
          <w:rFonts w:ascii="David" w:hAnsi="David" w:cs="David"/>
          <w:sz w:val="28"/>
          <w:szCs w:val="28"/>
          <w:rtl/>
        </w:rPr>
        <w:t>82.  ההגנה שקיבלה ביטוי בסעיף 6 לפקודת הנזיקין חולשת על תובענה שהוגשה בגין עוולה (אחריות נזיקית) למעט רשלנות:</w:t>
      </w:r>
    </w:p>
    <w:p w14:paraId="3C0BF706" w14:textId="77777777" w:rsidR="00000000" w:rsidRDefault="00000000">
      <w:pPr>
        <w:bidi/>
        <w:spacing w:line="360" w:lineRule="auto"/>
        <w:ind w:left="-58"/>
        <w:jc w:val="both"/>
        <w:rPr>
          <w:rtl/>
        </w:rPr>
      </w:pPr>
      <w:r>
        <w:rPr>
          <w:rFonts w:ascii="David" w:hAnsi="David" w:cs="David"/>
          <w:sz w:val="28"/>
          <w:szCs w:val="28"/>
          <w:rtl/>
        </w:rPr>
        <w:t> </w:t>
      </w:r>
    </w:p>
    <w:p w14:paraId="321087D5" w14:textId="77777777" w:rsidR="00000000" w:rsidRDefault="00000000">
      <w:pPr>
        <w:bidi/>
        <w:spacing w:line="360" w:lineRule="auto"/>
        <w:ind w:left="1643" w:right="1560"/>
        <w:jc w:val="both"/>
        <w:rPr>
          <w:rtl/>
        </w:rPr>
      </w:pPr>
      <w:r>
        <w:rPr>
          <w:rFonts w:ascii="David" w:hAnsi="David" w:cs="David"/>
          <w:sz w:val="28"/>
          <w:szCs w:val="28"/>
          <w:rtl/>
        </w:rPr>
        <w:t>"</w:t>
      </w:r>
      <w:r>
        <w:rPr>
          <w:rFonts w:ascii="David" w:hAnsi="David" w:cs="David"/>
          <w:b/>
          <w:bCs/>
          <w:sz w:val="28"/>
          <w:szCs w:val="28"/>
          <w:rtl/>
        </w:rPr>
        <w:t>סעיף זה מסיר אחריות נזיקית ממי שפעל או חדל מלפעול אם עשה כן על פי הרשאה הקבועה בחיקוק או על פי הרשאה חוקית הניתנת על ידי גורם המוסמך לתיתה, ולמצער אם האמין באופן סביר ובתום לב בקיומה של הרשאה חוקית כזו, למעט אם נהג ברשלנות</w:t>
      </w:r>
      <w:r>
        <w:rPr>
          <w:rFonts w:ascii="David" w:hAnsi="David" w:cs="David"/>
          <w:sz w:val="28"/>
          <w:szCs w:val="28"/>
          <w:rtl/>
        </w:rPr>
        <w:t xml:space="preserve">" (ע"א 7115/14 </w:t>
      </w:r>
      <w:r>
        <w:rPr>
          <w:rFonts w:ascii="David" w:hAnsi="David" w:cs="David"/>
          <w:b/>
          <w:bCs/>
          <w:sz w:val="28"/>
          <w:szCs w:val="28"/>
          <w:rtl/>
        </w:rPr>
        <w:t>שרון סירוגה-ברניר נ' סלקום ישראל בע"מ</w:t>
      </w:r>
      <w:r>
        <w:rPr>
          <w:rFonts w:ascii="David" w:hAnsi="David" w:cs="David"/>
          <w:sz w:val="28"/>
          <w:szCs w:val="28"/>
          <w:rtl/>
        </w:rPr>
        <w:t xml:space="preserve">, פסקה 29 לפסק-דינה של כב' הנשיאה חיות (3.7.17)); ראו גם : רע"א 729/04 ‏ </w:t>
      </w:r>
      <w:r>
        <w:rPr>
          <w:rFonts w:ascii="David" w:hAnsi="David" w:cs="David"/>
          <w:b/>
          <w:bCs/>
          <w:sz w:val="28"/>
          <w:szCs w:val="28"/>
          <w:rtl/>
        </w:rPr>
        <w:t>מדינת ישראל נ' קו מחשבה בע"מ</w:t>
      </w:r>
      <w:r>
        <w:rPr>
          <w:rFonts w:ascii="David" w:hAnsi="David" w:cs="David"/>
          <w:sz w:val="28"/>
          <w:szCs w:val="28"/>
          <w:rtl/>
        </w:rPr>
        <w:t>, פסקה 11 (26.4.10)).</w:t>
      </w:r>
    </w:p>
    <w:p w14:paraId="3F37CA60" w14:textId="77777777" w:rsidR="00000000" w:rsidRDefault="00000000">
      <w:pPr>
        <w:bidi/>
        <w:spacing w:line="360" w:lineRule="auto"/>
        <w:ind w:left="-58"/>
        <w:jc w:val="both"/>
        <w:rPr>
          <w:rtl/>
        </w:rPr>
      </w:pPr>
      <w:r>
        <w:rPr>
          <w:rFonts w:ascii="David" w:hAnsi="David" w:cs="David"/>
          <w:sz w:val="28"/>
          <w:szCs w:val="28"/>
          <w:rtl/>
        </w:rPr>
        <w:t> </w:t>
      </w:r>
    </w:p>
    <w:p w14:paraId="5A5B901A" w14:textId="77777777" w:rsidR="00000000" w:rsidRDefault="00000000">
      <w:pPr>
        <w:bidi/>
        <w:spacing w:line="360" w:lineRule="auto"/>
        <w:ind w:left="-58" w:firstLine="778"/>
        <w:jc w:val="both"/>
        <w:rPr>
          <w:rtl/>
        </w:rPr>
      </w:pPr>
      <w:r>
        <w:rPr>
          <w:rFonts w:ascii="David" w:hAnsi="David" w:cs="David"/>
          <w:sz w:val="28"/>
          <w:szCs w:val="28"/>
          <w:rtl/>
        </w:rPr>
        <w:t xml:space="preserve">וגם על עוולות שהן מחוץ לפקודת הנזיקין(רע"א 6567/97 </w:t>
      </w:r>
      <w:r>
        <w:rPr>
          <w:rFonts w:ascii="David" w:hAnsi="David" w:cs="David"/>
          <w:b/>
          <w:bCs/>
          <w:sz w:val="28"/>
          <w:szCs w:val="28"/>
          <w:rtl/>
        </w:rPr>
        <w:t>בזק החברה הישראלית לתקשורת בע"מ נ' עיזבון גת</w:t>
      </w:r>
      <w:r>
        <w:rPr>
          <w:rFonts w:ascii="David" w:hAnsi="David" w:cs="David"/>
          <w:sz w:val="28"/>
          <w:szCs w:val="28"/>
          <w:rtl/>
        </w:rPr>
        <w:t xml:space="preserve">, פ"ד נב(2) 713, 720 (1998); רע"א 729/04 </w:t>
      </w:r>
      <w:r>
        <w:rPr>
          <w:rFonts w:ascii="David" w:hAnsi="David" w:cs="David"/>
          <w:b/>
          <w:bCs/>
          <w:sz w:val="28"/>
          <w:szCs w:val="28"/>
          <w:rtl/>
        </w:rPr>
        <w:t>מדינת ישראל נ' קו מחשבה בע"מ</w:t>
      </w:r>
      <w:r>
        <w:rPr>
          <w:rFonts w:ascii="David" w:hAnsi="David" w:cs="David"/>
          <w:sz w:val="28"/>
          <w:szCs w:val="28"/>
          <w:rtl/>
        </w:rPr>
        <w:t xml:space="preserve"> (26.04.10)); וביתר שאת בענייננו נוכח הקבוע בסעיף 50(א) לחוק התחרות הכלכלית "</w:t>
      </w:r>
      <w:r>
        <w:rPr>
          <w:rFonts w:ascii="David" w:hAnsi="David" w:cs="David"/>
          <w:b/>
          <w:bCs/>
          <w:sz w:val="28"/>
          <w:szCs w:val="28"/>
          <w:rtl/>
        </w:rPr>
        <w:t>דין מעשה ומחדל בניגוד להוראות חוק זה, כדין עוולה לפי פקודת הנזיקין [נוסח חדש]</w:t>
      </w:r>
      <w:r>
        <w:rPr>
          <w:rFonts w:ascii="David" w:hAnsi="David" w:cs="David"/>
          <w:sz w:val="28"/>
          <w:szCs w:val="28"/>
          <w:rtl/>
        </w:rPr>
        <w:t>."</w:t>
      </w:r>
    </w:p>
    <w:p w14:paraId="05B41D60" w14:textId="77777777" w:rsidR="00000000" w:rsidRDefault="00000000">
      <w:pPr>
        <w:bidi/>
        <w:spacing w:line="360" w:lineRule="auto"/>
        <w:ind w:left="-58" w:firstLine="778"/>
        <w:jc w:val="both"/>
        <w:rPr>
          <w:rtl/>
        </w:rPr>
      </w:pPr>
      <w:r>
        <w:rPr>
          <w:rFonts w:ascii="David" w:hAnsi="David" w:cs="David"/>
          <w:sz w:val="28"/>
          <w:szCs w:val="28"/>
          <w:rtl/>
        </w:rPr>
        <w:t> </w:t>
      </w:r>
    </w:p>
    <w:p w14:paraId="69D79CE0" w14:textId="77777777" w:rsidR="00000000" w:rsidRDefault="00000000">
      <w:pPr>
        <w:bidi/>
        <w:spacing w:line="360" w:lineRule="auto"/>
        <w:ind w:left="-58" w:firstLine="778"/>
        <w:jc w:val="both"/>
        <w:rPr>
          <w:rtl/>
        </w:rPr>
      </w:pPr>
      <w:r>
        <w:rPr>
          <w:rFonts w:ascii="David" w:hAnsi="David" w:cs="David"/>
          <w:sz w:val="28"/>
          <w:szCs w:val="28"/>
          <w:rtl/>
        </w:rPr>
        <w:t>כדי שהתמונה תהיה שלמה אוסיף כי :</w:t>
      </w:r>
    </w:p>
    <w:p w14:paraId="0FAA35A3" w14:textId="77777777" w:rsidR="00000000" w:rsidRDefault="00000000">
      <w:pPr>
        <w:bidi/>
        <w:spacing w:line="360" w:lineRule="auto"/>
        <w:ind w:left="-58" w:firstLine="778"/>
        <w:jc w:val="both"/>
        <w:rPr>
          <w:rtl/>
        </w:rPr>
      </w:pPr>
      <w:r>
        <w:rPr>
          <w:rFonts w:ascii="David" w:hAnsi="David" w:cs="David"/>
          <w:sz w:val="28"/>
          <w:szCs w:val="28"/>
          <w:rtl/>
        </w:rPr>
        <w:t> </w:t>
      </w:r>
    </w:p>
    <w:p w14:paraId="0FD87626" w14:textId="77777777" w:rsidR="00000000" w:rsidRDefault="00000000">
      <w:pPr>
        <w:bidi/>
        <w:spacing w:line="360" w:lineRule="auto"/>
        <w:ind w:left="1644" w:right="1560"/>
        <w:jc w:val="both"/>
        <w:rPr>
          <w:rtl/>
        </w:rPr>
      </w:pPr>
      <w:r>
        <w:rPr>
          <w:rFonts w:ascii="David" w:hAnsi="David" w:cs="David"/>
          <w:sz w:val="28"/>
          <w:szCs w:val="28"/>
          <w:rtl/>
        </w:rPr>
        <w:t>"</w:t>
      </w:r>
      <w:r>
        <w:rPr>
          <w:rFonts w:ascii="David" w:hAnsi="David" w:cs="David"/>
          <w:b/>
          <w:bCs/>
          <w:sz w:val="28"/>
          <w:szCs w:val="28"/>
          <w:rtl/>
        </w:rPr>
        <w:t>לאחרונה נפסק עוד כי לצורך תחולת הפטור שבסעיף 6 לא די בכך שרשות מודעת לפרקטיקה כלשהי ואינה מונעת אותה, וכי כאשר מדובר בפעולות חריגות ונדירות אשר "שום אדם אינו יכול להאמין בתום לב כי [הן חוקיות]", גם מתן היתר מרשות לא יקנה פטור מאחריות נזיקית</w:t>
      </w:r>
      <w:r>
        <w:rPr>
          <w:rFonts w:ascii="David" w:hAnsi="David" w:cs="David"/>
          <w:sz w:val="28"/>
          <w:szCs w:val="28"/>
          <w:rtl/>
        </w:rPr>
        <w:t xml:space="preserve">"(רע"א 9771/16 ‏ ‏ </w:t>
      </w:r>
      <w:r>
        <w:rPr>
          <w:rFonts w:ascii="David" w:hAnsi="David" w:cs="David"/>
          <w:b/>
          <w:bCs/>
          <w:sz w:val="28"/>
          <w:szCs w:val="28"/>
          <w:rtl/>
        </w:rPr>
        <w:t>נובל אנרג'י מדיטרניאן לימיטד נ' משה נזרי</w:t>
      </w:r>
      <w:r>
        <w:rPr>
          <w:rFonts w:ascii="David" w:hAnsi="David" w:cs="David"/>
          <w:sz w:val="28"/>
          <w:szCs w:val="28"/>
          <w:rtl/>
        </w:rPr>
        <w:t>, פסקה 21 (28.9.17)).</w:t>
      </w:r>
    </w:p>
    <w:p w14:paraId="7E3951AA" w14:textId="77777777" w:rsidR="00000000" w:rsidRDefault="00000000">
      <w:pPr>
        <w:bidi/>
        <w:spacing w:line="360" w:lineRule="auto"/>
        <w:ind w:left="-58"/>
        <w:jc w:val="both"/>
        <w:rPr>
          <w:rtl/>
        </w:rPr>
      </w:pPr>
      <w:r>
        <w:rPr>
          <w:rFonts w:ascii="David" w:hAnsi="David" w:cs="David"/>
          <w:sz w:val="28"/>
          <w:szCs w:val="28"/>
          <w:rtl/>
        </w:rPr>
        <w:t> </w:t>
      </w:r>
    </w:p>
    <w:p w14:paraId="77FED9FF" w14:textId="77777777" w:rsidR="00000000" w:rsidRDefault="00000000">
      <w:pPr>
        <w:bidi/>
        <w:spacing w:line="360" w:lineRule="auto"/>
        <w:ind w:left="-58"/>
        <w:jc w:val="both"/>
        <w:rPr>
          <w:rtl/>
        </w:rPr>
      </w:pPr>
      <w:r>
        <w:rPr>
          <w:rFonts w:ascii="David" w:hAnsi="David" w:cs="David"/>
          <w:sz w:val="28"/>
          <w:szCs w:val="28"/>
          <w:rtl/>
        </w:rPr>
        <w:t>83.  בענייננו, המשיבה פעלה במסגרת הסמכות שניתנה לה על-פי דין תוך פיקוח צמוד, אישור של הרשות הממונה והמוסמכת שלנגד עיניה טובת הציבור. רשות זו מסרה בסעיף 17 לתגובתה בזו הלשון : "</w:t>
      </w:r>
      <w:r>
        <w:rPr>
          <w:rFonts w:ascii="David" w:hAnsi="David" w:cs="David"/>
          <w:b/>
          <w:bCs/>
          <w:sz w:val="28"/>
          <w:szCs w:val="28"/>
          <w:rtl/>
        </w:rPr>
        <w:t xml:space="preserve">הרשות הממונה אישרה את קביעת בעל הזיכיון, כי הפסקל, אמצעי זיהוי, הוא תג החיוב לעניין סעיף 1 לחוק וחוזה הזיכיון. ביטוי לאישור זה מצוי בין היתר בשורת מסמכים מהותיים, שיפורטו בהמשך : מסמכי המכרז, חוזה הזיכיון והסכמי השימוש בין בעל הזיכיון לבין המשתמשים, לסוגיהם, </w:t>
      </w:r>
      <w:r>
        <w:rPr>
          <w:rFonts w:ascii="David" w:hAnsi="David" w:cs="David"/>
          <w:b/>
          <w:bCs/>
          <w:sz w:val="28"/>
          <w:szCs w:val="28"/>
          <w:u w:val="single"/>
          <w:rtl/>
        </w:rPr>
        <w:t>את כולם אישרה הרשות הממונה</w:t>
      </w:r>
      <w:r>
        <w:rPr>
          <w:rFonts w:ascii="David" w:hAnsi="David" w:cs="David"/>
          <w:sz w:val="28"/>
          <w:szCs w:val="28"/>
          <w:rtl/>
        </w:rPr>
        <w:t>..."(ההדגשה שלי - א' ב').</w:t>
      </w:r>
    </w:p>
    <w:p w14:paraId="06FDF391" w14:textId="77777777" w:rsidR="00000000" w:rsidRDefault="00000000">
      <w:pPr>
        <w:bidi/>
        <w:spacing w:line="360" w:lineRule="auto"/>
        <w:ind w:left="-58"/>
        <w:jc w:val="both"/>
        <w:rPr>
          <w:rtl/>
        </w:rPr>
      </w:pPr>
      <w:r>
        <w:rPr>
          <w:rFonts w:ascii="David" w:hAnsi="David" w:cs="David"/>
          <w:sz w:val="28"/>
          <w:szCs w:val="28"/>
          <w:rtl/>
        </w:rPr>
        <w:t> </w:t>
      </w:r>
    </w:p>
    <w:p w14:paraId="5775B2C1" w14:textId="77777777" w:rsidR="00000000" w:rsidRDefault="00000000">
      <w:pPr>
        <w:bidi/>
        <w:spacing w:line="360" w:lineRule="auto"/>
        <w:ind w:left="-58" w:firstLine="778"/>
        <w:jc w:val="both"/>
        <w:rPr>
          <w:rtl/>
        </w:rPr>
      </w:pPr>
      <w:r>
        <w:rPr>
          <w:rFonts w:ascii="David" w:hAnsi="David" w:cs="David"/>
          <w:sz w:val="28"/>
          <w:szCs w:val="28"/>
          <w:rtl/>
        </w:rPr>
        <w:t>כלומר, אין ולא יכולה להיות מחלוקת כי הבחירה בפסקל נעשתה כדין, ובבחירה זו המשיבה הפעילה פררוגטיבה שהוקנתה לה אשר אושרה, לאחר בחינה ופיקוח, על-ידי הרשות הממונה :</w:t>
      </w:r>
    </w:p>
    <w:p w14:paraId="59576EFA" w14:textId="77777777" w:rsidR="00000000" w:rsidRDefault="00000000">
      <w:pPr>
        <w:bidi/>
        <w:spacing w:line="360" w:lineRule="auto"/>
        <w:ind w:left="-58"/>
        <w:jc w:val="both"/>
        <w:rPr>
          <w:rtl/>
        </w:rPr>
      </w:pPr>
      <w:r>
        <w:rPr>
          <w:rFonts w:ascii="David" w:hAnsi="David" w:cs="David"/>
          <w:sz w:val="28"/>
          <w:szCs w:val="28"/>
          <w:rtl/>
        </w:rPr>
        <w:t> </w:t>
      </w:r>
    </w:p>
    <w:p w14:paraId="0A4956FF" w14:textId="77777777" w:rsidR="00000000" w:rsidRDefault="00000000">
      <w:pPr>
        <w:bidi/>
        <w:spacing w:line="360" w:lineRule="auto"/>
        <w:ind w:left="1643" w:right="1560"/>
        <w:jc w:val="both"/>
        <w:rPr>
          <w:rtl/>
        </w:rPr>
      </w:pPr>
      <w:r>
        <w:rPr>
          <w:rFonts w:ascii="David" w:hAnsi="David" w:cs="David"/>
          <w:sz w:val="28"/>
          <w:szCs w:val="28"/>
          <w:rtl/>
        </w:rPr>
        <w:t>"</w:t>
      </w:r>
      <w:r>
        <w:rPr>
          <w:rFonts w:ascii="David" w:hAnsi="David" w:cs="David"/>
          <w:b/>
          <w:bCs/>
          <w:sz w:val="28"/>
          <w:szCs w:val="28"/>
          <w:rtl/>
        </w:rPr>
        <w:t>גבולות הפטור מאחריות שמקנה סעיף 6 מתעצבים בפסיקתו של בית משפט זה בשנים האחרונות בעיקר על רקע הליכים ייצוגיים. בהקשר זה נקבע כי הגנת סעיף 6 עשויה לחול גם במצבים שבהם הנתבעת פעלה תוך פיקוח הדוק ודיאלוג מתמשך עם רשות מוסמכת</w:t>
      </w:r>
      <w:r>
        <w:rPr>
          <w:rFonts w:ascii="David" w:hAnsi="David" w:cs="David"/>
          <w:sz w:val="28"/>
          <w:szCs w:val="28"/>
          <w:rtl/>
        </w:rPr>
        <w:t xml:space="preserve">" (רע"א 1647/19 </w:t>
      </w:r>
      <w:r>
        <w:rPr>
          <w:rFonts w:ascii="David" w:hAnsi="David" w:cs="David"/>
          <w:b/>
          <w:bCs/>
          <w:sz w:val="28"/>
          <w:szCs w:val="28"/>
          <w:rtl/>
        </w:rPr>
        <w:t>נוגם תמרוקים בע"מ נ' בייטנר, פסקה 8 והאסמכתאות שם</w:t>
      </w:r>
      <w:r>
        <w:rPr>
          <w:rFonts w:ascii="David" w:hAnsi="David" w:cs="David"/>
          <w:sz w:val="28"/>
          <w:szCs w:val="28"/>
          <w:rtl/>
        </w:rPr>
        <w:t xml:space="preserve"> (18.6.20)). </w:t>
      </w:r>
    </w:p>
    <w:p w14:paraId="3A9B36E0" w14:textId="77777777" w:rsidR="00000000" w:rsidRDefault="00000000">
      <w:pPr>
        <w:bidi/>
        <w:spacing w:line="360" w:lineRule="auto"/>
        <w:ind w:left="-58" w:firstLine="58"/>
        <w:jc w:val="both"/>
        <w:rPr>
          <w:rtl/>
        </w:rPr>
      </w:pPr>
      <w:r>
        <w:rPr>
          <w:rFonts w:ascii="David" w:hAnsi="David" w:cs="David"/>
          <w:sz w:val="28"/>
          <w:szCs w:val="28"/>
          <w:rtl/>
        </w:rPr>
        <w:t> </w:t>
      </w:r>
    </w:p>
    <w:p w14:paraId="6F94F8BA" w14:textId="77777777" w:rsidR="00000000" w:rsidRDefault="00000000">
      <w:pPr>
        <w:bidi/>
        <w:spacing w:line="360" w:lineRule="auto"/>
        <w:ind w:left="-58"/>
        <w:jc w:val="both"/>
        <w:rPr>
          <w:rtl/>
        </w:rPr>
      </w:pPr>
      <w:r>
        <w:rPr>
          <w:rFonts w:ascii="David" w:hAnsi="David" w:cs="David"/>
          <w:sz w:val="28"/>
          <w:szCs w:val="28"/>
          <w:rtl/>
        </w:rPr>
        <w:t xml:space="preserve">84.  מקרה דומה לענייננו הגיע לפתחו של בית המשפט העליון ברע"א 729/04 ‏ ‏ </w:t>
      </w:r>
      <w:r>
        <w:rPr>
          <w:rFonts w:ascii="David" w:hAnsi="David" w:cs="David"/>
          <w:b/>
          <w:bCs/>
          <w:sz w:val="28"/>
          <w:szCs w:val="28"/>
          <w:rtl/>
        </w:rPr>
        <w:t>מדינת ישראל נ' קו מחשבה בע"מ</w:t>
      </w:r>
      <w:r>
        <w:rPr>
          <w:rFonts w:ascii="David" w:hAnsi="David" w:cs="David"/>
          <w:sz w:val="28"/>
          <w:szCs w:val="28"/>
          <w:rtl/>
        </w:rPr>
        <w:t xml:space="preserve"> (26.4.10)(להלן: עניין </w:t>
      </w:r>
      <w:r>
        <w:rPr>
          <w:rFonts w:ascii="David" w:hAnsi="David" w:cs="David"/>
          <w:b/>
          <w:bCs/>
          <w:sz w:val="28"/>
          <w:szCs w:val="28"/>
          <w:rtl/>
        </w:rPr>
        <w:t>קו מחשבה</w:t>
      </w:r>
      <w:r>
        <w:rPr>
          <w:rFonts w:ascii="David" w:hAnsi="David" w:cs="David"/>
          <w:sz w:val="28"/>
          <w:szCs w:val="28"/>
          <w:rtl/>
        </w:rPr>
        <w:t>). באותו מקרה הוגשה בקשה לאישור תובענה ייצוגית כנגד</w:t>
      </w:r>
      <w:r>
        <w:rPr>
          <w:rFonts w:ascii="David" w:hAnsi="David" w:cs="David"/>
          <w:b/>
          <w:bCs/>
          <w:sz w:val="28"/>
          <w:szCs w:val="28"/>
          <w:rtl/>
        </w:rPr>
        <w:t xml:space="preserve"> </w:t>
      </w:r>
      <w:r>
        <w:rPr>
          <w:rFonts w:ascii="David" w:hAnsi="David" w:cs="David"/>
          <w:sz w:val="28"/>
          <w:szCs w:val="28"/>
          <w:rtl/>
        </w:rPr>
        <w:t>בזק בינלאומי אשר הושתתה, בין היתר, על עילה לפי סעיף 29א</w:t>
      </w:r>
      <w:r>
        <w:rPr>
          <w:rFonts w:ascii="David" w:hAnsi="David" w:cs="David"/>
          <w:sz w:val="28"/>
          <w:szCs w:val="28"/>
        </w:rPr>
        <w:t> </w:t>
      </w:r>
      <w:r>
        <w:rPr>
          <w:rFonts w:ascii="David" w:hAnsi="David" w:cs="David"/>
          <w:sz w:val="28"/>
          <w:szCs w:val="28"/>
          <w:rtl/>
        </w:rPr>
        <w:t>לחוק התחרות הכלכלית. לפי עובדותיו של אותו מקרה עד ליום 8.7.97 הייתה בזק בינלאומי הגורם היחיד שסיפק בישראל שירותי טלפון בינלאומיים והמחיר שגבתה היה בהתאם לתעריפים שנקבעו בתקנות שהתקינה שרת התקשורת, לפי </w:t>
      </w:r>
      <w:r>
        <w:rPr>
          <w:rFonts w:ascii="David" w:hAnsi="David" w:cs="David"/>
          <w:sz w:val="28"/>
          <w:szCs w:val="28"/>
          <w:u w:val="single"/>
          <w:rtl/>
        </w:rPr>
        <w:t>חוק התקשורת (בזק ושידורים)</w:t>
      </w:r>
      <w:r>
        <w:rPr>
          <w:rFonts w:ascii="David" w:hAnsi="David" w:cs="David"/>
          <w:sz w:val="28"/>
          <w:szCs w:val="28"/>
          <w:u w:val="single"/>
        </w:rPr>
        <w:t xml:space="preserve">, </w:t>
      </w:r>
      <w:r>
        <w:rPr>
          <w:rFonts w:ascii="David" w:hAnsi="David" w:cs="David"/>
          <w:sz w:val="28"/>
          <w:szCs w:val="28"/>
          <w:u w:val="single"/>
          <w:rtl/>
        </w:rPr>
        <w:t>התשמ"ב-1982</w:t>
      </w:r>
      <w:r>
        <w:rPr>
          <w:rFonts w:ascii="David" w:hAnsi="David" w:cs="David"/>
          <w:sz w:val="28"/>
          <w:szCs w:val="28"/>
          <w:rtl/>
        </w:rPr>
        <w:t> . ביום 8.7.97 הצטרפו לשוק שיחות הטלפון הבינלאומיות שתי חברות נוספות. עם הצטרפותן לשוק החלו חברות אלה ובזק בינלאומי לגבות מחירים הנמוכים בכ-80% מן המחירים שגבתה בזק בינלאומי לפני כן, כאשר בקשת האישור הוגשה בגין התקופה שקדמה לפתיחת השוק לתחרות. נקבע בזו הלשון:</w:t>
      </w:r>
    </w:p>
    <w:p w14:paraId="4116F11B" w14:textId="77777777" w:rsidR="00000000" w:rsidRDefault="00000000">
      <w:pPr>
        <w:bidi/>
        <w:spacing w:line="360" w:lineRule="auto"/>
        <w:ind w:left="-58" w:firstLine="58"/>
        <w:jc w:val="both"/>
        <w:rPr>
          <w:rtl/>
        </w:rPr>
      </w:pPr>
      <w:r>
        <w:rPr>
          <w:rFonts w:ascii="David" w:hAnsi="David" w:cs="David"/>
          <w:sz w:val="28"/>
          <w:szCs w:val="28"/>
          <w:rtl/>
        </w:rPr>
        <w:t> </w:t>
      </w:r>
    </w:p>
    <w:p w14:paraId="282C6443" w14:textId="77777777" w:rsidR="00000000" w:rsidRDefault="00000000">
      <w:pPr>
        <w:bidi/>
        <w:spacing w:line="360" w:lineRule="auto"/>
        <w:ind w:left="1643" w:right="1560"/>
        <w:jc w:val="both"/>
        <w:rPr>
          <w:rtl/>
        </w:rPr>
      </w:pPr>
      <w:r>
        <w:rPr>
          <w:rFonts w:ascii="David" w:hAnsi="David" w:cs="David"/>
          <w:sz w:val="28"/>
          <w:szCs w:val="28"/>
          <w:rtl/>
        </w:rPr>
        <w:t>"</w:t>
      </w:r>
      <w:r>
        <w:rPr>
          <w:rFonts w:ascii="David" w:hAnsi="David" w:cs="David"/>
          <w:b/>
          <w:bCs/>
          <w:sz w:val="28"/>
          <w:szCs w:val="28"/>
          <w:rtl/>
        </w:rPr>
        <w:t>לשון אחרת, אין זה מתקבל על הדעת כי הדין יורה בידו האחת על ביצוע מעשה או מחדל, ובידו השנייה יטיל בגינו אחריות אזרחית. רציונאל זה נכון הוא לא פחות כאשר מדובר בעוולות הקבועות מחוץ לפקודת הנזיקין</w:t>
      </w:r>
      <w:r>
        <w:rPr>
          <w:rFonts w:ascii="David" w:hAnsi="David" w:cs="David"/>
          <w:sz w:val="28"/>
          <w:szCs w:val="28"/>
        </w:rPr>
        <w:t>.</w:t>
      </w:r>
      <w:r>
        <w:rPr>
          <w:rFonts w:ascii="David" w:hAnsi="David" w:cs="David"/>
          <w:sz w:val="28"/>
          <w:szCs w:val="28"/>
          <w:rtl/>
        </w:rPr>
        <w:t>"(שם, פסקה 13)</w:t>
      </w:r>
    </w:p>
    <w:p w14:paraId="4A0F34CF" w14:textId="77777777" w:rsidR="00000000" w:rsidRDefault="00000000">
      <w:pPr>
        <w:bidi/>
        <w:spacing w:line="360" w:lineRule="auto"/>
        <w:ind w:left="-58" w:firstLine="58"/>
        <w:jc w:val="both"/>
        <w:rPr>
          <w:rtl/>
        </w:rPr>
      </w:pPr>
      <w:r>
        <w:rPr>
          <w:rFonts w:ascii="David" w:hAnsi="David" w:cs="David"/>
          <w:sz w:val="28"/>
          <w:szCs w:val="28"/>
          <w:rtl/>
        </w:rPr>
        <w:t> </w:t>
      </w:r>
    </w:p>
    <w:p w14:paraId="4469B434" w14:textId="77777777" w:rsidR="00000000" w:rsidRDefault="00000000">
      <w:pPr>
        <w:bidi/>
        <w:spacing w:line="360" w:lineRule="auto"/>
        <w:ind w:left="-58" w:firstLine="778"/>
        <w:jc w:val="both"/>
        <w:rPr>
          <w:rtl/>
        </w:rPr>
      </w:pPr>
      <w:r>
        <w:rPr>
          <w:rFonts w:ascii="David" w:hAnsi="David" w:cs="David"/>
          <w:sz w:val="28"/>
          <w:szCs w:val="28"/>
          <w:rtl/>
        </w:rPr>
        <w:t>ולענייננו :</w:t>
      </w:r>
    </w:p>
    <w:p w14:paraId="263301EA" w14:textId="77777777" w:rsidR="00000000" w:rsidRDefault="00000000">
      <w:pPr>
        <w:bidi/>
        <w:spacing w:line="360" w:lineRule="auto"/>
        <w:ind w:left="1643" w:right="1560"/>
        <w:jc w:val="both"/>
        <w:rPr>
          <w:rtl/>
        </w:rPr>
      </w:pPr>
      <w:r>
        <w:rPr>
          <w:rFonts w:ascii="David" w:hAnsi="David" w:cs="David"/>
          <w:sz w:val="28"/>
          <w:szCs w:val="28"/>
          <w:rtl/>
        </w:rPr>
        <w:t>"</w:t>
      </w:r>
      <w:r>
        <w:rPr>
          <w:rFonts w:ascii="David" w:hAnsi="David" w:cs="David"/>
          <w:b/>
          <w:bCs/>
          <w:sz w:val="28"/>
          <w:szCs w:val="28"/>
          <w:rtl/>
        </w:rPr>
        <w:t>הוראת סעיף 6 לפקודת הנזיקין חלה, איפוא, על עוולות המיובאות לפקודה, וביניהן זו הקבועה בסעיף 29א לחוק ההגבלים העסקיים. כאמור לעיל, סעיף 6 מספק לנתבעות הגנה מפני התובענה דנא, אם התקנות תקפות הן. כלומר, עילת התביעה שיסודה בסעיף 29א לחוק ההגבלים העסקיים תלויה בקביעה כי התקנות בטלות</w:t>
      </w:r>
      <w:r>
        <w:rPr>
          <w:rFonts w:ascii="David" w:hAnsi="David" w:cs="David"/>
          <w:sz w:val="28"/>
          <w:szCs w:val="28"/>
          <w:rtl/>
        </w:rPr>
        <w:t>."(שם, פסקה 14)</w:t>
      </w:r>
    </w:p>
    <w:p w14:paraId="0DDD2B61" w14:textId="77777777" w:rsidR="00000000" w:rsidRDefault="00000000">
      <w:pPr>
        <w:bidi/>
        <w:spacing w:line="360" w:lineRule="auto"/>
        <w:ind w:left="-58" w:firstLine="778"/>
        <w:jc w:val="both"/>
        <w:rPr>
          <w:rtl/>
        </w:rPr>
      </w:pPr>
      <w:r>
        <w:rPr>
          <w:rFonts w:ascii="David" w:hAnsi="David" w:cs="David"/>
          <w:sz w:val="28"/>
          <w:szCs w:val="28"/>
          <w:rtl/>
        </w:rPr>
        <w:t> </w:t>
      </w:r>
    </w:p>
    <w:p w14:paraId="78D5D2A5" w14:textId="77777777" w:rsidR="00000000" w:rsidRDefault="00000000">
      <w:pPr>
        <w:bidi/>
        <w:spacing w:line="360" w:lineRule="auto"/>
        <w:ind w:left="-58" w:firstLine="778"/>
        <w:jc w:val="both"/>
        <w:rPr>
          <w:rtl/>
        </w:rPr>
      </w:pPr>
      <w:r>
        <w:rPr>
          <w:rFonts w:ascii="David" w:hAnsi="David" w:cs="David"/>
          <w:sz w:val="28"/>
          <w:szCs w:val="28"/>
          <w:rtl/>
        </w:rPr>
        <w:t xml:space="preserve">מכאן, אין לקבל את עמדת המבקשים וגם אין כל רלוונטיות לטענתם כי דווקא מסלול הווידאו עדיף על הפסקל. שעה שהבחירה נעשתה בהתאם לדין, במסגרתו של הליך מפוקח ולאחר אישור על-ידי הרשות הממונה, כן בחירה זו עומדת בעינה, הדרך היא תקיפת ההסדרים שביסודה ולא התנצחות עם בחירתה של המשיבה באמצעות הצבעה על שיקולים, אשר לגישת המבקשים, מערערים בחירה זו (ע"א 4291/17 </w:t>
      </w:r>
      <w:r>
        <w:rPr>
          <w:rFonts w:ascii="David" w:hAnsi="David" w:cs="David"/>
          <w:b/>
          <w:bCs/>
          <w:sz w:val="28"/>
          <w:szCs w:val="28"/>
          <w:rtl/>
        </w:rPr>
        <w:t>אלפריח נ' עיריית חיפה</w:t>
      </w:r>
      <w:r>
        <w:rPr>
          <w:rFonts w:ascii="David" w:hAnsi="David" w:cs="David"/>
          <w:sz w:val="28"/>
          <w:szCs w:val="28"/>
          <w:rtl/>
        </w:rPr>
        <w:t xml:space="preserve"> (06.03.19); עע"מ 7639/20 </w:t>
      </w:r>
      <w:r>
        <w:rPr>
          <w:rFonts w:ascii="David" w:hAnsi="David" w:cs="David"/>
          <w:b/>
          <w:bCs/>
          <w:sz w:val="28"/>
          <w:szCs w:val="28"/>
          <w:rtl/>
        </w:rPr>
        <w:t>יוסף עזר נ' עיריית רחובות</w:t>
      </w:r>
      <w:r>
        <w:rPr>
          <w:rFonts w:ascii="David" w:hAnsi="David" w:cs="David"/>
          <w:sz w:val="28"/>
          <w:szCs w:val="28"/>
          <w:rtl/>
        </w:rPr>
        <w:t xml:space="preserve"> (2.7.03); בר"מ 3872/19 </w:t>
      </w:r>
      <w:r>
        <w:rPr>
          <w:rFonts w:ascii="David" w:hAnsi="David" w:cs="David"/>
          <w:b/>
          <w:bCs/>
          <w:sz w:val="28"/>
          <w:szCs w:val="28"/>
          <w:rtl/>
        </w:rPr>
        <w:t xml:space="preserve">עיריית חדרה נ' פייסחוב </w:t>
      </w:r>
      <w:r>
        <w:rPr>
          <w:rFonts w:ascii="David" w:hAnsi="David" w:cs="David"/>
          <w:sz w:val="28"/>
          <w:szCs w:val="28"/>
          <w:rtl/>
        </w:rPr>
        <w:t>(12.2.20).</w:t>
      </w:r>
    </w:p>
    <w:p w14:paraId="3DFEFCCD" w14:textId="77777777" w:rsidR="00000000" w:rsidRDefault="00000000">
      <w:pPr>
        <w:bidi/>
        <w:spacing w:line="360" w:lineRule="auto"/>
        <w:jc w:val="both"/>
        <w:rPr>
          <w:rtl/>
        </w:rPr>
      </w:pPr>
      <w:r>
        <w:rPr>
          <w:rFonts w:ascii="David" w:hAnsi="David" w:cs="David"/>
          <w:sz w:val="28"/>
          <w:szCs w:val="28"/>
          <w:rtl/>
        </w:rPr>
        <w:t> </w:t>
      </w:r>
    </w:p>
    <w:p w14:paraId="7A351DDC" w14:textId="77777777" w:rsidR="00000000" w:rsidRDefault="00000000">
      <w:pPr>
        <w:bidi/>
        <w:spacing w:line="360" w:lineRule="auto"/>
        <w:ind w:left="-58"/>
        <w:jc w:val="both"/>
        <w:rPr>
          <w:rtl/>
        </w:rPr>
      </w:pPr>
      <w:r>
        <w:rPr>
          <w:rFonts w:ascii="David" w:hAnsi="David" w:cs="David"/>
          <w:sz w:val="28"/>
          <w:szCs w:val="28"/>
          <w:u w:val="single"/>
          <w:rtl/>
        </w:rPr>
        <w:t>המשיבה לא מאפשרת תחרות לביצוע התשלום באמצעות ממשקי גביה אחרים כמו האפליקציות סלופארק או פנגו.</w:t>
      </w:r>
    </w:p>
    <w:p w14:paraId="62C77582" w14:textId="77777777" w:rsidR="00000000" w:rsidRDefault="00000000">
      <w:pPr>
        <w:bidi/>
        <w:spacing w:line="360" w:lineRule="auto"/>
        <w:ind w:left="-58"/>
        <w:jc w:val="both"/>
        <w:rPr>
          <w:rtl/>
        </w:rPr>
      </w:pPr>
      <w:r>
        <w:rPr>
          <w:rFonts w:ascii="David" w:hAnsi="David" w:cs="David"/>
          <w:sz w:val="28"/>
          <w:szCs w:val="28"/>
          <w:rtl/>
        </w:rPr>
        <w:t> </w:t>
      </w:r>
    </w:p>
    <w:p w14:paraId="18F3EE58" w14:textId="77777777" w:rsidR="00000000" w:rsidRDefault="00000000">
      <w:pPr>
        <w:bidi/>
        <w:spacing w:line="360" w:lineRule="auto"/>
        <w:ind w:left="-58"/>
        <w:jc w:val="both"/>
        <w:rPr>
          <w:rtl/>
        </w:rPr>
      </w:pPr>
      <w:r>
        <w:rPr>
          <w:rFonts w:ascii="David" w:hAnsi="David" w:cs="David"/>
          <w:sz w:val="28"/>
          <w:szCs w:val="28"/>
          <w:rtl/>
        </w:rPr>
        <w:t>85.  בהקשר זה המבקשים טוענים כי בשונה מכבישי אגרה אחרים המשיבה לא מאפשרת תשלום באמצעות היישומונים שבכותרת דבר שהיה יוצר תחרות באשר לדמי הגביה ולהוזלתם, וזאת בניגוד לחובתה כמונופול לאפשר שימוש במשאב חיוני.</w:t>
      </w:r>
    </w:p>
    <w:p w14:paraId="610B71F2" w14:textId="77777777" w:rsidR="00000000" w:rsidRDefault="00000000">
      <w:pPr>
        <w:bidi/>
        <w:spacing w:line="360" w:lineRule="auto"/>
        <w:ind w:left="-58"/>
        <w:jc w:val="both"/>
        <w:rPr>
          <w:rtl/>
        </w:rPr>
      </w:pPr>
      <w:r>
        <w:rPr>
          <w:rFonts w:ascii="David" w:hAnsi="David" w:cs="David"/>
          <w:sz w:val="28"/>
          <w:szCs w:val="28"/>
          <w:rtl/>
        </w:rPr>
        <w:t> </w:t>
      </w:r>
    </w:p>
    <w:p w14:paraId="0F1F31CD" w14:textId="77777777" w:rsidR="00000000" w:rsidRDefault="00000000">
      <w:pPr>
        <w:bidi/>
        <w:spacing w:line="360" w:lineRule="auto"/>
        <w:ind w:left="-58"/>
        <w:jc w:val="both"/>
        <w:rPr>
          <w:rtl/>
        </w:rPr>
      </w:pPr>
      <w:r>
        <w:rPr>
          <w:rFonts w:ascii="David" w:hAnsi="David" w:cs="David"/>
          <w:sz w:val="28"/>
          <w:szCs w:val="28"/>
          <w:rtl/>
        </w:rPr>
        <w:t>86.  עוד לפני שאדרש לטענה זו אציין כי במסגרת סעיף 34.2 לתוספת השלישית להסכם הזיכיון מיום 8.8.22 (מוצג בא-1-1) שנחתמה לשם מימוש רצון המדינה להרחיב את כביש 6 הוסכם כי "</w:t>
      </w:r>
      <w:r>
        <w:rPr>
          <w:rFonts w:ascii="David" w:hAnsi="David" w:cs="David"/>
          <w:b/>
          <w:bCs/>
          <w:sz w:val="28"/>
          <w:szCs w:val="28"/>
          <w:rtl/>
        </w:rPr>
        <w:t>ככל</w:t>
      </w:r>
      <w:r>
        <w:rPr>
          <w:rFonts w:ascii="David" w:hAnsi="David" w:cs="David"/>
          <w:b/>
          <w:bCs/>
          <w:sz w:val="28"/>
          <w:szCs w:val="28"/>
        </w:rPr>
        <w:t xml:space="preserve"> </w:t>
      </w:r>
      <w:r>
        <w:rPr>
          <w:rFonts w:ascii="David" w:hAnsi="David" w:cs="David"/>
          <w:b/>
          <w:bCs/>
          <w:sz w:val="28"/>
          <w:szCs w:val="28"/>
          <w:rtl/>
        </w:rPr>
        <w:t>שהמדינה</w:t>
      </w:r>
      <w:r>
        <w:rPr>
          <w:rFonts w:ascii="David" w:hAnsi="David" w:cs="David"/>
          <w:b/>
          <w:bCs/>
          <w:sz w:val="28"/>
          <w:szCs w:val="28"/>
        </w:rPr>
        <w:t xml:space="preserve"> </w:t>
      </w:r>
      <w:r>
        <w:rPr>
          <w:rFonts w:ascii="David" w:hAnsi="David" w:cs="David"/>
          <w:b/>
          <w:bCs/>
          <w:sz w:val="28"/>
          <w:szCs w:val="28"/>
          <w:rtl/>
        </w:rPr>
        <w:t>תפנה</w:t>
      </w:r>
      <w:r>
        <w:rPr>
          <w:rFonts w:ascii="David" w:hAnsi="David" w:cs="David"/>
          <w:b/>
          <w:bCs/>
          <w:sz w:val="28"/>
          <w:szCs w:val="28"/>
        </w:rPr>
        <w:t xml:space="preserve"> </w:t>
      </w:r>
      <w:r>
        <w:rPr>
          <w:rFonts w:ascii="David" w:hAnsi="David" w:cs="David"/>
          <w:b/>
          <w:bCs/>
          <w:sz w:val="28"/>
          <w:szCs w:val="28"/>
          <w:rtl/>
        </w:rPr>
        <w:t>לבעל</w:t>
      </w:r>
      <w:r>
        <w:rPr>
          <w:rFonts w:ascii="David" w:hAnsi="David" w:cs="David"/>
          <w:b/>
          <w:bCs/>
          <w:sz w:val="28"/>
          <w:szCs w:val="28"/>
        </w:rPr>
        <w:t xml:space="preserve"> </w:t>
      </w:r>
      <w:r>
        <w:rPr>
          <w:rFonts w:ascii="David" w:hAnsi="David" w:cs="David"/>
          <w:b/>
          <w:bCs/>
          <w:sz w:val="28"/>
          <w:szCs w:val="28"/>
          <w:rtl/>
        </w:rPr>
        <w:t>הזיכיון</w:t>
      </w:r>
      <w:r>
        <w:rPr>
          <w:rFonts w:ascii="David" w:hAnsi="David" w:cs="David"/>
          <w:b/>
          <w:bCs/>
          <w:sz w:val="28"/>
          <w:szCs w:val="28"/>
        </w:rPr>
        <w:t xml:space="preserve"> </w:t>
      </w:r>
      <w:r>
        <w:rPr>
          <w:rFonts w:ascii="David" w:hAnsi="David" w:cs="David"/>
          <w:b/>
          <w:bCs/>
          <w:sz w:val="28"/>
          <w:szCs w:val="28"/>
          <w:rtl/>
        </w:rPr>
        <w:t>על</w:t>
      </w:r>
      <w:r>
        <w:rPr>
          <w:rFonts w:ascii="David" w:hAnsi="David" w:cs="David"/>
          <w:b/>
          <w:bCs/>
          <w:sz w:val="28"/>
          <w:szCs w:val="28"/>
        </w:rPr>
        <w:t xml:space="preserve"> </w:t>
      </w:r>
      <w:r>
        <w:rPr>
          <w:rFonts w:ascii="David" w:hAnsi="David" w:cs="David"/>
          <w:b/>
          <w:bCs/>
          <w:sz w:val="28"/>
          <w:szCs w:val="28"/>
          <w:rtl/>
        </w:rPr>
        <w:t>מנת</w:t>
      </w:r>
      <w:r>
        <w:rPr>
          <w:rFonts w:ascii="David" w:hAnsi="David" w:cs="David"/>
          <w:b/>
          <w:bCs/>
          <w:sz w:val="28"/>
          <w:szCs w:val="28"/>
        </w:rPr>
        <w:t xml:space="preserve"> </w:t>
      </w:r>
      <w:r>
        <w:rPr>
          <w:rFonts w:ascii="David" w:hAnsi="David" w:cs="David"/>
          <w:b/>
          <w:bCs/>
          <w:sz w:val="28"/>
          <w:szCs w:val="28"/>
          <w:rtl/>
        </w:rPr>
        <w:t>שיתקשר</w:t>
      </w:r>
      <w:r>
        <w:rPr>
          <w:rFonts w:ascii="David" w:hAnsi="David" w:cs="David"/>
          <w:b/>
          <w:bCs/>
          <w:sz w:val="28"/>
          <w:szCs w:val="28"/>
        </w:rPr>
        <w:t xml:space="preserve"> </w:t>
      </w:r>
      <w:r>
        <w:rPr>
          <w:rFonts w:ascii="David" w:hAnsi="David" w:cs="David"/>
          <w:b/>
          <w:bCs/>
          <w:sz w:val="28"/>
          <w:szCs w:val="28"/>
          <w:rtl/>
        </w:rPr>
        <w:t>עם</w:t>
      </w:r>
      <w:r>
        <w:rPr>
          <w:rFonts w:ascii="David" w:hAnsi="David" w:cs="David"/>
          <w:b/>
          <w:bCs/>
          <w:sz w:val="28"/>
          <w:szCs w:val="28"/>
        </w:rPr>
        <w:t xml:space="preserve"> </w:t>
      </w:r>
      <w:r>
        <w:rPr>
          <w:rFonts w:ascii="David" w:hAnsi="David" w:cs="David"/>
          <w:b/>
          <w:bCs/>
          <w:sz w:val="28"/>
          <w:szCs w:val="28"/>
          <w:rtl/>
        </w:rPr>
        <w:t>תאגיד</w:t>
      </w:r>
      <w:r>
        <w:rPr>
          <w:rFonts w:ascii="David" w:hAnsi="David" w:cs="David"/>
          <w:b/>
          <w:bCs/>
          <w:sz w:val="28"/>
          <w:szCs w:val="28"/>
        </w:rPr>
        <w:t xml:space="preserve"> </w:t>
      </w:r>
      <w:r>
        <w:rPr>
          <w:rFonts w:ascii="David" w:hAnsi="David" w:cs="David"/>
          <w:b/>
          <w:bCs/>
          <w:sz w:val="28"/>
          <w:szCs w:val="28"/>
          <w:rtl/>
        </w:rPr>
        <w:t>אשר</w:t>
      </w:r>
      <w:r>
        <w:rPr>
          <w:rFonts w:ascii="David" w:hAnsi="David" w:cs="David"/>
          <w:b/>
          <w:bCs/>
          <w:sz w:val="28"/>
          <w:szCs w:val="28"/>
        </w:rPr>
        <w:t xml:space="preserve"> </w:t>
      </w:r>
      <w:r>
        <w:rPr>
          <w:rFonts w:ascii="David" w:hAnsi="David" w:cs="David"/>
          <w:b/>
          <w:bCs/>
          <w:sz w:val="28"/>
          <w:szCs w:val="28"/>
          <w:rtl/>
        </w:rPr>
        <w:t>מספק</w:t>
      </w:r>
      <w:r>
        <w:rPr>
          <w:rFonts w:ascii="David" w:hAnsi="David" w:cs="David"/>
          <w:b/>
          <w:bCs/>
          <w:sz w:val="28"/>
          <w:szCs w:val="28"/>
        </w:rPr>
        <w:t xml:space="preserve">, </w:t>
      </w:r>
      <w:r>
        <w:rPr>
          <w:rFonts w:ascii="David" w:hAnsi="David" w:cs="David"/>
          <w:b/>
          <w:bCs/>
          <w:sz w:val="28"/>
          <w:szCs w:val="28"/>
          <w:rtl/>
        </w:rPr>
        <w:t>שנתיים</w:t>
      </w:r>
      <w:r>
        <w:rPr>
          <w:rFonts w:ascii="David" w:hAnsi="David" w:cs="David"/>
          <w:b/>
          <w:bCs/>
          <w:sz w:val="28"/>
          <w:szCs w:val="28"/>
        </w:rPr>
        <w:t xml:space="preserve"> </w:t>
      </w:r>
      <w:r>
        <w:rPr>
          <w:rFonts w:ascii="David" w:hAnsi="David" w:cs="David"/>
          <w:b/>
          <w:bCs/>
          <w:sz w:val="28"/>
          <w:szCs w:val="28"/>
          <w:rtl/>
        </w:rPr>
        <w:t>לפתות</w:t>
      </w:r>
      <w:r>
        <w:rPr>
          <w:rFonts w:ascii="David" w:hAnsi="David" w:cs="David"/>
          <w:b/>
          <w:bCs/>
          <w:sz w:val="28"/>
          <w:szCs w:val="28"/>
        </w:rPr>
        <w:t xml:space="preserve">, </w:t>
      </w:r>
      <w:r>
        <w:rPr>
          <w:rFonts w:ascii="David" w:hAnsi="David" w:cs="David"/>
          <w:b/>
          <w:bCs/>
          <w:sz w:val="28"/>
          <w:szCs w:val="28"/>
          <w:rtl/>
        </w:rPr>
        <w:t>שירותי תשלום</w:t>
      </w:r>
      <w:r>
        <w:rPr>
          <w:rFonts w:ascii="David" w:hAnsi="David" w:cs="David"/>
          <w:b/>
          <w:bCs/>
          <w:sz w:val="28"/>
          <w:szCs w:val="28"/>
        </w:rPr>
        <w:t xml:space="preserve"> </w:t>
      </w:r>
      <w:r>
        <w:rPr>
          <w:rFonts w:ascii="David" w:hAnsi="David" w:cs="David"/>
          <w:b/>
          <w:bCs/>
          <w:sz w:val="28"/>
          <w:szCs w:val="28"/>
          <w:rtl/>
        </w:rPr>
        <w:t>בתחום</w:t>
      </w:r>
      <w:r>
        <w:rPr>
          <w:rFonts w:ascii="David" w:hAnsi="David" w:cs="David"/>
          <w:b/>
          <w:bCs/>
          <w:sz w:val="28"/>
          <w:szCs w:val="28"/>
        </w:rPr>
        <w:t xml:space="preserve"> </w:t>
      </w:r>
      <w:r>
        <w:rPr>
          <w:rFonts w:ascii="David" w:hAnsi="David" w:cs="David"/>
          <w:b/>
          <w:bCs/>
          <w:sz w:val="28"/>
          <w:szCs w:val="28"/>
          <w:rtl/>
        </w:rPr>
        <w:t>התחבורה</w:t>
      </w:r>
      <w:r>
        <w:rPr>
          <w:rFonts w:ascii="David" w:hAnsi="David" w:cs="David"/>
          <w:b/>
          <w:bCs/>
          <w:sz w:val="28"/>
          <w:szCs w:val="28"/>
        </w:rPr>
        <w:t xml:space="preserve"> </w:t>
      </w:r>
      <w:r>
        <w:rPr>
          <w:rFonts w:ascii="David" w:hAnsi="David" w:cs="David"/>
          <w:b/>
          <w:bCs/>
          <w:sz w:val="28"/>
          <w:szCs w:val="28"/>
          <w:rtl/>
        </w:rPr>
        <w:t>במדינת</w:t>
      </w:r>
      <w:r>
        <w:rPr>
          <w:rFonts w:ascii="David" w:hAnsi="David" w:cs="David"/>
          <w:b/>
          <w:bCs/>
          <w:sz w:val="28"/>
          <w:szCs w:val="28"/>
        </w:rPr>
        <w:t xml:space="preserve"> </w:t>
      </w:r>
      <w:r>
        <w:rPr>
          <w:rFonts w:ascii="David" w:hAnsi="David" w:cs="David"/>
          <w:b/>
          <w:bCs/>
          <w:sz w:val="28"/>
          <w:szCs w:val="28"/>
          <w:rtl/>
        </w:rPr>
        <w:t>ישראל (לרבות</w:t>
      </w:r>
      <w:r>
        <w:rPr>
          <w:rFonts w:ascii="David" w:hAnsi="David" w:cs="David"/>
          <w:b/>
          <w:bCs/>
          <w:sz w:val="28"/>
          <w:szCs w:val="28"/>
        </w:rPr>
        <w:t xml:space="preserve"> </w:t>
      </w:r>
      <w:r>
        <w:rPr>
          <w:rFonts w:ascii="David" w:hAnsi="David" w:cs="David"/>
          <w:b/>
          <w:bCs/>
          <w:sz w:val="28"/>
          <w:szCs w:val="28"/>
          <w:rtl/>
        </w:rPr>
        <w:t>חניה</w:t>
      </w:r>
      <w:r>
        <w:rPr>
          <w:rFonts w:ascii="David" w:hAnsi="David" w:cs="David"/>
          <w:b/>
          <w:bCs/>
          <w:sz w:val="28"/>
          <w:szCs w:val="28"/>
        </w:rPr>
        <w:t xml:space="preserve">( </w:t>
      </w:r>
      <w:r>
        <w:rPr>
          <w:rFonts w:ascii="David" w:hAnsi="David" w:cs="David"/>
          <w:b/>
          <w:bCs/>
          <w:sz w:val="28"/>
          <w:szCs w:val="28"/>
          <w:rtl/>
        </w:rPr>
        <w:t>באמצעות</w:t>
      </w:r>
      <w:r>
        <w:rPr>
          <w:rFonts w:ascii="David" w:hAnsi="David" w:cs="David"/>
          <w:b/>
          <w:bCs/>
          <w:sz w:val="28"/>
          <w:szCs w:val="28"/>
        </w:rPr>
        <w:t xml:space="preserve"> </w:t>
      </w:r>
      <w:r>
        <w:rPr>
          <w:rFonts w:ascii="David" w:hAnsi="David" w:cs="David"/>
          <w:b/>
          <w:bCs/>
          <w:sz w:val="28"/>
          <w:szCs w:val="28"/>
          <w:rtl/>
        </w:rPr>
        <w:t>ישומון כגון</w:t>
      </w:r>
      <w:r>
        <w:rPr>
          <w:rFonts w:ascii="David" w:hAnsi="David" w:cs="David"/>
          <w:b/>
          <w:bCs/>
          <w:sz w:val="28"/>
          <w:szCs w:val="28"/>
        </w:rPr>
        <w:t xml:space="preserve"> </w:t>
      </w:r>
      <w:r>
        <w:rPr>
          <w:rFonts w:ascii="David" w:hAnsi="David" w:cs="David"/>
          <w:b/>
          <w:bCs/>
          <w:sz w:val="28"/>
          <w:szCs w:val="28"/>
          <w:rtl/>
        </w:rPr>
        <w:t>פנגו</w:t>
      </w:r>
      <w:r>
        <w:rPr>
          <w:rFonts w:ascii="David" w:hAnsi="David" w:cs="David"/>
          <w:b/>
          <w:bCs/>
          <w:sz w:val="28"/>
          <w:szCs w:val="28"/>
        </w:rPr>
        <w:t xml:space="preserve"> </w:t>
      </w:r>
      <w:r>
        <w:rPr>
          <w:rFonts w:ascii="David" w:hAnsi="David" w:cs="David"/>
          <w:b/>
          <w:bCs/>
          <w:sz w:val="28"/>
          <w:szCs w:val="28"/>
          <w:rtl/>
        </w:rPr>
        <w:t>וסלופארק ("מפעיל</w:t>
      </w:r>
      <w:r>
        <w:rPr>
          <w:rFonts w:ascii="David" w:hAnsi="David" w:cs="David"/>
          <w:b/>
          <w:bCs/>
          <w:sz w:val="28"/>
          <w:szCs w:val="28"/>
        </w:rPr>
        <w:t xml:space="preserve"> </w:t>
      </w:r>
      <w:r>
        <w:rPr>
          <w:rFonts w:ascii="David" w:hAnsi="David" w:cs="David"/>
          <w:b/>
          <w:bCs/>
          <w:sz w:val="28"/>
          <w:szCs w:val="28"/>
          <w:rtl/>
        </w:rPr>
        <w:t>הישומון") או</w:t>
      </w:r>
      <w:r>
        <w:rPr>
          <w:rFonts w:ascii="David" w:hAnsi="David" w:cs="David"/>
          <w:b/>
          <w:bCs/>
          <w:sz w:val="28"/>
          <w:szCs w:val="28"/>
        </w:rPr>
        <w:t xml:space="preserve"> </w:t>
      </w:r>
      <w:r>
        <w:rPr>
          <w:rFonts w:ascii="David" w:hAnsi="David" w:cs="David"/>
          <w:b/>
          <w:bCs/>
          <w:sz w:val="28"/>
          <w:szCs w:val="28"/>
          <w:rtl/>
        </w:rPr>
        <w:t>ככל</w:t>
      </w:r>
      <w:r>
        <w:rPr>
          <w:rFonts w:ascii="David" w:hAnsi="David" w:cs="David"/>
          <w:b/>
          <w:bCs/>
          <w:sz w:val="28"/>
          <w:szCs w:val="28"/>
        </w:rPr>
        <w:t xml:space="preserve"> </w:t>
      </w:r>
      <w:r>
        <w:rPr>
          <w:rFonts w:ascii="David" w:hAnsi="David" w:cs="David"/>
          <w:b/>
          <w:bCs/>
          <w:sz w:val="28"/>
          <w:szCs w:val="28"/>
          <w:rtl/>
        </w:rPr>
        <w:t>שמפעיל</w:t>
      </w:r>
      <w:r>
        <w:rPr>
          <w:rFonts w:ascii="David" w:hAnsi="David" w:cs="David"/>
          <w:b/>
          <w:bCs/>
          <w:sz w:val="28"/>
          <w:szCs w:val="28"/>
        </w:rPr>
        <w:t xml:space="preserve"> </w:t>
      </w:r>
      <w:r>
        <w:rPr>
          <w:rFonts w:ascii="David" w:hAnsi="David" w:cs="David"/>
          <w:b/>
          <w:bCs/>
          <w:sz w:val="28"/>
          <w:szCs w:val="28"/>
          <w:rtl/>
        </w:rPr>
        <w:t>הישומון</w:t>
      </w:r>
      <w:r>
        <w:rPr>
          <w:rFonts w:ascii="David" w:hAnsi="David" w:cs="David"/>
          <w:b/>
          <w:bCs/>
          <w:sz w:val="28"/>
          <w:szCs w:val="28"/>
        </w:rPr>
        <w:t xml:space="preserve"> </w:t>
      </w:r>
      <w:r>
        <w:rPr>
          <w:rFonts w:ascii="David" w:hAnsi="David" w:cs="David"/>
          <w:b/>
          <w:bCs/>
          <w:sz w:val="28"/>
          <w:szCs w:val="28"/>
          <w:rtl/>
        </w:rPr>
        <w:t>יפנה</w:t>
      </w:r>
      <w:r>
        <w:rPr>
          <w:rFonts w:ascii="David" w:hAnsi="David" w:cs="David"/>
          <w:b/>
          <w:bCs/>
          <w:sz w:val="28"/>
          <w:szCs w:val="28"/>
        </w:rPr>
        <w:t xml:space="preserve"> </w:t>
      </w:r>
      <w:r>
        <w:rPr>
          <w:rFonts w:ascii="David" w:hAnsi="David" w:cs="David"/>
          <w:b/>
          <w:bCs/>
          <w:sz w:val="28"/>
          <w:szCs w:val="28"/>
          <w:rtl/>
        </w:rPr>
        <w:t>ישירות</w:t>
      </w:r>
      <w:r>
        <w:rPr>
          <w:rFonts w:ascii="David" w:hAnsi="David" w:cs="David"/>
          <w:b/>
          <w:bCs/>
          <w:sz w:val="28"/>
          <w:szCs w:val="28"/>
        </w:rPr>
        <w:t xml:space="preserve"> </w:t>
      </w:r>
      <w:r>
        <w:rPr>
          <w:rFonts w:ascii="David" w:hAnsi="David" w:cs="David"/>
          <w:b/>
          <w:bCs/>
          <w:sz w:val="28"/>
          <w:szCs w:val="28"/>
          <w:rtl/>
        </w:rPr>
        <w:t>לבעל</w:t>
      </w:r>
      <w:r>
        <w:rPr>
          <w:rFonts w:ascii="David" w:hAnsi="David" w:cs="David"/>
          <w:b/>
          <w:bCs/>
          <w:sz w:val="28"/>
          <w:szCs w:val="28"/>
        </w:rPr>
        <w:t xml:space="preserve"> </w:t>
      </w:r>
      <w:r>
        <w:rPr>
          <w:rFonts w:ascii="David" w:hAnsi="David" w:cs="David"/>
          <w:b/>
          <w:bCs/>
          <w:sz w:val="28"/>
          <w:szCs w:val="28"/>
          <w:rtl/>
        </w:rPr>
        <w:t>הזיכיון</w:t>
      </w:r>
      <w:r>
        <w:rPr>
          <w:rFonts w:ascii="David" w:hAnsi="David" w:cs="David"/>
          <w:b/>
          <w:bCs/>
          <w:sz w:val="28"/>
          <w:szCs w:val="28"/>
        </w:rPr>
        <w:t xml:space="preserve">, </w:t>
      </w:r>
      <w:r>
        <w:rPr>
          <w:rFonts w:ascii="David" w:hAnsi="David" w:cs="David"/>
          <w:b/>
          <w:bCs/>
          <w:sz w:val="28"/>
          <w:szCs w:val="28"/>
          <w:rtl/>
        </w:rPr>
        <w:t>בעל</w:t>
      </w:r>
      <w:r>
        <w:rPr>
          <w:rFonts w:ascii="David" w:hAnsi="David" w:cs="David"/>
          <w:b/>
          <w:bCs/>
          <w:sz w:val="28"/>
          <w:szCs w:val="28"/>
        </w:rPr>
        <w:t xml:space="preserve"> </w:t>
      </w:r>
      <w:r>
        <w:rPr>
          <w:rFonts w:ascii="David" w:hAnsi="David" w:cs="David"/>
          <w:b/>
          <w:bCs/>
          <w:sz w:val="28"/>
          <w:szCs w:val="28"/>
          <w:rtl/>
        </w:rPr>
        <w:t>הזיכיון</w:t>
      </w:r>
      <w:r>
        <w:rPr>
          <w:rFonts w:ascii="David" w:hAnsi="David" w:cs="David"/>
          <w:b/>
          <w:bCs/>
          <w:sz w:val="28"/>
          <w:szCs w:val="28"/>
        </w:rPr>
        <w:t xml:space="preserve"> </w:t>
      </w:r>
      <w:r>
        <w:rPr>
          <w:rFonts w:ascii="David" w:hAnsi="David" w:cs="David"/>
          <w:b/>
          <w:bCs/>
          <w:sz w:val="28"/>
          <w:szCs w:val="28"/>
          <w:rtl/>
        </w:rPr>
        <w:t>יתקשר</w:t>
      </w:r>
      <w:r>
        <w:rPr>
          <w:rFonts w:ascii="David" w:hAnsi="David" w:cs="David"/>
          <w:b/>
          <w:bCs/>
          <w:sz w:val="28"/>
          <w:szCs w:val="28"/>
        </w:rPr>
        <w:t xml:space="preserve"> </w:t>
      </w:r>
      <w:r>
        <w:rPr>
          <w:rFonts w:ascii="David" w:hAnsi="David" w:cs="David"/>
          <w:b/>
          <w:bCs/>
          <w:sz w:val="28"/>
          <w:szCs w:val="28"/>
          <w:rtl/>
        </w:rPr>
        <w:t>עם</w:t>
      </w:r>
    </w:p>
    <w:p w14:paraId="3AC633A1" w14:textId="77777777" w:rsidR="00000000" w:rsidRDefault="00000000">
      <w:pPr>
        <w:bidi/>
        <w:spacing w:line="360" w:lineRule="auto"/>
        <w:ind w:left="-58"/>
        <w:jc w:val="both"/>
        <w:rPr>
          <w:rtl/>
        </w:rPr>
      </w:pPr>
      <w:r>
        <w:rPr>
          <w:rFonts w:ascii="David" w:hAnsi="David" w:cs="David"/>
          <w:b/>
          <w:bCs/>
          <w:sz w:val="28"/>
          <w:szCs w:val="28"/>
          <w:rtl/>
        </w:rPr>
        <w:t>מפעיל</w:t>
      </w:r>
      <w:r>
        <w:rPr>
          <w:rFonts w:ascii="David" w:hAnsi="David" w:cs="David"/>
          <w:b/>
          <w:bCs/>
          <w:sz w:val="28"/>
          <w:szCs w:val="28"/>
        </w:rPr>
        <w:t xml:space="preserve"> </w:t>
      </w:r>
      <w:r>
        <w:rPr>
          <w:rFonts w:ascii="David" w:hAnsi="David" w:cs="David"/>
          <w:b/>
          <w:bCs/>
          <w:sz w:val="28"/>
          <w:szCs w:val="28"/>
          <w:rtl/>
        </w:rPr>
        <w:t>הישומון</w:t>
      </w:r>
      <w:r>
        <w:rPr>
          <w:rFonts w:ascii="David" w:hAnsi="David" w:cs="David"/>
          <w:b/>
          <w:bCs/>
          <w:sz w:val="28"/>
          <w:szCs w:val="28"/>
        </w:rPr>
        <w:t xml:space="preserve"> </w:t>
      </w:r>
      <w:r>
        <w:rPr>
          <w:rFonts w:ascii="David" w:hAnsi="David" w:cs="David"/>
          <w:b/>
          <w:bCs/>
          <w:sz w:val="28"/>
          <w:szCs w:val="28"/>
          <w:rtl/>
        </w:rPr>
        <w:t>(אלא</w:t>
      </w:r>
      <w:r>
        <w:rPr>
          <w:rFonts w:ascii="David" w:hAnsi="David" w:cs="David"/>
          <w:b/>
          <w:bCs/>
          <w:sz w:val="28"/>
          <w:szCs w:val="28"/>
        </w:rPr>
        <w:t xml:space="preserve"> </w:t>
      </w:r>
      <w:r>
        <w:rPr>
          <w:rFonts w:ascii="David" w:hAnsi="David" w:cs="David"/>
          <w:b/>
          <w:bCs/>
          <w:sz w:val="28"/>
          <w:szCs w:val="28"/>
          <w:rtl/>
        </w:rPr>
        <w:t>אם</w:t>
      </w:r>
      <w:r>
        <w:rPr>
          <w:rFonts w:ascii="David" w:hAnsi="David" w:cs="David"/>
          <w:b/>
          <w:bCs/>
          <w:sz w:val="28"/>
          <w:szCs w:val="28"/>
        </w:rPr>
        <w:t xml:space="preserve"> </w:t>
      </w:r>
      <w:r>
        <w:rPr>
          <w:rFonts w:ascii="David" w:hAnsi="David" w:cs="David"/>
          <w:b/>
          <w:bCs/>
          <w:sz w:val="28"/>
          <w:szCs w:val="28"/>
          <w:rtl/>
        </w:rPr>
        <w:t>מנימוקים</w:t>
      </w:r>
      <w:r>
        <w:rPr>
          <w:rFonts w:ascii="David" w:hAnsi="David" w:cs="David"/>
          <w:b/>
          <w:bCs/>
          <w:sz w:val="28"/>
          <w:szCs w:val="28"/>
        </w:rPr>
        <w:t xml:space="preserve"> </w:t>
      </w:r>
      <w:r>
        <w:rPr>
          <w:rFonts w:ascii="David" w:hAnsi="David" w:cs="David"/>
          <w:b/>
          <w:bCs/>
          <w:sz w:val="28"/>
          <w:szCs w:val="28"/>
          <w:rtl/>
        </w:rPr>
        <w:t>סבירים</w:t>
      </w:r>
      <w:r>
        <w:rPr>
          <w:rFonts w:ascii="David" w:hAnsi="David" w:cs="David"/>
          <w:b/>
          <w:bCs/>
          <w:sz w:val="28"/>
          <w:szCs w:val="28"/>
        </w:rPr>
        <w:t xml:space="preserve"> </w:t>
      </w:r>
      <w:r>
        <w:rPr>
          <w:rFonts w:ascii="David" w:hAnsi="David" w:cs="David"/>
          <w:b/>
          <w:bCs/>
          <w:sz w:val="28"/>
          <w:szCs w:val="28"/>
          <w:rtl/>
        </w:rPr>
        <w:t>בעל</w:t>
      </w:r>
      <w:r>
        <w:rPr>
          <w:rFonts w:ascii="David" w:hAnsi="David" w:cs="David"/>
          <w:b/>
          <w:bCs/>
          <w:sz w:val="28"/>
          <w:szCs w:val="28"/>
        </w:rPr>
        <w:t xml:space="preserve"> </w:t>
      </w:r>
      <w:r>
        <w:rPr>
          <w:rFonts w:ascii="David" w:hAnsi="David" w:cs="David"/>
          <w:b/>
          <w:bCs/>
          <w:sz w:val="28"/>
          <w:szCs w:val="28"/>
          <w:rtl/>
        </w:rPr>
        <w:t>הזיכיון</w:t>
      </w:r>
      <w:r>
        <w:rPr>
          <w:rFonts w:ascii="David" w:hAnsi="David" w:cs="David"/>
          <w:b/>
          <w:bCs/>
          <w:sz w:val="28"/>
          <w:szCs w:val="28"/>
        </w:rPr>
        <w:t xml:space="preserve"> </w:t>
      </w:r>
      <w:r>
        <w:rPr>
          <w:rFonts w:ascii="David" w:hAnsi="David" w:cs="David"/>
          <w:b/>
          <w:bCs/>
          <w:sz w:val="28"/>
          <w:szCs w:val="28"/>
          <w:rtl/>
        </w:rPr>
        <w:t>החליט</w:t>
      </w:r>
      <w:r>
        <w:rPr>
          <w:rFonts w:ascii="David" w:hAnsi="David" w:cs="David"/>
          <w:b/>
          <w:bCs/>
          <w:sz w:val="28"/>
          <w:szCs w:val="28"/>
        </w:rPr>
        <w:t xml:space="preserve"> </w:t>
      </w:r>
      <w:r>
        <w:rPr>
          <w:rFonts w:ascii="David" w:hAnsi="David" w:cs="David"/>
          <w:b/>
          <w:bCs/>
          <w:sz w:val="28"/>
          <w:szCs w:val="28"/>
          <w:rtl/>
        </w:rPr>
        <w:t>שלא</w:t>
      </w:r>
      <w:r>
        <w:rPr>
          <w:rFonts w:ascii="David" w:hAnsi="David" w:cs="David"/>
          <w:b/>
          <w:bCs/>
          <w:sz w:val="28"/>
          <w:szCs w:val="28"/>
        </w:rPr>
        <w:t xml:space="preserve"> </w:t>
      </w:r>
      <w:r>
        <w:rPr>
          <w:rFonts w:ascii="David" w:hAnsi="David" w:cs="David"/>
          <w:b/>
          <w:bCs/>
          <w:sz w:val="28"/>
          <w:szCs w:val="28"/>
          <w:rtl/>
        </w:rPr>
        <w:t>להתקשר</w:t>
      </w:r>
      <w:r>
        <w:rPr>
          <w:rFonts w:ascii="David" w:hAnsi="David" w:cs="David"/>
          <w:b/>
          <w:bCs/>
          <w:sz w:val="28"/>
          <w:szCs w:val="28"/>
        </w:rPr>
        <w:t xml:space="preserve"> </w:t>
      </w:r>
      <w:r>
        <w:rPr>
          <w:rFonts w:ascii="David" w:hAnsi="David" w:cs="David"/>
          <w:b/>
          <w:bCs/>
          <w:sz w:val="28"/>
          <w:szCs w:val="28"/>
          <w:rtl/>
        </w:rPr>
        <w:t>עם</w:t>
      </w:r>
      <w:r>
        <w:rPr>
          <w:rFonts w:ascii="David" w:hAnsi="David" w:cs="David"/>
          <w:b/>
          <w:bCs/>
          <w:sz w:val="28"/>
          <w:szCs w:val="28"/>
        </w:rPr>
        <w:t xml:space="preserve"> </w:t>
      </w:r>
      <w:r>
        <w:rPr>
          <w:rFonts w:ascii="David" w:hAnsi="David" w:cs="David"/>
          <w:b/>
          <w:bCs/>
          <w:sz w:val="28"/>
          <w:szCs w:val="28"/>
          <w:rtl/>
        </w:rPr>
        <w:t>מפעיל היישומון</w:t>
      </w:r>
      <w:r>
        <w:rPr>
          <w:rFonts w:ascii="David" w:hAnsi="David" w:cs="David"/>
          <w:b/>
          <w:bCs/>
          <w:sz w:val="28"/>
          <w:szCs w:val="28"/>
        </w:rPr>
        <w:t>(</w:t>
      </w:r>
      <w:r>
        <w:rPr>
          <w:rFonts w:ascii="David" w:hAnsi="David" w:cs="David"/>
          <w:b/>
          <w:bCs/>
          <w:sz w:val="28"/>
          <w:szCs w:val="28"/>
          <w:rtl/>
        </w:rPr>
        <w:t>.</w:t>
      </w:r>
      <w:r>
        <w:rPr>
          <w:rFonts w:ascii="David" w:hAnsi="David" w:cs="David"/>
          <w:sz w:val="28"/>
          <w:szCs w:val="28"/>
          <w:rtl/>
        </w:rPr>
        <w:t>"</w:t>
      </w:r>
    </w:p>
    <w:p w14:paraId="60B77D21" w14:textId="77777777" w:rsidR="00000000" w:rsidRDefault="00000000">
      <w:pPr>
        <w:bidi/>
        <w:spacing w:line="360" w:lineRule="auto"/>
        <w:ind w:left="-58"/>
        <w:jc w:val="both"/>
        <w:rPr>
          <w:rtl/>
        </w:rPr>
      </w:pPr>
      <w:r>
        <w:rPr>
          <w:rFonts w:ascii="David" w:hAnsi="David" w:cs="David"/>
          <w:sz w:val="28"/>
          <w:szCs w:val="28"/>
          <w:rtl/>
        </w:rPr>
        <w:t> </w:t>
      </w:r>
    </w:p>
    <w:p w14:paraId="7A484C6D" w14:textId="77777777" w:rsidR="00000000" w:rsidRDefault="00000000">
      <w:pPr>
        <w:bidi/>
        <w:spacing w:line="360" w:lineRule="auto"/>
        <w:ind w:left="-58" w:firstLine="778"/>
        <w:jc w:val="both"/>
        <w:rPr>
          <w:rtl/>
        </w:rPr>
      </w:pPr>
      <w:r>
        <w:rPr>
          <w:rFonts w:ascii="David" w:hAnsi="David" w:cs="David"/>
          <w:sz w:val="28"/>
          <w:szCs w:val="28"/>
          <w:rtl/>
        </w:rPr>
        <w:t>שינוי זה יושם בפועל החל מתחילת שנת 2024. לאחר היישום של הסדר זה כל הנרשם באחד היישומונים סווג כמנוי וידאו ונשא באותה עלות של אגרת הגביה, דבר שאינו שנוי במחלוקת בין הצדדים (ש' 9-12, עמ' 3, מיום 31.1.24). כלומר, גם לאחר השתלבות היישומונים המאושרים במערך הגביה לדמי הנסיעה בכביש 6 והרחבת אפיקי הרישום והתשלום, הדבר לא הביא לשינוי או לחיסכון כלשהוא גם לא בדמי הגביה שמשלם מנוי הווידאו.</w:t>
      </w:r>
    </w:p>
    <w:p w14:paraId="42A8F1F3" w14:textId="77777777" w:rsidR="00000000" w:rsidRDefault="00000000">
      <w:pPr>
        <w:bidi/>
        <w:spacing w:line="360" w:lineRule="auto"/>
        <w:ind w:left="-58"/>
        <w:jc w:val="both"/>
        <w:rPr>
          <w:rtl/>
        </w:rPr>
      </w:pPr>
      <w:r>
        <w:rPr>
          <w:rFonts w:ascii="David" w:hAnsi="David" w:cs="David"/>
          <w:sz w:val="28"/>
          <w:szCs w:val="28"/>
          <w:rtl/>
        </w:rPr>
        <w:t> </w:t>
      </w:r>
    </w:p>
    <w:p w14:paraId="6656D6F5" w14:textId="77777777" w:rsidR="00000000" w:rsidRDefault="00000000">
      <w:pPr>
        <w:bidi/>
        <w:spacing w:line="360" w:lineRule="auto"/>
        <w:ind w:left="-58"/>
        <w:jc w:val="both"/>
        <w:rPr>
          <w:rtl/>
        </w:rPr>
      </w:pPr>
      <w:r>
        <w:rPr>
          <w:rFonts w:ascii="David" w:hAnsi="David" w:cs="David"/>
          <w:sz w:val="28"/>
          <w:szCs w:val="28"/>
          <w:rtl/>
        </w:rPr>
        <w:t xml:space="preserve">87.  כפי שנקבע בפסיקה בחינת תחולת סעיף 29א(א) לחוק התחרות היא תלת-שלבית: ראשית, יש להוכיח קיומו של בעל מונופולין, בהתאם להגדרה שבסעיף 26 לחוק התחרות. שנית, כי בעל המונופולין נקט בפרקטיקה שיש בה משום ניצול מעמדו לרעה; שלישית, הפרקטיקה בה נקט בעל המונופולין עלולה להפחית את התחרות או לפגוע בציבור - יסוד העלילות (עניין </w:t>
      </w:r>
      <w:r>
        <w:rPr>
          <w:rFonts w:ascii="David" w:hAnsi="David" w:cs="David"/>
          <w:b/>
          <w:bCs/>
          <w:sz w:val="28"/>
          <w:szCs w:val="28"/>
          <w:rtl/>
        </w:rPr>
        <w:t>חברת נמל אשדוד</w:t>
      </w:r>
      <w:r>
        <w:rPr>
          <w:rFonts w:ascii="David" w:hAnsi="David" w:cs="David"/>
          <w:sz w:val="28"/>
          <w:szCs w:val="28"/>
          <w:rtl/>
        </w:rPr>
        <w:t>, פסקה 55 לפסק-דינו של כב' השופט גרוסקופף). ועוד, כפי שהקדמתי, סעיף 29א(ב) לחוק התחרות הכלכלית מונה פרקטיקות ספציפיות המקימות חזקה כי בעל מונופולין ניצל מעמדו לרעה באופן המעלה חשש לפגיעה בתחרות או בציבור :</w:t>
      </w:r>
    </w:p>
    <w:p w14:paraId="2C81737C" w14:textId="77777777" w:rsidR="00000000" w:rsidRDefault="00000000">
      <w:pPr>
        <w:bidi/>
        <w:spacing w:line="360" w:lineRule="auto"/>
        <w:ind w:left="-58"/>
        <w:jc w:val="both"/>
        <w:rPr>
          <w:rtl/>
        </w:rPr>
      </w:pPr>
      <w:r>
        <w:rPr>
          <w:rFonts w:ascii="David" w:hAnsi="David" w:cs="David"/>
          <w:sz w:val="28"/>
          <w:szCs w:val="28"/>
          <w:rtl/>
        </w:rPr>
        <w:t> </w:t>
      </w:r>
    </w:p>
    <w:p w14:paraId="7D3826E6" w14:textId="77777777" w:rsidR="00000000" w:rsidRDefault="00000000">
      <w:pPr>
        <w:bidi/>
        <w:spacing w:line="360" w:lineRule="auto"/>
        <w:ind w:left="1643" w:right="1560"/>
        <w:jc w:val="both"/>
        <w:rPr>
          <w:rtl/>
        </w:rPr>
      </w:pPr>
      <w:r>
        <w:rPr>
          <w:rFonts w:ascii="David" w:hAnsi="David" w:cs="David"/>
          <w:sz w:val="28"/>
          <w:szCs w:val="28"/>
          <w:rtl/>
        </w:rPr>
        <w:t>"</w:t>
      </w:r>
      <w:r>
        <w:rPr>
          <w:rFonts w:ascii="David" w:hAnsi="David" w:cs="David"/>
          <w:b/>
          <w:bCs/>
          <w:sz w:val="28"/>
          <w:szCs w:val="28"/>
          <w:rtl/>
        </w:rPr>
        <w:t>דהיינו הוכחת הפרקטיקה הספציפית היא תחליף ליסוד השני (דהיינו לניצול המעמד המונופוליסטי לרעה), ומעת שזו הוכחה, אין צורך להוכיח חשש לפגיעה במקרה הקונקרטי, אלא קיימת חזקה כי מתקיים היסוד השלישי בעילה</w:t>
      </w:r>
      <w:r>
        <w:rPr>
          <w:rFonts w:ascii="David" w:hAnsi="David" w:cs="David"/>
          <w:sz w:val="28"/>
          <w:szCs w:val="28"/>
          <w:rtl/>
        </w:rPr>
        <w:t xml:space="preserve">" (פסקה 54 לפסק-דינו של כב' השופט גרוסקופף בעניין </w:t>
      </w:r>
      <w:r>
        <w:rPr>
          <w:rFonts w:ascii="David" w:hAnsi="David" w:cs="David"/>
          <w:b/>
          <w:bCs/>
          <w:sz w:val="28"/>
          <w:szCs w:val="28"/>
          <w:rtl/>
        </w:rPr>
        <w:t>נמל אשדוד</w:t>
      </w:r>
      <w:r>
        <w:rPr>
          <w:rFonts w:ascii="David" w:hAnsi="David" w:cs="David"/>
          <w:sz w:val="28"/>
          <w:szCs w:val="28"/>
          <w:rtl/>
        </w:rPr>
        <w:t>)</w:t>
      </w:r>
    </w:p>
    <w:p w14:paraId="6E393100" w14:textId="77777777" w:rsidR="00000000" w:rsidRDefault="00000000">
      <w:pPr>
        <w:bidi/>
        <w:spacing w:line="360" w:lineRule="auto"/>
        <w:ind w:left="-58"/>
        <w:jc w:val="both"/>
        <w:rPr>
          <w:rtl/>
        </w:rPr>
      </w:pPr>
      <w:r>
        <w:rPr>
          <w:rFonts w:ascii="David" w:hAnsi="David" w:cs="David"/>
          <w:sz w:val="28"/>
          <w:szCs w:val="28"/>
          <w:rtl/>
        </w:rPr>
        <w:t> </w:t>
      </w:r>
    </w:p>
    <w:p w14:paraId="2319B920" w14:textId="77777777" w:rsidR="00000000" w:rsidRDefault="00000000">
      <w:pPr>
        <w:bidi/>
        <w:spacing w:line="360" w:lineRule="auto"/>
        <w:ind w:left="-58"/>
        <w:jc w:val="both"/>
        <w:rPr>
          <w:rtl/>
        </w:rPr>
      </w:pPr>
      <w:r>
        <w:rPr>
          <w:rFonts w:ascii="David" w:hAnsi="David" w:cs="David"/>
          <w:sz w:val="28"/>
          <w:szCs w:val="28"/>
          <w:rtl/>
        </w:rPr>
        <w:t>88.  לצורך קביעת עצם ההפרה של סעיף 29א(א)+(ב) לחוק התחרות הכלכלית על ידי הממונה על התחרות, די בהוכחת פוטנציאל לפגיעה משמעותית בתחרות או בציבור, ואין צורך להוכיח פגיעה בפועל; זאת בשונה מתובענה נזיקית, לרבות ייצוגית, שקבלתה מחייבת הוכחת נזק קונקרטי. לצורך קביעה רגולטורית, יסוד העלילות לא כולל רכיב של תוצאה או הוכחת נזק, אלא מסתפק בפגיעה בכוח; ואילו בתובענה נזיקית, לרבות תובענה ייצוגית, המבוססת על הפרת סעיף 29א לחוק התחרות הכלכלית, חובה להוכיח קיומו של נזק שנגרם בפועל וקשר סיבתי בין הפרת החוק לנזק, שכן דינו של מעשה או מחדל בניגוד להוראות חוק התחרות הכלכלית כדין עוולה בנזיקין (סעיף 50 לחוק התחרות הכלכלית):</w:t>
      </w:r>
    </w:p>
    <w:p w14:paraId="2CDFB84C" w14:textId="77777777" w:rsidR="00000000" w:rsidRDefault="00000000">
      <w:pPr>
        <w:bidi/>
        <w:spacing w:line="360" w:lineRule="auto"/>
        <w:ind w:left="-58"/>
        <w:jc w:val="both"/>
        <w:rPr>
          <w:rtl/>
        </w:rPr>
      </w:pPr>
      <w:r>
        <w:rPr>
          <w:rFonts w:ascii="David" w:hAnsi="David" w:cs="David"/>
          <w:sz w:val="28"/>
          <w:szCs w:val="28"/>
          <w:rtl/>
        </w:rPr>
        <w:t> </w:t>
      </w:r>
    </w:p>
    <w:p w14:paraId="1DAE13E1" w14:textId="77777777" w:rsidR="00000000" w:rsidRDefault="00000000">
      <w:pPr>
        <w:bidi/>
        <w:spacing w:line="360" w:lineRule="auto"/>
        <w:ind w:left="1644" w:right="1560"/>
        <w:jc w:val="both"/>
        <w:rPr>
          <w:rtl/>
        </w:rPr>
      </w:pPr>
      <w:r>
        <w:rPr>
          <w:rFonts w:ascii="David" w:hAnsi="David" w:cs="David"/>
          <w:sz w:val="28"/>
          <w:szCs w:val="28"/>
          <w:rtl/>
        </w:rPr>
        <w:t>"</w:t>
      </w:r>
      <w:r>
        <w:rPr>
          <w:rFonts w:ascii="David" w:hAnsi="David" w:cs="David"/>
          <w:b/>
          <w:bCs/>
          <w:sz w:val="28"/>
          <w:szCs w:val="28"/>
          <w:rtl/>
        </w:rPr>
        <w:t>כאמור, להפרת הוראות חוק התחרות הכלכלית עלולה להיות השלכה גם במישור האזרחי. כך, סעיף 50(א) לחוק יוצר עילה אזרחית המצויה בידי הניזוקים מהפרת החוק, בקביעתו כי דין מעשה או מחדל בניגוד לאחת מהוראותיו כדין עוולה לפי פקודת הנזיקין.</w:t>
      </w:r>
    </w:p>
    <w:p w14:paraId="3A3D512A" w14:textId="77777777" w:rsidR="00000000" w:rsidRDefault="00000000">
      <w:pPr>
        <w:bidi/>
        <w:spacing w:line="360" w:lineRule="auto"/>
        <w:ind w:left="1644" w:right="1560"/>
        <w:jc w:val="both"/>
        <w:rPr>
          <w:rtl/>
        </w:rPr>
      </w:pPr>
      <w:r>
        <w:rPr>
          <w:rFonts w:ascii="David" w:hAnsi="David" w:cs="David"/>
          <w:b/>
          <w:bCs/>
          <w:sz w:val="28"/>
          <w:szCs w:val="28"/>
          <w:rtl/>
        </w:rPr>
        <w:t>דומה, כי כוונתו של המחוקק הייתה כי הפרת הוראות החוק תהווה "הפרת חובה חקוקה", כמשמעותה בסעיף 63 לפקודת הנזיקין, וכי קביעת הדבר בדרך זו נועדה להסיר כל ספק שעשוי להתעורר ביחס לכך</w:t>
      </w:r>
      <w:r>
        <w:rPr>
          <w:rFonts w:ascii="David" w:hAnsi="David" w:cs="David"/>
          <w:sz w:val="28"/>
          <w:szCs w:val="28"/>
          <w:rtl/>
        </w:rPr>
        <w:t xml:space="preserve">"(ע"א 7125/20 ‏ ‏ </w:t>
      </w:r>
      <w:r>
        <w:rPr>
          <w:rFonts w:ascii="David" w:hAnsi="David" w:cs="David"/>
          <w:b/>
          <w:bCs/>
          <w:sz w:val="28"/>
          <w:szCs w:val="28"/>
          <w:rtl/>
        </w:rPr>
        <w:t>הצלחה לקידום חברה הוגנת נ' ‏</w:t>
      </w:r>
      <w:r>
        <w:rPr>
          <w:rFonts w:ascii="David" w:hAnsi="David" w:cs="David"/>
          <w:b/>
          <w:bCs/>
          <w:sz w:val="28"/>
          <w:szCs w:val="28"/>
        </w:rPr>
        <w:t>ubs ag</w:t>
      </w:r>
      <w:r>
        <w:rPr>
          <w:rFonts w:ascii="David" w:hAnsi="David" w:cs="David"/>
          <w:sz w:val="28"/>
          <w:szCs w:val="28"/>
          <w:rtl/>
        </w:rPr>
        <w:t xml:space="preserve">, פסקה 98 (2.1.25)); ראו גם : </w:t>
      </w:r>
      <w:r>
        <w:rPr>
          <w:rFonts w:ascii="David" w:hAnsi="David" w:cs="David"/>
          <w:b/>
          <w:bCs/>
          <w:sz w:val="28"/>
          <w:szCs w:val="28"/>
          <w:rtl/>
        </w:rPr>
        <w:t>נמל אשדוד</w:t>
      </w:r>
      <w:r>
        <w:rPr>
          <w:rFonts w:ascii="David" w:hAnsi="David" w:cs="David"/>
          <w:sz w:val="28"/>
          <w:szCs w:val="28"/>
          <w:rtl/>
        </w:rPr>
        <w:t xml:space="preserve">, פסקה 167; </w:t>
      </w:r>
      <w:r>
        <w:rPr>
          <w:rFonts w:ascii="David" w:hAnsi="David" w:cs="David"/>
          <w:b/>
          <w:bCs/>
          <w:sz w:val="28"/>
          <w:szCs w:val="28"/>
          <w:rtl/>
        </w:rPr>
        <w:t>אביאל פלינט, חגי ויניצקי תובענות ייצוגיות</w:t>
      </w:r>
      <w:r>
        <w:rPr>
          <w:rFonts w:ascii="David" w:hAnsi="David" w:cs="David"/>
          <w:sz w:val="28"/>
          <w:szCs w:val="28"/>
          <w:rtl/>
        </w:rPr>
        <w:t xml:space="preserve"> (2017), עמ' 421).</w:t>
      </w:r>
    </w:p>
    <w:p w14:paraId="5D5F9B76" w14:textId="77777777" w:rsidR="00000000" w:rsidRDefault="00000000">
      <w:pPr>
        <w:bidi/>
        <w:spacing w:line="360" w:lineRule="auto"/>
        <w:ind w:left="-58"/>
        <w:jc w:val="both"/>
        <w:rPr>
          <w:rtl/>
        </w:rPr>
      </w:pPr>
      <w:r>
        <w:rPr>
          <w:rFonts w:ascii="David" w:hAnsi="David" w:cs="David"/>
          <w:sz w:val="28"/>
          <w:szCs w:val="28"/>
          <w:rtl/>
        </w:rPr>
        <w:t> </w:t>
      </w:r>
    </w:p>
    <w:p w14:paraId="37DBEA97" w14:textId="77777777" w:rsidR="00000000" w:rsidRDefault="00000000">
      <w:pPr>
        <w:bidi/>
        <w:spacing w:line="360" w:lineRule="auto"/>
        <w:ind w:left="-58"/>
        <w:jc w:val="both"/>
        <w:rPr>
          <w:rtl/>
        </w:rPr>
      </w:pPr>
      <w:r>
        <w:rPr>
          <w:rFonts w:ascii="David" w:hAnsi="David" w:cs="David"/>
          <w:sz w:val="28"/>
          <w:szCs w:val="28"/>
          <w:rtl/>
        </w:rPr>
        <w:t>89.  מכאן, איני רואה טעם להידרש לסיווג המשיבה כמונופול או להתקיימות יתר התנאים גם בזיקה לעילה זו, שכן די במסקנה כי לא הוסב נזק לחברי הקבוצה בגין הפרה נטענת זו, כדי להביא לדחייתה. אחזור ואזכיר, כי שוק הגביה נפתח ומזה כשנתיים ניתן לשלם בגין הנסיעה בכביש 6 גם באמצעות יישומונים ולא רק ישירות למשיבה. למרות זאת, לא חל כל שינוי, לא כל שכן, הוזלה בהוצאת הגביה דבר השולל קיומו של נזק לחברי הקבוצה בתקופה בה המשיבה היא היחידה שביצעה פעולות הגביה בגין השימוש בכביש 6. אמנם ירידת מחירים לאחר פתיחת השוק לא מעידה לבדה על נזקים לציבור או גריפת רווחים מונופוליסטים שכן הירידה יכולה לנבוע מסיבות שונות ומגוונות, אך בצד זאת היעדר ירידה למרות חלוף תקופה משמעותית כן מהווה ראיה כבדת משקל השוללת קיומו של נזק.</w:t>
      </w:r>
    </w:p>
    <w:p w14:paraId="0AC36BD7" w14:textId="77777777" w:rsidR="00000000" w:rsidRDefault="00000000">
      <w:pPr>
        <w:bidi/>
        <w:spacing w:line="360" w:lineRule="auto"/>
        <w:ind w:left="-58"/>
        <w:jc w:val="both"/>
        <w:rPr>
          <w:rtl/>
        </w:rPr>
      </w:pPr>
      <w:r>
        <w:rPr>
          <w:rFonts w:ascii="David" w:hAnsi="David" w:cs="David"/>
          <w:sz w:val="28"/>
          <w:szCs w:val="28"/>
          <w:rtl/>
        </w:rPr>
        <w:t> </w:t>
      </w:r>
    </w:p>
    <w:p w14:paraId="060CC770" w14:textId="77777777" w:rsidR="00000000" w:rsidRDefault="00000000">
      <w:pPr>
        <w:bidi/>
        <w:spacing w:line="360" w:lineRule="auto"/>
        <w:ind w:left="-58"/>
        <w:jc w:val="both"/>
        <w:rPr>
          <w:rtl/>
        </w:rPr>
      </w:pPr>
      <w:r>
        <w:rPr>
          <w:rFonts w:ascii="David" w:hAnsi="David" w:cs="David"/>
          <w:sz w:val="28"/>
          <w:szCs w:val="28"/>
          <w:rtl/>
        </w:rPr>
        <w:t xml:space="preserve">90.  באם נשקיף על סוגיה זו מזווית אחרת, והכוונה לכך שהנזק כן התרחש בעבר משלא חלה ירידה בדמי הגביה בעקבות הפרות המשיבה הנטענות, אלא שנזק זה ממשיך להתרחש גם לאחר שהפרה נטענת זו תוקנה באמצעות צירופם של מתחרים נוספים לשוק. כלומר, הנזק המשיך להתרחש לאחר התיקון, ומכאן אין קשר סיבתי עובדתי בינו לבין שליטתה הבלעדית של המשיבה בנושא הגביה בעבר. כידוע, המבחן העיקרי לקיומו של קשר סיבתי עובדתי הוא מבחן האלמלא או הסיבה בלעדיה אין הבוחן את הקשר הפיזי בין מעשה או מחדל לנזק, ואשר נגזר מהמענה לשאלה אם התוצאה הייתה נגרמת אלמלא המעשה או המחדל?, כאשר התנהגות זו צריכה להיות גורם הכרחי ובמקרים מיוחדים שאינם דרושים לענייננו, אף ניתן להסתפק בגורם מספיק (מבחן הדיות) לקרות הנזק (ע"א 1639/01 </w:t>
      </w:r>
      <w:r>
        <w:rPr>
          <w:rFonts w:ascii="David" w:hAnsi="David" w:cs="David"/>
          <w:b/>
          <w:bCs/>
          <w:sz w:val="28"/>
          <w:szCs w:val="28"/>
          <w:rtl/>
        </w:rPr>
        <w:t>קיבוץ מעיין צבי נ' קרישוב</w:t>
      </w:r>
      <w:r>
        <w:rPr>
          <w:rFonts w:ascii="David" w:hAnsi="David" w:cs="David"/>
          <w:sz w:val="28"/>
          <w:szCs w:val="28"/>
          <w:rtl/>
        </w:rPr>
        <w:t>, פסקה 13 לפסק דינה של כב' הנשיאה נאור (2.6.04)). שעה שהנזק לו טוענים חברי הקבוצה ממשיך למרות חלוף פרק זמן ארוך לאחר הפסקת ההפרה הנטענת, הדבר שולל את קיומו של קשר סיבתי פיזי-עובדתי בין התנהגות או מחדלי המשיבה הנטענים שלא הין הכרחיים לנזק (</w:t>
      </w:r>
      <w:r>
        <w:rPr>
          <w:rFonts w:ascii="David" w:hAnsi="David" w:cs="David"/>
          <w:b/>
          <w:bCs/>
          <w:sz w:val="28"/>
          <w:szCs w:val="28"/>
          <w:rtl/>
        </w:rPr>
        <w:t>ישראל גלעד, דיני נזיקין - גבולות האחריות</w:t>
      </w:r>
      <w:r>
        <w:rPr>
          <w:rFonts w:ascii="David" w:hAnsi="David" w:cs="David"/>
          <w:sz w:val="28"/>
          <w:szCs w:val="28"/>
          <w:rtl/>
        </w:rPr>
        <w:t xml:space="preserve"> (תשע"ב-2012), עמ' 1346).</w:t>
      </w:r>
    </w:p>
    <w:p w14:paraId="334BCD3C" w14:textId="77777777" w:rsidR="00000000" w:rsidRDefault="00000000">
      <w:pPr>
        <w:bidi/>
        <w:spacing w:line="360" w:lineRule="auto"/>
        <w:ind w:left="-58"/>
        <w:jc w:val="both"/>
        <w:rPr>
          <w:rtl/>
        </w:rPr>
      </w:pPr>
      <w:r>
        <w:rPr>
          <w:rFonts w:ascii="David" w:hAnsi="David" w:cs="David"/>
          <w:sz w:val="28"/>
          <w:szCs w:val="28"/>
          <w:rtl/>
        </w:rPr>
        <w:t> </w:t>
      </w:r>
    </w:p>
    <w:p w14:paraId="7E0D3D73" w14:textId="77777777" w:rsidR="00000000" w:rsidRDefault="00000000">
      <w:pPr>
        <w:bidi/>
        <w:spacing w:line="360" w:lineRule="auto"/>
        <w:ind w:left="-58"/>
        <w:jc w:val="both"/>
        <w:rPr>
          <w:rtl/>
        </w:rPr>
      </w:pPr>
      <w:r>
        <w:rPr>
          <w:rFonts w:ascii="David" w:hAnsi="David" w:cs="David"/>
          <w:sz w:val="28"/>
          <w:szCs w:val="28"/>
          <w:rtl/>
        </w:rPr>
        <w:t>91.  ועוד, דמי הגביה נקבעו בתקנות המורות באופן דווקני כי "</w:t>
      </w:r>
      <w:r>
        <w:rPr>
          <w:rFonts w:ascii="David" w:hAnsi="David" w:cs="David"/>
          <w:b/>
          <w:bCs/>
          <w:sz w:val="28"/>
          <w:szCs w:val="28"/>
          <w:rtl/>
        </w:rPr>
        <w:t xml:space="preserve">דמי הגבייה </w:t>
      </w:r>
      <w:r>
        <w:rPr>
          <w:rFonts w:ascii="David" w:hAnsi="David" w:cs="David"/>
          <w:b/>
          <w:bCs/>
          <w:sz w:val="28"/>
          <w:szCs w:val="28"/>
          <w:u w:val="single"/>
          <w:rtl/>
        </w:rPr>
        <w:t>שישלם</w:t>
      </w:r>
      <w:r>
        <w:rPr>
          <w:rFonts w:ascii="David" w:hAnsi="David" w:cs="David"/>
          <w:b/>
          <w:bCs/>
          <w:sz w:val="28"/>
          <w:szCs w:val="28"/>
          <w:rtl/>
        </w:rPr>
        <w:t xml:space="preserve"> חייב בתשלום יהיו הסכומים כמפורט להלן</w:t>
      </w:r>
      <w:r>
        <w:rPr>
          <w:rFonts w:ascii="David" w:hAnsi="David" w:cs="David"/>
          <w:sz w:val="28"/>
          <w:szCs w:val="28"/>
          <w:rtl/>
        </w:rPr>
        <w:t xml:space="preserve"> (תקנה 2(א) לתקנות הגבייה) ונראה כי המדובר בתעריפים מחייבים ולא מקסימליים :</w:t>
      </w:r>
    </w:p>
    <w:p w14:paraId="5CFB6FFE" w14:textId="77777777" w:rsidR="00000000" w:rsidRDefault="00000000">
      <w:pPr>
        <w:bidi/>
        <w:spacing w:line="360" w:lineRule="auto"/>
        <w:ind w:left="1643" w:right="1560"/>
        <w:jc w:val="both"/>
        <w:rPr>
          <w:rtl/>
        </w:rPr>
      </w:pPr>
      <w:r>
        <w:rPr>
          <w:rFonts w:ascii="David" w:hAnsi="David" w:cs="David"/>
          <w:sz w:val="28"/>
          <w:szCs w:val="28"/>
          <w:rtl/>
        </w:rPr>
        <w:t xml:space="preserve">"... </w:t>
      </w:r>
      <w:r>
        <w:rPr>
          <w:rFonts w:ascii="David" w:hAnsi="David" w:cs="David"/>
          <w:b/>
          <w:bCs/>
          <w:sz w:val="28"/>
          <w:szCs w:val="28"/>
          <w:rtl/>
        </w:rPr>
        <w:t>לא ניתן להתעלם ממידה של אי-צדק כלפי בזק בינלאומי שטמונה בסעד לו עותרת התובעת. בזק בינלאומי גבתה מחירים שנקבעו בתקנות, שהיו לכאורה כשרות ומחייבות. על כן תהיה זו תוצאה לא פשוטה, אם בחלוף הזמן תידרש היא להשיב את הכספים שקיבלה על פי הוראת התקנות, אשר עליהן היא סמכה [....] ועוד יש לומר, כי כאשר רגולציה נוטלת מגוף מסחרי את האפשרות לקבוע את מחיריו, תהיה זו בדרך כלל תוצאה מוזרה אם אותו גוף יידרש בדיעבד להשיב כספים שגבה מן הנימוק שמחיריו היו גבוהים מדי</w:t>
      </w:r>
      <w:r>
        <w:rPr>
          <w:rFonts w:ascii="David" w:hAnsi="David" w:cs="David"/>
          <w:sz w:val="28"/>
          <w:szCs w:val="28"/>
          <w:rtl/>
        </w:rPr>
        <w:t xml:space="preserve">."(פסקה 24 בעניין </w:t>
      </w:r>
      <w:r>
        <w:rPr>
          <w:rFonts w:ascii="David" w:hAnsi="David" w:cs="David"/>
          <w:b/>
          <w:bCs/>
          <w:sz w:val="28"/>
          <w:szCs w:val="28"/>
          <w:rtl/>
        </w:rPr>
        <w:t>קו מחשבה</w:t>
      </w:r>
      <w:r>
        <w:rPr>
          <w:rFonts w:ascii="David" w:hAnsi="David" w:cs="David"/>
          <w:sz w:val="28"/>
          <w:szCs w:val="28"/>
          <w:rtl/>
        </w:rPr>
        <w:t>)</w:t>
      </w:r>
    </w:p>
    <w:p w14:paraId="35044FFF" w14:textId="77777777" w:rsidR="00000000" w:rsidRDefault="00000000">
      <w:pPr>
        <w:bidi/>
        <w:spacing w:line="360" w:lineRule="auto"/>
        <w:ind w:left="-58"/>
        <w:jc w:val="both"/>
        <w:rPr>
          <w:rtl/>
        </w:rPr>
      </w:pPr>
      <w:r>
        <w:rPr>
          <w:rFonts w:ascii="David" w:hAnsi="David" w:cs="David"/>
          <w:sz w:val="28"/>
          <w:szCs w:val="28"/>
          <w:rtl/>
        </w:rPr>
        <w:t> </w:t>
      </w:r>
    </w:p>
    <w:p w14:paraId="017DB29F" w14:textId="77777777" w:rsidR="00000000" w:rsidRDefault="00000000">
      <w:pPr>
        <w:bidi/>
        <w:spacing w:line="360" w:lineRule="auto"/>
        <w:ind w:left="-58"/>
        <w:jc w:val="both"/>
        <w:rPr>
          <w:rtl/>
        </w:rPr>
      </w:pPr>
      <w:r>
        <w:rPr>
          <w:rFonts w:ascii="David" w:hAnsi="David" w:cs="David"/>
          <w:sz w:val="28"/>
          <w:szCs w:val="28"/>
          <w:rtl/>
        </w:rPr>
        <w:t>  המשיבה לא חרגה מתעריפים אלה אותם גם גובים "המתחרים" מזה כשנתיים; מכאן, וכל עוד תקנות אלו עומדות על כנן ובאם נראה במשיבה כמונופול, הרי עילה זו חסרת סיכוי להתקבל.    </w:t>
      </w:r>
    </w:p>
    <w:p w14:paraId="4E3A2E17" w14:textId="77777777" w:rsidR="00000000" w:rsidRDefault="00000000">
      <w:pPr>
        <w:bidi/>
        <w:spacing w:line="360" w:lineRule="auto"/>
        <w:jc w:val="both"/>
        <w:rPr>
          <w:rtl/>
        </w:rPr>
      </w:pPr>
      <w:r>
        <w:rPr>
          <w:rFonts w:ascii="David" w:hAnsi="David" w:cs="David"/>
          <w:b/>
          <w:bCs/>
          <w:sz w:val="28"/>
          <w:szCs w:val="28"/>
          <w:u w:val="single"/>
          <w:rtl/>
        </w:rPr>
        <w:t>הערות לסיום</w:t>
      </w:r>
    </w:p>
    <w:p w14:paraId="29070844" w14:textId="77777777" w:rsidR="00000000" w:rsidRDefault="00000000">
      <w:pPr>
        <w:bidi/>
        <w:spacing w:line="360" w:lineRule="auto"/>
        <w:jc w:val="both"/>
        <w:rPr>
          <w:rtl/>
        </w:rPr>
      </w:pPr>
      <w:r>
        <w:rPr>
          <w:rFonts w:ascii="David" w:hAnsi="David" w:cs="David"/>
          <w:b/>
          <w:bCs/>
          <w:sz w:val="28"/>
          <w:szCs w:val="28"/>
          <w:rtl/>
        </w:rPr>
        <w:t> </w:t>
      </w:r>
    </w:p>
    <w:p w14:paraId="0DD4EAD4" w14:textId="77777777" w:rsidR="00000000" w:rsidRDefault="00000000">
      <w:pPr>
        <w:bidi/>
        <w:spacing w:line="360" w:lineRule="auto"/>
        <w:jc w:val="both"/>
        <w:rPr>
          <w:rtl/>
        </w:rPr>
      </w:pPr>
      <w:r>
        <w:rPr>
          <w:rFonts w:ascii="David" w:hAnsi="David" w:cs="David"/>
          <w:sz w:val="28"/>
          <w:szCs w:val="28"/>
          <w:rtl/>
        </w:rPr>
        <w:t xml:space="preserve">92.  יודגש, כי חזרתי ועיינתי בחוות הדעת הכלכלית עליה סומכים המבקשים (המומחה הכלכלי סמקאי), ואיני רואה הצדקה לייחס לה משקל. המודל עליו התבססה חוות הדעת הוא תיאורטי ובגדרו נבחנה השאלה האם קיימת הצדקה לגביית דמי גבייה בעיקר ממנויי וידאו, אלא בכך המומחה התעלם טוטאלית מהדין, מהתעריפים הקבועים בתקנות, מהסכם הזיכיון שכולם מקנים למשיבה את הזכות והסמכות לגבות סכומים אלו. כן, אין כל רלוונטיות להשוואה אותה ערך מומחה זה באשר לדמי הגביה הנגבים בגין השימוש בכבישי אגרה אחרים עליהם חלים הסדרים נורמטיביים שונים (השוו : </w:t>
      </w:r>
      <w:r>
        <w:rPr>
          <w:rFonts w:ascii="David" w:hAnsi="David" w:cs="David"/>
          <w:sz w:val="28"/>
          <w:szCs w:val="28"/>
          <w:u w:val="single"/>
          <w:rtl/>
        </w:rPr>
        <w:t>תקנות כביש אגרה (כביש ארצי לישראל)(סכומי דמי גביה)(יקנעם סומך), תשע"ג-2013</w:t>
      </w:r>
      <w:r>
        <w:rPr>
          <w:rFonts w:ascii="David" w:hAnsi="David" w:cs="David"/>
          <w:sz w:val="28"/>
          <w:szCs w:val="28"/>
          <w:rtl/>
        </w:rPr>
        <w:t xml:space="preserve">); </w:t>
      </w:r>
      <w:r>
        <w:rPr>
          <w:rFonts w:ascii="David" w:hAnsi="David" w:cs="David"/>
          <w:sz w:val="28"/>
          <w:szCs w:val="28"/>
          <w:u w:val="single"/>
          <w:rtl/>
        </w:rPr>
        <w:t>תקנות כבישי אגרה (מנהרות הכרמל) (פיצוי והחזר הוצאות), תשע"א-2010</w:t>
      </w:r>
      <w:r>
        <w:rPr>
          <w:rFonts w:ascii="David" w:hAnsi="David" w:cs="David"/>
          <w:sz w:val="28"/>
          <w:szCs w:val="28"/>
          <w:rtl/>
        </w:rPr>
        <w:t xml:space="preserve">) וגם לא לאלה שגובות פנגו וסלופארק בעקבות שימוש בכבישי אגרה שאינם כביש 6. </w:t>
      </w:r>
    </w:p>
    <w:p w14:paraId="3C417D7D" w14:textId="77777777" w:rsidR="00000000" w:rsidRDefault="00000000">
      <w:pPr>
        <w:bidi/>
        <w:spacing w:line="360" w:lineRule="auto"/>
        <w:jc w:val="both"/>
        <w:rPr>
          <w:rtl/>
        </w:rPr>
      </w:pPr>
      <w:r>
        <w:rPr>
          <w:rFonts w:ascii="David" w:hAnsi="David" w:cs="David"/>
          <w:sz w:val="28"/>
          <w:szCs w:val="28"/>
          <w:rtl/>
        </w:rPr>
        <w:t> </w:t>
      </w:r>
    </w:p>
    <w:p w14:paraId="37780046" w14:textId="77777777" w:rsidR="00000000" w:rsidRDefault="00000000">
      <w:pPr>
        <w:bidi/>
        <w:spacing w:line="360" w:lineRule="auto"/>
        <w:ind w:firstLine="720"/>
        <w:jc w:val="both"/>
        <w:rPr>
          <w:rtl/>
        </w:rPr>
      </w:pPr>
      <w:r>
        <w:rPr>
          <w:rFonts w:ascii="David" w:hAnsi="David" w:cs="David"/>
          <w:sz w:val="28"/>
          <w:szCs w:val="28"/>
          <w:rtl/>
        </w:rPr>
        <w:t xml:space="preserve">ועוד, אין כל משקל לניתוח הכלכלי ממנו מסיק המומחה בדבר היעדר זיקה כלכלית בין דמי הגביה לעלות בפועל וגם לא למסקנת מומחה המחשבים מטעם התובעים שמתאר את העלויות שלגישתו זניחות לאיתור המידע לעניין בעל הרכב (שאילתא) ושמירתו. על ענייננו יש להשקיף ואותו לבחון בהתאם לדין הספציפי החל ואשר ניתק כל קשר בין העלויות בפועל לתעריפי דמי הגביה, ממנו התעלם המומחה הכלכלי בניתוחיו ובמסקנותיו. </w:t>
      </w:r>
    </w:p>
    <w:p w14:paraId="11AF4B6F" w14:textId="77777777" w:rsidR="00000000" w:rsidRDefault="00000000">
      <w:pPr>
        <w:bidi/>
        <w:spacing w:line="360" w:lineRule="auto"/>
        <w:jc w:val="both"/>
        <w:rPr>
          <w:rtl/>
        </w:rPr>
      </w:pPr>
      <w:r>
        <w:rPr>
          <w:rFonts w:ascii="David" w:hAnsi="David" w:cs="David"/>
          <w:sz w:val="28"/>
          <w:szCs w:val="28"/>
          <w:rtl/>
        </w:rPr>
        <w:t> </w:t>
      </w:r>
    </w:p>
    <w:p w14:paraId="0CED982D" w14:textId="77777777" w:rsidR="00000000" w:rsidRDefault="00000000">
      <w:pPr>
        <w:bidi/>
        <w:spacing w:line="360" w:lineRule="auto"/>
        <w:jc w:val="both"/>
        <w:rPr>
          <w:rtl/>
        </w:rPr>
      </w:pPr>
      <w:r>
        <w:rPr>
          <w:rFonts w:ascii="David" w:hAnsi="David" w:cs="David"/>
          <w:sz w:val="28"/>
          <w:szCs w:val="28"/>
          <w:rtl/>
        </w:rPr>
        <w:t xml:space="preserve">93.  אדגיש שוב, לא נעלמו מעיניי יתר הראיות והעדויות, אלא כפי שהקדמתי המדובר בסוגיות משפטיות ופרשניות, שההכרעה בהן לא מצריכה בחינת עובדתית, ומכאן לא ראיתי לסקור וגם לא להידרש לראיות אלו דבר שאינו דרוש ורק עלול לסרבל ולהכביד. </w:t>
      </w:r>
    </w:p>
    <w:p w14:paraId="11F3A854" w14:textId="77777777" w:rsidR="00000000" w:rsidRDefault="00000000">
      <w:pPr>
        <w:bidi/>
        <w:spacing w:line="360" w:lineRule="auto"/>
        <w:jc w:val="both"/>
        <w:rPr>
          <w:rtl/>
        </w:rPr>
      </w:pPr>
      <w:r>
        <w:rPr>
          <w:rFonts w:ascii="David" w:hAnsi="David" w:cs="David"/>
          <w:sz w:val="28"/>
          <w:szCs w:val="28"/>
          <w:rtl/>
        </w:rPr>
        <w:t> </w:t>
      </w:r>
    </w:p>
    <w:p w14:paraId="4B8D57E9" w14:textId="77777777" w:rsidR="00000000" w:rsidRDefault="00000000">
      <w:pPr>
        <w:bidi/>
        <w:spacing w:line="360" w:lineRule="auto"/>
        <w:ind w:left="-58"/>
        <w:jc w:val="both"/>
        <w:rPr>
          <w:rtl/>
        </w:rPr>
      </w:pPr>
      <w:r>
        <w:rPr>
          <w:rFonts w:ascii="David" w:hAnsi="David" w:cs="David"/>
          <w:b/>
          <w:bCs/>
          <w:spacing w:val="20"/>
          <w:sz w:val="28"/>
          <w:szCs w:val="28"/>
          <w:u w:val="single"/>
          <w:rtl/>
        </w:rPr>
        <w:t>סוף דבר</w:t>
      </w:r>
    </w:p>
    <w:p w14:paraId="087264BB" w14:textId="77777777" w:rsidR="00000000" w:rsidRDefault="00000000">
      <w:pPr>
        <w:bidi/>
        <w:spacing w:line="360" w:lineRule="auto"/>
        <w:ind w:left="-58"/>
        <w:jc w:val="both"/>
        <w:rPr>
          <w:rtl/>
        </w:rPr>
      </w:pPr>
      <w:r>
        <w:rPr>
          <w:rFonts w:ascii="David" w:hAnsi="David" w:cs="David"/>
          <w:b/>
          <w:bCs/>
          <w:spacing w:val="20"/>
          <w:sz w:val="28"/>
          <w:szCs w:val="28"/>
          <w:rtl/>
        </w:rPr>
        <w:t> </w:t>
      </w:r>
    </w:p>
    <w:p w14:paraId="278F20AB" w14:textId="77777777" w:rsidR="00000000" w:rsidRDefault="00000000">
      <w:pPr>
        <w:overflowPunct w:val="0"/>
        <w:autoSpaceDE w:val="0"/>
        <w:autoSpaceDN w:val="0"/>
        <w:bidi/>
        <w:spacing w:line="360" w:lineRule="auto"/>
        <w:ind w:left="-58" w:firstLine="1"/>
        <w:jc w:val="both"/>
        <w:rPr>
          <w:rtl/>
        </w:rPr>
      </w:pPr>
      <w:r>
        <w:rPr>
          <w:rFonts w:ascii="David" w:hAnsi="David" w:cs="David"/>
          <w:sz w:val="28"/>
          <w:szCs w:val="28"/>
          <w:rtl/>
        </w:rPr>
        <w:t xml:space="preserve">94.  סיכומו של דבר, המבקשים לא הוכיחו במידה הנדרשת לשלב זה של הדיון כי קיימת אפשרות סבירה שהעילות עליהן סמכו תוכרענה לטובת הקבוצה. בנסיבות אלו, גם מתייתר הצורך לדון בתנאים הנוספים לאישור התובענה הייצוגית. </w:t>
      </w:r>
    </w:p>
    <w:p w14:paraId="38E50595" w14:textId="77777777" w:rsidR="00000000" w:rsidRDefault="00000000">
      <w:pPr>
        <w:overflowPunct w:val="0"/>
        <w:autoSpaceDE w:val="0"/>
        <w:autoSpaceDN w:val="0"/>
        <w:bidi/>
        <w:spacing w:line="360" w:lineRule="auto"/>
        <w:ind w:left="368" w:hanging="426"/>
        <w:jc w:val="both"/>
        <w:rPr>
          <w:rtl/>
        </w:rPr>
      </w:pPr>
      <w:r>
        <w:rPr>
          <w:rFonts w:ascii="David" w:hAnsi="David" w:cs="David"/>
          <w:sz w:val="28"/>
          <w:szCs w:val="28"/>
        </w:rPr>
        <w:t> </w:t>
      </w:r>
    </w:p>
    <w:p w14:paraId="4513E737" w14:textId="77777777" w:rsidR="00000000" w:rsidRDefault="00000000">
      <w:pPr>
        <w:overflowPunct w:val="0"/>
        <w:autoSpaceDE w:val="0"/>
        <w:autoSpaceDN w:val="0"/>
        <w:bidi/>
        <w:spacing w:line="360" w:lineRule="auto"/>
        <w:ind w:left="368" w:hanging="425"/>
        <w:jc w:val="both"/>
        <w:rPr>
          <w:rtl/>
        </w:rPr>
      </w:pPr>
      <w:r>
        <w:rPr>
          <w:rFonts w:ascii="David" w:hAnsi="David" w:cs="David"/>
          <w:sz w:val="28"/>
          <w:szCs w:val="28"/>
          <w:rtl/>
        </w:rPr>
        <w:t>95.  לאור זאת, אני מורה על דחיית הבקשה לאישור תובענה ייצוגית.</w:t>
      </w:r>
    </w:p>
    <w:p w14:paraId="279A0AC4" w14:textId="77777777" w:rsidR="00000000" w:rsidRDefault="00000000">
      <w:pPr>
        <w:overflowPunct w:val="0"/>
        <w:autoSpaceDE w:val="0"/>
        <w:autoSpaceDN w:val="0"/>
        <w:bidi/>
        <w:spacing w:line="360" w:lineRule="auto"/>
        <w:ind w:left="368" w:hanging="426"/>
        <w:jc w:val="both"/>
        <w:rPr>
          <w:rtl/>
        </w:rPr>
      </w:pPr>
      <w:r>
        <w:rPr>
          <w:rFonts w:ascii="David" w:hAnsi="David" w:cs="David"/>
          <w:sz w:val="28"/>
          <w:szCs w:val="28"/>
        </w:rPr>
        <w:t> </w:t>
      </w:r>
    </w:p>
    <w:p w14:paraId="5B9BB640" w14:textId="77777777" w:rsidR="00000000" w:rsidRDefault="00000000">
      <w:pPr>
        <w:overflowPunct w:val="0"/>
        <w:autoSpaceDE w:val="0"/>
        <w:autoSpaceDN w:val="0"/>
        <w:bidi/>
        <w:spacing w:line="360" w:lineRule="auto"/>
        <w:ind w:left="368" w:hanging="425"/>
        <w:jc w:val="both"/>
        <w:rPr>
          <w:rtl/>
        </w:rPr>
      </w:pPr>
      <w:r>
        <w:rPr>
          <w:rFonts w:ascii="David" w:hAnsi="David" w:cs="David"/>
          <w:sz w:val="28"/>
          <w:szCs w:val="28"/>
          <w:rtl/>
        </w:rPr>
        <w:t>96.  המבקשים ישלמו למשיבה הוצאות משפט ושכ"ט עו"ד בסכום כולל בסך 20,000 ₪.</w:t>
      </w:r>
    </w:p>
    <w:p w14:paraId="7FABA62A" w14:textId="77777777" w:rsidR="00000000" w:rsidRDefault="00000000">
      <w:pPr>
        <w:overflowPunct w:val="0"/>
        <w:autoSpaceDE w:val="0"/>
        <w:autoSpaceDN w:val="0"/>
        <w:bidi/>
        <w:spacing w:line="360" w:lineRule="auto"/>
        <w:ind w:left="368" w:hanging="426"/>
        <w:jc w:val="both"/>
        <w:rPr>
          <w:rtl/>
        </w:rPr>
      </w:pPr>
      <w:r>
        <w:rPr>
          <w:rFonts w:ascii="David" w:hAnsi="David" w:cs="David"/>
          <w:sz w:val="28"/>
          <w:szCs w:val="28"/>
        </w:rPr>
        <w:t> </w:t>
      </w:r>
    </w:p>
    <w:p w14:paraId="77128F31" w14:textId="77777777" w:rsidR="00000000" w:rsidRDefault="00000000">
      <w:pPr>
        <w:overflowPunct w:val="0"/>
        <w:autoSpaceDE w:val="0"/>
        <w:autoSpaceDN w:val="0"/>
        <w:bidi/>
        <w:spacing w:line="360" w:lineRule="auto"/>
        <w:ind w:left="-199"/>
        <w:jc w:val="both"/>
        <w:rPr>
          <w:rtl/>
        </w:rPr>
      </w:pPr>
      <w:r>
        <w:rPr>
          <w:rFonts w:ascii="David" w:hAnsi="David" w:cs="David"/>
          <w:b/>
          <w:bCs/>
          <w:sz w:val="28"/>
          <w:szCs w:val="28"/>
          <w:rtl/>
        </w:rPr>
        <w:t xml:space="preserve">  </w:t>
      </w:r>
      <w:r>
        <w:rPr>
          <w:rFonts w:ascii="David" w:hAnsi="David" w:cs="David"/>
          <w:b/>
          <w:bCs/>
          <w:sz w:val="28"/>
          <w:szCs w:val="28"/>
          <w:u w:val="single"/>
          <w:rtl/>
        </w:rPr>
        <w:t>המזכירות תמציא פס"ד זה לצדדים</w:t>
      </w:r>
    </w:p>
    <w:p w14:paraId="1E0C4769" w14:textId="77777777" w:rsidR="00000000" w:rsidRDefault="00000000">
      <w:pPr>
        <w:overflowPunct w:val="0"/>
        <w:autoSpaceDE w:val="0"/>
        <w:autoSpaceDN w:val="0"/>
        <w:bidi/>
        <w:spacing w:line="360" w:lineRule="auto"/>
        <w:ind w:left="-199"/>
        <w:jc w:val="both"/>
        <w:rPr>
          <w:rtl/>
        </w:rPr>
      </w:pPr>
      <w:r>
        <w:rPr>
          <w:rFonts w:ascii="David" w:hAnsi="David" w:cs="David"/>
          <w:sz w:val="28"/>
          <w:szCs w:val="28"/>
          <w:rtl/>
        </w:rPr>
        <w:t> </w:t>
      </w:r>
    </w:p>
    <w:p w14:paraId="581C3D51" w14:textId="77777777" w:rsidR="00000000" w:rsidRDefault="00000000">
      <w:pPr>
        <w:bidi/>
        <w:ind w:left="5040"/>
        <w:rPr>
          <w:rtl/>
        </w:rPr>
      </w:pPr>
      <w:r>
        <w:rPr>
          <w:rFonts w:ascii="David" w:hAnsi="David" w:cs="David"/>
          <w:sz w:val="28"/>
          <w:szCs w:val="28"/>
          <w:rtl/>
        </w:rPr>
        <w:t xml:space="preserve">ניתן היום, ה' אדר תשפ"ו, </w:t>
      </w:r>
      <w:r>
        <w:rPr>
          <w:rStyle w:val="f5dinim"/>
          <w:rFonts w:ascii="David" w:hAnsi="David" w:cs="David"/>
          <w:color w:val="000000"/>
          <w:sz w:val="28"/>
          <w:szCs w:val="28"/>
          <w:rtl/>
        </w:rPr>
        <w:t>22 פברואר 2026</w:t>
      </w:r>
      <w:r>
        <w:rPr>
          <w:rFonts w:ascii="David" w:hAnsi="David" w:cs="David"/>
          <w:sz w:val="28"/>
          <w:szCs w:val="28"/>
          <w:rtl/>
        </w:rPr>
        <w:t>, בהעדר הצדדים.</w:t>
      </w:r>
    </w:p>
    <w:p w14:paraId="4E6932C7" w14:textId="77777777" w:rsidR="00000000" w:rsidRDefault="00000000">
      <w:pPr>
        <w:bidi/>
        <w:ind w:left="5040"/>
        <w:rPr>
          <w:rtl/>
        </w:rPr>
      </w:pPr>
      <w:r>
        <w:rPr>
          <w:rFonts w:ascii="David" w:hAnsi="David" w:cs="David"/>
          <w:sz w:val="28"/>
          <w:szCs w:val="28"/>
          <w:rtl/>
        </w:rPr>
        <w:t> </w:t>
      </w:r>
    </w:p>
    <w:p w14:paraId="34CDDAC7" w14:textId="77777777" w:rsidR="00000000" w:rsidRDefault="00000000">
      <w:pPr>
        <w:bidi/>
        <w:rPr>
          <w:rtl/>
        </w:rPr>
      </w:pPr>
      <w:r>
        <w:rPr>
          <w:rFonts w:ascii="David" w:hAnsi="David" w:cs="David"/>
          <w:sz w:val="28"/>
          <w:szCs w:val="28"/>
          <w:rtl/>
        </w:rPr>
        <w:t>   </w:t>
      </w:r>
    </w:p>
    <w:p w14:paraId="584EE001" w14:textId="77777777" w:rsidR="00000000" w:rsidRDefault="00000000">
      <w:pPr>
        <w:bidi/>
        <w:rPr>
          <w:rtl/>
        </w:rPr>
      </w:pPr>
      <w:r>
        <w:rPr>
          <w:rFonts w:ascii="David" w:hAnsi="David" w:cs="David"/>
          <w:sz w:val="28"/>
          <w:szCs w:val="28"/>
          <w:rtl/>
        </w:rPr>
        <w:t> </w:t>
      </w:r>
    </w:p>
    <w:p w14:paraId="64F46CCA" w14:textId="77777777" w:rsidR="00000000" w:rsidRDefault="00000000">
      <w:pPr>
        <w:bidi/>
        <w:rPr>
          <w:rtl/>
        </w:rPr>
      </w:pPr>
      <w:r>
        <w:rPr>
          <w:rFonts w:ascii="David" w:hAnsi="David" w:cs="David"/>
          <w:color w:val="000000"/>
          <w:sz w:val="28"/>
          <w:szCs w:val="28"/>
          <w:rtl/>
        </w:rPr>
        <w:t> </w:t>
      </w:r>
    </w:p>
    <w:tbl>
      <w:tblPr>
        <w:bidiVisual/>
        <w:tblW w:w="5000" w:type="pct"/>
        <w:tblCellSpacing w:w="0" w:type="dxa"/>
        <w:tblCellMar>
          <w:left w:w="0" w:type="dxa"/>
          <w:right w:w="0" w:type="dxa"/>
        </w:tblCellMar>
        <w:tblLook w:val="04A0" w:firstRow="1" w:lastRow="0" w:firstColumn="1" w:lastColumn="0" w:noHBand="0" w:noVBand="1"/>
      </w:tblPr>
      <w:tblGrid>
        <w:gridCol w:w="8312"/>
      </w:tblGrid>
      <w:tr w:rsidR="00000000" w14:paraId="1F0C5EAF" w14:textId="77777777">
        <w:trPr>
          <w:tblCellSpacing w:w="0" w:type="dxa"/>
        </w:trPr>
        <w:tc>
          <w:tcPr>
            <w:tcW w:w="0" w:type="auto"/>
            <w:vAlign w:val="center"/>
            <w:hideMark/>
          </w:tcPr>
          <w:p w14:paraId="0FFE66D7" w14:textId="77777777" w:rsidR="00000000" w:rsidRDefault="00000000">
            <w:pPr>
              <w:bidi/>
              <w:jc w:val="center"/>
              <w:divId w:val="450782028"/>
              <w:rPr>
                <w:rFonts w:ascii="David" w:eastAsia="Times New Roman" w:hAnsi="David" w:cs="David"/>
                <w:rtl/>
              </w:rPr>
            </w:pPr>
            <w:r>
              <w:rPr>
                <w:rFonts w:ascii="David" w:eastAsia="Times New Roman" w:hAnsi="David" w:cs="David"/>
                <w:rtl/>
              </w:rPr>
              <w:t>תצ 63183-10-20 חיים אביגל,פינחס גרינברג,גד קונווי זוהר נגד דרך ארץ הייווייז (1997) בע"מ</w:t>
            </w:r>
          </w:p>
          <w:p w14:paraId="2DBBF756" w14:textId="77777777" w:rsidR="00000000" w:rsidRDefault="00000000">
            <w:pPr>
              <w:pStyle w:val="a7"/>
              <w:bidi/>
              <w:jc w:val="center"/>
              <w:divId w:val="2042704789"/>
              <w:rPr>
                <w:rtl/>
              </w:rPr>
            </w:pPr>
            <w:r>
              <w:rPr>
                <w:rtl/>
              </w:rPr>
              <w:t>תצ 63183-10-20 חיים אביגל,פינחס גרינברג,גד קונווי זוהר נגד דרך ארץ הייווייז (1997) בע"מ</w:t>
            </w:r>
          </w:p>
        </w:tc>
      </w:tr>
    </w:tbl>
    <w:p w14:paraId="38991B25" w14:textId="77777777" w:rsidR="001E15EB" w:rsidRDefault="001E15EB">
      <w:pPr>
        <w:rPr>
          <w:rFonts w:eastAsia="Times New Roman"/>
        </w:rPr>
      </w:pPr>
    </w:p>
    <w:sectPr w:rsidR="001E15EB">
      <w:footerReference w:type="default" r:id="rId6"/>
      <w:pgSz w:w="11906" w:h="16838"/>
      <w:pgMar w:top="1440" w:right="1797" w:bottom="1440" w:left="179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D1C9E" w14:textId="77777777" w:rsidR="001E15EB" w:rsidRDefault="001E15EB">
      <w:r>
        <w:separator/>
      </w:r>
    </w:p>
  </w:endnote>
  <w:endnote w:type="continuationSeparator" w:id="0">
    <w:p w14:paraId="5F5AFDEC" w14:textId="77777777" w:rsidR="001E15EB" w:rsidRDefault="001E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692D" w14:textId="77777777" w:rsidR="00000000" w:rsidRDefault="00000000">
    <w:pPr>
      <w:bidi/>
      <w:jc w:val="center"/>
      <w:rPr>
        <w:rFonts w:ascii="David" w:eastAsia="Times New Roman" w:hAnsi="David" w:cs="David"/>
        <w:rtl/>
      </w:rPr>
    </w:pPr>
    <w:r>
      <w:rPr>
        <w:rFonts w:ascii="David" w:eastAsia="Times New Roman" w:hAnsi="David" w:cs="David"/>
        <w:rtl/>
      </w:rPr>
      <w:t>תצ 63183-10-20 חיים אביגל,פינחס גרינברג,גד קונווי זוהר נגד דרך ארץ הייווייז (1997) בע"מ</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E8438" w14:textId="77777777" w:rsidR="001E15EB" w:rsidRDefault="001E15EB">
      <w:r>
        <w:separator/>
      </w:r>
    </w:p>
  </w:footnote>
  <w:footnote w:type="continuationSeparator" w:id="0">
    <w:p w14:paraId="1A12D0C8" w14:textId="77777777" w:rsidR="001E15EB" w:rsidRDefault="001E1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D2799"/>
    <w:rsid w:val="001E15EB"/>
    <w:rsid w:val="00AD2799"/>
    <w:rsid w:val="00D35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52B84"/>
  <w15:chartTrackingRefBased/>
  <w15:docId w15:val="{BC7BCE9A-EE8B-4E77-8564-33AC750D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4">
    <w:name w:val="heading 4"/>
    <w:basedOn w:val="a"/>
    <w:link w:val="40"/>
    <w:uiPriority w:val="9"/>
    <w:qFormat/>
    <w:pPr>
      <w:keepNext/>
      <w:bidi/>
      <w:ind w:left="5760"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Pr>
      <w:color w:val="0000FF"/>
      <w:u w:val="single"/>
    </w:rPr>
  </w:style>
  <w:style w:type="character" w:styleId="FollowedHyperlink">
    <w:name w:val="FollowedHyperlink"/>
    <w:basedOn w:val="a0"/>
    <w:uiPriority w:val="99"/>
    <w:semiHidden/>
    <w:unhideWhenUsed/>
    <w:rPr>
      <w:color w:val="96607D"/>
      <w:u w:val="single"/>
    </w:rPr>
  </w:style>
  <w:style w:type="character" w:customStyle="1" w:styleId="40">
    <w:name w:val="כותרת 4 תו"/>
    <w:basedOn w:val="a0"/>
    <w:link w:val="4"/>
    <w:uiPriority w:val="9"/>
    <w:semiHidden/>
    <w:rPr>
      <w:rFonts w:ascii="Narkisim" w:hAnsi="Narkisim" w:cs="Narkisim" w:hint="default"/>
      <w:b/>
      <w:bCs/>
    </w:rPr>
  </w:style>
  <w:style w:type="paragraph" w:customStyle="1" w:styleId="msonormal0">
    <w:name w:val="msonormal"/>
    <w:basedOn w:val="a"/>
    <w:pPr>
      <w:spacing w:before="100" w:beforeAutospacing="1" w:after="100" w:afterAutospacing="1"/>
    </w:pPr>
  </w:style>
  <w:style w:type="paragraph" w:styleId="a3">
    <w:name w:val="annotation text"/>
    <w:basedOn w:val="a"/>
    <w:link w:val="a4"/>
    <w:uiPriority w:val="99"/>
    <w:semiHidden/>
    <w:unhideWhenUsed/>
    <w:pPr>
      <w:bidi/>
    </w:pPr>
  </w:style>
  <w:style w:type="character" w:customStyle="1" w:styleId="a4">
    <w:name w:val="טקסט הערה תו"/>
    <w:basedOn w:val="a0"/>
    <w:link w:val="a3"/>
    <w:uiPriority w:val="99"/>
    <w:semiHidden/>
  </w:style>
  <w:style w:type="paragraph" w:styleId="a5">
    <w:name w:val="header"/>
    <w:basedOn w:val="a"/>
    <w:link w:val="a6"/>
    <w:uiPriority w:val="99"/>
    <w:semiHidden/>
    <w:unhideWhenUsed/>
  </w:style>
  <w:style w:type="character" w:customStyle="1" w:styleId="a6">
    <w:name w:val="כותרת עליונה תו"/>
    <w:basedOn w:val="a0"/>
    <w:link w:val="a5"/>
    <w:uiPriority w:val="99"/>
    <w:semiHidden/>
    <w:rPr>
      <w:rFonts w:ascii="David" w:hAnsi="David" w:cs="David" w:hint="default"/>
    </w:rPr>
  </w:style>
  <w:style w:type="paragraph" w:styleId="a7">
    <w:name w:val="footer"/>
    <w:basedOn w:val="a"/>
    <w:link w:val="a8"/>
    <w:uiPriority w:val="99"/>
    <w:unhideWhenUsed/>
    <w:pPr>
      <w:tabs>
        <w:tab w:val="center" w:pos="4320"/>
        <w:tab w:val="right" w:pos="8640"/>
      </w:tabs>
    </w:pPr>
    <w:rPr>
      <w:rFonts w:ascii="David" w:hAnsi="David" w:cs="David"/>
    </w:rPr>
  </w:style>
  <w:style w:type="character" w:customStyle="1" w:styleId="a8">
    <w:name w:val="כותרת תחתונה תו"/>
    <w:basedOn w:val="a0"/>
    <w:link w:val="a7"/>
    <w:uiPriority w:val="99"/>
    <w:rPr>
      <w:rFonts w:ascii="David" w:hAnsi="David" w:cs="David" w:hint="default"/>
    </w:rPr>
  </w:style>
  <w:style w:type="paragraph" w:styleId="a9">
    <w:name w:val="Subtitle"/>
    <w:basedOn w:val="a"/>
    <w:link w:val="aa"/>
    <w:uiPriority w:val="11"/>
    <w:qFormat/>
    <w:pPr>
      <w:spacing w:after="60"/>
      <w:jc w:val="center"/>
    </w:pPr>
    <w:rPr>
      <w:rFonts w:ascii="Cambria" w:hAnsi="Cambria"/>
    </w:rPr>
  </w:style>
  <w:style w:type="character" w:customStyle="1" w:styleId="aa">
    <w:name w:val="כותרת משנה תו"/>
    <w:basedOn w:val="a0"/>
    <w:link w:val="a9"/>
    <w:uiPriority w:val="11"/>
    <w:rPr>
      <w:rFonts w:ascii="Cambria" w:hAnsi="Cambria" w:hint="default"/>
    </w:rPr>
  </w:style>
  <w:style w:type="paragraph" w:styleId="ab">
    <w:name w:val="Balloon Text"/>
    <w:basedOn w:val="a"/>
    <w:link w:val="ac"/>
    <w:uiPriority w:val="99"/>
    <w:semiHidden/>
    <w:unhideWhenUsed/>
    <w:pPr>
      <w:bidi/>
    </w:pPr>
    <w:rPr>
      <w:rFonts w:ascii="Tahoma" w:hAnsi="Tahoma" w:cs="Tahoma"/>
      <w:sz w:val="16"/>
      <w:szCs w:val="16"/>
    </w:rPr>
  </w:style>
  <w:style w:type="character" w:customStyle="1" w:styleId="ac">
    <w:name w:val="טקסט בלונים תו"/>
    <w:basedOn w:val="a0"/>
    <w:link w:val="ab"/>
    <w:uiPriority w:val="99"/>
    <w:semiHidden/>
    <w:rPr>
      <w:rFonts w:ascii="Tahoma" w:hAnsi="Tahoma" w:cs="Tahoma" w:hint="default"/>
    </w:rPr>
  </w:style>
  <w:style w:type="paragraph" w:customStyle="1" w:styleId="idhidden">
    <w:name w:val="idhidden"/>
    <w:basedOn w:val="a"/>
    <w:pPr>
      <w:bidi/>
    </w:pPr>
    <w:rPr>
      <w:vanish/>
      <w:color w:val="3366FF"/>
    </w:rPr>
  </w:style>
  <w:style w:type="character" w:customStyle="1" w:styleId="mmtakdinchar">
    <w:name w:val="mmtakdin char"/>
    <w:basedOn w:val="a0"/>
    <w:link w:val="mmtakdin"/>
    <w:rPr>
      <w:vanish/>
      <w:webHidden w:val="0"/>
      <w:color w:val="FF0000"/>
      <w:specVanish w:val="0"/>
    </w:rPr>
  </w:style>
  <w:style w:type="paragraph" w:customStyle="1" w:styleId="mmtakdin">
    <w:name w:val="mmtakdin"/>
    <w:basedOn w:val="a"/>
    <w:link w:val="mmtakdinchar"/>
    <w:pPr>
      <w:bidi/>
    </w:pPr>
    <w:rPr>
      <w:vanish/>
      <w:color w:val="FF0000"/>
    </w:rPr>
  </w:style>
  <w:style w:type="character" w:customStyle="1" w:styleId="titlechar">
    <w:name w:val="title char"/>
    <w:basedOn w:val="a0"/>
    <w:link w:val="title"/>
    <w:rPr>
      <w:rFonts w:ascii="Arial" w:hAnsi="Arial" w:cs="Arial" w:hint="default"/>
      <w:b/>
      <w:bCs/>
    </w:rPr>
  </w:style>
  <w:style w:type="paragraph" w:customStyle="1" w:styleId="title">
    <w:name w:val="title"/>
    <w:basedOn w:val="a"/>
    <w:link w:val="titlechar"/>
    <w:pPr>
      <w:jc w:val="center"/>
    </w:pPr>
    <w:rPr>
      <w:rFonts w:ascii="Arial" w:hAnsi="Arial" w:cs="Arial"/>
      <w:b/>
      <w:bCs/>
      <w:sz w:val="32"/>
      <w:szCs w:val="32"/>
    </w:rPr>
  </w:style>
  <w:style w:type="paragraph" w:customStyle="1" w:styleId="datedoc">
    <w:name w:val="datedoc"/>
    <w:basedOn w:val="a"/>
    <w:pPr>
      <w:spacing w:after="200" w:line="276" w:lineRule="auto"/>
      <w:jc w:val="center"/>
    </w:pPr>
    <w:rPr>
      <w:rFonts w:ascii="Arial" w:hAnsi="Arial" w:cs="Arial"/>
      <w:b/>
      <w:bCs/>
      <w:spacing w:val="15"/>
      <w:sz w:val="28"/>
      <w:szCs w:val="28"/>
    </w:rPr>
  </w:style>
  <w:style w:type="paragraph" w:customStyle="1" w:styleId="content">
    <w:name w:val="content"/>
    <w:basedOn w:val="a"/>
    <w:pPr>
      <w:spacing w:after="200" w:line="276" w:lineRule="auto"/>
      <w:jc w:val="center"/>
    </w:pPr>
    <w:rPr>
      <w:rFonts w:ascii="Arial" w:hAnsi="Arial" w:cs="Arial"/>
      <w:spacing w:val="15"/>
      <w:sz w:val="28"/>
      <w:szCs w:val="28"/>
    </w:rPr>
  </w:style>
  <w:style w:type="paragraph" w:customStyle="1" w:styleId="judges">
    <w:name w:val="judges"/>
    <w:basedOn w:val="a"/>
    <w:pPr>
      <w:spacing w:after="200" w:line="276" w:lineRule="auto"/>
      <w:jc w:val="center"/>
    </w:pPr>
    <w:rPr>
      <w:rFonts w:ascii="Arial" w:hAnsi="Arial" w:cs="Arial"/>
      <w:spacing w:val="15"/>
      <w:sz w:val="28"/>
      <w:szCs w:val="28"/>
    </w:rPr>
  </w:style>
  <w:style w:type="paragraph" w:customStyle="1" w:styleId="lawyers">
    <w:name w:val="lawyers"/>
    <w:basedOn w:val="a"/>
    <w:pPr>
      <w:spacing w:after="200" w:line="276" w:lineRule="auto"/>
      <w:jc w:val="center"/>
    </w:pPr>
    <w:rPr>
      <w:rFonts w:ascii="Arial" w:hAnsi="Arial" w:cs="Arial"/>
      <w:spacing w:val="15"/>
    </w:rPr>
  </w:style>
  <w:style w:type="paragraph" w:customStyle="1" w:styleId="details">
    <w:name w:val="details"/>
    <w:basedOn w:val="a"/>
    <w:pPr>
      <w:spacing w:after="200" w:line="276" w:lineRule="auto"/>
      <w:jc w:val="center"/>
    </w:pPr>
    <w:rPr>
      <w:rFonts w:ascii="Arial" w:hAnsi="Arial" w:cs="Arial"/>
      <w:b/>
      <w:bCs/>
      <w:color w:val="800000"/>
      <w:spacing w:val="15"/>
      <w:sz w:val="30"/>
      <w:szCs w:val="30"/>
    </w:rPr>
  </w:style>
  <w:style w:type="paragraph" w:customStyle="1" w:styleId="sivugim">
    <w:name w:val="sivugim"/>
    <w:basedOn w:val="a"/>
    <w:pPr>
      <w:spacing w:after="200" w:line="276" w:lineRule="auto"/>
      <w:jc w:val="center"/>
    </w:pPr>
    <w:rPr>
      <w:rFonts w:ascii="Arial" w:hAnsi="Arial" w:cs="Arial"/>
      <w:spacing w:val="15"/>
    </w:rPr>
  </w:style>
  <w:style w:type="paragraph" w:customStyle="1" w:styleId="subtitle">
    <w:name w:val="subtitle"/>
    <w:basedOn w:val="a"/>
    <w:pPr>
      <w:spacing w:after="200" w:line="276" w:lineRule="auto"/>
    </w:pPr>
    <w:rPr>
      <w:rFonts w:ascii="Arial" w:hAnsi="Arial" w:cs="Arial"/>
      <w:b/>
      <w:bCs/>
      <w:spacing w:val="15"/>
    </w:rPr>
  </w:style>
  <w:style w:type="paragraph" w:customStyle="1" w:styleId="ad">
    <w:name w:val="סעיפים"/>
    <w:basedOn w:val="a"/>
    <w:pPr>
      <w:bidi/>
      <w:spacing w:line="360" w:lineRule="auto"/>
      <w:jc w:val="both"/>
    </w:pPr>
  </w:style>
  <w:style w:type="paragraph" w:customStyle="1" w:styleId="12">
    <w:name w:val="רגיל + ‏12 נק'"/>
    <w:aliases w:val="מיושר לשני הצדדים,מרווח בין שורות:  שורה וחצי"/>
    <w:basedOn w:val="a"/>
    <w:pPr>
      <w:bidi/>
    </w:pPr>
    <w:rPr>
      <w:b/>
      <w:bCs/>
      <w:u w:val="single"/>
    </w:rPr>
  </w:style>
  <w:style w:type="paragraph" w:customStyle="1" w:styleId="section1">
    <w:name w:val="section1"/>
    <w:basedOn w:val="a"/>
    <w:pPr>
      <w:spacing w:before="100" w:beforeAutospacing="1" w:after="100" w:afterAutospacing="1"/>
    </w:pPr>
  </w:style>
  <w:style w:type="character" w:styleId="ae">
    <w:name w:val="page number"/>
    <w:basedOn w:val="a0"/>
    <w:uiPriority w:val="99"/>
    <w:semiHidden/>
    <w:unhideWhenUsed/>
    <w:rPr>
      <w:rFonts w:ascii="Times New Roman" w:hAnsi="Times New Roman" w:cs="Times New Roman" w:hint="default"/>
    </w:rPr>
  </w:style>
  <w:style w:type="character" w:styleId="af">
    <w:name w:val="Placeholder Text"/>
    <w:basedOn w:val="a0"/>
    <w:uiPriority w:val="99"/>
    <w:semiHidden/>
    <w:rPr>
      <w:color w:val="808080"/>
    </w:rPr>
  </w:style>
  <w:style w:type="character" w:customStyle="1" w:styleId="f4dinim">
    <w:name w:val="f4dinim"/>
    <w:basedOn w:val="a0"/>
  </w:style>
  <w:style w:type="character" w:customStyle="1" w:styleId="f40dinim">
    <w:name w:val="f40dinim"/>
    <w:basedOn w:val="a0"/>
  </w:style>
  <w:style w:type="character" w:customStyle="1" w:styleId="f41dinim">
    <w:name w:val="f41dinim"/>
    <w:basedOn w:val="a0"/>
  </w:style>
  <w:style w:type="character" w:customStyle="1" w:styleId="f2dinim">
    <w:name w:val="f2dinim"/>
    <w:basedOn w:val="a0"/>
  </w:style>
  <w:style w:type="character" w:customStyle="1" w:styleId="f2ndinim">
    <w:name w:val="f2ndinim"/>
    <w:basedOn w:val="a0"/>
  </w:style>
  <w:style w:type="character" w:customStyle="1" w:styleId="f3dinim">
    <w:name w:val="f3dinim"/>
    <w:basedOn w:val="a0"/>
  </w:style>
  <w:style w:type="character" w:customStyle="1" w:styleId="f13hdinim">
    <w:name w:val="f13hdinim"/>
    <w:basedOn w:val="a0"/>
  </w:style>
  <w:style w:type="character" w:customStyle="1" w:styleId="f5dinim">
    <w:name w:val="f5dinim"/>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04348">
      <w:marLeft w:val="0"/>
      <w:marRight w:val="0"/>
      <w:marTop w:val="0"/>
      <w:marBottom w:val="0"/>
      <w:divBdr>
        <w:top w:val="none" w:sz="0" w:space="0" w:color="auto"/>
        <w:left w:val="none" w:sz="0" w:space="0" w:color="auto"/>
        <w:bottom w:val="none" w:sz="0" w:space="0" w:color="auto"/>
        <w:right w:val="none" w:sz="0" w:space="0" w:color="auto"/>
      </w:divBdr>
      <w:divsChild>
        <w:div w:id="382876456">
          <w:marLeft w:val="0"/>
          <w:marRight w:val="0"/>
          <w:marTop w:val="0"/>
          <w:marBottom w:val="0"/>
          <w:divBdr>
            <w:top w:val="none" w:sz="0" w:space="0" w:color="auto"/>
            <w:left w:val="none" w:sz="0" w:space="0" w:color="auto"/>
            <w:bottom w:val="none" w:sz="0" w:space="0" w:color="auto"/>
            <w:right w:val="none" w:sz="0" w:space="0" w:color="auto"/>
          </w:divBdr>
        </w:div>
      </w:divsChild>
    </w:div>
    <w:div w:id="450782028">
      <w:marLeft w:val="0"/>
      <w:marRight w:val="0"/>
      <w:marTop w:val="0"/>
      <w:marBottom w:val="0"/>
      <w:divBdr>
        <w:top w:val="none" w:sz="0" w:space="0" w:color="auto"/>
        <w:left w:val="none" w:sz="0" w:space="0" w:color="auto"/>
        <w:bottom w:val="none" w:sz="0" w:space="0" w:color="auto"/>
        <w:right w:val="none" w:sz="0" w:space="0" w:color="auto"/>
      </w:divBdr>
    </w:div>
    <w:div w:id="2042704789">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45</Pages>
  <Words>13035</Words>
  <Characters>65179</Characters>
  <Application>Microsoft Office Word</Application>
  <DocSecurity>0</DocSecurity>
  <Lines>543</Lines>
  <Paragraphs>156</Paragraphs>
  <ScaleCrop>false</ScaleCrop>
  <Company/>
  <LinksUpToDate>false</LinksUpToDate>
  <CharactersWithSpaces>78058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hxgfכגידיג</dc:title>
  <dc:subject/>
  <dc:creator>orit כהן</dc:creator>
  <cp:keywords/>
  <dc:description/>
  <cp:lastModifiedBy>orit כהן</cp:lastModifiedBy>
  <cp:revision>2</cp:revision>
  <dcterms:created xsi:type="dcterms:W3CDTF">2026-03-05T09:46:00Z</dcterms:created>
  <dcterms:modified xsi:type="dcterms:W3CDTF">2026-03-05T09:46:00Z</dcterms:modified>
</cp:coreProperties>
</file>