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8307"/>
      </w:tblGrid>
      <w:tr w:rsidR="009D01B9" w14:paraId="36A10955" w14:textId="77777777" w:rsidTr="00616AE2">
        <w:trPr>
          <w:trHeight w:hRule="exact" w:val="624"/>
          <w:jc w:val="center"/>
        </w:trPr>
        <w:tc>
          <w:tcPr>
            <w:tcW w:w="8307" w:type="dxa"/>
          </w:tcPr>
          <w:p w14:paraId="7369A30C" w14:textId="77777777" w:rsidR="00270C62" w:rsidRPr="007E7F5C" w:rsidRDefault="00000000" w:rsidP="003B5F93">
            <w:pPr>
              <w:pStyle w:val="a5"/>
              <w:jc w:val="center"/>
              <w:rPr>
                <w:rFonts w:ascii="Tahoma" w:hAnsi="Tahoma"/>
                <w:b/>
                <w:bCs/>
                <w:sz w:val="28"/>
                <w:szCs w:val="28"/>
                <w:rtl/>
              </w:rPr>
            </w:pPr>
            <w:bookmarkStart w:id="0" w:name="LastJudge"/>
            <w:r w:rsidRPr="007E7F5C">
              <w:rPr>
                <w:rFonts w:ascii="Tahoma" w:hAnsi="Tahoma" w:hint="cs"/>
                <w:b/>
                <w:bCs/>
                <w:sz w:val="28"/>
                <w:szCs w:val="28"/>
                <w:rtl/>
              </w:rPr>
              <w:t>בבית המשפט העליון בשבתו כבית משפט לערעורים אזרחיים</w:t>
            </w:r>
          </w:p>
        </w:tc>
      </w:tr>
    </w:tbl>
    <w:p w14:paraId="5AEFD306" w14:textId="77777777" w:rsidR="00C9217F" w:rsidRPr="007E7F5C" w:rsidRDefault="00270C62" w:rsidP="00270C62">
      <w:pPr>
        <w:pStyle w:val="a5"/>
        <w:jc w:val="right"/>
        <w:rPr>
          <w:rFonts w:ascii="David" w:hAnsi="David"/>
          <w:b/>
          <w:bCs/>
          <w:sz w:val="28"/>
          <w:szCs w:val="28"/>
          <w:rtl/>
        </w:rPr>
      </w:pPr>
      <w:r w:rsidRPr="007E7F5C">
        <w:rPr>
          <w:rtl/>
        </w:rPr>
        <w:t xml:space="preserve"> </w:t>
      </w:r>
      <w:r w:rsidRPr="007E7F5C">
        <w:rPr>
          <w:rFonts w:ascii="David" w:hAnsi="David"/>
          <w:b/>
          <w:bCs/>
          <w:sz w:val="28"/>
          <w:szCs w:val="28"/>
          <w:rtl/>
        </w:rPr>
        <w:t>רע"א</w:t>
      </w:r>
      <w:r w:rsidR="00000000" w:rsidRPr="007E7F5C">
        <w:rPr>
          <w:rFonts w:ascii="David" w:hAnsi="David"/>
          <w:b/>
          <w:bCs/>
          <w:sz w:val="28"/>
          <w:szCs w:val="28"/>
          <w:rtl/>
        </w:rPr>
        <w:t xml:space="preserve"> </w:t>
      </w:r>
      <w:r w:rsidRPr="007E7F5C">
        <w:rPr>
          <w:rFonts w:ascii="David" w:hAnsi="David"/>
          <w:b/>
          <w:bCs/>
          <w:sz w:val="28"/>
          <w:szCs w:val="28"/>
          <w:rtl/>
        </w:rPr>
        <w:t>58589-04-25</w:t>
      </w:r>
    </w:p>
    <w:p w14:paraId="3D7F8285" w14:textId="77777777" w:rsidR="0094424E" w:rsidRPr="007E7F5C" w:rsidRDefault="0094424E" w:rsidP="00D44968">
      <w:pPr>
        <w:suppressLineNumbers/>
        <w:rPr>
          <w:rtl/>
        </w:rPr>
      </w:pPr>
    </w:p>
    <w:tbl>
      <w:tblPr>
        <w:bidiVisual/>
        <w:tblW w:w="8348" w:type="dxa"/>
        <w:jc w:val="center"/>
        <w:tblLook w:val="01E0" w:firstRow="1" w:lastRow="1" w:firstColumn="1" w:lastColumn="1" w:noHBand="0" w:noVBand="0"/>
      </w:tblPr>
      <w:tblGrid>
        <w:gridCol w:w="3096"/>
        <w:gridCol w:w="5252"/>
      </w:tblGrid>
      <w:tr w:rsidR="009D01B9" w14:paraId="737F2D33" w14:textId="77777777" w:rsidTr="007E7F5C">
        <w:trPr>
          <w:jc w:val="center"/>
        </w:trPr>
        <w:tc>
          <w:tcPr>
            <w:tcW w:w="3096" w:type="dxa"/>
          </w:tcPr>
          <w:p w14:paraId="5FBEED06" w14:textId="77777777" w:rsidR="0094424E" w:rsidRPr="007E7F5C" w:rsidRDefault="00105E0F" w:rsidP="007E7F5C">
            <w:pPr>
              <w:suppressLineNumbers/>
              <w:ind w:right="-295"/>
              <w:jc w:val="both"/>
              <w:rPr>
                <w:rFonts w:ascii="David" w:hAnsi="David"/>
                <w:sz w:val="28"/>
                <w:szCs w:val="28"/>
                <w:rtl/>
              </w:rPr>
            </w:pPr>
            <w:r w:rsidRPr="007E7F5C">
              <w:rPr>
                <w:rFonts w:ascii="David" w:hAnsi="David"/>
                <w:sz w:val="28"/>
                <w:szCs w:val="28"/>
                <w:rtl/>
              </w:rPr>
              <w:t>ל</w:t>
            </w:r>
            <w:r w:rsidR="00000000" w:rsidRPr="007E7F5C">
              <w:rPr>
                <w:rFonts w:ascii="David" w:hAnsi="David"/>
                <w:sz w:val="28"/>
                <w:szCs w:val="28"/>
                <w:rtl/>
              </w:rPr>
              <w:t>פני</w:t>
            </w:r>
            <w:r w:rsidRPr="007E7F5C">
              <w:rPr>
                <w:rFonts w:ascii="David" w:hAnsi="David"/>
                <w:sz w:val="28"/>
                <w:szCs w:val="28"/>
                <w:rtl/>
              </w:rPr>
              <w:t>:</w:t>
            </w:r>
          </w:p>
        </w:tc>
        <w:tc>
          <w:tcPr>
            <w:tcW w:w="5252" w:type="dxa"/>
          </w:tcPr>
          <w:p w14:paraId="3A97EEAC" w14:textId="77777777" w:rsidR="00007DE0" w:rsidRPr="007E7F5C" w:rsidRDefault="000529D2" w:rsidP="007E7F5C">
            <w:pPr>
              <w:suppressLineNumbers/>
              <w:rPr>
                <w:rFonts w:ascii="David" w:hAnsi="David"/>
                <w:sz w:val="28"/>
                <w:szCs w:val="28"/>
                <w:rtl/>
              </w:rPr>
            </w:pPr>
            <w:bookmarkStart w:id="1" w:name="_Hlk216339809"/>
            <w:r w:rsidRPr="007E7F5C">
              <w:rPr>
                <w:rFonts w:ascii="David" w:hAnsi="David"/>
                <w:sz w:val="28"/>
                <w:szCs w:val="28"/>
                <w:rtl/>
              </w:rPr>
              <w:t>כבוד</w:t>
            </w:r>
            <w:r w:rsidR="0094424E" w:rsidRPr="007E7F5C">
              <w:rPr>
                <w:rFonts w:ascii="David" w:hAnsi="David"/>
                <w:sz w:val="28"/>
                <w:szCs w:val="28"/>
                <w:rtl/>
              </w:rPr>
              <w:t xml:space="preserve"> ה</w:t>
            </w:r>
            <w:r w:rsidRPr="007E7F5C">
              <w:rPr>
                <w:rFonts w:ascii="David" w:hAnsi="David"/>
                <w:sz w:val="28"/>
                <w:szCs w:val="28"/>
                <w:rtl/>
              </w:rPr>
              <w:t>שופט</w:t>
            </w:r>
            <w:r w:rsidR="0094424E" w:rsidRPr="007E7F5C">
              <w:rPr>
                <w:rFonts w:ascii="David" w:hAnsi="David"/>
                <w:sz w:val="28"/>
                <w:szCs w:val="28"/>
                <w:rtl/>
              </w:rPr>
              <w:t xml:space="preserve"> </w:t>
            </w:r>
            <w:r w:rsidRPr="007E7F5C">
              <w:rPr>
                <w:rFonts w:ascii="David" w:hAnsi="David"/>
                <w:sz w:val="28"/>
                <w:szCs w:val="28"/>
                <w:rtl/>
              </w:rPr>
              <w:t>דוד מינץ</w:t>
            </w:r>
            <w:r w:rsidR="00FD5206" w:rsidRPr="007E7F5C">
              <w:rPr>
                <w:rFonts w:ascii="David" w:hAnsi="David"/>
                <w:sz w:val="28"/>
                <w:szCs w:val="28"/>
                <w:rtl/>
              </w:rPr>
              <w:br/>
            </w:r>
            <w:r w:rsidR="00FD5206" w:rsidRPr="007E7F5C">
              <w:rPr>
                <w:rFonts w:ascii="David" w:hAnsi="David" w:hint="cs"/>
                <w:sz w:val="28"/>
                <w:szCs w:val="28"/>
                <w:rtl/>
              </w:rPr>
              <w:t>כבוד השופט אלכס שטיין</w:t>
            </w:r>
            <w:r w:rsidR="00FD5206" w:rsidRPr="007E7F5C">
              <w:rPr>
                <w:rFonts w:ascii="David" w:hAnsi="David"/>
                <w:sz w:val="28"/>
                <w:szCs w:val="28"/>
                <w:rtl/>
              </w:rPr>
              <w:br/>
            </w:r>
            <w:r w:rsidR="00FD5206" w:rsidRPr="007E7F5C">
              <w:rPr>
                <w:rFonts w:ascii="David" w:hAnsi="David" w:hint="cs"/>
                <w:sz w:val="28"/>
                <w:szCs w:val="28"/>
                <w:rtl/>
              </w:rPr>
              <w:t>כבוד השופט חאלד כבוב</w:t>
            </w:r>
          </w:p>
          <w:bookmarkEnd w:id="1"/>
          <w:p w14:paraId="71AC211C" w14:textId="77777777" w:rsidR="00CA4C49" w:rsidRPr="007E7F5C" w:rsidRDefault="00CA4C49" w:rsidP="007E7F5C">
            <w:pPr>
              <w:suppressLineNumbers/>
              <w:rPr>
                <w:rFonts w:ascii="David" w:hAnsi="David"/>
                <w:sz w:val="28"/>
                <w:szCs w:val="28"/>
              </w:rPr>
            </w:pPr>
          </w:p>
        </w:tc>
      </w:tr>
      <w:tr w:rsidR="009D01B9" w14:paraId="7DB6C652" w14:textId="77777777" w:rsidTr="007E7F5C">
        <w:trPr>
          <w:jc w:val="center"/>
        </w:trPr>
        <w:tc>
          <w:tcPr>
            <w:tcW w:w="3096" w:type="dxa"/>
          </w:tcPr>
          <w:p w14:paraId="70F5EB72" w14:textId="77777777" w:rsidR="0094424E" w:rsidRPr="007E7F5C" w:rsidRDefault="00C9217F" w:rsidP="007E7F5C">
            <w:pPr>
              <w:suppressLineNumbers/>
              <w:rPr>
                <w:rFonts w:ascii="David" w:hAnsi="David"/>
                <w:sz w:val="28"/>
                <w:szCs w:val="28"/>
                <w:rtl/>
              </w:rPr>
            </w:pPr>
            <w:bookmarkStart w:id="2" w:name="FirstAppellant"/>
            <w:r w:rsidRPr="007E7F5C">
              <w:rPr>
                <w:rFonts w:ascii="David" w:hAnsi="David" w:hint="cs"/>
                <w:sz w:val="28"/>
                <w:szCs w:val="28"/>
                <w:rtl/>
              </w:rPr>
              <w:t>ה</w:t>
            </w:r>
            <w:r w:rsidR="00FD5206" w:rsidRPr="007E7F5C">
              <w:rPr>
                <w:rFonts w:ascii="David" w:hAnsi="David"/>
                <w:sz w:val="28"/>
                <w:szCs w:val="28"/>
                <w:rtl/>
              </w:rPr>
              <w:t>מבקש</w:t>
            </w:r>
            <w:r w:rsidR="00FD5206" w:rsidRPr="007E7F5C">
              <w:rPr>
                <w:rFonts w:ascii="David" w:hAnsi="David" w:hint="cs"/>
                <w:sz w:val="28"/>
                <w:szCs w:val="28"/>
                <w:rtl/>
              </w:rPr>
              <w:t>ת</w:t>
            </w:r>
            <w:r w:rsidRPr="007E7F5C">
              <w:rPr>
                <w:rFonts w:ascii="David" w:hAnsi="David" w:hint="cs"/>
                <w:sz w:val="28"/>
                <w:szCs w:val="28"/>
                <w:rtl/>
              </w:rPr>
              <w:t>:</w:t>
            </w:r>
          </w:p>
        </w:tc>
        <w:tc>
          <w:tcPr>
            <w:tcW w:w="5252" w:type="dxa"/>
          </w:tcPr>
          <w:p w14:paraId="2556603D" w14:textId="77777777" w:rsidR="0094424E" w:rsidRPr="007E7F5C" w:rsidRDefault="007F4CC9" w:rsidP="007E7F5C">
            <w:pPr>
              <w:suppressLineNumbers/>
              <w:rPr>
                <w:rFonts w:ascii="David" w:hAnsi="David"/>
                <w:sz w:val="28"/>
                <w:szCs w:val="28"/>
              </w:rPr>
            </w:pPr>
            <w:r w:rsidRPr="007E7F5C">
              <w:rPr>
                <w:rFonts w:ascii="David" w:hAnsi="David"/>
                <w:sz w:val="28"/>
                <w:szCs w:val="28"/>
                <w:rtl/>
              </w:rPr>
              <w:t>סוהייר זחאלקה</w:t>
            </w:r>
          </w:p>
        </w:tc>
      </w:tr>
      <w:bookmarkEnd w:id="2"/>
      <w:tr w:rsidR="009D01B9" w14:paraId="43F487E0" w14:textId="77777777" w:rsidTr="007E7F5C">
        <w:trPr>
          <w:jc w:val="center"/>
        </w:trPr>
        <w:tc>
          <w:tcPr>
            <w:tcW w:w="8348" w:type="dxa"/>
            <w:gridSpan w:val="2"/>
          </w:tcPr>
          <w:p w14:paraId="67E32089" w14:textId="77777777" w:rsidR="0094424E" w:rsidRPr="007E7F5C" w:rsidRDefault="0094424E" w:rsidP="007E7F5C">
            <w:pPr>
              <w:suppressLineNumbers/>
              <w:rPr>
                <w:rFonts w:ascii="David" w:hAnsi="David"/>
                <w:sz w:val="28"/>
                <w:szCs w:val="28"/>
                <w:rtl/>
              </w:rPr>
            </w:pPr>
          </w:p>
          <w:p w14:paraId="0F642594" w14:textId="77777777" w:rsidR="0094424E" w:rsidRPr="007E7F5C" w:rsidRDefault="00616AE2" w:rsidP="007E7F5C">
            <w:pPr>
              <w:suppressLineNumbers/>
              <w:ind w:left="2880"/>
              <w:rPr>
                <w:rFonts w:ascii="David" w:hAnsi="David"/>
                <w:spacing w:val="40"/>
                <w:sz w:val="28"/>
                <w:szCs w:val="28"/>
                <w:rtl/>
              </w:rPr>
            </w:pPr>
            <w:r w:rsidRPr="007E7F5C">
              <w:rPr>
                <w:rFonts w:ascii="David" w:hAnsi="David" w:hint="cs"/>
                <w:spacing w:val="40"/>
                <w:sz w:val="28"/>
                <w:szCs w:val="28"/>
                <w:rtl/>
              </w:rPr>
              <w:t xml:space="preserve">  </w:t>
            </w:r>
            <w:r w:rsidR="00000000" w:rsidRPr="007E7F5C">
              <w:rPr>
                <w:rFonts w:ascii="David" w:hAnsi="David"/>
                <w:spacing w:val="40"/>
                <w:sz w:val="28"/>
                <w:szCs w:val="28"/>
                <w:rtl/>
              </w:rPr>
              <w:t>נגד</w:t>
            </w:r>
          </w:p>
          <w:p w14:paraId="10025145" w14:textId="77777777" w:rsidR="0094424E" w:rsidRPr="007E7F5C" w:rsidRDefault="0094424E" w:rsidP="007E7F5C">
            <w:pPr>
              <w:suppressLineNumbers/>
              <w:rPr>
                <w:rFonts w:ascii="David" w:hAnsi="David"/>
                <w:sz w:val="28"/>
                <w:szCs w:val="28"/>
              </w:rPr>
            </w:pPr>
          </w:p>
        </w:tc>
      </w:tr>
      <w:tr w:rsidR="009D01B9" w14:paraId="5ADA3AC5" w14:textId="77777777" w:rsidTr="007E7F5C">
        <w:trPr>
          <w:jc w:val="center"/>
        </w:trPr>
        <w:tc>
          <w:tcPr>
            <w:tcW w:w="3096" w:type="dxa"/>
          </w:tcPr>
          <w:p w14:paraId="170D84FA" w14:textId="77777777" w:rsidR="0094424E" w:rsidRPr="007E7F5C" w:rsidRDefault="00C9217F" w:rsidP="007E7F5C">
            <w:pPr>
              <w:suppressLineNumbers/>
              <w:rPr>
                <w:rFonts w:ascii="David" w:hAnsi="David"/>
                <w:sz w:val="28"/>
                <w:szCs w:val="28"/>
              </w:rPr>
            </w:pPr>
            <w:r w:rsidRPr="007E7F5C">
              <w:rPr>
                <w:rFonts w:ascii="David" w:hAnsi="David" w:hint="cs"/>
                <w:sz w:val="28"/>
                <w:szCs w:val="28"/>
                <w:rtl/>
              </w:rPr>
              <w:t>ה</w:t>
            </w:r>
            <w:r w:rsidRPr="007E7F5C">
              <w:rPr>
                <w:rFonts w:ascii="David" w:hAnsi="David"/>
                <w:sz w:val="28"/>
                <w:szCs w:val="28"/>
                <w:rtl/>
              </w:rPr>
              <w:t>משיבים</w:t>
            </w:r>
            <w:r w:rsidRPr="007E7F5C">
              <w:rPr>
                <w:rFonts w:ascii="David" w:hAnsi="David" w:hint="cs"/>
                <w:sz w:val="28"/>
                <w:szCs w:val="28"/>
                <w:rtl/>
              </w:rPr>
              <w:t>:</w:t>
            </w:r>
          </w:p>
        </w:tc>
        <w:tc>
          <w:tcPr>
            <w:tcW w:w="5252" w:type="dxa"/>
          </w:tcPr>
          <w:p w14:paraId="7CB3342C" w14:textId="77777777" w:rsidR="00CF6BB7" w:rsidRPr="007E7F5C" w:rsidRDefault="007F4CC9" w:rsidP="007E7F5C">
            <w:pPr>
              <w:suppressLineNumbers/>
              <w:rPr>
                <w:rFonts w:ascii="David" w:hAnsi="David"/>
                <w:sz w:val="28"/>
                <w:szCs w:val="28"/>
                <w:rtl/>
              </w:rPr>
            </w:pPr>
            <w:r w:rsidRPr="007E7F5C">
              <w:rPr>
                <w:rFonts w:ascii="David" w:hAnsi="David"/>
                <w:sz w:val="28"/>
                <w:szCs w:val="28"/>
                <w:rtl/>
              </w:rPr>
              <w:t>1</w:t>
            </w:r>
            <w:r w:rsidR="0094424E" w:rsidRPr="007E7F5C">
              <w:rPr>
                <w:rFonts w:ascii="David" w:hAnsi="David"/>
                <w:sz w:val="28"/>
                <w:szCs w:val="28"/>
                <w:rtl/>
              </w:rPr>
              <w:t xml:space="preserve">. </w:t>
            </w:r>
            <w:r w:rsidR="00FD5206" w:rsidRPr="007E7F5C">
              <w:rPr>
                <w:rFonts w:ascii="David" w:hAnsi="David"/>
                <w:sz w:val="28"/>
                <w:szCs w:val="28"/>
                <w:rtl/>
              </w:rPr>
              <w:t xml:space="preserve">עו"ד </w:t>
            </w:r>
            <w:r w:rsidRPr="007E7F5C">
              <w:rPr>
                <w:rFonts w:ascii="David" w:hAnsi="David"/>
                <w:sz w:val="28"/>
                <w:szCs w:val="28"/>
                <w:rtl/>
              </w:rPr>
              <w:t>ירון עודד</w:t>
            </w:r>
            <w:r w:rsidR="00FD5206" w:rsidRPr="007E7F5C">
              <w:rPr>
                <w:rFonts w:ascii="David" w:hAnsi="David"/>
                <w:sz w:val="28"/>
                <w:szCs w:val="28"/>
                <w:rtl/>
              </w:rPr>
              <w:t xml:space="preserve"> </w:t>
            </w:r>
            <w:r w:rsidR="00ED1998" w:rsidRPr="007E7F5C">
              <w:rPr>
                <w:rFonts w:ascii="David" w:hAnsi="David"/>
                <w:sz w:val="28"/>
                <w:szCs w:val="28"/>
                <w:rtl/>
              </w:rPr>
              <w:t>–</w:t>
            </w:r>
            <w:r w:rsidR="00FD5206" w:rsidRPr="007E7F5C">
              <w:rPr>
                <w:rFonts w:ascii="David" w:hAnsi="David"/>
                <w:sz w:val="28"/>
                <w:szCs w:val="28"/>
                <w:rtl/>
              </w:rPr>
              <w:t xml:space="preserve"> הנאמן</w:t>
            </w:r>
          </w:p>
          <w:p w14:paraId="01E57586" w14:textId="77777777" w:rsidR="00CF6BB7" w:rsidRPr="007E7F5C" w:rsidRDefault="007F4CC9" w:rsidP="007E7F5C">
            <w:pPr>
              <w:suppressLineNumbers/>
              <w:rPr>
                <w:rFonts w:ascii="David" w:hAnsi="David"/>
                <w:sz w:val="28"/>
                <w:szCs w:val="28"/>
                <w:rtl/>
              </w:rPr>
            </w:pPr>
            <w:r w:rsidRPr="007E7F5C">
              <w:rPr>
                <w:rFonts w:ascii="David" w:hAnsi="David"/>
                <w:sz w:val="28"/>
                <w:szCs w:val="28"/>
                <w:rtl/>
              </w:rPr>
              <w:t>2</w:t>
            </w:r>
            <w:r w:rsidR="0094424E" w:rsidRPr="007E7F5C">
              <w:rPr>
                <w:rFonts w:ascii="David" w:hAnsi="David"/>
                <w:sz w:val="28"/>
                <w:szCs w:val="28"/>
                <w:rtl/>
              </w:rPr>
              <w:t xml:space="preserve">. </w:t>
            </w:r>
            <w:r w:rsidR="00FD5206" w:rsidRPr="007E7F5C">
              <w:rPr>
                <w:rFonts w:ascii="David" w:hAnsi="David" w:hint="cs"/>
                <w:sz w:val="28"/>
                <w:szCs w:val="28"/>
                <w:rtl/>
              </w:rPr>
              <w:t>ה</w:t>
            </w:r>
            <w:r w:rsidRPr="007E7F5C">
              <w:rPr>
                <w:rFonts w:ascii="David" w:hAnsi="David"/>
                <w:sz w:val="28"/>
                <w:szCs w:val="28"/>
                <w:rtl/>
              </w:rPr>
              <w:t>ממונה על חדלות פירעון – מחוז חיפה והצפון</w:t>
            </w:r>
          </w:p>
        </w:tc>
      </w:tr>
      <w:tr w:rsidR="009D01B9" w14:paraId="5EC8A18E" w14:textId="77777777" w:rsidTr="007E7F5C">
        <w:trPr>
          <w:jc w:val="center"/>
        </w:trPr>
        <w:tc>
          <w:tcPr>
            <w:tcW w:w="3096" w:type="dxa"/>
          </w:tcPr>
          <w:p w14:paraId="010D6E0A" w14:textId="77777777" w:rsidR="00C9217F" w:rsidRPr="007E7F5C" w:rsidRDefault="00C9217F" w:rsidP="007E7F5C">
            <w:pPr>
              <w:suppressLineNumbers/>
              <w:rPr>
                <w:rFonts w:ascii="David" w:hAnsi="David"/>
                <w:sz w:val="28"/>
                <w:szCs w:val="28"/>
                <w:rtl/>
              </w:rPr>
            </w:pPr>
          </w:p>
        </w:tc>
        <w:tc>
          <w:tcPr>
            <w:tcW w:w="5252" w:type="dxa"/>
          </w:tcPr>
          <w:p w14:paraId="7B433146" w14:textId="77777777" w:rsidR="00C9217F" w:rsidRPr="007E7F5C" w:rsidRDefault="00C9217F" w:rsidP="007E7F5C">
            <w:pPr>
              <w:suppressLineNumbers/>
              <w:rPr>
                <w:rFonts w:ascii="David" w:hAnsi="David" w:hint="cs"/>
                <w:rtl/>
              </w:rPr>
            </w:pPr>
          </w:p>
          <w:p w14:paraId="5BC63ABF" w14:textId="56E1E871" w:rsidR="00ED1998" w:rsidRPr="007E7F5C" w:rsidRDefault="00000000" w:rsidP="007E7F5C">
            <w:pPr>
              <w:suppressLineNumbers/>
              <w:rPr>
                <w:rFonts w:ascii="David" w:hAnsi="David"/>
                <w:sz w:val="28"/>
                <w:szCs w:val="28"/>
                <w:rtl/>
              </w:rPr>
            </w:pPr>
            <w:r w:rsidRPr="007E7F5C">
              <w:rPr>
                <w:rtl/>
              </w:rPr>
              <w:t xml:space="preserve">בקשת רשות ערעור על פסק דינו של בית המשפט המחוזי בנוף הגליל-נצרת (השופט עמית </w:t>
            </w:r>
            <w:r w:rsidRPr="007E7F5C">
              <w:rPr>
                <w:rFonts w:ascii="David" w:hAnsi="David"/>
                <w:b/>
                <w:rtl/>
              </w:rPr>
              <w:t>י' בן-חמו</w:t>
            </w:r>
            <w:r w:rsidRPr="007E7F5C">
              <w:rPr>
                <w:rFonts w:ascii="David" w:hAnsi="David"/>
                <w:rtl/>
              </w:rPr>
              <w:t>) מיום</w:t>
            </w:r>
            <w:r w:rsidRPr="007E7F5C">
              <w:rPr>
                <w:rtl/>
              </w:rPr>
              <w:t xml:space="preserve"> 24.7.2024 בתיק </w:t>
            </w:r>
            <w:r w:rsidR="007E7F5C" w:rsidRPr="007E0A76">
              <w:rPr>
                <w:rtl/>
              </w:rPr>
              <w:t>רחד"פ 44069-05-24</w:t>
            </w:r>
          </w:p>
        </w:tc>
      </w:tr>
      <w:tr w:rsidR="009D01B9" w14:paraId="05B953D3" w14:textId="77777777" w:rsidTr="007E7F5C">
        <w:trPr>
          <w:jc w:val="center"/>
        </w:trPr>
        <w:tc>
          <w:tcPr>
            <w:tcW w:w="3096" w:type="dxa"/>
          </w:tcPr>
          <w:p w14:paraId="51EA9B34" w14:textId="77777777" w:rsidR="00105E0F" w:rsidRPr="007E7F5C" w:rsidRDefault="00C9217F" w:rsidP="007E7F5C">
            <w:pPr>
              <w:suppressLineNumbers/>
              <w:rPr>
                <w:rFonts w:ascii="David" w:hAnsi="David"/>
                <w:sz w:val="28"/>
                <w:szCs w:val="28"/>
              </w:rPr>
            </w:pPr>
            <w:bookmarkStart w:id="3" w:name="FirstLawyer"/>
            <w:r w:rsidRPr="007E7F5C">
              <w:rPr>
                <w:rFonts w:ascii="David" w:hAnsi="David" w:hint="cs"/>
                <w:sz w:val="28"/>
                <w:szCs w:val="28"/>
                <w:rtl/>
              </w:rPr>
              <w:t>בשם ה</w:t>
            </w:r>
            <w:r w:rsidR="00FD5206" w:rsidRPr="007E7F5C">
              <w:rPr>
                <w:rFonts w:ascii="David" w:hAnsi="David"/>
                <w:sz w:val="28"/>
                <w:szCs w:val="28"/>
                <w:rtl/>
              </w:rPr>
              <w:t>מבקש</w:t>
            </w:r>
            <w:r w:rsidR="00FD5206" w:rsidRPr="007E7F5C">
              <w:rPr>
                <w:rFonts w:ascii="David" w:hAnsi="David" w:hint="cs"/>
                <w:sz w:val="28"/>
                <w:szCs w:val="28"/>
                <w:rtl/>
              </w:rPr>
              <w:t>ת</w:t>
            </w:r>
            <w:r w:rsidRPr="007E7F5C">
              <w:rPr>
                <w:rFonts w:ascii="David" w:hAnsi="David" w:hint="cs"/>
                <w:sz w:val="28"/>
                <w:szCs w:val="28"/>
                <w:rtl/>
              </w:rPr>
              <w:t>:</w:t>
            </w:r>
          </w:p>
          <w:p w14:paraId="3050F2D5" w14:textId="77777777" w:rsidR="00105E0F" w:rsidRPr="007E7F5C" w:rsidRDefault="00105E0F" w:rsidP="007E7F5C">
            <w:pPr>
              <w:suppressLineNumbers/>
              <w:rPr>
                <w:rFonts w:ascii="David" w:hAnsi="David"/>
                <w:sz w:val="28"/>
                <w:szCs w:val="28"/>
                <w:rtl/>
              </w:rPr>
            </w:pPr>
          </w:p>
        </w:tc>
        <w:tc>
          <w:tcPr>
            <w:tcW w:w="5252" w:type="dxa"/>
          </w:tcPr>
          <w:p w14:paraId="2C80A029" w14:textId="77777777" w:rsidR="00ED1998" w:rsidRPr="007E7F5C" w:rsidRDefault="00616AE2" w:rsidP="007E7F5C">
            <w:pPr>
              <w:suppressLineNumbers/>
              <w:rPr>
                <w:rFonts w:ascii="David" w:hAnsi="David"/>
                <w:sz w:val="28"/>
                <w:szCs w:val="28"/>
                <w:rtl/>
              </w:rPr>
            </w:pPr>
            <w:r w:rsidRPr="007E7F5C">
              <w:rPr>
                <w:rFonts w:ascii="David" w:hAnsi="David" w:hint="cs"/>
                <w:sz w:val="28"/>
                <w:szCs w:val="28"/>
                <w:rtl/>
              </w:rPr>
              <w:t xml:space="preserve">עו"ד </w:t>
            </w:r>
            <w:r w:rsidRPr="007E7F5C">
              <w:rPr>
                <w:rFonts w:ascii="David" w:hAnsi="David"/>
                <w:sz w:val="28"/>
                <w:szCs w:val="28"/>
                <w:rtl/>
              </w:rPr>
              <w:t>רנא</w:t>
            </w:r>
            <w:r w:rsidR="00105E0F" w:rsidRPr="007E7F5C">
              <w:rPr>
                <w:rFonts w:ascii="David" w:hAnsi="David"/>
                <w:sz w:val="28"/>
                <w:szCs w:val="28"/>
                <w:rtl/>
              </w:rPr>
              <w:t xml:space="preserve"> </w:t>
            </w:r>
            <w:r w:rsidRPr="007E7F5C">
              <w:rPr>
                <w:rFonts w:ascii="David" w:hAnsi="David"/>
                <w:sz w:val="28"/>
                <w:szCs w:val="28"/>
                <w:rtl/>
              </w:rPr>
              <w:t>מטאנס</w:t>
            </w:r>
            <w:r w:rsidR="00000000" w:rsidRPr="007E7F5C">
              <w:rPr>
                <w:rFonts w:ascii="David" w:hAnsi="David" w:hint="cs"/>
                <w:sz w:val="28"/>
                <w:szCs w:val="28"/>
                <w:rtl/>
              </w:rPr>
              <w:t>; עו"ד דקלה צרפתי; עו"ד קרן כהן</w:t>
            </w:r>
          </w:p>
          <w:p w14:paraId="5D8D0302" w14:textId="77777777" w:rsidR="00105E0F" w:rsidRPr="007E7F5C" w:rsidRDefault="00616AE2" w:rsidP="007E7F5C">
            <w:pPr>
              <w:suppressLineNumbers/>
              <w:rPr>
                <w:rFonts w:ascii="David" w:hAnsi="David"/>
                <w:sz w:val="28"/>
                <w:szCs w:val="28"/>
                <w:rtl/>
              </w:rPr>
            </w:pPr>
            <w:r w:rsidRPr="007E7F5C">
              <w:rPr>
                <w:rFonts w:ascii="David" w:hAnsi="David" w:hint="cs"/>
                <w:sz w:val="28"/>
                <w:szCs w:val="28"/>
                <w:rtl/>
              </w:rPr>
              <w:t xml:space="preserve"> </w:t>
            </w:r>
          </w:p>
        </w:tc>
      </w:tr>
      <w:bookmarkEnd w:id="3"/>
      <w:tr w:rsidR="009D01B9" w14:paraId="12D19777" w14:textId="77777777" w:rsidTr="007E7F5C">
        <w:trPr>
          <w:jc w:val="center"/>
        </w:trPr>
        <w:tc>
          <w:tcPr>
            <w:tcW w:w="3096" w:type="dxa"/>
          </w:tcPr>
          <w:p w14:paraId="31D16EF0" w14:textId="77777777" w:rsidR="00105E0F" w:rsidRPr="007E7F5C" w:rsidRDefault="00FD5206" w:rsidP="007E7F5C">
            <w:pPr>
              <w:suppressLineNumbers/>
              <w:rPr>
                <w:rFonts w:ascii="David" w:hAnsi="David"/>
                <w:sz w:val="28"/>
                <w:szCs w:val="28"/>
                <w:rtl/>
              </w:rPr>
            </w:pPr>
            <w:r w:rsidRPr="007E7F5C">
              <w:rPr>
                <w:rFonts w:ascii="David" w:hAnsi="David" w:hint="cs"/>
                <w:sz w:val="28"/>
                <w:szCs w:val="28"/>
                <w:rtl/>
              </w:rPr>
              <w:t>בשם משיב 1</w:t>
            </w:r>
            <w:r w:rsidR="00C9217F" w:rsidRPr="007E7F5C">
              <w:rPr>
                <w:rFonts w:ascii="David" w:hAnsi="David" w:hint="cs"/>
                <w:sz w:val="28"/>
                <w:szCs w:val="28"/>
                <w:rtl/>
              </w:rPr>
              <w:t>:</w:t>
            </w:r>
          </w:p>
          <w:p w14:paraId="4A99CA40" w14:textId="77777777" w:rsidR="00FD5206" w:rsidRPr="007E7F5C" w:rsidRDefault="00FD5206" w:rsidP="007E7F5C">
            <w:pPr>
              <w:suppressLineNumbers/>
              <w:rPr>
                <w:rFonts w:ascii="David" w:hAnsi="David"/>
                <w:sz w:val="28"/>
                <w:szCs w:val="28"/>
                <w:rtl/>
              </w:rPr>
            </w:pPr>
          </w:p>
          <w:p w14:paraId="08F0C3A8" w14:textId="77777777" w:rsidR="00FD5206" w:rsidRPr="007E7F5C" w:rsidRDefault="00000000" w:rsidP="007E7F5C">
            <w:pPr>
              <w:suppressLineNumbers/>
              <w:rPr>
                <w:rFonts w:ascii="David" w:hAnsi="David"/>
                <w:sz w:val="28"/>
                <w:szCs w:val="28"/>
              </w:rPr>
            </w:pPr>
            <w:r w:rsidRPr="007E7F5C">
              <w:rPr>
                <w:rFonts w:ascii="David" w:hAnsi="David" w:hint="cs"/>
                <w:sz w:val="28"/>
                <w:szCs w:val="28"/>
                <w:rtl/>
              </w:rPr>
              <w:t xml:space="preserve">בשם משיב 2: </w:t>
            </w:r>
          </w:p>
        </w:tc>
        <w:tc>
          <w:tcPr>
            <w:tcW w:w="5252" w:type="dxa"/>
          </w:tcPr>
          <w:p w14:paraId="178EC5AC" w14:textId="77777777" w:rsidR="00FD5206" w:rsidRPr="007E7F5C" w:rsidRDefault="00000000" w:rsidP="007E7F5C">
            <w:pPr>
              <w:suppressLineNumbers/>
              <w:rPr>
                <w:rFonts w:ascii="David" w:hAnsi="David"/>
                <w:sz w:val="28"/>
                <w:szCs w:val="28"/>
                <w:rtl/>
              </w:rPr>
            </w:pPr>
            <w:r w:rsidRPr="007E7F5C">
              <w:rPr>
                <w:rFonts w:ascii="David" w:hAnsi="David" w:hint="cs"/>
                <w:sz w:val="28"/>
                <w:szCs w:val="28"/>
                <w:rtl/>
              </w:rPr>
              <w:t>בעצמו</w:t>
            </w:r>
          </w:p>
          <w:p w14:paraId="5B420F74" w14:textId="77777777" w:rsidR="00FD5206" w:rsidRPr="007E7F5C" w:rsidRDefault="00FD5206" w:rsidP="007E7F5C">
            <w:pPr>
              <w:suppressLineNumbers/>
              <w:rPr>
                <w:rFonts w:ascii="David" w:hAnsi="David"/>
                <w:sz w:val="28"/>
                <w:szCs w:val="28"/>
                <w:rtl/>
              </w:rPr>
            </w:pPr>
          </w:p>
          <w:p w14:paraId="1057C948" w14:textId="77777777" w:rsidR="00105E0F" w:rsidRPr="007E7F5C" w:rsidRDefault="00616AE2" w:rsidP="007E7F5C">
            <w:pPr>
              <w:suppressLineNumbers/>
              <w:rPr>
                <w:rFonts w:ascii="David" w:hAnsi="David"/>
                <w:sz w:val="28"/>
                <w:szCs w:val="28"/>
              </w:rPr>
            </w:pPr>
            <w:r w:rsidRPr="007E7F5C">
              <w:rPr>
                <w:rFonts w:ascii="David" w:hAnsi="David" w:hint="cs"/>
                <w:sz w:val="28"/>
                <w:szCs w:val="28"/>
                <w:rtl/>
              </w:rPr>
              <w:t>עו"</w:t>
            </w:r>
            <w:r w:rsidR="00ED1998" w:rsidRPr="007E7F5C">
              <w:rPr>
                <w:rFonts w:ascii="David" w:hAnsi="David" w:hint="cs"/>
                <w:sz w:val="28"/>
                <w:szCs w:val="28"/>
                <w:rtl/>
              </w:rPr>
              <w:t>ד חיים זקס</w:t>
            </w:r>
            <w:r w:rsidRPr="007E7F5C">
              <w:rPr>
                <w:rFonts w:ascii="David" w:hAnsi="David" w:hint="cs"/>
                <w:sz w:val="28"/>
                <w:szCs w:val="28"/>
                <w:rtl/>
              </w:rPr>
              <w:t xml:space="preserve"> </w:t>
            </w:r>
          </w:p>
        </w:tc>
      </w:tr>
    </w:tbl>
    <w:p w14:paraId="0DAC6E93" w14:textId="77777777" w:rsidR="0094424E" w:rsidRDefault="0094424E" w:rsidP="00D44968">
      <w:pPr>
        <w:suppressLineNumbers/>
        <w:rPr>
          <w:rFonts w:ascii="David" w:hAnsi="David"/>
          <w:rtl/>
        </w:rPr>
      </w:pPr>
    </w:p>
    <w:p w14:paraId="3AB87122" w14:textId="61618C7B" w:rsidR="009A03C3" w:rsidRPr="009A03C3" w:rsidRDefault="009A03C3" w:rsidP="009A03C3">
      <w:pPr>
        <w:suppressLineNumbers/>
        <w:spacing w:after="120" w:line="240" w:lineRule="exact"/>
        <w:ind w:left="283" w:hanging="283"/>
        <w:jc w:val="both"/>
        <w:rPr>
          <w:rFonts w:ascii="FrankRuehl" w:hAnsi="FrankRuehl" w:cs="FrankRuehl"/>
          <w:rtl/>
        </w:rPr>
      </w:pPr>
    </w:p>
    <w:p w14:paraId="50D90389" w14:textId="77777777" w:rsidR="009A03C3" w:rsidRPr="009A03C3" w:rsidRDefault="009A03C3" w:rsidP="003B5F93">
      <w:pPr>
        <w:suppressLineNumbers/>
        <w:rPr>
          <w:rFonts w:ascii="David" w:hAnsi="David"/>
          <w:rtl/>
        </w:rPr>
      </w:pPr>
      <w:bookmarkStart w:id="4" w:name="Links_Kitvei_End"/>
      <w:bookmarkEnd w:id="4"/>
    </w:p>
    <w:p w14:paraId="16569982" w14:textId="77777777" w:rsidR="00FF10DE" w:rsidRDefault="00FF10DE" w:rsidP="009A03C3">
      <w:pPr>
        <w:suppressLineNumbers/>
        <w:rPr>
          <w:rFonts w:ascii="David" w:hAnsi="David"/>
          <w:rtl/>
        </w:rPr>
      </w:pPr>
      <w:bookmarkStart w:id="5" w:name="Links_Start"/>
      <w:bookmarkStart w:id="6" w:name="ABSTRACT_END"/>
      <w:bookmarkEnd w:id="5"/>
      <w:bookmarkEnd w:id="6"/>
    </w:p>
    <w:tbl>
      <w:tblPr>
        <w:bidiVisual/>
        <w:tblW w:w="8498" w:type="dxa"/>
        <w:jc w:val="center"/>
        <w:tblLook w:val="01E0" w:firstRow="1" w:lastRow="1" w:firstColumn="1" w:lastColumn="1" w:noHBand="0" w:noVBand="0"/>
      </w:tblPr>
      <w:tblGrid>
        <w:gridCol w:w="8498"/>
      </w:tblGrid>
      <w:tr w:rsidR="009D01B9" w14:paraId="40117527" w14:textId="77777777" w:rsidTr="007E7F5C">
        <w:trPr>
          <w:jc w:val="center"/>
        </w:trPr>
        <w:tc>
          <w:tcPr>
            <w:tcW w:w="8498" w:type="dxa"/>
          </w:tcPr>
          <w:p w14:paraId="134BBCE3" w14:textId="77777777" w:rsidR="007E7F5C" w:rsidRPr="007E7F5C" w:rsidRDefault="00000000" w:rsidP="007E7F5C">
            <w:pPr>
              <w:bidi w:val="0"/>
              <w:jc w:val="center"/>
              <w:rPr>
                <w:rFonts w:ascii="David" w:hAnsi="David"/>
                <w:b/>
                <w:bCs/>
                <w:spacing w:val="30"/>
                <w:sz w:val="28"/>
                <w:szCs w:val="28"/>
                <w:u w:val="single"/>
                <w:rtl/>
              </w:rPr>
            </w:pPr>
            <w:bookmarkStart w:id="7" w:name="PsakDin"/>
            <w:r w:rsidRPr="00FF10DE">
              <w:rPr>
                <w:rFonts w:ascii="David" w:hAnsi="David"/>
                <w:b/>
                <w:bCs/>
                <w:spacing w:val="30"/>
                <w:sz w:val="28"/>
                <w:szCs w:val="28"/>
                <w:u w:val="single"/>
                <w:rtl/>
              </w:rPr>
              <w:t>פסק</w:t>
            </w:r>
            <w:r w:rsidRPr="007E7F5C">
              <w:rPr>
                <w:rFonts w:ascii="David" w:hAnsi="David"/>
                <w:b/>
                <w:bCs/>
                <w:spacing w:val="30"/>
                <w:sz w:val="28"/>
                <w:szCs w:val="28"/>
                <w:u w:val="single"/>
                <w:rtl/>
              </w:rPr>
              <w:t>-דין</w:t>
            </w:r>
          </w:p>
          <w:bookmarkEnd w:id="7"/>
          <w:p w14:paraId="5B9A0DD4" w14:textId="77777777" w:rsidR="00D44968" w:rsidRPr="007E7F5C" w:rsidRDefault="00D44968" w:rsidP="007E7F5C">
            <w:pPr>
              <w:bidi w:val="0"/>
              <w:jc w:val="center"/>
              <w:rPr>
                <w:rFonts w:ascii="David" w:hAnsi="David"/>
                <w:b/>
                <w:bCs/>
                <w:u w:val="single"/>
              </w:rPr>
            </w:pPr>
          </w:p>
        </w:tc>
      </w:tr>
    </w:tbl>
    <w:p w14:paraId="78C82BA9" w14:textId="77777777" w:rsidR="00694556" w:rsidRPr="00FB7A67" w:rsidRDefault="00694556">
      <w:pPr>
        <w:spacing w:line="360" w:lineRule="auto"/>
        <w:jc w:val="both"/>
        <w:rPr>
          <w:rFonts w:ascii="FrankRuehl" w:hAnsi="FrankRuehl" w:cs="FrankRuehl"/>
          <w:spacing w:val="10"/>
          <w:sz w:val="28"/>
          <w:szCs w:val="28"/>
          <w:rtl/>
        </w:rPr>
      </w:pPr>
      <w:bookmarkStart w:id="8" w:name="NGCSBookmark"/>
      <w:bookmarkEnd w:id="0"/>
      <w:bookmarkEnd w:id="8"/>
    </w:p>
    <w:p w14:paraId="323FF213" w14:textId="77777777" w:rsidR="00E311E6" w:rsidRDefault="00000000" w:rsidP="00E311E6">
      <w:pPr>
        <w:pStyle w:val="Ruller41"/>
        <w:rPr>
          <w:rFonts w:ascii="Century" w:hAnsi="Century" w:cs="Miriam"/>
          <w:b/>
          <w:spacing w:val="0"/>
          <w:szCs w:val="24"/>
          <w:u w:val="single"/>
        </w:rPr>
      </w:pPr>
      <w:r w:rsidRPr="00E311E6">
        <w:rPr>
          <w:rFonts w:ascii="Century" w:hAnsi="Century" w:cs="Miriam"/>
          <w:b/>
          <w:spacing w:val="0"/>
          <w:szCs w:val="24"/>
          <w:u w:val="single"/>
          <w:rtl/>
        </w:rPr>
        <w:t>ה</w:t>
      </w:r>
      <w:r>
        <w:rPr>
          <w:rFonts w:ascii="Century" w:hAnsi="Century" w:cs="Miriam"/>
          <w:b/>
          <w:spacing w:val="0"/>
          <w:szCs w:val="24"/>
          <w:u w:val="single"/>
          <w:rtl/>
        </w:rPr>
        <w:t>שופט</w:t>
      </w:r>
      <w:r w:rsidRPr="00E311E6">
        <w:rPr>
          <w:rFonts w:ascii="Century" w:hAnsi="Century" w:cs="Miriam"/>
          <w:b/>
          <w:spacing w:val="0"/>
          <w:szCs w:val="24"/>
          <w:u w:val="single"/>
          <w:rtl/>
        </w:rPr>
        <w:t xml:space="preserve"> </w:t>
      </w:r>
      <w:r>
        <w:rPr>
          <w:rFonts w:ascii="Century" w:hAnsi="Century" w:cs="Miriam"/>
          <w:b/>
          <w:spacing w:val="0"/>
          <w:szCs w:val="24"/>
          <w:u w:val="single"/>
          <w:rtl/>
        </w:rPr>
        <w:t>דוד מינץ</w:t>
      </w:r>
      <w:r w:rsidRPr="00E311E6">
        <w:rPr>
          <w:rFonts w:ascii="Century" w:hAnsi="Century" w:cs="Miriam"/>
          <w:b/>
          <w:spacing w:val="0"/>
          <w:szCs w:val="24"/>
          <w:u w:val="single"/>
          <w:rtl/>
        </w:rPr>
        <w:t>:</w:t>
      </w:r>
    </w:p>
    <w:p w14:paraId="5A368A28" w14:textId="77777777" w:rsidR="0083513E" w:rsidRDefault="0083513E" w:rsidP="0083513E">
      <w:pPr>
        <w:pStyle w:val="Ruller41"/>
        <w:rPr>
          <w:rtl/>
        </w:rPr>
      </w:pPr>
    </w:p>
    <w:p w14:paraId="795F16C4" w14:textId="401781B3" w:rsidR="0083513E" w:rsidRDefault="00000000" w:rsidP="0083513E">
      <w:pPr>
        <w:pStyle w:val="Ruller41"/>
        <w:rPr>
          <w:rtl/>
        </w:rPr>
      </w:pPr>
      <w:r>
        <w:rPr>
          <w:rtl/>
        </w:rPr>
        <w:tab/>
        <w:t xml:space="preserve">בקשת רשות ערעור על פסק דינו של בית המשפט המחוזי בנוף הגליל-נצרת (השופט עמית </w:t>
      </w:r>
      <w:r>
        <w:rPr>
          <w:rFonts w:ascii="Century" w:hAnsi="Century" w:cs="Miriam"/>
          <w:b/>
          <w:spacing w:val="0"/>
          <w:szCs w:val="24"/>
          <w:rtl/>
        </w:rPr>
        <w:t>י' בן-חמו</w:t>
      </w:r>
      <w:r>
        <w:rPr>
          <w:rtl/>
        </w:rPr>
        <w:t xml:space="preserve">) מיום 24.7.2024 בתיק </w:t>
      </w:r>
      <w:r w:rsidR="007E7F5C" w:rsidRPr="007E0A76">
        <w:rPr>
          <w:rtl/>
        </w:rPr>
        <w:t>רחד"פ 44069</w:t>
      </w:r>
      <w:bookmarkStart w:id="9" w:name="_Hlt215562126"/>
      <w:bookmarkStart w:id="10" w:name="_Hlt215562127"/>
      <w:r w:rsidR="007E7F5C" w:rsidRPr="007E0A76">
        <w:rPr>
          <w:rtl/>
        </w:rPr>
        <w:t>-</w:t>
      </w:r>
      <w:bookmarkEnd w:id="9"/>
      <w:bookmarkEnd w:id="10"/>
      <w:r w:rsidR="007E7F5C" w:rsidRPr="007E0A76">
        <w:rPr>
          <w:rtl/>
        </w:rPr>
        <w:t>05-24</w:t>
      </w:r>
      <w:r w:rsidRPr="007E0A76">
        <w:rPr>
          <w:rtl/>
        </w:rPr>
        <w:t>,</w:t>
      </w:r>
      <w:r>
        <w:rPr>
          <w:rtl/>
        </w:rPr>
        <w:t xml:space="preserve"> בו התקבלה בקשת רשות ערעור על החלטת בית משפט השלום בטבריה (השופטת </w:t>
      </w:r>
      <w:r>
        <w:rPr>
          <w:rFonts w:ascii="Century" w:hAnsi="Century" w:cs="Miriam"/>
          <w:b/>
          <w:spacing w:val="0"/>
          <w:szCs w:val="24"/>
          <w:rtl/>
        </w:rPr>
        <w:t>נ' אסכנדר-מוסא</w:t>
      </w:r>
      <w:r>
        <w:rPr>
          <w:rtl/>
        </w:rPr>
        <w:t>) מיום 28.3.2024 בתיק</w:t>
      </w:r>
      <w:r w:rsidRPr="007E0A76">
        <w:rPr>
          <w:rtl/>
        </w:rPr>
        <w:t xml:space="preserve"> </w:t>
      </w:r>
      <w:r w:rsidR="007E7F5C" w:rsidRPr="007E0A76">
        <w:rPr>
          <w:rtl/>
        </w:rPr>
        <w:t>רחד"פ 44</w:t>
      </w:r>
      <w:bookmarkStart w:id="11" w:name="_Hlt215562148"/>
      <w:r w:rsidR="007E7F5C" w:rsidRPr="007E0A76">
        <w:rPr>
          <w:rtl/>
        </w:rPr>
        <w:t>4</w:t>
      </w:r>
      <w:bookmarkEnd w:id="11"/>
      <w:r w:rsidR="007E7F5C" w:rsidRPr="007E0A76">
        <w:rPr>
          <w:rtl/>
        </w:rPr>
        <w:t>26-01-24</w:t>
      </w:r>
      <w:r w:rsidRPr="007E0A76">
        <w:rPr>
          <w:rtl/>
        </w:rPr>
        <w:t xml:space="preserve"> </w:t>
      </w:r>
      <w:r>
        <w:rPr>
          <w:rtl/>
        </w:rPr>
        <w:t xml:space="preserve">בה התקבל ערעור המבקשת על החלטת הממונה על הליכי חדלות פירעון ושיקום כלכלי (להלן: </w:t>
      </w:r>
      <w:r>
        <w:rPr>
          <w:rFonts w:ascii="Century" w:hAnsi="Century" w:cs="Miriam"/>
          <w:b/>
          <w:spacing w:val="0"/>
          <w:szCs w:val="24"/>
          <w:rtl/>
        </w:rPr>
        <w:t>הממונה</w:t>
      </w:r>
      <w:r>
        <w:rPr>
          <w:rtl/>
        </w:rPr>
        <w:t>) שלא להפחית את צו התשלומים החודשי שהוטל עליה במסגרת צו לפתיחת הליכים.</w:t>
      </w:r>
    </w:p>
    <w:p w14:paraId="4FF94F2B" w14:textId="77777777" w:rsidR="0083513E" w:rsidRDefault="0083513E" w:rsidP="0083513E">
      <w:pPr>
        <w:pStyle w:val="Ruller41"/>
        <w:rPr>
          <w:rtl/>
        </w:rPr>
      </w:pPr>
    </w:p>
    <w:p w14:paraId="2A5F091A" w14:textId="77777777" w:rsidR="0083513E" w:rsidRDefault="00000000" w:rsidP="0083513E">
      <w:pPr>
        <w:pStyle w:val="Ruller41"/>
        <w:keepNext/>
        <w:rPr>
          <w:rFonts w:ascii="Century" w:hAnsi="Century" w:cs="Miriam"/>
          <w:b/>
          <w:spacing w:val="0"/>
          <w:szCs w:val="24"/>
          <w:rtl/>
        </w:rPr>
      </w:pPr>
      <w:r>
        <w:rPr>
          <w:rFonts w:ascii="Century" w:hAnsi="Century" w:cs="Miriam"/>
          <w:b/>
          <w:spacing w:val="0"/>
          <w:szCs w:val="24"/>
          <w:rtl/>
        </w:rPr>
        <w:t>הרקע לבקשה</w:t>
      </w:r>
    </w:p>
    <w:p w14:paraId="1AECF42D" w14:textId="54C9EB6A" w:rsidR="0083513E" w:rsidRDefault="00000000" w:rsidP="0083513E">
      <w:pPr>
        <w:pStyle w:val="Ruller4"/>
        <w:keepNext/>
        <w:rPr>
          <w:rtl/>
        </w:rPr>
      </w:pPr>
      <w:r>
        <w:rPr>
          <w:rtl/>
        </w:rPr>
        <w:t xml:space="preserve">ביום 20.8.2023 ניתן לבקשת המבקשת צו לפתיחת הליכים לפי </w:t>
      </w:r>
      <w:r w:rsidR="003B5F93" w:rsidRPr="007E0A76">
        <w:rPr>
          <w:rFonts w:hint="eastAsia"/>
          <w:rtl/>
        </w:rPr>
        <w:t>סעיף</w:t>
      </w:r>
      <w:r w:rsidR="003B5F93" w:rsidRPr="007E0A76">
        <w:rPr>
          <w:rtl/>
        </w:rPr>
        <w:t xml:space="preserve"> 105</w:t>
      </w:r>
      <w:r>
        <w:rPr>
          <w:rtl/>
        </w:rPr>
        <w:t xml:space="preserve"> </w:t>
      </w:r>
      <w:r w:rsidRPr="007E0A76">
        <w:rPr>
          <w:rtl/>
        </w:rPr>
        <w:t>ל</w:t>
      </w:r>
      <w:r w:rsidR="007E7F5C" w:rsidRPr="007E0A76">
        <w:rPr>
          <w:rFonts w:hint="eastAsia"/>
          <w:rtl/>
        </w:rPr>
        <w:t>חוק</w:t>
      </w:r>
      <w:r w:rsidR="007E7F5C" w:rsidRPr="007E0A76">
        <w:rPr>
          <w:rtl/>
        </w:rPr>
        <w:t xml:space="preserve"> </w:t>
      </w:r>
      <w:r w:rsidR="007E7F5C" w:rsidRPr="007E0A76">
        <w:rPr>
          <w:rFonts w:hint="eastAsia"/>
          <w:rtl/>
        </w:rPr>
        <w:t>חדלות</w:t>
      </w:r>
      <w:r w:rsidR="007E7F5C" w:rsidRPr="007E0A76">
        <w:rPr>
          <w:rtl/>
        </w:rPr>
        <w:t xml:space="preserve"> </w:t>
      </w:r>
      <w:r w:rsidR="007E7F5C" w:rsidRPr="007E0A76">
        <w:rPr>
          <w:rFonts w:hint="eastAsia"/>
          <w:rtl/>
        </w:rPr>
        <w:t>פירעון</w:t>
      </w:r>
      <w:r w:rsidR="007E7F5C" w:rsidRPr="007E0A76">
        <w:rPr>
          <w:rtl/>
        </w:rPr>
        <w:t xml:space="preserve"> </w:t>
      </w:r>
      <w:r w:rsidR="007E7F5C" w:rsidRPr="007E0A76">
        <w:rPr>
          <w:rFonts w:hint="eastAsia"/>
          <w:rtl/>
        </w:rPr>
        <w:t>ושיקום</w:t>
      </w:r>
      <w:r w:rsidR="007E7F5C" w:rsidRPr="007E0A76">
        <w:rPr>
          <w:rtl/>
        </w:rPr>
        <w:t xml:space="preserve"> </w:t>
      </w:r>
      <w:r w:rsidR="007E7F5C" w:rsidRPr="007E0A76">
        <w:rPr>
          <w:rFonts w:hint="eastAsia"/>
          <w:rtl/>
        </w:rPr>
        <w:t>כלכלי</w:t>
      </w:r>
      <w:r w:rsidR="007E7F5C" w:rsidRPr="007E0A76">
        <w:rPr>
          <w:rtl/>
        </w:rPr>
        <w:t xml:space="preserve">, </w:t>
      </w:r>
      <w:r w:rsidR="007E7F5C" w:rsidRPr="007E0A76">
        <w:rPr>
          <w:rFonts w:hint="eastAsia"/>
          <w:rtl/>
        </w:rPr>
        <w:t>התשע</w:t>
      </w:r>
      <w:r w:rsidR="007E7F5C" w:rsidRPr="007E0A76">
        <w:rPr>
          <w:rtl/>
        </w:rPr>
        <w:t>"</w:t>
      </w:r>
      <w:r w:rsidR="007E7F5C" w:rsidRPr="007E0A76">
        <w:rPr>
          <w:rFonts w:hint="eastAsia"/>
          <w:rtl/>
        </w:rPr>
        <w:t>ח</w:t>
      </w:r>
      <w:r w:rsidR="007E7F5C" w:rsidRPr="007E0A76">
        <w:rPr>
          <w:rtl/>
        </w:rPr>
        <w:t>-2018</w:t>
      </w:r>
      <w:r w:rsidRPr="007E0A76">
        <w:rPr>
          <w:rtl/>
        </w:rPr>
        <w:t xml:space="preserve"> (להלן</w:t>
      </w:r>
      <w:r>
        <w:rPr>
          <w:rtl/>
        </w:rPr>
        <w:t xml:space="preserve">: </w:t>
      </w:r>
      <w:r>
        <w:rPr>
          <w:rFonts w:ascii="Century" w:hAnsi="Century" w:cs="Miriam"/>
          <w:b/>
          <w:spacing w:val="0"/>
          <w:sz w:val="22"/>
          <w:szCs w:val="24"/>
          <w:rtl/>
        </w:rPr>
        <w:t>החוק</w:t>
      </w:r>
      <w:r>
        <w:rPr>
          <w:rtl/>
        </w:rPr>
        <w:t xml:space="preserve"> או </w:t>
      </w:r>
      <w:r>
        <w:rPr>
          <w:rFonts w:ascii="Century" w:hAnsi="Century" w:cs="Miriam"/>
          <w:b/>
          <w:spacing w:val="0"/>
          <w:sz w:val="22"/>
          <w:szCs w:val="24"/>
          <w:rtl/>
        </w:rPr>
        <w:t>חוק חדלות פירעון</w:t>
      </w:r>
      <w:r>
        <w:rPr>
          <w:rtl/>
        </w:rPr>
        <w:t xml:space="preserve">) על </w:t>
      </w:r>
      <w:r>
        <w:rPr>
          <w:rtl/>
        </w:rPr>
        <w:lastRenderedPageBreak/>
        <w:t xml:space="preserve">ידי הממונה. בצו נקבע למבקשת תשלום מדורג. תשלום חודשי של 400 ש"ח למשך שלושה חודשים ולאחר מכן תשלום חודשי של 1,100 ש"ח למשך יתר "תקופת הביניים" כמשמעותה </w:t>
      </w:r>
      <w:r w:rsidR="003B5F93" w:rsidRPr="007E0A76">
        <w:rPr>
          <w:rFonts w:hint="eastAsia"/>
          <w:rtl/>
        </w:rPr>
        <w:t>בפרק</w:t>
      </w:r>
      <w:r w:rsidR="003B5F93" w:rsidRPr="007E0A76">
        <w:rPr>
          <w:rtl/>
        </w:rPr>
        <w:t xml:space="preserve"> </w:t>
      </w:r>
      <w:r w:rsidR="003B5F93" w:rsidRPr="007E0A76">
        <w:rPr>
          <w:rFonts w:hint="eastAsia"/>
          <w:rtl/>
        </w:rPr>
        <w:t>ז</w:t>
      </w:r>
      <w:r w:rsidR="003B5F93" w:rsidRPr="007E0A76">
        <w:rPr>
          <w:rtl/>
        </w:rPr>
        <w:t xml:space="preserve">' </w:t>
      </w:r>
      <w:r w:rsidR="003B5F93" w:rsidRPr="007E0A76">
        <w:rPr>
          <w:rFonts w:hint="eastAsia"/>
          <w:rtl/>
        </w:rPr>
        <w:t>לחלק</w:t>
      </w:r>
      <w:r>
        <w:rPr>
          <w:rtl/>
        </w:rPr>
        <w:t xml:space="preserve"> ג' לחוק (להלן: </w:t>
      </w:r>
      <w:r>
        <w:rPr>
          <w:rFonts w:ascii="Century" w:hAnsi="Century" w:cs="Miriam"/>
          <w:b/>
          <w:spacing w:val="0"/>
          <w:sz w:val="22"/>
          <w:szCs w:val="24"/>
          <w:rtl/>
        </w:rPr>
        <w:t>תקופת הביניים</w:t>
      </w:r>
      <w:r>
        <w:rPr>
          <w:rtl/>
        </w:rPr>
        <w:t xml:space="preserve">). היינו, החל ממועד </w:t>
      </w:r>
      <w:r>
        <w:rPr>
          <w:rFonts w:ascii="Century" w:hAnsi="Century"/>
          <w:sz w:val="22"/>
          <w:shd w:val="clear" w:color="auto" w:fill="FFFFFF"/>
          <w:rtl/>
        </w:rPr>
        <w:t>מתן צו פתיחת ההליכים עד למתן צו לשיקום.</w:t>
      </w:r>
      <w:r>
        <w:rPr>
          <w:rtl/>
        </w:rPr>
        <w:t xml:space="preserve"> עובר להגשת הבקשה למתן צו לפתיחת הליכים, המבקשת ניהלה שני הליכי חדלות פירעון. אחד לפי </w:t>
      </w:r>
      <w:r w:rsidR="007E7F5C" w:rsidRPr="007E0A76">
        <w:rPr>
          <w:rFonts w:hint="eastAsia"/>
          <w:rtl/>
        </w:rPr>
        <w:t>פקודת</w:t>
      </w:r>
      <w:r w:rsidR="007E7F5C" w:rsidRPr="007E0A76">
        <w:rPr>
          <w:rtl/>
        </w:rPr>
        <w:t xml:space="preserve"> </w:t>
      </w:r>
      <w:r w:rsidR="007E7F5C" w:rsidRPr="007E0A76">
        <w:rPr>
          <w:rFonts w:hint="eastAsia"/>
          <w:rtl/>
        </w:rPr>
        <w:t>פשיטת</w:t>
      </w:r>
      <w:r w:rsidR="007E7F5C" w:rsidRPr="007E0A76">
        <w:rPr>
          <w:rtl/>
        </w:rPr>
        <w:t xml:space="preserve"> </w:t>
      </w:r>
      <w:r w:rsidR="007E7F5C" w:rsidRPr="007E0A76">
        <w:rPr>
          <w:rFonts w:hint="eastAsia"/>
          <w:rtl/>
        </w:rPr>
        <w:t>הרגל</w:t>
      </w:r>
      <w:r w:rsidRPr="007E0A76">
        <w:rPr>
          <w:rtl/>
        </w:rPr>
        <w:t xml:space="preserve"> [נוסח חדש], התש"ם-1980 (להלן: </w:t>
      </w:r>
      <w:r w:rsidRPr="007E0A76">
        <w:rPr>
          <w:rFonts w:ascii="Century" w:hAnsi="Century" w:cs="Miriam"/>
          <w:b/>
          <w:spacing w:val="0"/>
          <w:sz w:val="22"/>
          <w:szCs w:val="24"/>
          <w:rtl/>
        </w:rPr>
        <w:t>הפקודה</w:t>
      </w:r>
      <w:r w:rsidRPr="007E0A76">
        <w:rPr>
          <w:rtl/>
        </w:rPr>
        <w:t>) ואחד לפי הח</w:t>
      </w:r>
      <w:r>
        <w:rPr>
          <w:rtl/>
        </w:rPr>
        <w:t xml:space="preserve">וק. שני ההליכים בוטלו בשל מחדליה. בהליך הנוכחי הצהירה המבקשת על חובות בסדר גודל של למעלה מ-450,000 ש"ח ל-16 נושים והוגשו תביעות חוב בסך של למעלה מ-550,000 ש"ח על ידי 14 נושים. </w:t>
      </w:r>
    </w:p>
    <w:p w14:paraId="0F603200" w14:textId="77777777" w:rsidR="0083513E" w:rsidRDefault="0083513E" w:rsidP="0083513E">
      <w:pPr>
        <w:pStyle w:val="Ruller4"/>
        <w:numPr>
          <w:ilvl w:val="0"/>
          <w:numId w:val="0"/>
        </w:numPr>
      </w:pPr>
    </w:p>
    <w:p w14:paraId="786AE0B2" w14:textId="77777777" w:rsidR="0083513E" w:rsidRDefault="00000000" w:rsidP="0083513E">
      <w:pPr>
        <w:pStyle w:val="Ruller4"/>
      </w:pPr>
      <w:r>
        <w:rPr>
          <w:rtl/>
        </w:rPr>
        <w:t xml:space="preserve">בחודש דצמבר 2023 הגישה המבקשת בקשה להפחתת צו התשלומים. היא טענה כי שכרה החודשי כמטפלת בקשישים עומד על סך של 1,800 ש"ח בלבד, כי בעלה אמנם מתגורר עמה באותו בית אך הם פרודים וקיים ביניהם משטר פירוד כלכלי, וכי למיטב ידיעתה הוא חי מקצבת זקנה. על כן אין ביכולתה לשאת בתשלום החודשי המוגדל. בקשתה של המבקשת נדחתה על ידי הממונה ביום 2.1.2024. הממונה קבע בין היתר כי קשה לקבל את טענת המבקשת בנוגע ליחסיה עם בעלה, כאשר מהמסמכים שהגישה עולה כי הכנסות התא המשפחתי משמשות לטובת משק הבית המשותף. כמו כן, בעת מתן צו התשלומים נקבע תשלום מדורג על מנת שהמבקשת תגדיל את הכנסתה אך היא לא עשתה כן. אילו הייתה ממצה את כושר השתכרותה ולוּ בשכר מינימום, היה באפשרותה לעמוד בתשלום החודשי. </w:t>
      </w:r>
    </w:p>
    <w:p w14:paraId="373AFD6F" w14:textId="77777777" w:rsidR="0083513E" w:rsidRDefault="0083513E" w:rsidP="0083513E">
      <w:pPr>
        <w:pStyle w:val="Ruller41"/>
        <w:rPr>
          <w:rtl/>
        </w:rPr>
      </w:pPr>
    </w:p>
    <w:p w14:paraId="6D194D09" w14:textId="335B2CEB" w:rsidR="0083513E" w:rsidRDefault="007E7F5C" w:rsidP="0083513E">
      <w:pPr>
        <w:pStyle w:val="Ruller4"/>
      </w:pPr>
      <w:r w:rsidRPr="007E7F5C">
        <w:rPr>
          <w:rFonts w:hint="eastAsia"/>
          <w:color w:val="FFFFFF"/>
          <w:sz w:val="2"/>
          <w:szCs w:val="2"/>
          <w:rtl/>
        </w:rPr>
        <w:t>ההתיישבות</w:t>
      </w:r>
      <w:r w:rsidRPr="007E7F5C">
        <w:rPr>
          <w:color w:val="FFFFFF"/>
          <w:sz w:val="2"/>
          <w:szCs w:val="2"/>
          <w:rtl/>
        </w:rPr>
        <w:t xml:space="preserve"> </w:t>
      </w:r>
      <w:r w:rsidRPr="007E7F5C">
        <w:rPr>
          <w:rFonts w:hint="eastAsia"/>
          <w:color w:val="FFFFFF"/>
          <w:sz w:val="2"/>
          <w:szCs w:val="2"/>
          <w:rtl/>
        </w:rPr>
        <w:t>העותומנית</w:t>
      </w:r>
      <w:r w:rsidRPr="007E7F5C">
        <w:rPr>
          <w:color w:val="FFFFFF"/>
          <w:sz w:val="2"/>
          <w:szCs w:val="2"/>
          <w:rtl/>
        </w:rPr>
        <w:t xml:space="preserve"> [</w:t>
      </w:r>
      <w:r w:rsidRPr="007E7F5C">
        <w:rPr>
          <w:rFonts w:hint="eastAsia"/>
          <w:color w:val="FFFFFF"/>
          <w:sz w:val="2"/>
          <w:szCs w:val="2"/>
          <w:rtl/>
        </w:rPr>
        <w:t>נוסח</w:t>
      </w:r>
      <w:r w:rsidRPr="007E7F5C">
        <w:rPr>
          <w:color w:val="FFFFFF"/>
          <w:sz w:val="2"/>
          <w:szCs w:val="2"/>
          <w:rtl/>
        </w:rPr>
        <w:t xml:space="preserve"> </w:t>
      </w:r>
      <w:r w:rsidRPr="007E7F5C">
        <w:rPr>
          <w:rFonts w:hint="eastAsia"/>
          <w:color w:val="FFFFFF"/>
          <w:sz w:val="2"/>
          <w:szCs w:val="2"/>
          <w:rtl/>
        </w:rPr>
        <w:t>ישן</w:t>
      </w:r>
      <w:r w:rsidRPr="007E7F5C">
        <w:rPr>
          <w:color w:val="FFFFFF"/>
          <w:sz w:val="2"/>
          <w:szCs w:val="2"/>
          <w:rtl/>
        </w:rPr>
        <w:t>] 1916</w:t>
      </w:r>
      <w:r w:rsidR="00000000">
        <w:rPr>
          <w:rtl/>
        </w:rPr>
        <w:t xml:space="preserve">המבקשת לא השלימה עם ההחלטה והגישה עליה בקשת רשות ערעור לבית משפט השלום. בתמצית, נטען כי בהתאם להוראות </w:t>
      </w:r>
      <w:r w:rsidR="003B5F93" w:rsidRPr="007E0A76">
        <w:rPr>
          <w:rFonts w:hint="eastAsia"/>
          <w:rtl/>
        </w:rPr>
        <w:t>סעיף</w:t>
      </w:r>
      <w:r w:rsidR="003B5F93" w:rsidRPr="007E0A76">
        <w:rPr>
          <w:rtl/>
        </w:rPr>
        <w:t xml:space="preserve"> 156</w:t>
      </w:r>
      <w:r w:rsidR="00000000">
        <w:rPr>
          <w:rtl/>
        </w:rPr>
        <w:t xml:space="preserve"> לחוק, קביעת צו התשלומים לתקופת הביניים</w:t>
      </w:r>
      <w:r w:rsidR="00000000">
        <w:rPr>
          <w:rFonts w:ascii="Century" w:hAnsi="Century"/>
          <w:sz w:val="22"/>
          <w:rtl/>
        </w:rPr>
        <w:t xml:space="preserve"> צריכה להתבסס על הכנסתה בפועל בלבד ולא על כושר השתכרותה. כמו כן, כלל לא היה מקום להתחשב בהשתכרותו של בעלה לשעבר נוכח ההפרדה הרכושית המתקיימת ביניהם, ומכל מקום ככל הידוע לה הכנסתו מסתכמת בקצבת זקנה בסך של 2,200 ש"ח.</w:t>
      </w:r>
      <w:r w:rsidR="00000000">
        <w:rPr>
          <w:rtl/>
        </w:rPr>
        <w:t xml:space="preserve"> הממונה מצדו טען כי לא יעלה על הדעת שבמצב שבו יחיד אינו ממצה את כושר השתכרותו ועובד בהיקף משרה חלקית ללא הצדקה, הוא יידרש לשלם צו תשלומים רק על בסיס הכנסתו בפועל. עמדה זו גם מעוגנת בנוהל הממונה "אמות מידה לקביעת תשלום חודשי לחייב" (נוהל מס' 13 מיום 12.5.2020) (להלן: </w:t>
      </w:r>
      <w:r w:rsidR="00000000">
        <w:rPr>
          <w:rFonts w:ascii="Century" w:hAnsi="Century" w:cs="Miriam"/>
          <w:b/>
          <w:spacing w:val="0"/>
          <w:sz w:val="22"/>
          <w:szCs w:val="24"/>
          <w:rtl/>
        </w:rPr>
        <w:t>הנוהל</w:t>
      </w:r>
      <w:r w:rsidR="00000000">
        <w:rPr>
          <w:rtl/>
        </w:rPr>
        <w:t xml:space="preserve">), המורה כי ביחס לשלושת החודשים הראשונים שלאחר מתן הצו לפתיחת הליכים ייקבע צו התשלומים על הכנסת החייב בפועל, מתוך כוונה לאפשר לו להשתלב במעגל העבודה בשכר שלא יפחת משכר מינימום; וכי לאחר שלושה חודשים, ייקבע סכום התשלום החודשי על בסיס הכנסת החייב בגובה שלא יפחת משכר מינימום בשוק העבודה. הנאמן שמונה בעניינה של המבקשת (להלן: </w:t>
      </w:r>
      <w:r w:rsidR="00000000">
        <w:rPr>
          <w:rFonts w:ascii="Century" w:hAnsi="Century" w:cs="Miriam"/>
          <w:b/>
          <w:spacing w:val="0"/>
          <w:sz w:val="22"/>
          <w:szCs w:val="24"/>
          <w:rtl/>
        </w:rPr>
        <w:t>הנאמן</w:t>
      </w:r>
      <w:r w:rsidR="00000000">
        <w:rPr>
          <w:rtl/>
        </w:rPr>
        <w:t xml:space="preserve">) סבר גם הוא כי יש לדחות את בקשתה, והוסיף כי התנהלותה – ובכלל זה אי-צירוף מסמכים שונים ואי-מתן הסבר מדוע אין באפשרותה לעבוד במשרה מלאה – מהווה חוסר תום לב שיכול להביא בהמשך הדרך לביטול ההליך. </w:t>
      </w:r>
    </w:p>
    <w:p w14:paraId="7EAD3792" w14:textId="77777777" w:rsidR="0083513E" w:rsidRPr="007E7F5C" w:rsidRDefault="007E7F5C" w:rsidP="0083513E">
      <w:pPr>
        <w:pStyle w:val="Ruller41"/>
        <w:rPr>
          <w:color w:val="FFFFFF"/>
          <w:sz w:val="2"/>
          <w:szCs w:val="2"/>
          <w:rtl/>
        </w:rPr>
      </w:pPr>
      <w:r w:rsidRPr="007E7F5C">
        <w:rPr>
          <w:color w:val="FFFFFF"/>
          <w:sz w:val="2"/>
          <w:szCs w:val="2"/>
          <w:rtl/>
        </w:rPr>
        <w:t>12-34-56-78 צ'כוב נ' מדינת ישראל, פ'ד נא (2)</w:t>
      </w:r>
    </w:p>
    <w:p w14:paraId="5639CC0E" w14:textId="11E3BC28" w:rsidR="0083513E" w:rsidRDefault="00000000" w:rsidP="0083513E">
      <w:pPr>
        <w:pStyle w:val="Ruller4"/>
      </w:pPr>
      <w:r>
        <w:rPr>
          <w:rtl/>
        </w:rPr>
        <w:t xml:space="preserve">בית משפט השלום קיבל את עמדת המבקשת. בפתח החלטתו נקבע כי אין מקום לדון בטענות ביחס להתנהלות המבקשת בהליך ולתום ליבה, שעה שעסקינן בערעור על החלטת הממונה בעניין גובה צו התשלומים ולא בבקשה לביטול ההליך. בהמשך לכך צוין כי המחלוקת המרכזית בין המבקשת לבין הממונה נעוצה בשאלה האם הממונה מוסמך או רשאי לקבוע צו תשלומים ביחס לתקופת הביניים בהתבסס על כושר השתכרותו של היחיד, או שמא עליו לעשות כן בהסתמך רק על הכנסת היחיד בפועל. ביחס למחלוקת זו, קבע בית המשפט כי </w:t>
      </w:r>
      <w:r w:rsidR="003B5F93" w:rsidRPr="007E0A76">
        <w:rPr>
          <w:rFonts w:hint="eastAsia"/>
          <w:rtl/>
        </w:rPr>
        <w:t>סעיף</w:t>
      </w:r>
      <w:r w:rsidR="003B5F93" w:rsidRPr="007E0A76">
        <w:rPr>
          <w:rtl/>
        </w:rPr>
        <w:t xml:space="preserve"> 156(</w:t>
      </w:r>
      <w:r w:rsidR="003B5F93" w:rsidRPr="007E0A76">
        <w:rPr>
          <w:rFonts w:hint="eastAsia"/>
          <w:rtl/>
        </w:rPr>
        <w:t>א</w:t>
      </w:r>
      <w:r w:rsidR="003B5F93" w:rsidRPr="007E0A76">
        <w:rPr>
          <w:rtl/>
        </w:rPr>
        <w:t>)</w:t>
      </w:r>
      <w:r>
        <w:rPr>
          <w:rtl/>
        </w:rPr>
        <w:t xml:space="preserve"> לחוק מורה כי לצורך קביעת צו התשלומים לתקופת הביניים על הממונה לקחת בחשבון אך ורק את הכנסת היחיד בפועל, ואין מקום להתחשב בהכנסה הפוטנציאלית שלו. בתוך כך נדחתה עמדת הממונה לפיה הוא פועל על פי הנוהל, ונקבע כי הממונה אינו מוסמך לקבוע נוהל שאינו עולה בקנה אחד עם הוראות החוק. על כן, קיבל בית משפט השלום את הערעור וקבע כי התשלום החודשי של  400 ש"ח ימשיך ויעמוד בתוקפו עד למתן החלטה אחרת. </w:t>
      </w:r>
    </w:p>
    <w:p w14:paraId="02562435" w14:textId="77777777" w:rsidR="0083513E" w:rsidRDefault="0083513E" w:rsidP="0083513E">
      <w:pPr>
        <w:pStyle w:val="Ruller41"/>
        <w:rPr>
          <w:rtl/>
        </w:rPr>
      </w:pPr>
    </w:p>
    <w:p w14:paraId="3DB7C70B" w14:textId="77777777" w:rsidR="0083513E" w:rsidRDefault="007E7F5C" w:rsidP="0083513E">
      <w:pPr>
        <w:pStyle w:val="Ruller4"/>
      </w:pPr>
      <w:r w:rsidRPr="007E7F5C">
        <w:rPr>
          <w:rFonts w:hint="eastAsia"/>
          <w:color w:val="FFFFFF"/>
          <w:sz w:val="2"/>
          <w:szCs w:val="2"/>
          <w:rtl/>
        </w:rPr>
        <w:t>הועתק</w:t>
      </w:r>
      <w:r w:rsidRPr="007E7F5C">
        <w:rPr>
          <w:color w:val="FFFFFF"/>
          <w:sz w:val="2"/>
          <w:szCs w:val="2"/>
          <w:rtl/>
        </w:rPr>
        <w:t xml:space="preserve"> </w:t>
      </w:r>
      <w:r w:rsidRPr="007E7F5C">
        <w:rPr>
          <w:rFonts w:hint="eastAsia"/>
          <w:color w:val="FFFFFF"/>
          <w:sz w:val="2"/>
          <w:szCs w:val="2"/>
          <w:rtl/>
        </w:rPr>
        <w:t>מנבו</w:t>
      </w:r>
      <w:r w:rsidR="00000000">
        <w:rPr>
          <w:rtl/>
        </w:rPr>
        <w:t xml:space="preserve">החלטה זו הולידה בקשת רשות ערעור מצד הממונה לבית המשפט המחוזי. הממונה טען כי בית משפט השלום טעה כאשר קבע את צו התשלומים על בסיס השתכרותה של המבקשת בפועל. הממונה פעל לפי הנוהל ולא היה מקום להתערב בשיקול דעתו. בהקשר זה, הממונה הדגיש כי הוא לא קבע את גובה התשלום לפי כושר ההשתכרות של המבקשת, כי אם לפי שכר המינימום בשוק העבודה. עוד הודגש כי מקום שבו לא נקבע לגבי חייב כי הוא נעדר כושר השתכרות, אין כל סיבה לאפשר לו לעבוד בתקופת הביניים בסכום הנמוך משכר מינימום. חובתו של החייב לעשות מאמץ בתקופת הביניים ולהשתכר לכל הפחות בשכר מינימום היא בלתי נפרדת מחובתו לנהוג בתום לב בהליך, וחשיבותה מתעצמת בשים לב לכך שתקופת הביניים מהווה חלק לא מבוטל ממשך ההליך. החלטת בית משפט השלום בה הוא כלל לא נדרש לשאלת תום הלב, פוגעת בתכלית החוק, פותחת פתח לניצול לרעה של ההליך ומהווה תמריץ לחייבים להימנע מלמצות את פוטנציאל השתכרותם בתקופת הביניים, תוך שהם נהנים מההגנות שמעניק החוק. </w:t>
      </w:r>
    </w:p>
    <w:p w14:paraId="4E5BB6E8" w14:textId="77777777" w:rsidR="0083513E" w:rsidRDefault="0083513E" w:rsidP="0083513E">
      <w:pPr>
        <w:pStyle w:val="Ruller41"/>
        <w:rPr>
          <w:rtl/>
        </w:rPr>
      </w:pPr>
    </w:p>
    <w:p w14:paraId="2F84BED2" w14:textId="2B96051A" w:rsidR="0083513E" w:rsidRDefault="00000000" w:rsidP="0083513E">
      <w:pPr>
        <w:pStyle w:val="Ruller4"/>
      </w:pPr>
      <w:r>
        <w:rPr>
          <w:rtl/>
        </w:rPr>
        <w:t xml:space="preserve">מנגד, המבקשת טענה כי הוראת </w:t>
      </w:r>
      <w:r w:rsidR="003B5F93" w:rsidRPr="007E0A76">
        <w:rPr>
          <w:rFonts w:hint="eastAsia"/>
          <w:rtl/>
        </w:rPr>
        <w:t>סעיף</w:t>
      </w:r>
      <w:r w:rsidR="003B5F93" w:rsidRPr="007E0A76">
        <w:rPr>
          <w:rtl/>
        </w:rPr>
        <w:t xml:space="preserve"> 153(</w:t>
      </w:r>
      <w:r w:rsidR="003B5F93" w:rsidRPr="007E0A76">
        <w:rPr>
          <w:rFonts w:hint="eastAsia"/>
          <w:rtl/>
        </w:rPr>
        <w:t>א</w:t>
      </w:r>
      <w:r w:rsidR="003B5F93" w:rsidRPr="007E0A76">
        <w:rPr>
          <w:rtl/>
        </w:rPr>
        <w:t>)</w:t>
      </w:r>
      <w:r>
        <w:rPr>
          <w:rtl/>
        </w:rPr>
        <w:t xml:space="preserve"> לחוק ברורה וחד-משמעית, ולפיה צו התשלומים ייקבע לפי ההכנסה בפועל ולא לפי כושר השתכרותו של החייב. על כן מדיניות הממונה, כפי שבאה לידי ביטוי בנוהל, אינה עולה בקנה אחד עם הוראות החוק. בעניין זה קיים הבדל בין מטרות ותכליות תקופת הביניים לבין תקופת השיקום, לגביה נקבע מפורשות שיש להתחשב בכושר ההשתכרות של החייב ולא בשכרו בפועל. בעוד שתקופת הביניים מיועדת לאפשר לחייב להתקיים בכבוד ולצלוח את ההליך, תקופת השיקום כשמה כן היא, והחיוב המוטל על החייב באותה תקופה נקבע לאחר בירור מעמיק ויסודי על אודות מצבו הכלכלי ופוטנציאל השתכרותו לעתיד.</w:t>
      </w:r>
    </w:p>
    <w:p w14:paraId="12993E48" w14:textId="77777777" w:rsidR="0083513E" w:rsidRDefault="0083513E" w:rsidP="0083513E">
      <w:pPr>
        <w:pStyle w:val="Ruller41"/>
        <w:rPr>
          <w:rtl/>
        </w:rPr>
      </w:pPr>
    </w:p>
    <w:p w14:paraId="1BF70848" w14:textId="77777777" w:rsidR="0083513E" w:rsidRDefault="00000000" w:rsidP="0083513E">
      <w:pPr>
        <w:pStyle w:val="Ruller4"/>
      </w:pPr>
      <w:r>
        <w:rPr>
          <w:rtl/>
        </w:rPr>
        <w:t xml:space="preserve">בפסק דינו קיבל בית המשפט המחוזי את עמדת הממונה. תחילה נקבע כי הלכה למעשה יש בטענות המבקשת משום "תקיפה מינהלית" של הנוהל שמכוחו פועל הממונה. אלא שבית המשפט של חדלות פירעון אינו מוסמך להעביר ביקורת מינהלית על האופן שבו מנהל הממונה את ענייני חדלות הפירעון מכוח סמכויותיו על פי החוק, ואף לא על הנוהל שבו הוא עושה שימוש. סמכות מעין זו מסורה לערכאה מינהלית. תפקידו של בית המשפט של חדלות פירעון הוא לדון "באופן פרטני, בעניין פרטני" ולא במדיניות הכוללת של הממונה. בכל מקרה, הנוהל תואם את הוראות החוק ועומד במבחן הסבירות. הוא משמש כלי עזר לחישוב התשלום החודשי, ומציע מודל לאחידות ושוויוניות תוך דגש על שיקומו של החייב, שילובו במרקם החיים הכלכליים והמחייה שלו בכבוד. כן נקבע כי בניגוד למשתמע מהחלטת בית משפט השלום, חובתו של היחיד לנהוג בתום לב ולהקדיש את יכולותיו לפירעון חובותיו אינה חלה רק בתקופה שלאחר מתן צו שיקום. גם בעת תקופת הביניים, ואף עובר לפתיחת ההליך, יש לוודא כי החייב התנהל בתום לב. במקרה דנן, מדובר בחדלת פירעון "סדרתית" והנטייה היא לנהוג עם חייבת מסוג זה ביתר הקפדה בבדיקת תום ליבה. כן טעה בית משפט השלום באופן שבו הגדיר את המחלוקת בין הצדדים. בניגוד לקביעתו, הממונה כלל לא טען כי יש לקבוע את צו התשלומים על בסיס כושר השתכרות אלא סבר שיש לעשות כן בהסתמך על שכר מינימום, ויש להבחין בין השניים. כושר השתכרות מבטא סכום הכנסות פוטנציאלי של אדם, הנקבע על בסיס נתוניו האישיים, ועל כן ברור ומובן מדוע בחינת עניין זה נעשית רק בשלב שלאחר מתן צו שיקום. לעומת זאת, שכר מינימום הוא סכום ודאי, ברור וידוע, שאינו תלוי בגורמים המשפיעים על כושר השתכרות. קיימת חובה חוקית לשלם את שכר המינימום לכל אדם שאין לו מגבלה, ולכן ניתן לומר שהוא יוצר "חזקה שבעובדה" לפיה אדם משתכר סכום זה בכל מקרה. חזקה זו ניתנת לסתירה, אולם חובת ההוכחה לסתור אותה מוטלת על החייב. קביעה אחרת תעמיד את החייב בעמדת כוח להכתיב את גובה צו התשלומים לתקופת הביניים. אדרבה, קביעת תשלום חודשי בתקופת הביניים מהווה אחת מאבני היסוד בדיני חדלות פירעון הנתונה לסמכות הממונה; והיא משקפת תפיסה ערכית הגורסת שעל החייב למצות את מלוא האמצעים הכלכליים העומדים לרשותו לשם פירעון חובותיו לנושיו. ביישום האמור על ענייננו נקבע כי המבקשת העידה שאין לה מגבלת כושר השתכרות, יצרה ערפול בהכנסות התא המשפחתי ולא המציאה מסמכים התומכים בעמדתה. על כן קביעת צו תשלומים לתקופת הביניים על יסוד ההנחה כי היא משתכרת שכר מינימום, אין בה כל פגם. </w:t>
      </w:r>
    </w:p>
    <w:p w14:paraId="6F056781" w14:textId="77777777" w:rsidR="0083513E" w:rsidRDefault="0083513E" w:rsidP="0083513E">
      <w:pPr>
        <w:pStyle w:val="Ruller41"/>
        <w:rPr>
          <w:rtl/>
        </w:rPr>
      </w:pPr>
    </w:p>
    <w:p w14:paraId="3D60A64A" w14:textId="77777777" w:rsidR="0083513E" w:rsidRDefault="00000000" w:rsidP="0083513E">
      <w:pPr>
        <w:pStyle w:val="Ruller4"/>
      </w:pPr>
      <w:r>
        <w:rPr>
          <w:rtl/>
        </w:rPr>
        <w:t>בסופו של דבר אפוא, בית המשפט המחוזי קיבל את ערעור הממונה, הורה על ביטול החלטת בית משפט השלום וקבע כי על המבקשת לשלם את התשלום החודשי על פי צו התשלומים המקורי כפי שקבע הממונה.</w:t>
      </w:r>
    </w:p>
    <w:p w14:paraId="3FD84A69" w14:textId="77777777" w:rsidR="0083513E" w:rsidRDefault="0083513E" w:rsidP="0083513E">
      <w:pPr>
        <w:pStyle w:val="Ruller41"/>
        <w:rPr>
          <w:rtl/>
        </w:rPr>
      </w:pPr>
    </w:p>
    <w:p w14:paraId="67AB7CB4" w14:textId="0C68D438" w:rsidR="0083513E" w:rsidRDefault="00000000" w:rsidP="0083513E">
      <w:pPr>
        <w:pStyle w:val="Ruller4"/>
        <w:rPr>
          <w:rFonts w:ascii="Century" w:hAnsi="Century"/>
          <w:sz w:val="22"/>
          <w:shd w:val="clear" w:color="auto" w:fill="FFFFFF"/>
        </w:rPr>
      </w:pPr>
      <w:r>
        <w:rPr>
          <w:rtl/>
        </w:rPr>
        <w:t xml:space="preserve">מכאן הבקשה שלפנינו. בתמצית, לטענת המבקשת פסק דינו של בית המשפט המחוזי השולל "תקיפה עקיפה" של החלטות ונהלי הממונה, אינו יכול לעמוד על כנו. לא זו בלבד שמדובר בעניין המצוי בגרעין סמכותו של בית המשפט של חדלות פירעון, אלא שהעברת עניין מסוג זה לבית משפט זה בשבתו כבית משפט גבוה לצדק, כל אימת שמעלה חייב טענה נגד הממונה ונהליו, אינה סבירה כלל ועיקר. גם לגופו של עניין, נהלי הממונה אינם מחייבים את בית המשפט ואינם באים חלף הוראות חוק מפורשות. הנוהל גם לא מבוסס על תשתית עובדתית נכונה ואופני החישוב שבו שרירותיים. בענייננו, </w:t>
      </w:r>
      <w:r w:rsidR="003B5F93" w:rsidRPr="007E0A76">
        <w:rPr>
          <w:rFonts w:hint="eastAsia"/>
          <w:rtl/>
        </w:rPr>
        <w:t>סעיף</w:t>
      </w:r>
      <w:r w:rsidR="003B5F93" w:rsidRPr="007E0A76">
        <w:rPr>
          <w:rtl/>
        </w:rPr>
        <w:t xml:space="preserve"> 156(</w:t>
      </w:r>
      <w:r w:rsidR="003B5F93" w:rsidRPr="007E0A76">
        <w:rPr>
          <w:rFonts w:hint="eastAsia"/>
          <w:rtl/>
        </w:rPr>
        <w:t>ב</w:t>
      </w:r>
      <w:r w:rsidR="003B5F93" w:rsidRPr="007E0A76">
        <w:rPr>
          <w:rtl/>
        </w:rPr>
        <w:t>)</w:t>
      </w:r>
      <w:r>
        <w:rPr>
          <w:rtl/>
        </w:rPr>
        <w:t xml:space="preserve"> לחוק אינו קובע כלל ועיקר כי על הממונה להתייחס לכושר השתכרותו של החייב. נקבע בסעיף זה כי יש לקחת בחשבון</w:t>
      </w:r>
      <w:r>
        <w:rPr>
          <w:rFonts w:ascii="Century" w:hAnsi="Century"/>
          <w:sz w:val="22"/>
          <w:rtl/>
        </w:rPr>
        <w:t xml:space="preserve"> את </w:t>
      </w:r>
      <w:r>
        <w:rPr>
          <w:rFonts w:ascii="Century" w:hAnsi="Century"/>
          <w:sz w:val="22"/>
          <w:shd w:val="clear" w:color="auto" w:fill="FFFFFF"/>
          <w:rtl/>
        </w:rPr>
        <w:t>"הכנסתו של היחיד מעבודה או מכל מקור אחר שממנה משולמים דמי המחיה". הא ותו לא.</w:t>
      </w:r>
      <w:r>
        <w:rPr>
          <w:rFonts w:ascii="Century" w:hAnsi="Century"/>
          <w:sz w:val="22"/>
          <w:rtl/>
        </w:rPr>
        <w:t xml:space="preserve"> גם </w:t>
      </w:r>
      <w:r w:rsidR="003B5F93" w:rsidRPr="007E0A76">
        <w:rPr>
          <w:rFonts w:ascii="Century" w:hAnsi="Century" w:hint="eastAsia"/>
          <w:sz w:val="22"/>
          <w:rtl/>
        </w:rPr>
        <w:t>סעיף</w:t>
      </w:r>
      <w:r w:rsidR="003B5F93" w:rsidRPr="007E0A76">
        <w:rPr>
          <w:rFonts w:ascii="Century" w:hAnsi="Century"/>
          <w:sz w:val="22"/>
          <w:rtl/>
        </w:rPr>
        <w:t xml:space="preserve"> 160</w:t>
      </w:r>
      <w:r>
        <w:rPr>
          <w:rFonts w:ascii="Century" w:hAnsi="Century"/>
          <w:sz w:val="22"/>
          <w:rtl/>
        </w:rPr>
        <w:t xml:space="preserve"> לחוק הקובע כי "דמי המחיה" הם </w:t>
      </w:r>
      <w:r>
        <w:rPr>
          <w:rFonts w:ascii="Century" w:hAnsi="Century"/>
          <w:sz w:val="22"/>
          <w:shd w:val="clear" w:color="auto" w:fill="FFFFFF"/>
          <w:rtl/>
        </w:rPr>
        <w:t>"הסכום הדרוש ליחיד ולמי שפרנסתם עליו להוצאות המחיה הבסיסיות לשם מחיה בכבוד, ובהתחשב בהכנסתו של בן זוגו ושל ילדיו שפרנסתם עליו", אין בו רמז לכושר השתכרות. מטרת צו התשלומים היא למצוא איזון ביניים באופן שיאפשר לחייב להתמודד עם מצבו הכלכלי החדש, ואין תכליתו של הצו לבדוק את כושר השתכרותו, דבר שקשה עד למאוד להעריך באותו שלב. פשיטא גם כי אין כל משקל לשכר מינימום בכל הנוגע לכל חייב באופן פרטני תוך התחשבות בהכנסותיו בפועל ובכושר השתכרותו. בכל מקרה שכר המינימום ודאי שאינו מקים חזקה שבעובדה. באותו שלב של מתן צו התשלומים, בראש ובראשונה יש לוודא כי לחייב אמצעי מחייה המאפשרים לו ולמשפחתו לחיות בכבוד. על כן יש להשיב את החלטת בית משפט השלום על כנה.</w:t>
      </w:r>
    </w:p>
    <w:p w14:paraId="38DBE812" w14:textId="77777777" w:rsidR="0083513E" w:rsidRDefault="0083513E" w:rsidP="0083513E">
      <w:pPr>
        <w:pStyle w:val="Ruller41"/>
        <w:rPr>
          <w:rtl/>
        </w:rPr>
      </w:pPr>
    </w:p>
    <w:p w14:paraId="6762DCD8" w14:textId="77777777" w:rsidR="0083513E" w:rsidRDefault="00000000" w:rsidP="0083513E">
      <w:pPr>
        <w:pStyle w:val="Ruller4"/>
        <w:rPr>
          <w:rFonts w:ascii="Century" w:hAnsi="Century"/>
          <w:sz w:val="22"/>
          <w:shd w:val="clear" w:color="auto" w:fill="FFFFFF"/>
        </w:rPr>
      </w:pPr>
      <w:r>
        <w:rPr>
          <w:rFonts w:ascii="Century" w:hAnsi="Century"/>
          <w:sz w:val="22"/>
          <w:shd w:val="clear" w:color="auto" w:fill="FFFFFF"/>
          <w:rtl/>
        </w:rPr>
        <w:t>לטענת הממונה יש להבחין בין השאלה המשפטית העקרונית והרוחבית העולה בבקשה, לבין נסיבותיה הפרטניות של המבקשת שאינן מצדיקות מתן רשות לערער. לעמדתו, הבקשה אכן מעוררת שאלה המצדיקה מתן רשות ערעור, הנוגעת לסמכותו להשית על יחיד צו תשלומים מקום שאין לו הכנסה בפועל. בעניין זה טען הממונה כי לגישתו אין מניעה שיורה על צו תשלומים אף במקום שבו החייב לא הצהיר במסגרת בקשתו למתן צו לפתיחת הליכים, על מקור הכנסה כלשהו. סמכות זו מבוססת על ציפייה מינימאלית מהחייב המבקש להיכנס בשערי הליכי חדלות פירעון, להשתכר לכל הפחות בהיקף של משרה מלאה בגובה שכר מינימום. זאת כחלק מחובת החייב לפעול בתום לב לאורך כל ההליך, אשר נועדה, בין השאר, למנוע ממנו להיכנס להליך ולנצלו לרעה. הודגש כי אין המדובר על מיצוי כושר השתכרותו, הואיל ועניין זה אכן ייבחן בבוא העת בשלב קביעת הצו לשיקום כלכלי, אלא כאמור בציפייה מהחייב שיפעל כדי להשתכר ולוּ באופן מינימלי. במסגרת זו אין מקום לצמצם את סמכותו של הממונה ויש לאפשר לו להפעיל את שיקול דעתו כדי לנהל את הליך חדלות הפירעון כראוי בראי תכליות ההליך ומטרותיו. על כן, בהקשר זה סבור הממונה כי לא נפל פגם בפסק דינו של בית המשפט המחוזי.</w:t>
      </w:r>
    </w:p>
    <w:p w14:paraId="56BF304C" w14:textId="77777777" w:rsidR="0083513E" w:rsidRDefault="0083513E" w:rsidP="0083513E">
      <w:pPr>
        <w:pStyle w:val="Ruller41"/>
        <w:rPr>
          <w:rtl/>
        </w:rPr>
      </w:pPr>
    </w:p>
    <w:p w14:paraId="7FACA7AD" w14:textId="7699EE6A" w:rsidR="0083513E" w:rsidRDefault="00000000" w:rsidP="0083513E">
      <w:pPr>
        <w:pStyle w:val="Ruller4"/>
        <w:rPr>
          <w:rFonts w:ascii="Century" w:hAnsi="Century"/>
          <w:sz w:val="22"/>
          <w:shd w:val="clear" w:color="auto" w:fill="FFFFFF"/>
        </w:rPr>
      </w:pPr>
      <w:r>
        <w:rPr>
          <w:rFonts w:ascii="Century" w:hAnsi="Century"/>
          <w:sz w:val="22"/>
          <w:shd w:val="clear" w:color="auto" w:fill="FFFFFF"/>
          <w:rtl/>
        </w:rPr>
        <w:t xml:space="preserve">לצד זאת, הממונה סבור כי שגה בית המשפט בקבעו כי בית המשפט של חדלות פירעון אינו מוסמך לבקר את הנוהל בדרך של תקיפה עקיפה וכי הסמכות לכך נתונה אך ורק לבתי המשפט המינהליים. לטענת הממונה, ערעור על החלטותיו להורות על צו תשלומים בתקופת הביניים ואופן הפעלת סמכות זו מסורה לבית המשפט של חדלות פירעון בהתאם </w:t>
      </w:r>
      <w:r w:rsidR="003B5F93" w:rsidRPr="007E0A76">
        <w:rPr>
          <w:rFonts w:ascii="Century" w:hAnsi="Century" w:hint="eastAsia"/>
          <w:sz w:val="22"/>
          <w:shd w:val="clear" w:color="auto" w:fill="FFFFFF"/>
          <w:rtl/>
        </w:rPr>
        <w:t>לסעיף</w:t>
      </w:r>
      <w:r w:rsidR="003B5F93" w:rsidRPr="007E0A76">
        <w:rPr>
          <w:rFonts w:ascii="Century" w:hAnsi="Century"/>
          <w:sz w:val="22"/>
          <w:shd w:val="clear" w:color="auto" w:fill="FFFFFF"/>
          <w:rtl/>
        </w:rPr>
        <w:t xml:space="preserve"> 350(</w:t>
      </w:r>
      <w:r w:rsidR="003B5F93" w:rsidRPr="007E0A76">
        <w:rPr>
          <w:rFonts w:ascii="Century" w:hAnsi="Century" w:hint="eastAsia"/>
          <w:sz w:val="22"/>
          <w:shd w:val="clear" w:color="auto" w:fill="FFFFFF"/>
          <w:rtl/>
        </w:rPr>
        <w:t>ב</w:t>
      </w:r>
      <w:r w:rsidR="003B5F93" w:rsidRPr="007E0A76">
        <w:rPr>
          <w:rFonts w:ascii="Century" w:hAnsi="Century"/>
          <w:sz w:val="22"/>
          <w:shd w:val="clear" w:color="auto" w:fill="FFFFFF"/>
          <w:rtl/>
        </w:rPr>
        <w:t>)</w:t>
      </w:r>
      <w:r>
        <w:rPr>
          <w:rFonts w:ascii="Century" w:hAnsi="Century"/>
          <w:sz w:val="22"/>
          <w:shd w:val="clear" w:color="auto" w:fill="FFFFFF"/>
          <w:rtl/>
        </w:rPr>
        <w:t xml:space="preserve"> לחוק. הנוהל נועד לשקף לציבור את האופן שבו הממונה קובע את התשלום החודשי וממליץ לבית המשפט לקבוע את צו התשלומים החודשי במסגרת צו שיקום כלכלי. הוא נועד להבטיח אחידות ועקביות בהחלטות, בהיעדר תקנות מתאימות, ועצם פרסומו אינו משנה את אופיה של ההחלטה המתקבלת על ידי הממונה כהחלטה מעין שיפוטית המסורה לביקורת שיפוטית ערעורית של בית המשפט של חדלות פירעון. לפיכך החלטת הממונה להשית על החייב צו תשלומים בתקופת הביניים היא החלטה פרטנית המתקבלת על ידי הממונה לפי </w:t>
      </w:r>
      <w:r w:rsidR="003B5F93" w:rsidRPr="007E0A76">
        <w:rPr>
          <w:rFonts w:ascii="Century" w:hAnsi="Century" w:hint="eastAsia"/>
          <w:sz w:val="22"/>
          <w:shd w:val="clear" w:color="auto" w:fill="FFFFFF"/>
          <w:rtl/>
        </w:rPr>
        <w:t>סעיף</w:t>
      </w:r>
      <w:r w:rsidR="003B5F93" w:rsidRPr="007E0A76">
        <w:rPr>
          <w:rFonts w:ascii="Century" w:hAnsi="Century"/>
          <w:sz w:val="22"/>
          <w:shd w:val="clear" w:color="auto" w:fill="FFFFFF"/>
          <w:rtl/>
        </w:rPr>
        <w:t xml:space="preserve"> 156</w:t>
      </w:r>
      <w:r>
        <w:rPr>
          <w:rFonts w:ascii="Century" w:hAnsi="Century"/>
          <w:sz w:val="22"/>
          <w:shd w:val="clear" w:color="auto" w:fill="FFFFFF"/>
          <w:rtl/>
        </w:rPr>
        <w:t xml:space="preserve"> לחוק וניתן אכן לבקרה באכסניה זו. עם זאת, לגישת הממונה שגגה זו שנפלה בפסק דינו של בית המשפט המחוזי אינה מצדיקה את קבלת הערעור, שכן בית המשפט בחן את החלטתו לגופה ומצא שניתנה בסמכות וכדין. לכן במקרה זה יש לדחות את טענות המבקשת לגופן ולקבוע כי הממונה מוסמך בהתאם להוראות </w:t>
      </w:r>
      <w:r w:rsidR="003B5F93" w:rsidRPr="007E0A76">
        <w:rPr>
          <w:rFonts w:ascii="Century" w:hAnsi="Century" w:hint="eastAsia"/>
          <w:sz w:val="22"/>
          <w:shd w:val="clear" w:color="auto" w:fill="FFFFFF"/>
          <w:rtl/>
        </w:rPr>
        <w:t>סעיף</w:t>
      </w:r>
      <w:r w:rsidR="003B5F93" w:rsidRPr="007E0A76">
        <w:rPr>
          <w:rFonts w:ascii="Century" w:hAnsi="Century"/>
          <w:sz w:val="22"/>
          <w:shd w:val="clear" w:color="auto" w:fill="FFFFFF"/>
          <w:rtl/>
        </w:rPr>
        <w:t xml:space="preserve"> 156</w:t>
      </w:r>
      <w:r>
        <w:rPr>
          <w:rFonts w:ascii="Century" w:hAnsi="Century"/>
          <w:sz w:val="22"/>
          <w:shd w:val="clear" w:color="auto" w:fill="FFFFFF"/>
          <w:rtl/>
        </w:rPr>
        <w:t xml:space="preserve"> לחוק להורות לחייב לשלם תשלום עיתי לקופת הנשייה בתקופת הביניים אף בהיעדר הכנסה בפועל.  </w:t>
      </w:r>
    </w:p>
    <w:p w14:paraId="1DA99069" w14:textId="77777777" w:rsidR="0083513E" w:rsidRDefault="0083513E" w:rsidP="0083513E">
      <w:pPr>
        <w:pStyle w:val="Ruller41"/>
        <w:rPr>
          <w:rtl/>
        </w:rPr>
      </w:pPr>
    </w:p>
    <w:p w14:paraId="0D15C9AA" w14:textId="77777777" w:rsidR="0083513E" w:rsidRDefault="00000000" w:rsidP="0083513E">
      <w:pPr>
        <w:pStyle w:val="Ruller4"/>
        <w:rPr>
          <w:rtl/>
        </w:rPr>
      </w:pPr>
      <w:r>
        <w:rPr>
          <w:rtl/>
        </w:rPr>
        <w:t>הנאמן הודיע כי הוא מצטרף לעמדתו של הממונה.</w:t>
      </w:r>
    </w:p>
    <w:p w14:paraId="17E6371B" w14:textId="77777777" w:rsidR="0083513E" w:rsidRDefault="0083513E" w:rsidP="0083513E">
      <w:pPr>
        <w:pStyle w:val="Ruller41"/>
        <w:rPr>
          <w:rtl/>
        </w:rPr>
      </w:pPr>
    </w:p>
    <w:p w14:paraId="75DCD10F" w14:textId="77777777" w:rsidR="0083513E" w:rsidRDefault="00000000" w:rsidP="0083513E">
      <w:pPr>
        <w:pStyle w:val="Ruller4"/>
        <w:rPr>
          <w:rtl/>
        </w:rPr>
      </w:pPr>
      <w:r>
        <w:rPr>
          <w:rtl/>
        </w:rPr>
        <w:t>בתגובתה לתשובת הממונה טענה המבקשת כי קביעת שכר "רעיוני" לפי שכר מינימום במשק מכוח סמכותו הכללית של הממונה, מוטעית. ראשית משום שרשות מינהלית רשאית לפעול רק מכוח סמכות מפורשת הנתונה לה בדין, והחוק במקרה זה אינו מקנה "סמכות נסתרת או נעלמת". שנית, אף אם ניתן להעלות על הדעת שחייב עלול לנצל לרעה את האמור בחוק, הרי שמדובר במקרים חריגים שעל בסיסם אין מקום לקבוע מדיניות כללית. בכל מקרה התנהלות בחוסר תום לב של חייב תילקח בחשבון בשעה המתאימה לכך בעת קביעת צו התשלומים לאחר שהעובדות לגביו תתבררנה. אדרבה, אימוץ עמדת הממונה הוא זה שיגרום לעיוות דין מקום בו אין לעמדתו כל עיגון בלשון החוק והוא אף נוגד את תכליותיו.</w:t>
      </w:r>
    </w:p>
    <w:p w14:paraId="334D2CE1" w14:textId="77777777" w:rsidR="0083513E" w:rsidRDefault="0083513E" w:rsidP="0083513E">
      <w:pPr>
        <w:pStyle w:val="Ruller41"/>
        <w:rPr>
          <w:rtl/>
        </w:rPr>
      </w:pPr>
    </w:p>
    <w:p w14:paraId="32BF741A" w14:textId="77777777" w:rsidR="0083513E" w:rsidRDefault="00000000" w:rsidP="0083513E">
      <w:pPr>
        <w:pStyle w:val="Ruller41"/>
        <w:rPr>
          <w:rtl/>
        </w:rPr>
      </w:pPr>
      <w:r>
        <w:rPr>
          <w:rFonts w:ascii="Century" w:hAnsi="Century" w:cs="Miriam"/>
          <w:b/>
          <w:spacing w:val="0"/>
          <w:szCs w:val="24"/>
          <w:rtl/>
        </w:rPr>
        <w:t>דיון והכרעה</w:t>
      </w:r>
    </w:p>
    <w:p w14:paraId="75D5E468" w14:textId="63E12638" w:rsidR="0083513E" w:rsidRDefault="00000000" w:rsidP="0083513E">
      <w:pPr>
        <w:pStyle w:val="Ruller4"/>
        <w:rPr>
          <w:rtl/>
        </w:rPr>
      </w:pPr>
      <w:r>
        <w:rPr>
          <w:rtl/>
        </w:rPr>
        <w:t xml:space="preserve">נוכח העובדה שהבקשה מעלה שאלה עקרונית, ראיתי לנכון לתת למבקשת רשות ערעור ולדון בבקשה כאילו ניתנה רשות לערער והוגש ערעור על-פיה, מכוח </w:t>
      </w:r>
      <w:r w:rsidRPr="007E0A76">
        <w:rPr>
          <w:rtl/>
        </w:rPr>
        <w:t xml:space="preserve">הסמכות הנתונה </w:t>
      </w:r>
      <w:r w:rsidR="003B5F93" w:rsidRPr="007E0A76">
        <w:rPr>
          <w:rFonts w:hint="eastAsia"/>
          <w:rtl/>
        </w:rPr>
        <w:t>בתקנה</w:t>
      </w:r>
      <w:r w:rsidR="003B5F93" w:rsidRPr="007E0A76">
        <w:rPr>
          <w:rtl/>
        </w:rPr>
        <w:t xml:space="preserve"> 149(2)(</w:t>
      </w:r>
      <w:r w:rsidR="003B5F93" w:rsidRPr="007E0A76">
        <w:rPr>
          <w:rFonts w:hint="eastAsia"/>
          <w:rtl/>
        </w:rPr>
        <w:t>ב</w:t>
      </w:r>
      <w:r w:rsidR="003B5F93" w:rsidRPr="007E0A76">
        <w:rPr>
          <w:rtl/>
        </w:rPr>
        <w:t>)</w:t>
      </w:r>
      <w:r w:rsidRPr="007E0A76">
        <w:rPr>
          <w:rtl/>
        </w:rPr>
        <w:t xml:space="preserve"> ל</w:t>
      </w:r>
      <w:r w:rsidR="007E7F5C" w:rsidRPr="007E0A76">
        <w:rPr>
          <w:rFonts w:hint="eastAsia"/>
          <w:rtl/>
        </w:rPr>
        <w:t>תקנות</w:t>
      </w:r>
      <w:r w:rsidR="007E7F5C" w:rsidRPr="007E0A76">
        <w:rPr>
          <w:rtl/>
        </w:rPr>
        <w:t xml:space="preserve"> </w:t>
      </w:r>
      <w:r w:rsidR="007E7F5C" w:rsidRPr="007E0A76">
        <w:rPr>
          <w:rFonts w:hint="eastAsia"/>
          <w:rtl/>
        </w:rPr>
        <w:t>סדר</w:t>
      </w:r>
      <w:r w:rsidR="007E7F5C" w:rsidRPr="007E0A76">
        <w:rPr>
          <w:rtl/>
        </w:rPr>
        <w:t xml:space="preserve"> </w:t>
      </w:r>
      <w:r w:rsidR="007E7F5C" w:rsidRPr="007E0A76">
        <w:rPr>
          <w:rFonts w:hint="eastAsia"/>
          <w:rtl/>
        </w:rPr>
        <w:t>הדין</w:t>
      </w:r>
      <w:r w:rsidR="007E7F5C" w:rsidRPr="007E0A76">
        <w:rPr>
          <w:rtl/>
        </w:rPr>
        <w:t xml:space="preserve"> </w:t>
      </w:r>
      <w:r w:rsidR="007E7F5C" w:rsidRPr="007E0A76">
        <w:rPr>
          <w:rFonts w:hint="eastAsia"/>
          <w:rtl/>
        </w:rPr>
        <w:t>האזרחי</w:t>
      </w:r>
      <w:r w:rsidR="007E7F5C" w:rsidRPr="007E0A76">
        <w:rPr>
          <w:rtl/>
        </w:rPr>
        <w:t xml:space="preserve">, </w:t>
      </w:r>
      <w:r w:rsidR="007E7F5C" w:rsidRPr="007E0A76">
        <w:rPr>
          <w:rFonts w:hint="eastAsia"/>
          <w:rtl/>
        </w:rPr>
        <w:t>התשע</w:t>
      </w:r>
      <w:r w:rsidR="007E7F5C" w:rsidRPr="007E0A76">
        <w:rPr>
          <w:rtl/>
        </w:rPr>
        <w:t>"</w:t>
      </w:r>
      <w:r w:rsidR="007E7F5C" w:rsidRPr="007E0A76">
        <w:rPr>
          <w:rFonts w:hint="eastAsia"/>
          <w:rtl/>
        </w:rPr>
        <w:t>ט</w:t>
      </w:r>
      <w:r w:rsidRPr="007E0A76">
        <w:rPr>
          <w:rtl/>
        </w:rPr>
        <w:t>-2018</w:t>
      </w:r>
      <w:r w:rsidRPr="007E0A76">
        <w:rPr>
          <w:rFonts w:ascii="Century" w:hAnsi="Century"/>
          <w:rtl/>
        </w:rPr>
        <w:t xml:space="preserve"> (להלן:</w:t>
      </w:r>
      <w:r>
        <w:rPr>
          <w:rFonts w:ascii="Century" w:hAnsi="Century"/>
          <w:rtl/>
        </w:rPr>
        <w:t xml:space="preserve"> </w:t>
      </w:r>
      <w:r>
        <w:rPr>
          <w:rFonts w:ascii="Century" w:hAnsi="Century" w:cs="Miriam"/>
          <w:b/>
          <w:spacing w:val="0"/>
          <w:sz w:val="22"/>
          <w:szCs w:val="24"/>
          <w:rtl/>
        </w:rPr>
        <w:t>התקנות</w:t>
      </w:r>
      <w:r>
        <w:rPr>
          <w:rFonts w:ascii="Century" w:hAnsi="Century"/>
          <w:rtl/>
        </w:rPr>
        <w:t>).</w:t>
      </w:r>
      <w:r>
        <w:rPr>
          <w:rtl/>
        </w:rPr>
        <w:t xml:space="preserve"> משכך, המבקשת תיקרא להלן: </w:t>
      </w:r>
      <w:r>
        <w:rPr>
          <w:rFonts w:ascii="Century" w:hAnsi="Century" w:cs="Miriam"/>
          <w:b/>
          <w:spacing w:val="0"/>
          <w:sz w:val="22"/>
          <w:szCs w:val="24"/>
          <w:rtl/>
        </w:rPr>
        <w:t>המערערת</w:t>
      </w:r>
      <w:r>
        <w:rPr>
          <w:rtl/>
        </w:rPr>
        <w:t xml:space="preserve">. עוד אומר כבר עתה כי ראיתי לנכון להכריע בערעור על יסוד החומר הכתוב לפי </w:t>
      </w:r>
      <w:r w:rsidR="003B5F93" w:rsidRPr="007E0A76">
        <w:rPr>
          <w:rFonts w:hint="eastAsia"/>
          <w:rtl/>
        </w:rPr>
        <w:t>תקנה</w:t>
      </w:r>
      <w:r w:rsidR="003B5F93" w:rsidRPr="007E0A76">
        <w:rPr>
          <w:rtl/>
        </w:rPr>
        <w:t xml:space="preserve"> 138(</w:t>
      </w:r>
      <w:r w:rsidR="003B5F93" w:rsidRPr="007E0A76">
        <w:rPr>
          <w:rFonts w:hint="eastAsia"/>
          <w:rtl/>
        </w:rPr>
        <w:t>א</w:t>
      </w:r>
      <w:r w:rsidR="003B5F93" w:rsidRPr="007E0A76">
        <w:rPr>
          <w:rtl/>
        </w:rPr>
        <w:t>)(5)</w:t>
      </w:r>
      <w:r>
        <w:rPr>
          <w:rtl/>
        </w:rPr>
        <w:t xml:space="preserve"> לתקנות ולקבל אותו באופן חלקי, וכך אמליץ לחבריי שנעשה.  </w:t>
      </w:r>
    </w:p>
    <w:p w14:paraId="29A85741" w14:textId="77777777" w:rsidR="0083513E" w:rsidRDefault="0083513E" w:rsidP="0083513E">
      <w:pPr>
        <w:pStyle w:val="Ruller41"/>
        <w:rPr>
          <w:rtl/>
        </w:rPr>
      </w:pPr>
    </w:p>
    <w:p w14:paraId="3A281AA0" w14:textId="1B46B10C" w:rsidR="0083513E" w:rsidRDefault="003B5F93" w:rsidP="0083513E">
      <w:pPr>
        <w:pStyle w:val="Ruller4"/>
        <w:rPr>
          <w:rFonts w:ascii="Century" w:hAnsi="Century"/>
          <w:sz w:val="22"/>
          <w:rtl/>
        </w:rPr>
      </w:pPr>
      <w:r w:rsidRPr="007E0A76">
        <w:rPr>
          <w:rFonts w:ascii="Century" w:hAnsi="Century" w:hint="eastAsia"/>
          <w:sz w:val="22"/>
          <w:rtl/>
        </w:rPr>
        <w:t>סעיפים</w:t>
      </w:r>
      <w:r w:rsidRPr="007E0A76">
        <w:rPr>
          <w:rFonts w:ascii="Century" w:hAnsi="Century"/>
          <w:sz w:val="22"/>
          <w:rtl/>
        </w:rPr>
        <w:t xml:space="preserve"> 156(</w:t>
      </w:r>
      <w:r w:rsidRPr="007E0A76">
        <w:rPr>
          <w:rFonts w:ascii="Century" w:hAnsi="Century" w:hint="eastAsia"/>
          <w:sz w:val="22"/>
          <w:rtl/>
        </w:rPr>
        <w:t>א</w:t>
      </w:r>
      <w:r w:rsidRPr="007E0A76">
        <w:rPr>
          <w:rFonts w:ascii="Century" w:hAnsi="Century"/>
          <w:sz w:val="22"/>
          <w:rtl/>
        </w:rPr>
        <w:t xml:space="preserve">) </w:t>
      </w:r>
      <w:r w:rsidRPr="007E0A76">
        <w:rPr>
          <w:rFonts w:ascii="Century" w:hAnsi="Century" w:hint="eastAsia"/>
          <w:sz w:val="22"/>
          <w:rtl/>
        </w:rPr>
        <w:t>ו</w:t>
      </w:r>
      <w:r w:rsidRPr="007E0A76">
        <w:rPr>
          <w:rFonts w:ascii="Century" w:hAnsi="Century"/>
          <w:sz w:val="22"/>
          <w:rtl/>
        </w:rPr>
        <w:t>-(</w:t>
      </w:r>
      <w:r w:rsidRPr="007E0A76">
        <w:rPr>
          <w:rFonts w:ascii="Century" w:hAnsi="Century" w:hint="eastAsia"/>
          <w:sz w:val="22"/>
          <w:rtl/>
        </w:rPr>
        <w:t>ב</w:t>
      </w:r>
      <w:r w:rsidRPr="007E0A76">
        <w:rPr>
          <w:rFonts w:ascii="Century" w:hAnsi="Century"/>
          <w:sz w:val="22"/>
          <w:rtl/>
        </w:rPr>
        <w:t>)</w:t>
      </w:r>
      <w:r w:rsidR="00000000">
        <w:rPr>
          <w:rFonts w:ascii="Century" w:hAnsi="Century"/>
          <w:sz w:val="22"/>
          <w:rtl/>
        </w:rPr>
        <w:t xml:space="preserve"> לחוק קובעים כך:</w:t>
      </w:r>
    </w:p>
    <w:p w14:paraId="2F9246F0" w14:textId="77777777" w:rsidR="0083513E" w:rsidRDefault="0083513E" w:rsidP="0083513E">
      <w:pPr>
        <w:pStyle w:val="Ruller41"/>
        <w:rPr>
          <w:rtl/>
        </w:rPr>
      </w:pPr>
    </w:p>
    <w:p w14:paraId="19B844B9" w14:textId="77777777" w:rsidR="0083513E" w:rsidRDefault="00000000" w:rsidP="0083513E">
      <w:pPr>
        <w:pStyle w:val="Ruller50"/>
        <w:rPr>
          <w:rtl/>
        </w:rPr>
      </w:pPr>
      <w:r>
        <w:rPr>
          <w:rtl/>
        </w:rPr>
        <w:t>(א) עם מתן צו לפתיחת הליכים יקבע הממונה דמי מחיה כהגדרתם בסעיף 160 שיוקצו ליחיד מעת לעת בתקופת הביניים, מהכנסתו מעבודה או מכל מקור אחר.</w:t>
      </w:r>
    </w:p>
    <w:p w14:paraId="4D313763" w14:textId="77777777" w:rsidR="0083513E" w:rsidRDefault="0083513E" w:rsidP="0083513E">
      <w:pPr>
        <w:pStyle w:val="Ruller50"/>
        <w:rPr>
          <w:rtl/>
        </w:rPr>
      </w:pPr>
    </w:p>
    <w:p w14:paraId="7426A40F" w14:textId="77777777" w:rsidR="0083513E" w:rsidRDefault="00000000" w:rsidP="0083513E">
      <w:pPr>
        <w:pStyle w:val="Ruller50"/>
      </w:pPr>
      <w:r>
        <w:rPr>
          <w:rtl/>
        </w:rPr>
        <w:t>(ב) הממונה רשאי להורות כי הכנסתו של היחיד מעבודה או מכל מקור אחר שממנה משולמים דמי המחיה, כולה או חלקה, לא תהיה חלק מנכסי קופת הנשייה וכי היחיד יותיר בידיו את דמי המחיה ויעביר לנאמן את היתרה בתשלומים עתיים באופן שיורה הממונה.</w:t>
      </w:r>
    </w:p>
    <w:p w14:paraId="0970BE27" w14:textId="77777777" w:rsidR="0083513E" w:rsidRDefault="00000000" w:rsidP="0083513E">
      <w:pPr>
        <w:pStyle w:val="Ruller4"/>
        <w:numPr>
          <w:ilvl w:val="0"/>
          <w:numId w:val="0"/>
        </w:numPr>
        <w:rPr>
          <w:rFonts w:ascii="Century" w:hAnsi="Century"/>
          <w:sz w:val="22"/>
        </w:rPr>
      </w:pPr>
      <w:r>
        <w:rPr>
          <w:rFonts w:ascii="Century" w:hAnsi="Century"/>
          <w:sz w:val="22"/>
          <w:shd w:val="clear" w:color="auto" w:fill="FFFFFF"/>
          <w:rtl/>
        </w:rPr>
        <w:t xml:space="preserve"> </w:t>
      </w:r>
      <w:r>
        <w:rPr>
          <w:rFonts w:ascii="Century" w:hAnsi="Century"/>
          <w:sz w:val="22"/>
          <w:rtl/>
        </w:rPr>
        <w:t xml:space="preserve">  </w:t>
      </w:r>
    </w:p>
    <w:p w14:paraId="453B8475" w14:textId="40875EC5" w:rsidR="0083513E" w:rsidRDefault="00000000" w:rsidP="0083513E">
      <w:pPr>
        <w:pStyle w:val="Ruller41"/>
        <w:rPr>
          <w:rtl/>
        </w:rPr>
      </w:pPr>
      <w:r>
        <w:rPr>
          <w:rtl/>
        </w:rPr>
        <w:tab/>
        <w:t xml:space="preserve">דמי המחיה מוגדרים </w:t>
      </w:r>
      <w:r w:rsidR="003B5F93" w:rsidRPr="007E0A76">
        <w:rPr>
          <w:rtl/>
        </w:rPr>
        <w:t>בסעיף 160</w:t>
      </w:r>
      <w:r>
        <w:rPr>
          <w:rtl/>
        </w:rPr>
        <w:t xml:space="preserve"> לחוק כך: </w:t>
      </w:r>
    </w:p>
    <w:p w14:paraId="17554F61" w14:textId="77777777" w:rsidR="0083513E" w:rsidRDefault="0083513E" w:rsidP="0083513E">
      <w:pPr>
        <w:pStyle w:val="Ruller41"/>
        <w:rPr>
          <w:rtl/>
        </w:rPr>
      </w:pPr>
    </w:p>
    <w:p w14:paraId="3ED2EBAB" w14:textId="77777777" w:rsidR="0083513E" w:rsidRDefault="00000000" w:rsidP="0083513E">
      <w:pPr>
        <w:pStyle w:val="Ruller50"/>
        <w:rPr>
          <w:rtl/>
        </w:rPr>
      </w:pPr>
      <w:r>
        <w:rPr>
          <w:rtl/>
        </w:rPr>
        <w:t>"דמי המחיה", של היחיד – הסכום הדרוש ליחיד ולמי שפרנסתם עליו להוצאות המחיה הבסיסיות לשם מחיה בכבוד, ובהתחשב בהכנסתו של בן זוגו ושל ילדיו שפרנסתם עליו; דמי המחיה יחושבו על בסיס כללי המחיה בכבוד שקבע השר לפי סעיף 162(ב) והתאמתם לנסיבותיו האישיות של היחיד.</w:t>
      </w:r>
    </w:p>
    <w:p w14:paraId="3CA7D823" w14:textId="77777777" w:rsidR="0083513E" w:rsidRDefault="0083513E" w:rsidP="0083513E">
      <w:pPr>
        <w:pStyle w:val="Ruller50"/>
        <w:spacing w:line="360" w:lineRule="auto"/>
        <w:rPr>
          <w:rtl/>
        </w:rPr>
      </w:pPr>
    </w:p>
    <w:p w14:paraId="0E1B8877" w14:textId="7D2213CB" w:rsidR="0083513E" w:rsidRDefault="00000000" w:rsidP="0083513E">
      <w:pPr>
        <w:pStyle w:val="Ruller41"/>
        <w:rPr>
          <w:rtl/>
        </w:rPr>
      </w:pPr>
      <w:r>
        <w:rPr>
          <w:rtl/>
        </w:rPr>
        <w:tab/>
        <w:t xml:space="preserve">על פי פשוטו של מקרא, </w:t>
      </w:r>
      <w:r w:rsidR="003B5F93" w:rsidRPr="007E0A76">
        <w:rPr>
          <w:rtl/>
        </w:rPr>
        <w:t>סעיפים 156(א) ו-(ב)</w:t>
      </w:r>
      <w:r>
        <w:rPr>
          <w:rtl/>
        </w:rPr>
        <w:t xml:space="preserve"> לחוק מתמקדים בדמי המחיה של היחיד ונגזרים מהכנסתו מעבודה או מכל מקור אחר. מה שלא נכלל בדמי המחיה, נכלל בנכסי קופת הנשייה. שאלת השאלות השנויה במחלוקת בין הצדדים היא מהי אותה "הכנסה מעבודה".</w:t>
      </w:r>
    </w:p>
    <w:p w14:paraId="514EF739" w14:textId="77777777" w:rsidR="0083513E" w:rsidRDefault="0083513E" w:rsidP="0083513E">
      <w:pPr>
        <w:pStyle w:val="Ruller41"/>
        <w:rPr>
          <w:rtl/>
        </w:rPr>
      </w:pPr>
    </w:p>
    <w:p w14:paraId="5D6F362C" w14:textId="1B520B16" w:rsidR="0083513E" w:rsidRDefault="003B5F93" w:rsidP="0083513E">
      <w:pPr>
        <w:pStyle w:val="Ruller4"/>
        <w:rPr>
          <w:rFonts w:ascii="Century" w:hAnsi="Century"/>
          <w:sz w:val="22"/>
          <w:rtl/>
        </w:rPr>
      </w:pPr>
      <w:r w:rsidRPr="007E0A76">
        <w:rPr>
          <w:rFonts w:hint="eastAsia"/>
          <w:rtl/>
        </w:rPr>
        <w:t>סעיף</w:t>
      </w:r>
      <w:r w:rsidRPr="007E0A76">
        <w:rPr>
          <w:rtl/>
        </w:rPr>
        <w:t xml:space="preserve"> 156(</w:t>
      </w:r>
      <w:r w:rsidRPr="007E0A76">
        <w:rPr>
          <w:rFonts w:hint="eastAsia"/>
          <w:rtl/>
        </w:rPr>
        <w:t>א</w:t>
      </w:r>
      <w:r w:rsidRPr="007E0A76">
        <w:rPr>
          <w:rtl/>
        </w:rPr>
        <w:t>)</w:t>
      </w:r>
      <w:r w:rsidR="00000000">
        <w:rPr>
          <w:rtl/>
        </w:rPr>
        <w:t xml:space="preserve"> לחוק אינו מגדיר מה משמעות "הכנסה מעבודה". על פניו, כשם שלא נאמר שמדובר בהכנסה בפועל כפי שהיא עובר לפתיחת ההליך או בעת מתן הצו, לא נאמר שמדובר בהכנסה פוטנציאלית. כשם שניתן להעלות על הדעת שהשכר שיש להתחשב בו הוא השכר עמו נכנס היחיד להליך, כך ניתן באותה מידה להעלות על הדעת שמדובר בשכר שונה מכך. הלשון יכולה לשאת את שתי הפרשנויות. על כן במקרים מסוג זה, יש לבחון מהי הפרשנות אשר מממשת בצורה המיטבית את תכליתו </w:t>
      </w:r>
      <w:r w:rsidR="00000000" w:rsidRPr="007E0A76">
        <w:rPr>
          <w:rtl/>
        </w:rPr>
        <w:t>(</w:t>
      </w:r>
      <w:r w:rsidR="007E7F5C" w:rsidRPr="007E0A76">
        <w:rPr>
          <w:rFonts w:hint="eastAsia"/>
          <w:rtl/>
        </w:rPr>
        <w:t>רע</w:t>
      </w:r>
      <w:r w:rsidR="007E7F5C" w:rsidRPr="007E0A76">
        <w:rPr>
          <w:rtl/>
        </w:rPr>
        <w:t>"</w:t>
      </w:r>
      <w:r w:rsidR="007E7F5C" w:rsidRPr="007E0A76">
        <w:rPr>
          <w:rFonts w:hint="eastAsia"/>
          <w:rtl/>
        </w:rPr>
        <w:t>א</w:t>
      </w:r>
      <w:r w:rsidR="007E7F5C" w:rsidRPr="007E0A76">
        <w:rPr>
          <w:rtl/>
        </w:rPr>
        <w:t xml:space="preserve"> 7451/19</w:t>
      </w:r>
      <w:r w:rsidR="00000000" w:rsidRPr="007E0A76">
        <w:rPr>
          <w:rtl/>
        </w:rPr>
        <w:t xml:space="preserve"> </w:t>
      </w:r>
      <w:r w:rsidR="00000000" w:rsidRPr="007E0A76">
        <w:rPr>
          <w:rFonts w:ascii="Century" w:hAnsi="Century" w:cs="Miriam"/>
          <w:b/>
          <w:spacing w:val="0"/>
          <w:sz w:val="22"/>
          <w:szCs w:val="24"/>
          <w:rtl/>
        </w:rPr>
        <w:t>עזבון המנוח גבריאל אסולין ז"ל נ' דרויש</w:t>
      </w:r>
      <w:r w:rsidR="00000000" w:rsidRPr="007E0A76">
        <w:rPr>
          <w:rtl/>
        </w:rPr>
        <w:t xml:space="preserve">, פסקה 6 לחוות דעתי (12.10.2020); </w:t>
      </w:r>
      <w:r w:rsidR="007E7F5C" w:rsidRPr="007E0A76">
        <w:rPr>
          <w:rFonts w:hint="eastAsia"/>
          <w:rtl/>
        </w:rPr>
        <w:t>ע</w:t>
      </w:r>
      <w:r w:rsidR="007E7F5C" w:rsidRPr="007E0A76">
        <w:rPr>
          <w:rtl/>
        </w:rPr>
        <w:t>"</w:t>
      </w:r>
      <w:r w:rsidR="007E7F5C" w:rsidRPr="007E0A76">
        <w:rPr>
          <w:rFonts w:hint="eastAsia"/>
          <w:rtl/>
        </w:rPr>
        <w:t>א</w:t>
      </w:r>
      <w:r w:rsidR="007E7F5C" w:rsidRPr="007E0A76">
        <w:rPr>
          <w:rtl/>
        </w:rPr>
        <w:t xml:space="preserve"> 8511/18</w:t>
      </w:r>
      <w:r w:rsidR="00000000" w:rsidRPr="007E0A76">
        <w:rPr>
          <w:rtl/>
        </w:rPr>
        <w:t xml:space="preserve"> </w:t>
      </w:r>
      <w:r w:rsidR="00000000" w:rsidRPr="007E0A76">
        <w:rPr>
          <w:rFonts w:ascii="Century" w:hAnsi="Century" w:cs="Miriam"/>
          <w:b/>
          <w:spacing w:val="0"/>
          <w:sz w:val="22"/>
          <w:szCs w:val="24"/>
          <w:rtl/>
        </w:rPr>
        <w:t>פקיד שומה נתניה נ' דלק הונגריה בע"מ</w:t>
      </w:r>
      <w:r w:rsidR="00000000" w:rsidRPr="007E0A76">
        <w:rPr>
          <w:rFonts w:ascii="Century" w:hAnsi="Century"/>
          <w:sz w:val="22"/>
          <w:rtl/>
        </w:rPr>
        <w:t>, פסקאות 28-27</w:t>
      </w:r>
      <w:r w:rsidR="00000000" w:rsidRPr="007E0A76">
        <w:rPr>
          <w:rtl/>
        </w:rPr>
        <w:t xml:space="preserve"> (26.1.2020);</w:t>
      </w:r>
      <w:r w:rsidR="00000000" w:rsidRPr="007E0A76">
        <w:rPr>
          <w:rFonts w:ascii="Century" w:hAnsi="Century"/>
          <w:sz w:val="22"/>
          <w:rtl/>
        </w:rPr>
        <w:t xml:space="preserve"> </w:t>
      </w:r>
      <w:r w:rsidR="007E7F5C" w:rsidRPr="007E0A76">
        <w:rPr>
          <w:rFonts w:ascii="Century" w:hAnsi="Century" w:hint="eastAsia"/>
          <w:sz w:val="22"/>
          <w:rtl/>
        </w:rPr>
        <w:t>דנג</w:t>
      </w:r>
      <w:r w:rsidR="007E7F5C" w:rsidRPr="007E0A76">
        <w:rPr>
          <w:rFonts w:ascii="Century" w:hAnsi="Century"/>
          <w:sz w:val="22"/>
          <w:rtl/>
        </w:rPr>
        <w:t>"</w:t>
      </w:r>
      <w:r w:rsidR="007E7F5C" w:rsidRPr="007E0A76">
        <w:rPr>
          <w:rFonts w:ascii="Century" w:hAnsi="Century" w:hint="eastAsia"/>
          <w:sz w:val="22"/>
          <w:rtl/>
        </w:rPr>
        <w:t>ץ</w:t>
      </w:r>
      <w:r w:rsidR="007E7F5C" w:rsidRPr="007E0A76">
        <w:rPr>
          <w:rFonts w:ascii="Century" w:hAnsi="Century"/>
          <w:sz w:val="22"/>
          <w:rtl/>
        </w:rPr>
        <w:t xml:space="preserve"> 7335/21</w:t>
      </w:r>
      <w:r w:rsidR="00000000" w:rsidRPr="007E0A76">
        <w:rPr>
          <w:rFonts w:ascii="Century" w:hAnsi="Century"/>
          <w:sz w:val="22"/>
          <w:rtl/>
        </w:rPr>
        <w:t xml:space="preserve"> </w:t>
      </w:r>
      <w:r w:rsidR="00000000" w:rsidRPr="007E0A76">
        <w:rPr>
          <w:rFonts w:ascii="Century" w:hAnsi="Century" w:cs="Miriam"/>
          <w:b/>
          <w:spacing w:val="0"/>
          <w:sz w:val="22"/>
          <w:szCs w:val="24"/>
          <w:rtl/>
        </w:rPr>
        <w:t>שרת הפנים נ' מרינצ'בה</w:t>
      </w:r>
      <w:r w:rsidR="00000000" w:rsidRPr="007E0A76">
        <w:rPr>
          <w:rFonts w:ascii="Century" w:hAnsi="Century"/>
          <w:sz w:val="22"/>
          <w:rtl/>
        </w:rPr>
        <w:t>, פסקה 3 לחוות דעתי</w:t>
      </w:r>
      <w:r w:rsidR="00000000">
        <w:rPr>
          <w:rFonts w:ascii="Century" w:hAnsi="Century"/>
          <w:sz w:val="22"/>
          <w:rtl/>
        </w:rPr>
        <w:t xml:space="preserve"> </w:t>
      </w:r>
      <w:r w:rsidR="00000000" w:rsidRPr="007E0A76">
        <w:rPr>
          <w:rFonts w:ascii="Century" w:hAnsi="Century"/>
          <w:sz w:val="22"/>
          <w:rtl/>
        </w:rPr>
        <w:t xml:space="preserve">(13.11.2023); </w:t>
      </w:r>
      <w:r w:rsidR="007E7F5C" w:rsidRPr="007E0A76">
        <w:rPr>
          <w:rFonts w:ascii="Century" w:hAnsi="Century" w:hint="eastAsia"/>
          <w:sz w:val="22"/>
          <w:rtl/>
        </w:rPr>
        <w:t>בג</w:t>
      </w:r>
      <w:r w:rsidR="007E7F5C" w:rsidRPr="007E0A76">
        <w:rPr>
          <w:rFonts w:ascii="Century" w:hAnsi="Century"/>
          <w:sz w:val="22"/>
          <w:rtl/>
        </w:rPr>
        <w:t>"</w:t>
      </w:r>
      <w:r w:rsidR="007E7F5C" w:rsidRPr="007E0A76">
        <w:rPr>
          <w:rFonts w:ascii="Century" w:hAnsi="Century" w:hint="eastAsia"/>
          <w:sz w:val="22"/>
          <w:rtl/>
        </w:rPr>
        <w:t>ץ</w:t>
      </w:r>
      <w:r w:rsidR="007E7F5C" w:rsidRPr="007E0A76">
        <w:rPr>
          <w:rFonts w:ascii="Century" w:hAnsi="Century"/>
          <w:sz w:val="22"/>
          <w:rtl/>
        </w:rPr>
        <w:t xml:space="preserve"> 7194/21</w:t>
      </w:r>
      <w:r w:rsidR="00000000" w:rsidRPr="007E0A76">
        <w:rPr>
          <w:rFonts w:ascii="Century" w:hAnsi="Century"/>
          <w:sz w:val="22"/>
          <w:rtl/>
        </w:rPr>
        <w:t xml:space="preserve"> </w:t>
      </w:r>
      <w:r w:rsidR="00000000" w:rsidRPr="007E0A76">
        <w:rPr>
          <w:rFonts w:ascii="Century" w:hAnsi="Century" w:cs="Miriam"/>
          <w:b/>
          <w:spacing w:val="0"/>
          <w:sz w:val="22"/>
          <w:szCs w:val="24"/>
          <w:rtl/>
        </w:rPr>
        <w:t>עו"ד אריאל סיבוני נ' הוועדה הציבורית לגיבוש רשימת נאמנים-יחידים</w:t>
      </w:r>
      <w:r w:rsidR="00000000" w:rsidRPr="007E0A76">
        <w:rPr>
          <w:rFonts w:ascii="Century" w:hAnsi="Century"/>
          <w:sz w:val="22"/>
          <w:rtl/>
        </w:rPr>
        <w:t xml:space="preserve">, פסקה 10 (23.1.2022); וראו על ההבחנה בין תכלית אובייקטיבית לתכלית סובייקטיבית: </w:t>
      </w:r>
      <w:r w:rsidR="007E7F5C" w:rsidRPr="007E0A76">
        <w:rPr>
          <w:rFonts w:ascii="Century" w:hAnsi="Century" w:hint="eastAsia"/>
          <w:sz w:val="22"/>
          <w:rtl/>
        </w:rPr>
        <w:t>בג</w:t>
      </w:r>
      <w:r w:rsidR="007E7F5C" w:rsidRPr="007E0A76">
        <w:rPr>
          <w:rFonts w:ascii="Century" w:hAnsi="Century"/>
          <w:sz w:val="22"/>
          <w:rtl/>
        </w:rPr>
        <w:t>"</w:t>
      </w:r>
      <w:r w:rsidR="007E7F5C" w:rsidRPr="007E0A76">
        <w:rPr>
          <w:rFonts w:ascii="Century" w:hAnsi="Century" w:hint="eastAsia"/>
          <w:sz w:val="22"/>
          <w:rtl/>
        </w:rPr>
        <w:t>ץ</w:t>
      </w:r>
      <w:r w:rsidR="007E7F5C" w:rsidRPr="007E0A76">
        <w:rPr>
          <w:rFonts w:ascii="Century" w:hAnsi="Century"/>
          <w:sz w:val="22"/>
          <w:rtl/>
        </w:rPr>
        <w:t xml:space="preserve"> 5158/21</w:t>
      </w:r>
      <w:r w:rsidR="00000000" w:rsidRPr="007E0A76">
        <w:rPr>
          <w:rFonts w:ascii="Century" w:hAnsi="Century"/>
          <w:sz w:val="22"/>
          <w:rtl/>
        </w:rPr>
        <w:t xml:space="preserve"> </w:t>
      </w:r>
      <w:r w:rsidR="00000000" w:rsidRPr="007E0A76">
        <w:rPr>
          <w:rFonts w:ascii="Century" w:hAnsi="Century" w:cs="Miriam"/>
          <w:b/>
          <w:spacing w:val="0"/>
          <w:sz w:val="22"/>
          <w:szCs w:val="24"/>
          <w:rtl/>
        </w:rPr>
        <w:t>גורטלר נ' שר הרווחה</w:t>
      </w:r>
      <w:r w:rsidR="00000000" w:rsidRPr="007E0A76">
        <w:rPr>
          <w:rFonts w:ascii="Century" w:hAnsi="Century"/>
          <w:sz w:val="22"/>
          <w:rtl/>
        </w:rPr>
        <w:t>, פסקה 19 (28.12.2023)). במסגרת זו של התחקות אחר תכלית החוק, ניתן להיעזר, בין היתר, בהשוואה להוראות אחרות באותו דבר חקיקה ואף מחוצה לו (</w:t>
      </w:r>
      <w:r w:rsidR="007E7F5C" w:rsidRPr="007E0A76">
        <w:rPr>
          <w:rFonts w:ascii="Century" w:hAnsi="Century" w:hint="eastAsia"/>
          <w:sz w:val="22"/>
          <w:rtl/>
        </w:rPr>
        <w:t>ע</w:t>
      </w:r>
      <w:r w:rsidR="007E7F5C" w:rsidRPr="007E0A76">
        <w:rPr>
          <w:rFonts w:ascii="Century" w:hAnsi="Century"/>
          <w:sz w:val="22"/>
          <w:rtl/>
        </w:rPr>
        <w:t>"</w:t>
      </w:r>
      <w:r w:rsidR="007E7F5C" w:rsidRPr="007E0A76">
        <w:rPr>
          <w:rFonts w:ascii="Century" w:hAnsi="Century" w:hint="eastAsia"/>
          <w:sz w:val="22"/>
          <w:rtl/>
        </w:rPr>
        <w:t>א</w:t>
      </w:r>
      <w:r w:rsidR="007E7F5C" w:rsidRPr="007E0A76">
        <w:rPr>
          <w:rFonts w:ascii="Century" w:hAnsi="Century"/>
          <w:sz w:val="22"/>
          <w:rtl/>
        </w:rPr>
        <w:t xml:space="preserve"> 8958/07</w:t>
      </w:r>
      <w:r w:rsidR="00000000" w:rsidRPr="007E0A76">
        <w:rPr>
          <w:rFonts w:ascii="Century" w:hAnsi="Century"/>
          <w:sz w:val="22"/>
          <w:rtl/>
        </w:rPr>
        <w:t xml:space="preserve"> </w:t>
      </w:r>
      <w:r w:rsidR="00000000" w:rsidRPr="007E0A76">
        <w:rPr>
          <w:rFonts w:ascii="Century" w:hAnsi="Century" w:cs="Miriam"/>
          <w:b/>
          <w:spacing w:val="0"/>
          <w:sz w:val="22"/>
          <w:szCs w:val="24"/>
          <w:rtl/>
        </w:rPr>
        <w:t>פקיד שומה תל אביב-יפו 5 נ' שבטון</w:t>
      </w:r>
      <w:r w:rsidR="00000000" w:rsidRPr="007E0A76">
        <w:rPr>
          <w:rFonts w:ascii="Century" w:hAnsi="Century"/>
          <w:sz w:val="22"/>
          <w:rtl/>
        </w:rPr>
        <w:t xml:space="preserve">, פסקה 25 (18.8.2011); </w:t>
      </w:r>
      <w:r w:rsidR="007E7F5C" w:rsidRPr="007E0A76">
        <w:rPr>
          <w:rFonts w:ascii="Century" w:hAnsi="Century" w:hint="eastAsia"/>
          <w:sz w:val="22"/>
          <w:rtl/>
        </w:rPr>
        <w:t>ע</w:t>
      </w:r>
      <w:r w:rsidR="007E7F5C" w:rsidRPr="007E0A76">
        <w:rPr>
          <w:rFonts w:ascii="Century" w:hAnsi="Century"/>
          <w:sz w:val="22"/>
          <w:rtl/>
        </w:rPr>
        <w:t>"</w:t>
      </w:r>
      <w:r w:rsidR="007E7F5C" w:rsidRPr="007E0A76">
        <w:rPr>
          <w:rFonts w:ascii="Century" w:hAnsi="Century" w:hint="eastAsia"/>
          <w:sz w:val="22"/>
          <w:rtl/>
        </w:rPr>
        <w:t>פ</w:t>
      </w:r>
      <w:r w:rsidR="007E7F5C" w:rsidRPr="007E0A76">
        <w:rPr>
          <w:rFonts w:ascii="Century" w:hAnsi="Century"/>
          <w:sz w:val="22"/>
          <w:rtl/>
        </w:rPr>
        <w:t xml:space="preserve"> 3870/20</w:t>
      </w:r>
      <w:r w:rsidR="00000000" w:rsidRPr="007E0A76">
        <w:rPr>
          <w:rFonts w:ascii="Century" w:hAnsi="Century"/>
          <w:sz w:val="22"/>
          <w:rtl/>
        </w:rPr>
        <w:t xml:space="preserve"> </w:t>
      </w:r>
      <w:r w:rsidR="00000000" w:rsidRPr="007E0A76">
        <w:rPr>
          <w:rFonts w:ascii="Century" w:hAnsi="Century" w:cs="Miriam"/>
          <w:b/>
          <w:spacing w:val="0"/>
          <w:sz w:val="22"/>
          <w:szCs w:val="24"/>
          <w:rtl/>
        </w:rPr>
        <w:t>דברה נ' מדינת ישראל</w:t>
      </w:r>
      <w:r w:rsidR="00000000" w:rsidRPr="007E0A76">
        <w:rPr>
          <w:rFonts w:ascii="Century" w:hAnsi="Century"/>
          <w:sz w:val="22"/>
          <w:rtl/>
        </w:rPr>
        <w:t xml:space="preserve">, פסקאות 14-13 (29.7.2021); </w:t>
      </w:r>
      <w:r w:rsidR="007E7F5C" w:rsidRPr="007E0A76">
        <w:rPr>
          <w:rFonts w:ascii="Century" w:hAnsi="Century" w:hint="eastAsia"/>
          <w:sz w:val="22"/>
          <w:rtl/>
        </w:rPr>
        <w:t>ע</w:t>
      </w:r>
      <w:r w:rsidR="007E7F5C" w:rsidRPr="007E0A76">
        <w:rPr>
          <w:rFonts w:ascii="Century" w:hAnsi="Century"/>
          <w:sz w:val="22"/>
          <w:rtl/>
        </w:rPr>
        <w:t>"</w:t>
      </w:r>
      <w:r w:rsidR="007E7F5C" w:rsidRPr="007E0A76">
        <w:rPr>
          <w:rFonts w:ascii="Century" w:hAnsi="Century" w:hint="eastAsia"/>
          <w:sz w:val="22"/>
          <w:rtl/>
        </w:rPr>
        <w:t>א</w:t>
      </w:r>
      <w:r w:rsidR="007E7F5C" w:rsidRPr="007E0A76">
        <w:rPr>
          <w:rFonts w:ascii="Century" w:hAnsi="Century"/>
          <w:sz w:val="22"/>
          <w:rtl/>
        </w:rPr>
        <w:t xml:space="preserve"> 9817/17</w:t>
      </w:r>
      <w:r w:rsidR="00000000" w:rsidRPr="007E0A76">
        <w:rPr>
          <w:rFonts w:ascii="Century" w:hAnsi="Century"/>
          <w:sz w:val="22"/>
          <w:rtl/>
        </w:rPr>
        <w:t xml:space="preserve"> </w:t>
      </w:r>
      <w:r w:rsidR="00000000" w:rsidRPr="007E0A76">
        <w:rPr>
          <w:rFonts w:ascii="Century" w:hAnsi="Century" w:cs="Miriam"/>
          <w:b/>
          <w:spacing w:val="0"/>
          <w:sz w:val="22"/>
          <w:szCs w:val="24"/>
          <w:rtl/>
        </w:rPr>
        <w:t>מנהל מיסוי מקרקעין נ' רייך</w:t>
      </w:r>
      <w:r w:rsidR="00000000" w:rsidRPr="007E0A76">
        <w:rPr>
          <w:rFonts w:ascii="Century" w:hAnsi="Century"/>
          <w:sz w:val="22"/>
          <w:rtl/>
        </w:rPr>
        <w:t>, חוות דעתי, וכן פסקה 16</w:t>
      </w:r>
      <w:r w:rsidR="00000000">
        <w:rPr>
          <w:rFonts w:ascii="Century" w:hAnsi="Century"/>
          <w:sz w:val="22"/>
          <w:rtl/>
        </w:rPr>
        <w:t xml:space="preserve"> לחוות דעתו של השופט </w:t>
      </w:r>
      <w:r w:rsidR="00000000">
        <w:rPr>
          <w:rFonts w:ascii="Century" w:hAnsi="Century" w:cs="Miriam"/>
          <w:b/>
          <w:spacing w:val="0"/>
          <w:sz w:val="22"/>
          <w:szCs w:val="24"/>
          <w:rtl/>
        </w:rPr>
        <w:t>ח' מלצר</w:t>
      </w:r>
      <w:r w:rsidR="00000000">
        <w:rPr>
          <w:rFonts w:ascii="Century" w:hAnsi="Century"/>
          <w:sz w:val="22"/>
          <w:rtl/>
        </w:rPr>
        <w:t xml:space="preserve"> (21.2.2021)). </w:t>
      </w:r>
    </w:p>
    <w:p w14:paraId="0E7E287A" w14:textId="77777777" w:rsidR="0083513E" w:rsidRDefault="0083513E" w:rsidP="0083513E">
      <w:pPr>
        <w:pStyle w:val="Ruller41"/>
        <w:rPr>
          <w:rtl/>
        </w:rPr>
      </w:pPr>
    </w:p>
    <w:p w14:paraId="18E398C7" w14:textId="77777777" w:rsidR="0083513E" w:rsidRDefault="00000000" w:rsidP="0083513E">
      <w:pPr>
        <w:pStyle w:val="Ruller4"/>
        <w:rPr>
          <w:rFonts w:ascii="Century" w:hAnsi="Century"/>
          <w:sz w:val="22"/>
        </w:rPr>
      </w:pPr>
      <w:r>
        <w:rPr>
          <w:rFonts w:ascii="Century" w:hAnsi="Century"/>
          <w:sz w:val="22"/>
          <w:rtl/>
        </w:rPr>
        <w:t xml:space="preserve">אם נביט אפוא בהוראות החוק בעניין קביעת התשלומים בעת מתן צו לשיקום כלכלי (לעומת צו לפתיחת הליכים), נגלה כי שם כן ניתנה הדעת לכושר ההשתכרות של החייב. </w:t>
      </w:r>
    </w:p>
    <w:p w14:paraId="6E68D691" w14:textId="77777777" w:rsidR="0083513E" w:rsidRDefault="0083513E" w:rsidP="0083513E">
      <w:pPr>
        <w:pStyle w:val="Ruller41"/>
        <w:rPr>
          <w:rtl/>
        </w:rPr>
      </w:pPr>
    </w:p>
    <w:p w14:paraId="46FC756E" w14:textId="568505C0" w:rsidR="0083513E" w:rsidRDefault="00000000" w:rsidP="0083513E">
      <w:pPr>
        <w:pStyle w:val="Ruller4"/>
        <w:numPr>
          <w:ilvl w:val="0"/>
          <w:numId w:val="0"/>
        </w:numPr>
        <w:rPr>
          <w:rFonts w:ascii="Century" w:hAnsi="Century"/>
          <w:sz w:val="22"/>
        </w:rPr>
      </w:pPr>
      <w:r>
        <w:rPr>
          <w:rFonts w:ascii="Century" w:hAnsi="Century"/>
          <w:sz w:val="22"/>
          <w:rtl/>
        </w:rPr>
        <w:tab/>
        <w:t xml:space="preserve">וכך מורים </w:t>
      </w:r>
      <w:r w:rsidR="003B5F93" w:rsidRPr="007E0A76">
        <w:rPr>
          <w:rFonts w:ascii="Century" w:hAnsi="Century" w:hint="eastAsia"/>
          <w:sz w:val="22"/>
          <w:rtl/>
        </w:rPr>
        <w:t>סעיפים</w:t>
      </w:r>
      <w:r w:rsidR="003B5F93" w:rsidRPr="007E0A76">
        <w:rPr>
          <w:rFonts w:ascii="Century" w:hAnsi="Century"/>
          <w:sz w:val="22"/>
          <w:rtl/>
        </w:rPr>
        <w:t xml:space="preserve"> 160</w:t>
      </w:r>
      <w:r>
        <w:rPr>
          <w:rFonts w:ascii="Century" w:hAnsi="Century"/>
          <w:sz w:val="22"/>
          <w:rtl/>
        </w:rPr>
        <w:t xml:space="preserve"> ו-</w:t>
      </w:r>
      <w:r w:rsidR="003B5F93" w:rsidRPr="007E0A76">
        <w:rPr>
          <w:rFonts w:ascii="Century" w:hAnsi="Century"/>
          <w:sz w:val="22"/>
          <w:rtl/>
        </w:rPr>
        <w:t>162</w:t>
      </w:r>
      <w:r>
        <w:rPr>
          <w:rFonts w:ascii="Century" w:hAnsi="Century"/>
          <w:sz w:val="22"/>
          <w:rtl/>
        </w:rPr>
        <w:t xml:space="preserve"> לחוק (בסעיפי המשנה הרלוונטיים לענייננו): </w:t>
      </w:r>
    </w:p>
    <w:p w14:paraId="5E31E76F" w14:textId="77777777" w:rsidR="0083513E" w:rsidRDefault="0083513E" w:rsidP="0083513E">
      <w:pPr>
        <w:pStyle w:val="Ruller41"/>
        <w:rPr>
          <w:rtl/>
        </w:rPr>
      </w:pPr>
    </w:p>
    <w:p w14:paraId="3B886B6F" w14:textId="77777777" w:rsidR="0083513E" w:rsidRDefault="00000000" w:rsidP="0083513E">
      <w:pPr>
        <w:pStyle w:val="Ruller50"/>
        <w:rPr>
          <w:rtl/>
        </w:rPr>
      </w:pPr>
      <w:r>
        <w:rPr>
          <w:rtl/>
        </w:rPr>
        <w:t>160. "כושר השתכרות", של היחיד – כושר השתכרותו של היחיד מעבודה ומכל מקור אחר, המחושב על בסיס כללים שקבע השר לפי סעיף 162(ב) והתאמתו לנסיבותיו האישיות של היחיד;</w:t>
      </w:r>
    </w:p>
    <w:p w14:paraId="7B8E608E" w14:textId="77777777" w:rsidR="0083513E" w:rsidRDefault="0083513E" w:rsidP="0083513E">
      <w:pPr>
        <w:pStyle w:val="Ruller41"/>
        <w:rPr>
          <w:rtl/>
        </w:rPr>
      </w:pPr>
    </w:p>
    <w:p w14:paraId="201B229F" w14:textId="77777777" w:rsidR="0083513E" w:rsidRDefault="00000000" w:rsidP="0083513E">
      <w:pPr>
        <w:pStyle w:val="Ruller50"/>
        <w:rPr>
          <w:rtl/>
        </w:rPr>
      </w:pPr>
      <w:r>
        <w:rPr>
          <w:rtl/>
        </w:rPr>
        <w:t>162. (א) בית המשפט יטיל על היחיד חובת תשלומים לקופת הנשייה, לפי הוראות אלה:</w:t>
      </w:r>
    </w:p>
    <w:p w14:paraId="4C0BEB21" w14:textId="77777777" w:rsidR="0083513E" w:rsidRDefault="0083513E" w:rsidP="0083513E">
      <w:pPr>
        <w:pStyle w:val="Ruller50"/>
      </w:pPr>
    </w:p>
    <w:p w14:paraId="004821C4" w14:textId="77777777" w:rsidR="0083513E" w:rsidRDefault="00000000" w:rsidP="0083513E">
      <w:pPr>
        <w:pStyle w:val="Ruller50"/>
        <w:ind w:left="2160"/>
        <w:rPr>
          <w:rtl/>
        </w:rPr>
      </w:pPr>
      <w:r>
        <w:rPr>
          <w:rtl/>
        </w:rPr>
        <w:t>(1) גובה התשלומים ייקבע על בסיס כושר ההשתכרות של היחיד לאחר שהופחתו ממנו דמי המחיה;</w:t>
      </w:r>
    </w:p>
    <w:p w14:paraId="6A440855" w14:textId="77777777" w:rsidR="0083513E" w:rsidRDefault="00000000" w:rsidP="0083513E">
      <w:pPr>
        <w:pStyle w:val="Ruller50"/>
        <w:ind w:firstLine="516"/>
        <w:rPr>
          <w:rtl/>
        </w:rPr>
      </w:pPr>
      <w:r>
        <w:rPr>
          <w:rtl/>
        </w:rPr>
        <w:t>(2) [...].</w:t>
      </w:r>
    </w:p>
    <w:p w14:paraId="4F00A48F" w14:textId="77777777" w:rsidR="0083513E" w:rsidRDefault="00000000" w:rsidP="0083513E">
      <w:pPr>
        <w:pStyle w:val="Ruller50"/>
        <w:ind w:left="2160"/>
      </w:pPr>
      <w:r>
        <w:rPr>
          <w:rtl/>
        </w:rPr>
        <w:t>(3) [...].</w:t>
      </w:r>
    </w:p>
    <w:p w14:paraId="66B5D797" w14:textId="77777777" w:rsidR="0083513E" w:rsidRDefault="0083513E" w:rsidP="0083513E">
      <w:pPr>
        <w:pStyle w:val="Ruller50"/>
      </w:pPr>
    </w:p>
    <w:p w14:paraId="691CAD4B" w14:textId="77777777" w:rsidR="0083513E" w:rsidRDefault="00000000" w:rsidP="0083513E">
      <w:pPr>
        <w:pStyle w:val="Ruller50"/>
      </w:pPr>
      <w:r>
        <w:rPr>
          <w:rtl/>
        </w:rPr>
        <w:t>(ב) השר, באישור ועדת החוקה, יקבע הוראות לעניין –</w:t>
      </w:r>
    </w:p>
    <w:p w14:paraId="0C31169A" w14:textId="77777777" w:rsidR="0083513E" w:rsidRDefault="00000000" w:rsidP="0083513E">
      <w:pPr>
        <w:pStyle w:val="Ruller50"/>
        <w:ind w:left="2160"/>
      </w:pPr>
      <w:r>
        <w:rPr>
          <w:rtl/>
        </w:rPr>
        <w:t>(1) דרך חישוב דמי המחיה (בחלק זה – כללי המחיה בכבוד);</w:t>
      </w:r>
    </w:p>
    <w:p w14:paraId="523CCB31" w14:textId="77777777" w:rsidR="0083513E" w:rsidRDefault="00000000" w:rsidP="0083513E">
      <w:pPr>
        <w:pStyle w:val="Ruller50"/>
        <w:ind w:firstLine="516"/>
      </w:pPr>
      <w:r>
        <w:rPr>
          <w:rtl/>
        </w:rPr>
        <w:t>(2) דרך חישוב כושר השתכרותו של היחיד.</w:t>
      </w:r>
    </w:p>
    <w:p w14:paraId="014BE7F4" w14:textId="77777777" w:rsidR="0083513E" w:rsidRPr="007E7F5C" w:rsidRDefault="007E7F5C" w:rsidP="0083513E">
      <w:pPr>
        <w:pStyle w:val="Ruller41"/>
        <w:rPr>
          <w:color w:val="FFFFFF"/>
          <w:sz w:val="2"/>
          <w:szCs w:val="2"/>
        </w:rPr>
      </w:pPr>
      <w:r w:rsidRPr="007E7F5C">
        <w:rPr>
          <w:color w:val="FFFFFF"/>
          <w:sz w:val="2"/>
          <w:szCs w:val="2"/>
          <w:rtl/>
        </w:rPr>
        <w:t>051293710</w:t>
      </w:r>
    </w:p>
    <w:p w14:paraId="580E2440" w14:textId="77777777" w:rsidR="0083513E" w:rsidRDefault="007E7F5C" w:rsidP="0083513E">
      <w:pPr>
        <w:pStyle w:val="Ruller41"/>
        <w:rPr>
          <w:rtl/>
        </w:rPr>
      </w:pPr>
      <w:r w:rsidRPr="007E7F5C">
        <w:rPr>
          <w:color w:val="FFFFFF"/>
          <w:sz w:val="2"/>
          <w:szCs w:val="2"/>
          <w:rtl/>
        </w:rPr>
        <w:t>054678313</w:t>
      </w:r>
      <w:r w:rsidR="00000000">
        <w:rPr>
          <w:rtl/>
        </w:rPr>
        <w:tab/>
        <w:t xml:space="preserve">היינו, כאשר בית המשפט קובע לחייב את גובה התשלום החודשי שעליו לשאת במסגרת צו השיקום, עליו לקחת בחשבון את </w:t>
      </w:r>
      <w:r w:rsidR="00000000">
        <w:rPr>
          <w:rFonts w:ascii="Century" w:hAnsi="Century" w:cs="Miriam"/>
          <w:b/>
          <w:spacing w:val="0"/>
          <w:szCs w:val="24"/>
          <w:rtl/>
        </w:rPr>
        <w:t>כושר השתכרותו</w:t>
      </w:r>
      <w:r w:rsidR="00000000">
        <w:rPr>
          <w:rtl/>
        </w:rPr>
        <w:t xml:space="preserve">. לעומת זאת, כאמור, כאשר ניתן צו לפתיחת הליכים, על הממונה לקחת בחשבון את </w:t>
      </w:r>
      <w:r w:rsidR="00000000">
        <w:rPr>
          <w:rFonts w:ascii="Century" w:hAnsi="Century" w:cs="Miriam"/>
          <w:b/>
          <w:spacing w:val="0"/>
          <w:szCs w:val="24"/>
          <w:rtl/>
        </w:rPr>
        <w:t>הכנסתו מעבודה</w:t>
      </w:r>
      <w:r w:rsidR="00000000">
        <w:rPr>
          <w:rtl/>
        </w:rPr>
        <w:t xml:space="preserve">. מכאן לכאורה ניתן, כפי שמבקשת המערערת לעשות, ללמוד מכלל ההן את הלאו. לאמור, שבעת מתן צו לפתיחת הליכים אין להתחשב בכושר ההשתכרות של החייב כי אם רק בהכנסתו בפועל. יש גם טעם בכך. כפי שהצביעה המערערת, בעוד שעם מתן הצו לפתיחת הליכים המידע המצוי בידי הממונה מצומצם ובאותו שלב לכאורה יקשה עליו מאוד להעריך את כושר ההשתכרות של החייב, מתן צו השיקום ניתן לאחר תקופה בה מקבלים הממונה ובית המשפט המעניק את הצו, תמונה רחבת היקף על אודות החייב – מקור יצירת חובותיו, שיעור החובות, נכסיו, השתכרותו בפועל, יכולותיו וכושר השתכרותו. על כן, ניתן לסבור כי רק באותו שלב יש לקחת בחשבון את פוטנציאל ההשתכרות של החייב, ועד אז יש להסתפק אך ורק בשכרו בפועל (וראו: עודד מאור ואסף דגני </w:t>
      </w:r>
      <w:r w:rsidR="00000000">
        <w:rPr>
          <w:rFonts w:ascii="Century" w:hAnsi="Century" w:cs="Miriam"/>
          <w:b/>
          <w:spacing w:val="0"/>
          <w:szCs w:val="24"/>
          <w:rtl/>
        </w:rPr>
        <w:t xml:space="preserve">הפטר </w:t>
      </w:r>
      <w:r w:rsidR="00000000">
        <w:rPr>
          <w:rtl/>
        </w:rPr>
        <w:t>כרך א 185, 190 (2019)).</w:t>
      </w:r>
    </w:p>
    <w:p w14:paraId="31919653" w14:textId="77777777" w:rsidR="0083513E" w:rsidRDefault="0083513E" w:rsidP="0083513E">
      <w:pPr>
        <w:pStyle w:val="Ruller41"/>
        <w:rPr>
          <w:rtl/>
        </w:rPr>
      </w:pPr>
    </w:p>
    <w:p w14:paraId="3940C2BF" w14:textId="77777777" w:rsidR="0083513E" w:rsidRDefault="00000000" w:rsidP="0083513E">
      <w:pPr>
        <w:pStyle w:val="Ruller4"/>
        <w:rPr>
          <w:rtl/>
        </w:rPr>
      </w:pPr>
      <w:r>
        <w:rPr>
          <w:rtl/>
        </w:rPr>
        <w:t xml:space="preserve">עם זאת, כפי שהצביע הממונה בטיעוניו, כוונת המחוקק למנוע את בחינת מיצוי כושר ההשתכרות של החייב כבר בראשית ההליך איננה שוללת את האפשרות להביא בחשבון במסגרת קביעת צו התשלומים לתקופת הביניים, נתונים הנוגעים לכישוריו ולהשתכרותו של החייב העולים כבר מהבקשה למתן צו לפתיחת הליכים. אדרבה, מקום שבו מתגלים כבר בשלב מוקדם נתונים המלמדים כי החייב אינו עומד בציפייה הבסיסית ולוּ המינימלית ממנו באותו שלב, כמי שמבקש ליהנות מהגנות ההליך, הממונה רשאי ואף צריך להביאם בחשבון במסגרת קביעת צו התשלומים לתקופת הביניים. מסקנה זו מתחייבת מאחד מהעקרונות הבסיסיים של דיני חדלות הפירעון, הפורש את כנפיו על כל שלבי הליך חדלות הפירעון של החייב, והוא חובתו לנהוג בתום לב. </w:t>
      </w:r>
    </w:p>
    <w:p w14:paraId="047BF601" w14:textId="77777777" w:rsidR="0083513E" w:rsidRDefault="0083513E" w:rsidP="0083513E">
      <w:pPr>
        <w:pStyle w:val="Ruller41"/>
        <w:rPr>
          <w:rtl/>
        </w:rPr>
      </w:pPr>
    </w:p>
    <w:p w14:paraId="229924F6" w14:textId="10BFD728" w:rsidR="0083513E" w:rsidRDefault="00000000" w:rsidP="0083513E">
      <w:pPr>
        <w:pStyle w:val="Ruller4"/>
        <w:rPr>
          <w:rtl/>
        </w:rPr>
      </w:pPr>
      <w:r w:rsidRPr="007E0A76">
        <w:rPr>
          <w:rtl/>
        </w:rPr>
        <w:t xml:space="preserve">כפי שאמרתי זה מכבר, בין היתר במסגרת </w:t>
      </w:r>
      <w:r w:rsidR="007E7F5C" w:rsidRPr="007E0A76">
        <w:rPr>
          <w:rFonts w:hint="eastAsia"/>
          <w:rtl/>
        </w:rPr>
        <w:t>רע</w:t>
      </w:r>
      <w:r w:rsidR="007E7F5C" w:rsidRPr="007E0A76">
        <w:rPr>
          <w:rtl/>
        </w:rPr>
        <w:t>"</w:t>
      </w:r>
      <w:r w:rsidR="007E7F5C" w:rsidRPr="007E0A76">
        <w:rPr>
          <w:rFonts w:hint="eastAsia"/>
          <w:rtl/>
        </w:rPr>
        <w:t>א</w:t>
      </w:r>
      <w:r w:rsidR="007E7F5C" w:rsidRPr="007E0A76">
        <w:rPr>
          <w:rtl/>
        </w:rPr>
        <w:t xml:space="preserve"> 663/21</w:t>
      </w:r>
      <w:r w:rsidRPr="007E0A76">
        <w:rPr>
          <w:rtl/>
        </w:rPr>
        <w:t xml:space="preserve"> </w:t>
      </w:r>
      <w:r w:rsidRPr="007E0A76">
        <w:rPr>
          <w:rFonts w:ascii="Century" w:hAnsi="Century" w:cs="Miriam"/>
          <w:b/>
          <w:spacing w:val="0"/>
          <w:szCs w:val="24"/>
          <w:rtl/>
        </w:rPr>
        <w:t>מנאר נ' הממונה על</w:t>
      </w:r>
      <w:r>
        <w:rPr>
          <w:rFonts w:ascii="Century" w:hAnsi="Century" w:cs="Miriam"/>
          <w:b/>
          <w:spacing w:val="0"/>
          <w:szCs w:val="24"/>
          <w:rtl/>
        </w:rPr>
        <w:t xml:space="preserve"> חדלות פירעון – מחלקת ערעורים</w:t>
      </w:r>
      <w:r>
        <w:rPr>
          <w:rtl/>
        </w:rPr>
        <w:t xml:space="preserve"> (20.6.2021):</w:t>
      </w:r>
    </w:p>
    <w:p w14:paraId="682BA55E" w14:textId="77777777" w:rsidR="0083513E" w:rsidRDefault="0083513E" w:rsidP="0083513E">
      <w:pPr>
        <w:pStyle w:val="Ruller41"/>
        <w:rPr>
          <w:rtl/>
        </w:rPr>
      </w:pPr>
    </w:p>
    <w:p w14:paraId="6D73E33C" w14:textId="62563B12" w:rsidR="0083513E" w:rsidRDefault="00000000" w:rsidP="0083513E">
      <w:pPr>
        <w:pStyle w:val="Ruller50"/>
        <w:rPr>
          <w:rtl/>
        </w:rPr>
      </w:pPr>
      <w:r>
        <w:rPr>
          <w:rtl/>
        </w:rPr>
        <w:t xml:space="preserve">"נקודת המוצא העומדת בבסיס הדיון היא כי הליך חדלות פירעון גם על פי החוק ולא רק על פי הפקודה </w:t>
      </w:r>
      <w:r w:rsidRPr="007E0A76">
        <w:rPr>
          <w:rtl/>
        </w:rPr>
        <w:t>הוא הליך של 'חסד המחוקק' (</w:t>
      </w:r>
      <w:r w:rsidR="007E7F5C" w:rsidRPr="007E0A76">
        <w:rPr>
          <w:rtl/>
        </w:rPr>
        <w:t>ע"א 7113/06</w:t>
      </w:r>
      <w:r w:rsidRPr="007E0A76">
        <w:rPr>
          <w:rtl/>
        </w:rPr>
        <w:t xml:space="preserve"> </w:t>
      </w:r>
      <w:r w:rsidRPr="007E0A76">
        <w:rPr>
          <w:rFonts w:ascii="Century" w:hAnsi="Century" w:cs="Miriam"/>
          <w:b/>
          <w:spacing w:val="0"/>
          <w:szCs w:val="24"/>
          <w:rtl/>
        </w:rPr>
        <w:t>ג'נח נ' כונס הנכסים הרשמי</w:t>
      </w:r>
      <w:r w:rsidRPr="007E0A76">
        <w:rPr>
          <w:rtl/>
        </w:rPr>
        <w:t xml:space="preserve"> (10.11.2008); </w:t>
      </w:r>
      <w:r w:rsidR="007E7F5C" w:rsidRPr="007E0A76">
        <w:rPr>
          <w:rtl/>
        </w:rPr>
        <w:t>ע"א 7375/18</w:t>
      </w:r>
      <w:r w:rsidRPr="007E0A76">
        <w:rPr>
          <w:rtl/>
        </w:rPr>
        <w:t xml:space="preserve"> </w:t>
      </w:r>
      <w:r w:rsidRPr="007E0A76">
        <w:rPr>
          <w:rFonts w:ascii="Century" w:hAnsi="Century" w:cs="Miriam"/>
          <w:b/>
          <w:spacing w:val="0"/>
          <w:szCs w:val="24"/>
          <w:rtl/>
        </w:rPr>
        <w:t>גל נ' המנהל המיוחד</w:t>
      </w:r>
      <w:r w:rsidRPr="007E0A76">
        <w:rPr>
          <w:rtl/>
        </w:rPr>
        <w:t xml:space="preserve">, פסקה 9 (2.10.2019); </w:t>
      </w:r>
      <w:r w:rsidR="007E7F5C" w:rsidRPr="007E0A76">
        <w:rPr>
          <w:rtl/>
        </w:rPr>
        <w:t>ע"א 1193/21</w:t>
      </w:r>
      <w:r w:rsidRPr="007E0A76">
        <w:rPr>
          <w:rtl/>
        </w:rPr>
        <w:t xml:space="preserve"> </w:t>
      </w:r>
      <w:r w:rsidRPr="007E0A76">
        <w:rPr>
          <w:rFonts w:ascii="Century" w:hAnsi="Century" w:cs="Miriam"/>
          <w:b/>
          <w:spacing w:val="0"/>
          <w:szCs w:val="24"/>
          <w:rtl/>
        </w:rPr>
        <w:t>רחמני נ' כונס הנכסים הרשמי</w:t>
      </w:r>
      <w:r w:rsidRPr="007E0A76">
        <w:rPr>
          <w:rtl/>
        </w:rPr>
        <w:t>, פסקה 4 (3.5.2021)). זאת בשל ההזדמנות הניתנת לחייב להיחלץ ממצבו ולהשתקם מבחינה כלכלית. אולם, היד המושטת לחייב במסגרת הליך פשיטת רגל מלווה בדרישה להתנהגות בתום לב מצדו, שאם לא כן, הפגיעה הגלומה בנושים במסגרת ההליך תיתפס כבלתי מוצדקת (</w:t>
      </w:r>
      <w:r w:rsidR="007E7F5C" w:rsidRPr="007E0A76">
        <w:rPr>
          <w:rtl/>
        </w:rPr>
        <w:t>רע"א 2282/03</w:t>
      </w:r>
      <w:r w:rsidRPr="007E0A76">
        <w:rPr>
          <w:rtl/>
        </w:rPr>
        <w:t xml:space="preserve"> </w:t>
      </w:r>
      <w:r w:rsidRPr="007E0A76">
        <w:rPr>
          <w:rFonts w:ascii="Century" w:hAnsi="Century" w:cs="Miriam"/>
          <w:b/>
          <w:spacing w:val="0"/>
          <w:szCs w:val="24"/>
          <w:rtl/>
        </w:rPr>
        <w:t>גרינברגר נ' כונס הנכסים הרשמי</w:t>
      </w:r>
      <w:r w:rsidRPr="007E0A76">
        <w:rPr>
          <w:rtl/>
        </w:rPr>
        <w:t xml:space="preserve">, פ"ד נח(2) 810, 814 (2004); </w:t>
      </w:r>
      <w:r w:rsidR="007E7F5C" w:rsidRPr="007E0A76">
        <w:rPr>
          <w:rtl/>
        </w:rPr>
        <w:t>רע"א 962/20</w:t>
      </w:r>
      <w:r w:rsidRPr="007E0A76">
        <w:rPr>
          <w:rtl/>
        </w:rPr>
        <w:t xml:space="preserve"> </w:t>
      </w:r>
      <w:r w:rsidRPr="007E0A76">
        <w:rPr>
          <w:rFonts w:ascii="Century" w:hAnsi="Century" w:cs="Miriam"/>
          <w:b/>
          <w:spacing w:val="0"/>
          <w:szCs w:val="24"/>
          <w:rtl/>
        </w:rPr>
        <w:t>מוחארב נ' עו"ד שמואל מיכאל – מנהל מיוחד לנכסי החייב</w:t>
      </w:r>
      <w:r w:rsidRPr="007E0A76">
        <w:rPr>
          <w:rtl/>
        </w:rPr>
        <w:t>, פסקה 12 (8.7.2020)). דרישה זו משתלבת גם עם העיקרון הכללי השזור בכל תחומי המשפט על פיו 'אל יהא חוטא נשכר' (</w:t>
      </w:r>
      <w:r w:rsidR="007E7F5C" w:rsidRPr="007E0A76">
        <w:rPr>
          <w:rtl/>
        </w:rPr>
        <w:t>ע"א 3376/11</w:t>
      </w:r>
      <w:r>
        <w:rPr>
          <w:rtl/>
        </w:rPr>
        <w:t xml:space="preserve"> </w:t>
      </w:r>
      <w:r>
        <w:rPr>
          <w:rFonts w:ascii="Century" w:hAnsi="Century" w:cs="Miriam"/>
          <w:b/>
          <w:spacing w:val="0"/>
          <w:szCs w:val="24"/>
          <w:rtl/>
        </w:rPr>
        <w:t>רוזנברג נ' כונס הנכסים הרשמי</w:t>
      </w:r>
      <w:r>
        <w:rPr>
          <w:rtl/>
        </w:rPr>
        <w:t>, פסקה ט"ז (6.10.2013)).</w:t>
      </w:r>
    </w:p>
    <w:p w14:paraId="11E157B5" w14:textId="77777777" w:rsidR="0083513E" w:rsidRDefault="0083513E" w:rsidP="0083513E">
      <w:pPr>
        <w:pStyle w:val="Ruller50"/>
      </w:pPr>
    </w:p>
    <w:p w14:paraId="0CEE653E" w14:textId="77777777" w:rsidR="0083513E" w:rsidRDefault="00000000" w:rsidP="0083513E">
      <w:pPr>
        <w:pStyle w:val="Ruller50"/>
      </w:pPr>
      <w:r>
        <w:rPr>
          <w:rtl/>
        </w:rPr>
        <w:t>כפי שציינתי בעבר, הדברים האמורים נכונים גם כיום, לאחר חקיקת חוק חדלות פירעון. שכן גם על הליכי חדלות פירעון לפי החוק חולש העיקרון הקובע כי על היחיד לנהוג בתום לב ולא לנצל לרעה את ההליכים על מנת ליהנות מחסדיהם. כמו בעבר, כך גם כיום, ניצול ההליך לרעה שלא בתום לב שומט את הקרקע תחת ההצדקה לסייע למי שמבקש ליהנות מחסדי המחוקק ומהגנות ההליך" (שם, פסקה 15).</w:t>
      </w:r>
    </w:p>
    <w:p w14:paraId="30AEAEA0" w14:textId="77777777" w:rsidR="0083513E" w:rsidRDefault="0083513E" w:rsidP="0083513E">
      <w:pPr>
        <w:pStyle w:val="Ruller41"/>
        <w:rPr>
          <w:rtl/>
        </w:rPr>
      </w:pPr>
    </w:p>
    <w:p w14:paraId="386E0552" w14:textId="74C49749" w:rsidR="0083513E" w:rsidRDefault="00000000" w:rsidP="0083513E">
      <w:pPr>
        <w:pStyle w:val="Ruller4"/>
        <w:rPr>
          <w:rtl/>
        </w:rPr>
      </w:pPr>
      <w:r>
        <w:rPr>
          <w:rtl/>
        </w:rPr>
        <w:t xml:space="preserve">התנהלות בתום לב מצד חייב, ובפרט כאשר הוא זה אשר יזם את הליך חדלות הפירעון, היא אפוא תנאי הכרחי ראשון במעלה בכל שלבי ההליך. החל ממתן צו לפתיחת ההליכים, דרך מתן צו השיקום וכלה במתן צו ההפטר. כך היה הדין לפי </w:t>
      </w:r>
      <w:r w:rsidRPr="007E0A76">
        <w:rPr>
          <w:rtl/>
        </w:rPr>
        <w:t xml:space="preserve">הפקודה (וראו פסיקת בית המשפט בעניין הליכי פשיטת רגל לפי הפקודה: </w:t>
      </w:r>
      <w:r w:rsidR="007E7F5C" w:rsidRPr="007E0A76">
        <w:rPr>
          <w:rFonts w:hint="eastAsia"/>
          <w:rtl/>
        </w:rPr>
        <w:t>ע</w:t>
      </w:r>
      <w:r w:rsidR="007E7F5C" w:rsidRPr="007E0A76">
        <w:rPr>
          <w:rtl/>
        </w:rPr>
        <w:t>"</w:t>
      </w:r>
      <w:r w:rsidR="007E7F5C" w:rsidRPr="007E0A76">
        <w:rPr>
          <w:rFonts w:hint="eastAsia"/>
          <w:rtl/>
        </w:rPr>
        <w:t>א</w:t>
      </w:r>
      <w:r w:rsidR="007E7F5C" w:rsidRPr="007E0A76">
        <w:rPr>
          <w:rtl/>
        </w:rPr>
        <w:t xml:space="preserve"> 6021/06</w:t>
      </w:r>
      <w:r w:rsidRPr="007E0A76">
        <w:rPr>
          <w:rtl/>
        </w:rPr>
        <w:t xml:space="preserve"> </w:t>
      </w:r>
      <w:r w:rsidRPr="007E0A76">
        <w:rPr>
          <w:rFonts w:ascii="Century" w:hAnsi="Century" w:cs="Miriam"/>
          <w:b/>
          <w:spacing w:val="0"/>
          <w:szCs w:val="24"/>
          <w:rtl/>
        </w:rPr>
        <w:t>פיגון נ' כונס הנכסים הרשמי</w:t>
      </w:r>
      <w:r w:rsidRPr="007E0A76">
        <w:rPr>
          <w:rtl/>
        </w:rPr>
        <w:t xml:space="preserve">, פסקה 21 (9.8.2009); </w:t>
      </w:r>
      <w:r w:rsidR="007E7F5C" w:rsidRPr="007E0A76">
        <w:rPr>
          <w:rFonts w:hint="eastAsia"/>
          <w:rtl/>
        </w:rPr>
        <w:t>ע</w:t>
      </w:r>
      <w:r w:rsidR="007E7F5C" w:rsidRPr="007E0A76">
        <w:rPr>
          <w:rtl/>
        </w:rPr>
        <w:t>"</w:t>
      </w:r>
      <w:r w:rsidR="007E7F5C" w:rsidRPr="007E0A76">
        <w:rPr>
          <w:rFonts w:hint="eastAsia"/>
          <w:rtl/>
        </w:rPr>
        <w:t>א</w:t>
      </w:r>
      <w:r w:rsidR="007E7F5C" w:rsidRPr="007E0A76">
        <w:rPr>
          <w:rtl/>
        </w:rPr>
        <w:t xml:space="preserve"> 5628/14</w:t>
      </w:r>
      <w:r w:rsidRPr="007E0A76">
        <w:rPr>
          <w:rtl/>
        </w:rPr>
        <w:t xml:space="preserve"> </w:t>
      </w:r>
      <w:r w:rsidRPr="007E0A76">
        <w:rPr>
          <w:rFonts w:ascii="Century" w:hAnsi="Century" w:cs="Miriam"/>
          <w:b/>
          <w:spacing w:val="0"/>
          <w:szCs w:val="24"/>
          <w:rtl/>
        </w:rPr>
        <w:t>סלימאן נ' סלימאן</w:t>
      </w:r>
      <w:r w:rsidRPr="007E0A76">
        <w:rPr>
          <w:rtl/>
        </w:rPr>
        <w:t xml:space="preserve"> (26.9.2016); </w:t>
      </w:r>
      <w:r w:rsidR="007E7F5C" w:rsidRPr="007E0A76">
        <w:rPr>
          <w:rFonts w:hint="eastAsia"/>
          <w:rtl/>
        </w:rPr>
        <w:t>ע</w:t>
      </w:r>
      <w:r w:rsidR="007E7F5C" w:rsidRPr="007E0A76">
        <w:rPr>
          <w:rtl/>
        </w:rPr>
        <w:t>"</w:t>
      </w:r>
      <w:r w:rsidR="007E7F5C" w:rsidRPr="007E0A76">
        <w:rPr>
          <w:rFonts w:hint="eastAsia"/>
          <w:rtl/>
        </w:rPr>
        <w:t>א</w:t>
      </w:r>
      <w:r w:rsidR="007E7F5C" w:rsidRPr="007E0A76">
        <w:rPr>
          <w:rtl/>
        </w:rPr>
        <w:t xml:space="preserve"> 3376/11</w:t>
      </w:r>
      <w:r w:rsidRPr="007E0A76">
        <w:rPr>
          <w:rtl/>
        </w:rPr>
        <w:t xml:space="preserve"> </w:t>
      </w:r>
      <w:r w:rsidRPr="007E0A76">
        <w:rPr>
          <w:rFonts w:ascii="Century" w:hAnsi="Century" w:cs="Miriam"/>
          <w:b/>
          <w:spacing w:val="0"/>
          <w:szCs w:val="24"/>
          <w:rtl/>
        </w:rPr>
        <w:t>רוזנברג נ' כונס הנכסים הרישמי</w:t>
      </w:r>
      <w:r w:rsidRPr="007E0A76">
        <w:rPr>
          <w:rtl/>
        </w:rPr>
        <w:t xml:space="preserve">, פסקה ט"ז (6.10.2013); </w:t>
      </w:r>
      <w:r w:rsidR="007E7F5C" w:rsidRPr="007E0A76">
        <w:rPr>
          <w:rFonts w:hint="eastAsia"/>
          <w:rtl/>
        </w:rPr>
        <w:t>ע</w:t>
      </w:r>
      <w:r w:rsidR="007E7F5C" w:rsidRPr="007E0A76">
        <w:rPr>
          <w:rtl/>
        </w:rPr>
        <w:t>"</w:t>
      </w:r>
      <w:r w:rsidR="007E7F5C" w:rsidRPr="007E0A76">
        <w:rPr>
          <w:rFonts w:hint="eastAsia"/>
          <w:rtl/>
        </w:rPr>
        <w:t>א</w:t>
      </w:r>
      <w:r w:rsidR="007E7F5C" w:rsidRPr="007E0A76">
        <w:rPr>
          <w:rtl/>
        </w:rPr>
        <w:t xml:space="preserve"> 7994/08</w:t>
      </w:r>
      <w:r w:rsidRPr="007E0A76">
        <w:rPr>
          <w:rtl/>
        </w:rPr>
        <w:t xml:space="preserve"> </w:t>
      </w:r>
      <w:r w:rsidRPr="007E0A76">
        <w:rPr>
          <w:rFonts w:ascii="Century" w:hAnsi="Century" w:cs="Miriam"/>
          <w:b/>
          <w:spacing w:val="0"/>
          <w:szCs w:val="24"/>
          <w:rtl/>
        </w:rPr>
        <w:t>גוטמן נ' כונס הנכסים הרשמי</w:t>
      </w:r>
      <w:r w:rsidRPr="007E0A76">
        <w:rPr>
          <w:rtl/>
        </w:rPr>
        <w:t xml:space="preserve">, פסקה 21 (1.2.2011); </w:t>
      </w:r>
      <w:r w:rsidR="007E7F5C" w:rsidRPr="007E0A76">
        <w:rPr>
          <w:rFonts w:hint="eastAsia"/>
          <w:rtl/>
        </w:rPr>
        <w:t>ע</w:t>
      </w:r>
      <w:r w:rsidR="007E7F5C" w:rsidRPr="007E0A76">
        <w:rPr>
          <w:rtl/>
        </w:rPr>
        <w:t>"</w:t>
      </w:r>
      <w:r w:rsidR="007E7F5C" w:rsidRPr="007E0A76">
        <w:rPr>
          <w:rFonts w:hint="eastAsia"/>
          <w:rtl/>
        </w:rPr>
        <w:t>א</w:t>
      </w:r>
      <w:r w:rsidR="007E7F5C" w:rsidRPr="007E0A76">
        <w:rPr>
          <w:rtl/>
        </w:rPr>
        <w:t xml:space="preserve"> 307/12</w:t>
      </w:r>
      <w:r w:rsidRPr="007E0A76">
        <w:rPr>
          <w:rFonts w:ascii="Century" w:hAnsi="Century" w:cs="Miriam"/>
          <w:b/>
          <w:spacing w:val="0"/>
          <w:szCs w:val="24"/>
          <w:rtl/>
        </w:rPr>
        <w:t xml:space="preserve"> בלום נ' כונס הנכסים הרשמי</w:t>
      </w:r>
      <w:r w:rsidRPr="007E0A76">
        <w:rPr>
          <w:rtl/>
        </w:rPr>
        <w:t xml:space="preserve">, פסקה 16 (14.8.2012); שלמה לוין ואשר גרוניס </w:t>
      </w:r>
      <w:hyperlink r:id="rId7" w:history="1">
        <w:r w:rsidR="007E7F5C" w:rsidRPr="007E0A76">
          <w:rPr>
            <w:rFonts w:ascii="Century" w:hAnsi="Century" w:cs="Miriam" w:hint="eastAsia"/>
            <w:b/>
            <w:spacing w:val="0"/>
            <w:szCs w:val="24"/>
            <w:rtl/>
          </w:rPr>
          <w:t>פשיטת</w:t>
        </w:r>
        <w:r w:rsidR="007E7F5C" w:rsidRPr="007E0A76">
          <w:rPr>
            <w:rFonts w:ascii="Century" w:hAnsi="Century" w:cs="Miriam"/>
            <w:b/>
            <w:spacing w:val="0"/>
            <w:szCs w:val="24"/>
            <w:rtl/>
          </w:rPr>
          <w:t xml:space="preserve"> </w:t>
        </w:r>
        <w:r w:rsidR="007E7F5C" w:rsidRPr="007E0A76">
          <w:rPr>
            <w:rFonts w:ascii="Century" w:hAnsi="Century" w:cs="Miriam" w:hint="eastAsia"/>
            <w:b/>
            <w:spacing w:val="0"/>
            <w:szCs w:val="24"/>
            <w:rtl/>
          </w:rPr>
          <w:t>רגל</w:t>
        </w:r>
      </w:hyperlink>
      <w:r w:rsidRPr="007E0A76">
        <w:rPr>
          <w:rtl/>
        </w:rPr>
        <w:t xml:space="preserve"> 173 (מהדורה שלישית, 2010)). וכך הוא הדין היום לפי החוק (</w:t>
      </w:r>
      <w:r w:rsidR="007E7F5C" w:rsidRPr="007E0A76">
        <w:rPr>
          <w:rFonts w:hint="eastAsia"/>
          <w:rtl/>
        </w:rPr>
        <w:t>ע</w:t>
      </w:r>
      <w:r w:rsidR="007E7F5C" w:rsidRPr="007E0A76">
        <w:rPr>
          <w:rtl/>
        </w:rPr>
        <w:t>"</w:t>
      </w:r>
      <w:r w:rsidR="007E7F5C" w:rsidRPr="007E0A76">
        <w:rPr>
          <w:rFonts w:hint="eastAsia"/>
          <w:rtl/>
        </w:rPr>
        <w:t>א</w:t>
      </w:r>
      <w:r w:rsidR="007E7F5C" w:rsidRPr="007E0A76">
        <w:rPr>
          <w:rtl/>
        </w:rPr>
        <w:t xml:space="preserve"> 6892/18</w:t>
      </w:r>
      <w:r w:rsidRPr="007E0A76">
        <w:rPr>
          <w:rtl/>
        </w:rPr>
        <w:t xml:space="preserve"> </w:t>
      </w:r>
      <w:r w:rsidRPr="007E0A76">
        <w:rPr>
          <w:rFonts w:ascii="Century" w:hAnsi="Century" w:cs="Miriam"/>
          <w:b/>
          <w:spacing w:val="0"/>
          <w:sz w:val="22"/>
          <w:szCs w:val="24"/>
          <w:rtl/>
        </w:rPr>
        <w:t>רפאל נ' עו"ד יעקב זיסמן</w:t>
      </w:r>
      <w:r w:rsidRPr="007E0A76">
        <w:rPr>
          <w:rtl/>
        </w:rPr>
        <w:t xml:space="preserve"> (18.12.2019) (להלן: עניין </w:t>
      </w:r>
      <w:r w:rsidRPr="007E0A76">
        <w:rPr>
          <w:rFonts w:ascii="Century" w:hAnsi="Century" w:cs="Miriam"/>
          <w:b/>
          <w:spacing w:val="0"/>
          <w:sz w:val="22"/>
          <w:szCs w:val="24"/>
          <w:rtl/>
        </w:rPr>
        <w:t>רפאל</w:t>
      </w:r>
      <w:r w:rsidRPr="007E0A76">
        <w:rPr>
          <w:rtl/>
        </w:rPr>
        <w:t xml:space="preserve">); </w:t>
      </w:r>
      <w:r w:rsidR="007E7F5C" w:rsidRPr="007E0A76">
        <w:rPr>
          <w:rFonts w:hint="eastAsia"/>
          <w:rtl/>
        </w:rPr>
        <w:t>ע</w:t>
      </w:r>
      <w:r w:rsidR="007E7F5C" w:rsidRPr="007E0A76">
        <w:rPr>
          <w:rtl/>
        </w:rPr>
        <w:t>"</w:t>
      </w:r>
      <w:r w:rsidR="007E7F5C" w:rsidRPr="007E0A76">
        <w:rPr>
          <w:rFonts w:hint="eastAsia"/>
          <w:rtl/>
        </w:rPr>
        <w:t>א</w:t>
      </w:r>
      <w:r w:rsidR="007E7F5C" w:rsidRPr="007E0A76">
        <w:rPr>
          <w:rtl/>
        </w:rPr>
        <w:t xml:space="preserve"> 7375/18</w:t>
      </w:r>
      <w:r w:rsidRPr="007E0A76">
        <w:rPr>
          <w:rtl/>
        </w:rPr>
        <w:t xml:space="preserve"> </w:t>
      </w:r>
      <w:r w:rsidRPr="007E0A76">
        <w:rPr>
          <w:rFonts w:ascii="Century" w:hAnsi="Century" w:cs="Miriam"/>
          <w:b/>
          <w:spacing w:val="0"/>
          <w:sz w:val="22"/>
          <w:szCs w:val="24"/>
          <w:rtl/>
        </w:rPr>
        <w:t>גל נ' מוטי בן ארצי עו"ד</w:t>
      </w:r>
      <w:r w:rsidRPr="007E0A76">
        <w:rPr>
          <w:rtl/>
        </w:rPr>
        <w:t xml:space="preserve">, פסקאות 14-12 (2.10.2019); </w:t>
      </w:r>
      <w:r w:rsidR="007E7F5C" w:rsidRPr="007E0A76">
        <w:rPr>
          <w:rFonts w:ascii="Arial TUR" w:hAnsi="Arial TUR"/>
          <w:sz w:val="22"/>
          <w:rtl/>
        </w:rPr>
        <w:t>ע"א 3631/21</w:t>
      </w:r>
      <w:r w:rsidRPr="007E0A76">
        <w:rPr>
          <w:rFonts w:ascii="Arial TUR" w:hAnsi="Arial TUR"/>
          <w:sz w:val="22"/>
          <w:rtl/>
        </w:rPr>
        <w:t xml:space="preserve"> </w:t>
      </w:r>
      <w:r w:rsidRPr="007E0A76">
        <w:rPr>
          <w:rFonts w:ascii="Century" w:hAnsi="Century" w:cs="Miriam"/>
          <w:b/>
          <w:spacing w:val="0"/>
          <w:sz w:val="22"/>
          <w:szCs w:val="24"/>
          <w:rtl/>
        </w:rPr>
        <w:t>שר נ' כונס</w:t>
      </w:r>
      <w:r>
        <w:rPr>
          <w:rFonts w:ascii="Century" w:hAnsi="Century" w:cs="Miriam"/>
          <w:b/>
          <w:spacing w:val="0"/>
          <w:sz w:val="22"/>
          <w:szCs w:val="24"/>
          <w:rtl/>
        </w:rPr>
        <w:t xml:space="preserve"> הנכסים הרשמי תל אביב</w:t>
      </w:r>
      <w:r>
        <w:rPr>
          <w:rFonts w:ascii="Arial TUR" w:hAnsi="Arial TUR"/>
          <w:sz w:val="22"/>
          <w:rtl/>
        </w:rPr>
        <w:t>, פסקאות 22-18 (7.12.2021)</w:t>
      </w:r>
      <w:r>
        <w:rPr>
          <w:rtl/>
        </w:rPr>
        <w:t xml:space="preserve">). וכפי שאמרתי בעניין </w:t>
      </w:r>
      <w:r>
        <w:rPr>
          <w:rFonts w:ascii="Century" w:hAnsi="Century" w:cs="Miriam"/>
          <w:b/>
          <w:spacing w:val="0"/>
          <w:sz w:val="22"/>
          <w:szCs w:val="24"/>
          <w:rtl/>
        </w:rPr>
        <w:t>רפאל</w:t>
      </w:r>
      <w:r>
        <w:rPr>
          <w:rtl/>
        </w:rPr>
        <w:t>:</w:t>
      </w:r>
    </w:p>
    <w:p w14:paraId="6FCEE26B" w14:textId="77777777" w:rsidR="0083513E" w:rsidRDefault="0083513E" w:rsidP="0083513E">
      <w:pPr>
        <w:pStyle w:val="Ruller41"/>
        <w:rPr>
          <w:rtl/>
        </w:rPr>
      </w:pPr>
    </w:p>
    <w:p w14:paraId="6ED11595" w14:textId="6F3FFA2C" w:rsidR="0083513E" w:rsidRDefault="00000000" w:rsidP="0083513E">
      <w:pPr>
        <w:pStyle w:val="Ruller50"/>
        <w:rPr>
          <w:rtl/>
        </w:rPr>
      </w:pPr>
      <w:r>
        <w:rPr>
          <w:rtl/>
        </w:rPr>
        <w:t xml:space="preserve">"אמנם, במסגרת חוק חדלות פירעון ניתן משקל משמעותי לשיקומו הכלכלי של חייב (סעיף 1(1) לחוק; </w:t>
      </w:r>
      <w:r w:rsidRPr="007E0A76">
        <w:rPr>
          <w:rtl/>
        </w:rPr>
        <w:t xml:space="preserve">וראו גם: </w:t>
      </w:r>
      <w:r w:rsidR="007E7F5C" w:rsidRPr="007E0A76">
        <w:rPr>
          <w:rtl/>
        </w:rPr>
        <w:t>ע"א 8263/16</w:t>
      </w:r>
      <w:r w:rsidRPr="007E0A76">
        <w:rPr>
          <w:rFonts w:ascii="Century" w:hAnsi="Century" w:cs="Miriam"/>
          <w:b/>
          <w:spacing w:val="0"/>
          <w:szCs w:val="24"/>
          <w:rtl/>
        </w:rPr>
        <w:t xml:space="preserve"> אור סיטי נדל"ן מקבוצת ענבל אור בע"מ נ' עו"ד איתן ארז</w:t>
      </w:r>
      <w:r w:rsidRPr="007E0A76">
        <w:rPr>
          <w:rtl/>
        </w:rPr>
        <w:t xml:space="preserve">, פסקה 47 (19.3.2018); </w:t>
      </w:r>
      <w:r w:rsidR="007E7F5C" w:rsidRPr="007E0A76">
        <w:rPr>
          <w:rtl/>
        </w:rPr>
        <w:t>רע"א 4067/18</w:t>
      </w:r>
      <w:r w:rsidRPr="007E0A76">
        <w:rPr>
          <w:rtl/>
        </w:rPr>
        <w:t xml:space="preserve"> </w:t>
      </w:r>
      <w:r w:rsidRPr="007E0A76">
        <w:rPr>
          <w:rFonts w:ascii="Century" w:hAnsi="Century" w:cs="Miriam"/>
          <w:b/>
          <w:spacing w:val="0"/>
          <w:szCs w:val="24"/>
          <w:rtl/>
        </w:rPr>
        <w:t>פיינשטיין נ' עו"ד אופיר יצחק</w:t>
      </w:r>
      <w:r w:rsidRPr="007E0A76">
        <w:rPr>
          <w:rtl/>
        </w:rPr>
        <w:t>, פסקה 19 (30.6.2019)). עם זאת, אין משמעות הדבר כי נפרצו</w:t>
      </w:r>
      <w:r>
        <w:rPr>
          <w:rtl/>
        </w:rPr>
        <w:t xml:space="preserve"> שערי הליכי חדלות פירעון, וכל הרוצה ליטול בהם חלק – ייטול, תהא אשר תהא ההתנהלות אשר קדמה לפתיחת ההליכים. גם לאחר חקיקת חוק חדלות פירעון, ניצול ההליך לרעה שלא בתום לב שומט את הקרקע תחת ההצדקה לסייע למי אשר מבקש ליהנות מחסדי המחוקק ומהגנות ההליך. באותו אופן כיום כמו בעבר, כניסה להליך חדלות פירעון באמצעות יצירת חובות שלא בתום לב, בנסיבות של זלזול בנושים או בהפרת ההגינות כלפיהם, תצדיק דחיית בקשתו של יחיד להיכנס להליך חדלות הפירעון ותצדיק גם ביטולו של ההליך כולו, אם נתברר למפרע שכך נהג" (שם, פסקה 9).</w:t>
      </w:r>
    </w:p>
    <w:p w14:paraId="6635F8ED" w14:textId="77777777" w:rsidR="0083513E" w:rsidRDefault="0083513E" w:rsidP="0083513E">
      <w:pPr>
        <w:pStyle w:val="Ruller41"/>
        <w:rPr>
          <w:rtl/>
        </w:rPr>
      </w:pPr>
    </w:p>
    <w:p w14:paraId="3F9B896B" w14:textId="77777777" w:rsidR="0083513E" w:rsidRDefault="00000000" w:rsidP="0083513E">
      <w:pPr>
        <w:pStyle w:val="Ruller41"/>
        <w:rPr>
          <w:rtl/>
        </w:rPr>
      </w:pPr>
      <w:r>
        <w:rPr>
          <w:rtl/>
        </w:rPr>
        <w:tab/>
        <w:t xml:space="preserve">תום הלב נדרש אפוא באופן חד-משמעי בכל שלבי ההליך וחוסר תום לב מטעמו של החייב לא יאפשר לו להיכנס לשעריו או ליהנות מההטבות הגלומות בו. על כן, כבר מתחילתו של ההליך יש לוודא שהוא לא מנוצל בחוסר תום לב על ידי החייב לרעה. </w:t>
      </w:r>
    </w:p>
    <w:p w14:paraId="4CF3A83C" w14:textId="77777777" w:rsidR="0083513E" w:rsidRDefault="0083513E" w:rsidP="0083513E">
      <w:pPr>
        <w:pStyle w:val="Ruller41"/>
        <w:rPr>
          <w:rtl/>
        </w:rPr>
      </w:pPr>
    </w:p>
    <w:p w14:paraId="3A89E1E2" w14:textId="0C56A152" w:rsidR="0083513E" w:rsidRDefault="00000000" w:rsidP="0083513E">
      <w:pPr>
        <w:pStyle w:val="Ruller4"/>
        <w:rPr>
          <w:rtl/>
        </w:rPr>
      </w:pPr>
      <w:r>
        <w:rPr>
          <w:rtl/>
        </w:rPr>
        <w:t xml:space="preserve">וצורות רבות יש לחוסר תום לב. למשל, הימנעות החייב מחשיפת מלוא המידע </w:t>
      </w:r>
      <w:r w:rsidRPr="007E0A76">
        <w:rPr>
          <w:rtl/>
        </w:rPr>
        <w:t>בנוגע לנכסיו, להשתכרותו ולנסיבות הסתבכותו הכלכלית מהווה חסר תום לב (</w:t>
      </w:r>
      <w:r w:rsidR="007E7F5C" w:rsidRPr="007E0A76">
        <w:rPr>
          <w:rFonts w:ascii="Arial TUR" w:hAnsi="Arial TUR"/>
          <w:sz w:val="22"/>
          <w:rtl/>
        </w:rPr>
        <w:t>ע"א 3109/22</w:t>
      </w:r>
      <w:r w:rsidRPr="007E0A76">
        <w:rPr>
          <w:rFonts w:ascii="Arial TUR" w:hAnsi="Arial TUR"/>
          <w:sz w:val="22"/>
          <w:rtl/>
        </w:rPr>
        <w:t xml:space="preserve"> </w:t>
      </w:r>
      <w:r w:rsidRPr="007E0A76">
        <w:rPr>
          <w:rFonts w:ascii="Century" w:hAnsi="Century" w:cs="Miriam"/>
          <w:b/>
          <w:spacing w:val="0"/>
          <w:sz w:val="22"/>
          <w:szCs w:val="24"/>
          <w:rtl/>
        </w:rPr>
        <w:t>מרעי נ' הכונס הנכסים הרשמי</w:t>
      </w:r>
      <w:r w:rsidRPr="007E0A76">
        <w:rPr>
          <w:rFonts w:ascii="Arial TUR" w:hAnsi="Arial TUR"/>
          <w:sz w:val="22"/>
          <w:rtl/>
        </w:rPr>
        <w:t xml:space="preserve">, פסקה </w:t>
      </w:r>
      <w:r w:rsidR="007E0A76" w:rsidRPr="007E0A76">
        <w:rPr>
          <w:rFonts w:ascii="Arial TUR" w:hAnsi="Arial TUR" w:hint="cs"/>
          <w:sz w:val="22"/>
          <w:rtl/>
        </w:rPr>
        <w:t>9</w:t>
      </w:r>
      <w:r w:rsidR="0029666D" w:rsidRPr="007E0A76">
        <w:rPr>
          <w:rFonts w:ascii="Arial TUR" w:hAnsi="Arial TUR"/>
          <w:sz w:val="22"/>
          <w:rtl/>
        </w:rPr>
        <w:t xml:space="preserve"> </w:t>
      </w:r>
      <w:r w:rsidRPr="007E0A76">
        <w:rPr>
          <w:rFonts w:ascii="Arial TUR" w:hAnsi="Arial TUR"/>
          <w:sz w:val="22"/>
          <w:rtl/>
        </w:rPr>
        <w:t xml:space="preserve">(10.8.2022); עניין </w:t>
      </w:r>
      <w:r w:rsidRPr="007E0A76">
        <w:rPr>
          <w:rFonts w:ascii="Century" w:hAnsi="Century" w:cs="Miriam"/>
          <w:b/>
          <w:spacing w:val="0"/>
          <w:sz w:val="22"/>
          <w:szCs w:val="24"/>
          <w:rtl/>
        </w:rPr>
        <w:t>רפאל</w:t>
      </w:r>
      <w:r w:rsidRPr="007E0A76">
        <w:rPr>
          <w:rFonts w:ascii="Arial TUR" w:hAnsi="Arial TUR"/>
          <w:sz w:val="22"/>
          <w:rtl/>
        </w:rPr>
        <w:t>, פסקה 9</w:t>
      </w:r>
      <w:r w:rsidRPr="007E0A76">
        <w:rPr>
          <w:rtl/>
        </w:rPr>
        <w:t xml:space="preserve">). גם המשך יצירת חובות על ידי החייב לאחר כניסתו להליך חדלות פירעון מהווה חסר תום לב (וראו למשל: </w:t>
      </w:r>
      <w:r w:rsidR="007E7F5C" w:rsidRPr="007E0A76">
        <w:rPr>
          <w:rFonts w:ascii="Arial TUR" w:hAnsi="Arial TUR"/>
          <w:sz w:val="22"/>
          <w:rtl/>
        </w:rPr>
        <w:t>ע"א 4174/21</w:t>
      </w:r>
      <w:r w:rsidRPr="007E0A76">
        <w:rPr>
          <w:rFonts w:ascii="Arial TUR" w:hAnsi="Arial TUR"/>
          <w:sz w:val="22"/>
          <w:rtl/>
        </w:rPr>
        <w:t xml:space="preserve"> </w:t>
      </w:r>
      <w:r w:rsidRPr="007E0A76">
        <w:rPr>
          <w:rFonts w:ascii="Century" w:hAnsi="Century" w:cs="Miriam"/>
          <w:b/>
          <w:spacing w:val="0"/>
          <w:sz w:val="22"/>
          <w:szCs w:val="24"/>
          <w:rtl/>
        </w:rPr>
        <w:t>חוסין נ' עו"ד גבריאלי עופר</w:t>
      </w:r>
      <w:r w:rsidRPr="007E0A76">
        <w:rPr>
          <w:rFonts w:ascii="Arial TUR" w:hAnsi="Arial TUR"/>
          <w:sz w:val="22"/>
          <w:rtl/>
        </w:rPr>
        <w:t xml:space="preserve">, פסקה 7 (22.6.2021); </w:t>
      </w:r>
      <w:r w:rsidR="007E7F5C" w:rsidRPr="007E0A76">
        <w:rPr>
          <w:rFonts w:ascii="Arial TUR" w:hAnsi="Arial TUR"/>
          <w:sz w:val="22"/>
          <w:rtl/>
        </w:rPr>
        <w:t>ע"א 1193/21</w:t>
      </w:r>
      <w:r w:rsidRPr="007E0A76">
        <w:rPr>
          <w:rFonts w:ascii="Arial TUR" w:hAnsi="Arial TUR"/>
          <w:sz w:val="22"/>
          <w:rtl/>
        </w:rPr>
        <w:t xml:space="preserve"> </w:t>
      </w:r>
      <w:r w:rsidRPr="007E0A76">
        <w:rPr>
          <w:rFonts w:ascii="Century" w:hAnsi="Century" w:cs="Miriam"/>
          <w:b/>
          <w:spacing w:val="0"/>
          <w:sz w:val="22"/>
          <w:szCs w:val="24"/>
          <w:rtl/>
        </w:rPr>
        <w:t>רחמני נ' כונס הנכסים הרשמי</w:t>
      </w:r>
      <w:r w:rsidRPr="007E0A76">
        <w:rPr>
          <w:rFonts w:ascii="Arial TUR" w:hAnsi="Arial TUR"/>
          <w:sz w:val="22"/>
          <w:rtl/>
        </w:rPr>
        <w:t>, פסקה 5 (3.5.2021)</w:t>
      </w:r>
      <w:r w:rsidRPr="007E0A76">
        <w:rPr>
          <w:rtl/>
        </w:rPr>
        <w:t>). וגם הימנעות החייב ממיצוי כושר השתכרותו הוא בגדר חוסר תום לב (</w:t>
      </w:r>
      <w:r w:rsidR="007E7F5C" w:rsidRPr="007E0A76">
        <w:rPr>
          <w:rFonts w:ascii="Arial TUR" w:hAnsi="Arial TUR"/>
          <w:sz w:val="22"/>
          <w:rtl/>
        </w:rPr>
        <w:t>רע"א 6353/19</w:t>
      </w:r>
      <w:r w:rsidRPr="007E0A76">
        <w:rPr>
          <w:rFonts w:ascii="Arial TUR" w:hAnsi="Arial TUR"/>
          <w:sz w:val="22"/>
          <w:rtl/>
        </w:rPr>
        <w:t xml:space="preserve"> </w:t>
      </w:r>
      <w:r w:rsidRPr="007E0A76">
        <w:rPr>
          <w:rFonts w:ascii="Century" w:hAnsi="Century" w:cs="Miriam"/>
          <w:b/>
          <w:spacing w:val="0"/>
          <w:sz w:val="22"/>
          <w:szCs w:val="24"/>
          <w:rtl/>
        </w:rPr>
        <w:t>לשצ'נקו נ' כונס הנכסים הרשמי</w:t>
      </w:r>
      <w:r w:rsidRPr="007E0A76">
        <w:rPr>
          <w:rFonts w:ascii="Arial TUR" w:hAnsi="Arial TUR"/>
          <w:sz w:val="22"/>
          <w:rtl/>
        </w:rPr>
        <w:t xml:space="preserve">, פסקה 18 (11.2.2020); </w:t>
      </w:r>
      <w:r w:rsidR="007E7F5C" w:rsidRPr="007E0A76">
        <w:rPr>
          <w:rFonts w:ascii="Arial TUR" w:hAnsi="Arial TUR"/>
          <w:sz w:val="22"/>
          <w:rtl/>
        </w:rPr>
        <w:t>רע"א 6256/20</w:t>
      </w:r>
      <w:r w:rsidRPr="007E0A76">
        <w:rPr>
          <w:rFonts w:ascii="Arial TUR" w:hAnsi="Arial TUR"/>
          <w:sz w:val="22"/>
          <w:rtl/>
        </w:rPr>
        <w:t xml:space="preserve"> </w:t>
      </w:r>
      <w:r w:rsidRPr="007E0A76">
        <w:rPr>
          <w:rFonts w:ascii="Century" w:hAnsi="Century" w:cs="Miriam"/>
          <w:b/>
          <w:spacing w:val="0"/>
          <w:sz w:val="22"/>
          <w:szCs w:val="24"/>
          <w:rtl/>
        </w:rPr>
        <w:t>ורולקר נ' כונס הנכסים הרשמי</w:t>
      </w:r>
      <w:r w:rsidRPr="007E0A76">
        <w:rPr>
          <w:rFonts w:ascii="Arial TUR" w:hAnsi="Arial TUR"/>
          <w:sz w:val="22"/>
          <w:rtl/>
        </w:rPr>
        <w:t>, פסקה 10 (3.11.2020);</w:t>
      </w:r>
      <w:r w:rsidRPr="007E0A76">
        <w:rPr>
          <w:rtl/>
        </w:rPr>
        <w:t xml:space="preserve"> </w:t>
      </w:r>
      <w:r w:rsidR="007E7F5C" w:rsidRPr="007E0A76">
        <w:rPr>
          <w:rFonts w:ascii="Arial TUR" w:hAnsi="Arial TUR"/>
          <w:sz w:val="22"/>
          <w:rtl/>
        </w:rPr>
        <w:t>ע"א 3382/17</w:t>
      </w:r>
      <w:r w:rsidRPr="007E0A76">
        <w:rPr>
          <w:rFonts w:ascii="Arial TUR" w:hAnsi="Arial TUR"/>
          <w:sz w:val="22"/>
          <w:rtl/>
        </w:rPr>
        <w:t xml:space="preserve"> </w:t>
      </w:r>
      <w:r w:rsidRPr="007E0A76">
        <w:rPr>
          <w:rFonts w:ascii="Century" w:hAnsi="Century" w:cs="Miriam"/>
          <w:b/>
          <w:spacing w:val="0"/>
          <w:sz w:val="22"/>
          <w:szCs w:val="24"/>
          <w:rtl/>
        </w:rPr>
        <w:t>צימבר נ' סמט</w:t>
      </w:r>
      <w:r w:rsidRPr="007E0A76">
        <w:rPr>
          <w:rFonts w:ascii="Arial TUR" w:hAnsi="Arial TUR"/>
          <w:sz w:val="22"/>
          <w:rtl/>
        </w:rPr>
        <w:t>, פסקה 20 (29.8.2018))</w:t>
      </w:r>
      <w:r w:rsidRPr="007E0A76">
        <w:rPr>
          <w:rtl/>
        </w:rPr>
        <w:t>. חלק</w:t>
      </w:r>
      <w:r>
        <w:rPr>
          <w:rtl/>
        </w:rPr>
        <w:t xml:space="preserve"> מאותן צורות אף נכנסות לד' אמותיו של </w:t>
      </w:r>
      <w:r w:rsidR="003B5F93" w:rsidRPr="007E0A76">
        <w:rPr>
          <w:rFonts w:hint="eastAsia"/>
          <w:rtl/>
        </w:rPr>
        <w:t>סעיף</w:t>
      </w:r>
      <w:r w:rsidR="003B5F93" w:rsidRPr="007E0A76">
        <w:rPr>
          <w:rtl/>
        </w:rPr>
        <w:t xml:space="preserve"> 156</w:t>
      </w:r>
      <w:r>
        <w:rPr>
          <w:rtl/>
        </w:rPr>
        <w:t xml:space="preserve"> לחוק, דהיינו רלוונטיות כבר בשלב הראשוני של בחינת מקורות הפרנסה והנכסים של החייב. מצד אחד אל לו לממונה להתעלם מהנתונים המגיעים תחילה מדרך הטבע מפיו של החייב, אך מצד שני אל לו לממונה לקבל את הנתונים המסורים על ידי החייב כתורה מסיני ללא עוררין וללא בדיקה ולוּ מקדמית. על הממונה לבדוק את נכונותם וכחלק בלתי נפרד מהתחקות אחר תום לבו של החייב, גם את סבירותם. מקום שבו הנתונים עצמם או הבדיקה שנערכה לגביהם מצביעים על אי-עמידה ולוּ מינימלית בחובת תום הלב הבסיסית המוטלת על החייב כבר מהרגע הראשון שנכנס אל ההליך, על הממונה ליתן להם משקל בקביעת צו התשלומים. אכן, עוד חזון למועד מה יעלה בחכתם של בעלי התפקיד ושל בית המשפט בבוא היום. אך מכאן ועד למסקנה כי על הממונה להתעלם ביודעין מנתונים המצביעים על התנהלות חסרת תום לב מצד החייב, לרבות בנוגע להשתכרותו הפוטנציאלית ולמקורות הפרנסה שלו, הדרך עוד רחוקה. ויודגש, אין המדובר בהכנסת בדיקת כושר ההשתכרות של החייב בדלת האחורית אל תוך הליך קביעת גובה צו התשלומים באמצעות עיקרון תום הלב, אלא במתן משקל לנתונים הנגלים מהעובדות המונחות לפני הממונה באותו שלב ומהבדיקה המקדמית המתבקשת והמחויבת כחלק בלתי נפרד מתכלית ההליך.</w:t>
      </w:r>
    </w:p>
    <w:p w14:paraId="56AB7E01" w14:textId="77777777" w:rsidR="0083513E" w:rsidRDefault="0083513E" w:rsidP="0083513E">
      <w:pPr>
        <w:pStyle w:val="Ruller41"/>
        <w:rPr>
          <w:rtl/>
        </w:rPr>
      </w:pPr>
    </w:p>
    <w:p w14:paraId="0C0DE394" w14:textId="6B3E8405" w:rsidR="0083513E" w:rsidRDefault="00000000" w:rsidP="0083513E">
      <w:pPr>
        <w:pStyle w:val="Ruller41"/>
        <w:rPr>
          <w:rtl/>
        </w:rPr>
      </w:pPr>
      <w:r>
        <w:rPr>
          <w:rtl/>
        </w:rPr>
        <w:tab/>
        <w:t xml:space="preserve">וטלו דוגמה הממחישה את הצורך והנחיצות באמור לעיל. למשל, בעת בדיקתו של "מקור אחר" לפי </w:t>
      </w:r>
      <w:r w:rsidR="003B5F93" w:rsidRPr="007E0A76">
        <w:rPr>
          <w:rtl/>
        </w:rPr>
        <w:t>סעיף 156</w:t>
      </w:r>
      <w:r>
        <w:rPr>
          <w:rtl/>
        </w:rPr>
        <w:t xml:space="preserve"> לחוק לצורך קביעת צו התשלומים, נלקחים בחשבון גם דמי שכירות הנגבים על ידי חייב מנכס שבבעלותו. היה והחייב לא ישכיר את הנכס מסיבה שעל פניה אינה סבירה, נניח מפאת עצלנות גרידא, האם במצב שכזה על הממונה להתעלם מדמי השכירות הפוטנציאלים שניתן להפיק מהשכרת הנכס כ"מקור אחר" בעת קביעת צו התשלומים לתקופת הביניים? ודאי שלא. כך גם לגבי הכנסותיו של החייב מעבודה. כשם שאי-השכרת הנכס מהווה חוסר תום לב שאין להתעלם ממנו מקום שבו החייב מבקש ליהנות מהגנת ההליך, כך גם אי-ניצול אמצעי השתכרותו משתקפים ומתבקשים מאליהם.  </w:t>
      </w:r>
    </w:p>
    <w:p w14:paraId="0BE057DF" w14:textId="77777777" w:rsidR="0083513E" w:rsidRDefault="0083513E" w:rsidP="0083513E">
      <w:pPr>
        <w:pStyle w:val="Ruller41"/>
        <w:rPr>
          <w:rtl/>
        </w:rPr>
      </w:pPr>
    </w:p>
    <w:p w14:paraId="3897B4D8" w14:textId="77777777" w:rsidR="0083513E" w:rsidRDefault="00000000" w:rsidP="0083513E">
      <w:pPr>
        <w:pStyle w:val="Ruller4"/>
        <w:rPr>
          <w:rtl/>
        </w:rPr>
      </w:pPr>
      <w:r>
        <w:rPr>
          <w:rtl/>
        </w:rPr>
        <w:t xml:space="preserve">סיכומו של דבר, מקום שבו נגלים מהבקשה למתן צו לפתיחת הליכים או מבדיקתה נתונים המצביעים על חוסר תום לב של החייב ביחס למקורות הכנסתו, ניתן ואף נדרש להביאם בחשבון במסגרת קביעת צו התשלומים לתקופת הביניים. במקרים כאלה, ניתן יהיה לקבוע לחייב הסדר שאינו נגזר במלואו מהכנסתו בפועל. זאת מבלי להתייחס לשאלה האם יהיה בחוסר תום הלב של החייב כדי לחסום אותו מלהיכנס להליך חדלות הפירעון מלכתחילה. </w:t>
      </w:r>
    </w:p>
    <w:p w14:paraId="2F018A1A" w14:textId="77777777" w:rsidR="0083513E" w:rsidRDefault="0083513E" w:rsidP="0083513E">
      <w:pPr>
        <w:pStyle w:val="Ruller41"/>
        <w:rPr>
          <w:rtl/>
        </w:rPr>
      </w:pPr>
    </w:p>
    <w:p w14:paraId="691BD3CC" w14:textId="77777777" w:rsidR="0083513E" w:rsidRDefault="00000000" w:rsidP="0083513E">
      <w:pPr>
        <w:pStyle w:val="Ruller4"/>
        <w:rPr>
          <w:rtl/>
        </w:rPr>
      </w:pPr>
      <w:r>
        <w:rPr>
          <w:rtl/>
        </w:rPr>
        <w:t xml:space="preserve">אלא שבכך לא מסתיים דיוננו. שכן טענות המערערת אינן מתמצות רק באפשרות להביא בחשבון נתונים כאמור, אלא הן מופנות גם כלפי האופן שבו משפיעים נתונים אלה על קביעת צו התשלומים. בעניין זה המערערת מלינה על כך שהממונה נתן משקל לשכר המינימום בשוק העבודה והתבסס עליו בקביעת צו התשלומים בעניינה. </w:t>
      </w:r>
    </w:p>
    <w:p w14:paraId="6B991678" w14:textId="77777777" w:rsidR="0083513E" w:rsidRDefault="0083513E" w:rsidP="0083513E">
      <w:pPr>
        <w:pStyle w:val="Ruller41"/>
        <w:rPr>
          <w:rtl/>
        </w:rPr>
      </w:pPr>
    </w:p>
    <w:p w14:paraId="6AFFDFDE" w14:textId="77777777" w:rsidR="0083513E" w:rsidRDefault="00000000" w:rsidP="0083513E">
      <w:pPr>
        <w:pStyle w:val="Ruller4"/>
      </w:pPr>
      <w:r>
        <w:rPr>
          <w:rtl/>
        </w:rPr>
        <w:t>כמפורט לעיל, התחשבות הממונה בשכר המינימום לצורך קביעת צו התשלומים נעשתה בהתאם להוראות הנוהל. על כן, בטרם נידרש לטענת המערערת לגופה, נקדים מספר מילים בנוגע לשאלה האם בית המשפט של חדלות פירעון מוסמך להעביר תחת שבט ביקורתו את האופן שבו מנהל הממונה את ענייני חדלות פירעון מכוח הסמכות הנתונה לו בחוק בכלל, ואת הנוהל בפרט. בית המשפט המחוזי השיב לשאלה זו בשלילה. דעתי שונה.</w:t>
      </w:r>
    </w:p>
    <w:p w14:paraId="753C459A" w14:textId="77777777" w:rsidR="0083513E" w:rsidRDefault="0083513E" w:rsidP="0083513E">
      <w:pPr>
        <w:pStyle w:val="Ruller41"/>
        <w:rPr>
          <w:rFonts w:ascii="Century" w:hAnsi="Century"/>
          <w:rtl/>
        </w:rPr>
      </w:pPr>
    </w:p>
    <w:p w14:paraId="24470BD3" w14:textId="77168F90" w:rsidR="0083513E" w:rsidRDefault="00000000" w:rsidP="0083513E">
      <w:pPr>
        <w:pStyle w:val="Ruller4"/>
        <w:rPr>
          <w:rtl/>
        </w:rPr>
      </w:pPr>
      <w:r>
        <w:rPr>
          <w:rtl/>
        </w:rPr>
        <w:t xml:space="preserve">לפי </w:t>
      </w:r>
      <w:r w:rsidR="003B5F93" w:rsidRPr="007E0A76">
        <w:rPr>
          <w:rFonts w:hint="eastAsia"/>
          <w:rtl/>
        </w:rPr>
        <w:t>סעיפים</w:t>
      </w:r>
      <w:r w:rsidR="003B5F93" w:rsidRPr="007E0A76">
        <w:rPr>
          <w:rtl/>
        </w:rPr>
        <w:t xml:space="preserve"> 45(</w:t>
      </w:r>
      <w:r w:rsidR="003B5F93" w:rsidRPr="007E0A76">
        <w:rPr>
          <w:rFonts w:hint="eastAsia"/>
          <w:rtl/>
        </w:rPr>
        <w:t>ג</w:t>
      </w:r>
      <w:r w:rsidR="003B5F93" w:rsidRPr="007E0A76">
        <w:rPr>
          <w:rtl/>
        </w:rPr>
        <w:t>)</w:t>
      </w:r>
      <w:r>
        <w:rPr>
          <w:rtl/>
        </w:rPr>
        <w:t xml:space="preserve"> ו-</w:t>
      </w:r>
      <w:r w:rsidR="003B5F93" w:rsidRPr="007E0A76">
        <w:rPr>
          <w:rtl/>
        </w:rPr>
        <w:t>129(</w:t>
      </w:r>
      <w:r w:rsidR="003B5F93" w:rsidRPr="007E0A76">
        <w:rPr>
          <w:rFonts w:hint="eastAsia"/>
          <w:rtl/>
        </w:rPr>
        <w:t>ה</w:t>
      </w:r>
      <w:r w:rsidR="003B5F93" w:rsidRPr="007E0A76">
        <w:rPr>
          <w:rtl/>
        </w:rPr>
        <w:t>)</w:t>
      </w:r>
      <w:r>
        <w:rPr>
          <w:rtl/>
        </w:rPr>
        <w:t xml:space="preserve"> לחוק, לא יכריע בית המשפט של חדלות פירעון בבקשה של נאמן (של תאגיד או של יחיד) למתן הוראות בהליך פלילי או בהליך מינהלי. </w:t>
      </w:r>
      <w:r w:rsidR="003B5F93" w:rsidRPr="007E0A76">
        <w:rPr>
          <w:rFonts w:hint="eastAsia"/>
          <w:rtl/>
        </w:rPr>
        <w:t>בסעיף</w:t>
      </w:r>
      <w:r w:rsidR="003B5F93" w:rsidRPr="007E0A76">
        <w:rPr>
          <w:rtl/>
        </w:rPr>
        <w:t xml:space="preserve"> 4</w:t>
      </w:r>
      <w:r>
        <w:rPr>
          <w:rtl/>
        </w:rPr>
        <w:t xml:space="preserve"> לחוק, מוגדר הליך מינהלי כדלקמן: </w:t>
      </w:r>
    </w:p>
    <w:p w14:paraId="549D6043" w14:textId="77777777" w:rsidR="0083513E" w:rsidRDefault="0083513E" w:rsidP="0083513E">
      <w:pPr>
        <w:pStyle w:val="Ruller41"/>
        <w:rPr>
          <w:rFonts w:ascii="Century" w:hAnsi="Century"/>
        </w:rPr>
      </w:pPr>
    </w:p>
    <w:p w14:paraId="3482D68A" w14:textId="77777777" w:rsidR="0083513E" w:rsidRDefault="00000000" w:rsidP="0083513E">
      <w:pPr>
        <w:pStyle w:val="Ruller50"/>
        <w:rPr>
          <w:rtl/>
        </w:rPr>
      </w:pPr>
      <w:r>
        <w:rPr>
          <w:rtl/>
        </w:rPr>
        <w:t>"הליך מינהלי" – הליך שמנהלת רשות מינהלית, במילוי תפקידה הציבורי לפי דין, וכן הליך שעניינו ביקורת שיפוטית על החלטה מינהלית.</w:t>
      </w:r>
    </w:p>
    <w:p w14:paraId="1A6D2AB3" w14:textId="77777777" w:rsidR="0083513E" w:rsidRDefault="0083513E" w:rsidP="0083513E">
      <w:pPr>
        <w:pStyle w:val="Ruller41"/>
        <w:rPr>
          <w:rFonts w:ascii="Century" w:hAnsi="Century"/>
        </w:rPr>
      </w:pPr>
    </w:p>
    <w:p w14:paraId="690BE234" w14:textId="6E3D0F60" w:rsidR="0083513E" w:rsidRDefault="00000000" w:rsidP="0083513E">
      <w:pPr>
        <w:pStyle w:val="Ruller41"/>
        <w:rPr>
          <w:rFonts w:ascii="Century" w:hAnsi="Century"/>
          <w:rtl/>
        </w:rPr>
      </w:pPr>
      <w:r>
        <w:rPr>
          <w:rFonts w:ascii="Century" w:hAnsi="Century"/>
          <w:rtl/>
        </w:rPr>
        <w:tab/>
        <w:t xml:space="preserve">כמו כן, </w:t>
      </w:r>
      <w:r w:rsidR="003B5F93" w:rsidRPr="007E0A76">
        <w:rPr>
          <w:rFonts w:ascii="Century" w:hAnsi="Century" w:hint="eastAsia"/>
          <w:rtl/>
        </w:rPr>
        <w:t>סעיף</w:t>
      </w:r>
      <w:r w:rsidR="003B5F93" w:rsidRPr="007E0A76">
        <w:rPr>
          <w:rFonts w:ascii="Century" w:hAnsi="Century"/>
          <w:rtl/>
        </w:rPr>
        <w:t xml:space="preserve"> 279(</w:t>
      </w:r>
      <w:r w:rsidR="003B5F93" w:rsidRPr="007E0A76">
        <w:rPr>
          <w:rFonts w:ascii="Century" w:hAnsi="Century" w:hint="eastAsia"/>
          <w:rtl/>
        </w:rPr>
        <w:t>א</w:t>
      </w:r>
      <w:r w:rsidR="003B5F93" w:rsidRPr="007E0A76">
        <w:rPr>
          <w:rFonts w:ascii="Century" w:hAnsi="Century"/>
          <w:rtl/>
        </w:rPr>
        <w:t>)</w:t>
      </w:r>
      <w:r>
        <w:rPr>
          <w:rFonts w:ascii="Century" w:hAnsi="Century"/>
          <w:rtl/>
        </w:rPr>
        <w:t xml:space="preserve"> לחוק קובע כך:</w:t>
      </w:r>
    </w:p>
    <w:p w14:paraId="07F1C22E" w14:textId="77777777" w:rsidR="0083513E" w:rsidRDefault="0083513E" w:rsidP="0083513E">
      <w:pPr>
        <w:pStyle w:val="Ruller41"/>
        <w:rPr>
          <w:rFonts w:ascii="Century" w:hAnsi="Century"/>
          <w:rtl/>
        </w:rPr>
      </w:pPr>
    </w:p>
    <w:p w14:paraId="60B317A8" w14:textId="77777777" w:rsidR="0083513E" w:rsidRDefault="00000000" w:rsidP="0083513E">
      <w:pPr>
        <w:pStyle w:val="Ruller50"/>
        <w:rPr>
          <w:rtl/>
        </w:rPr>
      </w:pPr>
      <w:r>
        <w:rPr>
          <w:rtl/>
        </w:rPr>
        <w:t>בית המשפט מוסמך, בכפוף להוראות לפי חוק זה, להחליט בכל שאלה שבמשפט או שבעובדה, המתעוררת בעניין הליכי חדלות פירעון שלפניו או אם מצא כי הכרעה בה נדרשת לשם ייעול ההליכים כאמור, למעט החלטה שעניינה הכרעה בהליכים פליליים או הליכים מינהליים, בכפוף להוראות סעיף 31.</w:t>
      </w:r>
    </w:p>
    <w:p w14:paraId="519F63AB" w14:textId="77777777" w:rsidR="0083513E" w:rsidRDefault="0083513E" w:rsidP="0083513E">
      <w:pPr>
        <w:pStyle w:val="Ruller41"/>
      </w:pPr>
    </w:p>
    <w:p w14:paraId="6ABF7694" w14:textId="5EADBDE5" w:rsidR="0083513E" w:rsidRDefault="00000000" w:rsidP="0083513E">
      <w:pPr>
        <w:pStyle w:val="Ruller41"/>
        <w:rPr>
          <w:rtl/>
        </w:rPr>
      </w:pPr>
      <w:r>
        <w:rPr>
          <w:rtl/>
        </w:rPr>
        <w:tab/>
        <w:t xml:space="preserve">הווה אומר: המחוקק הביע מפורשות את דעתו לפיה על בית המשפט של חדלות פירעון להימנע מלדון "בהליך מינהלי", גם אם הליך מעין זה מתעורר לפניו במהלך ובמרוצת תיק חדלות הפירעון. אכן קביעה זו מערימה לא פעם קשיים, שכן כפי </w:t>
      </w:r>
      <w:r w:rsidRPr="007E0A76">
        <w:rPr>
          <w:rtl/>
        </w:rPr>
        <w:t xml:space="preserve">שנאמר בעניין </w:t>
      </w:r>
      <w:r w:rsidR="007E7F5C" w:rsidRPr="007E0A76">
        <w:rPr>
          <w:rtl/>
        </w:rPr>
        <w:t>ע"א 3069/17</w:t>
      </w:r>
      <w:r w:rsidRPr="007E0A76">
        <w:rPr>
          <w:rtl/>
        </w:rPr>
        <w:t xml:space="preserve"> </w:t>
      </w:r>
      <w:r w:rsidRPr="007E0A76">
        <w:rPr>
          <w:rFonts w:ascii="Century" w:hAnsi="Century" w:cs="Miriam"/>
          <w:b/>
          <w:spacing w:val="0"/>
          <w:szCs w:val="24"/>
          <w:rtl/>
        </w:rPr>
        <w:t>משרד החינוך נ' עמותת גני חב"ד צפת (בפירוק)</w:t>
      </w:r>
      <w:r w:rsidRPr="007E0A76">
        <w:rPr>
          <w:rtl/>
        </w:rPr>
        <w:t>, פסקה 22</w:t>
      </w:r>
      <w:r>
        <w:rPr>
          <w:rtl/>
        </w:rPr>
        <w:t xml:space="preserve"> לחוות דעתי (29.10.2017): "סוגיות מתחום המשפט המינהלי-ציבורי עשויות להגיע לפתחו של בית המשפט של חדלות פירעון במגוון מצבים שונים". אף על פי כן, על בית המשפט להפנות את ההכרעה באותם מצבים לערכאה המינהלית המוסמכת.</w:t>
      </w:r>
    </w:p>
    <w:p w14:paraId="4E34F557" w14:textId="77777777" w:rsidR="0083513E" w:rsidRDefault="00000000" w:rsidP="0083513E">
      <w:pPr>
        <w:pStyle w:val="Ruller41"/>
        <w:rPr>
          <w:rtl/>
        </w:rPr>
      </w:pPr>
      <w:r>
        <w:rPr>
          <w:rtl/>
        </w:rPr>
        <w:t xml:space="preserve"> </w:t>
      </w:r>
    </w:p>
    <w:p w14:paraId="60B4E1D2" w14:textId="6C0FCC87" w:rsidR="0083513E" w:rsidRDefault="00000000" w:rsidP="0083513E">
      <w:pPr>
        <w:pStyle w:val="Ruller4"/>
        <w:rPr>
          <w:rtl/>
        </w:rPr>
      </w:pPr>
      <w:r>
        <w:rPr>
          <w:rtl/>
        </w:rPr>
        <w:t xml:space="preserve">בהמשך לכך, ובהקשר לענייננו, אין מקום לספק כי הממונה נכנס לגדרו של רשות מינהלית. אלא שלא כל החלטה של הממונה מהווה החלטה שלא ניתן להשיג עליה לפני בית המשפט של חדלות פירעון. בכל הנוגע להחלטותיו הקונקרטיות של הממונה במקרה ספציפי, אלה נתונות לערעור לפי </w:t>
      </w:r>
      <w:r w:rsidR="003B5F93" w:rsidRPr="00EB280B">
        <w:rPr>
          <w:rFonts w:hint="eastAsia"/>
          <w:rtl/>
        </w:rPr>
        <w:t>סעיף</w:t>
      </w:r>
      <w:r w:rsidR="003B5F93" w:rsidRPr="00EB280B">
        <w:rPr>
          <w:rtl/>
        </w:rPr>
        <w:t xml:space="preserve"> 350</w:t>
      </w:r>
      <w:r>
        <w:rPr>
          <w:rtl/>
        </w:rPr>
        <w:t xml:space="preserve"> לחוק (כל החלטה לפי אפיונה והגדרתה) לבית המשפט של חדלות פירעון. השאלה מה דינן של אותן החלטות שאינן ניתנות לערעור לפי </w:t>
      </w:r>
      <w:r w:rsidR="003B5F93" w:rsidRPr="00EB280B">
        <w:rPr>
          <w:rFonts w:hint="eastAsia"/>
          <w:rtl/>
        </w:rPr>
        <w:t>סעיף</w:t>
      </w:r>
      <w:r w:rsidR="003B5F93" w:rsidRPr="00EB280B">
        <w:rPr>
          <w:rtl/>
        </w:rPr>
        <w:t xml:space="preserve"> 350</w:t>
      </w:r>
      <w:r>
        <w:rPr>
          <w:rtl/>
        </w:rPr>
        <w:t xml:space="preserve"> לחוק – לא מפני שהן אינן נכנסות לגדרן של ההחלטות עליהן ניתן להגיש ערעור לפי הסעיף האמור – אלא מפני שהן החלטות מינהליות כלליות-ניהוליות-רוחביות הניתנות על ידו ב"כובעו" כרשות מינהלית מוסמכת והנוגעות לתפקידו ולתפקודו. בעניין זה, נראה כי די נהיר שהחלטות מהסוג המפורט, כגון הנוהל וההוראות הקבועות בו, למרות שהן עומדות בגרעין התמחותו של בית המשפט של חדלות פירעון, הן החלטות שהביקורת השיפוטית עליהן מסורה לפי </w:t>
      </w:r>
      <w:r w:rsidR="003B5F93" w:rsidRPr="00EB280B">
        <w:rPr>
          <w:rFonts w:hint="eastAsia"/>
          <w:rtl/>
        </w:rPr>
        <w:t>סעיף</w:t>
      </w:r>
      <w:r w:rsidR="003B5F93" w:rsidRPr="00EB280B">
        <w:rPr>
          <w:rtl/>
        </w:rPr>
        <w:t xml:space="preserve"> 279(</w:t>
      </w:r>
      <w:r w:rsidR="003B5F93" w:rsidRPr="00EB280B">
        <w:rPr>
          <w:rFonts w:hint="eastAsia"/>
          <w:rtl/>
        </w:rPr>
        <w:t>א</w:t>
      </w:r>
      <w:r w:rsidR="003B5F93" w:rsidRPr="00EB280B">
        <w:rPr>
          <w:rtl/>
        </w:rPr>
        <w:t>)</w:t>
      </w:r>
      <w:r>
        <w:rPr>
          <w:rtl/>
        </w:rPr>
        <w:t xml:space="preserve"> לערכאה המינהלית המוסמכת. </w:t>
      </w:r>
    </w:p>
    <w:p w14:paraId="16481F9D" w14:textId="77777777" w:rsidR="0083513E" w:rsidRDefault="0083513E" w:rsidP="0083513E">
      <w:pPr>
        <w:pStyle w:val="Ruller41"/>
        <w:rPr>
          <w:rtl/>
        </w:rPr>
      </w:pPr>
    </w:p>
    <w:p w14:paraId="67F19A35" w14:textId="1AEB4E0A" w:rsidR="0083513E" w:rsidRDefault="00000000" w:rsidP="00881974">
      <w:pPr>
        <w:pStyle w:val="Ruller4"/>
      </w:pPr>
      <w:r>
        <w:rPr>
          <w:rtl/>
        </w:rPr>
        <w:t>עם זאת, וכאן העיקר לענייננו – אין באמור כדי למנוע מבעל דין בהליך חדלות פירעון להעלות את השגותיו כלפי אותן החלטות הניתנות על ידי הממונה בכובעו כרשות מינהלית, באמצעות תקיפה עקיפה. וכפי שאמר בית המשפט</w:t>
      </w:r>
      <w:r w:rsidRPr="00EB280B">
        <w:rPr>
          <w:rtl/>
        </w:rPr>
        <w:t xml:space="preserve"> ב</w:t>
      </w:r>
      <w:r w:rsidR="007E7F5C" w:rsidRPr="00EB280B">
        <w:rPr>
          <w:rFonts w:hint="eastAsia"/>
          <w:rtl/>
        </w:rPr>
        <w:t>ע</w:t>
      </w:r>
      <w:r w:rsidR="007E7F5C" w:rsidRPr="00EB280B">
        <w:rPr>
          <w:rtl/>
        </w:rPr>
        <w:t>"</w:t>
      </w:r>
      <w:r w:rsidR="007E7F5C" w:rsidRPr="00EB280B">
        <w:rPr>
          <w:rFonts w:hint="eastAsia"/>
          <w:rtl/>
        </w:rPr>
        <w:t>א</w:t>
      </w:r>
      <w:r w:rsidR="007E7F5C" w:rsidRPr="00EB280B">
        <w:rPr>
          <w:rtl/>
        </w:rPr>
        <w:t xml:space="preserve"> 4291/17</w:t>
      </w:r>
      <w:r w:rsidRPr="00EB280B">
        <w:rPr>
          <w:rtl/>
        </w:rPr>
        <w:t xml:space="preserve"> </w:t>
      </w:r>
      <w:r>
        <w:rPr>
          <w:rFonts w:ascii="Century" w:hAnsi="Century" w:cs="Miriam"/>
          <w:b/>
          <w:spacing w:val="0"/>
          <w:szCs w:val="24"/>
          <w:rtl/>
        </w:rPr>
        <w:t>אלפריח נ' עיריית חיפה</w:t>
      </w:r>
      <w:r>
        <w:rPr>
          <w:rtl/>
        </w:rPr>
        <w:t xml:space="preserve"> (6.3.2019): </w:t>
      </w:r>
    </w:p>
    <w:p w14:paraId="3AB5CABB" w14:textId="77777777" w:rsidR="0083513E" w:rsidRDefault="0083513E" w:rsidP="0083513E">
      <w:pPr>
        <w:pStyle w:val="Ruller41"/>
        <w:rPr>
          <w:rtl/>
        </w:rPr>
      </w:pPr>
    </w:p>
    <w:p w14:paraId="6B2F3BDA" w14:textId="77777777" w:rsidR="0083513E" w:rsidRDefault="00000000" w:rsidP="0083513E">
      <w:pPr>
        <w:pStyle w:val="Ruller50"/>
        <w:rPr>
          <w:rFonts w:ascii="Century" w:hAnsi="Century"/>
          <w:rtl/>
        </w:rPr>
      </w:pPr>
      <w:r>
        <w:rPr>
          <w:rtl/>
        </w:rPr>
        <w:t xml:space="preserve">"אכן, המשפט הישראלי הכיר משכבר הימים באפשרות של </w:t>
      </w:r>
      <w:r>
        <w:rPr>
          <w:rFonts w:ascii="Century" w:hAnsi="Century" w:cs="Miriam"/>
          <w:b/>
          <w:spacing w:val="0"/>
          <w:szCs w:val="24"/>
          <w:rtl/>
        </w:rPr>
        <w:t>תקיפה</w:t>
      </w:r>
      <w:r>
        <w:rPr>
          <w:rtl/>
        </w:rPr>
        <w:t xml:space="preserve"> </w:t>
      </w:r>
      <w:r>
        <w:rPr>
          <w:rFonts w:ascii="Century" w:hAnsi="Century" w:cs="Miriam"/>
          <w:b/>
          <w:spacing w:val="0"/>
          <w:szCs w:val="24"/>
          <w:rtl/>
        </w:rPr>
        <w:t>עקיפה</w:t>
      </w:r>
      <w:r>
        <w:rPr>
          <w:rtl/>
        </w:rPr>
        <w:t xml:space="preserve"> </w:t>
      </w:r>
      <w:r>
        <w:rPr>
          <w:rFonts w:ascii="Calibri" w:hAnsi="Calibri"/>
          <w:spacing w:val="0"/>
          <w:szCs w:val="24"/>
          <w:rtl/>
        </w:rPr>
        <w:t>(</w:t>
      </w:r>
      <w:r>
        <w:rPr>
          <w:rFonts w:ascii="Garamond" w:hAnsi="Garamond"/>
          <w:spacing w:val="0"/>
          <w:sz w:val="26"/>
          <w:szCs w:val="26"/>
        </w:rPr>
        <w:t>collateral attack</w:t>
      </w:r>
      <w:r>
        <w:rPr>
          <w:rFonts w:ascii="Calibri" w:hAnsi="Calibri"/>
          <w:spacing w:val="0"/>
          <w:szCs w:val="24"/>
          <w:rtl/>
        </w:rPr>
        <w:t>)</w:t>
      </w:r>
      <w:r>
        <w:rPr>
          <w:rtl/>
        </w:rPr>
        <w:t xml:space="preserve"> של אקט שלטוני, כאשר הצורך בביקורת עקיפה מתעורר באופן </w:t>
      </w:r>
      <w:r>
        <w:rPr>
          <w:rFonts w:ascii="Century" w:hAnsi="Century" w:cs="Miriam"/>
          <w:b/>
          <w:spacing w:val="0"/>
          <w:szCs w:val="24"/>
          <w:rtl/>
        </w:rPr>
        <w:t>אינצידנטלי</w:t>
      </w:r>
      <w:r>
        <w:rPr>
          <w:rtl/>
        </w:rPr>
        <w:t xml:space="preserve"> במסגרת הליך המתנהל בפני בית משפט בענין שבתחום סמכותו. זאת, להבדיל מ</w:t>
      </w:r>
      <w:r>
        <w:rPr>
          <w:rFonts w:ascii="Century" w:hAnsi="Century" w:cs="Miriam"/>
          <w:b/>
          <w:spacing w:val="0"/>
          <w:szCs w:val="24"/>
          <w:rtl/>
        </w:rPr>
        <w:t xml:space="preserve">תקיפה ישירה </w:t>
      </w:r>
      <w:r>
        <w:rPr>
          <w:rFonts w:ascii="Calibri" w:hAnsi="Calibri"/>
          <w:szCs w:val="24"/>
          <w:rtl/>
        </w:rPr>
        <w:t>(</w:t>
      </w:r>
      <w:r w:rsidRPr="007E7F5C">
        <w:rPr>
          <w:rFonts w:ascii="Garamond" w:hAnsi="Garamond" w:cs="Calibri"/>
          <w:spacing w:val="0"/>
          <w:sz w:val="26"/>
          <w:szCs w:val="26"/>
        </w:rPr>
        <w:t>direct attack</w:t>
      </w:r>
      <w:r>
        <w:rPr>
          <w:rFonts w:ascii="Calibri" w:hAnsi="Calibri"/>
          <w:szCs w:val="24"/>
          <w:rtl/>
        </w:rPr>
        <w:t>)</w:t>
      </w:r>
      <w:r>
        <w:rPr>
          <w:rtl/>
        </w:rPr>
        <w:t xml:space="preserve"> של אקט שלטוני המבוצעת בפני בית המשפט המוסמך לקיים ביקורת שיפוטית על אקט שלטוני זה, בהליך המכוון במישרין נגד המעשה השלטוני. </w:t>
      </w:r>
      <w:r>
        <w:rPr>
          <w:rFonts w:ascii="Century" w:hAnsi="Century"/>
          <w:rtl/>
        </w:rPr>
        <w:t xml:space="preserve">הליך התקיפה העקיפה נקלט במשפט הישראלי מהמשפט האנגלי, שם הוא נהוג מזה מאות שנים. </w:t>
      </w:r>
      <w:r>
        <w:rPr>
          <w:rtl/>
        </w:rPr>
        <w:t>ייחודו של הליך התקיפה העקיפה טמון בכך שהוא מאפשר לבית המשפט לדון בענין שברגיל אינו בגדר סמכותו העניינית אלא בסמכותה הייחודית של ערכאה שיפוטית אחרת. [...].</w:t>
      </w:r>
    </w:p>
    <w:p w14:paraId="0E1804D2" w14:textId="77777777" w:rsidR="0083513E" w:rsidRDefault="0083513E" w:rsidP="0083513E">
      <w:pPr>
        <w:pStyle w:val="Ruller50"/>
      </w:pPr>
    </w:p>
    <w:p w14:paraId="4A7DB20C" w14:textId="1BE1DDA7" w:rsidR="0083513E" w:rsidRDefault="00000000" w:rsidP="0083513E">
      <w:pPr>
        <w:pStyle w:val="Ruller50"/>
        <w:rPr>
          <w:rFonts w:ascii="Century" w:hAnsi="Century"/>
          <w:rtl/>
        </w:rPr>
      </w:pPr>
      <w:r>
        <w:rPr>
          <w:rtl/>
        </w:rPr>
        <w:t xml:space="preserve">סמכות זו מעוגנת כיום בסעיף </w:t>
      </w:r>
      <w:r w:rsidRPr="00EB280B">
        <w:rPr>
          <w:rtl/>
        </w:rPr>
        <w:t>76 ל</w:t>
      </w:r>
      <w:r w:rsidR="007E7F5C" w:rsidRPr="00EB280B">
        <w:rPr>
          <w:rtl/>
        </w:rPr>
        <w:t>חוק בתי המשפט</w:t>
      </w:r>
      <w:r>
        <w:rPr>
          <w:rtl/>
        </w:rPr>
        <w:t xml:space="preserve"> [נוסח משולב], התשמ"ד-1984 (להלן: </w:t>
      </w:r>
      <w:r>
        <w:rPr>
          <w:rFonts w:ascii="Century" w:hAnsi="Century" w:cs="Miriam"/>
          <w:b/>
          <w:spacing w:val="0"/>
          <w:szCs w:val="24"/>
          <w:rtl/>
        </w:rPr>
        <w:t>חוק בתי המשפט</w:t>
      </w:r>
      <w:r>
        <w:rPr>
          <w:rFonts w:ascii="Century" w:hAnsi="Century"/>
          <w:rtl/>
        </w:rPr>
        <w:t>)</w:t>
      </w:r>
      <w:r>
        <w:rPr>
          <w:rtl/>
        </w:rPr>
        <w:t>, שכותרתו "</w:t>
      </w:r>
      <w:r>
        <w:rPr>
          <w:rFonts w:ascii="Century" w:hAnsi="Century" w:cs="Miriam"/>
          <w:b/>
          <w:spacing w:val="0"/>
          <w:szCs w:val="24"/>
          <w:rtl/>
        </w:rPr>
        <w:t>סמכות נגררת</w:t>
      </w:r>
      <w:r>
        <w:rPr>
          <w:rtl/>
        </w:rPr>
        <w:t xml:space="preserve">", אשר קובע כי –  </w:t>
      </w:r>
    </w:p>
    <w:p w14:paraId="53245452" w14:textId="77777777" w:rsidR="0083513E" w:rsidRDefault="0083513E" w:rsidP="0083513E">
      <w:pPr>
        <w:pStyle w:val="Ruller50"/>
        <w:rPr>
          <w:rFonts w:ascii="Century" w:hAnsi="Century"/>
        </w:rPr>
      </w:pPr>
    </w:p>
    <w:p w14:paraId="33C39F16" w14:textId="77777777" w:rsidR="0083513E" w:rsidRDefault="00000000" w:rsidP="0083513E">
      <w:pPr>
        <w:pStyle w:val="Ruller50"/>
        <w:ind w:left="2160" w:right="1843"/>
        <w:rPr>
          <w:rtl/>
        </w:rPr>
      </w:pPr>
      <w:r>
        <w:rPr>
          <w:rtl/>
        </w:rPr>
        <w:t>'</w:t>
      </w:r>
      <w:r>
        <w:rPr>
          <w:rStyle w:val="default"/>
          <w:rtl/>
        </w:rPr>
        <w:t>הובא ענין כדין לפני בית משפט והתעוררה בו דרך אגב שאלה שהכרעתה דרושה לבירור הענין, רשאי בית המשפט להכריע בה לצורך אותו ענין אף אם הענין שבשאלה הוא בסמכותו הייחודית של בית משפט אחר או של בית דין אחר.'</w:t>
      </w:r>
    </w:p>
    <w:p w14:paraId="72BAEBE7" w14:textId="77777777" w:rsidR="0083513E" w:rsidRDefault="0083513E" w:rsidP="0083513E">
      <w:pPr>
        <w:pStyle w:val="Ruller50"/>
        <w:rPr>
          <w:rtl/>
        </w:rPr>
      </w:pPr>
    </w:p>
    <w:p w14:paraId="07F8DFC1" w14:textId="77777777" w:rsidR="0083513E" w:rsidRDefault="00000000" w:rsidP="0083513E">
      <w:pPr>
        <w:pStyle w:val="Ruller50"/>
        <w:rPr>
          <w:rtl/>
        </w:rPr>
      </w:pPr>
      <w:r>
        <w:rPr>
          <w:rtl/>
        </w:rPr>
        <w:t xml:space="preserve">נוכח ייחודו וחריגותו של הליך התקיפה העקיפה, המאפשר כאמור לבית המשפט לדון בענין שברגיל אינו בגדר סמכותו העניינית, המחוקק סייג את הסמכות הנגררת בשני סייגים עיקריים: ראשית, כי תנאי לקיום ביקורת עקיפה שההכרעה בשאלה מושא הביקורת העקיפה </w:t>
      </w:r>
      <w:r>
        <w:rPr>
          <w:rFonts w:ascii="Century" w:hAnsi="Century" w:cs="Miriam"/>
          <w:b/>
          <w:spacing w:val="0"/>
          <w:szCs w:val="24"/>
          <w:rtl/>
        </w:rPr>
        <w:t>'דרושה לבירור הענין</w:t>
      </w:r>
      <w:r>
        <w:rPr>
          <w:rtl/>
        </w:rPr>
        <w:t xml:space="preserve">' שבגדר סמכותו של בית המשפט, היינו שמדובר בשאלה אינצידנטלית לשאלה העיקרית מושא ההליך; ושנית, שההכרעה במסגרת ביקורת עקיפה כוחה יפה רק </w:t>
      </w:r>
      <w:r>
        <w:rPr>
          <w:rFonts w:ascii="Century" w:hAnsi="Century" w:cs="Miriam"/>
          <w:b/>
          <w:spacing w:val="0"/>
          <w:szCs w:val="24"/>
          <w:rtl/>
        </w:rPr>
        <w:t>'לצורך אותו ענין</w:t>
      </w:r>
      <w:r>
        <w:rPr>
          <w:rFonts w:ascii="Century" w:hAnsi="Century"/>
          <w:rtl/>
        </w:rPr>
        <w:t xml:space="preserve">', והיא אינה בגדר הכרעה </w:t>
      </w:r>
      <w:r>
        <w:rPr>
          <w:rFonts w:ascii="Century" w:hAnsi="Century" w:cs="Miriam"/>
          <w:b/>
          <w:spacing w:val="0"/>
          <w:szCs w:val="24"/>
          <w:rtl/>
        </w:rPr>
        <w:t>כללית</w:t>
      </w:r>
      <w:r>
        <w:rPr>
          <w:rFonts w:ascii="Century" w:hAnsi="Century"/>
          <w:rtl/>
        </w:rPr>
        <w:t xml:space="preserve"> באשר לתוקפו של מעשה המינהל שנבחן, ואינה מהווה מעשה בית דין אף בין אותם צדדים בהליך אחר. מצב אופייני עיקרי של תנאי האינצידנטליות הוא כאשר שאלת חוקיות המעשה המינהלי מתעוררת </w:t>
      </w:r>
      <w:r>
        <w:rPr>
          <w:rFonts w:ascii="Century" w:hAnsi="Century" w:cs="Miriam"/>
          <w:b/>
          <w:spacing w:val="0"/>
          <w:szCs w:val="24"/>
          <w:rtl/>
        </w:rPr>
        <w:t xml:space="preserve">כטענת הגנה </w:t>
      </w:r>
      <w:r>
        <w:rPr>
          <w:rFonts w:ascii="Century" w:hAnsi="Century"/>
          <w:rtl/>
        </w:rPr>
        <w:t>במסגרת הליך ששאלת חוקיות המעשה המינהלי אינה תכליתו ועיקרו" (שם, פסקאות 11-10; ההדגשות במקור).</w:t>
      </w:r>
    </w:p>
    <w:p w14:paraId="71AC92B4" w14:textId="77777777" w:rsidR="0083513E" w:rsidRDefault="0083513E" w:rsidP="0083513E">
      <w:pPr>
        <w:pStyle w:val="Ruller41"/>
        <w:rPr>
          <w:rtl/>
        </w:rPr>
      </w:pPr>
    </w:p>
    <w:p w14:paraId="0484E7F3" w14:textId="02321808" w:rsidR="0083513E" w:rsidRDefault="00000000" w:rsidP="0083513E">
      <w:pPr>
        <w:pStyle w:val="Ruller41"/>
        <w:rPr>
          <w:rtl/>
        </w:rPr>
      </w:pPr>
      <w:r>
        <w:rPr>
          <w:rtl/>
        </w:rPr>
        <w:tab/>
        <w:t xml:space="preserve">רוצה לומר, כי אין מניעה שבית המשפט של חדלות פירעון יבקר את החלטות הממונה "הכלליות" שניתנו בכובעו כרשות מינהלית במסגרת הליך חדלות הפירעון של חייב ספציפי, ובלבד שהדבר מושא הביקורת דרוש ל"בירור העניין" והוא לא יהווה </w:t>
      </w:r>
      <w:r w:rsidRPr="00EB280B">
        <w:rPr>
          <w:rtl/>
        </w:rPr>
        <w:t xml:space="preserve">מעשה בית דין במקרים אחרים (וראו גם: </w:t>
      </w:r>
      <w:r w:rsidR="007E7F5C" w:rsidRPr="00EB280B">
        <w:rPr>
          <w:rtl/>
        </w:rPr>
        <w:t>רע"א 2933/18</w:t>
      </w:r>
      <w:r w:rsidRPr="00EB280B">
        <w:rPr>
          <w:rtl/>
        </w:rPr>
        <w:t xml:space="preserve"> </w:t>
      </w:r>
      <w:r w:rsidRPr="00EB280B">
        <w:rPr>
          <w:rFonts w:ascii="Century" w:hAnsi="Century" w:cs="Miriam"/>
          <w:b/>
          <w:spacing w:val="0"/>
          <w:szCs w:val="24"/>
          <w:rtl/>
        </w:rPr>
        <w:t>עיריית אור עקיבא נ' מקורות חברת מים</w:t>
      </w:r>
      <w:r w:rsidRPr="00EB280B">
        <w:rPr>
          <w:rtl/>
        </w:rPr>
        <w:t xml:space="preserve">, פסקאות 26-25 (1.8.2019); </w:t>
      </w:r>
      <w:r w:rsidR="007E7F5C" w:rsidRPr="00EB280B">
        <w:rPr>
          <w:rtl/>
        </w:rPr>
        <w:t>ע"א 4151/20</w:t>
      </w:r>
      <w:r w:rsidRPr="00EB280B">
        <w:rPr>
          <w:rtl/>
        </w:rPr>
        <w:t xml:space="preserve"> </w:t>
      </w:r>
      <w:r w:rsidRPr="00EB280B">
        <w:rPr>
          <w:rFonts w:ascii="Century" w:hAnsi="Century" w:cs="Miriam"/>
          <w:b/>
          <w:spacing w:val="0"/>
          <w:szCs w:val="24"/>
          <w:rtl/>
        </w:rPr>
        <w:t>נוה-גד בניין ופתוח בע"מ נ' עיריית באר שבע</w:t>
      </w:r>
      <w:r w:rsidRPr="00EB280B">
        <w:rPr>
          <w:rtl/>
        </w:rPr>
        <w:t xml:space="preserve">, פסקה 18 (18.10.2023); יצחק </w:t>
      </w:r>
      <w:r w:rsidR="007E7F5C" w:rsidRPr="00EB280B">
        <w:rPr>
          <w:rtl/>
        </w:rPr>
        <w:t>זמיר "ביקורת עקיפה על החלטות</w:t>
      </w:r>
      <w:r w:rsidR="007E7F5C" w:rsidRPr="007E7F5C">
        <w:rPr>
          <w:color w:val="0000FF"/>
          <w:u w:val="single"/>
          <w:rtl/>
        </w:rPr>
        <w:t xml:space="preserve"> </w:t>
      </w:r>
      <w:r>
        <w:rPr>
          <w:rtl/>
        </w:rPr>
        <w:t xml:space="preserve"> מינהליות" </w:t>
      </w:r>
      <w:r>
        <w:rPr>
          <w:rFonts w:ascii="Century" w:hAnsi="Century" w:cs="Miriam"/>
          <w:b/>
          <w:spacing w:val="0"/>
          <w:szCs w:val="24"/>
          <w:rtl/>
        </w:rPr>
        <w:t>ספר דורית ביניש</w:t>
      </w:r>
      <w:r>
        <w:rPr>
          <w:rtl/>
        </w:rPr>
        <w:t xml:space="preserve"> 359, 372 (2018)). משכך, גם במקרה כגון זה שבענייננו, בית המשפט של חדלות פירעון רשאי להעביר תחת שבט ביקורתו את הנוהל, כל אימת שביקורת זו דרושה לבירור העניין, ובלבד שהיא תהיה תקפה אך ורק לעניין המסור להכרעתו הקונקרטית בדבר בחינת הקריטריונים לקביעת שיעור התשלום שיושת על החייב במסגרת צו פתיחת ההליכים בעניינו. </w:t>
      </w:r>
    </w:p>
    <w:p w14:paraId="79C2FFC2" w14:textId="77777777" w:rsidR="0083513E" w:rsidRDefault="0083513E" w:rsidP="0083513E">
      <w:pPr>
        <w:pStyle w:val="Ruller41"/>
        <w:rPr>
          <w:rtl/>
        </w:rPr>
      </w:pPr>
    </w:p>
    <w:p w14:paraId="48DAB54E" w14:textId="77777777" w:rsidR="0083513E" w:rsidRDefault="00000000" w:rsidP="0083513E">
      <w:pPr>
        <w:pStyle w:val="Ruller4"/>
        <w:rPr>
          <w:rtl/>
        </w:rPr>
      </w:pPr>
      <w:r>
        <w:rPr>
          <w:rtl/>
        </w:rPr>
        <w:t xml:space="preserve">נבחן אפוא את הוראות הנוהל הרלוונטיות לענייננו, בראי טענות המערערת בנוגע להתחשבות בשכר המינימום. </w:t>
      </w:r>
    </w:p>
    <w:p w14:paraId="096A46AF" w14:textId="77777777" w:rsidR="0083513E" w:rsidRDefault="0083513E" w:rsidP="0083513E">
      <w:pPr>
        <w:pStyle w:val="Ruller41"/>
        <w:rPr>
          <w:rtl/>
        </w:rPr>
      </w:pPr>
    </w:p>
    <w:p w14:paraId="4D2656C7" w14:textId="1CF9E009" w:rsidR="0083513E" w:rsidRDefault="00000000" w:rsidP="0083513E">
      <w:pPr>
        <w:pStyle w:val="Ruller4"/>
        <w:rPr>
          <w:rtl/>
        </w:rPr>
      </w:pPr>
      <w:r>
        <w:rPr>
          <w:rtl/>
        </w:rPr>
        <w:t xml:space="preserve">בתחילת הנוהל פורטה המטרה בקביעת כללים לחישוב דמי המחיה, שהיא יצירת אחידות ושוויון בין החייבים השונים, תוך התאמתם לנסיבותיו האישיות של החייב הקונקרטי. צוין כי בשים לב לכך שהחוק אינו מגדיר באופן ממצה את המונח "דמי מחיה" וקביעתם של כללי המחיה נתונה בידי שר המשפטים, שטרם קבע כללים מעין אלו, נדרש הממונה לקבוע מדיניות ברורה ואחידה לחישוב התשלומים החודשיים שיקבעו על ידו לפי הוראות </w:t>
      </w:r>
      <w:r w:rsidR="003B5F93" w:rsidRPr="00EB280B">
        <w:rPr>
          <w:rFonts w:hint="eastAsia"/>
          <w:rtl/>
        </w:rPr>
        <w:t>סעיף</w:t>
      </w:r>
      <w:r w:rsidR="003B5F93" w:rsidRPr="00EB280B">
        <w:rPr>
          <w:rtl/>
        </w:rPr>
        <w:t xml:space="preserve"> 156</w:t>
      </w:r>
      <w:r>
        <w:rPr>
          <w:rtl/>
        </w:rPr>
        <w:t xml:space="preserve"> לחוק. בהתאם לכך נקבעו עקרונות מנחים לקביעת גובה התשלומים. עקרונות אלו מבוססים על מסקנות שהוסקו מניסיון מצטבר ארוך שנים בקביעת תכניות פירעון לחייבים בהליכי פשיטת רגל ולימוד מודלים קיימים במדינות שונות בעולם. העיקרון הראשון הוא עיקרון השוויון, שמכוחו נקבעו לצורך חישוב גובה התשלום החודשי סכומים אחידים המבוססים על קצבת נכות כללית לדרגת אי-כושר יציבה בשיעור 75% ומעלה המשולמת על ידי המוסד לביטוח לאומי, שנועדה לשקף את הסכום הבסיסי הדרוש לצרכי מחייתו המינימליים של החייב. על סכום זה הוספו סכומים אחידים עבור ילדי החייב. בנוסף, מכוח העיקרון של שיקום החייב וכדי לעודד אותו למצות את כושר השתכרותו, נקבע כי יש להותיר בידיו מחצית מהכנסתו הפנויה לאחר הפחתת הסכום הבסיסי כמפורט לעיל. כן נקבעו כללים לחישוב הכנסות התא המשפחתי הכוללות את סכום ההכנסות של כל מי שנכלל בתא המשפחתי מכל מקור שהוא, כגון שכר עבודה, דמי שכירות, דמי מזונות, קצבאות וכיו"ב; כמו גם כללים לחישוב ההוצאות החיוניות שניתן להפחית מהכנסות התא המשפחתי. נוסף על כך נקבע כי התשלום החודשי יחושב בהתאם לחלקו היחסי של החייב מתוך ההכנסה הכוללת של התא המשפחתי. עם זאת, מקום בו בן הזוג של החייב אינו עובד או שהכנסותיו נמוכות משכר מינימום ללא סיבה מוצדקת, הממונה רשאי לקבוע כי חלוקת הנטל בין בני הזוג תהיה בהתאם ליחס שבין הכנסות החייב להכנסה בגובה שכר מינימום נטו שתיוחס לבן הזוג. כן נקבע כי בהליך שנפתח לבקשת חייב, יקבע הממונה את גובה התשלום החודשי במסגרת הצו לפתיחת הליכים, בהתאם לנתונים עליהם דיווח החייב בדוח שצירף לבקשתו ולכל מידע נוסף שבידי הממונה. בנוסף נקבע כי ביחס לחייב שאינו עובד ללא הצדקה, הסכום החודשי בו יישא לא יפחת מסך של 150 ש"ח למשך שלושה חודשים, ולאחר מכן ייקבע בהתבסס על הכנסה נטו בגובה שכר מינימום. אשר לחייב שעבד בשנה שלפני מתן הצו לפתיחת הליכים, תיוחס לו הכנסה בהתאם לממוצע השכר שלו בשנה האמורה או לגובה שכר מינימום נטו, לפי הגבוה מבניהם. </w:t>
      </w:r>
    </w:p>
    <w:p w14:paraId="52DBFAC4" w14:textId="77777777" w:rsidR="0083513E" w:rsidRDefault="0083513E" w:rsidP="0083513E">
      <w:pPr>
        <w:pStyle w:val="Ruller41"/>
        <w:rPr>
          <w:rtl/>
        </w:rPr>
      </w:pPr>
    </w:p>
    <w:p w14:paraId="5C300F50" w14:textId="063C59DF" w:rsidR="0083513E" w:rsidRDefault="00000000" w:rsidP="0083513E">
      <w:pPr>
        <w:pStyle w:val="Ruller4"/>
        <w:rPr>
          <w:color w:val="000000"/>
          <w:sz w:val="27"/>
          <w:szCs w:val="27"/>
        </w:rPr>
      </w:pPr>
      <w:r>
        <w:rPr>
          <w:rtl/>
        </w:rPr>
        <w:t xml:space="preserve">מהוראות אלה עולה אפוא, כי לא נקבעה בנוהל הוראה לגבי כושר השתכרותו של החייב, אך נאמר כי גובה התשלום החודשי ייקבע גם על בסיס מידע נוסף שבידי הממונה, ולגבי חייב "שלא עובד ללא הצדק", שכרו ייקבע כאמור לפי שכר מינימום או לפי שכרו בשנה שלפני מתן הצו. על פניו, הוראות אלה מתונות ביותר וביחס לחייב קיימת הנחת מהימנות. השכר נקבע על ידי הממונה במקרים חריגים, ובמקרים המתאימים כושר ההשתכרות נקבע לפי חשבון אמפירי על בסיס השכר של השנה שחלפה לפני פתיחת ההליך. קשה אפוא עד למאוד לראות במקרה זה בסיס להתערבות בית המשפט בהוראות אלה, גם בכל קנה מידה מינהלי. זאת בשים לב לכך שהיקף ההתערבות של בית משפט מינהלי בהחלטות שעניינן במדיניות, מצומצם ביותר, </w:t>
      </w:r>
      <w:r w:rsidRPr="00FB7DC0">
        <w:rPr>
          <w:rtl/>
        </w:rPr>
        <w:t>ומוגבל למקרים חריגים בהם ניתן להצביע על פגם חמור שנפל בהחלטה (</w:t>
      </w:r>
      <w:r w:rsidR="007E7F5C" w:rsidRPr="00FB7DC0">
        <w:rPr>
          <w:rFonts w:hint="eastAsia"/>
          <w:rtl/>
        </w:rPr>
        <w:t>בג</w:t>
      </w:r>
      <w:r w:rsidR="007E7F5C" w:rsidRPr="00FB7DC0">
        <w:rPr>
          <w:rtl/>
        </w:rPr>
        <w:t>"</w:t>
      </w:r>
      <w:r w:rsidR="007E7F5C" w:rsidRPr="00FB7DC0">
        <w:rPr>
          <w:rFonts w:hint="eastAsia"/>
          <w:rtl/>
        </w:rPr>
        <w:t>ץ</w:t>
      </w:r>
      <w:r w:rsidR="007E7F5C" w:rsidRPr="00FB7DC0">
        <w:rPr>
          <w:rtl/>
        </w:rPr>
        <w:t xml:space="preserve"> 2576/22</w:t>
      </w:r>
      <w:r w:rsidRPr="00FB7DC0">
        <w:rPr>
          <w:rtl/>
        </w:rPr>
        <w:t xml:space="preserve"> </w:t>
      </w:r>
      <w:r w:rsidRPr="00FB7DC0">
        <w:rPr>
          <w:rFonts w:ascii="Century" w:hAnsi="Century" w:cs="Miriam"/>
          <w:b/>
          <w:spacing w:val="0"/>
          <w:sz w:val="22"/>
          <w:szCs w:val="24"/>
          <w:rtl/>
        </w:rPr>
        <w:t>שטוי נ' המשרד לביטחון פנים, משטרת ישראל</w:t>
      </w:r>
      <w:r w:rsidRPr="00FB7DC0">
        <w:rPr>
          <w:rtl/>
        </w:rPr>
        <w:t xml:space="preserve">, פסקה 9 (26.2.2024); </w:t>
      </w:r>
      <w:r w:rsidR="007E7F5C" w:rsidRPr="00FB7DC0">
        <w:rPr>
          <w:rFonts w:hint="eastAsia"/>
          <w:rtl/>
        </w:rPr>
        <w:t>בג</w:t>
      </w:r>
      <w:r w:rsidR="007E7F5C" w:rsidRPr="00FB7DC0">
        <w:rPr>
          <w:rtl/>
        </w:rPr>
        <w:t>"</w:t>
      </w:r>
      <w:r w:rsidR="007E7F5C" w:rsidRPr="00FB7DC0">
        <w:rPr>
          <w:rFonts w:hint="eastAsia"/>
          <w:rtl/>
        </w:rPr>
        <w:t>ץ</w:t>
      </w:r>
      <w:r w:rsidR="007E7F5C" w:rsidRPr="00FB7DC0">
        <w:rPr>
          <w:rtl/>
        </w:rPr>
        <w:t xml:space="preserve"> 263/24</w:t>
      </w:r>
      <w:r w:rsidRPr="00FB7DC0">
        <w:rPr>
          <w:rtl/>
        </w:rPr>
        <w:t xml:space="preserve"> </w:t>
      </w:r>
      <w:r w:rsidRPr="00FB7DC0">
        <w:rPr>
          <w:rFonts w:ascii="Century" w:hAnsi="Century" w:cs="Miriam"/>
          <w:b/>
          <w:spacing w:val="0"/>
          <w:szCs w:val="24"/>
          <w:rtl/>
        </w:rPr>
        <w:t>שליחויות הבירה בע"מ ואח' נ' מדינת ישראל - משרד החוץ</w:t>
      </w:r>
      <w:r w:rsidRPr="00FB7DC0">
        <w:rPr>
          <w:rtl/>
        </w:rPr>
        <w:t>, פסקה 7 וההפניות</w:t>
      </w:r>
      <w:r>
        <w:rPr>
          <w:rtl/>
        </w:rPr>
        <w:t xml:space="preserve"> שם (1.2.2024)). אכן, אין לכחד, רתיעתו של בית המשפט מלהתערב בהחלטה מינהלית היא כאשר מדובר בהחלטה שבמומחיות אשר מצויה בגרעין שיקול הדעת של </w:t>
      </w:r>
      <w:r w:rsidRPr="00FB7DC0">
        <w:rPr>
          <w:rtl/>
        </w:rPr>
        <w:t>הרשויות המוסמכות ונשענת על שיקולים מקצועיים מובהקים (</w:t>
      </w:r>
      <w:r w:rsidR="007E7F5C" w:rsidRPr="00FB7DC0">
        <w:rPr>
          <w:rFonts w:hint="eastAsia"/>
          <w:rtl/>
        </w:rPr>
        <w:t>בג</w:t>
      </w:r>
      <w:r w:rsidR="007E7F5C" w:rsidRPr="00FB7DC0">
        <w:rPr>
          <w:rtl/>
        </w:rPr>
        <w:t>"</w:t>
      </w:r>
      <w:r w:rsidR="007E7F5C" w:rsidRPr="00FB7DC0">
        <w:rPr>
          <w:rFonts w:hint="eastAsia"/>
          <w:rtl/>
        </w:rPr>
        <w:t>ץ</w:t>
      </w:r>
      <w:r w:rsidR="007E7F5C" w:rsidRPr="00FB7DC0">
        <w:rPr>
          <w:rtl/>
        </w:rPr>
        <w:t xml:space="preserve"> 3054/21</w:t>
      </w:r>
      <w:r w:rsidRPr="00FB7DC0">
        <w:rPr>
          <w:rtl/>
        </w:rPr>
        <w:t xml:space="preserve"> </w:t>
      </w:r>
      <w:r w:rsidRPr="00FB7DC0">
        <w:rPr>
          <w:rFonts w:ascii="Century" w:hAnsi="Century" w:cs="Miriam"/>
          <w:b/>
          <w:spacing w:val="0"/>
          <w:szCs w:val="24"/>
          <w:rtl/>
        </w:rPr>
        <w:t>דנון נ' היועצת המשפטית לממשלה</w:t>
      </w:r>
      <w:r w:rsidRPr="00FB7DC0">
        <w:rPr>
          <w:rtl/>
        </w:rPr>
        <w:t xml:space="preserve">, פסקה 16 (19.02.2024); </w:t>
      </w:r>
      <w:r w:rsidR="007E7F5C" w:rsidRPr="00FB7DC0">
        <w:rPr>
          <w:rFonts w:hint="eastAsia"/>
          <w:rtl/>
        </w:rPr>
        <w:t>בג</w:t>
      </w:r>
      <w:r w:rsidR="007E7F5C" w:rsidRPr="00FB7DC0">
        <w:rPr>
          <w:rtl/>
        </w:rPr>
        <w:t>"</w:t>
      </w:r>
      <w:r w:rsidR="007E7F5C" w:rsidRPr="00FB7DC0">
        <w:rPr>
          <w:rFonts w:hint="eastAsia"/>
          <w:rtl/>
        </w:rPr>
        <w:t>ץ</w:t>
      </w:r>
      <w:r w:rsidR="007E7F5C" w:rsidRPr="00FB7DC0">
        <w:rPr>
          <w:rtl/>
        </w:rPr>
        <w:t xml:space="preserve"> 4409/21</w:t>
      </w:r>
      <w:r w:rsidRPr="00FB7DC0">
        <w:rPr>
          <w:rtl/>
        </w:rPr>
        <w:t xml:space="preserve"> </w:t>
      </w:r>
      <w:r w:rsidRPr="00FB7DC0">
        <w:rPr>
          <w:rFonts w:ascii="Century" w:hAnsi="Century" w:cs="Miriam"/>
          <w:b/>
          <w:spacing w:val="0"/>
          <w:sz w:val="22"/>
          <w:szCs w:val="24"/>
          <w:rtl/>
        </w:rPr>
        <w:t>תאגיד מי רעננה בע"מ נ' משרד הבריאות</w:t>
      </w:r>
      <w:r w:rsidRPr="00FB7DC0">
        <w:rPr>
          <w:rtl/>
        </w:rPr>
        <w:t xml:space="preserve">, פסקה 18 (24.10.2023); </w:t>
      </w:r>
      <w:r w:rsidR="007E7F5C" w:rsidRPr="00FB7DC0">
        <w:rPr>
          <w:rFonts w:hint="eastAsia"/>
          <w:rtl/>
        </w:rPr>
        <w:t>בג</w:t>
      </w:r>
      <w:r w:rsidR="007E7F5C" w:rsidRPr="00FB7DC0">
        <w:rPr>
          <w:rtl/>
        </w:rPr>
        <w:t>"</w:t>
      </w:r>
      <w:r w:rsidR="007E7F5C" w:rsidRPr="00FB7DC0">
        <w:rPr>
          <w:rFonts w:hint="eastAsia"/>
          <w:rtl/>
        </w:rPr>
        <w:t>ץ</w:t>
      </w:r>
      <w:r w:rsidR="007E7F5C" w:rsidRPr="00FB7DC0">
        <w:rPr>
          <w:rtl/>
        </w:rPr>
        <w:t xml:space="preserve"> 8691/20</w:t>
      </w:r>
      <w:r w:rsidRPr="00FB7DC0">
        <w:rPr>
          <w:rtl/>
        </w:rPr>
        <w:t xml:space="preserve"> </w:t>
      </w:r>
      <w:r w:rsidRPr="00FB7DC0">
        <w:rPr>
          <w:rFonts w:ascii="Century" w:hAnsi="Century" w:cs="Miriam"/>
          <w:b/>
          <w:spacing w:val="0"/>
          <w:sz w:val="22"/>
          <w:szCs w:val="24"/>
          <w:rtl/>
        </w:rPr>
        <w:t>ארגמן נ' מנכ"ל משרד</w:t>
      </w:r>
      <w:r>
        <w:rPr>
          <w:rFonts w:ascii="Century" w:hAnsi="Century" w:cs="Miriam"/>
          <w:b/>
          <w:spacing w:val="0"/>
          <w:sz w:val="22"/>
          <w:szCs w:val="24"/>
          <w:rtl/>
        </w:rPr>
        <w:t xml:space="preserve"> הבריאות</w:t>
      </w:r>
      <w:r>
        <w:rPr>
          <w:rFonts w:ascii="Century" w:hAnsi="Century"/>
          <w:sz w:val="22"/>
          <w:rtl/>
        </w:rPr>
        <w:t>, פסקה 6 (11.1.2021)</w:t>
      </w:r>
      <w:r>
        <w:rPr>
          <w:rtl/>
        </w:rPr>
        <w:t xml:space="preserve">). לעומת זאת במקרה זה מדובר בנושא הנמצא גם בתחום מומחיותו של בית המשפט של חדלות פירעון והוא עלול להתפתות להתערב בשיקול הדעת של הממונה הממלא תפקיד של רשות המינהלית. אלא שעל בית המשפט "להתאפק" ולהימנע מכך (והשוו לעניין אי-התערבות בשיקול הדעת המסור לרשויות </w:t>
      </w:r>
      <w:r w:rsidRPr="00FB7DC0">
        <w:rPr>
          <w:rtl/>
        </w:rPr>
        <w:t xml:space="preserve">אכיפת החוק בהחלטה בדבר פתיחתה של חקירה פלילית: </w:t>
      </w:r>
      <w:r w:rsidR="007E7F5C" w:rsidRPr="00FB7DC0">
        <w:rPr>
          <w:rFonts w:hint="eastAsia"/>
          <w:rtl/>
        </w:rPr>
        <w:t>בג</w:t>
      </w:r>
      <w:r w:rsidR="007E7F5C" w:rsidRPr="00FB7DC0">
        <w:rPr>
          <w:rtl/>
        </w:rPr>
        <w:t>"</w:t>
      </w:r>
      <w:r w:rsidR="007E7F5C" w:rsidRPr="00FB7DC0">
        <w:rPr>
          <w:rFonts w:hint="eastAsia"/>
          <w:rtl/>
        </w:rPr>
        <w:t>ץ</w:t>
      </w:r>
      <w:r w:rsidR="007E7F5C" w:rsidRPr="00FB7DC0">
        <w:rPr>
          <w:rtl/>
        </w:rPr>
        <w:t xml:space="preserve"> 2368/18</w:t>
      </w:r>
      <w:r w:rsidRPr="00FB7DC0">
        <w:rPr>
          <w:rtl/>
        </w:rPr>
        <w:t xml:space="preserve"> </w:t>
      </w:r>
      <w:r w:rsidRPr="00FB7DC0">
        <w:rPr>
          <w:rFonts w:ascii="Century" w:hAnsi="Century" w:cs="Miriam"/>
          <w:b/>
          <w:spacing w:val="0"/>
          <w:szCs w:val="24"/>
          <w:rtl/>
        </w:rPr>
        <w:t>עמותת ש.ע.ל – שלום עכשיו לישראל מפעלים חינוכיים נ' מפקדת כוחות צה"ל בגדה המערבית</w:t>
      </w:r>
      <w:r w:rsidRPr="00FB7DC0">
        <w:rPr>
          <w:sz w:val="28"/>
          <w:rtl/>
        </w:rPr>
        <w:t xml:space="preserve">, פסקאות 37-33 (9.5.2024); </w:t>
      </w:r>
      <w:r w:rsidRPr="00FB7DC0">
        <w:rPr>
          <w:rtl/>
        </w:rPr>
        <w:t xml:space="preserve">כך גם לגבי החלטות לגבי סגירת תיקים </w:t>
      </w:r>
      <w:r w:rsidRPr="00FB7DC0">
        <w:rPr>
          <w:sz w:val="28"/>
          <w:rtl/>
        </w:rPr>
        <w:t xml:space="preserve">פליליים: </w:t>
      </w:r>
      <w:r w:rsidR="007E7F5C" w:rsidRPr="00FB7DC0">
        <w:rPr>
          <w:rFonts w:hint="eastAsia"/>
          <w:sz w:val="28"/>
          <w:rtl/>
        </w:rPr>
        <w:t>בג</w:t>
      </w:r>
      <w:r w:rsidR="007E7F5C" w:rsidRPr="00FB7DC0">
        <w:rPr>
          <w:sz w:val="28"/>
          <w:rtl/>
        </w:rPr>
        <w:t>"</w:t>
      </w:r>
      <w:r w:rsidR="007E7F5C" w:rsidRPr="00FB7DC0">
        <w:rPr>
          <w:rFonts w:hint="eastAsia"/>
          <w:sz w:val="28"/>
          <w:rtl/>
        </w:rPr>
        <w:t>ץ</w:t>
      </w:r>
      <w:r w:rsidR="007E7F5C" w:rsidRPr="00FB7DC0">
        <w:rPr>
          <w:sz w:val="28"/>
          <w:rtl/>
        </w:rPr>
        <w:t xml:space="preserve"> 50744-01-25</w:t>
      </w:r>
      <w:r w:rsidRPr="00FB7DC0">
        <w:rPr>
          <w:sz w:val="27"/>
          <w:szCs w:val="27"/>
          <w:rtl/>
        </w:rPr>
        <w:t xml:space="preserve"> </w:t>
      </w:r>
      <w:r w:rsidRPr="00FB7DC0">
        <w:rPr>
          <w:rFonts w:ascii="Century" w:hAnsi="Century" w:cs="Miriam"/>
          <w:b/>
          <w:spacing w:val="0"/>
          <w:szCs w:val="24"/>
          <w:rtl/>
        </w:rPr>
        <w:t>מלכה נ' מחלקת ערערים בפרקליטות המדינה</w:t>
      </w:r>
      <w:r w:rsidRPr="00FB7DC0">
        <w:rPr>
          <w:sz w:val="27"/>
          <w:szCs w:val="27"/>
          <w:rtl/>
        </w:rPr>
        <w:t xml:space="preserve"> </w:t>
      </w:r>
      <w:r w:rsidRPr="00FB7DC0">
        <w:rPr>
          <w:sz w:val="28"/>
          <w:rtl/>
        </w:rPr>
        <w:t xml:space="preserve">(23.6.2025); </w:t>
      </w:r>
      <w:r w:rsidR="007E7F5C" w:rsidRPr="00FB7DC0">
        <w:rPr>
          <w:rFonts w:hint="eastAsia"/>
          <w:sz w:val="28"/>
          <w:rtl/>
        </w:rPr>
        <w:t>בג</w:t>
      </w:r>
      <w:r w:rsidR="007E7F5C" w:rsidRPr="00FB7DC0">
        <w:rPr>
          <w:sz w:val="28"/>
          <w:rtl/>
        </w:rPr>
        <w:t>"</w:t>
      </w:r>
      <w:r w:rsidR="007E7F5C" w:rsidRPr="00FB7DC0">
        <w:rPr>
          <w:rFonts w:hint="eastAsia"/>
          <w:sz w:val="28"/>
          <w:rtl/>
        </w:rPr>
        <w:t>ץ</w:t>
      </w:r>
      <w:r w:rsidR="007E7F5C" w:rsidRPr="00FB7DC0">
        <w:rPr>
          <w:sz w:val="28"/>
          <w:rtl/>
        </w:rPr>
        <w:t xml:space="preserve"> 1968/21</w:t>
      </w:r>
      <w:r w:rsidRPr="00FB7DC0">
        <w:rPr>
          <w:sz w:val="28"/>
          <w:rtl/>
        </w:rPr>
        <w:t xml:space="preserve"> </w:t>
      </w:r>
      <w:r w:rsidRPr="00FB7DC0">
        <w:rPr>
          <w:rFonts w:ascii="Century" w:hAnsi="Century" w:cs="Miriam"/>
          <w:b/>
          <w:spacing w:val="0"/>
          <w:sz w:val="22"/>
          <w:szCs w:val="24"/>
          <w:rtl/>
        </w:rPr>
        <w:t>גרפי נ' משטרת ישראל</w:t>
      </w:r>
      <w:r w:rsidRPr="00FB7DC0">
        <w:rPr>
          <w:sz w:val="28"/>
          <w:rtl/>
        </w:rPr>
        <w:t xml:space="preserve">, פסקה 5 (24.3.2021); </w:t>
      </w:r>
      <w:r w:rsidR="007E7F5C" w:rsidRPr="00FB7DC0">
        <w:rPr>
          <w:rFonts w:hint="eastAsia"/>
          <w:sz w:val="28"/>
          <w:rtl/>
        </w:rPr>
        <w:t>בג</w:t>
      </w:r>
      <w:r w:rsidR="007E7F5C" w:rsidRPr="00FB7DC0">
        <w:rPr>
          <w:sz w:val="28"/>
          <w:rtl/>
        </w:rPr>
        <w:t>"</w:t>
      </w:r>
      <w:r w:rsidR="007E7F5C" w:rsidRPr="00FB7DC0">
        <w:rPr>
          <w:rFonts w:hint="eastAsia"/>
          <w:sz w:val="28"/>
          <w:rtl/>
        </w:rPr>
        <w:t>ץ</w:t>
      </w:r>
      <w:r w:rsidR="007E7F5C" w:rsidRPr="00FB7DC0">
        <w:rPr>
          <w:sz w:val="28"/>
          <w:rtl/>
        </w:rPr>
        <w:t xml:space="preserve"> 8466/22</w:t>
      </w:r>
      <w:r w:rsidRPr="00FB7DC0">
        <w:rPr>
          <w:sz w:val="28"/>
          <w:rtl/>
        </w:rPr>
        <w:t xml:space="preserve"> </w:t>
      </w:r>
      <w:r w:rsidRPr="00FB7DC0">
        <w:rPr>
          <w:rFonts w:ascii="Century" w:hAnsi="Century" w:cs="Miriam"/>
          <w:b/>
          <w:spacing w:val="0"/>
          <w:szCs w:val="24"/>
          <w:rtl/>
        </w:rPr>
        <w:t>ח'טיב נ' פרקליטות המדינה – מחלקת עררים</w:t>
      </w:r>
      <w:r w:rsidRPr="00FB7DC0">
        <w:rPr>
          <w:sz w:val="28"/>
          <w:rtl/>
        </w:rPr>
        <w:t xml:space="preserve">, פסקה 5 (13.12.2022); </w:t>
      </w:r>
      <w:r w:rsidR="007E7F5C" w:rsidRPr="00FB7DC0">
        <w:rPr>
          <w:rFonts w:hint="eastAsia"/>
          <w:sz w:val="28"/>
          <w:rtl/>
        </w:rPr>
        <w:t>בג</w:t>
      </w:r>
      <w:r w:rsidR="007E7F5C" w:rsidRPr="00FB7DC0">
        <w:rPr>
          <w:sz w:val="28"/>
          <w:rtl/>
        </w:rPr>
        <w:t>"</w:t>
      </w:r>
      <w:r w:rsidR="007E7F5C" w:rsidRPr="00FB7DC0">
        <w:rPr>
          <w:rFonts w:hint="eastAsia"/>
          <w:sz w:val="28"/>
          <w:rtl/>
        </w:rPr>
        <w:t>ץ</w:t>
      </w:r>
      <w:r w:rsidR="007E7F5C" w:rsidRPr="00FB7DC0">
        <w:rPr>
          <w:sz w:val="28"/>
          <w:rtl/>
        </w:rPr>
        <w:t xml:space="preserve"> 1859/24</w:t>
      </w:r>
      <w:r w:rsidRPr="00FB7DC0">
        <w:rPr>
          <w:sz w:val="28"/>
          <w:rtl/>
        </w:rPr>
        <w:t xml:space="preserve"> </w:t>
      </w:r>
      <w:r w:rsidRPr="00FB7DC0">
        <w:rPr>
          <w:rFonts w:ascii="Century" w:hAnsi="Century" w:cs="Miriam"/>
          <w:b/>
          <w:spacing w:val="0"/>
          <w:szCs w:val="24"/>
          <w:rtl/>
        </w:rPr>
        <w:t>פרוטסוב נ' מדינת ישראל</w:t>
      </w:r>
      <w:r w:rsidRPr="00FB7DC0">
        <w:rPr>
          <w:sz w:val="28"/>
          <w:rtl/>
        </w:rPr>
        <w:t xml:space="preserve">, פסקה 4 (7.3.2024); </w:t>
      </w:r>
      <w:r w:rsidR="007E7F5C" w:rsidRPr="00FB7DC0">
        <w:rPr>
          <w:rFonts w:hint="eastAsia"/>
          <w:sz w:val="28"/>
          <w:rtl/>
        </w:rPr>
        <w:t>בג</w:t>
      </w:r>
      <w:r w:rsidR="007E7F5C" w:rsidRPr="00FB7DC0">
        <w:rPr>
          <w:sz w:val="28"/>
          <w:rtl/>
        </w:rPr>
        <w:t>"</w:t>
      </w:r>
      <w:r w:rsidR="007E7F5C" w:rsidRPr="00FB7DC0">
        <w:rPr>
          <w:rFonts w:hint="eastAsia"/>
          <w:sz w:val="28"/>
          <w:rtl/>
        </w:rPr>
        <w:t>ץ</w:t>
      </w:r>
      <w:r w:rsidR="007E7F5C" w:rsidRPr="00FB7DC0">
        <w:rPr>
          <w:sz w:val="28"/>
          <w:rtl/>
        </w:rPr>
        <w:t xml:space="preserve"> 4796/24</w:t>
      </w:r>
      <w:r w:rsidRPr="00FB7DC0">
        <w:rPr>
          <w:sz w:val="27"/>
          <w:szCs w:val="27"/>
          <w:rtl/>
        </w:rPr>
        <w:t xml:space="preserve"> </w:t>
      </w:r>
      <w:r w:rsidRPr="00FB7DC0">
        <w:rPr>
          <w:rFonts w:ascii="Century" w:hAnsi="Century" w:cs="Miriam"/>
          <w:b/>
          <w:spacing w:val="0"/>
          <w:szCs w:val="24"/>
          <w:rtl/>
        </w:rPr>
        <w:t>ח"כ אלמוג כהן נ' היועצת המשפטית לממשלה</w:t>
      </w:r>
      <w:r w:rsidRPr="00FB7DC0">
        <w:rPr>
          <w:sz w:val="28"/>
          <w:rtl/>
        </w:rPr>
        <w:t xml:space="preserve">, פסקה 8 (9.12.2024); </w:t>
      </w:r>
      <w:r w:rsidR="007E7F5C" w:rsidRPr="00FB7DC0">
        <w:rPr>
          <w:rFonts w:hint="eastAsia"/>
          <w:sz w:val="28"/>
          <w:rtl/>
        </w:rPr>
        <w:t>בג</w:t>
      </w:r>
      <w:r w:rsidR="007E7F5C" w:rsidRPr="00FB7DC0">
        <w:rPr>
          <w:sz w:val="28"/>
          <w:rtl/>
        </w:rPr>
        <w:t>"</w:t>
      </w:r>
      <w:r w:rsidR="007E7F5C" w:rsidRPr="00FB7DC0">
        <w:rPr>
          <w:rFonts w:hint="eastAsia"/>
          <w:sz w:val="28"/>
          <w:rtl/>
        </w:rPr>
        <w:t>ץ</w:t>
      </w:r>
      <w:r w:rsidR="007E7F5C" w:rsidRPr="00FB7DC0">
        <w:rPr>
          <w:sz w:val="28"/>
          <w:rtl/>
        </w:rPr>
        <w:t xml:space="preserve"> 6587/21</w:t>
      </w:r>
      <w:r w:rsidRPr="00FB7DC0">
        <w:rPr>
          <w:sz w:val="28"/>
          <w:rtl/>
        </w:rPr>
        <w:t xml:space="preserve"> </w:t>
      </w:r>
      <w:r w:rsidRPr="00FB7DC0">
        <w:rPr>
          <w:rFonts w:ascii="Century" w:hAnsi="Century" w:cs="Miriam"/>
          <w:b/>
          <w:spacing w:val="0"/>
          <w:szCs w:val="24"/>
          <w:rtl/>
        </w:rPr>
        <w:t>פלונית נ' פרקליטות המדינה – מחלקת עררים</w:t>
      </w:r>
      <w:r w:rsidRPr="00FB7DC0">
        <w:rPr>
          <w:sz w:val="28"/>
          <w:rtl/>
        </w:rPr>
        <w:t>, פסקה 9</w:t>
      </w:r>
      <w:r>
        <w:rPr>
          <w:color w:val="000000"/>
          <w:sz w:val="28"/>
          <w:rtl/>
        </w:rPr>
        <w:t xml:space="preserve"> (7.8.2022)). </w:t>
      </w:r>
    </w:p>
    <w:p w14:paraId="3AC84F4C" w14:textId="77777777" w:rsidR="0083513E" w:rsidRDefault="0083513E" w:rsidP="0083513E">
      <w:pPr>
        <w:pStyle w:val="Ruller41"/>
        <w:rPr>
          <w:rtl/>
        </w:rPr>
      </w:pPr>
    </w:p>
    <w:p w14:paraId="3196EB48" w14:textId="77777777" w:rsidR="0083513E" w:rsidRDefault="00000000" w:rsidP="0083513E">
      <w:pPr>
        <w:pStyle w:val="Ruller4"/>
        <w:rPr>
          <w:color w:val="000000"/>
          <w:sz w:val="27"/>
          <w:szCs w:val="27"/>
          <w:rtl/>
        </w:rPr>
      </w:pPr>
      <w:r>
        <w:rPr>
          <w:sz w:val="28"/>
          <w:rtl/>
        </w:rPr>
        <w:t xml:space="preserve">על אף האמור, סבורני כי </w:t>
      </w:r>
      <w:r>
        <w:rPr>
          <w:rtl/>
        </w:rPr>
        <w:t xml:space="preserve">הקביעה האפריורית בנוהל, לפיה קיימת משמעות לשכר מינימום בעת קביעת גובה צו התשלומים בתקופת הביניים, מעוררת קושי שאינו מאפשר להותיר את הדברים על מכונם. </w:t>
      </w:r>
    </w:p>
    <w:p w14:paraId="05CCE660" w14:textId="77777777" w:rsidR="0083513E" w:rsidRDefault="0083513E" w:rsidP="0083513E">
      <w:pPr>
        <w:pStyle w:val="Ruller41"/>
        <w:rPr>
          <w:rtl/>
        </w:rPr>
      </w:pPr>
    </w:p>
    <w:p w14:paraId="20AEB3B7" w14:textId="228AC09F" w:rsidR="0083513E" w:rsidRPr="00FB7DC0" w:rsidRDefault="00000000" w:rsidP="0083513E">
      <w:pPr>
        <w:pStyle w:val="Ruller4"/>
        <w:rPr>
          <w:sz w:val="27"/>
          <w:szCs w:val="27"/>
        </w:rPr>
      </w:pPr>
      <w:r w:rsidRPr="00FB7DC0">
        <w:rPr>
          <w:rtl/>
        </w:rPr>
        <w:t>משמעותו של שכר מינימום היא השכר הקבוע ב</w:t>
      </w:r>
      <w:r w:rsidR="007E7F5C" w:rsidRPr="00FB7DC0">
        <w:rPr>
          <w:rFonts w:hint="eastAsia"/>
          <w:rtl/>
        </w:rPr>
        <w:t>חוק</w:t>
      </w:r>
      <w:r w:rsidR="007E7F5C" w:rsidRPr="00FB7DC0">
        <w:rPr>
          <w:rtl/>
        </w:rPr>
        <w:t xml:space="preserve"> </w:t>
      </w:r>
      <w:r w:rsidR="007E7F5C" w:rsidRPr="00FB7DC0">
        <w:rPr>
          <w:rFonts w:hint="eastAsia"/>
          <w:rtl/>
        </w:rPr>
        <w:t>שכר</w:t>
      </w:r>
      <w:r w:rsidR="007E7F5C" w:rsidRPr="00FB7DC0">
        <w:rPr>
          <w:rtl/>
        </w:rPr>
        <w:t xml:space="preserve"> </w:t>
      </w:r>
      <w:r w:rsidR="007E7F5C" w:rsidRPr="00FB7DC0">
        <w:rPr>
          <w:rFonts w:hint="eastAsia"/>
          <w:rtl/>
        </w:rPr>
        <w:t>מינימום</w:t>
      </w:r>
      <w:r w:rsidRPr="00FB7DC0">
        <w:rPr>
          <w:rtl/>
        </w:rPr>
        <w:t>, התשמ"ז-</w:t>
      </w:r>
      <w:r w:rsidR="007E7F5C" w:rsidRPr="00FB7DC0">
        <w:t>xxxxx</w:t>
      </w:r>
      <w:r w:rsidRPr="00FB7DC0">
        <w:rPr>
          <w:rtl/>
        </w:rPr>
        <w:t xml:space="preserve">(להלן: </w:t>
      </w:r>
      <w:r w:rsidRPr="00FB7DC0">
        <w:rPr>
          <w:rFonts w:ascii="Century" w:hAnsi="Century" w:cs="Miriam"/>
          <w:b/>
          <w:spacing w:val="0"/>
          <w:sz w:val="22"/>
          <w:szCs w:val="24"/>
          <w:rtl/>
        </w:rPr>
        <w:t>חוק שכר מינימום</w:t>
      </w:r>
      <w:r w:rsidRPr="00FB7DC0">
        <w:rPr>
          <w:rtl/>
        </w:rPr>
        <w:t xml:space="preserve">). גובהו כפי שנקבע בחוק זה, הוא </w:t>
      </w:r>
      <w:r w:rsidRPr="00FB7DC0">
        <w:rPr>
          <w:shd w:val="clear" w:color="auto" w:fill="FFFFFF"/>
          <w:rtl/>
        </w:rPr>
        <w:t xml:space="preserve">47.5% מהשכר הממוצע במשק כפי שהוא ב-1 באפריל של כל שנה וכפי שהוא מוגדל מפעם לפעם. </w:t>
      </w:r>
      <w:r w:rsidRPr="00FB7DC0">
        <w:rPr>
          <w:rtl/>
        </w:rPr>
        <w:t xml:space="preserve">על אודות תכלית </w:t>
      </w:r>
      <w:r w:rsidR="007E7F5C" w:rsidRPr="00FB7DC0">
        <w:rPr>
          <w:rFonts w:hint="eastAsia"/>
          <w:rtl/>
        </w:rPr>
        <w:t>חוק</w:t>
      </w:r>
      <w:r w:rsidR="007E7F5C" w:rsidRPr="00FB7DC0">
        <w:rPr>
          <w:rtl/>
        </w:rPr>
        <w:t xml:space="preserve"> </w:t>
      </w:r>
      <w:r w:rsidR="007E7F5C" w:rsidRPr="00FB7DC0">
        <w:rPr>
          <w:rFonts w:hint="eastAsia"/>
          <w:rtl/>
        </w:rPr>
        <w:t>שכר</w:t>
      </w:r>
      <w:r w:rsidR="007E7F5C" w:rsidRPr="00FB7DC0">
        <w:rPr>
          <w:rtl/>
        </w:rPr>
        <w:t xml:space="preserve"> </w:t>
      </w:r>
      <w:r w:rsidR="007E7F5C" w:rsidRPr="00FB7DC0">
        <w:rPr>
          <w:rFonts w:hint="eastAsia"/>
          <w:rtl/>
        </w:rPr>
        <w:t>מינימום</w:t>
      </w:r>
      <w:r w:rsidRPr="00FB7DC0">
        <w:rPr>
          <w:rtl/>
        </w:rPr>
        <w:t xml:space="preserve"> נאמר מקדמת דנא כי:</w:t>
      </w:r>
    </w:p>
    <w:p w14:paraId="693127DA" w14:textId="77777777" w:rsidR="0083513E" w:rsidRDefault="0083513E" w:rsidP="0083513E">
      <w:pPr>
        <w:pStyle w:val="Ruller41"/>
        <w:rPr>
          <w:rtl/>
        </w:rPr>
      </w:pPr>
    </w:p>
    <w:p w14:paraId="1DD2D520" w14:textId="0FC198F2" w:rsidR="0083513E" w:rsidRPr="00FB7DC0" w:rsidRDefault="00000000" w:rsidP="0083513E">
      <w:pPr>
        <w:pStyle w:val="Ruller50"/>
        <w:rPr>
          <w:rtl/>
        </w:rPr>
      </w:pPr>
      <w:r w:rsidRPr="00FB7DC0">
        <w:rPr>
          <w:rtl/>
        </w:rPr>
        <w:t>"</w:t>
      </w:r>
      <w:r w:rsidR="007E7F5C" w:rsidRPr="00FB7DC0">
        <w:rPr>
          <w:rtl/>
        </w:rPr>
        <w:t>חוק שכר מינימום</w:t>
      </w:r>
      <w:r w:rsidRPr="00FB7DC0">
        <w:rPr>
          <w:rtl/>
        </w:rPr>
        <w:t xml:space="preserve"> תכליתו להבטיח רמת חיים יחסית מינימלית לכל עובד וכן לצמצם את ממדי העוני בישראל. קביעת שכר מינימום מהווה אחד היסודות של הספקת צורכיהם של העובד ומשפחתו... הסדרים וחוקים לגבי שכר מינימום נוהגים במרבית המדינות המפותחות. בהיעדר אכיפת </w:t>
      </w:r>
      <w:r w:rsidR="007E7F5C" w:rsidRPr="00FB7DC0">
        <w:rPr>
          <w:rtl/>
        </w:rPr>
        <w:t>חוק שכר מינימום</w:t>
      </w:r>
      <w:r w:rsidRPr="00FB7DC0">
        <w:rPr>
          <w:rtl/>
        </w:rPr>
        <w:t xml:space="preserve"> ייקבע לחלק מהמועסקים בישראל שכר הנתפס בחברה כנמוך מזה המספק רמת חיים יחסית מינימלית" (</w:t>
      </w:r>
      <w:r w:rsidR="007E7F5C" w:rsidRPr="00FB7DC0">
        <w:rPr>
          <w:rtl/>
        </w:rPr>
        <w:t>ע"ע (ארצי) 1054/01</w:t>
      </w:r>
      <w:r w:rsidRPr="00FB7DC0">
        <w:rPr>
          <w:rtl/>
        </w:rPr>
        <w:t xml:space="preserve"> </w:t>
      </w:r>
      <w:r w:rsidRPr="00FB7DC0">
        <w:rPr>
          <w:rFonts w:ascii="Century" w:hAnsi="Century" w:cs="Miriam"/>
          <w:b/>
          <w:spacing w:val="0"/>
          <w:szCs w:val="24"/>
          <w:rtl/>
        </w:rPr>
        <w:t>טוילי נ' דהרי</w:t>
      </w:r>
      <w:r w:rsidRPr="00FB7DC0">
        <w:rPr>
          <w:rtl/>
        </w:rPr>
        <w:t>, פד"ע לז 746, 750 (2002)).</w:t>
      </w:r>
    </w:p>
    <w:p w14:paraId="3C46FAED" w14:textId="77777777" w:rsidR="0083513E" w:rsidRDefault="0083513E" w:rsidP="0083513E">
      <w:pPr>
        <w:pStyle w:val="Ruller41"/>
        <w:rPr>
          <w:rtl/>
        </w:rPr>
      </w:pPr>
    </w:p>
    <w:p w14:paraId="0A1528D2" w14:textId="76090997" w:rsidR="0083513E" w:rsidRDefault="00000000" w:rsidP="0083513E">
      <w:pPr>
        <w:pStyle w:val="Ruller41"/>
        <w:rPr>
          <w:rtl/>
        </w:rPr>
      </w:pPr>
      <w:r>
        <w:rPr>
          <w:rtl/>
        </w:rPr>
        <w:tab/>
        <w:t xml:space="preserve">אכן, שכר המינימום נועד להבטיח רמת חיים מינימלית לכל אדם. ברם, אין בו כל "חזקה שבעובדה" שלפיה אדם משתכר שכר בגובה שכר המינימום בכל מקרה או שיש ביכולתו להגיע לשכר האמור. כך בכלל וכך בפרט ביחס לחוק חדלות פירעון. חוק זה קובע בסעיף 2 שבו כי "חדלות פירעון היא מצב כלכלי שבו חייב אינו יכול לשלם את חובותיו במועדם, בין אם מועד פירעונם הגיע ובין אם לאו, או שהתחייבויות החייב, לרבות התחייבויות עתידיות ומותנות שלו, עולות על שווי נכסיו". וכפי שנקבע </w:t>
      </w:r>
      <w:r w:rsidRPr="00FB7DC0">
        <w:rPr>
          <w:rtl/>
        </w:rPr>
        <w:t xml:space="preserve">בעניין </w:t>
      </w:r>
      <w:r w:rsidR="007E7F5C" w:rsidRPr="00FB7DC0">
        <w:rPr>
          <w:rtl/>
        </w:rPr>
        <w:t>ע"א 8263/16</w:t>
      </w:r>
      <w:r w:rsidRPr="00FB7DC0">
        <w:rPr>
          <w:rtl/>
        </w:rPr>
        <w:t xml:space="preserve"> </w:t>
      </w:r>
      <w:r w:rsidRPr="00FB7DC0">
        <w:rPr>
          <w:rFonts w:ascii="Century" w:hAnsi="Century" w:cs="Miriam"/>
          <w:b/>
          <w:spacing w:val="0"/>
          <w:szCs w:val="24"/>
          <w:rtl/>
        </w:rPr>
        <w:t>אור סיטי נדל"ן מקבוצת ענבל אור בע"מ נ' עו"ד איתן ארז</w:t>
      </w:r>
      <w:r w:rsidRPr="00FB7DC0">
        <w:rPr>
          <w:rtl/>
        </w:rPr>
        <w:t>, פסקה</w:t>
      </w:r>
      <w:r>
        <w:rPr>
          <w:rtl/>
        </w:rPr>
        <w:t xml:space="preserve"> 58 (19.3.2018), חדלות פירעון יכולה להיקבע, בין אם על פי המבחן "התזרימי" ובין אם על פי המבחן "המאזני". שני המבחנים הללו מביאים בחשבון בין היתר את שכרו של החייב, המהווה נתון רלוונטי ביותר במסגרתם. אם נקבל את החזקה לפיה כל אדם משתכר שכר מינימום, לא רק שיהיו לכך השלכות על סיווגו של חייב כחדל פירעון; אלא יהיו לכך השלכות גם על תום ליבו, ובהתאם על זכאותו כלל להיכנס לפתחו של ההליך. מסקנה מעין זו מוקשית בעיני. </w:t>
      </w:r>
    </w:p>
    <w:p w14:paraId="68CBC825" w14:textId="77777777" w:rsidR="0083513E" w:rsidRDefault="0083513E" w:rsidP="0083513E">
      <w:pPr>
        <w:pStyle w:val="Ruller41"/>
        <w:rPr>
          <w:rtl/>
        </w:rPr>
      </w:pPr>
    </w:p>
    <w:p w14:paraId="6CCA14B2" w14:textId="77777777" w:rsidR="0083513E" w:rsidRDefault="00000000" w:rsidP="0083513E">
      <w:pPr>
        <w:pStyle w:val="Ruller4"/>
        <w:rPr>
          <w:rtl/>
        </w:rPr>
      </w:pPr>
      <w:r>
        <w:rPr>
          <w:rtl/>
        </w:rPr>
        <w:t xml:space="preserve">בנוסף, וחשוב מכך – החוק על פי טבעו ומהותו הוא חוק המבוסס על מאפייניו האישיים והסובייקטיביים של החייב, בעוד ששכר המינימום מבטא אמת מידה אובייקטיבית המשקפת מצב דברים רצוי. מדובר אפוא בערבוב מין בשאינו מינו, והדבר חוטא לא רק לתכליות ההליך אלא לעצם קיומו. </w:t>
      </w:r>
    </w:p>
    <w:p w14:paraId="1F88E807" w14:textId="77777777" w:rsidR="0083513E" w:rsidRDefault="00000000" w:rsidP="0083513E">
      <w:pPr>
        <w:pStyle w:val="Ruller41"/>
        <w:rPr>
          <w:rtl/>
        </w:rPr>
      </w:pPr>
      <w:r>
        <w:rPr>
          <w:rtl/>
        </w:rPr>
        <w:tab/>
      </w:r>
    </w:p>
    <w:p w14:paraId="623A15A7" w14:textId="77777777" w:rsidR="0083513E" w:rsidRDefault="00000000" w:rsidP="0083513E">
      <w:pPr>
        <w:pStyle w:val="Ruller4"/>
        <w:rPr>
          <w:rtl/>
        </w:rPr>
      </w:pPr>
      <w:r>
        <w:rPr>
          <w:rtl/>
        </w:rPr>
        <w:t xml:space="preserve">רוצה לומר, כי העברת הוראות הנוהל תחת שבט הביקורת לצורך בחינת מקרה קונקרטי זה, מביאה למסקנה כי בעניין קביעת גובה צו התשלומים עם מתן צו לפתיחת הליכים, קיים קושי בהישענות על שכר המינימום כנקודת מוצא בעניינו של חייב שהכנסתו מעבודה נמוכה משכר זה (וזאת אף מבלי להידרש לכך שבנסיבות המקרה הפרטני, מדובר בחייבת בעלת הכנסה חודשית ואילו הנוהל בהקשר הרלוונטי לענייננו עוסק בחייב "שלא עובד ללא הצדק"). על כן, בנקודה זו יש להחזיר את העניין לממונה על מנת שייקבע את צו התשלומים של המערערת בהתבסס על נתוניה הפרטניים, ולא בהתבסס על שכר המינימום בשוק העבודה. במסגרת זו עליו לקחת בחשבון את התנהלותה של המערערת עובר לכניסתה להליך חדלות פירעון אשר מלמדת, כפי שקבע בית המשפט המחוזי, כי היא יצרה ערפול באשר להכנסות התא המשפחתי שלה בחוסר תום לב. </w:t>
      </w:r>
    </w:p>
    <w:p w14:paraId="695DA1F3" w14:textId="77777777" w:rsidR="0083513E" w:rsidRDefault="0083513E" w:rsidP="0083513E">
      <w:pPr>
        <w:pStyle w:val="Ruller4"/>
        <w:numPr>
          <w:ilvl w:val="0"/>
          <w:numId w:val="0"/>
        </w:numPr>
      </w:pPr>
    </w:p>
    <w:p w14:paraId="481AD1E6" w14:textId="77777777" w:rsidR="0083513E" w:rsidRDefault="00000000" w:rsidP="0083513E">
      <w:pPr>
        <w:pStyle w:val="Ruller4"/>
        <w:numPr>
          <w:ilvl w:val="0"/>
          <w:numId w:val="0"/>
        </w:numPr>
        <w:rPr>
          <w:rtl/>
        </w:rPr>
      </w:pPr>
      <w:r>
        <w:rPr>
          <w:rFonts w:ascii="Century" w:hAnsi="Century" w:cs="Miriam"/>
          <w:b/>
          <w:spacing w:val="0"/>
          <w:sz w:val="22"/>
          <w:szCs w:val="24"/>
          <w:rtl/>
        </w:rPr>
        <w:t>סיכום</w:t>
      </w:r>
    </w:p>
    <w:p w14:paraId="47F3509A" w14:textId="77777777" w:rsidR="0083513E" w:rsidRDefault="00000000" w:rsidP="0083513E">
      <w:pPr>
        <w:pStyle w:val="Ruller4"/>
        <w:numPr>
          <w:ilvl w:val="0"/>
          <w:numId w:val="0"/>
        </w:numPr>
        <w:rPr>
          <w:rtl/>
        </w:rPr>
      </w:pPr>
      <w:r>
        <w:rPr>
          <w:rtl/>
        </w:rPr>
        <w:tab/>
        <w:t>(1) מקום שבו התגלו לממונה נתונים המצביעים על חוסר תום לב של החייב ביחס למקורות הכנסתו, ניתן ואף נדרש להביאם בחשבון במסגרת קביעת צו התשלומים שיושת על החייב בתקופת הביניים. זאת מבלי להתייחס לשאלה האם יהיה בחוסר תום הלב כדי לחסום אותו מלהיכנס להליך חדלות הפירעון מלכתחילה.</w:t>
      </w:r>
    </w:p>
    <w:p w14:paraId="5C67FAF0" w14:textId="77777777" w:rsidR="0083513E" w:rsidRDefault="0083513E" w:rsidP="0083513E">
      <w:pPr>
        <w:pStyle w:val="Ruller41"/>
        <w:rPr>
          <w:rtl/>
        </w:rPr>
      </w:pPr>
    </w:p>
    <w:p w14:paraId="1C129E9C" w14:textId="77777777" w:rsidR="0083513E" w:rsidRDefault="00000000" w:rsidP="0083513E">
      <w:pPr>
        <w:pStyle w:val="Ruller41"/>
        <w:rPr>
          <w:rtl/>
        </w:rPr>
      </w:pPr>
      <w:r>
        <w:rPr>
          <w:rtl/>
        </w:rPr>
        <w:tab/>
        <w:t xml:space="preserve">(2) הסמכות לקיים ביקורת על החלטות הממונה בקביעת גובה צו התשלום בתקופת הביניים, נתונה לבית המשפט של חדלות פירעון. </w:t>
      </w:r>
    </w:p>
    <w:p w14:paraId="115B7CD9" w14:textId="77777777" w:rsidR="0083513E" w:rsidRDefault="0083513E" w:rsidP="0083513E">
      <w:pPr>
        <w:pStyle w:val="Ruller41"/>
        <w:rPr>
          <w:rtl/>
        </w:rPr>
      </w:pPr>
    </w:p>
    <w:p w14:paraId="7DD150D1" w14:textId="77777777" w:rsidR="0083513E" w:rsidRDefault="00000000" w:rsidP="0083513E">
      <w:pPr>
        <w:pStyle w:val="Ruller41"/>
        <w:rPr>
          <w:rtl/>
        </w:rPr>
      </w:pPr>
      <w:r>
        <w:rPr>
          <w:rtl/>
        </w:rPr>
        <w:tab/>
        <w:t xml:space="preserve">(3) הסמכות לערוך ביקורת על הוראות הנוהל נתונה לערכאות המינהליות. עם זאת, אין מניעה להעלות טענות כאמור "בתקיפה עקיפה" בבית המשפט של חדלות פירעון. </w:t>
      </w:r>
    </w:p>
    <w:p w14:paraId="621666C6" w14:textId="77777777" w:rsidR="0083513E" w:rsidRDefault="0083513E" w:rsidP="0083513E">
      <w:pPr>
        <w:pStyle w:val="Ruller41"/>
        <w:rPr>
          <w:rtl/>
        </w:rPr>
      </w:pPr>
    </w:p>
    <w:p w14:paraId="107195B8" w14:textId="77777777" w:rsidR="0083513E" w:rsidRDefault="00000000" w:rsidP="0083513E">
      <w:pPr>
        <w:pStyle w:val="Ruller41"/>
        <w:rPr>
          <w:rtl/>
        </w:rPr>
      </w:pPr>
      <w:r>
        <w:rPr>
          <w:rtl/>
        </w:rPr>
        <w:tab/>
        <w:t>(4) במקרה זה, על אף שהממונה מוסמך להביא בחשבון בקביעת צו התשלומים את הנתונים העולים מבקשתה של המערערת למתן צו לפתיחת הליכים והנוגעים להשתכרותה, קיים קושי בהסתמכותו על שכר מינימום כבסיס לקביעת גובה צו התשלומים. על כן ההליך מוחזר לממונה על מנת שייקבע את צו התשלומים בהתאם לנתוניה הפרטניים של המערערת ובהתחשב בחוסר תום ליבה בכל הנוגע לאפשרותה להשתכר ולהפיק הכנסה.</w:t>
      </w:r>
    </w:p>
    <w:p w14:paraId="70897AE0" w14:textId="77777777" w:rsidR="0083513E" w:rsidRDefault="0083513E" w:rsidP="0083513E">
      <w:pPr>
        <w:pStyle w:val="Ruller41"/>
        <w:ind w:left="793"/>
        <w:rPr>
          <w:rtl/>
        </w:rPr>
      </w:pPr>
    </w:p>
    <w:p w14:paraId="653BC4B4" w14:textId="77777777" w:rsidR="0083513E" w:rsidRDefault="00000000" w:rsidP="0083513E">
      <w:pPr>
        <w:pStyle w:val="Ruller41"/>
        <w:ind w:left="793"/>
        <w:rPr>
          <w:rtl/>
        </w:rPr>
      </w:pPr>
      <w:r>
        <w:rPr>
          <w:rtl/>
        </w:rPr>
        <w:t xml:space="preserve">בנסיבות העניין, לא יינתן צו להוצאות.  </w:t>
      </w:r>
    </w:p>
    <w:p w14:paraId="40F62BCB" w14:textId="77777777" w:rsidR="00694556" w:rsidRDefault="00694556">
      <w:pPr>
        <w:spacing w:line="360" w:lineRule="auto"/>
        <w:jc w:val="both"/>
        <w:rPr>
          <w:rFonts w:ascii="FrankRuehl" w:hAnsi="FrankRuehl" w:cs="FrankRuehl"/>
          <w:spacing w:val="10"/>
          <w:sz w:val="28"/>
          <w:szCs w:val="28"/>
          <w:rtl/>
        </w:rPr>
      </w:pPr>
    </w:p>
    <w:tbl>
      <w:tblPr>
        <w:bidiVisual/>
        <w:tblW w:w="0" w:type="auto"/>
        <w:jc w:val="right"/>
        <w:tblLook w:val="01E0" w:firstRow="1" w:lastRow="1" w:firstColumn="1" w:lastColumn="1" w:noHBand="0" w:noVBand="0"/>
      </w:tblPr>
      <w:tblGrid>
        <w:gridCol w:w="2551"/>
      </w:tblGrid>
      <w:tr w:rsidR="009D01B9" w14:paraId="53BB5AB4" w14:textId="77777777" w:rsidTr="007E7F5C">
        <w:trPr>
          <w:trHeight w:val="454"/>
          <w:jc w:val="right"/>
        </w:trPr>
        <w:tc>
          <w:tcPr>
            <w:tcW w:w="2551" w:type="dxa"/>
            <w:tcBorders>
              <w:top w:val="single" w:sz="4" w:space="0" w:color="auto"/>
              <w:left w:val="nil"/>
              <w:bottom w:val="nil"/>
              <w:right w:val="nil"/>
            </w:tcBorders>
            <w:vAlign w:val="center"/>
          </w:tcPr>
          <w:p w14:paraId="3EFAF4FF" w14:textId="77777777" w:rsidR="00E2461D" w:rsidRPr="007E7F5C" w:rsidRDefault="00000000" w:rsidP="007E7F5C">
            <w:pPr>
              <w:pStyle w:val="31"/>
              <w:spacing w:line="240" w:lineRule="auto"/>
              <w:jc w:val="center"/>
              <w:rPr>
                <w:rFonts w:cs="FrankRuehl"/>
                <w:b w:val="0"/>
                <w:bCs w:val="0"/>
                <w:spacing w:val="10"/>
                <w:sz w:val="28"/>
                <w:szCs w:val="28"/>
                <w:rtl/>
              </w:rPr>
            </w:pPr>
            <w:r w:rsidRPr="007E7F5C">
              <w:rPr>
                <w:rFonts w:cs="FrankRuehl" w:hint="cs"/>
                <w:b w:val="0"/>
                <w:bCs w:val="0"/>
                <w:spacing w:val="10"/>
                <w:sz w:val="28"/>
                <w:szCs w:val="28"/>
                <w:rtl/>
              </w:rPr>
              <w:t xml:space="preserve">דוד מינץ </w:t>
            </w:r>
          </w:p>
          <w:p w14:paraId="3C95A3D8" w14:textId="77777777" w:rsidR="00E2461D" w:rsidRPr="007E7F5C" w:rsidRDefault="00000000" w:rsidP="007E7F5C">
            <w:pPr>
              <w:pStyle w:val="31"/>
              <w:spacing w:line="240" w:lineRule="auto"/>
              <w:jc w:val="center"/>
              <w:rPr>
                <w:rFonts w:cs="FrankRuehl"/>
                <w:b w:val="0"/>
                <w:bCs w:val="0"/>
                <w:spacing w:val="10"/>
                <w:sz w:val="28"/>
                <w:szCs w:val="28"/>
                <w:rtl/>
              </w:rPr>
            </w:pPr>
            <w:r w:rsidRPr="007E7F5C">
              <w:rPr>
                <w:rFonts w:cs="FrankRuehl" w:hint="cs"/>
                <w:b w:val="0"/>
                <w:bCs w:val="0"/>
                <w:spacing w:val="10"/>
                <w:sz w:val="28"/>
                <w:szCs w:val="28"/>
                <w:rtl/>
              </w:rPr>
              <w:t>שופט</w:t>
            </w:r>
          </w:p>
        </w:tc>
      </w:tr>
    </w:tbl>
    <w:p w14:paraId="55937EEF" w14:textId="77777777" w:rsidR="00E2461D" w:rsidRDefault="00E2461D" w:rsidP="00622958">
      <w:pPr>
        <w:rPr>
          <w:rtl/>
        </w:rPr>
      </w:pPr>
    </w:p>
    <w:p w14:paraId="167984F9" w14:textId="77777777" w:rsidR="00E2461D" w:rsidRDefault="00E2461D">
      <w:pPr>
        <w:spacing w:line="360" w:lineRule="auto"/>
        <w:jc w:val="both"/>
        <w:rPr>
          <w:rFonts w:ascii="FrankRuehl" w:hAnsi="FrankRuehl" w:cs="FrankRuehl"/>
          <w:spacing w:val="10"/>
          <w:sz w:val="28"/>
          <w:szCs w:val="28"/>
          <w:rtl/>
        </w:rPr>
      </w:pPr>
    </w:p>
    <w:p w14:paraId="4EEEF862" w14:textId="77777777" w:rsidR="00477679" w:rsidRPr="00477679" w:rsidRDefault="00000000" w:rsidP="00477679">
      <w:pPr>
        <w:pStyle w:val="Ruller41"/>
        <w:rPr>
          <w:rFonts w:ascii="Century" w:hAnsi="Century" w:cs="Miriam"/>
          <w:b/>
          <w:spacing w:val="0"/>
          <w:szCs w:val="24"/>
          <w:u w:val="single"/>
          <w:rtl/>
        </w:rPr>
      </w:pPr>
      <w:r w:rsidRPr="00477679">
        <w:rPr>
          <w:rFonts w:ascii="Century" w:hAnsi="Century" w:cs="Miriam" w:hint="cs"/>
          <w:b/>
          <w:spacing w:val="0"/>
          <w:szCs w:val="24"/>
          <w:u w:val="single"/>
          <w:rtl/>
        </w:rPr>
        <w:t>השופט אלכס שטיין:</w:t>
      </w:r>
    </w:p>
    <w:p w14:paraId="40BB9CB8" w14:textId="77777777" w:rsidR="00477679" w:rsidRDefault="00477679" w:rsidP="00477679">
      <w:pPr>
        <w:spacing w:line="360" w:lineRule="auto"/>
        <w:jc w:val="both"/>
        <w:rPr>
          <w:rFonts w:ascii="FrankRuehl" w:hAnsi="FrankRuehl" w:cs="FrankRuehl"/>
          <w:spacing w:val="10"/>
          <w:sz w:val="28"/>
          <w:szCs w:val="28"/>
          <w:rtl/>
        </w:rPr>
      </w:pPr>
    </w:p>
    <w:p w14:paraId="787825DE" w14:textId="77777777" w:rsidR="00477679" w:rsidRDefault="00000000" w:rsidP="00477679">
      <w:pPr>
        <w:spacing w:line="360" w:lineRule="auto"/>
        <w:jc w:val="both"/>
        <w:rPr>
          <w:rFonts w:ascii="FrankRuehl" w:hAnsi="FrankRuehl" w:cs="FrankRuehl"/>
          <w:spacing w:val="10"/>
          <w:sz w:val="28"/>
          <w:szCs w:val="28"/>
          <w:rtl/>
        </w:rPr>
      </w:pPr>
      <w:r>
        <w:rPr>
          <w:rFonts w:ascii="FrankRuehl" w:hAnsi="FrankRuehl" w:cs="FrankRuehl"/>
          <w:spacing w:val="10"/>
          <w:sz w:val="28"/>
          <w:szCs w:val="28"/>
          <w:rtl/>
        </w:rPr>
        <w:tab/>
      </w:r>
      <w:r>
        <w:rPr>
          <w:rFonts w:ascii="FrankRuehl" w:hAnsi="FrankRuehl" w:cs="FrankRuehl" w:hint="cs"/>
          <w:spacing w:val="10"/>
          <w:sz w:val="28"/>
          <w:szCs w:val="28"/>
          <w:rtl/>
        </w:rPr>
        <w:t>אני מסכים.</w:t>
      </w:r>
    </w:p>
    <w:p w14:paraId="3451AC7C" w14:textId="77777777" w:rsidR="00477679" w:rsidRDefault="00477679" w:rsidP="00477679">
      <w:pPr>
        <w:spacing w:line="360" w:lineRule="auto"/>
        <w:jc w:val="both"/>
        <w:rPr>
          <w:rFonts w:ascii="FrankRuehl" w:hAnsi="FrankRuehl" w:cs="FrankRuehl"/>
          <w:spacing w:val="10"/>
          <w:sz w:val="28"/>
          <w:szCs w:val="28"/>
          <w:rtl/>
        </w:rPr>
      </w:pPr>
    </w:p>
    <w:p w14:paraId="3C52EE2F" w14:textId="77777777" w:rsidR="00D674AB" w:rsidRDefault="00D674AB" w:rsidP="00477679">
      <w:pPr>
        <w:spacing w:line="360" w:lineRule="auto"/>
        <w:jc w:val="both"/>
        <w:rPr>
          <w:rFonts w:ascii="FrankRuehl" w:hAnsi="FrankRuehl" w:cs="FrankRuehl"/>
          <w:spacing w:val="10"/>
          <w:sz w:val="28"/>
          <w:szCs w:val="28"/>
          <w:rtl/>
        </w:rPr>
      </w:pPr>
    </w:p>
    <w:tbl>
      <w:tblPr>
        <w:bidiVisual/>
        <w:tblW w:w="0" w:type="auto"/>
        <w:jc w:val="right"/>
        <w:tblLook w:val="01E0" w:firstRow="1" w:lastRow="1" w:firstColumn="1" w:lastColumn="1" w:noHBand="0" w:noVBand="0"/>
      </w:tblPr>
      <w:tblGrid>
        <w:gridCol w:w="2551"/>
      </w:tblGrid>
      <w:tr w:rsidR="009D01B9" w14:paraId="1983F2F5" w14:textId="77777777" w:rsidTr="007E7F5C">
        <w:trPr>
          <w:trHeight w:val="454"/>
          <w:jc w:val="right"/>
        </w:trPr>
        <w:tc>
          <w:tcPr>
            <w:tcW w:w="2551" w:type="dxa"/>
            <w:tcBorders>
              <w:top w:val="single" w:sz="4" w:space="0" w:color="auto"/>
              <w:left w:val="nil"/>
              <w:bottom w:val="nil"/>
              <w:right w:val="nil"/>
            </w:tcBorders>
            <w:vAlign w:val="center"/>
          </w:tcPr>
          <w:p w14:paraId="54885272" w14:textId="77777777" w:rsidR="003860F5" w:rsidRPr="007E7F5C" w:rsidRDefault="00000000" w:rsidP="007E7F5C">
            <w:pPr>
              <w:pStyle w:val="31"/>
              <w:spacing w:line="240" w:lineRule="auto"/>
              <w:jc w:val="center"/>
              <w:rPr>
                <w:rFonts w:ascii="FrankRuehl" w:hAnsi="FrankRuehl" w:cs="FrankRuehl"/>
                <w:b w:val="0"/>
                <w:bCs w:val="0"/>
                <w:spacing w:val="10"/>
                <w:sz w:val="28"/>
                <w:szCs w:val="28"/>
                <w:rtl/>
              </w:rPr>
            </w:pPr>
            <w:r w:rsidRPr="007E7F5C">
              <w:rPr>
                <w:rFonts w:ascii="FrankRuehl" w:hAnsi="FrankRuehl" w:cs="FrankRuehl"/>
                <w:b w:val="0"/>
                <w:bCs w:val="0"/>
                <w:spacing w:val="10"/>
                <w:sz w:val="28"/>
                <w:szCs w:val="28"/>
                <w:rtl/>
              </w:rPr>
              <w:t xml:space="preserve">אלכס שטיין </w:t>
            </w:r>
          </w:p>
          <w:p w14:paraId="0CCFC34C" w14:textId="77777777" w:rsidR="003860F5" w:rsidRPr="007E7F5C" w:rsidRDefault="00000000" w:rsidP="007E7F5C">
            <w:pPr>
              <w:pStyle w:val="31"/>
              <w:spacing w:line="240" w:lineRule="auto"/>
              <w:jc w:val="center"/>
              <w:rPr>
                <w:rFonts w:ascii="FrankRuehl" w:hAnsi="FrankRuehl" w:cs="FrankRuehl"/>
                <w:b w:val="0"/>
                <w:bCs w:val="0"/>
                <w:spacing w:val="10"/>
                <w:sz w:val="28"/>
                <w:szCs w:val="28"/>
                <w:rtl/>
              </w:rPr>
            </w:pPr>
            <w:r w:rsidRPr="007E7F5C">
              <w:rPr>
                <w:rFonts w:ascii="FrankRuehl" w:hAnsi="FrankRuehl" w:cs="FrankRuehl"/>
                <w:b w:val="0"/>
                <w:bCs w:val="0"/>
                <w:spacing w:val="10"/>
                <w:sz w:val="28"/>
                <w:szCs w:val="28"/>
                <w:rtl/>
              </w:rPr>
              <w:t>שופט</w:t>
            </w:r>
          </w:p>
        </w:tc>
      </w:tr>
    </w:tbl>
    <w:p w14:paraId="760C6B41" w14:textId="77777777" w:rsidR="003860F5" w:rsidRDefault="003860F5" w:rsidP="00622958">
      <w:pPr>
        <w:rPr>
          <w:rtl/>
        </w:rPr>
      </w:pPr>
    </w:p>
    <w:p w14:paraId="557B9D0A" w14:textId="77777777" w:rsidR="00477679" w:rsidRDefault="00477679" w:rsidP="00477679">
      <w:pPr>
        <w:spacing w:line="360" w:lineRule="auto"/>
        <w:jc w:val="both"/>
        <w:rPr>
          <w:rFonts w:ascii="FrankRuehl" w:hAnsi="FrankRuehl" w:cs="FrankRuehl"/>
          <w:spacing w:val="10"/>
          <w:sz w:val="28"/>
          <w:szCs w:val="28"/>
          <w:rtl/>
        </w:rPr>
      </w:pPr>
    </w:p>
    <w:p w14:paraId="02446F5D" w14:textId="77777777" w:rsidR="00477679" w:rsidRPr="00477679" w:rsidRDefault="00000000" w:rsidP="00477679">
      <w:pPr>
        <w:pStyle w:val="Ruller41"/>
        <w:rPr>
          <w:rFonts w:ascii="Century" w:hAnsi="Century" w:cs="Miriam"/>
          <w:b/>
          <w:spacing w:val="0"/>
          <w:szCs w:val="24"/>
          <w:u w:val="single"/>
          <w:rtl/>
        </w:rPr>
      </w:pPr>
      <w:r w:rsidRPr="00477679">
        <w:rPr>
          <w:rFonts w:ascii="Century" w:hAnsi="Century" w:cs="Miriam" w:hint="cs"/>
          <w:b/>
          <w:spacing w:val="0"/>
          <w:szCs w:val="24"/>
          <w:u w:val="single"/>
          <w:rtl/>
        </w:rPr>
        <w:t xml:space="preserve">השופט </w:t>
      </w:r>
      <w:r>
        <w:rPr>
          <w:rFonts w:ascii="Century" w:hAnsi="Century" w:cs="Miriam" w:hint="cs"/>
          <w:b/>
          <w:spacing w:val="0"/>
          <w:szCs w:val="24"/>
          <w:u w:val="single"/>
          <w:rtl/>
        </w:rPr>
        <w:t>חאלד כבוב</w:t>
      </w:r>
      <w:r w:rsidRPr="00477679">
        <w:rPr>
          <w:rFonts w:ascii="Century" w:hAnsi="Century" w:cs="Miriam" w:hint="cs"/>
          <w:b/>
          <w:spacing w:val="0"/>
          <w:szCs w:val="24"/>
          <w:u w:val="single"/>
          <w:rtl/>
        </w:rPr>
        <w:t>:</w:t>
      </w:r>
    </w:p>
    <w:p w14:paraId="1670F763" w14:textId="77777777" w:rsidR="00477679" w:rsidRDefault="00477679" w:rsidP="00477679">
      <w:pPr>
        <w:spacing w:line="360" w:lineRule="auto"/>
        <w:jc w:val="both"/>
        <w:rPr>
          <w:rFonts w:ascii="FrankRuehl" w:hAnsi="FrankRuehl" w:cs="FrankRuehl"/>
          <w:spacing w:val="10"/>
          <w:sz w:val="28"/>
          <w:szCs w:val="28"/>
          <w:rtl/>
        </w:rPr>
      </w:pPr>
    </w:p>
    <w:p w14:paraId="06CF5814" w14:textId="77777777" w:rsidR="00477679" w:rsidRDefault="00000000" w:rsidP="00477679">
      <w:pPr>
        <w:spacing w:line="360" w:lineRule="auto"/>
        <w:jc w:val="both"/>
        <w:rPr>
          <w:rFonts w:ascii="FrankRuehl" w:hAnsi="FrankRuehl" w:cs="FrankRuehl"/>
          <w:spacing w:val="10"/>
          <w:sz w:val="28"/>
          <w:szCs w:val="28"/>
          <w:rtl/>
        </w:rPr>
      </w:pPr>
      <w:r>
        <w:rPr>
          <w:rFonts w:ascii="FrankRuehl" w:hAnsi="FrankRuehl" w:cs="FrankRuehl"/>
          <w:spacing w:val="10"/>
          <w:sz w:val="28"/>
          <w:szCs w:val="28"/>
          <w:rtl/>
        </w:rPr>
        <w:tab/>
      </w:r>
      <w:r>
        <w:rPr>
          <w:rFonts w:ascii="FrankRuehl" w:hAnsi="FrankRuehl" w:cs="FrankRuehl" w:hint="cs"/>
          <w:spacing w:val="10"/>
          <w:sz w:val="28"/>
          <w:szCs w:val="28"/>
          <w:rtl/>
        </w:rPr>
        <w:t>אני מסכים.</w:t>
      </w:r>
    </w:p>
    <w:p w14:paraId="5B72A9D7" w14:textId="77777777" w:rsidR="00477679" w:rsidRDefault="00477679" w:rsidP="00477679">
      <w:pPr>
        <w:spacing w:line="360" w:lineRule="auto"/>
        <w:jc w:val="both"/>
        <w:rPr>
          <w:rFonts w:ascii="FrankRuehl" w:hAnsi="FrankRuehl" w:cs="FrankRuehl"/>
          <w:spacing w:val="10"/>
          <w:sz w:val="28"/>
          <w:szCs w:val="28"/>
          <w:rtl/>
        </w:rPr>
      </w:pPr>
    </w:p>
    <w:p w14:paraId="58EA8E3F" w14:textId="77777777" w:rsidR="00D674AB" w:rsidRDefault="00D674AB" w:rsidP="00477679">
      <w:pPr>
        <w:spacing w:line="360" w:lineRule="auto"/>
        <w:jc w:val="both"/>
        <w:rPr>
          <w:rFonts w:ascii="FrankRuehl" w:hAnsi="FrankRuehl" w:cs="FrankRuehl"/>
          <w:spacing w:val="10"/>
          <w:sz w:val="28"/>
          <w:szCs w:val="28"/>
          <w:rtl/>
        </w:rPr>
      </w:pPr>
    </w:p>
    <w:tbl>
      <w:tblPr>
        <w:bidiVisual/>
        <w:tblW w:w="0" w:type="auto"/>
        <w:jc w:val="right"/>
        <w:tblLook w:val="01E0" w:firstRow="1" w:lastRow="1" w:firstColumn="1" w:lastColumn="1" w:noHBand="0" w:noVBand="0"/>
      </w:tblPr>
      <w:tblGrid>
        <w:gridCol w:w="2551"/>
      </w:tblGrid>
      <w:tr w:rsidR="009D01B9" w14:paraId="22DA0D64" w14:textId="77777777" w:rsidTr="007E7F5C">
        <w:trPr>
          <w:trHeight w:val="454"/>
          <w:jc w:val="right"/>
        </w:trPr>
        <w:tc>
          <w:tcPr>
            <w:tcW w:w="2551" w:type="dxa"/>
            <w:tcBorders>
              <w:top w:val="single" w:sz="4" w:space="0" w:color="auto"/>
              <w:left w:val="nil"/>
              <w:bottom w:val="nil"/>
              <w:right w:val="nil"/>
            </w:tcBorders>
            <w:vAlign w:val="center"/>
          </w:tcPr>
          <w:p w14:paraId="395FEB5E" w14:textId="77777777" w:rsidR="003860F5" w:rsidRPr="007E7F5C" w:rsidRDefault="00000000" w:rsidP="007E7F5C">
            <w:pPr>
              <w:jc w:val="center"/>
              <w:rPr>
                <w:rFonts w:ascii="Courier New" w:hAnsi="Courier New" w:cs="FrankRuehl"/>
                <w:spacing w:val="10"/>
                <w:szCs w:val="28"/>
                <w:rtl/>
              </w:rPr>
            </w:pPr>
            <w:r w:rsidRPr="007E7F5C">
              <w:rPr>
                <w:rFonts w:ascii="Courier New" w:hAnsi="Courier New" w:cs="FrankRuehl" w:hint="cs"/>
                <w:spacing w:val="10"/>
                <w:szCs w:val="28"/>
                <w:rtl/>
              </w:rPr>
              <w:t>חאלד כבוב</w:t>
            </w:r>
          </w:p>
          <w:p w14:paraId="2FD53EE1" w14:textId="77777777" w:rsidR="003860F5" w:rsidRPr="007E7F5C" w:rsidRDefault="00000000" w:rsidP="007E7F5C">
            <w:pPr>
              <w:jc w:val="center"/>
              <w:rPr>
                <w:rFonts w:ascii="Courier New" w:hAnsi="Courier New"/>
              </w:rPr>
            </w:pPr>
            <w:r w:rsidRPr="007E7F5C">
              <w:rPr>
                <w:rFonts w:ascii="Courier New" w:hAnsi="Courier New" w:cs="FrankRuehl" w:hint="cs"/>
                <w:spacing w:val="10"/>
                <w:szCs w:val="28"/>
                <w:rtl/>
              </w:rPr>
              <w:t>שופט</w:t>
            </w:r>
          </w:p>
        </w:tc>
      </w:tr>
    </w:tbl>
    <w:p w14:paraId="22406C07" w14:textId="77777777" w:rsidR="003860F5" w:rsidRDefault="003860F5"/>
    <w:p w14:paraId="1C7D12F3" w14:textId="77777777" w:rsidR="00E2461D" w:rsidRDefault="00E2461D">
      <w:pPr>
        <w:spacing w:line="360" w:lineRule="auto"/>
        <w:jc w:val="both"/>
        <w:rPr>
          <w:rFonts w:ascii="FrankRuehl" w:hAnsi="FrankRuehl" w:cs="FrankRuehl"/>
          <w:spacing w:val="10"/>
          <w:sz w:val="28"/>
          <w:szCs w:val="28"/>
          <w:rtl/>
        </w:rPr>
      </w:pPr>
    </w:p>
    <w:p w14:paraId="054CB5EB" w14:textId="77777777" w:rsidR="00E2461D" w:rsidRDefault="00477679" w:rsidP="00477679">
      <w:pPr>
        <w:spacing w:line="360" w:lineRule="auto"/>
        <w:ind w:firstLine="720"/>
        <w:jc w:val="both"/>
        <w:rPr>
          <w:rFonts w:ascii="FrankRuehl" w:hAnsi="FrankRuehl" w:cs="FrankRuehl"/>
          <w:spacing w:val="10"/>
          <w:sz w:val="28"/>
          <w:szCs w:val="28"/>
          <w:rtl/>
        </w:rPr>
      </w:pPr>
      <w:r>
        <w:rPr>
          <w:rFonts w:ascii="FrankRuehl" w:hAnsi="FrankRuehl" w:cs="FrankRuehl" w:hint="cs"/>
          <w:spacing w:val="10"/>
          <w:sz w:val="28"/>
          <w:szCs w:val="28"/>
          <w:rtl/>
        </w:rPr>
        <w:t xml:space="preserve">הוחלט כאמור בפסק דינו של השופט </w:t>
      </w:r>
      <w:r w:rsidRPr="00477679">
        <w:rPr>
          <w:rFonts w:ascii="Century" w:hAnsi="Century" w:cs="Miriam" w:hint="cs"/>
          <w:b/>
          <w:sz w:val="22"/>
          <w:rtl/>
        </w:rPr>
        <w:t>דוד מינץ</w:t>
      </w:r>
      <w:r>
        <w:rPr>
          <w:rFonts w:ascii="FrankRuehl" w:hAnsi="FrankRuehl" w:cs="FrankRuehl" w:hint="cs"/>
          <w:spacing w:val="10"/>
          <w:sz w:val="28"/>
          <w:szCs w:val="28"/>
          <w:rtl/>
        </w:rPr>
        <w:t>.</w:t>
      </w:r>
    </w:p>
    <w:p w14:paraId="6AEBB057" w14:textId="77777777" w:rsidR="00477679" w:rsidRPr="00FB7A67" w:rsidRDefault="00477679">
      <w:pPr>
        <w:spacing w:line="360" w:lineRule="auto"/>
        <w:jc w:val="both"/>
        <w:rPr>
          <w:rFonts w:ascii="FrankRuehl" w:hAnsi="FrankRuehl" w:cs="FrankRuehl"/>
          <w:spacing w:val="10"/>
          <w:sz w:val="28"/>
          <w:szCs w:val="28"/>
          <w:rtl/>
        </w:rPr>
      </w:pPr>
    </w:p>
    <w:p w14:paraId="6ED8EDBE" w14:textId="77777777" w:rsidR="009E4E0E" w:rsidRPr="009E4E0E" w:rsidRDefault="007E7F5C" w:rsidP="00B00C93">
      <w:pPr>
        <w:spacing w:line="360" w:lineRule="auto"/>
        <w:jc w:val="both"/>
        <w:rPr>
          <w:rFonts w:ascii="Century" w:hAnsi="Century" w:cs="Miriam"/>
          <w:b/>
          <w:sz w:val="22"/>
          <w:u w:val="single"/>
          <w:rtl/>
        </w:rPr>
      </w:pPr>
      <w:bookmarkStart w:id="12" w:name="Nitan"/>
      <w:r>
        <w:rPr>
          <w:rFonts w:ascii="FrankRuehl" w:hAnsi="FrankRuehl" w:cs="FrankRuehl"/>
          <w:spacing w:val="10"/>
          <w:sz w:val="28"/>
          <w:szCs w:val="28"/>
          <w:rtl/>
        </w:rPr>
        <w:t xml:space="preserve">ניתן היום, י"א כסלו תשפ"ו (01 דצמבר 2025). </w:t>
      </w:r>
      <w:bookmarkEnd w:id="12"/>
    </w:p>
    <w:tbl>
      <w:tblPr>
        <w:bidiVisual/>
        <w:tblW w:w="0" w:type="auto"/>
        <w:tblLook w:val="04A0" w:firstRow="1" w:lastRow="0" w:firstColumn="1" w:lastColumn="0" w:noHBand="0" w:noVBand="1"/>
      </w:tblPr>
      <w:tblGrid>
        <w:gridCol w:w="2765"/>
        <w:gridCol w:w="2766"/>
        <w:gridCol w:w="2766"/>
      </w:tblGrid>
      <w:tr w:rsidR="009D01B9" w14:paraId="47F14F0B" w14:textId="77777777" w:rsidTr="007E7F5C">
        <w:tc>
          <w:tcPr>
            <w:tcW w:w="2765" w:type="dxa"/>
          </w:tcPr>
          <w:p w14:paraId="132580D8" w14:textId="77777777" w:rsidR="007E7F5C" w:rsidRPr="007E7F5C" w:rsidRDefault="007E7F5C" w:rsidP="00622958">
            <w:pPr>
              <w:rPr>
                <w:rFonts w:ascii="Courier New" w:hAnsi="Courier New"/>
                <w:rtl/>
              </w:rPr>
            </w:pPr>
          </w:p>
          <w:p w14:paraId="20CCAAD3" w14:textId="77777777" w:rsidR="007E7F5C" w:rsidRPr="007E7F5C" w:rsidRDefault="00000000" w:rsidP="007E7F5C">
            <w:pPr>
              <w:pStyle w:val="31"/>
              <w:spacing w:line="240" w:lineRule="auto"/>
              <w:jc w:val="center"/>
              <w:rPr>
                <w:rFonts w:cs="FrankRuehl"/>
                <w:b w:val="0"/>
                <w:bCs w:val="0"/>
                <w:spacing w:val="10"/>
                <w:sz w:val="28"/>
                <w:szCs w:val="28"/>
                <w:rtl/>
              </w:rPr>
            </w:pPr>
            <w:r w:rsidRPr="007E7F5C">
              <w:rPr>
                <w:rFonts w:cs="FrankRuehl" w:hint="cs"/>
                <w:b w:val="0"/>
                <w:bCs w:val="0"/>
                <w:spacing w:val="10"/>
                <w:sz w:val="28"/>
                <w:szCs w:val="28"/>
                <w:rtl/>
              </w:rPr>
              <w:t xml:space="preserve">דוד מינץ </w:t>
            </w:r>
          </w:p>
          <w:p w14:paraId="66C217A6" w14:textId="77777777" w:rsidR="007E7F5C" w:rsidRPr="007E7F5C" w:rsidRDefault="00000000" w:rsidP="007E7F5C">
            <w:pPr>
              <w:pStyle w:val="31"/>
              <w:spacing w:line="240" w:lineRule="auto"/>
              <w:jc w:val="left"/>
              <w:rPr>
                <w:rFonts w:cs="FrankRuehl"/>
                <w:b w:val="0"/>
                <w:bCs w:val="0"/>
                <w:spacing w:val="10"/>
                <w:sz w:val="28"/>
                <w:szCs w:val="28"/>
                <w:rtl/>
              </w:rPr>
            </w:pPr>
            <w:r w:rsidRPr="007E7F5C">
              <w:rPr>
                <w:rFonts w:cs="FrankRuehl" w:hint="cs"/>
                <w:b w:val="0"/>
                <w:bCs w:val="0"/>
                <w:spacing w:val="10"/>
                <w:sz w:val="28"/>
                <w:szCs w:val="28"/>
                <w:rtl/>
              </w:rPr>
              <w:t>שופט</w:t>
            </w:r>
          </w:p>
          <w:p w14:paraId="3F122195" w14:textId="77777777" w:rsidR="007E3A4C" w:rsidRDefault="007E3A4C" w:rsidP="00622958">
            <w:pPr>
              <w:rPr>
                <w:rtl/>
              </w:rPr>
            </w:pPr>
          </w:p>
          <w:p w14:paraId="359F28A5" w14:textId="77777777" w:rsidR="00E90C45" w:rsidRPr="007E7F5C" w:rsidRDefault="00E90C45" w:rsidP="007E7F5C">
            <w:pPr>
              <w:spacing w:line="360" w:lineRule="auto"/>
              <w:rPr>
                <w:rFonts w:ascii="FrankRuehl" w:hAnsi="FrankRuehl" w:cs="FrankRuehl"/>
                <w:sz w:val="28"/>
                <w:szCs w:val="28"/>
                <w:rtl/>
              </w:rPr>
            </w:pPr>
          </w:p>
        </w:tc>
        <w:tc>
          <w:tcPr>
            <w:tcW w:w="2766" w:type="dxa"/>
          </w:tcPr>
          <w:p w14:paraId="35E721C7" w14:textId="77777777" w:rsidR="007E7F5C" w:rsidRPr="007E7F5C" w:rsidRDefault="007E7F5C" w:rsidP="00622958">
            <w:pPr>
              <w:rPr>
                <w:rFonts w:ascii="Courier New" w:hAnsi="Courier New"/>
              </w:rPr>
            </w:pPr>
          </w:p>
          <w:p w14:paraId="7F078EFA" w14:textId="77777777" w:rsidR="007E7F5C" w:rsidRPr="007E7F5C" w:rsidRDefault="00000000" w:rsidP="007E7F5C">
            <w:pPr>
              <w:pStyle w:val="31"/>
              <w:spacing w:line="240" w:lineRule="auto"/>
              <w:jc w:val="center"/>
              <w:rPr>
                <w:rFonts w:ascii="FrankRuehl" w:hAnsi="FrankRuehl" w:cs="FrankRuehl"/>
                <w:b w:val="0"/>
                <w:bCs w:val="0"/>
                <w:spacing w:val="10"/>
                <w:sz w:val="28"/>
                <w:szCs w:val="28"/>
                <w:rtl/>
              </w:rPr>
            </w:pPr>
            <w:r w:rsidRPr="007E7F5C">
              <w:rPr>
                <w:rFonts w:ascii="FrankRuehl" w:hAnsi="FrankRuehl" w:cs="FrankRuehl"/>
                <w:b w:val="0"/>
                <w:bCs w:val="0"/>
                <w:spacing w:val="10"/>
                <w:sz w:val="28"/>
                <w:szCs w:val="28"/>
                <w:rtl/>
              </w:rPr>
              <w:t xml:space="preserve">אלכס שטיין </w:t>
            </w:r>
          </w:p>
          <w:p w14:paraId="60051C28" w14:textId="77777777" w:rsidR="007E7F5C" w:rsidRPr="007E7F5C" w:rsidRDefault="00000000" w:rsidP="007E7F5C">
            <w:pPr>
              <w:pStyle w:val="31"/>
              <w:spacing w:line="240" w:lineRule="auto"/>
              <w:jc w:val="left"/>
              <w:rPr>
                <w:rFonts w:ascii="FrankRuehl" w:hAnsi="FrankRuehl" w:cs="FrankRuehl"/>
                <w:b w:val="0"/>
                <w:bCs w:val="0"/>
                <w:spacing w:val="10"/>
                <w:sz w:val="28"/>
                <w:szCs w:val="28"/>
                <w:rtl/>
              </w:rPr>
            </w:pPr>
            <w:r w:rsidRPr="007E7F5C">
              <w:rPr>
                <w:rFonts w:ascii="FrankRuehl" w:hAnsi="FrankRuehl" w:cs="FrankRuehl"/>
                <w:b w:val="0"/>
                <w:bCs w:val="0"/>
                <w:spacing w:val="10"/>
                <w:sz w:val="28"/>
                <w:szCs w:val="28"/>
                <w:rtl/>
              </w:rPr>
              <w:t>שופט</w:t>
            </w:r>
          </w:p>
          <w:p w14:paraId="3F1616CE" w14:textId="77777777" w:rsidR="007E3A4C" w:rsidRDefault="007E3A4C" w:rsidP="00622958">
            <w:pPr>
              <w:rPr>
                <w:rtl/>
              </w:rPr>
            </w:pPr>
          </w:p>
          <w:p w14:paraId="4D75A25E" w14:textId="77777777" w:rsidR="00E90C45" w:rsidRPr="007E7F5C" w:rsidRDefault="00E90C45" w:rsidP="007E7F5C">
            <w:pPr>
              <w:spacing w:line="360" w:lineRule="auto"/>
              <w:rPr>
                <w:rFonts w:ascii="FrankRuehl" w:hAnsi="FrankRuehl" w:cs="FrankRuehl"/>
                <w:sz w:val="28"/>
                <w:szCs w:val="28"/>
                <w:rtl/>
              </w:rPr>
            </w:pPr>
          </w:p>
        </w:tc>
        <w:tc>
          <w:tcPr>
            <w:tcW w:w="2766" w:type="dxa"/>
          </w:tcPr>
          <w:p w14:paraId="34E2DF91" w14:textId="77777777" w:rsidR="007E7F5C" w:rsidRPr="007E7F5C" w:rsidRDefault="007E7F5C" w:rsidP="00622958">
            <w:pPr>
              <w:rPr>
                <w:rFonts w:ascii="Courier New" w:hAnsi="Courier New"/>
                <w:sz w:val="20"/>
                <w:szCs w:val="20"/>
                <w:rtl/>
              </w:rPr>
            </w:pPr>
          </w:p>
          <w:p w14:paraId="7EA79B55" w14:textId="77777777" w:rsidR="007E7F5C" w:rsidRPr="007E7F5C" w:rsidRDefault="00000000" w:rsidP="007E7F5C">
            <w:pPr>
              <w:jc w:val="center"/>
              <w:rPr>
                <w:rFonts w:ascii="Courier New" w:hAnsi="Courier New" w:cs="FrankRuehl"/>
                <w:spacing w:val="10"/>
                <w:szCs w:val="28"/>
                <w:rtl/>
              </w:rPr>
            </w:pPr>
            <w:r w:rsidRPr="007E7F5C">
              <w:rPr>
                <w:rFonts w:ascii="Courier New" w:hAnsi="Courier New" w:cs="FrankRuehl" w:hint="cs"/>
                <w:spacing w:val="10"/>
                <w:szCs w:val="28"/>
                <w:rtl/>
              </w:rPr>
              <w:t>חאלד כבוב</w:t>
            </w:r>
          </w:p>
          <w:p w14:paraId="7EFF0E07" w14:textId="77777777" w:rsidR="007E7F5C" w:rsidRPr="007E7F5C" w:rsidRDefault="00000000" w:rsidP="00622958">
            <w:pPr>
              <w:rPr>
                <w:rFonts w:ascii="Courier New" w:hAnsi="Courier New"/>
              </w:rPr>
            </w:pPr>
            <w:r w:rsidRPr="007E7F5C">
              <w:rPr>
                <w:rFonts w:ascii="Courier New" w:hAnsi="Courier New" w:cs="FrankRuehl" w:hint="cs"/>
                <w:spacing w:val="10"/>
                <w:szCs w:val="28"/>
                <w:rtl/>
              </w:rPr>
              <w:t>שופט</w:t>
            </w:r>
          </w:p>
          <w:p w14:paraId="19CA1004" w14:textId="77777777" w:rsidR="007E3A4C" w:rsidRDefault="007E3A4C"/>
          <w:p w14:paraId="77D52B76" w14:textId="77777777" w:rsidR="00E90C45" w:rsidRPr="007E7F5C" w:rsidRDefault="00E90C45" w:rsidP="007E7F5C">
            <w:pPr>
              <w:spacing w:line="360" w:lineRule="auto"/>
              <w:rPr>
                <w:rFonts w:ascii="FrankRuehl" w:hAnsi="FrankRuehl" w:cs="FrankRuehl"/>
                <w:sz w:val="28"/>
                <w:szCs w:val="28"/>
                <w:rtl/>
              </w:rPr>
            </w:pPr>
          </w:p>
        </w:tc>
      </w:tr>
    </w:tbl>
    <w:p w14:paraId="0F723888" w14:textId="77777777" w:rsidR="00694556" w:rsidRPr="007E7F5C" w:rsidRDefault="00BD6531" w:rsidP="007E7F5C">
      <w:pPr>
        <w:tabs>
          <w:tab w:val="left" w:pos="2553"/>
        </w:tabs>
        <w:rPr>
          <w:rFonts w:ascii="FrankRuehl" w:hAnsi="FrankRuehl" w:cs="FrankRuehl"/>
          <w:color w:val="000000"/>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t xml:space="preserve">        </w:t>
      </w:r>
    </w:p>
    <w:p w14:paraId="7C83D973" w14:textId="77777777" w:rsidR="007E7F5C" w:rsidRPr="007E7F5C" w:rsidRDefault="007E7F5C" w:rsidP="007E7F5C">
      <w:pPr>
        <w:tabs>
          <w:tab w:val="left" w:pos="2553"/>
        </w:tabs>
        <w:jc w:val="center"/>
        <w:rPr>
          <w:rFonts w:ascii="FrankRuehl" w:hAnsi="FrankRuehl"/>
          <w:color w:val="0000FF"/>
          <w:sz w:val="28"/>
          <w:u w:val="single"/>
          <w:rtl/>
        </w:rPr>
      </w:pPr>
    </w:p>
    <w:sectPr w:rsidR="007E7F5C" w:rsidRPr="007E7F5C" w:rsidSect="007E7F5C">
      <w:headerReference w:type="even" r:id="rId8"/>
      <w:headerReference w:type="default" r:id="rId9"/>
      <w:footerReference w:type="even" r:id="rId10"/>
      <w:footerReference w:type="default" r:id="rId11"/>
      <w:pgSz w:w="11907" w:h="16840" w:code="9"/>
      <w:pgMar w:top="1701" w:right="1800" w:bottom="1440" w:left="1800" w:header="720" w:footer="51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10A0" w14:textId="77777777" w:rsidR="00C85F40" w:rsidRDefault="00C85F40">
      <w:r>
        <w:separator/>
      </w:r>
    </w:p>
  </w:endnote>
  <w:endnote w:type="continuationSeparator" w:id="0">
    <w:p w14:paraId="5075A1B9" w14:textId="77777777" w:rsidR="00C85F40" w:rsidRDefault="00C8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3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ABA4" w14:textId="77777777" w:rsidR="007E7F5C" w:rsidRDefault="00000000" w:rsidP="007E7F5C">
    <w:pPr>
      <w:pStyle w:val="a7"/>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 xml:space="preserve">PAGE </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noProof/>
        <w:rtl/>
      </w:rPr>
      <w:t>15</w:t>
    </w:r>
    <w:r>
      <w:rPr>
        <w:rFonts w:ascii="FrankRuehl" w:hAnsi="FrankRuehl" w:cs="FrankRuehl"/>
        <w:rtl/>
      </w:rPr>
      <w:fldChar w:fldCharType="end"/>
    </w:r>
  </w:p>
  <w:p w14:paraId="69D888BE" w14:textId="22ABA711" w:rsidR="00F4075E" w:rsidRPr="007E7F5C" w:rsidRDefault="00FB7DC0" w:rsidP="007E7F5C">
    <w:pPr>
      <w:pStyle w:val="a7"/>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noProof/>
        <w:color w:val="000000"/>
      </w:rPr>
      <w:drawing>
        <wp:inline distT="0" distB="0" distL="0" distR="0" wp14:anchorId="1CADE721" wp14:editId="68E48ABF">
          <wp:extent cx="552450" cy="2286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873F" w14:textId="77777777" w:rsidR="007E7F5C" w:rsidRDefault="00000000" w:rsidP="007E7F5C">
    <w:pPr>
      <w:pStyle w:val="a7"/>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 xml:space="preserve">PAGE </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sidR="003B3711">
      <w:rPr>
        <w:rFonts w:ascii="FrankRuehl" w:hAnsi="FrankRuehl" w:cs="FrankRuehl"/>
        <w:noProof/>
        <w:rtl/>
      </w:rPr>
      <w:t>1</w:t>
    </w:r>
    <w:r>
      <w:rPr>
        <w:rFonts w:ascii="FrankRuehl" w:hAnsi="FrankRuehl" w:cs="FrankRuehl"/>
        <w:rtl/>
      </w:rPr>
      <w:fldChar w:fldCharType="end"/>
    </w:r>
  </w:p>
  <w:p w14:paraId="33B137C1" w14:textId="2A5386A7" w:rsidR="00F4075E" w:rsidRPr="007E7F5C" w:rsidRDefault="00F4075E" w:rsidP="007E7F5C">
    <w:pPr>
      <w:pStyle w:val="a7"/>
      <w:pBdr>
        <w:top w:val="single" w:sz="4" w:space="1" w:color="auto"/>
        <w:between w:val="single" w:sz="4" w:space="0" w:color="auto"/>
      </w:pBdr>
      <w:spacing w:after="60"/>
      <w:jc w:val="center"/>
      <w:rPr>
        <w:rFonts w:ascii="FrankRuehl" w:hAnsi="FrankRuehl" w:cs="FrankRueh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8233" w14:textId="77777777" w:rsidR="00C85F40" w:rsidRDefault="00C85F40">
      <w:r>
        <w:separator/>
      </w:r>
    </w:p>
  </w:footnote>
  <w:footnote w:type="continuationSeparator" w:id="0">
    <w:p w14:paraId="242146C1" w14:textId="77777777" w:rsidR="00C85F40" w:rsidRDefault="00C8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AAEE" w14:textId="77777777" w:rsidR="00F4075E" w:rsidRPr="007E7F5C" w:rsidRDefault="007E7F5C" w:rsidP="007E7F5C">
    <w:pPr>
      <w:pStyle w:val="a5"/>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רעא 58589-04-25</w:t>
    </w:r>
    <w:r>
      <w:rPr>
        <w:rFonts w:ascii="David" w:hAnsi="David"/>
        <w:color w:val="000000"/>
        <w:sz w:val="22"/>
        <w:szCs w:val="22"/>
        <w:rtl/>
      </w:rPr>
      <w:tab/>
      <w:t xml:space="preserve"> סוהייר זחאלקה נ' ירון עודד הנאמן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EBBA" w14:textId="77777777" w:rsidR="00105E0F" w:rsidRPr="007E7F5C" w:rsidRDefault="007E7F5C" w:rsidP="007E7F5C">
    <w:pPr>
      <w:pStyle w:val="a5"/>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13" w:name="_Hlk216339955"/>
    <w:bookmarkStart w:id="14" w:name="_Hlk216339956"/>
    <w:bookmarkStart w:id="15" w:name="_Hlk216339957"/>
    <w:bookmarkStart w:id="16" w:name="_Hlk216339958"/>
    <w:r>
      <w:rPr>
        <w:rFonts w:ascii="David" w:hAnsi="David"/>
        <w:color w:val="000000"/>
        <w:sz w:val="22"/>
        <w:szCs w:val="22"/>
        <w:rtl/>
      </w:rPr>
      <w:t>רעא 58589-04-25</w:t>
    </w:r>
    <w:r>
      <w:rPr>
        <w:rFonts w:ascii="David" w:hAnsi="David"/>
        <w:color w:val="000000"/>
        <w:sz w:val="22"/>
        <w:szCs w:val="22"/>
        <w:rtl/>
      </w:rPr>
      <w:tab/>
      <w:t xml:space="preserve"> סוהייר זחאלקה נ' ירון עודד הנאמן</w:t>
    </w:r>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74946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6BCC9A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616E2F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1FE97C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5A822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C29C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D0C56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A862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4204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E488CA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34B6980A"/>
    <w:lvl w:ilvl="0" w:tplc="8B6C26B4">
      <w:start w:val="1"/>
      <w:numFmt w:val="decimal"/>
      <w:pStyle w:val="Ruller4"/>
      <w:lvlText w:val="%1."/>
      <w:lvlJc w:val="left"/>
      <w:pPr>
        <w:tabs>
          <w:tab w:val="num" w:pos="907"/>
        </w:tabs>
        <w:ind w:left="0" w:firstLine="0"/>
      </w:pPr>
      <w:rPr>
        <w:lang w:val="en-US"/>
      </w:rPr>
    </w:lvl>
    <w:lvl w:ilvl="1" w:tplc="37A41908">
      <w:start w:val="1"/>
      <w:numFmt w:val="lowerLetter"/>
      <w:lvlText w:val="%2."/>
      <w:lvlJc w:val="left"/>
      <w:pPr>
        <w:tabs>
          <w:tab w:val="num" w:pos="1440"/>
        </w:tabs>
        <w:ind w:left="1440" w:hanging="360"/>
      </w:pPr>
    </w:lvl>
    <w:lvl w:ilvl="2" w:tplc="9B522F52">
      <w:start w:val="1"/>
      <w:numFmt w:val="lowerRoman"/>
      <w:lvlText w:val="%3."/>
      <w:lvlJc w:val="right"/>
      <w:pPr>
        <w:tabs>
          <w:tab w:val="num" w:pos="2160"/>
        </w:tabs>
        <w:ind w:left="2160" w:hanging="180"/>
      </w:pPr>
    </w:lvl>
    <w:lvl w:ilvl="3" w:tplc="B9F21A58">
      <w:start w:val="1"/>
      <w:numFmt w:val="decimal"/>
      <w:lvlText w:val="%4."/>
      <w:lvlJc w:val="left"/>
      <w:pPr>
        <w:tabs>
          <w:tab w:val="num" w:pos="2880"/>
        </w:tabs>
        <w:ind w:left="2880" w:hanging="360"/>
      </w:pPr>
    </w:lvl>
    <w:lvl w:ilvl="4" w:tplc="0D9C545C">
      <w:start w:val="1"/>
      <w:numFmt w:val="lowerLetter"/>
      <w:lvlText w:val="%5."/>
      <w:lvlJc w:val="left"/>
      <w:pPr>
        <w:tabs>
          <w:tab w:val="num" w:pos="3600"/>
        </w:tabs>
        <w:ind w:left="3600" w:hanging="360"/>
      </w:pPr>
    </w:lvl>
    <w:lvl w:ilvl="5" w:tplc="BE1CCEFA">
      <w:start w:val="1"/>
      <w:numFmt w:val="lowerRoman"/>
      <w:lvlText w:val="%6."/>
      <w:lvlJc w:val="right"/>
      <w:pPr>
        <w:tabs>
          <w:tab w:val="num" w:pos="4320"/>
        </w:tabs>
        <w:ind w:left="4320" w:hanging="180"/>
      </w:pPr>
    </w:lvl>
    <w:lvl w:ilvl="6" w:tplc="F20A1BDE">
      <w:start w:val="1"/>
      <w:numFmt w:val="decimal"/>
      <w:lvlText w:val="%7."/>
      <w:lvlJc w:val="left"/>
      <w:pPr>
        <w:tabs>
          <w:tab w:val="num" w:pos="5040"/>
        </w:tabs>
        <w:ind w:left="5040" w:hanging="360"/>
      </w:pPr>
    </w:lvl>
    <w:lvl w:ilvl="7" w:tplc="959E5FF4">
      <w:start w:val="1"/>
      <w:numFmt w:val="lowerLetter"/>
      <w:lvlText w:val="%8."/>
      <w:lvlJc w:val="left"/>
      <w:pPr>
        <w:tabs>
          <w:tab w:val="num" w:pos="5760"/>
        </w:tabs>
        <w:ind w:left="5760" w:hanging="360"/>
      </w:pPr>
    </w:lvl>
    <w:lvl w:ilvl="8" w:tplc="8FF052BC">
      <w:start w:val="1"/>
      <w:numFmt w:val="lowerRoman"/>
      <w:lvlText w:val="%9."/>
      <w:lvlJc w:val="right"/>
      <w:pPr>
        <w:tabs>
          <w:tab w:val="num" w:pos="6480"/>
        </w:tabs>
        <w:ind w:left="6480" w:hanging="180"/>
      </w:pPr>
    </w:lvl>
  </w:abstractNum>
  <w:num w:numId="1" w16cid:durableId="1183086466">
    <w:abstractNumId w:val="8"/>
  </w:num>
  <w:num w:numId="2" w16cid:durableId="1897084527">
    <w:abstractNumId w:val="3"/>
  </w:num>
  <w:num w:numId="3" w16cid:durableId="538589245">
    <w:abstractNumId w:val="2"/>
  </w:num>
  <w:num w:numId="4" w16cid:durableId="982389607">
    <w:abstractNumId w:val="1"/>
  </w:num>
  <w:num w:numId="5" w16cid:durableId="227419392">
    <w:abstractNumId w:val="0"/>
  </w:num>
  <w:num w:numId="6" w16cid:durableId="97650273">
    <w:abstractNumId w:val="9"/>
  </w:num>
  <w:num w:numId="7" w16cid:durableId="477066205">
    <w:abstractNumId w:val="7"/>
  </w:num>
  <w:num w:numId="8" w16cid:durableId="144323428">
    <w:abstractNumId w:val="6"/>
  </w:num>
  <w:num w:numId="9" w16cid:durableId="1333993274">
    <w:abstractNumId w:val="5"/>
  </w:num>
  <w:num w:numId="10" w16cid:durableId="1106074215">
    <w:abstractNumId w:val="4"/>
  </w:num>
  <w:num w:numId="11" w16cid:durableId="1391541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694556"/>
    <w:rsid w:val="00000062"/>
    <w:rsid w:val="0000226B"/>
    <w:rsid w:val="00005C8B"/>
    <w:rsid w:val="00007DE0"/>
    <w:rsid w:val="000346CC"/>
    <w:rsid w:val="000529D2"/>
    <w:rsid w:val="000529F0"/>
    <w:rsid w:val="000564AB"/>
    <w:rsid w:val="00064FBD"/>
    <w:rsid w:val="00082AB2"/>
    <w:rsid w:val="000906FE"/>
    <w:rsid w:val="00096AF7"/>
    <w:rsid w:val="000B344B"/>
    <w:rsid w:val="000B345E"/>
    <w:rsid w:val="000B6DBA"/>
    <w:rsid w:val="000C3B0F"/>
    <w:rsid w:val="000C3B60"/>
    <w:rsid w:val="000E0DD2"/>
    <w:rsid w:val="000E12EA"/>
    <w:rsid w:val="000E3AF1"/>
    <w:rsid w:val="000F0BC8"/>
    <w:rsid w:val="000F0DD6"/>
    <w:rsid w:val="00103959"/>
    <w:rsid w:val="00105E0F"/>
    <w:rsid w:val="00107E6D"/>
    <w:rsid w:val="0011194C"/>
    <w:rsid w:val="0011424C"/>
    <w:rsid w:val="001173C6"/>
    <w:rsid w:val="001300D7"/>
    <w:rsid w:val="001367BC"/>
    <w:rsid w:val="00144D2A"/>
    <w:rsid w:val="0014653E"/>
    <w:rsid w:val="00180519"/>
    <w:rsid w:val="00191C82"/>
    <w:rsid w:val="00193B4B"/>
    <w:rsid w:val="001C4003"/>
    <w:rsid w:val="001D4DBF"/>
    <w:rsid w:val="001E0EFD"/>
    <w:rsid w:val="001E75CA"/>
    <w:rsid w:val="002265FF"/>
    <w:rsid w:val="00235B97"/>
    <w:rsid w:val="002520E2"/>
    <w:rsid w:val="00261FEE"/>
    <w:rsid w:val="00270C62"/>
    <w:rsid w:val="00271B56"/>
    <w:rsid w:val="00275E20"/>
    <w:rsid w:val="00286B0C"/>
    <w:rsid w:val="00290BC2"/>
    <w:rsid w:val="0029666D"/>
    <w:rsid w:val="002A1B48"/>
    <w:rsid w:val="002C293E"/>
    <w:rsid w:val="002C344E"/>
    <w:rsid w:val="002E75E9"/>
    <w:rsid w:val="002F0B1E"/>
    <w:rsid w:val="00307A6A"/>
    <w:rsid w:val="00307C40"/>
    <w:rsid w:val="00320433"/>
    <w:rsid w:val="003230C7"/>
    <w:rsid w:val="00327E50"/>
    <w:rsid w:val="0033597A"/>
    <w:rsid w:val="00342C8D"/>
    <w:rsid w:val="00343D89"/>
    <w:rsid w:val="00362612"/>
    <w:rsid w:val="0036743F"/>
    <w:rsid w:val="00367B06"/>
    <w:rsid w:val="003715DD"/>
    <w:rsid w:val="003823E0"/>
    <w:rsid w:val="003839B2"/>
    <w:rsid w:val="003860F5"/>
    <w:rsid w:val="003964C1"/>
    <w:rsid w:val="003A4521"/>
    <w:rsid w:val="003B3711"/>
    <w:rsid w:val="003B3E8D"/>
    <w:rsid w:val="003B5F93"/>
    <w:rsid w:val="003D1C8C"/>
    <w:rsid w:val="0040096C"/>
    <w:rsid w:val="00414F1F"/>
    <w:rsid w:val="0043125D"/>
    <w:rsid w:val="0043502B"/>
    <w:rsid w:val="004443AC"/>
    <w:rsid w:val="00444748"/>
    <w:rsid w:val="00444B02"/>
    <w:rsid w:val="00451E28"/>
    <w:rsid w:val="00462C62"/>
    <w:rsid w:val="00465D36"/>
    <w:rsid w:val="00477679"/>
    <w:rsid w:val="00486D25"/>
    <w:rsid w:val="004B105B"/>
    <w:rsid w:val="004C17EE"/>
    <w:rsid w:val="004C4BDF"/>
    <w:rsid w:val="004D1187"/>
    <w:rsid w:val="004D3AA0"/>
    <w:rsid w:val="004E1987"/>
    <w:rsid w:val="004E2E15"/>
    <w:rsid w:val="004E6E3C"/>
    <w:rsid w:val="00511B90"/>
    <w:rsid w:val="00520898"/>
    <w:rsid w:val="00523621"/>
    <w:rsid w:val="00524986"/>
    <w:rsid w:val="005268F6"/>
    <w:rsid w:val="00534284"/>
    <w:rsid w:val="00547DB7"/>
    <w:rsid w:val="005C0627"/>
    <w:rsid w:val="005D32D6"/>
    <w:rsid w:val="005F4F09"/>
    <w:rsid w:val="0061431B"/>
    <w:rsid w:val="00616AE2"/>
    <w:rsid w:val="00622958"/>
    <w:rsid w:val="00622BAA"/>
    <w:rsid w:val="006306CF"/>
    <w:rsid w:val="006318D8"/>
    <w:rsid w:val="00644E9A"/>
    <w:rsid w:val="006512A7"/>
    <w:rsid w:val="00671BD5"/>
    <w:rsid w:val="006805C1"/>
    <w:rsid w:val="006833AE"/>
    <w:rsid w:val="00686C21"/>
    <w:rsid w:val="006931C1"/>
    <w:rsid w:val="00694556"/>
    <w:rsid w:val="006A6F6E"/>
    <w:rsid w:val="006B7258"/>
    <w:rsid w:val="006C30C5"/>
    <w:rsid w:val="006D3B31"/>
    <w:rsid w:val="006E0D96"/>
    <w:rsid w:val="006E1A53"/>
    <w:rsid w:val="006F56E6"/>
    <w:rsid w:val="00704EDA"/>
    <w:rsid w:val="00721122"/>
    <w:rsid w:val="00734689"/>
    <w:rsid w:val="007447C7"/>
    <w:rsid w:val="00753019"/>
    <w:rsid w:val="00754801"/>
    <w:rsid w:val="00761441"/>
    <w:rsid w:val="00795365"/>
    <w:rsid w:val="007A351D"/>
    <w:rsid w:val="007B7765"/>
    <w:rsid w:val="007C5BDD"/>
    <w:rsid w:val="007D45E3"/>
    <w:rsid w:val="007E0A76"/>
    <w:rsid w:val="007E3A4C"/>
    <w:rsid w:val="007E6115"/>
    <w:rsid w:val="007E7F5C"/>
    <w:rsid w:val="007F4609"/>
    <w:rsid w:val="007F4CC9"/>
    <w:rsid w:val="00814468"/>
    <w:rsid w:val="008176A1"/>
    <w:rsid w:val="00820005"/>
    <w:rsid w:val="0083513E"/>
    <w:rsid w:val="008376F1"/>
    <w:rsid w:val="00841158"/>
    <w:rsid w:val="00844318"/>
    <w:rsid w:val="00851257"/>
    <w:rsid w:val="00863F5D"/>
    <w:rsid w:val="00870890"/>
    <w:rsid w:val="00873602"/>
    <w:rsid w:val="00875D12"/>
    <w:rsid w:val="00881974"/>
    <w:rsid w:val="0088479D"/>
    <w:rsid w:val="00891F42"/>
    <w:rsid w:val="00896889"/>
    <w:rsid w:val="008A59EE"/>
    <w:rsid w:val="008A6E97"/>
    <w:rsid w:val="008C5714"/>
    <w:rsid w:val="008D10B2"/>
    <w:rsid w:val="00903896"/>
    <w:rsid w:val="00906F3D"/>
    <w:rsid w:val="00913721"/>
    <w:rsid w:val="0094424E"/>
    <w:rsid w:val="00955642"/>
    <w:rsid w:val="009622DF"/>
    <w:rsid w:val="0096493F"/>
    <w:rsid w:val="00967DFF"/>
    <w:rsid w:val="00994341"/>
    <w:rsid w:val="009A03C3"/>
    <w:rsid w:val="009D01B9"/>
    <w:rsid w:val="009D1A48"/>
    <w:rsid w:val="009E1CE7"/>
    <w:rsid w:val="009E4E0E"/>
    <w:rsid w:val="009E4EA5"/>
    <w:rsid w:val="009F0AD6"/>
    <w:rsid w:val="009F164B"/>
    <w:rsid w:val="009F323C"/>
    <w:rsid w:val="00A3392B"/>
    <w:rsid w:val="00A81988"/>
    <w:rsid w:val="00A85E34"/>
    <w:rsid w:val="00A87DF6"/>
    <w:rsid w:val="00A9144F"/>
    <w:rsid w:val="00A94B64"/>
    <w:rsid w:val="00AA3229"/>
    <w:rsid w:val="00AA7596"/>
    <w:rsid w:val="00AB5E52"/>
    <w:rsid w:val="00AC3B02"/>
    <w:rsid w:val="00AC3B7B"/>
    <w:rsid w:val="00AC5209"/>
    <w:rsid w:val="00AE0E34"/>
    <w:rsid w:val="00AE729E"/>
    <w:rsid w:val="00AE7752"/>
    <w:rsid w:val="00AF7FDA"/>
    <w:rsid w:val="00B00C93"/>
    <w:rsid w:val="00B27E99"/>
    <w:rsid w:val="00B5356E"/>
    <w:rsid w:val="00B62AD7"/>
    <w:rsid w:val="00B66717"/>
    <w:rsid w:val="00B77019"/>
    <w:rsid w:val="00B809AD"/>
    <w:rsid w:val="00B80CBD"/>
    <w:rsid w:val="00B86096"/>
    <w:rsid w:val="00B95D6E"/>
    <w:rsid w:val="00B964D9"/>
    <w:rsid w:val="00BA0A7C"/>
    <w:rsid w:val="00BA517C"/>
    <w:rsid w:val="00BB3D05"/>
    <w:rsid w:val="00BB73BE"/>
    <w:rsid w:val="00BC2D89"/>
    <w:rsid w:val="00BD6531"/>
    <w:rsid w:val="00BE05B2"/>
    <w:rsid w:val="00BF1908"/>
    <w:rsid w:val="00BF76BE"/>
    <w:rsid w:val="00C05869"/>
    <w:rsid w:val="00C22D93"/>
    <w:rsid w:val="00C23458"/>
    <w:rsid w:val="00C31120"/>
    <w:rsid w:val="00C34482"/>
    <w:rsid w:val="00C43648"/>
    <w:rsid w:val="00C50A9F"/>
    <w:rsid w:val="00C61238"/>
    <w:rsid w:val="00C642FA"/>
    <w:rsid w:val="00C85F40"/>
    <w:rsid w:val="00C9217F"/>
    <w:rsid w:val="00CA4C49"/>
    <w:rsid w:val="00CC7622"/>
    <w:rsid w:val="00CD516B"/>
    <w:rsid w:val="00CD608F"/>
    <w:rsid w:val="00CE0084"/>
    <w:rsid w:val="00CF403E"/>
    <w:rsid w:val="00CF6BB7"/>
    <w:rsid w:val="00D04AA4"/>
    <w:rsid w:val="00D20565"/>
    <w:rsid w:val="00D27982"/>
    <w:rsid w:val="00D33B86"/>
    <w:rsid w:val="00D44968"/>
    <w:rsid w:val="00D53924"/>
    <w:rsid w:val="00D55D0C"/>
    <w:rsid w:val="00D674AB"/>
    <w:rsid w:val="00D71B46"/>
    <w:rsid w:val="00D96D8C"/>
    <w:rsid w:val="00DA6649"/>
    <w:rsid w:val="00DC1259"/>
    <w:rsid w:val="00DC1BD2"/>
    <w:rsid w:val="00DC2571"/>
    <w:rsid w:val="00DC487C"/>
    <w:rsid w:val="00DC792F"/>
    <w:rsid w:val="00DD4335"/>
    <w:rsid w:val="00DE1E7D"/>
    <w:rsid w:val="00DE6BF6"/>
    <w:rsid w:val="00E1068A"/>
    <w:rsid w:val="00E2461D"/>
    <w:rsid w:val="00E25884"/>
    <w:rsid w:val="00E25B55"/>
    <w:rsid w:val="00E311E6"/>
    <w:rsid w:val="00E31C2B"/>
    <w:rsid w:val="00E42E86"/>
    <w:rsid w:val="00E5426A"/>
    <w:rsid w:val="00E54642"/>
    <w:rsid w:val="00E80CBE"/>
    <w:rsid w:val="00E90C45"/>
    <w:rsid w:val="00E9269D"/>
    <w:rsid w:val="00E962E3"/>
    <w:rsid w:val="00EA21DC"/>
    <w:rsid w:val="00EB280B"/>
    <w:rsid w:val="00EB6C79"/>
    <w:rsid w:val="00EC37E9"/>
    <w:rsid w:val="00ED1998"/>
    <w:rsid w:val="00EE0123"/>
    <w:rsid w:val="00F038D8"/>
    <w:rsid w:val="00F06995"/>
    <w:rsid w:val="00F12D66"/>
    <w:rsid w:val="00F13623"/>
    <w:rsid w:val="00F14E68"/>
    <w:rsid w:val="00F4075E"/>
    <w:rsid w:val="00F44D1D"/>
    <w:rsid w:val="00F84B6D"/>
    <w:rsid w:val="00F856E6"/>
    <w:rsid w:val="00F9359C"/>
    <w:rsid w:val="00F957E8"/>
    <w:rsid w:val="00FA311A"/>
    <w:rsid w:val="00FA5FDA"/>
    <w:rsid w:val="00FA7FD0"/>
    <w:rsid w:val="00FB6AB3"/>
    <w:rsid w:val="00FB7A67"/>
    <w:rsid w:val="00FB7DC0"/>
    <w:rsid w:val="00FD1419"/>
    <w:rsid w:val="00FD22A7"/>
    <w:rsid w:val="00FD5206"/>
    <w:rsid w:val="00FD79E4"/>
    <w:rsid w:val="00FE09EC"/>
    <w:rsid w:val="00FE2894"/>
    <w:rsid w:val="00FF10DE"/>
    <w:rsid w:val="00FF6C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49A1"/>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nhideWhenUsed="1"/>
    <w:lsdException w:name="HTML Bottom of Form"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4423"/>
    <w:pPr>
      <w:bidi/>
    </w:pPr>
    <w:rPr>
      <w:rFonts w:cs="David"/>
      <w:sz w:val="24"/>
      <w:szCs w:val="24"/>
      <w:lang w:bidi="he-IL"/>
    </w:rPr>
  </w:style>
  <w:style w:type="paragraph" w:styleId="1">
    <w:name w:val="heading 1"/>
    <w:basedOn w:val="a1"/>
    <w:next w:val="a1"/>
    <w:link w:val="10"/>
    <w:qFormat/>
    <w:rsid w:val="00ED1998"/>
    <w:pPr>
      <w:keepNext/>
      <w:keepLines/>
      <w:spacing w:before="240"/>
      <w:outlineLvl w:val="0"/>
    </w:pPr>
    <w:rPr>
      <w:rFonts w:ascii="Cambria" w:hAnsi="Cambria" w:cs="Times New Roman"/>
      <w:color w:val="365F91"/>
      <w:sz w:val="32"/>
      <w:szCs w:val="32"/>
    </w:rPr>
  </w:style>
  <w:style w:type="paragraph" w:styleId="21">
    <w:name w:val="heading 2"/>
    <w:basedOn w:val="a1"/>
    <w:next w:val="a1"/>
    <w:link w:val="22"/>
    <w:qFormat/>
    <w:rsid w:val="00ED1998"/>
    <w:pPr>
      <w:keepNext/>
      <w:keepLines/>
      <w:spacing w:before="40"/>
      <w:outlineLvl w:val="1"/>
    </w:pPr>
    <w:rPr>
      <w:rFonts w:ascii="Cambria" w:hAnsi="Cambria" w:cs="Times New Roman"/>
      <w:color w:val="365F91"/>
      <w:sz w:val="26"/>
      <w:szCs w:val="26"/>
    </w:rPr>
  </w:style>
  <w:style w:type="paragraph" w:styleId="31">
    <w:name w:val="heading 3"/>
    <w:basedOn w:val="a1"/>
    <w:next w:val="a1"/>
    <w:link w:val="32"/>
    <w:qFormat/>
    <w:rsid w:val="00ED1998"/>
    <w:pPr>
      <w:keepNext/>
      <w:spacing w:line="360" w:lineRule="auto"/>
      <w:jc w:val="both"/>
      <w:outlineLvl w:val="2"/>
    </w:pPr>
    <w:rPr>
      <w:b/>
      <w:bCs/>
      <w:sz w:val="20"/>
      <w:lang w:eastAsia="he-IL"/>
    </w:rPr>
  </w:style>
  <w:style w:type="paragraph" w:styleId="41">
    <w:name w:val="heading 4"/>
    <w:basedOn w:val="a1"/>
    <w:next w:val="a1"/>
    <w:qFormat/>
    <w:rsid w:val="00C64423"/>
    <w:pPr>
      <w:keepNext/>
      <w:ind w:left="5760" w:firstLine="720"/>
      <w:outlineLvl w:val="3"/>
    </w:pPr>
    <w:rPr>
      <w:rFonts w:cs="Narkisim"/>
      <w:b/>
      <w:bCs/>
    </w:rPr>
  </w:style>
  <w:style w:type="paragraph" w:styleId="51">
    <w:name w:val="heading 5"/>
    <w:basedOn w:val="a1"/>
    <w:next w:val="a1"/>
    <w:link w:val="52"/>
    <w:qFormat/>
    <w:rsid w:val="00ED1998"/>
    <w:pPr>
      <w:keepNext/>
      <w:keepLines/>
      <w:spacing w:before="40"/>
      <w:outlineLvl w:val="4"/>
    </w:pPr>
    <w:rPr>
      <w:rFonts w:ascii="Cambria" w:hAnsi="Cambria" w:cs="Times New Roman"/>
      <w:color w:val="365F91"/>
    </w:rPr>
  </w:style>
  <w:style w:type="paragraph" w:styleId="6">
    <w:name w:val="heading 6"/>
    <w:basedOn w:val="a1"/>
    <w:next w:val="a1"/>
    <w:link w:val="60"/>
    <w:qFormat/>
    <w:rsid w:val="00ED1998"/>
    <w:pPr>
      <w:keepNext/>
      <w:keepLines/>
      <w:spacing w:before="40"/>
      <w:outlineLvl w:val="5"/>
    </w:pPr>
    <w:rPr>
      <w:rFonts w:ascii="Cambria" w:hAnsi="Cambria" w:cs="Times New Roman"/>
      <w:color w:val="243F60"/>
    </w:rPr>
  </w:style>
  <w:style w:type="paragraph" w:styleId="7">
    <w:name w:val="heading 7"/>
    <w:basedOn w:val="a1"/>
    <w:next w:val="a1"/>
    <w:link w:val="70"/>
    <w:qFormat/>
    <w:rsid w:val="00ED1998"/>
    <w:pPr>
      <w:keepNext/>
      <w:keepLines/>
      <w:spacing w:before="40"/>
      <w:outlineLvl w:val="6"/>
    </w:pPr>
    <w:rPr>
      <w:rFonts w:ascii="Cambria" w:hAnsi="Cambria" w:cs="Times New Roman"/>
      <w:i/>
      <w:iCs/>
      <w:color w:val="243F60"/>
    </w:rPr>
  </w:style>
  <w:style w:type="paragraph" w:styleId="8">
    <w:name w:val="heading 8"/>
    <w:basedOn w:val="a1"/>
    <w:next w:val="a1"/>
    <w:link w:val="80"/>
    <w:qFormat/>
    <w:rsid w:val="00ED1998"/>
    <w:pPr>
      <w:keepNext/>
      <w:keepLines/>
      <w:spacing w:before="40"/>
      <w:outlineLvl w:val="7"/>
    </w:pPr>
    <w:rPr>
      <w:rFonts w:ascii="Cambria" w:hAnsi="Cambria" w:cs="Times New Roman"/>
      <w:color w:val="272727"/>
      <w:sz w:val="21"/>
      <w:szCs w:val="21"/>
    </w:rPr>
  </w:style>
  <w:style w:type="paragraph" w:styleId="9">
    <w:name w:val="heading 9"/>
    <w:basedOn w:val="a1"/>
    <w:next w:val="a1"/>
    <w:link w:val="90"/>
    <w:qFormat/>
    <w:rsid w:val="00ED1998"/>
    <w:pPr>
      <w:keepNext/>
      <w:keepLines/>
      <w:spacing w:before="40"/>
      <w:outlineLvl w:val="8"/>
    </w:pPr>
    <w:rPr>
      <w:rFonts w:ascii="Cambria" w:hAnsi="Cambria" w:cs="Times New Roman"/>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link w:val="a8"/>
    <w:uiPriority w:val="99"/>
    <w:rsid w:val="00C64423"/>
    <w:pPr>
      <w:tabs>
        <w:tab w:val="center" w:pos="4153"/>
        <w:tab w:val="right" w:pos="8306"/>
      </w:tabs>
    </w:pPr>
  </w:style>
  <w:style w:type="paragraph" w:customStyle="1" w:styleId="a9">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a">
    <w:name w:val="annotation text"/>
    <w:basedOn w:val="a1"/>
    <w:link w:val="ab"/>
    <w:rsid w:val="00C64423"/>
    <w:rPr>
      <w:rFonts w:cs="Times New Roman"/>
    </w:rPr>
  </w:style>
  <w:style w:type="character" w:styleId="ac">
    <w:name w:val="annotation reference"/>
    <w:rsid w:val="00C64423"/>
    <w:rPr>
      <w:noProof w:val="0"/>
      <w:sz w:val="16"/>
      <w:szCs w:val="16"/>
    </w:rPr>
  </w:style>
  <w:style w:type="paragraph" w:styleId="ad">
    <w:name w:val="Balloon Text"/>
    <w:basedOn w:val="a1"/>
    <w:rsid w:val="00C64423"/>
    <w:rPr>
      <w:rFonts w:ascii="Tahoma" w:hAnsi="Tahoma" w:cs="Tahoma"/>
      <w:sz w:val="16"/>
      <w:szCs w:val="16"/>
    </w:rPr>
  </w:style>
  <w:style w:type="table" w:styleId="ae">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rsid w:val="00C64423"/>
    <w:rPr>
      <w:noProof w:val="0"/>
    </w:rPr>
  </w:style>
  <w:style w:type="character" w:styleId="af0">
    <w:name w:val="page number"/>
    <w:rsid w:val="00C64423"/>
    <w:rPr>
      <w:noProof w:val="0"/>
    </w:rPr>
  </w:style>
  <w:style w:type="table" w:customStyle="1" w:styleId="11">
    <w:name w:val="טבלת רשת1"/>
    <w:basedOn w:val="a3"/>
    <w:next w:val="ae"/>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טקסט מציין מיקום1"/>
    <w:uiPriority w:val="99"/>
    <w:semiHidden/>
    <w:rsid w:val="003230C7"/>
    <w:rPr>
      <w:noProof w:val="0"/>
      <w:color w:val="808080"/>
    </w:rPr>
  </w:style>
  <w:style w:type="character" w:customStyle="1" w:styleId="a8">
    <w:name w:val="כותרת תחתונה תו"/>
    <w:link w:val="a7"/>
    <w:uiPriority w:val="99"/>
    <w:rsid w:val="00616AE2"/>
    <w:rPr>
      <w:rFonts w:cs="David"/>
      <w:noProof w:val="0"/>
      <w:sz w:val="24"/>
      <w:szCs w:val="24"/>
    </w:rPr>
  </w:style>
  <w:style w:type="character" w:customStyle="1" w:styleId="a6">
    <w:name w:val="כותרת עליונה תו"/>
    <w:link w:val="a5"/>
    <w:uiPriority w:val="99"/>
    <w:rsid w:val="00616AE2"/>
    <w:rPr>
      <w:rFonts w:cs="David"/>
      <w:noProof w:val="0"/>
      <w:sz w:val="24"/>
      <w:szCs w:val="24"/>
    </w:rPr>
  </w:style>
  <w:style w:type="character" w:customStyle="1" w:styleId="Ruller40">
    <w:name w:val="Ruller4 תו"/>
    <w:link w:val="Ruller41"/>
    <w:locked/>
    <w:rsid w:val="00E311E6"/>
    <w:rPr>
      <w:rFonts w:ascii="Arial TUR" w:hAnsi="Arial TUR" w:cs="FrankRuehl"/>
      <w:spacing w:val="10"/>
      <w:sz w:val="22"/>
      <w:szCs w:val="28"/>
    </w:rPr>
  </w:style>
  <w:style w:type="paragraph" w:customStyle="1" w:styleId="Ruller41">
    <w:name w:val="Ruller4"/>
    <w:basedOn w:val="a1"/>
    <w:link w:val="Ruller40"/>
    <w:rsid w:val="00E311E6"/>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character" w:customStyle="1" w:styleId="32">
    <w:name w:val="כותרת 3 תו"/>
    <w:link w:val="31"/>
    <w:rsid w:val="00ED1998"/>
    <w:rPr>
      <w:rFonts w:cs="David"/>
      <w:b/>
      <w:bCs/>
      <w:noProof w:val="0"/>
      <w:szCs w:val="24"/>
      <w:lang w:eastAsia="he-IL"/>
    </w:rPr>
  </w:style>
  <w:style w:type="character" w:styleId="FollowedHyperlink">
    <w:name w:val="FollowedHyperlink"/>
    <w:rsid w:val="00ED1998"/>
    <w:rPr>
      <w:noProof w:val="0"/>
      <w:color w:val="800080"/>
      <w:u w:val="single"/>
    </w:rPr>
  </w:style>
  <w:style w:type="character" w:styleId="HTMLCite">
    <w:name w:val="HTML Cite"/>
    <w:rsid w:val="00ED1998"/>
    <w:rPr>
      <w:i/>
      <w:iCs/>
      <w:noProof w:val="0"/>
    </w:rPr>
  </w:style>
  <w:style w:type="character" w:styleId="HTMLCode">
    <w:name w:val="HTML Code"/>
    <w:rsid w:val="00ED1998"/>
    <w:rPr>
      <w:rFonts w:ascii="Consolas" w:hAnsi="Consolas"/>
      <w:noProof w:val="0"/>
      <w:sz w:val="20"/>
      <w:szCs w:val="20"/>
    </w:rPr>
  </w:style>
  <w:style w:type="character" w:styleId="HTMLDefinition">
    <w:name w:val="HTML Definition"/>
    <w:rsid w:val="00ED1998"/>
    <w:rPr>
      <w:i/>
      <w:iCs/>
      <w:noProof w:val="0"/>
    </w:rPr>
  </w:style>
  <w:style w:type="character" w:styleId="HTMLVariable">
    <w:name w:val="HTML Variable"/>
    <w:rsid w:val="00ED1998"/>
    <w:rPr>
      <w:i/>
      <w:iCs/>
      <w:noProof w:val="0"/>
    </w:rPr>
  </w:style>
  <w:style w:type="paragraph" w:styleId="HTML">
    <w:name w:val="HTML Preformatted"/>
    <w:basedOn w:val="a1"/>
    <w:link w:val="HTML0"/>
    <w:rsid w:val="00ED1998"/>
    <w:rPr>
      <w:rFonts w:ascii="Consolas" w:hAnsi="Consolas"/>
      <w:sz w:val="20"/>
      <w:szCs w:val="20"/>
    </w:rPr>
  </w:style>
  <w:style w:type="character" w:customStyle="1" w:styleId="HTML0">
    <w:name w:val="HTML מעוצב מראש תו"/>
    <w:link w:val="HTML"/>
    <w:semiHidden/>
    <w:rsid w:val="00ED1998"/>
    <w:rPr>
      <w:rFonts w:ascii="Consolas" w:hAnsi="Consolas" w:cs="David"/>
      <w:noProof w:val="0"/>
    </w:rPr>
  </w:style>
  <w:style w:type="character" w:styleId="Hyperlink">
    <w:name w:val="Hyperlink"/>
    <w:rsid w:val="00ED1998"/>
    <w:rPr>
      <w:noProof w:val="0"/>
      <w:color w:val="0000FF"/>
      <w:u w:val="single"/>
    </w:rPr>
  </w:style>
  <w:style w:type="paragraph" w:styleId="Index1">
    <w:name w:val="index 1"/>
    <w:basedOn w:val="a1"/>
    <w:next w:val="a1"/>
    <w:autoRedefine/>
    <w:rsid w:val="00ED1998"/>
    <w:pPr>
      <w:ind w:left="240" w:hanging="240"/>
    </w:pPr>
  </w:style>
  <w:style w:type="paragraph" w:styleId="Index2">
    <w:name w:val="index 2"/>
    <w:basedOn w:val="a1"/>
    <w:next w:val="a1"/>
    <w:autoRedefine/>
    <w:rsid w:val="00ED1998"/>
    <w:pPr>
      <w:ind w:left="480" w:hanging="240"/>
    </w:pPr>
  </w:style>
  <w:style w:type="paragraph" w:styleId="Index3">
    <w:name w:val="index 3"/>
    <w:basedOn w:val="a1"/>
    <w:next w:val="a1"/>
    <w:autoRedefine/>
    <w:rsid w:val="00ED1998"/>
    <w:pPr>
      <w:ind w:left="720" w:hanging="240"/>
    </w:pPr>
  </w:style>
  <w:style w:type="paragraph" w:styleId="Index4">
    <w:name w:val="index 4"/>
    <w:basedOn w:val="a1"/>
    <w:next w:val="a1"/>
    <w:autoRedefine/>
    <w:rsid w:val="00ED1998"/>
    <w:pPr>
      <w:ind w:left="960" w:hanging="240"/>
    </w:pPr>
  </w:style>
  <w:style w:type="paragraph" w:styleId="Index5">
    <w:name w:val="index 5"/>
    <w:basedOn w:val="a1"/>
    <w:next w:val="a1"/>
    <w:autoRedefine/>
    <w:rsid w:val="00ED1998"/>
    <w:pPr>
      <w:ind w:left="1200" w:hanging="240"/>
    </w:pPr>
  </w:style>
  <w:style w:type="paragraph" w:styleId="Index6">
    <w:name w:val="index 6"/>
    <w:basedOn w:val="a1"/>
    <w:next w:val="a1"/>
    <w:autoRedefine/>
    <w:rsid w:val="00ED1998"/>
    <w:pPr>
      <w:ind w:left="1440" w:hanging="240"/>
    </w:pPr>
  </w:style>
  <w:style w:type="paragraph" w:styleId="Index7">
    <w:name w:val="index 7"/>
    <w:basedOn w:val="a1"/>
    <w:next w:val="a1"/>
    <w:autoRedefine/>
    <w:rsid w:val="00ED1998"/>
    <w:pPr>
      <w:ind w:left="1680" w:hanging="240"/>
    </w:pPr>
  </w:style>
  <w:style w:type="paragraph" w:styleId="Index8">
    <w:name w:val="index 8"/>
    <w:basedOn w:val="a1"/>
    <w:next w:val="a1"/>
    <w:autoRedefine/>
    <w:rsid w:val="00ED1998"/>
    <w:pPr>
      <w:ind w:left="1920" w:hanging="240"/>
    </w:pPr>
  </w:style>
  <w:style w:type="paragraph" w:styleId="Index9">
    <w:name w:val="index 9"/>
    <w:basedOn w:val="a1"/>
    <w:next w:val="a1"/>
    <w:autoRedefine/>
    <w:rsid w:val="00ED1998"/>
    <w:pPr>
      <w:ind w:left="2160" w:hanging="240"/>
    </w:pPr>
  </w:style>
  <w:style w:type="paragraph" w:styleId="NormalWeb">
    <w:name w:val="Normal (Web)"/>
    <w:basedOn w:val="a1"/>
    <w:rsid w:val="00ED1998"/>
    <w:rPr>
      <w:rFonts w:cs="Times New Roman"/>
    </w:rPr>
  </w:style>
  <w:style w:type="paragraph" w:styleId="TOC1">
    <w:name w:val="toc 1"/>
    <w:basedOn w:val="a1"/>
    <w:next w:val="a1"/>
    <w:autoRedefine/>
    <w:rsid w:val="00ED1998"/>
    <w:pPr>
      <w:spacing w:after="100"/>
    </w:pPr>
  </w:style>
  <w:style w:type="paragraph" w:styleId="TOC2">
    <w:name w:val="toc 2"/>
    <w:basedOn w:val="a1"/>
    <w:next w:val="a1"/>
    <w:autoRedefine/>
    <w:rsid w:val="00ED1998"/>
    <w:pPr>
      <w:spacing w:after="100"/>
      <w:ind w:left="240"/>
    </w:pPr>
  </w:style>
  <w:style w:type="paragraph" w:styleId="TOC3">
    <w:name w:val="toc 3"/>
    <w:basedOn w:val="a1"/>
    <w:next w:val="a1"/>
    <w:autoRedefine/>
    <w:rsid w:val="00ED1998"/>
    <w:pPr>
      <w:spacing w:after="100"/>
      <w:ind w:left="480"/>
    </w:pPr>
  </w:style>
  <w:style w:type="paragraph" w:styleId="TOC4">
    <w:name w:val="toc 4"/>
    <w:basedOn w:val="a1"/>
    <w:next w:val="a1"/>
    <w:autoRedefine/>
    <w:rsid w:val="00ED1998"/>
    <w:pPr>
      <w:spacing w:after="100"/>
      <w:ind w:left="720"/>
    </w:pPr>
  </w:style>
  <w:style w:type="paragraph" w:styleId="TOC5">
    <w:name w:val="toc 5"/>
    <w:basedOn w:val="a1"/>
    <w:next w:val="a1"/>
    <w:autoRedefine/>
    <w:rsid w:val="00ED1998"/>
    <w:pPr>
      <w:spacing w:after="100"/>
      <w:ind w:left="960"/>
    </w:pPr>
  </w:style>
  <w:style w:type="paragraph" w:styleId="TOC6">
    <w:name w:val="toc 6"/>
    <w:basedOn w:val="a1"/>
    <w:next w:val="a1"/>
    <w:autoRedefine/>
    <w:rsid w:val="00ED1998"/>
    <w:pPr>
      <w:spacing w:after="100"/>
      <w:ind w:left="1200"/>
    </w:pPr>
  </w:style>
  <w:style w:type="paragraph" w:styleId="TOC7">
    <w:name w:val="toc 7"/>
    <w:basedOn w:val="a1"/>
    <w:next w:val="a1"/>
    <w:autoRedefine/>
    <w:rsid w:val="00ED1998"/>
    <w:pPr>
      <w:spacing w:after="100"/>
      <w:ind w:left="1440"/>
    </w:pPr>
  </w:style>
  <w:style w:type="paragraph" w:styleId="TOC8">
    <w:name w:val="toc 8"/>
    <w:basedOn w:val="a1"/>
    <w:next w:val="a1"/>
    <w:autoRedefine/>
    <w:rsid w:val="00ED1998"/>
    <w:pPr>
      <w:spacing w:after="100"/>
      <w:ind w:left="1680"/>
    </w:pPr>
  </w:style>
  <w:style w:type="paragraph" w:styleId="TOC9">
    <w:name w:val="toc 9"/>
    <w:basedOn w:val="a1"/>
    <w:next w:val="a1"/>
    <w:autoRedefine/>
    <w:rsid w:val="00ED1998"/>
    <w:pPr>
      <w:spacing w:after="100"/>
      <w:ind w:left="1920"/>
    </w:pPr>
  </w:style>
  <w:style w:type="table" w:styleId="-1">
    <w:name w:val="Table 3D effects 1"/>
    <w:basedOn w:val="a3"/>
    <w:rsid w:val="00ED1998"/>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rsid w:val="00ED1998"/>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rsid w:val="00ED1998"/>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3">
    <w:name w:val="ביבליוגרפיה1"/>
    <w:basedOn w:val="a1"/>
    <w:next w:val="a1"/>
    <w:uiPriority w:val="37"/>
    <w:semiHidden/>
    <w:unhideWhenUsed/>
    <w:rsid w:val="00ED1998"/>
  </w:style>
  <w:style w:type="paragraph" w:styleId="af1">
    <w:name w:val="Salutation"/>
    <w:basedOn w:val="a1"/>
    <w:next w:val="a1"/>
    <w:link w:val="af2"/>
    <w:rsid w:val="00ED1998"/>
  </w:style>
  <w:style w:type="character" w:customStyle="1" w:styleId="af2">
    <w:name w:val="ברכה תו"/>
    <w:link w:val="af1"/>
    <w:rsid w:val="00ED1998"/>
    <w:rPr>
      <w:rFonts w:cs="David"/>
      <w:noProof w:val="0"/>
      <w:sz w:val="24"/>
      <w:szCs w:val="24"/>
    </w:rPr>
  </w:style>
  <w:style w:type="paragraph" w:styleId="af3">
    <w:name w:val="Body Text"/>
    <w:basedOn w:val="a1"/>
    <w:link w:val="af4"/>
    <w:rsid w:val="00ED1998"/>
    <w:pPr>
      <w:spacing w:after="120"/>
    </w:pPr>
  </w:style>
  <w:style w:type="character" w:customStyle="1" w:styleId="af4">
    <w:name w:val="גוף טקסט תו"/>
    <w:link w:val="af3"/>
    <w:semiHidden/>
    <w:rsid w:val="00ED1998"/>
    <w:rPr>
      <w:rFonts w:cs="David"/>
      <w:noProof w:val="0"/>
      <w:sz w:val="24"/>
      <w:szCs w:val="24"/>
    </w:rPr>
  </w:style>
  <w:style w:type="paragraph" w:styleId="23">
    <w:name w:val="Body Text 2"/>
    <w:basedOn w:val="a1"/>
    <w:link w:val="24"/>
    <w:rsid w:val="00ED1998"/>
    <w:pPr>
      <w:spacing w:after="120" w:line="480" w:lineRule="auto"/>
    </w:pPr>
  </w:style>
  <w:style w:type="character" w:customStyle="1" w:styleId="24">
    <w:name w:val="גוף טקסט 2 תו"/>
    <w:link w:val="23"/>
    <w:semiHidden/>
    <w:rsid w:val="00ED1998"/>
    <w:rPr>
      <w:rFonts w:cs="David"/>
      <w:noProof w:val="0"/>
      <w:sz w:val="24"/>
      <w:szCs w:val="24"/>
    </w:rPr>
  </w:style>
  <w:style w:type="paragraph" w:styleId="33">
    <w:name w:val="Body Text 3"/>
    <w:basedOn w:val="a1"/>
    <w:link w:val="34"/>
    <w:rsid w:val="00ED1998"/>
    <w:pPr>
      <w:spacing w:after="120"/>
    </w:pPr>
    <w:rPr>
      <w:sz w:val="16"/>
      <w:szCs w:val="16"/>
    </w:rPr>
  </w:style>
  <w:style w:type="character" w:customStyle="1" w:styleId="34">
    <w:name w:val="גוף טקסט 3 תו"/>
    <w:link w:val="33"/>
    <w:semiHidden/>
    <w:rsid w:val="00ED1998"/>
    <w:rPr>
      <w:rFonts w:cs="David"/>
      <w:noProof w:val="0"/>
      <w:sz w:val="16"/>
      <w:szCs w:val="16"/>
    </w:rPr>
  </w:style>
  <w:style w:type="character" w:styleId="HTML1">
    <w:name w:val="HTML Sample"/>
    <w:rsid w:val="00ED1998"/>
    <w:rPr>
      <w:rFonts w:ascii="Consolas" w:hAnsi="Consolas"/>
      <w:noProof w:val="0"/>
      <w:sz w:val="24"/>
      <w:szCs w:val="24"/>
    </w:rPr>
  </w:style>
  <w:style w:type="character" w:styleId="af5">
    <w:name w:val="Emphasis"/>
    <w:qFormat/>
    <w:rsid w:val="00ED1998"/>
    <w:rPr>
      <w:i/>
      <w:iCs/>
      <w:noProof w:val="0"/>
    </w:rPr>
  </w:style>
  <w:style w:type="character" w:customStyle="1" w:styleId="14">
    <w:name w:val="הדגשה חזקה1"/>
    <w:uiPriority w:val="21"/>
    <w:qFormat/>
    <w:rsid w:val="00ED1998"/>
    <w:rPr>
      <w:i/>
      <w:iCs/>
      <w:noProof w:val="0"/>
      <w:color w:val="4F81BD"/>
    </w:rPr>
  </w:style>
  <w:style w:type="character" w:customStyle="1" w:styleId="15">
    <w:name w:val="הדגשה עדינה1"/>
    <w:uiPriority w:val="19"/>
    <w:qFormat/>
    <w:rsid w:val="00ED1998"/>
    <w:rPr>
      <w:i/>
      <w:iCs/>
      <w:noProof w:val="0"/>
      <w:color w:val="404040"/>
    </w:rPr>
  </w:style>
  <w:style w:type="paragraph" w:styleId="af6">
    <w:name w:val="List Continue"/>
    <w:basedOn w:val="a1"/>
    <w:rsid w:val="00ED1998"/>
    <w:pPr>
      <w:spacing w:after="120"/>
      <w:ind w:left="283"/>
      <w:contextualSpacing/>
    </w:pPr>
  </w:style>
  <w:style w:type="paragraph" w:styleId="25">
    <w:name w:val="List Continue 2"/>
    <w:basedOn w:val="a1"/>
    <w:rsid w:val="00ED1998"/>
    <w:pPr>
      <w:spacing w:after="120"/>
      <w:ind w:left="566"/>
      <w:contextualSpacing/>
    </w:pPr>
  </w:style>
  <w:style w:type="paragraph" w:styleId="35">
    <w:name w:val="List Continue 3"/>
    <w:basedOn w:val="a1"/>
    <w:rsid w:val="00ED1998"/>
    <w:pPr>
      <w:spacing w:after="120"/>
      <w:ind w:left="849"/>
      <w:contextualSpacing/>
    </w:pPr>
  </w:style>
  <w:style w:type="paragraph" w:styleId="42">
    <w:name w:val="List Continue 4"/>
    <w:basedOn w:val="a1"/>
    <w:rsid w:val="00ED1998"/>
    <w:pPr>
      <w:spacing w:after="120"/>
      <w:ind w:left="1132"/>
      <w:contextualSpacing/>
    </w:pPr>
  </w:style>
  <w:style w:type="paragraph" w:styleId="53">
    <w:name w:val="List Continue 5"/>
    <w:basedOn w:val="a1"/>
    <w:rsid w:val="00ED1998"/>
    <w:pPr>
      <w:spacing w:after="120"/>
      <w:ind w:left="1415"/>
      <w:contextualSpacing/>
    </w:pPr>
  </w:style>
  <w:style w:type="character" w:customStyle="1" w:styleId="16">
    <w:name w:val="הפניה חזקה1"/>
    <w:uiPriority w:val="32"/>
    <w:qFormat/>
    <w:rsid w:val="00ED1998"/>
    <w:rPr>
      <w:b/>
      <w:bCs/>
      <w:smallCaps/>
      <w:noProof w:val="0"/>
      <w:color w:val="4F81BD"/>
      <w:spacing w:val="5"/>
    </w:rPr>
  </w:style>
  <w:style w:type="character" w:styleId="af7">
    <w:name w:val="endnote reference"/>
    <w:rsid w:val="00ED1998"/>
    <w:rPr>
      <w:noProof w:val="0"/>
      <w:vertAlign w:val="superscript"/>
    </w:rPr>
  </w:style>
  <w:style w:type="character" w:styleId="af8">
    <w:name w:val="footnote reference"/>
    <w:rsid w:val="00ED1998"/>
    <w:rPr>
      <w:noProof w:val="0"/>
      <w:vertAlign w:val="superscript"/>
    </w:rPr>
  </w:style>
  <w:style w:type="character" w:customStyle="1" w:styleId="17">
    <w:name w:val="הפניה עדינה1"/>
    <w:uiPriority w:val="31"/>
    <w:qFormat/>
    <w:rsid w:val="00ED1998"/>
    <w:rPr>
      <w:smallCaps/>
      <w:noProof w:val="0"/>
      <w:color w:val="5A5A5A"/>
    </w:rPr>
  </w:style>
  <w:style w:type="table" w:customStyle="1" w:styleId="18">
    <w:name w:val="הצללה בהירה1"/>
    <w:basedOn w:val="a3"/>
    <w:uiPriority w:val="60"/>
    <w:semiHidden/>
    <w:unhideWhenUsed/>
    <w:rsid w:val="00ED19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
    <w:name w:val="Light Shading - Accent 1"/>
    <w:basedOn w:val="a3"/>
    <w:uiPriority w:val="60"/>
    <w:semiHidden/>
    <w:unhideWhenUsed/>
    <w:rsid w:val="00ED199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
    <w:name w:val="Light Shading - Accent 2"/>
    <w:basedOn w:val="a3"/>
    <w:uiPriority w:val="60"/>
    <w:semiHidden/>
    <w:unhideWhenUsed/>
    <w:rsid w:val="00ED199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
    <w:name w:val="Light Shading - Accent 3"/>
    <w:basedOn w:val="a3"/>
    <w:uiPriority w:val="60"/>
    <w:semiHidden/>
    <w:unhideWhenUsed/>
    <w:rsid w:val="00ED199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
    <w:name w:val="Light Shading - Accent 4"/>
    <w:basedOn w:val="a3"/>
    <w:uiPriority w:val="60"/>
    <w:semiHidden/>
    <w:unhideWhenUsed/>
    <w:rsid w:val="00ED199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
    <w:name w:val="Light Shading - Accent 5"/>
    <w:basedOn w:val="a3"/>
    <w:uiPriority w:val="60"/>
    <w:semiHidden/>
    <w:unhideWhenUsed/>
    <w:rsid w:val="00ED199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
    <w:name w:val="Light Shading - Accent 6"/>
    <w:basedOn w:val="a3"/>
    <w:uiPriority w:val="60"/>
    <w:semiHidden/>
    <w:unhideWhenUsed/>
    <w:rsid w:val="00ED199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4">
    <w:name w:val="Medium Shading 2 - Accent 4"/>
    <w:basedOn w:val="a3"/>
    <w:uiPriority w:val="64"/>
    <w:semiHidden/>
    <w:unhideWhenUsed/>
    <w:rsid w:val="00ED19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10">
    <w:name w:val="הצללה בינונית 11"/>
    <w:basedOn w:val="a3"/>
    <w:uiPriority w:val="63"/>
    <w:semiHidden/>
    <w:unhideWhenUsed/>
    <w:rsid w:val="00ED199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
    <w:name w:val="Medium Shading 1 - Accent 1"/>
    <w:basedOn w:val="a3"/>
    <w:uiPriority w:val="63"/>
    <w:semiHidden/>
    <w:unhideWhenUsed/>
    <w:rsid w:val="00ED199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
    <w:name w:val="Medium Shading 1 - Accent 2"/>
    <w:basedOn w:val="a3"/>
    <w:uiPriority w:val="63"/>
    <w:semiHidden/>
    <w:unhideWhenUsed/>
    <w:rsid w:val="00ED199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
    <w:name w:val="Medium Shading 1 - Accent 3"/>
    <w:basedOn w:val="a3"/>
    <w:uiPriority w:val="63"/>
    <w:semiHidden/>
    <w:unhideWhenUsed/>
    <w:rsid w:val="00ED199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
    <w:name w:val="Medium Shading 1 - Accent 4"/>
    <w:basedOn w:val="a3"/>
    <w:uiPriority w:val="63"/>
    <w:semiHidden/>
    <w:unhideWhenUsed/>
    <w:rsid w:val="00ED199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
    <w:name w:val="Medium Shading 1 - Accent 5"/>
    <w:basedOn w:val="a3"/>
    <w:uiPriority w:val="63"/>
    <w:semiHidden/>
    <w:unhideWhenUsed/>
    <w:rsid w:val="00ED199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
    <w:name w:val="Medium Shading 1 - Accent 6"/>
    <w:basedOn w:val="a3"/>
    <w:uiPriority w:val="63"/>
    <w:semiHidden/>
    <w:unhideWhenUsed/>
    <w:rsid w:val="00ED199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0">
    <w:name w:val="הצללה בינונית 21"/>
    <w:basedOn w:val="a3"/>
    <w:uiPriority w:val="64"/>
    <w:semiHidden/>
    <w:unhideWhenUsed/>
    <w:rsid w:val="00ED19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
    <w:name w:val="Medium Shading 2 - Accent 1"/>
    <w:basedOn w:val="a3"/>
    <w:uiPriority w:val="64"/>
    <w:semiHidden/>
    <w:unhideWhenUsed/>
    <w:rsid w:val="00ED19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
    <w:name w:val="Medium Shading 2 - Accent 2"/>
    <w:basedOn w:val="a3"/>
    <w:uiPriority w:val="64"/>
    <w:semiHidden/>
    <w:unhideWhenUsed/>
    <w:rsid w:val="00ED19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
    <w:name w:val="Medium Shading 2 - Accent 3"/>
    <w:basedOn w:val="a3"/>
    <w:uiPriority w:val="64"/>
    <w:semiHidden/>
    <w:unhideWhenUsed/>
    <w:rsid w:val="00ED19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
    <w:name w:val="Medium Shading 2 - Accent 5"/>
    <w:basedOn w:val="a3"/>
    <w:uiPriority w:val="64"/>
    <w:semiHidden/>
    <w:unhideWhenUsed/>
    <w:rsid w:val="00ED19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
    <w:name w:val="Medium Shading 2 - Accent 6"/>
    <w:basedOn w:val="a3"/>
    <w:uiPriority w:val="64"/>
    <w:semiHidden/>
    <w:unhideWhenUsed/>
    <w:rsid w:val="00ED19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9">
    <w:name w:val="הצללה צבעונית1"/>
    <w:basedOn w:val="a3"/>
    <w:uiPriority w:val="71"/>
    <w:semiHidden/>
    <w:unhideWhenUsed/>
    <w:rsid w:val="00ED199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
    <w:name w:val="Colorful Shading - Accent 1"/>
    <w:basedOn w:val="a3"/>
    <w:uiPriority w:val="71"/>
    <w:semiHidden/>
    <w:unhideWhenUsed/>
    <w:rsid w:val="00ED199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
    <w:name w:val="Colorful Shading - Accent 2"/>
    <w:basedOn w:val="a3"/>
    <w:uiPriority w:val="71"/>
    <w:semiHidden/>
    <w:unhideWhenUsed/>
    <w:rsid w:val="00ED199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
    <w:name w:val="Colorful Shading - Accent 3"/>
    <w:basedOn w:val="a3"/>
    <w:uiPriority w:val="71"/>
    <w:semiHidden/>
    <w:unhideWhenUsed/>
    <w:rsid w:val="00ED199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
    <w:name w:val="Colorful Shading - Accent 4"/>
    <w:basedOn w:val="a3"/>
    <w:uiPriority w:val="71"/>
    <w:semiHidden/>
    <w:unhideWhenUsed/>
    <w:rsid w:val="00ED199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
    <w:name w:val="Colorful Shading - Accent 5"/>
    <w:basedOn w:val="a3"/>
    <w:uiPriority w:val="71"/>
    <w:semiHidden/>
    <w:unhideWhenUsed/>
    <w:rsid w:val="00ED199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
    <w:name w:val="Colorful Shading - Accent 6"/>
    <w:basedOn w:val="a3"/>
    <w:uiPriority w:val="71"/>
    <w:semiHidden/>
    <w:unhideWhenUsed/>
    <w:rsid w:val="00ED199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af9">
    <w:name w:val="Strong"/>
    <w:qFormat/>
    <w:rsid w:val="00ED1998"/>
    <w:rPr>
      <w:b/>
      <w:bCs/>
      <w:noProof w:val="0"/>
    </w:rPr>
  </w:style>
  <w:style w:type="paragraph" w:styleId="afa">
    <w:name w:val="Signature"/>
    <w:basedOn w:val="a1"/>
    <w:link w:val="afb"/>
    <w:rsid w:val="00ED1998"/>
    <w:pPr>
      <w:ind w:left="4252"/>
    </w:pPr>
  </w:style>
  <w:style w:type="character" w:customStyle="1" w:styleId="afb">
    <w:name w:val="חתימה תו"/>
    <w:link w:val="afa"/>
    <w:semiHidden/>
    <w:rsid w:val="00ED1998"/>
    <w:rPr>
      <w:rFonts w:cs="David"/>
      <w:noProof w:val="0"/>
      <w:sz w:val="24"/>
      <w:szCs w:val="24"/>
    </w:rPr>
  </w:style>
  <w:style w:type="paragraph" w:styleId="afc">
    <w:name w:val="E-mail Signature"/>
    <w:basedOn w:val="a1"/>
    <w:link w:val="afd"/>
    <w:rsid w:val="00ED1998"/>
  </w:style>
  <w:style w:type="character" w:customStyle="1" w:styleId="afd">
    <w:name w:val="חתימת דואר אלקטרוני תו"/>
    <w:link w:val="afc"/>
    <w:semiHidden/>
    <w:rsid w:val="00ED1998"/>
    <w:rPr>
      <w:rFonts w:cs="David"/>
      <w:noProof w:val="0"/>
      <w:sz w:val="24"/>
      <w:szCs w:val="24"/>
    </w:rPr>
  </w:style>
  <w:style w:type="table" w:styleId="afe">
    <w:name w:val="Table Elegant"/>
    <w:basedOn w:val="a3"/>
    <w:rsid w:val="00ED1998"/>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
    <w:name w:val="Table Professional"/>
    <w:basedOn w:val="a3"/>
    <w:rsid w:val="00ED1998"/>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ubtle 1"/>
    <w:basedOn w:val="a3"/>
    <w:rsid w:val="00ED1998"/>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rsid w:val="00ED1998"/>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0">
    <w:name w:val="Table Contemporary"/>
    <w:basedOn w:val="a3"/>
    <w:rsid w:val="00ED1998"/>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b">
    <w:name w:val="Table Simple 1"/>
    <w:basedOn w:val="a3"/>
    <w:rsid w:val="00ED1998"/>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3"/>
    <w:rsid w:val="00ED1998"/>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rsid w:val="00ED1998"/>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Colorful 1"/>
    <w:basedOn w:val="a3"/>
    <w:rsid w:val="00ED1998"/>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3"/>
    <w:rsid w:val="00ED1998"/>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rsid w:val="00ED1998"/>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lassic 1"/>
    <w:basedOn w:val="a3"/>
    <w:rsid w:val="00ED1998"/>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3"/>
    <w:rsid w:val="00ED1998"/>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rsid w:val="00ED1998"/>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rsid w:val="00ED1998"/>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
    <w:name w:val="טבלה רגילה 11"/>
    <w:basedOn w:val="a3"/>
    <w:uiPriority w:val="41"/>
    <w:rsid w:val="00ED199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טבלה רגילה 21"/>
    <w:basedOn w:val="a3"/>
    <w:uiPriority w:val="42"/>
    <w:rsid w:val="00ED199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טבלה רגילה 31"/>
    <w:basedOn w:val="a3"/>
    <w:uiPriority w:val="43"/>
    <w:rsid w:val="00ED199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0">
    <w:name w:val="טבלה רגילה 41"/>
    <w:basedOn w:val="a3"/>
    <w:uiPriority w:val="44"/>
    <w:rsid w:val="00ED19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טבלה רגילה 51"/>
    <w:basedOn w:val="a3"/>
    <w:uiPriority w:val="45"/>
    <w:rsid w:val="00ED1998"/>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e">
    <w:name w:val="Table Web 1"/>
    <w:basedOn w:val="a3"/>
    <w:rsid w:val="00ED1998"/>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a">
    <w:name w:val="Table Web 2"/>
    <w:basedOn w:val="a3"/>
    <w:rsid w:val="00ED199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9">
    <w:name w:val="Table Web 3"/>
    <w:basedOn w:val="a3"/>
    <w:rsid w:val="00ED199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טבלת רשימה 1 בהירה1"/>
    <w:basedOn w:val="a3"/>
    <w:uiPriority w:val="46"/>
    <w:rsid w:val="00ED199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
    <w:name w:val="List Table 1 Light - Accent 1"/>
    <w:basedOn w:val="a3"/>
    <w:uiPriority w:val="46"/>
    <w:rsid w:val="00ED1998"/>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
    <w:name w:val="List Table 1 Light - Accent 2"/>
    <w:basedOn w:val="a3"/>
    <w:uiPriority w:val="46"/>
    <w:rsid w:val="00ED1998"/>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
    <w:name w:val="List Table 1 Light - Accent 3"/>
    <w:basedOn w:val="a3"/>
    <w:uiPriority w:val="46"/>
    <w:rsid w:val="00ED1998"/>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
    <w:name w:val="List Table 1 Light - Accent 4"/>
    <w:basedOn w:val="a3"/>
    <w:uiPriority w:val="46"/>
    <w:rsid w:val="00ED1998"/>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
    <w:name w:val="List Table 1 Light - Accent 5"/>
    <w:basedOn w:val="a3"/>
    <w:uiPriority w:val="46"/>
    <w:rsid w:val="00ED1998"/>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
    <w:name w:val="List Table 1 Light - Accent 6"/>
    <w:basedOn w:val="a3"/>
    <w:uiPriority w:val="46"/>
    <w:rsid w:val="00ED1998"/>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212">
    <w:name w:val="טבלת רשימה 21"/>
    <w:basedOn w:val="a3"/>
    <w:uiPriority w:val="47"/>
    <w:rsid w:val="00ED1998"/>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
    <w:name w:val="List Table 2 - Accent 1"/>
    <w:basedOn w:val="a3"/>
    <w:uiPriority w:val="47"/>
    <w:rsid w:val="00ED1998"/>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
    <w:name w:val="List Table 2 - Accent 2"/>
    <w:basedOn w:val="a3"/>
    <w:uiPriority w:val="47"/>
    <w:rsid w:val="00ED1998"/>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
    <w:name w:val="List Table 2 - Accent 3"/>
    <w:basedOn w:val="a3"/>
    <w:uiPriority w:val="47"/>
    <w:rsid w:val="00ED1998"/>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
    <w:name w:val="List Table 2 - Accent 4"/>
    <w:basedOn w:val="a3"/>
    <w:uiPriority w:val="47"/>
    <w:rsid w:val="00ED1998"/>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
    <w:name w:val="List Table 2 - Accent 5"/>
    <w:basedOn w:val="a3"/>
    <w:uiPriority w:val="47"/>
    <w:rsid w:val="00ED1998"/>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
    <w:name w:val="List Table 2 - Accent 6"/>
    <w:basedOn w:val="a3"/>
    <w:uiPriority w:val="47"/>
    <w:rsid w:val="00ED1998"/>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11">
    <w:name w:val="טבלת רשימה 31"/>
    <w:basedOn w:val="a3"/>
    <w:uiPriority w:val="48"/>
    <w:rsid w:val="00ED199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
    <w:name w:val="List Table 3 - Accent 1"/>
    <w:basedOn w:val="a3"/>
    <w:uiPriority w:val="48"/>
    <w:rsid w:val="00ED1998"/>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
    <w:name w:val="List Table 3 - Accent 2"/>
    <w:basedOn w:val="a3"/>
    <w:uiPriority w:val="48"/>
    <w:rsid w:val="00ED1998"/>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
    <w:name w:val="List Table 3 - Accent 3"/>
    <w:basedOn w:val="a3"/>
    <w:uiPriority w:val="48"/>
    <w:rsid w:val="00ED1998"/>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
    <w:name w:val="List Table 3 - Accent 4"/>
    <w:basedOn w:val="a3"/>
    <w:uiPriority w:val="48"/>
    <w:rsid w:val="00ED1998"/>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
    <w:name w:val="List Table 3 - Accent 5"/>
    <w:basedOn w:val="a3"/>
    <w:uiPriority w:val="48"/>
    <w:rsid w:val="00ED1998"/>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
    <w:name w:val="List Table 3 - Accent 6"/>
    <w:basedOn w:val="a3"/>
    <w:uiPriority w:val="48"/>
    <w:rsid w:val="00ED1998"/>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411">
    <w:name w:val="טבלת רשימה 41"/>
    <w:basedOn w:val="a3"/>
    <w:uiPriority w:val="49"/>
    <w:rsid w:val="00ED199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
    <w:name w:val="List Table 4 - Accent 1"/>
    <w:basedOn w:val="a3"/>
    <w:uiPriority w:val="49"/>
    <w:rsid w:val="00ED199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
    <w:name w:val="List Table 4 - Accent 2"/>
    <w:basedOn w:val="a3"/>
    <w:uiPriority w:val="49"/>
    <w:rsid w:val="00ED1998"/>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
    <w:name w:val="List Table 4 - Accent 3"/>
    <w:basedOn w:val="a3"/>
    <w:uiPriority w:val="49"/>
    <w:rsid w:val="00ED1998"/>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
    <w:name w:val="List Table 4 - Accent 4"/>
    <w:basedOn w:val="a3"/>
    <w:uiPriority w:val="49"/>
    <w:rsid w:val="00ED1998"/>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
    <w:name w:val="List Table 4 - Accent 5"/>
    <w:basedOn w:val="a3"/>
    <w:uiPriority w:val="49"/>
    <w:rsid w:val="00ED1998"/>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
    <w:name w:val="List Table 4 - Accent 6"/>
    <w:basedOn w:val="a3"/>
    <w:uiPriority w:val="49"/>
    <w:rsid w:val="00ED1998"/>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11">
    <w:name w:val="טבלת רשימה 5 כהה1"/>
    <w:basedOn w:val="a3"/>
    <w:uiPriority w:val="50"/>
    <w:rsid w:val="00ED1998"/>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 Accent 1"/>
    <w:basedOn w:val="a3"/>
    <w:uiPriority w:val="50"/>
    <w:rsid w:val="00ED1998"/>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 Accent 2"/>
    <w:basedOn w:val="a3"/>
    <w:uiPriority w:val="50"/>
    <w:rsid w:val="00ED1998"/>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 Accent 3"/>
    <w:basedOn w:val="a3"/>
    <w:uiPriority w:val="50"/>
    <w:rsid w:val="00ED1998"/>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 Accent 4"/>
    <w:basedOn w:val="a3"/>
    <w:uiPriority w:val="50"/>
    <w:rsid w:val="00ED1998"/>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 Accent 5"/>
    <w:basedOn w:val="a3"/>
    <w:uiPriority w:val="50"/>
    <w:rsid w:val="00ED1998"/>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 Accent 6"/>
    <w:basedOn w:val="a3"/>
    <w:uiPriority w:val="50"/>
    <w:rsid w:val="00ED1998"/>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
    <w:name w:val="טבלת רשימה 6 צבעונית1"/>
    <w:basedOn w:val="a3"/>
    <w:uiPriority w:val="51"/>
    <w:rsid w:val="00ED199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
    <w:name w:val="List Table 6 Colorful - Accent 1"/>
    <w:basedOn w:val="a3"/>
    <w:uiPriority w:val="51"/>
    <w:rsid w:val="00ED1998"/>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
    <w:name w:val="List Table 6 Colorful - Accent 2"/>
    <w:basedOn w:val="a3"/>
    <w:uiPriority w:val="51"/>
    <w:rsid w:val="00ED1998"/>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
    <w:name w:val="List Table 6 Colorful - Accent 3"/>
    <w:basedOn w:val="a3"/>
    <w:uiPriority w:val="51"/>
    <w:rsid w:val="00ED1998"/>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
    <w:name w:val="List Table 6 Colorful - Accent 4"/>
    <w:basedOn w:val="a3"/>
    <w:uiPriority w:val="51"/>
    <w:rsid w:val="00ED1998"/>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
    <w:name w:val="List Table 6 Colorful - Accent 5"/>
    <w:basedOn w:val="a3"/>
    <w:uiPriority w:val="51"/>
    <w:rsid w:val="00ED1998"/>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
    <w:name w:val="List Table 6 Colorful - Accent 6"/>
    <w:basedOn w:val="a3"/>
    <w:uiPriority w:val="51"/>
    <w:rsid w:val="00ED1998"/>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1">
    <w:name w:val="טבלת רשימה 7 צבעונית1"/>
    <w:basedOn w:val="a3"/>
    <w:uiPriority w:val="52"/>
    <w:rsid w:val="00ED1998"/>
    <w:rPr>
      <w:color w:val="000000"/>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000000"/>
        </w:tcBorders>
        <w:shd w:val="clear" w:color="auto" w:fill="FFFFFF"/>
      </w:tcPr>
    </w:tblStylePr>
    <w:tblStylePr w:type="lastRow">
      <w:rPr>
        <w:rFonts w:ascii="Times New Roman" w:eastAsia="Times New Roman" w:hAnsi="Times New Roman" w:cs="Times New Roman"/>
        <w:i/>
        <w:iCs/>
        <w:sz w:val="26"/>
      </w:rPr>
      <w:tblPr/>
      <w:tcPr>
        <w:tcBorders>
          <w:top w:val="single" w:sz="4" w:space="0" w:color="000000"/>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000000"/>
        </w:tcBorders>
        <w:shd w:val="clear" w:color="auto" w:fill="FFFFFF"/>
      </w:tcPr>
    </w:tblStylePr>
    <w:tblStylePr w:type="lastCol">
      <w:rPr>
        <w:rFonts w:ascii="Times New Roman" w:eastAsia="Times New Roman" w:hAnsi="Times New Rom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 Accent 1"/>
    <w:basedOn w:val="a3"/>
    <w:uiPriority w:val="52"/>
    <w:rsid w:val="00ED1998"/>
    <w:rPr>
      <w:color w:val="365F91"/>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4F81BD"/>
        </w:tcBorders>
        <w:shd w:val="clear" w:color="auto" w:fill="FFFFFF"/>
      </w:tcPr>
    </w:tblStylePr>
    <w:tblStylePr w:type="lastRow">
      <w:rPr>
        <w:rFonts w:ascii="Times New Roman" w:eastAsia="Times New Roman" w:hAnsi="Times New Roman" w:cs="Times New Roman"/>
        <w:i/>
        <w:iCs/>
        <w:sz w:val="26"/>
      </w:rPr>
      <w:tblPr/>
      <w:tcPr>
        <w:tcBorders>
          <w:top w:val="single" w:sz="4" w:space="0" w:color="4F81BD"/>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4F81BD"/>
        </w:tcBorders>
        <w:shd w:val="clear" w:color="auto" w:fill="FFFFFF"/>
      </w:tcPr>
    </w:tblStylePr>
    <w:tblStylePr w:type="lastCol">
      <w:rPr>
        <w:rFonts w:ascii="Times New Roman" w:eastAsia="Times New Roman" w:hAnsi="Times New Roman"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 Accent 2"/>
    <w:basedOn w:val="a3"/>
    <w:uiPriority w:val="52"/>
    <w:rsid w:val="00ED1998"/>
    <w:rPr>
      <w:color w:val="943634"/>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C0504D"/>
        </w:tcBorders>
        <w:shd w:val="clear" w:color="auto" w:fill="FFFFFF"/>
      </w:tcPr>
    </w:tblStylePr>
    <w:tblStylePr w:type="lastRow">
      <w:rPr>
        <w:rFonts w:ascii="Times New Roman" w:eastAsia="Times New Roman" w:hAnsi="Times New Roman" w:cs="Times New Roman"/>
        <w:i/>
        <w:iCs/>
        <w:sz w:val="26"/>
      </w:rPr>
      <w:tblPr/>
      <w:tcPr>
        <w:tcBorders>
          <w:top w:val="single" w:sz="4" w:space="0" w:color="C0504D"/>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C0504D"/>
        </w:tcBorders>
        <w:shd w:val="clear" w:color="auto" w:fill="FFFFFF"/>
      </w:tcPr>
    </w:tblStylePr>
    <w:tblStylePr w:type="lastCol">
      <w:rPr>
        <w:rFonts w:ascii="Times New Roman" w:eastAsia="Times New Roman" w:hAnsi="Times New Roman"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 Accent 3"/>
    <w:basedOn w:val="a3"/>
    <w:uiPriority w:val="52"/>
    <w:rsid w:val="00ED1998"/>
    <w:rPr>
      <w:color w:val="76923C"/>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BBB59"/>
        </w:tcBorders>
        <w:shd w:val="clear" w:color="auto" w:fill="FFFFFF"/>
      </w:tcPr>
    </w:tblStylePr>
    <w:tblStylePr w:type="lastRow">
      <w:rPr>
        <w:rFonts w:ascii="Times New Roman" w:eastAsia="Times New Roman" w:hAnsi="Times New Roman" w:cs="Times New Roman"/>
        <w:i/>
        <w:iCs/>
        <w:sz w:val="26"/>
      </w:rPr>
      <w:tblPr/>
      <w:tcPr>
        <w:tcBorders>
          <w:top w:val="single" w:sz="4" w:space="0" w:color="9BBB59"/>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BBB59"/>
        </w:tcBorders>
        <w:shd w:val="clear" w:color="auto" w:fill="FFFFFF"/>
      </w:tcPr>
    </w:tblStylePr>
    <w:tblStylePr w:type="lastCol">
      <w:rPr>
        <w:rFonts w:ascii="Times New Roman" w:eastAsia="Times New Roman" w:hAnsi="Times New Roman"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 Accent 4"/>
    <w:basedOn w:val="a3"/>
    <w:uiPriority w:val="52"/>
    <w:rsid w:val="00ED1998"/>
    <w:rPr>
      <w:color w:val="5F497A"/>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8064A2"/>
        </w:tcBorders>
        <w:shd w:val="clear" w:color="auto" w:fill="FFFFFF"/>
      </w:tcPr>
    </w:tblStylePr>
    <w:tblStylePr w:type="lastRow">
      <w:rPr>
        <w:rFonts w:ascii="Times New Roman" w:eastAsia="Times New Roman" w:hAnsi="Times New Roman" w:cs="Times New Roman"/>
        <w:i/>
        <w:iCs/>
        <w:sz w:val="26"/>
      </w:rPr>
      <w:tblPr/>
      <w:tcPr>
        <w:tcBorders>
          <w:top w:val="single" w:sz="4" w:space="0" w:color="8064A2"/>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8064A2"/>
        </w:tcBorders>
        <w:shd w:val="clear" w:color="auto" w:fill="FFFFFF"/>
      </w:tcPr>
    </w:tblStylePr>
    <w:tblStylePr w:type="lastCol">
      <w:rPr>
        <w:rFonts w:ascii="Times New Roman" w:eastAsia="Times New Roman" w:hAnsi="Times New Roman"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 Accent 5"/>
    <w:basedOn w:val="a3"/>
    <w:uiPriority w:val="52"/>
    <w:rsid w:val="00ED1998"/>
    <w:rPr>
      <w:color w:val="31849B"/>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4BACC6"/>
        </w:tcBorders>
        <w:shd w:val="clear" w:color="auto" w:fill="FFFFFF"/>
      </w:tcPr>
    </w:tblStylePr>
    <w:tblStylePr w:type="lastRow">
      <w:rPr>
        <w:rFonts w:ascii="Times New Roman" w:eastAsia="Times New Roman" w:hAnsi="Times New Roman" w:cs="Times New Roman"/>
        <w:i/>
        <w:iCs/>
        <w:sz w:val="26"/>
      </w:rPr>
      <w:tblPr/>
      <w:tcPr>
        <w:tcBorders>
          <w:top w:val="single" w:sz="4" w:space="0" w:color="4BACC6"/>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4BACC6"/>
        </w:tcBorders>
        <w:shd w:val="clear" w:color="auto" w:fill="FFFFFF"/>
      </w:tcPr>
    </w:tblStylePr>
    <w:tblStylePr w:type="lastCol">
      <w:rPr>
        <w:rFonts w:ascii="Times New Roman" w:eastAsia="Times New Roman" w:hAnsi="Times New Roman"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 Accent 6"/>
    <w:basedOn w:val="a3"/>
    <w:uiPriority w:val="52"/>
    <w:rsid w:val="00ED1998"/>
    <w:rPr>
      <w:color w:val="E36C0A"/>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F79646"/>
        </w:tcBorders>
        <w:shd w:val="clear" w:color="auto" w:fill="FFFFFF"/>
      </w:tcPr>
    </w:tblStylePr>
    <w:tblStylePr w:type="lastRow">
      <w:rPr>
        <w:rFonts w:ascii="Times New Roman" w:eastAsia="Times New Roman" w:hAnsi="Times New Roman" w:cs="Times New Roman"/>
        <w:i/>
        <w:iCs/>
        <w:sz w:val="26"/>
      </w:rPr>
      <w:tblPr/>
      <w:tcPr>
        <w:tcBorders>
          <w:top w:val="single" w:sz="4" w:space="0" w:color="F79646"/>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F79646"/>
        </w:tcBorders>
        <w:shd w:val="clear" w:color="auto" w:fill="FFFFFF"/>
      </w:tcPr>
    </w:tblStylePr>
    <w:tblStylePr w:type="lastCol">
      <w:rPr>
        <w:rFonts w:ascii="Times New Roman" w:eastAsia="Times New Roman" w:hAnsi="Times New Roman"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3">
    <w:name w:val="טבלת רשת 1 בהירה1"/>
    <w:basedOn w:val="a3"/>
    <w:uiPriority w:val="46"/>
    <w:rsid w:val="00ED199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
    <w:name w:val="Grid Table 1 Light - Accent 1"/>
    <w:basedOn w:val="a3"/>
    <w:uiPriority w:val="46"/>
    <w:rsid w:val="00ED1998"/>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
    <w:name w:val="Grid Table 1 Light - Accent 2"/>
    <w:basedOn w:val="a3"/>
    <w:uiPriority w:val="46"/>
    <w:rsid w:val="00ED1998"/>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
    <w:name w:val="Grid Table 1 Light - Accent 3"/>
    <w:basedOn w:val="a3"/>
    <w:uiPriority w:val="46"/>
    <w:rsid w:val="00ED1998"/>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
    <w:name w:val="Grid Table 1 Light - Accent 4"/>
    <w:basedOn w:val="a3"/>
    <w:uiPriority w:val="46"/>
    <w:rsid w:val="00ED1998"/>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
    <w:name w:val="Grid Table 1 Light - Accent 5"/>
    <w:basedOn w:val="a3"/>
    <w:uiPriority w:val="46"/>
    <w:rsid w:val="00ED1998"/>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
    <w:name w:val="Grid Table 1 Light - Accent 6"/>
    <w:basedOn w:val="a3"/>
    <w:uiPriority w:val="46"/>
    <w:rsid w:val="00ED1998"/>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213">
    <w:name w:val="טבלת רשת 21"/>
    <w:basedOn w:val="a3"/>
    <w:uiPriority w:val="47"/>
    <w:rsid w:val="00ED1998"/>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
    <w:name w:val="Grid Table 2 - Accent 1"/>
    <w:basedOn w:val="a3"/>
    <w:uiPriority w:val="47"/>
    <w:rsid w:val="00ED1998"/>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
    <w:name w:val="Grid Table 2 - Accent 2"/>
    <w:basedOn w:val="a3"/>
    <w:uiPriority w:val="47"/>
    <w:rsid w:val="00ED1998"/>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
    <w:name w:val="Grid Table 2 - Accent 3"/>
    <w:basedOn w:val="a3"/>
    <w:uiPriority w:val="47"/>
    <w:rsid w:val="00ED1998"/>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
    <w:name w:val="Grid Table 2 - Accent 4"/>
    <w:basedOn w:val="a3"/>
    <w:uiPriority w:val="47"/>
    <w:rsid w:val="00ED1998"/>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
    <w:name w:val="Grid Table 2 - Accent 5"/>
    <w:basedOn w:val="a3"/>
    <w:uiPriority w:val="47"/>
    <w:rsid w:val="00ED1998"/>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
    <w:name w:val="Grid Table 2 - Accent 6"/>
    <w:basedOn w:val="a3"/>
    <w:uiPriority w:val="47"/>
    <w:rsid w:val="00ED1998"/>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312">
    <w:name w:val="טבלת רשת 31"/>
    <w:basedOn w:val="a3"/>
    <w:uiPriority w:val="48"/>
    <w:rsid w:val="00ED199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
    <w:name w:val="Grid Table 3 - Accent 1"/>
    <w:basedOn w:val="a3"/>
    <w:uiPriority w:val="48"/>
    <w:rsid w:val="00ED199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
    <w:name w:val="Grid Table 3 - Accent 2"/>
    <w:basedOn w:val="a3"/>
    <w:uiPriority w:val="48"/>
    <w:rsid w:val="00ED1998"/>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
    <w:name w:val="Grid Table 3 - Accent 3"/>
    <w:basedOn w:val="a3"/>
    <w:uiPriority w:val="48"/>
    <w:rsid w:val="00ED1998"/>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
    <w:name w:val="Grid Table 3 - Accent 4"/>
    <w:basedOn w:val="a3"/>
    <w:uiPriority w:val="48"/>
    <w:rsid w:val="00ED1998"/>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
    <w:name w:val="Grid Table 3 - Accent 5"/>
    <w:basedOn w:val="a3"/>
    <w:uiPriority w:val="48"/>
    <w:rsid w:val="00ED1998"/>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
    <w:name w:val="Grid Table 3 - Accent 6"/>
    <w:basedOn w:val="a3"/>
    <w:uiPriority w:val="48"/>
    <w:rsid w:val="00ED1998"/>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412">
    <w:name w:val="טבלת רשת 41"/>
    <w:basedOn w:val="a3"/>
    <w:uiPriority w:val="49"/>
    <w:rsid w:val="00ED199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
    <w:name w:val="Grid Table 4 - Accent 1"/>
    <w:basedOn w:val="a3"/>
    <w:uiPriority w:val="49"/>
    <w:rsid w:val="00ED199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
    <w:name w:val="Grid Table 4 - Accent 2"/>
    <w:basedOn w:val="a3"/>
    <w:uiPriority w:val="49"/>
    <w:rsid w:val="00ED1998"/>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
    <w:name w:val="Grid Table 4 - Accent 3"/>
    <w:basedOn w:val="a3"/>
    <w:uiPriority w:val="49"/>
    <w:rsid w:val="00ED1998"/>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
    <w:name w:val="Grid Table 4 - Accent 4"/>
    <w:basedOn w:val="a3"/>
    <w:uiPriority w:val="49"/>
    <w:rsid w:val="00ED1998"/>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
    <w:name w:val="Grid Table 4 - Accent 5"/>
    <w:basedOn w:val="a3"/>
    <w:uiPriority w:val="49"/>
    <w:rsid w:val="00ED1998"/>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
    <w:name w:val="Grid Table 4 - Accent 6"/>
    <w:basedOn w:val="a3"/>
    <w:uiPriority w:val="49"/>
    <w:rsid w:val="00ED1998"/>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12">
    <w:name w:val="טבלת רשת 5 כהה1"/>
    <w:basedOn w:val="a3"/>
    <w:uiPriority w:val="50"/>
    <w:rsid w:val="00ED199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
    <w:name w:val="Grid Table 5 Dark - Accent 1"/>
    <w:basedOn w:val="a3"/>
    <w:uiPriority w:val="50"/>
    <w:rsid w:val="00ED199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
    <w:name w:val="Grid Table 5 Dark - Accent 2"/>
    <w:basedOn w:val="a3"/>
    <w:uiPriority w:val="50"/>
    <w:rsid w:val="00ED199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
    <w:name w:val="Grid Table 5 Dark - Accent 3"/>
    <w:basedOn w:val="a3"/>
    <w:uiPriority w:val="50"/>
    <w:rsid w:val="00ED199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
    <w:name w:val="Grid Table 5 Dark - Accent 4"/>
    <w:basedOn w:val="a3"/>
    <w:uiPriority w:val="50"/>
    <w:rsid w:val="00ED199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
    <w:name w:val="Grid Table 5 Dark - Accent 5"/>
    <w:basedOn w:val="a3"/>
    <w:uiPriority w:val="50"/>
    <w:rsid w:val="00ED199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
    <w:name w:val="Grid Table 5 Dark - Accent 6"/>
    <w:basedOn w:val="a3"/>
    <w:uiPriority w:val="50"/>
    <w:rsid w:val="00ED199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610">
    <w:name w:val="טבלת רשת 6 צבעונית1"/>
    <w:basedOn w:val="a3"/>
    <w:uiPriority w:val="51"/>
    <w:rsid w:val="00ED199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
    <w:name w:val="Grid Table 6 Colorful - Accent 1"/>
    <w:basedOn w:val="a3"/>
    <w:uiPriority w:val="51"/>
    <w:rsid w:val="00ED1998"/>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
    <w:name w:val="Grid Table 6 Colorful - Accent 2"/>
    <w:basedOn w:val="a3"/>
    <w:uiPriority w:val="51"/>
    <w:rsid w:val="00ED1998"/>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
    <w:name w:val="Grid Table 6 Colorful - Accent 3"/>
    <w:basedOn w:val="a3"/>
    <w:uiPriority w:val="51"/>
    <w:rsid w:val="00ED1998"/>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
    <w:name w:val="Grid Table 6 Colorful - Accent 4"/>
    <w:basedOn w:val="a3"/>
    <w:uiPriority w:val="51"/>
    <w:rsid w:val="00ED1998"/>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
    <w:name w:val="Grid Table 6 Colorful - Accent 5"/>
    <w:basedOn w:val="a3"/>
    <w:uiPriority w:val="51"/>
    <w:rsid w:val="00ED1998"/>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
    <w:name w:val="Grid Table 6 Colorful - Accent 6"/>
    <w:basedOn w:val="a3"/>
    <w:uiPriority w:val="51"/>
    <w:rsid w:val="00ED1998"/>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10">
    <w:name w:val="טבלת רשת 7 צבעונית1"/>
    <w:basedOn w:val="a3"/>
    <w:uiPriority w:val="52"/>
    <w:rsid w:val="00ED199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
    <w:name w:val="Grid Table 7 Colorful - Accent 1"/>
    <w:basedOn w:val="a3"/>
    <w:uiPriority w:val="52"/>
    <w:rsid w:val="00ED1998"/>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
    <w:name w:val="Grid Table 7 Colorful - Accent 2"/>
    <w:basedOn w:val="a3"/>
    <w:uiPriority w:val="52"/>
    <w:rsid w:val="00ED1998"/>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
    <w:name w:val="Grid Table 7 Colorful - Accent 3"/>
    <w:basedOn w:val="a3"/>
    <w:uiPriority w:val="52"/>
    <w:rsid w:val="00ED1998"/>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
    <w:name w:val="Grid Table 7 Colorful - Accent 4"/>
    <w:basedOn w:val="a3"/>
    <w:uiPriority w:val="52"/>
    <w:rsid w:val="00ED1998"/>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
    <w:name w:val="Grid Table 7 Colorful - Accent 5"/>
    <w:basedOn w:val="a3"/>
    <w:uiPriority w:val="52"/>
    <w:rsid w:val="00ED1998"/>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
    <w:name w:val="Grid Table 7 Colorful - Accent 6"/>
    <w:basedOn w:val="a3"/>
    <w:uiPriority w:val="52"/>
    <w:rsid w:val="00ED1998"/>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paragraph" w:styleId="aff1">
    <w:name w:val="Block Text"/>
    <w:basedOn w:val="a1"/>
    <w:rsid w:val="00ED1998"/>
    <w:pPr>
      <w:pBdr>
        <w:top w:val="single" w:sz="2" w:space="10" w:color="4F81BD"/>
        <w:left w:val="single" w:sz="2" w:space="10" w:color="4F81BD"/>
        <w:bottom w:val="single" w:sz="2" w:space="10" w:color="4F81BD"/>
        <w:right w:val="single" w:sz="2" w:space="10" w:color="4F81BD"/>
      </w:pBdr>
      <w:ind w:left="1152" w:right="1152"/>
    </w:pPr>
    <w:rPr>
      <w:rFonts w:ascii="Calibri" w:hAnsi="Calibri" w:cs="Arial"/>
      <w:i/>
      <w:iCs/>
      <w:color w:val="4F81BD"/>
    </w:rPr>
  </w:style>
  <w:style w:type="paragraph" w:styleId="aff2">
    <w:name w:val="endnote text"/>
    <w:basedOn w:val="a1"/>
    <w:link w:val="aff3"/>
    <w:rsid w:val="00ED1998"/>
    <w:rPr>
      <w:sz w:val="20"/>
      <w:szCs w:val="20"/>
    </w:rPr>
  </w:style>
  <w:style w:type="character" w:customStyle="1" w:styleId="aff3">
    <w:name w:val="טקסט הערת סיום תו"/>
    <w:link w:val="aff2"/>
    <w:semiHidden/>
    <w:rsid w:val="00ED1998"/>
    <w:rPr>
      <w:rFonts w:cs="David"/>
      <w:noProof w:val="0"/>
    </w:rPr>
  </w:style>
  <w:style w:type="paragraph" w:styleId="aff4">
    <w:name w:val="footnote text"/>
    <w:basedOn w:val="a1"/>
    <w:link w:val="aff5"/>
    <w:rsid w:val="00ED1998"/>
    <w:rPr>
      <w:sz w:val="20"/>
      <w:szCs w:val="20"/>
    </w:rPr>
  </w:style>
  <w:style w:type="character" w:customStyle="1" w:styleId="aff5">
    <w:name w:val="טקסט הערת שוליים תו"/>
    <w:link w:val="aff4"/>
    <w:semiHidden/>
    <w:rsid w:val="00ED1998"/>
    <w:rPr>
      <w:rFonts w:cs="David"/>
      <w:noProof w:val="0"/>
    </w:rPr>
  </w:style>
  <w:style w:type="paragraph" w:styleId="aff6">
    <w:name w:val="macro"/>
    <w:link w:val="aff7"/>
    <w:rsid w:val="00ED1998"/>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lang w:bidi="he-IL"/>
    </w:rPr>
  </w:style>
  <w:style w:type="character" w:customStyle="1" w:styleId="aff7">
    <w:name w:val="טקסט מאקרו תו"/>
    <w:link w:val="aff6"/>
    <w:semiHidden/>
    <w:rsid w:val="00ED1998"/>
    <w:rPr>
      <w:rFonts w:ascii="Consolas" w:hAnsi="Consolas" w:cs="David"/>
      <w:noProof w:val="0"/>
    </w:rPr>
  </w:style>
  <w:style w:type="paragraph" w:styleId="aff8">
    <w:name w:val="Plain Text"/>
    <w:basedOn w:val="a1"/>
    <w:link w:val="aff9"/>
    <w:rsid w:val="00ED1998"/>
    <w:rPr>
      <w:rFonts w:ascii="Consolas" w:hAnsi="Consolas"/>
      <w:sz w:val="21"/>
      <w:szCs w:val="21"/>
    </w:rPr>
  </w:style>
  <w:style w:type="character" w:customStyle="1" w:styleId="aff9">
    <w:name w:val="טקסט רגיל תו"/>
    <w:link w:val="aff8"/>
    <w:semiHidden/>
    <w:rsid w:val="00ED1998"/>
    <w:rPr>
      <w:rFonts w:ascii="Consolas" w:hAnsi="Consolas" w:cs="David"/>
      <w:noProof w:val="0"/>
      <w:sz w:val="21"/>
      <w:szCs w:val="21"/>
    </w:rPr>
  </w:style>
  <w:style w:type="character" w:customStyle="1" w:styleId="1f">
    <w:name w:val="כותר הספר1"/>
    <w:uiPriority w:val="33"/>
    <w:qFormat/>
    <w:rsid w:val="00ED1998"/>
    <w:rPr>
      <w:b/>
      <w:bCs/>
      <w:i/>
      <w:iCs/>
      <w:noProof w:val="0"/>
      <w:spacing w:val="5"/>
    </w:rPr>
  </w:style>
  <w:style w:type="character" w:customStyle="1" w:styleId="10">
    <w:name w:val="כותרת 1 תו"/>
    <w:link w:val="1"/>
    <w:rsid w:val="00ED1998"/>
    <w:rPr>
      <w:rFonts w:ascii="Cambria" w:eastAsia="Times New Roman" w:hAnsi="Cambria" w:cs="Times New Roman"/>
      <w:noProof w:val="0"/>
      <w:color w:val="365F91"/>
      <w:sz w:val="32"/>
      <w:szCs w:val="32"/>
    </w:rPr>
  </w:style>
  <w:style w:type="character" w:customStyle="1" w:styleId="22">
    <w:name w:val="כותרת 2 תו"/>
    <w:link w:val="21"/>
    <w:semiHidden/>
    <w:rsid w:val="00ED1998"/>
    <w:rPr>
      <w:rFonts w:ascii="Cambria" w:eastAsia="Times New Roman" w:hAnsi="Cambria" w:cs="Times New Roman"/>
      <w:noProof w:val="0"/>
      <w:color w:val="365F91"/>
      <w:sz w:val="26"/>
      <w:szCs w:val="26"/>
    </w:rPr>
  </w:style>
  <w:style w:type="character" w:customStyle="1" w:styleId="52">
    <w:name w:val="כותרת 5 תו"/>
    <w:link w:val="51"/>
    <w:semiHidden/>
    <w:rsid w:val="00ED1998"/>
    <w:rPr>
      <w:rFonts w:ascii="Cambria" w:eastAsia="Times New Roman" w:hAnsi="Cambria" w:cs="Times New Roman"/>
      <w:noProof w:val="0"/>
      <w:color w:val="365F91"/>
      <w:sz w:val="24"/>
      <w:szCs w:val="24"/>
    </w:rPr>
  </w:style>
  <w:style w:type="character" w:customStyle="1" w:styleId="60">
    <w:name w:val="כותרת 6 תו"/>
    <w:link w:val="6"/>
    <w:semiHidden/>
    <w:rsid w:val="00ED1998"/>
    <w:rPr>
      <w:rFonts w:ascii="Cambria" w:eastAsia="Times New Roman" w:hAnsi="Cambria" w:cs="Times New Roman"/>
      <w:noProof w:val="0"/>
      <w:color w:val="243F60"/>
      <w:sz w:val="24"/>
      <w:szCs w:val="24"/>
    </w:rPr>
  </w:style>
  <w:style w:type="character" w:customStyle="1" w:styleId="70">
    <w:name w:val="כותרת 7 תו"/>
    <w:link w:val="7"/>
    <w:semiHidden/>
    <w:rsid w:val="00ED1998"/>
    <w:rPr>
      <w:rFonts w:ascii="Cambria" w:eastAsia="Times New Roman" w:hAnsi="Cambria" w:cs="Times New Roman"/>
      <w:i/>
      <w:iCs/>
      <w:noProof w:val="0"/>
      <w:color w:val="243F60"/>
      <w:sz w:val="24"/>
      <w:szCs w:val="24"/>
    </w:rPr>
  </w:style>
  <w:style w:type="character" w:customStyle="1" w:styleId="80">
    <w:name w:val="כותרת 8 תו"/>
    <w:link w:val="8"/>
    <w:semiHidden/>
    <w:rsid w:val="00ED1998"/>
    <w:rPr>
      <w:rFonts w:ascii="Cambria" w:eastAsia="Times New Roman" w:hAnsi="Cambria" w:cs="Times New Roman"/>
      <w:noProof w:val="0"/>
      <w:color w:val="272727"/>
      <w:sz w:val="21"/>
      <w:szCs w:val="21"/>
    </w:rPr>
  </w:style>
  <w:style w:type="character" w:customStyle="1" w:styleId="90">
    <w:name w:val="כותרת 9 תו"/>
    <w:link w:val="9"/>
    <w:semiHidden/>
    <w:rsid w:val="00ED1998"/>
    <w:rPr>
      <w:rFonts w:ascii="Cambria" w:eastAsia="Times New Roman" w:hAnsi="Cambria" w:cs="Times New Roman"/>
      <w:i/>
      <w:iCs/>
      <w:noProof w:val="0"/>
      <w:color w:val="272727"/>
      <w:sz w:val="21"/>
      <w:szCs w:val="21"/>
    </w:rPr>
  </w:style>
  <w:style w:type="paragraph" w:styleId="affa">
    <w:name w:val="index heading"/>
    <w:basedOn w:val="a1"/>
    <w:next w:val="Index1"/>
    <w:rsid w:val="00ED1998"/>
    <w:rPr>
      <w:rFonts w:ascii="Cambria" w:hAnsi="Cambria" w:cs="Times New Roman"/>
      <w:b/>
      <w:bCs/>
    </w:rPr>
  </w:style>
  <w:style w:type="paragraph" w:styleId="affb">
    <w:name w:val="Note Heading"/>
    <w:basedOn w:val="a1"/>
    <w:next w:val="a1"/>
    <w:link w:val="affc"/>
    <w:rsid w:val="00ED1998"/>
  </w:style>
  <w:style w:type="character" w:customStyle="1" w:styleId="affc">
    <w:name w:val="כותרת הערות תו"/>
    <w:link w:val="affb"/>
    <w:semiHidden/>
    <w:rsid w:val="00ED1998"/>
    <w:rPr>
      <w:rFonts w:cs="David"/>
      <w:noProof w:val="0"/>
      <w:sz w:val="24"/>
      <w:szCs w:val="24"/>
    </w:rPr>
  </w:style>
  <w:style w:type="paragraph" w:styleId="affd">
    <w:name w:val="Title"/>
    <w:basedOn w:val="a1"/>
    <w:next w:val="a1"/>
    <w:link w:val="affe"/>
    <w:qFormat/>
    <w:rsid w:val="00ED1998"/>
    <w:pPr>
      <w:contextualSpacing/>
    </w:pPr>
    <w:rPr>
      <w:rFonts w:ascii="Cambria" w:hAnsi="Cambria" w:cs="Times New Roman"/>
      <w:spacing w:val="-10"/>
      <w:kern w:val="28"/>
      <w:sz w:val="56"/>
      <w:szCs w:val="56"/>
    </w:rPr>
  </w:style>
  <w:style w:type="character" w:customStyle="1" w:styleId="affe">
    <w:name w:val="כותרת טקסט תו"/>
    <w:link w:val="affd"/>
    <w:rsid w:val="00ED1998"/>
    <w:rPr>
      <w:rFonts w:ascii="Cambria" w:eastAsia="Times New Roman" w:hAnsi="Cambria" w:cs="Times New Roman"/>
      <w:noProof w:val="0"/>
      <w:spacing w:val="-10"/>
      <w:kern w:val="28"/>
      <w:sz w:val="56"/>
      <w:szCs w:val="56"/>
    </w:rPr>
  </w:style>
  <w:style w:type="paragraph" w:styleId="afff">
    <w:name w:val="Subtitle"/>
    <w:basedOn w:val="a1"/>
    <w:next w:val="a1"/>
    <w:link w:val="afff0"/>
    <w:qFormat/>
    <w:rsid w:val="00ED1998"/>
    <w:pPr>
      <w:numPr>
        <w:ilvl w:val="1"/>
      </w:numPr>
      <w:spacing w:after="160"/>
    </w:pPr>
    <w:rPr>
      <w:rFonts w:ascii="Calibri" w:hAnsi="Calibri" w:cs="Arial"/>
      <w:color w:val="5A5A5A"/>
      <w:spacing w:val="15"/>
      <w:sz w:val="22"/>
      <w:szCs w:val="22"/>
    </w:rPr>
  </w:style>
  <w:style w:type="character" w:customStyle="1" w:styleId="afff0">
    <w:name w:val="כותרת משנה תו"/>
    <w:link w:val="afff"/>
    <w:rsid w:val="00ED1998"/>
    <w:rPr>
      <w:rFonts w:ascii="Calibri" w:eastAsia="Times New Roman" w:hAnsi="Calibri" w:cs="Arial"/>
      <w:noProof w:val="0"/>
      <w:color w:val="5A5A5A"/>
      <w:spacing w:val="15"/>
      <w:sz w:val="22"/>
      <w:szCs w:val="22"/>
    </w:rPr>
  </w:style>
  <w:style w:type="paragraph" w:styleId="afff1">
    <w:name w:val="Message Header"/>
    <w:basedOn w:val="a1"/>
    <w:link w:val="afff2"/>
    <w:rsid w:val="00ED199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rPr>
  </w:style>
  <w:style w:type="character" w:customStyle="1" w:styleId="afff2">
    <w:name w:val="כותרת עליונה של הודעה תו"/>
    <w:link w:val="afff1"/>
    <w:semiHidden/>
    <w:rsid w:val="00ED1998"/>
    <w:rPr>
      <w:rFonts w:ascii="Cambria" w:eastAsia="Times New Roman" w:hAnsi="Cambria" w:cs="Times New Roman"/>
      <w:noProof w:val="0"/>
      <w:sz w:val="24"/>
      <w:szCs w:val="24"/>
      <w:shd w:val="pct20" w:color="auto" w:fill="auto"/>
    </w:rPr>
  </w:style>
  <w:style w:type="paragraph" w:styleId="afff3">
    <w:name w:val="toa heading"/>
    <w:basedOn w:val="a1"/>
    <w:next w:val="a1"/>
    <w:rsid w:val="00ED1998"/>
    <w:pPr>
      <w:spacing w:before="120"/>
    </w:pPr>
    <w:rPr>
      <w:rFonts w:ascii="Cambria" w:hAnsi="Cambria" w:cs="Times New Roman"/>
      <w:b/>
      <w:bCs/>
    </w:rPr>
  </w:style>
  <w:style w:type="paragraph" w:customStyle="1" w:styleId="1f0">
    <w:name w:val="כותרת תוכן עניינים1"/>
    <w:basedOn w:val="1"/>
    <w:next w:val="a1"/>
    <w:uiPriority w:val="39"/>
    <w:qFormat/>
    <w:rsid w:val="00ED1998"/>
    <w:pPr>
      <w:outlineLvl w:val="9"/>
    </w:pPr>
  </w:style>
  <w:style w:type="paragraph" w:styleId="afff4">
    <w:name w:val="caption"/>
    <w:basedOn w:val="a1"/>
    <w:next w:val="a1"/>
    <w:qFormat/>
    <w:rsid w:val="00ED1998"/>
    <w:pPr>
      <w:spacing w:after="200"/>
    </w:pPr>
    <w:rPr>
      <w:i/>
      <w:iCs/>
      <w:color w:val="1F497D"/>
      <w:sz w:val="18"/>
      <w:szCs w:val="18"/>
    </w:rPr>
  </w:style>
  <w:style w:type="paragraph" w:styleId="afff5">
    <w:name w:val="Body Text Indent"/>
    <w:basedOn w:val="a1"/>
    <w:link w:val="afff6"/>
    <w:rsid w:val="00ED1998"/>
    <w:pPr>
      <w:spacing w:after="120"/>
      <w:ind w:left="283"/>
    </w:pPr>
  </w:style>
  <w:style w:type="character" w:customStyle="1" w:styleId="afff6">
    <w:name w:val="כניסה בגוף טקסט תו"/>
    <w:link w:val="afff5"/>
    <w:semiHidden/>
    <w:rsid w:val="00ED1998"/>
    <w:rPr>
      <w:rFonts w:cs="David"/>
      <w:noProof w:val="0"/>
      <w:sz w:val="24"/>
      <w:szCs w:val="24"/>
    </w:rPr>
  </w:style>
  <w:style w:type="paragraph" w:styleId="2b">
    <w:name w:val="Body Text Indent 2"/>
    <w:basedOn w:val="a1"/>
    <w:link w:val="2c"/>
    <w:rsid w:val="00ED1998"/>
    <w:pPr>
      <w:spacing w:after="120" w:line="480" w:lineRule="auto"/>
      <w:ind w:left="283"/>
    </w:pPr>
  </w:style>
  <w:style w:type="character" w:customStyle="1" w:styleId="2c">
    <w:name w:val="כניסה בגוף טקסט 2 תו"/>
    <w:link w:val="2b"/>
    <w:semiHidden/>
    <w:rsid w:val="00ED1998"/>
    <w:rPr>
      <w:rFonts w:cs="David"/>
      <w:noProof w:val="0"/>
      <w:sz w:val="24"/>
      <w:szCs w:val="24"/>
    </w:rPr>
  </w:style>
  <w:style w:type="paragraph" w:styleId="3a">
    <w:name w:val="Body Text Indent 3"/>
    <w:basedOn w:val="a1"/>
    <w:link w:val="3b"/>
    <w:rsid w:val="00ED1998"/>
    <w:pPr>
      <w:spacing w:after="120"/>
      <w:ind w:left="283"/>
    </w:pPr>
    <w:rPr>
      <w:sz w:val="16"/>
      <w:szCs w:val="16"/>
    </w:rPr>
  </w:style>
  <w:style w:type="character" w:customStyle="1" w:styleId="3b">
    <w:name w:val="כניסה בגוף טקסט 3 תו"/>
    <w:link w:val="3a"/>
    <w:semiHidden/>
    <w:rsid w:val="00ED1998"/>
    <w:rPr>
      <w:rFonts w:cs="David"/>
      <w:noProof w:val="0"/>
      <w:sz w:val="16"/>
      <w:szCs w:val="16"/>
    </w:rPr>
  </w:style>
  <w:style w:type="paragraph" w:styleId="afff7">
    <w:name w:val="Normal Indent"/>
    <w:basedOn w:val="a1"/>
    <w:rsid w:val="00ED1998"/>
    <w:pPr>
      <w:ind w:left="720"/>
    </w:pPr>
  </w:style>
  <w:style w:type="paragraph" w:styleId="afff8">
    <w:name w:val="Body Text First Indent"/>
    <w:basedOn w:val="af3"/>
    <w:link w:val="afff9"/>
    <w:rsid w:val="00ED1998"/>
    <w:pPr>
      <w:spacing w:after="0"/>
      <w:ind w:firstLine="360"/>
    </w:pPr>
  </w:style>
  <w:style w:type="character" w:customStyle="1" w:styleId="afff9">
    <w:name w:val="כניסת שורה ראשונה בגוף טקסט תו"/>
    <w:link w:val="afff8"/>
    <w:rsid w:val="00ED1998"/>
    <w:rPr>
      <w:rFonts w:cs="David"/>
      <w:noProof w:val="0"/>
      <w:sz w:val="24"/>
      <w:szCs w:val="24"/>
    </w:rPr>
  </w:style>
  <w:style w:type="paragraph" w:styleId="2d">
    <w:name w:val="Body Text First Indent 2"/>
    <w:basedOn w:val="afff5"/>
    <w:link w:val="2e"/>
    <w:rsid w:val="00ED1998"/>
    <w:pPr>
      <w:spacing w:after="0"/>
      <w:ind w:left="360" w:firstLine="360"/>
    </w:pPr>
  </w:style>
  <w:style w:type="character" w:customStyle="1" w:styleId="2e">
    <w:name w:val="כניסת שורה ראשונה בגוף טקסט 2 תו"/>
    <w:link w:val="2d"/>
    <w:semiHidden/>
    <w:rsid w:val="00ED1998"/>
    <w:rPr>
      <w:rFonts w:cs="David"/>
      <w:noProof w:val="0"/>
      <w:sz w:val="24"/>
      <w:szCs w:val="24"/>
    </w:rPr>
  </w:style>
  <w:style w:type="paragraph" w:styleId="HTML2">
    <w:name w:val="HTML Address"/>
    <w:basedOn w:val="a1"/>
    <w:link w:val="HTML3"/>
    <w:rsid w:val="00ED1998"/>
    <w:rPr>
      <w:i/>
      <w:iCs/>
    </w:rPr>
  </w:style>
  <w:style w:type="character" w:customStyle="1" w:styleId="HTML3">
    <w:name w:val="כתובת HTML תו"/>
    <w:link w:val="HTML2"/>
    <w:semiHidden/>
    <w:rsid w:val="00ED1998"/>
    <w:rPr>
      <w:rFonts w:cs="David"/>
      <w:i/>
      <w:iCs/>
      <w:noProof w:val="0"/>
      <w:sz w:val="24"/>
      <w:szCs w:val="24"/>
    </w:rPr>
  </w:style>
  <w:style w:type="paragraph" w:styleId="afffa">
    <w:name w:val="envelope address"/>
    <w:basedOn w:val="a1"/>
    <w:rsid w:val="00ED1998"/>
    <w:pPr>
      <w:framePr w:w="7920" w:h="1980" w:hRule="exact" w:hSpace="180" w:wrap="auto" w:hAnchor="page" w:xAlign="center" w:yAlign="bottom"/>
      <w:ind w:left="2880"/>
    </w:pPr>
    <w:rPr>
      <w:rFonts w:ascii="Cambria" w:hAnsi="Cambria" w:cs="Times New Roman"/>
    </w:rPr>
  </w:style>
  <w:style w:type="paragraph" w:styleId="afffb">
    <w:name w:val="envelope return"/>
    <w:basedOn w:val="a1"/>
    <w:rsid w:val="00ED1998"/>
    <w:rPr>
      <w:rFonts w:ascii="Cambria" w:hAnsi="Cambria" w:cs="Times New Roman"/>
      <w:sz w:val="20"/>
      <w:szCs w:val="20"/>
    </w:rPr>
  </w:style>
  <w:style w:type="paragraph" w:customStyle="1" w:styleId="1f1">
    <w:name w:val="ללא מרווח1"/>
    <w:uiPriority w:val="1"/>
    <w:qFormat/>
    <w:rsid w:val="00ED1998"/>
    <w:pPr>
      <w:bidi/>
    </w:pPr>
    <w:rPr>
      <w:rFonts w:cs="David"/>
      <w:sz w:val="24"/>
      <w:szCs w:val="24"/>
      <w:lang w:bidi="he-IL"/>
    </w:rPr>
  </w:style>
  <w:style w:type="character" w:styleId="HTML4">
    <w:name w:val="HTML Typewriter"/>
    <w:rsid w:val="00ED1998"/>
    <w:rPr>
      <w:rFonts w:ascii="Consolas" w:hAnsi="Consolas"/>
      <w:noProof w:val="0"/>
      <w:sz w:val="20"/>
      <w:szCs w:val="20"/>
    </w:rPr>
  </w:style>
  <w:style w:type="paragraph" w:styleId="afffc">
    <w:name w:val="Document Map"/>
    <w:basedOn w:val="a1"/>
    <w:link w:val="afffd"/>
    <w:rsid w:val="00ED1998"/>
    <w:rPr>
      <w:rFonts w:ascii="Tahoma" w:hAnsi="Tahoma" w:cs="Tahoma"/>
      <w:sz w:val="16"/>
      <w:szCs w:val="16"/>
    </w:rPr>
  </w:style>
  <w:style w:type="character" w:customStyle="1" w:styleId="afffd">
    <w:name w:val="מפת מסמך תו"/>
    <w:link w:val="afffc"/>
    <w:semiHidden/>
    <w:rsid w:val="00ED1998"/>
    <w:rPr>
      <w:rFonts w:ascii="Tahoma" w:hAnsi="Tahoma" w:cs="Tahoma"/>
      <w:noProof w:val="0"/>
      <w:sz w:val="16"/>
      <w:szCs w:val="16"/>
    </w:rPr>
  </w:style>
  <w:style w:type="character" w:styleId="HTML5">
    <w:name w:val="HTML Keyboard"/>
    <w:rsid w:val="00ED1998"/>
    <w:rPr>
      <w:rFonts w:ascii="Consolas" w:hAnsi="Consolas"/>
      <w:noProof w:val="0"/>
      <w:sz w:val="20"/>
      <w:szCs w:val="20"/>
    </w:rPr>
  </w:style>
  <w:style w:type="paragraph" w:styleId="afffe">
    <w:name w:val="annotation subject"/>
    <w:basedOn w:val="aa"/>
    <w:next w:val="aa"/>
    <w:link w:val="affff"/>
    <w:rsid w:val="00ED1998"/>
    <w:rPr>
      <w:rFonts w:cs="David"/>
      <w:b/>
      <w:bCs/>
      <w:sz w:val="20"/>
      <w:szCs w:val="20"/>
    </w:rPr>
  </w:style>
  <w:style w:type="character" w:customStyle="1" w:styleId="ab">
    <w:name w:val="טקסט הערה תו"/>
    <w:link w:val="aa"/>
    <w:semiHidden/>
    <w:rsid w:val="00ED1998"/>
    <w:rPr>
      <w:noProof w:val="0"/>
      <w:sz w:val="24"/>
      <w:szCs w:val="24"/>
    </w:rPr>
  </w:style>
  <w:style w:type="character" w:customStyle="1" w:styleId="affff">
    <w:name w:val="נושא הערה תו"/>
    <w:link w:val="afffe"/>
    <w:semiHidden/>
    <w:rsid w:val="00ED1998"/>
    <w:rPr>
      <w:rFonts w:cs="David"/>
      <w:b/>
      <w:bCs/>
      <w:noProof w:val="0"/>
      <w:sz w:val="24"/>
      <w:szCs w:val="24"/>
    </w:rPr>
  </w:style>
  <w:style w:type="table" w:styleId="affff0">
    <w:name w:val="Table Theme"/>
    <w:basedOn w:val="a3"/>
    <w:rsid w:val="00ED199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Closing"/>
    <w:basedOn w:val="a1"/>
    <w:link w:val="affff2"/>
    <w:rsid w:val="00ED1998"/>
    <w:pPr>
      <w:ind w:left="4252"/>
    </w:pPr>
  </w:style>
  <w:style w:type="character" w:customStyle="1" w:styleId="affff2">
    <w:name w:val="סיום תו"/>
    <w:link w:val="affff1"/>
    <w:semiHidden/>
    <w:rsid w:val="00ED1998"/>
    <w:rPr>
      <w:rFonts w:cs="David"/>
      <w:noProof w:val="0"/>
      <w:sz w:val="24"/>
      <w:szCs w:val="24"/>
    </w:rPr>
  </w:style>
  <w:style w:type="table" w:styleId="1f2">
    <w:name w:val="Table Columns 1"/>
    <w:basedOn w:val="a3"/>
    <w:rsid w:val="00ED1998"/>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3"/>
    <w:rsid w:val="00ED1998"/>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3"/>
    <w:rsid w:val="00ED1998"/>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3"/>
    <w:rsid w:val="00ED1998"/>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3"/>
    <w:rsid w:val="00ED1998"/>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1f3">
    <w:name w:val="פיסקת רשימה1"/>
    <w:basedOn w:val="a1"/>
    <w:uiPriority w:val="34"/>
    <w:qFormat/>
    <w:rsid w:val="00ED1998"/>
    <w:pPr>
      <w:ind w:left="720"/>
      <w:contextualSpacing/>
    </w:pPr>
  </w:style>
  <w:style w:type="paragraph" w:customStyle="1" w:styleId="1f4">
    <w:name w:val="ציטוט1"/>
    <w:basedOn w:val="a1"/>
    <w:next w:val="a1"/>
    <w:link w:val="QuoteChar"/>
    <w:uiPriority w:val="29"/>
    <w:qFormat/>
    <w:rsid w:val="00ED1998"/>
    <w:pPr>
      <w:spacing w:before="200" w:after="160"/>
      <w:ind w:left="864" w:right="864"/>
      <w:jc w:val="center"/>
    </w:pPr>
    <w:rPr>
      <w:i/>
      <w:iCs/>
      <w:color w:val="404040"/>
    </w:rPr>
  </w:style>
  <w:style w:type="character" w:customStyle="1" w:styleId="QuoteChar">
    <w:name w:val="Quote Char"/>
    <w:link w:val="1f4"/>
    <w:uiPriority w:val="29"/>
    <w:rsid w:val="00ED1998"/>
    <w:rPr>
      <w:rFonts w:cs="David"/>
      <w:i/>
      <w:iCs/>
      <w:noProof w:val="0"/>
      <w:color w:val="404040"/>
      <w:sz w:val="24"/>
      <w:szCs w:val="24"/>
    </w:rPr>
  </w:style>
  <w:style w:type="paragraph" w:customStyle="1" w:styleId="1f5">
    <w:name w:val="ציטוט חזק1"/>
    <w:basedOn w:val="a1"/>
    <w:next w:val="a1"/>
    <w:link w:val="IntenseQuoteChar"/>
    <w:uiPriority w:val="30"/>
    <w:qFormat/>
    <w:rsid w:val="00ED1998"/>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1f5"/>
    <w:uiPriority w:val="30"/>
    <w:rsid w:val="00ED1998"/>
    <w:rPr>
      <w:rFonts w:cs="David"/>
      <w:i/>
      <w:iCs/>
      <w:noProof w:val="0"/>
      <w:color w:val="4F81BD"/>
      <w:sz w:val="24"/>
      <w:szCs w:val="24"/>
    </w:rPr>
  </w:style>
  <w:style w:type="character" w:styleId="HTML6">
    <w:name w:val="HTML Acronym"/>
    <w:rsid w:val="00ED1998"/>
    <w:rPr>
      <w:noProof w:val="0"/>
    </w:rPr>
  </w:style>
  <w:style w:type="paragraph" w:styleId="affff3">
    <w:name w:val="List"/>
    <w:basedOn w:val="a1"/>
    <w:rsid w:val="00ED1998"/>
    <w:pPr>
      <w:ind w:left="283" w:hanging="283"/>
      <w:contextualSpacing/>
    </w:pPr>
  </w:style>
  <w:style w:type="paragraph" w:styleId="2f0">
    <w:name w:val="List 2"/>
    <w:basedOn w:val="a1"/>
    <w:rsid w:val="00ED1998"/>
    <w:pPr>
      <w:ind w:left="566" w:hanging="283"/>
      <w:contextualSpacing/>
    </w:pPr>
  </w:style>
  <w:style w:type="paragraph" w:styleId="3d">
    <w:name w:val="List 3"/>
    <w:basedOn w:val="a1"/>
    <w:rsid w:val="00ED1998"/>
    <w:pPr>
      <w:ind w:left="849" w:hanging="283"/>
      <w:contextualSpacing/>
    </w:pPr>
  </w:style>
  <w:style w:type="paragraph" w:styleId="45">
    <w:name w:val="List 4"/>
    <w:basedOn w:val="a1"/>
    <w:rsid w:val="00ED1998"/>
    <w:pPr>
      <w:ind w:left="1132" w:hanging="283"/>
      <w:contextualSpacing/>
    </w:pPr>
  </w:style>
  <w:style w:type="paragraph" w:styleId="55">
    <w:name w:val="List 5"/>
    <w:basedOn w:val="a1"/>
    <w:rsid w:val="00ED1998"/>
    <w:pPr>
      <w:ind w:left="1415" w:hanging="283"/>
      <w:contextualSpacing/>
    </w:pPr>
  </w:style>
  <w:style w:type="table" w:customStyle="1" w:styleId="1f6">
    <w:name w:val="רשימה בהירה1"/>
    <w:basedOn w:val="a3"/>
    <w:uiPriority w:val="61"/>
    <w:semiHidden/>
    <w:unhideWhenUsed/>
    <w:rsid w:val="00ED199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
    <w:name w:val="Light List - Accent 1"/>
    <w:basedOn w:val="a3"/>
    <w:uiPriority w:val="61"/>
    <w:semiHidden/>
    <w:unhideWhenUsed/>
    <w:rsid w:val="00ED199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3"/>
    <w:uiPriority w:val="61"/>
    <w:semiHidden/>
    <w:unhideWhenUsed/>
    <w:rsid w:val="00ED199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3"/>
    <w:uiPriority w:val="61"/>
    <w:semiHidden/>
    <w:unhideWhenUsed/>
    <w:rsid w:val="00ED199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
    <w:name w:val="Light List - Accent 4"/>
    <w:basedOn w:val="a3"/>
    <w:uiPriority w:val="61"/>
    <w:semiHidden/>
    <w:unhideWhenUsed/>
    <w:rsid w:val="00ED199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
    <w:name w:val="Light List - Accent 5"/>
    <w:basedOn w:val="a3"/>
    <w:uiPriority w:val="61"/>
    <w:semiHidden/>
    <w:unhideWhenUsed/>
    <w:rsid w:val="00ED199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
    <w:name w:val="Light List - Accent 6"/>
    <w:basedOn w:val="a3"/>
    <w:uiPriority w:val="61"/>
    <w:semiHidden/>
    <w:unhideWhenUsed/>
    <w:rsid w:val="00ED199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f7">
    <w:name w:val="Table List 1"/>
    <w:basedOn w:val="a3"/>
    <w:rsid w:val="00ED1998"/>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List 2"/>
    <w:basedOn w:val="a3"/>
    <w:rsid w:val="00ED1998"/>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3"/>
    <w:rsid w:val="00ED1998"/>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rsid w:val="00ED1998"/>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rsid w:val="00ED1998"/>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rsid w:val="00ED1998"/>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rsid w:val="00ED1998"/>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rsid w:val="00ED1998"/>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4">
    <w:name w:val="רשימה בינונית 11"/>
    <w:basedOn w:val="a3"/>
    <w:uiPriority w:val="65"/>
    <w:semiHidden/>
    <w:unhideWhenUsed/>
    <w:rsid w:val="00ED1998"/>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
    <w:name w:val="Medium List 1 - Accent 1"/>
    <w:basedOn w:val="a3"/>
    <w:uiPriority w:val="65"/>
    <w:semiHidden/>
    <w:unhideWhenUsed/>
    <w:rsid w:val="00ED1998"/>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
    <w:name w:val="Medium List 1 - Accent 2"/>
    <w:basedOn w:val="a3"/>
    <w:uiPriority w:val="65"/>
    <w:semiHidden/>
    <w:unhideWhenUsed/>
    <w:rsid w:val="00ED1998"/>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
    <w:name w:val="Medium List 1 - Accent 3"/>
    <w:basedOn w:val="a3"/>
    <w:uiPriority w:val="65"/>
    <w:semiHidden/>
    <w:unhideWhenUsed/>
    <w:rsid w:val="00ED1998"/>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
    <w:name w:val="Medium List 1 - Accent 4"/>
    <w:basedOn w:val="a3"/>
    <w:uiPriority w:val="65"/>
    <w:semiHidden/>
    <w:unhideWhenUsed/>
    <w:rsid w:val="00ED1998"/>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
    <w:name w:val="Medium List 1 - Accent 5"/>
    <w:basedOn w:val="a3"/>
    <w:uiPriority w:val="65"/>
    <w:semiHidden/>
    <w:unhideWhenUsed/>
    <w:rsid w:val="00ED1998"/>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
    <w:name w:val="Medium List 1 - Accent 6"/>
    <w:basedOn w:val="a3"/>
    <w:uiPriority w:val="65"/>
    <w:semiHidden/>
    <w:unhideWhenUsed/>
    <w:rsid w:val="00ED1998"/>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4">
    <w:name w:val="רשימה בינונית 21"/>
    <w:basedOn w:val="a3"/>
    <w:uiPriority w:val="66"/>
    <w:semiHidden/>
    <w:unhideWhenUsed/>
    <w:rsid w:val="00ED199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
    <w:name w:val="Medium List 2 - Accent 1"/>
    <w:basedOn w:val="a3"/>
    <w:uiPriority w:val="66"/>
    <w:semiHidden/>
    <w:unhideWhenUsed/>
    <w:rsid w:val="00ED199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
    <w:name w:val="Medium List 2 - Accent 2"/>
    <w:basedOn w:val="a3"/>
    <w:uiPriority w:val="66"/>
    <w:semiHidden/>
    <w:unhideWhenUsed/>
    <w:rsid w:val="00ED199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
    <w:name w:val="Medium List 2 - Accent 3"/>
    <w:basedOn w:val="a3"/>
    <w:uiPriority w:val="66"/>
    <w:semiHidden/>
    <w:unhideWhenUsed/>
    <w:rsid w:val="00ED199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
    <w:name w:val="Medium List 2 - Accent 4"/>
    <w:basedOn w:val="a3"/>
    <w:uiPriority w:val="66"/>
    <w:semiHidden/>
    <w:unhideWhenUsed/>
    <w:rsid w:val="00ED199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
    <w:name w:val="Medium List 2 - Accent 5"/>
    <w:basedOn w:val="a3"/>
    <w:uiPriority w:val="66"/>
    <w:semiHidden/>
    <w:unhideWhenUsed/>
    <w:rsid w:val="00ED199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
    <w:name w:val="Medium List 2 - Accent 6"/>
    <w:basedOn w:val="a3"/>
    <w:uiPriority w:val="66"/>
    <w:semiHidden/>
    <w:unhideWhenUsed/>
    <w:rsid w:val="00ED199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f8">
    <w:name w:val="רשימה כהה1"/>
    <w:basedOn w:val="a3"/>
    <w:uiPriority w:val="70"/>
    <w:semiHidden/>
    <w:unhideWhenUsed/>
    <w:rsid w:val="00ED199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
    <w:name w:val="Dark List - Accent 1"/>
    <w:basedOn w:val="a3"/>
    <w:uiPriority w:val="70"/>
    <w:semiHidden/>
    <w:unhideWhenUsed/>
    <w:rsid w:val="00ED199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
    <w:name w:val="Dark List - Accent 2"/>
    <w:basedOn w:val="a3"/>
    <w:uiPriority w:val="70"/>
    <w:semiHidden/>
    <w:unhideWhenUsed/>
    <w:rsid w:val="00ED199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
    <w:name w:val="Dark List - Accent 3"/>
    <w:basedOn w:val="a3"/>
    <w:uiPriority w:val="70"/>
    <w:semiHidden/>
    <w:unhideWhenUsed/>
    <w:rsid w:val="00ED199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
    <w:name w:val="Dark List - Accent 4"/>
    <w:basedOn w:val="a3"/>
    <w:uiPriority w:val="70"/>
    <w:semiHidden/>
    <w:unhideWhenUsed/>
    <w:rsid w:val="00ED199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
    <w:name w:val="Dark List - Accent 5"/>
    <w:basedOn w:val="a3"/>
    <w:uiPriority w:val="70"/>
    <w:semiHidden/>
    <w:unhideWhenUsed/>
    <w:rsid w:val="00ED199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
    <w:name w:val="Dark List - Accent 6"/>
    <w:basedOn w:val="a3"/>
    <w:uiPriority w:val="70"/>
    <w:semiHidden/>
    <w:unhideWhenUsed/>
    <w:rsid w:val="00ED199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
    <w:name w:val="List Number"/>
    <w:basedOn w:val="a1"/>
    <w:rsid w:val="00ED1998"/>
    <w:pPr>
      <w:numPr>
        <w:numId w:val="1"/>
      </w:numPr>
      <w:contextualSpacing/>
    </w:pPr>
  </w:style>
  <w:style w:type="paragraph" w:styleId="2">
    <w:name w:val="List Number 2"/>
    <w:basedOn w:val="a1"/>
    <w:rsid w:val="00ED1998"/>
    <w:pPr>
      <w:numPr>
        <w:numId w:val="2"/>
      </w:numPr>
      <w:contextualSpacing/>
    </w:pPr>
  </w:style>
  <w:style w:type="paragraph" w:styleId="3">
    <w:name w:val="List Number 3"/>
    <w:basedOn w:val="a1"/>
    <w:rsid w:val="00ED1998"/>
    <w:pPr>
      <w:numPr>
        <w:numId w:val="3"/>
      </w:numPr>
      <w:contextualSpacing/>
    </w:pPr>
  </w:style>
  <w:style w:type="paragraph" w:styleId="4">
    <w:name w:val="List Number 4"/>
    <w:basedOn w:val="a1"/>
    <w:rsid w:val="00ED1998"/>
    <w:pPr>
      <w:numPr>
        <w:numId w:val="4"/>
      </w:numPr>
      <w:contextualSpacing/>
    </w:pPr>
  </w:style>
  <w:style w:type="paragraph" w:styleId="5">
    <w:name w:val="List Number 5"/>
    <w:basedOn w:val="a1"/>
    <w:rsid w:val="00ED1998"/>
    <w:pPr>
      <w:numPr>
        <w:numId w:val="5"/>
      </w:numPr>
      <w:contextualSpacing/>
    </w:pPr>
  </w:style>
  <w:style w:type="paragraph" w:styleId="a0">
    <w:name w:val="List Bullet"/>
    <w:basedOn w:val="a1"/>
    <w:rsid w:val="00ED1998"/>
    <w:pPr>
      <w:numPr>
        <w:numId w:val="6"/>
      </w:numPr>
      <w:contextualSpacing/>
    </w:pPr>
  </w:style>
  <w:style w:type="paragraph" w:styleId="20">
    <w:name w:val="List Bullet 2"/>
    <w:basedOn w:val="a1"/>
    <w:rsid w:val="00ED1998"/>
    <w:pPr>
      <w:numPr>
        <w:numId w:val="7"/>
      </w:numPr>
      <w:contextualSpacing/>
    </w:pPr>
  </w:style>
  <w:style w:type="paragraph" w:styleId="30">
    <w:name w:val="List Bullet 3"/>
    <w:basedOn w:val="a1"/>
    <w:rsid w:val="00ED1998"/>
    <w:pPr>
      <w:numPr>
        <w:numId w:val="8"/>
      </w:numPr>
      <w:contextualSpacing/>
    </w:pPr>
  </w:style>
  <w:style w:type="paragraph" w:styleId="40">
    <w:name w:val="List Bullet 4"/>
    <w:basedOn w:val="a1"/>
    <w:rsid w:val="00ED1998"/>
    <w:pPr>
      <w:numPr>
        <w:numId w:val="9"/>
      </w:numPr>
      <w:contextualSpacing/>
    </w:pPr>
  </w:style>
  <w:style w:type="paragraph" w:styleId="50">
    <w:name w:val="List Bullet 5"/>
    <w:basedOn w:val="a1"/>
    <w:rsid w:val="00ED1998"/>
    <w:pPr>
      <w:numPr>
        <w:numId w:val="10"/>
      </w:numPr>
      <w:contextualSpacing/>
    </w:pPr>
  </w:style>
  <w:style w:type="table" w:customStyle="1" w:styleId="1f9">
    <w:name w:val="רשימה צבעונית1"/>
    <w:basedOn w:val="a3"/>
    <w:uiPriority w:val="72"/>
    <w:semiHidden/>
    <w:unhideWhenUsed/>
    <w:rsid w:val="00ED199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
    <w:name w:val="Colorful List - Accent 1"/>
    <w:basedOn w:val="a3"/>
    <w:uiPriority w:val="72"/>
    <w:semiHidden/>
    <w:unhideWhenUsed/>
    <w:rsid w:val="00ED199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
    <w:name w:val="Colorful List - Accent 2"/>
    <w:basedOn w:val="a3"/>
    <w:uiPriority w:val="72"/>
    <w:semiHidden/>
    <w:unhideWhenUsed/>
    <w:rsid w:val="00ED199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
    <w:name w:val="Colorful List - Accent 3"/>
    <w:basedOn w:val="a3"/>
    <w:uiPriority w:val="72"/>
    <w:semiHidden/>
    <w:unhideWhenUsed/>
    <w:rsid w:val="00ED199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
    <w:name w:val="Colorful List - Accent 4"/>
    <w:basedOn w:val="a3"/>
    <w:uiPriority w:val="72"/>
    <w:semiHidden/>
    <w:unhideWhenUsed/>
    <w:rsid w:val="00ED199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
    <w:name w:val="Colorful List - Accent 5"/>
    <w:basedOn w:val="a3"/>
    <w:uiPriority w:val="72"/>
    <w:semiHidden/>
    <w:unhideWhenUsed/>
    <w:rsid w:val="00ED199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
    <w:name w:val="Colorful List - Accent 6"/>
    <w:basedOn w:val="a3"/>
    <w:uiPriority w:val="72"/>
    <w:semiHidden/>
    <w:unhideWhenUsed/>
    <w:rsid w:val="00ED199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4">
    <w:name w:val="table of figures"/>
    <w:basedOn w:val="a1"/>
    <w:next w:val="a1"/>
    <w:rsid w:val="00ED1998"/>
  </w:style>
  <w:style w:type="paragraph" w:styleId="affff5">
    <w:name w:val="table of authorities"/>
    <w:basedOn w:val="a1"/>
    <w:next w:val="a1"/>
    <w:rsid w:val="00ED1998"/>
    <w:pPr>
      <w:ind w:left="240" w:hanging="240"/>
    </w:pPr>
  </w:style>
  <w:style w:type="table" w:customStyle="1" w:styleId="1fa">
    <w:name w:val="רשת בהירה1"/>
    <w:basedOn w:val="a3"/>
    <w:uiPriority w:val="62"/>
    <w:semiHidden/>
    <w:unhideWhenUsed/>
    <w:rsid w:val="00ED199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
    <w:name w:val="Light Grid - Accent 1"/>
    <w:basedOn w:val="a3"/>
    <w:uiPriority w:val="62"/>
    <w:semiHidden/>
    <w:unhideWhenUsed/>
    <w:rsid w:val="00ED199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
    <w:name w:val="Light Grid - Accent 2"/>
    <w:basedOn w:val="a3"/>
    <w:uiPriority w:val="62"/>
    <w:semiHidden/>
    <w:unhideWhenUsed/>
    <w:rsid w:val="00ED199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3"/>
    <w:uiPriority w:val="62"/>
    <w:semiHidden/>
    <w:unhideWhenUsed/>
    <w:rsid w:val="00ED199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3"/>
    <w:uiPriority w:val="62"/>
    <w:semiHidden/>
    <w:unhideWhenUsed/>
    <w:rsid w:val="00ED199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3"/>
    <w:uiPriority w:val="62"/>
    <w:semiHidden/>
    <w:unhideWhenUsed/>
    <w:rsid w:val="00ED199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
    <w:name w:val="Light Grid - Accent 6"/>
    <w:basedOn w:val="a3"/>
    <w:uiPriority w:val="62"/>
    <w:semiHidden/>
    <w:unhideWhenUsed/>
    <w:rsid w:val="00ED199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1">
    <w:name w:val="Medium Grid 1 - Accent 1"/>
    <w:basedOn w:val="a3"/>
    <w:uiPriority w:val="67"/>
    <w:semiHidden/>
    <w:unhideWhenUsed/>
    <w:rsid w:val="00ED199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5">
    <w:name w:val="רשת בינונית 11"/>
    <w:basedOn w:val="a3"/>
    <w:uiPriority w:val="67"/>
    <w:semiHidden/>
    <w:unhideWhenUsed/>
    <w:rsid w:val="00ED199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2">
    <w:name w:val="Medium Grid 1 - Accent 2"/>
    <w:basedOn w:val="a3"/>
    <w:uiPriority w:val="67"/>
    <w:semiHidden/>
    <w:unhideWhenUsed/>
    <w:rsid w:val="00ED199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
    <w:name w:val="Medium Grid 1 - Accent 3"/>
    <w:basedOn w:val="a3"/>
    <w:uiPriority w:val="67"/>
    <w:semiHidden/>
    <w:unhideWhenUsed/>
    <w:rsid w:val="00ED199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
    <w:name w:val="Medium Grid 1 - Accent 4"/>
    <w:basedOn w:val="a3"/>
    <w:uiPriority w:val="67"/>
    <w:semiHidden/>
    <w:unhideWhenUsed/>
    <w:rsid w:val="00ED199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
    <w:name w:val="Medium Grid 1 - Accent 5"/>
    <w:basedOn w:val="a3"/>
    <w:uiPriority w:val="67"/>
    <w:semiHidden/>
    <w:unhideWhenUsed/>
    <w:rsid w:val="00ED199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
    <w:name w:val="Medium Grid 1 - Accent 6"/>
    <w:basedOn w:val="a3"/>
    <w:uiPriority w:val="67"/>
    <w:semiHidden/>
    <w:unhideWhenUsed/>
    <w:rsid w:val="00ED199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5">
    <w:name w:val="רשת בינונית 21"/>
    <w:basedOn w:val="a3"/>
    <w:uiPriority w:val="68"/>
    <w:semiHidden/>
    <w:unhideWhenUsed/>
    <w:rsid w:val="00ED199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
    <w:name w:val="Medium Grid 2 - Accent 1"/>
    <w:basedOn w:val="a3"/>
    <w:uiPriority w:val="68"/>
    <w:semiHidden/>
    <w:unhideWhenUsed/>
    <w:rsid w:val="00ED199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
    <w:name w:val="Medium Grid 2 - Accent 2"/>
    <w:basedOn w:val="a3"/>
    <w:uiPriority w:val="68"/>
    <w:semiHidden/>
    <w:unhideWhenUsed/>
    <w:rsid w:val="00ED199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
    <w:name w:val="Medium Grid 2 - Accent 3"/>
    <w:basedOn w:val="a3"/>
    <w:uiPriority w:val="68"/>
    <w:semiHidden/>
    <w:unhideWhenUsed/>
    <w:rsid w:val="00ED199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
    <w:name w:val="Medium Grid 2 - Accent 4"/>
    <w:basedOn w:val="a3"/>
    <w:uiPriority w:val="68"/>
    <w:semiHidden/>
    <w:unhideWhenUsed/>
    <w:rsid w:val="00ED199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
    <w:name w:val="Medium Grid 2 - Accent 5"/>
    <w:basedOn w:val="a3"/>
    <w:uiPriority w:val="68"/>
    <w:semiHidden/>
    <w:unhideWhenUsed/>
    <w:rsid w:val="00ED199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
    <w:name w:val="Medium Grid 2 - Accent 6"/>
    <w:basedOn w:val="a3"/>
    <w:uiPriority w:val="68"/>
    <w:semiHidden/>
    <w:unhideWhenUsed/>
    <w:rsid w:val="00ED199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3">
    <w:name w:val="רשת בינונית 31"/>
    <w:basedOn w:val="a3"/>
    <w:uiPriority w:val="69"/>
    <w:semiHidden/>
    <w:unhideWhenUsed/>
    <w:rsid w:val="00ED19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
    <w:name w:val="Medium Grid 3 - Accent 1"/>
    <w:basedOn w:val="a3"/>
    <w:uiPriority w:val="69"/>
    <w:semiHidden/>
    <w:unhideWhenUsed/>
    <w:rsid w:val="00ED19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
    <w:name w:val="Medium Grid 3 - Accent 2"/>
    <w:basedOn w:val="a3"/>
    <w:uiPriority w:val="69"/>
    <w:semiHidden/>
    <w:unhideWhenUsed/>
    <w:rsid w:val="00ED19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
    <w:name w:val="Medium Grid 3 - Accent 3"/>
    <w:basedOn w:val="a3"/>
    <w:uiPriority w:val="69"/>
    <w:semiHidden/>
    <w:unhideWhenUsed/>
    <w:rsid w:val="00ED19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
    <w:name w:val="Medium Grid 3 - Accent 4"/>
    <w:basedOn w:val="a3"/>
    <w:uiPriority w:val="69"/>
    <w:semiHidden/>
    <w:unhideWhenUsed/>
    <w:rsid w:val="00ED19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
    <w:name w:val="Medium Grid 3 - Accent 5"/>
    <w:basedOn w:val="a3"/>
    <w:uiPriority w:val="69"/>
    <w:semiHidden/>
    <w:unhideWhenUsed/>
    <w:rsid w:val="00ED19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
    <w:name w:val="Medium Grid 3 - Accent 6"/>
    <w:basedOn w:val="a3"/>
    <w:uiPriority w:val="69"/>
    <w:semiHidden/>
    <w:unhideWhenUsed/>
    <w:rsid w:val="00ED199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fb">
    <w:name w:val="Table Grid 1"/>
    <w:basedOn w:val="a3"/>
    <w:rsid w:val="00ED1998"/>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3"/>
    <w:rsid w:val="00ED1998"/>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rsid w:val="00ED1998"/>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rsid w:val="00ED1998"/>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rsid w:val="00ED1998"/>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rsid w:val="00ED1998"/>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rsid w:val="00ED1998"/>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rsid w:val="00ED1998"/>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
    <w:name w:val="Table Grid Light"/>
    <w:basedOn w:val="a3"/>
    <w:uiPriority w:val="40"/>
    <w:rsid w:val="00ED19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fc">
    <w:name w:val="רשת צבעונית1"/>
    <w:basedOn w:val="a3"/>
    <w:uiPriority w:val="73"/>
    <w:semiHidden/>
    <w:unhideWhenUsed/>
    <w:rsid w:val="00ED199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
    <w:name w:val="Colorful Grid - Accent 1"/>
    <w:basedOn w:val="a3"/>
    <w:uiPriority w:val="73"/>
    <w:semiHidden/>
    <w:unhideWhenUsed/>
    <w:rsid w:val="00ED199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
    <w:name w:val="Colorful Grid - Accent 2"/>
    <w:basedOn w:val="a3"/>
    <w:uiPriority w:val="73"/>
    <w:semiHidden/>
    <w:unhideWhenUsed/>
    <w:rsid w:val="00ED199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
    <w:name w:val="Colorful Grid - Accent 3"/>
    <w:basedOn w:val="a3"/>
    <w:uiPriority w:val="73"/>
    <w:semiHidden/>
    <w:unhideWhenUsed/>
    <w:rsid w:val="00ED199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
    <w:name w:val="Colorful Grid - Accent 4"/>
    <w:basedOn w:val="a3"/>
    <w:uiPriority w:val="73"/>
    <w:semiHidden/>
    <w:unhideWhenUsed/>
    <w:rsid w:val="00ED199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
    <w:name w:val="Colorful Grid - Accent 5"/>
    <w:basedOn w:val="a3"/>
    <w:uiPriority w:val="73"/>
    <w:semiHidden/>
    <w:unhideWhenUsed/>
    <w:rsid w:val="00ED199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
    <w:name w:val="Colorful Grid - Accent 6"/>
    <w:basedOn w:val="a3"/>
    <w:uiPriority w:val="73"/>
    <w:semiHidden/>
    <w:unhideWhenUsed/>
    <w:rsid w:val="00ED199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affff6">
    <w:name w:val="Date"/>
    <w:basedOn w:val="a1"/>
    <w:next w:val="a1"/>
    <w:link w:val="affff7"/>
    <w:rsid w:val="00ED1998"/>
  </w:style>
  <w:style w:type="character" w:customStyle="1" w:styleId="affff7">
    <w:name w:val="תאריך תו"/>
    <w:link w:val="affff6"/>
    <w:rsid w:val="00ED1998"/>
    <w:rPr>
      <w:rFonts w:cs="David"/>
      <w:noProof w:val="0"/>
      <w:sz w:val="24"/>
      <w:szCs w:val="24"/>
    </w:rPr>
  </w:style>
  <w:style w:type="character" w:customStyle="1" w:styleId="Ruller5">
    <w:name w:val="Ruller5 תו"/>
    <w:link w:val="Ruller50"/>
    <w:semiHidden/>
    <w:locked/>
    <w:rsid w:val="00ED1998"/>
    <w:rPr>
      <w:rFonts w:ascii="Arial TUR" w:hAnsi="Arial TUR" w:cs="FrankRuehl"/>
      <w:spacing w:val="10"/>
      <w:sz w:val="22"/>
      <w:szCs w:val="28"/>
    </w:rPr>
  </w:style>
  <w:style w:type="paragraph" w:customStyle="1" w:styleId="Ruller50">
    <w:name w:val="Ruller5"/>
    <w:basedOn w:val="a1"/>
    <w:link w:val="Ruller5"/>
    <w:semiHidden/>
    <w:rsid w:val="00ED1998"/>
    <w:pPr>
      <w:overflowPunct w:val="0"/>
      <w:autoSpaceDE w:val="0"/>
      <w:autoSpaceDN w:val="0"/>
      <w:adjustRightInd w:val="0"/>
      <w:ind w:left="1644" w:right="1276"/>
      <w:jc w:val="both"/>
    </w:pPr>
    <w:rPr>
      <w:rFonts w:ascii="Arial TUR" w:hAnsi="Arial TUR" w:cs="FrankRuehl"/>
      <w:spacing w:val="10"/>
      <w:sz w:val="22"/>
      <w:szCs w:val="28"/>
    </w:rPr>
  </w:style>
  <w:style w:type="character" w:customStyle="1" w:styleId="Ruller42">
    <w:name w:val="Ruller 4 ממוספר תו"/>
    <w:link w:val="Ruller4"/>
    <w:semiHidden/>
    <w:locked/>
    <w:rsid w:val="00ED1998"/>
    <w:rPr>
      <w:rFonts w:ascii="Garamond" w:hAnsi="Garamond" w:cs="FrankRuehl"/>
      <w:spacing w:val="10"/>
      <w:sz w:val="24"/>
      <w:szCs w:val="28"/>
    </w:rPr>
  </w:style>
  <w:style w:type="paragraph" w:customStyle="1" w:styleId="Ruller4">
    <w:name w:val="Ruller 4 ממוספר"/>
    <w:basedOn w:val="Ruller41"/>
    <w:next w:val="Ruller41"/>
    <w:link w:val="Ruller42"/>
    <w:semiHidden/>
    <w:rsid w:val="00ED1998"/>
    <w:pPr>
      <w:numPr>
        <w:numId w:val="11"/>
      </w:numPr>
    </w:pPr>
    <w:rPr>
      <w:rFonts w:ascii="Garamond" w:hAnsi="Garamond"/>
      <w:sz w:val="24"/>
    </w:rPr>
  </w:style>
  <w:style w:type="character" w:customStyle="1" w:styleId="default">
    <w:name w:val="default"/>
    <w:rsid w:val="00ED1998"/>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vo.co.il/safrut/bookgroup/21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6104</Words>
  <Characters>30525</Characters>
  <Application>Microsoft Office Word</Application>
  <DocSecurity>0</DocSecurity>
  <Lines>254</Lines>
  <Paragraphs>73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2025-12-11T08:38:00Z</dcterms:created>
  <dcterms:modified xsi:type="dcterms:W3CDTF">2025-12-11T08:38:00Z</dcterms:modified>
</cp:coreProperties>
</file>