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307"/>
      </w:tblGrid>
      <w:tr w:rsidR="00E74BAD" w14:paraId="62967C1B" w14:textId="77777777" w:rsidTr="00C162DA">
        <w:trPr>
          <w:trHeight w:hRule="exact" w:val="568"/>
          <w:jc w:val="center"/>
        </w:trPr>
        <w:tc>
          <w:tcPr>
            <w:tcW w:w="8307" w:type="dxa"/>
          </w:tcPr>
          <w:p w14:paraId="13A957B5" w14:textId="77777777" w:rsidR="00AA1934" w:rsidRPr="00F35BCC" w:rsidRDefault="00000000" w:rsidP="00C162DA">
            <w:pPr>
              <w:pStyle w:val="a3"/>
              <w:jc w:val="center"/>
              <w:rPr>
                <w:rFonts w:ascii="Tahoma" w:hAnsi="Tahoma" w:cs="Tahoma"/>
                <w:noProof w:val="0"/>
                <w:color w:val="000080"/>
                <w:rtl/>
              </w:rPr>
            </w:pPr>
            <w:bookmarkStart w:id="0" w:name="LastJudge"/>
            <w:r w:rsidRPr="00F35BCC">
              <w:rPr>
                <w:rFonts w:ascii="Tahoma" w:hAnsi="Tahoma" w:cs="Tahoma"/>
                <w:b/>
                <w:bCs/>
                <w:color w:val="000080"/>
                <w:rtl/>
              </w:rPr>
              <w:t>בית המשפט המחוזי בתל אביב -יפו</w:t>
            </w:r>
          </w:p>
        </w:tc>
      </w:tr>
      <w:tr w:rsidR="00E74BAD" w14:paraId="098695DC" w14:textId="77777777" w:rsidTr="00C162DA">
        <w:trPr>
          <w:trHeight w:val="337"/>
          <w:jc w:val="center"/>
        </w:trPr>
        <w:tc>
          <w:tcPr>
            <w:tcW w:w="8307" w:type="dxa"/>
          </w:tcPr>
          <w:p w14:paraId="4223F129" w14:textId="77777777" w:rsidR="00AA1934" w:rsidRPr="00F35BCC" w:rsidRDefault="00000000" w:rsidP="00F35BCC">
            <w:pPr>
              <w:spacing w:before="120" w:after="120" w:line="240" w:lineRule="exact"/>
              <w:rPr>
                <w:b/>
                <w:bCs/>
                <w:noProof w:val="0"/>
                <w:sz w:val="26"/>
                <w:szCs w:val="26"/>
                <w:rtl/>
              </w:rPr>
            </w:pPr>
            <w:r w:rsidRPr="00F35BCC">
              <w:rPr>
                <w:b/>
                <w:bCs/>
                <w:noProof w:val="0"/>
                <w:sz w:val="26"/>
                <w:szCs w:val="26"/>
                <w:rtl/>
              </w:rPr>
              <w:t>ת"א 58291-01-25 ראובן ואח' נ' א.ינוס יזמות ובניה בע"מ</w:t>
            </w:r>
          </w:p>
          <w:p w14:paraId="77E78FDA" w14:textId="77777777" w:rsidR="00AA1934" w:rsidRPr="00F35BCC" w:rsidRDefault="00000000" w:rsidP="00F35BCC">
            <w:pPr>
              <w:spacing w:before="120" w:after="120" w:line="240" w:lineRule="exact"/>
              <w:rPr>
                <w:b/>
                <w:bCs/>
                <w:noProof w:val="0"/>
                <w:sz w:val="26"/>
                <w:szCs w:val="26"/>
                <w:rtl/>
              </w:rPr>
            </w:pPr>
            <w:r w:rsidRPr="00F35BCC">
              <w:rPr>
                <w:rFonts w:hint="cs"/>
                <w:b/>
                <w:bCs/>
                <w:sz w:val="26"/>
                <w:szCs w:val="26"/>
                <w:rtl/>
              </w:rPr>
              <w:t xml:space="preserve">                                                                  </w:t>
            </w:r>
            <w:r w:rsidRPr="00F35BCC">
              <w:rPr>
                <w:b/>
                <w:bCs/>
                <w:sz w:val="26"/>
                <w:szCs w:val="26"/>
                <w:rtl/>
              </w:rPr>
              <w:t xml:space="preserve">  </w:t>
            </w:r>
          </w:p>
        </w:tc>
      </w:tr>
    </w:tbl>
    <w:p w14:paraId="0B2FCF8C" w14:textId="77777777" w:rsidR="00AA1934" w:rsidRPr="00F35BCC" w:rsidRDefault="00AA1934" w:rsidP="00F35BCC">
      <w:pPr>
        <w:suppressLineNumbers/>
        <w:spacing w:before="120" w:after="120" w:line="240" w:lineRule="exact"/>
        <w:rPr>
          <w:b/>
          <w:bCs/>
          <w:sz w:val="26"/>
          <w:szCs w:val="26"/>
          <w:rtl/>
        </w:rPr>
      </w:pPr>
    </w:p>
    <w:tbl>
      <w:tblPr>
        <w:bidiVisual/>
        <w:tblW w:w="8820" w:type="dxa"/>
        <w:jc w:val="center"/>
        <w:tblLook w:val="01E0" w:firstRow="1" w:lastRow="1" w:firstColumn="1" w:lastColumn="1" w:noHBand="0" w:noVBand="0"/>
      </w:tblPr>
      <w:tblGrid>
        <w:gridCol w:w="743"/>
        <w:gridCol w:w="2506"/>
        <w:gridCol w:w="5571"/>
      </w:tblGrid>
      <w:tr w:rsidR="00E74BAD" w14:paraId="3063121C" w14:textId="77777777" w:rsidTr="00AA1934">
        <w:trPr>
          <w:jc w:val="center"/>
        </w:trPr>
        <w:tc>
          <w:tcPr>
            <w:tcW w:w="743" w:type="dxa"/>
          </w:tcPr>
          <w:p w14:paraId="4439F14B" w14:textId="77777777" w:rsidR="00AA1934" w:rsidRPr="00F35BCC" w:rsidRDefault="00000000" w:rsidP="00F35BCC">
            <w:pPr>
              <w:suppressLineNumbers/>
              <w:spacing w:before="120" w:after="120" w:line="240" w:lineRule="exact"/>
              <w:jc w:val="both"/>
              <w:rPr>
                <w:rFonts w:ascii="Arial" w:hAnsi="Arial"/>
                <w:b/>
                <w:bCs/>
                <w:sz w:val="26"/>
                <w:szCs w:val="26"/>
                <w:rtl/>
              </w:rPr>
            </w:pPr>
            <w:r w:rsidRPr="00F35BCC">
              <w:rPr>
                <w:rFonts w:ascii="Arial" w:hAnsi="Arial" w:hint="cs"/>
                <w:b/>
                <w:bCs/>
                <w:sz w:val="26"/>
                <w:szCs w:val="26"/>
                <w:rtl/>
              </w:rPr>
              <w:t>ל</w:t>
            </w:r>
            <w:r w:rsidRPr="00F35BCC">
              <w:rPr>
                <w:rFonts w:ascii="Arial" w:hAnsi="Arial"/>
                <w:b/>
                <w:bCs/>
                <w:sz w:val="26"/>
                <w:szCs w:val="26"/>
                <w:rtl/>
              </w:rPr>
              <w:t xml:space="preserve">פני </w:t>
            </w:r>
          </w:p>
        </w:tc>
        <w:tc>
          <w:tcPr>
            <w:tcW w:w="8077" w:type="dxa"/>
            <w:gridSpan w:val="2"/>
          </w:tcPr>
          <w:p w14:paraId="7DEAB65D" w14:textId="77777777" w:rsidR="00AA1934" w:rsidRPr="00F35BCC" w:rsidRDefault="00000000" w:rsidP="00F35BCC">
            <w:pPr>
              <w:suppressLineNumbers/>
              <w:spacing w:before="120" w:after="120" w:line="240" w:lineRule="exact"/>
              <w:rPr>
                <w:rFonts w:ascii="Arial" w:hAnsi="Arial"/>
                <w:b/>
                <w:bCs/>
                <w:sz w:val="26"/>
                <w:szCs w:val="26"/>
              </w:rPr>
            </w:pPr>
            <w:r w:rsidRPr="00F35BCC">
              <w:rPr>
                <w:rFonts w:ascii="Arial" w:hAnsi="Arial" w:hint="cs"/>
                <w:b/>
                <w:bCs/>
                <w:sz w:val="26"/>
                <w:szCs w:val="26"/>
                <w:rtl/>
              </w:rPr>
              <w:t>כבוד ה</w:t>
            </w:r>
            <w:r w:rsidRPr="00F35BCC">
              <w:rPr>
                <w:rFonts w:ascii="Arial" w:hAnsi="Arial"/>
                <w:b/>
                <w:bCs/>
                <w:sz w:val="26"/>
                <w:szCs w:val="26"/>
                <w:rtl/>
              </w:rPr>
              <w:t>שופט</w:t>
            </w:r>
            <w:r w:rsidRPr="00F35BCC">
              <w:rPr>
                <w:rFonts w:ascii="Arial" w:hAnsi="Arial" w:hint="cs"/>
                <w:b/>
                <w:bCs/>
                <w:sz w:val="26"/>
                <w:szCs w:val="26"/>
                <w:rtl/>
              </w:rPr>
              <w:t xml:space="preserve"> </w:t>
            </w:r>
            <w:bookmarkStart w:id="1" w:name="_Hlk216343995"/>
            <w:r w:rsidRPr="00F35BCC">
              <w:rPr>
                <w:rFonts w:ascii="Arial" w:hAnsi="Arial"/>
                <w:b/>
                <w:bCs/>
                <w:sz w:val="26"/>
                <w:szCs w:val="26"/>
                <w:rtl/>
              </w:rPr>
              <w:t>נפתלי שילה</w:t>
            </w:r>
            <w:bookmarkEnd w:id="1"/>
            <w:r w:rsidRPr="00F35BCC">
              <w:rPr>
                <w:b/>
                <w:bCs/>
                <w:sz w:val="26"/>
                <w:szCs w:val="26"/>
                <w:rtl/>
              </w:rPr>
              <w:br/>
            </w:r>
          </w:p>
        </w:tc>
      </w:tr>
      <w:tr w:rsidR="00E74BAD" w14:paraId="4185C2D2" w14:textId="77777777" w:rsidTr="00AA1934">
        <w:trPr>
          <w:jc w:val="center"/>
        </w:trPr>
        <w:tc>
          <w:tcPr>
            <w:tcW w:w="3249" w:type="dxa"/>
            <w:gridSpan w:val="2"/>
          </w:tcPr>
          <w:p w14:paraId="63BA8D9E" w14:textId="77777777" w:rsidR="00AA1934" w:rsidRPr="00F35BCC" w:rsidRDefault="00000000" w:rsidP="00F35BCC">
            <w:pPr>
              <w:suppressLineNumbers/>
              <w:spacing w:before="120" w:after="120" w:line="240" w:lineRule="exact"/>
              <w:rPr>
                <w:rFonts w:ascii="Arial" w:hAnsi="Arial"/>
                <w:b/>
                <w:bCs/>
                <w:noProof w:val="0"/>
                <w:sz w:val="26"/>
                <w:szCs w:val="26"/>
                <w:rtl/>
              </w:rPr>
            </w:pPr>
            <w:bookmarkStart w:id="2" w:name="FirstAppellant"/>
            <w:bookmarkStart w:id="3" w:name="FirstLawyer"/>
            <w:r w:rsidRPr="00F35BCC">
              <w:rPr>
                <w:rFonts w:ascii="Arial" w:hAnsi="Arial" w:hint="cs"/>
                <w:b/>
                <w:bCs/>
                <w:noProof w:val="0"/>
                <w:sz w:val="26"/>
                <w:szCs w:val="26"/>
                <w:rtl/>
              </w:rPr>
              <w:t>ה</w:t>
            </w:r>
            <w:r w:rsidRPr="00F35BCC">
              <w:rPr>
                <w:rFonts w:ascii="Arial" w:hAnsi="Arial"/>
                <w:b/>
                <w:bCs/>
                <w:noProof w:val="0"/>
                <w:sz w:val="26"/>
                <w:szCs w:val="26"/>
                <w:rtl/>
              </w:rPr>
              <w:t>תובעים</w:t>
            </w:r>
          </w:p>
        </w:tc>
        <w:tc>
          <w:tcPr>
            <w:tcW w:w="5571" w:type="dxa"/>
          </w:tcPr>
          <w:p w14:paraId="06D7D140" w14:textId="77777777" w:rsidR="00AA1934" w:rsidRPr="00F35BCC" w:rsidRDefault="00000000" w:rsidP="00F35BCC">
            <w:pPr>
              <w:suppressLineNumbers/>
              <w:spacing w:before="120" w:after="120" w:line="240" w:lineRule="exact"/>
              <w:rPr>
                <w:b/>
                <w:bCs/>
                <w:sz w:val="26"/>
                <w:szCs w:val="26"/>
                <w:rtl/>
              </w:rPr>
            </w:pPr>
            <w:r w:rsidRPr="00F35BCC">
              <w:rPr>
                <w:rFonts w:ascii="Arial" w:hAnsi="Arial"/>
                <w:b/>
                <w:bCs/>
                <w:noProof w:val="0"/>
                <w:sz w:val="26"/>
                <w:szCs w:val="26"/>
                <w:rtl/>
              </w:rPr>
              <w:t>1</w:t>
            </w:r>
            <w:r w:rsidRPr="00F35BCC">
              <w:rPr>
                <w:b/>
                <w:bCs/>
                <w:noProof w:val="0"/>
                <w:sz w:val="26"/>
                <w:szCs w:val="26"/>
                <w:rtl/>
              </w:rPr>
              <w:t>.</w:t>
            </w:r>
            <w:r w:rsidRPr="00F35BCC">
              <w:rPr>
                <w:rFonts w:hint="cs"/>
                <w:b/>
                <w:bCs/>
                <w:noProof w:val="0"/>
                <w:sz w:val="26"/>
                <w:szCs w:val="26"/>
                <w:rtl/>
              </w:rPr>
              <w:t xml:space="preserve"> </w:t>
            </w:r>
            <w:r w:rsidRPr="00F35BCC">
              <w:rPr>
                <w:rFonts w:ascii="Arial" w:hAnsi="Arial"/>
                <w:b/>
                <w:bCs/>
                <w:noProof w:val="0"/>
                <w:sz w:val="26"/>
                <w:szCs w:val="26"/>
                <w:rtl/>
              </w:rPr>
              <w:t>זיו ראובן</w:t>
            </w:r>
          </w:p>
          <w:p w14:paraId="2083387A" w14:textId="77777777" w:rsidR="00AA1934" w:rsidRPr="00F35BCC" w:rsidRDefault="00000000" w:rsidP="00F35BCC">
            <w:pPr>
              <w:suppressLineNumbers/>
              <w:spacing w:before="120" w:after="120" w:line="240" w:lineRule="exact"/>
              <w:rPr>
                <w:b/>
                <w:bCs/>
                <w:sz w:val="26"/>
                <w:szCs w:val="26"/>
                <w:rtl/>
              </w:rPr>
            </w:pPr>
            <w:r w:rsidRPr="00F35BCC">
              <w:rPr>
                <w:rFonts w:ascii="Arial" w:hAnsi="Arial"/>
                <w:b/>
                <w:bCs/>
                <w:noProof w:val="0"/>
                <w:sz w:val="26"/>
                <w:szCs w:val="26"/>
                <w:rtl/>
              </w:rPr>
              <w:t>2</w:t>
            </w:r>
            <w:r w:rsidRPr="00F35BCC">
              <w:rPr>
                <w:b/>
                <w:bCs/>
                <w:noProof w:val="0"/>
                <w:sz w:val="26"/>
                <w:szCs w:val="26"/>
                <w:rtl/>
              </w:rPr>
              <w:t>.</w:t>
            </w:r>
            <w:r w:rsidRPr="00F35BCC">
              <w:rPr>
                <w:rFonts w:hint="cs"/>
                <w:b/>
                <w:bCs/>
                <w:noProof w:val="0"/>
                <w:sz w:val="26"/>
                <w:szCs w:val="26"/>
                <w:rtl/>
              </w:rPr>
              <w:t xml:space="preserve"> </w:t>
            </w:r>
            <w:r w:rsidRPr="00F35BCC">
              <w:rPr>
                <w:rFonts w:ascii="Arial" w:hAnsi="Arial"/>
                <w:b/>
                <w:bCs/>
                <w:noProof w:val="0"/>
                <w:sz w:val="26"/>
                <w:szCs w:val="26"/>
                <w:rtl/>
              </w:rPr>
              <w:t>עדי ראובן</w:t>
            </w:r>
          </w:p>
          <w:p w14:paraId="651A6AF2" w14:textId="77777777" w:rsidR="00AA1934" w:rsidRPr="00F35BCC" w:rsidRDefault="00000000" w:rsidP="00F35BCC">
            <w:pPr>
              <w:suppressLineNumbers/>
              <w:spacing w:before="120" w:after="120" w:line="240" w:lineRule="exact"/>
              <w:rPr>
                <w:b/>
                <w:bCs/>
                <w:noProof w:val="0"/>
                <w:sz w:val="26"/>
                <w:szCs w:val="26"/>
              </w:rPr>
            </w:pPr>
            <w:r w:rsidRPr="00F35BCC">
              <w:rPr>
                <w:rFonts w:hint="cs"/>
                <w:b/>
                <w:bCs/>
                <w:sz w:val="26"/>
                <w:szCs w:val="26"/>
                <w:rtl/>
              </w:rPr>
              <w:t>ע"י ב"כ עו"ד יואל שמלה</w:t>
            </w:r>
          </w:p>
        </w:tc>
      </w:tr>
      <w:bookmarkEnd w:id="2"/>
      <w:bookmarkEnd w:id="3"/>
      <w:tr w:rsidR="00E74BAD" w14:paraId="7D690D3C" w14:textId="77777777" w:rsidTr="00AA1934">
        <w:trPr>
          <w:jc w:val="center"/>
        </w:trPr>
        <w:tc>
          <w:tcPr>
            <w:tcW w:w="8820" w:type="dxa"/>
            <w:gridSpan w:val="3"/>
          </w:tcPr>
          <w:p w14:paraId="438FC443" w14:textId="77777777" w:rsidR="00AA1934" w:rsidRPr="00F35BCC" w:rsidRDefault="00000000" w:rsidP="00F35BCC">
            <w:pPr>
              <w:suppressLineNumbers/>
              <w:spacing w:before="120" w:after="120" w:line="240" w:lineRule="exact"/>
              <w:jc w:val="center"/>
              <w:rPr>
                <w:rFonts w:ascii="Arial" w:hAnsi="Arial"/>
                <w:b/>
                <w:bCs/>
                <w:noProof w:val="0"/>
                <w:sz w:val="26"/>
                <w:szCs w:val="26"/>
              </w:rPr>
            </w:pPr>
            <w:r w:rsidRPr="00F35BCC">
              <w:rPr>
                <w:rFonts w:ascii="Arial" w:hAnsi="Arial"/>
                <w:b/>
                <w:bCs/>
                <w:noProof w:val="0"/>
                <w:sz w:val="26"/>
                <w:szCs w:val="26"/>
                <w:rtl/>
              </w:rPr>
              <w:t>נגד</w:t>
            </w:r>
          </w:p>
        </w:tc>
      </w:tr>
      <w:tr w:rsidR="00E74BAD" w14:paraId="70E0BA87" w14:textId="77777777" w:rsidTr="00AA1934">
        <w:trPr>
          <w:jc w:val="center"/>
        </w:trPr>
        <w:tc>
          <w:tcPr>
            <w:tcW w:w="3249" w:type="dxa"/>
            <w:gridSpan w:val="2"/>
          </w:tcPr>
          <w:p w14:paraId="422DC144" w14:textId="77777777" w:rsidR="00AA1934" w:rsidRPr="00F35BCC" w:rsidRDefault="00000000" w:rsidP="00F35BCC">
            <w:pPr>
              <w:suppressLineNumbers/>
              <w:spacing w:before="120" w:after="120" w:line="240" w:lineRule="exact"/>
              <w:rPr>
                <w:rFonts w:ascii="Arial" w:hAnsi="Arial"/>
                <w:b/>
                <w:bCs/>
                <w:noProof w:val="0"/>
                <w:sz w:val="26"/>
                <w:szCs w:val="26"/>
              </w:rPr>
            </w:pPr>
            <w:r w:rsidRPr="00F35BCC">
              <w:rPr>
                <w:rFonts w:ascii="Arial" w:hAnsi="Arial" w:hint="cs"/>
                <w:b/>
                <w:bCs/>
                <w:noProof w:val="0"/>
                <w:sz w:val="26"/>
                <w:szCs w:val="26"/>
                <w:rtl/>
              </w:rPr>
              <w:t>ה</w:t>
            </w:r>
            <w:r w:rsidRPr="00F35BCC">
              <w:rPr>
                <w:rFonts w:ascii="Arial" w:hAnsi="Arial"/>
                <w:b/>
                <w:bCs/>
                <w:noProof w:val="0"/>
                <w:sz w:val="26"/>
                <w:szCs w:val="26"/>
                <w:rtl/>
              </w:rPr>
              <w:t>נתבע</w:t>
            </w:r>
            <w:r w:rsidRPr="00F35BCC">
              <w:rPr>
                <w:rFonts w:ascii="Arial" w:hAnsi="Arial" w:hint="cs"/>
                <w:b/>
                <w:bCs/>
                <w:noProof w:val="0"/>
                <w:sz w:val="26"/>
                <w:szCs w:val="26"/>
                <w:rtl/>
              </w:rPr>
              <w:t>ת</w:t>
            </w:r>
          </w:p>
        </w:tc>
        <w:tc>
          <w:tcPr>
            <w:tcW w:w="5571" w:type="dxa"/>
          </w:tcPr>
          <w:p w14:paraId="705C1AF4" w14:textId="77777777" w:rsidR="00AA1934" w:rsidRPr="00F35BCC" w:rsidRDefault="00000000" w:rsidP="00F35BCC">
            <w:pPr>
              <w:suppressLineNumbers/>
              <w:spacing w:before="120" w:after="120" w:line="240" w:lineRule="exact"/>
              <w:rPr>
                <w:b/>
                <w:bCs/>
                <w:sz w:val="26"/>
                <w:szCs w:val="26"/>
                <w:rtl/>
              </w:rPr>
            </w:pPr>
            <w:r w:rsidRPr="00F35BCC">
              <w:rPr>
                <w:rFonts w:ascii="Arial" w:hAnsi="Arial"/>
                <w:b/>
                <w:bCs/>
                <w:noProof w:val="0"/>
                <w:sz w:val="26"/>
                <w:szCs w:val="26"/>
                <w:rtl/>
              </w:rPr>
              <w:t>א.ינוס יזמות ובניה בע"מ</w:t>
            </w:r>
          </w:p>
          <w:p w14:paraId="1882E6E6" w14:textId="77777777" w:rsidR="00AA1934" w:rsidRPr="00F35BCC" w:rsidRDefault="00000000" w:rsidP="00F35BCC">
            <w:pPr>
              <w:suppressLineNumbers/>
              <w:spacing w:before="120" w:after="120" w:line="240" w:lineRule="exact"/>
              <w:rPr>
                <w:b/>
                <w:bCs/>
                <w:noProof w:val="0"/>
                <w:sz w:val="26"/>
                <w:szCs w:val="26"/>
                <w:rtl/>
              </w:rPr>
            </w:pPr>
            <w:r w:rsidRPr="00F35BCC">
              <w:rPr>
                <w:rFonts w:hint="cs"/>
                <w:b/>
                <w:bCs/>
                <w:sz w:val="26"/>
                <w:szCs w:val="26"/>
                <w:rtl/>
              </w:rPr>
              <w:t>ע"י ב"כ עו"ד</w:t>
            </w:r>
            <w:r w:rsidRPr="00F35BCC">
              <w:rPr>
                <w:rFonts w:hint="cs"/>
                <w:b/>
                <w:bCs/>
                <w:noProof w:val="0"/>
                <w:sz w:val="26"/>
                <w:szCs w:val="26"/>
                <w:rtl/>
              </w:rPr>
              <w:t xml:space="preserve"> רותם שור</w:t>
            </w:r>
          </w:p>
        </w:tc>
      </w:tr>
    </w:tbl>
    <w:p w14:paraId="7860B6FD" w14:textId="77777777" w:rsidR="00D967A5" w:rsidRPr="00D967A5" w:rsidRDefault="00D967A5" w:rsidP="00AA1934">
      <w:pPr>
        <w:suppressLineNumbers/>
        <w:rPr>
          <w:rtl/>
        </w:rPr>
      </w:pPr>
    </w:p>
    <w:p w14:paraId="063223A6" w14:textId="77777777" w:rsidR="00F35BCC" w:rsidRPr="00F35BCC" w:rsidRDefault="00F35BCC" w:rsidP="00F35BCC">
      <w:pPr>
        <w:suppressLineNumbers/>
        <w:spacing w:after="120" w:line="240" w:lineRule="exact"/>
        <w:ind w:left="283" w:hanging="283"/>
        <w:jc w:val="both"/>
        <w:rPr>
          <w:rtl/>
        </w:rPr>
      </w:pPr>
      <w:bookmarkStart w:id="4" w:name="Links_Start"/>
      <w:bookmarkStart w:id="5" w:name="ABSTRACT_END"/>
      <w:bookmarkEnd w:id="4"/>
      <w:bookmarkEnd w:id="5"/>
    </w:p>
    <w:tbl>
      <w:tblPr>
        <w:bidiVisual/>
        <w:tblW w:w="8820" w:type="dxa"/>
        <w:jc w:val="center"/>
        <w:tblLook w:val="01E0" w:firstRow="1" w:lastRow="1" w:firstColumn="1" w:lastColumn="1" w:noHBand="0" w:noVBand="0"/>
      </w:tblPr>
      <w:tblGrid>
        <w:gridCol w:w="8820"/>
      </w:tblGrid>
      <w:tr w:rsidR="00E74BAD" w14:paraId="4DB36AC3" w14:textId="77777777" w:rsidTr="00AA1934">
        <w:trPr>
          <w:jc w:val="center"/>
        </w:trPr>
        <w:tc>
          <w:tcPr>
            <w:tcW w:w="8820" w:type="dxa"/>
          </w:tcPr>
          <w:p w14:paraId="4C8E44B6" w14:textId="77777777" w:rsidR="00D967A5" w:rsidRPr="00D967A5" w:rsidRDefault="00000000" w:rsidP="00D967A5">
            <w:pPr>
              <w:suppressLineNumbers/>
              <w:bidi w:val="0"/>
              <w:jc w:val="center"/>
              <w:rPr>
                <w:rFonts w:ascii="Arial" w:hAnsi="Arial"/>
                <w:b/>
                <w:bCs/>
                <w:noProof w:val="0"/>
                <w:sz w:val="28"/>
                <w:szCs w:val="28"/>
                <w:u w:val="single"/>
              </w:rPr>
            </w:pPr>
            <w:bookmarkStart w:id="6" w:name="PsakDin" w:colFirst="0" w:colLast="0"/>
            <w:bookmarkEnd w:id="0"/>
            <w:r w:rsidRPr="00D967A5">
              <w:rPr>
                <w:rFonts w:ascii="Arial" w:hAnsi="Arial"/>
                <w:b/>
                <w:bCs/>
                <w:noProof w:val="0"/>
                <w:sz w:val="28"/>
                <w:szCs w:val="28"/>
                <w:u w:val="single"/>
                <w:rtl/>
              </w:rPr>
              <w:t>החלטה</w:t>
            </w:r>
          </w:p>
          <w:p w14:paraId="08EED6CF" w14:textId="77777777" w:rsidR="00AA1934" w:rsidRPr="00D967A5" w:rsidRDefault="00AA1934" w:rsidP="00D967A5">
            <w:pPr>
              <w:suppressLineNumbers/>
              <w:bidi w:val="0"/>
              <w:jc w:val="center"/>
              <w:rPr>
                <w:rFonts w:ascii="Arial" w:hAnsi="Arial"/>
                <w:b/>
                <w:bCs/>
                <w:noProof w:val="0"/>
                <w:sz w:val="28"/>
                <w:szCs w:val="28"/>
                <w:u w:val="single"/>
              </w:rPr>
            </w:pPr>
          </w:p>
        </w:tc>
      </w:tr>
      <w:bookmarkEnd w:id="6"/>
    </w:tbl>
    <w:p w14:paraId="77139114" w14:textId="77777777" w:rsidR="00AA1934" w:rsidRPr="00953619" w:rsidRDefault="00AA1934" w:rsidP="00AA1934">
      <w:pPr>
        <w:suppressLineNumbers/>
        <w:spacing w:line="360" w:lineRule="auto"/>
        <w:jc w:val="both"/>
        <w:rPr>
          <w:rFonts w:ascii="Arial" w:hAnsi="Arial"/>
          <w:noProof w:val="0"/>
          <w:rtl/>
        </w:rPr>
      </w:pPr>
    </w:p>
    <w:p w14:paraId="44B1AF17" w14:textId="77777777" w:rsidR="00AA1934" w:rsidRPr="00382695" w:rsidRDefault="00000000" w:rsidP="00AA1934">
      <w:pPr>
        <w:spacing w:line="360" w:lineRule="auto"/>
        <w:jc w:val="both"/>
        <w:rPr>
          <w:rFonts w:ascii="Arial" w:hAnsi="Arial"/>
          <w:b/>
          <w:bCs/>
          <w:noProof w:val="0"/>
          <w:rtl/>
        </w:rPr>
      </w:pPr>
      <w:bookmarkStart w:id="7" w:name="NGCSBookmark"/>
      <w:bookmarkEnd w:id="7"/>
      <w:r w:rsidRPr="00382695">
        <w:rPr>
          <w:rFonts w:ascii="Arial" w:hAnsi="Arial" w:hint="cs"/>
          <w:b/>
          <w:bCs/>
          <w:noProof w:val="0"/>
          <w:rtl/>
        </w:rPr>
        <w:t xml:space="preserve">כיצד תחושב השבת תמורת מכר דירה בגין עסקה שבוטלה מחמת הפרת ההסכם על ידי הנתבעת? </w:t>
      </w:r>
    </w:p>
    <w:p w14:paraId="6F96E4E3" w14:textId="77777777" w:rsidR="00AA1934" w:rsidRPr="00953619" w:rsidRDefault="00AA1934" w:rsidP="00AA1934">
      <w:pPr>
        <w:spacing w:line="360" w:lineRule="auto"/>
        <w:jc w:val="both"/>
        <w:rPr>
          <w:rFonts w:ascii="Arial" w:hAnsi="Arial"/>
          <w:noProof w:val="0"/>
          <w:rtl/>
        </w:rPr>
      </w:pPr>
    </w:p>
    <w:p w14:paraId="0AD7C903" w14:textId="77777777" w:rsidR="00AA1934" w:rsidRPr="00953619" w:rsidRDefault="00000000" w:rsidP="00AA1934">
      <w:pPr>
        <w:pStyle w:val="1"/>
        <w:numPr>
          <w:ilvl w:val="0"/>
          <w:numId w:val="1"/>
        </w:numPr>
        <w:spacing w:line="360" w:lineRule="auto"/>
        <w:jc w:val="both"/>
        <w:rPr>
          <w:rFonts w:ascii="Arial" w:hAnsi="Arial"/>
          <w:b/>
          <w:bCs/>
          <w:noProof w:val="0"/>
        </w:rPr>
      </w:pPr>
      <w:r w:rsidRPr="00953619">
        <w:rPr>
          <w:rFonts w:ascii="Arial" w:hAnsi="Arial" w:hint="cs"/>
          <w:b/>
          <w:bCs/>
          <w:noProof w:val="0"/>
          <w:rtl/>
        </w:rPr>
        <w:t>רקע עובדתי</w:t>
      </w:r>
      <w:r>
        <w:rPr>
          <w:rFonts w:ascii="Arial" w:hAnsi="Arial" w:hint="cs"/>
          <w:b/>
          <w:bCs/>
          <w:noProof w:val="0"/>
          <w:rtl/>
        </w:rPr>
        <w:t xml:space="preserve"> </w:t>
      </w:r>
    </w:p>
    <w:p w14:paraId="134724FA" w14:textId="77777777" w:rsidR="00AA1934" w:rsidRPr="00953619" w:rsidRDefault="00AA1934" w:rsidP="00AA1934">
      <w:pPr>
        <w:spacing w:line="360" w:lineRule="auto"/>
        <w:jc w:val="both"/>
        <w:rPr>
          <w:rFonts w:ascii="Arial" w:hAnsi="Arial"/>
          <w:noProof w:val="0"/>
        </w:rPr>
      </w:pPr>
    </w:p>
    <w:p w14:paraId="2B6236BB" w14:textId="77777777" w:rsidR="00AA1934" w:rsidRPr="00953619" w:rsidRDefault="00000000" w:rsidP="00AA1934">
      <w:pPr>
        <w:pStyle w:val="1"/>
        <w:numPr>
          <w:ilvl w:val="0"/>
          <w:numId w:val="2"/>
        </w:numPr>
        <w:spacing w:line="360" w:lineRule="auto"/>
        <w:jc w:val="both"/>
        <w:rPr>
          <w:rFonts w:ascii="Arial" w:hAnsi="Arial"/>
          <w:noProof w:val="0"/>
        </w:rPr>
      </w:pPr>
      <w:r w:rsidRPr="00953619">
        <w:rPr>
          <w:rFonts w:ascii="Arial" w:hAnsi="Arial" w:hint="cs"/>
          <w:noProof w:val="0"/>
          <w:rtl/>
        </w:rPr>
        <w:t xml:space="preserve">התובעים רכשו מהנתבעת, שהיא חברה העוסקת בייזום ובניית בניינים, דירה בת ארבעה חדרים בחולון, </w:t>
      </w:r>
      <w:r>
        <w:rPr>
          <w:rFonts w:ascii="Arial" w:hAnsi="Arial" w:hint="cs"/>
          <w:noProof w:val="0"/>
          <w:rtl/>
        </w:rPr>
        <w:t xml:space="preserve">תמורת סכום ע"ס </w:t>
      </w:r>
      <w:r w:rsidRPr="00953619">
        <w:rPr>
          <w:rFonts w:ascii="Arial" w:hAnsi="Arial" w:hint="cs"/>
          <w:noProof w:val="0"/>
          <w:rtl/>
        </w:rPr>
        <w:t xml:space="preserve">2,140,000 ₪, בהתאם להסכם מכר מיום 5.2.20 (להלן: </w:t>
      </w:r>
      <w:r w:rsidRPr="00953619">
        <w:rPr>
          <w:rFonts w:ascii="Arial" w:hAnsi="Arial" w:hint="cs"/>
          <w:b/>
          <w:bCs/>
          <w:noProof w:val="0"/>
          <w:rtl/>
        </w:rPr>
        <w:t>ההסכם</w:t>
      </w:r>
      <w:r w:rsidRPr="00953619">
        <w:rPr>
          <w:rFonts w:ascii="Arial" w:hAnsi="Arial" w:hint="cs"/>
          <w:noProof w:val="0"/>
          <w:rtl/>
        </w:rPr>
        <w:t>). על פי ההסכם, הוצמדה לדירה חניית מכפיל. אולם, לאחר שהתובעים קיבלו את החזקה בדירה, התברר להם שהחנייה שנמכרה להם</w:t>
      </w:r>
      <w:r>
        <w:rPr>
          <w:rFonts w:ascii="Arial" w:hAnsi="Arial" w:hint="cs"/>
          <w:noProof w:val="0"/>
          <w:rtl/>
        </w:rPr>
        <w:t>,</w:t>
      </w:r>
      <w:r w:rsidRPr="00953619">
        <w:rPr>
          <w:rFonts w:ascii="Arial" w:hAnsi="Arial" w:hint="cs"/>
          <w:noProof w:val="0"/>
          <w:rtl/>
        </w:rPr>
        <w:t xml:space="preserve"> לא עומדת בתקנים הנדרשים ולא ניתן לעשות בה שימוש סביר.</w:t>
      </w:r>
    </w:p>
    <w:p w14:paraId="71DA6857" w14:textId="77777777" w:rsidR="00AA1934" w:rsidRPr="00953619" w:rsidRDefault="00AA1934" w:rsidP="00AA1934">
      <w:pPr>
        <w:spacing w:line="360" w:lineRule="auto"/>
        <w:jc w:val="both"/>
        <w:rPr>
          <w:rFonts w:ascii="Arial" w:hAnsi="Arial"/>
          <w:noProof w:val="0"/>
          <w:rtl/>
        </w:rPr>
      </w:pPr>
    </w:p>
    <w:p w14:paraId="62E1CB96" w14:textId="5D2B96F6" w:rsidR="00AA1934" w:rsidRPr="00953619" w:rsidRDefault="00000000" w:rsidP="00AA1934">
      <w:pPr>
        <w:pStyle w:val="1"/>
        <w:numPr>
          <w:ilvl w:val="0"/>
          <w:numId w:val="2"/>
        </w:numPr>
        <w:spacing w:line="360" w:lineRule="auto"/>
        <w:jc w:val="both"/>
        <w:rPr>
          <w:rFonts w:ascii="Arial" w:hAnsi="Arial"/>
          <w:noProof w:val="0"/>
        </w:rPr>
      </w:pPr>
      <w:r w:rsidRPr="00953619">
        <w:rPr>
          <w:rFonts w:ascii="Arial" w:hAnsi="Arial" w:hint="cs"/>
          <w:noProof w:val="0"/>
          <w:rtl/>
        </w:rPr>
        <w:t xml:space="preserve">עקב אי ההתאמה החמורה ולאחר שניסיונות מצד הנתבעת לתקן את הליקויים בחנייה </w:t>
      </w:r>
      <w:r w:rsidRPr="009D5CCE">
        <w:rPr>
          <w:rFonts w:ascii="Arial" w:hAnsi="Arial" w:hint="cs"/>
          <w:noProof w:val="0"/>
          <w:rtl/>
        </w:rPr>
        <w:t xml:space="preserve">לא צלחו, הגישו התובעים בחודש יוני 2021 תביעה לביטול ההסכם (במסגרת </w:t>
      </w:r>
      <w:r w:rsidR="00D967A5" w:rsidRPr="009D5CCE">
        <w:rPr>
          <w:rFonts w:ascii="Arial" w:hAnsi="Arial"/>
          <w:noProof w:val="0"/>
          <w:rtl/>
        </w:rPr>
        <w:t>ת"א 38596-06-21</w:t>
      </w:r>
      <w:r w:rsidRPr="009D5CCE">
        <w:rPr>
          <w:rFonts w:ascii="Arial" w:hAnsi="Arial" w:hint="cs"/>
          <w:noProof w:val="0"/>
          <w:rtl/>
        </w:rPr>
        <w:t>). ביום 9.5.24 ניתן בבית משפט השלום בבת ים (כב' ס.נ. השופטת רונית אופיר)</w:t>
      </w:r>
      <w:r w:rsidRPr="00953619">
        <w:rPr>
          <w:rFonts w:ascii="Arial" w:hAnsi="Arial" w:hint="cs"/>
          <w:noProof w:val="0"/>
          <w:rtl/>
        </w:rPr>
        <w:t xml:space="preserve"> פסק דין שקיבל את התביעה וקבע שהעובדה שלא ניתן לעשות שימוש סביר בחניה</w:t>
      </w:r>
      <w:r>
        <w:rPr>
          <w:rFonts w:ascii="Arial" w:hAnsi="Arial" w:hint="cs"/>
          <w:noProof w:val="0"/>
          <w:rtl/>
        </w:rPr>
        <w:t>,</w:t>
      </w:r>
      <w:r w:rsidRPr="00953619">
        <w:rPr>
          <w:rFonts w:ascii="Arial" w:hAnsi="Arial" w:hint="cs"/>
          <w:noProof w:val="0"/>
          <w:rtl/>
        </w:rPr>
        <w:t xml:space="preserve"> עולה כדי פגם בהתקשרות ו</w:t>
      </w:r>
      <w:r>
        <w:rPr>
          <w:rFonts w:ascii="Arial" w:hAnsi="Arial" w:hint="cs"/>
          <w:noProof w:val="0"/>
          <w:rtl/>
        </w:rPr>
        <w:t xml:space="preserve">כי </w:t>
      </w:r>
      <w:r w:rsidRPr="00953619">
        <w:rPr>
          <w:rFonts w:ascii="Arial" w:hAnsi="Arial" w:hint="cs"/>
          <w:noProof w:val="0"/>
          <w:rtl/>
        </w:rPr>
        <w:t xml:space="preserve">ההסכם נכרת על יסוד טעות המהווה עילה לביטולו (להלן: </w:t>
      </w:r>
      <w:r w:rsidRPr="00953619">
        <w:rPr>
          <w:rFonts w:ascii="Arial" w:hAnsi="Arial" w:hint="cs"/>
          <w:b/>
          <w:bCs/>
          <w:noProof w:val="0"/>
          <w:rtl/>
        </w:rPr>
        <w:t>פסה"ד</w:t>
      </w:r>
      <w:r w:rsidRPr="00953619">
        <w:rPr>
          <w:rFonts w:ascii="Arial" w:hAnsi="Arial" w:hint="cs"/>
          <w:noProof w:val="0"/>
          <w:rtl/>
        </w:rPr>
        <w:t>). בפס</w:t>
      </w:r>
      <w:r>
        <w:rPr>
          <w:rFonts w:ascii="Arial" w:hAnsi="Arial" w:hint="cs"/>
          <w:noProof w:val="0"/>
          <w:rtl/>
        </w:rPr>
        <w:t>ה"ד</w:t>
      </w:r>
      <w:r w:rsidRPr="00953619">
        <w:rPr>
          <w:rFonts w:ascii="Arial" w:hAnsi="Arial" w:hint="cs"/>
          <w:noProof w:val="0"/>
          <w:rtl/>
        </w:rPr>
        <w:t xml:space="preserve"> ניתן </w:t>
      </w:r>
      <w:r>
        <w:rPr>
          <w:rFonts w:ascii="Arial" w:hAnsi="Arial" w:hint="cs"/>
          <w:noProof w:val="0"/>
          <w:rtl/>
        </w:rPr>
        <w:t xml:space="preserve">לתובעים </w:t>
      </w:r>
      <w:r w:rsidRPr="00953619">
        <w:rPr>
          <w:rFonts w:ascii="Arial" w:hAnsi="Arial" w:hint="cs"/>
          <w:noProof w:val="0"/>
          <w:rtl/>
        </w:rPr>
        <w:t xml:space="preserve">היתר לפיצול סעדים, בכל הנוגע לסעדים הכספיים המגיעים להם כתוצאה מביטול ההסכם.  </w:t>
      </w:r>
    </w:p>
    <w:p w14:paraId="0B4C2E9C" w14:textId="77777777" w:rsidR="00AA1934" w:rsidRPr="009F16FC" w:rsidRDefault="00AA1934" w:rsidP="00AA1934">
      <w:pPr>
        <w:pStyle w:val="1"/>
        <w:rPr>
          <w:rFonts w:ascii="Arial" w:hAnsi="Arial"/>
          <w:noProof w:val="0"/>
          <w:rtl/>
        </w:rPr>
      </w:pPr>
    </w:p>
    <w:p w14:paraId="04A4C67B" w14:textId="77777777" w:rsidR="00AA1934" w:rsidRPr="00953619" w:rsidRDefault="00000000" w:rsidP="00AA1934">
      <w:pPr>
        <w:pStyle w:val="1"/>
        <w:numPr>
          <w:ilvl w:val="0"/>
          <w:numId w:val="2"/>
        </w:numPr>
        <w:spacing w:line="360" w:lineRule="auto"/>
        <w:jc w:val="both"/>
        <w:rPr>
          <w:rFonts w:ascii="Arial" w:hAnsi="Arial"/>
          <w:noProof w:val="0"/>
        </w:rPr>
      </w:pPr>
      <w:r w:rsidRPr="00953619">
        <w:rPr>
          <w:rFonts w:ascii="Arial" w:hAnsi="Arial" w:hint="cs"/>
          <w:noProof w:val="0"/>
          <w:rtl/>
        </w:rPr>
        <w:lastRenderedPageBreak/>
        <w:t>בחודש ינואר 2025 הגישו התובעים תביעה כספית נגד הנתבעת</w:t>
      </w:r>
      <w:r>
        <w:rPr>
          <w:rFonts w:ascii="Arial" w:hAnsi="Arial" w:hint="cs"/>
          <w:noProof w:val="0"/>
          <w:rtl/>
        </w:rPr>
        <w:t>,</w:t>
      </w:r>
      <w:r w:rsidRPr="00953619">
        <w:rPr>
          <w:rFonts w:ascii="Arial" w:hAnsi="Arial" w:hint="cs"/>
          <w:noProof w:val="0"/>
          <w:rtl/>
        </w:rPr>
        <w:t xml:space="preserve"> ע"ס של 3,354,025 ₪.  לטענתם, בעקבות עליית מחירי הדירות מאז שהם רכשו את הדירה, יש לחשב את ההשבה שעל הנתבעת להשיב ל</w:t>
      </w:r>
      <w:r>
        <w:rPr>
          <w:rFonts w:ascii="Arial" w:hAnsi="Arial" w:hint="cs"/>
          <w:noProof w:val="0"/>
          <w:rtl/>
        </w:rPr>
        <w:t>הם</w:t>
      </w:r>
      <w:r w:rsidRPr="00953619">
        <w:rPr>
          <w:rFonts w:ascii="Arial" w:hAnsi="Arial" w:hint="cs"/>
          <w:noProof w:val="0"/>
          <w:rtl/>
        </w:rPr>
        <w:t>, על פי שווי הדירה שרכשו התובעים נכון ל</w:t>
      </w:r>
      <w:r>
        <w:rPr>
          <w:rFonts w:ascii="Arial" w:hAnsi="Arial" w:hint="cs"/>
          <w:noProof w:val="0"/>
          <w:rtl/>
        </w:rPr>
        <w:t xml:space="preserve">מועד </w:t>
      </w:r>
      <w:r w:rsidRPr="00953619">
        <w:rPr>
          <w:rFonts w:ascii="Arial" w:hAnsi="Arial" w:hint="cs"/>
          <w:noProof w:val="0"/>
          <w:rtl/>
        </w:rPr>
        <w:t>הגשת התביעה, כאשר אליה מוצמדת חניית מכפיל ראויה וטובה העומדת בכל התקנים הנדרשים.</w:t>
      </w:r>
    </w:p>
    <w:p w14:paraId="405F0BD0" w14:textId="77777777" w:rsidR="00AA1934" w:rsidRPr="00953619" w:rsidRDefault="00AA1934" w:rsidP="00AA1934">
      <w:pPr>
        <w:pStyle w:val="1"/>
        <w:rPr>
          <w:rFonts w:ascii="Arial" w:hAnsi="Arial"/>
          <w:noProof w:val="0"/>
          <w:rtl/>
        </w:rPr>
      </w:pPr>
    </w:p>
    <w:p w14:paraId="19550E12" w14:textId="77777777" w:rsidR="00AA1934" w:rsidRDefault="00000000" w:rsidP="00AA1934">
      <w:pPr>
        <w:pStyle w:val="1"/>
        <w:numPr>
          <w:ilvl w:val="0"/>
          <w:numId w:val="2"/>
        </w:numPr>
        <w:spacing w:line="360" w:lineRule="auto"/>
        <w:jc w:val="both"/>
        <w:rPr>
          <w:rFonts w:ascii="Arial" w:hAnsi="Arial"/>
          <w:noProof w:val="0"/>
        </w:rPr>
      </w:pPr>
      <w:r w:rsidRPr="009E38E5">
        <w:rPr>
          <w:rFonts w:ascii="Arial" w:hAnsi="Arial" w:hint="cs"/>
          <w:noProof w:val="0"/>
          <w:rtl/>
        </w:rPr>
        <w:t>לטענת</w:t>
      </w:r>
      <w:r>
        <w:rPr>
          <w:rFonts w:ascii="Arial" w:hAnsi="Arial" w:hint="cs"/>
          <w:noProof w:val="0"/>
          <w:rtl/>
        </w:rPr>
        <w:t xml:space="preserve"> התובעים</w:t>
      </w:r>
      <w:r w:rsidRPr="009E38E5">
        <w:rPr>
          <w:rFonts w:ascii="Arial" w:hAnsi="Arial" w:hint="cs"/>
          <w:noProof w:val="0"/>
          <w:rtl/>
        </w:rPr>
        <w:t xml:space="preserve">, על פי חוות דעת שמאי מוסמך שצורפה לתביעתם, מאז חתימת ההסכם שווי הדירה עלה וערכה נכון </w:t>
      </w:r>
      <w:r>
        <w:rPr>
          <w:rFonts w:ascii="Arial" w:hAnsi="Arial" w:hint="cs"/>
          <w:noProof w:val="0"/>
          <w:rtl/>
        </w:rPr>
        <w:t>למועד</w:t>
      </w:r>
      <w:r w:rsidRPr="009E38E5">
        <w:rPr>
          <w:rFonts w:ascii="Arial" w:hAnsi="Arial" w:hint="cs"/>
          <w:noProof w:val="0"/>
          <w:rtl/>
        </w:rPr>
        <w:t xml:space="preserve"> הגשת התביעה </w:t>
      </w:r>
      <w:r>
        <w:rPr>
          <w:rFonts w:ascii="Arial" w:hAnsi="Arial" w:hint="cs"/>
          <w:noProof w:val="0"/>
          <w:rtl/>
        </w:rPr>
        <w:t xml:space="preserve">עומד על </w:t>
      </w:r>
      <w:r w:rsidRPr="009E38E5">
        <w:rPr>
          <w:rFonts w:ascii="Arial" w:hAnsi="Arial" w:hint="cs"/>
          <w:noProof w:val="0"/>
          <w:rtl/>
        </w:rPr>
        <w:t>3,075,000 ₪</w:t>
      </w:r>
      <w:r w:rsidRPr="00D43FC2">
        <w:rPr>
          <w:rFonts w:ascii="Arial" w:hAnsi="Arial" w:hint="cs"/>
          <w:noProof w:val="0"/>
          <w:rtl/>
        </w:rPr>
        <w:t xml:space="preserve"> ו</w:t>
      </w:r>
      <w:r>
        <w:rPr>
          <w:rFonts w:ascii="Arial" w:hAnsi="Arial" w:hint="cs"/>
          <w:noProof w:val="0"/>
          <w:rtl/>
        </w:rPr>
        <w:t xml:space="preserve">על כן, </w:t>
      </w:r>
      <w:r w:rsidRPr="00D43FC2">
        <w:rPr>
          <w:rFonts w:ascii="Arial" w:hAnsi="Arial" w:hint="cs"/>
          <w:noProof w:val="0"/>
          <w:rtl/>
        </w:rPr>
        <w:t>יש לחייב את הנתבעת להשיב להם סכום זה, בצירוף ריבית והצמדה כחוק עד לתשלו</w:t>
      </w:r>
      <w:r>
        <w:rPr>
          <w:rFonts w:ascii="Arial" w:hAnsi="Arial" w:hint="cs"/>
          <w:noProof w:val="0"/>
          <w:rtl/>
        </w:rPr>
        <w:t xml:space="preserve">ם בפועל. בנוסף, התובעים טוענים כי </w:t>
      </w:r>
      <w:r w:rsidRPr="00D43FC2">
        <w:rPr>
          <w:rFonts w:ascii="Arial" w:hAnsi="Arial" w:hint="cs"/>
          <w:noProof w:val="0"/>
          <w:rtl/>
        </w:rPr>
        <w:t>שיפצו את ה</w:t>
      </w:r>
      <w:r>
        <w:rPr>
          <w:rFonts w:ascii="Arial" w:hAnsi="Arial" w:hint="cs"/>
          <w:noProof w:val="0"/>
          <w:rtl/>
        </w:rPr>
        <w:t xml:space="preserve">דירה בסך של 144,670 ₪ עוד בטרם </w:t>
      </w:r>
      <w:r w:rsidRPr="00D43FC2">
        <w:rPr>
          <w:rFonts w:ascii="Arial" w:hAnsi="Arial" w:hint="cs"/>
          <w:noProof w:val="0"/>
          <w:rtl/>
        </w:rPr>
        <w:t>קיבלו ליד</w:t>
      </w:r>
      <w:r>
        <w:rPr>
          <w:rFonts w:ascii="Arial" w:hAnsi="Arial" w:hint="cs"/>
          <w:noProof w:val="0"/>
          <w:rtl/>
        </w:rPr>
        <w:t>יה</w:t>
      </w:r>
      <w:r w:rsidRPr="00D43FC2">
        <w:rPr>
          <w:rFonts w:ascii="Arial" w:hAnsi="Arial" w:hint="cs"/>
          <w:noProof w:val="0"/>
          <w:rtl/>
        </w:rPr>
        <w:t>ם את החזקה בדירה ו</w:t>
      </w:r>
      <w:r>
        <w:rPr>
          <w:rFonts w:ascii="Arial" w:hAnsi="Arial" w:hint="cs"/>
          <w:noProof w:val="0"/>
          <w:rtl/>
        </w:rPr>
        <w:t xml:space="preserve">לכן, </w:t>
      </w:r>
      <w:r w:rsidRPr="00D43FC2">
        <w:rPr>
          <w:rFonts w:ascii="Arial" w:hAnsi="Arial" w:hint="cs"/>
          <w:noProof w:val="0"/>
          <w:rtl/>
        </w:rPr>
        <w:t>על הנתבעת להשיב להם גם סכום זה</w:t>
      </w:r>
      <w:r>
        <w:rPr>
          <w:rFonts w:ascii="Arial" w:hAnsi="Arial" w:hint="cs"/>
          <w:noProof w:val="0"/>
          <w:rtl/>
        </w:rPr>
        <w:t>,</w:t>
      </w:r>
      <w:r w:rsidRPr="00D43FC2">
        <w:rPr>
          <w:rFonts w:ascii="Arial" w:hAnsi="Arial" w:hint="cs"/>
          <w:noProof w:val="0"/>
          <w:rtl/>
        </w:rPr>
        <w:t xml:space="preserve"> בצירוף </w:t>
      </w:r>
      <w:r>
        <w:rPr>
          <w:rFonts w:ascii="Arial" w:hAnsi="Arial" w:hint="cs"/>
          <w:noProof w:val="0"/>
          <w:rtl/>
        </w:rPr>
        <w:t xml:space="preserve">הפרשי </w:t>
      </w:r>
      <w:r w:rsidRPr="00D43FC2">
        <w:rPr>
          <w:rFonts w:ascii="Arial" w:hAnsi="Arial" w:hint="cs"/>
          <w:noProof w:val="0"/>
          <w:rtl/>
        </w:rPr>
        <w:t>ריבית והצמדה כחוק</w:t>
      </w:r>
      <w:r>
        <w:rPr>
          <w:rFonts w:ascii="Arial" w:hAnsi="Arial" w:hint="cs"/>
          <w:noProof w:val="0"/>
          <w:rtl/>
        </w:rPr>
        <w:t xml:space="preserve">, החל מהמועד שבו </w:t>
      </w:r>
      <w:r w:rsidRPr="00D43FC2">
        <w:rPr>
          <w:rFonts w:ascii="Arial" w:hAnsi="Arial" w:hint="cs"/>
          <w:noProof w:val="0"/>
          <w:rtl/>
        </w:rPr>
        <w:t xml:space="preserve">שילמו סכום זה ועד לתשלום בפועל, בסך 34,355 ₪ נוספים. </w:t>
      </w:r>
    </w:p>
    <w:p w14:paraId="6F098467" w14:textId="77777777" w:rsidR="00AA1934" w:rsidRPr="00D43FC2" w:rsidRDefault="00AA1934" w:rsidP="00AA1934">
      <w:pPr>
        <w:pStyle w:val="1"/>
        <w:rPr>
          <w:rFonts w:ascii="Arial" w:hAnsi="Arial"/>
          <w:noProof w:val="0"/>
          <w:rtl/>
        </w:rPr>
      </w:pPr>
    </w:p>
    <w:p w14:paraId="5B2968A4" w14:textId="77777777" w:rsidR="00AA1934" w:rsidRPr="00D43FC2" w:rsidRDefault="00000000" w:rsidP="00AA1934">
      <w:pPr>
        <w:pStyle w:val="1"/>
        <w:numPr>
          <w:ilvl w:val="0"/>
          <w:numId w:val="2"/>
        </w:numPr>
        <w:spacing w:line="360" w:lineRule="auto"/>
        <w:jc w:val="both"/>
        <w:rPr>
          <w:rFonts w:ascii="Arial" w:hAnsi="Arial"/>
          <w:noProof w:val="0"/>
        </w:rPr>
      </w:pPr>
      <w:r w:rsidRPr="00D43FC2">
        <w:rPr>
          <w:rFonts w:ascii="Arial" w:hAnsi="Arial" w:hint="cs"/>
          <w:noProof w:val="0"/>
          <w:rtl/>
        </w:rPr>
        <w:t xml:space="preserve">כמו כן, </w:t>
      </w:r>
      <w:r>
        <w:rPr>
          <w:rFonts w:ascii="Arial" w:hAnsi="Arial" w:hint="cs"/>
          <w:noProof w:val="0"/>
          <w:rtl/>
        </w:rPr>
        <w:t xml:space="preserve">טענו </w:t>
      </w:r>
      <w:r w:rsidRPr="00D43FC2">
        <w:rPr>
          <w:rFonts w:ascii="Arial" w:hAnsi="Arial" w:hint="cs"/>
          <w:noProof w:val="0"/>
          <w:rtl/>
        </w:rPr>
        <w:t xml:space="preserve">התובעים </w:t>
      </w:r>
      <w:r>
        <w:rPr>
          <w:rFonts w:ascii="Arial" w:hAnsi="Arial" w:hint="cs"/>
          <w:noProof w:val="0"/>
          <w:rtl/>
        </w:rPr>
        <w:t xml:space="preserve">שהם </w:t>
      </w:r>
      <w:r w:rsidRPr="00D43FC2">
        <w:rPr>
          <w:rFonts w:ascii="Arial" w:hAnsi="Arial" w:hint="cs"/>
          <w:noProof w:val="0"/>
          <w:rtl/>
        </w:rPr>
        <w:t>נאלצו להתגורר במשך ארבע שנים וחצי בדירה נטולת חניה</w:t>
      </w:r>
      <w:r>
        <w:rPr>
          <w:rFonts w:ascii="Arial" w:hAnsi="Arial" w:hint="cs"/>
          <w:noProof w:val="0"/>
          <w:rtl/>
        </w:rPr>
        <w:t>,</w:t>
      </w:r>
      <w:r w:rsidRPr="00D43FC2">
        <w:rPr>
          <w:rFonts w:ascii="Arial" w:hAnsi="Arial" w:hint="cs"/>
          <w:noProof w:val="0"/>
          <w:rtl/>
        </w:rPr>
        <w:t xml:space="preserve"> באזור שבו שוררת מצוקת חנייה קשה</w:t>
      </w:r>
      <w:r>
        <w:rPr>
          <w:rFonts w:ascii="Arial" w:hAnsi="Arial" w:hint="cs"/>
          <w:noProof w:val="0"/>
          <w:rtl/>
        </w:rPr>
        <w:t>.</w:t>
      </w:r>
      <w:r w:rsidRPr="00D43FC2">
        <w:rPr>
          <w:rFonts w:ascii="Arial" w:hAnsi="Arial" w:hint="cs"/>
          <w:noProof w:val="0"/>
          <w:rtl/>
        </w:rPr>
        <w:t xml:space="preserve"> בהיותם הורים לילדים קטנים</w:t>
      </w:r>
      <w:r>
        <w:rPr>
          <w:rFonts w:ascii="Arial" w:hAnsi="Arial" w:hint="cs"/>
          <w:noProof w:val="0"/>
          <w:rtl/>
        </w:rPr>
        <w:t>,</w:t>
      </w:r>
      <w:r w:rsidRPr="00D43FC2">
        <w:rPr>
          <w:rFonts w:ascii="Arial" w:hAnsi="Arial" w:hint="cs"/>
          <w:noProof w:val="0"/>
          <w:rtl/>
        </w:rPr>
        <w:t xml:space="preserve"> הם נאלצו להסתייע בתחבורה ציבורית ובמוניות והדבר גרם להם</w:t>
      </w:r>
      <w:r>
        <w:rPr>
          <w:rFonts w:ascii="Arial" w:hAnsi="Arial" w:hint="cs"/>
          <w:noProof w:val="0"/>
          <w:rtl/>
        </w:rPr>
        <w:t>, לטענתם,</w:t>
      </w:r>
      <w:r w:rsidRPr="00D43FC2">
        <w:rPr>
          <w:rFonts w:ascii="Arial" w:hAnsi="Arial" w:hint="cs"/>
          <w:noProof w:val="0"/>
          <w:rtl/>
        </w:rPr>
        <w:t xml:space="preserve"> לעוגמת נפש רבה. ל</w:t>
      </w:r>
      <w:r>
        <w:rPr>
          <w:rFonts w:ascii="Arial" w:hAnsi="Arial" w:hint="cs"/>
          <w:noProof w:val="0"/>
          <w:rtl/>
        </w:rPr>
        <w:t>דבריהם</w:t>
      </w:r>
      <w:r w:rsidRPr="00D43FC2">
        <w:rPr>
          <w:rFonts w:ascii="Arial" w:hAnsi="Arial" w:hint="cs"/>
          <w:noProof w:val="0"/>
          <w:rtl/>
        </w:rPr>
        <w:t xml:space="preserve">, הם </w:t>
      </w:r>
      <w:r w:rsidRPr="00D43FC2">
        <w:rPr>
          <w:rFonts w:ascii="Arial" w:hAnsi="Arial"/>
          <w:noProof w:val="0"/>
          <w:rtl/>
        </w:rPr>
        <w:t xml:space="preserve">נמנעים מיציאה חופשית מהבית מחשש להיעדר חניה בשיבה לביתם, </w:t>
      </w:r>
      <w:r w:rsidRPr="00D43FC2">
        <w:rPr>
          <w:rFonts w:ascii="Arial" w:hAnsi="Arial" w:hint="cs"/>
          <w:noProof w:val="0"/>
          <w:rtl/>
        </w:rPr>
        <w:t xml:space="preserve">ואף נמנעים משליחת ילדיהם לחוגים וכיוצא באלה. בגין עוגמת נפש זו, הם תובעים פיצוי בסך של 100,000 ₪.  </w:t>
      </w:r>
    </w:p>
    <w:p w14:paraId="5EA033EB" w14:textId="77777777" w:rsidR="00AA1934" w:rsidRPr="00953619" w:rsidRDefault="00AA1934" w:rsidP="00AA1934">
      <w:pPr>
        <w:pStyle w:val="1"/>
        <w:rPr>
          <w:rFonts w:ascii="Arial" w:hAnsi="Arial"/>
          <w:noProof w:val="0"/>
          <w:rtl/>
        </w:rPr>
      </w:pPr>
    </w:p>
    <w:p w14:paraId="42F49E21" w14:textId="77777777" w:rsidR="00AA1934" w:rsidRDefault="00000000" w:rsidP="00AA1934">
      <w:pPr>
        <w:pStyle w:val="1"/>
        <w:numPr>
          <w:ilvl w:val="0"/>
          <w:numId w:val="2"/>
        </w:numPr>
        <w:spacing w:line="360" w:lineRule="auto"/>
        <w:jc w:val="both"/>
        <w:rPr>
          <w:rFonts w:ascii="Arial" w:hAnsi="Arial"/>
          <w:noProof w:val="0"/>
        </w:rPr>
      </w:pPr>
      <w:r w:rsidRPr="009E38E5">
        <w:rPr>
          <w:rFonts w:ascii="Arial" w:hAnsi="Arial" w:hint="cs"/>
          <w:noProof w:val="0"/>
          <w:rtl/>
        </w:rPr>
        <w:t xml:space="preserve">הנתבעת טענה שחובתה להשיב את התמורה היא בתוספת </w:t>
      </w:r>
      <w:r>
        <w:rPr>
          <w:rFonts w:ascii="Arial" w:hAnsi="Arial" w:hint="cs"/>
          <w:noProof w:val="0"/>
          <w:rtl/>
        </w:rPr>
        <w:t xml:space="preserve">הפרשי </w:t>
      </w:r>
      <w:r w:rsidRPr="009E38E5">
        <w:rPr>
          <w:rFonts w:ascii="Arial" w:hAnsi="Arial" w:hint="cs"/>
          <w:noProof w:val="0"/>
          <w:rtl/>
        </w:rPr>
        <w:t>הצמדה וריבית כחוק ולא לפי ערכה של הדירה כיום. כשם שהתובעים צריכים להשיב את הדירה בעין ולא משנה אם ערך הדירה ירד או עלה, כך הנתבעת צריכה להשיב את כספי התמורה</w:t>
      </w:r>
      <w:r>
        <w:rPr>
          <w:rFonts w:ascii="Arial" w:hAnsi="Arial" w:hint="cs"/>
          <w:noProof w:val="0"/>
          <w:rtl/>
        </w:rPr>
        <w:t>,</w:t>
      </w:r>
      <w:r w:rsidRPr="009E38E5">
        <w:rPr>
          <w:rFonts w:ascii="Arial" w:hAnsi="Arial" w:hint="cs"/>
          <w:noProof w:val="0"/>
          <w:rtl/>
        </w:rPr>
        <w:t xml:space="preserve"> בצירוף שיערוך ריבית והצמדה כחוק. לשיטת</w:t>
      </w:r>
      <w:r>
        <w:rPr>
          <w:rFonts w:ascii="Arial" w:hAnsi="Arial" w:hint="cs"/>
          <w:noProof w:val="0"/>
          <w:rtl/>
        </w:rPr>
        <w:t>ה</w:t>
      </w:r>
      <w:r w:rsidRPr="009E38E5">
        <w:rPr>
          <w:rFonts w:ascii="Arial" w:hAnsi="Arial" w:hint="cs"/>
          <w:noProof w:val="0"/>
          <w:rtl/>
        </w:rPr>
        <w:t xml:space="preserve">, </w:t>
      </w:r>
      <w:r w:rsidRPr="009E38E5">
        <w:rPr>
          <w:rFonts w:ascii="Arial" w:hAnsi="Arial"/>
          <w:noProof w:val="0"/>
          <w:rtl/>
        </w:rPr>
        <w:t>השבה של כספים פירושה תשלום ערכם הריאלי, היינו השבת הסכומים ששולמו</w:t>
      </w:r>
      <w:r w:rsidRPr="009E38E5">
        <w:rPr>
          <w:rFonts w:ascii="Arial" w:hAnsi="Arial" w:hint="cs"/>
          <w:noProof w:val="0"/>
          <w:rtl/>
        </w:rPr>
        <w:t>,</w:t>
      </w:r>
      <w:r w:rsidRPr="009E38E5">
        <w:rPr>
          <w:rFonts w:ascii="Arial" w:hAnsi="Arial"/>
          <w:noProof w:val="0"/>
          <w:rtl/>
        </w:rPr>
        <w:t xml:space="preserve"> בתוספת הפרשי הצמדה וריבית</w:t>
      </w:r>
      <w:r w:rsidRPr="009E38E5">
        <w:rPr>
          <w:rFonts w:ascii="Arial" w:hAnsi="Arial" w:hint="cs"/>
          <w:noProof w:val="0"/>
          <w:rtl/>
        </w:rPr>
        <w:t xml:space="preserve"> ואין להתחשב בשינויי שווי שחלו בשוק, שכן מדובר בסיכון שבו נושאים שני הצדדים</w:t>
      </w:r>
      <w:r w:rsidRPr="009E38E5">
        <w:rPr>
          <w:rFonts w:ascii="Arial" w:hAnsi="Arial"/>
          <w:noProof w:val="0"/>
          <w:rtl/>
        </w:rPr>
        <w:t xml:space="preserve">. </w:t>
      </w:r>
      <w:r w:rsidRPr="009E38E5">
        <w:rPr>
          <w:rFonts w:ascii="Arial" w:hAnsi="Arial" w:hint="cs"/>
          <w:noProof w:val="0"/>
          <w:rtl/>
        </w:rPr>
        <w:t>כמו כן לטענת</w:t>
      </w:r>
      <w:r>
        <w:rPr>
          <w:rFonts w:ascii="Arial" w:hAnsi="Arial" w:hint="cs"/>
          <w:noProof w:val="0"/>
          <w:rtl/>
        </w:rPr>
        <w:t>ה</w:t>
      </w:r>
      <w:r w:rsidRPr="009E38E5">
        <w:rPr>
          <w:rFonts w:ascii="Arial" w:hAnsi="Arial" w:hint="cs"/>
          <w:noProof w:val="0"/>
          <w:rtl/>
        </w:rPr>
        <w:t xml:space="preserve">, </w:t>
      </w:r>
      <w:r w:rsidRPr="009E38E5">
        <w:rPr>
          <w:rFonts w:ascii="Arial" w:hAnsi="Arial"/>
          <w:noProof w:val="0"/>
          <w:rtl/>
        </w:rPr>
        <w:t>אין מצוקת חניה כבדה באזור שבו ממוקמת הדירה ואף קיים אזור חניה רחב ידיים בסמוך לדירה.</w:t>
      </w:r>
    </w:p>
    <w:p w14:paraId="3D633713" w14:textId="77777777" w:rsidR="00AA1934" w:rsidRPr="00123C94" w:rsidRDefault="00AA1934" w:rsidP="00AA1934">
      <w:pPr>
        <w:pStyle w:val="1"/>
        <w:rPr>
          <w:rFonts w:ascii="Arial" w:hAnsi="Arial"/>
          <w:noProof w:val="0"/>
          <w:rtl/>
        </w:rPr>
      </w:pPr>
    </w:p>
    <w:p w14:paraId="22449AA3" w14:textId="77777777" w:rsidR="00AA1934" w:rsidRPr="006367BC" w:rsidRDefault="00D967A5" w:rsidP="00AA1934">
      <w:pPr>
        <w:pStyle w:val="1"/>
        <w:numPr>
          <w:ilvl w:val="0"/>
          <w:numId w:val="2"/>
        </w:numPr>
        <w:spacing w:line="360" w:lineRule="auto"/>
        <w:jc w:val="both"/>
        <w:rPr>
          <w:rFonts w:ascii="Arial" w:hAnsi="Arial"/>
          <w:noProof w:val="0"/>
        </w:rPr>
      </w:pPr>
      <w:r w:rsidRPr="00D967A5">
        <w:rPr>
          <w:rFonts w:ascii="Arial" w:hAnsi="Arial"/>
          <w:noProof w:val="0"/>
          <w:color w:val="FFFFFF"/>
          <w:sz w:val="2"/>
          <w:szCs w:val="2"/>
          <w:rtl/>
        </w:rPr>
        <w:t>ההתיישבות העותומנית [נוסח ישן] 1916</w:t>
      </w:r>
      <w:r w:rsidR="00000000" w:rsidRPr="006367BC">
        <w:rPr>
          <w:rFonts w:ascii="Arial" w:hAnsi="Arial" w:hint="cs"/>
          <w:noProof w:val="0"/>
          <w:rtl/>
        </w:rPr>
        <w:t>הנ</w:t>
      </w:r>
      <w:r w:rsidR="00000000">
        <w:rPr>
          <w:rFonts w:ascii="Arial" w:hAnsi="Arial" w:hint="cs"/>
          <w:noProof w:val="0"/>
          <w:rtl/>
        </w:rPr>
        <w:t>תבעת</w:t>
      </w:r>
      <w:r w:rsidR="00000000" w:rsidRPr="006367BC">
        <w:rPr>
          <w:rFonts w:ascii="Arial" w:hAnsi="Arial" w:hint="cs"/>
          <w:noProof w:val="0"/>
          <w:rtl/>
        </w:rPr>
        <w:t xml:space="preserve"> אף טענה ש</w:t>
      </w:r>
      <w:r w:rsidR="00000000" w:rsidRPr="006367BC">
        <w:rPr>
          <w:rFonts w:ascii="Arial" w:hAnsi="Arial"/>
          <w:noProof w:val="0"/>
          <w:rtl/>
        </w:rPr>
        <w:t xml:space="preserve">טענת התובעים </w:t>
      </w:r>
      <w:r w:rsidR="00000000">
        <w:rPr>
          <w:rFonts w:ascii="Arial" w:hAnsi="Arial" w:hint="cs"/>
          <w:noProof w:val="0"/>
          <w:rtl/>
        </w:rPr>
        <w:t>ש</w:t>
      </w:r>
      <w:r w:rsidR="00000000" w:rsidRPr="006367BC">
        <w:rPr>
          <w:rFonts w:ascii="Arial" w:hAnsi="Arial"/>
          <w:noProof w:val="0"/>
          <w:rtl/>
        </w:rPr>
        <w:t xml:space="preserve">לפיה </w:t>
      </w:r>
      <w:r w:rsidR="00000000">
        <w:rPr>
          <w:rFonts w:ascii="Arial" w:hAnsi="Arial" w:hint="cs"/>
          <w:noProof w:val="0"/>
          <w:rtl/>
        </w:rPr>
        <w:t xml:space="preserve">הם </w:t>
      </w:r>
      <w:r w:rsidR="00000000" w:rsidRPr="006367BC">
        <w:rPr>
          <w:rFonts w:ascii="Arial" w:hAnsi="Arial"/>
          <w:noProof w:val="0"/>
          <w:rtl/>
        </w:rPr>
        <w:t>הוציאו כספים על שדרוגים בדירה עוד לפני שנמסרה להם החזקה בדירה, אינה נכונה, ומכל מקום, התובעים התעלמו מכך שהשדרוגים הנטענים בוצ</w:t>
      </w:r>
      <w:r w:rsidR="00000000">
        <w:rPr>
          <w:rFonts w:ascii="Arial" w:hAnsi="Arial"/>
          <w:noProof w:val="0"/>
          <w:rtl/>
        </w:rPr>
        <w:t>עו לפני כחמש שנים ואיבדו מערכם,</w:t>
      </w:r>
      <w:r w:rsidR="00000000" w:rsidRPr="006367BC">
        <w:rPr>
          <w:rFonts w:ascii="Arial" w:hAnsi="Arial" w:hint="cs"/>
          <w:noProof w:val="0"/>
          <w:rtl/>
        </w:rPr>
        <w:t xml:space="preserve"> </w:t>
      </w:r>
      <w:r w:rsidR="00000000" w:rsidRPr="006367BC">
        <w:rPr>
          <w:rFonts w:ascii="Arial" w:hAnsi="Arial"/>
          <w:noProof w:val="0"/>
          <w:rtl/>
        </w:rPr>
        <w:t xml:space="preserve">התעלמו משיעורי הפחת </w:t>
      </w:r>
      <w:r w:rsidR="00000000" w:rsidRPr="006367BC">
        <w:rPr>
          <w:rFonts w:ascii="Arial" w:hAnsi="Arial" w:hint="cs"/>
          <w:noProof w:val="0"/>
          <w:rtl/>
        </w:rPr>
        <w:t xml:space="preserve">החלים על </w:t>
      </w:r>
      <w:r w:rsidR="00000000" w:rsidRPr="006367BC">
        <w:rPr>
          <w:rFonts w:ascii="Arial" w:hAnsi="Arial"/>
          <w:noProof w:val="0"/>
          <w:rtl/>
        </w:rPr>
        <w:t>ריהוט ומוצרי החשמל</w:t>
      </w:r>
      <w:r w:rsidR="00000000" w:rsidRPr="006367BC">
        <w:rPr>
          <w:rFonts w:ascii="Arial" w:hAnsi="Arial" w:hint="cs"/>
          <w:noProof w:val="0"/>
          <w:rtl/>
        </w:rPr>
        <w:t>, וכן התעלמו מכך ש</w:t>
      </w:r>
      <w:r w:rsidR="00000000" w:rsidRPr="006367BC">
        <w:rPr>
          <w:rFonts w:ascii="Arial" w:hAnsi="Arial"/>
          <w:noProof w:val="0"/>
          <w:rtl/>
        </w:rPr>
        <w:t>מדובר במיטלטלין ש</w:t>
      </w:r>
      <w:r w:rsidR="00000000" w:rsidRPr="006367BC">
        <w:rPr>
          <w:rFonts w:ascii="Arial" w:hAnsi="Arial" w:hint="cs"/>
          <w:noProof w:val="0"/>
          <w:rtl/>
        </w:rPr>
        <w:t xml:space="preserve">ניתן </w:t>
      </w:r>
      <w:r w:rsidR="00000000" w:rsidRPr="006367BC">
        <w:rPr>
          <w:rFonts w:ascii="Arial" w:hAnsi="Arial"/>
          <w:noProof w:val="0"/>
          <w:rtl/>
        </w:rPr>
        <w:t xml:space="preserve">לפרקם וליטול אותם. </w:t>
      </w:r>
      <w:r w:rsidR="00000000">
        <w:rPr>
          <w:rFonts w:ascii="Arial" w:hAnsi="Arial" w:hint="cs"/>
          <w:noProof w:val="0"/>
          <w:rtl/>
        </w:rPr>
        <w:t xml:space="preserve">לעמדתה, </w:t>
      </w:r>
      <w:r w:rsidR="00000000" w:rsidRPr="006367BC">
        <w:rPr>
          <w:rFonts w:ascii="Arial" w:hAnsi="Arial" w:hint="cs"/>
          <w:noProof w:val="0"/>
          <w:rtl/>
        </w:rPr>
        <w:t xml:space="preserve">הסכומים שנתבעו בקשר עם השדרוגים בדירה, כמו גם בקשר עם עגמת הנפש הנטענת, מוגזמים ומופרזים. </w:t>
      </w:r>
    </w:p>
    <w:p w14:paraId="3CED24AD" w14:textId="77777777" w:rsidR="00AA1934" w:rsidRPr="00D967A5" w:rsidRDefault="00D967A5" w:rsidP="00AA1934">
      <w:pPr>
        <w:spacing w:line="360" w:lineRule="auto"/>
        <w:jc w:val="both"/>
        <w:rPr>
          <w:rFonts w:ascii="Arial" w:hAnsi="Arial"/>
          <w:noProof w:val="0"/>
          <w:color w:val="FFFFFF"/>
          <w:sz w:val="2"/>
          <w:szCs w:val="2"/>
          <w:rtl/>
        </w:rPr>
      </w:pPr>
      <w:r w:rsidRPr="00D967A5">
        <w:rPr>
          <w:rFonts w:ascii="Arial" w:hAnsi="Arial"/>
          <w:noProof w:val="0"/>
          <w:color w:val="FFFFFF"/>
          <w:sz w:val="2"/>
          <w:szCs w:val="2"/>
          <w:rtl/>
        </w:rPr>
        <w:t>12-34-56-78 צ'כוב נ' מדינת ישראל, פ'ד נא (2)</w:t>
      </w:r>
    </w:p>
    <w:p w14:paraId="70A4C2EF" w14:textId="77777777" w:rsidR="00AA1934" w:rsidRPr="00953619" w:rsidRDefault="00000000" w:rsidP="00AA1934">
      <w:pPr>
        <w:pStyle w:val="1"/>
        <w:numPr>
          <w:ilvl w:val="0"/>
          <w:numId w:val="2"/>
        </w:numPr>
        <w:spacing w:line="360" w:lineRule="auto"/>
        <w:jc w:val="both"/>
        <w:rPr>
          <w:rFonts w:ascii="Arial" w:hAnsi="Arial"/>
          <w:noProof w:val="0"/>
        </w:rPr>
      </w:pPr>
      <w:r w:rsidRPr="00953619">
        <w:rPr>
          <w:rFonts w:ascii="Arial" w:hAnsi="Arial" w:hint="cs"/>
          <w:noProof w:val="0"/>
          <w:rtl/>
        </w:rPr>
        <w:t>בנוסף טענה הנתבעת, שעל התובעת לשלם לה דמי שימוש ראויים בדירה</w:t>
      </w:r>
      <w:r>
        <w:rPr>
          <w:rFonts w:ascii="Arial" w:hAnsi="Arial" w:hint="cs"/>
          <w:noProof w:val="0"/>
          <w:rtl/>
        </w:rPr>
        <w:t>,</w:t>
      </w:r>
      <w:r w:rsidRPr="00953619">
        <w:rPr>
          <w:rFonts w:ascii="Arial" w:hAnsi="Arial" w:hint="cs"/>
          <w:noProof w:val="0"/>
          <w:rtl/>
        </w:rPr>
        <w:t xml:space="preserve"> </w:t>
      </w:r>
      <w:r>
        <w:rPr>
          <w:rFonts w:ascii="Arial" w:hAnsi="Arial" w:hint="cs"/>
          <w:noProof w:val="0"/>
          <w:rtl/>
        </w:rPr>
        <w:t xml:space="preserve">החל </w:t>
      </w:r>
      <w:r w:rsidRPr="00953619">
        <w:rPr>
          <w:rFonts w:ascii="Arial" w:hAnsi="Arial" w:hint="cs"/>
          <w:noProof w:val="0"/>
          <w:rtl/>
        </w:rPr>
        <w:t>מ</w:t>
      </w:r>
      <w:r>
        <w:rPr>
          <w:rFonts w:ascii="Arial" w:hAnsi="Arial" w:hint="cs"/>
          <w:noProof w:val="0"/>
          <w:rtl/>
        </w:rPr>
        <w:t xml:space="preserve">מועד </w:t>
      </w:r>
      <w:r w:rsidRPr="00953619">
        <w:rPr>
          <w:rFonts w:ascii="Arial" w:hAnsi="Arial" w:hint="cs"/>
          <w:noProof w:val="0"/>
          <w:rtl/>
        </w:rPr>
        <w:t xml:space="preserve">מסירת החזקה </w:t>
      </w:r>
      <w:r>
        <w:rPr>
          <w:rFonts w:ascii="Arial" w:hAnsi="Arial" w:hint="cs"/>
          <w:noProof w:val="0"/>
          <w:rtl/>
        </w:rPr>
        <w:t xml:space="preserve">בדירה לתובעים </w:t>
      </w:r>
      <w:r w:rsidRPr="00953619">
        <w:rPr>
          <w:rFonts w:ascii="Arial" w:hAnsi="Arial" w:hint="cs"/>
          <w:noProof w:val="0"/>
          <w:rtl/>
        </w:rPr>
        <w:t>ועד שהחזקה תושב אליה. לטענתה, דמי השימוש מוערכים בסך של 7,000 ₪ לחודש ו</w:t>
      </w:r>
      <w:r>
        <w:rPr>
          <w:rFonts w:ascii="Arial" w:hAnsi="Arial" w:hint="cs"/>
          <w:noProof w:val="0"/>
          <w:rtl/>
        </w:rPr>
        <w:t xml:space="preserve">אילו </w:t>
      </w:r>
      <w:r w:rsidRPr="00953619">
        <w:rPr>
          <w:rFonts w:ascii="Arial" w:hAnsi="Arial" w:hint="cs"/>
          <w:noProof w:val="0"/>
          <w:rtl/>
        </w:rPr>
        <w:t>במועד הגשת כתב ההגנה חלפו 61 חודשים</w:t>
      </w:r>
      <w:r>
        <w:rPr>
          <w:rFonts w:ascii="Arial" w:hAnsi="Arial" w:hint="cs"/>
          <w:noProof w:val="0"/>
          <w:rtl/>
        </w:rPr>
        <w:t xml:space="preserve">, כך שיש לקזז </w:t>
      </w:r>
      <w:r w:rsidRPr="00953619">
        <w:rPr>
          <w:rFonts w:ascii="Arial" w:hAnsi="Arial" w:hint="cs"/>
          <w:noProof w:val="0"/>
          <w:rtl/>
        </w:rPr>
        <w:t>סכום נו</w:t>
      </w:r>
      <w:r>
        <w:rPr>
          <w:rFonts w:ascii="Arial" w:hAnsi="Arial" w:hint="cs"/>
          <w:noProof w:val="0"/>
          <w:rtl/>
        </w:rPr>
        <w:t>מינאלי של 427,000 ₪ מסכום ההשבה, בגין דמי השימוש.</w:t>
      </w:r>
    </w:p>
    <w:p w14:paraId="7BD72C9A" w14:textId="77777777" w:rsidR="00AA1934" w:rsidRPr="00953619" w:rsidRDefault="00AA1934" w:rsidP="00AA1934">
      <w:pPr>
        <w:pStyle w:val="1"/>
        <w:rPr>
          <w:rFonts w:ascii="Arial" w:hAnsi="Arial"/>
          <w:noProof w:val="0"/>
          <w:rtl/>
        </w:rPr>
      </w:pPr>
    </w:p>
    <w:p w14:paraId="08D711CD" w14:textId="77777777" w:rsidR="00AA1934" w:rsidRPr="00953619" w:rsidRDefault="00000000" w:rsidP="00AA1934">
      <w:pPr>
        <w:pStyle w:val="1"/>
        <w:numPr>
          <w:ilvl w:val="0"/>
          <w:numId w:val="2"/>
        </w:numPr>
        <w:spacing w:line="360" w:lineRule="auto"/>
        <w:jc w:val="both"/>
        <w:rPr>
          <w:rFonts w:ascii="Arial" w:hAnsi="Arial"/>
          <w:noProof w:val="0"/>
        </w:rPr>
      </w:pPr>
      <w:r w:rsidRPr="00953619">
        <w:rPr>
          <w:rFonts w:ascii="Arial" w:hAnsi="Arial" w:hint="cs"/>
          <w:noProof w:val="0"/>
          <w:rtl/>
        </w:rPr>
        <w:t>ב</w:t>
      </w:r>
      <w:r>
        <w:rPr>
          <w:rFonts w:ascii="Arial" w:hAnsi="Arial" w:hint="cs"/>
          <w:noProof w:val="0"/>
          <w:rtl/>
        </w:rPr>
        <w:t xml:space="preserve">דיון </w:t>
      </w:r>
      <w:r w:rsidRPr="00953619">
        <w:rPr>
          <w:rFonts w:ascii="Arial" w:hAnsi="Arial" w:hint="cs"/>
          <w:noProof w:val="0"/>
          <w:rtl/>
        </w:rPr>
        <w:t xml:space="preserve">קדם המשפט </w:t>
      </w:r>
      <w:r>
        <w:rPr>
          <w:rFonts w:ascii="Arial" w:hAnsi="Arial" w:hint="cs"/>
          <w:noProof w:val="0"/>
          <w:rtl/>
        </w:rPr>
        <w:t xml:space="preserve">שהתקיים בתיק, </w:t>
      </w:r>
      <w:r w:rsidRPr="00953619">
        <w:rPr>
          <w:rFonts w:ascii="Arial" w:hAnsi="Arial" w:hint="cs"/>
          <w:noProof w:val="0"/>
          <w:rtl/>
        </w:rPr>
        <w:t>הסכימו הצדדים שבשלב ראשון יוגשו על ידם סיכומים בכתב ביחס לשאלה האם יש לבצע השבה בהתאם לשווי דירה עם חנייה תקנית במועד הגשת כתב התביעה</w:t>
      </w:r>
      <w:r>
        <w:rPr>
          <w:rFonts w:ascii="Arial" w:hAnsi="Arial" w:hint="cs"/>
          <w:noProof w:val="0"/>
          <w:rtl/>
        </w:rPr>
        <w:t>,</w:t>
      </w:r>
      <w:r w:rsidRPr="00953619">
        <w:rPr>
          <w:rFonts w:ascii="Arial" w:hAnsi="Arial" w:hint="cs"/>
          <w:noProof w:val="0"/>
          <w:rtl/>
        </w:rPr>
        <w:t xml:space="preserve"> או ש</w:t>
      </w:r>
      <w:r>
        <w:rPr>
          <w:rFonts w:ascii="Arial" w:hAnsi="Arial" w:hint="cs"/>
          <w:noProof w:val="0"/>
          <w:rtl/>
        </w:rPr>
        <w:t xml:space="preserve">מא </w:t>
      </w:r>
      <w:r w:rsidRPr="00953619">
        <w:rPr>
          <w:rFonts w:ascii="Arial" w:hAnsi="Arial" w:hint="cs"/>
          <w:noProof w:val="0"/>
          <w:rtl/>
        </w:rPr>
        <w:t xml:space="preserve">על הנתבעת להשיב את שווי התמורה </w:t>
      </w:r>
      <w:r>
        <w:rPr>
          <w:rFonts w:ascii="Arial" w:hAnsi="Arial" w:hint="cs"/>
          <w:noProof w:val="0"/>
          <w:rtl/>
        </w:rPr>
        <w:t xml:space="preserve">ששולמה לה, </w:t>
      </w:r>
      <w:r w:rsidRPr="00953619">
        <w:rPr>
          <w:rFonts w:ascii="Arial" w:hAnsi="Arial" w:hint="cs"/>
          <w:noProof w:val="0"/>
          <w:rtl/>
        </w:rPr>
        <w:t>בצירוף ריבית והצמדה כחוק. בנוסף הוסכם שהצדדים יגישו טענותיהם בכתב גם ביחס לשאלה האם על התובעים לשלם לנתבעת דמי שימוש ראויים בגין התקופה שמיום מסירת החזקה בדירה ועד למועד ש</w:t>
      </w:r>
      <w:r>
        <w:rPr>
          <w:rFonts w:ascii="Arial" w:hAnsi="Arial" w:hint="cs"/>
          <w:noProof w:val="0"/>
          <w:rtl/>
        </w:rPr>
        <w:t xml:space="preserve">בו </w:t>
      </w:r>
      <w:r w:rsidRPr="00953619">
        <w:rPr>
          <w:rFonts w:ascii="Arial" w:hAnsi="Arial" w:hint="cs"/>
          <w:noProof w:val="0"/>
          <w:rtl/>
        </w:rPr>
        <w:t xml:space="preserve">היא תושב לנתבעת.    </w:t>
      </w:r>
    </w:p>
    <w:p w14:paraId="3DD290B5" w14:textId="77777777" w:rsidR="00AA1934" w:rsidRPr="00953619" w:rsidRDefault="00AA1934" w:rsidP="00AA1934">
      <w:pPr>
        <w:pStyle w:val="1"/>
        <w:rPr>
          <w:rFonts w:ascii="Arial" w:hAnsi="Arial"/>
          <w:noProof w:val="0"/>
          <w:rtl/>
        </w:rPr>
      </w:pPr>
    </w:p>
    <w:p w14:paraId="5206422D" w14:textId="77777777" w:rsidR="00AA1934" w:rsidRDefault="00000000" w:rsidP="00AA1934">
      <w:pPr>
        <w:pStyle w:val="1"/>
        <w:numPr>
          <w:ilvl w:val="0"/>
          <w:numId w:val="1"/>
        </w:numPr>
        <w:spacing w:line="360" w:lineRule="auto"/>
        <w:jc w:val="both"/>
        <w:rPr>
          <w:rFonts w:ascii="Arial" w:hAnsi="Arial"/>
          <w:b/>
          <w:bCs/>
          <w:noProof w:val="0"/>
        </w:rPr>
      </w:pPr>
      <w:r>
        <w:rPr>
          <w:rFonts w:ascii="Arial" w:hAnsi="Arial" w:hint="cs"/>
          <w:b/>
          <w:bCs/>
          <w:noProof w:val="0"/>
          <w:rtl/>
        </w:rPr>
        <w:t>תמצית טענות התובעים</w:t>
      </w:r>
    </w:p>
    <w:p w14:paraId="55258AB1" w14:textId="77777777" w:rsidR="00AA1934" w:rsidRDefault="00AA1934" w:rsidP="00AA1934">
      <w:pPr>
        <w:spacing w:line="360" w:lineRule="auto"/>
        <w:jc w:val="both"/>
        <w:rPr>
          <w:rFonts w:ascii="Arial" w:hAnsi="Arial"/>
          <w:b/>
          <w:bCs/>
          <w:noProof w:val="0"/>
          <w:rtl/>
        </w:rPr>
      </w:pPr>
    </w:p>
    <w:p w14:paraId="1C469A0B" w14:textId="77777777" w:rsidR="00AA1934" w:rsidRDefault="00000000" w:rsidP="00AA1934">
      <w:pPr>
        <w:pStyle w:val="1"/>
        <w:numPr>
          <w:ilvl w:val="0"/>
          <w:numId w:val="3"/>
        </w:numPr>
        <w:spacing w:line="360" w:lineRule="auto"/>
        <w:jc w:val="both"/>
        <w:rPr>
          <w:rFonts w:ascii="Arial" w:hAnsi="Arial"/>
          <w:noProof w:val="0"/>
        </w:rPr>
      </w:pPr>
      <w:r>
        <w:rPr>
          <w:rFonts w:ascii="Arial" w:hAnsi="Arial" w:hint="cs"/>
          <w:noProof w:val="0"/>
          <w:rtl/>
        </w:rPr>
        <w:t>האשם לביטול ההסכם רובץ לפתחה של הנתבעת שמסרה להם ממכר שאינו ראוי. לולי ההפרה של הנתבעת, הייתה היום לתובעים דירה שאליה צמודה חניה טובה וראויה שאותה יכלו למכור בשוק החופשי במחיר שוק.</w:t>
      </w:r>
    </w:p>
    <w:p w14:paraId="5B90677E" w14:textId="77777777" w:rsidR="00AA1934" w:rsidRDefault="00AA1934" w:rsidP="00AA1934">
      <w:pPr>
        <w:spacing w:line="360" w:lineRule="auto"/>
        <w:jc w:val="both"/>
        <w:rPr>
          <w:rFonts w:ascii="Arial" w:hAnsi="Arial"/>
          <w:noProof w:val="0"/>
          <w:rtl/>
        </w:rPr>
      </w:pPr>
    </w:p>
    <w:p w14:paraId="4DDF4243" w14:textId="77777777" w:rsidR="00AA1934" w:rsidRDefault="00000000" w:rsidP="00AA1934">
      <w:pPr>
        <w:pStyle w:val="1"/>
        <w:numPr>
          <w:ilvl w:val="0"/>
          <w:numId w:val="3"/>
        </w:numPr>
        <w:spacing w:line="360" w:lineRule="auto"/>
        <w:jc w:val="both"/>
        <w:rPr>
          <w:rFonts w:ascii="Arial" w:hAnsi="Arial"/>
          <w:noProof w:val="0"/>
        </w:rPr>
      </w:pPr>
      <w:r>
        <w:rPr>
          <w:rFonts w:ascii="Arial" w:hAnsi="Arial" w:hint="cs"/>
          <w:noProof w:val="0"/>
          <w:rtl/>
        </w:rPr>
        <w:t xml:space="preserve">אילו ההסכם לא היה מופר על ידי הנתבעת, לא היה איש דורש מהם דמי שימוש ראויים בגין שימושם בדירה. התובעים יכלו למכור כיום את דירתם במחיר שוק ללא כל דרישה להפחתה. התובעים לא צריכים להפסיד בשל הפרת הנתבעת שאילצה אותם לבטל את ההסכם. כל מצב שבו הם יקבלו פחות מערכה של הדירה עם חנייה תקנית בערכה כיום, תביא לפגיעה בהם על לא עוול בכפם ומתן פרס למעוולים, בבחינת יוצא חוטא נשכר, דבר המנוגד לדין ולדיני עשיית עושר. הפחתה של דמי השימוש ראויים אין בה היגיון ואין בה צדק. </w:t>
      </w:r>
    </w:p>
    <w:p w14:paraId="08FDD6FD" w14:textId="77777777" w:rsidR="00AA1934" w:rsidRPr="00AE3800" w:rsidRDefault="00AA1934" w:rsidP="00AA1934">
      <w:pPr>
        <w:pStyle w:val="1"/>
        <w:rPr>
          <w:rFonts w:ascii="Arial" w:hAnsi="Arial"/>
          <w:noProof w:val="0"/>
          <w:rtl/>
        </w:rPr>
      </w:pPr>
    </w:p>
    <w:p w14:paraId="0D2D68CD" w14:textId="77777777" w:rsidR="00AA1934" w:rsidRDefault="00000000" w:rsidP="00AA1934">
      <w:pPr>
        <w:pStyle w:val="1"/>
        <w:numPr>
          <w:ilvl w:val="0"/>
          <w:numId w:val="3"/>
        </w:numPr>
        <w:spacing w:line="360" w:lineRule="auto"/>
        <w:jc w:val="both"/>
        <w:rPr>
          <w:rFonts w:ascii="Arial" w:hAnsi="Arial"/>
          <w:noProof w:val="0"/>
        </w:rPr>
      </w:pPr>
      <w:r>
        <w:rPr>
          <w:rFonts w:ascii="Arial" w:hAnsi="Arial" w:hint="cs"/>
          <w:noProof w:val="0"/>
          <w:rtl/>
        </w:rPr>
        <w:t xml:space="preserve">התובעים זכאים להשבה בערך ריאלי ללא כל הפחתות. הם זכאים להיות במצב זהה למצב שהם היו אמורים להימצא בו, אם הנתבעת לא הייתה מפרה את ההסכם. לא יעלה על הדעת שכתוצאה מהתנהגות הנתבעת שהפרה את התחייבותה כלפי התובעים, התובעים יפסידו והנתבעת תרוויח.    </w:t>
      </w:r>
    </w:p>
    <w:p w14:paraId="221A3F7D" w14:textId="77777777" w:rsidR="00AA1934" w:rsidRPr="00AE3800" w:rsidRDefault="00AA1934" w:rsidP="00AA1934">
      <w:pPr>
        <w:pStyle w:val="1"/>
        <w:rPr>
          <w:rFonts w:ascii="Arial" w:hAnsi="Arial"/>
          <w:noProof w:val="0"/>
          <w:rtl/>
        </w:rPr>
      </w:pPr>
    </w:p>
    <w:p w14:paraId="64026F08" w14:textId="77777777" w:rsidR="00AA1934" w:rsidRDefault="00000000" w:rsidP="00AA1934">
      <w:pPr>
        <w:pStyle w:val="1"/>
        <w:numPr>
          <w:ilvl w:val="0"/>
          <w:numId w:val="3"/>
        </w:numPr>
        <w:spacing w:line="360" w:lineRule="auto"/>
        <w:jc w:val="both"/>
        <w:rPr>
          <w:rFonts w:ascii="Arial" w:hAnsi="Arial"/>
          <w:noProof w:val="0"/>
        </w:rPr>
      </w:pPr>
      <w:r>
        <w:rPr>
          <w:rFonts w:ascii="Arial" w:hAnsi="Arial" w:hint="cs"/>
          <w:noProof w:val="0"/>
          <w:rtl/>
        </w:rPr>
        <w:t>התובעים זכאים להשבה ריאלית, בין אם מדין חובת ההשבה ובין אם כפיצויי קיום על ההפרש בפער השווי שנגרם להם עקב ההפרה. התובעים זכאים לקבל ערך ריאלי של הדירה נכון למועד הגשת התביעה. על פי הפסיקה, שינויים במחיר השוק של הנכס לא מסייגים את החובה להשיב את הנכס בערכו הנכון למועד ההשבה. שורת הצדק מחייבת שהקונה תם הלב יזכה להשבה מלאה של התמורה החוזית המשוערכת.</w:t>
      </w:r>
    </w:p>
    <w:p w14:paraId="4C6A70D4" w14:textId="77777777" w:rsidR="00AA1934" w:rsidRPr="00D967A5" w:rsidRDefault="00D967A5" w:rsidP="00AA1934">
      <w:pPr>
        <w:pStyle w:val="1"/>
        <w:rPr>
          <w:rFonts w:ascii="Arial" w:hAnsi="Arial"/>
          <w:noProof w:val="0"/>
          <w:color w:val="FFFFFF"/>
          <w:sz w:val="2"/>
          <w:szCs w:val="2"/>
          <w:rtl/>
        </w:rPr>
      </w:pPr>
      <w:r w:rsidRPr="00D967A5">
        <w:rPr>
          <w:rFonts w:ascii="Arial" w:hAnsi="Arial"/>
          <w:noProof w:val="0"/>
          <w:color w:val="FFFFFF"/>
          <w:sz w:val="2"/>
          <w:szCs w:val="2"/>
          <w:rtl/>
        </w:rPr>
        <w:t>הועתק מנבו</w:t>
      </w:r>
    </w:p>
    <w:p w14:paraId="2A775693" w14:textId="77777777" w:rsidR="00AA1934" w:rsidRDefault="00000000" w:rsidP="00AA1934">
      <w:pPr>
        <w:pStyle w:val="1"/>
        <w:numPr>
          <w:ilvl w:val="0"/>
          <w:numId w:val="3"/>
        </w:numPr>
        <w:spacing w:line="360" w:lineRule="auto"/>
        <w:jc w:val="both"/>
        <w:rPr>
          <w:rFonts w:ascii="Arial" w:hAnsi="Arial"/>
          <w:noProof w:val="0"/>
        </w:rPr>
      </w:pPr>
      <w:r>
        <w:rPr>
          <w:rFonts w:ascii="Arial" w:hAnsi="Arial" w:hint="cs"/>
          <w:noProof w:val="0"/>
          <w:rtl/>
        </w:rPr>
        <w:t>השבה של שווי הדירה, לרבות חנייה ראויה, לא תפגע בנתבעת והתובעים לא יזכו לרווח נוסף, אלא יימצאו במצב שבו היו צריכים להימצא אילו הנתבעת לא הייתה מפרה את ההסכם עמם. הנתבעת אף עשתה שימוש מניב בסכום התמורה שהיא קיבלה מהתובעים ואיש לא דורש ממנה להשיב פירות אלו שהיא הפיקה מתשלום התמורה.</w:t>
      </w:r>
    </w:p>
    <w:p w14:paraId="3F410BE9" w14:textId="77777777" w:rsidR="00AA1934" w:rsidRPr="00E32D6F" w:rsidRDefault="00AA1934" w:rsidP="00AA1934">
      <w:pPr>
        <w:pStyle w:val="1"/>
        <w:rPr>
          <w:rFonts w:ascii="Arial" w:hAnsi="Arial"/>
          <w:noProof w:val="0"/>
          <w:rtl/>
        </w:rPr>
      </w:pPr>
    </w:p>
    <w:p w14:paraId="3D72C090" w14:textId="77777777" w:rsidR="00AA1934" w:rsidRPr="00E32D6F" w:rsidRDefault="00AA1934" w:rsidP="00AA1934">
      <w:pPr>
        <w:spacing w:line="360" w:lineRule="auto"/>
        <w:jc w:val="both"/>
        <w:rPr>
          <w:rFonts w:ascii="Arial" w:hAnsi="Arial"/>
          <w:noProof w:val="0"/>
        </w:rPr>
      </w:pPr>
    </w:p>
    <w:p w14:paraId="765222C2" w14:textId="77777777" w:rsidR="00AA1934" w:rsidRPr="00560250" w:rsidRDefault="00AA1934" w:rsidP="00AA1934">
      <w:pPr>
        <w:pStyle w:val="1"/>
        <w:rPr>
          <w:rFonts w:ascii="Arial" w:hAnsi="Arial"/>
          <w:noProof w:val="0"/>
          <w:rtl/>
        </w:rPr>
      </w:pPr>
    </w:p>
    <w:p w14:paraId="480C737F" w14:textId="77777777" w:rsidR="00AA1934" w:rsidRPr="00560250" w:rsidRDefault="00000000" w:rsidP="00AA1934">
      <w:pPr>
        <w:pStyle w:val="1"/>
        <w:numPr>
          <w:ilvl w:val="0"/>
          <w:numId w:val="1"/>
        </w:numPr>
        <w:spacing w:line="360" w:lineRule="auto"/>
        <w:jc w:val="both"/>
        <w:rPr>
          <w:rFonts w:ascii="Arial" w:hAnsi="Arial"/>
          <w:b/>
          <w:bCs/>
          <w:noProof w:val="0"/>
          <w:rtl/>
        </w:rPr>
      </w:pPr>
      <w:r w:rsidRPr="00560250">
        <w:rPr>
          <w:rFonts w:ascii="Arial" w:hAnsi="Arial" w:hint="cs"/>
          <w:b/>
          <w:bCs/>
          <w:noProof w:val="0"/>
          <w:rtl/>
        </w:rPr>
        <w:t xml:space="preserve">תמצית טענות הנתבעת </w:t>
      </w:r>
    </w:p>
    <w:p w14:paraId="20B7B544" w14:textId="77777777" w:rsidR="00AA1934" w:rsidRDefault="00AA1934" w:rsidP="00AA1934">
      <w:pPr>
        <w:spacing w:line="360" w:lineRule="auto"/>
        <w:jc w:val="both"/>
        <w:rPr>
          <w:rFonts w:ascii="Arial" w:hAnsi="Arial"/>
          <w:noProof w:val="0"/>
          <w:rtl/>
        </w:rPr>
      </w:pPr>
    </w:p>
    <w:p w14:paraId="42B1BB48" w14:textId="77777777" w:rsidR="00AA1934" w:rsidRDefault="00000000" w:rsidP="00AA1934">
      <w:pPr>
        <w:pStyle w:val="1"/>
        <w:numPr>
          <w:ilvl w:val="0"/>
          <w:numId w:val="4"/>
        </w:numPr>
        <w:spacing w:line="360" w:lineRule="auto"/>
        <w:jc w:val="both"/>
        <w:rPr>
          <w:rFonts w:ascii="Arial" w:hAnsi="Arial"/>
          <w:noProof w:val="0"/>
        </w:rPr>
      </w:pPr>
      <w:r>
        <w:rPr>
          <w:rFonts w:ascii="Arial" w:hAnsi="Arial" w:hint="cs"/>
          <w:noProof w:val="0"/>
          <w:rtl/>
        </w:rPr>
        <w:t xml:space="preserve">משבוטל ההסכם, קמה חובת השבה. חובת ההשבה של הנתבעת היא להשיב את כספי התמורה בערכם הריאלי, דהיינו, בתוספת ריבית והצמדה כחוק. על פי הפסיקה, מי שמסר נכס בעין וחלה עליו חובת השבה, ישיב אותו כערכו במועד ההשבה, גם אם חלו שינויים בערך השוק של הנכס וערכו השתנה באופן משמעותי, בין אם עלה ובין אם ירד. נקבע שהצד אשר מקבל את הנכס בהשבה, הוא אשר יספוג את הירידה בערכו ולחלופין יזכה מהעלייה בערכו, הגם שבמקביל תחול עליו חובה להחזיר את התמורה הכספית החוזית שקיבל בערכה הממשי. עמדת התובעים, שלפיה יש להשיב את התמורה בהתאם לשווי הדירה נכון למועד הגשת התביעה, היא שגויה וחסרת בסיס. </w:t>
      </w:r>
    </w:p>
    <w:p w14:paraId="376AA13C" w14:textId="77777777" w:rsidR="00AA1934" w:rsidRPr="00A43B73" w:rsidRDefault="00AA1934" w:rsidP="00AA1934">
      <w:pPr>
        <w:spacing w:line="360" w:lineRule="auto"/>
        <w:jc w:val="both"/>
        <w:rPr>
          <w:rFonts w:ascii="Arial" w:hAnsi="Arial"/>
          <w:noProof w:val="0"/>
          <w:rtl/>
        </w:rPr>
      </w:pPr>
    </w:p>
    <w:p w14:paraId="10B839BD" w14:textId="77777777" w:rsidR="00AA1934" w:rsidRDefault="00000000" w:rsidP="00AA1934">
      <w:pPr>
        <w:pStyle w:val="1"/>
        <w:numPr>
          <w:ilvl w:val="0"/>
          <w:numId w:val="4"/>
        </w:numPr>
        <w:spacing w:line="360" w:lineRule="auto"/>
        <w:jc w:val="both"/>
        <w:rPr>
          <w:rFonts w:ascii="Arial" w:hAnsi="Arial"/>
          <w:noProof w:val="0"/>
        </w:rPr>
      </w:pPr>
      <w:r>
        <w:rPr>
          <w:rFonts w:ascii="Arial" w:hAnsi="Arial" w:hint="cs"/>
          <w:noProof w:val="0"/>
          <w:rtl/>
        </w:rPr>
        <w:t>מנגד, הנתבעת זכאית לקבל מהתובעים דמי שימוש ראויים, החל ממועד מסירת החזקה בדירה ועד להחזרת הדירה בפועל, שהרי, אי תשלום דמי השימוש עבור התקופה שבה התובעים החזיקו בדירה, תביא להתעשרותם שלא כדין.</w:t>
      </w:r>
      <w:r w:rsidRPr="00EF5018">
        <w:rPr>
          <w:rFonts w:ascii="Arial" w:hAnsi="Arial" w:hint="cs"/>
          <w:noProof w:val="0"/>
          <w:rtl/>
        </w:rPr>
        <w:t xml:space="preserve"> </w:t>
      </w:r>
      <w:r>
        <w:rPr>
          <w:rFonts w:ascii="Arial" w:hAnsi="Arial" w:hint="cs"/>
          <w:noProof w:val="0"/>
          <w:rtl/>
        </w:rPr>
        <w:t xml:space="preserve">כשם שהשבת הכסף כוללת תשלום ריבית בגין השימוש בכסף שנעשה בעת החזקתו, כך השבת הנכס צריכה לכלול תשלום דמי שימוש ראויים בגין השימוש בנכס בתקופת ההחזקה. </w:t>
      </w:r>
      <w:r w:rsidRPr="00EF5018">
        <w:rPr>
          <w:rFonts w:ascii="Arial" w:hAnsi="Arial" w:hint="cs"/>
          <w:noProof w:val="0"/>
          <w:rtl/>
        </w:rPr>
        <w:t xml:space="preserve">  </w:t>
      </w:r>
    </w:p>
    <w:p w14:paraId="068BD152" w14:textId="77777777" w:rsidR="00AA1934" w:rsidRPr="00C85D66" w:rsidRDefault="00AA1934" w:rsidP="00AA1934">
      <w:pPr>
        <w:pStyle w:val="1"/>
        <w:rPr>
          <w:rFonts w:ascii="Arial" w:hAnsi="Arial"/>
          <w:noProof w:val="0"/>
          <w:rtl/>
        </w:rPr>
      </w:pPr>
    </w:p>
    <w:p w14:paraId="3CE9D91B" w14:textId="77777777" w:rsidR="00AA1934" w:rsidRDefault="00AA1934" w:rsidP="00AA1934">
      <w:pPr>
        <w:pStyle w:val="1"/>
        <w:rPr>
          <w:rFonts w:ascii="Arial" w:hAnsi="Arial"/>
          <w:noProof w:val="0"/>
        </w:rPr>
      </w:pPr>
    </w:p>
    <w:p w14:paraId="723AC1FD" w14:textId="77777777" w:rsidR="00AA1934" w:rsidRDefault="00000000" w:rsidP="00AA1934">
      <w:pPr>
        <w:pStyle w:val="1"/>
        <w:numPr>
          <w:ilvl w:val="0"/>
          <w:numId w:val="5"/>
        </w:numPr>
        <w:spacing w:line="360" w:lineRule="auto"/>
        <w:jc w:val="both"/>
        <w:rPr>
          <w:rFonts w:ascii="Arial" w:hAnsi="Arial"/>
          <w:b/>
          <w:bCs/>
          <w:noProof w:val="0"/>
        </w:rPr>
      </w:pPr>
      <w:r>
        <w:rPr>
          <w:rFonts w:ascii="Arial" w:hAnsi="Arial"/>
          <w:b/>
          <w:bCs/>
          <w:noProof w:val="0"/>
          <w:rtl/>
        </w:rPr>
        <w:t>דיון והכרעה</w:t>
      </w:r>
    </w:p>
    <w:p w14:paraId="5330F74D" w14:textId="77777777" w:rsidR="00AA1934" w:rsidRDefault="00AA1934" w:rsidP="00AA1934">
      <w:pPr>
        <w:spacing w:line="360" w:lineRule="auto"/>
        <w:jc w:val="both"/>
        <w:rPr>
          <w:rFonts w:ascii="Arial" w:hAnsi="Arial"/>
          <w:noProof w:val="0"/>
          <w:rtl/>
        </w:rPr>
      </w:pPr>
    </w:p>
    <w:p w14:paraId="188C307F" w14:textId="58611A35" w:rsidR="00AA1934" w:rsidRPr="009D5CCE" w:rsidRDefault="00276317" w:rsidP="00AA1934">
      <w:pPr>
        <w:pStyle w:val="1"/>
        <w:numPr>
          <w:ilvl w:val="0"/>
          <w:numId w:val="6"/>
        </w:numPr>
        <w:spacing w:line="360" w:lineRule="auto"/>
        <w:jc w:val="both"/>
        <w:rPr>
          <w:rFonts w:ascii="Arial" w:hAnsi="Arial"/>
          <w:noProof w:val="0"/>
        </w:rPr>
      </w:pPr>
      <w:r w:rsidRPr="009D5CCE">
        <w:rPr>
          <w:rFonts w:ascii="Arial" w:hAnsi="Arial"/>
          <w:noProof w:val="0"/>
          <w:rtl/>
        </w:rPr>
        <w:t>סעיף 21</w:t>
      </w:r>
      <w:r w:rsidR="00000000" w:rsidRPr="009D5CCE">
        <w:rPr>
          <w:rFonts w:ascii="Arial" w:hAnsi="Arial"/>
          <w:noProof w:val="0"/>
          <w:rtl/>
        </w:rPr>
        <w:t xml:space="preserve"> </w:t>
      </w:r>
      <w:r w:rsidR="00000000" w:rsidRPr="009D5CCE">
        <w:rPr>
          <w:rFonts w:ascii="Arial" w:hAnsi="Arial"/>
          <w:b/>
          <w:bCs/>
          <w:noProof w:val="0"/>
          <w:rtl/>
        </w:rPr>
        <w:t>ל</w:t>
      </w:r>
      <w:r w:rsidR="00D967A5" w:rsidRPr="009D5CCE">
        <w:rPr>
          <w:rFonts w:ascii="Arial" w:hAnsi="Arial"/>
          <w:b/>
          <w:bCs/>
          <w:noProof w:val="0"/>
          <w:rtl/>
        </w:rPr>
        <w:t>חוק החוזים</w:t>
      </w:r>
      <w:r w:rsidR="00000000" w:rsidRPr="009D5CCE">
        <w:rPr>
          <w:rFonts w:ascii="Arial" w:hAnsi="Arial"/>
          <w:b/>
          <w:bCs/>
          <w:noProof w:val="0"/>
          <w:rtl/>
        </w:rPr>
        <w:t xml:space="preserve"> (חלק כללי) תשל"ג 1973 </w:t>
      </w:r>
      <w:r w:rsidR="00000000" w:rsidRPr="009D5CCE">
        <w:rPr>
          <w:rFonts w:ascii="Arial" w:hAnsi="Arial"/>
          <w:noProof w:val="0"/>
          <w:rtl/>
        </w:rPr>
        <w:t xml:space="preserve">קובע כי: </w:t>
      </w:r>
    </w:p>
    <w:p w14:paraId="552D44B6" w14:textId="77777777" w:rsidR="00AA1934" w:rsidRPr="009D5CCE" w:rsidRDefault="00AA1934" w:rsidP="00AA1934">
      <w:pPr>
        <w:spacing w:line="360" w:lineRule="auto"/>
        <w:jc w:val="both"/>
        <w:rPr>
          <w:rFonts w:ascii="Arial" w:hAnsi="Arial"/>
          <w:noProof w:val="0"/>
          <w:rtl/>
        </w:rPr>
      </w:pPr>
    </w:p>
    <w:p w14:paraId="44B1EC62" w14:textId="77777777" w:rsidR="00AA1934" w:rsidRPr="009D5CCE" w:rsidRDefault="00000000" w:rsidP="00AA1934">
      <w:pPr>
        <w:spacing w:line="360" w:lineRule="auto"/>
        <w:ind w:left="720"/>
        <w:jc w:val="both"/>
        <w:rPr>
          <w:rFonts w:ascii="Arial" w:hAnsi="Arial"/>
          <w:noProof w:val="0"/>
        </w:rPr>
      </w:pPr>
      <w:r w:rsidRPr="009D5CCE">
        <w:rPr>
          <w:rFonts w:ascii="Arial" w:hAnsi="Arial"/>
          <w:noProof w:val="0"/>
          <w:rtl/>
        </w:rPr>
        <w:t>"</w:t>
      </w:r>
      <w:r w:rsidRPr="009D5CCE">
        <w:rPr>
          <w:rFonts w:ascii="Arial" w:hAnsi="Arial"/>
          <w:b/>
          <w:bCs/>
          <w:noProof w:val="0"/>
          <w:rtl/>
        </w:rPr>
        <w:t>משבוטל חוזה, חייב כל צד להשיב לצד השני מה שקיבל על פי החוזה ואם ההשבה הייתה בלתי אפשרית או בלתי סבירה – לשלם לו את שוויו של מה שקיבל</w:t>
      </w:r>
      <w:r w:rsidRPr="009D5CCE">
        <w:rPr>
          <w:rFonts w:ascii="Arial" w:hAnsi="Arial"/>
          <w:noProof w:val="0"/>
          <w:rtl/>
        </w:rPr>
        <w:t>".</w:t>
      </w:r>
    </w:p>
    <w:p w14:paraId="78C64583" w14:textId="77777777" w:rsidR="00AA1934" w:rsidRPr="009D5CCE" w:rsidRDefault="00AA1934" w:rsidP="00AA1934">
      <w:pPr>
        <w:spacing w:line="360" w:lineRule="auto"/>
        <w:ind w:left="720"/>
        <w:jc w:val="both"/>
        <w:rPr>
          <w:rFonts w:ascii="Arial" w:hAnsi="Arial"/>
          <w:noProof w:val="0"/>
          <w:rtl/>
        </w:rPr>
      </w:pPr>
    </w:p>
    <w:p w14:paraId="6965B197" w14:textId="36D2C6FD" w:rsidR="00AA1934" w:rsidRPr="009D5CCE" w:rsidRDefault="00000000" w:rsidP="00AA1934">
      <w:pPr>
        <w:spacing w:line="360" w:lineRule="auto"/>
        <w:ind w:left="720"/>
        <w:jc w:val="both"/>
        <w:rPr>
          <w:rFonts w:ascii="Arial" w:hAnsi="Arial"/>
          <w:noProof w:val="0"/>
          <w:rtl/>
        </w:rPr>
      </w:pPr>
      <w:r w:rsidRPr="009D5CCE">
        <w:rPr>
          <w:rFonts w:ascii="Arial" w:hAnsi="Arial"/>
          <w:noProof w:val="0"/>
          <w:rtl/>
        </w:rPr>
        <w:t xml:space="preserve">הוראה דומה נקבעה גם </w:t>
      </w:r>
      <w:r w:rsidR="00276317" w:rsidRPr="009D5CCE">
        <w:rPr>
          <w:rFonts w:ascii="Arial" w:hAnsi="Arial"/>
          <w:noProof w:val="0"/>
          <w:rtl/>
        </w:rPr>
        <w:t>בסעיף 9(א)</w:t>
      </w:r>
      <w:r w:rsidRPr="009D5CCE">
        <w:rPr>
          <w:rFonts w:ascii="Arial" w:hAnsi="Arial"/>
          <w:noProof w:val="0"/>
          <w:rtl/>
        </w:rPr>
        <w:t xml:space="preserve"> </w:t>
      </w:r>
      <w:r w:rsidRPr="009D5CCE">
        <w:rPr>
          <w:rFonts w:ascii="Arial" w:hAnsi="Arial"/>
          <w:b/>
          <w:bCs/>
          <w:noProof w:val="0"/>
          <w:rtl/>
        </w:rPr>
        <w:t>ל</w:t>
      </w:r>
      <w:r w:rsidR="00D967A5" w:rsidRPr="009D5CCE">
        <w:rPr>
          <w:rFonts w:ascii="Arial" w:hAnsi="Arial"/>
          <w:b/>
          <w:bCs/>
          <w:noProof w:val="0"/>
          <w:rtl/>
        </w:rPr>
        <w:t>חוק החוזים (תרופות בשל הפרת חוזה)</w:t>
      </w:r>
      <w:r w:rsidRPr="009D5CCE">
        <w:rPr>
          <w:rFonts w:ascii="Arial" w:hAnsi="Arial"/>
          <w:b/>
          <w:bCs/>
          <w:noProof w:val="0"/>
          <w:rtl/>
        </w:rPr>
        <w:t xml:space="preserve"> תשל"א – 1970. </w:t>
      </w:r>
    </w:p>
    <w:p w14:paraId="7D5AE98F" w14:textId="77777777" w:rsidR="00AA1934" w:rsidRPr="009D5CCE" w:rsidRDefault="00AA1934" w:rsidP="00AA1934">
      <w:pPr>
        <w:spacing w:line="360" w:lineRule="auto"/>
        <w:ind w:left="720"/>
        <w:jc w:val="both"/>
        <w:rPr>
          <w:rFonts w:ascii="Arial" w:hAnsi="Arial"/>
          <w:noProof w:val="0"/>
          <w:rtl/>
        </w:rPr>
      </w:pPr>
    </w:p>
    <w:p w14:paraId="23BF0EE2" w14:textId="77777777" w:rsidR="00AA1934" w:rsidRPr="009D5CCE" w:rsidRDefault="00D967A5" w:rsidP="00AA1934">
      <w:pPr>
        <w:spacing w:line="360" w:lineRule="auto"/>
        <w:ind w:left="720"/>
        <w:jc w:val="both"/>
        <w:rPr>
          <w:rFonts w:ascii="Arial" w:hAnsi="Arial"/>
          <w:noProof w:val="0"/>
          <w:rtl/>
        </w:rPr>
      </w:pPr>
      <w:r w:rsidRPr="009D5CCE">
        <w:rPr>
          <w:rFonts w:ascii="Arial" w:hAnsi="Arial"/>
          <w:noProof w:val="0"/>
          <w:sz w:val="2"/>
          <w:szCs w:val="2"/>
          <w:rtl/>
        </w:rPr>
        <w:t>051293710</w:t>
      </w:r>
      <w:r w:rsidR="00000000" w:rsidRPr="009D5CCE">
        <w:rPr>
          <w:rFonts w:ascii="Arial" w:hAnsi="Arial"/>
          <w:noProof w:val="0"/>
          <w:rtl/>
        </w:rPr>
        <w:t>השאלה שיש להכריע בה בענייננו היא באיזה אופן יושבו הכספים שעל הנתבעת להשיב לתובעים: האם בצירוף ריבית והצמדה כחוק, החל ממועד התשלום ובקיזוז דמי השימוש הראויים כטענת הנתבעת, או לפי ערכה של דירה עם חנייה תקנית במועד הגשת התביעה, ללא קיזוז דמי השימוש הראויים, כטענת התובעים?</w:t>
      </w:r>
    </w:p>
    <w:p w14:paraId="73AAB85C" w14:textId="77777777" w:rsidR="00AA1934" w:rsidRPr="009D5CCE" w:rsidRDefault="00D967A5" w:rsidP="00AA1934">
      <w:pPr>
        <w:spacing w:line="360" w:lineRule="auto"/>
        <w:ind w:left="720"/>
        <w:jc w:val="both"/>
        <w:rPr>
          <w:rFonts w:ascii="Arial" w:hAnsi="Arial"/>
          <w:noProof w:val="0"/>
          <w:sz w:val="2"/>
          <w:szCs w:val="2"/>
          <w:rtl/>
        </w:rPr>
      </w:pPr>
      <w:r w:rsidRPr="009D5CCE">
        <w:rPr>
          <w:rFonts w:ascii="Arial" w:hAnsi="Arial"/>
          <w:noProof w:val="0"/>
          <w:sz w:val="2"/>
          <w:szCs w:val="2"/>
          <w:rtl/>
        </w:rPr>
        <w:t>054678313</w:t>
      </w:r>
      <w:r w:rsidR="00000000" w:rsidRPr="009D5CCE">
        <w:rPr>
          <w:rFonts w:ascii="Arial" w:hAnsi="Arial"/>
          <w:noProof w:val="0"/>
          <w:sz w:val="2"/>
          <w:szCs w:val="2"/>
          <w:rtl/>
        </w:rPr>
        <w:t xml:space="preserve">  </w:t>
      </w:r>
    </w:p>
    <w:p w14:paraId="776F8D77" w14:textId="2A4D2BBE" w:rsidR="00AA1934" w:rsidRDefault="00000000" w:rsidP="00AA1934">
      <w:pPr>
        <w:pStyle w:val="1"/>
        <w:numPr>
          <w:ilvl w:val="0"/>
          <w:numId w:val="6"/>
        </w:numPr>
        <w:spacing w:line="360" w:lineRule="auto"/>
        <w:jc w:val="both"/>
        <w:rPr>
          <w:rFonts w:ascii="Arial" w:hAnsi="Arial"/>
          <w:noProof w:val="0"/>
          <w:rtl/>
        </w:rPr>
      </w:pPr>
      <w:r w:rsidRPr="009D5CCE">
        <w:rPr>
          <w:rFonts w:ascii="Arial" w:hAnsi="Arial"/>
          <w:noProof w:val="0"/>
          <w:rtl/>
        </w:rPr>
        <w:t>ב</w:t>
      </w:r>
      <w:r w:rsidR="00D967A5" w:rsidRPr="009D5CCE">
        <w:rPr>
          <w:rFonts w:ascii="Arial" w:hAnsi="Arial"/>
          <w:noProof w:val="0"/>
          <w:rtl/>
        </w:rPr>
        <w:t>ע"א 741/79</w:t>
      </w:r>
      <w:r w:rsidRPr="009D5CCE">
        <w:rPr>
          <w:rFonts w:ascii="Arial" w:hAnsi="Arial"/>
          <w:noProof w:val="0"/>
          <w:rtl/>
        </w:rPr>
        <w:t xml:space="preserve"> </w:t>
      </w:r>
      <w:r w:rsidRPr="009D5CCE">
        <w:rPr>
          <w:rFonts w:ascii="Arial" w:hAnsi="Arial"/>
          <w:b/>
          <w:bCs/>
          <w:noProof w:val="0"/>
          <w:rtl/>
        </w:rPr>
        <w:t>כלנית השרון השקעות ובנין בע"מ נ' רבקה הורוביץ</w:t>
      </w:r>
      <w:r w:rsidRPr="009D5CCE">
        <w:rPr>
          <w:rFonts w:ascii="Arial" w:hAnsi="Arial"/>
          <w:noProof w:val="0"/>
          <w:rtl/>
        </w:rPr>
        <w:t xml:space="preserve"> (11.3.81)  (להלן:</w:t>
      </w:r>
      <w:r>
        <w:rPr>
          <w:rFonts w:ascii="Arial" w:hAnsi="Arial"/>
          <w:noProof w:val="0"/>
          <w:rtl/>
        </w:rPr>
        <w:t xml:space="preserve"> </w:t>
      </w:r>
      <w:r>
        <w:rPr>
          <w:rFonts w:ascii="Arial" w:hAnsi="Arial"/>
          <w:b/>
          <w:bCs/>
          <w:noProof w:val="0"/>
          <w:rtl/>
        </w:rPr>
        <w:t>פס"ד כלנית השרון</w:t>
      </w:r>
      <w:r>
        <w:rPr>
          <w:rFonts w:ascii="Arial" w:hAnsi="Arial"/>
          <w:noProof w:val="0"/>
          <w:rtl/>
        </w:rPr>
        <w:t>), קבע השופט ברק כי:</w:t>
      </w:r>
    </w:p>
    <w:p w14:paraId="0D930BBD" w14:textId="77777777" w:rsidR="00AA1934" w:rsidRDefault="00AA1934" w:rsidP="00AA1934">
      <w:pPr>
        <w:spacing w:line="360" w:lineRule="auto"/>
        <w:jc w:val="both"/>
        <w:rPr>
          <w:rFonts w:ascii="Arial" w:hAnsi="Arial"/>
          <w:noProof w:val="0"/>
        </w:rPr>
      </w:pPr>
    </w:p>
    <w:p w14:paraId="5D360EBA" w14:textId="77777777" w:rsidR="00AA1934" w:rsidRDefault="00000000" w:rsidP="00AA1934">
      <w:pPr>
        <w:spacing w:line="360" w:lineRule="auto"/>
        <w:ind w:left="720"/>
        <w:jc w:val="both"/>
        <w:rPr>
          <w:rFonts w:ascii="Arial" w:hAnsi="Arial"/>
          <w:noProof w:val="0"/>
        </w:rPr>
      </w:pPr>
      <w:r>
        <w:rPr>
          <w:rFonts w:ascii="Arial" w:hAnsi="Arial"/>
          <w:noProof w:val="0"/>
          <w:rtl/>
        </w:rPr>
        <w:t>"</w:t>
      </w:r>
      <w:r>
        <w:rPr>
          <w:rFonts w:ascii="Arial" w:hAnsi="Arial"/>
          <w:b/>
          <w:bCs/>
          <w:noProof w:val="0"/>
          <w:rtl/>
        </w:rPr>
        <w:t>מטרת ההשבה וטבעה הם למנוע התעשרות שלא כדין. אך מהו שיעורה של ההשבה? ... בעניין אחרון זה – שיעור ההשבה – אין להצביע על נוסחה אחת, הטובה לכל המקרים, אלא יש מקום לקבוע מבחני עזר שונים, המשתנים על פי הנסיבות, והנגזרים מהעיקרון היסודי בדבר מניעת התעשרות שלא כדין. יש ושיעור ההשבה ייקבע על פי הוצאות שהוצאו, ויש ושיעור ההשבה ייקבע לפי ערך שונה, ויש ושיעור ההשבה ייקבע על פי טובת ההנאה שצמחה ויש ושיעור ההשבה ייקבע על פי מבחן סביר אחר</w:t>
      </w:r>
      <w:r>
        <w:rPr>
          <w:rFonts w:ascii="Arial" w:hAnsi="Arial"/>
          <w:noProof w:val="0"/>
          <w:rtl/>
        </w:rPr>
        <w:t>" (שם, בעמ' 541).</w:t>
      </w:r>
    </w:p>
    <w:p w14:paraId="7DDFD0D4" w14:textId="77777777" w:rsidR="00AA1934" w:rsidRDefault="00AA1934" w:rsidP="00AA1934">
      <w:pPr>
        <w:spacing w:line="360" w:lineRule="auto"/>
        <w:ind w:left="720"/>
        <w:jc w:val="both"/>
        <w:rPr>
          <w:rFonts w:ascii="Arial" w:hAnsi="Arial"/>
          <w:noProof w:val="0"/>
          <w:rtl/>
        </w:rPr>
      </w:pPr>
    </w:p>
    <w:p w14:paraId="0E5B5E5D" w14:textId="2FDFE1F7" w:rsidR="00AA1934" w:rsidRDefault="00000000" w:rsidP="00AA1934">
      <w:pPr>
        <w:spacing w:line="360" w:lineRule="auto"/>
        <w:ind w:left="720"/>
        <w:jc w:val="both"/>
        <w:rPr>
          <w:rFonts w:ascii="Arial" w:hAnsi="Arial"/>
          <w:b/>
          <w:bCs/>
          <w:noProof w:val="0"/>
          <w:rtl/>
        </w:rPr>
      </w:pPr>
      <w:r w:rsidRPr="009D5CCE">
        <w:rPr>
          <w:rFonts w:ascii="Arial" w:hAnsi="Arial"/>
          <w:noProof w:val="0"/>
          <w:rtl/>
        </w:rPr>
        <w:t>ב</w:t>
      </w:r>
      <w:r w:rsidR="00D967A5" w:rsidRPr="009D5CCE">
        <w:rPr>
          <w:rFonts w:ascii="Arial" w:hAnsi="Arial"/>
          <w:noProof w:val="0"/>
          <w:rtl/>
        </w:rPr>
        <w:t>ע"א 5267/03</w:t>
      </w:r>
      <w:r w:rsidRPr="009D5CCE">
        <w:rPr>
          <w:rFonts w:ascii="Arial" w:hAnsi="Arial"/>
          <w:noProof w:val="0"/>
          <w:rtl/>
        </w:rPr>
        <w:t xml:space="preserve"> </w:t>
      </w:r>
      <w:r w:rsidRPr="009D5CCE">
        <w:rPr>
          <w:rFonts w:ascii="Arial" w:hAnsi="Arial"/>
          <w:b/>
          <w:bCs/>
          <w:noProof w:val="0"/>
          <w:rtl/>
        </w:rPr>
        <w:t>פרג' גשורי נ' מיטל</w:t>
      </w:r>
      <w:r w:rsidRPr="009D5CCE">
        <w:rPr>
          <w:rFonts w:ascii="Arial" w:hAnsi="Arial"/>
          <w:noProof w:val="0"/>
          <w:rtl/>
        </w:rPr>
        <w:t xml:space="preserve"> (18.1.05) (להלן: </w:t>
      </w:r>
      <w:r w:rsidRPr="009D5CCE">
        <w:rPr>
          <w:rFonts w:ascii="Arial" w:hAnsi="Arial"/>
          <w:b/>
          <w:bCs/>
          <w:noProof w:val="0"/>
          <w:rtl/>
        </w:rPr>
        <w:t>פס"ד פרג'</w:t>
      </w:r>
      <w:r w:rsidRPr="009D5CCE">
        <w:rPr>
          <w:rFonts w:ascii="Arial" w:hAnsi="Arial"/>
          <w:noProof w:val="0"/>
          <w:rtl/>
        </w:rPr>
        <w:t>), נקבע בעמ' 349 כי:</w:t>
      </w:r>
      <w:r>
        <w:rPr>
          <w:rFonts w:ascii="Arial" w:hAnsi="Arial"/>
          <w:noProof w:val="0"/>
          <w:rtl/>
        </w:rPr>
        <w:t xml:space="preserve"> "</w:t>
      </w:r>
      <w:r>
        <w:rPr>
          <w:rFonts w:ascii="Arial" w:hAnsi="Arial"/>
          <w:b/>
          <w:bCs/>
          <w:noProof w:val="0"/>
          <w:rtl/>
        </w:rPr>
        <w:t>אין עמנו נוסחה קבועה וקשיחה שתהא ישימה לכל מקרה לקביעת שיעור ההשבה והיקפה. שיטת השערוך אינה אחידה, ולשופט שיקול דעת רחב בכגון דא"</w:t>
      </w:r>
      <w:r>
        <w:rPr>
          <w:rFonts w:ascii="Arial" w:hAnsi="Arial"/>
          <w:noProof w:val="0"/>
          <w:rtl/>
        </w:rPr>
        <w:t>.</w:t>
      </w:r>
    </w:p>
    <w:p w14:paraId="623FC750" w14:textId="77777777" w:rsidR="00AA1934" w:rsidRDefault="00AA1934" w:rsidP="00AA1934">
      <w:pPr>
        <w:spacing w:line="360" w:lineRule="auto"/>
        <w:ind w:left="720"/>
        <w:jc w:val="both"/>
        <w:rPr>
          <w:rFonts w:ascii="Arial" w:hAnsi="Arial"/>
          <w:noProof w:val="0"/>
          <w:rtl/>
        </w:rPr>
      </w:pPr>
    </w:p>
    <w:p w14:paraId="43CE2460" w14:textId="10B96648" w:rsidR="00AA1934" w:rsidRDefault="00000000" w:rsidP="00AA1934">
      <w:pPr>
        <w:pStyle w:val="1"/>
        <w:numPr>
          <w:ilvl w:val="0"/>
          <w:numId w:val="6"/>
        </w:numPr>
        <w:spacing w:line="360" w:lineRule="auto"/>
        <w:jc w:val="both"/>
        <w:rPr>
          <w:rFonts w:ascii="Arial" w:hAnsi="Arial"/>
          <w:noProof w:val="0"/>
          <w:rtl/>
        </w:rPr>
      </w:pPr>
      <w:r>
        <w:rPr>
          <w:rFonts w:ascii="Arial" w:hAnsi="Arial"/>
          <w:noProof w:val="0"/>
          <w:rtl/>
        </w:rPr>
        <w:t xml:space="preserve">בפסיקה נקבע שיש לקחת בחשבון </w:t>
      </w:r>
      <w:r>
        <w:rPr>
          <w:rFonts w:ascii="Arial" w:hAnsi="Arial" w:hint="cs"/>
          <w:noProof w:val="0"/>
          <w:rtl/>
        </w:rPr>
        <w:t xml:space="preserve">לצורך בחינת </w:t>
      </w:r>
      <w:r>
        <w:rPr>
          <w:rFonts w:ascii="Arial" w:hAnsi="Arial"/>
          <w:noProof w:val="0"/>
          <w:rtl/>
        </w:rPr>
        <w:t xml:space="preserve">אופן ביצוע ההשבה, גם שיקולים ערכיים הנוגעים להתנהלות הצדדים ולהרתעה בפני התנהגות פסולה (ראו: דניאל פרידמן ונילי </w:t>
      </w:r>
      <w:r w:rsidRPr="009D5CCE">
        <w:rPr>
          <w:rFonts w:ascii="Arial" w:hAnsi="Arial"/>
          <w:noProof w:val="0"/>
          <w:rtl/>
        </w:rPr>
        <w:t>כהן, "</w:t>
      </w:r>
      <w:r w:rsidR="00D967A5" w:rsidRPr="009D5CCE">
        <w:rPr>
          <w:rFonts w:ascii="Arial" w:hAnsi="Arial"/>
          <w:b/>
          <w:bCs/>
          <w:noProof w:val="0"/>
          <w:rtl/>
        </w:rPr>
        <w:t>חוזים"</w:t>
      </w:r>
      <w:r w:rsidRPr="009D5CCE">
        <w:rPr>
          <w:rFonts w:ascii="Arial" w:hAnsi="Arial"/>
          <w:noProof w:val="0"/>
          <w:rtl/>
        </w:rPr>
        <w:t xml:space="preserve"> עמ' 634-641). ב</w:t>
      </w:r>
      <w:r w:rsidR="00D967A5" w:rsidRPr="009D5CCE">
        <w:rPr>
          <w:rFonts w:ascii="Arial" w:hAnsi="Arial"/>
          <w:noProof w:val="0"/>
          <w:rtl/>
        </w:rPr>
        <w:t>ע"א 457/81</w:t>
      </w:r>
      <w:r w:rsidRPr="009D5CCE">
        <w:rPr>
          <w:rFonts w:ascii="Arial" w:hAnsi="Arial"/>
          <w:noProof w:val="0"/>
          <w:rtl/>
        </w:rPr>
        <w:t xml:space="preserve"> </w:t>
      </w:r>
      <w:r w:rsidRPr="009D5CCE">
        <w:rPr>
          <w:rFonts w:ascii="Arial" w:hAnsi="Arial"/>
          <w:b/>
          <w:bCs/>
          <w:noProof w:val="0"/>
          <w:rtl/>
        </w:rPr>
        <w:t xml:space="preserve">ספיר נ' אחוזת איל בע"מ </w:t>
      </w:r>
      <w:r w:rsidRPr="009D5CCE">
        <w:rPr>
          <w:rFonts w:ascii="Arial" w:hAnsi="Arial"/>
          <w:noProof w:val="0"/>
          <w:rtl/>
        </w:rPr>
        <w:t>(</w:t>
      </w:r>
      <w:r>
        <w:rPr>
          <w:rFonts w:ascii="Arial" w:hAnsi="Arial"/>
          <w:noProof w:val="0"/>
          <w:rtl/>
        </w:rPr>
        <w:t>20.8.86), נדונה השאלה האם לאחר שנקבע שאין להסכם למכירת מקרקעין תוקף ועל המוכר להשיב לרוכש את התמורה ששילם, על המוכר להשיב את הסכום בהתאם לשוויה הנוכחי של הקרקע. נפסק שם כי "</w:t>
      </w:r>
      <w:r>
        <w:rPr>
          <w:rFonts w:ascii="Arial" w:hAnsi="Arial"/>
          <w:b/>
          <w:bCs/>
          <w:noProof w:val="0"/>
          <w:rtl/>
        </w:rPr>
        <w:t>מידת התעשרותם של המשיבים היא כשוויו של חלק יחסי של חטיבת קרקע שרכשו</w:t>
      </w:r>
      <w:r>
        <w:rPr>
          <w:rFonts w:ascii="Arial" w:hAnsi="Arial"/>
          <w:noProof w:val="0"/>
          <w:rtl/>
        </w:rPr>
        <w:t xml:space="preserve"> </w:t>
      </w:r>
      <w:r>
        <w:rPr>
          <w:rFonts w:ascii="Arial" w:hAnsi="Arial"/>
          <w:b/>
          <w:bCs/>
          <w:noProof w:val="0"/>
          <w:rtl/>
        </w:rPr>
        <w:t>בכספו של המערער... בנסיבות מקרה זה, מידת התעשרותם של המשיבים מכספו של המערער היא כשוויו של חלק יחסי בקרקע שרכשו בכסף זה</w:t>
      </w:r>
      <w:r>
        <w:rPr>
          <w:rFonts w:ascii="Arial" w:hAnsi="Arial"/>
          <w:noProof w:val="0"/>
          <w:rtl/>
        </w:rPr>
        <w:t xml:space="preserve">". לכן, נקבע שם שיש לשערך את סכום הכסף שעל המוכר להשיב לקונה לפי שווי המקרקעין כיום – בסמוך למועד פסק הדין. </w:t>
      </w:r>
    </w:p>
    <w:p w14:paraId="56564852" w14:textId="77777777" w:rsidR="00AA1934" w:rsidRDefault="00AA1934" w:rsidP="00AA1934">
      <w:pPr>
        <w:spacing w:line="360" w:lineRule="auto"/>
        <w:jc w:val="both"/>
        <w:rPr>
          <w:rFonts w:ascii="Arial" w:hAnsi="Arial"/>
          <w:noProof w:val="0"/>
          <w:rtl/>
        </w:rPr>
      </w:pPr>
    </w:p>
    <w:p w14:paraId="47215CA3" w14:textId="0C3F5F8B" w:rsidR="00AA1934" w:rsidRPr="009D5CCE" w:rsidRDefault="00000000" w:rsidP="00AA1934">
      <w:pPr>
        <w:pStyle w:val="1"/>
        <w:numPr>
          <w:ilvl w:val="0"/>
          <w:numId w:val="6"/>
        </w:numPr>
        <w:spacing w:line="360" w:lineRule="auto"/>
        <w:jc w:val="both"/>
        <w:rPr>
          <w:rFonts w:ascii="Arial" w:hAnsi="Arial"/>
          <w:b/>
          <w:bCs/>
          <w:noProof w:val="0"/>
        </w:rPr>
      </w:pPr>
      <w:r w:rsidRPr="009D5CCE">
        <w:rPr>
          <w:rFonts w:ascii="Arial" w:hAnsi="Arial"/>
          <w:noProof w:val="0"/>
          <w:rtl/>
        </w:rPr>
        <w:t>גם ב</w:t>
      </w:r>
      <w:r w:rsidR="00D967A5" w:rsidRPr="009D5CCE">
        <w:rPr>
          <w:rFonts w:ascii="Arial" w:hAnsi="Arial"/>
          <w:noProof w:val="0"/>
          <w:rtl/>
        </w:rPr>
        <w:t>ע"א 4141/07</w:t>
      </w:r>
      <w:r w:rsidRPr="009D5CCE">
        <w:rPr>
          <w:rFonts w:ascii="Arial" w:hAnsi="Arial"/>
          <w:noProof w:val="0"/>
          <w:rtl/>
        </w:rPr>
        <w:t xml:space="preserve"> </w:t>
      </w:r>
      <w:r w:rsidRPr="009D5CCE">
        <w:rPr>
          <w:rFonts w:ascii="Arial" w:hAnsi="Arial"/>
          <w:b/>
          <w:bCs/>
          <w:noProof w:val="0"/>
          <w:rtl/>
        </w:rPr>
        <w:t>עזאני נ' לוטפיה</w:t>
      </w:r>
      <w:r w:rsidRPr="009D5CCE">
        <w:rPr>
          <w:rFonts w:ascii="Arial" w:hAnsi="Arial"/>
          <w:noProof w:val="0"/>
          <w:rtl/>
        </w:rPr>
        <w:t xml:space="preserve"> (22.11.07) נדונה שאלת אופן הערכת שווי סכום ההשבה וערכאת הערעור אישרה את פסק דינו של בית משפט השלום, שקבע שיש להעמיד את מי שהצד השני הפר את ההסכם עמו, </w:t>
      </w:r>
      <w:r w:rsidRPr="009D5CCE">
        <w:rPr>
          <w:rFonts w:ascii="Arial" w:hAnsi="Arial"/>
          <w:b/>
          <w:bCs/>
          <w:noProof w:val="0"/>
          <w:rtl/>
        </w:rPr>
        <w:t xml:space="preserve">"במצב שבו תוכל לרכוש עובר למתן פסק הדין, זכויות דומות במקרקעין, כפי שזכאית הייתה לעשות על פי הסכם המכר".     </w:t>
      </w:r>
    </w:p>
    <w:p w14:paraId="65EBB3CD" w14:textId="77777777" w:rsidR="00AA1934" w:rsidRPr="009D5CCE" w:rsidRDefault="00AA1934" w:rsidP="00AA1934">
      <w:pPr>
        <w:pStyle w:val="1"/>
        <w:rPr>
          <w:rFonts w:ascii="Arial" w:hAnsi="Arial"/>
          <w:noProof w:val="0"/>
        </w:rPr>
      </w:pPr>
    </w:p>
    <w:p w14:paraId="1E5DB078" w14:textId="76410679" w:rsidR="00AA1934" w:rsidRPr="009D5CCE" w:rsidRDefault="00000000" w:rsidP="00AA1934">
      <w:pPr>
        <w:spacing w:line="360" w:lineRule="auto"/>
        <w:ind w:left="720"/>
        <w:jc w:val="both"/>
        <w:rPr>
          <w:rFonts w:ascii="Arial" w:hAnsi="Arial"/>
          <w:noProof w:val="0"/>
        </w:rPr>
      </w:pPr>
      <w:r w:rsidRPr="009D5CCE">
        <w:rPr>
          <w:rFonts w:ascii="Arial" w:hAnsi="Arial"/>
          <w:noProof w:val="0"/>
          <w:rtl/>
        </w:rPr>
        <w:t>ר</w:t>
      </w:r>
      <w:r w:rsidRPr="009D5CCE">
        <w:rPr>
          <w:rFonts w:ascii="Arial" w:hAnsi="Arial" w:hint="cs"/>
          <w:noProof w:val="0"/>
          <w:rtl/>
        </w:rPr>
        <w:t>או</w:t>
      </w:r>
      <w:r w:rsidRPr="009D5CCE">
        <w:rPr>
          <w:rFonts w:ascii="Arial" w:hAnsi="Arial"/>
          <w:noProof w:val="0"/>
          <w:rtl/>
        </w:rPr>
        <w:t xml:space="preserve">: </w:t>
      </w:r>
      <w:r w:rsidR="00D967A5" w:rsidRPr="009D5CCE">
        <w:rPr>
          <w:rFonts w:ascii="Arial" w:hAnsi="Arial"/>
          <w:noProof w:val="0"/>
          <w:rtl/>
        </w:rPr>
        <w:t>ת"א 9271-07</w:t>
      </w:r>
      <w:r w:rsidRPr="009D5CCE">
        <w:rPr>
          <w:rFonts w:ascii="Arial" w:hAnsi="Arial"/>
          <w:noProof w:val="0"/>
          <w:rtl/>
        </w:rPr>
        <w:t xml:space="preserve"> </w:t>
      </w:r>
      <w:r w:rsidRPr="009D5CCE">
        <w:rPr>
          <w:rFonts w:ascii="Arial" w:hAnsi="Arial"/>
          <w:b/>
          <w:bCs/>
          <w:noProof w:val="0"/>
          <w:rtl/>
        </w:rPr>
        <w:t>יורשי המנוחים חפצדי נ' יורשי המנוח בראשי</w:t>
      </w:r>
      <w:r w:rsidRPr="009D5CCE">
        <w:rPr>
          <w:rFonts w:ascii="Arial" w:hAnsi="Arial"/>
          <w:noProof w:val="0"/>
          <w:rtl/>
        </w:rPr>
        <w:t xml:space="preserve"> (5.5.10).</w:t>
      </w:r>
    </w:p>
    <w:p w14:paraId="0B479BC7" w14:textId="77777777" w:rsidR="00AA1934" w:rsidRDefault="00AA1934" w:rsidP="00AA1934">
      <w:pPr>
        <w:spacing w:line="360" w:lineRule="auto"/>
        <w:ind w:left="720"/>
        <w:jc w:val="both"/>
        <w:rPr>
          <w:rFonts w:ascii="Arial" w:hAnsi="Arial"/>
          <w:noProof w:val="0"/>
          <w:rtl/>
        </w:rPr>
      </w:pPr>
    </w:p>
    <w:p w14:paraId="552FCCE6" w14:textId="77777777" w:rsidR="00AA1934" w:rsidRDefault="00000000" w:rsidP="00AA1934">
      <w:pPr>
        <w:pStyle w:val="1"/>
        <w:numPr>
          <w:ilvl w:val="0"/>
          <w:numId w:val="6"/>
        </w:numPr>
        <w:spacing w:line="360" w:lineRule="auto"/>
        <w:jc w:val="both"/>
        <w:rPr>
          <w:rFonts w:ascii="Arial" w:hAnsi="Arial"/>
          <w:b/>
          <w:bCs/>
          <w:noProof w:val="0"/>
          <w:rtl/>
        </w:rPr>
      </w:pPr>
      <w:r>
        <w:rPr>
          <w:rFonts w:ascii="Arial" w:hAnsi="Arial"/>
          <w:noProof w:val="0"/>
          <w:rtl/>
        </w:rPr>
        <w:t>המלומדים גבריאלה שלו ויהודה אדר מציינים בספרם "</w:t>
      </w:r>
      <w:hyperlink r:id="rId7" w:history="1">
        <w:r w:rsidR="00F35BCC" w:rsidRPr="00F35BCC">
          <w:rPr>
            <w:rStyle w:val="Hyperlink"/>
            <w:rFonts w:ascii="Arial" w:hAnsi="Arial"/>
            <w:b/>
            <w:bCs/>
            <w:noProof w:val="0"/>
            <w:color w:val="000000"/>
            <w:u w:val="none"/>
            <w:rtl/>
          </w:rPr>
          <w:t>דיני חוזים – התרופות, לקראת קודיפיקציה של המשפט האזרחי</w:t>
        </w:r>
      </w:hyperlink>
      <w:r>
        <w:rPr>
          <w:rFonts w:ascii="Arial" w:hAnsi="Arial"/>
          <w:noProof w:val="0"/>
          <w:rtl/>
        </w:rPr>
        <w:t>", בעמ' 738-37, כי: "</w:t>
      </w:r>
      <w:r>
        <w:rPr>
          <w:rFonts w:ascii="Arial" w:hAnsi="Arial"/>
          <w:b/>
          <w:bCs/>
          <w:noProof w:val="0"/>
          <w:rtl/>
        </w:rPr>
        <w:t>כאשר המזכה הוא הנפגע, הרי שככלל יש לפסוק לטובתו השבה על פי אמת המידה הנוחה לו... יישומו של עיקרון זה מוליך למסקנה שאם לדוגמא, מכר הנפגע נכס שערכו ירד בתקופת הביניים, יחויב הקונה המפר להשיב כפי ערכו המוקדם. תוצאה זו מוצדקת שכן היא מבטיחה הגנה על האינטרס הלגיטימי של הנפגע שלא להיפגע עקב קיום החוזה, שבוטל בשל הפרתו. בכך מוגשמת התכלית האובייקטיבית של ההשבה... לעומת זאת, כאשר ערכו של הנכס שמסר הנפגע למפר עלה בתקופת הביניים, ראוי לאמץ דווקא את המועד המאוחר יותר לשם קביעת שיעור ההשבה".</w:t>
      </w:r>
    </w:p>
    <w:p w14:paraId="25D488D2" w14:textId="77777777" w:rsidR="00AA1934" w:rsidRDefault="00000000" w:rsidP="00AA1934">
      <w:pPr>
        <w:pStyle w:val="1"/>
        <w:spacing w:line="360" w:lineRule="auto"/>
        <w:jc w:val="both"/>
        <w:rPr>
          <w:rFonts w:ascii="Arial" w:hAnsi="Arial"/>
          <w:b/>
          <w:bCs/>
          <w:noProof w:val="0"/>
          <w:rtl/>
        </w:rPr>
      </w:pPr>
      <w:r>
        <w:rPr>
          <w:rFonts w:ascii="Arial" w:hAnsi="Arial"/>
          <w:b/>
          <w:bCs/>
          <w:noProof w:val="0"/>
          <w:rtl/>
        </w:rPr>
        <w:t xml:space="preserve"> </w:t>
      </w:r>
    </w:p>
    <w:p w14:paraId="65919E07" w14:textId="77777777" w:rsidR="00AA1934" w:rsidRDefault="00000000" w:rsidP="00AA1934">
      <w:pPr>
        <w:pStyle w:val="1"/>
        <w:numPr>
          <w:ilvl w:val="0"/>
          <w:numId w:val="6"/>
        </w:numPr>
        <w:spacing w:line="360" w:lineRule="auto"/>
        <w:jc w:val="both"/>
        <w:rPr>
          <w:rFonts w:ascii="Arial" w:hAnsi="Arial"/>
          <w:noProof w:val="0"/>
        </w:rPr>
      </w:pPr>
      <w:r>
        <w:rPr>
          <w:rFonts w:ascii="Arial" w:hAnsi="Arial"/>
          <w:noProof w:val="0"/>
          <w:rtl/>
        </w:rPr>
        <w:t>זאת ועוד: המלומדים פרופ' דניאל פרידמן ופרופ' נילי כהן, התייחסו בספרם "</w:t>
      </w:r>
      <w:r>
        <w:rPr>
          <w:rFonts w:ascii="Arial" w:hAnsi="Arial"/>
          <w:b/>
          <w:bCs/>
          <w:noProof w:val="0"/>
          <w:rtl/>
        </w:rPr>
        <w:t>חוזים</w:t>
      </w:r>
      <w:r>
        <w:rPr>
          <w:rFonts w:ascii="Arial" w:hAnsi="Arial"/>
          <w:noProof w:val="0"/>
          <w:rtl/>
        </w:rPr>
        <w:t>", בעמ' 634, לנושא ההשבה בעתות של אינפלציה וציינו כי: "</w:t>
      </w:r>
      <w:r>
        <w:rPr>
          <w:rFonts w:ascii="Arial" w:hAnsi="Arial"/>
          <w:b/>
          <w:bCs/>
          <w:noProof w:val="0"/>
          <w:rtl/>
        </w:rPr>
        <w:t>בתקופה של אינפלציה החזרת מזומנים בסכום זהה לסכום שנתקבל מקפחת את הנושה, בעיקר כאשר מוטל עליו להחזיר בעין את הנכס שניתן לו (שלפחות ערכו הנומינלי עלה מחמת האינפלציה), ואילו הוא יזכה בהשבת הכסף שערכו נפל. אין זה ברור לחלוטין, אם החזרת מזומנים בסכום זהה לזה שנתקבל, היא אכן, החזרה בעין. אם אין הדבר כן, ניתן לפסוק את השווי, שהוא סכום כסף בעל כוח קניה דומה לסכום ששולם בשעתו</w:t>
      </w:r>
      <w:r>
        <w:rPr>
          <w:rFonts w:ascii="Arial" w:hAnsi="Arial"/>
          <w:noProof w:val="0"/>
          <w:rtl/>
        </w:rPr>
        <w:t xml:space="preserve">. </w:t>
      </w:r>
      <w:r>
        <w:rPr>
          <w:rFonts w:ascii="Arial" w:hAnsi="Arial"/>
          <w:b/>
          <w:bCs/>
          <w:noProof w:val="0"/>
          <w:rtl/>
        </w:rPr>
        <w:t>שווי זה מהווה, למעשה, הצמדה. אולם אפילו תיחשב החזרת מזומנים בסכום זהה להשבה בעין, גורסים בתי המשפט כי השבה בערכים נומינליים, בתנאי אינפלציה, איננה סבירה</w:t>
      </w:r>
      <w:r>
        <w:rPr>
          <w:rFonts w:ascii="Arial" w:hAnsi="Arial"/>
          <w:noProof w:val="0"/>
          <w:rtl/>
        </w:rPr>
        <w:t xml:space="preserve">". </w:t>
      </w:r>
    </w:p>
    <w:p w14:paraId="1E686629" w14:textId="77777777" w:rsidR="00AA1934" w:rsidRDefault="00AA1934" w:rsidP="00AA1934">
      <w:pPr>
        <w:pStyle w:val="1"/>
        <w:rPr>
          <w:rFonts w:ascii="Arial" w:hAnsi="Arial"/>
          <w:noProof w:val="0"/>
        </w:rPr>
      </w:pPr>
    </w:p>
    <w:p w14:paraId="2623F0CA" w14:textId="77777777" w:rsidR="00AA1934" w:rsidRDefault="00000000" w:rsidP="00AA1934">
      <w:pPr>
        <w:pStyle w:val="1"/>
        <w:spacing w:line="360" w:lineRule="auto"/>
        <w:jc w:val="both"/>
        <w:rPr>
          <w:rFonts w:ascii="Arial" w:hAnsi="Arial"/>
          <w:noProof w:val="0"/>
        </w:rPr>
      </w:pPr>
      <w:r>
        <w:rPr>
          <w:rFonts w:ascii="Arial" w:hAnsi="Arial"/>
          <w:noProof w:val="0"/>
          <w:rtl/>
        </w:rPr>
        <w:t xml:space="preserve">הנה כי כן, כפי שציינו המלומדים לעיל, ניתן לפסוק את השווי של מה ששולם, כך שיושב סכום כסף בעל </w:t>
      </w:r>
      <w:r>
        <w:rPr>
          <w:rFonts w:ascii="Arial" w:hAnsi="Arial"/>
          <w:b/>
          <w:bCs/>
          <w:noProof w:val="0"/>
          <w:rtl/>
        </w:rPr>
        <w:t>"כוח קניה דומה"</w:t>
      </w:r>
      <w:r>
        <w:rPr>
          <w:rFonts w:ascii="Arial" w:hAnsi="Arial"/>
          <w:noProof w:val="0"/>
          <w:rtl/>
        </w:rPr>
        <w:t xml:space="preserve">. מובן כי השבה של הסכום ששילמו התובעים בזמנו, גם אם לסכום זה מתווספים הפרשי הצמדה וריבית, לא תקנה לתובעים "כוח קניה זהה", על רקע עליית מחירי הדיור בישראל בשנים האחרונות. </w:t>
      </w:r>
    </w:p>
    <w:p w14:paraId="4BD92A35" w14:textId="77777777" w:rsidR="00AA1934" w:rsidRDefault="00000000" w:rsidP="00AA1934">
      <w:pPr>
        <w:spacing w:line="360" w:lineRule="auto"/>
        <w:jc w:val="both"/>
        <w:rPr>
          <w:rFonts w:ascii="Arial" w:hAnsi="Arial"/>
          <w:b/>
          <w:bCs/>
          <w:noProof w:val="0"/>
          <w:rtl/>
        </w:rPr>
      </w:pPr>
      <w:r>
        <w:rPr>
          <w:rFonts w:ascii="Arial" w:hAnsi="Arial"/>
          <w:b/>
          <w:bCs/>
          <w:noProof w:val="0"/>
          <w:rtl/>
        </w:rPr>
        <w:t xml:space="preserve">  </w:t>
      </w:r>
    </w:p>
    <w:p w14:paraId="65350F44" w14:textId="0F2C1CAD" w:rsidR="00AA1934" w:rsidRDefault="00000000" w:rsidP="00AA1934">
      <w:pPr>
        <w:pStyle w:val="1"/>
        <w:numPr>
          <w:ilvl w:val="0"/>
          <w:numId w:val="6"/>
        </w:numPr>
        <w:spacing w:line="360" w:lineRule="auto"/>
        <w:jc w:val="both"/>
        <w:rPr>
          <w:rFonts w:ascii="Arial" w:hAnsi="Arial"/>
          <w:noProof w:val="0"/>
        </w:rPr>
      </w:pPr>
      <w:r w:rsidRPr="009D5CCE">
        <w:rPr>
          <w:rFonts w:ascii="Arial" w:hAnsi="Arial"/>
          <w:noProof w:val="0"/>
          <w:rtl/>
        </w:rPr>
        <w:t xml:space="preserve">לאחרונה דנה בהרחבה כב' השופטת עפרה אטיאס בשאלה זו במסגרת </w:t>
      </w:r>
      <w:r w:rsidR="00D967A5" w:rsidRPr="009D5CCE">
        <w:rPr>
          <w:rFonts w:ascii="Arial" w:hAnsi="Arial"/>
          <w:noProof w:val="0"/>
          <w:rtl/>
        </w:rPr>
        <w:t>ת"א (מחוזי-חי') 55597-02-22</w:t>
      </w:r>
      <w:r w:rsidRPr="009D5CCE">
        <w:rPr>
          <w:rFonts w:ascii="Arial" w:hAnsi="Arial"/>
          <w:noProof w:val="0"/>
          <w:rtl/>
        </w:rPr>
        <w:t xml:space="preserve"> </w:t>
      </w:r>
      <w:r w:rsidRPr="009D5CCE">
        <w:rPr>
          <w:rFonts w:ascii="Arial" w:hAnsi="Arial"/>
          <w:b/>
          <w:bCs/>
          <w:noProof w:val="0"/>
          <w:rtl/>
        </w:rPr>
        <w:t>מזרחי נ' חכם</w:t>
      </w:r>
      <w:r w:rsidRPr="009D5CCE">
        <w:rPr>
          <w:rFonts w:ascii="Arial" w:hAnsi="Arial"/>
          <w:noProof w:val="0"/>
          <w:rtl/>
        </w:rPr>
        <w:t xml:space="preserve"> (28.9.25). בפסק דינה, נדון מקרה שבו קונה רכש מקרקעין</w:t>
      </w:r>
      <w:r>
        <w:rPr>
          <w:rFonts w:ascii="Arial" w:hAnsi="Arial"/>
          <w:noProof w:val="0"/>
          <w:rtl/>
        </w:rPr>
        <w:t xml:space="preserve"> וה</w:t>
      </w:r>
      <w:r>
        <w:rPr>
          <w:rFonts w:ascii="Arial" w:hAnsi="Arial" w:hint="cs"/>
          <w:noProof w:val="0"/>
          <w:rtl/>
        </w:rPr>
        <w:t>מוכר</w:t>
      </w:r>
      <w:r>
        <w:rPr>
          <w:rFonts w:ascii="Arial" w:hAnsi="Arial"/>
          <w:noProof w:val="0"/>
          <w:rtl/>
        </w:rPr>
        <w:t xml:space="preserve"> ביטל את ההסכם, ולמרות שנדחתה תביעת התובע לאכיפת ההסכם מאחר שההסכם היה נגוע באי חוקיות, נפסק שהקונה זכאי להשבה ריאלית של כספי המקרקעין בהתאם לעליית שווי המגרש, ו</w:t>
      </w:r>
      <w:r>
        <w:rPr>
          <w:rFonts w:ascii="Arial" w:hAnsi="Arial" w:hint="cs"/>
          <w:noProof w:val="0"/>
          <w:rtl/>
        </w:rPr>
        <w:t>א</w:t>
      </w:r>
      <w:r>
        <w:rPr>
          <w:rFonts w:ascii="Arial" w:hAnsi="Arial"/>
          <w:noProof w:val="0"/>
          <w:rtl/>
        </w:rPr>
        <w:t xml:space="preserve">ין להסתפק בהשבת הכספים בתוספת הצמדה וריבית כחוק. בפסק הדין נקבע, בין היתר, </w:t>
      </w:r>
      <w:r>
        <w:rPr>
          <w:rFonts w:ascii="Arial" w:hAnsi="Arial" w:hint="cs"/>
          <w:noProof w:val="0"/>
          <w:rtl/>
        </w:rPr>
        <w:t>כי</w:t>
      </w:r>
      <w:r>
        <w:rPr>
          <w:rFonts w:ascii="Arial" w:hAnsi="Arial"/>
          <w:noProof w:val="0"/>
          <w:rtl/>
        </w:rPr>
        <w:t>:</w:t>
      </w:r>
    </w:p>
    <w:p w14:paraId="3F977FA4" w14:textId="77777777" w:rsidR="00AA1934" w:rsidRDefault="00AA1934" w:rsidP="00AA1934">
      <w:pPr>
        <w:spacing w:line="360" w:lineRule="auto"/>
        <w:jc w:val="both"/>
        <w:rPr>
          <w:rFonts w:ascii="Arial" w:hAnsi="Arial"/>
          <w:noProof w:val="0"/>
        </w:rPr>
      </w:pPr>
    </w:p>
    <w:p w14:paraId="32088B8C" w14:textId="77777777" w:rsidR="00AA1934" w:rsidRDefault="00000000" w:rsidP="00AA1934">
      <w:pPr>
        <w:pStyle w:val="NormalWeb"/>
        <w:shd w:val="clear" w:color="auto" w:fill="FFFFFF"/>
        <w:tabs>
          <w:tab w:val="left" w:pos="288"/>
          <w:tab w:val="left" w:pos="1008"/>
          <w:tab w:val="left" w:pos="1296"/>
        </w:tabs>
        <w:autoSpaceDE w:val="0"/>
        <w:autoSpaceDN w:val="0"/>
        <w:bidi/>
        <w:adjustRightInd w:val="0"/>
        <w:spacing w:before="0" w:beforeAutospacing="0" w:after="80" w:afterAutospacing="0" w:line="360" w:lineRule="auto"/>
        <w:ind w:left="720"/>
        <w:jc w:val="both"/>
        <w:rPr>
          <w:rFonts w:ascii="David" w:hAnsi="David" w:cs="David"/>
          <w:b/>
          <w:bCs/>
        </w:rPr>
      </w:pPr>
      <w:r>
        <w:rPr>
          <w:rFonts w:ascii="David" w:hAnsi="David" w:cs="David"/>
          <w:rtl/>
        </w:rPr>
        <w:t>"</w:t>
      </w:r>
      <w:r>
        <w:rPr>
          <w:rFonts w:ascii="David" w:hAnsi="David" w:cs="David"/>
          <w:b/>
          <w:bCs/>
          <w:rtl/>
        </w:rPr>
        <w:t>הפסיקה בישראל מכירה בעקרון השערוך הריאלי של כספי השבה, הדוחה את הגישה הנומינליסטית, וקובעת כי שיטות השערוך אינן נוקשות ותלויות בנסיבות העניין, כאשר במקרים מסוימים, ניתן להורות על הצמדה לשווי נכס ספציפי, כגון: מקרקעין או מכונה, ולא רק למדד המחירים לצרכן או לריבית. עקרון זה נובע מדיני עשיית עושר ולא במשפט, ומטרתו למנוע התעשרות שלא כדין. הפסיקה קובעת כי אין כללים נוקשים לשיטת השערוך, והכול תלוי בנסיבות העניין, כאשר מוכרות שיטות שונות ומגוון רחב של אפשרויות לשערוך, מעבר להצמדה למדד המחירים לצרכן וריבית... בתי המשפט הכירו באפשרות לשערך סכום כסף שיש להשיבו על פי ערכו של נכס שלקנייתו שימש הכסף, או על פי עליית ערכו של נכס ספציפי... החלת עקרון השערוך נתונה לשיקול דעת גמיש של בית המשפט, תוך התחשבות בשיקולי צדק יחסי בין הצדדים ובהתאם למכלול נסיבות העניין. עם זאת, שערוך על פי שוויו המשתנה של נכס דורש תשתית ראייתית מתאימה, כגון: חוות דעת שמאי, להבדיל מהצמדה למדד או למטבע חוץ הניתנת לביצוע אריתמטית... מכל הטעמים דלעיל, אני סבורה כי שערוך כספי ההשבה על דרך של הוספת הפרשי הצמדה וריבית כחוק בלבד, תקפח את התובעים, ותביא להתעשרות לא צודקת של הנתבע על חשבון התובעים אשר כספם נועד לשמשם לרכישת דירת מגורים, ובפועל מימן את הבניה על מגרשי הנתבע..."</w:t>
      </w:r>
      <w:r>
        <w:rPr>
          <w:rFonts w:ascii="David" w:hAnsi="David" w:cs="David"/>
          <w:rtl/>
        </w:rPr>
        <w:t xml:space="preserve">. </w:t>
      </w:r>
    </w:p>
    <w:p w14:paraId="0CDE52F4" w14:textId="77777777" w:rsidR="00AA1934" w:rsidRDefault="00AA1934" w:rsidP="00AA1934">
      <w:pPr>
        <w:pStyle w:val="NormalWeb"/>
        <w:shd w:val="clear" w:color="auto" w:fill="FFFFFF"/>
        <w:tabs>
          <w:tab w:val="left" w:pos="288"/>
          <w:tab w:val="left" w:pos="1008"/>
          <w:tab w:val="left" w:pos="1296"/>
        </w:tabs>
        <w:autoSpaceDE w:val="0"/>
        <w:autoSpaceDN w:val="0"/>
        <w:bidi/>
        <w:adjustRightInd w:val="0"/>
        <w:spacing w:before="0" w:beforeAutospacing="0" w:after="80" w:afterAutospacing="0" w:line="360" w:lineRule="auto"/>
        <w:ind w:left="720"/>
        <w:jc w:val="both"/>
        <w:rPr>
          <w:rFonts w:ascii="David" w:hAnsi="David" w:cs="David"/>
          <w:b/>
          <w:bCs/>
          <w:rtl/>
        </w:rPr>
      </w:pPr>
    </w:p>
    <w:p w14:paraId="48210CFE" w14:textId="601EEBF3" w:rsidR="00AA1934" w:rsidRDefault="00000000" w:rsidP="00AA1934">
      <w:pPr>
        <w:pStyle w:val="1"/>
        <w:numPr>
          <w:ilvl w:val="0"/>
          <w:numId w:val="6"/>
        </w:numPr>
        <w:spacing w:line="360" w:lineRule="auto"/>
        <w:jc w:val="both"/>
        <w:rPr>
          <w:rFonts w:ascii="David" w:hAnsi="David"/>
          <w:noProof w:val="0"/>
          <w:rtl/>
        </w:rPr>
      </w:pPr>
      <w:r w:rsidRPr="009D5CCE">
        <w:rPr>
          <w:rFonts w:ascii="David" w:hAnsi="David"/>
          <w:noProof w:val="0"/>
          <w:rtl/>
        </w:rPr>
        <w:t>מקרה נוסף נדון ב</w:t>
      </w:r>
      <w:r w:rsidR="00D967A5" w:rsidRPr="009D5CCE">
        <w:rPr>
          <w:rFonts w:ascii="David" w:hAnsi="David"/>
          <w:noProof w:val="0"/>
          <w:rtl/>
        </w:rPr>
        <w:t xml:space="preserve">ת"א (מחוזי-חי') 1061-98 </w:t>
      </w:r>
      <w:r w:rsidRPr="009D5CCE">
        <w:rPr>
          <w:rFonts w:ascii="David" w:hAnsi="David"/>
          <w:b/>
          <w:bCs/>
          <w:noProof w:val="0"/>
          <w:rtl/>
        </w:rPr>
        <w:t>ישועה מאיר</w:t>
      </w:r>
      <w:r w:rsidR="00D967A5" w:rsidRPr="009D5CCE">
        <w:rPr>
          <w:rFonts w:ascii="David" w:hAnsi="David"/>
          <w:b/>
          <w:bCs/>
          <w:noProof w:val="0"/>
          <w:rtl/>
        </w:rPr>
        <w:t xml:space="preserve"> </w:t>
      </w:r>
      <w:r w:rsidRPr="009D5CCE">
        <w:rPr>
          <w:rFonts w:ascii="David" w:hAnsi="David"/>
          <w:b/>
          <w:bCs/>
          <w:noProof w:val="0"/>
          <w:rtl/>
        </w:rPr>
        <w:t>נ'</w:t>
      </w:r>
      <w:r w:rsidR="00D967A5" w:rsidRPr="009D5CCE">
        <w:rPr>
          <w:rFonts w:ascii="David" w:hAnsi="David"/>
          <w:b/>
          <w:bCs/>
          <w:noProof w:val="0"/>
        </w:rPr>
        <w:t xml:space="preserve"> </w:t>
      </w:r>
      <w:r w:rsidRPr="009D5CCE">
        <w:rPr>
          <w:rFonts w:ascii="David" w:hAnsi="David"/>
          <w:b/>
          <w:bCs/>
          <w:noProof w:val="0"/>
          <w:rtl/>
        </w:rPr>
        <w:t>פריצקר יזמות בע"מ</w:t>
      </w:r>
      <w:r>
        <w:rPr>
          <w:rFonts w:ascii="David" w:hAnsi="David"/>
          <w:noProof w:val="0"/>
          <w:rtl/>
        </w:rPr>
        <w:t xml:space="preserve"> (10.2.05). במסגרת פסק דין זה, נדון מקרה שבו הוגשה תביעה נגד חברת בניה, בין היתר, לקבלת סעד </w:t>
      </w:r>
      <w:r>
        <w:rPr>
          <w:rtl/>
        </w:rPr>
        <w:t xml:space="preserve">של ביטול והשבה של שווי הבית, </w:t>
      </w:r>
      <w:r>
        <w:rPr>
          <w:rFonts w:ascii="David" w:hAnsi="David"/>
          <w:noProof w:val="0"/>
          <w:rtl/>
        </w:rPr>
        <w:t xml:space="preserve">לאחר שהמבנה ניזוק עקב פיצוץ עז שמקורו במפגעי בטיחות במערכת הגז של הבית. בפסק הדין נקבע כי הנתבעת - החברה הקבלנית - הפרה את ההסכם ועליה להשיב לתובעים את הסכום ששילמו, </w:t>
      </w:r>
      <w:r>
        <w:rPr>
          <w:rFonts w:ascii="David" w:hAnsi="David"/>
          <w:noProof w:val="0"/>
          <w:u w:val="single"/>
          <w:rtl/>
        </w:rPr>
        <w:t>לפי שווי הדירה במועד ההשבה</w:t>
      </w:r>
      <w:r>
        <w:rPr>
          <w:rFonts w:ascii="David" w:hAnsi="David"/>
          <w:noProof w:val="0"/>
          <w:rtl/>
        </w:rPr>
        <w:t>:</w:t>
      </w:r>
    </w:p>
    <w:p w14:paraId="36FC4883" w14:textId="77777777" w:rsidR="00AA1934" w:rsidRDefault="00AA1934" w:rsidP="00AA1934">
      <w:pPr>
        <w:pStyle w:val="1"/>
        <w:spacing w:line="360" w:lineRule="auto"/>
        <w:jc w:val="both"/>
        <w:rPr>
          <w:rFonts w:ascii="David" w:hAnsi="David"/>
          <w:noProof w:val="0"/>
          <w:rtl/>
        </w:rPr>
      </w:pPr>
    </w:p>
    <w:p w14:paraId="07769413" w14:textId="52DAFD4A" w:rsidR="00AA1934" w:rsidRPr="009D5CCE" w:rsidRDefault="00000000" w:rsidP="00AA1934">
      <w:pPr>
        <w:pStyle w:val="1"/>
        <w:spacing w:line="360" w:lineRule="auto"/>
        <w:jc w:val="both"/>
        <w:rPr>
          <w:rFonts w:ascii="David" w:hAnsi="David"/>
          <w:b/>
          <w:bCs/>
          <w:noProof w:val="0"/>
        </w:rPr>
      </w:pPr>
      <w:r>
        <w:rPr>
          <w:rFonts w:ascii="David" w:hAnsi="David"/>
          <w:noProof w:val="0"/>
          <w:rtl/>
        </w:rPr>
        <w:t>"</w:t>
      </w:r>
      <w:r>
        <w:rPr>
          <w:rFonts w:ascii="David" w:hAnsi="David"/>
          <w:b/>
          <w:bCs/>
          <w:noProof w:val="0"/>
          <w:rtl/>
        </w:rPr>
        <w:t xml:space="preserve">[...] כאשר נושא ההשבה הוא מקרקעין עשוי ערך השוק של אותו נכס להשתנות. </w:t>
      </w:r>
      <w:r w:rsidRPr="009D5CCE">
        <w:rPr>
          <w:rFonts w:ascii="David" w:hAnsi="David"/>
          <w:b/>
          <w:bCs/>
          <w:noProof w:val="0"/>
          <w:rtl/>
        </w:rPr>
        <w:t>ואולם, גם אם תעשה השבה בסיסית ניטרלית ושוויונית לפי סעיף 21 ל</w:t>
      </w:r>
      <w:r w:rsidR="00D967A5" w:rsidRPr="009D5CCE">
        <w:rPr>
          <w:rFonts w:ascii="David" w:hAnsi="David"/>
          <w:b/>
          <w:bCs/>
          <w:noProof w:val="0"/>
          <w:rtl/>
        </w:rPr>
        <w:t>חוק החוזים</w:t>
      </w:r>
      <w:r w:rsidRPr="009D5CCE">
        <w:rPr>
          <w:rFonts w:ascii="David" w:hAnsi="David"/>
          <w:b/>
          <w:bCs/>
          <w:noProof w:val="0"/>
          <w:rtl/>
        </w:rPr>
        <w:t xml:space="preserve"> על</w:t>
      </w:r>
      <w:r>
        <w:rPr>
          <w:rFonts w:ascii="David" w:hAnsi="David"/>
          <w:b/>
          <w:bCs/>
          <w:noProof w:val="0"/>
          <w:rtl/>
        </w:rPr>
        <w:t xml:space="preserve"> דרך של השבת סכום התמורה ששולם בצירוף הפרשי הצמדה וריבית, אין להסתפק בכך. </w:t>
      </w:r>
      <w:r w:rsidRPr="00D967A5">
        <w:rPr>
          <w:rFonts w:ascii="David" w:hAnsi="David"/>
          <w:b/>
          <w:bCs/>
          <w:noProof w:val="0"/>
          <w:color w:val="000000"/>
          <w:rtl/>
        </w:rPr>
        <w:t>סעיף 11(א)</w:t>
      </w:r>
      <w:r>
        <w:rPr>
          <w:rFonts w:ascii="David" w:hAnsi="David"/>
          <w:b/>
          <w:bCs/>
          <w:noProof w:val="0"/>
          <w:rtl/>
        </w:rPr>
        <w:t xml:space="preserve"> </w:t>
      </w:r>
      <w:r w:rsidRPr="00D967A5">
        <w:rPr>
          <w:rFonts w:ascii="David" w:hAnsi="David"/>
          <w:b/>
          <w:bCs/>
          <w:noProof w:val="0"/>
          <w:color w:val="000000"/>
          <w:rtl/>
        </w:rPr>
        <w:t>לחוק התרופות</w:t>
      </w:r>
      <w:r>
        <w:rPr>
          <w:rFonts w:ascii="David" w:hAnsi="David"/>
          <w:b/>
          <w:bCs/>
          <w:noProof w:val="0"/>
          <w:rtl/>
        </w:rPr>
        <w:t xml:space="preserve"> מאפשר מתן פיצוי עקב ההפרה, באופן המזכה את הנפגע, באותם מקרים בהם לא ניתן לקבל את הנכס, לקבל פיצוי בסכום ההפרש שבין התמורה בעד הנכס לפי החוזה, לבין "שוויים ביום ביטול החוזה". הזכות לפיצוי האמור, עומדת כזכות נוספת לזכות ההשבה, מאחר שמדובר כאן בנזק נוסף שנגרם לנפגע והוא בר פיצוי בנוסף לזכות ההשבה. נראה גם כי לאותה תוצאה ניתן היה להגיע על דרך החלת עקרונות מטרת ההשבה, כפי שסוכמו בפס"ד פרג', שבבסיסה מניעת התעשרות שלא כדין של מי מן הצדדים. כאשר מדובר בנכס, וכאשר קיים מצב של שוני בערך הנכס בשל תנודות, למשל, בערך שוק של אותו נכס, יש לעמוד על ערך הנכס כ'ערכו ביום ההשבה'... כאמור, כנגד זכות התובעים לקבל את שווי הדירה נכון ליום הביטול, עמדה זכות חברות הבנייה לקבל לידיהן את הנכס, ובהנחה שהתיקונים יבוצעו כנדרש, הרי שבידי חברות הבנייה יישאר נכס מתוקן, בערכו הריאלי המלא ביום </w:t>
      </w:r>
      <w:r w:rsidRPr="009D5CCE">
        <w:rPr>
          <w:rFonts w:ascii="David" w:hAnsi="David"/>
          <w:b/>
          <w:bCs/>
          <w:noProof w:val="0"/>
          <w:rtl/>
        </w:rPr>
        <w:t>ההשבה. השבה ריאלית של שווי הנכס נכון ליום הביטול כנגד החזרת הדירה לחזקת חברות הבנייה, היא למעשה מילוי אחר הוראות ההשבה של סעיף 21 ל</w:t>
      </w:r>
      <w:r w:rsidR="00D967A5" w:rsidRPr="009D5CCE">
        <w:rPr>
          <w:rFonts w:ascii="David" w:hAnsi="David"/>
          <w:b/>
          <w:bCs/>
          <w:noProof w:val="0"/>
          <w:rtl/>
        </w:rPr>
        <w:t>חוק החוזים</w:t>
      </w:r>
      <w:r w:rsidRPr="009D5CCE">
        <w:rPr>
          <w:rFonts w:ascii="David" w:hAnsi="David"/>
          <w:noProof w:val="0"/>
          <w:rtl/>
        </w:rPr>
        <w:t xml:space="preserve">". </w:t>
      </w:r>
    </w:p>
    <w:p w14:paraId="6B1B3F24" w14:textId="77777777" w:rsidR="00AA1934" w:rsidRPr="009D5CCE" w:rsidRDefault="00AA1934" w:rsidP="00AA1934">
      <w:pPr>
        <w:pStyle w:val="1"/>
        <w:spacing w:line="360" w:lineRule="auto"/>
        <w:jc w:val="both"/>
        <w:rPr>
          <w:rFonts w:ascii="David" w:hAnsi="David"/>
          <w:b/>
          <w:bCs/>
          <w:noProof w:val="0"/>
          <w:rtl/>
        </w:rPr>
      </w:pPr>
    </w:p>
    <w:p w14:paraId="0F5248A9" w14:textId="540191D0" w:rsidR="00AA1934" w:rsidRPr="004E2806" w:rsidRDefault="00000000" w:rsidP="00AA1934">
      <w:pPr>
        <w:pStyle w:val="1"/>
        <w:numPr>
          <w:ilvl w:val="0"/>
          <w:numId w:val="6"/>
        </w:numPr>
        <w:spacing w:line="360" w:lineRule="auto"/>
        <w:jc w:val="both"/>
        <w:rPr>
          <w:rFonts w:ascii="David" w:hAnsi="David"/>
          <w:noProof w:val="0"/>
          <w:rtl/>
        </w:rPr>
      </w:pPr>
      <w:r w:rsidRPr="009D5CCE">
        <w:rPr>
          <w:rFonts w:ascii="David" w:hAnsi="David"/>
          <w:noProof w:val="0"/>
          <w:rtl/>
        </w:rPr>
        <w:t>בנוסף, ב</w:t>
      </w:r>
      <w:r w:rsidR="00D967A5" w:rsidRPr="009D5CCE">
        <w:rPr>
          <w:rFonts w:ascii="David" w:hAnsi="David"/>
          <w:noProof w:val="0"/>
          <w:rtl/>
        </w:rPr>
        <w:t>ע"א 1846/92</w:t>
      </w:r>
      <w:r w:rsidRPr="009D5CCE">
        <w:rPr>
          <w:rFonts w:ascii="David" w:hAnsi="David"/>
          <w:noProof w:val="0"/>
          <w:rtl/>
        </w:rPr>
        <w:t xml:space="preserve"> </w:t>
      </w:r>
      <w:r w:rsidRPr="009D5CCE">
        <w:rPr>
          <w:rFonts w:ascii="David" w:hAnsi="David" w:hint="cs"/>
          <w:b/>
          <w:bCs/>
          <w:noProof w:val="0"/>
          <w:rtl/>
        </w:rPr>
        <w:t>נפתלי לוי ואח' נ' מבט בניה בע"מ</w:t>
      </w:r>
      <w:r w:rsidRPr="009D5CCE">
        <w:rPr>
          <w:rFonts w:ascii="David" w:hAnsi="David" w:hint="cs"/>
          <w:noProof w:val="0"/>
          <w:rtl/>
        </w:rPr>
        <w:t xml:space="preserve"> (</w:t>
      </w:r>
      <w:r w:rsidRPr="009D5CCE">
        <w:rPr>
          <w:rFonts w:ascii="David" w:hAnsi="David"/>
          <w:noProof w:val="0"/>
        </w:rPr>
        <w:t>19.8.93</w:t>
      </w:r>
      <w:r w:rsidRPr="009D5CCE">
        <w:rPr>
          <w:rFonts w:ascii="David" w:hAnsi="David"/>
          <w:noProof w:val="0"/>
          <w:rtl/>
        </w:rPr>
        <w:t>) (להלן:</w:t>
      </w:r>
      <w:r w:rsidRPr="004E2806">
        <w:rPr>
          <w:rFonts w:ascii="David" w:hAnsi="David"/>
          <w:noProof w:val="0"/>
          <w:rtl/>
        </w:rPr>
        <w:t xml:space="preserve"> </w:t>
      </w:r>
      <w:r w:rsidRPr="004E2806">
        <w:rPr>
          <w:rFonts w:ascii="David" w:hAnsi="David"/>
          <w:b/>
          <w:bCs/>
          <w:noProof w:val="0"/>
          <w:rtl/>
        </w:rPr>
        <w:t>פס"ד מבט בניה</w:t>
      </w:r>
      <w:r w:rsidRPr="004E2806">
        <w:rPr>
          <w:rFonts w:ascii="David" w:hAnsi="David"/>
          <w:noProof w:val="0"/>
          <w:rtl/>
        </w:rPr>
        <w:t xml:space="preserve">), נדון מקרה שבו נמסרה דירה שבה היו ליקויי רטיבות משמעותיים ואילו הרוכשים ביטלו את ההסכם ותבעו השבה, לרבות פיצוי בגין עליית שווי הדירה. בית המשפט קבע, בין היתר, </w:t>
      </w:r>
      <w:r>
        <w:rPr>
          <w:rFonts w:ascii="David" w:hAnsi="David" w:hint="cs"/>
          <w:noProof w:val="0"/>
          <w:rtl/>
        </w:rPr>
        <w:t>כי</w:t>
      </w:r>
      <w:r w:rsidRPr="004E2806">
        <w:rPr>
          <w:rFonts w:ascii="David" w:hAnsi="David"/>
          <w:noProof w:val="0"/>
          <w:rtl/>
        </w:rPr>
        <w:t>:</w:t>
      </w:r>
    </w:p>
    <w:p w14:paraId="62BA232E" w14:textId="77777777" w:rsidR="00AA1934" w:rsidRPr="004E2806" w:rsidRDefault="00AA1934" w:rsidP="00AA1934">
      <w:pPr>
        <w:pStyle w:val="1"/>
        <w:spacing w:line="360" w:lineRule="auto"/>
        <w:jc w:val="both"/>
        <w:rPr>
          <w:rFonts w:ascii="David" w:hAnsi="David"/>
          <w:noProof w:val="0"/>
        </w:rPr>
      </w:pPr>
    </w:p>
    <w:p w14:paraId="19E486DC" w14:textId="77777777" w:rsidR="00AA1934" w:rsidRDefault="00000000" w:rsidP="00AA1934">
      <w:pPr>
        <w:pStyle w:val="1"/>
        <w:spacing w:line="360" w:lineRule="auto"/>
        <w:jc w:val="both"/>
        <w:rPr>
          <w:rFonts w:ascii="David" w:hAnsi="David"/>
          <w:noProof w:val="0"/>
          <w:rtl/>
        </w:rPr>
      </w:pPr>
      <w:r w:rsidRPr="004E2806">
        <w:rPr>
          <w:rFonts w:ascii="David" w:hAnsi="David"/>
          <w:noProof w:val="0"/>
          <w:rtl/>
        </w:rPr>
        <w:t>"</w:t>
      </w:r>
      <w:r w:rsidRPr="004E2806">
        <w:rPr>
          <w:rFonts w:ascii="David" w:hAnsi="David"/>
          <w:b/>
          <w:bCs/>
          <w:noProof w:val="0"/>
          <w:rtl/>
        </w:rPr>
        <w:t>נפגע שביטל חוזה, התובע השבה בצירוף פיצויי צפיות, מעוניין שיעמידו אותו במצב שבו היה לו קוים החוזה. הוא מעוניין בהגנה על אינטרס הצפיות שלו, ובמסגרת השיטה המשפטית שלנו הוא גם זכאי לכך. במקרה שלפנינו, השוואת מצבם של המערערים לזה שהיה לו קוים החוזה מחייבת קביעת פיצוי לנפגעים המערערים בסכום השווה לערכה של הדירה לו הייתה תקינה</w:t>
      </w:r>
      <w:r w:rsidRPr="004E2806">
        <w:rPr>
          <w:rFonts w:ascii="David" w:hAnsi="David"/>
          <w:noProof w:val="0"/>
          <w:rtl/>
        </w:rPr>
        <w:t>" (שם, בעמ' 58).</w:t>
      </w:r>
    </w:p>
    <w:p w14:paraId="6F167605" w14:textId="77777777" w:rsidR="00AA1934" w:rsidRDefault="00AA1934" w:rsidP="00AA1934">
      <w:pPr>
        <w:pStyle w:val="1"/>
        <w:spacing w:line="360" w:lineRule="auto"/>
        <w:jc w:val="both"/>
        <w:rPr>
          <w:rFonts w:ascii="David" w:hAnsi="David"/>
          <w:noProof w:val="0"/>
          <w:rtl/>
        </w:rPr>
      </w:pPr>
    </w:p>
    <w:p w14:paraId="4BBA7E53" w14:textId="77777777" w:rsidR="00AA1934" w:rsidRDefault="00000000" w:rsidP="00AA1934">
      <w:pPr>
        <w:pStyle w:val="1"/>
        <w:numPr>
          <w:ilvl w:val="0"/>
          <w:numId w:val="6"/>
        </w:numPr>
        <w:spacing w:line="360" w:lineRule="auto"/>
        <w:jc w:val="both"/>
        <w:rPr>
          <w:rFonts w:ascii="David" w:hAnsi="David"/>
          <w:noProof w:val="0"/>
          <w:rtl/>
        </w:rPr>
      </w:pPr>
      <w:r>
        <w:rPr>
          <w:rFonts w:ascii="David" w:hAnsi="David"/>
          <w:noProof w:val="0"/>
          <w:rtl/>
        </w:rPr>
        <w:t>במקרה דנן, ההסכם בוטל עקב אשמת הנתבעת, אשר לא סיפקה לתובעים חנייה תקינה כפי שנקבע בהסכם. לפיכך, שורת הדין והצדק מחייבים להביא לתוצאה לפיה התובעים יועמדו כיום במצב שבו הם היו נמצאים, לו הנתבעת לא הייתה מפרה את ההסכם עמם. דהיינו, לו ההסכם היה מקוים כפי שנקבע בו, הייתה כיום לתובעים דירה עם חנייה תקינה והם יכלו למכור אותה במחיר שוק. זכותם לעמוד באותו מצב שהיה צריך להיות אלמלא ההפרה, דהיינו, שברשותם סכום כסף המאפשר להם לרכוש דירה זהה עם חנייה תקנית. לפיכך, צודקים התובעים בטענתם שלפיה על הנתבעת להשיב להם את ערכה של הדירה כיום, ורק באופן זה התובעים לא ייפגעו כתוצאה מהפרת ההסכם של הנתבעת. לפיכך, יש צורך למנות שמאי שייקבע את שווי הדירה נכון להיום, ובחישוב תילקח בחשבון חנייה תקינה כפי שהוסכם בין הצדדים.</w:t>
      </w:r>
    </w:p>
    <w:p w14:paraId="4C8D0E31" w14:textId="77777777" w:rsidR="00AA1934" w:rsidRDefault="00AA1934" w:rsidP="00AA1934">
      <w:pPr>
        <w:spacing w:line="360" w:lineRule="auto"/>
        <w:jc w:val="both"/>
        <w:rPr>
          <w:rFonts w:ascii="David" w:hAnsi="David"/>
          <w:b/>
          <w:bCs/>
          <w:noProof w:val="0"/>
          <w:u w:val="single"/>
          <w:rtl/>
        </w:rPr>
      </w:pPr>
    </w:p>
    <w:p w14:paraId="5A66580C" w14:textId="77777777" w:rsidR="00AA1934" w:rsidRDefault="00000000" w:rsidP="00AA1934">
      <w:pPr>
        <w:pStyle w:val="1"/>
        <w:numPr>
          <w:ilvl w:val="0"/>
          <w:numId w:val="6"/>
        </w:numPr>
        <w:spacing w:line="360" w:lineRule="auto"/>
        <w:jc w:val="both"/>
        <w:rPr>
          <w:rFonts w:ascii="David" w:hAnsi="David"/>
          <w:noProof w:val="0"/>
        </w:rPr>
      </w:pPr>
      <w:r>
        <w:rPr>
          <w:rFonts w:ascii="David" w:hAnsi="David" w:hint="cs"/>
          <w:noProof w:val="0"/>
          <w:rtl/>
        </w:rPr>
        <w:t xml:space="preserve">מכאן נעבור לדון בשאלה השנייה </w:t>
      </w:r>
      <w:r>
        <w:rPr>
          <w:rFonts w:ascii="David" w:hAnsi="David"/>
          <w:noProof w:val="0"/>
          <w:rtl/>
        </w:rPr>
        <w:t>–</w:t>
      </w:r>
      <w:r>
        <w:rPr>
          <w:rFonts w:ascii="David" w:hAnsi="David" w:hint="cs"/>
          <w:noProof w:val="0"/>
          <w:rtl/>
        </w:rPr>
        <w:t xml:space="preserve"> האם זכותה של הנתבעת לקזז מסכום ההשבה את דמי השימוש הראויים? </w:t>
      </w:r>
      <w:r>
        <w:rPr>
          <w:rFonts w:ascii="David" w:hAnsi="David"/>
          <w:noProof w:val="0"/>
          <w:rtl/>
        </w:rPr>
        <w:t xml:space="preserve">הנתבעת טענה שבמסגרת ההשבה ההדדית החלה על הצדדים עקב ביטול ההסכם, על התובעים לשלם לה דמי שימוש ראויים, בעד התקופה שבה עשו שימוש בנכס, דהיינו, החל ממועד מסירת החזקה בדירה ועד למועד החזרת הדירה בפועל. הנתבעת העריכה את דמי השימוש החודשיים בסכום ע"ס 7,000 ₪, המשקפים דמי שכירות ראויים בנכס, ולטענתה, כפי שהתובעים זכאים לשערוך של הסכומים ששילמו, כך הנתבעת זכאית לדמי שימוש בנכס, למשך התקופה שבה הוחזק הנכס בידיהם.  </w:t>
      </w:r>
    </w:p>
    <w:p w14:paraId="234CB3EE" w14:textId="77777777" w:rsidR="00AA1934" w:rsidRDefault="00AA1934" w:rsidP="00AA1934">
      <w:pPr>
        <w:spacing w:line="360" w:lineRule="auto"/>
        <w:ind w:left="360"/>
        <w:jc w:val="both"/>
        <w:rPr>
          <w:rFonts w:ascii="David" w:hAnsi="David"/>
          <w:noProof w:val="0"/>
          <w:highlight w:val="yellow"/>
        </w:rPr>
      </w:pPr>
    </w:p>
    <w:p w14:paraId="509F76B2" w14:textId="77777777" w:rsidR="00AA1934" w:rsidRDefault="00000000" w:rsidP="00AA1934">
      <w:pPr>
        <w:pStyle w:val="1"/>
        <w:numPr>
          <w:ilvl w:val="0"/>
          <w:numId w:val="6"/>
        </w:numPr>
        <w:spacing w:line="360" w:lineRule="auto"/>
        <w:jc w:val="both"/>
        <w:rPr>
          <w:rFonts w:ascii="David" w:hAnsi="David"/>
          <w:noProof w:val="0"/>
        </w:rPr>
      </w:pPr>
      <w:r>
        <w:rPr>
          <w:rFonts w:ascii="David" w:hAnsi="David"/>
          <w:noProof w:val="0"/>
          <w:rtl/>
        </w:rPr>
        <w:t>מנגד, סבורים התובעים שאין לחייבם בתשלום דמי שימוש ראויים, מאחר שאם הנתבעת הייתה מוסרת להם דירה עם חניה תקינה, הם היו יכולים למכור כיום את הדירה במחיר שוק, בלי שמאן דהו היה מקזז מתמורת המכירה דמי שימוש ואין זה צודק שהם יפסידו מכך שהנתבעת הפרה את ההסכם ואילצה אותם לבטל את ההסכם. לשיטתם, חיובם לשלם דמי שימוש, הוא בבחינת "יוצא חוטא נשכר" ועולה כדי פגיעה בהם, ללא עוול בכפם. בנוסף טענו התובעים, כי הנתבעת עשתה שימוש מניב בכספים ששילמו לה התובעים בגין רכישת הדירה ואיש אינו דורש את פירותיהם ממנה, ועל כן, אין לדרוש מהם לשלם לנתבעת דמי שימוש, בהתאמה.</w:t>
      </w:r>
    </w:p>
    <w:p w14:paraId="10995E36" w14:textId="77777777" w:rsidR="00AA1934" w:rsidRPr="004E2806" w:rsidRDefault="00AA1934" w:rsidP="00AA1934">
      <w:pPr>
        <w:pStyle w:val="1"/>
        <w:rPr>
          <w:rFonts w:ascii="David" w:hAnsi="David"/>
          <w:noProof w:val="0"/>
        </w:rPr>
      </w:pPr>
    </w:p>
    <w:p w14:paraId="66C00565" w14:textId="23FBE37C" w:rsidR="00AA1934" w:rsidRPr="009D5CCE" w:rsidRDefault="00000000" w:rsidP="00AA1934">
      <w:pPr>
        <w:pStyle w:val="1"/>
        <w:numPr>
          <w:ilvl w:val="0"/>
          <w:numId w:val="6"/>
        </w:numPr>
        <w:spacing w:line="360" w:lineRule="auto"/>
        <w:jc w:val="both"/>
        <w:rPr>
          <w:rFonts w:ascii="David" w:hAnsi="David"/>
          <w:noProof w:val="0"/>
        </w:rPr>
      </w:pPr>
      <w:r w:rsidRPr="009D5CCE">
        <w:rPr>
          <w:rFonts w:ascii="David" w:hAnsi="David"/>
          <w:noProof w:val="0"/>
          <w:rtl/>
        </w:rPr>
        <w:t>אני סבור ש</w:t>
      </w:r>
      <w:r w:rsidRPr="009D5CCE">
        <w:rPr>
          <w:rFonts w:ascii="David" w:hAnsi="David" w:hint="cs"/>
          <w:noProof w:val="0"/>
          <w:rtl/>
        </w:rPr>
        <w:t>הדין עם ה</w:t>
      </w:r>
      <w:r w:rsidRPr="009D5CCE">
        <w:rPr>
          <w:rFonts w:ascii="David" w:hAnsi="David"/>
          <w:noProof w:val="0"/>
          <w:rtl/>
        </w:rPr>
        <w:t xml:space="preserve">תובעים </w:t>
      </w:r>
      <w:r w:rsidRPr="009D5CCE">
        <w:rPr>
          <w:rFonts w:ascii="David" w:hAnsi="David" w:hint="cs"/>
          <w:noProof w:val="0"/>
          <w:rtl/>
        </w:rPr>
        <w:t xml:space="preserve">ואין לחייב אותם </w:t>
      </w:r>
      <w:r w:rsidRPr="009D5CCE">
        <w:rPr>
          <w:rFonts w:ascii="David" w:hAnsi="David"/>
          <w:noProof w:val="0"/>
          <w:rtl/>
        </w:rPr>
        <w:t xml:space="preserve">לשלם לנתבעת דמי שימוש. כאמור, </w:t>
      </w:r>
      <w:r w:rsidR="00276317" w:rsidRPr="009D5CCE">
        <w:rPr>
          <w:rFonts w:ascii="David" w:hAnsi="David"/>
          <w:noProof w:val="0"/>
          <w:rtl/>
        </w:rPr>
        <w:t>סעיף 21</w:t>
      </w:r>
      <w:r w:rsidRPr="009D5CCE">
        <w:rPr>
          <w:rFonts w:ascii="David" w:hAnsi="David"/>
          <w:noProof w:val="0"/>
          <w:rtl/>
        </w:rPr>
        <w:t xml:space="preserve"> ל</w:t>
      </w:r>
      <w:r w:rsidR="00D967A5" w:rsidRPr="009D5CCE">
        <w:rPr>
          <w:rFonts w:ascii="David" w:hAnsi="David"/>
          <w:b/>
          <w:bCs/>
          <w:noProof w:val="0"/>
          <w:rtl/>
        </w:rPr>
        <w:t>חוק החוזים</w:t>
      </w:r>
      <w:r w:rsidRPr="009D5CCE">
        <w:rPr>
          <w:rFonts w:ascii="David" w:hAnsi="David"/>
          <w:b/>
          <w:bCs/>
          <w:noProof w:val="0"/>
          <w:rtl/>
        </w:rPr>
        <w:t xml:space="preserve"> (חלק כללי) </w:t>
      </w:r>
      <w:r w:rsidRPr="009D5CCE">
        <w:rPr>
          <w:rFonts w:ascii="David" w:hAnsi="David"/>
          <w:noProof w:val="0"/>
          <w:rtl/>
        </w:rPr>
        <w:t xml:space="preserve">קובע את הכלל שלפיו משבוטל חוזה, חייב כל צד להשיב לצד השני את מה שקיבל על פי החוזה. </w:t>
      </w:r>
    </w:p>
    <w:p w14:paraId="6F9BF457" w14:textId="77777777" w:rsidR="00AA1934" w:rsidRPr="004E2806" w:rsidRDefault="00AA1934" w:rsidP="00AA1934">
      <w:pPr>
        <w:pStyle w:val="1"/>
        <w:rPr>
          <w:rFonts w:ascii="David" w:hAnsi="David"/>
          <w:noProof w:val="0"/>
        </w:rPr>
      </w:pPr>
    </w:p>
    <w:p w14:paraId="4CF9A916" w14:textId="4E5EFE9A" w:rsidR="00AA1934" w:rsidRPr="009D5CCE" w:rsidRDefault="00000000" w:rsidP="00AA1934">
      <w:pPr>
        <w:pStyle w:val="1"/>
        <w:numPr>
          <w:ilvl w:val="0"/>
          <w:numId w:val="6"/>
        </w:numPr>
        <w:spacing w:line="360" w:lineRule="auto"/>
        <w:jc w:val="both"/>
        <w:rPr>
          <w:noProof w:val="0"/>
          <w:rtl/>
        </w:rPr>
      </w:pPr>
      <w:r w:rsidRPr="009D5CCE">
        <w:rPr>
          <w:rFonts w:ascii="David" w:hAnsi="David"/>
          <w:noProof w:val="0"/>
          <w:rtl/>
        </w:rPr>
        <w:t xml:space="preserve">עם זאת, קיים חריג לכלל זה והוא מצוי בהוראת </w:t>
      </w:r>
      <w:r w:rsidR="00276317" w:rsidRPr="009D5CCE">
        <w:rPr>
          <w:rFonts w:ascii="David" w:hAnsi="David"/>
          <w:noProof w:val="0"/>
          <w:rtl/>
        </w:rPr>
        <w:t>סעיף 2</w:t>
      </w:r>
      <w:r w:rsidRPr="009D5CCE">
        <w:rPr>
          <w:rFonts w:ascii="David" w:hAnsi="David"/>
          <w:noProof w:val="0"/>
          <w:rtl/>
        </w:rPr>
        <w:t xml:space="preserve"> </w:t>
      </w:r>
      <w:r w:rsidRPr="009D5CCE">
        <w:rPr>
          <w:noProof w:val="0"/>
          <w:rtl/>
        </w:rPr>
        <w:t>ל</w:t>
      </w:r>
      <w:r w:rsidR="00D967A5" w:rsidRPr="009D5CCE">
        <w:rPr>
          <w:b/>
          <w:bCs/>
          <w:noProof w:val="0"/>
          <w:rtl/>
        </w:rPr>
        <w:t>חוק עשיית עושר ולא במשפט</w:t>
      </w:r>
      <w:r w:rsidRPr="009D5CCE">
        <w:rPr>
          <w:b/>
          <w:bCs/>
          <w:noProof w:val="0"/>
          <w:rtl/>
        </w:rPr>
        <w:t>, תשל"ט – 1979</w:t>
      </w:r>
      <w:r w:rsidRPr="009D5CCE">
        <w:rPr>
          <w:rFonts w:hint="cs"/>
          <w:b/>
          <w:bCs/>
          <w:noProof w:val="0"/>
          <w:rtl/>
        </w:rPr>
        <w:t xml:space="preserve"> </w:t>
      </w:r>
      <w:r w:rsidRPr="009D5CCE">
        <w:rPr>
          <w:rFonts w:hint="cs"/>
          <w:noProof w:val="0"/>
          <w:rtl/>
        </w:rPr>
        <w:t xml:space="preserve">(להלן: </w:t>
      </w:r>
      <w:r w:rsidRPr="009D5CCE">
        <w:rPr>
          <w:rFonts w:hint="cs"/>
          <w:b/>
          <w:bCs/>
          <w:noProof w:val="0"/>
          <w:rtl/>
        </w:rPr>
        <w:t>חוק עשיית עושר</w:t>
      </w:r>
      <w:r w:rsidRPr="009D5CCE">
        <w:rPr>
          <w:rFonts w:hint="cs"/>
          <w:noProof w:val="0"/>
          <w:rtl/>
        </w:rPr>
        <w:t>)</w:t>
      </w:r>
      <w:r w:rsidRPr="009D5CCE">
        <w:rPr>
          <w:noProof w:val="0"/>
          <w:rtl/>
        </w:rPr>
        <w:t>,</w:t>
      </w:r>
      <w:r w:rsidRPr="009D5CCE">
        <w:rPr>
          <w:b/>
          <w:bCs/>
          <w:noProof w:val="0"/>
          <w:rtl/>
        </w:rPr>
        <w:t xml:space="preserve"> </w:t>
      </w:r>
      <w:r w:rsidRPr="009D5CCE">
        <w:rPr>
          <w:noProof w:val="0"/>
          <w:rtl/>
        </w:rPr>
        <w:t>הקובע כי:</w:t>
      </w:r>
      <w:r w:rsidRPr="009D5CCE">
        <w:rPr>
          <w:b/>
          <w:bCs/>
          <w:noProof w:val="0"/>
          <w:rtl/>
        </w:rPr>
        <w:t xml:space="preserve"> "בית המשפט רשאי לפטור את הזוכה מחובת ההשבה לפי סעיף 1, כולה או מקצתה, אם ראה שהזכיה לא היתה כרוכה בחסרון המזכה או שראה נסיבות אחרות העושות את ההשבה בלתי צודקת"</w:t>
      </w:r>
      <w:r w:rsidRPr="009D5CCE">
        <w:rPr>
          <w:noProof w:val="0"/>
          <w:rtl/>
        </w:rPr>
        <w:t xml:space="preserve">. כלומר, </w:t>
      </w:r>
      <w:r w:rsidR="00276317" w:rsidRPr="009D5CCE">
        <w:rPr>
          <w:noProof w:val="0"/>
          <w:rtl/>
        </w:rPr>
        <w:t>סעיף 2</w:t>
      </w:r>
      <w:r w:rsidRPr="009D5CCE">
        <w:rPr>
          <w:noProof w:val="0"/>
          <w:rtl/>
        </w:rPr>
        <w:t xml:space="preserve"> לחוק עשיית עושר מאפשר לפטור צד מחובת ההשבה משיקולי צדק.</w:t>
      </w:r>
    </w:p>
    <w:p w14:paraId="20D89805" w14:textId="77777777" w:rsidR="00AA1934" w:rsidRPr="009D5CCE" w:rsidRDefault="00AA1934" w:rsidP="00AA1934">
      <w:pPr>
        <w:pStyle w:val="1"/>
        <w:rPr>
          <w:noProof w:val="0"/>
        </w:rPr>
      </w:pPr>
    </w:p>
    <w:p w14:paraId="304CC84A" w14:textId="3985EB5E" w:rsidR="00AA1934" w:rsidRPr="004E2806" w:rsidRDefault="00000000" w:rsidP="00AA1934">
      <w:pPr>
        <w:pStyle w:val="1"/>
        <w:numPr>
          <w:ilvl w:val="0"/>
          <w:numId w:val="6"/>
        </w:numPr>
        <w:spacing w:line="360" w:lineRule="auto"/>
        <w:jc w:val="both"/>
        <w:rPr>
          <w:noProof w:val="0"/>
          <w:rtl/>
        </w:rPr>
      </w:pPr>
      <w:r w:rsidRPr="004E2806">
        <w:rPr>
          <w:noProof w:val="0"/>
          <w:rtl/>
        </w:rPr>
        <w:t xml:space="preserve">השימוש בסייג הצדק לטובת מתן פטור מהשבה עקב ביטול הסכם, הוא בבחינת חריג ויש לעשות בו שימוש באופן מדוד ומבוקר </w:t>
      </w:r>
      <w:r>
        <w:rPr>
          <w:rFonts w:hint="cs"/>
          <w:noProof w:val="0"/>
          <w:rtl/>
        </w:rPr>
        <w:t>(</w:t>
      </w:r>
      <w:r w:rsidR="00F35BCC" w:rsidRPr="009D5CCE">
        <w:rPr>
          <w:noProof w:val="0"/>
          <w:rtl/>
        </w:rPr>
        <w:t>רע"א 1816/13</w:t>
      </w:r>
      <w:r w:rsidRPr="004E2806">
        <w:rPr>
          <w:noProof w:val="0"/>
          <w:rtl/>
        </w:rPr>
        <w:t xml:space="preserve">‏ </w:t>
      </w:r>
      <w:r w:rsidRPr="004E2806">
        <w:rPr>
          <w:b/>
          <w:bCs/>
          <w:noProof w:val="0"/>
          <w:rtl/>
        </w:rPr>
        <w:t>אמ.די.הי. בניה ותעשיה בע"מ נ' מינהל מקרקעי ישראל</w:t>
      </w:r>
      <w:r w:rsidRPr="004E2806">
        <w:rPr>
          <w:noProof w:val="0"/>
          <w:rtl/>
        </w:rPr>
        <w:t xml:space="preserve"> (21.4.13)</w:t>
      </w:r>
      <w:r>
        <w:rPr>
          <w:rFonts w:hint="cs"/>
          <w:noProof w:val="0"/>
          <w:rtl/>
        </w:rPr>
        <w:t>)</w:t>
      </w:r>
      <w:r w:rsidRPr="004E2806">
        <w:rPr>
          <w:noProof w:val="0"/>
          <w:rtl/>
        </w:rPr>
        <w:t xml:space="preserve">. </w:t>
      </w:r>
    </w:p>
    <w:p w14:paraId="0CAC9BDF" w14:textId="77777777" w:rsidR="00AA1934" w:rsidRPr="004E2806" w:rsidRDefault="00000000" w:rsidP="00AA1934">
      <w:pPr>
        <w:pStyle w:val="1"/>
        <w:spacing w:line="360" w:lineRule="auto"/>
        <w:jc w:val="both"/>
        <w:rPr>
          <w:rFonts w:ascii="David" w:hAnsi="David"/>
          <w:noProof w:val="0"/>
        </w:rPr>
      </w:pPr>
      <w:r w:rsidRPr="004E2806">
        <w:rPr>
          <w:rFonts w:ascii="David" w:hAnsi="David"/>
          <w:noProof w:val="0"/>
          <w:rtl/>
        </w:rPr>
        <w:t xml:space="preserve"> </w:t>
      </w:r>
    </w:p>
    <w:p w14:paraId="54E47D72" w14:textId="77777777" w:rsidR="00AA1934" w:rsidRPr="004E2806" w:rsidRDefault="00000000" w:rsidP="00AA1934">
      <w:pPr>
        <w:pStyle w:val="1"/>
        <w:numPr>
          <w:ilvl w:val="0"/>
          <w:numId w:val="6"/>
        </w:numPr>
        <w:spacing w:line="360" w:lineRule="auto"/>
        <w:jc w:val="both"/>
        <w:rPr>
          <w:noProof w:val="0"/>
        </w:rPr>
      </w:pPr>
      <w:r>
        <w:rPr>
          <w:rFonts w:hint="cs"/>
          <w:noProof w:val="0"/>
          <w:rtl/>
        </w:rPr>
        <w:t>מ</w:t>
      </w:r>
      <w:r w:rsidRPr="004E2806">
        <w:rPr>
          <w:noProof w:val="0"/>
          <w:rtl/>
        </w:rPr>
        <w:t xml:space="preserve">קרה </w:t>
      </w:r>
      <w:r>
        <w:rPr>
          <w:rFonts w:hint="cs"/>
          <w:noProof w:val="0"/>
          <w:rtl/>
        </w:rPr>
        <w:t xml:space="preserve">דנן </w:t>
      </w:r>
      <w:r w:rsidRPr="004E2806">
        <w:rPr>
          <w:noProof w:val="0"/>
          <w:rtl/>
        </w:rPr>
        <w:t>הוא מסוג המקרים המצדיק מתן פטור לתובעים מהשבה של טובת ההנאה שהפיקו מהשימוש במקרקעין, כלומר פטור מתשלום דמי שימוש עבור השימוש שעשו בדירה, בשל נסיבות המקרה</w:t>
      </w:r>
      <w:r w:rsidRPr="004E2806">
        <w:rPr>
          <w:rFonts w:hint="cs"/>
          <w:noProof w:val="0"/>
          <w:rtl/>
        </w:rPr>
        <w:t>,</w:t>
      </w:r>
      <w:r w:rsidRPr="004E2806">
        <w:rPr>
          <w:noProof w:val="0"/>
          <w:rtl/>
        </w:rPr>
        <w:t xml:space="preserve"> ההופכות את ההשבה לבלתי צודקת. </w:t>
      </w:r>
    </w:p>
    <w:p w14:paraId="5CAD6A89" w14:textId="77777777" w:rsidR="00AA1934" w:rsidRPr="004E2806" w:rsidRDefault="00AA1934" w:rsidP="00AA1934">
      <w:pPr>
        <w:pStyle w:val="1"/>
        <w:rPr>
          <w:noProof w:val="0"/>
        </w:rPr>
      </w:pPr>
    </w:p>
    <w:p w14:paraId="03DCE7BC" w14:textId="77777777" w:rsidR="00AA1934" w:rsidRPr="004E2806" w:rsidRDefault="00000000" w:rsidP="00AA1934">
      <w:pPr>
        <w:pStyle w:val="1"/>
        <w:numPr>
          <w:ilvl w:val="0"/>
          <w:numId w:val="6"/>
        </w:numPr>
        <w:spacing w:line="360" w:lineRule="auto"/>
        <w:jc w:val="both"/>
        <w:rPr>
          <w:noProof w:val="0"/>
          <w:rtl/>
        </w:rPr>
      </w:pPr>
      <w:r>
        <w:rPr>
          <w:rFonts w:ascii="David" w:hAnsi="David" w:hint="cs"/>
          <w:noProof w:val="0"/>
          <w:rtl/>
        </w:rPr>
        <w:t>שהרי</w:t>
      </w:r>
      <w:r w:rsidRPr="004E2806">
        <w:rPr>
          <w:rFonts w:ascii="David" w:hAnsi="David"/>
          <w:noProof w:val="0"/>
          <w:rtl/>
        </w:rPr>
        <w:t xml:space="preserve">, ההסכם בוטל </w:t>
      </w:r>
      <w:r>
        <w:rPr>
          <w:rFonts w:ascii="David" w:hAnsi="David" w:hint="cs"/>
          <w:noProof w:val="0"/>
          <w:rtl/>
        </w:rPr>
        <w:t>ב</w:t>
      </w:r>
      <w:r w:rsidRPr="004E2806">
        <w:rPr>
          <w:rFonts w:ascii="David" w:hAnsi="David"/>
          <w:noProof w:val="0"/>
          <w:rtl/>
        </w:rPr>
        <w:t>אשמת הנתבעת ואילו ההסכם היה מקוים כפי שנקבע בו, אזי התובעים יכולים היו כיום ליהנות מדירה עם חניה תקנית ולחלופין, למכור אותה במחיר שוק, בלי שהיה מקוזז מסכום התמורה סכום כלשהו. חיובם לשלם לנתבעת דמי שימוש יביא למעשה לתוצאה בלתי צודקת שבה הנתבעת תקבל דירה, שבינתיים ערכה עלה, בעוד שהתמורה הכספית שיקבלו התובעים, לא תשקף "ערך קניה דומה", אלא תמורה ששוויה נמוך במאות אלפי שקלים מהתמורה שהיו התובעים מקבלים עקב מכירת הדירה.</w:t>
      </w:r>
      <w:r w:rsidRPr="004E2806">
        <w:rPr>
          <w:noProof w:val="0"/>
          <w:rtl/>
        </w:rPr>
        <w:t xml:space="preserve"> תוצאה זו, אינה צודקת. </w:t>
      </w:r>
    </w:p>
    <w:p w14:paraId="4CB2C23B" w14:textId="77777777" w:rsidR="00AA1934" w:rsidRPr="004E2806" w:rsidRDefault="00AA1934" w:rsidP="00AA1934">
      <w:pPr>
        <w:pStyle w:val="1"/>
        <w:rPr>
          <w:rFonts w:ascii="David" w:hAnsi="David"/>
          <w:noProof w:val="0"/>
        </w:rPr>
      </w:pPr>
    </w:p>
    <w:p w14:paraId="00D22E59" w14:textId="77777777" w:rsidR="00AA1934" w:rsidRPr="004E2806" w:rsidRDefault="00000000" w:rsidP="00AA1934">
      <w:pPr>
        <w:pStyle w:val="1"/>
        <w:numPr>
          <w:ilvl w:val="0"/>
          <w:numId w:val="6"/>
        </w:numPr>
        <w:spacing w:line="360" w:lineRule="auto"/>
        <w:jc w:val="both"/>
        <w:rPr>
          <w:rFonts w:ascii="David" w:hAnsi="David"/>
          <w:noProof w:val="0"/>
          <w:rtl/>
        </w:rPr>
      </w:pPr>
      <w:r w:rsidRPr="004E2806">
        <w:rPr>
          <w:rFonts w:ascii="David" w:hAnsi="David"/>
          <w:noProof w:val="0"/>
          <w:rtl/>
        </w:rPr>
        <w:t xml:space="preserve">גם בפס"ד מבט בניה </w:t>
      </w:r>
      <w:r>
        <w:rPr>
          <w:rFonts w:ascii="David" w:hAnsi="David" w:hint="cs"/>
          <w:noProof w:val="0"/>
          <w:rtl/>
        </w:rPr>
        <w:t>הנ"ל</w:t>
      </w:r>
      <w:r w:rsidRPr="004E2806">
        <w:rPr>
          <w:rFonts w:ascii="David" w:hAnsi="David"/>
          <w:noProof w:val="0"/>
          <w:rtl/>
        </w:rPr>
        <w:t xml:space="preserve">, שבמסגרתו נדון מקרה שבו רוכשים ביטלו את ההסכם עקב ליקויי רטיבות משמעותיים ותבעו השבה בדמות שווי דירה תקינה בערכה הנוכחי, קבע בית המשפט </w:t>
      </w:r>
      <w:r>
        <w:rPr>
          <w:rFonts w:ascii="David" w:hAnsi="David" w:hint="cs"/>
          <w:noProof w:val="0"/>
          <w:rtl/>
        </w:rPr>
        <w:t>ש</w:t>
      </w:r>
      <w:r w:rsidRPr="004E2806">
        <w:rPr>
          <w:rFonts w:ascii="David" w:hAnsi="David"/>
          <w:noProof w:val="0"/>
          <w:rtl/>
        </w:rPr>
        <w:t>אין מקום לחייב את הרוכשים בתשלום דמי שימוש, ונימק את קביעתו</w:t>
      </w:r>
      <w:r>
        <w:rPr>
          <w:rFonts w:ascii="David" w:hAnsi="David" w:hint="cs"/>
          <w:noProof w:val="0"/>
          <w:rtl/>
        </w:rPr>
        <w:t xml:space="preserve"> כי:</w:t>
      </w:r>
    </w:p>
    <w:p w14:paraId="1A48C8CD" w14:textId="77777777" w:rsidR="00AA1934" w:rsidRPr="004E2806" w:rsidRDefault="00AA1934" w:rsidP="00AA1934">
      <w:pPr>
        <w:pStyle w:val="1"/>
        <w:rPr>
          <w:rFonts w:ascii="David" w:hAnsi="David"/>
          <w:noProof w:val="0"/>
        </w:rPr>
      </w:pPr>
    </w:p>
    <w:p w14:paraId="754C2A5A" w14:textId="77777777" w:rsidR="00AA1934" w:rsidRPr="004E2806" w:rsidRDefault="00000000" w:rsidP="00AA1934">
      <w:pPr>
        <w:pStyle w:val="1"/>
        <w:spacing w:line="360" w:lineRule="auto"/>
        <w:jc w:val="both"/>
        <w:rPr>
          <w:rFonts w:ascii="David" w:hAnsi="David"/>
          <w:noProof w:val="0"/>
          <w:rtl/>
        </w:rPr>
      </w:pPr>
      <w:r w:rsidRPr="004E2806">
        <w:rPr>
          <w:rFonts w:ascii="David" w:hAnsi="David"/>
          <w:noProof w:val="0"/>
          <w:rtl/>
        </w:rPr>
        <w:t>"</w:t>
      </w:r>
      <w:r>
        <w:rPr>
          <w:rFonts w:ascii="David" w:hAnsi="David" w:hint="cs"/>
          <w:b/>
          <w:bCs/>
          <w:noProof w:val="0"/>
          <w:rtl/>
        </w:rPr>
        <w:t>...</w:t>
      </w:r>
      <w:r w:rsidRPr="004E2806">
        <w:rPr>
          <w:rFonts w:ascii="David" w:hAnsi="David"/>
          <w:b/>
          <w:bCs/>
          <w:noProof w:val="0"/>
          <w:rtl/>
        </w:rPr>
        <w:t>אולם תשלום זה יסכל את התוצאה של העמדת הנפגע במצב שבו היו לו קוים החוזה ואת ההגנה על אינטרס הצפיות שלו</w:t>
      </w:r>
      <w:r w:rsidRPr="004E2806">
        <w:rPr>
          <w:rFonts w:ascii="David" w:hAnsi="David"/>
          <w:noProof w:val="0"/>
          <w:rtl/>
        </w:rPr>
        <w:t>"</w:t>
      </w:r>
      <w:r w:rsidRPr="004E2806">
        <w:rPr>
          <w:rFonts w:ascii="David" w:hAnsi="David"/>
          <w:noProof w:val="0"/>
        </w:rPr>
        <w:t>.</w:t>
      </w:r>
      <w:r w:rsidRPr="004E2806">
        <w:rPr>
          <w:rFonts w:ascii="David" w:hAnsi="David"/>
          <w:noProof w:val="0"/>
          <w:rtl/>
        </w:rPr>
        <w:t xml:space="preserve"> (שם, בעמ' 59). </w:t>
      </w:r>
    </w:p>
    <w:p w14:paraId="0601A7C9" w14:textId="77777777" w:rsidR="00AA1934" w:rsidRPr="004E2806" w:rsidRDefault="00AA1934" w:rsidP="00AA1934">
      <w:pPr>
        <w:pStyle w:val="1"/>
        <w:spacing w:line="360" w:lineRule="auto"/>
        <w:jc w:val="both"/>
        <w:rPr>
          <w:rFonts w:ascii="David" w:hAnsi="David"/>
          <w:noProof w:val="0"/>
        </w:rPr>
      </w:pPr>
    </w:p>
    <w:p w14:paraId="088E873D" w14:textId="219F71D4" w:rsidR="00AA1934" w:rsidRPr="004E2806" w:rsidRDefault="00000000" w:rsidP="00AA1934">
      <w:pPr>
        <w:pStyle w:val="1"/>
        <w:numPr>
          <w:ilvl w:val="0"/>
          <w:numId w:val="6"/>
        </w:numPr>
        <w:spacing w:line="360" w:lineRule="auto"/>
        <w:jc w:val="both"/>
        <w:rPr>
          <w:rFonts w:ascii="David" w:hAnsi="David"/>
          <w:noProof w:val="0"/>
          <w:rtl/>
        </w:rPr>
      </w:pPr>
      <w:r w:rsidRPr="004E2806">
        <w:rPr>
          <w:rFonts w:ascii="David" w:hAnsi="David"/>
          <w:noProof w:val="0"/>
          <w:rtl/>
        </w:rPr>
        <w:t>למסקנה דומה הגיע בית המשפט המחוזי (כב' הנשיא, השופט איתן אורנשטיין) ב</w:t>
      </w:r>
      <w:r w:rsidR="00F35BCC" w:rsidRPr="009D5CCE">
        <w:rPr>
          <w:rFonts w:ascii="David" w:hAnsi="David"/>
          <w:noProof w:val="0"/>
          <w:rtl/>
        </w:rPr>
        <w:t>ת"א (מחוזי-ת"א) 2530-05</w:t>
      </w:r>
      <w:r w:rsidRPr="004E2806">
        <w:rPr>
          <w:rFonts w:ascii="David" w:hAnsi="David"/>
          <w:noProof w:val="0"/>
          <w:rtl/>
        </w:rPr>
        <w:t xml:space="preserve"> </w:t>
      </w:r>
      <w:r w:rsidRPr="004E2806">
        <w:rPr>
          <w:rFonts w:ascii="David" w:hAnsi="David"/>
          <w:b/>
          <w:bCs/>
          <w:noProof w:val="0"/>
          <w:rtl/>
        </w:rPr>
        <w:t xml:space="preserve">שושנה בית עדה נ' מאיה א.א.מ. נכסים בע"מ </w:t>
      </w:r>
      <w:r w:rsidRPr="004E2806">
        <w:rPr>
          <w:rFonts w:ascii="David" w:hAnsi="David"/>
          <w:noProof w:val="0"/>
          <w:rtl/>
        </w:rPr>
        <w:t>(7.4.10), שבמסגרת</w:t>
      </w:r>
      <w:r>
        <w:rPr>
          <w:rFonts w:ascii="David" w:hAnsi="David" w:hint="cs"/>
          <w:noProof w:val="0"/>
          <w:rtl/>
        </w:rPr>
        <w:t>ו</w:t>
      </w:r>
      <w:r w:rsidRPr="004E2806">
        <w:rPr>
          <w:rFonts w:ascii="David" w:hAnsi="David"/>
          <w:noProof w:val="0"/>
          <w:rtl/>
        </w:rPr>
        <w:t xml:space="preserve"> נדון מקרה שבו הסכם מכר בוטל מחמת איחור במסירה, אי חיבור הבניין לתשתיות חיוניות וקיומם של ליקויים שונים. התובעת עתרה לקבלת סעד הצהרתי הקובע כי ההסכם בוטל כדין ולהשבה של הסכומים ששולמו, בתוספת פיצויים. מנגד, טען הקבלן, בין היתר, כי יש לנכות מסכום ההשבה דמי שימוש בגין השנים שבהן התגוררה התובעת בנכס. בית המשפט דחה את טענת הקבלן וקבע, בין היתר, </w:t>
      </w:r>
      <w:r>
        <w:rPr>
          <w:rFonts w:ascii="David" w:hAnsi="David" w:hint="cs"/>
          <w:noProof w:val="0"/>
          <w:rtl/>
        </w:rPr>
        <w:t>כי</w:t>
      </w:r>
      <w:r w:rsidRPr="004E2806">
        <w:rPr>
          <w:rFonts w:ascii="David" w:hAnsi="David"/>
          <w:noProof w:val="0"/>
          <w:rtl/>
        </w:rPr>
        <w:t xml:space="preserve">: </w:t>
      </w:r>
    </w:p>
    <w:p w14:paraId="5EE6F1FF" w14:textId="77777777" w:rsidR="00AA1934" w:rsidRPr="004E2806" w:rsidRDefault="00AA1934" w:rsidP="00AA1934">
      <w:pPr>
        <w:spacing w:line="360" w:lineRule="auto"/>
        <w:jc w:val="both"/>
        <w:rPr>
          <w:rFonts w:ascii="David" w:hAnsi="David"/>
          <w:noProof w:val="0"/>
        </w:rPr>
      </w:pPr>
    </w:p>
    <w:p w14:paraId="5CDE9E60" w14:textId="77777777" w:rsidR="00AA1934" w:rsidRPr="004E2806" w:rsidRDefault="00000000" w:rsidP="00AA1934">
      <w:pPr>
        <w:pStyle w:val="1"/>
        <w:spacing w:line="360" w:lineRule="auto"/>
        <w:jc w:val="both"/>
        <w:rPr>
          <w:rFonts w:ascii="David" w:hAnsi="David"/>
          <w:b/>
          <w:bCs/>
          <w:noProof w:val="0"/>
          <w:rtl/>
        </w:rPr>
      </w:pPr>
      <w:r w:rsidRPr="004E2806">
        <w:rPr>
          <w:rFonts w:ascii="David" w:hAnsi="David"/>
          <w:b/>
          <w:bCs/>
          <w:noProof w:val="0"/>
          <w:rtl/>
        </w:rPr>
        <w:t>"אין מקום לקבל את טענת הנתבעת לפיה יש להפחית מהמגיע לתובעת את שווי</w:t>
      </w:r>
      <w:r w:rsidR="00D967A5">
        <w:rPr>
          <w:rFonts w:ascii="David" w:hAnsi="David"/>
          <w:b/>
          <w:bCs/>
          <w:noProof w:val="0"/>
          <w:rtl/>
        </w:rPr>
        <w:t xml:space="preserve"> </w:t>
      </w:r>
      <w:r w:rsidRPr="004E2806">
        <w:rPr>
          <w:b/>
          <w:bCs/>
          <w:noProof w:val="0"/>
          <w:rtl/>
        </w:rPr>
        <w:t>דמי</w:t>
      </w:r>
      <w:r w:rsidR="00D967A5">
        <w:rPr>
          <w:rFonts w:ascii="David" w:hAnsi="David"/>
          <w:b/>
          <w:bCs/>
          <w:noProof w:val="0"/>
          <w:rtl/>
        </w:rPr>
        <w:t xml:space="preserve"> </w:t>
      </w:r>
      <w:r w:rsidRPr="004E2806">
        <w:rPr>
          <w:b/>
          <w:bCs/>
          <w:noProof w:val="0"/>
          <w:rtl/>
        </w:rPr>
        <w:t>השימוש</w:t>
      </w:r>
      <w:r w:rsidR="00D967A5">
        <w:rPr>
          <w:rFonts w:ascii="David" w:hAnsi="David"/>
          <w:b/>
          <w:bCs/>
          <w:noProof w:val="0"/>
          <w:rtl/>
        </w:rPr>
        <w:t xml:space="preserve"> </w:t>
      </w:r>
      <w:r w:rsidRPr="004E2806">
        <w:rPr>
          <w:rFonts w:ascii="David" w:hAnsi="David"/>
          <w:b/>
          <w:bCs/>
          <w:noProof w:val="0"/>
          <w:rtl/>
        </w:rPr>
        <w:t>בדירה, במהלך השנים בהן התובעת התגוררה בדירה</w:t>
      </w:r>
      <w:r w:rsidRPr="004E2806">
        <w:rPr>
          <w:rFonts w:ascii="David" w:hAnsi="David"/>
          <w:b/>
          <w:bCs/>
          <w:noProof w:val="0"/>
        </w:rPr>
        <w:t>."</w:t>
      </w:r>
    </w:p>
    <w:p w14:paraId="636EA170" w14:textId="77777777" w:rsidR="00AA1934" w:rsidRPr="004E2806" w:rsidRDefault="00AA1934" w:rsidP="00AA1934">
      <w:pPr>
        <w:pStyle w:val="1"/>
        <w:spacing w:line="360" w:lineRule="auto"/>
        <w:jc w:val="both"/>
        <w:rPr>
          <w:rFonts w:ascii="David" w:hAnsi="David"/>
          <w:b/>
          <w:bCs/>
          <w:noProof w:val="0"/>
          <w:rtl/>
        </w:rPr>
      </w:pPr>
    </w:p>
    <w:p w14:paraId="26343A5A" w14:textId="77777777" w:rsidR="00AA1934" w:rsidRPr="004E2806" w:rsidRDefault="00000000" w:rsidP="00AA1934">
      <w:pPr>
        <w:pStyle w:val="1"/>
        <w:numPr>
          <w:ilvl w:val="0"/>
          <w:numId w:val="6"/>
        </w:numPr>
        <w:spacing w:line="360" w:lineRule="auto"/>
        <w:jc w:val="both"/>
        <w:rPr>
          <w:rFonts w:ascii="David" w:hAnsi="David"/>
          <w:noProof w:val="0"/>
          <w:rtl/>
        </w:rPr>
      </w:pPr>
      <w:r w:rsidRPr="004E2806">
        <w:rPr>
          <w:rFonts w:ascii="David" w:hAnsi="David" w:hint="cs"/>
          <w:noProof w:val="0"/>
          <w:rtl/>
        </w:rPr>
        <w:t xml:space="preserve">לאור כל האמור לעיל, </w:t>
      </w:r>
      <w:r>
        <w:rPr>
          <w:rFonts w:ascii="David" w:hAnsi="David" w:hint="cs"/>
          <w:noProof w:val="0"/>
          <w:rtl/>
        </w:rPr>
        <w:t xml:space="preserve">יש לדחות </w:t>
      </w:r>
      <w:r w:rsidRPr="004E2806">
        <w:rPr>
          <w:rFonts w:ascii="David" w:hAnsi="David" w:hint="cs"/>
          <w:noProof w:val="0"/>
          <w:rtl/>
        </w:rPr>
        <w:t xml:space="preserve">את טענת הנתבעת, אשר עתרה לקזז מתמורת הדירה דמי שימוש. </w:t>
      </w:r>
    </w:p>
    <w:p w14:paraId="3CAF616B" w14:textId="77777777" w:rsidR="00AA1934" w:rsidRPr="004E2806" w:rsidRDefault="00AA1934" w:rsidP="00AA1934">
      <w:pPr>
        <w:pStyle w:val="1"/>
        <w:spacing w:line="360" w:lineRule="auto"/>
        <w:jc w:val="both"/>
        <w:rPr>
          <w:rFonts w:ascii="David" w:hAnsi="David"/>
          <w:b/>
          <w:bCs/>
          <w:noProof w:val="0"/>
          <w:rtl/>
        </w:rPr>
      </w:pPr>
    </w:p>
    <w:p w14:paraId="2F390DBB" w14:textId="77777777" w:rsidR="00AA1934" w:rsidRDefault="00000000" w:rsidP="00AA1934">
      <w:pPr>
        <w:pStyle w:val="1"/>
        <w:numPr>
          <w:ilvl w:val="0"/>
          <w:numId w:val="6"/>
        </w:numPr>
        <w:spacing w:line="360" w:lineRule="auto"/>
        <w:jc w:val="both"/>
        <w:rPr>
          <w:rFonts w:ascii="David" w:hAnsi="David"/>
          <w:noProof w:val="0"/>
        </w:rPr>
      </w:pPr>
      <w:r w:rsidRPr="00880C62">
        <w:rPr>
          <w:rFonts w:ascii="David" w:hAnsi="David"/>
          <w:b/>
          <w:bCs/>
          <w:noProof w:val="0"/>
          <w:u w:val="single"/>
          <w:rtl/>
        </w:rPr>
        <w:t>סיכומו של דבר</w:t>
      </w:r>
      <w:r w:rsidRPr="00880C62">
        <w:rPr>
          <w:rFonts w:ascii="David" w:hAnsi="David"/>
          <w:noProof w:val="0"/>
          <w:rtl/>
        </w:rPr>
        <w:t xml:space="preserve">: </w:t>
      </w:r>
      <w:r>
        <w:rPr>
          <w:rFonts w:ascii="David" w:hAnsi="David" w:hint="cs"/>
          <w:noProof w:val="0"/>
          <w:rtl/>
        </w:rPr>
        <w:t xml:space="preserve">עמדת התובעים מתקבלת בשני הרכיבים. על </w:t>
      </w:r>
      <w:r w:rsidRPr="00880C62">
        <w:rPr>
          <w:rFonts w:ascii="David" w:hAnsi="David"/>
          <w:noProof w:val="0"/>
          <w:rtl/>
        </w:rPr>
        <w:t xml:space="preserve">הנתבעת </w:t>
      </w:r>
      <w:r>
        <w:rPr>
          <w:rFonts w:ascii="David" w:hAnsi="David" w:hint="cs"/>
          <w:noProof w:val="0"/>
          <w:rtl/>
        </w:rPr>
        <w:t>לה</w:t>
      </w:r>
      <w:r w:rsidRPr="00880C62">
        <w:rPr>
          <w:rFonts w:ascii="David" w:hAnsi="David"/>
          <w:noProof w:val="0"/>
          <w:rtl/>
        </w:rPr>
        <w:t>שיב לתובעים את שווי ערכה של הדירה כיום, בתוספת שווי של חנייה תקנית</w:t>
      </w:r>
      <w:r>
        <w:rPr>
          <w:rFonts w:ascii="David" w:hAnsi="David" w:hint="cs"/>
          <w:noProof w:val="0"/>
          <w:rtl/>
        </w:rPr>
        <w:t xml:space="preserve"> וללא קיזוז דמי שימוש ראויים</w:t>
      </w:r>
      <w:r w:rsidRPr="00880C62">
        <w:rPr>
          <w:rFonts w:ascii="David" w:hAnsi="David"/>
          <w:noProof w:val="0"/>
          <w:rtl/>
        </w:rPr>
        <w:t xml:space="preserve">. בהתאם להסכמת הצדדים בדיון מיום 19.10.25, אני ממנה בזאת את השמאי שאול רוזנברג לביצוע שומה של הדירה נכון להיום. בנוסף, השמאי ייבחן האם אכן בוצעו בדירה השיפוצים הנטענים ע"י התובעים בסך של 144,670 ₪, בהתאם לחשבוניות שצורפו לתביעה והוא ייחשב גם את ערכם של השיפוצים כיום, בהתחשב בפחת ובעליית ערך הדירה. </w:t>
      </w:r>
    </w:p>
    <w:p w14:paraId="3AD079D4" w14:textId="77777777" w:rsidR="00AA1934" w:rsidRPr="00880C62" w:rsidRDefault="00AA1934" w:rsidP="00AA1934">
      <w:pPr>
        <w:pStyle w:val="1"/>
        <w:rPr>
          <w:rFonts w:ascii="David" w:hAnsi="David"/>
          <w:noProof w:val="0"/>
          <w:rtl/>
        </w:rPr>
      </w:pPr>
    </w:p>
    <w:p w14:paraId="6ADE8B03" w14:textId="77777777" w:rsidR="00AA1934" w:rsidRDefault="00000000" w:rsidP="00AA1934">
      <w:pPr>
        <w:pStyle w:val="1"/>
        <w:numPr>
          <w:ilvl w:val="0"/>
          <w:numId w:val="6"/>
        </w:numPr>
        <w:spacing w:line="360" w:lineRule="auto"/>
        <w:jc w:val="both"/>
        <w:rPr>
          <w:rFonts w:ascii="David" w:hAnsi="David"/>
          <w:noProof w:val="0"/>
        </w:rPr>
      </w:pPr>
      <w:r w:rsidRPr="004E2806">
        <w:rPr>
          <w:rFonts w:ascii="David" w:hAnsi="David"/>
          <w:noProof w:val="0"/>
          <w:rtl/>
        </w:rPr>
        <w:t xml:space="preserve">שני הצדדים יישא בשכר טרחת השמאי בחלקים שווים. חוות הדעת תוגש בתוך 30 יום מהיום. לאחר שתוגש חוות הדעת, ייקבע מועד הוכחות שבמסגרתו יידון </w:t>
      </w:r>
      <w:r>
        <w:rPr>
          <w:rFonts w:ascii="David" w:hAnsi="David" w:hint="cs"/>
          <w:noProof w:val="0"/>
          <w:rtl/>
        </w:rPr>
        <w:t xml:space="preserve">גם </w:t>
      </w:r>
      <w:r w:rsidRPr="004E2806">
        <w:rPr>
          <w:rFonts w:ascii="David" w:hAnsi="David"/>
          <w:noProof w:val="0"/>
          <w:rtl/>
        </w:rPr>
        <w:t>רכיב הפיצויים הנטען בגין עוגמת הנפש.</w:t>
      </w:r>
      <w:r>
        <w:rPr>
          <w:rFonts w:ascii="David" w:hAnsi="David" w:hint="cs"/>
          <w:noProof w:val="0"/>
          <w:rtl/>
        </w:rPr>
        <w:t xml:space="preserve">  </w:t>
      </w:r>
    </w:p>
    <w:p w14:paraId="7687D97D" w14:textId="77777777" w:rsidR="00AA1934" w:rsidRPr="00880C62" w:rsidRDefault="00AA1934" w:rsidP="00AA1934">
      <w:pPr>
        <w:pStyle w:val="1"/>
        <w:rPr>
          <w:rFonts w:ascii="David" w:hAnsi="David"/>
          <w:noProof w:val="0"/>
          <w:rtl/>
        </w:rPr>
      </w:pPr>
    </w:p>
    <w:p w14:paraId="54AF83B9" w14:textId="77777777" w:rsidR="00AA1934" w:rsidRPr="00880C62" w:rsidRDefault="00AA1934" w:rsidP="00AA1934">
      <w:pPr>
        <w:spacing w:line="360" w:lineRule="auto"/>
        <w:ind w:left="360"/>
        <w:jc w:val="both"/>
        <w:rPr>
          <w:rFonts w:ascii="David" w:hAnsi="David"/>
          <w:noProof w:val="0"/>
        </w:rPr>
      </w:pPr>
    </w:p>
    <w:p w14:paraId="6C5D3F06" w14:textId="77777777" w:rsidR="00AA1934" w:rsidRPr="004E2806" w:rsidRDefault="00AA1934" w:rsidP="00AA1934">
      <w:pPr>
        <w:spacing w:line="360" w:lineRule="auto"/>
        <w:jc w:val="both"/>
        <w:rPr>
          <w:rFonts w:ascii="Arial" w:hAnsi="Arial"/>
          <w:noProof w:val="0"/>
          <w:rtl/>
        </w:rPr>
      </w:pPr>
    </w:p>
    <w:p w14:paraId="5047BBD2" w14:textId="77777777" w:rsidR="00AA1934" w:rsidRPr="00953619" w:rsidRDefault="00D967A5" w:rsidP="00AA1934">
      <w:pPr>
        <w:tabs>
          <w:tab w:val="left" w:pos="2553"/>
        </w:tabs>
        <w:ind w:left="5040"/>
        <w:rPr>
          <w:rtl/>
        </w:rPr>
      </w:pPr>
      <w:bookmarkStart w:id="8" w:name="Nitan"/>
      <w:r>
        <w:rPr>
          <w:rFonts w:ascii="Arial" w:hAnsi="Arial"/>
          <w:noProof w:val="0"/>
          <w:rtl/>
        </w:rPr>
        <w:t xml:space="preserve">ניתנה היום, ז' כסלו תשפ"ו, 27 נובמבר 2025, בהעדר הצדדים. </w:t>
      </w:r>
      <w:bookmarkEnd w:id="8"/>
      <w:r w:rsidR="00000000" w:rsidRPr="004E2806">
        <w:rPr>
          <w:rFonts w:hint="cs"/>
          <w:rtl/>
        </w:rPr>
        <w:t xml:space="preserve">     </w:t>
      </w:r>
    </w:p>
    <w:p w14:paraId="6AFD3DD4" w14:textId="77777777" w:rsidR="00AA1934" w:rsidRDefault="00000000" w:rsidP="00D967A5">
      <w:pPr>
        <w:tabs>
          <w:tab w:val="left" w:pos="2553"/>
        </w:tabs>
      </w:pPr>
      <w:r w:rsidRPr="00953619">
        <w:rPr>
          <w:rFonts w:hint="cs"/>
          <w:rtl/>
        </w:rPr>
        <w:tab/>
      </w:r>
      <w:r w:rsidRPr="00953619">
        <w:rPr>
          <w:rFonts w:hint="cs"/>
          <w:rtl/>
        </w:rPr>
        <w:tab/>
      </w:r>
      <w:r w:rsidRPr="00953619">
        <w:rPr>
          <w:rFonts w:hint="cs"/>
          <w:rtl/>
        </w:rPr>
        <w:tab/>
      </w:r>
      <w:r w:rsidRPr="00953619">
        <w:rPr>
          <w:rFonts w:hint="cs"/>
          <w:rtl/>
        </w:rPr>
        <w:tab/>
        <w:t xml:space="preserve">        </w:t>
      </w:r>
    </w:p>
    <w:p w14:paraId="1039E65B" w14:textId="77777777" w:rsidR="00AA1934" w:rsidRDefault="00AA1934" w:rsidP="00AA1934">
      <w:pPr>
        <w:tabs>
          <w:tab w:val="left" w:pos="2553"/>
        </w:tabs>
        <w:rPr>
          <w:rFonts w:ascii="Arial" w:hAnsi="Arial"/>
          <w:noProof w:val="0"/>
          <w:rtl/>
        </w:rPr>
      </w:pPr>
    </w:p>
    <w:p w14:paraId="1846D9BF" w14:textId="77777777" w:rsidR="00BB36EC" w:rsidRPr="00D967A5" w:rsidRDefault="00BB36EC" w:rsidP="00D967A5">
      <w:pPr>
        <w:rPr>
          <w:color w:val="000000"/>
          <w:rtl/>
        </w:rPr>
      </w:pPr>
    </w:p>
    <w:p w14:paraId="711C4010" w14:textId="77777777" w:rsidR="00D967A5" w:rsidRDefault="00D967A5" w:rsidP="00D967A5">
      <w:pPr>
        <w:rPr>
          <w:rtl/>
        </w:rPr>
      </w:pPr>
    </w:p>
    <w:p w14:paraId="6B51BC47" w14:textId="7CDE9227" w:rsidR="00D967A5" w:rsidRPr="00D967A5" w:rsidRDefault="00D967A5" w:rsidP="00276317">
      <w:pPr>
        <w:rPr>
          <w:color w:val="0000FF"/>
          <w:u w:val="single"/>
        </w:rPr>
      </w:pPr>
    </w:p>
    <w:sectPr w:rsidR="00D967A5" w:rsidRPr="00D967A5" w:rsidSect="00276317">
      <w:headerReference w:type="even" r:id="rId8"/>
      <w:headerReference w:type="default" r:id="rId9"/>
      <w:footerReference w:type="even" r:id="rId10"/>
      <w:footerReference w:type="default" r:id="rId11"/>
      <w:pgSz w:w="11907" w:h="16840" w:code="9"/>
      <w:pgMar w:top="1701" w:right="1797" w:bottom="1440" w:left="1797" w:header="720" w:footer="51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32D6" w14:textId="77777777" w:rsidR="00127079" w:rsidRDefault="00127079">
      <w:r>
        <w:separator/>
      </w:r>
    </w:p>
  </w:endnote>
  <w:endnote w:type="continuationSeparator" w:id="0">
    <w:p w14:paraId="7020F76D" w14:textId="77777777" w:rsidR="00127079" w:rsidRDefault="0012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8E99" w14:textId="77777777" w:rsidR="00276317" w:rsidRDefault="00000000" w:rsidP="00276317">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4E115747" w14:textId="4EED7B2F" w:rsidR="00D967A5" w:rsidRPr="00276317" w:rsidRDefault="001D6477" w:rsidP="00276317">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70730EC7" wp14:editId="72E82557">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B7A2" w14:textId="77777777" w:rsidR="00276317" w:rsidRDefault="00000000" w:rsidP="00276317">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0F52DB">
      <w:rPr>
        <w:rStyle w:val="a8"/>
        <w:rFonts w:ascii="FrankRuehl" w:hAnsi="FrankRuehl" w:cs="FrankRuehl"/>
        <w:rtl/>
      </w:rPr>
      <w:t>1</w:t>
    </w:r>
    <w:r>
      <w:rPr>
        <w:rStyle w:val="a8"/>
        <w:rFonts w:ascii="FrankRuehl" w:hAnsi="FrankRuehl" w:cs="FrankRuehl"/>
        <w:rtl/>
      </w:rPr>
      <w:fldChar w:fldCharType="end"/>
    </w:r>
  </w:p>
  <w:p w14:paraId="6F12BE15" w14:textId="13F23FCA" w:rsidR="00C162DA" w:rsidRPr="00276317" w:rsidRDefault="00C162DA" w:rsidP="00276317">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00EA" w14:textId="77777777" w:rsidR="00127079" w:rsidRDefault="00127079">
      <w:r>
        <w:separator/>
      </w:r>
    </w:p>
  </w:footnote>
  <w:footnote w:type="continuationSeparator" w:id="0">
    <w:p w14:paraId="5DFD1A33" w14:textId="77777777" w:rsidR="00127079" w:rsidRDefault="0012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BDC" w14:textId="77777777" w:rsidR="00D967A5" w:rsidRPr="00276317" w:rsidRDefault="00276317" w:rsidP="00276317">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תא (ת"א) 58291-01-25</w:t>
    </w:r>
    <w:r>
      <w:rPr>
        <w:rFonts w:ascii="David" w:hAnsi="David"/>
        <w:color w:val="000000"/>
        <w:sz w:val="22"/>
        <w:szCs w:val="22"/>
        <w:rtl/>
      </w:rPr>
      <w:tab/>
      <w:t xml:space="preserve"> זיו ראובן נ' א.ינוס יזמות ובניה בע"מ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B328" w14:textId="77777777" w:rsidR="00D967A5" w:rsidRPr="00276317" w:rsidRDefault="00276317" w:rsidP="00276317">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9" w:name="_Hlk216343941"/>
    <w:bookmarkStart w:id="10" w:name="_Hlk216343942"/>
    <w:bookmarkStart w:id="11" w:name="_Hlk216343943"/>
    <w:bookmarkStart w:id="12" w:name="_Hlk216343944"/>
    <w:r>
      <w:rPr>
        <w:rFonts w:ascii="David" w:hAnsi="David"/>
        <w:color w:val="000000"/>
        <w:sz w:val="22"/>
        <w:szCs w:val="22"/>
        <w:rtl/>
      </w:rPr>
      <w:t>תא (ת"א) 58291-01-25</w:t>
    </w:r>
    <w:r>
      <w:rPr>
        <w:rFonts w:ascii="David" w:hAnsi="David"/>
        <w:color w:val="000000"/>
        <w:sz w:val="22"/>
        <w:szCs w:val="22"/>
        <w:rtl/>
      </w:rPr>
      <w:tab/>
      <w:t xml:space="preserve"> זיו ראובן נ' א.ינוס יזמות ובניה בע"מ</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FBE"/>
    <w:multiLevelType w:val="hybridMultilevel"/>
    <w:tmpl w:val="DA2C7E2E"/>
    <w:lvl w:ilvl="0" w:tplc="C27ED2B4">
      <w:start w:val="1"/>
      <w:numFmt w:val="decimal"/>
      <w:lvlText w:val="%1."/>
      <w:lvlJc w:val="left"/>
      <w:pPr>
        <w:ind w:left="720" w:hanging="360"/>
      </w:pPr>
      <w:rPr>
        <w:rFonts w:hint="default"/>
      </w:rPr>
    </w:lvl>
    <w:lvl w:ilvl="1" w:tplc="FF0882E2" w:tentative="1">
      <w:start w:val="1"/>
      <w:numFmt w:val="lowerLetter"/>
      <w:lvlText w:val="%2."/>
      <w:lvlJc w:val="left"/>
      <w:pPr>
        <w:ind w:left="1440" w:hanging="360"/>
      </w:pPr>
    </w:lvl>
    <w:lvl w:ilvl="2" w:tplc="B7BC500A" w:tentative="1">
      <w:start w:val="1"/>
      <w:numFmt w:val="lowerRoman"/>
      <w:lvlText w:val="%3."/>
      <w:lvlJc w:val="right"/>
      <w:pPr>
        <w:ind w:left="2160" w:hanging="180"/>
      </w:pPr>
    </w:lvl>
    <w:lvl w:ilvl="3" w:tplc="0248C380" w:tentative="1">
      <w:start w:val="1"/>
      <w:numFmt w:val="decimal"/>
      <w:lvlText w:val="%4."/>
      <w:lvlJc w:val="left"/>
      <w:pPr>
        <w:ind w:left="2880" w:hanging="360"/>
      </w:pPr>
    </w:lvl>
    <w:lvl w:ilvl="4" w:tplc="96FAA41E" w:tentative="1">
      <w:start w:val="1"/>
      <w:numFmt w:val="lowerLetter"/>
      <w:lvlText w:val="%5."/>
      <w:lvlJc w:val="left"/>
      <w:pPr>
        <w:ind w:left="3600" w:hanging="360"/>
      </w:pPr>
    </w:lvl>
    <w:lvl w:ilvl="5" w:tplc="7DF0C0FC" w:tentative="1">
      <w:start w:val="1"/>
      <w:numFmt w:val="lowerRoman"/>
      <w:lvlText w:val="%6."/>
      <w:lvlJc w:val="right"/>
      <w:pPr>
        <w:ind w:left="4320" w:hanging="180"/>
      </w:pPr>
    </w:lvl>
    <w:lvl w:ilvl="6" w:tplc="27961AE8" w:tentative="1">
      <w:start w:val="1"/>
      <w:numFmt w:val="decimal"/>
      <w:lvlText w:val="%7."/>
      <w:lvlJc w:val="left"/>
      <w:pPr>
        <w:ind w:left="5040" w:hanging="360"/>
      </w:pPr>
    </w:lvl>
    <w:lvl w:ilvl="7" w:tplc="AE28EA86" w:tentative="1">
      <w:start w:val="1"/>
      <w:numFmt w:val="lowerLetter"/>
      <w:lvlText w:val="%8."/>
      <w:lvlJc w:val="left"/>
      <w:pPr>
        <w:ind w:left="5760" w:hanging="360"/>
      </w:pPr>
    </w:lvl>
    <w:lvl w:ilvl="8" w:tplc="A9521D7E" w:tentative="1">
      <w:start w:val="1"/>
      <w:numFmt w:val="lowerRoman"/>
      <w:lvlText w:val="%9."/>
      <w:lvlJc w:val="right"/>
      <w:pPr>
        <w:ind w:left="6480" w:hanging="180"/>
      </w:pPr>
    </w:lvl>
  </w:abstractNum>
  <w:abstractNum w:abstractNumId="1" w15:restartNumberingAfterBreak="0">
    <w:nsid w:val="2E6A5314"/>
    <w:multiLevelType w:val="hybridMultilevel"/>
    <w:tmpl w:val="DC9E1E5C"/>
    <w:lvl w:ilvl="0" w:tplc="6D165BC2">
      <w:start w:val="1"/>
      <w:numFmt w:val="decimal"/>
      <w:lvlText w:val="%1."/>
      <w:lvlJc w:val="left"/>
      <w:pPr>
        <w:ind w:left="720" w:hanging="360"/>
      </w:pPr>
      <w:rPr>
        <w:rFonts w:hint="default"/>
        <w:b w:val="0"/>
        <w:bCs w:val="0"/>
      </w:rPr>
    </w:lvl>
    <w:lvl w:ilvl="1" w:tplc="91805E0E" w:tentative="1">
      <w:start w:val="1"/>
      <w:numFmt w:val="lowerLetter"/>
      <w:lvlText w:val="%2."/>
      <w:lvlJc w:val="left"/>
      <w:pPr>
        <w:ind w:left="1440" w:hanging="360"/>
      </w:pPr>
    </w:lvl>
    <w:lvl w:ilvl="2" w:tplc="ADDA1A08" w:tentative="1">
      <w:start w:val="1"/>
      <w:numFmt w:val="lowerRoman"/>
      <w:lvlText w:val="%3."/>
      <w:lvlJc w:val="right"/>
      <w:pPr>
        <w:ind w:left="2160" w:hanging="180"/>
      </w:pPr>
    </w:lvl>
    <w:lvl w:ilvl="3" w:tplc="23224A04" w:tentative="1">
      <w:start w:val="1"/>
      <w:numFmt w:val="decimal"/>
      <w:lvlText w:val="%4."/>
      <w:lvlJc w:val="left"/>
      <w:pPr>
        <w:ind w:left="2880" w:hanging="360"/>
      </w:pPr>
    </w:lvl>
    <w:lvl w:ilvl="4" w:tplc="DC426B22" w:tentative="1">
      <w:start w:val="1"/>
      <w:numFmt w:val="lowerLetter"/>
      <w:lvlText w:val="%5."/>
      <w:lvlJc w:val="left"/>
      <w:pPr>
        <w:ind w:left="3600" w:hanging="360"/>
      </w:pPr>
    </w:lvl>
    <w:lvl w:ilvl="5" w:tplc="612C2DA0" w:tentative="1">
      <w:start w:val="1"/>
      <w:numFmt w:val="lowerRoman"/>
      <w:lvlText w:val="%6."/>
      <w:lvlJc w:val="right"/>
      <w:pPr>
        <w:ind w:left="4320" w:hanging="180"/>
      </w:pPr>
    </w:lvl>
    <w:lvl w:ilvl="6" w:tplc="D5B29B64" w:tentative="1">
      <w:start w:val="1"/>
      <w:numFmt w:val="decimal"/>
      <w:lvlText w:val="%7."/>
      <w:lvlJc w:val="left"/>
      <w:pPr>
        <w:ind w:left="5040" w:hanging="360"/>
      </w:pPr>
    </w:lvl>
    <w:lvl w:ilvl="7" w:tplc="FC201148" w:tentative="1">
      <w:start w:val="1"/>
      <w:numFmt w:val="lowerLetter"/>
      <w:lvlText w:val="%8."/>
      <w:lvlJc w:val="left"/>
      <w:pPr>
        <w:ind w:left="5760" w:hanging="360"/>
      </w:pPr>
    </w:lvl>
    <w:lvl w:ilvl="8" w:tplc="4BB60954" w:tentative="1">
      <w:start w:val="1"/>
      <w:numFmt w:val="lowerRoman"/>
      <w:lvlText w:val="%9."/>
      <w:lvlJc w:val="right"/>
      <w:pPr>
        <w:ind w:left="6480" w:hanging="180"/>
      </w:pPr>
    </w:lvl>
  </w:abstractNum>
  <w:abstractNum w:abstractNumId="2" w15:restartNumberingAfterBreak="0">
    <w:nsid w:val="57970E24"/>
    <w:multiLevelType w:val="hybridMultilevel"/>
    <w:tmpl w:val="72E4F3CC"/>
    <w:lvl w:ilvl="0" w:tplc="C978BBA0">
      <w:start w:val="1"/>
      <w:numFmt w:val="hebrew1"/>
      <w:lvlText w:val="%1."/>
      <w:lvlJc w:val="left"/>
      <w:pPr>
        <w:ind w:left="720" w:hanging="360"/>
      </w:pPr>
      <w:rPr>
        <w:rFonts w:hint="default"/>
      </w:rPr>
    </w:lvl>
    <w:lvl w:ilvl="1" w:tplc="85023E4C" w:tentative="1">
      <w:start w:val="1"/>
      <w:numFmt w:val="lowerLetter"/>
      <w:lvlText w:val="%2."/>
      <w:lvlJc w:val="left"/>
      <w:pPr>
        <w:ind w:left="1440" w:hanging="360"/>
      </w:pPr>
    </w:lvl>
    <w:lvl w:ilvl="2" w:tplc="68A616A2" w:tentative="1">
      <w:start w:val="1"/>
      <w:numFmt w:val="lowerRoman"/>
      <w:lvlText w:val="%3."/>
      <w:lvlJc w:val="right"/>
      <w:pPr>
        <w:ind w:left="2160" w:hanging="180"/>
      </w:pPr>
    </w:lvl>
    <w:lvl w:ilvl="3" w:tplc="8ABCB5D6" w:tentative="1">
      <w:start w:val="1"/>
      <w:numFmt w:val="decimal"/>
      <w:lvlText w:val="%4."/>
      <w:lvlJc w:val="left"/>
      <w:pPr>
        <w:ind w:left="2880" w:hanging="360"/>
      </w:pPr>
    </w:lvl>
    <w:lvl w:ilvl="4" w:tplc="7B283590" w:tentative="1">
      <w:start w:val="1"/>
      <w:numFmt w:val="lowerLetter"/>
      <w:lvlText w:val="%5."/>
      <w:lvlJc w:val="left"/>
      <w:pPr>
        <w:ind w:left="3600" w:hanging="360"/>
      </w:pPr>
    </w:lvl>
    <w:lvl w:ilvl="5" w:tplc="1F14A138" w:tentative="1">
      <w:start w:val="1"/>
      <w:numFmt w:val="lowerRoman"/>
      <w:lvlText w:val="%6."/>
      <w:lvlJc w:val="right"/>
      <w:pPr>
        <w:ind w:left="4320" w:hanging="180"/>
      </w:pPr>
    </w:lvl>
    <w:lvl w:ilvl="6" w:tplc="800E0172" w:tentative="1">
      <w:start w:val="1"/>
      <w:numFmt w:val="decimal"/>
      <w:lvlText w:val="%7."/>
      <w:lvlJc w:val="left"/>
      <w:pPr>
        <w:ind w:left="5040" w:hanging="360"/>
      </w:pPr>
    </w:lvl>
    <w:lvl w:ilvl="7" w:tplc="B4664DFE" w:tentative="1">
      <w:start w:val="1"/>
      <w:numFmt w:val="lowerLetter"/>
      <w:lvlText w:val="%8."/>
      <w:lvlJc w:val="left"/>
      <w:pPr>
        <w:ind w:left="5760" w:hanging="360"/>
      </w:pPr>
    </w:lvl>
    <w:lvl w:ilvl="8" w:tplc="637AC0F2" w:tentative="1">
      <w:start w:val="1"/>
      <w:numFmt w:val="lowerRoman"/>
      <w:lvlText w:val="%9."/>
      <w:lvlJc w:val="right"/>
      <w:pPr>
        <w:ind w:left="6480" w:hanging="180"/>
      </w:pPr>
    </w:lvl>
  </w:abstractNum>
  <w:abstractNum w:abstractNumId="3" w15:restartNumberingAfterBreak="0">
    <w:nsid w:val="63C25B3B"/>
    <w:multiLevelType w:val="hybridMultilevel"/>
    <w:tmpl w:val="0F3CCF7A"/>
    <w:lvl w:ilvl="0" w:tplc="5C4EB68A">
      <w:start w:val="1"/>
      <w:numFmt w:val="decimal"/>
      <w:lvlText w:val="%1."/>
      <w:lvlJc w:val="left"/>
      <w:pPr>
        <w:ind w:left="720" w:hanging="360"/>
      </w:pPr>
      <w:rPr>
        <w:rFonts w:hint="default"/>
      </w:rPr>
    </w:lvl>
    <w:lvl w:ilvl="1" w:tplc="4352FAFE" w:tentative="1">
      <w:start w:val="1"/>
      <w:numFmt w:val="lowerLetter"/>
      <w:lvlText w:val="%2."/>
      <w:lvlJc w:val="left"/>
      <w:pPr>
        <w:ind w:left="1440" w:hanging="360"/>
      </w:pPr>
    </w:lvl>
    <w:lvl w:ilvl="2" w:tplc="979E18BA" w:tentative="1">
      <w:start w:val="1"/>
      <w:numFmt w:val="lowerRoman"/>
      <w:lvlText w:val="%3."/>
      <w:lvlJc w:val="right"/>
      <w:pPr>
        <w:ind w:left="2160" w:hanging="180"/>
      </w:pPr>
    </w:lvl>
    <w:lvl w:ilvl="3" w:tplc="DAE41CAC" w:tentative="1">
      <w:start w:val="1"/>
      <w:numFmt w:val="decimal"/>
      <w:lvlText w:val="%4."/>
      <w:lvlJc w:val="left"/>
      <w:pPr>
        <w:ind w:left="2880" w:hanging="360"/>
      </w:pPr>
    </w:lvl>
    <w:lvl w:ilvl="4" w:tplc="6284E790" w:tentative="1">
      <w:start w:val="1"/>
      <w:numFmt w:val="lowerLetter"/>
      <w:lvlText w:val="%5."/>
      <w:lvlJc w:val="left"/>
      <w:pPr>
        <w:ind w:left="3600" w:hanging="360"/>
      </w:pPr>
    </w:lvl>
    <w:lvl w:ilvl="5" w:tplc="40F44B5C" w:tentative="1">
      <w:start w:val="1"/>
      <w:numFmt w:val="lowerRoman"/>
      <w:lvlText w:val="%6."/>
      <w:lvlJc w:val="right"/>
      <w:pPr>
        <w:ind w:left="4320" w:hanging="180"/>
      </w:pPr>
    </w:lvl>
    <w:lvl w:ilvl="6" w:tplc="9064C3F6" w:tentative="1">
      <w:start w:val="1"/>
      <w:numFmt w:val="decimal"/>
      <w:lvlText w:val="%7."/>
      <w:lvlJc w:val="left"/>
      <w:pPr>
        <w:ind w:left="5040" w:hanging="360"/>
      </w:pPr>
    </w:lvl>
    <w:lvl w:ilvl="7" w:tplc="620CC4AA" w:tentative="1">
      <w:start w:val="1"/>
      <w:numFmt w:val="lowerLetter"/>
      <w:lvlText w:val="%8."/>
      <w:lvlJc w:val="left"/>
      <w:pPr>
        <w:ind w:left="5760" w:hanging="360"/>
      </w:pPr>
    </w:lvl>
    <w:lvl w:ilvl="8" w:tplc="56DCBCE0" w:tentative="1">
      <w:start w:val="1"/>
      <w:numFmt w:val="lowerRoman"/>
      <w:lvlText w:val="%9."/>
      <w:lvlJc w:val="right"/>
      <w:pPr>
        <w:ind w:left="6480" w:hanging="180"/>
      </w:pPr>
    </w:lvl>
  </w:abstractNum>
  <w:abstractNum w:abstractNumId="4" w15:restartNumberingAfterBreak="0">
    <w:nsid w:val="6BD04D92"/>
    <w:multiLevelType w:val="hybridMultilevel"/>
    <w:tmpl w:val="24264434"/>
    <w:lvl w:ilvl="0" w:tplc="0366BDCC">
      <w:start w:val="1"/>
      <w:numFmt w:val="decimal"/>
      <w:lvlText w:val="%1."/>
      <w:lvlJc w:val="left"/>
      <w:pPr>
        <w:ind w:left="720" w:hanging="360"/>
      </w:pPr>
      <w:rPr>
        <w:rFonts w:hint="default"/>
      </w:rPr>
    </w:lvl>
    <w:lvl w:ilvl="1" w:tplc="AEBE5A60" w:tentative="1">
      <w:start w:val="1"/>
      <w:numFmt w:val="lowerLetter"/>
      <w:lvlText w:val="%2."/>
      <w:lvlJc w:val="left"/>
      <w:pPr>
        <w:ind w:left="1440" w:hanging="360"/>
      </w:pPr>
    </w:lvl>
    <w:lvl w:ilvl="2" w:tplc="8496EDCA" w:tentative="1">
      <w:start w:val="1"/>
      <w:numFmt w:val="lowerRoman"/>
      <w:lvlText w:val="%3."/>
      <w:lvlJc w:val="right"/>
      <w:pPr>
        <w:ind w:left="2160" w:hanging="180"/>
      </w:pPr>
    </w:lvl>
    <w:lvl w:ilvl="3" w:tplc="DF6A77D4" w:tentative="1">
      <w:start w:val="1"/>
      <w:numFmt w:val="decimal"/>
      <w:lvlText w:val="%4."/>
      <w:lvlJc w:val="left"/>
      <w:pPr>
        <w:ind w:left="2880" w:hanging="360"/>
      </w:pPr>
    </w:lvl>
    <w:lvl w:ilvl="4" w:tplc="70FE6100" w:tentative="1">
      <w:start w:val="1"/>
      <w:numFmt w:val="lowerLetter"/>
      <w:lvlText w:val="%5."/>
      <w:lvlJc w:val="left"/>
      <w:pPr>
        <w:ind w:left="3600" w:hanging="360"/>
      </w:pPr>
    </w:lvl>
    <w:lvl w:ilvl="5" w:tplc="DBB2F812" w:tentative="1">
      <w:start w:val="1"/>
      <w:numFmt w:val="lowerRoman"/>
      <w:lvlText w:val="%6."/>
      <w:lvlJc w:val="right"/>
      <w:pPr>
        <w:ind w:left="4320" w:hanging="180"/>
      </w:pPr>
    </w:lvl>
    <w:lvl w:ilvl="6" w:tplc="977ABA10" w:tentative="1">
      <w:start w:val="1"/>
      <w:numFmt w:val="decimal"/>
      <w:lvlText w:val="%7."/>
      <w:lvlJc w:val="left"/>
      <w:pPr>
        <w:ind w:left="5040" w:hanging="360"/>
      </w:pPr>
    </w:lvl>
    <w:lvl w:ilvl="7" w:tplc="85F21D22" w:tentative="1">
      <w:start w:val="1"/>
      <w:numFmt w:val="lowerLetter"/>
      <w:lvlText w:val="%8."/>
      <w:lvlJc w:val="left"/>
      <w:pPr>
        <w:ind w:left="5760" w:hanging="360"/>
      </w:pPr>
    </w:lvl>
    <w:lvl w:ilvl="8" w:tplc="1A9A0248" w:tentative="1">
      <w:start w:val="1"/>
      <w:numFmt w:val="lowerRoman"/>
      <w:lvlText w:val="%9."/>
      <w:lvlJc w:val="right"/>
      <w:pPr>
        <w:ind w:left="6480" w:hanging="180"/>
      </w:pPr>
    </w:lvl>
  </w:abstractNum>
  <w:num w:numId="1" w16cid:durableId="2025132537">
    <w:abstractNumId w:val="2"/>
  </w:num>
  <w:num w:numId="2" w16cid:durableId="513540711">
    <w:abstractNumId w:val="3"/>
  </w:num>
  <w:num w:numId="3" w16cid:durableId="1124736402">
    <w:abstractNumId w:val="4"/>
  </w:num>
  <w:num w:numId="4" w16cid:durableId="2016102896">
    <w:abstractNumId w:val="0"/>
  </w:num>
  <w:num w:numId="5" w16cid:durableId="917787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500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AA1934"/>
    <w:rsid w:val="000F52DB"/>
    <w:rsid w:val="00123C94"/>
    <w:rsid w:val="00127079"/>
    <w:rsid w:val="001332E4"/>
    <w:rsid w:val="001D6477"/>
    <w:rsid w:val="002156F4"/>
    <w:rsid w:val="00276317"/>
    <w:rsid w:val="00382695"/>
    <w:rsid w:val="004E2806"/>
    <w:rsid w:val="00560250"/>
    <w:rsid w:val="006066E6"/>
    <w:rsid w:val="006367BC"/>
    <w:rsid w:val="00770390"/>
    <w:rsid w:val="00880C62"/>
    <w:rsid w:val="00913721"/>
    <w:rsid w:val="00953619"/>
    <w:rsid w:val="009D5CCE"/>
    <w:rsid w:val="009E38E5"/>
    <w:rsid w:val="009F0B8E"/>
    <w:rsid w:val="009F16FC"/>
    <w:rsid w:val="00A43B73"/>
    <w:rsid w:val="00A95566"/>
    <w:rsid w:val="00AA1934"/>
    <w:rsid w:val="00AE3800"/>
    <w:rsid w:val="00B05B2F"/>
    <w:rsid w:val="00B87C64"/>
    <w:rsid w:val="00B92735"/>
    <w:rsid w:val="00BB36EC"/>
    <w:rsid w:val="00C162DA"/>
    <w:rsid w:val="00C85D66"/>
    <w:rsid w:val="00D43FC2"/>
    <w:rsid w:val="00D967A5"/>
    <w:rsid w:val="00E32D6F"/>
    <w:rsid w:val="00E74BAD"/>
    <w:rsid w:val="00EF5018"/>
    <w:rsid w:val="00F35BCC"/>
    <w:rsid w:val="00F371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DD07A"/>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934"/>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1934"/>
    <w:pPr>
      <w:tabs>
        <w:tab w:val="center" w:pos="4153"/>
        <w:tab w:val="right" w:pos="8306"/>
      </w:tabs>
    </w:pPr>
  </w:style>
  <w:style w:type="character" w:customStyle="1" w:styleId="a4">
    <w:name w:val="כותרת עליונה תו"/>
    <w:link w:val="a3"/>
    <w:rsid w:val="00AA1934"/>
    <w:rPr>
      <w:rFonts w:ascii="Times New Roman" w:eastAsia="Times New Roman" w:hAnsi="Times New Roman" w:cs="David"/>
      <w:noProof/>
      <w:sz w:val="24"/>
      <w:szCs w:val="24"/>
    </w:rPr>
  </w:style>
  <w:style w:type="paragraph" w:styleId="a5">
    <w:name w:val="footer"/>
    <w:basedOn w:val="a"/>
    <w:link w:val="a6"/>
    <w:rsid w:val="00AA1934"/>
    <w:pPr>
      <w:tabs>
        <w:tab w:val="center" w:pos="4153"/>
        <w:tab w:val="right" w:pos="8306"/>
      </w:tabs>
    </w:pPr>
  </w:style>
  <w:style w:type="character" w:customStyle="1" w:styleId="a6">
    <w:name w:val="כותרת תחתונה תו"/>
    <w:link w:val="a5"/>
    <w:rsid w:val="00AA1934"/>
    <w:rPr>
      <w:rFonts w:ascii="Times New Roman" w:eastAsia="Times New Roman" w:hAnsi="Times New Roman" w:cs="David"/>
      <w:noProof/>
      <w:sz w:val="24"/>
      <w:szCs w:val="24"/>
    </w:rPr>
  </w:style>
  <w:style w:type="table" w:styleId="a7">
    <w:name w:val="Table Grid"/>
    <w:basedOn w:val="a1"/>
    <w:rsid w:val="00AA1934"/>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AA1934"/>
  </w:style>
  <w:style w:type="paragraph" w:customStyle="1" w:styleId="1">
    <w:name w:val="פיסקת רשימה1"/>
    <w:basedOn w:val="a"/>
    <w:qFormat/>
    <w:rsid w:val="00AA1934"/>
    <w:pPr>
      <w:ind w:left="720"/>
      <w:contextualSpacing/>
    </w:pPr>
  </w:style>
  <w:style w:type="character" w:styleId="Hyperlink">
    <w:name w:val="Hyperlink"/>
    <w:rsid w:val="00AA1934"/>
    <w:rPr>
      <w:color w:val="0000FF"/>
      <w:u w:val="single"/>
    </w:rPr>
  </w:style>
  <w:style w:type="paragraph" w:styleId="NormalWeb">
    <w:name w:val="Normal (Web)"/>
    <w:basedOn w:val="a"/>
    <w:rsid w:val="00AA1934"/>
    <w:pPr>
      <w:bidi w:val="0"/>
      <w:spacing w:before="100" w:beforeAutospacing="1" w:after="100" w:afterAutospacing="1"/>
    </w:pPr>
    <w:rPr>
      <w:rFonts w:cs="Times New Roman"/>
      <w:noProof w:val="0"/>
    </w:rPr>
  </w:style>
  <w:style w:type="character" w:styleId="a9">
    <w:name w:val="line number"/>
    <w:rsid w:val="00AA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safrut/bookgroup/31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3188</Words>
  <Characters>15940</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2025-12-11T09:32:00Z</dcterms:created>
  <dcterms:modified xsi:type="dcterms:W3CDTF">2025-12-11T09:32:00Z</dcterms:modified>
</cp:coreProperties>
</file>