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0" w:type="auto"/>
        <w:jc w:val="center"/>
        <w:tblLook w:val="0000" w:firstRow="0" w:lastRow="0" w:firstColumn="0" w:lastColumn="0" w:noHBand="0" w:noVBand="0"/>
      </w:tblPr>
      <w:tblGrid>
        <w:gridCol w:w="5047"/>
        <w:gridCol w:w="3674"/>
      </w:tblGrid>
      <w:tr w:rsidR="00156EE9" w14:paraId="2D951E7C" w14:textId="77777777" w:rsidTr="00DB15DD">
        <w:trPr>
          <w:trHeight w:hRule="exact" w:val="418"/>
          <w:jc w:val="center"/>
        </w:trPr>
        <w:tc>
          <w:tcPr>
            <w:tcW w:w="8721" w:type="dxa"/>
            <w:gridSpan w:val="2"/>
          </w:tcPr>
          <w:p w14:paraId="61F921DE" w14:textId="77777777" w:rsidR="004B54CC" w:rsidRPr="004B54CC" w:rsidRDefault="00000000" w:rsidP="00DB15DD">
            <w:pPr>
              <w:pStyle w:val="a3"/>
              <w:jc w:val="center"/>
              <w:rPr>
                <w:rFonts w:ascii="Tahoma" w:hAnsi="Tahoma" w:cs="Tahoma"/>
                <w:noProof w:val="0"/>
                <w:color w:val="000080"/>
                <w:rtl/>
              </w:rPr>
            </w:pPr>
            <w:bookmarkStart w:id="0" w:name="LastJudge"/>
            <w:r w:rsidRPr="004B54CC">
              <w:rPr>
                <w:rFonts w:ascii="Tahoma" w:hAnsi="Tahoma" w:cs="Tahoma"/>
                <w:b/>
                <w:bCs/>
                <w:noProof w:val="0"/>
                <w:color w:val="000080"/>
                <w:rtl/>
              </w:rPr>
              <w:t>בית משפט לענייני משפחה בירושלים</w:t>
            </w:r>
          </w:p>
        </w:tc>
      </w:tr>
      <w:tr w:rsidR="00156EE9" w14:paraId="3F83F527" w14:textId="77777777" w:rsidTr="00DB15DD">
        <w:trPr>
          <w:trHeight w:val="337"/>
          <w:jc w:val="center"/>
        </w:trPr>
        <w:tc>
          <w:tcPr>
            <w:tcW w:w="5047" w:type="dxa"/>
          </w:tcPr>
          <w:p w14:paraId="4CBF56E9" w14:textId="77777777" w:rsidR="004B54CC" w:rsidRPr="00445A02" w:rsidRDefault="004B54CC" w:rsidP="00445A02">
            <w:pPr>
              <w:spacing w:before="120" w:after="120" w:line="240" w:lineRule="exact"/>
              <w:rPr>
                <w:b/>
                <w:bCs/>
                <w:noProof w:val="0"/>
                <w:sz w:val="26"/>
                <w:szCs w:val="26"/>
                <w:rtl/>
              </w:rPr>
            </w:pPr>
          </w:p>
        </w:tc>
        <w:tc>
          <w:tcPr>
            <w:tcW w:w="3674" w:type="dxa"/>
          </w:tcPr>
          <w:p w14:paraId="6375F6A5" w14:textId="77777777" w:rsidR="004B54CC" w:rsidRPr="00445A02" w:rsidRDefault="00000000" w:rsidP="00445A02">
            <w:pPr>
              <w:pStyle w:val="a3"/>
              <w:spacing w:before="120" w:after="120" w:line="240" w:lineRule="exact"/>
              <w:jc w:val="right"/>
              <w:rPr>
                <w:b/>
                <w:bCs/>
                <w:noProof w:val="0"/>
                <w:sz w:val="26"/>
                <w:szCs w:val="26"/>
                <w:rtl/>
              </w:rPr>
            </w:pPr>
            <w:r w:rsidRPr="00445A02">
              <w:rPr>
                <w:b/>
                <w:bCs/>
                <w:noProof w:val="0"/>
                <w:sz w:val="26"/>
                <w:szCs w:val="26"/>
                <w:rtl/>
              </w:rPr>
              <w:t>17 דצמבר 2024</w:t>
            </w:r>
          </w:p>
        </w:tc>
      </w:tr>
      <w:tr w:rsidR="00156EE9" w14:paraId="4C86A7FC" w14:textId="77777777" w:rsidTr="00DB15DD">
        <w:trPr>
          <w:trHeight w:val="337"/>
          <w:jc w:val="center"/>
        </w:trPr>
        <w:tc>
          <w:tcPr>
            <w:tcW w:w="8721" w:type="dxa"/>
            <w:gridSpan w:val="2"/>
          </w:tcPr>
          <w:p w14:paraId="4460B182" w14:textId="77777777" w:rsidR="004B54CC" w:rsidRPr="00445A02" w:rsidRDefault="00000000" w:rsidP="00445A02">
            <w:pPr>
              <w:spacing w:before="120" w:after="120" w:line="240" w:lineRule="exact"/>
              <w:rPr>
                <w:b/>
                <w:bCs/>
                <w:noProof w:val="0"/>
                <w:sz w:val="26"/>
                <w:szCs w:val="26"/>
                <w:rtl/>
              </w:rPr>
            </w:pPr>
            <w:r w:rsidRPr="00445A02">
              <w:rPr>
                <w:b/>
                <w:bCs/>
                <w:noProof w:val="0"/>
                <w:sz w:val="26"/>
                <w:szCs w:val="26"/>
                <w:rtl/>
              </w:rPr>
              <w:t>תמ"ש 58197-02-24 ח. צ. נ' ג. צ.</w:t>
            </w:r>
          </w:p>
        </w:tc>
      </w:tr>
    </w:tbl>
    <w:p w14:paraId="64E74DA1" w14:textId="77777777" w:rsidR="00D4005B" w:rsidRPr="00445A02" w:rsidRDefault="004B54CC" w:rsidP="00445A02">
      <w:pPr>
        <w:pStyle w:val="a3"/>
        <w:spacing w:before="120" w:after="120" w:line="240" w:lineRule="exact"/>
        <w:rPr>
          <w:rtl/>
        </w:rPr>
      </w:pPr>
      <w:r w:rsidRPr="00445A02">
        <w:rPr>
          <w:rtl/>
        </w:rPr>
        <w:t xml:space="preserve"> </w:t>
      </w:r>
    </w:p>
    <w:tbl>
      <w:tblPr>
        <w:bidiVisual/>
        <w:tblW w:w="882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743"/>
        <w:gridCol w:w="2506"/>
        <w:gridCol w:w="5571"/>
      </w:tblGrid>
      <w:tr w:rsidR="00156EE9" w14:paraId="33B5EBBA" w14:textId="77777777" w:rsidTr="005E6795">
        <w:tc>
          <w:tcPr>
            <w:tcW w:w="743" w:type="dxa"/>
          </w:tcPr>
          <w:p w14:paraId="189A0696" w14:textId="77777777" w:rsidR="00D4005B" w:rsidRPr="00445A02" w:rsidRDefault="00000000" w:rsidP="00445A02">
            <w:pPr>
              <w:spacing w:before="120" w:after="120" w:line="240" w:lineRule="exact"/>
              <w:jc w:val="both"/>
              <w:rPr>
                <w:rFonts w:ascii="Arial" w:hAnsi="Arial"/>
                <w:b/>
                <w:bCs/>
                <w:sz w:val="26"/>
                <w:szCs w:val="26"/>
              </w:rPr>
            </w:pPr>
            <w:r w:rsidRPr="00445A02">
              <w:rPr>
                <w:rFonts w:ascii="Arial" w:hAnsi="Arial"/>
                <w:b/>
                <w:bCs/>
                <w:noProof w:val="0"/>
                <w:sz w:val="26"/>
                <w:szCs w:val="26"/>
                <w:rtl/>
              </w:rPr>
              <w:t xml:space="preserve">בפני </w:t>
            </w:r>
          </w:p>
        </w:tc>
        <w:tc>
          <w:tcPr>
            <w:tcW w:w="8077" w:type="dxa"/>
            <w:gridSpan w:val="2"/>
          </w:tcPr>
          <w:p w14:paraId="67FB6DF3" w14:textId="77777777" w:rsidR="00D4005B" w:rsidRPr="00445A02" w:rsidRDefault="00000000" w:rsidP="00445A02">
            <w:pPr>
              <w:spacing w:before="120" w:after="120" w:line="240" w:lineRule="exact"/>
              <w:rPr>
                <w:rFonts w:ascii="Arial" w:hAnsi="Arial" w:cs="FrankRuehl"/>
                <w:b/>
                <w:bCs/>
                <w:sz w:val="26"/>
                <w:szCs w:val="26"/>
                <w:highlight w:val="yellow"/>
              </w:rPr>
            </w:pPr>
            <w:r w:rsidRPr="00445A02">
              <w:rPr>
                <w:rFonts w:ascii="Arial" w:hAnsi="Arial"/>
                <w:b/>
                <w:bCs/>
                <w:noProof w:val="0"/>
                <w:sz w:val="26"/>
                <w:szCs w:val="26"/>
                <w:rtl/>
              </w:rPr>
              <w:t>כב' השופט  פליקס גורודצקי</w:t>
            </w:r>
          </w:p>
        </w:tc>
      </w:tr>
      <w:tr w:rsidR="00156EE9" w14:paraId="1308F326" w14:textId="77777777" w:rsidTr="005E6795">
        <w:tc>
          <w:tcPr>
            <w:tcW w:w="3249" w:type="dxa"/>
            <w:gridSpan w:val="2"/>
          </w:tcPr>
          <w:p w14:paraId="6521205A" w14:textId="77777777" w:rsidR="00D4005B" w:rsidRPr="00445A02" w:rsidRDefault="00000000" w:rsidP="00445A02">
            <w:pPr>
              <w:bidi w:val="0"/>
              <w:spacing w:before="120" w:after="120" w:line="240" w:lineRule="exact"/>
              <w:jc w:val="right"/>
              <w:rPr>
                <w:rFonts w:ascii="Arial" w:hAnsi="Arial"/>
                <w:b/>
                <w:bCs/>
                <w:noProof w:val="0"/>
                <w:sz w:val="26"/>
                <w:szCs w:val="26"/>
                <w:rtl/>
              </w:rPr>
            </w:pPr>
            <w:bookmarkStart w:id="1" w:name="FirstAppellant"/>
            <w:bookmarkStart w:id="2" w:name="FirstLawyer"/>
            <w:r w:rsidRPr="00445A02">
              <w:rPr>
                <w:rFonts w:ascii="Arial" w:hAnsi="Arial"/>
                <w:b/>
                <w:bCs/>
                <w:noProof w:val="0"/>
                <w:sz w:val="26"/>
                <w:szCs w:val="26"/>
                <w:rtl/>
              </w:rPr>
              <w:t>תובע</w:t>
            </w:r>
          </w:p>
        </w:tc>
        <w:tc>
          <w:tcPr>
            <w:tcW w:w="5571" w:type="dxa"/>
          </w:tcPr>
          <w:p w14:paraId="42E2F81C" w14:textId="77777777" w:rsidR="00D4005B" w:rsidRPr="00445A02" w:rsidRDefault="00000000" w:rsidP="00445A02">
            <w:pPr>
              <w:spacing w:before="120" w:after="120" w:line="240" w:lineRule="exact"/>
              <w:rPr>
                <w:b/>
                <w:bCs/>
                <w:noProof w:val="0"/>
                <w:sz w:val="26"/>
                <w:szCs w:val="26"/>
                <w:rtl/>
              </w:rPr>
            </w:pPr>
            <w:r w:rsidRPr="00445A02">
              <w:rPr>
                <w:rFonts w:ascii="Arial" w:hAnsi="Arial"/>
                <w:b/>
                <w:bCs/>
                <w:noProof w:val="0"/>
                <w:sz w:val="26"/>
                <w:szCs w:val="26"/>
                <w:rtl/>
              </w:rPr>
              <w:t>ח. צ.</w:t>
            </w:r>
            <w:r w:rsidRPr="00445A02">
              <w:rPr>
                <w:b/>
                <w:bCs/>
                <w:noProof w:val="0"/>
                <w:sz w:val="26"/>
                <w:szCs w:val="26"/>
                <w:rtl/>
              </w:rPr>
              <w:t xml:space="preserve">      </w:t>
            </w:r>
          </w:p>
          <w:p w14:paraId="185514BA" w14:textId="77777777" w:rsidR="00D4005B" w:rsidRPr="00445A02" w:rsidRDefault="00000000" w:rsidP="00445A02">
            <w:pPr>
              <w:spacing w:before="120" w:after="120" w:line="240" w:lineRule="exact"/>
              <w:rPr>
                <w:b/>
                <w:bCs/>
                <w:noProof w:val="0"/>
                <w:sz w:val="26"/>
                <w:szCs w:val="26"/>
              </w:rPr>
            </w:pPr>
            <w:r w:rsidRPr="00445A02">
              <w:rPr>
                <w:b/>
                <w:bCs/>
                <w:noProof w:val="0"/>
                <w:sz w:val="26"/>
                <w:szCs w:val="26"/>
                <w:rtl/>
              </w:rPr>
              <w:t>ע"י ב"כ עוה"ד דוד הולשטיין</w:t>
            </w:r>
          </w:p>
        </w:tc>
      </w:tr>
      <w:bookmarkEnd w:id="1"/>
      <w:bookmarkEnd w:id="2"/>
      <w:tr w:rsidR="00156EE9" w14:paraId="05A25E4C" w14:textId="77777777" w:rsidTr="005E6795">
        <w:tc>
          <w:tcPr>
            <w:tcW w:w="8820" w:type="dxa"/>
            <w:gridSpan w:val="3"/>
          </w:tcPr>
          <w:p w14:paraId="5964A888" w14:textId="77777777" w:rsidR="00D4005B" w:rsidRPr="00445A02" w:rsidRDefault="00000000" w:rsidP="00445A02">
            <w:pPr>
              <w:spacing w:before="240" w:after="240" w:line="240" w:lineRule="exact"/>
              <w:jc w:val="center"/>
              <w:rPr>
                <w:rFonts w:ascii="Arial" w:hAnsi="Arial"/>
                <w:b/>
                <w:bCs/>
                <w:noProof w:val="0"/>
                <w:sz w:val="26"/>
                <w:szCs w:val="26"/>
              </w:rPr>
            </w:pPr>
            <w:r w:rsidRPr="00445A02">
              <w:rPr>
                <w:rFonts w:ascii="Arial" w:hAnsi="Arial"/>
                <w:b/>
                <w:bCs/>
                <w:noProof w:val="0"/>
                <w:sz w:val="26"/>
                <w:szCs w:val="26"/>
                <w:rtl/>
              </w:rPr>
              <w:t>נגד</w:t>
            </w:r>
          </w:p>
        </w:tc>
      </w:tr>
      <w:tr w:rsidR="00156EE9" w14:paraId="3E6BDD08" w14:textId="77777777" w:rsidTr="005E6795">
        <w:tc>
          <w:tcPr>
            <w:tcW w:w="3249" w:type="dxa"/>
            <w:gridSpan w:val="2"/>
          </w:tcPr>
          <w:p w14:paraId="41084ADF" w14:textId="77777777" w:rsidR="00D4005B" w:rsidRPr="00445A02" w:rsidRDefault="00000000" w:rsidP="00445A02">
            <w:pPr>
              <w:spacing w:before="120" w:after="120" w:line="240" w:lineRule="exact"/>
              <w:rPr>
                <w:rFonts w:ascii="Arial" w:hAnsi="Arial"/>
                <w:b/>
                <w:bCs/>
                <w:noProof w:val="0"/>
                <w:sz w:val="26"/>
                <w:szCs w:val="26"/>
              </w:rPr>
            </w:pPr>
            <w:r w:rsidRPr="00445A02">
              <w:rPr>
                <w:rFonts w:ascii="Arial" w:hAnsi="Arial"/>
                <w:b/>
                <w:bCs/>
                <w:noProof w:val="0"/>
                <w:sz w:val="26"/>
                <w:szCs w:val="26"/>
                <w:rtl/>
              </w:rPr>
              <w:t>נתבעת</w:t>
            </w:r>
          </w:p>
        </w:tc>
        <w:tc>
          <w:tcPr>
            <w:tcW w:w="5571" w:type="dxa"/>
          </w:tcPr>
          <w:p w14:paraId="762D2EDD" w14:textId="77777777" w:rsidR="00D4005B" w:rsidRPr="00445A02" w:rsidRDefault="00000000" w:rsidP="00445A02">
            <w:pPr>
              <w:spacing w:before="120" w:after="120" w:line="240" w:lineRule="exact"/>
              <w:rPr>
                <w:b/>
                <w:bCs/>
                <w:noProof w:val="0"/>
                <w:sz w:val="26"/>
                <w:szCs w:val="26"/>
                <w:rtl/>
              </w:rPr>
            </w:pPr>
            <w:r w:rsidRPr="00445A02">
              <w:rPr>
                <w:rFonts w:ascii="Arial" w:hAnsi="Arial"/>
                <w:b/>
                <w:bCs/>
                <w:noProof w:val="0"/>
                <w:sz w:val="26"/>
                <w:szCs w:val="26"/>
                <w:rtl/>
              </w:rPr>
              <w:t xml:space="preserve">ג. צ. </w:t>
            </w:r>
            <w:r w:rsidRPr="00445A02">
              <w:rPr>
                <w:b/>
                <w:bCs/>
                <w:noProof w:val="0"/>
                <w:sz w:val="26"/>
                <w:szCs w:val="26"/>
                <w:rtl/>
              </w:rPr>
              <w:br/>
              <w:t>ע"י ב"כ עוה"ד אתי גוהר</w:t>
            </w:r>
          </w:p>
        </w:tc>
      </w:tr>
      <w:bookmarkEnd w:id="0"/>
    </w:tbl>
    <w:p w14:paraId="4B0B426A" w14:textId="77777777" w:rsidR="00D4005B" w:rsidRDefault="00D4005B">
      <w:pPr>
        <w:spacing w:line="360" w:lineRule="auto"/>
        <w:jc w:val="both"/>
        <w:rPr>
          <w:rFonts w:ascii="Arial" w:hAnsi="Arial"/>
          <w:noProof w:val="0"/>
          <w:rtl/>
        </w:rPr>
      </w:pPr>
    </w:p>
    <w:p w14:paraId="37F03A22" w14:textId="77777777" w:rsidR="00E91A50" w:rsidRPr="00445A02" w:rsidRDefault="00E91A50" w:rsidP="00445A02">
      <w:pPr>
        <w:spacing w:line="360" w:lineRule="auto"/>
        <w:jc w:val="both"/>
        <w:rPr>
          <w:rFonts w:ascii="Arial" w:hAnsi="Arial"/>
          <w:noProof w:val="0"/>
          <w:rtl/>
        </w:rPr>
      </w:pPr>
      <w:bookmarkStart w:id="3" w:name="ABSTRACT_END"/>
      <w:bookmarkEnd w:id="3"/>
    </w:p>
    <w:p w14:paraId="15F2F01D" w14:textId="77777777" w:rsidR="00445A02" w:rsidRPr="00445A02" w:rsidRDefault="00000000" w:rsidP="00445A02">
      <w:pPr>
        <w:bidi w:val="0"/>
        <w:jc w:val="center"/>
        <w:rPr>
          <w:rFonts w:ascii="Arial" w:hAnsi="Arial"/>
          <w:b/>
          <w:bCs/>
          <w:noProof w:val="0"/>
          <w:sz w:val="36"/>
          <w:szCs w:val="36"/>
        </w:rPr>
      </w:pPr>
      <w:bookmarkStart w:id="4" w:name="PsakDin"/>
      <w:r w:rsidRPr="00445A02">
        <w:rPr>
          <w:rFonts w:ascii="Arial" w:hAnsi="Arial"/>
          <w:b/>
          <w:bCs/>
          <w:noProof w:val="0"/>
          <w:sz w:val="36"/>
          <w:szCs w:val="36"/>
          <w:rtl/>
        </w:rPr>
        <w:t>החלטה</w:t>
      </w:r>
    </w:p>
    <w:bookmarkEnd w:id="4"/>
    <w:p w14:paraId="23F24022" w14:textId="77777777" w:rsidR="00445A02" w:rsidRDefault="00445A02">
      <w:pPr>
        <w:spacing w:line="360" w:lineRule="auto"/>
        <w:jc w:val="both"/>
        <w:rPr>
          <w:rFonts w:ascii="Arial" w:hAnsi="Arial"/>
          <w:noProof w:val="0"/>
          <w:rtl/>
        </w:rPr>
      </w:pPr>
    </w:p>
    <w:p w14:paraId="1F9329A7" w14:textId="77777777" w:rsidR="00D4005B" w:rsidRDefault="00000000" w:rsidP="00F244FF">
      <w:pPr>
        <w:spacing w:line="360" w:lineRule="auto"/>
        <w:jc w:val="both"/>
        <w:rPr>
          <w:rFonts w:ascii="David" w:hAnsi="David"/>
          <w:noProof w:val="0"/>
        </w:rPr>
      </w:pPr>
      <w:r>
        <w:rPr>
          <w:rFonts w:ascii="David" w:hAnsi="David"/>
          <w:noProof w:val="0"/>
          <w:rtl/>
        </w:rPr>
        <w:t xml:space="preserve">לפניי תביעה לאיזון משאבים ופירוק שיתוף. </w:t>
      </w:r>
    </w:p>
    <w:p w14:paraId="6BB1A237" w14:textId="77777777" w:rsidR="00D4005B" w:rsidRDefault="00D4005B" w:rsidP="00F244FF">
      <w:pPr>
        <w:spacing w:line="360" w:lineRule="auto"/>
        <w:jc w:val="both"/>
        <w:rPr>
          <w:rFonts w:ascii="David" w:hAnsi="David"/>
          <w:b/>
          <w:bCs/>
          <w:noProof w:val="0"/>
          <w:u w:val="single"/>
          <w:rtl/>
        </w:rPr>
      </w:pPr>
    </w:p>
    <w:p w14:paraId="18A8FAD0" w14:textId="77777777" w:rsidR="00D4005B" w:rsidRDefault="00000000" w:rsidP="00F244FF">
      <w:pPr>
        <w:spacing w:line="360" w:lineRule="auto"/>
        <w:jc w:val="both"/>
        <w:rPr>
          <w:rFonts w:ascii="David" w:hAnsi="David"/>
          <w:b/>
          <w:bCs/>
          <w:noProof w:val="0"/>
          <w:u w:val="single"/>
          <w:rtl/>
        </w:rPr>
      </w:pPr>
      <w:r>
        <w:rPr>
          <w:rFonts w:ascii="David" w:hAnsi="David"/>
          <w:b/>
          <w:bCs/>
          <w:noProof w:val="0"/>
          <w:u w:val="single"/>
          <w:rtl/>
        </w:rPr>
        <w:t>רקע עובדתי רלוונטי</w:t>
      </w:r>
    </w:p>
    <w:p w14:paraId="25AAC785" w14:textId="77777777" w:rsidR="00D4005B" w:rsidRDefault="00D4005B" w:rsidP="00F244FF">
      <w:pPr>
        <w:spacing w:line="360" w:lineRule="auto"/>
        <w:jc w:val="both"/>
        <w:rPr>
          <w:rFonts w:ascii="David" w:hAnsi="David"/>
          <w:b/>
          <w:bCs/>
          <w:noProof w:val="0"/>
          <w:u w:val="single"/>
          <w:rtl/>
        </w:rPr>
      </w:pPr>
    </w:p>
    <w:p w14:paraId="23B4F782" w14:textId="77777777" w:rsidR="00D4005B" w:rsidRDefault="00000000" w:rsidP="006C3554">
      <w:pPr>
        <w:pStyle w:val="11"/>
        <w:numPr>
          <w:ilvl w:val="0"/>
          <w:numId w:val="1"/>
        </w:numPr>
        <w:spacing w:after="0" w:line="360" w:lineRule="auto"/>
        <w:ind w:left="357" w:hanging="357"/>
        <w:jc w:val="both"/>
        <w:rPr>
          <w:rFonts w:ascii="David" w:hAnsi="David" w:cs="David"/>
          <w:b/>
          <w:bCs/>
          <w:sz w:val="24"/>
          <w:szCs w:val="24"/>
          <w:u w:val="single"/>
          <w:rtl/>
        </w:rPr>
      </w:pPr>
      <w:r>
        <w:rPr>
          <w:rFonts w:ascii="David" w:hAnsi="David" w:cs="David"/>
          <w:sz w:val="24"/>
          <w:szCs w:val="24"/>
          <w:rtl/>
        </w:rPr>
        <w:t>התובע והנתבעת (להלן: "</w:t>
      </w:r>
      <w:r>
        <w:rPr>
          <w:rFonts w:ascii="David" w:hAnsi="David" w:cs="David"/>
          <w:b/>
          <w:bCs/>
          <w:sz w:val="24"/>
          <w:szCs w:val="24"/>
          <w:rtl/>
        </w:rPr>
        <w:t>הצדדים</w:t>
      </w:r>
      <w:r>
        <w:rPr>
          <w:rFonts w:ascii="David" w:hAnsi="David" w:cs="David"/>
          <w:sz w:val="24"/>
          <w:szCs w:val="24"/>
          <w:rtl/>
        </w:rPr>
        <w:t xml:space="preserve">") נישאו זל"ז כדמו"י ביום </w:t>
      </w:r>
      <w:r w:rsidR="00445A02">
        <w:rPr>
          <w:rFonts w:ascii="David" w:hAnsi="David" w:cs="David"/>
          <w:sz w:val="24"/>
          <w:szCs w:val="24"/>
          <w:rtl/>
        </w:rPr>
        <w:t>00.00</w:t>
      </w:r>
      <w:r>
        <w:rPr>
          <w:rFonts w:ascii="David" w:hAnsi="David" w:cs="David"/>
          <w:sz w:val="24"/>
          <w:szCs w:val="24"/>
          <w:rtl/>
        </w:rPr>
        <w:t>.1980.</w:t>
      </w:r>
    </w:p>
    <w:p w14:paraId="708806EC" w14:textId="77777777" w:rsidR="00D4005B" w:rsidRDefault="00D4005B" w:rsidP="00F244FF">
      <w:pPr>
        <w:pStyle w:val="11"/>
        <w:spacing w:after="0" w:line="360" w:lineRule="auto"/>
        <w:ind w:left="357"/>
        <w:jc w:val="both"/>
        <w:rPr>
          <w:rFonts w:ascii="David" w:hAnsi="David" w:cs="David"/>
          <w:b/>
          <w:bCs/>
          <w:sz w:val="24"/>
          <w:szCs w:val="24"/>
          <w:u w:val="single"/>
        </w:rPr>
      </w:pPr>
    </w:p>
    <w:p w14:paraId="2D7E7DA0" w14:textId="77777777" w:rsidR="00D4005B" w:rsidRDefault="00000000" w:rsidP="00F244FF">
      <w:pPr>
        <w:pStyle w:val="11"/>
        <w:numPr>
          <w:ilvl w:val="0"/>
          <w:numId w:val="1"/>
        </w:numPr>
        <w:spacing w:after="0" w:line="360" w:lineRule="auto"/>
        <w:ind w:left="357" w:hanging="357"/>
        <w:jc w:val="both"/>
        <w:rPr>
          <w:rFonts w:ascii="David" w:hAnsi="David" w:cs="David"/>
          <w:b/>
          <w:bCs/>
          <w:sz w:val="24"/>
          <w:szCs w:val="24"/>
          <w:u w:val="single"/>
        </w:rPr>
      </w:pPr>
      <w:r>
        <w:rPr>
          <w:rFonts w:ascii="David" w:hAnsi="David" w:cs="David"/>
          <w:sz w:val="24"/>
          <w:szCs w:val="24"/>
          <w:rtl/>
        </w:rPr>
        <w:t>כנובע מקשר הנישואין, נולדו לצדדים 4 ילדים, שכיום כבר בגירים.</w:t>
      </w:r>
    </w:p>
    <w:p w14:paraId="68A6408F" w14:textId="77777777" w:rsidR="00D4005B" w:rsidRDefault="00D4005B" w:rsidP="00F244FF">
      <w:pPr>
        <w:pStyle w:val="11"/>
        <w:spacing w:line="360" w:lineRule="auto"/>
        <w:jc w:val="both"/>
        <w:rPr>
          <w:rFonts w:ascii="David" w:hAnsi="David" w:cs="David"/>
          <w:b/>
          <w:bCs/>
          <w:sz w:val="24"/>
          <w:szCs w:val="24"/>
          <w:u w:val="single"/>
        </w:rPr>
      </w:pPr>
    </w:p>
    <w:p w14:paraId="4D079B32" w14:textId="77777777" w:rsidR="00D4005B" w:rsidRDefault="00000000" w:rsidP="00E96EC9">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t>הצדדים הם בני 70 לערך. התובע פרש לגמלאות מעבודתו כ</w:t>
      </w:r>
      <w:r>
        <w:rPr>
          <w:rFonts w:ascii="David" w:hAnsi="David" w:cs="David"/>
          <w:sz w:val="24"/>
          <w:szCs w:val="24"/>
        </w:rPr>
        <w:t>xxxxx</w:t>
      </w:r>
      <w:r>
        <w:rPr>
          <w:rFonts w:ascii="David" w:hAnsi="David" w:cs="David"/>
          <w:sz w:val="24"/>
          <w:szCs w:val="24"/>
          <w:rtl/>
        </w:rPr>
        <w:t xml:space="preserve"> והוא עוסק היום ב</w:t>
      </w:r>
      <w:r>
        <w:rPr>
          <w:rFonts w:ascii="David" w:hAnsi="David" w:cs="David"/>
          <w:sz w:val="24"/>
          <w:szCs w:val="24"/>
        </w:rPr>
        <w:t>xxxxx</w:t>
      </w:r>
      <w:r>
        <w:rPr>
          <w:rFonts w:ascii="David" w:hAnsi="David" w:cs="David"/>
          <w:sz w:val="24"/>
          <w:szCs w:val="24"/>
          <w:rtl/>
        </w:rPr>
        <w:t xml:space="preserve"> והנתבעת עסקה בעבר בתחום </w:t>
      </w:r>
      <w:r>
        <w:rPr>
          <w:rFonts w:ascii="David" w:hAnsi="David" w:cs="David"/>
          <w:sz w:val="24"/>
          <w:szCs w:val="24"/>
        </w:rPr>
        <w:t>xxxxx</w:t>
      </w:r>
      <w:r>
        <w:rPr>
          <w:rFonts w:ascii="David" w:hAnsi="David" w:cs="David"/>
          <w:sz w:val="24"/>
          <w:szCs w:val="24"/>
          <w:rtl/>
        </w:rPr>
        <w:t xml:space="preserve"> ופרשה לגמלאות.</w:t>
      </w:r>
    </w:p>
    <w:p w14:paraId="37D9A08F" w14:textId="77777777" w:rsidR="00D4005B" w:rsidRDefault="00D4005B" w:rsidP="00F244FF">
      <w:pPr>
        <w:pStyle w:val="11"/>
        <w:spacing w:line="360" w:lineRule="auto"/>
        <w:jc w:val="both"/>
        <w:rPr>
          <w:rFonts w:ascii="David" w:hAnsi="David" w:cs="David"/>
          <w:sz w:val="24"/>
          <w:szCs w:val="24"/>
        </w:rPr>
      </w:pPr>
    </w:p>
    <w:p w14:paraId="32F16E29"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t>הצדדים טרם התגרשו.</w:t>
      </w:r>
    </w:p>
    <w:p w14:paraId="731BD70F" w14:textId="77777777" w:rsidR="00D4005B" w:rsidRDefault="00D4005B" w:rsidP="00F244FF">
      <w:pPr>
        <w:pStyle w:val="11"/>
        <w:spacing w:line="360" w:lineRule="auto"/>
        <w:jc w:val="both"/>
        <w:rPr>
          <w:rFonts w:ascii="David" w:hAnsi="David" w:cs="David"/>
          <w:sz w:val="24"/>
          <w:szCs w:val="24"/>
        </w:rPr>
      </w:pPr>
    </w:p>
    <w:p w14:paraId="0E16552F" w14:textId="77777777" w:rsidR="00D4005B" w:rsidRDefault="00000000" w:rsidP="00F244FF">
      <w:pPr>
        <w:spacing w:line="360" w:lineRule="auto"/>
        <w:jc w:val="both"/>
        <w:rPr>
          <w:rFonts w:ascii="David" w:hAnsi="David"/>
          <w:b/>
          <w:bCs/>
          <w:noProof w:val="0"/>
          <w:u w:val="single"/>
          <w:rtl/>
        </w:rPr>
      </w:pPr>
      <w:r>
        <w:rPr>
          <w:rFonts w:ascii="David" w:hAnsi="David"/>
          <w:b/>
          <w:bCs/>
          <w:noProof w:val="0"/>
          <w:u w:val="single"/>
          <w:rtl/>
        </w:rPr>
        <w:t>הליכים קודמים בעניינם של הצדדים</w:t>
      </w:r>
    </w:p>
    <w:p w14:paraId="09CEB3EF" w14:textId="77777777" w:rsidR="00D4005B" w:rsidRDefault="00D4005B" w:rsidP="00F244FF">
      <w:pPr>
        <w:pStyle w:val="11"/>
        <w:spacing w:line="360" w:lineRule="auto"/>
        <w:jc w:val="both"/>
        <w:rPr>
          <w:rFonts w:ascii="David" w:hAnsi="David" w:cs="David"/>
          <w:sz w:val="24"/>
          <w:szCs w:val="24"/>
        </w:rPr>
      </w:pPr>
    </w:p>
    <w:p w14:paraId="59D992B7"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t xml:space="preserve">ביום 24.10.2021 הגיש התובע תביעה רכושית כנגד הנתבעת במסגרת </w:t>
      </w:r>
      <w:hyperlink r:id="rId7" w:history="1">
        <w:r w:rsidR="004B54CC" w:rsidRPr="004B54CC">
          <w:rPr>
            <w:rFonts w:ascii="David" w:hAnsi="David" w:cs="David"/>
            <w:color w:val="0000FF"/>
            <w:sz w:val="24"/>
            <w:szCs w:val="24"/>
            <w:u w:val="single"/>
            <w:rtl/>
          </w:rPr>
          <w:t>תלה"מ 56660-10</w:t>
        </w:r>
        <w:bookmarkStart w:id="5" w:name="_Hlt186527204"/>
        <w:bookmarkStart w:id="6" w:name="_Hlt186527205"/>
        <w:r w:rsidR="004B54CC" w:rsidRPr="004B54CC">
          <w:rPr>
            <w:rFonts w:ascii="David" w:hAnsi="David" w:cs="David"/>
            <w:color w:val="0000FF"/>
            <w:sz w:val="24"/>
            <w:szCs w:val="24"/>
            <w:u w:val="single"/>
            <w:rtl/>
          </w:rPr>
          <w:t>-</w:t>
        </w:r>
        <w:bookmarkEnd w:id="5"/>
        <w:bookmarkEnd w:id="6"/>
        <w:r w:rsidR="004B54CC" w:rsidRPr="004B54CC">
          <w:rPr>
            <w:rFonts w:ascii="David" w:hAnsi="David" w:cs="David"/>
            <w:color w:val="0000FF"/>
            <w:sz w:val="24"/>
            <w:szCs w:val="24"/>
            <w:u w:val="single"/>
            <w:rtl/>
          </w:rPr>
          <w:t>21</w:t>
        </w:r>
      </w:hyperlink>
      <w:r>
        <w:rPr>
          <w:rFonts w:ascii="David" w:hAnsi="David" w:cs="David"/>
          <w:sz w:val="24"/>
          <w:szCs w:val="24"/>
          <w:rtl/>
        </w:rPr>
        <w:t xml:space="preserve"> </w:t>
      </w:r>
      <w:r w:rsidR="00445A02">
        <w:rPr>
          <w:rFonts w:ascii="David" w:hAnsi="David" w:cs="David"/>
          <w:sz w:val="24"/>
          <w:szCs w:val="24"/>
          <w:rtl/>
        </w:rPr>
        <w:t>[נבו]</w:t>
      </w:r>
      <w:r w:rsidR="00445A02">
        <w:rPr>
          <w:rFonts w:ascii="David" w:hAnsi="David" w:cs="David" w:hint="cs"/>
          <w:sz w:val="24"/>
          <w:szCs w:val="24"/>
          <w:rtl/>
        </w:rPr>
        <w:t xml:space="preserve">. </w:t>
      </w:r>
      <w:r>
        <w:rPr>
          <w:rFonts w:ascii="David" w:hAnsi="David" w:cs="David"/>
          <w:sz w:val="24"/>
          <w:szCs w:val="24"/>
          <w:rtl/>
        </w:rPr>
        <w:t>הנתבעת הגישה בקשה לסילוק על הסף אשר בגדרה טענה, בין היתר, כי בין הצדדים נחתם ביום 10.5.2001 הסכם גירושין שאושר וקיבל בו ביום תוקף של פסק דין (להלן: "</w:t>
      </w:r>
      <w:r>
        <w:rPr>
          <w:rFonts w:ascii="David" w:hAnsi="David" w:cs="David"/>
          <w:b/>
          <w:bCs/>
          <w:sz w:val="24"/>
          <w:szCs w:val="24"/>
          <w:rtl/>
        </w:rPr>
        <w:t>ההסכם משנת 2001</w:t>
      </w:r>
      <w:r>
        <w:rPr>
          <w:rFonts w:ascii="David" w:hAnsi="David" w:cs="David"/>
          <w:sz w:val="24"/>
          <w:szCs w:val="24"/>
          <w:rtl/>
        </w:rPr>
        <w:t>"). בקשתה התקבלה במסגרת פסק דין מיום 15.3.2022.</w:t>
      </w:r>
    </w:p>
    <w:p w14:paraId="0ADE6DD8" w14:textId="77777777" w:rsidR="00D4005B" w:rsidRDefault="00D4005B" w:rsidP="00F244FF">
      <w:pPr>
        <w:pStyle w:val="11"/>
        <w:spacing w:after="0" w:line="360" w:lineRule="auto"/>
        <w:ind w:left="357"/>
        <w:jc w:val="both"/>
        <w:rPr>
          <w:rFonts w:ascii="David" w:hAnsi="David" w:cs="David"/>
          <w:sz w:val="24"/>
          <w:szCs w:val="24"/>
        </w:rPr>
      </w:pPr>
    </w:p>
    <w:p w14:paraId="1228B882"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Pr>
      </w:pPr>
      <w:r>
        <w:rPr>
          <w:rFonts w:ascii="David" w:hAnsi="David" w:cs="David"/>
          <w:sz w:val="24"/>
          <w:szCs w:val="24"/>
          <w:rtl/>
        </w:rPr>
        <w:lastRenderedPageBreak/>
        <w:t>ביום 3.7.2022 במסגרת תה"ס 881-07-22, הגיש התובע תביעה לביטול ההסכם משנת 2001 (להלן: "</w:t>
      </w:r>
      <w:r>
        <w:rPr>
          <w:rFonts w:ascii="David" w:hAnsi="David" w:cs="David"/>
          <w:b/>
          <w:bCs/>
          <w:sz w:val="24"/>
          <w:szCs w:val="24"/>
          <w:rtl/>
        </w:rPr>
        <w:t>ההליך הקודם</w:t>
      </w:r>
      <w:r>
        <w:rPr>
          <w:rFonts w:ascii="David" w:hAnsi="David" w:cs="David"/>
          <w:sz w:val="24"/>
          <w:szCs w:val="24"/>
          <w:rtl/>
        </w:rPr>
        <w:t>"). לאחר ניהול ישיבת הוכחות בהליך הקודם, הצדדים הגיעו להסכמות כדלהלן:</w:t>
      </w:r>
    </w:p>
    <w:p w14:paraId="3F3B202E" w14:textId="77777777" w:rsidR="00D4005B" w:rsidRDefault="00D4005B" w:rsidP="00F244FF">
      <w:pPr>
        <w:spacing w:line="360" w:lineRule="auto"/>
        <w:jc w:val="both"/>
        <w:rPr>
          <w:rFonts w:ascii="David" w:hAnsi="David"/>
        </w:rPr>
      </w:pPr>
    </w:p>
    <w:p w14:paraId="5A4E4D17" w14:textId="77777777" w:rsidR="00D4005B" w:rsidRDefault="00000000" w:rsidP="00F244FF">
      <w:pPr>
        <w:pStyle w:val="11"/>
        <w:spacing w:after="0" w:line="360" w:lineRule="auto"/>
        <w:ind w:left="793" w:right="426"/>
        <w:jc w:val="both"/>
        <w:rPr>
          <w:rFonts w:ascii="David" w:hAnsi="David" w:cs="David"/>
          <w:sz w:val="24"/>
          <w:szCs w:val="24"/>
          <w:rtl/>
        </w:rPr>
      </w:pPr>
      <w:r>
        <w:rPr>
          <w:rFonts w:ascii="David" w:hAnsi="David" w:cs="David"/>
          <w:sz w:val="24"/>
          <w:szCs w:val="24"/>
          <w:rtl/>
        </w:rPr>
        <w:t>"הצדדים: מוסכם בינינו כי ייקבע שההסכם מיום 18.5.2001 [צ.ל. 10.5.2001 – פ"ג] שאושר וקיבל תוקף של פסק דין ביום 10.5.2021 בתמ"ש 7631-01 מבוטל כאשר אין בביטול ההסכם כדי למנוע מי מהצדדים לטעון לשיתוף כלכלי שהמשיך להתקיים לאחר אישור ההסכם או להפרדה כלכלית שהתחוללה בין הצדדים לאחר אישור ההסכם. אין בהסכמה זו כדי למנוי [צ.ל. למנוע – פ"ג] מי מהצדדים לטעון בעניין מועד הקרע כאשר שאלת הוצאות משפט בגין הליך זה תדון בהליך רכושי חדש ככל שזה ייפתח על ידי מי מהצדדים. הפרוטוקול בהליך זה יהווה אחת הראיות בהליך רכושי חדש ככל שזה ייפתח על ידי מי מהצדדים".</w:t>
      </w:r>
    </w:p>
    <w:p w14:paraId="08F05708" w14:textId="77777777" w:rsidR="00D4005B" w:rsidRDefault="00D4005B" w:rsidP="00F244FF">
      <w:pPr>
        <w:spacing w:line="360" w:lineRule="auto"/>
        <w:ind w:left="357"/>
        <w:jc w:val="both"/>
        <w:rPr>
          <w:rFonts w:ascii="David" w:hAnsi="David"/>
        </w:rPr>
      </w:pPr>
    </w:p>
    <w:p w14:paraId="0747820F"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Pr>
      </w:pPr>
      <w:r>
        <w:rPr>
          <w:rFonts w:ascii="David" w:hAnsi="David" w:cs="David"/>
          <w:sz w:val="24"/>
          <w:szCs w:val="24"/>
          <w:rtl/>
        </w:rPr>
        <w:t xml:space="preserve">ביום 25.2.24 הגיש התובע תביעה לאיזון משאבים ופירוק שיתוף – היא התביעה שלפניי. </w:t>
      </w:r>
    </w:p>
    <w:p w14:paraId="5D553D1C" w14:textId="77777777" w:rsidR="00D4005B" w:rsidRDefault="00D4005B" w:rsidP="00F244FF">
      <w:pPr>
        <w:spacing w:line="360" w:lineRule="auto"/>
        <w:jc w:val="both"/>
        <w:rPr>
          <w:rFonts w:ascii="David" w:hAnsi="David"/>
          <w:b/>
          <w:bCs/>
          <w:noProof w:val="0"/>
          <w:u w:val="single"/>
          <w:rtl/>
        </w:rPr>
      </w:pPr>
    </w:p>
    <w:p w14:paraId="2A1635D6" w14:textId="77777777" w:rsidR="00D4005B" w:rsidRDefault="00000000" w:rsidP="00F244FF">
      <w:pPr>
        <w:spacing w:line="360" w:lineRule="auto"/>
        <w:jc w:val="both"/>
        <w:rPr>
          <w:rFonts w:ascii="David" w:hAnsi="David"/>
          <w:b/>
          <w:bCs/>
          <w:noProof w:val="0"/>
          <w:u w:val="single"/>
          <w:rtl/>
        </w:rPr>
      </w:pPr>
      <w:r>
        <w:rPr>
          <w:rFonts w:ascii="David" w:hAnsi="David"/>
          <w:b/>
          <w:bCs/>
          <w:noProof w:val="0"/>
          <w:u w:val="single"/>
          <w:rtl/>
        </w:rPr>
        <w:t>עיקרי טענות התובע</w:t>
      </w:r>
    </w:p>
    <w:p w14:paraId="311C2457" w14:textId="77777777" w:rsidR="00D4005B" w:rsidRDefault="00D4005B" w:rsidP="00F244FF">
      <w:pPr>
        <w:pStyle w:val="11"/>
        <w:spacing w:after="0" w:line="360" w:lineRule="auto"/>
        <w:ind w:left="357"/>
        <w:jc w:val="both"/>
        <w:rPr>
          <w:rFonts w:ascii="David" w:hAnsi="David" w:cs="David"/>
          <w:sz w:val="24"/>
          <w:szCs w:val="24"/>
        </w:rPr>
      </w:pPr>
    </w:p>
    <w:p w14:paraId="1FAAF007"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Pr>
      </w:pPr>
      <w:r>
        <w:rPr>
          <w:rFonts w:ascii="David" w:hAnsi="David" w:cs="David"/>
          <w:sz w:val="24"/>
          <w:szCs w:val="24"/>
          <w:rtl/>
        </w:rPr>
        <w:t>התובע הקדיש את כל מרצו לטובת התא המשפחתי, כאשר במשך 40 שנות הנישואין, הפקיד את הכנסותיו לחשבון הבנק המשותף (להלן: "</w:t>
      </w:r>
      <w:r>
        <w:rPr>
          <w:rFonts w:ascii="David" w:hAnsi="David" w:cs="David"/>
          <w:b/>
          <w:bCs/>
          <w:sz w:val="24"/>
          <w:szCs w:val="24"/>
          <w:rtl/>
        </w:rPr>
        <w:t>החשבון המשותף</w:t>
      </w:r>
      <w:r>
        <w:rPr>
          <w:rFonts w:ascii="David" w:hAnsi="David" w:cs="David"/>
          <w:sz w:val="24"/>
          <w:szCs w:val="24"/>
          <w:rtl/>
        </w:rPr>
        <w:t>"), אשר ממנו שולמו הוצאות המשפחה, כגון משכנתה, מזון, ביגוד והנעלה, חשמל, תקשורת, בריאות, רכישת רכב לנתבעת ומיטלטלין, או שמסר את ההכנסות לנתבעת במזומן.</w:t>
      </w:r>
    </w:p>
    <w:p w14:paraId="7BC70EE3" w14:textId="77777777" w:rsidR="00D4005B" w:rsidRDefault="00D4005B" w:rsidP="00F244FF">
      <w:pPr>
        <w:pStyle w:val="11"/>
        <w:spacing w:after="0" w:line="360" w:lineRule="auto"/>
        <w:ind w:left="357"/>
        <w:jc w:val="both"/>
        <w:rPr>
          <w:rFonts w:ascii="David" w:hAnsi="David" w:cs="David"/>
          <w:sz w:val="24"/>
          <w:szCs w:val="24"/>
        </w:rPr>
      </w:pPr>
    </w:p>
    <w:p w14:paraId="1E930C35"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Pr>
      </w:pPr>
      <w:r>
        <w:rPr>
          <w:rFonts w:ascii="David" w:hAnsi="David" w:cs="David"/>
          <w:sz w:val="24"/>
          <w:szCs w:val="24"/>
          <w:rtl/>
        </w:rPr>
        <w:t>מנגד, הנתבעת הפקידה את הכנסתה לחשבונה הפרטי והשתתפה במעט מהוצאות הבית, כגון מים, מסי ישוב, ארנונה וחינוך.</w:t>
      </w:r>
    </w:p>
    <w:p w14:paraId="0A481CE8" w14:textId="77777777" w:rsidR="00D4005B" w:rsidRDefault="00D4005B" w:rsidP="00F244FF">
      <w:pPr>
        <w:pStyle w:val="11"/>
        <w:spacing w:line="360" w:lineRule="auto"/>
        <w:jc w:val="both"/>
        <w:rPr>
          <w:rFonts w:ascii="David" w:hAnsi="David" w:cs="David"/>
          <w:sz w:val="24"/>
          <w:szCs w:val="24"/>
        </w:rPr>
      </w:pPr>
    </w:p>
    <w:p w14:paraId="0B89A6FC"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t>לאחר כ-20 שנות נישואין, הצדדים חתמו על ההסכם משנת 2001 אשר בוטל בהתנהגות, כשהצדדים כלל לא התגרשו, והמשיכו להתגורר יחד במשך 20 שנים נוספות, אשר במהלכן ניהלו משק בית משותף וגידלו יחד את ילדיהם המשותפים.</w:t>
      </w:r>
    </w:p>
    <w:p w14:paraId="3AD7B597" w14:textId="77777777" w:rsidR="00D4005B" w:rsidRDefault="00D4005B" w:rsidP="00F244FF">
      <w:pPr>
        <w:pStyle w:val="11"/>
        <w:spacing w:line="360" w:lineRule="auto"/>
        <w:jc w:val="both"/>
        <w:rPr>
          <w:rFonts w:ascii="David" w:hAnsi="David" w:cs="David"/>
          <w:sz w:val="24"/>
          <w:szCs w:val="24"/>
        </w:rPr>
      </w:pPr>
    </w:p>
    <w:p w14:paraId="005E237F"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t>בשנת 2009 הצדדים מכרו דירה שרכשו להשקעה (להלן: "</w:t>
      </w:r>
      <w:r>
        <w:rPr>
          <w:rFonts w:ascii="David" w:hAnsi="David" w:cs="David"/>
          <w:b/>
          <w:bCs/>
          <w:sz w:val="24"/>
          <w:szCs w:val="24"/>
          <w:rtl/>
        </w:rPr>
        <w:t>דירת ההשקעה</w:t>
      </w:r>
      <w:r>
        <w:rPr>
          <w:rFonts w:ascii="David" w:hAnsi="David" w:cs="David"/>
          <w:sz w:val="24"/>
          <w:szCs w:val="24"/>
          <w:rtl/>
        </w:rPr>
        <w:t>") תמורת סך של 900,000 ₪, אשר הופקד לחשבון המשותף ואשר שימש את הצדדים להוצאותיהם עד למועד פרידתם בשנת 2020.</w:t>
      </w:r>
    </w:p>
    <w:p w14:paraId="3684771C" w14:textId="77777777" w:rsidR="00D4005B" w:rsidRDefault="00D4005B" w:rsidP="00F244FF">
      <w:pPr>
        <w:pStyle w:val="11"/>
        <w:spacing w:line="360" w:lineRule="auto"/>
        <w:jc w:val="both"/>
        <w:rPr>
          <w:rFonts w:ascii="David" w:hAnsi="David" w:cs="David"/>
          <w:sz w:val="24"/>
          <w:szCs w:val="24"/>
        </w:rPr>
      </w:pPr>
    </w:p>
    <w:p w14:paraId="12DA3AF4"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t xml:space="preserve">הכנסות שהתקבלו הן מהשכרת דירת ההשקעה בטרם נמכרה והן מיחידת הדיור (להלן: </w:t>
      </w:r>
      <w:r>
        <w:rPr>
          <w:rFonts w:ascii="David" w:hAnsi="David" w:cs="David"/>
          <w:b/>
          <w:bCs/>
          <w:sz w:val="24"/>
          <w:szCs w:val="24"/>
          <w:rtl/>
        </w:rPr>
        <w:t>יחידת הדיור</w:t>
      </w:r>
      <w:r>
        <w:rPr>
          <w:rFonts w:ascii="David" w:hAnsi="David" w:cs="David"/>
          <w:sz w:val="24"/>
          <w:szCs w:val="24"/>
          <w:rtl/>
        </w:rPr>
        <w:t>") הנמצאת בבית הצדדים (להלן: "</w:t>
      </w:r>
      <w:r>
        <w:rPr>
          <w:rFonts w:ascii="David" w:hAnsi="David" w:cs="David"/>
          <w:b/>
          <w:bCs/>
          <w:sz w:val="24"/>
          <w:szCs w:val="24"/>
          <w:rtl/>
        </w:rPr>
        <w:t>הבית</w:t>
      </w:r>
      <w:r>
        <w:rPr>
          <w:rFonts w:ascii="David" w:hAnsi="David" w:cs="David"/>
          <w:sz w:val="24"/>
          <w:szCs w:val="24"/>
          <w:rtl/>
        </w:rPr>
        <w:t>"), הופקדו לחשבון המשותף.</w:t>
      </w:r>
    </w:p>
    <w:p w14:paraId="591452F8" w14:textId="77777777" w:rsidR="00D4005B" w:rsidRDefault="00000000" w:rsidP="00F244FF">
      <w:pPr>
        <w:pStyle w:val="11"/>
        <w:numPr>
          <w:ilvl w:val="0"/>
          <w:numId w:val="1"/>
        </w:numPr>
        <w:spacing w:after="0" w:line="360" w:lineRule="auto"/>
        <w:ind w:left="357" w:hanging="357"/>
        <w:jc w:val="both"/>
        <w:rPr>
          <w:rFonts w:ascii="David" w:hAnsi="David" w:cs="David"/>
          <w:b/>
          <w:bCs/>
          <w:sz w:val="24"/>
          <w:szCs w:val="24"/>
          <w:u w:val="single"/>
          <w:rtl/>
        </w:rPr>
      </w:pPr>
      <w:r>
        <w:rPr>
          <w:rFonts w:ascii="David" w:hAnsi="David" w:cs="David"/>
          <w:sz w:val="24"/>
          <w:szCs w:val="24"/>
          <w:rtl/>
        </w:rPr>
        <w:t xml:space="preserve">ביום 5.5.2020 הנתבעת עזבה את הבית. </w:t>
      </w:r>
    </w:p>
    <w:p w14:paraId="7BBFD400" w14:textId="77777777" w:rsidR="00D4005B" w:rsidRDefault="00D4005B" w:rsidP="00F244FF">
      <w:pPr>
        <w:pStyle w:val="11"/>
        <w:spacing w:line="360" w:lineRule="auto"/>
        <w:jc w:val="both"/>
        <w:rPr>
          <w:rFonts w:ascii="David" w:hAnsi="David" w:cs="David"/>
          <w:b/>
          <w:bCs/>
          <w:sz w:val="24"/>
          <w:szCs w:val="24"/>
          <w:u w:val="single"/>
        </w:rPr>
      </w:pPr>
    </w:p>
    <w:p w14:paraId="0934F106"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t xml:space="preserve">בעת הפרידה, נותר בחשבון המשותף פיקדון בסך של 130,000 ₪, המהווה את יתרת כספי מכר דירת ההשקעה, אותו החליטו הצדדים לחלק ביניהם. </w:t>
      </w:r>
    </w:p>
    <w:p w14:paraId="4F0F31BF" w14:textId="77777777" w:rsidR="00D4005B" w:rsidRDefault="00D4005B" w:rsidP="00F244FF">
      <w:pPr>
        <w:pStyle w:val="11"/>
        <w:spacing w:line="360" w:lineRule="auto"/>
        <w:jc w:val="both"/>
        <w:rPr>
          <w:rFonts w:ascii="David" w:hAnsi="David" w:cs="David"/>
          <w:sz w:val="24"/>
          <w:szCs w:val="24"/>
        </w:rPr>
      </w:pPr>
    </w:p>
    <w:p w14:paraId="14F43991"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t>ביום 26.7.2020 נפגשו הצדדים בסניף הבנק, שבו התנהל החשבון המשותף במטרה לממש את ההסכמה שהושגה ביניהם. במהלך הפגישה, חתמו על "פתק" (להלן: "</w:t>
      </w:r>
      <w:r>
        <w:rPr>
          <w:rFonts w:ascii="David" w:hAnsi="David" w:cs="David"/>
          <w:b/>
          <w:bCs/>
          <w:sz w:val="24"/>
          <w:szCs w:val="24"/>
          <w:rtl/>
        </w:rPr>
        <w:t>ההסכם משנת 2020</w:t>
      </w:r>
      <w:r>
        <w:rPr>
          <w:rFonts w:ascii="David" w:hAnsi="David" w:cs="David"/>
          <w:sz w:val="24"/>
          <w:szCs w:val="24"/>
          <w:rtl/>
        </w:rPr>
        <w:t>").</w:t>
      </w:r>
      <w:r>
        <w:rPr>
          <w:rFonts w:ascii="David" w:hAnsi="David" w:cs="David"/>
          <w:b/>
          <w:bCs/>
          <w:sz w:val="24"/>
          <w:szCs w:val="24"/>
          <w:rtl/>
        </w:rPr>
        <w:t xml:space="preserve"> </w:t>
      </w:r>
      <w:r>
        <w:rPr>
          <w:rFonts w:ascii="David" w:hAnsi="David" w:cs="David"/>
          <w:sz w:val="24"/>
          <w:szCs w:val="24"/>
          <w:rtl/>
        </w:rPr>
        <w:t>ההסכם משנת 2020 נחתם על-פי דרישת הנתבעת, אשר ביקשה לקבל אישור כי כל האחריות לגבי החשבון המשותף תחול מאותו היום על התובע בלבד, וכן כי לא תהא יותר התחשבנות בין הצדדים בנוגע לכספי מכר דירת ההשקעה. כמו כן הוסכם כי הבית לא יימכר אלא יושכר ודמי השכירות יחולקו בחלקים שווים בין הצדדים.</w:t>
      </w:r>
    </w:p>
    <w:p w14:paraId="78512698" w14:textId="77777777" w:rsidR="00D4005B" w:rsidRDefault="00D4005B" w:rsidP="00F244FF">
      <w:pPr>
        <w:pStyle w:val="11"/>
        <w:spacing w:line="360" w:lineRule="auto"/>
        <w:jc w:val="both"/>
        <w:rPr>
          <w:rFonts w:ascii="David" w:hAnsi="David" w:cs="David"/>
          <w:sz w:val="24"/>
          <w:szCs w:val="24"/>
        </w:rPr>
      </w:pPr>
    </w:p>
    <w:p w14:paraId="5C429AE4"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t>ההסכם משנת 2020 לא אושר על ידי בית המשפט ואין לו תוקף של הסכם ממון. לתובע לא הייתה כל כוונה במסגרת ההסכם משנת 2020 לערוך איזון משאבים כולל, או לוותר על חלקו בזכויותיה הפנסיוניות והכספים של הנתבעת.</w:t>
      </w:r>
    </w:p>
    <w:p w14:paraId="023CF878" w14:textId="77777777" w:rsidR="00D4005B" w:rsidRDefault="00D4005B" w:rsidP="00F244FF">
      <w:pPr>
        <w:pStyle w:val="11"/>
        <w:spacing w:line="360" w:lineRule="auto"/>
        <w:jc w:val="both"/>
        <w:rPr>
          <w:rFonts w:ascii="David" w:hAnsi="David" w:cs="David"/>
          <w:sz w:val="24"/>
          <w:szCs w:val="24"/>
        </w:rPr>
      </w:pPr>
    </w:p>
    <w:p w14:paraId="7814CCB0"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t>במהלך חיי הנישואין, התובע פדה את זכויות הפנסיה ממקום עבודתו לצרכי הבית ולשם גידול הילדים, מה שגרם לכך שקצבת הגמלה שהוא מקבל כיום אינה גבוהה. לעומת זאת, הנתבעת נהנית מפנסיה תקציבית מכובדת, הגבוהה באופן ניכר מפנסיית התובע.</w:t>
      </w:r>
    </w:p>
    <w:p w14:paraId="50FD6583" w14:textId="77777777" w:rsidR="00D4005B" w:rsidRDefault="00D4005B" w:rsidP="00F244FF">
      <w:pPr>
        <w:pStyle w:val="11"/>
        <w:spacing w:after="0" w:line="360" w:lineRule="auto"/>
        <w:ind w:left="357"/>
        <w:jc w:val="both"/>
        <w:rPr>
          <w:rFonts w:ascii="David" w:hAnsi="David" w:cs="David"/>
          <w:sz w:val="24"/>
          <w:szCs w:val="24"/>
        </w:rPr>
      </w:pPr>
    </w:p>
    <w:p w14:paraId="242C40D0"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Pr>
      </w:pPr>
      <w:r>
        <w:rPr>
          <w:rFonts w:ascii="David" w:hAnsi="David" w:cs="David"/>
          <w:sz w:val="24"/>
          <w:szCs w:val="24"/>
          <w:rtl/>
        </w:rPr>
        <w:t>ביום 17.8.2023 הצדדים השכירו את הבית עד ליום 15.8.2025, תמורת דמי שכירות בסך של 7,500 ₪, אשר מתחלקים ביניהם בחלקים שווים.</w:t>
      </w:r>
    </w:p>
    <w:p w14:paraId="50BF2675" w14:textId="77777777" w:rsidR="00D4005B" w:rsidRDefault="00D4005B" w:rsidP="00F244FF">
      <w:pPr>
        <w:pStyle w:val="11"/>
        <w:spacing w:line="360" w:lineRule="auto"/>
        <w:jc w:val="both"/>
        <w:rPr>
          <w:rFonts w:ascii="David" w:hAnsi="David" w:cs="David"/>
          <w:sz w:val="24"/>
          <w:szCs w:val="24"/>
        </w:rPr>
      </w:pPr>
    </w:p>
    <w:p w14:paraId="50332780"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t>התובע מתגורר בחלקו התחתון של הבית, ביחידת דיור.</w:t>
      </w:r>
    </w:p>
    <w:p w14:paraId="557F40E6" w14:textId="77777777" w:rsidR="00D4005B" w:rsidRDefault="00D4005B" w:rsidP="00F244FF">
      <w:pPr>
        <w:pStyle w:val="11"/>
        <w:spacing w:line="360" w:lineRule="auto"/>
        <w:jc w:val="both"/>
        <w:rPr>
          <w:rFonts w:ascii="David" w:hAnsi="David" w:cs="David"/>
          <w:sz w:val="24"/>
          <w:szCs w:val="24"/>
        </w:rPr>
      </w:pPr>
    </w:p>
    <w:p w14:paraId="0DE9AADF"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t xml:space="preserve">על הבית רובצת משכנתה שנטלו הצדדים לצורך רכישת דירת ההשקעה, וכן משכנתה שנטלו הנתבעת ובנם של הצדדים לצורך רכישת דירה עבורו. </w:t>
      </w:r>
    </w:p>
    <w:p w14:paraId="584CF564" w14:textId="77777777" w:rsidR="00D4005B" w:rsidRDefault="00D4005B" w:rsidP="00F244FF">
      <w:pPr>
        <w:pStyle w:val="11"/>
        <w:spacing w:line="360" w:lineRule="auto"/>
        <w:jc w:val="both"/>
        <w:rPr>
          <w:rFonts w:ascii="David" w:hAnsi="David" w:cs="David"/>
          <w:sz w:val="24"/>
          <w:szCs w:val="24"/>
        </w:rPr>
      </w:pPr>
    </w:p>
    <w:p w14:paraId="1B6EE901"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t>תשלומי המשכנתה בסך של כ-3,000 ₪ לחודש, משולמים על ידי התובע בלבד, בעוד שהנתבעת מסרבת להשתתף בתשלומים אלה, אף שהיא נהנית ממחצית דמי השכירות, שמתקבלים בגין השכרת הבית.</w:t>
      </w:r>
    </w:p>
    <w:p w14:paraId="08ED7F84"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t>התובע עתר לסעדים כדלהלן:</w:t>
      </w:r>
    </w:p>
    <w:p w14:paraId="1A41AE9E" w14:textId="77777777" w:rsidR="00D4005B" w:rsidRDefault="00D4005B" w:rsidP="00F244FF">
      <w:pPr>
        <w:pStyle w:val="11"/>
        <w:spacing w:line="360" w:lineRule="auto"/>
        <w:jc w:val="both"/>
        <w:rPr>
          <w:rFonts w:ascii="David" w:hAnsi="David" w:cs="David"/>
          <w:sz w:val="24"/>
          <w:szCs w:val="24"/>
        </w:rPr>
      </w:pPr>
    </w:p>
    <w:p w14:paraId="64D497B2" w14:textId="77777777" w:rsidR="00D4005B" w:rsidRDefault="00000000" w:rsidP="00F244FF">
      <w:pPr>
        <w:pStyle w:val="11"/>
        <w:numPr>
          <w:ilvl w:val="0"/>
          <w:numId w:val="2"/>
        </w:numPr>
        <w:spacing w:after="0" w:line="360" w:lineRule="auto"/>
        <w:jc w:val="both"/>
        <w:rPr>
          <w:rFonts w:ascii="David" w:hAnsi="David" w:cs="David"/>
          <w:sz w:val="24"/>
          <w:szCs w:val="24"/>
          <w:rtl/>
        </w:rPr>
      </w:pPr>
      <w:r>
        <w:rPr>
          <w:rFonts w:ascii="David" w:hAnsi="David" w:cs="David"/>
          <w:sz w:val="24"/>
          <w:szCs w:val="24"/>
          <w:rtl/>
        </w:rPr>
        <w:t>לפירוק השיתוף בבית ולחלוקת תמורת כספי המכר בחלקים שווים, תוך השבת הכספים ששילם התובע בגין המשכנתה ממועד הקרע.</w:t>
      </w:r>
    </w:p>
    <w:p w14:paraId="4ACC7FA0" w14:textId="77777777" w:rsidR="00D4005B" w:rsidRDefault="00000000" w:rsidP="00F244FF">
      <w:pPr>
        <w:pStyle w:val="11"/>
        <w:numPr>
          <w:ilvl w:val="0"/>
          <w:numId w:val="2"/>
        </w:numPr>
        <w:spacing w:after="0" w:line="360" w:lineRule="auto"/>
        <w:jc w:val="both"/>
        <w:rPr>
          <w:rFonts w:ascii="David" w:hAnsi="David" w:cs="David"/>
          <w:sz w:val="24"/>
          <w:szCs w:val="24"/>
        </w:rPr>
      </w:pPr>
      <w:r>
        <w:rPr>
          <w:rFonts w:ascii="David" w:hAnsi="David" w:cs="David"/>
          <w:sz w:val="24"/>
          <w:szCs w:val="24"/>
          <w:rtl/>
        </w:rPr>
        <w:t>לאיזון יתרת הזכות שהייתה בחשבון המשותף ובחשבון הבנק של הנתבעת במועד הקרע.</w:t>
      </w:r>
    </w:p>
    <w:p w14:paraId="2248EF8C" w14:textId="77777777" w:rsidR="00D4005B" w:rsidRDefault="00D4005B" w:rsidP="00F244FF">
      <w:pPr>
        <w:pStyle w:val="11"/>
        <w:spacing w:line="360" w:lineRule="auto"/>
        <w:jc w:val="both"/>
        <w:rPr>
          <w:rFonts w:ascii="David" w:hAnsi="David" w:cs="David"/>
          <w:sz w:val="24"/>
          <w:szCs w:val="24"/>
        </w:rPr>
      </w:pPr>
    </w:p>
    <w:p w14:paraId="631AA034" w14:textId="77777777" w:rsidR="00D4005B" w:rsidRDefault="00000000" w:rsidP="00F244FF">
      <w:pPr>
        <w:pStyle w:val="11"/>
        <w:numPr>
          <w:ilvl w:val="0"/>
          <w:numId w:val="2"/>
        </w:numPr>
        <w:spacing w:after="0" w:line="360" w:lineRule="auto"/>
        <w:jc w:val="both"/>
        <w:rPr>
          <w:rFonts w:ascii="David" w:hAnsi="David" w:cs="David"/>
          <w:sz w:val="24"/>
          <w:szCs w:val="24"/>
          <w:rtl/>
        </w:rPr>
      </w:pPr>
      <w:r>
        <w:rPr>
          <w:rFonts w:ascii="David" w:hAnsi="David" w:cs="David"/>
          <w:sz w:val="24"/>
          <w:szCs w:val="24"/>
          <w:rtl/>
        </w:rPr>
        <w:t>לאיזון שווי של כלי הרכב של הצדדים.</w:t>
      </w:r>
    </w:p>
    <w:p w14:paraId="0F80DCA3" w14:textId="77777777" w:rsidR="00D4005B" w:rsidRDefault="00D4005B" w:rsidP="00F244FF">
      <w:pPr>
        <w:pStyle w:val="11"/>
        <w:spacing w:line="360" w:lineRule="auto"/>
        <w:jc w:val="both"/>
        <w:rPr>
          <w:rFonts w:ascii="David" w:hAnsi="David" w:cs="David"/>
          <w:sz w:val="24"/>
          <w:szCs w:val="24"/>
        </w:rPr>
      </w:pPr>
    </w:p>
    <w:p w14:paraId="5D9D0259" w14:textId="77777777" w:rsidR="00D4005B" w:rsidRDefault="00000000" w:rsidP="00F244FF">
      <w:pPr>
        <w:pStyle w:val="11"/>
        <w:numPr>
          <w:ilvl w:val="0"/>
          <w:numId w:val="2"/>
        </w:numPr>
        <w:spacing w:after="0" w:line="360" w:lineRule="auto"/>
        <w:jc w:val="both"/>
        <w:rPr>
          <w:rFonts w:ascii="David" w:hAnsi="David" w:cs="David"/>
          <w:sz w:val="24"/>
          <w:szCs w:val="24"/>
          <w:rtl/>
        </w:rPr>
      </w:pPr>
      <w:r>
        <w:rPr>
          <w:rFonts w:ascii="David" w:hAnsi="David" w:cs="David"/>
          <w:sz w:val="24"/>
          <w:szCs w:val="24"/>
          <w:rtl/>
        </w:rPr>
        <w:t>לאיזון זכויות סוציאליות, מכל מין וסוג, שנצברו במועד הקרע.</w:t>
      </w:r>
    </w:p>
    <w:p w14:paraId="6B7005D1" w14:textId="77777777" w:rsidR="00D4005B" w:rsidRDefault="00D4005B" w:rsidP="00F244FF">
      <w:pPr>
        <w:pStyle w:val="11"/>
        <w:spacing w:line="360" w:lineRule="auto"/>
        <w:jc w:val="both"/>
        <w:rPr>
          <w:rFonts w:ascii="David" w:hAnsi="David" w:cs="David"/>
          <w:sz w:val="24"/>
          <w:szCs w:val="24"/>
        </w:rPr>
      </w:pPr>
    </w:p>
    <w:p w14:paraId="439C1BEF" w14:textId="77777777" w:rsidR="00D4005B" w:rsidRDefault="00000000" w:rsidP="00F244FF">
      <w:pPr>
        <w:spacing w:line="360" w:lineRule="auto"/>
        <w:jc w:val="both"/>
        <w:rPr>
          <w:rFonts w:ascii="David" w:hAnsi="David"/>
          <w:b/>
          <w:bCs/>
          <w:noProof w:val="0"/>
          <w:u w:val="single"/>
          <w:rtl/>
        </w:rPr>
      </w:pPr>
      <w:r>
        <w:rPr>
          <w:rFonts w:ascii="David" w:hAnsi="David"/>
          <w:b/>
          <w:bCs/>
          <w:noProof w:val="0"/>
          <w:u w:val="single"/>
          <w:rtl/>
        </w:rPr>
        <w:t>עיקר טענות הנתבעת</w:t>
      </w:r>
    </w:p>
    <w:p w14:paraId="56E88726" w14:textId="77777777" w:rsidR="00D4005B" w:rsidRDefault="00D4005B" w:rsidP="00F244FF">
      <w:pPr>
        <w:spacing w:line="360" w:lineRule="auto"/>
        <w:jc w:val="both"/>
        <w:rPr>
          <w:rFonts w:ascii="David" w:hAnsi="David"/>
          <w:b/>
          <w:bCs/>
          <w:noProof w:val="0"/>
          <w:u w:val="single"/>
          <w:rtl/>
        </w:rPr>
      </w:pPr>
    </w:p>
    <w:p w14:paraId="3195A927" w14:textId="77777777" w:rsidR="00D4005B" w:rsidRDefault="00000000" w:rsidP="00F244FF">
      <w:pPr>
        <w:pStyle w:val="11"/>
        <w:numPr>
          <w:ilvl w:val="0"/>
          <w:numId w:val="1"/>
        </w:numPr>
        <w:spacing w:after="0" w:line="360" w:lineRule="auto"/>
        <w:ind w:left="357" w:hanging="357"/>
        <w:jc w:val="both"/>
        <w:rPr>
          <w:rFonts w:ascii="David" w:hAnsi="David" w:cs="David"/>
          <w:b/>
          <w:bCs/>
          <w:sz w:val="24"/>
          <w:szCs w:val="24"/>
          <w:u w:val="single"/>
          <w:rtl/>
        </w:rPr>
      </w:pPr>
      <w:r>
        <w:rPr>
          <w:rFonts w:ascii="David" w:hAnsi="David" w:cs="David"/>
          <w:sz w:val="24"/>
          <w:szCs w:val="24"/>
          <w:rtl/>
        </w:rPr>
        <w:t xml:space="preserve">התביעה מוגשת בניגוד להסכם משנת 2020 אשר עליו חתמו הצדדים על-פי דרישת התובע, ובו הוסכם כי כל המחלוקות בנוגע לכספים ולזכויות משותפים, מכל מין וסוג, הסתיימו, למעט עניין הבית. </w:t>
      </w:r>
    </w:p>
    <w:p w14:paraId="558709AB" w14:textId="77777777" w:rsidR="00D4005B" w:rsidRDefault="00D4005B" w:rsidP="00F244FF">
      <w:pPr>
        <w:pStyle w:val="11"/>
        <w:spacing w:after="0" w:line="360" w:lineRule="auto"/>
        <w:ind w:left="357"/>
        <w:jc w:val="both"/>
        <w:rPr>
          <w:rFonts w:ascii="David" w:hAnsi="David" w:cs="David"/>
          <w:b/>
          <w:bCs/>
          <w:sz w:val="24"/>
          <w:szCs w:val="24"/>
          <w:u w:val="single"/>
        </w:rPr>
      </w:pPr>
    </w:p>
    <w:p w14:paraId="388AD06B" w14:textId="77777777" w:rsidR="00D4005B" w:rsidRDefault="00000000" w:rsidP="00F244FF">
      <w:pPr>
        <w:pStyle w:val="11"/>
        <w:numPr>
          <w:ilvl w:val="0"/>
          <w:numId w:val="1"/>
        </w:numPr>
        <w:spacing w:after="0" w:line="360" w:lineRule="auto"/>
        <w:ind w:left="357" w:hanging="357"/>
        <w:jc w:val="both"/>
        <w:rPr>
          <w:rFonts w:ascii="David" w:hAnsi="David" w:cs="David"/>
          <w:b/>
          <w:bCs/>
          <w:sz w:val="24"/>
          <w:szCs w:val="24"/>
          <w:u w:val="single"/>
        </w:rPr>
      </w:pPr>
      <w:r>
        <w:rPr>
          <w:rFonts w:ascii="David" w:hAnsi="David" w:cs="David"/>
          <w:sz w:val="24"/>
          <w:szCs w:val="24"/>
          <w:rtl/>
        </w:rPr>
        <w:t xml:space="preserve">מזה כ-20 שנים, הצדדים חיים בהפרדה מוחלטת, הן זוגית והן כלכלית, ללא יחסי אישות, ביחד אך לחוד. הצדדים המשיכו להתגורר תחת קורת גג אחת לאור המציאות שכפה התובע על הנתבעת, כאשר סירב בתוקף לעזוב את הבית, בניגוד להסכם משנת 2001, תוך שעמד על סירובו לקיימו חרף בקשותיה החוזרות של הנתבעת. </w:t>
      </w:r>
    </w:p>
    <w:p w14:paraId="406A76E8" w14:textId="77777777" w:rsidR="00D4005B" w:rsidRPr="00F244FF" w:rsidRDefault="00D4005B" w:rsidP="00F244FF">
      <w:pPr>
        <w:pStyle w:val="11"/>
        <w:rPr>
          <w:rFonts w:ascii="David" w:hAnsi="David" w:cs="David"/>
          <w:b/>
          <w:bCs/>
          <w:sz w:val="24"/>
          <w:szCs w:val="24"/>
          <w:u w:val="single"/>
          <w:rtl/>
        </w:rPr>
      </w:pPr>
    </w:p>
    <w:p w14:paraId="4F607A8C"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Pr>
      </w:pPr>
      <w:r>
        <w:rPr>
          <w:rFonts w:ascii="David" w:hAnsi="David" w:cs="David"/>
          <w:sz w:val="24"/>
          <w:szCs w:val="24"/>
          <w:rtl/>
        </w:rPr>
        <w:t>התובע ניצל את הנתבעת וכפה עליה את המשך המגורים עמו תחת קורת גג אחת, תוך שהוא נהנה מטיפולה המסור בבית ובילדים, בעוד שהוא חי כאדם רווק, המנהל קשרים עם נשים אחרות, ללא כל מחויבות כלפי הנתבעת והמשפחה.</w:t>
      </w:r>
    </w:p>
    <w:p w14:paraId="434A25A6" w14:textId="77777777" w:rsidR="00D4005B" w:rsidRDefault="00D4005B" w:rsidP="00F244FF">
      <w:pPr>
        <w:pStyle w:val="11"/>
        <w:spacing w:line="360" w:lineRule="auto"/>
        <w:jc w:val="both"/>
        <w:rPr>
          <w:rFonts w:ascii="David" w:hAnsi="David" w:cs="David"/>
          <w:sz w:val="24"/>
          <w:szCs w:val="24"/>
        </w:rPr>
      </w:pPr>
    </w:p>
    <w:p w14:paraId="0E933483"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t>הנתבעת נאלצה להסכים להסדר כלכלי, שבו משתתף התובע בהוצאות הבית והילדים, במקום תשלומי המזונות ובתמורה להמשך מגוריו בבית.</w:t>
      </w:r>
    </w:p>
    <w:p w14:paraId="40524BF3" w14:textId="77777777" w:rsidR="00D4005B" w:rsidRDefault="00D4005B" w:rsidP="00F244FF">
      <w:pPr>
        <w:pStyle w:val="11"/>
        <w:spacing w:line="360" w:lineRule="auto"/>
        <w:jc w:val="both"/>
        <w:rPr>
          <w:rFonts w:ascii="David" w:hAnsi="David" w:cs="David"/>
          <w:sz w:val="24"/>
          <w:szCs w:val="24"/>
        </w:rPr>
      </w:pPr>
    </w:p>
    <w:p w14:paraId="30387242"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t>התובע התנהל בחשבון המשותף כאילו היה זה חשבונו הפרטי, תוך השתתפות בהוצאות בלבד, בעוד שיתר הוצאות הבית מומנו על-ידי הנתבעת בהתנהלות כלכלית נפרדת לחלוטין.</w:t>
      </w:r>
    </w:p>
    <w:p w14:paraId="008424AC" w14:textId="77777777" w:rsidR="00D4005B" w:rsidRDefault="00D4005B" w:rsidP="00F244FF">
      <w:pPr>
        <w:pStyle w:val="11"/>
        <w:spacing w:line="360" w:lineRule="auto"/>
        <w:jc w:val="both"/>
        <w:rPr>
          <w:rFonts w:ascii="David" w:hAnsi="David" w:cs="David"/>
          <w:sz w:val="24"/>
          <w:szCs w:val="24"/>
        </w:rPr>
      </w:pPr>
    </w:p>
    <w:p w14:paraId="687F9407"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Pr>
      </w:pPr>
      <w:r>
        <w:rPr>
          <w:rFonts w:ascii="David" w:hAnsi="David" w:cs="David"/>
          <w:sz w:val="24"/>
          <w:szCs w:val="24"/>
          <w:rtl/>
        </w:rPr>
        <w:t>התובע הסתיר הסכם נוסף, אשר עליו חתמו הצדדים בשנת 2009 (להלן: "</w:t>
      </w:r>
      <w:r>
        <w:rPr>
          <w:rFonts w:ascii="David" w:hAnsi="David" w:cs="David"/>
          <w:b/>
          <w:bCs/>
          <w:sz w:val="24"/>
          <w:szCs w:val="24"/>
          <w:rtl/>
        </w:rPr>
        <w:t>ההסכם משנת 2009</w:t>
      </w:r>
      <w:r>
        <w:rPr>
          <w:rFonts w:ascii="David" w:hAnsi="David" w:cs="David"/>
          <w:sz w:val="24"/>
          <w:szCs w:val="24"/>
          <w:rtl/>
        </w:rPr>
        <w:t>").</w:t>
      </w:r>
    </w:p>
    <w:p w14:paraId="015EBD92" w14:textId="77777777" w:rsidR="00D4005B" w:rsidRPr="00F244FF" w:rsidRDefault="00D4005B" w:rsidP="00F244FF">
      <w:pPr>
        <w:pStyle w:val="11"/>
        <w:rPr>
          <w:rFonts w:ascii="David" w:hAnsi="David" w:cs="David"/>
          <w:sz w:val="24"/>
          <w:szCs w:val="24"/>
          <w:rtl/>
        </w:rPr>
      </w:pPr>
    </w:p>
    <w:p w14:paraId="2A9B2DA2"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t>לאחר שילדי הצדדים בגרו, הנתבעת סירבה להמשיך ולחיות תחת חיי הכפייה ועזבה את הבית.</w:t>
      </w:r>
    </w:p>
    <w:p w14:paraId="1E325E0C" w14:textId="77777777" w:rsidR="00D4005B" w:rsidRDefault="00D4005B" w:rsidP="00F244FF">
      <w:pPr>
        <w:pStyle w:val="11"/>
        <w:spacing w:line="360" w:lineRule="auto"/>
        <w:jc w:val="both"/>
        <w:rPr>
          <w:rFonts w:ascii="David" w:hAnsi="David" w:cs="David"/>
          <w:sz w:val="24"/>
          <w:szCs w:val="24"/>
        </w:rPr>
      </w:pPr>
    </w:p>
    <w:p w14:paraId="0D4EA833"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t>זמן קצר לאחר עזיבתה של הנתבעת את הבית, התובע דרש ממנה להסתלק באופן פורמאלי מהחשבון המשותף, וכתנאי לכך, חתמו הצדדים על ההסכם משנת 2020 שלפיו, הסרת הנתבעת מחשבון הבנק המשותף נעשית כנגד סיום כל המחלוקות בין הצדדים בנוגע לכספים וזכויות משותפים, למעט הבית. התובע עמד לקבל סכומי כסף בסך מאות אלפי שקלים בגין החזרי מס, ולכן ביקש לסלק את הנתבעת מהחשבון המשותף.</w:t>
      </w:r>
    </w:p>
    <w:p w14:paraId="1D976058" w14:textId="77777777" w:rsidR="00D4005B" w:rsidRDefault="00D4005B" w:rsidP="00F244FF">
      <w:pPr>
        <w:pStyle w:val="11"/>
        <w:spacing w:line="360" w:lineRule="auto"/>
        <w:rPr>
          <w:rFonts w:ascii="David" w:hAnsi="David" w:cs="David"/>
          <w:sz w:val="24"/>
          <w:szCs w:val="24"/>
        </w:rPr>
      </w:pPr>
    </w:p>
    <w:p w14:paraId="5357C774"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t>הסתמכות התובע על ההסכם משנת 2020 מהווה הודאת בעל דין לגבי תוקפו המלא של ההסכם. חתימה על ההסכם משנת 2020 אשר מכיל הוראות זהות לאלה שבהסכם משנת 2009, מוביל למסקנה כי התובע חתם על ההסכם משנת 2020 מתוך הבנה מוחלטת.</w:t>
      </w:r>
    </w:p>
    <w:p w14:paraId="698B872A" w14:textId="77777777" w:rsidR="00D4005B" w:rsidRDefault="00D4005B" w:rsidP="00F244FF">
      <w:pPr>
        <w:pStyle w:val="11"/>
        <w:spacing w:line="360" w:lineRule="auto"/>
        <w:rPr>
          <w:rFonts w:ascii="David" w:hAnsi="David" w:cs="David"/>
          <w:sz w:val="24"/>
          <w:szCs w:val="24"/>
        </w:rPr>
      </w:pPr>
    </w:p>
    <w:p w14:paraId="28CD4C7F"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t xml:space="preserve">ההסכם משנת 2020 אינו הסכם ממון הצופה פני העתיד, אלא הסכם הנוגע ליחסים שוטפים או לעסקה רגילה, והוא תקף אף ללא אישור על פי </w:t>
      </w:r>
      <w:hyperlink r:id="rId8" w:history="1">
        <w:r w:rsidR="004B54CC" w:rsidRPr="004B54CC">
          <w:rPr>
            <w:rFonts w:ascii="David" w:hAnsi="David" w:cs="David"/>
            <w:color w:val="0000FF"/>
            <w:sz w:val="24"/>
            <w:szCs w:val="24"/>
            <w:u w:val="single"/>
            <w:rtl/>
          </w:rPr>
          <w:t>חוק יחסי ממון</w:t>
        </w:r>
      </w:hyperlink>
      <w:r>
        <w:rPr>
          <w:rFonts w:ascii="David" w:hAnsi="David" w:cs="David"/>
          <w:sz w:val="24"/>
          <w:szCs w:val="24"/>
          <w:rtl/>
        </w:rPr>
        <w:t>.</w:t>
      </w:r>
    </w:p>
    <w:p w14:paraId="66FC6FBD" w14:textId="77777777" w:rsidR="00D4005B" w:rsidRDefault="00D4005B" w:rsidP="00F244FF">
      <w:pPr>
        <w:pStyle w:val="11"/>
        <w:spacing w:line="360" w:lineRule="auto"/>
        <w:jc w:val="both"/>
        <w:rPr>
          <w:rFonts w:ascii="David" w:hAnsi="David" w:cs="David"/>
          <w:sz w:val="24"/>
          <w:szCs w:val="24"/>
        </w:rPr>
      </w:pPr>
    </w:p>
    <w:p w14:paraId="7D578A10"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t xml:space="preserve">התובע העלים את כספי התמורה של דירת ההשקעה ועשה בהם שימוש חד צדדי, ללא ידיעת הנתבעת. כספי המכר של דירת ההשקעה, בסך של 900,000 ₪, אכן הופקדו לחשבון המשותף, שנוהל </w:t>
      </w:r>
      <w:r>
        <w:rPr>
          <w:rFonts w:ascii="David" w:hAnsi="David" w:cs="David"/>
          <w:sz w:val="24"/>
          <w:szCs w:val="24"/>
          <w:rtl/>
        </w:rPr>
        <w:lastRenderedPageBreak/>
        <w:t xml:space="preserve">על ידי התובע באופן בלעדי. הצדדים השתמשו בסך של כ-200,000 ₪ מתוך כספי התמורה לצורך פירעון חובות ותיקון ליקויים בבית, בעוד שביתרת הכספים התובע עשה שימוש באורח חד צדדי, ללא ידיעת הנתבעת. הדבר נודע לנתבעת כאשר פקיד הבנק עדכן אותה כי החשבון המשותף מתרוקן. </w:t>
      </w:r>
    </w:p>
    <w:p w14:paraId="225870F0" w14:textId="77777777" w:rsidR="00D4005B" w:rsidRDefault="00D4005B" w:rsidP="00F244FF">
      <w:pPr>
        <w:pStyle w:val="11"/>
        <w:spacing w:line="360" w:lineRule="auto"/>
        <w:jc w:val="both"/>
        <w:rPr>
          <w:rFonts w:ascii="David" w:hAnsi="David" w:cs="David"/>
          <w:sz w:val="24"/>
          <w:szCs w:val="24"/>
        </w:rPr>
      </w:pPr>
    </w:p>
    <w:p w14:paraId="35F17B08"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t>ההסכם משנת 2020 הוא הסכם מחייב בהתאם ל</w:t>
      </w:r>
      <w:hyperlink r:id="rId9" w:history="1">
        <w:r w:rsidR="004B54CC" w:rsidRPr="004B54CC">
          <w:rPr>
            <w:rFonts w:ascii="David" w:hAnsi="David" w:cs="David"/>
            <w:color w:val="0000FF"/>
            <w:sz w:val="24"/>
            <w:szCs w:val="24"/>
            <w:u w:val="single"/>
            <w:rtl/>
          </w:rPr>
          <w:t>חוק יחסי ממון בין בני זוג</w:t>
        </w:r>
      </w:hyperlink>
      <w:r>
        <w:rPr>
          <w:rFonts w:ascii="David" w:hAnsi="David" w:cs="David"/>
          <w:sz w:val="24"/>
          <w:szCs w:val="24"/>
          <w:rtl/>
        </w:rPr>
        <w:t>, התשל"ג–1973 (להלן: "</w:t>
      </w:r>
      <w:r>
        <w:rPr>
          <w:rFonts w:ascii="David" w:hAnsi="David" w:cs="David"/>
          <w:b/>
          <w:bCs/>
          <w:sz w:val="24"/>
          <w:szCs w:val="24"/>
          <w:rtl/>
        </w:rPr>
        <w:t>חוק יחסי ממון</w:t>
      </w:r>
      <w:r>
        <w:rPr>
          <w:rFonts w:ascii="David" w:hAnsi="David" w:cs="David"/>
          <w:sz w:val="24"/>
          <w:szCs w:val="24"/>
          <w:rtl/>
        </w:rPr>
        <w:t>"), ולחלופין מכוח עיקרון תום הלב, דיני עשיית עושר, השתק ומניעות.</w:t>
      </w:r>
    </w:p>
    <w:p w14:paraId="0C09C590" w14:textId="77777777" w:rsidR="00D4005B" w:rsidRDefault="00D4005B" w:rsidP="00F244FF">
      <w:pPr>
        <w:pStyle w:val="11"/>
        <w:spacing w:line="360" w:lineRule="auto"/>
        <w:jc w:val="both"/>
        <w:rPr>
          <w:rFonts w:ascii="David" w:hAnsi="David" w:cs="David"/>
          <w:sz w:val="24"/>
          <w:szCs w:val="24"/>
        </w:rPr>
      </w:pPr>
    </w:p>
    <w:p w14:paraId="6DECEF1D"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t>כל המחלוקות הרכושיות הסתיימו עם יציאת הנתבעת מהחשבון המשותף, וכל שנותר הוא פירוק השיתוף בבית.</w:t>
      </w:r>
    </w:p>
    <w:p w14:paraId="359E2884" w14:textId="77777777" w:rsidR="00D4005B" w:rsidRDefault="00D4005B" w:rsidP="00F244FF">
      <w:pPr>
        <w:pStyle w:val="11"/>
        <w:spacing w:line="360" w:lineRule="auto"/>
        <w:jc w:val="both"/>
        <w:rPr>
          <w:rFonts w:ascii="David" w:hAnsi="David" w:cs="David"/>
          <w:sz w:val="24"/>
          <w:szCs w:val="24"/>
        </w:rPr>
      </w:pPr>
    </w:p>
    <w:p w14:paraId="0F8528E5"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t>יש לדחות את טענת התובע כי מועד הקרע הוא מועד עזיבת הנתבעת את הבית, ולקבוע כי מועד הקרע הוא מועד אישור ההסכם משנת 2001.</w:t>
      </w:r>
    </w:p>
    <w:p w14:paraId="027EA3F9" w14:textId="77777777" w:rsidR="00D4005B" w:rsidRDefault="00D4005B" w:rsidP="00F244FF">
      <w:pPr>
        <w:pStyle w:val="11"/>
        <w:spacing w:after="0" w:line="360" w:lineRule="auto"/>
        <w:ind w:left="357"/>
        <w:jc w:val="both"/>
        <w:rPr>
          <w:rFonts w:ascii="David" w:hAnsi="David" w:cs="David"/>
          <w:sz w:val="24"/>
          <w:szCs w:val="24"/>
        </w:rPr>
      </w:pPr>
    </w:p>
    <w:p w14:paraId="4F654592"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Pr>
      </w:pPr>
      <w:r>
        <w:rPr>
          <w:rFonts w:ascii="David" w:hAnsi="David" w:cs="David"/>
          <w:sz w:val="24"/>
          <w:szCs w:val="24"/>
          <w:rtl/>
        </w:rPr>
        <w:t>התובע בגד בנתבעת וניהל מערכות יחסים עם נשים אחרות במשך שנים. התנהגותו היא שהובילה לקרע עמוק בין הצדדים ולחתימה על ההסכם משנת 2001.</w:t>
      </w:r>
    </w:p>
    <w:p w14:paraId="7B2AE221" w14:textId="77777777" w:rsidR="00D4005B" w:rsidRDefault="00D4005B" w:rsidP="00F244FF">
      <w:pPr>
        <w:pStyle w:val="11"/>
        <w:spacing w:line="360" w:lineRule="auto"/>
        <w:jc w:val="both"/>
        <w:rPr>
          <w:rFonts w:ascii="David" w:hAnsi="David" w:cs="David"/>
          <w:sz w:val="24"/>
          <w:szCs w:val="24"/>
        </w:rPr>
      </w:pPr>
    </w:p>
    <w:p w14:paraId="37321901"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t xml:space="preserve">לאחר שאושר ההסכם משנת 2001, הצדדים לא שבו לחיות יחד. התובע חי כגבר פנוי, תוך שניהל מערכות יחסים עם נשים אחרות, ללא כל מחויבות כלפי הנתבעת. </w:t>
      </w:r>
    </w:p>
    <w:p w14:paraId="17F60F83" w14:textId="77777777" w:rsidR="00D4005B" w:rsidRDefault="00D4005B" w:rsidP="00F244FF">
      <w:pPr>
        <w:pStyle w:val="11"/>
        <w:spacing w:line="360" w:lineRule="auto"/>
        <w:jc w:val="both"/>
        <w:rPr>
          <w:rFonts w:ascii="David" w:hAnsi="David" w:cs="David"/>
          <w:sz w:val="24"/>
          <w:szCs w:val="24"/>
        </w:rPr>
      </w:pPr>
    </w:p>
    <w:p w14:paraId="55BDC764"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t>התובע פעל למניעת הסדרת גט ולמניעת ביצועו של ההסכם משנת 2001 מן הכוח אל הפועל.</w:t>
      </w:r>
    </w:p>
    <w:p w14:paraId="6C972702" w14:textId="77777777" w:rsidR="00D4005B" w:rsidRDefault="00D4005B" w:rsidP="00F244FF">
      <w:pPr>
        <w:pStyle w:val="11"/>
        <w:spacing w:line="360" w:lineRule="auto"/>
        <w:jc w:val="both"/>
        <w:rPr>
          <w:rFonts w:ascii="David" w:hAnsi="David" w:cs="David"/>
          <w:sz w:val="24"/>
          <w:szCs w:val="24"/>
        </w:rPr>
      </w:pPr>
    </w:p>
    <w:p w14:paraId="7DC07634"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t>הנתבעת התנהלה מחשבונה הפרטי ומימנה את מרבית הוצאות הבית והילדים, בעוד שהתובע השתמש בחשבון המשותף כאילו היה זה חשבונו הפרטי כאמור לעיל, תוך השתתפות חלקית בהוצאות הבית. מרבית הכנסותיו שימשו אותו להוצאות אישיות ולניהול מערכות עם נשים אחרות.</w:t>
      </w:r>
    </w:p>
    <w:p w14:paraId="5B839A1B" w14:textId="77777777" w:rsidR="00D4005B" w:rsidRDefault="00D4005B" w:rsidP="00F244FF">
      <w:pPr>
        <w:pStyle w:val="11"/>
        <w:spacing w:line="360" w:lineRule="auto"/>
        <w:rPr>
          <w:rFonts w:ascii="David" w:hAnsi="David" w:cs="David"/>
          <w:sz w:val="24"/>
          <w:szCs w:val="24"/>
        </w:rPr>
      </w:pPr>
    </w:p>
    <w:p w14:paraId="62BBE954"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t>ההסכם משנת 2009 כולל הסדרה של איזון המשאבים, גירושין וגט, וחתימתו התבצעה במקביל להליך מו"מ שניהלו הצדדים למכירת דירת ההשקעה.</w:t>
      </w:r>
    </w:p>
    <w:p w14:paraId="5DF32E74" w14:textId="77777777" w:rsidR="00D4005B" w:rsidRDefault="00D4005B" w:rsidP="00F244FF">
      <w:pPr>
        <w:pStyle w:val="11"/>
        <w:spacing w:line="360" w:lineRule="auto"/>
        <w:rPr>
          <w:rFonts w:ascii="David" w:hAnsi="David" w:cs="David"/>
          <w:sz w:val="24"/>
          <w:szCs w:val="24"/>
        </w:rPr>
      </w:pPr>
    </w:p>
    <w:p w14:paraId="554A0A68"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t>הסכמים יש לכבד, ודי בהסתרת ההסכם משנת 2009 כדי לשמש בסיס לדחיית התביעה.</w:t>
      </w:r>
    </w:p>
    <w:p w14:paraId="147E11B3" w14:textId="77777777" w:rsidR="00D4005B" w:rsidRDefault="00D4005B" w:rsidP="00F244FF">
      <w:pPr>
        <w:pStyle w:val="11"/>
        <w:spacing w:line="360" w:lineRule="auto"/>
        <w:rPr>
          <w:rFonts w:ascii="David" w:hAnsi="David" w:cs="David"/>
          <w:sz w:val="24"/>
          <w:szCs w:val="24"/>
        </w:rPr>
      </w:pPr>
    </w:p>
    <w:p w14:paraId="4379B24E"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t>הנתבעת הסכימה, מטוב לבה ובאופן זמני, למגורים משותפים תחת הפרדת חדרים, והתובע ניצל זאת והפך את ההסדר הזמני לקבוע. במהלך המגורים המשותפים, לא התקיים שיתוף כלכלי בין הצדדים, אלא חלוקה בהוצאות, במקום תשלומי מזונות.</w:t>
      </w:r>
    </w:p>
    <w:p w14:paraId="2EBA2F9B" w14:textId="77777777" w:rsidR="00D4005B" w:rsidRDefault="00D4005B" w:rsidP="00F244FF">
      <w:pPr>
        <w:pStyle w:val="11"/>
        <w:spacing w:line="360" w:lineRule="auto"/>
        <w:rPr>
          <w:rFonts w:ascii="David" w:hAnsi="David" w:cs="David"/>
          <w:sz w:val="24"/>
          <w:szCs w:val="24"/>
        </w:rPr>
      </w:pPr>
    </w:p>
    <w:p w14:paraId="37C11BE9"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t>הנתבעת החזיקה בכרטיס אשראי ייעודי של רשת רמי לוי מהחשבון המשותף, אשר שימש אותה לצורך מימון רכישת מזון והוצאות כלכלת הבית. מעבר לכך, התובע לבדו עשה שימוש בלעדי בחשבון המשותף.</w:t>
      </w:r>
    </w:p>
    <w:p w14:paraId="065881E1" w14:textId="77777777" w:rsidR="00D4005B" w:rsidRDefault="00D4005B" w:rsidP="00F244FF">
      <w:pPr>
        <w:pStyle w:val="11"/>
        <w:spacing w:after="0" w:line="360" w:lineRule="auto"/>
        <w:ind w:left="357"/>
        <w:jc w:val="both"/>
        <w:rPr>
          <w:rFonts w:ascii="David" w:hAnsi="David" w:cs="David"/>
          <w:sz w:val="24"/>
          <w:szCs w:val="24"/>
        </w:rPr>
      </w:pPr>
    </w:p>
    <w:p w14:paraId="0C7B4C1D"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Pr>
      </w:pPr>
      <w:r>
        <w:rPr>
          <w:rFonts w:ascii="David" w:hAnsi="David" w:cs="David"/>
          <w:sz w:val="24"/>
          <w:szCs w:val="24"/>
          <w:rtl/>
        </w:rPr>
        <w:t>הוצאות משמעותיות מומנו על-ידי הצדדים בחלקים שווים, כמו שני שותפים זרים.</w:t>
      </w:r>
    </w:p>
    <w:p w14:paraId="7123B0ED" w14:textId="77777777" w:rsidR="00D4005B" w:rsidRDefault="00D4005B" w:rsidP="00F244FF">
      <w:pPr>
        <w:pStyle w:val="11"/>
        <w:spacing w:line="360" w:lineRule="auto"/>
        <w:rPr>
          <w:rFonts w:ascii="David" w:hAnsi="David" w:cs="David"/>
          <w:sz w:val="24"/>
          <w:szCs w:val="24"/>
        </w:rPr>
      </w:pPr>
    </w:p>
    <w:p w14:paraId="01475D60"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t>ככל שנטלו הלוואות מהחשבון המשותף, הדבר נעשה על-ידי תובע בלבד, ללא ידיעת הנתבעת.</w:t>
      </w:r>
    </w:p>
    <w:p w14:paraId="29D5E74B" w14:textId="77777777" w:rsidR="00D4005B" w:rsidRDefault="00D4005B" w:rsidP="00F244FF">
      <w:pPr>
        <w:pStyle w:val="11"/>
        <w:spacing w:line="360" w:lineRule="auto"/>
        <w:rPr>
          <w:rFonts w:ascii="David" w:hAnsi="David" w:cs="David"/>
          <w:sz w:val="24"/>
          <w:szCs w:val="24"/>
        </w:rPr>
      </w:pPr>
    </w:p>
    <w:p w14:paraId="0E1703AA" w14:textId="77777777" w:rsidR="00D4005B" w:rsidRDefault="00000000" w:rsidP="00E96EC9">
      <w:pPr>
        <w:pStyle w:val="11"/>
        <w:numPr>
          <w:ilvl w:val="0"/>
          <w:numId w:val="1"/>
        </w:numPr>
        <w:spacing w:after="0" w:line="360" w:lineRule="auto"/>
        <w:ind w:left="357" w:hanging="357"/>
        <w:jc w:val="both"/>
        <w:rPr>
          <w:rFonts w:ascii="David" w:hAnsi="David" w:cs="David"/>
          <w:sz w:val="24"/>
          <w:szCs w:val="24"/>
        </w:rPr>
      </w:pPr>
      <w:r>
        <w:rPr>
          <w:rFonts w:ascii="David" w:hAnsi="David" w:cs="David"/>
          <w:sz w:val="24"/>
          <w:szCs w:val="24"/>
          <w:rtl/>
        </w:rPr>
        <w:t xml:space="preserve">התובע התעקש להמשיך לנהל את עסק </w:t>
      </w:r>
      <w:r>
        <w:rPr>
          <w:rFonts w:ascii="David" w:hAnsi="David" w:cs="David"/>
          <w:sz w:val="24"/>
          <w:szCs w:val="24"/>
        </w:rPr>
        <w:t>xxxxx</w:t>
      </w:r>
      <w:r>
        <w:rPr>
          <w:rFonts w:ascii="David" w:hAnsi="David" w:cs="David"/>
          <w:sz w:val="24"/>
          <w:szCs w:val="24"/>
          <w:rtl/>
        </w:rPr>
        <w:t xml:space="preserve"> ההפסדי, בניגוד לרצונה של הנתבעת וחרף התנגדותה. </w:t>
      </w:r>
    </w:p>
    <w:p w14:paraId="23F44074" w14:textId="77777777" w:rsidR="00D4005B" w:rsidRPr="002D4047" w:rsidRDefault="00D4005B" w:rsidP="002D4047">
      <w:pPr>
        <w:pStyle w:val="11"/>
        <w:rPr>
          <w:rFonts w:ascii="David" w:hAnsi="David" w:cs="David"/>
          <w:sz w:val="24"/>
          <w:szCs w:val="24"/>
          <w:rtl/>
        </w:rPr>
      </w:pPr>
    </w:p>
    <w:p w14:paraId="6C5959FF"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Pr>
      </w:pPr>
      <w:r>
        <w:rPr>
          <w:rFonts w:ascii="David" w:hAnsi="David" w:cs="David"/>
          <w:sz w:val="24"/>
          <w:szCs w:val="24"/>
          <w:rtl/>
        </w:rPr>
        <w:t>באופן קבוע הופקדו כספי השכירות בגין השכרת יחידת הדיור לחשבון המשותף, ממנו שולמו תשלומי המשכנתה, כך שכספי השכירות שימשו לכיסוי תשלומי המשכנתה.</w:t>
      </w:r>
    </w:p>
    <w:p w14:paraId="3ADE8881" w14:textId="77777777" w:rsidR="00D4005B" w:rsidRDefault="00D4005B" w:rsidP="00F244FF">
      <w:pPr>
        <w:pStyle w:val="11"/>
        <w:spacing w:line="360" w:lineRule="auto"/>
        <w:rPr>
          <w:rFonts w:ascii="David" w:hAnsi="David" w:cs="David"/>
          <w:sz w:val="24"/>
          <w:szCs w:val="24"/>
        </w:rPr>
      </w:pPr>
    </w:p>
    <w:p w14:paraId="06279EA6"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t>הצדדים שיעבדו את הבית כבטוחה למשכנתה שנטל הבן, והוסכם בין הצדדים לדחות את מועד מכירת הבית עד לסילוק המשכנתה של הבן.</w:t>
      </w:r>
    </w:p>
    <w:p w14:paraId="38FDFB5B"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t>לאחר עזיבת הנתבעת את הבית, הוסכם על השכרתו וחלוקת כספי השכירות בחלקים שווים.</w:t>
      </w:r>
    </w:p>
    <w:p w14:paraId="02A09C9E" w14:textId="77777777" w:rsidR="00D4005B" w:rsidRDefault="00D4005B" w:rsidP="00F244FF">
      <w:pPr>
        <w:pStyle w:val="11"/>
        <w:spacing w:line="360" w:lineRule="auto"/>
        <w:rPr>
          <w:rFonts w:ascii="David" w:hAnsi="David" w:cs="David"/>
          <w:sz w:val="24"/>
          <w:szCs w:val="24"/>
        </w:rPr>
      </w:pPr>
    </w:p>
    <w:p w14:paraId="66A5029B"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t>ההסכם משנת 2020 הוא הסכם תקף ומחייב, ונוכח הסתלקות הצדדים מהטענות הרכושיות, התביעה נטולה כל יסוד. לחלופין, מועד הקרע הוא מועד אישור ההסכם משנת 2001.</w:t>
      </w:r>
    </w:p>
    <w:p w14:paraId="6361F0C4" w14:textId="77777777" w:rsidR="00D4005B" w:rsidRDefault="00D4005B" w:rsidP="00F244FF">
      <w:pPr>
        <w:spacing w:line="360" w:lineRule="auto"/>
        <w:jc w:val="both"/>
        <w:rPr>
          <w:rFonts w:ascii="David" w:hAnsi="David"/>
          <w:b/>
          <w:bCs/>
          <w:noProof w:val="0"/>
          <w:u w:val="single"/>
          <w:rtl/>
        </w:rPr>
      </w:pPr>
    </w:p>
    <w:p w14:paraId="3F5E74BB" w14:textId="77777777" w:rsidR="00D4005B" w:rsidRDefault="00D4005B" w:rsidP="00F244FF">
      <w:pPr>
        <w:spacing w:line="360" w:lineRule="auto"/>
        <w:jc w:val="both"/>
        <w:rPr>
          <w:rFonts w:ascii="David" w:hAnsi="David"/>
          <w:b/>
          <w:bCs/>
          <w:noProof w:val="0"/>
          <w:u w:val="single"/>
          <w:rtl/>
        </w:rPr>
      </w:pPr>
    </w:p>
    <w:p w14:paraId="25B1087F" w14:textId="77777777" w:rsidR="00D4005B" w:rsidRDefault="00000000" w:rsidP="00F244FF">
      <w:pPr>
        <w:spacing w:line="360" w:lineRule="auto"/>
        <w:jc w:val="both"/>
        <w:rPr>
          <w:rFonts w:ascii="David" w:hAnsi="David"/>
          <w:b/>
          <w:bCs/>
          <w:noProof w:val="0"/>
          <w:u w:val="single"/>
          <w:rtl/>
        </w:rPr>
      </w:pPr>
      <w:r>
        <w:rPr>
          <w:rFonts w:ascii="David" w:hAnsi="David"/>
          <w:b/>
          <w:bCs/>
          <w:noProof w:val="0"/>
          <w:u w:val="single"/>
          <w:rtl/>
        </w:rPr>
        <w:t>הסכמה דיונית</w:t>
      </w:r>
    </w:p>
    <w:p w14:paraId="139FAC75" w14:textId="77777777" w:rsidR="00D4005B" w:rsidRDefault="00D4005B" w:rsidP="00F244FF">
      <w:pPr>
        <w:spacing w:line="360" w:lineRule="auto"/>
        <w:jc w:val="both"/>
        <w:rPr>
          <w:rFonts w:ascii="David" w:hAnsi="David"/>
          <w:noProof w:val="0"/>
          <w:rtl/>
        </w:rPr>
      </w:pPr>
    </w:p>
    <w:p w14:paraId="6FA7C072" w14:textId="77777777" w:rsidR="00D4005B" w:rsidRDefault="00000000" w:rsidP="00F244FF">
      <w:pPr>
        <w:pStyle w:val="11"/>
        <w:numPr>
          <w:ilvl w:val="0"/>
          <w:numId w:val="1"/>
        </w:numPr>
        <w:spacing w:after="0" w:line="360" w:lineRule="auto"/>
        <w:ind w:left="357" w:hanging="357"/>
        <w:jc w:val="both"/>
        <w:rPr>
          <w:rFonts w:ascii="David" w:hAnsi="David" w:cs="David"/>
          <w:b/>
          <w:bCs/>
          <w:sz w:val="24"/>
          <w:szCs w:val="24"/>
          <w:u w:val="single"/>
        </w:rPr>
      </w:pPr>
      <w:r>
        <w:rPr>
          <w:rFonts w:ascii="David" w:hAnsi="David" w:cs="David"/>
          <w:sz w:val="24"/>
          <w:szCs w:val="24"/>
          <w:rtl/>
        </w:rPr>
        <w:t>בקדם משפט שהתקיים ביום 15.7.2024 הסכימו הצדדים כי:</w:t>
      </w:r>
    </w:p>
    <w:p w14:paraId="118EBB3F" w14:textId="77777777" w:rsidR="00D4005B" w:rsidRDefault="00D4005B" w:rsidP="00F244FF">
      <w:pPr>
        <w:spacing w:line="360" w:lineRule="auto"/>
        <w:jc w:val="both"/>
        <w:rPr>
          <w:rFonts w:ascii="David" w:hAnsi="David"/>
          <w:b/>
          <w:bCs/>
          <w:u w:val="single"/>
        </w:rPr>
      </w:pPr>
    </w:p>
    <w:p w14:paraId="2BB20DAB" w14:textId="77777777" w:rsidR="00D4005B" w:rsidRDefault="00000000" w:rsidP="00F244FF">
      <w:pPr>
        <w:pStyle w:val="11"/>
        <w:spacing w:after="0" w:line="360" w:lineRule="auto"/>
        <w:ind w:left="793" w:right="426"/>
        <w:jc w:val="both"/>
        <w:rPr>
          <w:rFonts w:ascii="David" w:hAnsi="David" w:cs="David"/>
          <w:sz w:val="24"/>
          <w:szCs w:val="24"/>
          <w:rtl/>
        </w:rPr>
      </w:pPr>
      <w:r>
        <w:rPr>
          <w:rFonts w:ascii="David" w:hAnsi="David" w:cs="David"/>
          <w:sz w:val="24"/>
          <w:szCs w:val="24"/>
          <w:rtl/>
        </w:rPr>
        <w:t xml:space="preserve">"הצדדים: לאחר שיח נוסף, מוסכם בינינו שבית המשפט יקבע מהו מועד הקרע דהיינו שנת 2001 לשיטתה הנתבעת או 5.5.2020 לטענת התובע ואיזון המשאבים יבוצע במועד בו זה תוך שתינתן התייחסות במסגרת פסק הדין לתוקף של ההסכם משנת 2020, כאשר לטענת הנתבעת ההסכם משנת 2020 הוא הסכם תקף שמסיים את כל המחלוקת בעוד שטענת התובע אין להסכם הזה שום תוקף מכיוון שלא אושר כדין" </w:t>
      </w:r>
    </w:p>
    <w:p w14:paraId="68C33249" w14:textId="77777777" w:rsidR="00D4005B" w:rsidRDefault="00000000" w:rsidP="00F244FF">
      <w:pPr>
        <w:pStyle w:val="11"/>
        <w:spacing w:after="0" w:line="360" w:lineRule="auto"/>
        <w:ind w:left="793" w:right="426"/>
        <w:jc w:val="both"/>
        <w:rPr>
          <w:rFonts w:ascii="David" w:hAnsi="David" w:cs="David"/>
          <w:sz w:val="24"/>
          <w:szCs w:val="24"/>
          <w:rtl/>
        </w:rPr>
      </w:pPr>
      <w:r>
        <w:rPr>
          <w:rFonts w:ascii="David" w:hAnsi="David" w:cs="David"/>
          <w:sz w:val="24"/>
          <w:szCs w:val="24"/>
          <w:rtl/>
        </w:rPr>
        <w:t>(להלן: "</w:t>
      </w:r>
      <w:r>
        <w:rPr>
          <w:rFonts w:ascii="David" w:hAnsi="David" w:cs="David"/>
          <w:b/>
          <w:bCs/>
          <w:sz w:val="24"/>
          <w:szCs w:val="24"/>
          <w:rtl/>
        </w:rPr>
        <w:t>ההסכמה הדיונית</w:t>
      </w:r>
      <w:r>
        <w:rPr>
          <w:rFonts w:ascii="David" w:hAnsi="David" w:cs="David"/>
          <w:sz w:val="24"/>
          <w:szCs w:val="24"/>
          <w:rtl/>
        </w:rPr>
        <w:t>").</w:t>
      </w:r>
    </w:p>
    <w:p w14:paraId="236CFA34" w14:textId="77777777" w:rsidR="00D4005B" w:rsidRDefault="00D4005B" w:rsidP="00F244FF">
      <w:pPr>
        <w:pStyle w:val="11"/>
        <w:spacing w:after="0" w:line="360" w:lineRule="auto"/>
        <w:ind w:left="793" w:right="426"/>
        <w:jc w:val="both"/>
        <w:rPr>
          <w:rFonts w:ascii="David" w:hAnsi="David" w:cs="David"/>
          <w:sz w:val="24"/>
          <w:szCs w:val="24"/>
          <w:rtl/>
        </w:rPr>
      </w:pPr>
    </w:p>
    <w:p w14:paraId="26C77502"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t>כפועל יוצא מההסכמה הדיונית, החלטה זו תעסוק בשתי סוגיות כדלהלן:</w:t>
      </w:r>
    </w:p>
    <w:p w14:paraId="4CE09894" w14:textId="77777777" w:rsidR="00D4005B" w:rsidRDefault="00D4005B" w:rsidP="00F244FF">
      <w:pPr>
        <w:spacing w:line="360" w:lineRule="auto"/>
        <w:jc w:val="both"/>
        <w:rPr>
          <w:rFonts w:ascii="David" w:hAnsi="David"/>
        </w:rPr>
      </w:pPr>
    </w:p>
    <w:p w14:paraId="5F4A5136" w14:textId="77777777" w:rsidR="00D4005B" w:rsidRDefault="00000000" w:rsidP="00F244FF">
      <w:pPr>
        <w:pStyle w:val="11"/>
        <w:numPr>
          <w:ilvl w:val="0"/>
          <w:numId w:val="3"/>
        </w:numPr>
        <w:spacing w:after="0" w:line="360" w:lineRule="auto"/>
        <w:jc w:val="both"/>
        <w:rPr>
          <w:rFonts w:ascii="David" w:hAnsi="David" w:cs="David"/>
          <w:sz w:val="24"/>
          <w:szCs w:val="24"/>
          <w:rtl/>
        </w:rPr>
      </w:pPr>
      <w:r>
        <w:rPr>
          <w:rFonts w:ascii="David" w:hAnsi="David" w:cs="David"/>
          <w:b/>
          <w:bCs/>
          <w:sz w:val="24"/>
          <w:szCs w:val="24"/>
          <w:rtl/>
        </w:rPr>
        <w:t>קביעת מועד הקרע וכפועל יוצא, קביעת תקופת השיתוף</w:t>
      </w:r>
      <w:r>
        <w:rPr>
          <w:rFonts w:ascii="David" w:hAnsi="David" w:cs="David"/>
          <w:sz w:val="24"/>
          <w:szCs w:val="24"/>
          <w:rtl/>
        </w:rPr>
        <w:t xml:space="preserve"> – לשיטת התובע, מועד הקרע חל ביום 5.5.2020 – המועד שבו הנתבעת עזבה את הבית </w:t>
      </w:r>
      <w:r>
        <w:rPr>
          <w:rFonts w:ascii="David" w:hAnsi="David" w:cs="David"/>
          <w:b/>
          <w:bCs/>
          <w:sz w:val="24"/>
          <w:szCs w:val="24"/>
          <w:rtl/>
        </w:rPr>
        <w:t>ראו: ס' 45 לכתב התביעה</w:t>
      </w:r>
      <w:r>
        <w:rPr>
          <w:rFonts w:ascii="David" w:hAnsi="David" w:cs="David"/>
          <w:sz w:val="24"/>
          <w:szCs w:val="24"/>
          <w:rtl/>
        </w:rPr>
        <w:t xml:space="preserve">. לשיטת הנתבעת, מועד הקרע חל ביום 10.5.2021 – המועד שבו אושר ההסכם משנת 2001 </w:t>
      </w:r>
      <w:r>
        <w:rPr>
          <w:rFonts w:ascii="David" w:hAnsi="David" w:cs="David"/>
          <w:b/>
          <w:bCs/>
          <w:sz w:val="24"/>
          <w:szCs w:val="24"/>
          <w:rtl/>
        </w:rPr>
        <w:t>ראו: ס' 10, 58 ו-86 לכתב ההגנה</w:t>
      </w:r>
      <w:r>
        <w:rPr>
          <w:rFonts w:ascii="David" w:hAnsi="David" w:cs="David"/>
          <w:sz w:val="24"/>
          <w:szCs w:val="24"/>
          <w:rtl/>
        </w:rPr>
        <w:t>.</w:t>
      </w:r>
    </w:p>
    <w:p w14:paraId="411A7097" w14:textId="77777777" w:rsidR="00D4005B" w:rsidRDefault="00D4005B" w:rsidP="00F244FF">
      <w:pPr>
        <w:pStyle w:val="11"/>
        <w:spacing w:after="0" w:line="360" w:lineRule="auto"/>
        <w:ind w:left="717"/>
        <w:jc w:val="both"/>
        <w:rPr>
          <w:rFonts w:ascii="David" w:hAnsi="David" w:cs="David"/>
          <w:sz w:val="24"/>
          <w:szCs w:val="24"/>
        </w:rPr>
      </w:pPr>
    </w:p>
    <w:p w14:paraId="2E5E20E1" w14:textId="77777777" w:rsidR="00D4005B" w:rsidRDefault="00000000" w:rsidP="00F244FF">
      <w:pPr>
        <w:pStyle w:val="11"/>
        <w:numPr>
          <w:ilvl w:val="0"/>
          <w:numId w:val="3"/>
        </w:numPr>
        <w:spacing w:after="0" w:line="360" w:lineRule="auto"/>
        <w:jc w:val="both"/>
        <w:rPr>
          <w:rFonts w:ascii="David" w:hAnsi="David" w:cs="David"/>
          <w:sz w:val="24"/>
          <w:szCs w:val="24"/>
        </w:rPr>
      </w:pPr>
      <w:r>
        <w:rPr>
          <w:rFonts w:ascii="David" w:hAnsi="David" w:cs="David"/>
          <w:b/>
          <w:bCs/>
          <w:sz w:val="24"/>
          <w:szCs w:val="24"/>
          <w:rtl/>
        </w:rPr>
        <w:lastRenderedPageBreak/>
        <w:t>תוקפו של ההסכם משנת 2020</w:t>
      </w:r>
      <w:r>
        <w:rPr>
          <w:rFonts w:ascii="David" w:hAnsi="David" w:cs="David"/>
          <w:sz w:val="24"/>
          <w:szCs w:val="24"/>
          <w:rtl/>
        </w:rPr>
        <w:t xml:space="preserve"> – לשיטת התובע, להסכם משנת 2020 אין תוקף מחייב, שכן הוא לא אושר כדין על-ידי בית המשפט </w:t>
      </w:r>
      <w:r>
        <w:rPr>
          <w:rFonts w:ascii="David" w:hAnsi="David" w:cs="David"/>
          <w:b/>
          <w:bCs/>
          <w:sz w:val="24"/>
          <w:szCs w:val="24"/>
          <w:rtl/>
        </w:rPr>
        <w:t>ראו: פרוט' הדיון</w:t>
      </w:r>
      <w:r>
        <w:rPr>
          <w:rFonts w:ascii="David" w:hAnsi="David" w:cs="David"/>
          <w:sz w:val="24"/>
          <w:szCs w:val="24"/>
          <w:rtl/>
        </w:rPr>
        <w:t xml:space="preserve"> (להלן: "</w:t>
      </w:r>
      <w:r>
        <w:rPr>
          <w:rFonts w:ascii="David" w:hAnsi="David" w:cs="David"/>
          <w:b/>
          <w:bCs/>
          <w:sz w:val="24"/>
          <w:szCs w:val="24"/>
          <w:rtl/>
        </w:rPr>
        <w:t>פרוט'</w:t>
      </w:r>
      <w:r>
        <w:rPr>
          <w:rFonts w:ascii="David" w:hAnsi="David" w:cs="David"/>
          <w:sz w:val="24"/>
          <w:szCs w:val="24"/>
          <w:rtl/>
        </w:rPr>
        <w:t xml:space="preserve">") </w:t>
      </w:r>
      <w:r>
        <w:rPr>
          <w:rFonts w:ascii="David" w:hAnsi="David" w:cs="David"/>
          <w:b/>
          <w:bCs/>
          <w:sz w:val="24"/>
          <w:szCs w:val="24"/>
          <w:rtl/>
        </w:rPr>
        <w:t>עמ'</w:t>
      </w:r>
      <w:r>
        <w:rPr>
          <w:rFonts w:ascii="David" w:hAnsi="David" w:cs="David"/>
          <w:sz w:val="24"/>
          <w:szCs w:val="24"/>
          <w:rtl/>
        </w:rPr>
        <w:t xml:space="preserve"> </w:t>
      </w:r>
      <w:r>
        <w:rPr>
          <w:rFonts w:ascii="David" w:hAnsi="David" w:cs="David"/>
          <w:b/>
          <w:bCs/>
          <w:sz w:val="24"/>
          <w:szCs w:val="24"/>
          <w:rtl/>
        </w:rPr>
        <w:t>20 ש' 8-10, 29-30</w:t>
      </w:r>
      <w:r>
        <w:rPr>
          <w:rFonts w:ascii="David" w:hAnsi="David" w:cs="David"/>
          <w:sz w:val="24"/>
          <w:szCs w:val="24"/>
          <w:rtl/>
        </w:rPr>
        <w:t xml:space="preserve">, התובע לא התכוון במסגרתו לוותר על חלקו בזכויות הנתבעת </w:t>
      </w:r>
      <w:r>
        <w:rPr>
          <w:rFonts w:ascii="David" w:hAnsi="David" w:cs="David"/>
          <w:b/>
          <w:bCs/>
          <w:sz w:val="24"/>
          <w:szCs w:val="24"/>
          <w:rtl/>
        </w:rPr>
        <w:t>ראו: פרוט' עמ' 20 ש' 30-32</w:t>
      </w:r>
      <w:r>
        <w:rPr>
          <w:rFonts w:ascii="David" w:hAnsi="David" w:cs="David"/>
          <w:sz w:val="24"/>
          <w:szCs w:val="24"/>
          <w:rtl/>
        </w:rPr>
        <w:t xml:space="preserve">. לשיטת הנתבעת, מדובר בהסכם מחייב, אף שההסכם לא אושר כדין וזאת מכוח </w:t>
      </w:r>
      <w:hyperlink r:id="rId10" w:history="1">
        <w:r w:rsidR="00166005" w:rsidRPr="00166005">
          <w:rPr>
            <w:rStyle w:val="Hyperlink"/>
            <w:rFonts w:ascii="David" w:hAnsi="David" w:cs="David"/>
            <w:sz w:val="24"/>
            <w:szCs w:val="24"/>
            <w:rtl/>
          </w:rPr>
          <w:t>ס' 5 (א) (3)</w:t>
        </w:r>
      </w:hyperlink>
      <w:r>
        <w:rPr>
          <w:rFonts w:ascii="David" w:hAnsi="David" w:cs="David"/>
          <w:sz w:val="24"/>
          <w:szCs w:val="24"/>
          <w:rtl/>
        </w:rPr>
        <w:t xml:space="preserve"> ל</w:t>
      </w:r>
      <w:hyperlink r:id="rId11" w:history="1">
        <w:r w:rsidR="004B54CC" w:rsidRPr="004B54CC">
          <w:rPr>
            <w:rFonts w:ascii="David" w:hAnsi="David" w:cs="David"/>
            <w:color w:val="0000FF"/>
            <w:sz w:val="24"/>
            <w:szCs w:val="24"/>
            <w:u w:val="single"/>
            <w:rtl/>
          </w:rPr>
          <w:t>חוק יחסי ממון</w:t>
        </w:r>
      </w:hyperlink>
      <w:r>
        <w:rPr>
          <w:rFonts w:ascii="David" w:hAnsi="David" w:cs="David"/>
          <w:sz w:val="24"/>
          <w:szCs w:val="24"/>
          <w:rtl/>
        </w:rPr>
        <w:t xml:space="preserve">, ולחלופין מכוח עקרון תום הלב, דיני עשיית עושר השתק ומניעות </w:t>
      </w:r>
      <w:r>
        <w:rPr>
          <w:rFonts w:ascii="David" w:hAnsi="David" w:cs="David"/>
          <w:b/>
          <w:bCs/>
          <w:sz w:val="24"/>
          <w:szCs w:val="24"/>
          <w:rtl/>
        </w:rPr>
        <w:t>ראו: ס' 7 לכתב ההגנה, פרוט' עמ' 25 ש' 12-13</w:t>
      </w:r>
      <w:r>
        <w:rPr>
          <w:rFonts w:ascii="David" w:hAnsi="David" w:cs="David"/>
          <w:sz w:val="24"/>
          <w:szCs w:val="24"/>
          <w:rtl/>
        </w:rPr>
        <w:t xml:space="preserve">, אשר במסגרתו וויתר התובע "ויתור מפורש" על זכויות הנתבעת </w:t>
      </w:r>
      <w:r>
        <w:rPr>
          <w:rFonts w:ascii="David" w:hAnsi="David" w:cs="David"/>
          <w:b/>
          <w:bCs/>
          <w:sz w:val="24"/>
          <w:szCs w:val="24"/>
          <w:rtl/>
        </w:rPr>
        <w:t>ראו: ס' 1 לכתב ההגנה</w:t>
      </w:r>
      <w:r>
        <w:rPr>
          <w:rFonts w:ascii="David" w:hAnsi="David" w:cs="David"/>
          <w:sz w:val="24"/>
          <w:szCs w:val="24"/>
          <w:rtl/>
        </w:rPr>
        <w:t>.</w:t>
      </w:r>
    </w:p>
    <w:p w14:paraId="6C203146" w14:textId="77777777" w:rsidR="00D4005B" w:rsidRDefault="00D4005B" w:rsidP="00F244FF">
      <w:pPr>
        <w:spacing w:line="360" w:lineRule="auto"/>
        <w:jc w:val="both"/>
        <w:rPr>
          <w:rFonts w:ascii="David" w:hAnsi="David"/>
          <w:b/>
          <w:bCs/>
          <w:noProof w:val="0"/>
          <w:u w:val="single"/>
          <w:rtl/>
        </w:rPr>
      </w:pPr>
    </w:p>
    <w:p w14:paraId="2A0F4CF5" w14:textId="77777777" w:rsidR="00D4005B" w:rsidRDefault="00000000" w:rsidP="00F244FF">
      <w:pPr>
        <w:spacing w:line="360" w:lineRule="auto"/>
        <w:jc w:val="both"/>
        <w:rPr>
          <w:rFonts w:ascii="David" w:hAnsi="David"/>
          <w:b/>
          <w:bCs/>
          <w:noProof w:val="0"/>
          <w:u w:val="single"/>
          <w:rtl/>
        </w:rPr>
      </w:pPr>
      <w:r>
        <w:rPr>
          <w:rFonts w:ascii="David" w:hAnsi="David"/>
          <w:b/>
          <w:bCs/>
          <w:noProof w:val="0"/>
          <w:u w:val="single"/>
          <w:rtl/>
        </w:rPr>
        <w:t>דיון מיום 9.12.2024</w:t>
      </w:r>
    </w:p>
    <w:p w14:paraId="280816AA" w14:textId="77777777" w:rsidR="00D4005B" w:rsidRDefault="00D4005B" w:rsidP="00F244FF">
      <w:pPr>
        <w:spacing w:line="360" w:lineRule="auto"/>
        <w:jc w:val="both"/>
        <w:rPr>
          <w:rFonts w:ascii="David" w:hAnsi="David"/>
          <w:b/>
          <w:bCs/>
          <w:noProof w:val="0"/>
          <w:u w:val="single"/>
          <w:rtl/>
        </w:rPr>
      </w:pPr>
    </w:p>
    <w:p w14:paraId="595A526B"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t>בדיון שהתקיים ביום 9.12.2024 (להלן: "</w:t>
      </w:r>
      <w:r>
        <w:rPr>
          <w:rFonts w:ascii="David" w:hAnsi="David" w:cs="David"/>
          <w:b/>
          <w:bCs/>
          <w:sz w:val="24"/>
          <w:szCs w:val="24"/>
          <w:rtl/>
        </w:rPr>
        <w:t>הדיון</w:t>
      </w:r>
      <w:r>
        <w:rPr>
          <w:rFonts w:ascii="David" w:hAnsi="David" w:cs="David"/>
          <w:sz w:val="24"/>
          <w:szCs w:val="24"/>
          <w:rtl/>
        </w:rPr>
        <w:t>"), נחקרו הצדדים, ובאי כוח הצדדים סיכמו את טיעוניהם בעל-פה.</w:t>
      </w:r>
    </w:p>
    <w:p w14:paraId="7918CAD4" w14:textId="77777777" w:rsidR="00D4005B" w:rsidRDefault="00D4005B" w:rsidP="00F244FF">
      <w:pPr>
        <w:pStyle w:val="11"/>
        <w:spacing w:after="0" w:line="360" w:lineRule="auto"/>
        <w:ind w:left="357"/>
        <w:jc w:val="both"/>
        <w:rPr>
          <w:rFonts w:ascii="David" w:hAnsi="David" w:cs="David"/>
          <w:sz w:val="24"/>
          <w:szCs w:val="24"/>
        </w:rPr>
      </w:pPr>
    </w:p>
    <w:p w14:paraId="472A1FCD"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Pr>
      </w:pPr>
      <w:r>
        <w:rPr>
          <w:rFonts w:ascii="David" w:hAnsi="David" w:cs="David"/>
          <w:sz w:val="24"/>
          <w:szCs w:val="24"/>
          <w:rtl/>
        </w:rPr>
        <w:t>בתום הדיון נעשה ניסיון להביא את הצדדים להסכמות והוצעו הצעות לסיום ההליך, תוך הבעת דעה לגבי סיכויו, ואולם ניסיון זה לא נשא פרי.</w:t>
      </w:r>
    </w:p>
    <w:p w14:paraId="3612CDD2" w14:textId="77777777" w:rsidR="00D4005B" w:rsidRDefault="00D4005B" w:rsidP="00F244FF">
      <w:pPr>
        <w:spacing w:line="360" w:lineRule="auto"/>
        <w:jc w:val="both"/>
        <w:rPr>
          <w:rFonts w:ascii="David" w:hAnsi="David"/>
          <w:b/>
          <w:bCs/>
          <w:u w:val="single"/>
        </w:rPr>
      </w:pPr>
    </w:p>
    <w:p w14:paraId="0A6EBCAC" w14:textId="77777777" w:rsidR="00D4005B" w:rsidRDefault="00000000" w:rsidP="00F244FF">
      <w:pPr>
        <w:spacing w:line="360" w:lineRule="auto"/>
        <w:jc w:val="both"/>
        <w:rPr>
          <w:rFonts w:ascii="David" w:hAnsi="David"/>
          <w:b/>
          <w:bCs/>
          <w:noProof w:val="0"/>
          <w:u w:val="single"/>
          <w:rtl/>
        </w:rPr>
      </w:pPr>
      <w:r>
        <w:rPr>
          <w:rFonts w:ascii="David" w:hAnsi="David"/>
          <w:b/>
          <w:bCs/>
          <w:noProof w:val="0"/>
          <w:u w:val="single"/>
          <w:rtl/>
        </w:rPr>
        <w:t>הכרעה</w:t>
      </w:r>
    </w:p>
    <w:p w14:paraId="5548BB9E" w14:textId="77777777" w:rsidR="00D4005B" w:rsidRDefault="00D4005B" w:rsidP="00F244FF">
      <w:pPr>
        <w:spacing w:line="360" w:lineRule="auto"/>
        <w:jc w:val="both"/>
        <w:rPr>
          <w:rFonts w:ascii="David" w:hAnsi="David"/>
          <w:b/>
          <w:bCs/>
          <w:u w:val="single"/>
        </w:rPr>
      </w:pPr>
    </w:p>
    <w:p w14:paraId="625291E2"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Pr>
      </w:pPr>
      <w:r>
        <w:rPr>
          <w:rFonts w:ascii="David" w:hAnsi="David" w:cs="David"/>
          <w:sz w:val="24"/>
          <w:szCs w:val="24"/>
          <w:rtl/>
        </w:rPr>
        <w:t>לאחר עיון במלוא התשתית העובדתית והראייתית, הגעתי למסקנה כי יש לקבל את עמדת התובע ביחס לשתי הסוגיות שבמחלוקת.</w:t>
      </w:r>
    </w:p>
    <w:p w14:paraId="14B3841D" w14:textId="77777777" w:rsidR="00D4005B" w:rsidRDefault="00D4005B" w:rsidP="00F244FF">
      <w:pPr>
        <w:pStyle w:val="11"/>
        <w:spacing w:after="0" w:line="360" w:lineRule="auto"/>
        <w:ind w:left="357"/>
        <w:jc w:val="both"/>
        <w:rPr>
          <w:rFonts w:ascii="David" w:hAnsi="David" w:cs="David"/>
          <w:sz w:val="24"/>
          <w:szCs w:val="24"/>
        </w:rPr>
      </w:pPr>
    </w:p>
    <w:p w14:paraId="45E00D6C" w14:textId="77777777" w:rsidR="00D4005B" w:rsidRDefault="00000000" w:rsidP="00F244FF">
      <w:pPr>
        <w:spacing w:line="360" w:lineRule="auto"/>
        <w:jc w:val="both"/>
        <w:rPr>
          <w:rFonts w:ascii="David" w:hAnsi="David"/>
          <w:u w:val="single"/>
        </w:rPr>
      </w:pPr>
      <w:r>
        <w:rPr>
          <w:rFonts w:ascii="David" w:hAnsi="David"/>
          <w:noProof w:val="0"/>
          <w:u w:val="single"/>
          <w:rtl/>
        </w:rPr>
        <w:t>קביעת מועד הקרע</w:t>
      </w:r>
    </w:p>
    <w:p w14:paraId="3F6FCD9D" w14:textId="77777777" w:rsidR="00D4005B" w:rsidRDefault="00D4005B" w:rsidP="00F244FF">
      <w:pPr>
        <w:spacing w:line="360" w:lineRule="auto"/>
        <w:jc w:val="both"/>
        <w:rPr>
          <w:rFonts w:ascii="David" w:hAnsi="David"/>
          <w:noProof w:val="0"/>
          <w:rtl/>
        </w:rPr>
      </w:pPr>
    </w:p>
    <w:p w14:paraId="3F2FD0A9"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Pr>
      </w:pPr>
      <w:r>
        <w:rPr>
          <w:rFonts w:ascii="David" w:hAnsi="David" w:cs="David"/>
          <w:sz w:val="24"/>
          <w:szCs w:val="24"/>
          <w:rtl/>
        </w:rPr>
        <w:t>על-פי הפסיקה, "</w:t>
      </w:r>
      <w:r>
        <w:rPr>
          <w:rFonts w:ascii="David" w:hAnsi="David" w:cs="David"/>
          <w:i/>
          <w:iCs/>
          <w:sz w:val="24"/>
          <w:szCs w:val="24"/>
          <w:rtl/>
        </w:rPr>
        <w:t xml:space="preserve">מועד זה הוא המועד שבו מפסיקים בני-זוג לנהל קופה משותפת ושממנו ואילך </w:t>
      </w:r>
      <w:r w:rsidRPr="00F244FF">
        <w:rPr>
          <w:rFonts w:ascii="David" w:hAnsi="David" w:cs="David"/>
          <w:i/>
          <w:iCs/>
          <w:sz w:val="24"/>
          <w:szCs w:val="24"/>
          <w:rtl/>
        </w:rPr>
        <w:t>הם נוהגים לפי הכלל של "שלי-שלי ושלך-שלך</w:t>
      </w:r>
      <w:r w:rsidRPr="00F244FF">
        <w:rPr>
          <w:rFonts w:ascii="David" w:hAnsi="David" w:cs="David"/>
          <w:sz w:val="24"/>
          <w:szCs w:val="24"/>
          <w:rtl/>
        </w:rPr>
        <w:t xml:space="preserve">" – </w:t>
      </w:r>
      <w:r w:rsidRPr="00F244FF">
        <w:rPr>
          <w:rFonts w:ascii="David" w:hAnsi="David" w:cs="David"/>
          <w:b/>
          <w:bCs/>
          <w:sz w:val="24"/>
          <w:szCs w:val="24"/>
          <w:rtl/>
        </w:rPr>
        <w:t>ראו</w:t>
      </w:r>
      <w:r w:rsidRPr="00F244FF">
        <w:rPr>
          <w:rFonts w:ascii="David" w:hAnsi="David" w:cs="David"/>
          <w:sz w:val="24"/>
          <w:szCs w:val="24"/>
          <w:rtl/>
        </w:rPr>
        <w:t xml:space="preserve">: </w:t>
      </w:r>
      <w:hyperlink r:id="rId12" w:history="1">
        <w:r w:rsidR="004B54CC" w:rsidRPr="004B54CC">
          <w:rPr>
            <w:rFonts w:ascii="David" w:hAnsi="David" w:cs="David"/>
            <w:color w:val="0000FF"/>
            <w:sz w:val="24"/>
            <w:szCs w:val="24"/>
            <w:u w:val="single"/>
            <w:rtl/>
          </w:rPr>
          <w:t>ע"א 809/90</w:t>
        </w:r>
      </w:hyperlink>
      <w:r w:rsidRPr="00F244FF">
        <w:rPr>
          <w:rFonts w:ascii="David" w:hAnsi="David" w:cs="David"/>
          <w:sz w:val="24"/>
          <w:szCs w:val="24"/>
          <w:rtl/>
        </w:rPr>
        <w:t xml:space="preserve"> </w:t>
      </w:r>
      <w:r w:rsidRPr="00F244FF">
        <w:rPr>
          <w:rFonts w:ascii="David" w:hAnsi="David" w:cs="David"/>
          <w:b/>
          <w:bCs/>
          <w:sz w:val="24"/>
          <w:szCs w:val="24"/>
          <w:rtl/>
        </w:rPr>
        <w:t>לידאי נ' לידאי</w:t>
      </w:r>
      <w:r w:rsidRPr="00F244FF">
        <w:rPr>
          <w:rFonts w:ascii="David" w:hAnsi="David" w:cs="David"/>
          <w:sz w:val="24"/>
          <w:szCs w:val="24"/>
          <w:rtl/>
        </w:rPr>
        <w:t xml:space="preserve">, פ"ד מו(1) </w:t>
      </w:r>
      <w:r>
        <w:rPr>
          <w:rFonts w:ascii="David" w:hAnsi="David" w:cs="David"/>
          <w:sz w:val="24"/>
          <w:szCs w:val="24"/>
          <w:rtl/>
        </w:rPr>
        <w:t>602 (1992) (להלן: "</w:t>
      </w:r>
      <w:r>
        <w:rPr>
          <w:rFonts w:ascii="David" w:hAnsi="David" w:cs="David"/>
          <w:b/>
          <w:bCs/>
          <w:sz w:val="24"/>
          <w:szCs w:val="24"/>
          <w:rtl/>
        </w:rPr>
        <w:t>פסק דין לידאי</w:t>
      </w:r>
      <w:r>
        <w:rPr>
          <w:rFonts w:ascii="David" w:hAnsi="David" w:cs="David"/>
          <w:sz w:val="24"/>
          <w:szCs w:val="24"/>
          <w:rtl/>
        </w:rPr>
        <w:t xml:space="preserve">"). יצוין כי פסק דין לידאי דן בבני זוג, שלגביהם לא חל </w:t>
      </w:r>
      <w:hyperlink r:id="rId13" w:history="1">
        <w:r w:rsidR="004B54CC" w:rsidRPr="004B54CC">
          <w:rPr>
            <w:rFonts w:ascii="David" w:hAnsi="David" w:cs="David"/>
            <w:color w:val="0000FF"/>
            <w:sz w:val="24"/>
            <w:szCs w:val="24"/>
            <w:u w:val="single"/>
            <w:rtl/>
          </w:rPr>
          <w:t>חוק יחסי ממון</w:t>
        </w:r>
      </w:hyperlink>
      <w:r>
        <w:rPr>
          <w:rFonts w:ascii="David" w:hAnsi="David" w:cs="David"/>
          <w:sz w:val="24"/>
          <w:szCs w:val="24"/>
          <w:rtl/>
        </w:rPr>
        <w:t xml:space="preserve">, ואולם העיקרון שנקבע בו יפה ונכון גם ביחס לבני זוג שעליהם חלות הוראות חוק יחסי ממון – </w:t>
      </w:r>
      <w:r>
        <w:rPr>
          <w:rFonts w:ascii="David" w:hAnsi="David" w:cs="David"/>
          <w:b/>
          <w:bCs/>
          <w:sz w:val="24"/>
          <w:szCs w:val="24"/>
          <w:rtl/>
        </w:rPr>
        <w:t>ראו</w:t>
      </w:r>
      <w:r>
        <w:rPr>
          <w:rFonts w:ascii="David" w:hAnsi="David" w:cs="David"/>
          <w:sz w:val="24"/>
          <w:szCs w:val="24"/>
          <w:rtl/>
        </w:rPr>
        <w:t xml:space="preserve">: </w:t>
      </w:r>
      <w:hyperlink r:id="rId14" w:history="1">
        <w:r w:rsidR="004B54CC" w:rsidRPr="004B54CC">
          <w:rPr>
            <w:rFonts w:ascii="David" w:hAnsi="David" w:cs="David"/>
            <w:color w:val="0000FF"/>
            <w:sz w:val="24"/>
            <w:szCs w:val="24"/>
            <w:u w:val="single"/>
            <w:rtl/>
          </w:rPr>
          <w:t>תלה"מ 39735-12-19</w:t>
        </w:r>
      </w:hyperlink>
      <w:r>
        <w:rPr>
          <w:rFonts w:ascii="David" w:hAnsi="David" w:cs="David"/>
          <w:sz w:val="24"/>
          <w:szCs w:val="24"/>
          <w:rtl/>
        </w:rPr>
        <w:t xml:space="preserve"> </w:t>
      </w:r>
      <w:r>
        <w:rPr>
          <w:rFonts w:ascii="David" w:hAnsi="David" w:cs="David"/>
          <w:b/>
          <w:bCs/>
          <w:sz w:val="24"/>
          <w:szCs w:val="24"/>
          <w:rtl/>
        </w:rPr>
        <w:t>פלונית נ' פלוני</w:t>
      </w:r>
      <w:r>
        <w:rPr>
          <w:rFonts w:ascii="David" w:hAnsi="David" w:cs="David"/>
          <w:sz w:val="24"/>
          <w:szCs w:val="24"/>
          <w:rtl/>
        </w:rPr>
        <w:t xml:space="preserve"> </w:t>
      </w:r>
      <w:r w:rsidR="00445A02">
        <w:rPr>
          <w:rFonts w:ascii="David" w:hAnsi="David" w:cs="David"/>
          <w:sz w:val="24"/>
          <w:szCs w:val="24"/>
          <w:rtl/>
        </w:rPr>
        <w:t>[נבו]</w:t>
      </w:r>
      <w:r w:rsidR="00445A02">
        <w:rPr>
          <w:rFonts w:ascii="David" w:hAnsi="David" w:cs="David" w:hint="cs"/>
          <w:sz w:val="24"/>
          <w:szCs w:val="24"/>
          <w:rtl/>
        </w:rPr>
        <w:t xml:space="preserve"> </w:t>
      </w:r>
      <w:r>
        <w:rPr>
          <w:rFonts w:ascii="David" w:hAnsi="David" w:cs="David"/>
          <w:sz w:val="24"/>
          <w:szCs w:val="24"/>
          <w:rtl/>
        </w:rPr>
        <w:t>(14.10.2022).</w:t>
      </w:r>
    </w:p>
    <w:p w14:paraId="2864A7F5" w14:textId="77777777" w:rsidR="00D4005B" w:rsidRDefault="00D4005B" w:rsidP="00F244FF">
      <w:pPr>
        <w:pStyle w:val="11"/>
        <w:spacing w:after="0" w:line="360" w:lineRule="auto"/>
        <w:ind w:left="357"/>
        <w:jc w:val="both"/>
        <w:rPr>
          <w:rFonts w:ascii="David" w:hAnsi="David" w:cs="David"/>
          <w:sz w:val="24"/>
          <w:szCs w:val="24"/>
        </w:rPr>
      </w:pPr>
    </w:p>
    <w:p w14:paraId="388C1D33"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Pr>
      </w:pPr>
      <w:r>
        <w:rPr>
          <w:rFonts w:ascii="David" w:hAnsi="David" w:cs="David"/>
          <w:sz w:val="24"/>
          <w:szCs w:val="24"/>
          <w:rtl/>
        </w:rPr>
        <w:t xml:space="preserve">בעת קביעת מועד הקרע, המטרה היא לאתר את נקודת הזמן, שבה הפסיקו בני הזוג לנהל קופה משותפת, ומועד זה הוא הקובע כי תמו יחסי השיתוף בין הצדדים – </w:t>
      </w:r>
      <w:r>
        <w:rPr>
          <w:rFonts w:ascii="David" w:hAnsi="David" w:cs="David"/>
          <w:b/>
          <w:bCs/>
          <w:sz w:val="24"/>
          <w:szCs w:val="24"/>
          <w:rtl/>
        </w:rPr>
        <w:t>ראו</w:t>
      </w:r>
      <w:r>
        <w:rPr>
          <w:rFonts w:ascii="David" w:hAnsi="David" w:cs="David"/>
          <w:sz w:val="24"/>
          <w:szCs w:val="24"/>
          <w:rtl/>
        </w:rPr>
        <w:t xml:space="preserve">: </w:t>
      </w:r>
      <w:hyperlink r:id="rId15" w:history="1">
        <w:r w:rsidR="004B54CC" w:rsidRPr="004B54CC">
          <w:rPr>
            <w:rFonts w:ascii="David" w:hAnsi="David" w:cs="David"/>
            <w:color w:val="0000FF"/>
            <w:sz w:val="24"/>
            <w:szCs w:val="24"/>
            <w:u w:val="single"/>
            <w:rtl/>
          </w:rPr>
          <w:t>תלה"מ 34713-04-20</w:t>
        </w:r>
      </w:hyperlink>
      <w:r>
        <w:rPr>
          <w:rFonts w:ascii="David" w:hAnsi="David" w:cs="David"/>
          <w:sz w:val="24"/>
          <w:szCs w:val="24"/>
          <w:rtl/>
        </w:rPr>
        <w:t xml:space="preserve"> </w:t>
      </w:r>
      <w:r>
        <w:rPr>
          <w:rFonts w:ascii="David" w:hAnsi="David" w:cs="David"/>
          <w:b/>
          <w:bCs/>
          <w:sz w:val="24"/>
          <w:szCs w:val="24"/>
          <w:rtl/>
        </w:rPr>
        <w:t>א.ב. נ' ש.ב.</w:t>
      </w:r>
      <w:r>
        <w:rPr>
          <w:rFonts w:ascii="David" w:hAnsi="David" w:cs="David"/>
          <w:sz w:val="24"/>
          <w:szCs w:val="24"/>
          <w:rtl/>
        </w:rPr>
        <w:t xml:space="preserve"> </w:t>
      </w:r>
      <w:r w:rsidR="00445A02">
        <w:rPr>
          <w:rFonts w:ascii="David" w:hAnsi="David" w:cs="David"/>
          <w:sz w:val="24"/>
          <w:szCs w:val="24"/>
          <w:rtl/>
        </w:rPr>
        <w:t>[נבו]</w:t>
      </w:r>
      <w:r w:rsidR="00445A02">
        <w:rPr>
          <w:rFonts w:ascii="David" w:hAnsi="David" w:cs="David" w:hint="cs"/>
          <w:sz w:val="24"/>
          <w:szCs w:val="24"/>
          <w:rtl/>
        </w:rPr>
        <w:t xml:space="preserve"> </w:t>
      </w:r>
      <w:r>
        <w:rPr>
          <w:rFonts w:ascii="David" w:hAnsi="David" w:cs="David"/>
          <w:sz w:val="24"/>
          <w:szCs w:val="24"/>
          <w:rtl/>
        </w:rPr>
        <w:t>(7.2.2023).</w:t>
      </w:r>
    </w:p>
    <w:p w14:paraId="7248F408" w14:textId="77777777" w:rsidR="00D4005B" w:rsidRDefault="00D4005B" w:rsidP="00F244FF">
      <w:pPr>
        <w:pStyle w:val="11"/>
        <w:spacing w:line="360" w:lineRule="auto"/>
        <w:rPr>
          <w:rFonts w:ascii="David" w:hAnsi="David" w:cs="David"/>
          <w:sz w:val="24"/>
          <w:szCs w:val="24"/>
        </w:rPr>
      </w:pPr>
    </w:p>
    <w:p w14:paraId="73C6D42F"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t xml:space="preserve">הנתבעת טענה בסיכומים כי ייתכנו מספר מישורים למועד הקרע: " ... קרע זוגי , כלכלי, וקרע פיזי וזה היה היציאה מהבית. לבית משפט יש את השיקול לבחון את הדברים לכל מקרה וגופו" – </w:t>
      </w:r>
      <w:r>
        <w:rPr>
          <w:rFonts w:ascii="David" w:hAnsi="David" w:cs="David"/>
          <w:b/>
          <w:bCs/>
          <w:sz w:val="24"/>
          <w:szCs w:val="24"/>
          <w:rtl/>
        </w:rPr>
        <w:t>ראו: פרוט' עמ' 22 ש' 12-14</w:t>
      </w:r>
      <w:r>
        <w:rPr>
          <w:rFonts w:ascii="David" w:hAnsi="David" w:cs="David"/>
          <w:sz w:val="24"/>
          <w:szCs w:val="24"/>
          <w:rtl/>
        </w:rPr>
        <w:t xml:space="preserve">. </w:t>
      </w:r>
    </w:p>
    <w:p w14:paraId="2DC703E4" w14:textId="77777777" w:rsidR="00D4005B" w:rsidRDefault="00D4005B" w:rsidP="00F244FF">
      <w:pPr>
        <w:pStyle w:val="11"/>
        <w:spacing w:line="360" w:lineRule="auto"/>
        <w:rPr>
          <w:rFonts w:ascii="David" w:hAnsi="David" w:cs="David"/>
          <w:sz w:val="24"/>
          <w:szCs w:val="24"/>
          <w:rtl/>
        </w:rPr>
      </w:pPr>
    </w:p>
    <w:p w14:paraId="46ECFC32" w14:textId="77777777" w:rsidR="00D4005B" w:rsidRDefault="00000000" w:rsidP="00F244FF">
      <w:pPr>
        <w:pStyle w:val="11"/>
        <w:numPr>
          <w:ilvl w:val="0"/>
          <w:numId w:val="1"/>
        </w:numPr>
        <w:spacing w:after="0" w:line="360" w:lineRule="auto"/>
        <w:ind w:left="357" w:hanging="357"/>
        <w:jc w:val="both"/>
        <w:rPr>
          <w:rFonts w:ascii="David" w:hAnsi="David" w:cs="David"/>
          <w:i/>
          <w:iCs/>
          <w:sz w:val="24"/>
          <w:szCs w:val="24"/>
          <w:rtl/>
        </w:rPr>
      </w:pPr>
      <w:r>
        <w:rPr>
          <w:rFonts w:ascii="David" w:hAnsi="David" w:cs="David"/>
          <w:sz w:val="24"/>
          <w:szCs w:val="24"/>
          <w:rtl/>
        </w:rPr>
        <w:t>אכן, על-פי הפסיקה, ניתן לאבחן את מועד הקרע "</w:t>
      </w:r>
      <w:r>
        <w:rPr>
          <w:rFonts w:ascii="David" w:hAnsi="David" w:cs="David"/>
          <w:i/>
          <w:iCs/>
          <w:sz w:val="24"/>
          <w:szCs w:val="24"/>
          <w:rtl/>
        </w:rPr>
        <w:t>במספר מישורים:</w:t>
      </w:r>
    </w:p>
    <w:p w14:paraId="0C93F71D" w14:textId="77777777" w:rsidR="00D4005B" w:rsidRDefault="00D4005B" w:rsidP="00F244FF">
      <w:pPr>
        <w:spacing w:line="360" w:lineRule="auto"/>
        <w:ind w:left="466" w:hanging="466"/>
        <w:rPr>
          <w:rFonts w:ascii="David" w:hAnsi="David"/>
          <w:i/>
          <w:iCs/>
        </w:rPr>
      </w:pPr>
    </w:p>
    <w:p w14:paraId="237BCB0F" w14:textId="77777777" w:rsidR="00D4005B" w:rsidRDefault="00000000" w:rsidP="00F244FF">
      <w:pPr>
        <w:spacing w:line="360" w:lineRule="auto"/>
        <w:ind w:firstLine="357"/>
        <w:jc w:val="both"/>
        <w:rPr>
          <w:rFonts w:ascii="David" w:hAnsi="David"/>
          <w:i/>
          <w:iCs/>
          <w:noProof w:val="0"/>
          <w:rtl/>
        </w:rPr>
      </w:pPr>
      <w:r>
        <w:rPr>
          <w:rFonts w:ascii="David" w:hAnsi="David"/>
          <w:i/>
          <w:iCs/>
          <w:noProof w:val="0"/>
          <w:rtl/>
        </w:rPr>
        <w:t>קרע פיזי – ובכלל זה יציאה מבית המגורים, הפרדת מגורים, נקיטה בהליכים משפטיים.</w:t>
      </w:r>
    </w:p>
    <w:p w14:paraId="5F29C8C7" w14:textId="77777777" w:rsidR="00D4005B" w:rsidRDefault="00000000" w:rsidP="00F244FF">
      <w:pPr>
        <w:pStyle w:val="11"/>
        <w:spacing w:after="0" w:line="360" w:lineRule="auto"/>
        <w:ind w:left="357"/>
        <w:jc w:val="both"/>
        <w:rPr>
          <w:rFonts w:ascii="David" w:hAnsi="David" w:cs="David"/>
          <w:i/>
          <w:iCs/>
          <w:sz w:val="24"/>
          <w:szCs w:val="24"/>
          <w:rtl/>
        </w:rPr>
      </w:pPr>
      <w:r>
        <w:rPr>
          <w:rFonts w:ascii="David" w:hAnsi="David" w:cs="David"/>
          <w:i/>
          <w:iCs/>
          <w:sz w:val="24"/>
          <w:szCs w:val="24"/>
          <w:rtl/>
        </w:rPr>
        <w:t>קרע כלכלי – ובכלל זה הפסקת ניהול משק הבית במשותף.</w:t>
      </w:r>
    </w:p>
    <w:p w14:paraId="61085B53" w14:textId="77777777" w:rsidR="00D4005B" w:rsidRDefault="00000000" w:rsidP="00F244FF">
      <w:pPr>
        <w:pStyle w:val="11"/>
        <w:spacing w:after="0" w:line="360" w:lineRule="auto"/>
        <w:ind w:left="357"/>
        <w:jc w:val="both"/>
        <w:rPr>
          <w:rFonts w:ascii="David" w:hAnsi="David" w:cs="David"/>
          <w:i/>
          <w:iCs/>
          <w:sz w:val="24"/>
          <w:szCs w:val="24"/>
          <w:rtl/>
        </w:rPr>
      </w:pPr>
      <w:r>
        <w:rPr>
          <w:rFonts w:ascii="David" w:hAnsi="David" w:cs="David"/>
          <w:i/>
          <w:iCs/>
          <w:sz w:val="24"/>
          <w:szCs w:val="24"/>
          <w:rtl/>
        </w:rPr>
        <w:t>קרע זוגי – ובכלל זה הפרת נאמנות מצד בן הזוג, אלימות בין בני הזוג, הגשת תלונה במשטרה על אלימות ועוד.</w:t>
      </w:r>
    </w:p>
    <w:p w14:paraId="18A4619C" w14:textId="77777777" w:rsidR="00D4005B" w:rsidRPr="00F244FF" w:rsidRDefault="00000000" w:rsidP="00F244FF">
      <w:pPr>
        <w:pStyle w:val="11"/>
        <w:spacing w:after="0" w:line="360" w:lineRule="auto"/>
        <w:ind w:left="357"/>
        <w:jc w:val="both"/>
        <w:rPr>
          <w:rFonts w:ascii="David" w:hAnsi="David" w:cs="David"/>
          <w:sz w:val="24"/>
          <w:szCs w:val="24"/>
          <w:rtl/>
        </w:rPr>
      </w:pPr>
      <w:r>
        <w:rPr>
          <w:rFonts w:ascii="David" w:hAnsi="David" w:cs="David"/>
          <w:b/>
          <w:bCs/>
          <w:i/>
          <w:iCs/>
          <w:sz w:val="24"/>
          <w:szCs w:val="24"/>
          <w:rtl/>
        </w:rPr>
        <w:t>לבית המשפט שיקול דעת בנדון, בהתאם לנסיבות המקרה שבפניו</w:t>
      </w:r>
      <w:r>
        <w:rPr>
          <w:rFonts w:ascii="David" w:hAnsi="David" w:cs="David"/>
          <w:sz w:val="24"/>
          <w:szCs w:val="24"/>
          <w:rtl/>
        </w:rPr>
        <w:t xml:space="preserve">". [ההדגשה לא במקור – פ"ג] </w:t>
      </w:r>
      <w:r w:rsidRPr="00F244FF">
        <w:rPr>
          <w:rFonts w:ascii="David" w:hAnsi="David" w:cs="David"/>
          <w:b/>
          <w:bCs/>
          <w:sz w:val="24"/>
          <w:szCs w:val="24"/>
          <w:rtl/>
        </w:rPr>
        <w:t>ראו</w:t>
      </w:r>
      <w:r w:rsidRPr="00F244FF">
        <w:rPr>
          <w:rFonts w:ascii="David" w:hAnsi="David" w:cs="David"/>
          <w:sz w:val="24"/>
          <w:szCs w:val="24"/>
          <w:rtl/>
        </w:rPr>
        <w:t xml:space="preserve">: </w:t>
      </w:r>
      <w:hyperlink r:id="rId16" w:history="1">
        <w:r w:rsidR="004B54CC" w:rsidRPr="004B54CC">
          <w:rPr>
            <w:rFonts w:ascii="David" w:hAnsi="David" w:cs="David"/>
            <w:color w:val="0000FF"/>
            <w:sz w:val="24"/>
            <w:szCs w:val="24"/>
            <w:u w:val="single"/>
            <w:rtl/>
          </w:rPr>
          <w:t>עמ"ש 23541-01-17</w:t>
        </w:r>
      </w:hyperlink>
      <w:r w:rsidRPr="00F244FF">
        <w:rPr>
          <w:rFonts w:ascii="David" w:hAnsi="David" w:cs="David"/>
          <w:sz w:val="24"/>
          <w:szCs w:val="24"/>
          <w:rtl/>
        </w:rPr>
        <w:t xml:space="preserve"> </w:t>
      </w:r>
      <w:r w:rsidRPr="00F244FF">
        <w:rPr>
          <w:rFonts w:ascii="David" w:hAnsi="David" w:cs="David"/>
          <w:b/>
          <w:bCs/>
          <w:sz w:val="24"/>
          <w:szCs w:val="24"/>
          <w:rtl/>
        </w:rPr>
        <w:t>פלונית נ' פלוני</w:t>
      </w:r>
      <w:r w:rsidRPr="00F244FF">
        <w:rPr>
          <w:rFonts w:ascii="David" w:hAnsi="David" w:cs="David"/>
          <w:sz w:val="24"/>
          <w:szCs w:val="24"/>
          <w:rtl/>
        </w:rPr>
        <w:t xml:space="preserve"> </w:t>
      </w:r>
      <w:r w:rsidR="00445A02">
        <w:rPr>
          <w:rFonts w:ascii="David" w:hAnsi="David" w:cs="David"/>
          <w:sz w:val="24"/>
          <w:szCs w:val="24"/>
          <w:rtl/>
        </w:rPr>
        <w:t>[נבו]</w:t>
      </w:r>
      <w:r w:rsidR="00445A02">
        <w:rPr>
          <w:rFonts w:ascii="David" w:hAnsi="David" w:cs="David" w:hint="cs"/>
          <w:sz w:val="24"/>
          <w:szCs w:val="24"/>
          <w:rtl/>
        </w:rPr>
        <w:t xml:space="preserve"> </w:t>
      </w:r>
      <w:r w:rsidRPr="00F244FF">
        <w:rPr>
          <w:rFonts w:ascii="David" w:hAnsi="David" w:cs="David"/>
          <w:sz w:val="24"/>
          <w:szCs w:val="24"/>
          <w:rtl/>
        </w:rPr>
        <w:t xml:space="preserve">(9.8.2017); </w:t>
      </w:r>
      <w:hyperlink r:id="rId17" w:history="1">
        <w:r w:rsidR="004B54CC" w:rsidRPr="004B54CC">
          <w:rPr>
            <w:rFonts w:ascii="David" w:hAnsi="David" w:cs="David"/>
            <w:color w:val="0000FF"/>
            <w:sz w:val="24"/>
            <w:szCs w:val="24"/>
            <w:u w:val="single"/>
            <w:rtl/>
          </w:rPr>
          <w:t>רמ"ש 51249-10-21</w:t>
        </w:r>
      </w:hyperlink>
      <w:r w:rsidRPr="00F244FF">
        <w:rPr>
          <w:rFonts w:ascii="David" w:hAnsi="David" w:cs="David"/>
          <w:sz w:val="24"/>
          <w:szCs w:val="24"/>
          <w:rtl/>
        </w:rPr>
        <w:t xml:space="preserve"> </w:t>
      </w:r>
      <w:r w:rsidRPr="00F244FF">
        <w:rPr>
          <w:rFonts w:ascii="David" w:hAnsi="David" w:cs="David"/>
          <w:b/>
          <w:bCs/>
          <w:sz w:val="24"/>
          <w:szCs w:val="24"/>
          <w:rtl/>
        </w:rPr>
        <w:t>מ.י נ' כ.י</w:t>
      </w:r>
      <w:r w:rsidRPr="00F244FF">
        <w:rPr>
          <w:rFonts w:ascii="David" w:hAnsi="David" w:cs="David"/>
          <w:sz w:val="24"/>
          <w:szCs w:val="24"/>
          <w:rtl/>
        </w:rPr>
        <w:t xml:space="preserve"> </w:t>
      </w:r>
      <w:r w:rsidR="00445A02">
        <w:rPr>
          <w:rFonts w:ascii="David" w:hAnsi="David" w:cs="David"/>
          <w:sz w:val="24"/>
          <w:szCs w:val="24"/>
          <w:rtl/>
        </w:rPr>
        <w:t>[נבו]</w:t>
      </w:r>
      <w:r w:rsidR="00445A02">
        <w:rPr>
          <w:rFonts w:ascii="David" w:hAnsi="David" w:cs="David" w:hint="cs"/>
          <w:sz w:val="24"/>
          <w:szCs w:val="24"/>
          <w:rtl/>
        </w:rPr>
        <w:t xml:space="preserve"> </w:t>
      </w:r>
      <w:r w:rsidRPr="00F244FF">
        <w:rPr>
          <w:rFonts w:ascii="David" w:hAnsi="David" w:cs="David"/>
          <w:sz w:val="24"/>
          <w:szCs w:val="24"/>
          <w:rtl/>
        </w:rPr>
        <w:t>(15.11.2021).</w:t>
      </w:r>
    </w:p>
    <w:p w14:paraId="75416B12" w14:textId="77777777" w:rsidR="00D4005B" w:rsidRDefault="00D4005B" w:rsidP="00F244FF">
      <w:pPr>
        <w:pStyle w:val="11"/>
        <w:spacing w:after="0" w:line="360" w:lineRule="auto"/>
        <w:ind w:left="357"/>
        <w:rPr>
          <w:rFonts w:ascii="David" w:hAnsi="David" w:cs="David"/>
          <w:sz w:val="24"/>
          <w:szCs w:val="24"/>
          <w:rtl/>
        </w:rPr>
      </w:pPr>
    </w:p>
    <w:p w14:paraId="69B583BA"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Pr>
      </w:pPr>
      <w:r>
        <w:rPr>
          <w:rFonts w:ascii="David" w:hAnsi="David" w:cs="David"/>
          <w:sz w:val="24"/>
          <w:szCs w:val="24"/>
          <w:rtl/>
        </w:rPr>
        <w:t xml:space="preserve">עיון בתשתית הראייתית מוביל למסקנה כי השיתוף הכלכלי בין הצדדים נמשך עד לשנת 2020 – המועד שבו עזבה הנתבעת את הבית ויצאה מהחשבון המשותף. עובדות אלה מוצגות, בין היתר, בסיכומי התובע </w:t>
      </w:r>
      <w:r>
        <w:rPr>
          <w:rFonts w:ascii="David" w:hAnsi="David" w:cs="David"/>
          <w:b/>
          <w:bCs/>
          <w:sz w:val="24"/>
          <w:szCs w:val="24"/>
          <w:rtl/>
        </w:rPr>
        <w:t xml:space="preserve">ראו: פרוט' עמ' 21 ש' 9 עד לפרוט' עמ' 22 ש' 4, </w:t>
      </w:r>
      <w:r>
        <w:rPr>
          <w:rFonts w:ascii="David" w:hAnsi="David" w:cs="David"/>
          <w:sz w:val="24"/>
          <w:szCs w:val="24"/>
          <w:rtl/>
        </w:rPr>
        <w:t>כדלהלן:</w:t>
      </w:r>
    </w:p>
    <w:p w14:paraId="738B6FE0" w14:textId="77777777" w:rsidR="00D4005B" w:rsidRDefault="00D4005B" w:rsidP="00F244FF">
      <w:pPr>
        <w:pStyle w:val="11"/>
        <w:spacing w:after="0" w:line="360" w:lineRule="auto"/>
        <w:ind w:left="357"/>
        <w:jc w:val="both"/>
        <w:rPr>
          <w:rFonts w:ascii="David" w:hAnsi="David" w:cs="David"/>
          <w:sz w:val="24"/>
          <w:szCs w:val="24"/>
        </w:rPr>
      </w:pPr>
    </w:p>
    <w:p w14:paraId="474FE780" w14:textId="77777777" w:rsidR="00D4005B" w:rsidRDefault="00000000" w:rsidP="00F244FF">
      <w:pPr>
        <w:pStyle w:val="11"/>
        <w:numPr>
          <w:ilvl w:val="0"/>
          <w:numId w:val="4"/>
        </w:numPr>
        <w:spacing w:after="0" w:line="360" w:lineRule="auto"/>
        <w:jc w:val="both"/>
        <w:rPr>
          <w:rFonts w:ascii="David" w:hAnsi="David" w:cs="David"/>
          <w:sz w:val="24"/>
          <w:szCs w:val="24"/>
          <w:rtl/>
        </w:rPr>
      </w:pPr>
      <w:r>
        <w:rPr>
          <w:rFonts w:ascii="David" w:hAnsi="David" w:cs="David"/>
          <w:sz w:val="24"/>
          <w:szCs w:val="24"/>
          <w:rtl/>
        </w:rPr>
        <w:t xml:space="preserve">הצדדים המשיכו להיות שותפים בחשבון המשותף עד ליציאת הנתבעת ממנו ביום 26.7.2020 – </w:t>
      </w:r>
      <w:r>
        <w:rPr>
          <w:rFonts w:ascii="David" w:hAnsi="David" w:cs="David"/>
          <w:b/>
          <w:bCs/>
          <w:sz w:val="24"/>
          <w:szCs w:val="24"/>
          <w:rtl/>
        </w:rPr>
        <w:t>ראו: ס' 12 לכתב התביעה, ס' 32-33 לכתב ההגנה</w:t>
      </w:r>
      <w:r>
        <w:rPr>
          <w:rFonts w:ascii="David" w:hAnsi="David" w:cs="David"/>
          <w:sz w:val="24"/>
          <w:szCs w:val="24"/>
          <w:rtl/>
        </w:rPr>
        <w:t xml:space="preserve">, </w:t>
      </w:r>
      <w:r>
        <w:rPr>
          <w:rFonts w:ascii="David" w:hAnsi="David" w:cs="David"/>
          <w:b/>
          <w:bCs/>
          <w:sz w:val="24"/>
          <w:szCs w:val="24"/>
          <w:rtl/>
        </w:rPr>
        <w:t>פרוט' עמ' 15 ש' 3-4</w:t>
      </w:r>
      <w:r>
        <w:rPr>
          <w:rFonts w:ascii="David" w:hAnsi="David" w:cs="David"/>
          <w:sz w:val="24"/>
          <w:szCs w:val="24"/>
          <w:rtl/>
        </w:rPr>
        <w:t xml:space="preserve">. הנתבעת הודתה כי לא יצאה מהחשבון המשותף בשנת 2001, משום שהייתה צריכה למשוך כספים בעבור ילדי הצדדים – </w:t>
      </w:r>
      <w:r>
        <w:rPr>
          <w:rFonts w:ascii="David" w:hAnsi="David" w:cs="David"/>
          <w:b/>
          <w:bCs/>
          <w:sz w:val="24"/>
          <w:szCs w:val="24"/>
          <w:rtl/>
        </w:rPr>
        <w:t>ראו: פרוט' עמ' 15 ש' 35 עד עמ' 16 ש' 2</w:t>
      </w:r>
      <w:r>
        <w:rPr>
          <w:rFonts w:ascii="David" w:hAnsi="David" w:cs="David"/>
          <w:sz w:val="24"/>
          <w:szCs w:val="24"/>
          <w:rtl/>
        </w:rPr>
        <w:t>.</w:t>
      </w:r>
    </w:p>
    <w:p w14:paraId="5F70EE8B" w14:textId="77777777" w:rsidR="00D4005B" w:rsidRDefault="00D4005B" w:rsidP="00F244FF">
      <w:pPr>
        <w:pStyle w:val="11"/>
        <w:spacing w:after="0" w:line="360" w:lineRule="auto"/>
        <w:ind w:left="357"/>
        <w:jc w:val="both"/>
        <w:rPr>
          <w:rFonts w:ascii="David" w:hAnsi="David" w:cs="David"/>
          <w:sz w:val="24"/>
          <w:szCs w:val="24"/>
          <w:rtl/>
        </w:rPr>
      </w:pPr>
    </w:p>
    <w:p w14:paraId="0A7C2A8F" w14:textId="77777777" w:rsidR="00D4005B" w:rsidRDefault="00000000" w:rsidP="00F244FF">
      <w:pPr>
        <w:pStyle w:val="11"/>
        <w:numPr>
          <w:ilvl w:val="0"/>
          <w:numId w:val="4"/>
        </w:numPr>
        <w:spacing w:after="0" w:line="360" w:lineRule="auto"/>
        <w:jc w:val="both"/>
        <w:rPr>
          <w:rFonts w:ascii="David" w:hAnsi="David" w:cs="David"/>
          <w:sz w:val="24"/>
          <w:szCs w:val="24"/>
          <w:rtl/>
        </w:rPr>
      </w:pPr>
      <w:r>
        <w:rPr>
          <w:rFonts w:ascii="David" w:hAnsi="David" w:cs="David"/>
          <w:sz w:val="24"/>
          <w:szCs w:val="24"/>
          <w:rtl/>
        </w:rPr>
        <w:t xml:space="preserve">התובע המשיך להפקיד את הכנסותיו לחשבון המשותף, עד לעזיבת הנתבעת את הבית – </w:t>
      </w:r>
      <w:r>
        <w:rPr>
          <w:rFonts w:ascii="David" w:hAnsi="David" w:cs="David"/>
          <w:b/>
          <w:bCs/>
          <w:sz w:val="24"/>
          <w:szCs w:val="24"/>
          <w:rtl/>
        </w:rPr>
        <w:t>ראו: פרוט' עמ' 15 ש' 7-8</w:t>
      </w:r>
      <w:r>
        <w:rPr>
          <w:rFonts w:ascii="David" w:hAnsi="David" w:cs="David"/>
          <w:sz w:val="24"/>
          <w:szCs w:val="24"/>
          <w:rtl/>
        </w:rPr>
        <w:t xml:space="preserve">, וליתן לה כספים במזומן, שהתקבלו מהכנסותיו כעצמאי – </w:t>
      </w:r>
      <w:r>
        <w:rPr>
          <w:rFonts w:ascii="David" w:hAnsi="David" w:cs="David"/>
          <w:b/>
          <w:bCs/>
          <w:sz w:val="24"/>
          <w:szCs w:val="24"/>
          <w:rtl/>
        </w:rPr>
        <w:t>ראו: ס' 4 ו-9 לכתב התביעה, פרוט' עמ' 15 ש' 7-12</w:t>
      </w:r>
      <w:r>
        <w:rPr>
          <w:rFonts w:ascii="David" w:hAnsi="David" w:cs="David"/>
          <w:sz w:val="24"/>
          <w:szCs w:val="24"/>
          <w:rtl/>
        </w:rPr>
        <w:t xml:space="preserve">, </w:t>
      </w:r>
      <w:r>
        <w:rPr>
          <w:rFonts w:ascii="David" w:hAnsi="David" w:cs="David"/>
          <w:b/>
          <w:bCs/>
          <w:sz w:val="24"/>
          <w:szCs w:val="24"/>
          <w:rtl/>
        </w:rPr>
        <w:t>פרוט' בהליך הקודם עמ' 6 ש' 9-10</w:t>
      </w:r>
      <w:r>
        <w:rPr>
          <w:rFonts w:ascii="David" w:hAnsi="David" w:cs="David"/>
          <w:sz w:val="24"/>
          <w:szCs w:val="24"/>
          <w:rtl/>
        </w:rPr>
        <w:t xml:space="preserve">. כספים אלה הופקדו על ידי הנתבעת לחשבונה, לצורך כלכלה ומחייה – </w:t>
      </w:r>
      <w:r>
        <w:rPr>
          <w:rFonts w:ascii="David" w:hAnsi="David" w:cs="David"/>
          <w:b/>
          <w:bCs/>
          <w:sz w:val="24"/>
          <w:szCs w:val="24"/>
          <w:rtl/>
        </w:rPr>
        <w:t>ראו: פרוט' עמ' 17 ש' 8-9</w:t>
      </w:r>
      <w:r>
        <w:rPr>
          <w:rFonts w:ascii="David" w:hAnsi="David" w:cs="David"/>
          <w:sz w:val="24"/>
          <w:szCs w:val="24"/>
          <w:rtl/>
        </w:rPr>
        <w:t xml:space="preserve">, </w:t>
      </w:r>
      <w:r>
        <w:rPr>
          <w:rFonts w:ascii="David" w:hAnsi="David" w:cs="David"/>
          <w:b/>
          <w:bCs/>
          <w:sz w:val="24"/>
          <w:szCs w:val="24"/>
          <w:rtl/>
        </w:rPr>
        <w:t>פרוט' בהליך הקודם עמ' 7 ש' 16-17</w:t>
      </w:r>
      <w:r>
        <w:rPr>
          <w:rFonts w:ascii="David" w:hAnsi="David" w:cs="David"/>
          <w:sz w:val="24"/>
          <w:szCs w:val="24"/>
          <w:rtl/>
        </w:rPr>
        <w:t>.</w:t>
      </w:r>
    </w:p>
    <w:p w14:paraId="58795E2E" w14:textId="77777777" w:rsidR="00D4005B" w:rsidRDefault="00D4005B" w:rsidP="00F244FF">
      <w:pPr>
        <w:pStyle w:val="11"/>
        <w:spacing w:after="0" w:line="360" w:lineRule="auto"/>
        <w:ind w:left="357"/>
        <w:jc w:val="both"/>
        <w:rPr>
          <w:rFonts w:ascii="David" w:hAnsi="David" w:cs="David"/>
          <w:sz w:val="24"/>
          <w:szCs w:val="24"/>
          <w:rtl/>
        </w:rPr>
      </w:pPr>
    </w:p>
    <w:p w14:paraId="431EE753" w14:textId="77777777" w:rsidR="00D4005B" w:rsidRDefault="00000000" w:rsidP="00F244FF">
      <w:pPr>
        <w:pStyle w:val="11"/>
        <w:numPr>
          <w:ilvl w:val="0"/>
          <w:numId w:val="4"/>
        </w:numPr>
        <w:spacing w:after="0" w:line="360" w:lineRule="auto"/>
        <w:jc w:val="both"/>
        <w:rPr>
          <w:rFonts w:ascii="David" w:hAnsi="David" w:cs="David"/>
          <w:sz w:val="24"/>
          <w:szCs w:val="24"/>
          <w:rtl/>
        </w:rPr>
      </w:pPr>
      <w:r>
        <w:rPr>
          <w:rFonts w:ascii="David" w:hAnsi="David" w:cs="David"/>
          <w:sz w:val="24"/>
          <w:szCs w:val="24"/>
          <w:rtl/>
        </w:rPr>
        <w:t xml:space="preserve">התובע פדה את זכויותיו הפנסיוניות אשר הופקדו לחשבון המשותף – </w:t>
      </w:r>
      <w:r>
        <w:rPr>
          <w:rFonts w:ascii="David" w:hAnsi="David" w:cs="David"/>
          <w:b/>
          <w:bCs/>
          <w:sz w:val="24"/>
          <w:szCs w:val="24"/>
          <w:rtl/>
        </w:rPr>
        <w:t>ראו: ס' 18 לכתב התביעה, פרוט' עמ' 15 ש' 14-15</w:t>
      </w:r>
      <w:r>
        <w:rPr>
          <w:rFonts w:ascii="David" w:hAnsi="David" w:cs="David"/>
          <w:sz w:val="24"/>
          <w:szCs w:val="24"/>
          <w:rtl/>
        </w:rPr>
        <w:t xml:space="preserve">. התובע טען כי כספי הפנסיה שימשו את הצדדים, בתקופת הנישואין, לצרכי המשפחה ולגידול הקטינים – </w:t>
      </w:r>
      <w:r>
        <w:rPr>
          <w:rFonts w:ascii="David" w:hAnsi="David" w:cs="David"/>
          <w:b/>
          <w:bCs/>
          <w:sz w:val="24"/>
          <w:szCs w:val="24"/>
          <w:rtl/>
        </w:rPr>
        <w:t>ראו: ס' 18 לכתב התביעה</w:t>
      </w:r>
      <w:r>
        <w:rPr>
          <w:rFonts w:ascii="David" w:hAnsi="David" w:cs="David"/>
          <w:sz w:val="24"/>
          <w:szCs w:val="24"/>
          <w:rtl/>
        </w:rPr>
        <w:t xml:space="preserve">. התובע לא נחקר מטעם הנתבעת ביחס לטענה זו, וההנחה היא שהנתבעת אינה חולקת על דבריו – </w:t>
      </w:r>
      <w:r>
        <w:rPr>
          <w:rFonts w:ascii="David" w:hAnsi="David" w:cs="David"/>
          <w:b/>
          <w:bCs/>
          <w:sz w:val="24"/>
          <w:szCs w:val="24"/>
          <w:rtl/>
        </w:rPr>
        <w:t>ראו</w:t>
      </w:r>
      <w:r>
        <w:rPr>
          <w:rFonts w:ascii="David" w:hAnsi="David" w:cs="David"/>
          <w:sz w:val="24"/>
          <w:szCs w:val="24"/>
          <w:rtl/>
        </w:rPr>
        <w:t xml:space="preserve">: </w:t>
      </w:r>
      <w:hyperlink r:id="rId18" w:history="1">
        <w:r w:rsidR="004B54CC" w:rsidRPr="004B54CC">
          <w:rPr>
            <w:rFonts w:ascii="David" w:hAnsi="David" w:cs="David"/>
            <w:color w:val="0000FF"/>
            <w:sz w:val="24"/>
            <w:szCs w:val="24"/>
            <w:u w:val="single"/>
            <w:rtl/>
          </w:rPr>
          <w:t>ת"ע 30541-10-21</w:t>
        </w:r>
      </w:hyperlink>
      <w:r>
        <w:rPr>
          <w:rFonts w:ascii="David" w:hAnsi="David" w:cs="David"/>
          <w:b/>
          <w:bCs/>
          <w:sz w:val="24"/>
          <w:szCs w:val="24"/>
          <w:rtl/>
        </w:rPr>
        <w:t xml:space="preserve"> פלוני ואלמוני נ' האפוטרופוס הכללי במחוז ירושלים</w:t>
      </w:r>
      <w:r>
        <w:rPr>
          <w:rFonts w:ascii="David" w:hAnsi="David" w:cs="David"/>
          <w:sz w:val="24"/>
          <w:szCs w:val="24"/>
          <w:rtl/>
        </w:rPr>
        <w:t xml:space="preserve"> </w:t>
      </w:r>
      <w:r w:rsidR="00445A02">
        <w:rPr>
          <w:rFonts w:ascii="David" w:hAnsi="David" w:cs="David"/>
          <w:sz w:val="24"/>
          <w:szCs w:val="24"/>
          <w:rtl/>
        </w:rPr>
        <w:t>[נבו]</w:t>
      </w:r>
      <w:r w:rsidR="00445A02">
        <w:rPr>
          <w:rFonts w:ascii="David" w:hAnsi="David" w:cs="David" w:hint="cs"/>
          <w:sz w:val="24"/>
          <w:szCs w:val="24"/>
          <w:rtl/>
        </w:rPr>
        <w:t xml:space="preserve"> </w:t>
      </w:r>
      <w:r>
        <w:rPr>
          <w:rFonts w:ascii="David" w:hAnsi="David" w:cs="David"/>
          <w:sz w:val="24"/>
          <w:szCs w:val="24"/>
          <w:rtl/>
        </w:rPr>
        <w:t>(8.5.2024) וההפניות שבו.</w:t>
      </w:r>
    </w:p>
    <w:p w14:paraId="139D221D" w14:textId="77777777" w:rsidR="00D4005B" w:rsidRDefault="00D4005B" w:rsidP="00F244FF">
      <w:pPr>
        <w:pStyle w:val="11"/>
        <w:spacing w:after="0" w:line="360" w:lineRule="auto"/>
        <w:ind w:left="357"/>
        <w:jc w:val="both"/>
        <w:rPr>
          <w:rFonts w:ascii="David" w:hAnsi="David" w:cs="David"/>
          <w:sz w:val="24"/>
          <w:szCs w:val="24"/>
          <w:rtl/>
        </w:rPr>
      </w:pPr>
    </w:p>
    <w:p w14:paraId="0E32668A" w14:textId="77777777" w:rsidR="00D4005B" w:rsidRDefault="00000000" w:rsidP="00F244FF">
      <w:pPr>
        <w:pStyle w:val="11"/>
        <w:numPr>
          <w:ilvl w:val="0"/>
          <w:numId w:val="4"/>
        </w:numPr>
        <w:spacing w:after="0" w:line="360" w:lineRule="auto"/>
        <w:jc w:val="both"/>
        <w:rPr>
          <w:rFonts w:ascii="David" w:hAnsi="David" w:cs="David"/>
          <w:sz w:val="24"/>
          <w:szCs w:val="24"/>
          <w:rtl/>
        </w:rPr>
      </w:pPr>
      <w:r>
        <w:rPr>
          <w:rFonts w:ascii="David" w:hAnsi="David" w:cs="David"/>
          <w:sz w:val="24"/>
          <w:szCs w:val="24"/>
          <w:rtl/>
        </w:rPr>
        <w:t xml:space="preserve">הנתבעת החזיקה כרטיס אשראי, אשר חייב את החשבון המשותף ובאמצעותו ביצעה רכישת מזון והוצאות כלכלת הבית – </w:t>
      </w:r>
      <w:r>
        <w:rPr>
          <w:rFonts w:ascii="David" w:hAnsi="David" w:cs="David"/>
          <w:b/>
          <w:bCs/>
          <w:sz w:val="24"/>
          <w:szCs w:val="24"/>
          <w:rtl/>
        </w:rPr>
        <w:t>ראו: ס' 26 לכתב ההגנה, פרוט' עמ' 15 ש' 5-6</w:t>
      </w:r>
      <w:r>
        <w:rPr>
          <w:rFonts w:ascii="David" w:hAnsi="David" w:cs="David"/>
          <w:sz w:val="24"/>
          <w:szCs w:val="24"/>
          <w:rtl/>
        </w:rPr>
        <w:t xml:space="preserve">, </w:t>
      </w:r>
      <w:r>
        <w:rPr>
          <w:rFonts w:ascii="David" w:hAnsi="David" w:cs="David"/>
          <w:b/>
          <w:bCs/>
          <w:sz w:val="24"/>
          <w:szCs w:val="24"/>
          <w:rtl/>
        </w:rPr>
        <w:t>פרוט' בהליך הקודם עמ' 9 ש' 31-33</w:t>
      </w:r>
      <w:r>
        <w:rPr>
          <w:rFonts w:ascii="David" w:hAnsi="David" w:cs="David"/>
          <w:sz w:val="24"/>
          <w:szCs w:val="24"/>
          <w:rtl/>
        </w:rPr>
        <w:t xml:space="preserve">, </w:t>
      </w:r>
      <w:r>
        <w:rPr>
          <w:rFonts w:ascii="David" w:hAnsi="David" w:cs="David"/>
          <w:b/>
          <w:bCs/>
          <w:sz w:val="24"/>
          <w:szCs w:val="24"/>
          <w:rtl/>
        </w:rPr>
        <w:t>עמ' 17 ש' 4-11</w:t>
      </w:r>
      <w:r>
        <w:rPr>
          <w:rFonts w:ascii="David" w:hAnsi="David" w:cs="David"/>
          <w:sz w:val="24"/>
          <w:szCs w:val="24"/>
          <w:rtl/>
        </w:rPr>
        <w:t>.</w:t>
      </w:r>
    </w:p>
    <w:p w14:paraId="3E9471DB" w14:textId="77777777" w:rsidR="00D4005B" w:rsidRDefault="00D4005B" w:rsidP="00F244FF">
      <w:pPr>
        <w:pStyle w:val="11"/>
        <w:spacing w:after="0" w:line="360" w:lineRule="auto"/>
        <w:ind w:left="717"/>
        <w:jc w:val="both"/>
        <w:rPr>
          <w:rFonts w:ascii="David" w:hAnsi="David" w:cs="David"/>
          <w:sz w:val="24"/>
          <w:szCs w:val="24"/>
        </w:rPr>
      </w:pPr>
    </w:p>
    <w:p w14:paraId="5FE0C176" w14:textId="77777777" w:rsidR="00D4005B" w:rsidRDefault="00000000" w:rsidP="00F244FF">
      <w:pPr>
        <w:pStyle w:val="11"/>
        <w:spacing w:after="0" w:line="360" w:lineRule="auto"/>
        <w:ind w:left="717"/>
        <w:jc w:val="both"/>
        <w:rPr>
          <w:rFonts w:ascii="David" w:hAnsi="David" w:cs="David"/>
          <w:sz w:val="24"/>
          <w:szCs w:val="24"/>
          <w:rtl/>
        </w:rPr>
      </w:pPr>
      <w:r>
        <w:rPr>
          <w:rFonts w:ascii="David" w:hAnsi="David" w:cs="David"/>
          <w:sz w:val="24"/>
          <w:szCs w:val="24"/>
          <w:rtl/>
        </w:rPr>
        <w:t xml:space="preserve">הנתבעת טענה כי השימוש בכרטיס האשראי נעשה על-ידה, במקום תשלום דמי מזונות – </w:t>
      </w:r>
      <w:r>
        <w:rPr>
          <w:rFonts w:ascii="David" w:hAnsi="David" w:cs="David"/>
          <w:b/>
          <w:bCs/>
          <w:sz w:val="24"/>
          <w:szCs w:val="24"/>
          <w:rtl/>
        </w:rPr>
        <w:t>ראו: ס' 3, 23 ו- 26 לכתב ההגנה</w:t>
      </w:r>
      <w:r>
        <w:rPr>
          <w:rFonts w:ascii="David" w:hAnsi="David" w:cs="David"/>
          <w:sz w:val="24"/>
          <w:szCs w:val="24"/>
          <w:rtl/>
        </w:rPr>
        <w:t xml:space="preserve">, </w:t>
      </w:r>
      <w:r>
        <w:rPr>
          <w:rFonts w:ascii="David" w:hAnsi="David" w:cs="David"/>
          <w:b/>
          <w:bCs/>
          <w:sz w:val="24"/>
          <w:szCs w:val="24"/>
          <w:rtl/>
        </w:rPr>
        <w:t>פרוט' עמ' 23 ש' 15, ש' 18-19</w:t>
      </w:r>
      <w:r>
        <w:rPr>
          <w:rFonts w:ascii="David" w:hAnsi="David" w:cs="David"/>
          <w:sz w:val="24"/>
          <w:szCs w:val="24"/>
          <w:rtl/>
        </w:rPr>
        <w:t xml:space="preserve">. הנתבעת הודתה בהליך הקודם כי גם לאחר שהסתיים חיוב התובע במזונות, היא המשיכה לעשות שימוש בכרטיס האשראי – </w:t>
      </w:r>
      <w:r>
        <w:rPr>
          <w:rFonts w:ascii="David" w:hAnsi="David" w:cs="David"/>
          <w:b/>
          <w:bCs/>
          <w:sz w:val="24"/>
          <w:szCs w:val="24"/>
          <w:rtl/>
        </w:rPr>
        <w:lastRenderedPageBreak/>
        <w:t>ראו: פרוט' בהליך הקודם עמ' 16 ש' 33-35</w:t>
      </w:r>
      <w:r>
        <w:rPr>
          <w:rFonts w:ascii="David" w:hAnsi="David" w:cs="David"/>
          <w:sz w:val="24"/>
          <w:szCs w:val="24"/>
          <w:rtl/>
        </w:rPr>
        <w:t>. משכך, לא ניתן לקבל את טענת הנתבעת כי השימוש בכרטיס האשראי נעשה במקום תשלום המזונות.</w:t>
      </w:r>
    </w:p>
    <w:p w14:paraId="4C6AC314" w14:textId="77777777" w:rsidR="00D4005B" w:rsidRDefault="00D4005B" w:rsidP="00F244FF">
      <w:pPr>
        <w:pStyle w:val="11"/>
        <w:spacing w:after="0" w:line="360" w:lineRule="auto"/>
        <w:ind w:left="357"/>
        <w:jc w:val="both"/>
        <w:rPr>
          <w:rFonts w:ascii="David" w:hAnsi="David" w:cs="David"/>
          <w:sz w:val="24"/>
          <w:szCs w:val="24"/>
          <w:rtl/>
        </w:rPr>
      </w:pPr>
    </w:p>
    <w:p w14:paraId="36CAAFBB" w14:textId="77777777" w:rsidR="00D4005B" w:rsidRDefault="00000000" w:rsidP="00F244FF">
      <w:pPr>
        <w:pStyle w:val="11"/>
        <w:numPr>
          <w:ilvl w:val="0"/>
          <w:numId w:val="4"/>
        </w:numPr>
        <w:spacing w:after="0" w:line="360" w:lineRule="auto"/>
        <w:jc w:val="both"/>
        <w:rPr>
          <w:rFonts w:ascii="David" w:hAnsi="David" w:cs="David"/>
          <w:sz w:val="24"/>
          <w:szCs w:val="24"/>
          <w:rtl/>
        </w:rPr>
      </w:pPr>
      <w:r>
        <w:rPr>
          <w:rFonts w:ascii="David" w:hAnsi="David" w:cs="David"/>
          <w:sz w:val="24"/>
          <w:szCs w:val="24"/>
          <w:rtl/>
        </w:rPr>
        <w:t xml:space="preserve">דירת ההשקעה נמכרה בשנת 2009 ועד למועד מכירתה, כספי השכירות הופקדו לחשבון המשותף – </w:t>
      </w:r>
      <w:r>
        <w:rPr>
          <w:rFonts w:ascii="David" w:hAnsi="David" w:cs="David"/>
          <w:b/>
          <w:bCs/>
          <w:sz w:val="24"/>
          <w:szCs w:val="24"/>
          <w:rtl/>
        </w:rPr>
        <w:t>ראו: ס' 10 לכתב התביעה</w:t>
      </w:r>
      <w:r>
        <w:rPr>
          <w:rFonts w:ascii="David" w:hAnsi="David" w:cs="David"/>
          <w:sz w:val="24"/>
          <w:szCs w:val="24"/>
          <w:rtl/>
        </w:rPr>
        <w:t xml:space="preserve"> (שלא הוכחש </w:t>
      </w:r>
      <w:r>
        <w:rPr>
          <w:rFonts w:ascii="David" w:hAnsi="David" w:cs="David"/>
          <w:b/>
          <w:bCs/>
          <w:sz w:val="24"/>
          <w:szCs w:val="24"/>
          <w:rtl/>
        </w:rPr>
        <w:t>ראו: ס' 28 לכתב ההגנה</w:t>
      </w:r>
      <w:r>
        <w:rPr>
          <w:rFonts w:ascii="David" w:hAnsi="David" w:cs="David"/>
          <w:sz w:val="24"/>
          <w:szCs w:val="24"/>
          <w:rtl/>
        </w:rPr>
        <w:t xml:space="preserve">), </w:t>
      </w:r>
      <w:r>
        <w:rPr>
          <w:rFonts w:ascii="David" w:hAnsi="David" w:cs="David"/>
          <w:b/>
          <w:bCs/>
          <w:sz w:val="24"/>
          <w:szCs w:val="24"/>
          <w:rtl/>
        </w:rPr>
        <w:t>פרוט' עמ' 15 ש' 18-19</w:t>
      </w:r>
      <w:r>
        <w:rPr>
          <w:rFonts w:ascii="David" w:hAnsi="David" w:cs="David"/>
          <w:sz w:val="24"/>
          <w:szCs w:val="24"/>
          <w:rtl/>
        </w:rPr>
        <w:t xml:space="preserve">, </w:t>
      </w:r>
      <w:r>
        <w:rPr>
          <w:rFonts w:ascii="David" w:hAnsi="David" w:cs="David"/>
          <w:b/>
          <w:bCs/>
          <w:sz w:val="24"/>
          <w:szCs w:val="24"/>
          <w:rtl/>
        </w:rPr>
        <w:t>פרוט' בהליך הקודם עמ' 17 ש' 14-19</w:t>
      </w:r>
      <w:r>
        <w:rPr>
          <w:rFonts w:ascii="David" w:hAnsi="David" w:cs="David"/>
          <w:sz w:val="24"/>
          <w:szCs w:val="24"/>
          <w:rtl/>
        </w:rPr>
        <w:t xml:space="preserve">, </w:t>
      </w:r>
      <w:r>
        <w:rPr>
          <w:rFonts w:ascii="David" w:hAnsi="David" w:cs="David"/>
          <w:b/>
          <w:bCs/>
          <w:sz w:val="24"/>
          <w:szCs w:val="24"/>
          <w:rtl/>
        </w:rPr>
        <w:t>ש' 28-31</w:t>
      </w:r>
      <w:r>
        <w:rPr>
          <w:rFonts w:ascii="David" w:hAnsi="David" w:cs="David"/>
          <w:sz w:val="24"/>
          <w:szCs w:val="24"/>
          <w:rtl/>
        </w:rPr>
        <w:t>.</w:t>
      </w:r>
    </w:p>
    <w:p w14:paraId="18C46E21" w14:textId="77777777" w:rsidR="00D4005B" w:rsidRDefault="00D4005B" w:rsidP="00F244FF">
      <w:pPr>
        <w:pStyle w:val="11"/>
        <w:spacing w:after="0" w:line="360" w:lineRule="auto"/>
        <w:ind w:left="357"/>
        <w:jc w:val="both"/>
        <w:rPr>
          <w:rFonts w:ascii="David" w:hAnsi="David" w:cs="David"/>
          <w:sz w:val="24"/>
          <w:szCs w:val="24"/>
          <w:rtl/>
        </w:rPr>
      </w:pPr>
    </w:p>
    <w:p w14:paraId="42C1AF9F" w14:textId="77777777" w:rsidR="00D4005B" w:rsidRDefault="00D4005B" w:rsidP="00F244FF">
      <w:pPr>
        <w:pStyle w:val="11"/>
        <w:spacing w:after="0" w:line="360" w:lineRule="auto"/>
        <w:ind w:left="357"/>
        <w:jc w:val="both"/>
        <w:rPr>
          <w:rFonts w:ascii="David" w:hAnsi="David" w:cs="David"/>
          <w:sz w:val="24"/>
          <w:szCs w:val="24"/>
          <w:rtl/>
        </w:rPr>
      </w:pPr>
    </w:p>
    <w:p w14:paraId="1B7B331E" w14:textId="77777777" w:rsidR="00D4005B" w:rsidRDefault="00D4005B" w:rsidP="00F244FF">
      <w:pPr>
        <w:pStyle w:val="11"/>
        <w:spacing w:after="0" w:line="360" w:lineRule="auto"/>
        <w:ind w:left="357"/>
        <w:jc w:val="both"/>
        <w:rPr>
          <w:rFonts w:ascii="David" w:hAnsi="David" w:cs="David"/>
          <w:sz w:val="24"/>
          <w:szCs w:val="24"/>
          <w:rtl/>
        </w:rPr>
      </w:pPr>
    </w:p>
    <w:p w14:paraId="6064BCE5" w14:textId="77777777" w:rsidR="00D4005B" w:rsidRDefault="00000000" w:rsidP="00F244FF">
      <w:pPr>
        <w:pStyle w:val="11"/>
        <w:numPr>
          <w:ilvl w:val="0"/>
          <w:numId w:val="4"/>
        </w:numPr>
        <w:spacing w:after="0" w:line="360" w:lineRule="auto"/>
        <w:jc w:val="both"/>
        <w:rPr>
          <w:rFonts w:ascii="David" w:hAnsi="David" w:cs="David"/>
          <w:sz w:val="24"/>
          <w:szCs w:val="24"/>
          <w:rtl/>
        </w:rPr>
      </w:pPr>
      <w:r>
        <w:rPr>
          <w:rFonts w:ascii="David" w:hAnsi="David" w:cs="David"/>
          <w:sz w:val="24"/>
          <w:szCs w:val="24"/>
          <w:rtl/>
        </w:rPr>
        <w:t xml:space="preserve">כספי מכר דירת ההשקעה הופקדו אף הם לחשבון המשותף, ושימשו את המשפחה עד לפרידת הצדדים בשנת 2020 – </w:t>
      </w:r>
      <w:r>
        <w:rPr>
          <w:rFonts w:ascii="David" w:hAnsi="David" w:cs="David"/>
          <w:b/>
          <w:bCs/>
          <w:sz w:val="24"/>
          <w:szCs w:val="24"/>
          <w:rtl/>
        </w:rPr>
        <w:t>ראו: ס' 8 לכתב התביעה</w:t>
      </w:r>
      <w:r>
        <w:rPr>
          <w:rFonts w:ascii="David" w:hAnsi="David" w:cs="David"/>
          <w:sz w:val="24"/>
          <w:szCs w:val="24"/>
          <w:rtl/>
        </w:rPr>
        <w:t xml:space="preserve">. כספים אלה שימשו, בין היתר, גם לצורך ביצוע שיפוצים בבית </w:t>
      </w:r>
      <w:r>
        <w:rPr>
          <w:rFonts w:ascii="David" w:hAnsi="David" w:cs="David"/>
          <w:b/>
          <w:bCs/>
          <w:sz w:val="24"/>
          <w:szCs w:val="24"/>
          <w:rtl/>
        </w:rPr>
        <w:t>ס' 28 לכתב ההגנה</w:t>
      </w:r>
      <w:r>
        <w:rPr>
          <w:rFonts w:ascii="David" w:hAnsi="David" w:cs="David"/>
          <w:sz w:val="24"/>
          <w:szCs w:val="24"/>
          <w:rtl/>
        </w:rPr>
        <w:t xml:space="preserve">, רכישת רכב לנתבעת – </w:t>
      </w:r>
      <w:r>
        <w:rPr>
          <w:rFonts w:ascii="David" w:hAnsi="David" w:cs="David"/>
          <w:b/>
          <w:bCs/>
          <w:sz w:val="24"/>
          <w:szCs w:val="24"/>
          <w:rtl/>
        </w:rPr>
        <w:t>ראו: פרוט' בהליך הקודם עמ' 18 ש' 10-12</w:t>
      </w:r>
      <w:r>
        <w:rPr>
          <w:rFonts w:ascii="David" w:hAnsi="David" w:cs="David"/>
          <w:sz w:val="24"/>
          <w:szCs w:val="24"/>
          <w:rtl/>
        </w:rPr>
        <w:t xml:space="preserve"> וכו'.</w:t>
      </w:r>
    </w:p>
    <w:p w14:paraId="13AF8379" w14:textId="77777777" w:rsidR="00D4005B" w:rsidRDefault="00D4005B" w:rsidP="00F244FF">
      <w:pPr>
        <w:pStyle w:val="11"/>
        <w:spacing w:line="360" w:lineRule="auto"/>
        <w:rPr>
          <w:rFonts w:ascii="David" w:hAnsi="David" w:cs="David"/>
          <w:sz w:val="24"/>
          <w:szCs w:val="24"/>
        </w:rPr>
      </w:pPr>
    </w:p>
    <w:p w14:paraId="4F536A1C" w14:textId="77777777" w:rsidR="00D4005B" w:rsidRDefault="00000000" w:rsidP="00F244FF">
      <w:pPr>
        <w:pStyle w:val="11"/>
        <w:numPr>
          <w:ilvl w:val="0"/>
          <w:numId w:val="4"/>
        </w:numPr>
        <w:spacing w:after="0" w:line="360" w:lineRule="auto"/>
        <w:jc w:val="both"/>
        <w:rPr>
          <w:rFonts w:ascii="David" w:hAnsi="David" w:cs="David"/>
          <w:sz w:val="24"/>
          <w:szCs w:val="24"/>
          <w:rtl/>
        </w:rPr>
      </w:pPr>
      <w:r>
        <w:rPr>
          <w:rFonts w:ascii="David" w:hAnsi="David" w:cs="David"/>
          <w:sz w:val="24"/>
          <w:szCs w:val="24"/>
          <w:rtl/>
        </w:rPr>
        <w:t xml:space="preserve">כספי מכר דירת ההשקעה, שהופקדו לחשבון המשותף כאמור, שימשו את הצדדים גם לצורך פירעון החובות – </w:t>
      </w:r>
      <w:r>
        <w:rPr>
          <w:rFonts w:ascii="David" w:hAnsi="David" w:cs="David"/>
          <w:b/>
          <w:bCs/>
          <w:sz w:val="24"/>
          <w:szCs w:val="24"/>
          <w:rtl/>
        </w:rPr>
        <w:t>ראו: ס' 24 ו-28 לכתב ההגנה</w:t>
      </w:r>
      <w:r>
        <w:rPr>
          <w:rFonts w:ascii="David" w:hAnsi="David" w:cs="David"/>
          <w:sz w:val="24"/>
          <w:szCs w:val="24"/>
          <w:rtl/>
        </w:rPr>
        <w:t xml:space="preserve">, </w:t>
      </w:r>
      <w:r>
        <w:rPr>
          <w:rFonts w:ascii="David" w:hAnsi="David" w:cs="David"/>
          <w:b/>
          <w:bCs/>
          <w:sz w:val="24"/>
          <w:szCs w:val="24"/>
          <w:rtl/>
        </w:rPr>
        <w:t>פרוט' עמ' 14 ש' 1-5, פרוט' בהליך הקודם עמ' 18 ש' 4-9</w:t>
      </w:r>
      <w:r>
        <w:rPr>
          <w:rFonts w:ascii="David" w:hAnsi="David" w:cs="David"/>
          <w:sz w:val="24"/>
          <w:szCs w:val="24"/>
          <w:rtl/>
        </w:rPr>
        <w:t xml:space="preserve">. יתרת הכספים בסך של 130,000 ₪ חולקה בין הצדדים אגב סגירת החשבון המשותף – </w:t>
      </w:r>
      <w:r>
        <w:rPr>
          <w:rFonts w:ascii="David" w:hAnsi="David" w:cs="David"/>
          <w:b/>
          <w:bCs/>
          <w:sz w:val="24"/>
          <w:szCs w:val="24"/>
          <w:rtl/>
        </w:rPr>
        <w:t>ראו: ס' 12 לכתב התביעה</w:t>
      </w:r>
      <w:r>
        <w:rPr>
          <w:rFonts w:ascii="David" w:hAnsi="David" w:cs="David"/>
          <w:sz w:val="24"/>
          <w:szCs w:val="24"/>
          <w:rtl/>
        </w:rPr>
        <w:t>.</w:t>
      </w:r>
    </w:p>
    <w:p w14:paraId="4E1A9401" w14:textId="77777777" w:rsidR="00D4005B" w:rsidRDefault="00D4005B" w:rsidP="00F244FF">
      <w:pPr>
        <w:pStyle w:val="11"/>
        <w:spacing w:after="0" w:line="360" w:lineRule="auto"/>
        <w:ind w:left="717"/>
        <w:jc w:val="both"/>
        <w:rPr>
          <w:rFonts w:ascii="David" w:hAnsi="David" w:cs="David"/>
          <w:sz w:val="24"/>
          <w:szCs w:val="24"/>
        </w:rPr>
      </w:pPr>
    </w:p>
    <w:p w14:paraId="6CACD06A" w14:textId="77777777" w:rsidR="00D4005B" w:rsidRDefault="00000000" w:rsidP="00F244FF">
      <w:pPr>
        <w:pStyle w:val="11"/>
        <w:numPr>
          <w:ilvl w:val="0"/>
          <w:numId w:val="4"/>
        </w:numPr>
        <w:spacing w:after="0" w:line="360" w:lineRule="auto"/>
        <w:jc w:val="both"/>
        <w:rPr>
          <w:rFonts w:ascii="David" w:hAnsi="David" w:cs="David"/>
          <w:sz w:val="24"/>
          <w:szCs w:val="24"/>
        </w:rPr>
      </w:pPr>
      <w:r>
        <w:rPr>
          <w:rFonts w:ascii="David" w:hAnsi="David" w:cs="David"/>
          <w:sz w:val="24"/>
          <w:szCs w:val="24"/>
          <w:rtl/>
        </w:rPr>
        <w:t xml:space="preserve">סך של 275,000 ₪ מתוך כספי מכר דירת ההשקעה הופקד לפיקדון, והפיקדון, על פירותיו, הופקד אף הוא לחשבון המשותף – </w:t>
      </w:r>
      <w:r>
        <w:rPr>
          <w:rFonts w:ascii="David" w:hAnsi="David" w:cs="David"/>
          <w:b/>
          <w:bCs/>
          <w:sz w:val="24"/>
          <w:szCs w:val="24"/>
          <w:rtl/>
        </w:rPr>
        <w:t>ראו: פרוט' עמ' 14 ש' 8-11</w:t>
      </w:r>
      <w:r>
        <w:rPr>
          <w:rFonts w:ascii="David" w:hAnsi="David" w:cs="David"/>
          <w:sz w:val="24"/>
          <w:szCs w:val="24"/>
          <w:rtl/>
        </w:rPr>
        <w:t xml:space="preserve">, </w:t>
      </w:r>
      <w:r>
        <w:rPr>
          <w:rFonts w:ascii="David" w:hAnsi="David" w:cs="David"/>
          <w:b/>
          <w:bCs/>
          <w:sz w:val="24"/>
          <w:szCs w:val="24"/>
          <w:rtl/>
        </w:rPr>
        <w:t>29-30</w:t>
      </w:r>
      <w:r>
        <w:rPr>
          <w:rFonts w:ascii="David" w:hAnsi="David" w:cs="David"/>
          <w:sz w:val="24"/>
          <w:szCs w:val="24"/>
          <w:rtl/>
        </w:rPr>
        <w:t>.</w:t>
      </w:r>
    </w:p>
    <w:p w14:paraId="3CC45B7C" w14:textId="77777777" w:rsidR="00D4005B" w:rsidRDefault="00D4005B" w:rsidP="00F244FF">
      <w:pPr>
        <w:pStyle w:val="11"/>
        <w:spacing w:after="0" w:line="360" w:lineRule="auto"/>
        <w:ind w:left="357"/>
        <w:jc w:val="both"/>
        <w:rPr>
          <w:rFonts w:ascii="David" w:hAnsi="David" w:cs="David"/>
          <w:sz w:val="24"/>
          <w:szCs w:val="24"/>
          <w:rtl/>
        </w:rPr>
      </w:pPr>
    </w:p>
    <w:p w14:paraId="53F669F4" w14:textId="77777777" w:rsidR="00D4005B" w:rsidRDefault="00000000" w:rsidP="00F244FF">
      <w:pPr>
        <w:pStyle w:val="11"/>
        <w:numPr>
          <w:ilvl w:val="0"/>
          <w:numId w:val="4"/>
        </w:numPr>
        <w:spacing w:after="0" w:line="360" w:lineRule="auto"/>
        <w:jc w:val="both"/>
        <w:rPr>
          <w:rFonts w:ascii="David" w:hAnsi="David" w:cs="David"/>
          <w:sz w:val="24"/>
          <w:szCs w:val="24"/>
          <w:rtl/>
        </w:rPr>
      </w:pPr>
      <w:r>
        <w:rPr>
          <w:rFonts w:ascii="David" w:hAnsi="David" w:cs="David"/>
          <w:sz w:val="24"/>
          <w:szCs w:val="24"/>
          <w:rtl/>
        </w:rPr>
        <w:t xml:space="preserve">המשכנתה שנטלו הצדדים יחד, נפרעה מהחשבון המשותף – </w:t>
      </w:r>
      <w:r>
        <w:rPr>
          <w:rFonts w:ascii="David" w:hAnsi="David" w:cs="David"/>
          <w:b/>
          <w:bCs/>
          <w:sz w:val="24"/>
          <w:szCs w:val="24"/>
          <w:rtl/>
        </w:rPr>
        <w:t>ראו: ס' 10 לכתב התביעה, ס' 28 ו-65 לכתב ההגנה, פרוט' עמ' 15 ש' 20-22</w:t>
      </w:r>
      <w:r>
        <w:rPr>
          <w:rFonts w:ascii="David" w:hAnsi="David" w:cs="David"/>
          <w:sz w:val="24"/>
          <w:szCs w:val="24"/>
          <w:rtl/>
        </w:rPr>
        <w:t xml:space="preserve">, </w:t>
      </w:r>
      <w:r>
        <w:rPr>
          <w:rFonts w:ascii="David" w:hAnsi="David" w:cs="David"/>
          <w:b/>
          <w:bCs/>
          <w:sz w:val="24"/>
          <w:szCs w:val="24"/>
          <w:rtl/>
        </w:rPr>
        <w:t>פרוט' בהליך הקודם עמ' 9 ש' 10-11</w:t>
      </w:r>
      <w:r>
        <w:rPr>
          <w:rFonts w:ascii="David" w:hAnsi="David" w:cs="David"/>
          <w:sz w:val="24"/>
          <w:szCs w:val="24"/>
          <w:rtl/>
        </w:rPr>
        <w:t>.</w:t>
      </w:r>
    </w:p>
    <w:p w14:paraId="2F4BA18A" w14:textId="77777777" w:rsidR="00D4005B" w:rsidRDefault="00D4005B" w:rsidP="00F244FF">
      <w:pPr>
        <w:pStyle w:val="11"/>
        <w:spacing w:line="360" w:lineRule="auto"/>
        <w:rPr>
          <w:rFonts w:ascii="David" w:hAnsi="David" w:cs="David"/>
          <w:sz w:val="24"/>
          <w:szCs w:val="24"/>
        </w:rPr>
      </w:pPr>
    </w:p>
    <w:p w14:paraId="0380F431" w14:textId="77777777" w:rsidR="00D4005B" w:rsidRDefault="00000000" w:rsidP="00F244FF">
      <w:pPr>
        <w:pStyle w:val="11"/>
        <w:numPr>
          <w:ilvl w:val="0"/>
          <w:numId w:val="4"/>
        </w:numPr>
        <w:spacing w:after="0" w:line="360" w:lineRule="auto"/>
        <w:jc w:val="both"/>
        <w:rPr>
          <w:rFonts w:ascii="David" w:hAnsi="David" w:cs="David"/>
          <w:sz w:val="24"/>
          <w:szCs w:val="24"/>
          <w:rtl/>
        </w:rPr>
      </w:pPr>
      <w:r>
        <w:rPr>
          <w:rFonts w:ascii="David" w:hAnsi="David" w:cs="David"/>
          <w:sz w:val="24"/>
          <w:szCs w:val="24"/>
          <w:rtl/>
        </w:rPr>
        <w:t xml:space="preserve">כספי השכירות של הבית הופקדו אף הם לחשבון המשותף – </w:t>
      </w:r>
      <w:r>
        <w:rPr>
          <w:rFonts w:ascii="David" w:hAnsi="David" w:cs="David"/>
          <w:b/>
          <w:bCs/>
          <w:sz w:val="24"/>
          <w:szCs w:val="24"/>
          <w:rtl/>
        </w:rPr>
        <w:t>ראו: ס' 10 לכתב התביעה, ס' 28 לכתב ההגנה</w:t>
      </w:r>
      <w:r>
        <w:rPr>
          <w:rFonts w:ascii="David" w:hAnsi="David" w:cs="David"/>
          <w:sz w:val="24"/>
          <w:szCs w:val="24"/>
          <w:rtl/>
        </w:rPr>
        <w:t xml:space="preserve">, </w:t>
      </w:r>
      <w:r>
        <w:rPr>
          <w:rFonts w:ascii="David" w:hAnsi="David" w:cs="David"/>
          <w:b/>
          <w:bCs/>
          <w:sz w:val="24"/>
          <w:szCs w:val="24"/>
          <w:rtl/>
        </w:rPr>
        <w:t>פרוט' עמ' 15 ש' 20-22</w:t>
      </w:r>
      <w:r>
        <w:rPr>
          <w:rFonts w:ascii="David" w:hAnsi="David" w:cs="David"/>
          <w:sz w:val="24"/>
          <w:szCs w:val="24"/>
          <w:rtl/>
        </w:rPr>
        <w:t xml:space="preserve">, וכך גם נעשה בעניין כספי השכירות ששולמו בעד השכרת יחידת הדיור – </w:t>
      </w:r>
      <w:r>
        <w:rPr>
          <w:rFonts w:ascii="David" w:hAnsi="David" w:cs="David"/>
          <w:b/>
          <w:bCs/>
          <w:sz w:val="24"/>
          <w:szCs w:val="24"/>
          <w:rtl/>
        </w:rPr>
        <w:t>ראו: ס' 65 לכתב ההגנה</w:t>
      </w:r>
      <w:r>
        <w:rPr>
          <w:rFonts w:ascii="David" w:hAnsi="David" w:cs="David"/>
          <w:sz w:val="24"/>
          <w:szCs w:val="24"/>
          <w:rtl/>
        </w:rPr>
        <w:t>.</w:t>
      </w:r>
    </w:p>
    <w:p w14:paraId="0524B31A" w14:textId="77777777" w:rsidR="00D4005B" w:rsidRDefault="00D4005B" w:rsidP="00F244FF">
      <w:pPr>
        <w:pStyle w:val="11"/>
        <w:spacing w:line="360" w:lineRule="auto"/>
        <w:rPr>
          <w:rFonts w:ascii="David" w:hAnsi="David" w:cs="David"/>
          <w:sz w:val="24"/>
          <w:szCs w:val="24"/>
        </w:rPr>
      </w:pPr>
    </w:p>
    <w:p w14:paraId="6BF7A1DE" w14:textId="77777777" w:rsidR="00D4005B" w:rsidRDefault="00000000" w:rsidP="00F244FF">
      <w:pPr>
        <w:pStyle w:val="11"/>
        <w:numPr>
          <w:ilvl w:val="0"/>
          <w:numId w:val="4"/>
        </w:numPr>
        <w:spacing w:after="0" w:line="360" w:lineRule="auto"/>
        <w:jc w:val="both"/>
        <w:rPr>
          <w:rFonts w:ascii="David" w:hAnsi="David" w:cs="David"/>
          <w:sz w:val="24"/>
          <w:szCs w:val="24"/>
          <w:rtl/>
        </w:rPr>
      </w:pPr>
      <w:r>
        <w:rPr>
          <w:rFonts w:ascii="David" w:hAnsi="David" w:cs="David"/>
          <w:sz w:val="24"/>
          <w:szCs w:val="24"/>
          <w:rtl/>
        </w:rPr>
        <w:t xml:space="preserve">הצדדים מימנו במשותף את הוצאות המחייה של המשפחה – </w:t>
      </w:r>
      <w:r>
        <w:rPr>
          <w:rFonts w:ascii="David" w:hAnsi="David" w:cs="David"/>
          <w:b/>
          <w:bCs/>
          <w:sz w:val="24"/>
          <w:szCs w:val="24"/>
          <w:rtl/>
        </w:rPr>
        <w:t>ראו: ס' 4 לכתב התביעה, ס' 3 ו-13 לכתב ההגנה, פרוט' עמ' 15 ש' 23-24</w:t>
      </w:r>
      <w:r>
        <w:rPr>
          <w:rFonts w:ascii="David" w:hAnsi="David" w:cs="David"/>
          <w:sz w:val="24"/>
          <w:szCs w:val="24"/>
          <w:rtl/>
        </w:rPr>
        <w:t xml:space="preserve">, זאת לרבות הוצאות משמעותיות – </w:t>
      </w:r>
      <w:r>
        <w:rPr>
          <w:rFonts w:ascii="David" w:hAnsi="David" w:cs="David"/>
          <w:b/>
          <w:bCs/>
          <w:sz w:val="24"/>
          <w:szCs w:val="24"/>
          <w:rtl/>
        </w:rPr>
        <w:t>ראו: ס' 27 לכתב ההגנה</w:t>
      </w:r>
      <w:r>
        <w:rPr>
          <w:rFonts w:ascii="David" w:hAnsi="David" w:cs="David"/>
          <w:sz w:val="24"/>
          <w:szCs w:val="24"/>
          <w:rtl/>
        </w:rPr>
        <w:t xml:space="preserve">, תוך הסכמה אילו הוצאות משולמות על-ידי כל אחד מהם – </w:t>
      </w:r>
      <w:r>
        <w:rPr>
          <w:rFonts w:ascii="David" w:hAnsi="David" w:cs="David"/>
          <w:b/>
          <w:bCs/>
          <w:sz w:val="24"/>
          <w:szCs w:val="24"/>
          <w:rtl/>
        </w:rPr>
        <w:t>ראו: פרוט' עמ' 15 ש' 33-34</w:t>
      </w:r>
      <w:r>
        <w:rPr>
          <w:rFonts w:ascii="David" w:hAnsi="David" w:cs="David"/>
          <w:sz w:val="24"/>
          <w:szCs w:val="24"/>
          <w:rtl/>
        </w:rPr>
        <w:t>.</w:t>
      </w:r>
    </w:p>
    <w:p w14:paraId="1609AF0C" w14:textId="77777777" w:rsidR="00D4005B" w:rsidRDefault="00D4005B" w:rsidP="00F244FF">
      <w:pPr>
        <w:pStyle w:val="11"/>
        <w:spacing w:line="360" w:lineRule="auto"/>
        <w:rPr>
          <w:rFonts w:ascii="David" w:hAnsi="David" w:cs="David"/>
          <w:sz w:val="24"/>
          <w:szCs w:val="24"/>
        </w:rPr>
      </w:pPr>
    </w:p>
    <w:p w14:paraId="0C8D1A55" w14:textId="77777777" w:rsidR="00D4005B" w:rsidRDefault="00000000" w:rsidP="00F244FF">
      <w:pPr>
        <w:pStyle w:val="11"/>
        <w:numPr>
          <w:ilvl w:val="0"/>
          <w:numId w:val="4"/>
        </w:numPr>
        <w:spacing w:after="0" w:line="360" w:lineRule="auto"/>
        <w:jc w:val="both"/>
        <w:rPr>
          <w:rFonts w:ascii="David" w:hAnsi="David" w:cs="David"/>
          <w:sz w:val="24"/>
          <w:szCs w:val="24"/>
        </w:rPr>
      </w:pPr>
      <w:r>
        <w:rPr>
          <w:rFonts w:ascii="David" w:hAnsi="David" w:cs="David"/>
          <w:sz w:val="24"/>
          <w:szCs w:val="24"/>
          <w:rtl/>
        </w:rPr>
        <w:t xml:space="preserve">הצדדים שיפצו במשותף את יחידת הדיור ועלויות השיפוץ שולמו על-ידי הצדדים יחד – </w:t>
      </w:r>
      <w:r>
        <w:rPr>
          <w:rFonts w:ascii="David" w:hAnsi="David" w:cs="David"/>
          <w:b/>
          <w:bCs/>
          <w:sz w:val="24"/>
          <w:szCs w:val="24"/>
          <w:rtl/>
        </w:rPr>
        <w:t>ראו: פרוט' בהליך הקודם עמ' 16 ש' 10-11</w:t>
      </w:r>
      <w:r>
        <w:rPr>
          <w:rFonts w:ascii="David" w:hAnsi="David" w:cs="David"/>
          <w:sz w:val="24"/>
          <w:szCs w:val="24"/>
          <w:rtl/>
        </w:rPr>
        <w:t>.</w:t>
      </w:r>
    </w:p>
    <w:p w14:paraId="1C37E07C" w14:textId="77777777" w:rsidR="00D4005B" w:rsidRPr="002D4047" w:rsidRDefault="00D4005B" w:rsidP="002D4047">
      <w:pPr>
        <w:pStyle w:val="11"/>
        <w:rPr>
          <w:rFonts w:ascii="David" w:hAnsi="David" w:cs="David"/>
          <w:sz w:val="24"/>
          <w:szCs w:val="24"/>
          <w:rtl/>
        </w:rPr>
      </w:pPr>
    </w:p>
    <w:p w14:paraId="26ABB1F7"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lastRenderedPageBreak/>
        <w:t xml:space="preserve">סיכומם של דברים – הצדדים המשיכו לנהל את ענייניהם הרכושיים יחד עד לשנת 2020 - המועד שבו יצאה הנתבעת מהחשבון המשותף. </w:t>
      </w:r>
    </w:p>
    <w:p w14:paraId="23D71E0F" w14:textId="77777777" w:rsidR="00D4005B" w:rsidRDefault="00D4005B" w:rsidP="00F244FF">
      <w:pPr>
        <w:pStyle w:val="11"/>
        <w:spacing w:after="0" w:line="360" w:lineRule="auto"/>
        <w:ind w:left="357"/>
        <w:jc w:val="both"/>
        <w:rPr>
          <w:rFonts w:ascii="David" w:hAnsi="David" w:cs="David"/>
          <w:sz w:val="24"/>
          <w:szCs w:val="24"/>
        </w:rPr>
      </w:pPr>
    </w:p>
    <w:p w14:paraId="0EA8EA50"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Pr>
      </w:pPr>
      <w:r>
        <w:rPr>
          <w:rFonts w:ascii="David" w:hAnsi="David" w:cs="David"/>
          <w:sz w:val="24"/>
          <w:szCs w:val="24"/>
          <w:rtl/>
        </w:rPr>
        <w:t xml:space="preserve">גם אם הייתי מקבל את טענת הנתבעת כי היא נאלצה להסכים להסדר כלכלי של השותפות עם התובע – </w:t>
      </w:r>
      <w:r>
        <w:rPr>
          <w:rFonts w:ascii="David" w:hAnsi="David" w:cs="David"/>
          <w:b/>
          <w:bCs/>
          <w:sz w:val="24"/>
          <w:szCs w:val="24"/>
          <w:rtl/>
        </w:rPr>
        <w:t>ראו: ס' 3 לכתב ההגנה</w:t>
      </w:r>
      <w:r>
        <w:rPr>
          <w:rFonts w:ascii="David" w:hAnsi="David" w:cs="David"/>
          <w:sz w:val="24"/>
          <w:szCs w:val="24"/>
          <w:rtl/>
        </w:rPr>
        <w:t xml:space="preserve"> – ואינני מקבל טענה זו, שכן על הטוען טענת אילוץ, מוטל נטל כבד להראות כי יריבו פעל כלפיו "בכוח או באיום" – </w:t>
      </w:r>
      <w:r>
        <w:rPr>
          <w:rFonts w:ascii="David" w:hAnsi="David" w:cs="David"/>
          <w:b/>
          <w:bCs/>
          <w:sz w:val="24"/>
          <w:szCs w:val="24"/>
          <w:rtl/>
        </w:rPr>
        <w:t>ראו</w:t>
      </w:r>
      <w:r>
        <w:rPr>
          <w:rFonts w:ascii="David" w:hAnsi="David" w:cs="David"/>
          <w:sz w:val="24"/>
          <w:szCs w:val="24"/>
          <w:rtl/>
        </w:rPr>
        <w:t xml:space="preserve">: </w:t>
      </w:r>
      <w:hyperlink r:id="rId19" w:history="1">
        <w:r w:rsidR="004B54CC" w:rsidRPr="004B54CC">
          <w:rPr>
            <w:rFonts w:ascii="David" w:hAnsi="David" w:cs="David"/>
            <w:color w:val="0000FF"/>
            <w:sz w:val="24"/>
            <w:szCs w:val="24"/>
            <w:u w:val="single"/>
            <w:rtl/>
          </w:rPr>
          <w:t>ת"א 49239-10-10</w:t>
        </w:r>
      </w:hyperlink>
      <w:r>
        <w:rPr>
          <w:rFonts w:ascii="David" w:hAnsi="David" w:cs="David"/>
          <w:sz w:val="24"/>
          <w:szCs w:val="24"/>
          <w:rtl/>
        </w:rPr>
        <w:t xml:space="preserve"> </w:t>
      </w:r>
      <w:r>
        <w:rPr>
          <w:rFonts w:ascii="David" w:hAnsi="David" w:cs="David"/>
          <w:b/>
          <w:bCs/>
          <w:sz w:val="24"/>
          <w:szCs w:val="24"/>
          <w:rtl/>
        </w:rPr>
        <w:t xml:space="preserve">ג'נטרג בע"מ נ' אזקטלן </w:t>
      </w:r>
      <w:r w:rsidR="00445A02">
        <w:rPr>
          <w:rFonts w:ascii="David" w:hAnsi="David" w:cs="David"/>
          <w:b/>
          <w:bCs/>
          <w:sz w:val="24"/>
          <w:szCs w:val="24"/>
          <w:rtl/>
        </w:rPr>
        <w:t>[נבו]</w:t>
      </w:r>
      <w:r w:rsidR="00445A02">
        <w:rPr>
          <w:rFonts w:ascii="David" w:hAnsi="David" w:cs="David" w:hint="cs"/>
          <w:b/>
          <w:bCs/>
          <w:sz w:val="24"/>
          <w:szCs w:val="24"/>
          <w:rtl/>
        </w:rPr>
        <w:t xml:space="preserve"> </w:t>
      </w:r>
      <w:r>
        <w:rPr>
          <w:rFonts w:ascii="David" w:hAnsi="David" w:cs="David"/>
          <w:sz w:val="24"/>
          <w:szCs w:val="24"/>
          <w:rtl/>
        </w:rPr>
        <w:t xml:space="preserve">(14.10.2012) - הרי שבסופו של דבר, עד לשנת 2020 התקיים בין הצדדים משטר של שיתוף כלכלי ולא משטר של הפרדה רכושית מוחלטת, כפי שטענה הנתבעת – </w:t>
      </w:r>
      <w:r>
        <w:rPr>
          <w:rFonts w:ascii="David" w:hAnsi="David" w:cs="David"/>
          <w:b/>
          <w:bCs/>
          <w:sz w:val="24"/>
          <w:szCs w:val="24"/>
          <w:rtl/>
        </w:rPr>
        <w:t>ראו: ס' 2 לכתב ההגנה</w:t>
      </w:r>
      <w:r>
        <w:rPr>
          <w:rFonts w:ascii="David" w:hAnsi="David" w:cs="David"/>
          <w:sz w:val="24"/>
          <w:szCs w:val="24"/>
          <w:rtl/>
        </w:rPr>
        <w:t>.</w:t>
      </w:r>
    </w:p>
    <w:p w14:paraId="0131AFC5" w14:textId="77777777" w:rsidR="00D4005B" w:rsidRDefault="00D4005B" w:rsidP="00F244FF">
      <w:pPr>
        <w:pStyle w:val="11"/>
        <w:spacing w:after="0" w:line="360" w:lineRule="auto"/>
        <w:ind w:left="357"/>
        <w:jc w:val="both"/>
        <w:rPr>
          <w:rFonts w:ascii="David" w:hAnsi="David" w:cs="David"/>
          <w:sz w:val="24"/>
          <w:szCs w:val="24"/>
        </w:rPr>
      </w:pPr>
    </w:p>
    <w:p w14:paraId="6A30CE96"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Pr>
      </w:pPr>
      <w:r>
        <w:rPr>
          <w:rFonts w:ascii="David" w:hAnsi="David" w:cs="David"/>
          <w:sz w:val="24"/>
          <w:szCs w:val="24"/>
          <w:rtl/>
        </w:rPr>
        <w:t>פועל יוצא הוא, אפוא, כי "קרע כלכלי" שחל עם יצאת הנתבעת מהחשבון המשותף ו"קרע פיזי", שחל במועד שבו הנתבעת עזבה את הבית, התרחשו בשנת 2020. שנה זו היא השנה שבה הופסק השיתוף הכלכלי בין הצדדים.</w:t>
      </w:r>
    </w:p>
    <w:p w14:paraId="6D724F45" w14:textId="77777777" w:rsidR="00D4005B" w:rsidRDefault="00D4005B" w:rsidP="00F244FF">
      <w:pPr>
        <w:pStyle w:val="11"/>
        <w:spacing w:line="360" w:lineRule="auto"/>
        <w:rPr>
          <w:rFonts w:ascii="David" w:hAnsi="David" w:cs="David"/>
          <w:sz w:val="24"/>
          <w:szCs w:val="24"/>
        </w:rPr>
      </w:pPr>
    </w:p>
    <w:p w14:paraId="5557FC42"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t xml:space="preserve">ער אני לטענת הנתבעת כי "קרע זוגי" התרחש בשנת 2001 כאשר התובע החל לנהל קשרים עם נשים אחרות והתנהל כגרוש, ללא מחויבות לנתבעת ולמשפחה – </w:t>
      </w:r>
      <w:r>
        <w:rPr>
          <w:rFonts w:ascii="David" w:hAnsi="David" w:cs="David"/>
          <w:b/>
          <w:bCs/>
          <w:sz w:val="24"/>
          <w:szCs w:val="24"/>
          <w:rtl/>
        </w:rPr>
        <w:t>ראו: ס' 3, 11-13, 19 לכתב ההגנה</w:t>
      </w:r>
      <w:r>
        <w:rPr>
          <w:rFonts w:ascii="David" w:hAnsi="David" w:cs="David"/>
          <w:sz w:val="24"/>
          <w:szCs w:val="24"/>
          <w:rtl/>
        </w:rPr>
        <w:t xml:space="preserve">. </w:t>
      </w:r>
    </w:p>
    <w:p w14:paraId="2B7542EC" w14:textId="77777777" w:rsidR="00D4005B" w:rsidRDefault="00D4005B" w:rsidP="00F244FF">
      <w:pPr>
        <w:pStyle w:val="11"/>
        <w:spacing w:line="360" w:lineRule="auto"/>
        <w:rPr>
          <w:rFonts w:ascii="David" w:hAnsi="David" w:cs="David"/>
          <w:sz w:val="24"/>
          <w:szCs w:val="24"/>
        </w:rPr>
      </w:pPr>
    </w:p>
    <w:p w14:paraId="4C95347F"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t xml:space="preserve">אכן, בגידה יכולה אף להוות נסיבה המשמיטה את הקרקע מתחת לקיומה של חזקת השיתוף </w:t>
      </w:r>
      <w:r w:rsidRPr="00F244FF">
        <w:rPr>
          <w:rFonts w:ascii="David" w:hAnsi="David" w:cs="David"/>
          <w:sz w:val="24"/>
          <w:szCs w:val="24"/>
          <w:rtl/>
        </w:rPr>
        <w:t xml:space="preserve">הקיימת בין בני זוג – </w:t>
      </w:r>
      <w:r w:rsidRPr="00F244FF">
        <w:rPr>
          <w:rFonts w:ascii="David" w:hAnsi="David" w:cs="David"/>
          <w:b/>
          <w:bCs/>
          <w:sz w:val="24"/>
          <w:szCs w:val="24"/>
          <w:rtl/>
        </w:rPr>
        <w:t>ראו</w:t>
      </w:r>
      <w:r w:rsidRPr="00F244FF">
        <w:rPr>
          <w:rFonts w:ascii="David" w:hAnsi="David" w:cs="David"/>
          <w:sz w:val="24"/>
          <w:szCs w:val="24"/>
          <w:rtl/>
        </w:rPr>
        <w:t xml:space="preserve">: </w:t>
      </w:r>
      <w:hyperlink r:id="rId20" w:history="1">
        <w:r w:rsidR="004B54CC" w:rsidRPr="004B54CC">
          <w:rPr>
            <w:rFonts w:ascii="David" w:hAnsi="David" w:cs="David"/>
            <w:color w:val="0000FF"/>
            <w:sz w:val="24"/>
            <w:szCs w:val="24"/>
            <w:u w:val="single"/>
            <w:rtl/>
          </w:rPr>
          <w:t>ע"א 264/77</w:t>
        </w:r>
      </w:hyperlink>
      <w:r w:rsidRPr="004B54CC">
        <w:rPr>
          <w:rFonts w:ascii="David" w:hAnsi="David" w:cs="David"/>
          <w:color w:val="000000"/>
          <w:sz w:val="24"/>
          <w:szCs w:val="24"/>
          <w:rtl/>
        </w:rPr>
        <w:t xml:space="preserve"> </w:t>
      </w:r>
      <w:r w:rsidRPr="004B54CC">
        <w:rPr>
          <w:rFonts w:ascii="David" w:hAnsi="David" w:cs="David"/>
          <w:b/>
          <w:bCs/>
          <w:color w:val="000000"/>
          <w:sz w:val="24"/>
          <w:szCs w:val="24"/>
          <w:rtl/>
        </w:rPr>
        <w:t>דרור נ' דרור</w:t>
      </w:r>
      <w:r w:rsidRPr="004B54CC">
        <w:rPr>
          <w:rFonts w:ascii="David" w:hAnsi="David" w:cs="David"/>
          <w:color w:val="000000"/>
          <w:sz w:val="24"/>
          <w:szCs w:val="24"/>
          <w:rtl/>
        </w:rPr>
        <w:t>, פ"ד לב</w:t>
      </w:r>
      <w:r w:rsidRPr="00F244FF">
        <w:rPr>
          <w:rFonts w:ascii="David" w:hAnsi="David" w:cs="David"/>
          <w:sz w:val="24"/>
          <w:szCs w:val="24"/>
          <w:rtl/>
        </w:rPr>
        <w:t xml:space="preserve">(1) 829 (1978); </w:t>
      </w:r>
      <w:hyperlink r:id="rId21" w:history="1">
        <w:r w:rsidR="004B54CC" w:rsidRPr="004B54CC">
          <w:rPr>
            <w:rFonts w:ascii="David" w:hAnsi="David" w:cs="David"/>
            <w:color w:val="0000FF"/>
            <w:sz w:val="24"/>
            <w:szCs w:val="24"/>
            <w:u w:val="single"/>
            <w:rtl/>
          </w:rPr>
          <w:t>בג"ץ 4602/13</w:t>
        </w:r>
      </w:hyperlink>
      <w:r w:rsidRPr="00F244FF">
        <w:rPr>
          <w:rFonts w:ascii="David" w:hAnsi="David" w:cs="David"/>
          <w:sz w:val="24"/>
          <w:szCs w:val="24"/>
          <w:rtl/>
        </w:rPr>
        <w:t xml:space="preserve"> </w:t>
      </w:r>
      <w:r w:rsidRPr="00F244FF">
        <w:rPr>
          <w:rFonts w:ascii="David" w:hAnsi="David" w:cs="David"/>
          <w:b/>
          <w:bCs/>
          <w:sz w:val="24"/>
          <w:szCs w:val="24"/>
          <w:rtl/>
        </w:rPr>
        <w:t xml:space="preserve">פלונית </w:t>
      </w:r>
      <w:r>
        <w:rPr>
          <w:rFonts w:ascii="David" w:hAnsi="David" w:cs="David"/>
          <w:b/>
          <w:bCs/>
          <w:sz w:val="24"/>
          <w:szCs w:val="24"/>
          <w:rtl/>
        </w:rPr>
        <w:t>נ' בית הדין הרבני האזורי בחיפה</w:t>
      </w:r>
      <w:r>
        <w:rPr>
          <w:rFonts w:ascii="David" w:hAnsi="David" w:cs="David"/>
          <w:sz w:val="24"/>
          <w:szCs w:val="24"/>
          <w:rtl/>
        </w:rPr>
        <w:t xml:space="preserve"> </w:t>
      </w:r>
      <w:r w:rsidR="00445A02">
        <w:rPr>
          <w:rFonts w:ascii="David" w:hAnsi="David" w:cs="David"/>
          <w:sz w:val="24"/>
          <w:szCs w:val="24"/>
          <w:rtl/>
        </w:rPr>
        <w:t>[נבו]</w:t>
      </w:r>
      <w:r w:rsidR="00445A02">
        <w:rPr>
          <w:rFonts w:ascii="David" w:hAnsi="David" w:cs="David" w:hint="cs"/>
          <w:sz w:val="24"/>
          <w:szCs w:val="24"/>
          <w:rtl/>
        </w:rPr>
        <w:t xml:space="preserve"> </w:t>
      </w:r>
      <w:r>
        <w:rPr>
          <w:rFonts w:ascii="David" w:hAnsi="David" w:cs="David"/>
          <w:sz w:val="24"/>
          <w:szCs w:val="24"/>
          <w:rtl/>
        </w:rPr>
        <w:t>(18.11.2018).</w:t>
      </w:r>
    </w:p>
    <w:p w14:paraId="130BC109" w14:textId="77777777" w:rsidR="00D4005B" w:rsidRDefault="00D4005B" w:rsidP="00F244FF">
      <w:pPr>
        <w:pStyle w:val="11"/>
        <w:spacing w:line="360" w:lineRule="auto"/>
        <w:rPr>
          <w:rFonts w:ascii="David" w:hAnsi="David" w:cs="David"/>
          <w:sz w:val="24"/>
          <w:szCs w:val="24"/>
        </w:rPr>
      </w:pPr>
    </w:p>
    <w:p w14:paraId="44F92207"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t>יחד עם זאת, טענת בגידה יש להוכיח בדרך כלשהי. במקרה שלפניי, טענת הבגידה נטענה על-ידי הנתבעת בעלמא, מבלי שפורטה כדבעי בכתב ההגנה ומבלי שהוכחה.</w:t>
      </w:r>
    </w:p>
    <w:p w14:paraId="249B4362" w14:textId="77777777" w:rsidR="00D4005B" w:rsidRDefault="00D4005B" w:rsidP="00F244FF">
      <w:pPr>
        <w:pStyle w:val="11"/>
        <w:spacing w:line="360" w:lineRule="auto"/>
        <w:rPr>
          <w:rFonts w:ascii="David" w:hAnsi="David" w:cs="David"/>
          <w:sz w:val="24"/>
          <w:szCs w:val="24"/>
        </w:rPr>
      </w:pPr>
    </w:p>
    <w:p w14:paraId="7374BC19"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t xml:space="preserve">ער אני לטענת הנתבעת כי משנת 2001 הצדדים התרחקו זה מזו במישור הרגשי והפיזי וגרו באותו בית, אך בנפרד לחלוטין – </w:t>
      </w:r>
      <w:r>
        <w:rPr>
          <w:rFonts w:ascii="David" w:hAnsi="David" w:cs="David"/>
          <w:b/>
          <w:bCs/>
          <w:sz w:val="24"/>
          <w:szCs w:val="24"/>
          <w:rtl/>
        </w:rPr>
        <w:t>ראו: ס' 20 לכתב התביעה, פרוט' עמ' 23 ש' 7, עמ' 24 ש' 10-11</w:t>
      </w:r>
      <w:r>
        <w:rPr>
          <w:rFonts w:ascii="David" w:hAnsi="David" w:cs="David"/>
          <w:sz w:val="24"/>
          <w:szCs w:val="24"/>
          <w:rtl/>
        </w:rPr>
        <w:t xml:space="preserve">. יחד עם זאת, לצורך בחינת מועד הקרע, לא די בפירוד פיזי ורגשי בלבד, אלא נדרשת אינדיקציה ברורה לנקודת זמן אשר בה למעשה גילו הצדדים את דעתם שאין ביניהם עוד שיתוף כלכלי – </w:t>
      </w:r>
      <w:r>
        <w:rPr>
          <w:rFonts w:ascii="David" w:hAnsi="David" w:cs="David"/>
          <w:b/>
          <w:bCs/>
          <w:sz w:val="24"/>
          <w:szCs w:val="24"/>
          <w:rtl/>
        </w:rPr>
        <w:t>ראו</w:t>
      </w:r>
      <w:r>
        <w:rPr>
          <w:rFonts w:ascii="David" w:hAnsi="David" w:cs="David"/>
          <w:sz w:val="24"/>
          <w:szCs w:val="24"/>
          <w:rtl/>
        </w:rPr>
        <w:t xml:space="preserve">: </w:t>
      </w:r>
      <w:hyperlink r:id="rId22" w:history="1">
        <w:r w:rsidR="004B54CC" w:rsidRPr="004B54CC">
          <w:rPr>
            <w:rFonts w:ascii="David" w:hAnsi="David" w:cs="David"/>
            <w:color w:val="0000FF"/>
            <w:sz w:val="24"/>
            <w:szCs w:val="24"/>
            <w:u w:val="single"/>
            <w:rtl/>
          </w:rPr>
          <w:t>תמ"ש 8265-07-16</w:t>
        </w:r>
      </w:hyperlink>
      <w:r>
        <w:rPr>
          <w:rFonts w:ascii="David" w:hAnsi="David" w:cs="David"/>
          <w:sz w:val="24"/>
          <w:szCs w:val="24"/>
          <w:rtl/>
        </w:rPr>
        <w:t xml:space="preserve"> </w:t>
      </w:r>
      <w:r>
        <w:rPr>
          <w:rFonts w:ascii="David" w:hAnsi="David" w:cs="David"/>
          <w:b/>
          <w:bCs/>
          <w:sz w:val="24"/>
          <w:szCs w:val="24"/>
          <w:rtl/>
        </w:rPr>
        <w:t>ר' נ' א'</w:t>
      </w:r>
      <w:r>
        <w:rPr>
          <w:rFonts w:ascii="David" w:hAnsi="David" w:cs="David"/>
          <w:sz w:val="24"/>
          <w:szCs w:val="24"/>
          <w:rtl/>
        </w:rPr>
        <w:t xml:space="preserve"> </w:t>
      </w:r>
      <w:r w:rsidR="00445A02">
        <w:rPr>
          <w:rFonts w:ascii="David" w:hAnsi="David" w:cs="David"/>
          <w:sz w:val="24"/>
          <w:szCs w:val="24"/>
          <w:rtl/>
        </w:rPr>
        <w:t>[נבו]</w:t>
      </w:r>
      <w:r w:rsidR="00445A02">
        <w:rPr>
          <w:rFonts w:ascii="David" w:hAnsi="David" w:cs="David" w:hint="cs"/>
          <w:sz w:val="24"/>
          <w:szCs w:val="24"/>
          <w:rtl/>
        </w:rPr>
        <w:t xml:space="preserve"> </w:t>
      </w:r>
      <w:r>
        <w:rPr>
          <w:rFonts w:ascii="David" w:hAnsi="David" w:cs="David"/>
          <w:sz w:val="24"/>
          <w:szCs w:val="24"/>
          <w:rtl/>
        </w:rPr>
        <w:t>(2.10.2022).</w:t>
      </w:r>
    </w:p>
    <w:p w14:paraId="6060FF72" w14:textId="77777777" w:rsidR="00D4005B" w:rsidRDefault="00D4005B" w:rsidP="00F244FF">
      <w:pPr>
        <w:pStyle w:val="11"/>
        <w:spacing w:line="360" w:lineRule="auto"/>
        <w:rPr>
          <w:rFonts w:ascii="David" w:hAnsi="David" w:cs="David"/>
          <w:sz w:val="24"/>
          <w:szCs w:val="24"/>
        </w:rPr>
      </w:pPr>
    </w:p>
    <w:p w14:paraId="043495B4"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t xml:space="preserve">למותר לציין כי בהליך הקודם הודתה הנתבעת כי בשנת 2013 הצדדים נסעו יחד למרוקו וישנו במלון באותו החדר – </w:t>
      </w:r>
      <w:r>
        <w:rPr>
          <w:rFonts w:ascii="David" w:hAnsi="David" w:cs="David"/>
          <w:b/>
          <w:bCs/>
          <w:sz w:val="24"/>
          <w:szCs w:val="24"/>
          <w:rtl/>
        </w:rPr>
        <w:t>ראו: פרוט' בהליך הקודם ש' 14 ש' 25</w:t>
      </w:r>
      <w:r>
        <w:rPr>
          <w:rFonts w:ascii="David" w:hAnsi="David" w:cs="David"/>
          <w:sz w:val="24"/>
          <w:szCs w:val="24"/>
          <w:rtl/>
        </w:rPr>
        <w:t>-</w:t>
      </w:r>
      <w:r>
        <w:rPr>
          <w:rFonts w:ascii="David" w:hAnsi="David" w:cs="David"/>
          <w:b/>
          <w:bCs/>
          <w:sz w:val="24"/>
          <w:szCs w:val="24"/>
          <w:rtl/>
        </w:rPr>
        <w:t>28</w:t>
      </w:r>
      <w:r>
        <w:rPr>
          <w:rFonts w:ascii="David" w:hAnsi="David" w:cs="David"/>
          <w:sz w:val="24"/>
          <w:szCs w:val="24"/>
          <w:rtl/>
        </w:rPr>
        <w:t xml:space="preserve">. עוד הודתה נתבעת במסגרת ההליך הקודם, כי בשנת 2017, כאשר התובע חלה, הנתבעת ליוותה אותו במשך 3 חודשים לכל הטיפולים הרפואיים – </w:t>
      </w:r>
      <w:r>
        <w:rPr>
          <w:rFonts w:ascii="David" w:hAnsi="David" w:cs="David"/>
          <w:b/>
          <w:bCs/>
          <w:sz w:val="24"/>
          <w:szCs w:val="24"/>
          <w:rtl/>
        </w:rPr>
        <w:t>ראו: פרוט' בהליך הקודם עמ' 14 ש' 33 עד עמ' 15 ש' 3</w:t>
      </w:r>
      <w:r>
        <w:rPr>
          <w:rFonts w:ascii="David" w:hAnsi="David" w:cs="David"/>
          <w:sz w:val="24"/>
          <w:szCs w:val="24"/>
          <w:rtl/>
        </w:rPr>
        <w:t xml:space="preserve">. כמו-כן הודתה נתבעת בהליך הקודם כי בשנת 2019, הצדדים נסעו לבנם שמתגורר בארה"ב – </w:t>
      </w:r>
      <w:r>
        <w:rPr>
          <w:rFonts w:ascii="David" w:hAnsi="David" w:cs="David"/>
          <w:b/>
          <w:bCs/>
          <w:sz w:val="24"/>
          <w:szCs w:val="24"/>
          <w:rtl/>
        </w:rPr>
        <w:t>ראו: פרוט' בהליך הקודם עמ' 14 ש' 29-32 ראו גם את עדות התובע בעניין זה עמ' 6 ש' 1-4</w:t>
      </w:r>
      <w:r>
        <w:rPr>
          <w:rFonts w:ascii="David" w:hAnsi="David" w:cs="David"/>
          <w:sz w:val="24"/>
          <w:szCs w:val="24"/>
          <w:rtl/>
        </w:rPr>
        <w:t>, כך שלא ניתן לראות בצדדים שני זרים או שני שותפים בלבד לדירה אחת, כפי שטענה הנתבעת.</w:t>
      </w:r>
    </w:p>
    <w:p w14:paraId="705FD355" w14:textId="77777777" w:rsidR="00D4005B" w:rsidRDefault="00D4005B" w:rsidP="00F244FF">
      <w:pPr>
        <w:pStyle w:val="11"/>
        <w:spacing w:line="360" w:lineRule="auto"/>
        <w:rPr>
          <w:rFonts w:ascii="David" w:hAnsi="David" w:cs="David"/>
          <w:sz w:val="24"/>
          <w:szCs w:val="24"/>
          <w:rtl/>
        </w:rPr>
      </w:pPr>
    </w:p>
    <w:p w14:paraId="273B65E2" w14:textId="77777777" w:rsidR="00D4005B" w:rsidRDefault="00D4005B" w:rsidP="00F244FF">
      <w:pPr>
        <w:pStyle w:val="11"/>
        <w:spacing w:line="360" w:lineRule="auto"/>
        <w:rPr>
          <w:rFonts w:ascii="David" w:hAnsi="David" w:cs="David"/>
          <w:sz w:val="24"/>
          <w:szCs w:val="24"/>
          <w:rtl/>
        </w:rPr>
      </w:pPr>
    </w:p>
    <w:p w14:paraId="2CC04846" w14:textId="77777777" w:rsidR="00D4005B" w:rsidRDefault="00D4005B" w:rsidP="00F244FF">
      <w:pPr>
        <w:pStyle w:val="11"/>
        <w:spacing w:line="360" w:lineRule="auto"/>
        <w:rPr>
          <w:rFonts w:ascii="David" w:hAnsi="David" w:cs="David"/>
          <w:sz w:val="24"/>
          <w:szCs w:val="24"/>
        </w:rPr>
      </w:pPr>
    </w:p>
    <w:p w14:paraId="67A16F9B"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t xml:space="preserve">הנתבעת טענה בסיכומיה כי קיומו של ההסכם משנת 2009 מחזק את טענתה כי מועד הקרע חל בשנת 2001 – </w:t>
      </w:r>
      <w:r>
        <w:rPr>
          <w:rFonts w:ascii="David" w:hAnsi="David" w:cs="David"/>
          <w:b/>
          <w:bCs/>
          <w:sz w:val="24"/>
          <w:szCs w:val="24"/>
          <w:rtl/>
        </w:rPr>
        <w:t>ראו: פרוט' עמ' 23 ש' 20-22</w:t>
      </w:r>
      <w:r>
        <w:rPr>
          <w:rFonts w:ascii="David" w:hAnsi="David" w:cs="David"/>
          <w:sz w:val="24"/>
          <w:szCs w:val="24"/>
          <w:rtl/>
        </w:rPr>
        <w:t xml:space="preserve">. לטענתה, אף שההסכם משנת 2009 לא אושר, הבקשה לאישור הסכם, אינה טעונה אישור, וחתימת הצדדים על-גביה מצביע על רצון הצדדים ועל הקרע שנמשך בין השנים 2001-2009 – </w:t>
      </w:r>
      <w:r>
        <w:rPr>
          <w:rFonts w:ascii="David" w:hAnsi="David" w:cs="David"/>
          <w:b/>
          <w:bCs/>
          <w:sz w:val="24"/>
          <w:szCs w:val="24"/>
          <w:rtl/>
        </w:rPr>
        <w:t>ראו: פרוט' עמ' 23 ש' 31-34</w:t>
      </w:r>
      <w:r>
        <w:rPr>
          <w:rFonts w:ascii="David" w:hAnsi="David" w:cs="David"/>
          <w:sz w:val="24"/>
          <w:szCs w:val="24"/>
          <w:rtl/>
        </w:rPr>
        <w:t>.</w:t>
      </w:r>
    </w:p>
    <w:p w14:paraId="374386C5" w14:textId="77777777" w:rsidR="00D4005B" w:rsidRDefault="00D4005B" w:rsidP="00F244FF">
      <w:pPr>
        <w:pStyle w:val="11"/>
        <w:spacing w:line="360" w:lineRule="auto"/>
        <w:rPr>
          <w:rFonts w:ascii="David" w:hAnsi="David" w:cs="David"/>
          <w:sz w:val="24"/>
          <w:szCs w:val="24"/>
        </w:rPr>
      </w:pPr>
    </w:p>
    <w:p w14:paraId="3495F7E7"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t>לא ניתן לקבל את טענתה זו של הנתבעת. לא זו בלבד שההסכם משנת 2009 לא אושר כדין על-ידי ערכאה שיפוטית מוסמכת, אלא שהוא מעולם לא הוגש לאישורה, ועובדה זו הפכה את הבקשה לאישור הסכם לחסרת כל ערך.</w:t>
      </w:r>
    </w:p>
    <w:p w14:paraId="78542591" w14:textId="77777777" w:rsidR="00D4005B" w:rsidRDefault="00D4005B" w:rsidP="00F244FF">
      <w:pPr>
        <w:pStyle w:val="11"/>
        <w:spacing w:line="360" w:lineRule="auto"/>
        <w:rPr>
          <w:rFonts w:ascii="David" w:hAnsi="David" w:cs="David"/>
          <w:sz w:val="24"/>
          <w:szCs w:val="24"/>
        </w:rPr>
      </w:pPr>
    </w:p>
    <w:p w14:paraId="4F3224E9"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t xml:space="preserve">נוסף על כך, ההסכם משנת 2009 כותרתו "הסכם גירושין" והוא כולל, בין היתר, פרק "גירושין". ממועד עריכת ההסכם משנת 2009 ועד הלום חלפו כ-15 שנים, שבמהלכן הצדדים טרם התגרשו – </w:t>
      </w:r>
      <w:r>
        <w:rPr>
          <w:rFonts w:ascii="David" w:hAnsi="David" w:cs="David"/>
          <w:b/>
          <w:bCs/>
          <w:sz w:val="24"/>
          <w:szCs w:val="24"/>
          <w:rtl/>
        </w:rPr>
        <w:t>ראו: פרוט' עמ' 2 ש' 35 עד עמ' 3 ש' 7</w:t>
      </w:r>
      <w:r>
        <w:rPr>
          <w:rFonts w:ascii="David" w:hAnsi="David" w:cs="David"/>
          <w:sz w:val="24"/>
          <w:szCs w:val="24"/>
          <w:rtl/>
        </w:rPr>
        <w:t>, כך ש"גולת הכותרת" של ההסכם כלל לא קוימה.</w:t>
      </w:r>
    </w:p>
    <w:p w14:paraId="51BED496" w14:textId="77777777" w:rsidR="00D4005B" w:rsidRDefault="00D4005B" w:rsidP="00F244FF">
      <w:pPr>
        <w:pStyle w:val="11"/>
        <w:spacing w:line="360" w:lineRule="auto"/>
        <w:rPr>
          <w:rFonts w:ascii="David" w:hAnsi="David" w:cs="David"/>
          <w:sz w:val="24"/>
          <w:szCs w:val="24"/>
        </w:rPr>
      </w:pPr>
    </w:p>
    <w:p w14:paraId="20EE6572"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t xml:space="preserve">זאת ועוד, התובע העיד כי לא זכר את קיומו של ההסכם משנת 2009 – </w:t>
      </w:r>
      <w:r>
        <w:rPr>
          <w:rFonts w:ascii="David" w:hAnsi="David" w:cs="David"/>
          <w:b/>
          <w:bCs/>
          <w:sz w:val="24"/>
          <w:szCs w:val="24"/>
          <w:rtl/>
        </w:rPr>
        <w:t>ראו: פרוט' עמ' 7 ש' 16-17</w:t>
      </w:r>
      <w:r>
        <w:rPr>
          <w:rFonts w:ascii="David" w:hAnsi="David" w:cs="David"/>
          <w:sz w:val="24"/>
          <w:szCs w:val="24"/>
          <w:rtl/>
        </w:rPr>
        <w:t xml:space="preserve">. באופן דומה העידה הנתבעת כי בהליך הקודם היא לא הזכירה את ההסכם משנת 2009 משום שהוא לא היה ברשותה – </w:t>
      </w:r>
      <w:r>
        <w:rPr>
          <w:rFonts w:ascii="David" w:hAnsi="David" w:cs="David"/>
          <w:b/>
          <w:bCs/>
          <w:sz w:val="24"/>
          <w:szCs w:val="24"/>
          <w:rtl/>
        </w:rPr>
        <w:t>ראו: פרוט' עמ' 13 ש' 19-23</w:t>
      </w:r>
      <w:r>
        <w:rPr>
          <w:rFonts w:ascii="David" w:hAnsi="David" w:cs="David"/>
          <w:sz w:val="24"/>
          <w:szCs w:val="24"/>
          <w:rtl/>
        </w:rPr>
        <w:t xml:space="preserve">, וכי היא מצאה אותו במחסן, כשחיפשה מסמכים אחרים – </w:t>
      </w:r>
      <w:r>
        <w:rPr>
          <w:rFonts w:ascii="David" w:hAnsi="David" w:cs="David"/>
          <w:b/>
          <w:bCs/>
          <w:sz w:val="24"/>
          <w:szCs w:val="24"/>
          <w:rtl/>
        </w:rPr>
        <w:t>ראו: פרוט' עמ' 17 ש' 21-26</w:t>
      </w:r>
      <w:r>
        <w:rPr>
          <w:rFonts w:ascii="David" w:hAnsi="David" w:cs="David"/>
          <w:sz w:val="24"/>
          <w:szCs w:val="24"/>
          <w:rtl/>
        </w:rPr>
        <w:t xml:space="preserve">. </w:t>
      </w:r>
    </w:p>
    <w:p w14:paraId="74B68FEA" w14:textId="77777777" w:rsidR="00D4005B" w:rsidRDefault="00D4005B" w:rsidP="00F244FF">
      <w:pPr>
        <w:pStyle w:val="11"/>
        <w:spacing w:after="0" w:line="360" w:lineRule="auto"/>
        <w:ind w:left="357"/>
        <w:jc w:val="both"/>
        <w:rPr>
          <w:rFonts w:ascii="David" w:hAnsi="David" w:cs="David"/>
          <w:sz w:val="24"/>
          <w:szCs w:val="24"/>
        </w:rPr>
      </w:pPr>
    </w:p>
    <w:p w14:paraId="1ABC0B7B"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Pr>
      </w:pPr>
      <w:r>
        <w:rPr>
          <w:rFonts w:ascii="David" w:hAnsi="David" w:cs="David"/>
          <w:sz w:val="24"/>
          <w:szCs w:val="24"/>
          <w:rtl/>
        </w:rPr>
        <w:t xml:space="preserve">לשון אחר, שני הצדדים לא ייחסו חשיבות מיוחדת להסכם משנת 2009 על-אף שחתמו עליו, ולא ניתן לראות בהסכם משנת 2009 כהסכם אשר מלמד על הקרע ביחסי הצדדים, שנמשך בין השנים 2001-2009. </w:t>
      </w:r>
    </w:p>
    <w:p w14:paraId="3B1130BF" w14:textId="77777777" w:rsidR="00D4005B" w:rsidRDefault="00D4005B" w:rsidP="00F244FF">
      <w:pPr>
        <w:pStyle w:val="11"/>
        <w:spacing w:line="360" w:lineRule="auto"/>
        <w:rPr>
          <w:rFonts w:ascii="David" w:hAnsi="David" w:cs="David"/>
          <w:sz w:val="24"/>
          <w:szCs w:val="24"/>
        </w:rPr>
      </w:pPr>
    </w:p>
    <w:p w14:paraId="1D87D8AB"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t xml:space="preserve">לאור האמור לעיל, אני מקבל את טענת התובע וקובע כי מועד הקרע הוא מועד עזיבת הנתבעת את הבית, ותקופת השיתוף היא מיום הנישואין כדין – </w:t>
      </w:r>
      <w:r>
        <w:rPr>
          <w:rFonts w:ascii="David" w:hAnsi="David" w:cs="David"/>
          <w:b/>
          <w:bCs/>
          <w:sz w:val="24"/>
          <w:szCs w:val="24"/>
          <w:rtl/>
        </w:rPr>
        <w:t>ראו</w:t>
      </w:r>
      <w:r>
        <w:rPr>
          <w:rFonts w:ascii="David" w:hAnsi="David" w:cs="David"/>
          <w:sz w:val="24"/>
          <w:szCs w:val="24"/>
          <w:rtl/>
        </w:rPr>
        <w:t xml:space="preserve">: </w:t>
      </w:r>
      <w:hyperlink r:id="rId23" w:history="1">
        <w:r w:rsidR="004B54CC" w:rsidRPr="004B54CC">
          <w:rPr>
            <w:rFonts w:ascii="David" w:hAnsi="David" w:cs="David"/>
            <w:color w:val="0000FF"/>
            <w:sz w:val="24"/>
            <w:szCs w:val="24"/>
            <w:u w:val="single"/>
            <w:rtl/>
          </w:rPr>
          <w:t>תלה"מ 34569-12-21</w:t>
        </w:r>
      </w:hyperlink>
      <w:r>
        <w:rPr>
          <w:rFonts w:ascii="David" w:hAnsi="David" w:cs="David"/>
          <w:sz w:val="24"/>
          <w:szCs w:val="24"/>
          <w:rtl/>
        </w:rPr>
        <w:t xml:space="preserve"> </w:t>
      </w:r>
      <w:r>
        <w:rPr>
          <w:rFonts w:ascii="David" w:hAnsi="David" w:cs="David"/>
          <w:b/>
          <w:bCs/>
          <w:sz w:val="24"/>
          <w:szCs w:val="24"/>
          <w:rtl/>
        </w:rPr>
        <w:t>ע.י.ח נ' א.ח</w:t>
      </w:r>
      <w:r>
        <w:rPr>
          <w:rFonts w:ascii="David" w:hAnsi="David" w:cs="David"/>
          <w:sz w:val="24"/>
          <w:szCs w:val="24"/>
          <w:rtl/>
        </w:rPr>
        <w:t xml:space="preserve"> </w:t>
      </w:r>
      <w:r w:rsidR="00445A02">
        <w:rPr>
          <w:rFonts w:ascii="David" w:hAnsi="David" w:cs="David"/>
          <w:sz w:val="24"/>
          <w:szCs w:val="24"/>
          <w:rtl/>
        </w:rPr>
        <w:t>[נבו]</w:t>
      </w:r>
      <w:r w:rsidR="00445A02">
        <w:rPr>
          <w:rFonts w:ascii="David" w:hAnsi="David" w:cs="David" w:hint="cs"/>
          <w:sz w:val="24"/>
          <w:szCs w:val="24"/>
          <w:rtl/>
        </w:rPr>
        <w:t xml:space="preserve"> </w:t>
      </w:r>
      <w:r>
        <w:rPr>
          <w:rFonts w:ascii="David" w:hAnsi="David" w:cs="David"/>
          <w:sz w:val="24"/>
          <w:szCs w:val="24"/>
          <w:rtl/>
        </w:rPr>
        <w:t xml:space="preserve">(3.9.2023) – הוא יום </w:t>
      </w:r>
      <w:r w:rsidR="00445A02">
        <w:rPr>
          <w:rFonts w:ascii="David" w:hAnsi="David" w:cs="David"/>
          <w:sz w:val="24"/>
          <w:szCs w:val="24"/>
          <w:rtl/>
        </w:rPr>
        <w:t>00.00</w:t>
      </w:r>
      <w:r>
        <w:rPr>
          <w:rFonts w:ascii="David" w:hAnsi="David" w:cs="David"/>
          <w:sz w:val="24"/>
          <w:szCs w:val="24"/>
          <w:rtl/>
        </w:rPr>
        <w:t>.1980, ועד למועד הקרע ביום 5.5.2020, ובהתאם להסכמה הדיונית, איזון המשאבים יבוצע ביחס לתקופה זו.</w:t>
      </w:r>
    </w:p>
    <w:p w14:paraId="7F8FE452" w14:textId="77777777" w:rsidR="00D4005B" w:rsidRDefault="00D4005B" w:rsidP="00F244FF">
      <w:pPr>
        <w:spacing w:line="360" w:lineRule="auto"/>
        <w:jc w:val="both"/>
        <w:rPr>
          <w:rFonts w:ascii="David" w:hAnsi="David"/>
          <w:noProof w:val="0"/>
          <w:u w:val="single"/>
          <w:rtl/>
        </w:rPr>
      </w:pPr>
    </w:p>
    <w:p w14:paraId="4E371393" w14:textId="77777777" w:rsidR="00D4005B" w:rsidRDefault="00000000" w:rsidP="00F244FF">
      <w:pPr>
        <w:spacing w:line="360" w:lineRule="auto"/>
        <w:jc w:val="both"/>
        <w:rPr>
          <w:rFonts w:ascii="David" w:hAnsi="David"/>
          <w:noProof w:val="0"/>
          <w:u w:val="single"/>
          <w:rtl/>
        </w:rPr>
      </w:pPr>
      <w:r>
        <w:rPr>
          <w:rFonts w:ascii="David" w:hAnsi="David"/>
          <w:noProof w:val="0"/>
          <w:u w:val="single"/>
          <w:rtl/>
        </w:rPr>
        <w:t>תוקפו של ההסכם משנת 2020</w:t>
      </w:r>
    </w:p>
    <w:p w14:paraId="31F6DCEC" w14:textId="77777777" w:rsidR="00D4005B" w:rsidRDefault="00D4005B" w:rsidP="00F244FF">
      <w:pPr>
        <w:spacing w:line="360" w:lineRule="auto"/>
        <w:jc w:val="both"/>
        <w:rPr>
          <w:rFonts w:ascii="David" w:hAnsi="David"/>
          <w:noProof w:val="0"/>
          <w:rtl/>
        </w:rPr>
      </w:pPr>
    </w:p>
    <w:p w14:paraId="66862080"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Pr>
      </w:pPr>
      <w:r>
        <w:rPr>
          <w:rFonts w:ascii="David" w:hAnsi="David" w:cs="David"/>
          <w:sz w:val="24"/>
          <w:szCs w:val="24"/>
          <w:rtl/>
        </w:rPr>
        <w:t>הסכם משנת 2020 הוא מסמך הערוך בכתב יד וזו לשונו:</w:t>
      </w:r>
    </w:p>
    <w:p w14:paraId="4299B560" w14:textId="77777777" w:rsidR="00D4005B" w:rsidRDefault="00D4005B" w:rsidP="00F244FF">
      <w:pPr>
        <w:pStyle w:val="11"/>
        <w:spacing w:after="0" w:line="360" w:lineRule="auto"/>
        <w:ind w:left="357"/>
        <w:jc w:val="both"/>
        <w:rPr>
          <w:rFonts w:ascii="David" w:hAnsi="David" w:cs="David"/>
          <w:sz w:val="24"/>
          <w:szCs w:val="24"/>
        </w:rPr>
      </w:pPr>
    </w:p>
    <w:p w14:paraId="1DD00CC7" w14:textId="77777777" w:rsidR="00D4005B" w:rsidRDefault="00000000" w:rsidP="00F244FF">
      <w:pPr>
        <w:pStyle w:val="11"/>
        <w:spacing w:after="0" w:line="360" w:lineRule="auto"/>
        <w:ind w:left="466" w:right="851"/>
        <w:jc w:val="both"/>
        <w:rPr>
          <w:rFonts w:ascii="David" w:hAnsi="David" w:cs="David"/>
          <w:b/>
          <w:bCs/>
          <w:sz w:val="24"/>
          <w:szCs w:val="24"/>
        </w:rPr>
      </w:pPr>
      <w:r>
        <w:rPr>
          <w:rFonts w:ascii="David" w:hAnsi="David" w:cs="David"/>
          <w:sz w:val="24"/>
          <w:szCs w:val="24"/>
          <w:rtl/>
        </w:rPr>
        <w:t>"</w:t>
      </w:r>
      <w:r>
        <w:rPr>
          <w:rFonts w:ascii="David" w:hAnsi="David" w:cs="David"/>
          <w:b/>
          <w:bCs/>
          <w:sz w:val="24"/>
          <w:szCs w:val="24"/>
          <w:rtl/>
        </w:rPr>
        <w:t>אני מאשר שעם יציאתך מחשבון הבנק המשותף שלנו כל האחריות לחשבון זה תהיה עלי בלבד.</w:t>
      </w:r>
    </w:p>
    <w:p w14:paraId="5186ED28" w14:textId="77777777" w:rsidR="00D4005B" w:rsidRDefault="00D4005B" w:rsidP="00F244FF">
      <w:pPr>
        <w:spacing w:line="360" w:lineRule="auto"/>
        <w:ind w:left="466" w:right="851"/>
        <w:jc w:val="both"/>
        <w:rPr>
          <w:rFonts w:ascii="David" w:hAnsi="David"/>
          <w:b/>
          <w:bCs/>
        </w:rPr>
      </w:pPr>
    </w:p>
    <w:p w14:paraId="40450095" w14:textId="77777777" w:rsidR="00D4005B" w:rsidRDefault="00000000" w:rsidP="00F244FF">
      <w:pPr>
        <w:spacing w:line="360" w:lineRule="auto"/>
        <w:ind w:left="466" w:right="851"/>
        <w:jc w:val="both"/>
        <w:rPr>
          <w:rFonts w:ascii="David" w:hAnsi="David"/>
          <w:b/>
          <w:bCs/>
          <w:noProof w:val="0"/>
          <w:rtl/>
        </w:rPr>
      </w:pPr>
      <w:r>
        <w:rPr>
          <w:rFonts w:ascii="David" w:hAnsi="David"/>
          <w:b/>
          <w:bCs/>
          <w:noProof w:val="0"/>
          <w:rtl/>
        </w:rPr>
        <w:t>וכמו כן לא יהיו לנו טענות הדדיות כל שהן בקשר לכספים או זכויות משותפות מכל סוג למעט בקשר לבית שלנו.</w:t>
      </w:r>
    </w:p>
    <w:p w14:paraId="323420EE" w14:textId="77777777" w:rsidR="00D4005B" w:rsidRDefault="00000000" w:rsidP="00E96EC9">
      <w:pPr>
        <w:spacing w:line="360" w:lineRule="auto"/>
        <w:ind w:left="466" w:right="851"/>
        <w:jc w:val="both"/>
        <w:rPr>
          <w:rFonts w:ascii="David" w:hAnsi="David"/>
          <w:b/>
          <w:bCs/>
          <w:noProof w:val="0"/>
          <w:rtl/>
        </w:rPr>
      </w:pPr>
      <w:r>
        <w:rPr>
          <w:rFonts w:ascii="David" w:hAnsi="David"/>
          <w:b/>
          <w:bCs/>
          <w:noProof w:val="0"/>
          <w:rtl/>
        </w:rPr>
        <w:t xml:space="preserve">* אני אמשיך לשלם את הוראת הקבע עבור </w:t>
      </w:r>
      <w:r>
        <w:rPr>
          <w:rFonts w:ascii="David" w:hAnsi="David"/>
          <w:b/>
          <w:bCs/>
        </w:rPr>
        <w:t>XXXXX</w:t>
      </w:r>
      <w:r>
        <w:rPr>
          <w:rFonts w:ascii="David" w:hAnsi="David"/>
          <w:b/>
          <w:bCs/>
          <w:noProof w:val="0"/>
          <w:rtl/>
        </w:rPr>
        <w:t xml:space="preserve">  </w:t>
      </w:r>
    </w:p>
    <w:p w14:paraId="14E02B45" w14:textId="77777777" w:rsidR="00D4005B" w:rsidRDefault="00000000" w:rsidP="00F244FF">
      <w:pPr>
        <w:spacing w:line="360" w:lineRule="auto"/>
        <w:ind w:left="466" w:right="851" w:firstLine="5812"/>
        <w:jc w:val="both"/>
        <w:rPr>
          <w:rFonts w:ascii="David" w:hAnsi="David"/>
          <w:b/>
          <w:bCs/>
          <w:noProof w:val="0"/>
          <w:rtl/>
        </w:rPr>
      </w:pPr>
      <w:r>
        <w:rPr>
          <w:rFonts w:ascii="David" w:hAnsi="David"/>
          <w:b/>
          <w:bCs/>
          <w:noProof w:val="0"/>
          <w:rtl/>
        </w:rPr>
        <w:lastRenderedPageBreak/>
        <w:t xml:space="preserve"> </w:t>
      </w:r>
      <w:r>
        <w:rPr>
          <w:rFonts w:ascii="David" w:hAnsi="David"/>
          <w:b/>
          <w:bCs/>
          <w:noProof w:val="0"/>
          <w:rtl/>
        </w:rPr>
        <w:tab/>
      </w:r>
      <w:r>
        <w:rPr>
          <w:rFonts w:ascii="David" w:hAnsi="David"/>
          <w:b/>
          <w:bCs/>
          <w:noProof w:val="0"/>
          <w:rtl/>
        </w:rPr>
        <w:tab/>
      </w:r>
      <w:r>
        <w:rPr>
          <w:rFonts w:ascii="David" w:hAnsi="David"/>
          <w:b/>
          <w:bCs/>
          <w:noProof w:val="0"/>
          <w:rtl/>
        </w:rPr>
        <w:tab/>
      </w:r>
      <w:r>
        <w:rPr>
          <w:rFonts w:ascii="David" w:hAnsi="David"/>
          <w:b/>
          <w:bCs/>
          <w:noProof w:val="0"/>
          <w:rtl/>
        </w:rPr>
        <w:tab/>
      </w:r>
      <w:r>
        <w:rPr>
          <w:rFonts w:ascii="David" w:hAnsi="David"/>
          <w:b/>
          <w:bCs/>
          <w:noProof w:val="0"/>
          <w:rtl/>
        </w:rPr>
        <w:tab/>
      </w:r>
      <w:r>
        <w:rPr>
          <w:rFonts w:ascii="David" w:hAnsi="David"/>
          <w:b/>
          <w:bCs/>
          <w:noProof w:val="0"/>
          <w:rtl/>
        </w:rPr>
        <w:tab/>
      </w:r>
      <w:r>
        <w:rPr>
          <w:rFonts w:ascii="David" w:hAnsi="David"/>
          <w:b/>
          <w:bCs/>
          <w:noProof w:val="0"/>
          <w:rtl/>
        </w:rPr>
        <w:tab/>
      </w:r>
      <w:r>
        <w:rPr>
          <w:rFonts w:ascii="David" w:hAnsi="David"/>
          <w:b/>
          <w:bCs/>
          <w:noProof w:val="0"/>
          <w:rtl/>
        </w:rPr>
        <w:tab/>
      </w:r>
      <w:r>
        <w:rPr>
          <w:rFonts w:ascii="David" w:hAnsi="David"/>
          <w:b/>
          <w:bCs/>
          <w:noProof w:val="0"/>
          <w:rtl/>
        </w:rPr>
        <w:tab/>
        <w:t>- חתימות -</w:t>
      </w:r>
    </w:p>
    <w:p w14:paraId="76E8C39D" w14:textId="77777777" w:rsidR="00D4005B" w:rsidRDefault="00000000" w:rsidP="006C3554">
      <w:pPr>
        <w:spacing w:line="360" w:lineRule="auto"/>
        <w:ind w:left="4320" w:right="851" w:hanging="11"/>
        <w:jc w:val="both"/>
        <w:rPr>
          <w:rFonts w:ascii="David" w:hAnsi="David"/>
          <w:b/>
          <w:bCs/>
          <w:noProof w:val="0"/>
          <w:rtl/>
        </w:rPr>
      </w:pPr>
      <w:r>
        <w:rPr>
          <w:rFonts w:ascii="David" w:hAnsi="David"/>
          <w:b/>
          <w:bCs/>
          <w:noProof w:val="0"/>
          <w:rtl/>
        </w:rPr>
        <w:t xml:space="preserve">   הנתבעת</w:t>
      </w:r>
    </w:p>
    <w:p w14:paraId="5AA55E29" w14:textId="77777777" w:rsidR="00D4005B" w:rsidRDefault="00000000" w:rsidP="006C3554">
      <w:pPr>
        <w:spacing w:line="360" w:lineRule="auto"/>
        <w:ind w:left="4320" w:right="851" w:hanging="11"/>
        <w:jc w:val="both"/>
        <w:rPr>
          <w:rFonts w:ascii="David" w:hAnsi="David"/>
          <w:noProof w:val="0"/>
          <w:rtl/>
        </w:rPr>
      </w:pPr>
      <w:r>
        <w:rPr>
          <w:rFonts w:ascii="David" w:hAnsi="David"/>
          <w:b/>
          <w:bCs/>
          <w:noProof w:val="0"/>
          <w:rtl/>
        </w:rPr>
        <w:t xml:space="preserve">    התובע</w:t>
      </w:r>
      <w:r>
        <w:rPr>
          <w:rFonts w:ascii="David" w:hAnsi="David"/>
          <w:noProof w:val="0"/>
          <w:rtl/>
        </w:rPr>
        <w:t>".</w:t>
      </w:r>
    </w:p>
    <w:p w14:paraId="151A3C1D" w14:textId="77777777" w:rsidR="00D4005B" w:rsidRDefault="00D4005B" w:rsidP="00F244FF">
      <w:pPr>
        <w:pStyle w:val="11"/>
        <w:spacing w:line="360" w:lineRule="auto"/>
        <w:rPr>
          <w:rFonts w:ascii="David" w:hAnsi="David" w:cs="David"/>
          <w:sz w:val="24"/>
          <w:szCs w:val="24"/>
        </w:rPr>
      </w:pPr>
    </w:p>
    <w:p w14:paraId="2A80E99F"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t xml:space="preserve">אין מחלוקת כי ההסכם משנת 2020 נערך במעמד יציאת הנתבעת מהחשבון המשותף, מול פקידת הבנק – </w:t>
      </w:r>
      <w:r>
        <w:rPr>
          <w:rFonts w:ascii="David" w:hAnsi="David" w:cs="David"/>
          <w:b/>
          <w:bCs/>
          <w:sz w:val="24"/>
          <w:szCs w:val="24"/>
          <w:rtl/>
        </w:rPr>
        <w:t>ראו</w:t>
      </w:r>
      <w:r>
        <w:rPr>
          <w:rFonts w:ascii="David" w:hAnsi="David" w:cs="David"/>
          <w:sz w:val="24"/>
          <w:szCs w:val="24"/>
          <w:rtl/>
        </w:rPr>
        <w:t>:</w:t>
      </w:r>
      <w:r>
        <w:rPr>
          <w:rFonts w:ascii="David" w:hAnsi="David" w:cs="David"/>
          <w:b/>
          <w:bCs/>
          <w:sz w:val="24"/>
          <w:szCs w:val="24"/>
          <w:rtl/>
        </w:rPr>
        <w:t xml:space="preserve"> פרוט' עמ' 16 ש' 13-14</w:t>
      </w:r>
      <w:r>
        <w:rPr>
          <w:rFonts w:ascii="David" w:hAnsi="David" w:cs="David"/>
          <w:sz w:val="24"/>
          <w:szCs w:val="24"/>
          <w:rtl/>
        </w:rPr>
        <w:t>, וכי הוא לא אושר כדין על-ידי ערכאה שיפוטית מוסמכת.</w:t>
      </w:r>
    </w:p>
    <w:p w14:paraId="2E8F3E5F" w14:textId="77777777" w:rsidR="00D4005B" w:rsidRDefault="00D4005B" w:rsidP="00F244FF">
      <w:pPr>
        <w:pStyle w:val="11"/>
        <w:spacing w:after="0" w:line="360" w:lineRule="auto"/>
        <w:ind w:left="357"/>
        <w:jc w:val="both"/>
        <w:rPr>
          <w:rFonts w:ascii="David" w:hAnsi="David" w:cs="David"/>
          <w:sz w:val="24"/>
          <w:szCs w:val="24"/>
        </w:rPr>
      </w:pPr>
    </w:p>
    <w:p w14:paraId="48589289"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Pr>
      </w:pPr>
      <w:r>
        <w:rPr>
          <w:rFonts w:ascii="David" w:hAnsi="David" w:cs="David"/>
          <w:sz w:val="24"/>
          <w:szCs w:val="24"/>
          <w:rtl/>
        </w:rPr>
        <w:t xml:space="preserve">בתוך כך נשאלת אפוא השאלה, מה תוקפו של ההסכם משנת 2020. על-מנת לענות לשאלה זו, יש לקבוע תחילה האם עסקינן בהסכם ממון, או שמא בהסכם רגיל. </w:t>
      </w:r>
    </w:p>
    <w:p w14:paraId="08FA6B50" w14:textId="77777777" w:rsidR="00D4005B" w:rsidRDefault="00D4005B" w:rsidP="00F244FF">
      <w:pPr>
        <w:pStyle w:val="11"/>
        <w:spacing w:after="0" w:line="360" w:lineRule="auto"/>
        <w:ind w:left="357"/>
        <w:jc w:val="both"/>
        <w:rPr>
          <w:rFonts w:ascii="David" w:hAnsi="David" w:cs="David"/>
          <w:sz w:val="24"/>
          <w:szCs w:val="24"/>
        </w:rPr>
      </w:pPr>
    </w:p>
    <w:p w14:paraId="09F391DD"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Pr>
      </w:pPr>
      <w:r>
        <w:rPr>
          <w:rFonts w:ascii="David" w:hAnsi="David" w:cs="David"/>
          <w:sz w:val="24"/>
          <w:szCs w:val="24"/>
          <w:rtl/>
        </w:rPr>
        <w:t xml:space="preserve">עקרונית, המבחן לקביעת סוג ההסכם, אם הוא הסכם בין בני זוג – הוא הסכם ממון, אם לאו, טמון במטרתו. אם ההסכם צופה פני איזון משאבים בענייני ממון לעת מוות וגירושין, הרי שלפנינו הסכם ממון – בין אם מימדיו רחבים ובין אם צרים. לעומת זאת, אם ההסכם עוסק ביחסים השוטפים או בעסקה רגילה בין בני אדם, כגון בדיני חוזים או קניין, ללא קשר נראה לעין עם איזון משאבים בעת </w:t>
      </w:r>
      <w:r w:rsidRPr="002D4047">
        <w:rPr>
          <w:rFonts w:ascii="David" w:hAnsi="David" w:cs="David"/>
          <w:sz w:val="24"/>
          <w:szCs w:val="24"/>
          <w:rtl/>
        </w:rPr>
        <w:t xml:space="preserve">גירושין או מוות, לפנינו הסכם רגיל, שעליו חלים דיני החוזים הכלליים – </w:t>
      </w:r>
      <w:r w:rsidRPr="002D4047">
        <w:rPr>
          <w:rFonts w:ascii="David" w:hAnsi="David" w:cs="David"/>
          <w:b/>
          <w:bCs/>
          <w:sz w:val="24"/>
          <w:szCs w:val="24"/>
          <w:rtl/>
        </w:rPr>
        <w:t>ראו</w:t>
      </w:r>
      <w:r w:rsidRPr="002D4047">
        <w:rPr>
          <w:rFonts w:ascii="David" w:hAnsi="David" w:cs="David"/>
          <w:sz w:val="24"/>
          <w:szCs w:val="24"/>
          <w:rtl/>
        </w:rPr>
        <w:t xml:space="preserve">: </w:t>
      </w:r>
      <w:hyperlink r:id="rId24" w:history="1">
        <w:r w:rsidR="004B54CC" w:rsidRPr="004B54CC">
          <w:rPr>
            <w:rFonts w:ascii="David" w:hAnsi="David" w:cs="David"/>
            <w:color w:val="0000FF"/>
            <w:sz w:val="24"/>
            <w:szCs w:val="24"/>
            <w:u w:val="single"/>
            <w:rtl/>
          </w:rPr>
          <w:t>ע"א 169/83</w:t>
        </w:r>
      </w:hyperlink>
      <w:r w:rsidRPr="004B54CC">
        <w:rPr>
          <w:rFonts w:ascii="David" w:hAnsi="David" w:cs="David"/>
          <w:b/>
          <w:bCs/>
          <w:color w:val="000000"/>
          <w:sz w:val="24"/>
          <w:szCs w:val="24"/>
          <w:rtl/>
        </w:rPr>
        <w:t xml:space="preserve"> שי נ' שי</w:t>
      </w:r>
      <w:r w:rsidRPr="004B54CC">
        <w:rPr>
          <w:rFonts w:ascii="David" w:hAnsi="David" w:cs="David"/>
          <w:color w:val="000000"/>
          <w:sz w:val="24"/>
          <w:szCs w:val="24"/>
          <w:rtl/>
        </w:rPr>
        <w:t xml:space="preserve"> פדי לט</w:t>
      </w:r>
      <w:r w:rsidRPr="002D4047">
        <w:rPr>
          <w:rFonts w:ascii="David" w:hAnsi="David" w:cs="David"/>
          <w:sz w:val="24"/>
          <w:szCs w:val="24"/>
          <w:rtl/>
        </w:rPr>
        <w:t xml:space="preserve"> (3) 776 (1985); </w:t>
      </w:r>
      <w:hyperlink r:id="rId25" w:history="1">
        <w:r w:rsidR="004B54CC" w:rsidRPr="004B54CC">
          <w:rPr>
            <w:rFonts w:ascii="David" w:hAnsi="David" w:cs="David"/>
            <w:color w:val="0000FF"/>
            <w:sz w:val="24"/>
            <w:szCs w:val="24"/>
            <w:u w:val="single"/>
            <w:rtl/>
          </w:rPr>
          <w:t>עמ"ש 49264-10-21</w:t>
        </w:r>
      </w:hyperlink>
      <w:r w:rsidRPr="002D4047">
        <w:rPr>
          <w:rFonts w:ascii="David" w:hAnsi="David" w:cs="David"/>
          <w:sz w:val="24"/>
          <w:szCs w:val="24"/>
          <w:rtl/>
        </w:rPr>
        <w:t xml:space="preserve"> </w:t>
      </w:r>
      <w:r w:rsidRPr="002D4047">
        <w:rPr>
          <w:rFonts w:ascii="David" w:hAnsi="David" w:cs="David"/>
          <w:b/>
          <w:bCs/>
          <w:sz w:val="24"/>
          <w:szCs w:val="24"/>
          <w:rtl/>
        </w:rPr>
        <w:t>א. נ' ב.</w:t>
      </w:r>
      <w:r w:rsidRPr="002D4047">
        <w:rPr>
          <w:rFonts w:ascii="David" w:hAnsi="David" w:cs="David"/>
          <w:sz w:val="24"/>
          <w:szCs w:val="24"/>
          <w:rtl/>
        </w:rPr>
        <w:t xml:space="preserve"> </w:t>
      </w:r>
      <w:r w:rsidR="00445A02">
        <w:rPr>
          <w:rFonts w:ascii="David" w:hAnsi="David" w:cs="David"/>
          <w:sz w:val="24"/>
          <w:szCs w:val="24"/>
          <w:rtl/>
        </w:rPr>
        <w:t>[נבו]</w:t>
      </w:r>
      <w:r w:rsidR="00445A02">
        <w:rPr>
          <w:rFonts w:ascii="David" w:hAnsi="David" w:cs="David" w:hint="cs"/>
          <w:sz w:val="24"/>
          <w:szCs w:val="24"/>
          <w:rtl/>
        </w:rPr>
        <w:t xml:space="preserve"> </w:t>
      </w:r>
      <w:r w:rsidRPr="002D4047">
        <w:rPr>
          <w:rFonts w:ascii="David" w:hAnsi="David" w:cs="David"/>
          <w:sz w:val="24"/>
          <w:szCs w:val="24"/>
          <w:rtl/>
        </w:rPr>
        <w:t xml:space="preserve">(2.3.2022); </w:t>
      </w:r>
      <w:hyperlink r:id="rId26" w:history="1">
        <w:r w:rsidR="004B54CC" w:rsidRPr="004B54CC">
          <w:rPr>
            <w:rFonts w:ascii="David" w:hAnsi="David" w:cs="David"/>
            <w:color w:val="0000FF"/>
            <w:sz w:val="24"/>
            <w:szCs w:val="24"/>
            <w:u w:val="single"/>
            <w:rtl/>
          </w:rPr>
          <w:t>תמ"ש 3517-08-11</w:t>
        </w:r>
      </w:hyperlink>
      <w:r w:rsidRPr="002D4047">
        <w:rPr>
          <w:rFonts w:ascii="David" w:hAnsi="David" w:cs="David"/>
          <w:b/>
          <w:bCs/>
          <w:sz w:val="24"/>
          <w:szCs w:val="24"/>
          <w:rtl/>
        </w:rPr>
        <w:t xml:space="preserve"> א. נ' א. </w:t>
      </w:r>
      <w:r w:rsidR="00445A02">
        <w:rPr>
          <w:rFonts w:ascii="David" w:hAnsi="David" w:cs="David"/>
          <w:b/>
          <w:bCs/>
          <w:sz w:val="24"/>
          <w:szCs w:val="24"/>
          <w:rtl/>
        </w:rPr>
        <w:t>[נבו]</w:t>
      </w:r>
      <w:r w:rsidR="00445A02">
        <w:rPr>
          <w:rFonts w:ascii="David" w:hAnsi="David" w:cs="David" w:hint="cs"/>
          <w:b/>
          <w:bCs/>
          <w:sz w:val="24"/>
          <w:szCs w:val="24"/>
          <w:rtl/>
        </w:rPr>
        <w:t xml:space="preserve"> </w:t>
      </w:r>
      <w:r>
        <w:rPr>
          <w:rFonts w:ascii="David" w:hAnsi="David" w:cs="David"/>
          <w:sz w:val="24"/>
          <w:szCs w:val="24"/>
          <w:rtl/>
        </w:rPr>
        <w:t xml:space="preserve">(14.3.2013); </w:t>
      </w:r>
      <w:hyperlink r:id="rId27" w:history="1">
        <w:r w:rsidR="004B54CC" w:rsidRPr="004B54CC">
          <w:rPr>
            <w:rFonts w:ascii="David" w:hAnsi="David" w:cs="David"/>
            <w:color w:val="0000FF"/>
            <w:sz w:val="24"/>
            <w:szCs w:val="24"/>
            <w:u w:val="single"/>
            <w:rtl/>
          </w:rPr>
          <w:t>תלה"מ 15293-03-20</w:t>
        </w:r>
      </w:hyperlink>
      <w:r>
        <w:rPr>
          <w:rFonts w:ascii="David" w:hAnsi="David" w:cs="David"/>
          <w:sz w:val="24"/>
          <w:szCs w:val="24"/>
          <w:rtl/>
        </w:rPr>
        <w:t xml:space="preserve"> </w:t>
      </w:r>
      <w:r>
        <w:rPr>
          <w:rFonts w:ascii="David" w:hAnsi="David" w:cs="David"/>
          <w:b/>
          <w:bCs/>
          <w:sz w:val="24"/>
          <w:szCs w:val="24"/>
          <w:rtl/>
        </w:rPr>
        <w:t>אלמוני נ' פלונית</w:t>
      </w:r>
      <w:r>
        <w:rPr>
          <w:rFonts w:ascii="David" w:hAnsi="David" w:cs="David"/>
          <w:sz w:val="24"/>
          <w:szCs w:val="24"/>
          <w:rtl/>
        </w:rPr>
        <w:t xml:space="preserve"> </w:t>
      </w:r>
      <w:r w:rsidR="00445A02">
        <w:rPr>
          <w:rFonts w:ascii="David" w:hAnsi="David" w:cs="David"/>
          <w:sz w:val="24"/>
          <w:szCs w:val="24"/>
          <w:rtl/>
        </w:rPr>
        <w:t>[נבו]</w:t>
      </w:r>
      <w:r w:rsidR="00445A02">
        <w:rPr>
          <w:rFonts w:ascii="David" w:hAnsi="David" w:cs="David" w:hint="cs"/>
          <w:sz w:val="24"/>
          <w:szCs w:val="24"/>
          <w:rtl/>
        </w:rPr>
        <w:t xml:space="preserve"> </w:t>
      </w:r>
      <w:r>
        <w:rPr>
          <w:rFonts w:ascii="David" w:hAnsi="David" w:cs="David"/>
          <w:sz w:val="24"/>
          <w:szCs w:val="24"/>
          <w:rtl/>
        </w:rPr>
        <w:t>(9.2.2022).</w:t>
      </w:r>
    </w:p>
    <w:p w14:paraId="602F8ECB" w14:textId="77777777" w:rsidR="00D4005B" w:rsidRDefault="00D4005B" w:rsidP="00F244FF">
      <w:pPr>
        <w:pStyle w:val="11"/>
        <w:spacing w:line="360" w:lineRule="auto"/>
        <w:rPr>
          <w:rFonts w:ascii="David" w:hAnsi="David" w:cs="David"/>
          <w:sz w:val="24"/>
          <w:szCs w:val="24"/>
        </w:rPr>
      </w:pPr>
    </w:p>
    <w:p w14:paraId="1B85F4D7"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t xml:space="preserve">ביחס להסכם משנת 2020 טענה הנתבעת בסיכומיה כי "אין המדובר בהסכם צופה פני עתיד כפי שנקבע בפסיקה ביחס להסכם ממון אלא עיניינו של הסכם זה ביחסים כלכלים השוטפים שהיו בין הצדדים ..." – </w:t>
      </w:r>
      <w:r>
        <w:rPr>
          <w:rFonts w:ascii="David" w:hAnsi="David" w:cs="David"/>
          <w:b/>
          <w:bCs/>
          <w:sz w:val="24"/>
          <w:szCs w:val="24"/>
          <w:rtl/>
        </w:rPr>
        <w:t>ראו: פרוט' עמ' 25 ש' 35 עד עמ' 26 ש' 1</w:t>
      </w:r>
      <w:r>
        <w:rPr>
          <w:rFonts w:ascii="David" w:hAnsi="David" w:cs="David"/>
          <w:sz w:val="24"/>
          <w:szCs w:val="24"/>
          <w:rtl/>
        </w:rPr>
        <w:t>.</w:t>
      </w:r>
    </w:p>
    <w:p w14:paraId="7D0E8F94" w14:textId="77777777" w:rsidR="00D4005B" w:rsidRDefault="00D4005B" w:rsidP="00F244FF">
      <w:pPr>
        <w:pStyle w:val="11"/>
        <w:spacing w:line="360" w:lineRule="auto"/>
        <w:rPr>
          <w:rFonts w:ascii="David" w:hAnsi="David" w:cs="David"/>
          <w:sz w:val="24"/>
          <w:szCs w:val="24"/>
        </w:rPr>
      </w:pPr>
    </w:p>
    <w:p w14:paraId="32A718CD"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t>טענה זו של הנתבעת ניתן לקבל באופן חלקי בלבד. בהסכם משנת 2009 קיימים 3 הסדרים כדלהלן:</w:t>
      </w:r>
    </w:p>
    <w:p w14:paraId="4F6F4A03" w14:textId="77777777" w:rsidR="00D4005B" w:rsidRDefault="00D4005B" w:rsidP="00F244FF">
      <w:pPr>
        <w:pStyle w:val="11"/>
        <w:spacing w:line="360" w:lineRule="auto"/>
        <w:rPr>
          <w:rFonts w:ascii="David" w:hAnsi="David" w:cs="David"/>
          <w:sz w:val="24"/>
          <w:szCs w:val="24"/>
        </w:rPr>
      </w:pPr>
    </w:p>
    <w:p w14:paraId="7B773140" w14:textId="77777777" w:rsidR="00D4005B" w:rsidRDefault="00000000" w:rsidP="00F244FF">
      <w:pPr>
        <w:pStyle w:val="11"/>
        <w:spacing w:after="0" w:line="360" w:lineRule="auto"/>
        <w:ind w:left="357"/>
        <w:jc w:val="both"/>
        <w:rPr>
          <w:rFonts w:ascii="David" w:hAnsi="David" w:cs="David"/>
          <w:sz w:val="24"/>
          <w:szCs w:val="24"/>
          <w:rtl/>
        </w:rPr>
      </w:pPr>
      <w:r>
        <w:rPr>
          <w:rFonts w:ascii="David" w:hAnsi="David" w:cs="David"/>
          <w:sz w:val="24"/>
          <w:szCs w:val="24"/>
          <w:u w:val="single"/>
          <w:rtl/>
        </w:rPr>
        <w:t>הסדר ראשון</w:t>
      </w:r>
      <w:r>
        <w:rPr>
          <w:rFonts w:ascii="David" w:hAnsi="David" w:cs="David"/>
          <w:sz w:val="24"/>
          <w:szCs w:val="24"/>
          <w:rtl/>
        </w:rPr>
        <w:t xml:space="preserve"> – אשר בו מתחייב התובע כי עם יציאת הנתבעת מהחשבון המשותף, כל האחריות לחשבון זה תהא עליו (להלן: "</w:t>
      </w:r>
      <w:r>
        <w:rPr>
          <w:rFonts w:ascii="David" w:hAnsi="David" w:cs="David"/>
          <w:b/>
          <w:bCs/>
          <w:sz w:val="24"/>
          <w:szCs w:val="24"/>
          <w:rtl/>
        </w:rPr>
        <w:t>ההסדר הראשון</w:t>
      </w:r>
      <w:r>
        <w:rPr>
          <w:rFonts w:ascii="David" w:hAnsi="David" w:cs="David"/>
          <w:sz w:val="24"/>
          <w:szCs w:val="24"/>
          <w:rtl/>
        </w:rPr>
        <w:t>");</w:t>
      </w:r>
    </w:p>
    <w:p w14:paraId="26A94E20" w14:textId="77777777" w:rsidR="00D4005B" w:rsidRDefault="00D4005B" w:rsidP="00F244FF">
      <w:pPr>
        <w:pStyle w:val="11"/>
        <w:spacing w:after="0" w:line="360" w:lineRule="auto"/>
        <w:ind w:left="357"/>
        <w:jc w:val="both"/>
        <w:rPr>
          <w:rFonts w:ascii="David" w:hAnsi="David" w:cs="David"/>
          <w:sz w:val="24"/>
          <w:szCs w:val="24"/>
          <w:rtl/>
        </w:rPr>
      </w:pPr>
    </w:p>
    <w:p w14:paraId="4826EE6D" w14:textId="77777777" w:rsidR="00D4005B" w:rsidRDefault="00000000" w:rsidP="00F244FF">
      <w:pPr>
        <w:pStyle w:val="11"/>
        <w:spacing w:after="0" w:line="360" w:lineRule="auto"/>
        <w:ind w:left="357"/>
        <w:jc w:val="both"/>
        <w:rPr>
          <w:rFonts w:ascii="David" w:hAnsi="David" w:cs="David"/>
          <w:sz w:val="24"/>
          <w:szCs w:val="24"/>
          <w:rtl/>
        </w:rPr>
      </w:pPr>
      <w:r>
        <w:rPr>
          <w:rFonts w:ascii="David" w:hAnsi="David" w:cs="David"/>
          <w:sz w:val="24"/>
          <w:szCs w:val="24"/>
          <w:u w:val="single"/>
          <w:rtl/>
        </w:rPr>
        <w:t>הסדר שני</w:t>
      </w:r>
      <w:r>
        <w:rPr>
          <w:rFonts w:ascii="David" w:hAnsi="David" w:cs="David"/>
          <w:sz w:val="24"/>
          <w:szCs w:val="24"/>
          <w:rtl/>
        </w:rPr>
        <w:t xml:space="preserve"> – ויתור הדדי על טענות הצדדים בקשר לכספים או זכויות משותפות, למעט בקשר לבית (להלן: "</w:t>
      </w:r>
      <w:r>
        <w:rPr>
          <w:rFonts w:ascii="David" w:hAnsi="David" w:cs="David"/>
          <w:b/>
          <w:bCs/>
          <w:sz w:val="24"/>
          <w:szCs w:val="24"/>
          <w:rtl/>
        </w:rPr>
        <w:t>ההסדר השני</w:t>
      </w:r>
      <w:r>
        <w:rPr>
          <w:rFonts w:ascii="David" w:hAnsi="David" w:cs="David"/>
          <w:sz w:val="24"/>
          <w:szCs w:val="24"/>
          <w:rtl/>
        </w:rPr>
        <w:t>");</w:t>
      </w:r>
    </w:p>
    <w:p w14:paraId="1895AC68" w14:textId="77777777" w:rsidR="00D4005B" w:rsidRDefault="00D4005B" w:rsidP="00F244FF">
      <w:pPr>
        <w:pStyle w:val="11"/>
        <w:spacing w:after="0" w:line="360" w:lineRule="auto"/>
        <w:ind w:left="357"/>
        <w:jc w:val="both"/>
        <w:rPr>
          <w:rFonts w:ascii="David" w:hAnsi="David" w:cs="David"/>
          <w:sz w:val="24"/>
          <w:szCs w:val="24"/>
          <w:rtl/>
        </w:rPr>
      </w:pPr>
    </w:p>
    <w:p w14:paraId="4103DF55" w14:textId="77777777" w:rsidR="00D4005B" w:rsidRDefault="00000000" w:rsidP="00E96EC9">
      <w:pPr>
        <w:pStyle w:val="11"/>
        <w:spacing w:after="0" w:line="360" w:lineRule="auto"/>
        <w:ind w:left="357"/>
        <w:jc w:val="both"/>
        <w:rPr>
          <w:rFonts w:ascii="David" w:hAnsi="David" w:cs="David"/>
          <w:sz w:val="24"/>
          <w:szCs w:val="24"/>
          <w:rtl/>
        </w:rPr>
      </w:pPr>
      <w:r>
        <w:rPr>
          <w:rFonts w:ascii="David" w:hAnsi="David" w:cs="David"/>
          <w:sz w:val="24"/>
          <w:szCs w:val="24"/>
          <w:u w:val="single"/>
          <w:rtl/>
        </w:rPr>
        <w:t>הסדר שלישי</w:t>
      </w:r>
      <w:r>
        <w:rPr>
          <w:rFonts w:ascii="David" w:hAnsi="David" w:cs="David"/>
          <w:sz w:val="24"/>
          <w:szCs w:val="24"/>
          <w:rtl/>
        </w:rPr>
        <w:t xml:space="preserve"> – אשר בו התחייב התובע להמשיך ולשלם הוראת קבע עבור הבן </w:t>
      </w:r>
      <w:r>
        <w:rPr>
          <w:rFonts w:ascii="David" w:hAnsi="David" w:cs="David"/>
          <w:sz w:val="24"/>
          <w:szCs w:val="24"/>
        </w:rPr>
        <w:t>XXXXX</w:t>
      </w:r>
      <w:r>
        <w:rPr>
          <w:rFonts w:ascii="David" w:hAnsi="David" w:cs="David"/>
          <w:sz w:val="24"/>
          <w:szCs w:val="24"/>
          <w:rtl/>
        </w:rPr>
        <w:t xml:space="preserve"> (להלן: "</w:t>
      </w:r>
      <w:r>
        <w:rPr>
          <w:rFonts w:ascii="David" w:hAnsi="David" w:cs="David"/>
          <w:b/>
          <w:bCs/>
          <w:sz w:val="24"/>
          <w:szCs w:val="24"/>
          <w:rtl/>
        </w:rPr>
        <w:t>ההסדר השלישי</w:t>
      </w:r>
      <w:r>
        <w:rPr>
          <w:rFonts w:ascii="David" w:hAnsi="David" w:cs="David"/>
          <w:sz w:val="24"/>
          <w:szCs w:val="24"/>
          <w:rtl/>
        </w:rPr>
        <w:t>").</w:t>
      </w:r>
    </w:p>
    <w:p w14:paraId="4C9B99A4" w14:textId="77777777" w:rsidR="00D4005B" w:rsidRDefault="00D4005B" w:rsidP="00F244FF">
      <w:pPr>
        <w:pStyle w:val="11"/>
        <w:spacing w:after="0" w:line="360" w:lineRule="auto"/>
        <w:ind w:left="357"/>
        <w:jc w:val="both"/>
        <w:rPr>
          <w:rFonts w:ascii="David" w:hAnsi="David" w:cs="David"/>
          <w:b/>
          <w:bCs/>
          <w:sz w:val="24"/>
          <w:szCs w:val="24"/>
          <w:rtl/>
        </w:rPr>
      </w:pPr>
    </w:p>
    <w:p w14:paraId="086219A6"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t xml:space="preserve">לטעמי, ההסדר הראשון וההסדר השלישי עוסקים ביחסים השוטפים בין הצדדים, ומשכך הם מהווים בבחינת הסכם רגיל שאינו טעון אישור של ערכאה שיפוטית מוסמכת. לעומת זאת, ההסדר השני, אשר נוגע לוויתור על זכויות רכושיות, וצופה פני איזון המשאבים, הוא הסכם הטעון אישור של ערכאה שיפוטית מוסמכת, כתנאי הכרחי לתוקפו – </w:t>
      </w:r>
      <w:r>
        <w:rPr>
          <w:rFonts w:ascii="David" w:hAnsi="David" w:cs="David"/>
          <w:b/>
          <w:bCs/>
          <w:sz w:val="24"/>
          <w:szCs w:val="24"/>
          <w:rtl/>
        </w:rPr>
        <w:t xml:space="preserve">ראו: </w:t>
      </w:r>
      <w:hyperlink r:id="rId28" w:history="1">
        <w:r w:rsidR="00166005" w:rsidRPr="00166005">
          <w:rPr>
            <w:rStyle w:val="Hyperlink"/>
            <w:rFonts w:ascii="David" w:hAnsi="David" w:cs="David"/>
            <w:b/>
            <w:bCs/>
            <w:sz w:val="24"/>
            <w:szCs w:val="24"/>
            <w:rtl/>
          </w:rPr>
          <w:t>ס' 2 (א)</w:t>
        </w:r>
      </w:hyperlink>
      <w:r>
        <w:rPr>
          <w:rFonts w:ascii="David" w:hAnsi="David" w:cs="David"/>
          <w:b/>
          <w:bCs/>
          <w:sz w:val="24"/>
          <w:szCs w:val="24"/>
          <w:rtl/>
        </w:rPr>
        <w:t xml:space="preserve"> ל</w:t>
      </w:r>
      <w:hyperlink r:id="rId29" w:history="1">
        <w:r w:rsidR="004B54CC" w:rsidRPr="004B54CC">
          <w:rPr>
            <w:rFonts w:ascii="David" w:hAnsi="David" w:cs="David"/>
            <w:b/>
            <w:bCs/>
            <w:color w:val="0000FF"/>
            <w:sz w:val="24"/>
            <w:szCs w:val="24"/>
            <w:u w:val="single"/>
            <w:rtl/>
          </w:rPr>
          <w:t>חוק יחסי ממון</w:t>
        </w:r>
      </w:hyperlink>
      <w:r>
        <w:rPr>
          <w:rFonts w:ascii="David" w:hAnsi="David" w:cs="David"/>
          <w:sz w:val="24"/>
          <w:szCs w:val="24"/>
          <w:rtl/>
        </w:rPr>
        <w:t>.</w:t>
      </w:r>
    </w:p>
    <w:p w14:paraId="367EAC74" w14:textId="77777777" w:rsidR="00D4005B" w:rsidRDefault="00D4005B" w:rsidP="00F244FF">
      <w:pPr>
        <w:pStyle w:val="11"/>
        <w:spacing w:after="0" w:line="360" w:lineRule="auto"/>
        <w:ind w:left="357"/>
        <w:jc w:val="both"/>
        <w:rPr>
          <w:rFonts w:ascii="David" w:hAnsi="David" w:cs="David"/>
          <w:sz w:val="24"/>
          <w:szCs w:val="24"/>
        </w:rPr>
      </w:pPr>
    </w:p>
    <w:p w14:paraId="34AAABFE"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Pr>
      </w:pPr>
      <w:r>
        <w:rPr>
          <w:rFonts w:ascii="David" w:hAnsi="David" w:cs="David"/>
          <w:sz w:val="24"/>
          <w:szCs w:val="24"/>
          <w:rtl/>
        </w:rPr>
        <w:t xml:space="preserve">בעניין זה בפסיקה הובהר כי: " </w:t>
      </w:r>
      <w:r>
        <w:rPr>
          <w:rFonts w:ascii="David" w:hAnsi="David" w:cs="David"/>
          <w:i/>
          <w:iCs/>
          <w:sz w:val="24"/>
          <w:szCs w:val="24"/>
          <w:rtl/>
        </w:rPr>
        <w:t xml:space="preserve">נוכח היחסים המיוחדים, העדינים והמורכבים הקיימים בין בעל לאישה, קבע המחוקק, שלא יהא תוקף להסכם ממון ביניהם, אלא אם כן משתכנעת ערכאה שיפוטית, שהוא נעשה מתוך רצון חופשי, ללא לחץ וכששני הצדדים הבינו בדיוק את תוכנו ואת התוצאות </w:t>
      </w:r>
      <w:r w:rsidRPr="002D4047">
        <w:rPr>
          <w:rFonts w:ascii="David" w:hAnsi="David" w:cs="David"/>
          <w:i/>
          <w:iCs/>
          <w:sz w:val="24"/>
          <w:szCs w:val="24"/>
          <w:rtl/>
        </w:rPr>
        <w:t xml:space="preserve">האפשריות של חתימתם עליו (ראו למשל: </w:t>
      </w:r>
      <w:hyperlink r:id="rId30" w:history="1">
        <w:r w:rsidR="004B54CC" w:rsidRPr="004B54CC">
          <w:rPr>
            <w:rFonts w:ascii="David" w:hAnsi="David" w:cs="David"/>
            <w:i/>
            <w:iCs/>
            <w:color w:val="0000FF"/>
            <w:sz w:val="24"/>
            <w:szCs w:val="24"/>
            <w:u w:val="single"/>
            <w:rtl/>
          </w:rPr>
          <w:t>ע"א 4/80</w:t>
        </w:r>
      </w:hyperlink>
      <w:r w:rsidRPr="002D4047">
        <w:rPr>
          <w:rFonts w:ascii="David" w:hAnsi="David" w:cs="David"/>
          <w:i/>
          <w:iCs/>
          <w:sz w:val="24"/>
          <w:szCs w:val="24"/>
          <w:rtl/>
        </w:rPr>
        <w:t xml:space="preserve"> מונק נ' מונק, פ"ד לו(3)421)</w:t>
      </w:r>
      <w:r w:rsidRPr="002D4047">
        <w:rPr>
          <w:rFonts w:ascii="David" w:hAnsi="David" w:cs="David"/>
          <w:sz w:val="24"/>
          <w:szCs w:val="24"/>
          <w:rtl/>
        </w:rPr>
        <w:t xml:space="preserve">" </w:t>
      </w:r>
      <w:r w:rsidRPr="002D4047">
        <w:rPr>
          <w:rFonts w:ascii="David" w:hAnsi="David" w:cs="David"/>
          <w:b/>
          <w:bCs/>
          <w:sz w:val="24"/>
          <w:szCs w:val="24"/>
          <w:rtl/>
        </w:rPr>
        <w:t>ראו</w:t>
      </w:r>
      <w:r w:rsidRPr="002D4047">
        <w:rPr>
          <w:rFonts w:ascii="David" w:hAnsi="David" w:cs="David"/>
          <w:sz w:val="24"/>
          <w:szCs w:val="24"/>
          <w:rtl/>
        </w:rPr>
        <w:t xml:space="preserve">: </w:t>
      </w:r>
      <w:hyperlink r:id="rId31" w:history="1">
        <w:r w:rsidR="004B54CC" w:rsidRPr="004B54CC">
          <w:rPr>
            <w:rFonts w:ascii="David" w:hAnsi="David" w:cs="David"/>
            <w:color w:val="0000FF"/>
            <w:sz w:val="24"/>
            <w:szCs w:val="24"/>
            <w:u w:val="single"/>
            <w:rtl/>
          </w:rPr>
          <w:t>תלה"מ 58830-06-18</w:t>
        </w:r>
      </w:hyperlink>
      <w:r>
        <w:rPr>
          <w:rFonts w:ascii="David" w:hAnsi="David" w:cs="David"/>
          <w:sz w:val="24"/>
          <w:szCs w:val="24"/>
          <w:rtl/>
        </w:rPr>
        <w:t xml:space="preserve"> </w:t>
      </w:r>
      <w:r>
        <w:rPr>
          <w:rFonts w:ascii="David" w:hAnsi="David" w:cs="David"/>
          <w:b/>
          <w:bCs/>
          <w:sz w:val="24"/>
          <w:szCs w:val="24"/>
          <w:rtl/>
        </w:rPr>
        <w:t>פלונית נ' פלוני</w:t>
      </w:r>
      <w:r>
        <w:rPr>
          <w:rFonts w:ascii="David" w:hAnsi="David" w:cs="David"/>
          <w:sz w:val="24"/>
          <w:szCs w:val="24"/>
          <w:rtl/>
        </w:rPr>
        <w:t xml:space="preserve"> </w:t>
      </w:r>
      <w:r w:rsidR="00445A02">
        <w:rPr>
          <w:rFonts w:ascii="David" w:hAnsi="David" w:cs="David"/>
          <w:sz w:val="24"/>
          <w:szCs w:val="24"/>
          <w:rtl/>
        </w:rPr>
        <w:t>[נבו]</w:t>
      </w:r>
      <w:r w:rsidR="00445A02">
        <w:rPr>
          <w:rFonts w:ascii="David" w:hAnsi="David" w:cs="David" w:hint="cs"/>
          <w:sz w:val="24"/>
          <w:szCs w:val="24"/>
          <w:rtl/>
        </w:rPr>
        <w:t xml:space="preserve"> </w:t>
      </w:r>
      <w:r>
        <w:rPr>
          <w:rFonts w:ascii="David" w:hAnsi="David" w:cs="David"/>
          <w:sz w:val="24"/>
          <w:szCs w:val="24"/>
          <w:rtl/>
        </w:rPr>
        <w:t>(26.12.2021).</w:t>
      </w:r>
    </w:p>
    <w:p w14:paraId="1294FE8D" w14:textId="77777777" w:rsidR="00D4005B" w:rsidRDefault="00D4005B" w:rsidP="00F244FF">
      <w:pPr>
        <w:pStyle w:val="11"/>
        <w:spacing w:line="360" w:lineRule="auto"/>
        <w:rPr>
          <w:rFonts w:ascii="David" w:hAnsi="David" w:cs="David"/>
          <w:sz w:val="24"/>
          <w:szCs w:val="24"/>
        </w:rPr>
      </w:pPr>
    </w:p>
    <w:p w14:paraId="78F62170"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t xml:space="preserve">בתוך כך נקבע בפסיקה כי דרישות אלה, בדבר אימות ואישור, הן דרישות מהותיות – </w:t>
      </w:r>
      <w:r>
        <w:rPr>
          <w:rFonts w:ascii="David" w:hAnsi="David" w:cs="David"/>
          <w:b/>
          <w:bCs/>
          <w:sz w:val="24"/>
          <w:szCs w:val="24"/>
          <w:rtl/>
        </w:rPr>
        <w:t>ראו</w:t>
      </w:r>
      <w:r>
        <w:rPr>
          <w:rFonts w:ascii="David" w:hAnsi="David" w:cs="David"/>
          <w:sz w:val="24"/>
          <w:szCs w:val="24"/>
          <w:rtl/>
        </w:rPr>
        <w:t xml:space="preserve">: </w:t>
      </w:r>
      <w:hyperlink r:id="rId32" w:history="1">
        <w:r w:rsidR="004B54CC" w:rsidRPr="004B54CC">
          <w:rPr>
            <w:rFonts w:ascii="David" w:hAnsi="David" w:cs="David"/>
            <w:color w:val="0000FF"/>
            <w:sz w:val="24"/>
            <w:szCs w:val="24"/>
            <w:u w:val="single"/>
            <w:rtl/>
          </w:rPr>
          <w:t>עמ"ש 17125-03-19</w:t>
        </w:r>
      </w:hyperlink>
      <w:r>
        <w:rPr>
          <w:rFonts w:ascii="David" w:hAnsi="David" w:cs="David"/>
          <w:sz w:val="24"/>
          <w:szCs w:val="24"/>
          <w:rtl/>
        </w:rPr>
        <w:t xml:space="preserve"> </w:t>
      </w:r>
      <w:r>
        <w:rPr>
          <w:rFonts w:ascii="David" w:hAnsi="David" w:cs="David"/>
          <w:b/>
          <w:bCs/>
          <w:sz w:val="24"/>
          <w:szCs w:val="24"/>
          <w:rtl/>
        </w:rPr>
        <w:t>ל' נ' ר'</w:t>
      </w:r>
      <w:r>
        <w:rPr>
          <w:rFonts w:ascii="David" w:hAnsi="David" w:cs="David"/>
          <w:sz w:val="24"/>
          <w:szCs w:val="24"/>
          <w:rtl/>
        </w:rPr>
        <w:t xml:space="preserve"> </w:t>
      </w:r>
      <w:r w:rsidR="00445A02">
        <w:rPr>
          <w:rFonts w:ascii="David" w:hAnsi="David" w:cs="David"/>
          <w:sz w:val="24"/>
          <w:szCs w:val="24"/>
          <w:rtl/>
        </w:rPr>
        <w:t>[נבו]</w:t>
      </w:r>
      <w:r w:rsidR="00445A02">
        <w:rPr>
          <w:rFonts w:ascii="David" w:hAnsi="David" w:cs="David" w:hint="cs"/>
          <w:sz w:val="24"/>
          <w:szCs w:val="24"/>
          <w:rtl/>
        </w:rPr>
        <w:t xml:space="preserve"> </w:t>
      </w:r>
      <w:r>
        <w:rPr>
          <w:rFonts w:ascii="David" w:hAnsi="David" w:cs="David"/>
          <w:sz w:val="24"/>
          <w:szCs w:val="24"/>
          <w:rtl/>
        </w:rPr>
        <w:t>(31.10.2019).</w:t>
      </w:r>
    </w:p>
    <w:p w14:paraId="156DCB10" w14:textId="77777777" w:rsidR="00D4005B" w:rsidRDefault="00D4005B" w:rsidP="00F244FF">
      <w:pPr>
        <w:pStyle w:val="11"/>
        <w:spacing w:line="360" w:lineRule="auto"/>
        <w:rPr>
          <w:rFonts w:ascii="David" w:hAnsi="David" w:cs="David"/>
          <w:sz w:val="24"/>
          <w:szCs w:val="24"/>
        </w:rPr>
      </w:pPr>
    </w:p>
    <w:p w14:paraId="3013E494" w14:textId="77777777" w:rsidR="00D4005B" w:rsidRPr="002D4047" w:rsidRDefault="00000000" w:rsidP="00F244FF">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t xml:space="preserve">ער אני לקיומה של גישה בפסיקה אשר לפיה ניתן להכיר, במקרים מסוימים, בתוקפו של הסכם ממון אף אם לא אושר, אך הצדדים נהגו על פיו "ככתבו וכלשונו" – </w:t>
      </w:r>
      <w:r>
        <w:rPr>
          <w:rFonts w:ascii="David" w:hAnsi="David" w:cs="David"/>
          <w:b/>
          <w:bCs/>
          <w:sz w:val="24"/>
          <w:szCs w:val="24"/>
          <w:rtl/>
        </w:rPr>
        <w:t>ראו</w:t>
      </w:r>
      <w:r>
        <w:rPr>
          <w:rFonts w:ascii="David" w:hAnsi="David" w:cs="David"/>
          <w:sz w:val="24"/>
          <w:szCs w:val="24"/>
          <w:rtl/>
        </w:rPr>
        <w:t xml:space="preserve">: </w:t>
      </w:r>
      <w:hyperlink r:id="rId33" w:history="1">
        <w:r w:rsidR="004B54CC" w:rsidRPr="004B54CC">
          <w:rPr>
            <w:rFonts w:ascii="David" w:hAnsi="David" w:cs="David"/>
            <w:color w:val="0000FF"/>
            <w:sz w:val="24"/>
            <w:szCs w:val="24"/>
            <w:u w:val="single"/>
            <w:rtl/>
          </w:rPr>
          <w:t>עמ"ש 14738-06-22</w:t>
        </w:r>
      </w:hyperlink>
      <w:r>
        <w:rPr>
          <w:rFonts w:ascii="David" w:hAnsi="David" w:cs="David"/>
          <w:sz w:val="24"/>
          <w:szCs w:val="24"/>
          <w:rtl/>
        </w:rPr>
        <w:t xml:space="preserve"> </w:t>
      </w:r>
      <w:r>
        <w:rPr>
          <w:rFonts w:ascii="David" w:hAnsi="David" w:cs="David"/>
          <w:b/>
          <w:bCs/>
          <w:sz w:val="24"/>
          <w:szCs w:val="24"/>
          <w:rtl/>
        </w:rPr>
        <w:t>ר. נ' ר.</w:t>
      </w:r>
      <w:r>
        <w:rPr>
          <w:rFonts w:ascii="David" w:hAnsi="David" w:cs="David"/>
          <w:sz w:val="24"/>
          <w:szCs w:val="24"/>
          <w:rtl/>
        </w:rPr>
        <w:t xml:space="preserve"> </w:t>
      </w:r>
      <w:r w:rsidR="00445A02">
        <w:rPr>
          <w:rFonts w:ascii="David" w:hAnsi="David" w:cs="David"/>
          <w:sz w:val="24"/>
          <w:szCs w:val="24"/>
          <w:rtl/>
        </w:rPr>
        <w:t>[נבו]</w:t>
      </w:r>
      <w:r w:rsidR="00445A02">
        <w:rPr>
          <w:rFonts w:ascii="David" w:hAnsi="David" w:cs="David" w:hint="cs"/>
          <w:sz w:val="24"/>
          <w:szCs w:val="24"/>
          <w:rtl/>
        </w:rPr>
        <w:t xml:space="preserve"> </w:t>
      </w:r>
      <w:r>
        <w:rPr>
          <w:rFonts w:ascii="David" w:hAnsi="David" w:cs="David"/>
          <w:sz w:val="24"/>
          <w:szCs w:val="24"/>
          <w:rtl/>
        </w:rPr>
        <w:t>(2.3.2023). יחד עם זאת, אפשרות זו שמורה למקרים חריגים בלבד. בעניין זה הובהר ב</w:t>
      </w:r>
      <w:hyperlink r:id="rId34" w:history="1">
        <w:r w:rsidR="004B54CC" w:rsidRPr="004B54CC">
          <w:rPr>
            <w:rFonts w:ascii="David" w:hAnsi="David" w:cs="David"/>
            <w:color w:val="0000FF"/>
            <w:sz w:val="24"/>
            <w:szCs w:val="24"/>
            <w:u w:val="single"/>
            <w:rtl/>
          </w:rPr>
          <w:t>עמ"ש 17125-03-19</w:t>
        </w:r>
      </w:hyperlink>
      <w:r w:rsidRPr="002D4047">
        <w:rPr>
          <w:rFonts w:ascii="David" w:hAnsi="David" w:cs="David"/>
          <w:sz w:val="24"/>
          <w:szCs w:val="24"/>
          <w:rtl/>
        </w:rPr>
        <w:t xml:space="preserve"> </w:t>
      </w:r>
      <w:r w:rsidRPr="002D4047">
        <w:rPr>
          <w:rFonts w:ascii="David" w:hAnsi="David" w:cs="David"/>
          <w:b/>
          <w:bCs/>
          <w:sz w:val="24"/>
          <w:szCs w:val="24"/>
          <w:rtl/>
        </w:rPr>
        <w:t>נ.ל. נ' ס.ר.</w:t>
      </w:r>
      <w:r w:rsidRPr="002D4047">
        <w:rPr>
          <w:rFonts w:ascii="David" w:hAnsi="David" w:cs="David"/>
          <w:sz w:val="24"/>
          <w:szCs w:val="24"/>
          <w:rtl/>
        </w:rPr>
        <w:t xml:space="preserve"> </w:t>
      </w:r>
      <w:r w:rsidR="00445A02">
        <w:rPr>
          <w:rFonts w:ascii="David" w:hAnsi="David" w:cs="David"/>
          <w:sz w:val="24"/>
          <w:szCs w:val="24"/>
          <w:rtl/>
        </w:rPr>
        <w:t>[נבו]</w:t>
      </w:r>
      <w:r w:rsidR="00445A02">
        <w:rPr>
          <w:rFonts w:ascii="David" w:hAnsi="David" w:cs="David" w:hint="cs"/>
          <w:sz w:val="24"/>
          <w:szCs w:val="24"/>
          <w:rtl/>
        </w:rPr>
        <w:t xml:space="preserve"> </w:t>
      </w:r>
      <w:r w:rsidRPr="002D4047">
        <w:rPr>
          <w:rFonts w:ascii="David" w:hAnsi="David" w:cs="David"/>
          <w:sz w:val="24"/>
          <w:szCs w:val="24"/>
          <w:rtl/>
        </w:rPr>
        <w:t>(31.10.2019) כי:</w:t>
      </w:r>
    </w:p>
    <w:p w14:paraId="0634CB59" w14:textId="77777777" w:rsidR="00D4005B" w:rsidRDefault="00D4005B" w:rsidP="00F244FF">
      <w:pPr>
        <w:pStyle w:val="11"/>
        <w:spacing w:line="360" w:lineRule="auto"/>
        <w:rPr>
          <w:rFonts w:ascii="David" w:hAnsi="David" w:cs="David"/>
          <w:sz w:val="24"/>
          <w:szCs w:val="24"/>
        </w:rPr>
      </w:pPr>
    </w:p>
    <w:p w14:paraId="3269D70C" w14:textId="77777777" w:rsidR="00D4005B" w:rsidRDefault="00000000" w:rsidP="00F244FF">
      <w:pPr>
        <w:pStyle w:val="11"/>
        <w:spacing w:after="0" w:line="360" w:lineRule="auto"/>
        <w:ind w:left="750" w:right="993"/>
        <w:jc w:val="both"/>
        <w:rPr>
          <w:rFonts w:ascii="David" w:hAnsi="David" w:cs="David"/>
          <w:i/>
          <w:iCs/>
          <w:sz w:val="24"/>
          <w:szCs w:val="24"/>
          <w:rtl/>
        </w:rPr>
      </w:pPr>
      <w:r>
        <w:rPr>
          <w:rFonts w:ascii="David" w:hAnsi="David" w:cs="David"/>
          <w:i/>
          <w:iCs/>
          <w:sz w:val="24"/>
          <w:szCs w:val="24"/>
          <w:rtl/>
        </w:rPr>
        <w:t>"מדיניות משפטית ראויה, צריכה להגביל את האפשרות של מתן תוקף להסכם שלא אושר למקרים נדירים שבהם 'זעקת ההגינות' וכן דיני תום הלב והמניעות מצדיקים סטייה מהוראת חוק מפורשת. ...אולם כפי שנקבע בפסיקה, סטייה מהוראת חוק מפורשת בשל 'זעקת ההגינות' הינה החריג ויש להישמר ולהיזהר מפני מדרון חלקלק שירוקן מתוכן את הוראת החוק</w:t>
      </w:r>
      <w:r>
        <w:rPr>
          <w:rFonts w:ascii="David" w:hAnsi="David" w:cs="David"/>
          <w:i/>
          <w:iCs/>
          <w:sz w:val="24"/>
          <w:szCs w:val="24"/>
        </w:rPr>
        <w:t>"</w:t>
      </w:r>
      <w:r>
        <w:rPr>
          <w:rFonts w:ascii="David" w:hAnsi="David" w:cs="David"/>
          <w:i/>
          <w:iCs/>
          <w:sz w:val="24"/>
          <w:szCs w:val="24"/>
          <w:rtl/>
        </w:rPr>
        <w:t>.</w:t>
      </w:r>
    </w:p>
    <w:p w14:paraId="216BA64D" w14:textId="77777777" w:rsidR="00D4005B" w:rsidRDefault="00000000" w:rsidP="00F244FF">
      <w:pPr>
        <w:pStyle w:val="11"/>
        <w:spacing w:line="360" w:lineRule="auto"/>
        <w:rPr>
          <w:rFonts w:ascii="David" w:hAnsi="David" w:cs="David"/>
          <w:sz w:val="24"/>
          <w:szCs w:val="24"/>
        </w:rPr>
      </w:pPr>
      <w:r>
        <w:rPr>
          <w:rFonts w:ascii="David" w:hAnsi="David" w:cs="David"/>
          <w:b/>
          <w:bCs/>
          <w:sz w:val="24"/>
          <w:szCs w:val="24"/>
          <w:rtl/>
        </w:rPr>
        <w:t>ראו גם</w:t>
      </w:r>
      <w:r>
        <w:rPr>
          <w:rFonts w:ascii="David" w:hAnsi="David" w:cs="David"/>
          <w:sz w:val="24"/>
          <w:szCs w:val="24"/>
          <w:rtl/>
        </w:rPr>
        <w:t xml:space="preserve">: </w:t>
      </w:r>
      <w:hyperlink r:id="rId35" w:history="1">
        <w:r w:rsidR="004B54CC" w:rsidRPr="004B54CC">
          <w:rPr>
            <w:rFonts w:ascii="David" w:hAnsi="David" w:cs="David"/>
            <w:color w:val="0000FF"/>
            <w:sz w:val="24"/>
            <w:szCs w:val="24"/>
            <w:u w:val="single"/>
            <w:rtl/>
          </w:rPr>
          <w:t>תלה"מ 26729-06-21</w:t>
        </w:r>
      </w:hyperlink>
      <w:r>
        <w:rPr>
          <w:rFonts w:ascii="David" w:hAnsi="David" w:cs="David"/>
          <w:b/>
          <w:bCs/>
          <w:sz w:val="24"/>
          <w:szCs w:val="24"/>
          <w:rtl/>
        </w:rPr>
        <w:t xml:space="preserve"> א נ' א </w:t>
      </w:r>
      <w:r w:rsidR="00445A02">
        <w:rPr>
          <w:rFonts w:ascii="David" w:hAnsi="David" w:cs="David"/>
          <w:b/>
          <w:bCs/>
          <w:sz w:val="24"/>
          <w:szCs w:val="24"/>
          <w:rtl/>
        </w:rPr>
        <w:t>[נבו]</w:t>
      </w:r>
      <w:r w:rsidR="00445A02">
        <w:rPr>
          <w:rFonts w:ascii="David" w:hAnsi="David" w:cs="David" w:hint="cs"/>
          <w:b/>
          <w:bCs/>
          <w:sz w:val="24"/>
          <w:szCs w:val="24"/>
          <w:rtl/>
        </w:rPr>
        <w:t xml:space="preserve"> </w:t>
      </w:r>
      <w:r>
        <w:rPr>
          <w:rFonts w:ascii="David" w:hAnsi="David" w:cs="David"/>
          <w:sz w:val="24"/>
          <w:szCs w:val="24"/>
          <w:rtl/>
        </w:rPr>
        <w:t>(23.8.2023).</w:t>
      </w:r>
    </w:p>
    <w:p w14:paraId="39D7A1A1" w14:textId="77777777" w:rsidR="00D4005B" w:rsidRDefault="00D4005B" w:rsidP="00F244FF">
      <w:pPr>
        <w:pStyle w:val="11"/>
        <w:spacing w:line="360" w:lineRule="auto"/>
        <w:rPr>
          <w:rFonts w:ascii="David" w:hAnsi="David" w:cs="David"/>
          <w:sz w:val="24"/>
          <w:szCs w:val="24"/>
          <w:rtl/>
        </w:rPr>
      </w:pPr>
    </w:p>
    <w:p w14:paraId="2060662C"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t xml:space="preserve"> בעניין זה הבהיר בית המשפט העליון כי השאלה האם אכן נהגו הצדדים בהתאם לאמור בהסכם היא </w:t>
      </w:r>
      <w:r w:rsidRPr="002D4047">
        <w:rPr>
          <w:rFonts w:ascii="David" w:hAnsi="David" w:cs="David"/>
          <w:sz w:val="24"/>
          <w:szCs w:val="24"/>
          <w:rtl/>
        </w:rPr>
        <w:t xml:space="preserve">שאלה עובדתית מובהקת – ראו: </w:t>
      </w:r>
      <w:hyperlink r:id="rId36" w:history="1">
        <w:r w:rsidR="004B54CC" w:rsidRPr="004B54CC">
          <w:rPr>
            <w:rFonts w:ascii="David" w:hAnsi="David" w:cs="David"/>
            <w:color w:val="0000FF"/>
            <w:sz w:val="24"/>
            <w:szCs w:val="24"/>
            <w:u w:val="single"/>
            <w:rtl/>
          </w:rPr>
          <w:t>בע"מ 7734/08</w:t>
        </w:r>
      </w:hyperlink>
      <w:r w:rsidRPr="002D4047">
        <w:rPr>
          <w:rFonts w:ascii="David" w:hAnsi="David" w:cs="David"/>
          <w:sz w:val="24"/>
          <w:szCs w:val="24"/>
          <w:rtl/>
        </w:rPr>
        <w:t xml:space="preserve"> </w:t>
      </w:r>
      <w:r w:rsidRPr="002D4047">
        <w:rPr>
          <w:rFonts w:ascii="David" w:hAnsi="David" w:cs="David"/>
          <w:b/>
          <w:bCs/>
          <w:sz w:val="24"/>
          <w:szCs w:val="24"/>
          <w:rtl/>
        </w:rPr>
        <w:t>פלוני נ' פלונית</w:t>
      </w:r>
      <w:r w:rsidRPr="002D4047">
        <w:rPr>
          <w:rFonts w:ascii="David" w:hAnsi="David" w:cs="David"/>
          <w:sz w:val="24"/>
          <w:szCs w:val="24"/>
          <w:rtl/>
        </w:rPr>
        <w:t xml:space="preserve"> </w:t>
      </w:r>
      <w:r w:rsidR="00445A02">
        <w:rPr>
          <w:rFonts w:ascii="David" w:hAnsi="David" w:cs="David"/>
          <w:sz w:val="24"/>
          <w:szCs w:val="24"/>
          <w:rtl/>
        </w:rPr>
        <w:t>[נבו]</w:t>
      </w:r>
      <w:r w:rsidR="00445A02">
        <w:rPr>
          <w:rFonts w:ascii="David" w:hAnsi="David" w:cs="David" w:hint="cs"/>
          <w:sz w:val="24"/>
          <w:szCs w:val="24"/>
          <w:rtl/>
        </w:rPr>
        <w:t xml:space="preserve"> </w:t>
      </w:r>
      <w:r w:rsidRPr="002D4047">
        <w:rPr>
          <w:rFonts w:ascii="David" w:hAnsi="David" w:cs="David"/>
          <w:sz w:val="24"/>
          <w:szCs w:val="24"/>
          <w:rtl/>
        </w:rPr>
        <w:t xml:space="preserve">(27.4.2010); </w:t>
      </w:r>
      <w:hyperlink r:id="rId37" w:history="1">
        <w:r w:rsidR="004B54CC" w:rsidRPr="004B54CC">
          <w:rPr>
            <w:rFonts w:ascii="David" w:hAnsi="David" w:cs="David"/>
            <w:color w:val="0000FF"/>
            <w:sz w:val="24"/>
            <w:szCs w:val="24"/>
            <w:u w:val="single"/>
            <w:rtl/>
          </w:rPr>
          <w:t>בג"ץ 7900/22</w:t>
        </w:r>
      </w:hyperlink>
      <w:r w:rsidRPr="002D4047">
        <w:rPr>
          <w:rFonts w:ascii="David" w:hAnsi="David" w:cs="David"/>
          <w:sz w:val="24"/>
          <w:szCs w:val="24"/>
          <w:rtl/>
        </w:rPr>
        <w:t xml:space="preserve"> </w:t>
      </w:r>
      <w:r w:rsidRPr="002D4047">
        <w:rPr>
          <w:rFonts w:ascii="David" w:hAnsi="David" w:cs="David"/>
          <w:b/>
          <w:bCs/>
          <w:sz w:val="24"/>
          <w:szCs w:val="24"/>
          <w:rtl/>
        </w:rPr>
        <w:t xml:space="preserve">פלונית </w:t>
      </w:r>
      <w:r>
        <w:rPr>
          <w:rFonts w:ascii="David" w:hAnsi="David" w:cs="David"/>
          <w:b/>
          <w:bCs/>
          <w:sz w:val="24"/>
          <w:szCs w:val="24"/>
          <w:rtl/>
        </w:rPr>
        <w:t xml:space="preserve">נ' בית הדין הרבני הגדול </w:t>
      </w:r>
      <w:r w:rsidR="00445A02">
        <w:rPr>
          <w:rFonts w:ascii="David" w:hAnsi="David" w:cs="David"/>
          <w:b/>
          <w:bCs/>
          <w:sz w:val="24"/>
          <w:szCs w:val="24"/>
          <w:rtl/>
        </w:rPr>
        <w:t>[נבו]</w:t>
      </w:r>
      <w:r w:rsidR="00445A02">
        <w:rPr>
          <w:rFonts w:ascii="David" w:hAnsi="David" w:cs="David" w:hint="cs"/>
          <w:b/>
          <w:bCs/>
          <w:sz w:val="24"/>
          <w:szCs w:val="24"/>
          <w:rtl/>
        </w:rPr>
        <w:t xml:space="preserve"> </w:t>
      </w:r>
      <w:r>
        <w:rPr>
          <w:rFonts w:ascii="David" w:hAnsi="David" w:cs="David"/>
          <w:sz w:val="24"/>
          <w:szCs w:val="24"/>
          <w:rtl/>
        </w:rPr>
        <w:t>(29.6.2023).</w:t>
      </w:r>
    </w:p>
    <w:p w14:paraId="2D3C60CE" w14:textId="77777777" w:rsidR="00D4005B" w:rsidRDefault="00D4005B" w:rsidP="00F244FF">
      <w:pPr>
        <w:pStyle w:val="11"/>
        <w:spacing w:line="360" w:lineRule="auto"/>
        <w:rPr>
          <w:rFonts w:ascii="David" w:hAnsi="David" w:cs="David"/>
          <w:sz w:val="24"/>
          <w:szCs w:val="24"/>
        </w:rPr>
      </w:pPr>
    </w:p>
    <w:p w14:paraId="005A88DF" w14:textId="77777777" w:rsidR="00D4005B" w:rsidRDefault="00000000" w:rsidP="00445A02">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t xml:space="preserve">במקרה שלפניי, לא זו בלבד שהצדדים לא נהגו על פי ההסכם משנת 2020, אלא שבשנת 2021 הגיש התובע כנגד הנתבעת תביעה רכושית במסגרת </w:t>
      </w:r>
      <w:hyperlink r:id="rId38" w:history="1">
        <w:r w:rsidR="004B54CC" w:rsidRPr="004B54CC">
          <w:rPr>
            <w:rFonts w:ascii="David" w:hAnsi="David" w:cs="David"/>
            <w:color w:val="0000FF"/>
            <w:sz w:val="24"/>
            <w:szCs w:val="24"/>
            <w:u w:val="single"/>
            <w:rtl/>
          </w:rPr>
          <w:t>תלה"מ 56660-10-21</w:t>
        </w:r>
      </w:hyperlink>
      <w:r>
        <w:rPr>
          <w:rFonts w:ascii="David" w:hAnsi="David" w:cs="David"/>
          <w:sz w:val="24"/>
          <w:szCs w:val="24"/>
          <w:rtl/>
        </w:rPr>
        <w:t xml:space="preserve">. </w:t>
      </w:r>
      <w:r w:rsidR="00445A02">
        <w:rPr>
          <w:rFonts w:ascii="David" w:hAnsi="David" w:cs="David"/>
          <w:sz w:val="24"/>
          <w:szCs w:val="24"/>
          <w:rtl/>
        </w:rPr>
        <w:t>[נבו]</w:t>
      </w:r>
      <w:r w:rsidR="00445A02">
        <w:rPr>
          <w:rFonts w:ascii="David" w:hAnsi="David" w:cs="David" w:hint="cs"/>
          <w:sz w:val="24"/>
          <w:szCs w:val="24"/>
          <w:rtl/>
        </w:rPr>
        <w:t xml:space="preserve">. </w:t>
      </w:r>
      <w:r>
        <w:rPr>
          <w:rFonts w:ascii="David" w:hAnsi="David" w:cs="David"/>
          <w:sz w:val="24"/>
          <w:szCs w:val="24"/>
          <w:rtl/>
        </w:rPr>
        <w:t>תביעה זו אומנם סולקה על הסף בשל קיומו של ההסכם משנת 2001 (שטרם בוטל באותה העת), אולם, עצם הגשת התביעה מלמדת כי הצדדים לא נהגו על-פי ההסכם משנת 2020.</w:t>
      </w:r>
    </w:p>
    <w:p w14:paraId="2C4171CF" w14:textId="77777777" w:rsidR="00D4005B" w:rsidRDefault="00D4005B" w:rsidP="00F244FF">
      <w:pPr>
        <w:pStyle w:val="11"/>
        <w:spacing w:line="360" w:lineRule="auto"/>
        <w:rPr>
          <w:rFonts w:ascii="David" w:hAnsi="David" w:cs="David"/>
          <w:sz w:val="24"/>
          <w:szCs w:val="24"/>
        </w:rPr>
      </w:pPr>
    </w:p>
    <w:p w14:paraId="65B7DEC7"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t xml:space="preserve">אינני מתעלם מטענת הנתבעת כי ההסכם משנת 2020 תקף מכוח </w:t>
      </w:r>
      <w:hyperlink r:id="rId39" w:history="1">
        <w:r w:rsidR="00166005" w:rsidRPr="00166005">
          <w:rPr>
            <w:rStyle w:val="Hyperlink"/>
            <w:rFonts w:ascii="David" w:hAnsi="David" w:cs="David"/>
            <w:sz w:val="24"/>
            <w:szCs w:val="24"/>
            <w:rtl/>
          </w:rPr>
          <w:t>ס' 5 (א) (3)</w:t>
        </w:r>
      </w:hyperlink>
      <w:r>
        <w:rPr>
          <w:rFonts w:ascii="David" w:hAnsi="David" w:cs="David"/>
          <w:sz w:val="24"/>
          <w:szCs w:val="24"/>
          <w:rtl/>
        </w:rPr>
        <w:t xml:space="preserve"> ל</w:t>
      </w:r>
      <w:hyperlink r:id="rId40" w:history="1">
        <w:r w:rsidR="004B54CC" w:rsidRPr="004B54CC">
          <w:rPr>
            <w:rFonts w:ascii="David" w:hAnsi="David" w:cs="David"/>
            <w:color w:val="0000FF"/>
            <w:sz w:val="24"/>
            <w:szCs w:val="24"/>
            <w:u w:val="single"/>
            <w:rtl/>
          </w:rPr>
          <w:t>חוק יחסי ממון</w:t>
        </w:r>
      </w:hyperlink>
      <w:r>
        <w:rPr>
          <w:rFonts w:ascii="David" w:hAnsi="David" w:cs="David"/>
          <w:sz w:val="24"/>
          <w:szCs w:val="24"/>
          <w:rtl/>
        </w:rPr>
        <w:t>, הקובע כי:</w:t>
      </w:r>
    </w:p>
    <w:p w14:paraId="59EA5295" w14:textId="77777777" w:rsidR="00D4005B" w:rsidRDefault="00000000" w:rsidP="00F244FF">
      <w:pPr>
        <w:tabs>
          <w:tab w:val="left" w:pos="1218"/>
        </w:tabs>
        <w:spacing w:line="360" w:lineRule="auto"/>
        <w:ind w:left="849" w:right="709"/>
        <w:contextualSpacing/>
        <w:jc w:val="both"/>
        <w:rPr>
          <w:b/>
          <w:bCs/>
          <w:noProof w:val="0"/>
          <w:rtl/>
        </w:rPr>
      </w:pPr>
      <w:r>
        <w:rPr>
          <w:b/>
          <w:bCs/>
          <w:noProof w:val="0"/>
          <w:rtl/>
        </w:rPr>
        <w:t>"(א) עם התרת הנישואין או עם פקיעת הנישואין עקב מותו של בן זוג (בחוק זה – פקיעת הנישואין) זכאי כל אחד מבני הזוג למחצית שוויים של כלל נכסי בני הזוג, למעט –</w:t>
      </w:r>
    </w:p>
    <w:p w14:paraId="0D6EF340" w14:textId="77777777" w:rsidR="00D4005B" w:rsidRDefault="00000000" w:rsidP="00F244FF">
      <w:pPr>
        <w:tabs>
          <w:tab w:val="left" w:pos="1218"/>
        </w:tabs>
        <w:spacing w:line="360" w:lineRule="auto"/>
        <w:ind w:left="1175" w:right="709" w:hanging="284"/>
        <w:contextualSpacing/>
        <w:jc w:val="both"/>
        <w:rPr>
          <w:b/>
          <w:bCs/>
          <w:noProof w:val="0"/>
          <w:rtl/>
        </w:rPr>
      </w:pPr>
      <w:r>
        <w:rPr>
          <w:b/>
          <w:bCs/>
          <w:noProof w:val="0"/>
          <w:rtl/>
        </w:rPr>
        <w:t>...</w:t>
      </w:r>
    </w:p>
    <w:p w14:paraId="74769EE9" w14:textId="77777777" w:rsidR="00D4005B" w:rsidRDefault="00000000" w:rsidP="00F244FF">
      <w:pPr>
        <w:tabs>
          <w:tab w:val="left" w:pos="1218"/>
        </w:tabs>
        <w:spacing w:line="360" w:lineRule="auto"/>
        <w:ind w:left="1175" w:right="709" w:hanging="284"/>
        <w:contextualSpacing/>
        <w:jc w:val="both"/>
        <w:rPr>
          <w:b/>
          <w:bCs/>
          <w:noProof w:val="0"/>
          <w:rtl/>
        </w:rPr>
      </w:pPr>
      <w:r>
        <w:rPr>
          <w:b/>
          <w:bCs/>
          <w:noProof w:val="0"/>
          <w:rtl/>
        </w:rPr>
        <w:t>(3)</w:t>
      </w:r>
      <w:r>
        <w:rPr>
          <w:b/>
          <w:bCs/>
          <w:noProof w:val="0"/>
          <w:rtl/>
        </w:rPr>
        <w:tab/>
        <w:t>נכסים שבני הזוג הסכימו בכתב ששוויים לא יאוזן ביניהם".</w:t>
      </w:r>
    </w:p>
    <w:p w14:paraId="05BB477C" w14:textId="77777777" w:rsidR="00D4005B" w:rsidRDefault="00D4005B" w:rsidP="00F244FF">
      <w:pPr>
        <w:tabs>
          <w:tab w:val="left" w:pos="1218"/>
        </w:tabs>
        <w:spacing w:line="360" w:lineRule="auto"/>
        <w:ind w:left="1175" w:right="709" w:hanging="284"/>
        <w:contextualSpacing/>
        <w:jc w:val="both"/>
        <w:rPr>
          <w:b/>
          <w:bCs/>
          <w:noProof w:val="0"/>
          <w:rtl/>
        </w:rPr>
      </w:pPr>
    </w:p>
    <w:p w14:paraId="7CB216D1"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tl/>
        </w:rPr>
      </w:pPr>
      <w:r w:rsidRPr="002D4047">
        <w:rPr>
          <w:rFonts w:ascii="David" w:hAnsi="David" w:cs="David"/>
          <w:sz w:val="24"/>
          <w:szCs w:val="24"/>
          <w:rtl/>
        </w:rPr>
        <w:t>אכן, ב</w:t>
      </w:r>
      <w:hyperlink r:id="rId41" w:history="1">
        <w:r w:rsidR="004B54CC" w:rsidRPr="004B54CC">
          <w:rPr>
            <w:rFonts w:ascii="David" w:hAnsi="David" w:cs="David"/>
            <w:color w:val="0000FF"/>
            <w:sz w:val="24"/>
            <w:szCs w:val="24"/>
            <w:u w:val="single"/>
            <w:rtl/>
          </w:rPr>
          <w:t>חוק יחסי ממון</w:t>
        </w:r>
      </w:hyperlink>
      <w:r w:rsidRPr="002D4047">
        <w:rPr>
          <w:rFonts w:ascii="David" w:hAnsi="David" w:cs="David"/>
          <w:sz w:val="24"/>
          <w:szCs w:val="24"/>
          <w:rtl/>
        </w:rPr>
        <w:t xml:space="preserve"> ובפסיקה נערכה הבחנה בין הסכם ממון לבין "סתם" הסכם, אשר נערך על-ידי בני זוג בכתב לגבי נכס ספציפי. על-פי הפסיקה, הסכמת בני זוג ששווי נכס מסוים לא יאוזן ביניהם על פי הסעיף הנ"ל, יכולה להיעשות בהסכם ביניהם, לאו דווקא בהסכם ממון כהגדרתו בחוק – </w:t>
      </w:r>
      <w:r w:rsidRPr="002D4047">
        <w:rPr>
          <w:rFonts w:ascii="David" w:hAnsi="David" w:cs="David"/>
          <w:b/>
          <w:bCs/>
          <w:sz w:val="24"/>
          <w:szCs w:val="24"/>
          <w:rtl/>
        </w:rPr>
        <w:t>ראו</w:t>
      </w:r>
      <w:r w:rsidRPr="002D4047">
        <w:rPr>
          <w:rFonts w:ascii="David" w:hAnsi="David" w:cs="David"/>
          <w:sz w:val="24"/>
          <w:szCs w:val="24"/>
          <w:rtl/>
        </w:rPr>
        <w:t xml:space="preserve">: </w:t>
      </w:r>
      <w:hyperlink r:id="rId42" w:history="1">
        <w:r w:rsidR="004B54CC" w:rsidRPr="004B54CC">
          <w:rPr>
            <w:rFonts w:ascii="David" w:hAnsi="David" w:cs="David"/>
            <w:color w:val="0000FF"/>
            <w:sz w:val="24"/>
            <w:szCs w:val="24"/>
            <w:u w:val="single"/>
            <w:rtl/>
          </w:rPr>
          <w:t>בג"צ 10605/02</w:t>
        </w:r>
      </w:hyperlink>
      <w:r w:rsidRPr="002D4047">
        <w:rPr>
          <w:rFonts w:ascii="David" w:hAnsi="David" w:cs="David"/>
          <w:sz w:val="24"/>
          <w:szCs w:val="24"/>
          <w:rtl/>
        </w:rPr>
        <w:t xml:space="preserve"> </w:t>
      </w:r>
      <w:r w:rsidRPr="002D4047">
        <w:rPr>
          <w:rFonts w:ascii="David" w:hAnsi="David" w:cs="David"/>
          <w:b/>
          <w:bCs/>
          <w:sz w:val="24"/>
          <w:szCs w:val="24"/>
          <w:rtl/>
        </w:rPr>
        <w:t>גמליאל נ' בית הדין הרבני הגדול</w:t>
      </w:r>
      <w:r w:rsidRPr="002D4047">
        <w:rPr>
          <w:rFonts w:ascii="David" w:hAnsi="David" w:cs="David"/>
          <w:sz w:val="24"/>
          <w:szCs w:val="24"/>
          <w:rtl/>
        </w:rPr>
        <w:t xml:space="preserve">, פ"ד נח(2) 529 (2003); </w:t>
      </w:r>
      <w:hyperlink r:id="rId43" w:history="1">
        <w:r w:rsidR="004B54CC" w:rsidRPr="004B54CC">
          <w:rPr>
            <w:rFonts w:ascii="David" w:hAnsi="David" w:cs="David"/>
            <w:color w:val="0000FF"/>
            <w:sz w:val="24"/>
            <w:szCs w:val="24"/>
            <w:u w:val="single"/>
            <w:rtl/>
          </w:rPr>
          <w:t>תמ"ש 19912-01-16</w:t>
        </w:r>
      </w:hyperlink>
      <w:r w:rsidRPr="002D4047">
        <w:rPr>
          <w:rFonts w:ascii="David" w:hAnsi="David" w:cs="David"/>
          <w:sz w:val="24"/>
          <w:szCs w:val="24"/>
          <w:rtl/>
        </w:rPr>
        <w:t xml:space="preserve"> </w:t>
      </w:r>
      <w:r w:rsidRPr="002D4047">
        <w:rPr>
          <w:rFonts w:ascii="David" w:hAnsi="David" w:cs="David"/>
          <w:b/>
          <w:bCs/>
          <w:sz w:val="24"/>
          <w:szCs w:val="24"/>
          <w:rtl/>
        </w:rPr>
        <w:t xml:space="preserve">ג.פ. נ' </w:t>
      </w:r>
      <w:r>
        <w:rPr>
          <w:rFonts w:ascii="David" w:hAnsi="David" w:cs="David"/>
          <w:b/>
          <w:bCs/>
          <w:sz w:val="24"/>
          <w:szCs w:val="24"/>
          <w:rtl/>
        </w:rPr>
        <w:t>מ.פ.</w:t>
      </w:r>
      <w:r>
        <w:rPr>
          <w:rFonts w:ascii="David" w:hAnsi="David" w:cs="David"/>
          <w:sz w:val="24"/>
          <w:szCs w:val="24"/>
          <w:rtl/>
        </w:rPr>
        <w:t xml:space="preserve"> </w:t>
      </w:r>
      <w:r w:rsidR="00445A02">
        <w:rPr>
          <w:rFonts w:ascii="David" w:hAnsi="David" w:cs="David"/>
          <w:sz w:val="24"/>
          <w:szCs w:val="24"/>
          <w:rtl/>
        </w:rPr>
        <w:t>[נבו]</w:t>
      </w:r>
      <w:r w:rsidR="00445A02">
        <w:rPr>
          <w:rFonts w:ascii="David" w:hAnsi="David" w:cs="David" w:hint="cs"/>
          <w:sz w:val="24"/>
          <w:szCs w:val="24"/>
          <w:rtl/>
        </w:rPr>
        <w:t xml:space="preserve"> </w:t>
      </w:r>
      <w:r>
        <w:rPr>
          <w:rFonts w:ascii="David" w:hAnsi="David" w:cs="David"/>
          <w:sz w:val="24"/>
          <w:szCs w:val="24"/>
          <w:rtl/>
        </w:rPr>
        <w:t>(1.6.2021).</w:t>
      </w:r>
    </w:p>
    <w:p w14:paraId="572247A9" w14:textId="77777777" w:rsidR="00D4005B" w:rsidRDefault="00D4005B" w:rsidP="00F244FF">
      <w:pPr>
        <w:pStyle w:val="11"/>
        <w:spacing w:after="0" w:line="360" w:lineRule="auto"/>
        <w:ind w:left="357"/>
        <w:jc w:val="both"/>
        <w:rPr>
          <w:rFonts w:ascii="David" w:hAnsi="David" w:cs="David"/>
          <w:sz w:val="24"/>
          <w:szCs w:val="24"/>
        </w:rPr>
      </w:pPr>
    </w:p>
    <w:p w14:paraId="5924026C"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t xml:space="preserve">יחד עם זאת, לטעמי, על-מנת שהסכם בכתב יהיה תקף מכוח </w:t>
      </w:r>
      <w:hyperlink r:id="rId44" w:history="1">
        <w:r w:rsidR="00166005" w:rsidRPr="00166005">
          <w:rPr>
            <w:rStyle w:val="Hyperlink"/>
            <w:rFonts w:ascii="David" w:hAnsi="David" w:cs="David"/>
            <w:b/>
            <w:bCs/>
            <w:sz w:val="24"/>
            <w:szCs w:val="24"/>
            <w:rtl/>
          </w:rPr>
          <w:t>ס' 5 (א) (3)</w:t>
        </w:r>
      </w:hyperlink>
      <w:r>
        <w:rPr>
          <w:rFonts w:ascii="David" w:hAnsi="David" w:cs="David"/>
          <w:b/>
          <w:bCs/>
          <w:sz w:val="24"/>
          <w:szCs w:val="24"/>
          <w:rtl/>
        </w:rPr>
        <w:t xml:space="preserve"> ל</w:t>
      </w:r>
      <w:hyperlink r:id="rId45" w:history="1">
        <w:r w:rsidR="004B54CC" w:rsidRPr="004B54CC">
          <w:rPr>
            <w:rFonts w:ascii="David" w:hAnsi="David" w:cs="David"/>
            <w:b/>
            <w:bCs/>
            <w:color w:val="0000FF"/>
            <w:sz w:val="24"/>
            <w:szCs w:val="24"/>
            <w:u w:val="single"/>
            <w:rtl/>
          </w:rPr>
          <w:t>חוק יחסי ממון</w:t>
        </w:r>
      </w:hyperlink>
      <w:r>
        <w:rPr>
          <w:rFonts w:ascii="David" w:hAnsi="David" w:cs="David"/>
          <w:sz w:val="24"/>
          <w:szCs w:val="24"/>
          <w:rtl/>
        </w:rPr>
        <w:t xml:space="preserve">, אין להסתפק בוויתור הדדי "כללי", כפי שהסכימו הצדדים במקרה שלפניי, ויש צורך בפירוט הנכסים, שלגביהם הסכימו הצדדים ששווים לא יאוזן. דרישה זו עולה במפורש מלשון </w:t>
      </w:r>
      <w:hyperlink r:id="rId46" w:history="1">
        <w:r w:rsidR="00166005" w:rsidRPr="00166005">
          <w:rPr>
            <w:rStyle w:val="Hyperlink"/>
            <w:rFonts w:ascii="David" w:hAnsi="David" w:cs="David"/>
            <w:b/>
            <w:bCs/>
            <w:sz w:val="24"/>
            <w:szCs w:val="24"/>
            <w:rtl/>
          </w:rPr>
          <w:t>הסעיף 5 (א) (3)</w:t>
        </w:r>
      </w:hyperlink>
      <w:r>
        <w:rPr>
          <w:rFonts w:ascii="David" w:hAnsi="David" w:cs="David"/>
          <w:b/>
          <w:bCs/>
          <w:sz w:val="24"/>
          <w:szCs w:val="24"/>
          <w:rtl/>
        </w:rPr>
        <w:t xml:space="preserve"> ל</w:t>
      </w:r>
      <w:hyperlink r:id="rId47" w:history="1">
        <w:r w:rsidR="004B54CC" w:rsidRPr="004B54CC">
          <w:rPr>
            <w:rFonts w:ascii="David" w:hAnsi="David" w:cs="David"/>
            <w:b/>
            <w:bCs/>
            <w:color w:val="0000FF"/>
            <w:sz w:val="24"/>
            <w:szCs w:val="24"/>
            <w:u w:val="single"/>
            <w:rtl/>
          </w:rPr>
          <w:t>חוק יחסי ממון</w:t>
        </w:r>
      </w:hyperlink>
      <w:r>
        <w:rPr>
          <w:rFonts w:ascii="David" w:hAnsi="David" w:cs="David"/>
          <w:sz w:val="24"/>
          <w:szCs w:val="24"/>
          <w:rtl/>
        </w:rPr>
        <w:t xml:space="preserve"> – "</w:t>
      </w:r>
      <w:r>
        <w:rPr>
          <w:rFonts w:ascii="David" w:hAnsi="David" w:cs="David"/>
          <w:sz w:val="24"/>
          <w:szCs w:val="24"/>
          <w:u w:val="single"/>
          <w:rtl/>
        </w:rPr>
        <w:t>נכסים</w:t>
      </w:r>
      <w:r>
        <w:rPr>
          <w:rFonts w:ascii="David" w:hAnsi="David" w:cs="David"/>
          <w:sz w:val="24"/>
          <w:szCs w:val="24"/>
          <w:rtl/>
        </w:rPr>
        <w:t xml:space="preserve"> שבני הזוג הסכימו בכתב ששוויים לא יאוזן ביניהם" [הדגשה לא במקור – פ"ג]. </w:t>
      </w:r>
    </w:p>
    <w:p w14:paraId="557DD5E1" w14:textId="77777777" w:rsidR="00D4005B" w:rsidRDefault="00D4005B" w:rsidP="00F244FF">
      <w:pPr>
        <w:pStyle w:val="11"/>
        <w:spacing w:line="360" w:lineRule="auto"/>
        <w:rPr>
          <w:rFonts w:ascii="David" w:hAnsi="David" w:cs="David"/>
          <w:sz w:val="24"/>
          <w:szCs w:val="24"/>
        </w:rPr>
      </w:pPr>
    </w:p>
    <w:p w14:paraId="5783011D"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t xml:space="preserve">על הצורך בפירוט אודות הנכסים ניתן ללמוד גם </w:t>
      </w:r>
      <w:hyperlink r:id="rId48" w:history="1">
        <w:r w:rsidR="00166005" w:rsidRPr="00166005">
          <w:rPr>
            <w:rStyle w:val="Hyperlink"/>
            <w:rFonts w:ascii="David" w:hAnsi="David" w:cs="David"/>
            <w:b/>
            <w:bCs/>
            <w:sz w:val="24"/>
            <w:szCs w:val="24"/>
            <w:rtl/>
          </w:rPr>
          <w:t>מסעיפים 5 (א)</w:t>
        </w:r>
      </w:hyperlink>
      <w:r>
        <w:rPr>
          <w:rFonts w:ascii="David" w:hAnsi="David" w:cs="David"/>
          <w:b/>
          <w:bCs/>
          <w:sz w:val="24"/>
          <w:szCs w:val="24"/>
          <w:rtl/>
        </w:rPr>
        <w:t xml:space="preserve"> ל</w:t>
      </w:r>
      <w:hyperlink r:id="rId49" w:history="1">
        <w:r w:rsidR="004B54CC" w:rsidRPr="004B54CC">
          <w:rPr>
            <w:rFonts w:ascii="David" w:hAnsi="David" w:cs="David"/>
            <w:b/>
            <w:bCs/>
            <w:color w:val="0000FF"/>
            <w:sz w:val="24"/>
            <w:szCs w:val="24"/>
            <w:u w:val="single"/>
            <w:rtl/>
          </w:rPr>
          <w:t>חוק יחסי ממון</w:t>
        </w:r>
      </w:hyperlink>
      <w:r>
        <w:rPr>
          <w:rFonts w:ascii="David" w:hAnsi="David" w:cs="David"/>
          <w:sz w:val="24"/>
          <w:szCs w:val="24"/>
          <w:rtl/>
        </w:rPr>
        <w:t xml:space="preserve"> (הקובע כי עם התרת הנישואין או עם פקיעתם, זכאי כל אחד מבני הזוג למחצית שוויים של "כלל נכסי בני הזוג" השני), </w:t>
      </w:r>
      <w:r>
        <w:rPr>
          <w:rFonts w:ascii="David" w:hAnsi="David" w:cs="David"/>
          <w:b/>
          <w:bCs/>
          <w:sz w:val="24"/>
          <w:szCs w:val="24"/>
          <w:rtl/>
        </w:rPr>
        <w:t>ו-</w:t>
      </w:r>
      <w:hyperlink r:id="rId50" w:history="1">
        <w:r w:rsidR="00166005" w:rsidRPr="00166005">
          <w:rPr>
            <w:rStyle w:val="Hyperlink"/>
            <w:rFonts w:ascii="David" w:hAnsi="David" w:cs="David"/>
            <w:b/>
            <w:bCs/>
            <w:sz w:val="24"/>
            <w:szCs w:val="24"/>
            <w:rtl/>
          </w:rPr>
          <w:t>5 (ג)</w:t>
        </w:r>
      </w:hyperlink>
      <w:r>
        <w:rPr>
          <w:rFonts w:ascii="David" w:hAnsi="David" w:cs="David"/>
          <w:b/>
          <w:bCs/>
          <w:sz w:val="24"/>
          <w:szCs w:val="24"/>
          <w:rtl/>
        </w:rPr>
        <w:t xml:space="preserve"> לחוק יחסי ממון</w:t>
      </w:r>
      <w:r>
        <w:rPr>
          <w:rFonts w:ascii="David" w:hAnsi="David" w:cs="David"/>
          <w:sz w:val="24"/>
          <w:szCs w:val="24"/>
          <w:rtl/>
        </w:rPr>
        <w:t xml:space="preserve"> (אשר בו ניתן פירוט ל"כלל נכסי בני הזוג" - לרבות זכויות עתידיות לפנסיה, פיצויי פרישה, קרנות השתלמות, קופות תגמולים וחסכונות).</w:t>
      </w:r>
    </w:p>
    <w:p w14:paraId="57CE9059" w14:textId="77777777" w:rsidR="00D4005B" w:rsidRDefault="00D4005B" w:rsidP="00F244FF">
      <w:pPr>
        <w:pStyle w:val="11"/>
        <w:spacing w:after="0" w:line="360" w:lineRule="auto"/>
        <w:ind w:left="357"/>
        <w:jc w:val="both"/>
        <w:rPr>
          <w:rFonts w:ascii="David" w:hAnsi="David" w:cs="David"/>
          <w:sz w:val="24"/>
          <w:szCs w:val="24"/>
        </w:rPr>
      </w:pPr>
    </w:p>
    <w:p w14:paraId="2A8485DE"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Pr>
      </w:pPr>
      <w:r>
        <w:rPr>
          <w:rFonts w:ascii="David" w:hAnsi="David" w:cs="David"/>
          <w:sz w:val="24"/>
          <w:szCs w:val="24"/>
          <w:rtl/>
        </w:rPr>
        <w:t xml:space="preserve">הצורך והחשיבות בפירוט הנכסים בהסכם מכוח </w:t>
      </w:r>
      <w:hyperlink r:id="rId51" w:history="1">
        <w:r w:rsidR="00166005" w:rsidRPr="00166005">
          <w:rPr>
            <w:rStyle w:val="Hyperlink"/>
            <w:rFonts w:ascii="David" w:hAnsi="David" w:cs="David"/>
            <w:b/>
            <w:bCs/>
            <w:sz w:val="24"/>
            <w:szCs w:val="24"/>
            <w:rtl/>
          </w:rPr>
          <w:t>ס' 5 (א) (3)</w:t>
        </w:r>
      </w:hyperlink>
      <w:r>
        <w:rPr>
          <w:rFonts w:ascii="David" w:hAnsi="David" w:cs="David"/>
          <w:b/>
          <w:bCs/>
          <w:sz w:val="24"/>
          <w:szCs w:val="24"/>
          <w:rtl/>
        </w:rPr>
        <w:t xml:space="preserve"> ל</w:t>
      </w:r>
      <w:hyperlink r:id="rId52" w:history="1">
        <w:r w:rsidR="004B54CC" w:rsidRPr="004B54CC">
          <w:rPr>
            <w:rFonts w:ascii="David" w:hAnsi="David" w:cs="David"/>
            <w:b/>
            <w:bCs/>
            <w:color w:val="0000FF"/>
            <w:sz w:val="24"/>
            <w:szCs w:val="24"/>
            <w:u w:val="single"/>
            <w:rtl/>
          </w:rPr>
          <w:t>חוק יחסי ממון</w:t>
        </w:r>
      </w:hyperlink>
      <w:r>
        <w:rPr>
          <w:rFonts w:ascii="David" w:hAnsi="David" w:cs="David"/>
          <w:b/>
          <w:bCs/>
          <w:sz w:val="24"/>
          <w:szCs w:val="24"/>
          <w:rtl/>
        </w:rPr>
        <w:t xml:space="preserve"> </w:t>
      </w:r>
      <w:r>
        <w:rPr>
          <w:rFonts w:ascii="David" w:hAnsi="David" w:cs="David"/>
          <w:sz w:val="24"/>
          <w:szCs w:val="24"/>
          <w:rtl/>
        </w:rPr>
        <w:t xml:space="preserve">מקבל משנה תוקף לנוכח העובדה שהסכם זה אינו עובר את "המסננת" של בית המשפט – </w:t>
      </w:r>
      <w:r>
        <w:rPr>
          <w:rFonts w:ascii="David" w:hAnsi="David" w:cs="David"/>
          <w:b/>
          <w:bCs/>
          <w:sz w:val="24"/>
          <w:szCs w:val="24"/>
          <w:rtl/>
        </w:rPr>
        <w:t>ראו</w:t>
      </w:r>
      <w:r>
        <w:rPr>
          <w:rFonts w:ascii="David" w:hAnsi="David" w:cs="David"/>
          <w:sz w:val="24"/>
          <w:szCs w:val="24"/>
          <w:rtl/>
        </w:rPr>
        <w:t xml:space="preserve">: </w:t>
      </w:r>
      <w:hyperlink r:id="rId53" w:history="1">
        <w:r w:rsidR="004B54CC" w:rsidRPr="004B54CC">
          <w:rPr>
            <w:rFonts w:ascii="David" w:hAnsi="David" w:cs="David"/>
            <w:color w:val="0000FF"/>
            <w:sz w:val="24"/>
            <w:szCs w:val="24"/>
            <w:u w:val="single"/>
            <w:rtl/>
          </w:rPr>
          <w:t>עמ"ש 1015-08</w:t>
        </w:r>
      </w:hyperlink>
      <w:r>
        <w:rPr>
          <w:rFonts w:ascii="David" w:hAnsi="David" w:cs="David"/>
          <w:b/>
          <w:bCs/>
          <w:sz w:val="24"/>
          <w:szCs w:val="24"/>
          <w:rtl/>
        </w:rPr>
        <w:t xml:space="preserve"> פלוני נ' פלונית </w:t>
      </w:r>
      <w:r w:rsidR="00445A02">
        <w:rPr>
          <w:rFonts w:ascii="David" w:hAnsi="David" w:cs="David"/>
          <w:b/>
          <w:bCs/>
          <w:sz w:val="24"/>
          <w:szCs w:val="24"/>
          <w:rtl/>
        </w:rPr>
        <w:t>[נבו]</w:t>
      </w:r>
      <w:r w:rsidR="00445A02">
        <w:rPr>
          <w:rFonts w:ascii="David" w:hAnsi="David" w:cs="David" w:hint="cs"/>
          <w:b/>
          <w:bCs/>
          <w:sz w:val="24"/>
          <w:szCs w:val="24"/>
          <w:rtl/>
        </w:rPr>
        <w:t xml:space="preserve"> </w:t>
      </w:r>
      <w:r>
        <w:rPr>
          <w:rFonts w:ascii="David" w:hAnsi="David" w:cs="David"/>
          <w:sz w:val="24"/>
          <w:szCs w:val="24"/>
          <w:rtl/>
        </w:rPr>
        <w:t>(26.5.2013), ויש בפירוט הנכסים כדי להצביע על גמירות הדעת הצדדים שלא לאזן שווים של נכסים המפורטים בהסכם ומצביע על הבנתם כי שווי נכסים אלה לא יאוזן במסגרת איזון המשאבים.</w:t>
      </w:r>
    </w:p>
    <w:p w14:paraId="39105FD4"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t xml:space="preserve">במקרה שלפניי, בהסכם משנת 2020 לא ניתן כל פירוט על אודות הנכסים ששווים לא יאוזן, אלא הוסכם באופן כלל על וויתור גורף על כלל הכספים והזכויות, ואין לראות בהסכם זה הסכם תקף מכוח </w:t>
      </w:r>
      <w:hyperlink r:id="rId54" w:history="1">
        <w:r w:rsidR="00166005" w:rsidRPr="00166005">
          <w:rPr>
            <w:rStyle w:val="Hyperlink"/>
            <w:rFonts w:ascii="David" w:hAnsi="David" w:cs="David"/>
            <w:b/>
            <w:bCs/>
            <w:sz w:val="24"/>
            <w:szCs w:val="24"/>
            <w:rtl/>
          </w:rPr>
          <w:t>ס' 5 (א) (3)</w:t>
        </w:r>
      </w:hyperlink>
      <w:r>
        <w:rPr>
          <w:rFonts w:ascii="David" w:hAnsi="David" w:cs="David"/>
          <w:b/>
          <w:bCs/>
          <w:sz w:val="24"/>
          <w:szCs w:val="24"/>
          <w:rtl/>
        </w:rPr>
        <w:t xml:space="preserve"> ל</w:t>
      </w:r>
      <w:hyperlink r:id="rId55" w:history="1">
        <w:r w:rsidR="004B54CC" w:rsidRPr="004B54CC">
          <w:rPr>
            <w:rFonts w:ascii="David" w:hAnsi="David" w:cs="David"/>
            <w:b/>
            <w:bCs/>
            <w:color w:val="0000FF"/>
            <w:sz w:val="24"/>
            <w:szCs w:val="24"/>
            <w:u w:val="single"/>
            <w:rtl/>
          </w:rPr>
          <w:t>חוק יחסי ממון</w:t>
        </w:r>
      </w:hyperlink>
      <w:r>
        <w:rPr>
          <w:rFonts w:ascii="David" w:hAnsi="David" w:cs="David"/>
          <w:sz w:val="24"/>
          <w:szCs w:val="24"/>
          <w:rtl/>
        </w:rPr>
        <w:t>.</w:t>
      </w:r>
    </w:p>
    <w:p w14:paraId="44391B1C" w14:textId="77777777" w:rsidR="00D4005B" w:rsidRDefault="00D4005B" w:rsidP="00F244FF">
      <w:pPr>
        <w:pStyle w:val="11"/>
        <w:spacing w:line="360" w:lineRule="auto"/>
        <w:rPr>
          <w:rFonts w:ascii="David" w:hAnsi="David" w:cs="David"/>
          <w:sz w:val="24"/>
          <w:szCs w:val="24"/>
        </w:rPr>
      </w:pPr>
    </w:p>
    <w:p w14:paraId="5DD1EBDE"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t xml:space="preserve">זאת ועוד, לוויתור שנעשה בהסכם משנת 2020 לא ניתן ליתן כל תוקף. ההסכם משנת 2020 לא כולל כאמור כל פירוט של נכסים לגביהם חל הוויתור וכש"אין אזכור – אין ויתור" </w:t>
      </w:r>
      <w:r>
        <w:rPr>
          <w:rFonts w:ascii="David" w:hAnsi="David" w:cs="David"/>
          <w:b/>
          <w:bCs/>
          <w:sz w:val="24"/>
          <w:szCs w:val="24"/>
          <w:rtl/>
        </w:rPr>
        <w:t>ראו</w:t>
      </w:r>
      <w:r>
        <w:rPr>
          <w:rFonts w:ascii="David" w:hAnsi="David" w:cs="David"/>
          <w:sz w:val="24"/>
          <w:szCs w:val="24"/>
          <w:rtl/>
        </w:rPr>
        <w:t xml:space="preserve">: </w:t>
      </w:r>
      <w:hyperlink r:id="rId56" w:history="1">
        <w:r w:rsidR="004B54CC" w:rsidRPr="004B54CC">
          <w:rPr>
            <w:rFonts w:ascii="David" w:hAnsi="David" w:cs="David"/>
            <w:color w:val="0000FF"/>
            <w:sz w:val="24"/>
            <w:szCs w:val="24"/>
            <w:u w:val="single"/>
            <w:rtl/>
          </w:rPr>
          <w:t>עמ"ש 18968-06-16</w:t>
        </w:r>
      </w:hyperlink>
      <w:r>
        <w:rPr>
          <w:rFonts w:ascii="David" w:hAnsi="David" w:cs="David"/>
          <w:sz w:val="24"/>
          <w:szCs w:val="24"/>
          <w:rtl/>
        </w:rPr>
        <w:t xml:space="preserve"> </w:t>
      </w:r>
      <w:r>
        <w:rPr>
          <w:rFonts w:ascii="David" w:hAnsi="David" w:cs="David"/>
          <w:b/>
          <w:bCs/>
          <w:sz w:val="24"/>
          <w:szCs w:val="24"/>
          <w:rtl/>
        </w:rPr>
        <w:t>פלונית נ' פלוני</w:t>
      </w:r>
      <w:r>
        <w:rPr>
          <w:rFonts w:ascii="David" w:hAnsi="David" w:cs="David"/>
          <w:sz w:val="24"/>
          <w:szCs w:val="24"/>
          <w:rtl/>
        </w:rPr>
        <w:t xml:space="preserve"> </w:t>
      </w:r>
      <w:r w:rsidR="00445A02">
        <w:rPr>
          <w:rFonts w:ascii="David" w:hAnsi="David" w:cs="David"/>
          <w:sz w:val="24"/>
          <w:szCs w:val="24"/>
          <w:rtl/>
        </w:rPr>
        <w:t>[נבו]</w:t>
      </w:r>
      <w:r w:rsidR="00445A02">
        <w:rPr>
          <w:rFonts w:ascii="David" w:hAnsi="David" w:cs="David" w:hint="cs"/>
          <w:sz w:val="24"/>
          <w:szCs w:val="24"/>
          <w:rtl/>
        </w:rPr>
        <w:t xml:space="preserve"> </w:t>
      </w:r>
      <w:r>
        <w:rPr>
          <w:rFonts w:ascii="David" w:hAnsi="David" w:cs="David"/>
          <w:sz w:val="24"/>
          <w:szCs w:val="24"/>
          <w:rtl/>
        </w:rPr>
        <w:t>(27.4.2017).</w:t>
      </w:r>
    </w:p>
    <w:p w14:paraId="595296AA" w14:textId="77777777" w:rsidR="00D4005B" w:rsidRDefault="00D4005B" w:rsidP="00F244FF">
      <w:pPr>
        <w:pStyle w:val="11"/>
        <w:spacing w:line="360" w:lineRule="auto"/>
        <w:rPr>
          <w:rFonts w:ascii="David" w:hAnsi="David" w:cs="David"/>
          <w:sz w:val="24"/>
          <w:szCs w:val="24"/>
        </w:rPr>
      </w:pPr>
    </w:p>
    <w:p w14:paraId="506ACAA1" w14:textId="77777777" w:rsidR="00D4005B" w:rsidRPr="002D4047" w:rsidRDefault="00000000" w:rsidP="00F244FF">
      <w:pPr>
        <w:pStyle w:val="11"/>
        <w:numPr>
          <w:ilvl w:val="0"/>
          <w:numId w:val="1"/>
        </w:numPr>
        <w:spacing w:after="0" w:line="360" w:lineRule="auto"/>
        <w:ind w:left="357" w:hanging="357"/>
        <w:jc w:val="both"/>
        <w:rPr>
          <w:rFonts w:ascii="David" w:hAnsi="David" w:cs="David"/>
          <w:sz w:val="24"/>
          <w:szCs w:val="24"/>
          <w:rtl/>
        </w:rPr>
      </w:pPr>
      <w:r w:rsidRPr="002D4047">
        <w:rPr>
          <w:rFonts w:ascii="David" w:hAnsi="David" w:cs="David"/>
          <w:sz w:val="24"/>
          <w:szCs w:val="24"/>
          <w:rtl/>
        </w:rPr>
        <w:t xml:space="preserve">נפסק כי "יש ליתן את הדעת לוויתור בלתי מפורש בהסכם על זכויותיו של כל אחד מהצדדים, שמא נעשה שלא בגמירות דעתו המלאה של הצד המוותר, וייתכן שהיה מקום לשקול יצירת חזקה לפיה וויתור בלתי מפורש יעביר את הנטל להוכחת גמירות הדעת לצד הטוען לוויתור" – </w:t>
      </w:r>
      <w:r w:rsidRPr="002D4047">
        <w:rPr>
          <w:rFonts w:ascii="David" w:hAnsi="David" w:cs="David"/>
          <w:b/>
          <w:bCs/>
          <w:sz w:val="24"/>
          <w:szCs w:val="24"/>
          <w:rtl/>
        </w:rPr>
        <w:t>ראו</w:t>
      </w:r>
      <w:r w:rsidRPr="002D4047">
        <w:rPr>
          <w:rFonts w:ascii="David" w:hAnsi="David" w:cs="David"/>
          <w:sz w:val="24"/>
          <w:szCs w:val="24"/>
          <w:rtl/>
        </w:rPr>
        <w:t xml:space="preserve">: </w:t>
      </w:r>
      <w:hyperlink r:id="rId57" w:history="1">
        <w:r w:rsidR="004B54CC" w:rsidRPr="004B54CC">
          <w:rPr>
            <w:rFonts w:ascii="David" w:hAnsi="David" w:cs="David"/>
            <w:color w:val="0000FF"/>
            <w:sz w:val="24"/>
            <w:szCs w:val="24"/>
            <w:u w:val="single"/>
            <w:rtl/>
          </w:rPr>
          <w:t>בג"ץ 7947/06</w:t>
        </w:r>
      </w:hyperlink>
      <w:r w:rsidRPr="002D4047">
        <w:rPr>
          <w:rFonts w:ascii="David" w:hAnsi="David" w:cs="David"/>
          <w:sz w:val="24"/>
          <w:szCs w:val="24"/>
          <w:rtl/>
        </w:rPr>
        <w:t xml:space="preserve"> </w:t>
      </w:r>
      <w:r w:rsidRPr="002D4047">
        <w:rPr>
          <w:rFonts w:ascii="David" w:hAnsi="David" w:cs="David"/>
          <w:b/>
          <w:bCs/>
          <w:sz w:val="24"/>
          <w:szCs w:val="24"/>
          <w:rtl/>
        </w:rPr>
        <w:t xml:space="preserve">איילה קהלני נ' בית הדין הרבני הגדול </w:t>
      </w:r>
      <w:r w:rsidR="00445A02">
        <w:rPr>
          <w:rFonts w:ascii="David" w:hAnsi="David" w:cs="David"/>
          <w:b/>
          <w:bCs/>
          <w:sz w:val="24"/>
          <w:szCs w:val="24"/>
          <w:rtl/>
        </w:rPr>
        <w:t>[נבו]</w:t>
      </w:r>
      <w:r w:rsidR="00445A02">
        <w:rPr>
          <w:rFonts w:ascii="David" w:hAnsi="David" w:cs="David" w:hint="cs"/>
          <w:b/>
          <w:bCs/>
          <w:sz w:val="24"/>
          <w:szCs w:val="24"/>
          <w:rtl/>
        </w:rPr>
        <w:t xml:space="preserve"> </w:t>
      </w:r>
      <w:r w:rsidRPr="002D4047">
        <w:rPr>
          <w:rFonts w:ascii="David" w:hAnsi="David" w:cs="David"/>
          <w:sz w:val="24"/>
          <w:szCs w:val="24"/>
          <w:rtl/>
        </w:rPr>
        <w:t xml:space="preserve">(24.12.2006); </w:t>
      </w:r>
      <w:hyperlink r:id="rId58" w:history="1">
        <w:r w:rsidR="004B54CC" w:rsidRPr="004B54CC">
          <w:rPr>
            <w:rFonts w:ascii="David" w:hAnsi="David" w:cs="David"/>
            <w:color w:val="0000FF"/>
            <w:sz w:val="24"/>
            <w:szCs w:val="24"/>
            <w:u w:val="single"/>
            <w:rtl/>
          </w:rPr>
          <w:t>עמ"ש 12430-10-18</w:t>
        </w:r>
      </w:hyperlink>
      <w:r w:rsidRPr="002D4047">
        <w:rPr>
          <w:rFonts w:ascii="David" w:hAnsi="David" w:cs="David"/>
          <w:sz w:val="24"/>
          <w:szCs w:val="24"/>
          <w:rtl/>
        </w:rPr>
        <w:t xml:space="preserve"> </w:t>
      </w:r>
      <w:r w:rsidRPr="002D4047">
        <w:rPr>
          <w:rFonts w:ascii="David" w:hAnsi="David" w:cs="David"/>
          <w:b/>
          <w:bCs/>
          <w:sz w:val="24"/>
          <w:szCs w:val="24"/>
          <w:rtl/>
        </w:rPr>
        <w:t>ג' נ' ג'</w:t>
      </w:r>
      <w:r w:rsidRPr="002D4047">
        <w:rPr>
          <w:rFonts w:ascii="David" w:hAnsi="David" w:cs="David"/>
          <w:sz w:val="24"/>
          <w:szCs w:val="24"/>
          <w:rtl/>
        </w:rPr>
        <w:t xml:space="preserve"> </w:t>
      </w:r>
      <w:r w:rsidR="00445A02">
        <w:rPr>
          <w:rFonts w:ascii="David" w:hAnsi="David" w:cs="David"/>
          <w:sz w:val="24"/>
          <w:szCs w:val="24"/>
          <w:rtl/>
        </w:rPr>
        <w:t>[נבו]</w:t>
      </w:r>
      <w:r w:rsidR="00445A02">
        <w:rPr>
          <w:rFonts w:ascii="David" w:hAnsi="David" w:cs="David" w:hint="cs"/>
          <w:sz w:val="24"/>
          <w:szCs w:val="24"/>
          <w:rtl/>
        </w:rPr>
        <w:t xml:space="preserve"> </w:t>
      </w:r>
      <w:r w:rsidRPr="002D4047">
        <w:rPr>
          <w:rFonts w:ascii="David" w:hAnsi="David" w:cs="David"/>
          <w:sz w:val="24"/>
          <w:szCs w:val="24"/>
          <w:rtl/>
        </w:rPr>
        <w:t>(2.1.2020).</w:t>
      </w:r>
    </w:p>
    <w:p w14:paraId="2BEC5848" w14:textId="77777777" w:rsidR="00D4005B" w:rsidRPr="002D4047" w:rsidRDefault="00D4005B" w:rsidP="00F244FF">
      <w:pPr>
        <w:pStyle w:val="11"/>
        <w:spacing w:line="360" w:lineRule="auto"/>
        <w:rPr>
          <w:rFonts w:ascii="David" w:hAnsi="David" w:cs="David"/>
          <w:sz w:val="24"/>
          <w:szCs w:val="24"/>
        </w:rPr>
      </w:pPr>
    </w:p>
    <w:p w14:paraId="25039B2C" w14:textId="77777777" w:rsidR="00D4005B" w:rsidRPr="002D4047" w:rsidRDefault="00000000" w:rsidP="00F244FF">
      <w:pPr>
        <w:pStyle w:val="11"/>
        <w:numPr>
          <w:ilvl w:val="0"/>
          <w:numId w:val="1"/>
        </w:numPr>
        <w:spacing w:after="0" w:line="360" w:lineRule="auto"/>
        <w:ind w:left="357" w:hanging="357"/>
        <w:jc w:val="both"/>
        <w:rPr>
          <w:rFonts w:ascii="David" w:hAnsi="David" w:cs="David"/>
          <w:sz w:val="24"/>
          <w:szCs w:val="24"/>
          <w:rtl/>
        </w:rPr>
      </w:pPr>
      <w:r w:rsidRPr="002D4047">
        <w:rPr>
          <w:rFonts w:ascii="David" w:hAnsi="David" w:cs="David"/>
          <w:sz w:val="24"/>
          <w:szCs w:val="24"/>
          <w:rtl/>
        </w:rPr>
        <w:lastRenderedPageBreak/>
        <w:t xml:space="preserve">עוד נפסק כי בן זוג הטוען לוויתור של בן הזוג האחר על זכות ממונית, נדרש להצביע על ויתור מפורש ואין די בוויתור משתמע וכללי – </w:t>
      </w:r>
      <w:r w:rsidRPr="002D4047">
        <w:rPr>
          <w:rFonts w:ascii="David" w:hAnsi="David" w:cs="David"/>
          <w:b/>
          <w:bCs/>
          <w:sz w:val="24"/>
          <w:szCs w:val="24"/>
          <w:rtl/>
        </w:rPr>
        <w:t>ראו</w:t>
      </w:r>
      <w:r w:rsidRPr="002D4047">
        <w:rPr>
          <w:rFonts w:ascii="David" w:hAnsi="David" w:cs="David"/>
          <w:sz w:val="24"/>
          <w:szCs w:val="24"/>
          <w:rtl/>
        </w:rPr>
        <w:t xml:space="preserve">: </w:t>
      </w:r>
      <w:hyperlink r:id="rId59" w:history="1">
        <w:r w:rsidR="004B54CC" w:rsidRPr="004B54CC">
          <w:rPr>
            <w:rFonts w:ascii="David" w:hAnsi="David" w:cs="David"/>
            <w:color w:val="0000FF"/>
            <w:sz w:val="24"/>
            <w:szCs w:val="24"/>
            <w:u w:val="single"/>
            <w:rtl/>
          </w:rPr>
          <w:t>עמ"ש 39641-05-10</w:t>
        </w:r>
      </w:hyperlink>
      <w:r w:rsidRPr="002D4047">
        <w:rPr>
          <w:rFonts w:ascii="David" w:hAnsi="David" w:cs="David"/>
          <w:sz w:val="24"/>
          <w:szCs w:val="24"/>
          <w:rtl/>
        </w:rPr>
        <w:t xml:space="preserve"> </w:t>
      </w:r>
      <w:r w:rsidRPr="002D4047">
        <w:rPr>
          <w:rFonts w:ascii="David" w:hAnsi="David" w:cs="David"/>
          <w:b/>
          <w:bCs/>
          <w:sz w:val="24"/>
          <w:szCs w:val="24"/>
          <w:rtl/>
        </w:rPr>
        <w:t>פלונית נ' פלוני</w:t>
      </w:r>
      <w:r w:rsidRPr="002D4047">
        <w:rPr>
          <w:rFonts w:ascii="David" w:hAnsi="David" w:cs="David"/>
          <w:sz w:val="24"/>
          <w:szCs w:val="24"/>
          <w:rtl/>
        </w:rPr>
        <w:t xml:space="preserve"> </w:t>
      </w:r>
      <w:r w:rsidR="00445A02">
        <w:rPr>
          <w:rFonts w:ascii="David" w:hAnsi="David" w:cs="David"/>
          <w:sz w:val="24"/>
          <w:szCs w:val="24"/>
          <w:rtl/>
        </w:rPr>
        <w:t>[נבו]</w:t>
      </w:r>
      <w:r w:rsidR="00445A02">
        <w:rPr>
          <w:rFonts w:ascii="David" w:hAnsi="David" w:cs="David" w:hint="cs"/>
          <w:sz w:val="24"/>
          <w:szCs w:val="24"/>
          <w:rtl/>
        </w:rPr>
        <w:t xml:space="preserve"> </w:t>
      </w:r>
      <w:r w:rsidRPr="002D4047">
        <w:rPr>
          <w:rFonts w:ascii="David" w:hAnsi="David" w:cs="David"/>
          <w:sz w:val="24"/>
          <w:szCs w:val="24"/>
          <w:rtl/>
        </w:rPr>
        <w:t xml:space="preserve">(2.4.2012); </w:t>
      </w:r>
      <w:hyperlink r:id="rId60" w:history="1">
        <w:r w:rsidR="004B54CC" w:rsidRPr="004B54CC">
          <w:rPr>
            <w:rFonts w:ascii="David" w:hAnsi="David" w:cs="David"/>
            <w:color w:val="0000FF"/>
            <w:sz w:val="24"/>
            <w:szCs w:val="24"/>
            <w:u w:val="single"/>
            <w:rtl/>
          </w:rPr>
          <w:t>עמ"ש 33417-06-20</w:t>
        </w:r>
      </w:hyperlink>
      <w:r w:rsidRPr="002D4047">
        <w:rPr>
          <w:rFonts w:ascii="David" w:hAnsi="David" w:cs="David"/>
          <w:sz w:val="24"/>
          <w:szCs w:val="24"/>
          <w:rtl/>
        </w:rPr>
        <w:t xml:space="preserve"> </w:t>
      </w:r>
      <w:r w:rsidRPr="002D4047">
        <w:rPr>
          <w:rFonts w:ascii="David" w:hAnsi="David" w:cs="David"/>
          <w:b/>
          <w:bCs/>
          <w:sz w:val="24"/>
          <w:szCs w:val="24"/>
          <w:rtl/>
        </w:rPr>
        <w:t xml:space="preserve">ס. נ' א.נ </w:t>
      </w:r>
      <w:r w:rsidR="00445A02">
        <w:rPr>
          <w:rFonts w:ascii="David" w:hAnsi="David" w:cs="David"/>
          <w:b/>
          <w:bCs/>
          <w:sz w:val="24"/>
          <w:szCs w:val="24"/>
          <w:rtl/>
        </w:rPr>
        <w:t>[נבו]</w:t>
      </w:r>
      <w:r w:rsidR="00445A02">
        <w:rPr>
          <w:rFonts w:ascii="David" w:hAnsi="David" w:cs="David" w:hint="cs"/>
          <w:b/>
          <w:bCs/>
          <w:sz w:val="24"/>
          <w:szCs w:val="24"/>
          <w:rtl/>
        </w:rPr>
        <w:t xml:space="preserve"> </w:t>
      </w:r>
      <w:r w:rsidRPr="002D4047">
        <w:rPr>
          <w:rFonts w:ascii="David" w:hAnsi="David" w:cs="David"/>
          <w:sz w:val="24"/>
          <w:szCs w:val="24"/>
          <w:rtl/>
        </w:rPr>
        <w:t xml:space="preserve">(4.8.2021). בתוך כך, על הנתבעת להוכיח כי התובע ידע שיש לו זכות מסוימת ובכל זאת וויתר עליה – </w:t>
      </w:r>
      <w:r w:rsidRPr="002D4047">
        <w:rPr>
          <w:rFonts w:ascii="David" w:hAnsi="David" w:cs="David"/>
          <w:b/>
          <w:bCs/>
          <w:sz w:val="24"/>
          <w:szCs w:val="24"/>
          <w:rtl/>
        </w:rPr>
        <w:t>ראו</w:t>
      </w:r>
      <w:r w:rsidRPr="002D4047">
        <w:rPr>
          <w:rFonts w:ascii="David" w:hAnsi="David" w:cs="David"/>
          <w:sz w:val="24"/>
          <w:szCs w:val="24"/>
          <w:rtl/>
        </w:rPr>
        <w:t xml:space="preserve">: </w:t>
      </w:r>
      <w:hyperlink r:id="rId61" w:history="1">
        <w:r w:rsidR="004B54CC" w:rsidRPr="004B54CC">
          <w:rPr>
            <w:rFonts w:ascii="David" w:hAnsi="David" w:cs="David"/>
            <w:color w:val="0000FF"/>
            <w:sz w:val="24"/>
            <w:szCs w:val="24"/>
            <w:u w:val="single"/>
            <w:rtl/>
          </w:rPr>
          <w:t>ע"מ (מחוזי ירושלים) 222/08</w:t>
        </w:r>
      </w:hyperlink>
      <w:r w:rsidRPr="002D4047">
        <w:rPr>
          <w:rFonts w:ascii="David" w:hAnsi="David" w:cs="David"/>
          <w:sz w:val="24"/>
          <w:szCs w:val="24"/>
          <w:rtl/>
        </w:rPr>
        <w:t xml:space="preserve"> </w:t>
      </w:r>
      <w:r w:rsidRPr="002D4047">
        <w:rPr>
          <w:rFonts w:ascii="David" w:hAnsi="David" w:cs="David"/>
          <w:b/>
          <w:bCs/>
          <w:sz w:val="24"/>
          <w:szCs w:val="24"/>
          <w:rtl/>
        </w:rPr>
        <w:t>ש' א' נ' ש' ד'</w:t>
      </w:r>
      <w:r w:rsidRPr="002D4047">
        <w:rPr>
          <w:rFonts w:ascii="David" w:hAnsi="David" w:cs="David"/>
          <w:sz w:val="24"/>
          <w:szCs w:val="24"/>
          <w:rtl/>
        </w:rPr>
        <w:t xml:space="preserve"> </w:t>
      </w:r>
      <w:r w:rsidR="00445A02">
        <w:rPr>
          <w:rFonts w:ascii="David" w:hAnsi="David" w:cs="David"/>
          <w:sz w:val="24"/>
          <w:szCs w:val="24"/>
          <w:rtl/>
        </w:rPr>
        <w:t>[נבו]</w:t>
      </w:r>
      <w:r w:rsidR="00445A02">
        <w:rPr>
          <w:rFonts w:ascii="David" w:hAnsi="David" w:cs="David" w:hint="cs"/>
          <w:sz w:val="24"/>
          <w:szCs w:val="24"/>
          <w:rtl/>
        </w:rPr>
        <w:t xml:space="preserve"> </w:t>
      </w:r>
      <w:r w:rsidRPr="002D4047">
        <w:rPr>
          <w:rFonts w:ascii="David" w:hAnsi="David" w:cs="David"/>
          <w:sz w:val="24"/>
          <w:szCs w:val="24"/>
          <w:rtl/>
        </w:rPr>
        <w:t xml:space="preserve">(2.2.2010); </w:t>
      </w:r>
      <w:hyperlink r:id="rId62" w:history="1">
        <w:r w:rsidR="004B54CC" w:rsidRPr="004B54CC">
          <w:rPr>
            <w:rFonts w:ascii="David" w:hAnsi="David" w:cs="David"/>
            <w:color w:val="0000FF"/>
            <w:sz w:val="24"/>
            <w:szCs w:val="24"/>
            <w:u w:val="single"/>
            <w:rtl/>
          </w:rPr>
          <w:t>עמ"ש 39641-05-10</w:t>
        </w:r>
      </w:hyperlink>
      <w:r w:rsidRPr="002D4047">
        <w:rPr>
          <w:rFonts w:ascii="David" w:hAnsi="David" w:cs="David"/>
          <w:sz w:val="24"/>
          <w:szCs w:val="24"/>
          <w:rtl/>
        </w:rPr>
        <w:t xml:space="preserve"> </w:t>
      </w:r>
      <w:r w:rsidRPr="002D4047">
        <w:rPr>
          <w:rFonts w:ascii="David" w:hAnsi="David" w:cs="David"/>
          <w:b/>
          <w:bCs/>
          <w:sz w:val="24"/>
          <w:szCs w:val="24"/>
          <w:rtl/>
        </w:rPr>
        <w:t>פלונית נ' פלוני</w:t>
      </w:r>
      <w:r w:rsidRPr="002D4047">
        <w:rPr>
          <w:rFonts w:ascii="David" w:hAnsi="David" w:cs="David"/>
          <w:sz w:val="24"/>
          <w:szCs w:val="24"/>
          <w:rtl/>
        </w:rPr>
        <w:t xml:space="preserve"> </w:t>
      </w:r>
      <w:r w:rsidR="00445A02">
        <w:rPr>
          <w:rFonts w:ascii="David" w:hAnsi="David" w:cs="David"/>
          <w:sz w:val="24"/>
          <w:szCs w:val="24"/>
          <w:rtl/>
        </w:rPr>
        <w:t>[נבו]</w:t>
      </w:r>
      <w:r w:rsidR="00445A02">
        <w:rPr>
          <w:rFonts w:ascii="David" w:hAnsi="David" w:cs="David" w:hint="cs"/>
          <w:sz w:val="24"/>
          <w:szCs w:val="24"/>
          <w:rtl/>
        </w:rPr>
        <w:t xml:space="preserve"> </w:t>
      </w:r>
      <w:r w:rsidRPr="002D4047">
        <w:rPr>
          <w:rFonts w:ascii="David" w:hAnsi="David" w:cs="David"/>
          <w:sz w:val="24"/>
          <w:szCs w:val="24"/>
          <w:rtl/>
        </w:rPr>
        <w:t xml:space="preserve">(4.2.2012); </w:t>
      </w:r>
      <w:hyperlink r:id="rId63" w:history="1">
        <w:r w:rsidR="004B54CC" w:rsidRPr="004B54CC">
          <w:rPr>
            <w:rFonts w:ascii="David" w:hAnsi="David" w:cs="David"/>
            <w:color w:val="0000FF"/>
            <w:sz w:val="24"/>
            <w:szCs w:val="24"/>
            <w:u w:val="single"/>
            <w:rtl/>
          </w:rPr>
          <w:t>תלה"מ 51776-11-21</w:t>
        </w:r>
      </w:hyperlink>
      <w:r w:rsidRPr="002D4047">
        <w:rPr>
          <w:rFonts w:ascii="David" w:hAnsi="David" w:cs="David"/>
          <w:sz w:val="24"/>
          <w:szCs w:val="24"/>
          <w:rtl/>
        </w:rPr>
        <w:t xml:space="preserve"> </w:t>
      </w:r>
      <w:r w:rsidRPr="002D4047">
        <w:rPr>
          <w:rFonts w:ascii="David" w:hAnsi="David" w:cs="David"/>
          <w:b/>
          <w:bCs/>
          <w:sz w:val="24"/>
          <w:szCs w:val="24"/>
          <w:rtl/>
        </w:rPr>
        <w:t>פלוני נ' פלונית</w:t>
      </w:r>
      <w:r w:rsidRPr="002D4047">
        <w:rPr>
          <w:rFonts w:ascii="David" w:hAnsi="David" w:cs="David"/>
          <w:sz w:val="24"/>
          <w:szCs w:val="24"/>
          <w:rtl/>
        </w:rPr>
        <w:t xml:space="preserve"> </w:t>
      </w:r>
      <w:r w:rsidR="00445A02">
        <w:rPr>
          <w:rFonts w:ascii="David" w:hAnsi="David" w:cs="David"/>
          <w:sz w:val="24"/>
          <w:szCs w:val="24"/>
          <w:rtl/>
        </w:rPr>
        <w:t>[נבו]</w:t>
      </w:r>
      <w:r w:rsidR="00445A02">
        <w:rPr>
          <w:rFonts w:ascii="David" w:hAnsi="David" w:cs="David" w:hint="cs"/>
          <w:sz w:val="24"/>
          <w:szCs w:val="24"/>
          <w:rtl/>
        </w:rPr>
        <w:t xml:space="preserve"> </w:t>
      </w:r>
      <w:r w:rsidRPr="002D4047">
        <w:rPr>
          <w:rFonts w:ascii="David" w:hAnsi="David" w:cs="David"/>
          <w:sz w:val="24"/>
          <w:szCs w:val="24"/>
          <w:rtl/>
        </w:rPr>
        <w:t>(15.12.2022).</w:t>
      </w:r>
    </w:p>
    <w:p w14:paraId="1664B8BC" w14:textId="77777777" w:rsidR="00D4005B" w:rsidRDefault="00D4005B" w:rsidP="00F244FF">
      <w:pPr>
        <w:pStyle w:val="11"/>
        <w:spacing w:line="360" w:lineRule="auto"/>
        <w:rPr>
          <w:rFonts w:ascii="David" w:hAnsi="David" w:cs="David"/>
          <w:sz w:val="24"/>
          <w:szCs w:val="24"/>
        </w:rPr>
      </w:pPr>
    </w:p>
    <w:p w14:paraId="310FBE4B"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t xml:space="preserve">התובע העיד כי לא הייתה לו כל כוונה לוותר על זכויות הנתבעת "בתמורה" ליציאתה מהחשבון המשותף – </w:t>
      </w:r>
      <w:r>
        <w:rPr>
          <w:rFonts w:ascii="David" w:hAnsi="David" w:cs="David"/>
          <w:b/>
          <w:bCs/>
          <w:sz w:val="24"/>
          <w:szCs w:val="24"/>
          <w:rtl/>
        </w:rPr>
        <w:t>ראו: פרוט' עמ' 10 ש' 2-3</w:t>
      </w:r>
      <w:r>
        <w:rPr>
          <w:rFonts w:ascii="David" w:hAnsi="David" w:cs="David"/>
          <w:sz w:val="24"/>
          <w:szCs w:val="24"/>
          <w:rtl/>
        </w:rPr>
        <w:t xml:space="preserve">, וכן טען כי במעמד החתימה על גבי ההסכם משנת 2020, הוא כלל לא ידע אילו זכויות נצברו על שם הנתבעת – </w:t>
      </w:r>
      <w:r>
        <w:rPr>
          <w:rFonts w:ascii="David" w:hAnsi="David" w:cs="David"/>
          <w:b/>
          <w:bCs/>
          <w:sz w:val="24"/>
          <w:szCs w:val="24"/>
          <w:rtl/>
        </w:rPr>
        <w:t>ראו: פרוט' עמ' 8 ש' 4-5</w:t>
      </w:r>
      <w:r>
        <w:rPr>
          <w:rFonts w:ascii="David" w:hAnsi="David" w:cs="David"/>
          <w:sz w:val="24"/>
          <w:szCs w:val="24"/>
          <w:rtl/>
        </w:rPr>
        <w:t>.</w:t>
      </w:r>
    </w:p>
    <w:p w14:paraId="44040D5A" w14:textId="77777777" w:rsidR="00D4005B" w:rsidRDefault="00D4005B" w:rsidP="00F244FF">
      <w:pPr>
        <w:pStyle w:val="11"/>
        <w:spacing w:line="360" w:lineRule="auto"/>
        <w:rPr>
          <w:rFonts w:ascii="David" w:hAnsi="David" w:cs="David"/>
          <w:sz w:val="24"/>
          <w:szCs w:val="24"/>
        </w:rPr>
      </w:pPr>
    </w:p>
    <w:p w14:paraId="6A8101D2"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t xml:space="preserve">הנתבעת העידה כי מעולם לא גילתה לתובע מה גובה הסכומים שנצברו בחשבון הבנק שלה – </w:t>
      </w:r>
      <w:r>
        <w:rPr>
          <w:rFonts w:ascii="David" w:hAnsi="David" w:cs="David"/>
          <w:b/>
          <w:bCs/>
          <w:sz w:val="24"/>
          <w:szCs w:val="24"/>
          <w:rtl/>
        </w:rPr>
        <w:t>ראו: פרוט' עמ' 18 ש' 15-19</w:t>
      </w:r>
      <w:r>
        <w:rPr>
          <w:rFonts w:ascii="David" w:hAnsi="David" w:cs="David"/>
          <w:sz w:val="24"/>
          <w:szCs w:val="24"/>
          <w:rtl/>
        </w:rPr>
        <w:t xml:space="preserve">, ואילו סכומים נצברו על שמה בקרן ההשתלמות – </w:t>
      </w:r>
      <w:r>
        <w:rPr>
          <w:rFonts w:ascii="David" w:hAnsi="David" w:cs="David"/>
          <w:b/>
          <w:bCs/>
          <w:sz w:val="24"/>
          <w:szCs w:val="24"/>
          <w:rtl/>
        </w:rPr>
        <w:t>ראו: פרוט' עמ' 16 ש' 20-21</w:t>
      </w:r>
      <w:r>
        <w:rPr>
          <w:rFonts w:ascii="David" w:hAnsi="David" w:cs="David"/>
          <w:sz w:val="24"/>
          <w:szCs w:val="24"/>
          <w:rtl/>
        </w:rPr>
        <w:t xml:space="preserve">. </w:t>
      </w:r>
    </w:p>
    <w:p w14:paraId="722FC41B" w14:textId="77777777" w:rsidR="00D4005B" w:rsidRDefault="00D4005B" w:rsidP="00F244FF">
      <w:pPr>
        <w:pStyle w:val="11"/>
        <w:spacing w:line="360" w:lineRule="auto"/>
        <w:rPr>
          <w:rFonts w:ascii="David" w:hAnsi="David" w:cs="David"/>
          <w:sz w:val="24"/>
          <w:szCs w:val="24"/>
        </w:rPr>
      </w:pPr>
    </w:p>
    <w:p w14:paraId="2D833273" w14:textId="77777777" w:rsidR="00D4005B" w:rsidRDefault="00000000" w:rsidP="00F244FF">
      <w:pPr>
        <w:pStyle w:val="11"/>
        <w:numPr>
          <w:ilvl w:val="0"/>
          <w:numId w:val="1"/>
        </w:numPr>
        <w:spacing w:after="0" w:line="360" w:lineRule="auto"/>
        <w:ind w:left="357" w:hanging="357"/>
        <w:jc w:val="both"/>
        <w:rPr>
          <w:rFonts w:ascii="David" w:hAnsi="David" w:cs="David"/>
          <w:sz w:val="24"/>
          <w:szCs w:val="24"/>
          <w:rtl/>
        </w:rPr>
      </w:pPr>
      <w:r>
        <w:rPr>
          <w:rFonts w:ascii="David" w:hAnsi="David" w:cs="David"/>
          <w:sz w:val="24"/>
          <w:szCs w:val="24"/>
          <w:rtl/>
        </w:rPr>
        <w:t xml:space="preserve">לשון אחר, לתובע לא היה כל מידע אילו הכספים והזכויות נצברו על ידי הנתבעת בתקופת השיתוף ובהעדר מידע זה, לא ניתן לראות בהסכם משנת 2020 וויתור התובע על זכויות הנתבעת. </w:t>
      </w:r>
    </w:p>
    <w:p w14:paraId="1D333C52" w14:textId="77777777" w:rsidR="00D4005B" w:rsidRDefault="00D4005B" w:rsidP="00F244FF">
      <w:pPr>
        <w:pStyle w:val="11"/>
        <w:spacing w:line="360" w:lineRule="auto"/>
        <w:rPr>
          <w:rFonts w:ascii="David" w:hAnsi="David" w:cs="David"/>
          <w:sz w:val="24"/>
          <w:szCs w:val="24"/>
          <w:rtl/>
        </w:rPr>
      </w:pPr>
    </w:p>
    <w:p w14:paraId="519DE7C3" w14:textId="77777777" w:rsidR="00D4005B" w:rsidRDefault="00D4005B" w:rsidP="00F244FF">
      <w:pPr>
        <w:pStyle w:val="11"/>
        <w:spacing w:line="360" w:lineRule="auto"/>
        <w:rPr>
          <w:rFonts w:ascii="David" w:hAnsi="David" w:cs="David"/>
          <w:sz w:val="24"/>
          <w:szCs w:val="24"/>
          <w:rtl/>
        </w:rPr>
      </w:pPr>
    </w:p>
    <w:p w14:paraId="31D0F2BE" w14:textId="77777777" w:rsidR="00D4005B" w:rsidRDefault="00D4005B" w:rsidP="00F244FF">
      <w:pPr>
        <w:pStyle w:val="11"/>
        <w:spacing w:line="360" w:lineRule="auto"/>
        <w:rPr>
          <w:rFonts w:ascii="David" w:hAnsi="David" w:cs="David"/>
          <w:sz w:val="24"/>
          <w:szCs w:val="24"/>
          <w:rtl/>
        </w:rPr>
      </w:pPr>
    </w:p>
    <w:p w14:paraId="37FD20C4" w14:textId="77777777" w:rsidR="00D4005B" w:rsidRDefault="00D4005B" w:rsidP="00F244FF">
      <w:pPr>
        <w:pStyle w:val="11"/>
        <w:spacing w:line="360" w:lineRule="auto"/>
        <w:rPr>
          <w:rFonts w:ascii="David" w:hAnsi="David" w:cs="David"/>
          <w:sz w:val="24"/>
          <w:szCs w:val="24"/>
        </w:rPr>
      </w:pPr>
    </w:p>
    <w:p w14:paraId="04DECC75" w14:textId="77777777" w:rsidR="00D4005B" w:rsidRDefault="00000000" w:rsidP="00F244FF">
      <w:pPr>
        <w:pStyle w:val="11"/>
        <w:numPr>
          <w:ilvl w:val="0"/>
          <w:numId w:val="1"/>
        </w:numPr>
        <w:spacing w:after="0" w:line="360" w:lineRule="auto"/>
        <w:ind w:left="357" w:hanging="500"/>
        <w:jc w:val="both"/>
        <w:rPr>
          <w:rFonts w:ascii="David" w:hAnsi="David" w:cs="David"/>
          <w:sz w:val="24"/>
          <w:szCs w:val="24"/>
          <w:rtl/>
        </w:rPr>
      </w:pPr>
      <w:r>
        <w:rPr>
          <w:rFonts w:ascii="David" w:hAnsi="David" w:cs="David"/>
          <w:sz w:val="24"/>
          <w:szCs w:val="24"/>
          <w:rtl/>
        </w:rPr>
        <w:t xml:space="preserve">הנתבעת טענה כי בתמורה לוויתור התובע על כספיה וזכויותיה, הנתבעת וויתרה על כספים שהיו בחשבון המשותף, לרבות כספים בגין החזרי מס – </w:t>
      </w:r>
      <w:r>
        <w:rPr>
          <w:rFonts w:ascii="David" w:hAnsi="David" w:cs="David"/>
          <w:b/>
          <w:bCs/>
          <w:sz w:val="24"/>
          <w:szCs w:val="24"/>
          <w:rtl/>
        </w:rPr>
        <w:t>ראו: ס' 32-33 לכתב ההגנה</w:t>
      </w:r>
      <w:r>
        <w:rPr>
          <w:rFonts w:ascii="David" w:hAnsi="David" w:cs="David"/>
          <w:sz w:val="24"/>
          <w:szCs w:val="24"/>
          <w:rtl/>
        </w:rPr>
        <w:t xml:space="preserve">. התובע טען בעניין זה, במסגרת חקירה ראשית משלימה, כי החזרי מס הועברו לבנם המשותף של הצדדים כדי לסייע לו ברכישת דירה – </w:t>
      </w:r>
      <w:r>
        <w:rPr>
          <w:rFonts w:ascii="David" w:hAnsi="David" w:cs="David"/>
          <w:b/>
          <w:bCs/>
          <w:sz w:val="24"/>
          <w:szCs w:val="24"/>
          <w:rtl/>
        </w:rPr>
        <w:t>ראו: פרוט' עמ' 8 ש' 3-4</w:t>
      </w:r>
      <w:r>
        <w:rPr>
          <w:rFonts w:ascii="David" w:hAnsi="David" w:cs="David"/>
          <w:sz w:val="24"/>
          <w:szCs w:val="24"/>
          <w:rtl/>
        </w:rPr>
        <w:t xml:space="preserve">, וגרסתו זו לא נסתרה בחקירה הנגדית – </w:t>
      </w:r>
      <w:r>
        <w:rPr>
          <w:rFonts w:ascii="David" w:hAnsi="David" w:cs="David"/>
          <w:b/>
          <w:bCs/>
          <w:sz w:val="24"/>
          <w:szCs w:val="24"/>
          <w:rtl/>
        </w:rPr>
        <w:t>ראו: פרוט' עמ' 11 ש' 10-11</w:t>
      </w:r>
      <w:r>
        <w:rPr>
          <w:rFonts w:ascii="David" w:hAnsi="David" w:cs="David"/>
          <w:sz w:val="24"/>
          <w:szCs w:val="24"/>
          <w:rtl/>
        </w:rPr>
        <w:t xml:space="preserve">. </w:t>
      </w:r>
    </w:p>
    <w:p w14:paraId="72566264" w14:textId="77777777" w:rsidR="00D4005B" w:rsidRDefault="00D4005B" w:rsidP="00F244FF">
      <w:pPr>
        <w:pStyle w:val="11"/>
        <w:spacing w:line="360" w:lineRule="auto"/>
        <w:rPr>
          <w:rFonts w:ascii="David" w:hAnsi="David" w:cs="David"/>
          <w:sz w:val="24"/>
          <w:szCs w:val="24"/>
        </w:rPr>
      </w:pPr>
    </w:p>
    <w:p w14:paraId="770997E0" w14:textId="77777777" w:rsidR="00D4005B" w:rsidRDefault="00000000" w:rsidP="00F244FF">
      <w:pPr>
        <w:pStyle w:val="11"/>
        <w:numPr>
          <w:ilvl w:val="0"/>
          <w:numId w:val="1"/>
        </w:numPr>
        <w:spacing w:after="0" w:line="360" w:lineRule="auto"/>
        <w:ind w:left="357" w:hanging="500"/>
        <w:jc w:val="both"/>
        <w:rPr>
          <w:rFonts w:ascii="David" w:hAnsi="David" w:cs="David"/>
          <w:sz w:val="24"/>
          <w:szCs w:val="24"/>
          <w:rtl/>
        </w:rPr>
      </w:pPr>
      <w:r>
        <w:rPr>
          <w:rFonts w:ascii="David" w:hAnsi="David" w:cs="David"/>
          <w:sz w:val="24"/>
          <w:szCs w:val="24"/>
          <w:rtl/>
        </w:rPr>
        <w:t xml:space="preserve">המשמעות היא כי הנתבעת לא הוכיחה את הטענה כי מדובר בוויתור הדדי, אשר בגדרו מוותר התובע על זכויות הנתבעת מכל מין וסוג שהוא, ובתמורה מוותרת הנתבעת לטובת התובע על הכספים שהיו בחשבון המשותף, בעת יציאת הנתבעת מהחשבון המשותף, ובכך לא עמדה בנטל להוכיח ויתור על הזכויות הרכושיות – </w:t>
      </w:r>
      <w:r>
        <w:rPr>
          <w:rFonts w:ascii="David" w:hAnsi="David" w:cs="David"/>
          <w:b/>
          <w:bCs/>
          <w:sz w:val="24"/>
          <w:szCs w:val="24"/>
          <w:rtl/>
        </w:rPr>
        <w:t>ראו</w:t>
      </w:r>
      <w:r>
        <w:rPr>
          <w:rFonts w:ascii="David" w:hAnsi="David" w:cs="David"/>
          <w:sz w:val="24"/>
          <w:szCs w:val="24"/>
          <w:rtl/>
        </w:rPr>
        <w:t xml:space="preserve">: </w:t>
      </w:r>
      <w:hyperlink r:id="rId64" w:history="1">
        <w:r w:rsidR="004B54CC" w:rsidRPr="004B54CC">
          <w:rPr>
            <w:rFonts w:ascii="David" w:hAnsi="David" w:cs="David"/>
            <w:color w:val="0000FF"/>
            <w:sz w:val="24"/>
            <w:szCs w:val="24"/>
            <w:u w:val="single"/>
            <w:rtl/>
          </w:rPr>
          <w:t>תמ"ש 33832-02-13</w:t>
        </w:r>
      </w:hyperlink>
      <w:r>
        <w:rPr>
          <w:rFonts w:ascii="David" w:hAnsi="David" w:cs="David"/>
          <w:b/>
          <w:bCs/>
          <w:sz w:val="24"/>
          <w:szCs w:val="24"/>
          <w:rtl/>
        </w:rPr>
        <w:t xml:space="preserve"> פלוני נ' אלמונית </w:t>
      </w:r>
      <w:r>
        <w:rPr>
          <w:rFonts w:ascii="David" w:hAnsi="David" w:cs="David"/>
          <w:sz w:val="24"/>
          <w:szCs w:val="24"/>
          <w:rtl/>
        </w:rPr>
        <w:t>(4.4.2016) וההפניות שבו.</w:t>
      </w:r>
    </w:p>
    <w:p w14:paraId="46146ED3" w14:textId="77777777" w:rsidR="00D4005B" w:rsidRDefault="00D4005B" w:rsidP="00F244FF">
      <w:pPr>
        <w:pStyle w:val="11"/>
        <w:spacing w:line="360" w:lineRule="auto"/>
        <w:rPr>
          <w:rFonts w:ascii="David" w:hAnsi="David" w:cs="David"/>
          <w:sz w:val="24"/>
          <w:szCs w:val="24"/>
        </w:rPr>
      </w:pPr>
    </w:p>
    <w:p w14:paraId="18EC77A3" w14:textId="77777777" w:rsidR="00D4005B" w:rsidRDefault="00000000" w:rsidP="00F244FF">
      <w:pPr>
        <w:pStyle w:val="11"/>
        <w:numPr>
          <w:ilvl w:val="0"/>
          <w:numId w:val="1"/>
        </w:numPr>
        <w:spacing w:after="0" w:line="360" w:lineRule="auto"/>
        <w:ind w:left="357" w:hanging="500"/>
        <w:jc w:val="both"/>
        <w:rPr>
          <w:rFonts w:ascii="David" w:hAnsi="David" w:cs="David"/>
          <w:sz w:val="24"/>
          <w:szCs w:val="24"/>
          <w:rtl/>
        </w:rPr>
      </w:pPr>
      <w:r>
        <w:rPr>
          <w:rFonts w:ascii="David" w:hAnsi="David" w:cs="David"/>
          <w:sz w:val="24"/>
          <w:szCs w:val="24"/>
          <w:rtl/>
        </w:rPr>
        <w:t xml:space="preserve">לאור האמור, אני קובע כי בהסכם משנת 2020 לא נעשה וויתר על הטענות הרכושיות והסכם זה לא סיים את המחלוקות הרכושיות בין הצדדים. </w:t>
      </w:r>
    </w:p>
    <w:p w14:paraId="42B659AB" w14:textId="77777777" w:rsidR="00D4005B" w:rsidRDefault="00D4005B" w:rsidP="00F244FF">
      <w:pPr>
        <w:spacing w:line="360" w:lineRule="auto"/>
        <w:jc w:val="both"/>
        <w:rPr>
          <w:rFonts w:ascii="David" w:hAnsi="David"/>
          <w:b/>
          <w:bCs/>
          <w:noProof w:val="0"/>
          <w:u w:val="single"/>
          <w:rtl/>
        </w:rPr>
      </w:pPr>
    </w:p>
    <w:p w14:paraId="689ACA76" w14:textId="77777777" w:rsidR="00D4005B" w:rsidRDefault="00000000" w:rsidP="00F244FF">
      <w:pPr>
        <w:spacing w:line="360" w:lineRule="auto"/>
        <w:jc w:val="both"/>
        <w:rPr>
          <w:rFonts w:ascii="David" w:hAnsi="David"/>
          <w:b/>
          <w:bCs/>
          <w:noProof w:val="0"/>
          <w:u w:val="single"/>
          <w:rtl/>
        </w:rPr>
      </w:pPr>
      <w:r>
        <w:rPr>
          <w:rFonts w:ascii="David" w:hAnsi="David"/>
          <w:b/>
          <w:bCs/>
          <w:noProof w:val="0"/>
          <w:u w:val="single"/>
          <w:rtl/>
        </w:rPr>
        <w:t>הוצאות משפט</w:t>
      </w:r>
    </w:p>
    <w:p w14:paraId="15560CCD" w14:textId="77777777" w:rsidR="00D4005B" w:rsidRDefault="00D4005B" w:rsidP="00F244FF">
      <w:pPr>
        <w:pStyle w:val="11"/>
        <w:spacing w:line="360" w:lineRule="auto"/>
        <w:rPr>
          <w:rFonts w:ascii="David" w:hAnsi="David" w:cs="David"/>
          <w:sz w:val="24"/>
          <w:szCs w:val="24"/>
        </w:rPr>
      </w:pPr>
    </w:p>
    <w:p w14:paraId="2135D896" w14:textId="77777777" w:rsidR="00D4005B" w:rsidRDefault="00166005" w:rsidP="00F244FF">
      <w:pPr>
        <w:pStyle w:val="11"/>
        <w:numPr>
          <w:ilvl w:val="0"/>
          <w:numId w:val="1"/>
        </w:numPr>
        <w:spacing w:after="0" w:line="360" w:lineRule="auto"/>
        <w:ind w:left="282" w:hanging="425"/>
        <w:jc w:val="both"/>
        <w:rPr>
          <w:rFonts w:ascii="David" w:hAnsi="David" w:cs="David"/>
          <w:sz w:val="24"/>
          <w:szCs w:val="24"/>
          <w:rtl/>
        </w:rPr>
      </w:pPr>
      <w:hyperlink r:id="rId65" w:history="1">
        <w:r w:rsidRPr="00166005">
          <w:rPr>
            <w:rStyle w:val="Hyperlink"/>
            <w:rFonts w:ascii="David" w:hAnsi="David" w:cs="David"/>
            <w:sz w:val="24"/>
            <w:szCs w:val="24"/>
            <w:rtl/>
          </w:rPr>
          <w:t>תקנה 152</w:t>
        </w:r>
      </w:hyperlink>
      <w:r w:rsidR="00000000">
        <w:rPr>
          <w:rFonts w:ascii="David" w:hAnsi="David" w:cs="David"/>
          <w:sz w:val="24"/>
          <w:szCs w:val="24"/>
          <w:rtl/>
        </w:rPr>
        <w:t xml:space="preserve"> ל</w:t>
      </w:r>
      <w:hyperlink r:id="rId66" w:history="1">
        <w:r w:rsidR="004B54CC" w:rsidRPr="004B54CC">
          <w:rPr>
            <w:rFonts w:ascii="David" w:hAnsi="David" w:cs="David"/>
            <w:color w:val="0000FF"/>
            <w:sz w:val="24"/>
            <w:szCs w:val="24"/>
            <w:u w:val="single"/>
            <w:rtl/>
          </w:rPr>
          <w:t>תקנות סדר הדין האזרחי, התשע"ט</w:t>
        </w:r>
      </w:hyperlink>
      <w:r w:rsidR="00000000">
        <w:rPr>
          <w:rFonts w:ascii="David" w:hAnsi="David" w:cs="David"/>
          <w:sz w:val="24"/>
          <w:szCs w:val="24"/>
          <w:rtl/>
        </w:rPr>
        <w:t>–2018 (להלן: "</w:t>
      </w:r>
      <w:r w:rsidR="00000000">
        <w:rPr>
          <w:rFonts w:ascii="David" w:hAnsi="David" w:cs="David"/>
          <w:b/>
          <w:bCs/>
          <w:sz w:val="24"/>
          <w:szCs w:val="24"/>
          <w:rtl/>
        </w:rPr>
        <w:t>התקנות</w:t>
      </w:r>
      <w:r w:rsidR="00000000">
        <w:rPr>
          <w:rFonts w:ascii="David" w:hAnsi="David" w:cs="David"/>
          <w:sz w:val="24"/>
          <w:szCs w:val="24"/>
          <w:rtl/>
        </w:rPr>
        <w:t>"), קובעת כי: "בתום הדיון יפסוק בית המשפט הוצאות סבירות והוגנות, זולת אם מצא שקיימים טעמים מיוחדים שלא לחייב בהוצאות כאמור</w:t>
      </w:r>
      <w:r w:rsidR="00000000">
        <w:rPr>
          <w:rFonts w:ascii="David" w:hAnsi="David" w:cs="David"/>
          <w:sz w:val="24"/>
          <w:szCs w:val="24"/>
        </w:rPr>
        <w:t>"</w:t>
      </w:r>
      <w:r w:rsidR="00000000">
        <w:rPr>
          <w:rFonts w:ascii="David" w:hAnsi="David" w:cs="David"/>
          <w:sz w:val="24"/>
          <w:szCs w:val="24"/>
          <w:rtl/>
        </w:rPr>
        <w:t>.</w:t>
      </w:r>
    </w:p>
    <w:p w14:paraId="29C2AA3E" w14:textId="77777777" w:rsidR="00D4005B" w:rsidRDefault="00D4005B" w:rsidP="00F244FF">
      <w:pPr>
        <w:pStyle w:val="11"/>
        <w:spacing w:after="0" w:line="360" w:lineRule="auto"/>
        <w:ind w:left="282"/>
        <w:jc w:val="both"/>
        <w:rPr>
          <w:rFonts w:ascii="David" w:hAnsi="David" w:cs="David"/>
          <w:sz w:val="24"/>
          <w:szCs w:val="24"/>
        </w:rPr>
      </w:pPr>
    </w:p>
    <w:p w14:paraId="2C09C565" w14:textId="77777777" w:rsidR="00D4005B" w:rsidRDefault="00000000" w:rsidP="00F244FF">
      <w:pPr>
        <w:pStyle w:val="11"/>
        <w:numPr>
          <w:ilvl w:val="0"/>
          <w:numId w:val="1"/>
        </w:numPr>
        <w:spacing w:after="0" w:line="360" w:lineRule="auto"/>
        <w:ind w:left="282" w:hanging="425"/>
        <w:jc w:val="both"/>
        <w:rPr>
          <w:rFonts w:ascii="David" w:hAnsi="David" w:cs="David"/>
          <w:sz w:val="24"/>
          <w:szCs w:val="24"/>
        </w:rPr>
      </w:pPr>
      <w:r>
        <w:rPr>
          <w:rFonts w:ascii="David" w:hAnsi="David" w:cs="David"/>
          <w:sz w:val="24"/>
          <w:szCs w:val="24"/>
          <w:rtl/>
        </w:rPr>
        <w:t>לאור תוצאת שני ההליכים – והסכמת הצדדים בהליך הקודם אשר לפיה " ... שאלת הוצאות משפט בגין הליך זה תדון בהליך רכושי חדש ככל שזה ייפתח על ידי מי מהצדדים</w:t>
      </w:r>
      <w:r>
        <w:rPr>
          <w:rFonts w:ascii="David" w:hAnsi="David" w:cs="David"/>
          <w:b/>
          <w:bCs/>
          <w:sz w:val="24"/>
          <w:szCs w:val="24"/>
          <w:rtl/>
        </w:rPr>
        <w:t>" ראו:  פרוט' בהליך הקודם עמ' 28 ש' 6-7</w:t>
      </w:r>
      <w:r>
        <w:rPr>
          <w:rFonts w:ascii="David" w:hAnsi="David" w:cs="David"/>
          <w:sz w:val="24"/>
          <w:szCs w:val="24"/>
          <w:rtl/>
        </w:rPr>
        <w:t xml:space="preserve">, משעה שלא מצאתי כי קיימים טעמים מיוחדים שלא לחייב את הנתבעת בהוצאות משפט – </w:t>
      </w:r>
      <w:r>
        <w:rPr>
          <w:rFonts w:ascii="David" w:hAnsi="David" w:cs="David"/>
          <w:b/>
          <w:bCs/>
          <w:sz w:val="24"/>
          <w:szCs w:val="24"/>
          <w:rtl/>
        </w:rPr>
        <w:t>ראו</w:t>
      </w:r>
      <w:r>
        <w:rPr>
          <w:rFonts w:ascii="David" w:hAnsi="David" w:cs="David"/>
          <w:sz w:val="24"/>
          <w:szCs w:val="24"/>
          <w:rtl/>
        </w:rPr>
        <w:t xml:space="preserve">: </w:t>
      </w:r>
      <w:hyperlink r:id="rId67" w:history="1">
        <w:r w:rsidR="004B54CC" w:rsidRPr="004B54CC">
          <w:rPr>
            <w:rFonts w:ascii="David" w:hAnsi="David" w:cs="David"/>
            <w:color w:val="0000FF"/>
            <w:sz w:val="24"/>
            <w:szCs w:val="24"/>
            <w:u w:val="single"/>
            <w:rtl/>
          </w:rPr>
          <w:t>ע"א 7627/20</w:t>
        </w:r>
      </w:hyperlink>
      <w:r>
        <w:rPr>
          <w:rFonts w:ascii="David" w:hAnsi="David" w:cs="David"/>
          <w:sz w:val="24"/>
          <w:szCs w:val="24"/>
          <w:rtl/>
        </w:rPr>
        <w:t xml:space="preserve"> </w:t>
      </w:r>
      <w:r>
        <w:rPr>
          <w:rFonts w:ascii="David" w:hAnsi="David" w:cs="David"/>
          <w:b/>
          <w:bCs/>
          <w:sz w:val="24"/>
          <w:szCs w:val="24"/>
          <w:rtl/>
        </w:rPr>
        <w:t xml:space="preserve">אייזלר החברה לניהול בע"מ נ' תפן מדיקל בע"מ </w:t>
      </w:r>
      <w:r w:rsidR="00445A02">
        <w:rPr>
          <w:rFonts w:ascii="David" w:hAnsi="David" w:cs="David"/>
          <w:b/>
          <w:bCs/>
          <w:sz w:val="24"/>
          <w:szCs w:val="24"/>
          <w:rtl/>
        </w:rPr>
        <w:t>[נבו]</w:t>
      </w:r>
      <w:r w:rsidR="00445A02">
        <w:rPr>
          <w:rFonts w:ascii="David" w:hAnsi="David" w:cs="David" w:hint="cs"/>
          <w:b/>
          <w:bCs/>
          <w:sz w:val="24"/>
          <w:szCs w:val="24"/>
          <w:rtl/>
        </w:rPr>
        <w:t xml:space="preserve"> </w:t>
      </w:r>
      <w:r>
        <w:rPr>
          <w:rFonts w:ascii="David" w:hAnsi="David" w:cs="David"/>
          <w:sz w:val="24"/>
          <w:szCs w:val="24"/>
          <w:rtl/>
        </w:rPr>
        <w:t xml:space="preserve">(24.2.2022); </w:t>
      </w:r>
      <w:hyperlink r:id="rId68" w:history="1">
        <w:r w:rsidR="004B54CC" w:rsidRPr="004B54CC">
          <w:rPr>
            <w:rFonts w:ascii="David" w:hAnsi="David" w:cs="David"/>
            <w:color w:val="0000FF"/>
            <w:sz w:val="24"/>
            <w:szCs w:val="24"/>
            <w:u w:val="single"/>
            <w:rtl/>
          </w:rPr>
          <w:t>רע"א 1689/24</w:t>
        </w:r>
      </w:hyperlink>
      <w:r>
        <w:rPr>
          <w:rFonts w:ascii="David" w:hAnsi="David" w:cs="David"/>
          <w:sz w:val="24"/>
          <w:szCs w:val="24"/>
          <w:rtl/>
        </w:rPr>
        <w:t xml:space="preserve"> </w:t>
      </w:r>
      <w:r>
        <w:rPr>
          <w:rFonts w:ascii="David" w:hAnsi="David" w:cs="David"/>
          <w:b/>
          <w:bCs/>
          <w:sz w:val="24"/>
          <w:szCs w:val="24"/>
          <w:rtl/>
        </w:rPr>
        <w:t>ינקילוב נ' נחשונוב שמחייב</w:t>
      </w:r>
      <w:r>
        <w:rPr>
          <w:rFonts w:ascii="David" w:hAnsi="David" w:cs="David"/>
          <w:sz w:val="24"/>
          <w:szCs w:val="24"/>
          <w:rtl/>
        </w:rPr>
        <w:t xml:space="preserve"> </w:t>
      </w:r>
      <w:r w:rsidR="00445A02">
        <w:rPr>
          <w:rFonts w:ascii="David" w:hAnsi="David" w:cs="David"/>
          <w:sz w:val="24"/>
          <w:szCs w:val="24"/>
          <w:rtl/>
        </w:rPr>
        <w:t>[נבו]</w:t>
      </w:r>
      <w:r w:rsidR="00445A02">
        <w:rPr>
          <w:rFonts w:ascii="David" w:hAnsi="David" w:cs="David" w:hint="cs"/>
          <w:sz w:val="24"/>
          <w:szCs w:val="24"/>
          <w:rtl/>
        </w:rPr>
        <w:t xml:space="preserve"> </w:t>
      </w:r>
      <w:r>
        <w:rPr>
          <w:rFonts w:ascii="David" w:hAnsi="David" w:cs="David"/>
          <w:sz w:val="24"/>
          <w:szCs w:val="24"/>
          <w:rtl/>
        </w:rPr>
        <w:t xml:space="preserve">(21.3.2024), יש לפעול כמצוות </w:t>
      </w:r>
      <w:hyperlink r:id="rId69" w:history="1">
        <w:r w:rsidR="00166005" w:rsidRPr="00166005">
          <w:rPr>
            <w:rStyle w:val="Hyperlink"/>
            <w:rFonts w:ascii="David" w:hAnsi="David" w:cs="David"/>
            <w:sz w:val="24"/>
            <w:szCs w:val="24"/>
            <w:rtl/>
          </w:rPr>
          <w:t>תקנה 152</w:t>
        </w:r>
      </w:hyperlink>
      <w:r>
        <w:rPr>
          <w:rFonts w:ascii="David" w:hAnsi="David" w:cs="David"/>
          <w:sz w:val="24"/>
          <w:szCs w:val="24"/>
          <w:rtl/>
        </w:rPr>
        <w:t xml:space="preserve"> לתקנות. </w:t>
      </w:r>
    </w:p>
    <w:p w14:paraId="0DE6885D" w14:textId="77777777" w:rsidR="00D4005B" w:rsidRDefault="00D4005B" w:rsidP="00F244FF">
      <w:pPr>
        <w:pStyle w:val="11"/>
        <w:spacing w:line="360" w:lineRule="auto"/>
        <w:rPr>
          <w:rFonts w:ascii="David" w:hAnsi="David" w:cs="David"/>
          <w:sz w:val="24"/>
          <w:szCs w:val="24"/>
        </w:rPr>
      </w:pPr>
    </w:p>
    <w:p w14:paraId="600A1500" w14:textId="77777777" w:rsidR="00D4005B" w:rsidRDefault="00000000" w:rsidP="00F244FF">
      <w:pPr>
        <w:pStyle w:val="11"/>
        <w:numPr>
          <w:ilvl w:val="0"/>
          <w:numId w:val="1"/>
        </w:numPr>
        <w:spacing w:after="0" w:line="360" w:lineRule="auto"/>
        <w:ind w:left="282" w:hanging="425"/>
        <w:jc w:val="both"/>
        <w:rPr>
          <w:rFonts w:ascii="David" w:hAnsi="David" w:cs="David"/>
          <w:sz w:val="24"/>
          <w:szCs w:val="24"/>
          <w:rtl/>
        </w:rPr>
      </w:pPr>
      <w:r>
        <w:rPr>
          <w:rFonts w:ascii="David" w:hAnsi="David" w:cs="David"/>
          <w:sz w:val="24"/>
          <w:szCs w:val="24"/>
          <w:rtl/>
        </w:rPr>
        <w:t xml:space="preserve">לאחרונה הבהיר בית המשפט העליון במסגרת </w:t>
      </w:r>
      <w:hyperlink r:id="rId70" w:history="1">
        <w:r w:rsidR="004B54CC" w:rsidRPr="004B54CC">
          <w:rPr>
            <w:rFonts w:ascii="David" w:hAnsi="David" w:cs="David"/>
            <w:color w:val="0000FF"/>
            <w:sz w:val="24"/>
            <w:szCs w:val="24"/>
            <w:u w:val="single"/>
            <w:rtl/>
          </w:rPr>
          <w:t>רע"א 2507/24</w:t>
        </w:r>
      </w:hyperlink>
      <w:r>
        <w:rPr>
          <w:rFonts w:ascii="David" w:hAnsi="David" w:cs="David"/>
          <w:sz w:val="24"/>
          <w:szCs w:val="24"/>
          <w:rtl/>
        </w:rPr>
        <w:t xml:space="preserve"> </w:t>
      </w:r>
      <w:r>
        <w:rPr>
          <w:rFonts w:ascii="David" w:hAnsi="David" w:cs="David"/>
          <w:b/>
          <w:bCs/>
          <w:sz w:val="24"/>
          <w:szCs w:val="24"/>
          <w:rtl/>
        </w:rPr>
        <w:t xml:space="preserve">לבון נ' ד"ר שרון </w:t>
      </w:r>
      <w:r w:rsidR="00445A02">
        <w:rPr>
          <w:rFonts w:ascii="David" w:hAnsi="David" w:cs="David"/>
          <w:b/>
          <w:bCs/>
          <w:sz w:val="24"/>
          <w:szCs w:val="24"/>
          <w:rtl/>
        </w:rPr>
        <w:t>[נבו]</w:t>
      </w:r>
      <w:r w:rsidR="00445A02">
        <w:rPr>
          <w:rFonts w:ascii="David" w:hAnsi="David" w:cs="David" w:hint="cs"/>
          <w:b/>
          <w:bCs/>
          <w:sz w:val="24"/>
          <w:szCs w:val="24"/>
          <w:rtl/>
        </w:rPr>
        <w:t xml:space="preserve"> </w:t>
      </w:r>
      <w:r>
        <w:rPr>
          <w:rFonts w:ascii="David" w:hAnsi="David" w:cs="David"/>
          <w:sz w:val="24"/>
          <w:szCs w:val="24"/>
          <w:rtl/>
        </w:rPr>
        <w:t>(14.4.2024), כי "</w:t>
      </w:r>
      <w:r>
        <w:rPr>
          <w:rFonts w:ascii="David" w:hAnsi="David" w:cs="David"/>
          <w:i/>
          <w:iCs/>
          <w:sz w:val="24"/>
          <w:szCs w:val="24"/>
          <w:rtl/>
        </w:rPr>
        <w:t>בשונה מן ההסדר שנקבע בתקנות סדר הדין האזרחי הישנות, בתקנות החדשות ברירת המחדל היא חיוב בהוצאות, כאשר נדרשים טעמים מיוחדים על מנת שלא לעשות כן".</w:t>
      </w:r>
      <w:r>
        <w:rPr>
          <w:rFonts w:ascii="David" w:hAnsi="David" w:cs="David"/>
          <w:sz w:val="24"/>
          <w:szCs w:val="24"/>
          <w:rtl/>
        </w:rPr>
        <w:t xml:space="preserve"> בתוך כך, "</w:t>
      </w:r>
      <w:r>
        <w:rPr>
          <w:rFonts w:ascii="David" w:hAnsi="David" w:cs="David"/>
          <w:i/>
          <w:iCs/>
          <w:sz w:val="24"/>
          <w:szCs w:val="24"/>
          <w:rtl/>
        </w:rPr>
        <w:t xml:space="preserve">פסיקת הוצאות נועדה לשפות את בעל הדין שכנגד על הוצאותיו בהליך, וזאת בהתחשב, בין היתר, בתוצאות ההליך, במורכבותו, במשאבים שנדרשו לניהולו ובהתנהלות בעלי הדין – כך על פי הקבוע </w:t>
      </w:r>
      <w:hyperlink r:id="rId71" w:history="1">
        <w:r w:rsidR="00166005" w:rsidRPr="00166005">
          <w:rPr>
            <w:rStyle w:val="Hyperlink"/>
            <w:rFonts w:ascii="David" w:hAnsi="David" w:cs="David"/>
            <w:i/>
            <w:iCs/>
            <w:sz w:val="24"/>
            <w:szCs w:val="24"/>
            <w:rtl/>
          </w:rPr>
          <w:t>בתקנות 151(א)</w:t>
        </w:r>
      </w:hyperlink>
      <w:r>
        <w:rPr>
          <w:rFonts w:ascii="David" w:hAnsi="David" w:cs="David"/>
          <w:i/>
          <w:iCs/>
          <w:sz w:val="24"/>
          <w:szCs w:val="24"/>
          <w:rtl/>
        </w:rPr>
        <w:t xml:space="preserve"> ו-</w:t>
      </w:r>
      <w:hyperlink r:id="rId72" w:history="1">
        <w:r w:rsidR="00166005" w:rsidRPr="00166005">
          <w:rPr>
            <w:rStyle w:val="Hyperlink"/>
            <w:rFonts w:ascii="David" w:hAnsi="David" w:cs="David"/>
            <w:i/>
            <w:iCs/>
            <w:sz w:val="24"/>
            <w:szCs w:val="24"/>
            <w:rtl/>
          </w:rPr>
          <w:t>153(ג)</w:t>
        </w:r>
      </w:hyperlink>
      <w:r w:rsidRPr="002D4047">
        <w:rPr>
          <w:rFonts w:ascii="David" w:hAnsi="David" w:cs="David"/>
          <w:i/>
          <w:iCs/>
          <w:sz w:val="24"/>
          <w:szCs w:val="24"/>
          <w:rtl/>
        </w:rPr>
        <w:t xml:space="preserve"> ל</w:t>
      </w:r>
      <w:hyperlink r:id="rId73" w:history="1">
        <w:r w:rsidR="004B54CC" w:rsidRPr="004B54CC">
          <w:rPr>
            <w:rFonts w:ascii="David" w:hAnsi="David" w:cs="David"/>
            <w:i/>
            <w:iCs/>
            <w:color w:val="0000FF"/>
            <w:sz w:val="24"/>
            <w:szCs w:val="24"/>
            <w:u w:val="single"/>
            <w:rtl/>
          </w:rPr>
          <w:t>תקנות סדר הדין האזרחי, התשע"ט</w:t>
        </w:r>
      </w:hyperlink>
      <w:r w:rsidRPr="002D4047">
        <w:rPr>
          <w:rFonts w:ascii="David" w:hAnsi="David" w:cs="David"/>
          <w:i/>
          <w:iCs/>
          <w:sz w:val="24"/>
          <w:szCs w:val="24"/>
          <w:rtl/>
        </w:rPr>
        <w:t xml:space="preserve">-2018 (להלן: התקנות)). ההוצאות נדרשות להיות סבירות </w:t>
      </w:r>
      <w:r>
        <w:rPr>
          <w:rFonts w:ascii="David" w:hAnsi="David" w:cs="David"/>
          <w:i/>
          <w:iCs/>
          <w:sz w:val="24"/>
          <w:szCs w:val="24"/>
          <w:rtl/>
        </w:rPr>
        <w:t>והוגנות, ועל שיעורן לבטא איזון ראוי בין הבטחת זכות הגישה לערכאות ובין הגנה על זכות הקניין של הפרט, תוך שמירה על שוויון בין בעלי הדין (</w:t>
      </w:r>
      <w:hyperlink r:id="rId74" w:history="1">
        <w:r w:rsidR="00166005" w:rsidRPr="00166005">
          <w:rPr>
            <w:rStyle w:val="Hyperlink"/>
            <w:rFonts w:ascii="David" w:hAnsi="David" w:cs="David"/>
            <w:i/>
            <w:iCs/>
            <w:sz w:val="24"/>
            <w:szCs w:val="24"/>
            <w:rtl/>
          </w:rPr>
          <w:t>תקנות 152</w:t>
        </w:r>
      </w:hyperlink>
      <w:r>
        <w:rPr>
          <w:rFonts w:ascii="David" w:hAnsi="David" w:cs="David"/>
          <w:i/>
          <w:iCs/>
          <w:sz w:val="24"/>
          <w:szCs w:val="24"/>
          <w:rtl/>
        </w:rPr>
        <w:t xml:space="preserve"> ו-</w:t>
      </w:r>
      <w:hyperlink r:id="rId75" w:history="1">
        <w:r w:rsidR="00166005" w:rsidRPr="00166005">
          <w:rPr>
            <w:rStyle w:val="Hyperlink"/>
            <w:rFonts w:ascii="David" w:hAnsi="David" w:cs="David"/>
            <w:i/>
            <w:iCs/>
            <w:sz w:val="24"/>
            <w:szCs w:val="24"/>
            <w:rtl/>
          </w:rPr>
          <w:t>151(ב</w:t>
        </w:r>
      </w:hyperlink>
      <w:r>
        <w:rPr>
          <w:rFonts w:ascii="David" w:hAnsi="David" w:cs="David"/>
          <w:i/>
          <w:iCs/>
          <w:sz w:val="24"/>
          <w:szCs w:val="24"/>
          <w:rtl/>
        </w:rPr>
        <w:t>) לתקנות)</w:t>
      </w:r>
      <w:r>
        <w:rPr>
          <w:rFonts w:ascii="David" w:hAnsi="David" w:cs="David"/>
          <w:sz w:val="24"/>
          <w:szCs w:val="24"/>
          <w:rtl/>
        </w:rPr>
        <w:t>".</w:t>
      </w:r>
    </w:p>
    <w:p w14:paraId="7DD48A32" w14:textId="77777777" w:rsidR="00D4005B" w:rsidRDefault="00166005" w:rsidP="00F244FF">
      <w:pPr>
        <w:pStyle w:val="11"/>
        <w:numPr>
          <w:ilvl w:val="0"/>
          <w:numId w:val="1"/>
        </w:numPr>
        <w:spacing w:after="0" w:line="360" w:lineRule="auto"/>
        <w:ind w:left="282" w:hanging="425"/>
        <w:jc w:val="both"/>
        <w:rPr>
          <w:rFonts w:ascii="David" w:hAnsi="David" w:cs="David"/>
          <w:sz w:val="24"/>
          <w:szCs w:val="24"/>
          <w:rtl/>
        </w:rPr>
      </w:pPr>
      <w:hyperlink r:id="rId76" w:history="1">
        <w:r w:rsidRPr="00166005">
          <w:rPr>
            <w:rStyle w:val="Hyperlink"/>
            <w:rFonts w:ascii="David" w:hAnsi="David" w:cs="David"/>
            <w:sz w:val="24"/>
            <w:szCs w:val="24"/>
            <w:rtl/>
          </w:rPr>
          <w:t>תקנה 155 (א)</w:t>
        </w:r>
      </w:hyperlink>
      <w:r w:rsidR="00000000">
        <w:rPr>
          <w:rFonts w:ascii="David" w:hAnsi="David" w:cs="David"/>
          <w:sz w:val="24"/>
          <w:szCs w:val="24"/>
          <w:rtl/>
        </w:rPr>
        <w:t xml:space="preserve"> לתקנות קובעת כי: "בית המשפט יפסוק הוצאות משפט, ובלבד שבעל הדין פירט בסיכומי טענותיו באופן מפורש ומפורט את הוצאות המשפט כפי שנדרשו לצורך ההליך וצירף מסמכים התומכים בכך</w:t>
      </w:r>
      <w:r w:rsidR="00000000">
        <w:rPr>
          <w:rFonts w:ascii="David" w:hAnsi="David" w:cs="David"/>
          <w:sz w:val="24"/>
          <w:szCs w:val="24"/>
        </w:rPr>
        <w:t>"</w:t>
      </w:r>
      <w:r w:rsidR="00000000">
        <w:rPr>
          <w:rFonts w:ascii="David" w:hAnsi="David" w:cs="David"/>
          <w:sz w:val="24"/>
          <w:szCs w:val="24"/>
          <w:rtl/>
        </w:rPr>
        <w:t>.</w:t>
      </w:r>
    </w:p>
    <w:p w14:paraId="5DC6A144" w14:textId="77777777" w:rsidR="00D4005B" w:rsidRDefault="00D4005B" w:rsidP="00F244FF">
      <w:pPr>
        <w:pStyle w:val="11"/>
        <w:spacing w:line="360" w:lineRule="auto"/>
        <w:rPr>
          <w:rFonts w:ascii="David" w:hAnsi="David" w:cs="David"/>
          <w:sz w:val="24"/>
          <w:szCs w:val="24"/>
        </w:rPr>
      </w:pPr>
    </w:p>
    <w:p w14:paraId="28258658" w14:textId="77777777" w:rsidR="00D4005B" w:rsidRDefault="00000000" w:rsidP="00F244FF">
      <w:pPr>
        <w:pStyle w:val="11"/>
        <w:numPr>
          <w:ilvl w:val="0"/>
          <w:numId w:val="1"/>
        </w:numPr>
        <w:spacing w:after="0" w:line="360" w:lineRule="auto"/>
        <w:ind w:left="282" w:hanging="425"/>
        <w:jc w:val="both"/>
        <w:rPr>
          <w:rFonts w:ascii="David" w:hAnsi="David" w:cs="David"/>
          <w:sz w:val="24"/>
          <w:szCs w:val="24"/>
          <w:rtl/>
        </w:rPr>
      </w:pPr>
      <w:r>
        <w:rPr>
          <w:rFonts w:ascii="David" w:hAnsi="David" w:cs="David"/>
          <w:sz w:val="24"/>
          <w:szCs w:val="24"/>
          <w:rtl/>
        </w:rPr>
        <w:t xml:space="preserve">במסגרת הסיכומים ביקש התובע להטיל על הנתבעת הוצאות משפט מוגברות – </w:t>
      </w:r>
      <w:r>
        <w:rPr>
          <w:rFonts w:ascii="David" w:hAnsi="David" w:cs="David"/>
          <w:b/>
          <w:bCs/>
          <w:sz w:val="24"/>
          <w:szCs w:val="24"/>
          <w:rtl/>
        </w:rPr>
        <w:t xml:space="preserve">ראו: פרוט' עמ' 18 ש' 11-14, </w:t>
      </w:r>
      <w:r>
        <w:rPr>
          <w:rFonts w:ascii="David" w:hAnsi="David" w:cs="David"/>
          <w:sz w:val="24"/>
          <w:szCs w:val="24"/>
          <w:rtl/>
        </w:rPr>
        <w:t>בשים לב להתנהלות אשר הוגדרה על-ידו כהתנהלות חסרת תום לב.</w:t>
      </w:r>
    </w:p>
    <w:p w14:paraId="429FB33D" w14:textId="77777777" w:rsidR="00D4005B" w:rsidRDefault="00D4005B" w:rsidP="00F244FF">
      <w:pPr>
        <w:pStyle w:val="11"/>
        <w:spacing w:line="360" w:lineRule="auto"/>
        <w:rPr>
          <w:rFonts w:ascii="David" w:hAnsi="David" w:cs="David"/>
          <w:sz w:val="24"/>
          <w:szCs w:val="24"/>
        </w:rPr>
      </w:pPr>
    </w:p>
    <w:p w14:paraId="03ABF9C4" w14:textId="77777777" w:rsidR="00D4005B" w:rsidRDefault="00000000" w:rsidP="00F244FF">
      <w:pPr>
        <w:pStyle w:val="11"/>
        <w:numPr>
          <w:ilvl w:val="0"/>
          <w:numId w:val="1"/>
        </w:numPr>
        <w:spacing w:after="0" w:line="360" w:lineRule="auto"/>
        <w:ind w:left="282" w:hanging="425"/>
        <w:jc w:val="both"/>
        <w:rPr>
          <w:rFonts w:ascii="David" w:hAnsi="David" w:cs="David"/>
          <w:sz w:val="24"/>
          <w:szCs w:val="24"/>
          <w:rtl/>
        </w:rPr>
      </w:pPr>
      <w:r>
        <w:rPr>
          <w:rFonts w:ascii="David" w:hAnsi="David" w:cs="David"/>
          <w:sz w:val="24"/>
          <w:szCs w:val="24"/>
          <w:rtl/>
        </w:rPr>
        <w:t xml:space="preserve">יחד עם זאת, תובע לא פירט את שיעור ההוצאות ולא צירף אסמכתאות בתמיכה לעתירה זו, ויש לראות בו כמי שהותיר עניין זה לשיקול דעת בית המשפט – </w:t>
      </w:r>
      <w:r>
        <w:rPr>
          <w:rFonts w:ascii="David" w:hAnsi="David" w:cs="David"/>
          <w:b/>
          <w:bCs/>
          <w:sz w:val="24"/>
          <w:szCs w:val="24"/>
          <w:rtl/>
        </w:rPr>
        <w:t>ראו</w:t>
      </w:r>
      <w:r>
        <w:rPr>
          <w:rFonts w:ascii="David" w:hAnsi="David" w:cs="David"/>
          <w:sz w:val="24"/>
          <w:szCs w:val="24"/>
          <w:rtl/>
        </w:rPr>
        <w:t xml:space="preserve">: </w:t>
      </w:r>
      <w:hyperlink r:id="rId77" w:history="1">
        <w:r w:rsidR="004B54CC" w:rsidRPr="004B54CC">
          <w:rPr>
            <w:rFonts w:ascii="David" w:hAnsi="David" w:cs="David"/>
            <w:color w:val="0000FF"/>
            <w:sz w:val="24"/>
            <w:szCs w:val="24"/>
            <w:u w:val="single"/>
            <w:rtl/>
          </w:rPr>
          <w:t>תלה"מ 42974-05-22</w:t>
        </w:r>
      </w:hyperlink>
      <w:r>
        <w:rPr>
          <w:rFonts w:ascii="David" w:hAnsi="David" w:cs="David"/>
          <w:sz w:val="24"/>
          <w:szCs w:val="24"/>
          <w:rtl/>
        </w:rPr>
        <w:t xml:space="preserve"> </w:t>
      </w:r>
      <w:r>
        <w:rPr>
          <w:rFonts w:ascii="David" w:hAnsi="David" w:cs="David"/>
          <w:b/>
          <w:bCs/>
          <w:sz w:val="24"/>
          <w:szCs w:val="24"/>
          <w:rtl/>
        </w:rPr>
        <w:t>פלוני נ' פלונית</w:t>
      </w:r>
      <w:r>
        <w:rPr>
          <w:rFonts w:ascii="David" w:hAnsi="David" w:cs="David"/>
          <w:sz w:val="24"/>
          <w:szCs w:val="24"/>
          <w:rtl/>
        </w:rPr>
        <w:t xml:space="preserve"> </w:t>
      </w:r>
      <w:r w:rsidR="00445A02">
        <w:rPr>
          <w:rFonts w:ascii="David" w:hAnsi="David" w:cs="David"/>
          <w:sz w:val="24"/>
          <w:szCs w:val="24"/>
          <w:rtl/>
        </w:rPr>
        <w:t>[נבו]</w:t>
      </w:r>
      <w:r w:rsidR="00445A02">
        <w:rPr>
          <w:rFonts w:ascii="David" w:hAnsi="David" w:cs="David" w:hint="cs"/>
          <w:sz w:val="24"/>
          <w:szCs w:val="24"/>
          <w:rtl/>
        </w:rPr>
        <w:t xml:space="preserve"> </w:t>
      </w:r>
      <w:r>
        <w:rPr>
          <w:rFonts w:ascii="David" w:hAnsi="David" w:cs="David"/>
          <w:sz w:val="24"/>
          <w:szCs w:val="24"/>
          <w:rtl/>
        </w:rPr>
        <w:t>(10.11.2024).</w:t>
      </w:r>
    </w:p>
    <w:p w14:paraId="77997611" w14:textId="77777777" w:rsidR="00D4005B" w:rsidRDefault="00D4005B" w:rsidP="00F244FF">
      <w:pPr>
        <w:pStyle w:val="11"/>
        <w:spacing w:line="360" w:lineRule="auto"/>
        <w:rPr>
          <w:rFonts w:ascii="David" w:hAnsi="David" w:cs="David"/>
          <w:sz w:val="24"/>
          <w:szCs w:val="24"/>
        </w:rPr>
      </w:pPr>
    </w:p>
    <w:p w14:paraId="55536E46" w14:textId="77777777" w:rsidR="00D4005B" w:rsidRDefault="00000000" w:rsidP="00F244FF">
      <w:pPr>
        <w:pStyle w:val="11"/>
        <w:numPr>
          <w:ilvl w:val="0"/>
          <w:numId w:val="1"/>
        </w:numPr>
        <w:spacing w:after="0" w:line="360" w:lineRule="auto"/>
        <w:ind w:left="282" w:hanging="425"/>
        <w:jc w:val="both"/>
        <w:rPr>
          <w:rFonts w:ascii="David" w:hAnsi="David" w:cs="David"/>
          <w:sz w:val="24"/>
          <w:szCs w:val="24"/>
          <w:rtl/>
        </w:rPr>
      </w:pPr>
      <w:r>
        <w:rPr>
          <w:rFonts w:ascii="David" w:hAnsi="David" w:cs="David"/>
          <w:sz w:val="24"/>
          <w:szCs w:val="24"/>
          <w:rtl/>
        </w:rPr>
        <w:t>לאור האמור, כאשר אני מביא בחשבון כי התנהלו שני הליכים משפטיים אשר כללו, בין היתר, ישיבות קדם משפט וישיבות הוכחות, כאשר עמדות התובע התקבלו ועמדות הנתבעת נדחו בשני ההליכים, אני מחייב את הנתבעת בהוצאות משפט בסך של 30,000 ₪.</w:t>
      </w:r>
    </w:p>
    <w:p w14:paraId="7CBA5642" w14:textId="77777777" w:rsidR="00D4005B" w:rsidRDefault="00D4005B" w:rsidP="00F244FF">
      <w:pPr>
        <w:pStyle w:val="11"/>
        <w:spacing w:line="360" w:lineRule="auto"/>
        <w:rPr>
          <w:rFonts w:ascii="David" w:hAnsi="David" w:cs="David"/>
          <w:sz w:val="24"/>
          <w:szCs w:val="24"/>
        </w:rPr>
      </w:pPr>
    </w:p>
    <w:p w14:paraId="138C1239" w14:textId="77777777" w:rsidR="00D4005B" w:rsidRDefault="00000000" w:rsidP="00F244FF">
      <w:pPr>
        <w:pStyle w:val="11"/>
        <w:numPr>
          <w:ilvl w:val="0"/>
          <w:numId w:val="1"/>
        </w:numPr>
        <w:spacing w:after="0" w:line="360" w:lineRule="auto"/>
        <w:ind w:left="282" w:hanging="425"/>
        <w:jc w:val="both"/>
        <w:rPr>
          <w:rFonts w:ascii="David" w:hAnsi="David" w:cs="David"/>
          <w:sz w:val="24"/>
          <w:szCs w:val="24"/>
          <w:rtl/>
        </w:rPr>
      </w:pPr>
      <w:r>
        <w:rPr>
          <w:rFonts w:ascii="David" w:hAnsi="David" w:cs="David"/>
          <w:sz w:val="24"/>
          <w:szCs w:val="24"/>
          <w:rtl/>
        </w:rPr>
        <w:t>זכות ערעור כדין.</w:t>
      </w:r>
    </w:p>
    <w:p w14:paraId="7FA3CC13" w14:textId="77777777" w:rsidR="00D4005B" w:rsidRDefault="00D4005B" w:rsidP="00F244FF">
      <w:pPr>
        <w:pStyle w:val="11"/>
        <w:spacing w:line="360" w:lineRule="auto"/>
        <w:rPr>
          <w:rFonts w:ascii="David" w:hAnsi="David" w:cs="David"/>
          <w:b/>
          <w:bCs/>
          <w:sz w:val="24"/>
          <w:szCs w:val="24"/>
        </w:rPr>
      </w:pPr>
    </w:p>
    <w:p w14:paraId="49D8FE05" w14:textId="77777777" w:rsidR="00D4005B" w:rsidRDefault="004B54CC" w:rsidP="00F244FF">
      <w:pPr>
        <w:pStyle w:val="11"/>
        <w:numPr>
          <w:ilvl w:val="0"/>
          <w:numId w:val="1"/>
        </w:numPr>
        <w:spacing w:after="0" w:line="360" w:lineRule="auto"/>
        <w:ind w:left="282" w:hanging="425"/>
        <w:jc w:val="both"/>
        <w:rPr>
          <w:rFonts w:ascii="David" w:hAnsi="David" w:cs="David"/>
          <w:sz w:val="24"/>
          <w:szCs w:val="24"/>
          <w:rtl/>
        </w:rPr>
      </w:pPr>
      <w:r w:rsidRPr="004B54CC">
        <w:rPr>
          <w:rFonts w:ascii="David" w:hAnsi="David" w:cs="David"/>
          <w:b/>
          <w:bCs/>
          <w:color w:val="FFFFFF"/>
          <w:sz w:val="2"/>
          <w:szCs w:val="2"/>
          <w:rtl/>
        </w:rPr>
        <w:t>5129371</w:t>
      </w:r>
      <w:r w:rsidR="00000000">
        <w:rPr>
          <w:rFonts w:ascii="David" w:hAnsi="David" w:cs="David"/>
          <w:b/>
          <w:bCs/>
          <w:sz w:val="24"/>
          <w:szCs w:val="24"/>
          <w:rtl/>
        </w:rPr>
        <w:t>המזכירות תסגור את התיק.</w:t>
      </w:r>
    </w:p>
    <w:p w14:paraId="2495EF3E" w14:textId="77777777" w:rsidR="00D4005B" w:rsidRPr="004B54CC" w:rsidRDefault="004B54CC" w:rsidP="00F244FF">
      <w:pPr>
        <w:pStyle w:val="11"/>
        <w:spacing w:line="360" w:lineRule="auto"/>
        <w:rPr>
          <w:rFonts w:ascii="David" w:hAnsi="David" w:cs="David"/>
          <w:color w:val="FFFFFF"/>
          <w:sz w:val="2"/>
          <w:szCs w:val="2"/>
        </w:rPr>
      </w:pPr>
      <w:r w:rsidRPr="004B54CC">
        <w:rPr>
          <w:rFonts w:ascii="David" w:hAnsi="David" w:cs="David"/>
          <w:color w:val="FFFFFF"/>
          <w:sz w:val="2"/>
          <w:szCs w:val="2"/>
          <w:rtl/>
        </w:rPr>
        <w:t>54678313</w:t>
      </w:r>
    </w:p>
    <w:p w14:paraId="2707E6CE" w14:textId="77777777" w:rsidR="00D4005B" w:rsidRDefault="00000000" w:rsidP="006C3554">
      <w:pPr>
        <w:pStyle w:val="Ruller40"/>
        <w:rPr>
          <w:rFonts w:cs="David"/>
          <w:spacing w:val="0"/>
          <w:sz w:val="24"/>
          <w:szCs w:val="24"/>
          <w:rtl/>
        </w:rPr>
      </w:pPr>
      <w:r>
        <w:rPr>
          <w:rFonts w:cs="David"/>
          <w:spacing w:val="0"/>
          <w:sz w:val="24"/>
          <w:szCs w:val="24"/>
          <w:rtl/>
        </w:rPr>
        <w:lastRenderedPageBreak/>
        <w:t>ניתן לפרסם החלטה זו בכפוף להשמטת כל הפרטים המזהים.</w:t>
      </w:r>
    </w:p>
    <w:p w14:paraId="752E3909" w14:textId="77777777" w:rsidR="00D4005B" w:rsidRDefault="00D4005B" w:rsidP="00F244FF">
      <w:pPr>
        <w:pStyle w:val="11"/>
        <w:spacing w:after="0" w:line="360" w:lineRule="auto"/>
        <w:ind w:left="282"/>
        <w:jc w:val="both"/>
        <w:rPr>
          <w:rFonts w:ascii="David" w:hAnsi="David" w:cs="David"/>
          <w:sz w:val="24"/>
          <w:szCs w:val="24"/>
        </w:rPr>
      </w:pPr>
    </w:p>
    <w:p w14:paraId="094F040F" w14:textId="77777777" w:rsidR="00D4005B" w:rsidRDefault="004B54CC" w:rsidP="00CC29C2">
      <w:pPr>
        <w:spacing w:line="360" w:lineRule="auto"/>
        <w:jc w:val="center"/>
        <w:rPr>
          <w:rFonts w:ascii="Arial" w:hAnsi="Arial"/>
          <w:noProof w:val="0"/>
          <w:rtl/>
        </w:rPr>
      </w:pPr>
      <w:bookmarkStart w:id="7" w:name="Nitan"/>
      <w:r>
        <w:rPr>
          <w:rFonts w:ascii="Arial" w:hAnsi="Arial"/>
          <w:noProof w:val="0"/>
          <w:rtl/>
        </w:rPr>
        <w:t xml:space="preserve">ניתנה היום,  ט"ז כסלו תשפ"ה, 17 דצמבר 2024, בהעדר הצדדים. </w:t>
      </w:r>
      <w:bookmarkEnd w:id="7"/>
    </w:p>
    <w:p w14:paraId="375B7B9B" w14:textId="77777777" w:rsidR="00D4005B" w:rsidRPr="004B54CC" w:rsidRDefault="00000000" w:rsidP="004B54CC">
      <w:pPr>
        <w:keepNext/>
        <w:spacing w:line="360" w:lineRule="auto"/>
        <w:rPr>
          <w:rFonts w:ascii="David" w:hAnsi="David"/>
          <w:color w:val="000000"/>
          <w:sz w:val="22"/>
          <w:szCs w:val="22"/>
          <w:rtl/>
        </w:rPr>
      </w:pPr>
      <w:r>
        <w:rPr>
          <w:rFonts w:ascii="Arial" w:hAnsi="Arial"/>
          <w:noProof w:val="0"/>
          <w:rtl/>
        </w:rPr>
        <w:tab/>
      </w:r>
      <w:r>
        <w:rPr>
          <w:rFonts w:ascii="Arial" w:hAnsi="Arial"/>
          <w:noProof w:val="0"/>
          <w:rtl/>
        </w:rPr>
        <w:tab/>
      </w:r>
    </w:p>
    <w:p w14:paraId="6CE66C97" w14:textId="77777777" w:rsidR="004B54CC" w:rsidRPr="004B54CC" w:rsidRDefault="004B54CC" w:rsidP="004B54CC">
      <w:pPr>
        <w:spacing w:line="360" w:lineRule="auto"/>
        <w:jc w:val="center"/>
        <w:rPr>
          <w:color w:val="0000FF"/>
          <w:u w:val="single"/>
          <w:rtl/>
        </w:rPr>
      </w:pPr>
    </w:p>
    <w:sectPr w:rsidR="004B54CC" w:rsidRPr="004B54CC" w:rsidSect="004B54CC">
      <w:headerReference w:type="even" r:id="rId78"/>
      <w:headerReference w:type="default" r:id="rId79"/>
      <w:footerReference w:type="even" r:id="rId80"/>
      <w:footerReference w:type="default" r:id="rId81"/>
      <w:pgSz w:w="11907" w:h="16840" w:code="9"/>
      <w:pgMar w:top="1701" w:right="1531" w:bottom="1531" w:left="1531" w:header="720" w:footer="1055"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C8D87" w14:textId="77777777" w:rsidR="00F0161B" w:rsidRDefault="00F0161B">
      <w:r>
        <w:separator/>
      </w:r>
    </w:p>
  </w:endnote>
  <w:endnote w:type="continuationSeparator" w:id="0">
    <w:p w14:paraId="1DF939E7" w14:textId="77777777" w:rsidR="00F0161B" w:rsidRDefault="00F0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TUR">
    <w:altName w:val="Arial"/>
    <w:charset w:val="00"/>
    <w:family w:val="swiss"/>
    <w:pitch w:val="variable"/>
    <w:sig w:usb0="E0003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AEB4A" w14:textId="77777777" w:rsidR="004B54CC" w:rsidRDefault="00000000" w:rsidP="004B54CC">
    <w:pPr>
      <w:pStyle w:val="a4"/>
      <w:jc w:val="center"/>
      <w:rPr>
        <w:rFonts w:ascii="FrankRuehl" w:hAnsi="FrankRuehl" w:cs="FrankRueh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 xml:space="preserve">PAGE </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rtl/>
      </w:rPr>
      <w:t>2</w:t>
    </w:r>
    <w:r>
      <w:rPr>
        <w:rFonts w:ascii="FrankRuehl" w:hAnsi="FrankRuehl" w:cs="FrankRuehl"/>
        <w:rtl/>
      </w:rPr>
      <w:fldChar w:fldCharType="end"/>
    </w:r>
  </w:p>
  <w:p w14:paraId="02D140D1" w14:textId="44C6ABE8" w:rsidR="004B54CC" w:rsidRPr="004B54CC" w:rsidRDefault="00F600CE" w:rsidP="004B54CC">
    <w:pPr>
      <w:pStyle w:val="a4"/>
      <w:pBdr>
        <w:top w:val="single" w:sz="4" w:space="1" w:color="auto"/>
        <w:between w:val="single" w:sz="4" w:space="0" w:color="auto"/>
      </w:pBdr>
      <w:spacing w:after="60"/>
      <w:jc w:val="center"/>
      <w:rPr>
        <w:rFonts w:ascii="FrankRuehl" w:hAnsi="FrankRuehl" w:cs="FrankRuehl"/>
        <w:color w:val="000000"/>
      </w:rPr>
    </w:pPr>
    <w:r>
      <w:rPr>
        <w:rFonts w:ascii="FrankRuehl" w:hAnsi="FrankRuehl" w:cs="FrankRuehl"/>
        <w:color w:val="000000"/>
      </w:rPr>
      <w:drawing>
        <wp:inline distT="0" distB="0" distL="0" distR="0" wp14:anchorId="2189F0D4" wp14:editId="2E35107F">
          <wp:extent cx="552450" cy="2286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269E3" w14:textId="77777777" w:rsidR="004B54CC" w:rsidRDefault="00000000" w:rsidP="004B54CC">
    <w:pPr>
      <w:pStyle w:val="a4"/>
      <w:jc w:val="center"/>
      <w:rPr>
        <w:rStyle w:val="ab"/>
        <w:rFonts w:ascii="FrankRuehl" w:hAnsi="FrankRuehl" w:cs="FrankRuehl"/>
        <w:rtl/>
      </w:rPr>
    </w:pPr>
    <w:r>
      <w:rPr>
        <w:rStyle w:val="ab"/>
        <w:rFonts w:ascii="FrankRuehl" w:hAnsi="FrankRuehl" w:cs="FrankRuehl"/>
        <w:rtl/>
      </w:rPr>
      <w:fldChar w:fldCharType="begin"/>
    </w:r>
    <w:r>
      <w:rPr>
        <w:rStyle w:val="ab"/>
        <w:rFonts w:ascii="FrankRuehl" w:hAnsi="FrankRuehl" w:cs="FrankRuehl"/>
        <w:rtl/>
      </w:rPr>
      <w:instrText xml:space="preserve"> </w:instrText>
    </w:r>
    <w:r>
      <w:rPr>
        <w:rStyle w:val="ab"/>
        <w:rFonts w:ascii="FrankRuehl" w:hAnsi="FrankRuehl" w:cs="FrankRuehl" w:hint="cs"/>
      </w:rPr>
      <w:instrText xml:space="preserve">PAGE </w:instrText>
    </w:r>
    <w:r>
      <w:rPr>
        <w:rStyle w:val="ab"/>
        <w:rFonts w:ascii="FrankRuehl" w:hAnsi="FrankRuehl" w:cs="FrankRuehl" w:hint="cs"/>
        <w:rtl/>
      </w:rPr>
      <w:instrText xml:space="preserve"> \* </w:instrText>
    </w:r>
    <w:r>
      <w:rPr>
        <w:rStyle w:val="ab"/>
        <w:rFonts w:ascii="FrankRuehl" w:hAnsi="FrankRuehl" w:cs="FrankRuehl" w:hint="cs"/>
      </w:rPr>
      <w:instrText>MERGEFORMAT</w:instrText>
    </w:r>
    <w:r>
      <w:rPr>
        <w:rStyle w:val="ab"/>
        <w:rFonts w:ascii="FrankRuehl" w:hAnsi="FrankRuehl" w:cs="FrankRuehl"/>
        <w:rtl/>
      </w:rPr>
      <w:instrText xml:space="preserve"> </w:instrText>
    </w:r>
    <w:r>
      <w:rPr>
        <w:rStyle w:val="ab"/>
        <w:rFonts w:ascii="FrankRuehl" w:hAnsi="FrankRuehl" w:cs="FrankRuehl"/>
        <w:rtl/>
      </w:rPr>
      <w:fldChar w:fldCharType="separate"/>
    </w:r>
    <w:r w:rsidR="005836A0">
      <w:rPr>
        <w:rStyle w:val="ab"/>
        <w:rFonts w:ascii="FrankRuehl" w:hAnsi="FrankRuehl" w:cs="FrankRuehl"/>
        <w:rtl/>
      </w:rPr>
      <w:t>1</w:t>
    </w:r>
    <w:r>
      <w:rPr>
        <w:rStyle w:val="ab"/>
        <w:rFonts w:ascii="FrankRuehl" w:hAnsi="FrankRuehl" w:cs="FrankRuehl"/>
        <w:rtl/>
      </w:rPr>
      <w:fldChar w:fldCharType="end"/>
    </w:r>
  </w:p>
  <w:p w14:paraId="3BB510DE" w14:textId="6F130EC4" w:rsidR="00D4005B" w:rsidRPr="004B54CC" w:rsidRDefault="00D4005B" w:rsidP="004B54CC">
    <w:pPr>
      <w:pStyle w:val="a4"/>
      <w:pBdr>
        <w:top w:val="single" w:sz="4" w:space="1" w:color="auto"/>
        <w:between w:val="single" w:sz="4" w:space="0" w:color="auto"/>
      </w:pBdr>
      <w:spacing w:after="60"/>
      <w:jc w:val="center"/>
      <w:rPr>
        <w:rStyle w:val="ab"/>
        <w:rFonts w:ascii="FrankRuehl" w:hAnsi="FrankRuehl" w:cs="FrankRuehl"/>
        <w:color w:val="00000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90C26" w14:textId="77777777" w:rsidR="00F0161B" w:rsidRDefault="00F0161B">
      <w:r>
        <w:separator/>
      </w:r>
    </w:p>
  </w:footnote>
  <w:footnote w:type="continuationSeparator" w:id="0">
    <w:p w14:paraId="579775A2" w14:textId="77777777" w:rsidR="00F0161B" w:rsidRDefault="00F01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9C6D0" w14:textId="77777777" w:rsidR="004B54CC" w:rsidRPr="004B54CC" w:rsidRDefault="00000000" w:rsidP="004B54CC">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r>
      <w:rPr>
        <w:rFonts w:ascii="David" w:hAnsi="David"/>
        <w:color w:val="000000"/>
        <w:sz w:val="22"/>
        <w:szCs w:val="22"/>
        <w:rtl/>
      </w:rPr>
      <w:t>תמש (י-ם) 58197-02-24</w:t>
    </w:r>
    <w:r>
      <w:rPr>
        <w:rFonts w:ascii="David" w:hAnsi="David"/>
        <w:color w:val="000000"/>
        <w:sz w:val="22"/>
        <w:szCs w:val="22"/>
        <w:rtl/>
      </w:rPr>
      <w:tab/>
      <w:t xml:space="preserve"> ח. צ נ' ג. 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407C8" w14:textId="77777777" w:rsidR="00D4005B" w:rsidRPr="004B54CC" w:rsidRDefault="004B54CC" w:rsidP="004B54CC">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bookmarkStart w:id="8" w:name="_Hlk186695214"/>
    <w:bookmarkStart w:id="9" w:name="_Hlk186695215"/>
    <w:r>
      <w:rPr>
        <w:rFonts w:ascii="David" w:hAnsi="David"/>
        <w:color w:val="000000"/>
        <w:sz w:val="22"/>
        <w:szCs w:val="22"/>
        <w:rtl/>
      </w:rPr>
      <w:t>תמש (י-ם) 58197-02-24</w:t>
    </w:r>
    <w:r>
      <w:rPr>
        <w:rFonts w:ascii="David" w:hAnsi="David"/>
        <w:color w:val="000000"/>
        <w:sz w:val="22"/>
        <w:szCs w:val="22"/>
        <w:rtl/>
      </w:rPr>
      <w:tab/>
      <w:t xml:space="preserve"> ח. צ נ' ג. צ</w:t>
    </w:r>
    <w:bookmarkEnd w:id="8"/>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612947"/>
    <w:multiLevelType w:val="hybridMultilevel"/>
    <w:tmpl w:val="72B05DA0"/>
    <w:lvl w:ilvl="0" w:tplc="A596FF0A">
      <w:start w:val="1"/>
      <w:numFmt w:val="hebrew1"/>
      <w:lvlText w:val="%1."/>
      <w:lvlJc w:val="left"/>
      <w:pPr>
        <w:ind w:left="717" w:hanging="360"/>
      </w:pPr>
      <w:rPr>
        <w:rFonts w:cs="Times New Roman"/>
      </w:rPr>
    </w:lvl>
    <w:lvl w:ilvl="1" w:tplc="E0D01B8C">
      <w:start w:val="1"/>
      <w:numFmt w:val="lowerLetter"/>
      <w:lvlText w:val="%2."/>
      <w:lvlJc w:val="left"/>
      <w:pPr>
        <w:ind w:left="1437" w:hanging="360"/>
      </w:pPr>
      <w:rPr>
        <w:rFonts w:cs="Times New Roman"/>
      </w:rPr>
    </w:lvl>
    <w:lvl w:ilvl="2" w:tplc="52C4B962">
      <w:start w:val="1"/>
      <w:numFmt w:val="lowerRoman"/>
      <w:lvlText w:val="%3."/>
      <w:lvlJc w:val="right"/>
      <w:pPr>
        <w:ind w:left="2157" w:hanging="180"/>
      </w:pPr>
      <w:rPr>
        <w:rFonts w:cs="Times New Roman"/>
      </w:rPr>
    </w:lvl>
    <w:lvl w:ilvl="3" w:tplc="7B8639BE">
      <w:start w:val="1"/>
      <w:numFmt w:val="decimal"/>
      <w:lvlText w:val="%4."/>
      <w:lvlJc w:val="left"/>
      <w:pPr>
        <w:ind w:left="2877" w:hanging="360"/>
      </w:pPr>
      <w:rPr>
        <w:rFonts w:cs="Times New Roman"/>
      </w:rPr>
    </w:lvl>
    <w:lvl w:ilvl="4" w:tplc="BD6C4848">
      <w:start w:val="1"/>
      <w:numFmt w:val="lowerLetter"/>
      <w:lvlText w:val="%5."/>
      <w:lvlJc w:val="left"/>
      <w:pPr>
        <w:ind w:left="3597" w:hanging="360"/>
      </w:pPr>
      <w:rPr>
        <w:rFonts w:cs="Times New Roman"/>
      </w:rPr>
    </w:lvl>
    <w:lvl w:ilvl="5" w:tplc="82FEF2A2">
      <w:start w:val="1"/>
      <w:numFmt w:val="lowerRoman"/>
      <w:lvlText w:val="%6."/>
      <w:lvlJc w:val="right"/>
      <w:pPr>
        <w:ind w:left="4317" w:hanging="180"/>
      </w:pPr>
      <w:rPr>
        <w:rFonts w:cs="Times New Roman"/>
      </w:rPr>
    </w:lvl>
    <w:lvl w:ilvl="6" w:tplc="BA061C92">
      <w:start w:val="1"/>
      <w:numFmt w:val="decimal"/>
      <w:lvlText w:val="%7."/>
      <w:lvlJc w:val="left"/>
      <w:pPr>
        <w:ind w:left="5037" w:hanging="360"/>
      </w:pPr>
      <w:rPr>
        <w:rFonts w:cs="Times New Roman"/>
      </w:rPr>
    </w:lvl>
    <w:lvl w:ilvl="7" w:tplc="4CA6DA86">
      <w:start w:val="1"/>
      <w:numFmt w:val="lowerLetter"/>
      <w:lvlText w:val="%8."/>
      <w:lvlJc w:val="left"/>
      <w:pPr>
        <w:ind w:left="5757" w:hanging="360"/>
      </w:pPr>
      <w:rPr>
        <w:rFonts w:cs="Times New Roman"/>
      </w:rPr>
    </w:lvl>
    <w:lvl w:ilvl="8" w:tplc="06CC0B18">
      <w:start w:val="1"/>
      <w:numFmt w:val="lowerRoman"/>
      <w:lvlText w:val="%9."/>
      <w:lvlJc w:val="right"/>
      <w:pPr>
        <w:ind w:left="6477" w:hanging="180"/>
      </w:pPr>
      <w:rPr>
        <w:rFonts w:cs="Times New Roman"/>
      </w:rPr>
    </w:lvl>
  </w:abstractNum>
  <w:abstractNum w:abstractNumId="1" w15:restartNumberingAfterBreak="0">
    <w:nsid w:val="52414811"/>
    <w:multiLevelType w:val="hybridMultilevel"/>
    <w:tmpl w:val="21729392"/>
    <w:lvl w:ilvl="0" w:tplc="4D2E768E">
      <w:start w:val="1"/>
      <w:numFmt w:val="decimal"/>
      <w:lvlText w:val="%1."/>
      <w:lvlJc w:val="left"/>
      <w:pPr>
        <w:ind w:left="720" w:hanging="360"/>
      </w:pPr>
      <w:rPr>
        <w:rFonts w:cs="Times New Roman"/>
        <w:b w:val="0"/>
        <w:bCs w:val="0"/>
      </w:rPr>
    </w:lvl>
    <w:lvl w:ilvl="1" w:tplc="89540342">
      <w:start w:val="1"/>
      <w:numFmt w:val="lowerLetter"/>
      <w:lvlText w:val="%2."/>
      <w:lvlJc w:val="left"/>
      <w:pPr>
        <w:ind w:left="1440" w:hanging="360"/>
      </w:pPr>
      <w:rPr>
        <w:rFonts w:cs="Times New Roman"/>
      </w:rPr>
    </w:lvl>
    <w:lvl w:ilvl="2" w:tplc="3DE0169C">
      <w:start w:val="1"/>
      <w:numFmt w:val="lowerRoman"/>
      <w:lvlText w:val="%3."/>
      <w:lvlJc w:val="right"/>
      <w:pPr>
        <w:ind w:left="2160" w:hanging="180"/>
      </w:pPr>
      <w:rPr>
        <w:rFonts w:cs="Times New Roman"/>
      </w:rPr>
    </w:lvl>
    <w:lvl w:ilvl="3" w:tplc="CA72033A">
      <w:start w:val="1"/>
      <w:numFmt w:val="decimal"/>
      <w:lvlText w:val="%4."/>
      <w:lvlJc w:val="left"/>
      <w:pPr>
        <w:ind w:left="2880" w:hanging="360"/>
      </w:pPr>
      <w:rPr>
        <w:rFonts w:cs="Times New Roman"/>
      </w:rPr>
    </w:lvl>
    <w:lvl w:ilvl="4" w:tplc="13FE43A0">
      <w:start w:val="1"/>
      <w:numFmt w:val="lowerLetter"/>
      <w:lvlText w:val="%5."/>
      <w:lvlJc w:val="left"/>
      <w:pPr>
        <w:ind w:left="3600" w:hanging="360"/>
      </w:pPr>
      <w:rPr>
        <w:rFonts w:cs="Times New Roman"/>
      </w:rPr>
    </w:lvl>
    <w:lvl w:ilvl="5" w:tplc="9CE23608">
      <w:start w:val="1"/>
      <w:numFmt w:val="lowerRoman"/>
      <w:lvlText w:val="%6."/>
      <w:lvlJc w:val="right"/>
      <w:pPr>
        <w:ind w:left="4320" w:hanging="180"/>
      </w:pPr>
      <w:rPr>
        <w:rFonts w:cs="Times New Roman"/>
      </w:rPr>
    </w:lvl>
    <w:lvl w:ilvl="6" w:tplc="28D24600">
      <w:start w:val="1"/>
      <w:numFmt w:val="decimal"/>
      <w:lvlText w:val="%7."/>
      <w:lvlJc w:val="left"/>
      <w:pPr>
        <w:ind w:left="5040" w:hanging="360"/>
      </w:pPr>
      <w:rPr>
        <w:rFonts w:cs="Times New Roman"/>
      </w:rPr>
    </w:lvl>
    <w:lvl w:ilvl="7" w:tplc="DFDA55D6">
      <w:start w:val="1"/>
      <w:numFmt w:val="lowerLetter"/>
      <w:lvlText w:val="%8."/>
      <w:lvlJc w:val="left"/>
      <w:pPr>
        <w:ind w:left="5760" w:hanging="360"/>
      </w:pPr>
      <w:rPr>
        <w:rFonts w:cs="Times New Roman"/>
      </w:rPr>
    </w:lvl>
    <w:lvl w:ilvl="8" w:tplc="7734AC06">
      <w:start w:val="1"/>
      <w:numFmt w:val="lowerRoman"/>
      <w:lvlText w:val="%9."/>
      <w:lvlJc w:val="right"/>
      <w:pPr>
        <w:ind w:left="6480" w:hanging="180"/>
      </w:pPr>
      <w:rPr>
        <w:rFonts w:cs="Times New Roman"/>
      </w:rPr>
    </w:lvl>
  </w:abstractNum>
  <w:abstractNum w:abstractNumId="2" w15:restartNumberingAfterBreak="0">
    <w:nsid w:val="5DD329D9"/>
    <w:multiLevelType w:val="hybridMultilevel"/>
    <w:tmpl w:val="D0FC06FC"/>
    <w:lvl w:ilvl="0" w:tplc="C6AE8790">
      <w:start w:val="1"/>
      <w:numFmt w:val="hebrew1"/>
      <w:lvlText w:val="%1."/>
      <w:lvlJc w:val="left"/>
      <w:pPr>
        <w:ind w:left="717" w:hanging="360"/>
      </w:pPr>
      <w:rPr>
        <w:rFonts w:cs="Times New Roman"/>
      </w:rPr>
    </w:lvl>
    <w:lvl w:ilvl="1" w:tplc="3404FB56">
      <w:start w:val="1"/>
      <w:numFmt w:val="lowerLetter"/>
      <w:lvlText w:val="%2."/>
      <w:lvlJc w:val="left"/>
      <w:pPr>
        <w:ind w:left="1437" w:hanging="360"/>
      </w:pPr>
      <w:rPr>
        <w:rFonts w:cs="Times New Roman"/>
      </w:rPr>
    </w:lvl>
    <w:lvl w:ilvl="2" w:tplc="DBB09670">
      <w:start w:val="1"/>
      <w:numFmt w:val="lowerRoman"/>
      <w:lvlText w:val="%3."/>
      <w:lvlJc w:val="right"/>
      <w:pPr>
        <w:ind w:left="2157" w:hanging="180"/>
      </w:pPr>
      <w:rPr>
        <w:rFonts w:cs="Times New Roman"/>
      </w:rPr>
    </w:lvl>
    <w:lvl w:ilvl="3" w:tplc="F2F6678C">
      <w:start w:val="1"/>
      <w:numFmt w:val="decimal"/>
      <w:lvlText w:val="%4."/>
      <w:lvlJc w:val="left"/>
      <w:pPr>
        <w:ind w:left="2877" w:hanging="360"/>
      </w:pPr>
      <w:rPr>
        <w:rFonts w:cs="Times New Roman"/>
      </w:rPr>
    </w:lvl>
    <w:lvl w:ilvl="4" w:tplc="C7CA34C2">
      <w:start w:val="1"/>
      <w:numFmt w:val="lowerLetter"/>
      <w:lvlText w:val="%5."/>
      <w:lvlJc w:val="left"/>
      <w:pPr>
        <w:ind w:left="3597" w:hanging="360"/>
      </w:pPr>
      <w:rPr>
        <w:rFonts w:cs="Times New Roman"/>
      </w:rPr>
    </w:lvl>
    <w:lvl w:ilvl="5" w:tplc="69D467EE">
      <w:start w:val="1"/>
      <w:numFmt w:val="lowerRoman"/>
      <w:lvlText w:val="%6."/>
      <w:lvlJc w:val="right"/>
      <w:pPr>
        <w:ind w:left="4317" w:hanging="180"/>
      </w:pPr>
      <w:rPr>
        <w:rFonts w:cs="Times New Roman"/>
      </w:rPr>
    </w:lvl>
    <w:lvl w:ilvl="6" w:tplc="6DA03286">
      <w:start w:val="1"/>
      <w:numFmt w:val="decimal"/>
      <w:lvlText w:val="%7."/>
      <w:lvlJc w:val="left"/>
      <w:pPr>
        <w:ind w:left="5037" w:hanging="360"/>
      </w:pPr>
      <w:rPr>
        <w:rFonts w:cs="Times New Roman"/>
      </w:rPr>
    </w:lvl>
    <w:lvl w:ilvl="7" w:tplc="BA2A96B4">
      <w:start w:val="1"/>
      <w:numFmt w:val="lowerLetter"/>
      <w:lvlText w:val="%8."/>
      <w:lvlJc w:val="left"/>
      <w:pPr>
        <w:ind w:left="5757" w:hanging="360"/>
      </w:pPr>
      <w:rPr>
        <w:rFonts w:cs="Times New Roman"/>
      </w:rPr>
    </w:lvl>
    <w:lvl w:ilvl="8" w:tplc="EE3864B6">
      <w:start w:val="1"/>
      <w:numFmt w:val="lowerRoman"/>
      <w:lvlText w:val="%9."/>
      <w:lvlJc w:val="right"/>
      <w:pPr>
        <w:ind w:left="6477" w:hanging="180"/>
      </w:pPr>
      <w:rPr>
        <w:rFonts w:cs="Times New Roman"/>
      </w:rPr>
    </w:lvl>
  </w:abstractNum>
  <w:abstractNum w:abstractNumId="3" w15:restartNumberingAfterBreak="0">
    <w:nsid w:val="623E37AC"/>
    <w:multiLevelType w:val="hybridMultilevel"/>
    <w:tmpl w:val="D5F6EA6E"/>
    <w:lvl w:ilvl="0" w:tplc="19B6D934">
      <w:start w:val="1"/>
      <w:numFmt w:val="hebrew1"/>
      <w:lvlText w:val="%1."/>
      <w:lvlJc w:val="left"/>
      <w:pPr>
        <w:ind w:left="717" w:hanging="360"/>
      </w:pPr>
      <w:rPr>
        <w:rFonts w:cs="Times New Roman"/>
      </w:rPr>
    </w:lvl>
    <w:lvl w:ilvl="1" w:tplc="2A346B16">
      <w:start w:val="1"/>
      <w:numFmt w:val="lowerLetter"/>
      <w:lvlText w:val="%2."/>
      <w:lvlJc w:val="left"/>
      <w:pPr>
        <w:ind w:left="1437" w:hanging="360"/>
      </w:pPr>
      <w:rPr>
        <w:rFonts w:cs="Times New Roman"/>
      </w:rPr>
    </w:lvl>
    <w:lvl w:ilvl="2" w:tplc="84342FAE">
      <w:start w:val="1"/>
      <w:numFmt w:val="lowerRoman"/>
      <w:lvlText w:val="%3."/>
      <w:lvlJc w:val="right"/>
      <w:pPr>
        <w:ind w:left="2157" w:hanging="180"/>
      </w:pPr>
      <w:rPr>
        <w:rFonts w:cs="Times New Roman"/>
      </w:rPr>
    </w:lvl>
    <w:lvl w:ilvl="3" w:tplc="AC7244D2">
      <w:start w:val="1"/>
      <w:numFmt w:val="decimal"/>
      <w:lvlText w:val="%4."/>
      <w:lvlJc w:val="left"/>
      <w:pPr>
        <w:ind w:left="2877" w:hanging="360"/>
      </w:pPr>
      <w:rPr>
        <w:rFonts w:cs="Times New Roman"/>
      </w:rPr>
    </w:lvl>
    <w:lvl w:ilvl="4" w:tplc="7FEE4D2A">
      <w:start w:val="1"/>
      <w:numFmt w:val="lowerLetter"/>
      <w:lvlText w:val="%5."/>
      <w:lvlJc w:val="left"/>
      <w:pPr>
        <w:ind w:left="3597" w:hanging="360"/>
      </w:pPr>
      <w:rPr>
        <w:rFonts w:cs="Times New Roman"/>
      </w:rPr>
    </w:lvl>
    <w:lvl w:ilvl="5" w:tplc="BB16E85E">
      <w:start w:val="1"/>
      <w:numFmt w:val="lowerRoman"/>
      <w:lvlText w:val="%6."/>
      <w:lvlJc w:val="right"/>
      <w:pPr>
        <w:ind w:left="4317" w:hanging="180"/>
      </w:pPr>
      <w:rPr>
        <w:rFonts w:cs="Times New Roman"/>
      </w:rPr>
    </w:lvl>
    <w:lvl w:ilvl="6" w:tplc="156654DE">
      <w:start w:val="1"/>
      <w:numFmt w:val="decimal"/>
      <w:lvlText w:val="%7."/>
      <w:lvlJc w:val="left"/>
      <w:pPr>
        <w:ind w:left="5037" w:hanging="360"/>
      </w:pPr>
      <w:rPr>
        <w:rFonts w:cs="Times New Roman"/>
      </w:rPr>
    </w:lvl>
    <w:lvl w:ilvl="7" w:tplc="1B68A884">
      <w:start w:val="1"/>
      <w:numFmt w:val="lowerLetter"/>
      <w:lvlText w:val="%8."/>
      <w:lvlJc w:val="left"/>
      <w:pPr>
        <w:ind w:left="5757" w:hanging="360"/>
      </w:pPr>
      <w:rPr>
        <w:rFonts w:cs="Times New Roman"/>
      </w:rPr>
    </w:lvl>
    <w:lvl w:ilvl="8" w:tplc="779C40BE">
      <w:start w:val="1"/>
      <w:numFmt w:val="lowerRoman"/>
      <w:lvlText w:val="%9."/>
      <w:lvlJc w:val="right"/>
      <w:pPr>
        <w:ind w:left="6477" w:hanging="180"/>
      </w:pPr>
      <w:rPr>
        <w:rFonts w:cs="Times New Roman"/>
      </w:rPr>
    </w:lvl>
  </w:abstractNum>
  <w:num w:numId="1" w16cid:durableId="7313178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34300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19950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31858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yInfo" w:val="This document was extracted from Nevo's site"/>
  </w:docVars>
  <w:rsids>
    <w:rsidRoot w:val="002914D6"/>
    <w:rsid w:val="00011212"/>
    <w:rsid w:val="0014058F"/>
    <w:rsid w:val="00156EE9"/>
    <w:rsid w:val="00166005"/>
    <w:rsid w:val="00170594"/>
    <w:rsid w:val="0019474B"/>
    <w:rsid w:val="00222B56"/>
    <w:rsid w:val="00273D47"/>
    <w:rsid w:val="002856D3"/>
    <w:rsid w:val="002914D6"/>
    <w:rsid w:val="002D4047"/>
    <w:rsid w:val="002F5307"/>
    <w:rsid w:val="00315763"/>
    <w:rsid w:val="00370ECF"/>
    <w:rsid w:val="003A0652"/>
    <w:rsid w:val="003C45D3"/>
    <w:rsid w:val="00445A02"/>
    <w:rsid w:val="0044709D"/>
    <w:rsid w:val="004A28DA"/>
    <w:rsid w:val="004B54CC"/>
    <w:rsid w:val="004F4787"/>
    <w:rsid w:val="00530E94"/>
    <w:rsid w:val="005836A0"/>
    <w:rsid w:val="005B4B00"/>
    <w:rsid w:val="005E66BB"/>
    <w:rsid w:val="005E6795"/>
    <w:rsid w:val="005F5B68"/>
    <w:rsid w:val="006C3554"/>
    <w:rsid w:val="00777407"/>
    <w:rsid w:val="007976AB"/>
    <w:rsid w:val="007F179B"/>
    <w:rsid w:val="00804C4E"/>
    <w:rsid w:val="00822AA5"/>
    <w:rsid w:val="008E28C4"/>
    <w:rsid w:val="00904FA7"/>
    <w:rsid w:val="00921E03"/>
    <w:rsid w:val="009A04C9"/>
    <w:rsid w:val="009D1711"/>
    <w:rsid w:val="009D7F5F"/>
    <w:rsid w:val="00A1767B"/>
    <w:rsid w:val="00A7661B"/>
    <w:rsid w:val="00B234CE"/>
    <w:rsid w:val="00B31305"/>
    <w:rsid w:val="00B64EDA"/>
    <w:rsid w:val="00C1573F"/>
    <w:rsid w:val="00C36DAB"/>
    <w:rsid w:val="00CC29C2"/>
    <w:rsid w:val="00CE7F78"/>
    <w:rsid w:val="00D01768"/>
    <w:rsid w:val="00D4005B"/>
    <w:rsid w:val="00DA714E"/>
    <w:rsid w:val="00DB15DD"/>
    <w:rsid w:val="00E72C9F"/>
    <w:rsid w:val="00E85F4A"/>
    <w:rsid w:val="00E91A50"/>
    <w:rsid w:val="00E96EC9"/>
    <w:rsid w:val="00EC118E"/>
    <w:rsid w:val="00F00930"/>
    <w:rsid w:val="00F0161B"/>
    <w:rsid w:val="00F244FF"/>
    <w:rsid w:val="00F50E07"/>
    <w:rsid w:val="00F600CE"/>
    <w:rsid w:val="00F863E1"/>
    <w:rsid w:val="00FF1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196D1"/>
  <w15:docId w15:val="{6CD22DA5-6165-4E1D-8C0B-F307AAEA1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2" w:locked="1"/>
    <w:lsdException w:name="List 3"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locked/>
    <w:pPr>
      <w:bidi/>
    </w:pPr>
    <w:rPr>
      <w:rFonts w:cs="David"/>
      <w:noProof/>
      <w:sz w:val="24"/>
      <w:szCs w:val="24"/>
      <w:lang w:bidi="he-IL"/>
    </w:rPr>
  </w:style>
  <w:style w:type="paragraph" w:styleId="4">
    <w:name w:val="heading 4"/>
    <w:basedOn w:val="a"/>
    <w:next w:val="a"/>
    <w:qFormat/>
    <w:locked/>
    <w:pPr>
      <w:keepNext/>
      <w:ind w:left="5760" w:firstLine="720"/>
      <w:outlineLvl w:val="3"/>
    </w:pPr>
    <w:rPr>
      <w:rFonts w:cs="Narkisim"/>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ocked/>
    <w:pPr>
      <w:tabs>
        <w:tab w:val="center" w:pos="4153"/>
        <w:tab w:val="right" w:pos="8306"/>
      </w:tabs>
    </w:pPr>
  </w:style>
  <w:style w:type="paragraph" w:styleId="a4">
    <w:name w:val="footer"/>
    <w:basedOn w:val="a"/>
    <w:locked/>
    <w:pPr>
      <w:tabs>
        <w:tab w:val="center" w:pos="4153"/>
        <w:tab w:val="right" w:pos="8306"/>
      </w:tabs>
    </w:pPr>
  </w:style>
  <w:style w:type="paragraph" w:customStyle="1" w:styleId="a5">
    <w:name w:val="סעיפים"/>
    <w:basedOn w:val="a"/>
    <w:pPr>
      <w:tabs>
        <w:tab w:val="left" w:pos="567"/>
        <w:tab w:val="left" w:pos="1134"/>
        <w:tab w:val="left" w:pos="1701"/>
        <w:tab w:val="left" w:pos="2268"/>
        <w:tab w:val="left" w:pos="2835"/>
        <w:tab w:val="left" w:pos="3402"/>
        <w:tab w:val="left" w:pos="3969"/>
      </w:tabs>
      <w:spacing w:line="360" w:lineRule="auto"/>
      <w:jc w:val="both"/>
    </w:pPr>
    <w:rPr>
      <w:noProof w:val="0"/>
    </w:rPr>
  </w:style>
  <w:style w:type="paragraph" w:styleId="a6">
    <w:name w:val="annotation text"/>
    <w:basedOn w:val="a"/>
    <w:semiHidden/>
    <w:locked/>
    <w:rPr>
      <w:rFonts w:cs="Times New Roman"/>
      <w:noProof w:val="0"/>
    </w:rPr>
  </w:style>
  <w:style w:type="character" w:styleId="a7">
    <w:name w:val="annotation reference"/>
    <w:semiHidden/>
    <w:locked/>
    <w:rPr>
      <w:sz w:val="16"/>
    </w:rPr>
  </w:style>
  <w:style w:type="paragraph" w:styleId="a8">
    <w:name w:val="Balloon Text"/>
    <w:basedOn w:val="a"/>
    <w:semiHidden/>
    <w:locked/>
    <w:rPr>
      <w:rFonts w:ascii="Tahoma" w:hAnsi="Tahoma" w:cs="Tahoma"/>
      <w:sz w:val="16"/>
      <w:szCs w:val="16"/>
    </w:rPr>
  </w:style>
  <w:style w:type="table" w:styleId="a9">
    <w:name w:val="Table Grid"/>
    <w:basedOn w:val="a1"/>
    <w:pPr>
      <w:bidi/>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locked/>
    <w:rPr>
      <w:rFonts w:cs="Times New Roman"/>
    </w:rPr>
  </w:style>
  <w:style w:type="character" w:styleId="ab">
    <w:name w:val="page number"/>
    <w:locked/>
    <w:rPr>
      <w:rFonts w:cs="Times New Roman"/>
    </w:rPr>
  </w:style>
  <w:style w:type="character" w:customStyle="1" w:styleId="1">
    <w:name w:val="טקסט מציין מיקום1"/>
    <w:semiHidden/>
    <w:rsid w:val="009A04C9"/>
    <w:rPr>
      <w:color w:val="808080"/>
    </w:rPr>
  </w:style>
  <w:style w:type="table" w:customStyle="1" w:styleId="10">
    <w:name w:val="רשת טבלה בהירה1"/>
    <w:rsid w:val="00DA714E"/>
    <w:rPr>
      <w:lang w:bidi="he-IL"/>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Hyperlink">
    <w:name w:val="Hyperlink"/>
    <w:semiHidden/>
    <w:locked/>
    <w:rsid w:val="00F244FF"/>
    <w:rPr>
      <w:color w:val="0000FF"/>
      <w:u w:val="single"/>
    </w:rPr>
  </w:style>
  <w:style w:type="paragraph" w:customStyle="1" w:styleId="11">
    <w:name w:val="פיסקת רשימה1"/>
    <w:basedOn w:val="a"/>
    <w:qFormat/>
    <w:rsid w:val="00F244FF"/>
    <w:pPr>
      <w:spacing w:after="160" w:line="256" w:lineRule="auto"/>
      <w:ind w:left="720"/>
      <w:contextualSpacing/>
    </w:pPr>
    <w:rPr>
      <w:rFonts w:ascii="Calibri" w:hAnsi="Calibri" w:cs="Arial"/>
      <w:noProof w:val="0"/>
      <w:sz w:val="22"/>
      <w:szCs w:val="22"/>
    </w:rPr>
  </w:style>
  <w:style w:type="character" w:customStyle="1" w:styleId="Ruller4">
    <w:name w:val="Ruller4 תו"/>
    <w:link w:val="Ruller40"/>
    <w:locked/>
    <w:rsid w:val="006C3554"/>
    <w:rPr>
      <w:rFonts w:ascii="Arial TUR" w:hAnsi="Arial TUR"/>
      <w:spacing w:val="10"/>
      <w:sz w:val="28"/>
    </w:rPr>
  </w:style>
  <w:style w:type="paragraph" w:customStyle="1" w:styleId="Ruller40">
    <w:name w:val="Ruller4"/>
    <w:basedOn w:val="a"/>
    <w:link w:val="Ruller4"/>
    <w:rsid w:val="006C3554"/>
    <w:pPr>
      <w:tabs>
        <w:tab w:val="left" w:pos="800"/>
      </w:tabs>
      <w:overflowPunct w:val="0"/>
      <w:autoSpaceDE w:val="0"/>
      <w:autoSpaceDN w:val="0"/>
      <w:adjustRightInd w:val="0"/>
      <w:spacing w:line="360" w:lineRule="auto"/>
      <w:jc w:val="both"/>
    </w:pPr>
    <w:rPr>
      <w:rFonts w:ascii="Arial TUR" w:hAnsi="Arial TUR" w:cs="FrankRuehl"/>
      <w:noProof w:val="0"/>
      <w:spacing w:val="10"/>
      <w:sz w:val="20"/>
      <w:szCs w:val="28"/>
    </w:rPr>
  </w:style>
  <w:style w:type="paragraph" w:customStyle="1" w:styleId="12">
    <w:name w:val="ללא מרווח1"/>
    <w:qFormat/>
    <w:rsid w:val="00E91A50"/>
    <w:pPr>
      <w:bidi/>
    </w:pPr>
    <w:rPr>
      <w:rFonts w:cs="David"/>
      <w:noProof/>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www.nevo.co.il/law/72138" TargetMode="External"/><Relationship Id="rId18" Type="http://schemas.openxmlformats.org/officeDocument/2006/relationships/hyperlink" Target="http://www.nevo.co.il/case/33034956" TargetMode="External"/><Relationship Id="rId26" Type="http://schemas.openxmlformats.org/officeDocument/2006/relationships/hyperlink" Target="http://www.nevo.co.il/case/2883826" TargetMode="External"/><Relationship Id="rId39" Type="http://schemas.openxmlformats.org/officeDocument/2006/relationships/hyperlink" Target="http://www.nevo.co.il/law/72138/5.a.3" TargetMode="External"/><Relationship Id="rId21" Type="http://schemas.openxmlformats.org/officeDocument/2006/relationships/hyperlink" Target="http://www.nevo.co.il/case/7697231" TargetMode="External"/><Relationship Id="rId34" Type="http://schemas.openxmlformats.org/officeDocument/2006/relationships/hyperlink" Target="http://www.nevo.co.il/case/25518925" TargetMode="External"/><Relationship Id="rId42" Type="http://schemas.openxmlformats.org/officeDocument/2006/relationships/hyperlink" Target="http://www.nevo.co.il/case/6172262" TargetMode="External"/><Relationship Id="rId47" Type="http://schemas.openxmlformats.org/officeDocument/2006/relationships/hyperlink" Target="http://www.nevo.co.il/law/72138" TargetMode="External"/><Relationship Id="rId50" Type="http://schemas.openxmlformats.org/officeDocument/2006/relationships/hyperlink" Target="http://www.nevo.co.il/law/72138/5.c" TargetMode="External"/><Relationship Id="rId55" Type="http://schemas.openxmlformats.org/officeDocument/2006/relationships/hyperlink" Target="http://www.nevo.co.il/law/72138" TargetMode="External"/><Relationship Id="rId63" Type="http://schemas.openxmlformats.org/officeDocument/2006/relationships/hyperlink" Target="http://www.nevo.co.il/case/29345340" TargetMode="External"/><Relationship Id="rId68" Type="http://schemas.openxmlformats.org/officeDocument/2006/relationships/hyperlink" Target="http://www.nevo.co.il/case/30479777" TargetMode="External"/><Relationship Id="rId76" Type="http://schemas.openxmlformats.org/officeDocument/2006/relationships/hyperlink" Target="http://www.nevo.co.il/law/157751/155.a" TargetMode="External"/><Relationship Id="rId7" Type="http://schemas.openxmlformats.org/officeDocument/2006/relationships/hyperlink" Target="http://www.nevo.co.il/case/28863639" TargetMode="External"/><Relationship Id="rId71" Type="http://schemas.openxmlformats.org/officeDocument/2006/relationships/hyperlink" Target="http://www.nevo.co.il/law/157751/151.a" TargetMode="External"/><Relationship Id="rId2" Type="http://schemas.openxmlformats.org/officeDocument/2006/relationships/styles" Target="styles.xml"/><Relationship Id="rId16" Type="http://schemas.openxmlformats.org/officeDocument/2006/relationships/hyperlink" Target="http://www.nevo.co.il/case/22112767" TargetMode="External"/><Relationship Id="rId29" Type="http://schemas.openxmlformats.org/officeDocument/2006/relationships/hyperlink" Target="http://www.nevo.co.il/law/72138" TargetMode="External"/><Relationship Id="rId11" Type="http://schemas.openxmlformats.org/officeDocument/2006/relationships/hyperlink" Target="http://www.nevo.co.il/law/72138" TargetMode="External"/><Relationship Id="rId24" Type="http://schemas.openxmlformats.org/officeDocument/2006/relationships/hyperlink" Target="http://www.nevo.co.il/case/17912937" TargetMode="External"/><Relationship Id="rId32" Type="http://schemas.openxmlformats.org/officeDocument/2006/relationships/hyperlink" Target="http://www.nevo.co.il/case/25518925" TargetMode="External"/><Relationship Id="rId37" Type="http://schemas.openxmlformats.org/officeDocument/2006/relationships/hyperlink" Target="http://www.nevo.co.il/case/29149680" TargetMode="External"/><Relationship Id="rId40" Type="http://schemas.openxmlformats.org/officeDocument/2006/relationships/hyperlink" Target="http://www.nevo.co.il/law/72138" TargetMode="External"/><Relationship Id="rId45" Type="http://schemas.openxmlformats.org/officeDocument/2006/relationships/hyperlink" Target="http://www.nevo.co.il/law/72138" TargetMode="External"/><Relationship Id="rId53" Type="http://schemas.openxmlformats.org/officeDocument/2006/relationships/hyperlink" Target="http://www.nevo.co.il/case/20200425" TargetMode="External"/><Relationship Id="rId58" Type="http://schemas.openxmlformats.org/officeDocument/2006/relationships/hyperlink" Target="http://www.nevo.co.il/case/25026602" TargetMode="External"/><Relationship Id="rId66" Type="http://schemas.openxmlformats.org/officeDocument/2006/relationships/hyperlink" Target="http://www.nevo.co.il/law/157751" TargetMode="External"/><Relationship Id="rId74" Type="http://schemas.openxmlformats.org/officeDocument/2006/relationships/hyperlink" Target="http://www.nevo.co.il/law/157751/152" TargetMode="External"/><Relationship Id="rId79"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hyperlink" Target="http://www.nevo.co.il/case/2538422" TargetMode="External"/><Relationship Id="rId82" Type="http://schemas.openxmlformats.org/officeDocument/2006/relationships/fontTable" Target="fontTable.xml"/><Relationship Id="rId10" Type="http://schemas.openxmlformats.org/officeDocument/2006/relationships/hyperlink" Target="http://www.nevo.co.il/law/72138/5.a.3" TargetMode="External"/><Relationship Id="rId19" Type="http://schemas.openxmlformats.org/officeDocument/2006/relationships/hyperlink" Target="http://www.nevo.co.il/case/5057985" TargetMode="External"/><Relationship Id="rId31" Type="http://schemas.openxmlformats.org/officeDocument/2006/relationships/hyperlink" Target="http://www.nevo.co.il/case/28513823" TargetMode="External"/><Relationship Id="rId44" Type="http://schemas.openxmlformats.org/officeDocument/2006/relationships/hyperlink" Target="http://www.nevo.co.il/law/72138/5.a.3" TargetMode="External"/><Relationship Id="rId52" Type="http://schemas.openxmlformats.org/officeDocument/2006/relationships/hyperlink" Target="http://www.nevo.co.il/law/72138" TargetMode="External"/><Relationship Id="rId60" Type="http://schemas.openxmlformats.org/officeDocument/2006/relationships/hyperlink" Target="http://www.nevo.co.il/case/26755617" TargetMode="External"/><Relationship Id="rId65" Type="http://schemas.openxmlformats.org/officeDocument/2006/relationships/hyperlink" Target="http://www.nevo.co.il/law/157751/152" TargetMode="External"/><Relationship Id="rId73" Type="http://schemas.openxmlformats.org/officeDocument/2006/relationships/hyperlink" Target="http://www.nevo.co.il/law/157751" TargetMode="External"/><Relationship Id="rId78" Type="http://schemas.openxmlformats.org/officeDocument/2006/relationships/header" Target="header1.xml"/><Relationship Id="rId8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nevo.co.il/law/72138" TargetMode="External"/><Relationship Id="rId14" Type="http://schemas.openxmlformats.org/officeDocument/2006/relationships/hyperlink" Target="http://www.nevo.co.il/case/29142420" TargetMode="External"/><Relationship Id="rId22" Type="http://schemas.openxmlformats.org/officeDocument/2006/relationships/hyperlink" Target="http://www.nevo.co.il/case/29101896" TargetMode="External"/><Relationship Id="rId27" Type="http://schemas.openxmlformats.org/officeDocument/2006/relationships/hyperlink" Target="http://www.nevo.co.il/case/28860870" TargetMode="External"/><Relationship Id="rId30" Type="http://schemas.openxmlformats.org/officeDocument/2006/relationships/hyperlink" Target="http://www.nevo.co.il/case/17944762" TargetMode="External"/><Relationship Id="rId35" Type="http://schemas.openxmlformats.org/officeDocument/2006/relationships/hyperlink" Target="http://www.nevo.co.il/case/27698487" TargetMode="External"/><Relationship Id="rId43" Type="http://schemas.openxmlformats.org/officeDocument/2006/relationships/hyperlink" Target="http://www.nevo.co.il/case/20872978" TargetMode="External"/><Relationship Id="rId48" Type="http://schemas.openxmlformats.org/officeDocument/2006/relationships/hyperlink" Target="http://www.nevo.co.il/law/72138/5.a" TargetMode="External"/><Relationship Id="rId56" Type="http://schemas.openxmlformats.org/officeDocument/2006/relationships/hyperlink" Target="http://www.nevo.co.il/case/21976242" TargetMode="External"/><Relationship Id="rId64" Type="http://schemas.openxmlformats.org/officeDocument/2006/relationships/hyperlink" Target="http://www.nevo.co.il/case/6792631" TargetMode="External"/><Relationship Id="rId69" Type="http://schemas.openxmlformats.org/officeDocument/2006/relationships/hyperlink" Target="http://www.nevo.co.il/law/157751/152" TargetMode="External"/><Relationship Id="rId77" Type="http://schemas.openxmlformats.org/officeDocument/2006/relationships/hyperlink" Target="http://www.nevo.co.il/case/33309162" TargetMode="External"/><Relationship Id="rId8" Type="http://schemas.openxmlformats.org/officeDocument/2006/relationships/hyperlink" Target="http://www.nevo.co.il/law/72138" TargetMode="External"/><Relationship Id="rId51" Type="http://schemas.openxmlformats.org/officeDocument/2006/relationships/hyperlink" Target="http://www.nevo.co.il/law/72138/5.a.3" TargetMode="External"/><Relationship Id="rId72" Type="http://schemas.openxmlformats.org/officeDocument/2006/relationships/hyperlink" Target="http://www.nevo.co.il/law/157751/153.c" TargetMode="External"/><Relationship Id="rId80"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www.nevo.co.il/case/17931809" TargetMode="External"/><Relationship Id="rId17" Type="http://schemas.openxmlformats.org/officeDocument/2006/relationships/hyperlink" Target="http://www.nevo.co.il/case/30230920" TargetMode="External"/><Relationship Id="rId25" Type="http://schemas.openxmlformats.org/officeDocument/2006/relationships/hyperlink" Target="http://www.nevo.co.il/case/28411392" TargetMode="External"/><Relationship Id="rId33" Type="http://schemas.openxmlformats.org/officeDocument/2006/relationships/hyperlink" Target="http://www.nevo.co.il/case/29816325" TargetMode="External"/><Relationship Id="rId38" Type="http://schemas.openxmlformats.org/officeDocument/2006/relationships/hyperlink" Target="http://www.nevo.co.il/case/28863639" TargetMode="External"/><Relationship Id="rId46" Type="http://schemas.openxmlformats.org/officeDocument/2006/relationships/hyperlink" Target="http://www.nevo.co.il/law/72138/5.a.3" TargetMode="External"/><Relationship Id="rId59" Type="http://schemas.openxmlformats.org/officeDocument/2006/relationships/hyperlink" Target="http://www.nevo.co.il/case/4221301" TargetMode="External"/><Relationship Id="rId67" Type="http://schemas.openxmlformats.org/officeDocument/2006/relationships/hyperlink" Target="http://www.nevo.co.il/case/27136151" TargetMode="External"/><Relationship Id="rId20" Type="http://schemas.openxmlformats.org/officeDocument/2006/relationships/hyperlink" Target="http://www.nevo.co.il/case/17937072" TargetMode="External"/><Relationship Id="rId41" Type="http://schemas.openxmlformats.org/officeDocument/2006/relationships/hyperlink" Target="http://www.nevo.co.il/law/72138" TargetMode="External"/><Relationship Id="rId54" Type="http://schemas.openxmlformats.org/officeDocument/2006/relationships/hyperlink" Target="http://www.nevo.co.il/law/72138/5.a.3" TargetMode="External"/><Relationship Id="rId62" Type="http://schemas.openxmlformats.org/officeDocument/2006/relationships/hyperlink" Target="http://www.nevo.co.il/case/4221301" TargetMode="External"/><Relationship Id="rId70" Type="http://schemas.openxmlformats.org/officeDocument/2006/relationships/hyperlink" Target="http://www.nevo.co.il/case/30552294" TargetMode="External"/><Relationship Id="rId75" Type="http://schemas.openxmlformats.org/officeDocument/2006/relationships/hyperlink" Target="http://www.nevo.co.il/law/157751/151.b"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nevo.co.il/case/29441715" TargetMode="External"/><Relationship Id="rId23" Type="http://schemas.openxmlformats.org/officeDocument/2006/relationships/hyperlink" Target="http://www.nevo.co.il/case/30068669" TargetMode="External"/><Relationship Id="rId28" Type="http://schemas.openxmlformats.org/officeDocument/2006/relationships/hyperlink" Target="http://www.nevo.co.il/law/72138/2.a" TargetMode="External"/><Relationship Id="rId36" Type="http://schemas.openxmlformats.org/officeDocument/2006/relationships/hyperlink" Target="http://www.nevo.co.il/case/6247994" TargetMode="External"/><Relationship Id="rId49" Type="http://schemas.openxmlformats.org/officeDocument/2006/relationships/hyperlink" Target="http://www.nevo.co.il/law/72138" TargetMode="External"/><Relationship Id="rId57" Type="http://schemas.openxmlformats.org/officeDocument/2006/relationships/hyperlink" Target="http://www.nevo.co.il/case/611698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5513</Words>
  <Characters>27568</Characters>
  <Application>Microsoft Office Word</Application>
  <DocSecurity>0</DocSecurity>
  <Lines>229</Lines>
  <Paragraphs>66</Paragraphs>
  <ScaleCrop>false</ScaleCrop>
  <Company/>
  <LinksUpToDate>false</LinksUpToDate>
  <CharactersWithSpaces>33015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orit כהן</cp:lastModifiedBy>
  <cp:revision>2</cp:revision>
  <dcterms:created xsi:type="dcterms:W3CDTF">2025-01-02T05:28:00Z</dcterms:created>
  <dcterms:modified xsi:type="dcterms:W3CDTF">2025-01-02T05:28:00Z</dcterms:modified>
</cp:coreProperties>
</file>