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webSettings.xml" ContentType="application/vnd.openxmlformats-officedocument.wordprocessingml.webSettings+xml"/>
  <Override PartName="/docProps/app.xml" ContentType="application/vnd.openxmlformats-officedocument.extended-properties+xml"/>
  <Override PartName="/word/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58CA" w:rsidRDefault="00FD58CA" w:rsidP="00FD58CA">
      <w:pPr>
        <w:pStyle w:val="a3"/>
        <w:tabs>
          <w:tab w:val="clear" w:pos="8306"/>
        </w:tabs>
        <w:jc w:val="center"/>
      </w:pPr>
    </w:p>
    <w:p w:rsidR="00FD58CA" w:rsidRDefault="00FD58CA" w:rsidP="00FD58CA">
      <w:pPr>
        <w:pStyle w:val="a3"/>
        <w:tabs>
          <w:tab w:val="clear" w:pos="8306"/>
        </w:tabs>
        <w:jc w:val="center"/>
        <w:rPr>
          <w:rtl/>
        </w:rPr>
      </w:pPr>
      <w:r>
        <w:rPr>
          <w:noProof/>
        </w:rPr>
        <w:drawing>
          <wp:inline distT="0" distB="0" distL="0" distR="0" wp14:anchorId="0401D717" wp14:editId="55A531D8">
            <wp:extent cx="516890" cy="572770"/>
            <wp:effectExtent l="0" t="0" r="0" b="0"/>
            <wp:docPr id="2" name="Picture 1" descr="Meno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6890" cy="572770"/>
                    </a:xfrm>
                    <a:prstGeom prst="rect">
                      <a:avLst/>
                    </a:prstGeom>
                    <a:noFill/>
                    <a:ln>
                      <a:noFill/>
                    </a:ln>
                  </pic:spPr>
                </pic:pic>
              </a:graphicData>
            </a:graphic>
          </wp:inline>
        </w:drawing>
      </w:r>
    </w:p>
    <w:tbl>
      <w:tblPr>
        <w:bidiVisual/>
        <w:tblW w:w="0" w:type="auto"/>
        <w:jc w:val="center"/>
        <w:tblLook w:val="0000" w:firstRow="0" w:lastRow="0" w:firstColumn="0" w:lastColumn="0" w:noHBand="0" w:noVBand="0"/>
      </w:tblPr>
      <w:tblGrid>
        <w:gridCol w:w="6060"/>
        <w:gridCol w:w="235"/>
        <w:gridCol w:w="2011"/>
      </w:tblGrid>
      <w:tr w:rsidR="00FD58CA" w:rsidTr="0087363B">
        <w:trPr>
          <w:trHeight w:hRule="exact" w:val="418"/>
          <w:jc w:val="center"/>
        </w:trPr>
        <w:sdt>
          <w:sdtPr>
            <w:rPr>
              <w:rtl/>
            </w:rPr>
            <w:alias w:val="162"/>
            <w:tag w:val="162"/>
            <w:id w:val="1282998781"/>
            <w:text w:multiLine="1"/>
          </w:sdtPr>
          <w:sdtEndPr/>
          <w:sdtContent>
            <w:tc>
              <w:tcPr>
                <w:tcW w:w="8720" w:type="dxa"/>
                <w:gridSpan w:val="3"/>
              </w:tcPr>
              <w:p w:rsidR="00FD58CA" w:rsidRDefault="00FD58CA" w:rsidP="0087363B">
                <w:pPr>
                  <w:pStyle w:val="a3"/>
                  <w:tabs>
                    <w:tab w:val="clear" w:pos="8306"/>
                  </w:tabs>
                  <w:jc w:val="center"/>
                  <w:rPr>
                    <w:rFonts w:ascii="Tahoma" w:hAnsi="Tahoma" w:cs="Tahoma"/>
                    <w:b/>
                    <w:bCs/>
                    <w:color w:val="000080"/>
                    <w:sz w:val="20"/>
                    <w:szCs w:val="20"/>
                    <w:rtl/>
                  </w:rPr>
                </w:pPr>
                <w:r>
                  <w:rPr>
                    <w:rFonts w:ascii="Tahoma" w:hAnsi="Tahoma" w:cs="Tahoma"/>
                    <w:b/>
                    <w:bCs/>
                    <w:color w:val="000080"/>
                    <w:sz w:val="20"/>
                    <w:szCs w:val="20"/>
                    <w:rtl/>
                  </w:rPr>
                  <w:t>בית משפט לנוער בבית משפט השלום בבאר שבע</w:t>
                </w:r>
              </w:p>
            </w:tc>
          </w:sdtContent>
        </w:sdt>
      </w:tr>
      <w:tr w:rsidR="00FD58CA" w:rsidTr="0087363B">
        <w:trPr>
          <w:trHeight w:val="337"/>
          <w:jc w:val="center"/>
        </w:trPr>
        <w:tc>
          <w:tcPr>
            <w:tcW w:w="6396" w:type="dxa"/>
          </w:tcPr>
          <w:p w:rsidR="00FD58CA" w:rsidRDefault="00202FA0" w:rsidP="00202FA0">
            <w:pPr>
              <w:rPr>
                <w:b/>
                <w:bCs/>
                <w:sz w:val="26"/>
                <w:szCs w:val="26"/>
                <w:rtl/>
              </w:rPr>
            </w:pPr>
            <w:sdt>
              <w:sdtPr>
                <w:rPr>
                  <w:rtl/>
                </w:rPr>
                <w:alias w:val="849"/>
                <w:tag w:val="849"/>
                <w:id w:val="-1617746001"/>
                <w:text w:multiLine="1"/>
              </w:sdtPr>
              <w:sdtEndPr/>
              <w:sdtContent>
                <w:r w:rsidR="00FD58CA">
                  <w:rPr>
                    <w:b/>
                    <w:bCs/>
                    <w:sz w:val="26"/>
                    <w:szCs w:val="26"/>
                    <w:rtl/>
                  </w:rPr>
                  <w:t>ת"פ</w:t>
                </w:r>
              </w:sdtContent>
            </w:sdt>
            <w:r w:rsidR="00FD58CA">
              <w:rPr>
                <w:rFonts w:hint="cs"/>
                <w:b/>
                <w:bCs/>
                <w:sz w:val="26"/>
                <w:szCs w:val="26"/>
                <w:rtl/>
              </w:rPr>
              <w:t xml:space="preserve"> </w:t>
            </w:r>
            <w:sdt>
              <w:sdtPr>
                <w:rPr>
                  <w:rtl/>
                </w:rPr>
                <w:alias w:val="158"/>
                <w:tag w:val="158"/>
                <w:id w:val="-1470517263"/>
                <w:text w:multiLine="1"/>
              </w:sdtPr>
              <w:sdtEndPr/>
              <w:sdtContent>
                <w:r>
                  <w:rPr>
                    <w:rFonts w:hint="cs"/>
                    <w:b/>
                    <w:bCs/>
                    <w:sz w:val="26"/>
                    <w:szCs w:val="26"/>
                    <w:rtl/>
                  </w:rPr>
                  <w:t>52903-03-25</w:t>
                </w:r>
              </w:sdtContent>
            </w:sdt>
            <w:r w:rsidR="00FD58CA">
              <w:rPr>
                <w:rFonts w:hint="cs"/>
                <w:b/>
                <w:bCs/>
                <w:sz w:val="26"/>
                <w:szCs w:val="26"/>
                <w:rtl/>
              </w:rPr>
              <w:t xml:space="preserve"> </w:t>
            </w:r>
            <w:sdt>
              <w:sdtPr>
                <w:rPr>
                  <w:rtl/>
                </w:rPr>
                <w:alias w:val="293"/>
                <w:tag w:val="293"/>
                <w:id w:val="60302884"/>
                <w:text w:multiLine="1"/>
              </w:sdtPr>
              <w:sdtEndPr/>
              <w:sdtContent>
                <w:r w:rsidR="00FD58CA">
                  <w:rPr>
                    <w:b/>
                    <w:bCs/>
                    <w:sz w:val="26"/>
                    <w:szCs w:val="26"/>
                    <w:rtl/>
                  </w:rPr>
                  <w:t xml:space="preserve">מדינת ישראל נ' </w:t>
                </w:r>
                <w:r w:rsidR="00FD58CA">
                  <w:rPr>
                    <w:rFonts w:hint="cs"/>
                    <w:b/>
                    <w:bCs/>
                    <w:sz w:val="26"/>
                    <w:szCs w:val="26"/>
                    <w:rtl/>
                  </w:rPr>
                  <w:t>פלוני</w:t>
                </w:r>
                <w:r w:rsidR="00FD58CA">
                  <w:rPr>
                    <w:b/>
                    <w:bCs/>
                    <w:sz w:val="26"/>
                    <w:szCs w:val="26"/>
                    <w:rtl/>
                  </w:rPr>
                  <w:t>(קטין) ואח'</w:t>
                </w:r>
              </w:sdtContent>
            </w:sdt>
          </w:p>
          <w:p w:rsidR="00FD58CA" w:rsidRDefault="00FD58CA" w:rsidP="0087363B">
            <w:pPr>
              <w:rPr>
                <w:b/>
                <w:bCs/>
                <w:sz w:val="26"/>
                <w:szCs w:val="26"/>
                <w:rtl/>
              </w:rPr>
            </w:pPr>
          </w:p>
        </w:tc>
        <w:tc>
          <w:tcPr>
            <w:tcW w:w="236" w:type="dxa"/>
          </w:tcPr>
          <w:p w:rsidR="00FD58CA" w:rsidRDefault="00FD58CA" w:rsidP="0087363B">
            <w:pPr>
              <w:pStyle w:val="a3"/>
              <w:jc w:val="right"/>
              <w:rPr>
                <w:b/>
                <w:bCs/>
                <w:sz w:val="26"/>
                <w:szCs w:val="26"/>
                <w:rtl/>
              </w:rPr>
            </w:pPr>
          </w:p>
        </w:tc>
        <w:sdt>
          <w:sdtPr>
            <w:rPr>
              <w:b/>
              <w:bCs/>
              <w:sz w:val="26"/>
              <w:szCs w:val="26"/>
              <w:rtl/>
            </w:rPr>
            <w:alias w:val="2633"/>
            <w:tag w:val="2633"/>
            <w:id w:val="991297748"/>
            <w:text w:multiLine="1"/>
          </w:sdtPr>
          <w:sdtEndPr/>
          <w:sdtContent>
            <w:tc>
              <w:tcPr>
                <w:tcW w:w="2088" w:type="dxa"/>
              </w:tcPr>
              <w:p w:rsidR="00FD58CA" w:rsidRDefault="00FD58CA" w:rsidP="0087363B">
                <w:pPr>
                  <w:pStyle w:val="a3"/>
                  <w:tabs>
                    <w:tab w:val="clear" w:pos="4153"/>
                  </w:tabs>
                  <w:jc w:val="right"/>
                  <w:rPr>
                    <w:b/>
                    <w:bCs/>
                    <w:sz w:val="26"/>
                    <w:szCs w:val="26"/>
                    <w:rtl/>
                  </w:rPr>
                </w:pPr>
                <w:r>
                  <w:rPr>
                    <w:b/>
                    <w:bCs/>
                    <w:sz w:val="26"/>
                    <w:szCs w:val="26"/>
                    <w:rtl/>
                  </w:rPr>
                  <w:t>09 פברואר 2026</w:t>
                </w:r>
              </w:p>
            </w:tc>
          </w:sdtContent>
        </w:sdt>
      </w:tr>
    </w:tbl>
    <w:tbl>
      <w:tblPr>
        <w:tblStyle w:val="a5"/>
        <w:bidiVisual/>
        <w:tblW w:w="8802" w:type="dxa"/>
        <w:tblInd w:w="-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8"/>
        <w:gridCol w:w="2852"/>
        <w:gridCol w:w="5866"/>
        <w:gridCol w:w="56"/>
      </w:tblGrid>
      <w:tr w:rsidR="00FD58CA" w:rsidTr="0087363B">
        <w:trPr>
          <w:gridBefore w:val="1"/>
          <w:gridAfter w:val="1"/>
          <w:wBefore w:w="28" w:type="dxa"/>
          <w:wAfter w:w="56" w:type="dxa"/>
        </w:trPr>
        <w:tc>
          <w:tcPr>
            <w:tcW w:w="8718" w:type="dxa"/>
            <w:gridSpan w:val="2"/>
          </w:tcPr>
          <w:p w:rsidR="00FD58CA" w:rsidRPr="00163279" w:rsidRDefault="00FD58CA" w:rsidP="0087363B">
            <w:pPr>
              <w:jc w:val="left"/>
              <w:rPr>
                <w:b/>
                <w:bCs/>
                <w:sz w:val="26"/>
                <w:szCs w:val="26"/>
                <w:rtl/>
              </w:rPr>
            </w:pPr>
            <w:r>
              <w:rPr>
                <w:rFonts w:hint="cs"/>
                <w:b/>
                <w:bCs/>
                <w:sz w:val="26"/>
                <w:szCs w:val="26"/>
                <w:rtl/>
              </w:rPr>
              <w:t>לפני כבוד</w:t>
            </w:r>
            <w:r w:rsidRPr="00F91F7D">
              <w:rPr>
                <w:rFonts w:hint="cs"/>
                <w:b/>
                <w:bCs/>
                <w:sz w:val="26"/>
                <w:szCs w:val="26"/>
                <w:rtl/>
              </w:rPr>
              <w:t xml:space="preserve"> ה</w:t>
            </w:r>
            <w:r>
              <w:rPr>
                <w:b/>
                <w:bCs/>
                <w:sz w:val="26"/>
                <w:szCs w:val="26"/>
                <w:rtl/>
              </w:rPr>
              <w:t>שופטת מירב הרשקוביץ יצחקי</w:t>
            </w:r>
            <w:r w:rsidRPr="0000736A">
              <w:rPr>
                <w:rStyle w:val="TimesNewRomanTimesNewRoman"/>
                <w:rtl/>
              </w:rPr>
              <w:t xml:space="preserve"> </w:t>
            </w:r>
          </w:p>
        </w:tc>
      </w:tr>
      <w:tr w:rsidR="00FD58CA" w:rsidTr="0087363B">
        <w:trPr>
          <w:cantSplit/>
          <w:trHeight w:val="724"/>
        </w:trPr>
        <w:tc>
          <w:tcPr>
            <w:tcW w:w="2880" w:type="dxa"/>
            <w:gridSpan w:val="2"/>
          </w:tcPr>
          <w:p w:rsidR="00FD58CA" w:rsidRDefault="00FD58CA" w:rsidP="0087363B">
            <w:pPr>
              <w:ind w:left="26"/>
              <w:jc w:val="left"/>
              <w:rPr>
                <w:b/>
                <w:bCs/>
                <w:sz w:val="26"/>
                <w:szCs w:val="26"/>
                <w:rtl/>
              </w:rPr>
            </w:pPr>
          </w:p>
          <w:p w:rsidR="00FD58CA" w:rsidRDefault="00FD58CA" w:rsidP="0087363B">
            <w:pPr>
              <w:ind w:left="26"/>
              <w:jc w:val="left"/>
              <w:rPr>
                <w:b/>
                <w:bCs/>
                <w:sz w:val="26"/>
                <w:szCs w:val="26"/>
                <w:rtl/>
              </w:rPr>
            </w:pPr>
            <w:r>
              <w:rPr>
                <w:rFonts w:hint="cs"/>
                <w:b/>
                <w:bCs/>
                <w:sz w:val="26"/>
                <w:szCs w:val="26"/>
                <w:rtl/>
              </w:rPr>
              <w:t>ה</w:t>
            </w:r>
            <w:r>
              <w:rPr>
                <w:b/>
                <w:bCs/>
                <w:sz w:val="26"/>
                <w:szCs w:val="26"/>
                <w:rtl/>
              </w:rPr>
              <w:t>מאשימה</w:t>
            </w:r>
          </w:p>
        </w:tc>
        <w:tc>
          <w:tcPr>
            <w:tcW w:w="5922" w:type="dxa"/>
            <w:gridSpan w:val="2"/>
          </w:tcPr>
          <w:p w:rsidR="00FD58CA" w:rsidRDefault="00FD58CA" w:rsidP="0087363B">
            <w:pPr>
              <w:jc w:val="left"/>
              <w:rPr>
                <w:rtl/>
              </w:rPr>
            </w:pPr>
          </w:p>
          <w:p w:rsidR="00FD58CA" w:rsidRDefault="00FD58CA" w:rsidP="0087363B">
            <w:pPr>
              <w:jc w:val="left"/>
              <w:rPr>
                <w:b/>
                <w:bCs/>
                <w:sz w:val="26"/>
                <w:szCs w:val="26"/>
                <w:rtl/>
              </w:rPr>
            </w:pPr>
            <w:r>
              <w:rPr>
                <w:b/>
                <w:bCs/>
                <w:sz w:val="26"/>
                <w:szCs w:val="26"/>
                <w:rtl/>
              </w:rPr>
              <w:t>מדינת ישראל</w:t>
            </w:r>
            <w:r>
              <w:rPr>
                <w:rFonts w:hint="cs"/>
                <w:b/>
                <w:bCs/>
                <w:sz w:val="26"/>
                <w:szCs w:val="26"/>
                <w:rtl/>
              </w:rPr>
              <w:t xml:space="preserve"> </w:t>
            </w:r>
            <w:r>
              <w:rPr>
                <w:b/>
                <w:bCs/>
                <w:sz w:val="26"/>
                <w:szCs w:val="26"/>
                <w:rtl/>
              </w:rPr>
              <w:t>–</w:t>
            </w:r>
            <w:r>
              <w:rPr>
                <w:rFonts w:hint="cs"/>
                <w:b/>
                <w:bCs/>
                <w:sz w:val="26"/>
                <w:szCs w:val="26"/>
                <w:rtl/>
              </w:rPr>
              <w:t xml:space="preserve"> </w:t>
            </w:r>
            <w:proofErr w:type="spellStart"/>
            <w:r>
              <w:rPr>
                <w:rFonts w:hint="cs"/>
                <w:b/>
                <w:bCs/>
                <w:sz w:val="26"/>
                <w:szCs w:val="26"/>
                <w:rtl/>
              </w:rPr>
              <w:t>פמ"ד</w:t>
            </w:r>
            <w:proofErr w:type="spellEnd"/>
            <w:r>
              <w:rPr>
                <w:rFonts w:hint="cs"/>
                <w:b/>
                <w:bCs/>
                <w:sz w:val="26"/>
                <w:szCs w:val="26"/>
                <w:rtl/>
              </w:rPr>
              <w:t xml:space="preserve"> </w:t>
            </w:r>
            <w:r w:rsidRPr="0089339C">
              <w:rPr>
                <w:b/>
                <w:bCs/>
                <w:sz w:val="26"/>
                <w:szCs w:val="26"/>
                <w:rtl/>
              </w:rPr>
              <w:t xml:space="preserve"> </w:t>
            </w:r>
          </w:p>
          <w:p w:rsidR="00FD58CA" w:rsidRDefault="00FD58CA" w:rsidP="0087363B">
            <w:pPr>
              <w:jc w:val="left"/>
              <w:rPr>
                <w:b/>
                <w:bCs/>
                <w:sz w:val="26"/>
                <w:szCs w:val="26"/>
                <w:rtl/>
              </w:rPr>
            </w:pPr>
            <w:r>
              <w:rPr>
                <w:rFonts w:hint="cs"/>
                <w:b/>
                <w:bCs/>
                <w:sz w:val="26"/>
                <w:szCs w:val="26"/>
                <w:rtl/>
              </w:rPr>
              <w:t xml:space="preserve">ע"י ב"כ מתמחה ליהי </w:t>
            </w:r>
            <w:proofErr w:type="spellStart"/>
            <w:r>
              <w:rPr>
                <w:rFonts w:hint="cs"/>
                <w:b/>
                <w:bCs/>
                <w:sz w:val="26"/>
                <w:szCs w:val="26"/>
                <w:rtl/>
              </w:rPr>
              <w:t>רוכמן</w:t>
            </w:r>
            <w:proofErr w:type="spellEnd"/>
            <w:r>
              <w:rPr>
                <w:rFonts w:hint="cs"/>
                <w:b/>
                <w:bCs/>
                <w:sz w:val="26"/>
                <w:szCs w:val="26"/>
                <w:rtl/>
              </w:rPr>
              <w:t xml:space="preserve"> </w:t>
            </w:r>
          </w:p>
        </w:tc>
      </w:tr>
      <w:tr w:rsidR="00FD58CA" w:rsidTr="0087363B">
        <w:tc>
          <w:tcPr>
            <w:tcW w:w="8802" w:type="dxa"/>
            <w:gridSpan w:val="4"/>
            <w:vAlign w:val="center"/>
          </w:tcPr>
          <w:p w:rsidR="00FD58CA" w:rsidRDefault="00FD58CA" w:rsidP="0087363B">
            <w:pPr>
              <w:jc w:val="center"/>
              <w:rPr>
                <w:rFonts w:ascii="Arial" w:hAnsi="Arial"/>
                <w:b/>
                <w:bCs/>
                <w:sz w:val="26"/>
                <w:szCs w:val="26"/>
                <w:rtl/>
              </w:rPr>
            </w:pPr>
          </w:p>
          <w:p w:rsidR="00FD58CA" w:rsidRDefault="00FD58CA" w:rsidP="0087363B">
            <w:pPr>
              <w:jc w:val="center"/>
              <w:rPr>
                <w:rFonts w:ascii="Arial" w:hAnsi="Arial"/>
                <w:b/>
                <w:bCs/>
                <w:sz w:val="26"/>
                <w:szCs w:val="26"/>
                <w:rtl/>
              </w:rPr>
            </w:pPr>
            <w:r>
              <w:rPr>
                <w:rFonts w:ascii="Arial" w:hAnsi="Arial"/>
                <w:b/>
                <w:bCs/>
                <w:sz w:val="26"/>
                <w:szCs w:val="26"/>
                <w:rtl/>
              </w:rPr>
              <w:t>נגד</w:t>
            </w:r>
          </w:p>
          <w:p w:rsidR="00FD58CA" w:rsidRDefault="00FD58CA" w:rsidP="0087363B">
            <w:pPr>
              <w:jc w:val="left"/>
              <w:rPr>
                <w:rFonts w:ascii="Arial" w:hAnsi="Arial"/>
                <w:b/>
                <w:bCs/>
                <w:sz w:val="26"/>
                <w:szCs w:val="26"/>
              </w:rPr>
            </w:pPr>
          </w:p>
        </w:tc>
      </w:tr>
      <w:tr w:rsidR="00FD58CA" w:rsidTr="0087363B">
        <w:tc>
          <w:tcPr>
            <w:tcW w:w="2880" w:type="dxa"/>
            <w:gridSpan w:val="2"/>
          </w:tcPr>
          <w:p w:rsidR="00FD58CA" w:rsidRDefault="00FD58CA" w:rsidP="0087363B">
            <w:pPr>
              <w:ind w:left="26"/>
              <w:jc w:val="left"/>
              <w:rPr>
                <w:b/>
                <w:bCs/>
                <w:sz w:val="26"/>
                <w:szCs w:val="26"/>
                <w:rtl/>
              </w:rPr>
            </w:pPr>
            <w:r>
              <w:rPr>
                <w:rFonts w:hint="cs"/>
                <w:b/>
                <w:bCs/>
                <w:sz w:val="26"/>
                <w:szCs w:val="26"/>
                <w:rtl/>
              </w:rPr>
              <w:t>ה</w:t>
            </w:r>
            <w:r>
              <w:rPr>
                <w:b/>
                <w:bCs/>
                <w:sz w:val="26"/>
                <w:szCs w:val="26"/>
                <w:rtl/>
              </w:rPr>
              <w:t>נאשמים</w:t>
            </w:r>
          </w:p>
        </w:tc>
        <w:tc>
          <w:tcPr>
            <w:tcW w:w="5922" w:type="dxa"/>
            <w:gridSpan w:val="2"/>
          </w:tcPr>
          <w:p w:rsidR="00FD58CA" w:rsidRDefault="00FD58CA" w:rsidP="00FD58CA">
            <w:pPr>
              <w:jc w:val="left"/>
              <w:rPr>
                <w:b/>
                <w:bCs/>
                <w:sz w:val="26"/>
                <w:szCs w:val="26"/>
                <w:rtl/>
              </w:rPr>
            </w:pPr>
            <w:r>
              <w:rPr>
                <w:b/>
                <w:bCs/>
                <w:sz w:val="26"/>
                <w:szCs w:val="26"/>
              </w:rPr>
              <w:t>.1</w:t>
            </w:r>
            <w:r>
              <w:rPr>
                <w:rFonts w:hint="cs"/>
                <w:rtl/>
              </w:rPr>
              <w:t xml:space="preserve"> </w:t>
            </w:r>
            <w:r>
              <w:rPr>
                <w:rFonts w:hint="cs"/>
                <w:b/>
                <w:bCs/>
                <w:sz w:val="26"/>
                <w:szCs w:val="26"/>
                <w:rtl/>
              </w:rPr>
              <w:t>ע.א</w:t>
            </w:r>
            <w:r>
              <w:rPr>
                <w:b/>
                <w:bCs/>
                <w:sz w:val="26"/>
                <w:szCs w:val="26"/>
                <w:rtl/>
              </w:rPr>
              <w:t xml:space="preserve"> (קטין)</w:t>
            </w:r>
            <w:r>
              <w:rPr>
                <w:rFonts w:hint="cs"/>
                <w:rtl/>
              </w:rPr>
              <w:t xml:space="preserve"> </w:t>
            </w:r>
            <w:r>
              <w:rPr>
                <w:rFonts w:hint="eastAsia"/>
                <w:b/>
                <w:bCs/>
                <w:sz w:val="26"/>
                <w:szCs w:val="26"/>
                <w:rtl/>
              </w:rPr>
              <w:t>ת"ז</w:t>
            </w:r>
            <w:r>
              <w:rPr>
                <w:b/>
                <w:bCs/>
                <w:sz w:val="26"/>
                <w:szCs w:val="26"/>
                <w:rtl/>
              </w:rPr>
              <w:t xml:space="preserve"> </w:t>
            </w:r>
            <w:r>
              <w:rPr>
                <w:rFonts w:hint="cs"/>
                <w:b/>
                <w:bCs/>
                <w:sz w:val="26"/>
                <w:szCs w:val="26"/>
                <w:rtl/>
              </w:rPr>
              <w:t xml:space="preserve"> </w:t>
            </w:r>
            <w:r>
              <w:rPr>
                <w:rFonts w:hint="cs"/>
                <w:b/>
                <w:bCs/>
                <w:sz w:val="26"/>
                <w:szCs w:val="26"/>
              </w:rPr>
              <w:t>XXXXXXX</w:t>
            </w:r>
            <w:r>
              <w:rPr>
                <w:b/>
                <w:bCs/>
                <w:sz w:val="26"/>
                <w:szCs w:val="26"/>
                <w:rtl/>
              </w:rPr>
              <w:t xml:space="preserve"> –</w:t>
            </w:r>
            <w:r>
              <w:rPr>
                <w:rFonts w:hint="cs"/>
                <w:b/>
                <w:bCs/>
                <w:sz w:val="26"/>
                <w:szCs w:val="26"/>
                <w:rtl/>
              </w:rPr>
              <w:t xml:space="preserve"> נדון </w:t>
            </w:r>
          </w:p>
          <w:p w:rsidR="00FD58CA" w:rsidRDefault="00FD58CA" w:rsidP="00FD58CA">
            <w:pPr>
              <w:jc w:val="left"/>
              <w:rPr>
                <w:b/>
                <w:bCs/>
                <w:sz w:val="26"/>
                <w:szCs w:val="26"/>
                <w:rtl/>
              </w:rPr>
            </w:pPr>
            <w:r>
              <w:rPr>
                <w:b/>
                <w:bCs/>
                <w:sz w:val="26"/>
                <w:szCs w:val="26"/>
              </w:rPr>
              <w:t>.2</w:t>
            </w:r>
            <w:r>
              <w:rPr>
                <w:rFonts w:hint="cs"/>
                <w:rtl/>
              </w:rPr>
              <w:t xml:space="preserve"> </w:t>
            </w:r>
            <w:r>
              <w:rPr>
                <w:rFonts w:hint="cs"/>
                <w:b/>
                <w:bCs/>
                <w:sz w:val="26"/>
                <w:szCs w:val="26"/>
                <w:rtl/>
              </w:rPr>
              <w:t>פלוני</w:t>
            </w:r>
            <w:r>
              <w:rPr>
                <w:b/>
                <w:bCs/>
                <w:sz w:val="26"/>
                <w:szCs w:val="26"/>
                <w:rtl/>
              </w:rPr>
              <w:t xml:space="preserve"> (קטין)</w:t>
            </w:r>
            <w:r>
              <w:rPr>
                <w:rFonts w:hint="cs"/>
                <w:rtl/>
              </w:rPr>
              <w:t xml:space="preserve"> </w:t>
            </w:r>
            <w:r>
              <w:rPr>
                <w:rFonts w:hint="eastAsia"/>
                <w:b/>
                <w:bCs/>
                <w:sz w:val="26"/>
                <w:szCs w:val="26"/>
                <w:rtl/>
              </w:rPr>
              <w:t>ת"ז</w:t>
            </w:r>
            <w:r>
              <w:rPr>
                <w:b/>
                <w:bCs/>
                <w:sz w:val="26"/>
                <w:szCs w:val="26"/>
                <w:rtl/>
              </w:rPr>
              <w:t xml:space="preserve"> </w:t>
            </w:r>
            <w:r>
              <w:rPr>
                <w:rFonts w:hint="cs"/>
                <w:b/>
                <w:bCs/>
                <w:sz w:val="26"/>
                <w:szCs w:val="26"/>
                <w:rtl/>
              </w:rPr>
              <w:t xml:space="preserve"> </w:t>
            </w:r>
            <w:r>
              <w:rPr>
                <w:rFonts w:hint="cs"/>
                <w:b/>
                <w:bCs/>
                <w:sz w:val="26"/>
                <w:szCs w:val="26"/>
              </w:rPr>
              <w:t>XXXXXX</w:t>
            </w:r>
            <w:r>
              <w:rPr>
                <w:b/>
                <w:bCs/>
                <w:sz w:val="26"/>
                <w:szCs w:val="26"/>
                <w:rtl/>
              </w:rPr>
              <w:t xml:space="preserve"> –</w:t>
            </w:r>
            <w:r>
              <w:rPr>
                <w:rFonts w:hint="cs"/>
                <w:b/>
                <w:bCs/>
                <w:sz w:val="26"/>
                <w:szCs w:val="26"/>
                <w:rtl/>
              </w:rPr>
              <w:t xml:space="preserve"> בעצמו </w:t>
            </w:r>
          </w:p>
          <w:p w:rsidR="00FD58CA" w:rsidRDefault="00FD58CA" w:rsidP="0087363B">
            <w:pPr>
              <w:jc w:val="left"/>
              <w:rPr>
                <w:b/>
                <w:bCs/>
                <w:sz w:val="26"/>
                <w:szCs w:val="26"/>
                <w:rtl/>
              </w:rPr>
            </w:pPr>
            <w:r>
              <w:rPr>
                <w:rFonts w:hint="cs"/>
                <w:b/>
                <w:bCs/>
                <w:sz w:val="26"/>
                <w:szCs w:val="26"/>
                <w:rtl/>
              </w:rPr>
              <w:t xml:space="preserve">ע"י ב"כ עו"ד פאולה ברוש </w:t>
            </w:r>
          </w:p>
        </w:tc>
      </w:tr>
    </w:tbl>
    <w:p w:rsidR="00FD58CA" w:rsidRDefault="00FD58CA" w:rsidP="00FD58CA">
      <w:pPr>
        <w:spacing w:line="360" w:lineRule="auto"/>
        <w:jc w:val="both"/>
        <w:rPr>
          <w:rtl/>
        </w:rPr>
      </w:pPr>
    </w:p>
    <w:p w:rsidR="00FD58CA" w:rsidRDefault="00FD58CA" w:rsidP="00FD58CA">
      <w:pPr>
        <w:jc w:val="center"/>
        <w:rPr>
          <w:rFonts w:ascii="Arial" w:hAnsi="Arial"/>
          <w:b/>
          <w:bCs/>
          <w:sz w:val="28"/>
          <w:szCs w:val="28"/>
          <w:u w:val="single"/>
          <w:rtl/>
        </w:rPr>
      </w:pPr>
      <w:r>
        <w:rPr>
          <w:rFonts w:ascii="Arial" w:hAnsi="Arial" w:hint="cs"/>
          <w:b/>
          <w:bCs/>
          <w:sz w:val="28"/>
          <w:szCs w:val="28"/>
          <w:u w:val="single"/>
          <w:rtl/>
        </w:rPr>
        <w:t>גזר דין (נאשם 2)</w:t>
      </w:r>
    </w:p>
    <w:p w:rsidR="00FD58CA" w:rsidRDefault="00FD58CA" w:rsidP="00FD58CA">
      <w:pPr>
        <w:jc w:val="both"/>
        <w:rPr>
          <w:rFonts w:ascii="Arial" w:hAnsi="Arial"/>
        </w:rPr>
      </w:pPr>
    </w:p>
    <w:p w:rsidR="00FD58CA" w:rsidRDefault="00FD58CA" w:rsidP="00FD58CA">
      <w:pPr>
        <w:suppressLineNumbers/>
        <w:spacing w:line="360" w:lineRule="auto"/>
        <w:jc w:val="both"/>
        <w:rPr>
          <w:rtl/>
        </w:rPr>
      </w:pPr>
      <w:r>
        <w:rPr>
          <w:rtl/>
        </w:rPr>
        <w:t xml:space="preserve">הנאשם, </w:t>
      </w:r>
      <w:r>
        <w:rPr>
          <w:rFonts w:hint="cs"/>
          <w:rtl/>
        </w:rPr>
        <w:t>א.א.</w:t>
      </w:r>
      <w:r>
        <w:rPr>
          <w:rtl/>
        </w:rPr>
        <w:t xml:space="preserve"> (להלן: "הנאשם"), יליד</w:t>
      </w:r>
      <w:r>
        <w:rPr>
          <w:rFonts w:hint="cs"/>
          <w:rtl/>
        </w:rPr>
        <w:t xml:space="preserve"> דצמבר</w:t>
      </w:r>
      <w:r>
        <w:rPr>
          <w:rtl/>
        </w:rPr>
        <w:t xml:space="preserve"> 2008, כבן 17, נותן את הדין לאחר שהודה בעובדות כתב האישום המתוקן, והורשע על יסוד הודאתו בעבירת איומים, בניגוד לסעיף 192 לחוק העונשין, התשל"ז-1977 (להלן: "</w:t>
      </w:r>
      <w:r w:rsidRPr="00FD58CA">
        <w:rPr>
          <w:b/>
          <w:bCs/>
          <w:rtl/>
        </w:rPr>
        <w:t>החוק</w:t>
      </w:r>
      <w:r>
        <w:rPr>
          <w:rtl/>
        </w:rPr>
        <w:t>")</w:t>
      </w:r>
      <w:r>
        <w:t>.</w:t>
      </w:r>
    </w:p>
    <w:p w:rsidR="00FD58CA" w:rsidRDefault="00FD58CA" w:rsidP="00FD58CA">
      <w:pPr>
        <w:suppressLineNumbers/>
        <w:spacing w:line="360" w:lineRule="auto"/>
        <w:jc w:val="both"/>
        <w:rPr>
          <w:rtl/>
        </w:rPr>
      </w:pPr>
    </w:p>
    <w:p w:rsidR="00FD58CA" w:rsidRDefault="00FD58CA" w:rsidP="00FD58CA">
      <w:pPr>
        <w:suppressLineNumbers/>
        <w:spacing w:line="360" w:lineRule="auto"/>
        <w:jc w:val="both"/>
      </w:pPr>
      <w:r>
        <w:rPr>
          <w:rtl/>
        </w:rPr>
        <w:t>על פי עובדות כתב האישום המתוקן, בין הנאשם ואחיו לבין הקטין א.ע., יליד 24.12.2008 (להלן: "המתלונן"), קיימת היכרות מוקדמת, בהיותם שכנים. ביום 11.03.25, סמוך לשעה 21:00, קבע הנאשם להיפגש עם המתלונן בסמוך לבית משפחתו של הנאשם, בבאר-שבע (להלן: "מקום המפגש")</w:t>
      </w:r>
      <w:r>
        <w:t>.</w:t>
      </w:r>
    </w:p>
    <w:p w:rsidR="00FD58CA" w:rsidRDefault="00FD58CA" w:rsidP="00FD58CA">
      <w:pPr>
        <w:suppressLineNumbers/>
        <w:spacing w:line="360" w:lineRule="auto"/>
        <w:jc w:val="both"/>
        <w:rPr>
          <w:rtl/>
        </w:rPr>
      </w:pPr>
      <w:r>
        <w:rPr>
          <w:rtl/>
        </w:rPr>
        <w:t xml:space="preserve">הנאשם ואחיו יצאו מביתם והגיעו למקום המפגש, כאשר אחיו של הנאשם נושא על גופו סכין שלא למטרה כשרה, והנאשם מחזיק בידו מקל עץ. המתלונן הגיע למקום המפגש ברכב, יחד עם חבריו ע.א. </w:t>
      </w:r>
      <w:proofErr w:type="spellStart"/>
      <w:r>
        <w:rPr>
          <w:rtl/>
        </w:rPr>
        <w:t>ור.ו</w:t>
      </w:r>
      <w:proofErr w:type="spellEnd"/>
      <w:r>
        <w:rPr>
          <w:rtl/>
        </w:rPr>
        <w:t>. אחיו של הנאשם פנה אל המתלונן וביקש ממנו לרדת מהרכב על מנת לשוחח עמו, והמתלונן נענה לבקשה</w:t>
      </w:r>
      <w:r>
        <w:t>.</w:t>
      </w:r>
      <w:r>
        <w:rPr>
          <w:rFonts w:hint="cs"/>
          <w:rtl/>
        </w:rPr>
        <w:t xml:space="preserve"> </w:t>
      </w:r>
    </w:p>
    <w:p w:rsidR="00FD58CA" w:rsidRDefault="00FD58CA" w:rsidP="00FD58CA">
      <w:pPr>
        <w:suppressLineNumbers/>
        <w:spacing w:line="360" w:lineRule="auto"/>
        <w:jc w:val="both"/>
        <w:rPr>
          <w:rtl/>
        </w:rPr>
      </w:pPr>
    </w:p>
    <w:p w:rsidR="00FD58CA" w:rsidRDefault="00FD58CA" w:rsidP="00FD58CA">
      <w:pPr>
        <w:suppressLineNumbers/>
        <w:spacing w:line="360" w:lineRule="auto"/>
        <w:jc w:val="both"/>
      </w:pPr>
      <w:r>
        <w:rPr>
          <w:rtl/>
        </w:rPr>
        <w:t>במהלך השיחה ביקש אחיו של הנאשם מהמתלונן ליצור קשר טלפוני עם קטין אחר ולבקש ממנו להגיע למקום. המתלונן סירב, והבהיר כי אינו מעוניין להתערב ואינו מוכן לבצע את הבקשה. או-אז, בנוכחות הנאשם, אשר החזיק מקל עץ, איים אחיו של הנאשם על המתלונן בפגיעה בגופו, בכוונה להפחידו, בכך שאמר לו כי ידקור אותו אם לא יתקשר. משסירב המתלונן, חזר אחיו של הנאשם על האיום</w:t>
      </w:r>
      <w:r>
        <w:t>.</w:t>
      </w:r>
      <w:r>
        <w:rPr>
          <w:rFonts w:hint="cs"/>
          <w:rtl/>
        </w:rPr>
        <w:t xml:space="preserve"> </w:t>
      </w:r>
    </w:p>
    <w:p w:rsidR="00FD58CA" w:rsidRDefault="00FD58CA" w:rsidP="00FD58CA">
      <w:pPr>
        <w:suppressLineNumbers/>
        <w:spacing w:line="360" w:lineRule="auto"/>
        <w:jc w:val="both"/>
      </w:pPr>
      <w:r>
        <w:rPr>
          <w:rtl/>
        </w:rPr>
        <w:t xml:space="preserve">בשלב זה שלף אחיו של הנאשם את הסכין ודקר את המתלונן בירכו הימנית. הנאשם אמר לאחיו "די, תפסיק", או מילים דומות לכך. בהמשך ירד ע.א. מהרכב וביקש מהנאשם ומאחיו להפסיק את המעשים, והנאשם צעק לעברו "אל תתערב, סע", או מילים דומות לאלה. ע.א. </w:t>
      </w:r>
      <w:proofErr w:type="spellStart"/>
      <w:r>
        <w:rPr>
          <w:rtl/>
        </w:rPr>
        <w:t>ור.ו</w:t>
      </w:r>
      <w:proofErr w:type="spellEnd"/>
      <w:r>
        <w:rPr>
          <w:rtl/>
        </w:rPr>
        <w:t>. הסיעו את המתלונן לביתו, ומשם פונה על ידי הוריו לקבלת טיפול רפואי בבית החולים</w:t>
      </w:r>
      <w:r>
        <w:t>.</w:t>
      </w:r>
    </w:p>
    <w:p w:rsidR="00FD58CA" w:rsidRDefault="00FD58CA" w:rsidP="00FD58CA">
      <w:pPr>
        <w:suppressLineNumbers/>
        <w:spacing w:line="360" w:lineRule="auto"/>
        <w:jc w:val="both"/>
      </w:pPr>
      <w:r>
        <w:rPr>
          <w:rtl/>
        </w:rPr>
        <w:t>כתוצאה מן המעשים נגרם למתלונן חתך באורך של כ-3 ס"מ, המגיע לעומק השריר, אשר נסגר באמצעות סיכות</w:t>
      </w:r>
      <w:r>
        <w:t>.</w:t>
      </w:r>
    </w:p>
    <w:p w:rsidR="00FD58CA" w:rsidRDefault="00FD58CA" w:rsidP="00FD58CA">
      <w:pPr>
        <w:suppressLineNumbers/>
        <w:spacing w:line="360" w:lineRule="auto"/>
        <w:jc w:val="both"/>
        <w:rPr>
          <w:rtl/>
        </w:rPr>
      </w:pPr>
      <w:r>
        <w:rPr>
          <w:rtl/>
        </w:rPr>
        <w:lastRenderedPageBreak/>
        <w:t>במעשיו המתוארים איים הנאשם, בצוותא עם אחיו, על המתלונן בפגיעה שלא כדין בגופו, כאשר אחיו של הנאשם אף פצע את המתלונן באמצעות נשק קר</w:t>
      </w:r>
      <w:r>
        <w:t>.</w:t>
      </w:r>
      <w:r>
        <w:rPr>
          <w:rFonts w:hint="cs"/>
          <w:rtl/>
        </w:rPr>
        <w:t xml:space="preserve"> </w:t>
      </w:r>
    </w:p>
    <w:p w:rsidR="00FD58CA" w:rsidRDefault="00FD58CA" w:rsidP="00FD58CA">
      <w:pPr>
        <w:spacing w:line="360" w:lineRule="auto"/>
        <w:jc w:val="both"/>
        <w:rPr>
          <w:rFonts w:ascii="Arial" w:hAnsi="Arial"/>
          <w:rtl/>
        </w:rPr>
      </w:pPr>
    </w:p>
    <w:p w:rsidR="00FD58CA" w:rsidRDefault="00FD58CA" w:rsidP="00FD58CA">
      <w:pPr>
        <w:spacing w:line="360" w:lineRule="auto"/>
        <w:jc w:val="both"/>
        <w:rPr>
          <w:rFonts w:ascii="Arial" w:hAnsi="Arial"/>
          <w:b/>
          <w:bCs/>
          <w:u w:val="single"/>
          <w:rtl/>
        </w:rPr>
      </w:pPr>
      <w:r>
        <w:rPr>
          <w:rFonts w:ascii="Arial" w:hAnsi="Arial"/>
          <w:b/>
          <w:bCs/>
          <w:u w:val="single"/>
          <w:rtl/>
        </w:rPr>
        <w:t xml:space="preserve">תסקירי שירות המבחן </w:t>
      </w:r>
    </w:p>
    <w:p w:rsidR="00FD58CA" w:rsidRDefault="00FD58CA" w:rsidP="00FD58CA">
      <w:pPr>
        <w:spacing w:line="360" w:lineRule="auto"/>
        <w:jc w:val="both"/>
        <w:rPr>
          <w:rFonts w:ascii="Arial" w:hAnsi="Arial"/>
          <w:rtl/>
        </w:rPr>
      </w:pPr>
      <w:r>
        <w:rPr>
          <w:rFonts w:ascii="Arial" w:hAnsi="Arial"/>
          <w:rtl/>
        </w:rPr>
        <w:t>הנאשם, יליד 2008, כבן 17, בן להורים גרושים ומתגורר עם אמו בבאר שבע. מדובר במשפחה בעלת תפקוד נורמטיבי לצד מורכבות כלכלית. האם מהווה דמות מרכזית ומעורבת בחייו ושימשה כמפקחת במהלך תקופת תנאי המעצר, בעוד האב הביע לאורך ההליך עמדות מגוננות ביחס למעורבותו של הנאשם בעבירה</w:t>
      </w:r>
      <w:r>
        <w:rPr>
          <w:rFonts w:ascii="Arial" w:hAnsi="Arial" w:hint="cs"/>
          <w:rtl/>
        </w:rPr>
        <w:t>.</w:t>
      </w:r>
    </w:p>
    <w:p w:rsidR="00FD58CA" w:rsidRDefault="00FD58CA" w:rsidP="00FD58CA">
      <w:pPr>
        <w:spacing w:line="360" w:lineRule="auto"/>
        <w:jc w:val="both"/>
        <w:rPr>
          <w:rFonts w:ascii="Arial" w:hAnsi="Arial"/>
        </w:rPr>
      </w:pPr>
      <w:r>
        <w:rPr>
          <w:rFonts w:ascii="Arial" w:hAnsi="Arial"/>
          <w:rtl/>
        </w:rPr>
        <w:t>הנאשם תלמיד כיתה י"ב במסגרת לימודים מקצועית, מאובחן עם קשיי קשב וריכוז. מן התסקיר עולה כי מדובר בנער בעל כוחות חיוביים ויכולות תקינות, המכבד סמכות ואינו מתואר כמעורב באירועי אלימות קודמים; עם זאת, תפקודו הלימודי לקוי, והוא מתקשה בהתמדה, בישיבה בשיעורים ובבחירת מסגרת חברתית מיטיבה, ולעיתים נגרר אחר חברה בעלת השפעה שלילית</w:t>
      </w:r>
      <w:r>
        <w:rPr>
          <w:rFonts w:ascii="Arial" w:hAnsi="Arial"/>
        </w:rPr>
        <w:t xml:space="preserve">. </w:t>
      </w:r>
    </w:p>
    <w:p w:rsidR="00FD58CA" w:rsidRDefault="00FD58CA" w:rsidP="00FD58CA">
      <w:pPr>
        <w:spacing w:line="360" w:lineRule="auto"/>
        <w:jc w:val="both"/>
        <w:rPr>
          <w:rFonts w:ascii="Arial" w:hAnsi="Arial"/>
          <w:rtl/>
        </w:rPr>
      </w:pPr>
      <w:r>
        <w:rPr>
          <w:rFonts w:ascii="Arial" w:hAnsi="Arial"/>
          <w:rtl/>
        </w:rPr>
        <w:t>ביחס לעבירה בה הודה, הנאשם הביע חרטה וצער, אולם שירות המבחן התרשם כי נטילת האחריות מצדו ראשונית ומצומצמת בלבד. הנאשם התקשה לעבד לעומק את נסיבות ביצוע העבירה ואת חלקו האישי בה, וההתבוננות הפנימית שביצע נותרה שטחית, כאשר בשלב מאוחר אף עלו ספקות באשר למידת ההכרה המלאה במעשה</w:t>
      </w:r>
      <w:r>
        <w:rPr>
          <w:rFonts w:ascii="Arial" w:hAnsi="Arial" w:hint="cs"/>
          <w:rtl/>
        </w:rPr>
        <w:t xml:space="preserve">. </w:t>
      </w:r>
    </w:p>
    <w:p w:rsidR="00FD58CA" w:rsidRDefault="00FD58CA" w:rsidP="00FD58CA">
      <w:pPr>
        <w:spacing w:line="360" w:lineRule="auto"/>
        <w:jc w:val="both"/>
        <w:rPr>
          <w:rFonts w:ascii="Arial" w:hAnsi="Arial"/>
          <w:rtl/>
        </w:rPr>
      </w:pPr>
    </w:p>
    <w:p w:rsidR="00FD58CA" w:rsidRDefault="00FD58CA" w:rsidP="00FD58CA">
      <w:pPr>
        <w:spacing w:line="360" w:lineRule="auto"/>
        <w:jc w:val="both"/>
        <w:rPr>
          <w:rFonts w:ascii="Arial" w:hAnsi="Arial"/>
          <w:rtl/>
        </w:rPr>
      </w:pPr>
      <w:r>
        <w:rPr>
          <w:rFonts w:ascii="Arial" w:hAnsi="Arial"/>
          <w:rtl/>
        </w:rPr>
        <w:t>אשר לשיתוף הפעולה עם שירות המבחן – בתחילת הקשר ניכרה הירתמות ראשונית והגעה סדירה לפגישות, אולם בהמשך חלה ירידה משמעותית בשיתוף הפעולה. הנאשם התקשה להתמיד בהגעה למפגשים, הגיע באיחורים, השתתפותו בקבוצת פיקוח המעצר הייתה חלקית, ובסופו של יום הביע רצון לסיים את ההליך הטיפולי</w:t>
      </w:r>
      <w:r>
        <w:rPr>
          <w:rFonts w:ascii="Arial" w:hAnsi="Arial"/>
        </w:rPr>
        <w:t xml:space="preserve">. </w:t>
      </w:r>
      <w:r>
        <w:rPr>
          <w:rFonts w:ascii="Arial" w:hAnsi="Arial" w:hint="cs"/>
          <w:rtl/>
        </w:rPr>
        <w:t xml:space="preserve"> </w:t>
      </w:r>
    </w:p>
    <w:p w:rsidR="00FD58CA" w:rsidRDefault="00FD58CA" w:rsidP="00FD58CA">
      <w:pPr>
        <w:spacing w:line="360" w:lineRule="auto"/>
        <w:jc w:val="both"/>
        <w:rPr>
          <w:rFonts w:ascii="Arial" w:hAnsi="Arial"/>
        </w:rPr>
      </w:pPr>
    </w:p>
    <w:p w:rsidR="00FD58CA" w:rsidRDefault="00FD58CA" w:rsidP="00FD58CA">
      <w:pPr>
        <w:spacing w:line="360" w:lineRule="auto"/>
        <w:jc w:val="both"/>
        <w:rPr>
          <w:rFonts w:ascii="Arial" w:hAnsi="Arial"/>
          <w:rtl/>
        </w:rPr>
      </w:pPr>
      <w:r>
        <w:rPr>
          <w:rFonts w:ascii="Arial" w:hAnsi="Arial"/>
          <w:rtl/>
        </w:rPr>
        <w:t>שירות המבחן עמד על קיומם של גורמי סיכוי, ובהם היעדר עבר פלילי, העובדה שמדובר במעצר ראשון והיעדר פתיחת תיקים חדשים מאז האירוע, לצד כוחות אישיותיים חיוביים. מנגד, צוינו גורמי סיכון הכוללים קושי בנטילת אחריות מלאה, השפעה חברתית שלילית וקושי בשיתוף פעולה יציב עם גורמי טיפול לאורך זמן</w:t>
      </w:r>
      <w:r>
        <w:rPr>
          <w:rFonts w:ascii="Arial" w:hAnsi="Arial" w:hint="cs"/>
          <w:rtl/>
        </w:rPr>
        <w:t xml:space="preserve">. </w:t>
      </w:r>
    </w:p>
    <w:p w:rsidR="00FD58CA" w:rsidRDefault="00FD58CA" w:rsidP="00FD58CA">
      <w:pPr>
        <w:spacing w:line="360" w:lineRule="auto"/>
        <w:jc w:val="both"/>
        <w:rPr>
          <w:rFonts w:ascii="Arial" w:hAnsi="Arial"/>
          <w:rtl/>
        </w:rPr>
      </w:pPr>
    </w:p>
    <w:p w:rsidR="00FD58CA" w:rsidRDefault="00FD58CA" w:rsidP="00FD58CA">
      <w:pPr>
        <w:spacing w:line="360" w:lineRule="auto"/>
        <w:jc w:val="both"/>
        <w:rPr>
          <w:rFonts w:ascii="Arial" w:hAnsi="Arial"/>
        </w:rPr>
      </w:pPr>
      <w:r>
        <w:rPr>
          <w:rFonts w:ascii="Arial" w:hAnsi="Arial"/>
          <w:rtl/>
        </w:rPr>
        <w:t>באשר להמלצה הסופית, שירות המבחן העריך כי הנאשם זקוק להתערבות טיפולית שתתמקד בעיבוד העבירה ובזיהוי מצבי סיכון, אולם לנוכח רמת שיתוף הפעולה המוגבלת ועמדת הנאשם ואמו לסיום ההליך,  לא ניתנו המלצות בעניינו.</w:t>
      </w:r>
    </w:p>
    <w:p w:rsidR="00FD58CA" w:rsidRDefault="00FD58CA" w:rsidP="00FD58CA">
      <w:pPr>
        <w:spacing w:line="360" w:lineRule="auto"/>
        <w:jc w:val="both"/>
        <w:rPr>
          <w:rFonts w:ascii="Arial" w:hAnsi="Arial"/>
          <w:rtl/>
        </w:rPr>
      </w:pPr>
      <w:r>
        <w:rPr>
          <w:rFonts w:ascii="Arial" w:hAnsi="Arial"/>
          <w:rtl/>
        </w:rPr>
        <w:t xml:space="preserve">במהלך הדיון היום הוסיפה קצינת המבחן באולם, כי מאז הגשת התסקיר הסופי בחודש דצמבר,  נפתחו כנגד הנאשם 2 חקירות שעניינן סחר ושימוש בסמים, והוא זומן לשירות המבחן לצורך דגימת שתן, אך לא הגיע לפגישה שם. </w:t>
      </w:r>
    </w:p>
    <w:p w:rsidR="00FD58CA" w:rsidRDefault="00FD58CA" w:rsidP="00FD58CA">
      <w:pPr>
        <w:spacing w:line="360" w:lineRule="auto"/>
        <w:jc w:val="both"/>
        <w:rPr>
          <w:rFonts w:ascii="Arial" w:hAnsi="Arial"/>
          <w:rtl/>
        </w:rPr>
      </w:pPr>
    </w:p>
    <w:p w:rsidR="00FD58CA" w:rsidRDefault="00FD58CA" w:rsidP="00FD58CA">
      <w:pPr>
        <w:spacing w:line="360" w:lineRule="auto"/>
        <w:jc w:val="both"/>
        <w:rPr>
          <w:rFonts w:ascii="Arial" w:hAnsi="Arial"/>
          <w:b/>
          <w:bCs/>
          <w:u w:val="single"/>
          <w:rtl/>
        </w:rPr>
      </w:pPr>
      <w:r>
        <w:rPr>
          <w:rFonts w:ascii="Arial" w:hAnsi="Arial"/>
          <w:b/>
          <w:bCs/>
          <w:u w:val="single"/>
          <w:rtl/>
        </w:rPr>
        <w:t xml:space="preserve">טיעוני הצדדים לעונש </w:t>
      </w:r>
    </w:p>
    <w:p w:rsidR="00FD58CA" w:rsidRDefault="00FD58CA" w:rsidP="00FD58CA">
      <w:pPr>
        <w:spacing w:line="360" w:lineRule="auto"/>
        <w:jc w:val="both"/>
        <w:rPr>
          <w:rFonts w:ascii="Arial" w:hAnsi="Arial"/>
          <w:rtl/>
        </w:rPr>
      </w:pPr>
      <w:r>
        <w:rPr>
          <w:rFonts w:ascii="Arial" w:hAnsi="Arial"/>
          <w:rtl/>
        </w:rPr>
        <w:t>המאשימה עתרה להרשעת הנאשם ולגזירת עונש הכולל מאסר על תנאי, פיצוי למתלונן והתחייבות להימנע מביצוע עבירות נוספות. בטיעוניה עמדה על חומרת המעש</w:t>
      </w:r>
      <w:r>
        <w:rPr>
          <w:rFonts w:ascii="Arial" w:hAnsi="Arial" w:hint="cs"/>
          <w:rtl/>
        </w:rPr>
        <w:t>ה</w:t>
      </w:r>
      <w:r>
        <w:rPr>
          <w:rFonts w:ascii="Arial" w:hAnsi="Arial"/>
          <w:rtl/>
        </w:rPr>
        <w:t xml:space="preserve">, על הנזק שנגרם למתלונן ועל פוטנציאל הפגיעה המשמעותי הגלום באירוע. עוד הדגישה </w:t>
      </w:r>
      <w:r>
        <w:rPr>
          <w:rFonts w:ascii="Arial" w:hAnsi="Arial" w:hint="cs"/>
          <w:rtl/>
        </w:rPr>
        <w:t xml:space="preserve">ואת </w:t>
      </w:r>
      <w:r>
        <w:rPr>
          <w:rFonts w:ascii="Arial" w:hAnsi="Arial"/>
          <w:rtl/>
        </w:rPr>
        <w:t xml:space="preserve">התרשמות שירות המבחן בדבר </w:t>
      </w:r>
      <w:r>
        <w:rPr>
          <w:rFonts w:ascii="Arial" w:hAnsi="Arial"/>
          <w:rtl/>
        </w:rPr>
        <w:lastRenderedPageBreak/>
        <w:t>נטילת אחריות חלקית בלבד ושיתוף פעולה מוגבל עם ההליך הטיפולי. לטענתה, בהיעדר הליך שיקום משמעותי ובהיעדר המלצה טיפולית קונקרטית, יש להעדיף את שיקולי ההרתעה והגמול</w:t>
      </w:r>
      <w:r>
        <w:rPr>
          <w:rFonts w:ascii="Arial" w:hAnsi="Arial"/>
        </w:rPr>
        <w:t>.</w:t>
      </w:r>
    </w:p>
    <w:p w:rsidR="00FD58CA" w:rsidRDefault="00FD58CA" w:rsidP="00FD58CA">
      <w:pPr>
        <w:spacing w:line="360" w:lineRule="auto"/>
        <w:jc w:val="both"/>
        <w:rPr>
          <w:rFonts w:ascii="Arial" w:hAnsi="Arial"/>
        </w:rPr>
      </w:pPr>
      <w:r>
        <w:rPr>
          <w:rFonts w:ascii="Arial" w:hAnsi="Arial"/>
          <w:rtl/>
        </w:rPr>
        <w:t>מנגד, הסנגורית עתרה להימנע מהרשעת הנאשם ולנקוט כלפיו בדרכי טיפול. בטיעוניה הדגישה את גילו הצעיר של הנאשם, היעדר עבר פלילי, נסיבות חייו ואת הפגיעה האפשרית בעתידו ובסיכוייו להשתלב במסגרות נורמטיביות אם יורשע בדין. עוד נטען כי הנאשם הביע חרטה על מעשיו,</w:t>
      </w:r>
      <w:r>
        <w:rPr>
          <w:rFonts w:ascii="Arial" w:hAnsi="Arial" w:hint="cs"/>
          <w:rtl/>
        </w:rPr>
        <w:t xml:space="preserve"> ושיתף פעולה בתחילה עם שרות המבחן ולכן יש </w:t>
      </w:r>
      <w:r>
        <w:rPr>
          <w:rFonts w:ascii="Arial" w:hAnsi="Arial"/>
          <w:rtl/>
        </w:rPr>
        <w:t xml:space="preserve">להעניק משקל בכורה לשיקולי </w:t>
      </w:r>
      <w:r>
        <w:rPr>
          <w:rFonts w:ascii="Arial" w:hAnsi="Arial" w:hint="cs"/>
          <w:rtl/>
        </w:rPr>
        <w:t>ה</w:t>
      </w:r>
      <w:r>
        <w:rPr>
          <w:rFonts w:ascii="Arial" w:hAnsi="Arial"/>
          <w:rtl/>
        </w:rPr>
        <w:t>שיקום ו</w:t>
      </w:r>
      <w:r>
        <w:rPr>
          <w:rFonts w:ascii="Arial" w:hAnsi="Arial" w:hint="cs"/>
          <w:rtl/>
        </w:rPr>
        <w:t>לא להרשיע את הנאשם.</w:t>
      </w:r>
    </w:p>
    <w:p w:rsidR="00FD58CA" w:rsidRDefault="00FD58CA" w:rsidP="00FD58CA">
      <w:pPr>
        <w:spacing w:line="360" w:lineRule="auto"/>
        <w:jc w:val="both"/>
        <w:rPr>
          <w:rFonts w:ascii="Arial" w:hAnsi="Arial"/>
          <w:b/>
          <w:bCs/>
          <w:u w:val="single"/>
          <w:rtl/>
        </w:rPr>
      </w:pPr>
    </w:p>
    <w:p w:rsidR="00FD58CA" w:rsidRPr="00A351CC" w:rsidRDefault="00FD58CA" w:rsidP="00FD58CA">
      <w:pPr>
        <w:spacing w:line="360" w:lineRule="auto"/>
        <w:jc w:val="both"/>
        <w:rPr>
          <w:rFonts w:ascii="Arial" w:hAnsi="Arial"/>
          <w:rtl/>
        </w:rPr>
      </w:pPr>
      <w:r w:rsidRPr="00A351CC">
        <w:rPr>
          <w:rFonts w:ascii="Arial" w:hAnsi="Arial"/>
          <w:rtl/>
        </w:rPr>
        <w:t xml:space="preserve">הנאשם בדברו האחרון ציין כי הוא מצטער על האירוע, הוא מבין שמדובר במעשה חמור, כיום הוא לומד בכיתה מקצועית ועובד כמלצר. </w:t>
      </w:r>
    </w:p>
    <w:p w:rsidR="00FD58CA" w:rsidRDefault="00FD58CA" w:rsidP="00FD58CA">
      <w:pPr>
        <w:spacing w:line="360" w:lineRule="auto"/>
        <w:jc w:val="both"/>
        <w:rPr>
          <w:rFonts w:ascii="Arial" w:hAnsi="Arial"/>
          <w:b/>
          <w:bCs/>
          <w:rtl/>
        </w:rPr>
      </w:pPr>
    </w:p>
    <w:p w:rsidR="00FD58CA" w:rsidRDefault="00FD58CA" w:rsidP="00FD58CA">
      <w:pPr>
        <w:spacing w:line="360" w:lineRule="auto"/>
        <w:jc w:val="both"/>
        <w:rPr>
          <w:rFonts w:ascii="Arial" w:hAnsi="Arial"/>
          <w:b/>
          <w:bCs/>
          <w:u w:val="single"/>
          <w:rtl/>
        </w:rPr>
      </w:pPr>
      <w:r>
        <w:rPr>
          <w:rFonts w:ascii="Arial" w:hAnsi="Arial"/>
          <w:b/>
          <w:bCs/>
          <w:u w:val="single"/>
          <w:rtl/>
        </w:rPr>
        <w:t xml:space="preserve">דיון והכרעה </w:t>
      </w:r>
    </w:p>
    <w:p w:rsidR="00FD58CA" w:rsidRDefault="00FD58CA" w:rsidP="00FD58CA">
      <w:pPr>
        <w:spacing w:line="360" w:lineRule="auto"/>
        <w:jc w:val="both"/>
        <w:rPr>
          <w:rFonts w:ascii="Arial" w:hAnsi="Arial"/>
          <w:rtl/>
        </w:rPr>
      </w:pPr>
      <w:r w:rsidRPr="00CA1D80">
        <w:rPr>
          <w:rFonts w:ascii="Arial" w:hAnsi="Arial"/>
          <w:rtl/>
        </w:rPr>
        <w:t xml:space="preserve">ככלל, הליך פלילי שבו הוכח כי נאשם ביצע עבירה מסתיים בהרשעה ובגזירת עונש הולם. ואולם, מקום בו מדובר בנאשם קטין, קבע המחוקק מסגרת נורמטיבית ייחודית המאפשרת לבית המשפט לנוער לסטות מכלל זה. סעיף 24 לחוק הנוער (שפיטה, ענישה ודרכי טיפול), </w:t>
      </w:r>
      <w:proofErr w:type="spellStart"/>
      <w:r w:rsidRPr="00CA1D80">
        <w:rPr>
          <w:rFonts w:ascii="Arial" w:hAnsi="Arial"/>
          <w:rtl/>
        </w:rPr>
        <w:t>התשל"א</w:t>
      </w:r>
      <w:proofErr w:type="spellEnd"/>
      <w:r w:rsidRPr="00CA1D80">
        <w:rPr>
          <w:rFonts w:ascii="Arial" w:hAnsi="Arial"/>
          <w:rtl/>
        </w:rPr>
        <w:t xml:space="preserve">–1971, מקנה לבית המשפט סמכות להימנע מהרשעת קטין אף אם הוכח כי ביצע עבירה, מתוך תפיסה שלפיה בהליך הפלילי בעניינם של קטינים יש </w:t>
      </w:r>
      <w:proofErr w:type="spellStart"/>
      <w:r w:rsidRPr="00CA1D80">
        <w:rPr>
          <w:rFonts w:ascii="Arial" w:hAnsi="Arial"/>
          <w:rtl/>
        </w:rPr>
        <w:t>ליתן</w:t>
      </w:r>
      <w:proofErr w:type="spellEnd"/>
      <w:r w:rsidRPr="00CA1D80">
        <w:rPr>
          <w:rFonts w:ascii="Arial" w:hAnsi="Arial"/>
          <w:rtl/>
        </w:rPr>
        <w:t xml:space="preserve"> משקל מוגבר לשיקולי שיקום, לשלב ההתפתחותי בו מצוי הקטין ולפוטנציאל השינוי הגלום בו</w:t>
      </w:r>
      <w:r w:rsidRPr="00CA1D80">
        <w:rPr>
          <w:rFonts w:ascii="Arial" w:hAnsi="Arial"/>
        </w:rPr>
        <w:t>.</w:t>
      </w:r>
      <w:r>
        <w:rPr>
          <w:rFonts w:ascii="Arial" w:hAnsi="Arial" w:hint="cs"/>
          <w:rtl/>
        </w:rPr>
        <w:t xml:space="preserve"> </w:t>
      </w:r>
    </w:p>
    <w:p w:rsidR="00FD58CA" w:rsidRDefault="00FD58CA" w:rsidP="00FD58CA">
      <w:pPr>
        <w:spacing w:line="360" w:lineRule="auto"/>
        <w:jc w:val="both"/>
        <w:rPr>
          <w:rFonts w:ascii="Arial" w:hAnsi="Arial"/>
          <w:rtl/>
        </w:rPr>
      </w:pPr>
    </w:p>
    <w:p w:rsidR="00FD58CA" w:rsidRPr="00CA1D80" w:rsidRDefault="00FD58CA" w:rsidP="00FD58CA">
      <w:pPr>
        <w:spacing w:line="360" w:lineRule="auto"/>
        <w:jc w:val="both"/>
        <w:rPr>
          <w:rFonts w:ascii="Arial" w:hAnsi="Arial"/>
        </w:rPr>
      </w:pPr>
      <w:r w:rsidRPr="00CA1D80">
        <w:rPr>
          <w:rFonts w:ascii="Arial" w:hAnsi="Arial"/>
          <w:rtl/>
        </w:rPr>
        <w:t xml:space="preserve">בהתאם לכך נפסק כי בעניינם של קטינים יש </w:t>
      </w:r>
      <w:proofErr w:type="spellStart"/>
      <w:r w:rsidRPr="00CA1D80">
        <w:rPr>
          <w:rFonts w:ascii="Arial" w:hAnsi="Arial"/>
          <w:rtl/>
        </w:rPr>
        <w:t>ליתן</w:t>
      </w:r>
      <w:proofErr w:type="spellEnd"/>
      <w:r w:rsidRPr="00CA1D80">
        <w:rPr>
          <w:rFonts w:ascii="Arial" w:hAnsi="Arial"/>
          <w:rtl/>
        </w:rPr>
        <w:t xml:space="preserve"> משקל בכורה לאינטרס השיקום (ע"פ 111/14 </w:t>
      </w:r>
      <w:r w:rsidRPr="005913C8">
        <w:rPr>
          <w:rFonts w:ascii="Arial" w:hAnsi="Arial"/>
          <w:b/>
          <w:bCs/>
          <w:rtl/>
        </w:rPr>
        <w:t>פלוני נ' מדינת ישראל</w:t>
      </w:r>
      <w:r w:rsidRPr="00FD58CA">
        <w:t>(1.4.2014)</w:t>
      </w:r>
      <w:r>
        <w:t xml:space="preserve"> </w:t>
      </w:r>
      <w:r w:rsidRPr="00CA1D80">
        <w:rPr>
          <w:rFonts w:ascii="Arial" w:hAnsi="Arial"/>
          <w:rtl/>
        </w:rPr>
        <w:t xml:space="preserve">). לצד זאת הודגש בפסיקה כי "קטינות אינה חסינות" (ע"פ 7238/19 </w:t>
      </w:r>
      <w:r w:rsidRPr="005913C8">
        <w:rPr>
          <w:rFonts w:ascii="Arial" w:hAnsi="Arial"/>
          <w:b/>
          <w:bCs/>
          <w:rtl/>
        </w:rPr>
        <w:t>פלוני נ' מדינת ישראל</w:t>
      </w:r>
      <w:r w:rsidRPr="00FD58CA">
        <w:t>(18.3.2020)</w:t>
      </w:r>
      <w:r>
        <w:t xml:space="preserve"> </w:t>
      </w:r>
      <w:r w:rsidRPr="00CA1D80">
        <w:rPr>
          <w:rFonts w:ascii="Arial" w:hAnsi="Arial"/>
          <w:rtl/>
        </w:rPr>
        <w:t>), ואין בעצם גילו הצעיר של נאשם כדי להוביל בהכרח להימנעות מהרשעה תוך זניחת יתר שיקולי הענישה. עוד נקבע כי ככל שהנאשם קרוב יותר לגיל הבגירות, כך פוחת משקלה של הקטינות כשיקול מכריע</w:t>
      </w:r>
      <w:r w:rsidRPr="00CA1D80">
        <w:rPr>
          <w:rFonts w:ascii="Arial" w:hAnsi="Arial"/>
        </w:rPr>
        <w:t>.</w:t>
      </w:r>
      <w:r>
        <w:rPr>
          <w:rFonts w:ascii="Arial" w:hAnsi="Arial" w:hint="cs"/>
          <w:rtl/>
        </w:rPr>
        <w:t xml:space="preserve"> </w:t>
      </w:r>
    </w:p>
    <w:p w:rsidR="00FD58CA" w:rsidRDefault="00FD58CA" w:rsidP="00FD58CA">
      <w:pPr>
        <w:spacing w:line="360" w:lineRule="auto"/>
        <w:jc w:val="both"/>
        <w:rPr>
          <w:rFonts w:ascii="Arial" w:hAnsi="Arial"/>
          <w:rtl/>
        </w:rPr>
      </w:pPr>
      <w:r w:rsidRPr="00CA1D80">
        <w:rPr>
          <w:rFonts w:ascii="Arial" w:hAnsi="Arial"/>
          <w:rtl/>
        </w:rPr>
        <w:t xml:space="preserve">אכן, לא אחת נמנע בית משפט זה מהרשעת קטינים, וזאת במקרים שבהם עבר הקטין הליך שיקום משמעותי אשר מצא ביטוי ברור בתסקיר שירות המבחן ובהמלצותיו. תסקיר חיובי והמלצה טיפולית מהווים אינדיקציה מקצועית לכך שהקטין הפנים את חומרת מעשיו, עבר תהליך שינוי ממשי, וכי ניתן </w:t>
      </w:r>
      <w:proofErr w:type="spellStart"/>
      <w:r w:rsidRPr="00CA1D80">
        <w:rPr>
          <w:rFonts w:ascii="Arial" w:hAnsi="Arial"/>
          <w:rtl/>
        </w:rPr>
        <w:t>ליתן</w:t>
      </w:r>
      <w:proofErr w:type="spellEnd"/>
      <w:r w:rsidRPr="00CA1D80">
        <w:rPr>
          <w:rFonts w:ascii="Arial" w:hAnsi="Arial"/>
          <w:rtl/>
        </w:rPr>
        <w:t xml:space="preserve"> בו אמון כי אינו מהווה עוד סיכון ממשי לציבור, באופן המפחית את הצורך בהרתעה באמצעות הרשעה ורישום פלילי</w:t>
      </w:r>
      <w:r w:rsidRPr="00CA1D80">
        <w:rPr>
          <w:rFonts w:ascii="Arial" w:hAnsi="Arial"/>
        </w:rPr>
        <w:t>.</w:t>
      </w:r>
    </w:p>
    <w:p w:rsidR="00FD58CA" w:rsidRPr="00CA1D80" w:rsidRDefault="00FD58CA" w:rsidP="00FD58CA">
      <w:pPr>
        <w:spacing w:line="360" w:lineRule="auto"/>
        <w:jc w:val="both"/>
        <w:rPr>
          <w:rFonts w:ascii="Arial" w:hAnsi="Arial"/>
        </w:rPr>
      </w:pPr>
    </w:p>
    <w:p w:rsidR="00FD58CA" w:rsidRDefault="00FD58CA" w:rsidP="00FD58CA">
      <w:pPr>
        <w:spacing w:line="360" w:lineRule="auto"/>
        <w:jc w:val="both"/>
        <w:rPr>
          <w:rFonts w:ascii="Arial" w:hAnsi="Arial"/>
          <w:rtl/>
        </w:rPr>
      </w:pPr>
      <w:r w:rsidRPr="00CA1D80">
        <w:rPr>
          <w:rFonts w:ascii="Arial" w:hAnsi="Arial"/>
          <w:rtl/>
        </w:rPr>
        <w:t xml:space="preserve">בבחינת שאלת ההרשעה בעניינו של קטין נשקלים, כמובן, מכלול שיקולים נוספים ובהם חומרת העבירה, נסיבות ביצועה, עמדת נפגע העבירה ושיקולי הגנה על הציבור. יחד עם זאת, התנאי הבסיסי לבחינת האפשרות להימנע מהרשעה הוא קיומו של הליך שיקום ממשי ומשמעותי אותו עבר הנאשם. זאת, בין היתר, מאחר שקטין אשר עבר הליך טיפולי והוערך על-ידי שירות המבחן כמי שמסוכנותו פחתה ואינו מציב עוד סיכון ממשי – פוחת הצורך בהרתעתו באמצעות הרשעה פלילית </w:t>
      </w:r>
      <w:r>
        <w:rPr>
          <w:rFonts w:ascii="Arial" w:hAnsi="Arial" w:hint="cs"/>
          <w:rtl/>
        </w:rPr>
        <w:t>ומאסר על תנאי בצידה כמו כן, אין צורך להזהיר את הציבור באמצעות הרישום הפלילי</w:t>
      </w:r>
      <w:r w:rsidRPr="00CA1D80">
        <w:rPr>
          <w:rFonts w:ascii="Arial" w:hAnsi="Arial"/>
        </w:rPr>
        <w:t>.</w:t>
      </w:r>
      <w:r>
        <w:rPr>
          <w:rFonts w:ascii="Arial" w:hAnsi="Arial" w:hint="cs"/>
          <w:rtl/>
        </w:rPr>
        <w:t xml:space="preserve"> </w:t>
      </w:r>
    </w:p>
    <w:p w:rsidR="00FD58CA" w:rsidRPr="00CA1D80" w:rsidRDefault="00FD58CA" w:rsidP="00FD58CA">
      <w:pPr>
        <w:spacing w:line="360" w:lineRule="auto"/>
        <w:jc w:val="both"/>
        <w:rPr>
          <w:rFonts w:ascii="Arial" w:hAnsi="Arial"/>
          <w:rtl/>
        </w:rPr>
      </w:pPr>
    </w:p>
    <w:p w:rsidR="00FD58CA" w:rsidRDefault="00FD58CA" w:rsidP="00FD58CA">
      <w:pPr>
        <w:spacing w:line="360" w:lineRule="auto"/>
        <w:jc w:val="both"/>
        <w:rPr>
          <w:rFonts w:ascii="Arial" w:hAnsi="Arial"/>
          <w:rtl/>
        </w:rPr>
      </w:pPr>
      <w:r w:rsidRPr="00CA1D80">
        <w:rPr>
          <w:rFonts w:ascii="Arial" w:hAnsi="Arial"/>
          <w:rtl/>
        </w:rPr>
        <w:lastRenderedPageBreak/>
        <w:t>מעבר לכך, הליך טיפולי-שיקומי דורש השקעה ניכרת של משאבים נפשיים, התנהגותיים ו</w:t>
      </w:r>
      <w:r>
        <w:rPr>
          <w:rFonts w:ascii="Arial" w:hAnsi="Arial" w:hint="cs"/>
          <w:rtl/>
        </w:rPr>
        <w:t xml:space="preserve">זמן. לא אחת הסיבה שבגינה נאשם קטין משתף פעולה עם שרות המבחן הוא רק בשל התיק הפלילי שעומד נגדו והשלכות אי שיתוף הפעולה עם שרות המבחן על ההליך הפלילי. </w:t>
      </w:r>
      <w:r w:rsidRPr="00CA1D80">
        <w:rPr>
          <w:rFonts w:ascii="Arial" w:hAnsi="Arial"/>
          <w:rtl/>
        </w:rPr>
        <w:t>ככל שבית המשפט לא יראה בהירתמות להליך שיקומי תנאי מרכזי לבחינת אי-הרשעה, עלול להיפגע התמריץ להשתלב בהליכי טיפול, באופן שאינו מתיישב עם האינטרס הציבורי לעודד שיקום של קטינים המעורבים בפלילים</w:t>
      </w:r>
      <w:r w:rsidRPr="00CA1D80">
        <w:rPr>
          <w:rFonts w:ascii="Arial" w:hAnsi="Arial"/>
        </w:rPr>
        <w:t>.</w:t>
      </w:r>
    </w:p>
    <w:p w:rsidR="00FD58CA" w:rsidRPr="00CA1D80" w:rsidRDefault="00FD58CA" w:rsidP="00FD58CA">
      <w:pPr>
        <w:spacing w:line="360" w:lineRule="auto"/>
        <w:jc w:val="both"/>
        <w:rPr>
          <w:rFonts w:ascii="Arial" w:hAnsi="Arial"/>
        </w:rPr>
      </w:pPr>
    </w:p>
    <w:p w:rsidR="00FD58CA" w:rsidRDefault="00FD58CA" w:rsidP="00FD58CA">
      <w:pPr>
        <w:spacing w:line="360" w:lineRule="auto"/>
        <w:jc w:val="both"/>
        <w:rPr>
          <w:rFonts w:ascii="Arial" w:hAnsi="Arial"/>
          <w:rtl/>
        </w:rPr>
      </w:pPr>
      <w:r w:rsidRPr="00CA1D80">
        <w:rPr>
          <w:rFonts w:ascii="Arial" w:hAnsi="Arial"/>
          <w:rtl/>
        </w:rPr>
        <w:t>יודגש כי גם שירות המבחן, וגם אני במהלך הדיונים, הבהרנו לנאשם את חשיבות שיתוף הפעולה עם שירות המבחן ואת השלכות אי שיתוף הפעולה. לנאשם ניתנו מספר הזדמנויות להשתלב בהליך טיפולי ולהוכיח הירתמות לשיקום. היה מצופה כי בגילו, כבן 17 הקרוב לגיל הבגירות, יבין את האחריות המוטלת עליו וישתף פעולה באופן מלא — אולם הוא בחר שלא לעשות כן</w:t>
      </w:r>
      <w:r w:rsidRPr="00CA1D80">
        <w:rPr>
          <w:rFonts w:ascii="Arial" w:hAnsi="Arial"/>
        </w:rPr>
        <w:t>.</w:t>
      </w:r>
    </w:p>
    <w:p w:rsidR="00FD58CA" w:rsidRDefault="00FD58CA" w:rsidP="00FD58CA">
      <w:pPr>
        <w:spacing w:line="360" w:lineRule="auto"/>
        <w:jc w:val="both"/>
        <w:rPr>
          <w:rFonts w:ascii="Arial" w:hAnsi="Arial"/>
          <w:rtl/>
        </w:rPr>
      </w:pPr>
    </w:p>
    <w:p w:rsidR="00FD58CA" w:rsidRPr="00CA1D80" w:rsidRDefault="00FD58CA" w:rsidP="00FD58CA">
      <w:pPr>
        <w:spacing w:line="360" w:lineRule="auto"/>
        <w:jc w:val="both"/>
        <w:rPr>
          <w:rFonts w:ascii="Arial" w:hAnsi="Arial"/>
        </w:rPr>
      </w:pPr>
      <w:r w:rsidRPr="00CA1D80">
        <w:rPr>
          <w:rFonts w:ascii="Arial" w:hAnsi="Arial"/>
          <w:rtl/>
        </w:rPr>
        <w:t xml:space="preserve">בנסיבות אלה, ובהיעדר הליך שיקומי משמעותי </w:t>
      </w:r>
      <w:r>
        <w:rPr>
          <w:rFonts w:ascii="Arial" w:hAnsi="Arial" w:hint="cs"/>
          <w:rtl/>
        </w:rPr>
        <w:t xml:space="preserve">והמלצה מצד </w:t>
      </w:r>
      <w:r w:rsidRPr="00CA1D80">
        <w:rPr>
          <w:rFonts w:ascii="Arial" w:hAnsi="Arial"/>
          <w:rtl/>
        </w:rPr>
        <w:t xml:space="preserve">שירות המבחן, לא ניתן לומר כי ניתן להסתמך על כך שהנאשם הפנים את חומרת מעשיו או כי פחתה מסוכנותו במידה המצדיקה הימנעות מהרשעה. משכך, מתחדד הצורך בהצבת גבול חיצוני ברור לנאשם באמצעות הרשעה והטלת סנקציה </w:t>
      </w:r>
      <w:proofErr w:type="spellStart"/>
      <w:r w:rsidRPr="00CA1D80">
        <w:rPr>
          <w:rFonts w:ascii="Arial" w:hAnsi="Arial"/>
          <w:rtl/>
        </w:rPr>
        <w:t>עונשית</w:t>
      </w:r>
      <w:proofErr w:type="spellEnd"/>
      <w:r w:rsidRPr="00CA1D80">
        <w:rPr>
          <w:rFonts w:ascii="Arial" w:hAnsi="Arial"/>
          <w:rtl/>
        </w:rPr>
        <w:t>, אשר תבהיר את חומרת ההתנהגות ותשמש גורם מרתיע</w:t>
      </w:r>
      <w:r w:rsidRPr="00CA1D80">
        <w:rPr>
          <w:rFonts w:ascii="Arial" w:hAnsi="Arial"/>
        </w:rPr>
        <w:t>.</w:t>
      </w:r>
      <w:r>
        <w:rPr>
          <w:rFonts w:ascii="Arial" w:hAnsi="Arial" w:hint="cs"/>
          <w:rtl/>
        </w:rPr>
        <w:t xml:space="preserve"> </w:t>
      </w:r>
    </w:p>
    <w:p w:rsidR="00FD58CA" w:rsidRDefault="00FD58CA" w:rsidP="00FD58CA">
      <w:pPr>
        <w:spacing w:line="360" w:lineRule="auto"/>
        <w:jc w:val="both"/>
        <w:rPr>
          <w:rFonts w:ascii="Arial" w:hAnsi="Arial"/>
          <w:rtl/>
        </w:rPr>
      </w:pPr>
      <w:r w:rsidRPr="00CA1D80">
        <w:rPr>
          <w:rFonts w:ascii="Arial" w:hAnsi="Arial"/>
          <w:rtl/>
        </w:rPr>
        <w:t>הצורך בהרתעה בענייננו הוא כפול — הן הרתעה אישית כלפי הנאשם, אשר לא הוכיח כי ניתן לסמוך עליו באמצעות הליך טיפולי בלבד, והן הרתעה ציבורית, נוכח חומרת האירוע והמסר הנדרש ביחס למעשי אלימות ואיומים בקרב בני נוער. בהיעדר הליך שיקום ממשי, אין מקום להימנע מהצבת גבול חיצוני לנאשם בא</w:t>
      </w:r>
      <w:r>
        <w:rPr>
          <w:rFonts w:ascii="Arial" w:hAnsi="Arial"/>
          <w:rtl/>
        </w:rPr>
        <w:t>מצעות הרשעה ועונש של מאסר מותנה</w:t>
      </w:r>
      <w:r>
        <w:rPr>
          <w:rFonts w:ascii="Arial" w:hAnsi="Arial" w:hint="cs"/>
          <w:rtl/>
        </w:rPr>
        <w:t>.</w:t>
      </w:r>
    </w:p>
    <w:p w:rsidR="00FD58CA" w:rsidRPr="00CA1D80" w:rsidRDefault="00FD58CA" w:rsidP="00FD58CA">
      <w:pPr>
        <w:spacing w:line="360" w:lineRule="auto"/>
        <w:jc w:val="both"/>
        <w:rPr>
          <w:rFonts w:ascii="Arial" w:hAnsi="Arial"/>
          <w:rtl/>
        </w:rPr>
      </w:pPr>
    </w:p>
    <w:p w:rsidR="00FD58CA" w:rsidRPr="00CA1D80" w:rsidRDefault="00FD58CA" w:rsidP="00FD58CA">
      <w:pPr>
        <w:spacing w:line="360" w:lineRule="auto"/>
        <w:jc w:val="both"/>
        <w:rPr>
          <w:rFonts w:ascii="Arial" w:hAnsi="Arial"/>
          <w:rtl/>
        </w:rPr>
      </w:pPr>
      <w:r w:rsidRPr="00CA1D80">
        <w:rPr>
          <w:rFonts w:ascii="Arial" w:hAnsi="Arial"/>
          <w:rtl/>
        </w:rPr>
        <w:t xml:space="preserve">שקלתי את טיעוני הצדדים. </w:t>
      </w:r>
      <w:proofErr w:type="spellStart"/>
      <w:r w:rsidRPr="00CA1D80">
        <w:rPr>
          <w:rFonts w:ascii="Arial" w:hAnsi="Arial"/>
          <w:rtl/>
        </w:rPr>
        <w:t>לחומרא</w:t>
      </w:r>
      <w:proofErr w:type="spellEnd"/>
      <w:r w:rsidRPr="00CA1D80">
        <w:rPr>
          <w:rFonts w:ascii="Arial" w:hAnsi="Arial"/>
          <w:rtl/>
        </w:rPr>
        <w:t xml:space="preserve"> הבאתי בחשבון את חומרת העבירה ונסיבות ביצועה; את העובדה כי הנאשם הוא שיזם את המפגש והגיע כשהוא מצויד במקל בעוד אחיו נשא סכין; את הנזק שנגרם למתלונן ואת פוטנציאל הנזק המשמעותי שהיה גלום במעשה. עוד נתתי דעתי לשיתוף הפעולה החלקי בלבד עם שירות המבחן, להפסקת ההליך הטיפולי, וכן לכך שגם לאחרונה, בעקבות חקירות חדשות שנפתחו בעניינו, זומן לשירות המבחן ובחר שלא להתייצב</w:t>
      </w:r>
      <w:r w:rsidRPr="00CA1D80">
        <w:rPr>
          <w:rFonts w:ascii="Arial" w:hAnsi="Arial"/>
        </w:rPr>
        <w:t>.</w:t>
      </w:r>
      <w:r>
        <w:rPr>
          <w:rFonts w:ascii="Arial" w:hAnsi="Arial" w:hint="cs"/>
          <w:rtl/>
        </w:rPr>
        <w:t xml:space="preserve"> </w:t>
      </w:r>
    </w:p>
    <w:p w:rsidR="00FD58CA" w:rsidRDefault="00FD58CA" w:rsidP="00FD58CA">
      <w:pPr>
        <w:spacing w:line="360" w:lineRule="auto"/>
        <w:jc w:val="both"/>
        <w:rPr>
          <w:rFonts w:ascii="Arial" w:hAnsi="Arial"/>
          <w:rtl/>
        </w:rPr>
      </w:pPr>
      <w:proofErr w:type="spellStart"/>
      <w:r w:rsidRPr="00CA1D80">
        <w:rPr>
          <w:rFonts w:ascii="Arial" w:hAnsi="Arial"/>
          <w:rtl/>
        </w:rPr>
        <w:t>לקולא</w:t>
      </w:r>
      <w:proofErr w:type="spellEnd"/>
      <w:r w:rsidRPr="00CA1D80">
        <w:rPr>
          <w:rFonts w:ascii="Arial" w:hAnsi="Arial"/>
          <w:rtl/>
        </w:rPr>
        <w:t xml:space="preserve"> שקלתי את גילו הצעיר של הנאשם, נסיבות חייו האישיות, הודאתו והחיסכון בזמן שיפוטי, ניסיונותיו הראשוניים להירתמות טיפולית, וכן את העובדה כי מדובר בהליך הפלילי הראשון בעניינו</w:t>
      </w:r>
      <w:r w:rsidRPr="00CA1D80">
        <w:rPr>
          <w:rFonts w:ascii="Arial" w:hAnsi="Arial"/>
        </w:rPr>
        <w:t>.</w:t>
      </w:r>
      <w:r>
        <w:rPr>
          <w:rFonts w:ascii="Arial" w:hAnsi="Arial" w:hint="cs"/>
          <w:rtl/>
        </w:rPr>
        <w:t xml:space="preserve"> </w:t>
      </w:r>
    </w:p>
    <w:p w:rsidR="00FD58CA" w:rsidRPr="00CA1D80" w:rsidRDefault="00FD58CA" w:rsidP="00FD58CA">
      <w:pPr>
        <w:spacing w:line="360" w:lineRule="auto"/>
        <w:jc w:val="both"/>
        <w:rPr>
          <w:rFonts w:ascii="Arial" w:hAnsi="Arial"/>
        </w:rPr>
      </w:pPr>
      <w:r>
        <w:rPr>
          <w:rFonts w:ascii="Arial" w:hAnsi="Arial" w:hint="cs"/>
          <w:rtl/>
        </w:rPr>
        <w:t xml:space="preserve">עוד שקלתי את 11 הימים שבהם שהה במעצר סגור בעת התקופה שבה שהה במעצר בית במסגרת ההליכים בתיק זה. </w:t>
      </w:r>
    </w:p>
    <w:p w:rsidR="00FD58CA" w:rsidRDefault="00FD58CA" w:rsidP="00FD58CA">
      <w:pPr>
        <w:spacing w:line="360" w:lineRule="auto"/>
        <w:jc w:val="both"/>
        <w:rPr>
          <w:rFonts w:ascii="Arial" w:hAnsi="Arial"/>
          <w:b/>
          <w:bCs/>
          <w:u w:val="single"/>
          <w:rtl/>
        </w:rPr>
      </w:pPr>
    </w:p>
    <w:p w:rsidR="00FD58CA" w:rsidRDefault="00FD58CA" w:rsidP="00FD58CA">
      <w:pPr>
        <w:spacing w:line="360" w:lineRule="auto"/>
        <w:jc w:val="both"/>
        <w:rPr>
          <w:rFonts w:ascii="Arial" w:eastAsia="Times New Roman" w:hAnsi="Arial"/>
          <w:b/>
          <w:bCs/>
          <w:u w:val="single"/>
          <w:rtl/>
        </w:rPr>
      </w:pPr>
      <w:r>
        <w:rPr>
          <w:rFonts w:ascii="Arial" w:hAnsi="Arial"/>
          <w:b/>
          <w:bCs/>
          <w:u w:val="single"/>
          <w:rtl/>
        </w:rPr>
        <w:t xml:space="preserve">סוף דבר </w:t>
      </w:r>
    </w:p>
    <w:p w:rsidR="00FD58CA" w:rsidRDefault="00FD58CA" w:rsidP="00FD58CA">
      <w:pPr>
        <w:spacing w:line="360" w:lineRule="auto"/>
        <w:jc w:val="both"/>
        <w:rPr>
          <w:rFonts w:ascii="Arial" w:hAnsi="Arial"/>
          <w:b/>
          <w:bCs/>
          <w:rtl/>
        </w:rPr>
      </w:pPr>
      <w:r>
        <w:rPr>
          <w:rFonts w:ascii="Arial" w:hAnsi="Arial"/>
          <w:b/>
          <w:bCs/>
          <w:rtl/>
        </w:rPr>
        <w:t xml:space="preserve">אני מחליטה להרשיע את הנאשם לפי סעיף 24(1) לחוק הנוער (שפיטה, ענישה ודרכי טיפול), תשל"א-1971 וגוזרת את דינו כדלקמן: </w:t>
      </w:r>
    </w:p>
    <w:p w:rsidR="00FD58CA" w:rsidRDefault="00FD58CA" w:rsidP="00FD58CA">
      <w:pPr>
        <w:spacing w:line="360" w:lineRule="auto"/>
        <w:jc w:val="both"/>
        <w:rPr>
          <w:rFonts w:ascii="Arial" w:hAnsi="Arial"/>
          <w:b/>
          <w:bCs/>
          <w:rtl/>
        </w:rPr>
      </w:pPr>
    </w:p>
    <w:p w:rsidR="00FD58CA" w:rsidRDefault="00FD58CA" w:rsidP="00FD58CA">
      <w:pPr>
        <w:pStyle w:val="a6"/>
        <w:numPr>
          <w:ilvl w:val="0"/>
          <w:numId w:val="1"/>
        </w:numPr>
        <w:spacing w:line="360" w:lineRule="auto"/>
        <w:jc w:val="both"/>
        <w:rPr>
          <w:rFonts w:ascii="Arial" w:hAnsi="Arial"/>
          <w:b/>
          <w:bCs/>
          <w:noProof w:val="0"/>
        </w:rPr>
      </w:pPr>
      <w:r>
        <w:rPr>
          <w:rFonts w:ascii="Arial" w:hAnsi="Arial"/>
          <w:b/>
          <w:bCs/>
          <w:noProof w:val="0"/>
          <w:rtl/>
        </w:rPr>
        <w:t xml:space="preserve">3 חודשי מאסר אותם ירצה, אם בתוך שנתיים מהיום יעבור את העבירה בה הורשע או כל עבירה שעניינה אלימות. </w:t>
      </w:r>
      <w:r>
        <w:rPr>
          <w:rFonts w:ascii="Arial" w:hAnsi="Arial" w:hint="cs"/>
          <w:b/>
          <w:bCs/>
          <w:noProof w:val="0"/>
          <w:rtl/>
        </w:rPr>
        <w:t xml:space="preserve"> </w:t>
      </w:r>
    </w:p>
    <w:p w:rsidR="00FD58CA" w:rsidRDefault="00FD58CA" w:rsidP="00FD58CA">
      <w:pPr>
        <w:spacing w:line="360" w:lineRule="auto"/>
        <w:jc w:val="both"/>
        <w:rPr>
          <w:rFonts w:ascii="Arial" w:hAnsi="Arial"/>
          <w:b/>
          <w:bCs/>
          <w:rtl/>
        </w:rPr>
      </w:pPr>
    </w:p>
    <w:p w:rsidR="00FD58CA" w:rsidRPr="00467482" w:rsidRDefault="00FD58CA" w:rsidP="00FD58CA">
      <w:pPr>
        <w:pStyle w:val="a6"/>
        <w:numPr>
          <w:ilvl w:val="0"/>
          <w:numId w:val="1"/>
        </w:numPr>
        <w:spacing w:line="360" w:lineRule="auto"/>
        <w:jc w:val="both"/>
        <w:rPr>
          <w:rFonts w:ascii="Arial" w:hAnsi="Arial"/>
        </w:rPr>
      </w:pPr>
      <w:r w:rsidRPr="00467482">
        <w:rPr>
          <w:rFonts w:ascii="Arial" w:hAnsi="Arial"/>
          <w:b/>
          <w:bCs/>
          <w:rtl/>
        </w:rPr>
        <w:lastRenderedPageBreak/>
        <w:t>התחייבות בסך של 5,000 ₪ למשך שנתיים, אותם ישלם הנאשם אם יעבור שוב את העבירות בהן הורשע. הנאשם התחייב בפניי</w:t>
      </w:r>
      <w:r w:rsidRPr="00467482">
        <w:rPr>
          <w:rFonts w:ascii="Arial" w:hAnsi="Arial"/>
          <w:rtl/>
        </w:rPr>
        <w:t xml:space="preserve">. </w:t>
      </w:r>
    </w:p>
    <w:p w:rsidR="00FD58CA" w:rsidRPr="00A32C13" w:rsidRDefault="00FD58CA" w:rsidP="00FD58CA">
      <w:pPr>
        <w:spacing w:line="360" w:lineRule="auto"/>
        <w:jc w:val="both"/>
        <w:rPr>
          <w:rFonts w:ascii="Arial" w:hAnsi="Arial"/>
        </w:rPr>
      </w:pPr>
    </w:p>
    <w:p w:rsidR="00FD58CA" w:rsidRDefault="00FD58CA" w:rsidP="00FD58CA">
      <w:pPr>
        <w:pStyle w:val="a6"/>
        <w:numPr>
          <w:ilvl w:val="0"/>
          <w:numId w:val="1"/>
        </w:numPr>
        <w:spacing w:line="360" w:lineRule="auto"/>
        <w:jc w:val="both"/>
        <w:rPr>
          <w:rFonts w:ascii="Arial" w:hAnsi="Arial"/>
          <w:b/>
          <w:bCs/>
          <w:noProof w:val="0"/>
        </w:rPr>
      </w:pPr>
      <w:r w:rsidRPr="00A32C13">
        <w:rPr>
          <w:rFonts w:ascii="Arial" w:hAnsi="Arial"/>
          <w:b/>
          <w:bCs/>
          <w:noProof w:val="0"/>
          <w:rtl/>
        </w:rPr>
        <w:t>פיצוי לנפגע העבירה בסך של 2,000 ₪ שי</w:t>
      </w:r>
      <w:r>
        <w:rPr>
          <w:rFonts w:ascii="Arial" w:hAnsi="Arial" w:hint="cs"/>
          <w:b/>
          <w:bCs/>
          <w:noProof w:val="0"/>
          <w:rtl/>
        </w:rPr>
        <w:t xml:space="preserve">קוזז מהפיקדון שהפקיד הנאשם בתיק </w:t>
      </w:r>
      <w:proofErr w:type="spellStart"/>
      <w:r>
        <w:rPr>
          <w:rFonts w:ascii="Arial" w:hAnsi="Arial" w:hint="cs"/>
          <w:b/>
          <w:bCs/>
          <w:noProof w:val="0"/>
          <w:rtl/>
        </w:rPr>
        <w:t>המ"ת</w:t>
      </w:r>
      <w:proofErr w:type="spellEnd"/>
      <w:r>
        <w:rPr>
          <w:rFonts w:ascii="Arial" w:hAnsi="Arial" w:hint="cs"/>
          <w:b/>
          <w:bCs/>
          <w:noProof w:val="0"/>
          <w:rtl/>
        </w:rPr>
        <w:t xml:space="preserve"> 00000-00-25. </w:t>
      </w:r>
    </w:p>
    <w:p w:rsidR="00FD58CA" w:rsidRPr="00A32C13" w:rsidRDefault="00FD58CA" w:rsidP="00FD58CA">
      <w:pPr>
        <w:pStyle w:val="a6"/>
        <w:spacing w:line="360" w:lineRule="auto"/>
        <w:jc w:val="both"/>
        <w:rPr>
          <w:rFonts w:ascii="Arial" w:hAnsi="Arial"/>
          <w:b/>
          <w:bCs/>
          <w:noProof w:val="0"/>
        </w:rPr>
      </w:pPr>
    </w:p>
    <w:p w:rsidR="00FD58CA" w:rsidRDefault="00FD58CA" w:rsidP="00FD58CA">
      <w:pPr>
        <w:spacing w:line="360" w:lineRule="auto"/>
        <w:jc w:val="both"/>
        <w:rPr>
          <w:rtl/>
        </w:rPr>
      </w:pPr>
      <w:r>
        <w:rPr>
          <w:rFonts w:hint="cs"/>
          <w:rtl/>
        </w:rPr>
        <w:t xml:space="preserve">באם הנאשם הפקיד במסגרת צו הבאה שהוגש כנגדו הוא יושב לאמו. </w:t>
      </w:r>
    </w:p>
    <w:p w:rsidR="00FD58CA" w:rsidRDefault="00FD58CA" w:rsidP="00FD58CA">
      <w:pPr>
        <w:spacing w:line="360" w:lineRule="auto"/>
        <w:jc w:val="both"/>
        <w:rPr>
          <w:rtl/>
        </w:rPr>
      </w:pPr>
    </w:p>
    <w:p w:rsidR="00FD58CA" w:rsidRDefault="00FD58CA" w:rsidP="00FD58CA">
      <w:pPr>
        <w:spacing w:line="360" w:lineRule="auto"/>
        <w:jc w:val="both"/>
        <w:rPr>
          <w:rtl/>
        </w:rPr>
      </w:pPr>
      <w:r>
        <w:rPr>
          <w:rFonts w:hint="cs"/>
          <w:rtl/>
        </w:rPr>
        <w:t>כמו כן המזכירות תפעל להחזרת הדרכון  וביטול צו היציאה מהארץ שניתן במסגרת הליכי המעצר.</w:t>
      </w:r>
    </w:p>
    <w:p w:rsidR="00FD58CA" w:rsidRDefault="00FD58CA" w:rsidP="00FD58CA">
      <w:pPr>
        <w:spacing w:line="360" w:lineRule="auto"/>
        <w:jc w:val="both"/>
        <w:rPr>
          <w:rtl/>
        </w:rPr>
      </w:pPr>
    </w:p>
    <w:p w:rsidR="00FD58CA" w:rsidRDefault="00FD58CA" w:rsidP="00FD58CA">
      <w:pPr>
        <w:spacing w:line="360" w:lineRule="auto"/>
        <w:jc w:val="both"/>
        <w:rPr>
          <w:rtl/>
        </w:rPr>
      </w:pPr>
      <w:r>
        <w:rPr>
          <w:rFonts w:ascii="Arial" w:hAnsi="Arial"/>
          <w:b/>
          <w:bCs/>
          <w:rtl/>
        </w:rPr>
        <w:t>זכות על גזר דין זה בתוך 45 ימים מהיום לבית המשפט המחוזי.</w:t>
      </w:r>
      <w:r>
        <w:rPr>
          <w:rFonts w:ascii="Arial" w:hAnsi="Arial" w:hint="cs"/>
          <w:b/>
          <w:bCs/>
          <w:rtl/>
        </w:rPr>
        <w:t xml:space="preserve"> </w:t>
      </w:r>
    </w:p>
    <w:p w:rsidR="00FD58CA" w:rsidRDefault="00FD58CA" w:rsidP="00FD58CA">
      <w:pPr>
        <w:spacing w:line="360" w:lineRule="auto"/>
        <w:jc w:val="both"/>
        <w:rPr>
          <w:sz w:val="6"/>
          <w:szCs w:val="6"/>
          <w:rtl/>
        </w:rPr>
      </w:pPr>
      <w:r>
        <w:rPr>
          <w:sz w:val="6"/>
          <w:szCs w:val="6"/>
          <w:rtl/>
        </w:rPr>
        <w:t>&lt;#3#&gt;</w:t>
      </w:r>
    </w:p>
    <w:p w:rsidR="00FD58CA" w:rsidRDefault="00FD58CA" w:rsidP="00FD58CA">
      <w:pPr>
        <w:rPr>
          <w:rtl/>
        </w:rPr>
      </w:pPr>
    </w:p>
    <w:p w:rsidR="00FD58CA" w:rsidRDefault="00FD58CA" w:rsidP="00FD58CA">
      <w:pPr>
        <w:spacing w:line="360" w:lineRule="auto"/>
        <w:rPr>
          <w:rtl/>
        </w:rPr>
      </w:pPr>
      <w:r>
        <w:rPr>
          <w:rFonts w:hint="cs"/>
          <w:b/>
          <w:bCs/>
          <w:rtl/>
        </w:rPr>
        <w:t xml:space="preserve">ניתנה והודעה היום </w:t>
      </w:r>
      <w:sdt>
        <w:sdtPr>
          <w:rPr>
            <w:rtl/>
          </w:rPr>
          <w:alias w:val="2207"/>
          <w:tag w:val="2207"/>
          <w:id w:val="1329636924"/>
          <w:text w:multiLine="1"/>
        </w:sdtPr>
        <w:sdtEndPr/>
        <w:sdtContent>
          <w:r>
            <w:rPr>
              <w:b/>
              <w:bCs/>
              <w:rtl/>
            </w:rPr>
            <w:t>כ"ב שבט תשפ"ו</w:t>
          </w:r>
        </w:sdtContent>
      </w:sdt>
      <w:r>
        <w:rPr>
          <w:rFonts w:hint="cs"/>
          <w:b/>
          <w:bCs/>
          <w:rtl/>
        </w:rPr>
        <w:t xml:space="preserve">, </w:t>
      </w:r>
      <w:sdt>
        <w:sdtPr>
          <w:rPr>
            <w:rtl/>
          </w:rPr>
          <w:alias w:val="2206"/>
          <w:tag w:val="2206"/>
          <w:id w:val="-1474593809"/>
          <w:text w:multiLine="1"/>
        </w:sdtPr>
        <w:sdtEndPr/>
        <w:sdtContent>
          <w:r>
            <w:rPr>
              <w:b/>
              <w:bCs/>
            </w:rPr>
            <w:t>09/02/2026</w:t>
          </w:r>
        </w:sdtContent>
      </w:sdt>
      <w:r>
        <w:rPr>
          <w:rFonts w:hint="cs"/>
          <w:b/>
          <w:bCs/>
          <w:rtl/>
        </w:rPr>
        <w:t xml:space="preserve"> במעמד הנוכחים.</w:t>
      </w:r>
    </w:p>
    <w:p w:rsidR="00FD58CA" w:rsidRDefault="00FD58CA" w:rsidP="00FD58CA">
      <w:pPr>
        <w:rPr>
          <w:rtl/>
        </w:rPr>
      </w:pPr>
    </w:p>
    <w:tbl>
      <w:tblPr>
        <w:tblStyle w:val="a5"/>
        <w:bidiVisual/>
        <w:tblW w:w="0" w:type="auto"/>
        <w:jc w:val="right"/>
        <w:tblBorders>
          <w:top w:val="none" w:sz="0" w:space="0" w:color="auto"/>
          <w:left w:val="none" w:sz="0" w:space="0" w:color="auto"/>
          <w:bottom w:val="none" w:sz="0" w:space="0" w:color="auto"/>
          <w:right w:val="none" w:sz="0" w:space="0" w:color="auto"/>
        </w:tblBorders>
        <w:tblLook w:val="01E0" w:firstRow="1" w:lastRow="1" w:firstColumn="1" w:lastColumn="1" w:noHBand="0" w:noVBand="0"/>
      </w:tblPr>
      <w:tblGrid>
        <w:gridCol w:w="3936"/>
      </w:tblGrid>
      <w:tr w:rsidR="00FD58CA" w:rsidTr="0087363B">
        <w:trPr>
          <w:trHeight w:val="316"/>
          <w:jc w:val="right"/>
        </w:trPr>
        <w:tc>
          <w:tcPr>
            <w:tcW w:w="3936" w:type="dxa"/>
            <w:vAlign w:val="center"/>
          </w:tcPr>
          <w:p w:rsidR="00FD58CA" w:rsidRDefault="00202FA0" w:rsidP="0087363B">
            <w:pPr>
              <w:jc w:val="center"/>
            </w:pPr>
            <w:sdt>
              <w:sdtPr>
                <w:rPr>
                  <w:rtl/>
                </w:rPr>
                <w:alias w:val="MergeField"/>
                <w:tag w:val="2144"/>
                <w:id w:val="1972790112"/>
              </w:sdtPr>
              <w:sdtEndPr/>
              <w:sdtContent>
                <w:r w:rsidR="00FD58CA">
                  <w:rPr>
                    <w:noProof/>
                  </w:rPr>
                  <w:drawing>
                    <wp:inline distT="0" distB="0" distL="0" distR="0" wp14:anchorId="5BA46FC9" wp14:editId="4E615D77">
                      <wp:extent cx="1162050" cy="400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144.jpg"/>
                              <pic:cNvPicPr/>
                            </pic:nvPicPr>
                            <pic:blipFill>
                              <a:blip r:embed="rId6" cstate="print">
                                <a:extLst/>
                              </a:blip>
                              <a:stretch>
                                <a:fillRect/>
                              </a:stretch>
                            </pic:blipFill>
                            <pic:spPr>
                              <a:xfrm>
                                <a:off x="0" y="0"/>
                                <a:ext cx="1162050" cy="400050"/>
                              </a:xfrm>
                              <a:prstGeom prst="rect">
                                <a:avLst/>
                              </a:prstGeom>
                            </pic:spPr>
                          </pic:pic>
                        </a:graphicData>
                      </a:graphic>
                    </wp:inline>
                  </w:drawing>
                </w:r>
              </w:sdtContent>
            </w:sdt>
          </w:p>
          <w:p w:rsidR="00FD58CA" w:rsidRDefault="00FD58CA" w:rsidP="0087363B">
            <w:pPr>
              <w:jc w:val="center"/>
              <w:rPr>
                <w:rtl/>
              </w:rPr>
            </w:pPr>
          </w:p>
        </w:tc>
      </w:tr>
      <w:tr w:rsidR="00FD58CA" w:rsidTr="0087363B">
        <w:trPr>
          <w:trHeight w:val="361"/>
          <w:jc w:val="right"/>
        </w:trPr>
        <w:tc>
          <w:tcPr>
            <w:tcW w:w="3936" w:type="dxa"/>
            <w:vAlign w:val="center"/>
          </w:tcPr>
          <w:p w:rsidR="00FD58CA" w:rsidRPr="00C02017" w:rsidRDefault="00202FA0" w:rsidP="0087363B">
            <w:pPr>
              <w:jc w:val="center"/>
              <w:rPr>
                <w:b/>
                <w:bCs/>
                <w:rtl/>
              </w:rPr>
            </w:pPr>
            <w:sdt>
              <w:sdtPr>
                <w:rPr>
                  <w:b/>
                  <w:bCs/>
                  <w:rtl/>
                </w:rPr>
                <w:alias w:val="2141"/>
                <w:tag w:val="2141"/>
                <w:id w:val="2119712613"/>
                <w:placeholder>
                  <w:docPart w:val="175153FC89974A629725B9A0F9CA17FD"/>
                </w:placeholder>
                <w:text w:multiLine="1"/>
              </w:sdtPr>
              <w:sdtEndPr/>
              <w:sdtContent>
                <w:r w:rsidR="00FD58CA">
                  <w:rPr>
                    <w:b/>
                    <w:bCs/>
                    <w:rtl/>
                  </w:rPr>
                  <w:t>מירב</w:t>
                </w:r>
              </w:sdtContent>
            </w:sdt>
            <w:r w:rsidR="00FD58CA" w:rsidRPr="00C02017">
              <w:rPr>
                <w:rFonts w:hint="cs"/>
                <w:b/>
                <w:bCs/>
                <w:rtl/>
              </w:rPr>
              <w:t xml:space="preserve"> </w:t>
            </w:r>
            <w:sdt>
              <w:sdtPr>
                <w:rPr>
                  <w:rFonts w:hint="cs"/>
                  <w:b/>
                  <w:bCs/>
                  <w:rtl/>
                </w:rPr>
                <w:alias w:val="2142"/>
                <w:tag w:val="2142"/>
                <w:id w:val="-26639521"/>
                <w:placeholder>
                  <w:docPart w:val="C64FBD7A262F452ABD5762A50535CFC8"/>
                </w:placeholder>
                <w:text w:multiLine="1"/>
              </w:sdtPr>
              <w:sdtEndPr/>
              <w:sdtContent>
                <w:r w:rsidR="00FD58CA">
                  <w:rPr>
                    <w:b/>
                    <w:bCs/>
                    <w:rtl/>
                  </w:rPr>
                  <w:t>הרשקוביץ יצחקי</w:t>
                </w:r>
              </w:sdtContent>
            </w:sdt>
            <w:r w:rsidR="00FD58CA" w:rsidRPr="00C02017">
              <w:rPr>
                <w:rFonts w:hint="cs"/>
                <w:b/>
                <w:bCs/>
                <w:rtl/>
              </w:rPr>
              <w:t xml:space="preserve">, </w:t>
            </w:r>
            <w:sdt>
              <w:sdtPr>
                <w:rPr>
                  <w:rFonts w:hint="cs"/>
                  <w:b/>
                  <w:bCs/>
                  <w:rtl/>
                </w:rPr>
                <w:alias w:val="2143"/>
                <w:tag w:val="2143"/>
                <w:id w:val="1647695366"/>
                <w:placeholder>
                  <w:docPart w:val="D37D86D0390E4FD6981D718D56B3C99F"/>
                </w:placeholder>
                <w:text w:multiLine="1"/>
              </w:sdtPr>
              <w:sdtEndPr/>
              <w:sdtContent>
                <w:r w:rsidR="00FD58CA">
                  <w:rPr>
                    <w:b/>
                    <w:bCs/>
                    <w:rtl/>
                  </w:rPr>
                  <w:t>שופטת</w:t>
                </w:r>
              </w:sdtContent>
            </w:sdt>
          </w:p>
        </w:tc>
      </w:tr>
    </w:tbl>
    <w:p w:rsidR="00FD58CA" w:rsidRDefault="00FD58CA" w:rsidP="00FD58CA">
      <w:pPr>
        <w:spacing w:line="360" w:lineRule="auto"/>
        <w:jc w:val="both"/>
        <w:rPr>
          <w:rtl/>
        </w:rPr>
      </w:pPr>
      <w:r>
        <w:rPr>
          <w:rFonts w:hint="cs"/>
          <w:rtl/>
        </w:rPr>
        <w:t xml:space="preserve"> </w:t>
      </w:r>
    </w:p>
    <w:p w:rsidR="00E50B47" w:rsidRDefault="00E50B47"/>
    <w:sectPr w:rsidR="00E50B47" w:rsidSect="00FC0CE3">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1F7216"/>
    <w:multiLevelType w:val="hybridMultilevel"/>
    <w:tmpl w:val="D0DE8F18"/>
    <w:lvl w:ilvl="0" w:tplc="0FA6A646">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659"/>
    <w:rsid w:val="00202FA0"/>
    <w:rsid w:val="006A295B"/>
    <w:rsid w:val="00757659"/>
    <w:rsid w:val="00E50B47"/>
    <w:rsid w:val="00FC0CE3"/>
    <w:rsid w:val="00FD58C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027D8"/>
  <w15:chartTrackingRefBased/>
  <w15:docId w15:val="{C0E38A89-6115-40F7-A755-EDD523CE5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58CA"/>
    <w:pPr>
      <w:bidi/>
      <w:spacing w:after="0" w:line="240" w:lineRule="auto"/>
    </w:pPr>
    <w:rPr>
      <w:rFonts w:ascii="David" w:eastAsia="David" w:hAnsi="David" w:cs="David"/>
      <w:kern w:val="0"/>
      <w:sz w:val="24"/>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D58CA"/>
    <w:pPr>
      <w:tabs>
        <w:tab w:val="center" w:pos="4153"/>
        <w:tab w:val="right" w:pos="8306"/>
      </w:tabs>
    </w:pPr>
  </w:style>
  <w:style w:type="character" w:customStyle="1" w:styleId="a4">
    <w:name w:val="כותרת עליונה תו"/>
    <w:basedOn w:val="a0"/>
    <w:link w:val="a3"/>
    <w:rsid w:val="00FD58CA"/>
    <w:rPr>
      <w:rFonts w:ascii="David" w:eastAsia="David" w:hAnsi="David" w:cs="David"/>
      <w:kern w:val="0"/>
      <w:sz w:val="24"/>
      <w:szCs w:val="24"/>
      <w14:ligatures w14:val="none"/>
    </w:rPr>
  </w:style>
  <w:style w:type="table" w:styleId="a5">
    <w:name w:val="Table Grid"/>
    <w:basedOn w:val="a1"/>
    <w:rsid w:val="00FD58CA"/>
    <w:pPr>
      <w:spacing w:after="0" w:line="240" w:lineRule="auto"/>
      <w:jc w:val="right"/>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mesNewRomanTimesNewRoman">
    <w:name w:val="סגנון (לטיני) Times New Roman (עברית ושפות אחרות) Times New Roman..."/>
    <w:basedOn w:val="a0"/>
    <w:rsid w:val="00FD58CA"/>
    <w:rPr>
      <w:rFonts w:ascii="Times New Roman" w:hAnsi="Times New Roman" w:cs="David"/>
      <w:b/>
      <w:bCs/>
      <w:sz w:val="26"/>
      <w:szCs w:val="26"/>
    </w:rPr>
  </w:style>
  <w:style w:type="paragraph" w:styleId="a6">
    <w:name w:val="List Paragraph"/>
    <w:basedOn w:val="a"/>
    <w:uiPriority w:val="34"/>
    <w:qFormat/>
    <w:rsid w:val="00FD58CA"/>
    <w:pPr>
      <w:ind w:left="720"/>
      <w:contextualSpacing/>
    </w:pPr>
    <w:rPr>
      <w:rFonts w:ascii="Times New Roman" w:eastAsia="Times New Roman" w:hAnsi="Times New Roma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customXml" Target="../customXml/item2.xml"/><Relationship Id="rId5" Type="http://schemas.openxmlformats.org/officeDocument/2006/relationships/image" Target="media/image1.jpeg"/><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75153FC89974A629725B9A0F9CA17FD"/>
        <w:category>
          <w:name w:val="כללי"/>
          <w:gallery w:val="placeholder"/>
        </w:category>
        <w:types>
          <w:type w:val="bbPlcHdr"/>
        </w:types>
        <w:behaviors>
          <w:behavior w:val="content"/>
        </w:behaviors>
        <w:guid w:val="{40164672-3701-4783-BE71-30B5B274012C}"/>
      </w:docPartPr>
      <w:docPartBody>
        <w:p w:rsidR="0089558B" w:rsidRDefault="00330163" w:rsidP="00330163">
          <w:pPr>
            <w:pStyle w:val="175153FC89974A629725B9A0F9CA17FD"/>
          </w:pPr>
          <w:r w:rsidRPr="002A7028">
            <w:rPr>
              <w:rFonts w:cs="David"/>
              <w:b/>
              <w:bCs/>
              <w:rtl/>
            </w:rPr>
            <w:t>שם פרטי חותם</w:t>
          </w:r>
        </w:p>
      </w:docPartBody>
    </w:docPart>
    <w:docPart>
      <w:docPartPr>
        <w:name w:val="C64FBD7A262F452ABD5762A50535CFC8"/>
        <w:category>
          <w:name w:val="כללי"/>
          <w:gallery w:val="placeholder"/>
        </w:category>
        <w:types>
          <w:type w:val="bbPlcHdr"/>
        </w:types>
        <w:behaviors>
          <w:behavior w:val="content"/>
        </w:behaviors>
        <w:guid w:val="{D1899D96-AA4C-4AFE-8CED-6BA3B7E3ADF1}"/>
      </w:docPartPr>
      <w:docPartBody>
        <w:p w:rsidR="0089558B" w:rsidRDefault="00330163" w:rsidP="00330163">
          <w:pPr>
            <w:pStyle w:val="C64FBD7A262F452ABD5762A50535CFC8"/>
          </w:pPr>
          <w:r w:rsidRPr="002A7028">
            <w:rPr>
              <w:rFonts w:cs="David"/>
              <w:b/>
              <w:bCs/>
              <w:rtl/>
            </w:rPr>
            <w:t>שם משפחה חותם</w:t>
          </w:r>
        </w:p>
      </w:docPartBody>
    </w:docPart>
    <w:docPart>
      <w:docPartPr>
        <w:name w:val="D37D86D0390E4FD6981D718D56B3C99F"/>
        <w:category>
          <w:name w:val="כללי"/>
          <w:gallery w:val="placeholder"/>
        </w:category>
        <w:types>
          <w:type w:val="bbPlcHdr"/>
        </w:types>
        <w:behaviors>
          <w:behavior w:val="content"/>
        </w:behaviors>
        <w:guid w:val="{A63C07C4-7D8F-4022-B90F-0E01279619C7}"/>
      </w:docPartPr>
      <w:docPartBody>
        <w:p w:rsidR="0089558B" w:rsidRDefault="00330163" w:rsidP="00330163">
          <w:pPr>
            <w:pStyle w:val="D37D86D0390E4FD6981D718D56B3C99F"/>
          </w:pPr>
          <w:r w:rsidRPr="002A7028">
            <w:rPr>
              <w:rFonts w:cs="David"/>
              <w:b/>
              <w:bCs/>
              <w:rtl/>
            </w:rPr>
            <w:t>מעמד חותם</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163"/>
    <w:rsid w:val="00330163"/>
    <w:rsid w:val="0089558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75153FC89974A629725B9A0F9CA17FD">
    <w:name w:val="175153FC89974A629725B9A0F9CA17FD"/>
    <w:rsid w:val="00330163"/>
    <w:pPr>
      <w:bidi/>
    </w:pPr>
  </w:style>
  <w:style w:type="paragraph" w:customStyle="1" w:styleId="C64FBD7A262F452ABD5762A50535CFC8">
    <w:name w:val="C64FBD7A262F452ABD5762A50535CFC8"/>
    <w:rsid w:val="00330163"/>
    <w:pPr>
      <w:bidi/>
    </w:pPr>
  </w:style>
  <w:style w:type="paragraph" w:customStyle="1" w:styleId="D37D86D0390E4FD6981D718D56B3C99F">
    <w:name w:val="D37D86D0390E4FD6981D718D56B3C99F"/>
    <w:rsid w:val="00330163"/>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D14B444B73C66F4D8F7A5C7372A0688B" ma:contentTypeVersion="14" ma:contentTypeDescription="צור מסמך חדש." ma:contentTypeScope="" ma:versionID="c98f59440695c04c0f4c4184ba1a4e36">
  <xsd:schema xmlns:xsd="http://www.w3.org/2001/XMLSchema" xmlns:xs="http://www.w3.org/2001/XMLSchema" xmlns:p="http://schemas.microsoft.com/office/2006/metadata/properties" xmlns:ns2="f8a6e939-b6d5-48f2-beb1-cad6b6aab4f7" xmlns:ns3="0279f740-2c89-4fc7-8423-b7691f8f90b5" targetNamespace="http://schemas.microsoft.com/office/2006/metadata/properties" ma:root="true" ma:fieldsID="32d1abad5dd67cddb8fc48a83adb3489" ns2:_="" ns3:_="">
    <xsd:import namespace="f8a6e939-b6d5-48f2-beb1-cad6b6aab4f7"/>
    <xsd:import namespace="0279f740-2c89-4fc7-8423-b7691f8f90b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a6e939-b6d5-48f2-beb1-cad6b6aab4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תגיות תמונה" ma:readOnly="false" ma:fieldId="{5cf76f15-5ced-4ddc-b409-7134ff3c332f}" ma:taxonomyMulti="true" ma:sspId="38c8c603-0683-47a1-b6a0-4f7fe2db900d"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79f740-2c89-4fc7-8423-b7691f8f90b5"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d7912b60-1afa-435e-b0ae-0ceb29cfce64}" ma:internalName="TaxCatchAll" ma:showField="CatchAllData" ma:web="0279f740-2c89-4fc7-8423-b7691f8f90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279f740-2c89-4fc7-8423-b7691f8f90b5" xsi:nil="true"/>
    <lcf76f155ced4ddcb4097134ff3c332f xmlns="f8a6e939-b6d5-48f2-beb1-cad6b6aab4f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CAC9643-E5AD-4FE6-8B08-F23D542FC310}"/>
</file>

<file path=customXml/itemProps2.xml><?xml version="1.0" encoding="utf-8"?>
<ds:datastoreItem xmlns:ds="http://schemas.openxmlformats.org/officeDocument/2006/customXml" ds:itemID="{25B36CCF-7922-4412-834E-042E420C0AB8}"/>
</file>

<file path=customXml/itemProps3.xml><?xml version="1.0" encoding="utf-8"?>
<ds:datastoreItem xmlns:ds="http://schemas.openxmlformats.org/officeDocument/2006/customXml" ds:itemID="{979A2532-15EF-42D1-A07B-BAA50581DAB8}"/>
</file>

<file path=docProps/app.xml><?xml version="1.0" encoding="utf-8"?>
<Properties xmlns="http://schemas.openxmlformats.org/officeDocument/2006/extended-properties" xmlns:vt="http://schemas.openxmlformats.org/officeDocument/2006/docPropsVTypes">
  <Template>Normal</Template>
  <TotalTime>0</TotalTime>
  <Pages>5</Pages>
  <Words>1530</Words>
  <Characters>7653</Characters>
  <Application>Microsoft Office Word</Application>
  <DocSecurity>4</DocSecurity>
  <Lines>63</Lines>
  <Paragraphs>18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9165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מור איסקוב</dc:creator>
  <cp:keywords/>
  <dc:description/>
  <cp:lastModifiedBy>מיכל דגן</cp:lastModifiedBy>
  <cp:revision>2</cp:revision>
  <dcterms:created xsi:type="dcterms:W3CDTF">2026-02-23T11:34:00Z</dcterms:created>
  <dcterms:modified xsi:type="dcterms:W3CDTF">2026-02-23T11:34:00Z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0x010100D14B444B73C66F4D8F7A5C7372A0688B</vt:lpwstr>
  </property>
</Properties>
</file>