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tbl>
      <w:tblPr>
        <w:bidiVisual/>
        <w:tblW w:w="0" w:type="auto"/>
        <w:jc w:val="center"/>
        <w:tblLook w:val="0000"/>
      </w:tblPr>
      <w:tblGrid>
        <w:gridCol w:w="8505"/>
      </w:tblGrid>
      <w:tr w:rsidTr="0096399A">
        <w:tblPrEx>
          <w:tblW w:w="0" w:type="auto"/>
          <w:jc w:val="center"/>
          <w:tblLook w:val="0000"/>
        </w:tblPrEx>
        <w:trPr>
          <w:trHeight w:hRule="exact" w:val="670"/>
          <w:jc w:val="center"/>
        </w:trPr>
        <w:tc>
          <w:tcPr>
            <w:tcW w:w="8721" w:type="dxa"/>
          </w:tcPr>
          <w:p w:rsidR="002702D3" w:rsidRPr="00FB1558" w:rsidP="0096399A">
            <w:pPr>
              <w:pStyle w:val="Header"/>
              <w:jc w:val="center"/>
              <w:rPr>
                <w:rFonts w:ascii="Tahoma" w:hAnsi="Tahoma" w:cs="Tahoma"/>
                <w:noProof w:val="0"/>
                <w:color w:val="000080"/>
                <w:rtl/>
              </w:rPr>
            </w:pPr>
            <w:r>
              <w:rPr>
                <w:rtl/>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margin">
                        <wp:align>center</wp:align>
                      </wp:positionV>
                      <wp:extent cx="5157470" cy="266700"/>
                      <wp:effectExtent l="1905" t="3810" r="3175" b="0"/>
                      <wp:wrapNone/>
                      <wp:docPr id="16"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noChangeShapeType="1"/>
                            </wps:cNvSpPr>
                            <wps:spPr bwMode="auto">
                              <a:xfrm rot="18900000">
                                <a:off x="0" y="0"/>
                                <a:ext cx="5157470" cy="266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702D3" w:rsidP="002702D3">
                                  <w:pPr>
                                    <w:pStyle w:val="NormalWeb"/>
                                    <w:bidi/>
                                    <w:spacing w:before="0" w:beforeAutospacing="0" w:after="0" w:afterAutospacing="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406.1pt;height:2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75648" filled="f" stroked="f">
                      <v:stroke joinstyle="round"/>
                      <o:lock v:ext="edit" aspectratio="t" shapetype="t"/>
                      <v:textbox style="mso-fit-shape-to-text:t">
                        <w:txbxContent>
                          <w:p w:rsidR="002702D3" w:rsidP="002702D3">
                            <w:pPr>
                              <w:pStyle w:val="NormalWeb"/>
                              <w:bidi/>
                              <w:spacing w:before="0" w:beforeAutospacing="0" w:after="0" w:afterAutospacing="0"/>
                              <w:jc w:val="center"/>
                            </w:pPr>
                          </w:p>
                        </w:txbxContent>
                      </v:textbox>
                      <w10:wrap anchorx="margin" anchory="margin"/>
                    </v:shape>
                  </w:pict>
                </mc:Fallback>
              </mc:AlternateContent>
            </w:r>
            <w:r w:rsidRPr="00FB1558" w:rsidR="00DA6D89">
              <w:rPr>
                <w:rFonts w:ascii="Tahoma" w:hAnsi="Tahoma" w:cs="Tahoma"/>
                <w:b/>
                <w:bCs/>
                <w:noProof w:val="0"/>
                <w:color w:val="000080"/>
                <w:rtl/>
              </w:rPr>
              <w:t>בית משפט לענייני משפחה בצפת</w:t>
            </w:r>
          </w:p>
        </w:tc>
      </w:tr>
      <w:tr w:rsidTr="0096399A">
        <w:tblPrEx>
          <w:tblW w:w="0" w:type="auto"/>
          <w:jc w:val="center"/>
          <w:tblLook w:val="0000"/>
        </w:tblPrEx>
        <w:trPr>
          <w:trHeight w:val="337"/>
          <w:jc w:val="center"/>
        </w:trPr>
        <w:tc>
          <w:tcPr>
            <w:tcW w:w="8721" w:type="dxa"/>
          </w:tcPr>
          <w:p w:rsidR="002702D3" w:rsidRPr="00FB1558" w:rsidP="0096399A">
            <w:pPr>
              <w:rPr>
                <w:b/>
                <w:bCs/>
                <w:noProof w:val="0"/>
                <w:sz w:val="26"/>
                <w:szCs w:val="26"/>
                <w:rtl/>
              </w:rPr>
            </w:pPr>
            <w:r w:rsidRPr="00FB1558">
              <w:rPr>
                <w:b/>
                <w:bCs/>
                <w:noProof w:val="0"/>
                <w:sz w:val="26"/>
                <w:szCs w:val="26"/>
                <w:rtl/>
              </w:rPr>
              <w:t xml:space="preserve">תלה"מ 50056-09-24 </w:t>
            </w:r>
            <w:r w:rsidRPr="00FB1558">
              <w:rPr>
                <w:rFonts w:hint="cs"/>
                <w:b/>
                <w:bCs/>
                <w:noProof w:val="0"/>
                <w:sz w:val="26"/>
                <w:szCs w:val="26"/>
                <w:rtl/>
              </w:rPr>
              <w:t>פלונית</w:t>
            </w:r>
            <w:r w:rsidRPr="00FB1558">
              <w:rPr>
                <w:b/>
                <w:bCs/>
                <w:noProof w:val="0"/>
                <w:sz w:val="26"/>
                <w:szCs w:val="26"/>
                <w:rtl/>
              </w:rPr>
              <w:t xml:space="preserve"> נ' </w:t>
            </w:r>
            <w:r w:rsidRPr="00FB1558">
              <w:rPr>
                <w:rFonts w:hint="cs"/>
                <w:b/>
                <w:bCs/>
                <w:noProof w:val="0"/>
                <w:sz w:val="26"/>
                <w:szCs w:val="26"/>
                <w:rtl/>
              </w:rPr>
              <w:t>אלמוני</w:t>
            </w:r>
          </w:p>
          <w:p w:rsidR="002702D3" w:rsidRPr="00FB1558" w:rsidP="0096399A">
            <w:pPr>
              <w:rPr>
                <w:b/>
                <w:bCs/>
                <w:noProof w:val="0"/>
                <w:sz w:val="2"/>
                <w:szCs w:val="2"/>
                <w:rtl/>
              </w:rPr>
            </w:pPr>
          </w:p>
          <w:p w:rsidR="002702D3" w:rsidRPr="00FB1558" w:rsidP="0096399A">
            <w:pPr>
              <w:rPr>
                <w:b/>
                <w:bCs/>
                <w:noProof w:val="0"/>
                <w:sz w:val="26"/>
                <w:szCs w:val="26"/>
                <w:rtl/>
              </w:rPr>
            </w:pPr>
            <w:r w:rsidRPr="00FB1558">
              <w:rPr>
                <w:rFonts w:hint="cs"/>
                <w:b/>
                <w:bCs/>
                <w:noProof w:val="0"/>
                <w:sz w:val="26"/>
                <w:szCs w:val="26"/>
                <w:rtl/>
              </w:rPr>
              <w:t xml:space="preserve"> </w:t>
            </w:r>
          </w:p>
          <w:p w:rsidR="002702D3" w:rsidRPr="00FB1558" w:rsidP="0096399A">
            <w:pPr>
              <w:rPr>
                <w:b/>
                <w:bCs/>
                <w:noProof w:val="0"/>
                <w:sz w:val="26"/>
                <w:szCs w:val="26"/>
                <w:rtl/>
              </w:rPr>
            </w:pPr>
            <w:r w:rsidRPr="00FB1558">
              <w:rPr>
                <w:rFonts w:hint="cs"/>
                <w:sz w:val="20"/>
                <w:szCs w:val="20"/>
                <w:rtl/>
              </w:rPr>
              <w:t xml:space="preserve">תיק חיצוני:   </w:t>
            </w:r>
          </w:p>
        </w:tc>
      </w:tr>
    </w:tbl>
    <w:p w:rsidR="002702D3" w:rsidRPr="00FB1558" w:rsidP="000932DD">
      <w:pPr>
        <w:pStyle w:val="Header"/>
        <w:rPr>
          <w:sz w:val="26"/>
          <w:szCs w:val="26"/>
        </w:rPr>
      </w:pPr>
      <w:r w:rsidRPr="00FB1558">
        <w:rPr>
          <w:noProof w:val="0"/>
          <w:rtl/>
        </w:rPr>
        <w:t xml:space="preserve"> </w:t>
      </w:r>
    </w:p>
    <w:tbl>
      <w:tblPr>
        <w:bidiVisual/>
        <w:tblW w:w="8820" w:type="dxa"/>
        <w:jc w:val="center"/>
        <w:tblLook w:val="01E0"/>
      </w:tblPr>
      <w:tblGrid>
        <w:gridCol w:w="743"/>
        <w:gridCol w:w="2506"/>
        <w:gridCol w:w="5571"/>
      </w:tblGrid>
      <w:tr w:rsidTr="002702D3">
        <w:tblPrEx>
          <w:tblW w:w="8820" w:type="dxa"/>
          <w:jc w:val="center"/>
          <w:tblLook w:val="01E0"/>
        </w:tblPrEx>
        <w:trPr>
          <w:jc w:val="center"/>
        </w:trPr>
        <w:tc>
          <w:tcPr>
            <w:tcW w:w="743" w:type="dxa"/>
            <w:shd w:val="clear" w:color="auto" w:fill="auto"/>
          </w:tcPr>
          <w:p w:rsidR="002702D3" w:rsidRPr="00FB1558" w:rsidP="002702D3">
            <w:pPr>
              <w:jc w:val="both"/>
              <w:rPr>
                <w:rFonts w:ascii="Arial (W1)" w:hAnsi="Arial (W1)"/>
                <w:b/>
                <w:bCs/>
                <w:sz w:val="28"/>
                <w:szCs w:val="28"/>
              </w:rPr>
            </w:pPr>
            <w:r w:rsidRPr="00FB1558">
              <w:rPr>
                <w:rFonts w:hint="cs"/>
                <w:b/>
                <w:bCs/>
                <w:sz w:val="28"/>
                <w:rtl/>
              </w:rPr>
              <w:t xml:space="preserve">לפני </w:t>
            </w:r>
          </w:p>
        </w:tc>
        <w:tc>
          <w:tcPr>
            <w:tcW w:w="8077" w:type="dxa"/>
            <w:gridSpan w:val="2"/>
            <w:shd w:val="clear" w:color="auto" w:fill="auto"/>
          </w:tcPr>
          <w:p w:rsidR="002702D3" w:rsidRPr="00FB1558" w:rsidP="0096399A">
            <w:pPr>
              <w:rPr>
                <w:rFonts w:ascii="Arial" w:hAnsi="Arial"/>
                <w:b/>
                <w:bCs/>
                <w:rtl/>
              </w:rPr>
            </w:pPr>
            <w:r w:rsidRPr="00FB1558">
              <w:rPr>
                <w:rFonts w:ascii="Arial" w:hAnsi="Arial" w:hint="cs"/>
                <w:b/>
                <w:bCs/>
                <w:rtl/>
              </w:rPr>
              <w:t>כבוד ה</w:t>
            </w:r>
            <w:r w:rsidRPr="00FB1558">
              <w:rPr>
                <w:rFonts w:ascii="Arial" w:hAnsi="Arial"/>
                <w:b/>
                <w:bCs/>
                <w:rtl/>
              </w:rPr>
              <w:t>שופטת, סגנית הנשיא</w:t>
            </w:r>
            <w:r w:rsidRPr="00FB1558">
              <w:rPr>
                <w:rFonts w:ascii="Arial" w:hAnsi="Arial" w:hint="cs"/>
                <w:b/>
                <w:bCs/>
                <w:rtl/>
              </w:rPr>
              <w:t xml:space="preserve">  </w:t>
            </w:r>
            <w:bookmarkStart w:id="0" w:name="_Hlk215130321"/>
            <w:r w:rsidRPr="00FB1558">
              <w:rPr>
                <w:rFonts w:ascii="Arial" w:hAnsi="Arial"/>
                <w:b/>
                <w:bCs/>
                <w:rtl/>
              </w:rPr>
              <w:t>אביבית נחמיאס</w:t>
            </w:r>
            <w:bookmarkEnd w:id="0"/>
          </w:p>
          <w:p w:rsidR="002702D3" w:rsidRPr="00FB1558" w:rsidP="0096399A"/>
        </w:tc>
      </w:tr>
      <w:tr w:rsidTr="002702D3">
        <w:tblPrEx>
          <w:tblW w:w="8820" w:type="dxa"/>
          <w:jc w:val="center"/>
          <w:tblLook w:val="01E0"/>
        </w:tblPrEx>
        <w:trPr>
          <w:jc w:val="center"/>
        </w:trPr>
        <w:tc>
          <w:tcPr>
            <w:tcW w:w="3249" w:type="dxa"/>
            <w:gridSpan w:val="2"/>
            <w:shd w:val="clear" w:color="auto" w:fill="auto"/>
          </w:tcPr>
          <w:p w:rsidR="002702D3" w:rsidRPr="00FB1558" w:rsidP="002702D3">
            <w:pPr>
              <w:bidi w:val="0"/>
              <w:rPr>
                <w:rFonts w:ascii="Arial (W1)" w:hAnsi="Arial (W1)"/>
                <w:b/>
                <w:bCs/>
                <w:noProof w:val="0"/>
                <w:sz w:val="28"/>
                <w:szCs w:val="28"/>
                <w:rtl/>
              </w:rPr>
            </w:pPr>
            <w:bookmarkStart w:id="1" w:name="LastJudge"/>
            <w:bookmarkStart w:id="2" w:name="FirstAppellant"/>
            <w:bookmarkEnd w:id="1"/>
          </w:p>
          <w:p w:rsidR="002702D3" w:rsidRPr="00FB1558" w:rsidP="0096399A">
            <w:pPr>
              <w:rPr>
                <w:rFonts w:ascii="Arial (W1)" w:hAnsi="Arial (W1)"/>
                <w:b/>
                <w:bCs/>
                <w:noProof w:val="0"/>
                <w:sz w:val="28"/>
                <w:szCs w:val="28"/>
              </w:rPr>
            </w:pPr>
            <w:r w:rsidRPr="00FB1558">
              <w:rPr>
                <w:rFonts w:hint="cs"/>
                <w:b/>
                <w:bCs/>
                <w:noProof w:val="0"/>
                <w:sz w:val="28"/>
                <w:rtl/>
              </w:rPr>
              <w:t>תובעת</w:t>
            </w:r>
          </w:p>
        </w:tc>
        <w:tc>
          <w:tcPr>
            <w:tcW w:w="5571" w:type="dxa"/>
            <w:shd w:val="clear" w:color="auto" w:fill="auto"/>
          </w:tcPr>
          <w:p w:rsidR="002702D3" w:rsidRPr="00FB1558" w:rsidP="0096399A">
            <w:pPr>
              <w:rPr>
                <w:rFonts w:ascii="Arial (W1)" w:hAnsi="Arial (W1)"/>
                <w:b/>
                <w:bCs/>
                <w:noProof w:val="0"/>
                <w:sz w:val="28"/>
                <w:szCs w:val="28"/>
                <w:rtl/>
              </w:rPr>
            </w:pPr>
          </w:p>
          <w:p w:rsidR="002702D3" w:rsidRPr="00FB1558" w:rsidP="0096399A">
            <w:pPr>
              <w:rPr>
                <w:rFonts w:ascii="Arial (W1)" w:hAnsi="Arial (W1)"/>
                <w:b/>
                <w:bCs/>
                <w:noProof w:val="0"/>
                <w:sz w:val="28"/>
                <w:szCs w:val="28"/>
              </w:rPr>
            </w:pPr>
            <w:r w:rsidRPr="00FB1558">
              <w:rPr>
                <w:rFonts w:hint="cs"/>
                <w:b/>
                <w:bCs/>
                <w:noProof w:val="0"/>
                <w:sz w:val="28"/>
                <w:rtl/>
              </w:rPr>
              <w:t>פלונית</w:t>
            </w:r>
          </w:p>
        </w:tc>
      </w:tr>
      <w:bookmarkEnd w:id="2"/>
      <w:tr w:rsidTr="002702D3">
        <w:tblPrEx>
          <w:tblW w:w="8820" w:type="dxa"/>
          <w:jc w:val="center"/>
          <w:tblLook w:val="01E0"/>
        </w:tblPrEx>
        <w:trPr>
          <w:jc w:val="center"/>
        </w:trPr>
        <w:tc>
          <w:tcPr>
            <w:tcW w:w="8820" w:type="dxa"/>
            <w:gridSpan w:val="3"/>
            <w:shd w:val="clear" w:color="auto" w:fill="auto"/>
          </w:tcPr>
          <w:p w:rsidR="002702D3" w:rsidRPr="00FB1558" w:rsidP="0096399A">
            <w:pPr>
              <w:rPr>
                <w:rFonts w:ascii="Arial (W1)" w:hAnsi="Arial (W1)"/>
                <w:b/>
                <w:bCs/>
                <w:noProof w:val="0"/>
                <w:sz w:val="28"/>
                <w:szCs w:val="28"/>
                <w:rtl/>
              </w:rPr>
            </w:pPr>
          </w:p>
          <w:p w:rsidR="002702D3" w:rsidRPr="00FB1558" w:rsidP="002702D3">
            <w:pPr>
              <w:jc w:val="center"/>
              <w:rPr>
                <w:b/>
                <w:bCs/>
                <w:noProof w:val="0"/>
                <w:sz w:val="28"/>
                <w:rtl/>
              </w:rPr>
            </w:pPr>
            <w:r w:rsidRPr="00FB1558">
              <w:rPr>
                <w:rFonts w:hint="cs"/>
                <w:b/>
                <w:bCs/>
                <w:noProof w:val="0"/>
                <w:sz w:val="28"/>
                <w:rtl/>
              </w:rPr>
              <w:t>נגד</w:t>
            </w:r>
          </w:p>
          <w:p w:rsidR="002702D3" w:rsidRPr="00FB1558" w:rsidP="0096399A">
            <w:pPr>
              <w:rPr>
                <w:rFonts w:ascii="Arial (W1)" w:hAnsi="Arial (W1)"/>
                <w:b/>
                <w:bCs/>
                <w:noProof w:val="0"/>
                <w:sz w:val="28"/>
                <w:szCs w:val="28"/>
              </w:rPr>
            </w:pPr>
          </w:p>
        </w:tc>
      </w:tr>
      <w:tr w:rsidTr="002702D3">
        <w:tblPrEx>
          <w:tblW w:w="8820" w:type="dxa"/>
          <w:jc w:val="center"/>
          <w:tblLook w:val="01E0"/>
        </w:tblPrEx>
        <w:trPr>
          <w:jc w:val="center"/>
        </w:trPr>
        <w:tc>
          <w:tcPr>
            <w:tcW w:w="3249" w:type="dxa"/>
            <w:gridSpan w:val="2"/>
            <w:shd w:val="clear" w:color="auto" w:fill="auto"/>
          </w:tcPr>
          <w:p w:rsidR="002702D3" w:rsidRPr="00FB1558" w:rsidP="0096399A">
            <w:pPr>
              <w:rPr>
                <w:rFonts w:ascii="Arial (W1)" w:hAnsi="Arial (W1)"/>
                <w:b/>
                <w:bCs/>
                <w:noProof w:val="0"/>
                <w:sz w:val="28"/>
                <w:szCs w:val="28"/>
                <w:rtl/>
              </w:rPr>
            </w:pPr>
          </w:p>
          <w:p w:rsidR="002702D3" w:rsidRPr="00FB1558" w:rsidP="0096399A">
            <w:pPr>
              <w:rPr>
                <w:rFonts w:ascii="Arial (W1)" w:hAnsi="Arial (W1)"/>
                <w:b/>
                <w:bCs/>
                <w:noProof w:val="0"/>
                <w:sz w:val="28"/>
                <w:szCs w:val="28"/>
              </w:rPr>
            </w:pPr>
            <w:r w:rsidRPr="00FB1558">
              <w:rPr>
                <w:rFonts w:hint="cs"/>
                <w:b/>
                <w:bCs/>
                <w:noProof w:val="0"/>
                <w:sz w:val="28"/>
                <w:rtl/>
              </w:rPr>
              <w:t>נתבע</w:t>
            </w:r>
          </w:p>
        </w:tc>
        <w:tc>
          <w:tcPr>
            <w:tcW w:w="5571" w:type="dxa"/>
            <w:shd w:val="clear" w:color="auto" w:fill="auto"/>
          </w:tcPr>
          <w:p w:rsidR="002702D3" w:rsidRPr="00FB1558" w:rsidP="0096399A">
            <w:pPr>
              <w:rPr>
                <w:rFonts w:ascii="Arial (W1)" w:hAnsi="Arial (W1)"/>
                <w:b/>
                <w:bCs/>
                <w:noProof w:val="0"/>
                <w:sz w:val="28"/>
                <w:szCs w:val="28"/>
                <w:rtl/>
              </w:rPr>
            </w:pPr>
          </w:p>
          <w:p w:rsidR="002702D3" w:rsidRPr="00FB1558" w:rsidP="0096399A">
            <w:pPr>
              <w:rPr>
                <w:rFonts w:ascii="Arial (W1)" w:hAnsi="Arial (W1)"/>
                <w:b/>
                <w:bCs/>
                <w:noProof w:val="0"/>
                <w:sz w:val="28"/>
                <w:szCs w:val="28"/>
              </w:rPr>
            </w:pPr>
            <w:r w:rsidRPr="00FB1558">
              <w:rPr>
                <w:rFonts w:hint="cs"/>
                <w:b/>
                <w:bCs/>
                <w:noProof w:val="0"/>
                <w:sz w:val="28"/>
                <w:rtl/>
              </w:rPr>
              <w:t>אלמוני</w:t>
            </w:r>
          </w:p>
        </w:tc>
      </w:tr>
    </w:tbl>
    <w:p w:rsidR="00FB1558" w:rsidRPr="00FB1558" w:rsidP="00FB1558">
      <w:pPr>
        <w:spacing w:before="120" w:after="120" w:line="240" w:lineRule="exact"/>
        <w:ind w:left="283" w:hanging="283"/>
        <w:jc w:val="both"/>
        <w:rPr>
          <w:rFonts w:ascii="FrankRuehl" w:hAnsi="FrankRuehl" w:cs="FrankRuehl"/>
          <w:rtl/>
        </w:rPr>
      </w:pPr>
    </w:p>
    <w:p w:rsidR="00FB1558" w:rsidRPr="000932DD" w:rsidP="000932DD">
      <w:bookmarkStart w:id="3" w:name="LawTable"/>
      <w:bookmarkStart w:id="4" w:name="ABSTRACT_END"/>
      <w:bookmarkEnd w:id="3"/>
      <w:bookmarkEnd w:id="4"/>
    </w:p>
    <w:tbl>
      <w:tblPr>
        <w:bidiVisual/>
        <w:tblW w:w="8820" w:type="dxa"/>
        <w:jc w:val="center"/>
        <w:tblLook w:val="01E0"/>
      </w:tblPr>
      <w:tblGrid>
        <w:gridCol w:w="8820"/>
      </w:tblGrid>
      <w:tr w:rsidTr="002702D3">
        <w:tblPrEx>
          <w:tblW w:w="8820" w:type="dxa"/>
          <w:jc w:val="center"/>
          <w:tblLook w:val="01E0"/>
        </w:tblPrEx>
        <w:trPr>
          <w:jc w:val="center"/>
        </w:trPr>
        <w:tc>
          <w:tcPr>
            <w:tcW w:w="8820" w:type="dxa"/>
            <w:shd w:val="clear" w:color="auto" w:fill="auto"/>
          </w:tcPr>
          <w:p w:rsidR="00FB1558" w:rsidRPr="00FB1558" w:rsidP="00FB1558">
            <w:pPr>
              <w:bidi w:val="0"/>
              <w:jc w:val="center"/>
              <w:rPr>
                <w:rFonts w:ascii="Arial" w:hAnsi="Arial"/>
                <w:b/>
                <w:bCs/>
                <w:noProof w:val="0"/>
                <w:sz w:val="28"/>
                <w:szCs w:val="28"/>
                <w:u w:val="single"/>
              </w:rPr>
            </w:pPr>
            <w:bookmarkStart w:id="5" w:name="PsakDin" w:colFirst="0" w:colLast="0"/>
            <w:r w:rsidRPr="00FB1558">
              <w:rPr>
                <w:rFonts w:ascii="Arial" w:hAnsi="Arial"/>
                <w:b/>
                <w:bCs/>
                <w:noProof w:val="0"/>
                <w:sz w:val="28"/>
                <w:szCs w:val="28"/>
                <w:u w:val="single"/>
                <w:rtl/>
              </w:rPr>
              <w:t>פסק דין</w:t>
            </w:r>
          </w:p>
          <w:p w:rsidR="002702D3" w:rsidRPr="00FB1558" w:rsidP="00FB1558">
            <w:pPr>
              <w:bidi w:val="0"/>
              <w:jc w:val="center"/>
              <w:rPr>
                <w:rFonts w:ascii="Arial" w:hAnsi="Arial"/>
                <w:b/>
                <w:bCs/>
                <w:noProof w:val="0"/>
                <w:sz w:val="28"/>
                <w:szCs w:val="28"/>
                <w:u w:val="single"/>
              </w:rPr>
            </w:pPr>
          </w:p>
        </w:tc>
      </w:tr>
      <w:bookmarkEnd w:id="5"/>
    </w:tbl>
    <w:p w:rsidR="002702D3" w:rsidP="002702D3">
      <w:pPr>
        <w:spacing w:line="360" w:lineRule="auto"/>
        <w:jc w:val="both"/>
        <w:rPr>
          <w:rFonts w:ascii="Arial" w:hAnsi="Arial"/>
          <w:noProof w:val="0"/>
          <w:rtl/>
        </w:rPr>
      </w:pPr>
    </w:p>
    <w:p w:rsidR="002702D3" w:rsidP="002702D3">
      <w:pPr>
        <w:spacing w:line="360" w:lineRule="auto"/>
        <w:jc w:val="both"/>
        <w:rPr>
          <w:rFonts w:ascii="David" w:hAnsi="David"/>
          <w:rtl/>
        </w:rPr>
      </w:pPr>
      <w:r>
        <w:rPr>
          <w:rFonts w:ascii="David" w:hAnsi="David"/>
          <w:rtl/>
        </w:rPr>
        <w:t>לפני תובענה שהגישה האם ל</w:t>
      </w:r>
      <w:r>
        <w:rPr>
          <w:rFonts w:ascii="David" w:hAnsi="David" w:hint="cs"/>
          <w:rtl/>
        </w:rPr>
        <w:t xml:space="preserve">אישור </w:t>
      </w:r>
      <w:r>
        <w:rPr>
          <w:rFonts w:ascii="David" w:hAnsi="David"/>
          <w:rtl/>
        </w:rPr>
        <w:t xml:space="preserve">העתקת מגורי הקטינות </w:t>
      </w:r>
      <w:r>
        <w:rPr>
          <w:rFonts w:ascii="David" w:hAnsi="David" w:hint="cs"/>
          <w:rtl/>
        </w:rPr>
        <w:t>לירושלים.</w:t>
      </w:r>
      <w:r>
        <w:rPr>
          <w:rFonts w:ascii="David" w:hAnsi="David"/>
          <w:rtl/>
        </w:rPr>
        <w:t xml:space="preserve"> </w:t>
      </w:r>
    </w:p>
    <w:p w:rsidR="002702D3" w:rsidP="002702D3">
      <w:pPr>
        <w:spacing w:line="360" w:lineRule="auto"/>
        <w:jc w:val="both"/>
        <w:rPr>
          <w:rFonts w:ascii="David" w:hAnsi="David"/>
          <w:b/>
          <w:bCs/>
          <w:u w:val="single"/>
          <w:rtl/>
        </w:rPr>
      </w:pPr>
    </w:p>
    <w:p w:rsidR="002702D3" w:rsidP="002702D3">
      <w:pPr>
        <w:spacing w:line="360" w:lineRule="auto"/>
        <w:jc w:val="both"/>
        <w:rPr>
          <w:rFonts w:ascii="David" w:hAnsi="David"/>
          <w:b/>
          <w:bCs/>
          <w:u w:val="single"/>
          <w:rtl/>
        </w:rPr>
      </w:pPr>
      <w:r>
        <w:rPr>
          <w:rFonts w:ascii="David" w:hAnsi="David"/>
          <w:b/>
          <w:bCs/>
          <w:u w:val="single"/>
          <w:rtl/>
        </w:rPr>
        <w:t>תמצית העובדות הצריכות לעניין:</w:t>
      </w:r>
    </w:p>
    <w:p w:rsidR="002702D3" w:rsidP="002702D3">
      <w:pPr>
        <w:pStyle w:val="1"/>
        <w:numPr>
          <w:ilvl w:val="0"/>
          <w:numId w:val="1"/>
        </w:numPr>
        <w:bidi/>
        <w:spacing w:after="0" w:line="360" w:lineRule="auto"/>
        <w:jc w:val="both"/>
        <w:rPr>
          <w:rFonts w:ascii="David" w:hAnsi="David" w:cs="David"/>
          <w:sz w:val="24"/>
          <w:szCs w:val="24"/>
          <w:rtl/>
        </w:rPr>
      </w:pPr>
      <w:r>
        <w:rPr>
          <w:rFonts w:ascii="David" w:hAnsi="David" w:cs="David"/>
          <w:sz w:val="24"/>
          <w:szCs w:val="24"/>
          <w:rtl/>
        </w:rPr>
        <w:t>הצדדים נישאו כדמו"י בחודש 08/19. ממערכת היחסים הזוגית, נולדו הקטינות ל</w:t>
      </w:r>
      <w:r>
        <w:rPr>
          <w:rFonts w:ascii="David" w:hAnsi="David" w:cs="David" w:hint="cs"/>
          <w:sz w:val="24"/>
          <w:szCs w:val="24"/>
          <w:rtl/>
        </w:rPr>
        <w:t>'</w:t>
      </w:r>
      <w:r>
        <w:rPr>
          <w:rFonts w:ascii="David" w:hAnsi="David" w:cs="David"/>
          <w:sz w:val="24"/>
          <w:szCs w:val="24"/>
          <w:rtl/>
        </w:rPr>
        <w:t xml:space="preserve"> ילידת 04/19 כיום בת שש וא</w:t>
      </w:r>
      <w:r>
        <w:rPr>
          <w:rFonts w:ascii="David" w:hAnsi="David" w:cs="David" w:hint="cs"/>
          <w:sz w:val="24"/>
          <w:szCs w:val="24"/>
          <w:rtl/>
        </w:rPr>
        <w:t>'</w:t>
      </w:r>
      <w:r>
        <w:rPr>
          <w:rFonts w:ascii="David" w:hAnsi="David" w:cs="David"/>
          <w:sz w:val="24"/>
          <w:szCs w:val="24"/>
          <w:rtl/>
        </w:rPr>
        <w:t xml:space="preserve"> ילידת 11/20 כיום כארבע וחצי שנים.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במהלך החיים המשותפים התגוררו הצדדים במרכז הארץ ובהמשך עברו להתגורר ב</w:t>
      </w:r>
      <w:r>
        <w:rPr>
          <w:rFonts w:ascii="David" w:hAnsi="David" w:cs="David" w:hint="cs"/>
          <w:sz w:val="24"/>
          <w:szCs w:val="24"/>
          <w:rtl/>
        </w:rPr>
        <w:t>***</w:t>
      </w:r>
      <w:r>
        <w:rPr>
          <w:rFonts w:ascii="David" w:hAnsi="David" w:cs="David"/>
          <w:sz w:val="24"/>
          <w:szCs w:val="24"/>
          <w:rtl/>
        </w:rPr>
        <w:t>. לציין כי משפחת המוצא של האב ב</w:t>
      </w:r>
      <w:r>
        <w:rPr>
          <w:rFonts w:ascii="David" w:hAnsi="David" w:cs="David" w:hint="cs"/>
          <w:sz w:val="24"/>
          <w:szCs w:val="24"/>
          <w:rtl/>
        </w:rPr>
        <w:t>****</w:t>
      </w:r>
      <w:r>
        <w:rPr>
          <w:rFonts w:ascii="David" w:hAnsi="David" w:cs="David"/>
          <w:sz w:val="24"/>
          <w:szCs w:val="24"/>
          <w:rtl/>
        </w:rPr>
        <w:t>, ואף הורי האם מתגוררים ב</w:t>
      </w:r>
      <w:r>
        <w:rPr>
          <w:rFonts w:ascii="David" w:hAnsi="David" w:cs="David" w:hint="cs"/>
          <w:sz w:val="24"/>
          <w:szCs w:val="24"/>
          <w:rtl/>
        </w:rPr>
        <w:t>****</w:t>
      </w:r>
      <w:r>
        <w:rPr>
          <w:rFonts w:ascii="David" w:hAnsi="David" w:cs="David"/>
          <w:sz w:val="24"/>
          <w:szCs w:val="24"/>
          <w:rtl/>
        </w:rPr>
        <w:t>.</w:t>
      </w:r>
    </w:p>
    <w:p w:rsidR="002702D3" w:rsidP="002702D3">
      <w:pPr>
        <w:pStyle w:val="1"/>
        <w:numPr>
          <w:ilvl w:val="0"/>
          <w:numId w:val="1"/>
        </w:numPr>
        <w:bidi/>
        <w:spacing w:line="360" w:lineRule="auto"/>
        <w:jc w:val="both"/>
        <w:rPr>
          <w:rFonts w:ascii="David" w:hAnsi="David" w:cs="David"/>
          <w:sz w:val="24"/>
          <w:szCs w:val="24"/>
        </w:rPr>
      </w:pPr>
      <w:r>
        <w:rPr>
          <w:rFonts w:ascii="David" w:hAnsi="David" w:cs="David"/>
          <w:sz w:val="24"/>
          <w:szCs w:val="24"/>
          <w:rtl/>
        </w:rPr>
        <w:t xml:space="preserve">מהחומר הקיים בתיק עולה כי התובעת גדלה במשפחה חרדית אולם חזרה בשאלה בגיל ההתבגרות, </w:t>
      </w:r>
      <w:r>
        <w:rPr>
          <w:rFonts w:ascii="David" w:hAnsi="David" w:cs="David"/>
          <w:sz w:val="24"/>
          <w:szCs w:val="24"/>
          <w:rtl/>
        </w:rPr>
        <w:t>ולאחר גירושי הוריה, ניתקה כל קשר מאימה. התובעת מקיימת קשר עם אביה החולה בסרטן ומצוי במצב כלכלי קשה.</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תקופה הנישואין הקצרה, היתה רוויה בקונפליקטים ובחודש 11/21 (לטענת האם בעקבות אירוע אלימות, בגינו הנתבע נעצר והורחק מ</w:t>
      </w:r>
      <w:r>
        <w:rPr>
          <w:rFonts w:ascii="David" w:hAnsi="David" w:cs="David" w:hint="cs"/>
          <w:sz w:val="24"/>
          <w:szCs w:val="24"/>
          <w:rtl/>
        </w:rPr>
        <w:t>***</w:t>
      </w:r>
      <w:r>
        <w:rPr>
          <w:rFonts w:ascii="David" w:hAnsi="David" w:cs="David"/>
          <w:sz w:val="24"/>
          <w:szCs w:val="24"/>
          <w:rtl/>
        </w:rPr>
        <w:t xml:space="preserve">), הצדדים נפרדו.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הצדדים חתמו על הסכם </w:t>
      </w:r>
      <w:r>
        <w:rPr>
          <w:rFonts w:ascii="David" w:hAnsi="David" w:cs="David"/>
          <w:sz w:val="24"/>
          <w:szCs w:val="24"/>
          <w:rtl/>
        </w:rPr>
        <w:t>גירושין כולל, שאושר בבית המשפט ביום 06.06.22, במסגרתו הוסכם כי ביתן העיקרי של הקטינות יהא בית האם וזמני השהות יהיו פעמיים בשבוע כולל לינה ובכל סופ"ש שני לסירוגין. סעיף 17 להסכם הגירושין התייחס להעתקת מקום מגורים שהגביל את העתקת מגורי האם לטווח של 40 ק"מ מ</w:t>
      </w:r>
      <w:r>
        <w:rPr>
          <w:rFonts w:ascii="David" w:hAnsi="David" w:cs="David" w:hint="cs"/>
          <w:sz w:val="24"/>
          <w:szCs w:val="24"/>
          <w:rtl/>
        </w:rPr>
        <w:t>***</w:t>
      </w:r>
      <w:r>
        <w:rPr>
          <w:rFonts w:ascii="David" w:hAnsi="David" w:cs="David"/>
          <w:sz w:val="24"/>
          <w:szCs w:val="24"/>
          <w:rtl/>
        </w:rPr>
        <w:t>. כבר  בדיון מיום 6.6.22 במהלכו אושר ההסכם, ציינה האם "</w:t>
      </w:r>
      <w:r>
        <w:rPr>
          <w:rFonts w:ascii="David" w:hAnsi="David" w:cs="David"/>
          <w:sz w:val="24"/>
          <w:szCs w:val="24"/>
          <w:rtl/>
          <w:lang w:eastAsia="he-IL"/>
        </w:rPr>
        <w:t>אין לי פה עזרה ואין לי פה חברות, אין לי קשר עם המשפחה ואם הוא יכלא אותי ב</w:t>
      </w:r>
      <w:r>
        <w:rPr>
          <w:rFonts w:ascii="David" w:hAnsi="David" w:cs="David" w:hint="cs"/>
          <w:sz w:val="24"/>
          <w:szCs w:val="24"/>
          <w:rtl/>
          <w:lang w:eastAsia="he-IL"/>
        </w:rPr>
        <w:t>***</w:t>
      </w:r>
      <w:r>
        <w:rPr>
          <w:rFonts w:ascii="David" w:hAnsi="David" w:cs="David"/>
          <w:sz w:val="24"/>
          <w:szCs w:val="24"/>
          <w:rtl/>
          <w:lang w:eastAsia="he-IL"/>
        </w:rPr>
        <w:t xml:space="preserve"> ויעבור מ</w:t>
      </w:r>
      <w:r>
        <w:rPr>
          <w:rFonts w:ascii="David" w:hAnsi="David" w:cs="David" w:hint="cs"/>
          <w:sz w:val="24"/>
          <w:szCs w:val="24"/>
          <w:rtl/>
          <w:lang w:eastAsia="he-IL"/>
        </w:rPr>
        <w:t>****</w:t>
      </w:r>
      <w:r>
        <w:rPr>
          <w:rFonts w:ascii="David" w:hAnsi="David" w:cs="David"/>
          <w:sz w:val="24"/>
          <w:szCs w:val="24"/>
          <w:rtl/>
          <w:lang w:eastAsia="he-IL"/>
        </w:rPr>
        <w:t>, גם אני רוצה לעבור</w:t>
      </w:r>
      <w:r>
        <w:rPr>
          <w:rFonts w:ascii="David" w:hAnsi="David" w:cs="David"/>
          <w:sz w:val="24"/>
          <w:szCs w:val="24"/>
          <w:rtl/>
        </w:rPr>
        <w:t xml:space="preserve">". </w:t>
      </w:r>
    </w:p>
    <w:p w:rsidR="002702D3" w:rsidP="00E40FD2">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הצדדים התגרשו ביום </w:t>
      </w:r>
      <w:r w:rsidR="00E40FD2">
        <w:rPr>
          <w:rFonts w:ascii="David" w:hAnsi="David" w:cs="David" w:hint="cs"/>
          <w:sz w:val="24"/>
          <w:szCs w:val="24"/>
          <w:rtl/>
        </w:rPr>
        <w:t>---</w:t>
      </w:r>
      <w:r>
        <w:rPr>
          <w:rFonts w:ascii="David" w:hAnsi="David" w:cs="David"/>
          <w:sz w:val="24"/>
          <w:szCs w:val="24"/>
          <w:rtl/>
        </w:rPr>
        <w:t>.</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ביום 15.10.24 הגישה האם בקשה למתן היתר להעתיק מגורי הקטינות בא</w:t>
      </w:r>
      <w:r>
        <w:rPr>
          <w:rFonts w:ascii="David" w:hAnsi="David" w:cs="David"/>
          <w:sz w:val="24"/>
          <w:szCs w:val="24"/>
          <w:rtl/>
        </w:rPr>
        <w:t>ופן זמני ל</w:t>
      </w:r>
      <w:r>
        <w:rPr>
          <w:rFonts w:ascii="David" w:hAnsi="David" w:cs="David" w:hint="cs"/>
          <w:sz w:val="24"/>
          <w:szCs w:val="24"/>
          <w:rtl/>
        </w:rPr>
        <w:t>ירושלים</w:t>
      </w:r>
      <w:r>
        <w:rPr>
          <w:rFonts w:ascii="David" w:hAnsi="David" w:cs="David"/>
          <w:sz w:val="24"/>
          <w:szCs w:val="24"/>
          <w:rtl/>
        </w:rPr>
        <w:t xml:space="preserve"> עקב המצב הבטחוני, ונוכח יציאתו של האב לחו"ל ללא הודעה מראש. בפועל </w:t>
      </w:r>
      <w:r>
        <w:rPr>
          <w:rFonts w:ascii="David" w:hAnsi="David" w:cs="David"/>
          <w:sz w:val="24"/>
          <w:szCs w:val="24"/>
          <w:rtl/>
        </w:rPr>
        <w:t xml:space="preserve">לאחר שהנתבע חזר מחו"ל, האם והקטינות שבו </w:t>
      </w:r>
      <w:r w:rsidRPr="002D53B5">
        <w:rPr>
          <w:rFonts w:ascii="David" w:hAnsi="David" w:cs="David"/>
          <w:sz w:val="24"/>
          <w:szCs w:val="24"/>
          <w:rtl/>
        </w:rPr>
        <w:t>לצפון</w:t>
      </w:r>
      <w:r>
        <w:rPr>
          <w:rFonts w:ascii="David" w:hAnsi="David" w:cs="David"/>
          <w:sz w:val="24"/>
          <w:szCs w:val="24"/>
          <w:rtl/>
        </w:rPr>
        <w:t xml:space="preserve">, והאם הודיעה כי תמתין לתוצאות ההליך (ר' פרוט' מיום 8.12.24).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ביום 23.10.24 הגישה האם בקשה למתן צו הגנה בטענה שהאב שלח לה הודע</w:t>
      </w:r>
      <w:r>
        <w:rPr>
          <w:rFonts w:ascii="David" w:hAnsi="David" w:cs="David"/>
          <w:sz w:val="24"/>
          <w:szCs w:val="24"/>
          <w:rtl/>
        </w:rPr>
        <w:t>ה שינקום בה ושבכוונתו לחטוף את הקטינות לחו"ל (ה"ט 41568-10-24). בדיון במעמד הצדדים שהתקיים ביום 10.11.24 נקבע כי עד לקבלת תסקיר, זמני השהות, יתקיימו פעמיים בשבוע ללא לינה.  הצדדים התבקשו להודיע האם מוסכם עליהם כי זמני שהות אלה יהיו בתוקף עד למתן החלטה אחרת</w:t>
      </w:r>
      <w:r>
        <w:rPr>
          <w:rFonts w:ascii="David" w:hAnsi="David" w:cs="David"/>
          <w:sz w:val="24"/>
          <w:szCs w:val="24"/>
          <w:rtl/>
        </w:rPr>
        <w:t xml:space="preserve"> בתביעה שבכותרת (תלה"מ 50056-09-24). בהעדר הודעה מצידם, ממועד זה ואילך, אלו זמני השהות הקיימים בפועל. </w:t>
      </w:r>
    </w:p>
    <w:p w:rsidR="002702D3" w:rsidP="002702D3">
      <w:pPr>
        <w:pStyle w:val="1"/>
        <w:bidi/>
        <w:spacing w:line="360" w:lineRule="auto"/>
        <w:ind w:left="716"/>
        <w:jc w:val="both"/>
        <w:rPr>
          <w:rFonts w:ascii="David" w:hAnsi="David" w:cs="David"/>
          <w:b/>
          <w:bCs/>
          <w:sz w:val="24"/>
          <w:szCs w:val="24"/>
          <w:u w:val="single"/>
        </w:rPr>
      </w:pPr>
    </w:p>
    <w:p w:rsidR="002702D3" w:rsidP="002702D3">
      <w:pPr>
        <w:pStyle w:val="1"/>
        <w:bidi/>
        <w:spacing w:line="360" w:lineRule="auto"/>
        <w:ind w:left="716"/>
        <w:jc w:val="both"/>
        <w:rPr>
          <w:rFonts w:ascii="David" w:hAnsi="David" w:cs="David"/>
          <w:b/>
          <w:bCs/>
          <w:sz w:val="24"/>
          <w:szCs w:val="24"/>
          <w:u w:val="single"/>
          <w:rtl/>
        </w:rPr>
      </w:pPr>
      <w:r>
        <w:rPr>
          <w:rFonts w:ascii="David" w:hAnsi="David" w:cs="David"/>
          <w:b/>
          <w:bCs/>
          <w:sz w:val="24"/>
          <w:szCs w:val="24"/>
          <w:u w:val="single"/>
          <w:rtl/>
        </w:rPr>
        <w:t>תמצית טענות הצדדים:</w:t>
      </w:r>
    </w:p>
    <w:p w:rsidR="002702D3" w:rsidP="002702D3">
      <w:pPr>
        <w:pStyle w:val="1"/>
        <w:numPr>
          <w:ilvl w:val="0"/>
          <w:numId w:val="1"/>
        </w:numPr>
        <w:bidi/>
        <w:spacing w:line="360" w:lineRule="auto"/>
        <w:jc w:val="both"/>
        <w:rPr>
          <w:rFonts w:ascii="David" w:hAnsi="David" w:cs="David"/>
          <w:sz w:val="24"/>
          <w:szCs w:val="24"/>
        </w:rPr>
      </w:pPr>
      <w:r>
        <w:rPr>
          <w:rFonts w:ascii="David" w:hAnsi="David" w:cs="David"/>
          <w:sz w:val="24"/>
          <w:szCs w:val="24"/>
          <w:rtl/>
        </w:rPr>
        <w:t xml:space="preserve">לטענת האם היא נמצאת במצב נפשי קשה וטובתה מחייבת מעבר מהעיר </w:t>
      </w:r>
      <w:r>
        <w:rPr>
          <w:rFonts w:ascii="David" w:hAnsi="David" w:cs="David" w:hint="cs"/>
          <w:sz w:val="24"/>
          <w:szCs w:val="24"/>
          <w:rtl/>
        </w:rPr>
        <w:t>***</w:t>
      </w:r>
      <w:r>
        <w:rPr>
          <w:rFonts w:ascii="David" w:hAnsi="David" w:cs="David"/>
          <w:sz w:val="24"/>
          <w:szCs w:val="24"/>
          <w:rtl/>
        </w:rPr>
        <w:t>, כאשר הסיבה למצב נפשי זה נעוצה ביחסו של הנתבע כלפיה במהלך הנישואין וא</w:t>
      </w:r>
      <w:r>
        <w:rPr>
          <w:rFonts w:ascii="David" w:hAnsi="David" w:cs="David"/>
          <w:sz w:val="24"/>
          <w:szCs w:val="24"/>
          <w:rtl/>
        </w:rPr>
        <w:t xml:space="preserve">לימותו הכלכלית נפשית מילולית ופיזית כלפיה. התובעת טענה להידרדרות במצבה שכלל שיתוק בחצי פנים. עוד טענה כי ניסתה להגשים את המקצוע באזור </w:t>
      </w:r>
      <w:r>
        <w:rPr>
          <w:rFonts w:ascii="David" w:hAnsi="David" w:cs="David" w:hint="cs"/>
          <w:sz w:val="24"/>
          <w:szCs w:val="24"/>
          <w:rtl/>
        </w:rPr>
        <w:t>***</w:t>
      </w:r>
      <w:r>
        <w:rPr>
          <w:rFonts w:ascii="David" w:hAnsi="David" w:cs="David"/>
          <w:sz w:val="24"/>
          <w:szCs w:val="24"/>
          <w:rtl/>
        </w:rPr>
        <w:t>, כ</w:t>
      </w:r>
      <w:r w:rsidR="00E40FD2">
        <w:rPr>
          <w:rFonts w:ascii="David" w:hAnsi="David" w:cs="David"/>
          <w:sz w:val="24"/>
          <w:szCs w:val="24"/>
          <w:rtl/>
        </w:rPr>
        <w:t>---</w:t>
      </w:r>
      <w:r>
        <w:rPr>
          <w:rFonts w:ascii="David" w:hAnsi="David" w:cs="David"/>
          <w:sz w:val="24"/>
          <w:szCs w:val="24"/>
          <w:rtl/>
        </w:rPr>
        <w:t xml:space="preserve"> בדרך של העברת סדנאות אוכל בהיותה בלוגרית באוכל ברשתות החברתיות אולם מרבית קהל היעד שלה באזור המרכז ובאזור </w:t>
      </w:r>
      <w:r w:rsidRPr="00115723">
        <w:rPr>
          <w:rFonts w:ascii="David" w:hAnsi="David" w:cs="David"/>
          <w:sz w:val="24"/>
          <w:szCs w:val="24"/>
          <w:rtl/>
        </w:rPr>
        <w:t>ירושלי</w:t>
      </w:r>
      <w:r w:rsidRPr="00115723">
        <w:rPr>
          <w:rFonts w:ascii="David" w:hAnsi="David" w:cs="David"/>
          <w:sz w:val="24"/>
          <w:szCs w:val="24"/>
          <w:rtl/>
        </w:rPr>
        <w:t>ם</w:t>
      </w:r>
      <w:r>
        <w:rPr>
          <w:rFonts w:ascii="David" w:hAnsi="David" w:cs="David"/>
          <w:sz w:val="24"/>
          <w:szCs w:val="24"/>
          <w:rtl/>
        </w:rPr>
        <w:t>. עוד טענה כי אין לה כל תמיכה ב</w:t>
      </w:r>
      <w:r>
        <w:rPr>
          <w:rFonts w:ascii="David" w:hAnsi="David" w:cs="David" w:hint="cs"/>
          <w:sz w:val="24"/>
          <w:szCs w:val="24"/>
          <w:rtl/>
        </w:rPr>
        <w:t>****</w:t>
      </w:r>
      <w:r>
        <w:rPr>
          <w:rFonts w:ascii="David" w:hAnsi="David" w:cs="David"/>
          <w:sz w:val="24"/>
          <w:szCs w:val="24"/>
          <w:rtl/>
        </w:rPr>
        <w:t xml:space="preserve"> ואף הנתבע אינו מוכן להתגמש עמה או לסייע גם כאשר אין לה סידור לבנות בעוד ב</w:t>
      </w:r>
      <w:r w:rsidRPr="00115723">
        <w:rPr>
          <w:rFonts w:ascii="David" w:hAnsi="David" w:cs="David"/>
          <w:sz w:val="24"/>
          <w:szCs w:val="24"/>
          <w:rtl/>
        </w:rPr>
        <w:t>ירושלים</w:t>
      </w:r>
      <w:r>
        <w:rPr>
          <w:rFonts w:ascii="David" w:hAnsi="David" w:cs="David"/>
          <w:sz w:val="24"/>
          <w:szCs w:val="24"/>
          <w:rtl/>
        </w:rPr>
        <w:t xml:space="preserve"> גרות אחותה וחברתה הטובה שיכולות לסייע לה. האם טענה כי האב חושף את הקטינות לשתיה חריפה, חי ללא תנאי הגיינה מינימאליים, ואף לוקח אותן למסיבות טבע, ומסית אותן נגדה.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האב התנגד נחרצות לבקשה, טען כי מטרת האם להרחיק את הקטינות מאביהן וכי מעבר </w:t>
      </w:r>
      <w:r w:rsidRPr="00115723">
        <w:rPr>
          <w:rFonts w:ascii="David" w:hAnsi="David" w:cs="David"/>
          <w:sz w:val="24"/>
          <w:szCs w:val="24"/>
          <w:rtl/>
        </w:rPr>
        <w:t>לירושלים י</w:t>
      </w:r>
      <w:r>
        <w:rPr>
          <w:rFonts w:ascii="David" w:hAnsi="David" w:cs="David"/>
          <w:sz w:val="24"/>
          <w:szCs w:val="24"/>
          <w:rtl/>
        </w:rPr>
        <w:t>רחיק אות</w:t>
      </w:r>
      <w:r>
        <w:rPr>
          <w:rFonts w:ascii="David" w:hAnsi="David" w:cs="David"/>
          <w:sz w:val="24"/>
          <w:szCs w:val="24"/>
          <w:rtl/>
        </w:rPr>
        <w:t>ו מבנותיו ויקשה על זמני השהות. העובדה כי במשך הזמן הרב בו גרה התובעת ב</w:t>
      </w:r>
      <w:r>
        <w:rPr>
          <w:rFonts w:ascii="David" w:hAnsi="David" w:cs="David" w:hint="cs"/>
          <w:sz w:val="24"/>
          <w:szCs w:val="24"/>
          <w:rtl/>
        </w:rPr>
        <w:t>***</w:t>
      </w:r>
      <w:r>
        <w:rPr>
          <w:rFonts w:ascii="David" w:hAnsi="David" w:cs="David"/>
          <w:sz w:val="24"/>
          <w:szCs w:val="24"/>
          <w:rtl/>
        </w:rPr>
        <w:t xml:space="preserve"> ולא השכילה לרכוש חברות מעיד על התובעת. האב הסביר כי לוח הזמנים שלו קבוע מראש ולכן לא יכול לסייע לאם בבקשות להחלפה "מהיום למחר". עוד הסביר כי הוא אב מסור שלוקח חלק פעיל בגידול הבנות ו</w:t>
      </w:r>
      <w:r>
        <w:rPr>
          <w:rFonts w:ascii="David" w:hAnsi="David" w:cs="David"/>
          <w:sz w:val="24"/>
          <w:szCs w:val="24"/>
          <w:rtl/>
        </w:rPr>
        <w:t xml:space="preserve">טובתן לנגד עיניו. האב הכחיש את הטענות להסתת הקטינות, טען כי הבקשה למעבר מעידה על כך שהאם רואה את טובתה לפני טובת הקטינות. </w:t>
      </w:r>
    </w:p>
    <w:p w:rsidR="002702D3" w:rsidP="002702D3">
      <w:pPr>
        <w:pStyle w:val="David"/>
        <w:rPr>
          <w:rFonts w:ascii="David" w:hAnsi="David"/>
        </w:rPr>
      </w:pPr>
    </w:p>
    <w:p w:rsidR="002702D3" w:rsidP="002702D3">
      <w:pPr>
        <w:spacing w:line="360" w:lineRule="auto"/>
        <w:ind w:left="509" w:hanging="425"/>
        <w:contextualSpacing/>
        <w:jc w:val="both"/>
        <w:rPr>
          <w:rFonts w:ascii="David" w:hAnsi="David"/>
          <w:rtl/>
        </w:rPr>
      </w:pPr>
      <w:r>
        <w:rPr>
          <w:rFonts w:ascii="David" w:hAnsi="David"/>
          <w:b/>
          <w:bCs/>
          <w:u w:val="single"/>
          <w:rtl/>
        </w:rPr>
        <w:t xml:space="preserve">הדין החל: </w:t>
      </w:r>
    </w:p>
    <w:p w:rsidR="002702D3" w:rsidP="002702D3">
      <w:pPr>
        <w:numPr>
          <w:ilvl w:val="0"/>
          <w:numId w:val="1"/>
        </w:numPr>
        <w:spacing w:line="360" w:lineRule="auto"/>
        <w:contextualSpacing/>
        <w:jc w:val="both"/>
        <w:rPr>
          <w:rFonts w:ascii="David" w:hAnsi="David"/>
        </w:rPr>
      </w:pPr>
      <w:r w:rsidRPr="00130205">
        <w:rPr>
          <w:rFonts w:ascii="David" w:hAnsi="David"/>
          <w:rtl/>
        </w:rPr>
        <w:t>סעיף 15</w:t>
      </w:r>
      <w:r w:rsidRPr="00130205" w:rsidR="00DA6D89">
        <w:rPr>
          <w:rFonts w:ascii="David" w:hAnsi="David"/>
          <w:rtl/>
        </w:rPr>
        <w:t xml:space="preserve"> ל</w:t>
      </w:r>
      <w:r w:rsidRPr="00130205" w:rsidR="00FB1558">
        <w:rPr>
          <w:rFonts w:ascii="David" w:hAnsi="David"/>
          <w:rtl/>
        </w:rPr>
        <w:t>חוק הכשרות המשפטית והאפוטרופסות</w:t>
      </w:r>
      <w:r w:rsidR="00DA6D89">
        <w:rPr>
          <w:rFonts w:ascii="David" w:hAnsi="David"/>
          <w:rtl/>
        </w:rPr>
        <w:t xml:space="preserve">, התשכ"ב -1962, קובע כי – </w:t>
      </w:r>
      <w:r w:rsidR="00DA6D89">
        <w:rPr>
          <w:rFonts w:ascii="David" w:hAnsi="David"/>
          <w:b/>
          <w:bCs/>
          <w:rtl/>
        </w:rPr>
        <w:t>"אפוטרופסות ההורים כוללת את החובה והזכות לדאוג לצרכי הקטין, לרבות חינוכו, לימודיו, הכשרתו לעבודה ולמשלח-יד ועבודתו, וכן שמירת נכסיו, ניהולם ופיתוחם; וצמודה לה הרשות להחזיק בקטין ולקבוע את מקום מגוריו, והסמכות ליי</w:t>
      </w:r>
      <w:r w:rsidR="00DA6D89">
        <w:rPr>
          <w:rFonts w:ascii="David" w:hAnsi="David"/>
          <w:b/>
          <w:bCs/>
          <w:rtl/>
        </w:rPr>
        <w:t xml:space="preserve">צגו". </w:t>
      </w:r>
    </w:p>
    <w:p w:rsidR="002702D3" w:rsidP="002702D3">
      <w:pPr>
        <w:spacing w:line="360" w:lineRule="auto"/>
        <w:ind w:left="509" w:hanging="425"/>
        <w:jc w:val="both"/>
        <w:rPr>
          <w:rFonts w:ascii="David" w:hAnsi="David"/>
          <w:b/>
          <w:bCs/>
          <w:rtl/>
        </w:rPr>
      </w:pPr>
    </w:p>
    <w:p w:rsidR="002702D3" w:rsidRPr="00F75CE7" w:rsidP="002702D3">
      <w:pPr>
        <w:numPr>
          <w:ilvl w:val="0"/>
          <w:numId w:val="1"/>
        </w:numPr>
        <w:spacing w:line="360" w:lineRule="auto"/>
        <w:contextualSpacing/>
        <w:jc w:val="both"/>
        <w:rPr>
          <w:rFonts w:ascii="David" w:hAnsi="David"/>
          <w:rtl/>
        </w:rPr>
      </w:pPr>
      <w:r w:rsidRPr="00FB1558">
        <w:rPr>
          <w:rFonts w:ascii="David" w:hAnsi="David"/>
          <w:color w:val="FFFFFF"/>
          <w:sz w:val="2"/>
          <w:szCs w:val="2"/>
          <w:rtl/>
        </w:rPr>
        <w:t>ההתיישבות העותומנית [נוסח ישן] 1916</w:t>
      </w:r>
      <w:r w:rsidRPr="00F75CE7" w:rsidR="00DA6D89">
        <w:rPr>
          <w:rFonts w:ascii="David" w:hAnsi="David"/>
          <w:rtl/>
        </w:rPr>
        <w:t xml:space="preserve">בהמשך קובע </w:t>
      </w:r>
      <w:r w:rsidRPr="00130205" w:rsidR="000932DD">
        <w:rPr>
          <w:rFonts w:ascii="David" w:hAnsi="David"/>
          <w:rtl/>
        </w:rPr>
        <w:t>סעיף 24</w:t>
      </w:r>
      <w:r w:rsidRPr="00130205" w:rsidR="00DA6D89">
        <w:rPr>
          <w:rFonts w:ascii="David" w:hAnsi="David"/>
          <w:rtl/>
        </w:rPr>
        <w:t xml:space="preserve"> לחוק</w:t>
      </w:r>
      <w:r w:rsidRPr="00F75CE7" w:rsidR="00DA6D89">
        <w:rPr>
          <w:rFonts w:ascii="David" w:hAnsi="David"/>
          <w:rtl/>
        </w:rPr>
        <w:t xml:space="preserve"> הכשרות המשפטית, כי – </w:t>
      </w:r>
      <w:r w:rsidRPr="00F75CE7" w:rsidR="00DA6D89">
        <w:rPr>
          <w:rFonts w:ascii="David" w:hAnsi="David"/>
        </w:rPr>
        <w:t xml:space="preserve"> </w:t>
      </w:r>
      <w:r w:rsidRPr="00F75CE7" w:rsidR="00DA6D89">
        <w:rPr>
          <w:rFonts w:ascii="David" w:hAnsi="David"/>
          <w:b/>
          <w:bCs/>
          <w:rtl/>
        </w:rPr>
        <w:t>"היו הורי הקטין חיים בנפרד – בין שנישואיהם אוינו, הותרו או הופקעו בין שעדיין קיימים ובין שלא נישאו – רשאים הם להסכים</w:t>
      </w:r>
      <w:r w:rsidRPr="00F75CE7" w:rsidR="00DA6D89">
        <w:rPr>
          <w:rFonts w:ascii="David" w:hAnsi="David"/>
          <w:b/>
          <w:bCs/>
          <w:rtl/>
        </w:rPr>
        <w:t xml:space="preserve"> ביניהם על מי מהם תהיה האפוטרופסות לקטין, כולה או מקצתה, מי מהם יחזיק בקטין, ומה יהיו זכויות ההורה שלא יחזיק בקטין לבוא עמו במגע".</w:t>
      </w:r>
    </w:p>
    <w:p w:rsidR="002702D3" w:rsidRPr="00FB1558" w:rsidP="002702D3">
      <w:pPr>
        <w:spacing w:line="360" w:lineRule="auto"/>
        <w:ind w:left="509" w:hanging="425"/>
        <w:jc w:val="both"/>
        <w:rPr>
          <w:rFonts w:ascii="David" w:hAnsi="David"/>
          <w:color w:val="FFFFFF"/>
          <w:sz w:val="2"/>
          <w:szCs w:val="2"/>
          <w:rtl/>
        </w:rPr>
      </w:pPr>
      <w:r w:rsidRPr="00FB1558">
        <w:rPr>
          <w:rFonts w:ascii="David" w:hAnsi="David"/>
          <w:color w:val="FFFFFF"/>
          <w:sz w:val="2"/>
          <w:szCs w:val="2"/>
          <w:rtl/>
        </w:rPr>
        <w:t>12-34-56-78 צ'כוב נ' מדינת ישראל, פ'ד נא (2)</w:t>
      </w:r>
      <w:r w:rsidRPr="00FB1558" w:rsidR="00DA6D89">
        <w:rPr>
          <w:rFonts w:ascii="David" w:hAnsi="David"/>
          <w:color w:val="FFFFFF"/>
          <w:sz w:val="2"/>
          <w:szCs w:val="2"/>
          <w:rtl/>
        </w:rPr>
        <w:t xml:space="preserve"> </w:t>
      </w:r>
    </w:p>
    <w:p w:rsidR="002702D3" w:rsidRPr="00F75CE7" w:rsidP="002702D3">
      <w:pPr>
        <w:numPr>
          <w:ilvl w:val="0"/>
          <w:numId w:val="1"/>
        </w:numPr>
        <w:spacing w:line="360" w:lineRule="auto"/>
        <w:jc w:val="both"/>
        <w:rPr>
          <w:rStyle w:val="default"/>
          <w:rFonts w:ascii="David" w:hAnsi="David"/>
          <w:rtl/>
        </w:rPr>
      </w:pPr>
      <w:r w:rsidRPr="00F75CE7">
        <w:rPr>
          <w:rFonts w:ascii="David" w:hAnsi="David"/>
          <w:rtl/>
        </w:rPr>
        <w:t xml:space="preserve">בהעדר הסכמה, </w:t>
      </w:r>
      <w:r w:rsidRPr="00130205">
        <w:rPr>
          <w:rFonts w:ascii="David" w:hAnsi="David"/>
          <w:rtl/>
        </w:rPr>
        <w:t xml:space="preserve">קובע </w:t>
      </w:r>
      <w:r w:rsidRPr="00130205" w:rsidR="000932DD">
        <w:rPr>
          <w:rFonts w:ascii="David" w:hAnsi="David"/>
          <w:rtl/>
        </w:rPr>
        <w:t>סעיף 25</w:t>
      </w:r>
      <w:r w:rsidRPr="00F75CE7">
        <w:rPr>
          <w:rFonts w:ascii="David" w:hAnsi="David"/>
          <w:rtl/>
        </w:rPr>
        <w:t xml:space="preserve"> לח</w:t>
      </w:r>
      <w:r w:rsidRPr="00F75CE7">
        <w:rPr>
          <w:rFonts w:ascii="David" w:hAnsi="David"/>
          <w:rtl/>
        </w:rPr>
        <w:t xml:space="preserve">וק  כי </w:t>
      </w:r>
      <w:r w:rsidRPr="00F75CE7">
        <w:rPr>
          <w:rFonts w:ascii="David" w:hAnsi="David"/>
        </w:rPr>
        <w:t xml:space="preserve"> - </w:t>
      </w:r>
      <w:r w:rsidRPr="00F75CE7">
        <w:rPr>
          <w:rStyle w:val="default"/>
          <w:rFonts w:ascii="David" w:hAnsi="David"/>
          <w:b/>
          <w:bCs/>
          <w:rtl/>
        </w:rPr>
        <w:t xml:space="preserve">"לא באו ההורים לידי הסכם כאמור בסעיף 24, או שבאו לידי הסכם אך ההסכם לא בוצע, רשאי בית המשפט לקבוע את הענינים האמורים בסעיף 24 כפי שייראה לו לטובת הקטין, ובלבד שילדים עד גיל 6 יהיו אצל אמם אם אין סיבות מיוחדות להורות אחרת". </w:t>
      </w:r>
    </w:p>
    <w:p w:rsidR="002702D3" w:rsidRPr="00130205" w:rsidP="002702D3">
      <w:pPr>
        <w:pStyle w:val="1"/>
        <w:numPr>
          <w:ilvl w:val="0"/>
          <w:numId w:val="1"/>
        </w:numPr>
        <w:bidi/>
        <w:spacing w:before="120" w:after="120" w:line="330" w:lineRule="atLeast"/>
        <w:jc w:val="both"/>
        <w:rPr>
          <w:rtl/>
        </w:rPr>
      </w:pPr>
      <w:r w:rsidRPr="00130205">
        <w:rPr>
          <w:rFonts w:ascii="David" w:hAnsi="David" w:cs="David"/>
          <w:sz w:val="24"/>
          <w:szCs w:val="24"/>
          <w:rtl/>
        </w:rPr>
        <w:t>ב</w:t>
      </w:r>
      <w:r w:rsidRPr="00130205" w:rsidR="00FB1558">
        <w:rPr>
          <w:rFonts w:ascii="David" w:hAnsi="David" w:cs="David"/>
          <w:sz w:val="24"/>
          <w:szCs w:val="24"/>
          <w:rtl/>
        </w:rPr>
        <w:t>רמ"ש 69356-06-20</w:t>
      </w:r>
      <w:r w:rsidRPr="00130205">
        <w:rPr>
          <w:rFonts w:ascii="David" w:hAnsi="David" w:cs="David"/>
          <w:sz w:val="24"/>
          <w:szCs w:val="24"/>
          <w:rtl/>
        </w:rPr>
        <w:t xml:space="preserve"> </w:t>
      </w:r>
      <w:r w:rsidRPr="00130205">
        <w:rPr>
          <w:rFonts w:ascii="David" w:hAnsi="David" w:cs="David"/>
          <w:b/>
          <w:bCs/>
          <w:sz w:val="24"/>
          <w:szCs w:val="24"/>
          <w:rtl/>
        </w:rPr>
        <w:t>נ</w:t>
      </w:r>
      <w:r>
        <w:rPr>
          <w:rFonts w:ascii="David" w:hAnsi="David" w:cs="David"/>
          <w:b/>
          <w:bCs/>
          <w:color w:val="000000"/>
          <w:sz w:val="24"/>
          <w:szCs w:val="24"/>
          <w:rtl/>
        </w:rPr>
        <w:t>.ק נ</w:t>
      </w:r>
      <w:r w:rsidRPr="00826733">
        <w:rPr>
          <w:rFonts w:ascii="Times New Roman" w:hAnsi="Times New Roman" w:cs="David"/>
          <w:szCs w:val="24"/>
          <w:rtl/>
        </w:rPr>
        <w:t xml:space="preserve">' ג.ב </w:t>
      </w:r>
      <w:r w:rsidRPr="00826733" w:rsidR="00826733">
        <w:rPr>
          <w:rFonts w:ascii="Times New Roman" w:hAnsi="Times New Roman" w:cs="David" w:hint="cs"/>
          <w:szCs w:val="24"/>
          <w:rtl/>
        </w:rPr>
        <w:t xml:space="preserve"> </w:t>
      </w:r>
      <w:r>
        <w:rPr>
          <w:rFonts w:ascii="David" w:hAnsi="David" w:cs="David"/>
          <w:color w:val="000000"/>
          <w:sz w:val="24"/>
          <w:szCs w:val="24"/>
          <w:rtl/>
        </w:rPr>
        <w:t xml:space="preserve">(27.07.20) נקבע כי אמת המידה המנחה את בית המשפט בבואו להכריע בענייני משמורת קטין ובכלל זה קביעת מקום מגוריו היא טובת הילד. עקרון טובת הילד הוא עקרון על אשר חולש גם על כל עניין אחר שביחסי </w:t>
      </w:r>
      <w:r>
        <w:rPr>
          <w:rFonts w:ascii="David" w:hAnsi="David" w:cs="David"/>
          <w:color w:val="000000"/>
          <w:sz w:val="24"/>
          <w:szCs w:val="24"/>
          <w:rtl/>
        </w:rPr>
        <w:t xml:space="preserve">הורים וילדים והוא ניצב כעיקרון מנחה בודד בסוגיות משמורת ילדים ובכלל זה קביעת מקום מגוריהם, מבלי </w:t>
      </w:r>
      <w:r w:rsidRPr="00130205">
        <w:rPr>
          <w:rFonts w:ascii="David" w:hAnsi="David" w:cs="David"/>
          <w:sz w:val="24"/>
          <w:szCs w:val="24"/>
          <w:rtl/>
        </w:rPr>
        <w:t>שיישקלו לצדו באופן עצמאי שיקולים אחרים, ובכללם הצורך ושיקולי המעבר (ר'</w:t>
      </w:r>
      <w:r w:rsidRPr="00130205" w:rsidR="00FB1558">
        <w:rPr>
          <w:rFonts w:ascii="David" w:hAnsi="David" w:cs="David"/>
          <w:sz w:val="24"/>
          <w:szCs w:val="24"/>
          <w:rtl/>
        </w:rPr>
        <w:t xml:space="preserve"> </w:t>
      </w:r>
      <w:r w:rsidRPr="00130205">
        <w:rPr>
          <w:rFonts w:ascii="David" w:hAnsi="David" w:cs="David"/>
          <w:sz w:val="24"/>
          <w:szCs w:val="24"/>
          <w:rtl/>
        </w:rPr>
        <w:t xml:space="preserve"> </w:t>
      </w:r>
      <w:r w:rsidRPr="00130205" w:rsidR="00FB1558">
        <w:rPr>
          <w:rFonts w:ascii="David" w:hAnsi="David" w:cs="David"/>
          <w:sz w:val="24"/>
          <w:szCs w:val="24"/>
          <w:rtl/>
        </w:rPr>
        <w:t>רע"א 4575/00</w:t>
      </w:r>
      <w:r w:rsidRPr="00130205">
        <w:rPr>
          <w:rFonts w:ascii="David" w:hAnsi="David" w:cs="David"/>
          <w:sz w:val="24"/>
          <w:szCs w:val="24"/>
          <w:rtl/>
        </w:rPr>
        <w:t xml:space="preserve"> </w:t>
      </w:r>
      <w:r w:rsidRPr="00130205">
        <w:rPr>
          <w:rFonts w:ascii="David" w:hAnsi="David" w:cs="David"/>
          <w:b/>
          <w:bCs/>
          <w:sz w:val="24"/>
          <w:szCs w:val="24"/>
          <w:rtl/>
        </w:rPr>
        <w:t>פלונית נ' אלמוני</w:t>
      </w:r>
      <w:r w:rsidRPr="00130205">
        <w:rPr>
          <w:rFonts w:ascii="David" w:hAnsi="David" w:cs="David"/>
          <w:sz w:val="24"/>
          <w:szCs w:val="24"/>
          <w:rtl/>
        </w:rPr>
        <w:t xml:space="preserve"> פ"ד נה</w:t>
      </w:r>
      <w:r w:rsidRPr="00130205" w:rsidR="00FB1558">
        <w:rPr>
          <w:rFonts w:ascii="David" w:hAnsi="David" w:cs="David"/>
          <w:sz w:val="24"/>
          <w:szCs w:val="24"/>
          <w:rtl/>
        </w:rPr>
        <w:t xml:space="preserve"> </w:t>
      </w:r>
      <w:r w:rsidRPr="00130205">
        <w:rPr>
          <w:rFonts w:ascii="David" w:hAnsi="David" w:cs="David"/>
          <w:sz w:val="24"/>
          <w:szCs w:val="24"/>
          <w:rtl/>
        </w:rPr>
        <w:t>(2) 321,עמ' 333,</w:t>
      </w:r>
      <w:r w:rsidRPr="00130205" w:rsidR="00FB1558">
        <w:rPr>
          <w:rFonts w:ascii="David" w:hAnsi="David" w:cs="David"/>
          <w:sz w:val="24"/>
          <w:szCs w:val="24"/>
          <w:rtl/>
        </w:rPr>
        <w:t xml:space="preserve"> בע"מ 27/06 </w:t>
      </w:r>
      <w:r w:rsidRPr="00130205">
        <w:rPr>
          <w:rFonts w:ascii="David" w:hAnsi="David" w:cs="David"/>
          <w:sz w:val="24"/>
          <w:szCs w:val="24"/>
          <w:rtl/>
        </w:rPr>
        <w:t xml:space="preserve"> </w:t>
      </w:r>
      <w:r w:rsidRPr="00130205">
        <w:rPr>
          <w:rFonts w:ascii="David" w:hAnsi="David" w:cs="David"/>
          <w:b/>
          <w:bCs/>
          <w:sz w:val="24"/>
          <w:szCs w:val="24"/>
          <w:rtl/>
        </w:rPr>
        <w:t xml:space="preserve">פלוני נ' </w:t>
      </w:r>
      <w:r w:rsidRPr="00130205">
        <w:rPr>
          <w:rFonts w:ascii="Times New Roman" w:hAnsi="Times New Roman" w:cs="David"/>
          <w:szCs w:val="24"/>
          <w:rtl/>
        </w:rPr>
        <w:t>פלוני</w:t>
      </w:r>
      <w:r w:rsidRPr="00130205" w:rsidR="00FB1558">
        <w:rPr>
          <w:rFonts w:ascii="Times New Roman" w:hAnsi="Times New Roman" w:cs="David"/>
          <w:szCs w:val="24"/>
          <w:rtl/>
        </w:rPr>
        <w:t xml:space="preserve"> </w:t>
      </w:r>
      <w:r w:rsidRPr="00130205">
        <w:rPr>
          <w:rFonts w:ascii="Times New Roman" w:hAnsi="Times New Roman" w:cs="David"/>
          <w:szCs w:val="24"/>
          <w:rtl/>
        </w:rPr>
        <w:t xml:space="preserve"> </w:t>
      </w:r>
      <w:r w:rsidRPr="00130205">
        <w:rPr>
          <w:rFonts w:ascii="David" w:hAnsi="David" w:cs="David"/>
          <w:sz w:val="24"/>
          <w:szCs w:val="24"/>
          <w:rtl/>
        </w:rPr>
        <w:t xml:space="preserve">(01.05.06)). </w:t>
      </w:r>
    </w:p>
    <w:p w:rsidR="002702D3" w:rsidRPr="00826733" w:rsidP="002702D3">
      <w:pPr>
        <w:pStyle w:val="1"/>
        <w:numPr>
          <w:ilvl w:val="0"/>
          <w:numId w:val="1"/>
        </w:numPr>
        <w:bidi/>
        <w:spacing w:before="120" w:after="120" w:line="330" w:lineRule="atLeast"/>
        <w:jc w:val="both"/>
        <w:rPr>
          <w:rFonts w:ascii="Times New Roman" w:hAnsi="Times New Roman" w:cs="David"/>
          <w:szCs w:val="24"/>
        </w:rPr>
      </w:pPr>
      <w:r>
        <w:rPr>
          <w:rFonts w:ascii="David" w:hAnsi="David" w:cs="David"/>
          <w:color w:val="000000"/>
          <w:sz w:val="24"/>
          <w:szCs w:val="24"/>
          <w:rtl/>
        </w:rPr>
        <w:t>תוכנו של עקרון טובת הילד משתנה ממקרה למקרה בהתאם להקשר בו הוא נבחן. בבוחנו את טובת הילד אגב בקשת הגירה (פנימית במקרה זה), יתחשב בית המשפט ב</w:t>
      </w:r>
      <w:r>
        <w:rPr>
          <w:rFonts w:ascii="David" w:hAnsi="David" w:cs="David"/>
          <w:color w:val="000000"/>
          <w:sz w:val="24"/>
          <w:szCs w:val="24"/>
          <w:rtl/>
        </w:rPr>
        <w:t>ין היתר בדעת הילדים, באיכות הקשר בין הילדים לבין כל אחד משני ההורים, ביכולת האובייקטיבית והסובייקטיבית לשמירה על קשר בין הילדים להורה שהמשמורת לא בידיו אם תאושר העתקת מקום המגורים ונכונות ההורה המשמורן לקיים קשר זה, במסוגלות של הילדים להיקלט במקום החדש, זי</w:t>
      </w:r>
      <w:r>
        <w:rPr>
          <w:rFonts w:ascii="David" w:hAnsi="David" w:cs="David"/>
          <w:color w:val="000000"/>
          <w:sz w:val="24"/>
          <w:szCs w:val="24"/>
          <w:rtl/>
        </w:rPr>
        <w:t>קתם למקום המגורים הנוכחי וכיוצ"ב. לצד הקביעה, כי עקרון טובת הילדים הוא עקרון על בנוגע לענייני משמורת וקביעת מקום מגוריו של קטין נפסק עוד, כי "</w:t>
      </w:r>
      <w:r>
        <w:rPr>
          <w:rFonts w:ascii="David" w:hAnsi="David" w:cs="David"/>
          <w:b/>
          <w:bCs/>
          <w:color w:val="000000"/>
          <w:sz w:val="24"/>
          <w:szCs w:val="24"/>
          <w:rtl/>
        </w:rPr>
        <w:t>לרוב, שקילת טובתם של ילדים שהוריהם נפרדו אינה אלא תפיסת הרע במיעוטו מכיוון שטובת הילדים מחייבת כי יגדלו במחיצת אבי</w:t>
      </w:r>
      <w:r>
        <w:rPr>
          <w:rFonts w:ascii="David" w:hAnsi="David" w:cs="David"/>
          <w:b/>
          <w:bCs/>
          <w:color w:val="000000"/>
          <w:sz w:val="24"/>
          <w:szCs w:val="24"/>
          <w:rtl/>
        </w:rPr>
        <w:t>הם ואמם במסגרת תא משפחתי יציב ואוהב, ואילו בפרדה של הורים כרוכה מידה של ניתוק בין אחד ההורים לילדיו. ...לפיכך במציאות הנוצרת לאחר פרדת ההורים על בית המשפט לקבוע הסדר משמורת המגשים במידה המרבית את אינטרס הילדים ליהנות ממסגרת יציבה במשמורתו של ההורה שנמצא מת</w:t>
      </w:r>
      <w:r>
        <w:rPr>
          <w:rFonts w:ascii="David" w:hAnsi="David" w:cs="David"/>
          <w:b/>
          <w:bCs/>
          <w:color w:val="000000"/>
          <w:sz w:val="24"/>
          <w:szCs w:val="24"/>
          <w:rtl/>
        </w:rPr>
        <w:t>אים יותר ועם זאת לשמור קשר בין הילדים לבין ההורה האחר. לשם הכרעה בטובת הילד במקרה מסוים על בית המשפט לערוך בחינה מדוקדקת של מכלול ההיבטים של כל אחת מהאפשרויות הקיימות, לרבות השפעתה על ההורים, ככל שהדבר עשוי להשפיע על יחסם אל</w:t>
      </w:r>
      <w:r>
        <w:rPr>
          <w:rFonts w:ascii="David" w:hAnsi="David" w:cs="David"/>
          <w:color w:val="000000"/>
          <w:sz w:val="24"/>
          <w:szCs w:val="24"/>
          <w:rtl/>
        </w:rPr>
        <w:t xml:space="preserve"> הילד</w:t>
      </w:r>
      <w:r w:rsidRPr="00826733">
        <w:rPr>
          <w:rFonts w:ascii="Times New Roman" w:hAnsi="Times New Roman" w:cs="David"/>
          <w:szCs w:val="24"/>
          <w:rtl/>
        </w:rPr>
        <w:t>ים (</w:t>
      </w:r>
      <w:hyperlink r:id="rId4" w:history="1">
        <w:r w:rsidRPr="00826733" w:rsidR="00FB1558">
          <w:rPr>
            <w:rFonts w:ascii="Times New Roman" w:hAnsi="Times New Roman" w:cs="David"/>
            <w:szCs w:val="24"/>
            <w:rtl/>
          </w:rPr>
          <w:t>רע"א 4575/00</w:t>
        </w:r>
      </w:hyperlink>
      <w:r w:rsidRPr="00826733">
        <w:rPr>
          <w:rFonts w:ascii="Times New Roman" w:hAnsi="Times New Roman" w:cs="David"/>
          <w:szCs w:val="24"/>
          <w:rtl/>
        </w:rPr>
        <w:t xml:space="preserve">, </w:t>
      </w:r>
      <w:r w:rsidRPr="00826733" w:rsidR="00826733">
        <w:rPr>
          <w:rFonts w:ascii="Times New Roman" w:hAnsi="Times New Roman" w:cs="David"/>
          <w:szCs w:val="24"/>
          <w:rtl/>
        </w:rPr>
        <w:t xml:space="preserve">[נבו] </w:t>
      </w:r>
      <w:r>
        <w:rPr>
          <w:rFonts w:ascii="David" w:hAnsi="David" w:cs="David"/>
          <w:color w:val="000000"/>
          <w:sz w:val="24"/>
          <w:szCs w:val="24"/>
          <w:rtl/>
        </w:rPr>
        <w:t>עמ' 330 – 331). עוד נפסק, כי</w:t>
      </w:r>
      <w:r w:rsidR="00FB1558">
        <w:rPr>
          <w:rFonts w:ascii="David" w:hAnsi="David" w:cs="David"/>
          <w:color w:val="000000"/>
          <w:sz w:val="24"/>
          <w:szCs w:val="24"/>
          <w:rtl/>
        </w:rPr>
        <w:t xml:space="preserve"> </w:t>
      </w:r>
      <w:r>
        <w:rPr>
          <w:rFonts w:ascii="David" w:hAnsi="David" w:cs="David"/>
          <w:color w:val="000000"/>
          <w:sz w:val="24"/>
          <w:szCs w:val="24"/>
          <w:rtl/>
        </w:rPr>
        <w:t>"</w:t>
      </w:r>
      <w:r>
        <w:rPr>
          <w:rFonts w:ascii="David" w:hAnsi="David" w:cs="David"/>
          <w:b/>
          <w:bCs/>
          <w:color w:val="000000"/>
          <w:sz w:val="24"/>
          <w:szCs w:val="24"/>
          <w:rtl/>
        </w:rPr>
        <w:t>בחינת שאלת טובת הילד אינה יכולה להתבצע במנותק משאלת השפעת ההגירה על הוריו. כלומר, יש ליתן משקל לזכותו של הורה המשמורן לנהל את חייו כרצונו ולהמשיך להתפתח בהם</w:t>
      </w:r>
      <w:r>
        <w:rPr>
          <w:rFonts w:ascii="David" w:hAnsi="David" w:cs="David"/>
          <w:b/>
          <w:bCs/>
          <w:color w:val="000000"/>
          <w:sz w:val="24"/>
          <w:szCs w:val="24"/>
          <w:rtl/>
        </w:rPr>
        <w:t>, זאת לצד בחינת זכותו של ההורה שאינו משמורן לשמור על קשר רציף עם הילד</w:t>
      </w:r>
      <w:r>
        <w:rPr>
          <w:rFonts w:ascii="David" w:hAnsi="David" w:cs="David"/>
          <w:color w:val="000000"/>
          <w:sz w:val="24"/>
          <w:szCs w:val="24"/>
          <w:rtl/>
        </w:rPr>
        <w:t>"</w:t>
      </w:r>
      <w:r w:rsidRPr="00826733" w:rsidR="00FB1558">
        <w:rPr>
          <w:rFonts w:ascii="Times New Roman" w:hAnsi="Times New Roman" w:cs="David"/>
          <w:szCs w:val="24"/>
          <w:rtl/>
        </w:rPr>
        <w:t xml:space="preserve"> </w:t>
      </w:r>
      <w:r w:rsidRPr="00826733">
        <w:rPr>
          <w:rFonts w:ascii="Times New Roman" w:hAnsi="Times New Roman" w:cs="David"/>
          <w:szCs w:val="24"/>
          <w:rtl/>
        </w:rPr>
        <w:t>(ר'</w:t>
      </w:r>
      <w:r w:rsidRPr="00826733" w:rsidR="00FB1558">
        <w:rPr>
          <w:rFonts w:ascii="Times New Roman" w:hAnsi="Times New Roman" w:cs="David"/>
          <w:szCs w:val="24"/>
          <w:rtl/>
        </w:rPr>
        <w:t xml:space="preserve"> </w:t>
      </w:r>
      <w:hyperlink r:id="rId5" w:history="1">
        <w:r w:rsidRPr="00826733" w:rsidR="00FB1558">
          <w:rPr>
            <w:rFonts w:ascii="Times New Roman" w:hAnsi="Times New Roman" w:cs="David"/>
            <w:szCs w:val="24"/>
            <w:rtl/>
          </w:rPr>
          <w:t>בעמ 27/06</w:t>
        </w:r>
      </w:hyperlink>
      <w:r w:rsidRPr="00826733" w:rsidR="00FB1558">
        <w:rPr>
          <w:rFonts w:ascii="Times New Roman" w:hAnsi="Times New Roman" w:cs="David"/>
          <w:szCs w:val="24"/>
          <w:rtl/>
        </w:rPr>
        <w:t xml:space="preserve"> </w:t>
      </w:r>
      <w:r>
        <w:rPr>
          <w:rFonts w:ascii="David" w:hAnsi="David" w:cs="David"/>
          <w:color w:val="000000"/>
          <w:sz w:val="24"/>
          <w:szCs w:val="24"/>
          <w:rtl/>
        </w:rPr>
        <w:t>פסקה 2</w:t>
      </w:r>
      <w:r w:rsidRPr="00826733">
        <w:rPr>
          <w:rFonts w:ascii="Times New Roman" w:hAnsi="Times New Roman" w:cs="David"/>
          <w:szCs w:val="24"/>
          <w:rtl/>
        </w:rPr>
        <w:t>2).</w:t>
      </w:r>
    </w:p>
    <w:p w:rsidR="002702D3" w:rsidRPr="00130205" w:rsidP="002702D3">
      <w:pPr>
        <w:pStyle w:val="1"/>
        <w:numPr>
          <w:ilvl w:val="0"/>
          <w:numId w:val="1"/>
        </w:numPr>
        <w:bidi/>
        <w:spacing w:before="120" w:after="120" w:line="330" w:lineRule="atLeast"/>
        <w:jc w:val="both"/>
        <w:rPr>
          <w:rFonts w:ascii="David" w:hAnsi="David" w:cs="David"/>
          <w:sz w:val="24"/>
          <w:szCs w:val="24"/>
          <w:rtl/>
        </w:rPr>
      </w:pPr>
      <w:r w:rsidRPr="00826733">
        <w:rPr>
          <w:rFonts w:ascii="Times New Roman" w:hAnsi="Times New Roman" w:cs="David"/>
          <w:szCs w:val="24"/>
          <w:rtl/>
        </w:rPr>
        <w:t>ב</w:t>
      </w:r>
      <w:hyperlink r:id="rId6" w:history="1">
        <w:r w:rsidRPr="00826733" w:rsidR="00FB1558">
          <w:rPr>
            <w:rFonts w:ascii="Times New Roman" w:hAnsi="Times New Roman" w:cs="David"/>
            <w:szCs w:val="24"/>
            <w:rtl/>
          </w:rPr>
          <w:t>רמ"ש 69356-06-20</w:t>
        </w:r>
      </w:hyperlink>
      <w:r w:rsidRPr="00826733">
        <w:rPr>
          <w:rFonts w:ascii="Times New Roman" w:hAnsi="Times New Roman" w:cs="David"/>
          <w:szCs w:val="24"/>
          <w:rtl/>
        </w:rPr>
        <w:t xml:space="preserve"> </w:t>
      </w:r>
      <w:r>
        <w:rPr>
          <w:rFonts w:ascii="David" w:hAnsi="David" w:cs="David"/>
          <w:color w:val="000000"/>
          <w:sz w:val="24"/>
          <w:szCs w:val="24"/>
          <w:rtl/>
        </w:rPr>
        <w:t>הנ"ל, נקבע כי "ההכרעה בשאלה</w:t>
      </w:r>
      <w:r>
        <w:rPr>
          <w:rFonts w:ascii="David" w:hAnsi="David" w:cs="David"/>
          <w:color w:val="000000"/>
          <w:sz w:val="24"/>
          <w:szCs w:val="24"/>
          <w:rtl/>
        </w:rPr>
        <w:t xml:space="preserve"> האם להתיר את העתקת מקום מגורי הקטין עם ההורה המשמורן, מחייבת שקילת האפשרות, כי גם אם יאסור בית המשפט את העתקת מקום המגורים של הקטין יחד עם ההורה המשמורן, לא יהיה זה מן הנמנע, כי אותו הורה יבחר להעתיק את מקום מגוריו גם בלעדי הקטין, והתוצאה היא הותרת הקטין </w:t>
      </w:r>
      <w:r>
        <w:rPr>
          <w:rFonts w:ascii="David" w:hAnsi="David" w:cs="David"/>
          <w:color w:val="000000"/>
          <w:sz w:val="24"/>
          <w:szCs w:val="24"/>
          <w:rtl/>
        </w:rPr>
        <w:t>במשמורתו של ההורה שאינו משמורן. על כן, קביעת מקום מגורי קטין על רקע שינוי במקום מגורי ההורה המשמורן, מחייבת בחינה מחדש את טובת הילד הקונקרטי בנסיבות החדשות שנוצרו בהינתן השינוי במקום מגורי ההורים, ומחייבת בחינת החלופה של העברת המשמורת על הקטין לידי ההורה ש</w:t>
      </w:r>
      <w:r>
        <w:rPr>
          <w:rFonts w:ascii="David" w:hAnsi="David" w:cs="David"/>
          <w:color w:val="000000"/>
          <w:sz w:val="24"/>
          <w:szCs w:val="24"/>
          <w:rtl/>
        </w:rPr>
        <w:t xml:space="preserve">אינו משמורן וקביעת מקום המגורים עמו בהתאם, אל מול החלופה של הותרת המשמורת אצל ההורה המשמורן ואישור העתקת </w:t>
      </w:r>
      <w:r>
        <w:rPr>
          <w:rFonts w:ascii="David" w:hAnsi="David" w:cs="David"/>
          <w:color w:val="000000"/>
          <w:sz w:val="24"/>
          <w:szCs w:val="24"/>
          <w:rtl/>
        </w:rPr>
        <w:t xml:space="preserve">מקום מגורי הקטין עמו. הכרעה בין החלופות הרלבנטיות תיעשה כאמור בהתאם לעקרון </w:t>
      </w:r>
      <w:r w:rsidRPr="00130205">
        <w:rPr>
          <w:rFonts w:ascii="David" w:hAnsi="David" w:cs="David"/>
          <w:sz w:val="24"/>
          <w:szCs w:val="24"/>
          <w:rtl/>
        </w:rPr>
        <w:t xml:space="preserve">טובת הילד כעקרון יחיד (ר' </w:t>
      </w:r>
      <w:r w:rsidRPr="00130205" w:rsidR="00FB1558">
        <w:rPr>
          <w:rFonts w:ascii="David" w:hAnsi="David" w:cs="David"/>
          <w:sz w:val="24"/>
          <w:szCs w:val="24"/>
          <w:rtl/>
        </w:rPr>
        <w:t xml:space="preserve">בע"מ 5072/10 </w:t>
      </w:r>
      <w:r w:rsidRPr="00130205">
        <w:rPr>
          <w:rFonts w:ascii="David" w:hAnsi="David" w:cs="David"/>
          <w:b/>
          <w:bCs/>
          <w:sz w:val="24"/>
          <w:szCs w:val="24"/>
          <w:rtl/>
        </w:rPr>
        <w:t>פלוני נ' פלונית</w:t>
      </w:r>
      <w:r w:rsidRPr="00130205" w:rsidR="00FB1558">
        <w:rPr>
          <w:rFonts w:ascii="David" w:hAnsi="David" w:cs="David"/>
          <w:sz w:val="24"/>
          <w:szCs w:val="24"/>
          <w:rtl/>
        </w:rPr>
        <w:t xml:space="preserve"> </w:t>
      </w:r>
      <w:r w:rsidRPr="00130205">
        <w:rPr>
          <w:rFonts w:ascii="David" w:hAnsi="David" w:cs="David"/>
          <w:sz w:val="24"/>
          <w:szCs w:val="24"/>
          <w:rtl/>
        </w:rPr>
        <w:t>פ</w:t>
      </w:r>
      <w:r w:rsidRPr="00130205">
        <w:rPr>
          <w:rFonts w:ascii="Times New Roman" w:hAnsi="Times New Roman" w:cs="David"/>
          <w:szCs w:val="24"/>
          <w:rtl/>
        </w:rPr>
        <w:t xml:space="preserve">סקה 15 </w:t>
      </w:r>
      <w:r w:rsidRPr="00130205">
        <w:rPr>
          <w:rFonts w:ascii="David" w:hAnsi="David" w:cs="David"/>
          <w:sz w:val="24"/>
          <w:szCs w:val="24"/>
          <w:rtl/>
        </w:rPr>
        <w:t xml:space="preserve">(26.10.10)". </w:t>
      </w:r>
    </w:p>
    <w:p w:rsidR="002702D3" w:rsidP="002702D3">
      <w:pPr>
        <w:spacing w:line="360" w:lineRule="auto"/>
        <w:ind w:left="509" w:hanging="425"/>
        <w:jc w:val="both"/>
        <w:rPr>
          <w:rFonts w:ascii="David" w:hAnsi="David"/>
          <w:b/>
          <w:bCs/>
          <w:rtl/>
        </w:rPr>
      </w:pPr>
    </w:p>
    <w:p w:rsidR="002702D3" w:rsidP="002702D3">
      <w:pPr>
        <w:numPr>
          <w:ilvl w:val="0"/>
          <w:numId w:val="1"/>
        </w:numPr>
        <w:spacing w:line="360" w:lineRule="auto"/>
        <w:contextualSpacing/>
        <w:jc w:val="both"/>
        <w:rPr>
          <w:rFonts w:ascii="David" w:hAnsi="David"/>
          <w:rtl/>
        </w:rPr>
      </w:pPr>
      <w:r w:rsidRPr="00FB1558">
        <w:rPr>
          <w:rFonts w:ascii="David" w:hAnsi="David"/>
          <w:color w:val="FFFFFF"/>
          <w:sz w:val="2"/>
          <w:szCs w:val="2"/>
          <w:rtl/>
        </w:rPr>
        <w:t>הועתק מנבו</w:t>
      </w:r>
      <w:r w:rsidR="00DA6D89">
        <w:rPr>
          <w:rFonts w:ascii="David" w:hAnsi="David"/>
          <w:rtl/>
        </w:rPr>
        <w:t xml:space="preserve">בחינת טובת הקטין לשם הכרעה בסוגיית העתקת מקום מגורים, מצריכה את בית המשפט להיעזר בתסקירים ובחוות דעת מומחים להם יש היכולת והכלים המתאימים לבחון את </w:t>
      </w:r>
      <w:r w:rsidRPr="00130205" w:rsidR="00DA6D89">
        <w:rPr>
          <w:rFonts w:ascii="David" w:hAnsi="David"/>
          <w:rtl/>
        </w:rPr>
        <w:t xml:space="preserve">המקרה בעין מקצועית וסובייקטיבית (ר' </w:t>
      </w:r>
      <w:r w:rsidRPr="00130205">
        <w:rPr>
          <w:rFonts w:ascii="David" w:hAnsi="David"/>
          <w:rtl/>
        </w:rPr>
        <w:t>רע"א 4575/00</w:t>
      </w:r>
      <w:r w:rsidRPr="00130205" w:rsidR="00DA6D89">
        <w:rPr>
          <w:rFonts w:ascii="David" w:hAnsi="David"/>
          <w:rtl/>
        </w:rPr>
        <w:t xml:space="preserve"> </w:t>
      </w:r>
      <w:r w:rsidRPr="00130205" w:rsidR="00DA6D89">
        <w:rPr>
          <w:rFonts w:ascii="David" w:hAnsi="David"/>
          <w:b/>
          <w:bCs/>
          <w:rtl/>
        </w:rPr>
        <w:t>פלונית נ' אלמוני</w:t>
      </w:r>
      <w:r w:rsidRPr="00130205" w:rsidR="00DA6D89">
        <w:rPr>
          <w:rFonts w:ascii="David" w:hAnsi="David"/>
          <w:rtl/>
        </w:rPr>
        <w:t>, פ"ד נה (2) 321).</w:t>
      </w:r>
      <w:r w:rsidR="00DA6D89">
        <w:rPr>
          <w:rFonts w:ascii="David" w:hAnsi="David"/>
          <w:rtl/>
        </w:rPr>
        <w:t xml:space="preserve"> כבר נקבע כי חוות דעת מומחים בסוגיה כה רגישה הינן בעלות משקל משמעותי במכלול הראיות ובתי המשפט נוטים לאמץ את מימצאי המומחים ומסקנותיהם, כאשר ניתן יהא לסטות מהם </w:t>
      </w:r>
      <w:r w:rsidR="00DA6D89">
        <w:rPr>
          <w:rFonts w:ascii="David" w:hAnsi="David"/>
          <w:rtl/>
        </w:rPr>
        <w:t xml:space="preserve">רק בהינתן טעמים כבדי משקל המצדיקים זאת בע"3958/04 </w:t>
      </w:r>
      <w:r w:rsidR="00DA6D89">
        <w:rPr>
          <w:rFonts w:ascii="David" w:hAnsi="David"/>
          <w:b/>
          <w:bCs/>
          <w:rtl/>
        </w:rPr>
        <w:t xml:space="preserve">פלונית נ' פלוני </w:t>
      </w:r>
      <w:r w:rsidR="00DA6D89">
        <w:rPr>
          <w:rFonts w:ascii="David" w:hAnsi="David"/>
          <w:rtl/>
        </w:rPr>
        <w:t xml:space="preserve">(02.05.05), </w:t>
      </w:r>
      <w:r w:rsidRPr="00130205">
        <w:rPr>
          <w:rFonts w:ascii="David" w:hAnsi="David"/>
          <w:rtl/>
        </w:rPr>
        <w:t>בג"צ 5227/97</w:t>
      </w:r>
      <w:r w:rsidRPr="00130205" w:rsidR="00DA6D89">
        <w:rPr>
          <w:rFonts w:ascii="David" w:hAnsi="David"/>
          <w:rtl/>
        </w:rPr>
        <w:t xml:space="preserve"> </w:t>
      </w:r>
      <w:r w:rsidRPr="00130205" w:rsidR="00DA6D89">
        <w:rPr>
          <w:rFonts w:ascii="David" w:hAnsi="David"/>
          <w:b/>
          <w:bCs/>
          <w:rtl/>
        </w:rPr>
        <w:t>דוד</w:t>
      </w:r>
      <w:r w:rsidR="00DA6D89">
        <w:rPr>
          <w:rFonts w:ascii="David" w:hAnsi="David"/>
          <w:b/>
          <w:bCs/>
          <w:rtl/>
        </w:rPr>
        <w:t xml:space="preserve"> נ' בית הדין הרבני הגדול</w:t>
      </w:r>
      <w:r w:rsidR="00DA6D89">
        <w:rPr>
          <w:rFonts w:ascii="David" w:hAnsi="David"/>
          <w:rtl/>
        </w:rPr>
        <w:t xml:space="preserve">  פד"י נה (1), 453 (1998)). </w:t>
      </w:r>
    </w:p>
    <w:p w:rsidR="002702D3" w:rsidP="002702D3">
      <w:pPr>
        <w:numPr>
          <w:ilvl w:val="0"/>
          <w:numId w:val="1"/>
        </w:numPr>
        <w:spacing w:line="360" w:lineRule="auto"/>
        <w:contextualSpacing/>
        <w:jc w:val="both"/>
        <w:rPr>
          <w:rFonts w:ascii="David" w:hAnsi="David"/>
        </w:rPr>
      </w:pPr>
      <w:r>
        <w:rPr>
          <w:rFonts w:ascii="David" w:hAnsi="David"/>
          <w:rtl/>
        </w:rPr>
        <w:t xml:space="preserve">בפסיקה הובאו שתי גישות בעניין העתקת מקום מגורי קטינים: </w:t>
      </w:r>
      <w:r>
        <w:rPr>
          <w:rFonts w:ascii="David" w:hAnsi="David"/>
          <w:u w:val="single"/>
          <w:rtl/>
        </w:rPr>
        <w:t>האח</w:t>
      </w:r>
      <w:r>
        <w:rPr>
          <w:rFonts w:ascii="David" w:hAnsi="David"/>
          <w:u w:val="single"/>
          <w:rtl/>
        </w:rPr>
        <w:t>ת-</w:t>
      </w:r>
      <w:r>
        <w:rPr>
          <w:rFonts w:ascii="David" w:hAnsi="David"/>
          <w:rtl/>
        </w:rPr>
        <w:t xml:space="preserve"> גישת "המעשה העשוי" </w:t>
      </w:r>
      <w:r w:rsidRPr="00130205">
        <w:rPr>
          <w:rFonts w:ascii="David" w:hAnsi="David"/>
          <w:rtl/>
        </w:rPr>
        <w:t>שפורטה ב</w:t>
      </w:r>
      <w:r w:rsidRPr="00130205" w:rsidR="00FB1558">
        <w:rPr>
          <w:rFonts w:ascii="David" w:hAnsi="David"/>
          <w:rtl/>
        </w:rPr>
        <w:t>עמ"ש (נצ') 9963-06-11</w:t>
      </w:r>
      <w:r w:rsidRPr="00130205">
        <w:rPr>
          <w:rFonts w:ascii="David" w:hAnsi="David"/>
          <w:rtl/>
        </w:rPr>
        <w:t>,</w:t>
      </w:r>
      <w:r>
        <w:rPr>
          <w:rFonts w:ascii="David" w:hAnsi="David"/>
          <w:rtl/>
        </w:rPr>
        <w:t xml:space="preserve"> </w:t>
      </w:r>
      <w:r>
        <w:rPr>
          <w:rFonts w:ascii="David" w:hAnsi="David"/>
          <w:b/>
          <w:bCs/>
          <w:rtl/>
        </w:rPr>
        <w:t>ס.נ.ג. נ</w:t>
      </w:r>
      <w:r w:rsidRPr="00826733">
        <w:rPr>
          <w:sz w:val="22"/>
          <w:rtl/>
        </w:rPr>
        <w:t xml:space="preserve">' ע.ג. </w:t>
      </w:r>
      <w:r>
        <w:rPr>
          <w:rFonts w:ascii="David" w:hAnsi="David"/>
          <w:rtl/>
        </w:rPr>
        <w:t xml:space="preserve">(10.08.2011), לפיה על בית המשפט להכריע מה היא האפשרות הטובה ביותר עבור הילד במצב שייווצר </w:t>
      </w:r>
      <w:r>
        <w:rPr>
          <w:rFonts w:ascii="David" w:hAnsi="David"/>
          <w:b/>
          <w:bCs/>
          <w:rtl/>
        </w:rPr>
        <w:t>לאחר המעבר</w:t>
      </w:r>
      <w:r>
        <w:rPr>
          <w:rFonts w:ascii="David" w:hAnsi="David"/>
          <w:rtl/>
        </w:rPr>
        <w:t xml:space="preserve">. </w:t>
      </w:r>
      <w:r>
        <w:rPr>
          <w:rFonts w:ascii="David" w:hAnsi="David"/>
          <w:u w:val="single"/>
          <w:rtl/>
        </w:rPr>
        <w:t>השנייה</w:t>
      </w:r>
      <w:r>
        <w:rPr>
          <w:rFonts w:ascii="David" w:hAnsi="David"/>
          <w:rtl/>
        </w:rPr>
        <w:t xml:space="preserve">- </w:t>
      </w:r>
      <w:r w:rsidRPr="00130205">
        <w:rPr>
          <w:rFonts w:ascii="David" w:hAnsi="David"/>
          <w:rtl/>
        </w:rPr>
        <w:t xml:space="preserve">בוחנת את צרכי הקטינים וטובתם </w:t>
      </w:r>
      <w:r w:rsidRPr="00130205">
        <w:rPr>
          <w:rFonts w:ascii="David" w:hAnsi="David"/>
          <w:b/>
          <w:bCs/>
          <w:rtl/>
        </w:rPr>
        <w:t>טרם</w:t>
      </w:r>
      <w:r w:rsidRPr="00130205">
        <w:rPr>
          <w:rFonts w:ascii="David" w:hAnsi="David"/>
          <w:rtl/>
        </w:rPr>
        <w:t xml:space="preserve"> </w:t>
      </w:r>
      <w:r w:rsidRPr="00130205">
        <w:rPr>
          <w:rFonts w:ascii="David" w:hAnsi="David"/>
          <w:b/>
          <w:bCs/>
          <w:rtl/>
        </w:rPr>
        <w:t>המעבר,</w:t>
      </w:r>
      <w:r w:rsidRPr="00130205">
        <w:rPr>
          <w:rFonts w:ascii="David" w:hAnsi="David"/>
          <w:rtl/>
        </w:rPr>
        <w:t xml:space="preserve"> כפי שנקבעה ב</w:t>
      </w:r>
      <w:r w:rsidRPr="00130205" w:rsidR="00FB1558">
        <w:rPr>
          <w:rFonts w:ascii="David" w:hAnsi="David"/>
          <w:rtl/>
        </w:rPr>
        <w:t>עמ"ש (י-ם) 35652-07-12</w:t>
      </w:r>
      <w:r w:rsidRPr="00130205">
        <w:rPr>
          <w:rFonts w:ascii="David" w:hAnsi="David"/>
          <w:rtl/>
        </w:rPr>
        <w:t xml:space="preserve">, </w:t>
      </w:r>
      <w:r w:rsidRPr="00130205">
        <w:rPr>
          <w:rFonts w:ascii="David" w:hAnsi="David"/>
          <w:b/>
          <w:bCs/>
          <w:rtl/>
        </w:rPr>
        <w:t>א.ב.ח נ'</w:t>
      </w:r>
      <w:r w:rsidRPr="00130205">
        <w:rPr>
          <w:sz w:val="22"/>
          <w:rtl/>
        </w:rPr>
        <w:t xml:space="preserve"> מ.ב.ח </w:t>
      </w:r>
      <w:r w:rsidRPr="00130205">
        <w:rPr>
          <w:rFonts w:ascii="David" w:hAnsi="David"/>
          <w:rtl/>
        </w:rPr>
        <w:t>(09.12.2012). יצויין ב</w:t>
      </w:r>
      <w:r w:rsidRPr="00130205" w:rsidR="00FB1558">
        <w:rPr>
          <w:rFonts w:ascii="David" w:hAnsi="David"/>
          <w:rtl/>
        </w:rPr>
        <w:t>עמ"ש 44351-10-17</w:t>
      </w:r>
      <w:r w:rsidRPr="00130205">
        <w:rPr>
          <w:rFonts w:ascii="David" w:hAnsi="David"/>
          <w:b/>
          <w:bCs/>
          <w:rtl/>
        </w:rPr>
        <w:t xml:space="preserve"> א'</w:t>
      </w:r>
      <w:r w:rsidRPr="00130205">
        <w:rPr>
          <w:sz w:val="22"/>
          <w:rtl/>
        </w:rPr>
        <w:t xml:space="preserve"> נ' א' </w:t>
      </w:r>
      <w:r w:rsidRPr="00130205">
        <w:rPr>
          <w:rFonts w:ascii="David" w:hAnsi="David"/>
          <w:rtl/>
        </w:rPr>
        <w:t>17.04.18) נפסק מפי כב'</w:t>
      </w:r>
      <w:r>
        <w:rPr>
          <w:rFonts w:ascii="David" w:hAnsi="David"/>
          <w:rtl/>
        </w:rPr>
        <w:t xml:space="preserve"> השופטת אספרנצה אלון, כי</w:t>
      </w:r>
      <w:r>
        <w:rPr>
          <w:rFonts w:ascii="David" w:hAnsi="David"/>
          <w:b/>
          <w:bCs/>
          <w:rtl/>
        </w:rPr>
        <w:t xml:space="preserve"> </w:t>
      </w:r>
      <w:r>
        <w:rPr>
          <w:rFonts w:ascii="David" w:hAnsi="David"/>
          <w:rtl/>
        </w:rPr>
        <w:t>מדובר בגישות משלימות זו את זו, והן נותנות בידי הערכאה המבררת ראיה רחבה יותר לבחינת טובת הקטין.</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כן ר' לעניין זה פסק הדין שניתן </w:t>
      </w:r>
      <w:r w:rsidRPr="00130205">
        <w:rPr>
          <w:rFonts w:ascii="David" w:hAnsi="David" w:cs="David"/>
          <w:sz w:val="24"/>
          <w:szCs w:val="24"/>
          <w:rtl/>
        </w:rPr>
        <w:t>ב</w:t>
      </w:r>
      <w:r w:rsidRPr="00130205" w:rsidR="00FB1558">
        <w:rPr>
          <w:rFonts w:ascii="David" w:hAnsi="David" w:cs="David"/>
          <w:sz w:val="24"/>
          <w:szCs w:val="24"/>
          <w:rtl/>
        </w:rPr>
        <w:t xml:space="preserve">עמ"ש 43787-07-22 </w:t>
      </w:r>
      <w:r w:rsidRPr="00130205">
        <w:rPr>
          <w:rFonts w:ascii="David" w:hAnsi="David" w:cs="David"/>
          <w:b/>
          <w:bCs/>
          <w:sz w:val="24"/>
          <w:szCs w:val="24"/>
          <w:rtl/>
        </w:rPr>
        <w:t>א'</w:t>
      </w:r>
      <w:r w:rsidRPr="00826733">
        <w:rPr>
          <w:rFonts w:ascii="Times New Roman" w:hAnsi="Times New Roman" w:cs="David"/>
          <w:szCs w:val="24"/>
          <w:rtl/>
        </w:rPr>
        <w:t xml:space="preserve"> נ' ב'</w:t>
      </w:r>
      <w:r w:rsidRPr="00826733" w:rsidR="00826733">
        <w:rPr>
          <w:rFonts w:ascii="Times New Roman" w:hAnsi="Times New Roman" w:cs="David" w:hint="cs"/>
          <w:szCs w:val="24"/>
          <w:rtl/>
        </w:rPr>
        <w:t xml:space="preserve"> </w:t>
      </w:r>
      <w:r>
        <w:rPr>
          <w:rFonts w:ascii="David" w:hAnsi="David" w:cs="David"/>
          <w:color w:val="000000"/>
          <w:sz w:val="24"/>
          <w:szCs w:val="24"/>
          <w:rtl/>
        </w:rPr>
        <w:t xml:space="preserve">(29.08.2022), והפסיקה שהובאה בהרחבה שם.  </w:t>
      </w:r>
    </w:p>
    <w:p w:rsidR="002702D3" w:rsidP="002702D3">
      <w:pPr>
        <w:pStyle w:val="1"/>
        <w:numPr>
          <w:ilvl w:val="0"/>
          <w:numId w:val="1"/>
        </w:numPr>
        <w:bidi/>
        <w:spacing w:after="0" w:line="360" w:lineRule="auto"/>
        <w:jc w:val="both"/>
        <w:rPr>
          <w:rFonts w:ascii="David" w:hAnsi="David" w:cs="David"/>
          <w:color w:val="000000"/>
          <w:sz w:val="24"/>
          <w:szCs w:val="24"/>
        </w:rPr>
      </w:pPr>
      <w:r>
        <w:rPr>
          <w:rFonts w:ascii="David" w:hAnsi="David" w:cs="David"/>
          <w:color w:val="000000"/>
          <w:sz w:val="24"/>
          <w:szCs w:val="24"/>
          <w:rtl/>
        </w:rPr>
        <w:t xml:space="preserve">על ההבדל בין גישת המעשה העשוי לבין עשיית דין עצמי אפנה לדברים </w:t>
      </w:r>
      <w:r w:rsidRPr="00130205">
        <w:rPr>
          <w:rFonts w:ascii="David" w:hAnsi="David" w:cs="David"/>
          <w:sz w:val="24"/>
          <w:szCs w:val="24"/>
          <w:rtl/>
        </w:rPr>
        <w:t>שציינתי ב</w:t>
      </w:r>
      <w:r w:rsidRPr="00130205" w:rsidR="00FB1558">
        <w:rPr>
          <w:rFonts w:ascii="David" w:hAnsi="David" w:cs="David"/>
          <w:sz w:val="24"/>
          <w:szCs w:val="24"/>
          <w:rtl/>
        </w:rPr>
        <w:t xml:space="preserve">תה"ס (משפחה צפת) 29583-12-21 </w:t>
      </w:r>
      <w:r w:rsidRPr="00130205">
        <w:rPr>
          <w:rFonts w:ascii="David" w:hAnsi="David" w:cs="David"/>
          <w:b/>
          <w:bCs/>
          <w:sz w:val="24"/>
          <w:szCs w:val="24"/>
          <w:rtl/>
        </w:rPr>
        <w:t>פלוני נ' א</w:t>
      </w:r>
      <w:r w:rsidRPr="00130205">
        <w:rPr>
          <w:rFonts w:ascii="Times New Roman" w:hAnsi="Times New Roman" w:cs="David"/>
          <w:szCs w:val="24"/>
          <w:rtl/>
        </w:rPr>
        <w:t>למונית</w:t>
      </w:r>
      <w:r w:rsidRPr="00130205" w:rsidR="00FB1558">
        <w:rPr>
          <w:rFonts w:ascii="Times New Roman" w:hAnsi="Times New Roman" w:cs="David"/>
          <w:szCs w:val="24"/>
          <w:rtl/>
        </w:rPr>
        <w:t xml:space="preserve"> </w:t>
      </w:r>
      <w:r w:rsidRPr="00130205">
        <w:rPr>
          <w:rFonts w:ascii="David" w:hAnsi="David" w:cs="David"/>
          <w:sz w:val="24"/>
          <w:szCs w:val="24"/>
          <w:rtl/>
        </w:rPr>
        <w:t>(30.12.2021), ולפיהם "גישתה של הא</w:t>
      </w:r>
      <w:r w:rsidRPr="00130205">
        <w:rPr>
          <w:rFonts w:ascii="David" w:hAnsi="David" w:cs="David"/>
          <w:sz w:val="24"/>
          <w:szCs w:val="24"/>
          <w:rtl/>
        </w:rPr>
        <w:t>ם הינה</w:t>
      </w:r>
      <w:r>
        <w:rPr>
          <w:rFonts w:ascii="David" w:hAnsi="David" w:cs="David"/>
          <w:color w:val="000000"/>
          <w:sz w:val="24"/>
          <w:szCs w:val="24"/>
          <w:rtl/>
        </w:rPr>
        <w:t xml:space="preserve"> גישה של דין עצמי ולא של "מעשה עשוי" שאם לא כן, יוכל כל הורה לעשות מעשה, לשנות מקום מגוריו של קטין על דעת עצמו, ולהסתמך על כך שממילא בית המשפט יבחן כעת את טובתו של הקטין לאחר המעבר</w:t>
      </w:r>
      <w:r>
        <w:rPr>
          <w:rFonts w:ascii="David" w:hAnsi="David" w:cs="David"/>
          <w:color w:val="000000"/>
          <w:sz w:val="24"/>
          <w:szCs w:val="24"/>
        </w:rPr>
        <w:t>."</w:t>
      </w:r>
    </w:p>
    <w:p w:rsidR="002702D3" w:rsidRPr="00130205" w:rsidP="002702D3">
      <w:pPr>
        <w:pStyle w:val="1"/>
        <w:numPr>
          <w:ilvl w:val="0"/>
          <w:numId w:val="1"/>
        </w:numPr>
        <w:bidi/>
        <w:spacing w:after="0" w:line="360" w:lineRule="auto"/>
        <w:jc w:val="both"/>
        <w:rPr>
          <w:rFonts w:ascii="David" w:hAnsi="David" w:cs="David"/>
          <w:sz w:val="24"/>
          <w:szCs w:val="24"/>
        </w:rPr>
      </w:pPr>
      <w:r>
        <w:rPr>
          <w:rFonts w:ascii="David" w:hAnsi="David" w:cs="David"/>
          <w:color w:val="000000"/>
          <w:sz w:val="24"/>
          <w:szCs w:val="24"/>
          <w:rtl/>
        </w:rPr>
        <w:t xml:space="preserve">עוד נפסק כי יש מקום לבחון את שאלת העתקת המגורים בשני מעגלים: במעגל </w:t>
      </w:r>
      <w:r>
        <w:rPr>
          <w:rFonts w:ascii="David" w:hAnsi="David" w:cs="David"/>
          <w:color w:val="000000"/>
          <w:sz w:val="24"/>
          <w:szCs w:val="24"/>
          <w:rtl/>
        </w:rPr>
        <w:t xml:space="preserve">הראשון תיבחן יכולת הקטינים לעשות את המעבר. אם ייקבע כן, תיבחן במעגל השני השאלה האם יש בקשר שלהם עם מי מההורים, גורם המונע ניתוק מאותו הורה, או הישארות עמו ומה האפשרות הטובה ביותר עבורם במצב </w:t>
      </w:r>
      <w:r w:rsidRPr="00130205">
        <w:rPr>
          <w:rFonts w:ascii="David" w:hAnsi="David" w:cs="David"/>
          <w:sz w:val="24"/>
          <w:szCs w:val="24"/>
          <w:rtl/>
        </w:rPr>
        <w:t>שנוצר (</w:t>
      </w:r>
      <w:r w:rsidRPr="00130205" w:rsidR="00FB1558">
        <w:rPr>
          <w:rFonts w:ascii="David" w:hAnsi="David" w:cs="David"/>
          <w:sz w:val="24"/>
          <w:szCs w:val="24"/>
          <w:rtl/>
        </w:rPr>
        <w:t xml:space="preserve">ע"מ (מחוזי באר שבע) 119/08 </w:t>
      </w:r>
      <w:r w:rsidRPr="00130205">
        <w:rPr>
          <w:rFonts w:ascii="David" w:hAnsi="David" w:cs="David"/>
          <w:b/>
          <w:bCs/>
          <w:sz w:val="24"/>
          <w:szCs w:val="24"/>
          <w:rtl/>
        </w:rPr>
        <w:t>פלוני נ'</w:t>
      </w:r>
      <w:r>
        <w:rPr>
          <w:rFonts w:ascii="David" w:hAnsi="David" w:cs="David"/>
          <w:b/>
          <w:bCs/>
          <w:color w:val="000000"/>
          <w:sz w:val="24"/>
          <w:szCs w:val="24"/>
          <w:rtl/>
        </w:rPr>
        <w:t xml:space="preserve"> </w:t>
      </w:r>
      <w:r w:rsidRPr="00826733">
        <w:rPr>
          <w:rFonts w:ascii="Times New Roman" w:hAnsi="Times New Roman" w:cs="David"/>
          <w:szCs w:val="24"/>
          <w:rtl/>
        </w:rPr>
        <w:t>פלונית</w:t>
      </w:r>
      <w:r w:rsidRPr="00826733" w:rsidR="00FB1558">
        <w:rPr>
          <w:rFonts w:ascii="Times New Roman" w:hAnsi="Times New Roman" w:cs="David"/>
          <w:szCs w:val="24"/>
          <w:rtl/>
        </w:rPr>
        <w:t xml:space="preserve"> </w:t>
      </w:r>
      <w:r>
        <w:rPr>
          <w:rFonts w:ascii="David" w:hAnsi="David" w:cs="David"/>
          <w:color w:val="000000"/>
          <w:sz w:val="24"/>
          <w:szCs w:val="24"/>
          <w:rtl/>
        </w:rPr>
        <w:t xml:space="preserve">(13.08.2008)). עוד על החובה לבחון ראשית את יכולת הקטין לעשות את המעבר ולאחר מכן </w:t>
      </w:r>
      <w:r w:rsidRPr="00130205">
        <w:rPr>
          <w:rFonts w:ascii="David" w:hAnsi="David" w:cs="David"/>
          <w:sz w:val="24"/>
          <w:szCs w:val="24"/>
          <w:rtl/>
        </w:rPr>
        <w:t xml:space="preserve">תיבחן השאלה האם המעבר גורם לניתוק או לפגיעה בקשר עם ההורה השני ר' </w:t>
      </w:r>
      <w:r w:rsidRPr="00130205" w:rsidR="00FB1558">
        <w:rPr>
          <w:rFonts w:ascii="David" w:hAnsi="David" w:cs="David"/>
          <w:sz w:val="24"/>
          <w:szCs w:val="24"/>
          <w:rtl/>
        </w:rPr>
        <w:t>עמ"ש 34332-08-19</w:t>
      </w:r>
      <w:r w:rsidRPr="00130205">
        <w:rPr>
          <w:rFonts w:ascii="David" w:hAnsi="David" w:cs="David"/>
          <w:sz w:val="24"/>
          <w:szCs w:val="24"/>
          <w:rtl/>
        </w:rPr>
        <w:t xml:space="preserve"> </w:t>
      </w:r>
      <w:r w:rsidRPr="00130205">
        <w:rPr>
          <w:rFonts w:ascii="David" w:hAnsi="David" w:cs="David"/>
          <w:b/>
          <w:bCs/>
          <w:sz w:val="24"/>
          <w:szCs w:val="24"/>
          <w:rtl/>
        </w:rPr>
        <w:t xml:space="preserve">פלונית נ' </w:t>
      </w:r>
      <w:r w:rsidRPr="00130205">
        <w:rPr>
          <w:rFonts w:ascii="Times New Roman" w:hAnsi="Times New Roman" w:cs="David"/>
          <w:szCs w:val="24"/>
          <w:rtl/>
        </w:rPr>
        <w:t xml:space="preserve">אלמוני </w:t>
      </w:r>
      <w:r w:rsidRPr="00130205">
        <w:rPr>
          <w:rFonts w:ascii="David" w:hAnsi="David" w:cs="David"/>
          <w:sz w:val="24"/>
          <w:szCs w:val="24"/>
          <w:rtl/>
        </w:rPr>
        <w:t>(26.11.2019</w:t>
      </w:r>
      <w:r w:rsidRPr="00130205">
        <w:rPr>
          <w:rFonts w:ascii="Times New Roman" w:hAnsi="Times New Roman" w:cs="David"/>
          <w:szCs w:val="24"/>
          <w:rtl/>
        </w:rPr>
        <w:t>), ו</w:t>
      </w:r>
      <w:hyperlink r:id="rId7" w:history="1">
        <w:r w:rsidRPr="00130205" w:rsidR="00FB1558">
          <w:rPr>
            <w:rFonts w:ascii="Times New Roman" w:hAnsi="Times New Roman" w:cs="David"/>
            <w:szCs w:val="24"/>
            <w:rtl/>
          </w:rPr>
          <w:t>עמ"ש 43787-07-22</w:t>
        </w:r>
      </w:hyperlink>
      <w:r w:rsidRPr="00130205">
        <w:rPr>
          <w:rFonts w:ascii="Times New Roman" w:hAnsi="Times New Roman" w:cs="David"/>
          <w:szCs w:val="24"/>
          <w:rtl/>
        </w:rPr>
        <w:t xml:space="preserve"> </w:t>
      </w:r>
      <w:r w:rsidRPr="00130205" w:rsidR="00826733">
        <w:rPr>
          <w:rFonts w:ascii="Times New Roman" w:hAnsi="Times New Roman" w:cs="David" w:hint="cs"/>
          <w:szCs w:val="24"/>
          <w:rtl/>
        </w:rPr>
        <w:t xml:space="preserve"> </w:t>
      </w:r>
      <w:r w:rsidRPr="00130205">
        <w:rPr>
          <w:rFonts w:ascii="David" w:hAnsi="David" w:cs="David"/>
          <w:sz w:val="24"/>
          <w:szCs w:val="24"/>
          <w:rtl/>
        </w:rPr>
        <w:t xml:space="preserve">הנ"ל.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color w:val="000000"/>
          <w:sz w:val="24"/>
          <w:szCs w:val="24"/>
          <w:rtl/>
        </w:rPr>
        <w:t>אשר לעשיית הדין העצמי, ר' הדברים שנפסקו מפי כב' השופט נפתלי שיל</w:t>
      </w:r>
      <w:r w:rsidRPr="00826733">
        <w:rPr>
          <w:rFonts w:ascii="Times New Roman" w:hAnsi="Times New Roman" w:cs="David"/>
          <w:szCs w:val="24"/>
          <w:rtl/>
        </w:rPr>
        <w:t>ה ב</w:t>
      </w:r>
      <w:hyperlink r:id="rId8" w:history="1">
        <w:r w:rsidRPr="00826733" w:rsidR="00FB1558">
          <w:rPr>
            <w:rFonts w:ascii="Times New Roman" w:hAnsi="Times New Roman" w:cs="David"/>
            <w:szCs w:val="24"/>
            <w:rtl/>
          </w:rPr>
          <w:t>עמ"ש 34332-08-19</w:t>
        </w:r>
      </w:hyperlink>
      <w:r w:rsidRPr="00826733">
        <w:rPr>
          <w:rFonts w:ascii="Times New Roman" w:hAnsi="Times New Roman" w:cs="David"/>
          <w:szCs w:val="24"/>
          <w:rtl/>
        </w:rPr>
        <w:t>:</w:t>
      </w:r>
      <w:r w:rsidRPr="00826733">
        <w:rPr>
          <w:rFonts w:ascii="Times New Roman" w:hAnsi="Times New Roman" w:cs="David"/>
          <w:szCs w:val="24"/>
          <w:rtl/>
        </w:rPr>
        <w:t xml:space="preserve">  </w:t>
      </w:r>
      <w:r>
        <w:rPr>
          <w:rFonts w:ascii="David" w:hAnsi="David" w:cs="David"/>
          <w:color w:val="000000"/>
          <w:sz w:val="24"/>
          <w:szCs w:val="24"/>
          <w:rtl/>
        </w:rPr>
        <w:t>"אין אם כן מקום להעניש את האם, אף אם היא נהגה שלא כדין והעבירה את הקטינה למקום אחר ללא רשות בהמ"ש, באמצעות דחיית בקשתה לאישור המעבר. שהרי מה חטאה של הקטינה ומדוע שהיא תישא על גבה הצנום את תוצאות מחדלה של האם? ככל שהקטינה התאקלמה היטב במקום החדש, יש</w:t>
      </w:r>
      <w:r>
        <w:rPr>
          <w:rFonts w:ascii="David" w:hAnsi="David" w:cs="David"/>
          <w:color w:val="000000"/>
          <w:sz w:val="24"/>
          <w:szCs w:val="24"/>
          <w:rtl/>
        </w:rPr>
        <w:t xml:space="preserve"> ליתן משמעות אף לנתון זה ולנזק שעלול להיגרם לה ממעבר נוסף". כך נפסק כי יש לקחת בחשבון את הזכות למעבר ולאורח חיים עצמאי במסגרת הזכות החוקתית לכבוד, כמו גם את רווחתה של האם במקום המגורים </w:t>
      </w:r>
      <w:r w:rsidRPr="00130205">
        <w:rPr>
          <w:rFonts w:ascii="David" w:hAnsi="David" w:cs="David"/>
          <w:sz w:val="24"/>
          <w:szCs w:val="24"/>
          <w:rtl/>
        </w:rPr>
        <w:t xml:space="preserve">החדש ואת השיקול שאושרה של האם משפיע על הקטין ועל רווחתו </w:t>
      </w:r>
      <w:r w:rsidRPr="00130205">
        <w:rPr>
          <w:rFonts w:ascii="David" w:hAnsi="David" w:cs="David"/>
          <w:sz w:val="24"/>
          <w:szCs w:val="24"/>
          <w:rtl/>
        </w:rPr>
        <w:t>(</w:t>
      </w:r>
      <w:r w:rsidRPr="00130205" w:rsidR="00FB1558">
        <w:rPr>
          <w:rFonts w:ascii="David" w:hAnsi="David" w:cs="David"/>
          <w:sz w:val="24"/>
          <w:szCs w:val="24"/>
          <w:rtl/>
        </w:rPr>
        <w:t xml:space="preserve">עמ"ש 43787-07-22 </w:t>
      </w:r>
      <w:r w:rsidRPr="00130205">
        <w:rPr>
          <w:rFonts w:ascii="David" w:hAnsi="David" w:cs="David"/>
          <w:b/>
          <w:bCs/>
          <w:sz w:val="24"/>
          <w:szCs w:val="24"/>
          <w:rtl/>
        </w:rPr>
        <w:t>א'</w:t>
      </w:r>
      <w:r>
        <w:rPr>
          <w:rFonts w:ascii="David" w:hAnsi="David" w:cs="David"/>
          <w:b/>
          <w:bCs/>
          <w:color w:val="000000"/>
          <w:sz w:val="24"/>
          <w:szCs w:val="24"/>
          <w:rtl/>
        </w:rPr>
        <w:t xml:space="preserve"> </w:t>
      </w:r>
      <w:r w:rsidRPr="00826733">
        <w:rPr>
          <w:rFonts w:ascii="Times New Roman" w:hAnsi="Times New Roman" w:cs="David"/>
          <w:szCs w:val="24"/>
          <w:rtl/>
        </w:rPr>
        <w:t xml:space="preserve">נ' ב' </w:t>
      </w:r>
      <w:r w:rsidRPr="00826733" w:rsidR="00826733">
        <w:rPr>
          <w:rFonts w:ascii="Times New Roman" w:hAnsi="Times New Roman" w:cs="David" w:hint="cs"/>
          <w:szCs w:val="24"/>
          <w:rtl/>
        </w:rPr>
        <w:t xml:space="preserve"> </w:t>
      </w:r>
      <w:r>
        <w:rPr>
          <w:rFonts w:ascii="David" w:hAnsi="David" w:cs="David"/>
          <w:color w:val="000000"/>
          <w:sz w:val="24"/>
          <w:szCs w:val="24"/>
          <w:rtl/>
        </w:rPr>
        <w:t>וההפניות הרבות שם).</w:t>
      </w:r>
      <w:r>
        <w:rPr>
          <w:rFonts w:ascii="David" w:hAnsi="David" w:cs="David"/>
          <w:b/>
          <w:bCs/>
          <w:color w:val="000000"/>
          <w:sz w:val="24"/>
          <w:szCs w:val="24"/>
          <w:rtl/>
        </w:rPr>
        <w:t xml:space="preserve">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color w:val="000000"/>
          <w:sz w:val="24"/>
          <w:szCs w:val="24"/>
          <w:rtl/>
        </w:rPr>
        <w:t xml:space="preserve">כן ר' הפסיקה שהובאה בפסק דיני </w:t>
      </w:r>
      <w:r w:rsidRPr="00130205">
        <w:rPr>
          <w:rFonts w:ascii="David" w:hAnsi="David" w:cs="David"/>
          <w:sz w:val="24"/>
          <w:szCs w:val="24"/>
          <w:rtl/>
        </w:rPr>
        <w:t>ב</w:t>
      </w:r>
      <w:r w:rsidRPr="00130205" w:rsidR="00FB1558">
        <w:rPr>
          <w:rFonts w:ascii="David" w:hAnsi="David" w:cs="David"/>
          <w:sz w:val="24"/>
          <w:szCs w:val="24"/>
          <w:rtl/>
        </w:rPr>
        <w:t xml:space="preserve">תלה"מ (צפת) 10308-03-17 </w:t>
      </w:r>
      <w:r>
        <w:rPr>
          <w:rFonts w:ascii="David" w:hAnsi="David" w:cs="David"/>
          <w:b/>
          <w:bCs/>
          <w:color w:val="000000"/>
          <w:sz w:val="24"/>
          <w:szCs w:val="24"/>
          <w:rtl/>
        </w:rPr>
        <w:t>פלוני נ' א</w:t>
      </w:r>
      <w:r w:rsidRPr="00826733">
        <w:rPr>
          <w:rFonts w:ascii="Times New Roman" w:hAnsi="Times New Roman" w:cs="David"/>
          <w:szCs w:val="24"/>
          <w:rtl/>
        </w:rPr>
        <w:t>למונית</w:t>
      </w:r>
      <w:r w:rsidRPr="00826733" w:rsidR="00FB1558">
        <w:rPr>
          <w:rFonts w:ascii="Times New Roman" w:hAnsi="Times New Roman" w:cs="David"/>
          <w:szCs w:val="24"/>
          <w:rtl/>
        </w:rPr>
        <w:t xml:space="preserve"> </w:t>
      </w:r>
      <w:r>
        <w:rPr>
          <w:rFonts w:ascii="David" w:hAnsi="David" w:cs="David"/>
          <w:color w:val="000000"/>
          <w:sz w:val="24"/>
          <w:szCs w:val="24"/>
          <w:rtl/>
        </w:rPr>
        <w:t>(09.07.2017) שם ציינתי</w:t>
      </w:r>
      <w:r>
        <w:rPr>
          <w:rFonts w:ascii="David" w:hAnsi="David" w:cs="David"/>
          <w:color w:val="000000"/>
          <w:sz w:val="24"/>
          <w:szCs w:val="24"/>
          <w:rtl/>
        </w:rPr>
        <w:t xml:space="preserve"> כי "הכרעה בנושא מעבר מקום מגוריהם של אחד ההורים עם הקטינים היא בחירת "הרע במיעוטו". ברי כי טובת הקטינים הינה שיגדלו במשפחה המתפקדת בצורה תקינה, הרמונית בתא משפחתי אחד ויציב, אולם במקרה זה המציאות שונה, ויש לקבוע מהי טובתם של הקטינים במציאות שנוצרה באופן ה</w:t>
      </w:r>
      <w:r>
        <w:rPr>
          <w:rFonts w:ascii="David" w:hAnsi="David" w:cs="David"/>
          <w:color w:val="000000"/>
          <w:sz w:val="24"/>
          <w:szCs w:val="24"/>
          <w:rtl/>
        </w:rPr>
        <w:t>מגשים במידה המירבית את אינטרס הקטינים ליהנות ממסגרת יציבה תוך אפשרות לשמירת קשר עם שני הוריהם... יש לאפשר לאם להתחיל פרק חדש בחייה, כחלק מזכותה (החוקתית) לקבוע את מקום מגוריה. יש לזכור כי רווחתה של האם תשפיע על רווחתם של הילדים. בהקשר זה יצויין כי בד"כ, הר</w:t>
      </w:r>
      <w:r>
        <w:rPr>
          <w:rFonts w:ascii="David" w:hAnsi="David" w:cs="David"/>
          <w:color w:val="000000"/>
          <w:sz w:val="24"/>
          <w:szCs w:val="24"/>
          <w:rtl/>
        </w:rPr>
        <w:t>צון לעקור לעיר אחרת, או הצורך למעבר מקום המגורים, אינו של הקטין ומובן כי הדבר</w:t>
      </w:r>
      <w:r w:rsidR="00FB1558">
        <w:rPr>
          <w:rFonts w:ascii="David" w:hAnsi="David" w:cs="David"/>
          <w:color w:val="000000"/>
          <w:sz w:val="24"/>
          <w:szCs w:val="24"/>
          <w:rtl/>
        </w:rPr>
        <w:t xml:space="preserve"> </w:t>
      </w:r>
      <w:r>
        <w:rPr>
          <w:rFonts w:ascii="David" w:hAnsi="David" w:cs="David"/>
          <w:color w:val="000000"/>
          <w:sz w:val="24"/>
          <w:szCs w:val="24"/>
          <w:rtl/>
        </w:rPr>
        <w:t xml:space="preserve"> נובע בד"כ מהחלטות שמקבלים הוריהם או מי מהם, וכבר נפסק כי אין בכך כדי לפסול את הרצון למעבר מקום</w:t>
      </w:r>
      <w:r w:rsidR="00FB1558">
        <w:rPr>
          <w:rFonts w:ascii="David" w:hAnsi="David" w:cs="David"/>
          <w:color w:val="000000"/>
          <w:sz w:val="24"/>
          <w:szCs w:val="24"/>
          <w:rtl/>
        </w:rPr>
        <w:t xml:space="preserve"> </w:t>
      </w:r>
      <w:r>
        <w:rPr>
          <w:rFonts w:ascii="David" w:hAnsi="David" w:cs="David"/>
          <w:color w:val="000000"/>
          <w:sz w:val="24"/>
          <w:szCs w:val="24"/>
          <w:rtl/>
        </w:rPr>
        <w:t xml:space="preserve"> המגורים. כן נפסק כי מעבר מגורים לשם התקרבות למשפחת המוצא לשם קבלת מערכת תומכת – ה</w:t>
      </w:r>
      <w:r>
        <w:rPr>
          <w:rFonts w:ascii="David" w:hAnsi="David" w:cs="David"/>
          <w:color w:val="000000"/>
          <w:sz w:val="24"/>
          <w:szCs w:val="24"/>
          <w:rtl/>
        </w:rPr>
        <w:t>ינה שיקול רלבנטי בהכרעות מסוג זה... ההתנגשות בין הרצון של שני ההורים וזכויותיהם ברורה אולם ... "לא שיקולי "צדקת המעבר" הם שינחונו, שכן נקודת המוצא היא כי גם מעבר שאינו מוצדק מותר; שאלת השאלות היא טובת הקטינים</w:t>
      </w:r>
      <w:r>
        <w:rPr>
          <w:rFonts w:ascii="David" w:hAnsi="David" w:cs="David"/>
          <w:color w:val="000000"/>
          <w:sz w:val="24"/>
          <w:szCs w:val="24"/>
        </w:rPr>
        <w:t>."</w:t>
      </w:r>
    </w:p>
    <w:p w:rsidR="002702D3" w:rsidRPr="00130205" w:rsidP="002702D3">
      <w:pPr>
        <w:pStyle w:val="1"/>
        <w:numPr>
          <w:ilvl w:val="0"/>
          <w:numId w:val="1"/>
        </w:numPr>
        <w:bidi/>
        <w:spacing w:after="0" w:line="360" w:lineRule="auto"/>
        <w:jc w:val="both"/>
        <w:rPr>
          <w:rFonts w:ascii="David" w:hAnsi="David" w:cs="David"/>
          <w:sz w:val="24"/>
          <w:szCs w:val="24"/>
        </w:rPr>
      </w:pPr>
      <w:r>
        <w:rPr>
          <w:rFonts w:ascii="David" w:hAnsi="David" w:cs="David"/>
          <w:color w:val="000000"/>
          <w:sz w:val="24"/>
          <w:szCs w:val="24"/>
          <w:rtl/>
        </w:rPr>
        <w:t xml:space="preserve">כך, נפסק כי "מרבית המקרים המובאים לדיון בפני </w:t>
      </w:r>
      <w:r>
        <w:rPr>
          <w:rFonts w:ascii="David" w:hAnsi="David" w:cs="David"/>
          <w:color w:val="000000"/>
          <w:sz w:val="24"/>
          <w:szCs w:val="24"/>
          <w:rtl/>
        </w:rPr>
        <w:t>ביהמ"ש אין לילדים עצמם צורך להעתיק מקום מגורים. הצורך נגזר מהמציאות אליה נקלעו שלא בטובתם ובעל כורחם ונובע מהפרוד בין הוריהם ומרצון אחד ההורים לעבור למקום אחר... השאלה אינה אם הקטינים כשלעצמם צריכים את המעבר והאם המעבר ייטיב עימם, השאלה גם אינה האם המעבר מ</w:t>
      </w:r>
      <w:r>
        <w:rPr>
          <w:rFonts w:ascii="David" w:hAnsi="David" w:cs="David"/>
          <w:color w:val="000000"/>
          <w:sz w:val="24"/>
          <w:szCs w:val="24"/>
          <w:rtl/>
        </w:rPr>
        <w:t xml:space="preserve">וצדק. השאלה היא, מה טובתם של הקטינים במצב שנוצר כאשר האם מבקשת לעבור, ואין לבדוק אם יש צידוק למעבר והאם התנהגות האם נאותה </w:t>
      </w:r>
      <w:r w:rsidRPr="00130205">
        <w:rPr>
          <w:rFonts w:ascii="David" w:hAnsi="David" w:cs="David"/>
          <w:sz w:val="24"/>
          <w:szCs w:val="24"/>
          <w:rtl/>
        </w:rPr>
        <w:t>(</w:t>
      </w:r>
      <w:r w:rsidRPr="00130205" w:rsidR="00FB1558">
        <w:rPr>
          <w:rFonts w:ascii="David" w:hAnsi="David" w:cs="David"/>
          <w:sz w:val="24"/>
          <w:szCs w:val="24"/>
          <w:rtl/>
        </w:rPr>
        <w:t xml:space="preserve">ע"מ (מחוזי באר שבע) 119/08 </w:t>
      </w:r>
      <w:r w:rsidRPr="00130205">
        <w:rPr>
          <w:rFonts w:ascii="David" w:hAnsi="David" w:cs="David"/>
          <w:b/>
          <w:bCs/>
          <w:sz w:val="24"/>
          <w:szCs w:val="24"/>
          <w:rtl/>
        </w:rPr>
        <w:t>פלוני נ' פל</w:t>
      </w:r>
      <w:r w:rsidRPr="00130205">
        <w:rPr>
          <w:rFonts w:ascii="Times New Roman" w:hAnsi="Times New Roman" w:cs="David"/>
          <w:szCs w:val="24"/>
          <w:rtl/>
        </w:rPr>
        <w:t>ונית</w:t>
      </w:r>
      <w:r w:rsidRPr="00130205" w:rsidR="00FB1558">
        <w:rPr>
          <w:rFonts w:ascii="Times New Roman" w:hAnsi="Times New Roman" w:cs="David"/>
          <w:szCs w:val="24"/>
          <w:rtl/>
        </w:rPr>
        <w:t xml:space="preserve"> </w:t>
      </w:r>
      <w:r w:rsidRPr="00130205">
        <w:rPr>
          <w:rFonts w:ascii="Times New Roman" w:hAnsi="Times New Roman" w:cs="David"/>
          <w:szCs w:val="24"/>
          <w:rtl/>
        </w:rPr>
        <w:t>(</w:t>
      </w:r>
      <w:r w:rsidRPr="00130205">
        <w:rPr>
          <w:rFonts w:ascii="David" w:hAnsi="David" w:cs="David"/>
          <w:sz w:val="24"/>
          <w:szCs w:val="24"/>
          <w:rtl/>
        </w:rPr>
        <w:t xml:space="preserve">13.08.2008)). </w:t>
      </w:r>
    </w:p>
    <w:p w:rsidR="002702D3" w:rsidP="002702D3">
      <w:pPr>
        <w:pStyle w:val="1"/>
        <w:numPr>
          <w:ilvl w:val="0"/>
          <w:numId w:val="1"/>
        </w:numPr>
        <w:bidi/>
        <w:spacing w:after="0" w:line="360" w:lineRule="auto"/>
        <w:jc w:val="both"/>
        <w:rPr>
          <w:rFonts w:ascii="David" w:hAnsi="David" w:cs="David"/>
          <w:sz w:val="24"/>
          <w:szCs w:val="24"/>
        </w:rPr>
      </w:pPr>
      <w:r w:rsidRPr="00B05CA2">
        <w:rPr>
          <w:rFonts w:ascii="David" w:hAnsi="David" w:cs="David"/>
          <w:sz w:val="24"/>
          <w:szCs w:val="24"/>
          <w:rtl/>
        </w:rPr>
        <w:t>ב</w:t>
      </w:r>
      <w:r w:rsidRPr="00B05CA2" w:rsidR="00FB1558">
        <w:rPr>
          <w:rFonts w:ascii="David" w:hAnsi="David" w:cs="David"/>
          <w:sz w:val="24"/>
          <w:szCs w:val="24"/>
          <w:rtl/>
        </w:rPr>
        <w:t>עמ"ש 43787-07-22</w:t>
      </w:r>
      <w:r w:rsidRPr="00B05CA2">
        <w:rPr>
          <w:rFonts w:ascii="David" w:hAnsi="David" w:cs="David"/>
          <w:sz w:val="24"/>
          <w:szCs w:val="24"/>
          <w:rtl/>
        </w:rPr>
        <w:t>, ב</w:t>
      </w:r>
      <w:r w:rsidRPr="00B05CA2" w:rsidR="00FB1558">
        <w:rPr>
          <w:rFonts w:ascii="David" w:hAnsi="David" w:cs="David"/>
          <w:sz w:val="24"/>
          <w:szCs w:val="24"/>
          <w:rtl/>
        </w:rPr>
        <w:t>עמ"ש (חי') 25108-05-20</w:t>
      </w:r>
      <w:r w:rsidRPr="00B05CA2">
        <w:rPr>
          <w:rFonts w:ascii="David" w:hAnsi="David" w:cs="David"/>
          <w:sz w:val="24"/>
          <w:szCs w:val="24"/>
          <w:rtl/>
        </w:rPr>
        <w:t xml:space="preserve"> </w:t>
      </w:r>
      <w:r w:rsidRPr="00B05CA2">
        <w:rPr>
          <w:rFonts w:ascii="David" w:hAnsi="David" w:cs="David"/>
          <w:b/>
          <w:bCs/>
          <w:sz w:val="24"/>
          <w:szCs w:val="24"/>
          <w:rtl/>
        </w:rPr>
        <w:t>צ.</w:t>
      </w:r>
      <w:r w:rsidRPr="00B05CA2">
        <w:rPr>
          <w:rFonts w:ascii="Times New Roman" w:hAnsi="Times New Roman" w:cs="David"/>
          <w:szCs w:val="24"/>
          <w:rtl/>
        </w:rPr>
        <w:t xml:space="preserve"> נ' נ. </w:t>
      </w:r>
      <w:r w:rsidRPr="00B05CA2">
        <w:rPr>
          <w:rFonts w:ascii="David" w:hAnsi="David" w:cs="David"/>
          <w:sz w:val="24"/>
          <w:szCs w:val="24"/>
          <w:rtl/>
        </w:rPr>
        <w:t>(30.08.2020) וב</w:t>
      </w:r>
      <w:r w:rsidRPr="00B05CA2" w:rsidR="00FB1558">
        <w:rPr>
          <w:rFonts w:ascii="David" w:hAnsi="David" w:cs="David"/>
          <w:sz w:val="24"/>
          <w:szCs w:val="24"/>
          <w:rtl/>
        </w:rPr>
        <w:t>עמ"ש (חי')1438-01-17</w:t>
      </w:r>
      <w:r>
        <w:rPr>
          <w:rFonts w:ascii="David" w:hAnsi="David" w:cs="David"/>
          <w:color w:val="000000"/>
          <w:sz w:val="24"/>
          <w:szCs w:val="24"/>
          <w:rtl/>
        </w:rPr>
        <w:t xml:space="preserve"> </w:t>
      </w:r>
      <w:r>
        <w:rPr>
          <w:rFonts w:ascii="David" w:hAnsi="David" w:cs="David"/>
          <w:b/>
          <w:bCs/>
          <w:color w:val="000000"/>
          <w:sz w:val="24"/>
          <w:szCs w:val="24"/>
          <w:rtl/>
        </w:rPr>
        <w:t xml:space="preserve">י.ר </w:t>
      </w:r>
      <w:r w:rsidRPr="00826733">
        <w:rPr>
          <w:rFonts w:ascii="Times New Roman" w:hAnsi="Times New Roman" w:cs="David"/>
          <w:szCs w:val="24"/>
          <w:rtl/>
        </w:rPr>
        <w:t xml:space="preserve">נ' א.ר </w:t>
      </w:r>
      <w:r>
        <w:rPr>
          <w:rFonts w:ascii="David" w:hAnsi="David" w:cs="David"/>
          <w:color w:val="000000"/>
          <w:sz w:val="24"/>
          <w:szCs w:val="24"/>
          <w:rtl/>
        </w:rPr>
        <w:t xml:space="preserve">(19.3.2018) נקבע כי ההלכה המחייבת הינה גישת המעשה העשוי, וכאמור לפיה על בית המשפט להכריע מהי האפשרות הטובה ביותר עבור הילדים במצב שיווצר לאחר העתקת מקום המגורים. </w:t>
      </w:r>
    </w:p>
    <w:p w:rsidR="002702D3" w:rsidP="002702D3">
      <w:pPr>
        <w:pStyle w:val="1"/>
        <w:numPr>
          <w:ilvl w:val="0"/>
          <w:numId w:val="1"/>
        </w:numPr>
        <w:bidi/>
        <w:spacing w:after="0" w:line="360" w:lineRule="auto"/>
        <w:jc w:val="both"/>
        <w:rPr>
          <w:rFonts w:ascii="David" w:hAnsi="David" w:cs="David"/>
          <w:color w:val="000000"/>
          <w:sz w:val="24"/>
          <w:szCs w:val="24"/>
        </w:rPr>
      </w:pPr>
      <w:r w:rsidRPr="00B05CA2">
        <w:rPr>
          <w:rFonts w:ascii="David" w:hAnsi="David" w:cs="David"/>
          <w:sz w:val="24"/>
          <w:szCs w:val="24"/>
          <w:rtl/>
        </w:rPr>
        <w:t xml:space="preserve">בתיק </w:t>
      </w:r>
      <w:r w:rsidRPr="00B05CA2" w:rsidR="00FB1558">
        <w:rPr>
          <w:rFonts w:ascii="David" w:hAnsi="David" w:cs="David"/>
          <w:sz w:val="24"/>
          <w:szCs w:val="24"/>
          <w:rtl/>
        </w:rPr>
        <w:t>י"ס (חיפה) 34075-07-22</w:t>
      </w:r>
      <w:r w:rsidR="00FB1558">
        <w:rPr>
          <w:rFonts w:ascii="David" w:hAnsi="David" w:cs="David"/>
          <w:color w:val="000000"/>
          <w:sz w:val="24"/>
          <w:szCs w:val="24"/>
          <w:rtl/>
        </w:rPr>
        <w:t xml:space="preserve"> </w:t>
      </w:r>
      <w:r>
        <w:rPr>
          <w:rFonts w:ascii="David" w:hAnsi="David" w:cs="David"/>
          <w:b/>
          <w:bCs/>
          <w:color w:val="000000"/>
          <w:sz w:val="24"/>
          <w:szCs w:val="24"/>
          <w:rtl/>
        </w:rPr>
        <w:t>האב נ</w:t>
      </w:r>
      <w:r w:rsidRPr="00826733">
        <w:rPr>
          <w:rFonts w:ascii="Times New Roman" w:hAnsi="Times New Roman" w:cs="David"/>
          <w:szCs w:val="24"/>
          <w:rtl/>
        </w:rPr>
        <w:t xml:space="preserve">' האם </w:t>
      </w:r>
      <w:r w:rsidRPr="00826733" w:rsidR="00826733">
        <w:rPr>
          <w:rFonts w:ascii="Times New Roman" w:hAnsi="Times New Roman" w:cs="David" w:hint="cs"/>
          <w:szCs w:val="24"/>
          <w:rtl/>
        </w:rPr>
        <w:t xml:space="preserve"> </w:t>
      </w:r>
      <w:r>
        <w:rPr>
          <w:rFonts w:ascii="David" w:hAnsi="David" w:cs="David"/>
          <w:color w:val="000000"/>
          <w:sz w:val="24"/>
          <w:szCs w:val="24"/>
          <w:rtl/>
        </w:rPr>
        <w:t xml:space="preserve">(11.10.2022) הותר מעבר מגורי הקטינים יחד עם זאת נוכח עשיית דין עצמי של האם, טרם מתן ההיתר, הדבר בא לידי ביטוי בנטל ההסעות של הקטינים אל האב, כן נקבעה סנקציה כספית בגין כל הפרה והאם חוייבה בהוצאות. </w:t>
      </w:r>
    </w:p>
    <w:p w:rsidR="002702D3" w:rsidP="002702D3">
      <w:pPr>
        <w:pStyle w:val="1"/>
        <w:numPr>
          <w:ilvl w:val="0"/>
          <w:numId w:val="1"/>
        </w:numPr>
        <w:bidi/>
        <w:spacing w:after="0" w:line="360" w:lineRule="auto"/>
        <w:jc w:val="both"/>
        <w:rPr>
          <w:rFonts w:ascii="David" w:hAnsi="David" w:cs="David"/>
          <w:color w:val="000000"/>
          <w:sz w:val="24"/>
          <w:szCs w:val="24"/>
        </w:rPr>
      </w:pPr>
      <w:r>
        <w:rPr>
          <w:rFonts w:ascii="David" w:hAnsi="David" w:cs="David"/>
          <w:color w:val="000000"/>
          <w:sz w:val="24"/>
          <w:szCs w:val="24"/>
          <w:rtl/>
        </w:rPr>
        <w:t>ניתן לסכם את ההלכות השונות ככאלה המבקשות לאזן בין הז</w:t>
      </w:r>
      <w:r>
        <w:rPr>
          <w:rFonts w:ascii="David" w:hAnsi="David" w:cs="David"/>
          <w:color w:val="000000"/>
          <w:sz w:val="24"/>
          <w:szCs w:val="24"/>
          <w:rtl/>
        </w:rPr>
        <w:t>כות של ההורה לעצב חייו כרצונו ולפתוח דף חדש לאחר הפירוד במקום בו יבחר, הזכות של ההורה השני לקיים קשר יציב עם הקטין ומעל לכל – זכותו של הקטין לקיים קשר יציב ורציף עם שני הוריו ויכולתו לבצע את המעבר (</w:t>
      </w:r>
      <w:r w:rsidRPr="00B05CA2">
        <w:rPr>
          <w:rFonts w:ascii="David" w:hAnsi="David" w:cs="David"/>
          <w:sz w:val="24"/>
          <w:szCs w:val="24"/>
          <w:rtl/>
        </w:rPr>
        <w:t xml:space="preserve">ר' </w:t>
      </w:r>
      <w:r w:rsidRPr="00B05CA2" w:rsidR="00FB1558">
        <w:rPr>
          <w:rFonts w:ascii="David" w:hAnsi="David" w:cs="David"/>
          <w:sz w:val="24"/>
          <w:szCs w:val="24"/>
          <w:rtl/>
        </w:rPr>
        <w:t xml:space="preserve">תלה"מ (חיפה) 16510-03-24 </w:t>
      </w:r>
      <w:r w:rsidRPr="00B05CA2">
        <w:rPr>
          <w:rFonts w:ascii="David" w:hAnsi="David" w:cs="David"/>
          <w:b/>
          <w:bCs/>
          <w:sz w:val="24"/>
          <w:szCs w:val="24"/>
          <w:rtl/>
        </w:rPr>
        <w:t>פלונית</w:t>
      </w:r>
      <w:r>
        <w:rPr>
          <w:rFonts w:ascii="David" w:hAnsi="David" w:cs="David"/>
          <w:b/>
          <w:bCs/>
          <w:color w:val="000000"/>
          <w:sz w:val="24"/>
          <w:szCs w:val="24"/>
          <w:rtl/>
        </w:rPr>
        <w:t xml:space="preserve"> נ' א</w:t>
      </w:r>
      <w:r w:rsidRPr="00826733">
        <w:rPr>
          <w:rFonts w:ascii="Times New Roman" w:hAnsi="Times New Roman" w:cs="David"/>
          <w:szCs w:val="24"/>
          <w:rtl/>
        </w:rPr>
        <w:t>למוני</w:t>
      </w:r>
      <w:r w:rsidRPr="00826733" w:rsidR="00FB1558">
        <w:rPr>
          <w:rFonts w:ascii="Times New Roman" w:hAnsi="Times New Roman" w:cs="David"/>
          <w:szCs w:val="24"/>
          <w:rtl/>
        </w:rPr>
        <w:t xml:space="preserve"> </w:t>
      </w:r>
      <w:r w:rsidRPr="00826733" w:rsidR="00826733">
        <w:rPr>
          <w:rFonts w:ascii="Times New Roman" w:hAnsi="Times New Roman" w:cs="David" w:hint="cs"/>
          <w:szCs w:val="24"/>
          <w:rtl/>
        </w:rPr>
        <w:t xml:space="preserve"> </w:t>
      </w:r>
      <w:r>
        <w:rPr>
          <w:rFonts w:ascii="David" w:hAnsi="David" w:cs="David"/>
          <w:color w:val="000000"/>
          <w:sz w:val="24"/>
          <w:szCs w:val="24"/>
          <w:rtl/>
        </w:rPr>
        <w:t xml:space="preserve">(29.5.2024) והפסיקה שם. </w:t>
      </w:r>
    </w:p>
    <w:p w:rsidR="002702D3" w:rsidP="002702D3">
      <w:pPr>
        <w:spacing w:line="360" w:lineRule="auto"/>
        <w:jc w:val="both"/>
        <w:rPr>
          <w:rFonts w:ascii="David" w:hAnsi="David"/>
          <w:b/>
          <w:bCs/>
          <w:color w:val="000000"/>
        </w:rPr>
      </w:pPr>
    </w:p>
    <w:p w:rsidR="002702D3" w:rsidP="002702D3">
      <w:pPr>
        <w:spacing w:line="360" w:lineRule="auto"/>
        <w:jc w:val="both"/>
        <w:rPr>
          <w:rFonts w:ascii="David" w:hAnsi="David"/>
          <w:b/>
          <w:bCs/>
          <w:color w:val="000000"/>
          <w:u w:val="single"/>
          <w:rtl/>
        </w:rPr>
      </w:pPr>
      <w:r w:rsidRPr="00FB1558">
        <w:rPr>
          <w:rFonts w:ascii="David" w:hAnsi="David"/>
          <w:b/>
          <w:bCs/>
          <w:color w:val="FFFFFF"/>
          <w:sz w:val="2"/>
          <w:szCs w:val="2"/>
          <w:u w:val="single"/>
          <w:rtl/>
        </w:rPr>
        <w:t>051293710</w:t>
      </w:r>
      <w:r w:rsidR="00DA6D89">
        <w:rPr>
          <w:rFonts w:ascii="David" w:hAnsi="David"/>
          <w:b/>
          <w:bCs/>
          <w:color w:val="000000"/>
          <w:u w:val="single"/>
          <w:rtl/>
        </w:rPr>
        <w:t>מן הכלל אל הפרט:</w:t>
      </w:r>
    </w:p>
    <w:p w:rsidR="002702D3" w:rsidRPr="00FB1558" w:rsidP="002702D3">
      <w:pPr>
        <w:spacing w:line="360" w:lineRule="auto"/>
        <w:ind w:left="26"/>
        <w:jc w:val="both"/>
        <w:rPr>
          <w:rFonts w:ascii="David" w:hAnsi="David"/>
          <w:b/>
          <w:bCs/>
          <w:color w:val="FFFFFF"/>
          <w:sz w:val="2"/>
          <w:szCs w:val="2"/>
          <w:u w:val="single"/>
        </w:rPr>
      </w:pPr>
      <w:r w:rsidRPr="00FB1558">
        <w:rPr>
          <w:rFonts w:ascii="David" w:hAnsi="David"/>
          <w:b/>
          <w:bCs/>
          <w:color w:val="FFFFFF"/>
          <w:sz w:val="2"/>
          <w:szCs w:val="2"/>
          <w:u w:val="single"/>
          <w:rtl/>
        </w:rPr>
        <w:t>054678313</w:t>
      </w:r>
    </w:p>
    <w:p w:rsidR="002702D3" w:rsidP="002702D3">
      <w:pPr>
        <w:spacing w:line="360" w:lineRule="auto"/>
        <w:jc w:val="both"/>
        <w:rPr>
          <w:rFonts w:ascii="David" w:hAnsi="David"/>
          <w:rtl/>
        </w:rPr>
      </w:pPr>
      <w:r>
        <w:rPr>
          <w:rFonts w:ascii="David" w:hAnsi="David"/>
          <w:b/>
          <w:bCs/>
          <w:u w:val="single"/>
          <w:rtl/>
        </w:rPr>
        <w:t>המלצות התסקיר (כפי שהוגשו בכתב לבית המשפט):</w:t>
      </w:r>
      <w:r>
        <w:rPr>
          <w:rFonts w:ascii="David" w:hAnsi="David"/>
          <w:b/>
          <w:bCs/>
          <w:u w:val="single"/>
        </w:rPr>
        <w:t xml:space="preserve"> </w:t>
      </w:r>
    </w:p>
    <w:p w:rsidR="002702D3" w:rsidP="002702D3">
      <w:pPr>
        <w:pStyle w:val="1"/>
        <w:numPr>
          <w:ilvl w:val="0"/>
          <w:numId w:val="1"/>
        </w:numPr>
        <w:bidi/>
        <w:spacing w:after="0" w:line="360" w:lineRule="auto"/>
        <w:jc w:val="both"/>
        <w:rPr>
          <w:rFonts w:ascii="David" w:hAnsi="David" w:cs="David"/>
          <w:color w:val="000000"/>
          <w:sz w:val="24"/>
          <w:szCs w:val="24"/>
        </w:rPr>
      </w:pPr>
      <w:r>
        <w:rPr>
          <w:rFonts w:ascii="David" w:hAnsi="David" w:cs="David"/>
          <w:sz w:val="24"/>
          <w:szCs w:val="24"/>
          <w:rtl/>
        </w:rPr>
        <w:t xml:space="preserve">בתסקיר פורט כי ההורים נולדו בבתים חרדיים הכירו בגיל 17 ונפגשו שוב בהמשך, באזור המרכז. גרו יחד </w:t>
      </w:r>
      <w:r>
        <w:rPr>
          <w:rFonts w:ascii="David" w:hAnsi="David" w:cs="David" w:hint="cs"/>
          <w:sz w:val="24"/>
          <w:szCs w:val="24"/>
          <w:rtl/>
        </w:rPr>
        <w:t>ב****</w:t>
      </w:r>
      <w:r>
        <w:rPr>
          <w:rFonts w:ascii="David" w:hAnsi="David" w:cs="David"/>
          <w:sz w:val="24"/>
          <w:szCs w:val="24"/>
          <w:rtl/>
        </w:rPr>
        <w:t xml:space="preserve">, </w:t>
      </w:r>
      <w:r>
        <w:rPr>
          <w:rFonts w:ascii="David" w:hAnsi="David" w:cs="David"/>
          <w:sz w:val="24"/>
          <w:szCs w:val="24"/>
          <w:rtl/>
        </w:rPr>
        <w:t>עברו ל</w:t>
      </w:r>
      <w:r>
        <w:rPr>
          <w:rFonts w:ascii="David" w:hAnsi="David" w:cs="David" w:hint="cs"/>
          <w:sz w:val="24"/>
          <w:szCs w:val="24"/>
          <w:rtl/>
        </w:rPr>
        <w:t>***</w:t>
      </w:r>
      <w:r>
        <w:rPr>
          <w:rFonts w:ascii="David" w:hAnsi="David" w:cs="David"/>
          <w:sz w:val="24"/>
          <w:szCs w:val="24"/>
          <w:rtl/>
        </w:rPr>
        <w:t xml:space="preserve"> והתחתנו לאחר שהאם היתה בהריון. צויין כי חיי בני הזוג לוו במריבות רבות, קללות, צעקות וכו' כששתי הבנות חשופות לכך מגיל צעיר.</w:t>
      </w:r>
    </w:p>
    <w:p w:rsidR="002702D3" w:rsidP="002702D3">
      <w:pPr>
        <w:pStyle w:val="1"/>
        <w:numPr>
          <w:ilvl w:val="0"/>
          <w:numId w:val="1"/>
        </w:numPr>
        <w:bidi/>
        <w:spacing w:after="0" w:line="360" w:lineRule="auto"/>
        <w:jc w:val="both"/>
        <w:rPr>
          <w:rFonts w:ascii="David" w:hAnsi="David" w:cs="David"/>
          <w:color w:val="000000"/>
          <w:sz w:val="24"/>
          <w:szCs w:val="24"/>
        </w:rPr>
      </w:pPr>
      <w:r>
        <w:rPr>
          <w:rFonts w:ascii="David" w:hAnsi="David" w:cs="David"/>
          <w:sz w:val="24"/>
          <w:szCs w:val="24"/>
          <w:rtl/>
        </w:rPr>
        <w:t xml:space="preserve">העו"ס ציינה כי בביקורי בית התרשמה מקטינות שמחות שהביעו את אהבתן לשני </w:t>
      </w:r>
      <w:r w:rsidR="00FB1558">
        <w:rPr>
          <w:rFonts w:ascii="David" w:hAnsi="David" w:cs="David"/>
          <w:sz w:val="24"/>
          <w:szCs w:val="24"/>
          <w:rtl/>
        </w:rPr>
        <w:t xml:space="preserve"> </w:t>
      </w:r>
      <w:r>
        <w:rPr>
          <w:rFonts w:ascii="David" w:hAnsi="David" w:cs="David"/>
          <w:sz w:val="24"/>
          <w:szCs w:val="24"/>
          <w:rtl/>
        </w:rPr>
        <w:t xml:space="preserve">ההורים כל </w:t>
      </w:r>
      <w:r w:rsidR="00FB1558">
        <w:rPr>
          <w:rFonts w:ascii="David" w:hAnsi="David" w:cs="David"/>
          <w:sz w:val="24"/>
          <w:szCs w:val="24"/>
          <w:rtl/>
        </w:rPr>
        <w:t xml:space="preserve"> </w:t>
      </w:r>
      <w:r>
        <w:rPr>
          <w:rFonts w:ascii="David" w:hAnsi="David" w:cs="David"/>
          <w:sz w:val="24"/>
          <w:szCs w:val="24"/>
          <w:rtl/>
        </w:rPr>
        <w:t xml:space="preserve">אחד בביתו. מהדיווחים של המסגרות בו נמצאות </w:t>
      </w:r>
      <w:r>
        <w:rPr>
          <w:rFonts w:ascii="David" w:hAnsi="David" w:cs="David"/>
          <w:sz w:val="24"/>
          <w:szCs w:val="24"/>
          <w:rtl/>
        </w:rPr>
        <w:t>הבנות עולה כי הבנות</w:t>
      </w:r>
      <w:r w:rsidR="00FB1558">
        <w:rPr>
          <w:rFonts w:ascii="David" w:hAnsi="David" w:cs="David"/>
          <w:sz w:val="24"/>
          <w:szCs w:val="24"/>
          <w:rtl/>
        </w:rPr>
        <w:t xml:space="preserve"> </w:t>
      </w:r>
      <w:r>
        <w:rPr>
          <w:rFonts w:ascii="David" w:hAnsi="David" w:cs="David"/>
          <w:sz w:val="24"/>
          <w:szCs w:val="24"/>
          <w:rtl/>
        </w:rPr>
        <w:t xml:space="preserve"> מטופחות,</w:t>
      </w:r>
      <w:r w:rsidR="00FB1558">
        <w:rPr>
          <w:rFonts w:ascii="David" w:hAnsi="David" w:cs="David"/>
          <w:sz w:val="24"/>
          <w:szCs w:val="24"/>
          <w:rtl/>
        </w:rPr>
        <w:t xml:space="preserve"> </w:t>
      </w:r>
      <w:r>
        <w:rPr>
          <w:rFonts w:ascii="David" w:hAnsi="David" w:cs="David"/>
          <w:sz w:val="24"/>
          <w:szCs w:val="24"/>
          <w:rtl/>
        </w:rPr>
        <w:t xml:space="preserve"> מסודרות וכי א</w:t>
      </w:r>
      <w:r>
        <w:rPr>
          <w:rFonts w:ascii="David" w:hAnsi="David" w:cs="David" w:hint="cs"/>
          <w:sz w:val="24"/>
          <w:szCs w:val="24"/>
          <w:rtl/>
        </w:rPr>
        <w:t>'</w:t>
      </w:r>
      <w:r>
        <w:rPr>
          <w:rFonts w:ascii="David" w:hAnsi="David" w:cs="David"/>
          <w:sz w:val="24"/>
          <w:szCs w:val="24"/>
          <w:rtl/>
        </w:rPr>
        <w:t xml:space="preserve"> מקבלת</w:t>
      </w:r>
      <w:r w:rsidR="00FB1558">
        <w:rPr>
          <w:rFonts w:ascii="David" w:hAnsi="David" w:cs="David"/>
          <w:sz w:val="24"/>
          <w:szCs w:val="24"/>
          <w:rtl/>
        </w:rPr>
        <w:t xml:space="preserve"> </w:t>
      </w:r>
      <w:r>
        <w:rPr>
          <w:rFonts w:ascii="David" w:hAnsi="David" w:cs="David"/>
          <w:sz w:val="24"/>
          <w:szCs w:val="24"/>
          <w:rtl/>
        </w:rPr>
        <w:t xml:space="preserve"> מענים לצרכיה </w:t>
      </w:r>
      <w:r w:rsidR="00FB1558">
        <w:rPr>
          <w:rFonts w:ascii="David" w:hAnsi="David" w:cs="David"/>
          <w:sz w:val="24"/>
          <w:szCs w:val="24"/>
          <w:rtl/>
        </w:rPr>
        <w:t xml:space="preserve"> </w:t>
      </w:r>
      <w:r>
        <w:rPr>
          <w:rFonts w:ascii="David" w:hAnsi="David" w:cs="David"/>
          <w:sz w:val="24"/>
          <w:szCs w:val="24"/>
          <w:rtl/>
        </w:rPr>
        <w:t>כמו</w:t>
      </w:r>
      <w:r w:rsidR="00FB1558">
        <w:rPr>
          <w:rFonts w:ascii="David" w:hAnsi="David" w:cs="David"/>
          <w:sz w:val="24"/>
          <w:szCs w:val="24"/>
          <w:rtl/>
        </w:rPr>
        <w:t xml:space="preserve"> </w:t>
      </w:r>
      <w:r>
        <w:rPr>
          <w:rFonts w:ascii="David" w:hAnsi="David" w:cs="David"/>
          <w:sz w:val="24"/>
          <w:szCs w:val="24"/>
          <w:rtl/>
        </w:rPr>
        <w:t xml:space="preserve"> ריפוי בעיסוק, קלינאי תקשורת וטיפול רגשי. העו"ס התרשמה כי שני ההורים אוהבים את הבנות ורוצים בטובתן.</w:t>
      </w:r>
    </w:p>
    <w:p w:rsidR="002702D3" w:rsidP="002702D3">
      <w:pPr>
        <w:pStyle w:val="1"/>
        <w:numPr>
          <w:ilvl w:val="0"/>
          <w:numId w:val="1"/>
        </w:numPr>
        <w:bidi/>
        <w:spacing w:after="0" w:line="360" w:lineRule="auto"/>
        <w:jc w:val="both"/>
        <w:rPr>
          <w:rFonts w:ascii="David" w:hAnsi="David" w:cs="David"/>
          <w:color w:val="000000"/>
          <w:sz w:val="24"/>
          <w:szCs w:val="24"/>
          <w:rtl/>
        </w:rPr>
      </w:pPr>
      <w:r>
        <w:rPr>
          <w:rFonts w:ascii="David" w:hAnsi="David" w:cs="David"/>
          <w:sz w:val="24"/>
          <w:szCs w:val="24"/>
          <w:rtl/>
        </w:rPr>
        <w:t xml:space="preserve">האב שיתף את העו"ס כי הוא עובד במשך היום ובמידה והאם מעוניינת לעבור </w:t>
      </w:r>
      <w:r w:rsidRPr="00115723">
        <w:rPr>
          <w:rFonts w:ascii="David" w:hAnsi="David" w:cs="David"/>
          <w:sz w:val="24"/>
          <w:szCs w:val="24"/>
          <w:rtl/>
        </w:rPr>
        <w:t>לירושלים</w:t>
      </w:r>
      <w:r>
        <w:rPr>
          <w:rFonts w:ascii="David" w:hAnsi="David" w:cs="David"/>
          <w:sz w:val="24"/>
          <w:szCs w:val="24"/>
          <w:rtl/>
        </w:rPr>
        <w:t>, היא מוזמ</w:t>
      </w:r>
      <w:r>
        <w:rPr>
          <w:rFonts w:ascii="David" w:hAnsi="David" w:cs="David"/>
          <w:sz w:val="24"/>
          <w:szCs w:val="24"/>
          <w:rtl/>
        </w:rPr>
        <w:t>נת להשאיר את שתי הבנות איתו והן יקבלו מעטפת תמיכה ממשפחתו המורחבת, והאם תוכל להגיע לבקרן ב</w:t>
      </w:r>
      <w:r>
        <w:rPr>
          <w:rFonts w:ascii="David" w:hAnsi="David" w:cs="David" w:hint="cs"/>
          <w:sz w:val="24"/>
          <w:szCs w:val="24"/>
          <w:rtl/>
        </w:rPr>
        <w:t>***</w:t>
      </w:r>
      <w:r>
        <w:rPr>
          <w:rFonts w:ascii="David" w:hAnsi="David" w:cs="David"/>
          <w:sz w:val="24"/>
          <w:szCs w:val="24"/>
          <w:rtl/>
        </w:rPr>
        <w:t xml:space="preserve">, וכי האם מצידה מבקשת לעבור </w:t>
      </w:r>
      <w:r w:rsidRPr="00115723">
        <w:rPr>
          <w:rFonts w:ascii="David" w:hAnsi="David" w:cs="David"/>
          <w:sz w:val="24"/>
          <w:szCs w:val="24"/>
          <w:rtl/>
        </w:rPr>
        <w:t>לירושלים</w:t>
      </w:r>
      <w:r>
        <w:rPr>
          <w:rFonts w:ascii="David" w:hAnsi="David" w:cs="David"/>
          <w:sz w:val="24"/>
          <w:szCs w:val="24"/>
          <w:rtl/>
        </w:rPr>
        <w:t>, לאפשר לבנות מסגרות מותאמות</w:t>
      </w:r>
      <w:r w:rsidR="00FB1558">
        <w:rPr>
          <w:rFonts w:ascii="David" w:hAnsi="David" w:cs="David"/>
          <w:sz w:val="24"/>
          <w:szCs w:val="24"/>
          <w:rtl/>
        </w:rPr>
        <w:t xml:space="preserve"> </w:t>
      </w:r>
      <w:r>
        <w:rPr>
          <w:rFonts w:ascii="David" w:hAnsi="David" w:cs="David"/>
          <w:sz w:val="24"/>
          <w:szCs w:val="24"/>
          <w:rtl/>
        </w:rPr>
        <w:t xml:space="preserve"> לצרכיהן ולהגשים את יכולותיה המקצועיות.</w:t>
      </w:r>
    </w:p>
    <w:p w:rsidR="002702D3" w:rsidP="002702D3">
      <w:pPr>
        <w:pStyle w:val="1"/>
        <w:numPr>
          <w:ilvl w:val="0"/>
          <w:numId w:val="1"/>
        </w:numPr>
        <w:bidi/>
        <w:spacing w:after="0" w:line="360" w:lineRule="auto"/>
        <w:jc w:val="both"/>
        <w:rPr>
          <w:rFonts w:ascii="David" w:hAnsi="David" w:cs="David"/>
          <w:color w:val="000000"/>
          <w:sz w:val="24"/>
          <w:szCs w:val="24"/>
        </w:rPr>
      </w:pPr>
      <w:r>
        <w:rPr>
          <w:rFonts w:ascii="David" w:hAnsi="David" w:cs="David"/>
          <w:sz w:val="24"/>
          <w:szCs w:val="24"/>
          <w:rtl/>
        </w:rPr>
        <w:t xml:space="preserve">העו"ס ציינה כי בדיווח מתאמת </w:t>
      </w:r>
      <w:r w:rsidR="00FB1558">
        <w:rPr>
          <w:rFonts w:ascii="David" w:hAnsi="David" w:cs="David"/>
          <w:sz w:val="24"/>
          <w:szCs w:val="24"/>
          <w:rtl/>
        </w:rPr>
        <w:t xml:space="preserve"> </w:t>
      </w:r>
      <w:r>
        <w:rPr>
          <w:rFonts w:ascii="David" w:hAnsi="David" w:cs="David"/>
          <w:sz w:val="24"/>
          <w:szCs w:val="24"/>
          <w:rtl/>
        </w:rPr>
        <w:t xml:space="preserve">סל שיקום, ניתן להתרשם כי האם </w:t>
      </w:r>
      <w:r>
        <w:rPr>
          <w:rFonts w:ascii="David" w:hAnsi="David" w:cs="David"/>
          <w:sz w:val="24"/>
          <w:szCs w:val="24"/>
          <w:rtl/>
        </w:rPr>
        <w:t xml:space="preserve">דואגת לצרכי </w:t>
      </w:r>
      <w:r w:rsidR="00FB1558">
        <w:rPr>
          <w:rFonts w:ascii="David" w:hAnsi="David" w:cs="David"/>
          <w:sz w:val="24"/>
          <w:szCs w:val="24"/>
          <w:rtl/>
        </w:rPr>
        <w:t xml:space="preserve"> </w:t>
      </w:r>
      <w:r>
        <w:rPr>
          <w:rFonts w:ascii="David" w:hAnsi="David" w:cs="David"/>
          <w:sz w:val="24"/>
          <w:szCs w:val="24"/>
          <w:rtl/>
        </w:rPr>
        <w:t>בנותיה,</w:t>
      </w:r>
      <w:r w:rsidR="00FB1558">
        <w:rPr>
          <w:rFonts w:ascii="David" w:hAnsi="David" w:cs="David"/>
          <w:sz w:val="24"/>
          <w:szCs w:val="24"/>
          <w:rtl/>
        </w:rPr>
        <w:t xml:space="preserve"> </w:t>
      </w:r>
      <w:r>
        <w:rPr>
          <w:rFonts w:ascii="David" w:hAnsi="David" w:cs="David"/>
          <w:sz w:val="24"/>
          <w:szCs w:val="24"/>
          <w:rtl/>
        </w:rPr>
        <w:t xml:space="preserve"> קשובה להן ורוצה בטובתן, לצד זאת, מבקשת לקדם את חייה, ונעזרה במגוון העזרה שהוצעה לה.</w:t>
      </w:r>
    </w:p>
    <w:p w:rsidR="002702D3" w:rsidP="002702D3">
      <w:pPr>
        <w:pStyle w:val="1"/>
        <w:numPr>
          <w:ilvl w:val="0"/>
          <w:numId w:val="1"/>
        </w:numPr>
        <w:bidi/>
        <w:spacing w:after="0" w:line="360" w:lineRule="auto"/>
        <w:jc w:val="both"/>
        <w:rPr>
          <w:rFonts w:ascii="David" w:hAnsi="David" w:cs="David"/>
          <w:color w:val="000000"/>
          <w:sz w:val="24"/>
          <w:szCs w:val="24"/>
        </w:rPr>
      </w:pPr>
      <w:r>
        <w:rPr>
          <w:rFonts w:ascii="David" w:hAnsi="David" w:cs="David"/>
          <w:sz w:val="24"/>
          <w:szCs w:val="24"/>
          <w:rtl/>
        </w:rPr>
        <w:t xml:space="preserve">העו"ס ביקשה להפריד את נושא הקונפליקט בין ההורים תוך התמקדות בטובת </w:t>
      </w:r>
      <w:r w:rsidR="00FB1558">
        <w:rPr>
          <w:rFonts w:ascii="David" w:hAnsi="David" w:cs="David"/>
          <w:sz w:val="24"/>
          <w:szCs w:val="24"/>
          <w:rtl/>
        </w:rPr>
        <w:t xml:space="preserve"> </w:t>
      </w:r>
      <w:r>
        <w:rPr>
          <w:rFonts w:ascii="David" w:hAnsi="David" w:cs="David"/>
          <w:sz w:val="24"/>
          <w:szCs w:val="24"/>
          <w:rtl/>
        </w:rPr>
        <w:t xml:space="preserve">הבנות, ובחינה האם המעבר </w:t>
      </w:r>
      <w:r w:rsidRPr="00115723">
        <w:rPr>
          <w:rFonts w:ascii="David" w:hAnsi="David" w:cs="David"/>
          <w:sz w:val="24"/>
          <w:szCs w:val="24"/>
          <w:rtl/>
        </w:rPr>
        <w:t>לירושלים</w:t>
      </w:r>
      <w:r>
        <w:rPr>
          <w:rFonts w:ascii="David" w:hAnsi="David" w:cs="David"/>
          <w:sz w:val="24"/>
          <w:szCs w:val="24"/>
          <w:rtl/>
        </w:rPr>
        <w:t xml:space="preserve"> ייפגע בקשר </w:t>
      </w:r>
      <w:r w:rsidR="00FB1558">
        <w:rPr>
          <w:rFonts w:ascii="David" w:hAnsi="David" w:cs="David"/>
          <w:sz w:val="24"/>
          <w:szCs w:val="24"/>
          <w:rtl/>
        </w:rPr>
        <w:t xml:space="preserve"> </w:t>
      </w:r>
      <w:r>
        <w:rPr>
          <w:rFonts w:ascii="David" w:hAnsi="David" w:cs="David"/>
          <w:sz w:val="24"/>
          <w:szCs w:val="24"/>
          <w:rtl/>
        </w:rPr>
        <w:t>בין הבנות לאב. העו"ס התרשמה כי האב הינ</w:t>
      </w:r>
      <w:r>
        <w:rPr>
          <w:rFonts w:ascii="David" w:hAnsi="David" w:cs="David"/>
          <w:sz w:val="24"/>
          <w:szCs w:val="24"/>
          <w:rtl/>
        </w:rPr>
        <w:t>ו אב</w:t>
      </w:r>
      <w:r w:rsidR="00FB1558">
        <w:rPr>
          <w:rFonts w:ascii="David" w:hAnsi="David" w:cs="David"/>
          <w:sz w:val="24"/>
          <w:szCs w:val="24"/>
          <w:rtl/>
        </w:rPr>
        <w:t xml:space="preserve"> </w:t>
      </w:r>
      <w:r>
        <w:rPr>
          <w:rFonts w:ascii="David" w:hAnsi="David" w:cs="David"/>
          <w:sz w:val="24"/>
          <w:szCs w:val="24"/>
          <w:rtl/>
        </w:rPr>
        <w:t xml:space="preserve"> מיטיב לבנותיו, </w:t>
      </w:r>
      <w:r w:rsidR="00FB1558">
        <w:rPr>
          <w:rFonts w:ascii="David" w:hAnsi="David" w:cs="David"/>
          <w:sz w:val="24"/>
          <w:szCs w:val="24"/>
          <w:rtl/>
        </w:rPr>
        <w:t xml:space="preserve"> </w:t>
      </w:r>
      <w:r>
        <w:rPr>
          <w:rFonts w:ascii="David" w:hAnsi="David" w:cs="David"/>
          <w:sz w:val="24"/>
          <w:szCs w:val="24"/>
          <w:rtl/>
        </w:rPr>
        <w:t xml:space="preserve"> אוהב ודואג לצרכיהן וכן נמצא בקשר</w:t>
      </w:r>
      <w:r w:rsidR="00FB1558">
        <w:rPr>
          <w:rFonts w:ascii="David" w:hAnsi="David" w:cs="David"/>
          <w:sz w:val="24"/>
          <w:szCs w:val="24"/>
          <w:rtl/>
        </w:rPr>
        <w:t xml:space="preserve"> </w:t>
      </w:r>
      <w:r>
        <w:rPr>
          <w:rFonts w:ascii="David" w:hAnsi="David" w:cs="David"/>
          <w:sz w:val="24"/>
          <w:szCs w:val="24"/>
          <w:rtl/>
        </w:rPr>
        <w:t xml:space="preserve"> עם המסגרות החינוכיות </w:t>
      </w:r>
      <w:r w:rsidR="00FB1558">
        <w:rPr>
          <w:rFonts w:ascii="David" w:hAnsi="David" w:cs="David"/>
          <w:sz w:val="24"/>
          <w:szCs w:val="24"/>
          <w:rtl/>
        </w:rPr>
        <w:t xml:space="preserve"> </w:t>
      </w:r>
      <w:r>
        <w:rPr>
          <w:rFonts w:ascii="David" w:hAnsi="David" w:cs="David"/>
          <w:sz w:val="24"/>
          <w:szCs w:val="24"/>
          <w:rtl/>
        </w:rPr>
        <w:t>לשם קבלת עדכון שוטף על מצבן.</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לסיכום, צויין כי לאחר העו"ס קיימה התייעצות עם העו"ס המחוזית, ולאחר שנאמר כי יש לשים דגש על </w:t>
      </w:r>
      <w:r w:rsidR="00FB1558">
        <w:rPr>
          <w:rFonts w:ascii="David" w:hAnsi="David" w:cs="David"/>
          <w:sz w:val="24"/>
          <w:szCs w:val="24"/>
          <w:rtl/>
        </w:rPr>
        <w:t xml:space="preserve"> </w:t>
      </w:r>
      <w:r>
        <w:rPr>
          <w:rFonts w:ascii="David" w:hAnsi="David" w:cs="David"/>
          <w:sz w:val="24"/>
          <w:szCs w:val="24"/>
          <w:rtl/>
        </w:rPr>
        <w:t>התפתחות הבנות וקשר מיטבי של הבנות עם</w:t>
      </w:r>
      <w:r w:rsidR="00FB1558">
        <w:rPr>
          <w:rFonts w:ascii="David" w:hAnsi="David" w:cs="David"/>
          <w:sz w:val="24"/>
          <w:szCs w:val="24"/>
          <w:rtl/>
        </w:rPr>
        <w:t xml:space="preserve"> </w:t>
      </w:r>
      <w:r>
        <w:rPr>
          <w:rFonts w:ascii="David" w:hAnsi="David" w:cs="David"/>
          <w:sz w:val="24"/>
          <w:szCs w:val="24"/>
          <w:rtl/>
        </w:rPr>
        <w:t xml:space="preserve"> שני ההורים, סברה כי מעבר </w:t>
      </w:r>
      <w:r w:rsidRPr="00115723">
        <w:rPr>
          <w:rFonts w:ascii="David" w:hAnsi="David" w:cs="David"/>
          <w:sz w:val="24"/>
          <w:szCs w:val="24"/>
          <w:rtl/>
        </w:rPr>
        <w:t>לירושלים</w:t>
      </w:r>
      <w:r>
        <w:rPr>
          <w:rFonts w:ascii="David" w:hAnsi="David" w:cs="David"/>
          <w:sz w:val="24"/>
          <w:szCs w:val="24"/>
          <w:rtl/>
        </w:rPr>
        <w:t xml:space="preserve"> של האם והבנות "עלול לפגוע בצורה משמעותית</w:t>
      </w:r>
      <w:r w:rsidR="00FB1558">
        <w:rPr>
          <w:rFonts w:ascii="David" w:hAnsi="David" w:cs="David"/>
          <w:sz w:val="24"/>
          <w:szCs w:val="24"/>
          <w:rtl/>
        </w:rPr>
        <w:t xml:space="preserve"> </w:t>
      </w:r>
      <w:r>
        <w:rPr>
          <w:rFonts w:ascii="David" w:hAnsi="David" w:cs="David"/>
          <w:sz w:val="24"/>
          <w:szCs w:val="24"/>
          <w:rtl/>
        </w:rPr>
        <w:t xml:space="preserve"> בבנות ובקשר הטוב </w:t>
      </w:r>
      <w:r w:rsidR="00FB1558">
        <w:rPr>
          <w:rFonts w:ascii="David" w:hAnsi="David" w:cs="David"/>
          <w:sz w:val="24"/>
          <w:szCs w:val="24"/>
          <w:rtl/>
        </w:rPr>
        <w:t xml:space="preserve"> </w:t>
      </w:r>
      <w:r>
        <w:rPr>
          <w:rFonts w:ascii="David" w:hAnsi="David" w:cs="David"/>
          <w:sz w:val="24"/>
          <w:szCs w:val="24"/>
          <w:rtl/>
        </w:rPr>
        <w:t>עם האב. כיום הבנות נמצאות בגנים מותאמים ב</w:t>
      </w:r>
      <w:r>
        <w:rPr>
          <w:rFonts w:ascii="David" w:hAnsi="David" w:cs="David" w:hint="cs"/>
          <w:sz w:val="24"/>
          <w:szCs w:val="24"/>
          <w:rtl/>
        </w:rPr>
        <w:t>***</w:t>
      </w:r>
      <w:r>
        <w:rPr>
          <w:rFonts w:ascii="David" w:hAnsi="David" w:cs="David"/>
          <w:sz w:val="24"/>
          <w:szCs w:val="24"/>
          <w:rtl/>
        </w:rPr>
        <w:t>. הבת א</w:t>
      </w:r>
      <w:r>
        <w:rPr>
          <w:rFonts w:ascii="David" w:hAnsi="David" w:cs="David" w:hint="cs"/>
          <w:sz w:val="24"/>
          <w:szCs w:val="24"/>
          <w:rtl/>
        </w:rPr>
        <w:t>'</w:t>
      </w:r>
      <w:r>
        <w:rPr>
          <w:rFonts w:ascii="David" w:hAnsi="David" w:cs="David"/>
          <w:sz w:val="24"/>
          <w:szCs w:val="24"/>
          <w:rtl/>
        </w:rPr>
        <w:t xml:space="preserve"> מקבלת מעטפת טיפולים בגן וכן בבריאות הנפש. להערכתי </w:t>
      </w:r>
      <w:r w:rsidR="00FB1558">
        <w:rPr>
          <w:rFonts w:ascii="David" w:hAnsi="David" w:cs="David"/>
          <w:sz w:val="24"/>
          <w:szCs w:val="24"/>
          <w:rtl/>
        </w:rPr>
        <w:t xml:space="preserve"> </w:t>
      </w:r>
      <w:r>
        <w:rPr>
          <w:rFonts w:ascii="David" w:hAnsi="David" w:cs="David"/>
          <w:sz w:val="24"/>
          <w:szCs w:val="24"/>
          <w:rtl/>
        </w:rPr>
        <w:t xml:space="preserve">טובת הבנות תפגע במעבר </w:t>
      </w:r>
      <w:r w:rsidRPr="00115723">
        <w:rPr>
          <w:rFonts w:ascii="David" w:hAnsi="David" w:cs="David"/>
          <w:sz w:val="24"/>
          <w:szCs w:val="24"/>
          <w:rtl/>
        </w:rPr>
        <w:t>לירושלים</w:t>
      </w:r>
      <w:r>
        <w:rPr>
          <w:rFonts w:ascii="David" w:hAnsi="David" w:cs="David"/>
          <w:sz w:val="24"/>
          <w:szCs w:val="24"/>
          <w:rtl/>
        </w:rPr>
        <w:t xml:space="preserve"> ויש לאפשר לבנות להמשיך ולה</w:t>
      </w:r>
      <w:r>
        <w:rPr>
          <w:rFonts w:ascii="David" w:hAnsi="David" w:cs="David"/>
          <w:sz w:val="24"/>
          <w:szCs w:val="24"/>
          <w:rtl/>
        </w:rPr>
        <w:t>יות בקשר סדיר עם האב". לפיכך המליצה כי הבנות יישארו להתגורר ב</w:t>
      </w:r>
      <w:r>
        <w:rPr>
          <w:rFonts w:ascii="David" w:hAnsi="David" w:cs="David" w:hint="cs"/>
          <w:sz w:val="24"/>
          <w:szCs w:val="24"/>
          <w:rtl/>
        </w:rPr>
        <w:t>***</w:t>
      </w:r>
      <w:r>
        <w:rPr>
          <w:rFonts w:ascii="David" w:hAnsi="David" w:cs="David"/>
          <w:sz w:val="24"/>
          <w:szCs w:val="24"/>
          <w:rtl/>
        </w:rPr>
        <w:t xml:space="preserve">, וזמני השהות יהיו כדלקמן: בחודש הראשון פעמיים בשבוע ללא לינה, בשלב השני הרחבה של לינה אחת לשבוע אצל האב, ובשלב השלישי הרחבה נוספת הכולל לינה בסופ"ש. </w:t>
      </w:r>
    </w:p>
    <w:p w:rsidR="002702D3" w:rsidP="002702D3">
      <w:pPr>
        <w:spacing w:line="360" w:lineRule="auto"/>
        <w:ind w:left="26"/>
        <w:jc w:val="both"/>
        <w:rPr>
          <w:rFonts w:ascii="David" w:hAnsi="David"/>
          <w:b/>
          <w:bCs/>
          <w:u w:val="single"/>
        </w:rPr>
      </w:pPr>
    </w:p>
    <w:p w:rsidR="002702D3" w:rsidP="002702D3">
      <w:pPr>
        <w:pStyle w:val="1"/>
        <w:numPr>
          <w:ilvl w:val="0"/>
          <w:numId w:val="1"/>
        </w:numPr>
        <w:bidi/>
        <w:spacing w:after="0" w:line="360" w:lineRule="auto"/>
        <w:jc w:val="both"/>
        <w:rPr>
          <w:rFonts w:ascii="David" w:hAnsi="David" w:cs="David"/>
          <w:b/>
          <w:bCs/>
          <w:sz w:val="24"/>
          <w:szCs w:val="24"/>
          <w:rtl/>
        </w:rPr>
      </w:pPr>
      <w:r>
        <w:rPr>
          <w:rFonts w:ascii="David" w:hAnsi="David" w:cs="David"/>
          <w:b/>
          <w:bCs/>
          <w:sz w:val="24"/>
          <w:szCs w:val="24"/>
          <w:rtl/>
        </w:rPr>
        <w:t>לאחר ששמעתי את הצדדים, עיינתי היטב בתסקי</w:t>
      </w:r>
      <w:r>
        <w:rPr>
          <w:rFonts w:ascii="David" w:hAnsi="David" w:cs="David"/>
          <w:b/>
          <w:bCs/>
          <w:sz w:val="24"/>
          <w:szCs w:val="24"/>
          <w:rtl/>
        </w:rPr>
        <w:t xml:space="preserve">ר ולאחר ששמעתי את עדות  העו"ס במהלך חקירתה,  מצאתי כי יש מקום להתיר העתקת מגורי הקטינים </w:t>
      </w:r>
      <w:r w:rsidRPr="00115723">
        <w:rPr>
          <w:rFonts w:ascii="David" w:hAnsi="David" w:cs="David"/>
          <w:b/>
          <w:bCs/>
          <w:sz w:val="24"/>
          <w:szCs w:val="24"/>
          <w:rtl/>
        </w:rPr>
        <w:t>לירושלים</w:t>
      </w:r>
      <w:r>
        <w:rPr>
          <w:rFonts w:ascii="David" w:hAnsi="David" w:cs="David"/>
          <w:b/>
          <w:bCs/>
          <w:sz w:val="24"/>
          <w:szCs w:val="24"/>
          <w:rtl/>
        </w:rPr>
        <w:t>, ואסביר נימוקי:</w:t>
      </w:r>
    </w:p>
    <w:p w:rsidR="002702D3" w:rsidP="002702D3">
      <w:pPr>
        <w:pStyle w:val="1"/>
        <w:rPr>
          <w:rFonts w:ascii="David" w:hAnsi="David" w:cs="David"/>
          <w:b/>
          <w:bCs/>
          <w:sz w:val="24"/>
          <w:szCs w:val="24"/>
        </w:rPr>
      </w:pPr>
    </w:p>
    <w:p w:rsidR="002702D3" w:rsidP="002702D3">
      <w:pPr>
        <w:pStyle w:val="1"/>
        <w:numPr>
          <w:ilvl w:val="0"/>
          <w:numId w:val="1"/>
        </w:numPr>
        <w:bidi/>
        <w:spacing w:after="0" w:line="360" w:lineRule="auto"/>
        <w:jc w:val="both"/>
        <w:rPr>
          <w:rFonts w:ascii="David" w:hAnsi="David" w:cs="David"/>
          <w:sz w:val="24"/>
          <w:szCs w:val="24"/>
          <w:rtl/>
        </w:rPr>
      </w:pPr>
      <w:r>
        <w:rPr>
          <w:rFonts w:ascii="David" w:hAnsi="David" w:cs="David"/>
          <w:sz w:val="24"/>
          <w:szCs w:val="24"/>
          <w:rtl/>
        </w:rPr>
        <w:t xml:space="preserve">אקדים ואציין כי בחקירתה הנגדית (ר' עמ' 2-6 לתמליל) אישרה העו"ס כי לאחר שקיבלה את כלל הנתונים שמעה את הצדדים, הגורמים הרלבנטיים בסל השיקום, לא </w:t>
      </w:r>
      <w:r>
        <w:rPr>
          <w:rFonts w:ascii="David" w:hAnsi="David" w:cs="David"/>
          <w:sz w:val="24"/>
          <w:szCs w:val="24"/>
          <w:rtl/>
        </w:rPr>
        <w:t xml:space="preserve">זו בלבד שסברה כי יש להמליץ על העתקת המגורים, היא אף הודיעה לאם כי אלה הן המלצותיה.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אלא מאי? העו"ס הוסיפה כי לאחר שהודיעה טלפונית מהי ההמלצה, ולאחר שהאם הגישה תלונה על העו"ס, קיימה התייעצות עם העו"ס המחוזית בעניין העתקת המגורים ובעקבות התייעצות זו שינתה את</w:t>
      </w:r>
      <w:r>
        <w:rPr>
          <w:rFonts w:ascii="David" w:hAnsi="David" w:cs="David"/>
          <w:sz w:val="24"/>
          <w:szCs w:val="24"/>
          <w:rtl/>
        </w:rPr>
        <w:t xml:space="preserve"> המלצותיה.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יודגש כי העו"ס העידה בצורה כנה ופתוחה בבית המשפט, אישרה כי לא ערכה בדיקות נוספות לאחר ההתייעצות, ובנוסף אישרה כי העו"ס המחוזית קיבלה את הנתונים ממנה ולא הכירה את המשפחה:</w:t>
      </w:r>
    </w:p>
    <w:p w:rsidR="002702D3" w:rsidP="002702D3">
      <w:pPr>
        <w:spacing w:line="360" w:lineRule="auto"/>
        <w:jc w:val="both"/>
        <w:rPr>
          <w:rFonts w:ascii="David" w:hAnsi="David"/>
        </w:rPr>
      </w:pPr>
    </w:p>
    <w:p w:rsidR="002702D3" w:rsidP="002702D3">
      <w:pPr>
        <w:spacing w:line="360" w:lineRule="auto"/>
        <w:ind w:left="716"/>
        <w:jc w:val="both"/>
        <w:rPr>
          <w:rFonts w:ascii="David" w:hAnsi="David"/>
          <w:rtl/>
        </w:rPr>
      </w:pPr>
      <w:r>
        <w:rPr>
          <w:rFonts w:ascii="David" w:hAnsi="David"/>
        </w:rPr>
        <w:drawing>
          <wp:inline distT="0" distB="0" distL="0" distR="0">
            <wp:extent cx="3762375" cy="704850"/>
            <wp:effectExtent l="0" t="0" r="0" b="0"/>
            <wp:docPr id="1"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762375" cy="704850"/>
                    </a:xfrm>
                    <a:prstGeom prst="rect">
                      <a:avLst/>
                    </a:prstGeom>
                    <a:noFill/>
                    <a:ln>
                      <a:noFill/>
                    </a:ln>
                  </pic:spPr>
                </pic:pic>
              </a:graphicData>
            </a:graphic>
          </wp:inline>
        </w:drawing>
      </w:r>
    </w:p>
    <w:p w:rsidR="002702D3" w:rsidP="002702D3">
      <w:pPr>
        <w:spacing w:line="360" w:lineRule="auto"/>
        <w:jc w:val="both"/>
        <w:rPr>
          <w:rFonts w:ascii="David" w:hAnsi="David"/>
          <w:rtl/>
        </w:rPr>
      </w:pPr>
    </w:p>
    <w:p w:rsidR="002702D3" w:rsidP="002702D3">
      <w:pPr>
        <w:spacing w:line="360" w:lineRule="auto"/>
        <w:jc w:val="both"/>
        <w:rPr>
          <w:rFonts w:ascii="David" w:hAnsi="David"/>
          <w:rtl/>
        </w:rPr>
      </w:pPr>
      <w:r>
        <w:rPr>
          <w:rFonts w:ascii="David" w:hAnsi="David"/>
          <w:rtl/>
        </w:rPr>
        <w:t xml:space="preserve">ובהמשך – </w:t>
      </w:r>
    </w:p>
    <w:p w:rsidR="002702D3" w:rsidP="002702D3">
      <w:pPr>
        <w:spacing w:line="360" w:lineRule="auto"/>
        <w:jc w:val="both"/>
        <w:rPr>
          <w:rFonts w:ascii="David" w:hAnsi="David"/>
          <w:rtl/>
        </w:rPr>
      </w:pPr>
      <w:r>
        <w:rPr>
          <w:rFonts w:ascii="David" w:hAnsi="David"/>
          <w:rtl/>
        </w:rPr>
        <w:tab/>
      </w:r>
      <w:r w:rsidR="00B05CA2">
        <w:rPr>
          <w:rFonts w:ascii="David" w:hAnsi="David"/>
        </w:rPr>
        <w:drawing>
          <wp:inline distT="0" distB="0" distL="0" distR="0">
            <wp:extent cx="3829050" cy="533400"/>
            <wp:effectExtent l="0" t="0" r="0" b="0"/>
            <wp:docPr id="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0" cy="533400"/>
                    </a:xfrm>
                    <a:prstGeom prst="rect">
                      <a:avLst/>
                    </a:prstGeom>
                    <a:noFill/>
                    <a:ln>
                      <a:noFill/>
                    </a:ln>
                  </pic:spPr>
                </pic:pic>
              </a:graphicData>
            </a:graphic>
          </wp:inline>
        </w:drawing>
      </w:r>
    </w:p>
    <w:p w:rsidR="002702D3" w:rsidP="002702D3">
      <w:pPr>
        <w:spacing w:line="360" w:lineRule="auto"/>
        <w:jc w:val="both"/>
        <w:rPr>
          <w:rFonts w:ascii="David" w:hAnsi="David"/>
        </w:rPr>
      </w:pP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כפי שעולה מהתסקיר הוא נערך לאחר שהעו"ס ערכה בדיקות מעמיקות מול גורמים שונים, שוחחה פעמיים עם כ"א מההורים, ערכה ביקור הן בבית האב והן בבית האם וקיבלה דיווחים ממסגרות החינוך וממתאמת השיקום של האם. לאחר כל בדיקות אלה, סברה העו"ס כי יש להתיר את העתקת המגורים, </w:t>
      </w:r>
      <w:r>
        <w:rPr>
          <w:rFonts w:ascii="David" w:hAnsi="David" w:cs="David"/>
          <w:sz w:val="24"/>
          <w:szCs w:val="24"/>
          <w:rtl/>
        </w:rPr>
        <w:t xml:space="preserve">וכך אף הודיעה לאם. בסופו של יום שינתה המלצה לאחר שהבינה כי יש לשים דגש "על </w:t>
      </w:r>
      <w:r w:rsidR="00FB1558">
        <w:rPr>
          <w:rFonts w:ascii="David" w:hAnsi="David" w:cs="David"/>
          <w:sz w:val="24"/>
          <w:szCs w:val="24"/>
          <w:rtl/>
        </w:rPr>
        <w:t xml:space="preserve"> </w:t>
      </w:r>
      <w:r>
        <w:rPr>
          <w:rFonts w:ascii="David" w:hAnsi="David" w:cs="David"/>
          <w:sz w:val="24"/>
          <w:szCs w:val="24"/>
          <w:rtl/>
        </w:rPr>
        <w:t>התפתחות הבנות וקשר מיטבי של הבנות עם</w:t>
      </w:r>
      <w:r w:rsidR="00FB1558">
        <w:rPr>
          <w:rFonts w:ascii="David" w:hAnsi="David" w:cs="David"/>
          <w:sz w:val="24"/>
          <w:szCs w:val="24"/>
          <w:rtl/>
        </w:rPr>
        <w:t xml:space="preserve"> </w:t>
      </w:r>
      <w:r>
        <w:rPr>
          <w:rFonts w:ascii="David" w:hAnsi="David" w:cs="David"/>
          <w:sz w:val="24"/>
          <w:szCs w:val="24"/>
          <w:rtl/>
        </w:rPr>
        <w:t xml:space="preserve"> שני ההורים".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b/>
          <w:bCs/>
          <w:sz w:val="24"/>
          <w:szCs w:val="24"/>
          <w:rtl/>
        </w:rPr>
        <w:t>בעניין זה יש להדגיש כי במקרים של העתקת מגורי קטינים נקודת המוצא היא כי פעמים רבות יש פגיעה בתדירות הקשר בין הקטין להורה השני, כת</w:t>
      </w:r>
      <w:r>
        <w:rPr>
          <w:rFonts w:ascii="David" w:hAnsi="David" w:cs="David"/>
          <w:b/>
          <w:bCs/>
          <w:sz w:val="24"/>
          <w:szCs w:val="24"/>
          <w:rtl/>
        </w:rPr>
        <w:t xml:space="preserve">וצאה ישירה מהעובדה, שלאחר המעבר, המרחק הפיזי בין הקטין להורה השני, גדל. כאשר  בוחנים את טיבו של הקשר לאחר המעבר, יש לבחון </w:t>
      </w:r>
      <w:r>
        <w:rPr>
          <w:rFonts w:ascii="David" w:hAnsi="David" w:cs="David"/>
          <w:b/>
          <w:bCs/>
          <w:color w:val="000000"/>
          <w:sz w:val="24"/>
          <w:szCs w:val="24"/>
          <w:rtl/>
        </w:rPr>
        <w:t xml:space="preserve">האם לאחר המעבר, עדיין יוכל הקטין ליהנות מקשר יציב ורציף עם ההורה האחר, אף אם תדירותו פחותה, והאם יש חשש ההורה האחר יסכל את זמני השהות </w:t>
      </w:r>
      <w:r>
        <w:rPr>
          <w:rFonts w:ascii="David" w:hAnsi="David" w:cs="David"/>
          <w:b/>
          <w:bCs/>
          <w:color w:val="000000"/>
          <w:sz w:val="24"/>
          <w:szCs w:val="24"/>
          <w:rtl/>
        </w:rPr>
        <w:t xml:space="preserve">לאחר המעבר ובכך יפגע בקשר בין הקטין להורה האחר. </w:t>
      </w:r>
    </w:p>
    <w:p w:rsidR="002702D3" w:rsidP="002702D3">
      <w:pPr>
        <w:pStyle w:val="1"/>
        <w:bidi/>
        <w:spacing w:after="0" w:line="360" w:lineRule="auto"/>
        <w:ind w:left="716"/>
        <w:jc w:val="both"/>
        <w:rPr>
          <w:rFonts w:ascii="David" w:hAnsi="David" w:cs="David"/>
          <w:sz w:val="24"/>
          <w:szCs w:val="24"/>
        </w:rPr>
      </w:pP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חשוב לציין בהקשר זה כי העו"ס אישרה בחקירתה כי לא התרשמה שהאמא מבקשת לסכל את הקשר (עמ' 27 ש' 2 לתמליל), ואף אני התרשמתי כי במקרה זה מטרת האם איננה להרחיק את הקטינות מהאב, אלא לאפשר לה לפתוח דף חדש בחייה ולהמ</w:t>
      </w:r>
      <w:r>
        <w:rPr>
          <w:rFonts w:ascii="David" w:hAnsi="David" w:cs="David"/>
          <w:sz w:val="24"/>
          <w:szCs w:val="24"/>
          <w:rtl/>
        </w:rPr>
        <w:t xml:space="preserve">שיך את הליך שיקומה. </w:t>
      </w:r>
    </w:p>
    <w:p w:rsidR="002702D3" w:rsidP="002702D3">
      <w:pPr>
        <w:pStyle w:val="1"/>
        <w:rPr>
          <w:rFonts w:ascii="David" w:hAnsi="David" w:cs="David"/>
          <w:sz w:val="24"/>
          <w:szCs w:val="24"/>
        </w:rPr>
      </w:pPr>
    </w:p>
    <w:p w:rsidR="002702D3" w:rsidP="002702D3">
      <w:pPr>
        <w:pStyle w:val="1"/>
        <w:numPr>
          <w:ilvl w:val="0"/>
          <w:numId w:val="1"/>
        </w:numPr>
        <w:bidi/>
        <w:spacing w:line="360" w:lineRule="auto"/>
        <w:jc w:val="both"/>
        <w:rPr>
          <w:rFonts w:ascii="David" w:hAnsi="David" w:cs="David"/>
          <w:sz w:val="24"/>
          <w:szCs w:val="24"/>
          <w:rtl/>
        </w:rPr>
      </w:pPr>
      <w:r>
        <w:rPr>
          <w:rFonts w:ascii="David" w:hAnsi="David" w:cs="David"/>
          <w:sz w:val="24"/>
          <w:szCs w:val="24"/>
          <w:rtl/>
        </w:rPr>
        <w:t>האם טענה פעם אחר פעם שהאב מסית את הקטינות נגדה. האב הכחיש נמרצות טענות אלה (הכחשה שנאמרה לעיתים בצורה בוטה ר' למשל עמ' 5 לפרוט' ש' 35-36). מכל מקום בהמשך לטענות האם להפעלת מניפולציות קשות על הקטינות דבר המשפיע על מצבן הנפשי, מונתה אפו</w:t>
      </w:r>
      <w:r>
        <w:rPr>
          <w:rFonts w:ascii="David" w:hAnsi="David" w:cs="David"/>
          <w:sz w:val="24"/>
          <w:szCs w:val="24"/>
          <w:rtl/>
        </w:rPr>
        <w:t>ט' לדין, אשר דיווחה כי האב הביע בפניה התנצלות על דבריו, והסכים להמלצתה לקבל הדרכה על מנת לקיים שיח מותאם עם הקטינות. בעניין זה אציין כי צורפו לתיק תמלילים הודעות המעידות על שיח לא מותאם עם הקטינות כנגד האם וכנגד המעבר. בעניין זה אינני מקבלת את הסברו של האב</w:t>
      </w:r>
      <w:r>
        <w:rPr>
          <w:rFonts w:ascii="David" w:hAnsi="David" w:cs="David"/>
          <w:sz w:val="24"/>
          <w:szCs w:val="24"/>
          <w:rtl/>
        </w:rPr>
        <w:t xml:space="preserve"> כי הוא "מדבר עם הקטינות בגובה העיניים". אין מקום להפעיל מניפולציות על הקטינות לרבות אמירות שאם יעברו </w:t>
      </w:r>
      <w:r w:rsidRPr="00115723">
        <w:rPr>
          <w:rFonts w:ascii="David" w:hAnsi="David" w:cs="David"/>
          <w:sz w:val="24"/>
          <w:szCs w:val="24"/>
          <w:rtl/>
        </w:rPr>
        <w:t>לירושלים,</w:t>
      </w:r>
      <w:r>
        <w:rPr>
          <w:rFonts w:ascii="David" w:hAnsi="David" w:cs="David"/>
          <w:sz w:val="24"/>
          <w:szCs w:val="24"/>
          <w:rtl/>
        </w:rPr>
        <w:t xml:space="preserve"> "אין להן </w:t>
      </w:r>
      <w:r>
        <w:rPr>
          <w:rFonts w:ascii="David" w:hAnsi="David" w:cs="David"/>
          <w:sz w:val="24"/>
          <w:szCs w:val="24"/>
          <w:rtl/>
        </w:rPr>
        <w:t xml:space="preserve">אבא". הקטינות רכות בשנים ואמירות מסוג זה עלולות לערער את עולמן. יש לקוות כי האב יימנע מהתבטאויות דומות בעתיד. </w:t>
      </w:r>
    </w:p>
    <w:p w:rsidR="002702D3" w:rsidP="002702D3">
      <w:pPr>
        <w:pStyle w:val="1"/>
        <w:numPr>
          <w:ilvl w:val="0"/>
          <w:numId w:val="1"/>
        </w:numPr>
        <w:bidi/>
        <w:spacing w:line="360" w:lineRule="auto"/>
        <w:jc w:val="both"/>
        <w:rPr>
          <w:rFonts w:ascii="David" w:hAnsi="David" w:cs="David"/>
          <w:sz w:val="24"/>
          <w:szCs w:val="24"/>
          <w:rtl/>
        </w:rPr>
      </w:pPr>
      <w:r>
        <w:rPr>
          <w:rFonts w:ascii="David" w:hAnsi="David" w:cs="David"/>
          <w:sz w:val="24"/>
          <w:szCs w:val="24"/>
          <w:rtl/>
        </w:rPr>
        <w:t>אין ספק כי שימור הקשר בי</w:t>
      </w:r>
      <w:r>
        <w:rPr>
          <w:rFonts w:ascii="David" w:hAnsi="David" w:cs="David"/>
          <w:sz w:val="24"/>
          <w:szCs w:val="24"/>
          <w:rtl/>
        </w:rPr>
        <w:t>ן הקטינות לאביהן הוא ראשון במעלה. יחד עם זאת, יש לזכור כי כיום זמני השהות מצומצמים, הקטינות אינן לנות עם אביהן ועדיין הקשר ביניהם חם ויציב. לאחר המעבר יוכלו הקטינות ללון אצל אביהן בסופי שבוע ובחגים, דבר אשר יכול לתרום להעמקת הקשר ביניהם, ובכך לשמר את איכות</w:t>
      </w:r>
      <w:r>
        <w:rPr>
          <w:rFonts w:ascii="David" w:hAnsi="David" w:cs="David"/>
          <w:sz w:val="24"/>
          <w:szCs w:val="24"/>
          <w:rtl/>
        </w:rPr>
        <w:t xml:space="preserve">ו.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אשר ליכולת הקטינות  לבצע את המעבר - מדובר בשתי קטינות צעירות בשנים, אשר ביכולתן לבצע את המעבר ללא מורכבות מיוחדת. העו"ס אישרה בחקירתה כי מסגרות החינוך איכותיות </w:t>
      </w:r>
      <w:r w:rsidRPr="00115723">
        <w:rPr>
          <w:rFonts w:ascii="David" w:hAnsi="David" w:cs="David"/>
          <w:sz w:val="24"/>
          <w:szCs w:val="24"/>
          <w:rtl/>
        </w:rPr>
        <w:t>בירושלים,</w:t>
      </w:r>
      <w:r>
        <w:rPr>
          <w:rFonts w:ascii="David" w:hAnsi="David" w:cs="David"/>
          <w:sz w:val="24"/>
          <w:szCs w:val="24"/>
          <w:rtl/>
        </w:rPr>
        <w:t xml:space="preserve"> לא פחות מ</w:t>
      </w:r>
      <w:r>
        <w:rPr>
          <w:rFonts w:ascii="David" w:hAnsi="David" w:cs="David" w:hint="cs"/>
          <w:sz w:val="24"/>
          <w:szCs w:val="24"/>
          <w:rtl/>
        </w:rPr>
        <w:t>****</w:t>
      </w:r>
      <w:r>
        <w:rPr>
          <w:rFonts w:ascii="David" w:hAnsi="David" w:cs="David"/>
          <w:sz w:val="24"/>
          <w:szCs w:val="24"/>
          <w:rtl/>
        </w:rPr>
        <w:t xml:space="preserve">, וכי שתי הקטינות מסוגלות לבצע את המעבר: </w:t>
      </w:r>
    </w:p>
    <w:p w:rsidR="002702D3" w:rsidP="002702D3">
      <w:pPr>
        <w:spacing w:line="360" w:lineRule="auto"/>
        <w:ind w:left="716"/>
        <w:jc w:val="both"/>
        <w:rPr>
          <w:rFonts w:ascii="David" w:hAnsi="David"/>
        </w:rPr>
      </w:pPr>
      <w:r>
        <w:rPr>
          <w:rFonts w:ascii="David" w:hAnsi="David"/>
        </w:rPr>
        <w:drawing>
          <wp:inline distT="0" distB="0" distL="0" distR="0">
            <wp:extent cx="3743325" cy="8001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43325" cy="800100"/>
                    </a:xfrm>
                    <a:prstGeom prst="rect">
                      <a:avLst/>
                    </a:prstGeom>
                    <a:noFill/>
                    <a:ln>
                      <a:noFill/>
                    </a:ln>
                  </pic:spPr>
                </pic:pic>
              </a:graphicData>
            </a:graphic>
          </wp:inline>
        </w:drawing>
      </w:r>
    </w:p>
    <w:p w:rsidR="002702D3" w:rsidP="002702D3">
      <w:pPr>
        <w:spacing w:line="360" w:lineRule="auto"/>
        <w:ind w:left="716"/>
        <w:jc w:val="both"/>
        <w:rPr>
          <w:rFonts w:ascii="David" w:hAnsi="David"/>
          <w:rtl/>
        </w:rPr>
      </w:pP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נימוק נוסף, התומך </w:t>
      </w:r>
      <w:r>
        <w:rPr>
          <w:rFonts w:ascii="David" w:hAnsi="David" w:cs="David"/>
          <w:sz w:val="24"/>
          <w:szCs w:val="24"/>
          <w:rtl/>
        </w:rPr>
        <w:t>באישור העתקת המגורים נעוץ במצבה הנפשי של האם, אשר עשתה כברת דרך בהליך השיקום: כפי שעולה מדיווח סוציאלי שהוגש לתיק ע"י מתאמת השיקום, התובעת מוכרת למערך הפסיכיאטרי משנת 2022, זכאית לסל שיקום מחודש 02/24 לאחר שאובחנה כמתמודדת עם</w:t>
      </w:r>
      <w:r>
        <w:rPr>
          <w:rFonts w:ascii="David" w:hAnsi="David" w:cs="David"/>
          <w:sz w:val="24"/>
          <w:szCs w:val="24"/>
        </w:rPr>
        <w:t xml:space="preserve"> PTSD </w:t>
      </w:r>
      <w:r>
        <w:rPr>
          <w:rFonts w:ascii="David" w:hAnsi="David" w:cs="David"/>
          <w:sz w:val="24"/>
          <w:szCs w:val="24"/>
          <w:rtl/>
        </w:rPr>
        <w:t xml:space="preserve">על רקע אלימות קשה שחוותה </w:t>
      </w:r>
      <w:r>
        <w:rPr>
          <w:rFonts w:ascii="David" w:hAnsi="David" w:cs="David"/>
          <w:sz w:val="24"/>
          <w:szCs w:val="24"/>
          <w:rtl/>
        </w:rPr>
        <w:t xml:space="preserve">בילדותה כולל פגיעות מיניות. </w:t>
      </w:r>
      <w:r>
        <w:rPr>
          <w:rFonts w:ascii="David" w:hAnsi="David" w:cs="David"/>
          <w:sz w:val="24"/>
          <w:szCs w:val="24"/>
        </w:rPr>
        <w:t xml:space="preserve"> </w:t>
      </w:r>
    </w:p>
    <w:p w:rsidR="002702D3" w:rsidP="002702D3">
      <w:pPr>
        <w:pStyle w:val="1"/>
        <w:numPr>
          <w:ilvl w:val="0"/>
          <w:numId w:val="1"/>
        </w:numPr>
        <w:bidi/>
        <w:spacing w:after="0" w:line="360" w:lineRule="auto"/>
        <w:jc w:val="both"/>
        <w:rPr>
          <w:rFonts w:ascii="David" w:hAnsi="David" w:cs="David"/>
          <w:sz w:val="24"/>
          <w:szCs w:val="24"/>
          <w:rtl/>
        </w:rPr>
      </w:pPr>
      <w:r>
        <w:rPr>
          <w:rFonts w:ascii="David" w:hAnsi="David" w:cs="David"/>
          <w:sz w:val="24"/>
          <w:szCs w:val="24"/>
          <w:rtl/>
        </w:rPr>
        <w:t xml:space="preserve">בדיווח פורטו מאמצים רבים של התובעת הכוללת השתתפות בתוכניות ליווי רבות ומגוונות לשם שיקומה, לרבות ליווי תעסוקתי שמקבלת ע"י רכזת תעסוקה, כאשר צויין כי מעבר </w:t>
      </w:r>
      <w:r w:rsidRPr="00115723">
        <w:rPr>
          <w:rFonts w:ascii="David" w:hAnsi="David" w:cs="David"/>
          <w:sz w:val="24"/>
          <w:szCs w:val="24"/>
          <w:rtl/>
        </w:rPr>
        <w:t>לירושלים</w:t>
      </w:r>
      <w:r>
        <w:rPr>
          <w:rFonts w:ascii="David" w:hAnsi="David" w:cs="David"/>
          <w:sz w:val="24"/>
          <w:szCs w:val="24"/>
          <w:rtl/>
        </w:rPr>
        <w:t xml:space="preserve"> יקדם את העסק ויאפשר לה ללמוד לימודי קולינריה במרכז הארץ. מהדיוו</w:t>
      </w:r>
      <w:r>
        <w:rPr>
          <w:rFonts w:ascii="David" w:hAnsi="David" w:cs="David"/>
          <w:sz w:val="24"/>
          <w:szCs w:val="24"/>
          <w:rtl/>
        </w:rPr>
        <w:t xml:space="preserve">ח עולה כי התובעת משקיעה מאמצים רבים על מנת לשקם עצמה.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בישיבת ההוכחות הסבירה האם כי ניסתה להצליח בצפון בתחום עיסוקה, לרבות פתיחת קייטרינג, מכירת אוכל מהבית והעברת סדנאות ואף עבדה במסעדה אולם גם כאשר הבנות היו חולות היא לא יכלה להיעזר באב ונאלצה להביאן חולו</w:t>
      </w:r>
      <w:r>
        <w:rPr>
          <w:rFonts w:ascii="David" w:hAnsi="David" w:cs="David"/>
          <w:sz w:val="24"/>
          <w:szCs w:val="24"/>
          <w:rtl/>
        </w:rPr>
        <w:t>ת למקום עבודתה:</w:t>
      </w:r>
    </w:p>
    <w:p w:rsidR="002702D3" w:rsidP="002702D3">
      <w:pPr>
        <w:spacing w:line="360" w:lineRule="auto"/>
        <w:jc w:val="both"/>
        <w:rPr>
          <w:rFonts w:ascii="David" w:hAnsi="David"/>
        </w:rPr>
      </w:pPr>
    </w:p>
    <w:p w:rsidR="002702D3" w:rsidP="002702D3">
      <w:pPr>
        <w:spacing w:line="360" w:lineRule="auto"/>
        <w:ind w:left="716"/>
        <w:jc w:val="both"/>
        <w:rPr>
          <w:rFonts w:ascii="David" w:hAnsi="David"/>
          <w:rtl/>
        </w:rPr>
      </w:pPr>
      <w:r>
        <w:rPr>
          <w:rtl/>
        </w:rPr>
        <mc:AlternateContent>
          <mc:Choice Requires="wps">
            <w:drawing>
              <wp:anchor distT="0" distB="0" distL="114300" distR="114300" simplePos="0" relativeHeight="251660288" behindDoc="0" locked="0" layoutInCell="1" allowOverlap="1">
                <wp:simplePos x="0" y="0"/>
                <wp:positionH relativeFrom="column">
                  <wp:posOffset>2640965</wp:posOffset>
                </wp:positionH>
                <wp:positionV relativeFrom="paragraph">
                  <wp:posOffset>247015</wp:posOffset>
                </wp:positionV>
                <wp:extent cx="771525" cy="95250"/>
                <wp:effectExtent l="6350" t="12700" r="12700" b="6350"/>
                <wp:wrapNone/>
                <wp:docPr id="15" name="מלבן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1525" cy="95250"/>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1" o:spid="_x0000_s1026" style="width:60.75pt;height:7.5pt;margin-top:19.45pt;margin-left:207.95pt;mso-height-percent:0;mso-height-relative:page;mso-width-percent:0;mso-width-relative:page;mso-wrap-distance-bottom:0;mso-wrap-distance-left:9pt;mso-wrap-distance-right:9pt;mso-wrap-distance-top:0;mso-wrap-style:square;position:absolute;visibility:visible;v-text-anchor:middle;z-index:251661312" fillcolor="black" strokeweight="1pt"/>
            </w:pict>
          </mc:Fallback>
        </mc:AlternateContent>
      </w:r>
      <w:r>
        <w:rPr>
          <w:rtl/>
        </w:rPr>
        <mc:AlternateContent>
          <mc:Choice Requires="wps">
            <w:drawing>
              <wp:anchor distT="0" distB="0" distL="114300" distR="114300" simplePos="0" relativeHeight="251658240" behindDoc="0" locked="0" layoutInCell="1" allowOverlap="1">
                <wp:simplePos x="0" y="0"/>
                <wp:positionH relativeFrom="column">
                  <wp:posOffset>4557395</wp:posOffset>
                </wp:positionH>
                <wp:positionV relativeFrom="paragraph">
                  <wp:posOffset>48260</wp:posOffset>
                </wp:positionV>
                <wp:extent cx="207010" cy="103505"/>
                <wp:effectExtent l="8255" t="13970" r="13335" b="6350"/>
                <wp:wrapNone/>
                <wp:docPr id="14" name="מלבן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7010" cy="103505"/>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0" o:spid="_x0000_s1027" style="width:16.3pt;height:8.15pt;margin-top:3.8pt;margin-left:358.85pt;mso-height-percent:0;mso-height-relative:page;mso-width-percent:0;mso-width-relative:page;mso-wrap-distance-bottom:0;mso-wrap-distance-left:9pt;mso-wrap-distance-right:9pt;mso-wrap-distance-top:0;mso-wrap-style:square;position:absolute;visibility:visible;v-text-anchor:middle;z-index:251659264" fillcolor="black" strokeweight="1pt"/>
            </w:pict>
          </mc:Fallback>
        </mc:AlternateContent>
      </w:r>
      <w:r>
        <w:rPr>
          <w:rFonts w:ascii="David" w:hAnsi="David"/>
        </w:rPr>
        <w:drawing>
          <wp:inline distT="0" distB="0" distL="0" distR="0">
            <wp:extent cx="4533900" cy="147637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533900" cy="1476375"/>
                    </a:xfrm>
                    <a:prstGeom prst="rect">
                      <a:avLst/>
                    </a:prstGeom>
                    <a:noFill/>
                    <a:ln>
                      <a:noFill/>
                    </a:ln>
                  </pic:spPr>
                </pic:pic>
              </a:graphicData>
            </a:graphic>
          </wp:inline>
        </w:drawing>
      </w:r>
    </w:p>
    <w:p w:rsidR="002702D3" w:rsidP="002702D3">
      <w:pPr>
        <w:spacing w:line="360" w:lineRule="auto"/>
        <w:ind w:left="716"/>
        <w:jc w:val="both"/>
        <w:rPr>
          <w:rFonts w:ascii="David" w:hAnsi="David"/>
          <w:rtl/>
        </w:rPr>
      </w:pPr>
    </w:p>
    <w:p w:rsidR="002702D3" w:rsidP="002702D3">
      <w:pPr>
        <w:pStyle w:val="1"/>
        <w:numPr>
          <w:ilvl w:val="0"/>
          <w:numId w:val="1"/>
        </w:numPr>
        <w:bidi/>
        <w:spacing w:after="0" w:line="360" w:lineRule="auto"/>
        <w:jc w:val="both"/>
        <w:rPr>
          <w:rFonts w:ascii="David" w:hAnsi="David"/>
        </w:rPr>
      </w:pPr>
      <w:r>
        <w:rPr>
          <w:rFonts w:ascii="David" w:hAnsi="David" w:cs="David"/>
          <w:sz w:val="24"/>
          <w:szCs w:val="24"/>
          <w:rtl/>
        </w:rPr>
        <w:t>עוד הוסיפה  כי עברה ל</w:t>
      </w:r>
      <w:r>
        <w:rPr>
          <w:rFonts w:ascii="David" w:hAnsi="David" w:cs="David" w:hint="cs"/>
          <w:sz w:val="24"/>
          <w:szCs w:val="24"/>
          <w:rtl/>
        </w:rPr>
        <w:t>***</w:t>
      </w:r>
      <w:r>
        <w:rPr>
          <w:rFonts w:ascii="David" w:hAnsi="David" w:cs="David"/>
          <w:sz w:val="24"/>
          <w:szCs w:val="24"/>
          <w:rtl/>
        </w:rPr>
        <w:t xml:space="preserve"> כשהיתה בהריון, לאחר שהאב חנק אותה כאשר היה תחת השפעת סמים ואלכוהול, אולם הבטיח לטפל בעצמו. וכך העידה:</w:t>
      </w:r>
      <w:r>
        <w:rPr>
          <w:rFonts w:ascii="David" w:hAnsi="David" w:cs="David"/>
          <w:sz w:val="24"/>
          <w:szCs w:val="24"/>
        </w:rPr>
        <w:t xml:space="preserve"> </w:t>
      </w:r>
    </w:p>
    <w:p w:rsidR="002702D3" w:rsidP="002702D3">
      <w:pPr>
        <w:pStyle w:val="1"/>
        <w:bidi/>
        <w:spacing w:after="0" w:line="360" w:lineRule="auto"/>
        <w:ind w:left="716"/>
        <w:jc w:val="both"/>
        <w:rPr>
          <w:rFonts w:ascii="David" w:hAnsi="David"/>
        </w:rPr>
      </w:pPr>
    </w:p>
    <w:p w:rsidR="002702D3" w:rsidP="002702D3">
      <w:pPr>
        <w:pStyle w:val="1"/>
        <w:bidi/>
        <w:spacing w:after="0" w:line="360" w:lineRule="auto"/>
        <w:ind w:left="716"/>
        <w:jc w:val="both"/>
        <w:rPr>
          <w:rFonts w:ascii="David" w:hAnsi="David"/>
        </w:rPr>
      </w:pPr>
      <w:r>
        <w:rPr>
          <w:noProof/>
        </w:rPr>
        <mc:AlternateContent>
          <mc:Choice Requires="wps">
            <w:drawing>
              <wp:anchor distT="0" distB="0" distL="114300" distR="114300" simplePos="0" relativeHeight="251672576" behindDoc="0" locked="0" layoutInCell="1" allowOverlap="1">
                <wp:simplePos x="0" y="0"/>
                <wp:positionH relativeFrom="column">
                  <wp:posOffset>3483610</wp:posOffset>
                </wp:positionH>
                <wp:positionV relativeFrom="paragraph">
                  <wp:posOffset>3054985</wp:posOffset>
                </wp:positionV>
                <wp:extent cx="286385" cy="127000"/>
                <wp:effectExtent l="10795" t="10795" r="7620" b="14605"/>
                <wp:wrapNone/>
                <wp:docPr id="13" name="מלבן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6385" cy="127000"/>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7" o:spid="_x0000_s1028" style="width:22.55pt;height:10pt;margin-top:240.55pt;margin-left:274.3pt;mso-height-percent:0;mso-height-relative:page;mso-width-percent:0;mso-width-relative:page;mso-wrap-distance-bottom:0;mso-wrap-distance-left:9pt;mso-wrap-distance-right:9pt;mso-wrap-distance-top:0;mso-wrap-style:square;position:absolute;visibility:visible;v-text-anchor:middle;z-index:251673600" fillcolor="black" strokeweight="1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3435985</wp:posOffset>
                </wp:positionH>
                <wp:positionV relativeFrom="paragraph">
                  <wp:posOffset>2856230</wp:posOffset>
                </wp:positionV>
                <wp:extent cx="222885" cy="87630"/>
                <wp:effectExtent l="10795" t="12065" r="13970" b="14605"/>
                <wp:wrapNone/>
                <wp:docPr id="12" name="מלבן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885" cy="87630"/>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6" o:spid="_x0000_s1029" style="width:17.55pt;height:6.9pt;margin-top:224.9pt;margin-left:270.55pt;mso-height-percent:0;mso-height-relative:page;mso-width-percent:0;mso-width-relative:page;mso-wrap-distance-bottom:0;mso-wrap-distance-left:9pt;mso-wrap-distance-right:9pt;mso-wrap-distance-top:0;mso-wrap-style:square;position:absolute;visibility:visible;v-text-anchor:middle;z-index:251671552" fillcolor="black" strokeweight="1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1988820</wp:posOffset>
                </wp:positionH>
                <wp:positionV relativeFrom="paragraph">
                  <wp:posOffset>2418715</wp:posOffset>
                </wp:positionV>
                <wp:extent cx="222250" cy="79375"/>
                <wp:effectExtent l="11430" t="12700" r="13970" b="12700"/>
                <wp:wrapNone/>
                <wp:docPr id="11" name="מלבן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250" cy="79375"/>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5" o:spid="_x0000_s1030" style="width:17.5pt;height:6.25pt;margin-top:190.45pt;margin-left:156.6pt;mso-height-percent:0;mso-height-relative:page;mso-width-percent:0;mso-width-relative:page;mso-wrap-distance-bottom:0;mso-wrap-distance-left:9pt;mso-wrap-distance-right:9pt;mso-wrap-distance-top:0;mso-wrap-style:square;position:absolute;visibility:visible;v-text-anchor:middle;z-index:251669504" fillcolor="black" strokeweight="1p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3364865</wp:posOffset>
                </wp:positionH>
                <wp:positionV relativeFrom="paragraph">
                  <wp:posOffset>240030</wp:posOffset>
                </wp:positionV>
                <wp:extent cx="516890" cy="103505"/>
                <wp:effectExtent l="6350" t="15240" r="10160" b="14605"/>
                <wp:wrapNone/>
                <wp:docPr id="10" name="מלבן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6890" cy="103505"/>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4" o:spid="_x0000_s1031" style="width:40.7pt;height:8.15pt;margin-top:18.9pt;margin-left:264.95pt;mso-height-percent:0;mso-height-relative:page;mso-width-percent:0;mso-width-relative:page;mso-wrap-distance-bottom:0;mso-wrap-distance-left:9pt;mso-wrap-distance-right:9pt;mso-wrap-distance-top:0;mso-wrap-style:square;position:absolute;visibility:visible;v-text-anchor:middle;z-index:251667456" fillcolor="black" strokeweight="1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1917700</wp:posOffset>
                </wp:positionH>
                <wp:positionV relativeFrom="paragraph">
                  <wp:posOffset>25400</wp:posOffset>
                </wp:positionV>
                <wp:extent cx="294005" cy="87630"/>
                <wp:effectExtent l="6985" t="10160" r="13335" b="6985"/>
                <wp:wrapNone/>
                <wp:docPr id="9" name="מלבן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4005" cy="87630"/>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3" o:spid="_x0000_s1032" style="width:23.15pt;height:6.9pt;margin-top:2pt;margin-left:151pt;mso-height-percent:0;mso-height-relative:page;mso-width-percent:0;mso-width-relative:page;mso-wrap-distance-bottom:0;mso-wrap-distance-left:9pt;mso-wrap-distance-right:9pt;mso-wrap-distance-top:0;mso-wrap-style:square;position:absolute;visibility:visible;v-text-anchor:middle;z-index:251665408" fillcolor="black"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3245485</wp:posOffset>
                </wp:positionH>
                <wp:positionV relativeFrom="paragraph">
                  <wp:posOffset>17780</wp:posOffset>
                </wp:positionV>
                <wp:extent cx="309880" cy="87630"/>
                <wp:effectExtent l="10795" t="12065" r="12700" b="14605"/>
                <wp:wrapNone/>
                <wp:docPr id="8" name="מלבן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9880" cy="87630"/>
                        </a:xfrm>
                        <a:prstGeom prst="rect">
                          <a:avLst/>
                        </a:prstGeom>
                        <a:solidFill>
                          <a:srgbClr val="000000"/>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מלבן 12" o:spid="_x0000_s1033" style="width:24.4pt;height:6.9pt;margin-top:1.4pt;margin-left:255.55pt;mso-height-percent:0;mso-height-relative:page;mso-width-percent:0;mso-width-relative:page;mso-wrap-distance-bottom:0;mso-wrap-distance-left:9pt;mso-wrap-distance-right:9pt;mso-wrap-distance-top:0;mso-wrap-style:square;position:absolute;visibility:visible;v-text-anchor:middle;z-index:251663360" fillcolor="black" strokeweight="1pt"/>
            </w:pict>
          </mc:Fallback>
        </mc:AlternateContent>
      </w:r>
      <w:r>
        <w:rPr>
          <w:rFonts w:ascii="David" w:hAnsi="David"/>
          <w:noProof/>
        </w:rPr>
        <w:drawing>
          <wp:inline distT="0" distB="0" distL="0" distR="0">
            <wp:extent cx="4591050" cy="3228975"/>
            <wp:effectExtent l="0" t="0" r="0" b="0"/>
            <wp:docPr id="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591050" cy="3228975"/>
                    </a:xfrm>
                    <a:prstGeom prst="rect">
                      <a:avLst/>
                    </a:prstGeom>
                    <a:noFill/>
                    <a:ln>
                      <a:noFill/>
                    </a:ln>
                  </pic:spPr>
                </pic:pic>
              </a:graphicData>
            </a:graphic>
          </wp:inline>
        </w:drawing>
      </w:r>
    </w:p>
    <w:p w:rsidR="002702D3" w:rsidP="002702D3">
      <w:pPr>
        <w:pStyle w:val="1"/>
        <w:bidi/>
        <w:spacing w:after="0" w:line="360" w:lineRule="auto"/>
        <w:ind w:left="716"/>
        <w:jc w:val="both"/>
        <w:rPr>
          <w:rFonts w:ascii="David" w:hAnsi="David" w:cs="David"/>
          <w:sz w:val="24"/>
          <w:szCs w:val="24"/>
        </w:rPr>
      </w:pP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בחקירתו אישר האב כי בעבר היה לו תיק פלילי בתחום הסמים ושני תיקי אלמ"ב: </w:t>
      </w:r>
    </w:p>
    <w:p w:rsidR="002702D3" w:rsidP="002702D3">
      <w:pPr>
        <w:spacing w:line="360" w:lineRule="auto"/>
        <w:jc w:val="both"/>
        <w:rPr>
          <w:rFonts w:ascii="David" w:hAnsi="David"/>
          <w:rtl/>
        </w:rPr>
      </w:pPr>
    </w:p>
    <w:p w:rsidR="002702D3" w:rsidP="002702D3">
      <w:pPr>
        <w:spacing w:line="360" w:lineRule="auto"/>
        <w:ind w:left="716"/>
        <w:jc w:val="both"/>
        <w:rPr>
          <w:rFonts w:ascii="David" w:hAnsi="David"/>
          <w:rtl/>
        </w:rPr>
      </w:pPr>
      <w:r>
        <w:rPr>
          <w:rFonts w:ascii="David" w:hAnsi="David"/>
        </w:rPr>
        <w:drawing>
          <wp:inline distT="0" distB="0" distL="0" distR="0">
            <wp:extent cx="4324350" cy="2343150"/>
            <wp:effectExtent l="0" t="0" r="0" b="0"/>
            <wp:docPr id="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324350" cy="2343150"/>
                    </a:xfrm>
                    <a:prstGeom prst="rect">
                      <a:avLst/>
                    </a:prstGeom>
                    <a:noFill/>
                    <a:ln>
                      <a:noFill/>
                    </a:ln>
                  </pic:spPr>
                </pic:pic>
              </a:graphicData>
            </a:graphic>
          </wp:inline>
        </w:drawing>
      </w:r>
    </w:p>
    <w:p w:rsidR="002702D3" w:rsidP="002702D3">
      <w:pPr>
        <w:pStyle w:val="1"/>
        <w:bidi/>
        <w:spacing w:after="0" w:line="360" w:lineRule="auto"/>
        <w:ind w:left="716"/>
        <w:jc w:val="both"/>
        <w:rPr>
          <w:rFonts w:ascii="David" w:hAnsi="David"/>
        </w:rPr>
      </w:pP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ממכלול הראיות שהובאו</w:t>
      </w:r>
      <w:r>
        <w:rPr>
          <w:rFonts w:ascii="David" w:hAnsi="David" w:cs="David"/>
          <w:sz w:val="24"/>
          <w:szCs w:val="24"/>
          <w:rtl/>
        </w:rPr>
        <w:t xml:space="preserve"> בפני עולה כי מעבר לסל השיקום, ב</w:t>
      </w:r>
      <w:r>
        <w:rPr>
          <w:rFonts w:ascii="David" w:hAnsi="David" w:cs="David"/>
          <w:sz w:val="24"/>
          <w:szCs w:val="24"/>
        </w:rPr>
        <w:t>****</w:t>
      </w:r>
      <w:r>
        <w:rPr>
          <w:rFonts w:ascii="David" w:hAnsi="David" w:cs="David"/>
          <w:sz w:val="24"/>
          <w:szCs w:val="24"/>
          <w:rtl/>
        </w:rPr>
        <w:t xml:space="preserve"> אין לאם כל מערכת תמיכה חברתית ולא עורף משפחתי, דבר המקשה עד מאוד עליה, פוגע בה ובאופן עקיף (ולעיתים אף ישיר), פוגע בטובת הקטינות.</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הישארותה של האם ב</w:t>
      </w:r>
      <w:r>
        <w:rPr>
          <w:rFonts w:ascii="David" w:hAnsi="David" w:cs="David"/>
          <w:sz w:val="24"/>
          <w:szCs w:val="24"/>
        </w:rPr>
        <w:t>****</w:t>
      </w:r>
      <w:r>
        <w:rPr>
          <w:rFonts w:ascii="David" w:hAnsi="David" w:cs="David"/>
          <w:sz w:val="24"/>
          <w:szCs w:val="24"/>
          <w:rtl/>
        </w:rPr>
        <w:t xml:space="preserve"> מותירה אותה תלויה באב, אשר למרבה הצער לא משתף עימה פעולה ואינו מגלה</w:t>
      </w:r>
      <w:r>
        <w:rPr>
          <w:rFonts w:ascii="David" w:hAnsi="David" w:cs="David"/>
          <w:sz w:val="24"/>
          <w:szCs w:val="24"/>
          <w:rtl/>
        </w:rPr>
        <w:t xml:space="preserve"> גמישות אף במקרים חריגים בהם האם נזקקת לעזרתו עם הקטינות.</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כך, למשל, נאלצה האם לדחות פעם אחר פעם ניתוח רפואי לו נזקקה בשל העובדה שלא היתה הסכמה בין הצדדים  שהקטינות יישארו עם אביהן במהלך האישפוז. בתגובה לבקשה שהגישה בעניין זה, לאחר שטענה כי הודיעה לאב על הנ</w:t>
      </w:r>
      <w:r>
        <w:rPr>
          <w:rFonts w:ascii="David" w:hAnsi="David" w:cs="David"/>
          <w:sz w:val="24"/>
          <w:szCs w:val="24"/>
          <w:rtl/>
        </w:rPr>
        <w:t xml:space="preserve">יתוח זמן רב  מראש, השיב האב, כי האם פנתה אליו כשבועיים לפני הניתוח אולם הוא עובד במערכות סולאריות לפי סידור </w:t>
      </w:r>
      <w:r>
        <w:rPr>
          <w:rFonts w:ascii="David" w:hAnsi="David" w:cs="David"/>
          <w:sz w:val="24"/>
          <w:szCs w:val="24"/>
          <w:rtl/>
        </w:rPr>
        <w:t>עבודה שנקבע מראש, ועובד מדי יום בין השעות 05:00 בבוקר ומגיע ל</w:t>
      </w:r>
      <w:r>
        <w:rPr>
          <w:rFonts w:ascii="David" w:hAnsi="David" w:cs="David" w:hint="cs"/>
          <w:sz w:val="24"/>
          <w:szCs w:val="24"/>
          <w:rtl/>
        </w:rPr>
        <w:t>***</w:t>
      </w:r>
      <w:r>
        <w:rPr>
          <w:rFonts w:ascii="David" w:hAnsi="David" w:cs="David"/>
          <w:sz w:val="24"/>
          <w:szCs w:val="24"/>
          <w:rtl/>
        </w:rPr>
        <w:t xml:space="preserve"> בסביבות השעה 20:00, ורק בימים שני וחמישי בהם אמור לפגוש את הקטינות, יוצא מהעבודה בש</w:t>
      </w:r>
      <w:r>
        <w:rPr>
          <w:rFonts w:ascii="David" w:hAnsi="David" w:cs="David"/>
          <w:sz w:val="24"/>
          <w:szCs w:val="24"/>
          <w:rtl/>
        </w:rPr>
        <w:t xml:space="preserve">עה 14:00 על מנת לאסוף אותן מהמסגרות. בנסיבות אלה האב לא חוייב לשמור על הקטינות במהלך הניתוח, אולם האם התבקשה לתאם מועד חדש לניתוח ולהודיע לאב על כך מראש על מנת שיתאים את סידור העבודה שלו.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בהקשר זה יוטעם כי נוכח האמור בתגובה זו של האב, החלופה שהציע האב לפי</w:t>
      </w:r>
      <w:r>
        <w:rPr>
          <w:rFonts w:ascii="David" w:hAnsi="David" w:cs="David"/>
          <w:sz w:val="24"/>
          <w:szCs w:val="24"/>
          <w:rtl/>
        </w:rPr>
        <w:t xml:space="preserve">ה האם תעזוב את </w:t>
      </w:r>
      <w:r>
        <w:rPr>
          <w:rFonts w:ascii="David" w:hAnsi="David" w:cs="David" w:hint="cs"/>
          <w:sz w:val="24"/>
          <w:szCs w:val="24"/>
          <w:rtl/>
        </w:rPr>
        <w:t>***</w:t>
      </w:r>
      <w:r>
        <w:rPr>
          <w:rFonts w:ascii="David" w:hAnsi="David" w:cs="David"/>
          <w:sz w:val="24"/>
          <w:szCs w:val="24"/>
          <w:rtl/>
        </w:rPr>
        <w:t xml:space="preserve"> ותותיר עימו את הקטינות, איננה נראית מעשית.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במסגרת בקשה נוספת למתן צו הגנה (ה"ט 52307-06-25), התובעת טענה כי ביקשה מהנתבע שישמור על הקטינות משעה 10 בגלל בדיקה  רפואית במרכז הארץ. בשעה 11:30 יצאה לכיוון המרכז אולם בשל נפילת טיל בבורסה, קיבלה הודעה בשעה 11:47 שהתור בוטל, ולכן חזרה לביתה. התובעת הבהירה</w:t>
      </w:r>
      <w:r>
        <w:rPr>
          <w:rFonts w:ascii="David" w:hAnsi="David" w:cs="David"/>
          <w:sz w:val="24"/>
          <w:szCs w:val="24"/>
          <w:rtl/>
        </w:rPr>
        <w:t xml:space="preserve"> בדיון במעמד צד אחד, שלא עדכנה את האב על ביטול התור כי ממילא מדובר ביום הקטינות צריכות להיות עימו משעה 13 . התובעת טענה כי הנתבע קילל אותה, והיא קיבלה דיווחים שונים לרבות משכנים, שהוא ואדם עם עבר פלילי הגיעו לביתה וצילמו את הרכבים שלה ושל בן זוגה. בדיון במ</w:t>
      </w:r>
      <w:r>
        <w:rPr>
          <w:rFonts w:ascii="David" w:hAnsi="David" w:cs="David"/>
          <w:sz w:val="24"/>
          <w:szCs w:val="24"/>
          <w:rtl/>
        </w:rPr>
        <w:t>עמד שני הצדדים שהיה דיון סוער, הודה האב כי הוא וחבר ביצעו מעקבים וצילמו את הרכבים אולם זאת על מנת להוכיח את טענתו שהאם ביקשה ממנו לשמור על הבנות על מנת שהיא תוכל להיות עם בן זוגה ולא בשל בדיקה רפואית שלטענתו כלל לא נקבעה. בכל הכבוד מדובר באירוע בודד של הקד</w:t>
      </w:r>
      <w:r>
        <w:rPr>
          <w:rFonts w:ascii="David" w:hAnsi="David" w:cs="David"/>
          <w:sz w:val="24"/>
          <w:szCs w:val="24"/>
          <w:rtl/>
        </w:rPr>
        <w:t xml:space="preserve">מת זמני השהות במספר שעות. אף אם האב חשד כי האם לא אמרה אמת אשר לסיבה להקדמת השעה (הגם שהציגה ראיות ברורות וגירסתה היתה סדורה וקוהירנטית), לא היה כל מקום להגיע עם אדם שהאב מודע לכך שבעברו שרף את רכבה של בת זוגו, לביתה של האם ולצלם את רכבה ורכבו של בן זוגה. </w:t>
      </w:r>
      <w:r>
        <w:rPr>
          <w:rFonts w:ascii="David" w:hAnsi="David" w:cs="David"/>
          <w:sz w:val="24"/>
          <w:szCs w:val="24"/>
          <w:rtl/>
        </w:rPr>
        <w:t xml:space="preserve">התנהלות זו מעידה על נוקשות רבה מצידו של האב, באינטראקציה בין הצדדים בעניין זמני השהות.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כאמור לעיל, בצל המורכבות המשפחתית במשפחתה הגרעינית כבר בשלב מוקדם בחייה, בחרה האם לעזוב את עיר מגוריה. לא שוכנעתי כי כבילת האם ל</w:t>
      </w:r>
      <w:r>
        <w:rPr>
          <w:rFonts w:ascii="David" w:hAnsi="David" w:cs="David" w:hint="cs"/>
          <w:sz w:val="24"/>
          <w:szCs w:val="24"/>
          <w:rtl/>
        </w:rPr>
        <w:t>****</w:t>
      </w:r>
      <w:r>
        <w:rPr>
          <w:rFonts w:ascii="David" w:hAnsi="David" w:cs="David"/>
          <w:sz w:val="24"/>
          <w:szCs w:val="24"/>
          <w:rtl/>
        </w:rPr>
        <w:t xml:space="preserve">, תיטיב לא עם הקטינות ולא עם אימן.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לציין כי האם שיתפה בישיבת ההוכחות כי היא בזוגיות חדשה מזה מספר חודשים, שבכוונתה למסד, אולם אדגיש כי במסגרת השיקולים השונים, עובדה זו לא נלקחה בחשבון בין היתר משום שמדובר בזוגיות חדשה באופן יחסי. כך גם לא ראיתי לנכון לתת משקל רב לטענות הנתבעת לתנאי הגיינה י</w:t>
      </w:r>
      <w:r>
        <w:rPr>
          <w:rFonts w:ascii="David" w:hAnsi="David" w:cs="David"/>
          <w:sz w:val="24"/>
          <w:szCs w:val="24"/>
          <w:rtl/>
        </w:rPr>
        <w:t xml:space="preserve">רודים בבית האב, כשיקול התומך במעבר, הגם שהובאו בעניין זה ראיות.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לצד העובדה שהאב מקיים קשר חם עם הקטינות, דבר שיש לשמר ולטפח כחלק מטובתן של הקטינות, ומזכותו של האב לממש את זכויותיו ההוריות, יש לקחת בחשבון כי מדובר בתקופת נישואין קצרה במהלכה התגוררו הצדדים </w:t>
      </w:r>
      <w:r>
        <w:rPr>
          <w:rFonts w:ascii="David" w:hAnsi="David" w:cs="David"/>
          <w:sz w:val="24"/>
          <w:szCs w:val="24"/>
          <w:rtl/>
        </w:rPr>
        <w:t>בצפון, אפשרויות התעסוקה של האם ב</w:t>
      </w:r>
      <w:r>
        <w:rPr>
          <w:rFonts w:ascii="David" w:hAnsi="David" w:cs="David" w:hint="cs"/>
          <w:sz w:val="24"/>
          <w:szCs w:val="24"/>
          <w:rtl/>
        </w:rPr>
        <w:t>***</w:t>
      </w:r>
      <w:r>
        <w:rPr>
          <w:rFonts w:ascii="David" w:hAnsi="David" w:cs="David"/>
          <w:sz w:val="24"/>
          <w:szCs w:val="24"/>
          <w:rtl/>
        </w:rPr>
        <w:t xml:space="preserve"> מוגבלות לצד העדר מוחלט של עורף משפחתי או חברתי ב</w:t>
      </w:r>
      <w:r>
        <w:rPr>
          <w:rFonts w:ascii="David" w:hAnsi="David" w:cs="David" w:hint="cs"/>
          <w:sz w:val="24"/>
          <w:szCs w:val="24"/>
          <w:rtl/>
        </w:rPr>
        <w:t>***</w:t>
      </w:r>
      <w:r>
        <w:rPr>
          <w:rFonts w:ascii="David" w:hAnsi="David" w:cs="David"/>
          <w:sz w:val="24"/>
          <w:szCs w:val="24"/>
          <w:rtl/>
        </w:rPr>
        <w:t>, חוסר גמישות של האב בגיבוי האם בשינוי זמני השהות שממילא אינם רחבים, כאשר אין מחלוקת כי הקטינות מסוגלות לבצע את המעבר ולא הוכח כי האם מבקשת להרחיק את הקטינות מאביהן,  וכ</w:t>
      </w:r>
      <w:r>
        <w:rPr>
          <w:rFonts w:ascii="David" w:hAnsi="David" w:cs="David"/>
          <w:sz w:val="24"/>
          <w:szCs w:val="24"/>
          <w:rtl/>
        </w:rPr>
        <w:t xml:space="preserve">אשר העו"ס שמכירה את הצדדים, סברה כי יש לאשר את המעבר. מכלול הראיות שהובאו בפני, בחינת התנהלות הצדדים והתרשמות בלתי אמצעית מהצדדים בדיונים, </w:t>
      </w:r>
      <w:r>
        <w:rPr>
          <w:rFonts w:ascii="David" w:hAnsi="David" w:cs="David"/>
          <w:sz w:val="24"/>
          <w:szCs w:val="24"/>
          <w:rtl/>
        </w:rPr>
        <w:t>ושקלול ואיזון מכלול השיקולים שפורטו לעיל, מובילים למסקנה כי יש להתיר את העתקת מגורי הקטינות ל</w:t>
      </w:r>
      <w:r w:rsidRPr="00115723">
        <w:rPr>
          <w:rFonts w:ascii="David" w:hAnsi="David" w:cs="David"/>
          <w:sz w:val="24"/>
          <w:szCs w:val="24"/>
          <w:rtl/>
        </w:rPr>
        <w:t>ירושלים</w:t>
      </w:r>
      <w:r>
        <w:rPr>
          <w:rFonts w:ascii="David" w:hAnsi="David" w:cs="David"/>
          <w:sz w:val="24"/>
          <w:szCs w:val="24"/>
          <w:rtl/>
        </w:rPr>
        <w:t>, עם אימן, וכך אנ</w:t>
      </w:r>
      <w:r>
        <w:rPr>
          <w:rFonts w:ascii="David" w:hAnsi="David" w:cs="David"/>
          <w:sz w:val="24"/>
          <w:szCs w:val="24"/>
          <w:rtl/>
        </w:rPr>
        <w:t xml:space="preserve">י מורה. </w:t>
      </w:r>
    </w:p>
    <w:p w:rsidR="002702D3" w:rsidP="002702D3">
      <w:pPr>
        <w:tabs>
          <w:tab w:val="left" w:pos="3056"/>
        </w:tabs>
        <w:rPr>
          <w:rFonts w:ascii="David" w:hAnsi="David"/>
        </w:rPr>
      </w:pP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b/>
          <w:bCs/>
          <w:sz w:val="24"/>
          <w:szCs w:val="24"/>
          <w:rtl/>
        </w:rPr>
        <w:t xml:space="preserve">בנסיבות אלה, אני מאשרת את בקשת האם להעתיק מגורי הקטינות לירושלים, ורישומן למסגרת חינוך בהתאם למקום מגוריהן ולצרכי הקטינות.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b/>
          <w:bCs/>
          <w:sz w:val="24"/>
          <w:szCs w:val="24"/>
          <w:rtl/>
        </w:rPr>
        <w:t xml:space="preserve">זמני השהות לאחר המעבר יהיו כדלקמן: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על מנת לאפשר לקטינות להיות פרק זמן ממשוך עם אביהן, אני מורה כי זמני השהות יתקיימו כל </w:t>
      </w:r>
      <w:r>
        <w:rPr>
          <w:rFonts w:ascii="David" w:hAnsi="David" w:cs="David"/>
          <w:sz w:val="24"/>
          <w:szCs w:val="24"/>
          <w:rtl/>
        </w:rPr>
        <w:t>סוף שבוע שני, מיום חמישי  בשעה 18:00 עד למוצא"ש. האם תדאג להביא את הקטינות ל</w:t>
      </w:r>
      <w:r>
        <w:rPr>
          <w:rFonts w:ascii="David" w:hAnsi="David" w:cs="David" w:hint="cs"/>
          <w:sz w:val="24"/>
          <w:szCs w:val="24"/>
          <w:rtl/>
        </w:rPr>
        <w:t>****</w:t>
      </w:r>
      <w:r>
        <w:rPr>
          <w:rFonts w:ascii="David" w:hAnsi="David" w:cs="David"/>
          <w:sz w:val="24"/>
          <w:szCs w:val="24"/>
          <w:rtl/>
        </w:rPr>
        <w:t xml:space="preserve"> ותשיבן בצאת השבת. </w:t>
      </w:r>
      <w:r>
        <w:rPr>
          <w:rFonts w:ascii="David" w:hAnsi="David" w:cs="David"/>
          <w:sz w:val="24"/>
          <w:szCs w:val="24"/>
        </w:rPr>
        <w:t xml:space="preserve">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האב טען ל"טראומה" להגיע </w:t>
      </w:r>
      <w:r w:rsidRPr="00115723">
        <w:rPr>
          <w:rFonts w:ascii="David" w:hAnsi="David" w:cs="David"/>
          <w:sz w:val="24"/>
          <w:szCs w:val="24"/>
          <w:rtl/>
        </w:rPr>
        <w:t>לירושלים</w:t>
      </w:r>
      <w:r>
        <w:rPr>
          <w:rFonts w:ascii="David" w:hAnsi="David" w:cs="David"/>
          <w:sz w:val="24"/>
          <w:szCs w:val="24"/>
          <w:rtl/>
        </w:rPr>
        <w:t xml:space="preserve"> לראשונה בדיון 2.3.25 אולם לא הביא כל הוכחה לכך.</w:t>
      </w:r>
      <w:r>
        <w:rPr>
          <w:rFonts w:ascii="David" w:hAnsi="David" w:cs="David"/>
          <w:sz w:val="24"/>
          <w:szCs w:val="24"/>
        </w:rPr>
        <w:t xml:space="preserve"> </w:t>
      </w:r>
      <w:r>
        <w:rPr>
          <w:rFonts w:ascii="David" w:hAnsi="David" w:cs="David"/>
          <w:sz w:val="24"/>
          <w:szCs w:val="24"/>
          <w:rtl/>
        </w:rPr>
        <w:t xml:space="preserve">לציין כי הגם שרצון האם להעתיק את המגורים </w:t>
      </w:r>
      <w:r w:rsidRPr="00115723">
        <w:rPr>
          <w:rFonts w:ascii="David" w:hAnsi="David" w:cs="David"/>
          <w:sz w:val="24"/>
          <w:szCs w:val="24"/>
          <w:rtl/>
        </w:rPr>
        <w:t>לירושלים</w:t>
      </w:r>
      <w:r>
        <w:rPr>
          <w:rFonts w:ascii="David" w:hAnsi="David" w:cs="David"/>
          <w:sz w:val="24"/>
          <w:szCs w:val="24"/>
          <w:rtl/>
        </w:rPr>
        <w:t xml:space="preserve"> עלה עוד בהליך ה"ט 41568-</w:t>
      </w:r>
      <w:r>
        <w:rPr>
          <w:rFonts w:ascii="David" w:hAnsi="David" w:cs="David"/>
          <w:sz w:val="24"/>
          <w:szCs w:val="24"/>
          <w:rtl/>
        </w:rPr>
        <w:t>10-24, האב לא ציין דבר אודות הטראומה הנטענת בפני עורך התסקיר (שהתמצה למעשה בתיעוד עמדת האב בלבד). ר' תסקיר מיום 10.11.24. בדיון מיום 2.3.25 הסביר האב שהוא לא מוכר במל"ל כפוסט טראומטי והודה כי בהזדמנויות שונות (אם כי ספורות לטענתו) כן הגיע ל</w:t>
      </w:r>
      <w:r w:rsidRPr="00115723">
        <w:rPr>
          <w:rFonts w:ascii="David" w:hAnsi="David" w:cs="David"/>
          <w:sz w:val="24"/>
          <w:szCs w:val="24"/>
          <w:rtl/>
        </w:rPr>
        <w:t>ירושלים</w:t>
      </w:r>
      <w:r>
        <w:rPr>
          <w:rFonts w:ascii="David" w:hAnsi="David" w:cs="David"/>
          <w:sz w:val="24"/>
          <w:szCs w:val="24"/>
          <w:rtl/>
        </w:rPr>
        <w:t xml:space="preserve">. </w:t>
      </w:r>
    </w:p>
    <w:p w:rsidR="002702D3" w:rsidP="002702D3">
      <w:pPr>
        <w:pStyle w:val="1"/>
        <w:rPr>
          <w:rFonts w:ascii="David" w:hAnsi="David" w:cs="David"/>
          <w:sz w:val="24"/>
          <w:szCs w:val="24"/>
        </w:rPr>
      </w:pPr>
    </w:p>
    <w:p w:rsidR="002702D3" w:rsidP="002702D3">
      <w:pPr>
        <w:pStyle w:val="1"/>
        <w:numPr>
          <w:ilvl w:val="0"/>
          <w:numId w:val="1"/>
        </w:numPr>
        <w:bidi/>
        <w:spacing w:after="0" w:line="360" w:lineRule="auto"/>
        <w:jc w:val="both"/>
        <w:rPr>
          <w:rFonts w:ascii="David" w:hAnsi="David" w:cs="David"/>
          <w:sz w:val="24"/>
          <w:szCs w:val="24"/>
          <w:rtl/>
        </w:rPr>
      </w:pPr>
      <w:r>
        <w:rPr>
          <w:rFonts w:ascii="David" w:hAnsi="David" w:cs="David"/>
          <w:sz w:val="24"/>
          <w:szCs w:val="24"/>
          <w:rtl/>
        </w:rPr>
        <w:t>לפיכך</w:t>
      </w:r>
      <w:r>
        <w:rPr>
          <w:rFonts w:ascii="David" w:hAnsi="David" w:cs="David"/>
          <w:sz w:val="24"/>
          <w:szCs w:val="24"/>
          <w:rtl/>
        </w:rPr>
        <w:t xml:space="preserve"> אני מורה כי בשבוע בו הקטינות אינן שוהות עם האב, הקטינות תיפגשנה עם אביהן למשך 3 שעות לפחות באזור מגורי האם. נקודת המפגש תהיה לכל היותר במרחק 45 דקות נסיעה ממקום מגוריהן של הקטינות. האם תדאג להביא את הקטינות למקום המפגש. האב יודיע לכל הפחות 48 שעות מראש על</w:t>
      </w:r>
      <w:r>
        <w:rPr>
          <w:rFonts w:ascii="David" w:hAnsi="David" w:cs="David"/>
          <w:sz w:val="24"/>
          <w:szCs w:val="24"/>
          <w:rtl/>
        </w:rPr>
        <w:t xml:space="preserve"> יום המפגש בהתאם לסידור עבודתו.  </w:t>
      </w:r>
    </w:p>
    <w:p w:rsidR="002702D3" w:rsidP="002702D3">
      <w:pPr>
        <w:pStyle w:val="1"/>
        <w:numPr>
          <w:ilvl w:val="0"/>
          <w:numId w:val="1"/>
        </w:numPr>
        <w:bidi/>
        <w:spacing w:after="160" w:line="360" w:lineRule="auto"/>
        <w:ind w:left="720" w:hanging="720"/>
        <w:jc w:val="both"/>
        <w:rPr>
          <w:rFonts w:cs="David"/>
          <w:sz w:val="24"/>
          <w:szCs w:val="24"/>
        </w:rPr>
      </w:pPr>
      <w:r>
        <w:rPr>
          <w:rFonts w:ascii="David" w:hAnsi="David" w:cs="David"/>
          <w:sz w:val="24"/>
          <w:szCs w:val="24"/>
          <w:rtl/>
        </w:rPr>
        <w:t>בנוסף, בחגי ישראל ו</w:t>
      </w:r>
      <w:r>
        <w:rPr>
          <w:rFonts w:cs="David"/>
          <w:sz w:val="24"/>
          <w:szCs w:val="24"/>
          <w:rtl/>
        </w:rPr>
        <w:t xml:space="preserve">בחופשות ממסגרות החינוך בהן אין מסגרת חלופית לקטינות, יישאו הצדדים </w:t>
      </w:r>
      <w:r>
        <w:rPr>
          <w:rFonts w:cs="David"/>
          <w:b/>
          <w:bCs/>
          <w:sz w:val="24"/>
          <w:szCs w:val="24"/>
          <w:rtl/>
        </w:rPr>
        <w:t>בחלוקה שווה</w:t>
      </w:r>
      <w:r>
        <w:rPr>
          <w:rFonts w:cs="David"/>
          <w:sz w:val="24"/>
          <w:szCs w:val="24"/>
          <w:rtl/>
        </w:rPr>
        <w:t xml:space="preserve"> בזמני השהות, כאשר סדר חלוקת החגים והחופשות יתהפך בין ההורים כל שנה לסירוגין. בזמני השהות בחגים ובחופשות יחלקו הצדדים בנטל הנס</w:t>
      </w:r>
      <w:r>
        <w:rPr>
          <w:rFonts w:cs="David"/>
          <w:sz w:val="24"/>
          <w:szCs w:val="24"/>
          <w:rtl/>
        </w:rPr>
        <w:t xml:space="preserve">יעות בחלקים שווים. </w:t>
      </w:r>
    </w:p>
    <w:p w:rsidR="002702D3" w:rsidP="002702D3">
      <w:pPr>
        <w:pStyle w:val="1"/>
        <w:numPr>
          <w:ilvl w:val="0"/>
          <w:numId w:val="1"/>
        </w:numPr>
        <w:bidi/>
        <w:spacing w:after="160" w:line="360" w:lineRule="auto"/>
        <w:ind w:left="720" w:hanging="720"/>
        <w:jc w:val="both"/>
        <w:rPr>
          <w:rFonts w:cs="David"/>
          <w:sz w:val="24"/>
          <w:szCs w:val="24"/>
        </w:rPr>
      </w:pPr>
      <w:r>
        <w:rPr>
          <w:rFonts w:cs="David"/>
          <w:sz w:val="24"/>
          <w:szCs w:val="24"/>
          <w:rtl/>
        </w:rPr>
        <w:t xml:space="preserve">בנוסף לכך האם תאפשר לקטינות לקיים שיחות וידאו עם האב לכל הפחות פעמיים בשבוע בשעות הערב. </w:t>
      </w:r>
    </w:p>
    <w:p w:rsidR="002702D3" w:rsidP="002702D3">
      <w:pPr>
        <w:pStyle w:val="1"/>
        <w:numPr>
          <w:ilvl w:val="0"/>
          <w:numId w:val="1"/>
        </w:numPr>
        <w:bidi/>
        <w:spacing w:after="0" w:line="360" w:lineRule="auto"/>
        <w:jc w:val="both"/>
        <w:rPr>
          <w:rFonts w:ascii="David" w:hAnsi="David" w:cs="David"/>
          <w:sz w:val="24"/>
          <w:szCs w:val="24"/>
          <w:rtl/>
        </w:rPr>
      </w:pPr>
      <w:r>
        <w:rPr>
          <w:rFonts w:ascii="David" w:hAnsi="David" w:cs="David"/>
          <w:sz w:val="24"/>
          <w:szCs w:val="24"/>
          <w:rtl/>
        </w:rPr>
        <w:t xml:space="preserve"> מסמיכה את העו"ס לסדרי דין ב</w:t>
      </w:r>
      <w:r>
        <w:rPr>
          <w:rFonts w:ascii="David" w:hAnsi="David" w:cs="David" w:hint="cs"/>
          <w:sz w:val="24"/>
          <w:szCs w:val="24"/>
          <w:rtl/>
        </w:rPr>
        <w:t>****</w:t>
      </w:r>
      <w:r>
        <w:rPr>
          <w:rFonts w:ascii="David" w:hAnsi="David" w:cs="David"/>
          <w:sz w:val="24"/>
          <w:szCs w:val="24"/>
          <w:rtl/>
        </w:rPr>
        <w:t xml:space="preserve"> לערוך טבלה מסודרת של חלוקת חגים וחופשות ולהכריע במחלוקת בעניין קיום זמני השהות בהתאם למסגרת שנקבעה לעיל. תוקף ההסמכה למשך שנה מהיום. </w:t>
      </w:r>
    </w:p>
    <w:p w:rsidR="002702D3" w:rsidP="002702D3">
      <w:pPr>
        <w:pStyle w:val="1"/>
        <w:numPr>
          <w:ilvl w:val="0"/>
          <w:numId w:val="1"/>
        </w:numPr>
        <w:bidi/>
        <w:spacing w:after="0" w:line="360" w:lineRule="auto"/>
        <w:jc w:val="both"/>
        <w:rPr>
          <w:rFonts w:ascii="David" w:hAnsi="David" w:cs="David"/>
          <w:sz w:val="24"/>
          <w:szCs w:val="24"/>
        </w:rPr>
      </w:pPr>
      <w:r>
        <w:rPr>
          <w:rFonts w:ascii="David" w:hAnsi="David" w:cs="David"/>
          <w:sz w:val="24"/>
          <w:szCs w:val="24"/>
          <w:rtl/>
        </w:rPr>
        <w:t xml:space="preserve">כל צד ישא בהוצאותיו. </w:t>
      </w:r>
    </w:p>
    <w:p w:rsidR="002702D3" w:rsidP="002702D3">
      <w:pPr>
        <w:pStyle w:val="1"/>
        <w:bidi/>
        <w:spacing w:after="0" w:line="360" w:lineRule="auto"/>
        <w:ind w:left="716"/>
        <w:jc w:val="both"/>
        <w:rPr>
          <w:rFonts w:ascii="David" w:hAnsi="David" w:cs="David"/>
          <w:sz w:val="24"/>
          <w:szCs w:val="24"/>
        </w:rPr>
      </w:pPr>
    </w:p>
    <w:p w:rsidR="002702D3" w:rsidP="002702D3">
      <w:pPr>
        <w:spacing w:line="360" w:lineRule="auto"/>
        <w:jc w:val="both"/>
        <w:rPr>
          <w:rFonts w:ascii="David" w:hAnsi="David"/>
        </w:rPr>
      </w:pPr>
      <w:r>
        <w:rPr>
          <w:rFonts w:ascii="David" w:hAnsi="David"/>
          <w:rtl/>
        </w:rPr>
        <w:t>המזכירות תמציא לצדדים ותסגור את התיק.</w:t>
      </w:r>
    </w:p>
    <w:p w:rsidR="002702D3" w:rsidP="002702D3">
      <w:pPr>
        <w:spacing w:line="360" w:lineRule="auto"/>
        <w:jc w:val="both"/>
        <w:rPr>
          <w:rFonts w:ascii="David" w:hAnsi="David"/>
          <w:rtl/>
        </w:rPr>
      </w:pPr>
    </w:p>
    <w:p w:rsidR="002702D3" w:rsidP="002702D3">
      <w:pPr>
        <w:spacing w:line="360" w:lineRule="auto"/>
        <w:jc w:val="both"/>
        <w:rPr>
          <w:rFonts w:ascii="David" w:hAnsi="David"/>
          <w:rtl/>
        </w:rPr>
      </w:pPr>
      <w:r>
        <w:rPr>
          <w:rFonts w:ascii="David" w:hAnsi="David"/>
          <w:rtl/>
        </w:rPr>
        <w:t xml:space="preserve">ניתן לפרסום בהשמטת פרטים מזהים. </w:t>
      </w:r>
    </w:p>
    <w:p w:rsidR="002702D3" w:rsidP="002702D3">
      <w:pPr>
        <w:spacing w:line="360" w:lineRule="auto"/>
        <w:jc w:val="both"/>
        <w:rPr>
          <w:rFonts w:ascii="David" w:hAnsi="David"/>
        </w:rPr>
      </w:pPr>
      <w:r>
        <w:rPr>
          <w:rFonts w:ascii="David" w:hAnsi="David"/>
          <w:rtl/>
        </w:rPr>
        <w:t xml:space="preserve"> </w:t>
      </w:r>
    </w:p>
    <w:p w:rsidR="002702D3" w:rsidRPr="00F75CE7" w:rsidP="002702D3">
      <w:pPr>
        <w:spacing w:line="360" w:lineRule="auto"/>
        <w:jc w:val="both"/>
        <w:rPr>
          <w:rFonts w:ascii="Arial" w:hAnsi="Arial"/>
          <w:noProof w:val="0"/>
          <w:rtl/>
        </w:rPr>
      </w:pPr>
    </w:p>
    <w:p w:rsidR="002702D3" w:rsidP="002702D3">
      <w:pPr>
        <w:spacing w:line="360" w:lineRule="auto"/>
        <w:jc w:val="both"/>
        <w:rPr>
          <w:rFonts w:ascii="Arial" w:hAnsi="Arial"/>
          <w:noProof w:val="0"/>
          <w:rtl/>
        </w:rPr>
      </w:pPr>
    </w:p>
    <w:p w:rsidR="002702D3" w:rsidP="002702D3">
      <w:pPr>
        <w:spacing w:line="360" w:lineRule="auto"/>
        <w:jc w:val="both"/>
        <w:rPr>
          <w:rFonts w:ascii="Arial" w:hAnsi="Arial"/>
          <w:noProof w:val="0"/>
          <w:rtl/>
        </w:rPr>
      </w:pPr>
    </w:p>
    <w:p w:rsidR="002702D3" w:rsidP="002702D3">
      <w:pPr>
        <w:spacing w:line="360" w:lineRule="auto"/>
        <w:jc w:val="both"/>
        <w:rPr>
          <w:rFonts w:ascii="Arial" w:hAnsi="Arial"/>
          <w:noProof w:val="0"/>
          <w:rtl/>
        </w:rPr>
      </w:pPr>
    </w:p>
    <w:p w:rsidR="002702D3" w:rsidP="002702D3">
      <w:pPr>
        <w:spacing w:line="360" w:lineRule="auto"/>
        <w:jc w:val="both"/>
        <w:rPr>
          <w:rFonts w:ascii="Arial" w:hAnsi="Arial"/>
          <w:noProof w:val="0"/>
          <w:rtl/>
        </w:rPr>
      </w:pPr>
      <w:bookmarkStart w:id="6" w:name="Nitan"/>
      <w:r>
        <w:rPr>
          <w:rFonts w:ascii="Arial" w:hAnsi="Arial"/>
          <w:noProof w:val="0"/>
          <w:rtl/>
        </w:rPr>
        <w:t xml:space="preserve">ניתן היום,  כ"ז חשוון תשפ"ו, 18 נובמבר 2025, בהעדר הצדדים. </w:t>
      </w:r>
      <w:bookmarkEnd w:id="6"/>
      <w:r w:rsidR="00DA6D89">
        <w:rPr>
          <w:rFonts w:ascii="Arial" w:hAnsi="Arial" w:hint="cs"/>
          <w:noProof w:val="0"/>
          <w:rtl/>
        </w:rPr>
        <w:tab/>
      </w:r>
      <w:r w:rsidR="00DA6D89">
        <w:rPr>
          <w:rFonts w:ascii="Arial" w:hAnsi="Arial" w:hint="cs"/>
          <w:noProof w:val="0"/>
          <w:rtl/>
        </w:rPr>
        <w:tab/>
      </w:r>
      <w:r w:rsidR="00826733">
        <w:rPr>
          <w:rFonts w:ascii="Arial" w:hAnsi="Arial" w:hint="cs"/>
          <w:noProof w:val="0"/>
          <w:rtl/>
        </w:rPr>
        <w:t xml:space="preserve"> </w:t>
      </w:r>
      <w:r w:rsidR="00DA6D89">
        <w:rPr>
          <w:rFonts w:ascii="Arial" w:hAnsi="Arial" w:hint="cs"/>
          <w:noProof w:val="0"/>
          <w:rtl/>
        </w:rPr>
        <w:tab/>
      </w:r>
      <w:r w:rsidR="00DA6D89">
        <w:rPr>
          <w:rFonts w:ascii="Arial" w:hAnsi="Arial" w:hint="cs"/>
          <w:noProof w:val="0"/>
          <w:rtl/>
        </w:rPr>
        <w:tab/>
      </w:r>
      <w:r w:rsidR="00DA6D89">
        <w:rPr>
          <w:rFonts w:ascii="Arial" w:hAnsi="Arial" w:hint="cs"/>
          <w:noProof w:val="0"/>
          <w:rtl/>
        </w:rPr>
        <w:tab/>
      </w:r>
      <w:r w:rsidR="00DA6D89">
        <w:rPr>
          <w:rFonts w:ascii="Arial" w:hAnsi="Arial"/>
          <w:noProof w:val="0"/>
          <w:rtl/>
        </w:rPr>
        <w:tab/>
      </w:r>
      <w:r w:rsidR="00DA6D89">
        <w:rPr>
          <w:rFonts w:ascii="Arial" w:hAnsi="Arial" w:hint="cs"/>
          <w:noProof w:val="0"/>
          <w:rtl/>
        </w:rPr>
        <w:tab/>
      </w:r>
      <w:r w:rsidR="00DA6D89">
        <w:rPr>
          <w:rFonts w:ascii="Arial" w:hAnsi="Arial" w:hint="cs"/>
          <w:noProof w:val="0"/>
          <w:rtl/>
        </w:rPr>
        <w:tab/>
      </w:r>
      <w:r w:rsidR="00DA6D89">
        <w:rPr>
          <w:rFonts w:ascii="Arial" w:hAnsi="Arial"/>
          <w:noProof w:val="0"/>
          <w:rtl/>
        </w:rPr>
        <w:t xml:space="preserve"> </w:t>
      </w:r>
    </w:p>
    <w:p w:rsidR="002702D3" w:rsidP="002702D3">
      <w:pPr>
        <w:spacing w:line="360" w:lineRule="auto"/>
        <w:ind w:left="3600" w:firstLine="720"/>
      </w:pPr>
    </w:p>
    <w:p w:rsidR="002702D3" w:rsidP="002702D3">
      <w:pPr>
        <w:spacing w:line="360" w:lineRule="auto"/>
        <w:ind w:left="3600" w:firstLine="720"/>
        <w:rPr>
          <w:rFonts w:ascii="Arial" w:hAnsi="Arial"/>
          <w:noProof w:val="0"/>
          <w:rtl/>
        </w:rPr>
      </w:pPr>
    </w:p>
    <w:p w:rsidR="002702D3" w:rsidP="002702D3">
      <w:pPr>
        <w:spacing w:line="360" w:lineRule="auto"/>
        <w:jc w:val="both"/>
        <w:rPr>
          <w:rFonts w:ascii="Arial" w:hAnsi="Arial"/>
          <w:noProof w:val="0"/>
          <w:rtl/>
        </w:rPr>
      </w:pPr>
    </w:p>
    <w:p w:rsidR="002702D3" w:rsidP="002702D3">
      <w:pPr>
        <w:spacing w:line="360" w:lineRule="auto"/>
        <w:jc w:val="both"/>
        <w:rPr>
          <w:rFonts w:ascii="Arial" w:hAnsi="Arial"/>
          <w:noProof w:val="0"/>
          <w:rtl/>
        </w:rPr>
      </w:pPr>
    </w:p>
    <w:p w:rsidR="00FB1558" w:rsidRPr="00FB1558" w:rsidP="000932DD">
      <w:pPr>
        <w:rPr>
          <w:color w:val="0000FF"/>
          <w:u w:val="single"/>
        </w:rPr>
      </w:pPr>
      <w:bookmarkStart w:id="7" w:name="_GoBack"/>
      <w:bookmarkEnd w:id="7"/>
      <w:r>
        <w:rPr>
          <w:rFonts w:hint="cs"/>
          <w:color w:val="0000FF"/>
          <w:u w:val="single"/>
          <w:rtl/>
        </w:rPr>
        <w:t xml:space="preserve"> </w:t>
      </w:r>
    </w:p>
    <w:sectPr w:rsidSect="000932DD">
      <w:headerReference w:type="even" r:id="rId15"/>
      <w:headerReference w:type="default" r:id="rId16"/>
      <w:footerReference w:type="even" r:id="rId17"/>
      <w:footerReference w:type="default" r:id="rId18"/>
      <w:pgSz w:w="11907" w:h="16840" w:code="9"/>
      <w:pgMar w:top="1701" w:right="1701" w:bottom="1134" w:left="1701" w:header="720" w:footer="737" w:gutter="0"/>
      <w:pgNumType w:start="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altName w:val="Arial"/>
    <w:charset w:val="00"/>
    <w:family w:val="swiss"/>
    <w:pitch w:val="variable"/>
    <w:sig w:usb0="00001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2DD" w:rsidP="000932DD">
    <w:pPr>
      <w:pStyle w:val="Footer"/>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1</w:t>
    </w:r>
    <w:r>
      <w:rPr>
        <w:rFonts w:ascii="FrankRuehl" w:hAnsi="FrankRuehl" w:cs="FrankRuehl"/>
        <w:rtl/>
      </w:rPr>
      <w:fldChar w:fldCharType="end"/>
    </w:r>
  </w:p>
  <w:p w:rsidR="00FB1558" w:rsidRPr="000932DD" w:rsidP="000932DD">
    <w:pPr>
      <w:pStyle w:val="Footer"/>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extent cx="552450" cy="228600"/>
          <wp:effectExtent l="0" t="0" r="0" b="0"/>
          <wp:docPr id="7" name="תמונה 7" descr="Nev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evologo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2DD" w:rsidP="000932DD">
    <w:pPr>
      <w:pStyle w:val="Footer"/>
      <w:jc w:val="center"/>
      <w:rPr>
        <w:rStyle w:val="PageNumber"/>
        <w:rFonts w:ascii="FrankRuehl" w:hAnsi="FrankRuehl" w:cs="FrankRuehl"/>
        <w:rtl/>
      </w:rPr>
    </w:pPr>
    <w:r>
      <w:rPr>
        <w:rStyle w:val="PageNumber"/>
        <w:rFonts w:ascii="FrankRuehl" w:hAnsi="FrankRuehl" w:cs="FrankRuehl"/>
        <w:rtl/>
      </w:rPr>
      <w:fldChar w:fldCharType="begin"/>
    </w:r>
    <w:r>
      <w:rPr>
        <w:rStyle w:val="PageNumber"/>
        <w:rFonts w:ascii="FrankRuehl" w:hAnsi="FrankRuehl" w:cs="FrankRuehl"/>
        <w:rtl/>
      </w:rPr>
      <w:instrText xml:space="preserve"> </w:instrText>
    </w:r>
    <w:r>
      <w:rPr>
        <w:rStyle w:val="PageNumber"/>
        <w:rFonts w:ascii="FrankRuehl" w:hAnsi="FrankRuehl" w:cs="FrankRuehl" w:hint="cs"/>
      </w:rPr>
      <w:instrText>PAGE</w:instrText>
    </w:r>
    <w:r>
      <w:rPr>
        <w:rStyle w:val="PageNumber"/>
        <w:rFonts w:ascii="FrankRuehl" w:hAnsi="FrankRuehl" w:cs="FrankRuehl" w:hint="cs"/>
        <w:rtl/>
      </w:rPr>
      <w:instrText xml:space="preserve">  \* </w:instrText>
    </w:r>
    <w:r>
      <w:rPr>
        <w:rStyle w:val="PageNumber"/>
        <w:rFonts w:ascii="FrankRuehl" w:hAnsi="FrankRuehl" w:cs="FrankRuehl" w:hint="cs"/>
      </w:rPr>
      <w:instrText>MERGEFORMAT</w:instrText>
    </w:r>
    <w:r>
      <w:rPr>
        <w:rStyle w:val="PageNumber"/>
        <w:rFonts w:ascii="FrankRuehl" w:hAnsi="FrankRuehl" w:cs="FrankRuehl"/>
        <w:rtl/>
      </w:rPr>
      <w:instrText xml:space="preserve"> </w:instrText>
    </w:r>
    <w:r>
      <w:rPr>
        <w:rStyle w:val="PageNumber"/>
        <w:rFonts w:ascii="FrankRuehl" w:hAnsi="FrankRuehl" w:cs="FrankRuehl"/>
        <w:rtl/>
      </w:rPr>
      <w:fldChar w:fldCharType="separate"/>
    </w:r>
    <w:r w:rsidR="00BD56D2">
      <w:rPr>
        <w:rStyle w:val="PageNumber"/>
        <w:rFonts w:ascii="FrankRuehl" w:hAnsi="FrankRuehl" w:cs="FrankRuehl"/>
        <w:rtl/>
      </w:rPr>
      <w:t>1</w:t>
    </w:r>
    <w:r>
      <w:rPr>
        <w:rStyle w:val="PageNumber"/>
        <w:rFonts w:ascii="FrankRuehl" w:hAnsi="FrankRuehl" w:cs="FrankRuehl"/>
        <w:rtl/>
      </w:rPr>
      <w:fldChar w:fldCharType="end"/>
    </w:r>
  </w:p>
  <w:p w:rsidR="0096399A" w:rsidRPr="000932DD" w:rsidP="000932DD">
    <w:pPr>
      <w:pStyle w:val="Footer"/>
      <w:pBdr>
        <w:top w:val="single" w:sz="4" w:space="1" w:color="auto"/>
        <w:between w:val="single" w:sz="4" w:space="0" w:color="auto"/>
      </w:pBdr>
      <w:spacing w:after="60"/>
      <w:jc w:val="center"/>
      <w:rPr>
        <w:rStyle w:val="PageNumber"/>
        <w:rFonts w:ascii="FrankRuehl" w:hAnsi="FrankRuehl" w:cs="FrankRuehl"/>
        <w:color w:val="000000"/>
        <w:rt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558" w:rsidRPr="000932DD" w:rsidP="000932DD">
    <w:pPr>
      <w:pStyle w:val="Header"/>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תלהמ (צפת) 50056-09-24</w:t>
    </w:r>
    <w:r>
      <w:rPr>
        <w:rFonts w:ascii="David" w:hAnsi="David"/>
        <w:color w:val="000000"/>
        <w:sz w:val="22"/>
        <w:szCs w:val="22"/>
        <w:rtl/>
      </w:rPr>
      <w:tab/>
      <w:t xml:space="preserve"> פלונית נ' אלמוני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1558" w:rsidRPr="000932DD" w:rsidP="000932DD">
    <w:pPr>
      <w:pStyle w:val="Header"/>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8" w:name="_Hlk215130271"/>
    <w:bookmarkStart w:id="9" w:name="_Hlk215130272"/>
    <w:bookmarkStart w:id="10" w:name="_Hlk215130273"/>
    <w:bookmarkStart w:id="11" w:name="_Hlk215130274"/>
    <w:bookmarkStart w:id="12" w:name="_Hlk215130275"/>
    <w:bookmarkStart w:id="13" w:name="_Hlk215130276"/>
    <w:r>
      <w:rPr>
        <w:rFonts w:ascii="David" w:hAnsi="David"/>
        <w:color w:val="000000"/>
        <w:sz w:val="22"/>
        <w:szCs w:val="22"/>
        <w:rtl/>
      </w:rPr>
      <w:t>תלהמ (צפת) 50056-09-24</w:t>
    </w:r>
    <w:r>
      <w:rPr>
        <w:rFonts w:ascii="David" w:hAnsi="David"/>
        <w:color w:val="000000"/>
        <w:sz w:val="22"/>
        <w:szCs w:val="22"/>
        <w:rtl/>
      </w:rPr>
      <w:tab/>
      <w:t xml:space="preserve"> פלונית נ' אלמוני</w:t>
    </w:r>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5C4020C"/>
    <w:multiLevelType w:val="hybridMultilevel"/>
    <w:tmpl w:val="8DFC7C20"/>
    <w:lvl w:ilvl="0">
      <w:start w:val="1"/>
      <w:numFmt w:val="decimal"/>
      <w:lvlText w:val="%1."/>
      <w:lvlJc w:val="left"/>
      <w:pPr>
        <w:tabs>
          <w:tab w:val="num" w:pos="716"/>
        </w:tabs>
        <w:ind w:left="716" w:hanging="690"/>
      </w:pPr>
      <w:rPr>
        <w:rFonts w:cs="Times New Roman"/>
        <w:b w:val="0"/>
        <w:bCs w:val="0"/>
      </w:rPr>
    </w:lvl>
    <w:lvl w:ilvl="1">
      <w:start w:val="1"/>
      <w:numFmt w:val="hebrew1"/>
      <w:lvlText w:val="%2."/>
      <w:lvlJc w:val="left"/>
      <w:pPr>
        <w:tabs>
          <w:tab w:val="num" w:pos="1106"/>
        </w:tabs>
        <w:ind w:left="1106" w:hanging="360"/>
      </w:pPr>
      <w:rPr>
        <w:rFonts w:ascii="David" w:hAnsi="David" w:cs="David" w:hint="default"/>
      </w:rPr>
    </w:lvl>
    <w:lvl w:ilvl="2">
      <w:start w:val="1"/>
      <w:numFmt w:val="lowerRoman"/>
      <w:lvlText w:val="%3."/>
      <w:lvlJc w:val="right"/>
      <w:pPr>
        <w:tabs>
          <w:tab w:val="num" w:pos="1826"/>
        </w:tabs>
        <w:ind w:left="1826" w:hanging="180"/>
      </w:pPr>
      <w:rPr>
        <w:rFonts w:cs="Times New Roman"/>
      </w:rPr>
    </w:lvl>
    <w:lvl w:ilvl="3">
      <w:start w:val="1"/>
      <w:numFmt w:val="decimal"/>
      <w:lvlText w:val="%4."/>
      <w:lvlJc w:val="left"/>
      <w:pPr>
        <w:tabs>
          <w:tab w:val="num" w:pos="2546"/>
        </w:tabs>
        <w:ind w:left="2546" w:hanging="360"/>
      </w:pPr>
      <w:rPr>
        <w:rFonts w:cs="Times New Roman"/>
      </w:rPr>
    </w:lvl>
    <w:lvl w:ilvl="4">
      <w:start w:val="1"/>
      <w:numFmt w:val="lowerLetter"/>
      <w:lvlText w:val="%5."/>
      <w:lvlJc w:val="left"/>
      <w:pPr>
        <w:tabs>
          <w:tab w:val="num" w:pos="3266"/>
        </w:tabs>
        <w:ind w:left="3266" w:hanging="360"/>
      </w:pPr>
      <w:rPr>
        <w:rFonts w:cs="Times New Roman"/>
      </w:rPr>
    </w:lvl>
    <w:lvl w:ilvl="5">
      <w:start w:val="1"/>
      <w:numFmt w:val="lowerRoman"/>
      <w:lvlText w:val="%6."/>
      <w:lvlJc w:val="right"/>
      <w:pPr>
        <w:tabs>
          <w:tab w:val="num" w:pos="3986"/>
        </w:tabs>
        <w:ind w:left="3986" w:hanging="180"/>
      </w:pPr>
      <w:rPr>
        <w:rFonts w:cs="Times New Roman"/>
      </w:rPr>
    </w:lvl>
    <w:lvl w:ilvl="6">
      <w:start w:val="1"/>
      <w:numFmt w:val="decimal"/>
      <w:lvlText w:val="%7."/>
      <w:lvlJc w:val="left"/>
      <w:pPr>
        <w:tabs>
          <w:tab w:val="num" w:pos="4706"/>
        </w:tabs>
        <w:ind w:left="4706" w:hanging="360"/>
      </w:pPr>
      <w:rPr>
        <w:rFonts w:cs="Times New Roman"/>
      </w:rPr>
    </w:lvl>
    <w:lvl w:ilvl="7">
      <w:start w:val="1"/>
      <w:numFmt w:val="lowerLetter"/>
      <w:lvlText w:val="%8."/>
      <w:lvlJc w:val="left"/>
      <w:pPr>
        <w:tabs>
          <w:tab w:val="num" w:pos="5426"/>
        </w:tabs>
        <w:ind w:left="5426" w:hanging="360"/>
      </w:pPr>
      <w:rPr>
        <w:rFonts w:cs="Times New Roman"/>
      </w:rPr>
    </w:lvl>
    <w:lvl w:ilvl="8">
      <w:start w:val="1"/>
      <w:numFmt w:val="lowerRoman"/>
      <w:lvlText w:val="%9."/>
      <w:lvlJc w:val="right"/>
      <w:pPr>
        <w:tabs>
          <w:tab w:val="num" w:pos="6146"/>
        </w:tabs>
        <w:ind w:left="614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D3"/>
    <w:rsid w:val="000932DD"/>
    <w:rsid w:val="00115723"/>
    <w:rsid w:val="00130205"/>
    <w:rsid w:val="002702D3"/>
    <w:rsid w:val="0029668F"/>
    <w:rsid w:val="002D53B5"/>
    <w:rsid w:val="00305BC0"/>
    <w:rsid w:val="007256FB"/>
    <w:rsid w:val="007B2D9E"/>
    <w:rsid w:val="007F6916"/>
    <w:rsid w:val="00826733"/>
    <w:rsid w:val="008F418F"/>
    <w:rsid w:val="00937989"/>
    <w:rsid w:val="0096399A"/>
    <w:rsid w:val="009E0835"/>
    <w:rsid w:val="00A27670"/>
    <w:rsid w:val="00A57AC3"/>
    <w:rsid w:val="00B05CA2"/>
    <w:rsid w:val="00B6319A"/>
    <w:rsid w:val="00B92735"/>
    <w:rsid w:val="00BD56D2"/>
    <w:rsid w:val="00DA6D89"/>
    <w:rsid w:val="00E07CBC"/>
    <w:rsid w:val="00E40FD2"/>
    <w:rsid w:val="00F75CE7"/>
    <w:rsid w:val="00FB1558"/>
  </w:rsids>
  <w:docVars>
    <w:docVar w:name="MyInfo" w:val="This document was extracted from Nevo's sit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15B3EBA"/>
  <w15:docId w15:val="{557D99D7-8C9A-4D1D-81D3-7112E9A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02D3"/>
    <w:pPr>
      <w:bidi/>
    </w:pPr>
    <w:rPr>
      <w:rFonts w:ascii="Times New Roman" w:eastAsia="Times New Roman" w:hAnsi="Times New Roman" w:cs="David"/>
      <w:noProof/>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2702D3"/>
    <w:pPr>
      <w:tabs>
        <w:tab w:val="center" w:pos="4153"/>
        <w:tab w:val="right" w:pos="8306"/>
      </w:tabs>
    </w:pPr>
  </w:style>
  <w:style w:type="character" w:customStyle="1" w:styleId="a">
    <w:name w:val="כותרת עליונה תו"/>
    <w:link w:val="Header"/>
    <w:rsid w:val="002702D3"/>
    <w:rPr>
      <w:rFonts w:ascii="Times New Roman" w:eastAsia="Times New Roman" w:hAnsi="Times New Roman" w:cs="David"/>
      <w:noProof/>
      <w:sz w:val="24"/>
      <w:szCs w:val="24"/>
    </w:rPr>
  </w:style>
  <w:style w:type="paragraph" w:styleId="Footer">
    <w:name w:val="footer"/>
    <w:basedOn w:val="Normal"/>
    <w:link w:val="a0"/>
    <w:rsid w:val="002702D3"/>
    <w:pPr>
      <w:tabs>
        <w:tab w:val="center" w:pos="4153"/>
        <w:tab w:val="right" w:pos="8306"/>
      </w:tabs>
    </w:pPr>
  </w:style>
  <w:style w:type="character" w:customStyle="1" w:styleId="a0">
    <w:name w:val="כותרת תחתונה תו"/>
    <w:link w:val="Footer"/>
    <w:rsid w:val="002702D3"/>
    <w:rPr>
      <w:rFonts w:ascii="Times New Roman" w:eastAsia="Times New Roman" w:hAnsi="Times New Roman" w:cs="David"/>
      <w:noProof/>
      <w:sz w:val="24"/>
      <w:szCs w:val="24"/>
    </w:rPr>
  </w:style>
  <w:style w:type="table" w:styleId="TableGrid">
    <w:name w:val="Table Grid"/>
    <w:basedOn w:val="TableNormal"/>
    <w:rsid w:val="002702D3"/>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702D3"/>
  </w:style>
  <w:style w:type="paragraph" w:customStyle="1" w:styleId="1">
    <w:name w:val="פיסקת רשימה1"/>
    <w:basedOn w:val="Normal"/>
    <w:qFormat/>
    <w:rsid w:val="002702D3"/>
    <w:pPr>
      <w:bidi w:val="0"/>
      <w:spacing w:after="200" w:line="276" w:lineRule="auto"/>
      <w:ind w:left="720"/>
      <w:contextualSpacing/>
    </w:pPr>
    <w:rPr>
      <w:rFonts w:ascii="Calibri" w:eastAsia="Calibri" w:hAnsi="Calibri" w:cs="Arial"/>
      <w:noProof w:val="0"/>
      <w:sz w:val="22"/>
      <w:szCs w:val="22"/>
    </w:rPr>
  </w:style>
  <w:style w:type="paragraph" w:customStyle="1" w:styleId="David">
    <w:name w:val="סגנון (עברית ושפות אחרות) David מיושר לשני הצדדים מרווח בין שורות..."/>
    <w:basedOn w:val="Normal"/>
    <w:rsid w:val="002702D3"/>
    <w:pPr>
      <w:spacing w:line="360" w:lineRule="auto"/>
      <w:jc w:val="both"/>
    </w:pPr>
    <w:rPr>
      <w:noProof w:val="0"/>
    </w:rPr>
  </w:style>
  <w:style w:type="character" w:customStyle="1" w:styleId="default">
    <w:name w:val="default"/>
    <w:rsid w:val="002702D3"/>
    <w:rPr>
      <w:rFonts w:ascii="Times New Roman" w:hAnsi="Times New Roman" w:cs="Times New Roman" w:hint="default"/>
      <w:sz w:val="26"/>
      <w:szCs w:val="26"/>
    </w:rPr>
  </w:style>
  <w:style w:type="paragraph" w:styleId="NormalWeb">
    <w:name w:val="Normal (Web)"/>
    <w:basedOn w:val="Normal"/>
    <w:rsid w:val="002702D3"/>
    <w:pPr>
      <w:bidi w:val="0"/>
      <w:spacing w:before="100" w:beforeAutospacing="1" w:after="100" w:afterAutospacing="1"/>
    </w:pPr>
    <w:rPr>
      <w:rFonts w:cs="Times New Roman"/>
      <w:noProof w:val="0"/>
    </w:rPr>
  </w:style>
  <w:style w:type="character" w:styleId="LineNumber">
    <w:name w:val="line number"/>
    <w:rsid w:val="002702D3"/>
  </w:style>
  <w:style w:type="character" w:styleId="Hyperlink">
    <w:name w:val="Hyperlink"/>
    <w:rsid w:val="00FB1558"/>
    <w:rPr>
      <w:color w:val="0000FF"/>
      <w:u w:val="single"/>
    </w:rPr>
  </w:style>
  <w:style w:type="paragraph" w:customStyle="1" w:styleId="2">
    <w:name w:val="פיסקת רשימה2"/>
    <w:basedOn w:val="Normal"/>
    <w:qFormat/>
    <w:rsid w:val="00E40FD2"/>
    <w:pPr>
      <w:bidi w:val="0"/>
      <w:spacing w:after="200" w:line="276" w:lineRule="auto"/>
      <w:ind w:left="720"/>
      <w:contextualSpacing/>
    </w:pPr>
    <w:rPr>
      <w:rFonts w:ascii="Calibri" w:eastAsia="Calibri" w:hAnsi="Calibri" w:cs="Arial"/>
      <w:noProof w:val="0"/>
      <w:sz w:val="22"/>
      <w:szCs w:val="22"/>
    </w:rPr>
  </w:style>
  <w:style w:type="paragraph" w:customStyle="1" w:styleId="10">
    <w:name w:val="ללא מרווח1"/>
    <w:qFormat/>
    <w:rsid w:val="00E40FD2"/>
    <w:pPr>
      <w:bidi/>
    </w:pPr>
    <w:rPr>
      <w:rFonts w:ascii="Times New Roman" w:eastAsia="Times New Roman" w:hAnsi="Times New Roman" w:cs="David"/>
      <w:noProo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nevo.co.il/case/23536970" TargetMode="External" /><Relationship Id="rId5" Type="http://schemas.openxmlformats.org/officeDocument/2006/relationships/hyperlink" Target="http://www.nevo.co.il/case/6186143" TargetMode="External" /><Relationship Id="rId6" Type="http://schemas.openxmlformats.org/officeDocument/2006/relationships/hyperlink" Target="http://www.nevo.co.il/case/26799142" TargetMode="External" /><Relationship Id="rId7" Type="http://schemas.openxmlformats.org/officeDocument/2006/relationships/hyperlink" Target="http://www.nevo.co.il/case/29506689" TargetMode="External" /><Relationship Id="rId8" Type="http://schemas.openxmlformats.org/officeDocument/2006/relationships/hyperlink" Target="http://www.nevo.co.il/case/25953858" TargetMode="External" /><Relationship Id="rId9" Type="http://schemas.openxmlformats.org/officeDocument/2006/relationships/image" Target="media/image1.jpeg" /></Relationships>
</file>

<file path=word/_rels/footer1.xml.rels><?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