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8356" w:type="dxa"/>
        <w:tblInd w:w="29" w:type="dxa"/>
        <w:tblLook w:val="04A0" w:firstRow="1" w:lastRow="0" w:firstColumn="1" w:lastColumn="0" w:noHBand="0" w:noVBand="1"/>
      </w:tblPr>
      <w:tblGrid>
        <w:gridCol w:w="8356"/>
      </w:tblGrid>
      <w:tr w:rsidR="00A75B89" w14:paraId="18EE54A7" w14:textId="77777777" w:rsidTr="00690A98">
        <w:trPr>
          <w:trHeight w:val="624"/>
        </w:trPr>
        <w:tc>
          <w:tcPr>
            <w:tcW w:w="8356" w:type="dxa"/>
            <w:shd w:val="clear" w:color="auto" w:fill="auto"/>
          </w:tcPr>
          <w:p w14:paraId="5AD783F6" w14:textId="77777777" w:rsidR="00690A98" w:rsidRPr="00690A98" w:rsidRDefault="00000000" w:rsidP="00D42BE0">
            <w:pPr>
              <w:pStyle w:val="a5"/>
              <w:jc w:val="center"/>
              <w:rPr>
                <w:rFonts w:ascii="Tahoma" w:hAnsi="Tahoma"/>
                <w:sz w:val="28"/>
                <w:szCs w:val="28"/>
                <w:rtl/>
              </w:rPr>
            </w:pPr>
            <w:r w:rsidRPr="00690A98">
              <w:rPr>
                <w:rFonts w:ascii="Tahoma" w:hAnsi="Tahoma" w:hint="cs"/>
                <w:b/>
                <w:bCs/>
                <w:sz w:val="28"/>
                <w:szCs w:val="28"/>
                <w:rtl/>
              </w:rPr>
              <w:t>בבית המשפט העליון בשבתו כבית משפט גבוה לצדק</w:t>
            </w:r>
          </w:p>
        </w:tc>
      </w:tr>
    </w:tbl>
    <w:p w14:paraId="0A324DCF" w14:textId="77777777" w:rsidR="00860920" w:rsidRPr="00690A98" w:rsidRDefault="007511C5" w:rsidP="003F781C">
      <w:pPr>
        <w:jc w:val="right"/>
        <w:rPr>
          <w:rFonts w:ascii="David" w:hAnsi="David"/>
          <w:b/>
          <w:bCs/>
          <w:sz w:val="28"/>
          <w:szCs w:val="28"/>
          <w:rtl/>
        </w:rPr>
      </w:pPr>
      <w:r w:rsidRPr="00690A98">
        <w:rPr>
          <w:rFonts w:ascii="David" w:hAnsi="David"/>
          <w:b/>
          <w:bCs/>
          <w:sz w:val="28"/>
          <w:szCs w:val="28"/>
          <w:rtl/>
        </w:rPr>
        <w:t>בג"ץ</w:t>
      </w:r>
      <w:r w:rsidR="00000000" w:rsidRPr="00690A98">
        <w:rPr>
          <w:rFonts w:ascii="David" w:hAnsi="David"/>
          <w:b/>
          <w:bCs/>
          <w:sz w:val="28"/>
          <w:szCs w:val="28"/>
          <w:rtl/>
        </w:rPr>
        <w:t xml:space="preserve"> </w:t>
      </w:r>
      <w:r w:rsidRPr="00690A98">
        <w:rPr>
          <w:rFonts w:ascii="David" w:hAnsi="David"/>
          <w:b/>
          <w:bCs/>
          <w:sz w:val="28"/>
          <w:szCs w:val="28"/>
        </w:rPr>
        <w:t>4842/24</w:t>
      </w:r>
    </w:p>
    <w:p w14:paraId="46DFA816" w14:textId="77777777" w:rsidR="0094424E" w:rsidRPr="00690A98" w:rsidRDefault="0094424E" w:rsidP="00D44968">
      <w:pPr>
        <w:suppressLineNumbers/>
        <w:rPr>
          <w:rtl/>
        </w:rPr>
      </w:pPr>
    </w:p>
    <w:tbl>
      <w:tblPr>
        <w:bidiVisual/>
        <w:tblW w:w="8398" w:type="dxa"/>
        <w:jc w:val="center"/>
        <w:tblLook w:val="01E0" w:firstRow="1" w:lastRow="1" w:firstColumn="1" w:lastColumn="1" w:noHBand="0" w:noVBand="0"/>
      </w:tblPr>
      <w:tblGrid>
        <w:gridCol w:w="2870"/>
        <w:gridCol w:w="5521"/>
        <w:gridCol w:w="7"/>
      </w:tblGrid>
      <w:tr w:rsidR="00A75B89" w14:paraId="7888DE84" w14:textId="77777777" w:rsidTr="00690A98">
        <w:trPr>
          <w:jc w:val="center"/>
        </w:trPr>
        <w:tc>
          <w:tcPr>
            <w:tcW w:w="2870" w:type="dxa"/>
            <w:shd w:val="clear" w:color="auto" w:fill="auto"/>
          </w:tcPr>
          <w:p w14:paraId="0D401C14" w14:textId="77777777" w:rsidR="0094424E" w:rsidRPr="00690A98" w:rsidRDefault="00105E0F" w:rsidP="00690A98">
            <w:pPr>
              <w:suppressLineNumbers/>
              <w:ind w:right="-295"/>
              <w:jc w:val="both"/>
              <w:rPr>
                <w:rFonts w:ascii="David" w:hAnsi="David"/>
                <w:sz w:val="28"/>
                <w:szCs w:val="28"/>
                <w:rtl/>
              </w:rPr>
            </w:pPr>
            <w:r w:rsidRPr="00690A98">
              <w:rPr>
                <w:rFonts w:ascii="David" w:hAnsi="David"/>
                <w:sz w:val="28"/>
                <w:szCs w:val="28"/>
                <w:rtl/>
              </w:rPr>
              <w:t>ל</w:t>
            </w:r>
            <w:r w:rsidR="00000000" w:rsidRPr="00690A98">
              <w:rPr>
                <w:rFonts w:ascii="David" w:hAnsi="David"/>
                <w:sz w:val="28"/>
                <w:szCs w:val="28"/>
                <w:rtl/>
              </w:rPr>
              <w:t>פני</w:t>
            </w:r>
            <w:r w:rsidRPr="00690A98">
              <w:rPr>
                <w:rFonts w:ascii="David" w:hAnsi="David"/>
                <w:sz w:val="28"/>
                <w:szCs w:val="28"/>
                <w:rtl/>
              </w:rPr>
              <w:t>:</w:t>
            </w:r>
          </w:p>
        </w:tc>
        <w:tc>
          <w:tcPr>
            <w:tcW w:w="5528" w:type="dxa"/>
            <w:gridSpan w:val="2"/>
            <w:shd w:val="clear" w:color="auto" w:fill="auto"/>
          </w:tcPr>
          <w:p w14:paraId="6F81D4B3" w14:textId="77777777" w:rsidR="00007DE0" w:rsidRPr="00690A98" w:rsidRDefault="006F5967" w:rsidP="00690A98">
            <w:pPr>
              <w:suppressLineNumbers/>
              <w:rPr>
                <w:rFonts w:ascii="David" w:hAnsi="David"/>
                <w:sz w:val="28"/>
                <w:szCs w:val="28"/>
                <w:rtl/>
              </w:rPr>
            </w:pPr>
            <w:bookmarkStart w:id="0" w:name="_Hlk183057724"/>
            <w:r w:rsidRPr="00690A98">
              <w:rPr>
                <w:rFonts w:ascii="David" w:hAnsi="David" w:hint="cs"/>
                <w:sz w:val="28"/>
                <w:szCs w:val="28"/>
                <w:rtl/>
              </w:rPr>
              <w:t xml:space="preserve">כבוד ממלא מקום הנשיא יצחק עמית </w:t>
            </w:r>
          </w:p>
          <w:p w14:paraId="62C9C206" w14:textId="77777777" w:rsidR="006F5967" w:rsidRPr="00690A98" w:rsidRDefault="00000000" w:rsidP="00690A98">
            <w:pPr>
              <w:suppressLineNumbers/>
              <w:rPr>
                <w:rFonts w:ascii="David" w:hAnsi="David"/>
                <w:sz w:val="28"/>
                <w:szCs w:val="28"/>
                <w:rtl/>
              </w:rPr>
            </w:pPr>
            <w:r w:rsidRPr="00690A98">
              <w:rPr>
                <w:rFonts w:ascii="David" w:hAnsi="David" w:hint="cs"/>
                <w:sz w:val="28"/>
                <w:szCs w:val="28"/>
                <w:rtl/>
              </w:rPr>
              <w:t xml:space="preserve">כבוד השופט עופר גרוסקופף </w:t>
            </w:r>
          </w:p>
          <w:p w14:paraId="712548B4" w14:textId="77777777" w:rsidR="006F5967" w:rsidRPr="00690A98" w:rsidRDefault="00000000" w:rsidP="00690A98">
            <w:pPr>
              <w:suppressLineNumbers/>
              <w:rPr>
                <w:rFonts w:ascii="David" w:hAnsi="David"/>
                <w:sz w:val="28"/>
                <w:szCs w:val="28"/>
                <w:rtl/>
              </w:rPr>
            </w:pPr>
            <w:r w:rsidRPr="00690A98">
              <w:rPr>
                <w:rFonts w:ascii="David" w:hAnsi="David" w:hint="cs"/>
                <w:sz w:val="28"/>
                <w:szCs w:val="28"/>
                <w:rtl/>
              </w:rPr>
              <w:t xml:space="preserve">כבוד השופטת רות רונן </w:t>
            </w:r>
          </w:p>
          <w:bookmarkEnd w:id="0"/>
          <w:p w14:paraId="3E630A24" w14:textId="77777777" w:rsidR="00991FC5" w:rsidRPr="00690A98" w:rsidRDefault="00991FC5" w:rsidP="00690A98">
            <w:pPr>
              <w:suppressLineNumbers/>
              <w:rPr>
                <w:rFonts w:ascii="David" w:hAnsi="David"/>
                <w:sz w:val="28"/>
                <w:szCs w:val="28"/>
              </w:rPr>
            </w:pPr>
          </w:p>
        </w:tc>
      </w:tr>
      <w:tr w:rsidR="00A75B89" w14:paraId="1CBDF172" w14:textId="77777777" w:rsidTr="00690A98">
        <w:trPr>
          <w:gridAfter w:val="1"/>
          <w:wAfter w:w="7" w:type="dxa"/>
          <w:jc w:val="center"/>
        </w:trPr>
        <w:tc>
          <w:tcPr>
            <w:tcW w:w="2870" w:type="dxa"/>
            <w:shd w:val="clear" w:color="auto" w:fill="auto"/>
          </w:tcPr>
          <w:p w14:paraId="35CD6D2F" w14:textId="77777777" w:rsidR="0094424E" w:rsidRPr="00690A98" w:rsidRDefault="00860920" w:rsidP="00690A98">
            <w:pPr>
              <w:suppressLineNumbers/>
              <w:rPr>
                <w:rFonts w:ascii="David" w:hAnsi="David"/>
                <w:sz w:val="28"/>
                <w:szCs w:val="28"/>
                <w:rtl/>
              </w:rPr>
            </w:pPr>
            <w:bookmarkStart w:id="1" w:name="LastJudge"/>
            <w:bookmarkStart w:id="2" w:name="FirstAppellant"/>
            <w:bookmarkEnd w:id="1"/>
            <w:r w:rsidRPr="00690A98">
              <w:rPr>
                <w:rFonts w:ascii="David" w:hAnsi="David" w:hint="cs"/>
                <w:sz w:val="28"/>
                <w:szCs w:val="28"/>
                <w:rtl/>
              </w:rPr>
              <w:t>ה</w:t>
            </w:r>
            <w:r w:rsidRPr="00690A98">
              <w:rPr>
                <w:rFonts w:ascii="David" w:hAnsi="David"/>
                <w:sz w:val="28"/>
                <w:szCs w:val="28"/>
                <w:rtl/>
              </w:rPr>
              <w:t>עותרים</w:t>
            </w:r>
            <w:r w:rsidRPr="00690A98">
              <w:rPr>
                <w:rFonts w:ascii="David" w:hAnsi="David" w:hint="cs"/>
                <w:sz w:val="28"/>
                <w:szCs w:val="28"/>
                <w:rtl/>
              </w:rPr>
              <w:t>:</w:t>
            </w:r>
          </w:p>
        </w:tc>
        <w:tc>
          <w:tcPr>
            <w:tcW w:w="5521" w:type="dxa"/>
            <w:shd w:val="clear" w:color="auto" w:fill="auto"/>
          </w:tcPr>
          <w:p w14:paraId="24E26809" w14:textId="77777777" w:rsidR="0094424E" w:rsidRPr="00690A98" w:rsidRDefault="007511C5" w:rsidP="00690A98">
            <w:pPr>
              <w:suppressLineNumbers/>
              <w:rPr>
                <w:rFonts w:ascii="David" w:hAnsi="David"/>
                <w:sz w:val="28"/>
                <w:szCs w:val="28"/>
              </w:rPr>
            </w:pPr>
            <w:r w:rsidRPr="00690A98">
              <w:rPr>
                <w:rFonts w:ascii="David" w:hAnsi="David"/>
                <w:sz w:val="28"/>
                <w:szCs w:val="28"/>
                <w:rtl/>
              </w:rPr>
              <w:t>דקל קליין</w:t>
            </w:r>
            <w:r w:rsidR="00F42F40" w:rsidRPr="00690A98">
              <w:rPr>
                <w:rFonts w:ascii="David" w:hAnsi="David" w:hint="cs"/>
                <w:sz w:val="28"/>
                <w:szCs w:val="28"/>
                <w:rtl/>
              </w:rPr>
              <w:t xml:space="preserve"> ו</w:t>
            </w:r>
            <w:r w:rsidRPr="00690A98">
              <w:rPr>
                <w:rFonts w:ascii="David" w:hAnsi="David"/>
                <w:sz w:val="28"/>
                <w:szCs w:val="28"/>
                <w:rtl/>
              </w:rPr>
              <w:t>- 7 אח'</w:t>
            </w:r>
          </w:p>
        </w:tc>
      </w:tr>
      <w:bookmarkEnd w:id="2"/>
      <w:tr w:rsidR="00A75B89" w14:paraId="41EA0E08" w14:textId="77777777" w:rsidTr="00690A98">
        <w:trPr>
          <w:gridAfter w:val="1"/>
          <w:wAfter w:w="7" w:type="dxa"/>
          <w:jc w:val="center"/>
        </w:trPr>
        <w:tc>
          <w:tcPr>
            <w:tcW w:w="8391" w:type="dxa"/>
            <w:gridSpan w:val="2"/>
            <w:shd w:val="clear" w:color="auto" w:fill="auto"/>
          </w:tcPr>
          <w:p w14:paraId="3DE46387" w14:textId="77777777" w:rsidR="0094424E" w:rsidRPr="00690A98" w:rsidRDefault="0094424E" w:rsidP="00690A98">
            <w:pPr>
              <w:suppressLineNumbers/>
              <w:rPr>
                <w:rFonts w:ascii="David" w:hAnsi="David"/>
                <w:sz w:val="28"/>
                <w:szCs w:val="28"/>
                <w:rtl/>
              </w:rPr>
            </w:pPr>
          </w:p>
          <w:p w14:paraId="7DCB05F6" w14:textId="77777777" w:rsidR="0094424E" w:rsidRPr="00690A98" w:rsidRDefault="00000000" w:rsidP="00690A98">
            <w:pPr>
              <w:suppressLineNumbers/>
              <w:ind w:left="2880"/>
              <w:rPr>
                <w:rFonts w:ascii="David" w:hAnsi="David"/>
                <w:spacing w:val="40"/>
                <w:sz w:val="28"/>
                <w:szCs w:val="28"/>
                <w:rtl/>
              </w:rPr>
            </w:pPr>
            <w:r w:rsidRPr="00690A98">
              <w:rPr>
                <w:rFonts w:ascii="David" w:hAnsi="David"/>
                <w:spacing w:val="40"/>
                <w:sz w:val="28"/>
                <w:szCs w:val="28"/>
                <w:rtl/>
              </w:rPr>
              <w:t>נגד</w:t>
            </w:r>
          </w:p>
          <w:p w14:paraId="70B098FD" w14:textId="77777777" w:rsidR="0094424E" w:rsidRPr="00690A98" w:rsidRDefault="0094424E" w:rsidP="00690A98">
            <w:pPr>
              <w:suppressLineNumbers/>
              <w:rPr>
                <w:rFonts w:ascii="David" w:hAnsi="David"/>
                <w:sz w:val="28"/>
                <w:szCs w:val="28"/>
              </w:rPr>
            </w:pPr>
          </w:p>
        </w:tc>
      </w:tr>
      <w:tr w:rsidR="00A75B89" w14:paraId="1C73A24C" w14:textId="77777777" w:rsidTr="00690A98">
        <w:trPr>
          <w:gridAfter w:val="1"/>
          <w:wAfter w:w="7" w:type="dxa"/>
          <w:jc w:val="center"/>
        </w:trPr>
        <w:tc>
          <w:tcPr>
            <w:tcW w:w="2870" w:type="dxa"/>
            <w:shd w:val="clear" w:color="auto" w:fill="auto"/>
          </w:tcPr>
          <w:p w14:paraId="4B2926F1" w14:textId="77777777" w:rsidR="0094424E" w:rsidRPr="00690A98" w:rsidRDefault="00860920" w:rsidP="00690A98">
            <w:pPr>
              <w:suppressLineNumbers/>
              <w:rPr>
                <w:rFonts w:ascii="David" w:hAnsi="David"/>
                <w:sz w:val="28"/>
                <w:szCs w:val="28"/>
              </w:rPr>
            </w:pPr>
            <w:r w:rsidRPr="00690A98">
              <w:rPr>
                <w:rFonts w:ascii="David" w:hAnsi="David" w:hint="cs"/>
                <w:sz w:val="28"/>
                <w:szCs w:val="28"/>
                <w:rtl/>
              </w:rPr>
              <w:t>ה</w:t>
            </w:r>
            <w:r w:rsidRPr="00690A98">
              <w:rPr>
                <w:rFonts w:ascii="David" w:hAnsi="David"/>
                <w:sz w:val="28"/>
                <w:szCs w:val="28"/>
                <w:rtl/>
              </w:rPr>
              <w:t>משיבים</w:t>
            </w:r>
            <w:r w:rsidRPr="00690A98">
              <w:rPr>
                <w:rFonts w:ascii="David" w:hAnsi="David" w:hint="cs"/>
                <w:sz w:val="28"/>
                <w:szCs w:val="28"/>
                <w:rtl/>
              </w:rPr>
              <w:t>:</w:t>
            </w:r>
          </w:p>
        </w:tc>
        <w:tc>
          <w:tcPr>
            <w:tcW w:w="5521" w:type="dxa"/>
            <w:shd w:val="clear" w:color="auto" w:fill="auto"/>
          </w:tcPr>
          <w:p w14:paraId="04C7C3D2" w14:textId="77777777" w:rsidR="00EE6389" w:rsidRPr="00690A98" w:rsidRDefault="007511C5" w:rsidP="00690A98">
            <w:pPr>
              <w:suppressLineNumbers/>
              <w:rPr>
                <w:rFonts w:ascii="David" w:hAnsi="David"/>
                <w:sz w:val="28"/>
                <w:szCs w:val="28"/>
                <w:rtl/>
              </w:rPr>
            </w:pPr>
            <w:r w:rsidRPr="00690A98">
              <w:rPr>
                <w:rFonts w:ascii="David" w:hAnsi="David"/>
                <w:sz w:val="28"/>
                <w:szCs w:val="28"/>
                <w:rtl/>
              </w:rPr>
              <w:t>1</w:t>
            </w:r>
            <w:r w:rsidR="0094424E" w:rsidRPr="00690A98">
              <w:rPr>
                <w:rFonts w:ascii="David" w:hAnsi="David"/>
                <w:sz w:val="28"/>
                <w:szCs w:val="28"/>
                <w:rtl/>
              </w:rPr>
              <w:t xml:space="preserve">. </w:t>
            </w:r>
            <w:r w:rsidRPr="00690A98">
              <w:rPr>
                <w:rFonts w:ascii="David" w:hAnsi="David"/>
                <w:sz w:val="28"/>
                <w:szCs w:val="28"/>
                <w:rtl/>
              </w:rPr>
              <w:t>צבא הגנה לישראל מפקד זרוע הים</w:t>
            </w:r>
          </w:p>
          <w:p w14:paraId="7EB001B6" w14:textId="77777777" w:rsidR="00EE6389" w:rsidRPr="00690A98" w:rsidRDefault="007511C5" w:rsidP="00690A98">
            <w:pPr>
              <w:suppressLineNumbers/>
              <w:rPr>
                <w:rFonts w:ascii="David" w:hAnsi="David"/>
                <w:sz w:val="28"/>
                <w:szCs w:val="28"/>
                <w:rtl/>
              </w:rPr>
            </w:pPr>
            <w:r w:rsidRPr="00690A98">
              <w:rPr>
                <w:rFonts w:ascii="David" w:hAnsi="David"/>
                <w:sz w:val="28"/>
                <w:szCs w:val="28"/>
                <w:rtl/>
              </w:rPr>
              <w:t>2</w:t>
            </w:r>
            <w:r w:rsidR="0094424E" w:rsidRPr="00690A98">
              <w:rPr>
                <w:rFonts w:ascii="David" w:hAnsi="David"/>
                <w:sz w:val="28"/>
                <w:szCs w:val="28"/>
                <w:rtl/>
              </w:rPr>
              <w:t xml:space="preserve">. </w:t>
            </w:r>
            <w:r w:rsidRPr="00690A98">
              <w:rPr>
                <w:rFonts w:ascii="David" w:hAnsi="David"/>
                <w:sz w:val="28"/>
                <w:szCs w:val="28"/>
                <w:rtl/>
              </w:rPr>
              <w:t>משטרת ישראל</w:t>
            </w:r>
            <w:r w:rsidR="00F42F40" w:rsidRPr="00690A98">
              <w:rPr>
                <w:rFonts w:ascii="David" w:hAnsi="David" w:hint="cs"/>
                <w:sz w:val="28"/>
                <w:szCs w:val="28"/>
                <w:rtl/>
              </w:rPr>
              <w:t xml:space="preserve"> </w:t>
            </w:r>
            <w:r w:rsidRPr="00690A98">
              <w:rPr>
                <w:rFonts w:ascii="David" w:hAnsi="David"/>
                <w:sz w:val="28"/>
                <w:szCs w:val="28"/>
                <w:rtl/>
              </w:rPr>
              <w:t>- נהריה</w:t>
            </w:r>
          </w:p>
          <w:p w14:paraId="413EACB0" w14:textId="77777777" w:rsidR="00EE6389" w:rsidRPr="00690A98" w:rsidRDefault="007511C5" w:rsidP="00690A98">
            <w:pPr>
              <w:suppressLineNumbers/>
              <w:rPr>
                <w:rFonts w:ascii="David" w:hAnsi="David"/>
                <w:sz w:val="28"/>
                <w:szCs w:val="28"/>
                <w:rtl/>
              </w:rPr>
            </w:pPr>
            <w:r w:rsidRPr="00690A98">
              <w:rPr>
                <w:rFonts w:ascii="David" w:hAnsi="David"/>
                <w:sz w:val="28"/>
                <w:szCs w:val="28"/>
                <w:rtl/>
              </w:rPr>
              <w:t>3</w:t>
            </w:r>
            <w:r w:rsidR="0094424E" w:rsidRPr="00690A98">
              <w:rPr>
                <w:rFonts w:ascii="David" w:hAnsi="David"/>
                <w:sz w:val="28"/>
                <w:szCs w:val="28"/>
                <w:rtl/>
              </w:rPr>
              <w:t xml:space="preserve">. </w:t>
            </w:r>
            <w:r w:rsidRPr="00690A98">
              <w:rPr>
                <w:rFonts w:ascii="David" w:hAnsi="David"/>
                <w:sz w:val="28"/>
                <w:szCs w:val="28"/>
                <w:rtl/>
              </w:rPr>
              <w:t>עיריית נהריה</w:t>
            </w:r>
          </w:p>
        </w:tc>
      </w:tr>
      <w:tr w:rsidR="00A75B89" w14:paraId="17F6CBC5" w14:textId="77777777" w:rsidTr="00690A98">
        <w:trPr>
          <w:gridAfter w:val="1"/>
          <w:wAfter w:w="7" w:type="dxa"/>
          <w:jc w:val="center"/>
        </w:trPr>
        <w:tc>
          <w:tcPr>
            <w:tcW w:w="2870" w:type="dxa"/>
            <w:shd w:val="clear" w:color="auto" w:fill="auto"/>
          </w:tcPr>
          <w:p w14:paraId="1B260698" w14:textId="77777777" w:rsidR="00860920" w:rsidRPr="00690A98" w:rsidRDefault="00860920" w:rsidP="00690A98">
            <w:pPr>
              <w:suppressLineNumbers/>
              <w:rPr>
                <w:rFonts w:ascii="David" w:hAnsi="David"/>
                <w:sz w:val="28"/>
                <w:szCs w:val="28"/>
                <w:rtl/>
              </w:rPr>
            </w:pPr>
          </w:p>
        </w:tc>
        <w:tc>
          <w:tcPr>
            <w:tcW w:w="5521" w:type="dxa"/>
            <w:shd w:val="clear" w:color="auto" w:fill="auto"/>
            <w:vAlign w:val="center"/>
          </w:tcPr>
          <w:p w14:paraId="1CD7A58D" w14:textId="77777777" w:rsidR="00B01789" w:rsidRPr="00690A98" w:rsidRDefault="008F4875" w:rsidP="00690A98">
            <w:pPr>
              <w:suppressLineNumbers/>
              <w:spacing w:before="240" w:after="240"/>
              <w:jc w:val="both"/>
              <w:rPr>
                <w:rFonts w:ascii="David" w:hAnsi="David"/>
                <w:rtl/>
              </w:rPr>
            </w:pPr>
            <w:r w:rsidRPr="00690A98">
              <w:rPr>
                <w:rFonts w:ascii="David" w:hAnsi="David" w:hint="cs"/>
                <w:rtl/>
              </w:rPr>
              <w:t>עתירה למתן צו על תנאי</w:t>
            </w:r>
            <w:r w:rsidR="00F75C25" w:rsidRPr="00690A98">
              <w:rPr>
                <w:rFonts w:ascii="David" w:hAnsi="David" w:hint="cs"/>
                <w:rtl/>
              </w:rPr>
              <w:t xml:space="preserve"> ובקשה למתן צו ביניים</w:t>
            </w:r>
            <w:r w:rsidR="00F42F40" w:rsidRPr="00690A98">
              <w:rPr>
                <w:rFonts w:ascii="David" w:hAnsi="David" w:hint="cs"/>
                <w:rtl/>
              </w:rPr>
              <w:t>; תגוב</w:t>
            </w:r>
            <w:r w:rsidR="00F75C25" w:rsidRPr="00690A98">
              <w:rPr>
                <w:rFonts w:ascii="David" w:hAnsi="David" w:hint="cs"/>
                <w:rtl/>
              </w:rPr>
              <w:t>ה מקדמית לעתירה ולבקשה למתן צו ביניים מטעם המשיבים 2-1; תגובה מקדמית לעתירה ולבקשה למתן צו ביניים מטעם המשיבה 3</w:t>
            </w:r>
          </w:p>
        </w:tc>
      </w:tr>
      <w:tr w:rsidR="00A75B89" w14:paraId="7A2150AB" w14:textId="77777777" w:rsidTr="00690A98">
        <w:trPr>
          <w:gridAfter w:val="1"/>
          <w:wAfter w:w="7" w:type="dxa"/>
          <w:jc w:val="center"/>
        </w:trPr>
        <w:tc>
          <w:tcPr>
            <w:tcW w:w="2870" w:type="dxa"/>
            <w:shd w:val="clear" w:color="auto" w:fill="auto"/>
          </w:tcPr>
          <w:p w14:paraId="71F40B39" w14:textId="77777777" w:rsidR="00FE3FE3" w:rsidRPr="00690A98" w:rsidRDefault="00860920" w:rsidP="00690A98">
            <w:pPr>
              <w:suppressLineNumbers/>
              <w:rPr>
                <w:rFonts w:ascii="David" w:hAnsi="David"/>
                <w:sz w:val="28"/>
                <w:szCs w:val="28"/>
                <w:rtl/>
              </w:rPr>
            </w:pPr>
            <w:r w:rsidRPr="00690A98">
              <w:rPr>
                <w:rFonts w:ascii="David" w:hAnsi="David" w:hint="cs"/>
                <w:sz w:val="28"/>
                <w:szCs w:val="28"/>
                <w:rtl/>
              </w:rPr>
              <w:t>בשם ה</w:t>
            </w:r>
            <w:r w:rsidRPr="00690A98">
              <w:rPr>
                <w:rFonts w:ascii="David" w:hAnsi="David"/>
                <w:sz w:val="28"/>
                <w:szCs w:val="28"/>
                <w:rtl/>
              </w:rPr>
              <w:t>עותרים</w:t>
            </w:r>
            <w:r w:rsidRPr="00690A98">
              <w:rPr>
                <w:rFonts w:ascii="David" w:hAnsi="David" w:hint="cs"/>
                <w:sz w:val="28"/>
                <w:szCs w:val="28"/>
                <w:rtl/>
              </w:rPr>
              <w:t>:</w:t>
            </w:r>
          </w:p>
        </w:tc>
        <w:tc>
          <w:tcPr>
            <w:tcW w:w="5521" w:type="dxa"/>
            <w:shd w:val="clear" w:color="auto" w:fill="auto"/>
          </w:tcPr>
          <w:p w14:paraId="3A5F6E90" w14:textId="77777777" w:rsidR="00105E0F" w:rsidRPr="00690A98" w:rsidRDefault="00B01789" w:rsidP="00690A98">
            <w:pPr>
              <w:suppressLineNumbers/>
              <w:rPr>
                <w:rFonts w:ascii="David" w:hAnsi="David"/>
                <w:sz w:val="28"/>
                <w:szCs w:val="28"/>
                <w:rtl/>
              </w:rPr>
            </w:pPr>
            <w:r w:rsidRPr="00690A98">
              <w:rPr>
                <w:rFonts w:ascii="David" w:hAnsi="David" w:hint="cs"/>
                <w:sz w:val="28"/>
                <w:szCs w:val="28"/>
                <w:rtl/>
              </w:rPr>
              <w:t xml:space="preserve">עו"ד </w:t>
            </w:r>
            <w:r w:rsidRPr="00690A98">
              <w:rPr>
                <w:rFonts w:ascii="David" w:hAnsi="David"/>
                <w:sz w:val="28"/>
                <w:szCs w:val="28"/>
                <w:rtl/>
              </w:rPr>
              <w:t>מימון</w:t>
            </w:r>
            <w:r w:rsidR="00000000" w:rsidRPr="00690A98">
              <w:rPr>
                <w:rFonts w:ascii="David" w:hAnsi="David"/>
                <w:sz w:val="28"/>
                <w:szCs w:val="28"/>
                <w:rtl/>
              </w:rPr>
              <w:t xml:space="preserve"> </w:t>
            </w:r>
            <w:r w:rsidRPr="00690A98">
              <w:rPr>
                <w:rFonts w:ascii="David" w:hAnsi="David"/>
                <w:sz w:val="28"/>
                <w:szCs w:val="28"/>
                <w:rtl/>
              </w:rPr>
              <w:t>פאר</w:t>
            </w:r>
            <w:r w:rsidRPr="00690A98">
              <w:rPr>
                <w:rFonts w:ascii="David" w:hAnsi="David" w:hint="cs"/>
                <w:sz w:val="28"/>
                <w:szCs w:val="28"/>
                <w:rtl/>
              </w:rPr>
              <w:t xml:space="preserve"> </w:t>
            </w:r>
          </w:p>
        </w:tc>
      </w:tr>
      <w:tr w:rsidR="00A75B89" w14:paraId="5A5767BB" w14:textId="77777777" w:rsidTr="00690A98">
        <w:trPr>
          <w:gridAfter w:val="1"/>
          <w:wAfter w:w="7" w:type="dxa"/>
          <w:jc w:val="center"/>
        </w:trPr>
        <w:tc>
          <w:tcPr>
            <w:tcW w:w="2870" w:type="dxa"/>
            <w:shd w:val="clear" w:color="auto" w:fill="auto"/>
          </w:tcPr>
          <w:p w14:paraId="6B209F76" w14:textId="77777777" w:rsidR="00105E0F" w:rsidRPr="00690A98" w:rsidRDefault="00860920" w:rsidP="00690A98">
            <w:pPr>
              <w:suppressLineNumbers/>
              <w:rPr>
                <w:rFonts w:ascii="David" w:hAnsi="David"/>
                <w:sz w:val="28"/>
                <w:szCs w:val="28"/>
                <w:rtl/>
              </w:rPr>
            </w:pPr>
            <w:bookmarkStart w:id="3" w:name="FirstLawyer"/>
            <w:r w:rsidRPr="00690A98">
              <w:rPr>
                <w:rFonts w:ascii="David" w:hAnsi="David" w:hint="cs"/>
                <w:sz w:val="28"/>
                <w:szCs w:val="28"/>
                <w:rtl/>
              </w:rPr>
              <w:t>בשם ה</w:t>
            </w:r>
            <w:r w:rsidRPr="00690A98">
              <w:rPr>
                <w:rFonts w:ascii="David" w:hAnsi="David"/>
                <w:sz w:val="28"/>
                <w:szCs w:val="28"/>
                <w:rtl/>
              </w:rPr>
              <w:t>משיבים</w:t>
            </w:r>
            <w:r w:rsidR="00F75C25" w:rsidRPr="00690A98">
              <w:rPr>
                <w:rFonts w:ascii="David" w:hAnsi="David" w:hint="cs"/>
                <w:sz w:val="28"/>
                <w:szCs w:val="28"/>
                <w:rtl/>
              </w:rPr>
              <w:t xml:space="preserve"> 2-1</w:t>
            </w:r>
            <w:r w:rsidRPr="00690A98">
              <w:rPr>
                <w:rFonts w:ascii="David" w:hAnsi="David" w:hint="cs"/>
                <w:sz w:val="28"/>
                <w:szCs w:val="28"/>
                <w:rtl/>
              </w:rPr>
              <w:t>:</w:t>
            </w:r>
          </w:p>
          <w:p w14:paraId="5D926F12" w14:textId="77777777" w:rsidR="00F75C25" w:rsidRPr="00690A98" w:rsidRDefault="00000000" w:rsidP="00690A98">
            <w:pPr>
              <w:suppressLineNumbers/>
              <w:rPr>
                <w:rFonts w:ascii="David" w:hAnsi="David"/>
                <w:sz w:val="28"/>
                <w:szCs w:val="28"/>
              </w:rPr>
            </w:pPr>
            <w:r w:rsidRPr="00690A98">
              <w:rPr>
                <w:rFonts w:ascii="David" w:hAnsi="David" w:hint="cs"/>
                <w:sz w:val="28"/>
                <w:szCs w:val="28"/>
                <w:rtl/>
              </w:rPr>
              <w:t>בשם המשיבה 3:</w:t>
            </w:r>
          </w:p>
        </w:tc>
        <w:tc>
          <w:tcPr>
            <w:tcW w:w="5521" w:type="dxa"/>
            <w:shd w:val="clear" w:color="auto" w:fill="auto"/>
          </w:tcPr>
          <w:p w14:paraId="55BBF375" w14:textId="77777777" w:rsidR="00105E0F" w:rsidRPr="00690A98" w:rsidRDefault="00B01789" w:rsidP="00690A98">
            <w:pPr>
              <w:suppressLineNumbers/>
              <w:rPr>
                <w:rFonts w:ascii="David" w:hAnsi="David"/>
                <w:sz w:val="28"/>
                <w:szCs w:val="28"/>
                <w:rtl/>
              </w:rPr>
            </w:pPr>
            <w:r w:rsidRPr="00690A98">
              <w:rPr>
                <w:rFonts w:ascii="David" w:hAnsi="David" w:hint="cs"/>
                <w:sz w:val="28"/>
                <w:szCs w:val="28"/>
                <w:rtl/>
              </w:rPr>
              <w:t xml:space="preserve">עו"ד </w:t>
            </w:r>
            <w:r w:rsidR="00F75C25" w:rsidRPr="00690A98">
              <w:rPr>
                <w:rFonts w:ascii="David" w:hAnsi="David" w:hint="cs"/>
                <w:sz w:val="28"/>
                <w:szCs w:val="28"/>
                <w:rtl/>
              </w:rPr>
              <w:t>מוריה פרימן; עו"ד נועה רוזנברג רכטר</w:t>
            </w:r>
          </w:p>
          <w:p w14:paraId="2677BB41" w14:textId="77777777" w:rsidR="00F75C25" w:rsidRPr="00690A98" w:rsidRDefault="00000000" w:rsidP="00690A98">
            <w:pPr>
              <w:suppressLineNumbers/>
              <w:rPr>
                <w:rFonts w:ascii="David" w:hAnsi="David"/>
                <w:sz w:val="28"/>
                <w:szCs w:val="28"/>
                <w:rtl/>
              </w:rPr>
            </w:pPr>
            <w:r w:rsidRPr="00690A98">
              <w:rPr>
                <w:rFonts w:ascii="David" w:hAnsi="David" w:hint="cs"/>
                <w:sz w:val="28"/>
                <w:szCs w:val="28"/>
                <w:rtl/>
              </w:rPr>
              <w:t>עו"ד אבי גולדהמר</w:t>
            </w:r>
          </w:p>
        </w:tc>
      </w:tr>
      <w:bookmarkEnd w:id="3"/>
    </w:tbl>
    <w:p w14:paraId="663356D6" w14:textId="77777777" w:rsidR="00690A98" w:rsidRPr="00690A98" w:rsidRDefault="00690A98" w:rsidP="00690A98">
      <w:pPr>
        <w:suppressLineNumbers/>
        <w:spacing w:before="120" w:after="120" w:line="240" w:lineRule="exact"/>
        <w:ind w:left="283" w:hanging="283"/>
        <w:jc w:val="both"/>
        <w:rPr>
          <w:rFonts w:ascii="FrankRuehl" w:hAnsi="FrankRuehl" w:cs="FrankRuehl"/>
          <w:rtl/>
        </w:rPr>
      </w:pPr>
    </w:p>
    <w:p w14:paraId="7A0F395C" w14:textId="77777777" w:rsidR="0094424E" w:rsidRPr="00F50282" w:rsidRDefault="0094424E" w:rsidP="00F50282">
      <w:pPr>
        <w:suppressLineNumbers/>
        <w:rPr>
          <w:rFonts w:ascii="David" w:hAnsi="David"/>
          <w:sz w:val="36"/>
          <w:szCs w:val="36"/>
          <w:rtl/>
        </w:rPr>
      </w:pPr>
      <w:bookmarkStart w:id="4" w:name="LawTable"/>
      <w:bookmarkStart w:id="5" w:name="LawTable_End"/>
      <w:bookmarkEnd w:id="4"/>
      <w:bookmarkEnd w:id="5"/>
    </w:p>
    <w:tbl>
      <w:tblPr>
        <w:bidiVisual/>
        <w:tblW w:w="8369" w:type="dxa"/>
        <w:jc w:val="center"/>
        <w:tblLook w:val="01E0" w:firstRow="1" w:lastRow="1" w:firstColumn="1" w:lastColumn="1" w:noHBand="0" w:noVBand="0"/>
      </w:tblPr>
      <w:tblGrid>
        <w:gridCol w:w="8369"/>
      </w:tblGrid>
      <w:tr w:rsidR="00A75B89" w14:paraId="11BA065E" w14:textId="77777777" w:rsidTr="00690A98">
        <w:trPr>
          <w:jc w:val="center"/>
        </w:trPr>
        <w:tc>
          <w:tcPr>
            <w:tcW w:w="8369" w:type="dxa"/>
            <w:shd w:val="clear" w:color="auto" w:fill="auto"/>
          </w:tcPr>
          <w:p w14:paraId="35187509" w14:textId="77777777" w:rsidR="00690A98" w:rsidRPr="00690A98" w:rsidRDefault="00000000" w:rsidP="00690A98">
            <w:pPr>
              <w:bidi w:val="0"/>
              <w:jc w:val="center"/>
              <w:rPr>
                <w:rFonts w:ascii="David" w:hAnsi="David"/>
                <w:b/>
                <w:bCs/>
                <w:spacing w:val="30"/>
                <w:sz w:val="28"/>
                <w:szCs w:val="28"/>
                <w:u w:val="single"/>
                <w:rtl/>
              </w:rPr>
            </w:pPr>
            <w:bookmarkStart w:id="6" w:name="PsakDin" w:colFirst="0" w:colLast="0"/>
            <w:r w:rsidRPr="00690A98">
              <w:rPr>
                <w:rFonts w:ascii="David" w:hAnsi="David"/>
                <w:b/>
                <w:bCs/>
                <w:spacing w:val="30"/>
                <w:sz w:val="28"/>
                <w:szCs w:val="28"/>
                <w:u w:val="single"/>
                <w:rtl/>
              </w:rPr>
              <w:t>פסק-דין</w:t>
            </w:r>
          </w:p>
          <w:p w14:paraId="064EA26E" w14:textId="77777777" w:rsidR="00D44968" w:rsidRPr="00690A98" w:rsidRDefault="00D44968" w:rsidP="00690A98">
            <w:pPr>
              <w:bidi w:val="0"/>
              <w:jc w:val="center"/>
              <w:rPr>
                <w:rFonts w:ascii="David" w:hAnsi="David"/>
                <w:b/>
                <w:bCs/>
                <w:spacing w:val="30"/>
                <w:sz w:val="28"/>
                <w:szCs w:val="28"/>
                <w:u w:val="single"/>
              </w:rPr>
            </w:pPr>
          </w:p>
        </w:tc>
      </w:tr>
    </w:tbl>
    <w:p w14:paraId="289304AA" w14:textId="77777777" w:rsidR="00694556" w:rsidRPr="00BC5A54" w:rsidRDefault="00694556">
      <w:pPr>
        <w:spacing w:line="360" w:lineRule="auto"/>
        <w:jc w:val="both"/>
        <w:rPr>
          <w:rFonts w:ascii="FrankRuehl" w:hAnsi="FrankRuehl" w:cs="FrankRuehl"/>
          <w:spacing w:val="10"/>
          <w:sz w:val="28"/>
          <w:szCs w:val="28"/>
          <w:rtl/>
        </w:rPr>
      </w:pPr>
      <w:bookmarkStart w:id="7" w:name="NGCSBookmark"/>
      <w:bookmarkEnd w:id="6"/>
      <w:bookmarkEnd w:id="7"/>
    </w:p>
    <w:p w14:paraId="2B26B04C" w14:textId="77777777" w:rsidR="00694556" w:rsidRDefault="00991FC5" w:rsidP="00272E3B">
      <w:pPr>
        <w:spacing w:line="360" w:lineRule="auto"/>
        <w:jc w:val="both"/>
        <w:rPr>
          <w:rFonts w:ascii="Century" w:hAnsi="Century" w:cs="Miriam"/>
          <w:b/>
          <w:sz w:val="22"/>
          <w:u w:val="single"/>
          <w:rtl/>
        </w:rPr>
      </w:pPr>
      <w:r>
        <w:rPr>
          <w:rFonts w:ascii="Century" w:hAnsi="Century" w:cs="Miriam" w:hint="eastAsia"/>
          <w:b/>
          <w:sz w:val="22"/>
          <w:u w:val="single"/>
          <w:rtl/>
        </w:rPr>
        <w:t>ממלא מקום הנשיא</w:t>
      </w:r>
      <w:r w:rsidRPr="00991FC5">
        <w:rPr>
          <w:rFonts w:ascii="Century" w:hAnsi="Century" w:cs="Miriam"/>
          <w:b/>
          <w:sz w:val="22"/>
          <w:u w:val="single"/>
          <w:rtl/>
        </w:rPr>
        <w:t xml:space="preserve"> </w:t>
      </w:r>
      <w:r>
        <w:rPr>
          <w:rFonts w:ascii="Century" w:hAnsi="Century" w:cs="Miriam"/>
          <w:b/>
          <w:sz w:val="22"/>
          <w:u w:val="single"/>
          <w:rtl/>
        </w:rPr>
        <w:t>יצחק עמית</w:t>
      </w:r>
      <w:r w:rsidRPr="00991FC5">
        <w:rPr>
          <w:rFonts w:ascii="Century" w:hAnsi="Century" w:cs="Miriam" w:hint="cs"/>
          <w:b/>
          <w:sz w:val="22"/>
          <w:u w:val="single"/>
          <w:rtl/>
        </w:rPr>
        <w:t>:</w:t>
      </w:r>
    </w:p>
    <w:p w14:paraId="0646127A" w14:textId="77777777" w:rsidR="00272E3B" w:rsidRDefault="00272E3B" w:rsidP="00272E3B">
      <w:pPr>
        <w:spacing w:line="360" w:lineRule="auto"/>
        <w:jc w:val="both"/>
        <w:rPr>
          <w:rFonts w:ascii="Century" w:hAnsi="Century" w:cs="Miriam"/>
          <w:b/>
          <w:sz w:val="22"/>
          <w:u w:val="single"/>
          <w:rtl/>
        </w:rPr>
      </w:pPr>
    </w:p>
    <w:p w14:paraId="493F9502" w14:textId="77777777" w:rsidR="00DA493C" w:rsidRDefault="00000000" w:rsidP="00DA493C">
      <w:pPr>
        <w:pStyle w:val="Ruller40"/>
      </w:pPr>
      <w:r>
        <w:rPr>
          <w:rtl/>
        </w:rPr>
        <w:tab/>
        <w:t xml:space="preserve">עניינה של העתירה בצווים שהוציא המשיב 1, מפקד זרוע הים (להלן: </w:t>
      </w:r>
      <w:r>
        <w:rPr>
          <w:rFonts w:ascii="Miriam" w:hAnsi="Miriam" w:cs="Miriam"/>
          <w:sz w:val="20"/>
          <w:szCs w:val="24"/>
          <w:rtl/>
        </w:rPr>
        <w:t>המפקד הצבאי</w:t>
      </w:r>
      <w:r>
        <w:rPr>
          <w:rtl/>
        </w:rPr>
        <w:t>), לסגירת שטח ימי במעגנת נהריה, האוסרים על הימצאותם של כלי שיט קטנים במקום, אלא בכפוף למתן אישור מראש על ידי המפקד הצבאי.</w:t>
      </w:r>
    </w:p>
    <w:p w14:paraId="27443A88" w14:textId="77777777" w:rsidR="00DA493C" w:rsidRDefault="00DA493C" w:rsidP="00DA493C">
      <w:pPr>
        <w:pStyle w:val="Ruller40"/>
        <w:rPr>
          <w:rtl/>
        </w:rPr>
      </w:pPr>
    </w:p>
    <w:p w14:paraId="7F862DD9" w14:textId="77777777" w:rsidR="00DA493C" w:rsidRDefault="00000000" w:rsidP="00DA493C">
      <w:pPr>
        <w:pStyle w:val="Ruller40"/>
        <w:rPr>
          <w:rtl/>
        </w:rPr>
      </w:pPr>
      <w:r>
        <w:rPr>
          <w:rtl/>
        </w:rPr>
        <w:t>1.</w:t>
      </w:r>
      <w:r>
        <w:rPr>
          <w:rtl/>
        </w:rPr>
        <w:tab/>
        <w:t xml:space="preserve">העותרים, דייגים מקצועיים בעלי כלי שיט קטנים העוגנים במעגנה, מבקשים כי נורה למפקד הצבאי לבטל את השינוי שביצע בצו סגירת השטח הימי, המורה על איסור שהיית כלי שיט קטנים במעגנת נהריה; לחלופין כי נורה לו ליתן אישור להותיר את כלי השיט שבבעלותם במעגנה בכל שעות היממה; כי ניתן צו האוסר על משטרת ישראל ועיריית נהריה (להלן יחד: </w:t>
      </w:r>
      <w:r>
        <w:rPr>
          <w:rFonts w:ascii="Miriam" w:hAnsi="Miriam" w:cs="Miriam"/>
          <w:sz w:val="20"/>
          <w:szCs w:val="24"/>
          <w:rtl/>
        </w:rPr>
        <w:t>המשיבות 2 ו-3</w:t>
      </w:r>
      <w:r>
        <w:rPr>
          <w:rtl/>
        </w:rPr>
        <w:t>) לפעול להוצאת כלי השיט הקטנים שבבעלותם מהמעגנה.</w:t>
      </w:r>
    </w:p>
    <w:p w14:paraId="5999D1BF" w14:textId="77777777" w:rsidR="00DA493C" w:rsidRDefault="00DA493C" w:rsidP="00DA493C">
      <w:pPr>
        <w:pStyle w:val="Ruller40"/>
        <w:rPr>
          <w:rtl/>
        </w:rPr>
      </w:pPr>
    </w:p>
    <w:p w14:paraId="7D106639" w14:textId="77777777" w:rsidR="00DA493C" w:rsidRDefault="00000000" w:rsidP="00DA493C">
      <w:pPr>
        <w:pStyle w:val="Ruller40"/>
        <w:rPr>
          <w:rtl/>
        </w:rPr>
      </w:pPr>
      <w:r>
        <w:rPr>
          <w:rtl/>
        </w:rPr>
        <w:lastRenderedPageBreak/>
        <w:tab/>
        <w:t xml:space="preserve">עם הגשת העתירה הוגשו בקשות למתן צווים ארעים וצווים זמניים שונים, ובהם צו שיורה כי המשיבות 2 ו-3 ימנעו מלפעול להוצאת כלי השיט הקטנים שבבעלות העותרים מן המעגנה, צו שיורה למשיבים למסור מסמכים לידי העותרים וכיוצא באלה.  </w:t>
      </w:r>
    </w:p>
    <w:p w14:paraId="792E90BD" w14:textId="77777777" w:rsidR="00DA493C" w:rsidRDefault="00DA493C" w:rsidP="00DA493C">
      <w:pPr>
        <w:pStyle w:val="Ruller40"/>
        <w:rPr>
          <w:rtl/>
        </w:rPr>
      </w:pPr>
    </w:p>
    <w:p w14:paraId="0A73A291" w14:textId="77777777" w:rsidR="00DA493C" w:rsidRDefault="00000000" w:rsidP="00DA493C">
      <w:pPr>
        <w:pStyle w:val="Ruller40"/>
        <w:rPr>
          <w:rFonts w:ascii="Miriam" w:hAnsi="Miriam" w:cs="Miriam"/>
          <w:sz w:val="20"/>
          <w:szCs w:val="24"/>
          <w:rtl/>
        </w:rPr>
      </w:pPr>
      <w:r>
        <w:rPr>
          <w:rFonts w:ascii="Miriam" w:hAnsi="Miriam" w:cs="Miriam"/>
          <w:sz w:val="20"/>
          <w:szCs w:val="24"/>
          <w:rtl/>
        </w:rPr>
        <w:t>הרקע הדרוש לעניין</w:t>
      </w:r>
    </w:p>
    <w:p w14:paraId="11304A8D" w14:textId="77777777" w:rsidR="00DA493C" w:rsidRDefault="00DA493C" w:rsidP="00DA493C">
      <w:pPr>
        <w:pStyle w:val="Ruller40"/>
        <w:rPr>
          <w:rtl/>
        </w:rPr>
      </w:pPr>
    </w:p>
    <w:p w14:paraId="04A8CDB5" w14:textId="77777777" w:rsidR="00DA493C" w:rsidRDefault="00000000" w:rsidP="00DA493C">
      <w:pPr>
        <w:pStyle w:val="Ruller40"/>
        <w:rPr>
          <w:rtl/>
        </w:rPr>
      </w:pPr>
      <w:r>
        <w:rPr>
          <w:rtl/>
        </w:rPr>
        <w:t>2.</w:t>
      </w:r>
      <w:r>
        <w:rPr>
          <w:rtl/>
        </w:rPr>
        <w:tab/>
        <w:t xml:space="preserve">על רקע המלחמה ונוכח ההתחממות בגבול הצפוני, ביום 26.10.2023 פרסם המפקד הצבאי את צו סגירת שטח בים 19/23, התשפ"ד-2023 (להלן: </w:t>
      </w:r>
      <w:r>
        <w:rPr>
          <w:rFonts w:ascii="Miriam" w:hAnsi="Miriam" w:cs="Miriam"/>
          <w:sz w:val="20"/>
          <w:szCs w:val="24"/>
          <w:rtl/>
        </w:rPr>
        <w:t>הצו</w:t>
      </w:r>
      <w:r>
        <w:rPr>
          <w:rtl/>
        </w:rPr>
        <w:t>), שהורה על סגירת שטח ימי מאזור שבי ציון ועד לקו הגבול הימי עם לבנון, שטח שמעגנת נהריה נכללת בו. לשם הנוחות תובא לשון הסעיף להלן:</w:t>
      </w:r>
    </w:p>
    <w:p w14:paraId="5AE83AFF" w14:textId="77777777" w:rsidR="00DA493C" w:rsidRDefault="00DA493C" w:rsidP="00DA493C">
      <w:pPr>
        <w:pStyle w:val="Ruller40"/>
        <w:rPr>
          <w:rtl/>
        </w:rPr>
      </w:pPr>
    </w:p>
    <w:p w14:paraId="1A2C22DA" w14:textId="77777777" w:rsidR="00DA493C" w:rsidRDefault="00000000" w:rsidP="00DA493C">
      <w:pPr>
        <w:pStyle w:val="Ruller5"/>
        <w:rPr>
          <w:rtl/>
        </w:rPr>
      </w:pPr>
      <w:r>
        <w:rPr>
          <w:rtl/>
        </w:rPr>
        <w:t>"2.א. לא יכנס אדם ולא ישיט כלי שיט קטן ולא יפליג בכלי שיט קטן באזור בשטח הסגור אלא באישור מראש מאת מפקד זרוע הים או מי שהוסמך לכך מטעמו, ובתנאים שהורה עליהם, אם הורה על תנאים כאמור".</w:t>
      </w:r>
    </w:p>
    <w:p w14:paraId="2A41D359" w14:textId="77777777" w:rsidR="00DA493C" w:rsidRDefault="00DA493C" w:rsidP="00DA493C">
      <w:pPr>
        <w:pStyle w:val="Ruller40"/>
        <w:rPr>
          <w:rtl/>
        </w:rPr>
      </w:pPr>
    </w:p>
    <w:p w14:paraId="3A55C21E" w14:textId="77777777" w:rsidR="00DA493C" w:rsidRDefault="00000000" w:rsidP="00DA493C">
      <w:pPr>
        <w:pStyle w:val="Ruller40"/>
        <w:rPr>
          <w:rtl/>
        </w:rPr>
      </w:pPr>
      <w:r>
        <w:rPr>
          <w:rtl/>
        </w:rPr>
        <w:t>3.</w:t>
      </w:r>
      <w:r>
        <w:rPr>
          <w:rtl/>
        </w:rPr>
        <w:tab/>
        <w:t>כעולה מהעתירה ומתגובות המשיבים, הצו עודכן מעת לעת, מדי מספר ימים ובהתאם להערכת המצב הביטחונית, ועד כה הוצאו למעלה מעשרים וארבעה צווים מאריכים. בחודש נובמבר 2023 החלו כוחות זרוע הים להתמקם במעגנת נהריה בשל שיקולי ביטחון שונים. על אף פרסום הצו נותרו בעת הזו כלי שיט שטרם פינו את המעגנה, בהמשך לכך פעלו גורמי המשיבות 2 ו-3 לפינוי השטח הצבאי הסגור. ביום 25.2.2024 התפרסם עדכון לצו – צו סגירת שטח בים 19/23 (יג), התשפ"ד-2023 שחידד כי האחרון חל "בכלל המעגנות, המרינות והנמלים הנמצאים בשטח הסגור [...]". עדכון זה גרר ניסיונות אכיפה נוספים מצד המשיבות 2 ו-3 אשר עלו בתוהו, שלאחריהם ביום 10.4.2024 פנו העותרים במכתב למשיבה 3 בו נטען כי הצו שפורסם איננו מחייב אותם בפינוי כלי השיט.</w:t>
      </w:r>
    </w:p>
    <w:p w14:paraId="0704C900" w14:textId="77777777" w:rsidR="00DA493C" w:rsidRDefault="00DA493C" w:rsidP="00DA493C">
      <w:pPr>
        <w:pStyle w:val="Ruller40"/>
        <w:rPr>
          <w:rtl/>
        </w:rPr>
      </w:pPr>
    </w:p>
    <w:p w14:paraId="5D9FBF25" w14:textId="77777777" w:rsidR="00DA493C" w:rsidRDefault="00000000" w:rsidP="00DA493C">
      <w:pPr>
        <w:pStyle w:val="Ruller40"/>
        <w:rPr>
          <w:rtl/>
        </w:rPr>
      </w:pPr>
      <w:r>
        <w:rPr>
          <w:rtl/>
        </w:rPr>
        <w:t>4.</w:t>
      </w:r>
      <w:r>
        <w:rPr>
          <w:rtl/>
        </w:rPr>
        <w:tab/>
        <w:t xml:space="preserve">ביום 15.4.2024 נערכה פגישה בה נכחו, בין היתר, גורמי המפקד הצבאי, גורמי המשיבות 2 ו-3 ונציגי העותרים. בפגישה דנו בצרכים הביטחוניים ובטענות העותרים בדבר הפגיעה הנגרמת להם כתוצאה מסגירת השטח הימי. בהמשך לפגישה ונוכח התחממות הגזרה, פורסם עדכון נוסף לצו לפיו אין לשהות בשטח הסגור או להותיר בו כלי שיט קטן (יוער כי ישנה מחלוקת בין הצדדים באשר לגרסת הצו בה </w:t>
      </w:r>
      <w:r>
        <w:rPr>
          <w:rtl/>
        </w:rPr>
        <w:lastRenderedPageBreak/>
        <w:t>נערך לראשונה התיקון האמור, אך כפי שיובהר בהמשך אין למחלוקת זו נפקות לעניין התוצאה):</w:t>
      </w:r>
    </w:p>
    <w:p w14:paraId="5474C67B" w14:textId="77777777" w:rsidR="00DA493C" w:rsidRDefault="00DA493C" w:rsidP="00DA493C">
      <w:pPr>
        <w:pStyle w:val="Ruller40"/>
        <w:rPr>
          <w:rtl/>
        </w:rPr>
      </w:pPr>
    </w:p>
    <w:p w14:paraId="1EEF46EF" w14:textId="77777777" w:rsidR="00DA493C" w:rsidRDefault="00000000" w:rsidP="00DA493C">
      <w:pPr>
        <w:pStyle w:val="Ruller5"/>
        <w:rPr>
          <w:rtl/>
        </w:rPr>
      </w:pPr>
      <w:r>
        <w:rPr>
          <w:rtl/>
        </w:rPr>
        <w:t xml:space="preserve">"לא יכנס אדם, לא ישהה ולא ישיט כלי שיט קטן, לא יפליג בכלי שיט קטן </w:t>
      </w:r>
      <w:r>
        <w:rPr>
          <w:rFonts w:ascii="Miriam" w:hAnsi="Miriam" w:cs="Miriam"/>
          <w:sz w:val="20"/>
          <w:szCs w:val="24"/>
          <w:rtl/>
        </w:rPr>
        <w:t>ולא יותיר כלי שיט קטן</w:t>
      </w:r>
      <w:r>
        <w:rPr>
          <w:rtl/>
        </w:rPr>
        <w:t xml:space="preserve"> באזור השטח הסגור. זאת, אלא באישור מראש מאת מפקד זרוע הים או מי שהוסמך לכך מטעמו, ובתנאים שהורה עליהם, אם הורה על תנאים כאמור. למען הסר ספק איסור זה חל בכלל המעגנות, המרינות והנמלים הנמצאים בשטח הסגור וכן על פעילות רחצה וצלילה בשטח הסגור" (ההדגשות הוספו – י"ע).</w:t>
      </w:r>
    </w:p>
    <w:p w14:paraId="5C810807" w14:textId="77777777" w:rsidR="00DA493C" w:rsidRDefault="00DA493C" w:rsidP="00DA493C">
      <w:pPr>
        <w:pStyle w:val="Ruller40"/>
        <w:rPr>
          <w:rtl/>
        </w:rPr>
      </w:pPr>
    </w:p>
    <w:p w14:paraId="5D1DE023" w14:textId="77777777" w:rsidR="00DA493C" w:rsidRDefault="00000000" w:rsidP="00DA493C">
      <w:pPr>
        <w:pStyle w:val="Ruller40"/>
        <w:rPr>
          <w:rtl/>
        </w:rPr>
      </w:pPr>
      <w:r>
        <w:rPr>
          <w:rtl/>
        </w:rPr>
        <w:t>5.</w:t>
      </w:r>
      <w:r>
        <w:rPr>
          <w:rtl/>
        </w:rPr>
        <w:tab/>
        <w:t>ביום 2.5.2024, שלח בא כוח העותרים מכתב למשיבה 2 ובו פורטו טענותיהם. יוער כי השטח הסגור בצו עודכן מעת לעת וצומצם בהתאם להערכת המצב, עוד נקבע ביום 5.5.2024 במסגרת צו סגירת שטח בים 19/23 (יח), התשפ"ד-2023 "חלון זמנים" ונתיב מעבר שיאפשר לכלי השיט הקטנים להפליג דרומה מחוץ לשטח הימי הסגור וחזרה לצרכי דיג. בהמשך לכל האמור, המשיבות 2 ו-3 הוסיפו לפעול בניסיון להביא לפינוי כלי השיט.</w:t>
      </w:r>
    </w:p>
    <w:p w14:paraId="5E2C989F" w14:textId="77777777" w:rsidR="00DA493C" w:rsidRDefault="00DA493C" w:rsidP="00DA493C">
      <w:pPr>
        <w:pStyle w:val="Ruller40"/>
        <w:rPr>
          <w:rtl/>
        </w:rPr>
      </w:pPr>
    </w:p>
    <w:p w14:paraId="6FE7F9E7" w14:textId="77777777" w:rsidR="00DA493C" w:rsidRDefault="00000000" w:rsidP="00DA493C">
      <w:pPr>
        <w:pStyle w:val="Ruller40"/>
        <w:rPr>
          <w:rtl/>
        </w:rPr>
      </w:pPr>
      <w:r>
        <w:rPr>
          <w:rtl/>
        </w:rPr>
        <w:t>6.</w:t>
      </w:r>
      <w:r>
        <w:rPr>
          <w:rtl/>
        </w:rPr>
        <w:tab/>
        <w:t>ביום 8.5.2024 פנו העותרים למפקד הצבאי בבקשה לקבל את אישורו להותיר את כלי השיט שבבעלותם במעגנה, בקשה זו טרם נענתה. ביום 7.6.2024 הבחינו העותרים בצמיגים שהובאו לטענתם על ידי העירייה לשטח החניון היבשתי הסמוך למעגנה כחלק מההכנות להוצאת כלי השיט מהמים. ביום 9.6.2024 פנתה משטרת ישראל לעותרים במטרה לדון בהוצאת כלי השיט מן המעגנה, וביום 10.6.2024 נשלח מכתב מטעם משטרת ישראל הדורש את פינוי כלי השיט. כעולה מתגובת המשיבים נכון לעת הזו עוגנות במעגנה כשבע סירות דייגים.</w:t>
      </w:r>
    </w:p>
    <w:p w14:paraId="316B1392" w14:textId="77777777" w:rsidR="00DA493C" w:rsidRDefault="00DA493C" w:rsidP="00DA493C">
      <w:pPr>
        <w:pStyle w:val="Ruller40"/>
        <w:rPr>
          <w:rtl/>
        </w:rPr>
      </w:pPr>
    </w:p>
    <w:p w14:paraId="73DA9D3B" w14:textId="77777777" w:rsidR="00DA493C" w:rsidRDefault="00000000" w:rsidP="00DA493C">
      <w:pPr>
        <w:pStyle w:val="Ruller40"/>
        <w:rPr>
          <w:rtl/>
        </w:rPr>
      </w:pPr>
      <w:r>
        <w:rPr>
          <w:rtl/>
        </w:rPr>
        <w:t>7.</w:t>
      </w:r>
      <w:r>
        <w:rPr>
          <w:rtl/>
        </w:rPr>
        <w:tab/>
        <w:t xml:space="preserve">לשלמות התמונה, יוער כי ביני וביני, הוחלט במערכת הביטחון על קיומו של צורך בהקמת מזח צבאי לעגינת כלי שיט צבאיים במעגנת נהריה, בהתאם, ביום 19.3.2024 הוגשה בקשה לוועדה למתקנים ביטחוניים (להלן: </w:t>
      </w:r>
      <w:r>
        <w:rPr>
          <w:rFonts w:ascii="Century" w:hAnsi="Century" w:cs="Miriam"/>
          <w:b/>
          <w:spacing w:val="0"/>
          <w:szCs w:val="24"/>
          <w:rtl/>
        </w:rPr>
        <w:t>הוולמ"ב</w:t>
      </w:r>
      <w:r>
        <w:rPr>
          <w:rtl/>
        </w:rPr>
        <w:t xml:space="preserve">) במחוז צפון למתן היתר להקמת מזח. הבקשה נבחנה והתקיים דיון בהתנגדויות הציבור בוועדה, שם גם נידונה התנגדות בעל פה של העותר 4. במסגרת הדיון נציג משרד הביטחון הבהיר כי כשיפחתו מספר כלי השיט הצבאיים במעגנה ניתן יהיה לאפשר שהיית כלי שיט קטנים בחלקה הדרומי של המעגנה, ובשגרה לא תהא התנגדות לשהות כלי השיט בכפוף להערכת מצב ביטחונית. עוד עלה בדיון כי ישנו חניון סירות יבשתי בסמוך </w:t>
      </w:r>
      <w:r>
        <w:rPr>
          <w:rtl/>
        </w:rPr>
        <w:lastRenderedPageBreak/>
        <w:t xml:space="preserve">למעגנה, אשר הוצע לדייגים להציב את סירותיהם שם. עוד צוין במעמד זה כי ככל שהדבר יהיה אפשרי מבחינה ביטחונית, ולא יפריע לפעילות המזח הצבאי, יותר לכלי השיט הקטנים להמשיך לעגון בים. ההתנגדויות נדחו והוועדה נתנה היתר למשך שנתיים להקמת המזח הצבאי בכפוף לתנאים שונים. </w:t>
      </w:r>
    </w:p>
    <w:p w14:paraId="24CECE6E" w14:textId="77777777" w:rsidR="00DA493C" w:rsidRDefault="00DA493C" w:rsidP="00DA493C">
      <w:pPr>
        <w:pStyle w:val="Ruller40"/>
        <w:rPr>
          <w:rtl/>
        </w:rPr>
      </w:pPr>
    </w:p>
    <w:p w14:paraId="2CD21E50" w14:textId="77777777" w:rsidR="00DA493C" w:rsidRDefault="00000000" w:rsidP="00DA493C">
      <w:pPr>
        <w:pStyle w:val="Ruller40"/>
        <w:rPr>
          <w:rtl/>
        </w:rPr>
      </w:pPr>
      <w:r>
        <w:rPr>
          <w:rtl/>
        </w:rPr>
        <w:t>8.</w:t>
      </w:r>
      <w:r>
        <w:rPr>
          <w:rtl/>
        </w:rPr>
        <w:tab/>
        <w:t>מכאן העתירה שלפנינו.</w:t>
      </w:r>
    </w:p>
    <w:p w14:paraId="13E1C06D" w14:textId="77777777" w:rsidR="00DA493C" w:rsidRDefault="00DA493C" w:rsidP="00DA493C">
      <w:pPr>
        <w:pStyle w:val="Ruller40"/>
        <w:rPr>
          <w:rtl/>
        </w:rPr>
      </w:pPr>
    </w:p>
    <w:p w14:paraId="569FD583" w14:textId="77777777" w:rsidR="00DA493C" w:rsidRDefault="00000000" w:rsidP="00DA493C">
      <w:pPr>
        <w:pStyle w:val="Ruller40"/>
        <w:rPr>
          <w:rFonts w:ascii="Century" w:hAnsi="Century" w:cs="Miriam"/>
          <w:b/>
          <w:spacing w:val="0"/>
          <w:szCs w:val="24"/>
          <w:rtl/>
        </w:rPr>
      </w:pPr>
      <w:r>
        <w:rPr>
          <w:rFonts w:ascii="Century" w:hAnsi="Century" w:cs="Miriam"/>
          <w:b/>
          <w:spacing w:val="0"/>
          <w:szCs w:val="24"/>
          <w:rtl/>
        </w:rPr>
        <w:t>טענות הצדדים</w:t>
      </w:r>
    </w:p>
    <w:p w14:paraId="4CCEDA1B" w14:textId="77777777" w:rsidR="00DA493C" w:rsidRDefault="00DA493C" w:rsidP="00DA493C">
      <w:pPr>
        <w:pStyle w:val="Ruller40"/>
        <w:rPr>
          <w:rtl/>
        </w:rPr>
      </w:pPr>
    </w:p>
    <w:p w14:paraId="36921DA5" w14:textId="77777777" w:rsidR="00DA493C" w:rsidRDefault="00000000" w:rsidP="00DA493C">
      <w:pPr>
        <w:pStyle w:val="Ruller40"/>
        <w:rPr>
          <w:rtl/>
        </w:rPr>
      </w:pPr>
      <w:r>
        <w:rPr>
          <w:rtl/>
        </w:rPr>
        <w:t>9.</w:t>
      </w:r>
      <w:r>
        <w:rPr>
          <w:rtl/>
        </w:rPr>
        <w:tab/>
        <w:t xml:space="preserve">העותרים טוענים, במכלול טיעוניהם, כי הוצאת כלי השיט מן המעגנה תגרום להם פגיעה לפרנסתם בכבוד וכי לא ניתן להוציא את כלי השיט ולהשיבם כל יום; כי צו הסגירה מחודש אוקטובר 2023 לא כלל דרישה להוצאת כלי השיט משטח המעגנה, וכי השינויים שנערכו בצו והדרישה להוציא את כלי השיט מהמעגנה יסודם בשיקולים זרים של הרשות המקומית, הנוגעים למחלוקת בינה לבין העותרים. הא ראיה לכך, שהשינויים בנוסח הצו באו בעקבות דרישת העירייה לפינוי כלי השיט עוד קודם להוצאת הצו וללא קשר למלחמה; כי על המפקד הצבאי חל הדין המנהלי והיה עליו לקיים שימוע או להציע להם פתרון חלופי; כי לשון הצו מופנית גם לרוחצים בחופים והיעדר אכיפה למול אלו מהווה אכיפה בררנית; כי המפקד הצבאי לא פעל במידתיות שעה שפגע בפרנסתם ובחופש העיסוק שלהם, וכי ניתן היה לממש את מטרות הביטחון מבלי להוציא את כלי השיט מהמעגנה. זאת מסיקים העותרים מהתבטאות נציג המפקד הצבאי בדיון בוועדה בנושא המזח לפיה לצבא אין התנגדות לאפשר את המשך העגינה של כלי השיט. </w:t>
      </w:r>
    </w:p>
    <w:p w14:paraId="1E8802A2" w14:textId="77777777" w:rsidR="00DA493C" w:rsidRDefault="00DA493C" w:rsidP="00DA493C">
      <w:pPr>
        <w:pStyle w:val="Ruller40"/>
        <w:rPr>
          <w:rtl/>
        </w:rPr>
      </w:pPr>
    </w:p>
    <w:p w14:paraId="62D9C376" w14:textId="77777777" w:rsidR="00DA493C" w:rsidRDefault="00000000" w:rsidP="00DA493C">
      <w:pPr>
        <w:pStyle w:val="Ruller40"/>
        <w:rPr>
          <w:rtl/>
        </w:rPr>
      </w:pPr>
      <w:r>
        <w:rPr>
          <w:rtl/>
        </w:rPr>
        <w:t>10.</w:t>
      </w:r>
      <w:r>
        <w:rPr>
          <w:rtl/>
        </w:rPr>
        <w:tab/>
        <w:t xml:space="preserve">המשיבים 2-1 טוענים כי דין העתירה להידחות בהיעדר עילה להתערבות בהחלטתו של המפקד הצבאי, בהיותה סבירה ונטועה בלב שיקול דעתו המקצועי. במסגרת זו מטעימים, בין היתר, כי ההחלטה התקבלה על רקע המצב הביטחוני ובהסתמך על הצורך המבצעי ועל הערכת המצב הביטחונית בגזרה הצפונית; כי הימצאותם של כלי שיט במעגנה פוגעת בזמני התגובה של הכוחות, מהווה סיכון בטיחותי בעת הקפצתם ועלולה להביא לפגיעה חמורה בביטחון מידע; כי טענת העותרים לפגיעה בחופש העיסוק נטענה בעלמא, ובכל מקרה דינה להידחות שעה שמאפשרים לעותרים להפליג דרומה במטרה לאפשר להם דיג; כי לעותרים עומד פתרון חלופי לעגינת כלי השיט בחניון היבשתי הסמוך; כי השינויים בלשון הצווים היוו הבהרה בלבד, בהקשר זה מטעימים כי עוד מחודש אוקטובר 2023, עת הוטל הצו, </w:t>
      </w:r>
      <w:r>
        <w:rPr>
          <w:rtl/>
        </w:rPr>
        <w:lastRenderedPageBreak/>
        <w:t>זה חל על כל השטח הימי לרבות המעגנה, ואסר על עגינת הספינות במים; כי הרוחצים מתרחצים דרומית למעגנה, ופעולת הרחצה, בשונה משהיית כלי שיט לא מפריעה לפעילות כלי השיט הצבאיים באזור נהריה; כי תקנות ההגנה לא מחייבות עריכת שימוע ובכל מקרה העותרים קיבלו הזדמנויות רבות להשמיע את טענותיהם; כי הדברים שאמר נציג צה"ל במסגרת הוולמ"ב מיוחסים לתקופות שגרה ולא לשעת מלחמה וכן כפופים למניעה ביטחונית.</w:t>
      </w:r>
    </w:p>
    <w:p w14:paraId="572C7210" w14:textId="77777777" w:rsidR="00DA493C" w:rsidRDefault="00DA493C" w:rsidP="00DA493C">
      <w:pPr>
        <w:pStyle w:val="Ruller40"/>
        <w:rPr>
          <w:rtl/>
        </w:rPr>
      </w:pPr>
    </w:p>
    <w:p w14:paraId="5F20B4BD" w14:textId="77777777" w:rsidR="00DA493C" w:rsidRDefault="00000000" w:rsidP="00DA493C">
      <w:pPr>
        <w:pStyle w:val="Ruller40"/>
        <w:rPr>
          <w:rtl/>
        </w:rPr>
      </w:pPr>
      <w:r>
        <w:rPr>
          <w:rtl/>
        </w:rPr>
        <w:t>11.</w:t>
      </w:r>
      <w:r>
        <w:rPr>
          <w:rtl/>
        </w:rPr>
        <w:tab/>
        <w:t xml:space="preserve">עיריית נהריה טוענת אף היא כי דין העתירה להידחות בהיעדר עילה להתערבות בית משפט זה. העירייה גורסת כי המפקד הצבאי הפעיל את סמכויותיו כראוי וכדין; כי העירייה לא התערבה בשיקול דעתו של המפקד הצבאי והטענות בנוגע לרצון העירייה ושיקולים זרים נטענו בעלמא ואין להן על מה לסמוך; כי העותרים כלל אינם בעלי זכויות קנייניות או חוזיות במעגנה; כי העותרים עושים דין לעצמם שעה שמסרבים להוציא את הסירות מהמעגנה; וכי עומדת לעותרים האפשרות להעביר את כלי השיט לעכו ולממש שם את זכותם להתפרנס.  </w:t>
      </w:r>
    </w:p>
    <w:p w14:paraId="04C2AA34" w14:textId="77777777" w:rsidR="00DA493C" w:rsidRDefault="00DA493C" w:rsidP="00DA493C">
      <w:pPr>
        <w:pStyle w:val="Ruller40"/>
        <w:rPr>
          <w:rtl/>
        </w:rPr>
      </w:pPr>
    </w:p>
    <w:p w14:paraId="3B0843D0" w14:textId="77777777" w:rsidR="00DA493C" w:rsidRDefault="00000000" w:rsidP="00DA493C">
      <w:pPr>
        <w:pStyle w:val="Ruller40"/>
        <w:rPr>
          <w:rFonts w:ascii="Century" w:hAnsi="Century" w:cs="Miriam"/>
          <w:b/>
          <w:spacing w:val="0"/>
          <w:szCs w:val="24"/>
          <w:rtl/>
        </w:rPr>
      </w:pPr>
      <w:r>
        <w:rPr>
          <w:rFonts w:ascii="Century" w:hAnsi="Century" w:cs="Miriam"/>
          <w:b/>
          <w:spacing w:val="0"/>
          <w:szCs w:val="24"/>
          <w:rtl/>
        </w:rPr>
        <w:t>דיון והכרעה</w:t>
      </w:r>
    </w:p>
    <w:p w14:paraId="471E61DF" w14:textId="77777777" w:rsidR="00DA493C" w:rsidRDefault="00DA493C" w:rsidP="00DA493C">
      <w:pPr>
        <w:pStyle w:val="Ruller40"/>
        <w:rPr>
          <w:rtl/>
        </w:rPr>
      </w:pPr>
    </w:p>
    <w:p w14:paraId="739D83A5" w14:textId="77777777" w:rsidR="00DA493C" w:rsidRDefault="00000000" w:rsidP="00D72043">
      <w:pPr>
        <w:pStyle w:val="Ruller40"/>
        <w:rPr>
          <w:rtl/>
        </w:rPr>
      </w:pPr>
      <w:r>
        <w:rPr>
          <w:rtl/>
        </w:rPr>
        <w:t>12.</w:t>
      </w:r>
      <w:r>
        <w:rPr>
          <w:rtl/>
        </w:rPr>
        <w:tab/>
        <w:t xml:space="preserve">לאחר שעיינו בעתירה, בנספחיה ובתגובות המשיבים הגענו לכלל מסקנה כי דין העתירה להידחות בהיעדר עילה להתערבות. כידוע, למפקד הצבאי נתונה הסמכות להורות על סגירת שטח צבאי מכוח </w:t>
      </w:r>
      <w:hyperlink r:id="rId7" w:history="1">
        <w:r w:rsidR="00F50282" w:rsidRPr="00F50282">
          <w:rPr>
            <w:rStyle w:val="Hyperlink"/>
            <w:rtl/>
          </w:rPr>
          <w:t>תקנה 125</w:t>
        </w:r>
      </w:hyperlink>
      <w:r>
        <w:rPr>
          <w:rtl/>
        </w:rPr>
        <w:t xml:space="preserve"> ל</w:t>
      </w:r>
      <w:hyperlink r:id="rId8" w:history="1">
        <w:r w:rsidR="00690A98" w:rsidRPr="00690A98">
          <w:rPr>
            <w:color w:val="0000FF"/>
            <w:u w:val="single"/>
            <w:rtl/>
          </w:rPr>
          <w:t>תקנות ההגנה (שעת-חירום)</w:t>
        </w:r>
      </w:hyperlink>
      <w:r>
        <w:rPr>
          <w:rtl/>
        </w:rPr>
        <w:t xml:space="preserve">, 1945 (להלן: </w:t>
      </w:r>
      <w:r>
        <w:rPr>
          <w:rFonts w:ascii="Century" w:hAnsi="Century" w:cs="Miriam"/>
          <w:b/>
          <w:spacing w:val="0"/>
          <w:szCs w:val="24"/>
          <w:rtl/>
        </w:rPr>
        <w:t>תקנות ההגנה</w:t>
      </w:r>
      <w:r>
        <w:rPr>
          <w:rtl/>
        </w:rPr>
        <w:t xml:space="preserve">), </w:t>
      </w:r>
      <w:hyperlink r:id="rId9" w:history="1">
        <w:r w:rsidR="00F50282" w:rsidRPr="00F50282">
          <w:rPr>
            <w:rStyle w:val="Hyperlink"/>
            <w:rtl/>
          </w:rPr>
          <w:t>ותקנה 126</w:t>
        </w:r>
      </w:hyperlink>
      <w:r>
        <w:rPr>
          <w:rtl/>
        </w:rPr>
        <w:t xml:space="preserve"> קובעת כי המפקד הצבאי רשאי להורות "</w:t>
      </w:r>
      <w:r>
        <w:rPr>
          <w:rFonts w:ascii="Century" w:hAnsi="Century"/>
          <w:rtl/>
        </w:rPr>
        <w:t xml:space="preserve">כי ייסגר או יוסט כל כביש, או ייאסר או יצומצם השימוש בכל זכות-מעבר </w:t>
      </w:r>
      <w:r>
        <w:rPr>
          <w:rFonts w:ascii="Century" w:hAnsi="Century" w:cs="Miriam"/>
          <w:b/>
          <w:spacing w:val="0"/>
          <w:szCs w:val="24"/>
          <w:rtl/>
        </w:rPr>
        <w:t>או השימוש בכל נתיב-מים</w:t>
      </w:r>
      <w:r>
        <w:rPr>
          <w:rFonts w:ascii="Century" w:hAnsi="Century"/>
          <w:rtl/>
        </w:rPr>
        <w:t xml:space="preserve">, וכל אדם המפר כל צו כזה יאשם בעבירה על התקנות האלה" (למינוי מפקד צבאי בשטח ובמקום מסוים ראו </w:t>
      </w:r>
      <w:hyperlink r:id="rId10" w:history="1">
        <w:r w:rsidR="00F50282" w:rsidRPr="00F50282">
          <w:rPr>
            <w:rStyle w:val="Hyperlink"/>
            <w:rFonts w:ascii="Century" w:hAnsi="Century" w:hint="eastAsia"/>
            <w:rtl/>
          </w:rPr>
          <w:t>סעיף</w:t>
        </w:r>
        <w:r w:rsidR="00F50282" w:rsidRPr="00F50282">
          <w:rPr>
            <w:rStyle w:val="Hyperlink"/>
            <w:rFonts w:ascii="Century" w:hAnsi="Century"/>
            <w:rtl/>
          </w:rPr>
          <w:t xml:space="preserve"> 6(2)</w:t>
        </w:r>
      </w:hyperlink>
      <w:r>
        <w:rPr>
          <w:rFonts w:ascii="Century" w:hAnsi="Century"/>
          <w:rtl/>
        </w:rPr>
        <w:t xml:space="preserve"> לתקנות ההגנה; לסגירת שטח ימי ראו </w:t>
      </w:r>
      <w:hyperlink r:id="rId11" w:history="1">
        <w:r w:rsidR="00690A98" w:rsidRPr="00690A98">
          <w:rPr>
            <w:rFonts w:ascii="Century" w:hAnsi="Century" w:hint="eastAsia"/>
            <w:color w:val="0000FF"/>
            <w:u w:val="single"/>
            <w:rtl/>
          </w:rPr>
          <w:t>ע</w:t>
        </w:r>
        <w:r w:rsidR="00690A98" w:rsidRPr="00690A98">
          <w:rPr>
            <w:rFonts w:ascii="Century" w:hAnsi="Century"/>
            <w:color w:val="0000FF"/>
            <w:u w:val="single"/>
            <w:rtl/>
          </w:rPr>
          <w:t>"</w:t>
        </w:r>
        <w:r w:rsidR="00690A98" w:rsidRPr="00690A98">
          <w:rPr>
            <w:rFonts w:ascii="Century" w:hAnsi="Century" w:hint="eastAsia"/>
            <w:color w:val="0000FF"/>
            <w:u w:val="single"/>
            <w:rtl/>
          </w:rPr>
          <w:t>פ</w:t>
        </w:r>
        <w:r w:rsidR="00690A98" w:rsidRPr="00690A98">
          <w:rPr>
            <w:rFonts w:ascii="Century" w:hAnsi="Century"/>
            <w:color w:val="0000FF"/>
            <w:u w:val="single"/>
            <w:rtl/>
          </w:rPr>
          <w:t xml:space="preserve"> (</w:t>
        </w:r>
        <w:r w:rsidR="00690A98" w:rsidRPr="00690A98">
          <w:rPr>
            <w:rFonts w:ascii="Century" w:hAnsi="Century" w:hint="eastAsia"/>
            <w:color w:val="0000FF"/>
            <w:u w:val="single"/>
            <w:rtl/>
          </w:rPr>
          <w:t>מחוזי</w:t>
        </w:r>
        <w:r w:rsidR="00690A98" w:rsidRPr="00690A98">
          <w:rPr>
            <w:rFonts w:ascii="Century" w:hAnsi="Century"/>
            <w:color w:val="0000FF"/>
            <w:u w:val="single"/>
            <w:rtl/>
          </w:rPr>
          <w:t xml:space="preserve"> </w:t>
        </w:r>
        <w:r w:rsidR="00690A98" w:rsidRPr="00690A98">
          <w:rPr>
            <w:rFonts w:ascii="Century" w:hAnsi="Century" w:hint="eastAsia"/>
            <w:color w:val="0000FF"/>
            <w:u w:val="single"/>
            <w:rtl/>
          </w:rPr>
          <w:t>חי</w:t>
        </w:r>
        <w:r w:rsidR="00690A98" w:rsidRPr="00690A98">
          <w:rPr>
            <w:rFonts w:ascii="Century" w:hAnsi="Century"/>
            <w:color w:val="0000FF"/>
            <w:u w:val="single"/>
            <w:rtl/>
          </w:rPr>
          <w:t>') 373/93</w:t>
        </w:r>
      </w:hyperlink>
      <w:r>
        <w:rPr>
          <w:rFonts w:ascii="Century" w:hAnsi="Century"/>
          <w:rtl/>
        </w:rPr>
        <w:t xml:space="preserve"> </w:t>
      </w:r>
      <w:r>
        <w:rPr>
          <w:rFonts w:ascii="Century" w:hAnsi="Century" w:cs="Miriam"/>
          <w:b/>
          <w:spacing w:val="0"/>
          <w:szCs w:val="24"/>
          <w:rtl/>
        </w:rPr>
        <w:t>תלחמי נ' מדינת ישראל</w:t>
      </w:r>
      <w:r>
        <w:rPr>
          <w:rFonts w:ascii="Century" w:hAnsi="Century"/>
          <w:rtl/>
        </w:rPr>
        <w:t xml:space="preserve">, פסקה 4 </w:t>
      </w:r>
      <w:r w:rsidR="00D72043" w:rsidRPr="00D72043">
        <w:rPr>
          <w:rFonts w:ascii="Times New Roman" w:hAnsi="Times New Roman" w:cs="David"/>
          <w:spacing w:val="0"/>
          <w:szCs w:val="24"/>
          <w:rtl/>
        </w:rPr>
        <w:t>[</w:t>
      </w:r>
      <w:r w:rsidR="00D72043" w:rsidRPr="00D72043">
        <w:rPr>
          <w:rFonts w:ascii="Times New Roman" w:hAnsi="Times New Roman" w:cs="David" w:hint="eastAsia"/>
          <w:spacing w:val="0"/>
          <w:szCs w:val="24"/>
          <w:rtl/>
        </w:rPr>
        <w:t>נבו</w:t>
      </w:r>
      <w:r w:rsidR="00D72043" w:rsidRPr="00D72043">
        <w:rPr>
          <w:rFonts w:ascii="Times New Roman" w:hAnsi="Times New Roman" w:cs="David"/>
          <w:spacing w:val="0"/>
          <w:szCs w:val="24"/>
          <w:rtl/>
        </w:rPr>
        <w:t xml:space="preserve">] </w:t>
      </w:r>
      <w:r>
        <w:rPr>
          <w:rFonts w:ascii="Century" w:hAnsi="Century"/>
          <w:rtl/>
        </w:rPr>
        <w:t xml:space="preserve">(1.1.1994)). </w:t>
      </w:r>
      <w:r>
        <w:rPr>
          <w:rtl/>
        </w:rPr>
        <w:t xml:space="preserve">מפקד חיל הים מופקד על אזור מימי החופים של מדינת ישראל, ובסמכותו להכריז על שטחים סגורים בים, ובכלל כך, להגביל את התעבורה ואת נתיבי הנסיעה של כלי שיט ולתת הוראות שונות בנושא, כמי שגם הוסמך לשמש כממונה על הנמלים לצורך </w:t>
      </w:r>
      <w:hyperlink r:id="rId12" w:history="1">
        <w:r w:rsidR="00F50282" w:rsidRPr="00F50282">
          <w:rPr>
            <w:rStyle w:val="Hyperlink"/>
            <w:rtl/>
          </w:rPr>
          <w:t>תקנה 138א</w:t>
        </w:r>
      </w:hyperlink>
      <w:r>
        <w:rPr>
          <w:rtl/>
        </w:rPr>
        <w:t xml:space="preserve"> לתקנות ההגנה, סמכות המאפשרת לו, בין היתר, "</w:t>
      </w:r>
      <w:r>
        <w:rPr>
          <w:rFonts w:ascii="Century" w:hAnsi="Century"/>
          <w:rtl/>
        </w:rPr>
        <w:t xml:space="preserve">לאסור על כל אניה מלהיכנס לשום מבוא-ים, שום חלק של מבוא-ים, או שום חלק של המים הטריטוריאליים של ישראל" (להסמכת מפקד חיל הים כמפקד צבאי של כל הנמלים בישראל ראו: הודעה בדבר מינוי ממונה על הנמלים וביטול מינוי, י"פ 1414 התשכ"ח-1967 409, 411). </w:t>
      </w:r>
      <w:r>
        <w:rPr>
          <w:rtl/>
        </w:rPr>
        <w:t xml:space="preserve">מכאן שאין חולק </w:t>
      </w:r>
      <w:r>
        <w:rPr>
          <w:rtl/>
        </w:rPr>
        <w:lastRenderedPageBreak/>
        <w:t>לעניין הסמכות, ואף העותרים אינם כופרים בכך שהסמכות נתונה בעניין זה למפקד הצבאי.</w:t>
      </w:r>
    </w:p>
    <w:p w14:paraId="7CD056C3" w14:textId="77777777" w:rsidR="00DA493C" w:rsidRDefault="00DA493C" w:rsidP="00DA493C">
      <w:pPr>
        <w:pStyle w:val="Ruller40"/>
        <w:rPr>
          <w:rtl/>
        </w:rPr>
      </w:pPr>
    </w:p>
    <w:p w14:paraId="5F9D6090" w14:textId="77777777" w:rsidR="00DA493C" w:rsidRDefault="00000000" w:rsidP="00DA493C">
      <w:pPr>
        <w:pStyle w:val="Ruller40"/>
        <w:rPr>
          <w:rtl/>
        </w:rPr>
      </w:pPr>
      <w:r>
        <w:rPr>
          <w:rtl/>
        </w:rPr>
        <w:t>13.</w:t>
      </w:r>
      <w:r>
        <w:rPr>
          <w:rtl/>
        </w:rPr>
        <w:tab/>
        <w:t>הלכה היא כי מרחב שיקול דעתו המקצועי של המפקד הצבאי הוא רחב, וחוות דעתו הביטחונית זוכה למשקל מיוחד (</w:t>
      </w:r>
      <w:hyperlink r:id="rId13" w:history="1">
        <w:r w:rsidR="00690A98" w:rsidRPr="00690A98">
          <w:rPr>
            <w:color w:val="0000FF"/>
            <w:u w:val="single"/>
            <w:rtl/>
          </w:rPr>
          <w:t>בג"ץ 3571/20</w:t>
        </w:r>
      </w:hyperlink>
      <w:r>
        <w:rPr>
          <w:rtl/>
        </w:rPr>
        <w:t xml:space="preserve"> </w:t>
      </w:r>
      <w:r>
        <w:rPr>
          <w:rFonts w:ascii="Century" w:hAnsi="Century" w:cs="Miriam"/>
          <w:b/>
          <w:spacing w:val="0"/>
          <w:szCs w:val="24"/>
          <w:rtl/>
        </w:rPr>
        <w:t>חסיב נ' ראש ממשלת ישראל</w:t>
      </w:r>
      <w:r>
        <w:rPr>
          <w:rtl/>
        </w:rPr>
        <w:t xml:space="preserve">, פסקה 12 </w:t>
      </w:r>
      <w:r w:rsidR="00D72043" w:rsidRPr="00D72043">
        <w:rPr>
          <w:rFonts w:ascii="Times New Roman" w:hAnsi="Times New Roman" w:cs="David"/>
          <w:spacing w:val="0"/>
          <w:szCs w:val="24"/>
          <w:rtl/>
        </w:rPr>
        <w:t>[</w:t>
      </w:r>
      <w:r w:rsidR="00D72043" w:rsidRPr="00D72043">
        <w:rPr>
          <w:rFonts w:ascii="Times New Roman" w:hAnsi="Times New Roman" w:cs="David" w:hint="eastAsia"/>
          <w:spacing w:val="0"/>
          <w:szCs w:val="24"/>
          <w:rtl/>
        </w:rPr>
        <w:t>נבו</w:t>
      </w:r>
      <w:r w:rsidR="00D72043" w:rsidRPr="00D72043">
        <w:rPr>
          <w:rFonts w:ascii="Times New Roman" w:hAnsi="Times New Roman" w:cs="David"/>
          <w:spacing w:val="0"/>
          <w:szCs w:val="24"/>
          <w:rtl/>
        </w:rPr>
        <w:t>]</w:t>
      </w:r>
      <w:r w:rsidR="00D72043">
        <w:rPr>
          <w:rtl/>
        </w:rPr>
        <w:t xml:space="preserve"> </w:t>
      </w:r>
      <w:r>
        <w:rPr>
          <w:rtl/>
        </w:rPr>
        <w:t>(1.5.2022)), בהתאמה בית משפט זה אינו מחליף את שיקול דעת המפקד בשיקול דעתו שלו והתערבותו תהא מצומצמת (</w:t>
      </w:r>
      <w:hyperlink r:id="rId14" w:history="1">
        <w:r w:rsidR="00690A98" w:rsidRPr="00690A98">
          <w:rPr>
            <w:color w:val="0000FF"/>
            <w:u w:val="single"/>
            <w:rtl/>
          </w:rPr>
          <w:t>בג"ץ 7075/23</w:t>
        </w:r>
      </w:hyperlink>
      <w:r>
        <w:rPr>
          <w:rtl/>
        </w:rPr>
        <w:t xml:space="preserve"> </w:t>
      </w:r>
      <w:r>
        <w:rPr>
          <w:rFonts w:ascii="Century" w:hAnsi="Century" w:cs="Miriam"/>
          <w:b/>
          <w:spacing w:val="0"/>
          <w:szCs w:val="24"/>
          <w:rtl/>
        </w:rPr>
        <w:t>בית עווא נ' מפקד כוחות צה"ל באיו"ש</w:t>
      </w:r>
      <w:r>
        <w:rPr>
          <w:rtl/>
        </w:rPr>
        <w:t xml:space="preserve">, פסקה 9 </w:t>
      </w:r>
      <w:r w:rsidR="00D72043" w:rsidRPr="00D72043">
        <w:rPr>
          <w:rFonts w:ascii="Times New Roman" w:hAnsi="Times New Roman" w:cs="David"/>
          <w:spacing w:val="0"/>
          <w:szCs w:val="24"/>
          <w:rtl/>
        </w:rPr>
        <w:t>[</w:t>
      </w:r>
      <w:r w:rsidR="00D72043" w:rsidRPr="00D72043">
        <w:rPr>
          <w:rFonts w:ascii="Times New Roman" w:hAnsi="Times New Roman" w:cs="David" w:hint="eastAsia"/>
          <w:spacing w:val="0"/>
          <w:szCs w:val="24"/>
          <w:rtl/>
        </w:rPr>
        <w:t>נבו</w:t>
      </w:r>
      <w:r w:rsidR="00D72043" w:rsidRPr="00D72043">
        <w:rPr>
          <w:rFonts w:ascii="Times New Roman" w:hAnsi="Times New Roman" w:cs="David"/>
          <w:spacing w:val="0"/>
          <w:szCs w:val="24"/>
          <w:rtl/>
        </w:rPr>
        <w:t>]</w:t>
      </w:r>
      <w:r w:rsidR="00D72043">
        <w:rPr>
          <w:rtl/>
        </w:rPr>
        <w:t xml:space="preserve"> </w:t>
      </w:r>
      <w:r>
        <w:rPr>
          <w:rtl/>
        </w:rPr>
        <w:t xml:space="preserve">(15.9.2024); </w:t>
      </w:r>
      <w:hyperlink r:id="rId15" w:history="1">
        <w:r w:rsidR="00690A98" w:rsidRPr="00690A98">
          <w:rPr>
            <w:color w:val="0000FF"/>
            <w:u w:val="single"/>
            <w:rtl/>
          </w:rPr>
          <w:t>בג"ץ 2675/23</w:t>
        </w:r>
      </w:hyperlink>
      <w:r>
        <w:rPr>
          <w:rtl/>
        </w:rPr>
        <w:t xml:space="preserve"> </w:t>
      </w:r>
      <w:r>
        <w:rPr>
          <w:rFonts w:ascii="Century" w:hAnsi="Century" w:cs="Miriam"/>
          <w:b/>
          <w:spacing w:val="0"/>
          <w:szCs w:val="24"/>
          <w:rtl/>
        </w:rPr>
        <w:t>עבד אלחלים מוסא נ' המפקד הצבאי באזור הגדה המערבית</w:t>
      </w:r>
      <w:r>
        <w:rPr>
          <w:rtl/>
        </w:rPr>
        <w:t xml:space="preserve">, פסקה 6 </w:t>
      </w:r>
      <w:r w:rsidR="00D72043" w:rsidRPr="00D72043">
        <w:rPr>
          <w:rFonts w:ascii="Times New Roman" w:hAnsi="Times New Roman" w:cs="David"/>
          <w:spacing w:val="0"/>
          <w:szCs w:val="24"/>
          <w:rtl/>
        </w:rPr>
        <w:t>[</w:t>
      </w:r>
      <w:r w:rsidR="00D72043" w:rsidRPr="00D72043">
        <w:rPr>
          <w:rFonts w:ascii="Times New Roman" w:hAnsi="Times New Roman" w:cs="David" w:hint="eastAsia"/>
          <w:spacing w:val="0"/>
          <w:szCs w:val="24"/>
          <w:rtl/>
        </w:rPr>
        <w:t>נבו</w:t>
      </w:r>
      <w:r w:rsidR="00D72043" w:rsidRPr="00D72043">
        <w:rPr>
          <w:rFonts w:ascii="Times New Roman" w:hAnsi="Times New Roman" w:cs="David"/>
          <w:spacing w:val="0"/>
          <w:szCs w:val="24"/>
          <w:rtl/>
        </w:rPr>
        <w:t>]</w:t>
      </w:r>
      <w:r w:rsidR="00D72043">
        <w:rPr>
          <w:rtl/>
        </w:rPr>
        <w:t xml:space="preserve"> </w:t>
      </w:r>
      <w:r>
        <w:rPr>
          <w:rtl/>
        </w:rPr>
        <w:t xml:space="preserve">(30.10.2023); </w:t>
      </w:r>
      <w:hyperlink r:id="rId16" w:history="1">
        <w:r w:rsidR="00690A98" w:rsidRPr="00690A98">
          <w:rPr>
            <w:color w:val="0000FF"/>
            <w:u w:val="single"/>
            <w:rtl/>
          </w:rPr>
          <w:t>בג"ץ 8452/19</w:t>
        </w:r>
      </w:hyperlink>
      <w:r>
        <w:rPr>
          <w:rtl/>
        </w:rPr>
        <w:t xml:space="preserve"> </w:t>
      </w:r>
      <w:r>
        <w:rPr>
          <w:rFonts w:ascii="Century" w:hAnsi="Century" w:cs="Miriam"/>
          <w:b/>
          <w:spacing w:val="0"/>
          <w:szCs w:val="24"/>
          <w:rtl/>
        </w:rPr>
        <w:t>עיריית חברון נ' מדינת ישראל</w:t>
      </w:r>
      <w:r>
        <w:rPr>
          <w:rtl/>
        </w:rPr>
        <w:t xml:space="preserve">, פסקה 32 </w:t>
      </w:r>
      <w:r w:rsidR="00D72043" w:rsidRPr="00D72043">
        <w:rPr>
          <w:rFonts w:ascii="Times New Roman" w:hAnsi="Times New Roman" w:cs="David"/>
          <w:spacing w:val="0"/>
          <w:szCs w:val="24"/>
          <w:rtl/>
        </w:rPr>
        <w:t>[</w:t>
      </w:r>
      <w:r w:rsidR="00D72043" w:rsidRPr="00D72043">
        <w:rPr>
          <w:rFonts w:ascii="Times New Roman" w:hAnsi="Times New Roman" w:cs="David" w:hint="eastAsia"/>
          <w:spacing w:val="0"/>
          <w:szCs w:val="24"/>
          <w:rtl/>
        </w:rPr>
        <w:t>נבו</w:t>
      </w:r>
      <w:r w:rsidR="00D72043" w:rsidRPr="00D72043">
        <w:rPr>
          <w:rFonts w:ascii="Times New Roman" w:hAnsi="Times New Roman" w:cs="David"/>
          <w:spacing w:val="0"/>
          <w:szCs w:val="24"/>
          <w:rtl/>
        </w:rPr>
        <w:t>]</w:t>
      </w:r>
      <w:r w:rsidR="00D72043">
        <w:rPr>
          <w:rtl/>
        </w:rPr>
        <w:t xml:space="preserve"> </w:t>
      </w:r>
      <w:r>
        <w:rPr>
          <w:rtl/>
        </w:rPr>
        <w:t>(28.2.2022)). המקרה דנן אינו נמנה עם אותם מקרים המצדיקים התערבות בשיקול דעת המפקד הצבאי, כפי שנבהיר להלן.</w:t>
      </w:r>
    </w:p>
    <w:p w14:paraId="338E598B" w14:textId="77777777" w:rsidR="00DA493C" w:rsidRDefault="00DA493C" w:rsidP="00DA493C">
      <w:pPr>
        <w:pStyle w:val="Ruller40"/>
        <w:rPr>
          <w:rtl/>
        </w:rPr>
      </w:pPr>
    </w:p>
    <w:p w14:paraId="770DEC2E" w14:textId="77777777" w:rsidR="00DA493C" w:rsidRDefault="00000000" w:rsidP="00DA493C">
      <w:pPr>
        <w:pStyle w:val="Ruller40"/>
        <w:rPr>
          <w:rtl/>
        </w:rPr>
      </w:pPr>
      <w:r>
        <w:rPr>
          <w:rtl/>
        </w:rPr>
        <w:tab/>
        <w:t xml:space="preserve">כעולה מתגובת המשיבים, החלטת המפקד הצבאי התבססה על שיקולים ענייניים. בתוך כך, פרט המפקד הצבאי שורת טעמים רלוונטיים המצדיקים את סגירת השטח ואת הוצאות קומץ סירות הדיג שנותרו לעגון במימי המעגנה, ובין היתר – פגיעה בזמני התגובה של כוחות זרוע הים, סיכונים בטיחותיים, סיכון להינזקות כלי השיט, ופגיעה אפשרית בביטחון מידע (ראו והשוו: </w:t>
      </w:r>
      <w:hyperlink r:id="rId17" w:history="1">
        <w:r w:rsidR="00690A98" w:rsidRPr="00690A98">
          <w:rPr>
            <w:color w:val="0000FF"/>
            <w:u w:val="single"/>
            <w:rtl/>
          </w:rPr>
          <w:t>בג"ץ 2652/21</w:t>
        </w:r>
      </w:hyperlink>
      <w:r>
        <w:rPr>
          <w:rtl/>
        </w:rPr>
        <w:t xml:space="preserve"> </w:t>
      </w:r>
      <w:r>
        <w:rPr>
          <w:rFonts w:ascii="Century" w:hAnsi="Century" w:cs="Miriam"/>
          <w:b/>
          <w:spacing w:val="0"/>
          <w:szCs w:val="24"/>
          <w:rtl/>
        </w:rPr>
        <w:t>מושקוביץ נ' שר הביטחון</w:t>
      </w:r>
      <w:r>
        <w:rPr>
          <w:rtl/>
        </w:rPr>
        <w:t xml:space="preserve">, פסקה 7 </w:t>
      </w:r>
      <w:r w:rsidR="00D72043" w:rsidRPr="00D72043">
        <w:rPr>
          <w:rFonts w:ascii="Times New Roman" w:hAnsi="Times New Roman" w:cs="David"/>
          <w:spacing w:val="0"/>
          <w:szCs w:val="24"/>
          <w:rtl/>
        </w:rPr>
        <w:t>[</w:t>
      </w:r>
      <w:r w:rsidR="00D72043" w:rsidRPr="00D72043">
        <w:rPr>
          <w:rFonts w:ascii="Times New Roman" w:hAnsi="Times New Roman" w:cs="David" w:hint="eastAsia"/>
          <w:spacing w:val="0"/>
          <w:szCs w:val="24"/>
          <w:rtl/>
        </w:rPr>
        <w:t>נבו</w:t>
      </w:r>
      <w:r w:rsidR="00D72043" w:rsidRPr="00D72043">
        <w:rPr>
          <w:rFonts w:ascii="Times New Roman" w:hAnsi="Times New Roman" w:cs="David"/>
          <w:spacing w:val="0"/>
          <w:szCs w:val="24"/>
          <w:rtl/>
        </w:rPr>
        <w:t>]</w:t>
      </w:r>
      <w:r w:rsidR="00D72043">
        <w:rPr>
          <w:rtl/>
        </w:rPr>
        <w:t xml:space="preserve"> </w:t>
      </w:r>
      <w:r>
        <w:rPr>
          <w:rtl/>
        </w:rPr>
        <w:t>(1.6.2021)). כמו כן, דומה כי המפקד הצבאי נתן דעתו ולקח בחשבון את הפגיעה שתגרם לעותרים. בהקשר זה יוער כי על פני הדברים, הפגיעה אינה משמעותית, ומתבטאת בעיקר בצורך להעלות את הסירות לחניון הסירות היבשתי. אך למעט הטורח הכרוך בכך, בהתאם לצווים הדייגים יכולים להפליג דרומה אל מחוץ לשטח הסגור ולדוג שם על פי התנאים המפורטים בצו. מכאן, שלעותרים עומדת חלופה אפשרית לעגינת כלי השיט במעגנה, ואף הותאם "חלון זמנים" ונתיב שיט שיאפשר להם להפליג דרומה לצרכי דיג, כך שנכון לעת הזו אין מניעה לקיים את מלאכת הדיג הדרושה לפרנסתם.</w:t>
      </w:r>
    </w:p>
    <w:p w14:paraId="6C2A93E0" w14:textId="77777777" w:rsidR="00DA493C" w:rsidRDefault="00DA493C" w:rsidP="00DA493C">
      <w:pPr>
        <w:pStyle w:val="Ruller40"/>
        <w:rPr>
          <w:rtl/>
        </w:rPr>
      </w:pPr>
    </w:p>
    <w:p w14:paraId="3877D942" w14:textId="77777777" w:rsidR="00DA493C" w:rsidRDefault="00000000" w:rsidP="00DA493C">
      <w:pPr>
        <w:pStyle w:val="Ruller40"/>
        <w:rPr>
          <w:rtl/>
        </w:rPr>
      </w:pPr>
      <w:r>
        <w:rPr>
          <w:rtl/>
        </w:rPr>
        <w:tab/>
        <w:t>אשר להתבטאות נציג צה"ל במסגרת הוולמ"ב לפיה לא קיימת מניעה ביטחונית להותרת הסירות במעגנה – אין בהתבטאות הנציג בוועדה, שעסקה בהקמת המזח ונגזרותיו התכנוניות, לכבול את המפקד הצבאי ואת סמכויותיו לסגירת ש</w:t>
      </w:r>
      <w:r w:rsidR="00AA22FF">
        <w:rPr>
          <w:rtl/>
        </w:rPr>
        <w:t>טח ימי, ובכל מקרה אין בה ללמד ע</w:t>
      </w:r>
      <w:r w:rsidR="00AA22FF">
        <w:rPr>
          <w:rFonts w:hint="cs"/>
          <w:rtl/>
        </w:rPr>
        <w:t>ל</w:t>
      </w:r>
      <w:r>
        <w:rPr>
          <w:rtl/>
        </w:rPr>
        <w:t xml:space="preserve"> הצורך הביטחוני בנוגע לשטח הסגור. </w:t>
      </w:r>
    </w:p>
    <w:p w14:paraId="68D68D92" w14:textId="77777777" w:rsidR="00DA493C" w:rsidRDefault="00DA493C" w:rsidP="00DA493C">
      <w:pPr>
        <w:pStyle w:val="Ruller40"/>
        <w:rPr>
          <w:rtl/>
        </w:rPr>
      </w:pPr>
    </w:p>
    <w:p w14:paraId="0A01F6A7" w14:textId="77777777" w:rsidR="00DA493C" w:rsidRDefault="00000000" w:rsidP="00DA493C">
      <w:pPr>
        <w:pStyle w:val="Ruller40"/>
        <w:rPr>
          <w:rtl/>
        </w:rPr>
      </w:pPr>
      <w:r>
        <w:rPr>
          <w:rtl/>
        </w:rPr>
        <w:lastRenderedPageBreak/>
        <w:t>14.</w:t>
      </w:r>
      <w:r>
        <w:rPr>
          <w:rtl/>
        </w:rPr>
        <w:tab/>
        <w:t xml:space="preserve">לא עלה בידי העותרים להניח תשתית עובדתית מספקת לביסוס טענותיהם בדבר קיומם של שיקולים זרים. כעולה מנספח ב' לעתירה, פניות העירייה לעותרים נעשו החל מהשבעה באוקטובר בהמשך להנחיה שזו קיבלה מהצבא ומהמשטרה. כמו כן, היות שמתגובת המשיבים עולה כי הצו שהוצא בחודש אוקטובר התייחס לשטח המעגנה ולאיסור העגינה בו, הרי שאין בעדכון הצו לאחר פניות העירייה לעותרים להוצאת כלי השיט כדי להצביע על כך שהיוזמה להוצאתם מקורה בעירייה. </w:t>
      </w:r>
    </w:p>
    <w:p w14:paraId="08602BA1" w14:textId="77777777" w:rsidR="00DA493C" w:rsidRDefault="00DA493C" w:rsidP="00DA493C">
      <w:pPr>
        <w:pStyle w:val="Ruller40"/>
        <w:rPr>
          <w:rtl/>
        </w:rPr>
      </w:pPr>
    </w:p>
    <w:p w14:paraId="6C76737C" w14:textId="77777777" w:rsidR="00DA493C" w:rsidRDefault="00000000" w:rsidP="00DA493C">
      <w:pPr>
        <w:pStyle w:val="Ruller40"/>
        <w:rPr>
          <w:rtl/>
        </w:rPr>
      </w:pPr>
      <w:r>
        <w:rPr>
          <w:rtl/>
        </w:rPr>
        <w:t>15.</w:t>
      </w:r>
      <w:r>
        <w:rPr>
          <w:rtl/>
        </w:rPr>
        <w:tab/>
        <w:t xml:space="preserve">אשר לטענת האכיפה הבררנית, נחה דעתנו מתשובת המפקד הצבאי לפיה יש טעמים להבחין בין הרוחצים לכלי השיט וכי פעילות הרוחצים ממוקמת בעיקרה בסמיכות לחוף ובשונה מכלי השיט לא מצויה באזור המעגנה (להרחבה אודות הנטל הגבוה הדרוש להוכחת אכיפה בררנית ראו, מני רבים: </w:t>
      </w:r>
      <w:hyperlink r:id="rId18" w:history="1">
        <w:r w:rsidR="00690A98" w:rsidRPr="00690A98">
          <w:rPr>
            <w:color w:val="0000FF"/>
            <w:u w:val="single"/>
            <w:rtl/>
          </w:rPr>
          <w:t>בג"ץ 4145/23</w:t>
        </w:r>
      </w:hyperlink>
      <w:r>
        <w:rPr>
          <w:rtl/>
        </w:rPr>
        <w:t xml:space="preserve"> </w:t>
      </w:r>
      <w:r>
        <w:rPr>
          <w:rFonts w:ascii="Century" w:hAnsi="Century" w:cs="Miriam"/>
          <w:b/>
          <w:spacing w:val="0"/>
          <w:szCs w:val="24"/>
          <w:rtl/>
        </w:rPr>
        <w:t>זנגריה נ' רשות מקרקעי ישראל</w:t>
      </w:r>
      <w:r>
        <w:rPr>
          <w:rtl/>
        </w:rPr>
        <w:t xml:space="preserve">, פסקה 6 </w:t>
      </w:r>
      <w:r w:rsidR="00D72043" w:rsidRPr="00D72043">
        <w:rPr>
          <w:rFonts w:ascii="Times New Roman" w:hAnsi="Times New Roman" w:cs="David"/>
          <w:spacing w:val="0"/>
          <w:szCs w:val="24"/>
          <w:rtl/>
        </w:rPr>
        <w:t>[</w:t>
      </w:r>
      <w:r w:rsidR="00D72043" w:rsidRPr="00D72043">
        <w:rPr>
          <w:rFonts w:ascii="Times New Roman" w:hAnsi="Times New Roman" w:cs="David" w:hint="eastAsia"/>
          <w:spacing w:val="0"/>
          <w:szCs w:val="24"/>
          <w:rtl/>
        </w:rPr>
        <w:t>נבו</w:t>
      </w:r>
      <w:r w:rsidR="00D72043" w:rsidRPr="00D72043">
        <w:rPr>
          <w:rFonts w:ascii="Times New Roman" w:hAnsi="Times New Roman" w:cs="David"/>
          <w:spacing w:val="0"/>
          <w:szCs w:val="24"/>
          <w:rtl/>
        </w:rPr>
        <w:t>]</w:t>
      </w:r>
      <w:r w:rsidR="00D72043">
        <w:rPr>
          <w:rtl/>
        </w:rPr>
        <w:t xml:space="preserve"> </w:t>
      </w:r>
      <w:r>
        <w:rPr>
          <w:rtl/>
        </w:rPr>
        <w:t xml:space="preserve">(5.6.2024)). לא מצאנו ממש גם ביתר טענות העותרים, ומקובלת עלינו תשובת המשיבים לגבי השוני הרלוונטי בין המעגנה בנהריה לבין המרינה באשדוד ובאשקלון.  </w:t>
      </w:r>
    </w:p>
    <w:p w14:paraId="17395E80" w14:textId="77777777" w:rsidR="00DA493C" w:rsidRDefault="00DA493C" w:rsidP="00DA493C">
      <w:pPr>
        <w:pStyle w:val="Ruller40"/>
        <w:rPr>
          <w:rtl/>
        </w:rPr>
      </w:pPr>
    </w:p>
    <w:p w14:paraId="0EEB111F" w14:textId="77777777" w:rsidR="00DA493C" w:rsidRDefault="00000000" w:rsidP="00DA493C">
      <w:pPr>
        <w:pStyle w:val="Ruller40"/>
        <w:rPr>
          <w:rtl/>
        </w:rPr>
      </w:pPr>
      <w:r>
        <w:rPr>
          <w:rtl/>
        </w:rPr>
        <w:t>16.</w:t>
      </w:r>
      <w:r>
        <w:rPr>
          <w:rtl/>
        </w:rPr>
        <w:tab/>
        <w:t xml:space="preserve">בשורה התחתונה, גם אם ניתן להבין את מצוקתם של העותרים לאור המצב הביטחוני המורכב וההתמודדות המתמשכת עימו, הרי שבנסיבות הביטחוניות הייחודיות כמתואר לעיל, לא מצאנו כי נפל פגם המצדיק את התערבותנו. </w:t>
      </w:r>
    </w:p>
    <w:p w14:paraId="6AFC83B6" w14:textId="77777777" w:rsidR="00DA493C" w:rsidRDefault="00DA493C" w:rsidP="00DA493C">
      <w:pPr>
        <w:pStyle w:val="Ruller40"/>
        <w:rPr>
          <w:rtl/>
        </w:rPr>
      </w:pPr>
    </w:p>
    <w:p w14:paraId="7455D8D2" w14:textId="77777777" w:rsidR="00DA493C" w:rsidRDefault="00000000" w:rsidP="00DA493C">
      <w:pPr>
        <w:pStyle w:val="Ruller40"/>
        <w:rPr>
          <w:rtl/>
        </w:rPr>
      </w:pPr>
      <w:r>
        <w:rPr>
          <w:rtl/>
        </w:rPr>
        <w:tab/>
        <w:t>סוף דבר: שהעתירה נדחית, וממילא נדחית הבקשה למתן צווי ביניים.</w:t>
      </w:r>
    </w:p>
    <w:p w14:paraId="1C6BEC4C" w14:textId="77777777" w:rsidR="00DA493C" w:rsidRDefault="00DA493C" w:rsidP="00DA493C">
      <w:pPr>
        <w:pStyle w:val="Ruller40"/>
        <w:rPr>
          <w:rtl/>
        </w:rPr>
      </w:pPr>
    </w:p>
    <w:p w14:paraId="7354EAC2" w14:textId="77777777" w:rsidR="00DA493C" w:rsidRDefault="00000000" w:rsidP="00DA493C">
      <w:pPr>
        <w:pStyle w:val="Ruller40"/>
        <w:rPr>
          <w:rtl/>
        </w:rPr>
      </w:pPr>
      <w:r>
        <w:rPr>
          <w:rtl/>
        </w:rPr>
        <w:tab/>
        <w:t>בנסיבות העניין, לא ייעשה צו להוצאות.</w:t>
      </w:r>
    </w:p>
    <w:p w14:paraId="1BBF1BCD" w14:textId="77777777" w:rsidR="00DA493C" w:rsidRDefault="00DA493C" w:rsidP="00DA493C">
      <w:pPr>
        <w:pStyle w:val="Ruller40"/>
        <w:rPr>
          <w:rtl/>
        </w:rPr>
      </w:pPr>
    </w:p>
    <w:p w14:paraId="0D9A3CC0" w14:textId="77777777" w:rsidR="00D94B7C" w:rsidRDefault="00690A98" w:rsidP="0052547C">
      <w:pPr>
        <w:spacing w:line="360" w:lineRule="auto"/>
        <w:ind w:firstLine="720"/>
        <w:jc w:val="both"/>
        <w:rPr>
          <w:rFonts w:ascii="FrankRuehl" w:hAnsi="FrankRuehl" w:cs="FrankRuehl"/>
          <w:spacing w:val="10"/>
          <w:sz w:val="28"/>
          <w:szCs w:val="28"/>
          <w:rtl/>
        </w:rPr>
      </w:pPr>
      <w:bookmarkStart w:id="8" w:name="Nitan"/>
      <w:r>
        <w:rPr>
          <w:rFonts w:ascii="FrankRuehl" w:hAnsi="FrankRuehl" w:cs="FrankRuehl"/>
          <w:spacing w:val="10"/>
          <w:sz w:val="28"/>
          <w:szCs w:val="28"/>
          <w:rtl/>
        </w:rPr>
        <w:t xml:space="preserve">ניתן היום, י"ז חשוון תשפ"ה (18 נובמבר 2024). </w:t>
      </w:r>
      <w:bookmarkEnd w:id="8"/>
    </w:p>
    <w:tbl>
      <w:tblPr>
        <w:bidiVisual/>
        <w:tblW w:w="0" w:type="auto"/>
        <w:jc w:val="center"/>
        <w:tblLook w:val="04A0" w:firstRow="1" w:lastRow="0" w:firstColumn="1" w:lastColumn="0" w:noHBand="0" w:noVBand="1"/>
      </w:tblPr>
      <w:tblGrid>
        <w:gridCol w:w="2808"/>
        <w:gridCol w:w="2751"/>
        <w:gridCol w:w="2748"/>
      </w:tblGrid>
      <w:tr w:rsidR="00A75B89" w14:paraId="2F5F51DA" w14:textId="77777777" w:rsidTr="00690A98">
        <w:trPr>
          <w:jc w:val="center"/>
        </w:trPr>
        <w:tc>
          <w:tcPr>
            <w:tcW w:w="2827" w:type="dxa"/>
            <w:shd w:val="clear" w:color="auto" w:fill="auto"/>
          </w:tcPr>
          <w:p w14:paraId="71194AD8" w14:textId="77777777" w:rsidR="00690A98" w:rsidRPr="00690A98" w:rsidRDefault="00690A98" w:rsidP="009A23FD">
            <w:pPr>
              <w:rPr>
                <w:rFonts w:ascii="Courier New" w:hAnsi="Courier New"/>
              </w:rPr>
            </w:pPr>
          </w:p>
          <w:p w14:paraId="72592A0A" w14:textId="77777777" w:rsidR="00690A98" w:rsidRPr="00690A98" w:rsidRDefault="00000000" w:rsidP="00690A98">
            <w:pPr>
              <w:jc w:val="center"/>
              <w:rPr>
                <w:rFonts w:ascii="FrankRuehl" w:hAnsi="FrankRuehl" w:cs="FrankRuehl"/>
                <w:spacing w:val="10"/>
                <w:sz w:val="28"/>
                <w:szCs w:val="28"/>
                <w:rtl/>
              </w:rPr>
            </w:pPr>
            <w:r w:rsidRPr="00690A98">
              <w:rPr>
                <w:rFonts w:ascii="FrankRuehl" w:hAnsi="FrankRuehl" w:cs="FrankRuehl"/>
                <w:spacing w:val="10"/>
                <w:sz w:val="28"/>
                <w:szCs w:val="28"/>
                <w:rtl/>
              </w:rPr>
              <w:t>יצחק עמית</w:t>
            </w:r>
          </w:p>
          <w:p w14:paraId="61AEBF49" w14:textId="77777777" w:rsidR="00690A98" w:rsidRPr="00690A98" w:rsidRDefault="00000000" w:rsidP="009A23FD">
            <w:pPr>
              <w:rPr>
                <w:rFonts w:ascii="Courier New" w:hAnsi="Courier New"/>
              </w:rPr>
            </w:pPr>
            <w:r w:rsidRPr="00690A98">
              <w:rPr>
                <w:rFonts w:ascii="FrankRuehl" w:hAnsi="FrankRuehl" w:cs="FrankRuehl" w:hint="cs"/>
                <w:spacing w:val="10"/>
                <w:sz w:val="28"/>
                <w:szCs w:val="28"/>
                <w:rtl/>
              </w:rPr>
              <w:t>ממלא מקום הנשיא</w:t>
            </w:r>
          </w:p>
          <w:p w14:paraId="07ED44E4" w14:textId="77777777" w:rsidR="006B0303" w:rsidRPr="003941BD" w:rsidRDefault="006B0303" w:rsidP="009A23FD">
            <w:pPr>
              <w:rPr>
                <w:rtl/>
              </w:rPr>
            </w:pPr>
          </w:p>
          <w:p w14:paraId="34788B7D" w14:textId="77777777" w:rsidR="008A481A" w:rsidRPr="00690A98" w:rsidRDefault="008A481A" w:rsidP="00690A98">
            <w:pPr>
              <w:spacing w:line="360" w:lineRule="auto"/>
              <w:jc w:val="center"/>
              <w:rPr>
                <w:rFonts w:ascii="FrankRuehl" w:hAnsi="FrankRuehl" w:cs="FrankRuehl"/>
                <w:spacing w:val="10"/>
                <w:sz w:val="28"/>
                <w:szCs w:val="28"/>
                <w:rtl/>
              </w:rPr>
            </w:pPr>
          </w:p>
        </w:tc>
        <w:tc>
          <w:tcPr>
            <w:tcW w:w="2766" w:type="dxa"/>
            <w:shd w:val="clear" w:color="auto" w:fill="auto"/>
          </w:tcPr>
          <w:p w14:paraId="0F8BF7C8" w14:textId="77777777" w:rsidR="00690A98" w:rsidRPr="00690A98" w:rsidRDefault="00690A98">
            <w:pPr>
              <w:rPr>
                <w:rFonts w:ascii="Courier New" w:hAnsi="Courier New"/>
                <w:sz w:val="20"/>
                <w:szCs w:val="20"/>
                <w:rtl/>
              </w:rPr>
            </w:pPr>
          </w:p>
          <w:p w14:paraId="07AD5E12" w14:textId="77777777" w:rsidR="00690A98" w:rsidRPr="00690A98" w:rsidRDefault="00000000" w:rsidP="00690A98">
            <w:pPr>
              <w:jc w:val="center"/>
              <w:rPr>
                <w:rFonts w:ascii="FrankRuehl" w:hAnsi="FrankRuehl" w:cs="FrankRuehl"/>
                <w:spacing w:val="10"/>
                <w:sz w:val="28"/>
                <w:szCs w:val="28"/>
                <w:rtl/>
              </w:rPr>
            </w:pPr>
            <w:r w:rsidRPr="00690A98">
              <w:rPr>
                <w:rFonts w:ascii="FrankRuehl" w:hAnsi="FrankRuehl" w:cs="FrankRuehl"/>
                <w:spacing w:val="10"/>
                <w:sz w:val="28"/>
                <w:szCs w:val="28"/>
                <w:rtl/>
              </w:rPr>
              <w:t>עופר גרוסקופף</w:t>
            </w:r>
          </w:p>
          <w:p w14:paraId="20FE84AD" w14:textId="77777777" w:rsidR="00690A98" w:rsidRPr="00690A98" w:rsidRDefault="00000000">
            <w:pPr>
              <w:rPr>
                <w:rFonts w:ascii="FrankRuehl" w:hAnsi="FrankRuehl" w:cs="FrankRuehl"/>
                <w:spacing w:val="10"/>
                <w:sz w:val="28"/>
                <w:szCs w:val="28"/>
                <w:rtl/>
              </w:rPr>
            </w:pPr>
            <w:r w:rsidRPr="00690A98">
              <w:rPr>
                <w:rFonts w:ascii="FrankRuehl" w:hAnsi="FrankRuehl" w:cs="FrankRuehl"/>
                <w:spacing w:val="10"/>
                <w:sz w:val="28"/>
                <w:szCs w:val="28"/>
                <w:rtl/>
              </w:rPr>
              <w:t>שופט</w:t>
            </w:r>
          </w:p>
          <w:p w14:paraId="5F3493CC" w14:textId="77777777" w:rsidR="00D94B7C" w:rsidRPr="006F3A20" w:rsidRDefault="00D94B7C" w:rsidP="009A23FD"/>
          <w:p w14:paraId="7F16E6BA" w14:textId="77777777" w:rsidR="008A481A" w:rsidRPr="00690A98" w:rsidRDefault="008A481A" w:rsidP="00690A98">
            <w:pPr>
              <w:spacing w:line="360" w:lineRule="auto"/>
              <w:jc w:val="center"/>
              <w:rPr>
                <w:rFonts w:ascii="FrankRuehl" w:hAnsi="FrankRuehl" w:cs="FrankRuehl"/>
                <w:spacing w:val="10"/>
                <w:sz w:val="28"/>
                <w:szCs w:val="28"/>
                <w:rtl/>
              </w:rPr>
            </w:pPr>
          </w:p>
        </w:tc>
        <w:tc>
          <w:tcPr>
            <w:tcW w:w="2766" w:type="dxa"/>
            <w:shd w:val="clear" w:color="auto" w:fill="auto"/>
          </w:tcPr>
          <w:p w14:paraId="2C9E63CF" w14:textId="77777777" w:rsidR="00690A98" w:rsidRPr="00690A98" w:rsidRDefault="00690A98">
            <w:pPr>
              <w:rPr>
                <w:rFonts w:ascii="Courier New" w:hAnsi="Courier New"/>
              </w:rPr>
            </w:pPr>
          </w:p>
          <w:p w14:paraId="5367C7F3" w14:textId="77777777" w:rsidR="00690A98" w:rsidRPr="00690A98" w:rsidRDefault="00000000" w:rsidP="00690A98">
            <w:pPr>
              <w:jc w:val="center"/>
              <w:rPr>
                <w:rFonts w:ascii="FrankRuehl" w:hAnsi="FrankRuehl" w:cs="FrankRuehl"/>
                <w:spacing w:val="10"/>
                <w:sz w:val="28"/>
                <w:szCs w:val="28"/>
                <w:rtl/>
              </w:rPr>
            </w:pPr>
            <w:r w:rsidRPr="00690A98">
              <w:rPr>
                <w:rFonts w:ascii="FrankRuehl" w:hAnsi="FrankRuehl" w:cs="FrankRuehl"/>
                <w:spacing w:val="10"/>
                <w:sz w:val="28"/>
                <w:szCs w:val="28"/>
                <w:rtl/>
              </w:rPr>
              <w:t>רות רונן</w:t>
            </w:r>
          </w:p>
          <w:p w14:paraId="4F6EA79E" w14:textId="77777777" w:rsidR="00690A98" w:rsidRPr="00690A98" w:rsidRDefault="00000000" w:rsidP="009A23FD">
            <w:pPr>
              <w:rPr>
                <w:rFonts w:ascii="Courier New" w:hAnsi="Courier New"/>
              </w:rPr>
            </w:pPr>
            <w:r w:rsidRPr="00690A98">
              <w:rPr>
                <w:rFonts w:ascii="FrankRuehl" w:hAnsi="FrankRuehl" w:cs="FrankRuehl"/>
                <w:spacing w:val="10"/>
                <w:sz w:val="28"/>
                <w:szCs w:val="28"/>
                <w:rtl/>
              </w:rPr>
              <w:t>שופטת</w:t>
            </w:r>
          </w:p>
          <w:p w14:paraId="63213947" w14:textId="77777777" w:rsidR="00D94B7C" w:rsidRPr="00AA0167" w:rsidRDefault="00D94B7C"/>
          <w:p w14:paraId="0C9F53AE" w14:textId="77777777" w:rsidR="00690A98" w:rsidRPr="00690A98" w:rsidRDefault="00690A98" w:rsidP="00690A98">
            <w:pPr>
              <w:spacing w:line="360" w:lineRule="auto"/>
              <w:jc w:val="center"/>
              <w:rPr>
                <w:rFonts w:ascii="FrankRuehl" w:hAnsi="FrankRuehl" w:cs="FrankRuehl"/>
                <w:spacing w:val="10"/>
                <w:sz w:val="28"/>
                <w:szCs w:val="28"/>
                <w:rtl/>
              </w:rPr>
            </w:pPr>
          </w:p>
          <w:p w14:paraId="5759E97D" w14:textId="77777777" w:rsidR="008A481A" w:rsidRPr="00690A98" w:rsidRDefault="008A481A" w:rsidP="00690A98">
            <w:pPr>
              <w:spacing w:line="360" w:lineRule="auto"/>
              <w:jc w:val="center"/>
              <w:rPr>
                <w:rFonts w:ascii="FrankRuehl" w:hAnsi="FrankRuehl" w:cs="FrankRuehl"/>
                <w:spacing w:val="10"/>
                <w:sz w:val="28"/>
                <w:szCs w:val="28"/>
                <w:rtl/>
              </w:rPr>
            </w:pPr>
          </w:p>
        </w:tc>
      </w:tr>
    </w:tbl>
    <w:p w14:paraId="76D3F22E" w14:textId="77777777" w:rsidR="008A481A" w:rsidRPr="00690A98" w:rsidRDefault="00690A98" w:rsidP="008A481A">
      <w:pPr>
        <w:spacing w:line="360" w:lineRule="auto"/>
        <w:jc w:val="both"/>
        <w:rPr>
          <w:rFonts w:ascii="FrankRuehl" w:hAnsi="FrankRuehl" w:cs="FrankRuehl"/>
          <w:color w:val="FFFFFF"/>
          <w:spacing w:val="10"/>
          <w:sz w:val="2"/>
          <w:szCs w:val="2"/>
          <w:rtl/>
        </w:rPr>
      </w:pPr>
      <w:r w:rsidRPr="00690A98">
        <w:rPr>
          <w:rFonts w:ascii="FrankRuehl" w:hAnsi="FrankRuehl" w:cs="FrankRuehl"/>
          <w:color w:val="FFFFFF"/>
          <w:spacing w:val="10"/>
          <w:sz w:val="2"/>
          <w:szCs w:val="2"/>
          <w:rtl/>
        </w:rPr>
        <w:t>5129371</w:t>
      </w:r>
    </w:p>
    <w:p w14:paraId="3BFED4AF" w14:textId="77777777" w:rsidR="00C43648" w:rsidRPr="00690A98" w:rsidRDefault="00690A98" w:rsidP="00BD6531">
      <w:pPr>
        <w:tabs>
          <w:tab w:val="left" w:pos="2553"/>
        </w:tabs>
        <w:ind w:left="5040"/>
        <w:rPr>
          <w:rFonts w:ascii="FrankRuehl" w:hAnsi="FrankRuehl" w:cs="FrankRuehl"/>
          <w:color w:val="FFFFFF"/>
          <w:sz w:val="2"/>
          <w:szCs w:val="2"/>
          <w:rtl/>
        </w:rPr>
      </w:pPr>
      <w:r w:rsidRPr="00690A98">
        <w:rPr>
          <w:rFonts w:ascii="FrankRuehl" w:hAnsi="FrankRuehl" w:cs="FrankRuehl"/>
          <w:color w:val="FFFFFF"/>
          <w:sz w:val="2"/>
          <w:szCs w:val="2"/>
          <w:rtl/>
        </w:rPr>
        <w:t>54678313</w:t>
      </w:r>
    </w:p>
    <w:p w14:paraId="3A320EB9" w14:textId="77777777" w:rsidR="00694556" w:rsidRPr="00690A98" w:rsidRDefault="00BD6531" w:rsidP="00690A98">
      <w:pPr>
        <w:keepNext/>
        <w:tabs>
          <w:tab w:val="left" w:pos="2553"/>
        </w:tabs>
        <w:rPr>
          <w:rFonts w:ascii="David" w:hAnsi="David"/>
          <w:color w:val="000000"/>
          <w:sz w:val="22"/>
          <w:szCs w:val="22"/>
          <w:rtl/>
        </w:rPr>
      </w:pPr>
      <w:r w:rsidRPr="00105E0F">
        <w:rPr>
          <w:rFonts w:ascii="FrankRuehl" w:hAnsi="FrankRuehl" w:cs="FrankRuehl"/>
          <w:sz w:val="28"/>
          <w:szCs w:val="28"/>
          <w:rtl/>
        </w:rPr>
        <w:tab/>
      </w:r>
      <w:r w:rsidRPr="00105E0F">
        <w:rPr>
          <w:rFonts w:ascii="FrankRuehl" w:hAnsi="FrankRuehl" w:cs="FrankRuehl"/>
          <w:sz w:val="28"/>
          <w:szCs w:val="28"/>
          <w:rtl/>
        </w:rPr>
        <w:tab/>
      </w:r>
      <w:r w:rsidRPr="00105E0F">
        <w:rPr>
          <w:rFonts w:ascii="FrankRuehl" w:hAnsi="FrankRuehl" w:cs="FrankRuehl"/>
          <w:sz w:val="28"/>
          <w:szCs w:val="28"/>
          <w:rtl/>
        </w:rPr>
        <w:tab/>
      </w:r>
      <w:r w:rsidRPr="00105E0F">
        <w:rPr>
          <w:rFonts w:ascii="FrankRuehl" w:hAnsi="FrankRuehl" w:cs="FrankRuehl"/>
          <w:sz w:val="28"/>
          <w:szCs w:val="28"/>
          <w:rtl/>
        </w:rPr>
        <w:tab/>
        <w:t xml:space="preserve">        </w:t>
      </w:r>
    </w:p>
    <w:p w14:paraId="0CA328FE" w14:textId="77777777" w:rsidR="00690A98" w:rsidRPr="00690A98" w:rsidRDefault="00690A98" w:rsidP="00690A98">
      <w:pPr>
        <w:tabs>
          <w:tab w:val="left" w:pos="2553"/>
        </w:tabs>
        <w:jc w:val="center"/>
        <w:rPr>
          <w:rFonts w:ascii="FrankRuehl" w:hAnsi="FrankRuehl"/>
          <w:color w:val="0000FF"/>
          <w:sz w:val="28"/>
          <w:u w:val="single"/>
          <w:rtl/>
        </w:rPr>
      </w:pPr>
    </w:p>
    <w:sectPr w:rsidR="00690A98" w:rsidRPr="00690A98" w:rsidSect="00690A98">
      <w:headerReference w:type="even" r:id="rId19"/>
      <w:headerReference w:type="default" r:id="rId20"/>
      <w:footerReference w:type="even" r:id="rId21"/>
      <w:footerReference w:type="default" r:id="rId22"/>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2A4CA" w14:textId="77777777" w:rsidR="00046A1D" w:rsidRDefault="00046A1D">
      <w:r>
        <w:separator/>
      </w:r>
    </w:p>
  </w:endnote>
  <w:endnote w:type="continuationSeparator" w:id="0">
    <w:p w14:paraId="333456F7" w14:textId="77777777" w:rsidR="00046A1D" w:rsidRDefault="0004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3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92BEA" w14:textId="77777777" w:rsidR="00F50282" w:rsidRDefault="00000000" w:rsidP="00690A98">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5</w:t>
    </w:r>
    <w:r>
      <w:rPr>
        <w:rFonts w:ascii="FrankRuehl" w:hAnsi="FrankRuehl" w:cs="FrankRuehl"/>
        <w:rtl/>
      </w:rPr>
      <w:fldChar w:fldCharType="end"/>
    </w:r>
  </w:p>
  <w:p w14:paraId="3A56B010" w14:textId="65E767E8" w:rsidR="00F50282" w:rsidRPr="00690A98" w:rsidRDefault="0075702E" w:rsidP="00690A98">
    <w:pPr>
      <w:pStyle w:val="a7"/>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6B5D7D14" wp14:editId="61D28FE6">
          <wp:extent cx="552450" cy="2286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F17E" w14:textId="77777777" w:rsidR="00F50282" w:rsidRDefault="00000000" w:rsidP="00690A98">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sidR="00D72043">
      <w:rPr>
        <w:rFonts w:ascii="FrankRuehl" w:hAnsi="FrankRuehl" w:cs="FrankRuehl"/>
        <w:noProof/>
        <w:rtl/>
      </w:rPr>
      <w:t>1</w:t>
    </w:r>
    <w:r>
      <w:rPr>
        <w:rFonts w:ascii="FrankRuehl" w:hAnsi="FrankRuehl" w:cs="FrankRuehl"/>
        <w:rtl/>
      </w:rPr>
      <w:fldChar w:fldCharType="end"/>
    </w:r>
  </w:p>
  <w:p w14:paraId="71723C3F" w14:textId="1F76AB48" w:rsidR="00F50282" w:rsidRPr="00690A98" w:rsidRDefault="00F50282" w:rsidP="00690A98">
    <w:pPr>
      <w:pStyle w:val="a7"/>
      <w:pBdr>
        <w:top w:val="single" w:sz="4" w:space="1" w:color="auto"/>
        <w:between w:val="single" w:sz="4" w:space="0" w:color="auto"/>
      </w:pBdr>
      <w:spacing w:after="60"/>
      <w:jc w:val="center"/>
      <w:rPr>
        <w:rFonts w:ascii="FrankRuehl" w:hAnsi="FrankRuehl" w:cs="FrankRueh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B8600" w14:textId="77777777" w:rsidR="00046A1D" w:rsidRDefault="00046A1D">
      <w:r>
        <w:separator/>
      </w:r>
    </w:p>
  </w:footnote>
  <w:footnote w:type="continuationSeparator" w:id="0">
    <w:p w14:paraId="69D4B887" w14:textId="77777777" w:rsidR="00046A1D" w:rsidRDefault="00046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31C7" w14:textId="77777777" w:rsidR="00F50282" w:rsidRPr="00690A98" w:rsidRDefault="00000000" w:rsidP="00690A98">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 xml:space="preserve">בגץ 4842/24 </w:t>
    </w:r>
    <w:r>
      <w:rPr>
        <w:rFonts w:ascii="David" w:hAnsi="David"/>
        <w:color w:val="000000"/>
        <w:sz w:val="22"/>
        <w:szCs w:val="22"/>
        <w:rtl/>
      </w:rPr>
      <w:tab/>
      <w:t xml:space="preserve"> דקל קליין ו- 7 אח' נ' צבא הגנה לישראל מפקד זרוע הים</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ADBDD" w14:textId="77777777" w:rsidR="00F50282" w:rsidRPr="00690A98" w:rsidRDefault="00000000" w:rsidP="00690A98">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9" w:name="_Hlk183057815"/>
    <w:bookmarkStart w:id="10" w:name="_Hlk183057816"/>
    <w:bookmarkStart w:id="11" w:name="_Hlk183057817"/>
    <w:bookmarkStart w:id="12" w:name="_Hlk183057818"/>
    <w:r>
      <w:rPr>
        <w:rFonts w:ascii="David" w:hAnsi="David"/>
        <w:color w:val="000000"/>
        <w:sz w:val="22"/>
        <w:szCs w:val="22"/>
        <w:rtl/>
      </w:rPr>
      <w:t xml:space="preserve">בגץ 4842/24 </w:t>
    </w:r>
    <w:r>
      <w:rPr>
        <w:rFonts w:ascii="David" w:hAnsi="David"/>
        <w:color w:val="000000"/>
        <w:sz w:val="22"/>
        <w:szCs w:val="22"/>
        <w:rtl/>
      </w:rPr>
      <w:tab/>
      <w:t xml:space="preserve"> דקל קליין ו- 7 אח' נ' צבא הגנה לישראל מפקד זרוע הים</w:t>
    </w:r>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565BF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06EB19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A3681C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0264E9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3D2570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42BD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BCAA1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8A4A4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A270D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416C454"/>
    <w:lvl w:ilvl="0">
      <w:start w:val="1"/>
      <w:numFmt w:val="bullet"/>
      <w:pStyle w:val="a0"/>
      <w:lvlText w:val=""/>
      <w:lvlJc w:val="left"/>
      <w:pPr>
        <w:tabs>
          <w:tab w:val="num" w:pos="360"/>
        </w:tabs>
        <w:ind w:left="360" w:hanging="360"/>
      </w:pPr>
      <w:rPr>
        <w:rFonts w:ascii="Symbol" w:hAnsi="Symbol" w:hint="default"/>
      </w:rPr>
    </w:lvl>
  </w:abstractNum>
  <w:num w:numId="1" w16cid:durableId="1477065070">
    <w:abstractNumId w:val="8"/>
  </w:num>
  <w:num w:numId="2" w16cid:durableId="1198812405">
    <w:abstractNumId w:val="3"/>
  </w:num>
  <w:num w:numId="3" w16cid:durableId="490172983">
    <w:abstractNumId w:val="2"/>
  </w:num>
  <w:num w:numId="4" w16cid:durableId="118376111">
    <w:abstractNumId w:val="1"/>
  </w:num>
  <w:num w:numId="5" w16cid:durableId="529421389">
    <w:abstractNumId w:val="0"/>
  </w:num>
  <w:num w:numId="6" w16cid:durableId="935483127">
    <w:abstractNumId w:val="9"/>
  </w:num>
  <w:num w:numId="7" w16cid:durableId="1422532821">
    <w:abstractNumId w:val="7"/>
  </w:num>
  <w:num w:numId="8" w16cid:durableId="373044941">
    <w:abstractNumId w:val="6"/>
  </w:num>
  <w:num w:numId="9" w16cid:durableId="2024549923">
    <w:abstractNumId w:val="5"/>
  </w:num>
  <w:num w:numId="10" w16cid:durableId="391469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81833144"/>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81833144&amp;lt;/CaseID&amp;gt;_x000d__x000a_        &amp;lt;CaseMonth&amp;gt;6&amp;lt;/CaseMonth&amp;gt;_x000d__x000a_        &amp;lt;CaseYear&amp;gt;2024&amp;lt;/CaseYear&amp;gt;_x000d__x000a_        &amp;lt;CaseNumber&amp;gt;68749&amp;lt;/CaseNumber&amp;gt;_x000d__x000a_        &amp;lt;NumeratorGroupID&amp;gt;1&amp;lt;/NumeratorGroupID&amp;gt;_x000d__x000a_        &amp;lt;CaseName&amp;gt;קליין- 7 אח&amp;#39;  נ&amp;#39; צבא הגנה לישראל מפקד זרוע הים  ואח&amp;#39;&amp;lt;/CaseName&amp;gt;_x000d__x000a_        &amp;lt;CourtID&amp;gt;11&amp;lt;/CourtID&amp;gt;_x000d__x000a_        &amp;lt;CaseTypeID&amp;gt;10140&amp;lt;/CaseTypeID&amp;gt;_x000d__x000a_        &amp;lt;CaseInterestID&amp;gt;10770&amp;lt;/CaseInterestID&amp;gt;_x000d__x000a_        &amp;lt;CaseLinkTypeID&amp;gt;18&amp;lt;/CaseLinkTypeID&amp;gt;_x000d__x000a_        &amp;lt;ProcedureID&amp;gt;4&amp;lt;/ProcedureID&amp;gt;_x000d__x000a_        &amp;lt;PreviousCaseYear&amp;gt;2024&amp;lt;/PreviousCaseYear&amp;gt;_x000d__x000a_        &amp;lt;PreviousCaseNumber&amp;gt;4842&amp;lt;/PreviousCaseNumber&amp;gt;_x000d__x000a_        &amp;lt;CaseStatusID&amp;gt;1&amp;lt;/CaseStatusID&amp;gt;_x000d__x000a_        &amp;lt;ProceedingID&amp;gt;7&amp;lt;/ProceedingID&amp;gt;_x000d__x000a_        &amp;lt;IsCaseLinked&amp;gt;true&amp;lt;/IsCaseLinked&amp;gt;_x000d__x000a_        &amp;lt;IsCaseConverted&amp;gt;true&amp;lt;/IsCaseConverted&amp;gt;_x000d__x000a_        &amp;lt;PrivilegeID&amp;gt;1&amp;lt;/PrivilegeID&amp;gt;_x000d__x000a_        &amp;lt;IsAppealingCaseExist&amp;gt;false&amp;lt;/IsAppealingCaseExist&amp;gt;_x000d__x000a_        &amp;lt;CaseDisplayIdentifier&amp;gt;4842/24&amp;lt;/CaseDisplayIdentifier&amp;gt;_x000d__x000a_        &amp;lt;CaseTypeDesc&amp;gt;בג&amp;quot;ץ&amp;lt;/CaseTypeDesc&amp;gt;_x000d__x000a_        &amp;lt;CourtDesc&amp;gt;העליון&amp;lt;/CourtDesc&amp;gt;_x000d__x000a_        &amp;lt;CaseStageDesc&amp;gt;תיק נייר מוסב&amp;lt;/CaseStageDesc&amp;gt;_x000d__x000a_        &amp;lt;IsUnpaidFeeExist&amp;gt;false&amp;lt;/IsUnpaidFeeExist&amp;gt;_x000d__x000a_        &amp;lt;CaseOpenDate&amp;gt;2024-06-16T00:00:00+03:00&amp;lt;/CaseOpenDate&amp;gt;_x000d__x000a_        &amp;lt;PleaTypeID&amp;gt;20&amp;lt;/PleaTypeID&amp;gt;_x000d__x000a_        &amp;lt;CourtLevelID&amp;gt;3&amp;lt;/CourtLevelID&amp;gt;_x000d__x000a_        &amp;lt;CourtLevelCaseTypeInterestID&amp;gt;2259&amp;lt;/CourtLevelCaseTypeInterestID&amp;gt;_x000d__x000a_        &amp;lt;IsJudicalPanel&amp;gt;false&amp;lt;/IsJudicalPanel&amp;gt;_x000d__x000a_        &amp;lt;CourtDisplayName&amp;gt;בית המשפט הגבוה לצדק&amp;lt;/CourtDisplayName&amp;gt;_x000d__x000a_        &amp;lt;IsAllStartDataCollected&amp;gt;true&amp;lt;/IsAllStartDataCollected&amp;gt;_x000d__x000a_        &amp;lt;IsMainCase&amp;gt;false&amp;lt;/IsMainCase&amp;gt;_x000d__x000a_        &amp;lt;PreviousCourtID&amp;gt;1&amp;lt;/PreviousCourtID&amp;gt;_x000d__x000a_        &amp;lt;PreviousCaseTypeID&amp;gt;128&amp;lt;/PreviousCaseTypeID&amp;gt;_x000d__x000a_        &amp;lt;CaseDesc /&amp;gt;_x000d__x000a_        &amp;lt;isExistMinorSide&amp;gt;false&amp;lt;/isExistMinorSide&amp;gt;_x000d__x000a_        &amp;lt;isExistMinorWitness&amp;gt;false&amp;lt;/isExistMinorWitness&amp;gt;_x000d__x000a_        &amp;lt;PreviousCaseIdentifier&amp;gt;20240048420&amp;lt;/PreviousCaseIdentifier&amp;gt;_x000d__x000a_        &amp;lt;IsAccessibilityRequired&amp;gt;false&amp;lt;/IsAccessibilityRequired&amp;gt;_x000d__x000a_        &amp;lt;IsDecisionTypeZaveElyon&amp;gt;false&amp;lt;/IsDecisionTypeZaveElyon&amp;gt;_x000d__x000a_        &amp;lt;IsFeePaid&amp;gt;fals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PreviousSerialNumber&amp;gt;0&amp;lt;/PreviousSerialNumber&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81833144&amp;lt;/CaseID&amp;gt;_x000d__x000a_        &amp;lt;CaseMonth&amp;gt;6&amp;lt;/CaseMonth&amp;gt;_x000d__x000a_        &amp;lt;CaseYear&amp;gt;2024&amp;lt;/CaseYear&amp;gt;_x000d__x000a_        &amp;lt;CaseNumber&amp;gt;68749&amp;lt;/CaseNumber&amp;gt;_x000d__x000a_        &amp;lt;NumeratorGroupID&amp;gt;1&amp;lt;/NumeratorGroupID&amp;gt;_x000d__x000a_        &amp;lt;CaseName&amp;gt;קליין- 7 אח&amp;#39;  נ&amp;#39; צבא הגנה לישראל מפקד זרוע הים  ואח&amp;#39;&amp;lt;/CaseName&amp;gt;_x000d__x000a_        &amp;lt;CourtID&amp;gt;11&amp;lt;/CourtID&amp;gt;_x000d__x000a_        &amp;lt;CaseTypeID&amp;gt;10140&amp;lt;/CaseTypeID&amp;gt;_x000d__x000a_        &amp;lt;CaseInterestID&amp;gt;10770&amp;lt;/CaseInterestID&amp;gt;_x000d__x000a_        &amp;lt;CaseLinkTypeID&amp;gt;18&amp;lt;/CaseLinkTypeID&amp;gt;_x000d__x000a_        &amp;lt;ProcedureID&amp;gt;4&amp;lt;/ProcedureID&amp;gt;_x000d__x000a_        &amp;lt;PreviousCaseYear&amp;gt;2024&amp;lt;/PreviousCaseYear&amp;gt;_x000d__x000a_        &amp;lt;PreviousCaseNumber&amp;gt;4842&amp;lt;/PreviousCaseNumber&amp;gt;_x000d__x000a_        &amp;lt;CaseStatusID&amp;gt;1&amp;lt;/CaseStatusID&amp;gt;_x000d__x000a_        &amp;lt;ProceedingID&amp;gt;7&amp;lt;/ProceedingID&amp;gt;_x000d__x000a_        &amp;lt;IsCaseLinked&amp;gt;true&amp;lt;/IsCaseLinked&amp;gt;_x000d__x000a_        &amp;lt;IsCaseConverted&amp;gt;true&amp;lt;/IsCaseConverted&amp;gt;_x000d__x000a_        &amp;lt;PrivilegeID&amp;gt;1&amp;lt;/PrivilegeID&amp;gt;_x000d__x000a_        &amp;lt;IsAppealingCaseExist&amp;gt;false&amp;lt;/IsAppealingCaseExist&amp;gt;_x000d__x000a_        &amp;lt;CaseDisplayIdentifier&amp;gt;4842/24&amp;lt;/CaseDisplayIdentifier&amp;gt;_x000d__x000a_        &amp;lt;CaseTypeDesc&amp;gt;בג&amp;quot;ץ&amp;lt;/CaseTypeDesc&amp;gt;_x000d__x000a_        &amp;lt;CourtDesc&amp;gt;העליון&amp;lt;/CourtDesc&amp;gt;_x000d__x000a_        &amp;lt;CaseStageDesc&amp;gt;תיק נייר מוסב&amp;lt;/CaseStageDesc&amp;gt;_x000d__x000a_        &amp;lt;CaseOpenDate&amp;gt;2024-06-16T00:00:00+03:00&amp;lt;/CaseOpenDate&amp;gt;_x000d__x000a_        &amp;lt;PleaTypeID&amp;gt;20&amp;lt;/PleaTypeID&amp;gt;_x000d__x000a_        &amp;lt;CourtLevelID&amp;gt;3&amp;lt;/CourtLevelID&amp;gt;_x000d__x000a_        &amp;lt;CourtLevelCaseTypeInterestID&amp;gt;2259&amp;lt;/CourtLevelCaseTypeInterestID&amp;gt;_x000d__x000a_        &amp;lt;IsJudicalPanel&amp;gt;false&amp;lt;/IsJudicalPanel&amp;gt;_x000d__x000a_        &amp;lt;CourtDisplayName&amp;gt;בית המשפט הגבוה לצדק&amp;lt;/CourtDisplayName&amp;gt;_x000d__x000a_        &amp;lt;IsAllStartDataCollected&amp;gt;true&amp;lt;/IsAllStartDataCollected&amp;gt;_x000d__x000a_        &amp;lt;IsMainCase&amp;gt;false&amp;lt;/IsMainCase&amp;gt;_x000d__x000a_        &amp;lt;PreviousCourtID&amp;gt;1&amp;lt;/PreviousCourtID&amp;gt;_x000d__x000a_        &amp;lt;PreviousCaseTypeID&amp;gt;128&amp;lt;/PreviousCaseTypeID&amp;gt;_x000d__x000a_        &amp;lt;CaseDesc /&amp;gt;_x000d__x000a_        &amp;lt;PreviousCaseIdentifier&amp;gt;20240048420&amp;lt;/PreviousCaseIdentifier&amp;gt;_x000d__x000a_        &amp;lt;IsAccessibilityRequired&amp;gt;false&amp;lt;/IsAccessibilityRequired&amp;gt;_x000d__x000a_        &amp;lt;IsCasePredictedToAge&amp;gt;0&amp;lt;/IsCasePredictedToAge&amp;gt;_x000d__x000a_        &amp;lt;PendingWebSubmissionsQty&amp;gt;0&amp;lt;/PendingWebSubmissionsQty&amp;gt;_x000d__x000a_        &amp;lt;PreviousSerialNumber&amp;gt;0&amp;lt;/PreviousSerialNumber&amp;gt;_x000d__x000a_      &amp;lt;/CasePresentationDataSet&amp;gt;_x000d__x000a_    &amp;lt;/diffgr:before&amp;gt;_x000d__x000a_  &amp;lt;/diffgr:diffgram&amp;gt;_x000d__x000a_&amp;lt;/CasePresentationDS&amp;gt;"/>
    <w:docVar w:name="CourtID" w:val="11"/>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6086449&amp;lt;/DecisionID&amp;gt;_x000d__x000a_        &amp;lt;DecisionName&amp;gt;פסק דין  שניתנה ע&amp;quot;י  יצחק עמית&amp;lt;/DecisionName&amp;gt;_x000d__x000a_        &amp;lt;DecisionStatusID&amp;gt;1&amp;lt;/DecisionStatusID&amp;gt;_x000d__x000a_        &amp;lt;DecisionStatusChangeDate&amp;gt;2024-11-18T18:37:31.987+02:00&amp;lt;/DecisionStatusChangeDate&amp;gt;_x000d__x000a_        &amp;lt;DecisionSignatureDate&amp;gt;2024-11-18T18:37:30.56+02:00&amp;lt;/DecisionSignatureDate&amp;gt;_x000d__x000a_        &amp;lt;DecisionSignatureUserID&amp;gt;055489611@GOV.IL&amp;lt;/DecisionSignatureUserID&amp;gt;_x000d__x000a_        &amp;lt;DecisionCreateDate&amp;gt;2024-11-17T11:14:50.427+02:00&amp;lt;/DecisionCreateDate&amp;gt;_x000d__x000a_        &amp;lt;DecisionChangeDate&amp;gt;2024-11-18T18:37:32.637+02:00&amp;lt;/DecisionChangeDate&amp;gt;_x000d__x000a_        &amp;lt;DecisionChangeUserID&amp;gt;315771899@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60801683&amp;lt;/DocumentID&amp;gt;_x000d__x000a_        &amp;lt;PrivilegeID&amp;gt;1&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5489611@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24099962@GOV.IL&amp;lt;/DecisionCreationUserID&amp;gt;_x000d__x000a_        &amp;lt;DecisionDisplayName&amp;gt;פסק דין  שניתנה ע&amp;quot;י  יצחק עמית&amp;lt;/DecisionDisplayName&amp;gt;_x000d__x000a_        &amp;lt;IsScanned&amp;gt;false&amp;lt;/IsScanned&amp;gt;_x000d__x000a_        &amp;lt;DecisionSignatureUserName&amp;gt;יצחק עמית&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4&amp;lt;/DecisionNumberInCase&amp;gt;_x000d__x000a_        &amp;lt;DecisionMeetingDate&amp;gt;2024-11-17T00:00:00+02:00&amp;lt;/DecisionMeetingDate&amp;gt;_x000d__x000a_      &amp;lt;/dt_Decision&amp;gt;_x000d__x000a_      &amp;lt;dt_DecisionCase diffgr:id=&amp;quot;dt_DecisionCase1&amp;quot; msdata:rowOrder=&amp;quot;0&amp;quot;&amp;gt;_x000d__x000a_        &amp;lt;DecisionID&amp;gt;156086449&amp;lt;/DecisionID&amp;gt;_x000d__x000a_        &amp;lt;CaseID&amp;gt;81833144&amp;lt;/CaseID&amp;gt;_x000d__x000a_        &amp;lt;IsOriginal&amp;gt;true&amp;lt;/IsOriginal&amp;gt;_x000d__x000a_        &amp;lt;IsDeleted&amp;gt;false&amp;lt;/IsDeleted&amp;gt;_x000d__x000a_        &amp;lt;CaseName&amp;gt;קליין- 7 אח&amp;#39;  נ&amp;#39; צבא הגנה לישראל מפקד זרוע הים  ואח&amp;#39;&amp;lt;/CaseName&amp;gt;_x000d__x000a_        &amp;lt;CaseDisplayIdentifier&amp;gt;בג&amp;quot;ץ 4842/24&amp;lt;/CaseDisplayIdentifier&amp;gt;_x000d__x000a_      &amp;lt;/dt_DecisionCase&amp;gt;_x000d__x000a_    &amp;lt;/DecisionDS&amp;gt;_x000d__x000a_  &amp;lt;/diffgr:diffgram&amp;gt;_x000d__x000a_&amp;lt;/DecisionDS&amp;gt;"/>
    <w:docVar w:name="DecisionID" w:val="156086449"/>
    <w:docVar w:name="MyInfo" w:val="This document was extracted from Nevo's site"/>
    <w:docVar w:name="WordClientAssemblyName" w:val="NGCS.Decision.ClientWordBL"/>
    <w:docVar w:name="WordClientClassName" w:val="NGCS.Decision.ClientWordBL.DecisionClient"/>
  </w:docVars>
  <w:rsids>
    <w:rsidRoot w:val="00694556"/>
    <w:rsid w:val="00000062"/>
    <w:rsid w:val="0000226B"/>
    <w:rsid w:val="00005C8B"/>
    <w:rsid w:val="00007DE0"/>
    <w:rsid w:val="000346CC"/>
    <w:rsid w:val="00046A1D"/>
    <w:rsid w:val="00050263"/>
    <w:rsid w:val="000529D2"/>
    <w:rsid w:val="000564AB"/>
    <w:rsid w:val="00064FBD"/>
    <w:rsid w:val="00082AB2"/>
    <w:rsid w:val="000906FE"/>
    <w:rsid w:val="00096AF7"/>
    <w:rsid w:val="000B3019"/>
    <w:rsid w:val="000B344B"/>
    <w:rsid w:val="000C3B0F"/>
    <w:rsid w:val="000C3B60"/>
    <w:rsid w:val="000E0DD2"/>
    <w:rsid w:val="000E12EA"/>
    <w:rsid w:val="000E3AF1"/>
    <w:rsid w:val="000F0BC8"/>
    <w:rsid w:val="000F0DD6"/>
    <w:rsid w:val="00103959"/>
    <w:rsid w:val="00105E0F"/>
    <w:rsid w:val="00107E6D"/>
    <w:rsid w:val="0011194C"/>
    <w:rsid w:val="0011424C"/>
    <w:rsid w:val="001173C6"/>
    <w:rsid w:val="0012190F"/>
    <w:rsid w:val="001367BC"/>
    <w:rsid w:val="00144D2A"/>
    <w:rsid w:val="0014653E"/>
    <w:rsid w:val="0016382E"/>
    <w:rsid w:val="00180519"/>
    <w:rsid w:val="00191C82"/>
    <w:rsid w:val="001B30C3"/>
    <w:rsid w:val="001C4003"/>
    <w:rsid w:val="001D4DBF"/>
    <w:rsid w:val="001E75CA"/>
    <w:rsid w:val="002265FF"/>
    <w:rsid w:val="00235B97"/>
    <w:rsid w:val="00271B56"/>
    <w:rsid w:val="00272E3B"/>
    <w:rsid w:val="002B2CE0"/>
    <w:rsid w:val="002C344E"/>
    <w:rsid w:val="002C53BA"/>
    <w:rsid w:val="002E75E9"/>
    <w:rsid w:val="002F0B1E"/>
    <w:rsid w:val="00307A6A"/>
    <w:rsid w:val="00307C40"/>
    <w:rsid w:val="00320433"/>
    <w:rsid w:val="003230C7"/>
    <w:rsid w:val="00327E50"/>
    <w:rsid w:val="0033597A"/>
    <w:rsid w:val="00343D89"/>
    <w:rsid w:val="00362612"/>
    <w:rsid w:val="0036743F"/>
    <w:rsid w:val="00367B06"/>
    <w:rsid w:val="003711E5"/>
    <w:rsid w:val="003715DD"/>
    <w:rsid w:val="003823E0"/>
    <w:rsid w:val="003941BD"/>
    <w:rsid w:val="00397836"/>
    <w:rsid w:val="003A4521"/>
    <w:rsid w:val="003B3E8D"/>
    <w:rsid w:val="003D1C8C"/>
    <w:rsid w:val="003F781C"/>
    <w:rsid w:val="0040096C"/>
    <w:rsid w:val="00414F1F"/>
    <w:rsid w:val="004240D5"/>
    <w:rsid w:val="0043125D"/>
    <w:rsid w:val="0043502B"/>
    <w:rsid w:val="00440278"/>
    <w:rsid w:val="004443AC"/>
    <w:rsid w:val="00444B02"/>
    <w:rsid w:val="00451E28"/>
    <w:rsid w:val="00462C62"/>
    <w:rsid w:val="00465D36"/>
    <w:rsid w:val="004974A6"/>
    <w:rsid w:val="004B3A40"/>
    <w:rsid w:val="004C17EE"/>
    <w:rsid w:val="004C1A05"/>
    <w:rsid w:val="004C4BDF"/>
    <w:rsid w:val="004D1187"/>
    <w:rsid w:val="004D3AA0"/>
    <w:rsid w:val="004D511C"/>
    <w:rsid w:val="004E1987"/>
    <w:rsid w:val="004E2347"/>
    <w:rsid w:val="004E2E15"/>
    <w:rsid w:val="004E6E3C"/>
    <w:rsid w:val="00511B90"/>
    <w:rsid w:val="00520898"/>
    <w:rsid w:val="00523621"/>
    <w:rsid w:val="00524986"/>
    <w:rsid w:val="0052547C"/>
    <w:rsid w:val="005268F6"/>
    <w:rsid w:val="00534284"/>
    <w:rsid w:val="00547DB7"/>
    <w:rsid w:val="00562D52"/>
    <w:rsid w:val="00573790"/>
    <w:rsid w:val="005777A3"/>
    <w:rsid w:val="005B066A"/>
    <w:rsid w:val="005C0627"/>
    <w:rsid w:val="005D7C4B"/>
    <w:rsid w:val="005F4F09"/>
    <w:rsid w:val="0061431B"/>
    <w:rsid w:val="00622BAA"/>
    <w:rsid w:val="006306CF"/>
    <w:rsid w:val="006318D8"/>
    <w:rsid w:val="00644E9A"/>
    <w:rsid w:val="00671BD5"/>
    <w:rsid w:val="006805C1"/>
    <w:rsid w:val="00686C21"/>
    <w:rsid w:val="00690A98"/>
    <w:rsid w:val="006931C1"/>
    <w:rsid w:val="00694556"/>
    <w:rsid w:val="006B0303"/>
    <w:rsid w:val="006B7258"/>
    <w:rsid w:val="006C30C5"/>
    <w:rsid w:val="006C6ED2"/>
    <w:rsid w:val="006D2099"/>
    <w:rsid w:val="006D3B31"/>
    <w:rsid w:val="006E0D96"/>
    <w:rsid w:val="006E1A53"/>
    <w:rsid w:val="006F3A20"/>
    <w:rsid w:val="006F56E6"/>
    <w:rsid w:val="006F5967"/>
    <w:rsid w:val="00704EDA"/>
    <w:rsid w:val="00721122"/>
    <w:rsid w:val="00734689"/>
    <w:rsid w:val="00742258"/>
    <w:rsid w:val="007511C5"/>
    <w:rsid w:val="00753019"/>
    <w:rsid w:val="00754801"/>
    <w:rsid w:val="0075702E"/>
    <w:rsid w:val="00761441"/>
    <w:rsid w:val="00795365"/>
    <w:rsid w:val="007A351D"/>
    <w:rsid w:val="007B7765"/>
    <w:rsid w:val="007C5BDD"/>
    <w:rsid w:val="007D45E3"/>
    <w:rsid w:val="007E6115"/>
    <w:rsid w:val="007F4609"/>
    <w:rsid w:val="00814468"/>
    <w:rsid w:val="008176A1"/>
    <w:rsid w:val="00820005"/>
    <w:rsid w:val="00841158"/>
    <w:rsid w:val="00844318"/>
    <w:rsid w:val="00851257"/>
    <w:rsid w:val="00860920"/>
    <w:rsid w:val="00863F5D"/>
    <w:rsid w:val="00870890"/>
    <w:rsid w:val="00873602"/>
    <w:rsid w:val="00875D12"/>
    <w:rsid w:val="0088479D"/>
    <w:rsid w:val="00891F42"/>
    <w:rsid w:val="00895881"/>
    <w:rsid w:val="00896889"/>
    <w:rsid w:val="008A481A"/>
    <w:rsid w:val="008A59EE"/>
    <w:rsid w:val="008A6E97"/>
    <w:rsid w:val="008C5714"/>
    <w:rsid w:val="008D10B2"/>
    <w:rsid w:val="008F4875"/>
    <w:rsid w:val="00903896"/>
    <w:rsid w:val="00906F3D"/>
    <w:rsid w:val="009208FE"/>
    <w:rsid w:val="00931A9D"/>
    <w:rsid w:val="0094424E"/>
    <w:rsid w:val="00955642"/>
    <w:rsid w:val="00960D2B"/>
    <w:rsid w:val="009622DF"/>
    <w:rsid w:val="0096493F"/>
    <w:rsid w:val="00967DFF"/>
    <w:rsid w:val="00991FC5"/>
    <w:rsid w:val="00994341"/>
    <w:rsid w:val="009A23FD"/>
    <w:rsid w:val="009D1A48"/>
    <w:rsid w:val="009D426B"/>
    <w:rsid w:val="009E1CE7"/>
    <w:rsid w:val="009E4EA5"/>
    <w:rsid w:val="009F164B"/>
    <w:rsid w:val="009F323C"/>
    <w:rsid w:val="00A131B7"/>
    <w:rsid w:val="00A3392B"/>
    <w:rsid w:val="00A35ADB"/>
    <w:rsid w:val="00A75B89"/>
    <w:rsid w:val="00A81988"/>
    <w:rsid w:val="00A85E34"/>
    <w:rsid w:val="00A87DF6"/>
    <w:rsid w:val="00A9144F"/>
    <w:rsid w:val="00A94B64"/>
    <w:rsid w:val="00AA0167"/>
    <w:rsid w:val="00AA22FF"/>
    <w:rsid w:val="00AA3229"/>
    <w:rsid w:val="00AA7596"/>
    <w:rsid w:val="00AB5E52"/>
    <w:rsid w:val="00AC3B02"/>
    <w:rsid w:val="00AC3B7B"/>
    <w:rsid w:val="00AC5209"/>
    <w:rsid w:val="00AE0E34"/>
    <w:rsid w:val="00AE729E"/>
    <w:rsid w:val="00AE7752"/>
    <w:rsid w:val="00AF2178"/>
    <w:rsid w:val="00AF7FDA"/>
    <w:rsid w:val="00B01789"/>
    <w:rsid w:val="00B5356E"/>
    <w:rsid w:val="00B62AD7"/>
    <w:rsid w:val="00B66717"/>
    <w:rsid w:val="00B77019"/>
    <w:rsid w:val="00B809AD"/>
    <w:rsid w:val="00B80CBD"/>
    <w:rsid w:val="00B86096"/>
    <w:rsid w:val="00B95D6E"/>
    <w:rsid w:val="00B964D9"/>
    <w:rsid w:val="00BA0A7C"/>
    <w:rsid w:val="00BA517C"/>
    <w:rsid w:val="00BB3D05"/>
    <w:rsid w:val="00BB73BE"/>
    <w:rsid w:val="00BC2D89"/>
    <w:rsid w:val="00BC5A54"/>
    <w:rsid w:val="00BD6531"/>
    <w:rsid w:val="00BE05B2"/>
    <w:rsid w:val="00BF1908"/>
    <w:rsid w:val="00C105F9"/>
    <w:rsid w:val="00C22D93"/>
    <w:rsid w:val="00C23458"/>
    <w:rsid w:val="00C31120"/>
    <w:rsid w:val="00C34482"/>
    <w:rsid w:val="00C35A6E"/>
    <w:rsid w:val="00C43648"/>
    <w:rsid w:val="00C50A9F"/>
    <w:rsid w:val="00C55EB3"/>
    <w:rsid w:val="00C615AB"/>
    <w:rsid w:val="00C642FA"/>
    <w:rsid w:val="00CC7622"/>
    <w:rsid w:val="00CD516B"/>
    <w:rsid w:val="00CD608F"/>
    <w:rsid w:val="00CE0084"/>
    <w:rsid w:val="00CF6BB7"/>
    <w:rsid w:val="00D04AA4"/>
    <w:rsid w:val="00D26B63"/>
    <w:rsid w:val="00D27982"/>
    <w:rsid w:val="00D33B86"/>
    <w:rsid w:val="00D42BE0"/>
    <w:rsid w:val="00D44968"/>
    <w:rsid w:val="00D53924"/>
    <w:rsid w:val="00D55D0C"/>
    <w:rsid w:val="00D72043"/>
    <w:rsid w:val="00D94B7C"/>
    <w:rsid w:val="00D96D8C"/>
    <w:rsid w:val="00DA493C"/>
    <w:rsid w:val="00DA6649"/>
    <w:rsid w:val="00DC1259"/>
    <w:rsid w:val="00DC1BD2"/>
    <w:rsid w:val="00DC2571"/>
    <w:rsid w:val="00DC487C"/>
    <w:rsid w:val="00DD4335"/>
    <w:rsid w:val="00DE1E7D"/>
    <w:rsid w:val="00DE6BF6"/>
    <w:rsid w:val="00DF2237"/>
    <w:rsid w:val="00E1068A"/>
    <w:rsid w:val="00E25884"/>
    <w:rsid w:val="00E25B55"/>
    <w:rsid w:val="00E31C2B"/>
    <w:rsid w:val="00E5426A"/>
    <w:rsid w:val="00E54642"/>
    <w:rsid w:val="00E561E8"/>
    <w:rsid w:val="00E80CBE"/>
    <w:rsid w:val="00E9269D"/>
    <w:rsid w:val="00E9345A"/>
    <w:rsid w:val="00E962E3"/>
    <w:rsid w:val="00E97B15"/>
    <w:rsid w:val="00EB6C79"/>
    <w:rsid w:val="00EC37E9"/>
    <w:rsid w:val="00EC6ACB"/>
    <w:rsid w:val="00EE6389"/>
    <w:rsid w:val="00F038D8"/>
    <w:rsid w:val="00F06995"/>
    <w:rsid w:val="00F117C4"/>
    <w:rsid w:val="00F12D66"/>
    <w:rsid w:val="00F1337C"/>
    <w:rsid w:val="00F13623"/>
    <w:rsid w:val="00F221DB"/>
    <w:rsid w:val="00F42F40"/>
    <w:rsid w:val="00F44D1D"/>
    <w:rsid w:val="00F463C2"/>
    <w:rsid w:val="00F50282"/>
    <w:rsid w:val="00F75C25"/>
    <w:rsid w:val="00F82B59"/>
    <w:rsid w:val="00F84B6D"/>
    <w:rsid w:val="00F856E6"/>
    <w:rsid w:val="00F957E8"/>
    <w:rsid w:val="00FA20C9"/>
    <w:rsid w:val="00FA311A"/>
    <w:rsid w:val="00FA5FDA"/>
    <w:rsid w:val="00FA7FD0"/>
    <w:rsid w:val="00FB6AB3"/>
    <w:rsid w:val="00FD1419"/>
    <w:rsid w:val="00FD79E4"/>
    <w:rsid w:val="00FE09EC"/>
    <w:rsid w:val="00FE2894"/>
    <w:rsid w:val="00FE3FE3"/>
    <w:rsid w:val="00FF1B84"/>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08D69"/>
  <w15:docId w15:val="{76B4DDC4-E1CD-4F94-8DDA-2838E398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nhideWhenUsed="1"/>
    <w:lsdException w:name="HTML Bottom of Form"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4423"/>
    <w:pPr>
      <w:bidi/>
    </w:pPr>
    <w:rPr>
      <w:rFonts w:cs="David"/>
      <w:sz w:val="24"/>
      <w:szCs w:val="24"/>
      <w:lang w:bidi="he-IL"/>
    </w:rPr>
  </w:style>
  <w:style w:type="paragraph" w:styleId="1">
    <w:name w:val="heading 1"/>
    <w:basedOn w:val="a1"/>
    <w:next w:val="a1"/>
    <w:link w:val="10"/>
    <w:qFormat/>
    <w:rsid w:val="006B0303"/>
    <w:pPr>
      <w:keepNext/>
      <w:keepLines/>
      <w:spacing w:before="240"/>
      <w:outlineLvl w:val="0"/>
    </w:pPr>
    <w:rPr>
      <w:rFonts w:ascii="Cambria" w:hAnsi="Cambria" w:cs="Times New Roman"/>
      <w:color w:val="365F91"/>
      <w:sz w:val="32"/>
      <w:szCs w:val="32"/>
    </w:rPr>
  </w:style>
  <w:style w:type="paragraph" w:styleId="21">
    <w:name w:val="heading 2"/>
    <w:basedOn w:val="a1"/>
    <w:next w:val="a1"/>
    <w:link w:val="22"/>
    <w:qFormat/>
    <w:rsid w:val="006B0303"/>
    <w:pPr>
      <w:keepNext/>
      <w:keepLines/>
      <w:spacing w:before="40"/>
      <w:outlineLvl w:val="1"/>
    </w:pPr>
    <w:rPr>
      <w:rFonts w:ascii="Cambria" w:hAnsi="Cambria" w:cs="Times New Roman"/>
      <w:color w:val="365F91"/>
      <w:sz w:val="26"/>
      <w:szCs w:val="26"/>
    </w:rPr>
  </w:style>
  <w:style w:type="paragraph" w:styleId="31">
    <w:name w:val="heading 3"/>
    <w:basedOn w:val="a1"/>
    <w:next w:val="a1"/>
    <w:link w:val="32"/>
    <w:qFormat/>
    <w:rsid w:val="006B0303"/>
    <w:pPr>
      <w:keepNext/>
      <w:keepLines/>
      <w:spacing w:before="40"/>
      <w:outlineLvl w:val="2"/>
    </w:pPr>
    <w:rPr>
      <w:rFonts w:ascii="Cambria" w:hAnsi="Cambria" w:cs="Times New Roman"/>
      <w:color w:val="243F60"/>
    </w:rPr>
  </w:style>
  <w:style w:type="paragraph" w:styleId="41">
    <w:name w:val="heading 4"/>
    <w:basedOn w:val="a1"/>
    <w:next w:val="a1"/>
    <w:qFormat/>
    <w:rsid w:val="00C64423"/>
    <w:pPr>
      <w:keepNext/>
      <w:ind w:left="5760" w:firstLine="720"/>
      <w:outlineLvl w:val="3"/>
    </w:pPr>
    <w:rPr>
      <w:rFonts w:cs="Narkisim"/>
      <w:b/>
      <w:bCs/>
    </w:rPr>
  </w:style>
  <w:style w:type="paragraph" w:styleId="51">
    <w:name w:val="heading 5"/>
    <w:basedOn w:val="a1"/>
    <w:next w:val="a1"/>
    <w:link w:val="52"/>
    <w:qFormat/>
    <w:rsid w:val="006B0303"/>
    <w:pPr>
      <w:keepNext/>
      <w:keepLines/>
      <w:spacing w:before="40"/>
      <w:outlineLvl w:val="4"/>
    </w:pPr>
    <w:rPr>
      <w:rFonts w:ascii="Cambria" w:hAnsi="Cambria" w:cs="Times New Roman"/>
      <w:color w:val="365F91"/>
    </w:rPr>
  </w:style>
  <w:style w:type="paragraph" w:styleId="6">
    <w:name w:val="heading 6"/>
    <w:basedOn w:val="a1"/>
    <w:next w:val="a1"/>
    <w:link w:val="60"/>
    <w:qFormat/>
    <w:rsid w:val="006B0303"/>
    <w:pPr>
      <w:keepNext/>
      <w:keepLines/>
      <w:spacing w:before="40"/>
      <w:outlineLvl w:val="5"/>
    </w:pPr>
    <w:rPr>
      <w:rFonts w:ascii="Cambria" w:hAnsi="Cambria" w:cs="Times New Roman"/>
      <w:color w:val="243F60"/>
    </w:rPr>
  </w:style>
  <w:style w:type="paragraph" w:styleId="7">
    <w:name w:val="heading 7"/>
    <w:basedOn w:val="a1"/>
    <w:next w:val="a1"/>
    <w:link w:val="70"/>
    <w:qFormat/>
    <w:rsid w:val="006B0303"/>
    <w:pPr>
      <w:keepNext/>
      <w:keepLines/>
      <w:spacing w:before="40"/>
      <w:outlineLvl w:val="6"/>
    </w:pPr>
    <w:rPr>
      <w:rFonts w:ascii="Cambria" w:hAnsi="Cambria" w:cs="Times New Roman"/>
      <w:i/>
      <w:iCs/>
      <w:color w:val="243F60"/>
    </w:rPr>
  </w:style>
  <w:style w:type="paragraph" w:styleId="8">
    <w:name w:val="heading 8"/>
    <w:basedOn w:val="a1"/>
    <w:next w:val="a1"/>
    <w:link w:val="80"/>
    <w:qFormat/>
    <w:rsid w:val="006B0303"/>
    <w:pPr>
      <w:keepNext/>
      <w:keepLines/>
      <w:spacing w:before="40"/>
      <w:outlineLvl w:val="7"/>
    </w:pPr>
    <w:rPr>
      <w:rFonts w:ascii="Cambria" w:hAnsi="Cambria" w:cs="Times New Roman"/>
      <w:color w:val="272727"/>
      <w:sz w:val="21"/>
      <w:szCs w:val="21"/>
    </w:rPr>
  </w:style>
  <w:style w:type="paragraph" w:styleId="9">
    <w:name w:val="heading 9"/>
    <w:basedOn w:val="a1"/>
    <w:next w:val="a1"/>
    <w:link w:val="90"/>
    <w:qFormat/>
    <w:rsid w:val="006B0303"/>
    <w:pPr>
      <w:keepNext/>
      <w:keepLines/>
      <w:spacing w:before="40"/>
      <w:outlineLvl w:val="8"/>
    </w:pPr>
    <w:rPr>
      <w:rFonts w:ascii="Cambria" w:hAnsi="Cambria" w:cs="Times New Roman"/>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C64423"/>
    <w:pPr>
      <w:tabs>
        <w:tab w:val="center" w:pos="4153"/>
        <w:tab w:val="right" w:pos="8306"/>
      </w:tabs>
    </w:pPr>
  </w:style>
  <w:style w:type="paragraph" w:styleId="a7">
    <w:name w:val="footer"/>
    <w:basedOn w:val="a1"/>
    <w:rsid w:val="00C64423"/>
    <w:pPr>
      <w:tabs>
        <w:tab w:val="center" w:pos="4153"/>
        <w:tab w:val="right" w:pos="8306"/>
      </w:tabs>
    </w:pPr>
  </w:style>
  <w:style w:type="paragraph" w:customStyle="1" w:styleId="a8">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9">
    <w:name w:val="annotation text"/>
    <w:basedOn w:val="a1"/>
    <w:link w:val="aa"/>
    <w:rsid w:val="00C64423"/>
    <w:rPr>
      <w:rFonts w:cs="Times New Roman"/>
    </w:rPr>
  </w:style>
  <w:style w:type="character" w:styleId="ab">
    <w:name w:val="annotation reference"/>
    <w:rsid w:val="00C64423"/>
    <w:rPr>
      <w:noProof w:val="0"/>
      <w:sz w:val="16"/>
      <w:szCs w:val="16"/>
    </w:rPr>
  </w:style>
  <w:style w:type="paragraph" w:styleId="ac">
    <w:name w:val="Balloon Text"/>
    <w:basedOn w:val="a1"/>
    <w:rsid w:val="00C64423"/>
    <w:rPr>
      <w:rFonts w:ascii="Tahoma" w:hAnsi="Tahoma" w:cs="Tahoma"/>
      <w:sz w:val="16"/>
      <w:szCs w:val="16"/>
    </w:rPr>
  </w:style>
  <w:style w:type="table" w:styleId="ad">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rsid w:val="00C64423"/>
    <w:rPr>
      <w:noProof w:val="0"/>
    </w:rPr>
  </w:style>
  <w:style w:type="character" w:styleId="af">
    <w:name w:val="page number"/>
    <w:rsid w:val="00C64423"/>
    <w:rPr>
      <w:noProof w:val="0"/>
    </w:rPr>
  </w:style>
  <w:style w:type="table" w:customStyle="1" w:styleId="11">
    <w:name w:val="טבלת רשת1"/>
    <w:basedOn w:val="a3"/>
    <w:next w:val="ad"/>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טקסט מציין מיקום1"/>
    <w:uiPriority w:val="99"/>
    <w:semiHidden/>
    <w:rsid w:val="003230C7"/>
    <w:rPr>
      <w:noProof w:val="0"/>
      <w:color w:val="808080"/>
    </w:rPr>
  </w:style>
  <w:style w:type="character" w:customStyle="1" w:styleId="a6">
    <w:name w:val="כותרת עליונה תו"/>
    <w:link w:val="a5"/>
    <w:uiPriority w:val="99"/>
    <w:rsid w:val="00B01789"/>
    <w:rPr>
      <w:rFonts w:cs="David"/>
      <w:noProof w:val="0"/>
      <w:sz w:val="24"/>
      <w:szCs w:val="24"/>
    </w:rPr>
  </w:style>
  <w:style w:type="character" w:customStyle="1" w:styleId="Ruller4">
    <w:name w:val="Ruller4 תו"/>
    <w:link w:val="Ruller40"/>
    <w:locked/>
    <w:rsid w:val="00991FC5"/>
    <w:rPr>
      <w:rFonts w:ascii="Arial TUR" w:hAnsi="Arial TUR" w:cs="FrankRuehl"/>
      <w:spacing w:val="10"/>
      <w:sz w:val="22"/>
      <w:szCs w:val="28"/>
    </w:rPr>
  </w:style>
  <w:style w:type="paragraph" w:customStyle="1" w:styleId="Ruller40">
    <w:name w:val="Ruller4"/>
    <w:basedOn w:val="a1"/>
    <w:link w:val="Ruller4"/>
    <w:rsid w:val="00991FC5"/>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paragraph" w:customStyle="1" w:styleId="Ruller5">
    <w:name w:val="Ruller5"/>
    <w:basedOn w:val="a1"/>
    <w:rsid w:val="006B0303"/>
    <w:pPr>
      <w:overflowPunct w:val="0"/>
      <w:autoSpaceDE w:val="0"/>
      <w:autoSpaceDN w:val="0"/>
      <w:adjustRightInd w:val="0"/>
      <w:ind w:left="1644" w:right="1276"/>
      <w:jc w:val="both"/>
    </w:pPr>
    <w:rPr>
      <w:rFonts w:ascii="Arial TUR" w:hAnsi="Arial TUR" w:cs="FrankRuehl"/>
      <w:spacing w:val="10"/>
      <w:sz w:val="22"/>
      <w:szCs w:val="28"/>
    </w:rPr>
  </w:style>
  <w:style w:type="character" w:styleId="FollowedHyperlink">
    <w:name w:val="FollowedHyperlink"/>
    <w:rsid w:val="006B0303"/>
    <w:rPr>
      <w:noProof w:val="0"/>
      <w:color w:val="800080"/>
      <w:u w:val="single"/>
    </w:rPr>
  </w:style>
  <w:style w:type="character" w:styleId="HTMLCite">
    <w:name w:val="HTML Cite"/>
    <w:rsid w:val="006B0303"/>
    <w:rPr>
      <w:i/>
      <w:iCs/>
      <w:noProof w:val="0"/>
    </w:rPr>
  </w:style>
  <w:style w:type="character" w:styleId="HTMLCode">
    <w:name w:val="HTML Code"/>
    <w:rsid w:val="006B0303"/>
    <w:rPr>
      <w:rFonts w:ascii="Consolas" w:hAnsi="Consolas"/>
      <w:noProof w:val="0"/>
      <w:sz w:val="20"/>
      <w:szCs w:val="20"/>
    </w:rPr>
  </w:style>
  <w:style w:type="character" w:styleId="HTMLDefinition">
    <w:name w:val="HTML Definition"/>
    <w:rsid w:val="006B0303"/>
    <w:rPr>
      <w:i/>
      <w:iCs/>
      <w:noProof w:val="0"/>
    </w:rPr>
  </w:style>
  <w:style w:type="character" w:styleId="HTMLVariable">
    <w:name w:val="HTML Variable"/>
    <w:rsid w:val="006B0303"/>
    <w:rPr>
      <w:i/>
      <w:iCs/>
      <w:noProof w:val="0"/>
    </w:rPr>
  </w:style>
  <w:style w:type="paragraph" w:styleId="HTML">
    <w:name w:val="HTML Preformatted"/>
    <w:basedOn w:val="a1"/>
    <w:link w:val="HTML0"/>
    <w:rsid w:val="006B0303"/>
    <w:rPr>
      <w:rFonts w:ascii="Consolas" w:hAnsi="Consolas"/>
      <w:sz w:val="20"/>
      <w:szCs w:val="20"/>
    </w:rPr>
  </w:style>
  <w:style w:type="character" w:customStyle="1" w:styleId="HTML0">
    <w:name w:val="HTML מעוצב מראש תו"/>
    <w:link w:val="HTML"/>
    <w:semiHidden/>
    <w:rsid w:val="006B0303"/>
    <w:rPr>
      <w:rFonts w:ascii="Consolas" w:hAnsi="Consolas" w:cs="David"/>
      <w:noProof w:val="0"/>
    </w:rPr>
  </w:style>
  <w:style w:type="character" w:styleId="Hyperlink">
    <w:name w:val="Hyperlink"/>
    <w:rsid w:val="006B0303"/>
    <w:rPr>
      <w:noProof w:val="0"/>
      <w:color w:val="0000FF"/>
      <w:u w:val="single"/>
    </w:rPr>
  </w:style>
  <w:style w:type="paragraph" w:styleId="Index1">
    <w:name w:val="index 1"/>
    <w:basedOn w:val="a1"/>
    <w:next w:val="a1"/>
    <w:autoRedefine/>
    <w:rsid w:val="006B0303"/>
    <w:pPr>
      <w:ind w:left="240" w:hanging="240"/>
    </w:pPr>
  </w:style>
  <w:style w:type="paragraph" w:styleId="Index2">
    <w:name w:val="index 2"/>
    <w:basedOn w:val="a1"/>
    <w:next w:val="a1"/>
    <w:autoRedefine/>
    <w:rsid w:val="006B0303"/>
    <w:pPr>
      <w:ind w:left="480" w:hanging="240"/>
    </w:pPr>
  </w:style>
  <w:style w:type="paragraph" w:styleId="Index3">
    <w:name w:val="index 3"/>
    <w:basedOn w:val="a1"/>
    <w:next w:val="a1"/>
    <w:autoRedefine/>
    <w:rsid w:val="006B0303"/>
    <w:pPr>
      <w:ind w:left="720" w:hanging="240"/>
    </w:pPr>
  </w:style>
  <w:style w:type="paragraph" w:styleId="Index4">
    <w:name w:val="index 4"/>
    <w:basedOn w:val="a1"/>
    <w:next w:val="a1"/>
    <w:autoRedefine/>
    <w:rsid w:val="006B0303"/>
    <w:pPr>
      <w:ind w:left="960" w:hanging="240"/>
    </w:pPr>
  </w:style>
  <w:style w:type="paragraph" w:styleId="Index5">
    <w:name w:val="index 5"/>
    <w:basedOn w:val="a1"/>
    <w:next w:val="a1"/>
    <w:autoRedefine/>
    <w:rsid w:val="006B0303"/>
    <w:pPr>
      <w:ind w:left="1200" w:hanging="240"/>
    </w:pPr>
  </w:style>
  <w:style w:type="paragraph" w:styleId="Index6">
    <w:name w:val="index 6"/>
    <w:basedOn w:val="a1"/>
    <w:next w:val="a1"/>
    <w:autoRedefine/>
    <w:rsid w:val="006B0303"/>
    <w:pPr>
      <w:ind w:left="1440" w:hanging="240"/>
    </w:pPr>
  </w:style>
  <w:style w:type="paragraph" w:styleId="Index7">
    <w:name w:val="index 7"/>
    <w:basedOn w:val="a1"/>
    <w:next w:val="a1"/>
    <w:autoRedefine/>
    <w:rsid w:val="006B0303"/>
    <w:pPr>
      <w:ind w:left="1680" w:hanging="240"/>
    </w:pPr>
  </w:style>
  <w:style w:type="paragraph" w:styleId="Index8">
    <w:name w:val="index 8"/>
    <w:basedOn w:val="a1"/>
    <w:next w:val="a1"/>
    <w:autoRedefine/>
    <w:rsid w:val="006B0303"/>
    <w:pPr>
      <w:ind w:left="1920" w:hanging="240"/>
    </w:pPr>
  </w:style>
  <w:style w:type="paragraph" w:styleId="Index9">
    <w:name w:val="index 9"/>
    <w:basedOn w:val="a1"/>
    <w:next w:val="a1"/>
    <w:autoRedefine/>
    <w:rsid w:val="006B0303"/>
    <w:pPr>
      <w:ind w:left="2160" w:hanging="240"/>
    </w:pPr>
  </w:style>
  <w:style w:type="paragraph" w:styleId="NormalWeb">
    <w:name w:val="Normal (Web)"/>
    <w:basedOn w:val="a1"/>
    <w:rsid w:val="006B0303"/>
    <w:rPr>
      <w:rFonts w:cs="Times New Roman"/>
    </w:rPr>
  </w:style>
  <w:style w:type="paragraph" w:styleId="TOC1">
    <w:name w:val="toc 1"/>
    <w:basedOn w:val="a1"/>
    <w:next w:val="a1"/>
    <w:autoRedefine/>
    <w:rsid w:val="006B0303"/>
    <w:pPr>
      <w:spacing w:after="100"/>
    </w:pPr>
  </w:style>
  <w:style w:type="paragraph" w:styleId="TOC2">
    <w:name w:val="toc 2"/>
    <w:basedOn w:val="a1"/>
    <w:next w:val="a1"/>
    <w:autoRedefine/>
    <w:rsid w:val="006B0303"/>
    <w:pPr>
      <w:spacing w:after="100"/>
      <w:ind w:left="240"/>
    </w:pPr>
  </w:style>
  <w:style w:type="paragraph" w:styleId="TOC3">
    <w:name w:val="toc 3"/>
    <w:basedOn w:val="a1"/>
    <w:next w:val="a1"/>
    <w:autoRedefine/>
    <w:rsid w:val="006B0303"/>
    <w:pPr>
      <w:spacing w:after="100"/>
      <w:ind w:left="480"/>
    </w:pPr>
  </w:style>
  <w:style w:type="paragraph" w:styleId="TOC4">
    <w:name w:val="toc 4"/>
    <w:basedOn w:val="a1"/>
    <w:next w:val="a1"/>
    <w:autoRedefine/>
    <w:rsid w:val="006B0303"/>
    <w:pPr>
      <w:spacing w:after="100"/>
      <w:ind w:left="720"/>
    </w:pPr>
  </w:style>
  <w:style w:type="paragraph" w:styleId="TOC5">
    <w:name w:val="toc 5"/>
    <w:basedOn w:val="a1"/>
    <w:next w:val="a1"/>
    <w:autoRedefine/>
    <w:rsid w:val="006B0303"/>
    <w:pPr>
      <w:spacing w:after="100"/>
      <w:ind w:left="960"/>
    </w:pPr>
  </w:style>
  <w:style w:type="paragraph" w:styleId="TOC6">
    <w:name w:val="toc 6"/>
    <w:basedOn w:val="a1"/>
    <w:next w:val="a1"/>
    <w:autoRedefine/>
    <w:rsid w:val="006B0303"/>
    <w:pPr>
      <w:spacing w:after="100"/>
      <w:ind w:left="1200"/>
    </w:pPr>
  </w:style>
  <w:style w:type="paragraph" w:styleId="TOC7">
    <w:name w:val="toc 7"/>
    <w:basedOn w:val="a1"/>
    <w:next w:val="a1"/>
    <w:autoRedefine/>
    <w:rsid w:val="006B0303"/>
    <w:pPr>
      <w:spacing w:after="100"/>
      <w:ind w:left="1440"/>
    </w:pPr>
  </w:style>
  <w:style w:type="paragraph" w:styleId="TOC8">
    <w:name w:val="toc 8"/>
    <w:basedOn w:val="a1"/>
    <w:next w:val="a1"/>
    <w:autoRedefine/>
    <w:rsid w:val="006B0303"/>
    <w:pPr>
      <w:spacing w:after="100"/>
      <w:ind w:left="1680"/>
    </w:pPr>
  </w:style>
  <w:style w:type="paragraph" w:styleId="TOC9">
    <w:name w:val="toc 9"/>
    <w:basedOn w:val="a1"/>
    <w:next w:val="a1"/>
    <w:autoRedefine/>
    <w:rsid w:val="006B0303"/>
    <w:pPr>
      <w:spacing w:after="100"/>
      <w:ind w:left="1920"/>
    </w:pPr>
  </w:style>
  <w:style w:type="table" w:styleId="-1">
    <w:name w:val="Table 3D effects 1"/>
    <w:basedOn w:val="a3"/>
    <w:rsid w:val="006B0303"/>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rsid w:val="006B0303"/>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rsid w:val="006B0303"/>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3">
    <w:name w:val="ביבליוגרפיה1"/>
    <w:basedOn w:val="a1"/>
    <w:next w:val="a1"/>
    <w:uiPriority w:val="37"/>
    <w:semiHidden/>
    <w:unhideWhenUsed/>
    <w:rsid w:val="006B0303"/>
  </w:style>
  <w:style w:type="paragraph" w:styleId="af0">
    <w:name w:val="Salutation"/>
    <w:basedOn w:val="a1"/>
    <w:next w:val="a1"/>
    <w:link w:val="af1"/>
    <w:rsid w:val="006B0303"/>
  </w:style>
  <w:style w:type="character" w:customStyle="1" w:styleId="af1">
    <w:name w:val="ברכה תו"/>
    <w:link w:val="af0"/>
    <w:rsid w:val="006B0303"/>
    <w:rPr>
      <w:rFonts w:cs="David"/>
      <w:noProof w:val="0"/>
      <w:sz w:val="24"/>
      <w:szCs w:val="24"/>
    </w:rPr>
  </w:style>
  <w:style w:type="paragraph" w:styleId="af2">
    <w:name w:val="Body Text"/>
    <w:basedOn w:val="a1"/>
    <w:link w:val="af3"/>
    <w:rsid w:val="006B0303"/>
    <w:pPr>
      <w:spacing w:after="120"/>
    </w:pPr>
  </w:style>
  <w:style w:type="character" w:customStyle="1" w:styleId="af3">
    <w:name w:val="גוף טקסט תו"/>
    <w:link w:val="af2"/>
    <w:semiHidden/>
    <w:rsid w:val="006B0303"/>
    <w:rPr>
      <w:rFonts w:cs="David"/>
      <w:noProof w:val="0"/>
      <w:sz w:val="24"/>
      <w:szCs w:val="24"/>
    </w:rPr>
  </w:style>
  <w:style w:type="paragraph" w:styleId="23">
    <w:name w:val="Body Text 2"/>
    <w:basedOn w:val="a1"/>
    <w:link w:val="24"/>
    <w:rsid w:val="006B0303"/>
    <w:pPr>
      <w:spacing w:after="120" w:line="480" w:lineRule="auto"/>
    </w:pPr>
  </w:style>
  <w:style w:type="character" w:customStyle="1" w:styleId="24">
    <w:name w:val="גוף טקסט 2 תו"/>
    <w:link w:val="23"/>
    <w:semiHidden/>
    <w:rsid w:val="006B0303"/>
    <w:rPr>
      <w:rFonts w:cs="David"/>
      <w:noProof w:val="0"/>
      <w:sz w:val="24"/>
      <w:szCs w:val="24"/>
    </w:rPr>
  </w:style>
  <w:style w:type="paragraph" w:styleId="33">
    <w:name w:val="Body Text 3"/>
    <w:basedOn w:val="a1"/>
    <w:link w:val="34"/>
    <w:rsid w:val="006B0303"/>
    <w:pPr>
      <w:spacing w:after="120"/>
    </w:pPr>
    <w:rPr>
      <w:sz w:val="16"/>
      <w:szCs w:val="16"/>
    </w:rPr>
  </w:style>
  <w:style w:type="character" w:customStyle="1" w:styleId="34">
    <w:name w:val="גוף טקסט 3 תו"/>
    <w:link w:val="33"/>
    <w:semiHidden/>
    <w:rsid w:val="006B0303"/>
    <w:rPr>
      <w:rFonts w:cs="David"/>
      <w:noProof w:val="0"/>
      <w:sz w:val="16"/>
      <w:szCs w:val="16"/>
    </w:rPr>
  </w:style>
  <w:style w:type="character" w:styleId="HTML1">
    <w:name w:val="HTML Sample"/>
    <w:rsid w:val="006B0303"/>
    <w:rPr>
      <w:rFonts w:ascii="Consolas" w:hAnsi="Consolas"/>
      <w:noProof w:val="0"/>
      <w:sz w:val="24"/>
      <w:szCs w:val="24"/>
    </w:rPr>
  </w:style>
  <w:style w:type="character" w:styleId="af4">
    <w:name w:val="Emphasis"/>
    <w:qFormat/>
    <w:rsid w:val="006B0303"/>
    <w:rPr>
      <w:i/>
      <w:iCs/>
      <w:noProof w:val="0"/>
    </w:rPr>
  </w:style>
  <w:style w:type="character" w:customStyle="1" w:styleId="14">
    <w:name w:val="הדגשה חזקה1"/>
    <w:uiPriority w:val="21"/>
    <w:qFormat/>
    <w:rsid w:val="006B0303"/>
    <w:rPr>
      <w:i/>
      <w:iCs/>
      <w:noProof w:val="0"/>
      <w:color w:val="4F81BD"/>
    </w:rPr>
  </w:style>
  <w:style w:type="character" w:customStyle="1" w:styleId="15">
    <w:name w:val="הדגשה עדינה1"/>
    <w:uiPriority w:val="19"/>
    <w:qFormat/>
    <w:rsid w:val="006B0303"/>
    <w:rPr>
      <w:i/>
      <w:iCs/>
      <w:noProof w:val="0"/>
      <w:color w:val="404040"/>
    </w:rPr>
  </w:style>
  <w:style w:type="paragraph" w:styleId="af5">
    <w:name w:val="List Continue"/>
    <w:basedOn w:val="a1"/>
    <w:rsid w:val="006B0303"/>
    <w:pPr>
      <w:spacing w:after="120"/>
      <w:ind w:left="283"/>
      <w:contextualSpacing/>
    </w:pPr>
  </w:style>
  <w:style w:type="paragraph" w:styleId="25">
    <w:name w:val="List Continue 2"/>
    <w:basedOn w:val="a1"/>
    <w:rsid w:val="006B0303"/>
    <w:pPr>
      <w:spacing w:after="120"/>
      <w:ind w:left="566"/>
      <w:contextualSpacing/>
    </w:pPr>
  </w:style>
  <w:style w:type="paragraph" w:styleId="35">
    <w:name w:val="List Continue 3"/>
    <w:basedOn w:val="a1"/>
    <w:rsid w:val="006B0303"/>
    <w:pPr>
      <w:spacing w:after="120"/>
      <w:ind w:left="849"/>
      <w:contextualSpacing/>
    </w:pPr>
  </w:style>
  <w:style w:type="paragraph" w:styleId="42">
    <w:name w:val="List Continue 4"/>
    <w:basedOn w:val="a1"/>
    <w:rsid w:val="006B0303"/>
    <w:pPr>
      <w:spacing w:after="120"/>
      <w:ind w:left="1132"/>
      <w:contextualSpacing/>
    </w:pPr>
  </w:style>
  <w:style w:type="paragraph" w:styleId="53">
    <w:name w:val="List Continue 5"/>
    <w:basedOn w:val="a1"/>
    <w:rsid w:val="006B0303"/>
    <w:pPr>
      <w:spacing w:after="120"/>
      <w:ind w:left="1415"/>
      <w:contextualSpacing/>
    </w:pPr>
  </w:style>
  <w:style w:type="character" w:customStyle="1" w:styleId="16">
    <w:name w:val="הפניה חזקה1"/>
    <w:uiPriority w:val="32"/>
    <w:qFormat/>
    <w:rsid w:val="006B0303"/>
    <w:rPr>
      <w:b/>
      <w:bCs/>
      <w:smallCaps/>
      <w:noProof w:val="0"/>
      <w:color w:val="4F81BD"/>
      <w:spacing w:val="5"/>
    </w:rPr>
  </w:style>
  <w:style w:type="character" w:styleId="af6">
    <w:name w:val="endnote reference"/>
    <w:rsid w:val="006B0303"/>
    <w:rPr>
      <w:noProof w:val="0"/>
      <w:vertAlign w:val="superscript"/>
    </w:rPr>
  </w:style>
  <w:style w:type="character" w:styleId="af7">
    <w:name w:val="footnote reference"/>
    <w:rsid w:val="006B0303"/>
    <w:rPr>
      <w:noProof w:val="0"/>
      <w:vertAlign w:val="superscript"/>
    </w:rPr>
  </w:style>
  <w:style w:type="character" w:customStyle="1" w:styleId="17">
    <w:name w:val="הפניה עדינה1"/>
    <w:uiPriority w:val="31"/>
    <w:qFormat/>
    <w:rsid w:val="006B0303"/>
    <w:rPr>
      <w:smallCaps/>
      <w:noProof w:val="0"/>
      <w:color w:val="5A5A5A"/>
    </w:rPr>
  </w:style>
  <w:style w:type="table" w:customStyle="1" w:styleId="18">
    <w:name w:val="הצללה בהירה1"/>
    <w:basedOn w:val="a3"/>
    <w:uiPriority w:val="60"/>
    <w:semiHidden/>
    <w:unhideWhenUsed/>
    <w:rsid w:val="006B03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 Accent 1"/>
    <w:basedOn w:val="a3"/>
    <w:uiPriority w:val="60"/>
    <w:semiHidden/>
    <w:unhideWhenUsed/>
    <w:rsid w:val="006B030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
    <w:name w:val="Light Shading - Accent 2"/>
    <w:basedOn w:val="a3"/>
    <w:uiPriority w:val="60"/>
    <w:semiHidden/>
    <w:unhideWhenUsed/>
    <w:rsid w:val="006B030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
    <w:name w:val="Light Shading - Accent 3"/>
    <w:basedOn w:val="a3"/>
    <w:uiPriority w:val="60"/>
    <w:semiHidden/>
    <w:unhideWhenUsed/>
    <w:rsid w:val="006B030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
    <w:name w:val="Light Shading - Accent 4"/>
    <w:basedOn w:val="a3"/>
    <w:uiPriority w:val="60"/>
    <w:semiHidden/>
    <w:unhideWhenUsed/>
    <w:rsid w:val="006B030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
    <w:name w:val="Light Shading - Accent 5"/>
    <w:basedOn w:val="a3"/>
    <w:uiPriority w:val="60"/>
    <w:semiHidden/>
    <w:unhideWhenUsed/>
    <w:rsid w:val="006B030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
    <w:name w:val="Light Shading - Accent 6"/>
    <w:basedOn w:val="a3"/>
    <w:uiPriority w:val="60"/>
    <w:semiHidden/>
    <w:unhideWhenUsed/>
    <w:rsid w:val="006B030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4">
    <w:name w:val="Medium Shading 2 - Accent 4"/>
    <w:basedOn w:val="a3"/>
    <w:uiPriority w:val="64"/>
    <w:semiHidden/>
    <w:unhideWhenUsed/>
    <w:rsid w:val="006B03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0">
    <w:name w:val="הצללה בינונית 11"/>
    <w:basedOn w:val="a3"/>
    <w:uiPriority w:val="63"/>
    <w:semiHidden/>
    <w:unhideWhenUsed/>
    <w:rsid w:val="006B030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 Accent 1"/>
    <w:basedOn w:val="a3"/>
    <w:uiPriority w:val="63"/>
    <w:semiHidden/>
    <w:unhideWhenUsed/>
    <w:rsid w:val="006B030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
    <w:name w:val="Medium Shading 1 - Accent 2"/>
    <w:basedOn w:val="a3"/>
    <w:uiPriority w:val="63"/>
    <w:semiHidden/>
    <w:unhideWhenUsed/>
    <w:rsid w:val="006B030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
    <w:name w:val="Medium Shading 1 - Accent 3"/>
    <w:basedOn w:val="a3"/>
    <w:uiPriority w:val="63"/>
    <w:semiHidden/>
    <w:unhideWhenUsed/>
    <w:rsid w:val="006B030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
    <w:name w:val="Medium Shading 1 - Accent 4"/>
    <w:basedOn w:val="a3"/>
    <w:uiPriority w:val="63"/>
    <w:semiHidden/>
    <w:unhideWhenUsed/>
    <w:rsid w:val="006B030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
    <w:name w:val="Medium Shading 1 - Accent 5"/>
    <w:basedOn w:val="a3"/>
    <w:uiPriority w:val="63"/>
    <w:semiHidden/>
    <w:unhideWhenUsed/>
    <w:rsid w:val="006B030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a3"/>
    <w:uiPriority w:val="63"/>
    <w:semiHidden/>
    <w:unhideWhenUsed/>
    <w:rsid w:val="006B030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0">
    <w:name w:val="הצללה בינונית 21"/>
    <w:basedOn w:val="a3"/>
    <w:uiPriority w:val="64"/>
    <w:semiHidden/>
    <w:unhideWhenUsed/>
    <w:rsid w:val="006B03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
    <w:name w:val="Medium Shading 2 - Accent 1"/>
    <w:basedOn w:val="a3"/>
    <w:uiPriority w:val="64"/>
    <w:semiHidden/>
    <w:unhideWhenUsed/>
    <w:rsid w:val="006B03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
    <w:name w:val="Medium Shading 2 - Accent 2"/>
    <w:basedOn w:val="a3"/>
    <w:uiPriority w:val="64"/>
    <w:semiHidden/>
    <w:unhideWhenUsed/>
    <w:rsid w:val="006B03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
    <w:name w:val="Medium Shading 2 - Accent 3"/>
    <w:basedOn w:val="a3"/>
    <w:uiPriority w:val="64"/>
    <w:semiHidden/>
    <w:unhideWhenUsed/>
    <w:rsid w:val="006B03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
    <w:name w:val="Medium Shading 2 - Accent 5"/>
    <w:basedOn w:val="a3"/>
    <w:uiPriority w:val="64"/>
    <w:semiHidden/>
    <w:unhideWhenUsed/>
    <w:rsid w:val="006B03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
    <w:name w:val="Medium Shading 2 - Accent 6"/>
    <w:basedOn w:val="a3"/>
    <w:uiPriority w:val="64"/>
    <w:semiHidden/>
    <w:unhideWhenUsed/>
    <w:rsid w:val="006B03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9">
    <w:name w:val="הצללה צבעונית1"/>
    <w:basedOn w:val="a3"/>
    <w:uiPriority w:val="71"/>
    <w:semiHidden/>
    <w:unhideWhenUsed/>
    <w:rsid w:val="006B030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
    <w:name w:val="Colorful Shading - Accent 1"/>
    <w:basedOn w:val="a3"/>
    <w:uiPriority w:val="71"/>
    <w:semiHidden/>
    <w:unhideWhenUsed/>
    <w:rsid w:val="006B030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
    <w:name w:val="Colorful Shading - Accent 2"/>
    <w:basedOn w:val="a3"/>
    <w:uiPriority w:val="71"/>
    <w:semiHidden/>
    <w:unhideWhenUsed/>
    <w:rsid w:val="006B030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
    <w:name w:val="Colorful Shading - Accent 3"/>
    <w:basedOn w:val="a3"/>
    <w:uiPriority w:val="71"/>
    <w:semiHidden/>
    <w:unhideWhenUsed/>
    <w:rsid w:val="006B030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
    <w:name w:val="Colorful Shading - Accent 4"/>
    <w:basedOn w:val="a3"/>
    <w:uiPriority w:val="71"/>
    <w:semiHidden/>
    <w:unhideWhenUsed/>
    <w:rsid w:val="006B030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
    <w:name w:val="Colorful Shading - Accent 5"/>
    <w:basedOn w:val="a3"/>
    <w:uiPriority w:val="71"/>
    <w:semiHidden/>
    <w:unhideWhenUsed/>
    <w:rsid w:val="006B030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
    <w:name w:val="Colorful Shading - Accent 6"/>
    <w:basedOn w:val="a3"/>
    <w:uiPriority w:val="71"/>
    <w:semiHidden/>
    <w:unhideWhenUsed/>
    <w:rsid w:val="006B030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af8">
    <w:name w:val="Strong"/>
    <w:qFormat/>
    <w:rsid w:val="006B0303"/>
    <w:rPr>
      <w:b/>
      <w:bCs/>
      <w:noProof w:val="0"/>
    </w:rPr>
  </w:style>
  <w:style w:type="paragraph" w:styleId="af9">
    <w:name w:val="Signature"/>
    <w:basedOn w:val="a1"/>
    <w:link w:val="afa"/>
    <w:rsid w:val="006B0303"/>
    <w:pPr>
      <w:ind w:left="4252"/>
    </w:pPr>
  </w:style>
  <w:style w:type="character" w:customStyle="1" w:styleId="afa">
    <w:name w:val="חתימה תו"/>
    <w:link w:val="af9"/>
    <w:semiHidden/>
    <w:rsid w:val="006B0303"/>
    <w:rPr>
      <w:rFonts w:cs="David"/>
      <w:noProof w:val="0"/>
      <w:sz w:val="24"/>
      <w:szCs w:val="24"/>
    </w:rPr>
  </w:style>
  <w:style w:type="paragraph" w:styleId="afb">
    <w:name w:val="E-mail Signature"/>
    <w:basedOn w:val="a1"/>
    <w:link w:val="afc"/>
    <w:rsid w:val="006B0303"/>
  </w:style>
  <w:style w:type="character" w:customStyle="1" w:styleId="afc">
    <w:name w:val="חתימת דואר אלקטרוני תו"/>
    <w:link w:val="afb"/>
    <w:semiHidden/>
    <w:rsid w:val="006B0303"/>
    <w:rPr>
      <w:rFonts w:cs="David"/>
      <w:noProof w:val="0"/>
      <w:sz w:val="24"/>
      <w:szCs w:val="24"/>
    </w:rPr>
  </w:style>
  <w:style w:type="table" w:styleId="afd">
    <w:name w:val="Table Elegant"/>
    <w:basedOn w:val="a3"/>
    <w:rsid w:val="006B0303"/>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e">
    <w:name w:val="Table Professional"/>
    <w:basedOn w:val="a3"/>
    <w:rsid w:val="006B0303"/>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ubtle 1"/>
    <w:basedOn w:val="a3"/>
    <w:rsid w:val="006B0303"/>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3"/>
    <w:rsid w:val="006B0303"/>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
    <w:name w:val="Table Contemporary"/>
    <w:basedOn w:val="a3"/>
    <w:rsid w:val="006B0303"/>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b">
    <w:name w:val="Table Simple 1"/>
    <w:basedOn w:val="a3"/>
    <w:rsid w:val="006B0303"/>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3"/>
    <w:rsid w:val="006B0303"/>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rsid w:val="006B0303"/>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olorful 1"/>
    <w:basedOn w:val="a3"/>
    <w:rsid w:val="006B0303"/>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rsid w:val="006B0303"/>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rsid w:val="006B0303"/>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d">
    <w:name w:val="Table Classic 1"/>
    <w:basedOn w:val="a3"/>
    <w:rsid w:val="006B0303"/>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rsid w:val="006B0303"/>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rsid w:val="006B0303"/>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rsid w:val="006B0303"/>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
    <w:name w:val="טבלה רגילה 11"/>
    <w:basedOn w:val="a3"/>
    <w:uiPriority w:val="41"/>
    <w:rsid w:val="006B030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טבלה רגילה 21"/>
    <w:basedOn w:val="a3"/>
    <w:uiPriority w:val="42"/>
    <w:rsid w:val="006B030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טבלה רגילה 31"/>
    <w:basedOn w:val="a3"/>
    <w:uiPriority w:val="43"/>
    <w:rsid w:val="006B030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טבלה רגילה 41"/>
    <w:basedOn w:val="a3"/>
    <w:uiPriority w:val="44"/>
    <w:rsid w:val="006B030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טבלה רגילה 51"/>
    <w:basedOn w:val="a3"/>
    <w:uiPriority w:val="45"/>
    <w:rsid w:val="006B0303"/>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e">
    <w:name w:val="Table Web 1"/>
    <w:basedOn w:val="a3"/>
    <w:rsid w:val="006B0303"/>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a">
    <w:name w:val="Table Web 2"/>
    <w:basedOn w:val="a3"/>
    <w:rsid w:val="006B0303"/>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3"/>
    <w:rsid w:val="006B0303"/>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ימה 1 בהירה1"/>
    <w:basedOn w:val="a3"/>
    <w:uiPriority w:val="46"/>
    <w:rsid w:val="006B0303"/>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 Accent 1"/>
    <w:basedOn w:val="a3"/>
    <w:uiPriority w:val="46"/>
    <w:rsid w:val="006B0303"/>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
    <w:name w:val="List Table 1 Light - Accent 2"/>
    <w:basedOn w:val="a3"/>
    <w:uiPriority w:val="46"/>
    <w:rsid w:val="006B0303"/>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
    <w:name w:val="List Table 1 Light - Accent 3"/>
    <w:basedOn w:val="a3"/>
    <w:uiPriority w:val="46"/>
    <w:rsid w:val="006B0303"/>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
    <w:name w:val="List Table 1 Light - Accent 4"/>
    <w:basedOn w:val="a3"/>
    <w:uiPriority w:val="46"/>
    <w:rsid w:val="006B0303"/>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
    <w:name w:val="List Table 1 Light - Accent 5"/>
    <w:basedOn w:val="a3"/>
    <w:uiPriority w:val="46"/>
    <w:rsid w:val="006B0303"/>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
    <w:name w:val="List Table 1 Light - Accent 6"/>
    <w:basedOn w:val="a3"/>
    <w:uiPriority w:val="46"/>
    <w:rsid w:val="006B0303"/>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12">
    <w:name w:val="טבלת רשימה 21"/>
    <w:basedOn w:val="a3"/>
    <w:uiPriority w:val="47"/>
    <w:rsid w:val="006B0303"/>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 Accent 1"/>
    <w:basedOn w:val="a3"/>
    <w:uiPriority w:val="47"/>
    <w:rsid w:val="006B0303"/>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
    <w:name w:val="List Table 2 - Accent 2"/>
    <w:basedOn w:val="a3"/>
    <w:uiPriority w:val="47"/>
    <w:rsid w:val="006B0303"/>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
    <w:name w:val="List Table 2 - Accent 3"/>
    <w:basedOn w:val="a3"/>
    <w:uiPriority w:val="47"/>
    <w:rsid w:val="006B0303"/>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
    <w:name w:val="List Table 2 - Accent 4"/>
    <w:basedOn w:val="a3"/>
    <w:uiPriority w:val="47"/>
    <w:rsid w:val="006B0303"/>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
    <w:name w:val="List Table 2 - Accent 5"/>
    <w:basedOn w:val="a3"/>
    <w:uiPriority w:val="47"/>
    <w:rsid w:val="006B0303"/>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
    <w:name w:val="List Table 2 - Accent 6"/>
    <w:basedOn w:val="a3"/>
    <w:uiPriority w:val="47"/>
    <w:rsid w:val="006B0303"/>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1">
    <w:name w:val="טבלת רשימה 31"/>
    <w:basedOn w:val="a3"/>
    <w:uiPriority w:val="48"/>
    <w:rsid w:val="006B030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 Accent 1"/>
    <w:basedOn w:val="a3"/>
    <w:uiPriority w:val="48"/>
    <w:rsid w:val="006B0303"/>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
    <w:name w:val="List Table 3 - Accent 2"/>
    <w:basedOn w:val="a3"/>
    <w:uiPriority w:val="48"/>
    <w:rsid w:val="006B0303"/>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
    <w:name w:val="List Table 3 - Accent 3"/>
    <w:basedOn w:val="a3"/>
    <w:uiPriority w:val="48"/>
    <w:rsid w:val="006B0303"/>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
    <w:name w:val="List Table 3 - Accent 4"/>
    <w:basedOn w:val="a3"/>
    <w:uiPriority w:val="48"/>
    <w:rsid w:val="006B0303"/>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
    <w:name w:val="List Table 3 - Accent 5"/>
    <w:basedOn w:val="a3"/>
    <w:uiPriority w:val="48"/>
    <w:rsid w:val="006B0303"/>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 Accent 6"/>
    <w:basedOn w:val="a3"/>
    <w:uiPriority w:val="48"/>
    <w:rsid w:val="006B0303"/>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11">
    <w:name w:val="טבלת רשימה 41"/>
    <w:basedOn w:val="a3"/>
    <w:uiPriority w:val="49"/>
    <w:rsid w:val="006B030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 Accent 1"/>
    <w:basedOn w:val="a3"/>
    <w:uiPriority w:val="49"/>
    <w:rsid w:val="006B0303"/>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
    <w:name w:val="List Table 4 - Accent 2"/>
    <w:basedOn w:val="a3"/>
    <w:uiPriority w:val="49"/>
    <w:rsid w:val="006B0303"/>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
    <w:name w:val="List Table 4 - Accent 3"/>
    <w:basedOn w:val="a3"/>
    <w:uiPriority w:val="49"/>
    <w:rsid w:val="006B0303"/>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
    <w:name w:val="List Table 4 - Accent 4"/>
    <w:basedOn w:val="a3"/>
    <w:uiPriority w:val="49"/>
    <w:rsid w:val="006B0303"/>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
    <w:name w:val="List Table 4 - Accent 5"/>
    <w:basedOn w:val="a3"/>
    <w:uiPriority w:val="49"/>
    <w:rsid w:val="006B0303"/>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
    <w:name w:val="List Table 4 - Accent 6"/>
    <w:basedOn w:val="a3"/>
    <w:uiPriority w:val="49"/>
    <w:rsid w:val="006B0303"/>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1">
    <w:name w:val="טבלת רשימה 5 כהה1"/>
    <w:basedOn w:val="a3"/>
    <w:uiPriority w:val="50"/>
    <w:rsid w:val="006B0303"/>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 Accent 1"/>
    <w:basedOn w:val="a3"/>
    <w:uiPriority w:val="50"/>
    <w:rsid w:val="006B0303"/>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 Accent 2"/>
    <w:basedOn w:val="a3"/>
    <w:uiPriority w:val="50"/>
    <w:rsid w:val="006B0303"/>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 Accent 3"/>
    <w:basedOn w:val="a3"/>
    <w:uiPriority w:val="50"/>
    <w:rsid w:val="006B0303"/>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 Accent 4"/>
    <w:basedOn w:val="a3"/>
    <w:uiPriority w:val="50"/>
    <w:rsid w:val="006B0303"/>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 Accent 5"/>
    <w:basedOn w:val="a3"/>
    <w:uiPriority w:val="50"/>
    <w:rsid w:val="006B0303"/>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 Accent 6"/>
    <w:basedOn w:val="a3"/>
    <w:uiPriority w:val="50"/>
    <w:rsid w:val="006B0303"/>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טבלת רשימה 6 צבעונית1"/>
    <w:basedOn w:val="a3"/>
    <w:uiPriority w:val="51"/>
    <w:rsid w:val="006B0303"/>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 Accent 1"/>
    <w:basedOn w:val="a3"/>
    <w:uiPriority w:val="51"/>
    <w:rsid w:val="006B0303"/>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
    <w:name w:val="List Table 6 Colorful - Accent 2"/>
    <w:basedOn w:val="a3"/>
    <w:uiPriority w:val="51"/>
    <w:rsid w:val="006B0303"/>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
    <w:name w:val="List Table 6 Colorful - Accent 3"/>
    <w:basedOn w:val="a3"/>
    <w:uiPriority w:val="51"/>
    <w:rsid w:val="006B0303"/>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
    <w:name w:val="List Table 6 Colorful - Accent 4"/>
    <w:basedOn w:val="a3"/>
    <w:uiPriority w:val="51"/>
    <w:rsid w:val="006B0303"/>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
    <w:name w:val="List Table 6 Colorful - Accent 5"/>
    <w:basedOn w:val="a3"/>
    <w:uiPriority w:val="51"/>
    <w:rsid w:val="006B0303"/>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
    <w:name w:val="List Table 6 Colorful - Accent 6"/>
    <w:basedOn w:val="a3"/>
    <w:uiPriority w:val="51"/>
    <w:rsid w:val="006B0303"/>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
    <w:name w:val="טבלת רשימה 7 צבעונית1"/>
    <w:basedOn w:val="a3"/>
    <w:uiPriority w:val="52"/>
    <w:rsid w:val="006B0303"/>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 Accent 1"/>
    <w:basedOn w:val="a3"/>
    <w:uiPriority w:val="52"/>
    <w:rsid w:val="006B0303"/>
    <w:rPr>
      <w:color w:val="365F9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F81BD"/>
        </w:tcBorders>
        <w:shd w:val="clear" w:color="auto" w:fill="FFFFFF"/>
      </w:tcPr>
    </w:tblStylePr>
    <w:tblStylePr w:type="lastRow">
      <w:rPr>
        <w:rFonts w:ascii="Times New Roman" w:eastAsia="Times New Roman" w:hAnsi="Times New Roman" w:cs="Times New Roman"/>
        <w:i/>
        <w:iCs/>
        <w:sz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F81BD"/>
        </w:tcBorders>
        <w:shd w:val="clear" w:color="auto" w:fill="FFFFFF"/>
      </w:tcPr>
    </w:tblStylePr>
    <w:tblStylePr w:type="lastCol">
      <w:rPr>
        <w:rFonts w:ascii="Times New Roman" w:eastAsia="Times New Roman" w:hAnsi="Times New Roman"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 Accent 2"/>
    <w:basedOn w:val="a3"/>
    <w:uiPriority w:val="52"/>
    <w:rsid w:val="006B0303"/>
    <w:rPr>
      <w:color w:val="943634"/>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C0504D"/>
        </w:tcBorders>
        <w:shd w:val="clear" w:color="auto" w:fill="FFFFFF"/>
      </w:tcPr>
    </w:tblStylePr>
    <w:tblStylePr w:type="lastRow">
      <w:rPr>
        <w:rFonts w:ascii="Times New Roman" w:eastAsia="Times New Roman" w:hAnsi="Times New Roman" w:cs="Times New Roman"/>
        <w:i/>
        <w:iCs/>
        <w:sz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C0504D"/>
        </w:tcBorders>
        <w:shd w:val="clear" w:color="auto" w:fill="FFFFFF"/>
      </w:tcPr>
    </w:tblStylePr>
    <w:tblStylePr w:type="lastCol">
      <w:rPr>
        <w:rFonts w:ascii="Times New Roman" w:eastAsia="Times New Roman" w:hAnsi="Times New Roman"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 Accent 3"/>
    <w:basedOn w:val="a3"/>
    <w:uiPriority w:val="52"/>
    <w:rsid w:val="006B0303"/>
    <w:rPr>
      <w:color w:val="76923C"/>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BBB59"/>
        </w:tcBorders>
        <w:shd w:val="clear" w:color="auto" w:fill="FFFFFF"/>
      </w:tcPr>
    </w:tblStylePr>
    <w:tblStylePr w:type="lastRow">
      <w:rPr>
        <w:rFonts w:ascii="Times New Roman" w:eastAsia="Times New Roman" w:hAnsi="Times New Roman" w:cs="Times New Roman"/>
        <w:i/>
        <w:iCs/>
        <w:sz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BBB59"/>
        </w:tcBorders>
        <w:shd w:val="clear" w:color="auto" w:fill="FFFFFF"/>
      </w:tcPr>
    </w:tblStylePr>
    <w:tblStylePr w:type="lastCol">
      <w:rPr>
        <w:rFonts w:ascii="Times New Roman" w:eastAsia="Times New Roman" w:hAnsi="Times New Roman"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 Accent 4"/>
    <w:basedOn w:val="a3"/>
    <w:uiPriority w:val="52"/>
    <w:rsid w:val="006B0303"/>
    <w:rPr>
      <w:color w:val="5F497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8064A2"/>
        </w:tcBorders>
        <w:shd w:val="clear" w:color="auto" w:fill="FFFFFF"/>
      </w:tcPr>
    </w:tblStylePr>
    <w:tblStylePr w:type="lastRow">
      <w:rPr>
        <w:rFonts w:ascii="Times New Roman" w:eastAsia="Times New Roman" w:hAnsi="Times New Roman" w:cs="Times New Roman"/>
        <w:i/>
        <w:iCs/>
        <w:sz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8064A2"/>
        </w:tcBorders>
        <w:shd w:val="clear" w:color="auto" w:fill="FFFFFF"/>
      </w:tcPr>
    </w:tblStylePr>
    <w:tblStylePr w:type="lastCol">
      <w:rPr>
        <w:rFonts w:ascii="Times New Roman" w:eastAsia="Times New Roman" w:hAnsi="Times New Roman"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 Accent 5"/>
    <w:basedOn w:val="a3"/>
    <w:uiPriority w:val="52"/>
    <w:rsid w:val="006B0303"/>
    <w:rPr>
      <w:color w:val="31849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BACC6"/>
        </w:tcBorders>
        <w:shd w:val="clear" w:color="auto" w:fill="FFFFFF"/>
      </w:tcPr>
    </w:tblStylePr>
    <w:tblStylePr w:type="lastRow">
      <w:rPr>
        <w:rFonts w:ascii="Times New Roman" w:eastAsia="Times New Roman" w:hAnsi="Times New Roman" w:cs="Times New Roman"/>
        <w:i/>
        <w:iCs/>
        <w:sz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BACC6"/>
        </w:tcBorders>
        <w:shd w:val="clear" w:color="auto" w:fill="FFFFFF"/>
      </w:tcPr>
    </w:tblStylePr>
    <w:tblStylePr w:type="lastCol">
      <w:rPr>
        <w:rFonts w:ascii="Times New Roman" w:eastAsia="Times New Roman" w:hAnsi="Times New Roman"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 Accent 6"/>
    <w:basedOn w:val="a3"/>
    <w:uiPriority w:val="52"/>
    <w:rsid w:val="006B0303"/>
    <w:rPr>
      <w:color w:val="E36C0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79646"/>
        </w:tcBorders>
        <w:shd w:val="clear" w:color="auto" w:fill="FFFFFF"/>
      </w:tcPr>
    </w:tblStylePr>
    <w:tblStylePr w:type="lastRow">
      <w:rPr>
        <w:rFonts w:ascii="Times New Roman" w:eastAsia="Times New Roman" w:hAnsi="Times New Roman" w:cs="Times New Roman"/>
        <w:i/>
        <w:iCs/>
        <w:sz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79646"/>
        </w:tcBorders>
        <w:shd w:val="clear" w:color="auto" w:fill="FFFFFF"/>
      </w:tcPr>
    </w:tblStylePr>
    <w:tblStylePr w:type="lastCol">
      <w:rPr>
        <w:rFonts w:ascii="Times New Roman" w:eastAsia="Times New Roman" w:hAnsi="Times New Roman"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טבלת רשת 1 בהירה1"/>
    <w:basedOn w:val="a3"/>
    <w:uiPriority w:val="46"/>
    <w:rsid w:val="006B030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 Accent 1"/>
    <w:basedOn w:val="a3"/>
    <w:uiPriority w:val="46"/>
    <w:rsid w:val="006B0303"/>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
    <w:name w:val="Grid Table 1 Light - Accent 2"/>
    <w:basedOn w:val="a3"/>
    <w:uiPriority w:val="46"/>
    <w:rsid w:val="006B0303"/>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
    <w:name w:val="Grid Table 1 Light - Accent 3"/>
    <w:basedOn w:val="a3"/>
    <w:uiPriority w:val="46"/>
    <w:rsid w:val="006B0303"/>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 Accent 4"/>
    <w:basedOn w:val="a3"/>
    <w:uiPriority w:val="46"/>
    <w:rsid w:val="006B0303"/>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 Accent 5"/>
    <w:basedOn w:val="a3"/>
    <w:uiPriority w:val="46"/>
    <w:rsid w:val="006B030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 Accent 6"/>
    <w:basedOn w:val="a3"/>
    <w:uiPriority w:val="46"/>
    <w:rsid w:val="006B030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טבלת רשת 21"/>
    <w:basedOn w:val="a3"/>
    <w:uiPriority w:val="47"/>
    <w:rsid w:val="006B030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a3"/>
    <w:uiPriority w:val="47"/>
    <w:rsid w:val="006B0303"/>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 Accent 2"/>
    <w:basedOn w:val="a3"/>
    <w:uiPriority w:val="47"/>
    <w:rsid w:val="006B0303"/>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
    <w:name w:val="Grid Table 2 - Accent 3"/>
    <w:basedOn w:val="a3"/>
    <w:uiPriority w:val="47"/>
    <w:rsid w:val="006B0303"/>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
    <w:name w:val="Grid Table 2 - Accent 4"/>
    <w:basedOn w:val="a3"/>
    <w:uiPriority w:val="47"/>
    <w:rsid w:val="006B0303"/>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
    <w:name w:val="Grid Table 2 - Accent 5"/>
    <w:basedOn w:val="a3"/>
    <w:uiPriority w:val="47"/>
    <w:rsid w:val="006B0303"/>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
    <w:name w:val="Grid Table 2 - Accent 6"/>
    <w:basedOn w:val="a3"/>
    <w:uiPriority w:val="47"/>
    <w:rsid w:val="006B0303"/>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2">
    <w:name w:val="טבלת רשת 31"/>
    <w:basedOn w:val="a3"/>
    <w:uiPriority w:val="48"/>
    <w:rsid w:val="006B030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 Accent 1"/>
    <w:basedOn w:val="a3"/>
    <w:uiPriority w:val="48"/>
    <w:rsid w:val="006B0303"/>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
    <w:name w:val="Grid Table 3 - Accent 2"/>
    <w:basedOn w:val="a3"/>
    <w:uiPriority w:val="48"/>
    <w:rsid w:val="006B0303"/>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
    <w:name w:val="Grid Table 3 - Accent 3"/>
    <w:basedOn w:val="a3"/>
    <w:uiPriority w:val="48"/>
    <w:rsid w:val="006B0303"/>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
    <w:name w:val="Grid Table 3 - Accent 4"/>
    <w:basedOn w:val="a3"/>
    <w:uiPriority w:val="48"/>
    <w:rsid w:val="006B0303"/>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
    <w:name w:val="Grid Table 3 - Accent 5"/>
    <w:basedOn w:val="a3"/>
    <w:uiPriority w:val="48"/>
    <w:rsid w:val="006B0303"/>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
    <w:name w:val="Grid Table 3 - Accent 6"/>
    <w:basedOn w:val="a3"/>
    <w:uiPriority w:val="48"/>
    <w:rsid w:val="006B0303"/>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12">
    <w:name w:val="טבלת רשת 41"/>
    <w:basedOn w:val="a3"/>
    <w:uiPriority w:val="49"/>
    <w:rsid w:val="006B030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 Accent 1"/>
    <w:basedOn w:val="a3"/>
    <w:uiPriority w:val="49"/>
    <w:rsid w:val="006B0303"/>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
    <w:name w:val="Grid Table 4 - Accent 2"/>
    <w:basedOn w:val="a3"/>
    <w:uiPriority w:val="49"/>
    <w:rsid w:val="006B0303"/>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
    <w:name w:val="Grid Table 4 - Accent 3"/>
    <w:basedOn w:val="a3"/>
    <w:uiPriority w:val="49"/>
    <w:rsid w:val="006B0303"/>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
    <w:name w:val="Grid Table 4 - Accent 4"/>
    <w:basedOn w:val="a3"/>
    <w:uiPriority w:val="49"/>
    <w:rsid w:val="006B0303"/>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 Accent 5"/>
    <w:basedOn w:val="a3"/>
    <w:uiPriority w:val="49"/>
    <w:rsid w:val="006B0303"/>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
    <w:name w:val="Grid Table 4 - Accent 6"/>
    <w:basedOn w:val="a3"/>
    <w:uiPriority w:val="49"/>
    <w:rsid w:val="006B0303"/>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2">
    <w:name w:val="טבלת רשת 5 כהה1"/>
    <w:basedOn w:val="a3"/>
    <w:uiPriority w:val="50"/>
    <w:rsid w:val="006B030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 Accent 1"/>
    <w:basedOn w:val="a3"/>
    <w:uiPriority w:val="50"/>
    <w:rsid w:val="006B030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
    <w:name w:val="Grid Table 5 Dark - Accent 2"/>
    <w:basedOn w:val="a3"/>
    <w:uiPriority w:val="50"/>
    <w:rsid w:val="006B030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
    <w:name w:val="Grid Table 5 Dark - Accent 3"/>
    <w:basedOn w:val="a3"/>
    <w:uiPriority w:val="50"/>
    <w:rsid w:val="006B030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
    <w:name w:val="Grid Table 5 Dark - Accent 4"/>
    <w:basedOn w:val="a3"/>
    <w:uiPriority w:val="50"/>
    <w:rsid w:val="006B030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
    <w:name w:val="Grid Table 5 Dark - Accent 5"/>
    <w:basedOn w:val="a3"/>
    <w:uiPriority w:val="50"/>
    <w:rsid w:val="006B030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
    <w:name w:val="Grid Table 5 Dark - Accent 6"/>
    <w:basedOn w:val="a3"/>
    <w:uiPriority w:val="50"/>
    <w:rsid w:val="006B030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10">
    <w:name w:val="טבלת רשת 6 צבעונית1"/>
    <w:basedOn w:val="a3"/>
    <w:uiPriority w:val="51"/>
    <w:rsid w:val="006B030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 Accent 1"/>
    <w:basedOn w:val="a3"/>
    <w:uiPriority w:val="51"/>
    <w:rsid w:val="006B0303"/>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
    <w:name w:val="Grid Table 6 Colorful - Accent 2"/>
    <w:basedOn w:val="a3"/>
    <w:uiPriority w:val="51"/>
    <w:rsid w:val="006B0303"/>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
    <w:name w:val="Grid Table 6 Colorful - Accent 3"/>
    <w:basedOn w:val="a3"/>
    <w:uiPriority w:val="51"/>
    <w:rsid w:val="006B0303"/>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
    <w:name w:val="Grid Table 6 Colorful - Accent 4"/>
    <w:basedOn w:val="a3"/>
    <w:uiPriority w:val="51"/>
    <w:rsid w:val="006B0303"/>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
    <w:name w:val="Grid Table 6 Colorful - Accent 5"/>
    <w:basedOn w:val="a3"/>
    <w:uiPriority w:val="51"/>
    <w:rsid w:val="006B0303"/>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
    <w:name w:val="Grid Table 6 Colorful - Accent 6"/>
    <w:basedOn w:val="a3"/>
    <w:uiPriority w:val="51"/>
    <w:rsid w:val="006B0303"/>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0">
    <w:name w:val="טבלת רשת 7 צבעונית1"/>
    <w:basedOn w:val="a3"/>
    <w:uiPriority w:val="52"/>
    <w:rsid w:val="006B030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 Accent 1"/>
    <w:basedOn w:val="a3"/>
    <w:uiPriority w:val="52"/>
    <w:rsid w:val="006B0303"/>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
    <w:name w:val="Grid Table 7 Colorful - Accent 2"/>
    <w:basedOn w:val="a3"/>
    <w:uiPriority w:val="52"/>
    <w:rsid w:val="006B0303"/>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
    <w:name w:val="Grid Table 7 Colorful - Accent 3"/>
    <w:basedOn w:val="a3"/>
    <w:uiPriority w:val="52"/>
    <w:rsid w:val="006B0303"/>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
    <w:name w:val="Grid Table 7 Colorful - Accent 4"/>
    <w:basedOn w:val="a3"/>
    <w:uiPriority w:val="52"/>
    <w:rsid w:val="006B0303"/>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
    <w:name w:val="Grid Table 7 Colorful - Accent 5"/>
    <w:basedOn w:val="a3"/>
    <w:uiPriority w:val="52"/>
    <w:rsid w:val="006B0303"/>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
    <w:name w:val="Grid Table 7 Colorful - Accent 6"/>
    <w:basedOn w:val="a3"/>
    <w:uiPriority w:val="52"/>
    <w:rsid w:val="006B0303"/>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aff0">
    <w:name w:val="Block Text"/>
    <w:basedOn w:val="a1"/>
    <w:rsid w:val="006B0303"/>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aff1">
    <w:name w:val="endnote text"/>
    <w:basedOn w:val="a1"/>
    <w:link w:val="aff2"/>
    <w:rsid w:val="006B0303"/>
    <w:rPr>
      <w:sz w:val="20"/>
      <w:szCs w:val="20"/>
    </w:rPr>
  </w:style>
  <w:style w:type="character" w:customStyle="1" w:styleId="aff2">
    <w:name w:val="טקסט הערת סיום תו"/>
    <w:link w:val="aff1"/>
    <w:semiHidden/>
    <w:rsid w:val="006B0303"/>
    <w:rPr>
      <w:rFonts w:cs="David"/>
      <w:noProof w:val="0"/>
    </w:rPr>
  </w:style>
  <w:style w:type="paragraph" w:styleId="aff3">
    <w:name w:val="footnote text"/>
    <w:basedOn w:val="a1"/>
    <w:link w:val="aff4"/>
    <w:rsid w:val="006B0303"/>
    <w:rPr>
      <w:sz w:val="20"/>
      <w:szCs w:val="20"/>
    </w:rPr>
  </w:style>
  <w:style w:type="character" w:customStyle="1" w:styleId="aff4">
    <w:name w:val="טקסט הערת שוליים תו"/>
    <w:link w:val="aff3"/>
    <w:semiHidden/>
    <w:rsid w:val="006B0303"/>
    <w:rPr>
      <w:rFonts w:cs="David"/>
      <w:noProof w:val="0"/>
    </w:rPr>
  </w:style>
  <w:style w:type="paragraph" w:styleId="aff5">
    <w:name w:val="macro"/>
    <w:link w:val="aff6"/>
    <w:rsid w:val="006B0303"/>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ff6">
    <w:name w:val="טקסט מאקרו תו"/>
    <w:link w:val="aff5"/>
    <w:semiHidden/>
    <w:rsid w:val="006B0303"/>
    <w:rPr>
      <w:rFonts w:ascii="Consolas" w:hAnsi="Consolas" w:cs="David"/>
      <w:noProof w:val="0"/>
    </w:rPr>
  </w:style>
  <w:style w:type="paragraph" w:styleId="aff7">
    <w:name w:val="Plain Text"/>
    <w:basedOn w:val="a1"/>
    <w:link w:val="aff8"/>
    <w:rsid w:val="006B0303"/>
    <w:rPr>
      <w:rFonts w:ascii="Consolas" w:hAnsi="Consolas"/>
      <w:sz w:val="21"/>
      <w:szCs w:val="21"/>
    </w:rPr>
  </w:style>
  <w:style w:type="character" w:customStyle="1" w:styleId="aff8">
    <w:name w:val="טקסט רגיל תו"/>
    <w:link w:val="aff7"/>
    <w:semiHidden/>
    <w:rsid w:val="006B0303"/>
    <w:rPr>
      <w:rFonts w:ascii="Consolas" w:hAnsi="Consolas" w:cs="David"/>
      <w:noProof w:val="0"/>
      <w:sz w:val="21"/>
      <w:szCs w:val="21"/>
    </w:rPr>
  </w:style>
  <w:style w:type="character" w:customStyle="1" w:styleId="1f">
    <w:name w:val="כותר הספר1"/>
    <w:uiPriority w:val="33"/>
    <w:qFormat/>
    <w:rsid w:val="006B0303"/>
    <w:rPr>
      <w:b/>
      <w:bCs/>
      <w:i/>
      <w:iCs/>
      <w:noProof w:val="0"/>
      <w:spacing w:val="5"/>
    </w:rPr>
  </w:style>
  <w:style w:type="character" w:customStyle="1" w:styleId="10">
    <w:name w:val="כותרת 1 תו"/>
    <w:link w:val="1"/>
    <w:rsid w:val="006B0303"/>
    <w:rPr>
      <w:rFonts w:ascii="Cambria" w:eastAsia="Times New Roman" w:hAnsi="Cambria" w:cs="Times New Roman"/>
      <w:noProof w:val="0"/>
      <w:color w:val="365F91"/>
      <w:sz w:val="32"/>
      <w:szCs w:val="32"/>
    </w:rPr>
  </w:style>
  <w:style w:type="character" w:customStyle="1" w:styleId="22">
    <w:name w:val="כותרת 2 תו"/>
    <w:link w:val="21"/>
    <w:semiHidden/>
    <w:rsid w:val="006B0303"/>
    <w:rPr>
      <w:rFonts w:ascii="Cambria" w:eastAsia="Times New Roman" w:hAnsi="Cambria" w:cs="Times New Roman"/>
      <w:noProof w:val="0"/>
      <w:color w:val="365F91"/>
      <w:sz w:val="26"/>
      <w:szCs w:val="26"/>
    </w:rPr>
  </w:style>
  <w:style w:type="character" w:customStyle="1" w:styleId="32">
    <w:name w:val="כותרת 3 תו"/>
    <w:link w:val="31"/>
    <w:semiHidden/>
    <w:rsid w:val="006B0303"/>
    <w:rPr>
      <w:rFonts w:ascii="Cambria" w:eastAsia="Times New Roman" w:hAnsi="Cambria" w:cs="Times New Roman"/>
      <w:noProof w:val="0"/>
      <w:color w:val="243F60"/>
      <w:sz w:val="24"/>
      <w:szCs w:val="24"/>
    </w:rPr>
  </w:style>
  <w:style w:type="character" w:customStyle="1" w:styleId="52">
    <w:name w:val="כותרת 5 תו"/>
    <w:link w:val="51"/>
    <w:semiHidden/>
    <w:rsid w:val="006B0303"/>
    <w:rPr>
      <w:rFonts w:ascii="Cambria" w:eastAsia="Times New Roman" w:hAnsi="Cambria" w:cs="Times New Roman"/>
      <w:noProof w:val="0"/>
      <w:color w:val="365F91"/>
      <w:sz w:val="24"/>
      <w:szCs w:val="24"/>
    </w:rPr>
  </w:style>
  <w:style w:type="character" w:customStyle="1" w:styleId="60">
    <w:name w:val="כותרת 6 תו"/>
    <w:link w:val="6"/>
    <w:semiHidden/>
    <w:rsid w:val="006B0303"/>
    <w:rPr>
      <w:rFonts w:ascii="Cambria" w:eastAsia="Times New Roman" w:hAnsi="Cambria" w:cs="Times New Roman"/>
      <w:noProof w:val="0"/>
      <w:color w:val="243F60"/>
      <w:sz w:val="24"/>
      <w:szCs w:val="24"/>
    </w:rPr>
  </w:style>
  <w:style w:type="character" w:customStyle="1" w:styleId="70">
    <w:name w:val="כותרת 7 תו"/>
    <w:link w:val="7"/>
    <w:semiHidden/>
    <w:rsid w:val="006B0303"/>
    <w:rPr>
      <w:rFonts w:ascii="Cambria" w:eastAsia="Times New Roman" w:hAnsi="Cambria" w:cs="Times New Roman"/>
      <w:i/>
      <w:iCs/>
      <w:noProof w:val="0"/>
      <w:color w:val="243F60"/>
      <w:sz w:val="24"/>
      <w:szCs w:val="24"/>
    </w:rPr>
  </w:style>
  <w:style w:type="character" w:customStyle="1" w:styleId="80">
    <w:name w:val="כותרת 8 תו"/>
    <w:link w:val="8"/>
    <w:semiHidden/>
    <w:rsid w:val="006B0303"/>
    <w:rPr>
      <w:rFonts w:ascii="Cambria" w:eastAsia="Times New Roman" w:hAnsi="Cambria" w:cs="Times New Roman"/>
      <w:noProof w:val="0"/>
      <w:color w:val="272727"/>
      <w:sz w:val="21"/>
      <w:szCs w:val="21"/>
    </w:rPr>
  </w:style>
  <w:style w:type="character" w:customStyle="1" w:styleId="90">
    <w:name w:val="כותרת 9 תו"/>
    <w:link w:val="9"/>
    <w:semiHidden/>
    <w:rsid w:val="006B0303"/>
    <w:rPr>
      <w:rFonts w:ascii="Cambria" w:eastAsia="Times New Roman" w:hAnsi="Cambria" w:cs="Times New Roman"/>
      <w:i/>
      <w:iCs/>
      <w:noProof w:val="0"/>
      <w:color w:val="272727"/>
      <w:sz w:val="21"/>
      <w:szCs w:val="21"/>
    </w:rPr>
  </w:style>
  <w:style w:type="paragraph" w:styleId="aff9">
    <w:name w:val="index heading"/>
    <w:basedOn w:val="a1"/>
    <w:next w:val="Index1"/>
    <w:rsid w:val="006B0303"/>
    <w:rPr>
      <w:rFonts w:ascii="Cambria" w:hAnsi="Cambria" w:cs="Times New Roman"/>
      <w:b/>
      <w:bCs/>
    </w:rPr>
  </w:style>
  <w:style w:type="paragraph" w:styleId="affa">
    <w:name w:val="Note Heading"/>
    <w:basedOn w:val="a1"/>
    <w:next w:val="a1"/>
    <w:link w:val="affb"/>
    <w:rsid w:val="006B0303"/>
  </w:style>
  <w:style w:type="character" w:customStyle="1" w:styleId="affb">
    <w:name w:val="כותרת הערות תו"/>
    <w:link w:val="affa"/>
    <w:semiHidden/>
    <w:rsid w:val="006B0303"/>
    <w:rPr>
      <w:rFonts w:cs="David"/>
      <w:noProof w:val="0"/>
      <w:sz w:val="24"/>
      <w:szCs w:val="24"/>
    </w:rPr>
  </w:style>
  <w:style w:type="paragraph" w:styleId="affc">
    <w:name w:val="Title"/>
    <w:basedOn w:val="a1"/>
    <w:next w:val="a1"/>
    <w:link w:val="affd"/>
    <w:qFormat/>
    <w:rsid w:val="006B0303"/>
    <w:pPr>
      <w:contextualSpacing/>
    </w:pPr>
    <w:rPr>
      <w:rFonts w:ascii="Cambria" w:hAnsi="Cambria" w:cs="Times New Roman"/>
      <w:spacing w:val="-10"/>
      <w:kern w:val="28"/>
      <w:sz w:val="56"/>
      <w:szCs w:val="56"/>
    </w:rPr>
  </w:style>
  <w:style w:type="character" w:customStyle="1" w:styleId="affd">
    <w:name w:val="כותרת טקסט תו"/>
    <w:link w:val="affc"/>
    <w:rsid w:val="006B0303"/>
    <w:rPr>
      <w:rFonts w:ascii="Cambria" w:eastAsia="Times New Roman" w:hAnsi="Cambria" w:cs="Times New Roman"/>
      <w:noProof w:val="0"/>
      <w:spacing w:val="-10"/>
      <w:kern w:val="28"/>
      <w:sz w:val="56"/>
      <w:szCs w:val="56"/>
    </w:rPr>
  </w:style>
  <w:style w:type="paragraph" w:styleId="affe">
    <w:name w:val="Subtitle"/>
    <w:basedOn w:val="a1"/>
    <w:next w:val="a1"/>
    <w:link w:val="afff"/>
    <w:qFormat/>
    <w:rsid w:val="006B0303"/>
    <w:pPr>
      <w:numPr>
        <w:ilvl w:val="1"/>
      </w:numPr>
      <w:spacing w:after="160"/>
    </w:pPr>
    <w:rPr>
      <w:rFonts w:ascii="Calibri" w:hAnsi="Calibri" w:cs="Arial"/>
      <w:color w:val="5A5A5A"/>
      <w:spacing w:val="15"/>
      <w:sz w:val="22"/>
      <w:szCs w:val="22"/>
    </w:rPr>
  </w:style>
  <w:style w:type="character" w:customStyle="1" w:styleId="afff">
    <w:name w:val="כותרת משנה תו"/>
    <w:link w:val="affe"/>
    <w:rsid w:val="006B0303"/>
    <w:rPr>
      <w:rFonts w:ascii="Calibri" w:eastAsia="Times New Roman" w:hAnsi="Calibri" w:cs="Arial"/>
      <w:noProof w:val="0"/>
      <w:color w:val="5A5A5A"/>
      <w:spacing w:val="15"/>
      <w:sz w:val="22"/>
      <w:szCs w:val="22"/>
    </w:rPr>
  </w:style>
  <w:style w:type="paragraph" w:styleId="afff0">
    <w:name w:val="Message Header"/>
    <w:basedOn w:val="a1"/>
    <w:link w:val="afff1"/>
    <w:rsid w:val="006B030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afff1">
    <w:name w:val="כותרת עליונה של הודעה תו"/>
    <w:link w:val="afff0"/>
    <w:semiHidden/>
    <w:rsid w:val="006B0303"/>
    <w:rPr>
      <w:rFonts w:ascii="Cambria" w:eastAsia="Times New Roman" w:hAnsi="Cambria" w:cs="Times New Roman"/>
      <w:noProof w:val="0"/>
      <w:sz w:val="24"/>
      <w:szCs w:val="24"/>
      <w:shd w:val="pct20" w:color="auto" w:fill="auto"/>
    </w:rPr>
  </w:style>
  <w:style w:type="paragraph" w:styleId="afff2">
    <w:name w:val="toa heading"/>
    <w:basedOn w:val="a1"/>
    <w:next w:val="a1"/>
    <w:rsid w:val="006B0303"/>
    <w:pPr>
      <w:spacing w:before="120"/>
    </w:pPr>
    <w:rPr>
      <w:rFonts w:ascii="Cambria" w:hAnsi="Cambria" w:cs="Times New Roman"/>
      <w:b/>
      <w:bCs/>
    </w:rPr>
  </w:style>
  <w:style w:type="paragraph" w:customStyle="1" w:styleId="1f0">
    <w:name w:val="כותרת תוכן עניינים1"/>
    <w:basedOn w:val="1"/>
    <w:next w:val="a1"/>
    <w:uiPriority w:val="39"/>
    <w:qFormat/>
    <w:rsid w:val="006B0303"/>
    <w:pPr>
      <w:outlineLvl w:val="9"/>
    </w:pPr>
  </w:style>
  <w:style w:type="paragraph" w:styleId="afff3">
    <w:name w:val="caption"/>
    <w:basedOn w:val="a1"/>
    <w:next w:val="a1"/>
    <w:qFormat/>
    <w:rsid w:val="006B0303"/>
    <w:pPr>
      <w:spacing w:after="200"/>
    </w:pPr>
    <w:rPr>
      <w:i/>
      <w:iCs/>
      <w:color w:val="1F497D"/>
      <w:sz w:val="18"/>
      <w:szCs w:val="18"/>
    </w:rPr>
  </w:style>
  <w:style w:type="paragraph" w:styleId="afff4">
    <w:name w:val="Body Text Indent"/>
    <w:basedOn w:val="a1"/>
    <w:link w:val="afff5"/>
    <w:rsid w:val="006B0303"/>
    <w:pPr>
      <w:spacing w:after="120"/>
      <w:ind w:left="283"/>
    </w:pPr>
  </w:style>
  <w:style w:type="character" w:customStyle="1" w:styleId="afff5">
    <w:name w:val="כניסה בגוף טקסט תו"/>
    <w:link w:val="afff4"/>
    <w:semiHidden/>
    <w:rsid w:val="006B0303"/>
    <w:rPr>
      <w:rFonts w:cs="David"/>
      <w:noProof w:val="0"/>
      <w:sz w:val="24"/>
      <w:szCs w:val="24"/>
    </w:rPr>
  </w:style>
  <w:style w:type="paragraph" w:styleId="2b">
    <w:name w:val="Body Text Indent 2"/>
    <w:basedOn w:val="a1"/>
    <w:link w:val="2c"/>
    <w:rsid w:val="006B0303"/>
    <w:pPr>
      <w:spacing w:after="120" w:line="480" w:lineRule="auto"/>
      <w:ind w:left="283"/>
    </w:pPr>
  </w:style>
  <w:style w:type="character" w:customStyle="1" w:styleId="2c">
    <w:name w:val="כניסה בגוף טקסט 2 תו"/>
    <w:link w:val="2b"/>
    <w:semiHidden/>
    <w:rsid w:val="006B0303"/>
    <w:rPr>
      <w:rFonts w:cs="David"/>
      <w:noProof w:val="0"/>
      <w:sz w:val="24"/>
      <w:szCs w:val="24"/>
    </w:rPr>
  </w:style>
  <w:style w:type="paragraph" w:styleId="3a">
    <w:name w:val="Body Text Indent 3"/>
    <w:basedOn w:val="a1"/>
    <w:link w:val="3b"/>
    <w:rsid w:val="006B0303"/>
    <w:pPr>
      <w:spacing w:after="120"/>
      <w:ind w:left="283"/>
    </w:pPr>
    <w:rPr>
      <w:sz w:val="16"/>
      <w:szCs w:val="16"/>
    </w:rPr>
  </w:style>
  <w:style w:type="character" w:customStyle="1" w:styleId="3b">
    <w:name w:val="כניסה בגוף טקסט 3 תו"/>
    <w:link w:val="3a"/>
    <w:semiHidden/>
    <w:rsid w:val="006B0303"/>
    <w:rPr>
      <w:rFonts w:cs="David"/>
      <w:noProof w:val="0"/>
      <w:sz w:val="16"/>
      <w:szCs w:val="16"/>
    </w:rPr>
  </w:style>
  <w:style w:type="paragraph" w:styleId="afff6">
    <w:name w:val="Normal Indent"/>
    <w:basedOn w:val="a1"/>
    <w:rsid w:val="006B0303"/>
    <w:pPr>
      <w:ind w:left="720"/>
    </w:pPr>
  </w:style>
  <w:style w:type="paragraph" w:styleId="afff7">
    <w:name w:val="Body Text First Indent"/>
    <w:basedOn w:val="af2"/>
    <w:link w:val="afff8"/>
    <w:rsid w:val="006B0303"/>
    <w:pPr>
      <w:spacing w:after="0"/>
      <w:ind w:firstLine="360"/>
    </w:pPr>
  </w:style>
  <w:style w:type="character" w:customStyle="1" w:styleId="afff8">
    <w:name w:val="כניסת שורה ראשונה בגוף טקסט תו"/>
    <w:link w:val="afff7"/>
    <w:rsid w:val="006B0303"/>
    <w:rPr>
      <w:rFonts w:cs="David"/>
      <w:noProof w:val="0"/>
      <w:sz w:val="24"/>
      <w:szCs w:val="24"/>
    </w:rPr>
  </w:style>
  <w:style w:type="paragraph" w:styleId="2d">
    <w:name w:val="Body Text First Indent 2"/>
    <w:basedOn w:val="afff4"/>
    <w:link w:val="2e"/>
    <w:rsid w:val="006B0303"/>
    <w:pPr>
      <w:spacing w:after="0"/>
      <w:ind w:left="360" w:firstLine="360"/>
    </w:pPr>
  </w:style>
  <w:style w:type="character" w:customStyle="1" w:styleId="2e">
    <w:name w:val="כניסת שורה ראשונה בגוף טקסט 2 תו"/>
    <w:link w:val="2d"/>
    <w:semiHidden/>
    <w:rsid w:val="006B0303"/>
    <w:rPr>
      <w:rFonts w:cs="David"/>
      <w:noProof w:val="0"/>
      <w:sz w:val="24"/>
      <w:szCs w:val="24"/>
    </w:rPr>
  </w:style>
  <w:style w:type="paragraph" w:styleId="HTML2">
    <w:name w:val="HTML Address"/>
    <w:basedOn w:val="a1"/>
    <w:link w:val="HTML3"/>
    <w:rsid w:val="006B0303"/>
    <w:rPr>
      <w:i/>
      <w:iCs/>
    </w:rPr>
  </w:style>
  <w:style w:type="character" w:customStyle="1" w:styleId="HTML3">
    <w:name w:val="כתובת HTML תו"/>
    <w:link w:val="HTML2"/>
    <w:semiHidden/>
    <w:rsid w:val="006B0303"/>
    <w:rPr>
      <w:rFonts w:cs="David"/>
      <w:i/>
      <w:iCs/>
      <w:noProof w:val="0"/>
      <w:sz w:val="24"/>
      <w:szCs w:val="24"/>
    </w:rPr>
  </w:style>
  <w:style w:type="paragraph" w:styleId="afff9">
    <w:name w:val="envelope address"/>
    <w:basedOn w:val="a1"/>
    <w:rsid w:val="006B0303"/>
    <w:pPr>
      <w:framePr w:w="7920" w:h="1980" w:hRule="exact" w:hSpace="180" w:wrap="auto" w:hAnchor="page" w:xAlign="center" w:yAlign="bottom"/>
      <w:ind w:left="2880"/>
    </w:pPr>
    <w:rPr>
      <w:rFonts w:ascii="Cambria" w:hAnsi="Cambria" w:cs="Times New Roman"/>
    </w:rPr>
  </w:style>
  <w:style w:type="paragraph" w:styleId="afffa">
    <w:name w:val="envelope return"/>
    <w:basedOn w:val="a1"/>
    <w:rsid w:val="006B0303"/>
    <w:rPr>
      <w:rFonts w:ascii="Cambria" w:hAnsi="Cambria" w:cs="Times New Roman"/>
      <w:sz w:val="20"/>
      <w:szCs w:val="20"/>
    </w:rPr>
  </w:style>
  <w:style w:type="paragraph" w:customStyle="1" w:styleId="1f1">
    <w:name w:val="ללא מרווח1"/>
    <w:uiPriority w:val="1"/>
    <w:qFormat/>
    <w:rsid w:val="006B0303"/>
    <w:pPr>
      <w:bidi/>
    </w:pPr>
    <w:rPr>
      <w:rFonts w:cs="David"/>
      <w:sz w:val="24"/>
      <w:szCs w:val="24"/>
      <w:lang w:bidi="he-IL"/>
    </w:rPr>
  </w:style>
  <w:style w:type="character" w:styleId="HTML4">
    <w:name w:val="HTML Typewriter"/>
    <w:rsid w:val="006B0303"/>
    <w:rPr>
      <w:rFonts w:ascii="Consolas" w:hAnsi="Consolas"/>
      <w:noProof w:val="0"/>
      <w:sz w:val="20"/>
      <w:szCs w:val="20"/>
    </w:rPr>
  </w:style>
  <w:style w:type="paragraph" w:styleId="afffb">
    <w:name w:val="Document Map"/>
    <w:basedOn w:val="a1"/>
    <w:link w:val="afffc"/>
    <w:rsid w:val="006B0303"/>
    <w:rPr>
      <w:rFonts w:ascii="Tahoma" w:hAnsi="Tahoma" w:cs="Tahoma"/>
      <w:sz w:val="16"/>
      <w:szCs w:val="16"/>
    </w:rPr>
  </w:style>
  <w:style w:type="character" w:customStyle="1" w:styleId="afffc">
    <w:name w:val="מפת מסמך תו"/>
    <w:link w:val="afffb"/>
    <w:semiHidden/>
    <w:rsid w:val="006B0303"/>
    <w:rPr>
      <w:rFonts w:ascii="Tahoma" w:hAnsi="Tahoma" w:cs="Tahoma"/>
      <w:noProof w:val="0"/>
      <w:sz w:val="16"/>
      <w:szCs w:val="16"/>
    </w:rPr>
  </w:style>
  <w:style w:type="character" w:styleId="HTML5">
    <w:name w:val="HTML Keyboard"/>
    <w:rsid w:val="006B0303"/>
    <w:rPr>
      <w:rFonts w:ascii="Consolas" w:hAnsi="Consolas"/>
      <w:noProof w:val="0"/>
      <w:sz w:val="20"/>
      <w:szCs w:val="20"/>
    </w:rPr>
  </w:style>
  <w:style w:type="paragraph" w:styleId="afffd">
    <w:name w:val="annotation subject"/>
    <w:basedOn w:val="a9"/>
    <w:next w:val="a9"/>
    <w:link w:val="afffe"/>
    <w:rsid w:val="006B0303"/>
    <w:rPr>
      <w:rFonts w:cs="David"/>
      <w:b/>
      <w:bCs/>
      <w:sz w:val="20"/>
      <w:szCs w:val="20"/>
    </w:rPr>
  </w:style>
  <w:style w:type="character" w:customStyle="1" w:styleId="aa">
    <w:name w:val="טקסט הערה תו"/>
    <w:link w:val="a9"/>
    <w:semiHidden/>
    <w:rsid w:val="006B0303"/>
    <w:rPr>
      <w:noProof w:val="0"/>
      <w:sz w:val="24"/>
      <w:szCs w:val="24"/>
    </w:rPr>
  </w:style>
  <w:style w:type="character" w:customStyle="1" w:styleId="afffe">
    <w:name w:val="נושא הערה תו"/>
    <w:link w:val="afffd"/>
    <w:semiHidden/>
    <w:rsid w:val="006B0303"/>
    <w:rPr>
      <w:rFonts w:cs="David"/>
      <w:b/>
      <w:bCs/>
      <w:noProof w:val="0"/>
      <w:sz w:val="24"/>
      <w:szCs w:val="24"/>
    </w:rPr>
  </w:style>
  <w:style w:type="table" w:styleId="affff">
    <w:name w:val="Table Theme"/>
    <w:basedOn w:val="a3"/>
    <w:rsid w:val="006B030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Closing"/>
    <w:basedOn w:val="a1"/>
    <w:link w:val="affff1"/>
    <w:rsid w:val="006B0303"/>
    <w:pPr>
      <w:ind w:left="4252"/>
    </w:pPr>
  </w:style>
  <w:style w:type="character" w:customStyle="1" w:styleId="affff1">
    <w:name w:val="סיום תו"/>
    <w:link w:val="affff0"/>
    <w:semiHidden/>
    <w:rsid w:val="006B0303"/>
    <w:rPr>
      <w:rFonts w:cs="David"/>
      <w:noProof w:val="0"/>
      <w:sz w:val="24"/>
      <w:szCs w:val="24"/>
    </w:rPr>
  </w:style>
  <w:style w:type="table" w:styleId="1f2">
    <w:name w:val="Table Columns 1"/>
    <w:basedOn w:val="a3"/>
    <w:rsid w:val="006B0303"/>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3"/>
    <w:rsid w:val="006B0303"/>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rsid w:val="006B0303"/>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rsid w:val="006B0303"/>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rsid w:val="006B0303"/>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1f3">
    <w:name w:val="פיסקת רשימה1"/>
    <w:basedOn w:val="a1"/>
    <w:uiPriority w:val="34"/>
    <w:qFormat/>
    <w:rsid w:val="006B0303"/>
    <w:pPr>
      <w:ind w:left="720"/>
      <w:contextualSpacing/>
    </w:pPr>
  </w:style>
  <w:style w:type="paragraph" w:customStyle="1" w:styleId="1f4">
    <w:name w:val="ציטוט1"/>
    <w:basedOn w:val="a1"/>
    <w:next w:val="a1"/>
    <w:link w:val="QuoteChar"/>
    <w:uiPriority w:val="29"/>
    <w:qFormat/>
    <w:rsid w:val="006B0303"/>
    <w:pPr>
      <w:spacing w:before="200" w:after="160"/>
      <w:ind w:left="864" w:right="864"/>
      <w:jc w:val="center"/>
    </w:pPr>
    <w:rPr>
      <w:i/>
      <w:iCs/>
      <w:color w:val="404040"/>
    </w:rPr>
  </w:style>
  <w:style w:type="character" w:customStyle="1" w:styleId="QuoteChar">
    <w:name w:val="Quote Char"/>
    <w:link w:val="1f4"/>
    <w:uiPriority w:val="29"/>
    <w:rsid w:val="006B0303"/>
    <w:rPr>
      <w:rFonts w:cs="David"/>
      <w:i/>
      <w:iCs/>
      <w:noProof w:val="0"/>
      <w:color w:val="404040"/>
      <w:sz w:val="24"/>
      <w:szCs w:val="24"/>
    </w:rPr>
  </w:style>
  <w:style w:type="paragraph" w:customStyle="1" w:styleId="1f5">
    <w:name w:val="ציטוט חזק1"/>
    <w:basedOn w:val="a1"/>
    <w:next w:val="a1"/>
    <w:link w:val="IntenseQuoteChar"/>
    <w:uiPriority w:val="30"/>
    <w:qFormat/>
    <w:rsid w:val="006B0303"/>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1f5"/>
    <w:uiPriority w:val="30"/>
    <w:rsid w:val="006B0303"/>
    <w:rPr>
      <w:rFonts w:cs="David"/>
      <w:i/>
      <w:iCs/>
      <w:noProof w:val="0"/>
      <w:color w:val="4F81BD"/>
      <w:sz w:val="24"/>
      <w:szCs w:val="24"/>
    </w:rPr>
  </w:style>
  <w:style w:type="character" w:styleId="HTML6">
    <w:name w:val="HTML Acronym"/>
    <w:rsid w:val="006B0303"/>
    <w:rPr>
      <w:noProof w:val="0"/>
    </w:rPr>
  </w:style>
  <w:style w:type="paragraph" w:styleId="affff2">
    <w:name w:val="List"/>
    <w:basedOn w:val="a1"/>
    <w:rsid w:val="006B0303"/>
    <w:pPr>
      <w:ind w:left="283" w:hanging="283"/>
      <w:contextualSpacing/>
    </w:pPr>
  </w:style>
  <w:style w:type="paragraph" w:styleId="2f0">
    <w:name w:val="List 2"/>
    <w:basedOn w:val="a1"/>
    <w:rsid w:val="006B0303"/>
    <w:pPr>
      <w:ind w:left="566" w:hanging="283"/>
      <w:contextualSpacing/>
    </w:pPr>
  </w:style>
  <w:style w:type="paragraph" w:styleId="3d">
    <w:name w:val="List 3"/>
    <w:basedOn w:val="a1"/>
    <w:rsid w:val="006B0303"/>
    <w:pPr>
      <w:ind w:left="849" w:hanging="283"/>
      <w:contextualSpacing/>
    </w:pPr>
  </w:style>
  <w:style w:type="paragraph" w:styleId="45">
    <w:name w:val="List 4"/>
    <w:basedOn w:val="a1"/>
    <w:rsid w:val="006B0303"/>
    <w:pPr>
      <w:ind w:left="1132" w:hanging="283"/>
      <w:contextualSpacing/>
    </w:pPr>
  </w:style>
  <w:style w:type="paragraph" w:styleId="55">
    <w:name w:val="List 5"/>
    <w:basedOn w:val="a1"/>
    <w:rsid w:val="006B0303"/>
    <w:pPr>
      <w:ind w:left="1415" w:hanging="283"/>
      <w:contextualSpacing/>
    </w:pPr>
  </w:style>
  <w:style w:type="table" w:customStyle="1" w:styleId="1f6">
    <w:name w:val="רשימה בהירה1"/>
    <w:basedOn w:val="a3"/>
    <w:uiPriority w:val="61"/>
    <w:semiHidden/>
    <w:unhideWhenUsed/>
    <w:rsid w:val="006B030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 Accent 1"/>
    <w:basedOn w:val="a3"/>
    <w:uiPriority w:val="61"/>
    <w:semiHidden/>
    <w:unhideWhenUsed/>
    <w:rsid w:val="006B030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a3"/>
    <w:uiPriority w:val="61"/>
    <w:semiHidden/>
    <w:unhideWhenUsed/>
    <w:rsid w:val="006B030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3"/>
    <w:uiPriority w:val="61"/>
    <w:semiHidden/>
    <w:unhideWhenUsed/>
    <w:rsid w:val="006B030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
    <w:name w:val="Light List - Accent 4"/>
    <w:basedOn w:val="a3"/>
    <w:uiPriority w:val="61"/>
    <w:semiHidden/>
    <w:unhideWhenUsed/>
    <w:rsid w:val="006B030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
    <w:name w:val="Light List - Accent 5"/>
    <w:basedOn w:val="a3"/>
    <w:uiPriority w:val="61"/>
    <w:semiHidden/>
    <w:unhideWhenUsed/>
    <w:rsid w:val="006B030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
    <w:name w:val="Light List - Accent 6"/>
    <w:basedOn w:val="a3"/>
    <w:uiPriority w:val="61"/>
    <w:semiHidden/>
    <w:unhideWhenUsed/>
    <w:rsid w:val="006B030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f7">
    <w:name w:val="Table List 1"/>
    <w:basedOn w:val="a3"/>
    <w:rsid w:val="006B0303"/>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3"/>
    <w:rsid w:val="006B0303"/>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3"/>
    <w:rsid w:val="006B0303"/>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rsid w:val="006B0303"/>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rsid w:val="006B0303"/>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rsid w:val="006B0303"/>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rsid w:val="006B0303"/>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rsid w:val="006B0303"/>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רשימה בינונית 11"/>
    <w:basedOn w:val="a3"/>
    <w:uiPriority w:val="65"/>
    <w:semiHidden/>
    <w:unhideWhenUsed/>
    <w:rsid w:val="006B0303"/>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 Accent 1"/>
    <w:basedOn w:val="a3"/>
    <w:uiPriority w:val="65"/>
    <w:semiHidden/>
    <w:unhideWhenUsed/>
    <w:rsid w:val="006B0303"/>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
    <w:name w:val="Medium List 1 - Accent 2"/>
    <w:basedOn w:val="a3"/>
    <w:uiPriority w:val="65"/>
    <w:semiHidden/>
    <w:unhideWhenUsed/>
    <w:rsid w:val="006B0303"/>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
    <w:name w:val="Medium List 1 - Accent 3"/>
    <w:basedOn w:val="a3"/>
    <w:uiPriority w:val="65"/>
    <w:semiHidden/>
    <w:unhideWhenUsed/>
    <w:rsid w:val="006B0303"/>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
    <w:name w:val="Medium List 1 - Accent 4"/>
    <w:basedOn w:val="a3"/>
    <w:uiPriority w:val="65"/>
    <w:semiHidden/>
    <w:unhideWhenUsed/>
    <w:rsid w:val="006B0303"/>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
    <w:name w:val="Medium List 1 - Accent 5"/>
    <w:basedOn w:val="a3"/>
    <w:uiPriority w:val="65"/>
    <w:semiHidden/>
    <w:unhideWhenUsed/>
    <w:rsid w:val="006B0303"/>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
    <w:name w:val="Medium List 1 - Accent 6"/>
    <w:basedOn w:val="a3"/>
    <w:uiPriority w:val="65"/>
    <w:semiHidden/>
    <w:unhideWhenUsed/>
    <w:rsid w:val="006B0303"/>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4">
    <w:name w:val="רשימה בינונית 21"/>
    <w:basedOn w:val="a3"/>
    <w:uiPriority w:val="66"/>
    <w:semiHidden/>
    <w:unhideWhenUsed/>
    <w:rsid w:val="006B030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
    <w:name w:val="Medium List 2 - Accent 1"/>
    <w:basedOn w:val="a3"/>
    <w:uiPriority w:val="66"/>
    <w:semiHidden/>
    <w:unhideWhenUsed/>
    <w:rsid w:val="006B030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
    <w:name w:val="Medium List 2 - Accent 2"/>
    <w:basedOn w:val="a3"/>
    <w:uiPriority w:val="66"/>
    <w:semiHidden/>
    <w:unhideWhenUsed/>
    <w:rsid w:val="006B030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
    <w:name w:val="Medium List 2 - Accent 3"/>
    <w:basedOn w:val="a3"/>
    <w:uiPriority w:val="66"/>
    <w:semiHidden/>
    <w:unhideWhenUsed/>
    <w:rsid w:val="006B030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
    <w:name w:val="Medium List 2 - Accent 4"/>
    <w:basedOn w:val="a3"/>
    <w:uiPriority w:val="66"/>
    <w:semiHidden/>
    <w:unhideWhenUsed/>
    <w:rsid w:val="006B030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
    <w:name w:val="Medium List 2 - Accent 5"/>
    <w:basedOn w:val="a3"/>
    <w:uiPriority w:val="66"/>
    <w:semiHidden/>
    <w:unhideWhenUsed/>
    <w:rsid w:val="006B030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
    <w:name w:val="Medium List 2 - Accent 6"/>
    <w:basedOn w:val="a3"/>
    <w:uiPriority w:val="66"/>
    <w:semiHidden/>
    <w:unhideWhenUsed/>
    <w:rsid w:val="006B030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f8">
    <w:name w:val="רשימה כהה1"/>
    <w:basedOn w:val="a3"/>
    <w:uiPriority w:val="70"/>
    <w:semiHidden/>
    <w:unhideWhenUsed/>
    <w:rsid w:val="006B030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
    <w:name w:val="Dark List - Accent 1"/>
    <w:basedOn w:val="a3"/>
    <w:uiPriority w:val="70"/>
    <w:semiHidden/>
    <w:unhideWhenUsed/>
    <w:rsid w:val="006B030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
    <w:name w:val="Dark List - Accent 2"/>
    <w:basedOn w:val="a3"/>
    <w:uiPriority w:val="70"/>
    <w:semiHidden/>
    <w:unhideWhenUsed/>
    <w:rsid w:val="006B030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
    <w:name w:val="Dark List - Accent 3"/>
    <w:basedOn w:val="a3"/>
    <w:uiPriority w:val="70"/>
    <w:semiHidden/>
    <w:unhideWhenUsed/>
    <w:rsid w:val="006B030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
    <w:name w:val="Dark List - Accent 4"/>
    <w:basedOn w:val="a3"/>
    <w:uiPriority w:val="70"/>
    <w:semiHidden/>
    <w:unhideWhenUsed/>
    <w:rsid w:val="006B030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
    <w:name w:val="Dark List - Accent 5"/>
    <w:basedOn w:val="a3"/>
    <w:uiPriority w:val="70"/>
    <w:semiHidden/>
    <w:unhideWhenUsed/>
    <w:rsid w:val="006B030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
    <w:name w:val="Dark List - Accent 6"/>
    <w:basedOn w:val="a3"/>
    <w:uiPriority w:val="70"/>
    <w:semiHidden/>
    <w:unhideWhenUsed/>
    <w:rsid w:val="006B030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
    <w:name w:val="List Number"/>
    <w:basedOn w:val="a1"/>
    <w:rsid w:val="006B0303"/>
    <w:pPr>
      <w:numPr>
        <w:numId w:val="1"/>
      </w:numPr>
      <w:contextualSpacing/>
    </w:pPr>
  </w:style>
  <w:style w:type="paragraph" w:styleId="2">
    <w:name w:val="List Number 2"/>
    <w:basedOn w:val="a1"/>
    <w:rsid w:val="006B0303"/>
    <w:pPr>
      <w:numPr>
        <w:numId w:val="2"/>
      </w:numPr>
      <w:contextualSpacing/>
    </w:pPr>
  </w:style>
  <w:style w:type="paragraph" w:styleId="3">
    <w:name w:val="List Number 3"/>
    <w:basedOn w:val="a1"/>
    <w:rsid w:val="006B0303"/>
    <w:pPr>
      <w:numPr>
        <w:numId w:val="3"/>
      </w:numPr>
      <w:contextualSpacing/>
    </w:pPr>
  </w:style>
  <w:style w:type="paragraph" w:styleId="4">
    <w:name w:val="List Number 4"/>
    <w:basedOn w:val="a1"/>
    <w:rsid w:val="006B0303"/>
    <w:pPr>
      <w:numPr>
        <w:numId w:val="4"/>
      </w:numPr>
      <w:contextualSpacing/>
    </w:pPr>
  </w:style>
  <w:style w:type="paragraph" w:styleId="5">
    <w:name w:val="List Number 5"/>
    <w:basedOn w:val="a1"/>
    <w:rsid w:val="006B0303"/>
    <w:pPr>
      <w:numPr>
        <w:numId w:val="5"/>
      </w:numPr>
      <w:contextualSpacing/>
    </w:pPr>
  </w:style>
  <w:style w:type="paragraph" w:styleId="a0">
    <w:name w:val="List Bullet"/>
    <w:basedOn w:val="a1"/>
    <w:rsid w:val="006B0303"/>
    <w:pPr>
      <w:numPr>
        <w:numId w:val="6"/>
      </w:numPr>
      <w:contextualSpacing/>
    </w:pPr>
  </w:style>
  <w:style w:type="paragraph" w:styleId="20">
    <w:name w:val="List Bullet 2"/>
    <w:basedOn w:val="a1"/>
    <w:rsid w:val="006B0303"/>
    <w:pPr>
      <w:numPr>
        <w:numId w:val="7"/>
      </w:numPr>
      <w:contextualSpacing/>
    </w:pPr>
  </w:style>
  <w:style w:type="paragraph" w:styleId="30">
    <w:name w:val="List Bullet 3"/>
    <w:basedOn w:val="a1"/>
    <w:rsid w:val="006B0303"/>
    <w:pPr>
      <w:numPr>
        <w:numId w:val="8"/>
      </w:numPr>
      <w:contextualSpacing/>
    </w:pPr>
  </w:style>
  <w:style w:type="paragraph" w:styleId="40">
    <w:name w:val="List Bullet 4"/>
    <w:basedOn w:val="a1"/>
    <w:rsid w:val="006B0303"/>
    <w:pPr>
      <w:numPr>
        <w:numId w:val="9"/>
      </w:numPr>
      <w:contextualSpacing/>
    </w:pPr>
  </w:style>
  <w:style w:type="paragraph" w:styleId="50">
    <w:name w:val="List Bullet 5"/>
    <w:basedOn w:val="a1"/>
    <w:rsid w:val="006B0303"/>
    <w:pPr>
      <w:numPr>
        <w:numId w:val="10"/>
      </w:numPr>
      <w:contextualSpacing/>
    </w:pPr>
  </w:style>
  <w:style w:type="table" w:customStyle="1" w:styleId="1f9">
    <w:name w:val="רשימה צבעונית1"/>
    <w:basedOn w:val="a3"/>
    <w:uiPriority w:val="72"/>
    <w:semiHidden/>
    <w:unhideWhenUsed/>
    <w:rsid w:val="006B030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
    <w:name w:val="Colorful List - Accent 1"/>
    <w:basedOn w:val="a3"/>
    <w:uiPriority w:val="72"/>
    <w:semiHidden/>
    <w:unhideWhenUsed/>
    <w:rsid w:val="006B030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
    <w:name w:val="Colorful List - Accent 2"/>
    <w:basedOn w:val="a3"/>
    <w:uiPriority w:val="72"/>
    <w:semiHidden/>
    <w:unhideWhenUsed/>
    <w:rsid w:val="006B030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
    <w:name w:val="Colorful List - Accent 3"/>
    <w:basedOn w:val="a3"/>
    <w:uiPriority w:val="72"/>
    <w:semiHidden/>
    <w:unhideWhenUsed/>
    <w:rsid w:val="006B030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
    <w:name w:val="Colorful List - Accent 4"/>
    <w:basedOn w:val="a3"/>
    <w:uiPriority w:val="72"/>
    <w:semiHidden/>
    <w:unhideWhenUsed/>
    <w:rsid w:val="006B030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
    <w:name w:val="Colorful List - Accent 5"/>
    <w:basedOn w:val="a3"/>
    <w:uiPriority w:val="72"/>
    <w:semiHidden/>
    <w:unhideWhenUsed/>
    <w:rsid w:val="006B030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
    <w:name w:val="Colorful List - Accent 6"/>
    <w:basedOn w:val="a3"/>
    <w:uiPriority w:val="72"/>
    <w:semiHidden/>
    <w:unhideWhenUsed/>
    <w:rsid w:val="006B030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3">
    <w:name w:val="table of figures"/>
    <w:basedOn w:val="a1"/>
    <w:next w:val="a1"/>
    <w:rsid w:val="006B0303"/>
  </w:style>
  <w:style w:type="paragraph" w:styleId="affff4">
    <w:name w:val="table of authorities"/>
    <w:basedOn w:val="a1"/>
    <w:next w:val="a1"/>
    <w:rsid w:val="006B0303"/>
    <w:pPr>
      <w:ind w:left="240" w:hanging="240"/>
    </w:pPr>
  </w:style>
  <w:style w:type="table" w:customStyle="1" w:styleId="1fa">
    <w:name w:val="רשת בהירה1"/>
    <w:basedOn w:val="a3"/>
    <w:uiPriority w:val="62"/>
    <w:semiHidden/>
    <w:unhideWhenUsed/>
    <w:rsid w:val="006B030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 Accent 1"/>
    <w:basedOn w:val="a3"/>
    <w:uiPriority w:val="62"/>
    <w:semiHidden/>
    <w:unhideWhenUsed/>
    <w:rsid w:val="006B030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
    <w:name w:val="Light Grid - Accent 2"/>
    <w:basedOn w:val="a3"/>
    <w:uiPriority w:val="62"/>
    <w:semiHidden/>
    <w:unhideWhenUsed/>
    <w:rsid w:val="006B030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3"/>
    <w:uiPriority w:val="62"/>
    <w:semiHidden/>
    <w:unhideWhenUsed/>
    <w:rsid w:val="006B030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3"/>
    <w:uiPriority w:val="62"/>
    <w:semiHidden/>
    <w:unhideWhenUsed/>
    <w:rsid w:val="006B030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3"/>
    <w:uiPriority w:val="62"/>
    <w:semiHidden/>
    <w:unhideWhenUsed/>
    <w:rsid w:val="006B03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
    <w:name w:val="Light Grid - Accent 6"/>
    <w:basedOn w:val="a3"/>
    <w:uiPriority w:val="62"/>
    <w:semiHidden/>
    <w:unhideWhenUsed/>
    <w:rsid w:val="006B030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1-Accent1">
    <w:name w:val="Medium Grid 1 - Accent 1"/>
    <w:basedOn w:val="a3"/>
    <w:uiPriority w:val="67"/>
    <w:semiHidden/>
    <w:unhideWhenUsed/>
    <w:rsid w:val="006B030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5">
    <w:name w:val="רשת בינונית 11"/>
    <w:basedOn w:val="a3"/>
    <w:uiPriority w:val="67"/>
    <w:semiHidden/>
    <w:unhideWhenUsed/>
    <w:rsid w:val="006B030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2">
    <w:name w:val="Medium Grid 1 - Accent 2"/>
    <w:basedOn w:val="a3"/>
    <w:uiPriority w:val="67"/>
    <w:semiHidden/>
    <w:unhideWhenUsed/>
    <w:rsid w:val="006B030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
    <w:name w:val="Medium Grid 1 - Accent 3"/>
    <w:basedOn w:val="a3"/>
    <w:uiPriority w:val="67"/>
    <w:semiHidden/>
    <w:unhideWhenUsed/>
    <w:rsid w:val="006B030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
    <w:name w:val="Medium Grid 1 - Accent 4"/>
    <w:basedOn w:val="a3"/>
    <w:uiPriority w:val="67"/>
    <w:semiHidden/>
    <w:unhideWhenUsed/>
    <w:rsid w:val="006B030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
    <w:name w:val="Medium Grid 1 - Accent 5"/>
    <w:basedOn w:val="a3"/>
    <w:uiPriority w:val="67"/>
    <w:semiHidden/>
    <w:unhideWhenUsed/>
    <w:rsid w:val="006B030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
    <w:name w:val="Medium Grid 1 - Accent 6"/>
    <w:basedOn w:val="a3"/>
    <w:uiPriority w:val="67"/>
    <w:semiHidden/>
    <w:unhideWhenUsed/>
    <w:rsid w:val="006B030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5">
    <w:name w:val="רשת בינונית 21"/>
    <w:basedOn w:val="a3"/>
    <w:uiPriority w:val="68"/>
    <w:semiHidden/>
    <w:unhideWhenUsed/>
    <w:rsid w:val="006B030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
    <w:name w:val="Medium Grid 2 - Accent 1"/>
    <w:basedOn w:val="a3"/>
    <w:uiPriority w:val="68"/>
    <w:semiHidden/>
    <w:unhideWhenUsed/>
    <w:rsid w:val="006B030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
    <w:name w:val="Medium Grid 2 - Accent 2"/>
    <w:basedOn w:val="a3"/>
    <w:uiPriority w:val="68"/>
    <w:semiHidden/>
    <w:unhideWhenUsed/>
    <w:rsid w:val="006B030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
    <w:name w:val="Medium Grid 2 - Accent 3"/>
    <w:basedOn w:val="a3"/>
    <w:uiPriority w:val="68"/>
    <w:semiHidden/>
    <w:unhideWhenUsed/>
    <w:rsid w:val="006B030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
    <w:name w:val="Medium Grid 2 - Accent 4"/>
    <w:basedOn w:val="a3"/>
    <w:uiPriority w:val="68"/>
    <w:semiHidden/>
    <w:unhideWhenUsed/>
    <w:rsid w:val="006B030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
    <w:name w:val="Medium Grid 2 - Accent 5"/>
    <w:basedOn w:val="a3"/>
    <w:uiPriority w:val="68"/>
    <w:semiHidden/>
    <w:unhideWhenUsed/>
    <w:rsid w:val="006B030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
    <w:name w:val="Medium Grid 2 - Accent 6"/>
    <w:basedOn w:val="a3"/>
    <w:uiPriority w:val="68"/>
    <w:semiHidden/>
    <w:unhideWhenUsed/>
    <w:rsid w:val="006B030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3">
    <w:name w:val="רשת בינונית 31"/>
    <w:basedOn w:val="a3"/>
    <w:uiPriority w:val="69"/>
    <w:semiHidden/>
    <w:unhideWhenUsed/>
    <w:rsid w:val="006B030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
    <w:name w:val="Medium Grid 3 - Accent 1"/>
    <w:basedOn w:val="a3"/>
    <w:uiPriority w:val="69"/>
    <w:semiHidden/>
    <w:unhideWhenUsed/>
    <w:rsid w:val="006B030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
    <w:name w:val="Medium Grid 3 - Accent 2"/>
    <w:basedOn w:val="a3"/>
    <w:uiPriority w:val="69"/>
    <w:semiHidden/>
    <w:unhideWhenUsed/>
    <w:rsid w:val="006B030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
    <w:name w:val="Medium Grid 3 - Accent 3"/>
    <w:basedOn w:val="a3"/>
    <w:uiPriority w:val="69"/>
    <w:semiHidden/>
    <w:unhideWhenUsed/>
    <w:rsid w:val="006B030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
    <w:name w:val="Medium Grid 3 - Accent 4"/>
    <w:basedOn w:val="a3"/>
    <w:uiPriority w:val="69"/>
    <w:semiHidden/>
    <w:unhideWhenUsed/>
    <w:rsid w:val="006B030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
    <w:name w:val="Medium Grid 3 - Accent 5"/>
    <w:basedOn w:val="a3"/>
    <w:uiPriority w:val="69"/>
    <w:semiHidden/>
    <w:unhideWhenUsed/>
    <w:rsid w:val="006B030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
    <w:name w:val="Medium Grid 3 - Accent 6"/>
    <w:basedOn w:val="a3"/>
    <w:uiPriority w:val="69"/>
    <w:semiHidden/>
    <w:unhideWhenUsed/>
    <w:rsid w:val="006B030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fb">
    <w:name w:val="Table Grid 1"/>
    <w:basedOn w:val="a3"/>
    <w:rsid w:val="006B0303"/>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3"/>
    <w:rsid w:val="006B0303"/>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rsid w:val="006B0303"/>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rsid w:val="006B0303"/>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rsid w:val="006B0303"/>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rsid w:val="006B0303"/>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rsid w:val="006B0303"/>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rsid w:val="006B0303"/>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
    <w:name w:val="Table Grid Light"/>
    <w:basedOn w:val="a3"/>
    <w:uiPriority w:val="40"/>
    <w:rsid w:val="006B030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fc">
    <w:name w:val="רשת צבעונית1"/>
    <w:basedOn w:val="a3"/>
    <w:uiPriority w:val="73"/>
    <w:semiHidden/>
    <w:unhideWhenUsed/>
    <w:rsid w:val="006B030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
    <w:name w:val="Colorful Grid - Accent 1"/>
    <w:basedOn w:val="a3"/>
    <w:uiPriority w:val="73"/>
    <w:semiHidden/>
    <w:unhideWhenUsed/>
    <w:rsid w:val="006B030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
    <w:name w:val="Colorful Grid - Accent 2"/>
    <w:basedOn w:val="a3"/>
    <w:uiPriority w:val="73"/>
    <w:semiHidden/>
    <w:unhideWhenUsed/>
    <w:rsid w:val="006B030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
    <w:name w:val="Colorful Grid - Accent 3"/>
    <w:basedOn w:val="a3"/>
    <w:uiPriority w:val="73"/>
    <w:semiHidden/>
    <w:unhideWhenUsed/>
    <w:rsid w:val="006B030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
    <w:name w:val="Colorful Grid - Accent 4"/>
    <w:basedOn w:val="a3"/>
    <w:uiPriority w:val="73"/>
    <w:semiHidden/>
    <w:unhideWhenUsed/>
    <w:rsid w:val="006B030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
    <w:name w:val="Colorful Grid - Accent 5"/>
    <w:basedOn w:val="a3"/>
    <w:uiPriority w:val="73"/>
    <w:semiHidden/>
    <w:unhideWhenUsed/>
    <w:rsid w:val="006B030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
    <w:name w:val="Colorful Grid - Accent 6"/>
    <w:basedOn w:val="a3"/>
    <w:uiPriority w:val="73"/>
    <w:semiHidden/>
    <w:unhideWhenUsed/>
    <w:rsid w:val="006B030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f5">
    <w:name w:val="Date"/>
    <w:basedOn w:val="a1"/>
    <w:next w:val="a1"/>
    <w:link w:val="affff6"/>
    <w:rsid w:val="006B0303"/>
  </w:style>
  <w:style w:type="character" w:customStyle="1" w:styleId="affff6">
    <w:name w:val="תאריך תו"/>
    <w:link w:val="affff5"/>
    <w:rsid w:val="006B0303"/>
    <w:rPr>
      <w:rFonts w:cs="David"/>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evo.co.il/law/73729" TargetMode="External"/><Relationship Id="rId13" Type="http://schemas.openxmlformats.org/officeDocument/2006/relationships/hyperlink" Target="http://www.nevo.co.il/case/26728171" TargetMode="External"/><Relationship Id="rId18" Type="http://schemas.openxmlformats.org/officeDocument/2006/relationships/hyperlink" Target="http://www.nevo.co.il/case/2970976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nevo.co.il/law/73729/125" TargetMode="External"/><Relationship Id="rId12" Type="http://schemas.openxmlformats.org/officeDocument/2006/relationships/hyperlink" Target="http://www.nevo.co.il/law/73729/138a" TargetMode="External"/><Relationship Id="rId17" Type="http://schemas.openxmlformats.org/officeDocument/2006/relationships/hyperlink" Target="http://www.nevo.co.il/case/27555134" TargetMode="External"/><Relationship Id="rId2" Type="http://schemas.openxmlformats.org/officeDocument/2006/relationships/styles" Target="styles.xml"/><Relationship Id="rId16" Type="http://schemas.openxmlformats.org/officeDocument/2006/relationships/hyperlink" Target="http://www.nevo.co.il/case/2629165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1792080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evo.co.il/case/29524055" TargetMode="External"/><Relationship Id="rId23" Type="http://schemas.openxmlformats.org/officeDocument/2006/relationships/fontTable" Target="fontTable.xml"/><Relationship Id="rId10" Type="http://schemas.openxmlformats.org/officeDocument/2006/relationships/hyperlink" Target="http://www.nevo.co.il/law/73729/6.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vo.co.il/law/73729/126" TargetMode="External"/><Relationship Id="rId14" Type="http://schemas.openxmlformats.org/officeDocument/2006/relationships/hyperlink" Target="http://www.nevo.co.il/case/30047744"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2050</Words>
  <Characters>10254</Characters>
  <Application>Microsoft Office Word</Application>
  <DocSecurity>0</DocSecurity>
  <Lines>85</Lines>
  <Paragraphs>24</Paragraphs>
  <ScaleCrop>false</ScaleCrop>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2024-11-21T03:07:00Z</dcterms:created>
  <dcterms:modified xsi:type="dcterms:W3CDTF">2024-11-21T03:07:00Z</dcterms:modified>
</cp:coreProperties>
</file>