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0" w:type="auto"/>
        <w:jc w:val="center"/>
        <w:tblLook w:val="0000" w:firstRow="0" w:lastRow="0" w:firstColumn="0" w:lastColumn="0" w:noHBand="0" w:noVBand="0"/>
      </w:tblPr>
      <w:tblGrid>
        <w:gridCol w:w="4909"/>
        <w:gridCol w:w="3596"/>
      </w:tblGrid>
      <w:tr w:rsidR="003A43C7" w14:paraId="09418573" w14:textId="77777777" w:rsidTr="00AE0E75">
        <w:trPr>
          <w:trHeight w:hRule="exact" w:val="418"/>
          <w:jc w:val="center"/>
        </w:trPr>
        <w:tc>
          <w:tcPr>
            <w:tcW w:w="8721" w:type="dxa"/>
            <w:gridSpan w:val="2"/>
          </w:tcPr>
          <w:p w14:paraId="7524363C" w14:textId="77777777" w:rsidR="008C77F8" w:rsidRPr="00D25CC8" w:rsidRDefault="00000000" w:rsidP="00AE0E75">
            <w:pPr>
              <w:pStyle w:val="a3"/>
              <w:jc w:val="center"/>
              <w:rPr>
                <w:rFonts w:ascii="Tahoma" w:hAnsi="Tahoma" w:cs="Tahoma"/>
                <w:noProof w:val="0"/>
                <w:color w:val="000080"/>
                <w:rtl/>
              </w:rPr>
            </w:pPr>
            <w:bookmarkStart w:id="0" w:name="LastJudge"/>
            <w:r w:rsidRPr="00D25CC8">
              <w:rPr>
                <w:rFonts w:ascii="Tahoma" w:hAnsi="Tahoma" w:cs="Tahoma"/>
                <w:b/>
                <w:bCs/>
                <w:noProof w:val="0"/>
                <w:color w:val="000080"/>
                <w:rtl/>
              </w:rPr>
              <w:t>בית דין אזורי לעבודה בתל אביב -יפו</w:t>
            </w:r>
          </w:p>
        </w:tc>
      </w:tr>
      <w:tr w:rsidR="003A43C7" w14:paraId="4761DB91" w14:textId="77777777" w:rsidTr="00AE0E75">
        <w:trPr>
          <w:trHeight w:val="959"/>
          <w:jc w:val="center"/>
        </w:trPr>
        <w:tc>
          <w:tcPr>
            <w:tcW w:w="5047" w:type="dxa"/>
          </w:tcPr>
          <w:p w14:paraId="31A944C0" w14:textId="77777777" w:rsidR="008C77F8" w:rsidRPr="008C77F8" w:rsidRDefault="008C77F8" w:rsidP="00AE0E75">
            <w:pPr>
              <w:rPr>
                <w:b/>
                <w:bCs/>
                <w:noProof w:val="0"/>
                <w:sz w:val="26"/>
                <w:szCs w:val="26"/>
                <w:rtl/>
              </w:rPr>
            </w:pPr>
          </w:p>
        </w:tc>
        <w:tc>
          <w:tcPr>
            <w:tcW w:w="3674" w:type="dxa"/>
          </w:tcPr>
          <w:p w14:paraId="45BF4787" w14:textId="77777777" w:rsidR="008C77F8" w:rsidRPr="008C77F8" w:rsidRDefault="00000000" w:rsidP="00AE0E75">
            <w:pPr>
              <w:jc w:val="right"/>
              <w:rPr>
                <w:noProof w:val="0"/>
                <w:sz w:val="28"/>
                <w:szCs w:val="28"/>
                <w:rtl/>
              </w:rPr>
            </w:pPr>
            <w:r w:rsidRPr="008C77F8">
              <w:rPr>
                <w:b/>
                <w:bCs/>
                <w:noProof w:val="0"/>
                <w:sz w:val="28"/>
                <w:szCs w:val="28"/>
                <w:rtl/>
              </w:rPr>
              <w:t>על"ח 46377-05-23</w:t>
            </w:r>
          </w:p>
          <w:p w14:paraId="5627CE59" w14:textId="77777777" w:rsidR="008C77F8" w:rsidRPr="008C77F8" w:rsidRDefault="00000000" w:rsidP="00AE0E75">
            <w:pPr>
              <w:jc w:val="right"/>
              <w:rPr>
                <w:noProof w:val="0"/>
                <w:sz w:val="28"/>
                <w:szCs w:val="28"/>
                <w:rtl/>
              </w:rPr>
            </w:pPr>
            <w:r w:rsidRPr="008C77F8">
              <w:rPr>
                <w:b/>
                <w:bCs/>
                <w:noProof w:val="0"/>
                <w:sz w:val="28"/>
                <w:szCs w:val="28"/>
                <w:rtl/>
              </w:rPr>
              <w:t>על"ח 24504-10-23</w:t>
            </w:r>
          </w:p>
          <w:p w14:paraId="50241109" w14:textId="77777777" w:rsidR="008C77F8" w:rsidRPr="008C77F8" w:rsidRDefault="008C77F8" w:rsidP="00AE0E75">
            <w:pPr>
              <w:jc w:val="right"/>
              <w:rPr>
                <w:noProof w:val="0"/>
                <w:sz w:val="28"/>
                <w:szCs w:val="28"/>
                <w:rtl/>
              </w:rPr>
            </w:pPr>
          </w:p>
          <w:p w14:paraId="12AE64E8" w14:textId="77777777" w:rsidR="008C77F8" w:rsidRPr="008C77F8" w:rsidRDefault="00000000" w:rsidP="00AE0E75">
            <w:pPr>
              <w:pStyle w:val="a3"/>
              <w:suppressLineNumbers/>
              <w:jc w:val="right"/>
              <w:rPr>
                <w:noProof w:val="0"/>
                <w:rtl/>
              </w:rPr>
            </w:pPr>
            <w:r w:rsidRPr="008C77F8">
              <w:rPr>
                <w:b/>
                <w:bCs/>
                <w:noProof w:val="0"/>
                <w:sz w:val="28"/>
                <w:szCs w:val="28"/>
                <w:rtl/>
              </w:rPr>
              <w:t>02 אפריל 2024</w:t>
            </w:r>
          </w:p>
        </w:tc>
      </w:tr>
    </w:tbl>
    <w:p w14:paraId="103127DD" w14:textId="77777777" w:rsidR="008C77F8" w:rsidRPr="008C77F8" w:rsidRDefault="00000000" w:rsidP="008C77F8">
      <w:pPr>
        <w:pStyle w:val="a3"/>
        <w:rPr>
          <w:noProof w:val="0"/>
          <w:rtl/>
        </w:rPr>
      </w:pPr>
      <w:r w:rsidRPr="008C77F8">
        <w:rPr>
          <w:noProof w:val="0"/>
          <w:rtl/>
        </w:rPr>
        <w:t xml:space="preserve"> </w:t>
      </w:r>
    </w:p>
    <w:p w14:paraId="48D30920" w14:textId="77777777" w:rsidR="00983125" w:rsidRPr="008C77F8" w:rsidRDefault="00983125" w:rsidP="00177B8D"/>
    <w:tbl>
      <w:tblPr>
        <w:bidiVisual/>
        <w:tblW w:w="8509" w:type="dxa"/>
        <w:jc w:val="center"/>
        <w:tblLook w:val="01E0" w:firstRow="1" w:lastRow="1" w:firstColumn="1" w:lastColumn="1" w:noHBand="0" w:noVBand="0"/>
      </w:tblPr>
      <w:tblGrid>
        <w:gridCol w:w="1846"/>
        <w:gridCol w:w="6663"/>
      </w:tblGrid>
      <w:tr w:rsidR="003A43C7" w14:paraId="3FF838F0" w14:textId="77777777" w:rsidTr="00141FBA">
        <w:trPr>
          <w:jc w:val="center"/>
        </w:trPr>
        <w:tc>
          <w:tcPr>
            <w:tcW w:w="8509" w:type="dxa"/>
            <w:gridSpan w:val="2"/>
          </w:tcPr>
          <w:p w14:paraId="6311E12C" w14:textId="77777777" w:rsidR="00983125" w:rsidRPr="00D25CC8" w:rsidRDefault="00D25CC8" w:rsidP="00D25CC8">
            <w:pPr>
              <w:suppressLineNumbers/>
              <w:spacing w:before="120" w:after="120" w:line="240" w:lineRule="exact"/>
              <w:jc w:val="both"/>
              <w:rPr>
                <w:rFonts w:ascii="David" w:hAnsi="David"/>
                <w:b/>
                <w:bCs/>
                <w:noProof w:val="0"/>
                <w:sz w:val="28"/>
                <w:szCs w:val="28"/>
                <w:rtl/>
              </w:rPr>
            </w:pPr>
            <w:r w:rsidRPr="00D25CC8">
              <w:rPr>
                <w:rFonts w:ascii="David" w:hAnsi="David"/>
                <w:b/>
                <w:bCs/>
                <w:noProof w:val="0"/>
                <w:sz w:val="28"/>
                <w:szCs w:val="28"/>
                <w:rtl/>
              </w:rPr>
              <w:t xml:space="preserve">לפני: : </w:t>
            </w:r>
            <w:r w:rsidRPr="00D25CC8">
              <w:rPr>
                <w:rFonts w:ascii="David" w:hAnsi="David"/>
                <w:noProof w:val="0"/>
                <w:rtl/>
              </w:rPr>
              <w:br/>
            </w:r>
            <w:r w:rsidR="00000000" w:rsidRPr="00D25CC8">
              <w:rPr>
                <w:rFonts w:ascii="David" w:hAnsi="David"/>
                <w:b/>
                <w:bCs/>
                <w:noProof w:val="0"/>
                <w:sz w:val="28"/>
                <w:szCs w:val="28"/>
                <w:rtl/>
              </w:rPr>
              <w:t xml:space="preserve">כב' השופט תומר סילורה </w:t>
            </w:r>
          </w:p>
        </w:tc>
      </w:tr>
      <w:tr w:rsidR="003A43C7" w14:paraId="6CDC6A95" w14:textId="77777777" w:rsidTr="00141FBA">
        <w:trPr>
          <w:jc w:val="center"/>
        </w:trPr>
        <w:tc>
          <w:tcPr>
            <w:tcW w:w="1846" w:type="dxa"/>
          </w:tcPr>
          <w:p w14:paraId="30AD34DE" w14:textId="77777777" w:rsidR="00983125" w:rsidRPr="008C77F8" w:rsidRDefault="00000000" w:rsidP="00141FBA">
            <w:pPr>
              <w:spacing w:line="360" w:lineRule="auto"/>
              <w:jc w:val="center"/>
              <w:rPr>
                <w:rFonts w:ascii="Arial" w:hAnsi="Arial"/>
                <w:b/>
                <w:bCs/>
                <w:noProof w:val="0"/>
                <w:sz w:val="28"/>
                <w:szCs w:val="28"/>
              </w:rPr>
            </w:pPr>
            <w:bookmarkStart w:id="1" w:name="FirstAppellant"/>
            <w:bookmarkStart w:id="2" w:name="FirstLawyer"/>
            <w:r w:rsidRPr="008C77F8">
              <w:rPr>
                <w:b/>
                <w:bCs/>
                <w:noProof w:val="0"/>
                <w:sz w:val="28"/>
                <w:szCs w:val="28"/>
                <w:rtl/>
              </w:rPr>
              <w:t>ה</w:t>
            </w:r>
            <w:r w:rsidRPr="008C77F8">
              <w:rPr>
                <w:rFonts w:ascii="Arial" w:hAnsi="Arial"/>
                <w:b/>
                <w:bCs/>
                <w:noProof w:val="0"/>
                <w:sz w:val="28"/>
                <w:szCs w:val="28"/>
                <w:rtl/>
              </w:rPr>
              <w:t>מערערים:</w:t>
            </w:r>
          </w:p>
        </w:tc>
        <w:tc>
          <w:tcPr>
            <w:tcW w:w="6663" w:type="dxa"/>
          </w:tcPr>
          <w:p w14:paraId="7FD1EEC7" w14:textId="77777777" w:rsidR="00983125" w:rsidRPr="00D25CC8" w:rsidRDefault="00000000" w:rsidP="00D25CC8">
            <w:pPr>
              <w:spacing w:before="120" w:after="120" w:line="240" w:lineRule="exact"/>
              <w:ind w:left="73"/>
              <w:rPr>
                <w:rFonts w:ascii="David" w:hAnsi="David"/>
                <w:b/>
                <w:bCs/>
                <w:noProof w:val="0"/>
                <w:sz w:val="28"/>
                <w:szCs w:val="28"/>
                <w:rtl/>
              </w:rPr>
            </w:pPr>
            <w:r w:rsidRPr="00D25CC8">
              <w:rPr>
                <w:rFonts w:ascii="David" w:hAnsi="David"/>
                <w:b/>
                <w:bCs/>
                <w:noProof w:val="0"/>
                <w:sz w:val="28"/>
                <w:szCs w:val="28"/>
                <w:rtl/>
              </w:rPr>
              <w:t>1. עו"ד דותן פלג</w:t>
            </w:r>
          </w:p>
          <w:p w14:paraId="33C24919" w14:textId="77777777" w:rsidR="00983125" w:rsidRPr="00D25CC8" w:rsidRDefault="00000000" w:rsidP="00D25CC8">
            <w:pPr>
              <w:spacing w:before="120" w:after="120" w:line="240" w:lineRule="exact"/>
              <w:ind w:left="73"/>
              <w:rPr>
                <w:rFonts w:ascii="David" w:hAnsi="David"/>
                <w:b/>
                <w:bCs/>
                <w:noProof w:val="0"/>
                <w:sz w:val="28"/>
                <w:szCs w:val="28"/>
                <w:rtl/>
              </w:rPr>
            </w:pPr>
            <w:r w:rsidRPr="00D25CC8">
              <w:rPr>
                <w:rFonts w:ascii="David" w:hAnsi="David"/>
                <w:b/>
                <w:bCs/>
                <w:noProof w:val="0"/>
                <w:sz w:val="28"/>
                <w:szCs w:val="28"/>
                <w:rtl/>
              </w:rPr>
              <w:t xml:space="preserve">2. אלון חזן  </w:t>
            </w:r>
          </w:p>
          <w:p w14:paraId="3F7B00D9" w14:textId="77777777" w:rsidR="00983125" w:rsidRPr="00D25CC8" w:rsidRDefault="00000000" w:rsidP="00D25CC8">
            <w:pPr>
              <w:spacing w:before="120" w:after="120" w:line="240" w:lineRule="exact"/>
              <w:ind w:left="73"/>
              <w:rPr>
                <w:rFonts w:ascii="David" w:hAnsi="David"/>
                <w:noProof w:val="0"/>
                <w:sz w:val="28"/>
                <w:szCs w:val="28"/>
                <w:rtl/>
              </w:rPr>
            </w:pPr>
            <w:r w:rsidRPr="00D25CC8">
              <w:rPr>
                <w:rFonts w:ascii="David" w:hAnsi="David"/>
                <w:b/>
                <w:bCs/>
                <w:noProof w:val="0"/>
                <w:sz w:val="28"/>
                <w:szCs w:val="28"/>
                <w:rtl/>
              </w:rPr>
              <w:t>המערער 2 ע"י ב"כ: עו"ד קרן פרוכט כהן</w:t>
            </w:r>
          </w:p>
        </w:tc>
      </w:tr>
      <w:bookmarkEnd w:id="1"/>
      <w:bookmarkEnd w:id="2"/>
      <w:tr w:rsidR="003A43C7" w14:paraId="7CCFA29C" w14:textId="77777777" w:rsidTr="00141FBA">
        <w:trPr>
          <w:jc w:val="center"/>
        </w:trPr>
        <w:tc>
          <w:tcPr>
            <w:tcW w:w="8509" w:type="dxa"/>
            <w:gridSpan w:val="2"/>
          </w:tcPr>
          <w:p w14:paraId="5EF1C998" w14:textId="77777777" w:rsidR="00983125" w:rsidRPr="00D25CC8" w:rsidRDefault="00000000" w:rsidP="00D25CC8">
            <w:pPr>
              <w:spacing w:before="240" w:after="240" w:line="240" w:lineRule="exact"/>
              <w:jc w:val="center"/>
              <w:rPr>
                <w:rFonts w:ascii="David" w:hAnsi="David"/>
                <w:b/>
                <w:bCs/>
                <w:noProof w:val="0"/>
                <w:sz w:val="28"/>
                <w:szCs w:val="28"/>
              </w:rPr>
            </w:pPr>
            <w:r w:rsidRPr="00D25CC8">
              <w:rPr>
                <w:rFonts w:ascii="David" w:hAnsi="David"/>
                <w:b/>
                <w:bCs/>
                <w:noProof w:val="0"/>
                <w:sz w:val="28"/>
                <w:szCs w:val="28"/>
                <w:rtl/>
              </w:rPr>
              <w:t>נגד</w:t>
            </w:r>
          </w:p>
        </w:tc>
      </w:tr>
      <w:tr w:rsidR="003A43C7" w14:paraId="122436FA" w14:textId="77777777" w:rsidTr="00141FBA">
        <w:trPr>
          <w:jc w:val="center"/>
        </w:trPr>
        <w:tc>
          <w:tcPr>
            <w:tcW w:w="1846" w:type="dxa"/>
          </w:tcPr>
          <w:p w14:paraId="449E2512" w14:textId="77777777" w:rsidR="00983125" w:rsidRPr="008C77F8" w:rsidRDefault="00000000" w:rsidP="00141FBA">
            <w:pPr>
              <w:spacing w:line="360" w:lineRule="auto"/>
              <w:jc w:val="center"/>
              <w:rPr>
                <w:rFonts w:ascii="Arial" w:hAnsi="Arial"/>
                <w:b/>
                <w:bCs/>
                <w:noProof w:val="0"/>
                <w:sz w:val="28"/>
                <w:szCs w:val="28"/>
              </w:rPr>
            </w:pPr>
            <w:r w:rsidRPr="008C77F8">
              <w:rPr>
                <w:b/>
                <w:bCs/>
                <w:noProof w:val="0"/>
                <w:sz w:val="28"/>
                <w:szCs w:val="28"/>
                <w:rtl/>
              </w:rPr>
              <w:t>ה</w:t>
            </w:r>
            <w:r w:rsidRPr="008C77F8">
              <w:rPr>
                <w:rFonts w:ascii="Arial" w:hAnsi="Arial"/>
                <w:b/>
                <w:bCs/>
                <w:noProof w:val="0"/>
                <w:sz w:val="28"/>
                <w:szCs w:val="28"/>
                <w:rtl/>
              </w:rPr>
              <w:t>משיבה:</w:t>
            </w:r>
          </w:p>
        </w:tc>
        <w:tc>
          <w:tcPr>
            <w:tcW w:w="6663" w:type="dxa"/>
          </w:tcPr>
          <w:p w14:paraId="0200FAAF" w14:textId="77777777" w:rsidR="00983125" w:rsidRPr="00D25CC8" w:rsidRDefault="00000000" w:rsidP="00D25CC8">
            <w:pPr>
              <w:spacing w:before="120" w:after="120" w:line="240" w:lineRule="exact"/>
              <w:rPr>
                <w:rFonts w:ascii="David" w:hAnsi="David"/>
                <w:b/>
                <w:bCs/>
                <w:noProof w:val="0"/>
                <w:sz w:val="28"/>
                <w:szCs w:val="28"/>
              </w:rPr>
            </w:pPr>
            <w:r w:rsidRPr="00D25CC8">
              <w:rPr>
                <w:rFonts w:ascii="David" w:hAnsi="David"/>
                <w:b/>
                <w:bCs/>
                <w:noProof w:val="0"/>
                <w:sz w:val="28"/>
                <w:szCs w:val="28"/>
                <w:rtl/>
              </w:rPr>
              <w:t xml:space="preserve">מדינת ישראל – הממונה על </w:t>
            </w:r>
            <w:hyperlink r:id="rId6" w:history="1">
              <w:r w:rsidR="008C77F8" w:rsidRPr="00D25CC8">
                <w:rPr>
                  <w:rFonts w:ascii="David" w:hAnsi="David"/>
                  <w:b/>
                  <w:bCs/>
                  <w:noProof w:val="0"/>
                  <w:color w:val="0000FF"/>
                  <w:sz w:val="28"/>
                  <w:szCs w:val="28"/>
                  <w:u w:val="single"/>
                  <w:rtl/>
                </w:rPr>
                <w:t>חוק עבודת נשים</w:t>
              </w:r>
            </w:hyperlink>
            <w:r w:rsidRPr="00D25CC8">
              <w:rPr>
                <w:rFonts w:ascii="David" w:hAnsi="David"/>
                <w:b/>
                <w:bCs/>
                <w:noProof w:val="0"/>
                <w:sz w:val="28"/>
                <w:szCs w:val="28"/>
                <w:rtl/>
              </w:rPr>
              <w:t xml:space="preserve">  </w:t>
            </w:r>
          </w:p>
          <w:p w14:paraId="7A9DC890" w14:textId="77777777" w:rsidR="00983125" w:rsidRPr="00D25CC8" w:rsidRDefault="00000000" w:rsidP="00D25CC8">
            <w:pPr>
              <w:spacing w:before="120" w:after="120" w:line="240" w:lineRule="exact"/>
              <w:rPr>
                <w:rFonts w:ascii="David" w:hAnsi="David"/>
                <w:noProof w:val="0"/>
                <w:sz w:val="28"/>
                <w:szCs w:val="28"/>
                <w:rtl/>
              </w:rPr>
            </w:pPr>
            <w:r w:rsidRPr="00D25CC8">
              <w:rPr>
                <w:rFonts w:ascii="David" w:hAnsi="David"/>
                <w:b/>
                <w:bCs/>
                <w:noProof w:val="0"/>
                <w:sz w:val="28"/>
                <w:szCs w:val="28"/>
                <w:rtl/>
              </w:rPr>
              <w:t>ע"י ב"כ: עו"ד דניאל פסי</w:t>
            </w:r>
          </w:p>
        </w:tc>
      </w:tr>
    </w:tbl>
    <w:p w14:paraId="125DC634" w14:textId="77777777" w:rsidR="00983125" w:rsidRDefault="00983125" w:rsidP="00141FBA">
      <w:pPr>
        <w:rPr>
          <w:rtl/>
        </w:rPr>
      </w:pPr>
    </w:p>
    <w:p w14:paraId="328960E7" w14:textId="77777777" w:rsidR="002E0F57" w:rsidRDefault="002E0F57" w:rsidP="00141FBA">
      <w:pPr>
        <w:rPr>
          <w:rtl/>
        </w:rPr>
      </w:pPr>
    </w:p>
    <w:p w14:paraId="52F0537E" w14:textId="77777777" w:rsidR="00D25CC8" w:rsidRDefault="00D25CC8" w:rsidP="009E2531">
      <w:pPr>
        <w:spacing w:before="120" w:after="120" w:line="240" w:lineRule="exact"/>
        <w:ind w:left="283" w:hanging="283"/>
        <w:jc w:val="both"/>
        <w:rPr>
          <w:rFonts w:ascii="FrankRuehl" w:hAnsi="FrankRuehl" w:cs="FrankRuehl"/>
          <w:rtl/>
        </w:rPr>
      </w:pPr>
      <w:bookmarkStart w:id="3" w:name="LawTable_End"/>
      <w:bookmarkEnd w:id="3"/>
    </w:p>
    <w:p w14:paraId="4500182A" w14:textId="77777777" w:rsidR="002E0F57" w:rsidRPr="008C77F8" w:rsidRDefault="00000000" w:rsidP="002E0F57">
      <w:pPr>
        <w:bidi w:val="0"/>
        <w:spacing w:line="360" w:lineRule="auto"/>
        <w:jc w:val="center"/>
        <w:rPr>
          <w:rFonts w:ascii="Arial" w:hAnsi="Arial"/>
          <w:b/>
          <w:bCs/>
          <w:noProof w:val="0"/>
          <w:sz w:val="34"/>
          <w:szCs w:val="34"/>
          <w:u w:val="single"/>
        </w:rPr>
      </w:pPr>
      <w:bookmarkStart w:id="4" w:name="ABSTRACT_START"/>
      <w:bookmarkStart w:id="5" w:name="PsakDin"/>
      <w:bookmarkEnd w:id="0"/>
      <w:bookmarkEnd w:id="4"/>
      <w:r w:rsidRPr="008C77F8">
        <w:rPr>
          <w:rFonts w:ascii="Arial" w:hAnsi="Arial"/>
          <w:b/>
          <w:bCs/>
          <w:noProof w:val="0"/>
          <w:sz w:val="34"/>
          <w:szCs w:val="34"/>
          <w:u w:val="single"/>
          <w:rtl/>
        </w:rPr>
        <w:t>פסק דין</w:t>
      </w:r>
      <w:bookmarkEnd w:id="5"/>
    </w:p>
    <w:p w14:paraId="2FABCBCA" w14:textId="77777777" w:rsidR="00983125" w:rsidRPr="00141CF7" w:rsidRDefault="00000000" w:rsidP="00141CF7">
      <w:pPr>
        <w:pStyle w:val="David"/>
        <w:ind w:left="720" w:hanging="720"/>
        <w:rPr>
          <w:rFonts w:ascii="David" w:hAnsi="David"/>
          <w:sz w:val="28"/>
          <w:szCs w:val="28"/>
        </w:rPr>
      </w:pPr>
      <w:r>
        <w:rPr>
          <w:rFonts w:ascii="David" w:hAnsi="David"/>
          <w:sz w:val="28"/>
          <w:szCs w:val="28"/>
          <w:rtl/>
        </w:rPr>
        <w:t>1.</w:t>
      </w:r>
      <w:r>
        <w:rPr>
          <w:rFonts w:ascii="David" w:hAnsi="David"/>
          <w:sz w:val="28"/>
          <w:szCs w:val="28"/>
          <w:rtl/>
        </w:rPr>
        <w:tab/>
      </w:r>
      <w:r w:rsidRPr="00141CF7">
        <w:rPr>
          <w:rFonts w:ascii="David" w:hAnsi="David"/>
          <w:sz w:val="28"/>
          <w:szCs w:val="28"/>
          <w:rtl/>
        </w:rPr>
        <w:t xml:space="preserve">בפני ערעורם של מר דותן פלג ושל מר אלון חזן על החלטת הממונה על </w:t>
      </w:r>
      <w:hyperlink r:id="rId7" w:history="1">
        <w:r w:rsidR="008C77F8" w:rsidRPr="008C77F8">
          <w:rPr>
            <w:rFonts w:ascii="David" w:hAnsi="David"/>
            <w:color w:val="0000FF"/>
            <w:sz w:val="28"/>
            <w:szCs w:val="28"/>
            <w:u w:val="single"/>
            <w:rtl/>
          </w:rPr>
          <w:t>חוק עבודת נשים</w:t>
        </w:r>
      </w:hyperlink>
      <w:r w:rsidRPr="00141CF7">
        <w:rPr>
          <w:rFonts w:ascii="David" w:hAnsi="David"/>
          <w:sz w:val="28"/>
          <w:szCs w:val="28"/>
          <w:rtl/>
        </w:rPr>
        <w:t xml:space="preserve"> במשרד העבודה, לפיה אין צורך במתן היתר לפיטורים לפי חוק עבודת נשים, התשי"ד – 1954 של גבר הנמצא בהליך פונדקאות בחו"ל.</w:t>
      </w:r>
    </w:p>
    <w:p w14:paraId="6CB5D7A0" w14:textId="77777777" w:rsidR="00983125" w:rsidRPr="00141CF7" w:rsidRDefault="00983125" w:rsidP="00141CF7">
      <w:pPr>
        <w:pStyle w:val="David"/>
        <w:rPr>
          <w:rFonts w:ascii="David" w:hAnsi="David"/>
          <w:sz w:val="28"/>
          <w:szCs w:val="28"/>
          <w:rtl/>
        </w:rPr>
      </w:pPr>
    </w:p>
    <w:p w14:paraId="171E0DC3" w14:textId="77777777" w:rsidR="00983125" w:rsidRPr="00141CF7" w:rsidRDefault="00000000" w:rsidP="00141CF7">
      <w:pPr>
        <w:pStyle w:val="David"/>
        <w:rPr>
          <w:rFonts w:ascii="David" w:hAnsi="David"/>
          <w:sz w:val="28"/>
          <w:szCs w:val="28"/>
          <w:rtl/>
        </w:rPr>
      </w:pPr>
      <w:r>
        <w:rPr>
          <w:rFonts w:ascii="David" w:hAnsi="David"/>
          <w:sz w:val="28"/>
          <w:szCs w:val="28"/>
          <w:rtl/>
        </w:rPr>
        <w:t>2.</w:t>
      </w:r>
      <w:r>
        <w:rPr>
          <w:rFonts w:ascii="David" w:hAnsi="David"/>
          <w:sz w:val="28"/>
          <w:szCs w:val="28"/>
          <w:rtl/>
        </w:rPr>
        <w:tab/>
      </w:r>
      <w:r w:rsidRPr="00141CF7">
        <w:rPr>
          <w:rFonts w:ascii="David" w:hAnsi="David"/>
          <w:sz w:val="28"/>
          <w:szCs w:val="28"/>
          <w:rtl/>
        </w:rPr>
        <w:t>ערעורו של מר פלג הוגש ביום 18.5.23 וערעורו של מר חזן הוגש ביום 17.10.23.</w:t>
      </w:r>
    </w:p>
    <w:p w14:paraId="7702B665" w14:textId="77777777" w:rsidR="00983125" w:rsidRPr="00141CF7" w:rsidRDefault="00983125" w:rsidP="00141CF7">
      <w:pPr>
        <w:pStyle w:val="David"/>
        <w:rPr>
          <w:rFonts w:ascii="David" w:hAnsi="David"/>
          <w:sz w:val="28"/>
          <w:szCs w:val="28"/>
          <w:rtl/>
        </w:rPr>
      </w:pPr>
    </w:p>
    <w:p w14:paraId="3E1C489D" w14:textId="77777777" w:rsidR="00983125" w:rsidRPr="00141CF7" w:rsidRDefault="00000000" w:rsidP="00141CF7">
      <w:pPr>
        <w:pStyle w:val="David"/>
        <w:rPr>
          <w:rFonts w:ascii="David" w:hAnsi="David"/>
          <w:b/>
          <w:bCs/>
          <w:sz w:val="28"/>
          <w:szCs w:val="28"/>
          <w:rtl/>
        </w:rPr>
      </w:pPr>
      <w:r>
        <w:rPr>
          <w:rFonts w:ascii="David" w:hAnsi="David"/>
          <w:b/>
          <w:bCs/>
          <w:sz w:val="28"/>
          <w:szCs w:val="28"/>
          <w:rtl/>
        </w:rPr>
        <w:tab/>
      </w:r>
      <w:r w:rsidRPr="00141CF7">
        <w:rPr>
          <w:rFonts w:ascii="David" w:hAnsi="David"/>
          <w:b/>
          <w:bCs/>
          <w:sz w:val="28"/>
          <w:szCs w:val="28"/>
          <w:rtl/>
        </w:rPr>
        <w:t>שני התיקים אוחדו בפני בהתאם להחלטת כב' השופט ספיבק מיום 5.1.24</w:t>
      </w:r>
    </w:p>
    <w:p w14:paraId="5E1A75B1" w14:textId="77777777" w:rsidR="00983125" w:rsidRPr="00141CF7" w:rsidRDefault="00983125" w:rsidP="00141CF7">
      <w:pPr>
        <w:pStyle w:val="David"/>
        <w:rPr>
          <w:rFonts w:ascii="David" w:hAnsi="David"/>
          <w:sz w:val="28"/>
          <w:szCs w:val="28"/>
          <w:rtl/>
        </w:rPr>
      </w:pPr>
    </w:p>
    <w:p w14:paraId="3821EC28" w14:textId="77777777" w:rsidR="00983125" w:rsidRDefault="00000000" w:rsidP="00141CF7">
      <w:pPr>
        <w:pStyle w:val="David"/>
        <w:ind w:left="720" w:hanging="720"/>
        <w:rPr>
          <w:rFonts w:ascii="David" w:hAnsi="David"/>
          <w:sz w:val="28"/>
          <w:szCs w:val="28"/>
          <w:rtl/>
        </w:rPr>
      </w:pPr>
      <w:r>
        <w:rPr>
          <w:rFonts w:ascii="David" w:hAnsi="David"/>
          <w:sz w:val="28"/>
          <w:szCs w:val="28"/>
          <w:rtl/>
        </w:rPr>
        <w:t>3.</w:t>
      </w:r>
      <w:r>
        <w:rPr>
          <w:rFonts w:ascii="David" w:hAnsi="David"/>
          <w:sz w:val="28"/>
          <w:szCs w:val="28"/>
          <w:rtl/>
        </w:rPr>
        <w:tab/>
      </w:r>
      <w:r w:rsidRPr="00141CF7">
        <w:rPr>
          <w:rFonts w:ascii="David" w:hAnsi="David"/>
          <w:sz w:val="28"/>
          <w:szCs w:val="28"/>
          <w:rtl/>
        </w:rPr>
        <w:t>החלטת הממונה בגינו של מר פלג ניתנה ביום 4.4.23.  במסגרת נימוקיה מציינת הממונה, בין היתר -"</w:t>
      </w:r>
      <w:r w:rsidRPr="00141CF7">
        <w:rPr>
          <w:rFonts w:ascii="David" w:hAnsi="David"/>
          <w:b/>
          <w:bCs/>
          <w:sz w:val="28"/>
          <w:szCs w:val="28"/>
          <w:rtl/>
        </w:rPr>
        <w:t>בנסיבות כפי שהובאו לעיל, בהן נמצא כי העובד בהליך פונדקאות בחו"ל (ארצות הברית) והמקרה אינו עונה להגדרת הסעיף ב</w:t>
      </w:r>
      <w:hyperlink r:id="rId8" w:history="1">
        <w:r w:rsidR="008C77F8" w:rsidRPr="008C77F8">
          <w:rPr>
            <w:rFonts w:ascii="David" w:hAnsi="David"/>
            <w:b/>
            <w:bCs/>
            <w:color w:val="0000FF"/>
            <w:sz w:val="28"/>
            <w:szCs w:val="28"/>
            <w:u w:val="single"/>
            <w:rtl/>
          </w:rPr>
          <w:t>חוק עבודת נשים</w:t>
        </w:r>
      </w:hyperlink>
      <w:r w:rsidRPr="00141CF7">
        <w:rPr>
          <w:rFonts w:ascii="David" w:hAnsi="David"/>
          <w:b/>
          <w:bCs/>
          <w:sz w:val="28"/>
          <w:szCs w:val="28"/>
          <w:rtl/>
        </w:rPr>
        <w:t xml:space="preserve"> (המפנה לחוק הסכמים לנשיאת עוברים – בארץ) לפיכך אין תחולה לחוק ואין צורך במתן היתר לפיטורים</w:t>
      </w:r>
      <w:r w:rsidRPr="00141CF7">
        <w:rPr>
          <w:rFonts w:ascii="David" w:hAnsi="David"/>
          <w:sz w:val="28"/>
          <w:szCs w:val="28"/>
          <w:rtl/>
        </w:rPr>
        <w:t>".</w:t>
      </w:r>
    </w:p>
    <w:p w14:paraId="086D80BE" w14:textId="77777777" w:rsidR="00983125" w:rsidRDefault="00983125" w:rsidP="00141CF7">
      <w:pPr>
        <w:pStyle w:val="David"/>
        <w:ind w:left="720" w:hanging="720"/>
        <w:rPr>
          <w:rFonts w:ascii="David" w:hAnsi="David"/>
          <w:sz w:val="28"/>
          <w:szCs w:val="28"/>
          <w:rtl/>
        </w:rPr>
      </w:pPr>
    </w:p>
    <w:p w14:paraId="6BF0B411" w14:textId="77777777" w:rsidR="00983125" w:rsidRDefault="00983125" w:rsidP="00141CF7">
      <w:pPr>
        <w:pStyle w:val="David"/>
        <w:ind w:left="720" w:hanging="720"/>
        <w:rPr>
          <w:rFonts w:ascii="David" w:hAnsi="David"/>
          <w:sz w:val="28"/>
          <w:szCs w:val="28"/>
          <w:rtl/>
        </w:rPr>
      </w:pPr>
    </w:p>
    <w:p w14:paraId="0C38CF1D" w14:textId="77777777" w:rsidR="00983125" w:rsidRDefault="00000000" w:rsidP="00141CF7">
      <w:pPr>
        <w:pStyle w:val="David"/>
        <w:ind w:left="720" w:hanging="720"/>
        <w:rPr>
          <w:rFonts w:ascii="David" w:hAnsi="David"/>
          <w:sz w:val="28"/>
          <w:szCs w:val="28"/>
          <w:rtl/>
        </w:rPr>
      </w:pPr>
      <w:r>
        <w:rPr>
          <w:rFonts w:ascii="David" w:hAnsi="David"/>
          <w:sz w:val="28"/>
          <w:szCs w:val="28"/>
          <w:rtl/>
        </w:rPr>
        <w:lastRenderedPageBreak/>
        <w:t>4.</w:t>
      </w:r>
      <w:r>
        <w:rPr>
          <w:rFonts w:ascii="David" w:hAnsi="David"/>
          <w:sz w:val="28"/>
          <w:szCs w:val="28"/>
          <w:rtl/>
        </w:rPr>
        <w:tab/>
      </w:r>
      <w:r w:rsidRPr="00141CF7">
        <w:rPr>
          <w:rFonts w:ascii="David" w:hAnsi="David"/>
          <w:sz w:val="28"/>
          <w:szCs w:val="28"/>
          <w:rtl/>
        </w:rPr>
        <w:t>החלטה הממונה בגינו של מר חזן ניתנה ביום 6.9.23. במסגרת נימוקיה מציינת הממונה, בין היתר -  "</w:t>
      </w:r>
      <w:r w:rsidRPr="00141CF7">
        <w:rPr>
          <w:rFonts w:ascii="David" w:hAnsi="David"/>
          <w:b/>
          <w:bCs/>
          <w:sz w:val="28"/>
          <w:szCs w:val="28"/>
          <w:rtl/>
        </w:rPr>
        <w:t>בנסיבות כפי שהובאו לעיל, בהן נמצא כי העובד בהליך פונדקאות בחו"ל (מקסיקו) והמקרה אינו עונה להגדרת הסעיף ב</w:t>
      </w:r>
      <w:hyperlink r:id="rId9" w:history="1">
        <w:r w:rsidR="008C77F8" w:rsidRPr="008C77F8">
          <w:rPr>
            <w:rFonts w:ascii="David" w:hAnsi="David"/>
            <w:b/>
            <w:bCs/>
            <w:color w:val="0000FF"/>
            <w:sz w:val="28"/>
            <w:szCs w:val="28"/>
            <w:u w:val="single"/>
            <w:rtl/>
          </w:rPr>
          <w:t>חוק עבודת נשים</w:t>
        </w:r>
      </w:hyperlink>
      <w:r w:rsidRPr="00141CF7">
        <w:rPr>
          <w:rFonts w:ascii="David" w:hAnsi="David"/>
          <w:b/>
          <w:bCs/>
          <w:sz w:val="28"/>
          <w:szCs w:val="28"/>
          <w:rtl/>
        </w:rPr>
        <w:t xml:space="preserve"> (המפנה לחוק הסכמים לנשיאת עוברים – בארץ) לפיכך אין תחולה לחוק ואין צורך במתן היתר לפיטורים</w:t>
      </w:r>
      <w:r w:rsidRPr="00141CF7">
        <w:rPr>
          <w:rFonts w:ascii="David" w:hAnsi="David"/>
          <w:sz w:val="28"/>
          <w:szCs w:val="28"/>
          <w:rtl/>
        </w:rPr>
        <w:t>".</w:t>
      </w:r>
    </w:p>
    <w:p w14:paraId="7A6E4467" w14:textId="77777777" w:rsidR="00983125" w:rsidRDefault="00983125" w:rsidP="00141CF7">
      <w:pPr>
        <w:pStyle w:val="David"/>
        <w:ind w:left="720" w:hanging="720"/>
        <w:rPr>
          <w:rFonts w:ascii="David" w:hAnsi="David"/>
          <w:sz w:val="28"/>
          <w:szCs w:val="28"/>
          <w:rtl/>
        </w:rPr>
      </w:pPr>
    </w:p>
    <w:p w14:paraId="73431E73" w14:textId="77777777" w:rsidR="00983125" w:rsidRPr="00141CF7" w:rsidRDefault="00000000" w:rsidP="00141CF7">
      <w:pPr>
        <w:pStyle w:val="David"/>
        <w:ind w:left="720" w:hanging="720"/>
        <w:rPr>
          <w:rFonts w:ascii="David" w:hAnsi="David"/>
          <w:sz w:val="28"/>
          <w:szCs w:val="28"/>
          <w:u w:val="single"/>
          <w:rtl/>
        </w:rPr>
      </w:pPr>
      <w:r w:rsidRPr="00141CF7">
        <w:rPr>
          <w:rFonts w:ascii="David" w:hAnsi="David"/>
          <w:sz w:val="28"/>
          <w:szCs w:val="28"/>
          <w:u w:val="single"/>
          <w:rtl/>
        </w:rPr>
        <w:t>טענות המערערים בקצרה</w:t>
      </w:r>
    </w:p>
    <w:p w14:paraId="70F40581" w14:textId="77777777" w:rsidR="00983125" w:rsidRPr="00141CF7" w:rsidRDefault="00983125" w:rsidP="00141CF7">
      <w:pPr>
        <w:pStyle w:val="David"/>
        <w:rPr>
          <w:rFonts w:ascii="David" w:hAnsi="David"/>
          <w:sz w:val="28"/>
          <w:szCs w:val="28"/>
          <w:rtl/>
        </w:rPr>
      </w:pPr>
    </w:p>
    <w:p w14:paraId="5C841D13" w14:textId="77777777" w:rsidR="00983125" w:rsidRDefault="00000000" w:rsidP="00141CF7">
      <w:pPr>
        <w:pStyle w:val="David"/>
        <w:ind w:left="720" w:hanging="720"/>
        <w:rPr>
          <w:rFonts w:ascii="David" w:hAnsi="David"/>
          <w:sz w:val="28"/>
          <w:szCs w:val="28"/>
          <w:rtl/>
        </w:rPr>
      </w:pPr>
      <w:r>
        <w:rPr>
          <w:rFonts w:ascii="David" w:hAnsi="David"/>
          <w:sz w:val="28"/>
          <w:szCs w:val="28"/>
          <w:rtl/>
        </w:rPr>
        <w:t>5.</w:t>
      </w:r>
      <w:r>
        <w:rPr>
          <w:rFonts w:ascii="David" w:hAnsi="David"/>
          <w:sz w:val="28"/>
          <w:szCs w:val="28"/>
          <w:rtl/>
        </w:rPr>
        <w:tab/>
      </w:r>
      <w:r w:rsidRPr="00141CF7">
        <w:rPr>
          <w:rFonts w:ascii="David" w:hAnsi="David"/>
          <w:sz w:val="28"/>
          <w:szCs w:val="28"/>
          <w:rtl/>
        </w:rPr>
        <w:t xml:space="preserve">החלטת הממונה פוגעת פגיעה קשה בזכויות הבסיסיות ביותר שלהם וברצון שלהם להקים משפחה בישראל. </w:t>
      </w:r>
    </w:p>
    <w:p w14:paraId="535C3B71" w14:textId="77777777" w:rsidR="00983125" w:rsidRDefault="00983125" w:rsidP="00141CF7">
      <w:pPr>
        <w:pStyle w:val="David"/>
        <w:ind w:left="720" w:hanging="720"/>
        <w:rPr>
          <w:rFonts w:ascii="David" w:hAnsi="David"/>
          <w:sz w:val="28"/>
          <w:szCs w:val="28"/>
          <w:rtl/>
        </w:rPr>
      </w:pPr>
    </w:p>
    <w:p w14:paraId="14613A37" w14:textId="77777777" w:rsidR="00983125" w:rsidRDefault="00000000" w:rsidP="00D92855">
      <w:pPr>
        <w:pStyle w:val="David"/>
        <w:ind w:left="720" w:hanging="720"/>
        <w:rPr>
          <w:rFonts w:ascii="David" w:hAnsi="David"/>
          <w:sz w:val="28"/>
          <w:szCs w:val="28"/>
          <w:rtl/>
        </w:rPr>
      </w:pPr>
      <w:r>
        <w:rPr>
          <w:rFonts w:ascii="David" w:hAnsi="David"/>
          <w:sz w:val="28"/>
          <w:szCs w:val="28"/>
          <w:rtl/>
        </w:rPr>
        <w:t>6.</w:t>
      </w:r>
      <w:r>
        <w:rPr>
          <w:rFonts w:ascii="David" w:hAnsi="David"/>
          <w:sz w:val="28"/>
          <w:szCs w:val="28"/>
          <w:rtl/>
        </w:rPr>
        <w:tab/>
      </w:r>
      <w:r w:rsidRPr="00141CF7">
        <w:rPr>
          <w:rFonts w:ascii="David" w:hAnsi="David"/>
          <w:sz w:val="28"/>
          <w:szCs w:val="28"/>
          <w:rtl/>
        </w:rPr>
        <w:t xml:space="preserve">החלטת הממונה לפיה היא איננה בעלת הסמכות לדון בעניינם של המערערים משום הליך הפונדקאות שבוצע בחו"ל – שגוייה ביסודה ולא עולה בקנה אחד עם הזכות לשוויון ופסיקת בית המשפט העליון הרבות בתחום הפונדקאות לזוגות גברים להט"בים ולמעשה מחריגה כל מי שנולד אחרת מלקבל את הגנת החוק.  </w:t>
      </w:r>
    </w:p>
    <w:p w14:paraId="7103137D" w14:textId="77777777" w:rsidR="00983125" w:rsidRDefault="00983125" w:rsidP="00141CF7">
      <w:pPr>
        <w:pStyle w:val="David"/>
        <w:ind w:left="720" w:hanging="720"/>
        <w:rPr>
          <w:rFonts w:ascii="David" w:hAnsi="David"/>
          <w:sz w:val="28"/>
          <w:szCs w:val="28"/>
          <w:rtl/>
        </w:rPr>
      </w:pPr>
    </w:p>
    <w:p w14:paraId="1E0F9581" w14:textId="77777777" w:rsidR="00983125" w:rsidRPr="00141CF7" w:rsidRDefault="00000000" w:rsidP="00141CF7">
      <w:pPr>
        <w:pStyle w:val="David"/>
        <w:ind w:left="720" w:hanging="720"/>
        <w:rPr>
          <w:rFonts w:ascii="David" w:hAnsi="David"/>
          <w:sz w:val="28"/>
          <w:szCs w:val="28"/>
          <w:u w:val="single"/>
          <w:rtl/>
        </w:rPr>
      </w:pPr>
      <w:r w:rsidRPr="00141CF7">
        <w:rPr>
          <w:rFonts w:ascii="David" w:hAnsi="David"/>
          <w:sz w:val="28"/>
          <w:szCs w:val="28"/>
          <w:u w:val="single"/>
          <w:rtl/>
        </w:rPr>
        <w:t>עמדת המדינה</w:t>
      </w:r>
      <w:r>
        <w:rPr>
          <w:rFonts w:ascii="David" w:hAnsi="David"/>
          <w:sz w:val="28"/>
          <w:szCs w:val="28"/>
          <w:u w:val="single"/>
          <w:rtl/>
        </w:rPr>
        <w:t xml:space="preserve"> בקצרה</w:t>
      </w:r>
    </w:p>
    <w:p w14:paraId="56E72957" w14:textId="77777777" w:rsidR="00983125" w:rsidRDefault="00983125" w:rsidP="00141CF7">
      <w:pPr>
        <w:pStyle w:val="David"/>
        <w:ind w:left="720" w:hanging="720"/>
        <w:rPr>
          <w:rFonts w:ascii="David" w:hAnsi="David"/>
          <w:sz w:val="28"/>
          <w:szCs w:val="28"/>
          <w:rtl/>
        </w:rPr>
      </w:pPr>
    </w:p>
    <w:p w14:paraId="7D29C046" w14:textId="77777777" w:rsidR="00983125" w:rsidRDefault="00000000" w:rsidP="00141CF7">
      <w:pPr>
        <w:pStyle w:val="David"/>
        <w:ind w:left="720" w:hanging="720"/>
        <w:rPr>
          <w:rFonts w:ascii="David" w:hAnsi="David"/>
          <w:sz w:val="28"/>
          <w:szCs w:val="28"/>
          <w:rtl/>
        </w:rPr>
      </w:pPr>
      <w:r>
        <w:rPr>
          <w:rFonts w:ascii="David" w:hAnsi="David"/>
          <w:sz w:val="28"/>
          <w:szCs w:val="28"/>
          <w:rtl/>
        </w:rPr>
        <w:t>7.</w:t>
      </w:r>
      <w:r>
        <w:rPr>
          <w:rFonts w:ascii="David" w:hAnsi="David"/>
          <w:sz w:val="28"/>
          <w:szCs w:val="28"/>
          <w:rtl/>
        </w:rPr>
        <w:tab/>
      </w:r>
      <w:r w:rsidRPr="00141CF7">
        <w:rPr>
          <w:rFonts w:ascii="David" w:hAnsi="David"/>
          <w:sz w:val="28"/>
          <w:szCs w:val="28"/>
          <w:rtl/>
        </w:rPr>
        <w:t xml:space="preserve">בהתאם לעמדת המדינה, החלטות הממונה מתיישבת עם לשון החוק כפשוטה ומשקפת את המדיניות שלפיה נהגה הממונה. הוראות </w:t>
      </w:r>
      <w:hyperlink r:id="rId10" w:history="1">
        <w:r w:rsidR="002E0F57" w:rsidRPr="002E0F57">
          <w:rPr>
            <w:rStyle w:val="Hyperlink"/>
            <w:rFonts w:ascii="David" w:hAnsi="David"/>
            <w:sz w:val="28"/>
            <w:szCs w:val="28"/>
            <w:rtl/>
          </w:rPr>
          <w:t>סעיפים 9ג</w:t>
        </w:r>
      </w:hyperlink>
      <w:r w:rsidRPr="00141CF7">
        <w:rPr>
          <w:rFonts w:ascii="David" w:hAnsi="David"/>
          <w:sz w:val="28"/>
          <w:szCs w:val="28"/>
          <w:rtl/>
        </w:rPr>
        <w:t xml:space="preserve"> ו </w:t>
      </w:r>
      <w:hyperlink r:id="rId11" w:history="1">
        <w:r w:rsidR="002E0F57" w:rsidRPr="002E0F57">
          <w:rPr>
            <w:rStyle w:val="Hyperlink"/>
            <w:rFonts w:ascii="David" w:hAnsi="David"/>
            <w:sz w:val="28"/>
            <w:szCs w:val="28"/>
            <w:rtl/>
          </w:rPr>
          <w:t>9ה</w:t>
        </w:r>
      </w:hyperlink>
      <w:r w:rsidRPr="00141CF7">
        <w:rPr>
          <w:rFonts w:ascii="David" w:hAnsi="David"/>
          <w:sz w:val="28"/>
          <w:szCs w:val="28"/>
          <w:rtl/>
        </w:rPr>
        <w:t xml:space="preserve"> לחוק מחילות הוראות מסויימות ב</w:t>
      </w:r>
      <w:hyperlink r:id="rId12" w:history="1">
        <w:r w:rsidR="008C77F8" w:rsidRPr="008C77F8">
          <w:rPr>
            <w:rFonts w:ascii="David" w:hAnsi="David"/>
            <w:color w:val="0000FF"/>
            <w:sz w:val="28"/>
            <w:szCs w:val="28"/>
            <w:u w:val="single"/>
            <w:rtl/>
          </w:rPr>
          <w:t>חוק עבודת נשים</w:t>
        </w:r>
      </w:hyperlink>
      <w:r w:rsidRPr="00141CF7">
        <w:rPr>
          <w:rFonts w:ascii="David" w:hAnsi="David"/>
          <w:sz w:val="28"/>
          <w:szCs w:val="28"/>
          <w:rtl/>
        </w:rPr>
        <w:t xml:space="preserve"> ובהתאמות שנקבעו, על הורה מיועד, אינן מחליפות על פי לשונן את ההגנה המבוקשת בהליך זה על מי שהתקשר בהסכם פונדקאות בחו"ל, כמו במקרה של המערערים ושלא על פי חוק הסכמים לנשיאת עוברים. </w:t>
      </w:r>
    </w:p>
    <w:p w14:paraId="45C23D2F" w14:textId="77777777" w:rsidR="00983125" w:rsidRDefault="00983125" w:rsidP="00141CF7">
      <w:pPr>
        <w:pStyle w:val="David"/>
        <w:ind w:left="720" w:hanging="720"/>
        <w:rPr>
          <w:rFonts w:ascii="David" w:hAnsi="David"/>
          <w:sz w:val="28"/>
          <w:szCs w:val="28"/>
          <w:rtl/>
        </w:rPr>
      </w:pPr>
    </w:p>
    <w:p w14:paraId="47B20260" w14:textId="77777777" w:rsidR="00983125" w:rsidRPr="00141CF7" w:rsidRDefault="00000000" w:rsidP="00141CF7">
      <w:pPr>
        <w:pStyle w:val="David"/>
        <w:ind w:left="720" w:hanging="720"/>
        <w:rPr>
          <w:rFonts w:ascii="David" w:hAnsi="David"/>
          <w:sz w:val="28"/>
          <w:szCs w:val="28"/>
          <w:rtl/>
        </w:rPr>
      </w:pPr>
      <w:r>
        <w:rPr>
          <w:rFonts w:ascii="David" w:hAnsi="David"/>
          <w:sz w:val="28"/>
          <w:szCs w:val="28"/>
          <w:rtl/>
        </w:rPr>
        <w:t>8.</w:t>
      </w:r>
      <w:r>
        <w:rPr>
          <w:rFonts w:ascii="David" w:hAnsi="David"/>
          <w:sz w:val="28"/>
          <w:szCs w:val="28"/>
          <w:rtl/>
        </w:rPr>
        <w:tab/>
      </w:r>
      <w:r w:rsidRPr="00141CF7">
        <w:rPr>
          <w:rFonts w:ascii="David" w:hAnsi="David"/>
          <w:sz w:val="28"/>
          <w:szCs w:val="28"/>
          <w:rtl/>
        </w:rPr>
        <w:t xml:space="preserve">יחד עם זאת, עם קבלת התובענה נערכה בחינה מעמיקה של הסוגייה העקרונית בה לקחו חלק נציגי משרד העבודה, דרגים בכירים בפרקליטות המדינה ובמשרד המשפטים. לאחר בחינה זו ועל דעת המשנה ליועצת המשפטית לממשלה הוחלט, כי יש חלופה פרשנית שאף מתיישבת על תכלית החקיקה ואשר לפיה ניתן לקבוע כי </w:t>
      </w:r>
      <w:hyperlink r:id="rId13" w:history="1">
        <w:r w:rsidR="002E0F57" w:rsidRPr="002E0F57">
          <w:rPr>
            <w:rStyle w:val="Hyperlink"/>
            <w:rFonts w:ascii="David" w:hAnsi="David"/>
            <w:sz w:val="28"/>
            <w:szCs w:val="28"/>
            <w:rtl/>
          </w:rPr>
          <w:t>סעיף 9(א)</w:t>
        </w:r>
      </w:hyperlink>
      <w:r w:rsidRPr="00141CF7">
        <w:rPr>
          <w:rFonts w:ascii="David" w:hAnsi="David"/>
          <w:sz w:val="28"/>
          <w:szCs w:val="28"/>
          <w:rtl/>
        </w:rPr>
        <w:t xml:space="preserve"> לחוק יחול, בשינויים המחויבים גם במקרה שבו הורה מבצע הליך של פונדקאות בחו"ל (סעיפים 3-4 לתגובה).</w:t>
      </w:r>
    </w:p>
    <w:p w14:paraId="1311EF99" w14:textId="77777777" w:rsidR="00983125" w:rsidRPr="00141CF7" w:rsidRDefault="00983125" w:rsidP="00141CF7">
      <w:pPr>
        <w:pStyle w:val="David"/>
        <w:rPr>
          <w:rFonts w:ascii="David" w:hAnsi="David"/>
          <w:sz w:val="28"/>
          <w:szCs w:val="28"/>
          <w:rtl/>
        </w:rPr>
      </w:pPr>
    </w:p>
    <w:p w14:paraId="32218870" w14:textId="77777777" w:rsidR="00983125" w:rsidRPr="00141CF7" w:rsidRDefault="00000000" w:rsidP="00141CF7">
      <w:pPr>
        <w:pStyle w:val="David"/>
        <w:ind w:left="720" w:hanging="720"/>
        <w:rPr>
          <w:rFonts w:ascii="David" w:hAnsi="David"/>
          <w:sz w:val="28"/>
          <w:szCs w:val="28"/>
          <w:rtl/>
        </w:rPr>
      </w:pPr>
      <w:r>
        <w:rPr>
          <w:rFonts w:ascii="David" w:hAnsi="David"/>
          <w:sz w:val="28"/>
          <w:szCs w:val="28"/>
          <w:rtl/>
        </w:rPr>
        <w:t>9.</w:t>
      </w:r>
      <w:r>
        <w:rPr>
          <w:rFonts w:ascii="David" w:hAnsi="David"/>
          <w:sz w:val="28"/>
          <w:szCs w:val="28"/>
          <w:rtl/>
        </w:rPr>
        <w:tab/>
      </w:r>
      <w:r w:rsidRPr="00141CF7">
        <w:rPr>
          <w:rFonts w:ascii="David" w:hAnsi="David"/>
          <w:sz w:val="28"/>
          <w:szCs w:val="28"/>
          <w:rtl/>
        </w:rPr>
        <w:t xml:space="preserve">במועד הדיון </w:t>
      </w:r>
      <w:r>
        <w:rPr>
          <w:rFonts w:ascii="David" w:hAnsi="David"/>
          <w:sz w:val="28"/>
          <w:szCs w:val="28"/>
          <w:rtl/>
        </w:rPr>
        <w:t xml:space="preserve">שהתקיים היום </w:t>
      </w:r>
      <w:r w:rsidRPr="00141CF7">
        <w:rPr>
          <w:rFonts w:ascii="David" w:hAnsi="David"/>
          <w:sz w:val="28"/>
          <w:szCs w:val="28"/>
          <w:rtl/>
        </w:rPr>
        <w:t>חזר ב"כ המדינה והבהיר "</w:t>
      </w:r>
      <w:r w:rsidRPr="00141CF7">
        <w:rPr>
          <w:b/>
          <w:bCs/>
          <w:sz w:val="28"/>
          <w:szCs w:val="28"/>
          <w:rtl/>
        </w:rPr>
        <w:t>לאחר שהנושא שהגיע אלינו, פעלנו כמקובל והועלתה כאן שאלה עקרונית משפטית והיו מעורבים דרגים נוספים מלבד משרד העבודה כולל משרד המשפטים ויעוץ החקיקה. לאחר דיונים שקיימנו בנושא אשר מטבע הדברים לא  יכולים לקרות תוך יום  יומיים, ניתנה החלטה שאושרה גם על ידי המשנ"פ היועמ"ש לממשלה שמסכימה שניתן לתת פרשנות תכליתית שבסופו של דבר מכילה את ה</w:t>
      </w:r>
      <w:hyperlink r:id="rId14" w:history="1">
        <w:r w:rsidR="008C77F8" w:rsidRPr="008C77F8">
          <w:rPr>
            <w:b/>
            <w:bCs/>
            <w:color w:val="0000FF"/>
            <w:sz w:val="28"/>
            <w:szCs w:val="28"/>
            <w:u w:val="single"/>
            <w:rtl/>
          </w:rPr>
          <w:t>חוק עבודת נשים</w:t>
        </w:r>
      </w:hyperlink>
      <w:r w:rsidRPr="00141CF7">
        <w:rPr>
          <w:b/>
          <w:bCs/>
          <w:sz w:val="28"/>
          <w:szCs w:val="28"/>
          <w:rtl/>
        </w:rPr>
        <w:t xml:space="preserve"> גם על פונדקאות חו"ל ולכן בנושא זה כבר אין מחלוקת וברי כי אין בשום מקום לנהל גם הליך בשאלה שכבר לא רלוונטית. המדינה לא בהכרח מסכימה עם נימוקי המערערים אבל בסופו של דבר </w:t>
      </w:r>
      <w:r w:rsidRPr="00141CF7">
        <w:rPr>
          <w:b/>
          <w:bCs/>
          <w:sz w:val="28"/>
          <w:szCs w:val="28"/>
          <w:u w:val="single"/>
          <w:rtl/>
        </w:rPr>
        <w:t>המדינה מסכימה עם פרשנות שאומרת שצריך לתת פרשנות מרחיבה ותכליתית ל</w:t>
      </w:r>
      <w:hyperlink r:id="rId15" w:history="1">
        <w:r w:rsidR="008C77F8" w:rsidRPr="008C77F8">
          <w:rPr>
            <w:b/>
            <w:bCs/>
            <w:color w:val="0000FF"/>
            <w:sz w:val="28"/>
            <w:szCs w:val="28"/>
            <w:u w:val="single"/>
            <w:rtl/>
          </w:rPr>
          <w:t>חוק עבודת נשים</w:t>
        </w:r>
      </w:hyperlink>
      <w:r w:rsidRPr="00141CF7">
        <w:rPr>
          <w:sz w:val="28"/>
          <w:szCs w:val="28"/>
          <w:rtl/>
        </w:rPr>
        <w:t>"</w:t>
      </w:r>
      <w:r w:rsidRPr="00141CF7">
        <w:rPr>
          <w:rFonts w:ascii="David" w:hAnsi="David"/>
          <w:sz w:val="28"/>
          <w:szCs w:val="28"/>
          <w:rtl/>
        </w:rPr>
        <w:t xml:space="preserve"> (עמ' 1 לפ' משורה 24).</w:t>
      </w:r>
    </w:p>
    <w:p w14:paraId="4B7C11F2" w14:textId="77777777" w:rsidR="00983125" w:rsidRPr="00141CF7" w:rsidRDefault="00983125" w:rsidP="00141CF7">
      <w:pPr>
        <w:pStyle w:val="David"/>
        <w:rPr>
          <w:rFonts w:ascii="David" w:hAnsi="David"/>
          <w:sz w:val="28"/>
          <w:szCs w:val="28"/>
          <w:rtl/>
        </w:rPr>
      </w:pPr>
    </w:p>
    <w:p w14:paraId="71C941E9" w14:textId="77777777" w:rsidR="00983125" w:rsidRPr="00141CF7" w:rsidRDefault="00000000" w:rsidP="00141CF7">
      <w:pPr>
        <w:pStyle w:val="David"/>
        <w:rPr>
          <w:rFonts w:ascii="David" w:hAnsi="David"/>
          <w:b/>
          <w:bCs/>
          <w:sz w:val="28"/>
          <w:szCs w:val="28"/>
          <w:u w:val="single"/>
          <w:rtl/>
        </w:rPr>
      </w:pPr>
      <w:r w:rsidRPr="00141CF7">
        <w:rPr>
          <w:rFonts w:ascii="David" w:hAnsi="David"/>
          <w:b/>
          <w:bCs/>
          <w:sz w:val="28"/>
          <w:szCs w:val="28"/>
          <w:u w:val="single"/>
          <w:rtl/>
        </w:rPr>
        <w:t>דיון והכרעה</w:t>
      </w:r>
    </w:p>
    <w:p w14:paraId="50F26F0B" w14:textId="77777777" w:rsidR="00983125" w:rsidRDefault="00983125" w:rsidP="00141CF7">
      <w:pPr>
        <w:pStyle w:val="David"/>
        <w:rPr>
          <w:rFonts w:ascii="David" w:hAnsi="David"/>
          <w:sz w:val="28"/>
          <w:szCs w:val="28"/>
          <w:rtl/>
        </w:rPr>
      </w:pPr>
    </w:p>
    <w:p w14:paraId="7F9AEC4F" w14:textId="77777777" w:rsidR="00983125" w:rsidRPr="00141CF7" w:rsidRDefault="00000000" w:rsidP="00141CF7">
      <w:pPr>
        <w:pStyle w:val="David"/>
        <w:ind w:left="720" w:hanging="720"/>
        <w:rPr>
          <w:rFonts w:ascii="David" w:hAnsi="David"/>
          <w:sz w:val="28"/>
          <w:szCs w:val="28"/>
          <w:rtl/>
        </w:rPr>
      </w:pPr>
      <w:r>
        <w:rPr>
          <w:rFonts w:ascii="David" w:hAnsi="David"/>
          <w:sz w:val="28"/>
          <w:szCs w:val="28"/>
          <w:rtl/>
        </w:rPr>
        <w:t>10.</w:t>
      </w:r>
      <w:r>
        <w:rPr>
          <w:rFonts w:ascii="David" w:hAnsi="David"/>
          <w:sz w:val="28"/>
          <w:szCs w:val="28"/>
          <w:rtl/>
        </w:rPr>
        <w:tab/>
      </w:r>
      <w:r w:rsidRPr="00141CF7">
        <w:rPr>
          <w:rFonts w:ascii="David" w:hAnsi="David"/>
          <w:sz w:val="28"/>
          <w:szCs w:val="28"/>
          <w:rtl/>
        </w:rPr>
        <w:t xml:space="preserve">לאחר ששקלתי בכובד ראש את עמדות הצדדים אין לי אלה לקבל את עמדת המדינה </w:t>
      </w:r>
      <w:r w:rsidRPr="00141CF7">
        <w:rPr>
          <w:rFonts w:ascii="David" w:hAnsi="David"/>
          <w:sz w:val="28"/>
          <w:szCs w:val="28"/>
          <w:u w:val="single"/>
          <w:rtl/>
        </w:rPr>
        <w:t>ולברך עליה</w:t>
      </w:r>
      <w:r w:rsidRPr="00141CF7">
        <w:rPr>
          <w:rFonts w:ascii="David" w:hAnsi="David"/>
          <w:sz w:val="28"/>
          <w:szCs w:val="28"/>
          <w:rtl/>
        </w:rPr>
        <w:t xml:space="preserve">. </w:t>
      </w:r>
    </w:p>
    <w:p w14:paraId="75688171" w14:textId="77777777" w:rsidR="00983125" w:rsidRPr="00141CF7" w:rsidRDefault="00983125" w:rsidP="00141CF7">
      <w:pPr>
        <w:pStyle w:val="David"/>
        <w:rPr>
          <w:rFonts w:ascii="David" w:hAnsi="David"/>
          <w:sz w:val="28"/>
          <w:szCs w:val="28"/>
          <w:rtl/>
        </w:rPr>
      </w:pPr>
    </w:p>
    <w:p w14:paraId="453AB7DF" w14:textId="77777777" w:rsidR="00983125" w:rsidRDefault="00000000" w:rsidP="00141CF7">
      <w:pPr>
        <w:pStyle w:val="David"/>
        <w:ind w:left="720" w:hanging="720"/>
        <w:rPr>
          <w:rFonts w:ascii="David" w:hAnsi="David"/>
          <w:sz w:val="28"/>
          <w:szCs w:val="28"/>
          <w:rtl/>
        </w:rPr>
      </w:pPr>
      <w:r>
        <w:rPr>
          <w:rFonts w:ascii="David" w:hAnsi="David"/>
          <w:sz w:val="28"/>
          <w:szCs w:val="28"/>
          <w:rtl/>
        </w:rPr>
        <w:t>11.</w:t>
      </w:r>
      <w:r>
        <w:rPr>
          <w:rFonts w:ascii="David" w:hAnsi="David"/>
          <w:sz w:val="28"/>
          <w:szCs w:val="28"/>
          <w:rtl/>
        </w:rPr>
        <w:tab/>
      </w:r>
      <w:r w:rsidRPr="00141CF7">
        <w:rPr>
          <w:rFonts w:ascii="David" w:hAnsi="David"/>
          <w:sz w:val="28"/>
          <w:szCs w:val="28"/>
          <w:rtl/>
        </w:rPr>
        <w:t xml:space="preserve">הלכה למעשה, המדינה מסכימה להחיל את הוראות </w:t>
      </w:r>
      <w:hyperlink r:id="rId16" w:history="1">
        <w:r w:rsidR="008C77F8" w:rsidRPr="008C77F8">
          <w:rPr>
            <w:rFonts w:ascii="David" w:hAnsi="David"/>
            <w:color w:val="0000FF"/>
            <w:sz w:val="28"/>
            <w:szCs w:val="28"/>
            <w:u w:val="single"/>
            <w:rtl/>
          </w:rPr>
          <w:t>חוק עבודת נשים</w:t>
        </w:r>
      </w:hyperlink>
      <w:r w:rsidRPr="00141CF7">
        <w:rPr>
          <w:rFonts w:ascii="David" w:hAnsi="David"/>
          <w:sz w:val="28"/>
          <w:szCs w:val="28"/>
          <w:rtl/>
        </w:rPr>
        <w:t xml:space="preserve"> גם במקרה שבו ההורה המיועד מבצע הליך פונדקאות בחו"ל. אבהיר כי לטעמי, עמדת המדינה עולה בקנה אחד עם עקרונות השיוויון והצדק בהתאם לעקרונות חוק יסוד כבוד האדם וחירותו התשנ"ב – 1992. </w:t>
      </w:r>
    </w:p>
    <w:p w14:paraId="78ACCE89" w14:textId="77777777" w:rsidR="00983125" w:rsidRDefault="00983125" w:rsidP="00141CF7">
      <w:pPr>
        <w:pStyle w:val="David"/>
        <w:ind w:left="720" w:hanging="720"/>
        <w:rPr>
          <w:rFonts w:ascii="David" w:hAnsi="David"/>
          <w:sz w:val="28"/>
          <w:szCs w:val="28"/>
          <w:rtl/>
        </w:rPr>
      </w:pPr>
    </w:p>
    <w:p w14:paraId="187C4686" w14:textId="77777777" w:rsidR="00983125" w:rsidRDefault="00000000" w:rsidP="00141CF7">
      <w:pPr>
        <w:pStyle w:val="David"/>
        <w:ind w:left="720" w:hanging="720"/>
        <w:rPr>
          <w:rFonts w:ascii="David" w:hAnsi="David"/>
          <w:sz w:val="28"/>
          <w:szCs w:val="28"/>
          <w:rtl/>
        </w:rPr>
      </w:pPr>
      <w:r>
        <w:rPr>
          <w:rFonts w:ascii="David" w:hAnsi="David"/>
          <w:sz w:val="28"/>
          <w:szCs w:val="28"/>
          <w:rtl/>
        </w:rPr>
        <w:t>12.</w:t>
      </w:r>
      <w:r>
        <w:rPr>
          <w:rFonts w:ascii="David" w:hAnsi="David"/>
          <w:sz w:val="28"/>
          <w:szCs w:val="28"/>
          <w:rtl/>
        </w:rPr>
        <w:tab/>
      </w:r>
      <w:r w:rsidRPr="00141CF7">
        <w:rPr>
          <w:rFonts w:ascii="David" w:hAnsi="David"/>
          <w:sz w:val="28"/>
          <w:szCs w:val="28"/>
          <w:rtl/>
        </w:rPr>
        <w:t xml:space="preserve">אזכיר, כי </w:t>
      </w:r>
      <w:hyperlink r:id="rId17" w:history="1">
        <w:r w:rsidR="008C77F8" w:rsidRPr="008C77F8">
          <w:rPr>
            <w:rFonts w:ascii="David" w:hAnsi="David"/>
            <w:color w:val="0000FF"/>
            <w:sz w:val="28"/>
            <w:szCs w:val="28"/>
            <w:u w:val="single"/>
            <w:rtl/>
          </w:rPr>
          <w:t>חוק עבודת נשים</w:t>
        </w:r>
      </w:hyperlink>
      <w:r w:rsidRPr="00141CF7">
        <w:rPr>
          <w:rFonts w:ascii="David" w:hAnsi="David"/>
          <w:sz w:val="28"/>
          <w:szCs w:val="28"/>
          <w:rtl/>
        </w:rPr>
        <w:t xml:space="preserve"> נועד בראש ובראשונה לשם שמירה על זכויות נשים במסגרת יחסי עבודה ובמקביל לכך התגברה גם ההבנה שגם גברים זכאים להגנות הקבועות בחוק עבודת נשים (כך למשל זכאות לצאת לחופשת לידה ואף להגנות הקיימות בתקופת היריון, טיפולי פוריות וכו').</w:t>
      </w:r>
    </w:p>
    <w:p w14:paraId="72AA33C1" w14:textId="77777777" w:rsidR="00983125" w:rsidRDefault="00983125" w:rsidP="00141CF7">
      <w:pPr>
        <w:pStyle w:val="David"/>
        <w:ind w:left="720" w:hanging="720"/>
        <w:rPr>
          <w:rFonts w:ascii="David" w:hAnsi="David"/>
          <w:sz w:val="28"/>
          <w:szCs w:val="28"/>
          <w:rtl/>
        </w:rPr>
      </w:pPr>
    </w:p>
    <w:p w14:paraId="06907258" w14:textId="77777777" w:rsidR="00983125" w:rsidRDefault="00000000" w:rsidP="00D92855">
      <w:pPr>
        <w:pStyle w:val="David"/>
        <w:ind w:left="720" w:hanging="720"/>
        <w:rPr>
          <w:rFonts w:ascii="David" w:hAnsi="David"/>
          <w:sz w:val="28"/>
          <w:szCs w:val="28"/>
          <w:rtl/>
        </w:rPr>
      </w:pPr>
      <w:r>
        <w:rPr>
          <w:rFonts w:ascii="David" w:hAnsi="David"/>
          <w:sz w:val="28"/>
          <w:szCs w:val="28"/>
          <w:rtl/>
        </w:rPr>
        <w:t>13.</w:t>
      </w:r>
      <w:r>
        <w:rPr>
          <w:rFonts w:ascii="David" w:hAnsi="David"/>
          <w:sz w:val="28"/>
          <w:szCs w:val="28"/>
          <w:rtl/>
        </w:rPr>
        <w:tab/>
      </w:r>
      <w:r w:rsidRPr="00141CF7">
        <w:rPr>
          <w:rFonts w:ascii="David" w:hAnsi="David"/>
          <w:sz w:val="28"/>
          <w:szCs w:val="28"/>
          <w:rtl/>
        </w:rPr>
        <w:t xml:space="preserve">בנסיבות אלה ובשים לב להתפתחות החברה הישראלית אשר מקדמת ערכי שיוויון, אכן יש מקום להרחיב – כעמדת המדינה - את הוראות </w:t>
      </w:r>
      <w:hyperlink r:id="rId18" w:history="1">
        <w:r w:rsidR="008C77F8" w:rsidRPr="008C77F8">
          <w:rPr>
            <w:rFonts w:ascii="David" w:hAnsi="David"/>
            <w:color w:val="0000FF"/>
            <w:sz w:val="28"/>
            <w:szCs w:val="28"/>
            <w:u w:val="single"/>
            <w:rtl/>
          </w:rPr>
          <w:t>חוק עבודת נשים</w:t>
        </w:r>
      </w:hyperlink>
      <w:r w:rsidRPr="00141CF7">
        <w:rPr>
          <w:rFonts w:ascii="David" w:hAnsi="David"/>
          <w:sz w:val="28"/>
          <w:szCs w:val="28"/>
          <w:rtl/>
        </w:rPr>
        <w:t xml:space="preserve"> גם במקרה שבו ההורה המיועד מבצע הליך פונדקאות בחו"ל. </w:t>
      </w:r>
    </w:p>
    <w:p w14:paraId="6E7F5DED" w14:textId="77777777" w:rsidR="00983125" w:rsidRDefault="00983125" w:rsidP="00D92855">
      <w:pPr>
        <w:pStyle w:val="David"/>
        <w:ind w:left="720" w:hanging="720"/>
        <w:rPr>
          <w:rFonts w:ascii="David" w:hAnsi="David"/>
          <w:sz w:val="28"/>
          <w:szCs w:val="28"/>
          <w:rtl/>
        </w:rPr>
      </w:pPr>
    </w:p>
    <w:p w14:paraId="274343A3" w14:textId="77777777" w:rsidR="00983125" w:rsidRDefault="00000000" w:rsidP="00D83DCD">
      <w:pPr>
        <w:pStyle w:val="David"/>
        <w:ind w:left="720" w:hanging="720"/>
        <w:rPr>
          <w:rFonts w:ascii="David" w:hAnsi="David"/>
          <w:sz w:val="28"/>
          <w:szCs w:val="28"/>
          <w:rtl/>
        </w:rPr>
      </w:pPr>
      <w:r>
        <w:rPr>
          <w:rFonts w:ascii="David" w:hAnsi="David"/>
          <w:sz w:val="28"/>
          <w:szCs w:val="28"/>
          <w:rtl/>
        </w:rPr>
        <w:t>14.</w:t>
      </w:r>
      <w:r>
        <w:rPr>
          <w:rFonts w:ascii="David" w:hAnsi="David"/>
          <w:sz w:val="28"/>
          <w:szCs w:val="28"/>
          <w:rtl/>
        </w:rPr>
        <w:tab/>
        <w:t xml:space="preserve">נשאלת השאלה האם יש מקום ליישם את המדיניות החדשה גם במקרה של המערערים בתיק זה? ולטעמי התשובה היא בהחלט כן. שהרי עניינם של המערערים הוביל לשינוי דין קיים ויש לאפשר למערערים "להנות" מהפרשנות החדשה שנוקטת המדינה בהתייחס לתחולת </w:t>
      </w:r>
      <w:hyperlink r:id="rId19" w:history="1">
        <w:r w:rsidR="008C77F8" w:rsidRPr="008C77F8">
          <w:rPr>
            <w:rFonts w:ascii="David" w:hAnsi="David"/>
            <w:color w:val="0000FF"/>
            <w:sz w:val="28"/>
            <w:szCs w:val="28"/>
            <w:u w:val="single"/>
            <w:rtl/>
          </w:rPr>
          <w:t>חוק עבודת נשים</w:t>
        </w:r>
      </w:hyperlink>
      <w:r>
        <w:rPr>
          <w:rFonts w:ascii="David" w:hAnsi="David"/>
          <w:sz w:val="28"/>
          <w:szCs w:val="28"/>
          <w:rtl/>
        </w:rPr>
        <w:t xml:space="preserve"> על הליך פונדקאות שמבוצע בחו"ל.</w:t>
      </w:r>
    </w:p>
    <w:p w14:paraId="5A86857A" w14:textId="77777777" w:rsidR="00983125" w:rsidRDefault="00983125" w:rsidP="00D92855">
      <w:pPr>
        <w:pStyle w:val="David"/>
        <w:ind w:left="720" w:hanging="720"/>
        <w:rPr>
          <w:rFonts w:ascii="David" w:hAnsi="David"/>
          <w:sz w:val="28"/>
          <w:szCs w:val="28"/>
          <w:rtl/>
        </w:rPr>
      </w:pPr>
    </w:p>
    <w:p w14:paraId="75BB7B2C" w14:textId="77777777" w:rsidR="00983125" w:rsidRDefault="00000000" w:rsidP="00D83DCD">
      <w:pPr>
        <w:pStyle w:val="David"/>
        <w:ind w:left="720" w:hanging="720"/>
        <w:rPr>
          <w:rFonts w:ascii="David" w:hAnsi="David"/>
          <w:sz w:val="28"/>
          <w:szCs w:val="28"/>
          <w:rtl/>
        </w:rPr>
      </w:pPr>
      <w:r>
        <w:rPr>
          <w:rFonts w:ascii="David" w:hAnsi="David"/>
          <w:sz w:val="28"/>
          <w:szCs w:val="28"/>
          <w:rtl/>
        </w:rPr>
        <w:t>15.</w:t>
      </w:r>
      <w:r>
        <w:rPr>
          <w:rFonts w:ascii="David" w:hAnsi="David"/>
          <w:sz w:val="28"/>
          <w:szCs w:val="28"/>
          <w:rtl/>
        </w:rPr>
        <w:tab/>
        <w:t xml:space="preserve">בנסיבות אלה, </w:t>
      </w:r>
      <w:r w:rsidRPr="00141CF7">
        <w:rPr>
          <w:rFonts w:ascii="David" w:hAnsi="David"/>
          <w:sz w:val="28"/>
          <w:szCs w:val="28"/>
          <w:rtl/>
        </w:rPr>
        <w:t>מאחר שעניינם של המערערים כלל לא נדון אצל הממונה (כאמור, בקשתם נדחתה מהטעם שאין תחולה ל</w:t>
      </w:r>
      <w:hyperlink r:id="rId20" w:history="1">
        <w:r w:rsidR="008C77F8" w:rsidRPr="008C77F8">
          <w:rPr>
            <w:rFonts w:ascii="David" w:hAnsi="David"/>
            <w:color w:val="0000FF"/>
            <w:sz w:val="28"/>
            <w:szCs w:val="28"/>
            <w:u w:val="single"/>
            <w:rtl/>
          </w:rPr>
          <w:t>חוק עבודת נשים</w:t>
        </w:r>
      </w:hyperlink>
      <w:r w:rsidRPr="00141CF7">
        <w:rPr>
          <w:rFonts w:ascii="David" w:hAnsi="David"/>
          <w:sz w:val="28"/>
          <w:szCs w:val="28"/>
          <w:rtl/>
        </w:rPr>
        <w:t xml:space="preserve"> במקרה של הליך פונדקאות המבוצע בחו"ל), אני קובע שעניינם של המערערים יוחזר לדיון לגופו של עניין אצל הממונה אשר תשקול האם להתיר את פיטוריהם כן או לאו.</w:t>
      </w:r>
      <w:r>
        <w:rPr>
          <w:rFonts w:ascii="David" w:hAnsi="David"/>
          <w:sz w:val="28"/>
          <w:szCs w:val="28"/>
          <w:rtl/>
        </w:rPr>
        <w:t xml:space="preserve"> עמדת המעסיקים תשמע כמובן בפני הממונה.</w:t>
      </w:r>
    </w:p>
    <w:p w14:paraId="34714FBB" w14:textId="77777777" w:rsidR="00983125" w:rsidRPr="00141CF7" w:rsidRDefault="00983125" w:rsidP="00141CF7">
      <w:pPr>
        <w:pStyle w:val="David"/>
        <w:rPr>
          <w:rFonts w:ascii="David" w:hAnsi="David"/>
          <w:sz w:val="28"/>
          <w:szCs w:val="28"/>
          <w:rtl/>
        </w:rPr>
      </w:pPr>
    </w:p>
    <w:p w14:paraId="7A0C7F70" w14:textId="77777777" w:rsidR="00983125" w:rsidRPr="00141CF7" w:rsidRDefault="00000000" w:rsidP="00141CF7">
      <w:pPr>
        <w:pStyle w:val="David"/>
        <w:rPr>
          <w:rFonts w:ascii="David" w:hAnsi="David"/>
          <w:sz w:val="28"/>
          <w:szCs w:val="28"/>
          <w:rtl/>
        </w:rPr>
      </w:pPr>
      <w:r w:rsidRPr="00141CF7">
        <w:rPr>
          <w:rFonts w:ascii="David" w:hAnsi="David"/>
          <w:b/>
          <w:bCs/>
          <w:sz w:val="28"/>
          <w:szCs w:val="28"/>
          <w:u w:val="single"/>
          <w:rtl/>
        </w:rPr>
        <w:t>סוף דבר</w:t>
      </w:r>
      <w:r w:rsidRPr="00141CF7">
        <w:rPr>
          <w:rFonts w:ascii="David" w:hAnsi="David"/>
          <w:sz w:val="28"/>
          <w:szCs w:val="28"/>
          <w:rtl/>
        </w:rPr>
        <w:t xml:space="preserve">: </w:t>
      </w:r>
    </w:p>
    <w:p w14:paraId="4C81E8F8" w14:textId="77777777" w:rsidR="00983125" w:rsidRPr="00141CF7" w:rsidRDefault="00983125" w:rsidP="00141CF7">
      <w:pPr>
        <w:pStyle w:val="David"/>
        <w:rPr>
          <w:rFonts w:ascii="David" w:hAnsi="David"/>
          <w:b/>
          <w:bCs/>
          <w:sz w:val="28"/>
          <w:szCs w:val="28"/>
          <w:u w:val="single"/>
          <w:rtl/>
        </w:rPr>
      </w:pPr>
    </w:p>
    <w:p w14:paraId="2ED3408C" w14:textId="77777777" w:rsidR="00983125" w:rsidRDefault="00000000" w:rsidP="00D92855">
      <w:pPr>
        <w:pStyle w:val="David"/>
        <w:ind w:left="720" w:hanging="720"/>
        <w:rPr>
          <w:rFonts w:ascii="David" w:hAnsi="David"/>
          <w:sz w:val="28"/>
          <w:szCs w:val="28"/>
          <w:rtl/>
        </w:rPr>
      </w:pPr>
      <w:r>
        <w:rPr>
          <w:rFonts w:ascii="David" w:hAnsi="David"/>
          <w:sz w:val="28"/>
          <w:szCs w:val="28"/>
          <w:rtl/>
        </w:rPr>
        <w:t>16.</w:t>
      </w:r>
      <w:r>
        <w:rPr>
          <w:rFonts w:ascii="David" w:hAnsi="David"/>
          <w:sz w:val="28"/>
          <w:szCs w:val="28"/>
          <w:rtl/>
        </w:rPr>
        <w:tab/>
      </w:r>
      <w:hyperlink r:id="rId21" w:history="1">
        <w:r w:rsidR="008C77F8" w:rsidRPr="008C77F8">
          <w:rPr>
            <w:rFonts w:ascii="David" w:hAnsi="David"/>
            <w:b/>
            <w:bCs/>
            <w:color w:val="0000FF"/>
            <w:sz w:val="28"/>
            <w:szCs w:val="28"/>
            <w:u w:val="single"/>
            <w:rtl/>
          </w:rPr>
          <w:t>חוק עבודת נשים</w:t>
        </w:r>
      </w:hyperlink>
      <w:r w:rsidRPr="00141CF7">
        <w:rPr>
          <w:rFonts w:ascii="David" w:hAnsi="David"/>
          <w:b/>
          <w:bCs/>
          <w:sz w:val="28"/>
          <w:szCs w:val="28"/>
          <w:u w:val="single"/>
          <w:rtl/>
        </w:rPr>
        <w:t xml:space="preserve"> חל גם במקרה שבו הורה מיועד מבצע הליך של פונדקאות בחו"ל.</w:t>
      </w:r>
      <w:r w:rsidRPr="00141CF7">
        <w:rPr>
          <w:rFonts w:ascii="David" w:hAnsi="David"/>
          <w:sz w:val="28"/>
          <w:szCs w:val="28"/>
          <w:rtl/>
        </w:rPr>
        <w:t xml:space="preserve"> מאחר שמדובר בקביעה שיש בה שינוי של מדיניות קיימת על המדינה להיערך היערכות מתאימה לשינוי המדיניות כאמור ויידוע המגזר העסקי והציבור בחודשים הקרובים.</w:t>
      </w:r>
    </w:p>
    <w:p w14:paraId="795FF527" w14:textId="77777777" w:rsidR="00983125" w:rsidRDefault="00983125" w:rsidP="00D92855">
      <w:pPr>
        <w:pStyle w:val="David"/>
        <w:ind w:left="720" w:hanging="720"/>
        <w:rPr>
          <w:rFonts w:ascii="David" w:hAnsi="David"/>
          <w:sz w:val="28"/>
          <w:szCs w:val="28"/>
          <w:rtl/>
        </w:rPr>
      </w:pPr>
    </w:p>
    <w:p w14:paraId="714CBF25" w14:textId="77777777" w:rsidR="00983125" w:rsidRDefault="00000000" w:rsidP="00AC1D14">
      <w:pPr>
        <w:pStyle w:val="David"/>
        <w:ind w:left="720" w:hanging="720"/>
        <w:rPr>
          <w:rFonts w:ascii="David" w:hAnsi="David"/>
          <w:sz w:val="28"/>
          <w:szCs w:val="28"/>
          <w:rtl/>
        </w:rPr>
      </w:pPr>
      <w:r>
        <w:rPr>
          <w:rFonts w:ascii="David" w:hAnsi="David"/>
          <w:sz w:val="28"/>
          <w:szCs w:val="28"/>
          <w:rtl/>
        </w:rPr>
        <w:t>17.</w:t>
      </w:r>
      <w:r>
        <w:rPr>
          <w:rFonts w:ascii="David" w:hAnsi="David"/>
          <w:sz w:val="28"/>
          <w:szCs w:val="28"/>
          <w:rtl/>
        </w:rPr>
        <w:tab/>
      </w:r>
      <w:r w:rsidRPr="00141CF7">
        <w:rPr>
          <w:rFonts w:ascii="David" w:hAnsi="David"/>
          <w:sz w:val="28"/>
          <w:szCs w:val="28"/>
          <w:rtl/>
        </w:rPr>
        <w:t>עניינם של המערערים יוחזר לדיון בפני הממונה אשר תדון לגופו של עניין בבקשת המעסיקים לפטרם.</w:t>
      </w:r>
      <w:r w:rsidRPr="00AC1D14">
        <w:rPr>
          <w:rFonts w:ascii="David" w:hAnsi="David"/>
          <w:sz w:val="28"/>
          <w:szCs w:val="28"/>
          <w:rtl/>
        </w:rPr>
        <w:t xml:space="preserve"> </w:t>
      </w:r>
    </w:p>
    <w:p w14:paraId="284DD086" w14:textId="77777777" w:rsidR="00983125" w:rsidRDefault="00983125" w:rsidP="00D92855">
      <w:pPr>
        <w:pStyle w:val="David"/>
        <w:ind w:left="720" w:hanging="720"/>
        <w:rPr>
          <w:rFonts w:ascii="David" w:hAnsi="David"/>
          <w:sz w:val="28"/>
          <w:szCs w:val="28"/>
          <w:rtl/>
        </w:rPr>
      </w:pPr>
    </w:p>
    <w:p w14:paraId="4C4575AD" w14:textId="77777777" w:rsidR="00983125" w:rsidRDefault="00983125" w:rsidP="00D92855">
      <w:pPr>
        <w:pStyle w:val="David"/>
        <w:ind w:left="720" w:hanging="720"/>
        <w:rPr>
          <w:rFonts w:ascii="David" w:hAnsi="David"/>
          <w:sz w:val="28"/>
          <w:szCs w:val="28"/>
          <w:rtl/>
        </w:rPr>
      </w:pPr>
    </w:p>
    <w:p w14:paraId="1FC05540" w14:textId="77777777" w:rsidR="00983125" w:rsidRDefault="00000000" w:rsidP="00AC1D14">
      <w:pPr>
        <w:pStyle w:val="David"/>
        <w:ind w:left="720" w:hanging="720"/>
        <w:rPr>
          <w:rFonts w:ascii="David" w:hAnsi="David"/>
          <w:sz w:val="28"/>
          <w:szCs w:val="28"/>
          <w:rtl/>
        </w:rPr>
      </w:pPr>
      <w:r>
        <w:rPr>
          <w:rFonts w:ascii="David" w:hAnsi="David"/>
          <w:sz w:val="28"/>
          <w:szCs w:val="28"/>
          <w:rtl/>
        </w:rPr>
        <w:t>18.</w:t>
      </w:r>
      <w:r>
        <w:rPr>
          <w:rFonts w:ascii="David" w:hAnsi="David"/>
          <w:sz w:val="28"/>
          <w:szCs w:val="28"/>
          <w:rtl/>
        </w:rPr>
        <w:tab/>
      </w:r>
      <w:r w:rsidRPr="00141CF7">
        <w:rPr>
          <w:rFonts w:ascii="David" w:hAnsi="David"/>
          <w:sz w:val="28"/>
          <w:szCs w:val="28"/>
          <w:rtl/>
        </w:rPr>
        <w:t xml:space="preserve">בנסיבות  העניין, </w:t>
      </w:r>
      <w:r>
        <w:rPr>
          <w:rFonts w:ascii="David" w:hAnsi="David"/>
          <w:sz w:val="28"/>
          <w:szCs w:val="28"/>
          <w:rtl/>
        </w:rPr>
        <w:t xml:space="preserve">ובשים לב להתנהלותה הראוייה של המדינה אשר בחנה את הסוגיה העקרונית ומצאה לנכון לשנות את מדיניותה - </w:t>
      </w:r>
      <w:r w:rsidRPr="00141CF7">
        <w:rPr>
          <w:rFonts w:ascii="David" w:hAnsi="David"/>
          <w:sz w:val="28"/>
          <w:szCs w:val="28"/>
          <w:rtl/>
        </w:rPr>
        <w:t>אין צו להוצאות.</w:t>
      </w:r>
    </w:p>
    <w:p w14:paraId="30934534" w14:textId="77777777" w:rsidR="00983125" w:rsidRPr="00141CF7" w:rsidRDefault="00983125" w:rsidP="00D92855">
      <w:pPr>
        <w:pStyle w:val="David"/>
        <w:ind w:left="720" w:hanging="720"/>
        <w:rPr>
          <w:rFonts w:ascii="David" w:hAnsi="David"/>
          <w:sz w:val="28"/>
          <w:szCs w:val="28"/>
          <w:rtl/>
        </w:rPr>
      </w:pPr>
    </w:p>
    <w:p w14:paraId="1CD2A446" w14:textId="77777777" w:rsidR="00983125" w:rsidRPr="00D61F65" w:rsidRDefault="00983125" w:rsidP="00E213D6">
      <w:pPr>
        <w:spacing w:line="360" w:lineRule="auto"/>
        <w:jc w:val="both"/>
        <w:rPr>
          <w:rFonts w:ascii="Arial" w:hAnsi="Arial"/>
          <w:noProof w:val="0"/>
          <w:sz w:val="28"/>
          <w:szCs w:val="28"/>
          <w:rtl/>
        </w:rPr>
      </w:pPr>
    </w:p>
    <w:p w14:paraId="57F4D6BD" w14:textId="77777777" w:rsidR="00983125" w:rsidRPr="00D61F65" w:rsidRDefault="008C77F8" w:rsidP="00E213D6">
      <w:pPr>
        <w:spacing w:line="360" w:lineRule="auto"/>
        <w:jc w:val="both"/>
        <w:rPr>
          <w:rFonts w:ascii="Arial" w:hAnsi="Arial"/>
          <w:noProof w:val="0"/>
          <w:rtl/>
        </w:rPr>
      </w:pPr>
      <w:bookmarkStart w:id="6" w:name="Nitan"/>
      <w:r>
        <w:rPr>
          <w:rFonts w:ascii="Arial" w:hAnsi="Arial"/>
          <w:b/>
          <w:bCs/>
          <w:noProof w:val="0"/>
          <w:sz w:val="28"/>
          <w:szCs w:val="28"/>
          <w:rtl/>
        </w:rPr>
        <w:t xml:space="preserve">ניתן היום, כ"ג אדר ב' תשפ"ד, (02 אפריל 2024), בהעדר הצדדים ויישלח אליהם. </w:t>
      </w:r>
      <w:bookmarkEnd w:id="6"/>
    </w:p>
    <w:p w14:paraId="66DEEB2C" w14:textId="77777777" w:rsidR="00983125" w:rsidRPr="00D61F65" w:rsidRDefault="00983125" w:rsidP="00E213D6">
      <w:pPr>
        <w:spacing w:line="360" w:lineRule="auto"/>
        <w:ind w:left="3600" w:firstLine="720"/>
        <w:jc w:val="both"/>
      </w:pPr>
    </w:p>
    <w:p w14:paraId="10F0E103" w14:textId="77777777" w:rsidR="00983125" w:rsidRPr="00D61F65" w:rsidRDefault="00983125" w:rsidP="00E213D6">
      <w:pPr>
        <w:spacing w:line="360" w:lineRule="auto"/>
        <w:ind w:left="3600" w:firstLine="720"/>
        <w:jc w:val="both"/>
        <w:rPr>
          <w:rFonts w:ascii="Arial" w:hAnsi="Arial"/>
          <w:noProof w:val="0"/>
          <w:rtl/>
        </w:rPr>
      </w:pPr>
    </w:p>
    <w:p w14:paraId="03F4E465" w14:textId="77777777" w:rsidR="00983125" w:rsidRPr="002E0F57" w:rsidRDefault="002E0F57" w:rsidP="00E213D6">
      <w:pPr>
        <w:spacing w:line="360" w:lineRule="auto"/>
        <w:rPr>
          <w:noProof w:val="0"/>
          <w:color w:val="FFFFFF"/>
          <w:sz w:val="2"/>
          <w:szCs w:val="2"/>
          <w:rtl/>
        </w:rPr>
      </w:pPr>
      <w:r w:rsidRPr="002E0F57">
        <w:rPr>
          <w:noProof w:val="0"/>
          <w:color w:val="FFFFFF"/>
          <w:sz w:val="2"/>
          <w:szCs w:val="2"/>
          <w:rtl/>
        </w:rPr>
        <w:t>5129371</w:t>
      </w:r>
    </w:p>
    <w:p w14:paraId="64EAA1EC" w14:textId="77777777" w:rsidR="00983125" w:rsidRPr="002E0F57" w:rsidRDefault="002E0F57" w:rsidP="008C77F8">
      <w:pPr>
        <w:keepNext/>
        <w:spacing w:line="360" w:lineRule="auto"/>
        <w:rPr>
          <w:rFonts w:ascii="David" w:hAnsi="David"/>
          <w:noProof w:val="0"/>
          <w:color w:val="FFFFFF"/>
          <w:sz w:val="2"/>
          <w:szCs w:val="2"/>
          <w:rtl/>
        </w:rPr>
      </w:pPr>
      <w:r w:rsidRPr="002E0F57">
        <w:rPr>
          <w:rFonts w:ascii="David" w:hAnsi="David"/>
          <w:noProof w:val="0"/>
          <w:color w:val="FFFFFF"/>
          <w:sz w:val="2"/>
          <w:szCs w:val="2"/>
          <w:rtl/>
        </w:rPr>
        <w:t>54678313</w:t>
      </w:r>
    </w:p>
    <w:p w14:paraId="1852D386" w14:textId="77777777" w:rsidR="008C77F8" w:rsidRDefault="008C77F8" w:rsidP="008C77F8">
      <w:pPr>
        <w:spacing w:line="360" w:lineRule="auto"/>
        <w:rPr>
          <w:noProof w:val="0"/>
          <w:rtl/>
        </w:rPr>
      </w:pPr>
    </w:p>
    <w:p w14:paraId="17DC532F" w14:textId="4D17D7C7" w:rsidR="008C77F8" w:rsidRPr="008C77F8" w:rsidRDefault="008C77F8" w:rsidP="002E0F57">
      <w:pPr>
        <w:spacing w:line="360" w:lineRule="auto"/>
        <w:rPr>
          <w:noProof w:val="0"/>
          <w:color w:val="0000FF"/>
          <w:u w:val="single"/>
          <w:rtl/>
        </w:rPr>
      </w:pPr>
    </w:p>
    <w:sectPr w:rsidR="008C77F8" w:rsidRPr="008C77F8" w:rsidSect="00C91BA0">
      <w:headerReference w:type="even" r:id="rId22"/>
      <w:headerReference w:type="default" r:id="rId23"/>
      <w:footerReference w:type="even" r:id="rId24"/>
      <w:footerReference w:type="default" r:id="rId25"/>
      <w:headerReference w:type="first" r:id="rId26"/>
      <w:footerReference w:type="first" r:id="rId27"/>
      <w:pgSz w:w="11907" w:h="16840" w:code="9"/>
      <w:pgMar w:top="1701" w:right="1701" w:bottom="1134" w:left="1701" w:header="720" w:footer="737"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62789" w14:textId="77777777" w:rsidR="00C91BA0" w:rsidRDefault="00C91BA0">
      <w:r>
        <w:separator/>
      </w:r>
    </w:p>
  </w:endnote>
  <w:endnote w:type="continuationSeparator" w:id="0">
    <w:p w14:paraId="0D063BDF" w14:textId="77777777" w:rsidR="00C91BA0" w:rsidRDefault="00C9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CA670" w14:textId="77777777" w:rsidR="002E0F57" w:rsidRDefault="00000000" w:rsidP="002E0F57">
    <w:pPr>
      <w:pStyle w:val="a4"/>
      <w:jc w:val="center"/>
      <w:rPr>
        <w:rFonts w:ascii="FrankRuehl" w:hAnsi="FrankRuehl" w:cs="FrankRuehl"/>
        <w:rt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1</w:t>
    </w:r>
    <w:r>
      <w:rPr>
        <w:rFonts w:ascii="FrankRuehl" w:hAnsi="FrankRuehl" w:cs="FrankRuehl"/>
        <w:rtl/>
      </w:rPr>
      <w:fldChar w:fldCharType="end"/>
    </w:r>
  </w:p>
  <w:p w14:paraId="6BC9C909" w14:textId="1C23B8B3" w:rsidR="008C77F8" w:rsidRPr="002E0F57" w:rsidRDefault="002E3A73" w:rsidP="002E0F57">
    <w:pPr>
      <w:pStyle w:val="a4"/>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14:anchorId="6346F5D9" wp14:editId="29BEEA00">
          <wp:extent cx="552450" cy="2286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B2C7F" w14:textId="77777777" w:rsidR="002E0F57" w:rsidRDefault="00000000" w:rsidP="002E0F57">
    <w:pPr>
      <w:pStyle w:val="a4"/>
      <w:jc w:val="center"/>
      <w:rPr>
        <w:rStyle w:val="ab"/>
        <w:rFonts w:ascii="FrankRuehl" w:hAnsi="FrankRuehl" w:cs="FrankRuehl"/>
        <w:rtl/>
      </w:rPr>
    </w:pPr>
    <w:r>
      <w:rPr>
        <w:rStyle w:val="ab"/>
        <w:rFonts w:ascii="FrankRuehl" w:hAnsi="FrankRuehl" w:cs="FrankRuehl"/>
        <w:rtl/>
      </w:rPr>
      <w:fldChar w:fldCharType="begin"/>
    </w:r>
    <w:r>
      <w:rPr>
        <w:rStyle w:val="ab"/>
        <w:rFonts w:ascii="FrankRuehl" w:hAnsi="FrankRuehl" w:cs="FrankRuehl"/>
        <w:rtl/>
      </w:rPr>
      <w:instrText xml:space="preserve"> </w:instrText>
    </w:r>
    <w:r>
      <w:rPr>
        <w:rStyle w:val="ab"/>
        <w:rFonts w:ascii="FrankRuehl" w:hAnsi="FrankRuehl" w:cs="FrankRuehl" w:hint="cs"/>
      </w:rPr>
      <w:instrText>PAGE</w:instrText>
    </w:r>
    <w:r>
      <w:rPr>
        <w:rStyle w:val="ab"/>
        <w:rFonts w:ascii="FrankRuehl" w:hAnsi="FrankRuehl" w:cs="FrankRuehl" w:hint="cs"/>
        <w:rtl/>
      </w:rPr>
      <w:instrText xml:space="preserve">  \* </w:instrText>
    </w:r>
    <w:r>
      <w:rPr>
        <w:rStyle w:val="ab"/>
        <w:rFonts w:ascii="FrankRuehl" w:hAnsi="FrankRuehl" w:cs="FrankRuehl" w:hint="cs"/>
      </w:rPr>
      <w:instrText>MERGEFORMAT</w:instrText>
    </w:r>
    <w:r>
      <w:rPr>
        <w:rStyle w:val="ab"/>
        <w:rFonts w:ascii="FrankRuehl" w:hAnsi="FrankRuehl" w:cs="FrankRuehl"/>
        <w:rtl/>
      </w:rPr>
      <w:instrText xml:space="preserve"> </w:instrText>
    </w:r>
    <w:r>
      <w:rPr>
        <w:rStyle w:val="ab"/>
        <w:rFonts w:ascii="FrankRuehl" w:hAnsi="FrankRuehl" w:cs="FrankRuehl"/>
        <w:rtl/>
      </w:rPr>
      <w:fldChar w:fldCharType="separate"/>
    </w:r>
    <w:r w:rsidR="004E787E">
      <w:rPr>
        <w:rStyle w:val="ab"/>
        <w:rFonts w:ascii="FrankRuehl" w:hAnsi="FrankRuehl" w:cs="FrankRuehl"/>
        <w:rtl/>
      </w:rPr>
      <w:t>1</w:t>
    </w:r>
    <w:r>
      <w:rPr>
        <w:rStyle w:val="ab"/>
        <w:rFonts w:ascii="FrankRuehl" w:hAnsi="FrankRuehl" w:cs="FrankRuehl"/>
        <w:rtl/>
      </w:rPr>
      <w:fldChar w:fldCharType="end"/>
    </w:r>
  </w:p>
  <w:p w14:paraId="01A6C3AE" w14:textId="6C85338F" w:rsidR="00983125" w:rsidRPr="002E0F57" w:rsidRDefault="00983125" w:rsidP="002E0F57">
    <w:pPr>
      <w:pStyle w:val="a4"/>
      <w:pBdr>
        <w:top w:val="single" w:sz="4" w:space="1" w:color="auto"/>
        <w:between w:val="single" w:sz="4" w:space="0" w:color="auto"/>
      </w:pBdr>
      <w:spacing w:after="60"/>
      <w:jc w:val="center"/>
      <w:rPr>
        <w:rStyle w:val="ab"/>
        <w:rFonts w:ascii="FrankRuehl" w:hAnsi="FrankRuehl" w:cs="FrankRuehl"/>
        <w:color w:val="00000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8AC17" w14:textId="77777777" w:rsidR="002E3A73" w:rsidRDefault="002E3A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3A1FB" w14:textId="77777777" w:rsidR="00C91BA0" w:rsidRDefault="00C91BA0">
      <w:r>
        <w:separator/>
      </w:r>
    </w:p>
  </w:footnote>
  <w:footnote w:type="continuationSeparator" w:id="0">
    <w:p w14:paraId="3A4409E4" w14:textId="77777777" w:rsidR="00C91BA0" w:rsidRDefault="00C9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560F2" w14:textId="77777777" w:rsidR="008C77F8" w:rsidRPr="002E0F57" w:rsidRDefault="002E0F57" w:rsidP="002E0F57">
    <w:pPr>
      <w:pStyle w:val="a3"/>
      <w:pBdr>
        <w:bottom w:val="single" w:sz="4" w:space="1" w:color="auto"/>
      </w:pBdr>
      <w:tabs>
        <w:tab w:val="clear" w:pos="4153"/>
        <w:tab w:val="clear" w:pos="8306"/>
        <w:tab w:val="right" w:pos="8311"/>
      </w:tabs>
      <w:spacing w:line="220" w:lineRule="auto"/>
      <w:rPr>
        <w:rFonts w:ascii="David" w:hAnsi="David"/>
        <w:color w:val="000000"/>
        <w:sz w:val="22"/>
        <w:szCs w:val="22"/>
        <w:rtl/>
      </w:rPr>
    </w:pPr>
    <w:r>
      <w:rPr>
        <w:rFonts w:ascii="David" w:hAnsi="David"/>
        <w:color w:val="000000"/>
        <w:sz w:val="22"/>
        <w:szCs w:val="22"/>
        <w:rtl/>
      </w:rPr>
      <w:t>עלח (ת"א) 46377-05-23</w:t>
    </w:r>
    <w:r>
      <w:rPr>
        <w:rFonts w:ascii="David" w:hAnsi="David"/>
        <w:color w:val="000000"/>
        <w:sz w:val="22"/>
        <w:szCs w:val="22"/>
        <w:rtl/>
      </w:rPr>
      <w:tab/>
      <w:t xml:space="preserve"> עו"ד דותן פלג - מדינת ישראל הממונה על חוק עבודת נשים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B4541" w14:textId="77777777" w:rsidR="00983125" w:rsidRPr="002E0F57" w:rsidRDefault="002E0F57" w:rsidP="002E0F57">
    <w:pPr>
      <w:pStyle w:val="a3"/>
      <w:pBdr>
        <w:bottom w:val="single" w:sz="4" w:space="1" w:color="auto"/>
      </w:pBdr>
      <w:tabs>
        <w:tab w:val="clear" w:pos="4153"/>
        <w:tab w:val="clear" w:pos="8306"/>
        <w:tab w:val="right" w:pos="8311"/>
      </w:tabs>
      <w:spacing w:line="220" w:lineRule="auto"/>
      <w:rPr>
        <w:rFonts w:ascii="David" w:hAnsi="David"/>
        <w:color w:val="000000"/>
        <w:sz w:val="22"/>
        <w:szCs w:val="22"/>
        <w:rtl/>
      </w:rPr>
    </w:pPr>
    <w:r>
      <w:rPr>
        <w:rFonts w:ascii="David" w:hAnsi="David"/>
        <w:color w:val="000000"/>
        <w:sz w:val="22"/>
        <w:szCs w:val="22"/>
        <w:rtl/>
      </w:rPr>
      <w:t>עלח (ת"א) 46377-05-23</w:t>
    </w:r>
    <w:r>
      <w:rPr>
        <w:rFonts w:ascii="David" w:hAnsi="David"/>
        <w:color w:val="000000"/>
        <w:sz w:val="22"/>
        <w:szCs w:val="22"/>
        <w:rtl/>
      </w:rPr>
      <w:tab/>
      <w:t xml:space="preserve"> עו"ד דותן פלג - מדינת ישראל הממונה על חוק עבודת נשים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B8E39" w14:textId="77777777" w:rsidR="002E3A73" w:rsidRDefault="002E3A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seID" w:val="80263041"/>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he-IL&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AccessibilityRequired&amp;quot; type=&amp;quot;xs:boolean&amp;quot; default=&amp;quot;false&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element name=&amp;quot;IsElectronicallyMonitoredDetainee&amp;quot; type=&amp;quot;xs:boolean&amp;quot; minOccurs=&amp;quot;0&amp;quot; /&amp;gt;_x000d__x000a_                &amp;lt;xs:element name=&amp;quot;IsCasePredictedToAge&amp;quot; type=&amp;quot;xs:int&amp;quot; default=&amp;quot;0&amp;quot; minOccurs=&amp;quot;0&amp;quot; /&amp;gt;_x000d__x000a_                &amp;lt;xs:element name=&amp;quot;PendingWebSubmissionsQty&amp;quot; type=&amp;quot;xs:int&amp;quot; minOccurs=&amp;quot;0&amp;quot; /&amp;gt;_x000d__x000a_                &amp;lt;xs:element name=&amp;quot;PreviousSerialNumber&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80263041&amp;lt;/CaseID&amp;gt;_x000d__x000a_        &amp;lt;CaseMonth&amp;gt;5&amp;lt;/CaseMonth&amp;gt;_x000d__x000a_        &amp;lt;CaseYear&amp;gt;2023&amp;lt;/CaseYear&amp;gt;_x000d__x000a_        &amp;lt;CaseNumber&amp;gt;46377&amp;lt;/CaseNumber&amp;gt;_x000d__x000a_        &amp;lt;NumeratorGroupID&amp;gt;1&amp;lt;/NumeratorGroupID&amp;gt;_x000d__x000a_        &amp;lt;CaseName&amp;gt;ôìâ ð&amp;#39; îãéðú éùøàì åàç&amp;#39;&amp;lt;/CaseName&amp;gt;_x000d__x000a_        &amp;lt;CourtID&amp;gt;49&amp;lt;/CourtID&amp;gt;_x000d__x000a_        &amp;lt;CaseTypeID&amp;gt;10188&amp;lt;/CaseTypeID&amp;gt;_x000d__x000a_        &amp;lt;CaseInterestID&amp;gt;10304&amp;lt;/CaseInterestID&amp;gt;_x000d__x000a_        &amp;lt;CaseJudgeName&amp;gt;úåîø ñéìåøä&amp;lt;/CaseJudgeName&amp;gt;_x000d__x000a_        &amp;lt;CaseLinkTypeID&amp;gt;1&amp;lt;/CaseLinkTypeID&amp;gt;_x000d__x000a_        &amp;lt;ProcedureID&amp;gt;1&amp;lt;/ProcedureID&amp;gt;_x000d__x000a_        &amp;lt;CaseStatusID&amp;gt;1&amp;lt;/CaseStatusID&amp;gt;_x000d__x000a_        &amp;lt;ProceedingID&amp;gt;1&amp;lt;/ProceedingID&amp;gt;_x000d__x000a_        &amp;lt;IsCaseLinked&amp;gt;true&amp;lt;/IsCaseLinked&amp;gt;_x000d__x000a_        &amp;lt;PrivilegeID&amp;gt;1&amp;lt;/PrivilegeID&amp;gt;_x000d__x000a_        &amp;lt;IsAppealingCaseExist&amp;gt;false&amp;lt;/IsAppealingCaseExist&amp;gt;_x000d__x000a_        &amp;lt;CaseDisplayIdentifier&amp;gt;46377-05-23&amp;lt;/CaseDisplayIdentifier&amp;gt;_x000d__x000a_        &amp;lt;CaseTypeDesc&amp;gt;òì&amp;quot;ç&amp;lt;/CaseTypeDesc&amp;gt;_x000d__x000a_        &amp;lt;CourtDesc&amp;gt;àæåøé ìòáåãä úì àáéá - éôå&amp;lt;/CourtDesc&amp;gt;_x000d__x000a_        &amp;lt;CaseStageDesc&amp;gt;úé÷ àì÷èøåðé&amp;lt;/CaseStageDesc&amp;gt;_x000d__x000a_        &amp;lt;IsPendingExemptionDecision&amp;gt;false&amp;lt;/IsPendingExemptionDecision&amp;gt;_x000d__x000a_        &amp;lt;IsPendingEntitlementDecision&amp;gt;false&amp;lt;/IsPendingEntitlementDecision&amp;gt;_x000d__x000a_        &amp;lt;IsUnpaidFeeExist&amp;gt;false&amp;lt;/IsUnpaidFeeExist&amp;gt;_x000d__x000a_        &amp;lt;CasePreviousSessionDate&amp;gt;2024-04-02T14:00:00+03:00&amp;lt;/CasePreviousSessionDate&amp;gt;_x000d__x000a_        &amp;lt;CaseNextDeterminingTask&amp;gt;140&amp;lt;/CaseNextDeterminingTask&amp;gt;_x000d__x000a_        &amp;lt;TemporaryAidStatus /&amp;gt;_x000d__x000a_        &amp;lt;CaseOpenDate&amp;gt;2023-05-18T09:56:00+03:00&amp;lt;/CaseOpenDate&amp;gt;_x000d__x000a_        &amp;lt;PleaTypeID&amp;gt;6&amp;lt;/PleaTypeID&amp;gt;_x000d__x000a_        &amp;lt;CourtLevelID&amp;gt;5&amp;lt;/CourtLevelID&amp;gt;_x000d__x000a_        &amp;lt;CourtLevelCaseTypeInterestID&amp;gt;1124&amp;lt;/CourtLevelCaseTypeInterestID&amp;gt;_x000d__x000a_        &amp;lt;CaseJudgeFirstName&amp;gt;úåîø&amp;lt;/CaseJudgeFirstName&amp;gt;_x000d__x000a_        &amp;lt;CaseJudgeLastName&amp;gt;ñéìåøä&amp;lt;/CaseJudgeLastName&amp;gt;_x000d__x000a_        &amp;lt;JudicalPersonID&amp;gt;025151200@GOV.IL&amp;lt;/JudicalPersonID&amp;gt;_x000d__x000a_        &amp;lt;IsJudicalPanel&amp;gt;false&amp;lt;/IsJudicalPanel&amp;gt;_x000d__x000a_        &amp;lt;CourtDisplayName&amp;gt;áéú ãéï àæåøé ìòáåãä áúì àáéá -éôå&amp;lt;/CourtDisplayName&amp;gt;_x000d__x000a_        &amp;lt;IsAllStartDataCollected&amp;gt;true&amp;lt;/IsAllStartDataCollected&amp;gt;_x000d__x000a_        &amp;lt;IsMainCase&amp;gt;false&amp;lt;/IsMainCase&amp;gt;_x000d__x000a_        &amp;lt;isExistMinorSide&amp;gt;false&amp;lt;/isExistMinorSide&amp;gt;_x000d__x000a_        &amp;lt;isExistMinorWitness&amp;gt;false&amp;lt;/isExistMinorWitness&amp;gt;_x000d__x000a_        &amp;lt;CasePreviousSessionTypeID&amp;gt;5&amp;lt;/CasePreviousSessionTypeID&amp;gt;_x000d__x000a_        &amp;lt;IsAccessibilityRequired&amp;gt;false&amp;lt;/IsAccessibilityRequired&amp;gt;_x000d__x000a_        &amp;lt;IsDecisionTypeZaveElyon&amp;gt;false&amp;lt;/IsDecisionTypeZaveElyon&amp;gt;_x000d__x000a_        &amp;lt;IsFeePaid&amp;gt;true&amp;lt;/IsFeePaid&amp;gt;_x000d__x000a_        &amp;lt;IsExistPrisoner&amp;gt;false&amp;lt;/IsExistPrisoner&amp;gt;_x000d__x000a_        &amp;lt;IsExistDetainee&amp;gt;false&amp;lt;/IsExistDetainee&amp;gt;_x000d__x000a_        &amp;lt;IsDebitExist&amp;gt;false&amp;lt;/IsDebitExist&amp;gt;_x000d__x000a_        &amp;lt;IsExistSeizure&amp;gt;false&amp;lt;/IsExistSeizure&amp;gt;_x000d__x000a_        &amp;lt;IsExemptionExistInCase&amp;gt;false&amp;lt;/IsExemptionExistInCase&amp;gt;_x000d__x000a_        &amp;lt;IsDebitTransferedInCase&amp;gt;false&amp;lt;/IsDebitTransferedInCase&amp;gt;_x000d__x000a_        &amp;lt;IsElectronicallyMonitoredDetainee&amp;gt;false&amp;lt;/IsElectronicallyMonitoredDetainee&amp;gt;_x000d__x000a_        &amp;lt;IsCasePredictedToAge&amp;gt;0&amp;lt;/IsCasePredictedToAge&amp;gt;_x000d__x000a_        &amp;lt;PendingWebSubmissionsQty&amp;gt;0&amp;lt;/PendingWebSubmissionsQty&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80263041&amp;lt;/CaseID&amp;gt;_x000d__x000a_        &amp;lt;CaseMonth&amp;gt;5&amp;lt;/CaseMonth&amp;gt;_x000d__x000a_        &amp;lt;CaseYear&amp;gt;2023&amp;lt;/CaseYear&amp;gt;_x000d__x000a_        &amp;lt;CaseNumber&amp;gt;46377&amp;lt;/CaseNumber&amp;gt;_x000d__x000a_        &amp;lt;NumeratorGroupID&amp;gt;1&amp;lt;/NumeratorGroupID&amp;gt;_x000d__x000a_        &amp;lt;CaseName&amp;gt;ôìâ ð&amp;#39; îãéðú éùøàì åàç&amp;#39;&amp;lt;/CaseName&amp;gt;_x000d__x000a_        &amp;lt;CourtID&amp;gt;49&amp;lt;/CourtID&amp;gt;_x000d__x000a_        &amp;lt;CaseTypeID&amp;gt;10188&amp;lt;/CaseTypeID&amp;gt;_x000d__x000a_        &amp;lt;CaseInterestID&amp;gt;10304&amp;lt;/CaseInterestID&amp;gt;_x000d__x000a_        &amp;lt;CaseJudgeName&amp;gt;úåîø ñéìåøä&amp;lt;/CaseJudgeName&amp;gt;_x000d__x000a_        &amp;lt;CaseLinkTypeID&amp;gt;1&amp;lt;/CaseLinkTypeID&amp;gt;_x000d__x000a_        &amp;lt;ProcedureID&amp;gt;1&amp;lt;/ProcedureID&amp;gt;_x000d__x000a_        &amp;lt;CaseStatusID&amp;gt;1&amp;lt;/CaseStatusID&amp;gt;_x000d__x000a_        &amp;lt;ProceedingID&amp;gt;1&amp;lt;/ProceedingID&amp;gt;_x000d__x000a_        &amp;lt;IsCaseLinked&amp;gt;true&amp;lt;/IsCaseLinked&amp;gt;_x000d__x000a_        &amp;lt;PrivilegeID&amp;gt;1&amp;lt;/PrivilegeID&amp;gt;_x000d__x000a_        &amp;lt;IsAppealingCaseExist&amp;gt;false&amp;lt;/IsAppealingCaseExist&amp;gt;_x000d__x000a_        &amp;lt;CaseDisplayIdentifier&amp;gt;46377-05-23&amp;lt;/CaseDisplayIdentifier&amp;gt;_x000d__x000a_        &amp;lt;CaseTypeDesc&amp;gt;òì&amp;quot;ç&amp;lt;/CaseTypeDesc&amp;gt;_x000d__x000a_        &amp;lt;CourtDesc&amp;gt;àæåøé ìòáåãä úì àáéá - éôå&amp;lt;/CourtDesc&amp;gt;_x000d__x000a_        &amp;lt;CaseStageDesc&amp;gt;úé÷ àì÷èøåðé&amp;lt;/CaseStageDesc&amp;gt;_x000d__x000a_        &amp;lt;CaseNextDeterminingTask&amp;gt;140&amp;lt;/CaseNextDeterminingTask&amp;gt;_x000d__x000a_        &amp;lt;CaseOpenDate&amp;gt;2023-05-18T09:56:00+03:00&amp;lt;/CaseOpenDate&amp;gt;_x000d__x000a_        &amp;lt;PleaTypeID&amp;gt;6&amp;lt;/PleaTypeID&amp;gt;_x000d__x000a_        &amp;lt;CourtLevelID&amp;gt;5&amp;lt;/CourtLevelID&amp;gt;_x000d__x000a_        &amp;lt;CourtLevelCaseTypeInterestID&amp;gt;1124&amp;lt;/CourtLevelCaseTypeInterestID&amp;gt;_x000d__x000a_        &amp;lt;CaseJudgeFirstName&amp;gt;úåîø&amp;lt;/CaseJudgeFirstName&amp;gt;_x000d__x000a_        &amp;lt;CaseJudgeLastName&amp;gt;ñéìåøä&amp;lt;/CaseJudgeLastName&amp;gt;_x000d__x000a_        &amp;lt;JudicalPersonID&amp;gt;025151200@GOV.IL&amp;lt;/JudicalPersonID&amp;gt;_x000d__x000a_        &amp;lt;IsJudicalPanel&amp;gt;false&amp;lt;/IsJudicalPanel&amp;gt;_x000d__x000a_        &amp;lt;CourtDisplayName&amp;gt;áéú ãéï àæåøé ìòáåãä áúì àáéá -éôå&amp;lt;/CourtDisplayName&amp;gt;_x000d__x000a_        &amp;lt;IsAllStartDataCollected&amp;gt;true&amp;lt;/IsAllStartDataCollected&amp;gt;_x000d__x000a_        &amp;lt;IsMainCase&amp;gt;false&amp;lt;/IsMainCase&amp;gt;_x000d__x000a_        &amp;lt;IsAccessibilityRequired&amp;gt;false&amp;lt;/IsAccessibilityRequired&amp;gt;_x000d__x000a_        &amp;lt;IsCasePredictedToAge&amp;gt;0&amp;lt;/IsCasePredictedToAge&amp;gt;_x000d__x000a_        &amp;lt;PendingWebSubmissionsQty&amp;gt;0&amp;lt;/PendingWebSubmissionsQty&amp;gt;_x000d__x000a_      &amp;lt;/CasePresentationDataSet&amp;gt;_x000d__x000a_    &amp;lt;/diffgr:before&amp;gt;_x000d__x000a_  &amp;lt;/diffgr:diffgram&amp;gt;_x000d__x000a_&amp;lt;/CasePresentationDS&amp;gt;"/>
    <w:docVar w:name="CourtID" w:val="49"/>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TechnicalCancel&amp;quot; type=&amp;quot;xs:boolean&amp;quot; minOccurs=&amp;quot;0&amp;quot; /&amp;gt;_x000d__x000a_                &amp;lt;xs:element name=&amp;quot;IsPublishSmallCensorVersion&amp;quot; type=&amp;quot;xs:boolean&amp;quot; default=&amp;quot;false&amp;quot; minOccurs=&amp;quot;0&amp;quot; /&amp;gt;_x000d__x000a_                &amp;lt;xs:element name=&amp;quot;IsIDCPublished&amp;quot; type=&amp;quot;xs:boolean&amp;quot; default=&amp;quot;false&amp;quot; minOccurs=&amp;quot;0&amp;quot; /&amp;gt;_x000d__x000a_                &amp;lt;xs:element name=&amp;quot;SummaryVersionDocumentID&amp;quot; type=&amp;quot;xs:int&amp;quot; minOccurs=&amp;quot;0&amp;quot; /&amp;gt;_x000d__x000a_                &amp;lt;xs:element name=&amp;quot;IsIDCPublishedForSummary&amp;quot; type=&amp;quot;xs:boolean&amp;quot; default=&amp;quot;false&amp;quot; minOccurs=&amp;quot;0&amp;quot; /&amp;gt;_x000d__x000a_                &amp;lt;xs:element name=&amp;quot;DecisionNumberInCase&amp;quot; type=&amp;quot;xs:int&amp;quot; minOccurs=&amp;quot;0&amp;quot; /&amp;gt;_x000d__x000a_                &amp;lt;xs:element name=&amp;quot;DecisionNote&amp;quot; type=&amp;quot;xs:string&amp;quot; minOccurs=&amp;quot;0&amp;quot; /&amp;gt;_x000d__x000a_                &amp;lt;xs:element name=&amp;quot;DecisionMeetingDate&amp;quot; type=&amp;quot;xs:dateTime&amp;quot; minOccurs=&amp;quot;0&amp;quot; /&amp;gt;_x000d__x000a_                &amp;lt;xs:element name=&amp;quot;IsViewInSiteChosenVerdict&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element name=&amp;quot;ListOfProcessIds&amp;quot; type=&amp;quot;xs:string&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element name=&amp;quot;IsIDCPublished&amp;quot; type=&amp;quot;xs:boolean&amp;quot; default=&amp;quot;false&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StatusID&amp;gt;1&amp;lt;/DecisionStatusID&amp;gt;_x000d__x000a_        &amp;lt;DecisionStatusChangeDate&amp;gt;2024-04-02T16:29:45.6443731+03:00&amp;lt;/DecisionStatusChangeDate&amp;gt;_x000d__x000a_        &amp;lt;DecisionSignatureDate&amp;gt;2024-04-02T16:29:45.6443731+03:00&amp;lt;/DecisionSignatureDate&amp;gt;_x000d__x000a_        &amp;lt;DecisionSignatureUserID&amp;gt;025151200@GOV.IL&amp;lt;/DecisionSignatureUserID&amp;gt;_x000d__x000a_        &amp;lt;DecisionCreateDate&amp;gt;2024-04-02T16:29:45.6443731+03:00&amp;lt;/DecisionCreateDate&amp;gt;_x000d__x000a_        &amp;lt;DecisionChangeDate&amp;gt;2024-04-02T16:29:45.6443731+03:00&amp;lt;/DecisionChangeDate&amp;gt;_x000d__x000a_        &amp;lt;DecisionChangeUserID&amp;gt;025151200@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25151200@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25151200@GOV.IL&amp;lt;/DecisionCreationUserID&amp;gt;_x000d__x000a_        &amp;lt;NotificationTypeID&amp;gt;1&amp;lt;/NotificationTypeID&amp;gt;_x000d__x000a_        &amp;lt;IsDecisionInNote&amp;gt;false&amp;lt;/IsDecisionInNote&amp;gt;_x000d__x000a_        &amp;lt;IsDecisionUrgency&amp;gt;false&amp;lt;/IsDecisionUrgency&amp;gt;_x000d__x000a_        &amp;lt;IsPublishSmallCensorVersion&amp;gt;false&amp;lt;/IsPublishSmallCensorVersion&amp;gt;_x000d__x000a_        &amp;lt;IsIDCPublished&amp;gt;false&amp;lt;/IsIDCPublished&amp;gt;_x000d__x000a_        &amp;lt;IsIDCPublishedForSummary&amp;gt;false&amp;lt;/IsIDCPublishedForSummary&amp;gt;_x000d__x000a_        &amp;lt;DecisionNumberInCase&amp;gt;15&amp;lt;/DecisionNumberInCase&amp;gt;_x000d__x000a_      &amp;lt;/dt_Decision&amp;gt;_x000d__x000a_      &amp;lt;dt_DecisionCase diffgr:id=&amp;quot;dt_DecisionCase1&amp;quot; msdata:rowOrder=&amp;quot;0&amp;quot; diffgr:hasChanges=&amp;quot;inserted&amp;quot;&amp;gt;_x000d__x000a_        &amp;lt;DecisionID&amp;gt;0&amp;lt;/DecisionID&amp;gt;_x000d__x000a_        &amp;lt;CaseID&amp;gt;80263041&amp;lt;/CaseID&amp;gt;_x000d__x000a_        &amp;lt;IsOriginal&amp;gt;true&amp;lt;/IsOriginal&amp;gt;_x000d__x000a_        &amp;lt;IsDeleted&amp;gt;false&amp;lt;/IsDeleted&amp;gt;_x000d__x000a_      &amp;lt;/dt_DecisionCase&amp;gt;_x000d__x000a_    &amp;lt;/DecisionDS&amp;gt;_x000d__x000a_  &amp;lt;/diffgr:diffgram&amp;gt;_x000d__x000a_&amp;lt;/DecisionDS&amp;gt;"/>
    <w:docVar w:name="MyInfo" w:val="This document was extracted from Nevo's site"/>
    <w:docVar w:name="NGCS.TemplateCaseInterestID" w:val="10304"/>
    <w:docVar w:name="NGCS.TemplateCaseTypeID" w:val="10188"/>
    <w:docVar w:name="NGCS.TemplateCategoryID" w:val="80"/>
    <w:docVar w:name="NGCS.TemplateCourtID" w:val="49"/>
    <w:docVar w:name="NGCS.TemplateProceedingID" w:val="1"/>
    <w:docVar w:name="SelectedDocumentID" w:val="411375161"/>
    <w:docVar w:name="WordClientAssemblyName" w:val="NGCS.Decision.ClientWordBL"/>
    <w:docVar w:name="WordClientClassName" w:val="NGCS.Decision.ClientWordBL.DecisionClient"/>
  </w:docVars>
  <w:rsids>
    <w:rsidRoot w:val="00694556"/>
    <w:rsid w:val="00005C8B"/>
    <w:rsid w:val="000564AB"/>
    <w:rsid w:val="00057B7E"/>
    <w:rsid w:val="000F7716"/>
    <w:rsid w:val="00104C95"/>
    <w:rsid w:val="001067E3"/>
    <w:rsid w:val="001223F2"/>
    <w:rsid w:val="00141CF7"/>
    <w:rsid w:val="00141FBA"/>
    <w:rsid w:val="0014234E"/>
    <w:rsid w:val="001439B0"/>
    <w:rsid w:val="00177B8D"/>
    <w:rsid w:val="001B3BFF"/>
    <w:rsid w:val="001C4003"/>
    <w:rsid w:val="001F556E"/>
    <w:rsid w:val="00215408"/>
    <w:rsid w:val="0025187E"/>
    <w:rsid w:val="0025781B"/>
    <w:rsid w:val="00294936"/>
    <w:rsid w:val="002B07A6"/>
    <w:rsid w:val="002E0F57"/>
    <w:rsid w:val="002E3A73"/>
    <w:rsid w:val="00300104"/>
    <w:rsid w:val="003026D2"/>
    <w:rsid w:val="0032390E"/>
    <w:rsid w:val="003333A6"/>
    <w:rsid w:val="003A43C7"/>
    <w:rsid w:val="003E6EA9"/>
    <w:rsid w:val="003F20F4"/>
    <w:rsid w:val="004121E7"/>
    <w:rsid w:val="004C1983"/>
    <w:rsid w:val="004C65CD"/>
    <w:rsid w:val="004E6E3C"/>
    <w:rsid w:val="004E787E"/>
    <w:rsid w:val="00532775"/>
    <w:rsid w:val="00547DB7"/>
    <w:rsid w:val="00595260"/>
    <w:rsid w:val="005A3B90"/>
    <w:rsid w:val="00621052"/>
    <w:rsid w:val="00622BAA"/>
    <w:rsid w:val="00640841"/>
    <w:rsid w:val="00670EC2"/>
    <w:rsid w:val="00671BD5"/>
    <w:rsid w:val="0067435D"/>
    <w:rsid w:val="006805C1"/>
    <w:rsid w:val="00694556"/>
    <w:rsid w:val="006C53E1"/>
    <w:rsid w:val="006E1A53"/>
    <w:rsid w:val="006E2391"/>
    <w:rsid w:val="006F24C9"/>
    <w:rsid w:val="006F74A5"/>
    <w:rsid w:val="00745AD5"/>
    <w:rsid w:val="00746144"/>
    <w:rsid w:val="007C4F95"/>
    <w:rsid w:val="00820005"/>
    <w:rsid w:val="008A1EB4"/>
    <w:rsid w:val="008A2862"/>
    <w:rsid w:val="008A58D0"/>
    <w:rsid w:val="008C77F8"/>
    <w:rsid w:val="00903896"/>
    <w:rsid w:val="00905DC5"/>
    <w:rsid w:val="009520C0"/>
    <w:rsid w:val="00983125"/>
    <w:rsid w:val="009D0A05"/>
    <w:rsid w:val="009E2531"/>
    <w:rsid w:val="00A11BE1"/>
    <w:rsid w:val="00A16914"/>
    <w:rsid w:val="00A46EA5"/>
    <w:rsid w:val="00A5788A"/>
    <w:rsid w:val="00AA2D2C"/>
    <w:rsid w:val="00AC0722"/>
    <w:rsid w:val="00AC1D14"/>
    <w:rsid w:val="00AE0E75"/>
    <w:rsid w:val="00B3050A"/>
    <w:rsid w:val="00B37A4D"/>
    <w:rsid w:val="00B80CBD"/>
    <w:rsid w:val="00B878AE"/>
    <w:rsid w:val="00C1363E"/>
    <w:rsid w:val="00C2257A"/>
    <w:rsid w:val="00C67F64"/>
    <w:rsid w:val="00C91BA0"/>
    <w:rsid w:val="00CA4FDE"/>
    <w:rsid w:val="00D15585"/>
    <w:rsid w:val="00D23AEF"/>
    <w:rsid w:val="00D25CC8"/>
    <w:rsid w:val="00D26A01"/>
    <w:rsid w:val="00D53924"/>
    <w:rsid w:val="00D569A5"/>
    <w:rsid w:val="00D61F65"/>
    <w:rsid w:val="00D7527B"/>
    <w:rsid w:val="00D83DCD"/>
    <w:rsid w:val="00D92855"/>
    <w:rsid w:val="00D96D8C"/>
    <w:rsid w:val="00DB0FE2"/>
    <w:rsid w:val="00DB4391"/>
    <w:rsid w:val="00E213D6"/>
    <w:rsid w:val="00E522BC"/>
    <w:rsid w:val="00E54642"/>
    <w:rsid w:val="00E97908"/>
    <w:rsid w:val="00EB5CF5"/>
    <w:rsid w:val="00ED3C65"/>
    <w:rsid w:val="00F268DC"/>
    <w:rsid w:val="00F52DE4"/>
    <w:rsid w:val="00F642FD"/>
    <w:rsid w:val="00F83B48"/>
    <w:rsid w:val="00FA2893"/>
    <w:rsid w:val="00FE735B"/>
    <w:rsid w:val="00FF3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09EAC"/>
  <w15:docId w15:val="{C3C55FC9-B244-4EF8-91A4-3E11644A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locked/>
    <w:pPr>
      <w:bidi/>
    </w:pPr>
    <w:rPr>
      <w:rFonts w:cs="David"/>
      <w:noProof/>
      <w:sz w:val="24"/>
      <w:szCs w:val="24"/>
      <w:lang w:bidi="he-IL"/>
    </w:rPr>
  </w:style>
  <w:style w:type="paragraph" w:styleId="4">
    <w:name w:val="heading 4"/>
    <w:basedOn w:val="a"/>
    <w:next w:val="a"/>
    <w:qFormat/>
    <w:locked/>
    <w:pPr>
      <w:keepNext/>
      <w:ind w:left="5760" w:firstLine="720"/>
      <w:outlineLvl w:val="3"/>
    </w:pPr>
    <w:rPr>
      <w:rFonts w:cs="Narkisi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ocked/>
    <w:pPr>
      <w:tabs>
        <w:tab w:val="center" w:pos="4153"/>
        <w:tab w:val="right" w:pos="8306"/>
      </w:tabs>
    </w:pPr>
  </w:style>
  <w:style w:type="paragraph" w:styleId="a4">
    <w:name w:val="footer"/>
    <w:basedOn w:val="a"/>
    <w:locked/>
    <w:pPr>
      <w:tabs>
        <w:tab w:val="center" w:pos="4153"/>
        <w:tab w:val="right" w:pos="8306"/>
      </w:tabs>
    </w:pPr>
  </w:style>
  <w:style w:type="paragraph" w:customStyle="1" w:styleId="a5">
    <w:name w:val="סעיפים"/>
    <w:basedOn w:val="a"/>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locked/>
    <w:rPr>
      <w:rFonts w:cs="Times New Roman"/>
      <w:noProof w:val="0"/>
    </w:rPr>
  </w:style>
  <w:style w:type="character" w:styleId="a7">
    <w:name w:val="annotation reference"/>
    <w:semiHidden/>
    <w:locked/>
    <w:rPr>
      <w:sz w:val="16"/>
    </w:rPr>
  </w:style>
  <w:style w:type="paragraph" w:styleId="a8">
    <w:name w:val="Balloon Text"/>
    <w:basedOn w:val="a"/>
    <w:semiHidden/>
    <w:locked/>
    <w:rPr>
      <w:rFonts w:ascii="Tahoma" w:hAnsi="Tahoma" w:cs="Tahoma"/>
      <w:sz w:val="16"/>
      <w:szCs w:val="16"/>
    </w:rPr>
  </w:style>
  <w:style w:type="table" w:styleId="a9">
    <w:name w:val="Table Grid"/>
    <w:basedOn w:val="a1"/>
    <w:pPr>
      <w:bidi/>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locked/>
    <w:rPr>
      <w:rFonts w:cs="Times New Roman"/>
    </w:rPr>
  </w:style>
  <w:style w:type="character" w:styleId="ab">
    <w:name w:val="page number"/>
    <w:locked/>
    <w:rPr>
      <w:rFonts w:cs="Times New Roman"/>
    </w:rPr>
  </w:style>
  <w:style w:type="table" w:customStyle="1" w:styleId="1">
    <w:name w:val="טבלת רשת1"/>
    <w:rsid w:val="001C4003"/>
    <w:pPr>
      <w:jc w:val="right"/>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רשת טבלה1"/>
    <w:rsid w:val="00D61F65"/>
    <w:pPr>
      <w:jc w:val="right"/>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רשת טבלה2"/>
    <w:rsid w:val="00A11BE1"/>
    <w:pPr>
      <w:jc w:val="right"/>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טקסט מציין מיקום1"/>
    <w:semiHidden/>
    <w:rsid w:val="00A11BE1"/>
    <w:rPr>
      <w:color w:val="808080"/>
    </w:rPr>
  </w:style>
  <w:style w:type="paragraph" w:customStyle="1" w:styleId="David">
    <w:name w:val="סגנון (עברית ושפות אחרות) David מיושר לשני הצדדים מרווח בין שורות..."/>
    <w:basedOn w:val="a"/>
    <w:rsid w:val="00141CF7"/>
    <w:pPr>
      <w:spacing w:line="360" w:lineRule="auto"/>
      <w:jc w:val="both"/>
    </w:pPr>
    <w:rPr>
      <w:noProof w:val="0"/>
    </w:rPr>
  </w:style>
  <w:style w:type="paragraph" w:customStyle="1" w:styleId="12">
    <w:name w:val="פיסקת רשימה1"/>
    <w:basedOn w:val="a"/>
    <w:qFormat/>
    <w:rsid w:val="00141CF7"/>
    <w:pPr>
      <w:ind w:left="720"/>
      <w:contextualSpacing/>
    </w:pPr>
  </w:style>
  <w:style w:type="character" w:styleId="Hyperlink">
    <w:name w:val="Hyperlink"/>
    <w:locked/>
    <w:rsid w:val="008C7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nevo.co.il/law/74249" TargetMode="External"/><Relationship Id="rId13" Type="http://schemas.openxmlformats.org/officeDocument/2006/relationships/hyperlink" Target="http://www.nevo.co.il/law/74249/9.a" TargetMode="External"/><Relationship Id="rId18" Type="http://schemas.openxmlformats.org/officeDocument/2006/relationships/hyperlink" Target="http://www.nevo.co.il/law/74249"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nevo.co.il/law/74249" TargetMode="External"/><Relationship Id="rId7" Type="http://schemas.openxmlformats.org/officeDocument/2006/relationships/hyperlink" Target="http://www.nevo.co.il/law/74249" TargetMode="External"/><Relationship Id="rId12" Type="http://schemas.openxmlformats.org/officeDocument/2006/relationships/hyperlink" Target="http://www.nevo.co.il/law/74249" TargetMode="External"/><Relationship Id="rId17" Type="http://schemas.openxmlformats.org/officeDocument/2006/relationships/hyperlink" Target="http://www.nevo.co.il/law/74249"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nevo.co.il/law/74249" TargetMode="External"/><Relationship Id="rId20" Type="http://schemas.openxmlformats.org/officeDocument/2006/relationships/hyperlink" Target="http://www.nevo.co.il/law/7424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vo.co.il/law/74249" TargetMode="External"/><Relationship Id="rId11" Type="http://schemas.openxmlformats.org/officeDocument/2006/relationships/hyperlink" Target="http://www.nevo.co.il/law/74249/9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nevo.co.il/law/7424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evo.co.il/law/74249/9c" TargetMode="External"/><Relationship Id="rId19" Type="http://schemas.openxmlformats.org/officeDocument/2006/relationships/hyperlink" Target="http://www.nevo.co.il/law/74249" TargetMode="External"/><Relationship Id="rId4" Type="http://schemas.openxmlformats.org/officeDocument/2006/relationships/footnotes" Target="footnotes.xml"/><Relationship Id="rId9" Type="http://schemas.openxmlformats.org/officeDocument/2006/relationships/hyperlink" Target="http://www.nevo.co.il/law/74249" TargetMode="External"/><Relationship Id="rId14" Type="http://schemas.openxmlformats.org/officeDocument/2006/relationships/hyperlink" Target="http://www.nevo.co.il/law/74249"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4781</Characters>
  <Application>Microsoft Office Word</Application>
  <DocSecurity>0</DocSecurity>
  <Lines>39</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orit כהן</cp:lastModifiedBy>
  <cp:revision>2</cp:revision>
  <dcterms:created xsi:type="dcterms:W3CDTF">2024-04-10T18:02:00Z</dcterms:created>
  <dcterms:modified xsi:type="dcterms:W3CDTF">2024-04-10T18:02:00Z</dcterms:modified>
</cp:coreProperties>
</file>