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center"/>
        <w:tblLook w:val="0000" w:firstRow="0" w:lastRow="0" w:firstColumn="0" w:lastColumn="0" w:noHBand="0" w:noVBand="0"/>
      </w:tblPr>
      <w:tblGrid>
        <w:gridCol w:w="8307"/>
      </w:tblGrid>
      <w:tr w:rsidR="00284BB1" w14:paraId="7051260E" w14:textId="77777777" w:rsidTr="005F5511">
        <w:trPr>
          <w:trHeight w:hRule="exact" w:val="670"/>
          <w:jc w:val="center"/>
        </w:trPr>
        <w:tc>
          <w:tcPr>
            <w:tcW w:w="8523" w:type="dxa"/>
          </w:tcPr>
          <w:p w14:paraId="39A0FE86" w14:textId="77777777" w:rsidR="00363487" w:rsidRPr="00890C38" w:rsidRDefault="00000000" w:rsidP="00C37E6A">
            <w:pPr>
              <w:pStyle w:val="a3"/>
              <w:jc w:val="center"/>
              <w:rPr>
                <w:rFonts w:ascii="Tahoma" w:hAnsi="Tahoma" w:cs="Tahoma"/>
                <w:noProof w:val="0"/>
                <w:color w:val="000080"/>
                <w:rtl/>
              </w:rPr>
            </w:pPr>
            <w:bookmarkStart w:id="0" w:name="LastJudge"/>
            <w:r w:rsidRPr="00890C38">
              <w:rPr>
                <w:rFonts w:ascii="Tahoma" w:hAnsi="Tahoma" w:cs="Tahoma"/>
                <w:b/>
                <w:bCs/>
                <w:noProof w:val="0"/>
                <w:color w:val="000080"/>
                <w:rtl/>
              </w:rPr>
              <w:t>בית המשפט המחוזי בתל אביב -יפו</w:t>
            </w:r>
          </w:p>
        </w:tc>
      </w:tr>
      <w:tr w:rsidR="00284BB1" w14:paraId="1E82257B" w14:textId="77777777" w:rsidTr="005F5511">
        <w:trPr>
          <w:trHeight w:val="337"/>
          <w:jc w:val="center"/>
        </w:trPr>
        <w:tc>
          <w:tcPr>
            <w:tcW w:w="8523" w:type="dxa"/>
          </w:tcPr>
          <w:p w14:paraId="742DDCF2" w14:textId="77777777" w:rsidR="00363487" w:rsidRPr="00890C38" w:rsidRDefault="00000000" w:rsidP="00890C38">
            <w:pPr>
              <w:spacing w:before="120" w:after="120" w:line="240" w:lineRule="exact"/>
              <w:rPr>
                <w:b/>
                <w:bCs/>
                <w:noProof w:val="0"/>
                <w:sz w:val="26"/>
                <w:szCs w:val="26"/>
                <w:rtl/>
              </w:rPr>
            </w:pPr>
            <w:r w:rsidRPr="00890C38">
              <w:rPr>
                <w:b/>
                <w:bCs/>
                <w:noProof w:val="0"/>
                <w:sz w:val="26"/>
                <w:szCs w:val="26"/>
                <w:rtl/>
              </w:rPr>
              <w:t>ת"א 42832-12-20 נדב אשגרי נ' פרץ ואח'</w:t>
            </w:r>
            <w:r w:rsidRPr="00890C38">
              <w:rPr>
                <w:rFonts w:hint="cs"/>
                <w:b/>
                <w:bCs/>
                <w:noProof w:val="0"/>
                <w:sz w:val="26"/>
                <w:szCs w:val="26"/>
                <w:rtl/>
              </w:rPr>
              <w:t xml:space="preserve"> </w:t>
            </w:r>
          </w:p>
        </w:tc>
      </w:tr>
    </w:tbl>
    <w:p w14:paraId="01E49303" w14:textId="77777777" w:rsidR="00363487" w:rsidRPr="00890C38" w:rsidRDefault="00363487" w:rsidP="00890C38">
      <w:pPr>
        <w:suppressLineNumbers/>
        <w:spacing w:before="120" w:after="120" w:line="240" w:lineRule="exact"/>
        <w:rPr>
          <w:b/>
          <w:bCs/>
          <w:sz w:val="26"/>
          <w:szCs w:val="26"/>
          <w:rtl/>
        </w:rPr>
      </w:pPr>
    </w:p>
    <w:tbl>
      <w:tblPr>
        <w:bidiVisual/>
        <w:tblW w:w="8820" w:type="dxa"/>
        <w:jc w:val="center"/>
        <w:tblLook w:val="01E0" w:firstRow="1" w:lastRow="1" w:firstColumn="1" w:lastColumn="1" w:noHBand="0" w:noVBand="0"/>
      </w:tblPr>
      <w:tblGrid>
        <w:gridCol w:w="743"/>
        <w:gridCol w:w="2506"/>
        <w:gridCol w:w="5571"/>
      </w:tblGrid>
      <w:tr w:rsidR="00284BB1" w14:paraId="22CE9A00" w14:textId="77777777" w:rsidTr="00363487">
        <w:trPr>
          <w:jc w:val="center"/>
        </w:trPr>
        <w:tc>
          <w:tcPr>
            <w:tcW w:w="743" w:type="dxa"/>
            <w:shd w:val="clear" w:color="auto" w:fill="auto"/>
          </w:tcPr>
          <w:p w14:paraId="38E89DD3" w14:textId="77777777" w:rsidR="00363487" w:rsidRPr="00890C38" w:rsidRDefault="00000000" w:rsidP="00890C38">
            <w:pPr>
              <w:spacing w:before="120" w:after="120" w:line="240" w:lineRule="exact"/>
              <w:jc w:val="both"/>
              <w:rPr>
                <w:rFonts w:ascii="Arial (W1)" w:hAnsi="Arial (W1)"/>
                <w:b/>
                <w:bCs/>
                <w:sz w:val="26"/>
                <w:szCs w:val="26"/>
              </w:rPr>
            </w:pPr>
            <w:r w:rsidRPr="00890C38">
              <w:rPr>
                <w:rFonts w:hint="cs"/>
                <w:b/>
                <w:bCs/>
                <w:sz w:val="26"/>
                <w:szCs w:val="26"/>
                <w:rtl/>
              </w:rPr>
              <w:t xml:space="preserve">לפני </w:t>
            </w:r>
          </w:p>
        </w:tc>
        <w:tc>
          <w:tcPr>
            <w:tcW w:w="8077" w:type="dxa"/>
            <w:gridSpan w:val="2"/>
            <w:shd w:val="clear" w:color="auto" w:fill="auto"/>
          </w:tcPr>
          <w:p w14:paraId="4EFB8949" w14:textId="77777777" w:rsidR="00363487" w:rsidRPr="00890C38" w:rsidRDefault="00000000" w:rsidP="00890C38">
            <w:pPr>
              <w:spacing w:before="120" w:after="120" w:line="240" w:lineRule="exact"/>
              <w:rPr>
                <w:b/>
                <w:bCs/>
                <w:sz w:val="26"/>
                <w:szCs w:val="26"/>
              </w:rPr>
            </w:pPr>
            <w:r w:rsidRPr="00890C38">
              <w:rPr>
                <w:rFonts w:ascii="Arial" w:hAnsi="Arial" w:hint="cs"/>
                <w:b/>
                <w:bCs/>
                <w:sz w:val="26"/>
                <w:szCs w:val="26"/>
                <w:rtl/>
              </w:rPr>
              <w:t>כבוד ה</w:t>
            </w:r>
            <w:r w:rsidRPr="00890C38">
              <w:rPr>
                <w:rFonts w:ascii="Arial" w:hAnsi="Arial"/>
                <w:b/>
                <w:bCs/>
                <w:sz w:val="26"/>
                <w:szCs w:val="26"/>
                <w:rtl/>
              </w:rPr>
              <w:t>שופט</w:t>
            </w:r>
            <w:r w:rsidRPr="00890C38">
              <w:rPr>
                <w:rFonts w:ascii="Arial" w:hAnsi="Arial" w:hint="cs"/>
                <w:b/>
                <w:bCs/>
                <w:sz w:val="26"/>
                <w:szCs w:val="26"/>
                <w:rtl/>
              </w:rPr>
              <w:t xml:space="preserve"> </w:t>
            </w:r>
            <w:bookmarkStart w:id="1" w:name="_Hlk198180095"/>
            <w:r w:rsidRPr="00890C38">
              <w:rPr>
                <w:rFonts w:ascii="Arial" w:hAnsi="Arial"/>
                <w:b/>
                <w:bCs/>
                <w:sz w:val="26"/>
                <w:szCs w:val="26"/>
                <w:rtl/>
              </w:rPr>
              <w:t>יונה אטדגי</w:t>
            </w:r>
            <w:bookmarkEnd w:id="1"/>
          </w:p>
        </w:tc>
      </w:tr>
      <w:tr w:rsidR="00284BB1" w14:paraId="0D5FB314" w14:textId="77777777" w:rsidTr="00363487">
        <w:trPr>
          <w:jc w:val="center"/>
        </w:trPr>
        <w:tc>
          <w:tcPr>
            <w:tcW w:w="3249" w:type="dxa"/>
            <w:gridSpan w:val="2"/>
            <w:shd w:val="clear" w:color="auto" w:fill="auto"/>
          </w:tcPr>
          <w:p w14:paraId="6AF6BBBA" w14:textId="77777777" w:rsidR="00363487" w:rsidRPr="00890C38" w:rsidRDefault="00000000" w:rsidP="00890C38">
            <w:pPr>
              <w:spacing w:before="120" w:after="120" w:line="240" w:lineRule="exact"/>
              <w:rPr>
                <w:rFonts w:ascii="Arial (W1)" w:hAnsi="Arial (W1)"/>
                <w:b/>
                <w:bCs/>
                <w:noProof w:val="0"/>
                <w:sz w:val="26"/>
                <w:szCs w:val="26"/>
              </w:rPr>
            </w:pPr>
            <w:bookmarkStart w:id="2" w:name="FirstAppellant"/>
            <w:bookmarkStart w:id="3" w:name="FirstLawyer"/>
            <w:r w:rsidRPr="00890C38">
              <w:rPr>
                <w:rFonts w:hint="cs"/>
                <w:b/>
                <w:bCs/>
                <w:noProof w:val="0"/>
                <w:sz w:val="26"/>
                <w:szCs w:val="26"/>
                <w:rtl/>
              </w:rPr>
              <w:t>התובעת:</w:t>
            </w:r>
          </w:p>
        </w:tc>
        <w:tc>
          <w:tcPr>
            <w:tcW w:w="5571" w:type="dxa"/>
            <w:shd w:val="clear" w:color="auto" w:fill="auto"/>
          </w:tcPr>
          <w:p w14:paraId="168CC496" w14:textId="77777777" w:rsidR="00363487" w:rsidRPr="00890C38" w:rsidRDefault="00000000" w:rsidP="00890C38">
            <w:pPr>
              <w:spacing w:before="120" w:after="120" w:line="240" w:lineRule="exact"/>
              <w:rPr>
                <w:b/>
                <w:bCs/>
                <w:sz w:val="26"/>
                <w:szCs w:val="26"/>
                <w:rtl/>
              </w:rPr>
            </w:pPr>
            <w:r w:rsidRPr="00890C38">
              <w:rPr>
                <w:rFonts w:hint="cs"/>
                <w:b/>
                <w:bCs/>
                <w:noProof w:val="0"/>
                <w:sz w:val="26"/>
                <w:szCs w:val="26"/>
                <w:rtl/>
              </w:rPr>
              <w:t>דרורה נדב אשגרי</w:t>
            </w:r>
          </w:p>
          <w:p w14:paraId="315E6544" w14:textId="77777777" w:rsidR="00363487" w:rsidRPr="00890C38" w:rsidRDefault="00000000" w:rsidP="00890C38">
            <w:pPr>
              <w:spacing w:before="120" w:after="120" w:line="240" w:lineRule="exact"/>
              <w:rPr>
                <w:rFonts w:ascii="Arial (W1)" w:hAnsi="Arial (W1)"/>
                <w:b/>
                <w:bCs/>
                <w:noProof w:val="0"/>
                <w:sz w:val="26"/>
                <w:szCs w:val="26"/>
              </w:rPr>
            </w:pPr>
            <w:r w:rsidRPr="00890C38">
              <w:rPr>
                <w:rFonts w:hint="cs"/>
                <w:b/>
                <w:bCs/>
                <w:sz w:val="26"/>
                <w:szCs w:val="26"/>
                <w:rtl/>
              </w:rPr>
              <w:t>ע"י ב"כ עו"ד</w:t>
            </w:r>
            <w:r w:rsidRPr="00890C38">
              <w:rPr>
                <w:rFonts w:ascii="Arial (W1)" w:hAnsi="Arial (W1)" w:hint="cs"/>
                <w:b/>
                <w:bCs/>
                <w:noProof w:val="0"/>
                <w:sz w:val="26"/>
                <w:szCs w:val="26"/>
                <w:rtl/>
              </w:rPr>
              <w:t xml:space="preserve"> רון עוזרי</w:t>
            </w:r>
          </w:p>
        </w:tc>
      </w:tr>
      <w:bookmarkEnd w:id="2"/>
      <w:bookmarkEnd w:id="3"/>
      <w:tr w:rsidR="00284BB1" w14:paraId="7A14AE5D" w14:textId="77777777" w:rsidTr="00363487">
        <w:trPr>
          <w:jc w:val="center"/>
        </w:trPr>
        <w:tc>
          <w:tcPr>
            <w:tcW w:w="8820" w:type="dxa"/>
            <w:gridSpan w:val="3"/>
            <w:shd w:val="clear" w:color="auto" w:fill="auto"/>
          </w:tcPr>
          <w:p w14:paraId="2B65C3C9" w14:textId="77777777" w:rsidR="00363487" w:rsidRPr="00890C38" w:rsidRDefault="00000000" w:rsidP="00890C38">
            <w:pPr>
              <w:spacing w:before="240" w:after="240" w:line="240" w:lineRule="exact"/>
              <w:jc w:val="center"/>
              <w:rPr>
                <w:b/>
                <w:bCs/>
                <w:noProof w:val="0"/>
                <w:sz w:val="26"/>
                <w:szCs w:val="26"/>
                <w:rtl/>
              </w:rPr>
            </w:pPr>
            <w:r w:rsidRPr="00890C38">
              <w:rPr>
                <w:rFonts w:hint="cs"/>
                <w:b/>
                <w:bCs/>
                <w:noProof w:val="0"/>
                <w:sz w:val="26"/>
                <w:szCs w:val="26"/>
                <w:rtl/>
              </w:rPr>
              <w:t>נגד</w:t>
            </w:r>
          </w:p>
        </w:tc>
      </w:tr>
      <w:tr w:rsidR="00284BB1" w14:paraId="6B6F670E" w14:textId="77777777" w:rsidTr="00363487">
        <w:trPr>
          <w:jc w:val="center"/>
        </w:trPr>
        <w:tc>
          <w:tcPr>
            <w:tcW w:w="3249" w:type="dxa"/>
            <w:gridSpan w:val="2"/>
            <w:shd w:val="clear" w:color="auto" w:fill="auto"/>
          </w:tcPr>
          <w:p w14:paraId="06721668" w14:textId="77777777" w:rsidR="00363487" w:rsidRPr="00890C38" w:rsidRDefault="00000000" w:rsidP="00890C38">
            <w:pPr>
              <w:spacing w:before="120" w:after="120" w:line="240" w:lineRule="exact"/>
              <w:rPr>
                <w:rFonts w:ascii="Arial (W1)" w:hAnsi="Arial (W1)"/>
                <w:b/>
                <w:bCs/>
                <w:noProof w:val="0"/>
                <w:sz w:val="26"/>
                <w:szCs w:val="26"/>
              </w:rPr>
            </w:pPr>
            <w:r w:rsidRPr="00890C38">
              <w:rPr>
                <w:rFonts w:hint="cs"/>
                <w:b/>
                <w:bCs/>
                <w:noProof w:val="0"/>
                <w:sz w:val="26"/>
                <w:szCs w:val="26"/>
                <w:rtl/>
              </w:rPr>
              <w:t>הנתבעים:</w:t>
            </w:r>
          </w:p>
        </w:tc>
        <w:tc>
          <w:tcPr>
            <w:tcW w:w="5571" w:type="dxa"/>
            <w:shd w:val="clear" w:color="auto" w:fill="auto"/>
          </w:tcPr>
          <w:p w14:paraId="61D2478E" w14:textId="77777777" w:rsidR="00363487" w:rsidRPr="00890C38" w:rsidRDefault="00000000" w:rsidP="00890C38">
            <w:pPr>
              <w:spacing w:before="120" w:after="120" w:line="240" w:lineRule="exact"/>
              <w:rPr>
                <w:b/>
                <w:bCs/>
                <w:sz w:val="26"/>
                <w:szCs w:val="26"/>
                <w:rtl/>
              </w:rPr>
            </w:pPr>
            <w:r w:rsidRPr="00890C38">
              <w:rPr>
                <w:rFonts w:hint="cs"/>
                <w:b/>
                <w:bCs/>
                <w:noProof w:val="0"/>
                <w:sz w:val="26"/>
                <w:szCs w:val="26"/>
                <w:rtl/>
              </w:rPr>
              <w:t>1.</w:t>
            </w:r>
            <w:r w:rsidR="00890C38">
              <w:rPr>
                <w:rFonts w:hint="cs"/>
                <w:b/>
                <w:bCs/>
                <w:noProof w:val="0"/>
                <w:sz w:val="26"/>
                <w:szCs w:val="26"/>
                <w:rtl/>
              </w:rPr>
              <w:t xml:space="preserve"> </w:t>
            </w:r>
            <w:r w:rsidRPr="00890C38">
              <w:rPr>
                <w:rFonts w:hint="cs"/>
                <w:b/>
                <w:bCs/>
                <w:noProof w:val="0"/>
                <w:sz w:val="26"/>
                <w:szCs w:val="26"/>
                <w:rtl/>
              </w:rPr>
              <w:t>בנימין פרץ</w:t>
            </w:r>
          </w:p>
          <w:p w14:paraId="5B100021" w14:textId="77777777" w:rsidR="00363487" w:rsidRDefault="00000000" w:rsidP="00890C38">
            <w:pPr>
              <w:spacing w:before="120" w:after="120" w:line="240" w:lineRule="exact"/>
              <w:rPr>
                <w:rFonts w:ascii="Arial (W1)" w:hAnsi="Arial (W1)"/>
                <w:b/>
                <w:bCs/>
                <w:noProof w:val="0"/>
                <w:sz w:val="26"/>
                <w:szCs w:val="26"/>
                <w:rtl/>
              </w:rPr>
            </w:pPr>
            <w:r w:rsidRPr="00890C38">
              <w:rPr>
                <w:rFonts w:hint="cs"/>
                <w:b/>
                <w:bCs/>
                <w:sz w:val="26"/>
                <w:szCs w:val="26"/>
                <w:rtl/>
              </w:rPr>
              <w:t>ע"י ב"כ עו"ד</w:t>
            </w:r>
            <w:r w:rsidRPr="00890C38">
              <w:rPr>
                <w:rFonts w:ascii="Arial (W1)" w:hAnsi="Arial (W1)" w:hint="cs"/>
                <w:b/>
                <w:bCs/>
                <w:noProof w:val="0"/>
                <w:sz w:val="26"/>
                <w:szCs w:val="26"/>
                <w:rtl/>
              </w:rPr>
              <w:t xml:space="preserve"> דב וייס</w:t>
            </w:r>
          </w:p>
          <w:p w14:paraId="0FE1E143" w14:textId="77777777" w:rsidR="00890C38" w:rsidRPr="00890C38" w:rsidRDefault="00890C38" w:rsidP="00890C38">
            <w:pPr>
              <w:spacing w:before="120" w:after="120" w:line="240" w:lineRule="exact"/>
              <w:rPr>
                <w:rFonts w:ascii="Arial (W1)" w:hAnsi="Arial (W1)"/>
                <w:b/>
                <w:bCs/>
                <w:noProof w:val="0"/>
                <w:sz w:val="26"/>
                <w:szCs w:val="26"/>
                <w:rtl/>
              </w:rPr>
            </w:pPr>
          </w:p>
          <w:p w14:paraId="678B70B3" w14:textId="77777777" w:rsidR="00363487" w:rsidRPr="00890C38" w:rsidRDefault="00000000" w:rsidP="00890C38">
            <w:pPr>
              <w:spacing w:before="120" w:after="120" w:line="240" w:lineRule="exact"/>
              <w:rPr>
                <w:b/>
                <w:bCs/>
                <w:sz w:val="26"/>
                <w:szCs w:val="26"/>
              </w:rPr>
            </w:pPr>
            <w:r w:rsidRPr="00890C38">
              <w:rPr>
                <w:rFonts w:hint="cs"/>
                <w:b/>
                <w:bCs/>
                <w:noProof w:val="0"/>
                <w:sz w:val="26"/>
                <w:szCs w:val="26"/>
                <w:rtl/>
              </w:rPr>
              <w:t>2.</w:t>
            </w:r>
            <w:r w:rsidR="00890C38">
              <w:rPr>
                <w:rFonts w:hint="cs"/>
                <w:b/>
                <w:bCs/>
                <w:noProof w:val="0"/>
                <w:sz w:val="26"/>
                <w:szCs w:val="26"/>
                <w:rtl/>
              </w:rPr>
              <w:t xml:space="preserve"> </w:t>
            </w:r>
            <w:r w:rsidRPr="00890C38">
              <w:rPr>
                <w:rFonts w:hint="cs"/>
                <w:b/>
                <w:bCs/>
                <w:noProof w:val="0"/>
                <w:sz w:val="26"/>
                <w:szCs w:val="26"/>
                <w:rtl/>
              </w:rPr>
              <w:t>גבריאל פרץ</w:t>
            </w:r>
            <w:r w:rsidRPr="00890C38">
              <w:rPr>
                <w:rFonts w:hint="cs"/>
                <w:b/>
                <w:bCs/>
                <w:sz w:val="26"/>
                <w:szCs w:val="26"/>
                <w:rtl/>
              </w:rPr>
              <w:t xml:space="preserve"> (עו"ד)</w:t>
            </w:r>
          </w:p>
        </w:tc>
      </w:tr>
    </w:tbl>
    <w:p w14:paraId="2BD170BC" w14:textId="77777777" w:rsidR="00363487" w:rsidRPr="00E071F6" w:rsidRDefault="00363487" w:rsidP="00363487">
      <w:pPr>
        <w:suppressLineNumbers/>
        <w:rPr>
          <w:rFonts w:ascii="Arial (W1)" w:hAnsi="Arial (W1)"/>
          <w:sz w:val="28"/>
          <w:szCs w:val="28"/>
          <w:rtl/>
        </w:rPr>
      </w:pPr>
    </w:p>
    <w:p w14:paraId="3A692F79" w14:textId="77777777" w:rsidR="006141D5" w:rsidRPr="00890C38" w:rsidRDefault="006141D5" w:rsidP="00890C38">
      <w:pPr>
        <w:suppressLineNumbers/>
        <w:spacing w:after="120" w:line="240" w:lineRule="exact"/>
        <w:ind w:left="283" w:hanging="283"/>
        <w:jc w:val="both"/>
      </w:pPr>
      <w:bookmarkStart w:id="4" w:name="Links_Start"/>
      <w:bookmarkStart w:id="5" w:name="ABSTRACT_END"/>
      <w:bookmarkEnd w:id="4"/>
      <w:bookmarkEnd w:id="5"/>
    </w:p>
    <w:tbl>
      <w:tblPr>
        <w:bidiVisual/>
        <w:tblW w:w="8820" w:type="dxa"/>
        <w:jc w:val="center"/>
        <w:tblLook w:val="01E0" w:firstRow="1" w:lastRow="1" w:firstColumn="1" w:lastColumn="1" w:noHBand="0" w:noVBand="0"/>
      </w:tblPr>
      <w:tblGrid>
        <w:gridCol w:w="8820"/>
      </w:tblGrid>
      <w:tr w:rsidR="00284BB1" w14:paraId="75B55AE3" w14:textId="77777777" w:rsidTr="00363487">
        <w:trPr>
          <w:jc w:val="center"/>
        </w:trPr>
        <w:tc>
          <w:tcPr>
            <w:tcW w:w="8820" w:type="dxa"/>
            <w:shd w:val="clear" w:color="auto" w:fill="auto"/>
          </w:tcPr>
          <w:p w14:paraId="704F1310" w14:textId="77777777" w:rsidR="00E071F6" w:rsidRPr="00E071F6" w:rsidRDefault="00000000" w:rsidP="00E071F6">
            <w:pPr>
              <w:bidi w:val="0"/>
              <w:jc w:val="center"/>
              <w:rPr>
                <w:rFonts w:ascii="Arial" w:hAnsi="Arial"/>
                <w:b/>
                <w:bCs/>
                <w:noProof w:val="0"/>
                <w:sz w:val="28"/>
                <w:szCs w:val="28"/>
                <w:u w:val="single"/>
                <w:rtl/>
              </w:rPr>
            </w:pPr>
            <w:bookmarkStart w:id="6" w:name="PsakDin" w:colFirst="0" w:colLast="0"/>
            <w:bookmarkEnd w:id="0"/>
            <w:r w:rsidRPr="00E071F6">
              <w:rPr>
                <w:rFonts w:ascii="Arial" w:hAnsi="Arial"/>
                <w:b/>
                <w:bCs/>
                <w:noProof w:val="0"/>
                <w:sz w:val="28"/>
                <w:szCs w:val="28"/>
                <w:u w:val="single"/>
                <w:rtl/>
              </w:rPr>
              <w:t>פסק דין</w:t>
            </w:r>
          </w:p>
          <w:p w14:paraId="249B5269" w14:textId="77777777" w:rsidR="00363487" w:rsidRPr="00E071F6" w:rsidRDefault="00363487" w:rsidP="00E071F6">
            <w:pPr>
              <w:bidi w:val="0"/>
              <w:jc w:val="center"/>
              <w:rPr>
                <w:rFonts w:ascii="Arial" w:hAnsi="Arial"/>
                <w:b/>
                <w:bCs/>
                <w:noProof w:val="0"/>
                <w:sz w:val="28"/>
                <w:szCs w:val="28"/>
                <w:u w:val="single"/>
              </w:rPr>
            </w:pPr>
          </w:p>
        </w:tc>
      </w:tr>
      <w:bookmarkEnd w:id="6"/>
    </w:tbl>
    <w:p w14:paraId="496CA103" w14:textId="77777777" w:rsidR="00363487" w:rsidRDefault="00363487" w:rsidP="00363487">
      <w:pPr>
        <w:spacing w:line="360" w:lineRule="auto"/>
        <w:jc w:val="both"/>
        <w:rPr>
          <w:rFonts w:ascii="Arial" w:hAnsi="Arial"/>
          <w:noProof w:val="0"/>
          <w:rtl/>
        </w:rPr>
      </w:pPr>
    </w:p>
    <w:p w14:paraId="6769D551"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תביעה לביטול משכנתא ומחיקתה ממרשם המקרקעין. </w:t>
      </w:r>
    </w:p>
    <w:p w14:paraId="62296D79" w14:textId="77777777" w:rsidR="00363487" w:rsidRPr="006372F5" w:rsidRDefault="00363487" w:rsidP="00363487">
      <w:pPr>
        <w:pStyle w:val="1"/>
        <w:rPr>
          <w:rFonts w:ascii="Arial" w:hAnsi="Arial"/>
          <w:noProof w:val="0"/>
          <w:rtl/>
        </w:rPr>
      </w:pPr>
    </w:p>
    <w:p w14:paraId="6A59AE1F" w14:textId="77777777" w:rsidR="00363487" w:rsidRPr="00966066" w:rsidRDefault="00000000" w:rsidP="00363487">
      <w:pPr>
        <w:spacing w:line="360" w:lineRule="auto"/>
        <w:ind w:left="9"/>
        <w:jc w:val="both"/>
        <w:rPr>
          <w:rFonts w:ascii="Arial" w:hAnsi="Arial"/>
          <w:b/>
          <w:bCs/>
          <w:noProof w:val="0"/>
          <w:u w:val="single"/>
        </w:rPr>
      </w:pPr>
      <w:r w:rsidRPr="00966066">
        <w:rPr>
          <w:rFonts w:ascii="Arial" w:hAnsi="Arial" w:hint="cs"/>
          <w:b/>
          <w:bCs/>
          <w:noProof w:val="0"/>
          <w:u w:val="single"/>
          <w:rtl/>
        </w:rPr>
        <w:t>רקע</w:t>
      </w:r>
    </w:p>
    <w:p w14:paraId="0D79BC13"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התובעת (להלן </w:t>
      </w:r>
      <w:r>
        <w:rPr>
          <w:rFonts w:ascii="Arial" w:hAnsi="Arial"/>
          <w:noProof w:val="0"/>
          <w:rtl/>
        </w:rPr>
        <w:t>–</w:t>
      </w:r>
      <w:r>
        <w:rPr>
          <w:rFonts w:ascii="Arial" w:hAnsi="Arial" w:hint="cs"/>
          <w:noProof w:val="0"/>
          <w:rtl/>
        </w:rPr>
        <w:t xml:space="preserve"> "</w:t>
      </w:r>
      <w:r w:rsidRPr="009C0137">
        <w:rPr>
          <w:rFonts w:ascii="Arial" w:hAnsi="Arial" w:hint="cs"/>
          <w:b/>
          <w:bCs/>
          <w:noProof w:val="0"/>
          <w:rtl/>
        </w:rPr>
        <w:t>דרורה</w:t>
      </w:r>
      <w:r>
        <w:rPr>
          <w:rFonts w:ascii="Arial" w:hAnsi="Arial" w:hint="cs"/>
          <w:noProof w:val="0"/>
          <w:rtl/>
        </w:rPr>
        <w:t xml:space="preserve">") והנתבע 2 (להלן </w:t>
      </w:r>
      <w:r>
        <w:rPr>
          <w:rFonts w:ascii="Arial" w:hAnsi="Arial"/>
          <w:noProof w:val="0"/>
          <w:rtl/>
        </w:rPr>
        <w:t>–</w:t>
      </w:r>
      <w:r>
        <w:rPr>
          <w:rFonts w:ascii="Arial" w:hAnsi="Arial" w:hint="cs"/>
          <w:noProof w:val="0"/>
          <w:rtl/>
        </w:rPr>
        <w:t xml:space="preserve"> "</w:t>
      </w:r>
      <w:r w:rsidRPr="009C0137">
        <w:rPr>
          <w:rFonts w:ascii="Arial" w:hAnsi="Arial" w:hint="cs"/>
          <w:b/>
          <w:bCs/>
          <w:noProof w:val="0"/>
          <w:rtl/>
        </w:rPr>
        <w:t>גבי</w:t>
      </w:r>
      <w:r>
        <w:rPr>
          <w:rFonts w:ascii="Arial" w:hAnsi="Arial" w:hint="cs"/>
          <w:noProof w:val="0"/>
          <w:rtl/>
        </w:rPr>
        <w:t xml:space="preserve">") הם הבעלים הרשומים במשותף (במושע) של בניין מגורים ברחוב הראב"ע 36 תל-אביב (להלן </w:t>
      </w:r>
      <w:r>
        <w:rPr>
          <w:rFonts w:ascii="Arial" w:hAnsi="Arial"/>
          <w:noProof w:val="0"/>
          <w:rtl/>
        </w:rPr>
        <w:t>–</w:t>
      </w:r>
      <w:r>
        <w:rPr>
          <w:rFonts w:ascii="Arial" w:hAnsi="Arial" w:hint="cs"/>
          <w:noProof w:val="0"/>
          <w:rtl/>
        </w:rPr>
        <w:t xml:space="preserve"> "</w:t>
      </w:r>
      <w:r w:rsidRPr="009C0137">
        <w:rPr>
          <w:rFonts w:ascii="Arial" w:hAnsi="Arial" w:hint="cs"/>
          <w:b/>
          <w:bCs/>
          <w:noProof w:val="0"/>
          <w:rtl/>
        </w:rPr>
        <w:t>הבניין</w:t>
      </w:r>
      <w:r>
        <w:rPr>
          <w:rFonts w:ascii="Arial" w:hAnsi="Arial" w:hint="cs"/>
          <w:noProof w:val="0"/>
          <w:rtl/>
        </w:rPr>
        <w:t xml:space="preserve">"). </w:t>
      </w:r>
    </w:p>
    <w:p w14:paraId="1230CC18"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לטובתו של הנתבע 1 (להלן </w:t>
      </w:r>
      <w:r>
        <w:rPr>
          <w:rFonts w:ascii="Arial" w:hAnsi="Arial"/>
          <w:noProof w:val="0"/>
          <w:rtl/>
        </w:rPr>
        <w:t>–</w:t>
      </w:r>
      <w:r>
        <w:rPr>
          <w:rFonts w:ascii="Arial" w:hAnsi="Arial" w:hint="cs"/>
          <w:noProof w:val="0"/>
          <w:rtl/>
        </w:rPr>
        <w:t xml:space="preserve"> "</w:t>
      </w:r>
      <w:r w:rsidRPr="00E86904">
        <w:rPr>
          <w:rFonts w:ascii="Arial" w:hAnsi="Arial" w:hint="cs"/>
          <w:b/>
          <w:bCs/>
          <w:noProof w:val="0"/>
          <w:rtl/>
        </w:rPr>
        <w:t>בני</w:t>
      </w:r>
      <w:r>
        <w:rPr>
          <w:rFonts w:ascii="Arial" w:hAnsi="Arial" w:hint="cs"/>
          <w:noProof w:val="0"/>
          <w:rtl/>
        </w:rPr>
        <w:t xml:space="preserve">") רשומה מאז חודש מרץ 1996 משכנתא על מחצית מזכויותיהם של דרורה וגבי בבניין (להלן </w:t>
      </w:r>
      <w:r>
        <w:rPr>
          <w:rFonts w:ascii="Arial" w:hAnsi="Arial"/>
          <w:noProof w:val="0"/>
          <w:rtl/>
        </w:rPr>
        <w:t>–</w:t>
      </w:r>
      <w:r>
        <w:rPr>
          <w:rFonts w:ascii="Arial" w:hAnsi="Arial" w:hint="cs"/>
          <w:noProof w:val="0"/>
          <w:rtl/>
        </w:rPr>
        <w:t xml:space="preserve"> "</w:t>
      </w:r>
      <w:r w:rsidRPr="00E86904">
        <w:rPr>
          <w:rFonts w:ascii="Arial" w:hAnsi="Arial" w:hint="cs"/>
          <w:b/>
          <w:bCs/>
          <w:noProof w:val="0"/>
          <w:rtl/>
        </w:rPr>
        <w:t>המשכנתא</w:t>
      </w:r>
      <w:r>
        <w:rPr>
          <w:rFonts w:ascii="Arial" w:hAnsi="Arial" w:hint="cs"/>
          <w:noProof w:val="0"/>
          <w:rtl/>
        </w:rPr>
        <w:t xml:space="preserve">"). </w:t>
      </w:r>
    </w:p>
    <w:p w14:paraId="7512681E" w14:textId="77777777" w:rsidR="00363487" w:rsidRDefault="00363487" w:rsidP="00363487">
      <w:pPr>
        <w:pStyle w:val="1"/>
        <w:rPr>
          <w:rFonts w:ascii="Arial" w:hAnsi="Arial"/>
          <w:noProof w:val="0"/>
        </w:rPr>
      </w:pPr>
    </w:p>
    <w:p w14:paraId="5E3137F7"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בני וגבי אחים. </w:t>
      </w:r>
    </w:p>
    <w:p w14:paraId="213CDC51"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גבי היה נשוי בעבר (בין השנים 2004-1991) לאחותה של דרורה, נאוה נדב (להלן </w:t>
      </w:r>
      <w:r>
        <w:rPr>
          <w:rFonts w:ascii="Arial" w:hAnsi="Arial"/>
          <w:noProof w:val="0"/>
          <w:rtl/>
        </w:rPr>
        <w:t>–</w:t>
      </w:r>
      <w:r>
        <w:rPr>
          <w:rFonts w:ascii="Arial" w:hAnsi="Arial" w:hint="cs"/>
          <w:noProof w:val="0"/>
          <w:rtl/>
        </w:rPr>
        <w:t xml:space="preserve"> "</w:t>
      </w:r>
      <w:r w:rsidRPr="00E86904">
        <w:rPr>
          <w:rFonts w:ascii="Arial" w:hAnsi="Arial" w:hint="cs"/>
          <w:b/>
          <w:bCs/>
          <w:noProof w:val="0"/>
          <w:rtl/>
        </w:rPr>
        <w:t>נאוה</w:t>
      </w:r>
      <w:r>
        <w:rPr>
          <w:rFonts w:ascii="Arial" w:hAnsi="Arial" w:hint="cs"/>
          <w:noProof w:val="0"/>
          <w:rtl/>
        </w:rPr>
        <w:t xml:space="preserve">"). </w:t>
      </w:r>
    </w:p>
    <w:p w14:paraId="36DCE43F"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גבי, נאוה, אחיה יואב נדב (להלן </w:t>
      </w:r>
      <w:r>
        <w:rPr>
          <w:rFonts w:ascii="Arial" w:hAnsi="Arial"/>
          <w:noProof w:val="0"/>
          <w:rtl/>
        </w:rPr>
        <w:t>–</w:t>
      </w:r>
      <w:r>
        <w:rPr>
          <w:rFonts w:ascii="Arial" w:hAnsi="Arial" w:hint="cs"/>
          <w:noProof w:val="0"/>
          <w:rtl/>
        </w:rPr>
        <w:t xml:space="preserve"> "</w:t>
      </w:r>
      <w:r w:rsidRPr="00E86904">
        <w:rPr>
          <w:rFonts w:ascii="Arial" w:hAnsi="Arial" w:hint="cs"/>
          <w:b/>
          <w:bCs/>
          <w:noProof w:val="0"/>
          <w:rtl/>
        </w:rPr>
        <w:t>יואב</w:t>
      </w:r>
      <w:r>
        <w:rPr>
          <w:rFonts w:ascii="Arial" w:hAnsi="Arial" w:hint="cs"/>
          <w:noProof w:val="0"/>
          <w:rtl/>
        </w:rPr>
        <w:t xml:space="preserve">") ואביה אריה נדב ז"ל (להלן </w:t>
      </w:r>
      <w:r>
        <w:rPr>
          <w:rFonts w:ascii="Arial" w:hAnsi="Arial"/>
          <w:noProof w:val="0"/>
          <w:rtl/>
        </w:rPr>
        <w:t>–</w:t>
      </w:r>
      <w:r>
        <w:rPr>
          <w:rFonts w:ascii="Arial" w:hAnsi="Arial" w:hint="cs"/>
          <w:noProof w:val="0"/>
          <w:rtl/>
        </w:rPr>
        <w:t xml:space="preserve"> "</w:t>
      </w:r>
      <w:r w:rsidRPr="00E86904">
        <w:rPr>
          <w:rFonts w:ascii="Arial" w:hAnsi="Arial" w:hint="cs"/>
          <w:b/>
          <w:bCs/>
          <w:noProof w:val="0"/>
          <w:rtl/>
        </w:rPr>
        <w:t>אריה</w:t>
      </w:r>
      <w:r>
        <w:rPr>
          <w:rFonts w:ascii="Arial" w:hAnsi="Arial" w:hint="cs"/>
          <w:noProof w:val="0"/>
          <w:rtl/>
        </w:rPr>
        <w:t xml:space="preserve">") היו שותפים בעבר במספר נכסי נדל"ן. </w:t>
      </w:r>
    </w:p>
    <w:p w14:paraId="532D100A"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בין כל הצדדים התנהלו בעבר הליכים משפטיים ביחס לנכסי הנדל"ן המשותפים. </w:t>
      </w:r>
    </w:p>
    <w:p w14:paraId="02CD3098"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ההליכים בין גבי ובין נאוה התנהלו בבית המשפט למשפחה, במסגרת הליכי הגירושין. </w:t>
      </w:r>
    </w:p>
    <w:p w14:paraId="14CDEC59"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בין גבי ובין בני (ואחות נוספת שלהם) התנהל הליך משפטי הנוגע לירושת אימם, יקוט פרץ ז"ל (להלן </w:t>
      </w:r>
      <w:r>
        <w:rPr>
          <w:rFonts w:ascii="Arial" w:hAnsi="Arial"/>
          <w:noProof w:val="0"/>
          <w:rtl/>
        </w:rPr>
        <w:t>–</w:t>
      </w:r>
      <w:r>
        <w:rPr>
          <w:rFonts w:ascii="Arial" w:hAnsi="Arial" w:hint="cs"/>
          <w:noProof w:val="0"/>
          <w:rtl/>
        </w:rPr>
        <w:t xml:space="preserve"> "</w:t>
      </w:r>
      <w:r w:rsidRPr="00F4410E">
        <w:rPr>
          <w:rFonts w:ascii="Arial" w:hAnsi="Arial" w:hint="cs"/>
          <w:b/>
          <w:bCs/>
          <w:noProof w:val="0"/>
          <w:rtl/>
        </w:rPr>
        <w:t>יקוט</w:t>
      </w:r>
      <w:r w:rsidRPr="00381AE6">
        <w:rPr>
          <w:rFonts w:ascii="Arial" w:hAnsi="Arial" w:hint="cs"/>
          <w:b/>
          <w:bCs/>
          <w:noProof w:val="0"/>
          <w:rtl/>
        </w:rPr>
        <w:t>"),</w:t>
      </w:r>
      <w:r>
        <w:rPr>
          <w:rFonts w:ascii="Arial" w:hAnsi="Arial" w:hint="cs"/>
          <w:noProof w:val="0"/>
          <w:rtl/>
        </w:rPr>
        <w:t xml:space="preserve"> שנפטרה בשנת 2016. </w:t>
      </w:r>
    </w:p>
    <w:p w14:paraId="3AF0BD7E"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הדיהם של ההליכים המשפטיים הללו השתרבבו לתביעה זו ונראה כי עוד נכונו לצדדים הליכים משפטיים נוספים. </w:t>
      </w:r>
    </w:p>
    <w:p w14:paraId="40A26D3B"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lastRenderedPageBreak/>
        <w:t xml:space="preserve">פסק דין זה יתייחס אך ורק לראיות ולעדויות הרלבנטיות להכרעה הנדרשת בתביעה זו בלבד ויתעלם מהראיות ומהעדויות שהיו רלבנטיות להליכים הנוספים או להליכים עתידיים מתוכננים, ושאינן רלבנטיות להכרעה הנדרשת כאן. </w:t>
      </w:r>
    </w:p>
    <w:p w14:paraId="32453DD6" w14:textId="77777777" w:rsidR="00363487" w:rsidRDefault="00363487" w:rsidP="00363487">
      <w:pPr>
        <w:pStyle w:val="1"/>
        <w:rPr>
          <w:rFonts w:ascii="Arial" w:hAnsi="Arial"/>
          <w:noProof w:val="0"/>
        </w:rPr>
      </w:pPr>
    </w:p>
    <w:p w14:paraId="25620692"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עוד יצוין, כי התביעה הוגשה תחילה נגד בני בלבד ובעקבות החלטתי (לבקשת בני) צורף גבי כנתבע נוסף. </w:t>
      </w:r>
    </w:p>
    <w:p w14:paraId="3CA2E1FC" w14:textId="77777777" w:rsidR="00363487" w:rsidRDefault="00363487" w:rsidP="00363487">
      <w:pPr>
        <w:pStyle w:val="1"/>
        <w:rPr>
          <w:rFonts w:ascii="Arial" w:hAnsi="Arial"/>
          <w:noProof w:val="0"/>
          <w:rtl/>
        </w:rPr>
      </w:pPr>
    </w:p>
    <w:p w14:paraId="4FC45D4F" w14:textId="77777777" w:rsidR="00363487" w:rsidRPr="00F4410E" w:rsidRDefault="00000000" w:rsidP="00363487">
      <w:pPr>
        <w:spacing w:line="360" w:lineRule="auto"/>
        <w:ind w:left="9"/>
        <w:jc w:val="both"/>
        <w:rPr>
          <w:rFonts w:ascii="Arial" w:hAnsi="Arial"/>
          <w:b/>
          <w:bCs/>
          <w:noProof w:val="0"/>
          <w:u w:val="single"/>
        </w:rPr>
      </w:pPr>
      <w:r>
        <w:rPr>
          <w:rFonts w:ascii="Arial" w:hAnsi="Arial" w:hint="cs"/>
          <w:b/>
          <w:bCs/>
          <w:noProof w:val="0"/>
          <w:u w:val="single"/>
          <w:rtl/>
        </w:rPr>
        <w:t>התביעה</w:t>
      </w:r>
      <w:r w:rsidRPr="00F4410E">
        <w:rPr>
          <w:rFonts w:ascii="Arial" w:hAnsi="Arial" w:hint="cs"/>
          <w:b/>
          <w:bCs/>
          <w:noProof w:val="0"/>
          <w:u w:val="single"/>
          <w:rtl/>
        </w:rPr>
        <w:t xml:space="preserve"> ותמצית גרסאות הצדדים ביחס לרישום המשכנתא </w:t>
      </w:r>
    </w:p>
    <w:p w14:paraId="3B3C7498"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הסעד המבוקש בתביעה הוא "</w:t>
      </w:r>
      <w:r w:rsidRPr="00F4410E">
        <w:rPr>
          <w:rFonts w:ascii="Arial" w:hAnsi="Arial" w:hint="cs"/>
          <w:b/>
          <w:bCs/>
          <w:noProof w:val="0"/>
          <w:rtl/>
        </w:rPr>
        <w:t xml:space="preserve">להצהיר כי אין תוקף למשכנתא... על זכויותיה של התובעת בנכס </w:t>
      </w:r>
      <w:r w:rsidRPr="00F4410E">
        <w:rPr>
          <w:rFonts w:ascii="Arial" w:hAnsi="Arial" w:hint="cs"/>
          <w:noProof w:val="0"/>
          <w:rtl/>
        </w:rPr>
        <w:t xml:space="preserve">[הבניין]... </w:t>
      </w:r>
      <w:r w:rsidRPr="00F4410E">
        <w:rPr>
          <w:rFonts w:ascii="Arial" w:hAnsi="Arial" w:hint="cs"/>
          <w:b/>
          <w:bCs/>
          <w:noProof w:val="0"/>
          <w:rtl/>
        </w:rPr>
        <w:t>וכי המשכנתא האמורה בטלה ולא היה לה תוקף מעולם ולחלופין כי דינה להתבטל ולהימחק ממרשם המקרקעין</w:t>
      </w:r>
      <w:r>
        <w:rPr>
          <w:rFonts w:ascii="Arial" w:hAnsi="Arial" w:hint="cs"/>
          <w:noProof w:val="0"/>
          <w:rtl/>
        </w:rPr>
        <w:t xml:space="preserve">". </w:t>
      </w:r>
    </w:p>
    <w:p w14:paraId="1951BD58"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בני עותר לדחיית התביעה. </w:t>
      </w:r>
    </w:p>
    <w:p w14:paraId="6FD98F70"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גבי ביקש בכתב הגנתו שלא להביע עמדה ביחס לסעד המבוקש על-ידי דרורה, משום שהוא אינו נוגע אליו. בסיכומיו הוא שינה את טעמו והצטרף לבקשת דרורה למחיקת המשכנתא. </w:t>
      </w:r>
    </w:p>
    <w:p w14:paraId="0860BDEB" w14:textId="77777777" w:rsidR="00363487" w:rsidRDefault="00363487" w:rsidP="00363487">
      <w:pPr>
        <w:pStyle w:val="1"/>
        <w:rPr>
          <w:rFonts w:ascii="Arial" w:hAnsi="Arial"/>
          <w:noProof w:val="0"/>
        </w:rPr>
      </w:pPr>
    </w:p>
    <w:p w14:paraId="02628829"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אלו הן בתמצית גרסאות הצדדים ביחס לרישום המשכנתא: </w:t>
      </w:r>
    </w:p>
    <w:p w14:paraId="190E51AE" w14:textId="77777777" w:rsidR="00363487" w:rsidRPr="00A04899" w:rsidRDefault="00000000" w:rsidP="00363487">
      <w:pPr>
        <w:pStyle w:val="1"/>
        <w:spacing w:line="360" w:lineRule="auto"/>
        <w:ind w:left="369"/>
        <w:jc w:val="both"/>
        <w:rPr>
          <w:rFonts w:ascii="Arial" w:hAnsi="Arial"/>
          <w:noProof w:val="0"/>
          <w:rtl/>
        </w:rPr>
      </w:pPr>
      <w:r w:rsidRPr="00A04899">
        <w:rPr>
          <w:rFonts w:ascii="Arial" w:hAnsi="Arial" w:hint="cs"/>
          <w:b/>
          <w:bCs/>
          <w:noProof w:val="0"/>
          <w:u w:val="single"/>
          <w:rtl/>
        </w:rPr>
        <w:t>דרורה</w:t>
      </w:r>
      <w:r>
        <w:rPr>
          <w:rFonts w:ascii="Arial" w:hAnsi="Arial" w:hint="cs"/>
          <w:noProof w:val="0"/>
          <w:rtl/>
        </w:rPr>
        <w:t xml:space="preserve">: גבי הטעה אותה לחשוב שהיא חותמת על הסכמתה לרישום משכנתא על זכויותיו בלבד, שהן מחצית מכלל הזכויות בבניין, והיא לא ידעה ולא הבינה שהמשכנתא תירשם גם על מחצית מזכויותיה בבניין, באופן שהמשכנתא תחול על מחצית מזכויותיה (רבע מכלל הזכויות) </w:t>
      </w:r>
      <w:r w:rsidRPr="00A04899">
        <w:rPr>
          <w:rFonts w:ascii="Arial" w:hAnsi="Arial" w:hint="cs"/>
          <w:noProof w:val="0"/>
          <w:rtl/>
        </w:rPr>
        <w:t xml:space="preserve">ומחצית מזכויותיו של גבי (רבע מכלל הזכויות); </w:t>
      </w:r>
    </w:p>
    <w:p w14:paraId="55605050" w14:textId="77777777" w:rsidR="00363487" w:rsidRPr="00A04899" w:rsidRDefault="00000000" w:rsidP="00363487">
      <w:pPr>
        <w:pStyle w:val="1"/>
        <w:spacing w:line="360" w:lineRule="auto"/>
        <w:ind w:left="369"/>
        <w:jc w:val="both"/>
        <w:rPr>
          <w:rFonts w:ascii="Arial" w:hAnsi="Arial"/>
          <w:noProof w:val="0"/>
          <w:rtl/>
        </w:rPr>
      </w:pPr>
      <w:r w:rsidRPr="00A04899">
        <w:rPr>
          <w:rFonts w:ascii="Arial" w:hAnsi="Arial" w:hint="cs"/>
          <w:noProof w:val="0"/>
          <w:rtl/>
        </w:rPr>
        <w:t xml:space="preserve">רישום המשכנתא היה "פיקטיבי" והוא נועד להקשות על שלטונות המס, בעקבות הליכים פליליים ואזרחיים שאלה נוהלו נגדו באותה עת הנוגעים לחובות מס ההכנסה שלו; </w:t>
      </w:r>
    </w:p>
    <w:p w14:paraId="6AF5DE35"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בהליך בבית המשפט לענייני משפחה הצהיר גבי כי המשכנתא נרשמה לטובת בני בגין חוב אישי שלו ושל נאוה, שאינו נוגע לה (לדרורה). </w:t>
      </w:r>
    </w:p>
    <w:p w14:paraId="755A8C97" w14:textId="77777777" w:rsidR="00363487" w:rsidRDefault="00000000" w:rsidP="00363487">
      <w:pPr>
        <w:pStyle w:val="1"/>
        <w:spacing w:line="360" w:lineRule="auto"/>
        <w:ind w:left="369"/>
        <w:jc w:val="both"/>
        <w:rPr>
          <w:rFonts w:ascii="Arial" w:hAnsi="Arial"/>
          <w:noProof w:val="0"/>
          <w:rtl/>
        </w:rPr>
      </w:pPr>
      <w:r w:rsidRPr="00501CA5">
        <w:rPr>
          <w:rFonts w:ascii="Arial" w:hAnsi="Arial" w:hint="cs"/>
          <w:b/>
          <w:bCs/>
          <w:noProof w:val="0"/>
          <w:u w:val="single"/>
          <w:rtl/>
        </w:rPr>
        <w:t>בני</w:t>
      </w:r>
      <w:r>
        <w:rPr>
          <w:rFonts w:ascii="Arial" w:hAnsi="Arial" w:hint="cs"/>
          <w:noProof w:val="0"/>
          <w:rtl/>
        </w:rPr>
        <w:t xml:space="preserve">: המשכנתא לא הייתה "פיקטיבית", אלא אמתית והיא נועדה להבטיח תשלום חוב של גבי, נאוה ודרורה, בשל עבודות שיפוץ ובנייה שביצע בנכסי נדל"ן שלהם (חלקם בשותפות עם יואב ואריה), כולל הבניין וכולל בית המגורים של גבי ונאוה בישוב מכבים. </w:t>
      </w:r>
    </w:p>
    <w:p w14:paraId="2DD06814" w14:textId="77777777" w:rsidR="00363487" w:rsidRDefault="00000000" w:rsidP="00363487">
      <w:pPr>
        <w:pStyle w:val="1"/>
        <w:spacing w:line="360" w:lineRule="auto"/>
        <w:ind w:left="369"/>
        <w:jc w:val="both"/>
        <w:rPr>
          <w:rFonts w:ascii="Arial" w:hAnsi="Arial"/>
          <w:noProof w:val="0"/>
          <w:rtl/>
        </w:rPr>
      </w:pPr>
      <w:r>
        <w:rPr>
          <w:rFonts w:ascii="Arial" w:hAnsi="Arial" w:hint="cs"/>
          <w:b/>
          <w:bCs/>
          <w:noProof w:val="0"/>
          <w:u w:val="single"/>
          <w:rtl/>
        </w:rPr>
        <w:t>גבי</w:t>
      </w:r>
      <w:r w:rsidRPr="00501CA5">
        <w:rPr>
          <w:rFonts w:ascii="Arial" w:hAnsi="Arial" w:hint="cs"/>
          <w:noProof w:val="0"/>
          <w:rtl/>
        </w:rPr>
        <w:t>:</w:t>
      </w:r>
      <w:r>
        <w:rPr>
          <w:rFonts w:ascii="Arial" w:hAnsi="Arial" w:hint="cs"/>
          <w:noProof w:val="0"/>
          <w:rtl/>
        </w:rPr>
        <w:t xml:space="preserve"> המשכנתא הייתה "פיקטיבית", כדי להקשות על שלטונות המס מפני הליכי המס שהתנהלו באותה עת נגדו, נגד דרורה ונגד יואב, ובינתיים, בעקבות ההליכים המשפטים נפרעו כל חובותיו וחובות האחרים למס הכנסה ואין מניעה למחיקתה ממרשם המקרקעין; </w:t>
      </w:r>
    </w:p>
    <w:p w14:paraId="2F359E69" w14:textId="77777777" w:rsidR="00363487" w:rsidRDefault="00000000" w:rsidP="00363487">
      <w:pPr>
        <w:pStyle w:val="1"/>
        <w:spacing w:line="360" w:lineRule="auto"/>
        <w:ind w:left="369"/>
        <w:jc w:val="both"/>
        <w:rPr>
          <w:rFonts w:ascii="Arial" w:hAnsi="Arial"/>
          <w:noProof w:val="0"/>
          <w:rtl/>
        </w:rPr>
      </w:pPr>
      <w:r w:rsidRPr="00DC5286">
        <w:rPr>
          <w:rFonts w:ascii="Arial" w:hAnsi="Arial" w:hint="cs"/>
          <w:noProof w:val="0"/>
          <w:rtl/>
        </w:rPr>
        <w:t xml:space="preserve">המשכנתא </w:t>
      </w:r>
      <w:r>
        <w:rPr>
          <w:rFonts w:ascii="Arial" w:hAnsi="Arial" w:hint="cs"/>
          <w:noProof w:val="0"/>
          <w:rtl/>
        </w:rPr>
        <w:t xml:space="preserve">בבניין נרשמה גם על חלקה של דרורה, בידיעתה ובהסכמתה, משום שגם נגדה התנהלו באותה עת הליכי מס. </w:t>
      </w:r>
    </w:p>
    <w:p w14:paraId="370ADF23" w14:textId="77777777" w:rsidR="00363487" w:rsidRPr="00DC5286" w:rsidRDefault="00363487" w:rsidP="00363487">
      <w:pPr>
        <w:pStyle w:val="1"/>
        <w:spacing w:line="360" w:lineRule="auto"/>
        <w:ind w:left="369"/>
        <w:jc w:val="both"/>
        <w:rPr>
          <w:rFonts w:ascii="Arial" w:hAnsi="Arial"/>
          <w:noProof w:val="0"/>
          <w:rtl/>
        </w:rPr>
      </w:pPr>
    </w:p>
    <w:p w14:paraId="371F1603"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נאוה תומכת בגרסת אחותה, דרורה. </w:t>
      </w:r>
    </w:p>
    <w:p w14:paraId="3E9C31D4"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גבי, דרורה ונאוה מכחישים את טענתו של בני, לפיה הוא ביצע עבודות בבניין (הכחשתם של גבי ונאוה מתייחסת גם לביתם במכבים, הכחשתו של גבי מתייחסת גם לנכסי הנדל"ן הנוספים). </w:t>
      </w:r>
    </w:p>
    <w:p w14:paraId="09306976" w14:textId="77777777" w:rsidR="00363487" w:rsidRDefault="00363487" w:rsidP="00363487">
      <w:pPr>
        <w:pStyle w:val="1"/>
        <w:rPr>
          <w:rFonts w:ascii="Arial" w:hAnsi="Arial"/>
          <w:noProof w:val="0"/>
          <w:rtl/>
        </w:rPr>
      </w:pPr>
    </w:p>
    <w:p w14:paraId="214A865F" w14:textId="77777777" w:rsidR="00363487" w:rsidRPr="00785E5D" w:rsidRDefault="00000000" w:rsidP="00363487">
      <w:pPr>
        <w:spacing w:line="360" w:lineRule="auto"/>
        <w:jc w:val="both"/>
        <w:rPr>
          <w:rFonts w:ascii="Arial" w:hAnsi="Arial"/>
          <w:b/>
          <w:bCs/>
          <w:noProof w:val="0"/>
          <w:u w:val="single"/>
        </w:rPr>
      </w:pPr>
      <w:r w:rsidRPr="00785E5D">
        <w:rPr>
          <w:rFonts w:ascii="Arial" w:hAnsi="Arial" w:hint="cs"/>
          <w:b/>
          <w:bCs/>
          <w:noProof w:val="0"/>
          <w:u w:val="single"/>
          <w:rtl/>
        </w:rPr>
        <w:t>דיון והכרעה</w:t>
      </w:r>
    </w:p>
    <w:p w14:paraId="4311AE52"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תחילה, אדון בטענת דרורה, לפיה היא סברה שחתימתה על שטר המשכנתא נועדה לאפשר את רישום המשכנתא על זכויותיו של גבי בלבד בבניין ולא על זכויותיה. </w:t>
      </w:r>
    </w:p>
    <w:p w14:paraId="18596864"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כך היא ניסחה את טענתה בתצהירה (סעיפים 13-11): </w:t>
      </w:r>
    </w:p>
    <w:p w14:paraId="39068DAF" w14:textId="77777777" w:rsidR="00363487" w:rsidRPr="0070673E" w:rsidRDefault="00000000" w:rsidP="00363487">
      <w:pPr>
        <w:pStyle w:val="1"/>
        <w:spacing w:line="360" w:lineRule="auto"/>
        <w:ind w:left="652" w:right="426"/>
        <w:jc w:val="both"/>
        <w:rPr>
          <w:rFonts w:ascii="Arial" w:hAnsi="Arial"/>
          <w:b/>
          <w:bCs/>
          <w:noProof w:val="0"/>
          <w:rtl/>
        </w:rPr>
      </w:pPr>
      <w:r>
        <w:rPr>
          <w:rFonts w:ascii="Arial" w:hAnsi="Arial" w:hint="cs"/>
          <w:noProof w:val="0"/>
          <w:rtl/>
        </w:rPr>
        <w:t>"</w:t>
      </w:r>
      <w:r w:rsidRPr="0078289A">
        <w:rPr>
          <w:rFonts w:ascii="Arial" w:hAnsi="Arial" w:hint="cs"/>
          <w:b/>
          <w:bCs/>
          <w:noProof w:val="0"/>
          <w:rtl/>
        </w:rPr>
        <w:t xml:space="preserve">נתבע 2, שהיה כאמור עו"ד ואיש אמונה של משפחתי ואשר קיבל לידיו את הטיפול בעניינים המשפטיים של משפחתי, פנה אלי, בחודש מרץ 96, וביקש את הסכמתי לחתום על מסמכי רישום משכנתא על מחצית הנכס לטובת אחיו, תוך שהוא מציין כי המשכנתא תרשם על זכויותיו שלו בבניין בלבד וכי חתימתי על המסמכים נדרשת מאחר ששנינו רשומים כבעלים של חלקים בלתי מסוימים בבניין ומסיבה זו (כך לדבריו) לא ניתן לרשום משכנתא על הנכס, ללא הסכמתי. </w:t>
      </w:r>
    </w:p>
    <w:p w14:paraId="4B7645BF" w14:textId="77777777" w:rsidR="00363487" w:rsidRPr="0078289A" w:rsidRDefault="00000000" w:rsidP="00363487">
      <w:pPr>
        <w:pStyle w:val="1"/>
        <w:spacing w:line="360" w:lineRule="auto"/>
        <w:ind w:left="652" w:right="426"/>
        <w:jc w:val="both"/>
        <w:rPr>
          <w:rFonts w:ascii="Arial" w:hAnsi="Arial"/>
          <w:b/>
          <w:bCs/>
          <w:noProof w:val="0"/>
          <w:rtl/>
        </w:rPr>
      </w:pPr>
      <w:r w:rsidRPr="0078289A">
        <w:rPr>
          <w:rFonts w:ascii="Arial" w:hAnsi="Arial" w:hint="cs"/>
          <w:b/>
          <w:bCs/>
          <w:noProof w:val="0"/>
          <w:rtl/>
        </w:rPr>
        <w:t xml:space="preserve">משנוכחתי כי המשכנתא אמנם מיועדת להירשם על מחצית הזכויות בלבד, וביודעי כי מעולם לא התחייבתי בדבר כלפי נתבע 1, האמנתי למצג לפיו זכויותיי בבניין לא ייגרעו. </w:t>
      </w:r>
    </w:p>
    <w:p w14:paraId="135E7BB1" w14:textId="77777777" w:rsidR="00363487" w:rsidRPr="0070673E" w:rsidRDefault="00000000" w:rsidP="00363487">
      <w:pPr>
        <w:pStyle w:val="1"/>
        <w:spacing w:line="360" w:lineRule="auto"/>
        <w:ind w:left="652" w:right="426"/>
        <w:jc w:val="both"/>
        <w:rPr>
          <w:rFonts w:ascii="Arial" w:hAnsi="Arial"/>
          <w:b/>
          <w:bCs/>
          <w:noProof w:val="0"/>
          <w:rtl/>
        </w:rPr>
      </w:pPr>
      <w:r w:rsidRPr="0078289A">
        <w:rPr>
          <w:rFonts w:ascii="Arial" w:hAnsi="Arial" w:hint="cs"/>
          <w:b/>
          <w:bCs/>
          <w:noProof w:val="0"/>
          <w:rtl/>
        </w:rPr>
        <w:t xml:space="preserve">אותה עת נתתי כאמור אמון מלא בנתבע 2 (שכאמור היה גיסי ועוה"ד שטיפל בכל העניינים המשפטיים של משפחתי). לכן, לבקשת נתבע 2, חתמתי על המסמכים שהציג לי, מבלי שנועצתי עם עו"ד אחר קודם לחתימה. אותה עת לא היה לי כל יסוד לחשוב כי נתבע 2 מוליך אותי שולל. </w:t>
      </w:r>
    </w:p>
    <w:p w14:paraId="2ABBFDD5" w14:textId="77777777" w:rsidR="00363487" w:rsidRDefault="00000000" w:rsidP="00363487">
      <w:pPr>
        <w:pStyle w:val="1"/>
        <w:spacing w:line="360" w:lineRule="auto"/>
        <w:ind w:left="652" w:right="426"/>
        <w:jc w:val="both"/>
        <w:rPr>
          <w:rFonts w:ascii="Arial" w:hAnsi="Arial"/>
          <w:noProof w:val="0"/>
          <w:rtl/>
        </w:rPr>
      </w:pPr>
      <w:r w:rsidRPr="0078289A">
        <w:rPr>
          <w:rFonts w:ascii="Arial" w:hAnsi="Arial" w:hint="cs"/>
          <w:b/>
          <w:bCs/>
          <w:noProof w:val="0"/>
          <w:rtl/>
        </w:rPr>
        <w:t>בתיק המשכנתא בלשכת רישום המקרקעין לא נמצא שום הסכם הלוואה או מסמך "תנאים מיוחדים" או כל מסמך נוסף, למעט שטר המשכנתא והבקשה לרישומה. בדיעבד התברר לי שעו"ד ניצן גוטליב ז"ל (שהיה שותפו של נתבע 2) הוא שאימת את חתימתי על שטר המשכנתא, ואולם לפי מיטב זכרוני אני לא חתמתי בפני עו"ד גוטליב המנוח, אלא בפני נתבע 2. עו"ד גוטליב המנוח כלל לא היה במשרד באותה עת</w:t>
      </w:r>
      <w:r>
        <w:rPr>
          <w:rFonts w:ascii="Arial" w:hAnsi="Arial" w:hint="cs"/>
          <w:noProof w:val="0"/>
          <w:rtl/>
        </w:rPr>
        <w:t xml:space="preserve">". </w:t>
      </w:r>
    </w:p>
    <w:p w14:paraId="0905A7A1"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דרורה הוסיפה וסיפרה (סעיף 14) כי היא גילתה שהמשכנתא חלה גם על מחצית מזכויותיה רק בשנת 2012, במסגרת תביעה שגבי הגיש נגדה הנוגעת לבניין. </w:t>
      </w:r>
    </w:p>
    <w:p w14:paraId="38FC7766" w14:textId="77777777" w:rsidR="00363487" w:rsidRDefault="00363487" w:rsidP="00363487">
      <w:pPr>
        <w:pStyle w:val="1"/>
        <w:spacing w:line="360" w:lineRule="auto"/>
        <w:ind w:left="369"/>
        <w:jc w:val="both"/>
        <w:rPr>
          <w:rFonts w:ascii="Arial" w:hAnsi="Arial"/>
          <w:noProof w:val="0"/>
        </w:rPr>
      </w:pPr>
    </w:p>
    <w:p w14:paraId="487D4877"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אציין תחילה, כי גרסתה זו של דרורה הוכחשה על-ידי גבי (שדווקא תמך בגרסתה הנוספת, לפיה כל רישום המשכנתא היה "פיקטיבי") בתצהירו (סעיפים 30-29): </w:t>
      </w:r>
    </w:p>
    <w:p w14:paraId="0951D0DB" w14:textId="77777777" w:rsidR="00363487" w:rsidRPr="0070673E" w:rsidRDefault="00000000" w:rsidP="00363487">
      <w:pPr>
        <w:pStyle w:val="1"/>
        <w:spacing w:line="360" w:lineRule="auto"/>
        <w:ind w:left="652" w:right="426"/>
        <w:jc w:val="both"/>
        <w:rPr>
          <w:rFonts w:ascii="Arial" w:hAnsi="Arial"/>
          <w:b/>
          <w:bCs/>
          <w:noProof w:val="0"/>
          <w:rtl/>
        </w:rPr>
      </w:pPr>
      <w:r>
        <w:rPr>
          <w:rFonts w:ascii="Arial" w:hAnsi="Arial" w:hint="cs"/>
          <w:noProof w:val="0"/>
          <w:rtl/>
        </w:rPr>
        <w:t>"</w:t>
      </w:r>
      <w:r w:rsidRPr="00F84F20">
        <w:rPr>
          <w:rFonts w:ascii="Arial" w:hAnsi="Arial" w:hint="cs"/>
          <w:b/>
          <w:bCs/>
          <w:noProof w:val="0"/>
          <w:rtl/>
        </w:rPr>
        <w:t>במסגרת המתקפה העצומה של מס הכנסה כנגדי וכנגד יואב (אחיהן של נדב ודרורה), נקט מס הכנסה חקירות והליכים, גם כנגד דרורה, וגם כנגד נאוה. לפיכך ביקשה דרורה להגן אף היא [</w:t>
      </w:r>
      <w:r w:rsidRPr="00F84F20">
        <w:rPr>
          <w:rFonts w:ascii="Arial" w:hAnsi="Arial" w:hint="cs"/>
          <w:noProof w:val="0"/>
          <w:rtl/>
        </w:rPr>
        <w:t>על</w:t>
      </w:r>
      <w:r w:rsidRPr="00F84F20">
        <w:rPr>
          <w:rFonts w:ascii="Arial" w:hAnsi="Arial" w:hint="cs"/>
          <w:b/>
          <w:bCs/>
          <w:noProof w:val="0"/>
          <w:rtl/>
        </w:rPr>
        <w:t xml:space="preserve">] רכוש הרשום בבעלותה ורשמה משכנתא לטובת בני על חלק מהבעלות שלה ברחוב הראב"ע. גם על רכוש שהיה רשום בבעלות נאוה נרשמו משכנתאות לטובת בני משפחה (למשל יונה נדב) מצורף נסח מקרקעין של נכס ברחוב מקווה ישראל 2 המעיד על כך. </w:t>
      </w:r>
    </w:p>
    <w:p w14:paraId="22C609F2" w14:textId="77777777" w:rsidR="00363487" w:rsidRDefault="00000000" w:rsidP="00363487">
      <w:pPr>
        <w:pStyle w:val="1"/>
        <w:spacing w:line="360" w:lineRule="auto"/>
        <w:ind w:left="652" w:right="426"/>
        <w:jc w:val="both"/>
        <w:rPr>
          <w:rFonts w:ascii="Arial" w:hAnsi="Arial"/>
          <w:noProof w:val="0"/>
          <w:rtl/>
        </w:rPr>
      </w:pPr>
      <w:r w:rsidRPr="00F84F20">
        <w:rPr>
          <w:rFonts w:ascii="Arial" w:hAnsi="Arial" w:hint="cs"/>
          <w:b/>
          <w:bCs/>
          <w:noProof w:val="0"/>
          <w:rtl/>
        </w:rPr>
        <w:t>ככל הנראה דרורה לא זכרה את נסיבות רישום המשכנתא, מכל מקום טענותיה כנגדי בעניין רישום המשכנתא אינן נכונות, והן גם לא יכולות להיות נכונות</w:t>
      </w:r>
      <w:r>
        <w:rPr>
          <w:rFonts w:ascii="Arial" w:hAnsi="Arial" w:hint="cs"/>
          <w:noProof w:val="0"/>
          <w:rtl/>
        </w:rPr>
        <w:t xml:space="preserve">". </w:t>
      </w:r>
    </w:p>
    <w:p w14:paraId="22785F15" w14:textId="77777777" w:rsidR="00363487" w:rsidRDefault="00363487" w:rsidP="00363487">
      <w:pPr>
        <w:pStyle w:val="1"/>
        <w:rPr>
          <w:rFonts w:ascii="Arial" w:hAnsi="Arial"/>
          <w:noProof w:val="0"/>
        </w:rPr>
      </w:pPr>
    </w:p>
    <w:p w14:paraId="7EE47E1E"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אינני נותן אמון בגרסתה זו של דרורה. </w:t>
      </w:r>
    </w:p>
    <w:p w14:paraId="1EC74EC5"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בשטר המשכנתא (נספח ב' לתצהירה) מוגדרים דרורה וגבי יחדיו כ"ממשכן" ודרורה חתמה, יחד עם גבי, ברובריקה הנושאת את הכותרת "חתימת הממשכן/ים". </w:t>
      </w:r>
    </w:p>
    <w:p w14:paraId="5F25976F"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ברובריקה המיועדת לתיאור המקרקעין הממושכנים נרשם כי המשכון מתייחס למחצית מהבעלות בבניין, ולא מצוין בה כי היא חלה על מחצית הזכויות של גבי בלבד בבניין. </w:t>
      </w:r>
    </w:p>
    <w:p w14:paraId="402F5C2F"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הדברים הללו כתובים שחור על גבי לבן בשטר המשכנתא ואינם זקוקים לכל פירוש נוסף. </w:t>
      </w:r>
    </w:p>
    <w:p w14:paraId="73F04F43"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יצוין, כי דרורה, כפי שהתברר במהלך חקירתה, היא אשת עסקים מנוסה, שהייתה שותפה בעת מגוריה בארה"ב במפעל נעליים ובעסק של מוניות (עמ' 107 לפרו'). </w:t>
      </w:r>
    </w:p>
    <w:p w14:paraId="651DB586"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לפיכך, דרורה איננה יכולה להישמע בטענה שלא הוסברה לה משמעות חתימתה על השטר, בין אם היא חתמה בפני עו"ד גוטליב ז"ל ובין אם חתמה בפני גבי. </w:t>
      </w:r>
    </w:p>
    <w:p w14:paraId="3FC9BD02" w14:textId="77777777" w:rsidR="00363487" w:rsidRPr="00262B0E" w:rsidRDefault="00363487" w:rsidP="00363487">
      <w:pPr>
        <w:pStyle w:val="1"/>
        <w:spacing w:line="360" w:lineRule="auto"/>
        <w:ind w:left="369"/>
        <w:jc w:val="both"/>
        <w:rPr>
          <w:rFonts w:ascii="Arial" w:hAnsi="Arial"/>
          <w:noProof w:val="0"/>
        </w:rPr>
      </w:pPr>
    </w:p>
    <w:p w14:paraId="3964BBB6" w14:textId="77777777" w:rsidR="00363487" w:rsidRDefault="00000000" w:rsidP="00363487">
      <w:pPr>
        <w:spacing w:line="360" w:lineRule="auto"/>
        <w:ind w:left="360"/>
        <w:jc w:val="both"/>
        <w:rPr>
          <w:rFonts w:ascii="Arial" w:hAnsi="Arial"/>
          <w:noProof w:val="0"/>
          <w:rtl/>
        </w:rPr>
      </w:pPr>
      <w:r w:rsidRPr="00262B0E">
        <w:rPr>
          <w:rFonts w:ascii="Arial" w:hAnsi="Arial" w:hint="cs"/>
          <w:noProof w:val="0"/>
          <w:rtl/>
        </w:rPr>
        <w:t xml:space="preserve">כך נפסק: </w:t>
      </w:r>
      <w:r>
        <w:rPr>
          <w:rFonts w:ascii="Arial" w:hAnsi="Arial" w:hint="cs"/>
          <w:b/>
          <w:bCs/>
          <w:noProof w:val="0"/>
          <w:rtl/>
        </w:rPr>
        <w:t>"</w:t>
      </w:r>
      <w:r w:rsidRPr="00D41055">
        <w:rPr>
          <w:rFonts w:ascii="Arial" w:hAnsi="Arial"/>
          <w:b/>
          <w:bCs/>
          <w:noProof w:val="0"/>
          <w:rtl/>
        </w:rPr>
        <w:t>יובהר בהקשר זה כי אדם החותם על מסמך בלא לדעת את תוכנו לא יישמע בטענה שלא קרא את המסמך ולא ידע על מה חתם ולמה התחייב, שכן חזקה עליו שחתם לאות הסכמתו, יהא תוכן המסמך אשר יהא (וראו:</w:t>
      </w:r>
      <w:r w:rsidR="00E071F6">
        <w:rPr>
          <w:rFonts w:ascii="Arial" w:hAnsi="Arial"/>
          <w:b/>
          <w:bCs/>
          <w:noProof w:val="0"/>
          <w:rtl/>
        </w:rPr>
        <w:t xml:space="preserve"> </w:t>
      </w:r>
      <w:hyperlink r:id="rId7" w:history="1">
        <w:r w:rsidR="00E071F6" w:rsidRPr="00E071F6">
          <w:rPr>
            <w:rFonts w:ascii="Arial" w:hAnsi="Arial"/>
            <w:b/>
            <w:bCs/>
            <w:noProof w:val="0"/>
            <w:color w:val="0000FF"/>
            <w:u w:val="single"/>
            <w:rtl/>
          </w:rPr>
          <w:t>ע"א 467/64</w:t>
        </w:r>
      </w:hyperlink>
      <w:r w:rsidR="00E071F6">
        <w:rPr>
          <w:rFonts w:ascii="Arial" w:hAnsi="Arial"/>
          <w:b/>
          <w:bCs/>
          <w:noProof w:val="0"/>
          <w:rtl/>
        </w:rPr>
        <w:t xml:space="preserve"> </w:t>
      </w:r>
      <w:r w:rsidRPr="00D41055">
        <w:rPr>
          <w:rFonts w:ascii="Arial" w:hAnsi="Arial"/>
          <w:b/>
          <w:bCs/>
          <w:noProof w:val="0"/>
          <w:rtl/>
        </w:rPr>
        <w:t>שוייץ נ' סנדור, פ"ד יט, 113, 117 (1965);</w:t>
      </w:r>
      <w:r w:rsidR="00E071F6">
        <w:rPr>
          <w:rFonts w:ascii="Arial" w:hAnsi="Arial"/>
          <w:b/>
          <w:bCs/>
          <w:noProof w:val="0"/>
          <w:rtl/>
        </w:rPr>
        <w:t xml:space="preserve"> </w:t>
      </w:r>
      <w:hyperlink r:id="rId8" w:history="1">
        <w:r w:rsidR="00E071F6" w:rsidRPr="00E071F6">
          <w:rPr>
            <w:rFonts w:ascii="Arial" w:hAnsi="Arial"/>
            <w:b/>
            <w:bCs/>
            <w:noProof w:val="0"/>
            <w:color w:val="0000FF"/>
            <w:u w:val="single"/>
            <w:rtl/>
          </w:rPr>
          <w:t>ע"א 413/79</w:t>
        </w:r>
      </w:hyperlink>
      <w:r w:rsidR="00E071F6">
        <w:rPr>
          <w:rFonts w:ascii="Arial" w:hAnsi="Arial"/>
          <w:b/>
          <w:bCs/>
          <w:noProof w:val="0"/>
          <w:rtl/>
        </w:rPr>
        <w:t xml:space="preserve"> </w:t>
      </w:r>
      <w:r w:rsidRPr="00D41055">
        <w:rPr>
          <w:rFonts w:ascii="Arial" w:hAnsi="Arial"/>
          <w:b/>
          <w:bCs/>
          <w:noProof w:val="0"/>
          <w:rtl/>
        </w:rPr>
        <w:t>אדלר חברה לבנין בע"מ נ' מנצור, פ"ד לד(4), 29, 38 (1980);</w:t>
      </w:r>
      <w:r w:rsidR="00E071F6">
        <w:rPr>
          <w:rFonts w:ascii="Arial" w:hAnsi="Arial"/>
          <w:b/>
          <w:bCs/>
          <w:noProof w:val="0"/>
          <w:rtl/>
        </w:rPr>
        <w:t xml:space="preserve"> </w:t>
      </w:r>
      <w:hyperlink r:id="rId9" w:history="1">
        <w:r w:rsidR="00E071F6" w:rsidRPr="00E071F6">
          <w:rPr>
            <w:rFonts w:ascii="Arial" w:hAnsi="Arial"/>
            <w:b/>
            <w:bCs/>
            <w:noProof w:val="0"/>
            <w:color w:val="0000FF"/>
            <w:u w:val="single"/>
            <w:rtl/>
          </w:rPr>
          <w:t>ע"א 8163/05</w:t>
        </w:r>
      </w:hyperlink>
      <w:r w:rsidR="00E071F6">
        <w:rPr>
          <w:rFonts w:ascii="Arial" w:hAnsi="Arial"/>
          <w:b/>
          <w:bCs/>
          <w:noProof w:val="0"/>
          <w:rtl/>
        </w:rPr>
        <w:t xml:space="preserve"> </w:t>
      </w:r>
      <w:r w:rsidRPr="00D41055">
        <w:rPr>
          <w:rFonts w:ascii="Arial" w:hAnsi="Arial"/>
          <w:b/>
          <w:bCs/>
          <w:noProof w:val="0"/>
          <w:rtl/>
        </w:rPr>
        <w:t>הדר חברה לביטוח בע"מ נ' פלוני (לא פורסם, [נבו], 6.8.2007), סעיפים 30-27 לפסק הדין</w:t>
      </w:r>
      <w:r w:rsidRPr="00D41055">
        <w:rPr>
          <w:rFonts w:ascii="Arial" w:hAnsi="Arial"/>
          <w:noProof w:val="0"/>
          <w:rtl/>
        </w:rPr>
        <w:t xml:space="preserve">." </w:t>
      </w:r>
      <w:r>
        <w:rPr>
          <w:rFonts w:ascii="Arial" w:hAnsi="Arial" w:hint="cs"/>
          <w:noProof w:val="0"/>
          <w:rtl/>
        </w:rPr>
        <w:t xml:space="preserve"> </w:t>
      </w:r>
      <w:r w:rsidRPr="00D41055">
        <w:rPr>
          <w:rFonts w:ascii="Arial" w:hAnsi="Arial"/>
          <w:noProof w:val="0"/>
          <w:rtl/>
        </w:rPr>
        <w:t>(</w:t>
      </w:r>
      <w:hyperlink r:id="rId10" w:history="1">
        <w:r w:rsidR="00890C38" w:rsidRPr="00890C38">
          <w:rPr>
            <w:rStyle w:val="Hyperlink"/>
            <w:rFonts w:ascii="Arial" w:hAnsi="Arial"/>
            <w:noProof w:val="0"/>
            <w:rtl/>
          </w:rPr>
          <w:t>ע"א 2731-07</w:t>
        </w:r>
      </w:hyperlink>
      <w:r w:rsidR="00E071F6">
        <w:rPr>
          <w:rFonts w:ascii="Arial" w:hAnsi="Arial"/>
          <w:noProof w:val="0"/>
          <w:rtl/>
        </w:rPr>
        <w:t xml:space="preserve"> </w:t>
      </w:r>
      <w:r w:rsidRPr="00615CF3">
        <w:rPr>
          <w:rFonts w:ascii="Arial" w:hAnsi="Arial"/>
          <w:noProof w:val="0"/>
          <w:rtl/>
        </w:rPr>
        <w:t>אסעד יוסף חמוד נ' סעיד חטאר חאג'</w:t>
      </w:r>
      <w:r w:rsidR="00E071F6">
        <w:rPr>
          <w:rFonts w:ascii="Arial" w:hAnsi="Arial"/>
          <w:noProof w:val="0"/>
          <w:rtl/>
        </w:rPr>
        <w:t xml:space="preserve"> </w:t>
      </w:r>
      <w:r w:rsidRPr="00615CF3">
        <w:rPr>
          <w:rFonts w:ascii="Arial" w:hAnsi="Arial"/>
          <w:noProof w:val="0"/>
          <w:rtl/>
        </w:rPr>
        <w:t>[נבו] ( 29.3.2009), פסקה 35).</w:t>
      </w:r>
    </w:p>
    <w:p w14:paraId="6882019E" w14:textId="77777777" w:rsidR="00363487" w:rsidRPr="00D41055" w:rsidRDefault="00363487" w:rsidP="00363487">
      <w:pPr>
        <w:spacing w:line="360" w:lineRule="auto"/>
        <w:ind w:left="360"/>
        <w:jc w:val="both"/>
        <w:rPr>
          <w:rFonts w:ascii="Arial" w:hAnsi="Arial"/>
          <w:noProof w:val="0"/>
        </w:rPr>
      </w:pPr>
    </w:p>
    <w:p w14:paraId="5E84F5B2" w14:textId="77777777" w:rsidR="00363487" w:rsidRPr="00615CF3" w:rsidRDefault="00000000" w:rsidP="00363487">
      <w:pPr>
        <w:spacing w:line="360" w:lineRule="auto"/>
        <w:ind w:left="360"/>
        <w:jc w:val="both"/>
        <w:rPr>
          <w:rFonts w:ascii="Arial" w:hAnsi="Arial"/>
          <w:b/>
          <w:bCs/>
          <w:noProof w:val="0"/>
          <w:rtl/>
        </w:rPr>
      </w:pPr>
      <w:r w:rsidRPr="00615CF3">
        <w:rPr>
          <w:rFonts w:ascii="Arial" w:hAnsi="Arial"/>
          <w:noProof w:val="0"/>
          <w:rtl/>
        </w:rPr>
        <w:t>הלכה זו כוחה יפה, וביתר שאת, כאשר עניין לנו במסמכים בעלי חשיבות, שכן, ההיגיון מחייב כי החתימה עליהם לא תיעשה בהיסח דעת</w:t>
      </w:r>
      <w:r w:rsidRPr="00615CF3">
        <w:rPr>
          <w:rFonts w:ascii="Arial" w:hAnsi="Arial"/>
          <w:b/>
          <w:bCs/>
          <w:noProof w:val="0"/>
          <w:rtl/>
        </w:rPr>
        <w:t xml:space="preserve"> (</w:t>
      </w:r>
      <w:hyperlink r:id="rId11" w:history="1">
        <w:r w:rsidR="00E071F6" w:rsidRPr="00E071F6">
          <w:rPr>
            <w:rFonts w:ascii="Arial" w:hAnsi="Arial"/>
            <w:b/>
            <w:bCs/>
            <w:noProof w:val="0"/>
            <w:color w:val="0000FF"/>
            <w:u w:val="single"/>
            <w:rtl/>
          </w:rPr>
          <w:t>ע"א 1319/06</w:t>
        </w:r>
      </w:hyperlink>
      <w:r w:rsidR="00E071F6">
        <w:rPr>
          <w:rFonts w:ascii="Arial" w:hAnsi="Arial"/>
          <w:b/>
          <w:bCs/>
          <w:noProof w:val="0"/>
          <w:rtl/>
        </w:rPr>
        <w:t xml:space="preserve"> </w:t>
      </w:r>
      <w:r w:rsidRPr="00615CF3">
        <w:rPr>
          <w:rFonts w:ascii="Arial" w:hAnsi="Arial"/>
          <w:b/>
          <w:bCs/>
          <w:noProof w:val="0"/>
          <w:rtl/>
        </w:rPr>
        <w:t>משה שלק</w:t>
      </w:r>
      <w:r w:rsidR="00E071F6">
        <w:rPr>
          <w:rFonts w:ascii="Arial" w:hAnsi="Arial"/>
          <w:b/>
          <w:bCs/>
          <w:noProof w:val="0"/>
          <w:rtl/>
        </w:rPr>
        <w:t xml:space="preserve"> </w:t>
      </w:r>
      <w:r w:rsidRPr="00615CF3">
        <w:rPr>
          <w:rFonts w:ascii="Arial" w:hAnsi="Arial"/>
          <w:b/>
          <w:bCs/>
          <w:noProof w:val="0"/>
          <w:rtl/>
        </w:rPr>
        <w:t>נ</w:t>
      </w:r>
      <w:r w:rsidRPr="00615CF3">
        <w:rPr>
          <w:rFonts w:ascii="Arial" w:hAnsi="Arial"/>
          <w:b/>
          <w:bCs/>
          <w:noProof w:val="0"/>
        </w:rPr>
        <w:t>'</w:t>
      </w:r>
      <w:r w:rsidR="00E071F6">
        <w:rPr>
          <w:rFonts w:ascii="Arial" w:hAnsi="Arial"/>
          <w:b/>
          <w:bCs/>
          <w:noProof w:val="0"/>
        </w:rPr>
        <w:t xml:space="preserve"> </w:t>
      </w:r>
      <w:r w:rsidRPr="00615CF3">
        <w:rPr>
          <w:rFonts w:ascii="Arial" w:hAnsi="Arial"/>
          <w:b/>
          <w:bCs/>
          <w:noProof w:val="0"/>
          <w:rtl/>
        </w:rPr>
        <w:t>טנא נגה (שווק) 1981 בע"מ</w:t>
      </w:r>
      <w:r w:rsidR="00E071F6">
        <w:rPr>
          <w:rFonts w:ascii="Arial" w:hAnsi="Arial"/>
          <w:b/>
          <w:bCs/>
          <w:noProof w:val="0"/>
          <w:rtl/>
        </w:rPr>
        <w:t xml:space="preserve"> </w:t>
      </w:r>
      <w:r w:rsidRPr="00615CF3">
        <w:rPr>
          <w:rFonts w:ascii="Arial" w:hAnsi="Arial"/>
          <w:b/>
          <w:bCs/>
          <w:noProof w:val="0"/>
          <w:rtl/>
        </w:rPr>
        <w:t>[נבו] (20.3.2007), פסקה 11, וכן ראו:</w:t>
      </w:r>
      <w:r w:rsidR="00E071F6">
        <w:rPr>
          <w:rFonts w:ascii="Arial" w:hAnsi="Arial"/>
          <w:b/>
          <w:bCs/>
          <w:noProof w:val="0"/>
          <w:rtl/>
        </w:rPr>
        <w:t xml:space="preserve"> </w:t>
      </w:r>
      <w:hyperlink r:id="rId12" w:history="1">
        <w:r w:rsidR="00890C38" w:rsidRPr="00890C38">
          <w:rPr>
            <w:rStyle w:val="Hyperlink"/>
            <w:rFonts w:ascii="Arial" w:hAnsi="Arial"/>
            <w:b/>
            <w:bCs/>
            <w:noProof w:val="0"/>
            <w:rtl/>
          </w:rPr>
          <w:t>ע"א 8242/05</w:t>
        </w:r>
      </w:hyperlink>
      <w:r w:rsidR="00E071F6">
        <w:rPr>
          <w:rFonts w:ascii="Arial" w:hAnsi="Arial"/>
          <w:b/>
          <w:bCs/>
          <w:noProof w:val="0"/>
          <w:rtl/>
        </w:rPr>
        <w:t xml:space="preserve"> </w:t>
      </w:r>
      <w:r w:rsidRPr="00615CF3">
        <w:rPr>
          <w:rFonts w:ascii="Arial" w:hAnsi="Arial"/>
          <w:b/>
          <w:bCs/>
          <w:noProof w:val="0"/>
          <w:rtl/>
        </w:rPr>
        <w:t>דואק נ' בנק דיסקונט למשכנתאות בע"מ</w:t>
      </w:r>
      <w:r w:rsidR="00E071F6">
        <w:rPr>
          <w:rFonts w:ascii="Arial" w:hAnsi="Arial"/>
          <w:b/>
          <w:bCs/>
          <w:noProof w:val="0"/>
          <w:rtl/>
        </w:rPr>
        <w:t xml:space="preserve"> </w:t>
      </w:r>
      <w:r w:rsidRPr="00615CF3">
        <w:rPr>
          <w:rFonts w:ascii="Arial" w:hAnsi="Arial"/>
          <w:b/>
          <w:bCs/>
          <w:noProof w:val="0"/>
          <w:rtl/>
        </w:rPr>
        <w:t>[נבו] (14.11.2005), פסקה 3;</w:t>
      </w:r>
      <w:r w:rsidR="00E071F6">
        <w:rPr>
          <w:rFonts w:ascii="Arial" w:hAnsi="Arial"/>
          <w:b/>
          <w:bCs/>
          <w:noProof w:val="0"/>
          <w:rtl/>
        </w:rPr>
        <w:t xml:space="preserve"> </w:t>
      </w:r>
      <w:hyperlink r:id="rId13" w:history="1">
        <w:r w:rsidR="00E071F6" w:rsidRPr="00E071F6">
          <w:rPr>
            <w:rFonts w:ascii="Arial" w:hAnsi="Arial"/>
            <w:b/>
            <w:bCs/>
            <w:noProof w:val="0"/>
            <w:color w:val="0000FF"/>
            <w:u w:val="single"/>
            <w:rtl/>
          </w:rPr>
          <w:t>ע"א 8533/06</w:t>
        </w:r>
      </w:hyperlink>
      <w:r w:rsidR="00E071F6">
        <w:rPr>
          <w:rFonts w:ascii="Arial" w:hAnsi="Arial"/>
          <w:b/>
          <w:bCs/>
          <w:noProof w:val="0"/>
          <w:rtl/>
        </w:rPr>
        <w:t xml:space="preserve"> </w:t>
      </w:r>
      <w:r w:rsidRPr="00615CF3">
        <w:rPr>
          <w:rFonts w:ascii="Arial" w:hAnsi="Arial"/>
          <w:b/>
          <w:bCs/>
          <w:noProof w:val="0"/>
          <w:rtl/>
        </w:rPr>
        <w:t>גילמן נ' בנק הפועלים אמריקאי ישראלי בע"מ</w:t>
      </w:r>
      <w:r w:rsidR="00E071F6">
        <w:rPr>
          <w:rFonts w:ascii="Arial" w:hAnsi="Arial"/>
          <w:b/>
          <w:bCs/>
          <w:noProof w:val="0"/>
          <w:rtl/>
        </w:rPr>
        <w:t xml:space="preserve"> </w:t>
      </w:r>
      <w:r w:rsidRPr="00615CF3">
        <w:rPr>
          <w:rFonts w:ascii="Arial" w:hAnsi="Arial"/>
          <w:b/>
          <w:bCs/>
          <w:noProof w:val="0"/>
          <w:rtl/>
        </w:rPr>
        <w:t>[נבו] (5.8.2008), פסקה 5)</w:t>
      </w:r>
      <w:r w:rsidRPr="00615CF3">
        <w:rPr>
          <w:rFonts w:ascii="Arial" w:hAnsi="Arial" w:hint="cs"/>
          <w:b/>
          <w:bCs/>
          <w:noProof w:val="0"/>
          <w:rtl/>
        </w:rPr>
        <w:t xml:space="preserve">. </w:t>
      </w:r>
      <w:r w:rsidRPr="00615CF3">
        <w:rPr>
          <w:rFonts w:ascii="Arial" w:hAnsi="Arial" w:hint="cs"/>
          <w:noProof w:val="0"/>
          <w:rtl/>
        </w:rPr>
        <w:t xml:space="preserve"> </w:t>
      </w:r>
    </w:p>
    <w:p w14:paraId="2DD28BB3" w14:textId="77777777" w:rsidR="00363487" w:rsidRPr="00F84F20" w:rsidRDefault="00363487" w:rsidP="00363487">
      <w:pPr>
        <w:pStyle w:val="1"/>
        <w:rPr>
          <w:rFonts w:ascii="Arial" w:hAnsi="Arial"/>
          <w:noProof w:val="0"/>
        </w:rPr>
      </w:pPr>
    </w:p>
    <w:p w14:paraId="01462A4C"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אין בהיעדרם של הסכם ומסמכים נלווים לשטר המשכנתא כדי לגרוע מתוקפו. </w:t>
      </w:r>
    </w:p>
    <w:p w14:paraId="7BD15808"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שטר המשכנתא הינו, כשלעצמו, חוזה שנכרת בין הממשכן, החייב, לבין בעל המשכנתא, הנושה (</w:t>
      </w:r>
      <w:hyperlink r:id="rId14" w:history="1">
        <w:r w:rsidR="00E071F6" w:rsidRPr="00E071F6">
          <w:rPr>
            <w:rFonts w:ascii="Arial" w:hAnsi="Arial"/>
            <w:noProof w:val="0"/>
            <w:color w:val="0000FF"/>
            <w:u w:val="single"/>
            <w:rtl/>
          </w:rPr>
          <w:t>רע"א 7816/06</w:t>
        </w:r>
      </w:hyperlink>
      <w:r>
        <w:rPr>
          <w:rFonts w:ascii="Arial" w:hAnsi="Arial" w:hint="cs"/>
          <w:noProof w:val="0"/>
          <w:rtl/>
        </w:rPr>
        <w:t xml:space="preserve"> </w:t>
      </w:r>
      <w:r w:rsidRPr="00D41055">
        <w:rPr>
          <w:rFonts w:ascii="Arial" w:hAnsi="Arial" w:hint="cs"/>
          <w:b/>
          <w:bCs/>
          <w:noProof w:val="0"/>
          <w:rtl/>
        </w:rPr>
        <w:t>עו"ד יעקב . בויאר- בתפקידו ככונס נכסים נ' עז' המנוח מר דוד מרמלשטיין ז"ל</w:t>
      </w:r>
      <w:r>
        <w:rPr>
          <w:rFonts w:ascii="Arial" w:hAnsi="Arial" w:hint="cs"/>
          <w:noProof w:val="0"/>
          <w:rtl/>
        </w:rPr>
        <w:t xml:space="preserve"> </w:t>
      </w:r>
      <w:r w:rsidR="00890C38">
        <w:rPr>
          <w:rFonts w:ascii="Arial" w:hAnsi="Arial"/>
          <w:noProof w:val="0"/>
          <w:rtl/>
        </w:rPr>
        <w:t>[נבו]</w:t>
      </w:r>
      <w:r w:rsidR="00890C38">
        <w:rPr>
          <w:rFonts w:ascii="Arial" w:hAnsi="Arial" w:hint="cs"/>
          <w:noProof w:val="0"/>
          <w:rtl/>
        </w:rPr>
        <w:t xml:space="preserve"> </w:t>
      </w:r>
      <w:r>
        <w:rPr>
          <w:rFonts w:ascii="Arial" w:hAnsi="Arial" w:hint="cs"/>
          <w:noProof w:val="0"/>
          <w:rtl/>
        </w:rPr>
        <w:t>(1.10.2009, פסקה 30)), ומשכנתא רשומה הינה חיוב שדינו כפסק דין (</w:t>
      </w:r>
      <w:hyperlink r:id="rId15" w:history="1">
        <w:r w:rsidR="005F5511" w:rsidRPr="005F5511">
          <w:rPr>
            <w:rStyle w:val="Hyperlink"/>
            <w:rFonts w:ascii="Arial" w:hAnsi="Arial" w:hint="eastAsia"/>
            <w:noProof w:val="0"/>
            <w:rtl/>
          </w:rPr>
          <w:t>סעיף</w:t>
        </w:r>
        <w:r w:rsidR="005F5511" w:rsidRPr="005F5511">
          <w:rPr>
            <w:rStyle w:val="Hyperlink"/>
            <w:rFonts w:ascii="Arial" w:hAnsi="Arial"/>
            <w:noProof w:val="0"/>
            <w:rtl/>
          </w:rPr>
          <w:t xml:space="preserve"> 81</w:t>
        </w:r>
      </w:hyperlink>
      <w:r>
        <w:rPr>
          <w:rFonts w:ascii="Arial" w:hAnsi="Arial" w:hint="cs"/>
          <w:noProof w:val="0"/>
          <w:rtl/>
        </w:rPr>
        <w:t xml:space="preserve"> </w:t>
      </w:r>
      <w:r w:rsidRPr="00D41055">
        <w:rPr>
          <w:rFonts w:ascii="Arial" w:hAnsi="Arial" w:hint="cs"/>
          <w:b/>
          <w:bCs/>
          <w:noProof w:val="0"/>
          <w:rtl/>
        </w:rPr>
        <w:t>ל</w:t>
      </w:r>
      <w:hyperlink r:id="rId16" w:history="1">
        <w:r w:rsidR="00E071F6" w:rsidRPr="00E071F6">
          <w:rPr>
            <w:rFonts w:ascii="Arial" w:hAnsi="Arial"/>
            <w:b/>
            <w:bCs/>
            <w:noProof w:val="0"/>
            <w:color w:val="0000FF"/>
            <w:u w:val="single"/>
            <w:rtl/>
          </w:rPr>
          <w:t>חוק ההוצאה לפועל</w:t>
        </w:r>
      </w:hyperlink>
      <w:r w:rsidRPr="00D41055">
        <w:rPr>
          <w:rFonts w:ascii="Arial" w:hAnsi="Arial" w:hint="cs"/>
          <w:b/>
          <w:bCs/>
          <w:noProof w:val="0"/>
          <w:rtl/>
        </w:rPr>
        <w:t>, התשכ"ז-1967</w:t>
      </w:r>
      <w:r>
        <w:rPr>
          <w:rFonts w:ascii="Arial" w:hAnsi="Arial" w:hint="cs"/>
          <w:noProof w:val="0"/>
          <w:rtl/>
        </w:rPr>
        <w:t xml:space="preserve">). </w:t>
      </w:r>
    </w:p>
    <w:p w14:paraId="292B347A"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ברור, שאילו הצדדים לשטר המשכנתא היו טורחים לצרף אליו הסכם המגדיר את כל תנאיו, או מסמכים נלווים אחרים, הדבר היה חוסך התדיינות ומחלוקות, כפי שנפרשו בהליך זה, אך אין בהיעדרם של אלה, כאמור, כדי לשלול את תוקפו של שטר המשכנתא או לגרוע מכוחו המשפטי. </w:t>
      </w:r>
    </w:p>
    <w:p w14:paraId="7988FE37" w14:textId="77777777" w:rsidR="00363487" w:rsidRDefault="00363487" w:rsidP="00363487">
      <w:pPr>
        <w:pStyle w:val="1"/>
        <w:rPr>
          <w:rFonts w:ascii="Arial" w:hAnsi="Arial"/>
          <w:noProof w:val="0"/>
        </w:rPr>
      </w:pPr>
    </w:p>
    <w:p w14:paraId="178D7247"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עתה אדון בגרסתה הנוספת של דרורה, לפיה, המשכנתא נעשתה באופן "פיקטיבי", בידיעתו של גבי, על מנת להקשות על שלטונות המס במימוש נכסיו, בעקבות הליכים אזרחיים ופליליים הקשורים למס הכנסה שהתנהלו אותה עת נגדו. </w:t>
      </w:r>
    </w:p>
    <w:p w14:paraId="2865CFA8"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גרסה זו נתמכת על-ידי גבי, אם כי לטענתו, גם דרורה הייתה שותפה ליוזמה זו, בעקבות הליכי מס שהתנהלו נגדה. </w:t>
      </w:r>
    </w:p>
    <w:p w14:paraId="64DC2CE8"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כנגדם, עומדת גרסתו של בני, לפיה המשכנתא נעשתה באופן "אמיתי", כדי להבטיח את חובותיהם של גבי, דרורה ונאוה אליו, בגין עבודות שיפוצים שביצע עבורם בבניין, בביתם של גבי ונאוה במכבים ובנכסים נוספים. </w:t>
      </w:r>
    </w:p>
    <w:p w14:paraId="6DB3A80E"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שתי הגרסאות אינן חפות מקשיים, כפי שאפרט להלן, אך מבין שתיהן, אני מעדיף את גרסתו של בני על פני גרסתם של דרורה וגבי, מהנימוקים שיפורטו להלן. </w:t>
      </w:r>
    </w:p>
    <w:p w14:paraId="204310E2" w14:textId="77777777" w:rsidR="00363487" w:rsidRPr="00155C44" w:rsidRDefault="00363487" w:rsidP="00363487">
      <w:pPr>
        <w:pStyle w:val="1"/>
        <w:rPr>
          <w:rFonts w:ascii="Arial" w:hAnsi="Arial"/>
          <w:noProof w:val="0"/>
        </w:rPr>
      </w:pPr>
    </w:p>
    <w:p w14:paraId="47EB61E0"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בשפה המשפטית, דרורה וגבי טוענים, כי המשכנתא הינה חוזה למראית עין, כשמשמעו </w:t>
      </w:r>
      <w:hyperlink r:id="rId17" w:history="1">
        <w:r w:rsidR="005F5511" w:rsidRPr="005F5511">
          <w:rPr>
            <w:rStyle w:val="Hyperlink"/>
            <w:rFonts w:ascii="Arial" w:hAnsi="Arial" w:hint="eastAsia"/>
            <w:noProof w:val="0"/>
            <w:rtl/>
          </w:rPr>
          <w:t>בסעיף</w:t>
        </w:r>
        <w:r w:rsidR="005F5511" w:rsidRPr="005F5511">
          <w:rPr>
            <w:rStyle w:val="Hyperlink"/>
            <w:rFonts w:ascii="Arial" w:hAnsi="Arial"/>
            <w:noProof w:val="0"/>
            <w:rtl/>
          </w:rPr>
          <w:t xml:space="preserve"> 13</w:t>
        </w:r>
      </w:hyperlink>
      <w:r>
        <w:rPr>
          <w:rFonts w:ascii="Arial" w:hAnsi="Arial" w:hint="cs"/>
          <w:noProof w:val="0"/>
          <w:rtl/>
        </w:rPr>
        <w:t xml:space="preserve"> </w:t>
      </w:r>
      <w:r w:rsidRPr="00155C44">
        <w:rPr>
          <w:rFonts w:ascii="Arial" w:hAnsi="Arial" w:hint="cs"/>
          <w:noProof w:val="0"/>
          <w:rtl/>
        </w:rPr>
        <w:t>ל</w:t>
      </w:r>
      <w:hyperlink r:id="rId18" w:history="1">
        <w:r w:rsidR="00E071F6" w:rsidRPr="00E071F6">
          <w:rPr>
            <w:rFonts w:ascii="Arial" w:hAnsi="Arial"/>
            <w:b/>
            <w:bCs/>
            <w:noProof w:val="0"/>
            <w:color w:val="0000FF"/>
            <w:u w:val="single"/>
            <w:rtl/>
          </w:rPr>
          <w:t>חוק החוזים</w:t>
        </w:r>
      </w:hyperlink>
      <w:r w:rsidRPr="00155C44">
        <w:rPr>
          <w:rFonts w:ascii="Arial" w:hAnsi="Arial" w:hint="cs"/>
          <w:b/>
          <w:bCs/>
          <w:noProof w:val="0"/>
          <w:rtl/>
        </w:rPr>
        <w:t xml:space="preserve"> (חלק כללי), התשל"ג-1973</w:t>
      </w:r>
      <w:r>
        <w:rPr>
          <w:rFonts w:ascii="Arial" w:hAnsi="Arial" w:hint="cs"/>
          <w:noProof w:val="0"/>
          <w:rtl/>
        </w:rPr>
        <w:t xml:space="preserve">, ולכן דינה להתבטל. </w:t>
      </w:r>
    </w:p>
    <w:p w14:paraId="2C16BBEC" w14:textId="77777777" w:rsidR="00363487" w:rsidRDefault="00363487" w:rsidP="00363487">
      <w:pPr>
        <w:pStyle w:val="1"/>
        <w:spacing w:line="360" w:lineRule="auto"/>
        <w:ind w:left="369"/>
        <w:jc w:val="both"/>
        <w:rPr>
          <w:rFonts w:ascii="Arial" w:hAnsi="Arial"/>
          <w:noProof w:val="0"/>
        </w:rPr>
      </w:pPr>
    </w:p>
    <w:p w14:paraId="7F3415A3"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בהתאם להבחנה שהוכרה בספרות (גבריאלה שלו ואפי צמח, </w:t>
      </w:r>
      <w:hyperlink r:id="rId19" w:history="1">
        <w:r w:rsidR="00E071F6" w:rsidRPr="00E071F6">
          <w:rPr>
            <w:rFonts w:ascii="Arial" w:hAnsi="Arial"/>
            <w:b/>
            <w:bCs/>
            <w:noProof w:val="0"/>
            <w:color w:val="0000FF"/>
            <w:u w:val="single"/>
            <w:rtl/>
          </w:rPr>
          <w:t>דיני חוזים</w:t>
        </w:r>
      </w:hyperlink>
      <w:r>
        <w:rPr>
          <w:rFonts w:ascii="Arial" w:hAnsi="Arial" w:hint="cs"/>
          <w:noProof w:val="0"/>
          <w:rtl/>
        </w:rPr>
        <w:t xml:space="preserve">, מהדורה רביעית (להלן </w:t>
      </w:r>
      <w:r>
        <w:rPr>
          <w:rFonts w:ascii="Arial" w:hAnsi="Arial"/>
          <w:noProof w:val="0"/>
          <w:rtl/>
        </w:rPr>
        <w:t>–</w:t>
      </w:r>
      <w:r>
        <w:rPr>
          <w:rFonts w:ascii="Arial" w:hAnsi="Arial" w:hint="cs"/>
          <w:noProof w:val="0"/>
          <w:rtl/>
        </w:rPr>
        <w:t xml:space="preserve"> "</w:t>
      </w:r>
      <w:r w:rsidRPr="00155C44">
        <w:rPr>
          <w:rFonts w:ascii="Arial" w:hAnsi="Arial" w:hint="cs"/>
          <w:b/>
          <w:bCs/>
          <w:noProof w:val="0"/>
          <w:rtl/>
        </w:rPr>
        <w:t>שלו וצמח</w:t>
      </w:r>
      <w:r>
        <w:rPr>
          <w:rFonts w:ascii="Arial" w:hAnsi="Arial" w:hint="cs"/>
          <w:noProof w:val="0"/>
          <w:rtl/>
        </w:rPr>
        <w:t>"), עמ' 305) ובפסיקה (</w:t>
      </w:r>
      <w:hyperlink r:id="rId20" w:history="1">
        <w:r w:rsidR="00E071F6" w:rsidRPr="00E071F6">
          <w:rPr>
            <w:rFonts w:ascii="Arial" w:hAnsi="Arial"/>
            <w:noProof w:val="0"/>
            <w:color w:val="0000FF"/>
            <w:u w:val="single"/>
            <w:rtl/>
          </w:rPr>
          <w:t>ע"א 3805/23</w:t>
        </w:r>
      </w:hyperlink>
      <w:r>
        <w:rPr>
          <w:rFonts w:ascii="Arial" w:hAnsi="Arial" w:hint="cs"/>
          <w:noProof w:val="0"/>
          <w:rtl/>
        </w:rPr>
        <w:t xml:space="preserve"> </w:t>
      </w:r>
      <w:r w:rsidRPr="00155C44">
        <w:rPr>
          <w:rFonts w:ascii="Arial" w:hAnsi="Arial" w:hint="cs"/>
          <w:b/>
          <w:bCs/>
          <w:noProof w:val="0"/>
          <w:rtl/>
        </w:rPr>
        <w:t>גולדנברג נ' בר-זן נדל"ן ותיירות בע"מ</w:t>
      </w:r>
      <w:r>
        <w:rPr>
          <w:rFonts w:ascii="Arial" w:hAnsi="Arial" w:hint="cs"/>
          <w:noProof w:val="0"/>
          <w:rtl/>
        </w:rPr>
        <w:t xml:space="preserve"> </w:t>
      </w:r>
      <w:r w:rsidR="00890C38">
        <w:rPr>
          <w:rFonts w:ascii="Arial" w:hAnsi="Arial"/>
          <w:noProof w:val="0"/>
          <w:rtl/>
        </w:rPr>
        <w:t>[נבו]</w:t>
      </w:r>
      <w:r w:rsidR="00890C38">
        <w:rPr>
          <w:rFonts w:ascii="Arial" w:hAnsi="Arial" w:hint="cs"/>
          <w:noProof w:val="0"/>
          <w:rtl/>
        </w:rPr>
        <w:t xml:space="preserve"> </w:t>
      </w:r>
      <w:r>
        <w:rPr>
          <w:rFonts w:ascii="Arial" w:hAnsi="Arial" w:hint="cs"/>
          <w:noProof w:val="0"/>
          <w:rtl/>
        </w:rPr>
        <w:t xml:space="preserve">(20.8.2028) (להלן </w:t>
      </w:r>
      <w:r>
        <w:rPr>
          <w:rFonts w:ascii="Arial" w:hAnsi="Arial"/>
          <w:noProof w:val="0"/>
          <w:rtl/>
        </w:rPr>
        <w:t>–</w:t>
      </w:r>
      <w:r>
        <w:rPr>
          <w:rFonts w:ascii="Arial" w:hAnsi="Arial" w:hint="cs"/>
          <w:noProof w:val="0"/>
          <w:rtl/>
        </w:rPr>
        <w:t xml:space="preserve"> "</w:t>
      </w:r>
      <w:r w:rsidRPr="00155C44">
        <w:rPr>
          <w:rFonts w:ascii="Arial" w:hAnsi="Arial" w:hint="cs"/>
          <w:b/>
          <w:bCs/>
          <w:noProof w:val="0"/>
          <w:rtl/>
        </w:rPr>
        <w:t>פסק דין גולדנברג</w:t>
      </w:r>
      <w:r>
        <w:rPr>
          <w:rFonts w:ascii="Arial" w:hAnsi="Arial" w:hint="cs"/>
          <w:noProof w:val="0"/>
          <w:rtl/>
        </w:rPr>
        <w:t>"), פסקה 17), ענייננו (לגרסה זו) בחוזה שמראית העין בו היא מוחלטת, "</w:t>
      </w:r>
      <w:r w:rsidRPr="00C81C96">
        <w:rPr>
          <w:rFonts w:ascii="Arial" w:hAnsi="Arial" w:hint="cs"/>
          <w:b/>
          <w:bCs/>
          <w:noProof w:val="0"/>
          <w:rtl/>
        </w:rPr>
        <w:t>שאין מאחוריו מאומה. הצדדים לו אינם מתכוונים לשנות את המצב המשפטי הקיים, אלא רק פועלים כלפי חוץ, למראית עין, כאילו הם מתכוונים לשנותו</w:t>
      </w:r>
      <w:r>
        <w:rPr>
          <w:rFonts w:ascii="Arial" w:hAnsi="Arial" w:hint="cs"/>
          <w:noProof w:val="0"/>
          <w:rtl/>
        </w:rPr>
        <w:t>" (</w:t>
      </w:r>
      <w:r w:rsidRPr="00C81C96">
        <w:rPr>
          <w:rFonts w:ascii="Arial" w:hAnsi="Arial" w:hint="cs"/>
          <w:b/>
          <w:bCs/>
          <w:noProof w:val="0"/>
          <w:rtl/>
        </w:rPr>
        <w:t>שלו וצמח</w:t>
      </w:r>
      <w:r>
        <w:rPr>
          <w:rFonts w:ascii="Arial" w:hAnsi="Arial" w:hint="cs"/>
          <w:noProof w:val="0"/>
          <w:rtl/>
        </w:rPr>
        <w:t xml:space="preserve">, עמ' 305). </w:t>
      </w:r>
    </w:p>
    <w:p w14:paraId="0C2F044E" w14:textId="77777777" w:rsidR="00363487" w:rsidRDefault="00363487" w:rsidP="00363487">
      <w:pPr>
        <w:pStyle w:val="1"/>
        <w:spacing w:line="360" w:lineRule="auto"/>
        <w:ind w:left="369"/>
        <w:jc w:val="both"/>
        <w:rPr>
          <w:rFonts w:ascii="Arial" w:hAnsi="Arial"/>
          <w:noProof w:val="0"/>
          <w:rtl/>
        </w:rPr>
      </w:pPr>
    </w:p>
    <w:p w14:paraId="02C4E202" w14:textId="77777777" w:rsidR="00363487" w:rsidRDefault="00363487" w:rsidP="00363487">
      <w:pPr>
        <w:pStyle w:val="1"/>
        <w:spacing w:line="360" w:lineRule="auto"/>
        <w:ind w:left="369"/>
        <w:jc w:val="both"/>
        <w:rPr>
          <w:rFonts w:ascii="Arial" w:hAnsi="Arial"/>
          <w:noProof w:val="0"/>
          <w:rtl/>
        </w:rPr>
      </w:pPr>
    </w:p>
    <w:p w14:paraId="561F06A5" w14:textId="77777777" w:rsidR="00363487" w:rsidRDefault="00363487" w:rsidP="00363487">
      <w:pPr>
        <w:pStyle w:val="1"/>
        <w:spacing w:line="360" w:lineRule="auto"/>
        <w:ind w:left="369"/>
        <w:jc w:val="both"/>
        <w:rPr>
          <w:rFonts w:ascii="Arial" w:hAnsi="Arial"/>
          <w:noProof w:val="0"/>
          <w:rtl/>
        </w:rPr>
      </w:pPr>
    </w:p>
    <w:p w14:paraId="7F4ED051"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וכך נקבע בפסק דין </w:t>
      </w:r>
      <w:r w:rsidRPr="00C81C96">
        <w:rPr>
          <w:rFonts w:ascii="Arial" w:hAnsi="Arial" w:hint="cs"/>
          <w:b/>
          <w:bCs/>
          <w:noProof w:val="0"/>
          <w:rtl/>
        </w:rPr>
        <w:t>גולדנברג</w:t>
      </w:r>
      <w:r>
        <w:rPr>
          <w:rFonts w:ascii="Arial" w:hAnsi="Arial" w:hint="cs"/>
          <w:noProof w:val="0"/>
          <w:rtl/>
        </w:rPr>
        <w:t xml:space="preserve"> (פסקה 18): </w:t>
      </w:r>
    </w:p>
    <w:p w14:paraId="0D9AA53F" w14:textId="77777777" w:rsidR="00363487" w:rsidRDefault="00000000" w:rsidP="00363487">
      <w:pPr>
        <w:pStyle w:val="1"/>
        <w:spacing w:line="360" w:lineRule="auto"/>
        <w:ind w:left="652" w:right="426"/>
        <w:jc w:val="both"/>
        <w:rPr>
          <w:rFonts w:ascii="Arial" w:hAnsi="Arial"/>
          <w:noProof w:val="0"/>
          <w:rtl/>
        </w:rPr>
      </w:pPr>
      <w:r>
        <w:rPr>
          <w:rFonts w:ascii="Arial" w:hAnsi="Arial" w:hint="cs"/>
          <w:noProof w:val="0"/>
          <w:rtl/>
        </w:rPr>
        <w:t>"</w:t>
      </w:r>
      <w:r w:rsidRPr="002647E3">
        <w:rPr>
          <w:rFonts w:ascii="Arial" w:hAnsi="Arial"/>
          <w:b/>
          <w:bCs/>
          <w:noProof w:val="0"/>
          <w:rtl/>
        </w:rPr>
        <w:t>על מנת לקבוע האם מדובר בחוזה למראית עין, נדרש להתחקות אחר כוונתם האמתית של הצדדים בעת כריתת החוזה. מדובר בשאלה עובדתית במהותה, הנלמדת מנסיבות העניין, כאשר הנטל להוכיח שהחוזה נעשה למראית עין בלבד, מוטל על שכמו של הטוען לכך. בשל טיבה של הטענה האמורה, ובפרט מקום בו הפער בין ההסכם הסמוי לבין זה הגלוי נועד להשיג תכלית בלתי חוקית, נדרשת רמה הוכחה מוגברת לצורך ביסוסה</w:t>
      </w:r>
      <w:r>
        <w:rPr>
          <w:rFonts w:ascii="Arial" w:hAnsi="Arial" w:hint="cs"/>
          <w:noProof w:val="0"/>
          <w:rtl/>
        </w:rPr>
        <w:t>".</w:t>
      </w:r>
    </w:p>
    <w:p w14:paraId="00C21212" w14:textId="77777777" w:rsidR="00363487" w:rsidRPr="002647E3" w:rsidRDefault="00363487" w:rsidP="00363487">
      <w:pPr>
        <w:pStyle w:val="1"/>
        <w:spacing w:line="360" w:lineRule="auto"/>
        <w:ind w:left="652" w:right="426"/>
        <w:jc w:val="both"/>
        <w:rPr>
          <w:rFonts w:ascii="Arial" w:hAnsi="Arial"/>
          <w:noProof w:val="0"/>
        </w:rPr>
      </w:pPr>
    </w:p>
    <w:p w14:paraId="303BE826"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בענייננו, הנטל להוכיח שהמשכנתא היא חוזה למראית עין מוטלת על דרורה וגבי, ומאחר שלטענתם, היא נועדה להשיג תכלית בלתי חוקית </w:t>
      </w:r>
      <w:r>
        <w:rPr>
          <w:rFonts w:ascii="Arial" w:hAnsi="Arial"/>
          <w:noProof w:val="0"/>
          <w:rtl/>
        </w:rPr>
        <w:t>–</w:t>
      </w:r>
      <w:r>
        <w:rPr>
          <w:rFonts w:ascii="Arial" w:hAnsi="Arial" w:hint="cs"/>
          <w:noProof w:val="0"/>
          <w:rtl/>
        </w:rPr>
        <w:t xml:space="preserve"> הערמת קשיים על שלטונות המס </w:t>
      </w:r>
      <w:r>
        <w:rPr>
          <w:rFonts w:ascii="Arial" w:hAnsi="Arial"/>
          <w:noProof w:val="0"/>
          <w:rtl/>
        </w:rPr>
        <w:t>–</w:t>
      </w:r>
      <w:r>
        <w:rPr>
          <w:rFonts w:ascii="Arial" w:hAnsi="Arial" w:hint="cs"/>
          <w:noProof w:val="0"/>
          <w:rtl/>
        </w:rPr>
        <w:t xml:space="preserve"> נדרשת רמת הוכחה מוגברת לצורך ביסוסה של גרסה זו. </w:t>
      </w:r>
    </w:p>
    <w:p w14:paraId="0545C8B6" w14:textId="77777777" w:rsidR="00363487" w:rsidRDefault="00363487" w:rsidP="00363487">
      <w:pPr>
        <w:pStyle w:val="1"/>
        <w:rPr>
          <w:rFonts w:ascii="Arial" w:hAnsi="Arial"/>
          <w:noProof w:val="0"/>
        </w:rPr>
      </w:pPr>
    </w:p>
    <w:p w14:paraId="613190FF"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מאחר שאנו עוסקים כאן בתביעתה של דרורה, הרי שהנטל המוטל עליה להוכחת גרסתה הוא כפול: הן מהנימוק הנזכר בסעיף הקודם והן משום היותה התובעת, שהנטל עליה להוכיח את תביעתה. </w:t>
      </w:r>
    </w:p>
    <w:p w14:paraId="45946289" w14:textId="77777777" w:rsidR="00363487" w:rsidRDefault="00363487" w:rsidP="00363487">
      <w:pPr>
        <w:pStyle w:val="1"/>
        <w:rPr>
          <w:rFonts w:ascii="Arial" w:hAnsi="Arial"/>
          <w:noProof w:val="0"/>
        </w:rPr>
      </w:pPr>
    </w:p>
    <w:p w14:paraId="68950679"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מאחר שדרורה מכחישה את טענתו של גבי, לפיה, היא הייתה שותפה ליוזמה ליצירת המשכנתא "הפיקטיבית" (תצהירה המשלים), הרי שדבריה נסמכים במלואם על עדותו של גבי בעניין זה, אלא שגבי מושתק מלטעון גרסה זו, לאחר שבהליך קודם, שהיה צד לו, משפט הגירושין שהתנהל בינו לבין נאוה בבית המשפט לענייני משפחה בתל-אביב (תמ"ש 6710/07, להלן </w:t>
      </w:r>
      <w:r>
        <w:rPr>
          <w:rFonts w:ascii="Arial" w:hAnsi="Arial"/>
          <w:noProof w:val="0"/>
          <w:rtl/>
        </w:rPr>
        <w:t>–</w:t>
      </w:r>
      <w:r>
        <w:rPr>
          <w:rFonts w:ascii="Arial" w:hAnsi="Arial" w:hint="cs"/>
          <w:noProof w:val="0"/>
          <w:rtl/>
        </w:rPr>
        <w:t xml:space="preserve"> "</w:t>
      </w:r>
      <w:r w:rsidRPr="00E34783">
        <w:rPr>
          <w:rFonts w:ascii="Arial" w:hAnsi="Arial" w:hint="cs"/>
          <w:b/>
          <w:bCs/>
          <w:noProof w:val="0"/>
          <w:rtl/>
        </w:rPr>
        <w:t>משפט</w:t>
      </w:r>
      <w:r>
        <w:rPr>
          <w:rFonts w:ascii="Arial" w:hAnsi="Arial" w:hint="cs"/>
          <w:noProof w:val="0"/>
          <w:rtl/>
        </w:rPr>
        <w:t xml:space="preserve"> </w:t>
      </w:r>
      <w:r w:rsidRPr="00E34783">
        <w:rPr>
          <w:rFonts w:ascii="Arial" w:hAnsi="Arial" w:hint="cs"/>
          <w:b/>
          <w:bCs/>
          <w:noProof w:val="0"/>
          <w:rtl/>
        </w:rPr>
        <w:t>הגירושין</w:t>
      </w:r>
      <w:r>
        <w:rPr>
          <w:rFonts w:ascii="Arial" w:hAnsi="Arial" w:hint="cs"/>
          <w:noProof w:val="0"/>
          <w:rtl/>
        </w:rPr>
        <w:t xml:space="preserve">") הוא טען טענה הפוכה בתכלית (סעיף 25 לכתב ההגנה שלו באותה תביעה, נספח 1 לתצהירו המשלים של בני): </w:t>
      </w:r>
      <w:r w:rsidRPr="0096251E">
        <w:rPr>
          <w:rFonts w:ascii="Arial" w:hAnsi="Arial" w:hint="cs"/>
          <w:b/>
          <w:bCs/>
          <w:noProof w:val="0"/>
          <w:rtl/>
        </w:rPr>
        <w:t>"... בנוגע לבניין שברח' ראב"ע... המשכנתא הרשומה על הדירה לטובת בנימין פרץ הינה משכנתא אמיתית משנת 1996, ואין כל שחר לטענת התובעת [</w:t>
      </w:r>
      <w:r w:rsidRPr="001E1B3C">
        <w:rPr>
          <w:rFonts w:ascii="Arial" w:hAnsi="Arial" w:hint="cs"/>
          <w:noProof w:val="0"/>
          <w:rtl/>
        </w:rPr>
        <w:t>נאוה</w:t>
      </w:r>
      <w:r w:rsidRPr="0096251E">
        <w:rPr>
          <w:rFonts w:ascii="Arial" w:hAnsi="Arial" w:hint="cs"/>
          <w:b/>
          <w:bCs/>
          <w:noProof w:val="0"/>
          <w:rtl/>
        </w:rPr>
        <w:t>] כאילו מדובר במשכנתא פיקטיבית</w:t>
      </w:r>
      <w:r>
        <w:rPr>
          <w:rFonts w:ascii="Arial" w:hAnsi="Arial" w:hint="cs"/>
          <w:noProof w:val="0"/>
          <w:rtl/>
        </w:rPr>
        <w:t xml:space="preserve">". </w:t>
      </w:r>
    </w:p>
    <w:p w14:paraId="38262E98"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גבי הוסיף וטען באותו כתב הגנה, אף זאת בניגוד לגרסאותיו כאן, כי הוא ונאוה חייבים לבני חוב של כ-100,000 דולר (סעיף 55(ז)), וכי בני ביצע עבורם "שיפוצים" בבית במכבים (סעיף 51), ובסעיף 26 לתצהירו במשפט הגירושין (צורף כנספח יט' לתצהירה של נאוה) כתב, בהתייחס לבניין: "</w:t>
      </w:r>
      <w:r w:rsidRPr="00E34783">
        <w:rPr>
          <w:rFonts w:ascii="Arial" w:hAnsi="Arial" w:hint="cs"/>
          <w:b/>
          <w:bCs/>
          <w:noProof w:val="0"/>
          <w:rtl/>
        </w:rPr>
        <w:t>המשכנתא ...אינה פיקטיבית כלל... ואכן קיים חוב כלפי אחי בנימין פרץ, אותו יש לפרוע, כמפורט... בכתב התביעה שהגשתי ב</w:t>
      </w:r>
      <w:hyperlink r:id="rId21" w:history="1">
        <w:r w:rsidR="00E071F6" w:rsidRPr="00E071F6">
          <w:rPr>
            <w:rFonts w:ascii="Arial" w:hAnsi="Arial"/>
            <w:b/>
            <w:bCs/>
            <w:noProof w:val="0"/>
            <w:color w:val="0000FF"/>
            <w:u w:val="single"/>
            <w:rtl/>
          </w:rPr>
          <w:t>תמ"ש 47642-05-11</w:t>
        </w:r>
      </w:hyperlink>
      <w:r w:rsidRPr="00E34783">
        <w:rPr>
          <w:rFonts w:ascii="Arial" w:hAnsi="Arial" w:hint="cs"/>
          <w:noProof w:val="0"/>
          <w:rtl/>
        </w:rPr>
        <w:t>"</w:t>
      </w:r>
      <w:r>
        <w:rPr>
          <w:rFonts w:ascii="Arial" w:hAnsi="Arial" w:hint="cs"/>
          <w:noProof w:val="0"/>
          <w:rtl/>
        </w:rPr>
        <w:t xml:space="preserve"> (יצויין, כי תמ"ש זו היא התביעה שהגיש גבי נגד נאוה, שאוחד עם משפט הגירושין). </w:t>
      </w:r>
    </w:p>
    <w:p w14:paraId="2BD64082" w14:textId="77777777" w:rsidR="00363487" w:rsidRPr="0096251E" w:rsidRDefault="00363487" w:rsidP="00363487">
      <w:pPr>
        <w:pStyle w:val="1"/>
        <w:rPr>
          <w:rFonts w:ascii="Arial" w:hAnsi="Arial"/>
          <w:noProof w:val="0"/>
        </w:rPr>
      </w:pPr>
    </w:p>
    <w:p w14:paraId="5575730C" w14:textId="77777777" w:rsidR="00363487" w:rsidRPr="000D7DC6"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גבי נשאל בחקירתו כיצד גרסתו ביחס למשכנתא במשפט הגירושין מתיישבת עם גרסתו במשפט זה ולא סיפק הסבר אמין: "</w:t>
      </w:r>
      <w:r w:rsidRPr="00A57CF2">
        <w:rPr>
          <w:rFonts w:ascii="Arial" w:hAnsi="Arial" w:hint="cs"/>
          <w:b/>
          <w:bCs/>
          <w:noProof w:val="0"/>
          <w:rtl/>
        </w:rPr>
        <w:t>הגרסה שלי היום היא גרסה נכונה. אני במאבק שלי מול נאוה, זה תיק מול נאוה שלא קשור בכלל לדרורה... אמרתי דברים שלכאורה משתמעים אחרת. אני לא מקבל את הגרסה שלו. אין חוב שלי או של נאוה כלפי בני. שום חוב</w:t>
      </w:r>
      <w:r>
        <w:rPr>
          <w:rFonts w:ascii="Arial" w:hAnsi="Arial" w:hint="cs"/>
          <w:noProof w:val="0"/>
          <w:rtl/>
        </w:rPr>
        <w:t>" (עמ' 341 לפרו');</w:t>
      </w:r>
    </w:p>
    <w:p w14:paraId="15CB7991"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ובהמשך (עמ' 345-344): </w:t>
      </w:r>
    </w:p>
    <w:p w14:paraId="3A0359DC" w14:textId="77777777" w:rsidR="00363487" w:rsidRPr="00A57CF2" w:rsidRDefault="00000000" w:rsidP="00363487">
      <w:pPr>
        <w:pStyle w:val="1"/>
        <w:spacing w:line="360" w:lineRule="auto"/>
        <w:ind w:left="2160" w:right="426" w:hanging="1740"/>
        <w:jc w:val="both"/>
        <w:rPr>
          <w:rFonts w:ascii="Arial" w:hAnsi="Arial"/>
          <w:b/>
          <w:bCs/>
          <w:noProof w:val="0"/>
        </w:rPr>
      </w:pPr>
      <w:r>
        <w:rPr>
          <w:rFonts w:ascii="Arial" w:hAnsi="Arial" w:hint="cs"/>
          <w:b/>
          <w:bCs/>
          <w:noProof w:val="0"/>
          <w:rtl/>
        </w:rPr>
        <w:t>"</w:t>
      </w:r>
      <w:r w:rsidRPr="00A57CF2">
        <w:rPr>
          <w:rFonts w:ascii="Arial" w:hAnsi="Arial" w:hint="cs"/>
          <w:b/>
          <w:bCs/>
          <w:noProof w:val="0"/>
          <w:rtl/>
        </w:rPr>
        <w:t xml:space="preserve">עו"ד פרץ: </w:t>
      </w:r>
      <w:r>
        <w:rPr>
          <w:rFonts w:ascii="Arial" w:hAnsi="Arial"/>
          <w:b/>
          <w:bCs/>
          <w:noProof w:val="0"/>
          <w:rtl/>
        </w:rPr>
        <w:tab/>
      </w:r>
      <w:r w:rsidRPr="00A57CF2">
        <w:rPr>
          <w:rFonts w:ascii="Arial" w:hAnsi="Arial" w:hint="cs"/>
          <w:b/>
          <w:bCs/>
          <w:noProof w:val="0"/>
          <w:rtl/>
        </w:rPr>
        <w:t>אז אני טעיתי אם אמרתי את זה שם. אין לו</w:t>
      </w:r>
      <w:bookmarkStart w:id="7" w:name="_ETM_Q_2125749"/>
      <w:bookmarkEnd w:id="7"/>
      <w:r w:rsidRPr="00A57CF2">
        <w:rPr>
          <w:rFonts w:ascii="Arial" w:hAnsi="Arial" w:hint="cs"/>
          <w:b/>
          <w:bCs/>
          <w:noProof w:val="0"/>
          <w:rtl/>
        </w:rPr>
        <w:t xml:space="preserve"> חובות. אין לי חובות כלפיו,</w:t>
      </w:r>
      <w:r>
        <w:rPr>
          <w:rFonts w:ascii="Arial" w:hAnsi="Arial" w:hint="cs"/>
          <w:b/>
          <w:bCs/>
          <w:noProof w:val="0"/>
          <w:rtl/>
        </w:rPr>
        <w:t xml:space="preserve"> </w:t>
      </w:r>
      <w:r w:rsidRPr="00A57CF2">
        <w:rPr>
          <w:rFonts w:ascii="Arial" w:hAnsi="Arial" w:hint="cs"/>
          <w:b/>
          <w:bCs/>
          <w:noProof w:val="0"/>
          <w:rtl/>
        </w:rPr>
        <w:t>סליחה. אין לי שום חובות</w:t>
      </w:r>
      <w:bookmarkStart w:id="8" w:name="_ETM_Q_2128306"/>
      <w:bookmarkEnd w:id="8"/>
      <w:r w:rsidRPr="00A57CF2">
        <w:rPr>
          <w:rFonts w:ascii="Arial" w:hAnsi="Arial" w:hint="cs"/>
          <w:b/>
          <w:bCs/>
          <w:noProof w:val="0"/>
          <w:rtl/>
        </w:rPr>
        <w:t xml:space="preserve"> כלפיו. כל התאוריה שמופיעה כאן היא לא נכונה. התאוריה של</w:t>
      </w:r>
      <w:bookmarkStart w:id="9" w:name="_ETM_Q_2133206"/>
      <w:bookmarkEnd w:id="9"/>
      <w:r w:rsidRPr="00A57CF2">
        <w:rPr>
          <w:rFonts w:ascii="Arial" w:hAnsi="Arial" w:hint="cs"/>
          <w:b/>
          <w:bCs/>
          <w:noProof w:val="0"/>
          <w:rtl/>
        </w:rPr>
        <w:t xml:space="preserve"> בני.</w:t>
      </w:r>
      <w:bookmarkStart w:id="10" w:name="_ETM_Q_2130761"/>
      <w:bookmarkEnd w:id="10"/>
    </w:p>
    <w:p w14:paraId="2D9B30E1" w14:textId="77777777" w:rsidR="00363487" w:rsidRPr="00A57CF2" w:rsidRDefault="00000000" w:rsidP="00363487">
      <w:pPr>
        <w:pStyle w:val="1"/>
        <w:spacing w:line="360" w:lineRule="auto"/>
        <w:ind w:left="2160" w:right="426" w:hanging="1650"/>
        <w:jc w:val="both"/>
        <w:rPr>
          <w:rFonts w:ascii="Arial" w:hAnsi="Arial"/>
          <w:b/>
          <w:bCs/>
          <w:noProof w:val="0"/>
          <w:rtl/>
        </w:rPr>
      </w:pPr>
      <w:r w:rsidRPr="00A57CF2">
        <w:rPr>
          <w:rFonts w:ascii="Arial" w:hAnsi="Arial" w:hint="cs"/>
          <w:b/>
          <w:bCs/>
          <w:noProof w:val="0"/>
          <w:rtl/>
        </w:rPr>
        <w:t xml:space="preserve">כב' הש' אטדגי: </w:t>
      </w:r>
      <w:r>
        <w:rPr>
          <w:rFonts w:ascii="Arial" w:hAnsi="Arial" w:hint="cs"/>
          <w:b/>
          <w:bCs/>
          <w:noProof w:val="0"/>
          <w:rtl/>
        </w:rPr>
        <w:t xml:space="preserve"> </w:t>
      </w:r>
      <w:r>
        <w:rPr>
          <w:rFonts w:ascii="Arial" w:hAnsi="Arial"/>
          <w:b/>
          <w:bCs/>
          <w:noProof w:val="0"/>
          <w:rtl/>
        </w:rPr>
        <w:tab/>
      </w:r>
      <w:r w:rsidRPr="00A57CF2">
        <w:rPr>
          <w:rFonts w:ascii="Arial" w:hAnsi="Arial" w:hint="cs"/>
          <w:b/>
          <w:bCs/>
          <w:noProof w:val="0"/>
          <w:rtl/>
        </w:rPr>
        <w:t>אבל מה שאמרת שם, לא היה נכון?</w:t>
      </w:r>
      <w:bookmarkStart w:id="11" w:name="_ETM_Q_2135661"/>
      <w:bookmarkEnd w:id="11"/>
    </w:p>
    <w:p w14:paraId="35AEE70E" w14:textId="77777777" w:rsidR="00363487" w:rsidRPr="00A57CF2" w:rsidRDefault="00000000" w:rsidP="00363487">
      <w:pPr>
        <w:pStyle w:val="1"/>
        <w:spacing w:line="360" w:lineRule="auto"/>
        <w:ind w:left="2160" w:right="426" w:hanging="1650"/>
        <w:jc w:val="both"/>
        <w:rPr>
          <w:rFonts w:ascii="Arial" w:hAnsi="Arial"/>
          <w:b/>
          <w:bCs/>
          <w:noProof w:val="0"/>
          <w:rtl/>
        </w:rPr>
      </w:pPr>
      <w:r w:rsidRPr="00A57CF2">
        <w:rPr>
          <w:rFonts w:ascii="Arial" w:hAnsi="Arial" w:hint="cs"/>
          <w:b/>
          <w:bCs/>
          <w:noProof w:val="0"/>
          <w:rtl/>
        </w:rPr>
        <w:t xml:space="preserve">עו"ד פרץ: </w:t>
      </w:r>
      <w:r>
        <w:rPr>
          <w:rFonts w:ascii="Arial" w:hAnsi="Arial" w:hint="cs"/>
          <w:b/>
          <w:bCs/>
          <w:noProof w:val="0"/>
          <w:rtl/>
        </w:rPr>
        <w:t xml:space="preserve">            </w:t>
      </w:r>
      <w:r>
        <w:rPr>
          <w:rFonts w:ascii="Arial" w:hAnsi="Arial"/>
          <w:b/>
          <w:bCs/>
          <w:noProof w:val="0"/>
          <w:rtl/>
        </w:rPr>
        <w:tab/>
      </w:r>
      <w:r w:rsidRPr="00A57CF2">
        <w:rPr>
          <w:rFonts w:ascii="Arial" w:hAnsi="Arial" w:hint="cs"/>
          <w:b/>
          <w:bCs/>
          <w:noProof w:val="0"/>
          <w:rtl/>
        </w:rPr>
        <w:t>לא היה נכון. אם</w:t>
      </w:r>
      <w:bookmarkStart w:id="12" w:name="_ETM_Q_2137215"/>
      <w:bookmarkEnd w:id="12"/>
      <w:r w:rsidRPr="00A57CF2">
        <w:rPr>
          <w:rFonts w:ascii="Arial" w:hAnsi="Arial" w:hint="cs"/>
          <w:b/>
          <w:bCs/>
          <w:noProof w:val="0"/>
          <w:rtl/>
        </w:rPr>
        <w:t xml:space="preserve"> מה שמובן ממנו שהיה חובות,</w:t>
      </w:r>
      <w:bookmarkStart w:id="13" w:name="_ETM_Q_2137221"/>
      <w:bookmarkEnd w:id="13"/>
    </w:p>
    <w:p w14:paraId="11E2CA39" w14:textId="77777777" w:rsidR="00363487" w:rsidRPr="00A57CF2" w:rsidRDefault="00000000" w:rsidP="00363487">
      <w:pPr>
        <w:pStyle w:val="1"/>
        <w:spacing w:line="360" w:lineRule="auto"/>
        <w:ind w:left="2160" w:right="426" w:hanging="1650"/>
        <w:jc w:val="both"/>
        <w:rPr>
          <w:rFonts w:ascii="Arial" w:hAnsi="Arial"/>
          <w:b/>
          <w:bCs/>
          <w:noProof w:val="0"/>
          <w:rtl/>
        </w:rPr>
      </w:pPr>
      <w:r w:rsidRPr="00A57CF2">
        <w:rPr>
          <w:rFonts w:ascii="Arial" w:hAnsi="Arial" w:hint="cs"/>
          <w:b/>
          <w:bCs/>
          <w:noProof w:val="0"/>
          <w:rtl/>
        </w:rPr>
        <w:t xml:space="preserve">כב' הש' אטדגי: </w:t>
      </w:r>
      <w:r>
        <w:rPr>
          <w:rFonts w:ascii="Arial" w:hAnsi="Arial"/>
          <w:b/>
          <w:bCs/>
          <w:noProof w:val="0"/>
          <w:rtl/>
        </w:rPr>
        <w:tab/>
      </w:r>
      <w:r w:rsidRPr="00A57CF2">
        <w:rPr>
          <w:rFonts w:ascii="Arial" w:hAnsi="Arial" w:hint="cs"/>
          <w:b/>
          <w:bCs/>
          <w:noProof w:val="0"/>
          <w:rtl/>
        </w:rPr>
        <w:t>אז מה אדוני רוצה לומר</w:t>
      </w:r>
      <w:bookmarkStart w:id="14" w:name="_ETM_Q_2140321"/>
      <w:bookmarkEnd w:id="14"/>
      <w:r w:rsidRPr="00A57CF2">
        <w:rPr>
          <w:rFonts w:ascii="Arial" w:hAnsi="Arial" w:hint="cs"/>
          <w:b/>
          <w:bCs/>
          <w:noProof w:val="0"/>
          <w:rtl/>
        </w:rPr>
        <w:t xml:space="preserve"> בלשון לא עדינה? פחות עדינה? שיקרת שם?</w:t>
      </w:r>
      <w:bookmarkStart w:id="15" w:name="_ETM_Q_2144870"/>
      <w:bookmarkEnd w:id="15"/>
    </w:p>
    <w:p w14:paraId="4474A0C8" w14:textId="77777777" w:rsidR="00363487" w:rsidRPr="00A57CF2" w:rsidRDefault="00000000" w:rsidP="00363487">
      <w:pPr>
        <w:pStyle w:val="1"/>
        <w:spacing w:line="360" w:lineRule="auto"/>
        <w:ind w:left="2160" w:right="426" w:hanging="1650"/>
        <w:jc w:val="both"/>
        <w:rPr>
          <w:rFonts w:ascii="Arial" w:hAnsi="Arial"/>
          <w:b/>
          <w:bCs/>
          <w:noProof w:val="0"/>
          <w:rtl/>
        </w:rPr>
      </w:pPr>
      <w:r w:rsidRPr="00A57CF2">
        <w:rPr>
          <w:rFonts w:ascii="Arial" w:hAnsi="Arial" w:hint="cs"/>
          <w:b/>
          <w:bCs/>
          <w:noProof w:val="0"/>
          <w:rtl/>
        </w:rPr>
        <w:t xml:space="preserve">עו"ד פרץ: </w:t>
      </w:r>
      <w:r>
        <w:rPr>
          <w:rFonts w:ascii="Arial" w:hAnsi="Arial"/>
          <w:b/>
          <w:bCs/>
          <w:noProof w:val="0"/>
          <w:rtl/>
        </w:rPr>
        <w:tab/>
      </w:r>
      <w:r w:rsidRPr="00A57CF2">
        <w:rPr>
          <w:rFonts w:ascii="Arial" w:hAnsi="Arial" w:hint="cs"/>
          <w:b/>
          <w:bCs/>
          <w:noProof w:val="0"/>
          <w:rtl/>
        </w:rPr>
        <w:t>אני לא שיקרתי שם.</w:t>
      </w:r>
      <w:bookmarkStart w:id="16" w:name="_ETM_Q_2144726"/>
      <w:bookmarkEnd w:id="16"/>
      <w:r w:rsidRPr="00A57CF2">
        <w:rPr>
          <w:rFonts w:ascii="Arial" w:hAnsi="Arial" w:hint="cs"/>
          <w:b/>
          <w:bCs/>
          <w:noProof w:val="0"/>
          <w:rtl/>
        </w:rPr>
        <w:t xml:space="preserve"> יכול להיות שבאותו זמן חשבתי ככה. יכול להיות שבלהט</w:t>
      </w:r>
      <w:bookmarkStart w:id="17" w:name="_ETM_Q_2149073"/>
      <w:bookmarkEnd w:id="17"/>
      <w:r w:rsidRPr="00A57CF2">
        <w:rPr>
          <w:rFonts w:ascii="Arial" w:hAnsi="Arial" w:hint="cs"/>
          <w:b/>
          <w:bCs/>
          <w:noProof w:val="0"/>
          <w:rtl/>
        </w:rPr>
        <w:t xml:space="preserve"> המאבק עם נאווה אמרתי את זה. אין לי ולא היו</w:t>
      </w:r>
      <w:bookmarkStart w:id="18" w:name="_ETM_Q_2150027"/>
      <w:bookmarkEnd w:id="18"/>
      <w:r w:rsidRPr="00A57CF2">
        <w:rPr>
          <w:rFonts w:ascii="Arial" w:hAnsi="Arial" w:hint="cs"/>
          <w:b/>
          <w:bCs/>
          <w:noProof w:val="0"/>
          <w:rtl/>
        </w:rPr>
        <w:t xml:space="preserve"> לי חובות לבני.</w:t>
      </w:r>
      <w:bookmarkStart w:id="19" w:name="_ETM_Q_2151727"/>
      <w:bookmarkEnd w:id="19"/>
    </w:p>
    <w:p w14:paraId="4948FBB6" w14:textId="77777777" w:rsidR="00363487" w:rsidRPr="00A57CF2" w:rsidRDefault="00000000" w:rsidP="00363487">
      <w:pPr>
        <w:pStyle w:val="1"/>
        <w:spacing w:line="360" w:lineRule="auto"/>
        <w:ind w:left="2160" w:right="426" w:hanging="1650"/>
        <w:jc w:val="both"/>
        <w:rPr>
          <w:rFonts w:ascii="Arial" w:hAnsi="Arial"/>
          <w:b/>
          <w:bCs/>
          <w:noProof w:val="0"/>
          <w:rtl/>
        </w:rPr>
      </w:pPr>
      <w:r w:rsidRPr="00A57CF2">
        <w:rPr>
          <w:rFonts w:ascii="Arial" w:hAnsi="Arial" w:hint="cs"/>
          <w:b/>
          <w:bCs/>
          <w:noProof w:val="0"/>
          <w:rtl/>
        </w:rPr>
        <w:t xml:space="preserve">כב' הש' אטדגי: </w:t>
      </w:r>
      <w:r>
        <w:rPr>
          <w:rFonts w:ascii="Arial" w:hAnsi="Arial"/>
          <w:b/>
          <w:bCs/>
          <w:noProof w:val="0"/>
          <w:rtl/>
        </w:rPr>
        <w:tab/>
      </w:r>
      <w:r w:rsidRPr="00A57CF2">
        <w:rPr>
          <w:rFonts w:ascii="Arial" w:hAnsi="Arial" w:hint="cs"/>
          <w:b/>
          <w:bCs/>
          <w:noProof w:val="0"/>
          <w:rtl/>
        </w:rPr>
        <w:t xml:space="preserve">איך אנחנו יודעים את זה (לא ברור) </w:t>
      </w:r>
      <w:bookmarkStart w:id="20" w:name="_ETM_Q_2157426"/>
      <w:bookmarkEnd w:id="20"/>
    </w:p>
    <w:p w14:paraId="0FED53E8" w14:textId="77777777" w:rsidR="00363487" w:rsidRDefault="00000000" w:rsidP="00363487">
      <w:pPr>
        <w:pStyle w:val="1"/>
        <w:spacing w:line="360" w:lineRule="auto"/>
        <w:ind w:left="2160" w:right="426" w:hanging="1650"/>
        <w:jc w:val="both"/>
        <w:rPr>
          <w:rFonts w:ascii="Arial" w:hAnsi="Arial"/>
          <w:noProof w:val="0"/>
          <w:rtl/>
        </w:rPr>
      </w:pPr>
      <w:r w:rsidRPr="00A57CF2">
        <w:rPr>
          <w:rFonts w:ascii="Arial" w:hAnsi="Arial"/>
          <w:b/>
          <w:bCs/>
          <w:noProof w:val="0"/>
          <w:rtl/>
        </w:rPr>
        <w:t>עו"ד פרץ:</w:t>
      </w:r>
      <w:r w:rsidRPr="00A57CF2">
        <w:rPr>
          <w:rFonts w:ascii="Arial" w:hAnsi="Arial" w:hint="cs"/>
          <w:b/>
          <w:bCs/>
          <w:noProof w:val="0"/>
          <w:rtl/>
        </w:rPr>
        <w:t xml:space="preserve"> </w:t>
      </w:r>
      <w:r>
        <w:rPr>
          <w:rFonts w:ascii="Arial" w:hAnsi="Arial"/>
          <w:b/>
          <w:bCs/>
          <w:noProof w:val="0"/>
          <w:rtl/>
        </w:rPr>
        <w:tab/>
      </w:r>
      <w:r w:rsidRPr="00A57CF2">
        <w:rPr>
          <w:rFonts w:ascii="Arial" w:hAnsi="Arial"/>
          <w:b/>
          <w:bCs/>
          <w:noProof w:val="0"/>
          <w:rtl/>
        </w:rPr>
        <w:t>אדוני צריך</w:t>
      </w:r>
      <w:bookmarkStart w:id="21" w:name="_ETM_Q_2159076"/>
      <w:bookmarkEnd w:id="21"/>
      <w:r w:rsidRPr="00A57CF2">
        <w:rPr>
          <w:rFonts w:ascii="Arial" w:hAnsi="Arial"/>
          <w:b/>
          <w:bCs/>
          <w:noProof w:val="0"/>
          <w:rtl/>
        </w:rPr>
        <w:t xml:space="preserve"> לא להסתפק במשהו שאני אמרתי באיזשהו מקום מתוך תיק ענק </w:t>
      </w:r>
      <w:bookmarkStart w:id="22" w:name="_ETM_Q_2162030"/>
      <w:bookmarkEnd w:id="22"/>
      <w:r w:rsidRPr="00A57CF2">
        <w:rPr>
          <w:rFonts w:ascii="Arial" w:hAnsi="Arial"/>
          <w:b/>
          <w:bCs/>
          <w:noProof w:val="0"/>
          <w:rtl/>
        </w:rPr>
        <w:t>ששולפים ממנו נייר ומגיעים לתיק הזה בכלל בדרכי מרמה. צריך להסתכל על העובדות. לא נעשו שום עבודות</w:t>
      </w:r>
      <w:r>
        <w:rPr>
          <w:rFonts w:ascii="Arial" w:hAnsi="Arial" w:hint="cs"/>
          <w:noProof w:val="0"/>
          <w:rtl/>
        </w:rPr>
        <w:t xml:space="preserve">". </w:t>
      </w:r>
    </w:p>
    <w:p w14:paraId="1EB89625" w14:textId="77777777" w:rsidR="00363487" w:rsidRPr="00D43D6C" w:rsidRDefault="00363487" w:rsidP="00363487">
      <w:pPr>
        <w:pStyle w:val="1"/>
        <w:rPr>
          <w:rFonts w:ascii="Arial" w:hAnsi="Arial"/>
          <w:noProof w:val="0"/>
        </w:rPr>
      </w:pPr>
    </w:p>
    <w:p w14:paraId="2A64B906"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גרסתו האמורה של גבי ביחס למשכנתא במשפט הגירושין מקימה נגדו השתק שיפוטי המונע ממנו להעלות את גרסתו ההפוכה במשפט זה. </w:t>
      </w:r>
    </w:p>
    <w:p w14:paraId="751ADBC4" w14:textId="77777777" w:rsidR="00363487" w:rsidRDefault="00363487" w:rsidP="00363487">
      <w:pPr>
        <w:pStyle w:val="1"/>
        <w:spacing w:line="360" w:lineRule="auto"/>
        <w:ind w:left="369"/>
        <w:jc w:val="both"/>
        <w:rPr>
          <w:rFonts w:ascii="Arial" w:hAnsi="Arial"/>
          <w:noProof w:val="0"/>
        </w:rPr>
      </w:pPr>
    </w:p>
    <w:p w14:paraId="226DDE13"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כך נוסחו וסוכמו כללי ההשתק השיפוטי בפסק דינו של בית המשפט העליון, </w:t>
      </w:r>
      <w:hyperlink r:id="rId22" w:history="1">
        <w:r w:rsidR="00E071F6" w:rsidRPr="00E071F6">
          <w:rPr>
            <w:rFonts w:ascii="Arial" w:hAnsi="Arial"/>
            <w:noProof w:val="0"/>
            <w:color w:val="0000FF"/>
            <w:u w:val="single"/>
            <w:rtl/>
          </w:rPr>
          <w:t>בע"מ 8943/22</w:t>
        </w:r>
      </w:hyperlink>
      <w:r>
        <w:rPr>
          <w:rFonts w:ascii="Arial" w:hAnsi="Arial" w:hint="cs"/>
          <w:noProof w:val="0"/>
          <w:rtl/>
        </w:rPr>
        <w:t xml:space="preserve"> </w:t>
      </w:r>
      <w:r w:rsidRPr="00F25070">
        <w:rPr>
          <w:rFonts w:ascii="Arial" w:hAnsi="Arial" w:hint="cs"/>
          <w:b/>
          <w:bCs/>
          <w:noProof w:val="0"/>
          <w:rtl/>
        </w:rPr>
        <w:t>פלוני נ' פלונית</w:t>
      </w:r>
      <w:r>
        <w:rPr>
          <w:rFonts w:ascii="Arial" w:hAnsi="Arial" w:hint="cs"/>
          <w:noProof w:val="0"/>
          <w:rtl/>
        </w:rPr>
        <w:t xml:space="preserve"> </w:t>
      </w:r>
      <w:r w:rsidR="00890C38">
        <w:rPr>
          <w:rFonts w:ascii="Arial" w:hAnsi="Arial"/>
          <w:noProof w:val="0"/>
          <w:rtl/>
        </w:rPr>
        <w:t>[נבו]</w:t>
      </w:r>
      <w:r w:rsidR="00890C38">
        <w:rPr>
          <w:rFonts w:ascii="Arial" w:hAnsi="Arial" w:hint="cs"/>
          <w:noProof w:val="0"/>
          <w:rtl/>
        </w:rPr>
        <w:t xml:space="preserve"> </w:t>
      </w:r>
      <w:r>
        <w:rPr>
          <w:rFonts w:ascii="Arial" w:hAnsi="Arial" w:hint="cs"/>
          <w:noProof w:val="0"/>
          <w:rtl/>
        </w:rPr>
        <w:t xml:space="preserve">(15.3.2023) (פסקאות 11-8): </w:t>
      </w:r>
    </w:p>
    <w:p w14:paraId="6BED39B8" w14:textId="77777777" w:rsidR="00363487" w:rsidRDefault="00363487" w:rsidP="00363487">
      <w:pPr>
        <w:pStyle w:val="1"/>
        <w:spacing w:line="360" w:lineRule="auto"/>
        <w:ind w:left="369"/>
        <w:jc w:val="both"/>
        <w:rPr>
          <w:rFonts w:ascii="Arial" w:hAnsi="Arial"/>
          <w:noProof w:val="0"/>
          <w:rtl/>
        </w:rPr>
      </w:pPr>
    </w:p>
    <w:p w14:paraId="06CC383D" w14:textId="77777777" w:rsidR="00363487" w:rsidRPr="000D7DC6" w:rsidRDefault="00000000" w:rsidP="00363487">
      <w:pPr>
        <w:pStyle w:val="1"/>
        <w:spacing w:line="360" w:lineRule="auto"/>
        <w:ind w:left="652" w:right="426"/>
        <w:jc w:val="both"/>
        <w:rPr>
          <w:rFonts w:ascii="Arial" w:hAnsi="Arial"/>
          <w:b/>
          <w:bCs/>
          <w:noProof w:val="0"/>
          <w:rtl/>
        </w:rPr>
      </w:pPr>
      <w:r>
        <w:rPr>
          <w:rFonts w:ascii="Arial" w:hAnsi="Arial" w:hint="cs"/>
          <w:noProof w:val="0"/>
          <w:rtl/>
        </w:rPr>
        <w:t>"</w:t>
      </w:r>
      <w:r w:rsidRPr="00F25070">
        <w:rPr>
          <w:rtl/>
        </w:rPr>
        <w:t xml:space="preserve"> </w:t>
      </w:r>
      <w:r w:rsidRPr="00050FF6">
        <w:rPr>
          <w:rFonts w:ascii="Arial" w:hAnsi="Arial"/>
          <w:b/>
          <w:bCs/>
          <w:noProof w:val="0"/>
          <w:rtl/>
        </w:rPr>
        <w:t xml:space="preserve">כידוע, כלל ההשתק השיפוטי מונע מבעל דין להעלות טענות סותרות בהליכים שונים. זאת, גם כאשר בעלי הדין בשני ההליכים אינם זהים (ראו: </w:t>
      </w:r>
      <w:hyperlink r:id="rId23" w:history="1">
        <w:r w:rsidR="00E071F6" w:rsidRPr="00E071F6">
          <w:rPr>
            <w:rFonts w:ascii="Arial" w:hAnsi="Arial"/>
            <w:b/>
            <w:bCs/>
            <w:noProof w:val="0"/>
            <w:color w:val="0000FF"/>
            <w:u w:val="single"/>
            <w:rtl/>
          </w:rPr>
          <w:t>ע"א 513/89</w:t>
        </w:r>
      </w:hyperlink>
      <w:r w:rsidRPr="00050FF6">
        <w:rPr>
          <w:rFonts w:ascii="Arial" w:hAnsi="Arial"/>
          <w:b/>
          <w:bCs/>
          <w:noProof w:val="0"/>
          <w:rtl/>
        </w:rPr>
        <w:t xml:space="preserve"> </w:t>
      </w:r>
      <w:r w:rsidRPr="00050FF6">
        <w:rPr>
          <w:rFonts w:ascii="Arial" w:hAnsi="Arial"/>
          <w:b/>
          <w:bCs/>
          <w:noProof w:val="0"/>
        </w:rPr>
        <w:t>Interlego A/S</w:t>
      </w:r>
      <w:r w:rsidRPr="00050FF6">
        <w:rPr>
          <w:rFonts w:ascii="Arial" w:hAnsi="Arial"/>
          <w:b/>
          <w:bCs/>
          <w:noProof w:val="0"/>
          <w:rtl/>
        </w:rPr>
        <w:t xml:space="preserve"> נ' </w:t>
      </w:r>
      <w:r w:rsidRPr="00050FF6">
        <w:rPr>
          <w:rFonts w:ascii="Arial" w:hAnsi="Arial"/>
          <w:b/>
          <w:bCs/>
          <w:noProof w:val="0"/>
        </w:rPr>
        <w:t>Exin-Lines Bros. S.A</w:t>
      </w:r>
      <w:r w:rsidRPr="00050FF6">
        <w:rPr>
          <w:rFonts w:ascii="Arial" w:hAnsi="Arial"/>
          <w:b/>
          <w:bCs/>
          <w:noProof w:val="0"/>
          <w:rtl/>
        </w:rPr>
        <w:t xml:space="preserve">, פ"ד מח(4) 133, 196 (1994)). כלל זה נועד, בעיקרו של דבר, לשמור על טוהר ההליך השיפוטי ועל אמון הציבור במערכת המשפט (ראו: </w:t>
      </w:r>
      <w:hyperlink r:id="rId24" w:history="1">
        <w:r w:rsidR="00E071F6" w:rsidRPr="00E071F6">
          <w:rPr>
            <w:rFonts w:ascii="Arial" w:hAnsi="Arial"/>
            <w:b/>
            <w:bCs/>
            <w:noProof w:val="0"/>
            <w:color w:val="0000FF"/>
            <w:u w:val="single"/>
            <w:rtl/>
          </w:rPr>
          <w:t>רע"א 4224/04</w:t>
        </w:r>
      </w:hyperlink>
      <w:r w:rsidRPr="00050FF6">
        <w:rPr>
          <w:rFonts w:ascii="Arial" w:hAnsi="Arial"/>
          <w:b/>
          <w:bCs/>
          <w:noProof w:val="0"/>
          <w:rtl/>
        </w:rPr>
        <w:t xml:space="preserve"> בית ששון בע"מ נ' שיכון עובדים והשקעות בע"מ, פ"ד נט(6) 625, פס' 9 לפסק דינו של השופט גרוניס (2005)). לתכלית זו שני פנים: מבחינה מוסרית, הכלל מתמקד בתום-לבם של בעלי הדין ונועד למנוע ניצול לרעה של ההליך השיפוטי; מבחינה מעשית, הכלל מבקש למנוע הכרעות סותרות של טריבונלים שונים (ראו, למשל: </w:t>
      </w:r>
      <w:hyperlink r:id="rId25" w:history="1">
        <w:r w:rsidR="00E071F6" w:rsidRPr="00E071F6">
          <w:rPr>
            <w:rFonts w:ascii="Arial" w:hAnsi="Arial"/>
            <w:b/>
            <w:bCs/>
            <w:noProof w:val="0"/>
            <w:color w:val="0000FF"/>
            <w:u w:val="single"/>
            <w:rtl/>
          </w:rPr>
          <w:t>ע"א 1445/11</w:t>
        </w:r>
      </w:hyperlink>
      <w:r w:rsidRPr="00050FF6">
        <w:rPr>
          <w:rFonts w:ascii="Arial" w:hAnsi="Arial"/>
          <w:b/>
          <w:bCs/>
          <w:noProof w:val="0"/>
          <w:rtl/>
        </w:rPr>
        <w:t xml:space="preserve"> מרטינז נ' רילוב, פס' 24 [פורסם בנבו] (26.12.2012); </w:t>
      </w:r>
      <w:hyperlink r:id="rId26" w:history="1">
        <w:r w:rsidR="00E071F6" w:rsidRPr="00E071F6">
          <w:rPr>
            <w:rFonts w:ascii="Arial" w:hAnsi="Arial"/>
            <w:b/>
            <w:bCs/>
            <w:noProof w:val="0"/>
            <w:color w:val="0000FF"/>
            <w:u w:val="single"/>
            <w:rtl/>
          </w:rPr>
          <w:t>ע"א 6181/08</w:t>
        </w:r>
      </w:hyperlink>
      <w:r w:rsidRPr="00050FF6">
        <w:rPr>
          <w:rFonts w:ascii="Arial" w:hAnsi="Arial"/>
          <w:b/>
          <w:bCs/>
          <w:noProof w:val="0"/>
          <w:rtl/>
        </w:rPr>
        <w:t xml:space="preserve"> וינוקור נ' ממונה מס ערך מוסף עכו, פס' 10 [פורסם בנבו] (28.8.2012)).</w:t>
      </w:r>
    </w:p>
    <w:p w14:paraId="63964151" w14:textId="77777777" w:rsidR="00363487" w:rsidRPr="000D7DC6" w:rsidRDefault="00000000" w:rsidP="00363487">
      <w:pPr>
        <w:pStyle w:val="1"/>
        <w:spacing w:line="360" w:lineRule="auto"/>
        <w:ind w:left="652" w:right="426"/>
        <w:jc w:val="both"/>
        <w:rPr>
          <w:rFonts w:ascii="Arial" w:hAnsi="Arial"/>
          <w:b/>
          <w:bCs/>
          <w:noProof w:val="0"/>
          <w:rtl/>
        </w:rPr>
      </w:pPr>
      <w:r w:rsidRPr="00050FF6">
        <w:rPr>
          <w:rFonts w:ascii="Arial" w:hAnsi="Arial"/>
          <w:b/>
          <w:bCs/>
          <w:noProof w:val="0"/>
          <w:rtl/>
        </w:rPr>
        <w:t xml:space="preserve">בעבר, תחולתו של כלל ההשתק השיפוטי הותנתה בכך שטענתו הרלוונטית של בעל הדין התקבלה במסגרת ההליך האחר (ראו, למשל: </w:t>
      </w:r>
      <w:hyperlink r:id="rId27" w:history="1">
        <w:r w:rsidR="00E071F6" w:rsidRPr="00E071F6">
          <w:rPr>
            <w:rFonts w:ascii="Arial" w:hAnsi="Arial"/>
            <w:b/>
            <w:bCs/>
            <w:noProof w:val="0"/>
            <w:color w:val="0000FF"/>
            <w:u w:val="single"/>
            <w:rtl/>
          </w:rPr>
          <w:t>רע"א 6753/96</w:t>
        </w:r>
      </w:hyperlink>
      <w:r w:rsidRPr="00050FF6">
        <w:rPr>
          <w:rFonts w:ascii="Arial" w:hAnsi="Arial"/>
          <w:b/>
          <w:bCs/>
          <w:noProof w:val="0"/>
          <w:rtl/>
        </w:rPr>
        <w:t xml:space="preserve"> מ.מ.ח.ת. בע"מ נ' פרידמן, פ"ד נ(5) 418, 422 (1997)). במרוצת השנים רוכך תנאי זה, לכדי דרישה שלבעל הדין צמחה "הנאה" כלשהי כתוצאה מהעלאת הטענה שעל הפרק (ראו: עניין בית ששון, בפס' 11 לפסק דינו של השופט גרוניס; </w:t>
      </w:r>
      <w:hyperlink r:id="rId28" w:history="1">
        <w:r w:rsidR="00E071F6" w:rsidRPr="00E071F6">
          <w:rPr>
            <w:rFonts w:ascii="Arial" w:hAnsi="Arial"/>
            <w:b/>
            <w:bCs/>
            <w:noProof w:val="0"/>
            <w:color w:val="0000FF"/>
            <w:u w:val="single"/>
            <w:rtl/>
          </w:rPr>
          <w:t>בר"מ 8689/14</w:t>
        </w:r>
      </w:hyperlink>
      <w:r w:rsidRPr="00050FF6">
        <w:rPr>
          <w:rFonts w:ascii="Arial" w:hAnsi="Arial"/>
          <w:b/>
          <w:bCs/>
          <w:noProof w:val="0"/>
          <w:rtl/>
        </w:rPr>
        <w:t xml:space="preserve"> הוועדה המקומית לתכנון ובניה מגדל העמק נ' מבני תעשיה בע"מ, פס' 14-11 לפסק דינו של השופט פוגלמן [פורסם בנבו] (4.5.2015)); ואף ביחס לנחיצותה של דרישה מרוככת זו ניתן למצוא עמדות שונות בפסיקתו של בית משפט זה (ראו: </w:t>
      </w:r>
      <w:hyperlink r:id="rId29" w:history="1">
        <w:r w:rsidR="00E071F6" w:rsidRPr="00E071F6">
          <w:rPr>
            <w:rFonts w:ascii="Arial" w:hAnsi="Arial"/>
            <w:b/>
            <w:bCs/>
            <w:noProof w:val="0"/>
            <w:color w:val="0000FF"/>
            <w:u w:val="single"/>
            <w:rtl/>
          </w:rPr>
          <w:t>רע"א 2401/21</w:t>
        </w:r>
      </w:hyperlink>
      <w:r w:rsidRPr="00050FF6">
        <w:rPr>
          <w:rFonts w:ascii="Arial" w:hAnsi="Arial"/>
          <w:b/>
          <w:bCs/>
          <w:noProof w:val="0"/>
          <w:rtl/>
        </w:rPr>
        <w:t xml:space="preserve"> ג'עוני נ' נחלת שמעון בע"מ, פס' 35 לפסק דינו של השופט סולברג וההפניות שם [פורסם בנבו] (1.3.2022)).</w:t>
      </w:r>
    </w:p>
    <w:p w14:paraId="1654B35E" w14:textId="77777777" w:rsidR="00363487" w:rsidRPr="000D7DC6" w:rsidRDefault="00000000" w:rsidP="00363487">
      <w:pPr>
        <w:pStyle w:val="1"/>
        <w:spacing w:line="360" w:lineRule="auto"/>
        <w:ind w:left="652" w:right="426"/>
        <w:jc w:val="both"/>
        <w:rPr>
          <w:rFonts w:ascii="Arial" w:hAnsi="Arial"/>
          <w:b/>
          <w:bCs/>
          <w:noProof w:val="0"/>
          <w:rtl/>
        </w:rPr>
      </w:pPr>
      <w:r w:rsidRPr="00050FF6">
        <w:rPr>
          <w:rFonts w:ascii="Arial" w:hAnsi="Arial"/>
          <w:b/>
          <w:bCs/>
          <w:noProof w:val="0"/>
          <w:rtl/>
        </w:rPr>
        <w:t>אציין כי לגישתי, צמיחתה של "הנאה" כלשהי כתוצאה מהעלאת טענה מסוימת, איננה, ככלל, תנאי לקביעה כי בעל דין מושתק מלטעון את היפוכה. זאת,</w:t>
      </w:r>
      <w:r>
        <w:rPr>
          <w:rFonts w:ascii="Arial" w:hAnsi="Arial" w:hint="cs"/>
          <w:b/>
          <w:bCs/>
          <w:noProof w:val="0"/>
          <w:rtl/>
        </w:rPr>
        <w:t xml:space="preserve"> </w:t>
      </w:r>
      <w:r w:rsidRPr="00D26608">
        <w:rPr>
          <w:rFonts w:ascii="Arial" w:hAnsi="Arial"/>
          <w:b/>
          <w:bCs/>
          <w:noProof w:val="0"/>
          <w:rtl/>
        </w:rPr>
        <w:t>בעיקרו של דבר, לנוכח רציונל ההשתק שעניינו הגינות ותום-לב, שאינו מתמקד בתוצאת ההליך כי אם בהתנהלות בעל הדין, וממילא, תחולתו אינה מותנית בקיומה של "הנאה" כזו או אחרת (ראו: עניין בית ששון, בפס' 10 לפסק דינו של השופט גרוניס, וכן חוות דעתו של השופט רובינשטיין; עניין וינוקור, בפס' 13).</w:t>
      </w:r>
    </w:p>
    <w:p w14:paraId="4A71E90D" w14:textId="77777777" w:rsidR="00363487" w:rsidRDefault="00000000" w:rsidP="00363487">
      <w:pPr>
        <w:pStyle w:val="1"/>
        <w:spacing w:line="360" w:lineRule="auto"/>
        <w:ind w:left="652" w:right="426"/>
        <w:jc w:val="both"/>
        <w:rPr>
          <w:rFonts w:ascii="Arial" w:hAnsi="Arial"/>
          <w:noProof w:val="0"/>
          <w:rtl/>
        </w:rPr>
      </w:pPr>
      <w:r w:rsidRPr="00050FF6">
        <w:rPr>
          <w:rFonts w:ascii="Arial" w:hAnsi="Arial"/>
          <w:b/>
          <w:bCs/>
          <w:noProof w:val="0"/>
          <w:rtl/>
        </w:rPr>
        <w:t>לנוכח האמור, אף בהנחה שהייתה מתקבלת טענת המבקש, שלא צמחה לו "הנאה" מהעלאת הטענה האמורה בהליך ההוצאה לפועל, לא היה בכך, לגישתי, כדי להוביל למסקנה שלפיה הוא אינו מושתק מלטעון את היפוכה בהליך דנן</w:t>
      </w:r>
      <w:r>
        <w:rPr>
          <w:rFonts w:ascii="Arial" w:hAnsi="Arial" w:hint="cs"/>
          <w:noProof w:val="0"/>
          <w:rtl/>
        </w:rPr>
        <w:t xml:space="preserve">". </w:t>
      </w:r>
    </w:p>
    <w:p w14:paraId="0F0671A4" w14:textId="77777777" w:rsidR="00363487" w:rsidRPr="00050FF6" w:rsidRDefault="00363487" w:rsidP="00363487">
      <w:pPr>
        <w:pStyle w:val="1"/>
        <w:rPr>
          <w:rFonts w:ascii="Arial" w:hAnsi="Arial"/>
          <w:noProof w:val="0"/>
        </w:rPr>
      </w:pPr>
    </w:p>
    <w:p w14:paraId="054252DC"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פסק הדין במשפט הגירושין ניתן לפי </w:t>
      </w:r>
      <w:hyperlink r:id="rId30" w:history="1">
        <w:r w:rsidR="005F5511" w:rsidRPr="005F5511">
          <w:rPr>
            <w:rStyle w:val="Hyperlink"/>
            <w:rFonts w:ascii="Arial" w:hAnsi="Arial" w:hint="eastAsia"/>
            <w:noProof w:val="0"/>
            <w:rtl/>
          </w:rPr>
          <w:t>סעיף</w:t>
        </w:r>
        <w:r w:rsidR="005F5511" w:rsidRPr="005F5511">
          <w:rPr>
            <w:rStyle w:val="Hyperlink"/>
            <w:rFonts w:ascii="Arial" w:hAnsi="Arial"/>
            <w:noProof w:val="0"/>
            <w:rtl/>
          </w:rPr>
          <w:t xml:space="preserve"> 79א'</w:t>
        </w:r>
      </w:hyperlink>
      <w:r>
        <w:rPr>
          <w:rFonts w:ascii="Arial" w:hAnsi="Arial" w:hint="cs"/>
          <w:noProof w:val="0"/>
          <w:rtl/>
        </w:rPr>
        <w:t xml:space="preserve"> </w:t>
      </w:r>
      <w:r w:rsidRPr="00D26608">
        <w:rPr>
          <w:rFonts w:ascii="Arial" w:hAnsi="Arial" w:hint="cs"/>
          <w:noProof w:val="0"/>
          <w:rtl/>
        </w:rPr>
        <w:t>ל</w:t>
      </w:r>
      <w:hyperlink r:id="rId31" w:history="1">
        <w:r w:rsidR="00E071F6" w:rsidRPr="00E071F6">
          <w:rPr>
            <w:rFonts w:ascii="Arial" w:hAnsi="Arial"/>
            <w:b/>
            <w:bCs/>
            <w:noProof w:val="0"/>
            <w:color w:val="0000FF"/>
            <w:u w:val="single"/>
            <w:rtl/>
          </w:rPr>
          <w:t>חוק בתי המשפט</w:t>
        </w:r>
      </w:hyperlink>
      <w:r w:rsidRPr="00D26608">
        <w:rPr>
          <w:rFonts w:ascii="Arial" w:hAnsi="Arial" w:hint="cs"/>
          <w:b/>
          <w:bCs/>
          <w:noProof w:val="0"/>
          <w:rtl/>
        </w:rPr>
        <w:t xml:space="preserve"> [נוסח משולב], התשמ"ד-1984</w:t>
      </w:r>
      <w:r>
        <w:rPr>
          <w:rFonts w:ascii="Arial" w:hAnsi="Arial" w:hint="cs"/>
          <w:noProof w:val="0"/>
          <w:rtl/>
        </w:rPr>
        <w:t xml:space="preserve"> (נספח כב' לתצהיר נאוה), ולכן, למרות שנקבעו בו כי "</w:t>
      </w:r>
      <w:r w:rsidRPr="00D26608">
        <w:rPr>
          <w:rFonts w:ascii="Arial" w:hAnsi="Arial" w:hint="cs"/>
          <w:b/>
          <w:bCs/>
          <w:noProof w:val="0"/>
          <w:rtl/>
        </w:rPr>
        <w:t xml:space="preserve">החוב למר בני פרץ </w:t>
      </w:r>
      <w:r w:rsidRPr="00D26608">
        <w:rPr>
          <w:rFonts w:ascii="Arial" w:hAnsi="Arial"/>
          <w:b/>
          <w:bCs/>
          <w:noProof w:val="0"/>
          <w:rtl/>
        </w:rPr>
        <w:t>–</w:t>
      </w:r>
      <w:r w:rsidRPr="00D26608">
        <w:rPr>
          <w:rFonts w:ascii="Arial" w:hAnsi="Arial" w:hint="cs"/>
          <w:b/>
          <w:bCs/>
          <w:noProof w:val="0"/>
          <w:rtl/>
        </w:rPr>
        <w:t xml:space="preserve"> לא לאיזון</w:t>
      </w:r>
      <w:r>
        <w:rPr>
          <w:rFonts w:ascii="Arial" w:hAnsi="Arial" w:hint="cs"/>
          <w:noProof w:val="0"/>
          <w:rtl/>
        </w:rPr>
        <w:t xml:space="preserve">", לא ניתן ללמוד ממנו, האם גרסתו של גבי ביחס לאמיתות המשכנתא התקבלה, אם לאו, האם צמחה לו מגרסתו זו "הנאה" אם לאו, אך בהיעדר כל הסבר לשינוי גרסאותיו, כשנראה בעליל שהוא משנה את גרסאותיו </w:t>
      </w:r>
      <w:r>
        <w:rPr>
          <w:rFonts w:ascii="Arial" w:hAnsi="Arial"/>
          <w:noProof w:val="0"/>
          <w:rtl/>
        </w:rPr>
        <w:t>–</w:t>
      </w:r>
      <w:r>
        <w:rPr>
          <w:rFonts w:ascii="Arial" w:hAnsi="Arial" w:hint="cs"/>
          <w:noProof w:val="0"/>
          <w:rtl/>
        </w:rPr>
        <w:t xml:space="preserve"> גם אם הן הפוכות ממש </w:t>
      </w:r>
      <w:r>
        <w:rPr>
          <w:rFonts w:ascii="Arial" w:hAnsi="Arial"/>
          <w:noProof w:val="0"/>
          <w:rtl/>
        </w:rPr>
        <w:t>–</w:t>
      </w:r>
      <w:r>
        <w:rPr>
          <w:rFonts w:ascii="Arial" w:hAnsi="Arial" w:hint="cs"/>
          <w:noProof w:val="0"/>
          <w:rtl/>
        </w:rPr>
        <w:t xml:space="preserve"> בהתאם לאינטרס שעשוי לצמוח לו בהליך המשפטי שהוא מעורב בו, אז יש לנהוג בהתאם לגישה שבפסק הדין </w:t>
      </w:r>
      <w:r w:rsidRPr="00D26608">
        <w:rPr>
          <w:rFonts w:ascii="Arial" w:hAnsi="Arial" w:hint="cs"/>
          <w:b/>
          <w:bCs/>
          <w:noProof w:val="0"/>
          <w:rtl/>
        </w:rPr>
        <w:t>פלוני</w:t>
      </w:r>
      <w:r>
        <w:rPr>
          <w:rFonts w:ascii="Arial" w:hAnsi="Arial" w:hint="cs"/>
          <w:noProof w:val="0"/>
          <w:rtl/>
        </w:rPr>
        <w:t xml:space="preserve"> הנ"ל, לפיה, כאמור, "</w:t>
      </w:r>
      <w:r w:rsidRPr="00D26608">
        <w:rPr>
          <w:rFonts w:ascii="Arial" w:hAnsi="Arial" w:hint="cs"/>
          <w:b/>
          <w:bCs/>
          <w:noProof w:val="0"/>
          <w:rtl/>
        </w:rPr>
        <w:t>צמיחתה של "הנאה" כלשהי כתוצאה מהעלאת טענה מסוימת, איננה, ככלל, תנאי לקביעה כי בעל דין מושתק מלטעון את היפוכה</w:t>
      </w:r>
      <w:r>
        <w:rPr>
          <w:rFonts w:ascii="Arial" w:hAnsi="Arial" w:hint="cs"/>
          <w:noProof w:val="0"/>
          <w:rtl/>
        </w:rPr>
        <w:t>".</w:t>
      </w:r>
    </w:p>
    <w:p w14:paraId="5C7170D3" w14:textId="77777777" w:rsidR="00363487" w:rsidRDefault="00363487" w:rsidP="00363487">
      <w:pPr>
        <w:pStyle w:val="1"/>
        <w:rPr>
          <w:rFonts w:ascii="Arial" w:hAnsi="Arial"/>
          <w:noProof w:val="0"/>
        </w:rPr>
      </w:pPr>
    </w:p>
    <w:p w14:paraId="0702439F"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וכן אין לתת אמון במי שמתאים את גרסאותיו, גם אם הן שונות בתכלית, לתוצאה הרצויה מבחינתו בהליכים משפטיים השונים, שבהם הוא מעורב, כך שגם אם לא הייתי קובע שקם לגבי השתק שיפוטי, אזי, מכוח שיקול הדעת הנתון לערכאה הדיונית (השוו: </w:t>
      </w:r>
      <w:hyperlink r:id="rId32" w:history="1">
        <w:r w:rsidR="00E071F6" w:rsidRPr="00E071F6">
          <w:rPr>
            <w:rFonts w:ascii="Arial" w:hAnsi="Arial"/>
            <w:noProof w:val="0"/>
            <w:color w:val="0000FF"/>
            <w:u w:val="single"/>
            <w:rtl/>
          </w:rPr>
          <w:t>ע"א 765/18</w:t>
        </w:r>
      </w:hyperlink>
      <w:r>
        <w:rPr>
          <w:rFonts w:ascii="Arial" w:hAnsi="Arial" w:hint="cs"/>
          <w:noProof w:val="0"/>
          <w:rtl/>
        </w:rPr>
        <w:t xml:space="preserve"> </w:t>
      </w:r>
      <w:r w:rsidRPr="00305F87">
        <w:rPr>
          <w:rFonts w:ascii="Arial" w:hAnsi="Arial" w:hint="cs"/>
          <w:b/>
          <w:bCs/>
          <w:noProof w:val="0"/>
          <w:rtl/>
        </w:rPr>
        <w:t>חיון נ' חיון</w:t>
      </w:r>
      <w:r>
        <w:rPr>
          <w:rFonts w:ascii="Arial" w:hAnsi="Arial" w:hint="cs"/>
          <w:noProof w:val="0"/>
          <w:rtl/>
        </w:rPr>
        <w:t xml:space="preserve"> </w:t>
      </w:r>
      <w:r w:rsidR="00890C38">
        <w:rPr>
          <w:rFonts w:ascii="Arial" w:hAnsi="Arial"/>
          <w:noProof w:val="0"/>
          <w:rtl/>
        </w:rPr>
        <w:t>[נבו]</w:t>
      </w:r>
      <w:r w:rsidR="00890C38">
        <w:rPr>
          <w:rFonts w:ascii="Arial" w:hAnsi="Arial" w:hint="cs"/>
          <w:noProof w:val="0"/>
          <w:rtl/>
        </w:rPr>
        <w:t xml:space="preserve"> </w:t>
      </w:r>
      <w:r>
        <w:rPr>
          <w:rFonts w:ascii="Arial" w:hAnsi="Arial" w:hint="cs"/>
          <w:noProof w:val="0"/>
          <w:rtl/>
        </w:rPr>
        <w:t xml:space="preserve">(1.5.2019), פסקה 27), יש לקבוע שלא ניתן לתת אמון בעדותו כאן ביחס למשכנתא. </w:t>
      </w:r>
    </w:p>
    <w:p w14:paraId="7CE8CCA0" w14:textId="77777777" w:rsidR="00363487" w:rsidRPr="00A04E75" w:rsidRDefault="00363487" w:rsidP="00363487">
      <w:pPr>
        <w:pStyle w:val="1"/>
        <w:rPr>
          <w:rFonts w:ascii="Arial" w:hAnsi="Arial"/>
          <w:noProof w:val="0"/>
          <w:rtl/>
        </w:rPr>
      </w:pPr>
    </w:p>
    <w:p w14:paraId="09FF1A3A"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מאחר וגרסתה של דרורה מתבססת, כאמור, על גרסתו של גבי, הרי שדחיית גרסתו של גבי מביאה גם לדחיית גרסתה. </w:t>
      </w:r>
    </w:p>
    <w:p w14:paraId="1A9DDF8A" w14:textId="77777777" w:rsidR="00363487" w:rsidRDefault="00000000" w:rsidP="00363487">
      <w:pPr>
        <w:spacing w:line="360" w:lineRule="auto"/>
        <w:ind w:left="369"/>
        <w:jc w:val="both"/>
        <w:rPr>
          <w:rFonts w:ascii="Arial" w:hAnsi="Arial"/>
          <w:noProof w:val="0"/>
          <w:rtl/>
        </w:rPr>
      </w:pPr>
      <w:r>
        <w:rPr>
          <w:rFonts w:ascii="Arial" w:hAnsi="Arial" w:hint="cs"/>
          <w:noProof w:val="0"/>
          <w:rtl/>
        </w:rPr>
        <w:t xml:space="preserve">מלבד זאת, גם בכתב תביעתה (סעיף 11) מזכירה דרורה את גרסתו של גבי במשפט הגירושין, לפיה המשכנתא נרשמה בגין חובם של גבי ונאוה לבני, משמע, גם היא הייתה מודעת לגרסה קודמת ושונה של גבי ביחס למשכנתא. </w:t>
      </w:r>
    </w:p>
    <w:p w14:paraId="35957B03" w14:textId="77777777" w:rsidR="00363487" w:rsidRPr="00305F87" w:rsidRDefault="00363487" w:rsidP="00363487">
      <w:pPr>
        <w:ind w:left="369"/>
        <w:rPr>
          <w:rFonts w:ascii="Arial" w:hAnsi="Arial"/>
          <w:noProof w:val="0"/>
          <w:rtl/>
        </w:rPr>
      </w:pPr>
    </w:p>
    <w:p w14:paraId="429CFFAD"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באשר לעדותה של נאוה, היא לא הייתה נוכחת בעת החתימה על שטר המשכנתא, ולכן היא איננה יכולה להעיד על נסיבות החתימה על שטר זה. </w:t>
      </w:r>
    </w:p>
    <w:p w14:paraId="1C0964AB"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נאוה העידה (סעיפים 6 ואילך לתצהירה) כי באותו פרק זמן ממש פעל גבי לרישום משכנתאות על זכויותיו בנכסים נוספים, לטובת אמו יקוט או לטובתו של בני, כולן "פיקטיביות", שנעשו על רקע הסתבכותו עם שלטונות המס ושנועדו לאותה מטרה: להקשות עליהם בגביית המס או בהטלת עיקולים על הנכסים. </w:t>
      </w:r>
    </w:p>
    <w:p w14:paraId="2F67BF47"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ביחס לרישומי המשכנתאות על שם אמו המנוחה, מטבע הדברים סוגיה זו לא התבררה. </w:t>
      </w:r>
    </w:p>
    <w:p w14:paraId="3A21C163"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ביחס לרישומי המשכנתא על שמו של בני, אין בכך רבותא, שהרי בני העיד כי כל אותן משכנתאות נועדו להבטיח את חובו של גבי אליו בגין עבודות השיפוצים שעשה עבורו בנכסים השונים. </w:t>
      </w:r>
    </w:p>
    <w:p w14:paraId="3C04CE74" w14:textId="77777777" w:rsidR="00363487" w:rsidRPr="003C3027" w:rsidRDefault="00000000" w:rsidP="00363487">
      <w:pPr>
        <w:pStyle w:val="1"/>
        <w:spacing w:line="360" w:lineRule="auto"/>
        <w:ind w:left="369"/>
        <w:jc w:val="both"/>
        <w:rPr>
          <w:rFonts w:ascii="Arial" w:hAnsi="Arial"/>
          <w:noProof w:val="0"/>
          <w:rtl/>
        </w:rPr>
      </w:pPr>
      <w:r>
        <w:rPr>
          <w:rFonts w:ascii="Arial" w:hAnsi="Arial" w:hint="cs"/>
          <w:noProof w:val="0"/>
          <w:rtl/>
        </w:rPr>
        <w:t xml:space="preserve">מכל מקום, מאחר שעסקינן כאן במשכנתא הנדונה בבניין הנדון, ומאחר שנאוה לא הייתה מעורבת, כאמור, בחתימת משכנתא זו, הרי שבהתייחס אליה, עדותה של נאוה איננה יכולה לבוא במקום גרסתו הנדחית של גבי, ואין בה כדי לתמוך בגרסתה של דרורה. </w:t>
      </w:r>
    </w:p>
    <w:p w14:paraId="1F7109AA" w14:textId="77777777" w:rsidR="00363487" w:rsidRDefault="00363487" w:rsidP="00363487">
      <w:pPr>
        <w:pStyle w:val="1"/>
        <w:rPr>
          <w:rFonts w:ascii="Arial" w:hAnsi="Arial"/>
          <w:noProof w:val="0"/>
        </w:rPr>
      </w:pPr>
    </w:p>
    <w:p w14:paraId="4E8C8A36"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 קושי נוסף שמכביד על קבלת גרסתם של דרורה וגבי הוא, שלמרות שענייניו של גבי עם מס הכנסה הסתיים לפני שנים רבות, גבי לא טרח למחוק את המשכנתאות שנרשמו על הנכסים השונים (וביחס לבניין דנן, הדברים נכונים גם כלפי דרורה). </w:t>
      </w:r>
    </w:p>
    <w:p w14:paraId="009F1017" w14:textId="77777777" w:rsidR="00363487" w:rsidRDefault="00363487" w:rsidP="00363487">
      <w:pPr>
        <w:pStyle w:val="1"/>
        <w:spacing w:line="360" w:lineRule="auto"/>
        <w:ind w:left="369"/>
        <w:jc w:val="both"/>
        <w:rPr>
          <w:rFonts w:ascii="Arial" w:hAnsi="Arial"/>
          <w:noProof w:val="0"/>
        </w:rPr>
      </w:pPr>
    </w:p>
    <w:p w14:paraId="7138E6FE"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גבי נשאל על כך בחקירתו ולא נתן הסבר מסַפֵק (עמ' 360): </w:t>
      </w:r>
    </w:p>
    <w:p w14:paraId="2F0297A9" w14:textId="77777777" w:rsidR="00363487" w:rsidRPr="00FE7C33" w:rsidRDefault="00000000" w:rsidP="00363487">
      <w:pPr>
        <w:pStyle w:val="1"/>
        <w:spacing w:line="360" w:lineRule="auto"/>
        <w:ind w:left="2160" w:right="426" w:hanging="1650"/>
        <w:jc w:val="both"/>
        <w:rPr>
          <w:rFonts w:ascii="Arial" w:hAnsi="Arial"/>
          <w:b/>
          <w:bCs/>
          <w:noProof w:val="0"/>
        </w:rPr>
      </w:pPr>
      <w:r>
        <w:rPr>
          <w:rFonts w:ascii="Arial" w:hAnsi="Arial" w:hint="cs"/>
          <w:b/>
          <w:bCs/>
          <w:noProof w:val="0"/>
          <w:rtl/>
        </w:rPr>
        <w:t>"</w:t>
      </w:r>
      <w:r w:rsidRPr="00FE7C33">
        <w:rPr>
          <w:rFonts w:ascii="Arial" w:hAnsi="Arial" w:hint="cs"/>
          <w:b/>
          <w:bCs/>
          <w:noProof w:val="0"/>
          <w:rtl/>
        </w:rPr>
        <w:t>כב' הש' אטדגי:</w:t>
      </w:r>
      <w:r>
        <w:rPr>
          <w:rFonts w:ascii="Arial" w:hAnsi="Arial" w:hint="cs"/>
          <w:b/>
          <w:bCs/>
          <w:noProof w:val="0"/>
          <w:rtl/>
        </w:rPr>
        <w:t xml:space="preserve"> </w:t>
      </w:r>
      <w:r w:rsidRPr="00FE7C33">
        <w:rPr>
          <w:rFonts w:ascii="Arial" w:hAnsi="Arial" w:hint="cs"/>
          <w:b/>
          <w:bCs/>
          <w:noProof w:val="0"/>
          <w:rtl/>
        </w:rPr>
        <w:t>להקשות על מס הכנסה. שואל אותך, (לא ברור) הסיפור עם</w:t>
      </w:r>
      <w:bookmarkStart w:id="23" w:name="_ETM_Q_3231081"/>
      <w:bookmarkEnd w:id="23"/>
      <w:r w:rsidRPr="00FE7C33">
        <w:rPr>
          <w:rFonts w:ascii="Arial" w:hAnsi="Arial" w:hint="cs"/>
          <w:b/>
          <w:bCs/>
          <w:noProof w:val="0"/>
          <w:rtl/>
        </w:rPr>
        <w:t xml:space="preserve"> מס הכנסה הסתיים לפני הרבה שנים.</w:t>
      </w:r>
      <w:bookmarkStart w:id="24" w:name="_ETM_Q_3233736"/>
      <w:bookmarkEnd w:id="24"/>
    </w:p>
    <w:p w14:paraId="1180F74E" w14:textId="77777777" w:rsidR="00363487" w:rsidRPr="00FE7C33" w:rsidRDefault="00000000" w:rsidP="00363487">
      <w:pPr>
        <w:pStyle w:val="1"/>
        <w:spacing w:line="360" w:lineRule="auto"/>
        <w:ind w:left="652" w:right="426"/>
        <w:jc w:val="both"/>
        <w:rPr>
          <w:rFonts w:ascii="Arial" w:hAnsi="Arial"/>
          <w:b/>
          <w:bCs/>
          <w:noProof w:val="0"/>
          <w:rtl/>
        </w:rPr>
      </w:pPr>
      <w:r w:rsidRPr="00FE7C33">
        <w:rPr>
          <w:rFonts w:ascii="Arial" w:hAnsi="Arial" w:hint="cs"/>
          <w:b/>
          <w:bCs/>
          <w:noProof w:val="0"/>
          <w:rtl/>
        </w:rPr>
        <w:t>עו"ד פרץ:</w:t>
      </w:r>
      <w:r w:rsidRPr="00FE7C33">
        <w:rPr>
          <w:rFonts w:ascii="Arial" w:hAnsi="Arial" w:hint="cs"/>
          <w:b/>
          <w:bCs/>
          <w:noProof w:val="0"/>
          <w:rtl/>
        </w:rPr>
        <w:tab/>
        <w:t>הסתיים. כן.</w:t>
      </w:r>
      <w:bookmarkStart w:id="25" w:name="_ETM_Q_3235682"/>
      <w:bookmarkEnd w:id="25"/>
    </w:p>
    <w:p w14:paraId="1B9C14B3" w14:textId="77777777" w:rsidR="00363487" w:rsidRPr="00FE7C33" w:rsidRDefault="00000000" w:rsidP="00363487">
      <w:pPr>
        <w:pStyle w:val="1"/>
        <w:spacing w:line="360" w:lineRule="auto"/>
        <w:ind w:left="652" w:right="426"/>
        <w:jc w:val="both"/>
        <w:rPr>
          <w:rFonts w:ascii="Arial" w:hAnsi="Arial"/>
          <w:b/>
          <w:bCs/>
          <w:noProof w:val="0"/>
          <w:rtl/>
        </w:rPr>
      </w:pPr>
      <w:r w:rsidRPr="00FE7C33">
        <w:rPr>
          <w:rFonts w:ascii="Arial" w:hAnsi="Arial" w:hint="cs"/>
          <w:b/>
          <w:bCs/>
          <w:noProof w:val="0"/>
          <w:rtl/>
        </w:rPr>
        <w:t>כב' הש' אטדגי:</w:t>
      </w:r>
      <w:r w:rsidRPr="00FE7C33">
        <w:rPr>
          <w:rFonts w:ascii="Arial" w:hAnsi="Arial" w:hint="cs"/>
          <w:b/>
          <w:bCs/>
          <w:noProof w:val="0"/>
          <w:rtl/>
        </w:rPr>
        <w:tab/>
        <w:t>10 שנים לפחות.</w:t>
      </w:r>
      <w:bookmarkStart w:id="26" w:name="_ETM_Q_3237637"/>
      <w:bookmarkEnd w:id="26"/>
    </w:p>
    <w:p w14:paraId="4DD2D4B1" w14:textId="77777777" w:rsidR="00363487" w:rsidRPr="00FE7C33" w:rsidRDefault="00000000" w:rsidP="00363487">
      <w:pPr>
        <w:pStyle w:val="1"/>
        <w:spacing w:line="360" w:lineRule="auto"/>
        <w:ind w:left="652" w:right="426"/>
        <w:jc w:val="both"/>
        <w:rPr>
          <w:rFonts w:ascii="Arial" w:hAnsi="Arial"/>
          <w:b/>
          <w:bCs/>
          <w:noProof w:val="0"/>
          <w:rtl/>
        </w:rPr>
      </w:pPr>
      <w:r w:rsidRPr="00FE7C33">
        <w:rPr>
          <w:rFonts w:ascii="Arial" w:hAnsi="Arial" w:hint="cs"/>
          <w:b/>
          <w:bCs/>
          <w:noProof w:val="0"/>
          <w:rtl/>
        </w:rPr>
        <w:t>עו"ד פרץ:</w:t>
      </w:r>
      <w:r w:rsidRPr="00FE7C33">
        <w:rPr>
          <w:rFonts w:ascii="Arial" w:hAnsi="Arial" w:hint="cs"/>
          <w:b/>
          <w:bCs/>
          <w:noProof w:val="0"/>
          <w:rtl/>
        </w:rPr>
        <w:tab/>
        <w:t>י</w:t>
      </w:r>
      <w:bookmarkStart w:id="27" w:name="_ETM_Q_3236039"/>
      <w:bookmarkEnd w:id="27"/>
      <w:r w:rsidRPr="00FE7C33">
        <w:rPr>
          <w:rFonts w:ascii="Arial" w:hAnsi="Arial" w:hint="cs"/>
          <w:b/>
          <w:bCs/>
          <w:noProof w:val="0"/>
          <w:rtl/>
        </w:rPr>
        <w:t>כול להיות.</w:t>
      </w:r>
      <w:bookmarkStart w:id="28" w:name="_ETM_Q_3237495"/>
      <w:bookmarkEnd w:id="28"/>
    </w:p>
    <w:p w14:paraId="2C3676F3" w14:textId="77777777" w:rsidR="00363487" w:rsidRPr="00FE7C33" w:rsidRDefault="00000000" w:rsidP="00363487">
      <w:pPr>
        <w:pStyle w:val="1"/>
        <w:spacing w:line="360" w:lineRule="auto"/>
        <w:ind w:left="652" w:right="426"/>
        <w:jc w:val="both"/>
        <w:rPr>
          <w:rFonts w:ascii="Arial" w:hAnsi="Arial"/>
          <w:b/>
          <w:bCs/>
          <w:noProof w:val="0"/>
          <w:rtl/>
        </w:rPr>
      </w:pPr>
      <w:r w:rsidRPr="00FE7C33">
        <w:rPr>
          <w:rFonts w:ascii="Arial" w:hAnsi="Arial" w:hint="cs"/>
          <w:b/>
          <w:bCs/>
          <w:noProof w:val="0"/>
          <w:rtl/>
        </w:rPr>
        <w:t>עו"ד וייס:</w:t>
      </w:r>
      <w:r w:rsidRPr="00FE7C33">
        <w:rPr>
          <w:rFonts w:ascii="Arial" w:hAnsi="Arial" w:hint="cs"/>
          <w:b/>
          <w:bCs/>
          <w:noProof w:val="0"/>
          <w:rtl/>
        </w:rPr>
        <w:tab/>
        <w:t xml:space="preserve">יותר הוא אומר. </w:t>
      </w:r>
      <w:bookmarkStart w:id="29" w:name="_ETM_Q_3239309"/>
      <w:bookmarkEnd w:id="29"/>
    </w:p>
    <w:p w14:paraId="407E0A4A" w14:textId="77777777" w:rsidR="00363487" w:rsidRPr="00FE7C33" w:rsidRDefault="00000000" w:rsidP="00363487">
      <w:pPr>
        <w:pStyle w:val="1"/>
        <w:spacing w:line="360" w:lineRule="auto"/>
        <w:ind w:left="652" w:right="426"/>
        <w:jc w:val="both"/>
        <w:rPr>
          <w:rFonts w:ascii="Arial" w:hAnsi="Arial"/>
          <w:b/>
          <w:bCs/>
          <w:noProof w:val="0"/>
          <w:rtl/>
        </w:rPr>
      </w:pPr>
      <w:r w:rsidRPr="00FE7C33">
        <w:rPr>
          <w:rFonts w:ascii="Arial" w:hAnsi="Arial" w:hint="cs"/>
          <w:b/>
          <w:bCs/>
          <w:noProof w:val="0"/>
          <w:rtl/>
        </w:rPr>
        <w:t>כב' הש' אטדגי:</w:t>
      </w:r>
      <w:r w:rsidRPr="00FE7C33">
        <w:rPr>
          <w:rFonts w:ascii="Arial" w:hAnsi="Arial" w:hint="cs"/>
          <w:b/>
          <w:bCs/>
          <w:noProof w:val="0"/>
          <w:rtl/>
        </w:rPr>
        <w:tab/>
        <w:t xml:space="preserve">אז למה אז, </w:t>
      </w:r>
      <w:bookmarkStart w:id="30" w:name="_ETM_Q_3239914"/>
      <w:bookmarkEnd w:id="30"/>
      <w:r w:rsidRPr="00FE7C33">
        <w:rPr>
          <w:rFonts w:ascii="Arial" w:hAnsi="Arial" w:hint="cs"/>
          <w:b/>
          <w:bCs/>
          <w:noProof w:val="0"/>
          <w:rtl/>
        </w:rPr>
        <w:t>אחרי שזה הסתיים, לא הסרת את המשכנתא?</w:t>
      </w:r>
      <w:bookmarkStart w:id="31" w:name="_ETM_Q_3243962"/>
      <w:bookmarkEnd w:id="31"/>
    </w:p>
    <w:p w14:paraId="3E5D93B2" w14:textId="77777777" w:rsidR="00363487" w:rsidRPr="00FE7C33" w:rsidRDefault="00000000" w:rsidP="00363487">
      <w:pPr>
        <w:pStyle w:val="1"/>
        <w:spacing w:line="360" w:lineRule="auto"/>
        <w:ind w:left="2160" w:right="426" w:hanging="1508"/>
        <w:jc w:val="both"/>
        <w:rPr>
          <w:rFonts w:ascii="Arial" w:hAnsi="Arial"/>
          <w:b/>
          <w:bCs/>
          <w:noProof w:val="0"/>
          <w:rtl/>
        </w:rPr>
      </w:pPr>
      <w:r w:rsidRPr="00FE7C33">
        <w:rPr>
          <w:rFonts w:ascii="Arial" w:hAnsi="Arial" w:hint="cs"/>
          <w:b/>
          <w:bCs/>
          <w:noProof w:val="0"/>
          <w:rtl/>
        </w:rPr>
        <w:t>עו"ד פרץ:</w:t>
      </w:r>
      <w:r w:rsidRPr="00FE7C33">
        <w:rPr>
          <w:rFonts w:ascii="Arial" w:hAnsi="Arial" w:hint="cs"/>
          <w:b/>
          <w:bCs/>
          <w:noProof w:val="0"/>
          <w:rtl/>
        </w:rPr>
        <w:tab/>
        <w:t>לא פעלתי להוריד</w:t>
      </w:r>
      <w:bookmarkStart w:id="32" w:name="_ETM_Q_3246061"/>
      <w:bookmarkEnd w:id="32"/>
      <w:r w:rsidRPr="00FE7C33">
        <w:rPr>
          <w:rFonts w:ascii="Arial" w:hAnsi="Arial" w:hint="cs"/>
          <w:b/>
          <w:bCs/>
          <w:noProof w:val="0"/>
          <w:rtl/>
        </w:rPr>
        <w:t xml:space="preserve"> את המשכנתא, לא פעלתי באף אחד מהמקומות. לא רק בזה.</w:t>
      </w:r>
      <w:bookmarkStart w:id="33" w:name="_ETM_Q_3250112"/>
      <w:bookmarkEnd w:id="33"/>
      <w:r w:rsidRPr="00FE7C33">
        <w:rPr>
          <w:rFonts w:ascii="Arial" w:hAnsi="Arial" w:hint="cs"/>
          <w:b/>
          <w:bCs/>
          <w:noProof w:val="0"/>
          <w:rtl/>
        </w:rPr>
        <w:t xml:space="preserve"> גם במקומות אחרים. </w:t>
      </w:r>
      <w:bookmarkStart w:id="34" w:name="_ETM_Q_3248770"/>
      <w:bookmarkEnd w:id="34"/>
    </w:p>
    <w:p w14:paraId="26F7F333" w14:textId="77777777" w:rsidR="00363487" w:rsidRPr="00FE7C33" w:rsidRDefault="00000000" w:rsidP="00363487">
      <w:pPr>
        <w:pStyle w:val="1"/>
        <w:spacing w:line="360" w:lineRule="auto"/>
        <w:ind w:left="652" w:right="426"/>
        <w:jc w:val="both"/>
        <w:rPr>
          <w:rFonts w:ascii="Arial" w:hAnsi="Arial"/>
          <w:b/>
          <w:bCs/>
          <w:noProof w:val="0"/>
          <w:rtl/>
        </w:rPr>
      </w:pPr>
      <w:r w:rsidRPr="00FE7C33">
        <w:rPr>
          <w:rFonts w:ascii="Arial" w:hAnsi="Arial" w:hint="cs"/>
          <w:b/>
          <w:bCs/>
          <w:noProof w:val="0"/>
          <w:rtl/>
        </w:rPr>
        <w:t>כב' הש' אטדגי:</w:t>
      </w:r>
      <w:r w:rsidRPr="00FE7C33">
        <w:rPr>
          <w:rFonts w:ascii="Arial" w:hAnsi="Arial" w:hint="cs"/>
          <w:b/>
          <w:bCs/>
          <w:noProof w:val="0"/>
          <w:rtl/>
        </w:rPr>
        <w:tab/>
        <w:t xml:space="preserve">הוא שואל אותך למה. </w:t>
      </w:r>
      <w:bookmarkStart w:id="35" w:name="_ETM_Q_3250673"/>
      <w:bookmarkEnd w:id="35"/>
    </w:p>
    <w:p w14:paraId="1139B5B6" w14:textId="77777777" w:rsidR="00363487" w:rsidRPr="00FE7C33" w:rsidRDefault="00000000" w:rsidP="00363487">
      <w:pPr>
        <w:pStyle w:val="1"/>
        <w:spacing w:line="360" w:lineRule="auto"/>
        <w:ind w:left="652" w:right="426"/>
        <w:jc w:val="both"/>
        <w:rPr>
          <w:rFonts w:ascii="Arial" w:hAnsi="Arial"/>
          <w:b/>
          <w:bCs/>
          <w:noProof w:val="0"/>
          <w:rtl/>
        </w:rPr>
      </w:pPr>
      <w:r w:rsidRPr="00FE7C33">
        <w:rPr>
          <w:rFonts w:ascii="Arial" w:hAnsi="Arial" w:hint="cs"/>
          <w:b/>
          <w:bCs/>
          <w:noProof w:val="0"/>
          <w:rtl/>
        </w:rPr>
        <w:t>עו"ד פרץ:</w:t>
      </w:r>
      <w:r w:rsidRPr="00FE7C33">
        <w:rPr>
          <w:rFonts w:ascii="Arial" w:hAnsi="Arial" w:hint="cs"/>
          <w:b/>
          <w:bCs/>
          <w:noProof w:val="0"/>
          <w:rtl/>
        </w:rPr>
        <w:tab/>
        <w:t>לא יודע. אין</w:t>
      </w:r>
      <w:bookmarkStart w:id="36" w:name="_ETM_Q_3251769"/>
      <w:bookmarkEnd w:id="36"/>
      <w:r w:rsidRPr="00FE7C33">
        <w:rPr>
          <w:rFonts w:ascii="Arial" w:hAnsi="Arial" w:hint="cs"/>
          <w:b/>
          <w:bCs/>
          <w:noProof w:val="0"/>
          <w:rtl/>
        </w:rPr>
        <w:t xml:space="preserve"> לי. </w:t>
      </w:r>
      <w:bookmarkStart w:id="37" w:name="_ETM_Q_3252623"/>
      <w:bookmarkEnd w:id="37"/>
    </w:p>
    <w:p w14:paraId="6DFCB3D9" w14:textId="77777777" w:rsidR="00363487" w:rsidRPr="00FE7C33" w:rsidRDefault="00000000" w:rsidP="00363487">
      <w:pPr>
        <w:pStyle w:val="1"/>
        <w:spacing w:line="360" w:lineRule="auto"/>
        <w:ind w:left="652" w:right="426"/>
        <w:jc w:val="both"/>
        <w:rPr>
          <w:rFonts w:ascii="Arial" w:hAnsi="Arial"/>
          <w:b/>
          <w:bCs/>
          <w:noProof w:val="0"/>
          <w:rtl/>
        </w:rPr>
      </w:pPr>
      <w:r w:rsidRPr="00FE7C33">
        <w:rPr>
          <w:rFonts w:ascii="Arial" w:hAnsi="Arial" w:hint="cs"/>
          <w:b/>
          <w:bCs/>
          <w:noProof w:val="0"/>
          <w:rtl/>
        </w:rPr>
        <w:t>כב' הש' אטדגי:</w:t>
      </w:r>
      <w:r w:rsidRPr="00FE7C33">
        <w:rPr>
          <w:rFonts w:ascii="Arial" w:hAnsi="Arial" w:hint="cs"/>
          <w:b/>
          <w:bCs/>
          <w:noProof w:val="0"/>
          <w:rtl/>
        </w:rPr>
        <w:tab/>
        <w:t>אם זה קשור למס הכנסה, למה,</w:t>
      </w:r>
      <w:bookmarkStart w:id="38" w:name="_ETM_Q_3254273"/>
      <w:bookmarkEnd w:id="38"/>
    </w:p>
    <w:p w14:paraId="128C7688" w14:textId="77777777" w:rsidR="00363487" w:rsidRPr="00FE7C33" w:rsidRDefault="00000000" w:rsidP="00363487">
      <w:pPr>
        <w:pStyle w:val="1"/>
        <w:spacing w:line="360" w:lineRule="auto"/>
        <w:ind w:left="2160" w:right="426" w:hanging="1508"/>
        <w:jc w:val="both"/>
        <w:rPr>
          <w:rFonts w:ascii="Arial" w:hAnsi="Arial"/>
          <w:noProof w:val="0"/>
          <w:rtl/>
        </w:rPr>
      </w:pPr>
      <w:r w:rsidRPr="00FE7C33">
        <w:rPr>
          <w:rFonts w:ascii="Arial" w:hAnsi="Arial" w:hint="cs"/>
          <w:b/>
          <w:bCs/>
          <w:noProof w:val="0"/>
          <w:rtl/>
        </w:rPr>
        <w:t>עו"ד פרץ:</w:t>
      </w:r>
      <w:r w:rsidRPr="00FE7C33">
        <w:rPr>
          <w:rFonts w:ascii="Arial" w:hAnsi="Arial" w:hint="cs"/>
          <w:b/>
          <w:bCs/>
          <w:noProof w:val="0"/>
          <w:rtl/>
        </w:rPr>
        <w:tab/>
        <w:t>לא ראיתי דחיפות להסיר</w:t>
      </w:r>
      <w:bookmarkStart w:id="39" w:name="_ETM_Q_3256922"/>
      <w:bookmarkEnd w:id="39"/>
      <w:r w:rsidRPr="00FE7C33">
        <w:rPr>
          <w:rFonts w:ascii="Arial" w:hAnsi="Arial" w:hint="cs"/>
          <w:b/>
          <w:bCs/>
          <w:noProof w:val="0"/>
          <w:rtl/>
        </w:rPr>
        <w:t xml:space="preserve"> את זה. לא ראיתי. לא עלה בדעתי שיקרה מה שקורה</w:t>
      </w:r>
      <w:bookmarkStart w:id="40" w:name="_ETM_Q_3260876"/>
      <w:bookmarkEnd w:id="40"/>
      <w:r w:rsidRPr="00FE7C33">
        <w:rPr>
          <w:rFonts w:ascii="Arial" w:hAnsi="Arial" w:hint="cs"/>
          <w:b/>
          <w:bCs/>
          <w:noProof w:val="0"/>
          <w:rtl/>
        </w:rPr>
        <w:t xml:space="preserve"> פה. לא עלה בדעתי</w:t>
      </w:r>
      <w:bookmarkStart w:id="41" w:name="_ETM_Q_3262425"/>
      <w:bookmarkEnd w:id="41"/>
      <w:r>
        <w:rPr>
          <w:rFonts w:ascii="Arial" w:hAnsi="Arial" w:hint="cs"/>
          <w:noProof w:val="0"/>
          <w:rtl/>
        </w:rPr>
        <w:t xml:space="preserve">". </w:t>
      </w:r>
    </w:p>
    <w:p w14:paraId="31AC0C0F" w14:textId="77777777" w:rsidR="00363487" w:rsidRDefault="00363487" w:rsidP="00363487">
      <w:pPr>
        <w:pStyle w:val="1"/>
        <w:spacing w:line="360" w:lineRule="auto"/>
        <w:ind w:left="652"/>
        <w:jc w:val="both"/>
        <w:rPr>
          <w:rFonts w:ascii="Arial" w:hAnsi="Arial"/>
          <w:noProof w:val="0"/>
        </w:rPr>
      </w:pPr>
    </w:p>
    <w:p w14:paraId="30576E52" w14:textId="77777777" w:rsidR="00363487" w:rsidRDefault="00000000" w:rsidP="00363487">
      <w:pPr>
        <w:pStyle w:val="1"/>
        <w:spacing w:line="360" w:lineRule="auto"/>
        <w:ind w:left="369"/>
        <w:jc w:val="both"/>
        <w:rPr>
          <w:rFonts w:ascii="Arial" w:hAnsi="Arial"/>
          <w:noProof w:val="0"/>
        </w:rPr>
      </w:pPr>
      <w:r>
        <w:rPr>
          <w:rFonts w:ascii="Arial" w:hAnsi="Arial" w:hint="cs"/>
          <w:noProof w:val="0"/>
          <w:rtl/>
        </w:rPr>
        <w:t xml:space="preserve">בהיעדר הסבר סביר להימנעות ממחיקת המשכנתא, לא זו בלבד שיש בעובדה זו כדי לערער את גרסתם של גבי ודרורה, אלא יש בה, במידה מסוימת, כדי לתמוך בגרסתו של בני, לפיה המשכנתא עדיין רשומה על שמו, משום שהחוב לטובתו טרם שולם (גבי ודרורה ששוללים שהיה קיים חוב כלשהו אינם טוענים, כמובן, שהחוב נפרע). </w:t>
      </w:r>
    </w:p>
    <w:p w14:paraId="25301595" w14:textId="77777777" w:rsidR="00363487" w:rsidRDefault="00363487" w:rsidP="00363487">
      <w:pPr>
        <w:pStyle w:val="1"/>
        <w:rPr>
          <w:rFonts w:ascii="Arial" w:hAnsi="Arial"/>
          <w:noProof w:val="0"/>
        </w:rPr>
      </w:pPr>
    </w:p>
    <w:p w14:paraId="40B8CE25"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קושי נוסף בגרסתם של דרורה וגבי: לאחר שטענתה של דרורה, לכך שהיא לא ידעה שהיא חותמת על משכנתא על זכויותיה בבניין, נדחתה, ונותרנו עם הגרסה, לכך שהמשכנתא היא "פיקטיבית", שנועדה להקשות על שלטונות מס הכנסה בהטלת עיקולים על זכויותיו של גבי בבניין או מכירתם לשם גביית חובות אליהם, ומאחר ולגרסתה של דרורה היא עצמה לא הייתה חייבת חוב כלשהו למס הכנסה, שעבורו נדרש היה לרשום פיקטיבית משכנתא על זכויותיה, אזי ,לשם מה נרשמה המשכנתא גם על זכויותיה? לא ניתן לשאלה זו כל הסבר. </w:t>
      </w:r>
    </w:p>
    <w:p w14:paraId="0CC93331" w14:textId="77777777" w:rsidR="00363487" w:rsidRDefault="00363487" w:rsidP="00363487">
      <w:pPr>
        <w:pStyle w:val="1"/>
        <w:rPr>
          <w:rFonts w:ascii="Arial" w:hAnsi="Arial"/>
          <w:noProof w:val="0"/>
        </w:rPr>
      </w:pPr>
    </w:p>
    <w:p w14:paraId="1DBD98CC"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ביחס לגרסתו של בני: אמנם, גם זו אינה חפה מקשיים. הכיצד במשך קרוב ל-25 שנים (ממועד רישום המשכנתא בשנת 1996 ועד למועד הגשת התביעה בשנת 2020), בני לא פעל למימוש המשכנתא לשם פירעון החוב שלטובתו? </w:t>
      </w:r>
    </w:p>
    <w:p w14:paraId="0D9B9438" w14:textId="77777777" w:rsidR="00363487" w:rsidRDefault="00000000" w:rsidP="00363487">
      <w:pPr>
        <w:spacing w:line="360" w:lineRule="auto"/>
        <w:ind w:left="369"/>
        <w:jc w:val="both"/>
        <w:rPr>
          <w:rFonts w:ascii="Arial" w:hAnsi="Arial"/>
          <w:noProof w:val="0"/>
          <w:rtl/>
        </w:rPr>
      </w:pPr>
      <w:r w:rsidRPr="0008131B">
        <w:rPr>
          <w:rFonts w:ascii="Arial" w:hAnsi="Arial" w:hint="cs"/>
          <w:noProof w:val="0"/>
          <w:rtl/>
        </w:rPr>
        <w:t>בני נימק שיהוי זה ביחס הכבוד והערצה שהוא גילה כלפי גבי, אחיו הבוגר והמוכשר, בו ראה "דמות מופת", עד שהדברים התנפצו לפניו לאחר פטירת אימם ו"החזית המשפטית" שנפתחה בנוגע לירושתה בין גבי לבינו ואחיותיו (סעיפים 53-</w:t>
      </w:r>
      <w:r>
        <w:rPr>
          <w:rFonts w:ascii="Arial" w:hAnsi="Arial" w:hint="cs"/>
          <w:noProof w:val="0"/>
          <w:rtl/>
        </w:rPr>
        <w:t>50</w:t>
      </w:r>
      <w:r w:rsidRPr="0008131B">
        <w:rPr>
          <w:rFonts w:ascii="Arial" w:hAnsi="Arial" w:hint="cs"/>
          <w:noProof w:val="0"/>
          <w:rtl/>
        </w:rPr>
        <w:t xml:space="preserve">). </w:t>
      </w:r>
      <w:r>
        <w:rPr>
          <w:rFonts w:ascii="Arial" w:hAnsi="Arial"/>
          <w:noProof w:val="0"/>
          <w:rtl/>
        </w:rPr>
        <w:tab/>
      </w:r>
    </w:p>
    <w:p w14:paraId="2491CE1C" w14:textId="77777777" w:rsidR="00363487" w:rsidRDefault="00000000" w:rsidP="00363487">
      <w:pPr>
        <w:spacing w:line="360" w:lineRule="auto"/>
        <w:ind w:left="369"/>
        <w:jc w:val="both"/>
        <w:rPr>
          <w:rFonts w:ascii="Arial" w:hAnsi="Arial"/>
          <w:noProof w:val="0"/>
          <w:rtl/>
        </w:rPr>
      </w:pPr>
      <w:r>
        <w:rPr>
          <w:rFonts w:ascii="Arial" w:hAnsi="Arial" w:hint="cs"/>
          <w:noProof w:val="0"/>
          <w:rtl/>
        </w:rPr>
        <w:t xml:space="preserve">הסבר זה מסַפֵק חלקית, שהרי אותה "חזית" נפתחה עוד בשנת 2017, ועדיין בני לא נקט בכל פעולה למימוש המשכנתא. </w:t>
      </w:r>
    </w:p>
    <w:p w14:paraId="089CD0A2" w14:textId="77777777" w:rsidR="00363487" w:rsidRDefault="00000000" w:rsidP="00363487">
      <w:pPr>
        <w:spacing w:line="360" w:lineRule="auto"/>
        <w:ind w:left="369"/>
        <w:jc w:val="both"/>
        <w:rPr>
          <w:rFonts w:ascii="Arial" w:hAnsi="Arial"/>
          <w:noProof w:val="0"/>
          <w:rtl/>
        </w:rPr>
      </w:pPr>
      <w:r>
        <w:rPr>
          <w:rFonts w:ascii="Arial" w:hAnsi="Arial" w:hint="cs"/>
          <w:noProof w:val="0"/>
          <w:rtl/>
        </w:rPr>
        <w:t xml:space="preserve">תשובותיו של בני לשאלות בית המשפט בעניין זה (עמ' 189-188) לא היו מסַפקות. </w:t>
      </w:r>
    </w:p>
    <w:p w14:paraId="02FC7CC5" w14:textId="77777777" w:rsidR="00363487" w:rsidRDefault="00000000" w:rsidP="00363487">
      <w:pPr>
        <w:spacing w:line="360" w:lineRule="auto"/>
        <w:ind w:left="369"/>
        <w:jc w:val="both"/>
        <w:rPr>
          <w:rFonts w:ascii="Arial" w:hAnsi="Arial"/>
          <w:noProof w:val="0"/>
          <w:rtl/>
        </w:rPr>
      </w:pPr>
      <w:r>
        <w:rPr>
          <w:rFonts w:ascii="Arial" w:hAnsi="Arial" w:hint="cs"/>
          <w:noProof w:val="0"/>
          <w:rtl/>
        </w:rPr>
        <w:t xml:space="preserve">ועדיין, גרסתו של בני מתקבלת יותר על הדעת מזו של דרורה וגבי, בשל כל הנימוקים שנמנו לעיל. </w:t>
      </w:r>
    </w:p>
    <w:p w14:paraId="2B4B4199" w14:textId="77777777" w:rsidR="00363487" w:rsidRPr="0008131B" w:rsidRDefault="00363487" w:rsidP="00363487">
      <w:pPr>
        <w:pStyle w:val="1"/>
        <w:rPr>
          <w:rFonts w:ascii="Arial" w:hAnsi="Arial"/>
          <w:noProof w:val="0"/>
          <w:rtl/>
        </w:rPr>
      </w:pPr>
    </w:p>
    <w:p w14:paraId="01204EA0"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חלק רב מעדויותיהם וראיותיהם של הצדדים הוקדש להוכחת העבודות שבני יצע (לגרסתו ) או לא ביצע (לגרסת דרורה וגבי) בבניין בפרט ובכל הנכסים שהוזכרו, בכלל.</w:t>
      </w:r>
    </w:p>
    <w:p w14:paraId="4F74F18B"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ביחס לנכסים האחרים, כפי שציינתי בתחילה, אין בדעתי לדון או להכריע. </w:t>
      </w:r>
    </w:p>
    <w:p w14:paraId="54633BC9" w14:textId="77777777" w:rsidR="00363487" w:rsidRPr="005900DA" w:rsidRDefault="00000000" w:rsidP="00363487">
      <w:pPr>
        <w:pStyle w:val="1"/>
        <w:spacing w:line="360" w:lineRule="auto"/>
        <w:ind w:left="369"/>
        <w:jc w:val="both"/>
        <w:rPr>
          <w:rFonts w:ascii="Arial" w:hAnsi="Arial"/>
          <w:noProof w:val="0"/>
        </w:rPr>
      </w:pPr>
      <w:r>
        <w:rPr>
          <w:rFonts w:ascii="Arial" w:hAnsi="Arial" w:hint="cs"/>
          <w:noProof w:val="0"/>
          <w:rtl/>
        </w:rPr>
        <w:t xml:space="preserve">ביחס לעבודות שבוצעו בבניין דנן, אני מאמין לעדותו של בני, שנתמכה בעדותו של החשמלאי דוד הרוש, שאף היא הייתה מהימנה עלי, ומעדיף את עדותם על זו של דרורה וגבי. </w:t>
      </w:r>
      <w:r w:rsidRPr="005900DA">
        <w:rPr>
          <w:rFonts w:ascii="Arial" w:hAnsi="Arial" w:hint="cs"/>
          <w:noProof w:val="0"/>
          <w:rtl/>
        </w:rPr>
        <w:t xml:space="preserve"> </w:t>
      </w:r>
    </w:p>
    <w:p w14:paraId="7DF96E99" w14:textId="77777777" w:rsidR="00363487" w:rsidRPr="005900DA" w:rsidRDefault="00363487" w:rsidP="00363487">
      <w:pPr>
        <w:pStyle w:val="1"/>
        <w:rPr>
          <w:rFonts w:ascii="Arial" w:hAnsi="Arial"/>
          <w:noProof w:val="0"/>
          <w:rtl/>
        </w:rPr>
      </w:pPr>
    </w:p>
    <w:p w14:paraId="6514E8F4"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בני נתן פירוט מדויק של העבודות שביצע בבניין (סעיף 21 לעדותו). </w:t>
      </w:r>
    </w:p>
    <w:p w14:paraId="6E39BEC4"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הוא נחקר בהרחבה בקשר לפירוט זה על-ידי בא כוחה של דרורה, על-ידי גבי וגם על ידי בית המשפט (עמ' 243-220), אך הוא עמד על גרסתו, השיב תשובות מלאות ולא מתחמקות, ועדותו לא הופרכה. </w:t>
      </w:r>
    </w:p>
    <w:p w14:paraId="38585526"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בני גם ידע לנקוב בתקופה שבה בוצעה עבודות הבניין, שלושה חודשים (עמ' 179). </w:t>
      </w:r>
    </w:p>
    <w:p w14:paraId="2FC754AB" w14:textId="77777777" w:rsidR="00363487" w:rsidRDefault="00363487" w:rsidP="00363487">
      <w:pPr>
        <w:pStyle w:val="1"/>
        <w:rPr>
          <w:rFonts w:ascii="Arial" w:hAnsi="Arial"/>
          <w:noProof w:val="0"/>
        </w:rPr>
      </w:pPr>
    </w:p>
    <w:p w14:paraId="0D07F100"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כאמור, עדותו של בני נתמכה בעדותו של החשמלאי דוד הרוש, שהעיד בתצהירו בסעיף 4: </w:t>
      </w:r>
    </w:p>
    <w:p w14:paraId="04B54E6B" w14:textId="77777777" w:rsidR="00363487" w:rsidRDefault="00000000" w:rsidP="00363487">
      <w:pPr>
        <w:pStyle w:val="1"/>
        <w:spacing w:line="360" w:lineRule="auto"/>
        <w:ind w:left="652" w:right="426"/>
        <w:jc w:val="both"/>
        <w:rPr>
          <w:rFonts w:ascii="Arial" w:hAnsi="Arial"/>
          <w:noProof w:val="0"/>
          <w:rtl/>
        </w:rPr>
      </w:pPr>
      <w:r>
        <w:rPr>
          <w:rFonts w:ascii="Arial" w:hAnsi="Arial" w:hint="cs"/>
          <w:noProof w:val="0"/>
          <w:rtl/>
        </w:rPr>
        <w:t>"</w:t>
      </w:r>
      <w:r w:rsidRPr="00A17330">
        <w:rPr>
          <w:rFonts w:ascii="Arial" w:hAnsi="Arial" w:hint="cs"/>
          <w:b/>
          <w:bCs/>
          <w:noProof w:val="0"/>
          <w:rtl/>
        </w:rPr>
        <w:t>עפ"י הזמנות של בני פרץ ביצעתי עבורו עבודות חשמל במקומות רבים בנכסים השייכים לגבי ו/או למשפחת אשתו, ביניהם בבניין ברחוב ראב"ע 6. באתר זה עבודתי הייתה שולית, אך אני יודע מידיעה אישית כי בני ביצע בבניין זה עבודות שיפוץ נרחבות, שכללו הגדלת מספר יחידות הדיור, לרבות מטבח ושירותים</w:t>
      </w:r>
      <w:r>
        <w:rPr>
          <w:rFonts w:ascii="Arial" w:hAnsi="Arial" w:hint="cs"/>
          <w:noProof w:val="0"/>
          <w:rtl/>
        </w:rPr>
        <w:t xml:space="preserve">". </w:t>
      </w:r>
    </w:p>
    <w:p w14:paraId="3A8E01F0" w14:textId="77777777" w:rsidR="00363487" w:rsidRDefault="00363487" w:rsidP="00363487">
      <w:pPr>
        <w:pStyle w:val="1"/>
        <w:spacing w:line="360" w:lineRule="auto"/>
        <w:ind w:left="652" w:right="426"/>
        <w:jc w:val="both"/>
        <w:rPr>
          <w:rFonts w:ascii="Arial" w:hAnsi="Arial"/>
          <w:noProof w:val="0"/>
        </w:rPr>
      </w:pPr>
    </w:p>
    <w:p w14:paraId="74ED2E53"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כן העיד (סעיפים 6 ו-7 לתצהירו): </w:t>
      </w:r>
    </w:p>
    <w:p w14:paraId="4A1713B2" w14:textId="77777777" w:rsidR="00363487" w:rsidRPr="0056589B" w:rsidRDefault="00000000" w:rsidP="00363487">
      <w:pPr>
        <w:pStyle w:val="1"/>
        <w:spacing w:line="360" w:lineRule="auto"/>
        <w:ind w:right="426"/>
        <w:jc w:val="both"/>
        <w:rPr>
          <w:rFonts w:ascii="Arial" w:hAnsi="Arial"/>
          <w:b/>
          <w:bCs/>
          <w:noProof w:val="0"/>
          <w:rtl/>
        </w:rPr>
      </w:pPr>
      <w:r>
        <w:rPr>
          <w:rFonts w:ascii="Arial" w:hAnsi="Arial" w:hint="cs"/>
          <w:noProof w:val="0"/>
          <w:rtl/>
        </w:rPr>
        <w:t>"</w:t>
      </w:r>
      <w:r w:rsidRPr="0056589B">
        <w:rPr>
          <w:rFonts w:ascii="Arial" w:hAnsi="Arial" w:hint="cs"/>
          <w:b/>
          <w:bCs/>
          <w:noProof w:val="0"/>
          <w:rtl/>
        </w:rPr>
        <w:t xml:space="preserve">בגין כל עבודה שביצעתי, הוצאתי חשבונית לבני פרץ, אשר שילם בגין כל העבודות שביצעתי עבורו. </w:t>
      </w:r>
    </w:p>
    <w:p w14:paraId="725B8314" w14:textId="77777777" w:rsidR="00363487" w:rsidRDefault="00000000" w:rsidP="00363487">
      <w:pPr>
        <w:pStyle w:val="1"/>
        <w:spacing w:line="360" w:lineRule="auto"/>
        <w:ind w:right="426"/>
        <w:jc w:val="both"/>
        <w:rPr>
          <w:rFonts w:ascii="Arial" w:hAnsi="Arial"/>
          <w:noProof w:val="0"/>
          <w:rtl/>
        </w:rPr>
      </w:pPr>
      <w:r w:rsidRPr="0056589B">
        <w:rPr>
          <w:rFonts w:ascii="Arial" w:hAnsi="Arial" w:hint="cs"/>
          <w:b/>
          <w:bCs/>
          <w:noProof w:val="0"/>
          <w:rtl/>
        </w:rPr>
        <w:t>הבנתי מבני בזמן אמת כי הוא מבצע שיפוצים עבור אחיו גבי פרץ ובני משפחת אשתו וכי גבי פרץ עצמו התחייב כי ייערך חשבון ביניהם וכי כל המגיע לו ישולם</w:t>
      </w:r>
      <w:r>
        <w:rPr>
          <w:rFonts w:ascii="Arial" w:hAnsi="Arial" w:hint="cs"/>
          <w:noProof w:val="0"/>
          <w:rtl/>
        </w:rPr>
        <w:t xml:space="preserve">". </w:t>
      </w:r>
    </w:p>
    <w:p w14:paraId="3BC09A4A" w14:textId="77777777" w:rsidR="00363487" w:rsidRPr="0075648E" w:rsidRDefault="00363487" w:rsidP="00363487">
      <w:pPr>
        <w:pStyle w:val="1"/>
        <w:spacing w:line="360" w:lineRule="auto"/>
        <w:ind w:right="426"/>
        <w:jc w:val="both"/>
        <w:rPr>
          <w:rFonts w:ascii="Arial" w:hAnsi="Arial"/>
          <w:noProof w:val="0"/>
        </w:rPr>
      </w:pPr>
    </w:p>
    <w:p w14:paraId="66EBE4D1"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ב"כ דרורה וגבי נסו בחקירתו לערער את עדותו, אך הדבר לא עלה בידם, והרוש שב ואימת את דבריו בתשובותיו לשאלות בית המשפט (עמ' 153): </w:t>
      </w:r>
    </w:p>
    <w:p w14:paraId="02B62143" w14:textId="77777777" w:rsidR="00363487" w:rsidRPr="00074575" w:rsidRDefault="00363487" w:rsidP="00363487">
      <w:pPr>
        <w:pStyle w:val="1"/>
        <w:spacing w:line="360" w:lineRule="auto"/>
        <w:ind w:left="369"/>
        <w:jc w:val="both"/>
        <w:rPr>
          <w:rFonts w:ascii="Arial" w:hAnsi="Arial"/>
          <w:noProof w:val="0"/>
        </w:rPr>
      </w:pPr>
    </w:p>
    <w:p w14:paraId="2026BA12" w14:textId="77777777" w:rsidR="00363487" w:rsidRPr="008A3B0C" w:rsidRDefault="00000000" w:rsidP="00363487">
      <w:pPr>
        <w:pStyle w:val="1"/>
        <w:keepNext/>
        <w:widowControl w:val="0"/>
        <w:tabs>
          <w:tab w:val="left" w:pos="1699"/>
        </w:tabs>
        <w:spacing w:line="360" w:lineRule="auto"/>
        <w:ind w:left="2160" w:right="425" w:hanging="1440"/>
        <w:outlineLvl w:val="5"/>
        <w:rPr>
          <w:b/>
          <w:bCs/>
          <w:noProof w:val="0"/>
          <w:lang w:eastAsia="he-IL"/>
        </w:rPr>
      </w:pPr>
      <w:r>
        <w:rPr>
          <w:rFonts w:hint="cs"/>
          <w:b/>
          <w:bCs/>
          <w:rtl/>
          <w:lang w:eastAsia="he-IL"/>
        </w:rPr>
        <w:t>"</w:t>
      </w:r>
      <w:r w:rsidRPr="008A3B0C">
        <w:rPr>
          <w:rFonts w:hint="cs"/>
          <w:b/>
          <w:bCs/>
          <w:rtl/>
          <w:lang w:eastAsia="he-IL"/>
        </w:rPr>
        <w:t>כב' השופט:</w:t>
      </w:r>
      <w:r w:rsidRPr="008A3B0C">
        <w:rPr>
          <w:rFonts w:hint="cs"/>
          <w:b/>
          <w:bCs/>
          <w:rtl/>
          <w:lang w:eastAsia="he-IL"/>
        </w:rPr>
        <w:tab/>
        <w:t>אתה יודע אם הוא עשה שמה עבודות שיפוצים, לא עשה עבודות שיפוצים?</w:t>
      </w:r>
    </w:p>
    <w:p w14:paraId="08BCF6E6" w14:textId="77777777" w:rsidR="00363487" w:rsidRPr="008A3B0C" w:rsidRDefault="00000000" w:rsidP="00363487">
      <w:pPr>
        <w:pStyle w:val="1"/>
        <w:keepNext/>
        <w:widowControl w:val="0"/>
        <w:tabs>
          <w:tab w:val="left" w:pos="1699"/>
        </w:tabs>
        <w:spacing w:line="360" w:lineRule="auto"/>
        <w:ind w:right="425"/>
        <w:outlineLvl w:val="5"/>
        <w:rPr>
          <w:b/>
          <w:bCs/>
          <w:rtl/>
          <w:lang w:eastAsia="he-IL"/>
        </w:rPr>
      </w:pPr>
      <w:r w:rsidRPr="008A3B0C">
        <w:rPr>
          <w:rFonts w:hint="cs"/>
          <w:b/>
          <w:bCs/>
          <w:rtl/>
          <w:lang w:eastAsia="he-IL"/>
        </w:rPr>
        <w:t>ת:</w:t>
      </w:r>
      <w:r w:rsidRPr="008A3B0C">
        <w:rPr>
          <w:rFonts w:hint="cs"/>
          <w:b/>
          <w:bCs/>
          <w:rtl/>
          <w:lang w:eastAsia="he-IL"/>
        </w:rPr>
        <w:tab/>
      </w:r>
      <w:r>
        <w:rPr>
          <w:b/>
          <w:bCs/>
          <w:rtl/>
          <w:lang w:eastAsia="he-IL"/>
        </w:rPr>
        <w:tab/>
      </w:r>
      <w:r w:rsidRPr="008A3B0C">
        <w:rPr>
          <w:rFonts w:hint="cs"/>
          <w:b/>
          <w:bCs/>
          <w:rtl/>
          <w:lang w:eastAsia="he-IL"/>
        </w:rPr>
        <w:t>עשה... את השיפוץ, הוא בנה, הוא עשה את ה-2 יחידות האלה.</w:t>
      </w:r>
    </w:p>
    <w:p w14:paraId="54587C11" w14:textId="77777777" w:rsidR="00363487" w:rsidRPr="008A3B0C" w:rsidRDefault="00000000" w:rsidP="00363487">
      <w:pPr>
        <w:pStyle w:val="1"/>
        <w:keepNext/>
        <w:widowControl w:val="0"/>
        <w:tabs>
          <w:tab w:val="left" w:pos="1699"/>
        </w:tabs>
        <w:spacing w:line="360" w:lineRule="auto"/>
        <w:ind w:right="425"/>
        <w:outlineLvl w:val="5"/>
        <w:rPr>
          <w:b/>
          <w:bCs/>
          <w:rtl/>
          <w:lang w:eastAsia="he-IL"/>
        </w:rPr>
      </w:pPr>
      <w:r w:rsidRPr="008A3B0C">
        <w:rPr>
          <w:rFonts w:hint="cs"/>
          <w:b/>
          <w:bCs/>
          <w:rtl/>
          <w:lang w:eastAsia="he-IL"/>
        </w:rPr>
        <w:t>ש:</w:t>
      </w:r>
      <w:r w:rsidRPr="008A3B0C">
        <w:rPr>
          <w:rFonts w:hint="cs"/>
          <w:b/>
          <w:bCs/>
          <w:rtl/>
          <w:lang w:eastAsia="he-IL"/>
        </w:rPr>
        <w:tab/>
      </w:r>
      <w:r>
        <w:rPr>
          <w:b/>
          <w:bCs/>
          <w:rtl/>
          <w:lang w:eastAsia="he-IL"/>
        </w:rPr>
        <w:tab/>
      </w:r>
      <w:r w:rsidRPr="008A3B0C">
        <w:rPr>
          <w:rFonts w:hint="cs"/>
          <w:b/>
          <w:bCs/>
          <w:rtl/>
          <w:lang w:eastAsia="he-IL"/>
        </w:rPr>
        <w:t>איך אתה יודע?</w:t>
      </w:r>
    </w:p>
    <w:p w14:paraId="619C7FF3" w14:textId="77777777" w:rsidR="00363487" w:rsidRPr="008A3B0C" w:rsidRDefault="00000000" w:rsidP="00363487">
      <w:pPr>
        <w:pStyle w:val="1"/>
        <w:keepNext/>
        <w:widowControl w:val="0"/>
        <w:tabs>
          <w:tab w:val="left" w:pos="1699"/>
        </w:tabs>
        <w:spacing w:line="360" w:lineRule="auto"/>
        <w:ind w:right="425"/>
        <w:outlineLvl w:val="5"/>
        <w:rPr>
          <w:b/>
          <w:bCs/>
          <w:rtl/>
          <w:lang w:eastAsia="he-IL"/>
        </w:rPr>
      </w:pPr>
      <w:r w:rsidRPr="008A3B0C">
        <w:rPr>
          <w:rFonts w:hint="cs"/>
          <w:b/>
          <w:bCs/>
          <w:rtl/>
          <w:lang w:eastAsia="he-IL"/>
        </w:rPr>
        <w:t>כב' השופט:</w:t>
      </w:r>
      <w:r w:rsidRPr="008A3B0C">
        <w:rPr>
          <w:rFonts w:hint="cs"/>
          <w:b/>
          <w:bCs/>
          <w:rtl/>
          <w:lang w:eastAsia="he-IL"/>
        </w:rPr>
        <w:tab/>
        <w:t>אז אתה יודע או לא יודע?</w:t>
      </w:r>
    </w:p>
    <w:p w14:paraId="4BE57D12" w14:textId="77777777" w:rsidR="00363487" w:rsidRDefault="00000000" w:rsidP="00363487">
      <w:pPr>
        <w:pStyle w:val="1"/>
        <w:keepNext/>
        <w:widowControl w:val="0"/>
        <w:tabs>
          <w:tab w:val="left" w:pos="1699"/>
        </w:tabs>
        <w:spacing w:line="360" w:lineRule="auto"/>
        <w:ind w:left="1440" w:right="425" w:hanging="720"/>
        <w:outlineLvl w:val="5"/>
        <w:rPr>
          <w:b/>
          <w:bCs/>
          <w:rtl/>
          <w:lang w:eastAsia="he-IL"/>
        </w:rPr>
      </w:pPr>
      <w:r w:rsidRPr="008A3B0C">
        <w:rPr>
          <w:rFonts w:hint="cs"/>
          <w:b/>
          <w:bCs/>
          <w:rtl/>
          <w:lang w:eastAsia="he-IL"/>
        </w:rPr>
        <w:t>ת:</w:t>
      </w:r>
      <w:r w:rsidRPr="008A3B0C">
        <w:rPr>
          <w:rFonts w:hint="cs"/>
          <w:b/>
          <w:bCs/>
          <w:rtl/>
          <w:lang w:eastAsia="he-IL"/>
        </w:rPr>
        <w:tab/>
      </w:r>
      <w:r>
        <w:rPr>
          <w:b/>
          <w:bCs/>
          <w:rtl/>
          <w:lang w:eastAsia="he-IL"/>
        </w:rPr>
        <w:tab/>
      </w:r>
      <w:r>
        <w:rPr>
          <w:b/>
          <w:bCs/>
          <w:rtl/>
          <w:lang w:eastAsia="he-IL"/>
        </w:rPr>
        <w:tab/>
      </w:r>
      <w:r w:rsidRPr="008A3B0C">
        <w:rPr>
          <w:rFonts w:hint="cs"/>
          <w:b/>
          <w:bCs/>
          <w:rtl/>
          <w:lang w:eastAsia="he-IL"/>
        </w:rPr>
        <w:t xml:space="preserve">בטח שאני יודע, הוא עשה את 2 היחידות, הוא הזמין אותי </w:t>
      </w:r>
    </w:p>
    <w:p w14:paraId="3DFBF5AE" w14:textId="77777777" w:rsidR="00363487" w:rsidRPr="008A3B0C" w:rsidRDefault="00000000" w:rsidP="00363487">
      <w:pPr>
        <w:pStyle w:val="1"/>
        <w:keepNext/>
        <w:widowControl w:val="0"/>
        <w:tabs>
          <w:tab w:val="left" w:pos="1699"/>
        </w:tabs>
        <w:spacing w:line="360" w:lineRule="auto"/>
        <w:ind w:left="1440" w:right="425" w:hanging="720"/>
        <w:outlineLvl w:val="5"/>
        <w:rPr>
          <w:b/>
          <w:bCs/>
          <w:rtl/>
          <w:lang w:eastAsia="he-IL"/>
        </w:rPr>
      </w:pPr>
      <w:r>
        <w:rPr>
          <w:b/>
          <w:bCs/>
          <w:rtl/>
          <w:lang w:eastAsia="he-IL"/>
        </w:rPr>
        <w:tab/>
      </w:r>
      <w:r>
        <w:rPr>
          <w:b/>
          <w:bCs/>
          <w:rtl/>
          <w:lang w:eastAsia="he-IL"/>
        </w:rPr>
        <w:tab/>
      </w:r>
      <w:r>
        <w:rPr>
          <w:b/>
          <w:bCs/>
          <w:rtl/>
          <w:lang w:eastAsia="he-IL"/>
        </w:rPr>
        <w:tab/>
      </w:r>
      <w:r w:rsidRPr="008A3B0C">
        <w:rPr>
          <w:rFonts w:hint="cs"/>
          <w:b/>
          <w:bCs/>
          <w:rtl/>
          <w:lang w:eastAsia="he-IL"/>
        </w:rPr>
        <w:t>לעבודה.</w:t>
      </w:r>
    </w:p>
    <w:p w14:paraId="060CDB66" w14:textId="77777777" w:rsidR="00363487" w:rsidRPr="008A3B0C" w:rsidRDefault="00000000" w:rsidP="00363487">
      <w:pPr>
        <w:pStyle w:val="1"/>
        <w:keepNext/>
        <w:widowControl w:val="0"/>
        <w:tabs>
          <w:tab w:val="left" w:pos="1699"/>
        </w:tabs>
        <w:spacing w:line="360" w:lineRule="auto"/>
        <w:ind w:right="425"/>
        <w:outlineLvl w:val="5"/>
        <w:rPr>
          <w:b/>
          <w:bCs/>
          <w:rtl/>
          <w:lang w:eastAsia="he-IL"/>
        </w:rPr>
      </w:pPr>
      <w:r w:rsidRPr="008A3B0C">
        <w:rPr>
          <w:rFonts w:hint="cs"/>
          <w:b/>
          <w:bCs/>
          <w:rtl/>
          <w:lang w:eastAsia="he-IL"/>
        </w:rPr>
        <w:t>כב' השופט:</w:t>
      </w:r>
      <w:r w:rsidRPr="008A3B0C">
        <w:rPr>
          <w:rFonts w:hint="cs"/>
          <w:b/>
          <w:bCs/>
          <w:rtl/>
          <w:lang w:eastAsia="he-IL"/>
        </w:rPr>
        <w:tab/>
        <w:t>אז אתה אומר שהוא כן,</w:t>
      </w:r>
    </w:p>
    <w:p w14:paraId="36497A99" w14:textId="77777777" w:rsidR="00363487" w:rsidRPr="008A3B0C" w:rsidRDefault="00000000" w:rsidP="00363487">
      <w:pPr>
        <w:pStyle w:val="1"/>
        <w:keepNext/>
        <w:widowControl w:val="0"/>
        <w:tabs>
          <w:tab w:val="left" w:pos="1699"/>
        </w:tabs>
        <w:spacing w:line="360" w:lineRule="auto"/>
        <w:ind w:right="425"/>
        <w:outlineLvl w:val="5"/>
        <w:rPr>
          <w:b/>
          <w:bCs/>
          <w:rtl/>
          <w:lang w:eastAsia="he-IL"/>
        </w:rPr>
      </w:pPr>
      <w:r w:rsidRPr="008A3B0C">
        <w:rPr>
          <w:rFonts w:hint="cs"/>
          <w:b/>
          <w:bCs/>
          <w:rtl/>
          <w:lang w:eastAsia="he-IL"/>
        </w:rPr>
        <w:t>ת:</w:t>
      </w:r>
      <w:r w:rsidRPr="008A3B0C">
        <w:rPr>
          <w:rFonts w:hint="cs"/>
          <w:b/>
          <w:bCs/>
          <w:rtl/>
          <w:lang w:eastAsia="he-IL"/>
        </w:rPr>
        <w:tab/>
      </w:r>
      <w:r>
        <w:rPr>
          <w:b/>
          <w:bCs/>
          <w:rtl/>
          <w:lang w:eastAsia="he-IL"/>
        </w:rPr>
        <w:tab/>
      </w:r>
      <w:r w:rsidRPr="008A3B0C">
        <w:rPr>
          <w:rFonts w:hint="cs"/>
          <w:b/>
          <w:bCs/>
          <w:rtl/>
          <w:lang w:eastAsia="he-IL"/>
        </w:rPr>
        <w:t>כן, כן, הוא עשה אותם.</w:t>
      </w:r>
    </w:p>
    <w:p w14:paraId="3BF10F4E" w14:textId="77777777" w:rsidR="00363487" w:rsidRPr="008A3B0C" w:rsidRDefault="00000000" w:rsidP="00363487">
      <w:pPr>
        <w:pStyle w:val="1"/>
        <w:keepNext/>
        <w:widowControl w:val="0"/>
        <w:tabs>
          <w:tab w:val="left" w:pos="1699"/>
        </w:tabs>
        <w:spacing w:line="360" w:lineRule="auto"/>
        <w:ind w:right="425"/>
        <w:outlineLvl w:val="5"/>
        <w:rPr>
          <w:b/>
          <w:bCs/>
          <w:rtl/>
          <w:lang w:eastAsia="he-IL"/>
        </w:rPr>
      </w:pPr>
      <w:r w:rsidRPr="008A3B0C">
        <w:rPr>
          <w:rFonts w:hint="cs"/>
          <w:b/>
          <w:bCs/>
          <w:rtl/>
          <w:lang w:eastAsia="he-IL"/>
        </w:rPr>
        <w:t>כב' השופט:</w:t>
      </w:r>
      <w:r w:rsidRPr="008A3B0C">
        <w:rPr>
          <w:rFonts w:hint="cs"/>
          <w:b/>
          <w:bCs/>
          <w:rtl/>
          <w:lang w:eastAsia="he-IL"/>
        </w:rPr>
        <w:tab/>
        <w:t>אתה כן יודע שהוא עשה?</w:t>
      </w:r>
    </w:p>
    <w:p w14:paraId="29E5075E" w14:textId="77777777" w:rsidR="00363487" w:rsidRPr="008A3B0C" w:rsidRDefault="00000000" w:rsidP="00363487">
      <w:pPr>
        <w:keepNext/>
        <w:widowControl w:val="0"/>
        <w:tabs>
          <w:tab w:val="left" w:pos="1699"/>
        </w:tabs>
        <w:spacing w:line="360" w:lineRule="auto"/>
        <w:ind w:left="720" w:right="425"/>
        <w:outlineLvl w:val="5"/>
        <w:rPr>
          <w:b/>
          <w:bCs/>
          <w:rtl/>
          <w:lang w:eastAsia="he-IL"/>
        </w:rPr>
      </w:pPr>
      <w:r w:rsidRPr="008A3B0C">
        <w:rPr>
          <w:rFonts w:hint="cs"/>
          <w:b/>
          <w:bCs/>
          <w:rtl/>
          <w:lang w:eastAsia="he-IL"/>
        </w:rPr>
        <w:t>ת:</w:t>
      </w:r>
      <w:r w:rsidRPr="008A3B0C">
        <w:rPr>
          <w:rFonts w:hint="cs"/>
          <w:b/>
          <w:bCs/>
          <w:rtl/>
          <w:lang w:eastAsia="he-IL"/>
        </w:rPr>
        <w:tab/>
      </w:r>
      <w:r>
        <w:rPr>
          <w:b/>
          <w:bCs/>
          <w:rtl/>
          <w:lang w:eastAsia="he-IL"/>
        </w:rPr>
        <w:tab/>
      </w:r>
      <w:r w:rsidRPr="008A3B0C">
        <w:rPr>
          <w:rFonts w:hint="cs"/>
          <w:b/>
          <w:bCs/>
          <w:rtl/>
          <w:lang w:eastAsia="he-IL"/>
        </w:rPr>
        <w:t>ברור! הוא עשה אותם!</w:t>
      </w:r>
    </w:p>
    <w:p w14:paraId="5258676E" w14:textId="77777777" w:rsidR="00363487" w:rsidRPr="008A3B0C" w:rsidRDefault="00000000" w:rsidP="00363487">
      <w:pPr>
        <w:pStyle w:val="1"/>
        <w:keepNext/>
        <w:widowControl w:val="0"/>
        <w:tabs>
          <w:tab w:val="left" w:pos="1699"/>
        </w:tabs>
        <w:spacing w:line="360" w:lineRule="auto"/>
        <w:ind w:right="425"/>
        <w:outlineLvl w:val="5"/>
        <w:rPr>
          <w:b/>
          <w:bCs/>
          <w:rtl/>
          <w:lang w:eastAsia="he-IL"/>
        </w:rPr>
      </w:pPr>
      <w:r w:rsidRPr="008A3B0C">
        <w:rPr>
          <w:rFonts w:hint="cs"/>
          <w:b/>
          <w:bCs/>
          <w:rtl/>
          <w:lang w:eastAsia="he-IL"/>
        </w:rPr>
        <w:t>כב' השופט:</w:t>
      </w:r>
      <w:r w:rsidRPr="008A3B0C">
        <w:rPr>
          <w:rFonts w:hint="cs"/>
          <w:b/>
          <w:bCs/>
          <w:rtl/>
          <w:lang w:eastAsia="he-IL"/>
        </w:rPr>
        <w:tab/>
        <w:t>מאיפה אתה יודע את זה?</w:t>
      </w:r>
    </w:p>
    <w:p w14:paraId="2484CF57" w14:textId="77777777" w:rsidR="00363487" w:rsidRDefault="00000000" w:rsidP="00363487">
      <w:pPr>
        <w:pStyle w:val="1"/>
        <w:spacing w:line="360" w:lineRule="auto"/>
        <w:ind w:left="2160" w:right="425" w:hanging="1440"/>
        <w:jc w:val="both"/>
        <w:rPr>
          <w:rFonts w:ascii="Arial" w:hAnsi="Arial"/>
          <w:b/>
          <w:bCs/>
          <w:noProof w:val="0"/>
          <w:rtl/>
        </w:rPr>
      </w:pPr>
      <w:r w:rsidRPr="008A3B0C">
        <w:rPr>
          <w:b/>
          <w:bCs/>
          <w:rtl/>
          <w:lang w:eastAsia="he-IL"/>
        </w:rPr>
        <w:t>ת:</w:t>
      </w:r>
      <w:r w:rsidRPr="008A3B0C">
        <w:rPr>
          <w:b/>
          <w:bCs/>
          <w:rtl/>
          <w:lang w:eastAsia="he-IL"/>
        </w:rPr>
        <w:tab/>
        <w:t>כי הוא הזמין אותי לעבודה שם. לא מ-, לא גבי הזמין אותי, לא אף אחד אחר הזמין אותי, בני הזמין אותי לעבוד שם, הוא שילם לי</w:t>
      </w:r>
      <w:r w:rsidRPr="008A3B0C">
        <w:rPr>
          <w:rFonts w:ascii="Arial" w:hAnsi="Arial" w:hint="cs"/>
          <w:b/>
          <w:bCs/>
          <w:noProof w:val="0"/>
          <w:rtl/>
        </w:rPr>
        <w:t xml:space="preserve">." </w:t>
      </w:r>
    </w:p>
    <w:p w14:paraId="1612F10F" w14:textId="77777777" w:rsidR="00363487" w:rsidRPr="0075648E" w:rsidRDefault="00363487" w:rsidP="00363487">
      <w:pPr>
        <w:pStyle w:val="1"/>
        <w:rPr>
          <w:rFonts w:ascii="Arial" w:hAnsi="Arial"/>
          <w:noProof w:val="0"/>
        </w:rPr>
      </w:pPr>
    </w:p>
    <w:p w14:paraId="6FB6859E"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אינני נדרש במסגרת תביעה זו להכריע מהן במדויק העבודות שבני ביצע בבניין. </w:t>
      </w:r>
    </w:p>
    <w:p w14:paraId="4830EEF1"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בעיני, די בעדויות האמורות, של בני ושל הרוש, כדי לקבוע שבני אכן ביצע עבודות עבור גבי ודרורה בבניין, ודי בעדותו של בני כדי לקבוע שהמשכנתא נרשמה לשם הבטחת חובם אליו בגין עבודות אלה. </w:t>
      </w:r>
    </w:p>
    <w:p w14:paraId="184B66CD" w14:textId="77777777" w:rsidR="00363487" w:rsidRDefault="00363487" w:rsidP="00363487">
      <w:pPr>
        <w:pStyle w:val="1"/>
        <w:rPr>
          <w:rFonts w:ascii="Arial" w:hAnsi="Arial"/>
          <w:noProof w:val="0"/>
        </w:rPr>
      </w:pPr>
    </w:p>
    <w:p w14:paraId="1FB37262"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כאמור, גם גרסתו של בני ביחס לרישום המשכנתא אינה חפה מקשיים, אך היא מסתברת יותר מגרסתם של גבי ודרורה. </w:t>
      </w:r>
    </w:p>
    <w:p w14:paraId="4237DE03"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אולם, גם אם הייתי מוצא ששתי הגרסאות אינן סבירות, או שהן סבירות במידה שווה, הדבר היה מביא בהכרח לדחיית התביעה, מהטעמים הבאים, שחלקם כבר הוזכרו לעיל: </w:t>
      </w:r>
    </w:p>
    <w:p w14:paraId="744CECB5" w14:textId="77777777" w:rsidR="00363487" w:rsidRDefault="00000000" w:rsidP="00363487">
      <w:pPr>
        <w:pStyle w:val="1"/>
        <w:numPr>
          <w:ilvl w:val="0"/>
          <w:numId w:val="2"/>
        </w:numPr>
        <w:spacing w:line="360" w:lineRule="auto"/>
        <w:jc w:val="both"/>
        <w:rPr>
          <w:rFonts w:ascii="Arial" w:hAnsi="Arial"/>
          <w:noProof w:val="0"/>
        </w:rPr>
      </w:pPr>
      <w:r>
        <w:rPr>
          <w:rFonts w:ascii="Arial" w:hAnsi="Arial" w:hint="cs"/>
          <w:noProof w:val="0"/>
          <w:rtl/>
        </w:rPr>
        <w:t xml:space="preserve">הנטל המוטל על מי שטוען שהחוזה (בענייננו שטר המשכנתא) הוא חוזה למראית עין, והנטל המוגבר על מי שטוען שמראית העין נועדה כדי להשיג מטרה בלתי-חוקית; </w:t>
      </w:r>
    </w:p>
    <w:p w14:paraId="4621D0DE" w14:textId="77777777" w:rsidR="00363487" w:rsidRDefault="00000000" w:rsidP="00363487">
      <w:pPr>
        <w:pStyle w:val="1"/>
        <w:numPr>
          <w:ilvl w:val="0"/>
          <w:numId w:val="2"/>
        </w:numPr>
        <w:spacing w:line="360" w:lineRule="auto"/>
        <w:jc w:val="both"/>
        <w:rPr>
          <w:rFonts w:ascii="Arial" w:hAnsi="Arial"/>
          <w:noProof w:val="0"/>
        </w:rPr>
      </w:pPr>
      <w:r>
        <w:rPr>
          <w:rFonts w:ascii="Arial" w:hAnsi="Arial" w:hint="cs"/>
          <w:noProof w:val="0"/>
          <w:rtl/>
        </w:rPr>
        <w:t xml:space="preserve">הנטל המוטל על דרורה, כתובעת, להוכחת תביעתה; </w:t>
      </w:r>
    </w:p>
    <w:p w14:paraId="1A56AAE5" w14:textId="77777777" w:rsidR="00363487" w:rsidRDefault="00000000" w:rsidP="00363487">
      <w:pPr>
        <w:pStyle w:val="1"/>
        <w:numPr>
          <w:ilvl w:val="0"/>
          <w:numId w:val="2"/>
        </w:numPr>
        <w:spacing w:line="360" w:lineRule="auto"/>
        <w:jc w:val="both"/>
        <w:rPr>
          <w:rFonts w:ascii="Arial" w:hAnsi="Arial"/>
          <w:noProof w:val="0"/>
        </w:rPr>
      </w:pPr>
      <w:r>
        <w:rPr>
          <w:rFonts w:ascii="Arial" w:hAnsi="Arial" w:hint="cs"/>
          <w:noProof w:val="0"/>
          <w:rtl/>
        </w:rPr>
        <w:t xml:space="preserve">גרסתו של בני התומכת בקיומו של החוזה, כלומר תוקפו של שטר המשכנתא, עדיפה על גרסתם של דרורה וגבי, המבקשת לגרום לביטול החוזה, קרי: ביטולו של שטר המשכנתא. </w:t>
      </w:r>
    </w:p>
    <w:p w14:paraId="09E6C94B" w14:textId="77777777" w:rsidR="00363487" w:rsidRDefault="00000000" w:rsidP="00363487">
      <w:pPr>
        <w:pStyle w:val="1"/>
        <w:spacing w:line="360" w:lineRule="auto"/>
        <w:ind w:left="729"/>
        <w:jc w:val="both"/>
        <w:rPr>
          <w:rFonts w:ascii="Arial" w:hAnsi="Arial"/>
          <w:noProof w:val="0"/>
          <w:rtl/>
        </w:rPr>
      </w:pPr>
      <w:r>
        <w:rPr>
          <w:rFonts w:ascii="Arial" w:hAnsi="Arial" w:hint="cs"/>
          <w:noProof w:val="0"/>
          <w:rtl/>
        </w:rPr>
        <w:t xml:space="preserve">מסקנה אחרונה זו נובעת מהכלל הקבוע </w:t>
      </w:r>
      <w:hyperlink r:id="rId33" w:history="1">
        <w:r w:rsidR="005F5511" w:rsidRPr="005F5511">
          <w:rPr>
            <w:rStyle w:val="Hyperlink"/>
            <w:rFonts w:ascii="Arial" w:hAnsi="Arial" w:hint="eastAsia"/>
            <w:noProof w:val="0"/>
            <w:rtl/>
          </w:rPr>
          <w:t>בסעיף</w:t>
        </w:r>
        <w:r w:rsidR="005F5511" w:rsidRPr="005F5511">
          <w:rPr>
            <w:rStyle w:val="Hyperlink"/>
            <w:rFonts w:ascii="Arial" w:hAnsi="Arial"/>
            <w:noProof w:val="0"/>
            <w:rtl/>
          </w:rPr>
          <w:t xml:space="preserve"> 25(ב)</w:t>
        </w:r>
      </w:hyperlink>
      <w:r>
        <w:rPr>
          <w:rFonts w:ascii="Arial" w:hAnsi="Arial" w:hint="cs"/>
          <w:noProof w:val="0"/>
          <w:rtl/>
        </w:rPr>
        <w:t xml:space="preserve"> ל</w:t>
      </w:r>
      <w:hyperlink r:id="rId34" w:history="1">
        <w:r w:rsidR="00E071F6" w:rsidRPr="00E071F6">
          <w:rPr>
            <w:rFonts w:ascii="Arial" w:hAnsi="Arial"/>
            <w:noProof w:val="0"/>
            <w:color w:val="0000FF"/>
            <w:u w:val="single"/>
            <w:rtl/>
          </w:rPr>
          <w:t>חוק החוזים</w:t>
        </w:r>
      </w:hyperlink>
      <w:r>
        <w:rPr>
          <w:rFonts w:ascii="Arial" w:hAnsi="Arial" w:hint="cs"/>
          <w:noProof w:val="0"/>
          <w:rtl/>
        </w:rPr>
        <w:t>: "</w:t>
      </w:r>
      <w:r w:rsidRPr="004A6800">
        <w:rPr>
          <w:rFonts w:ascii="Arial" w:hAnsi="Arial" w:hint="cs"/>
          <w:b/>
          <w:bCs/>
          <w:noProof w:val="0"/>
          <w:rtl/>
        </w:rPr>
        <w:t>חוזה הניתן לפירושים שונים, פירוש המקיים אותו עדיף על פירוש שלפיו הוא בטל</w:t>
      </w:r>
      <w:r>
        <w:rPr>
          <w:rFonts w:ascii="Arial" w:hAnsi="Arial" w:hint="cs"/>
          <w:noProof w:val="0"/>
          <w:rtl/>
        </w:rPr>
        <w:t xml:space="preserve">". </w:t>
      </w:r>
    </w:p>
    <w:p w14:paraId="75C4FB43" w14:textId="77777777" w:rsidR="00363487" w:rsidRDefault="00000000" w:rsidP="00363487">
      <w:pPr>
        <w:pStyle w:val="1"/>
        <w:spacing w:line="360" w:lineRule="auto"/>
        <w:ind w:left="729"/>
        <w:jc w:val="both"/>
        <w:rPr>
          <w:rFonts w:ascii="Arial" w:hAnsi="Arial"/>
          <w:noProof w:val="0"/>
          <w:rtl/>
        </w:rPr>
      </w:pPr>
      <w:r>
        <w:rPr>
          <w:rFonts w:ascii="Arial" w:hAnsi="Arial" w:hint="cs"/>
          <w:noProof w:val="0"/>
          <w:rtl/>
        </w:rPr>
        <w:t>חזקת תוקף זו עשויה לחול לא רק בפרשנות החוזה, אלא גם במקרים, שבהם מועלית כלפי החוזה טענת בטלות בשל חוזה שנעשה למראית עין (</w:t>
      </w:r>
      <w:r w:rsidRPr="004A6800">
        <w:rPr>
          <w:rFonts w:ascii="Arial" w:hAnsi="Arial" w:hint="cs"/>
          <w:b/>
          <w:bCs/>
          <w:noProof w:val="0"/>
          <w:rtl/>
        </w:rPr>
        <w:t>שלו וצמח</w:t>
      </w:r>
      <w:r>
        <w:rPr>
          <w:rFonts w:ascii="Arial" w:hAnsi="Arial" w:hint="cs"/>
          <w:noProof w:val="0"/>
          <w:rtl/>
        </w:rPr>
        <w:t xml:space="preserve">, עמ' 532). </w:t>
      </w:r>
    </w:p>
    <w:p w14:paraId="20E84250" w14:textId="77777777" w:rsidR="00363487" w:rsidRPr="0078289A" w:rsidRDefault="00363487" w:rsidP="00363487">
      <w:pPr>
        <w:pStyle w:val="1"/>
        <w:rPr>
          <w:rFonts w:ascii="Arial" w:hAnsi="Arial"/>
          <w:noProof w:val="0"/>
        </w:rPr>
      </w:pPr>
    </w:p>
    <w:p w14:paraId="0944AC0A"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לשם ההכרעה הנדרש כאן, גם אינני נדרש לקבוע מה עלות העבודות שנעשו בבניין ומהו חובם המדויק של גבי ודרורה אליו. </w:t>
      </w:r>
    </w:p>
    <w:p w14:paraId="2A88BF38"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שאלה זו יכולה לעלות במסגרת הליכים נוספים שאולי יתנהלו בין הצדדים, בין ביוזמתו של בני בתביעה שתוגש למימוש המשכנתא ובין ביוזמתה של דרורה (אולי גם גבי) בתביעה לפקיעת המשכנתא בשל פירעון החוב (</w:t>
      </w:r>
      <w:hyperlink r:id="rId35" w:history="1">
        <w:r w:rsidR="005F5511" w:rsidRPr="005F5511">
          <w:rPr>
            <w:rStyle w:val="Hyperlink"/>
            <w:rFonts w:ascii="Arial" w:hAnsi="Arial" w:hint="eastAsia"/>
            <w:noProof w:val="0"/>
            <w:rtl/>
          </w:rPr>
          <w:t>סעיף</w:t>
        </w:r>
        <w:r w:rsidR="005F5511" w:rsidRPr="005F5511">
          <w:rPr>
            <w:rStyle w:val="Hyperlink"/>
            <w:rFonts w:ascii="Arial" w:hAnsi="Arial"/>
            <w:noProof w:val="0"/>
            <w:rtl/>
          </w:rPr>
          <w:t xml:space="preserve"> 15(א)</w:t>
        </w:r>
      </w:hyperlink>
      <w:r>
        <w:rPr>
          <w:rFonts w:ascii="Arial" w:hAnsi="Arial" w:hint="cs"/>
          <w:noProof w:val="0"/>
          <w:rtl/>
        </w:rPr>
        <w:t xml:space="preserve"> </w:t>
      </w:r>
      <w:r w:rsidRPr="00382418">
        <w:rPr>
          <w:rFonts w:ascii="Arial" w:hAnsi="Arial" w:hint="cs"/>
          <w:noProof w:val="0"/>
          <w:rtl/>
        </w:rPr>
        <w:t>ל</w:t>
      </w:r>
      <w:hyperlink r:id="rId36" w:history="1">
        <w:r w:rsidR="00E071F6" w:rsidRPr="00E071F6">
          <w:rPr>
            <w:rFonts w:ascii="Arial" w:hAnsi="Arial"/>
            <w:b/>
            <w:bCs/>
            <w:noProof w:val="0"/>
            <w:color w:val="0000FF"/>
            <w:u w:val="single"/>
            <w:rtl/>
          </w:rPr>
          <w:t>חוק המשכון</w:t>
        </w:r>
      </w:hyperlink>
      <w:r w:rsidRPr="00382418">
        <w:rPr>
          <w:rFonts w:ascii="Arial" w:hAnsi="Arial" w:hint="cs"/>
          <w:b/>
          <w:bCs/>
          <w:noProof w:val="0"/>
          <w:rtl/>
        </w:rPr>
        <w:t>, התשכ"ז-1967</w:t>
      </w:r>
      <w:r>
        <w:rPr>
          <w:rFonts w:ascii="Arial" w:hAnsi="Arial" w:hint="cs"/>
          <w:noProof w:val="0"/>
          <w:rtl/>
        </w:rPr>
        <w:t xml:space="preserve">). </w:t>
      </w:r>
    </w:p>
    <w:p w14:paraId="5B1C9B0A"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גם זו וגם זו אינה התביעה שהתנהלה לפני. </w:t>
      </w:r>
    </w:p>
    <w:p w14:paraId="7374A459"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אמנם, כדי לנסות לחסוך בהליכים נוספים ולהגיע לפתרון מלא של המחלוקת שבין בני ובין דרורה, לפחות, אפשרתי לצדדים להתייחס גם לשאלה זו. </w:t>
      </w:r>
    </w:p>
    <w:p w14:paraId="5CD1E2BE"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בני הודה בחקירתו (עמ' 220-219) כי המחירים בהם נקב הם בגדר הערכה בלבד.</w:t>
      </w:r>
    </w:p>
    <w:p w14:paraId="7AF468F7"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 דרורה, לעומתו, הכחישה כל חוב, וממילא לא הגישה חשבון כלשהו המתייחס אליו. </w:t>
      </w:r>
    </w:p>
    <w:p w14:paraId="0D6BB2AF" w14:textId="77777777" w:rsidR="00363487" w:rsidRDefault="00000000" w:rsidP="00363487">
      <w:pPr>
        <w:pStyle w:val="1"/>
        <w:spacing w:line="360" w:lineRule="auto"/>
        <w:ind w:left="369"/>
        <w:jc w:val="both"/>
        <w:rPr>
          <w:rFonts w:ascii="Arial" w:hAnsi="Arial"/>
          <w:noProof w:val="0"/>
          <w:rtl/>
        </w:rPr>
      </w:pPr>
      <w:r>
        <w:rPr>
          <w:rFonts w:ascii="Arial" w:hAnsi="Arial" w:hint="cs"/>
          <w:noProof w:val="0"/>
          <w:rtl/>
        </w:rPr>
        <w:t xml:space="preserve">יואילו, אם כן, הצדדים ליישב מחלוקת זו בהליך נפרד. </w:t>
      </w:r>
    </w:p>
    <w:p w14:paraId="77B2AD3A" w14:textId="77777777" w:rsidR="00363487" w:rsidRDefault="00363487" w:rsidP="00363487">
      <w:pPr>
        <w:pStyle w:val="1"/>
        <w:rPr>
          <w:rFonts w:ascii="Arial" w:hAnsi="Arial"/>
          <w:noProof w:val="0"/>
        </w:rPr>
      </w:pPr>
    </w:p>
    <w:p w14:paraId="1CAC791E"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יחד עם זאת, כבר עתה, וכשאני צופה אותו הליך נוסף שיתנהל, ניתן לקבוע את הממצאים הבאים, ביחס לדרורה בלבד: </w:t>
      </w:r>
    </w:p>
    <w:p w14:paraId="1FAF2EDF" w14:textId="77777777" w:rsidR="00363487" w:rsidRDefault="00000000" w:rsidP="00363487">
      <w:pPr>
        <w:pStyle w:val="1"/>
        <w:numPr>
          <w:ilvl w:val="0"/>
          <w:numId w:val="3"/>
        </w:numPr>
        <w:spacing w:line="360" w:lineRule="auto"/>
        <w:jc w:val="both"/>
        <w:rPr>
          <w:rFonts w:ascii="Arial" w:hAnsi="Arial"/>
          <w:noProof w:val="0"/>
        </w:rPr>
      </w:pPr>
      <w:r>
        <w:rPr>
          <w:rFonts w:ascii="Arial" w:hAnsi="Arial" w:hint="cs"/>
          <w:noProof w:val="0"/>
          <w:rtl/>
        </w:rPr>
        <w:t xml:space="preserve">המשכנתא על זכויותיה נרשמה בגין החוב על העבודות שבוצעו על-ידי בני בקשר לבניין נושא תביעה זו בלבד, ולא בקשר לחובותיהם של גבי ואחרים בגין עבודות שביצע עבורם בני בנכסים אחרים; </w:t>
      </w:r>
    </w:p>
    <w:p w14:paraId="1EA5D29E" w14:textId="77777777" w:rsidR="00363487" w:rsidRDefault="00000000" w:rsidP="00363487">
      <w:pPr>
        <w:pStyle w:val="1"/>
        <w:numPr>
          <w:ilvl w:val="0"/>
          <w:numId w:val="3"/>
        </w:numPr>
        <w:spacing w:line="360" w:lineRule="auto"/>
        <w:jc w:val="both"/>
        <w:rPr>
          <w:rFonts w:ascii="Arial" w:hAnsi="Arial"/>
          <w:noProof w:val="0"/>
        </w:rPr>
      </w:pPr>
      <w:r>
        <w:rPr>
          <w:rFonts w:ascii="Arial" w:hAnsi="Arial" w:hint="cs"/>
          <w:noProof w:val="0"/>
          <w:rtl/>
        </w:rPr>
        <w:t xml:space="preserve">מאחר שבני העריך את עלות השיפוצים בערכי שנת 1996 בסך של 208,000 ₪ הרי שסכום החוב המקסימלי בגין חלקה של דרורה יכול לעמוד על מחצית מסכום זה, קרי: 104,000 ₪, כשהוא משוערך ליום התביעה שתוגש / ליום התשלום בפועל. </w:t>
      </w:r>
    </w:p>
    <w:p w14:paraId="5A8DB450" w14:textId="77777777" w:rsidR="00363487" w:rsidRDefault="00363487" w:rsidP="00363487">
      <w:pPr>
        <w:pStyle w:val="1"/>
        <w:rPr>
          <w:rFonts w:ascii="Arial" w:hAnsi="Arial"/>
          <w:noProof w:val="0"/>
        </w:rPr>
      </w:pPr>
    </w:p>
    <w:p w14:paraId="094B54C1"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לאור האמור, הצעתי לצדדים (כלומר לדרורה ובני) בסופו של הדיון שקדם לדיון האחרון הצעה מסוימת, עליה חזרתי גם בסופו של הדיון האחרון, שעשויה הייתה לדעתי לחסוך הליכים נוספים ביניהם. בני הסכים להצעה, אך דרורה סירבה תחילה להצעה, אחר כך ביקשה שהות להשיב עליה אך היא לא השיבה, ויש להצר על כך. </w:t>
      </w:r>
    </w:p>
    <w:p w14:paraId="29FF34F9" w14:textId="77777777" w:rsidR="00363487" w:rsidRDefault="00363487" w:rsidP="00363487">
      <w:pPr>
        <w:pStyle w:val="1"/>
        <w:rPr>
          <w:rFonts w:ascii="Arial" w:hAnsi="Arial"/>
          <w:noProof w:val="0"/>
        </w:rPr>
      </w:pPr>
    </w:p>
    <w:p w14:paraId="3EA00B86"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ביחס להוצאות, בני זכאי לפסיקת הוצאות, אך לא על הצד הגבוה, מאחר שגם הוא תרם בהתנהלותו לערפל הקיים ביחס לנסיבות חתימת שטר המשכנתא. </w:t>
      </w:r>
    </w:p>
    <w:p w14:paraId="1CE6F012" w14:textId="77777777" w:rsidR="00363487" w:rsidRDefault="00000000" w:rsidP="00363487">
      <w:pPr>
        <w:pStyle w:val="1"/>
        <w:spacing w:line="360" w:lineRule="auto"/>
        <w:ind w:left="369"/>
        <w:jc w:val="both"/>
        <w:rPr>
          <w:rFonts w:ascii="Arial" w:hAnsi="Arial"/>
          <w:noProof w:val="0"/>
        </w:rPr>
      </w:pPr>
      <w:r>
        <w:rPr>
          <w:rFonts w:ascii="Arial" w:hAnsi="Arial" w:hint="cs"/>
          <w:noProof w:val="0"/>
          <w:rtl/>
        </w:rPr>
        <w:t xml:space="preserve">גבי אינו זכאי להוצאות בשל כל התנהלותו שתוארה לעיל. </w:t>
      </w:r>
    </w:p>
    <w:p w14:paraId="62949497" w14:textId="77777777" w:rsidR="00363487" w:rsidRDefault="00363487" w:rsidP="00363487">
      <w:pPr>
        <w:spacing w:line="360" w:lineRule="auto"/>
        <w:jc w:val="both"/>
        <w:rPr>
          <w:rFonts w:ascii="Arial" w:hAnsi="Arial"/>
          <w:b/>
          <w:bCs/>
          <w:noProof w:val="0"/>
          <w:u w:val="single"/>
          <w:rtl/>
        </w:rPr>
      </w:pPr>
    </w:p>
    <w:p w14:paraId="79154B94" w14:textId="77777777" w:rsidR="00363487" w:rsidRDefault="00363487" w:rsidP="00363487">
      <w:pPr>
        <w:spacing w:line="360" w:lineRule="auto"/>
        <w:jc w:val="both"/>
        <w:rPr>
          <w:rFonts w:ascii="Arial" w:hAnsi="Arial"/>
          <w:b/>
          <w:bCs/>
          <w:noProof w:val="0"/>
          <w:u w:val="single"/>
          <w:rtl/>
        </w:rPr>
      </w:pPr>
    </w:p>
    <w:p w14:paraId="41016E18" w14:textId="77777777" w:rsidR="00363487" w:rsidRDefault="00363487" w:rsidP="00363487">
      <w:pPr>
        <w:spacing w:line="360" w:lineRule="auto"/>
        <w:jc w:val="both"/>
        <w:rPr>
          <w:rFonts w:ascii="Arial" w:hAnsi="Arial"/>
          <w:b/>
          <w:bCs/>
          <w:noProof w:val="0"/>
          <w:u w:val="single"/>
          <w:rtl/>
        </w:rPr>
      </w:pPr>
    </w:p>
    <w:p w14:paraId="6EE955F9" w14:textId="77777777" w:rsidR="00363487" w:rsidRDefault="00363487" w:rsidP="00363487">
      <w:pPr>
        <w:spacing w:line="360" w:lineRule="auto"/>
        <w:jc w:val="both"/>
        <w:rPr>
          <w:rFonts w:ascii="Arial" w:hAnsi="Arial"/>
          <w:b/>
          <w:bCs/>
          <w:noProof w:val="0"/>
          <w:u w:val="single"/>
          <w:rtl/>
        </w:rPr>
      </w:pPr>
    </w:p>
    <w:p w14:paraId="089427B3" w14:textId="77777777" w:rsidR="00363487" w:rsidRPr="00E43429" w:rsidRDefault="00000000" w:rsidP="00363487">
      <w:pPr>
        <w:spacing w:line="360" w:lineRule="auto"/>
        <w:jc w:val="both"/>
        <w:rPr>
          <w:rFonts w:ascii="Arial" w:hAnsi="Arial"/>
          <w:b/>
          <w:bCs/>
          <w:noProof w:val="0"/>
          <w:u w:val="single"/>
        </w:rPr>
      </w:pPr>
      <w:r w:rsidRPr="00E43429">
        <w:rPr>
          <w:rFonts w:ascii="Arial" w:hAnsi="Arial" w:hint="cs"/>
          <w:b/>
          <w:bCs/>
          <w:noProof w:val="0"/>
          <w:u w:val="single"/>
          <w:rtl/>
        </w:rPr>
        <w:t>תוצאה</w:t>
      </w:r>
    </w:p>
    <w:p w14:paraId="36C3A36B" w14:textId="77777777" w:rsidR="00363487" w:rsidRDefault="00000000" w:rsidP="00363487">
      <w:pPr>
        <w:pStyle w:val="1"/>
        <w:numPr>
          <w:ilvl w:val="0"/>
          <w:numId w:val="1"/>
        </w:numPr>
        <w:spacing w:line="360" w:lineRule="auto"/>
        <w:ind w:left="369"/>
        <w:jc w:val="both"/>
        <w:rPr>
          <w:rFonts w:ascii="Arial" w:hAnsi="Arial"/>
          <w:noProof w:val="0"/>
        </w:rPr>
      </w:pPr>
      <w:r>
        <w:rPr>
          <w:rFonts w:ascii="Arial" w:hAnsi="Arial" w:hint="cs"/>
          <w:noProof w:val="0"/>
          <w:rtl/>
        </w:rPr>
        <w:t xml:space="preserve">התביעה נדחית. </w:t>
      </w:r>
    </w:p>
    <w:p w14:paraId="0A610BDA" w14:textId="77777777" w:rsidR="00363487" w:rsidRDefault="00000000" w:rsidP="00363487">
      <w:pPr>
        <w:pStyle w:val="1"/>
        <w:spacing w:line="360" w:lineRule="auto"/>
        <w:ind w:left="369"/>
        <w:jc w:val="both"/>
        <w:rPr>
          <w:rFonts w:ascii="Arial" w:hAnsi="Arial"/>
          <w:noProof w:val="0"/>
        </w:rPr>
      </w:pPr>
      <w:r>
        <w:rPr>
          <w:rFonts w:ascii="Arial" w:hAnsi="Arial" w:hint="cs"/>
          <w:noProof w:val="0"/>
          <w:rtl/>
        </w:rPr>
        <w:t xml:space="preserve">התובעת תשלם לנתבע 1 שכ"ט עו"ד בסך 20,000 ₪ והוצאות בסך 5,000 ₪. </w:t>
      </w:r>
    </w:p>
    <w:p w14:paraId="481064B7" w14:textId="77777777" w:rsidR="00363487" w:rsidRDefault="00000000" w:rsidP="00363487">
      <w:pPr>
        <w:pStyle w:val="1"/>
        <w:spacing w:line="360" w:lineRule="auto"/>
        <w:ind w:left="369"/>
        <w:jc w:val="both"/>
        <w:rPr>
          <w:rFonts w:ascii="Arial" w:hAnsi="Arial"/>
          <w:noProof w:val="0"/>
        </w:rPr>
      </w:pPr>
      <w:r>
        <w:rPr>
          <w:rFonts w:ascii="Arial" w:hAnsi="Arial" w:hint="cs"/>
          <w:noProof w:val="0"/>
          <w:rtl/>
        </w:rPr>
        <w:t xml:space="preserve">אין צו להוצאות לנתבע 2. </w:t>
      </w:r>
    </w:p>
    <w:p w14:paraId="37F49500" w14:textId="77777777" w:rsidR="00363487" w:rsidRPr="00DB1071" w:rsidRDefault="00363487" w:rsidP="00363487">
      <w:pPr>
        <w:pStyle w:val="1"/>
        <w:spacing w:line="360" w:lineRule="auto"/>
        <w:ind w:left="369"/>
        <w:jc w:val="both"/>
        <w:rPr>
          <w:rFonts w:ascii="Arial" w:hAnsi="Arial"/>
          <w:noProof w:val="0"/>
          <w:rtl/>
        </w:rPr>
      </w:pPr>
    </w:p>
    <w:p w14:paraId="3D04F6A5" w14:textId="77777777" w:rsidR="00363487" w:rsidRDefault="00363487" w:rsidP="00363487">
      <w:pPr>
        <w:spacing w:line="360" w:lineRule="auto"/>
        <w:jc w:val="both"/>
        <w:rPr>
          <w:rFonts w:ascii="Arial" w:hAnsi="Arial"/>
          <w:noProof w:val="0"/>
          <w:rtl/>
        </w:rPr>
      </w:pPr>
    </w:p>
    <w:p w14:paraId="0276E306" w14:textId="77777777" w:rsidR="00363487" w:rsidRDefault="00363487" w:rsidP="00363487">
      <w:pPr>
        <w:spacing w:line="360" w:lineRule="auto"/>
        <w:jc w:val="both"/>
        <w:rPr>
          <w:rFonts w:ascii="Arial" w:hAnsi="Arial"/>
          <w:noProof w:val="0"/>
          <w:rtl/>
        </w:rPr>
      </w:pPr>
    </w:p>
    <w:p w14:paraId="25F010CF" w14:textId="77777777" w:rsidR="00363487" w:rsidRDefault="00363487" w:rsidP="00363487">
      <w:pPr>
        <w:spacing w:line="360" w:lineRule="auto"/>
        <w:jc w:val="both"/>
        <w:rPr>
          <w:rFonts w:ascii="Arial" w:hAnsi="Arial"/>
          <w:noProof w:val="0"/>
          <w:rtl/>
        </w:rPr>
      </w:pPr>
    </w:p>
    <w:p w14:paraId="05C18E73" w14:textId="77777777" w:rsidR="00363487" w:rsidRPr="00E071F6" w:rsidRDefault="00E071F6" w:rsidP="00363487">
      <w:pPr>
        <w:spacing w:line="360" w:lineRule="auto"/>
        <w:jc w:val="both"/>
        <w:rPr>
          <w:rFonts w:ascii="Arial" w:hAnsi="Arial"/>
          <w:noProof w:val="0"/>
          <w:color w:val="FFFFFF"/>
          <w:sz w:val="2"/>
          <w:szCs w:val="2"/>
          <w:rtl/>
        </w:rPr>
      </w:pPr>
      <w:r w:rsidRPr="00E071F6">
        <w:rPr>
          <w:rFonts w:ascii="Arial" w:hAnsi="Arial"/>
          <w:noProof w:val="0"/>
          <w:color w:val="FFFFFF"/>
          <w:sz w:val="2"/>
          <w:szCs w:val="2"/>
          <w:rtl/>
        </w:rPr>
        <w:t>5129371</w:t>
      </w:r>
    </w:p>
    <w:p w14:paraId="6D829390" w14:textId="77777777" w:rsidR="00363487" w:rsidRDefault="00E071F6" w:rsidP="00363487">
      <w:pPr>
        <w:spacing w:line="360" w:lineRule="auto"/>
        <w:jc w:val="both"/>
        <w:rPr>
          <w:rFonts w:ascii="Arial" w:hAnsi="Arial"/>
          <w:noProof w:val="0"/>
          <w:rtl/>
        </w:rPr>
      </w:pPr>
      <w:bookmarkStart w:id="42" w:name="Nitan"/>
      <w:r w:rsidRPr="00E071F6">
        <w:rPr>
          <w:rFonts w:ascii="Arial" w:hAnsi="Arial"/>
          <w:noProof w:val="0"/>
          <w:color w:val="FFFFFF"/>
          <w:sz w:val="2"/>
          <w:szCs w:val="2"/>
          <w:rtl/>
        </w:rPr>
        <w:t>54678313</w:t>
      </w:r>
      <w:r>
        <w:rPr>
          <w:rFonts w:ascii="Arial" w:hAnsi="Arial"/>
          <w:noProof w:val="0"/>
          <w:rtl/>
        </w:rPr>
        <w:t xml:space="preserve">ניתן היום,  כ"ט ניסן תשפ"ה, 27 אפריל 2025, בהעדר הצדדים. </w:t>
      </w:r>
      <w:bookmarkEnd w:id="42"/>
      <w:r w:rsidR="00000000">
        <w:rPr>
          <w:rFonts w:ascii="Arial" w:hAnsi="Arial" w:hint="cs"/>
          <w:noProof w:val="0"/>
          <w:rtl/>
        </w:rPr>
        <w:tab/>
      </w:r>
      <w:r w:rsidR="00000000">
        <w:rPr>
          <w:rFonts w:ascii="Arial" w:hAnsi="Arial" w:hint="cs"/>
          <w:noProof w:val="0"/>
          <w:rtl/>
        </w:rPr>
        <w:tab/>
      </w:r>
      <w:r w:rsidR="00000000">
        <w:rPr>
          <w:rFonts w:ascii="Arial" w:hAnsi="Arial" w:hint="cs"/>
          <w:noProof w:val="0"/>
          <w:rtl/>
        </w:rPr>
        <w:tab/>
      </w:r>
      <w:r w:rsidR="00000000">
        <w:rPr>
          <w:rFonts w:ascii="Arial" w:hAnsi="Arial" w:hint="cs"/>
          <w:noProof w:val="0"/>
          <w:rtl/>
        </w:rPr>
        <w:tab/>
      </w:r>
      <w:r w:rsidR="00000000">
        <w:rPr>
          <w:rFonts w:ascii="Arial" w:hAnsi="Arial" w:hint="cs"/>
          <w:noProof w:val="0"/>
          <w:rtl/>
        </w:rPr>
        <w:tab/>
      </w:r>
      <w:r w:rsidR="00000000">
        <w:rPr>
          <w:rFonts w:ascii="Arial" w:hAnsi="Arial"/>
          <w:noProof w:val="0"/>
          <w:rtl/>
        </w:rPr>
        <w:tab/>
      </w:r>
      <w:r w:rsidR="00000000">
        <w:rPr>
          <w:rFonts w:ascii="Arial" w:hAnsi="Arial" w:hint="cs"/>
          <w:noProof w:val="0"/>
          <w:rtl/>
        </w:rPr>
        <w:tab/>
      </w:r>
      <w:r w:rsidR="00000000">
        <w:rPr>
          <w:rFonts w:ascii="Arial" w:hAnsi="Arial" w:hint="cs"/>
          <w:noProof w:val="0"/>
          <w:rtl/>
        </w:rPr>
        <w:tab/>
      </w:r>
      <w:r w:rsidR="00000000">
        <w:rPr>
          <w:rFonts w:ascii="Arial" w:hAnsi="Arial"/>
          <w:noProof w:val="0"/>
          <w:rtl/>
        </w:rPr>
        <w:t xml:space="preserve"> </w:t>
      </w:r>
    </w:p>
    <w:p w14:paraId="4563E795" w14:textId="77777777" w:rsidR="00363487" w:rsidRDefault="00363487" w:rsidP="00363487">
      <w:pPr>
        <w:spacing w:line="360" w:lineRule="auto"/>
        <w:ind w:left="3600" w:firstLine="720"/>
      </w:pPr>
    </w:p>
    <w:p w14:paraId="24B82B1A" w14:textId="77777777" w:rsidR="00363487" w:rsidRDefault="00363487" w:rsidP="00363487">
      <w:pPr>
        <w:spacing w:line="360" w:lineRule="auto"/>
        <w:ind w:left="3600" w:firstLine="720"/>
        <w:rPr>
          <w:rFonts w:ascii="Arial" w:hAnsi="Arial"/>
          <w:noProof w:val="0"/>
          <w:rtl/>
        </w:rPr>
      </w:pPr>
    </w:p>
    <w:p w14:paraId="485A5478" w14:textId="77777777" w:rsidR="00363487" w:rsidRDefault="00363487" w:rsidP="00363487">
      <w:pPr>
        <w:spacing w:line="360" w:lineRule="auto"/>
        <w:jc w:val="both"/>
        <w:rPr>
          <w:rFonts w:ascii="Arial" w:hAnsi="Arial"/>
          <w:noProof w:val="0"/>
          <w:rtl/>
        </w:rPr>
      </w:pPr>
    </w:p>
    <w:p w14:paraId="4C675922" w14:textId="77777777" w:rsidR="00363487" w:rsidRPr="005F5511" w:rsidRDefault="005F5511" w:rsidP="00363487">
      <w:pPr>
        <w:spacing w:line="360" w:lineRule="auto"/>
        <w:jc w:val="both"/>
        <w:rPr>
          <w:rFonts w:ascii="Arial" w:hAnsi="Arial"/>
          <w:noProof w:val="0"/>
          <w:color w:val="FFFFFF"/>
          <w:sz w:val="2"/>
          <w:szCs w:val="2"/>
          <w:rtl/>
        </w:rPr>
      </w:pPr>
      <w:r w:rsidRPr="005F5511">
        <w:rPr>
          <w:rFonts w:ascii="Arial" w:hAnsi="Arial"/>
          <w:noProof w:val="0"/>
          <w:color w:val="FFFFFF"/>
          <w:sz w:val="2"/>
          <w:szCs w:val="2"/>
          <w:rtl/>
        </w:rPr>
        <w:t>5129371</w:t>
      </w:r>
    </w:p>
    <w:p w14:paraId="33D34984" w14:textId="77777777" w:rsidR="007A1DA1" w:rsidRPr="005F5511" w:rsidRDefault="005F5511" w:rsidP="00E071F6">
      <w:pPr>
        <w:keepNext/>
        <w:rPr>
          <w:rFonts w:ascii="David" w:hAnsi="David"/>
          <w:color w:val="FFFFFF"/>
          <w:sz w:val="2"/>
          <w:szCs w:val="2"/>
          <w:rtl/>
        </w:rPr>
      </w:pPr>
      <w:r w:rsidRPr="005F5511">
        <w:rPr>
          <w:rFonts w:ascii="David" w:hAnsi="David"/>
          <w:color w:val="FFFFFF"/>
          <w:sz w:val="2"/>
          <w:szCs w:val="2"/>
          <w:rtl/>
        </w:rPr>
        <w:t>54678313</w:t>
      </w:r>
    </w:p>
    <w:p w14:paraId="4BB81077" w14:textId="77777777" w:rsidR="00E071F6" w:rsidRDefault="00E071F6" w:rsidP="00E071F6">
      <w:pPr>
        <w:rPr>
          <w:rtl/>
        </w:rPr>
      </w:pPr>
    </w:p>
    <w:p w14:paraId="18EFD357" w14:textId="2905C6E4" w:rsidR="00E071F6" w:rsidRPr="00E071F6" w:rsidRDefault="00E071F6" w:rsidP="005F5511">
      <w:pPr>
        <w:rPr>
          <w:color w:val="0000FF"/>
          <w:u w:val="single"/>
        </w:rPr>
      </w:pPr>
    </w:p>
    <w:sectPr w:rsidR="00E071F6" w:rsidRPr="00E071F6" w:rsidSect="005F5511">
      <w:headerReference w:type="even" r:id="rId37"/>
      <w:headerReference w:type="default" r:id="rId38"/>
      <w:footerReference w:type="even" r:id="rId39"/>
      <w:footerReference w:type="default" r:id="rId40"/>
      <w:pgSz w:w="11907" w:h="16840" w:code="9"/>
      <w:pgMar w:top="1701" w:right="1800" w:bottom="1440" w:left="1800" w:header="720" w:footer="737"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C5EBC" w14:textId="77777777" w:rsidR="00C26F45" w:rsidRDefault="00C26F45">
      <w:r>
        <w:separator/>
      </w:r>
    </w:p>
  </w:endnote>
  <w:endnote w:type="continuationSeparator" w:id="0">
    <w:p w14:paraId="695E3F31" w14:textId="77777777" w:rsidR="00C26F45" w:rsidRDefault="00C2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3BF5F" w14:textId="77777777" w:rsidR="005F5511" w:rsidRDefault="00000000" w:rsidP="005F5511">
    <w:pPr>
      <w:pStyle w:val="a5"/>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4</w:t>
    </w:r>
    <w:r>
      <w:rPr>
        <w:rFonts w:ascii="FrankRuehl" w:hAnsi="FrankRuehl" w:cs="FrankRuehl"/>
        <w:rtl/>
      </w:rPr>
      <w:fldChar w:fldCharType="end"/>
    </w:r>
  </w:p>
  <w:p w14:paraId="0271A856" w14:textId="39E98C78" w:rsidR="00E071F6" w:rsidRPr="005F5511" w:rsidRDefault="00D128FC" w:rsidP="005F5511">
    <w:pPr>
      <w:pStyle w:val="a5"/>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586656F1" wp14:editId="25B8B44C">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55FBA" w14:textId="77777777" w:rsidR="005F5511" w:rsidRDefault="00000000" w:rsidP="005F5511">
    <w:pPr>
      <w:pStyle w:val="a5"/>
      <w:jc w:val="center"/>
      <w:rPr>
        <w:rStyle w:val="a8"/>
        <w:rFonts w:ascii="FrankRuehl" w:hAnsi="FrankRuehl" w:cs="FrankRuehl"/>
        <w:rtl/>
      </w:rPr>
    </w:pPr>
    <w:r>
      <w:rPr>
        <w:rStyle w:val="a8"/>
        <w:rFonts w:ascii="FrankRuehl" w:hAnsi="FrankRuehl" w:cs="FrankRuehl"/>
        <w:rtl/>
      </w:rPr>
      <w:fldChar w:fldCharType="begin"/>
    </w:r>
    <w:r>
      <w:rPr>
        <w:rStyle w:val="a8"/>
        <w:rFonts w:ascii="FrankRuehl" w:hAnsi="FrankRuehl" w:cs="FrankRuehl"/>
        <w:rtl/>
      </w:rPr>
      <w:instrText xml:space="preserve"> </w:instrText>
    </w:r>
    <w:r>
      <w:rPr>
        <w:rStyle w:val="a8"/>
        <w:rFonts w:ascii="FrankRuehl" w:hAnsi="FrankRuehl" w:cs="FrankRuehl" w:hint="cs"/>
      </w:rPr>
      <w:instrText>PAGE</w:instrText>
    </w:r>
    <w:r>
      <w:rPr>
        <w:rStyle w:val="a8"/>
        <w:rFonts w:ascii="FrankRuehl" w:hAnsi="FrankRuehl" w:cs="FrankRuehl" w:hint="cs"/>
        <w:rtl/>
      </w:rPr>
      <w:instrText xml:space="preserve">  \* </w:instrText>
    </w:r>
    <w:r>
      <w:rPr>
        <w:rStyle w:val="a8"/>
        <w:rFonts w:ascii="FrankRuehl" w:hAnsi="FrankRuehl" w:cs="FrankRuehl" w:hint="cs"/>
      </w:rPr>
      <w:instrText>MERGEFORMAT</w:instrText>
    </w:r>
    <w:r>
      <w:rPr>
        <w:rStyle w:val="a8"/>
        <w:rFonts w:ascii="FrankRuehl" w:hAnsi="FrankRuehl" w:cs="FrankRuehl"/>
        <w:rtl/>
      </w:rPr>
      <w:instrText xml:space="preserve"> </w:instrText>
    </w:r>
    <w:r>
      <w:rPr>
        <w:rStyle w:val="a8"/>
        <w:rFonts w:ascii="FrankRuehl" w:hAnsi="FrankRuehl" w:cs="FrankRuehl"/>
        <w:rtl/>
      </w:rPr>
      <w:fldChar w:fldCharType="separate"/>
    </w:r>
    <w:r w:rsidR="00A43700">
      <w:rPr>
        <w:rStyle w:val="a8"/>
        <w:rFonts w:ascii="FrankRuehl" w:hAnsi="FrankRuehl" w:cs="FrankRuehl"/>
        <w:rtl/>
      </w:rPr>
      <w:t>3</w:t>
    </w:r>
    <w:r>
      <w:rPr>
        <w:rStyle w:val="a8"/>
        <w:rFonts w:ascii="FrankRuehl" w:hAnsi="FrankRuehl" w:cs="FrankRuehl"/>
        <w:rtl/>
      </w:rPr>
      <w:fldChar w:fldCharType="end"/>
    </w:r>
  </w:p>
  <w:p w14:paraId="36D64447" w14:textId="3490908A" w:rsidR="00C37E6A" w:rsidRPr="005F5511" w:rsidRDefault="00C37E6A" w:rsidP="005F5511">
    <w:pPr>
      <w:pStyle w:val="a5"/>
      <w:pBdr>
        <w:top w:val="single" w:sz="4" w:space="1" w:color="auto"/>
        <w:between w:val="single" w:sz="4" w:space="0" w:color="auto"/>
      </w:pBdr>
      <w:spacing w:after="60"/>
      <w:jc w:val="center"/>
      <w:rPr>
        <w:rStyle w:val="a8"/>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32BD0" w14:textId="77777777" w:rsidR="00C26F45" w:rsidRDefault="00C26F45">
      <w:r>
        <w:separator/>
      </w:r>
    </w:p>
  </w:footnote>
  <w:footnote w:type="continuationSeparator" w:id="0">
    <w:p w14:paraId="216204AF" w14:textId="77777777" w:rsidR="00C26F45" w:rsidRDefault="00C26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A3FAF" w14:textId="77777777" w:rsidR="00E071F6" w:rsidRPr="005F5511" w:rsidRDefault="005F5511" w:rsidP="005F5511">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תא (ת"א) 42832-12-20</w:t>
    </w:r>
    <w:r>
      <w:rPr>
        <w:rFonts w:ascii="David" w:hAnsi="David"/>
        <w:color w:val="000000"/>
        <w:sz w:val="22"/>
        <w:szCs w:val="22"/>
        <w:rtl/>
      </w:rPr>
      <w:tab/>
      <w:t xml:space="preserve"> דרורה נדב אשגרי נ' בנימין פרץ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C1133" w14:textId="77777777" w:rsidR="00E071F6" w:rsidRPr="005F5511" w:rsidRDefault="005F5511" w:rsidP="005F5511">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43" w:name="_Hlk198179912"/>
    <w:bookmarkStart w:id="44" w:name="_Hlk198179913"/>
    <w:r>
      <w:rPr>
        <w:rFonts w:ascii="David" w:hAnsi="David"/>
        <w:color w:val="000000"/>
        <w:sz w:val="22"/>
        <w:szCs w:val="22"/>
        <w:rtl/>
      </w:rPr>
      <w:t>תא (ת"א) 42832-12-20</w:t>
    </w:r>
    <w:r>
      <w:rPr>
        <w:rFonts w:ascii="David" w:hAnsi="David"/>
        <w:color w:val="000000"/>
        <w:sz w:val="22"/>
        <w:szCs w:val="22"/>
        <w:rtl/>
      </w:rPr>
      <w:tab/>
      <w:t xml:space="preserve"> דרורה נדב אשגרי נ' בנימין פרץ</w:t>
    </w:r>
    <w:bookmarkEnd w:id="43"/>
    <w:bookmarkEnd w:id="4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C478E"/>
    <w:multiLevelType w:val="hybridMultilevel"/>
    <w:tmpl w:val="B8D8BB2A"/>
    <w:lvl w:ilvl="0" w:tplc="BF8E3B78">
      <w:start w:val="1"/>
      <w:numFmt w:val="hebrew1"/>
      <w:lvlText w:val="%1-"/>
      <w:lvlJc w:val="left"/>
      <w:pPr>
        <w:ind w:left="729" w:hanging="360"/>
      </w:pPr>
      <w:rPr>
        <w:rFonts w:hint="default"/>
      </w:rPr>
    </w:lvl>
    <w:lvl w:ilvl="1" w:tplc="DA988ED0" w:tentative="1">
      <w:start w:val="1"/>
      <w:numFmt w:val="lowerLetter"/>
      <w:lvlText w:val="%2."/>
      <w:lvlJc w:val="left"/>
      <w:pPr>
        <w:ind w:left="1449" w:hanging="360"/>
      </w:pPr>
    </w:lvl>
    <w:lvl w:ilvl="2" w:tplc="3050B630" w:tentative="1">
      <w:start w:val="1"/>
      <w:numFmt w:val="lowerRoman"/>
      <w:lvlText w:val="%3."/>
      <w:lvlJc w:val="right"/>
      <w:pPr>
        <w:ind w:left="2169" w:hanging="180"/>
      </w:pPr>
    </w:lvl>
    <w:lvl w:ilvl="3" w:tplc="E4E011F8" w:tentative="1">
      <w:start w:val="1"/>
      <w:numFmt w:val="decimal"/>
      <w:lvlText w:val="%4."/>
      <w:lvlJc w:val="left"/>
      <w:pPr>
        <w:ind w:left="2889" w:hanging="360"/>
      </w:pPr>
    </w:lvl>
    <w:lvl w:ilvl="4" w:tplc="BD40C206" w:tentative="1">
      <w:start w:val="1"/>
      <w:numFmt w:val="lowerLetter"/>
      <w:lvlText w:val="%5."/>
      <w:lvlJc w:val="left"/>
      <w:pPr>
        <w:ind w:left="3609" w:hanging="360"/>
      </w:pPr>
    </w:lvl>
    <w:lvl w:ilvl="5" w:tplc="D4AC67AA" w:tentative="1">
      <w:start w:val="1"/>
      <w:numFmt w:val="lowerRoman"/>
      <w:lvlText w:val="%6."/>
      <w:lvlJc w:val="right"/>
      <w:pPr>
        <w:ind w:left="4329" w:hanging="180"/>
      </w:pPr>
    </w:lvl>
    <w:lvl w:ilvl="6" w:tplc="540CA69C" w:tentative="1">
      <w:start w:val="1"/>
      <w:numFmt w:val="decimal"/>
      <w:lvlText w:val="%7."/>
      <w:lvlJc w:val="left"/>
      <w:pPr>
        <w:ind w:left="5049" w:hanging="360"/>
      </w:pPr>
    </w:lvl>
    <w:lvl w:ilvl="7" w:tplc="5FD03152" w:tentative="1">
      <w:start w:val="1"/>
      <w:numFmt w:val="lowerLetter"/>
      <w:lvlText w:val="%8."/>
      <w:lvlJc w:val="left"/>
      <w:pPr>
        <w:ind w:left="5769" w:hanging="360"/>
      </w:pPr>
    </w:lvl>
    <w:lvl w:ilvl="8" w:tplc="94DC3748" w:tentative="1">
      <w:start w:val="1"/>
      <w:numFmt w:val="lowerRoman"/>
      <w:lvlText w:val="%9."/>
      <w:lvlJc w:val="right"/>
      <w:pPr>
        <w:ind w:left="6489" w:hanging="180"/>
      </w:pPr>
    </w:lvl>
  </w:abstractNum>
  <w:abstractNum w:abstractNumId="1" w15:restartNumberingAfterBreak="0">
    <w:nsid w:val="21D51E64"/>
    <w:multiLevelType w:val="hybridMultilevel"/>
    <w:tmpl w:val="14845272"/>
    <w:lvl w:ilvl="0" w:tplc="79AADFE0">
      <w:start w:val="1"/>
      <w:numFmt w:val="decimal"/>
      <w:lvlText w:val="%1."/>
      <w:lvlJc w:val="left"/>
      <w:pPr>
        <w:ind w:left="720" w:hanging="360"/>
      </w:pPr>
    </w:lvl>
    <w:lvl w:ilvl="1" w:tplc="2BAE18D8" w:tentative="1">
      <w:start w:val="1"/>
      <w:numFmt w:val="lowerLetter"/>
      <w:lvlText w:val="%2."/>
      <w:lvlJc w:val="left"/>
      <w:pPr>
        <w:ind w:left="1440" w:hanging="360"/>
      </w:pPr>
    </w:lvl>
    <w:lvl w:ilvl="2" w:tplc="5AF83158" w:tentative="1">
      <w:start w:val="1"/>
      <w:numFmt w:val="lowerRoman"/>
      <w:lvlText w:val="%3."/>
      <w:lvlJc w:val="right"/>
      <w:pPr>
        <w:ind w:left="2160" w:hanging="180"/>
      </w:pPr>
    </w:lvl>
    <w:lvl w:ilvl="3" w:tplc="5B8ED266" w:tentative="1">
      <w:start w:val="1"/>
      <w:numFmt w:val="decimal"/>
      <w:lvlText w:val="%4."/>
      <w:lvlJc w:val="left"/>
      <w:pPr>
        <w:ind w:left="2880" w:hanging="360"/>
      </w:pPr>
    </w:lvl>
    <w:lvl w:ilvl="4" w:tplc="2DCC5E04" w:tentative="1">
      <w:start w:val="1"/>
      <w:numFmt w:val="lowerLetter"/>
      <w:lvlText w:val="%5."/>
      <w:lvlJc w:val="left"/>
      <w:pPr>
        <w:ind w:left="3600" w:hanging="360"/>
      </w:pPr>
    </w:lvl>
    <w:lvl w:ilvl="5" w:tplc="49D0108A" w:tentative="1">
      <w:start w:val="1"/>
      <w:numFmt w:val="lowerRoman"/>
      <w:lvlText w:val="%6."/>
      <w:lvlJc w:val="right"/>
      <w:pPr>
        <w:ind w:left="4320" w:hanging="180"/>
      </w:pPr>
    </w:lvl>
    <w:lvl w:ilvl="6" w:tplc="E8E2B018" w:tentative="1">
      <w:start w:val="1"/>
      <w:numFmt w:val="decimal"/>
      <w:lvlText w:val="%7."/>
      <w:lvlJc w:val="left"/>
      <w:pPr>
        <w:ind w:left="5040" w:hanging="360"/>
      </w:pPr>
    </w:lvl>
    <w:lvl w:ilvl="7" w:tplc="016E18CE" w:tentative="1">
      <w:start w:val="1"/>
      <w:numFmt w:val="lowerLetter"/>
      <w:lvlText w:val="%8."/>
      <w:lvlJc w:val="left"/>
      <w:pPr>
        <w:ind w:left="5760" w:hanging="360"/>
      </w:pPr>
    </w:lvl>
    <w:lvl w:ilvl="8" w:tplc="0AE43E9C" w:tentative="1">
      <w:start w:val="1"/>
      <w:numFmt w:val="lowerRoman"/>
      <w:lvlText w:val="%9."/>
      <w:lvlJc w:val="right"/>
      <w:pPr>
        <w:ind w:left="6480" w:hanging="180"/>
      </w:pPr>
    </w:lvl>
  </w:abstractNum>
  <w:abstractNum w:abstractNumId="2" w15:restartNumberingAfterBreak="0">
    <w:nsid w:val="6DB46C43"/>
    <w:multiLevelType w:val="hybridMultilevel"/>
    <w:tmpl w:val="19D693B0"/>
    <w:lvl w:ilvl="0" w:tplc="B920B9E0">
      <w:start w:val="1"/>
      <w:numFmt w:val="hebrew1"/>
      <w:lvlText w:val="%1-"/>
      <w:lvlJc w:val="left"/>
      <w:pPr>
        <w:ind w:left="729" w:hanging="360"/>
      </w:pPr>
      <w:rPr>
        <w:rFonts w:hint="default"/>
      </w:rPr>
    </w:lvl>
    <w:lvl w:ilvl="1" w:tplc="46524784" w:tentative="1">
      <w:start w:val="1"/>
      <w:numFmt w:val="lowerLetter"/>
      <w:lvlText w:val="%2."/>
      <w:lvlJc w:val="left"/>
      <w:pPr>
        <w:ind w:left="1449" w:hanging="360"/>
      </w:pPr>
    </w:lvl>
    <w:lvl w:ilvl="2" w:tplc="F8265AD2" w:tentative="1">
      <w:start w:val="1"/>
      <w:numFmt w:val="lowerRoman"/>
      <w:lvlText w:val="%3."/>
      <w:lvlJc w:val="right"/>
      <w:pPr>
        <w:ind w:left="2169" w:hanging="180"/>
      </w:pPr>
    </w:lvl>
    <w:lvl w:ilvl="3" w:tplc="B810D288" w:tentative="1">
      <w:start w:val="1"/>
      <w:numFmt w:val="decimal"/>
      <w:lvlText w:val="%4."/>
      <w:lvlJc w:val="left"/>
      <w:pPr>
        <w:ind w:left="2889" w:hanging="360"/>
      </w:pPr>
    </w:lvl>
    <w:lvl w:ilvl="4" w:tplc="23DC1BF2" w:tentative="1">
      <w:start w:val="1"/>
      <w:numFmt w:val="lowerLetter"/>
      <w:lvlText w:val="%5."/>
      <w:lvlJc w:val="left"/>
      <w:pPr>
        <w:ind w:left="3609" w:hanging="360"/>
      </w:pPr>
    </w:lvl>
    <w:lvl w:ilvl="5" w:tplc="827A2784" w:tentative="1">
      <w:start w:val="1"/>
      <w:numFmt w:val="lowerRoman"/>
      <w:lvlText w:val="%6."/>
      <w:lvlJc w:val="right"/>
      <w:pPr>
        <w:ind w:left="4329" w:hanging="180"/>
      </w:pPr>
    </w:lvl>
    <w:lvl w:ilvl="6" w:tplc="492215A4" w:tentative="1">
      <w:start w:val="1"/>
      <w:numFmt w:val="decimal"/>
      <w:lvlText w:val="%7."/>
      <w:lvlJc w:val="left"/>
      <w:pPr>
        <w:ind w:left="5049" w:hanging="360"/>
      </w:pPr>
    </w:lvl>
    <w:lvl w:ilvl="7" w:tplc="B292F9C6" w:tentative="1">
      <w:start w:val="1"/>
      <w:numFmt w:val="lowerLetter"/>
      <w:lvlText w:val="%8."/>
      <w:lvlJc w:val="left"/>
      <w:pPr>
        <w:ind w:left="5769" w:hanging="360"/>
      </w:pPr>
    </w:lvl>
    <w:lvl w:ilvl="8" w:tplc="B562E9D8" w:tentative="1">
      <w:start w:val="1"/>
      <w:numFmt w:val="lowerRoman"/>
      <w:lvlText w:val="%9."/>
      <w:lvlJc w:val="right"/>
      <w:pPr>
        <w:ind w:left="6489" w:hanging="180"/>
      </w:pPr>
    </w:lvl>
  </w:abstractNum>
  <w:num w:numId="1" w16cid:durableId="227300320">
    <w:abstractNumId w:val="1"/>
  </w:num>
  <w:num w:numId="2" w16cid:durableId="1682195548">
    <w:abstractNumId w:val="0"/>
  </w:num>
  <w:num w:numId="3" w16cid:durableId="24907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363487"/>
    <w:rsid w:val="00050FF6"/>
    <w:rsid w:val="00074575"/>
    <w:rsid w:val="0008131B"/>
    <w:rsid w:val="000D7DC6"/>
    <w:rsid w:val="00155C44"/>
    <w:rsid w:val="001B5A3B"/>
    <w:rsid w:val="001E1B3C"/>
    <w:rsid w:val="00262B0E"/>
    <w:rsid w:val="002647E3"/>
    <w:rsid w:val="00284BB1"/>
    <w:rsid w:val="002F51C9"/>
    <w:rsid w:val="00305F87"/>
    <w:rsid w:val="00363487"/>
    <w:rsid w:val="00381AE6"/>
    <w:rsid w:val="00382418"/>
    <w:rsid w:val="003C3027"/>
    <w:rsid w:val="00486A38"/>
    <w:rsid w:val="004A6800"/>
    <w:rsid w:val="00501CA5"/>
    <w:rsid w:val="0056589B"/>
    <w:rsid w:val="005900DA"/>
    <w:rsid w:val="005F5511"/>
    <w:rsid w:val="006141D5"/>
    <w:rsid w:val="00615CF3"/>
    <w:rsid w:val="006372F5"/>
    <w:rsid w:val="0070673E"/>
    <w:rsid w:val="0075648E"/>
    <w:rsid w:val="0078289A"/>
    <w:rsid w:val="00785E5D"/>
    <w:rsid w:val="007A1DA1"/>
    <w:rsid w:val="00807100"/>
    <w:rsid w:val="00890C38"/>
    <w:rsid w:val="008A3B0C"/>
    <w:rsid w:val="008B195D"/>
    <w:rsid w:val="0096251E"/>
    <w:rsid w:val="00966066"/>
    <w:rsid w:val="00997B63"/>
    <w:rsid w:val="009C0137"/>
    <w:rsid w:val="00A04899"/>
    <w:rsid w:val="00A04E75"/>
    <w:rsid w:val="00A17330"/>
    <w:rsid w:val="00A43700"/>
    <w:rsid w:val="00A57CF2"/>
    <w:rsid w:val="00C26F45"/>
    <w:rsid w:val="00C37E6A"/>
    <w:rsid w:val="00C81C96"/>
    <w:rsid w:val="00D128FC"/>
    <w:rsid w:val="00D26608"/>
    <w:rsid w:val="00D41055"/>
    <w:rsid w:val="00D43D6C"/>
    <w:rsid w:val="00DB1071"/>
    <w:rsid w:val="00DC5286"/>
    <w:rsid w:val="00E071F6"/>
    <w:rsid w:val="00E34783"/>
    <w:rsid w:val="00E43429"/>
    <w:rsid w:val="00E86904"/>
    <w:rsid w:val="00F25070"/>
    <w:rsid w:val="00F4410E"/>
    <w:rsid w:val="00F55A22"/>
    <w:rsid w:val="00F74073"/>
    <w:rsid w:val="00F84F20"/>
    <w:rsid w:val="00FE7C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40EB8"/>
  <w15:docId w15:val="{B7DEDE45-F54B-4868-BC3D-5058E2F7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3487"/>
    <w:pPr>
      <w:bidi/>
    </w:pPr>
    <w:rPr>
      <w:rFonts w:ascii="Times New Roman" w:eastAsia="Times New Roman" w:hAnsi="Times New Roman" w:cs="David"/>
      <w:noProof/>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3487"/>
    <w:pPr>
      <w:tabs>
        <w:tab w:val="center" w:pos="4153"/>
        <w:tab w:val="right" w:pos="8306"/>
      </w:tabs>
    </w:pPr>
  </w:style>
  <w:style w:type="character" w:customStyle="1" w:styleId="a4">
    <w:name w:val="כותרת עליונה תו"/>
    <w:link w:val="a3"/>
    <w:rsid w:val="00363487"/>
    <w:rPr>
      <w:rFonts w:ascii="Times New Roman" w:eastAsia="Times New Roman" w:hAnsi="Times New Roman" w:cs="David"/>
      <w:noProof/>
      <w:sz w:val="24"/>
      <w:szCs w:val="24"/>
    </w:rPr>
  </w:style>
  <w:style w:type="paragraph" w:styleId="a5">
    <w:name w:val="footer"/>
    <w:basedOn w:val="a"/>
    <w:link w:val="a6"/>
    <w:rsid w:val="00363487"/>
    <w:pPr>
      <w:tabs>
        <w:tab w:val="center" w:pos="4153"/>
        <w:tab w:val="right" w:pos="8306"/>
      </w:tabs>
    </w:pPr>
  </w:style>
  <w:style w:type="character" w:customStyle="1" w:styleId="a6">
    <w:name w:val="כותרת תחתונה תו"/>
    <w:link w:val="a5"/>
    <w:rsid w:val="00363487"/>
    <w:rPr>
      <w:rFonts w:ascii="Times New Roman" w:eastAsia="Times New Roman" w:hAnsi="Times New Roman" w:cs="David"/>
      <w:noProof/>
      <w:sz w:val="24"/>
      <w:szCs w:val="24"/>
    </w:rPr>
  </w:style>
  <w:style w:type="table" w:styleId="a7">
    <w:name w:val="Table Grid"/>
    <w:basedOn w:val="a1"/>
    <w:rsid w:val="00363487"/>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rsid w:val="00363487"/>
  </w:style>
  <w:style w:type="paragraph" w:customStyle="1" w:styleId="1">
    <w:name w:val="פיסקת רשימה1"/>
    <w:basedOn w:val="a"/>
    <w:qFormat/>
    <w:rsid w:val="00363487"/>
    <w:pPr>
      <w:ind w:left="720"/>
      <w:contextualSpacing/>
    </w:pPr>
  </w:style>
  <w:style w:type="character" w:styleId="Hyperlink">
    <w:name w:val="Hyperlink"/>
    <w:rsid w:val="003634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o.co.il/case/17922184" TargetMode="External"/><Relationship Id="rId13" Type="http://schemas.openxmlformats.org/officeDocument/2006/relationships/hyperlink" Target="http://www.nevo.co.il/case/6131680" TargetMode="External"/><Relationship Id="rId18" Type="http://schemas.openxmlformats.org/officeDocument/2006/relationships/hyperlink" Target="http://www.nevo.co.il/law/71888" TargetMode="External"/><Relationship Id="rId26" Type="http://schemas.openxmlformats.org/officeDocument/2006/relationships/hyperlink" Target="http://www.nevo.co.il/case/5988903"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nevo.co.il/case/5556241" TargetMode="External"/><Relationship Id="rId34" Type="http://schemas.openxmlformats.org/officeDocument/2006/relationships/hyperlink" Target="http://www.nevo.co.il/law/71888" TargetMode="External"/><Relationship Id="rId42" Type="http://schemas.openxmlformats.org/officeDocument/2006/relationships/theme" Target="theme/theme1.xml"/><Relationship Id="rId7" Type="http://schemas.openxmlformats.org/officeDocument/2006/relationships/hyperlink" Target="http://www.nevo.co.il/case/17924063" TargetMode="External"/><Relationship Id="rId12" Type="http://schemas.openxmlformats.org/officeDocument/2006/relationships/hyperlink" Target="http://www.nevo.co.il/case/6124509" TargetMode="External"/><Relationship Id="rId17" Type="http://schemas.openxmlformats.org/officeDocument/2006/relationships/hyperlink" Target="http://www.nevo.co.il/law/71888/13" TargetMode="External"/><Relationship Id="rId25" Type="http://schemas.openxmlformats.org/officeDocument/2006/relationships/hyperlink" Target="http://www.nevo.co.il/case/5769889" TargetMode="External"/><Relationship Id="rId33" Type="http://schemas.openxmlformats.org/officeDocument/2006/relationships/hyperlink" Target="http://www.nevo.co.il/law/71888/25.b"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nevo.co.il/law/74985" TargetMode="External"/><Relationship Id="rId20" Type="http://schemas.openxmlformats.org/officeDocument/2006/relationships/hyperlink" Target="http://www.nevo.co.il/case/29672409" TargetMode="External"/><Relationship Id="rId29" Type="http://schemas.openxmlformats.org/officeDocument/2006/relationships/hyperlink" Target="http://www.nevo.co.il/case/2752969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case/5760977" TargetMode="External"/><Relationship Id="rId24" Type="http://schemas.openxmlformats.org/officeDocument/2006/relationships/hyperlink" Target="http://www.nevo.co.il/case/5767813" TargetMode="External"/><Relationship Id="rId32" Type="http://schemas.openxmlformats.org/officeDocument/2006/relationships/hyperlink" Target="http://www.nevo.co.il/case/23750989"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nevo.co.il/law/74985/81" TargetMode="External"/><Relationship Id="rId23" Type="http://schemas.openxmlformats.org/officeDocument/2006/relationships/hyperlink" Target="http://www.nevo.co.il/case/17936460" TargetMode="External"/><Relationship Id="rId28" Type="http://schemas.openxmlformats.org/officeDocument/2006/relationships/hyperlink" Target="http://www.nevo.co.il/case/18742536" TargetMode="External"/><Relationship Id="rId36" Type="http://schemas.openxmlformats.org/officeDocument/2006/relationships/hyperlink" Target="http://www.nevo.co.il/law/72962" TargetMode="External"/><Relationship Id="rId10" Type="http://schemas.openxmlformats.org/officeDocument/2006/relationships/hyperlink" Target="http://www.nevo.co.il/case/5853872" TargetMode="External"/><Relationship Id="rId19" Type="http://schemas.openxmlformats.org/officeDocument/2006/relationships/hyperlink" Target="http://www.nevo.co.il/safrut/bookgroup/1949" TargetMode="External"/><Relationship Id="rId31" Type="http://schemas.openxmlformats.org/officeDocument/2006/relationships/hyperlink" Target="http://www.nevo.co.il/law/74849" TargetMode="External"/><Relationship Id="rId4" Type="http://schemas.openxmlformats.org/officeDocument/2006/relationships/webSettings" Target="webSettings.xml"/><Relationship Id="rId9" Type="http://schemas.openxmlformats.org/officeDocument/2006/relationships/hyperlink" Target="http://www.nevo.co.il/case/6239002" TargetMode="External"/><Relationship Id="rId14" Type="http://schemas.openxmlformats.org/officeDocument/2006/relationships/hyperlink" Target="http://www.nevo.co.il/case/6113719" TargetMode="External"/><Relationship Id="rId22" Type="http://schemas.openxmlformats.org/officeDocument/2006/relationships/hyperlink" Target="http://www.nevo.co.il/case/29250647" TargetMode="External"/><Relationship Id="rId27" Type="http://schemas.openxmlformats.org/officeDocument/2006/relationships/hyperlink" Target="http://www.nevo.co.il/case/6081364" TargetMode="External"/><Relationship Id="rId30" Type="http://schemas.openxmlformats.org/officeDocument/2006/relationships/hyperlink" Target="http://www.nevo.co.il/law/74849/79a" TargetMode="External"/><Relationship Id="rId35" Type="http://schemas.openxmlformats.org/officeDocument/2006/relationships/hyperlink" Target="http://www.nevo.co.il/law/72962/15.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4104</Words>
  <Characters>20522</Characters>
  <Application>Microsoft Office Word</Application>
  <DocSecurity>0</DocSecurity>
  <Lines>171</Lines>
  <Paragraphs>49</Paragraphs>
  <ScaleCrop>false</ScaleCrop>
  <Company/>
  <LinksUpToDate>false</LinksUpToDate>
  <CharactersWithSpaces>24577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2025-05-15T02:42:00Z</dcterms:created>
  <dcterms:modified xsi:type="dcterms:W3CDTF">2025-05-15T02:42:00Z</dcterms:modified>
</cp:coreProperties>
</file>