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8307"/>
      </w:tblGrid>
      <w:tr w:rsidR="004766F4" w14:paraId="0F16086F" w14:textId="77777777" w:rsidTr="00616AE2">
        <w:trPr>
          <w:trHeight w:hRule="exact" w:val="624"/>
          <w:jc w:val="center"/>
        </w:trPr>
        <w:tc>
          <w:tcPr>
            <w:tcW w:w="8307" w:type="dxa"/>
          </w:tcPr>
          <w:p w14:paraId="51CF0C41" w14:textId="77777777" w:rsidR="00270C62" w:rsidRPr="00482AA5" w:rsidRDefault="00000000" w:rsidP="006132F7">
            <w:pPr>
              <w:pStyle w:val="a3"/>
              <w:jc w:val="center"/>
              <w:rPr>
                <w:rFonts w:ascii="Tahoma" w:hAnsi="Tahoma"/>
                <w:b/>
                <w:bCs/>
                <w:sz w:val="28"/>
                <w:szCs w:val="28"/>
                <w:rtl/>
              </w:rPr>
            </w:pPr>
            <w:bookmarkStart w:id="0" w:name="LastJudge"/>
            <w:r w:rsidRPr="00482AA5">
              <w:rPr>
                <w:rFonts w:ascii="Tahoma" w:hAnsi="Tahoma" w:hint="cs"/>
                <w:b/>
                <w:bCs/>
                <w:sz w:val="28"/>
                <w:szCs w:val="28"/>
                <w:rtl/>
              </w:rPr>
              <w:t>בבית המשפט העליון בשבתו כבית משפט לערעורים אזרחיים</w:t>
            </w:r>
          </w:p>
        </w:tc>
      </w:tr>
    </w:tbl>
    <w:p w14:paraId="5B4E569A" w14:textId="77777777" w:rsidR="00C9217F" w:rsidRPr="00482AA5" w:rsidRDefault="00270C62" w:rsidP="00270C62">
      <w:pPr>
        <w:pStyle w:val="a3"/>
        <w:jc w:val="right"/>
        <w:rPr>
          <w:rFonts w:ascii="David" w:hAnsi="David"/>
          <w:b/>
          <w:bCs/>
          <w:sz w:val="28"/>
          <w:szCs w:val="28"/>
          <w:rtl/>
        </w:rPr>
      </w:pPr>
      <w:r w:rsidRPr="00482AA5">
        <w:rPr>
          <w:rtl/>
        </w:rPr>
        <w:t xml:space="preserve"> </w:t>
      </w:r>
      <w:r w:rsidRPr="00482AA5">
        <w:rPr>
          <w:rFonts w:ascii="David" w:hAnsi="David"/>
          <w:b/>
          <w:bCs/>
          <w:sz w:val="28"/>
          <w:szCs w:val="28"/>
          <w:rtl/>
        </w:rPr>
        <w:t>בע"מ</w:t>
      </w:r>
      <w:r w:rsidR="00000000" w:rsidRPr="00482AA5">
        <w:rPr>
          <w:rFonts w:ascii="David" w:hAnsi="David"/>
          <w:b/>
          <w:bCs/>
          <w:sz w:val="28"/>
          <w:szCs w:val="28"/>
          <w:rtl/>
        </w:rPr>
        <w:t xml:space="preserve"> </w:t>
      </w:r>
      <w:r w:rsidRPr="00482AA5">
        <w:rPr>
          <w:rFonts w:ascii="David" w:hAnsi="David"/>
          <w:b/>
          <w:bCs/>
          <w:sz w:val="28"/>
          <w:szCs w:val="28"/>
        </w:rPr>
        <w:t>420/24</w:t>
      </w:r>
    </w:p>
    <w:p w14:paraId="675D2856" w14:textId="77777777" w:rsidR="0094424E" w:rsidRPr="00482AA5" w:rsidRDefault="0094424E" w:rsidP="00D44968">
      <w:pPr>
        <w:suppressLineNumbers/>
        <w:rPr>
          <w:rtl/>
        </w:rPr>
      </w:pPr>
    </w:p>
    <w:tbl>
      <w:tblPr>
        <w:bidiVisual/>
        <w:tblW w:w="8348" w:type="dxa"/>
        <w:jc w:val="center"/>
        <w:tblLook w:val="01E0" w:firstRow="1" w:lastRow="1" w:firstColumn="1" w:lastColumn="1" w:noHBand="0" w:noVBand="0"/>
      </w:tblPr>
      <w:tblGrid>
        <w:gridCol w:w="3096"/>
        <w:gridCol w:w="5252"/>
      </w:tblGrid>
      <w:tr w:rsidR="004766F4" w14:paraId="0E9F4BB9" w14:textId="77777777" w:rsidTr="00482AA5">
        <w:trPr>
          <w:trHeight w:val="295"/>
          <w:jc w:val="center"/>
        </w:trPr>
        <w:tc>
          <w:tcPr>
            <w:tcW w:w="8348" w:type="dxa"/>
            <w:gridSpan w:val="2"/>
            <w:shd w:val="clear" w:color="auto" w:fill="auto"/>
          </w:tcPr>
          <w:p w14:paraId="7BE155A3" w14:textId="77777777" w:rsidR="00105E0F" w:rsidRPr="00482AA5" w:rsidRDefault="00105E0F" w:rsidP="00482AA5">
            <w:pPr>
              <w:suppressLineNumbers/>
              <w:rPr>
                <w:rFonts w:ascii="Arial" w:hAnsi="Arial"/>
                <w:noProof w:val="0"/>
                <w:sz w:val="28"/>
                <w:szCs w:val="28"/>
                <w:rtl/>
              </w:rPr>
            </w:pPr>
          </w:p>
        </w:tc>
      </w:tr>
      <w:tr w:rsidR="004766F4" w14:paraId="487E67F9" w14:textId="77777777" w:rsidTr="00482AA5">
        <w:trPr>
          <w:jc w:val="center"/>
        </w:trPr>
        <w:tc>
          <w:tcPr>
            <w:tcW w:w="3096" w:type="dxa"/>
            <w:shd w:val="clear" w:color="auto" w:fill="auto"/>
          </w:tcPr>
          <w:p w14:paraId="1028B547" w14:textId="77777777" w:rsidR="0094424E" w:rsidRPr="00482AA5" w:rsidRDefault="00105E0F" w:rsidP="00482AA5">
            <w:pPr>
              <w:suppressLineNumbers/>
              <w:ind w:right="-295"/>
              <w:jc w:val="both"/>
              <w:rPr>
                <w:rFonts w:ascii="David" w:hAnsi="David"/>
                <w:sz w:val="28"/>
                <w:szCs w:val="28"/>
                <w:rtl/>
              </w:rPr>
            </w:pPr>
            <w:r w:rsidRPr="00482AA5">
              <w:rPr>
                <w:rFonts w:ascii="David" w:hAnsi="David"/>
                <w:sz w:val="28"/>
                <w:szCs w:val="28"/>
                <w:rtl/>
              </w:rPr>
              <w:t>ל</w:t>
            </w:r>
            <w:r w:rsidR="00000000" w:rsidRPr="00482AA5">
              <w:rPr>
                <w:rFonts w:ascii="David" w:hAnsi="David"/>
                <w:sz w:val="28"/>
                <w:szCs w:val="28"/>
                <w:rtl/>
              </w:rPr>
              <w:t>פני</w:t>
            </w:r>
            <w:r w:rsidRPr="00482AA5">
              <w:rPr>
                <w:rFonts w:ascii="David" w:hAnsi="David"/>
                <w:sz w:val="28"/>
                <w:szCs w:val="28"/>
                <w:rtl/>
              </w:rPr>
              <w:t>:</w:t>
            </w:r>
          </w:p>
        </w:tc>
        <w:tc>
          <w:tcPr>
            <w:tcW w:w="5252" w:type="dxa"/>
            <w:shd w:val="clear" w:color="auto" w:fill="auto"/>
          </w:tcPr>
          <w:p w14:paraId="04BF19B2" w14:textId="77777777" w:rsidR="00007DE0" w:rsidRPr="00482AA5" w:rsidRDefault="000529D2" w:rsidP="00482AA5">
            <w:pPr>
              <w:suppressLineNumbers/>
              <w:rPr>
                <w:rFonts w:ascii="David" w:hAnsi="David"/>
                <w:sz w:val="28"/>
                <w:szCs w:val="28"/>
                <w:rtl/>
              </w:rPr>
            </w:pPr>
            <w:bookmarkStart w:id="1" w:name="_Hlk179427587"/>
            <w:r w:rsidRPr="00482AA5">
              <w:rPr>
                <w:rFonts w:ascii="David" w:hAnsi="David"/>
                <w:sz w:val="28"/>
                <w:szCs w:val="28"/>
                <w:rtl/>
              </w:rPr>
              <w:t>כבוד</w:t>
            </w:r>
            <w:r w:rsidR="0094424E" w:rsidRPr="00482AA5">
              <w:rPr>
                <w:rFonts w:ascii="David" w:hAnsi="David"/>
                <w:sz w:val="28"/>
                <w:szCs w:val="28"/>
                <w:rtl/>
              </w:rPr>
              <w:t xml:space="preserve"> ה</w:t>
            </w:r>
            <w:r w:rsidRPr="00482AA5">
              <w:rPr>
                <w:rFonts w:ascii="David" w:hAnsi="David"/>
                <w:sz w:val="28"/>
                <w:szCs w:val="28"/>
                <w:rtl/>
              </w:rPr>
              <w:t>שופטת</w:t>
            </w:r>
            <w:r w:rsidR="0094424E" w:rsidRPr="00482AA5">
              <w:rPr>
                <w:rFonts w:ascii="David" w:hAnsi="David"/>
                <w:sz w:val="28"/>
                <w:szCs w:val="28"/>
                <w:rtl/>
              </w:rPr>
              <w:t xml:space="preserve"> </w:t>
            </w:r>
            <w:r w:rsidRPr="00482AA5">
              <w:rPr>
                <w:rFonts w:ascii="David" w:hAnsi="David"/>
                <w:sz w:val="28"/>
                <w:szCs w:val="28"/>
                <w:rtl/>
              </w:rPr>
              <w:t>יעל וילנר</w:t>
            </w:r>
            <w:r w:rsidR="00F04920" w:rsidRPr="00482AA5">
              <w:rPr>
                <w:rFonts w:ascii="David" w:hAnsi="David"/>
                <w:sz w:val="28"/>
                <w:szCs w:val="28"/>
                <w:rtl/>
              </w:rPr>
              <w:br/>
            </w:r>
            <w:r w:rsidR="00F04920" w:rsidRPr="00482AA5">
              <w:rPr>
                <w:rFonts w:ascii="David" w:hAnsi="David" w:hint="cs"/>
                <w:sz w:val="28"/>
                <w:szCs w:val="28"/>
                <w:rtl/>
              </w:rPr>
              <w:t>כבוד השופט א' שטיין</w:t>
            </w:r>
            <w:r w:rsidR="00F04920" w:rsidRPr="00482AA5">
              <w:rPr>
                <w:rFonts w:ascii="David" w:hAnsi="David"/>
                <w:sz w:val="28"/>
                <w:szCs w:val="28"/>
                <w:rtl/>
              </w:rPr>
              <w:br/>
            </w:r>
            <w:r w:rsidR="00F04920" w:rsidRPr="00482AA5">
              <w:rPr>
                <w:rFonts w:ascii="David" w:hAnsi="David" w:hint="cs"/>
                <w:sz w:val="28"/>
                <w:szCs w:val="28"/>
                <w:rtl/>
              </w:rPr>
              <w:t>כבוד השופט ח' כבוב</w:t>
            </w:r>
          </w:p>
          <w:bookmarkEnd w:id="1"/>
          <w:p w14:paraId="32497E48" w14:textId="77777777" w:rsidR="00CA4C49" w:rsidRPr="00482AA5" w:rsidRDefault="00CA4C49" w:rsidP="00482AA5">
            <w:pPr>
              <w:suppressLineNumbers/>
              <w:rPr>
                <w:rFonts w:ascii="David" w:hAnsi="David"/>
                <w:sz w:val="28"/>
                <w:szCs w:val="28"/>
              </w:rPr>
            </w:pPr>
          </w:p>
        </w:tc>
      </w:tr>
      <w:tr w:rsidR="004766F4" w14:paraId="7B95101A" w14:textId="77777777" w:rsidTr="00482AA5">
        <w:trPr>
          <w:jc w:val="center"/>
        </w:trPr>
        <w:tc>
          <w:tcPr>
            <w:tcW w:w="3096" w:type="dxa"/>
            <w:shd w:val="clear" w:color="auto" w:fill="auto"/>
          </w:tcPr>
          <w:p w14:paraId="346790CD" w14:textId="77777777" w:rsidR="0094424E" w:rsidRPr="00482AA5" w:rsidRDefault="00C9217F" w:rsidP="00482AA5">
            <w:pPr>
              <w:suppressLineNumbers/>
              <w:rPr>
                <w:rFonts w:ascii="David" w:hAnsi="David"/>
                <w:noProof w:val="0"/>
                <w:sz w:val="28"/>
                <w:szCs w:val="28"/>
                <w:rtl/>
              </w:rPr>
            </w:pPr>
            <w:bookmarkStart w:id="2" w:name="FirstAppellant"/>
            <w:r w:rsidRPr="00482AA5">
              <w:rPr>
                <w:rFonts w:ascii="David" w:hAnsi="David" w:hint="cs"/>
                <w:sz w:val="28"/>
                <w:szCs w:val="28"/>
                <w:rtl/>
              </w:rPr>
              <w:t>ה</w:t>
            </w:r>
            <w:r w:rsidRPr="00482AA5">
              <w:rPr>
                <w:rFonts w:ascii="David" w:hAnsi="David"/>
                <w:noProof w:val="0"/>
                <w:sz w:val="28"/>
                <w:szCs w:val="28"/>
                <w:rtl/>
              </w:rPr>
              <w:t>מבקש</w:t>
            </w:r>
            <w:r w:rsidR="00F04920" w:rsidRPr="00482AA5">
              <w:rPr>
                <w:rFonts w:ascii="David" w:hAnsi="David" w:hint="cs"/>
                <w:sz w:val="28"/>
                <w:szCs w:val="28"/>
                <w:rtl/>
              </w:rPr>
              <w:t>ת</w:t>
            </w:r>
            <w:r w:rsidRPr="00482AA5">
              <w:rPr>
                <w:rFonts w:ascii="David" w:hAnsi="David" w:hint="cs"/>
                <w:noProof w:val="0"/>
                <w:sz w:val="28"/>
                <w:szCs w:val="28"/>
                <w:rtl/>
              </w:rPr>
              <w:t>:</w:t>
            </w:r>
          </w:p>
        </w:tc>
        <w:tc>
          <w:tcPr>
            <w:tcW w:w="5252" w:type="dxa"/>
            <w:shd w:val="clear" w:color="auto" w:fill="auto"/>
          </w:tcPr>
          <w:p w14:paraId="042ADE0B" w14:textId="77777777" w:rsidR="0094424E" w:rsidRPr="00482AA5" w:rsidRDefault="00193B4B" w:rsidP="00482AA5">
            <w:pPr>
              <w:suppressLineNumbers/>
              <w:rPr>
                <w:rFonts w:ascii="David" w:hAnsi="David"/>
                <w:noProof w:val="0"/>
                <w:sz w:val="28"/>
                <w:szCs w:val="28"/>
              </w:rPr>
            </w:pPr>
            <w:r w:rsidRPr="00482AA5">
              <w:rPr>
                <w:rFonts w:ascii="David" w:hAnsi="David"/>
                <w:noProof w:val="0"/>
                <w:sz w:val="28"/>
                <w:szCs w:val="28"/>
                <w:rtl/>
              </w:rPr>
              <w:t>פלוני</w:t>
            </w:r>
            <w:r w:rsidR="00960758" w:rsidRPr="00482AA5">
              <w:rPr>
                <w:rFonts w:ascii="David" w:hAnsi="David" w:hint="cs"/>
                <w:noProof w:val="0"/>
                <w:sz w:val="28"/>
                <w:szCs w:val="28"/>
                <w:rtl/>
              </w:rPr>
              <w:t>ת</w:t>
            </w:r>
          </w:p>
        </w:tc>
      </w:tr>
      <w:bookmarkEnd w:id="2"/>
      <w:tr w:rsidR="004766F4" w14:paraId="3ADD538D" w14:textId="77777777" w:rsidTr="00482AA5">
        <w:trPr>
          <w:jc w:val="center"/>
        </w:trPr>
        <w:tc>
          <w:tcPr>
            <w:tcW w:w="8348" w:type="dxa"/>
            <w:gridSpan w:val="2"/>
            <w:shd w:val="clear" w:color="auto" w:fill="auto"/>
          </w:tcPr>
          <w:p w14:paraId="2097B9EC" w14:textId="77777777" w:rsidR="0094424E" w:rsidRPr="00482AA5" w:rsidRDefault="0094424E" w:rsidP="00482AA5">
            <w:pPr>
              <w:suppressLineNumbers/>
              <w:rPr>
                <w:rFonts w:ascii="David" w:hAnsi="David"/>
                <w:noProof w:val="0"/>
                <w:sz w:val="28"/>
                <w:szCs w:val="28"/>
                <w:rtl/>
              </w:rPr>
            </w:pPr>
          </w:p>
          <w:p w14:paraId="77C44B9A" w14:textId="77777777" w:rsidR="0094424E" w:rsidRPr="00482AA5" w:rsidRDefault="00616AE2" w:rsidP="00482AA5">
            <w:pPr>
              <w:suppressLineNumbers/>
              <w:ind w:left="2880"/>
              <w:rPr>
                <w:rFonts w:ascii="David" w:hAnsi="David"/>
                <w:noProof w:val="0"/>
                <w:spacing w:val="40"/>
                <w:sz w:val="28"/>
                <w:szCs w:val="28"/>
                <w:rtl/>
              </w:rPr>
            </w:pPr>
            <w:r w:rsidRPr="00482AA5">
              <w:rPr>
                <w:rFonts w:ascii="David" w:hAnsi="David" w:hint="cs"/>
                <w:noProof w:val="0"/>
                <w:spacing w:val="40"/>
                <w:sz w:val="28"/>
                <w:szCs w:val="28"/>
                <w:rtl/>
              </w:rPr>
              <w:t xml:space="preserve">  </w:t>
            </w:r>
            <w:r w:rsidR="00000000" w:rsidRPr="00482AA5">
              <w:rPr>
                <w:rFonts w:ascii="David" w:hAnsi="David"/>
                <w:noProof w:val="0"/>
                <w:spacing w:val="40"/>
                <w:sz w:val="28"/>
                <w:szCs w:val="28"/>
                <w:rtl/>
              </w:rPr>
              <w:t>נגד</w:t>
            </w:r>
          </w:p>
          <w:p w14:paraId="40954DFA" w14:textId="77777777" w:rsidR="0094424E" w:rsidRPr="00482AA5" w:rsidRDefault="0094424E" w:rsidP="00482AA5">
            <w:pPr>
              <w:suppressLineNumbers/>
              <w:rPr>
                <w:rFonts w:ascii="David" w:hAnsi="David"/>
                <w:noProof w:val="0"/>
                <w:sz w:val="28"/>
                <w:szCs w:val="28"/>
              </w:rPr>
            </w:pPr>
          </w:p>
        </w:tc>
      </w:tr>
      <w:tr w:rsidR="004766F4" w14:paraId="33B00EAB" w14:textId="77777777" w:rsidTr="00482AA5">
        <w:trPr>
          <w:jc w:val="center"/>
        </w:trPr>
        <w:tc>
          <w:tcPr>
            <w:tcW w:w="3096" w:type="dxa"/>
            <w:shd w:val="clear" w:color="auto" w:fill="auto"/>
          </w:tcPr>
          <w:p w14:paraId="57DB18FF" w14:textId="77777777" w:rsidR="0094424E" w:rsidRPr="00482AA5" w:rsidRDefault="00C9217F" w:rsidP="00482AA5">
            <w:pPr>
              <w:suppressLineNumbers/>
              <w:rPr>
                <w:rFonts w:ascii="David" w:hAnsi="David"/>
                <w:noProof w:val="0"/>
                <w:sz w:val="28"/>
                <w:szCs w:val="28"/>
              </w:rPr>
            </w:pPr>
            <w:r w:rsidRPr="00482AA5">
              <w:rPr>
                <w:rFonts w:ascii="David" w:hAnsi="David" w:hint="cs"/>
                <w:sz w:val="28"/>
                <w:szCs w:val="28"/>
                <w:rtl/>
              </w:rPr>
              <w:t>ה</w:t>
            </w:r>
            <w:r w:rsidRPr="00482AA5">
              <w:rPr>
                <w:rFonts w:ascii="David" w:hAnsi="David"/>
                <w:noProof w:val="0"/>
                <w:sz w:val="28"/>
                <w:szCs w:val="28"/>
                <w:rtl/>
              </w:rPr>
              <w:t>משיב</w:t>
            </w:r>
            <w:r w:rsidR="00F04920" w:rsidRPr="00482AA5">
              <w:rPr>
                <w:rFonts w:ascii="David" w:hAnsi="David" w:hint="cs"/>
                <w:sz w:val="28"/>
                <w:szCs w:val="28"/>
                <w:rtl/>
              </w:rPr>
              <w:t>ה</w:t>
            </w:r>
            <w:r w:rsidRPr="00482AA5">
              <w:rPr>
                <w:rFonts w:ascii="David" w:hAnsi="David" w:hint="cs"/>
                <w:noProof w:val="0"/>
                <w:sz w:val="28"/>
                <w:szCs w:val="28"/>
                <w:rtl/>
              </w:rPr>
              <w:t>:</w:t>
            </w:r>
          </w:p>
        </w:tc>
        <w:tc>
          <w:tcPr>
            <w:tcW w:w="5252" w:type="dxa"/>
            <w:shd w:val="clear" w:color="auto" w:fill="auto"/>
          </w:tcPr>
          <w:p w14:paraId="0B5AC123" w14:textId="77777777" w:rsidR="00CF6BB7" w:rsidRPr="00482AA5" w:rsidRDefault="00193B4B" w:rsidP="00482AA5">
            <w:pPr>
              <w:suppressLineNumbers/>
              <w:rPr>
                <w:rFonts w:ascii="David" w:hAnsi="David"/>
                <w:noProof w:val="0"/>
                <w:sz w:val="28"/>
                <w:szCs w:val="28"/>
                <w:rtl/>
              </w:rPr>
            </w:pPr>
            <w:r w:rsidRPr="00482AA5">
              <w:rPr>
                <w:rFonts w:ascii="David" w:hAnsi="David"/>
                <w:noProof w:val="0"/>
                <w:sz w:val="28"/>
                <w:szCs w:val="28"/>
                <w:rtl/>
              </w:rPr>
              <w:t>פרקליטות המדינה - המחלקה האזרחית</w:t>
            </w:r>
          </w:p>
        </w:tc>
      </w:tr>
      <w:tr w:rsidR="004766F4" w14:paraId="4C042D06" w14:textId="77777777" w:rsidTr="00482AA5">
        <w:trPr>
          <w:jc w:val="center"/>
        </w:trPr>
        <w:tc>
          <w:tcPr>
            <w:tcW w:w="3096" w:type="dxa"/>
            <w:shd w:val="clear" w:color="auto" w:fill="auto"/>
          </w:tcPr>
          <w:p w14:paraId="042F7D62" w14:textId="77777777" w:rsidR="00C9217F" w:rsidRPr="00482AA5" w:rsidRDefault="00C9217F" w:rsidP="00482AA5">
            <w:pPr>
              <w:suppressLineNumbers/>
              <w:rPr>
                <w:rFonts w:ascii="David" w:hAnsi="David"/>
                <w:noProof w:val="0"/>
                <w:sz w:val="28"/>
                <w:szCs w:val="28"/>
                <w:rtl/>
              </w:rPr>
            </w:pPr>
          </w:p>
        </w:tc>
        <w:tc>
          <w:tcPr>
            <w:tcW w:w="5252" w:type="dxa"/>
            <w:shd w:val="clear" w:color="auto" w:fill="auto"/>
          </w:tcPr>
          <w:p w14:paraId="2CE9C21D" w14:textId="77777777" w:rsidR="00F04920" w:rsidRPr="00482AA5" w:rsidRDefault="00F04920" w:rsidP="00482AA5">
            <w:pPr>
              <w:suppressLineNumbers/>
              <w:rPr>
                <w:rFonts w:ascii="David" w:hAnsi="David"/>
                <w:noProof w:val="0"/>
                <w:rtl/>
              </w:rPr>
            </w:pPr>
          </w:p>
          <w:p w14:paraId="1EC89E24" w14:textId="77777777" w:rsidR="00616AE2" w:rsidRPr="00482AA5" w:rsidRDefault="00F04920" w:rsidP="00482AA5">
            <w:pPr>
              <w:suppressLineNumbers/>
              <w:jc w:val="both"/>
              <w:rPr>
                <w:rFonts w:ascii="David" w:hAnsi="David"/>
                <w:noProof w:val="0"/>
                <w:rtl/>
              </w:rPr>
            </w:pPr>
            <w:r w:rsidRPr="00482AA5">
              <w:rPr>
                <w:rFonts w:ascii="David" w:hAnsi="David" w:hint="cs"/>
                <w:noProof w:val="0"/>
                <w:rtl/>
              </w:rPr>
              <w:t>בקשת רשות ערעור על פסק דינו של בית המשפט המחוזי בתל-אביב יפו (הרכב השופטים: ו' פלאוט, צ' ויצמן, י' מושקוביץ) ב</w:t>
            </w:r>
            <w:hyperlink r:id="rId7" w:history="1">
              <w:r w:rsidR="00743F8C" w:rsidRPr="00743F8C">
                <w:rPr>
                  <w:rStyle w:val="Hyperlink"/>
                  <w:rFonts w:ascii="David" w:hAnsi="David" w:hint="eastAsia"/>
                  <w:rtl/>
                </w:rPr>
                <w:t>עמ</w:t>
              </w:r>
              <w:r w:rsidR="00743F8C" w:rsidRPr="00743F8C">
                <w:rPr>
                  <w:rStyle w:val="Hyperlink"/>
                  <w:rFonts w:ascii="David" w:hAnsi="David"/>
                  <w:rtl/>
                </w:rPr>
                <w:t>"צ 14698-09-22</w:t>
              </w:r>
            </w:hyperlink>
            <w:r w:rsidRPr="00482AA5">
              <w:rPr>
                <w:rFonts w:ascii="David" w:hAnsi="David" w:hint="cs"/>
                <w:noProof w:val="0"/>
                <w:rtl/>
              </w:rPr>
              <w:t xml:space="preserve"> </w:t>
            </w:r>
            <w:r w:rsidR="00743F8C">
              <w:rPr>
                <w:rFonts w:ascii="David" w:hAnsi="David" w:hint="cs"/>
                <w:noProof w:val="0"/>
                <w:rtl/>
              </w:rPr>
              <w:t xml:space="preserve">[נבו] </w:t>
            </w:r>
            <w:r w:rsidRPr="00482AA5">
              <w:rPr>
                <w:rFonts w:ascii="David" w:hAnsi="David" w:hint="cs"/>
                <w:noProof w:val="0"/>
                <w:rtl/>
              </w:rPr>
              <w:t>מיום 2.10.2023</w:t>
            </w:r>
          </w:p>
          <w:p w14:paraId="1167891F" w14:textId="77777777" w:rsidR="00C9217F" w:rsidRPr="00482AA5" w:rsidRDefault="00C9217F" w:rsidP="00482AA5">
            <w:pPr>
              <w:suppressLineNumbers/>
              <w:rPr>
                <w:rFonts w:ascii="David" w:hAnsi="David"/>
                <w:noProof w:val="0"/>
                <w:sz w:val="28"/>
                <w:szCs w:val="28"/>
                <w:rtl/>
              </w:rPr>
            </w:pPr>
          </w:p>
        </w:tc>
      </w:tr>
      <w:tr w:rsidR="004766F4" w14:paraId="6DF34045" w14:textId="77777777" w:rsidTr="00482AA5">
        <w:trPr>
          <w:jc w:val="center"/>
        </w:trPr>
        <w:tc>
          <w:tcPr>
            <w:tcW w:w="3096" w:type="dxa"/>
            <w:shd w:val="clear" w:color="auto" w:fill="auto"/>
          </w:tcPr>
          <w:p w14:paraId="574012F3" w14:textId="77777777" w:rsidR="00193B4B" w:rsidRPr="00482AA5" w:rsidRDefault="00000000" w:rsidP="00482AA5">
            <w:pPr>
              <w:suppressLineNumbers/>
              <w:rPr>
                <w:rFonts w:ascii="David" w:hAnsi="David"/>
                <w:noProof w:val="0"/>
                <w:sz w:val="28"/>
                <w:szCs w:val="28"/>
                <w:rtl/>
              </w:rPr>
            </w:pPr>
            <w:r w:rsidRPr="00482AA5">
              <w:rPr>
                <w:rFonts w:ascii="David" w:hAnsi="David" w:hint="cs"/>
                <w:noProof w:val="0"/>
                <w:rtl/>
              </w:rPr>
              <w:t>תאריך</w:t>
            </w:r>
            <w:r w:rsidRPr="00482AA5">
              <w:rPr>
                <w:rFonts w:ascii="David" w:hAnsi="David" w:hint="cs"/>
                <w:noProof w:val="0"/>
                <w:sz w:val="28"/>
                <w:szCs w:val="28"/>
                <w:rtl/>
              </w:rPr>
              <w:t xml:space="preserve"> </w:t>
            </w:r>
            <w:r w:rsidRPr="00482AA5">
              <w:rPr>
                <w:rFonts w:ascii="David" w:hAnsi="David" w:hint="cs"/>
                <w:noProof w:val="0"/>
                <w:rtl/>
              </w:rPr>
              <w:t>ישיבה</w:t>
            </w:r>
            <w:r w:rsidRPr="00482AA5">
              <w:rPr>
                <w:rFonts w:ascii="David" w:hAnsi="David" w:hint="cs"/>
                <w:noProof w:val="0"/>
                <w:sz w:val="28"/>
                <w:szCs w:val="28"/>
                <w:rtl/>
              </w:rPr>
              <w:t xml:space="preserve">: </w:t>
            </w:r>
          </w:p>
        </w:tc>
        <w:tc>
          <w:tcPr>
            <w:tcW w:w="5252" w:type="dxa"/>
            <w:shd w:val="clear" w:color="auto" w:fill="auto"/>
          </w:tcPr>
          <w:p w14:paraId="5023D0F7" w14:textId="77777777" w:rsidR="00193B4B" w:rsidRPr="00482AA5" w:rsidRDefault="00F04920" w:rsidP="00482AA5">
            <w:pPr>
              <w:suppressLineNumbers/>
              <w:rPr>
                <w:rFonts w:ascii="David" w:hAnsi="David"/>
                <w:noProof w:val="0"/>
                <w:rtl/>
              </w:rPr>
            </w:pPr>
            <w:r w:rsidRPr="00482AA5">
              <w:rPr>
                <w:rFonts w:ascii="David" w:hAnsi="David" w:hint="cs"/>
                <w:noProof w:val="0"/>
                <w:rtl/>
              </w:rPr>
              <w:t>ד' בסיון התשפ"ד (10.06.2024)</w:t>
            </w:r>
          </w:p>
          <w:p w14:paraId="091461A9" w14:textId="77777777" w:rsidR="00FF331B" w:rsidRPr="00482AA5" w:rsidRDefault="00FF331B" w:rsidP="00482AA5">
            <w:pPr>
              <w:suppressLineNumbers/>
              <w:rPr>
                <w:rFonts w:ascii="David" w:hAnsi="David"/>
                <w:noProof w:val="0"/>
                <w:rtl/>
              </w:rPr>
            </w:pPr>
          </w:p>
        </w:tc>
      </w:tr>
      <w:tr w:rsidR="004766F4" w14:paraId="3601E2D4" w14:textId="77777777" w:rsidTr="00482AA5">
        <w:trPr>
          <w:jc w:val="center"/>
        </w:trPr>
        <w:tc>
          <w:tcPr>
            <w:tcW w:w="3096" w:type="dxa"/>
            <w:shd w:val="clear" w:color="auto" w:fill="auto"/>
          </w:tcPr>
          <w:p w14:paraId="27F599E5" w14:textId="77777777" w:rsidR="00105E0F" w:rsidRPr="00482AA5" w:rsidRDefault="00C9217F" w:rsidP="00482AA5">
            <w:pPr>
              <w:suppressLineNumbers/>
              <w:rPr>
                <w:rFonts w:ascii="David" w:hAnsi="David"/>
                <w:sz w:val="28"/>
                <w:szCs w:val="28"/>
              </w:rPr>
            </w:pPr>
            <w:r w:rsidRPr="00482AA5">
              <w:rPr>
                <w:rFonts w:ascii="David" w:hAnsi="David" w:hint="cs"/>
                <w:sz w:val="28"/>
                <w:szCs w:val="28"/>
                <w:rtl/>
              </w:rPr>
              <w:t>בשם ה</w:t>
            </w:r>
            <w:r w:rsidRPr="00482AA5">
              <w:rPr>
                <w:rFonts w:ascii="David" w:hAnsi="David"/>
                <w:noProof w:val="0"/>
                <w:sz w:val="28"/>
                <w:szCs w:val="28"/>
                <w:rtl/>
              </w:rPr>
              <w:t>מבקש</w:t>
            </w:r>
            <w:r w:rsidR="00F04920" w:rsidRPr="00482AA5">
              <w:rPr>
                <w:rFonts w:ascii="David" w:hAnsi="David" w:hint="cs"/>
                <w:sz w:val="28"/>
                <w:szCs w:val="28"/>
                <w:rtl/>
              </w:rPr>
              <w:t>ת</w:t>
            </w:r>
            <w:r w:rsidRPr="00482AA5">
              <w:rPr>
                <w:rFonts w:ascii="David" w:hAnsi="David" w:hint="cs"/>
                <w:sz w:val="28"/>
                <w:szCs w:val="28"/>
                <w:rtl/>
              </w:rPr>
              <w:t>:</w:t>
            </w:r>
          </w:p>
          <w:p w14:paraId="141D9F5D" w14:textId="77777777" w:rsidR="00105E0F" w:rsidRPr="00482AA5" w:rsidRDefault="00105E0F" w:rsidP="00482AA5">
            <w:pPr>
              <w:suppressLineNumbers/>
              <w:rPr>
                <w:rFonts w:ascii="David" w:hAnsi="David"/>
                <w:sz w:val="28"/>
                <w:szCs w:val="28"/>
                <w:rtl/>
              </w:rPr>
            </w:pPr>
          </w:p>
        </w:tc>
        <w:tc>
          <w:tcPr>
            <w:tcW w:w="5252" w:type="dxa"/>
            <w:shd w:val="clear" w:color="auto" w:fill="auto"/>
          </w:tcPr>
          <w:p w14:paraId="4F777CF7" w14:textId="77777777" w:rsidR="00105E0F" w:rsidRPr="00482AA5" w:rsidRDefault="00616AE2" w:rsidP="00482AA5">
            <w:pPr>
              <w:suppressLineNumbers/>
              <w:rPr>
                <w:rFonts w:ascii="David" w:hAnsi="David"/>
                <w:sz w:val="28"/>
                <w:szCs w:val="28"/>
                <w:rtl/>
              </w:rPr>
            </w:pPr>
            <w:r w:rsidRPr="00482AA5">
              <w:rPr>
                <w:rFonts w:ascii="David" w:hAnsi="David" w:hint="cs"/>
                <w:sz w:val="28"/>
                <w:szCs w:val="28"/>
                <w:rtl/>
              </w:rPr>
              <w:t xml:space="preserve">עו"ד </w:t>
            </w:r>
            <w:r w:rsidRPr="00482AA5">
              <w:rPr>
                <w:rFonts w:ascii="David" w:hAnsi="David"/>
                <w:sz w:val="28"/>
                <w:szCs w:val="28"/>
                <w:rtl/>
              </w:rPr>
              <w:t>מאיה</w:t>
            </w:r>
            <w:r w:rsidR="00000000" w:rsidRPr="00482AA5">
              <w:rPr>
                <w:rFonts w:ascii="David" w:hAnsi="David"/>
                <w:sz w:val="28"/>
                <w:szCs w:val="28"/>
                <w:rtl/>
              </w:rPr>
              <w:t xml:space="preserve"> </w:t>
            </w:r>
            <w:r w:rsidRPr="00482AA5">
              <w:rPr>
                <w:rFonts w:ascii="David" w:hAnsi="David"/>
                <w:sz w:val="28"/>
                <w:szCs w:val="28"/>
                <w:rtl/>
              </w:rPr>
              <w:t>יוסף ויסמן</w:t>
            </w:r>
            <w:r w:rsidR="00F04920" w:rsidRPr="00482AA5">
              <w:rPr>
                <w:rFonts w:ascii="David" w:hAnsi="David" w:hint="cs"/>
                <w:sz w:val="28"/>
                <w:szCs w:val="28"/>
                <w:rtl/>
              </w:rPr>
              <w:t>; עו"ד נעם עמית</w:t>
            </w:r>
            <w:r w:rsidRPr="00482AA5">
              <w:rPr>
                <w:rFonts w:ascii="David" w:hAnsi="David" w:hint="cs"/>
                <w:sz w:val="28"/>
                <w:szCs w:val="28"/>
                <w:rtl/>
              </w:rPr>
              <w:t xml:space="preserve"> </w:t>
            </w:r>
          </w:p>
        </w:tc>
      </w:tr>
      <w:tr w:rsidR="004766F4" w14:paraId="1532A935" w14:textId="77777777" w:rsidTr="00482AA5">
        <w:trPr>
          <w:jc w:val="center"/>
        </w:trPr>
        <w:tc>
          <w:tcPr>
            <w:tcW w:w="3096" w:type="dxa"/>
            <w:shd w:val="clear" w:color="auto" w:fill="auto"/>
          </w:tcPr>
          <w:p w14:paraId="0167A35B" w14:textId="77777777" w:rsidR="00105E0F" w:rsidRPr="00482AA5" w:rsidRDefault="00C9217F" w:rsidP="00482AA5">
            <w:pPr>
              <w:suppressLineNumbers/>
              <w:rPr>
                <w:rFonts w:ascii="David" w:hAnsi="David"/>
                <w:sz w:val="28"/>
                <w:szCs w:val="28"/>
              </w:rPr>
            </w:pPr>
            <w:bookmarkStart w:id="3" w:name="FirstLawyer"/>
            <w:r w:rsidRPr="00482AA5">
              <w:rPr>
                <w:rFonts w:ascii="David" w:hAnsi="David" w:hint="cs"/>
                <w:sz w:val="28"/>
                <w:szCs w:val="28"/>
                <w:rtl/>
              </w:rPr>
              <w:t>בשם ה</w:t>
            </w:r>
            <w:r w:rsidRPr="00482AA5">
              <w:rPr>
                <w:rFonts w:ascii="David" w:hAnsi="David"/>
                <w:noProof w:val="0"/>
                <w:sz w:val="28"/>
                <w:szCs w:val="28"/>
                <w:rtl/>
              </w:rPr>
              <w:t>משיב</w:t>
            </w:r>
            <w:r w:rsidR="00F04920" w:rsidRPr="00482AA5">
              <w:rPr>
                <w:rFonts w:ascii="David" w:hAnsi="David" w:hint="cs"/>
                <w:noProof w:val="0"/>
                <w:sz w:val="28"/>
                <w:szCs w:val="28"/>
                <w:rtl/>
              </w:rPr>
              <w:t>ה</w:t>
            </w:r>
            <w:r w:rsidRPr="00482AA5">
              <w:rPr>
                <w:rFonts w:ascii="David" w:hAnsi="David" w:hint="cs"/>
                <w:sz w:val="28"/>
                <w:szCs w:val="28"/>
                <w:rtl/>
              </w:rPr>
              <w:t>:</w:t>
            </w:r>
          </w:p>
        </w:tc>
        <w:tc>
          <w:tcPr>
            <w:tcW w:w="5252" w:type="dxa"/>
            <w:shd w:val="clear" w:color="auto" w:fill="auto"/>
          </w:tcPr>
          <w:p w14:paraId="7FF28058" w14:textId="77777777" w:rsidR="00105E0F" w:rsidRPr="00482AA5" w:rsidRDefault="00616AE2" w:rsidP="00482AA5">
            <w:pPr>
              <w:suppressLineNumbers/>
              <w:rPr>
                <w:rFonts w:ascii="David" w:hAnsi="David"/>
                <w:sz w:val="28"/>
                <w:szCs w:val="28"/>
              </w:rPr>
            </w:pPr>
            <w:r w:rsidRPr="00482AA5">
              <w:rPr>
                <w:rFonts w:ascii="David" w:hAnsi="David" w:hint="cs"/>
                <w:sz w:val="28"/>
                <w:szCs w:val="28"/>
                <w:rtl/>
              </w:rPr>
              <w:t xml:space="preserve">עו"ד </w:t>
            </w:r>
            <w:r w:rsidR="00F04920" w:rsidRPr="00482AA5">
              <w:rPr>
                <w:rFonts w:ascii="David" w:hAnsi="David" w:hint="cs"/>
                <w:sz w:val="28"/>
                <w:szCs w:val="28"/>
                <w:rtl/>
              </w:rPr>
              <w:t>רות גורדין</w:t>
            </w:r>
          </w:p>
        </w:tc>
      </w:tr>
      <w:bookmarkEnd w:id="3"/>
    </w:tbl>
    <w:p w14:paraId="53921139" w14:textId="77777777" w:rsidR="0094424E" w:rsidRDefault="0094424E" w:rsidP="00D44968">
      <w:pPr>
        <w:suppressLineNumbers/>
        <w:rPr>
          <w:rFonts w:ascii="David" w:hAnsi="David"/>
          <w:rtl/>
        </w:rPr>
      </w:pPr>
    </w:p>
    <w:p w14:paraId="25AB8FAD" w14:textId="77777777" w:rsidR="006132F7" w:rsidRDefault="006132F7" w:rsidP="00D44968">
      <w:pPr>
        <w:suppressLineNumbers/>
        <w:rPr>
          <w:rFonts w:ascii="David" w:hAnsi="David"/>
          <w:rtl/>
        </w:rPr>
      </w:pPr>
    </w:p>
    <w:p w14:paraId="587A112E" w14:textId="77777777" w:rsidR="00185797" w:rsidRPr="002D5109" w:rsidRDefault="00185797" w:rsidP="002D5109">
      <w:pPr>
        <w:suppressLineNumbers/>
        <w:rPr>
          <w:rFonts w:ascii="David" w:hAnsi="David"/>
          <w:rtl/>
        </w:rPr>
      </w:pPr>
      <w:bookmarkStart w:id="4" w:name="LawTable_End"/>
      <w:bookmarkStart w:id="5" w:name="ABSTRACT_END"/>
      <w:bookmarkEnd w:id="4"/>
      <w:bookmarkEnd w:id="5"/>
    </w:p>
    <w:tbl>
      <w:tblPr>
        <w:bidiVisual/>
        <w:tblW w:w="8498" w:type="dxa"/>
        <w:jc w:val="center"/>
        <w:tblLook w:val="01E0" w:firstRow="1" w:lastRow="1" w:firstColumn="1" w:lastColumn="1" w:noHBand="0" w:noVBand="0"/>
      </w:tblPr>
      <w:tblGrid>
        <w:gridCol w:w="8498"/>
      </w:tblGrid>
      <w:tr w:rsidR="004766F4" w14:paraId="27AF31D3" w14:textId="77777777" w:rsidTr="00482AA5">
        <w:trPr>
          <w:jc w:val="center"/>
        </w:trPr>
        <w:tc>
          <w:tcPr>
            <w:tcW w:w="8498" w:type="dxa"/>
            <w:shd w:val="clear" w:color="auto" w:fill="auto"/>
          </w:tcPr>
          <w:p w14:paraId="5DF1FE21" w14:textId="77777777" w:rsidR="00D44968" w:rsidRPr="00482AA5" w:rsidRDefault="006132F7" w:rsidP="00482AA5">
            <w:pPr>
              <w:bidi w:val="0"/>
              <w:jc w:val="center"/>
              <w:rPr>
                <w:rFonts w:ascii="David" w:hAnsi="David"/>
                <w:b/>
                <w:bCs/>
                <w:noProof w:val="0"/>
                <w:u w:val="single"/>
              </w:rPr>
            </w:pPr>
            <w:bookmarkStart w:id="6" w:name="PsakDin"/>
            <w:r w:rsidRPr="006132F7">
              <w:rPr>
                <w:rFonts w:ascii="David" w:hAnsi="David" w:hint="cs"/>
                <w:b/>
                <w:bCs/>
                <w:noProof w:val="0"/>
                <w:spacing w:val="30"/>
                <w:sz w:val="28"/>
                <w:szCs w:val="28"/>
                <w:u w:val="single"/>
                <w:rtl/>
              </w:rPr>
              <w:t>פסק-דין</w:t>
            </w:r>
            <w:bookmarkEnd w:id="6"/>
          </w:p>
        </w:tc>
      </w:tr>
    </w:tbl>
    <w:p w14:paraId="07172C78" w14:textId="77777777" w:rsidR="00694556" w:rsidRPr="00FB7A67" w:rsidRDefault="00694556">
      <w:pPr>
        <w:spacing w:line="360" w:lineRule="auto"/>
        <w:jc w:val="both"/>
        <w:rPr>
          <w:rFonts w:ascii="FrankRuehl" w:hAnsi="FrankRuehl" w:cs="FrankRuehl"/>
          <w:noProof w:val="0"/>
          <w:spacing w:val="10"/>
          <w:sz w:val="28"/>
          <w:szCs w:val="28"/>
          <w:rtl/>
        </w:rPr>
      </w:pPr>
      <w:bookmarkStart w:id="7" w:name="NGCSBookmark"/>
      <w:bookmarkEnd w:id="0"/>
      <w:bookmarkEnd w:id="7"/>
    </w:p>
    <w:p w14:paraId="1F11AFA4" w14:textId="77777777" w:rsidR="00FF331B" w:rsidRDefault="00000000" w:rsidP="00FF331B">
      <w:pPr>
        <w:pStyle w:val="Ruller41"/>
        <w:rPr>
          <w:rFonts w:ascii="Century" w:hAnsi="Century" w:cs="Miriam"/>
          <w:b/>
          <w:spacing w:val="0"/>
          <w:szCs w:val="24"/>
          <w:u w:val="single"/>
        </w:rPr>
      </w:pPr>
      <w:r>
        <w:rPr>
          <w:rFonts w:ascii="Century" w:hAnsi="Century" w:cs="Miriam"/>
          <w:b/>
          <w:spacing w:val="0"/>
          <w:szCs w:val="24"/>
          <w:u w:val="single"/>
          <w:rtl/>
        </w:rPr>
        <w:t>השופטת יעל וילנר:</w:t>
      </w:r>
    </w:p>
    <w:p w14:paraId="048BFB53" w14:textId="77777777" w:rsidR="00FF331B" w:rsidRDefault="00FF331B" w:rsidP="00FF331B">
      <w:pPr>
        <w:spacing w:line="360" w:lineRule="auto"/>
        <w:jc w:val="both"/>
        <w:rPr>
          <w:rFonts w:ascii="FrankRuehl" w:hAnsi="FrankRuehl" w:cs="FrankRuehl"/>
          <w:noProof w:val="0"/>
          <w:spacing w:val="10"/>
          <w:sz w:val="28"/>
          <w:szCs w:val="28"/>
          <w:rtl/>
        </w:rPr>
      </w:pPr>
    </w:p>
    <w:p w14:paraId="09356357" w14:textId="77777777" w:rsidR="00FF331B" w:rsidRDefault="00000000" w:rsidP="00743F8C">
      <w:pPr>
        <w:pStyle w:val="Ruller41"/>
        <w:rPr>
          <w:rFonts w:ascii="Century" w:hAnsi="Century"/>
        </w:rPr>
      </w:pPr>
      <w:r>
        <w:rPr>
          <w:rtl/>
        </w:rPr>
        <w:t>1.</w:t>
      </w:r>
      <w:r>
        <w:rPr>
          <w:rtl/>
        </w:rPr>
        <w:tab/>
        <w:t xml:space="preserve">לפנינו בקשת רשות ערעור על פסק-דינו של בית המשפט המחוזי מרכז-לוד (סגנית הנשיאה </w:t>
      </w:r>
      <w:r>
        <w:rPr>
          <w:rFonts w:ascii="Century" w:hAnsi="Century" w:cs="Miriam"/>
          <w:b/>
          <w:spacing w:val="0"/>
          <w:szCs w:val="24"/>
          <w:rtl/>
        </w:rPr>
        <w:t>ו' פלאוט</w:t>
      </w:r>
      <w:r>
        <w:rPr>
          <w:rFonts w:ascii="Century" w:hAnsi="Century"/>
          <w:rtl/>
        </w:rPr>
        <w:t xml:space="preserve"> והשופטים</w:t>
      </w:r>
      <w:r>
        <w:rPr>
          <w:rFonts w:ascii="Century" w:hAnsi="Century" w:cs="Miriam"/>
          <w:b/>
          <w:spacing w:val="0"/>
          <w:szCs w:val="24"/>
          <w:rtl/>
        </w:rPr>
        <w:t xml:space="preserve"> צ' ויצמן </w:t>
      </w:r>
      <w:r>
        <w:rPr>
          <w:rFonts w:ascii="Century" w:hAnsi="Century"/>
          <w:rtl/>
        </w:rPr>
        <w:t>ו-</w:t>
      </w:r>
      <w:r>
        <w:rPr>
          <w:rFonts w:ascii="Century" w:hAnsi="Century" w:cs="Miriam"/>
          <w:b/>
          <w:spacing w:val="0"/>
          <w:szCs w:val="24"/>
          <w:rtl/>
        </w:rPr>
        <w:t>י' מושקוביץ</w:t>
      </w:r>
      <w:r>
        <w:rPr>
          <w:rFonts w:ascii="Century" w:hAnsi="Century"/>
          <w:rtl/>
        </w:rPr>
        <w:t>) ב</w:t>
      </w:r>
      <w:hyperlink r:id="rId8" w:history="1">
        <w:r w:rsidR="00743F8C" w:rsidRPr="00743F8C">
          <w:rPr>
            <w:rStyle w:val="Hyperlink"/>
            <w:rFonts w:ascii="Century" w:hAnsi="Century" w:hint="eastAsia"/>
            <w:rtl/>
          </w:rPr>
          <w:t>עמ</w:t>
        </w:r>
        <w:r w:rsidR="00743F8C" w:rsidRPr="00743F8C">
          <w:rPr>
            <w:rStyle w:val="Hyperlink"/>
            <w:rFonts w:ascii="Century" w:hAnsi="Century"/>
            <w:rtl/>
          </w:rPr>
          <w:t>"</w:t>
        </w:r>
        <w:r w:rsidR="00743F8C" w:rsidRPr="00743F8C">
          <w:rPr>
            <w:rStyle w:val="Hyperlink"/>
            <w:rFonts w:ascii="Century" w:hAnsi="Century" w:hint="eastAsia"/>
            <w:rtl/>
          </w:rPr>
          <w:t>צ</w:t>
        </w:r>
        <w:r w:rsidR="00743F8C" w:rsidRPr="00743F8C">
          <w:rPr>
            <w:rStyle w:val="Hyperlink"/>
            <w:rFonts w:ascii="Century" w:hAnsi="Century"/>
            <w:rtl/>
          </w:rPr>
          <w:t xml:space="preserve"> 14698-09-22</w:t>
        </w:r>
      </w:hyperlink>
      <w:r>
        <w:rPr>
          <w:rFonts w:ascii="Century" w:hAnsi="Century"/>
          <w:rtl/>
        </w:rPr>
        <w:t xml:space="preserve"> </w:t>
      </w:r>
      <w:r w:rsidR="00743F8C">
        <w:rPr>
          <w:rFonts w:ascii="Century" w:hAnsi="Century" w:hint="cs"/>
          <w:rtl/>
        </w:rPr>
        <w:t xml:space="preserve"> [נבו] </w:t>
      </w:r>
      <w:r>
        <w:rPr>
          <w:rFonts w:ascii="Century" w:hAnsi="Century"/>
          <w:rtl/>
        </w:rPr>
        <w:t xml:space="preserve">יום 2.10.2023, </w:t>
      </w:r>
      <w:r>
        <w:rPr>
          <w:rtl/>
        </w:rPr>
        <w:t xml:space="preserve">שבגדרו נדחה ערעור שהגישה המבקשת על פסק-דינו של בית המשפט לענייני משפחה ראשון לציון (השופטת </w:t>
      </w:r>
      <w:r>
        <w:rPr>
          <w:rFonts w:ascii="Century" w:hAnsi="Century" w:cs="Miriam"/>
          <w:b/>
          <w:spacing w:val="0"/>
          <w:szCs w:val="24"/>
          <w:rtl/>
        </w:rPr>
        <w:t>ח' שירה</w:t>
      </w:r>
      <w:r>
        <w:rPr>
          <w:rFonts w:ascii="Century" w:hAnsi="Century"/>
          <w:rtl/>
        </w:rPr>
        <w:t xml:space="preserve">) באמ"צ 7633-03-21 מיום 24.5.2022, שבמסגרתו נדחתה תביעת המבקשת לפי </w:t>
      </w:r>
      <w:hyperlink r:id="rId9"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w:t>
      </w:r>
      <w:hyperlink r:id="rId10" w:history="1">
        <w:r w:rsidR="00482AA5" w:rsidRPr="00482AA5">
          <w:rPr>
            <w:rFonts w:ascii="Century" w:hAnsi="Century" w:hint="eastAsia"/>
            <w:color w:val="0000FF"/>
            <w:u w:val="single"/>
            <w:rtl/>
          </w:rPr>
          <w:t>חוק</w:t>
        </w:r>
        <w:r w:rsidR="00482AA5" w:rsidRPr="00482AA5">
          <w:rPr>
            <w:rFonts w:ascii="Century" w:hAnsi="Century"/>
            <w:color w:val="0000FF"/>
            <w:u w:val="single"/>
            <w:rtl/>
          </w:rPr>
          <w:t xml:space="preserve"> </w:t>
        </w:r>
        <w:r w:rsidR="00482AA5" w:rsidRPr="00482AA5">
          <w:rPr>
            <w:rFonts w:ascii="Century" w:hAnsi="Century" w:hint="eastAsia"/>
            <w:color w:val="0000FF"/>
            <w:u w:val="single"/>
            <w:rtl/>
          </w:rPr>
          <w:t>אימוץ</w:t>
        </w:r>
        <w:r w:rsidR="00482AA5" w:rsidRPr="00482AA5">
          <w:rPr>
            <w:rFonts w:ascii="Century" w:hAnsi="Century"/>
            <w:color w:val="0000FF"/>
            <w:u w:val="single"/>
            <w:rtl/>
          </w:rPr>
          <w:t xml:space="preserve"> </w:t>
        </w:r>
        <w:r w:rsidR="00482AA5" w:rsidRPr="00482AA5">
          <w:rPr>
            <w:rFonts w:ascii="Century" w:hAnsi="Century" w:hint="eastAsia"/>
            <w:color w:val="0000FF"/>
            <w:u w:val="single"/>
            <w:rtl/>
          </w:rPr>
          <w:t>ילדים</w:t>
        </w:r>
      </w:hyperlink>
      <w:r>
        <w:rPr>
          <w:rFonts w:ascii="Century" w:hAnsi="Century"/>
          <w:rtl/>
        </w:rPr>
        <w:t>, התשמ"א-1981 (להלן גם:</w:t>
      </w:r>
      <w:r>
        <w:rPr>
          <w:rFonts w:ascii="Century" w:hAnsi="Century" w:cs="Miriam"/>
          <w:b/>
          <w:spacing w:val="0"/>
          <w:szCs w:val="24"/>
          <w:rtl/>
        </w:rPr>
        <w:t xml:space="preserve"> חוק האימוץ </w:t>
      </w:r>
      <w:r>
        <w:rPr>
          <w:rFonts w:ascii="Century" w:hAnsi="Century"/>
          <w:rtl/>
        </w:rPr>
        <w:t xml:space="preserve">או </w:t>
      </w:r>
      <w:r>
        <w:rPr>
          <w:rFonts w:ascii="Century" w:hAnsi="Century" w:cs="Miriam"/>
          <w:b/>
          <w:spacing w:val="0"/>
          <w:szCs w:val="24"/>
          <w:rtl/>
        </w:rPr>
        <w:t>החוק</w:t>
      </w:r>
      <w:r>
        <w:rPr>
          <w:rFonts w:ascii="Century" w:hAnsi="Century"/>
          <w:rtl/>
        </w:rPr>
        <w:t>), בה ביקשה כי יותר לה לעיין ברישומים הנוגעים אליה בפנקס האימוצים.</w:t>
      </w:r>
    </w:p>
    <w:p w14:paraId="6030BF52" w14:textId="77777777" w:rsidR="00FF331B" w:rsidRDefault="00FF331B" w:rsidP="00FF331B">
      <w:pPr>
        <w:pStyle w:val="Ruller41"/>
        <w:rPr>
          <w:rFonts w:ascii="Century" w:hAnsi="Century"/>
          <w:rtl/>
        </w:rPr>
      </w:pPr>
    </w:p>
    <w:p w14:paraId="492887E7" w14:textId="77777777" w:rsidR="00FF331B" w:rsidRDefault="00000000" w:rsidP="00FF331B">
      <w:pPr>
        <w:pStyle w:val="Ruller41"/>
        <w:rPr>
          <w:rFonts w:ascii="Century" w:hAnsi="Century"/>
        </w:rPr>
      </w:pPr>
      <w:r>
        <w:rPr>
          <w:rFonts w:ascii="Century" w:hAnsi="Century"/>
          <w:rtl/>
        </w:rPr>
        <w:t>2.</w:t>
      </w:r>
      <w:r>
        <w:rPr>
          <w:rFonts w:ascii="Century" w:hAnsi="Century"/>
          <w:rtl/>
        </w:rPr>
        <w:tab/>
        <w:t xml:space="preserve">אקדים ואומר, כי הבקשה שלפנינו מעוררת שאלה עקרונית שטרם לובנה, בדבר האיזון שנקבע </w:t>
      </w:r>
      <w:hyperlink r:id="rId11" w:history="1">
        <w:r w:rsidR="006132F7" w:rsidRPr="006132F7">
          <w:rPr>
            <w:rStyle w:val="Hyperlink"/>
            <w:rFonts w:ascii="Century" w:hAnsi="Century" w:hint="eastAsia"/>
            <w:rtl/>
          </w:rPr>
          <w:t>בסעיף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האימוץ, בין רצון המאומץ לעיין בפנקס האימוצים ולגלות את זהות הוריו הביולוגיים, לבין רצון ההורים הביולוגיים למנוע </w:t>
      </w:r>
      <w:r>
        <w:rPr>
          <w:rFonts w:ascii="Century" w:hAnsi="Century"/>
          <w:rtl/>
        </w:rPr>
        <w:lastRenderedPageBreak/>
        <w:t>עיון כאמור. לפיכך, ראינו ליתן רשות ערעור במקרה דנן</w:t>
      </w:r>
      <w:r>
        <w:rPr>
          <w:rtl/>
        </w:rPr>
        <w:t>; ובהתאם לכך, המבקשת תיקרא להלן "המערערת".</w:t>
      </w:r>
    </w:p>
    <w:p w14:paraId="32F27DF6" w14:textId="77777777" w:rsidR="00FF331B" w:rsidRDefault="00FF331B" w:rsidP="00FF331B">
      <w:pPr>
        <w:pStyle w:val="Ruller41"/>
        <w:rPr>
          <w:rFonts w:ascii="Century" w:hAnsi="Century"/>
          <w:rtl/>
        </w:rPr>
      </w:pPr>
    </w:p>
    <w:p w14:paraId="1BD7266E" w14:textId="77777777" w:rsidR="00FF331B" w:rsidRDefault="00000000" w:rsidP="00FF331B">
      <w:pPr>
        <w:pStyle w:val="Ruller41"/>
        <w:rPr>
          <w:rFonts w:ascii="Century" w:hAnsi="Century" w:cs="Miriam"/>
          <w:b/>
          <w:spacing w:val="0"/>
          <w:szCs w:val="24"/>
          <w:rtl/>
        </w:rPr>
      </w:pPr>
      <w:r>
        <w:rPr>
          <w:rFonts w:ascii="Century" w:hAnsi="Century" w:cs="Miriam"/>
          <w:b/>
          <w:spacing w:val="0"/>
          <w:szCs w:val="24"/>
          <w:rtl/>
        </w:rPr>
        <w:t>רקע עובדתי</w:t>
      </w:r>
    </w:p>
    <w:p w14:paraId="27E9F832" w14:textId="77777777" w:rsidR="00FF331B" w:rsidRDefault="00FF331B" w:rsidP="00FF331B">
      <w:pPr>
        <w:pStyle w:val="Ruller41"/>
        <w:rPr>
          <w:rFonts w:ascii="Century" w:hAnsi="Century" w:cs="Miriam"/>
          <w:b/>
          <w:spacing w:val="0"/>
          <w:szCs w:val="24"/>
          <w:rtl/>
        </w:rPr>
      </w:pPr>
    </w:p>
    <w:p w14:paraId="55E34C69" w14:textId="77777777" w:rsidR="00FF331B" w:rsidRDefault="00000000" w:rsidP="00FF331B">
      <w:pPr>
        <w:pStyle w:val="Ruller41"/>
        <w:rPr>
          <w:rFonts w:ascii="Century" w:hAnsi="Century"/>
          <w:rtl/>
        </w:rPr>
      </w:pPr>
      <w:r>
        <w:rPr>
          <w:rFonts w:ascii="Century" w:hAnsi="Century"/>
          <w:rtl/>
        </w:rPr>
        <w:t>3.</w:t>
      </w:r>
      <w:r>
        <w:rPr>
          <w:rFonts w:ascii="Century" w:hAnsi="Century"/>
          <w:rtl/>
        </w:rPr>
        <w:tab/>
        <w:t xml:space="preserve">המערערת נולדה בשנת 1968, נמסרה לאימוץ מספר שבועות לאחר לידתה ואומצה ביום 21.4.1968. המשיבה מייצגת את השירות למען הילד (להלן גם: </w:t>
      </w:r>
      <w:r>
        <w:rPr>
          <w:rFonts w:ascii="Century" w:hAnsi="Century" w:cs="Miriam"/>
          <w:b/>
          <w:spacing w:val="0"/>
          <w:szCs w:val="24"/>
          <w:rtl/>
        </w:rPr>
        <w:t>השירות</w:t>
      </w:r>
      <w:r>
        <w:rPr>
          <w:rFonts w:ascii="Century" w:hAnsi="Century"/>
          <w:rtl/>
        </w:rPr>
        <w:t xml:space="preserve">), הוא הגוף אשר מוסמך ואחראי מטעם המדינה לפעול בענייני אימוץ. </w:t>
      </w:r>
    </w:p>
    <w:p w14:paraId="0BF74578" w14:textId="77777777" w:rsidR="00FF331B" w:rsidRDefault="00FF331B" w:rsidP="00FF331B">
      <w:pPr>
        <w:pStyle w:val="Ruller41"/>
        <w:rPr>
          <w:rFonts w:ascii="Century" w:hAnsi="Century"/>
          <w:rtl/>
        </w:rPr>
      </w:pPr>
    </w:p>
    <w:p w14:paraId="2830C099" w14:textId="77777777" w:rsidR="00FF331B" w:rsidRDefault="00000000" w:rsidP="00FF331B">
      <w:pPr>
        <w:pStyle w:val="Ruller41"/>
        <w:rPr>
          <w:rFonts w:ascii="Century" w:hAnsi="Century"/>
          <w:rtl/>
        </w:rPr>
      </w:pPr>
      <w:r>
        <w:rPr>
          <w:rFonts w:ascii="Century" w:hAnsi="Century"/>
          <w:rtl/>
        </w:rPr>
        <w:t>4.</w:t>
      </w:r>
      <w:r>
        <w:rPr>
          <w:rFonts w:ascii="Century" w:hAnsi="Century"/>
          <w:rtl/>
        </w:rPr>
        <w:tab/>
        <w:t xml:space="preserve">בשנת 1999 פנתה המערערת לשירות למען הילד בבקשה לעיין במסמכים הנוגעים לאימוצה, ובהמשך לכך נמסרו לה פרטים לא מזהים על אודות אמה הביולוגית (להלן: </w:t>
      </w:r>
      <w:r>
        <w:rPr>
          <w:rFonts w:ascii="Century" w:hAnsi="Century" w:cs="Miriam"/>
          <w:b/>
          <w:spacing w:val="0"/>
          <w:szCs w:val="24"/>
          <w:rtl/>
        </w:rPr>
        <w:t>האם</w:t>
      </w:r>
      <w:r>
        <w:rPr>
          <w:rFonts w:ascii="Century" w:hAnsi="Century"/>
          <w:rtl/>
        </w:rPr>
        <w:t xml:space="preserve"> </w:t>
      </w:r>
      <w:r>
        <w:rPr>
          <w:rFonts w:ascii="Century" w:hAnsi="Century" w:cs="Miriam"/>
          <w:b/>
          <w:spacing w:val="0"/>
          <w:szCs w:val="24"/>
          <w:rtl/>
        </w:rPr>
        <w:t>הביולוגית</w:t>
      </w:r>
      <w:r>
        <w:rPr>
          <w:rFonts w:ascii="Century" w:hAnsi="Century"/>
          <w:rtl/>
        </w:rPr>
        <w:t xml:space="preserve"> או </w:t>
      </w:r>
      <w:r>
        <w:rPr>
          <w:rFonts w:ascii="Century" w:hAnsi="Century" w:cs="Miriam"/>
          <w:b/>
          <w:spacing w:val="0"/>
          <w:szCs w:val="24"/>
          <w:rtl/>
        </w:rPr>
        <w:t>האם</w:t>
      </w:r>
      <w:r>
        <w:rPr>
          <w:rFonts w:ascii="Century" w:hAnsi="Century"/>
          <w:rtl/>
        </w:rPr>
        <w:t xml:space="preserve">). במסגרת זו, נמסר למערערת כי אמה היא בת למשפחה דתית, אשר בגיל 19 ילדה את המערערת מחוץ למסגרת הנישואין, והסתירה זאת מבני משפחתה בשל חשש מתגובתם. עוד נמסר, כי האם הביולוגית נישאה לאחר שמסרה את המערערת לאימוץ ונולדו לה ארבעה ילדים; וכי לא קיים מידע מתועד בנוגע לאביה הביולוגי של המערערת (להלן גם: </w:t>
      </w:r>
      <w:r>
        <w:rPr>
          <w:rFonts w:ascii="Century" w:hAnsi="Century" w:cs="Miriam"/>
          <w:b/>
          <w:spacing w:val="0"/>
          <w:szCs w:val="24"/>
          <w:rtl/>
        </w:rPr>
        <w:t>האב</w:t>
      </w:r>
      <w:r>
        <w:rPr>
          <w:rFonts w:ascii="Century" w:hAnsi="Century"/>
          <w:rtl/>
        </w:rPr>
        <w:t>), פרט לכך שהאם מסרה כי הוא ממוצא מצרי.</w:t>
      </w:r>
    </w:p>
    <w:p w14:paraId="7159634E" w14:textId="77777777" w:rsidR="00FF331B" w:rsidRDefault="00FF331B" w:rsidP="00FF331B">
      <w:pPr>
        <w:pStyle w:val="Ruller41"/>
        <w:rPr>
          <w:rFonts w:ascii="Century" w:hAnsi="Century"/>
          <w:rtl/>
        </w:rPr>
      </w:pPr>
    </w:p>
    <w:p w14:paraId="0D438A3F" w14:textId="77777777" w:rsidR="00FF331B" w:rsidRDefault="00000000" w:rsidP="00FF331B">
      <w:pPr>
        <w:pStyle w:val="Ruller41"/>
        <w:rPr>
          <w:rFonts w:ascii="Century" w:hAnsi="Century"/>
          <w:rtl/>
        </w:rPr>
      </w:pPr>
      <w:r>
        <w:rPr>
          <w:rFonts w:ascii="Century" w:hAnsi="Century"/>
          <w:rtl/>
        </w:rPr>
        <w:t>5.</w:t>
      </w:r>
      <w:r>
        <w:rPr>
          <w:rFonts w:ascii="Century" w:hAnsi="Century"/>
          <w:rtl/>
        </w:rPr>
        <w:tab/>
        <w:t>בהמשך לאמור, באותה שנה ביקשה המערערת לפגוש את האם הביולוגית, ונציגה של השירות למען הילד פנתה לאם ונפגשה עמה שלוש פעמים על מנת לשכנעה להיפגש עם המערערת. האם הביולוגית הייתה אז כבת 50, ומהמפגשים האמורים עלה כי בעלה וארבעת ילדיה אינם מודעים לאימוץ; וכי היא הסתירה את ההיריון מבני משפחתה – פרט לאמה – בשל חשש מתגובתם ובשים לב לאורח חייהם המסורתי. במפגש השלישי התברר כי המפגשים האמורים הקשו על תפקודה היומיומי של האם הביולוגית וגרמו לה, לטענתה, לדיכאון ולכאבים פסיכוסומטיים; והאם הודיעה כי היא מתנגדת לפגישה עם המערערת וביקשה כי השירות למען הילד לא ייצור עמה קשר בעתיד.</w:t>
      </w:r>
    </w:p>
    <w:p w14:paraId="731B3D5E" w14:textId="77777777" w:rsidR="00FF331B" w:rsidRDefault="00FF331B" w:rsidP="00FF331B">
      <w:pPr>
        <w:pStyle w:val="Ruller41"/>
        <w:rPr>
          <w:rFonts w:ascii="Century" w:hAnsi="Century"/>
          <w:rtl/>
        </w:rPr>
      </w:pPr>
    </w:p>
    <w:p w14:paraId="770E3EF9" w14:textId="77777777" w:rsidR="00FF331B" w:rsidRDefault="00000000" w:rsidP="00FF331B">
      <w:pPr>
        <w:pStyle w:val="Ruller41"/>
        <w:rPr>
          <w:rFonts w:ascii="Century" w:hAnsi="Century"/>
          <w:rtl/>
        </w:rPr>
      </w:pPr>
      <w:r>
        <w:rPr>
          <w:rFonts w:ascii="Century" w:hAnsi="Century"/>
          <w:rtl/>
        </w:rPr>
        <w:t>6.</w:t>
      </w:r>
      <w:r>
        <w:rPr>
          <w:rFonts w:ascii="Century" w:hAnsi="Century"/>
          <w:rtl/>
        </w:rPr>
        <w:tab/>
        <w:t xml:space="preserve">בשנת 2007, בהיותה בהיריון עם בתה הבכורה, פנתה המערערת פעם נוספת לשירות למען הילד, בשל צורך בבירור גנטי ביחס לעובר. בהמשך לכך נמסר למערערת כי אמה הביולוגית ממוצא אשכנזי ואביה ככל הנראה ממוצא מצרי. המערערת ביקשה פעם נוספת להיפגש עם האם הביולוגית, אך מהשירות למען הילד נמסר לה כי האם עומדת בסירובה. </w:t>
      </w:r>
    </w:p>
    <w:p w14:paraId="7892D229" w14:textId="77777777" w:rsidR="00FF331B" w:rsidRDefault="00FF331B" w:rsidP="00FF331B">
      <w:pPr>
        <w:pStyle w:val="Ruller41"/>
        <w:rPr>
          <w:rFonts w:ascii="Century" w:hAnsi="Century"/>
          <w:rtl/>
        </w:rPr>
      </w:pPr>
    </w:p>
    <w:p w14:paraId="33956AE7" w14:textId="77777777" w:rsidR="00FF331B" w:rsidRDefault="00000000" w:rsidP="00FF331B">
      <w:pPr>
        <w:pStyle w:val="Ruller41"/>
        <w:rPr>
          <w:rFonts w:ascii="Century" w:hAnsi="Century"/>
          <w:rtl/>
        </w:rPr>
      </w:pPr>
      <w:r>
        <w:rPr>
          <w:rFonts w:ascii="Century" w:hAnsi="Century"/>
          <w:rtl/>
        </w:rPr>
        <w:t>7.</w:t>
      </w:r>
      <w:r>
        <w:rPr>
          <w:rFonts w:ascii="Century" w:hAnsi="Century"/>
          <w:rtl/>
        </w:rPr>
        <w:tab/>
        <w:t xml:space="preserve">בשנת 2016 פנתה המערערת לשירות למען הילד פעם נוספת כדי לנסות ולתאם מפגש עם האם הביולוגית. המערערת ביקשה שיודגש כי היא מעוניינת אך ורק במפגש חד-פעמי עם האם, ואינה מעוניינת בקשר או מפגש עם אחֶיה למחצה. בהמשך לכך, ניסו גורמי השירות ליצור קשר עם האם הביולוגית, אך זו לא ענתה לשיחות הטלפון, וכשלבסוף ענתה – ניתקה את הטלפון כשהבינה כי מדובר בגורמים מטעם השירות למען הילד. לאור זאת, סורבה בקשת המערערת על-ידי השירות למען הילד. </w:t>
      </w:r>
    </w:p>
    <w:p w14:paraId="0632EB13" w14:textId="77777777" w:rsidR="00FF331B" w:rsidRDefault="00FF331B" w:rsidP="00FF331B">
      <w:pPr>
        <w:pStyle w:val="Ruller41"/>
        <w:rPr>
          <w:rFonts w:ascii="Century" w:hAnsi="Century"/>
          <w:rtl/>
        </w:rPr>
      </w:pPr>
    </w:p>
    <w:p w14:paraId="6A70F27E" w14:textId="77777777" w:rsidR="00FF331B" w:rsidRDefault="00000000" w:rsidP="00FF331B">
      <w:pPr>
        <w:pStyle w:val="Ruller41"/>
        <w:rPr>
          <w:rFonts w:ascii="Century" w:hAnsi="Century"/>
          <w:rtl/>
        </w:rPr>
      </w:pPr>
      <w:r>
        <w:rPr>
          <w:rFonts w:ascii="Century" w:hAnsi="Century"/>
          <w:rtl/>
        </w:rPr>
        <w:t>8.</w:t>
      </w:r>
      <w:r>
        <w:rPr>
          <w:rFonts w:ascii="Century" w:hAnsi="Century"/>
          <w:rtl/>
        </w:rPr>
        <w:tab/>
        <w:t xml:space="preserve">לנוכח האמור, ביום 2.3.2021 הגישה המערערת תביעה לבית המשפט לענייני משפחה לפי </w:t>
      </w:r>
      <w:hyperlink r:id="rId12"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האימוץ, לאפשר לה לעיין ברישומים הנוגעים אליה בפנקס האימוצים. ביום 28.4.2021 הוגש מטעם השירות למען הילד תסקיר עובד סוציאלי לפי חוק האימוץ (להלן: </w:t>
      </w:r>
      <w:r>
        <w:rPr>
          <w:rFonts w:ascii="Century" w:hAnsi="Century" w:cs="Miriam"/>
          <w:b/>
          <w:spacing w:val="0"/>
          <w:szCs w:val="24"/>
          <w:rtl/>
        </w:rPr>
        <w:t xml:space="preserve">עו"ס חוק האימוץ </w:t>
      </w:r>
      <w:r>
        <w:rPr>
          <w:rFonts w:ascii="Century" w:hAnsi="Century"/>
          <w:rtl/>
        </w:rPr>
        <w:t xml:space="preserve">או </w:t>
      </w:r>
      <w:r>
        <w:rPr>
          <w:rFonts w:ascii="Century" w:hAnsi="Century" w:cs="Miriam"/>
          <w:b/>
          <w:spacing w:val="0"/>
          <w:szCs w:val="24"/>
          <w:rtl/>
        </w:rPr>
        <w:t>עו"ס</w:t>
      </w:r>
      <w:r>
        <w:rPr>
          <w:rFonts w:ascii="Century" w:hAnsi="Century"/>
          <w:rtl/>
        </w:rPr>
        <w:t>), שבגדרו פורטו, בעיקרו של דבר, הניסיונות לאורך השנים מטעם השירות למען הילד ליצור קשר עם האם הביולוגית, כמפורט לעיל. וכך נכתב בסיכום התסקיר:</w:t>
      </w:r>
    </w:p>
    <w:p w14:paraId="0A13CDA1" w14:textId="77777777" w:rsidR="00FF331B" w:rsidRDefault="00FF331B" w:rsidP="00FF331B">
      <w:pPr>
        <w:pStyle w:val="Ruller41"/>
        <w:rPr>
          <w:rFonts w:ascii="Century" w:hAnsi="Century"/>
          <w:rtl/>
        </w:rPr>
      </w:pPr>
    </w:p>
    <w:p w14:paraId="34C444A6" w14:textId="77777777" w:rsidR="00FF331B" w:rsidRDefault="00000000" w:rsidP="00FF331B">
      <w:pPr>
        <w:pStyle w:val="Ruller5"/>
        <w:rPr>
          <w:rtl/>
        </w:rPr>
      </w:pPr>
      <w:r>
        <w:rPr>
          <w:rtl/>
        </w:rPr>
        <w:t>"ליבנו נכמר כלפי [</w:t>
      </w:r>
      <w:r>
        <w:rPr>
          <w:rFonts w:ascii="Century" w:hAnsi="Century"/>
          <w:rtl/>
        </w:rPr>
        <w:t xml:space="preserve">המערערת </w:t>
      </w:r>
      <w:r>
        <w:rPr>
          <w:rtl/>
        </w:rPr>
        <w:t xml:space="preserve">– י"ו], אשר כל רצונה הוא לסגור מעגל בחייה, לראות במו עיניה את אמה הביולוגית ולהמשיך בחייה כאשר ליבה רגוע ושליו אולם כפי שתואר לעיל, האם הביולוגית [...] אינה מסוגלת להתמודד עם הסיטואציה וניכר כי החשש משתלט עליה ולא מאפשר לה להיענות לבקשתה [של </w:t>
      </w:r>
      <w:r>
        <w:rPr>
          <w:rFonts w:ascii="Century" w:hAnsi="Century"/>
          <w:rtl/>
        </w:rPr>
        <w:t xml:space="preserve">המערערת </w:t>
      </w:r>
      <w:r>
        <w:rPr>
          <w:rtl/>
        </w:rPr>
        <w:t>– י"ו].</w:t>
      </w:r>
    </w:p>
    <w:p w14:paraId="688A5FC1" w14:textId="77777777" w:rsidR="00FF331B" w:rsidRDefault="00000000" w:rsidP="00FF331B">
      <w:pPr>
        <w:pStyle w:val="Ruller5"/>
        <w:rPr>
          <w:rtl/>
        </w:rPr>
      </w:pPr>
      <w:r>
        <w:rPr>
          <w:rtl/>
        </w:rPr>
        <w:t>מניסיוננו המקצועי, פגשנו אימהות ביולוגיות אשר עם השנים מצאו את הכוחות להיפגש עם הילד שמסרו לאימוץ ולהתמודד עם הטראומה שהתלוותה לסיפור האימוץ דאז. יחד עם זאת מתוך הנתונים שיש בידינו 20% מהאימהות הביולוגיות מסרבות לפגוש את פרי בט[נ]ן ממשיכות לחיות עם ההדחקה וההכחשה, מנגנון הגנה שמאפשר להן לתפקד.</w:t>
      </w:r>
    </w:p>
    <w:p w14:paraId="1F886BF2" w14:textId="77777777" w:rsidR="00FF331B" w:rsidRDefault="00000000" w:rsidP="00FF331B">
      <w:pPr>
        <w:pStyle w:val="Ruller5"/>
        <w:rPr>
          <w:rtl/>
        </w:rPr>
      </w:pPr>
      <w:r>
        <w:rPr>
          <w:rtl/>
        </w:rPr>
        <w:t>לשרות למען הילד מחויבות מקצועית כפולה הן כלפי האדם המאומץ, וסיוע בבניית זהותו תוך הכרת שורשיו הביולוגיים והגנטיים, אך גם כלפי ההורה הביולוגי שמבקש להישאר אנונימי ולהגן בכל דרך על חייו ותפקודו בדרך שבחר.</w:t>
      </w:r>
    </w:p>
    <w:p w14:paraId="4FA1EDEB" w14:textId="77777777" w:rsidR="00FF331B" w:rsidRDefault="00000000" w:rsidP="00FF331B">
      <w:pPr>
        <w:pStyle w:val="Ruller5"/>
        <w:rPr>
          <w:rtl/>
        </w:rPr>
      </w:pPr>
      <w:r>
        <w:rPr>
          <w:rtl/>
        </w:rPr>
        <w:t>כולי תקווה כי בעתיד תצליח האם הביולוגית לאזור כוחות נפש ולהתמודד עם רצונה של [</w:t>
      </w:r>
      <w:r>
        <w:rPr>
          <w:rFonts w:ascii="Century" w:hAnsi="Century"/>
          <w:rtl/>
        </w:rPr>
        <w:t xml:space="preserve">המערערת </w:t>
      </w:r>
      <w:r>
        <w:rPr>
          <w:rtl/>
        </w:rPr>
        <w:t>– י"ו] ותאפשר לה לתת מנוח לנפשה, לאם הביולוגית יש את המידע כיצד לפנות לשרות למען הילד. עז אז, אין אני סבורה כי ניתן לפגוע בזכויותיה של האם הביולוגית, גם אם הדבר פוגע ברצון הקיומי של [</w:t>
      </w:r>
      <w:r>
        <w:rPr>
          <w:rFonts w:ascii="Century" w:hAnsi="Century"/>
          <w:rtl/>
        </w:rPr>
        <w:t xml:space="preserve">המערערת </w:t>
      </w:r>
      <w:r>
        <w:rPr>
          <w:rtl/>
        </w:rPr>
        <w:t xml:space="preserve">– י"ו] להכיר את שורשיה הביולוגיים, לשמוע ממנה את </w:t>
      </w:r>
      <w:r>
        <w:rPr>
          <w:rtl/>
        </w:rPr>
        <w:lastRenderedPageBreak/>
        <w:t>נסיבות מסירתה לאימוץ ולקבל ממנה את הרקע הגנטי, הרפואי ופרטי האב הביולוגי.</w:t>
      </w:r>
    </w:p>
    <w:p w14:paraId="12312365" w14:textId="77777777" w:rsidR="00FF331B" w:rsidRDefault="00000000" w:rsidP="00FF331B">
      <w:pPr>
        <w:pStyle w:val="Ruller5"/>
        <w:rPr>
          <w:rtl/>
        </w:rPr>
      </w:pPr>
      <w:r>
        <w:rPr>
          <w:rtl/>
        </w:rPr>
        <w:t>במצב דברים זה, עם כל הצער והחמלה כלפי [</w:t>
      </w:r>
      <w:r>
        <w:rPr>
          <w:rFonts w:ascii="Century" w:hAnsi="Century"/>
          <w:rtl/>
        </w:rPr>
        <w:t xml:space="preserve">המערערת </w:t>
      </w:r>
      <w:r>
        <w:rPr>
          <w:rtl/>
        </w:rPr>
        <w:t>– י"ו], לא נוכל למסור לה פרטים מזהים אודות אמה הביולוגית".</w:t>
      </w:r>
    </w:p>
    <w:p w14:paraId="02279710" w14:textId="77777777" w:rsidR="00FF331B" w:rsidRDefault="00FF331B" w:rsidP="00FF331B">
      <w:pPr>
        <w:pStyle w:val="Ruller41"/>
        <w:rPr>
          <w:rFonts w:ascii="Century" w:hAnsi="Century"/>
          <w:rtl/>
        </w:rPr>
      </w:pPr>
    </w:p>
    <w:p w14:paraId="43DAEB39" w14:textId="77777777" w:rsidR="00FF331B" w:rsidRDefault="00000000" w:rsidP="00FF331B">
      <w:pPr>
        <w:pStyle w:val="Ruller41"/>
        <w:rPr>
          <w:rFonts w:ascii="Century" w:hAnsi="Century"/>
          <w:rtl/>
        </w:rPr>
      </w:pPr>
      <w:r>
        <w:rPr>
          <w:rFonts w:ascii="Century" w:hAnsi="Century"/>
          <w:rtl/>
        </w:rPr>
        <w:t>9.</w:t>
      </w:r>
      <w:r>
        <w:rPr>
          <w:rFonts w:ascii="Century" w:hAnsi="Century"/>
          <w:rtl/>
        </w:rPr>
        <w:tab/>
        <w:t xml:space="preserve">ביום 6.10.2021, במסגרת דיון בבית המשפט לענייני משפחה, הורה בית המשפט לשירות למען הילד ליצור קשר פעם נוספת עם האם הביולוגית על מנת לנסות לתאם מפגש בינה לבין בית המשפט ועו"ס חוק האימוץ. כמו כן, הורה בית המשפט לבא-כוח המשיבה לבחון אם קיימים מסמכים נוספים הנוגעים לאימוץ המערערת שניתן להעביר לה. </w:t>
      </w:r>
    </w:p>
    <w:p w14:paraId="407EBC35" w14:textId="77777777" w:rsidR="00FF331B" w:rsidRDefault="00FF331B" w:rsidP="00FF331B">
      <w:pPr>
        <w:pStyle w:val="Ruller41"/>
        <w:rPr>
          <w:rFonts w:ascii="Century" w:hAnsi="Century"/>
          <w:rtl/>
        </w:rPr>
      </w:pPr>
    </w:p>
    <w:p w14:paraId="59070735" w14:textId="77777777" w:rsidR="00FF331B" w:rsidRDefault="00000000" w:rsidP="00FF331B">
      <w:pPr>
        <w:pStyle w:val="Ruller41"/>
        <w:rPr>
          <w:rFonts w:ascii="Century" w:hAnsi="Century"/>
          <w:rtl/>
        </w:rPr>
      </w:pPr>
      <w:r>
        <w:rPr>
          <w:rFonts w:ascii="Century" w:hAnsi="Century"/>
          <w:rtl/>
        </w:rPr>
        <w:t>10.</w:t>
      </w:r>
      <w:r>
        <w:rPr>
          <w:rFonts w:ascii="Century" w:hAnsi="Century"/>
          <w:rtl/>
        </w:rPr>
        <w:tab/>
        <w:t>בהמשך לכך, בתסקיר עו"ס חוק האימוץ מיום 9.11.2021 שהוגש לבית המשפט לענייני משפחה פורטו הניסיונות ליצור קשר עם האם; וצורפו אליו מספר מסמכים הנוגעים לאימוץ המערערת. בתסקיר צוין כי האם הביולוגית כבר לא מתגוררת בכתובת הרשומה במשרד הפנים, וכן שהיא החליפה את מספר הטלפון שלה. עוד צוין, כי לאחר שהצליחה העו"ס לאתר את האם הביולוגית וליצור עמה קשר, שבה האם הביולוגית והדגישה שבני משפחתה אינם מודעים לאימוץ, ושהיא אינה מעוניינת לפגוש את המערערת. עוד צוין בתסקיר כי לאחר ניסיונות שכנוע רבים, הסכימה האם לקיים מפגש בודד עם העו"ס, אך לאחר מספר שעות התקשרה וציינה כי היא חשה ברע בשל ההתרחשויות, מתקשה לתפקד ונזקקת לטיפול תרופתי, וביקשה לבטל את הפגישה עם העו"ס ואף התחננה שגורמי השירות למען הילד יפסיקו ליצור עמה קשר. וכך נכתב בסיכום התסקיר:</w:t>
      </w:r>
    </w:p>
    <w:p w14:paraId="7DAC60CE" w14:textId="77777777" w:rsidR="00FF331B" w:rsidRDefault="00FF331B" w:rsidP="00FF331B">
      <w:pPr>
        <w:pStyle w:val="Ruller41"/>
        <w:rPr>
          <w:rFonts w:ascii="Century" w:hAnsi="Century"/>
          <w:rtl/>
        </w:rPr>
      </w:pPr>
    </w:p>
    <w:p w14:paraId="590AB5E5" w14:textId="77777777" w:rsidR="00FF331B" w:rsidRDefault="00000000" w:rsidP="00FF331B">
      <w:pPr>
        <w:pStyle w:val="Ruller5"/>
        <w:rPr>
          <w:rtl/>
        </w:rPr>
      </w:pPr>
      <w:r>
        <w:rPr>
          <w:rtl/>
        </w:rPr>
        <w:t>"במצב דברים זה, כפי שנכתב בתסקיר הקודם, עם כל הצער, החמלה וההבנה את רצונה של [</w:t>
      </w:r>
      <w:r>
        <w:rPr>
          <w:rFonts w:ascii="Century" w:hAnsi="Century"/>
          <w:rtl/>
        </w:rPr>
        <w:t xml:space="preserve">המערערת </w:t>
      </w:r>
      <w:r>
        <w:rPr>
          <w:rtl/>
        </w:rPr>
        <w:t>– י"ו], לא נוכל לכפות על האם להיפגש עם גורמי הטיפול, המשפט ואף עם [</w:t>
      </w:r>
      <w:r>
        <w:rPr>
          <w:rFonts w:ascii="Century" w:hAnsi="Century"/>
          <w:rtl/>
        </w:rPr>
        <w:t xml:space="preserve">המערערת </w:t>
      </w:r>
      <w:r>
        <w:rPr>
          <w:rtl/>
        </w:rPr>
        <w:t>– י"ו].</w:t>
      </w:r>
    </w:p>
    <w:p w14:paraId="0AF10429" w14:textId="77777777" w:rsidR="00FF331B" w:rsidRDefault="00000000" w:rsidP="00FF331B">
      <w:pPr>
        <w:pStyle w:val="Ruller5"/>
        <w:rPr>
          <w:rtl/>
        </w:rPr>
      </w:pPr>
      <w:r>
        <w:rPr>
          <w:rtl/>
        </w:rPr>
        <w:t>במעמד זה נבקש מ[</w:t>
      </w:r>
      <w:r>
        <w:rPr>
          <w:rFonts w:ascii="Century" w:hAnsi="Century"/>
          <w:rtl/>
        </w:rPr>
        <w:t xml:space="preserve">המערערת </w:t>
      </w:r>
      <w:r>
        <w:rPr>
          <w:rtl/>
        </w:rPr>
        <w:t>– י"ו] כי על אף הכאב הבלתי נסבל, תימנע מניסיון לאתר את האם ולפנות אליה באופן ישיר.</w:t>
      </w:r>
    </w:p>
    <w:p w14:paraId="5B3956EF" w14:textId="77777777" w:rsidR="00FF331B" w:rsidRDefault="00000000" w:rsidP="00FF331B">
      <w:pPr>
        <w:pStyle w:val="Ruller5"/>
        <w:rPr>
          <w:rtl/>
        </w:rPr>
      </w:pPr>
      <w:r>
        <w:rPr>
          <w:rtl/>
        </w:rPr>
        <w:t>אנו ממליצות ל[</w:t>
      </w:r>
      <w:r>
        <w:rPr>
          <w:rFonts w:ascii="Century" w:hAnsi="Century"/>
          <w:rtl/>
        </w:rPr>
        <w:t xml:space="preserve">המערערת </w:t>
      </w:r>
      <w:r>
        <w:rPr>
          <w:rtl/>
        </w:rPr>
        <w:t>– י"ו] לנסות ולעבד את הכאב העז בטיפול רגשי ונשמח לעזור בסבסוד טיפול שכזה בעמותת תל"מ.</w:t>
      </w:r>
    </w:p>
    <w:p w14:paraId="41C8F7F3" w14:textId="77777777" w:rsidR="00FF331B" w:rsidRDefault="00000000" w:rsidP="00FF331B">
      <w:pPr>
        <w:pStyle w:val="Ruller5"/>
        <w:rPr>
          <w:rtl/>
        </w:rPr>
      </w:pPr>
      <w:r>
        <w:rPr>
          <w:rtl/>
        </w:rPr>
        <w:t>עו"ס [חוק האימוץ – י"ו] מסרה לאם הביולוגית כי בכל שלב בעתיד היא מוזמנת לפנות אליה באם תשנה את דעתה".</w:t>
      </w:r>
    </w:p>
    <w:p w14:paraId="55DCF90C" w14:textId="77777777" w:rsidR="00FF331B" w:rsidRDefault="00FF331B" w:rsidP="00FF331B">
      <w:pPr>
        <w:pStyle w:val="Ruller41"/>
        <w:rPr>
          <w:rFonts w:ascii="Century" w:hAnsi="Century"/>
          <w:rtl/>
        </w:rPr>
      </w:pPr>
    </w:p>
    <w:p w14:paraId="194B1E0C" w14:textId="77777777" w:rsidR="00FF331B" w:rsidRDefault="00000000" w:rsidP="00FF331B">
      <w:pPr>
        <w:pStyle w:val="Ruller41"/>
        <w:rPr>
          <w:rFonts w:ascii="Century" w:hAnsi="Century"/>
          <w:rtl/>
        </w:rPr>
      </w:pPr>
      <w:r>
        <w:rPr>
          <w:rFonts w:ascii="Century" w:hAnsi="Century"/>
          <w:rtl/>
        </w:rPr>
        <w:lastRenderedPageBreak/>
        <w:tab/>
        <w:t>על רקע זה ניתן פסק דינו של בית המשפט לענייני משפחה.</w:t>
      </w:r>
    </w:p>
    <w:p w14:paraId="71CC8048" w14:textId="77777777" w:rsidR="00FF331B" w:rsidRDefault="00000000" w:rsidP="00FF331B">
      <w:pPr>
        <w:pStyle w:val="Ruller41"/>
        <w:rPr>
          <w:rFonts w:ascii="Century" w:hAnsi="Century"/>
          <w:rtl/>
        </w:rPr>
      </w:pPr>
      <w:r>
        <w:rPr>
          <w:rFonts w:ascii="Century" w:hAnsi="Century"/>
          <w:rtl/>
        </w:rPr>
        <w:tab/>
      </w:r>
    </w:p>
    <w:p w14:paraId="4D6246C3" w14:textId="77777777" w:rsidR="00FF331B" w:rsidRDefault="00000000" w:rsidP="00FF331B">
      <w:pPr>
        <w:pStyle w:val="Ruller41"/>
        <w:rPr>
          <w:rFonts w:ascii="Century" w:hAnsi="Century" w:cs="Miriam"/>
          <w:b/>
          <w:spacing w:val="0"/>
          <w:szCs w:val="24"/>
          <w:rtl/>
        </w:rPr>
      </w:pPr>
      <w:r>
        <w:rPr>
          <w:rFonts w:ascii="Century" w:hAnsi="Century" w:cs="Miriam"/>
          <w:b/>
          <w:spacing w:val="0"/>
          <w:szCs w:val="24"/>
          <w:rtl/>
        </w:rPr>
        <w:t xml:space="preserve">פסק-דינו של בית המשפט לענייני משפחה </w:t>
      </w:r>
    </w:p>
    <w:p w14:paraId="4E418360" w14:textId="77777777" w:rsidR="00FF331B" w:rsidRDefault="00FF331B" w:rsidP="00FF331B">
      <w:pPr>
        <w:pStyle w:val="Ruller41"/>
        <w:rPr>
          <w:rFonts w:ascii="Century" w:hAnsi="Century" w:cs="Miriam"/>
          <w:b/>
          <w:spacing w:val="0"/>
          <w:szCs w:val="24"/>
          <w:rtl/>
        </w:rPr>
      </w:pPr>
    </w:p>
    <w:p w14:paraId="4259E03A" w14:textId="77777777" w:rsidR="00FF331B" w:rsidRDefault="00000000" w:rsidP="00FF331B">
      <w:pPr>
        <w:pStyle w:val="Ruller41"/>
        <w:rPr>
          <w:rFonts w:ascii="Century" w:hAnsi="Century"/>
          <w:rtl/>
        </w:rPr>
      </w:pPr>
      <w:r>
        <w:rPr>
          <w:rFonts w:ascii="Century" w:hAnsi="Century"/>
          <w:rtl/>
        </w:rPr>
        <w:t>11.</w:t>
      </w:r>
      <w:r>
        <w:rPr>
          <w:rFonts w:ascii="Century" w:hAnsi="Century"/>
          <w:rtl/>
        </w:rPr>
        <w:tab/>
        <w:t xml:space="preserve">בית המשפט לענייני משפחה קבע כי יש לדחות את תביעת המערערת, למרות רצונה העז להתחקות אחר זהות אמה הביולוגית, לגלות את שורשיה ולקבל תמונה מלאה יותר ביחס לסיפור חייה ולמצבה הרפואי; ולמרות הכאב הרב הכרוך מבחינת המערערת במצב הקיים. נקבע כי לנוכח הסירוב "הברור, העיקש, המתמשך, של האם הביולוגית בחשיפתה", זכותה שלא ייחשפו פרטיה המזהים גוברת על זכות המערערת לגלות את זהות אמה הביולוגית; וכי קבלת התביעה משמעותה התעלמות מרצון האם לשמור על פרטיותה, על יציבות חייה ועל הבית שבנתה לעצמה מעת שמסרה את המערערת לאימוץ. עוד הודגש, כי חיסיון הליכי האימוץ הוא עיקרון יסודי בדיני האימוץ; כי קיימים נהלים ברורים בנושא, בין היתר בנוגע למידע שלא ניתן לקבל ללא הסכמת הורה ביולוגי; וכי "מתן היתר לעיון בתיק עשוי לשמוט את הבסיס שעליו נשענים הליכי האימוץ". צוין כי אמנם, </w:t>
      </w:r>
      <w:hyperlink r:id="rId13"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מקנה שיקול דעת לבית המשפט אם להתיר עיון בפנקס האימוצים, אך הודגש כי המערערת לא הצביעה ולו על מקרה אחד שבו בית המשפט התיר למאומץ לעיין בפנקס כאמור כאשר ההורה הביולוגי סירב לכך.</w:t>
      </w:r>
    </w:p>
    <w:p w14:paraId="0CFBEF8F" w14:textId="77777777" w:rsidR="00FF331B" w:rsidRDefault="00FF331B" w:rsidP="00FF331B">
      <w:pPr>
        <w:pStyle w:val="Ruller41"/>
        <w:rPr>
          <w:rFonts w:ascii="Century" w:hAnsi="Century"/>
          <w:rtl/>
        </w:rPr>
      </w:pPr>
    </w:p>
    <w:p w14:paraId="3821F64D" w14:textId="77777777" w:rsidR="00FF331B" w:rsidRDefault="00000000" w:rsidP="00FF331B">
      <w:pPr>
        <w:pStyle w:val="Ruller41"/>
        <w:rPr>
          <w:rFonts w:ascii="Century" w:hAnsi="Century" w:cs="Miriam"/>
          <w:b/>
          <w:spacing w:val="0"/>
          <w:szCs w:val="24"/>
          <w:rtl/>
        </w:rPr>
      </w:pPr>
      <w:r>
        <w:rPr>
          <w:rFonts w:ascii="Century" w:hAnsi="Century" w:cs="Miriam"/>
          <w:b/>
          <w:spacing w:val="0"/>
          <w:szCs w:val="24"/>
          <w:rtl/>
        </w:rPr>
        <w:t>הדיון בערעור בבית המשפט המחוזי</w:t>
      </w:r>
    </w:p>
    <w:p w14:paraId="09F2A80A" w14:textId="77777777" w:rsidR="00FF331B" w:rsidRDefault="00FF331B" w:rsidP="00FF331B">
      <w:pPr>
        <w:pStyle w:val="Ruller41"/>
        <w:rPr>
          <w:rFonts w:ascii="Century" w:hAnsi="Century"/>
          <w:rtl/>
        </w:rPr>
      </w:pPr>
    </w:p>
    <w:p w14:paraId="3D2546B9" w14:textId="77777777" w:rsidR="00FF331B" w:rsidRDefault="00000000" w:rsidP="00FF331B">
      <w:pPr>
        <w:pStyle w:val="Ruller41"/>
        <w:rPr>
          <w:rFonts w:ascii="Century" w:hAnsi="Century"/>
          <w:rtl/>
        </w:rPr>
      </w:pPr>
      <w:r>
        <w:rPr>
          <w:rFonts w:ascii="Century" w:hAnsi="Century"/>
          <w:rtl/>
        </w:rPr>
        <w:t>12.</w:t>
      </w:r>
      <w:r>
        <w:rPr>
          <w:rFonts w:ascii="Century" w:hAnsi="Century"/>
          <w:rtl/>
        </w:rPr>
        <w:tab/>
        <w:t>על פסק דין זה הגישה המערערת ערעור לבית המשפט המחוזי. בדיון שנערך בערעור ביום 27.9.2023, ציינה המערערת כי היא מסתפקת בקבלת פרטיה המזהים של האם הביולוגית, ומתחייבת שלא ליצור עמה קשר. לנוכח האמור, הציע בית המשפט המחוזי כי עו"ס חוק האימוץ תיצור קשר פעם נוספת עם האם הביולוגית, ותבהיר לה שהמערערת מעוניינת רק לדעת את זהותה ומתחייבת לא ליצור קשר עמה או עם בני משפחתה. בית המשפט הוסיף והציע כי גורמי השירות למען הילד יעדכנו את המערערת כאשר ייוודע להם על פטירת האם הביולוגית, וכי המערערת תתחייב שגם אז לא תפנה לקרובי האם הביולוגית, אלא לבית המשפט. ואולם, עו"ס חוק האימוץ התנגדה במהלך הדיון להצעת בית המשפט, בציינה כי אף על פי שלא שאלה את האם הביולוגית מפורשות על האפשרות כי רק שמה ייחשף, היא משערת שהאם הביולוגית לא תסכים לכך. עו"ס חוק האימוץ ציינה כי לנוכח המצב הרגשי של האם הביולוגית יהיה זה "בניגוד לאמת המקצועית" שלה לפנות פעם נוספת אל האם בבקשה כאמור.</w:t>
      </w:r>
    </w:p>
    <w:p w14:paraId="5A16FECC" w14:textId="77777777" w:rsidR="00FF331B" w:rsidRDefault="00FF331B" w:rsidP="00FF331B">
      <w:pPr>
        <w:pStyle w:val="Ruller41"/>
        <w:rPr>
          <w:rFonts w:ascii="Century" w:hAnsi="Century"/>
          <w:rtl/>
        </w:rPr>
      </w:pPr>
    </w:p>
    <w:p w14:paraId="3F39BEE9" w14:textId="77777777" w:rsidR="00FF331B" w:rsidRDefault="00FF331B" w:rsidP="00FF331B">
      <w:pPr>
        <w:pStyle w:val="Ruller41"/>
        <w:rPr>
          <w:rFonts w:ascii="Century" w:hAnsi="Century"/>
          <w:rtl/>
        </w:rPr>
      </w:pPr>
    </w:p>
    <w:p w14:paraId="255DD294" w14:textId="77777777" w:rsidR="00FF331B" w:rsidRDefault="00FF331B" w:rsidP="00FF331B">
      <w:pPr>
        <w:pStyle w:val="Ruller41"/>
        <w:rPr>
          <w:rFonts w:ascii="Century" w:hAnsi="Century"/>
          <w:rtl/>
        </w:rPr>
      </w:pPr>
    </w:p>
    <w:p w14:paraId="1B643AC1" w14:textId="77777777" w:rsidR="00FF331B" w:rsidRDefault="00FF331B" w:rsidP="00FF331B">
      <w:pPr>
        <w:pStyle w:val="Ruller41"/>
        <w:rPr>
          <w:rFonts w:ascii="Century" w:hAnsi="Century" w:cs="Miriam"/>
          <w:b/>
          <w:spacing w:val="0"/>
          <w:szCs w:val="24"/>
          <w:rtl/>
        </w:rPr>
      </w:pPr>
    </w:p>
    <w:p w14:paraId="6F2EC06C" w14:textId="77777777" w:rsidR="00FF331B" w:rsidRDefault="00000000" w:rsidP="00FF331B">
      <w:pPr>
        <w:pStyle w:val="Ruller41"/>
        <w:rPr>
          <w:rFonts w:ascii="Century" w:hAnsi="Century" w:cs="Miriam"/>
          <w:b/>
          <w:spacing w:val="0"/>
          <w:szCs w:val="24"/>
          <w:rtl/>
        </w:rPr>
      </w:pPr>
      <w:r>
        <w:rPr>
          <w:rFonts w:ascii="Century" w:hAnsi="Century" w:cs="Miriam"/>
          <w:b/>
          <w:spacing w:val="0"/>
          <w:szCs w:val="24"/>
          <w:rtl/>
        </w:rPr>
        <w:t>פסק-דינו של בית המשפט המחוזי</w:t>
      </w:r>
    </w:p>
    <w:p w14:paraId="6F98E5EB" w14:textId="77777777" w:rsidR="00FF331B" w:rsidRDefault="00FF331B" w:rsidP="00FF331B">
      <w:pPr>
        <w:pStyle w:val="Ruller41"/>
        <w:rPr>
          <w:rFonts w:ascii="Century" w:hAnsi="Century" w:cs="Miriam"/>
          <w:b/>
          <w:spacing w:val="0"/>
          <w:szCs w:val="24"/>
          <w:rtl/>
        </w:rPr>
      </w:pPr>
    </w:p>
    <w:p w14:paraId="57B95DC8" w14:textId="77777777" w:rsidR="00FF331B" w:rsidRDefault="00000000" w:rsidP="00FF331B">
      <w:pPr>
        <w:pStyle w:val="Ruller41"/>
        <w:rPr>
          <w:rFonts w:ascii="Century" w:hAnsi="Century"/>
          <w:rtl/>
        </w:rPr>
      </w:pPr>
      <w:r>
        <w:rPr>
          <w:rFonts w:ascii="Century" w:hAnsi="Century"/>
          <w:rtl/>
        </w:rPr>
        <w:t>13.</w:t>
      </w:r>
      <w:r>
        <w:rPr>
          <w:rFonts w:ascii="Century" w:hAnsi="Century"/>
          <w:rtl/>
        </w:rPr>
        <w:tab/>
        <w:t>בית המשפט המחוזי דחה את הערעור וקבע כי לנוכח הנזק שעלול להיגרם לאם הביולוגית ולמשפחתה כתוצאה מחשיפת פרטיה המזהים בפני המערערת; ולמרות התרשמות בית המשפט כי רצון המערערת לגלות את זהות האם הביולוגית הוא "כן ואמתי" – הרי שבנסיבות העניין, רצונה של האם שפרטיה המזהים לא ייחשפו גובר על רצון המערערת לגלות את זהות אמה הביולוגית.</w:t>
      </w:r>
    </w:p>
    <w:p w14:paraId="7D4FB3C5" w14:textId="77777777" w:rsidR="00FF331B" w:rsidRDefault="00FF331B" w:rsidP="00FF331B">
      <w:pPr>
        <w:pStyle w:val="Ruller41"/>
        <w:rPr>
          <w:rFonts w:ascii="Century" w:hAnsi="Century"/>
          <w:rtl/>
        </w:rPr>
      </w:pPr>
    </w:p>
    <w:p w14:paraId="75B07EE7" w14:textId="77777777" w:rsidR="00FF331B" w:rsidRDefault="00000000" w:rsidP="00FF331B">
      <w:pPr>
        <w:pStyle w:val="Ruller41"/>
        <w:rPr>
          <w:rFonts w:ascii="Century" w:hAnsi="Century"/>
          <w:rtl/>
        </w:rPr>
      </w:pPr>
      <w:r>
        <w:rPr>
          <w:rFonts w:ascii="Century" w:hAnsi="Century"/>
          <w:rtl/>
        </w:rPr>
        <w:tab/>
        <w:t xml:space="preserve">בית המשפט המחוזי הדגיש, כי דברי ההסבר להצעת החוק שהובילה לחקיקת </w:t>
      </w:r>
      <w:hyperlink r:id="rId14"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מתמקדים באינטרסים של ההורה הביולוגי ומשפחתו; וכי גישה דומה אומצה גם בדו"ח הוועדה לבחינת חוק האימוץ והליכי אימוץ ילדים בישראל בראשות כב' השופט (בדימוס) יהושע גרוס (להלן: </w:t>
      </w:r>
      <w:r>
        <w:rPr>
          <w:rFonts w:ascii="Century" w:hAnsi="Century" w:cs="Miriam"/>
          <w:b/>
          <w:spacing w:val="0"/>
          <w:szCs w:val="24"/>
          <w:rtl/>
        </w:rPr>
        <w:t>דו"ח ועדת גרוס</w:t>
      </w:r>
      <w:r>
        <w:rPr>
          <w:rFonts w:ascii="Century" w:hAnsi="Century"/>
          <w:rtl/>
        </w:rPr>
        <w:t xml:space="preserve">). נקבע כי במקרה דנן, לנוכח נסיבות מסירת המערערת לאימוץ, והיעדר מוּדעות מצד משפחת האם הביולוגית לפרשת האימוץ, "נקל לשער את שעלול להתרחש לפרטי המשפחה עם היוודעו של הסוד"; וכי ראייה למצבה הנפשי הקשה של האם ניתן למצוא בתגובותיה לפניות אליה מטעם השירות למען הילד. עוד הודגש כי לעמדת עו"ס חוק האימוץ, עלול להיגרם לאם הביולוגית נזק ממשי ברמת סבירות גבוהה אם היא תתבקש פעם נוספת שפרטיה המזהים ייחשפו בפני המערערת; וכי האם מתייחסת לעניין האימוץ כאל "סוד נורא" שחשיפתו עלולה להוביל להתמוטטות עולמה. בית המשפט הוסיף כי אין בהכרעתו כדי להקים בכל מקרה "זכות וטו" להורה ביולוגי במקרים כגון דא, וכי יש להכריע בכל מקרה לפי נסיבותיו, תוך איזון בין האינטרס של המאומץ לאינטרס של ההורה. עוד נקבע, כי לאחר פטירת האם הביולוגית תוכל המערערת לפנות לבית המשפט ולטעון כי יש להורות על גילוי זהות האם בשל השתנות הנסיבות, בשים לב להוראות </w:t>
      </w:r>
      <w:hyperlink r:id="rId15" w:history="1">
        <w:r w:rsidR="00482AA5" w:rsidRPr="00482AA5">
          <w:rPr>
            <w:rFonts w:ascii="Century" w:hAnsi="Century" w:hint="eastAsia"/>
            <w:color w:val="0000FF"/>
            <w:u w:val="single"/>
            <w:rtl/>
          </w:rPr>
          <w:t>חוק</w:t>
        </w:r>
        <w:r w:rsidR="00482AA5" w:rsidRPr="00482AA5">
          <w:rPr>
            <w:rFonts w:ascii="Century" w:hAnsi="Century"/>
            <w:color w:val="0000FF"/>
            <w:u w:val="single"/>
            <w:rtl/>
          </w:rPr>
          <w:t xml:space="preserve"> </w:t>
        </w:r>
        <w:r w:rsidR="00482AA5" w:rsidRPr="00482AA5">
          <w:rPr>
            <w:rFonts w:ascii="Century" w:hAnsi="Century" w:hint="eastAsia"/>
            <w:color w:val="0000FF"/>
            <w:u w:val="single"/>
            <w:rtl/>
          </w:rPr>
          <w:t>הירושה</w:t>
        </w:r>
      </w:hyperlink>
      <w:r>
        <w:rPr>
          <w:rFonts w:ascii="Century" w:hAnsi="Century"/>
          <w:rtl/>
        </w:rPr>
        <w:t>, התשכ"ה-1965, אשר קובע זכות ירושה לפי דין של המאומץ וצאצאיו ביחס לבני משפחתו הביולוגית.</w:t>
      </w:r>
    </w:p>
    <w:p w14:paraId="0F016B51" w14:textId="77777777" w:rsidR="00FF331B" w:rsidRDefault="00FF331B" w:rsidP="00FF331B">
      <w:pPr>
        <w:pStyle w:val="Ruller41"/>
        <w:rPr>
          <w:rFonts w:ascii="Century" w:hAnsi="Century"/>
          <w:rtl/>
        </w:rPr>
      </w:pPr>
    </w:p>
    <w:p w14:paraId="447EBE98" w14:textId="77777777" w:rsidR="00FF331B" w:rsidRDefault="00000000" w:rsidP="00FF331B">
      <w:pPr>
        <w:pStyle w:val="Ruller41"/>
        <w:rPr>
          <w:rFonts w:ascii="Century" w:hAnsi="Century"/>
          <w:rtl/>
        </w:rPr>
      </w:pPr>
      <w:r>
        <w:rPr>
          <w:rFonts w:ascii="Century" w:hAnsi="Century"/>
          <w:rtl/>
        </w:rPr>
        <w:tab/>
        <w:t xml:space="preserve">על פסק-דין זה הוגשה הבקשה שלפנינו. </w:t>
      </w:r>
    </w:p>
    <w:p w14:paraId="4D62A196" w14:textId="77777777" w:rsidR="00FF331B" w:rsidRDefault="00FF331B" w:rsidP="00FF331B">
      <w:pPr>
        <w:pStyle w:val="Ruller41"/>
        <w:rPr>
          <w:rFonts w:ascii="Century" w:hAnsi="Century"/>
          <w:rtl/>
        </w:rPr>
      </w:pPr>
    </w:p>
    <w:p w14:paraId="5BDDE58F" w14:textId="77777777" w:rsidR="00FF331B" w:rsidRDefault="00000000" w:rsidP="00FF331B">
      <w:pPr>
        <w:pStyle w:val="Ruller41"/>
        <w:rPr>
          <w:rFonts w:ascii="Century" w:hAnsi="Century" w:cs="Miriam"/>
          <w:b/>
          <w:spacing w:val="0"/>
          <w:szCs w:val="24"/>
          <w:rtl/>
        </w:rPr>
      </w:pPr>
      <w:r>
        <w:rPr>
          <w:rFonts w:ascii="Century" w:hAnsi="Century" w:cs="Miriam"/>
          <w:b/>
          <w:spacing w:val="0"/>
          <w:szCs w:val="24"/>
          <w:rtl/>
        </w:rPr>
        <w:t>תמצית טענות הצדדים</w:t>
      </w:r>
    </w:p>
    <w:p w14:paraId="6ABC98A1" w14:textId="77777777" w:rsidR="00FF331B" w:rsidRDefault="00FF331B" w:rsidP="00FF331B">
      <w:pPr>
        <w:pStyle w:val="Ruller41"/>
        <w:rPr>
          <w:rFonts w:ascii="Century" w:hAnsi="Century" w:cs="Miriam"/>
          <w:b/>
          <w:spacing w:val="0"/>
          <w:szCs w:val="24"/>
          <w:rtl/>
        </w:rPr>
      </w:pPr>
    </w:p>
    <w:p w14:paraId="60385817" w14:textId="77777777" w:rsidR="00FF331B" w:rsidRDefault="00000000" w:rsidP="00FF331B">
      <w:pPr>
        <w:pStyle w:val="Ruller41"/>
        <w:rPr>
          <w:rFonts w:ascii="Century" w:hAnsi="Century"/>
          <w:rtl/>
        </w:rPr>
      </w:pPr>
      <w:r>
        <w:rPr>
          <w:rFonts w:ascii="Century" w:hAnsi="Century"/>
          <w:rtl/>
        </w:rPr>
        <w:t>14.</w:t>
      </w:r>
      <w:r>
        <w:rPr>
          <w:rFonts w:ascii="Century" w:hAnsi="Century"/>
          <w:rtl/>
        </w:rPr>
        <w:tab/>
        <w:t xml:space="preserve">המערערת טוענת כי בקשתה מעוררת שאלה משפטית עקרונית, ביחס לאיזון שנקבע </w:t>
      </w:r>
      <w:hyperlink r:id="rId16" w:history="1">
        <w:r w:rsidR="006132F7" w:rsidRPr="006132F7">
          <w:rPr>
            <w:rStyle w:val="Hyperlink"/>
            <w:rFonts w:ascii="Century" w:hAnsi="Century" w:hint="eastAsia"/>
            <w:rtl/>
          </w:rPr>
          <w:t>בסעיף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בין אינטרס המאומץ לדעת מנין בא לבין אינטרס ההורה הביולוגי בהגנה על זכותו לפרטיות ולסודיות. לגוף הדברים, המערערת מדגישה כי זכותו של אדם לדעת מיהם הוריו הביולוגיים היא "זכות נפילים" אשר נגזרת מכבוד האדם; וכי זכות זו מעגנת גם את זכות המערערת לרשת את הוריה הביולוגיים, ולהיות חסינה מהאפשרות שתפתח קשר זוגי עם בן משפחה ביולוגי. נטען כי למרות זאת, הפרקטיקה בשירות למען הילד מעניקה להורה הביולוגי זכות וטו ביחס לזכות המאומץ לעיין בתיק האימוץ; וכי הלכה למעשה, זו גם הגישה הנובעת מפסק דינו של בית המשפט המחוזי. עוד נטען, כי לא ניתן בענייננו משקל מספק לעובדה כי המפגש האחרון של גורמי השירות למען הילד עם האם הביולוגית התרחש בשנת 1999; וכי מאז השתנו הנסיבות הרלוונטיות באופן מהותי – כיום האם הביולוגית היא אלמנה כבת 75, ארבעת ילדיה נישאו וכבר יש לה נכדים, כך שאין היא עוד אישה צעירה אשר עתידה עלול להיפגע בשל גילוי פרשת האימוץ. </w:t>
      </w:r>
    </w:p>
    <w:p w14:paraId="6C985101" w14:textId="77777777" w:rsidR="00FF331B" w:rsidRDefault="00FF331B" w:rsidP="00FF331B">
      <w:pPr>
        <w:pStyle w:val="Ruller41"/>
        <w:rPr>
          <w:rFonts w:ascii="Century" w:hAnsi="Century"/>
          <w:rtl/>
        </w:rPr>
      </w:pPr>
    </w:p>
    <w:p w14:paraId="2A688DB9" w14:textId="77777777" w:rsidR="00FF331B" w:rsidRDefault="00000000" w:rsidP="00FF331B">
      <w:pPr>
        <w:pStyle w:val="Ruller41"/>
        <w:rPr>
          <w:rFonts w:ascii="Century" w:hAnsi="Century"/>
          <w:rtl/>
        </w:rPr>
      </w:pPr>
      <w:r>
        <w:rPr>
          <w:rFonts w:ascii="Century" w:hAnsi="Century"/>
          <w:rtl/>
        </w:rPr>
        <w:tab/>
        <w:t xml:space="preserve">עוד נטען, כי ההכרעה של הערכאות הקודמות התבססה אך על התחשבות במצבה הרגשי של האם הביולוגית, מבלי שהביאו בחשבון את מצבה הרגשי של המערערת, את תרופות ההרגעה שהיא נאלצת ליטול ו"את החור השחור שבליבת קיומה, המערער את חייה מדי יום". המערערת מדגישה כי היא אינה עומדת על מפגש עם האם הביולוגית, וכל רצונה הוא לממש את זכותה לעיין בפנקס האימוצים. </w:t>
      </w:r>
    </w:p>
    <w:p w14:paraId="0811BD84" w14:textId="77777777" w:rsidR="00FF331B" w:rsidRDefault="00FF331B" w:rsidP="00FF331B">
      <w:pPr>
        <w:pStyle w:val="Ruller41"/>
        <w:rPr>
          <w:rFonts w:ascii="Century" w:hAnsi="Century"/>
          <w:rtl/>
        </w:rPr>
      </w:pPr>
    </w:p>
    <w:p w14:paraId="2BA0131F" w14:textId="77777777" w:rsidR="00FF331B" w:rsidRDefault="00000000" w:rsidP="00FF331B">
      <w:pPr>
        <w:pStyle w:val="Ruller41"/>
        <w:rPr>
          <w:rFonts w:ascii="Century" w:hAnsi="Century"/>
          <w:rtl/>
        </w:rPr>
      </w:pPr>
      <w:r>
        <w:rPr>
          <w:rFonts w:ascii="Century" w:hAnsi="Century"/>
          <w:rtl/>
        </w:rPr>
        <w:t>15.</w:t>
      </w:r>
      <w:r>
        <w:rPr>
          <w:rFonts w:ascii="Century" w:hAnsi="Century"/>
          <w:rtl/>
        </w:rPr>
        <w:tab/>
        <w:t xml:space="preserve">מנגד, המשיבה טוענת כי דין הבקשה להידחות, וכי הכרעת בית המשפט המחוזי נטועה בנסיבות המקרה הפרטני, ועל כן אין הצדקה למתן רשות ערעור למערערת "בגלגול שלישי". לגוף הדברים, המשיבה מדגישה כי בית המשפט המחוזי קבע שיש להכריע בכל בקשה לפי </w:t>
      </w:r>
      <w:hyperlink r:id="rId17"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בהתאם לנסיבות המקרה; וכי במקרה דנן לא נפל פגם באיזון שערך בית המשפט המחוזי בין האינטרסים הרלוונטיים. המשיבה טוענת כי זכות ההורים הביולוגיים שלא לחשוף את זהותם היא חלק מזכותם לפרטיות; כי הזכות לפרטיות ולשמירת החיסיון בעניין האימוץ היא עיקרון בסיסי בדיני האימוץ; וכי בהפעלת שיקול הדעת לפי </w:t>
      </w:r>
      <w:hyperlink r:id="rId18"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יש להביא בחשבון גם את הצורך להגן על מוסד האימוץ, אשר כולל את זכות האם הביולוגית לפרטיות.</w:t>
      </w:r>
    </w:p>
    <w:p w14:paraId="370A5F82" w14:textId="77777777" w:rsidR="00FF331B" w:rsidRDefault="00FF331B" w:rsidP="00FF331B">
      <w:pPr>
        <w:pStyle w:val="Ruller41"/>
        <w:rPr>
          <w:rFonts w:ascii="Century" w:hAnsi="Century"/>
          <w:rtl/>
        </w:rPr>
      </w:pPr>
    </w:p>
    <w:p w14:paraId="23FED080" w14:textId="77777777" w:rsidR="00FF331B" w:rsidRDefault="00000000" w:rsidP="00FF331B">
      <w:pPr>
        <w:pStyle w:val="Ruller41"/>
        <w:rPr>
          <w:rFonts w:ascii="Century" w:hAnsi="Century"/>
          <w:rtl/>
        </w:rPr>
      </w:pPr>
      <w:r>
        <w:rPr>
          <w:rFonts w:ascii="Century" w:hAnsi="Century"/>
          <w:rtl/>
        </w:rPr>
        <w:tab/>
        <w:t xml:space="preserve">המשיבה מוסיפה וטוענת כי במקרים שבהם דנו בתי המשפט בבקשות לפי </w:t>
      </w:r>
      <w:hyperlink r:id="rId19"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וההורה הביולוגי סירב לחשיפת זהותו, בתי המשפט לא כפו עליו </w:t>
      </w:r>
      <w:r>
        <w:rPr>
          <w:rFonts w:ascii="Century" w:hAnsi="Century"/>
          <w:rtl/>
        </w:rPr>
        <w:lastRenderedPageBreak/>
        <w:t>את גילוי זהותו לילדו הביולוגי. המשיבה מדגישה כי אף בדו"ח ועדת גרוס, ההמלצה הכללית הייתה להימנע מלמסור למאומץ מידע מזהה על ההורה הביולוגי אם ההורה מסרב לכך. עם זאת, המשיבה מדגישה כי מדיניות השירות למען הילד אינה מעניקה זכות וטו להורה הביולוגי, אלא מאזנת בין האינטרסים השונים בהתאם לנסיבות המקרה. עוד נטען כי בנסיבות המקרה דנן, כאשר האם הביולוגית סירבה לאורך שנים להיפגש עם גורמי השירות למען הילד, ואף התחננה שגורמים אלו לא ייצרו עמה קשר, גורמי השירות פעלו כראוי כאשר חדלו מליצור עמה קשר וסרבו לבקשת המערערת; כי לפי התרשמות גורמי המקצוע בענייננו, קיימת סבירות גבוהה שייגרם נזק ממשי לאם הביולוגית אם היא תתבקש פעם נוספת לגלות את זהותה בפני המערערת; וכי לפיכך צדק בית המשפט המחוזי בתוצאה שאליה הגיע במקרה דנן.</w:t>
      </w:r>
    </w:p>
    <w:p w14:paraId="019182EA" w14:textId="77777777" w:rsidR="00FF331B" w:rsidRDefault="00FF331B" w:rsidP="00FF331B">
      <w:pPr>
        <w:pStyle w:val="Ruller41"/>
        <w:rPr>
          <w:rFonts w:ascii="Century" w:hAnsi="Century"/>
          <w:rtl/>
        </w:rPr>
      </w:pPr>
    </w:p>
    <w:p w14:paraId="4657F844" w14:textId="77777777" w:rsidR="00FF331B" w:rsidRDefault="00000000" w:rsidP="00FF331B">
      <w:pPr>
        <w:pStyle w:val="Ruller41"/>
        <w:rPr>
          <w:rFonts w:ascii="Century" w:hAnsi="Century"/>
          <w:rtl/>
        </w:rPr>
      </w:pPr>
      <w:r>
        <w:rPr>
          <w:rFonts w:ascii="Century" w:hAnsi="Century"/>
          <w:rtl/>
        </w:rPr>
        <w:tab/>
        <w:t xml:space="preserve">עוד טוענת המשיבה כי אין מקום ליישם את </w:t>
      </w:r>
      <w:hyperlink r:id="rId20"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באופן שימנע חשש שמאומץ או צאצאיו יקיימו קשר אינטימי שלא במסגרת נישואין עם קרובי משפחתם הביולוגית, שכן יישום כאמור יעניק זכות מוחלטת לכל מאומץ לעיין בתיק האימוץ וירוקן מתוכן את האיזונים עליהם הורה הסעיף. המשיבה מוסיפה ומבהירה התרחיש שהמערערת תירש את האם הביולוגית איננה רלוונטית כעת ולכן אין לדון בה. המשיבה מדגישה כי בכל אופן, כאשר מגיע לשירות למען הילד מידע על פטירת הורה ביולוגי, הוא מעביר את המידע למאומץ, זולת אם ההורה הביולוגי סירב בחייו לגלות את זהותו למאומץ, או בנסיבות חריגות אחרות, שאז השירות ימסור למאומץ את פרטי ההורה הביולוגי רק באישור בית המשפט. המשיבה מוסיפה, כי ניתן גם למנות למאומץ גורם שייצגו בתיק העיזבון של ההורה שנפטר, מבלי לחשוף את פרטי ההורה בפני המאומץ.</w:t>
      </w:r>
    </w:p>
    <w:p w14:paraId="37DC1774" w14:textId="77777777" w:rsidR="00FF331B" w:rsidRDefault="00000000" w:rsidP="00FF331B">
      <w:pPr>
        <w:pStyle w:val="Ruller41"/>
        <w:rPr>
          <w:rFonts w:ascii="Century" w:hAnsi="Century"/>
          <w:rtl/>
        </w:rPr>
      </w:pPr>
      <w:r>
        <w:rPr>
          <w:rFonts w:ascii="Century" w:hAnsi="Century"/>
          <w:rtl/>
        </w:rPr>
        <w:t xml:space="preserve"> </w:t>
      </w:r>
    </w:p>
    <w:p w14:paraId="117C9EC6" w14:textId="77777777" w:rsidR="00FF331B" w:rsidRDefault="00000000" w:rsidP="00FF331B">
      <w:pPr>
        <w:pStyle w:val="Ruller41"/>
        <w:rPr>
          <w:rFonts w:ascii="Century" w:hAnsi="Century" w:cs="Miriam"/>
          <w:b/>
          <w:spacing w:val="0"/>
          <w:szCs w:val="24"/>
          <w:rtl/>
        </w:rPr>
      </w:pPr>
      <w:r>
        <w:rPr>
          <w:rFonts w:ascii="Century" w:hAnsi="Century" w:cs="Miriam"/>
          <w:b/>
          <w:spacing w:val="0"/>
          <w:szCs w:val="24"/>
          <w:rtl/>
        </w:rPr>
        <w:t xml:space="preserve">דיון והכרעה </w:t>
      </w:r>
    </w:p>
    <w:p w14:paraId="74E3DF67" w14:textId="77777777" w:rsidR="00FF331B" w:rsidRDefault="00FF331B" w:rsidP="00FF331B">
      <w:pPr>
        <w:pStyle w:val="Ruller41"/>
        <w:rPr>
          <w:rFonts w:ascii="Century" w:hAnsi="Century"/>
          <w:rtl/>
        </w:rPr>
      </w:pPr>
    </w:p>
    <w:p w14:paraId="64FE6B93" w14:textId="77777777" w:rsidR="00FF331B" w:rsidRDefault="00000000" w:rsidP="00FF331B">
      <w:pPr>
        <w:pStyle w:val="Ruller41"/>
        <w:rPr>
          <w:rtl/>
        </w:rPr>
      </w:pPr>
      <w:r>
        <w:rPr>
          <w:rFonts w:ascii="Century" w:hAnsi="Century"/>
          <w:rtl/>
        </w:rPr>
        <w:t xml:space="preserve">16.      </w:t>
      </w:r>
      <w:r>
        <w:rPr>
          <w:rFonts w:ascii="Century" w:hAnsi="Century"/>
          <w:rtl/>
        </w:rPr>
        <w:tab/>
        <w:t xml:space="preserve">כאמור לעיל, במקרה דנן עלינו להכריע בשאלה, מהו האיזון שנקבע </w:t>
      </w:r>
      <w:hyperlink r:id="rId21" w:history="1">
        <w:r w:rsidR="006132F7" w:rsidRPr="006132F7">
          <w:rPr>
            <w:rStyle w:val="Hyperlink"/>
            <w:rFonts w:ascii="Century" w:hAnsi="Century" w:hint="eastAsia"/>
            <w:rtl/>
          </w:rPr>
          <w:t>בסעיף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האימוץ, בין רצון מאומץ לעיין בפנקס ולגלות את זהות הוריו הביולוגיים, לבין רצון ההורים שזהותם לא תיחשף בפני המאומץ. </w:t>
      </w:r>
      <w:r>
        <w:rPr>
          <w:rtl/>
        </w:rPr>
        <w:t xml:space="preserve">על מנת להעמיד תשתית לדיון בשאלה האמורה, נעמוד תחילה על מאפייניו העיקריים של מוסד האימוץ בישראל. לאחר מכן, נסקור את האינטרסים והזכויות אשר ניצבים בבסיס רצונותיהם האמורים של המאומץ ושל ההורים הביולוגיים, ובהמשך לכך נציג דרכים שבהם מוסדרת סוגיית האיזון בין הרצונות האמורים בשיטות משפט ברחבי העולם. בהתבסס על תשתית זו, נבחן את האיזון הנדון כאמור במסגרת </w:t>
      </w:r>
      <w:hyperlink r:id="rId22" w:history="1">
        <w:r w:rsidR="006132F7" w:rsidRPr="006132F7">
          <w:rPr>
            <w:rStyle w:val="Hyperlink"/>
            <w:rtl/>
          </w:rPr>
          <w:t>סעיף 30(ב)</w:t>
        </w:r>
      </w:hyperlink>
      <w:r>
        <w:rPr>
          <w:rtl/>
        </w:rPr>
        <w:t xml:space="preserve"> לחוק האימוץ.</w:t>
      </w:r>
    </w:p>
    <w:p w14:paraId="0F71DBAB" w14:textId="77777777" w:rsidR="00FF331B" w:rsidRDefault="00FF331B" w:rsidP="00FF331B">
      <w:pPr>
        <w:pStyle w:val="Ruller41"/>
        <w:rPr>
          <w:rtl/>
        </w:rPr>
      </w:pPr>
    </w:p>
    <w:p w14:paraId="1E04ECDD" w14:textId="77777777" w:rsidR="00FF331B" w:rsidRDefault="00000000" w:rsidP="00FF331B">
      <w:pPr>
        <w:pStyle w:val="Ruller41"/>
        <w:rPr>
          <w:rFonts w:ascii="Century" w:hAnsi="Century" w:cs="Miriam"/>
          <w:b/>
          <w:spacing w:val="0"/>
          <w:szCs w:val="24"/>
          <w:rtl/>
        </w:rPr>
      </w:pPr>
      <w:r>
        <w:rPr>
          <w:rFonts w:ascii="Century" w:hAnsi="Century" w:cs="Miriam"/>
          <w:b/>
          <w:spacing w:val="0"/>
          <w:szCs w:val="24"/>
          <w:rtl/>
        </w:rPr>
        <w:t>מוסד האימוץ בישראל – מאפיינים עיקריים</w:t>
      </w:r>
    </w:p>
    <w:p w14:paraId="3DFFA789" w14:textId="77777777" w:rsidR="00FF331B" w:rsidRDefault="00FF331B" w:rsidP="00FF331B">
      <w:pPr>
        <w:pStyle w:val="Ruller41"/>
        <w:rPr>
          <w:rFonts w:ascii="Century" w:hAnsi="Century" w:cs="Miriam"/>
          <w:b/>
          <w:spacing w:val="0"/>
          <w:szCs w:val="24"/>
          <w:rtl/>
        </w:rPr>
      </w:pPr>
    </w:p>
    <w:p w14:paraId="13CB1707" w14:textId="77777777" w:rsidR="00FF331B" w:rsidRDefault="00000000" w:rsidP="00FF331B">
      <w:pPr>
        <w:pStyle w:val="Ruller41"/>
        <w:rPr>
          <w:rFonts w:ascii="Century" w:hAnsi="Century"/>
          <w:rtl/>
        </w:rPr>
      </w:pPr>
      <w:r>
        <w:rPr>
          <w:rFonts w:ascii="Century" w:hAnsi="Century"/>
          <w:rtl/>
        </w:rPr>
        <w:t>17.</w:t>
      </w:r>
      <w:r>
        <w:rPr>
          <w:rFonts w:ascii="Century" w:hAnsi="Century"/>
          <w:rtl/>
        </w:rPr>
        <w:tab/>
        <w:t xml:space="preserve">באופן כללי, מוסד האימוץ בישראל הוא מהסוג המכונה "אימוץ סגור", אשר מאופיין בניתוק פיזי ומשפטי בין המאומץ להוריו הביולוגיים (ראו: </w:t>
      </w:r>
      <w:hyperlink r:id="rId23" w:history="1">
        <w:r w:rsidR="006132F7" w:rsidRPr="006132F7">
          <w:rPr>
            <w:rStyle w:val="Hyperlink"/>
            <w:rFonts w:ascii="Century" w:hAnsi="Century" w:hint="eastAsia"/>
            <w:rtl/>
          </w:rPr>
          <w:t>סעיף</w:t>
        </w:r>
        <w:r w:rsidR="006132F7" w:rsidRPr="006132F7">
          <w:rPr>
            <w:rStyle w:val="Hyperlink"/>
            <w:rFonts w:ascii="Century" w:hAnsi="Century"/>
            <w:rtl/>
          </w:rPr>
          <w:t xml:space="preserve"> 16</w:t>
        </w:r>
      </w:hyperlink>
      <w:r>
        <w:rPr>
          <w:rFonts w:ascii="Century" w:hAnsi="Century"/>
          <w:rtl/>
        </w:rPr>
        <w:t xml:space="preserve"> לחוק האימוץ). זאת, להבדיל מ"אימוץ פתוח", שבמסגרתו נשמר קשר מסוים בין הקטין המאומץ למשפחתו הביולוגית (עם זאת, במקרים חריגים שבהם טובת הילד מצדיקה זאת, חוק האימוץ מאפשר גם מקרים של "אימוץ פתוח", וראו: </w:t>
      </w:r>
      <w:hyperlink r:id="rId24" w:history="1">
        <w:r w:rsidR="006132F7" w:rsidRPr="006132F7">
          <w:rPr>
            <w:rStyle w:val="Hyperlink"/>
            <w:rFonts w:ascii="Century" w:hAnsi="Century" w:hint="eastAsia"/>
            <w:rtl/>
          </w:rPr>
          <w:t>סעיף</w:t>
        </w:r>
        <w:r w:rsidR="006132F7" w:rsidRPr="006132F7">
          <w:rPr>
            <w:rStyle w:val="Hyperlink"/>
            <w:rFonts w:ascii="Century" w:hAnsi="Century"/>
            <w:rtl/>
          </w:rPr>
          <w:t xml:space="preserve"> 16(1)</w:t>
        </w:r>
      </w:hyperlink>
      <w:r>
        <w:rPr>
          <w:rFonts w:ascii="Century" w:hAnsi="Century"/>
          <w:rtl/>
        </w:rPr>
        <w:t xml:space="preserve"> לחוק האימוץ; כן ראו, למשל: </w:t>
      </w:r>
      <w:hyperlink r:id="rId25" w:history="1">
        <w:r w:rsidR="00482AA5" w:rsidRPr="00482AA5">
          <w:rPr>
            <w:rFonts w:ascii="Century" w:hAnsi="Century" w:hint="eastAsia"/>
            <w:color w:val="0000FF"/>
            <w:u w:val="single"/>
            <w:rtl/>
          </w:rPr>
          <w:t>בע</w:t>
        </w:r>
        <w:r w:rsidR="00482AA5" w:rsidRPr="00482AA5">
          <w:rPr>
            <w:rFonts w:ascii="Century" w:hAnsi="Century"/>
            <w:color w:val="0000FF"/>
            <w:u w:val="single"/>
            <w:rtl/>
          </w:rPr>
          <w:t>"</w:t>
        </w:r>
        <w:r w:rsidR="00482AA5" w:rsidRPr="00482AA5">
          <w:rPr>
            <w:rFonts w:ascii="Century" w:hAnsi="Century" w:hint="eastAsia"/>
            <w:color w:val="0000FF"/>
            <w:u w:val="single"/>
            <w:rtl/>
          </w:rPr>
          <w:t>מ</w:t>
        </w:r>
        <w:r w:rsidR="00482AA5" w:rsidRPr="00482AA5">
          <w:rPr>
            <w:rFonts w:ascii="Century" w:hAnsi="Century"/>
            <w:color w:val="0000FF"/>
            <w:u w:val="single"/>
            <w:rtl/>
          </w:rPr>
          <w:t xml:space="preserve"> 366/06</w:t>
        </w:r>
      </w:hyperlink>
      <w:r>
        <w:rPr>
          <w:rFonts w:ascii="Century" w:hAnsi="Century"/>
          <w:rtl/>
        </w:rPr>
        <w:t xml:space="preserve"> </w:t>
      </w:r>
      <w:r>
        <w:rPr>
          <w:rFonts w:ascii="Century" w:hAnsi="Century" w:cs="Miriam"/>
          <w:b/>
          <w:spacing w:val="0"/>
          <w:szCs w:val="24"/>
          <w:rtl/>
        </w:rPr>
        <w:t>פלוני נ' היועץ המשפטי לממשלה</w:t>
      </w:r>
      <w:r>
        <w:rPr>
          <w:rFonts w:ascii="Century" w:hAnsi="Century"/>
          <w:rtl/>
        </w:rPr>
        <w:t xml:space="preserve">, פס' 31 </w:t>
      </w:r>
      <w:r w:rsidR="00743F8C">
        <w:rPr>
          <w:rFonts w:ascii="Century" w:hAnsi="Century" w:hint="cs"/>
          <w:rtl/>
        </w:rPr>
        <w:t xml:space="preserve">[נבו] </w:t>
      </w:r>
      <w:r>
        <w:rPr>
          <w:rFonts w:ascii="Century" w:hAnsi="Century"/>
          <w:rtl/>
        </w:rPr>
        <w:t xml:space="preserve">(14.2.2007); </w:t>
      </w:r>
      <w:hyperlink r:id="rId26" w:history="1">
        <w:r w:rsidR="00482AA5" w:rsidRPr="00482AA5">
          <w:rPr>
            <w:rFonts w:ascii="Century" w:hAnsi="Century" w:hint="eastAsia"/>
            <w:color w:val="0000FF"/>
            <w:u w:val="single"/>
            <w:rtl/>
          </w:rPr>
          <w:t>בע</w:t>
        </w:r>
        <w:r w:rsidR="00482AA5" w:rsidRPr="00482AA5">
          <w:rPr>
            <w:rFonts w:ascii="Century" w:hAnsi="Century"/>
            <w:color w:val="0000FF"/>
            <w:u w:val="single"/>
            <w:rtl/>
          </w:rPr>
          <w:t>"</w:t>
        </w:r>
        <w:r w:rsidR="00482AA5" w:rsidRPr="00482AA5">
          <w:rPr>
            <w:rFonts w:ascii="Century" w:hAnsi="Century" w:hint="eastAsia"/>
            <w:color w:val="0000FF"/>
            <w:u w:val="single"/>
            <w:rtl/>
          </w:rPr>
          <w:t>מ</w:t>
        </w:r>
        <w:r w:rsidR="00482AA5" w:rsidRPr="00482AA5">
          <w:rPr>
            <w:rFonts w:ascii="Century" w:hAnsi="Century"/>
            <w:color w:val="0000FF"/>
            <w:u w:val="single"/>
            <w:rtl/>
          </w:rPr>
          <w:t xml:space="preserve"> 1845/07</w:t>
        </w:r>
      </w:hyperlink>
      <w:r>
        <w:rPr>
          <w:rFonts w:ascii="Century" w:hAnsi="Century"/>
          <w:rtl/>
        </w:rPr>
        <w:t xml:space="preserve"> </w:t>
      </w:r>
      <w:r>
        <w:rPr>
          <w:rFonts w:ascii="Century" w:hAnsi="Century" w:cs="Miriam"/>
          <w:b/>
          <w:spacing w:val="0"/>
          <w:szCs w:val="24"/>
          <w:rtl/>
        </w:rPr>
        <w:t>פלונית נ' היועץ המשפטי לממשלה</w:t>
      </w:r>
      <w:r>
        <w:rPr>
          <w:rFonts w:ascii="Century" w:hAnsi="Century"/>
          <w:rtl/>
        </w:rPr>
        <w:t xml:space="preserve">, פס' 19 </w:t>
      </w:r>
      <w:r w:rsidR="00743F8C">
        <w:rPr>
          <w:rFonts w:ascii="Century" w:hAnsi="Century" w:hint="cs"/>
          <w:rtl/>
        </w:rPr>
        <w:t xml:space="preserve">[נבו] </w:t>
      </w:r>
      <w:r>
        <w:rPr>
          <w:rFonts w:ascii="Century" w:hAnsi="Century"/>
          <w:rtl/>
        </w:rPr>
        <w:t xml:space="preserve">(16.4.2008)). </w:t>
      </w:r>
    </w:p>
    <w:p w14:paraId="713F1C5D" w14:textId="77777777" w:rsidR="00FF331B" w:rsidRDefault="00FF331B" w:rsidP="00FF331B">
      <w:pPr>
        <w:pStyle w:val="Ruller41"/>
        <w:rPr>
          <w:rFonts w:ascii="Century" w:hAnsi="Century"/>
          <w:rtl/>
        </w:rPr>
      </w:pPr>
    </w:p>
    <w:p w14:paraId="1D301E2A" w14:textId="77777777" w:rsidR="00FF331B" w:rsidRDefault="00000000" w:rsidP="00FF331B">
      <w:pPr>
        <w:pStyle w:val="Ruller41"/>
        <w:rPr>
          <w:rFonts w:ascii="Century" w:hAnsi="Century"/>
          <w:rtl/>
        </w:rPr>
      </w:pPr>
      <w:r>
        <w:rPr>
          <w:rFonts w:ascii="Century" w:hAnsi="Century"/>
          <w:rtl/>
        </w:rPr>
        <w:t>18.</w:t>
      </w:r>
      <w:r>
        <w:rPr>
          <w:rFonts w:ascii="Century" w:hAnsi="Century"/>
          <w:rtl/>
        </w:rPr>
        <w:tab/>
        <w:t xml:space="preserve">לנוכח האמור, חוק האימוץ קובע חיסיון על פרטים שעשויים להוביל לזיהוי ההורה הביולוגי, המאומץ והמאמץ (ראו: </w:t>
      </w:r>
      <w:hyperlink r:id="rId27" w:history="1">
        <w:r w:rsidR="006132F7" w:rsidRPr="006132F7">
          <w:rPr>
            <w:rStyle w:val="Hyperlink"/>
            <w:rFonts w:ascii="Century" w:hAnsi="Century" w:hint="eastAsia"/>
            <w:rtl/>
          </w:rPr>
          <w:t>סעיפים</w:t>
        </w:r>
        <w:r w:rsidR="006132F7" w:rsidRPr="006132F7">
          <w:rPr>
            <w:rStyle w:val="Hyperlink"/>
            <w:rFonts w:ascii="Century" w:hAnsi="Century"/>
            <w:rtl/>
          </w:rPr>
          <w:t xml:space="preserve"> 30</w:t>
        </w:r>
      </w:hyperlink>
      <w:r>
        <w:rPr>
          <w:rFonts w:ascii="Century" w:hAnsi="Century"/>
          <w:rtl/>
        </w:rPr>
        <w:t xml:space="preserve"> ו-</w:t>
      </w:r>
      <w:hyperlink r:id="rId28" w:history="1">
        <w:r w:rsidR="006132F7" w:rsidRPr="006132F7">
          <w:rPr>
            <w:rStyle w:val="Hyperlink"/>
            <w:rFonts w:ascii="Century" w:hAnsi="Century"/>
            <w:rtl/>
          </w:rPr>
          <w:t>34</w:t>
        </w:r>
      </w:hyperlink>
      <w:r>
        <w:rPr>
          <w:rFonts w:ascii="Century" w:hAnsi="Century"/>
          <w:rtl/>
        </w:rPr>
        <w:t xml:space="preserve"> לחוק האימוץ). פרטים מזהים כאמור שמורים ב"פנקס האימוצים" (להלן גם: </w:t>
      </w:r>
      <w:r>
        <w:rPr>
          <w:rFonts w:ascii="Century" w:hAnsi="Century" w:cs="Miriam"/>
          <w:b/>
          <w:spacing w:val="0"/>
          <w:szCs w:val="24"/>
          <w:rtl/>
        </w:rPr>
        <w:t>הפנקס</w:t>
      </w:r>
      <w:r>
        <w:rPr>
          <w:rFonts w:ascii="Century" w:hAnsi="Century"/>
          <w:rtl/>
        </w:rPr>
        <w:t xml:space="preserve">), אשר מנוהל בידי רשם שממנה שר המשפטים (ראו: </w:t>
      </w:r>
      <w:hyperlink r:id="rId29" w:history="1">
        <w:r w:rsidR="006132F7" w:rsidRPr="006132F7">
          <w:rPr>
            <w:rStyle w:val="Hyperlink"/>
            <w:rFonts w:ascii="Century" w:hAnsi="Century" w:hint="eastAsia"/>
            <w:rtl/>
          </w:rPr>
          <w:t>סעיף</w:t>
        </w:r>
        <w:r w:rsidR="006132F7" w:rsidRPr="006132F7">
          <w:rPr>
            <w:rStyle w:val="Hyperlink"/>
            <w:rFonts w:ascii="Century" w:hAnsi="Century"/>
            <w:rtl/>
          </w:rPr>
          <w:t xml:space="preserve"> 29</w:t>
        </w:r>
      </w:hyperlink>
      <w:r>
        <w:rPr>
          <w:rFonts w:ascii="Century" w:hAnsi="Century"/>
          <w:rtl/>
        </w:rPr>
        <w:t xml:space="preserve"> לחוק) וכולל פרטים שונים שנקבעו ב</w:t>
      </w:r>
      <w:hyperlink r:id="rId30" w:history="1">
        <w:r w:rsidR="00482AA5" w:rsidRPr="00482AA5">
          <w:rPr>
            <w:rFonts w:ascii="Century" w:hAnsi="Century" w:hint="eastAsia"/>
            <w:color w:val="0000FF"/>
            <w:u w:val="single"/>
            <w:rtl/>
          </w:rPr>
          <w:t>תקנות</w:t>
        </w:r>
        <w:r w:rsidR="00482AA5" w:rsidRPr="00482AA5">
          <w:rPr>
            <w:rFonts w:ascii="Century" w:hAnsi="Century"/>
            <w:color w:val="0000FF"/>
            <w:u w:val="single"/>
            <w:rtl/>
          </w:rPr>
          <w:t xml:space="preserve"> </w:t>
        </w:r>
        <w:r w:rsidR="00482AA5" w:rsidRPr="00482AA5">
          <w:rPr>
            <w:rFonts w:ascii="Century" w:hAnsi="Century" w:hint="eastAsia"/>
            <w:color w:val="0000FF"/>
            <w:u w:val="single"/>
            <w:rtl/>
          </w:rPr>
          <w:t>פנקס</w:t>
        </w:r>
        <w:r w:rsidR="00482AA5" w:rsidRPr="00482AA5">
          <w:rPr>
            <w:rFonts w:ascii="Century" w:hAnsi="Century"/>
            <w:color w:val="0000FF"/>
            <w:u w:val="single"/>
            <w:rtl/>
          </w:rPr>
          <w:t xml:space="preserve"> </w:t>
        </w:r>
        <w:r w:rsidR="00482AA5" w:rsidRPr="00482AA5">
          <w:rPr>
            <w:rFonts w:ascii="Century" w:hAnsi="Century" w:hint="eastAsia"/>
            <w:color w:val="0000FF"/>
            <w:u w:val="single"/>
            <w:rtl/>
          </w:rPr>
          <w:t>האימוצים</w:t>
        </w:r>
      </w:hyperlink>
      <w:r>
        <w:rPr>
          <w:rFonts w:ascii="Century" w:hAnsi="Century"/>
          <w:rtl/>
        </w:rPr>
        <w:t xml:space="preserve">, התשכ"ד-1964. בין היתר, הפנקס כולל את שם המאומץ לפי צו האימוץ ולפניו; תאריך ומקום לידתו של המאומץ; שמות ההורים הביולוגיים, דתם ואזרחותם; ושמות המאמצים ואזרחותם (שם, </w:t>
      </w:r>
      <w:hyperlink r:id="rId31" w:history="1">
        <w:r w:rsidR="006132F7" w:rsidRPr="006132F7">
          <w:rPr>
            <w:rStyle w:val="Hyperlink"/>
            <w:rFonts w:ascii="Century" w:hAnsi="Century" w:hint="eastAsia"/>
            <w:rtl/>
          </w:rPr>
          <w:t>תקנה</w:t>
        </w:r>
        <w:r w:rsidR="006132F7" w:rsidRPr="006132F7">
          <w:rPr>
            <w:rStyle w:val="Hyperlink"/>
            <w:rFonts w:ascii="Century" w:hAnsi="Century"/>
            <w:rtl/>
          </w:rPr>
          <w:t xml:space="preserve"> 3).</w:t>
        </w:r>
      </w:hyperlink>
      <w:r>
        <w:rPr>
          <w:rFonts w:ascii="Century" w:hAnsi="Century"/>
          <w:rtl/>
        </w:rPr>
        <w:t xml:space="preserve"> מעבר למידע שבפנקס האימוצים, השירות למען הילד מחזיק מידע נוסף הנוגע להליכי אימוץ שיצאו לפועל. לעומת הפנקס, מעמדו של המידע האמור אינו מוסדר בחוק, והוא מרוכז בתיק נפרד לכל מאומץ ומכונה "תיק אימוץ" (דו"ח ועדת גרוס, בעמ' 142-141). בין היתר, מידע זה כולל פרטים נוספים על ההורים הביולוגיים, לרבות מידע רפואי בעניינם; חוות דעת של גורמי מקצוע; מידע על המאומץ מיום לידתו ועד ליום השלמת האימוץ; מידע על נסיבות לידתו ומסירתו לאימוץ, כמו גם על ההליכים המשפטיים שהתנהלו בעניינו; ועוד (שם).</w:t>
      </w:r>
    </w:p>
    <w:p w14:paraId="5A01E6D5" w14:textId="77777777" w:rsidR="00FF331B" w:rsidRDefault="00FF331B" w:rsidP="00FF331B">
      <w:pPr>
        <w:pStyle w:val="Ruller41"/>
        <w:rPr>
          <w:rFonts w:ascii="Century" w:hAnsi="Century"/>
          <w:rtl/>
        </w:rPr>
      </w:pPr>
    </w:p>
    <w:p w14:paraId="16014E5A" w14:textId="77777777" w:rsidR="00FF331B" w:rsidRDefault="00000000" w:rsidP="00FF331B">
      <w:pPr>
        <w:pStyle w:val="Ruller41"/>
        <w:rPr>
          <w:rFonts w:ascii="Century" w:hAnsi="Century"/>
          <w:rtl/>
        </w:rPr>
      </w:pPr>
      <w:r>
        <w:rPr>
          <w:rFonts w:ascii="Century" w:hAnsi="Century"/>
          <w:rtl/>
        </w:rPr>
        <w:t>19.</w:t>
      </w:r>
      <w:r>
        <w:rPr>
          <w:rFonts w:ascii="Century" w:hAnsi="Century"/>
          <w:rtl/>
        </w:rPr>
        <w:tab/>
        <w:t xml:space="preserve">ככלל, פנקס האימוצים אינו פתוח לעיון, והחריגים לכלל זה מוסדרים במסגרת </w:t>
      </w:r>
      <w:hyperlink r:id="rId32"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hyperlink>
      <w:r>
        <w:rPr>
          <w:rFonts w:ascii="Century" w:hAnsi="Century"/>
          <w:rtl/>
        </w:rPr>
        <w:t xml:space="preserve"> לחוק, אשר קובע כדלקמן: </w:t>
      </w:r>
    </w:p>
    <w:p w14:paraId="4B27856C" w14:textId="77777777" w:rsidR="00FF331B" w:rsidRDefault="00FF331B" w:rsidP="00FF331B">
      <w:pPr>
        <w:pStyle w:val="Ruller41"/>
        <w:rPr>
          <w:rFonts w:ascii="Century" w:hAnsi="Century"/>
          <w:rtl/>
        </w:rPr>
      </w:pPr>
    </w:p>
    <w:p w14:paraId="463658F3" w14:textId="77777777" w:rsidR="00FF331B" w:rsidRDefault="00000000" w:rsidP="00FF331B">
      <w:pPr>
        <w:pStyle w:val="Ruller5"/>
        <w:rPr>
          <w:rStyle w:val="big-number"/>
          <w:rFonts w:cs="Miriam"/>
          <w:b/>
          <w:spacing w:val="0"/>
          <w:szCs w:val="24"/>
          <w:rtl/>
        </w:rPr>
      </w:pPr>
      <w:r>
        <w:rPr>
          <w:rStyle w:val="big-number"/>
          <w:rFonts w:ascii="Century" w:hAnsi="Century" w:cs="Miriam"/>
          <w:b/>
          <w:spacing w:val="0"/>
          <w:szCs w:val="24"/>
          <w:rtl/>
        </w:rPr>
        <w:t>עיון בפנקס</w:t>
      </w:r>
    </w:p>
    <w:p w14:paraId="2DFF3E84" w14:textId="77777777" w:rsidR="00FF331B" w:rsidRDefault="00000000" w:rsidP="00FF331B">
      <w:pPr>
        <w:pStyle w:val="Ruller5"/>
        <w:rPr>
          <w:rFonts w:ascii="Times New Roman" w:hAnsi="Times New Roman" w:cs="Times New Roman"/>
          <w:sz w:val="20"/>
          <w:szCs w:val="20"/>
          <w:rtl/>
        </w:rPr>
      </w:pPr>
      <w:r>
        <w:rPr>
          <w:rtl/>
        </w:rPr>
        <w:t xml:space="preserve">30. </w:t>
      </w:r>
      <w:r>
        <w:rPr>
          <w:rStyle w:val="default"/>
          <w:rFonts w:ascii="FrankRuehl" w:hAnsi="FrankRuehl"/>
          <w:color w:val="000000"/>
          <w:sz w:val="26"/>
          <w:szCs w:val="26"/>
          <w:rtl/>
        </w:rPr>
        <w:t>(א)</w:t>
      </w:r>
      <w:r w:rsidR="00482AA5">
        <w:rPr>
          <w:rStyle w:val="default"/>
          <w:rFonts w:ascii="FrankRuehl" w:hAnsi="FrankRuehl"/>
          <w:color w:val="000000"/>
          <w:sz w:val="26"/>
          <w:szCs w:val="26"/>
          <w:rtl/>
        </w:rPr>
        <w:t xml:space="preserve"> </w:t>
      </w:r>
      <w:r>
        <w:rPr>
          <w:rStyle w:val="default"/>
          <w:rFonts w:ascii="FrankRuehl" w:hAnsi="FrankRuehl"/>
          <w:color w:val="000000"/>
          <w:sz w:val="26"/>
          <w:szCs w:val="26"/>
          <w:rtl/>
        </w:rPr>
        <w:t>פנקס האימוצים לא יהיה פתוח לעיון, ואולם רשאי לעיין בו –</w:t>
      </w:r>
    </w:p>
    <w:p w14:paraId="340E186F" w14:textId="77777777" w:rsidR="00FF331B" w:rsidRDefault="00000000" w:rsidP="00FF331B">
      <w:pPr>
        <w:pStyle w:val="Ruller5"/>
        <w:rPr>
          <w:sz w:val="20"/>
          <w:szCs w:val="20"/>
          <w:rtl/>
        </w:rPr>
      </w:pPr>
      <w:r>
        <w:rPr>
          <w:rStyle w:val="default"/>
          <w:rFonts w:ascii="FrankRuehl" w:hAnsi="FrankRuehl"/>
          <w:color w:val="000000"/>
          <w:sz w:val="26"/>
          <w:szCs w:val="26"/>
          <w:rtl/>
        </w:rPr>
        <w:t>(1) היועץ המשפטי לממשלה או בא כוחו;</w:t>
      </w:r>
    </w:p>
    <w:p w14:paraId="1BCC22EF" w14:textId="77777777" w:rsidR="00FF331B" w:rsidRDefault="00000000" w:rsidP="00FF331B">
      <w:pPr>
        <w:pStyle w:val="Ruller5"/>
        <w:rPr>
          <w:sz w:val="20"/>
          <w:szCs w:val="20"/>
          <w:rtl/>
        </w:rPr>
      </w:pPr>
      <w:r>
        <w:rPr>
          <w:rStyle w:val="default"/>
          <w:rFonts w:ascii="FrankRuehl" w:hAnsi="FrankRuehl"/>
          <w:color w:val="000000"/>
          <w:sz w:val="26"/>
          <w:szCs w:val="26"/>
          <w:rtl/>
        </w:rPr>
        <w:lastRenderedPageBreak/>
        <w:t>(2) רושם נישואין או מי שהוא הסמיך לכך, כשהעיון דרוש למילוי תפקידו הרשמי;</w:t>
      </w:r>
    </w:p>
    <w:p w14:paraId="0164DEAE" w14:textId="77777777" w:rsidR="00FF331B" w:rsidRDefault="00000000" w:rsidP="00FF331B">
      <w:pPr>
        <w:pStyle w:val="Ruller5"/>
        <w:rPr>
          <w:sz w:val="20"/>
          <w:szCs w:val="20"/>
        </w:rPr>
      </w:pPr>
      <w:r>
        <w:rPr>
          <w:rStyle w:val="default"/>
          <w:rFonts w:ascii="FrankRuehl" w:hAnsi="FrankRuehl"/>
          <w:color w:val="000000"/>
          <w:sz w:val="26"/>
          <w:szCs w:val="26"/>
          <w:rtl/>
        </w:rPr>
        <w:t>(3) עובד סוציאלי ראשי כאמור בסעיף 36(ב).</w:t>
      </w:r>
    </w:p>
    <w:p w14:paraId="15BF6100" w14:textId="77777777" w:rsidR="00FF331B" w:rsidRDefault="00000000" w:rsidP="00FF331B">
      <w:pPr>
        <w:pStyle w:val="Ruller5"/>
        <w:rPr>
          <w:sz w:val="20"/>
          <w:szCs w:val="20"/>
          <w:rtl/>
        </w:rPr>
      </w:pPr>
      <w:r>
        <w:rPr>
          <w:rStyle w:val="default"/>
          <w:rFonts w:ascii="FrankRuehl" w:hAnsi="FrankRuehl"/>
          <w:color w:val="000000"/>
          <w:sz w:val="26"/>
          <w:szCs w:val="26"/>
          <w:rtl/>
        </w:rPr>
        <w:t>(ב)</w:t>
      </w:r>
      <w:r w:rsidR="00482AA5">
        <w:rPr>
          <w:rStyle w:val="default"/>
          <w:rFonts w:ascii="FrankRuehl" w:hAnsi="FrankRuehl"/>
          <w:color w:val="000000"/>
          <w:sz w:val="26"/>
          <w:szCs w:val="26"/>
          <w:rtl/>
        </w:rPr>
        <w:t xml:space="preserve"> </w:t>
      </w:r>
      <w:r>
        <w:rPr>
          <w:rStyle w:val="default"/>
          <w:rFonts w:ascii="Century" w:hAnsi="Century" w:cs="Miriam"/>
          <w:b/>
          <w:spacing w:val="0"/>
          <w:szCs w:val="24"/>
          <w:rtl/>
        </w:rPr>
        <w:t>לפי בקשת מאומץ שמלאו לו 18 שנים, רשאי עובד סוציאלי לפי חוק האימוץ להתיר לו לעיין בפנקס ברישום המתייחס אליו; סירב העובד הסוציאלי לבקשה, רשאי בית המשפט להתיר את העיון לאחר קבלת תסקיר מעובד סוציאלי לפי חוק האימוץ</w:t>
      </w:r>
      <w:r>
        <w:rPr>
          <w:rStyle w:val="default"/>
          <w:rFonts w:ascii="FrankRuehl" w:hAnsi="FrankRuehl"/>
          <w:color w:val="000000"/>
          <w:sz w:val="26"/>
          <w:szCs w:val="26"/>
          <w:rtl/>
        </w:rPr>
        <w:t>.</w:t>
      </w:r>
    </w:p>
    <w:p w14:paraId="69F901C8" w14:textId="77777777" w:rsidR="00FF331B" w:rsidRDefault="00000000" w:rsidP="00FF331B">
      <w:pPr>
        <w:pStyle w:val="Ruller5"/>
        <w:rPr>
          <w:sz w:val="20"/>
          <w:szCs w:val="20"/>
          <w:rtl/>
        </w:rPr>
      </w:pPr>
      <w:r>
        <w:rPr>
          <w:rStyle w:val="default"/>
          <w:rFonts w:ascii="FrankRuehl" w:hAnsi="FrankRuehl"/>
          <w:color w:val="000000"/>
          <w:sz w:val="26"/>
          <w:szCs w:val="26"/>
          <w:rtl/>
        </w:rPr>
        <w:t>(ג)</w:t>
      </w:r>
      <w:r w:rsidR="00482AA5">
        <w:rPr>
          <w:rStyle w:val="default"/>
          <w:rFonts w:ascii="FrankRuehl" w:hAnsi="FrankRuehl"/>
          <w:color w:val="000000"/>
          <w:sz w:val="26"/>
          <w:szCs w:val="26"/>
          <w:rtl/>
        </w:rPr>
        <w:t xml:space="preserve"> </w:t>
      </w:r>
      <w:r w:rsidR="00482AA5">
        <w:t xml:space="preserve"> </w:t>
      </w:r>
      <w:r>
        <w:rPr>
          <w:rtl/>
        </w:rPr>
        <w:t>היה האימוץ בין-ארצי, לא יתיר עובד סוציאלי לפי חוק האימוץ עיון בפנקס אלא לאחר התייעצות עם העמותה המוכרת שטיפלה באימוץ.</w:t>
      </w:r>
    </w:p>
    <w:p w14:paraId="10C6579F" w14:textId="77777777" w:rsidR="00FF331B" w:rsidRDefault="00FF331B" w:rsidP="00FF331B">
      <w:pPr>
        <w:pStyle w:val="Ruller41"/>
        <w:rPr>
          <w:rFonts w:ascii="Century" w:hAnsi="Century"/>
          <w:rtl/>
        </w:rPr>
      </w:pPr>
    </w:p>
    <w:p w14:paraId="241C3798" w14:textId="77777777" w:rsidR="00FF331B" w:rsidRDefault="00000000" w:rsidP="00FF331B">
      <w:pPr>
        <w:pStyle w:val="Ruller41"/>
        <w:rPr>
          <w:rFonts w:ascii="Century" w:hAnsi="Century"/>
          <w:rtl/>
        </w:rPr>
      </w:pPr>
      <w:r>
        <w:rPr>
          <w:rFonts w:ascii="Century" w:hAnsi="Century"/>
          <w:rtl/>
        </w:rPr>
        <w:t>20.</w:t>
      </w:r>
      <w:r>
        <w:rPr>
          <w:rFonts w:ascii="Century" w:hAnsi="Century"/>
          <w:rtl/>
        </w:rPr>
        <w:tab/>
        <w:t xml:space="preserve">כבמבואר לעיל, במוקד דיוננו ניצב האיזון הקבוע </w:t>
      </w:r>
      <w:hyperlink r:id="rId33" w:history="1">
        <w:r w:rsidR="006132F7" w:rsidRPr="006132F7">
          <w:rPr>
            <w:rStyle w:val="Hyperlink"/>
            <w:rFonts w:ascii="Century" w:hAnsi="Century" w:hint="eastAsia"/>
            <w:rtl/>
          </w:rPr>
          <w:t>בסעיף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בין רצון מאומץ לעיין בפנקס ולגלות את זהות הוריו הביולוגיים, לבין רצונו של הורה למנוע גילוי כאמור [יוער, כי לפי הפרקטיקה הנוהגת, מאומץ אשר מגיש בקשה לפי </w:t>
      </w:r>
      <w:hyperlink r:id="rId34"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מקבל מהשירות למען הילד מידע מתיק האימוץ, שאין בו כדי להוביל לחשיפת ההורים הביולוגיים, וזאת מבלי שמתבקשת לכך הסכמתם. מידע זה עשוי לכלול, בין השאר, מידע על עברו של המאומץ; פרטים שונים, לא מזהים על ההורים הביולוגיים; ומידע על נסיבות המסירה לאימוץ (דו"ח ועדת גרוס, בעמ' 142). כמפורט לעיל, מידע מסוג זה גם נמסר למערערת במקרה דנן]. </w:t>
      </w:r>
    </w:p>
    <w:p w14:paraId="698D8AF9" w14:textId="77777777" w:rsidR="00FF331B" w:rsidRDefault="00FF331B" w:rsidP="00FF331B">
      <w:pPr>
        <w:pStyle w:val="Ruller41"/>
        <w:rPr>
          <w:rFonts w:ascii="Century" w:hAnsi="Century"/>
          <w:rtl/>
        </w:rPr>
      </w:pPr>
    </w:p>
    <w:p w14:paraId="76195A9B" w14:textId="77777777" w:rsidR="00FF331B" w:rsidRDefault="00000000" w:rsidP="00FF331B">
      <w:pPr>
        <w:pStyle w:val="Ruller41"/>
        <w:rPr>
          <w:rFonts w:ascii="Century" w:hAnsi="Century"/>
          <w:rtl/>
        </w:rPr>
      </w:pPr>
      <w:r>
        <w:rPr>
          <w:rFonts w:ascii="Century" w:hAnsi="Century"/>
          <w:rtl/>
        </w:rPr>
        <w:t>21.</w:t>
      </w:r>
      <w:r>
        <w:rPr>
          <w:rFonts w:ascii="Century" w:hAnsi="Century"/>
          <w:rtl/>
        </w:rPr>
        <w:tab/>
        <w:t>לאחר שסקרנו בתמצית את מאפייניו העיקריים של מוסד האימוץ בישראל, נעמוד על האינטרסים העיקריים והזכויות הניצבים בבסיס רצונו של מאומץ לגלות את זהות הוריו הביולוגיים, מצד אחד; ועל אלו שבבסיס רצונו של הורה ביולוגי למנוע גילוי כאמור, מצד שני. כפי שיבואר להלן, שני הרצונות האמורים מעוגנים באינטרסים חשובים וכבדי-משקל, בעלי מעמד נכבד בשיטתנו המשפטית.</w:t>
      </w:r>
    </w:p>
    <w:p w14:paraId="45B5D894" w14:textId="77777777" w:rsidR="00FF331B" w:rsidRDefault="00FF331B" w:rsidP="00FF331B">
      <w:pPr>
        <w:pStyle w:val="Ruller41"/>
        <w:rPr>
          <w:rFonts w:ascii="Century" w:hAnsi="Century"/>
          <w:rtl/>
        </w:rPr>
      </w:pPr>
    </w:p>
    <w:p w14:paraId="6C4291BC" w14:textId="77777777" w:rsidR="00FF331B" w:rsidRDefault="00000000" w:rsidP="00FF331B">
      <w:pPr>
        <w:pStyle w:val="Ruller41"/>
        <w:rPr>
          <w:rFonts w:ascii="Century" w:hAnsi="Century" w:cs="Miriam"/>
          <w:b/>
          <w:spacing w:val="0"/>
          <w:szCs w:val="24"/>
          <w:rtl/>
        </w:rPr>
      </w:pPr>
      <w:r>
        <w:rPr>
          <w:rFonts w:ascii="Century" w:hAnsi="Century" w:cs="Miriam"/>
          <w:b/>
          <w:spacing w:val="0"/>
          <w:szCs w:val="24"/>
          <w:rtl/>
        </w:rPr>
        <w:t>רצון מאומץ לגלות את זהות הוריו הביולוגיים</w:t>
      </w:r>
    </w:p>
    <w:p w14:paraId="50DDCFAF" w14:textId="77777777" w:rsidR="00FF331B" w:rsidRDefault="00FF331B" w:rsidP="00FF331B">
      <w:pPr>
        <w:pStyle w:val="Ruller41"/>
        <w:rPr>
          <w:rFonts w:ascii="Century" w:hAnsi="Century"/>
          <w:rtl/>
        </w:rPr>
      </w:pPr>
    </w:p>
    <w:p w14:paraId="6875461D" w14:textId="77777777" w:rsidR="00FF331B" w:rsidRDefault="00000000" w:rsidP="00FF331B">
      <w:pPr>
        <w:pStyle w:val="Ruller41"/>
        <w:rPr>
          <w:rFonts w:ascii="Century" w:hAnsi="Century"/>
          <w:smallCaps/>
          <w:rtl/>
        </w:rPr>
      </w:pPr>
      <w:r>
        <w:rPr>
          <w:rFonts w:ascii="Century" w:hAnsi="Century"/>
          <w:rtl/>
        </w:rPr>
        <w:t>22.</w:t>
      </w:r>
      <w:r>
        <w:rPr>
          <w:rFonts w:ascii="Century" w:hAnsi="Century"/>
          <w:rtl/>
        </w:rPr>
        <w:tab/>
        <w:t xml:space="preserve">במצב הדברים הרגיל, רצונו של מאומץ לגלות את זהות הוריו הביולוגיים נובע, בעיקרו של דבר, מכמיהה לעמוד על רכיבי זהותו ולדעת מנין בא. כמיהה זו נעוצה בצורך אנושי בסיסי, שאי-מילויו עלול להסב קשיים רגשיים משמעותיים ולמנוע מהמאומץ לגבש את זהותו באופן שלם. בתוך כך, מחקרים פסיכולוגיים מראים כי גם כאשר מאומץ נהנה ממערכת יחסים בריאה ואוהבת עם הוריו המאמצים, אי-ידיעת שורשיו הביולוגיים גורמת במקרים רבים לחסך זהותי אשר עלול להוביל לבעיות רגשיות מסוגים שונים (ראו, למשל: </w:t>
      </w:r>
      <w:r>
        <w:rPr>
          <w:rFonts w:ascii="Century" w:hAnsi="Century"/>
        </w:rPr>
        <w:t xml:space="preserve">Nancy Sparks, </w:t>
      </w:r>
      <w:r>
        <w:rPr>
          <w:rFonts w:ascii="Century" w:hAnsi="Century"/>
          <w:i/>
          <w:iCs/>
        </w:rPr>
        <w:t xml:space="preserve">Adoption: Sealed Adoption Record Laws – Constitutional Violation or a Need for Judicial Reform </w:t>
      </w:r>
      <w:r>
        <w:rPr>
          <w:rFonts w:ascii="Century" w:hAnsi="Century"/>
        </w:rPr>
        <w:t xml:space="preserve">45 </w:t>
      </w:r>
      <w:r>
        <w:rPr>
          <w:rFonts w:ascii="Century" w:hAnsi="Century"/>
          <w:smallCaps/>
        </w:rPr>
        <w:lastRenderedPageBreak/>
        <w:t>Okla. L. Rev. 575, 579-580 (1982)</w:t>
      </w:r>
      <w:r>
        <w:rPr>
          <w:rFonts w:ascii="Century" w:hAnsi="Century"/>
          <w:i/>
          <w:iCs/>
        </w:rPr>
        <w:t xml:space="preserve"> </w:t>
      </w:r>
      <w:r>
        <w:rPr>
          <w:rFonts w:ascii="Century" w:hAnsi="Century"/>
          <w:rtl/>
        </w:rPr>
        <w:t>)</w:t>
      </w:r>
      <w:r>
        <w:rPr>
          <w:rFonts w:ascii="Century" w:hAnsi="Century"/>
          <w:i/>
          <w:iCs/>
          <w:rtl/>
        </w:rPr>
        <w:t xml:space="preserve">. </w:t>
      </w:r>
      <w:r>
        <w:rPr>
          <w:rFonts w:ascii="Century" w:hAnsi="Century"/>
          <w:rtl/>
        </w:rPr>
        <w:t>בין היתר, מחקרים מצביעים על כך שאי-גילוי מידע למאומץ על אודות זהות משפחתו הביולוגית עלול לגרום לרגשות כעס, לחוסר תקווה ולתחושה של חוסר ערך, ולהוביל לירידה בביטחון העצמי, לקשיים בהתפתחות האישית ולמשברי זהות (ראו:</w:t>
      </w:r>
      <w:r>
        <w:rPr>
          <w:rFonts w:ascii="Century" w:hAnsi="Century"/>
        </w:rPr>
        <w:t xml:space="preserve">Emily Ingall, </w:t>
      </w:r>
      <w:r>
        <w:rPr>
          <w:rFonts w:ascii="Century" w:hAnsi="Century"/>
          <w:i/>
          <w:iCs/>
        </w:rPr>
        <w:t>A Presumption in Favor of Openness: Unsealing Adoption Records</w:t>
      </w:r>
      <w:r>
        <w:rPr>
          <w:rFonts w:ascii="Century" w:hAnsi="Century"/>
        </w:rPr>
        <w:t xml:space="preserve">, 26 </w:t>
      </w:r>
      <w:r>
        <w:rPr>
          <w:rFonts w:ascii="Century" w:hAnsi="Century"/>
          <w:smallCaps/>
        </w:rPr>
        <w:t>Cardozo J. Equal Rts. &amp; Soc. Just. 305 (</w:t>
      </w:r>
      <w:r>
        <w:rPr>
          <w:rFonts w:ascii="Century" w:hAnsi="Century"/>
        </w:rPr>
        <w:t>2020</w:t>
      </w:r>
      <w:r>
        <w:rPr>
          <w:rFonts w:ascii="Century" w:hAnsi="Century"/>
          <w:smallCaps/>
        </w:rPr>
        <w:t xml:space="preserve">) </w:t>
      </w:r>
      <w:r>
        <w:rPr>
          <w:rFonts w:ascii="Century" w:hAnsi="Century"/>
          <w:smallCaps/>
          <w:rtl/>
        </w:rPr>
        <w:t xml:space="preserve"> </w:t>
      </w:r>
      <w:r>
        <w:rPr>
          <w:rFonts w:ascii="Century" w:hAnsi="Century" w:hint="cs"/>
          <w:smallCaps/>
          <w:rtl/>
        </w:rPr>
        <w:t xml:space="preserve">. בתוך כך, אמנם טובת המאומץ עצמו עשויה להצדיק בשנות ילדותו את אי-חשיפתו לזהות הוריו הביולוגיים, בעיקר מטעמים הקשורים לבניית הקשר בינו לבין הוריו המאמצים, אך טעמים אלו מאבדים מכוחם בשנות בגירותו של המאומץ (ראו: </w:t>
      </w:r>
      <w:r>
        <w:rPr>
          <w:rFonts w:ascii="Century" w:hAnsi="Century"/>
        </w:rPr>
        <w:t>Sparks</w:t>
      </w:r>
      <w:r>
        <w:rPr>
          <w:rFonts w:ascii="Century" w:hAnsi="Century"/>
          <w:rtl/>
        </w:rPr>
        <w:t>, בעמ' 580).</w:t>
      </w:r>
    </w:p>
    <w:p w14:paraId="760FA2B2" w14:textId="77777777" w:rsidR="00FF331B" w:rsidRDefault="00000000" w:rsidP="00FF331B">
      <w:pPr>
        <w:pStyle w:val="Ruller41"/>
        <w:rPr>
          <w:rFonts w:ascii="Century" w:hAnsi="Century"/>
          <w:rtl/>
        </w:rPr>
      </w:pPr>
      <w:r>
        <w:rPr>
          <w:rFonts w:ascii="Century" w:hAnsi="Century"/>
          <w:smallCaps/>
          <w:rtl/>
        </w:rPr>
        <w:t>23.</w:t>
      </w:r>
      <w:r>
        <w:rPr>
          <w:rFonts w:ascii="Century" w:hAnsi="Century"/>
          <w:smallCaps/>
          <w:rtl/>
        </w:rPr>
        <w:tab/>
        <w:t xml:space="preserve">לנוכח האמור, לא בכדי מציין </w:t>
      </w:r>
      <w:r>
        <w:rPr>
          <w:rFonts w:ascii="FrankRuehl" w:hAnsi="FrankRuehl"/>
          <w:b/>
          <w:spacing w:val="0"/>
          <w:sz w:val="28"/>
          <w:rtl/>
        </w:rPr>
        <w:t>המלומד</w:t>
      </w:r>
      <w:r>
        <w:rPr>
          <w:rFonts w:ascii="Century" w:hAnsi="Century" w:cs="Miriam"/>
          <w:b/>
          <w:spacing w:val="0"/>
          <w:szCs w:val="24"/>
          <w:rtl/>
        </w:rPr>
        <w:t xml:space="preserve"> אהרון ברק</w:t>
      </w:r>
      <w:r>
        <w:rPr>
          <w:rFonts w:ascii="Century" w:hAnsi="Century"/>
          <w:smallCaps/>
          <w:rtl/>
        </w:rPr>
        <w:t xml:space="preserve"> בספרו, כי </w:t>
      </w:r>
      <w:r>
        <w:rPr>
          <w:rFonts w:ascii="Century" w:hAnsi="Century"/>
          <w:rtl/>
        </w:rPr>
        <w:t xml:space="preserve">זכותו של אדם לדעת מיהם הוריו הביולוגיים נכללת בגדר זכותו לאישיות, שהיא זכות-בת של הזכות החוקתית לכבוד (אהרן </w:t>
      </w:r>
      <w:hyperlink r:id="rId35" w:history="1">
        <w:r w:rsidR="00482AA5" w:rsidRPr="00482AA5">
          <w:rPr>
            <w:rFonts w:ascii="Century" w:hAnsi="Century" w:hint="eastAsia"/>
            <w:color w:val="0000FF"/>
            <w:u w:val="single"/>
            <w:rtl/>
          </w:rPr>
          <w:t>ברק</w:t>
        </w:r>
        <w:r w:rsidR="00482AA5" w:rsidRPr="00482AA5">
          <w:rPr>
            <w:rFonts w:ascii="Century" w:hAnsi="Century"/>
            <w:color w:val="0000FF"/>
            <w:u w:val="single"/>
            <w:rtl/>
          </w:rPr>
          <w:t xml:space="preserve"> </w:t>
        </w:r>
        <w:r w:rsidR="00482AA5" w:rsidRPr="00482AA5">
          <w:rPr>
            <w:rFonts w:ascii="Century" w:hAnsi="Century" w:hint="eastAsia"/>
            <w:color w:val="0000FF"/>
            <w:u w:val="single"/>
            <w:rtl/>
          </w:rPr>
          <w:t>חוק</w:t>
        </w:r>
        <w:r w:rsidR="00482AA5" w:rsidRPr="00482AA5">
          <w:rPr>
            <w:rFonts w:ascii="Century" w:hAnsi="Century"/>
            <w:color w:val="0000FF"/>
            <w:u w:val="single"/>
            <w:rtl/>
          </w:rPr>
          <w:t>-</w:t>
        </w:r>
        <w:r w:rsidR="00482AA5" w:rsidRPr="00482AA5">
          <w:rPr>
            <w:rFonts w:ascii="Century" w:hAnsi="Century" w:hint="eastAsia"/>
            <w:color w:val="0000FF"/>
            <w:u w:val="single"/>
            <w:rtl/>
          </w:rPr>
          <w:t>יסוד</w:t>
        </w:r>
        <w:r w:rsidR="00482AA5" w:rsidRPr="00482AA5">
          <w:rPr>
            <w:rFonts w:ascii="Century" w:hAnsi="Century"/>
            <w:color w:val="0000FF"/>
            <w:u w:val="single"/>
            <w:rtl/>
          </w:rPr>
          <w:t xml:space="preserve">: </w:t>
        </w:r>
        <w:r w:rsidR="00482AA5" w:rsidRPr="00482AA5">
          <w:rPr>
            <w:rFonts w:ascii="Century" w:hAnsi="Century" w:hint="eastAsia"/>
            <w:color w:val="0000FF"/>
            <w:u w:val="single"/>
            <w:rtl/>
          </w:rPr>
          <w:t>כבוד</w:t>
        </w:r>
        <w:r w:rsidR="00482AA5" w:rsidRPr="00482AA5">
          <w:rPr>
            <w:rFonts w:ascii="Century" w:hAnsi="Century"/>
            <w:color w:val="0000FF"/>
            <w:u w:val="single"/>
            <w:rtl/>
          </w:rPr>
          <w:t xml:space="preserve"> </w:t>
        </w:r>
        <w:r w:rsidR="00482AA5" w:rsidRPr="00482AA5">
          <w:rPr>
            <w:rFonts w:ascii="Century" w:hAnsi="Century" w:hint="eastAsia"/>
            <w:color w:val="0000FF"/>
            <w:u w:val="single"/>
            <w:rtl/>
          </w:rPr>
          <w:t>האדם</w:t>
        </w:r>
        <w:r w:rsidR="00482AA5" w:rsidRPr="00482AA5">
          <w:rPr>
            <w:rFonts w:ascii="Century" w:hAnsi="Century"/>
            <w:color w:val="0000FF"/>
            <w:u w:val="single"/>
            <w:rtl/>
          </w:rPr>
          <w:t xml:space="preserve"> </w:t>
        </w:r>
        <w:r w:rsidR="00482AA5" w:rsidRPr="00482AA5">
          <w:rPr>
            <w:rFonts w:ascii="Century" w:hAnsi="Century" w:hint="eastAsia"/>
            <w:color w:val="0000FF"/>
            <w:u w:val="single"/>
            <w:rtl/>
          </w:rPr>
          <w:t>וחירותו</w:t>
        </w:r>
      </w:hyperlink>
      <w:r>
        <w:rPr>
          <w:rFonts w:ascii="Century" w:hAnsi="Century" w:cs="Miriam"/>
          <w:b/>
          <w:spacing w:val="0"/>
          <w:szCs w:val="24"/>
          <w:rtl/>
        </w:rPr>
        <w:t xml:space="preserve"> ו</w:t>
      </w:r>
      <w:hyperlink r:id="rId36" w:history="1">
        <w:r w:rsidR="00482AA5" w:rsidRPr="00482AA5">
          <w:rPr>
            <w:rFonts w:ascii="Century" w:hAnsi="Century" w:cs="Miriam" w:hint="eastAsia"/>
            <w:b/>
            <w:color w:val="0000FF"/>
            <w:spacing w:val="0"/>
            <w:szCs w:val="24"/>
            <w:u w:val="single"/>
            <w:rtl/>
          </w:rPr>
          <w:t>חוק</w:t>
        </w:r>
        <w:r w:rsidR="00482AA5" w:rsidRPr="00482AA5">
          <w:rPr>
            <w:rFonts w:ascii="Century" w:hAnsi="Century" w:cs="Miriam"/>
            <w:b/>
            <w:color w:val="0000FF"/>
            <w:spacing w:val="0"/>
            <w:szCs w:val="24"/>
            <w:u w:val="single"/>
            <w:rtl/>
          </w:rPr>
          <w:t>-</w:t>
        </w:r>
        <w:r w:rsidR="00482AA5" w:rsidRPr="00482AA5">
          <w:rPr>
            <w:rFonts w:ascii="Century" w:hAnsi="Century" w:cs="Miriam" w:hint="eastAsia"/>
            <w:b/>
            <w:color w:val="0000FF"/>
            <w:spacing w:val="0"/>
            <w:szCs w:val="24"/>
            <w:u w:val="single"/>
            <w:rtl/>
          </w:rPr>
          <w:t>יסוד</w:t>
        </w:r>
        <w:r w:rsidR="00482AA5" w:rsidRPr="00482AA5">
          <w:rPr>
            <w:rFonts w:ascii="Century" w:hAnsi="Century" w:cs="Miriam"/>
            <w:b/>
            <w:color w:val="0000FF"/>
            <w:spacing w:val="0"/>
            <w:szCs w:val="24"/>
            <w:u w:val="single"/>
            <w:rtl/>
          </w:rPr>
          <w:t xml:space="preserve">: </w:t>
        </w:r>
        <w:r w:rsidR="00482AA5" w:rsidRPr="00482AA5">
          <w:rPr>
            <w:rFonts w:ascii="Century" w:hAnsi="Century" w:cs="Miriam" w:hint="eastAsia"/>
            <w:b/>
            <w:color w:val="0000FF"/>
            <w:spacing w:val="0"/>
            <w:szCs w:val="24"/>
            <w:u w:val="single"/>
            <w:rtl/>
          </w:rPr>
          <w:t>חופש</w:t>
        </w:r>
        <w:r w:rsidR="00482AA5" w:rsidRPr="00482AA5">
          <w:rPr>
            <w:rFonts w:ascii="Century" w:hAnsi="Century" w:cs="Miriam"/>
            <w:b/>
            <w:color w:val="0000FF"/>
            <w:spacing w:val="0"/>
            <w:szCs w:val="24"/>
            <w:u w:val="single"/>
            <w:rtl/>
          </w:rPr>
          <w:t xml:space="preserve"> </w:t>
        </w:r>
        <w:r w:rsidR="00482AA5" w:rsidRPr="00482AA5">
          <w:rPr>
            <w:rFonts w:ascii="Century" w:hAnsi="Century" w:cs="Miriam" w:hint="eastAsia"/>
            <w:b/>
            <w:color w:val="0000FF"/>
            <w:spacing w:val="0"/>
            <w:szCs w:val="24"/>
            <w:u w:val="single"/>
            <w:rtl/>
          </w:rPr>
          <w:t>העיסוק</w:t>
        </w:r>
      </w:hyperlink>
      <w:r>
        <w:rPr>
          <w:rFonts w:ascii="Century" w:hAnsi="Century" w:cs="Miriam"/>
          <w:b/>
          <w:spacing w:val="0"/>
          <w:szCs w:val="24"/>
          <w:rtl/>
        </w:rPr>
        <w:t xml:space="preserve"> </w:t>
      </w:r>
      <w:r>
        <w:rPr>
          <w:rFonts w:ascii="Century" w:hAnsi="Century"/>
          <w:rtl/>
        </w:rPr>
        <w:t>כרך ב – הזכות לכבוד האדם 753-749, 757 (סדרת פירוש לחוקי היסוד, יצחק זמיר עורך, 2023)).</w:t>
      </w:r>
      <w:r>
        <w:rPr>
          <w:rFonts w:ascii="Century" w:hAnsi="Century"/>
          <w:smallCaps/>
          <w:rtl/>
        </w:rPr>
        <w:t xml:space="preserve"> כמו כן, כבר נקבע בפסיקה – הגם של</w:t>
      </w:r>
      <w:r>
        <w:rPr>
          <w:rFonts w:ascii="Century" w:hAnsi="Century"/>
          <w:rtl/>
        </w:rPr>
        <w:t xml:space="preserve">א בהקשר של אימוץ </w:t>
      </w:r>
      <w:r>
        <w:rPr>
          <w:rFonts w:ascii="Century" w:hAnsi="Century"/>
          <w:smallCaps/>
          <w:rtl/>
        </w:rPr>
        <w:t>– כי "קיימת גם קיימת זכות יסוד של כל אדם באשר הוא, שידע מי הוא אביו מולידו" (</w:t>
      </w:r>
      <w:hyperlink r:id="rId37" w:history="1">
        <w:r w:rsidR="00482AA5" w:rsidRPr="00482AA5">
          <w:rPr>
            <w:rFonts w:ascii="Century" w:hAnsi="Century" w:hint="eastAsia"/>
            <w:smallCaps/>
            <w:color w:val="0000FF"/>
            <w:u w:val="single"/>
            <w:rtl/>
          </w:rPr>
          <w:t>ע</w:t>
        </w:r>
        <w:r w:rsidR="00482AA5" w:rsidRPr="00482AA5">
          <w:rPr>
            <w:rFonts w:ascii="Century" w:hAnsi="Century"/>
            <w:smallCaps/>
            <w:color w:val="0000FF"/>
            <w:u w:val="single"/>
            <w:rtl/>
          </w:rPr>
          <w:t>"</w:t>
        </w:r>
        <w:r w:rsidR="00482AA5" w:rsidRPr="00482AA5">
          <w:rPr>
            <w:rFonts w:ascii="Century" w:hAnsi="Century" w:hint="eastAsia"/>
            <w:smallCaps/>
            <w:color w:val="0000FF"/>
            <w:u w:val="single"/>
            <w:rtl/>
          </w:rPr>
          <w:t>א</w:t>
        </w:r>
        <w:r w:rsidR="00482AA5" w:rsidRPr="00482AA5">
          <w:rPr>
            <w:rFonts w:ascii="Century" w:hAnsi="Century"/>
            <w:smallCaps/>
            <w:color w:val="0000FF"/>
            <w:u w:val="single"/>
            <w:rtl/>
          </w:rPr>
          <w:t xml:space="preserve"> 548/78</w:t>
        </w:r>
      </w:hyperlink>
      <w:r>
        <w:rPr>
          <w:rFonts w:ascii="Century" w:hAnsi="Century"/>
          <w:smallCaps/>
          <w:rtl/>
        </w:rPr>
        <w:t xml:space="preserve"> </w:t>
      </w:r>
      <w:r>
        <w:rPr>
          <w:rFonts w:ascii="Century" w:hAnsi="Century" w:cs="Miriam"/>
          <w:b/>
          <w:spacing w:val="0"/>
          <w:szCs w:val="24"/>
          <w:rtl/>
        </w:rPr>
        <w:t>פלונית נ' פלוני</w:t>
      </w:r>
      <w:r>
        <w:rPr>
          <w:rFonts w:ascii="Century" w:hAnsi="Century"/>
          <w:smallCaps/>
          <w:rtl/>
        </w:rPr>
        <w:t>, פ"ד לה(1) 736, פס' 20 (1980)); וכי "אדם כי יבקש לדעת מי אביו, מי אמו, מניין בא – 'מי אני', יזעק – כבודו יחייב אותנו, את כולנו, להושיט יד לעזרו [...] מצווה הוא אדם שיידע מניין בא – דע מאין באת – וציווי זה משמיע מעצמו זכותו של אדם: זכותו שיידע מניין בא. זה כבודו של האדם באשר הוא אדם: עמו נולד, ובאשר יילך יילך אף הוא"</w:t>
      </w:r>
      <w:r>
        <w:rPr>
          <w:color w:val="000000"/>
          <w:sz w:val="27"/>
          <w:szCs w:val="27"/>
          <w:rtl/>
        </w:rPr>
        <w:t xml:space="preserve"> (</w:t>
      </w:r>
      <w:hyperlink r:id="rId38" w:history="1">
        <w:r w:rsidR="00482AA5" w:rsidRPr="00482AA5">
          <w:rPr>
            <w:rFonts w:ascii="Century" w:hAnsi="Century" w:hint="eastAsia"/>
            <w:smallCaps/>
            <w:color w:val="0000FF"/>
            <w:u w:val="single"/>
            <w:rtl/>
          </w:rPr>
          <w:t>ע</w:t>
        </w:r>
        <w:r w:rsidR="00482AA5" w:rsidRPr="00482AA5">
          <w:rPr>
            <w:rFonts w:ascii="Century" w:hAnsi="Century"/>
            <w:smallCaps/>
            <w:color w:val="0000FF"/>
            <w:u w:val="single"/>
            <w:rtl/>
          </w:rPr>
          <w:t>"</w:t>
        </w:r>
        <w:r w:rsidR="00482AA5" w:rsidRPr="00482AA5">
          <w:rPr>
            <w:rFonts w:ascii="Century" w:hAnsi="Century" w:hint="eastAsia"/>
            <w:smallCaps/>
            <w:color w:val="0000FF"/>
            <w:u w:val="single"/>
            <w:rtl/>
          </w:rPr>
          <w:t>א</w:t>
        </w:r>
        <w:r w:rsidR="00482AA5" w:rsidRPr="00482AA5">
          <w:rPr>
            <w:rFonts w:ascii="Century" w:hAnsi="Century"/>
            <w:smallCaps/>
            <w:color w:val="0000FF"/>
            <w:u w:val="single"/>
            <w:rtl/>
          </w:rPr>
          <w:t xml:space="preserve"> 3077/90</w:t>
        </w:r>
      </w:hyperlink>
      <w:r>
        <w:rPr>
          <w:rFonts w:ascii="Century" w:hAnsi="Century"/>
          <w:smallCaps/>
          <w:rtl/>
        </w:rPr>
        <w:t xml:space="preserve"> </w:t>
      </w:r>
      <w:r>
        <w:rPr>
          <w:rFonts w:ascii="Century" w:hAnsi="Century" w:cs="Miriam"/>
          <w:b/>
          <w:spacing w:val="0"/>
          <w:szCs w:val="24"/>
          <w:rtl/>
        </w:rPr>
        <w:t>פלונית נ' פלוני</w:t>
      </w:r>
      <w:r>
        <w:rPr>
          <w:rFonts w:ascii="Century" w:hAnsi="Century"/>
          <w:rtl/>
        </w:rPr>
        <w:t xml:space="preserve">, פ"ד מט(2) 578, פס' 16-14 (1995); כן ראו והשוו: </w:t>
      </w:r>
      <w:hyperlink r:id="rId39" w:history="1">
        <w:r w:rsidR="00743F8C" w:rsidRPr="00743F8C">
          <w:rPr>
            <w:rStyle w:val="Hyperlink"/>
            <w:rFonts w:ascii="Century" w:hAnsi="Century" w:hint="eastAsia"/>
            <w:rtl/>
          </w:rPr>
          <w:t>בג</w:t>
        </w:r>
        <w:r w:rsidR="00743F8C" w:rsidRPr="00743F8C">
          <w:rPr>
            <w:rStyle w:val="Hyperlink"/>
            <w:rFonts w:ascii="Century" w:hAnsi="Century"/>
            <w:rtl/>
          </w:rPr>
          <w:t>"</w:t>
        </w:r>
        <w:r w:rsidR="00743F8C" w:rsidRPr="00743F8C">
          <w:rPr>
            <w:rStyle w:val="Hyperlink"/>
            <w:rFonts w:ascii="Century" w:hAnsi="Century" w:hint="eastAsia"/>
            <w:rtl/>
          </w:rPr>
          <w:t>ץ</w:t>
        </w:r>
        <w:r w:rsidR="00743F8C" w:rsidRPr="00743F8C">
          <w:rPr>
            <w:rStyle w:val="Hyperlink"/>
            <w:rFonts w:ascii="Century" w:hAnsi="Century"/>
            <w:rtl/>
          </w:rPr>
          <w:t xml:space="preserve"> 4077/12</w:t>
        </w:r>
      </w:hyperlink>
      <w:r>
        <w:rPr>
          <w:rFonts w:ascii="Century" w:hAnsi="Century"/>
          <w:rtl/>
        </w:rPr>
        <w:t xml:space="preserve"> </w:t>
      </w:r>
      <w:r>
        <w:rPr>
          <w:rFonts w:ascii="Century" w:hAnsi="Century" w:cs="Miriam"/>
          <w:b/>
          <w:spacing w:val="0"/>
          <w:szCs w:val="24"/>
          <w:rtl/>
        </w:rPr>
        <w:t>פלונית נ' משרד הבריאות</w:t>
      </w:r>
      <w:r>
        <w:rPr>
          <w:rFonts w:ascii="Century" w:hAnsi="Century"/>
          <w:rtl/>
        </w:rPr>
        <w:t>, פ"ד סו(1) 247, פס' מ"א (2013)</w:t>
      </w:r>
      <w:r>
        <w:rPr>
          <w:rFonts w:ascii="Century" w:hAnsi="Century"/>
          <w:smallCaps/>
          <w:rtl/>
        </w:rPr>
        <w:t>).</w:t>
      </w:r>
    </w:p>
    <w:p w14:paraId="50E17089" w14:textId="77777777" w:rsidR="00FF331B" w:rsidRDefault="00FF331B" w:rsidP="00FF331B">
      <w:pPr>
        <w:pStyle w:val="Ruller41"/>
        <w:rPr>
          <w:rFonts w:ascii="Century" w:hAnsi="Century"/>
          <w:smallCaps/>
          <w:rtl/>
        </w:rPr>
      </w:pPr>
    </w:p>
    <w:p w14:paraId="73A72AEE" w14:textId="77777777" w:rsidR="00FF331B" w:rsidRDefault="00000000" w:rsidP="00FF331B">
      <w:pPr>
        <w:pStyle w:val="Ruller41"/>
        <w:rPr>
          <w:rFonts w:ascii="Century" w:hAnsi="Century"/>
          <w:rtl/>
        </w:rPr>
      </w:pPr>
      <w:r>
        <w:rPr>
          <w:rFonts w:ascii="Century" w:hAnsi="Century"/>
          <w:smallCaps/>
          <w:rtl/>
        </w:rPr>
        <w:t>24.</w:t>
      </w:r>
      <w:r>
        <w:rPr>
          <w:rFonts w:ascii="Century" w:hAnsi="Century"/>
          <w:smallCaps/>
          <w:rtl/>
        </w:rPr>
        <w:tab/>
        <w:t xml:space="preserve">נוסף על כך, רצונו של מאומץ לגלות את זהות הוריו הביולוגיים עשוי להתקשר גם לצרכים בריאותיים ורפואיים, למשל בנוגע למחלות גנטיות. הדבר עשוי להיות רלוונטי הן למאומץ הן לילדיו, ובמקרים מסוימים היעדר מידע כאמור עלול להעמידם בסכנה בריאותית (ראו, למשל: </w:t>
      </w:r>
      <w:r>
        <w:rPr>
          <w:rFonts w:ascii="Century" w:hAnsi="Century"/>
        </w:rPr>
        <w:t>Ingall</w:t>
      </w:r>
      <w:r>
        <w:rPr>
          <w:rFonts w:ascii="Century" w:hAnsi="Century"/>
          <w:smallCaps/>
          <w:rtl/>
        </w:rPr>
        <w:t xml:space="preserve">, בעמ' 316-314). לפיכך, רצון המאומץ בהקשר הנדון עשוי להתקשר לזכותו לבריאות (ראו גם: </w:t>
      </w:r>
      <w:hyperlink r:id="rId40" w:history="1">
        <w:r w:rsidR="00743F8C" w:rsidRPr="00743F8C">
          <w:rPr>
            <w:rStyle w:val="Hyperlink"/>
            <w:rFonts w:ascii="Century" w:hAnsi="Century" w:hint="eastAsia"/>
            <w:smallCaps/>
            <w:rtl/>
          </w:rPr>
          <w:t>רות</w:t>
        </w:r>
        <w:r w:rsidR="00743F8C" w:rsidRPr="00743F8C">
          <w:rPr>
            <w:rStyle w:val="Hyperlink"/>
            <w:rFonts w:ascii="Century" w:hAnsi="Century"/>
            <w:smallCaps/>
            <w:rtl/>
          </w:rPr>
          <w:t xml:space="preserve"> </w:t>
        </w:r>
        <w:r w:rsidR="00743F8C" w:rsidRPr="00743F8C">
          <w:rPr>
            <w:rStyle w:val="Hyperlink"/>
            <w:rFonts w:ascii="Century" w:hAnsi="Century" w:hint="eastAsia"/>
            <w:smallCaps/>
            <w:rtl/>
          </w:rPr>
          <w:t>זפרן</w:t>
        </w:r>
        <w:r w:rsidR="00743F8C" w:rsidRPr="00743F8C">
          <w:rPr>
            <w:rStyle w:val="Hyperlink"/>
            <w:rFonts w:ascii="Century" w:hAnsi="Century"/>
            <w:smallCaps/>
            <w:rtl/>
          </w:rPr>
          <w:t xml:space="preserve"> "</w:t>
        </w:r>
        <w:r w:rsidR="00743F8C" w:rsidRPr="00743F8C">
          <w:rPr>
            <w:rStyle w:val="Hyperlink"/>
            <w:rFonts w:ascii="Century" w:hAnsi="Century" w:hint="eastAsia"/>
            <w:smallCaps/>
            <w:rtl/>
          </w:rPr>
          <w:t>זכות</w:t>
        </w:r>
        <w:r w:rsidR="00743F8C" w:rsidRPr="00743F8C">
          <w:rPr>
            <w:rStyle w:val="Hyperlink"/>
            <w:rFonts w:ascii="Century" w:hAnsi="Century"/>
            <w:smallCaps/>
            <w:rtl/>
          </w:rPr>
          <w:t xml:space="preserve"> </w:t>
        </w:r>
        <w:r w:rsidR="00743F8C" w:rsidRPr="00743F8C">
          <w:rPr>
            <w:rStyle w:val="Hyperlink"/>
            <w:rFonts w:ascii="Century" w:hAnsi="Century" w:hint="eastAsia"/>
            <w:smallCaps/>
            <w:rtl/>
          </w:rPr>
          <w:t>המאומץ</w:t>
        </w:r>
        <w:r w:rsidR="00743F8C" w:rsidRPr="00743F8C">
          <w:rPr>
            <w:rStyle w:val="Hyperlink"/>
            <w:rFonts w:ascii="Century" w:hAnsi="Century"/>
            <w:smallCaps/>
            <w:rtl/>
          </w:rPr>
          <w:t xml:space="preserve"> </w:t>
        </w:r>
        <w:r w:rsidR="00743F8C" w:rsidRPr="00743F8C">
          <w:rPr>
            <w:rStyle w:val="Hyperlink"/>
            <w:rFonts w:ascii="Century" w:hAnsi="Century" w:hint="eastAsia"/>
            <w:smallCaps/>
            <w:rtl/>
          </w:rPr>
          <w:t>להתחקות</w:t>
        </w:r>
        <w:r w:rsidR="00743F8C" w:rsidRPr="00743F8C">
          <w:rPr>
            <w:rStyle w:val="Hyperlink"/>
            <w:rFonts w:ascii="Century" w:hAnsi="Century"/>
            <w:smallCaps/>
            <w:rtl/>
          </w:rPr>
          <w:t xml:space="preserve"> </w:t>
        </w:r>
        <w:r w:rsidR="00743F8C" w:rsidRPr="00743F8C">
          <w:rPr>
            <w:rStyle w:val="Hyperlink"/>
            <w:rFonts w:ascii="Century" w:hAnsi="Century" w:hint="eastAsia"/>
            <w:smallCaps/>
            <w:rtl/>
          </w:rPr>
          <w:t>אחר</w:t>
        </w:r>
        <w:r w:rsidR="00743F8C" w:rsidRPr="00743F8C">
          <w:rPr>
            <w:rStyle w:val="Hyperlink"/>
            <w:rFonts w:ascii="Century" w:hAnsi="Century"/>
            <w:smallCaps/>
            <w:rtl/>
          </w:rPr>
          <w:t xml:space="preserve"> </w:t>
        </w:r>
        <w:r w:rsidR="00743F8C" w:rsidRPr="00743F8C">
          <w:rPr>
            <w:rStyle w:val="Hyperlink"/>
            <w:rFonts w:ascii="Century" w:hAnsi="Century" w:hint="eastAsia"/>
            <w:smallCaps/>
            <w:rtl/>
          </w:rPr>
          <w:t>זהות</w:t>
        </w:r>
        <w:r w:rsidR="00743F8C" w:rsidRPr="00743F8C">
          <w:rPr>
            <w:rStyle w:val="Hyperlink"/>
            <w:rFonts w:ascii="Century" w:hAnsi="Century"/>
            <w:smallCaps/>
            <w:rtl/>
          </w:rPr>
          <w:t xml:space="preserve"> </w:t>
        </w:r>
        <w:r w:rsidR="00743F8C" w:rsidRPr="00743F8C">
          <w:rPr>
            <w:rStyle w:val="Hyperlink"/>
            <w:rFonts w:ascii="Century" w:hAnsi="Century" w:hint="eastAsia"/>
            <w:smallCaps/>
            <w:rtl/>
          </w:rPr>
          <w:t>הוריו</w:t>
        </w:r>
        <w:r w:rsidR="00743F8C" w:rsidRPr="00743F8C">
          <w:rPr>
            <w:rStyle w:val="Hyperlink"/>
            <w:rFonts w:ascii="Century" w:hAnsi="Century"/>
            <w:smallCaps/>
            <w:rtl/>
          </w:rPr>
          <w:t xml:space="preserve"> </w:t>
        </w:r>
        <w:r w:rsidR="00743F8C" w:rsidRPr="00743F8C">
          <w:rPr>
            <w:rStyle w:val="Hyperlink"/>
            <w:rFonts w:ascii="Century" w:hAnsi="Century" w:hint="eastAsia"/>
            <w:smallCaps/>
            <w:rtl/>
          </w:rPr>
          <w:t>הביולוגיים</w:t>
        </w:r>
        <w:r w:rsidR="00743F8C" w:rsidRPr="00743F8C">
          <w:rPr>
            <w:rStyle w:val="Hyperlink"/>
            <w:rFonts w:ascii="Century" w:hAnsi="Century"/>
            <w:smallCaps/>
            <w:rtl/>
          </w:rPr>
          <w:t xml:space="preserve">" </w:t>
        </w:r>
      </w:hyperlink>
      <w:r>
        <w:rPr>
          <w:rFonts w:ascii="Century" w:hAnsi="Century"/>
          <w:smallCaps/>
          <w:rtl/>
        </w:rPr>
        <w:t xml:space="preserve"> </w:t>
      </w:r>
      <w:r>
        <w:rPr>
          <w:rFonts w:ascii="Century" w:hAnsi="Century" w:cs="Miriam"/>
          <w:b/>
          <w:spacing w:val="0"/>
          <w:szCs w:val="24"/>
          <w:rtl/>
        </w:rPr>
        <w:t xml:space="preserve">משפחה ומשפט </w:t>
      </w:r>
      <w:r>
        <w:rPr>
          <w:rFonts w:ascii="Century" w:hAnsi="Century"/>
          <w:rtl/>
        </w:rPr>
        <w:t xml:space="preserve">א 225, 236 (התשס"ז) (להלן: </w:t>
      </w:r>
      <w:r>
        <w:rPr>
          <w:rFonts w:ascii="Century" w:hAnsi="Century" w:cs="Miriam"/>
          <w:b/>
          <w:spacing w:val="0"/>
          <w:szCs w:val="24"/>
          <w:rtl/>
        </w:rPr>
        <w:t>זפרן</w:t>
      </w:r>
      <w:r>
        <w:rPr>
          <w:rFonts w:ascii="Century" w:hAnsi="Century"/>
          <w:rtl/>
        </w:rPr>
        <w:t xml:space="preserve">)). כמו כן, לנוכח האמור </w:t>
      </w:r>
      <w:hyperlink r:id="rId41" w:history="1">
        <w:r w:rsidR="006132F7" w:rsidRPr="006132F7">
          <w:rPr>
            <w:rStyle w:val="Hyperlink"/>
            <w:rFonts w:ascii="Century" w:hAnsi="Century" w:hint="eastAsia"/>
            <w:rtl/>
          </w:rPr>
          <w:t>בסעיף</w:t>
        </w:r>
        <w:r w:rsidR="006132F7" w:rsidRPr="006132F7">
          <w:rPr>
            <w:rStyle w:val="Hyperlink"/>
            <w:rFonts w:ascii="Century" w:hAnsi="Century"/>
            <w:rtl/>
          </w:rPr>
          <w:t xml:space="preserve"> 16(</w:t>
        </w:r>
        <w:r w:rsidR="006132F7" w:rsidRPr="006132F7">
          <w:rPr>
            <w:rStyle w:val="Hyperlink"/>
            <w:rFonts w:ascii="Century" w:hAnsi="Century" w:hint="eastAsia"/>
            <w:rtl/>
          </w:rPr>
          <w:t>ג</w:t>
        </w:r>
        <w:r w:rsidR="006132F7" w:rsidRPr="006132F7">
          <w:rPr>
            <w:rStyle w:val="Hyperlink"/>
            <w:rFonts w:ascii="Century" w:hAnsi="Century"/>
            <w:rtl/>
          </w:rPr>
          <w:t>)</w:t>
        </w:r>
      </w:hyperlink>
      <w:r>
        <w:rPr>
          <w:rFonts w:ascii="Century" w:hAnsi="Century"/>
          <w:rtl/>
        </w:rPr>
        <w:t xml:space="preserve"> ל</w:t>
      </w:r>
      <w:hyperlink r:id="rId42" w:history="1">
        <w:r w:rsidR="00482AA5" w:rsidRPr="00482AA5">
          <w:rPr>
            <w:rFonts w:ascii="Century" w:hAnsi="Century" w:hint="eastAsia"/>
            <w:color w:val="0000FF"/>
            <w:u w:val="single"/>
            <w:rtl/>
          </w:rPr>
          <w:t>חוק</w:t>
        </w:r>
        <w:r w:rsidR="00482AA5" w:rsidRPr="00482AA5">
          <w:rPr>
            <w:rFonts w:ascii="Century" w:hAnsi="Century"/>
            <w:color w:val="0000FF"/>
            <w:u w:val="single"/>
            <w:rtl/>
          </w:rPr>
          <w:t xml:space="preserve"> </w:t>
        </w:r>
        <w:r w:rsidR="00482AA5" w:rsidRPr="00482AA5">
          <w:rPr>
            <w:rFonts w:ascii="Century" w:hAnsi="Century" w:hint="eastAsia"/>
            <w:color w:val="0000FF"/>
            <w:u w:val="single"/>
            <w:rtl/>
          </w:rPr>
          <w:t>הירושה</w:t>
        </w:r>
      </w:hyperlink>
      <w:r>
        <w:rPr>
          <w:rFonts w:ascii="Century" w:hAnsi="Century"/>
          <w:rtl/>
        </w:rPr>
        <w:t xml:space="preserve">, אשר קובע זכות ירושה לפי דין של המאומץ וצאצאיו ביחס לבני משפחתו הביולוגית (וראו גם </w:t>
      </w:r>
      <w:hyperlink r:id="rId43" w:history="1">
        <w:r w:rsidR="006132F7" w:rsidRPr="006132F7">
          <w:rPr>
            <w:rStyle w:val="Hyperlink"/>
            <w:rFonts w:ascii="Century" w:hAnsi="Century" w:hint="eastAsia"/>
            <w:rtl/>
          </w:rPr>
          <w:t>סעיף</w:t>
        </w:r>
        <w:r w:rsidR="006132F7" w:rsidRPr="006132F7">
          <w:rPr>
            <w:rStyle w:val="Hyperlink"/>
            <w:rFonts w:ascii="Century" w:hAnsi="Century"/>
            <w:rtl/>
          </w:rPr>
          <w:t xml:space="preserve"> 16(3)</w:t>
        </w:r>
      </w:hyperlink>
      <w:r>
        <w:rPr>
          <w:rFonts w:ascii="Century" w:hAnsi="Century"/>
          <w:rtl/>
        </w:rPr>
        <w:t xml:space="preserve"> לחוק האימוץ), רצון המאומץ לדעת מיהם הוריו עשוי להתקשר גם לזכותו החוקתית לקניין.</w:t>
      </w:r>
    </w:p>
    <w:p w14:paraId="6F26F3A1" w14:textId="77777777" w:rsidR="00FF331B" w:rsidRDefault="00FF331B" w:rsidP="00FF331B">
      <w:pPr>
        <w:pStyle w:val="Ruller41"/>
        <w:rPr>
          <w:rFonts w:ascii="Century" w:hAnsi="Century"/>
          <w:smallCaps/>
          <w:rtl/>
        </w:rPr>
      </w:pPr>
    </w:p>
    <w:p w14:paraId="445D5B67" w14:textId="77777777" w:rsidR="00FF331B" w:rsidRDefault="00000000" w:rsidP="00FF331B">
      <w:pPr>
        <w:pStyle w:val="Ruller41"/>
        <w:rPr>
          <w:rFonts w:ascii="Century" w:hAnsi="Century"/>
          <w:smallCaps/>
          <w:rtl/>
        </w:rPr>
      </w:pPr>
      <w:r>
        <w:rPr>
          <w:rFonts w:ascii="Century" w:hAnsi="Century"/>
          <w:smallCaps/>
          <w:rtl/>
        </w:rPr>
        <w:lastRenderedPageBreak/>
        <w:t>25.</w:t>
      </w:r>
      <w:r>
        <w:rPr>
          <w:rFonts w:ascii="Century" w:hAnsi="Century"/>
          <w:smallCaps/>
          <w:rtl/>
        </w:rPr>
        <w:tab/>
        <w:t xml:space="preserve">הינה כי כן, טובת המאומץ היא, ככלל, לאפשר לו לעיין בפנקס האימוצים ולממש את רצונו לדעת מאין הוא בא. </w:t>
      </w:r>
    </w:p>
    <w:p w14:paraId="4C885842" w14:textId="77777777" w:rsidR="00FF331B" w:rsidRDefault="00FF331B" w:rsidP="00FF331B">
      <w:pPr>
        <w:pStyle w:val="Ruller41"/>
        <w:rPr>
          <w:rFonts w:ascii="Century" w:hAnsi="Century"/>
          <w:smallCaps/>
          <w:rtl/>
        </w:rPr>
      </w:pPr>
    </w:p>
    <w:p w14:paraId="25AEADA6" w14:textId="77777777" w:rsidR="00FF331B" w:rsidRDefault="00000000" w:rsidP="00FF331B">
      <w:pPr>
        <w:pStyle w:val="Ruller41"/>
        <w:rPr>
          <w:rFonts w:ascii="Century" w:hAnsi="Century" w:cs="Miriam"/>
          <w:b/>
          <w:spacing w:val="0"/>
          <w:szCs w:val="24"/>
          <w:rtl/>
        </w:rPr>
      </w:pPr>
      <w:r>
        <w:rPr>
          <w:rFonts w:ascii="Century" w:hAnsi="Century" w:cs="Miriam"/>
          <w:b/>
          <w:spacing w:val="0"/>
          <w:szCs w:val="24"/>
          <w:rtl/>
        </w:rPr>
        <w:t>רצון הורה ביולוגי שזהותו לא תיחשף בפני המאומץ</w:t>
      </w:r>
    </w:p>
    <w:p w14:paraId="394892B2" w14:textId="77777777" w:rsidR="00FF331B" w:rsidRDefault="00FF331B" w:rsidP="00FF331B">
      <w:pPr>
        <w:pStyle w:val="Ruller41"/>
        <w:rPr>
          <w:rFonts w:ascii="Century" w:hAnsi="Century" w:cs="Miriam"/>
          <w:b/>
          <w:spacing w:val="0"/>
          <w:szCs w:val="24"/>
          <w:rtl/>
        </w:rPr>
      </w:pPr>
    </w:p>
    <w:p w14:paraId="303084E4" w14:textId="77777777" w:rsidR="00FF331B" w:rsidRDefault="00000000" w:rsidP="00FF331B">
      <w:pPr>
        <w:pStyle w:val="Ruller41"/>
        <w:rPr>
          <w:rFonts w:ascii="Century" w:hAnsi="Century"/>
          <w:rtl/>
        </w:rPr>
      </w:pPr>
      <w:r>
        <w:rPr>
          <w:rFonts w:ascii="Century" w:hAnsi="Century"/>
          <w:rtl/>
        </w:rPr>
        <w:t>26.</w:t>
      </w:r>
      <w:r>
        <w:rPr>
          <w:rFonts w:ascii="Century" w:hAnsi="Century" w:cs="Miriam"/>
          <w:b/>
          <w:spacing w:val="0"/>
          <w:szCs w:val="24"/>
          <w:rtl/>
        </w:rPr>
        <w:tab/>
      </w:r>
      <w:r>
        <w:rPr>
          <w:rFonts w:ascii="Century" w:hAnsi="Century"/>
          <w:rtl/>
        </w:rPr>
        <w:t xml:space="preserve">אל מול טובת המאומץ לעיין בפנקס האימוצים, עומדת זכות ההורים הביולוגים לפרטיותם. מסירת ילד לאימוץ על-ידי הורה ביולוגי נעשית פעמים רבות תחת מעטה של סודיות וחיסיון של התהליך. בנסיבות אלו, שיבה פתאומית של הילד לאחר שנים, עלולה לטלטל מן היסוד את עולמו של ההורה, ובמיוחד של האם הביולוגית. במקרים רבים, מסירת ילד לאימוץ היא בגדר סוד שנקבר בעבר, הוסתר על-ידי האם הביולוגית והותיר פצעים עמוקים בנפשה. פתיחת הפרשה ועיסוק בה – לא כל שכן, חשיפתה – לאחר שנים, עלולה לפעור פצעים אלו ולגרום תחושות קשות של פחד, חרדה והשפלה (ראו, למשל: </w:t>
      </w:r>
      <w:r>
        <w:rPr>
          <w:rFonts w:ascii="Century" w:hAnsi="Century"/>
        </w:rPr>
        <w:t>Sparks</w:t>
      </w:r>
      <w:r>
        <w:rPr>
          <w:rFonts w:ascii="Century" w:hAnsi="Century"/>
          <w:rtl/>
        </w:rPr>
        <w:t>, בעמ' 580). כמו כן, עלולה החשיפה להביא לפירוק הקשר הזוגי והמשפחתי של האם. אכן, כפי שצוין בדו"ח ועדת גרוס, בדרך כלל ההורים הביולוגיים "המשיכו בחייהם לאחר שמסרו את ילדם לאימוץ, פעמים רבות תוך שמירת הסוד מקרוביהם ומכריהם [...] כניסתו של המאומץ לחייהם, על פי רצונו הוא עשויה לפגוע בהם ובבני משפחתם. פעמים רבות מדובר בנערה צעירה שמסרה את הילד לאימוץ בנסיבות קשות והצליחה לשקם את חייה, ובהיותה אשה בוגרת היא חוששת כי גילוי הסוד יביא לפגיעה במרקם החיים החדשים שבנתה – הן ברמה החברתית והן ברמה הפסיכולוגית אישית. יש מקרים בהם גילוי האימוץ אף עשוי לסכן את חייה של האם המוסרת, על אף השנים הרבות שעברו" (שם, בעמ' 152).</w:t>
      </w:r>
    </w:p>
    <w:p w14:paraId="5066EA94" w14:textId="77777777" w:rsidR="00FF331B" w:rsidRDefault="00000000" w:rsidP="00FF331B">
      <w:pPr>
        <w:pStyle w:val="Ruller41"/>
        <w:rPr>
          <w:rFonts w:ascii="Century" w:hAnsi="Century"/>
          <w:rtl/>
        </w:rPr>
      </w:pPr>
      <w:r>
        <w:rPr>
          <w:rFonts w:ascii="Century" w:hAnsi="Century"/>
          <w:rtl/>
        </w:rPr>
        <w:tab/>
      </w:r>
    </w:p>
    <w:p w14:paraId="1742221C" w14:textId="77777777" w:rsidR="00FF331B" w:rsidRDefault="00000000" w:rsidP="00FF331B">
      <w:pPr>
        <w:pStyle w:val="Ruller41"/>
        <w:rPr>
          <w:rFonts w:ascii="Century" w:hAnsi="Century"/>
          <w:rtl/>
        </w:rPr>
      </w:pPr>
      <w:r>
        <w:rPr>
          <w:rFonts w:ascii="Century" w:hAnsi="Century"/>
          <w:rtl/>
        </w:rPr>
        <w:t>27.</w:t>
      </w:r>
      <w:r>
        <w:rPr>
          <w:rFonts w:ascii="Century" w:hAnsi="Century"/>
          <w:rtl/>
        </w:rPr>
        <w:tab/>
        <w:t>לנוכח האמור, נראה כי רצונו של הורה ביולוגי שזהותו לא תיחשף בפני המאומץ מעוגן בזכות הנכבדה של ההורה לפרטיות ולצנעת חייו, אשר "ליבָּתהּ [...] פרטים אינטימיים על אודות חייו של האדם" (</w:t>
      </w:r>
      <w:hyperlink r:id="rId44" w:history="1">
        <w:r w:rsidR="00482AA5" w:rsidRPr="00482AA5">
          <w:rPr>
            <w:rFonts w:ascii="Century" w:hAnsi="Century" w:hint="eastAsia"/>
            <w:color w:val="0000FF"/>
            <w:u w:val="single"/>
            <w:rtl/>
          </w:rPr>
          <w:t>ע</w:t>
        </w:r>
        <w:r w:rsidR="00482AA5" w:rsidRPr="00482AA5">
          <w:rPr>
            <w:rFonts w:ascii="Century" w:hAnsi="Century"/>
            <w:color w:val="0000FF"/>
            <w:u w:val="single"/>
            <w:rtl/>
          </w:rPr>
          <w:t>"</w:t>
        </w:r>
        <w:r w:rsidR="00482AA5" w:rsidRPr="00482AA5">
          <w:rPr>
            <w:rFonts w:ascii="Century" w:hAnsi="Century" w:hint="eastAsia"/>
            <w:color w:val="0000FF"/>
            <w:u w:val="single"/>
            <w:rtl/>
          </w:rPr>
          <w:t>א</w:t>
        </w:r>
        <w:r w:rsidR="00482AA5" w:rsidRPr="00482AA5">
          <w:rPr>
            <w:rFonts w:ascii="Century" w:hAnsi="Century"/>
            <w:color w:val="0000FF"/>
            <w:u w:val="single"/>
            <w:rtl/>
          </w:rPr>
          <w:t xml:space="preserve"> 8954/11</w:t>
        </w:r>
      </w:hyperlink>
      <w:r>
        <w:rPr>
          <w:rFonts w:ascii="Century" w:hAnsi="Century"/>
          <w:rtl/>
        </w:rPr>
        <w:t xml:space="preserve"> </w:t>
      </w:r>
      <w:r>
        <w:rPr>
          <w:rFonts w:ascii="Century" w:hAnsi="Century" w:cs="Miriam"/>
          <w:b/>
          <w:spacing w:val="0"/>
          <w:szCs w:val="24"/>
          <w:rtl/>
        </w:rPr>
        <w:t>פלוני נ' פלונית</w:t>
      </w:r>
      <w:r>
        <w:rPr>
          <w:rFonts w:ascii="Century" w:hAnsi="Century"/>
          <w:rtl/>
        </w:rPr>
        <w:t xml:space="preserve">, פ"ד סו(3) 691, פס' 144 (2014)). בעיקרו של דבר, זכות זו נוגעת </w:t>
      </w:r>
      <w:r>
        <w:rPr>
          <w:rtl/>
        </w:rPr>
        <w:t>ל"אינטרס היחיד לשמור לעצמו מידה של אנונימיות ואינטימיות כך שענייניו הפרטיים יהיו חסויים מעין הזולת</w:t>
      </w:r>
      <w:r>
        <w:rPr>
          <w:rFonts w:ascii="Century" w:hAnsi="Century"/>
          <w:rtl/>
        </w:rPr>
        <w:t>" (</w:t>
      </w:r>
      <w:hyperlink r:id="rId45" w:history="1">
        <w:r w:rsidR="00482AA5" w:rsidRPr="00482AA5">
          <w:rPr>
            <w:rFonts w:ascii="Century" w:hAnsi="Century" w:hint="eastAsia"/>
            <w:color w:val="0000FF"/>
            <w:u w:val="single"/>
            <w:rtl/>
          </w:rPr>
          <w:t>ע</w:t>
        </w:r>
        <w:r w:rsidR="00482AA5" w:rsidRPr="00482AA5">
          <w:rPr>
            <w:rFonts w:ascii="Century" w:hAnsi="Century"/>
            <w:color w:val="0000FF"/>
            <w:u w:val="single"/>
            <w:rtl/>
          </w:rPr>
          <w:t>"</w:t>
        </w:r>
        <w:r w:rsidR="00482AA5" w:rsidRPr="00482AA5">
          <w:rPr>
            <w:rFonts w:ascii="Century" w:hAnsi="Century" w:hint="eastAsia"/>
            <w:color w:val="0000FF"/>
            <w:u w:val="single"/>
            <w:rtl/>
          </w:rPr>
          <w:t>א</w:t>
        </w:r>
        <w:r w:rsidR="00482AA5" w:rsidRPr="00482AA5">
          <w:rPr>
            <w:rFonts w:ascii="Century" w:hAnsi="Century"/>
            <w:color w:val="0000FF"/>
            <w:u w:val="single"/>
            <w:rtl/>
          </w:rPr>
          <w:t xml:space="preserve"> 1211/96</w:t>
        </w:r>
      </w:hyperlink>
      <w:r>
        <w:rPr>
          <w:rFonts w:ascii="Century" w:hAnsi="Century"/>
          <w:rtl/>
        </w:rPr>
        <w:t xml:space="preserve"> </w:t>
      </w:r>
      <w:r>
        <w:rPr>
          <w:rFonts w:ascii="Century" w:hAnsi="Century" w:cs="Miriam"/>
          <w:b/>
          <w:spacing w:val="0"/>
          <w:szCs w:val="24"/>
          <w:rtl/>
        </w:rPr>
        <w:t>עו"ד כהן, מפרק אדאקום נ' נשיונל קונסלטנטנס בע"מ</w:t>
      </w:r>
      <w:r>
        <w:rPr>
          <w:rFonts w:ascii="Century" w:hAnsi="Century"/>
          <w:rtl/>
        </w:rPr>
        <w:t xml:space="preserve">, פ"ד נב(1) 481, פס' 16 (1998)). אכן, </w:t>
      </w:r>
      <w:r>
        <w:rPr>
          <w:rFonts w:ascii="FrankRuehl" w:hAnsi="FrankRuehl"/>
          <w:color w:val="000000"/>
          <w:sz w:val="28"/>
          <w:rtl/>
        </w:rPr>
        <w:t>האנונימיות היא מרכיב חשוב בזכות לפרטיות, וקשורה במתן אפשרות לאדם "'להיעזב לנפשו' ולהימנע מחשיפה אישית וממסירת מידע אודותיו שאינו מעוניין שיימסר" (</w:t>
      </w:r>
      <w:hyperlink r:id="rId46" w:history="1">
        <w:r w:rsidR="00482AA5" w:rsidRPr="00482AA5">
          <w:rPr>
            <w:rFonts w:ascii="FrankRuehl" w:hAnsi="FrankRuehl"/>
            <w:color w:val="0000FF"/>
            <w:sz w:val="28"/>
            <w:u w:val="single"/>
            <w:rtl/>
          </w:rPr>
          <w:t>רע"א 4447/07</w:t>
        </w:r>
      </w:hyperlink>
      <w:r>
        <w:rPr>
          <w:rFonts w:ascii="FrankRuehl" w:hAnsi="FrankRuehl"/>
          <w:color w:val="000000"/>
          <w:sz w:val="28"/>
          <w:rtl/>
        </w:rPr>
        <w:t xml:space="preserve"> </w:t>
      </w:r>
      <w:r>
        <w:rPr>
          <w:rFonts w:ascii="Century" w:hAnsi="Century" w:cs="Miriam"/>
          <w:b/>
          <w:spacing w:val="0"/>
          <w:szCs w:val="24"/>
          <w:rtl/>
        </w:rPr>
        <w:t>מור נ' ברק אי.טי.אס [1995] החברה לשרותי בזק בינלאומיים בע"מ</w:t>
      </w:r>
      <w:r>
        <w:rPr>
          <w:rFonts w:ascii="Century" w:hAnsi="Century"/>
          <w:rtl/>
        </w:rPr>
        <w:t xml:space="preserve">, פ"ד סג(3) 664, פס' 13 (2010)). הזכות לפרטיות נועדה אפוא להגן על הפרט מפני פגיעה ברגשותיו כתוצאה מהפרת האינטימיות של חייו </w:t>
      </w:r>
      <w:r>
        <w:rPr>
          <w:rFonts w:ascii="Century" w:hAnsi="Century"/>
          <w:rtl/>
        </w:rPr>
        <w:lastRenderedPageBreak/>
        <w:t>(</w:t>
      </w:r>
      <w:hyperlink r:id="rId47" w:history="1">
        <w:r w:rsidR="00482AA5" w:rsidRPr="00482AA5">
          <w:rPr>
            <w:rFonts w:ascii="Century" w:hAnsi="Century" w:hint="eastAsia"/>
            <w:color w:val="0000FF"/>
            <w:u w:val="single"/>
            <w:rtl/>
          </w:rPr>
          <w:t>ע</w:t>
        </w:r>
        <w:r w:rsidR="00482AA5" w:rsidRPr="00482AA5">
          <w:rPr>
            <w:rFonts w:ascii="Century" w:hAnsi="Century"/>
            <w:color w:val="0000FF"/>
            <w:u w:val="single"/>
            <w:rtl/>
          </w:rPr>
          <w:t>"</w:t>
        </w:r>
        <w:r w:rsidR="00482AA5" w:rsidRPr="00482AA5">
          <w:rPr>
            <w:rFonts w:ascii="Century" w:hAnsi="Century" w:hint="eastAsia"/>
            <w:color w:val="0000FF"/>
            <w:u w:val="single"/>
            <w:rtl/>
          </w:rPr>
          <w:t>א</w:t>
        </w:r>
        <w:r w:rsidR="00482AA5" w:rsidRPr="00482AA5">
          <w:rPr>
            <w:rFonts w:ascii="Century" w:hAnsi="Century"/>
            <w:color w:val="0000FF"/>
            <w:u w:val="single"/>
            <w:rtl/>
          </w:rPr>
          <w:t xml:space="preserve"> 8483/02</w:t>
        </w:r>
      </w:hyperlink>
      <w:r>
        <w:rPr>
          <w:rFonts w:ascii="Century" w:hAnsi="Century"/>
          <w:rtl/>
        </w:rPr>
        <w:t xml:space="preserve"> </w:t>
      </w:r>
      <w:r>
        <w:rPr>
          <w:rFonts w:ascii="Century" w:hAnsi="Century" w:cs="Miriam"/>
          <w:b/>
          <w:spacing w:val="0"/>
          <w:szCs w:val="24"/>
          <w:rtl/>
        </w:rPr>
        <w:t>אלוניאל בע"מ נ' מקדונלד</w:t>
      </w:r>
      <w:r>
        <w:rPr>
          <w:rFonts w:ascii="Century" w:hAnsi="Century"/>
          <w:rtl/>
        </w:rPr>
        <w:t>, פ"ד נח(4) 314, פס' 33 (2004)), בין היתר באמצעות הטלת מגבלות על נגישותם של אחרים אל המידע האישי הנוגע אליו (</w:t>
      </w:r>
      <w:hyperlink r:id="rId48" w:history="1">
        <w:r w:rsidR="00482AA5" w:rsidRPr="00482AA5">
          <w:rPr>
            <w:rFonts w:ascii="Century" w:hAnsi="Century" w:hint="eastAsia"/>
            <w:color w:val="0000FF"/>
            <w:u w:val="single"/>
            <w:rtl/>
          </w:rPr>
          <w:t>בג</w:t>
        </w:r>
        <w:r w:rsidR="00482AA5" w:rsidRPr="00482AA5">
          <w:rPr>
            <w:rFonts w:ascii="Century" w:hAnsi="Century"/>
            <w:color w:val="0000FF"/>
            <w:u w:val="single"/>
            <w:rtl/>
          </w:rPr>
          <w:t>"</w:t>
        </w:r>
        <w:r w:rsidR="00482AA5" w:rsidRPr="00482AA5">
          <w:rPr>
            <w:rFonts w:ascii="Century" w:hAnsi="Century" w:hint="eastAsia"/>
            <w:color w:val="0000FF"/>
            <w:u w:val="single"/>
            <w:rtl/>
          </w:rPr>
          <w:t>ץ</w:t>
        </w:r>
        <w:r w:rsidR="00482AA5" w:rsidRPr="00482AA5">
          <w:rPr>
            <w:rFonts w:ascii="Century" w:hAnsi="Century"/>
            <w:color w:val="0000FF"/>
            <w:u w:val="single"/>
            <w:rtl/>
          </w:rPr>
          <w:t xml:space="preserve"> 2481/93</w:t>
        </w:r>
      </w:hyperlink>
      <w:r>
        <w:rPr>
          <w:rFonts w:ascii="Century" w:hAnsi="Century"/>
          <w:rtl/>
        </w:rPr>
        <w:t xml:space="preserve"> </w:t>
      </w:r>
      <w:r>
        <w:rPr>
          <w:rFonts w:ascii="Century" w:hAnsi="Century" w:cs="Miriam"/>
          <w:b/>
          <w:spacing w:val="0"/>
          <w:szCs w:val="24"/>
          <w:rtl/>
        </w:rPr>
        <w:t>דיין נ' מפקד מחוז ירושלים</w:t>
      </w:r>
      <w:r>
        <w:rPr>
          <w:rFonts w:ascii="Century" w:hAnsi="Century"/>
          <w:rtl/>
        </w:rPr>
        <w:t xml:space="preserve">, פס' 16 </w:t>
      </w:r>
      <w:r w:rsidR="00743F8C">
        <w:rPr>
          <w:rFonts w:ascii="Century" w:hAnsi="Century" w:hint="cs"/>
          <w:rtl/>
        </w:rPr>
        <w:t xml:space="preserve">[נבו] </w:t>
      </w:r>
      <w:r>
        <w:rPr>
          <w:rFonts w:ascii="Century" w:hAnsi="Century"/>
          <w:rtl/>
        </w:rPr>
        <w:t>(9.2.1994);</w:t>
      </w:r>
      <w:r>
        <w:rPr>
          <w:rFonts w:ascii="FrankRuehl" w:hAnsi="FrankRuehl"/>
          <w:color w:val="000000"/>
          <w:sz w:val="28"/>
          <w:rtl/>
        </w:rPr>
        <w:t xml:space="preserve"> </w:t>
      </w:r>
      <w:r>
        <w:rPr>
          <w:rFonts w:ascii="Century" w:hAnsi="Century"/>
          <w:rtl/>
        </w:rPr>
        <w:t xml:space="preserve">ראו גם: אהרן </w:t>
      </w:r>
      <w:hyperlink r:id="rId49" w:history="1">
        <w:r w:rsidR="00482AA5" w:rsidRPr="00482AA5">
          <w:rPr>
            <w:rFonts w:ascii="Century" w:hAnsi="Century" w:hint="eastAsia"/>
            <w:color w:val="0000FF"/>
            <w:u w:val="single"/>
            <w:rtl/>
          </w:rPr>
          <w:t>ברק</w:t>
        </w:r>
        <w:r w:rsidR="00482AA5" w:rsidRPr="00482AA5">
          <w:rPr>
            <w:rFonts w:ascii="Century" w:hAnsi="Century"/>
            <w:color w:val="0000FF"/>
            <w:u w:val="single"/>
            <w:rtl/>
          </w:rPr>
          <w:t xml:space="preserve"> </w:t>
        </w:r>
        <w:r w:rsidR="00482AA5" w:rsidRPr="00482AA5">
          <w:rPr>
            <w:rFonts w:ascii="Century" w:hAnsi="Century" w:hint="eastAsia"/>
            <w:color w:val="0000FF"/>
            <w:u w:val="single"/>
            <w:rtl/>
          </w:rPr>
          <w:t>חוק</w:t>
        </w:r>
        <w:r w:rsidR="00482AA5" w:rsidRPr="00482AA5">
          <w:rPr>
            <w:rFonts w:ascii="Century" w:hAnsi="Century"/>
            <w:color w:val="0000FF"/>
            <w:u w:val="single"/>
            <w:rtl/>
          </w:rPr>
          <w:t>-</w:t>
        </w:r>
        <w:r w:rsidR="00482AA5" w:rsidRPr="00482AA5">
          <w:rPr>
            <w:rFonts w:ascii="Century" w:hAnsi="Century" w:hint="eastAsia"/>
            <w:color w:val="0000FF"/>
            <w:u w:val="single"/>
            <w:rtl/>
          </w:rPr>
          <w:t>יסוד</w:t>
        </w:r>
        <w:r w:rsidR="00482AA5" w:rsidRPr="00482AA5">
          <w:rPr>
            <w:rFonts w:ascii="Century" w:hAnsi="Century"/>
            <w:color w:val="0000FF"/>
            <w:u w:val="single"/>
            <w:rtl/>
          </w:rPr>
          <w:t xml:space="preserve">: </w:t>
        </w:r>
        <w:r w:rsidR="00482AA5" w:rsidRPr="00482AA5">
          <w:rPr>
            <w:rFonts w:ascii="Century" w:hAnsi="Century" w:hint="eastAsia"/>
            <w:color w:val="0000FF"/>
            <w:u w:val="single"/>
            <w:rtl/>
          </w:rPr>
          <w:t>כבוד</w:t>
        </w:r>
        <w:r w:rsidR="00482AA5" w:rsidRPr="00482AA5">
          <w:rPr>
            <w:rFonts w:ascii="Century" w:hAnsi="Century"/>
            <w:color w:val="0000FF"/>
            <w:u w:val="single"/>
            <w:rtl/>
          </w:rPr>
          <w:t xml:space="preserve"> </w:t>
        </w:r>
        <w:r w:rsidR="00482AA5" w:rsidRPr="00482AA5">
          <w:rPr>
            <w:rFonts w:ascii="Century" w:hAnsi="Century" w:hint="eastAsia"/>
            <w:color w:val="0000FF"/>
            <w:u w:val="single"/>
            <w:rtl/>
          </w:rPr>
          <w:t>האדם</w:t>
        </w:r>
        <w:r w:rsidR="00482AA5" w:rsidRPr="00482AA5">
          <w:rPr>
            <w:rFonts w:ascii="Century" w:hAnsi="Century"/>
            <w:color w:val="0000FF"/>
            <w:u w:val="single"/>
            <w:rtl/>
          </w:rPr>
          <w:t xml:space="preserve"> </w:t>
        </w:r>
        <w:r w:rsidR="00482AA5" w:rsidRPr="00482AA5">
          <w:rPr>
            <w:rFonts w:ascii="Century" w:hAnsi="Century" w:hint="eastAsia"/>
            <w:color w:val="0000FF"/>
            <w:u w:val="single"/>
            <w:rtl/>
          </w:rPr>
          <w:t>וחירותו</w:t>
        </w:r>
      </w:hyperlink>
      <w:r>
        <w:rPr>
          <w:rFonts w:ascii="Century" w:hAnsi="Century" w:cs="Miriam"/>
          <w:b/>
          <w:spacing w:val="0"/>
          <w:szCs w:val="24"/>
          <w:rtl/>
        </w:rPr>
        <w:t xml:space="preserve"> ו</w:t>
      </w:r>
      <w:hyperlink r:id="rId50" w:history="1">
        <w:r w:rsidR="00482AA5" w:rsidRPr="00482AA5">
          <w:rPr>
            <w:rFonts w:ascii="Century" w:hAnsi="Century" w:cs="Miriam" w:hint="eastAsia"/>
            <w:b/>
            <w:color w:val="0000FF"/>
            <w:spacing w:val="0"/>
            <w:szCs w:val="24"/>
            <w:u w:val="single"/>
            <w:rtl/>
          </w:rPr>
          <w:t>חוק</w:t>
        </w:r>
        <w:r w:rsidR="00482AA5" w:rsidRPr="00482AA5">
          <w:rPr>
            <w:rFonts w:ascii="Century" w:hAnsi="Century" w:cs="Miriam"/>
            <w:b/>
            <w:color w:val="0000FF"/>
            <w:spacing w:val="0"/>
            <w:szCs w:val="24"/>
            <w:u w:val="single"/>
            <w:rtl/>
          </w:rPr>
          <w:t>-</w:t>
        </w:r>
        <w:r w:rsidR="00482AA5" w:rsidRPr="00482AA5">
          <w:rPr>
            <w:rFonts w:ascii="Century" w:hAnsi="Century" w:cs="Miriam" w:hint="eastAsia"/>
            <w:b/>
            <w:color w:val="0000FF"/>
            <w:spacing w:val="0"/>
            <w:szCs w:val="24"/>
            <w:u w:val="single"/>
            <w:rtl/>
          </w:rPr>
          <w:t>יסוד</w:t>
        </w:r>
        <w:r w:rsidR="00482AA5" w:rsidRPr="00482AA5">
          <w:rPr>
            <w:rFonts w:ascii="Century" w:hAnsi="Century" w:cs="Miriam"/>
            <w:b/>
            <w:color w:val="0000FF"/>
            <w:spacing w:val="0"/>
            <w:szCs w:val="24"/>
            <w:u w:val="single"/>
            <w:rtl/>
          </w:rPr>
          <w:t xml:space="preserve">: </w:t>
        </w:r>
        <w:r w:rsidR="00482AA5" w:rsidRPr="00482AA5">
          <w:rPr>
            <w:rFonts w:ascii="Century" w:hAnsi="Century" w:cs="Miriam" w:hint="eastAsia"/>
            <w:b/>
            <w:color w:val="0000FF"/>
            <w:spacing w:val="0"/>
            <w:szCs w:val="24"/>
            <w:u w:val="single"/>
            <w:rtl/>
          </w:rPr>
          <w:t>חופש</w:t>
        </w:r>
        <w:r w:rsidR="00482AA5" w:rsidRPr="00482AA5">
          <w:rPr>
            <w:rFonts w:ascii="Century" w:hAnsi="Century" w:cs="Miriam"/>
            <w:b/>
            <w:color w:val="0000FF"/>
            <w:spacing w:val="0"/>
            <w:szCs w:val="24"/>
            <w:u w:val="single"/>
            <w:rtl/>
          </w:rPr>
          <w:t xml:space="preserve"> </w:t>
        </w:r>
        <w:r w:rsidR="00482AA5" w:rsidRPr="00482AA5">
          <w:rPr>
            <w:rFonts w:ascii="Century" w:hAnsi="Century" w:cs="Miriam" w:hint="eastAsia"/>
            <w:b/>
            <w:color w:val="0000FF"/>
            <w:spacing w:val="0"/>
            <w:szCs w:val="24"/>
            <w:u w:val="single"/>
            <w:rtl/>
          </w:rPr>
          <w:t>העיסוק</w:t>
        </w:r>
      </w:hyperlink>
      <w:r>
        <w:rPr>
          <w:rFonts w:ascii="Century" w:hAnsi="Century" w:cs="Miriam"/>
          <w:b/>
          <w:spacing w:val="0"/>
          <w:szCs w:val="24"/>
          <w:rtl/>
        </w:rPr>
        <w:t xml:space="preserve"> </w:t>
      </w:r>
      <w:r>
        <w:rPr>
          <w:rFonts w:ascii="Century" w:hAnsi="Century"/>
          <w:rtl/>
        </w:rPr>
        <w:t>כרך ג – זכויות חוקתיות, 1557-1556 (סדרת פירוש לחוקי היסוד, יצחק זמיר עורך, 2023)).</w:t>
      </w:r>
    </w:p>
    <w:p w14:paraId="5F2346B0" w14:textId="77777777" w:rsidR="00FF331B" w:rsidRDefault="00FF331B" w:rsidP="00FF331B">
      <w:pPr>
        <w:pStyle w:val="Ruller41"/>
        <w:rPr>
          <w:rFonts w:ascii="Century" w:hAnsi="Century"/>
          <w:rtl/>
        </w:rPr>
      </w:pPr>
    </w:p>
    <w:p w14:paraId="675BC8D1" w14:textId="77777777" w:rsidR="00FF331B" w:rsidRDefault="00000000" w:rsidP="00FF331B">
      <w:pPr>
        <w:pStyle w:val="Ruller41"/>
        <w:rPr>
          <w:rFonts w:ascii="Century" w:hAnsi="Century"/>
          <w:rtl/>
        </w:rPr>
      </w:pPr>
      <w:r>
        <w:rPr>
          <w:rFonts w:ascii="Century" w:hAnsi="Century"/>
          <w:rtl/>
        </w:rPr>
        <w:t>28.</w:t>
      </w:r>
      <w:r>
        <w:rPr>
          <w:rFonts w:ascii="Century" w:hAnsi="Century"/>
          <w:rtl/>
        </w:rPr>
        <w:tab/>
        <w:t xml:space="preserve">עינינו הרואות; הן רצונו של מאומץ לגלות את זהות הוריו הביולוגיים, הן רצונו של הורה ביולוגי שלא לאפשר גילוי כאמור, מעוגנים באינטרסים ובזכויות כבדי משקל; האופן שבו יש לאזן בין שני רצונות אלו הינו מורכב ואינו פשוט כלל ועיקר. </w:t>
      </w:r>
    </w:p>
    <w:p w14:paraId="4733F5EF" w14:textId="77777777" w:rsidR="00FF331B" w:rsidRDefault="00FF331B" w:rsidP="00FF331B">
      <w:pPr>
        <w:pStyle w:val="Ruller41"/>
        <w:rPr>
          <w:rFonts w:ascii="Century" w:hAnsi="Century"/>
          <w:rtl/>
        </w:rPr>
      </w:pPr>
    </w:p>
    <w:p w14:paraId="2F6E9CE7" w14:textId="77777777" w:rsidR="00FF331B" w:rsidRDefault="00000000" w:rsidP="00FF331B">
      <w:pPr>
        <w:pStyle w:val="Ruller41"/>
        <w:rPr>
          <w:rFonts w:ascii="Century" w:hAnsi="Century"/>
          <w:rtl/>
        </w:rPr>
      </w:pPr>
      <w:r>
        <w:rPr>
          <w:rFonts w:ascii="Century" w:hAnsi="Century"/>
          <w:rtl/>
        </w:rPr>
        <w:t>29.</w:t>
      </w:r>
      <w:r>
        <w:rPr>
          <w:rFonts w:ascii="Century" w:hAnsi="Century"/>
          <w:rtl/>
        </w:rPr>
        <w:tab/>
        <w:t>אם כן, אין לתמוה, כי הסוגיה שבה עסקינן מוסדרת בדרכים מגוונות ברחבי העולם, ונקודת האיזון בין האינטרסים המונחים על כפות המאזניים משתנה ממדינה למדינה. להלן אסקור את דרכי ההסדרה העיקריות של הסוגיה במדינות הים.</w:t>
      </w:r>
    </w:p>
    <w:p w14:paraId="418623E8" w14:textId="77777777" w:rsidR="00FF331B" w:rsidRDefault="00FF331B" w:rsidP="00FF331B">
      <w:pPr>
        <w:pStyle w:val="Ruller41"/>
        <w:rPr>
          <w:rFonts w:ascii="Century" w:hAnsi="Century"/>
          <w:rtl/>
        </w:rPr>
      </w:pPr>
    </w:p>
    <w:p w14:paraId="521C5AE4" w14:textId="77777777" w:rsidR="00FF331B" w:rsidRDefault="00000000" w:rsidP="00FF331B">
      <w:pPr>
        <w:pStyle w:val="Ruller41"/>
        <w:rPr>
          <w:rFonts w:ascii="Century" w:hAnsi="Century" w:cs="Miriam"/>
          <w:b/>
          <w:spacing w:val="0"/>
          <w:szCs w:val="24"/>
          <w:rtl/>
        </w:rPr>
      </w:pPr>
      <w:r>
        <w:rPr>
          <w:rFonts w:ascii="Century" w:hAnsi="Century" w:cs="Miriam"/>
          <w:b/>
          <w:spacing w:val="0"/>
          <w:szCs w:val="24"/>
          <w:rtl/>
        </w:rPr>
        <w:t>עיון במשפט משווה</w:t>
      </w:r>
    </w:p>
    <w:p w14:paraId="24D7ADFA" w14:textId="77777777" w:rsidR="00FF331B" w:rsidRDefault="00FF331B" w:rsidP="00FF331B">
      <w:pPr>
        <w:pStyle w:val="Ruller41"/>
        <w:rPr>
          <w:rFonts w:ascii="Century" w:hAnsi="Century"/>
          <w:rtl/>
        </w:rPr>
      </w:pPr>
    </w:p>
    <w:p w14:paraId="013A1ECD" w14:textId="77777777" w:rsidR="00FF331B" w:rsidRDefault="00000000" w:rsidP="00FF331B">
      <w:pPr>
        <w:pStyle w:val="Ruller41"/>
        <w:rPr>
          <w:rFonts w:ascii="Century" w:hAnsi="Century"/>
          <w:rtl/>
        </w:rPr>
      </w:pPr>
      <w:r>
        <w:rPr>
          <w:rFonts w:ascii="Century" w:hAnsi="Century"/>
          <w:rtl/>
        </w:rPr>
        <w:t>30.</w:t>
      </w:r>
      <w:r>
        <w:rPr>
          <w:rFonts w:ascii="Century" w:hAnsi="Century"/>
          <w:rtl/>
        </w:rPr>
        <w:tab/>
        <w:t xml:space="preserve">כפי שיפורט להלן, במשפט המשווה ניתן למצוא מגוון הסדרים בשאלת זכותו של מאומץ לעיין במידע הנוגע לאימוצו ולגלות את זהות הוריו הביולוגיים. הסדרים אלו, משקפים דרכים שונות לאזן בין זכויות המאומץ והוריו הביולוגיים, מזה ומזה, כפי שפורטו לעיל (ראו: </w:t>
      </w:r>
      <w:r>
        <w:rPr>
          <w:rFonts w:ascii="Century" w:hAnsi="Century" w:cs="Miriam"/>
          <w:b/>
          <w:spacing w:val="0"/>
          <w:szCs w:val="24"/>
          <w:rtl/>
        </w:rPr>
        <w:t>זפרן</w:t>
      </w:r>
      <w:r>
        <w:rPr>
          <w:rFonts w:ascii="Century" w:hAnsi="Century"/>
          <w:rtl/>
        </w:rPr>
        <w:t xml:space="preserve">; </w:t>
      </w:r>
      <w:r>
        <w:rPr>
          <w:rFonts w:ascii="Century" w:hAnsi="Century" w:cs="Miriam"/>
          <w:b/>
          <w:spacing w:val="0"/>
          <w:szCs w:val="24"/>
          <w:rtl/>
        </w:rPr>
        <w:t>הסדרים בדבר עיון במסמכי אימוץ – סקירה משווה</w:t>
      </w:r>
      <w:r>
        <w:rPr>
          <w:rFonts w:ascii="Century" w:hAnsi="Century"/>
          <w:rtl/>
        </w:rPr>
        <w:t xml:space="preserve"> (הלשכה המשפטית של הכנסת, תחום חקיקה ומחקר משפטי, 2017) (להלן: </w:t>
      </w:r>
      <w:r>
        <w:rPr>
          <w:rFonts w:ascii="Century" w:hAnsi="Century" w:cs="Miriam"/>
          <w:b/>
          <w:spacing w:val="0"/>
          <w:szCs w:val="24"/>
          <w:rtl/>
        </w:rPr>
        <w:t>סקירת הכנסת</w:t>
      </w:r>
      <w:r>
        <w:rPr>
          <w:rFonts w:ascii="Century" w:hAnsi="Century"/>
          <w:rtl/>
        </w:rPr>
        <w:t>)).</w:t>
      </w:r>
    </w:p>
    <w:p w14:paraId="2DBC3CD2" w14:textId="77777777" w:rsidR="00FF331B" w:rsidRDefault="00FF331B" w:rsidP="00FF331B">
      <w:pPr>
        <w:pStyle w:val="Ruller41"/>
        <w:rPr>
          <w:rFonts w:ascii="Century" w:hAnsi="Century"/>
          <w:rtl/>
        </w:rPr>
      </w:pPr>
    </w:p>
    <w:p w14:paraId="29760D6C" w14:textId="77777777" w:rsidR="00FF331B" w:rsidRDefault="00000000" w:rsidP="00FF331B">
      <w:pPr>
        <w:pStyle w:val="Ruller41"/>
        <w:rPr>
          <w:rFonts w:ascii="Century" w:hAnsi="Century"/>
          <w:rtl/>
        </w:rPr>
      </w:pPr>
      <w:r>
        <w:rPr>
          <w:rFonts w:ascii="Century" w:hAnsi="Century"/>
          <w:rtl/>
        </w:rPr>
        <w:t>31.</w:t>
      </w:r>
      <w:r>
        <w:rPr>
          <w:rFonts w:ascii="Century" w:hAnsi="Century"/>
          <w:rtl/>
        </w:rPr>
        <w:tab/>
        <w:t>ההסדר מהסוג הראשון הוא המצמצם ביותר ביחס לזכות המאומץ לעיין במידע כאמור, והוא קובע כלל של שמירת החיסיון על מסמכי האימוץ, למעט מקרים חריגים, שבהם הוכחה "סיבה מוצדקת" (</w:t>
      </w:r>
      <w:r>
        <w:rPr>
          <w:rFonts w:ascii="Century" w:hAnsi="Century"/>
        </w:rPr>
        <w:t>good cause</w:t>
      </w:r>
      <w:r>
        <w:rPr>
          <w:rFonts w:ascii="Century" w:hAnsi="Century"/>
          <w:rtl/>
        </w:rPr>
        <w:t>) או "צורך הכרחי" להסרת החיסיון. הסדר זה נקבע למשל במדינות כגון ניו-ג'רסי (</w:t>
      </w:r>
      <w:r>
        <w:rPr>
          <w:rFonts w:ascii="Century" w:hAnsi="Century"/>
        </w:rPr>
        <w:t>NJ Rev Stat § 9:3-52 (2023)</w:t>
      </w:r>
      <w:r>
        <w:rPr>
          <w:rFonts w:ascii="Century" w:hAnsi="Century"/>
          <w:rtl/>
        </w:rPr>
        <w:t>) וניו-יורק (</w:t>
      </w:r>
      <w:r>
        <w:rPr>
          <w:rFonts w:ascii="Century" w:hAnsi="Century"/>
        </w:rPr>
        <w:t>Domestic Relations Law § 114</w:t>
      </w:r>
      <w:r>
        <w:rPr>
          <w:rFonts w:ascii="Century" w:hAnsi="Century"/>
          <w:rtl/>
        </w:rPr>
        <w:t xml:space="preserve">) שבארה"ב. פסיקת בתי המשפט במדינות אלו, שנדרשה להגדרת הסיבה המוצדקת, כללה בו בעיקר עילות בריאותיות או פסיכולוגיות (ראו לדוגמא: </w:t>
      </w:r>
      <w:r>
        <w:rPr>
          <w:rFonts w:ascii="Century" w:hAnsi="Century"/>
        </w:rPr>
        <w:t>Domestic Relations Law § 114(4)</w:t>
      </w:r>
      <w:r>
        <w:rPr>
          <w:rFonts w:ascii="Century" w:hAnsi="Century"/>
          <w:rtl/>
        </w:rPr>
        <w:t xml:space="preserve">; </w:t>
      </w:r>
      <w:r>
        <w:rPr>
          <w:rFonts w:ascii="Century" w:hAnsi="Century"/>
        </w:rPr>
        <w:t>Matter of Linda F.M., 52 N.Y.2d 236, 240, 437 N.Y.S.2d 283, 418 N.E.2d 1302 [1981]</w:t>
      </w:r>
      <w:r>
        <w:rPr>
          <w:rFonts w:ascii="Century" w:hAnsi="Century"/>
          <w:rtl/>
        </w:rPr>
        <w:t>;</w:t>
      </w:r>
      <w:r>
        <w:rPr>
          <w:rFonts w:ascii="Century" w:hAnsi="Century" w:cs="Miriam"/>
          <w:b/>
          <w:spacing w:val="0"/>
          <w:szCs w:val="24"/>
          <w:rtl/>
        </w:rPr>
        <w:t xml:space="preserve"> זפרן</w:t>
      </w:r>
      <w:r>
        <w:rPr>
          <w:rFonts w:ascii="Century" w:hAnsi="Century"/>
          <w:rtl/>
        </w:rPr>
        <w:t xml:space="preserve">, בעמ' 240-239). כמו כן, בחלק מהמקרים, גם לאחר שהוכח קיומה של "סיבה </w:t>
      </w:r>
      <w:r>
        <w:rPr>
          <w:rFonts w:ascii="Century" w:hAnsi="Century"/>
          <w:rtl/>
        </w:rPr>
        <w:lastRenderedPageBreak/>
        <w:t>מוצדקת" הוחלט שלא לחשוף פרטים מזהים על ההורה הביולוגי, אלא רק מידע חלקי ולא מזהה (</w:t>
      </w:r>
      <w:r>
        <w:rPr>
          <w:rFonts w:ascii="Century" w:hAnsi="Century" w:cs="Miriam"/>
          <w:b/>
          <w:spacing w:val="0"/>
          <w:szCs w:val="24"/>
          <w:rtl/>
        </w:rPr>
        <w:t>זפרן</w:t>
      </w:r>
      <w:r>
        <w:rPr>
          <w:rFonts w:ascii="Century" w:hAnsi="Century"/>
          <w:rtl/>
        </w:rPr>
        <w:t>, שם; סקירת הכנסת, בעמ' 8-6).</w:t>
      </w:r>
    </w:p>
    <w:p w14:paraId="30EDB201" w14:textId="77777777" w:rsidR="00FF331B" w:rsidRDefault="00FF331B" w:rsidP="00FF331B">
      <w:pPr>
        <w:pStyle w:val="Ruller41"/>
        <w:rPr>
          <w:rFonts w:ascii="Century" w:hAnsi="Century"/>
          <w:rtl/>
        </w:rPr>
      </w:pPr>
    </w:p>
    <w:p w14:paraId="29D29051" w14:textId="77777777" w:rsidR="00FF331B" w:rsidRDefault="00000000" w:rsidP="00FF331B">
      <w:pPr>
        <w:pStyle w:val="Ruller41"/>
        <w:rPr>
          <w:rFonts w:ascii="Century" w:hAnsi="Century"/>
          <w:rtl/>
        </w:rPr>
      </w:pPr>
      <w:r>
        <w:rPr>
          <w:rFonts w:ascii="Century" w:hAnsi="Century"/>
          <w:rtl/>
        </w:rPr>
        <w:t>32.</w:t>
      </w:r>
      <w:r>
        <w:rPr>
          <w:rFonts w:ascii="Century" w:hAnsi="Century"/>
          <w:rtl/>
        </w:rPr>
        <w:tab/>
        <w:t>הסדר מסוג שני הוא המרחיב ביותר בנוגע לזכות המאומץ בעניין הנדון, והוא מאפשר למאומץ בגיר זכות גישה למידע הנוגע לאימוץ, לרבות מידע מזהה על הוריו הביולוגיים. הסדר זה חל, למשל, במדינת קנזס שבארה"ב (</w:t>
      </w:r>
      <w:r>
        <w:rPr>
          <w:rFonts w:ascii="Century" w:hAnsi="Century"/>
        </w:rPr>
        <w:t>Kan. Stat. § 59-2122</w:t>
      </w:r>
      <w:r>
        <w:rPr>
          <w:rtl/>
        </w:rPr>
        <w:t>)</w:t>
      </w:r>
      <w:r>
        <w:rPr>
          <w:rFonts w:ascii="Century" w:hAnsi="Century"/>
          <w:rtl/>
        </w:rPr>
        <w:t>, כמו גם באנגליה (</w:t>
      </w:r>
      <w:r>
        <w:rPr>
          <w:rFonts w:ascii="Century" w:hAnsi="Century"/>
        </w:rPr>
        <w:t>Adoption and Children Act 2002, § 60</w:t>
      </w:r>
      <w:r>
        <w:rPr>
          <w:rFonts w:ascii="Century" w:hAnsi="Century"/>
          <w:rtl/>
        </w:rPr>
        <w:t>), צפון אירלנד (</w:t>
      </w:r>
      <w:r>
        <w:rPr>
          <w:rtl/>
        </w:rPr>
        <w:t>-</w:t>
      </w:r>
      <w:r>
        <w:rPr>
          <w:rFonts w:ascii="Century" w:hAnsi="Century"/>
        </w:rPr>
        <w:t xml:space="preserve"> The Adoption (Northern Ireland) Order 1987</w:t>
      </w:r>
      <w:r>
        <w:rPr>
          <w:rFonts w:ascii="Century" w:hAnsi="Century"/>
          <w:rtl/>
        </w:rPr>
        <w:t>) וניו זילנד (</w:t>
      </w:r>
      <w:r>
        <w:rPr>
          <w:rFonts w:ascii="Century" w:hAnsi="Century"/>
        </w:rPr>
        <w:t>Adult Adoption</w:t>
      </w:r>
      <w:r>
        <w:t xml:space="preserve"> </w:t>
      </w:r>
      <w:r>
        <w:rPr>
          <w:rFonts w:ascii="Century" w:hAnsi="Century"/>
        </w:rPr>
        <w:t>Information Act 1985</w:t>
      </w:r>
      <w:r>
        <w:rPr>
          <w:rFonts w:ascii="Century" w:hAnsi="Century"/>
          <w:rtl/>
        </w:rPr>
        <w:t>), כאשר בחלק מהמדינות בהן חל הסדר זה, דוגמת אנגליה כאמור, רשאי בית המשפט להורות כי לא יימסר מידע למאומץ אם מצא כי מתקיימות "נסיבות חריגות".</w:t>
      </w:r>
    </w:p>
    <w:p w14:paraId="0DF73B3F" w14:textId="77777777" w:rsidR="00FF331B" w:rsidRDefault="00FF331B" w:rsidP="00FF331B">
      <w:pPr>
        <w:pStyle w:val="Ruller41"/>
        <w:rPr>
          <w:rFonts w:ascii="Century" w:hAnsi="Century"/>
        </w:rPr>
      </w:pPr>
    </w:p>
    <w:p w14:paraId="60A8AA7A" w14:textId="77777777" w:rsidR="00FF331B" w:rsidRDefault="00000000" w:rsidP="00FF331B">
      <w:pPr>
        <w:pStyle w:val="Ruller41"/>
        <w:rPr>
          <w:rFonts w:ascii="Century" w:hAnsi="Century"/>
          <w:rtl/>
        </w:rPr>
      </w:pPr>
      <w:r>
        <w:rPr>
          <w:rFonts w:ascii="Century" w:hAnsi="Century"/>
          <w:rtl/>
        </w:rPr>
        <w:t>33.</w:t>
      </w:r>
      <w:r>
        <w:rPr>
          <w:rFonts w:ascii="Century" w:hAnsi="Century"/>
          <w:rtl/>
        </w:rPr>
        <w:tab/>
        <w:t>הסדר מסוג שלישי, מקנה למאומץ זכות גישה למידע מזהה בנוגע להוריו הביולוגיים, ואולם מותיר להורה הביולוגי זכות וטו ביחס לגישה למידע (הסדרים מעין אלו קבועים למשל במדינות קליפורניה (</w:t>
      </w:r>
      <w:r>
        <w:rPr>
          <w:rFonts w:ascii="Century" w:hAnsi="Century"/>
        </w:rPr>
        <w:t xml:space="preserve">Cal. Fam. Code § 9203(a)(1) </w:t>
      </w:r>
      <w:r>
        <w:rPr>
          <w:rFonts w:ascii="Century" w:hAnsi="Century"/>
          <w:rtl/>
        </w:rPr>
        <w:t>) ומרילנד</w:t>
      </w:r>
      <w:r>
        <w:rPr>
          <w:rFonts w:ascii="Century" w:hAnsi="Century"/>
        </w:rPr>
        <w:t xml:space="preserve"> </w:t>
      </w:r>
      <w:r>
        <w:rPr>
          <w:rFonts w:ascii="Century" w:hAnsi="Century"/>
          <w:rtl/>
        </w:rPr>
        <w:t>(</w:t>
      </w:r>
      <w:r>
        <w:rPr>
          <w:rFonts w:ascii="Century" w:hAnsi="Century"/>
        </w:rPr>
        <w:t>Md. Code, Fam.</w:t>
      </w:r>
      <w:r>
        <w:t xml:space="preserve"> </w:t>
      </w:r>
      <w:r>
        <w:rPr>
          <w:rFonts w:ascii="Century" w:hAnsi="Century"/>
        </w:rPr>
        <w:t>Law § 5-3A-42(e)(1)(i) (2023)</w:t>
      </w:r>
      <w:r>
        <w:rPr>
          <w:rFonts w:ascii="Century" w:hAnsi="Century"/>
          <w:rtl/>
        </w:rPr>
        <w:t>) שבארה"ב; ובפרובינציית קולומביה הבריטית שבקנדה (</w:t>
      </w:r>
      <w:r>
        <w:rPr>
          <w:rFonts w:ascii="Century" w:hAnsi="Century"/>
        </w:rPr>
        <w:t>Adoption Act [RSBC 1996], 63-66</w:t>
      </w:r>
      <w:r>
        <w:t xml:space="preserve"> </w:t>
      </w:r>
      <w:r>
        <w:rPr>
          <w:rFonts w:ascii="Century" w:hAnsi="Century"/>
          <w:rtl/>
        </w:rPr>
        <w:t>)); או זכות וטו כאמור בנוגע לאפשרות ליצור קשר עם ההורה, בשונה מעצם הגישה למידע (כך נקבע למשל, בפרובינציית קולומביה הבריטית שבקנדה ובמדינת ניו סאות' ווילס באוסטרליה (</w:t>
      </w:r>
      <w:r>
        <w:rPr>
          <w:rFonts w:ascii="Century" w:hAnsi="Century"/>
        </w:rPr>
        <w:t>Adoption Act 2000 § 154</w:t>
      </w:r>
      <w:r>
        <w:rPr>
          <w:rFonts w:ascii="Century" w:hAnsi="Century"/>
          <w:rtl/>
        </w:rPr>
        <w:t xml:space="preserve"> </w:t>
      </w:r>
      <w:r>
        <w:rPr>
          <w:rFonts w:ascii="Century" w:hAnsi="Century" w:hint="cs"/>
          <w:rtl/>
        </w:rPr>
        <w:t xml:space="preserve">)). לעיתים אף קובע ההסדר איסור פלילי או סנקציה אזרחית על הפרת הווטו של ההורה הביולוגי. </w:t>
      </w:r>
    </w:p>
    <w:p w14:paraId="41A0F08F" w14:textId="77777777" w:rsidR="00FF331B" w:rsidRDefault="00FF331B" w:rsidP="00FF331B">
      <w:pPr>
        <w:pStyle w:val="Ruller41"/>
        <w:rPr>
          <w:rFonts w:ascii="Century" w:hAnsi="Century"/>
          <w:rtl/>
        </w:rPr>
      </w:pPr>
    </w:p>
    <w:p w14:paraId="56398533" w14:textId="77777777" w:rsidR="00FF331B" w:rsidRDefault="00000000" w:rsidP="00FF331B">
      <w:pPr>
        <w:pStyle w:val="Ruller41"/>
        <w:rPr>
          <w:rFonts w:ascii="Century" w:hAnsi="Century" w:cs="Miriam"/>
          <w:b/>
          <w:spacing w:val="0"/>
          <w:szCs w:val="24"/>
          <w:rtl/>
        </w:rPr>
      </w:pPr>
      <w:r>
        <w:rPr>
          <w:rFonts w:ascii="Century" w:hAnsi="Century" w:cs="Miriam"/>
          <w:b/>
          <w:spacing w:val="0"/>
          <w:szCs w:val="24"/>
          <w:rtl/>
        </w:rPr>
        <w:t>סיכום ביניים</w:t>
      </w:r>
    </w:p>
    <w:p w14:paraId="77B7DAE7" w14:textId="77777777" w:rsidR="00FF331B" w:rsidRDefault="00FF331B" w:rsidP="00FF331B">
      <w:pPr>
        <w:pStyle w:val="Ruller41"/>
        <w:rPr>
          <w:rFonts w:ascii="Century" w:hAnsi="Century"/>
          <w:rtl/>
        </w:rPr>
      </w:pPr>
    </w:p>
    <w:p w14:paraId="6355C6E7" w14:textId="77777777" w:rsidR="00FF331B" w:rsidRDefault="00000000" w:rsidP="00FF331B">
      <w:pPr>
        <w:pStyle w:val="Ruller41"/>
        <w:rPr>
          <w:rFonts w:ascii="Century" w:hAnsi="Century"/>
          <w:rtl/>
        </w:rPr>
      </w:pPr>
      <w:r>
        <w:rPr>
          <w:rFonts w:ascii="Century" w:hAnsi="Century"/>
          <w:rtl/>
        </w:rPr>
        <w:t>34.</w:t>
      </w:r>
      <w:r>
        <w:rPr>
          <w:rFonts w:ascii="Century" w:hAnsi="Century"/>
          <w:rtl/>
        </w:rPr>
        <w:tab/>
        <w:t xml:space="preserve">בבואנו להכריע בשאלה מהו האיזון שנקבע </w:t>
      </w:r>
      <w:hyperlink r:id="rId51" w:history="1">
        <w:r w:rsidR="006132F7" w:rsidRPr="006132F7">
          <w:rPr>
            <w:rStyle w:val="Hyperlink"/>
            <w:rFonts w:ascii="Century" w:hAnsi="Century" w:hint="eastAsia"/>
            <w:rtl/>
          </w:rPr>
          <w:t>בסעיף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בין רצון המאומץ לגלות את זהות הוריו הביולוגיים לבין רצונו של הורה למנוע גילוי כאמור, עמדנו על מאפייניו העיקריים של מוסד האימוץ בישראל, ולאחר מכן בחנו את האינטרסים העיקריים שבבסיס הרצונות המתנגשים של המאומץ והוריו הביולוגים. ראינו כי הן רצונו של מאומץ לגלות מיהם הוריו הביולוגים, הן רצונו של הורה להישאר אנונימי ביחס לילד שמסר לאימוץ, מעוגנים באינטרסים ובזכויות כבדי-משקל ובעלי מעמד נכבד בשיטתנו המשפטית; והסקנו כי לפיכך, האופן שבו יש לאזן בין רצונות הצדדים אינו מובן מאליו. בהמשך לכך, נוכחנו לדעת כי שיטות משפט שונות </w:t>
      </w:r>
      <w:r>
        <w:rPr>
          <w:rFonts w:ascii="Century" w:hAnsi="Century"/>
          <w:rtl/>
        </w:rPr>
        <w:lastRenderedPageBreak/>
        <w:t xml:space="preserve">ברחבי העולם אכן מסדירות את הסוגיה הנדונה בדרכים מגוונות, ומציבות במיקומים שונים את נקודת האיזון בין האינטרסים המתנגשים, על הרצף שבין מניעה כמעט מוחלטת מהמאומץ לממש את רצונו הנדון, לבין הענקת זכות כמעט בלתי-מוגבלת למימוש רצון זה. </w:t>
      </w:r>
    </w:p>
    <w:p w14:paraId="6CBC76D7" w14:textId="77777777" w:rsidR="00FF331B" w:rsidRDefault="00FF331B" w:rsidP="00FF331B">
      <w:pPr>
        <w:pStyle w:val="Ruller41"/>
        <w:rPr>
          <w:rFonts w:ascii="Century" w:hAnsi="Century"/>
          <w:rtl/>
        </w:rPr>
      </w:pPr>
    </w:p>
    <w:p w14:paraId="1527F7AA" w14:textId="77777777" w:rsidR="00FF331B" w:rsidRDefault="00000000" w:rsidP="00FF331B">
      <w:pPr>
        <w:pStyle w:val="Ruller41"/>
        <w:rPr>
          <w:rFonts w:ascii="Century" w:hAnsi="Century"/>
          <w:rtl/>
        </w:rPr>
      </w:pPr>
      <w:r>
        <w:rPr>
          <w:rFonts w:ascii="Century" w:hAnsi="Century"/>
          <w:rtl/>
        </w:rPr>
        <w:t>35.</w:t>
      </w:r>
      <w:r>
        <w:rPr>
          <w:rFonts w:ascii="Century" w:hAnsi="Century"/>
          <w:rtl/>
        </w:rPr>
        <w:tab/>
        <w:t xml:space="preserve">לנוכח האמור, קיימת חשיבות יתרה לבחינה דקדקנית ואיתור נקודת האיזון שקבע המחוקק במסגרת </w:t>
      </w:r>
      <w:hyperlink r:id="rId52"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בין האינטרסים שעל הפרק. כפי שיבואר להלן, אמנם ניתן לאתר בהוראות חוק האימוץ נקודת איזון כאמור; עם זאת, הוראות החוק אינן מסדירות באופן ממצה את הסוגיה על מכלול מורכבויותיה. לפיכך, בהמשך דבריי אבחן את נקודת האיזון שקבע המחוקק בסוגיה הנדונה ואציע קווים מנחים להוצאת ההסדר החוקי מן הכוח אל הפועל.</w:t>
      </w:r>
    </w:p>
    <w:p w14:paraId="3954FB6A" w14:textId="77777777" w:rsidR="00FF331B" w:rsidRDefault="00FF331B" w:rsidP="00FF331B">
      <w:pPr>
        <w:pStyle w:val="Ruller41"/>
        <w:rPr>
          <w:rFonts w:ascii="Century" w:hAnsi="Century"/>
          <w:rtl/>
        </w:rPr>
      </w:pPr>
    </w:p>
    <w:p w14:paraId="0C3DF65D" w14:textId="77777777" w:rsidR="00FF331B" w:rsidRDefault="00FF331B" w:rsidP="00FF331B">
      <w:pPr>
        <w:pStyle w:val="Ruller41"/>
        <w:rPr>
          <w:rFonts w:ascii="Century" w:hAnsi="Century"/>
          <w:rtl/>
        </w:rPr>
      </w:pPr>
    </w:p>
    <w:p w14:paraId="402113FE" w14:textId="77777777" w:rsidR="00FF331B" w:rsidRDefault="00000000" w:rsidP="00FF331B">
      <w:pPr>
        <w:pStyle w:val="Ruller41"/>
        <w:rPr>
          <w:rFonts w:ascii="Century" w:hAnsi="Century" w:cs="Miriam"/>
          <w:b/>
          <w:spacing w:val="0"/>
          <w:szCs w:val="24"/>
          <w:rtl/>
        </w:rPr>
      </w:pPr>
      <w:r>
        <w:rPr>
          <w:rFonts w:ascii="Century" w:hAnsi="Century" w:cs="Miriam"/>
          <w:b/>
          <w:spacing w:val="0"/>
          <w:szCs w:val="24"/>
          <w:rtl/>
        </w:rPr>
        <w:t>האיזון בסעיף 30(ב) לחוק האימוץ בין רצונות מתנגשים של מאומץ והורה ביולוגי</w:t>
      </w:r>
    </w:p>
    <w:p w14:paraId="5008D8AE" w14:textId="77777777" w:rsidR="00FF331B" w:rsidRDefault="00FF331B" w:rsidP="00FF331B">
      <w:pPr>
        <w:pStyle w:val="Ruller41"/>
        <w:rPr>
          <w:rFonts w:ascii="Century" w:hAnsi="Century"/>
          <w:rtl/>
        </w:rPr>
      </w:pPr>
    </w:p>
    <w:p w14:paraId="7E6D6A24" w14:textId="77777777" w:rsidR="00FF331B" w:rsidRDefault="00000000" w:rsidP="00FF331B">
      <w:pPr>
        <w:pStyle w:val="Ruller41"/>
        <w:rPr>
          <w:rFonts w:ascii="Century" w:hAnsi="Century"/>
          <w:rtl/>
        </w:rPr>
      </w:pPr>
      <w:r>
        <w:rPr>
          <w:rFonts w:ascii="Century" w:hAnsi="Century"/>
          <w:rtl/>
        </w:rPr>
        <w:t>36.</w:t>
      </w:r>
      <w:r>
        <w:rPr>
          <w:rFonts w:ascii="Century" w:hAnsi="Century"/>
          <w:rtl/>
        </w:rPr>
        <w:tab/>
        <w:t xml:space="preserve">כמפורט לעיל, כך מורה </w:t>
      </w:r>
      <w:hyperlink r:id="rId53"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אשר ניצב במוקד דיוננו: </w:t>
      </w:r>
    </w:p>
    <w:p w14:paraId="468DEC9A" w14:textId="77777777" w:rsidR="00FF331B" w:rsidRDefault="00000000" w:rsidP="00FF331B">
      <w:pPr>
        <w:pStyle w:val="Ruller41"/>
        <w:rPr>
          <w:rFonts w:ascii="Century" w:hAnsi="Century"/>
          <w:rtl/>
        </w:rPr>
      </w:pPr>
      <w:r>
        <w:rPr>
          <w:rFonts w:ascii="Century" w:hAnsi="Century"/>
          <w:rtl/>
        </w:rPr>
        <w:tab/>
      </w:r>
    </w:p>
    <w:p w14:paraId="4DBA9DCC" w14:textId="77777777" w:rsidR="00FF331B" w:rsidRDefault="00000000" w:rsidP="00FF331B">
      <w:pPr>
        <w:pStyle w:val="Ruller5"/>
        <w:rPr>
          <w:rFonts w:ascii="Century" w:hAnsi="Century"/>
          <w:rtl/>
        </w:rPr>
      </w:pPr>
      <w:r>
        <w:rPr>
          <w:rtl/>
        </w:rPr>
        <w:t>"לפי בקשת מאומץ שמלאו לו 18 שנים, רשאי עובד סוציאלי לפי חוק האימוץ להתיר לו לעיין בפנקס ברישום המתייחס אליו; סירב העובד הסוציאלי לבקשה, רשאי בית המשפט להתיר את העיון לאחר קבלת תסקיר מעובד סוציאלי לפי חוק האימוץ".</w:t>
      </w:r>
    </w:p>
    <w:p w14:paraId="0B446A63" w14:textId="77777777" w:rsidR="00FF331B" w:rsidRDefault="00FF331B" w:rsidP="00FF331B">
      <w:pPr>
        <w:pStyle w:val="Ruller41"/>
        <w:rPr>
          <w:rFonts w:ascii="Century" w:hAnsi="Century"/>
          <w:rtl/>
        </w:rPr>
      </w:pPr>
    </w:p>
    <w:p w14:paraId="5AB2122F" w14:textId="77777777" w:rsidR="00FF331B" w:rsidRDefault="00000000" w:rsidP="00FF331B">
      <w:pPr>
        <w:pStyle w:val="Ruller41"/>
        <w:rPr>
          <w:rFonts w:ascii="Century" w:hAnsi="Century"/>
          <w:rtl/>
        </w:rPr>
      </w:pPr>
      <w:r>
        <w:rPr>
          <w:rFonts w:ascii="Century" w:hAnsi="Century"/>
          <w:rtl/>
        </w:rPr>
        <w:tab/>
        <w:t xml:space="preserve">בראשית הדברים יצוין, כי חוק האימוץ הנוכחי בא חלף </w:t>
      </w:r>
      <w:hyperlink r:id="rId54" w:history="1">
        <w:r w:rsidR="00482AA5" w:rsidRPr="00482AA5">
          <w:rPr>
            <w:rFonts w:ascii="Century" w:hAnsi="Century" w:hint="eastAsia"/>
            <w:color w:val="0000FF"/>
            <w:u w:val="single"/>
            <w:rtl/>
          </w:rPr>
          <w:t>חוק</w:t>
        </w:r>
        <w:r w:rsidR="00482AA5" w:rsidRPr="00482AA5">
          <w:rPr>
            <w:rFonts w:ascii="Century" w:hAnsi="Century"/>
            <w:color w:val="0000FF"/>
            <w:u w:val="single"/>
            <w:rtl/>
          </w:rPr>
          <w:t xml:space="preserve"> </w:t>
        </w:r>
        <w:r w:rsidR="00482AA5" w:rsidRPr="00482AA5">
          <w:rPr>
            <w:rFonts w:ascii="Century" w:hAnsi="Century" w:hint="eastAsia"/>
            <w:color w:val="0000FF"/>
            <w:u w:val="single"/>
            <w:rtl/>
          </w:rPr>
          <w:t>אימוץ</w:t>
        </w:r>
        <w:r w:rsidR="00482AA5" w:rsidRPr="00482AA5">
          <w:rPr>
            <w:rFonts w:ascii="Century" w:hAnsi="Century"/>
            <w:color w:val="0000FF"/>
            <w:u w:val="single"/>
            <w:rtl/>
          </w:rPr>
          <w:t xml:space="preserve"> </w:t>
        </w:r>
        <w:r w:rsidR="00482AA5" w:rsidRPr="00482AA5">
          <w:rPr>
            <w:rFonts w:ascii="Century" w:hAnsi="Century" w:hint="eastAsia"/>
            <w:color w:val="0000FF"/>
            <w:u w:val="single"/>
            <w:rtl/>
          </w:rPr>
          <w:t>ילדים</w:t>
        </w:r>
      </w:hyperlink>
      <w:r>
        <w:rPr>
          <w:rFonts w:ascii="Century" w:hAnsi="Century"/>
          <w:rtl/>
        </w:rPr>
        <w:t xml:space="preserve">, התש"ך-1960 (להלן גם: </w:t>
      </w:r>
      <w:r>
        <w:rPr>
          <w:rFonts w:ascii="Century" w:hAnsi="Century" w:cs="Miriam"/>
          <w:b/>
          <w:spacing w:val="0"/>
          <w:szCs w:val="24"/>
          <w:rtl/>
        </w:rPr>
        <w:t>החוק הישן</w:t>
      </w:r>
      <w:r>
        <w:rPr>
          <w:rFonts w:ascii="Century" w:hAnsi="Century"/>
          <w:rtl/>
        </w:rPr>
        <w:t>), שבמסגרתו הוענקה למאומץ שמלאו לו 18 שנה זכות מוחלטת לעיין בפנקס האימוצים. וכך קבע סעיף 27 לחוק הישן:</w:t>
      </w:r>
    </w:p>
    <w:p w14:paraId="7C707414" w14:textId="77777777" w:rsidR="00FF331B" w:rsidRDefault="00FF331B" w:rsidP="00FF331B">
      <w:pPr>
        <w:pStyle w:val="Ruller41"/>
        <w:rPr>
          <w:rFonts w:ascii="Century" w:hAnsi="Century"/>
          <w:rtl/>
        </w:rPr>
      </w:pPr>
    </w:p>
    <w:p w14:paraId="01222FC3" w14:textId="77777777" w:rsidR="00FF331B" w:rsidRDefault="00000000" w:rsidP="00FF331B">
      <w:pPr>
        <w:pStyle w:val="Ruller5"/>
        <w:rPr>
          <w:rtl/>
        </w:rPr>
      </w:pPr>
      <w:r>
        <w:rPr>
          <w:rtl/>
        </w:rPr>
        <w:t xml:space="preserve">"פנקס האימוצים לא יהא פתוח לעיון; ואולם רשאי לעיין בו </w:t>
      </w:r>
      <w:r>
        <w:rPr>
          <w:rtl/>
        </w:rPr>
        <w:softHyphen/>
      </w:r>
    </w:p>
    <w:p w14:paraId="178EEF22" w14:textId="77777777" w:rsidR="00FF331B" w:rsidRDefault="00000000" w:rsidP="00FF331B">
      <w:pPr>
        <w:pStyle w:val="Ruller5"/>
        <w:rPr>
          <w:rtl/>
        </w:rPr>
      </w:pPr>
      <w:r>
        <w:rPr>
          <w:rtl/>
        </w:rPr>
        <w:t>(1) היועץ המשפטי לממשלה או בא כוחו;</w:t>
      </w:r>
    </w:p>
    <w:p w14:paraId="6178B408" w14:textId="77777777" w:rsidR="00FF331B" w:rsidRDefault="00000000" w:rsidP="00FF331B">
      <w:pPr>
        <w:pStyle w:val="Ruller5"/>
        <w:rPr>
          <w:rtl/>
        </w:rPr>
      </w:pPr>
      <w:r>
        <w:rPr>
          <w:rtl/>
        </w:rPr>
        <w:t>(2) רושם נישואין או אדם אחר שהוסמך לכך, כשהעיון דרוש למילוי תפקיד רשמי:</w:t>
      </w:r>
    </w:p>
    <w:p w14:paraId="6E9F8396" w14:textId="77777777" w:rsidR="00FF331B" w:rsidRDefault="00000000" w:rsidP="00FF331B">
      <w:pPr>
        <w:pStyle w:val="Ruller5"/>
        <w:rPr>
          <w:rtl/>
        </w:rPr>
      </w:pPr>
      <w:r>
        <w:rPr>
          <w:rtl/>
        </w:rPr>
        <w:t xml:space="preserve">(3) </w:t>
      </w:r>
      <w:r>
        <w:rPr>
          <w:rFonts w:ascii="Century" w:hAnsi="Century" w:cs="Miriam"/>
          <w:b/>
          <w:spacing w:val="0"/>
          <w:szCs w:val="24"/>
          <w:rtl/>
        </w:rPr>
        <w:t>מאומץ לאחר שמלאו לו 18 שנה</w:t>
      </w:r>
      <w:r>
        <w:rPr>
          <w:rtl/>
        </w:rPr>
        <w:t>".</w:t>
      </w:r>
    </w:p>
    <w:p w14:paraId="78881091" w14:textId="77777777" w:rsidR="00FF331B" w:rsidRDefault="00FF331B" w:rsidP="00FF331B">
      <w:pPr>
        <w:pStyle w:val="Ruller5"/>
        <w:rPr>
          <w:rtl/>
        </w:rPr>
      </w:pPr>
    </w:p>
    <w:p w14:paraId="16F08D47" w14:textId="77777777" w:rsidR="00FF331B" w:rsidRDefault="00000000" w:rsidP="00FF331B">
      <w:pPr>
        <w:pStyle w:val="Ruller41"/>
        <w:rPr>
          <w:rFonts w:ascii="Century" w:hAnsi="Century"/>
          <w:rtl/>
        </w:rPr>
      </w:pPr>
      <w:r>
        <w:rPr>
          <w:rFonts w:ascii="Century" w:hAnsi="Century"/>
          <w:rtl/>
        </w:rPr>
        <w:tab/>
        <w:t xml:space="preserve">הסדר זה, שהעניק כאמור זכות בלתי-מסויגת למאומץ לעיין בפנקס ולגלות פרטים מזהים על הוריו הביולוגיים, נתפס בזמנו כמתקדם וחדשני ביחס לשאר מדינות העולם המערבי, לגבי הכרה בזכות המאומץ לגלות את זהות הוריו (ראו: פנחס שיפמן </w:t>
      </w:r>
      <w:hyperlink r:id="rId55" w:history="1">
        <w:r w:rsidR="00482AA5" w:rsidRPr="00482AA5">
          <w:rPr>
            <w:rFonts w:ascii="Century" w:hAnsi="Century" w:cs="Miriam" w:hint="eastAsia"/>
            <w:b/>
            <w:color w:val="0000FF"/>
            <w:spacing w:val="0"/>
            <w:szCs w:val="24"/>
            <w:u w:val="single"/>
            <w:rtl/>
          </w:rPr>
          <w:t>דיני</w:t>
        </w:r>
        <w:r w:rsidR="00482AA5" w:rsidRPr="00482AA5">
          <w:rPr>
            <w:rFonts w:ascii="Century" w:hAnsi="Century" w:cs="Miriam"/>
            <w:b/>
            <w:color w:val="0000FF"/>
            <w:spacing w:val="0"/>
            <w:szCs w:val="24"/>
            <w:u w:val="single"/>
            <w:rtl/>
          </w:rPr>
          <w:t xml:space="preserve"> </w:t>
        </w:r>
        <w:r w:rsidR="00482AA5" w:rsidRPr="00482AA5">
          <w:rPr>
            <w:rFonts w:ascii="Century" w:hAnsi="Century" w:cs="Miriam" w:hint="eastAsia"/>
            <w:b/>
            <w:color w:val="0000FF"/>
            <w:spacing w:val="0"/>
            <w:szCs w:val="24"/>
            <w:u w:val="single"/>
            <w:rtl/>
          </w:rPr>
          <w:t>המשפחה</w:t>
        </w:r>
        <w:r w:rsidR="00482AA5" w:rsidRPr="00482AA5">
          <w:rPr>
            <w:rFonts w:ascii="Century" w:hAnsi="Century" w:cs="Miriam"/>
            <w:b/>
            <w:color w:val="0000FF"/>
            <w:spacing w:val="0"/>
            <w:szCs w:val="24"/>
            <w:u w:val="single"/>
            <w:rtl/>
          </w:rPr>
          <w:t xml:space="preserve"> </w:t>
        </w:r>
        <w:r w:rsidR="00482AA5" w:rsidRPr="00482AA5">
          <w:rPr>
            <w:rFonts w:ascii="Century" w:hAnsi="Century" w:cs="Miriam" w:hint="eastAsia"/>
            <w:b/>
            <w:color w:val="0000FF"/>
            <w:spacing w:val="0"/>
            <w:szCs w:val="24"/>
            <w:u w:val="single"/>
            <w:rtl/>
          </w:rPr>
          <w:t>בישראל</w:t>
        </w:r>
      </w:hyperlink>
      <w:r>
        <w:rPr>
          <w:rFonts w:ascii="Century" w:hAnsi="Century" w:cs="Miriam"/>
          <w:b/>
          <w:spacing w:val="0"/>
          <w:szCs w:val="24"/>
          <w:rtl/>
        </w:rPr>
        <w:t xml:space="preserve"> </w:t>
      </w:r>
      <w:r>
        <w:rPr>
          <w:rFonts w:ascii="Century" w:hAnsi="Century"/>
          <w:rtl/>
        </w:rPr>
        <w:t>כרך ב'</w:t>
      </w:r>
      <w:r>
        <w:rPr>
          <w:rFonts w:ascii="Century" w:hAnsi="Century" w:cs="Miriam"/>
          <w:b/>
          <w:spacing w:val="0"/>
          <w:szCs w:val="24"/>
          <w:rtl/>
        </w:rPr>
        <w:t xml:space="preserve"> </w:t>
      </w:r>
      <w:r>
        <w:rPr>
          <w:rFonts w:ascii="Century" w:hAnsi="Century"/>
          <w:rtl/>
        </w:rPr>
        <w:t xml:space="preserve">61 (1989); </w:t>
      </w:r>
      <w:r>
        <w:rPr>
          <w:rFonts w:ascii="Century" w:hAnsi="Century" w:cs="Miriam"/>
          <w:b/>
          <w:spacing w:val="0"/>
          <w:szCs w:val="24"/>
          <w:rtl/>
        </w:rPr>
        <w:t>זפרן</w:t>
      </w:r>
      <w:r>
        <w:rPr>
          <w:rFonts w:ascii="Century" w:hAnsi="Century"/>
          <w:rtl/>
        </w:rPr>
        <w:t xml:space="preserve">, בעמ' 228; על ההבחנה בין ההסדר בחוק הישן להסדר בחוק הנוכחי ראו גם: בנציון שרשבסקי ומיכאל </w:t>
      </w:r>
      <w:hyperlink r:id="rId56" w:history="1">
        <w:r w:rsidR="00482AA5" w:rsidRPr="00482AA5">
          <w:rPr>
            <w:rFonts w:ascii="Century" w:hAnsi="Century" w:hint="eastAsia"/>
            <w:color w:val="000000"/>
            <w:rtl/>
          </w:rPr>
          <w:t>קורינאלדי</w:t>
        </w:r>
        <w:r w:rsidR="00482AA5" w:rsidRPr="00482AA5">
          <w:rPr>
            <w:rFonts w:ascii="Century" w:hAnsi="Century"/>
            <w:color w:val="000000"/>
            <w:rtl/>
          </w:rPr>
          <w:t xml:space="preserve"> </w:t>
        </w:r>
        <w:r w:rsidR="00482AA5" w:rsidRPr="00482AA5">
          <w:rPr>
            <w:rFonts w:ascii="Century" w:hAnsi="Century" w:hint="eastAsia"/>
            <w:color w:val="000000"/>
            <w:rtl/>
          </w:rPr>
          <w:t>דיני</w:t>
        </w:r>
        <w:r w:rsidR="00482AA5" w:rsidRPr="00482AA5">
          <w:rPr>
            <w:rFonts w:ascii="Century" w:hAnsi="Century"/>
            <w:color w:val="000000"/>
            <w:rtl/>
          </w:rPr>
          <w:t xml:space="preserve"> </w:t>
        </w:r>
        <w:r w:rsidR="00482AA5" w:rsidRPr="00482AA5">
          <w:rPr>
            <w:rFonts w:ascii="Century" w:hAnsi="Century" w:hint="eastAsia"/>
            <w:color w:val="000000"/>
            <w:rtl/>
          </w:rPr>
          <w:t>משפחה</w:t>
        </w:r>
      </w:hyperlink>
      <w:r>
        <w:rPr>
          <w:rFonts w:ascii="Century" w:hAnsi="Century" w:cs="Miriam"/>
          <w:b/>
          <w:spacing w:val="0"/>
          <w:szCs w:val="24"/>
          <w:rtl/>
        </w:rPr>
        <w:t xml:space="preserve"> </w:t>
      </w:r>
      <w:r>
        <w:rPr>
          <w:rFonts w:ascii="Century" w:hAnsi="Century"/>
          <w:rtl/>
        </w:rPr>
        <w:t xml:space="preserve">כרך ב 963 (2016); נילי מימון </w:t>
      </w:r>
      <w:hyperlink r:id="rId57" w:history="1">
        <w:r w:rsidR="00482AA5" w:rsidRPr="00482AA5">
          <w:rPr>
            <w:rFonts w:ascii="Century" w:hAnsi="Century" w:cs="Miriam" w:hint="eastAsia"/>
            <w:b/>
            <w:color w:val="000000"/>
            <w:spacing w:val="0"/>
            <w:szCs w:val="24"/>
            <w:rtl/>
          </w:rPr>
          <w:t>דיני</w:t>
        </w:r>
        <w:r w:rsidR="00482AA5" w:rsidRPr="00482AA5">
          <w:rPr>
            <w:rFonts w:ascii="Century" w:hAnsi="Century" w:cs="Miriam"/>
            <w:b/>
            <w:color w:val="000000"/>
            <w:spacing w:val="0"/>
            <w:szCs w:val="24"/>
            <w:rtl/>
          </w:rPr>
          <w:t xml:space="preserve"> </w:t>
        </w:r>
        <w:r w:rsidR="00482AA5" w:rsidRPr="00482AA5">
          <w:rPr>
            <w:rFonts w:ascii="Century" w:hAnsi="Century" w:cs="Miriam" w:hint="eastAsia"/>
            <w:b/>
            <w:color w:val="000000"/>
            <w:spacing w:val="0"/>
            <w:szCs w:val="24"/>
            <w:rtl/>
          </w:rPr>
          <w:t>אימוץ</w:t>
        </w:r>
        <w:r w:rsidR="00482AA5" w:rsidRPr="00482AA5">
          <w:rPr>
            <w:rFonts w:ascii="Century" w:hAnsi="Century" w:cs="Miriam"/>
            <w:b/>
            <w:color w:val="000000"/>
            <w:spacing w:val="0"/>
            <w:szCs w:val="24"/>
            <w:rtl/>
          </w:rPr>
          <w:t xml:space="preserve"> </w:t>
        </w:r>
        <w:r w:rsidR="00482AA5" w:rsidRPr="00482AA5">
          <w:rPr>
            <w:rFonts w:ascii="Century" w:hAnsi="Century" w:cs="Miriam" w:hint="eastAsia"/>
            <w:b/>
            <w:color w:val="000000"/>
            <w:spacing w:val="0"/>
            <w:szCs w:val="24"/>
            <w:rtl/>
          </w:rPr>
          <w:t>ילדים</w:t>
        </w:r>
      </w:hyperlink>
      <w:r>
        <w:rPr>
          <w:rFonts w:ascii="Century" w:hAnsi="Century" w:cs="Miriam"/>
          <w:b/>
          <w:spacing w:val="0"/>
          <w:szCs w:val="24"/>
          <w:rtl/>
        </w:rPr>
        <w:t xml:space="preserve"> </w:t>
      </w:r>
      <w:r>
        <w:rPr>
          <w:rFonts w:ascii="Century" w:hAnsi="Century"/>
          <w:rtl/>
        </w:rPr>
        <w:t xml:space="preserve">463 (1994); </w:t>
      </w:r>
      <w:r>
        <w:rPr>
          <w:rFonts w:ascii="Century" w:hAnsi="Century" w:cs="Miriam"/>
          <w:b/>
          <w:spacing w:val="0"/>
          <w:szCs w:val="24"/>
          <w:rtl/>
        </w:rPr>
        <w:t>שיפמן</w:t>
      </w:r>
      <w:r>
        <w:rPr>
          <w:rFonts w:ascii="Century" w:hAnsi="Century"/>
          <w:rtl/>
        </w:rPr>
        <w:t xml:space="preserve">, בעמ' 62; </w:t>
      </w:r>
      <w:r>
        <w:rPr>
          <w:rFonts w:ascii="Century" w:hAnsi="Century" w:cs="Miriam"/>
          <w:b/>
          <w:spacing w:val="0"/>
          <w:szCs w:val="24"/>
          <w:rtl/>
        </w:rPr>
        <w:t>זפרן</w:t>
      </w:r>
      <w:r>
        <w:rPr>
          <w:rFonts w:ascii="Century" w:hAnsi="Century"/>
          <w:rtl/>
        </w:rPr>
        <w:t>, בעמ' 230).</w:t>
      </w:r>
    </w:p>
    <w:p w14:paraId="2568A759" w14:textId="77777777" w:rsidR="00FF331B" w:rsidRDefault="00FF331B" w:rsidP="00FF331B">
      <w:pPr>
        <w:pStyle w:val="Ruller41"/>
        <w:rPr>
          <w:rFonts w:ascii="Century" w:hAnsi="Century"/>
          <w:rtl/>
        </w:rPr>
      </w:pPr>
    </w:p>
    <w:p w14:paraId="3AE8D0E8" w14:textId="77777777" w:rsidR="00FF331B" w:rsidRDefault="00000000" w:rsidP="00FF331B">
      <w:pPr>
        <w:pStyle w:val="Ruller41"/>
        <w:rPr>
          <w:rFonts w:ascii="Century" w:hAnsi="Century"/>
          <w:rtl/>
        </w:rPr>
      </w:pPr>
      <w:r>
        <w:rPr>
          <w:rFonts w:ascii="Century" w:hAnsi="Century"/>
          <w:rtl/>
        </w:rPr>
        <w:t>37.</w:t>
      </w:r>
      <w:r>
        <w:rPr>
          <w:rFonts w:ascii="Century" w:hAnsi="Century"/>
          <w:rtl/>
        </w:rPr>
        <w:tab/>
        <w:t>ההסדר הנ"ל שבחוק הישן שו</w:t>
      </w:r>
      <w:r>
        <w:rPr>
          <w:rFonts w:ascii="FrankRuehl" w:hAnsi="FrankRuehl"/>
          <w:rtl/>
        </w:rPr>
        <w:t>ּ</w:t>
      </w:r>
      <w:r>
        <w:rPr>
          <w:rFonts w:ascii="Century" w:hAnsi="Century"/>
          <w:rtl/>
        </w:rPr>
        <w:t>נה כאמור בחוק האימוץ הנוכחי; בדברי ההסבר להצעת החוק שהובילה לחקיקתו, עולה כי הגבלת זכותו הנדונה של המאומץ, דרך הכפפתה לשיקול דעת עו"ס חוק האימוץ או בית המשפט, נבעה בעיקרו של דבר, מרצון המחוקק לאזן בין זכות המאומץ כאמור לבין האינטרסים של ההורים הביולוגיים:</w:t>
      </w:r>
    </w:p>
    <w:p w14:paraId="10A32A61" w14:textId="77777777" w:rsidR="00FF331B" w:rsidRDefault="00FF331B" w:rsidP="00FF331B">
      <w:pPr>
        <w:pStyle w:val="Ruller41"/>
        <w:rPr>
          <w:rFonts w:ascii="Century" w:hAnsi="Century"/>
          <w:rtl/>
        </w:rPr>
      </w:pPr>
    </w:p>
    <w:p w14:paraId="5E9D7366" w14:textId="77777777" w:rsidR="00FF331B" w:rsidRDefault="00000000" w:rsidP="00FF331B">
      <w:pPr>
        <w:pStyle w:val="Ruller5"/>
        <w:rPr>
          <w:rFonts w:ascii="Century" w:hAnsi="Century"/>
          <w:rtl/>
        </w:rPr>
      </w:pPr>
      <w:r>
        <w:rPr>
          <w:rtl/>
        </w:rPr>
        <w:t xml:space="preserve">"עיון של מאומץ בפנקס בגיל 18, כשהוא עדיין בגיל ההתבגרות, ללא כל צורך בהרשאת בית המשפט או פקיד האימוץ, </w:t>
      </w:r>
      <w:r>
        <w:rPr>
          <w:rFonts w:ascii="Century" w:hAnsi="Century"/>
          <w:rtl/>
        </w:rPr>
        <w:t>עלול לגרום סבל רב הן למאומץ והן להוריו הטבעיים, שייתכן שהקימו משפחות חדשות משלהם.</w:t>
      </w:r>
      <w:r>
        <w:rPr>
          <w:rtl/>
        </w:rPr>
        <w:t xml:space="preserve"> מוצע, איפוא, להתנות את העיון בהרשאת בית המשפט, אשר קיבל תסקיר מפקיד האימוץ שבדק את מצב ההורים הביולוגיים ושוחח עמם לפני שחיווה את דעתו לבית המשפט</w:t>
      </w:r>
      <w:r>
        <w:rPr>
          <w:rFonts w:ascii="Century" w:hAnsi="Century"/>
          <w:rtl/>
        </w:rPr>
        <w:t xml:space="preserve">" (הצעת </w:t>
      </w:r>
      <w:hyperlink r:id="rId58" w:history="1">
        <w:r w:rsidR="00482AA5" w:rsidRPr="00482AA5">
          <w:rPr>
            <w:rFonts w:ascii="Century" w:hAnsi="Century" w:hint="eastAsia"/>
            <w:color w:val="0000FF"/>
            <w:u w:val="single"/>
            <w:rtl/>
          </w:rPr>
          <w:t>חוק</w:t>
        </w:r>
        <w:r w:rsidR="00482AA5" w:rsidRPr="00482AA5">
          <w:rPr>
            <w:rFonts w:ascii="Century" w:hAnsi="Century"/>
            <w:color w:val="0000FF"/>
            <w:u w:val="single"/>
            <w:rtl/>
          </w:rPr>
          <w:t xml:space="preserve"> </w:t>
        </w:r>
        <w:r w:rsidR="00482AA5" w:rsidRPr="00482AA5">
          <w:rPr>
            <w:rFonts w:ascii="Century" w:hAnsi="Century" w:hint="eastAsia"/>
            <w:color w:val="0000FF"/>
            <w:u w:val="single"/>
            <w:rtl/>
          </w:rPr>
          <w:t>אימוץ</w:t>
        </w:r>
        <w:r w:rsidR="00482AA5" w:rsidRPr="00482AA5">
          <w:rPr>
            <w:rFonts w:ascii="Century" w:hAnsi="Century"/>
            <w:color w:val="0000FF"/>
            <w:u w:val="single"/>
            <w:rtl/>
          </w:rPr>
          <w:t xml:space="preserve"> </w:t>
        </w:r>
        <w:r w:rsidR="00482AA5" w:rsidRPr="00482AA5">
          <w:rPr>
            <w:rFonts w:ascii="Century" w:hAnsi="Century" w:hint="eastAsia"/>
            <w:color w:val="0000FF"/>
            <w:u w:val="single"/>
            <w:rtl/>
          </w:rPr>
          <w:t>ילדים</w:t>
        </w:r>
      </w:hyperlink>
      <w:r>
        <w:rPr>
          <w:rFonts w:ascii="Century" w:hAnsi="Century"/>
          <w:rtl/>
        </w:rPr>
        <w:t xml:space="preserve">, התשמ"א-1981, ה"ח הממשלה 335, עמ' 341 (להלן: </w:t>
      </w:r>
      <w:r>
        <w:rPr>
          <w:rFonts w:ascii="Century" w:hAnsi="Century" w:cs="Miriam"/>
          <w:b/>
          <w:spacing w:val="0"/>
          <w:szCs w:val="24"/>
          <w:rtl/>
        </w:rPr>
        <w:t xml:space="preserve">הצעת חוק אימוץ ילדים </w:t>
      </w:r>
      <w:r>
        <w:rPr>
          <w:rFonts w:ascii="Century" w:hAnsi="Century"/>
          <w:rtl/>
        </w:rPr>
        <w:t xml:space="preserve">או </w:t>
      </w:r>
      <w:r>
        <w:rPr>
          <w:rFonts w:ascii="Century" w:hAnsi="Century" w:cs="Miriam"/>
          <w:b/>
          <w:spacing w:val="0"/>
          <w:szCs w:val="24"/>
          <w:rtl/>
        </w:rPr>
        <w:t>הצעת החוק</w:t>
      </w:r>
      <w:r>
        <w:rPr>
          <w:rFonts w:ascii="Century" w:hAnsi="Century"/>
          <w:rtl/>
        </w:rPr>
        <w:t xml:space="preserve">)). </w:t>
      </w:r>
    </w:p>
    <w:p w14:paraId="5960F7AE" w14:textId="77777777" w:rsidR="00FF331B" w:rsidRDefault="00FF331B" w:rsidP="00FF331B">
      <w:pPr>
        <w:pStyle w:val="Ruller41"/>
        <w:rPr>
          <w:rFonts w:ascii="Century" w:hAnsi="Century"/>
          <w:rtl/>
        </w:rPr>
      </w:pPr>
    </w:p>
    <w:p w14:paraId="780AB010" w14:textId="77777777" w:rsidR="00FF331B" w:rsidRDefault="00000000" w:rsidP="00FF331B">
      <w:pPr>
        <w:pStyle w:val="Ruller41"/>
        <w:rPr>
          <w:rFonts w:ascii="Century" w:hAnsi="Century"/>
          <w:rtl/>
        </w:rPr>
      </w:pPr>
      <w:r>
        <w:rPr>
          <w:rFonts w:ascii="Century" w:hAnsi="Century"/>
          <w:rtl/>
        </w:rPr>
        <w:tab/>
        <w:t>[</w:t>
      </w:r>
      <w:r>
        <w:rPr>
          <w:rtl/>
        </w:rPr>
        <w:t>יוער, כי במסגרת הצעת החוק הנדונה, סעיף החוק האמור לא כלל מעורבות של עו"ס חוק האימוץ בהחלטה אם להיעתר לבקשת מאומץ לעיין בפנקס, ונוסח הסעיף שהוצע היה "בית המשפט רשאי, לאחר קבלת תסקיר מפקיד אימוץ, להתיר למאומץ שמלאו לו 18 שנים לעיין בפנקס ברישום המתייחס אליו</w:t>
      </w:r>
      <w:r>
        <w:rPr>
          <w:rFonts w:ascii="Century" w:hAnsi="Century"/>
          <w:rtl/>
        </w:rPr>
        <w:t>"].</w:t>
      </w:r>
    </w:p>
    <w:p w14:paraId="4D115E8E" w14:textId="77777777" w:rsidR="00FF331B" w:rsidRDefault="00FF331B" w:rsidP="00FF331B">
      <w:pPr>
        <w:pStyle w:val="Ruller41"/>
        <w:rPr>
          <w:rFonts w:ascii="Century" w:hAnsi="Century"/>
          <w:rtl/>
        </w:rPr>
      </w:pPr>
    </w:p>
    <w:p w14:paraId="2E655A75" w14:textId="77777777" w:rsidR="00FF331B" w:rsidRDefault="00000000" w:rsidP="00FF331B">
      <w:pPr>
        <w:pStyle w:val="Ruller41"/>
        <w:rPr>
          <w:rFonts w:ascii="Century" w:hAnsi="Century"/>
          <w:rtl/>
        </w:rPr>
      </w:pPr>
      <w:r>
        <w:rPr>
          <w:rFonts w:ascii="Century" w:hAnsi="Century"/>
          <w:rtl/>
        </w:rPr>
        <w:tab/>
        <w:t xml:space="preserve">הנה כי כן, אף על פי שהדבר אינו כתוב במפורש בהוראת </w:t>
      </w:r>
      <w:hyperlink r:id="rId59"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כוונת המחוקק היא שהכרעת עו"ס חוק האימוץ או בית המשפט בבקשת מאומץ לעיין בפנקס תביא בחשבון את רצון ההורים הביולוגיים בעניין זה ואת ההשלכות הטמונות מבחינתם בקבלת בקשה כאמור; ותאזן בין רצונם וההשלכות מבחינתם לבין רצון המאומץ לעיין בפנקס וההשלכות הטמונות מבחינתו בדחיית בקשתו. עם זאת, המחוקק לא גילה דעתו המפורשת בשאלת האופן שבו יש לאזן בין הרצונות המתנגשים, ושאלה זו טעונה כאמור הכרעה בענייננו.</w:t>
      </w:r>
    </w:p>
    <w:p w14:paraId="014C116D" w14:textId="77777777" w:rsidR="00FF331B" w:rsidRDefault="00FF331B" w:rsidP="00FF331B">
      <w:pPr>
        <w:pStyle w:val="Ruller41"/>
        <w:rPr>
          <w:rFonts w:ascii="Century" w:hAnsi="Century"/>
          <w:rtl/>
        </w:rPr>
      </w:pPr>
    </w:p>
    <w:p w14:paraId="5E452AAF" w14:textId="77777777" w:rsidR="00FF331B" w:rsidRDefault="00000000" w:rsidP="00FF331B">
      <w:pPr>
        <w:pStyle w:val="Ruller41"/>
        <w:rPr>
          <w:rFonts w:ascii="Century" w:hAnsi="Century"/>
          <w:rtl/>
        </w:rPr>
      </w:pPr>
      <w:r>
        <w:rPr>
          <w:rFonts w:ascii="Century" w:hAnsi="Century"/>
          <w:rtl/>
        </w:rPr>
        <w:lastRenderedPageBreak/>
        <w:t>38.</w:t>
      </w:r>
      <w:r>
        <w:rPr>
          <w:rFonts w:ascii="Century" w:hAnsi="Century"/>
          <w:rtl/>
        </w:rPr>
        <w:tab/>
        <w:t>כידוע, הוראותיו של חוק משמשות ראשון במעלה במעלה להתחקות אחר כוונת המחוקק ותכלית החקיקה. בתוך כך, "עיון בדבר החקיקה כיחידה שלמה ואורגנית עשוי להצביע על התכלית המונחת ביסודה. נושא החקיקה, טיב ההסדרים ויחסי הגומלין שביניהם, עשויים לשמש בסיס להסקת מטרת החקיקה" (</w:t>
      </w:r>
      <w:hyperlink r:id="rId60" w:history="1">
        <w:r w:rsidR="00482AA5" w:rsidRPr="00482AA5">
          <w:rPr>
            <w:rFonts w:ascii="Century" w:hAnsi="Century" w:hint="eastAsia"/>
            <w:color w:val="0000FF"/>
            <w:u w:val="single"/>
            <w:rtl/>
          </w:rPr>
          <w:t>בג</w:t>
        </w:r>
        <w:r w:rsidR="00482AA5" w:rsidRPr="00482AA5">
          <w:rPr>
            <w:rFonts w:ascii="Century" w:hAnsi="Century"/>
            <w:color w:val="0000FF"/>
            <w:u w:val="single"/>
            <w:rtl/>
          </w:rPr>
          <w:t>"</w:t>
        </w:r>
        <w:r w:rsidR="00482AA5" w:rsidRPr="00482AA5">
          <w:rPr>
            <w:rFonts w:ascii="Century" w:hAnsi="Century" w:hint="eastAsia"/>
            <w:color w:val="0000FF"/>
            <w:u w:val="single"/>
            <w:rtl/>
          </w:rPr>
          <w:t>ץ</w:t>
        </w:r>
        <w:r w:rsidR="00482AA5" w:rsidRPr="00482AA5">
          <w:rPr>
            <w:rFonts w:ascii="Century" w:hAnsi="Century"/>
            <w:color w:val="0000FF"/>
            <w:u w:val="single"/>
            <w:rtl/>
          </w:rPr>
          <w:t xml:space="preserve"> 693/91</w:t>
        </w:r>
      </w:hyperlink>
      <w:r>
        <w:rPr>
          <w:rFonts w:ascii="Century" w:hAnsi="Century"/>
          <w:rtl/>
        </w:rPr>
        <w:t xml:space="preserve"> </w:t>
      </w:r>
      <w:r>
        <w:rPr>
          <w:rFonts w:ascii="Century" w:hAnsi="Century" w:cs="Miriam"/>
          <w:b/>
          <w:spacing w:val="0"/>
          <w:szCs w:val="24"/>
          <w:rtl/>
        </w:rPr>
        <w:t>אפרת נ' הממונה על מרשם האוכלוסין במשרד הפנים</w:t>
      </w:r>
      <w:r>
        <w:rPr>
          <w:rFonts w:ascii="Century" w:hAnsi="Century"/>
          <w:rtl/>
        </w:rPr>
        <w:t xml:space="preserve">, פ"ד מז(1) 749, פס' 15 (1993)). כמו כן, לעיתים חוק קובע את תכליתו במסגרת סעיף מטרות, ובכך מעיד בעצמו על תכליתו העיקרית והחשובה (ראו: אהרן ברק </w:t>
      </w:r>
      <w:hyperlink r:id="rId61" w:history="1">
        <w:r w:rsidR="00482AA5" w:rsidRPr="00482AA5">
          <w:rPr>
            <w:rFonts w:ascii="Century" w:hAnsi="Century" w:cs="Miriam" w:hint="eastAsia"/>
            <w:b/>
            <w:color w:val="0000FF"/>
            <w:spacing w:val="0"/>
            <w:szCs w:val="24"/>
            <w:u w:val="single"/>
            <w:rtl/>
          </w:rPr>
          <w:t>פרשנות</w:t>
        </w:r>
        <w:r w:rsidR="00482AA5" w:rsidRPr="00482AA5">
          <w:rPr>
            <w:rFonts w:ascii="Century" w:hAnsi="Century" w:cs="Miriam"/>
            <w:b/>
            <w:color w:val="0000FF"/>
            <w:spacing w:val="0"/>
            <w:szCs w:val="24"/>
            <w:u w:val="single"/>
            <w:rtl/>
          </w:rPr>
          <w:t xml:space="preserve"> </w:t>
        </w:r>
        <w:r w:rsidR="00482AA5" w:rsidRPr="00482AA5">
          <w:rPr>
            <w:rFonts w:ascii="Century" w:hAnsi="Century" w:cs="Miriam" w:hint="eastAsia"/>
            <w:b/>
            <w:color w:val="0000FF"/>
            <w:spacing w:val="0"/>
            <w:szCs w:val="24"/>
            <w:u w:val="single"/>
            <w:rtl/>
          </w:rPr>
          <w:t>במשפט</w:t>
        </w:r>
      </w:hyperlink>
      <w:r>
        <w:rPr>
          <w:rFonts w:ascii="Century" w:hAnsi="Century" w:cs="Miriam"/>
          <w:b/>
          <w:spacing w:val="0"/>
          <w:szCs w:val="24"/>
          <w:rtl/>
        </w:rPr>
        <w:t xml:space="preserve"> – פרשנות החקיקה</w:t>
      </w:r>
      <w:r>
        <w:rPr>
          <w:rFonts w:ascii="Century" w:hAnsi="Century"/>
          <w:rtl/>
        </w:rPr>
        <w:t xml:space="preserve"> 305-303 (התשנ"ג)).</w:t>
      </w:r>
    </w:p>
    <w:p w14:paraId="1E835C3C" w14:textId="77777777" w:rsidR="00FF331B" w:rsidRDefault="00FF331B" w:rsidP="00FF331B">
      <w:pPr>
        <w:pStyle w:val="Ruller41"/>
        <w:rPr>
          <w:rFonts w:ascii="Century" w:hAnsi="Century"/>
          <w:rtl/>
        </w:rPr>
      </w:pPr>
    </w:p>
    <w:p w14:paraId="307634E0" w14:textId="77777777" w:rsidR="00FF331B" w:rsidRDefault="00000000" w:rsidP="00FF331B">
      <w:pPr>
        <w:pStyle w:val="Ruller41"/>
        <w:rPr>
          <w:rFonts w:ascii="Century" w:hAnsi="Century"/>
          <w:rtl/>
        </w:rPr>
      </w:pPr>
      <w:r>
        <w:rPr>
          <w:rFonts w:ascii="Century" w:hAnsi="Century"/>
          <w:rtl/>
        </w:rPr>
        <w:t>39.</w:t>
      </w:r>
      <w:r>
        <w:rPr>
          <w:rFonts w:ascii="Century" w:hAnsi="Century"/>
          <w:rtl/>
        </w:rPr>
        <w:tab/>
        <w:t xml:space="preserve">בענייננו, רלוונטי בהקשר זה </w:t>
      </w:r>
      <w:hyperlink r:id="rId62" w:history="1">
        <w:r w:rsidR="006132F7" w:rsidRPr="006132F7">
          <w:rPr>
            <w:rStyle w:val="Hyperlink"/>
            <w:rFonts w:ascii="Century" w:hAnsi="Century" w:hint="eastAsia"/>
            <w:rtl/>
          </w:rPr>
          <w:t>סעיף</w:t>
        </w:r>
        <w:r w:rsidR="006132F7" w:rsidRPr="006132F7">
          <w:rPr>
            <w:rStyle w:val="Hyperlink"/>
            <w:rFonts w:ascii="Century" w:hAnsi="Century"/>
            <w:rtl/>
          </w:rPr>
          <w:t xml:space="preserve"> 1(</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אשר עם חקיקתו בשנת 1981 קבע כדלקמן:</w:t>
      </w:r>
    </w:p>
    <w:p w14:paraId="41D74F5D" w14:textId="77777777" w:rsidR="00FF331B" w:rsidRDefault="00FF331B" w:rsidP="00FF331B">
      <w:pPr>
        <w:pStyle w:val="Ruller41"/>
        <w:rPr>
          <w:rFonts w:ascii="Century" w:hAnsi="Century"/>
          <w:rtl/>
        </w:rPr>
      </w:pPr>
    </w:p>
    <w:p w14:paraId="7C0C8264" w14:textId="77777777" w:rsidR="00FF331B" w:rsidRDefault="00000000" w:rsidP="00FF331B">
      <w:pPr>
        <w:pStyle w:val="Ruller5"/>
        <w:rPr>
          <w:rtl/>
        </w:rPr>
      </w:pPr>
      <w:r>
        <w:rPr>
          <w:rtl/>
        </w:rPr>
        <w:t>"</w:t>
      </w:r>
      <w:r>
        <w:rPr>
          <w:rFonts w:ascii="FrankRuehl" w:hAnsi="FrankRuehl"/>
          <w:sz w:val="28"/>
          <w:rtl/>
        </w:rPr>
        <w:t>צו אימוץ ו</w:t>
      </w:r>
      <w:r>
        <w:rPr>
          <w:rFonts w:ascii="FrankRuehl" w:hAnsi="FrankRuehl"/>
          <w:b/>
          <w:spacing w:val="0"/>
          <w:sz w:val="28"/>
          <w:rtl/>
        </w:rPr>
        <w:t>כל החלטה אחרת לפי חוק זה יינתנו אם נוכח בית המשפט שהם לטובת המאומץ</w:t>
      </w:r>
      <w:r>
        <w:rPr>
          <w:rtl/>
        </w:rPr>
        <w:t>".</w:t>
      </w:r>
    </w:p>
    <w:p w14:paraId="06F32DD8" w14:textId="77777777" w:rsidR="00FF331B" w:rsidRDefault="00FF331B" w:rsidP="00FF331B">
      <w:pPr>
        <w:pStyle w:val="Ruller5"/>
        <w:rPr>
          <w:rtl/>
        </w:rPr>
      </w:pPr>
    </w:p>
    <w:p w14:paraId="3A326028" w14:textId="77777777" w:rsidR="00FF331B" w:rsidRDefault="00000000" w:rsidP="00FF331B">
      <w:pPr>
        <w:pStyle w:val="Ruller41"/>
        <w:rPr>
          <w:rFonts w:ascii="Century" w:hAnsi="Century"/>
          <w:rtl/>
        </w:rPr>
      </w:pPr>
      <w:r>
        <w:rPr>
          <w:rFonts w:ascii="Century" w:hAnsi="Century"/>
          <w:rtl/>
        </w:rPr>
        <w:tab/>
        <w:t>מדברי ההסבר להצעת החוק עולה עמדתו המפורשת של המחוקק, שלפיה סעיף זה מתייחס גם לסוגיית העיון בפנקס האימוצים:</w:t>
      </w:r>
    </w:p>
    <w:p w14:paraId="399FAA36" w14:textId="77777777" w:rsidR="00FF331B" w:rsidRDefault="00FF331B" w:rsidP="00FF331B">
      <w:pPr>
        <w:pStyle w:val="Ruller41"/>
        <w:rPr>
          <w:rFonts w:ascii="Century" w:hAnsi="Century"/>
          <w:rtl/>
        </w:rPr>
      </w:pPr>
    </w:p>
    <w:p w14:paraId="3D519EA0" w14:textId="77777777" w:rsidR="00FF331B" w:rsidRDefault="00000000" w:rsidP="00FF331B">
      <w:pPr>
        <w:pStyle w:val="Ruller5"/>
        <w:rPr>
          <w:rFonts w:ascii="Century" w:hAnsi="Century"/>
          <w:rtl/>
        </w:rPr>
      </w:pPr>
      <w:r>
        <w:rPr>
          <w:rFonts w:ascii="Century" w:hAnsi="Century"/>
          <w:rtl/>
        </w:rPr>
        <w:t>"מ</w:t>
      </w:r>
      <w:r>
        <w:rPr>
          <w:rtl/>
        </w:rPr>
        <w:t xml:space="preserve">וצע להבהיר שאימוץ יהא רק על פי צו בית משפט וכי </w:t>
      </w:r>
      <w:r>
        <w:rPr>
          <w:rFonts w:ascii="Miriam" w:hAnsi="Miriam" w:cs="Miriam"/>
          <w:sz w:val="24"/>
          <w:szCs w:val="24"/>
          <w:rtl/>
        </w:rPr>
        <w:t>טובת הילד</w:t>
      </w:r>
      <w:r>
        <w:rPr>
          <w:rtl/>
        </w:rPr>
        <w:t xml:space="preserve"> תעמוד לעיני בית המשפט לא רק לענין מתן צו אימוץ בלבד אלא גם לצורך כל החלטה אחרת לפי חוק זה (הכרזת בר </w:t>
      </w:r>
      <w:r>
        <w:rPr>
          <w:rtl/>
        </w:rPr>
        <w:softHyphen/>
        <w:t xml:space="preserve">אימוץ, מסירה, צמצום האימוץ או ביטולו, </w:t>
      </w:r>
      <w:r>
        <w:rPr>
          <w:rFonts w:ascii="Century" w:hAnsi="Century" w:cs="Miriam"/>
          <w:b/>
          <w:spacing w:val="0"/>
          <w:szCs w:val="24"/>
          <w:rtl/>
        </w:rPr>
        <w:t xml:space="preserve">עיון בפנקס האימוצים </w:t>
      </w:r>
      <w:r>
        <w:rPr>
          <w:rFonts w:ascii="Century" w:hAnsi="Century"/>
          <w:rtl/>
        </w:rPr>
        <w:t>ועוד</w:t>
      </w:r>
      <w:r>
        <w:rPr>
          <w:rtl/>
        </w:rPr>
        <w:t xml:space="preserve">" </w:t>
      </w:r>
      <w:r>
        <w:rPr>
          <w:rFonts w:ascii="Century" w:hAnsi="Century"/>
          <w:rtl/>
        </w:rPr>
        <w:t xml:space="preserve">(דברי ההסבר להצעת החוק, בעמ' 336; ההדגשה הוספה). </w:t>
      </w:r>
    </w:p>
    <w:p w14:paraId="7F3F4520" w14:textId="77777777" w:rsidR="00FF331B" w:rsidRDefault="00FF331B" w:rsidP="00FF331B">
      <w:pPr>
        <w:pStyle w:val="Ruller5"/>
        <w:rPr>
          <w:rtl/>
        </w:rPr>
      </w:pPr>
    </w:p>
    <w:p w14:paraId="394BD722" w14:textId="77777777" w:rsidR="00FF331B" w:rsidRDefault="00000000" w:rsidP="00FF331B">
      <w:pPr>
        <w:pStyle w:val="Ruller41"/>
        <w:rPr>
          <w:rtl/>
        </w:rPr>
      </w:pPr>
      <w:r>
        <w:rPr>
          <w:rFonts w:ascii="Century" w:hAnsi="Century"/>
          <w:rtl/>
        </w:rPr>
        <w:tab/>
        <w:t xml:space="preserve">בשנת 2010, במסגרת תיקון מס' 8 לחוק האימוץ, שונה הנוסח של </w:t>
      </w:r>
      <w:hyperlink r:id="rId63" w:history="1">
        <w:r w:rsidR="006132F7" w:rsidRPr="006132F7">
          <w:rPr>
            <w:rStyle w:val="Hyperlink"/>
            <w:rFonts w:ascii="Century" w:hAnsi="Century" w:hint="eastAsia"/>
            <w:rtl/>
          </w:rPr>
          <w:t>סעיף</w:t>
        </w:r>
        <w:r w:rsidR="006132F7" w:rsidRPr="006132F7">
          <w:rPr>
            <w:rStyle w:val="Hyperlink"/>
            <w:rFonts w:ascii="Century" w:hAnsi="Century"/>
            <w:rtl/>
          </w:rPr>
          <w:t xml:space="preserve"> 1(</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ונקבע נוסחו העדכני, שלפיו "צו אימוץ וכל החלטה אחרת </w:t>
      </w:r>
      <w:r>
        <w:rPr>
          <w:rFonts w:ascii="Century" w:hAnsi="Century" w:cs="Miriam"/>
          <w:b/>
          <w:spacing w:val="0"/>
          <w:szCs w:val="24"/>
          <w:rtl/>
        </w:rPr>
        <w:t>בהליכי אימוץ</w:t>
      </w:r>
      <w:r>
        <w:rPr>
          <w:rFonts w:ascii="Century" w:hAnsi="Century"/>
          <w:rtl/>
        </w:rPr>
        <w:t xml:space="preserve"> יינתנו אם נוכח בית המשפט שהם לטובת המאומץ". אם כן, השינוי התבטא בכך שבמקום המילים "לפי חוק זה" באו המילים "בהליכי אימוץ"; עיון בדברי ההסבר להצעת החוק הרלוונטית מגלה כי תכליתו של תיקון זה הייתה להרחיב את תחולת הוראת </w:t>
      </w:r>
      <w:hyperlink r:id="rId64" w:history="1">
        <w:r w:rsidR="006132F7" w:rsidRPr="006132F7">
          <w:rPr>
            <w:rStyle w:val="Hyperlink"/>
            <w:rFonts w:ascii="Century" w:hAnsi="Century" w:hint="eastAsia"/>
            <w:rtl/>
          </w:rPr>
          <w:t>סעיף</w:t>
        </w:r>
        <w:r w:rsidR="006132F7" w:rsidRPr="006132F7">
          <w:rPr>
            <w:rStyle w:val="Hyperlink"/>
            <w:rFonts w:ascii="Century" w:hAnsi="Century"/>
            <w:rtl/>
          </w:rPr>
          <w:t xml:space="preserve"> 1(</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כך שהיא תחול לא רק על החלטות לפי חוק האימוץ, אלא גם על החלטות הנוגעות להליכי אימוץ מכוח חוקים אחרים: </w:t>
      </w:r>
      <w:r>
        <w:rPr>
          <w:rtl/>
        </w:rPr>
        <w:t>"הוראות בעניין הליכי אימוץ קבועות לא רק בחוק האימוץ, אלא גם ב</w:t>
      </w:r>
      <w:hyperlink r:id="rId65" w:history="1">
        <w:r w:rsidR="00482AA5" w:rsidRPr="00482AA5">
          <w:rPr>
            <w:color w:val="0000FF"/>
            <w:u w:val="single"/>
            <w:rtl/>
          </w:rPr>
          <w:t>תקנות סדר הדין האזרחי, התשמ"ד</w:t>
        </w:r>
      </w:hyperlink>
      <w:r>
        <w:rPr>
          <w:rtl/>
        </w:rPr>
        <w:t xml:space="preserve">-1984, למשל. לפיכך, מוצע לקבוע כי כל החלטה בהליכי אימוץ, ולא רק החלטות לפי חוק האימוץ, תינתן בהתאם לעקרון טובת המאומץ" (דברי הסבר להצעת </w:t>
      </w:r>
      <w:hyperlink r:id="rId66" w:history="1">
        <w:r w:rsidR="00482AA5" w:rsidRPr="00482AA5">
          <w:rPr>
            <w:color w:val="0000FF"/>
            <w:u w:val="single"/>
            <w:rtl/>
          </w:rPr>
          <w:t>חוק אימוץ ילדים</w:t>
        </w:r>
      </w:hyperlink>
      <w:r>
        <w:rPr>
          <w:rtl/>
        </w:rPr>
        <w:t xml:space="preserve"> (תיקון מס' 7), התשס"ט-2008, ה"ח 268 (4.11.2008), בעמ' 68).</w:t>
      </w:r>
    </w:p>
    <w:p w14:paraId="2D890C98" w14:textId="77777777" w:rsidR="00FF331B" w:rsidRDefault="00FF331B" w:rsidP="00FF331B">
      <w:pPr>
        <w:pStyle w:val="Ruller41"/>
        <w:rPr>
          <w:rFonts w:ascii="Century" w:hAnsi="Century"/>
          <w:rtl/>
        </w:rPr>
      </w:pPr>
    </w:p>
    <w:p w14:paraId="7DB4E381" w14:textId="77777777" w:rsidR="00FF331B" w:rsidRDefault="00000000" w:rsidP="00FF331B">
      <w:pPr>
        <w:pStyle w:val="Ruller41"/>
        <w:rPr>
          <w:rFonts w:ascii="Century" w:hAnsi="Century"/>
          <w:rtl/>
        </w:rPr>
      </w:pPr>
      <w:r>
        <w:rPr>
          <w:rFonts w:ascii="Century" w:hAnsi="Century"/>
          <w:rtl/>
        </w:rPr>
        <w:tab/>
        <w:t xml:space="preserve">אם כן, </w:t>
      </w:r>
      <w:hyperlink r:id="rId67" w:history="1">
        <w:r w:rsidR="006132F7" w:rsidRPr="006132F7">
          <w:rPr>
            <w:rStyle w:val="Hyperlink"/>
            <w:rFonts w:ascii="Century" w:hAnsi="Century" w:hint="eastAsia"/>
            <w:rtl/>
          </w:rPr>
          <w:t>סעיף</w:t>
        </w:r>
        <w:r w:rsidR="006132F7" w:rsidRPr="006132F7">
          <w:rPr>
            <w:rStyle w:val="Hyperlink"/>
            <w:rFonts w:ascii="Century" w:hAnsi="Century"/>
            <w:rtl/>
          </w:rPr>
          <w:t xml:space="preserve"> 1(</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האימוץ קובע שכל החלטה בהליכי אימוץ תינתן אם נוכח בית המשפט שהיא "</w:t>
      </w:r>
      <w:r>
        <w:rPr>
          <w:rFonts w:ascii="Miriam" w:hAnsi="Miriam" w:cs="Miriam"/>
          <w:sz w:val="24"/>
          <w:szCs w:val="24"/>
          <w:rtl/>
        </w:rPr>
        <w:t>לטובת המאומץ</w:t>
      </w:r>
      <w:r>
        <w:rPr>
          <w:rFonts w:ascii="Century" w:hAnsi="Century"/>
          <w:rtl/>
        </w:rPr>
        <w:t>"; ולפי לשון הסעיף ותכליתו, הוראתו חלה גם על סוגיית העיון בפנקס האימוצים.</w:t>
      </w:r>
    </w:p>
    <w:p w14:paraId="1F88C639" w14:textId="77777777" w:rsidR="00FF331B" w:rsidRDefault="00FF331B" w:rsidP="00FF331B">
      <w:pPr>
        <w:pStyle w:val="Ruller41"/>
        <w:rPr>
          <w:rFonts w:ascii="Century" w:hAnsi="Century"/>
          <w:rtl/>
        </w:rPr>
      </w:pPr>
    </w:p>
    <w:p w14:paraId="5D294402" w14:textId="77777777" w:rsidR="00FF331B" w:rsidRDefault="00000000" w:rsidP="00FF331B">
      <w:pPr>
        <w:pStyle w:val="Ruller41"/>
        <w:rPr>
          <w:rFonts w:ascii="Century" w:hAnsi="Century"/>
          <w:rtl/>
        </w:rPr>
      </w:pPr>
      <w:r>
        <w:rPr>
          <w:rFonts w:ascii="Century" w:hAnsi="Century"/>
          <w:rtl/>
        </w:rPr>
        <w:t>40.</w:t>
      </w:r>
      <w:r>
        <w:rPr>
          <w:rFonts w:ascii="Century" w:hAnsi="Century"/>
          <w:rtl/>
        </w:rPr>
        <w:tab/>
        <w:t>אמנם, טובת המאומץ אינו האינטרס היחיד שעמד לנגד עיני המחוקק בעת חקיקת חוק האימוץ, ולצד אינטרס זה, "</w:t>
      </w:r>
      <w:r>
        <w:rPr>
          <w:rFonts w:ascii="FrankRuehl" w:hAnsi="FrankRuehl"/>
          <w:color w:val="000000"/>
          <w:sz w:val="28"/>
          <w:rtl/>
        </w:rPr>
        <w:t>גם אם בסדר חשיבות שונה, עומדים זכויותיהם של ההורים הביולוגיים ועיקרון האוטונומיה המשפחתית אשר באים לידי ביטוי במסגרת מלאכת האיזונים הנדרשת בהליכי אימוץ"</w:t>
      </w:r>
      <w:r>
        <w:rPr>
          <w:rFonts w:ascii="Century" w:hAnsi="Century"/>
          <w:rtl/>
        </w:rPr>
        <w:t xml:space="preserve"> (</w:t>
      </w:r>
      <w:hyperlink r:id="rId68" w:history="1">
        <w:r w:rsidR="00482AA5" w:rsidRPr="00482AA5">
          <w:rPr>
            <w:rFonts w:ascii="Century" w:hAnsi="Century" w:hint="eastAsia"/>
            <w:color w:val="0000FF"/>
            <w:u w:val="single"/>
            <w:rtl/>
          </w:rPr>
          <w:t>בע</w:t>
        </w:r>
        <w:r w:rsidR="00482AA5" w:rsidRPr="00482AA5">
          <w:rPr>
            <w:rFonts w:ascii="Century" w:hAnsi="Century"/>
            <w:color w:val="0000FF"/>
            <w:u w:val="single"/>
            <w:rtl/>
          </w:rPr>
          <w:t>"</w:t>
        </w:r>
        <w:r w:rsidR="00482AA5" w:rsidRPr="00482AA5">
          <w:rPr>
            <w:rFonts w:ascii="Century" w:hAnsi="Century" w:hint="eastAsia"/>
            <w:color w:val="0000FF"/>
            <w:u w:val="single"/>
            <w:rtl/>
          </w:rPr>
          <w:t>מ</w:t>
        </w:r>
        <w:r w:rsidR="00482AA5" w:rsidRPr="00482AA5">
          <w:rPr>
            <w:rFonts w:ascii="Century" w:hAnsi="Century"/>
            <w:color w:val="0000FF"/>
            <w:u w:val="single"/>
            <w:rtl/>
          </w:rPr>
          <w:t xml:space="preserve"> 5620/22</w:t>
        </w:r>
      </w:hyperlink>
      <w:r>
        <w:rPr>
          <w:rFonts w:ascii="Century" w:hAnsi="Century"/>
          <w:rtl/>
        </w:rPr>
        <w:t xml:space="preserve"> </w:t>
      </w:r>
      <w:r>
        <w:rPr>
          <w:rFonts w:ascii="Century" w:hAnsi="Century" w:cs="Miriam"/>
          <w:b/>
          <w:spacing w:val="0"/>
          <w:szCs w:val="24"/>
          <w:rtl/>
        </w:rPr>
        <w:t>היועצת המשפטית לממשלה נ' פלוני</w:t>
      </w:r>
      <w:r>
        <w:rPr>
          <w:rFonts w:ascii="Century" w:hAnsi="Century"/>
          <w:rtl/>
        </w:rPr>
        <w:t xml:space="preserve">, פס' 24 </w:t>
      </w:r>
      <w:r w:rsidR="002D5109">
        <w:rPr>
          <w:rFonts w:ascii="Century" w:hAnsi="Century" w:hint="cs"/>
          <w:rtl/>
        </w:rPr>
        <w:t xml:space="preserve">[נבו] </w:t>
      </w:r>
      <w:r>
        <w:rPr>
          <w:rFonts w:ascii="Century" w:hAnsi="Century"/>
          <w:rtl/>
        </w:rPr>
        <w:t xml:space="preserve">(27.12.2022)). עם זאת, בפסיקתו של בית משפט זה הובהר כי </w:t>
      </w:r>
      <w:hyperlink r:id="rId69" w:history="1">
        <w:r w:rsidR="006132F7" w:rsidRPr="006132F7">
          <w:rPr>
            <w:rStyle w:val="Hyperlink"/>
            <w:rFonts w:ascii="Century" w:hAnsi="Century" w:hint="eastAsia"/>
            <w:rtl/>
          </w:rPr>
          <w:t>סעיף</w:t>
        </w:r>
        <w:r w:rsidR="006132F7" w:rsidRPr="006132F7">
          <w:rPr>
            <w:rStyle w:val="Hyperlink"/>
            <w:rFonts w:ascii="Century" w:hAnsi="Century"/>
            <w:rtl/>
          </w:rPr>
          <w:t xml:space="preserve"> 1(</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מעגן את תכליתו הכללית של חוק האימוץ, בבחינת עיקרון אשר "מנחה את בית המשפט בפרשנותן של כלל ההוראות שקבועות בו" (</w:t>
      </w:r>
      <w:hyperlink r:id="rId70" w:history="1">
        <w:r w:rsidR="00482AA5" w:rsidRPr="00482AA5">
          <w:rPr>
            <w:rFonts w:ascii="Century" w:hAnsi="Century" w:hint="eastAsia"/>
            <w:color w:val="0000FF"/>
            <w:u w:val="single"/>
            <w:rtl/>
          </w:rPr>
          <w:t>בג</w:t>
        </w:r>
        <w:r w:rsidR="00482AA5" w:rsidRPr="00482AA5">
          <w:rPr>
            <w:rFonts w:ascii="Century" w:hAnsi="Century"/>
            <w:color w:val="0000FF"/>
            <w:u w:val="single"/>
            <w:rtl/>
          </w:rPr>
          <w:t>"</w:t>
        </w:r>
        <w:r w:rsidR="00482AA5" w:rsidRPr="00482AA5">
          <w:rPr>
            <w:rFonts w:ascii="Century" w:hAnsi="Century" w:hint="eastAsia"/>
            <w:color w:val="0000FF"/>
            <w:u w:val="single"/>
            <w:rtl/>
          </w:rPr>
          <w:t>ץ</w:t>
        </w:r>
        <w:r w:rsidR="00482AA5" w:rsidRPr="00482AA5">
          <w:rPr>
            <w:rFonts w:ascii="Century" w:hAnsi="Century"/>
            <w:color w:val="0000FF"/>
            <w:u w:val="single"/>
            <w:rtl/>
          </w:rPr>
          <w:t xml:space="preserve"> 5158/21</w:t>
        </w:r>
      </w:hyperlink>
      <w:r>
        <w:rPr>
          <w:rFonts w:ascii="Century" w:hAnsi="Century"/>
          <w:rtl/>
        </w:rPr>
        <w:t xml:space="preserve"> </w:t>
      </w:r>
      <w:r>
        <w:rPr>
          <w:rFonts w:ascii="Century" w:hAnsi="Century" w:cs="Miriam"/>
          <w:b/>
          <w:spacing w:val="0"/>
          <w:szCs w:val="24"/>
          <w:rtl/>
        </w:rPr>
        <w:t>גורטלר נ' שר הרווחה</w:t>
      </w:r>
      <w:r>
        <w:rPr>
          <w:rFonts w:ascii="Century" w:hAnsi="Century"/>
          <w:rtl/>
        </w:rPr>
        <w:t xml:space="preserve">, פס' 31 </w:t>
      </w:r>
      <w:r w:rsidR="002D5109">
        <w:rPr>
          <w:rFonts w:ascii="Century" w:hAnsi="Century" w:hint="cs"/>
          <w:rtl/>
        </w:rPr>
        <w:t xml:space="preserve">[נבו] </w:t>
      </w:r>
      <w:r>
        <w:rPr>
          <w:rFonts w:ascii="Century" w:hAnsi="Century"/>
          <w:rtl/>
        </w:rPr>
        <w:t xml:space="preserve">(28.12.2023)). סעיף החוק הנדון אף הוגדר בפסיקה בתור </w:t>
      </w:r>
      <w:r>
        <w:rPr>
          <w:rFonts w:ascii="FrankRuehl" w:hAnsi="FrankRuehl"/>
          <w:color w:val="000000"/>
          <w:sz w:val="28"/>
        </w:rPr>
        <w:t>"</w:t>
      </w:r>
      <w:r>
        <w:rPr>
          <w:rFonts w:ascii="FrankRuehl" w:hAnsi="FrankRuehl"/>
          <w:color w:val="000000"/>
          <w:sz w:val="28"/>
          <w:rtl/>
        </w:rPr>
        <w:t xml:space="preserve">'חוקת האימוץ', כל התורה כולה שהיתר משתלשל הימנה" </w:t>
      </w:r>
      <w:r>
        <w:rPr>
          <w:rFonts w:ascii="Century" w:hAnsi="Century"/>
          <w:rtl/>
        </w:rPr>
        <w:t>(</w:t>
      </w:r>
      <w:hyperlink r:id="rId71" w:history="1">
        <w:r w:rsidR="00482AA5" w:rsidRPr="00482AA5">
          <w:rPr>
            <w:rFonts w:ascii="Century" w:hAnsi="Century" w:hint="eastAsia"/>
            <w:color w:val="0000FF"/>
            <w:u w:val="single"/>
            <w:rtl/>
          </w:rPr>
          <w:t>בע</w:t>
        </w:r>
        <w:r w:rsidR="00482AA5" w:rsidRPr="00482AA5">
          <w:rPr>
            <w:rFonts w:ascii="Century" w:hAnsi="Century"/>
            <w:color w:val="0000FF"/>
            <w:u w:val="single"/>
            <w:rtl/>
          </w:rPr>
          <w:t>"</w:t>
        </w:r>
        <w:r w:rsidR="00482AA5" w:rsidRPr="00482AA5">
          <w:rPr>
            <w:rFonts w:ascii="Century" w:hAnsi="Century" w:hint="eastAsia"/>
            <w:color w:val="0000FF"/>
            <w:u w:val="single"/>
            <w:rtl/>
          </w:rPr>
          <w:t>מ</w:t>
        </w:r>
        <w:r w:rsidR="00482AA5" w:rsidRPr="00482AA5">
          <w:rPr>
            <w:rFonts w:ascii="Century" w:hAnsi="Century"/>
            <w:color w:val="0000FF"/>
            <w:u w:val="single"/>
            <w:rtl/>
          </w:rPr>
          <w:t xml:space="preserve"> 9447/16</w:t>
        </w:r>
      </w:hyperlink>
      <w:r>
        <w:rPr>
          <w:rFonts w:ascii="Century" w:hAnsi="Century"/>
          <w:rtl/>
        </w:rPr>
        <w:t xml:space="preserve"> </w:t>
      </w:r>
      <w:r>
        <w:rPr>
          <w:rFonts w:ascii="Century" w:hAnsi="Century" w:cs="Miriam"/>
          <w:b/>
          <w:spacing w:val="0"/>
          <w:szCs w:val="24"/>
          <w:rtl/>
        </w:rPr>
        <w:t>פלוני נ' היועץ המשפטי לממשלה - משרד הרווחה</w:t>
      </w:r>
      <w:r>
        <w:rPr>
          <w:rFonts w:ascii="Century" w:hAnsi="Century"/>
          <w:rtl/>
        </w:rPr>
        <w:t xml:space="preserve">, פס' ל"ט </w:t>
      </w:r>
      <w:r w:rsidR="002D5109">
        <w:rPr>
          <w:rFonts w:ascii="Century" w:hAnsi="Century" w:hint="cs"/>
          <w:rtl/>
        </w:rPr>
        <w:t xml:space="preserve">[נבו] </w:t>
      </w:r>
      <w:r>
        <w:rPr>
          <w:rFonts w:ascii="Century" w:hAnsi="Century"/>
          <w:rtl/>
        </w:rPr>
        <w:t>(28.2.2017)); ונקבע כי משמעותו היא ש"</w:t>
      </w:r>
      <w:r>
        <w:rPr>
          <w:rFonts w:ascii="FrankRuehl" w:hAnsi="FrankRuehl"/>
          <w:color w:val="000000"/>
          <w:sz w:val="28"/>
          <w:rtl/>
        </w:rPr>
        <w:t xml:space="preserve">נקודת המוצא הינה </w:t>
      </w:r>
      <w:r>
        <w:rPr>
          <w:rFonts w:ascii="Miriam" w:hAnsi="Miriam" w:cs="Miriam"/>
          <w:color w:val="000000"/>
          <w:sz w:val="24"/>
          <w:szCs w:val="24"/>
          <w:rtl/>
        </w:rPr>
        <w:t>טובת המאומץ</w:t>
      </w:r>
      <w:r>
        <w:rPr>
          <w:rFonts w:ascii="FrankRuehl" w:hAnsi="FrankRuehl"/>
          <w:color w:val="000000"/>
          <w:sz w:val="28"/>
          <w:rtl/>
        </w:rPr>
        <w:t xml:space="preserve"> ואליה יופנה משקל הכובד" </w:t>
      </w:r>
      <w:r>
        <w:rPr>
          <w:rFonts w:ascii="Century" w:hAnsi="Century"/>
          <w:rtl/>
        </w:rPr>
        <w:t>(</w:t>
      </w:r>
      <w:hyperlink r:id="rId72" w:history="1">
        <w:r w:rsidR="00482AA5" w:rsidRPr="00482AA5">
          <w:rPr>
            <w:rFonts w:ascii="Century" w:hAnsi="Century" w:hint="eastAsia"/>
            <w:color w:val="0000FF"/>
            <w:u w:val="single"/>
            <w:rtl/>
          </w:rPr>
          <w:t>בע</w:t>
        </w:r>
        <w:r w:rsidR="00482AA5" w:rsidRPr="00482AA5">
          <w:rPr>
            <w:rFonts w:ascii="Century" w:hAnsi="Century"/>
            <w:color w:val="0000FF"/>
            <w:u w:val="single"/>
            <w:rtl/>
          </w:rPr>
          <w:t>"</w:t>
        </w:r>
        <w:r w:rsidR="00482AA5" w:rsidRPr="00482AA5">
          <w:rPr>
            <w:rFonts w:ascii="Century" w:hAnsi="Century" w:hint="eastAsia"/>
            <w:color w:val="0000FF"/>
            <w:u w:val="single"/>
            <w:rtl/>
          </w:rPr>
          <w:t>מ</w:t>
        </w:r>
        <w:r w:rsidR="00482AA5" w:rsidRPr="00482AA5">
          <w:rPr>
            <w:rFonts w:ascii="Century" w:hAnsi="Century"/>
            <w:color w:val="0000FF"/>
            <w:u w:val="single"/>
            <w:rtl/>
          </w:rPr>
          <w:t xml:space="preserve"> 366/06</w:t>
        </w:r>
      </w:hyperlink>
      <w:r>
        <w:rPr>
          <w:rFonts w:ascii="Century" w:hAnsi="Century"/>
          <w:rtl/>
        </w:rPr>
        <w:t xml:space="preserve"> </w:t>
      </w:r>
      <w:r>
        <w:rPr>
          <w:rFonts w:ascii="Century" w:hAnsi="Century" w:cs="Miriam"/>
          <w:b/>
          <w:spacing w:val="0"/>
          <w:szCs w:val="24"/>
          <w:rtl/>
        </w:rPr>
        <w:t>פלוני נ' היועץ המשפטי לממשלה</w:t>
      </w:r>
      <w:r>
        <w:rPr>
          <w:rFonts w:ascii="Century" w:hAnsi="Century"/>
          <w:rtl/>
        </w:rPr>
        <w:t xml:space="preserve">, פס' 30 </w:t>
      </w:r>
      <w:r w:rsidR="002D5109">
        <w:rPr>
          <w:rFonts w:ascii="Century" w:hAnsi="Century" w:hint="cs"/>
          <w:rtl/>
        </w:rPr>
        <w:t xml:space="preserve">[נבו] </w:t>
      </w:r>
      <w:r>
        <w:rPr>
          <w:rFonts w:ascii="Century" w:hAnsi="Century"/>
          <w:rtl/>
        </w:rPr>
        <w:t>(14.2.2007)). עוד הובהר בהקשר זה, כי "שיקול-העל" של טובת המאומץ אינו מתייחס אלא לאינטרס של המאומץ; וכי רצונו של אדם בגיר משקף את האינטרס שלו (</w:t>
      </w:r>
      <w:hyperlink r:id="rId73" w:history="1">
        <w:r w:rsidR="00482AA5" w:rsidRPr="00482AA5">
          <w:rPr>
            <w:rFonts w:ascii="Century" w:hAnsi="Century" w:hint="eastAsia"/>
            <w:color w:val="0000FF"/>
            <w:u w:val="single"/>
            <w:rtl/>
          </w:rPr>
          <w:t>דנ</w:t>
        </w:r>
        <w:r w:rsidR="00482AA5" w:rsidRPr="00482AA5">
          <w:rPr>
            <w:rFonts w:ascii="Century" w:hAnsi="Century"/>
            <w:color w:val="0000FF"/>
            <w:u w:val="single"/>
            <w:rtl/>
          </w:rPr>
          <w:t>"</w:t>
        </w:r>
        <w:r w:rsidR="00482AA5" w:rsidRPr="00482AA5">
          <w:rPr>
            <w:rFonts w:ascii="Century" w:hAnsi="Century" w:hint="eastAsia"/>
            <w:color w:val="0000FF"/>
            <w:u w:val="single"/>
            <w:rtl/>
          </w:rPr>
          <w:t>א</w:t>
        </w:r>
        <w:r w:rsidR="00482AA5" w:rsidRPr="00482AA5">
          <w:rPr>
            <w:rFonts w:ascii="Century" w:hAnsi="Century"/>
            <w:color w:val="0000FF"/>
            <w:u w:val="single"/>
            <w:rtl/>
          </w:rPr>
          <w:t xml:space="preserve"> 7015/94</w:t>
        </w:r>
      </w:hyperlink>
      <w:r>
        <w:rPr>
          <w:rFonts w:ascii="Century" w:hAnsi="Century"/>
          <w:rtl/>
        </w:rPr>
        <w:t xml:space="preserve"> </w:t>
      </w:r>
      <w:r>
        <w:rPr>
          <w:rFonts w:ascii="Century" w:hAnsi="Century" w:cs="Miriam"/>
          <w:b/>
          <w:spacing w:val="0"/>
          <w:szCs w:val="24"/>
          <w:rtl/>
        </w:rPr>
        <w:t>היועץ המשפטי לממשלה נ' פלונית</w:t>
      </w:r>
      <w:r>
        <w:rPr>
          <w:rFonts w:ascii="Century" w:hAnsi="Century"/>
          <w:rtl/>
        </w:rPr>
        <w:t xml:space="preserve">, פ"ד נ(1) 48, 97-95 (1995) (להלן: עניין </w:t>
      </w:r>
      <w:r>
        <w:rPr>
          <w:rFonts w:ascii="Century" w:hAnsi="Century" w:cs="Miriam"/>
          <w:b/>
          <w:spacing w:val="0"/>
          <w:szCs w:val="24"/>
          <w:rtl/>
        </w:rPr>
        <w:t>פלונית</w:t>
      </w:r>
      <w:r>
        <w:rPr>
          <w:rFonts w:ascii="Century" w:hAnsi="Century"/>
          <w:rtl/>
        </w:rPr>
        <w:t>)‏).</w:t>
      </w:r>
    </w:p>
    <w:p w14:paraId="1322EFA0" w14:textId="77777777" w:rsidR="00FF331B" w:rsidRDefault="00FF331B" w:rsidP="00FF331B">
      <w:pPr>
        <w:pStyle w:val="Ruller41"/>
        <w:rPr>
          <w:rFonts w:ascii="Century" w:hAnsi="Century"/>
          <w:rtl/>
        </w:rPr>
      </w:pPr>
    </w:p>
    <w:p w14:paraId="3E4F7A02" w14:textId="77777777" w:rsidR="00FF331B" w:rsidRDefault="00000000" w:rsidP="00FF331B">
      <w:pPr>
        <w:pStyle w:val="Ruller41"/>
        <w:rPr>
          <w:rFonts w:ascii="Century" w:hAnsi="Century"/>
          <w:rtl/>
        </w:rPr>
      </w:pPr>
      <w:r>
        <w:rPr>
          <w:rFonts w:ascii="Century" w:hAnsi="Century"/>
          <w:rtl/>
        </w:rPr>
        <w:t>41.</w:t>
      </w:r>
      <w:r>
        <w:rPr>
          <w:rFonts w:ascii="Century" w:hAnsi="Century"/>
          <w:rtl/>
        </w:rPr>
        <w:tab/>
        <w:t xml:space="preserve">לנוכח האמור, מהוראת </w:t>
      </w:r>
      <w:hyperlink r:id="rId74" w:history="1">
        <w:r w:rsidR="006132F7" w:rsidRPr="006132F7">
          <w:rPr>
            <w:rStyle w:val="Hyperlink"/>
            <w:rFonts w:ascii="Century" w:hAnsi="Century" w:hint="eastAsia"/>
            <w:rtl/>
          </w:rPr>
          <w:t>סעיף</w:t>
        </w:r>
        <w:r w:rsidR="006132F7" w:rsidRPr="006132F7">
          <w:rPr>
            <w:rStyle w:val="Hyperlink"/>
            <w:rFonts w:ascii="Century" w:hAnsi="Century"/>
            <w:rtl/>
          </w:rPr>
          <w:t xml:space="preserve"> 1(</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נובע כלל, שלפיו החלטה בבקשת מאומץ לפי </w:t>
      </w:r>
      <w:hyperlink r:id="rId75"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תינתן אם נוכח בית המשפט שהיא </w:t>
      </w:r>
      <w:r>
        <w:rPr>
          <w:rFonts w:ascii="Century" w:hAnsi="Century" w:cs="Miriam"/>
          <w:b/>
          <w:spacing w:val="0"/>
          <w:szCs w:val="24"/>
          <w:rtl/>
        </w:rPr>
        <w:t>לטובת המאומץ</w:t>
      </w:r>
      <w:r>
        <w:rPr>
          <w:rFonts w:ascii="Century" w:hAnsi="Century"/>
          <w:rtl/>
        </w:rPr>
        <w:t>. נראה כי מכאן יש ללמוד שכברירת מחדל, חוק האימוץ מבכר את רצון המאומץ לעיין בפנקס ולגלות פרטים מזהים על הוריו הביולוגיים, על פני רצונו המתנגש של ההורה הביולוגי.</w:t>
      </w:r>
    </w:p>
    <w:p w14:paraId="0A087100" w14:textId="77777777" w:rsidR="00FF331B" w:rsidRDefault="00FF331B" w:rsidP="00FF331B">
      <w:pPr>
        <w:pStyle w:val="Ruller41"/>
        <w:rPr>
          <w:rFonts w:ascii="Century" w:hAnsi="Century"/>
          <w:rtl/>
        </w:rPr>
      </w:pPr>
    </w:p>
    <w:p w14:paraId="00E3D16A" w14:textId="77777777" w:rsidR="00FF331B" w:rsidRDefault="00000000" w:rsidP="00FF331B">
      <w:pPr>
        <w:pStyle w:val="Ruller41"/>
        <w:rPr>
          <w:rFonts w:ascii="Century" w:hAnsi="Century"/>
          <w:rtl/>
        </w:rPr>
      </w:pPr>
      <w:r>
        <w:rPr>
          <w:rFonts w:ascii="Century" w:hAnsi="Century"/>
          <w:rtl/>
        </w:rPr>
        <w:t>42.</w:t>
      </w:r>
      <w:r>
        <w:rPr>
          <w:rFonts w:ascii="Century" w:hAnsi="Century"/>
          <w:rtl/>
        </w:rPr>
        <w:tab/>
        <w:t xml:space="preserve">יתר על כן, נראה כי כלל זה ונקודת המוצא הנגזרת ממנו נובעים גם מהוראת </w:t>
      </w:r>
      <w:hyperlink r:id="rId76"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עצמה.</w:t>
      </w:r>
    </w:p>
    <w:p w14:paraId="3EE57CC4" w14:textId="77777777" w:rsidR="00FF331B" w:rsidRDefault="00FF331B" w:rsidP="00FF331B">
      <w:pPr>
        <w:pStyle w:val="Ruller41"/>
        <w:rPr>
          <w:rFonts w:ascii="Century" w:hAnsi="Century"/>
          <w:rtl/>
        </w:rPr>
      </w:pPr>
    </w:p>
    <w:p w14:paraId="04F039F5" w14:textId="77777777" w:rsidR="00FF331B" w:rsidRDefault="00000000" w:rsidP="00FF331B">
      <w:pPr>
        <w:pStyle w:val="Ruller41"/>
        <w:rPr>
          <w:rFonts w:ascii="Century" w:hAnsi="Century"/>
          <w:rtl/>
        </w:rPr>
      </w:pPr>
      <w:r>
        <w:rPr>
          <w:rFonts w:ascii="Century" w:hAnsi="Century"/>
          <w:rtl/>
        </w:rPr>
        <w:lastRenderedPageBreak/>
        <w:tab/>
        <w:t xml:space="preserve">ראשית יצוין כי אמנם, לעומת החוק הישן, </w:t>
      </w:r>
      <w:hyperlink r:id="rId77"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לא מעניק למאומץ כאמור זכות מוחלטת לעיין בפנקס, אלא זכות שמימושה כפוף לשיקול דעת עו"ס חוק האימוץ או בית המשפט. ואולם, בעוד שלמאומץ הוענקה זכות כאמור, הוראת </w:t>
      </w:r>
      <w:hyperlink r:id="rId78"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שותקת באשר להורים הביולוגיים, וממילא אינה מעניקה להם במפורש זכות כלשהי בעניין זה, לא כל שכן זכות וטו על מימוש זכות המאומץ לעיין בפנקס. אמנם, כמפורט לעיל, מדברי ההסבר להצעת החוק הרלוונטית עולה כי המחוקק התכוון שההורים הביולוגיים ישמיעו את עמדתם ביחס לבקשת המאומץ; וכי עמדתם כאמור וההשלכות מבחינתם תשמשנה שיקול בהכרעה אם להיעתר לבקשת המאומץ. ברם, חשוב לציין כי אין בכוונה זו של המחוקק כדי להקים להורים הביולוגיים זכות וטו ביחס לזכות המאומץ לעיין בפנקס.</w:t>
      </w:r>
    </w:p>
    <w:p w14:paraId="0EEC2747" w14:textId="77777777" w:rsidR="00FF331B" w:rsidRDefault="00FF331B" w:rsidP="00FF331B">
      <w:pPr>
        <w:pStyle w:val="Ruller41"/>
        <w:rPr>
          <w:rFonts w:ascii="Century" w:hAnsi="Century"/>
          <w:rtl/>
        </w:rPr>
      </w:pPr>
    </w:p>
    <w:p w14:paraId="14AB75E9" w14:textId="77777777" w:rsidR="00FF331B" w:rsidRDefault="00000000" w:rsidP="00FF331B">
      <w:pPr>
        <w:pStyle w:val="Ruller41"/>
        <w:rPr>
          <w:rFonts w:ascii="Century" w:hAnsi="Century"/>
          <w:rtl/>
        </w:rPr>
      </w:pPr>
      <w:r>
        <w:rPr>
          <w:rFonts w:ascii="Century" w:hAnsi="Century"/>
          <w:rtl/>
        </w:rPr>
        <w:tab/>
        <w:t xml:space="preserve">שנית, ושמא עיקר, המסקנה כי במצב הדברים הרגיל, </w:t>
      </w:r>
      <w:hyperlink r:id="rId79"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מבכר את רצון המאומץ על פני רצון ההורה הביולוגי, נלמדת גם מכך שלמאומץ מוקנית הזכות להשיג בפני בית המשפט על החלטת עו"ס לדחות את בקשתו לעיין בפנקס; בעוד שדומה כי זכות ערעור מסוג זה אינה מוקנית להורה ביולוגי במקרה של היעתרות לבקשת מאומץ. כידוע, תוכנה ומעמדה של זכות מהותית נקבעים, בין השאר, באמצעות האופן שבו הזכות מוגנת בדין (ראו, למשל: יששכר רוזן-צבי </w:t>
      </w:r>
      <w:hyperlink r:id="rId80" w:history="1">
        <w:r w:rsidR="00482AA5" w:rsidRPr="00482AA5">
          <w:rPr>
            <w:rFonts w:ascii="Century" w:hAnsi="Century" w:cs="Miriam" w:hint="eastAsia"/>
            <w:b/>
            <w:color w:val="0000FF"/>
            <w:spacing w:val="0"/>
            <w:szCs w:val="24"/>
            <w:u w:val="single"/>
            <w:rtl/>
          </w:rPr>
          <w:t>ההליך</w:t>
        </w:r>
        <w:r w:rsidR="00482AA5" w:rsidRPr="00482AA5">
          <w:rPr>
            <w:rFonts w:ascii="Century" w:hAnsi="Century" w:cs="Miriam"/>
            <w:b/>
            <w:color w:val="0000FF"/>
            <w:spacing w:val="0"/>
            <w:szCs w:val="24"/>
            <w:u w:val="single"/>
            <w:rtl/>
          </w:rPr>
          <w:t xml:space="preserve"> </w:t>
        </w:r>
        <w:r w:rsidR="00482AA5" w:rsidRPr="00482AA5">
          <w:rPr>
            <w:rFonts w:ascii="Century" w:hAnsi="Century" w:cs="Miriam" w:hint="eastAsia"/>
            <w:b/>
            <w:color w:val="0000FF"/>
            <w:spacing w:val="0"/>
            <w:szCs w:val="24"/>
            <w:u w:val="single"/>
            <w:rtl/>
          </w:rPr>
          <w:t>האזרחי</w:t>
        </w:r>
      </w:hyperlink>
      <w:r>
        <w:rPr>
          <w:rFonts w:ascii="Century" w:hAnsi="Century" w:cs="Miriam"/>
          <w:b/>
          <w:spacing w:val="0"/>
          <w:szCs w:val="24"/>
          <w:rtl/>
        </w:rPr>
        <w:t xml:space="preserve"> </w:t>
      </w:r>
      <w:r>
        <w:rPr>
          <w:rFonts w:ascii="Century" w:hAnsi="Century"/>
          <w:rtl/>
        </w:rPr>
        <w:t xml:space="preserve">194 (2015)). בענייננו, העובדה כי המאומץ זכאי להגנה מפני פגיעה בזכותו לעיין בפנקס, בדמות האפשרות לערער בפני בית משפט על דחיית בקשתו; בעוד שהורה ביולוגי אינו זכאי להגנה מסוג זה, במקרה של דחיית התנגדותו לבקשת מאומץ לפי </w:t>
      </w:r>
      <w:hyperlink r:id="rId81"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 מלמדת כי במצב הדברים הרגיל, המחוקק מייחס משקל רב יותר לרצונו של מאומץ לעיין בפנקס ולגלות מידע מזהה על הוריו הביולוגיים מאשר לרצונו של הורה למנוע גילוי כאמור.</w:t>
      </w:r>
    </w:p>
    <w:p w14:paraId="10D71815" w14:textId="77777777" w:rsidR="00FF331B" w:rsidRDefault="00FF331B" w:rsidP="00FF331B">
      <w:pPr>
        <w:pStyle w:val="Ruller41"/>
        <w:rPr>
          <w:rFonts w:ascii="Century" w:hAnsi="Century"/>
          <w:rtl/>
        </w:rPr>
      </w:pPr>
    </w:p>
    <w:p w14:paraId="26C38618" w14:textId="77777777" w:rsidR="00FF331B" w:rsidRDefault="00000000" w:rsidP="00FF331B">
      <w:pPr>
        <w:pStyle w:val="Ruller41"/>
        <w:rPr>
          <w:rFonts w:ascii="Century" w:hAnsi="Century"/>
          <w:rtl/>
        </w:rPr>
      </w:pPr>
      <w:r>
        <w:rPr>
          <w:rFonts w:ascii="Century" w:hAnsi="Century"/>
          <w:rtl/>
        </w:rPr>
        <w:t>43.</w:t>
      </w:r>
      <w:r>
        <w:rPr>
          <w:rFonts w:ascii="Century" w:hAnsi="Century"/>
          <w:rtl/>
        </w:rPr>
        <w:tab/>
        <w:t xml:space="preserve">אשר על כן, נראה כי הוראות חוק האימוץ מובילות למסקנה כי במצב הדברים הרגיל, </w:t>
      </w:r>
      <w:hyperlink r:id="rId82"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מעניק משקל רב יותר לרצון של מאומץ לעיין בפנקס ולגלות את זהות הוריו הביולוגיים, וכי רצונו זה יגבר, ככלל, על רצונו של ההורה הביולוגי למנוע גילוי כאמור. עם זאת, מהוראות החוק גם נובע כי זכות המאומץ לעיון בפנקס אינה מוחלטת, וכי הכרעה בשאלת מימושה צריכה להביא בחשבון אף את עמדת ההורים הביולוגיים, זאת, בשים לב לאינטרס הפרטיות שלהם, ואת ההשלכות מבחינתם הטמונות בקבלת בקשת מאומץ לפי </w:t>
      </w:r>
      <w:hyperlink r:id="rId83"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לפיכך, במקרים המתאימים, רצונו של מאומץ כאמור ייסוג מפני רצון ההורה.</w:t>
      </w:r>
    </w:p>
    <w:p w14:paraId="35FBFD7E" w14:textId="77777777" w:rsidR="00FF331B" w:rsidRDefault="00FF331B" w:rsidP="00FF331B">
      <w:pPr>
        <w:pStyle w:val="Ruller41"/>
        <w:rPr>
          <w:rFonts w:ascii="Century" w:hAnsi="Century"/>
          <w:rtl/>
        </w:rPr>
      </w:pPr>
    </w:p>
    <w:p w14:paraId="1F389C26" w14:textId="77777777" w:rsidR="00FF331B" w:rsidRDefault="00000000" w:rsidP="00FF331B">
      <w:pPr>
        <w:pStyle w:val="Ruller41"/>
        <w:rPr>
          <w:rFonts w:ascii="Century" w:hAnsi="Century" w:cs="Miriam"/>
          <w:b/>
          <w:spacing w:val="0"/>
          <w:szCs w:val="24"/>
          <w:rtl/>
        </w:rPr>
      </w:pPr>
      <w:r>
        <w:rPr>
          <w:rFonts w:ascii="Century" w:hAnsi="Century" w:cs="Miriam"/>
          <w:b/>
          <w:spacing w:val="0"/>
          <w:szCs w:val="24"/>
          <w:rtl/>
        </w:rPr>
        <w:t xml:space="preserve">קווים מנחים ליישום הוראת </w:t>
      </w:r>
      <w:hyperlink r:id="rId84" w:history="1">
        <w:r w:rsidR="006132F7" w:rsidRPr="006132F7">
          <w:rPr>
            <w:rStyle w:val="Hyperlink"/>
            <w:rFonts w:ascii="Century" w:hAnsi="Century" w:cs="Miriam" w:hint="eastAsia"/>
            <w:b/>
            <w:spacing w:val="0"/>
            <w:szCs w:val="24"/>
            <w:rtl/>
          </w:rPr>
          <w:t>סעיף</w:t>
        </w:r>
        <w:r w:rsidR="006132F7" w:rsidRPr="006132F7">
          <w:rPr>
            <w:rStyle w:val="Hyperlink"/>
            <w:rFonts w:ascii="Century" w:hAnsi="Century" w:cs="Miriam"/>
            <w:b/>
            <w:spacing w:val="0"/>
            <w:szCs w:val="24"/>
            <w:rtl/>
          </w:rPr>
          <w:t xml:space="preserve"> 30(</w:t>
        </w:r>
        <w:r w:rsidR="006132F7" w:rsidRPr="006132F7">
          <w:rPr>
            <w:rStyle w:val="Hyperlink"/>
            <w:rFonts w:ascii="Century" w:hAnsi="Century" w:cs="Miriam" w:hint="eastAsia"/>
            <w:b/>
            <w:spacing w:val="0"/>
            <w:szCs w:val="24"/>
            <w:rtl/>
          </w:rPr>
          <w:t>ב</w:t>
        </w:r>
        <w:r w:rsidR="006132F7" w:rsidRPr="006132F7">
          <w:rPr>
            <w:rStyle w:val="Hyperlink"/>
            <w:rFonts w:ascii="Century" w:hAnsi="Century" w:cs="Miriam"/>
            <w:b/>
            <w:spacing w:val="0"/>
            <w:szCs w:val="24"/>
            <w:rtl/>
          </w:rPr>
          <w:t>)</w:t>
        </w:r>
      </w:hyperlink>
      <w:r>
        <w:rPr>
          <w:rFonts w:ascii="Century" w:hAnsi="Century" w:cs="Miriam"/>
          <w:b/>
          <w:spacing w:val="0"/>
          <w:szCs w:val="24"/>
          <w:rtl/>
        </w:rPr>
        <w:t xml:space="preserve"> לחוק</w:t>
      </w:r>
    </w:p>
    <w:p w14:paraId="59CB1B52" w14:textId="77777777" w:rsidR="00FF331B" w:rsidRDefault="00FF331B" w:rsidP="00FF331B">
      <w:pPr>
        <w:pStyle w:val="Ruller41"/>
        <w:rPr>
          <w:rFonts w:ascii="Century" w:hAnsi="Century"/>
          <w:rtl/>
        </w:rPr>
      </w:pPr>
    </w:p>
    <w:p w14:paraId="5FE3F77F" w14:textId="77777777" w:rsidR="00FF331B" w:rsidRDefault="00000000" w:rsidP="00FF331B">
      <w:pPr>
        <w:pStyle w:val="Ruller41"/>
        <w:rPr>
          <w:rFonts w:ascii="Century" w:hAnsi="Century"/>
          <w:rtl/>
        </w:rPr>
      </w:pPr>
      <w:r>
        <w:rPr>
          <w:rFonts w:ascii="Century" w:hAnsi="Century"/>
          <w:rtl/>
        </w:rPr>
        <w:t>44.</w:t>
      </w:r>
      <w:r>
        <w:rPr>
          <w:rFonts w:ascii="Century" w:hAnsi="Century"/>
          <w:rtl/>
        </w:rPr>
        <w:tab/>
        <w:t xml:space="preserve">המחוקק לא ביאר מהם אותם מקרים חריגים שבהם התנגדות ההורה הביולוגי תצדיק דחיית בקשת מאומץ לפי </w:t>
      </w:r>
      <w:hyperlink r:id="rId85"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ואיני סבורה כי יש לקבוע במקרה דנן רשימה סגורה וממצה של מקרים כאלה. עם זאת, יש להדגיש כי לנוכח האמור לעיל, מקרים אלו צריכים להיות מאופיינים בנסיבות מיוחדות, שבהן היעתרות לבקשת המאומץ צפויה לגרום להורה נזק ממשי, אשר חורג מהתחושות הקשות הכרוכות ברגיל במצב דברים מעין זה; וכי נזק ממשי זה, עולה באופן משמעותי על הנזק שצפוי להיגרם למאומץ כתוצאה מדחיית בקשתו. לדוגמא, מבלי לטעת מסמרות בסוגיה ומבלי למצותה, ייתכן כי ניתן למנות עם מקרים אלו נסיבות שבהן ההיריון נגרם כתוצאה מאינוס או גילוי עריות; נסיבות שבהן היעתרות לבקשת המאומץ מעוררת חשש ממשי לחיי ההורה הביולוגי, לביטחונו האישי, לבריאותו, או להרס משפחתו; או נסיבות שבהן חשיפת זהותו בפני המאומץ תגרום להורה נזק רגשי או פסיכולוגי חמור (ראו והשוו: </w:t>
      </w:r>
      <w:r>
        <w:rPr>
          <w:rFonts w:ascii="Century" w:hAnsi="Century" w:cs="Miriam"/>
          <w:b/>
          <w:spacing w:val="0"/>
          <w:szCs w:val="24"/>
          <w:rtl/>
        </w:rPr>
        <w:t>זפרן</w:t>
      </w:r>
      <w:r>
        <w:rPr>
          <w:rFonts w:ascii="Century" w:hAnsi="Century"/>
          <w:rtl/>
        </w:rPr>
        <w:t xml:space="preserve">, בעמ' 255-254; כן ראו והשוו: </w:t>
      </w:r>
      <w:r>
        <w:rPr>
          <w:rFonts w:ascii="Century" w:hAnsi="Century"/>
        </w:rPr>
        <w:t xml:space="preserve">Marianne Brower Blair, </w:t>
      </w:r>
      <w:r>
        <w:rPr>
          <w:rFonts w:ascii="Century" w:hAnsi="Century"/>
          <w:i/>
          <w:iCs/>
        </w:rPr>
        <w:t>The Impact of Family Paradigms, Domestic Constitution, and International Conventions on Disclosure of Adoption Person's Identities and Heritage: A Comparative Examination</w:t>
      </w:r>
      <w:r>
        <w:rPr>
          <w:rFonts w:ascii="Century" w:hAnsi="Century"/>
        </w:rPr>
        <w:t xml:space="preserve">, 22 </w:t>
      </w:r>
      <w:r>
        <w:rPr>
          <w:rFonts w:ascii="Century" w:hAnsi="Century"/>
          <w:smallCaps/>
        </w:rPr>
        <w:t>Mich. Int'l L. 587, 667 (2001)</w:t>
      </w:r>
      <w:r>
        <w:rPr>
          <w:rFonts w:ascii="Century" w:hAnsi="Century"/>
          <w:rtl/>
        </w:rPr>
        <w:t xml:space="preserve">). </w:t>
      </w:r>
    </w:p>
    <w:p w14:paraId="479AB3C1" w14:textId="77777777" w:rsidR="00FF331B" w:rsidRDefault="00FF331B" w:rsidP="00FF331B">
      <w:pPr>
        <w:pStyle w:val="Ruller41"/>
        <w:rPr>
          <w:rFonts w:ascii="Century" w:hAnsi="Century"/>
          <w:rtl/>
        </w:rPr>
      </w:pPr>
    </w:p>
    <w:p w14:paraId="14EECD2E" w14:textId="77777777" w:rsidR="00FF331B" w:rsidRDefault="00000000" w:rsidP="00FF331B">
      <w:pPr>
        <w:pStyle w:val="Ruller41"/>
        <w:rPr>
          <w:rFonts w:ascii="Century" w:hAnsi="Century"/>
          <w:rtl/>
        </w:rPr>
      </w:pPr>
      <w:r>
        <w:rPr>
          <w:rFonts w:ascii="Century" w:hAnsi="Century"/>
          <w:rtl/>
        </w:rPr>
        <w:t>45.</w:t>
      </w:r>
      <w:r>
        <w:rPr>
          <w:rFonts w:ascii="Century" w:hAnsi="Century"/>
          <w:rtl/>
        </w:rPr>
        <w:tab/>
        <w:t xml:space="preserve">בהינתן שכמבואר לעיל, </w:t>
      </w:r>
      <w:hyperlink r:id="rId86"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משמיע כי, ככלל, רצון מאומץ לעיין בפנקס יגבר על רצון הורה ביולוגי למנוע עיון כאמור, הרי שהנטל להוכחת נסיבות המצדיקות חריגה מהכלל מוטל על כתפי ההורה הביולוגי (ראו גם: </w:t>
      </w:r>
      <w:r>
        <w:rPr>
          <w:rFonts w:ascii="Century" w:hAnsi="Century" w:cs="Miriam"/>
          <w:b/>
          <w:spacing w:val="0"/>
          <w:szCs w:val="24"/>
          <w:rtl/>
        </w:rPr>
        <w:t>זפרן</w:t>
      </w:r>
      <w:r>
        <w:rPr>
          <w:rFonts w:ascii="Century" w:hAnsi="Century"/>
          <w:rtl/>
        </w:rPr>
        <w:t xml:space="preserve">, בעמ' 254; </w:t>
      </w:r>
      <w:r>
        <w:rPr>
          <w:rFonts w:ascii="Century" w:hAnsi="Century"/>
        </w:rPr>
        <w:t>Blair</w:t>
      </w:r>
      <w:r>
        <w:rPr>
          <w:rFonts w:ascii="Century" w:hAnsi="Century"/>
          <w:rtl/>
        </w:rPr>
        <w:t xml:space="preserve">, בעמ' 667). לפיכך, לאחר הגשת בקשת מאומץ לפי </w:t>
      </w:r>
      <w:hyperlink r:id="rId87"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על גורמי השירות למען הילד לאתר את ההורה הביולוגי ולברר את עמדתו ביחס לבקשה כאמור. אם ההורה הביולוגי מתנגד לה, עליו לפרט בפני גורמים אלו את הטעמים להתנגדותו ולבסס במידה הנדרשת קיומן של נסיבות חריגות המצדיקות דחייה של הבקשה. בתוך כך, על גורמי השירות למען הילד להבהיר להורה הביולוגי את המצב המשפטי, ואת התנאים הנדרשים לקבלת התנגדות הורים לבקשה כאמור. כמו כן, על גורמי השירות למען הילד להסביר להורה הביולוגי על מהות השלבים השונים בהליך לפי </w:t>
      </w:r>
      <w:hyperlink r:id="rId88"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לעדכן אותו בכל התפתחות רלוונטית בהליך כאמור; ולאפשר לו ליטול חלק בשלבים הרלוונטיים.</w:t>
      </w:r>
    </w:p>
    <w:p w14:paraId="28421DED" w14:textId="77777777" w:rsidR="00FF331B" w:rsidRDefault="00FF331B" w:rsidP="00FF331B">
      <w:pPr>
        <w:pStyle w:val="Ruller41"/>
        <w:rPr>
          <w:rFonts w:ascii="Century" w:hAnsi="Century"/>
          <w:rtl/>
        </w:rPr>
      </w:pPr>
    </w:p>
    <w:p w14:paraId="0B82DA21" w14:textId="77777777" w:rsidR="00FF331B" w:rsidRDefault="00000000" w:rsidP="00FF331B">
      <w:pPr>
        <w:pStyle w:val="Ruller41"/>
        <w:rPr>
          <w:rFonts w:ascii="Century" w:hAnsi="Century"/>
          <w:rtl/>
        </w:rPr>
      </w:pPr>
      <w:r>
        <w:rPr>
          <w:rFonts w:ascii="Century" w:hAnsi="Century"/>
          <w:rtl/>
        </w:rPr>
        <w:lastRenderedPageBreak/>
        <w:t>46.</w:t>
      </w:r>
      <w:r>
        <w:rPr>
          <w:rFonts w:ascii="Century" w:hAnsi="Century"/>
          <w:rtl/>
        </w:rPr>
        <w:tab/>
        <w:t xml:space="preserve">מטבע הדברים, עצם הצורך של הורה ביולוגי להוכיח קיומן של נסיבות חריגות בנסיבות כגון דא עלול להיות כרוך מבחינתו בקשיים רגשיים משמעותיים. ואולם, למרות זאת, מדובר בצורך בלתי נמנע מבחינת הורה ביולוגי המתנגד לבקשת מאומץ לפי </w:t>
      </w:r>
      <w:hyperlink r:id="rId89"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בשים לב להסדר הקבוע בסעיף זה, כמפורט לעיל. עם זאת, חזקה על גורמי השירות למען הילד כי ימשיכו לנהוג ברגישות מרבית כלפי ההורים הביולוגיים ויוסיפו לנהל את התהליך כולו בדיסקרטיות מוחלטת. בתוך כך, במידת האפשר, אין מניעה כי הורה ביולוגי יהיה מיוצג במסגרת שלבים בתהליך, שבהם נוכחותו-שלו אינה הכרחית.</w:t>
      </w:r>
    </w:p>
    <w:p w14:paraId="35F6CCFA" w14:textId="77777777" w:rsidR="00FF331B" w:rsidRDefault="00FF331B" w:rsidP="00FF331B">
      <w:pPr>
        <w:pStyle w:val="Ruller41"/>
        <w:rPr>
          <w:rFonts w:ascii="Century" w:hAnsi="Century"/>
          <w:rtl/>
        </w:rPr>
      </w:pPr>
    </w:p>
    <w:p w14:paraId="58225402" w14:textId="77777777" w:rsidR="00FF331B" w:rsidRDefault="00000000" w:rsidP="00FF331B">
      <w:pPr>
        <w:pStyle w:val="Ruller41"/>
        <w:rPr>
          <w:rFonts w:ascii="Century" w:hAnsi="Century"/>
          <w:rtl/>
        </w:rPr>
      </w:pPr>
      <w:r>
        <w:rPr>
          <w:rFonts w:ascii="Century" w:hAnsi="Century"/>
          <w:rtl/>
        </w:rPr>
        <w:t>47.</w:t>
      </w:r>
      <w:r>
        <w:rPr>
          <w:rFonts w:ascii="Century" w:hAnsi="Century"/>
          <w:rtl/>
        </w:rPr>
        <w:tab/>
        <w:t xml:space="preserve">כמפורט לעיל, תנאי הכרחי לקבלת התנגדות הורה ביולוגי ודחיית בקשת מאומץ לפי </w:t>
      </w:r>
      <w:hyperlink r:id="rId90"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הוא שייגרם להורה נזק ממשי אשר עולה באופן משמעותי על הנזק שייגרם למאומץ כתוצאה מדחיית בקשתו. ממילא, נוסף על התרשמות ממצבו של הורה ביולוגי המתנגד לבקשת מאומץ, על עו"ס חוק האימוץ להתרשם מנקודת מבט טיפולית מרצונו של המאומץ לעיין בפנקס. התרשמות זו צריכה להיות מעמיקה ובלתי-אמצעית, תוך אפיון המניעים לרצונו האמור, דוגמת מניעים פסיכולוגיים-רגשיים, בריאותיים, קנייניים; עמידה על עוצמתם בנסיבות המקרה; והערכת הנזק שייגרם למאומץ כתוצאה מדחיית בקשתו.</w:t>
      </w:r>
    </w:p>
    <w:p w14:paraId="37FDAB9E" w14:textId="77777777" w:rsidR="00FF331B" w:rsidRDefault="00FF331B" w:rsidP="00FF331B">
      <w:pPr>
        <w:pStyle w:val="Ruller41"/>
        <w:rPr>
          <w:rFonts w:ascii="Century" w:hAnsi="Century"/>
          <w:rtl/>
        </w:rPr>
      </w:pPr>
    </w:p>
    <w:p w14:paraId="19AD8C8A" w14:textId="77777777" w:rsidR="00FF331B" w:rsidRDefault="00000000" w:rsidP="00FF331B">
      <w:pPr>
        <w:pStyle w:val="Ruller41"/>
        <w:rPr>
          <w:rFonts w:ascii="Century" w:hAnsi="Century"/>
          <w:rtl/>
        </w:rPr>
      </w:pPr>
      <w:r>
        <w:rPr>
          <w:rFonts w:ascii="Century" w:hAnsi="Century"/>
          <w:rtl/>
        </w:rPr>
        <w:t>48.</w:t>
      </w:r>
      <w:r>
        <w:rPr>
          <w:rFonts w:ascii="Century" w:hAnsi="Century"/>
          <w:rtl/>
        </w:rPr>
        <w:tab/>
        <w:t xml:space="preserve">לאחר התרשמות כאמור של עו"ס חוק האימוץ מההורה הביולוגי ומהמאומץ, יכריע העו"ס בבקשת המאומץ לפי </w:t>
      </w:r>
      <w:hyperlink r:id="rId91"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בהתאם לקווים המנחים הנ"ל, ויתעד את התשתית העובדתית ואת מכלול השיקולים שניצבו בבסיס הכרעתו. אם דחה העו"ס את הבקשה, והמאומץ הגיש בקשה לבית המשפט לפי </w:t>
      </w:r>
      <w:hyperlink r:id="rId92"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התסקיר שיגיש העו"ס לבית המשפט לפי סעיף חוק זה יכלול את התיעוד האמור. בית המשפט יכריע בבקשת המאומץ בהתאם לקווים המנחים הנ"ל, כשהתסקיר לנגד עיניו.</w:t>
      </w:r>
    </w:p>
    <w:p w14:paraId="31F55031" w14:textId="77777777" w:rsidR="00FF331B" w:rsidRDefault="00FF331B" w:rsidP="00FF331B">
      <w:pPr>
        <w:pStyle w:val="Ruller41"/>
        <w:rPr>
          <w:rFonts w:ascii="Century" w:hAnsi="Century"/>
          <w:rtl/>
        </w:rPr>
      </w:pPr>
    </w:p>
    <w:p w14:paraId="2B123B46" w14:textId="77777777" w:rsidR="00FF331B" w:rsidRDefault="00000000" w:rsidP="00FF331B">
      <w:pPr>
        <w:pStyle w:val="Ruller41"/>
        <w:rPr>
          <w:rFonts w:ascii="Century" w:hAnsi="Century"/>
          <w:rtl/>
        </w:rPr>
      </w:pPr>
      <w:r>
        <w:rPr>
          <w:rFonts w:ascii="Century" w:hAnsi="Century"/>
          <w:rtl/>
        </w:rPr>
        <w:t>49.</w:t>
      </w:r>
      <w:r>
        <w:rPr>
          <w:rFonts w:ascii="Century" w:hAnsi="Century"/>
          <w:rtl/>
        </w:rPr>
        <w:tab/>
        <w:t xml:space="preserve">יצוין, </w:t>
      </w:r>
      <w:r>
        <w:rPr>
          <w:rtl/>
        </w:rPr>
        <w:t xml:space="preserve">כי עשויים להימצא מקרים בהם </w:t>
      </w:r>
      <w:r>
        <w:rPr>
          <w:rFonts w:ascii="Century" w:hAnsi="Century"/>
          <w:rtl/>
        </w:rPr>
        <w:t xml:space="preserve">התנגדות הורה ביולוגי לבקשת מאומץ לעיין בפנקס נעוצה, בעיקרו של דבר, בחשש של ההורה מפני האפשרות כי המאומץ ייצור קשר עמו או עם מי מבני משפחתו, לנוכח השלכות הטמונות מבחינת ההורה באפשרות כזו (כמפורט לעיל וכפי שיפורט עוד להלן, נראה כי זהו גם המצב בענייננו). לפיכך, כאשר הנזק שעלול להיגרם להורה ביולוגי כתוצאה מקבלת בקשת מאומץ נעוץ בעיקרו באפשרות שהמאומץ ייצור קשר עם ההורה או עם קרוביו; וכאשר מאפייניו של נזק זה עשויים להצדיק את דחיית בקשת המאומץ, בהתאם לקווים המנחים המפורטים </w:t>
      </w:r>
      <w:r>
        <w:rPr>
          <w:rFonts w:ascii="Century" w:hAnsi="Century"/>
          <w:rtl/>
        </w:rPr>
        <w:lastRenderedPageBreak/>
        <w:t>לעיל – יש לשקול להציע למאומץ להסתפק באפשרות לעיין בפנקס ולהתחייב שלא  ליצור קשר עם ההורים הביולוגיים או קרוביהם. אם הסכים המאומץ לאפשרות זו, וההתרשמות היא שהסכמתו כנה ואמינה, הדבר עשוי למזער באופן משמעותי את הנזק שעלול להיגרם להורה כתוצאה מקבלת הבקשה, וממילא להטות את הכף לעבר קבלתה. יצוין, כי את הסכמת המאומץ בעניין זה ראוי לתעד בהחלטה שיפוטית.</w:t>
      </w:r>
    </w:p>
    <w:p w14:paraId="7578AD3D" w14:textId="77777777" w:rsidR="00FF331B" w:rsidRDefault="00000000" w:rsidP="00FF331B">
      <w:pPr>
        <w:pStyle w:val="Ruller41"/>
        <w:rPr>
          <w:rFonts w:ascii="Century" w:hAnsi="Century"/>
          <w:rtl/>
        </w:rPr>
      </w:pPr>
      <w:r>
        <w:rPr>
          <w:rFonts w:ascii="Century" w:hAnsi="Century"/>
          <w:rtl/>
        </w:rPr>
        <w:t xml:space="preserve"> </w:t>
      </w:r>
    </w:p>
    <w:p w14:paraId="319B01EF" w14:textId="77777777" w:rsidR="00FF331B" w:rsidRDefault="00000000" w:rsidP="00FF331B">
      <w:pPr>
        <w:pStyle w:val="Ruller41"/>
        <w:rPr>
          <w:rFonts w:ascii="Century" w:hAnsi="Century" w:cs="Miriam"/>
          <w:b/>
          <w:spacing w:val="0"/>
          <w:szCs w:val="24"/>
          <w:rtl/>
        </w:rPr>
      </w:pPr>
      <w:r>
        <w:rPr>
          <w:rFonts w:ascii="Century" w:hAnsi="Century" w:cs="Miriam"/>
          <w:b/>
          <w:spacing w:val="0"/>
          <w:szCs w:val="24"/>
          <w:rtl/>
        </w:rPr>
        <w:t>מן הכלל אל הפרט</w:t>
      </w:r>
    </w:p>
    <w:p w14:paraId="22A60292" w14:textId="77777777" w:rsidR="00FF331B" w:rsidRDefault="00FF331B" w:rsidP="00FF331B">
      <w:pPr>
        <w:pStyle w:val="Ruller41"/>
        <w:rPr>
          <w:rFonts w:ascii="Century" w:hAnsi="Century" w:cs="Miriam"/>
          <w:b/>
          <w:spacing w:val="0"/>
          <w:szCs w:val="24"/>
          <w:rtl/>
        </w:rPr>
      </w:pPr>
    </w:p>
    <w:p w14:paraId="55BD5F39" w14:textId="77777777" w:rsidR="00FF331B" w:rsidRDefault="00000000" w:rsidP="00FF331B">
      <w:pPr>
        <w:pStyle w:val="Ruller41"/>
        <w:rPr>
          <w:rFonts w:ascii="Century" w:hAnsi="Century"/>
          <w:rtl/>
        </w:rPr>
      </w:pPr>
      <w:r>
        <w:rPr>
          <w:rFonts w:ascii="Century" w:hAnsi="Century"/>
          <w:rtl/>
        </w:rPr>
        <w:t>50.</w:t>
      </w:r>
      <w:r>
        <w:rPr>
          <w:rFonts w:ascii="Century" w:hAnsi="Century" w:cs="Miriam"/>
          <w:b/>
          <w:spacing w:val="0"/>
          <w:szCs w:val="24"/>
          <w:rtl/>
        </w:rPr>
        <w:tab/>
      </w:r>
      <w:r>
        <w:rPr>
          <w:rFonts w:ascii="Century" w:hAnsi="Century"/>
          <w:rtl/>
        </w:rPr>
        <w:t xml:space="preserve">אני סבורה כי קיים פער בין האופן שבו פורש ויושם ההסדר הקבוע </w:t>
      </w:r>
      <w:hyperlink r:id="rId93" w:history="1">
        <w:r w:rsidR="006132F7" w:rsidRPr="006132F7">
          <w:rPr>
            <w:rStyle w:val="Hyperlink"/>
            <w:rFonts w:ascii="Century" w:hAnsi="Century" w:hint="eastAsia"/>
            <w:rtl/>
          </w:rPr>
          <w:t>בסעיף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במקרה דנן, לבין האופן שבו יש לפרשו וליישמו בהתאם לקביעות שפורטו לעיל. לפיכך, דעתי היא שיש להחזיר את התיק לבית המשפט לענייני משפחה, על מנת שידון מחדש בבקשת המערערת לפי </w:t>
      </w:r>
      <w:hyperlink r:id="rId94"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בהתאם לקביעות שפורטו לעיל ביחס למשמעות האיזון הקבוע בסעיף זה, ולקווים המנחים ליישומו.</w:t>
      </w:r>
    </w:p>
    <w:p w14:paraId="5CFAF2C9" w14:textId="77777777" w:rsidR="00FF331B" w:rsidRDefault="00FF331B" w:rsidP="00FF331B">
      <w:pPr>
        <w:pStyle w:val="Ruller41"/>
        <w:rPr>
          <w:rFonts w:ascii="Century" w:hAnsi="Century"/>
          <w:rtl/>
        </w:rPr>
      </w:pPr>
    </w:p>
    <w:p w14:paraId="2240E422" w14:textId="77777777" w:rsidR="00FF331B" w:rsidRDefault="00000000" w:rsidP="00FF331B">
      <w:pPr>
        <w:pStyle w:val="Ruller41"/>
        <w:rPr>
          <w:rFonts w:ascii="Century" w:hAnsi="Century"/>
          <w:rtl/>
        </w:rPr>
      </w:pPr>
      <w:r>
        <w:rPr>
          <w:rFonts w:ascii="Century" w:hAnsi="Century"/>
          <w:rtl/>
        </w:rPr>
        <w:t>51.</w:t>
      </w:r>
      <w:r>
        <w:rPr>
          <w:rFonts w:ascii="Century" w:hAnsi="Century"/>
          <w:rtl/>
        </w:rPr>
        <w:tab/>
        <w:t xml:space="preserve">בעניין זה יצוין, כי נראה שהתסקירים מטעם עו"ס חוק האימוץ שהוגשו במקרה דנן לבית המשפט, היו חסרים. </w:t>
      </w:r>
    </w:p>
    <w:p w14:paraId="2E7CC166" w14:textId="77777777" w:rsidR="00FF331B" w:rsidRDefault="00FF331B" w:rsidP="00FF331B">
      <w:pPr>
        <w:pStyle w:val="Ruller41"/>
        <w:rPr>
          <w:rFonts w:ascii="Century" w:hAnsi="Century"/>
          <w:rtl/>
        </w:rPr>
      </w:pPr>
    </w:p>
    <w:p w14:paraId="03141FC1" w14:textId="77777777" w:rsidR="00FF331B" w:rsidRDefault="00000000" w:rsidP="00FF331B">
      <w:pPr>
        <w:pStyle w:val="Ruller41"/>
        <w:rPr>
          <w:rFonts w:ascii="Century" w:hAnsi="Century"/>
          <w:rtl/>
        </w:rPr>
      </w:pPr>
      <w:r>
        <w:rPr>
          <w:rFonts w:ascii="Century" w:hAnsi="Century"/>
          <w:rtl/>
        </w:rPr>
        <w:tab/>
        <w:t xml:space="preserve">ראשית, התסקירים, שהתמקדו במצבה של האם הביולוגית, ובתגובותיה לפניות אליה מטעם גורמי השירות למען הילד, לא העמיקו בתיאור מצבה הרפואי העדכני; ולא ביססו כלל את הנזק הרפואי הנטען שעלול להיגרם לאם כתוצאה ממתן אפשרות למערערת לעיין בפנקס האימוצים (חשוב לציין כי עמדת השירות התבססה אך על דברי האם עצמה מבלי לבקש, למשל, חומר רפואי רלוונטי, וממילא גם קביעת בית המשפט המחוזי שלפיה "עלול להיגרם בסבירות גבוהה נזק ממשי – נפשי וגופני – לאם הביולוגית", אינה מבוססת דיה). שנית, אין בתסקירים ניתוח מספק בדבר רצון המערערת לגלות את זהות אמה מנקודת מבט טיפולית. בתוך כך, דומה כי התסקירים לא כוללים ניתוח מעמיק דיו של מניעי המערערת לגלות את זהות אמה; לא מפורט בהם במידה הנדרשת על עצמת מניעים אלו בנסיבות המקרה; ולא מוערך בהם הנזק שייגרם למערערת אם תידחה בקשתה. </w:t>
      </w:r>
    </w:p>
    <w:p w14:paraId="3612DD58" w14:textId="77777777" w:rsidR="00FF331B" w:rsidRDefault="00FF331B" w:rsidP="00FF331B">
      <w:pPr>
        <w:pStyle w:val="Ruller41"/>
        <w:rPr>
          <w:rFonts w:ascii="Century" w:hAnsi="Century"/>
          <w:rtl/>
        </w:rPr>
      </w:pPr>
    </w:p>
    <w:p w14:paraId="0CC25596" w14:textId="77777777" w:rsidR="00FF331B" w:rsidRDefault="00000000" w:rsidP="00FF331B">
      <w:pPr>
        <w:pStyle w:val="Ruller41"/>
        <w:rPr>
          <w:rFonts w:ascii="Century" w:hAnsi="Century"/>
          <w:rtl/>
        </w:rPr>
      </w:pPr>
      <w:r>
        <w:rPr>
          <w:rFonts w:ascii="Century" w:hAnsi="Century"/>
          <w:rtl/>
        </w:rPr>
        <w:tab/>
        <w:t xml:space="preserve">כמפורט לעיל, תנאי לקבלת התנגדות הורה ביולוגי לבקשת מאומץ כבענייננו הוא שייגרם להורה נזק ממשי, וכי נזק זה עולה משמעותית על הנזק שייגרם למאומץ אם תידחה בקשתו; לפיכך, לשם בחינת התקיימות תנאי זה, על עו"ס חוק האימוץ לא רק לבחון </w:t>
      </w:r>
      <w:r>
        <w:rPr>
          <w:rFonts w:ascii="Miriam" w:hAnsi="Miriam" w:cs="Miriam"/>
          <w:sz w:val="24"/>
          <w:szCs w:val="24"/>
          <w:rtl/>
        </w:rPr>
        <w:t>לעומק</w:t>
      </w:r>
      <w:r>
        <w:rPr>
          <w:rFonts w:ascii="Century" w:hAnsi="Century"/>
          <w:rtl/>
        </w:rPr>
        <w:t xml:space="preserve"> את הנזק שעלול להיגרם להורה הביולוגי, אלא עליו לערוך ניתוח </w:t>
      </w:r>
      <w:r>
        <w:rPr>
          <w:rFonts w:ascii="Century" w:hAnsi="Century"/>
          <w:rtl/>
        </w:rPr>
        <w:lastRenderedPageBreak/>
        <w:t>מעמיק כאמור גם ביחס לרצון המערערת ולהשלכות הטמונות מבחינתה בדחיית בקשתה, ולתעד ניתוח זה בתסקיר המוגש לבית המשפט.</w:t>
      </w:r>
    </w:p>
    <w:p w14:paraId="165A1318" w14:textId="77777777" w:rsidR="00FF331B" w:rsidRDefault="00FF331B" w:rsidP="00FF331B">
      <w:pPr>
        <w:pStyle w:val="Ruller41"/>
        <w:rPr>
          <w:rFonts w:ascii="Century" w:hAnsi="Century"/>
          <w:rtl/>
        </w:rPr>
      </w:pPr>
    </w:p>
    <w:p w14:paraId="189B2AA8" w14:textId="77777777" w:rsidR="00FF331B" w:rsidRDefault="00000000" w:rsidP="00FF331B">
      <w:pPr>
        <w:pStyle w:val="Ruller41"/>
        <w:rPr>
          <w:rFonts w:ascii="Century" w:hAnsi="Century"/>
          <w:rtl/>
        </w:rPr>
      </w:pPr>
      <w:r>
        <w:rPr>
          <w:rFonts w:ascii="Century" w:hAnsi="Century"/>
          <w:rtl/>
        </w:rPr>
        <w:t>52.</w:t>
      </w:r>
      <w:r>
        <w:rPr>
          <w:rFonts w:ascii="Century" w:hAnsi="Century"/>
          <w:rtl/>
        </w:rPr>
        <w:tab/>
        <w:t xml:space="preserve">כמו כן, יודגש כי עמדת עו"ס חוק האימוץ בענייננו, בדבר מצבה של האם הביולוגית והנזקים שעלולים להיגרם לה כתוצאה מקבלת בקשת המערערת – עמדה אשר ניצבת ביסוד הכרעת הערכאות הקודמות בענייננו – מבוססת על תגובותיה של האם לפניות מטעם השירות למען הילד שעסקו אך באפשרות של </w:t>
      </w:r>
      <w:r>
        <w:rPr>
          <w:rFonts w:ascii="Century" w:hAnsi="Century" w:cs="Miriam"/>
          <w:b/>
          <w:spacing w:val="0"/>
          <w:szCs w:val="24"/>
          <w:rtl/>
        </w:rPr>
        <w:t>יצירת קשר ומפגש</w:t>
      </w:r>
      <w:r>
        <w:rPr>
          <w:rFonts w:ascii="Century" w:hAnsi="Century"/>
          <w:rtl/>
        </w:rPr>
        <w:t xml:space="preserve"> בינה למערערת.</w:t>
      </w:r>
    </w:p>
    <w:p w14:paraId="13C02595" w14:textId="77777777" w:rsidR="00FF331B" w:rsidRDefault="00FF331B" w:rsidP="00FF331B">
      <w:pPr>
        <w:pStyle w:val="Ruller41"/>
        <w:rPr>
          <w:rFonts w:ascii="Century" w:hAnsi="Century"/>
          <w:rtl/>
        </w:rPr>
      </w:pPr>
    </w:p>
    <w:p w14:paraId="4D6E8198" w14:textId="77777777" w:rsidR="00FF331B" w:rsidRDefault="00000000" w:rsidP="00FF331B">
      <w:pPr>
        <w:pStyle w:val="Ruller41"/>
        <w:rPr>
          <w:rFonts w:ascii="Century" w:hAnsi="Century"/>
          <w:rtl/>
        </w:rPr>
      </w:pPr>
      <w:r>
        <w:rPr>
          <w:rFonts w:ascii="Century" w:hAnsi="Century"/>
          <w:rtl/>
        </w:rPr>
        <w:tab/>
        <w:t xml:space="preserve">כך, בתסקיר מטעם השירות למען הילד מיום 26.4.2021, צוין כי מסקנת עו"ס חוק האימוץ מהמפגשים שנערכו עם האם הביולוגית בשנת 1999 הייתה כי האם "אינה מסוגלת ומעוניינת להתמודד עם </w:t>
      </w:r>
      <w:r>
        <w:rPr>
          <w:rFonts w:ascii="Century" w:hAnsi="Century" w:cs="Miriam"/>
          <w:b/>
          <w:spacing w:val="0"/>
          <w:szCs w:val="24"/>
          <w:rtl/>
        </w:rPr>
        <w:t>מפגש</w:t>
      </w:r>
      <w:r>
        <w:rPr>
          <w:rFonts w:ascii="Century" w:hAnsi="Century"/>
          <w:rtl/>
        </w:rPr>
        <w:t xml:space="preserve"> עם [המערערת – י"ו]". עוד צוין בתסקיר זה, כי גם מהשיח שהתקיים בין עו"ס חוק האימוץ לאם הביולוגית בשנת 2007, השורה התחתונה מבחינת השירות למען הילד הייתה כי "האם עמדה על דעתה כי אינה מסוגלת </w:t>
      </w:r>
      <w:r>
        <w:rPr>
          <w:rFonts w:ascii="Century" w:hAnsi="Century" w:cs="Miriam"/>
          <w:b/>
          <w:spacing w:val="0"/>
          <w:szCs w:val="24"/>
          <w:rtl/>
        </w:rPr>
        <w:t>לקיים את המפגש</w:t>
      </w:r>
      <w:r>
        <w:rPr>
          <w:rFonts w:ascii="Century" w:hAnsi="Century"/>
          <w:rtl/>
        </w:rPr>
        <w:t>". כמו כן, בתסקיר מיום 9.11.2021 צוין כי בשיחה שקיימה עו"ס חוק האימוץ עם האם הביולוגית עלה כי האם "הביעה קושי רגשי רב שהוביל ל</w:t>
      </w:r>
      <w:r>
        <w:rPr>
          <w:rFonts w:ascii="Century" w:hAnsi="Century" w:cs="Miriam"/>
          <w:b/>
          <w:spacing w:val="0"/>
          <w:szCs w:val="24"/>
          <w:rtl/>
        </w:rPr>
        <w:t xml:space="preserve">התנגדות להיפגש </w:t>
      </w:r>
      <w:r>
        <w:rPr>
          <w:rFonts w:ascii="Century" w:hAnsi="Century"/>
          <w:rtl/>
        </w:rPr>
        <w:t xml:space="preserve">עם [המערערת – י"ו]"; וכי "במצב דברים זה, כפי שנכתב בתסקיר הקודם, עם כל הצער, החמלה וההבנה את רצונה של [המערערת – י"ו], </w:t>
      </w:r>
      <w:r>
        <w:rPr>
          <w:rFonts w:ascii="Century" w:hAnsi="Century" w:cs="Miriam"/>
          <w:b/>
          <w:spacing w:val="0"/>
          <w:szCs w:val="24"/>
          <w:rtl/>
        </w:rPr>
        <w:t>לא נוכל לכפות על האם להיפגש</w:t>
      </w:r>
      <w:r>
        <w:rPr>
          <w:rFonts w:ascii="Century" w:hAnsi="Century"/>
          <w:rtl/>
        </w:rPr>
        <w:t xml:space="preserve"> עם גורמי הטיפול, המשפט ואף עם [המערערת – י"ו]". גם בדיון שנערך בבית המשפט המחוזי ביום 27.9.2023, ציינה עו"ס חוק האימוץ כי "התייחסנו לאורך כל השנים לבקשות לאתר את האמא ולראות אם יש משהו שהשתנה ו</w:t>
      </w:r>
      <w:r>
        <w:rPr>
          <w:rFonts w:ascii="Century" w:hAnsi="Century" w:cs="Miriam"/>
          <w:b/>
          <w:spacing w:val="0"/>
          <w:szCs w:val="24"/>
          <w:rtl/>
        </w:rPr>
        <w:t>אם היא יכולה לפגוש את הבת</w:t>
      </w:r>
      <w:r>
        <w:rPr>
          <w:rFonts w:ascii="Century" w:hAnsi="Century"/>
          <w:rtl/>
        </w:rPr>
        <w:t xml:space="preserve">"; וכי האם הביולוגית הבהירה בשיחה האחרונה בינה לגורמי השירות למען הילד בשנת 2021 כי היא "מוכנה לענות על כל שאלה אבל </w:t>
      </w:r>
      <w:r>
        <w:rPr>
          <w:rFonts w:ascii="Century" w:hAnsi="Century" w:cs="Miriam"/>
          <w:b/>
          <w:spacing w:val="0"/>
          <w:szCs w:val="24"/>
          <w:rtl/>
        </w:rPr>
        <w:t>לא להיפגש</w:t>
      </w:r>
      <w:r>
        <w:rPr>
          <w:rFonts w:ascii="Century" w:hAnsi="Century"/>
          <w:rtl/>
        </w:rPr>
        <w:t>" (כל ההדגשות הוספו).</w:t>
      </w:r>
    </w:p>
    <w:p w14:paraId="236E9477" w14:textId="77777777" w:rsidR="00FF331B" w:rsidRDefault="00FF331B" w:rsidP="00FF331B">
      <w:pPr>
        <w:pStyle w:val="Ruller41"/>
        <w:rPr>
          <w:rFonts w:ascii="Century" w:hAnsi="Century"/>
          <w:rtl/>
        </w:rPr>
      </w:pPr>
    </w:p>
    <w:p w14:paraId="64425073" w14:textId="77777777" w:rsidR="00FF331B" w:rsidRDefault="00000000" w:rsidP="00FF331B">
      <w:pPr>
        <w:pStyle w:val="Ruller41"/>
        <w:rPr>
          <w:rFonts w:ascii="Century" w:hAnsi="Century"/>
          <w:rtl/>
        </w:rPr>
      </w:pPr>
      <w:r>
        <w:rPr>
          <w:rFonts w:ascii="Century" w:hAnsi="Century"/>
          <w:rtl/>
        </w:rPr>
        <w:tab/>
        <w:t xml:space="preserve">ואולם, כפי שכבר נאמר, בדיון האמור בבית המשפט המחוזי ציינה המערערת כי היא "מוכנה להתחייב חד משמעית לא לפנות אל [האם הביולוגית – י"ו]", ובאת-כוח המשיבה ציינה כי אפשר "למקד את הערעור על חשיפת זהותה ושמה [של האם הביולוגית – י"ו]. המערערת רוצה שם ושם משפחה תוך התחייבות שלא לנסות לפגוש אותה או את בני משפחתה". לנוכח האמור הציע בית המשפט כדלקמן: </w:t>
      </w:r>
    </w:p>
    <w:p w14:paraId="5F1546F5" w14:textId="77777777" w:rsidR="00FF331B" w:rsidRDefault="00FF331B" w:rsidP="00FF331B">
      <w:pPr>
        <w:pStyle w:val="Ruller41"/>
        <w:rPr>
          <w:rFonts w:ascii="Century" w:hAnsi="Century"/>
          <w:rtl/>
        </w:rPr>
      </w:pPr>
    </w:p>
    <w:p w14:paraId="4E501685" w14:textId="77777777" w:rsidR="00FF331B" w:rsidRDefault="00000000" w:rsidP="00FF331B">
      <w:pPr>
        <w:pStyle w:val="Ruller5"/>
        <w:rPr>
          <w:rtl/>
        </w:rPr>
      </w:pPr>
      <w:r>
        <w:rPr>
          <w:rtl/>
        </w:rPr>
        <w:t xml:space="preserve">"העו"ס לחוק האימוץ [...] תעשה מאמץ נוסף ליצור קשר עם האם הביולוגית, ותבהיר לה שכל רצונה של </w:t>
      </w:r>
      <w:r>
        <w:rPr>
          <w:rtl/>
        </w:rPr>
        <w:lastRenderedPageBreak/>
        <w:t>המערערת הוא לדעת את זהותה (שם פרטי, שם משפחה ותמונה) וכי היא מתחייבת שלא לנסות ליצור קשר עימה או עם מי מבני משפחתה, וכן לא לנסות בדרכים עקיפות כאלה ואחרות להעביר לאם מידע על עצם קיומה או לנסות לאתר אותה.</w:t>
      </w:r>
    </w:p>
    <w:p w14:paraId="717CCD45" w14:textId="77777777" w:rsidR="00FF331B" w:rsidRDefault="00000000" w:rsidP="00FF331B">
      <w:pPr>
        <w:pStyle w:val="Ruller5"/>
        <w:rPr>
          <w:rtl/>
        </w:rPr>
      </w:pPr>
      <w:r>
        <w:rPr>
          <w:rtl/>
        </w:rPr>
        <w:t>כמו כן מתחייבת המערערת שגם לאחר 120 של האם הביולוגית, ככל שתבקש לעמוד על זכות קניינית או אחרת, תפנה לצורך כך לבית המשפט ולא לקרובי משפחה או מכריה של האם.</w:t>
      </w:r>
    </w:p>
    <w:p w14:paraId="5BDBD1EA" w14:textId="77777777" w:rsidR="00FF331B" w:rsidRDefault="00000000" w:rsidP="00FF331B">
      <w:pPr>
        <w:pStyle w:val="Ruller5"/>
        <w:spacing w:after="240"/>
        <w:rPr>
          <w:rtl/>
        </w:rPr>
      </w:pPr>
      <w:r>
        <w:rPr>
          <w:rtl/>
        </w:rPr>
        <w:t>שירותי הרווחה יעדכנו את המערערת בדבר פטירתה של האם לאחר שיוודע להם".</w:t>
      </w:r>
    </w:p>
    <w:p w14:paraId="1B10F5F8" w14:textId="77777777" w:rsidR="00FF331B" w:rsidRDefault="00FF331B" w:rsidP="00FF331B">
      <w:pPr>
        <w:pStyle w:val="Ruller5"/>
        <w:rPr>
          <w:rtl/>
        </w:rPr>
      </w:pPr>
    </w:p>
    <w:p w14:paraId="74B8FD83" w14:textId="77777777" w:rsidR="00FF331B" w:rsidRDefault="00000000" w:rsidP="00FF331B">
      <w:pPr>
        <w:pStyle w:val="Ruller41"/>
        <w:rPr>
          <w:rtl/>
        </w:rPr>
      </w:pPr>
      <w:r>
        <w:rPr>
          <w:rtl/>
        </w:rPr>
        <w:tab/>
        <w:t xml:space="preserve">ברם, עו"ס חוק האימוץ התנגדה במהלך הדיון הנ"ל להצעת בית המשפט, בציינה את הדברים הבאים: </w:t>
      </w:r>
    </w:p>
    <w:p w14:paraId="77E2834C" w14:textId="77777777" w:rsidR="00FF331B" w:rsidRDefault="00FF331B" w:rsidP="00FF331B">
      <w:pPr>
        <w:pStyle w:val="Ruller41"/>
        <w:rPr>
          <w:rtl/>
        </w:rPr>
      </w:pPr>
    </w:p>
    <w:p w14:paraId="47D3EC6D" w14:textId="77777777" w:rsidR="00FF331B" w:rsidRDefault="00000000" w:rsidP="00FF331B">
      <w:pPr>
        <w:pStyle w:val="Ruller5"/>
        <w:rPr>
          <w:rFonts w:ascii="Century" w:hAnsi="Century"/>
          <w:rtl/>
        </w:rPr>
      </w:pPr>
      <w:r>
        <w:rPr>
          <w:rtl/>
        </w:rPr>
        <w:t>"היא [האם הביולוגית – י"ו] סירבה להפגש איתי ו</w:t>
      </w:r>
      <w:r>
        <w:rPr>
          <w:rFonts w:ascii="Century" w:hAnsi="Century" w:cs="Miriam"/>
          <w:b/>
          <w:spacing w:val="0"/>
          <w:szCs w:val="24"/>
          <w:rtl/>
        </w:rPr>
        <w:t>אני משערת שהיא לא תסכים למסור את זהותה</w:t>
      </w:r>
      <w:r>
        <w:rPr>
          <w:rtl/>
        </w:rPr>
        <w:t xml:space="preserve"> ותמונה. ולא תיתן לי תמונה. השיחה איתי כל כך איימה עליה והרגשתי את החרדה והיא בוודאי לא תסכים למסור שום תמונה ו/או כל פרט. </w:t>
      </w:r>
      <w:r>
        <w:rPr>
          <w:rFonts w:ascii="Century" w:hAnsi="Century" w:cs="Miriam"/>
          <w:b/>
          <w:spacing w:val="0"/>
          <w:szCs w:val="24"/>
          <w:rtl/>
        </w:rPr>
        <w:t>לא שאלתי אותה לגבי מסירת שמה</w:t>
      </w:r>
      <w:r>
        <w:rPr>
          <w:rFonts w:ascii="Century" w:hAnsi="Century"/>
          <w:rtl/>
        </w:rPr>
        <w:t>, אבל אני יכולה להסיק רק מכך שהיא הרגישה מאוימת שהיא תפגש איתי, אז היא לא תסכים למסור שום פרט [...] אני כאשת מקצוע שהצד שלי הוא המצב הרגשי גם של אמא ביולוגית וגם של מאומצים, בניגוד לאמת המקצועית שלי לעשות דבר כזה, אני לא אהיה מסוגלת. אני חושבת שהמצב הרגשי הקשה, יכולות להיות לו השלכות קשות אם אבקש ממנה דבר כזה וזה יהיה בניגוד לאמת המקצועית שלי" (ההדגשות הוספו).</w:t>
      </w:r>
    </w:p>
    <w:p w14:paraId="2821E824" w14:textId="77777777" w:rsidR="00FF331B" w:rsidRDefault="00FF331B" w:rsidP="00FF331B">
      <w:pPr>
        <w:pStyle w:val="Ruller41"/>
        <w:rPr>
          <w:rFonts w:ascii="Century" w:hAnsi="Century"/>
          <w:rtl/>
        </w:rPr>
      </w:pPr>
    </w:p>
    <w:p w14:paraId="37D37F0D" w14:textId="77777777" w:rsidR="00FF331B" w:rsidRDefault="00000000" w:rsidP="00FF331B">
      <w:pPr>
        <w:pStyle w:val="Ruller41"/>
        <w:rPr>
          <w:rFonts w:ascii="Century" w:hAnsi="Century"/>
          <w:rtl/>
        </w:rPr>
      </w:pPr>
      <w:r>
        <w:rPr>
          <w:rFonts w:ascii="Century" w:hAnsi="Century"/>
          <w:rtl/>
        </w:rPr>
        <w:t>53.</w:t>
      </w:r>
      <w:r>
        <w:rPr>
          <w:rFonts w:ascii="Century" w:hAnsi="Century"/>
          <w:rtl/>
        </w:rPr>
        <w:tab/>
        <w:t xml:space="preserve">אם כן, למרות הסכמה מפורשת מצד המערערת להסתפק בקבלת פרטיה המזהים של האם הביולוגית, והתחייבותה המפורשת להימנע מיצירת קשר עמה, בין במישרין ובין בעקיפין (הסכמה והתחייבות שעליהן חזרה המערערת גם לפנינו); למרות שההסכמה וההתחייבות האמורות עוגנו בהחלטה שיפוטית; ואף על פי שדחיית בקשת המערערת במקרה דנן מבוססת בעיקרה על הנזקים שעלולים להיגרם לאם הביולוגית כתוצאה מהאפשרות שהמערערת תיצור עמה קשר – הרי שבקשת המערערת לא נשקלה מחדש בשים לב לאמור. </w:t>
      </w:r>
    </w:p>
    <w:p w14:paraId="47BDE49F" w14:textId="77777777" w:rsidR="00FF331B" w:rsidRDefault="00FF331B" w:rsidP="00FF331B">
      <w:pPr>
        <w:pStyle w:val="Ruller41"/>
        <w:rPr>
          <w:rFonts w:ascii="Century" w:hAnsi="Century"/>
          <w:rtl/>
        </w:rPr>
      </w:pPr>
    </w:p>
    <w:p w14:paraId="5AF88BDD" w14:textId="77777777" w:rsidR="00FF331B" w:rsidRDefault="00000000" w:rsidP="00FF331B">
      <w:pPr>
        <w:pStyle w:val="Ruller41"/>
        <w:rPr>
          <w:rFonts w:ascii="Century" w:hAnsi="Century"/>
          <w:rtl/>
        </w:rPr>
      </w:pPr>
      <w:r>
        <w:rPr>
          <w:rFonts w:ascii="Century" w:hAnsi="Century"/>
          <w:rtl/>
        </w:rPr>
        <w:t>54.</w:t>
      </w:r>
      <w:r>
        <w:rPr>
          <w:rFonts w:ascii="Century" w:hAnsi="Century"/>
          <w:rtl/>
        </w:rPr>
        <w:tab/>
        <w:t xml:space="preserve">עוד יובהר, כי עו"ס חוק האימוץ סירבה כאמור לדון מחדש בבקשת המערערת, בציינה כי "לא שאלתי אותה [את האם הביולוגית – י"ו] לגבי מסירת שמה, אבל [...] </w:t>
      </w:r>
      <w:r>
        <w:rPr>
          <w:rFonts w:ascii="Century" w:hAnsi="Century" w:cs="Miriam"/>
          <w:b/>
          <w:spacing w:val="0"/>
          <w:szCs w:val="24"/>
          <w:rtl/>
        </w:rPr>
        <w:t>אני משערת שהיא לא תסכים למסור את זהותה</w:t>
      </w:r>
      <w:r>
        <w:rPr>
          <w:rFonts w:ascii="Century" w:hAnsi="Century"/>
          <w:rtl/>
        </w:rPr>
        <w:t xml:space="preserve"> ותמונה" (ההדגשה הוספה). </w:t>
      </w:r>
    </w:p>
    <w:p w14:paraId="0C1A90E7" w14:textId="77777777" w:rsidR="00FF331B" w:rsidRDefault="00FF331B" w:rsidP="00FF331B">
      <w:pPr>
        <w:pStyle w:val="Ruller41"/>
        <w:rPr>
          <w:rFonts w:ascii="Century" w:hAnsi="Century"/>
          <w:rtl/>
        </w:rPr>
      </w:pPr>
    </w:p>
    <w:p w14:paraId="7235ABCE" w14:textId="77777777" w:rsidR="00FF331B" w:rsidRDefault="00000000" w:rsidP="00FF331B">
      <w:pPr>
        <w:pStyle w:val="Ruller41"/>
        <w:rPr>
          <w:rFonts w:ascii="Century" w:hAnsi="Century"/>
          <w:rtl/>
        </w:rPr>
      </w:pPr>
      <w:r>
        <w:rPr>
          <w:rFonts w:ascii="Century" w:hAnsi="Century"/>
          <w:rtl/>
        </w:rPr>
        <w:tab/>
        <w:t xml:space="preserve">אולם, כמבואר לעיל, לאם ביולוגית לא מוקנית זכות וטו בנוגע לבקשת מאומץ לפי </w:t>
      </w:r>
      <w:hyperlink r:id="rId95"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לפיכך, אף בהנחה כי האם לא תסכים שזהותה תיחשף בפני המערערת – הנחה שכאמור מבוססת בענייננו רק על השערה – היעדר הסכמה מצידה, אין בו כשלעצמו כדי להוביל לדחיית בקשת המערערת; ויש מקום לבחון מחדש את בקשת המערערת, אף בהתחשב בהתחייבותה להסתפק בגילוי זהות אמה כאמור ולהימנע מיצירת קשר עמה, ובהתאם לקווים המנחים שפורטו לעיל.</w:t>
      </w:r>
    </w:p>
    <w:p w14:paraId="100CFF64" w14:textId="77777777" w:rsidR="00FF331B" w:rsidRDefault="00FF331B" w:rsidP="00FF331B">
      <w:pPr>
        <w:pStyle w:val="Ruller41"/>
        <w:rPr>
          <w:rFonts w:ascii="Century" w:hAnsi="Century"/>
          <w:rtl/>
        </w:rPr>
      </w:pPr>
    </w:p>
    <w:p w14:paraId="5DAE550D" w14:textId="77777777" w:rsidR="00FF331B" w:rsidRDefault="00000000" w:rsidP="00FF331B">
      <w:pPr>
        <w:pStyle w:val="Ruller41"/>
        <w:rPr>
          <w:rFonts w:ascii="Century" w:hAnsi="Century" w:cs="Miriam"/>
          <w:b/>
          <w:spacing w:val="0"/>
          <w:szCs w:val="24"/>
          <w:rtl/>
        </w:rPr>
      </w:pPr>
      <w:r>
        <w:rPr>
          <w:rFonts w:ascii="Century" w:hAnsi="Century" w:cs="Miriam"/>
          <w:b/>
          <w:spacing w:val="0"/>
          <w:szCs w:val="24"/>
          <w:rtl/>
        </w:rPr>
        <w:t>סוף דבר</w:t>
      </w:r>
    </w:p>
    <w:p w14:paraId="0401B6A2" w14:textId="77777777" w:rsidR="00FF331B" w:rsidRDefault="00FF331B" w:rsidP="00FF331B">
      <w:pPr>
        <w:pStyle w:val="Ruller41"/>
        <w:rPr>
          <w:rFonts w:ascii="Century" w:hAnsi="Century"/>
          <w:rtl/>
        </w:rPr>
      </w:pPr>
    </w:p>
    <w:p w14:paraId="50C80F56" w14:textId="77777777" w:rsidR="00FF331B" w:rsidRDefault="00000000" w:rsidP="00FF331B">
      <w:pPr>
        <w:pStyle w:val="Ruller41"/>
        <w:rPr>
          <w:rFonts w:ascii="Century" w:hAnsi="Century"/>
          <w:rtl/>
        </w:rPr>
      </w:pPr>
      <w:r>
        <w:rPr>
          <w:rFonts w:ascii="Century" w:hAnsi="Century"/>
          <w:rtl/>
        </w:rPr>
        <w:t>55.</w:t>
      </w:r>
      <w:r>
        <w:rPr>
          <w:rFonts w:ascii="Century" w:hAnsi="Century"/>
          <w:rtl/>
        </w:rPr>
        <w:tab/>
        <w:t xml:space="preserve">לנוכח כל האמור לעיל, אציע לחבריי כי נקבל את הערעור באופן חלקי, כך שהתיק יושב לבית המשפט לענייני משפחה על מנת שידון מחדש בבקשת המערערת לפי </w:t>
      </w:r>
      <w:hyperlink r:id="rId96" w:history="1">
        <w:r w:rsidR="006132F7" w:rsidRPr="006132F7">
          <w:rPr>
            <w:rStyle w:val="Hyperlink"/>
            <w:rFonts w:ascii="Century" w:hAnsi="Century" w:hint="eastAsia"/>
            <w:rtl/>
          </w:rPr>
          <w:t>סעיף</w:t>
        </w:r>
        <w:r w:rsidR="006132F7" w:rsidRPr="006132F7">
          <w:rPr>
            <w:rStyle w:val="Hyperlink"/>
            <w:rFonts w:ascii="Century" w:hAnsi="Century"/>
            <w:rtl/>
          </w:rPr>
          <w:t xml:space="preserve"> 30(</w:t>
        </w:r>
        <w:r w:rsidR="006132F7" w:rsidRPr="006132F7">
          <w:rPr>
            <w:rStyle w:val="Hyperlink"/>
            <w:rFonts w:ascii="Century" w:hAnsi="Century" w:hint="eastAsia"/>
            <w:rtl/>
          </w:rPr>
          <w:t>ב</w:t>
        </w:r>
        <w:r w:rsidR="006132F7" w:rsidRPr="006132F7">
          <w:rPr>
            <w:rStyle w:val="Hyperlink"/>
            <w:rFonts w:ascii="Century" w:hAnsi="Century"/>
            <w:rtl/>
          </w:rPr>
          <w:t>)</w:t>
        </w:r>
      </w:hyperlink>
      <w:r>
        <w:rPr>
          <w:rFonts w:ascii="Century" w:hAnsi="Century"/>
          <w:rtl/>
        </w:rPr>
        <w:t xml:space="preserve"> לחוק, בהתאם לקביעות דלעיל ביחס למשמעות ההסדר הקבוע בו ולקווים המנחים ליישומו. בנוסף, בית המשפט ייתן דעתו להתחייבות המערערת להסתפק בגילוי זהות אמה ולהימנע מיצירת קשר עמה במישרין או בעקיפין. השירות למען הילד יגיש תסקיר נוסף לבית המשפט לנוכח הקווים המנחים שפורטו בעניין זה. עוד יודגש, כי על השירות ליידע את האם הביולוגית על אודות ההליכים המשפטיים המתנהלים בעניינה ולאפשר לה ליטול בהם חלק, בין בעצמה ובין באמצעות בא-כוח (יוער כי במהלך הדיון לפנינו נמסר לנו כי האם כלל לא יוּדעה על ההליכים שהתקיימו בבית המשפט המחוזי ולפנינו, וממילא לא ניתנה לה האפשרות להשמיע את טענותיה).</w:t>
      </w:r>
    </w:p>
    <w:p w14:paraId="26012FB5" w14:textId="77777777" w:rsidR="00FF331B" w:rsidRDefault="00FF331B" w:rsidP="00FF331B">
      <w:pPr>
        <w:pStyle w:val="Ruller41"/>
        <w:rPr>
          <w:rFonts w:ascii="Century" w:hAnsi="Century"/>
          <w:rtl/>
        </w:rPr>
      </w:pPr>
    </w:p>
    <w:p w14:paraId="169007F3" w14:textId="77777777" w:rsidR="00FF331B" w:rsidRDefault="00000000" w:rsidP="00FF331B">
      <w:pPr>
        <w:pStyle w:val="Ruller41"/>
        <w:rPr>
          <w:rFonts w:ascii="Century" w:hAnsi="Century"/>
          <w:rtl/>
        </w:rPr>
      </w:pPr>
      <w:r>
        <w:rPr>
          <w:rFonts w:ascii="Century" w:hAnsi="Century"/>
          <w:rtl/>
        </w:rPr>
        <w:tab/>
        <w:t>עוד אציע, כי המשיבה תישא בהוצאות המערערת בסך 5,000 ש"ח.</w:t>
      </w:r>
    </w:p>
    <w:p w14:paraId="2E8DBCE9" w14:textId="77777777" w:rsidR="00FF331B" w:rsidRDefault="00FF331B" w:rsidP="00FF331B">
      <w:pPr>
        <w:pStyle w:val="Ruller41"/>
        <w:rPr>
          <w:rFonts w:ascii="Century" w:hAnsi="Century"/>
          <w:rtl/>
        </w:rPr>
      </w:pPr>
    </w:p>
    <w:p w14:paraId="0E950300" w14:textId="77777777" w:rsidR="00FF331B" w:rsidRDefault="00000000" w:rsidP="00FF331B">
      <w:pPr>
        <w:pStyle w:val="Ruller41"/>
        <w:rPr>
          <w:rFonts w:ascii="Century" w:hAnsi="Century"/>
          <w:rtl/>
        </w:rPr>
      </w:pP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hint="cs"/>
          <w:rtl/>
        </w:rPr>
        <w:t xml:space="preserve">ש ו פ ט ת </w:t>
      </w:r>
    </w:p>
    <w:p w14:paraId="05A0CE00" w14:textId="77777777" w:rsidR="00FF331B" w:rsidRDefault="00FF331B" w:rsidP="00FF331B">
      <w:pPr>
        <w:pStyle w:val="Ruller41"/>
        <w:rPr>
          <w:rFonts w:ascii="Century" w:hAnsi="Century"/>
          <w:rtl/>
        </w:rPr>
      </w:pPr>
    </w:p>
    <w:p w14:paraId="050B95EB" w14:textId="77777777" w:rsidR="00AD433B" w:rsidRDefault="00AD433B" w:rsidP="00AD433B">
      <w:pPr>
        <w:pStyle w:val="Ruller41"/>
        <w:rPr>
          <w:rtl/>
        </w:rPr>
      </w:pPr>
    </w:p>
    <w:p w14:paraId="28830987" w14:textId="77777777" w:rsidR="00FF331B" w:rsidRPr="0098527B" w:rsidRDefault="00000000" w:rsidP="00AD433B">
      <w:pPr>
        <w:pStyle w:val="Ruller41"/>
        <w:rPr>
          <w:rFonts w:ascii="Miriam" w:hAnsi="Miriam" w:cs="Miriam"/>
          <w:sz w:val="24"/>
          <w:szCs w:val="24"/>
          <w:u w:val="single"/>
          <w:rtl/>
        </w:rPr>
      </w:pPr>
      <w:r w:rsidRPr="0098527B">
        <w:rPr>
          <w:rFonts w:ascii="Miriam" w:hAnsi="Miriam" w:cs="Miriam"/>
          <w:sz w:val="24"/>
          <w:szCs w:val="24"/>
          <w:u w:val="single"/>
          <w:rtl/>
        </w:rPr>
        <w:t>השופט חאלד כבוב:</w:t>
      </w:r>
    </w:p>
    <w:p w14:paraId="46113983" w14:textId="77777777" w:rsidR="00FF331B" w:rsidRDefault="00FF331B" w:rsidP="00AD433B">
      <w:pPr>
        <w:pStyle w:val="Ruller41"/>
        <w:rPr>
          <w:rtl/>
        </w:rPr>
      </w:pPr>
    </w:p>
    <w:p w14:paraId="1DD83CA5" w14:textId="77777777" w:rsidR="00FF331B" w:rsidRDefault="00000000" w:rsidP="00AD433B">
      <w:pPr>
        <w:pStyle w:val="Ruller41"/>
        <w:rPr>
          <w:rtl/>
        </w:rPr>
      </w:pPr>
      <w:r>
        <w:rPr>
          <w:rtl/>
        </w:rPr>
        <w:tab/>
      </w:r>
      <w:r>
        <w:rPr>
          <w:rFonts w:hint="cs"/>
          <w:rtl/>
        </w:rPr>
        <w:t>אני מסכים.</w:t>
      </w:r>
    </w:p>
    <w:p w14:paraId="0B9B488E" w14:textId="77777777" w:rsidR="00FF331B" w:rsidRDefault="00FF331B" w:rsidP="00AD433B">
      <w:pPr>
        <w:pStyle w:val="Ruller41"/>
        <w:rPr>
          <w:rtl/>
        </w:rPr>
      </w:pPr>
    </w:p>
    <w:p w14:paraId="5F3B356B" w14:textId="77777777" w:rsidR="00FF331B" w:rsidRDefault="00000000" w:rsidP="00AD433B">
      <w:pPr>
        <w:pStyle w:val="Ruller41"/>
        <w:rPr>
          <w:rtl/>
        </w:rPr>
      </w:pPr>
      <w:r>
        <w:rPr>
          <w:rtl/>
        </w:rPr>
        <w:tab/>
      </w:r>
      <w:r>
        <w:rPr>
          <w:rtl/>
        </w:rPr>
        <w:tab/>
      </w:r>
      <w:r>
        <w:rPr>
          <w:rtl/>
        </w:rPr>
        <w:tab/>
      </w:r>
      <w:r>
        <w:rPr>
          <w:rtl/>
        </w:rPr>
        <w:tab/>
      </w:r>
      <w:r>
        <w:rPr>
          <w:rtl/>
        </w:rPr>
        <w:tab/>
      </w:r>
      <w:r>
        <w:rPr>
          <w:rtl/>
        </w:rPr>
        <w:tab/>
      </w:r>
      <w:r>
        <w:rPr>
          <w:rtl/>
        </w:rPr>
        <w:tab/>
      </w:r>
      <w:r>
        <w:rPr>
          <w:rtl/>
        </w:rPr>
        <w:tab/>
      </w:r>
      <w:r>
        <w:rPr>
          <w:rtl/>
        </w:rPr>
        <w:tab/>
      </w:r>
      <w:r>
        <w:rPr>
          <w:rtl/>
        </w:rPr>
        <w:tab/>
      </w:r>
      <w:r>
        <w:rPr>
          <w:rFonts w:hint="cs"/>
          <w:rtl/>
        </w:rPr>
        <w:t xml:space="preserve">ש ו פ ט </w:t>
      </w:r>
    </w:p>
    <w:p w14:paraId="7D7D2ECC" w14:textId="77777777" w:rsidR="00FF331B" w:rsidRDefault="00FF331B" w:rsidP="00AD433B">
      <w:pPr>
        <w:pStyle w:val="Ruller41"/>
        <w:rPr>
          <w:rtl/>
        </w:rPr>
      </w:pPr>
    </w:p>
    <w:p w14:paraId="46793BA6" w14:textId="77777777" w:rsidR="00FF331B" w:rsidRDefault="00000000" w:rsidP="0098527B">
      <w:pPr>
        <w:pStyle w:val="Ruller41"/>
        <w:rPr>
          <w:rFonts w:ascii="Century" w:hAnsi="Century" w:cs="Miriam"/>
          <w:b/>
          <w:spacing w:val="0"/>
          <w:szCs w:val="24"/>
          <w:u w:val="single"/>
          <w:rtl/>
        </w:rPr>
      </w:pPr>
      <w:r>
        <w:rPr>
          <w:rFonts w:ascii="Century" w:hAnsi="Century" w:cs="Miriam"/>
          <w:b/>
          <w:spacing w:val="0"/>
          <w:szCs w:val="24"/>
          <w:u w:val="single"/>
          <w:rtl/>
        </w:rPr>
        <w:t>השופט א</w:t>
      </w:r>
      <w:r w:rsidR="0098527B">
        <w:rPr>
          <w:rFonts w:ascii="Century" w:hAnsi="Century" w:cs="Miriam" w:hint="cs"/>
          <w:b/>
          <w:spacing w:val="0"/>
          <w:szCs w:val="24"/>
          <w:u w:val="single"/>
          <w:rtl/>
        </w:rPr>
        <w:t>לכס</w:t>
      </w:r>
      <w:r>
        <w:rPr>
          <w:rFonts w:ascii="Century" w:hAnsi="Century" w:cs="Miriam"/>
          <w:b/>
          <w:spacing w:val="0"/>
          <w:szCs w:val="24"/>
          <w:u w:val="single"/>
          <w:rtl/>
        </w:rPr>
        <w:t xml:space="preserve"> שטיין:</w:t>
      </w:r>
    </w:p>
    <w:p w14:paraId="33F22CBE" w14:textId="77777777" w:rsidR="00FF331B" w:rsidRDefault="00FF331B" w:rsidP="00FF331B">
      <w:pPr>
        <w:pStyle w:val="Ruller41"/>
        <w:rPr>
          <w:rtl/>
        </w:rPr>
      </w:pPr>
    </w:p>
    <w:p w14:paraId="6CAB3BE7" w14:textId="77777777" w:rsidR="00FF331B" w:rsidRDefault="00000000" w:rsidP="00FF331B">
      <w:pPr>
        <w:pStyle w:val="Ruller4"/>
        <w:rPr>
          <w:rtl/>
        </w:rPr>
      </w:pPr>
      <w:r>
        <w:rPr>
          <w:rtl/>
        </w:rPr>
        <w:t xml:space="preserve">האמור בפסק דינה של חברתי, השופטת </w:t>
      </w:r>
      <w:r>
        <w:rPr>
          <w:rFonts w:ascii="Century" w:hAnsi="Century" w:cs="Miriam"/>
          <w:b/>
          <w:spacing w:val="0"/>
          <w:sz w:val="22"/>
          <w:szCs w:val="24"/>
          <w:rtl/>
        </w:rPr>
        <w:t>י' וילנר</w:t>
      </w:r>
      <w:r>
        <w:rPr>
          <w:rtl/>
        </w:rPr>
        <w:t xml:space="preserve">, מקובל עלי במלואו – בכפוף להבהרות כדלקמן. </w:t>
      </w:r>
    </w:p>
    <w:p w14:paraId="002606AE" w14:textId="77777777" w:rsidR="00FF331B" w:rsidRDefault="00FF331B" w:rsidP="00FF331B">
      <w:pPr>
        <w:pStyle w:val="Ruller4"/>
        <w:numPr>
          <w:ilvl w:val="0"/>
          <w:numId w:val="0"/>
        </w:numPr>
      </w:pPr>
    </w:p>
    <w:p w14:paraId="4DDAFB21" w14:textId="77777777" w:rsidR="00FF331B" w:rsidRDefault="00000000" w:rsidP="00FF331B">
      <w:pPr>
        <w:pStyle w:val="Ruller4"/>
      </w:pPr>
      <w:r>
        <w:rPr>
          <w:rtl/>
        </w:rPr>
        <w:t xml:space="preserve">לשיטתי, ברירת המחדל בבקשות מהסוג שבו עסקינן היא כיבוד רצונו של המאומץ לגלות את שמותיהם – </w:t>
      </w:r>
      <w:r>
        <w:rPr>
          <w:rFonts w:ascii="Century" w:hAnsi="Century" w:cs="Miriam"/>
          <w:b/>
          <w:spacing w:val="0"/>
          <w:sz w:val="22"/>
          <w:szCs w:val="24"/>
          <w:rtl/>
        </w:rPr>
        <w:t>שמותיהם בלבד</w:t>
      </w:r>
      <w:r>
        <w:rPr>
          <w:rtl/>
        </w:rPr>
        <w:t xml:space="preserve"> – של הוריו הביולוגיים. כפי שמוסבר היטב בפסק דינה של חברתי, מדובר בזכות חשובה של המאומץ אשר מקימה לטובתו את חזקת הגילוי. חזקה זו ניתנת לסתירה בהתקיים טעמים כבדי משקל שלא לאפשר למאומץ לדעת את שמותיהם של הוריו הביולוגיים. טעמים אלה כוללים חשש ממשי לפגיעה בתאו משפחתי של ההורה הביולוגי ובמערכת זוגית שהלה הקים – ולא רק פגיעות בהיבט הנפשי. כאשר בית המשפט שוקל את הטעמים הללו ומוצא את עצמו ניצב מול כפות המאזניים מעויינות, יהא עליו להחליט לטובת הגילוי וליתן למאומץ את מבוקשו. דחיית בקשתו של המאומץ תוצדק רק כאשר משקל הטעמים אשר עומדים נגד זכותו לגילוי כאמור גובר על משקלה היחסי של הזכות. </w:t>
      </w:r>
    </w:p>
    <w:p w14:paraId="64E10A7D" w14:textId="77777777" w:rsidR="00FF331B" w:rsidRDefault="00FF331B" w:rsidP="00FF331B">
      <w:pPr>
        <w:pStyle w:val="Ruller4"/>
        <w:numPr>
          <w:ilvl w:val="0"/>
          <w:numId w:val="0"/>
        </w:numPr>
      </w:pPr>
    </w:p>
    <w:p w14:paraId="285C3C0C" w14:textId="77777777" w:rsidR="00FF331B" w:rsidRDefault="00000000" w:rsidP="008670F1">
      <w:pPr>
        <w:pStyle w:val="Ruller4"/>
        <w:rPr>
          <w:rtl/>
        </w:rPr>
      </w:pPr>
      <w:r>
        <w:rPr>
          <w:rtl/>
        </w:rPr>
        <w:t xml:space="preserve">במסגרת זאת, טוב יעשה בית המשפט אם יבקש ויקבל מהמאומץ התחייבות שלא לנסות וליצור קשר עם הורהו הביולוגי, כל אימת שההורה הביולוגי אינו חפץ בקשר. הפרת התחייבות כאמור עלולה, בנסיבות מסוימות, להגיע לכדי הטרדה מאיימת כמשמעה </w:t>
      </w:r>
      <w:hyperlink r:id="rId97" w:history="1">
        <w:r w:rsidR="006132F7" w:rsidRPr="006132F7">
          <w:rPr>
            <w:rStyle w:val="Hyperlink"/>
            <w:rFonts w:hint="eastAsia"/>
            <w:rtl/>
          </w:rPr>
          <w:t>בסעיף</w:t>
        </w:r>
        <w:r w:rsidR="006132F7" w:rsidRPr="006132F7">
          <w:rPr>
            <w:rStyle w:val="Hyperlink"/>
            <w:rtl/>
          </w:rPr>
          <w:t xml:space="preserve"> 2</w:t>
        </w:r>
      </w:hyperlink>
      <w:r>
        <w:rPr>
          <w:rtl/>
        </w:rPr>
        <w:t xml:space="preserve"> ל</w:t>
      </w:r>
      <w:hyperlink r:id="rId98" w:history="1">
        <w:r w:rsidR="00482AA5" w:rsidRPr="00482AA5">
          <w:rPr>
            <w:rFonts w:hint="eastAsia"/>
            <w:color w:val="0000FF"/>
            <w:u w:val="single"/>
            <w:rtl/>
          </w:rPr>
          <w:t>חוק</w:t>
        </w:r>
        <w:r w:rsidR="00482AA5" w:rsidRPr="00482AA5">
          <w:rPr>
            <w:color w:val="0000FF"/>
            <w:u w:val="single"/>
            <w:rtl/>
          </w:rPr>
          <w:t xml:space="preserve"> </w:t>
        </w:r>
        <w:r w:rsidR="00482AA5" w:rsidRPr="00482AA5">
          <w:rPr>
            <w:rFonts w:hint="eastAsia"/>
            <w:color w:val="0000FF"/>
            <w:u w:val="single"/>
            <w:rtl/>
          </w:rPr>
          <w:t>מניעת</w:t>
        </w:r>
        <w:r w:rsidR="00482AA5" w:rsidRPr="00482AA5">
          <w:rPr>
            <w:color w:val="0000FF"/>
            <w:u w:val="single"/>
            <w:rtl/>
          </w:rPr>
          <w:t xml:space="preserve"> </w:t>
        </w:r>
        <w:r w:rsidR="00482AA5" w:rsidRPr="00482AA5">
          <w:rPr>
            <w:rFonts w:hint="eastAsia"/>
            <w:color w:val="0000FF"/>
            <w:u w:val="single"/>
            <w:rtl/>
          </w:rPr>
          <w:t>הטרדה</w:t>
        </w:r>
        <w:r w:rsidR="00482AA5" w:rsidRPr="00482AA5">
          <w:rPr>
            <w:color w:val="0000FF"/>
            <w:u w:val="single"/>
            <w:rtl/>
          </w:rPr>
          <w:t xml:space="preserve"> </w:t>
        </w:r>
        <w:r w:rsidR="00482AA5" w:rsidRPr="00482AA5">
          <w:rPr>
            <w:rFonts w:hint="eastAsia"/>
            <w:color w:val="0000FF"/>
            <w:u w:val="single"/>
            <w:rtl/>
          </w:rPr>
          <w:t>מאיימת</w:t>
        </w:r>
      </w:hyperlink>
      <w:r>
        <w:rPr>
          <w:rtl/>
        </w:rPr>
        <w:t xml:space="preserve">, התשס"ב-2001, על כל המשתמע מכך. אני סבור כי הבהרה ברוח זו צריכה להינתן למאומץ שזוכה לגילוי שמות הוריו הביולוגיים כנגד מתן התחייבותו שלא ליצור עמם קשר – כפי שקרה במקרה שלפנינו.  בדרך זו יישמר האיזון בין האינטרסים המתנגשים: האינטרס של המאומץ לדעת את שמות הוריו הביולוגיים והאינטרס של הורהו הביולוגי – על פי רוב, האינטרס של האם שמסרה את המאומץ לאימוץ – לחיות את חייו ללא הפרעות והטרדות ומבלי לחוות, בניגוד לרצונו, </w:t>
      </w:r>
      <w:r w:rsidRPr="00482AA5">
        <w:rPr>
          <w:rFonts w:ascii="Times New Roman" w:hAnsi="Times New Roman" w:cs="Times New Roman"/>
        </w:rPr>
        <w:t>"blast from the past"</w:t>
      </w:r>
      <w:r>
        <w:rPr>
          <w:rtl/>
        </w:rPr>
        <w:t>.</w:t>
      </w:r>
    </w:p>
    <w:p w14:paraId="75785BA4" w14:textId="77777777" w:rsidR="0098527B" w:rsidRDefault="0098527B" w:rsidP="0098527B">
      <w:pPr>
        <w:pStyle w:val="Ruller41"/>
        <w:rPr>
          <w:rtl/>
        </w:rPr>
      </w:pPr>
    </w:p>
    <w:p w14:paraId="2560A721" w14:textId="77777777" w:rsidR="0098527B" w:rsidRDefault="00000000" w:rsidP="0098527B">
      <w:pPr>
        <w:pStyle w:val="Ruller41"/>
        <w:rPr>
          <w:rtl/>
        </w:rPr>
      </w:pPr>
      <w:r>
        <w:rPr>
          <w:rtl/>
        </w:rPr>
        <w:tab/>
      </w:r>
      <w:r>
        <w:rPr>
          <w:rtl/>
        </w:rPr>
        <w:tab/>
      </w:r>
      <w:r>
        <w:rPr>
          <w:rtl/>
        </w:rPr>
        <w:tab/>
      </w:r>
      <w:r>
        <w:rPr>
          <w:rtl/>
        </w:rPr>
        <w:tab/>
      </w:r>
      <w:r>
        <w:rPr>
          <w:rtl/>
        </w:rPr>
        <w:tab/>
      </w:r>
      <w:r>
        <w:rPr>
          <w:rtl/>
        </w:rPr>
        <w:tab/>
      </w:r>
      <w:r>
        <w:rPr>
          <w:rtl/>
        </w:rPr>
        <w:tab/>
      </w:r>
      <w:r>
        <w:rPr>
          <w:rtl/>
        </w:rPr>
        <w:tab/>
      </w:r>
      <w:r>
        <w:rPr>
          <w:rtl/>
        </w:rPr>
        <w:tab/>
      </w:r>
      <w:r>
        <w:rPr>
          <w:rtl/>
        </w:rPr>
        <w:tab/>
      </w:r>
      <w:r>
        <w:rPr>
          <w:rFonts w:hint="cs"/>
          <w:rtl/>
        </w:rPr>
        <w:t xml:space="preserve">ש ו פ ט </w:t>
      </w:r>
    </w:p>
    <w:p w14:paraId="07F85CE8" w14:textId="77777777" w:rsidR="0098527B" w:rsidRDefault="0098527B" w:rsidP="0098527B">
      <w:pPr>
        <w:pStyle w:val="Ruller41"/>
        <w:rPr>
          <w:rtl/>
        </w:rPr>
      </w:pPr>
    </w:p>
    <w:p w14:paraId="5E10E16F" w14:textId="77777777" w:rsidR="0098527B" w:rsidRPr="0098527B" w:rsidRDefault="006439E7" w:rsidP="0005424E">
      <w:pPr>
        <w:pStyle w:val="Ruller41"/>
      </w:pPr>
      <w:r>
        <w:rPr>
          <w:rtl/>
        </w:rPr>
        <w:tab/>
      </w:r>
      <w:r w:rsidR="00000000">
        <w:rPr>
          <w:rFonts w:hint="cs"/>
          <w:rtl/>
        </w:rPr>
        <w:t xml:space="preserve">הוחלט </w:t>
      </w:r>
      <w:r w:rsidR="00034082">
        <w:rPr>
          <w:rFonts w:hint="cs"/>
          <w:rtl/>
        </w:rPr>
        <w:t xml:space="preserve">לקבל את הערעור </w:t>
      </w:r>
      <w:r w:rsidR="00000000">
        <w:rPr>
          <w:rFonts w:hint="cs"/>
          <w:rtl/>
        </w:rPr>
        <w:t xml:space="preserve">כאמור בפסק דינה של השופטת </w:t>
      </w:r>
      <w:r w:rsidR="00000000" w:rsidRPr="006439E7">
        <w:rPr>
          <w:rFonts w:ascii="Miriam" w:hAnsi="Miriam" w:cs="Miriam"/>
          <w:sz w:val="24"/>
          <w:szCs w:val="24"/>
          <w:rtl/>
        </w:rPr>
        <w:t>י' וילנר</w:t>
      </w:r>
      <w:r w:rsidR="00000000">
        <w:rPr>
          <w:rFonts w:hint="cs"/>
          <w:rtl/>
        </w:rPr>
        <w:t xml:space="preserve">. </w:t>
      </w:r>
    </w:p>
    <w:p w14:paraId="48A53F28" w14:textId="77777777" w:rsidR="00FF331B" w:rsidRDefault="00FF331B" w:rsidP="00AD433B">
      <w:pPr>
        <w:pStyle w:val="Ruller41"/>
        <w:rPr>
          <w:rtl/>
        </w:rPr>
      </w:pPr>
    </w:p>
    <w:p w14:paraId="0674C796" w14:textId="77777777" w:rsidR="00FF331B" w:rsidRPr="00FF331B" w:rsidRDefault="00FF331B" w:rsidP="00AD433B">
      <w:pPr>
        <w:pStyle w:val="Ruller41"/>
        <w:rPr>
          <w:rtl/>
        </w:rPr>
      </w:pPr>
    </w:p>
    <w:p w14:paraId="4919881A" w14:textId="77777777" w:rsidR="006439E7" w:rsidRDefault="00482AA5" w:rsidP="00BF76BE">
      <w:pPr>
        <w:spacing w:line="360" w:lineRule="auto"/>
        <w:ind w:firstLine="720"/>
        <w:jc w:val="both"/>
        <w:rPr>
          <w:rFonts w:ascii="FrankRuehl" w:hAnsi="FrankRuehl" w:cs="FrankRuehl"/>
          <w:noProof w:val="0"/>
          <w:sz w:val="28"/>
          <w:szCs w:val="28"/>
          <w:rtl/>
        </w:rPr>
      </w:pPr>
      <w:bookmarkStart w:id="8" w:name="Nitan"/>
      <w:r w:rsidRPr="00482AA5">
        <w:rPr>
          <w:rFonts w:ascii="FrankRuehl" w:hAnsi="FrankRuehl" w:cs="FrankRuehl"/>
          <w:noProof w:val="0"/>
          <w:color w:val="FFFFFF"/>
          <w:spacing w:val="10"/>
          <w:sz w:val="2"/>
          <w:szCs w:val="2"/>
          <w:rtl/>
        </w:rPr>
        <w:t>5129371</w:t>
      </w:r>
      <w:r>
        <w:rPr>
          <w:rFonts w:ascii="FrankRuehl" w:hAnsi="FrankRuehl" w:cs="FrankRuehl"/>
          <w:noProof w:val="0"/>
          <w:spacing w:val="10"/>
          <w:sz w:val="28"/>
          <w:szCs w:val="28"/>
          <w:rtl/>
        </w:rPr>
        <w:t xml:space="preserve">ניתן היום, כ"ו אלול תשפ"ד (29 ספטמבר 2024). </w:t>
      </w:r>
      <w:bookmarkEnd w:id="8"/>
    </w:p>
    <w:tbl>
      <w:tblPr>
        <w:bidiVisual/>
        <w:tblW w:w="0" w:type="auto"/>
        <w:tblLook w:val="04A0" w:firstRow="1" w:lastRow="0" w:firstColumn="1" w:lastColumn="0" w:noHBand="0" w:noVBand="1"/>
      </w:tblPr>
      <w:tblGrid>
        <w:gridCol w:w="2765"/>
        <w:gridCol w:w="2766"/>
        <w:gridCol w:w="2766"/>
      </w:tblGrid>
      <w:tr w:rsidR="004766F4" w14:paraId="23B8A994" w14:textId="77777777" w:rsidTr="00482AA5">
        <w:tc>
          <w:tcPr>
            <w:tcW w:w="2765" w:type="dxa"/>
            <w:shd w:val="clear" w:color="auto" w:fill="auto"/>
          </w:tcPr>
          <w:p w14:paraId="738739A4" w14:textId="77777777" w:rsidR="00E90C45" w:rsidRPr="00482AA5" w:rsidRDefault="00482AA5" w:rsidP="00482AA5">
            <w:pPr>
              <w:spacing w:line="360" w:lineRule="auto"/>
              <w:jc w:val="center"/>
              <w:rPr>
                <w:rFonts w:ascii="FrankRuehl" w:hAnsi="FrankRuehl" w:cs="FrankRuehl"/>
                <w:noProof w:val="0"/>
                <w:sz w:val="28"/>
                <w:szCs w:val="28"/>
                <w:rtl/>
              </w:rPr>
            </w:pPr>
            <w:r w:rsidRPr="00482AA5">
              <w:rPr>
                <w:rFonts w:ascii="FrankRuehl" w:hAnsi="FrankRuehl" w:cs="FrankRuehl"/>
                <w:noProof w:val="0"/>
                <w:color w:val="FFFFFF"/>
                <w:sz w:val="2"/>
                <w:szCs w:val="2"/>
                <w:rtl/>
              </w:rPr>
              <w:lastRenderedPageBreak/>
              <w:t>54678313</w:t>
            </w:r>
            <w:r w:rsidR="00B00693" w:rsidRPr="00482AA5">
              <w:rPr>
                <w:rFonts w:ascii="FrankRuehl" w:hAnsi="FrankRuehl" w:cs="FrankRuehl" w:hint="cs"/>
                <w:noProof w:val="0"/>
                <w:sz w:val="28"/>
                <w:szCs w:val="28"/>
                <w:rtl/>
              </w:rPr>
              <w:t xml:space="preserve">ש ו פ ט ת </w:t>
            </w:r>
          </w:p>
        </w:tc>
        <w:tc>
          <w:tcPr>
            <w:tcW w:w="2766" w:type="dxa"/>
            <w:shd w:val="clear" w:color="auto" w:fill="auto"/>
          </w:tcPr>
          <w:p w14:paraId="25BB2D82" w14:textId="77777777" w:rsidR="00E90C45" w:rsidRPr="00482AA5" w:rsidRDefault="00B00693" w:rsidP="00482AA5">
            <w:pPr>
              <w:spacing w:line="360" w:lineRule="auto"/>
              <w:jc w:val="center"/>
              <w:rPr>
                <w:rFonts w:ascii="FrankRuehl" w:hAnsi="FrankRuehl" w:cs="FrankRuehl"/>
                <w:noProof w:val="0"/>
                <w:sz w:val="28"/>
                <w:szCs w:val="28"/>
                <w:rtl/>
              </w:rPr>
            </w:pPr>
            <w:r w:rsidRPr="00482AA5">
              <w:rPr>
                <w:rFonts w:ascii="FrankRuehl" w:hAnsi="FrankRuehl" w:cs="FrankRuehl" w:hint="cs"/>
                <w:noProof w:val="0"/>
                <w:sz w:val="28"/>
                <w:szCs w:val="28"/>
                <w:rtl/>
              </w:rPr>
              <w:t xml:space="preserve">ש ו פ ט </w:t>
            </w:r>
          </w:p>
        </w:tc>
        <w:tc>
          <w:tcPr>
            <w:tcW w:w="2766" w:type="dxa"/>
            <w:shd w:val="clear" w:color="auto" w:fill="auto"/>
          </w:tcPr>
          <w:p w14:paraId="18CDA17B" w14:textId="77777777" w:rsidR="00E90C45" w:rsidRPr="00482AA5" w:rsidRDefault="00B00693" w:rsidP="00482AA5">
            <w:pPr>
              <w:spacing w:line="360" w:lineRule="auto"/>
              <w:jc w:val="center"/>
              <w:rPr>
                <w:rFonts w:ascii="FrankRuehl" w:hAnsi="FrankRuehl" w:cs="FrankRuehl"/>
                <w:noProof w:val="0"/>
                <w:sz w:val="28"/>
                <w:szCs w:val="28"/>
                <w:rtl/>
              </w:rPr>
            </w:pPr>
            <w:r w:rsidRPr="00482AA5">
              <w:rPr>
                <w:rFonts w:ascii="FrankRuehl" w:hAnsi="FrankRuehl" w:cs="FrankRuehl" w:hint="cs"/>
                <w:noProof w:val="0"/>
                <w:sz w:val="28"/>
                <w:szCs w:val="28"/>
                <w:rtl/>
              </w:rPr>
              <w:t xml:space="preserve">ש ו פ ט </w:t>
            </w:r>
          </w:p>
        </w:tc>
      </w:tr>
    </w:tbl>
    <w:p w14:paraId="7E4E4796" w14:textId="77777777" w:rsidR="00E90C45" w:rsidRPr="00105E0F" w:rsidRDefault="00E90C45" w:rsidP="00E90C45">
      <w:pPr>
        <w:spacing w:line="360" w:lineRule="auto"/>
        <w:jc w:val="both"/>
        <w:rPr>
          <w:rFonts w:ascii="FrankRuehl" w:hAnsi="FrankRuehl" w:cs="FrankRuehl"/>
          <w:noProof w:val="0"/>
          <w:sz w:val="28"/>
          <w:szCs w:val="28"/>
          <w:rtl/>
        </w:rPr>
      </w:pPr>
    </w:p>
    <w:p w14:paraId="1C1D47DF" w14:textId="77777777" w:rsidR="00C43648" w:rsidRPr="00105E0F" w:rsidRDefault="00C43648" w:rsidP="00BD6531">
      <w:pPr>
        <w:tabs>
          <w:tab w:val="left" w:pos="2553"/>
        </w:tabs>
        <w:ind w:left="5040"/>
        <w:rPr>
          <w:rFonts w:ascii="FrankRuehl" w:hAnsi="FrankRuehl" w:cs="FrankRuehl"/>
          <w:sz w:val="28"/>
          <w:szCs w:val="28"/>
          <w:rtl/>
        </w:rPr>
      </w:pPr>
    </w:p>
    <w:p w14:paraId="2A5AEB96" w14:textId="77777777" w:rsidR="00694556" w:rsidRPr="00482AA5" w:rsidRDefault="00BD6531" w:rsidP="00482AA5">
      <w:pPr>
        <w:keepNext/>
        <w:tabs>
          <w:tab w:val="left" w:pos="2553"/>
        </w:tabs>
        <w:rPr>
          <w:rFonts w:ascii="David" w:hAnsi="David"/>
          <w:noProof w:val="0"/>
          <w:color w:val="000000"/>
          <w:sz w:val="22"/>
          <w:szCs w:val="22"/>
          <w:rtl/>
        </w:rPr>
      </w:pPr>
      <w:r w:rsidRPr="00105E0F">
        <w:rPr>
          <w:rFonts w:ascii="FrankRuehl" w:hAnsi="FrankRuehl" w:cs="FrankRuehl"/>
          <w:sz w:val="28"/>
          <w:szCs w:val="28"/>
          <w:rtl/>
        </w:rPr>
        <w:tab/>
      </w:r>
      <w:r w:rsidRPr="00105E0F">
        <w:rPr>
          <w:rFonts w:ascii="FrankRuehl" w:hAnsi="FrankRuehl" w:cs="FrankRuehl"/>
          <w:sz w:val="28"/>
          <w:szCs w:val="28"/>
          <w:rtl/>
        </w:rPr>
        <w:tab/>
      </w:r>
      <w:r w:rsidRPr="00105E0F">
        <w:rPr>
          <w:rFonts w:ascii="FrankRuehl" w:hAnsi="FrankRuehl" w:cs="FrankRuehl"/>
          <w:sz w:val="28"/>
          <w:szCs w:val="28"/>
          <w:rtl/>
        </w:rPr>
        <w:tab/>
      </w:r>
      <w:r w:rsidRPr="00105E0F">
        <w:rPr>
          <w:rFonts w:ascii="FrankRuehl" w:hAnsi="FrankRuehl" w:cs="FrankRuehl"/>
          <w:sz w:val="28"/>
          <w:szCs w:val="28"/>
          <w:rtl/>
        </w:rPr>
        <w:tab/>
        <w:t xml:space="preserve">        </w:t>
      </w:r>
    </w:p>
    <w:p w14:paraId="2069A500" w14:textId="77777777" w:rsidR="00482AA5" w:rsidRPr="00482AA5" w:rsidRDefault="00482AA5" w:rsidP="00482AA5">
      <w:pPr>
        <w:tabs>
          <w:tab w:val="left" w:pos="2553"/>
        </w:tabs>
        <w:jc w:val="center"/>
        <w:rPr>
          <w:rFonts w:ascii="FrankRuehl" w:hAnsi="FrankRuehl"/>
          <w:noProof w:val="0"/>
          <w:color w:val="0000FF"/>
          <w:sz w:val="28"/>
          <w:u w:val="single"/>
          <w:rtl/>
        </w:rPr>
      </w:pPr>
    </w:p>
    <w:sectPr w:rsidR="00482AA5" w:rsidRPr="00482AA5" w:rsidSect="00482AA5">
      <w:headerReference w:type="even" r:id="rId99"/>
      <w:headerReference w:type="default" r:id="rId100"/>
      <w:footerReference w:type="even" r:id="rId101"/>
      <w:footerReference w:type="default" r:id="rId102"/>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3BC36" w14:textId="77777777" w:rsidR="004C7A4B" w:rsidRDefault="004C7A4B">
      <w:r>
        <w:separator/>
      </w:r>
    </w:p>
  </w:endnote>
  <w:endnote w:type="continuationSeparator" w:id="0">
    <w:p w14:paraId="2163C66D" w14:textId="77777777" w:rsidR="004C7A4B" w:rsidRDefault="004C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F19FF" w14:textId="77777777" w:rsidR="006132F7" w:rsidRDefault="00000000" w:rsidP="00482AA5">
    <w:pPr>
      <w:pStyle w:val="a5"/>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12</w:t>
    </w:r>
    <w:r>
      <w:rPr>
        <w:rFonts w:ascii="FrankRuehl" w:hAnsi="FrankRuehl" w:cs="FrankRuehl"/>
        <w:rtl/>
      </w:rPr>
      <w:fldChar w:fldCharType="end"/>
    </w:r>
  </w:p>
  <w:p w14:paraId="4B653E6D" w14:textId="06D31376" w:rsidR="006132F7" w:rsidRPr="00482AA5" w:rsidRDefault="00405CD9" w:rsidP="00482AA5">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14:anchorId="6FCD2E7B" wp14:editId="57A5985D">
          <wp:extent cx="552450" cy="2286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7C940" w14:textId="77777777" w:rsidR="006132F7" w:rsidRDefault="00000000" w:rsidP="00482AA5">
    <w:pPr>
      <w:pStyle w:val="a5"/>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sidR="00185797">
      <w:rPr>
        <w:rFonts w:ascii="FrankRuehl" w:hAnsi="FrankRuehl" w:cs="FrankRuehl"/>
        <w:noProof/>
        <w:rtl/>
      </w:rPr>
      <w:t>4</w:t>
    </w:r>
    <w:r>
      <w:rPr>
        <w:rFonts w:ascii="FrankRuehl" w:hAnsi="FrankRuehl" w:cs="FrankRuehl"/>
        <w:rtl/>
      </w:rPr>
      <w:fldChar w:fldCharType="end"/>
    </w:r>
  </w:p>
  <w:p w14:paraId="3A409A81" w14:textId="0401E8D7" w:rsidR="006132F7" w:rsidRPr="00482AA5" w:rsidRDefault="006132F7" w:rsidP="00482AA5">
    <w:pPr>
      <w:pStyle w:val="a5"/>
      <w:pBdr>
        <w:top w:val="single" w:sz="4" w:space="1" w:color="auto"/>
        <w:between w:val="single" w:sz="4" w:space="0" w:color="auto"/>
      </w:pBdr>
      <w:spacing w:after="60"/>
      <w:jc w:val="center"/>
      <w:rPr>
        <w:rFonts w:ascii="FrankRuehl" w:hAnsi="FrankRuehl" w:cs="FrankRueh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9BD73" w14:textId="77777777" w:rsidR="004C7A4B" w:rsidRDefault="004C7A4B">
      <w:r>
        <w:separator/>
      </w:r>
    </w:p>
  </w:footnote>
  <w:footnote w:type="continuationSeparator" w:id="0">
    <w:p w14:paraId="13BBF612" w14:textId="77777777" w:rsidR="004C7A4B" w:rsidRDefault="004C7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E50B1" w14:textId="77777777" w:rsidR="006132F7" w:rsidRPr="00482AA5" w:rsidRDefault="00000000" w:rsidP="00482AA5">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 xml:space="preserve">בעמ 420/24 </w:t>
    </w:r>
    <w:r>
      <w:rPr>
        <w:rFonts w:ascii="David" w:hAnsi="David"/>
        <w:color w:val="000000"/>
        <w:sz w:val="22"/>
        <w:szCs w:val="22"/>
        <w:rtl/>
      </w:rPr>
      <w:tab/>
      <w:t xml:space="preserve"> פלונית נ' פרקליטות המדינה - המחלקה האזרחית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0F10B" w14:textId="77777777" w:rsidR="006132F7" w:rsidRPr="00482AA5" w:rsidRDefault="00000000" w:rsidP="00482AA5">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9" w:name="_Hlk179428207"/>
    <w:bookmarkStart w:id="10" w:name="_Hlk179428208"/>
    <w:bookmarkStart w:id="11" w:name="_Hlk179428209"/>
    <w:bookmarkStart w:id="12" w:name="_Hlk179428210"/>
    <w:r>
      <w:rPr>
        <w:rFonts w:ascii="David" w:hAnsi="David"/>
        <w:color w:val="000000"/>
        <w:sz w:val="22"/>
        <w:szCs w:val="22"/>
        <w:rtl/>
      </w:rPr>
      <w:t xml:space="preserve">בעמ 420/24 </w:t>
    </w:r>
    <w:r>
      <w:rPr>
        <w:rFonts w:ascii="David" w:hAnsi="David"/>
        <w:color w:val="000000"/>
        <w:sz w:val="22"/>
        <w:szCs w:val="22"/>
        <w:rtl/>
      </w:rPr>
      <w:tab/>
      <w:t xml:space="preserve"> פלונית נ' פרקליטות המדינה - המחלקה האזרחית</w:t>
    </w:r>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6626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4F2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800B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C254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38B2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AA12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AFC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BAE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5C0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BC54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822C7392">
      <w:start w:val="1"/>
      <w:numFmt w:val="decimal"/>
      <w:pStyle w:val="Ruller4"/>
      <w:lvlText w:val="%1."/>
      <w:lvlJc w:val="left"/>
      <w:pPr>
        <w:tabs>
          <w:tab w:val="num" w:pos="907"/>
        </w:tabs>
        <w:ind w:left="0" w:firstLine="0"/>
      </w:pPr>
    </w:lvl>
    <w:lvl w:ilvl="1" w:tplc="1D9428DE">
      <w:start w:val="1"/>
      <w:numFmt w:val="lowerLetter"/>
      <w:lvlText w:val="%2."/>
      <w:lvlJc w:val="left"/>
      <w:pPr>
        <w:tabs>
          <w:tab w:val="num" w:pos="1440"/>
        </w:tabs>
        <w:ind w:left="1440" w:hanging="360"/>
      </w:pPr>
    </w:lvl>
    <w:lvl w:ilvl="2" w:tplc="10A6FBF8">
      <w:start w:val="1"/>
      <w:numFmt w:val="lowerRoman"/>
      <w:lvlText w:val="%3."/>
      <w:lvlJc w:val="right"/>
      <w:pPr>
        <w:tabs>
          <w:tab w:val="num" w:pos="2160"/>
        </w:tabs>
        <w:ind w:left="2160" w:hanging="180"/>
      </w:pPr>
    </w:lvl>
    <w:lvl w:ilvl="3" w:tplc="F5602EF8">
      <w:start w:val="1"/>
      <w:numFmt w:val="decimal"/>
      <w:lvlText w:val="%4."/>
      <w:lvlJc w:val="left"/>
      <w:pPr>
        <w:tabs>
          <w:tab w:val="num" w:pos="2880"/>
        </w:tabs>
        <w:ind w:left="2880" w:hanging="360"/>
      </w:pPr>
    </w:lvl>
    <w:lvl w:ilvl="4" w:tplc="3A28614A">
      <w:start w:val="1"/>
      <w:numFmt w:val="lowerLetter"/>
      <w:lvlText w:val="%5."/>
      <w:lvlJc w:val="left"/>
      <w:pPr>
        <w:tabs>
          <w:tab w:val="num" w:pos="3600"/>
        </w:tabs>
        <w:ind w:left="3600" w:hanging="360"/>
      </w:pPr>
    </w:lvl>
    <w:lvl w:ilvl="5" w:tplc="C4080380">
      <w:start w:val="1"/>
      <w:numFmt w:val="lowerRoman"/>
      <w:lvlText w:val="%6."/>
      <w:lvlJc w:val="right"/>
      <w:pPr>
        <w:tabs>
          <w:tab w:val="num" w:pos="4320"/>
        </w:tabs>
        <w:ind w:left="4320" w:hanging="180"/>
      </w:pPr>
    </w:lvl>
    <w:lvl w:ilvl="6" w:tplc="9B34BECA">
      <w:start w:val="1"/>
      <w:numFmt w:val="decimal"/>
      <w:lvlText w:val="%7."/>
      <w:lvlJc w:val="left"/>
      <w:pPr>
        <w:tabs>
          <w:tab w:val="num" w:pos="5040"/>
        </w:tabs>
        <w:ind w:left="5040" w:hanging="360"/>
      </w:pPr>
    </w:lvl>
    <w:lvl w:ilvl="7" w:tplc="F23222B8">
      <w:start w:val="1"/>
      <w:numFmt w:val="lowerLetter"/>
      <w:lvlText w:val="%8."/>
      <w:lvlJc w:val="left"/>
      <w:pPr>
        <w:tabs>
          <w:tab w:val="num" w:pos="5760"/>
        </w:tabs>
        <w:ind w:left="5760" w:hanging="360"/>
      </w:pPr>
    </w:lvl>
    <w:lvl w:ilvl="8" w:tplc="75523950">
      <w:start w:val="1"/>
      <w:numFmt w:val="lowerRoman"/>
      <w:lvlText w:val="%9."/>
      <w:lvlJc w:val="right"/>
      <w:pPr>
        <w:tabs>
          <w:tab w:val="num" w:pos="6480"/>
        </w:tabs>
        <w:ind w:left="6480" w:hanging="180"/>
      </w:pPr>
    </w:lvl>
  </w:abstractNum>
  <w:num w:numId="1" w16cid:durableId="597569427">
    <w:abstractNumId w:val="8"/>
  </w:num>
  <w:num w:numId="2" w16cid:durableId="1328052680">
    <w:abstractNumId w:val="3"/>
  </w:num>
  <w:num w:numId="3" w16cid:durableId="662782031">
    <w:abstractNumId w:val="2"/>
  </w:num>
  <w:num w:numId="4" w16cid:durableId="1825048442">
    <w:abstractNumId w:val="1"/>
  </w:num>
  <w:num w:numId="5" w16cid:durableId="863322948">
    <w:abstractNumId w:val="0"/>
  </w:num>
  <w:num w:numId="6" w16cid:durableId="1159156941">
    <w:abstractNumId w:val="9"/>
  </w:num>
  <w:num w:numId="7" w16cid:durableId="1101031453">
    <w:abstractNumId w:val="7"/>
  </w:num>
  <w:num w:numId="8" w16cid:durableId="1678726969">
    <w:abstractNumId w:val="6"/>
  </w:num>
  <w:num w:numId="9" w16cid:durableId="1158615162">
    <w:abstractNumId w:val="5"/>
  </w:num>
  <w:num w:numId="10" w16cid:durableId="237442969">
    <w:abstractNumId w:val="4"/>
  </w:num>
  <w:num w:numId="11" w16cid:durableId="14517790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ID" w:val="81828733"/>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81828733&amp;lt;/CaseID&amp;gt;_x000d__x000a_        &amp;lt;CaseMonth&amp;gt;1&amp;lt;/CaseMonth&amp;gt;_x000d__x000a_        &amp;lt;CaseYear&amp;gt;2024&amp;lt;/CaseYear&amp;gt;_x000d__x000a_        &amp;lt;CaseNumber&amp;gt;76880&amp;lt;/CaseNumber&amp;gt;_x000d__x000a_        &amp;lt;NumeratorGroupID&amp;gt;1&amp;lt;/NumeratorGroupID&amp;gt;_x000d__x000a_        &amp;lt;CaseName&amp;gt;גילי גרונר גוטמן (חסוי) נ&amp;#39; פרקליטות המדינה - המחלקה האזרחית &amp;lt;/CaseName&amp;gt;_x000d__x000a_        &amp;lt;CourtID&amp;gt;11&amp;lt;/CourtID&amp;gt;_x000d__x000a_        &amp;lt;CaseTypeID&amp;gt;103337&amp;lt;/CaseTypeID&amp;gt;_x000d__x000a_        &amp;lt;CaseInterestID&amp;gt;10739&amp;lt;/CaseInterestID&amp;gt;_x000d__x000a_        &amp;lt;CaseLinkTypeID&amp;gt;7&amp;lt;/CaseLinkTypeID&amp;gt;_x000d__x000a_        &amp;lt;ProcedureID&amp;gt;1&amp;lt;/ProcedureID&amp;gt;_x000d__x000a_        &amp;lt;PreviousCaseYear&amp;gt;2024&amp;lt;/PreviousCaseYear&amp;gt;_x000d__x000a_        &amp;lt;PreviousCaseNumber&amp;gt;420&amp;lt;/PreviousCaseNumber&amp;gt;_x000d__x000a_        &amp;lt;CaseStatusID&amp;gt;1&amp;lt;/CaseStatusID&amp;gt;_x000d__x000a_        &amp;lt;ProceedingID&amp;gt;1&amp;lt;/ProceedingID&amp;gt;_x000d__x000a_        &amp;lt;IsCaseLinked&amp;gt;true&amp;lt;/IsCaseLinked&amp;gt;_x000d__x000a_        &amp;lt;IsCaseConverted&amp;gt;true&amp;lt;/IsCaseConverted&amp;gt;_x000d__x000a_        &amp;lt;PrivilegeID&amp;gt;2&amp;lt;/PrivilegeID&amp;gt;_x000d__x000a_        &amp;lt;IsAppealingCaseExist&amp;gt;false&amp;lt;/IsAppealingCaseExist&amp;gt;_x000d__x000a_        &amp;lt;CaseDisplayIdentifier&amp;gt;420/24&amp;lt;/CaseDisplayIdentifier&amp;gt;_x000d__x000a_        &amp;lt;CaseTypeDesc&amp;gt;בע&amp;quot;מ&amp;lt;/CaseTypeDesc&amp;gt;_x000d__x000a_        &amp;lt;CourtDesc&amp;gt;העליון&amp;lt;/CourtDesc&amp;gt;_x000d__x000a_        &amp;lt;CaseStageDesc&amp;gt;תיק נייר מוסב&amp;lt;/CaseStageDesc&amp;gt;_x000d__x000a_        &amp;lt;IsUnpaidFeeExist&amp;gt;false&amp;lt;/IsUnpaidFeeExist&amp;gt;_x000d__x000a_        &amp;lt;CaseOpenDate&amp;gt;2024-01-14T00:00:00+02:00&amp;lt;/CaseOpenDate&amp;gt;_x000d__x000a_        &amp;lt;PleaTypeID&amp;gt;364&amp;lt;/PleaTypeID&amp;gt;_x000d__x000a_        &amp;lt;CourtLevelID&amp;gt;3&amp;lt;/CourtLevelID&amp;gt;_x000d__x000a_        &amp;lt;CourtLevelCaseTypeInterestID&amp;gt;2469&amp;lt;/CourtLevelCaseTypeInterestID&amp;gt;_x000d__x000a_        &amp;lt;IsJudicalPanel&amp;gt;false&amp;lt;/IsJudicalPanel&amp;gt;_x000d__x000a_        &amp;lt;CourtDisplayName&amp;gt;בית המשפט העליון&amp;lt;/CourtDisplayName&amp;gt;_x000d__x000a_        &amp;lt;IsAllStartDataCollected&amp;gt;true&amp;lt;/IsAllStartDataCollected&amp;gt;_x000d__x000a_        &amp;lt;IsMainCase&amp;gt;true&amp;lt;/IsMainCase&amp;gt;_x000d__x000a_        &amp;lt;PreviousCourtID&amp;gt;1&amp;lt;/PreviousCourtID&amp;gt;_x000d__x000a_        &amp;lt;PreviousCaseTypeID&amp;gt;126&amp;lt;/PreviousCaseTypeID&amp;gt;_x000d__x000a_        &amp;lt;CaseDesc&amp;gt;התקבלו עותקים נוספים מתשובה לרשות הערעור&amp;lt;/CaseDesc&amp;gt;_x000d__x000a_        &amp;lt;isExistMinorSide&amp;gt;false&amp;lt;/isExistMinorSide&amp;gt;_x000d__x000a_        &amp;lt;isExistMinorWitness&amp;gt;false&amp;lt;/isExistMinorWitness&amp;gt;_x000d__x000a_        &amp;lt;PreviousCaseIdentifier&amp;gt;20240004200&amp;lt;/PreviousCaseIdentifier&amp;gt;_x000d__x000a_        &amp;lt;IsAccessibilityRequired&amp;gt;false&amp;lt;/IsAccessibilityRequired&amp;gt;_x000d__x000a_        &amp;lt;IsDecisionTypeZaveElyon&amp;gt;false&amp;lt;/IsDecisionTypeZaveElyon&amp;gt;_x000d__x000a_        &amp;lt;IsFeePaid&amp;gt;fals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PreviousSerialNumber&amp;gt;0&amp;lt;/PreviousSerialNumber&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81828733&amp;lt;/CaseID&amp;gt;_x000d__x000a_        &amp;lt;CaseMonth&amp;gt;1&amp;lt;/CaseMonth&amp;gt;_x000d__x000a_        &amp;lt;CaseYear&amp;gt;2024&amp;lt;/CaseYear&amp;gt;_x000d__x000a_        &amp;lt;CaseNumber&amp;gt;76880&amp;lt;/CaseNumber&amp;gt;_x000d__x000a_        &amp;lt;NumeratorGroupID&amp;gt;1&amp;lt;/NumeratorGroupID&amp;gt;_x000d__x000a_        &amp;lt;CaseName&amp;gt;גילי גרונר גוטמן (חסוי) נ&amp;#39; פרקליטות המדינה - המחלקה האזרחית &amp;lt;/CaseName&amp;gt;_x000d__x000a_        &amp;lt;CourtID&amp;gt;11&amp;lt;/CourtID&amp;gt;_x000d__x000a_        &amp;lt;CaseTypeID&amp;gt;103337&amp;lt;/CaseTypeID&amp;gt;_x000d__x000a_        &amp;lt;CaseInterestID&amp;gt;10739&amp;lt;/CaseInterestID&amp;gt;_x000d__x000a_        &amp;lt;CaseLinkTypeID&amp;gt;7&amp;lt;/CaseLinkTypeID&amp;gt;_x000d__x000a_        &amp;lt;ProcedureID&amp;gt;1&amp;lt;/ProcedureID&amp;gt;_x000d__x000a_        &amp;lt;PreviousCaseYear&amp;gt;2024&amp;lt;/PreviousCaseYear&amp;gt;_x000d__x000a_        &amp;lt;PreviousCaseNumber&amp;gt;420&amp;lt;/PreviousCaseNumber&amp;gt;_x000d__x000a_        &amp;lt;CaseStatusID&amp;gt;1&amp;lt;/CaseStatusID&amp;gt;_x000d__x000a_        &amp;lt;ProceedingID&amp;gt;1&amp;lt;/ProceedingID&amp;gt;_x000d__x000a_        &amp;lt;IsCaseLinked&amp;gt;true&amp;lt;/IsCaseLinked&amp;gt;_x000d__x000a_        &amp;lt;IsCaseConverted&amp;gt;true&amp;lt;/IsCaseConverted&amp;gt;_x000d__x000a_        &amp;lt;PrivilegeID&amp;gt;2&amp;lt;/PrivilegeID&amp;gt;_x000d__x000a_        &amp;lt;IsAppealingCaseExist&amp;gt;false&amp;lt;/IsAppealingCaseExist&amp;gt;_x000d__x000a_        &amp;lt;CaseDisplayIdentifier&amp;gt;420/24&amp;lt;/CaseDisplayIdentifier&amp;gt;_x000d__x000a_        &amp;lt;CaseTypeDesc&amp;gt;בע&amp;quot;מ&amp;lt;/CaseTypeDesc&amp;gt;_x000d__x000a_        &amp;lt;CourtDesc&amp;gt;העליון&amp;lt;/CourtDesc&amp;gt;_x000d__x000a_        &amp;lt;CaseStageDesc&amp;gt;תיק נייר מוסב&amp;lt;/CaseStageDesc&amp;gt;_x000d__x000a_        &amp;lt;CaseOpenDate&amp;gt;2024-01-14T00:00:00+02:00&amp;lt;/CaseOpenDate&amp;gt;_x000d__x000a_        &amp;lt;PleaTypeID&amp;gt;364&amp;lt;/PleaTypeID&amp;gt;_x000d__x000a_        &amp;lt;CourtLevelID&amp;gt;3&amp;lt;/CourtLevelID&amp;gt;_x000d__x000a_        &amp;lt;CourtLevelCaseTypeInterestID&amp;gt;2469&amp;lt;/CourtLevelCaseTypeInterestID&amp;gt;_x000d__x000a_        &amp;lt;IsJudicalPanel&amp;gt;false&amp;lt;/IsJudicalPanel&amp;gt;_x000d__x000a_        &amp;lt;CourtDisplayName&amp;gt;בית המשפט העליון&amp;lt;/CourtDisplayName&amp;gt;_x000d__x000a_        &amp;lt;IsAllStartDataCollected&amp;gt;true&amp;lt;/IsAllStartDataCollected&amp;gt;_x000d__x000a_        &amp;lt;IsMainCase&amp;gt;true&amp;lt;/IsMainCase&amp;gt;_x000d__x000a_        &amp;lt;PreviousCourtID&amp;gt;1&amp;lt;/PreviousCourtID&amp;gt;_x000d__x000a_        &amp;lt;PreviousCaseTypeID&amp;gt;126&amp;lt;/PreviousCaseTypeID&amp;gt;_x000d__x000a_        &amp;lt;CaseDesc&amp;gt;התקבלו עותקים נוספים מתשובה לרשות הערעור&amp;lt;/CaseDesc&amp;gt;_x000d__x000a_        &amp;lt;PreviousCaseIdentifier&amp;gt;20240004200&amp;lt;/PreviousCaseIdentifier&amp;gt;_x000d__x000a_        &amp;lt;IsAccessibilityRequired&amp;gt;false&amp;lt;/IsAccessibilityRequired&amp;gt;_x000d__x000a_        &amp;lt;IsCasePredictedToAge&amp;gt;0&amp;lt;/IsCasePredictedToAge&amp;gt;_x000d__x000a_        &amp;lt;PendingWebSubmissionsQty&amp;gt;0&amp;lt;/PendingWebSubmissionsQty&amp;gt;_x000d__x000a_        &amp;lt;PreviousSerialNumber&amp;gt;0&amp;lt;/PreviousSerialNumber&amp;gt;_x000d__x000a_      &amp;lt;/CasePresentationDataSet&amp;gt;_x000d__x000a_    &amp;lt;/diffgr:before&amp;gt;_x000d__x000a_  &amp;lt;/diffgr:diffgram&amp;gt;_x000d__x000a_&amp;lt;/CasePresentationDS&amp;gt;"/>
    <w:docVar w:name="CourtID" w:val="11"/>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4984672&amp;lt;/DecisionID&amp;gt;_x000d__x000a_        &amp;lt;DecisionName&amp;gt;פסק דין  שניתנה ע&amp;quot;י  יעל וילנר&amp;lt;/DecisionName&amp;gt;_x000d__x000a_        &amp;lt;DecisionStatusID&amp;gt;1&amp;lt;/DecisionStatusID&amp;gt;_x000d__x000a_        &amp;lt;DecisionStatusChangeDate&amp;gt;2024-09-29T17:46:55.793+03:00&amp;lt;/DecisionStatusChangeDate&amp;gt;_x000d__x000a_        &amp;lt;DecisionSignatureDate&amp;gt;2024-09-29T15:20:35.013+03:00&amp;lt;/DecisionSignatureDate&amp;gt;_x000d__x000a_        &amp;lt;DecisionSignatureUserID&amp;gt;056062730@GOV.IL&amp;lt;/DecisionSignatureUserID&amp;gt;_x000d__x000a_        &amp;lt;DecisionCreateDate&amp;gt;2024-09-18T09:59:27.23+03:00&amp;lt;/DecisionCreateDate&amp;gt;_x000d__x000a_        &amp;lt;DecisionChangeDate&amp;gt;2024-09-29T17:46:55.917+03:00&amp;lt;/DecisionChangeDate&amp;gt;_x000d__x000a_        &amp;lt;DecisionChangeUserID&amp;gt;056062730@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55533652&amp;lt;/DocumentID&amp;gt;_x000d__x000a_        &amp;lt;PrivilegeID&amp;gt;2&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6062730@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37305471@GOV.IL&amp;lt;/DecisionCreationUserID&amp;gt;_x000d__x000a_        &amp;lt;DecisionDisplayName&amp;gt;פסק דין  שניתנה ע&amp;quot;י  יעל וילנר&amp;lt;/DecisionDisplayName&amp;gt;_x000d__x000a_        &amp;lt;IsScanned&amp;gt;false&amp;lt;/IsScanned&amp;gt;_x000d__x000a_        &amp;lt;DecisionSignatureUserName&amp;gt;יעל וילנר&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4&amp;lt;/DecisionNumberInCase&amp;gt;_x000d__x000a_        &amp;lt;DecisionMeetingDate&amp;gt;2024-09-18T00:00:00+03:00&amp;lt;/DecisionMeetingDate&amp;gt;_x000d__x000a_      &amp;lt;/dt_Decision&amp;gt;_x000d__x000a_      &amp;lt;dt_DecisionCase diffgr:id=&amp;quot;dt_DecisionCase1&amp;quot; msdata:rowOrder=&amp;quot;0&amp;quot;&amp;gt;_x000d__x000a_        &amp;lt;DecisionID&amp;gt;154984672&amp;lt;/DecisionID&amp;gt;_x000d__x000a_        &amp;lt;CaseID&amp;gt;81828733&amp;lt;/CaseID&amp;gt;_x000d__x000a_        &amp;lt;IsOriginal&amp;gt;true&amp;lt;/IsOriginal&amp;gt;_x000d__x000a_        &amp;lt;IsDeleted&amp;gt;false&amp;lt;/IsDeleted&amp;gt;_x000d__x000a_        &amp;lt;CaseName&amp;gt;גילי גרונר גוטמן (חסוי) נ&amp;#39; פרקליטות המדינה - המחלקה האזרחית &amp;lt;/CaseName&amp;gt;_x000d__x000a_        &amp;lt;CaseDisplayIdentifier&amp;gt;בע&amp;quot;מ 420/24&amp;lt;/CaseDisplayIdentifier&amp;gt;_x000d__x000a_      &amp;lt;/dt_DecisionCase&amp;gt;_x000d__x000a_    &amp;lt;/DecisionDS&amp;gt;_x000d__x000a_  &amp;lt;/diffgr:diffgram&amp;gt;_x000d__x000a_&amp;lt;/DecisionDS&amp;gt;"/>
    <w:docVar w:name="DecisionID" w:val="154984672"/>
    <w:docVar w:name="MyInfo" w:val="This document was extracted from Nevo's site"/>
    <w:docVar w:name="WordClientAssemblyName" w:val="NGCS.Decision.ClientWordBL"/>
    <w:docVar w:name="WordClientClassName" w:val="NGCS.Decision.ClientWordBL.DecisionClient"/>
  </w:docVars>
  <w:rsids>
    <w:rsidRoot w:val="00694556"/>
    <w:rsid w:val="00000062"/>
    <w:rsid w:val="0000226B"/>
    <w:rsid w:val="00005C8B"/>
    <w:rsid w:val="00007DE0"/>
    <w:rsid w:val="00034082"/>
    <w:rsid w:val="000346CC"/>
    <w:rsid w:val="000529D2"/>
    <w:rsid w:val="000529F0"/>
    <w:rsid w:val="0005424E"/>
    <w:rsid w:val="000564AB"/>
    <w:rsid w:val="00064FBD"/>
    <w:rsid w:val="00082AB2"/>
    <w:rsid w:val="000906FE"/>
    <w:rsid w:val="00096AF7"/>
    <w:rsid w:val="000B1A79"/>
    <w:rsid w:val="000B344B"/>
    <w:rsid w:val="000C3B0F"/>
    <w:rsid w:val="000C3B60"/>
    <w:rsid w:val="000E0DD2"/>
    <w:rsid w:val="000E12EA"/>
    <w:rsid w:val="000E18F9"/>
    <w:rsid w:val="000E3AF1"/>
    <w:rsid w:val="000F0BC8"/>
    <w:rsid w:val="000F0DD6"/>
    <w:rsid w:val="00103959"/>
    <w:rsid w:val="00105E0F"/>
    <w:rsid w:val="00107E6D"/>
    <w:rsid w:val="0011194C"/>
    <w:rsid w:val="0011424C"/>
    <w:rsid w:val="001173C6"/>
    <w:rsid w:val="001367BC"/>
    <w:rsid w:val="00144D2A"/>
    <w:rsid w:val="0014653E"/>
    <w:rsid w:val="00170A70"/>
    <w:rsid w:val="00180519"/>
    <w:rsid w:val="00185797"/>
    <w:rsid w:val="00190BC1"/>
    <w:rsid w:val="00191C82"/>
    <w:rsid w:val="00193B4B"/>
    <w:rsid w:val="001C4003"/>
    <w:rsid w:val="001C74C7"/>
    <w:rsid w:val="001D4DBF"/>
    <w:rsid w:val="001E75CA"/>
    <w:rsid w:val="00225416"/>
    <w:rsid w:val="002265FF"/>
    <w:rsid w:val="00235B97"/>
    <w:rsid w:val="00261FEE"/>
    <w:rsid w:val="00270C62"/>
    <w:rsid w:val="00271B56"/>
    <w:rsid w:val="00275E20"/>
    <w:rsid w:val="00286B0C"/>
    <w:rsid w:val="002A1B48"/>
    <w:rsid w:val="002C344E"/>
    <w:rsid w:val="002D5109"/>
    <w:rsid w:val="002E75E9"/>
    <w:rsid w:val="002F0B1E"/>
    <w:rsid w:val="00307A6A"/>
    <w:rsid w:val="00307C40"/>
    <w:rsid w:val="00320433"/>
    <w:rsid w:val="003230C7"/>
    <w:rsid w:val="00327E50"/>
    <w:rsid w:val="0033597A"/>
    <w:rsid w:val="00343D89"/>
    <w:rsid w:val="00344344"/>
    <w:rsid w:val="00362612"/>
    <w:rsid w:val="0036743F"/>
    <w:rsid w:val="00367B06"/>
    <w:rsid w:val="003715DD"/>
    <w:rsid w:val="003823E0"/>
    <w:rsid w:val="003A4521"/>
    <w:rsid w:val="003B3E8D"/>
    <w:rsid w:val="003D1C8C"/>
    <w:rsid w:val="0040096C"/>
    <w:rsid w:val="00405CD9"/>
    <w:rsid w:val="00414F1F"/>
    <w:rsid w:val="0043125D"/>
    <w:rsid w:val="0043502B"/>
    <w:rsid w:val="004443AC"/>
    <w:rsid w:val="00444748"/>
    <w:rsid w:val="00444B02"/>
    <w:rsid w:val="00451E28"/>
    <w:rsid w:val="00462C62"/>
    <w:rsid w:val="00465D36"/>
    <w:rsid w:val="004766F4"/>
    <w:rsid w:val="00482AA5"/>
    <w:rsid w:val="00487C45"/>
    <w:rsid w:val="004C17EE"/>
    <w:rsid w:val="004C4BDF"/>
    <w:rsid w:val="004C7A4B"/>
    <w:rsid w:val="004D1187"/>
    <w:rsid w:val="004D3AA0"/>
    <w:rsid w:val="004E1987"/>
    <w:rsid w:val="004E2E15"/>
    <w:rsid w:val="004E6E3C"/>
    <w:rsid w:val="00511B90"/>
    <w:rsid w:val="00520898"/>
    <w:rsid w:val="00523621"/>
    <w:rsid w:val="00524986"/>
    <w:rsid w:val="005268F6"/>
    <w:rsid w:val="00534284"/>
    <w:rsid w:val="00541EBD"/>
    <w:rsid w:val="0054305A"/>
    <w:rsid w:val="00547DB7"/>
    <w:rsid w:val="005C0627"/>
    <w:rsid w:val="005F003A"/>
    <w:rsid w:val="005F40C0"/>
    <w:rsid w:val="005F4F09"/>
    <w:rsid w:val="006132F7"/>
    <w:rsid w:val="0061431B"/>
    <w:rsid w:val="00616AE2"/>
    <w:rsid w:val="00622BAA"/>
    <w:rsid w:val="006306CF"/>
    <w:rsid w:val="006318D8"/>
    <w:rsid w:val="006439E7"/>
    <w:rsid w:val="00644E9A"/>
    <w:rsid w:val="00671BD5"/>
    <w:rsid w:val="006805C1"/>
    <w:rsid w:val="006833AE"/>
    <w:rsid w:val="00686C21"/>
    <w:rsid w:val="006931C1"/>
    <w:rsid w:val="00694556"/>
    <w:rsid w:val="006B7258"/>
    <w:rsid w:val="006C30C5"/>
    <w:rsid w:val="006D3B31"/>
    <w:rsid w:val="006E0D96"/>
    <w:rsid w:val="006E1A53"/>
    <w:rsid w:val="006E3673"/>
    <w:rsid w:val="006F56E6"/>
    <w:rsid w:val="00704EDA"/>
    <w:rsid w:val="00721122"/>
    <w:rsid w:val="00734689"/>
    <w:rsid w:val="00743F8C"/>
    <w:rsid w:val="007447C7"/>
    <w:rsid w:val="00753019"/>
    <w:rsid w:val="00754801"/>
    <w:rsid w:val="00761441"/>
    <w:rsid w:val="00795365"/>
    <w:rsid w:val="007A351D"/>
    <w:rsid w:val="007B7765"/>
    <w:rsid w:val="007C5BDD"/>
    <w:rsid w:val="007D45E3"/>
    <w:rsid w:val="007E6115"/>
    <w:rsid w:val="007F4609"/>
    <w:rsid w:val="00814468"/>
    <w:rsid w:val="008176A1"/>
    <w:rsid w:val="00820005"/>
    <w:rsid w:val="00841158"/>
    <w:rsid w:val="00844318"/>
    <w:rsid w:val="00851257"/>
    <w:rsid w:val="00863F5D"/>
    <w:rsid w:val="008670F1"/>
    <w:rsid w:val="00870890"/>
    <w:rsid w:val="00873602"/>
    <w:rsid w:val="00875D12"/>
    <w:rsid w:val="0088479D"/>
    <w:rsid w:val="00891F42"/>
    <w:rsid w:val="00896889"/>
    <w:rsid w:val="008A59EE"/>
    <w:rsid w:val="008A6E97"/>
    <w:rsid w:val="008C5714"/>
    <w:rsid w:val="008D10B2"/>
    <w:rsid w:val="00903896"/>
    <w:rsid w:val="00906F3D"/>
    <w:rsid w:val="00940C1C"/>
    <w:rsid w:val="0094424E"/>
    <w:rsid w:val="00955642"/>
    <w:rsid w:val="00960758"/>
    <w:rsid w:val="009622DF"/>
    <w:rsid w:val="0096493F"/>
    <w:rsid w:val="00967DB8"/>
    <w:rsid w:val="00967DFF"/>
    <w:rsid w:val="0098527B"/>
    <w:rsid w:val="00994341"/>
    <w:rsid w:val="009D1A48"/>
    <w:rsid w:val="009E1CE7"/>
    <w:rsid w:val="009E4EA5"/>
    <w:rsid w:val="009F164B"/>
    <w:rsid w:val="009F323C"/>
    <w:rsid w:val="00A22924"/>
    <w:rsid w:val="00A3392B"/>
    <w:rsid w:val="00A81988"/>
    <w:rsid w:val="00A85E34"/>
    <w:rsid w:val="00A87DF6"/>
    <w:rsid w:val="00A9144F"/>
    <w:rsid w:val="00A94B64"/>
    <w:rsid w:val="00AA3229"/>
    <w:rsid w:val="00AA7596"/>
    <w:rsid w:val="00AB5E52"/>
    <w:rsid w:val="00AC3B02"/>
    <w:rsid w:val="00AC3B7B"/>
    <w:rsid w:val="00AC5209"/>
    <w:rsid w:val="00AD433B"/>
    <w:rsid w:val="00AE0E34"/>
    <w:rsid w:val="00AE729E"/>
    <w:rsid w:val="00AE7752"/>
    <w:rsid w:val="00AF7FDA"/>
    <w:rsid w:val="00B00693"/>
    <w:rsid w:val="00B27E99"/>
    <w:rsid w:val="00B5356E"/>
    <w:rsid w:val="00B62AD7"/>
    <w:rsid w:val="00B66717"/>
    <w:rsid w:val="00B77019"/>
    <w:rsid w:val="00B809AD"/>
    <w:rsid w:val="00B80CBD"/>
    <w:rsid w:val="00B86096"/>
    <w:rsid w:val="00B95D6E"/>
    <w:rsid w:val="00B964D9"/>
    <w:rsid w:val="00BA0A7C"/>
    <w:rsid w:val="00BA517C"/>
    <w:rsid w:val="00BB3D05"/>
    <w:rsid w:val="00BB73BE"/>
    <w:rsid w:val="00BC2D89"/>
    <w:rsid w:val="00BD6531"/>
    <w:rsid w:val="00BE05B2"/>
    <w:rsid w:val="00BF1908"/>
    <w:rsid w:val="00BF76BE"/>
    <w:rsid w:val="00C05869"/>
    <w:rsid w:val="00C22D93"/>
    <w:rsid w:val="00C23458"/>
    <w:rsid w:val="00C31120"/>
    <w:rsid w:val="00C34482"/>
    <w:rsid w:val="00C43648"/>
    <w:rsid w:val="00C50A9F"/>
    <w:rsid w:val="00C61238"/>
    <w:rsid w:val="00C642FA"/>
    <w:rsid w:val="00C9217F"/>
    <w:rsid w:val="00C92FFC"/>
    <w:rsid w:val="00CA4C49"/>
    <w:rsid w:val="00CC7622"/>
    <w:rsid w:val="00CD516B"/>
    <w:rsid w:val="00CD608F"/>
    <w:rsid w:val="00CE0084"/>
    <w:rsid w:val="00CF403E"/>
    <w:rsid w:val="00CF6BB7"/>
    <w:rsid w:val="00D04AA4"/>
    <w:rsid w:val="00D20565"/>
    <w:rsid w:val="00D27982"/>
    <w:rsid w:val="00D33B86"/>
    <w:rsid w:val="00D44968"/>
    <w:rsid w:val="00D53924"/>
    <w:rsid w:val="00D55D0C"/>
    <w:rsid w:val="00D96D8C"/>
    <w:rsid w:val="00DA3E20"/>
    <w:rsid w:val="00DA6649"/>
    <w:rsid w:val="00DC1259"/>
    <w:rsid w:val="00DC1BD2"/>
    <w:rsid w:val="00DC2571"/>
    <w:rsid w:val="00DC487C"/>
    <w:rsid w:val="00DC792F"/>
    <w:rsid w:val="00DD4335"/>
    <w:rsid w:val="00DE1E7D"/>
    <w:rsid w:val="00DE6BF6"/>
    <w:rsid w:val="00E1068A"/>
    <w:rsid w:val="00E25884"/>
    <w:rsid w:val="00E25B55"/>
    <w:rsid w:val="00E311E6"/>
    <w:rsid w:val="00E31C2B"/>
    <w:rsid w:val="00E5426A"/>
    <w:rsid w:val="00E54642"/>
    <w:rsid w:val="00E80CBE"/>
    <w:rsid w:val="00E90C45"/>
    <w:rsid w:val="00E9269D"/>
    <w:rsid w:val="00E962E3"/>
    <w:rsid w:val="00EB6C79"/>
    <w:rsid w:val="00EC37E9"/>
    <w:rsid w:val="00F038D8"/>
    <w:rsid w:val="00F04920"/>
    <w:rsid w:val="00F06995"/>
    <w:rsid w:val="00F12D66"/>
    <w:rsid w:val="00F13623"/>
    <w:rsid w:val="00F14E68"/>
    <w:rsid w:val="00F30D54"/>
    <w:rsid w:val="00F44D1D"/>
    <w:rsid w:val="00F6069E"/>
    <w:rsid w:val="00F84B6D"/>
    <w:rsid w:val="00F856E6"/>
    <w:rsid w:val="00F957E8"/>
    <w:rsid w:val="00FA311A"/>
    <w:rsid w:val="00FA5FDA"/>
    <w:rsid w:val="00FA7FD0"/>
    <w:rsid w:val="00FB6AB3"/>
    <w:rsid w:val="00FB7A67"/>
    <w:rsid w:val="00FD1419"/>
    <w:rsid w:val="00FD22A7"/>
    <w:rsid w:val="00FD2FE3"/>
    <w:rsid w:val="00FD79E4"/>
    <w:rsid w:val="00FE09EC"/>
    <w:rsid w:val="00FE2894"/>
    <w:rsid w:val="00FF331B"/>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0E34"/>
  <w15:docId w15:val="{EFCBB975-E53A-4AFF-9E3B-A0FF53A1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figures" w:semiHidden="1" w:unhideWhenUsed="1"/>
    <w:lsdException w:name="table of authorities"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nhideWhenUsed="1"/>
    <w:lsdException w:name="Subtitle" w:qFormat="1"/>
    <w:lsdException w:name="Strong" w:qFormat="1"/>
    <w:lsdException w:name="Emphasis" w:qFormat="1"/>
    <w:lsdException w:name="HTML Top of Form" w:semiHidden="1" w:unhideWhenUsed="1"/>
    <w:lsdException w:name="HTML Bottom of Form" w:semiHidden="1" w:unhideWhenUsed="1"/>
    <w:lsdException w:name="HTML Acronym" w:semiHidden="1" w:unhideWhenUsed="1"/>
    <w:lsdException w:name="HTML Keyboard"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lang w:bidi="he-IL"/>
    </w:rPr>
  </w:style>
  <w:style w:type="paragraph" w:styleId="1">
    <w:name w:val="heading 1"/>
    <w:basedOn w:val="a"/>
    <w:next w:val="a"/>
    <w:link w:val="10"/>
    <w:qFormat/>
    <w:rsid w:val="00FF331B"/>
    <w:pPr>
      <w:keepNext/>
      <w:keepLines/>
      <w:spacing w:before="240"/>
      <w:outlineLvl w:val="0"/>
    </w:pPr>
    <w:rPr>
      <w:rFonts w:ascii="Cambria" w:hAnsi="Cambria" w:cs="Times New Roman"/>
      <w:noProof w:val="0"/>
      <w:color w:val="365F91"/>
      <w:sz w:val="32"/>
      <w:szCs w:val="32"/>
    </w:rPr>
  </w:style>
  <w:style w:type="paragraph" w:styleId="2">
    <w:name w:val="heading 2"/>
    <w:basedOn w:val="a"/>
    <w:next w:val="a"/>
    <w:link w:val="20"/>
    <w:qFormat/>
    <w:rsid w:val="00FF331B"/>
    <w:pPr>
      <w:keepNext/>
      <w:keepLines/>
      <w:spacing w:before="40"/>
      <w:outlineLvl w:val="1"/>
    </w:pPr>
    <w:rPr>
      <w:rFonts w:ascii="Cambria" w:hAnsi="Cambria" w:cs="Times New Roman"/>
      <w:noProof w:val="0"/>
      <w:color w:val="365F91"/>
      <w:sz w:val="26"/>
      <w:szCs w:val="26"/>
    </w:rPr>
  </w:style>
  <w:style w:type="paragraph" w:styleId="3">
    <w:name w:val="heading 3"/>
    <w:basedOn w:val="a"/>
    <w:next w:val="a"/>
    <w:link w:val="30"/>
    <w:qFormat/>
    <w:rsid w:val="00FF331B"/>
    <w:pPr>
      <w:keepNext/>
      <w:keepLines/>
      <w:spacing w:before="40"/>
      <w:outlineLvl w:val="2"/>
    </w:pPr>
    <w:rPr>
      <w:rFonts w:ascii="Cambria" w:hAnsi="Cambria" w:cs="Times New Roman"/>
      <w:noProof w:val="0"/>
      <w:color w:val="243F60"/>
    </w:rPr>
  </w:style>
  <w:style w:type="paragraph" w:styleId="4">
    <w:name w:val="heading 4"/>
    <w:basedOn w:val="a"/>
    <w:next w:val="a"/>
    <w:qFormat/>
    <w:rsid w:val="00C64423"/>
    <w:pPr>
      <w:keepNext/>
      <w:ind w:left="5760" w:firstLine="720"/>
      <w:outlineLvl w:val="3"/>
    </w:pPr>
    <w:rPr>
      <w:rFonts w:cs="Narkisim"/>
      <w:b/>
      <w:bCs/>
      <w:noProof w:val="0"/>
    </w:rPr>
  </w:style>
  <w:style w:type="paragraph" w:styleId="5">
    <w:name w:val="heading 5"/>
    <w:basedOn w:val="a"/>
    <w:next w:val="a"/>
    <w:link w:val="50"/>
    <w:qFormat/>
    <w:rsid w:val="00FF331B"/>
    <w:pPr>
      <w:keepNext/>
      <w:keepLines/>
      <w:spacing w:before="40"/>
      <w:outlineLvl w:val="4"/>
    </w:pPr>
    <w:rPr>
      <w:rFonts w:ascii="Cambria" w:hAnsi="Cambria" w:cs="Times New Roman"/>
      <w:noProof w:val="0"/>
      <w:color w:val="365F91"/>
    </w:rPr>
  </w:style>
  <w:style w:type="paragraph" w:styleId="6">
    <w:name w:val="heading 6"/>
    <w:basedOn w:val="a"/>
    <w:next w:val="a"/>
    <w:link w:val="60"/>
    <w:qFormat/>
    <w:rsid w:val="00FF331B"/>
    <w:pPr>
      <w:keepNext/>
      <w:keepLines/>
      <w:spacing w:before="40"/>
      <w:outlineLvl w:val="5"/>
    </w:pPr>
    <w:rPr>
      <w:rFonts w:ascii="Cambria" w:hAnsi="Cambria" w:cs="Times New Roman"/>
      <w:noProof w:val="0"/>
      <w:color w:val="243F60"/>
    </w:rPr>
  </w:style>
  <w:style w:type="paragraph" w:styleId="7">
    <w:name w:val="heading 7"/>
    <w:basedOn w:val="a"/>
    <w:next w:val="a"/>
    <w:link w:val="70"/>
    <w:qFormat/>
    <w:rsid w:val="00FF331B"/>
    <w:pPr>
      <w:keepNext/>
      <w:keepLines/>
      <w:spacing w:before="40"/>
      <w:outlineLvl w:val="6"/>
    </w:pPr>
    <w:rPr>
      <w:rFonts w:ascii="Cambria" w:hAnsi="Cambria" w:cs="Times New Roman"/>
      <w:i/>
      <w:iCs/>
      <w:noProof w:val="0"/>
      <w:color w:val="243F60"/>
    </w:rPr>
  </w:style>
  <w:style w:type="paragraph" w:styleId="8">
    <w:name w:val="heading 8"/>
    <w:basedOn w:val="a"/>
    <w:next w:val="a"/>
    <w:link w:val="80"/>
    <w:qFormat/>
    <w:rsid w:val="00FF331B"/>
    <w:pPr>
      <w:keepNext/>
      <w:keepLines/>
      <w:spacing w:before="40"/>
      <w:outlineLvl w:val="7"/>
    </w:pPr>
    <w:rPr>
      <w:rFonts w:ascii="Cambria" w:hAnsi="Cambria" w:cs="Times New Roman"/>
      <w:noProof w:val="0"/>
      <w:color w:val="272727"/>
      <w:sz w:val="21"/>
      <w:szCs w:val="21"/>
    </w:rPr>
  </w:style>
  <w:style w:type="paragraph" w:styleId="9">
    <w:name w:val="heading 9"/>
    <w:basedOn w:val="a"/>
    <w:next w:val="a"/>
    <w:link w:val="90"/>
    <w:qFormat/>
    <w:rsid w:val="00FF331B"/>
    <w:pPr>
      <w:keepNext/>
      <w:keepLines/>
      <w:spacing w:before="40"/>
      <w:outlineLvl w:val="8"/>
    </w:pPr>
    <w:rPr>
      <w:rFonts w:ascii="Cambria" w:hAnsi="Cambria" w:cs="Times New Roman"/>
      <w:i/>
      <w:iCs/>
      <w:noProof w:val="0"/>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4423"/>
    <w:pPr>
      <w:tabs>
        <w:tab w:val="center" w:pos="4153"/>
        <w:tab w:val="right" w:pos="8306"/>
      </w:tabs>
    </w:pPr>
    <w:rPr>
      <w:noProof w:val="0"/>
    </w:rPr>
  </w:style>
  <w:style w:type="paragraph" w:styleId="a5">
    <w:name w:val="footer"/>
    <w:basedOn w:val="a"/>
    <w:link w:val="a6"/>
    <w:uiPriority w:val="99"/>
    <w:rsid w:val="00C64423"/>
    <w:pPr>
      <w:tabs>
        <w:tab w:val="center" w:pos="4153"/>
        <w:tab w:val="right" w:pos="8306"/>
      </w:tabs>
    </w:pPr>
    <w:rPr>
      <w:noProof w:val="0"/>
    </w:rPr>
  </w:style>
  <w:style w:type="paragraph" w:customStyle="1" w:styleId="a7">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8">
    <w:name w:val="annotation text"/>
    <w:basedOn w:val="a"/>
    <w:rsid w:val="00C64423"/>
    <w:rPr>
      <w:rFonts w:cs="Times New Roman"/>
      <w:noProof w:val="0"/>
    </w:rPr>
  </w:style>
  <w:style w:type="character" w:styleId="a9">
    <w:name w:val="annotation reference"/>
    <w:rsid w:val="00C64423"/>
    <w:rPr>
      <w:noProof w:val="0"/>
      <w:sz w:val="16"/>
      <w:szCs w:val="16"/>
    </w:rPr>
  </w:style>
  <w:style w:type="paragraph" w:styleId="aa">
    <w:name w:val="Balloon Text"/>
    <w:basedOn w:val="a"/>
    <w:rsid w:val="00C64423"/>
    <w:rPr>
      <w:rFonts w:ascii="Tahoma" w:hAnsi="Tahoma" w:cs="Tahoma"/>
      <w:noProof w:val="0"/>
      <w:sz w:val="16"/>
      <w:szCs w:val="16"/>
    </w:rPr>
  </w:style>
  <w:style w:type="table" w:styleId="ab">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rsid w:val="00C64423"/>
    <w:rPr>
      <w:noProof w:val="0"/>
    </w:rPr>
  </w:style>
  <w:style w:type="character" w:styleId="ad">
    <w:name w:val="page number"/>
    <w:rsid w:val="00C64423"/>
    <w:rPr>
      <w:noProof w:val="0"/>
    </w:rPr>
  </w:style>
  <w:style w:type="table" w:customStyle="1" w:styleId="11">
    <w:name w:val="טבלת רשת1"/>
    <w:basedOn w:val="a1"/>
    <w:next w:val="ab"/>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טקסט מציין מיקום1"/>
    <w:uiPriority w:val="99"/>
    <w:semiHidden/>
    <w:rsid w:val="003230C7"/>
    <w:rPr>
      <w:noProof w:val="0"/>
      <w:color w:val="808080"/>
    </w:rPr>
  </w:style>
  <w:style w:type="character" w:customStyle="1" w:styleId="a6">
    <w:name w:val="כותרת תחתונה תו"/>
    <w:link w:val="a5"/>
    <w:uiPriority w:val="99"/>
    <w:rsid w:val="00616AE2"/>
    <w:rPr>
      <w:rFonts w:cs="David"/>
      <w:noProof w:val="0"/>
      <w:sz w:val="24"/>
      <w:szCs w:val="24"/>
    </w:rPr>
  </w:style>
  <w:style w:type="character" w:customStyle="1" w:styleId="a4">
    <w:name w:val="כותרת עליונה תו"/>
    <w:link w:val="a3"/>
    <w:uiPriority w:val="99"/>
    <w:rsid w:val="00616AE2"/>
    <w:rPr>
      <w:rFonts w:cs="David"/>
      <w:noProof w:val="0"/>
      <w:sz w:val="24"/>
      <w:szCs w:val="24"/>
    </w:rPr>
  </w:style>
  <w:style w:type="character" w:customStyle="1" w:styleId="Ruller40">
    <w:name w:val="Ruller4 תו"/>
    <w:link w:val="Ruller41"/>
    <w:locked/>
    <w:rsid w:val="00E311E6"/>
    <w:rPr>
      <w:rFonts w:ascii="Arial TUR" w:hAnsi="Arial TUR" w:cs="FrankRuehl"/>
      <w:spacing w:val="10"/>
      <w:sz w:val="22"/>
      <w:szCs w:val="28"/>
    </w:rPr>
  </w:style>
  <w:style w:type="paragraph" w:customStyle="1" w:styleId="Ruller41">
    <w:name w:val="Ruller4"/>
    <w:basedOn w:val="a"/>
    <w:link w:val="Ruller40"/>
    <w:rsid w:val="00E311E6"/>
    <w:pPr>
      <w:tabs>
        <w:tab w:val="left" w:pos="800"/>
      </w:tabs>
      <w:overflowPunct w:val="0"/>
      <w:autoSpaceDE w:val="0"/>
      <w:autoSpaceDN w:val="0"/>
      <w:adjustRightInd w:val="0"/>
      <w:spacing w:line="360" w:lineRule="auto"/>
      <w:jc w:val="both"/>
    </w:pPr>
    <w:rPr>
      <w:rFonts w:ascii="Arial TUR" w:hAnsi="Arial TUR" w:cs="FrankRuehl"/>
      <w:noProof w:val="0"/>
      <w:spacing w:val="10"/>
      <w:sz w:val="22"/>
      <w:szCs w:val="28"/>
    </w:rPr>
  </w:style>
  <w:style w:type="paragraph" w:customStyle="1" w:styleId="Ruller5">
    <w:name w:val="Ruller5"/>
    <w:basedOn w:val="a"/>
    <w:rsid w:val="00AD433B"/>
    <w:pPr>
      <w:overflowPunct w:val="0"/>
      <w:autoSpaceDE w:val="0"/>
      <w:autoSpaceDN w:val="0"/>
      <w:adjustRightInd w:val="0"/>
      <w:ind w:left="1644" w:right="1276"/>
      <w:jc w:val="both"/>
    </w:pPr>
    <w:rPr>
      <w:rFonts w:ascii="Arial TUR" w:hAnsi="Arial TUR" w:cs="FrankRuehl"/>
      <w:noProof w:val="0"/>
      <w:spacing w:val="10"/>
      <w:sz w:val="22"/>
      <w:szCs w:val="28"/>
    </w:rPr>
  </w:style>
  <w:style w:type="character" w:customStyle="1" w:styleId="default">
    <w:name w:val="default"/>
    <w:rsid w:val="00AD433B"/>
    <w:rPr>
      <w:noProof w:val="0"/>
    </w:rPr>
  </w:style>
  <w:style w:type="character" w:customStyle="1" w:styleId="big-number">
    <w:name w:val="big-number"/>
    <w:rsid w:val="00AD433B"/>
    <w:rPr>
      <w:noProof w:val="0"/>
    </w:rPr>
  </w:style>
  <w:style w:type="character" w:styleId="FollowedHyperlink">
    <w:name w:val="FollowedHyperlink"/>
    <w:rsid w:val="00FF331B"/>
    <w:rPr>
      <w:noProof w:val="0"/>
      <w:color w:val="800080"/>
      <w:u w:val="single"/>
    </w:rPr>
  </w:style>
  <w:style w:type="character" w:styleId="HTMLCite">
    <w:name w:val="HTML Cite"/>
    <w:rsid w:val="00FF331B"/>
    <w:rPr>
      <w:i/>
      <w:iCs/>
      <w:noProof w:val="0"/>
    </w:rPr>
  </w:style>
  <w:style w:type="character" w:styleId="HTMLCode">
    <w:name w:val="HTML Code"/>
    <w:rsid w:val="00FF331B"/>
    <w:rPr>
      <w:rFonts w:ascii="Consolas" w:hAnsi="Consolas"/>
      <w:noProof w:val="0"/>
      <w:sz w:val="20"/>
      <w:szCs w:val="20"/>
    </w:rPr>
  </w:style>
  <w:style w:type="character" w:styleId="HTMLDefinition">
    <w:name w:val="HTML Definition"/>
    <w:rsid w:val="00FF331B"/>
    <w:rPr>
      <w:i/>
      <w:iCs/>
      <w:noProof w:val="0"/>
    </w:rPr>
  </w:style>
  <w:style w:type="character" w:styleId="HTMLVariable">
    <w:name w:val="HTML Variable"/>
    <w:rsid w:val="00FF331B"/>
    <w:rPr>
      <w:i/>
      <w:iCs/>
      <w:noProof w:val="0"/>
    </w:rPr>
  </w:style>
  <w:style w:type="paragraph" w:styleId="HTML">
    <w:name w:val="HTML Preformatted"/>
    <w:basedOn w:val="a"/>
    <w:link w:val="HTML0"/>
    <w:rsid w:val="00FF331B"/>
    <w:rPr>
      <w:rFonts w:ascii="Consolas" w:hAnsi="Consolas"/>
      <w:noProof w:val="0"/>
      <w:sz w:val="20"/>
      <w:szCs w:val="20"/>
    </w:rPr>
  </w:style>
  <w:style w:type="character" w:customStyle="1" w:styleId="HTML0">
    <w:name w:val="HTML מעוצב מראש תו"/>
    <w:link w:val="HTML"/>
    <w:semiHidden/>
    <w:rsid w:val="00FF331B"/>
    <w:rPr>
      <w:rFonts w:ascii="Consolas" w:hAnsi="Consolas" w:cs="David"/>
      <w:noProof w:val="0"/>
    </w:rPr>
  </w:style>
  <w:style w:type="character" w:styleId="Hyperlink">
    <w:name w:val="Hyperlink"/>
    <w:rsid w:val="00FF331B"/>
    <w:rPr>
      <w:noProof w:val="0"/>
      <w:color w:val="0000FF"/>
      <w:u w:val="single"/>
    </w:rPr>
  </w:style>
  <w:style w:type="paragraph" w:styleId="Index1">
    <w:name w:val="index 1"/>
    <w:basedOn w:val="a"/>
    <w:next w:val="a"/>
    <w:autoRedefine/>
    <w:rsid w:val="00FF331B"/>
    <w:pPr>
      <w:ind w:left="240" w:hanging="240"/>
    </w:pPr>
    <w:rPr>
      <w:noProof w:val="0"/>
    </w:rPr>
  </w:style>
  <w:style w:type="paragraph" w:styleId="Index2">
    <w:name w:val="index 2"/>
    <w:basedOn w:val="a"/>
    <w:next w:val="a"/>
    <w:autoRedefine/>
    <w:rsid w:val="00FF331B"/>
    <w:pPr>
      <w:ind w:left="480" w:hanging="240"/>
    </w:pPr>
    <w:rPr>
      <w:noProof w:val="0"/>
    </w:rPr>
  </w:style>
  <w:style w:type="paragraph" w:styleId="Index3">
    <w:name w:val="index 3"/>
    <w:basedOn w:val="a"/>
    <w:next w:val="a"/>
    <w:autoRedefine/>
    <w:rsid w:val="00FF331B"/>
    <w:pPr>
      <w:ind w:left="720" w:hanging="240"/>
    </w:pPr>
    <w:rPr>
      <w:noProof w:val="0"/>
    </w:rPr>
  </w:style>
  <w:style w:type="paragraph" w:styleId="Index4">
    <w:name w:val="index 4"/>
    <w:basedOn w:val="a"/>
    <w:next w:val="a"/>
    <w:autoRedefine/>
    <w:rsid w:val="00FF331B"/>
    <w:pPr>
      <w:ind w:left="960" w:hanging="240"/>
    </w:pPr>
    <w:rPr>
      <w:noProof w:val="0"/>
    </w:rPr>
  </w:style>
  <w:style w:type="paragraph" w:styleId="Index5">
    <w:name w:val="index 5"/>
    <w:basedOn w:val="a"/>
    <w:next w:val="a"/>
    <w:autoRedefine/>
    <w:rsid w:val="00FF331B"/>
    <w:pPr>
      <w:ind w:left="1200" w:hanging="240"/>
    </w:pPr>
    <w:rPr>
      <w:noProof w:val="0"/>
    </w:rPr>
  </w:style>
  <w:style w:type="paragraph" w:styleId="Index6">
    <w:name w:val="index 6"/>
    <w:basedOn w:val="a"/>
    <w:next w:val="a"/>
    <w:autoRedefine/>
    <w:rsid w:val="00FF331B"/>
    <w:pPr>
      <w:ind w:left="1440" w:hanging="240"/>
    </w:pPr>
    <w:rPr>
      <w:noProof w:val="0"/>
    </w:rPr>
  </w:style>
  <w:style w:type="paragraph" w:styleId="Index7">
    <w:name w:val="index 7"/>
    <w:basedOn w:val="a"/>
    <w:next w:val="a"/>
    <w:autoRedefine/>
    <w:rsid w:val="00FF331B"/>
    <w:pPr>
      <w:ind w:left="1680" w:hanging="240"/>
    </w:pPr>
    <w:rPr>
      <w:noProof w:val="0"/>
    </w:rPr>
  </w:style>
  <w:style w:type="paragraph" w:styleId="Index8">
    <w:name w:val="index 8"/>
    <w:basedOn w:val="a"/>
    <w:next w:val="a"/>
    <w:autoRedefine/>
    <w:rsid w:val="00FF331B"/>
    <w:pPr>
      <w:ind w:left="1920" w:hanging="240"/>
    </w:pPr>
    <w:rPr>
      <w:noProof w:val="0"/>
    </w:rPr>
  </w:style>
  <w:style w:type="paragraph" w:styleId="Index9">
    <w:name w:val="index 9"/>
    <w:basedOn w:val="a"/>
    <w:next w:val="a"/>
    <w:autoRedefine/>
    <w:rsid w:val="00FF331B"/>
    <w:pPr>
      <w:ind w:left="2160" w:hanging="240"/>
    </w:pPr>
    <w:rPr>
      <w:noProof w:val="0"/>
    </w:rPr>
  </w:style>
  <w:style w:type="paragraph" w:styleId="NormalWeb">
    <w:name w:val="Normal (Web)"/>
    <w:basedOn w:val="a"/>
    <w:rsid w:val="00FF331B"/>
    <w:rPr>
      <w:rFonts w:cs="Times New Roman"/>
      <w:noProof w:val="0"/>
    </w:rPr>
  </w:style>
  <w:style w:type="paragraph" w:styleId="TOC1">
    <w:name w:val="toc 1"/>
    <w:basedOn w:val="a"/>
    <w:next w:val="a"/>
    <w:autoRedefine/>
    <w:rsid w:val="00FF331B"/>
    <w:pPr>
      <w:spacing w:after="100"/>
    </w:pPr>
    <w:rPr>
      <w:noProof w:val="0"/>
    </w:rPr>
  </w:style>
  <w:style w:type="paragraph" w:styleId="TOC2">
    <w:name w:val="toc 2"/>
    <w:basedOn w:val="a"/>
    <w:next w:val="a"/>
    <w:autoRedefine/>
    <w:rsid w:val="00FF331B"/>
    <w:pPr>
      <w:spacing w:after="100"/>
      <w:ind w:left="240"/>
    </w:pPr>
    <w:rPr>
      <w:noProof w:val="0"/>
    </w:rPr>
  </w:style>
  <w:style w:type="paragraph" w:styleId="TOC3">
    <w:name w:val="toc 3"/>
    <w:basedOn w:val="a"/>
    <w:next w:val="a"/>
    <w:autoRedefine/>
    <w:rsid w:val="00FF331B"/>
    <w:pPr>
      <w:spacing w:after="100"/>
      <w:ind w:left="480"/>
    </w:pPr>
    <w:rPr>
      <w:noProof w:val="0"/>
    </w:rPr>
  </w:style>
  <w:style w:type="paragraph" w:styleId="TOC4">
    <w:name w:val="toc 4"/>
    <w:basedOn w:val="a"/>
    <w:next w:val="a"/>
    <w:autoRedefine/>
    <w:rsid w:val="00FF331B"/>
    <w:pPr>
      <w:spacing w:after="100"/>
      <w:ind w:left="720"/>
    </w:pPr>
    <w:rPr>
      <w:noProof w:val="0"/>
    </w:rPr>
  </w:style>
  <w:style w:type="paragraph" w:styleId="TOC5">
    <w:name w:val="toc 5"/>
    <w:basedOn w:val="a"/>
    <w:next w:val="a"/>
    <w:autoRedefine/>
    <w:rsid w:val="00FF331B"/>
    <w:pPr>
      <w:spacing w:after="100"/>
      <w:ind w:left="960"/>
    </w:pPr>
    <w:rPr>
      <w:noProof w:val="0"/>
    </w:rPr>
  </w:style>
  <w:style w:type="paragraph" w:styleId="TOC6">
    <w:name w:val="toc 6"/>
    <w:basedOn w:val="a"/>
    <w:next w:val="a"/>
    <w:autoRedefine/>
    <w:rsid w:val="00FF331B"/>
    <w:pPr>
      <w:spacing w:after="100"/>
      <w:ind w:left="1200"/>
    </w:pPr>
    <w:rPr>
      <w:noProof w:val="0"/>
    </w:rPr>
  </w:style>
  <w:style w:type="paragraph" w:styleId="TOC7">
    <w:name w:val="toc 7"/>
    <w:basedOn w:val="a"/>
    <w:next w:val="a"/>
    <w:autoRedefine/>
    <w:rsid w:val="00FF331B"/>
    <w:pPr>
      <w:spacing w:after="100"/>
      <w:ind w:left="1440"/>
    </w:pPr>
    <w:rPr>
      <w:noProof w:val="0"/>
    </w:rPr>
  </w:style>
  <w:style w:type="paragraph" w:styleId="TOC8">
    <w:name w:val="toc 8"/>
    <w:basedOn w:val="a"/>
    <w:next w:val="a"/>
    <w:autoRedefine/>
    <w:rsid w:val="00FF331B"/>
    <w:pPr>
      <w:spacing w:after="100"/>
      <w:ind w:left="1680"/>
    </w:pPr>
    <w:rPr>
      <w:noProof w:val="0"/>
    </w:rPr>
  </w:style>
  <w:style w:type="paragraph" w:styleId="TOC9">
    <w:name w:val="toc 9"/>
    <w:basedOn w:val="a"/>
    <w:next w:val="a"/>
    <w:autoRedefine/>
    <w:rsid w:val="00FF331B"/>
    <w:pPr>
      <w:spacing w:after="100"/>
      <w:ind w:left="1920"/>
    </w:pPr>
    <w:rPr>
      <w:noProof w:val="0"/>
    </w:rPr>
  </w:style>
  <w:style w:type="table" w:styleId="-1">
    <w:name w:val="Table 3D effects 1"/>
    <w:basedOn w:val="a1"/>
    <w:rsid w:val="00FF331B"/>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1"/>
    <w:rsid w:val="00FF331B"/>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1"/>
    <w:rsid w:val="00FF331B"/>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3">
    <w:name w:val="ביבליוגרפיה1"/>
    <w:basedOn w:val="a"/>
    <w:next w:val="a"/>
    <w:uiPriority w:val="37"/>
    <w:semiHidden/>
    <w:unhideWhenUsed/>
    <w:rsid w:val="00FF331B"/>
    <w:rPr>
      <w:noProof w:val="0"/>
    </w:rPr>
  </w:style>
  <w:style w:type="paragraph" w:styleId="ae">
    <w:name w:val="Salutation"/>
    <w:basedOn w:val="a"/>
    <w:next w:val="a"/>
    <w:link w:val="af"/>
    <w:rsid w:val="00FF331B"/>
    <w:rPr>
      <w:noProof w:val="0"/>
    </w:rPr>
  </w:style>
  <w:style w:type="character" w:customStyle="1" w:styleId="af">
    <w:name w:val="ברכה תו"/>
    <w:link w:val="ae"/>
    <w:rsid w:val="00FF331B"/>
    <w:rPr>
      <w:rFonts w:cs="David"/>
      <w:noProof w:val="0"/>
      <w:sz w:val="24"/>
      <w:szCs w:val="24"/>
    </w:rPr>
  </w:style>
  <w:style w:type="paragraph" w:styleId="af0">
    <w:name w:val="Body Text"/>
    <w:basedOn w:val="a"/>
    <w:link w:val="af1"/>
    <w:rsid w:val="00FF331B"/>
    <w:pPr>
      <w:spacing w:after="120"/>
    </w:pPr>
    <w:rPr>
      <w:noProof w:val="0"/>
    </w:rPr>
  </w:style>
  <w:style w:type="character" w:customStyle="1" w:styleId="af1">
    <w:name w:val="גוף טקסט תו"/>
    <w:link w:val="af0"/>
    <w:semiHidden/>
    <w:rsid w:val="00FF331B"/>
    <w:rPr>
      <w:rFonts w:cs="David"/>
      <w:noProof w:val="0"/>
      <w:sz w:val="24"/>
      <w:szCs w:val="24"/>
    </w:rPr>
  </w:style>
  <w:style w:type="paragraph" w:styleId="21">
    <w:name w:val="Body Text 2"/>
    <w:basedOn w:val="a"/>
    <w:link w:val="22"/>
    <w:rsid w:val="00FF331B"/>
    <w:pPr>
      <w:spacing w:after="120" w:line="480" w:lineRule="auto"/>
    </w:pPr>
    <w:rPr>
      <w:noProof w:val="0"/>
    </w:rPr>
  </w:style>
  <w:style w:type="character" w:customStyle="1" w:styleId="22">
    <w:name w:val="גוף טקסט 2 תו"/>
    <w:link w:val="21"/>
    <w:semiHidden/>
    <w:rsid w:val="00FF331B"/>
    <w:rPr>
      <w:rFonts w:cs="David"/>
      <w:noProof w:val="0"/>
      <w:sz w:val="24"/>
      <w:szCs w:val="24"/>
    </w:rPr>
  </w:style>
  <w:style w:type="paragraph" w:styleId="31">
    <w:name w:val="Body Text 3"/>
    <w:basedOn w:val="a"/>
    <w:link w:val="32"/>
    <w:rsid w:val="00FF331B"/>
    <w:pPr>
      <w:spacing w:after="120"/>
    </w:pPr>
    <w:rPr>
      <w:noProof w:val="0"/>
      <w:sz w:val="16"/>
      <w:szCs w:val="16"/>
    </w:rPr>
  </w:style>
  <w:style w:type="character" w:customStyle="1" w:styleId="32">
    <w:name w:val="גוף טקסט 3 תו"/>
    <w:link w:val="31"/>
    <w:semiHidden/>
    <w:rsid w:val="00FF331B"/>
    <w:rPr>
      <w:rFonts w:cs="David"/>
      <w:noProof w:val="0"/>
      <w:sz w:val="16"/>
      <w:szCs w:val="16"/>
    </w:rPr>
  </w:style>
  <w:style w:type="character" w:styleId="HTML1">
    <w:name w:val="HTML Sample"/>
    <w:rsid w:val="00FF331B"/>
    <w:rPr>
      <w:rFonts w:ascii="Consolas" w:hAnsi="Consolas"/>
      <w:noProof w:val="0"/>
      <w:sz w:val="24"/>
      <w:szCs w:val="24"/>
    </w:rPr>
  </w:style>
  <w:style w:type="character" w:styleId="af2">
    <w:name w:val="Emphasis"/>
    <w:qFormat/>
    <w:rsid w:val="00FF331B"/>
    <w:rPr>
      <w:i/>
      <w:iCs/>
      <w:noProof w:val="0"/>
    </w:rPr>
  </w:style>
  <w:style w:type="character" w:customStyle="1" w:styleId="14">
    <w:name w:val="הדגשה חזקה1"/>
    <w:uiPriority w:val="21"/>
    <w:qFormat/>
    <w:rsid w:val="00FF331B"/>
    <w:rPr>
      <w:i/>
      <w:iCs/>
      <w:noProof w:val="0"/>
      <w:color w:val="4F81BD"/>
    </w:rPr>
  </w:style>
  <w:style w:type="character" w:customStyle="1" w:styleId="15">
    <w:name w:val="הדגשה עדינה1"/>
    <w:uiPriority w:val="19"/>
    <w:qFormat/>
    <w:rsid w:val="00FF331B"/>
    <w:rPr>
      <w:i/>
      <w:iCs/>
      <w:noProof w:val="0"/>
      <w:color w:val="404040"/>
    </w:rPr>
  </w:style>
  <w:style w:type="paragraph" w:styleId="af3">
    <w:name w:val="List Continue"/>
    <w:basedOn w:val="a"/>
    <w:rsid w:val="00FF331B"/>
    <w:pPr>
      <w:spacing w:after="120"/>
      <w:ind w:left="283"/>
      <w:contextualSpacing/>
    </w:pPr>
    <w:rPr>
      <w:noProof w:val="0"/>
    </w:rPr>
  </w:style>
  <w:style w:type="paragraph" w:styleId="23">
    <w:name w:val="List Continue 2"/>
    <w:basedOn w:val="a"/>
    <w:rsid w:val="00FF331B"/>
    <w:pPr>
      <w:spacing w:after="120"/>
      <w:ind w:left="566"/>
      <w:contextualSpacing/>
    </w:pPr>
    <w:rPr>
      <w:noProof w:val="0"/>
    </w:rPr>
  </w:style>
  <w:style w:type="paragraph" w:styleId="33">
    <w:name w:val="List Continue 3"/>
    <w:basedOn w:val="a"/>
    <w:rsid w:val="00FF331B"/>
    <w:pPr>
      <w:spacing w:after="120"/>
      <w:ind w:left="849"/>
      <w:contextualSpacing/>
    </w:pPr>
    <w:rPr>
      <w:noProof w:val="0"/>
    </w:rPr>
  </w:style>
  <w:style w:type="paragraph" w:styleId="40">
    <w:name w:val="List Continue 4"/>
    <w:basedOn w:val="a"/>
    <w:rsid w:val="00FF331B"/>
    <w:pPr>
      <w:spacing w:after="120"/>
      <w:ind w:left="1132"/>
      <w:contextualSpacing/>
    </w:pPr>
    <w:rPr>
      <w:noProof w:val="0"/>
    </w:rPr>
  </w:style>
  <w:style w:type="paragraph" w:styleId="51">
    <w:name w:val="List Continue 5"/>
    <w:basedOn w:val="a"/>
    <w:rsid w:val="00FF331B"/>
    <w:pPr>
      <w:spacing w:after="120"/>
      <w:ind w:left="1415"/>
      <w:contextualSpacing/>
    </w:pPr>
    <w:rPr>
      <w:noProof w:val="0"/>
    </w:rPr>
  </w:style>
  <w:style w:type="character" w:customStyle="1" w:styleId="16">
    <w:name w:val="הפניה חזקה1"/>
    <w:uiPriority w:val="32"/>
    <w:qFormat/>
    <w:rsid w:val="00FF331B"/>
    <w:rPr>
      <w:b/>
      <w:bCs/>
      <w:smallCaps/>
      <w:noProof w:val="0"/>
      <w:color w:val="4F81BD"/>
      <w:spacing w:val="5"/>
    </w:rPr>
  </w:style>
  <w:style w:type="character" w:styleId="af4">
    <w:name w:val="endnote reference"/>
    <w:rsid w:val="00FF331B"/>
    <w:rPr>
      <w:noProof w:val="0"/>
      <w:vertAlign w:val="superscript"/>
    </w:rPr>
  </w:style>
  <w:style w:type="character" w:styleId="af5">
    <w:name w:val="footnote reference"/>
    <w:rsid w:val="00FF331B"/>
    <w:rPr>
      <w:noProof w:val="0"/>
      <w:vertAlign w:val="superscript"/>
    </w:rPr>
  </w:style>
  <w:style w:type="character" w:customStyle="1" w:styleId="17">
    <w:name w:val="הפניה עדינה1"/>
    <w:uiPriority w:val="31"/>
    <w:qFormat/>
    <w:rsid w:val="00FF331B"/>
    <w:rPr>
      <w:smallCaps/>
      <w:noProof w:val="0"/>
      <w:color w:val="5A5A5A"/>
    </w:rPr>
  </w:style>
  <w:style w:type="table" w:customStyle="1" w:styleId="18">
    <w:name w:val="הצללה בהירה1"/>
    <w:basedOn w:val="a1"/>
    <w:uiPriority w:val="60"/>
    <w:semiHidden/>
    <w:unhideWhenUsed/>
    <w:rsid w:val="00FF331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 Accent 1"/>
    <w:basedOn w:val="a1"/>
    <w:uiPriority w:val="60"/>
    <w:semiHidden/>
    <w:unhideWhenUsed/>
    <w:rsid w:val="00FF331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
    <w:name w:val="Light Shading - Accent 2"/>
    <w:basedOn w:val="a1"/>
    <w:uiPriority w:val="60"/>
    <w:semiHidden/>
    <w:unhideWhenUsed/>
    <w:rsid w:val="00FF331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
    <w:name w:val="Light Shading - Accent 3"/>
    <w:basedOn w:val="a1"/>
    <w:uiPriority w:val="60"/>
    <w:semiHidden/>
    <w:unhideWhenUsed/>
    <w:rsid w:val="00FF331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
    <w:name w:val="Light Shading - Accent 4"/>
    <w:basedOn w:val="a1"/>
    <w:uiPriority w:val="60"/>
    <w:semiHidden/>
    <w:unhideWhenUsed/>
    <w:rsid w:val="00FF331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
    <w:name w:val="Light Shading - Accent 5"/>
    <w:basedOn w:val="a1"/>
    <w:uiPriority w:val="60"/>
    <w:semiHidden/>
    <w:unhideWhenUsed/>
    <w:rsid w:val="00FF331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
    <w:name w:val="Light Shading - Accent 6"/>
    <w:basedOn w:val="a1"/>
    <w:uiPriority w:val="60"/>
    <w:semiHidden/>
    <w:unhideWhenUsed/>
    <w:rsid w:val="00FF331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4">
    <w:name w:val="Medium Shading 2 - Accent 4"/>
    <w:basedOn w:val="a1"/>
    <w:uiPriority w:val="64"/>
    <w:semiHidden/>
    <w:unhideWhenUsed/>
    <w:rsid w:val="00FF3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0">
    <w:name w:val="הצללה בינונית 11"/>
    <w:basedOn w:val="a1"/>
    <w:uiPriority w:val="63"/>
    <w:semiHidden/>
    <w:unhideWhenUsed/>
    <w:rsid w:val="00FF331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 Accent 1"/>
    <w:basedOn w:val="a1"/>
    <w:uiPriority w:val="63"/>
    <w:semiHidden/>
    <w:unhideWhenUsed/>
    <w:rsid w:val="00FF331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
    <w:name w:val="Medium Shading 1 - Accent 2"/>
    <w:basedOn w:val="a1"/>
    <w:uiPriority w:val="63"/>
    <w:semiHidden/>
    <w:unhideWhenUsed/>
    <w:rsid w:val="00FF331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
    <w:name w:val="Medium Shading 1 - Accent 3"/>
    <w:basedOn w:val="a1"/>
    <w:uiPriority w:val="63"/>
    <w:semiHidden/>
    <w:unhideWhenUsed/>
    <w:rsid w:val="00FF331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
    <w:name w:val="Medium Shading 1 - Accent 4"/>
    <w:basedOn w:val="a1"/>
    <w:uiPriority w:val="63"/>
    <w:semiHidden/>
    <w:unhideWhenUsed/>
    <w:rsid w:val="00FF331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
    <w:name w:val="Medium Shading 1 - Accent 5"/>
    <w:basedOn w:val="a1"/>
    <w:uiPriority w:val="63"/>
    <w:semiHidden/>
    <w:unhideWhenUsed/>
    <w:rsid w:val="00FF331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a1"/>
    <w:uiPriority w:val="63"/>
    <w:semiHidden/>
    <w:unhideWhenUsed/>
    <w:rsid w:val="00FF331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0">
    <w:name w:val="הצללה בינונית 21"/>
    <w:basedOn w:val="a1"/>
    <w:uiPriority w:val="64"/>
    <w:semiHidden/>
    <w:unhideWhenUsed/>
    <w:rsid w:val="00FF3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
    <w:name w:val="Medium Shading 2 - Accent 1"/>
    <w:basedOn w:val="a1"/>
    <w:uiPriority w:val="64"/>
    <w:semiHidden/>
    <w:unhideWhenUsed/>
    <w:rsid w:val="00FF3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
    <w:name w:val="Medium Shading 2 - Accent 2"/>
    <w:basedOn w:val="a1"/>
    <w:uiPriority w:val="64"/>
    <w:semiHidden/>
    <w:unhideWhenUsed/>
    <w:rsid w:val="00FF3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
    <w:name w:val="Medium Shading 2 - Accent 3"/>
    <w:basedOn w:val="a1"/>
    <w:uiPriority w:val="64"/>
    <w:semiHidden/>
    <w:unhideWhenUsed/>
    <w:rsid w:val="00FF3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
    <w:name w:val="Medium Shading 2 - Accent 5"/>
    <w:basedOn w:val="a1"/>
    <w:uiPriority w:val="64"/>
    <w:semiHidden/>
    <w:unhideWhenUsed/>
    <w:rsid w:val="00FF3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
    <w:name w:val="Medium Shading 2 - Accent 6"/>
    <w:basedOn w:val="a1"/>
    <w:uiPriority w:val="64"/>
    <w:semiHidden/>
    <w:unhideWhenUsed/>
    <w:rsid w:val="00FF3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9">
    <w:name w:val="הצללה צבעונית1"/>
    <w:basedOn w:val="a1"/>
    <w:uiPriority w:val="71"/>
    <w:semiHidden/>
    <w:unhideWhenUsed/>
    <w:rsid w:val="00FF331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
    <w:name w:val="Colorful Shading - Accent 1"/>
    <w:basedOn w:val="a1"/>
    <w:uiPriority w:val="71"/>
    <w:semiHidden/>
    <w:unhideWhenUsed/>
    <w:rsid w:val="00FF331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
    <w:name w:val="Colorful Shading - Accent 2"/>
    <w:basedOn w:val="a1"/>
    <w:uiPriority w:val="71"/>
    <w:semiHidden/>
    <w:unhideWhenUsed/>
    <w:rsid w:val="00FF331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
    <w:name w:val="Colorful Shading - Accent 3"/>
    <w:basedOn w:val="a1"/>
    <w:uiPriority w:val="71"/>
    <w:semiHidden/>
    <w:unhideWhenUsed/>
    <w:rsid w:val="00FF331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
    <w:name w:val="Colorful Shading - Accent 4"/>
    <w:basedOn w:val="a1"/>
    <w:uiPriority w:val="71"/>
    <w:semiHidden/>
    <w:unhideWhenUsed/>
    <w:rsid w:val="00FF331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
    <w:name w:val="Colorful Shading - Accent 5"/>
    <w:basedOn w:val="a1"/>
    <w:uiPriority w:val="71"/>
    <w:semiHidden/>
    <w:unhideWhenUsed/>
    <w:rsid w:val="00FF331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
    <w:name w:val="Colorful Shading - Accent 6"/>
    <w:basedOn w:val="a1"/>
    <w:uiPriority w:val="71"/>
    <w:semiHidden/>
    <w:unhideWhenUsed/>
    <w:rsid w:val="00FF331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af6">
    <w:name w:val="Strong"/>
    <w:qFormat/>
    <w:rsid w:val="00FF331B"/>
    <w:rPr>
      <w:b/>
      <w:bCs/>
      <w:noProof w:val="0"/>
    </w:rPr>
  </w:style>
  <w:style w:type="paragraph" w:styleId="af7">
    <w:name w:val="Signature"/>
    <w:basedOn w:val="a"/>
    <w:link w:val="af8"/>
    <w:rsid w:val="00FF331B"/>
    <w:pPr>
      <w:ind w:left="4252"/>
    </w:pPr>
    <w:rPr>
      <w:noProof w:val="0"/>
    </w:rPr>
  </w:style>
  <w:style w:type="character" w:customStyle="1" w:styleId="af8">
    <w:name w:val="חתימה תו"/>
    <w:link w:val="af7"/>
    <w:semiHidden/>
    <w:rsid w:val="00FF331B"/>
    <w:rPr>
      <w:rFonts w:cs="David"/>
      <w:noProof w:val="0"/>
      <w:sz w:val="24"/>
      <w:szCs w:val="24"/>
    </w:rPr>
  </w:style>
  <w:style w:type="paragraph" w:styleId="af9">
    <w:name w:val="E-mail Signature"/>
    <w:basedOn w:val="a"/>
    <w:link w:val="afa"/>
    <w:rsid w:val="00FF331B"/>
    <w:rPr>
      <w:noProof w:val="0"/>
    </w:rPr>
  </w:style>
  <w:style w:type="character" w:customStyle="1" w:styleId="afa">
    <w:name w:val="חתימת דואר אלקטרוני תו"/>
    <w:link w:val="af9"/>
    <w:semiHidden/>
    <w:rsid w:val="00FF331B"/>
    <w:rPr>
      <w:rFonts w:cs="David"/>
      <w:noProof w:val="0"/>
      <w:sz w:val="24"/>
      <w:szCs w:val="24"/>
    </w:rPr>
  </w:style>
  <w:style w:type="table" w:styleId="afb">
    <w:name w:val="Table Elegant"/>
    <w:basedOn w:val="a1"/>
    <w:rsid w:val="00FF331B"/>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c">
    <w:name w:val="Table Professional"/>
    <w:basedOn w:val="a1"/>
    <w:rsid w:val="00FF331B"/>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ubtle 1"/>
    <w:basedOn w:val="a1"/>
    <w:rsid w:val="00FF331B"/>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Subtle 2"/>
    <w:basedOn w:val="a1"/>
    <w:rsid w:val="00FF331B"/>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Contemporary"/>
    <w:basedOn w:val="a1"/>
    <w:rsid w:val="00FF331B"/>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b">
    <w:name w:val="Table Simple 1"/>
    <w:basedOn w:val="a1"/>
    <w:rsid w:val="00FF331B"/>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1"/>
    <w:rsid w:val="00FF331B"/>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4">
    <w:name w:val="Table Simple 3"/>
    <w:basedOn w:val="a1"/>
    <w:rsid w:val="00FF331B"/>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Colorful 1"/>
    <w:basedOn w:val="a1"/>
    <w:rsid w:val="00FF331B"/>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1"/>
    <w:rsid w:val="00FF331B"/>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1"/>
    <w:rsid w:val="00FF331B"/>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d">
    <w:name w:val="Table Classic 1"/>
    <w:basedOn w:val="a1"/>
    <w:rsid w:val="00FF331B"/>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1"/>
    <w:rsid w:val="00FF331B"/>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1"/>
    <w:rsid w:val="00FF331B"/>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1"/>
    <w:rsid w:val="00FF331B"/>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
    <w:name w:val="טבלה רגילה 11"/>
    <w:basedOn w:val="a1"/>
    <w:uiPriority w:val="41"/>
    <w:rsid w:val="00FF331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טבלה רגילה 21"/>
    <w:basedOn w:val="a1"/>
    <w:uiPriority w:val="42"/>
    <w:rsid w:val="00FF331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טבלה רגילה 31"/>
    <w:basedOn w:val="a1"/>
    <w:uiPriority w:val="43"/>
    <w:rsid w:val="00FF331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טבלה רגילה 41"/>
    <w:basedOn w:val="a1"/>
    <w:uiPriority w:val="44"/>
    <w:rsid w:val="00FF33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טבלה רגילה 51"/>
    <w:basedOn w:val="a1"/>
    <w:uiPriority w:val="45"/>
    <w:rsid w:val="00FF331B"/>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e">
    <w:name w:val="Table Web 1"/>
    <w:basedOn w:val="a1"/>
    <w:rsid w:val="00FF331B"/>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8">
    <w:name w:val="Table Web 2"/>
    <w:basedOn w:val="a1"/>
    <w:rsid w:val="00FF331B"/>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1"/>
    <w:rsid w:val="00FF331B"/>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טבלת רשימה 1 בהירה1"/>
    <w:basedOn w:val="a1"/>
    <w:uiPriority w:val="46"/>
    <w:rsid w:val="00FF331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 Accent 1"/>
    <w:basedOn w:val="a1"/>
    <w:uiPriority w:val="46"/>
    <w:rsid w:val="00FF331B"/>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
    <w:name w:val="List Table 1 Light - Accent 2"/>
    <w:basedOn w:val="a1"/>
    <w:uiPriority w:val="46"/>
    <w:rsid w:val="00FF331B"/>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
    <w:name w:val="List Table 1 Light - Accent 3"/>
    <w:basedOn w:val="a1"/>
    <w:uiPriority w:val="46"/>
    <w:rsid w:val="00FF331B"/>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
    <w:name w:val="List Table 1 Light - Accent 4"/>
    <w:basedOn w:val="a1"/>
    <w:uiPriority w:val="46"/>
    <w:rsid w:val="00FF331B"/>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
    <w:name w:val="List Table 1 Light - Accent 5"/>
    <w:basedOn w:val="a1"/>
    <w:uiPriority w:val="46"/>
    <w:rsid w:val="00FF331B"/>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
    <w:name w:val="List Table 1 Light - Accent 6"/>
    <w:basedOn w:val="a1"/>
    <w:uiPriority w:val="46"/>
    <w:rsid w:val="00FF331B"/>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12">
    <w:name w:val="טבלת רשימה 21"/>
    <w:basedOn w:val="a1"/>
    <w:uiPriority w:val="47"/>
    <w:rsid w:val="00FF331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 Accent 1"/>
    <w:basedOn w:val="a1"/>
    <w:uiPriority w:val="47"/>
    <w:rsid w:val="00FF331B"/>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
    <w:name w:val="List Table 2 - Accent 2"/>
    <w:basedOn w:val="a1"/>
    <w:uiPriority w:val="47"/>
    <w:rsid w:val="00FF331B"/>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
    <w:name w:val="List Table 2 - Accent 3"/>
    <w:basedOn w:val="a1"/>
    <w:uiPriority w:val="47"/>
    <w:rsid w:val="00FF331B"/>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
    <w:name w:val="List Table 2 - Accent 4"/>
    <w:basedOn w:val="a1"/>
    <w:uiPriority w:val="47"/>
    <w:rsid w:val="00FF331B"/>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
    <w:name w:val="List Table 2 - Accent 5"/>
    <w:basedOn w:val="a1"/>
    <w:uiPriority w:val="47"/>
    <w:rsid w:val="00FF331B"/>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
    <w:name w:val="List Table 2 - Accent 6"/>
    <w:basedOn w:val="a1"/>
    <w:uiPriority w:val="47"/>
    <w:rsid w:val="00FF331B"/>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1">
    <w:name w:val="טבלת רשימה 31"/>
    <w:basedOn w:val="a1"/>
    <w:uiPriority w:val="48"/>
    <w:rsid w:val="00FF331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 Accent 1"/>
    <w:basedOn w:val="a1"/>
    <w:uiPriority w:val="48"/>
    <w:rsid w:val="00FF331B"/>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
    <w:name w:val="List Table 3 - Accent 2"/>
    <w:basedOn w:val="a1"/>
    <w:uiPriority w:val="48"/>
    <w:rsid w:val="00FF331B"/>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
    <w:name w:val="List Table 3 - Accent 3"/>
    <w:basedOn w:val="a1"/>
    <w:uiPriority w:val="48"/>
    <w:rsid w:val="00FF331B"/>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
    <w:name w:val="List Table 3 - Accent 4"/>
    <w:basedOn w:val="a1"/>
    <w:uiPriority w:val="48"/>
    <w:rsid w:val="00FF331B"/>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
    <w:name w:val="List Table 3 - Accent 5"/>
    <w:basedOn w:val="a1"/>
    <w:uiPriority w:val="48"/>
    <w:rsid w:val="00FF331B"/>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
    <w:name w:val="List Table 3 - Accent 6"/>
    <w:basedOn w:val="a1"/>
    <w:uiPriority w:val="48"/>
    <w:rsid w:val="00FF331B"/>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411">
    <w:name w:val="טבלת רשימה 41"/>
    <w:basedOn w:val="a1"/>
    <w:uiPriority w:val="49"/>
    <w:rsid w:val="00FF331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 Accent 1"/>
    <w:basedOn w:val="a1"/>
    <w:uiPriority w:val="49"/>
    <w:rsid w:val="00FF331B"/>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
    <w:name w:val="List Table 4 - Accent 2"/>
    <w:basedOn w:val="a1"/>
    <w:uiPriority w:val="49"/>
    <w:rsid w:val="00FF331B"/>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
    <w:name w:val="List Table 4 - Accent 3"/>
    <w:basedOn w:val="a1"/>
    <w:uiPriority w:val="49"/>
    <w:rsid w:val="00FF331B"/>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
    <w:name w:val="List Table 4 - Accent 4"/>
    <w:basedOn w:val="a1"/>
    <w:uiPriority w:val="49"/>
    <w:rsid w:val="00FF331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
    <w:name w:val="List Table 4 - Accent 5"/>
    <w:basedOn w:val="a1"/>
    <w:uiPriority w:val="49"/>
    <w:rsid w:val="00FF331B"/>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
    <w:name w:val="List Table 4 - Accent 6"/>
    <w:basedOn w:val="a1"/>
    <w:uiPriority w:val="49"/>
    <w:rsid w:val="00FF331B"/>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1">
    <w:name w:val="טבלת רשימה 5 כהה1"/>
    <w:basedOn w:val="a1"/>
    <w:uiPriority w:val="50"/>
    <w:rsid w:val="00FF331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 Accent 1"/>
    <w:basedOn w:val="a1"/>
    <w:uiPriority w:val="50"/>
    <w:rsid w:val="00FF331B"/>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 Accent 2"/>
    <w:basedOn w:val="a1"/>
    <w:uiPriority w:val="50"/>
    <w:rsid w:val="00FF331B"/>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 Accent 3"/>
    <w:basedOn w:val="a1"/>
    <w:uiPriority w:val="50"/>
    <w:rsid w:val="00FF331B"/>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 Accent 4"/>
    <w:basedOn w:val="a1"/>
    <w:uiPriority w:val="50"/>
    <w:rsid w:val="00FF331B"/>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 Accent 5"/>
    <w:basedOn w:val="a1"/>
    <w:uiPriority w:val="50"/>
    <w:rsid w:val="00FF331B"/>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 Accent 6"/>
    <w:basedOn w:val="a1"/>
    <w:uiPriority w:val="50"/>
    <w:rsid w:val="00FF331B"/>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טבלת רשימה 6 צבעונית1"/>
    <w:basedOn w:val="a1"/>
    <w:uiPriority w:val="51"/>
    <w:rsid w:val="00FF331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 Accent 1"/>
    <w:basedOn w:val="a1"/>
    <w:uiPriority w:val="51"/>
    <w:rsid w:val="00FF331B"/>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
    <w:name w:val="List Table 6 Colorful - Accent 2"/>
    <w:basedOn w:val="a1"/>
    <w:uiPriority w:val="51"/>
    <w:rsid w:val="00FF331B"/>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
    <w:name w:val="List Table 6 Colorful - Accent 3"/>
    <w:basedOn w:val="a1"/>
    <w:uiPriority w:val="51"/>
    <w:rsid w:val="00FF331B"/>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
    <w:name w:val="List Table 6 Colorful - Accent 4"/>
    <w:basedOn w:val="a1"/>
    <w:uiPriority w:val="51"/>
    <w:rsid w:val="00FF331B"/>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
    <w:name w:val="List Table 6 Colorful - Accent 5"/>
    <w:basedOn w:val="a1"/>
    <w:uiPriority w:val="51"/>
    <w:rsid w:val="00FF331B"/>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
    <w:name w:val="List Table 6 Colorful - Accent 6"/>
    <w:basedOn w:val="a1"/>
    <w:uiPriority w:val="51"/>
    <w:rsid w:val="00FF331B"/>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
    <w:name w:val="טבלת רשימה 7 צבעונית1"/>
    <w:basedOn w:val="a1"/>
    <w:uiPriority w:val="52"/>
    <w:rsid w:val="00FF331B"/>
    <w:rPr>
      <w:color w:val="0000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000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000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 Accent 1"/>
    <w:basedOn w:val="a1"/>
    <w:uiPriority w:val="52"/>
    <w:rsid w:val="00FF331B"/>
    <w:rPr>
      <w:color w:val="365F91"/>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F81BD"/>
        </w:tcBorders>
        <w:shd w:val="clear" w:color="auto" w:fill="FFFFFF"/>
      </w:tcPr>
    </w:tblStylePr>
    <w:tblStylePr w:type="lastRow">
      <w:rPr>
        <w:rFonts w:ascii="Times New Roman" w:eastAsia="Times New Roman" w:hAnsi="Times New Roman" w:cs="Times New Roman"/>
        <w:i/>
        <w:iCs/>
        <w:sz w:val="26"/>
      </w:rPr>
      <w:tblPr/>
      <w:tcPr>
        <w:tcBorders>
          <w:top w:val="single" w:sz="4" w:space="0" w:color="4F81B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F81BD"/>
        </w:tcBorders>
        <w:shd w:val="clear" w:color="auto" w:fill="FFFFFF"/>
      </w:tcPr>
    </w:tblStylePr>
    <w:tblStylePr w:type="lastCol">
      <w:rPr>
        <w:rFonts w:ascii="Times New Roman" w:eastAsia="Times New Roman" w:hAnsi="Times New Roman"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 Accent 2"/>
    <w:basedOn w:val="a1"/>
    <w:uiPriority w:val="52"/>
    <w:rsid w:val="00FF331B"/>
    <w:rPr>
      <w:color w:val="943634"/>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C0504D"/>
        </w:tcBorders>
        <w:shd w:val="clear" w:color="auto" w:fill="FFFFFF"/>
      </w:tcPr>
    </w:tblStylePr>
    <w:tblStylePr w:type="lastRow">
      <w:rPr>
        <w:rFonts w:ascii="Times New Roman" w:eastAsia="Times New Roman" w:hAnsi="Times New Roman" w:cs="Times New Roman"/>
        <w:i/>
        <w:iCs/>
        <w:sz w:val="26"/>
      </w:rPr>
      <w:tblPr/>
      <w:tcPr>
        <w:tcBorders>
          <w:top w:val="single" w:sz="4" w:space="0" w:color="C0504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C0504D"/>
        </w:tcBorders>
        <w:shd w:val="clear" w:color="auto" w:fill="FFFFFF"/>
      </w:tcPr>
    </w:tblStylePr>
    <w:tblStylePr w:type="lastCol">
      <w:rPr>
        <w:rFonts w:ascii="Times New Roman" w:eastAsia="Times New Roman" w:hAnsi="Times New Roman"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 Accent 3"/>
    <w:basedOn w:val="a1"/>
    <w:uiPriority w:val="52"/>
    <w:rsid w:val="00FF331B"/>
    <w:rPr>
      <w:color w:val="76923C"/>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BBB59"/>
        </w:tcBorders>
        <w:shd w:val="clear" w:color="auto" w:fill="FFFFFF"/>
      </w:tcPr>
    </w:tblStylePr>
    <w:tblStylePr w:type="lastRow">
      <w:rPr>
        <w:rFonts w:ascii="Times New Roman" w:eastAsia="Times New Roman" w:hAnsi="Times New Roman" w:cs="Times New Roman"/>
        <w:i/>
        <w:iCs/>
        <w:sz w:val="26"/>
      </w:rPr>
      <w:tblPr/>
      <w:tcPr>
        <w:tcBorders>
          <w:top w:val="single" w:sz="4" w:space="0" w:color="9BBB59"/>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BBB59"/>
        </w:tcBorders>
        <w:shd w:val="clear" w:color="auto" w:fill="FFFFFF"/>
      </w:tcPr>
    </w:tblStylePr>
    <w:tblStylePr w:type="lastCol">
      <w:rPr>
        <w:rFonts w:ascii="Times New Roman" w:eastAsia="Times New Roman" w:hAnsi="Times New Roman"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 Accent 4"/>
    <w:basedOn w:val="a1"/>
    <w:uiPriority w:val="52"/>
    <w:rsid w:val="00FF331B"/>
    <w:rPr>
      <w:color w:val="5F497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8064A2"/>
        </w:tcBorders>
        <w:shd w:val="clear" w:color="auto" w:fill="FFFFFF"/>
      </w:tcPr>
    </w:tblStylePr>
    <w:tblStylePr w:type="lastRow">
      <w:rPr>
        <w:rFonts w:ascii="Times New Roman" w:eastAsia="Times New Roman" w:hAnsi="Times New Roman" w:cs="Times New Roman"/>
        <w:i/>
        <w:iCs/>
        <w:sz w:val="26"/>
      </w:rPr>
      <w:tblPr/>
      <w:tcPr>
        <w:tcBorders>
          <w:top w:val="single" w:sz="4" w:space="0" w:color="8064A2"/>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8064A2"/>
        </w:tcBorders>
        <w:shd w:val="clear" w:color="auto" w:fill="FFFFFF"/>
      </w:tcPr>
    </w:tblStylePr>
    <w:tblStylePr w:type="lastCol">
      <w:rPr>
        <w:rFonts w:ascii="Times New Roman" w:eastAsia="Times New Roman" w:hAnsi="Times New Roman"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 Accent 5"/>
    <w:basedOn w:val="a1"/>
    <w:uiPriority w:val="52"/>
    <w:rsid w:val="00FF331B"/>
    <w:rPr>
      <w:color w:val="31849B"/>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BACC6"/>
        </w:tcBorders>
        <w:shd w:val="clear" w:color="auto" w:fill="FFFFFF"/>
      </w:tcPr>
    </w:tblStylePr>
    <w:tblStylePr w:type="lastRow">
      <w:rPr>
        <w:rFonts w:ascii="Times New Roman" w:eastAsia="Times New Roman" w:hAnsi="Times New Roman" w:cs="Times New Roman"/>
        <w:i/>
        <w:iCs/>
        <w:sz w:val="26"/>
      </w:rPr>
      <w:tblPr/>
      <w:tcPr>
        <w:tcBorders>
          <w:top w:val="single" w:sz="4" w:space="0" w:color="4BACC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BACC6"/>
        </w:tcBorders>
        <w:shd w:val="clear" w:color="auto" w:fill="FFFFFF"/>
      </w:tcPr>
    </w:tblStylePr>
    <w:tblStylePr w:type="lastCol">
      <w:rPr>
        <w:rFonts w:ascii="Times New Roman" w:eastAsia="Times New Roman" w:hAnsi="Times New Roman"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 Accent 6"/>
    <w:basedOn w:val="a1"/>
    <w:uiPriority w:val="52"/>
    <w:rsid w:val="00FF331B"/>
    <w:rPr>
      <w:color w:val="E36C0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F79646"/>
        </w:tcBorders>
        <w:shd w:val="clear" w:color="auto" w:fill="FFFFFF"/>
      </w:tcPr>
    </w:tblStylePr>
    <w:tblStylePr w:type="lastRow">
      <w:rPr>
        <w:rFonts w:ascii="Times New Roman" w:eastAsia="Times New Roman" w:hAnsi="Times New Roman" w:cs="Times New Roman"/>
        <w:i/>
        <w:iCs/>
        <w:sz w:val="26"/>
      </w:rPr>
      <w:tblPr/>
      <w:tcPr>
        <w:tcBorders>
          <w:top w:val="single" w:sz="4" w:space="0" w:color="F7964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F79646"/>
        </w:tcBorders>
        <w:shd w:val="clear" w:color="auto" w:fill="FFFFFF"/>
      </w:tcPr>
    </w:tblStylePr>
    <w:tblStylePr w:type="lastCol">
      <w:rPr>
        <w:rFonts w:ascii="Times New Roman" w:eastAsia="Times New Roman" w:hAnsi="Times New Roman"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
    <w:name w:val="טבלת רשת 1 בהירה1"/>
    <w:basedOn w:val="a1"/>
    <w:uiPriority w:val="46"/>
    <w:rsid w:val="00FF331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 Accent 1"/>
    <w:basedOn w:val="a1"/>
    <w:uiPriority w:val="46"/>
    <w:rsid w:val="00FF331B"/>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
    <w:name w:val="Grid Table 1 Light - Accent 2"/>
    <w:basedOn w:val="a1"/>
    <w:uiPriority w:val="46"/>
    <w:rsid w:val="00FF331B"/>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
    <w:name w:val="Grid Table 1 Light - Accent 3"/>
    <w:basedOn w:val="a1"/>
    <w:uiPriority w:val="46"/>
    <w:rsid w:val="00FF331B"/>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 Accent 4"/>
    <w:basedOn w:val="a1"/>
    <w:uiPriority w:val="46"/>
    <w:rsid w:val="00FF331B"/>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 Accent 5"/>
    <w:basedOn w:val="a1"/>
    <w:uiPriority w:val="46"/>
    <w:rsid w:val="00FF331B"/>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 Accent 6"/>
    <w:basedOn w:val="a1"/>
    <w:uiPriority w:val="46"/>
    <w:rsid w:val="00FF331B"/>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טבלת רשת 21"/>
    <w:basedOn w:val="a1"/>
    <w:uiPriority w:val="47"/>
    <w:rsid w:val="00FF331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a1"/>
    <w:uiPriority w:val="47"/>
    <w:rsid w:val="00FF331B"/>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 Accent 2"/>
    <w:basedOn w:val="a1"/>
    <w:uiPriority w:val="47"/>
    <w:rsid w:val="00FF331B"/>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
    <w:name w:val="Grid Table 2 - Accent 3"/>
    <w:basedOn w:val="a1"/>
    <w:uiPriority w:val="47"/>
    <w:rsid w:val="00FF331B"/>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
    <w:name w:val="Grid Table 2 - Accent 4"/>
    <w:basedOn w:val="a1"/>
    <w:uiPriority w:val="47"/>
    <w:rsid w:val="00FF331B"/>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
    <w:name w:val="Grid Table 2 - Accent 5"/>
    <w:basedOn w:val="a1"/>
    <w:uiPriority w:val="47"/>
    <w:rsid w:val="00FF331B"/>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
    <w:name w:val="Grid Table 2 - Accent 6"/>
    <w:basedOn w:val="a1"/>
    <w:uiPriority w:val="47"/>
    <w:rsid w:val="00FF331B"/>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2">
    <w:name w:val="טבלת רשת 31"/>
    <w:basedOn w:val="a1"/>
    <w:uiPriority w:val="48"/>
    <w:rsid w:val="00FF331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 Accent 1"/>
    <w:basedOn w:val="a1"/>
    <w:uiPriority w:val="48"/>
    <w:rsid w:val="00FF331B"/>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
    <w:name w:val="Grid Table 3 - Accent 2"/>
    <w:basedOn w:val="a1"/>
    <w:uiPriority w:val="48"/>
    <w:rsid w:val="00FF331B"/>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
    <w:name w:val="Grid Table 3 - Accent 3"/>
    <w:basedOn w:val="a1"/>
    <w:uiPriority w:val="48"/>
    <w:rsid w:val="00FF331B"/>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
    <w:name w:val="Grid Table 3 - Accent 4"/>
    <w:basedOn w:val="a1"/>
    <w:uiPriority w:val="48"/>
    <w:rsid w:val="00FF331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
    <w:name w:val="Grid Table 3 - Accent 5"/>
    <w:basedOn w:val="a1"/>
    <w:uiPriority w:val="48"/>
    <w:rsid w:val="00FF331B"/>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
    <w:name w:val="Grid Table 3 - Accent 6"/>
    <w:basedOn w:val="a1"/>
    <w:uiPriority w:val="48"/>
    <w:rsid w:val="00FF331B"/>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412">
    <w:name w:val="טבלת רשת 41"/>
    <w:basedOn w:val="a1"/>
    <w:uiPriority w:val="49"/>
    <w:rsid w:val="00FF331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 Accent 1"/>
    <w:basedOn w:val="a1"/>
    <w:uiPriority w:val="49"/>
    <w:rsid w:val="00FF331B"/>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
    <w:name w:val="Grid Table 4 - Accent 2"/>
    <w:basedOn w:val="a1"/>
    <w:uiPriority w:val="49"/>
    <w:rsid w:val="00FF331B"/>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
    <w:name w:val="Grid Table 4 - Accent 3"/>
    <w:basedOn w:val="a1"/>
    <w:uiPriority w:val="49"/>
    <w:rsid w:val="00FF331B"/>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
    <w:name w:val="Grid Table 4 - Accent 4"/>
    <w:basedOn w:val="a1"/>
    <w:uiPriority w:val="49"/>
    <w:rsid w:val="00FF331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 Accent 5"/>
    <w:basedOn w:val="a1"/>
    <w:uiPriority w:val="49"/>
    <w:rsid w:val="00FF331B"/>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
    <w:name w:val="Grid Table 4 - Accent 6"/>
    <w:basedOn w:val="a1"/>
    <w:uiPriority w:val="49"/>
    <w:rsid w:val="00FF331B"/>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2">
    <w:name w:val="טבלת רשת 5 כהה1"/>
    <w:basedOn w:val="a1"/>
    <w:uiPriority w:val="50"/>
    <w:rsid w:val="00FF331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 Accent 1"/>
    <w:basedOn w:val="a1"/>
    <w:uiPriority w:val="50"/>
    <w:rsid w:val="00FF331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
    <w:name w:val="Grid Table 5 Dark - Accent 2"/>
    <w:basedOn w:val="a1"/>
    <w:uiPriority w:val="50"/>
    <w:rsid w:val="00FF331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
    <w:name w:val="Grid Table 5 Dark - Accent 3"/>
    <w:basedOn w:val="a1"/>
    <w:uiPriority w:val="50"/>
    <w:rsid w:val="00FF331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
    <w:name w:val="Grid Table 5 Dark - Accent 4"/>
    <w:basedOn w:val="a1"/>
    <w:uiPriority w:val="50"/>
    <w:rsid w:val="00FF331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
    <w:name w:val="Grid Table 5 Dark - Accent 5"/>
    <w:basedOn w:val="a1"/>
    <w:uiPriority w:val="50"/>
    <w:rsid w:val="00FF331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
    <w:name w:val="Grid Table 5 Dark - Accent 6"/>
    <w:basedOn w:val="a1"/>
    <w:uiPriority w:val="50"/>
    <w:rsid w:val="00FF331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610">
    <w:name w:val="טבלת רשת 6 צבעונית1"/>
    <w:basedOn w:val="a1"/>
    <w:uiPriority w:val="51"/>
    <w:rsid w:val="00FF331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 Accent 1"/>
    <w:basedOn w:val="a1"/>
    <w:uiPriority w:val="51"/>
    <w:rsid w:val="00FF331B"/>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
    <w:name w:val="Grid Table 6 Colorful - Accent 2"/>
    <w:basedOn w:val="a1"/>
    <w:uiPriority w:val="51"/>
    <w:rsid w:val="00FF331B"/>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
    <w:name w:val="Grid Table 6 Colorful - Accent 3"/>
    <w:basedOn w:val="a1"/>
    <w:uiPriority w:val="51"/>
    <w:rsid w:val="00FF331B"/>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
    <w:name w:val="Grid Table 6 Colorful - Accent 4"/>
    <w:basedOn w:val="a1"/>
    <w:uiPriority w:val="51"/>
    <w:rsid w:val="00FF331B"/>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
    <w:name w:val="Grid Table 6 Colorful - Accent 5"/>
    <w:basedOn w:val="a1"/>
    <w:uiPriority w:val="51"/>
    <w:rsid w:val="00FF331B"/>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
    <w:name w:val="Grid Table 6 Colorful - Accent 6"/>
    <w:basedOn w:val="a1"/>
    <w:uiPriority w:val="51"/>
    <w:rsid w:val="00FF331B"/>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0">
    <w:name w:val="טבלת רשת 7 צבעונית1"/>
    <w:basedOn w:val="a1"/>
    <w:uiPriority w:val="52"/>
    <w:rsid w:val="00FF331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 Accent 1"/>
    <w:basedOn w:val="a1"/>
    <w:uiPriority w:val="52"/>
    <w:rsid w:val="00FF331B"/>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
    <w:name w:val="Grid Table 7 Colorful - Accent 2"/>
    <w:basedOn w:val="a1"/>
    <w:uiPriority w:val="52"/>
    <w:rsid w:val="00FF331B"/>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
    <w:name w:val="Grid Table 7 Colorful - Accent 3"/>
    <w:basedOn w:val="a1"/>
    <w:uiPriority w:val="52"/>
    <w:rsid w:val="00FF331B"/>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
    <w:name w:val="Grid Table 7 Colorful - Accent 4"/>
    <w:basedOn w:val="a1"/>
    <w:uiPriority w:val="52"/>
    <w:rsid w:val="00FF331B"/>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
    <w:name w:val="Grid Table 7 Colorful - Accent 5"/>
    <w:basedOn w:val="a1"/>
    <w:uiPriority w:val="52"/>
    <w:rsid w:val="00FF331B"/>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
    <w:name w:val="Grid Table 7 Colorful - Accent 6"/>
    <w:basedOn w:val="a1"/>
    <w:uiPriority w:val="52"/>
    <w:rsid w:val="00FF331B"/>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afe">
    <w:name w:val="Block Text"/>
    <w:basedOn w:val="a"/>
    <w:rsid w:val="00FF331B"/>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noProof w:val="0"/>
      <w:color w:val="4F81BD"/>
    </w:rPr>
  </w:style>
  <w:style w:type="paragraph" w:styleId="aff">
    <w:name w:val="endnote text"/>
    <w:basedOn w:val="a"/>
    <w:link w:val="aff0"/>
    <w:rsid w:val="00FF331B"/>
    <w:rPr>
      <w:noProof w:val="0"/>
      <w:sz w:val="20"/>
      <w:szCs w:val="20"/>
    </w:rPr>
  </w:style>
  <w:style w:type="character" w:customStyle="1" w:styleId="aff0">
    <w:name w:val="טקסט הערת סיום תו"/>
    <w:link w:val="aff"/>
    <w:semiHidden/>
    <w:rsid w:val="00FF331B"/>
    <w:rPr>
      <w:rFonts w:cs="David"/>
      <w:noProof w:val="0"/>
    </w:rPr>
  </w:style>
  <w:style w:type="paragraph" w:styleId="aff1">
    <w:name w:val="footnote text"/>
    <w:basedOn w:val="a"/>
    <w:link w:val="aff2"/>
    <w:rsid w:val="00FF331B"/>
    <w:rPr>
      <w:noProof w:val="0"/>
      <w:sz w:val="20"/>
      <w:szCs w:val="20"/>
    </w:rPr>
  </w:style>
  <w:style w:type="character" w:customStyle="1" w:styleId="aff2">
    <w:name w:val="טקסט הערת שוליים תו"/>
    <w:link w:val="aff1"/>
    <w:semiHidden/>
    <w:rsid w:val="00FF331B"/>
    <w:rPr>
      <w:rFonts w:cs="David"/>
      <w:noProof w:val="0"/>
    </w:rPr>
  </w:style>
  <w:style w:type="paragraph" w:styleId="aff3">
    <w:name w:val="macro"/>
    <w:link w:val="aff4"/>
    <w:rsid w:val="00FF331B"/>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character" w:customStyle="1" w:styleId="aff4">
    <w:name w:val="טקסט מאקרו תו"/>
    <w:link w:val="aff3"/>
    <w:semiHidden/>
    <w:rsid w:val="00FF331B"/>
    <w:rPr>
      <w:rFonts w:ascii="Consolas" w:hAnsi="Consolas" w:cs="David"/>
      <w:noProof w:val="0"/>
    </w:rPr>
  </w:style>
  <w:style w:type="paragraph" w:styleId="aff5">
    <w:name w:val="Plain Text"/>
    <w:basedOn w:val="a"/>
    <w:link w:val="aff6"/>
    <w:rsid w:val="00FF331B"/>
    <w:rPr>
      <w:rFonts w:ascii="Consolas" w:hAnsi="Consolas"/>
      <w:noProof w:val="0"/>
      <w:sz w:val="21"/>
      <w:szCs w:val="21"/>
    </w:rPr>
  </w:style>
  <w:style w:type="character" w:customStyle="1" w:styleId="aff6">
    <w:name w:val="טקסט רגיל תו"/>
    <w:link w:val="aff5"/>
    <w:semiHidden/>
    <w:rsid w:val="00FF331B"/>
    <w:rPr>
      <w:rFonts w:ascii="Consolas" w:hAnsi="Consolas" w:cs="David"/>
      <w:noProof w:val="0"/>
      <w:sz w:val="21"/>
      <w:szCs w:val="21"/>
    </w:rPr>
  </w:style>
  <w:style w:type="character" w:customStyle="1" w:styleId="1f">
    <w:name w:val="כותר הספר1"/>
    <w:uiPriority w:val="33"/>
    <w:qFormat/>
    <w:rsid w:val="00FF331B"/>
    <w:rPr>
      <w:b/>
      <w:bCs/>
      <w:i/>
      <w:iCs/>
      <w:noProof w:val="0"/>
      <w:spacing w:val="5"/>
    </w:rPr>
  </w:style>
  <w:style w:type="character" w:customStyle="1" w:styleId="10">
    <w:name w:val="כותרת 1 תו"/>
    <w:link w:val="1"/>
    <w:rsid w:val="00FF331B"/>
    <w:rPr>
      <w:rFonts w:ascii="Cambria" w:eastAsia="Times New Roman" w:hAnsi="Cambria" w:cs="Times New Roman"/>
      <w:noProof w:val="0"/>
      <w:color w:val="365F91"/>
      <w:sz w:val="32"/>
      <w:szCs w:val="32"/>
    </w:rPr>
  </w:style>
  <w:style w:type="character" w:customStyle="1" w:styleId="20">
    <w:name w:val="כותרת 2 תו"/>
    <w:link w:val="2"/>
    <w:semiHidden/>
    <w:rsid w:val="00FF331B"/>
    <w:rPr>
      <w:rFonts w:ascii="Cambria" w:eastAsia="Times New Roman" w:hAnsi="Cambria" w:cs="Times New Roman"/>
      <w:noProof w:val="0"/>
      <w:color w:val="365F91"/>
      <w:sz w:val="26"/>
      <w:szCs w:val="26"/>
    </w:rPr>
  </w:style>
  <w:style w:type="character" w:customStyle="1" w:styleId="30">
    <w:name w:val="כותרת 3 תו"/>
    <w:link w:val="3"/>
    <w:semiHidden/>
    <w:rsid w:val="00FF331B"/>
    <w:rPr>
      <w:rFonts w:ascii="Cambria" w:eastAsia="Times New Roman" w:hAnsi="Cambria" w:cs="Times New Roman"/>
      <w:noProof w:val="0"/>
      <w:color w:val="243F60"/>
      <w:sz w:val="24"/>
      <w:szCs w:val="24"/>
    </w:rPr>
  </w:style>
  <w:style w:type="character" w:customStyle="1" w:styleId="50">
    <w:name w:val="כותרת 5 תו"/>
    <w:link w:val="5"/>
    <w:semiHidden/>
    <w:rsid w:val="00FF331B"/>
    <w:rPr>
      <w:rFonts w:ascii="Cambria" w:eastAsia="Times New Roman" w:hAnsi="Cambria" w:cs="Times New Roman"/>
      <w:noProof w:val="0"/>
      <w:color w:val="365F91"/>
      <w:sz w:val="24"/>
      <w:szCs w:val="24"/>
    </w:rPr>
  </w:style>
  <w:style w:type="character" w:customStyle="1" w:styleId="60">
    <w:name w:val="כותרת 6 תו"/>
    <w:link w:val="6"/>
    <w:semiHidden/>
    <w:rsid w:val="00FF331B"/>
    <w:rPr>
      <w:rFonts w:ascii="Cambria" w:eastAsia="Times New Roman" w:hAnsi="Cambria" w:cs="Times New Roman"/>
      <w:noProof w:val="0"/>
      <w:color w:val="243F60"/>
      <w:sz w:val="24"/>
      <w:szCs w:val="24"/>
    </w:rPr>
  </w:style>
  <w:style w:type="character" w:customStyle="1" w:styleId="70">
    <w:name w:val="כותרת 7 תו"/>
    <w:link w:val="7"/>
    <w:semiHidden/>
    <w:rsid w:val="00FF331B"/>
    <w:rPr>
      <w:rFonts w:ascii="Cambria" w:eastAsia="Times New Roman" w:hAnsi="Cambria" w:cs="Times New Roman"/>
      <w:i/>
      <w:iCs/>
      <w:noProof w:val="0"/>
      <w:color w:val="243F60"/>
      <w:sz w:val="24"/>
      <w:szCs w:val="24"/>
    </w:rPr>
  </w:style>
  <w:style w:type="character" w:customStyle="1" w:styleId="80">
    <w:name w:val="כותרת 8 תו"/>
    <w:link w:val="8"/>
    <w:semiHidden/>
    <w:rsid w:val="00FF331B"/>
    <w:rPr>
      <w:rFonts w:ascii="Cambria" w:eastAsia="Times New Roman" w:hAnsi="Cambria" w:cs="Times New Roman"/>
      <w:noProof w:val="0"/>
      <w:color w:val="272727"/>
      <w:sz w:val="21"/>
      <w:szCs w:val="21"/>
    </w:rPr>
  </w:style>
  <w:style w:type="character" w:customStyle="1" w:styleId="90">
    <w:name w:val="כותרת 9 תו"/>
    <w:link w:val="9"/>
    <w:semiHidden/>
    <w:rsid w:val="00FF331B"/>
    <w:rPr>
      <w:rFonts w:ascii="Cambria" w:eastAsia="Times New Roman" w:hAnsi="Cambria" w:cs="Times New Roman"/>
      <w:i/>
      <w:iCs/>
      <w:noProof w:val="0"/>
      <w:color w:val="272727"/>
      <w:sz w:val="21"/>
      <w:szCs w:val="21"/>
    </w:rPr>
  </w:style>
  <w:style w:type="paragraph" w:styleId="aff7">
    <w:name w:val="index heading"/>
    <w:basedOn w:val="a"/>
    <w:next w:val="Index1"/>
    <w:rsid w:val="00FF331B"/>
    <w:rPr>
      <w:rFonts w:ascii="Cambria" w:hAnsi="Cambria" w:cs="Times New Roman"/>
      <w:b/>
      <w:bCs/>
      <w:noProof w:val="0"/>
    </w:rPr>
  </w:style>
  <w:style w:type="paragraph" w:styleId="aff8">
    <w:name w:val="Note Heading"/>
    <w:basedOn w:val="a"/>
    <w:next w:val="a"/>
    <w:link w:val="aff9"/>
    <w:rsid w:val="00FF331B"/>
    <w:rPr>
      <w:noProof w:val="0"/>
    </w:rPr>
  </w:style>
  <w:style w:type="character" w:customStyle="1" w:styleId="aff9">
    <w:name w:val="כותרת הערות תו"/>
    <w:link w:val="aff8"/>
    <w:semiHidden/>
    <w:rsid w:val="00FF331B"/>
    <w:rPr>
      <w:rFonts w:cs="David"/>
      <w:noProof w:val="0"/>
      <w:sz w:val="24"/>
      <w:szCs w:val="24"/>
    </w:rPr>
  </w:style>
  <w:style w:type="paragraph" w:styleId="affa">
    <w:name w:val="Title"/>
    <w:basedOn w:val="a"/>
    <w:next w:val="a"/>
    <w:link w:val="affb"/>
    <w:qFormat/>
    <w:rsid w:val="00FF331B"/>
    <w:pPr>
      <w:contextualSpacing/>
    </w:pPr>
    <w:rPr>
      <w:rFonts w:ascii="Cambria" w:hAnsi="Cambria" w:cs="Times New Roman"/>
      <w:noProof w:val="0"/>
      <w:spacing w:val="-10"/>
      <w:kern w:val="28"/>
      <w:sz w:val="56"/>
      <w:szCs w:val="56"/>
    </w:rPr>
  </w:style>
  <w:style w:type="character" w:customStyle="1" w:styleId="affb">
    <w:name w:val="כותרת טקסט תו"/>
    <w:link w:val="affa"/>
    <w:rsid w:val="00FF331B"/>
    <w:rPr>
      <w:rFonts w:ascii="Cambria" w:eastAsia="Times New Roman" w:hAnsi="Cambria" w:cs="Times New Roman"/>
      <w:noProof w:val="0"/>
      <w:spacing w:val="-10"/>
      <w:kern w:val="28"/>
      <w:sz w:val="56"/>
      <w:szCs w:val="56"/>
    </w:rPr>
  </w:style>
  <w:style w:type="paragraph" w:styleId="affc">
    <w:name w:val="Subtitle"/>
    <w:basedOn w:val="a"/>
    <w:next w:val="a"/>
    <w:link w:val="affd"/>
    <w:qFormat/>
    <w:rsid w:val="00FF331B"/>
    <w:pPr>
      <w:numPr>
        <w:ilvl w:val="1"/>
      </w:numPr>
      <w:spacing w:after="160"/>
    </w:pPr>
    <w:rPr>
      <w:rFonts w:ascii="Calibri" w:hAnsi="Calibri" w:cs="Arial"/>
      <w:noProof w:val="0"/>
      <w:color w:val="5A5A5A"/>
      <w:spacing w:val="15"/>
      <w:sz w:val="22"/>
      <w:szCs w:val="22"/>
    </w:rPr>
  </w:style>
  <w:style w:type="character" w:customStyle="1" w:styleId="affd">
    <w:name w:val="כותרת משנה תו"/>
    <w:link w:val="affc"/>
    <w:rsid w:val="00FF331B"/>
    <w:rPr>
      <w:rFonts w:ascii="Calibri" w:eastAsia="Times New Roman" w:hAnsi="Calibri" w:cs="Arial"/>
      <w:noProof w:val="0"/>
      <w:color w:val="5A5A5A"/>
      <w:spacing w:val="15"/>
      <w:sz w:val="22"/>
      <w:szCs w:val="22"/>
    </w:rPr>
  </w:style>
  <w:style w:type="paragraph" w:styleId="affe">
    <w:name w:val="Message Header"/>
    <w:basedOn w:val="a"/>
    <w:link w:val="afff"/>
    <w:rsid w:val="00FF331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noProof w:val="0"/>
    </w:rPr>
  </w:style>
  <w:style w:type="character" w:customStyle="1" w:styleId="afff">
    <w:name w:val="כותרת עליונה של הודעה תו"/>
    <w:link w:val="affe"/>
    <w:semiHidden/>
    <w:rsid w:val="00FF331B"/>
    <w:rPr>
      <w:rFonts w:ascii="Cambria" w:eastAsia="Times New Roman" w:hAnsi="Cambria" w:cs="Times New Roman"/>
      <w:noProof w:val="0"/>
      <w:sz w:val="24"/>
      <w:szCs w:val="24"/>
      <w:shd w:val="pct20" w:color="auto" w:fill="auto"/>
    </w:rPr>
  </w:style>
  <w:style w:type="paragraph" w:styleId="afff0">
    <w:name w:val="toa heading"/>
    <w:basedOn w:val="a"/>
    <w:next w:val="a"/>
    <w:rsid w:val="00FF331B"/>
    <w:pPr>
      <w:spacing w:before="120"/>
    </w:pPr>
    <w:rPr>
      <w:rFonts w:ascii="Cambria" w:hAnsi="Cambria" w:cs="Times New Roman"/>
      <w:b/>
      <w:bCs/>
      <w:noProof w:val="0"/>
    </w:rPr>
  </w:style>
  <w:style w:type="paragraph" w:customStyle="1" w:styleId="1f0">
    <w:name w:val="כותרת תוכן עניינים1"/>
    <w:basedOn w:val="1"/>
    <w:next w:val="a"/>
    <w:uiPriority w:val="39"/>
    <w:qFormat/>
    <w:rsid w:val="00FF331B"/>
    <w:pPr>
      <w:outlineLvl w:val="9"/>
    </w:pPr>
  </w:style>
  <w:style w:type="paragraph" w:styleId="afff1">
    <w:name w:val="caption"/>
    <w:basedOn w:val="a"/>
    <w:next w:val="a"/>
    <w:qFormat/>
    <w:rsid w:val="00FF331B"/>
    <w:pPr>
      <w:spacing w:after="200"/>
    </w:pPr>
    <w:rPr>
      <w:i/>
      <w:iCs/>
      <w:noProof w:val="0"/>
      <w:color w:val="1F497D"/>
      <w:sz w:val="18"/>
      <w:szCs w:val="18"/>
    </w:rPr>
  </w:style>
  <w:style w:type="paragraph" w:styleId="afff2">
    <w:name w:val="Body Text Indent"/>
    <w:basedOn w:val="a"/>
    <w:link w:val="afff3"/>
    <w:rsid w:val="00FF331B"/>
    <w:pPr>
      <w:spacing w:after="120"/>
      <w:ind w:left="283"/>
    </w:pPr>
    <w:rPr>
      <w:noProof w:val="0"/>
    </w:rPr>
  </w:style>
  <w:style w:type="character" w:customStyle="1" w:styleId="afff3">
    <w:name w:val="כניסה בגוף טקסט תו"/>
    <w:link w:val="afff2"/>
    <w:semiHidden/>
    <w:rsid w:val="00FF331B"/>
    <w:rPr>
      <w:rFonts w:cs="David"/>
      <w:noProof w:val="0"/>
      <w:sz w:val="24"/>
      <w:szCs w:val="24"/>
    </w:rPr>
  </w:style>
  <w:style w:type="paragraph" w:styleId="29">
    <w:name w:val="Body Text Indent 2"/>
    <w:basedOn w:val="a"/>
    <w:link w:val="2a"/>
    <w:rsid w:val="00FF331B"/>
    <w:pPr>
      <w:spacing w:after="120" w:line="480" w:lineRule="auto"/>
      <w:ind w:left="283"/>
    </w:pPr>
    <w:rPr>
      <w:noProof w:val="0"/>
    </w:rPr>
  </w:style>
  <w:style w:type="character" w:customStyle="1" w:styleId="2a">
    <w:name w:val="כניסה בגוף טקסט 2 תו"/>
    <w:link w:val="29"/>
    <w:semiHidden/>
    <w:rsid w:val="00FF331B"/>
    <w:rPr>
      <w:rFonts w:cs="David"/>
      <w:noProof w:val="0"/>
      <w:sz w:val="24"/>
      <w:szCs w:val="24"/>
    </w:rPr>
  </w:style>
  <w:style w:type="paragraph" w:styleId="38">
    <w:name w:val="Body Text Indent 3"/>
    <w:basedOn w:val="a"/>
    <w:link w:val="39"/>
    <w:rsid w:val="00FF331B"/>
    <w:pPr>
      <w:spacing w:after="120"/>
      <w:ind w:left="283"/>
    </w:pPr>
    <w:rPr>
      <w:noProof w:val="0"/>
      <w:sz w:val="16"/>
      <w:szCs w:val="16"/>
    </w:rPr>
  </w:style>
  <w:style w:type="character" w:customStyle="1" w:styleId="39">
    <w:name w:val="כניסה בגוף טקסט 3 תו"/>
    <w:link w:val="38"/>
    <w:semiHidden/>
    <w:rsid w:val="00FF331B"/>
    <w:rPr>
      <w:rFonts w:cs="David"/>
      <w:noProof w:val="0"/>
      <w:sz w:val="16"/>
      <w:szCs w:val="16"/>
    </w:rPr>
  </w:style>
  <w:style w:type="paragraph" w:styleId="afff4">
    <w:name w:val="Normal Indent"/>
    <w:basedOn w:val="a"/>
    <w:rsid w:val="00FF331B"/>
    <w:pPr>
      <w:ind w:left="720"/>
    </w:pPr>
    <w:rPr>
      <w:noProof w:val="0"/>
    </w:rPr>
  </w:style>
  <w:style w:type="paragraph" w:styleId="afff5">
    <w:name w:val="Body Text First Indent"/>
    <w:basedOn w:val="af0"/>
    <w:link w:val="afff6"/>
    <w:rsid w:val="00FF331B"/>
    <w:pPr>
      <w:spacing w:after="0"/>
      <w:ind w:firstLine="360"/>
    </w:pPr>
  </w:style>
  <w:style w:type="character" w:customStyle="1" w:styleId="afff6">
    <w:name w:val="כניסת שורה ראשונה בגוף טקסט תו"/>
    <w:link w:val="afff5"/>
    <w:rsid w:val="00FF331B"/>
    <w:rPr>
      <w:rFonts w:cs="David"/>
      <w:noProof w:val="0"/>
      <w:sz w:val="24"/>
      <w:szCs w:val="24"/>
    </w:rPr>
  </w:style>
  <w:style w:type="paragraph" w:styleId="2b">
    <w:name w:val="Body Text First Indent 2"/>
    <w:basedOn w:val="afff2"/>
    <w:link w:val="2c"/>
    <w:rsid w:val="00FF331B"/>
    <w:pPr>
      <w:spacing w:after="0"/>
      <w:ind w:left="360" w:firstLine="360"/>
    </w:pPr>
  </w:style>
  <w:style w:type="character" w:customStyle="1" w:styleId="2c">
    <w:name w:val="כניסת שורה ראשונה בגוף טקסט 2 תו"/>
    <w:link w:val="2b"/>
    <w:semiHidden/>
    <w:rsid w:val="00FF331B"/>
    <w:rPr>
      <w:rFonts w:cs="David"/>
      <w:noProof w:val="0"/>
      <w:sz w:val="24"/>
      <w:szCs w:val="24"/>
    </w:rPr>
  </w:style>
  <w:style w:type="paragraph" w:styleId="HTML2">
    <w:name w:val="HTML Address"/>
    <w:basedOn w:val="a"/>
    <w:link w:val="HTML3"/>
    <w:rsid w:val="00FF331B"/>
    <w:rPr>
      <w:i/>
      <w:iCs/>
      <w:noProof w:val="0"/>
    </w:rPr>
  </w:style>
  <w:style w:type="character" w:customStyle="1" w:styleId="HTML3">
    <w:name w:val="כתובת HTML תו"/>
    <w:link w:val="HTML2"/>
    <w:semiHidden/>
    <w:rsid w:val="00FF331B"/>
    <w:rPr>
      <w:rFonts w:cs="David"/>
      <w:i/>
      <w:iCs/>
      <w:noProof w:val="0"/>
      <w:sz w:val="24"/>
      <w:szCs w:val="24"/>
    </w:rPr>
  </w:style>
  <w:style w:type="paragraph" w:styleId="afff7">
    <w:name w:val="envelope address"/>
    <w:basedOn w:val="a"/>
    <w:rsid w:val="00FF331B"/>
    <w:pPr>
      <w:framePr w:w="7920" w:h="1980" w:hRule="exact" w:hSpace="180" w:wrap="auto" w:hAnchor="page" w:xAlign="center" w:yAlign="bottom"/>
      <w:ind w:left="2880"/>
    </w:pPr>
    <w:rPr>
      <w:rFonts w:ascii="Cambria" w:hAnsi="Cambria" w:cs="Times New Roman"/>
      <w:noProof w:val="0"/>
    </w:rPr>
  </w:style>
  <w:style w:type="paragraph" w:styleId="afff8">
    <w:name w:val="envelope return"/>
    <w:basedOn w:val="a"/>
    <w:rsid w:val="00FF331B"/>
    <w:rPr>
      <w:rFonts w:ascii="Cambria" w:hAnsi="Cambria" w:cs="Times New Roman"/>
      <w:noProof w:val="0"/>
      <w:sz w:val="20"/>
      <w:szCs w:val="20"/>
    </w:rPr>
  </w:style>
  <w:style w:type="paragraph" w:customStyle="1" w:styleId="1f1">
    <w:name w:val="ללא מרווח1"/>
    <w:uiPriority w:val="1"/>
    <w:qFormat/>
    <w:rsid w:val="00FF331B"/>
    <w:pPr>
      <w:bidi/>
    </w:pPr>
    <w:rPr>
      <w:rFonts w:cs="David"/>
      <w:sz w:val="24"/>
      <w:szCs w:val="24"/>
      <w:lang w:bidi="he-IL"/>
    </w:rPr>
  </w:style>
  <w:style w:type="character" w:styleId="HTML4">
    <w:name w:val="HTML Typewriter"/>
    <w:rsid w:val="00FF331B"/>
    <w:rPr>
      <w:rFonts w:ascii="Consolas" w:hAnsi="Consolas"/>
      <w:noProof w:val="0"/>
      <w:sz w:val="20"/>
      <w:szCs w:val="20"/>
    </w:rPr>
  </w:style>
  <w:style w:type="paragraph" w:styleId="afff9">
    <w:name w:val="Document Map"/>
    <w:basedOn w:val="a"/>
    <w:link w:val="afffa"/>
    <w:rsid w:val="00FF331B"/>
    <w:rPr>
      <w:rFonts w:ascii="Tahoma" w:hAnsi="Tahoma" w:cs="Tahoma"/>
      <w:sz w:val="16"/>
      <w:szCs w:val="16"/>
    </w:rPr>
  </w:style>
  <w:style w:type="character" w:customStyle="1" w:styleId="afffa">
    <w:name w:val="מפת מסמך תו"/>
    <w:link w:val="afff9"/>
    <w:semiHidden/>
    <w:rsid w:val="00FF331B"/>
    <w:rPr>
      <w:rFonts w:ascii="Tahoma" w:hAnsi="Tahoma" w:cs="Tahoma"/>
      <w:noProof/>
      <w:sz w:val="16"/>
      <w:szCs w:val="16"/>
    </w:rPr>
  </w:style>
  <w:style w:type="paragraph" w:customStyle="1" w:styleId="Ruller4">
    <w:name w:val="Ruller 4 ממוספר"/>
    <w:basedOn w:val="Ruller41"/>
    <w:next w:val="Ruller41"/>
    <w:rsid w:val="00FF331B"/>
    <w:pPr>
      <w:numPr>
        <w:numId w:val="11"/>
      </w:numPr>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nevo.co.il/case/6202712" TargetMode="External"/><Relationship Id="rId21" Type="http://schemas.openxmlformats.org/officeDocument/2006/relationships/hyperlink" Target="http://www.nevo.co.il/law/98566/30.b" TargetMode="External"/><Relationship Id="rId42" Type="http://schemas.openxmlformats.org/officeDocument/2006/relationships/hyperlink" Target="http://www.nevo.co.il/law/72178" TargetMode="External"/><Relationship Id="rId47" Type="http://schemas.openxmlformats.org/officeDocument/2006/relationships/hyperlink" Target="http://www.nevo.co.il/case/5769724" TargetMode="External"/><Relationship Id="rId63" Type="http://schemas.openxmlformats.org/officeDocument/2006/relationships/hyperlink" Target="http://www.nevo.co.il/law/98566/1.b" TargetMode="External"/><Relationship Id="rId68" Type="http://schemas.openxmlformats.org/officeDocument/2006/relationships/hyperlink" Target="http://www.nevo.co.il/case/28885884" TargetMode="External"/><Relationship Id="rId84" Type="http://schemas.openxmlformats.org/officeDocument/2006/relationships/hyperlink" Target="http://www.nevo.co.il/law/98566/30.b" TargetMode="External"/><Relationship Id="rId89" Type="http://schemas.openxmlformats.org/officeDocument/2006/relationships/hyperlink" Target="http://www.nevo.co.il/law/98566/30.b" TargetMode="External"/><Relationship Id="rId7" Type="http://schemas.openxmlformats.org/officeDocument/2006/relationships/hyperlink" Target="http://www.nevo.co.il/case/30068785" TargetMode="External"/><Relationship Id="rId71" Type="http://schemas.openxmlformats.org/officeDocument/2006/relationships/hyperlink" Target="http://www.nevo.co.il/case/22282372" TargetMode="External"/><Relationship Id="rId92" Type="http://schemas.openxmlformats.org/officeDocument/2006/relationships/hyperlink" Target="http://www.nevo.co.il/law/98566/30.b" TargetMode="External"/><Relationship Id="rId2" Type="http://schemas.openxmlformats.org/officeDocument/2006/relationships/styles" Target="styles.xml"/><Relationship Id="rId16" Type="http://schemas.openxmlformats.org/officeDocument/2006/relationships/hyperlink" Target="http://www.nevo.co.il/law/98566/30.b" TargetMode="External"/><Relationship Id="rId29" Type="http://schemas.openxmlformats.org/officeDocument/2006/relationships/hyperlink" Target="http://www.nevo.co.il/law/98566/29" TargetMode="External"/><Relationship Id="rId11" Type="http://schemas.openxmlformats.org/officeDocument/2006/relationships/hyperlink" Target="http://www.nevo.co.il/law/98566/30.b" TargetMode="External"/><Relationship Id="rId24" Type="http://schemas.openxmlformats.org/officeDocument/2006/relationships/hyperlink" Target="http://www.nevo.co.il/law/98566/16.1" TargetMode="External"/><Relationship Id="rId32" Type="http://schemas.openxmlformats.org/officeDocument/2006/relationships/hyperlink" Target="http://www.nevo.co.il/law/98566/30" TargetMode="External"/><Relationship Id="rId37" Type="http://schemas.openxmlformats.org/officeDocument/2006/relationships/hyperlink" Target="http://www.nevo.co.il/case/17003547" TargetMode="External"/><Relationship Id="rId40" Type="http://schemas.openxmlformats.org/officeDocument/2006/relationships/hyperlink" Target="http://www.nevo.co.il/safrut/book/4052" TargetMode="External"/><Relationship Id="rId45" Type="http://schemas.openxmlformats.org/officeDocument/2006/relationships/hyperlink" Target="http://www.nevo.co.il/case/5753731" TargetMode="External"/><Relationship Id="rId53" Type="http://schemas.openxmlformats.org/officeDocument/2006/relationships/hyperlink" Target="http://www.nevo.co.il/law/98566/30.b" TargetMode="External"/><Relationship Id="rId58" Type="http://schemas.openxmlformats.org/officeDocument/2006/relationships/hyperlink" Target="http://www.nevo.co.il/law/98566" TargetMode="External"/><Relationship Id="rId66" Type="http://schemas.openxmlformats.org/officeDocument/2006/relationships/hyperlink" Target="http://www.nevo.co.il/law/98566" TargetMode="External"/><Relationship Id="rId74" Type="http://schemas.openxmlformats.org/officeDocument/2006/relationships/hyperlink" Target="http://www.nevo.co.il/law/98566/1.b" TargetMode="External"/><Relationship Id="rId79" Type="http://schemas.openxmlformats.org/officeDocument/2006/relationships/hyperlink" Target="http://www.nevo.co.il/law/98566/30.b" TargetMode="External"/><Relationship Id="rId87" Type="http://schemas.openxmlformats.org/officeDocument/2006/relationships/hyperlink" Target="http://www.nevo.co.il/law/98566/30.b" TargetMode="External"/><Relationship Id="rId102"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nevo.co.il/safrut/bookgroup/360" TargetMode="External"/><Relationship Id="rId82" Type="http://schemas.openxmlformats.org/officeDocument/2006/relationships/hyperlink" Target="http://www.nevo.co.il/law/98566/30.b" TargetMode="External"/><Relationship Id="rId90" Type="http://schemas.openxmlformats.org/officeDocument/2006/relationships/hyperlink" Target="http://www.nevo.co.il/law/98566/30.b" TargetMode="External"/><Relationship Id="rId95" Type="http://schemas.openxmlformats.org/officeDocument/2006/relationships/hyperlink" Target="http://www.nevo.co.il/law/98566/30.b" TargetMode="External"/><Relationship Id="rId19" Type="http://schemas.openxmlformats.org/officeDocument/2006/relationships/hyperlink" Target="http://www.nevo.co.il/law/98566/30.b" TargetMode="External"/><Relationship Id="rId14" Type="http://schemas.openxmlformats.org/officeDocument/2006/relationships/hyperlink" Target="http://www.nevo.co.il/law/98566/30.b" TargetMode="External"/><Relationship Id="rId22" Type="http://schemas.openxmlformats.org/officeDocument/2006/relationships/hyperlink" Target="http://www.nevo.co.il/law/98566/30.b" TargetMode="External"/><Relationship Id="rId27" Type="http://schemas.openxmlformats.org/officeDocument/2006/relationships/hyperlink" Target="http://www.nevo.co.il/law/98566/30" TargetMode="External"/><Relationship Id="rId30" Type="http://schemas.openxmlformats.org/officeDocument/2006/relationships/hyperlink" Target="http://www.nevo.co.il/law/74888" TargetMode="External"/><Relationship Id="rId35" Type="http://schemas.openxmlformats.org/officeDocument/2006/relationships/hyperlink" Target="http://www.nevo.co.il/safrut/bookgroup/4211" TargetMode="External"/><Relationship Id="rId43" Type="http://schemas.openxmlformats.org/officeDocument/2006/relationships/hyperlink" Target="http://www.nevo.co.il/law/98566/16.3" TargetMode="External"/><Relationship Id="rId48" Type="http://schemas.openxmlformats.org/officeDocument/2006/relationships/hyperlink" Target="http://www.nevo.co.il/case/20186187" TargetMode="External"/><Relationship Id="rId56" Type="http://schemas.openxmlformats.org/officeDocument/2006/relationships/hyperlink" Target="http://www.nevo.co.il/safrut/bookgroup/3042" TargetMode="External"/><Relationship Id="rId64" Type="http://schemas.openxmlformats.org/officeDocument/2006/relationships/hyperlink" Target="http://www.nevo.co.il/law/98566/1.b" TargetMode="External"/><Relationship Id="rId69" Type="http://schemas.openxmlformats.org/officeDocument/2006/relationships/hyperlink" Target="http://www.nevo.co.il/law/98566/1.b" TargetMode="External"/><Relationship Id="rId77" Type="http://schemas.openxmlformats.org/officeDocument/2006/relationships/hyperlink" Target="http://www.nevo.co.il/law/98566/30.b" TargetMode="External"/><Relationship Id="rId100" Type="http://schemas.openxmlformats.org/officeDocument/2006/relationships/header" Target="header2.xml"/><Relationship Id="rId8" Type="http://schemas.openxmlformats.org/officeDocument/2006/relationships/hyperlink" Target="http://www.nevo.co.il/case/30068785" TargetMode="External"/><Relationship Id="rId51" Type="http://schemas.openxmlformats.org/officeDocument/2006/relationships/hyperlink" Target="http://www.nevo.co.il/law/98566/30.b" TargetMode="External"/><Relationship Id="rId72" Type="http://schemas.openxmlformats.org/officeDocument/2006/relationships/hyperlink" Target="http://www.nevo.co.il/case/6190151" TargetMode="External"/><Relationship Id="rId80" Type="http://schemas.openxmlformats.org/officeDocument/2006/relationships/hyperlink" Target="http://www.nevo.co.il/safrut/bookgroup/1097" TargetMode="External"/><Relationship Id="rId85" Type="http://schemas.openxmlformats.org/officeDocument/2006/relationships/hyperlink" Target="http://www.nevo.co.il/law/98566/30.b" TargetMode="External"/><Relationship Id="rId93" Type="http://schemas.openxmlformats.org/officeDocument/2006/relationships/hyperlink" Target="http://www.nevo.co.il/law/98566/30.b" TargetMode="External"/><Relationship Id="rId98" Type="http://schemas.openxmlformats.org/officeDocument/2006/relationships/hyperlink" Target="http://www.nevo.co.il/law/70331" TargetMode="External"/><Relationship Id="rId3" Type="http://schemas.openxmlformats.org/officeDocument/2006/relationships/settings" Target="settings.xml"/><Relationship Id="rId12" Type="http://schemas.openxmlformats.org/officeDocument/2006/relationships/hyperlink" Target="http://www.nevo.co.il/law/98566/30.b" TargetMode="External"/><Relationship Id="rId17" Type="http://schemas.openxmlformats.org/officeDocument/2006/relationships/hyperlink" Target="http://www.nevo.co.il/law/98566/30.b" TargetMode="External"/><Relationship Id="rId25" Type="http://schemas.openxmlformats.org/officeDocument/2006/relationships/hyperlink" Target="http://www.nevo.co.il/case/6190151" TargetMode="External"/><Relationship Id="rId33" Type="http://schemas.openxmlformats.org/officeDocument/2006/relationships/hyperlink" Target="http://www.nevo.co.il/law/98566/30.b" TargetMode="External"/><Relationship Id="rId38" Type="http://schemas.openxmlformats.org/officeDocument/2006/relationships/hyperlink" Target="http://www.nevo.co.il/case/17918434" TargetMode="External"/><Relationship Id="rId46" Type="http://schemas.openxmlformats.org/officeDocument/2006/relationships/hyperlink" Target="http://www.nevo.co.il/case/5957838" TargetMode="External"/><Relationship Id="rId59" Type="http://schemas.openxmlformats.org/officeDocument/2006/relationships/hyperlink" Target="http://www.nevo.co.il/law/98566/30.b" TargetMode="External"/><Relationship Id="rId67" Type="http://schemas.openxmlformats.org/officeDocument/2006/relationships/hyperlink" Target="http://www.nevo.co.il/law/98566/1.b" TargetMode="External"/><Relationship Id="rId103" Type="http://schemas.openxmlformats.org/officeDocument/2006/relationships/fontTable" Target="fontTable.xml"/><Relationship Id="rId20" Type="http://schemas.openxmlformats.org/officeDocument/2006/relationships/hyperlink" Target="http://www.nevo.co.il/law/98566/30.b" TargetMode="External"/><Relationship Id="rId41" Type="http://schemas.openxmlformats.org/officeDocument/2006/relationships/hyperlink" Target="http://www.nevo.co.il/law/72178/16.c" TargetMode="External"/><Relationship Id="rId54" Type="http://schemas.openxmlformats.org/officeDocument/2006/relationships/hyperlink" Target="http://www.nevo.co.il/law/98566" TargetMode="External"/><Relationship Id="rId62" Type="http://schemas.openxmlformats.org/officeDocument/2006/relationships/hyperlink" Target="http://www.nevo.co.il/law/98566/1.b" TargetMode="External"/><Relationship Id="rId70" Type="http://schemas.openxmlformats.org/officeDocument/2006/relationships/hyperlink" Target="http://www.nevo.co.il/case/27810978" TargetMode="External"/><Relationship Id="rId75" Type="http://schemas.openxmlformats.org/officeDocument/2006/relationships/hyperlink" Target="http://www.nevo.co.il/law/98566/30.b" TargetMode="External"/><Relationship Id="rId83" Type="http://schemas.openxmlformats.org/officeDocument/2006/relationships/hyperlink" Target="http://www.nevo.co.il/law/98566/30.b" TargetMode="External"/><Relationship Id="rId88" Type="http://schemas.openxmlformats.org/officeDocument/2006/relationships/hyperlink" Target="http://www.nevo.co.il/law/98566/30.b" TargetMode="External"/><Relationship Id="rId91" Type="http://schemas.openxmlformats.org/officeDocument/2006/relationships/hyperlink" Target="http://www.nevo.co.il/law/98566/30.b" TargetMode="External"/><Relationship Id="rId96" Type="http://schemas.openxmlformats.org/officeDocument/2006/relationships/hyperlink" Target="http://www.nevo.co.il/law/98566/30.b"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evo.co.il/law/72178" TargetMode="External"/><Relationship Id="rId23" Type="http://schemas.openxmlformats.org/officeDocument/2006/relationships/hyperlink" Target="http://www.nevo.co.il/law/98566/16" TargetMode="External"/><Relationship Id="rId28" Type="http://schemas.openxmlformats.org/officeDocument/2006/relationships/hyperlink" Target="http://www.nevo.co.il/law/98566/34" TargetMode="External"/><Relationship Id="rId36" Type="http://schemas.openxmlformats.org/officeDocument/2006/relationships/hyperlink" Target="http://www.nevo.co.il/law/71905" TargetMode="External"/><Relationship Id="rId49" Type="http://schemas.openxmlformats.org/officeDocument/2006/relationships/hyperlink" Target="http://www.nevo.co.il/safrut/bookgroup/4211" TargetMode="External"/><Relationship Id="rId57" Type="http://schemas.openxmlformats.org/officeDocument/2006/relationships/hyperlink" Target="http://www.nevo.co.il/safrut/bookgroup/2340" TargetMode="External"/><Relationship Id="rId10" Type="http://schemas.openxmlformats.org/officeDocument/2006/relationships/hyperlink" Target="http://www.nevo.co.il/law/98566" TargetMode="External"/><Relationship Id="rId31" Type="http://schemas.openxmlformats.org/officeDocument/2006/relationships/hyperlink" Target="http://www.nevo.co.il/law/74888/3" TargetMode="External"/><Relationship Id="rId44" Type="http://schemas.openxmlformats.org/officeDocument/2006/relationships/hyperlink" Target="http://www.nevo.co.il/case/6248783" TargetMode="External"/><Relationship Id="rId52" Type="http://schemas.openxmlformats.org/officeDocument/2006/relationships/hyperlink" Target="http://www.nevo.co.il/law/98566/30.b" TargetMode="External"/><Relationship Id="rId60" Type="http://schemas.openxmlformats.org/officeDocument/2006/relationships/hyperlink" Target="http://www.nevo.co.il/case/17930333" TargetMode="External"/><Relationship Id="rId65" Type="http://schemas.openxmlformats.org/officeDocument/2006/relationships/hyperlink" Target="http://www.nevo.co.il/law/74880" TargetMode="External"/><Relationship Id="rId73" Type="http://schemas.openxmlformats.org/officeDocument/2006/relationships/hyperlink" Target="http://www.nevo.co.il/case/17930445" TargetMode="External"/><Relationship Id="rId78" Type="http://schemas.openxmlformats.org/officeDocument/2006/relationships/hyperlink" Target="http://www.nevo.co.il/law/98566/30.b" TargetMode="External"/><Relationship Id="rId81" Type="http://schemas.openxmlformats.org/officeDocument/2006/relationships/hyperlink" Target="http://www.nevo.co.il/law/98566/30.b" TargetMode="External"/><Relationship Id="rId86" Type="http://schemas.openxmlformats.org/officeDocument/2006/relationships/hyperlink" Target="http://www.nevo.co.il/law/98566/30.b" TargetMode="External"/><Relationship Id="rId94" Type="http://schemas.openxmlformats.org/officeDocument/2006/relationships/hyperlink" Target="http://www.nevo.co.il/law/98566/30.b"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vo.co.il/law/98566/30.b" TargetMode="External"/><Relationship Id="rId13" Type="http://schemas.openxmlformats.org/officeDocument/2006/relationships/hyperlink" Target="http://www.nevo.co.il/law/98566/30.b" TargetMode="External"/><Relationship Id="rId18" Type="http://schemas.openxmlformats.org/officeDocument/2006/relationships/hyperlink" Target="http://www.nevo.co.il/law/98566/30.b" TargetMode="External"/><Relationship Id="rId39" Type="http://schemas.openxmlformats.org/officeDocument/2006/relationships/hyperlink" Target="http://www.nevo.co.il/case/6245419" TargetMode="External"/><Relationship Id="rId34" Type="http://schemas.openxmlformats.org/officeDocument/2006/relationships/hyperlink" Target="http://www.nevo.co.il/law/98566/30.b" TargetMode="External"/><Relationship Id="rId50" Type="http://schemas.openxmlformats.org/officeDocument/2006/relationships/hyperlink" Target="http://www.nevo.co.il/law/71905" TargetMode="External"/><Relationship Id="rId55" Type="http://schemas.openxmlformats.org/officeDocument/2006/relationships/hyperlink" Target="http://www.nevo.co.il/safrut/bookgroup/429" TargetMode="External"/><Relationship Id="rId76" Type="http://schemas.openxmlformats.org/officeDocument/2006/relationships/hyperlink" Target="http://www.nevo.co.il/law/98566/30.b" TargetMode="External"/><Relationship Id="rId97" Type="http://schemas.openxmlformats.org/officeDocument/2006/relationships/hyperlink" Target="http://www.nevo.co.il/law/70331/2" TargetMode="External"/><Relationship Id="rId10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8608</Words>
  <Characters>43041</Characters>
  <Application>Microsoft Office Word</Application>
  <DocSecurity>0</DocSecurity>
  <Lines>358</Lines>
  <Paragraphs>103</Paragraphs>
  <ScaleCrop>false</ScaleCrop>
  <Company/>
  <LinksUpToDate>false</LinksUpToDate>
  <CharactersWithSpaces>51546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2024-10-10T01:51:00Z</dcterms:created>
  <dcterms:modified xsi:type="dcterms:W3CDTF">2024-10-10T01:51:00Z</dcterms:modified>
</cp:coreProperties>
</file>