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B6D4" w14:textId="5B3DF1DE" w:rsidR="00000000" w:rsidRDefault="00000000">
      <w:pPr>
        <w:divId w:val="1653679903"/>
        <w:rPr>
          <w:rFonts w:ascii="David" w:eastAsia="Times New Roman" w:hAnsi="David" w:cs="David"/>
        </w:rPr>
      </w:pPr>
    </w:p>
    <w:p w14:paraId="3E34D176" w14:textId="77777777" w:rsidR="00000000" w:rsidRDefault="00000000">
      <w:pPr>
        <w:pStyle w:val="idhidden"/>
        <w:rPr>
          <w:rFonts w:ascii="David" w:hAnsi="David" w:cs="David"/>
        </w:rPr>
      </w:pPr>
      <w:r>
        <w:rPr>
          <w:rFonts w:ascii="David" w:hAnsi="David" w:cs="David"/>
        </w:rPr>
        <w:t>takd_id: עחדלפ@40968-11-25;takd_s:20260224;takd_d:24.02.2026;takd_u:03.03.2026;mms_s:מחוזי;mms_p:17854;mms_y:2026;mms_v:1;orig_filename:3435c48df90840239c73047686ac1fa4.html;taktzir_exist:0;kt_exist:0;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40B343C1" w14:textId="77777777">
        <w:trPr>
          <w:trHeight w:val="704"/>
          <w:jc w:val="center"/>
        </w:trPr>
        <w:tc>
          <w:tcPr>
            <w:tcW w:w="8721" w:type="dxa"/>
            <w:gridSpan w:val="2"/>
            <w:tcMar>
              <w:top w:w="0" w:type="dxa"/>
              <w:left w:w="108" w:type="dxa"/>
              <w:bottom w:w="0" w:type="dxa"/>
              <w:right w:w="108" w:type="dxa"/>
            </w:tcMar>
            <w:hideMark/>
          </w:tcPr>
          <w:p w14:paraId="0B546BAB" w14:textId="77777777" w:rsidR="00000000" w:rsidRDefault="00000000">
            <w:pPr>
              <w:pStyle w:val="a3"/>
              <w:bidi/>
              <w:jc w:val="center"/>
            </w:pPr>
            <w:r>
              <w:rPr>
                <w:rStyle w:val="f4dinim"/>
                <w:rFonts w:ascii="David" w:hAnsi="David" w:cs="David"/>
                <w:color w:val="000080"/>
                <w:sz w:val="32"/>
                <w:szCs w:val="32"/>
                <w:rtl/>
              </w:rPr>
              <w:t>בית המשפט המחוזי בנוף הגליל-נצרת</w:t>
            </w:r>
          </w:p>
        </w:tc>
      </w:tr>
      <w:tr w:rsidR="00000000" w14:paraId="6C937F05" w14:textId="77777777">
        <w:trPr>
          <w:trHeight w:val="337"/>
          <w:jc w:val="center"/>
        </w:trPr>
        <w:tc>
          <w:tcPr>
            <w:tcW w:w="5047" w:type="dxa"/>
            <w:tcMar>
              <w:top w:w="0" w:type="dxa"/>
              <w:left w:w="108" w:type="dxa"/>
              <w:bottom w:w="0" w:type="dxa"/>
              <w:right w:w="108" w:type="dxa"/>
            </w:tcMar>
            <w:hideMark/>
          </w:tcPr>
          <w:p w14:paraId="383B2BA4" w14:textId="77777777" w:rsidR="00000000" w:rsidRDefault="00000000">
            <w:pPr>
              <w:bidi/>
              <w:rPr>
                <w:rtl/>
              </w:rPr>
            </w:pPr>
            <w:r>
              <w:rPr>
                <w:rFonts w:ascii="David" w:hAnsi="David" w:cs="David"/>
                <w:b/>
                <w:bCs/>
                <w:sz w:val="26"/>
                <w:szCs w:val="26"/>
                <w:rtl/>
              </w:rPr>
              <w:t> </w:t>
            </w:r>
          </w:p>
        </w:tc>
        <w:tc>
          <w:tcPr>
            <w:tcW w:w="3674" w:type="dxa"/>
            <w:tcMar>
              <w:top w:w="0" w:type="dxa"/>
              <w:left w:w="108" w:type="dxa"/>
              <w:bottom w:w="0" w:type="dxa"/>
              <w:right w:w="108" w:type="dxa"/>
            </w:tcMar>
            <w:hideMark/>
          </w:tcPr>
          <w:p w14:paraId="5105F4F7" w14:textId="77777777" w:rsidR="00000000" w:rsidRDefault="00000000">
            <w:pPr>
              <w:pStyle w:val="a3"/>
              <w:bidi/>
              <w:jc w:val="right"/>
              <w:rPr>
                <w:rtl/>
              </w:rPr>
            </w:pPr>
            <w:r>
              <w:rPr>
                <w:rFonts w:ascii="David" w:hAnsi="David" w:cs="David"/>
                <w:b/>
                <w:bCs/>
                <w:sz w:val="26"/>
                <w:szCs w:val="26"/>
                <w:rtl/>
              </w:rPr>
              <w:t> </w:t>
            </w:r>
          </w:p>
        </w:tc>
      </w:tr>
      <w:tr w:rsidR="00000000" w14:paraId="28FFA83E" w14:textId="77777777">
        <w:trPr>
          <w:trHeight w:val="337"/>
          <w:jc w:val="center"/>
        </w:trPr>
        <w:tc>
          <w:tcPr>
            <w:tcW w:w="8721" w:type="dxa"/>
            <w:gridSpan w:val="2"/>
            <w:tcMar>
              <w:top w:w="0" w:type="dxa"/>
              <w:left w:w="108" w:type="dxa"/>
              <w:bottom w:w="0" w:type="dxa"/>
              <w:right w:w="108" w:type="dxa"/>
            </w:tcMar>
            <w:hideMark/>
          </w:tcPr>
          <w:p w14:paraId="717CD41B" w14:textId="77777777" w:rsidR="00000000" w:rsidRDefault="00000000">
            <w:pPr>
              <w:bidi/>
              <w:rPr>
                <w:rtl/>
              </w:rPr>
            </w:pPr>
            <w:r>
              <w:rPr>
                <w:rStyle w:val="f40dinim"/>
                <w:rFonts w:ascii="David" w:hAnsi="David" w:cs="David"/>
                <w:color w:val="000000"/>
                <w:sz w:val="28"/>
                <w:szCs w:val="28"/>
                <w:rtl/>
              </w:rPr>
              <w:t>עחדל"פ 40968-11-25</w:t>
            </w:r>
            <w:r>
              <w:rPr>
                <w:rFonts w:ascii="David" w:hAnsi="David" w:cs="David"/>
                <w:sz w:val="28"/>
                <w:szCs w:val="28"/>
                <w:rtl/>
              </w:rPr>
              <w:t xml:space="preserve"> בסול נ' ממונה על חדלות פירעון - מחוז חיפה והצפון ואח' </w:t>
            </w:r>
          </w:p>
          <w:p w14:paraId="5CE20239" w14:textId="77777777" w:rsidR="00000000" w:rsidRDefault="00000000">
            <w:pPr>
              <w:bidi/>
              <w:rPr>
                <w:rtl/>
              </w:rPr>
            </w:pPr>
            <w:r>
              <w:rPr>
                <w:rFonts w:ascii="David" w:hAnsi="David" w:cs="David"/>
                <w:b/>
                <w:bCs/>
                <w:sz w:val="2"/>
                <w:szCs w:val="2"/>
                <w:rtl/>
              </w:rPr>
              <w:t> </w:t>
            </w:r>
          </w:p>
          <w:p w14:paraId="657C2CA1" w14:textId="77777777" w:rsidR="00000000" w:rsidRDefault="00000000">
            <w:pPr>
              <w:bidi/>
              <w:rPr>
                <w:rtl/>
              </w:rPr>
            </w:pPr>
            <w:r>
              <w:rPr>
                <w:rFonts w:ascii="David" w:hAnsi="David" w:cs="David"/>
                <w:sz w:val="20"/>
                <w:szCs w:val="20"/>
                <w:rtl/>
              </w:rPr>
              <w:t> </w:t>
            </w:r>
          </w:p>
          <w:p w14:paraId="67C91A37" w14:textId="77777777" w:rsidR="00000000" w:rsidRDefault="00000000">
            <w:pPr>
              <w:bidi/>
              <w:rPr>
                <w:rtl/>
              </w:rPr>
            </w:pPr>
            <w:r>
              <w:rPr>
                <w:rFonts w:ascii="David" w:hAnsi="David" w:cs="David"/>
                <w:sz w:val="20"/>
                <w:szCs w:val="20"/>
                <w:rtl/>
              </w:rPr>
              <w:t xml:space="preserve">תיק חיצוני: 386842_4 </w:t>
            </w:r>
          </w:p>
        </w:tc>
      </w:tr>
    </w:tbl>
    <w:p w14:paraId="72E61A74" w14:textId="77777777" w:rsidR="00000000" w:rsidRDefault="00000000">
      <w:pPr>
        <w:bidi/>
        <w:rPr>
          <w:rtl/>
        </w:rPr>
      </w:pPr>
      <w:r>
        <w:rPr>
          <w:rFonts w:ascii="David" w:hAnsi="David" w:cs="David"/>
          <w:sz w:val="28"/>
          <w:szCs w:val="28"/>
          <w:rtl/>
        </w:rPr>
        <w:t> </w:t>
      </w:r>
    </w:p>
    <w:p w14:paraId="0091BC5F" w14:textId="77777777" w:rsidR="00000000" w:rsidRDefault="00000000">
      <w:pPr>
        <w:bidi/>
        <w:rPr>
          <w:rtl/>
        </w:rPr>
      </w:pPr>
      <w:r>
        <w:rPr>
          <w:rFonts w:ascii="David" w:hAnsi="David" w:cs="David"/>
          <w:sz w:val="28"/>
          <w:szCs w:val="28"/>
          <w:rtl/>
        </w:rPr>
        <w:t> </w:t>
      </w:r>
    </w:p>
    <w:tbl>
      <w:tblPr>
        <w:bidiVisual/>
        <w:tblW w:w="8820" w:type="dxa"/>
        <w:tblCellMar>
          <w:left w:w="0" w:type="dxa"/>
          <w:right w:w="0" w:type="dxa"/>
        </w:tblCellMar>
        <w:tblLook w:val="04A0" w:firstRow="1" w:lastRow="0" w:firstColumn="1" w:lastColumn="0" w:noHBand="0" w:noVBand="1"/>
      </w:tblPr>
      <w:tblGrid>
        <w:gridCol w:w="750"/>
        <w:gridCol w:w="2503"/>
        <w:gridCol w:w="5567"/>
      </w:tblGrid>
      <w:tr w:rsidR="00000000" w14:paraId="054712F3" w14:textId="77777777">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F42F19" w14:textId="77777777" w:rsidR="00000000" w:rsidRDefault="00000000">
            <w:pPr>
              <w:bidi/>
              <w:jc w:val="both"/>
              <w:rPr>
                <w:rtl/>
              </w:rPr>
            </w:pPr>
            <w:r>
              <w:rPr>
                <w:rFonts w:ascii="David" w:hAnsi="David" w:cs="David"/>
                <w:b/>
                <w:bCs/>
                <w:sz w:val="28"/>
                <w:szCs w:val="28"/>
                <w:rtl/>
              </w:rPr>
              <w:t xml:space="preserve">לפני </w:t>
            </w:r>
          </w:p>
        </w:tc>
        <w:tc>
          <w:tcPr>
            <w:tcW w:w="80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FC0D4" w14:textId="77777777" w:rsidR="00000000" w:rsidRDefault="00000000">
            <w:pPr>
              <w:bidi/>
              <w:rPr>
                <w:rtl/>
              </w:rPr>
            </w:pPr>
            <w:r>
              <w:rPr>
                <w:rStyle w:val="f41dinim"/>
                <w:rFonts w:ascii="David" w:hAnsi="David" w:cs="David"/>
                <w:b/>
                <w:bCs/>
                <w:color w:val="000000"/>
                <w:sz w:val="28"/>
                <w:szCs w:val="28"/>
                <w:rtl/>
              </w:rPr>
              <w:t>כבוד השופטת ג'מילה ג'בארין כליפה</w:t>
            </w:r>
          </w:p>
          <w:p w14:paraId="3A5555DD" w14:textId="77777777" w:rsidR="00000000" w:rsidRDefault="00000000">
            <w:pPr>
              <w:bidi/>
              <w:rPr>
                <w:rtl/>
              </w:rPr>
            </w:pPr>
            <w:r>
              <w:rPr>
                <w:rStyle w:val="f41dinim"/>
                <w:rFonts w:ascii="David" w:hAnsi="David" w:cs="David"/>
                <w:b/>
                <w:bCs/>
                <w:sz w:val="28"/>
                <w:szCs w:val="28"/>
                <w:rtl/>
              </w:rPr>
              <w:t> </w:t>
            </w:r>
          </w:p>
          <w:p w14:paraId="76CBD8BF" w14:textId="77777777" w:rsidR="00000000" w:rsidRDefault="00000000">
            <w:pPr>
              <w:bidi/>
              <w:rPr>
                <w:rtl/>
              </w:rPr>
            </w:pPr>
            <w:r>
              <w:rPr>
                <w:rStyle w:val="f13hdinim"/>
                <w:rFonts w:ascii="David" w:hAnsi="David" w:cs="David"/>
                <w:sz w:val="28"/>
                <w:szCs w:val="28"/>
              </w:rPr>
              <w:t> </w:t>
            </w:r>
          </w:p>
        </w:tc>
      </w:tr>
      <w:tr w:rsidR="00000000" w14:paraId="00D594B8"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E95A0" w14:textId="77777777" w:rsidR="00000000" w:rsidRDefault="00000000">
            <w:pPr>
              <w:bidi/>
              <w:rPr>
                <w:rtl/>
              </w:rPr>
            </w:pPr>
            <w:r>
              <w:rPr>
                <w:rFonts w:ascii="David" w:hAnsi="David" w:cs="David"/>
                <w:b/>
                <w:bCs/>
                <w:sz w:val="28"/>
                <w:szCs w:val="28"/>
              </w:rPr>
              <w:t> </w:t>
            </w:r>
          </w:p>
          <w:p w14:paraId="4EAEC815" w14:textId="77777777" w:rsidR="00000000" w:rsidRDefault="00000000">
            <w:pPr>
              <w:bidi/>
              <w:rPr>
                <w:rtl/>
              </w:rPr>
            </w:pPr>
            <w:r>
              <w:rPr>
                <w:rFonts w:ascii="David" w:hAnsi="David" w:cs="David"/>
                <w:b/>
                <w:bCs/>
                <w:sz w:val="28"/>
                <w:szCs w:val="28"/>
                <w:rtl/>
              </w:rPr>
              <w:t>מערערים</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223EA6DF" w14:textId="77777777" w:rsidR="00000000" w:rsidRDefault="00000000">
            <w:pPr>
              <w:bidi/>
              <w:rPr>
                <w:rtl/>
              </w:rPr>
            </w:pPr>
            <w:r>
              <w:rPr>
                <w:rFonts w:ascii="David" w:hAnsi="David" w:cs="David"/>
                <w:b/>
                <w:bCs/>
                <w:sz w:val="28"/>
                <w:szCs w:val="28"/>
                <w:rtl/>
              </w:rPr>
              <w:t> </w:t>
            </w:r>
          </w:p>
          <w:p w14:paraId="5894794D" w14:textId="77777777" w:rsidR="00000000" w:rsidRDefault="00000000">
            <w:pPr>
              <w:bidi/>
              <w:rPr>
                <w:rtl/>
              </w:rPr>
            </w:pPr>
            <w:r>
              <w:rPr>
                <w:rFonts w:ascii="David" w:hAnsi="David" w:cs="David"/>
                <w:b/>
                <w:bCs/>
                <w:sz w:val="28"/>
                <w:szCs w:val="28"/>
                <w:rtl/>
              </w:rPr>
              <w:t xml:space="preserve">1. </w:t>
            </w:r>
            <w:r>
              <w:rPr>
                <w:rStyle w:val="f2dinim"/>
                <w:rFonts w:ascii="David" w:hAnsi="David" w:cs="David"/>
                <w:b/>
                <w:bCs/>
                <w:color w:val="000000"/>
                <w:sz w:val="28"/>
                <w:szCs w:val="28"/>
                <w:rtl/>
              </w:rPr>
              <w:t>מוחמד בסול</w:t>
            </w:r>
            <w:r>
              <w:rPr>
                <w:rFonts w:ascii="David" w:hAnsi="David" w:cs="David"/>
                <w:b/>
                <w:bCs/>
                <w:sz w:val="28"/>
                <w:szCs w:val="28"/>
                <w:rtl/>
              </w:rPr>
              <w:t xml:space="preserve"> </w:t>
            </w:r>
          </w:p>
          <w:p w14:paraId="52FE52F7" w14:textId="77777777" w:rsidR="00000000" w:rsidRDefault="00000000">
            <w:pPr>
              <w:bidi/>
              <w:rPr>
                <w:rtl/>
              </w:rPr>
            </w:pPr>
            <w:r>
              <w:rPr>
                <w:rFonts w:ascii="David" w:hAnsi="David" w:cs="David"/>
                <w:b/>
                <w:bCs/>
                <w:sz w:val="28"/>
                <w:szCs w:val="28"/>
                <w:rtl/>
              </w:rPr>
              <w:t xml:space="preserve">2. </w:t>
            </w:r>
            <w:r>
              <w:rPr>
                <w:rStyle w:val="f2dinim"/>
                <w:rFonts w:ascii="David" w:hAnsi="David" w:cs="David"/>
                <w:b/>
                <w:bCs/>
                <w:color w:val="000000"/>
                <w:sz w:val="28"/>
                <w:szCs w:val="28"/>
                <w:rtl/>
              </w:rPr>
              <w:t>חיראת בסול</w:t>
            </w:r>
          </w:p>
          <w:p w14:paraId="01C1BF53" w14:textId="77777777" w:rsidR="00000000" w:rsidRDefault="00000000">
            <w:pPr>
              <w:bidi/>
              <w:rPr>
                <w:rtl/>
              </w:rPr>
            </w:pPr>
            <w:r>
              <w:rPr>
                <w:rFonts w:ascii="David" w:hAnsi="David" w:cs="David"/>
                <w:b/>
                <w:bCs/>
                <w:sz w:val="28"/>
                <w:szCs w:val="28"/>
                <w:rtl/>
              </w:rPr>
              <w:t>ע"י ב"כ עוה"ד אריג' ח'ורי-שומר</w:t>
            </w:r>
          </w:p>
        </w:tc>
      </w:tr>
      <w:tr w:rsidR="00000000" w14:paraId="0862F835"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707DA" w14:textId="77777777" w:rsidR="00000000" w:rsidRDefault="00000000">
            <w:pPr>
              <w:bidi/>
              <w:rPr>
                <w:rtl/>
              </w:rPr>
            </w:pPr>
            <w:r>
              <w:rPr>
                <w:rFonts w:ascii="David" w:hAnsi="David" w:cs="David"/>
                <w:b/>
                <w:bCs/>
                <w:sz w:val="28"/>
                <w:szCs w:val="28"/>
                <w:rtl/>
              </w:rPr>
              <w:t> </w:t>
            </w:r>
          </w:p>
          <w:p w14:paraId="34B4F8BA" w14:textId="77777777" w:rsidR="00000000" w:rsidRDefault="00000000">
            <w:pPr>
              <w:bidi/>
              <w:jc w:val="center"/>
              <w:rPr>
                <w:rtl/>
              </w:rPr>
            </w:pPr>
            <w:r>
              <w:rPr>
                <w:rStyle w:val="f2ndinim"/>
                <w:rFonts w:ascii="David" w:hAnsi="David" w:cs="David"/>
                <w:b/>
                <w:bCs/>
                <w:color w:val="000000"/>
                <w:sz w:val="28"/>
                <w:szCs w:val="28"/>
                <w:rtl/>
              </w:rPr>
              <w:t>נגד</w:t>
            </w:r>
          </w:p>
          <w:p w14:paraId="1DB6C9A8" w14:textId="77777777" w:rsidR="00000000" w:rsidRDefault="00000000">
            <w:pPr>
              <w:bidi/>
              <w:rPr>
                <w:rtl/>
              </w:rPr>
            </w:pPr>
            <w:r>
              <w:rPr>
                <w:rFonts w:ascii="David" w:hAnsi="David" w:cs="David"/>
                <w:b/>
                <w:bCs/>
                <w:sz w:val="28"/>
                <w:szCs w:val="28"/>
              </w:rPr>
              <w:t> </w:t>
            </w:r>
          </w:p>
        </w:tc>
      </w:tr>
      <w:tr w:rsidR="00000000" w14:paraId="7C6F71C3"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8ADA1" w14:textId="77777777" w:rsidR="00000000" w:rsidRDefault="00000000">
            <w:pPr>
              <w:bidi/>
              <w:rPr>
                <w:rtl/>
              </w:rPr>
            </w:pPr>
            <w:r>
              <w:rPr>
                <w:rFonts w:ascii="David" w:hAnsi="David" w:cs="David"/>
                <w:b/>
                <w:bCs/>
                <w:sz w:val="28"/>
                <w:szCs w:val="28"/>
                <w:rtl/>
              </w:rPr>
              <w:t>משיבים</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2E89EDAA" w14:textId="77777777" w:rsidR="00000000" w:rsidRDefault="00000000">
            <w:pPr>
              <w:bidi/>
              <w:rPr>
                <w:rtl/>
              </w:rPr>
            </w:pPr>
            <w:r>
              <w:rPr>
                <w:rFonts w:ascii="David" w:hAnsi="David" w:cs="David"/>
                <w:sz w:val="28"/>
                <w:szCs w:val="28"/>
                <w:rtl/>
              </w:rPr>
              <w:t xml:space="preserve">1. </w:t>
            </w:r>
            <w:r>
              <w:rPr>
                <w:rStyle w:val="f3dinim"/>
                <w:rFonts w:ascii="David" w:hAnsi="David" w:cs="David"/>
                <w:color w:val="000000"/>
                <w:sz w:val="28"/>
                <w:szCs w:val="28"/>
                <w:rtl/>
              </w:rPr>
              <w:t>הממונה על חדלות פירעון - מחוז חיפה והצפון  2.</w:t>
            </w:r>
            <w:r>
              <w:rPr>
                <w:rFonts w:ascii="David" w:hAnsi="David" w:cs="David"/>
                <w:sz w:val="28"/>
                <w:szCs w:val="28"/>
                <w:rtl/>
              </w:rPr>
              <w:t xml:space="preserve"> עו"ד </w:t>
            </w:r>
            <w:r>
              <w:rPr>
                <w:rStyle w:val="f43dinim"/>
                <w:rFonts w:ascii="David" w:hAnsi="David" w:cs="David"/>
                <w:color w:val="000000"/>
                <w:sz w:val="28"/>
                <w:szCs w:val="28"/>
                <w:rtl/>
              </w:rPr>
              <w:t>איהאב סבאח -הנאמן</w:t>
            </w:r>
          </w:p>
        </w:tc>
      </w:tr>
      <w:tr w:rsidR="00000000" w14:paraId="7B3DFCF5"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C5254" w14:textId="77777777" w:rsidR="00000000" w:rsidRDefault="00000000">
            <w:pPr>
              <w:bidi/>
              <w:rPr>
                <w:rtl/>
              </w:rPr>
            </w:pPr>
            <w:r>
              <w:rPr>
                <w:rFonts w:ascii="David" w:hAnsi="David" w:cs="David"/>
                <w:sz w:val="28"/>
                <w:szCs w:val="28"/>
              </w:rPr>
              <w:t> </w:t>
            </w:r>
          </w:p>
          <w:p w14:paraId="089F508A" w14:textId="77777777" w:rsidR="00000000" w:rsidRDefault="00000000">
            <w:pPr>
              <w:bidi/>
              <w:rPr>
                <w:rtl/>
              </w:rPr>
            </w:pPr>
            <w:r>
              <w:rPr>
                <w:rFonts w:ascii="David" w:hAnsi="David" w:cs="David"/>
                <w:sz w:val="28"/>
                <w:szCs w:val="28"/>
                <w:rtl/>
              </w:rPr>
              <w:t> </w:t>
            </w:r>
          </w:p>
          <w:p w14:paraId="62E16073" w14:textId="77777777" w:rsidR="00000000" w:rsidRDefault="00000000">
            <w:pPr>
              <w:bidi/>
              <w:rPr>
                <w:rtl/>
              </w:rPr>
            </w:pPr>
            <w:r>
              <w:rPr>
                <w:rFonts w:ascii="David" w:hAnsi="David" w:cs="David"/>
                <w:sz w:val="28"/>
                <w:szCs w:val="28"/>
                <w:rtl/>
              </w:rPr>
              <w:t> </w:t>
            </w:r>
          </w:p>
        </w:tc>
      </w:tr>
      <w:tr w:rsidR="00000000" w14:paraId="42B72B8F"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E3366" w14:textId="77777777" w:rsidR="00000000" w:rsidRDefault="00000000">
            <w:pPr>
              <w:bidi/>
              <w:rPr>
                <w:rtl/>
              </w:rPr>
            </w:pPr>
            <w:r>
              <w:rPr>
                <w:rFonts w:ascii="David" w:hAnsi="David" w:cs="David"/>
                <w:b/>
                <w:bCs/>
                <w:sz w:val="28"/>
                <w:szCs w:val="28"/>
              </w:rPr>
              <w:t> </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65A69536" w14:textId="77777777" w:rsidR="00000000" w:rsidRDefault="00000000">
            <w:pPr>
              <w:bidi/>
              <w:rPr>
                <w:rtl/>
              </w:rPr>
            </w:pPr>
            <w:r>
              <w:rPr>
                <w:rFonts w:ascii="David" w:hAnsi="David" w:cs="David"/>
                <w:b/>
                <w:bCs/>
                <w:sz w:val="28"/>
                <w:szCs w:val="28"/>
              </w:rPr>
              <w:t> </w:t>
            </w:r>
          </w:p>
        </w:tc>
      </w:tr>
      <w:tr w:rsidR="00000000" w14:paraId="3CA1FD1C"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ED8DB" w14:textId="77777777" w:rsidR="00000000" w:rsidRDefault="00000000">
            <w:pPr>
              <w:bidi/>
              <w:rPr>
                <w:rtl/>
              </w:rPr>
            </w:pPr>
            <w:r>
              <w:rPr>
                <w:rFonts w:ascii="David" w:hAnsi="David" w:cs="David"/>
                <w:b/>
                <w:bCs/>
                <w:sz w:val="28"/>
                <w:szCs w:val="28"/>
                <w:rtl/>
              </w:rPr>
              <w:t> </w:t>
            </w:r>
          </w:p>
        </w:tc>
      </w:tr>
      <w:tr w:rsidR="00000000" w14:paraId="51A3597D" w14:textId="77777777">
        <w:tc>
          <w:tcPr>
            <w:tcW w:w="750" w:type="dxa"/>
            <w:tcBorders>
              <w:top w:val="nil"/>
              <w:left w:val="nil"/>
              <w:bottom w:val="nil"/>
              <w:right w:val="nil"/>
            </w:tcBorders>
            <w:vAlign w:val="center"/>
            <w:hideMark/>
          </w:tcPr>
          <w:p w14:paraId="2D77F3D0" w14:textId="77777777" w:rsidR="00000000" w:rsidRDefault="00000000">
            <w:pPr>
              <w:rPr>
                <w:rtl/>
              </w:rPr>
            </w:pPr>
          </w:p>
        </w:tc>
        <w:tc>
          <w:tcPr>
            <w:tcW w:w="2505" w:type="dxa"/>
            <w:tcBorders>
              <w:top w:val="nil"/>
              <w:left w:val="nil"/>
              <w:bottom w:val="nil"/>
              <w:right w:val="nil"/>
            </w:tcBorders>
            <w:vAlign w:val="center"/>
            <w:hideMark/>
          </w:tcPr>
          <w:p w14:paraId="6DD147D4"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10BD84FB" w14:textId="77777777" w:rsidR="00000000" w:rsidRDefault="00000000">
            <w:pPr>
              <w:bidi/>
              <w:rPr>
                <w:rFonts w:eastAsia="Times New Roman"/>
                <w:sz w:val="20"/>
                <w:szCs w:val="20"/>
              </w:rPr>
            </w:pPr>
          </w:p>
        </w:tc>
      </w:tr>
    </w:tbl>
    <w:p w14:paraId="02ACF51E" w14:textId="77777777" w:rsidR="00000000" w:rsidRDefault="00000000">
      <w:pPr>
        <w:bidi/>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6B895340" w14:textId="77777777">
        <w:trPr>
          <w:jc w:val="center"/>
        </w:trPr>
        <w:tc>
          <w:tcPr>
            <w:tcW w:w="8820" w:type="dxa"/>
            <w:tcMar>
              <w:top w:w="0" w:type="dxa"/>
              <w:left w:w="108" w:type="dxa"/>
              <w:bottom w:w="0" w:type="dxa"/>
              <w:right w:w="108" w:type="dxa"/>
            </w:tcMar>
            <w:hideMark/>
          </w:tcPr>
          <w:p w14:paraId="4044382B" w14:textId="77777777" w:rsidR="00000000" w:rsidRDefault="00000000">
            <w:pPr>
              <w:bidi/>
              <w:jc w:val="center"/>
              <w:rPr>
                <w:rtl/>
              </w:rPr>
            </w:pPr>
            <w:r>
              <w:rPr>
                <w:rStyle w:val="f13hdinim"/>
                <w:rFonts w:ascii="David" w:hAnsi="David" w:cs="David"/>
                <w:b/>
                <w:bCs/>
                <w:color w:val="000000"/>
                <w:sz w:val="28"/>
                <w:szCs w:val="28"/>
                <w:u w:val="single"/>
                <w:rtl/>
              </w:rPr>
              <w:t>פסק דין</w:t>
            </w:r>
          </w:p>
          <w:p w14:paraId="142BB346" w14:textId="77777777" w:rsidR="00000000" w:rsidRDefault="00000000">
            <w:pPr>
              <w:bidi/>
              <w:jc w:val="center"/>
              <w:rPr>
                <w:rtl/>
              </w:rPr>
            </w:pPr>
            <w:r>
              <w:rPr>
                <w:rFonts w:ascii="David" w:hAnsi="David" w:cs="David"/>
                <w:b/>
                <w:bCs/>
                <w:sz w:val="28"/>
                <w:szCs w:val="28"/>
              </w:rPr>
              <w:t> </w:t>
            </w:r>
          </w:p>
        </w:tc>
      </w:tr>
    </w:tbl>
    <w:p w14:paraId="0E4BC1C1" w14:textId="77777777" w:rsidR="00000000" w:rsidRDefault="00000000">
      <w:pPr>
        <w:bidi/>
        <w:spacing w:line="360" w:lineRule="auto"/>
        <w:jc w:val="both"/>
        <w:rPr>
          <w:rtl/>
        </w:rPr>
      </w:pPr>
      <w:bookmarkStart w:id="0" w:name="ngcsbookmark"/>
      <w:bookmarkEnd w:id="0"/>
      <w:r>
        <w:rPr>
          <w:rFonts w:ascii="David" w:hAnsi="David" w:cs="David"/>
          <w:sz w:val="28"/>
          <w:szCs w:val="28"/>
          <w:rtl/>
        </w:rPr>
        <w:t> </w:t>
      </w:r>
    </w:p>
    <w:p w14:paraId="0B54B433" w14:textId="77777777" w:rsidR="00000000" w:rsidRDefault="00000000">
      <w:pPr>
        <w:bidi/>
        <w:spacing w:line="360" w:lineRule="auto"/>
        <w:jc w:val="both"/>
        <w:rPr>
          <w:rtl/>
        </w:rPr>
      </w:pPr>
      <w:r>
        <w:rPr>
          <w:rFonts w:ascii="David" w:hAnsi="David" w:cs="David"/>
          <w:sz w:val="28"/>
          <w:szCs w:val="28"/>
          <w:rtl/>
        </w:rPr>
        <w:t>לפניי ערעור על החלטתו של בית משפט השלום בטבריה(כב' השופט עופר חיים שורק) מתאריך 11/8/25 בתיק חדל"פ 50687-07-23 ,לפיה התקבלה בקשת הנאמן לביטול פעולה הגורעת מנכסי קופת הנשייה מכוח סעיף 220 לחוק חדלות פרעון ושיקום כלכלי, התשע"ח 2018, והורה על ביטול העברת זכויות היחיד במקרקעין עליהם מצוי בית מגורים, לאשתו, מכוח הסכם יחסי ממון.</w:t>
      </w:r>
    </w:p>
    <w:p w14:paraId="4B91CD03" w14:textId="77777777" w:rsidR="00000000" w:rsidRDefault="00000000">
      <w:pPr>
        <w:bidi/>
        <w:spacing w:line="360" w:lineRule="auto"/>
        <w:jc w:val="both"/>
        <w:rPr>
          <w:rtl/>
        </w:rPr>
      </w:pPr>
      <w:r>
        <w:rPr>
          <w:rFonts w:ascii="David" w:hAnsi="David" w:cs="David"/>
          <w:sz w:val="28"/>
          <w:szCs w:val="28"/>
          <w:rtl/>
        </w:rPr>
        <w:t> </w:t>
      </w:r>
    </w:p>
    <w:p w14:paraId="3372C6AE" w14:textId="77777777" w:rsidR="00000000" w:rsidRDefault="00000000">
      <w:pPr>
        <w:bidi/>
        <w:spacing w:line="360" w:lineRule="auto"/>
        <w:jc w:val="both"/>
        <w:rPr>
          <w:rtl/>
        </w:rPr>
      </w:pPr>
      <w:r>
        <w:rPr>
          <w:rFonts w:ascii="David" w:hAnsi="David" w:cs="David"/>
          <w:b/>
          <w:bCs/>
          <w:sz w:val="28"/>
          <w:szCs w:val="28"/>
          <w:rtl/>
        </w:rPr>
        <w:t xml:space="preserve">רקע עובדתי </w:t>
      </w:r>
    </w:p>
    <w:p w14:paraId="553CCBD7" w14:textId="77777777" w:rsidR="00000000" w:rsidRDefault="00000000">
      <w:pPr>
        <w:bidi/>
        <w:spacing w:line="360" w:lineRule="auto"/>
        <w:ind w:left="720" w:hanging="720"/>
        <w:jc w:val="both"/>
        <w:rPr>
          <w:rtl/>
        </w:rPr>
      </w:pPr>
      <w:r>
        <w:rPr>
          <w:rFonts w:ascii="David" w:hAnsi="David" w:cs="David"/>
          <w:sz w:val="28"/>
          <w:szCs w:val="28"/>
          <w:rtl/>
        </w:rPr>
        <w:t>1.  המערערים 1-2 הנם בני זוג שנישאו ב1975.( ייקראו להלן: היחיד /המערער, אשת היחיד/המערערת).</w:t>
      </w:r>
    </w:p>
    <w:p w14:paraId="1864CDA6" w14:textId="77777777" w:rsidR="00000000" w:rsidRDefault="00000000">
      <w:pPr>
        <w:bidi/>
        <w:spacing w:line="360" w:lineRule="auto"/>
        <w:jc w:val="both"/>
        <w:rPr>
          <w:rtl/>
        </w:rPr>
      </w:pPr>
      <w:r>
        <w:rPr>
          <w:rFonts w:ascii="David" w:hAnsi="David" w:cs="David"/>
          <w:sz w:val="28"/>
          <w:szCs w:val="28"/>
          <w:rtl/>
        </w:rPr>
        <w:t> </w:t>
      </w:r>
    </w:p>
    <w:p w14:paraId="6E322B46" w14:textId="77777777" w:rsidR="00000000" w:rsidRDefault="00000000">
      <w:pPr>
        <w:bidi/>
        <w:spacing w:line="360" w:lineRule="auto"/>
        <w:ind w:left="720" w:hanging="720"/>
        <w:jc w:val="both"/>
        <w:rPr>
          <w:rtl/>
        </w:rPr>
      </w:pPr>
      <w:r>
        <w:rPr>
          <w:rFonts w:ascii="David" w:hAnsi="David" w:cs="David"/>
          <w:sz w:val="28"/>
          <w:szCs w:val="28"/>
          <w:rtl/>
        </w:rPr>
        <w:t xml:space="preserve">2.  לימים לאחר שהתגלע סכסוך בין בני הזוג כנטען, נחתם ביום 30/3/1999 בין היחיד לבין אשתו הסכם יחסי ממון, במסגרתו הוסכם, בין היתר, כי בית מגורים הקיים על המקרקעין הידועים כגוש 17528 חלקה3 בכפר ריינה , (להלן" </w:t>
      </w:r>
      <w:r>
        <w:rPr>
          <w:rFonts w:ascii="David" w:hAnsi="David" w:cs="David"/>
          <w:sz w:val="28"/>
          <w:szCs w:val="28"/>
          <w:rtl/>
        </w:rPr>
        <w:lastRenderedPageBreak/>
        <w:t xml:space="preserve">הנכס") יהיה בבעלות האישה בלבד( המערערת כאן), ואילו בבעלות היחיד/ המערער יהיו זכויות אחרות לרבות מניות בחברה, רכבים ועוד ,כמפורט שם. </w:t>
      </w:r>
    </w:p>
    <w:p w14:paraId="15B311B2" w14:textId="77777777" w:rsidR="00000000" w:rsidRDefault="00000000">
      <w:pPr>
        <w:bidi/>
        <w:spacing w:line="360" w:lineRule="auto"/>
        <w:jc w:val="both"/>
        <w:rPr>
          <w:rtl/>
        </w:rPr>
      </w:pPr>
      <w:r>
        <w:rPr>
          <w:rFonts w:ascii="David" w:hAnsi="David" w:cs="David"/>
          <w:sz w:val="28"/>
          <w:szCs w:val="28"/>
          <w:rtl/>
        </w:rPr>
        <w:t> </w:t>
      </w:r>
    </w:p>
    <w:p w14:paraId="11BA977C" w14:textId="77777777" w:rsidR="00000000" w:rsidRDefault="00000000">
      <w:pPr>
        <w:bidi/>
        <w:spacing w:line="360" w:lineRule="auto"/>
        <w:ind w:left="720" w:hanging="720"/>
        <w:jc w:val="both"/>
        <w:rPr>
          <w:rtl/>
        </w:rPr>
      </w:pPr>
      <w:r>
        <w:rPr>
          <w:rFonts w:ascii="David" w:hAnsi="David" w:cs="David"/>
          <w:sz w:val="28"/>
          <w:szCs w:val="28"/>
          <w:rtl/>
        </w:rPr>
        <w:t>3.  בתאריך 10/11/99 נתן ביהמ"ש לענייני משפחה בנצרת בתמש 5850/99 פסק דין, לפיו אשר ונתן תוקף של פסק דין להסכם, לפי חוק יחסי ממון בין בני זוג, תשל"ג 1973.</w:t>
      </w:r>
    </w:p>
    <w:p w14:paraId="3E521DE7" w14:textId="77777777" w:rsidR="00000000" w:rsidRDefault="00000000">
      <w:pPr>
        <w:bidi/>
        <w:spacing w:line="360" w:lineRule="auto"/>
        <w:jc w:val="both"/>
        <w:rPr>
          <w:rtl/>
        </w:rPr>
      </w:pPr>
      <w:r>
        <w:rPr>
          <w:rFonts w:ascii="David" w:hAnsi="David" w:cs="David"/>
          <w:sz w:val="28"/>
          <w:szCs w:val="28"/>
          <w:rtl/>
        </w:rPr>
        <w:t> </w:t>
      </w:r>
    </w:p>
    <w:p w14:paraId="6F52070C" w14:textId="77777777" w:rsidR="00000000" w:rsidRDefault="00000000">
      <w:pPr>
        <w:bidi/>
        <w:spacing w:line="360" w:lineRule="auto"/>
        <w:ind w:left="720" w:hanging="720"/>
        <w:jc w:val="both"/>
        <w:rPr>
          <w:rtl/>
        </w:rPr>
      </w:pPr>
      <w:r>
        <w:rPr>
          <w:rFonts w:ascii="David" w:hAnsi="David" w:cs="David"/>
          <w:sz w:val="28"/>
          <w:szCs w:val="28"/>
          <w:rtl/>
        </w:rPr>
        <w:t>4.  חלפו שנים, בתאריך 16/11/20 נחתם הסכם מכר ללא תמורה ,לפיו העבירה המערערת את זכויותיה בנכס לשני בניה, אנור וסעיד בסול.</w:t>
      </w:r>
    </w:p>
    <w:p w14:paraId="38E55949" w14:textId="77777777" w:rsidR="00000000" w:rsidRDefault="00000000">
      <w:pPr>
        <w:bidi/>
        <w:spacing w:line="360" w:lineRule="auto"/>
        <w:jc w:val="both"/>
        <w:rPr>
          <w:rtl/>
        </w:rPr>
      </w:pPr>
      <w:r>
        <w:rPr>
          <w:rFonts w:ascii="David" w:hAnsi="David" w:cs="David"/>
          <w:sz w:val="28"/>
          <w:szCs w:val="28"/>
          <w:rtl/>
        </w:rPr>
        <w:t> </w:t>
      </w:r>
    </w:p>
    <w:p w14:paraId="519F1E29" w14:textId="77777777" w:rsidR="00000000" w:rsidRDefault="00000000">
      <w:pPr>
        <w:bidi/>
        <w:spacing w:line="360" w:lineRule="auto"/>
        <w:ind w:left="720" w:hanging="720"/>
        <w:jc w:val="both"/>
        <w:rPr>
          <w:rtl/>
        </w:rPr>
      </w:pPr>
      <w:r>
        <w:rPr>
          <w:rFonts w:ascii="David" w:hAnsi="David" w:cs="David"/>
          <w:sz w:val="28"/>
          <w:szCs w:val="28"/>
          <w:rtl/>
        </w:rPr>
        <w:t>5.  ביום 5/3/2021 נחתמו שטרי מכר, שטר מכר להעברת מתנה מהמערער למערערת, ושטר מכר שני להעברת מתנה מהמערערת לשני ילידה . בתאריך 22/3/21 הועברו הזכויות בנכס, משם המערער לשם אשתו המערערת, ובאותו יום הועברו הזכויות משם המערערת לשני ילדיה.</w:t>
      </w:r>
    </w:p>
    <w:p w14:paraId="6054E029" w14:textId="77777777" w:rsidR="00000000" w:rsidRDefault="00000000">
      <w:pPr>
        <w:bidi/>
        <w:spacing w:line="360" w:lineRule="auto"/>
        <w:jc w:val="both"/>
        <w:rPr>
          <w:rtl/>
        </w:rPr>
      </w:pPr>
      <w:r>
        <w:rPr>
          <w:rFonts w:ascii="David" w:hAnsi="David" w:cs="David"/>
          <w:sz w:val="28"/>
          <w:szCs w:val="28"/>
          <w:rtl/>
        </w:rPr>
        <w:t> </w:t>
      </w:r>
    </w:p>
    <w:p w14:paraId="332879DC" w14:textId="77777777" w:rsidR="00000000" w:rsidRDefault="00000000">
      <w:pPr>
        <w:bidi/>
        <w:spacing w:line="360" w:lineRule="auto"/>
        <w:ind w:left="720" w:hanging="720"/>
        <w:jc w:val="both"/>
        <w:rPr>
          <w:rtl/>
        </w:rPr>
      </w:pPr>
      <w:r>
        <w:rPr>
          <w:rFonts w:ascii="David" w:hAnsi="David" w:cs="David"/>
          <w:sz w:val="28"/>
          <w:szCs w:val="28"/>
          <w:rtl/>
        </w:rPr>
        <w:t>6.  בתאריך 8/8/23 ניתן צו לפתיחת הליכים בעניינו של המערער .בצו זה מונה עו"ד סבאח איהאב כנאמן.</w:t>
      </w:r>
    </w:p>
    <w:p w14:paraId="32D7B527" w14:textId="77777777" w:rsidR="00000000" w:rsidRDefault="00000000">
      <w:pPr>
        <w:bidi/>
        <w:spacing w:line="360" w:lineRule="auto"/>
        <w:jc w:val="both"/>
        <w:rPr>
          <w:rtl/>
        </w:rPr>
      </w:pPr>
      <w:r>
        <w:rPr>
          <w:rFonts w:ascii="David" w:hAnsi="David" w:cs="David"/>
          <w:sz w:val="28"/>
          <w:szCs w:val="28"/>
          <w:rtl/>
        </w:rPr>
        <w:t> </w:t>
      </w:r>
    </w:p>
    <w:p w14:paraId="184D76E8" w14:textId="77777777" w:rsidR="00000000" w:rsidRDefault="00000000">
      <w:pPr>
        <w:bidi/>
        <w:spacing w:line="360" w:lineRule="auto"/>
        <w:ind w:left="720" w:hanging="720"/>
        <w:jc w:val="both"/>
        <w:rPr>
          <w:rtl/>
        </w:rPr>
      </w:pPr>
      <w:r>
        <w:rPr>
          <w:rFonts w:ascii="David" w:hAnsi="David" w:cs="David"/>
          <w:sz w:val="28"/>
          <w:szCs w:val="28"/>
          <w:rtl/>
        </w:rPr>
        <w:t>7.  בתאריך 6/12/24 הגיש הנאמן לביהמ"ש קמא, בקשה לביטול פעולת רישום נכס המקרקעין שמיום 22/3/21 , וזאת לפי סעיף220(א) לחוק החדל"פ.</w:t>
      </w:r>
    </w:p>
    <w:p w14:paraId="6ED75EAC" w14:textId="77777777" w:rsidR="00000000" w:rsidRDefault="00000000">
      <w:pPr>
        <w:bidi/>
        <w:spacing w:line="360" w:lineRule="auto"/>
        <w:jc w:val="both"/>
        <w:rPr>
          <w:rtl/>
        </w:rPr>
      </w:pPr>
      <w:r>
        <w:rPr>
          <w:rFonts w:ascii="David" w:hAnsi="David" w:cs="David"/>
          <w:sz w:val="28"/>
          <w:szCs w:val="28"/>
          <w:rtl/>
        </w:rPr>
        <w:t> </w:t>
      </w:r>
    </w:p>
    <w:p w14:paraId="5757D5C2" w14:textId="77777777" w:rsidR="00000000" w:rsidRDefault="00000000">
      <w:pPr>
        <w:bidi/>
        <w:spacing w:line="360" w:lineRule="auto"/>
        <w:ind w:left="720" w:hanging="720"/>
        <w:jc w:val="both"/>
        <w:rPr>
          <w:rtl/>
        </w:rPr>
      </w:pPr>
      <w:r>
        <w:rPr>
          <w:rFonts w:ascii="David" w:hAnsi="David" w:cs="David"/>
          <w:sz w:val="28"/>
          <w:szCs w:val="28"/>
          <w:rtl/>
        </w:rPr>
        <w:t xml:space="preserve">8.  בתאריך11/12/24 ניתן צו לשיקום כלכלי לפי סעיף161 לחוק חדלות פירעון ושיקום כלכלי תשע"ח-2018( להלן :חוק החדל"פ), בו לא נקבע צו תשלומים, בשים לב לגילו של היחיד ( בן 75 שנים) ומאחר שהוא מתקיים מקצבאות מל"ל וסיעוד. </w:t>
      </w:r>
    </w:p>
    <w:p w14:paraId="5FB05542" w14:textId="77777777" w:rsidR="00000000" w:rsidRDefault="00000000">
      <w:pPr>
        <w:bidi/>
        <w:spacing w:line="360" w:lineRule="auto"/>
        <w:ind w:left="720"/>
        <w:jc w:val="both"/>
        <w:rPr>
          <w:rtl/>
        </w:rPr>
      </w:pPr>
      <w:r>
        <w:rPr>
          <w:rFonts w:ascii="David" w:hAnsi="David" w:cs="David"/>
          <w:sz w:val="28"/>
          <w:szCs w:val="28"/>
          <w:rtl/>
        </w:rPr>
        <w:t>כן נקבע כי הסוגיה היחידה שעומדת לבחינה הינה בקשת הנאמן מיום 6/12/24 לביטול פעולה לפי סעיף220(א) לחוק חדל"פ עבור נכס המקרקעין . מעבר לכך אין טענות לזכויות או נכסים של היחיד.</w:t>
      </w:r>
    </w:p>
    <w:p w14:paraId="0AC3A065" w14:textId="77777777" w:rsidR="00000000" w:rsidRDefault="00000000">
      <w:pPr>
        <w:bidi/>
        <w:spacing w:line="360" w:lineRule="auto"/>
        <w:jc w:val="both"/>
        <w:rPr>
          <w:rtl/>
        </w:rPr>
      </w:pPr>
      <w:r>
        <w:rPr>
          <w:rFonts w:ascii="David" w:hAnsi="David" w:cs="David"/>
          <w:sz w:val="28"/>
          <w:szCs w:val="28"/>
          <w:rtl/>
        </w:rPr>
        <w:t> </w:t>
      </w:r>
    </w:p>
    <w:p w14:paraId="0DECE6E3" w14:textId="77777777" w:rsidR="00000000" w:rsidRDefault="00000000">
      <w:pPr>
        <w:bidi/>
        <w:spacing w:line="360" w:lineRule="auto"/>
        <w:ind w:left="720" w:hanging="720"/>
        <w:jc w:val="both"/>
        <w:rPr>
          <w:rtl/>
        </w:rPr>
      </w:pPr>
      <w:r>
        <w:rPr>
          <w:rFonts w:ascii="David" w:hAnsi="David" w:cs="David"/>
          <w:sz w:val="28"/>
          <w:szCs w:val="28"/>
          <w:rtl/>
        </w:rPr>
        <w:t>9.  היחיד הגיש תגובה בה בקש לדחות את בקשת הנאמן, וטען כי העברת הזכויות מהיחיד לאשתו, הנה מכוח הסכם יחסי הממון מ30/3/99 שקבל תוקף של פס"ד עוד ב10/11/99, שנים רבות לפני צו לפתיחת הליכים.</w:t>
      </w:r>
    </w:p>
    <w:p w14:paraId="54623BAD" w14:textId="77777777" w:rsidR="00000000" w:rsidRDefault="00000000">
      <w:pPr>
        <w:bidi/>
        <w:spacing w:line="360" w:lineRule="auto"/>
        <w:jc w:val="both"/>
        <w:rPr>
          <w:rtl/>
        </w:rPr>
      </w:pPr>
      <w:r>
        <w:rPr>
          <w:rFonts w:ascii="David" w:hAnsi="David" w:cs="David"/>
          <w:sz w:val="28"/>
          <w:szCs w:val="28"/>
          <w:rtl/>
        </w:rPr>
        <w:t>  גם אשת היחיד הגישה תגובה וביקשה לדחות בקשת הנאמן מאותם טעמים.</w:t>
      </w:r>
    </w:p>
    <w:p w14:paraId="579831F0" w14:textId="77777777" w:rsidR="00000000" w:rsidRDefault="00000000">
      <w:pPr>
        <w:bidi/>
        <w:spacing w:line="360" w:lineRule="auto"/>
        <w:jc w:val="both"/>
        <w:rPr>
          <w:rtl/>
        </w:rPr>
      </w:pPr>
      <w:r>
        <w:rPr>
          <w:rFonts w:ascii="David" w:hAnsi="David" w:cs="David"/>
          <w:sz w:val="28"/>
          <w:szCs w:val="28"/>
          <w:rtl/>
        </w:rPr>
        <w:t> </w:t>
      </w:r>
    </w:p>
    <w:p w14:paraId="04C0B914" w14:textId="77777777" w:rsidR="00000000" w:rsidRDefault="00000000">
      <w:pPr>
        <w:bidi/>
        <w:spacing w:line="360" w:lineRule="auto"/>
        <w:ind w:left="720" w:hanging="720"/>
        <w:jc w:val="both"/>
        <w:rPr>
          <w:rtl/>
        </w:rPr>
      </w:pPr>
      <w:r>
        <w:rPr>
          <w:rFonts w:ascii="David" w:hAnsi="David" w:cs="David"/>
          <w:sz w:val="28"/>
          <w:szCs w:val="28"/>
          <w:rtl/>
        </w:rPr>
        <w:t>10.  בתאריך 29/5/25 התקיים דיון בבית משפט קמא ,בנוכחות הצדדים.</w:t>
      </w:r>
    </w:p>
    <w:p w14:paraId="7088F587" w14:textId="77777777" w:rsidR="00000000" w:rsidRDefault="00000000">
      <w:pPr>
        <w:bidi/>
        <w:spacing w:line="360" w:lineRule="auto"/>
        <w:ind w:left="720"/>
        <w:jc w:val="both"/>
        <w:rPr>
          <w:rtl/>
        </w:rPr>
      </w:pPr>
      <w:r>
        <w:rPr>
          <w:rFonts w:ascii="David" w:hAnsi="David" w:cs="David"/>
          <w:sz w:val="28"/>
          <w:szCs w:val="28"/>
          <w:rtl/>
        </w:rPr>
        <w:t>ב"כ המערערת(אשת היחיד) הודיע שעקב מחלה אשת היחיד לא התייצבה. בהמשך הצדדים הסכימו שתינתן החלטה על סמך טיעוניהם, והגשת סיכומים בכתב.וכך היה.</w:t>
      </w:r>
    </w:p>
    <w:p w14:paraId="51401DE6" w14:textId="77777777" w:rsidR="00000000" w:rsidRDefault="00000000">
      <w:pPr>
        <w:bidi/>
        <w:spacing w:line="360" w:lineRule="auto"/>
        <w:jc w:val="both"/>
        <w:rPr>
          <w:rtl/>
        </w:rPr>
      </w:pPr>
      <w:r>
        <w:rPr>
          <w:rFonts w:ascii="David" w:hAnsi="David" w:cs="David"/>
          <w:sz w:val="28"/>
          <w:szCs w:val="28"/>
          <w:rtl/>
        </w:rPr>
        <w:t> </w:t>
      </w:r>
    </w:p>
    <w:p w14:paraId="23C7E316" w14:textId="77777777" w:rsidR="00000000" w:rsidRDefault="00000000">
      <w:pPr>
        <w:bidi/>
        <w:spacing w:line="360" w:lineRule="auto"/>
        <w:jc w:val="both"/>
        <w:rPr>
          <w:rtl/>
        </w:rPr>
      </w:pPr>
      <w:r>
        <w:rPr>
          <w:rFonts w:ascii="David" w:hAnsi="David" w:cs="David"/>
          <w:b/>
          <w:bCs/>
          <w:sz w:val="28"/>
          <w:szCs w:val="28"/>
          <w:rtl/>
        </w:rPr>
        <w:t>החלטת בית משפט קמא נשוא ערעור</w:t>
      </w:r>
    </w:p>
    <w:p w14:paraId="465F975D" w14:textId="77777777" w:rsidR="00000000" w:rsidRDefault="00000000">
      <w:pPr>
        <w:bidi/>
        <w:spacing w:line="360" w:lineRule="auto"/>
        <w:ind w:left="720" w:hanging="720"/>
        <w:jc w:val="both"/>
        <w:rPr>
          <w:rtl/>
        </w:rPr>
      </w:pPr>
      <w:r>
        <w:rPr>
          <w:rFonts w:ascii="David" w:hAnsi="David" w:cs="David"/>
          <w:sz w:val="28"/>
          <w:szCs w:val="28"/>
          <w:rtl/>
        </w:rPr>
        <w:t>11.  בתאריך 11/8/25 נתן בית משפט קמא החלטה בה קבל את הבקשה של הנאמן לביטול הענקה, לאחר שמצא כי מתקיימים תנאי סעיף 220 לחוק החדל"פ במלואם.</w:t>
      </w:r>
    </w:p>
    <w:p w14:paraId="5C3E927D" w14:textId="77777777" w:rsidR="00000000" w:rsidRDefault="00000000">
      <w:pPr>
        <w:bidi/>
        <w:spacing w:line="360" w:lineRule="auto"/>
        <w:jc w:val="both"/>
        <w:rPr>
          <w:rtl/>
        </w:rPr>
      </w:pPr>
      <w:r>
        <w:rPr>
          <w:rFonts w:ascii="David" w:hAnsi="David" w:cs="David"/>
          <w:sz w:val="28"/>
          <w:szCs w:val="28"/>
          <w:rtl/>
        </w:rPr>
        <w:t> </w:t>
      </w:r>
    </w:p>
    <w:p w14:paraId="6786BF17" w14:textId="77777777" w:rsidR="00000000" w:rsidRDefault="00000000">
      <w:pPr>
        <w:bidi/>
        <w:spacing w:line="360" w:lineRule="auto"/>
        <w:ind w:left="720"/>
        <w:jc w:val="both"/>
        <w:rPr>
          <w:rtl/>
        </w:rPr>
      </w:pPr>
      <w:r>
        <w:rPr>
          <w:rFonts w:ascii="David" w:hAnsi="David" w:cs="David"/>
          <w:sz w:val="28"/>
          <w:szCs w:val="28"/>
          <w:rtl/>
        </w:rPr>
        <w:t>בית משפט קמא לא קבל טענת הנאמן כי הסכם הממון הוא הסכם למראית עין(סעיפים 45-46). אך קבע כי עסקת העברת רישום הזכויות הנה עסקה מתנה, מכוח שטר מכר שנחתם ב 5/3/2021, עסקה נפרדת ושונה מהעסקה נשוא הסכם יחסי ממון.</w:t>
      </w:r>
    </w:p>
    <w:p w14:paraId="375DD4F6" w14:textId="77777777" w:rsidR="00000000" w:rsidRDefault="00000000">
      <w:pPr>
        <w:bidi/>
        <w:spacing w:line="360" w:lineRule="auto"/>
        <w:ind w:left="720"/>
        <w:jc w:val="both"/>
        <w:rPr>
          <w:rtl/>
        </w:rPr>
      </w:pPr>
      <w:r>
        <w:rPr>
          <w:rFonts w:ascii="David" w:hAnsi="David" w:cs="David"/>
          <w:sz w:val="28"/>
          <w:szCs w:val="28"/>
          <w:rtl/>
        </w:rPr>
        <w:t xml:space="preserve">בית משפט קמא קבע כי מדובר בביטול העברת רישום זכויות שהושלמה ב22/3/21, ולא בביטול עסקה נשוא הסכם יחסי ממון מ1999. </w:t>
      </w:r>
    </w:p>
    <w:p w14:paraId="25BFA1A8" w14:textId="77777777" w:rsidR="00000000" w:rsidRDefault="00000000">
      <w:pPr>
        <w:bidi/>
        <w:spacing w:line="360" w:lineRule="auto"/>
        <w:ind w:left="720"/>
        <w:jc w:val="both"/>
        <w:rPr>
          <w:rtl/>
        </w:rPr>
      </w:pPr>
      <w:r>
        <w:rPr>
          <w:rFonts w:ascii="David" w:hAnsi="David" w:cs="David"/>
          <w:sz w:val="28"/>
          <w:szCs w:val="28"/>
          <w:rtl/>
        </w:rPr>
        <w:t>בית משפט קמא השווה בין הסכם יחסי ממון לאמור בשטרי המכר, הפנה להתנהלות המערערת לאורך שנים, המלמדת לכל הפחות כי זנחה את הסכם ההמון, לכך שלא פעלה לרישום זכויותיה במשך תקופה ארוכה, אף לא רשמה הערת אזהרה, לכך שהצדדים אינם פרודים והמשיכו לנהל משק בית משותף, לאי הגשת תצהיר מטעם המערערת. והוא מגיע למסקנה על כוונה להבריח נכסים.</w:t>
      </w:r>
    </w:p>
    <w:p w14:paraId="43A97E07" w14:textId="77777777" w:rsidR="00000000" w:rsidRDefault="00000000">
      <w:pPr>
        <w:bidi/>
        <w:spacing w:line="360" w:lineRule="auto"/>
        <w:jc w:val="both"/>
        <w:rPr>
          <w:rtl/>
        </w:rPr>
      </w:pPr>
      <w:r>
        <w:rPr>
          <w:rFonts w:ascii="David" w:hAnsi="David" w:cs="David"/>
          <w:sz w:val="28"/>
          <w:szCs w:val="28"/>
          <w:rtl/>
        </w:rPr>
        <w:t> </w:t>
      </w:r>
    </w:p>
    <w:p w14:paraId="58549DC5" w14:textId="77777777" w:rsidR="00000000" w:rsidRDefault="00000000">
      <w:pPr>
        <w:bidi/>
        <w:spacing w:line="360" w:lineRule="auto"/>
        <w:ind w:left="720"/>
        <w:jc w:val="both"/>
        <w:rPr>
          <w:rtl/>
        </w:rPr>
      </w:pPr>
      <w:r>
        <w:rPr>
          <w:rFonts w:ascii="David" w:hAnsi="David" w:cs="David"/>
          <w:sz w:val="28"/>
          <w:szCs w:val="28"/>
          <w:rtl/>
        </w:rPr>
        <w:t>בית משפט קמא קבע (סעיף41) כי בפועל, הרישום בוצע מכוח שטר מכר ללא תמורה והמשיבה -המערערת- לא פעלה כל השנים למיצוי זכויותיה מכוחו של הסכם הממון . על כן התנאי הראשון של העדר תמורה מתקיים;</w:t>
      </w:r>
    </w:p>
    <w:p w14:paraId="4135767E" w14:textId="77777777" w:rsidR="00000000" w:rsidRDefault="00000000">
      <w:pPr>
        <w:bidi/>
        <w:spacing w:line="360" w:lineRule="auto"/>
        <w:ind w:left="720"/>
        <w:jc w:val="both"/>
        <w:rPr>
          <w:rtl/>
        </w:rPr>
      </w:pPr>
      <w:r>
        <w:rPr>
          <w:rFonts w:ascii="David" w:hAnsi="David" w:cs="David"/>
          <w:sz w:val="28"/>
          <w:szCs w:val="28"/>
          <w:rtl/>
        </w:rPr>
        <w:t xml:space="preserve">בית משפט קמא קבע (סעיף43)כי יש לחשב את המועד הקובע ממועד רישום הזכויות בפועל בלשכת רישום המקרקעין ביום 22/3/21 , מועד זה נופל בטווח הזמנים לפי סעיף220 לחוק בהינתן הקרבה המשפחתית בין הצדדים, ובכך מתקיים התנאי השני. </w:t>
      </w:r>
    </w:p>
    <w:p w14:paraId="3B0F9724" w14:textId="77777777" w:rsidR="00000000" w:rsidRDefault="00000000">
      <w:pPr>
        <w:bidi/>
        <w:spacing w:line="360" w:lineRule="auto"/>
        <w:ind w:left="720"/>
        <w:jc w:val="both"/>
        <w:rPr>
          <w:rtl/>
        </w:rPr>
      </w:pPr>
      <w:r>
        <w:rPr>
          <w:rFonts w:ascii="David" w:hAnsi="David" w:cs="David"/>
          <w:sz w:val="28"/>
          <w:szCs w:val="28"/>
          <w:rtl/>
        </w:rPr>
        <w:t>בית משפט קמא קבע (סעיף44 ) כי גם התנאי השלישי מתקיים . לא מצא כי היחיד-המערער, הפריך החזקה הקיימת בסעיף220(ב) לחוק, לפיה היה חדל פרעון במועד הרלוונטי-ביום22/3/21.</w:t>
      </w:r>
    </w:p>
    <w:p w14:paraId="602611F9" w14:textId="77777777" w:rsidR="00000000" w:rsidRDefault="00000000">
      <w:pPr>
        <w:bidi/>
        <w:spacing w:line="360" w:lineRule="auto"/>
        <w:jc w:val="both"/>
        <w:rPr>
          <w:rtl/>
        </w:rPr>
      </w:pPr>
      <w:r>
        <w:rPr>
          <w:rFonts w:ascii="David" w:hAnsi="David" w:cs="David"/>
          <w:sz w:val="28"/>
          <w:szCs w:val="28"/>
          <w:rtl/>
        </w:rPr>
        <w:t> </w:t>
      </w:r>
    </w:p>
    <w:p w14:paraId="2F8C6BC1" w14:textId="77777777" w:rsidR="00000000" w:rsidRDefault="00000000">
      <w:pPr>
        <w:bidi/>
        <w:spacing w:line="360" w:lineRule="auto"/>
        <w:ind w:left="720"/>
        <w:jc w:val="both"/>
        <w:rPr>
          <w:rtl/>
        </w:rPr>
      </w:pPr>
      <w:r>
        <w:rPr>
          <w:rFonts w:ascii="David" w:hAnsi="David" w:cs="David"/>
          <w:sz w:val="28"/>
          <w:szCs w:val="28"/>
          <w:rtl/>
        </w:rPr>
        <w:t>בסוף קבל בית משפט קמא את בקשת הנאמן. והורה על צו איסור דיספוזיציה בזכויות בנכס שנרשמו על שם ילדיהם של היחיד ואשתו.</w:t>
      </w:r>
    </w:p>
    <w:p w14:paraId="390E8CFA" w14:textId="77777777" w:rsidR="00000000" w:rsidRDefault="00000000">
      <w:pPr>
        <w:bidi/>
        <w:spacing w:line="360" w:lineRule="auto"/>
        <w:jc w:val="both"/>
        <w:rPr>
          <w:rtl/>
        </w:rPr>
      </w:pPr>
      <w:r>
        <w:rPr>
          <w:rFonts w:ascii="David" w:hAnsi="David" w:cs="David"/>
          <w:sz w:val="28"/>
          <w:szCs w:val="28"/>
          <w:rtl/>
        </w:rPr>
        <w:t> </w:t>
      </w:r>
    </w:p>
    <w:p w14:paraId="7E431FB1" w14:textId="77777777" w:rsidR="00000000" w:rsidRDefault="00000000">
      <w:pPr>
        <w:bidi/>
        <w:spacing w:line="360" w:lineRule="auto"/>
        <w:jc w:val="both"/>
        <w:rPr>
          <w:rtl/>
        </w:rPr>
      </w:pPr>
      <w:r>
        <w:rPr>
          <w:rFonts w:ascii="David" w:hAnsi="David" w:cs="David"/>
          <w:sz w:val="28"/>
          <w:szCs w:val="28"/>
          <w:rtl/>
        </w:rPr>
        <w:t> </w:t>
      </w:r>
    </w:p>
    <w:p w14:paraId="7023D770" w14:textId="77777777" w:rsidR="00000000" w:rsidRDefault="00000000">
      <w:pPr>
        <w:bidi/>
        <w:spacing w:line="360" w:lineRule="auto"/>
        <w:jc w:val="both"/>
        <w:rPr>
          <w:rtl/>
        </w:rPr>
      </w:pPr>
      <w:r>
        <w:rPr>
          <w:rFonts w:ascii="David" w:hAnsi="David" w:cs="David"/>
          <w:b/>
          <w:bCs/>
          <w:sz w:val="28"/>
          <w:szCs w:val="28"/>
          <w:rtl/>
        </w:rPr>
        <w:t>נימוקי הערעור</w:t>
      </w:r>
    </w:p>
    <w:p w14:paraId="2A0CD38F" w14:textId="77777777" w:rsidR="00000000" w:rsidRDefault="00000000">
      <w:pPr>
        <w:bidi/>
        <w:spacing w:line="360" w:lineRule="auto"/>
        <w:ind w:left="720" w:hanging="720"/>
        <w:jc w:val="both"/>
        <w:rPr>
          <w:rtl/>
        </w:rPr>
      </w:pPr>
      <w:r>
        <w:rPr>
          <w:rFonts w:ascii="David" w:hAnsi="David" w:cs="David"/>
          <w:sz w:val="28"/>
          <w:szCs w:val="28"/>
          <w:rtl/>
        </w:rPr>
        <w:t>12.  בתאריך 16/11/25 הגישו המערערים , היחיד ואשתו, הודעת ערעור על החלטת ביהמ"ש קמא מיום 11/8/25 לעיל. הם עתרו לקבל את הערעור ולהורות על ביטול החלטת בית משפט קמא, ועל דחיית בקשת הנאמן לביטול העברת הזכויות של המערער למערערת מכוח הסכם הממון.</w:t>
      </w:r>
    </w:p>
    <w:p w14:paraId="491CCFC5" w14:textId="77777777" w:rsidR="00000000" w:rsidRDefault="00000000">
      <w:pPr>
        <w:bidi/>
        <w:spacing w:line="360" w:lineRule="auto"/>
        <w:ind w:left="720"/>
        <w:jc w:val="both"/>
        <w:rPr>
          <w:rtl/>
        </w:rPr>
      </w:pPr>
      <w:r>
        <w:rPr>
          <w:rFonts w:ascii="David" w:hAnsi="David" w:cs="David"/>
          <w:sz w:val="28"/>
          <w:szCs w:val="28"/>
          <w:rtl/>
        </w:rPr>
        <w:t>לשיטתם, תנאי סעיף 220 לחוק החדל"פ אינם מתקיימים. העברת הזכויות בוצעה עוד ביום 30/3/99 על פי הסכם ממון שקבל תוקף של פסק דין . לא הוכח כי היחיד המערער , היה חדל פרעון בעת חתימת ההסכם, ב3/1999.</w:t>
      </w:r>
    </w:p>
    <w:p w14:paraId="715B8298" w14:textId="77777777" w:rsidR="00000000" w:rsidRDefault="00000000">
      <w:pPr>
        <w:bidi/>
        <w:spacing w:line="360" w:lineRule="auto"/>
        <w:ind w:left="720"/>
        <w:jc w:val="both"/>
        <w:rPr>
          <w:rtl/>
        </w:rPr>
      </w:pPr>
      <w:r>
        <w:rPr>
          <w:rFonts w:ascii="David" w:hAnsi="David" w:cs="David"/>
          <w:sz w:val="28"/>
          <w:szCs w:val="28"/>
          <w:rtl/>
        </w:rPr>
        <w:t>בית משפט קמא שגה בהתייחסו לרישום הפעולה מיום 5/3/2021 ו22/3/2021 כפעולה קניינית עצמאית, חדשה ונפרדת, בעוד שבפועל מדובר ברישום הצהרתי בלבד של זכות שנוצרה עוד ב1999 במסגרת הסכם ממון; לטענת המערערת, זכויותיה בבית לא נרשמו במשך השנים בשל עיקולים שרבצו על הנכס ואשר הוטלו במועד מאוחר למועד ההסכם ואישורו. עצם העובדה כי המערערת לא פעלה לרישום הערת אזהרה לטובתה אינה גורעת מזכויותיה הקניינית שנקבעה באותו פסק דין . לפי הלכת "אהרונוב" גם ללא רישום הערת אזהרה על הנכס לטובת המערערת, זכותה בנכס הינה זכות ביושר הגוברת על זו של הנושים, אם בכלל.</w:t>
      </w:r>
    </w:p>
    <w:p w14:paraId="5EADECBD" w14:textId="77777777" w:rsidR="00000000" w:rsidRDefault="00000000">
      <w:pPr>
        <w:bidi/>
        <w:spacing w:line="360" w:lineRule="auto"/>
        <w:ind w:left="720"/>
        <w:jc w:val="both"/>
        <w:rPr>
          <w:rtl/>
        </w:rPr>
      </w:pPr>
      <w:r>
        <w:rPr>
          <w:rFonts w:ascii="David" w:hAnsi="David" w:cs="David"/>
          <w:sz w:val="28"/>
          <w:szCs w:val="28"/>
          <w:rtl/>
        </w:rPr>
        <w:t>המערערים מפנים לטעויות נוספות בהחלטת בית משפט קמא וטוענים בין היתר, כי בית משפט קמא שגה עת ייחס משקל משמעותי לאי צירוף תצהיר מטעם המערערת.</w:t>
      </w:r>
    </w:p>
    <w:p w14:paraId="516001AD" w14:textId="77777777" w:rsidR="00000000" w:rsidRDefault="00000000">
      <w:pPr>
        <w:bidi/>
        <w:spacing w:line="360" w:lineRule="auto"/>
        <w:jc w:val="both"/>
        <w:rPr>
          <w:rtl/>
        </w:rPr>
      </w:pPr>
      <w:r>
        <w:rPr>
          <w:rFonts w:ascii="David" w:hAnsi="David" w:cs="David"/>
          <w:sz w:val="28"/>
          <w:szCs w:val="28"/>
          <w:rtl/>
        </w:rPr>
        <w:t> </w:t>
      </w:r>
    </w:p>
    <w:p w14:paraId="6B2D1CB7" w14:textId="77777777" w:rsidR="00000000" w:rsidRDefault="00000000">
      <w:pPr>
        <w:bidi/>
        <w:spacing w:line="360" w:lineRule="auto"/>
        <w:jc w:val="both"/>
        <w:rPr>
          <w:rtl/>
        </w:rPr>
      </w:pPr>
      <w:r>
        <w:rPr>
          <w:rFonts w:ascii="David" w:hAnsi="David" w:cs="David"/>
          <w:sz w:val="28"/>
          <w:szCs w:val="28"/>
          <w:rtl/>
        </w:rPr>
        <w:t> </w:t>
      </w:r>
    </w:p>
    <w:p w14:paraId="3CB394A3" w14:textId="77777777" w:rsidR="00000000" w:rsidRDefault="00000000">
      <w:pPr>
        <w:bidi/>
        <w:spacing w:line="360" w:lineRule="auto"/>
        <w:jc w:val="both"/>
        <w:rPr>
          <w:rtl/>
        </w:rPr>
      </w:pPr>
      <w:r>
        <w:rPr>
          <w:rFonts w:ascii="David" w:hAnsi="David" w:cs="David"/>
          <w:sz w:val="28"/>
          <w:szCs w:val="28"/>
          <w:rtl/>
        </w:rPr>
        <w:t>בקשה להבאת ראיות לערעור</w:t>
      </w:r>
    </w:p>
    <w:p w14:paraId="505A0A4E" w14:textId="77777777" w:rsidR="00000000" w:rsidRDefault="00000000">
      <w:pPr>
        <w:bidi/>
        <w:spacing w:line="360" w:lineRule="auto"/>
        <w:ind w:left="720" w:hanging="720"/>
        <w:jc w:val="both"/>
        <w:rPr>
          <w:rtl/>
        </w:rPr>
      </w:pPr>
      <w:r>
        <w:rPr>
          <w:rFonts w:ascii="David" w:hAnsi="David" w:cs="David"/>
          <w:sz w:val="28"/>
          <w:szCs w:val="28"/>
          <w:rtl/>
        </w:rPr>
        <w:t>13.  באותו יום 16/11/25 ,הגישו המערערים בקשה להבאת ראיות בערעור, במסגרתה עתרו להתיר צירוף : א. מסמכי הדיווח המלאים מתיק מיסוי מקרקעין- ו ב.תצהירים מטעם המערערים. לעניין מסמכי דיווח מתיק מיסוי מקרקעין, הסבירו כי מסמכים אלה התקבלו בידי המערערים רק לאחר פניה יזומה לרשות מיסוי מקרקעין שנעשתה בעקבות קביעות בית משפט קמא. מדובר במסמכים רלוונטיים, אין מדובר בכשל ראיתי אלא בחידוד עובדה קיימת- כאשר הרישום בלשכת רישום המקרקעין משנת 2021 נסמך על הסכם ממון מ1999; בפני הנאמן עמדו כל האמצעים לדרוש את מלא מסמכי הדיווח במיסוי מקרקעין לצורך ביסוס בקשתו אולם לא עשה כן; לעניין התצהירים טענו כי אלה אינם מוספים גרסה חדשה, למה שנטען בתגובות מטעם המערערים .</w:t>
      </w:r>
    </w:p>
    <w:p w14:paraId="294A2B0E" w14:textId="77777777" w:rsidR="00000000" w:rsidRDefault="00000000">
      <w:pPr>
        <w:bidi/>
        <w:spacing w:line="360" w:lineRule="auto"/>
        <w:jc w:val="both"/>
        <w:rPr>
          <w:rtl/>
        </w:rPr>
      </w:pPr>
      <w:r>
        <w:rPr>
          <w:rFonts w:ascii="David" w:hAnsi="David" w:cs="David"/>
          <w:sz w:val="28"/>
          <w:szCs w:val="28"/>
          <w:rtl/>
        </w:rPr>
        <w:t> </w:t>
      </w:r>
    </w:p>
    <w:p w14:paraId="1D626DF6" w14:textId="77777777" w:rsidR="00000000" w:rsidRDefault="00000000">
      <w:pPr>
        <w:bidi/>
        <w:spacing w:line="360" w:lineRule="auto"/>
        <w:jc w:val="both"/>
        <w:rPr>
          <w:rtl/>
        </w:rPr>
      </w:pPr>
      <w:r>
        <w:rPr>
          <w:rFonts w:ascii="David" w:hAnsi="David" w:cs="David"/>
          <w:b/>
          <w:bCs/>
          <w:sz w:val="28"/>
          <w:szCs w:val="28"/>
          <w:rtl/>
        </w:rPr>
        <w:t xml:space="preserve">תגובת הנאמן </w:t>
      </w:r>
    </w:p>
    <w:p w14:paraId="642140D8" w14:textId="77777777" w:rsidR="00000000" w:rsidRDefault="00000000">
      <w:pPr>
        <w:bidi/>
        <w:spacing w:line="360" w:lineRule="auto"/>
        <w:ind w:left="720" w:hanging="720"/>
        <w:jc w:val="both"/>
        <w:rPr>
          <w:rtl/>
        </w:rPr>
      </w:pPr>
      <w:r>
        <w:rPr>
          <w:rFonts w:ascii="David" w:hAnsi="David" w:cs="David"/>
          <w:sz w:val="28"/>
          <w:szCs w:val="28"/>
          <w:rtl/>
        </w:rPr>
        <w:t>14.  הנאמן התנגד בתוקף לבקשה להבאת ראיות. לשיטתו הבקשה אינה עומדת בתנאים לצירוף ראיות בערעור. הנאמן מדגיש כי עסקינן בראיות שהיו זמינות בידי המערערים עוד בשלבי בירור סוגיית ביטול ההענקה בפני ביהמ"ש קמא, כאשר על פניו לא הוצגו בשעתו ממניעים תקטיים גרידא. כעת ומשלא השלימו עם הכרעת בית משפט קמא , חותרים לשיפור עמדות באמצעות ניצול הליכי ערעור.</w:t>
      </w:r>
    </w:p>
    <w:p w14:paraId="6AC18D6F" w14:textId="77777777" w:rsidR="00000000" w:rsidRDefault="00000000">
      <w:pPr>
        <w:bidi/>
        <w:spacing w:line="360" w:lineRule="auto"/>
        <w:ind w:left="720" w:hanging="720"/>
        <w:jc w:val="both"/>
        <w:rPr>
          <w:rtl/>
        </w:rPr>
      </w:pPr>
      <w:r>
        <w:rPr>
          <w:rFonts w:ascii="David" w:hAnsi="David" w:cs="David"/>
          <w:sz w:val="28"/>
          <w:szCs w:val="28"/>
          <w:rtl/>
        </w:rPr>
        <w:t> </w:t>
      </w:r>
    </w:p>
    <w:p w14:paraId="1E5BDBE7" w14:textId="77777777" w:rsidR="00000000" w:rsidRDefault="00000000">
      <w:pPr>
        <w:bidi/>
        <w:spacing w:line="360" w:lineRule="auto"/>
        <w:ind w:left="720" w:hanging="720"/>
        <w:jc w:val="both"/>
        <w:rPr>
          <w:rtl/>
        </w:rPr>
      </w:pPr>
      <w:r>
        <w:rPr>
          <w:rFonts w:ascii="David" w:hAnsi="David" w:cs="David"/>
          <w:sz w:val="28"/>
          <w:szCs w:val="28"/>
          <w:rtl/>
        </w:rPr>
        <w:t>15.  הנאמן בקש לדחות את הערעור וזאת מהטעמים העיקריים הבאים:</w:t>
      </w:r>
    </w:p>
    <w:p w14:paraId="450FFB11" w14:textId="77777777" w:rsidR="00000000" w:rsidRDefault="00000000">
      <w:pPr>
        <w:bidi/>
        <w:spacing w:line="360" w:lineRule="auto"/>
        <w:ind w:left="720" w:hanging="720"/>
        <w:jc w:val="both"/>
        <w:rPr>
          <w:rtl/>
        </w:rPr>
      </w:pPr>
      <w:r>
        <w:rPr>
          <w:rFonts w:ascii="David" w:hAnsi="David" w:cs="David"/>
          <w:sz w:val="28"/>
          <w:szCs w:val="28"/>
          <w:rtl/>
        </w:rPr>
        <w:t>א.  פסק דין של בית משפט קמא, בדין יסודו, מנומק כדבעי ואין עילה המצדיקה התערבות בשיקול דעת רחב של בית משפט של חדלות פרעון. המערערים עותרים להתערבות בממצאים עובדתיים שנבחנו ונקבעו .</w:t>
      </w:r>
    </w:p>
    <w:p w14:paraId="111FA654" w14:textId="77777777" w:rsidR="00000000" w:rsidRDefault="00000000">
      <w:pPr>
        <w:bidi/>
        <w:spacing w:line="360" w:lineRule="auto"/>
        <w:jc w:val="both"/>
        <w:rPr>
          <w:rtl/>
        </w:rPr>
      </w:pPr>
      <w:r>
        <w:rPr>
          <w:rFonts w:ascii="David" w:hAnsi="David" w:cs="David"/>
          <w:sz w:val="28"/>
          <w:szCs w:val="28"/>
          <w:rtl/>
        </w:rPr>
        <w:t> </w:t>
      </w:r>
    </w:p>
    <w:p w14:paraId="063C8E41" w14:textId="77777777" w:rsidR="00000000" w:rsidRDefault="00000000">
      <w:pPr>
        <w:bidi/>
        <w:spacing w:line="360" w:lineRule="auto"/>
        <w:ind w:left="720" w:hanging="720"/>
        <w:jc w:val="both"/>
        <w:rPr>
          <w:rtl/>
        </w:rPr>
      </w:pPr>
      <w:r>
        <w:rPr>
          <w:rFonts w:ascii="David" w:hAnsi="David" w:cs="David"/>
          <w:sz w:val="28"/>
          <w:szCs w:val="28"/>
          <w:rtl/>
        </w:rPr>
        <w:t>ב.  התנאים המצטברים של סעיף 220 (א) לחוק החדל"פ בעניין ביטול פעולה, אכן מתקיימים , כאשר לשיטתו מדובר בביטול פעולה של רישום זכויות במקרקעין מיום 22/3/21 -עסקה מתנה נפרדת ללא תמורה.</w:t>
      </w:r>
    </w:p>
    <w:p w14:paraId="5C2A0DC2" w14:textId="77777777" w:rsidR="00000000" w:rsidRDefault="00000000">
      <w:pPr>
        <w:bidi/>
        <w:spacing w:line="360" w:lineRule="auto"/>
        <w:ind w:left="720" w:hanging="720"/>
        <w:jc w:val="both"/>
        <w:rPr>
          <w:rtl/>
        </w:rPr>
      </w:pPr>
      <w:r>
        <w:rPr>
          <w:rFonts w:ascii="David" w:hAnsi="David" w:cs="David"/>
          <w:sz w:val="28"/>
          <w:szCs w:val="28"/>
          <w:rtl/>
        </w:rPr>
        <w:t> </w:t>
      </w:r>
    </w:p>
    <w:p w14:paraId="545EA384" w14:textId="77777777" w:rsidR="00000000" w:rsidRDefault="00000000">
      <w:pPr>
        <w:bidi/>
        <w:spacing w:line="360" w:lineRule="auto"/>
        <w:ind w:left="720" w:hanging="720"/>
        <w:jc w:val="both"/>
        <w:rPr>
          <w:rtl/>
        </w:rPr>
      </w:pPr>
      <w:r>
        <w:rPr>
          <w:rFonts w:ascii="David" w:hAnsi="David" w:cs="David"/>
          <w:sz w:val="28"/>
          <w:szCs w:val="28"/>
          <w:rtl/>
        </w:rPr>
        <w:t>ג.  ככל ולשיטת המערערים נערך בינם הסכם ממון שאושר עוד בשנת1999, עדיין עצם אישורו בפני בית המשפט, אינו מקנה להסכם/פסק הדין חסינות מחובת הרישום ע"פ חוק המקרקעין. למעשה המערערת החזיקה בהתחייבות חוזית שלא השתדרגה למעמד של זכות קניינית, עד למועד רישומה בפנקס רישום מקרקעין ביום 22/3/21.</w:t>
      </w:r>
    </w:p>
    <w:p w14:paraId="4DB3E933" w14:textId="77777777" w:rsidR="00000000" w:rsidRDefault="00000000">
      <w:pPr>
        <w:bidi/>
        <w:spacing w:line="360" w:lineRule="auto"/>
        <w:ind w:left="720" w:hanging="720"/>
        <w:jc w:val="both"/>
        <w:rPr>
          <w:rtl/>
        </w:rPr>
      </w:pPr>
      <w:r>
        <w:rPr>
          <w:rFonts w:ascii="David" w:hAnsi="David" w:cs="David"/>
          <w:sz w:val="28"/>
          <w:szCs w:val="28"/>
          <w:rtl/>
        </w:rPr>
        <w:t> </w:t>
      </w:r>
    </w:p>
    <w:p w14:paraId="0A063919" w14:textId="77777777" w:rsidR="00000000" w:rsidRDefault="00000000">
      <w:pPr>
        <w:bidi/>
        <w:spacing w:line="360" w:lineRule="auto"/>
        <w:ind w:left="720" w:hanging="720"/>
        <w:jc w:val="both"/>
        <w:rPr>
          <w:rtl/>
        </w:rPr>
      </w:pPr>
      <w:r>
        <w:rPr>
          <w:rFonts w:ascii="David" w:hAnsi="David" w:cs="David"/>
          <w:sz w:val="28"/>
          <w:szCs w:val="28"/>
          <w:rtl/>
        </w:rPr>
        <w:t xml:space="preserve">ד.  הנאמן טוען לוויתור, זניחת , פקיעת ובטלות הסכם הממון. התנהגות המערערים מעידה על כך - במשך 22 שנים לא נקפו אצבע ולא דאגו לרישום הזכויות על פיו או לכל הפחות רישום הערת אזהרה; ואי הוכחת פירוד מוחלט ואף המשך ניהול חיים משותפים ,וניהול משק בית אחד כ-27 שנים אחרי חתימת הסכם. </w:t>
      </w:r>
    </w:p>
    <w:p w14:paraId="2BC93951" w14:textId="77777777" w:rsidR="00000000" w:rsidRDefault="00000000">
      <w:pPr>
        <w:bidi/>
        <w:spacing w:line="360" w:lineRule="auto"/>
        <w:jc w:val="both"/>
        <w:rPr>
          <w:rtl/>
        </w:rPr>
      </w:pPr>
      <w:r>
        <w:rPr>
          <w:rFonts w:ascii="David" w:hAnsi="David" w:cs="David"/>
          <w:sz w:val="28"/>
          <w:szCs w:val="28"/>
          <w:rtl/>
        </w:rPr>
        <w:t> </w:t>
      </w:r>
    </w:p>
    <w:p w14:paraId="61A8ABF8" w14:textId="77777777" w:rsidR="00000000" w:rsidRDefault="00000000">
      <w:pPr>
        <w:bidi/>
        <w:spacing w:line="360" w:lineRule="auto"/>
        <w:ind w:left="720" w:hanging="720"/>
        <w:jc w:val="both"/>
        <w:rPr>
          <w:rtl/>
        </w:rPr>
      </w:pPr>
      <w:r>
        <w:rPr>
          <w:rFonts w:ascii="David" w:hAnsi="David" w:cs="David"/>
          <w:sz w:val="28"/>
          <w:szCs w:val="28"/>
          <w:rtl/>
        </w:rPr>
        <w:t>16.  ב"כ הממונה הגישה הודעה כי היא מצטרפת לעמדת הנאמן בתגובתו, ומבקשת לדחות את הערעור.</w:t>
      </w:r>
    </w:p>
    <w:p w14:paraId="1EDA373E" w14:textId="77777777" w:rsidR="00000000" w:rsidRDefault="00000000">
      <w:pPr>
        <w:bidi/>
        <w:spacing w:line="360" w:lineRule="auto"/>
        <w:ind w:left="720" w:hanging="720"/>
        <w:jc w:val="both"/>
        <w:rPr>
          <w:rtl/>
        </w:rPr>
      </w:pPr>
      <w:r>
        <w:rPr>
          <w:rFonts w:ascii="David" w:hAnsi="David" w:cs="David"/>
          <w:sz w:val="28"/>
          <w:szCs w:val="28"/>
          <w:rtl/>
        </w:rPr>
        <w:t> </w:t>
      </w:r>
    </w:p>
    <w:p w14:paraId="3485F973" w14:textId="77777777" w:rsidR="00000000" w:rsidRDefault="00000000">
      <w:pPr>
        <w:bidi/>
        <w:spacing w:line="360" w:lineRule="auto"/>
        <w:jc w:val="both"/>
        <w:rPr>
          <w:rtl/>
        </w:rPr>
      </w:pPr>
      <w:r>
        <w:rPr>
          <w:rFonts w:ascii="David" w:hAnsi="David" w:cs="David"/>
          <w:sz w:val="28"/>
          <w:szCs w:val="28"/>
          <w:rtl/>
        </w:rPr>
        <w:t>17.  בתאריך 18/2/26 התקיים דיון בפניי וכל צד חזר על טענותיו.</w:t>
      </w:r>
    </w:p>
    <w:p w14:paraId="12BF85E6" w14:textId="77777777" w:rsidR="00000000" w:rsidRDefault="00000000">
      <w:pPr>
        <w:bidi/>
        <w:spacing w:line="360" w:lineRule="auto"/>
        <w:jc w:val="both"/>
        <w:rPr>
          <w:rtl/>
        </w:rPr>
      </w:pPr>
      <w:r>
        <w:rPr>
          <w:rFonts w:ascii="David" w:hAnsi="David" w:cs="David"/>
          <w:sz w:val="28"/>
          <w:szCs w:val="28"/>
          <w:rtl/>
        </w:rPr>
        <w:t> </w:t>
      </w:r>
    </w:p>
    <w:p w14:paraId="58808937" w14:textId="77777777" w:rsidR="00000000" w:rsidRDefault="00000000">
      <w:pPr>
        <w:bidi/>
        <w:spacing w:line="360" w:lineRule="auto"/>
        <w:jc w:val="both"/>
        <w:rPr>
          <w:rtl/>
        </w:rPr>
      </w:pPr>
      <w:r>
        <w:rPr>
          <w:rFonts w:ascii="David" w:hAnsi="David" w:cs="David"/>
          <w:b/>
          <w:bCs/>
          <w:sz w:val="28"/>
          <w:szCs w:val="28"/>
          <w:rtl/>
        </w:rPr>
        <w:t>הכרעה -</w:t>
      </w:r>
    </w:p>
    <w:p w14:paraId="561CF9D1" w14:textId="77777777" w:rsidR="00000000" w:rsidRDefault="00000000">
      <w:pPr>
        <w:bidi/>
        <w:spacing w:line="360" w:lineRule="auto"/>
        <w:jc w:val="both"/>
        <w:rPr>
          <w:rtl/>
        </w:rPr>
      </w:pPr>
      <w:r>
        <w:rPr>
          <w:rFonts w:ascii="David" w:hAnsi="David" w:cs="David"/>
          <w:sz w:val="28"/>
          <w:szCs w:val="28"/>
          <w:rtl/>
        </w:rPr>
        <w:t> </w:t>
      </w:r>
    </w:p>
    <w:p w14:paraId="30A8A3EA" w14:textId="77777777" w:rsidR="00000000" w:rsidRDefault="00000000">
      <w:pPr>
        <w:bidi/>
        <w:spacing w:line="360" w:lineRule="auto"/>
        <w:jc w:val="both"/>
        <w:rPr>
          <w:rtl/>
        </w:rPr>
      </w:pPr>
      <w:r>
        <w:rPr>
          <w:rFonts w:ascii="David" w:hAnsi="David" w:cs="David"/>
          <w:sz w:val="28"/>
          <w:szCs w:val="28"/>
          <w:rtl/>
        </w:rPr>
        <w:t>בקשה להבאת ראיות חדשות</w:t>
      </w:r>
    </w:p>
    <w:p w14:paraId="50A50B71" w14:textId="77777777" w:rsidR="00000000" w:rsidRDefault="00000000">
      <w:pPr>
        <w:bidi/>
        <w:spacing w:line="360" w:lineRule="auto"/>
        <w:jc w:val="both"/>
        <w:rPr>
          <w:rtl/>
        </w:rPr>
      </w:pPr>
      <w:r>
        <w:rPr>
          <w:rFonts w:ascii="David" w:hAnsi="David" w:cs="David"/>
          <w:sz w:val="28"/>
          <w:szCs w:val="28"/>
          <w:rtl/>
        </w:rPr>
        <w:t xml:space="preserve">18.  תקנה 144 לתקנות סדר הדין האזרחי קובעת לאמור: </w:t>
      </w:r>
    </w:p>
    <w:p w14:paraId="66B4DA2C" w14:textId="77777777" w:rsidR="00000000" w:rsidRDefault="00000000">
      <w:pPr>
        <w:bidi/>
        <w:spacing w:line="360" w:lineRule="auto"/>
        <w:ind w:left="720"/>
        <w:jc w:val="both"/>
        <w:rPr>
          <w:rtl/>
        </w:rPr>
      </w:pPr>
      <w:r>
        <w:rPr>
          <w:rFonts w:ascii="David" w:hAnsi="David" w:cs="David"/>
          <w:b/>
          <w:bCs/>
          <w:sz w:val="28"/>
          <w:szCs w:val="28"/>
          <w:rtl/>
        </w:rPr>
        <w:t>"בעל דין אינו רשאי להגיש ראיות חדשות לבית המשפט שלערעור; ואולם בית המשפט רשאי להתיר הגשת ראיות חדשות אם שוכנע שהן עשויות להשפיע על תוצאות הערעור וכן שמתקיים אחד מאלה:</w:t>
      </w:r>
    </w:p>
    <w:p w14:paraId="4322A7F2" w14:textId="77777777" w:rsidR="00000000" w:rsidRDefault="00000000">
      <w:pPr>
        <w:bidi/>
        <w:spacing w:line="360" w:lineRule="auto"/>
        <w:ind w:left="1440" w:hanging="720"/>
        <w:jc w:val="both"/>
        <w:rPr>
          <w:rtl/>
        </w:rPr>
      </w:pPr>
      <w:r>
        <w:rPr>
          <w:rFonts w:ascii="David" w:hAnsi="David" w:cs="David"/>
          <w:b/>
          <w:bCs/>
          <w:sz w:val="28"/>
          <w:szCs w:val="28"/>
          <w:rtl/>
        </w:rPr>
        <w:t>(1)  לא היה ניתן לאתר את הראיה בשקידה סבירה ולהגישה בערכאה הראשונה במועד המתאים לכך;</w:t>
      </w:r>
    </w:p>
    <w:p w14:paraId="2391C037" w14:textId="77777777" w:rsidR="00000000" w:rsidRDefault="00000000">
      <w:pPr>
        <w:bidi/>
        <w:spacing w:line="360" w:lineRule="auto"/>
        <w:ind w:firstLine="720"/>
        <w:jc w:val="both"/>
        <w:rPr>
          <w:rtl/>
        </w:rPr>
      </w:pPr>
      <w:r>
        <w:rPr>
          <w:rFonts w:ascii="David" w:hAnsi="David" w:cs="David"/>
          <w:b/>
          <w:bCs/>
          <w:sz w:val="28"/>
          <w:szCs w:val="28"/>
          <w:rtl/>
        </w:rPr>
        <w:t>(2)  הגשת הראיה דרושה כדי למנוע עיוות דין."</w:t>
      </w:r>
    </w:p>
    <w:p w14:paraId="2987B488" w14:textId="77777777" w:rsidR="00000000" w:rsidRDefault="00000000">
      <w:pPr>
        <w:bidi/>
        <w:spacing w:line="360" w:lineRule="auto"/>
        <w:jc w:val="both"/>
        <w:rPr>
          <w:rtl/>
        </w:rPr>
      </w:pPr>
      <w:r>
        <w:rPr>
          <w:rFonts w:ascii="David" w:hAnsi="David" w:cs="David"/>
          <w:sz w:val="28"/>
          <w:szCs w:val="28"/>
          <w:rtl/>
        </w:rPr>
        <w:t> </w:t>
      </w:r>
    </w:p>
    <w:p w14:paraId="562581DF" w14:textId="77777777" w:rsidR="00000000" w:rsidRDefault="00000000">
      <w:pPr>
        <w:bidi/>
        <w:spacing w:line="360" w:lineRule="auto"/>
        <w:jc w:val="both"/>
        <w:rPr>
          <w:rtl/>
        </w:rPr>
      </w:pPr>
      <w:r>
        <w:rPr>
          <w:rFonts w:ascii="David" w:hAnsi="David" w:cs="David"/>
          <w:sz w:val="28"/>
          <w:szCs w:val="28"/>
          <w:rtl/>
        </w:rPr>
        <w:t xml:space="preserve">19.  רע"א 5830/22 טוביה שטראוס נ' עידן פלג יצחק (נבו 16.1.2023)‏‏ נקבע </w:t>
      </w:r>
    </w:p>
    <w:p w14:paraId="77F43840" w14:textId="77777777" w:rsidR="00000000" w:rsidRDefault="00000000">
      <w:pPr>
        <w:bidi/>
        <w:spacing w:line="360" w:lineRule="auto"/>
        <w:ind w:left="720"/>
        <w:jc w:val="both"/>
        <w:rPr>
          <w:rtl/>
        </w:rPr>
      </w:pPr>
      <w:r>
        <w:rPr>
          <w:rFonts w:ascii="David" w:hAnsi="David" w:cs="David"/>
          <w:b/>
          <w:bCs/>
          <w:sz w:val="28"/>
          <w:szCs w:val="28"/>
          <w:rtl/>
        </w:rPr>
        <w:t>"כידוע, הכלל הוא כי אין מקום להגשת ראיות חדשות בשלב הערעור. עם זאת, תקנה 144 לתקנות, קובעת כי בית המשפט שלערעור רשאי להתיר הגשת ראיות חדשות אם שוכנע שהן עשויות להשפיע על תוצאת ההליך, וכן שמתקיים אחד מהתנאים הבאים - לא ניתן היה לאתר את הראיה בשקידה סבירה ולהגישה בערכאה הדיונית</w:t>
      </w:r>
      <w:r>
        <w:rPr>
          <w:rFonts w:ascii="David" w:hAnsi="David" w:cs="David"/>
          <w:sz w:val="28"/>
          <w:szCs w:val="28"/>
          <w:rtl/>
        </w:rPr>
        <w:t xml:space="preserve"> </w:t>
      </w:r>
      <w:r>
        <w:rPr>
          <w:rFonts w:ascii="David" w:hAnsi="David" w:cs="David"/>
          <w:b/>
          <w:bCs/>
          <w:sz w:val="28"/>
          <w:szCs w:val="28"/>
          <w:rtl/>
        </w:rPr>
        <w:t>במועד המתאים לכך, או שהגשת הראיה דרושה כדי למנוע עיוות דין "</w:t>
      </w:r>
    </w:p>
    <w:p w14:paraId="6F1EF332" w14:textId="77777777" w:rsidR="00000000" w:rsidRDefault="00000000">
      <w:pPr>
        <w:bidi/>
        <w:spacing w:line="360" w:lineRule="auto"/>
        <w:ind w:firstLine="720"/>
        <w:jc w:val="both"/>
        <w:rPr>
          <w:rtl/>
        </w:rPr>
      </w:pPr>
      <w:r>
        <w:rPr>
          <w:rFonts w:ascii="David" w:hAnsi="David" w:cs="David"/>
          <w:sz w:val="28"/>
          <w:szCs w:val="28"/>
          <w:rtl/>
        </w:rPr>
        <w:t xml:space="preserve">ראה גם ע"א 6435/21 אליעזר ברזילי נ' עיריית חדרה (נבו 1.8.2022)‏‏ </w:t>
      </w:r>
    </w:p>
    <w:p w14:paraId="1164C06D" w14:textId="77777777" w:rsidR="00000000" w:rsidRDefault="00000000">
      <w:pPr>
        <w:bidi/>
        <w:spacing w:line="360" w:lineRule="auto"/>
        <w:jc w:val="both"/>
        <w:rPr>
          <w:rtl/>
        </w:rPr>
      </w:pPr>
      <w:r>
        <w:rPr>
          <w:rFonts w:ascii="David" w:hAnsi="David" w:cs="David"/>
          <w:sz w:val="28"/>
          <w:szCs w:val="28"/>
          <w:rtl/>
        </w:rPr>
        <w:t> </w:t>
      </w:r>
    </w:p>
    <w:p w14:paraId="6136C16E" w14:textId="77777777" w:rsidR="00000000" w:rsidRDefault="00000000">
      <w:pPr>
        <w:bidi/>
        <w:spacing w:line="360" w:lineRule="auto"/>
        <w:ind w:left="720" w:hanging="720"/>
        <w:jc w:val="both"/>
        <w:rPr>
          <w:rtl/>
        </w:rPr>
      </w:pPr>
      <w:r>
        <w:rPr>
          <w:rFonts w:ascii="David" w:hAnsi="David" w:cs="David"/>
          <w:sz w:val="28"/>
          <w:szCs w:val="28"/>
          <w:rtl/>
        </w:rPr>
        <w:t>20.  לאחר שבחנתי טענות הצדדים והראיות אותן מבקשים המערערים להגיש , מצאתי לקבל את הבקשה באופן חלקי , אני מקבלת את הבקשה להבאת ראיות בכל הנוגע למסמכי דיווח מלאים מתיק מיסוי המקרקעין . (נספח 1 לבקשה )אך אני דוחה הבקשה להתיר הגשת תצהירי המערערים.(נספח 2 לבקשה).</w:t>
      </w:r>
    </w:p>
    <w:p w14:paraId="0CA77CC5" w14:textId="77777777" w:rsidR="00000000" w:rsidRDefault="00000000">
      <w:pPr>
        <w:bidi/>
        <w:spacing w:line="360" w:lineRule="auto"/>
        <w:ind w:left="720"/>
        <w:jc w:val="both"/>
        <w:rPr>
          <w:rtl/>
        </w:rPr>
      </w:pPr>
      <w:r>
        <w:rPr>
          <w:rFonts w:ascii="David" w:hAnsi="David" w:cs="David"/>
          <w:sz w:val="28"/>
          <w:szCs w:val="28"/>
          <w:rtl/>
        </w:rPr>
        <w:t>תחילה אציין כי ,היחיד ובמסגרת תגובתו לבקשת הנאמן לביטול פעולת רישום נכס מקרקעין" מיום 12/3/25 שהוגשה בפני בית משפט קמא- צירף "אישורי מס" (נספח 6 ) ולפי אישורים אלה מדובר בדיווח מיום 18/3/2021 על עסקה מיום 30/3/1999; במסגרת הגשת בקשת ראיות נוספות מבקש המערער לצרף מלוא התיק כפי שהוגש לרשות המס, מהם עולה בבירור כי מדובר ברישום עסקה המבוססת על הסכם יחסי ממון מ- 30/3/1999.כאשר העתק מהסכם זה ופסק דין המאשר אותו, הוגשו ללשכת מיסוי המקרקעין. הראיות הנוספות בעניין מסמכי הדיווח המלאים מתיק מיסוי מקרקעין, הינן ראיות משלימות לאלה שהוגשו בפני ביהמ"ש קמא, ועשויות להשפיע על תוצאת ההליך, שכן הן נוגעות למחלוקת המרכזית שעומדת בבסיס בקשת הנאמן לביטול פעולה מכוח סעיף220 לחוק החדל"פ- והיא אם פעולת רישום הזכויות בטאבו ביום 22/3/21 מתייחסת לעסקה נשוא הסכם יחסי ממון מ1999, או שמא מתייחסת לעסקה אחרת -עסקת מתנה נפרדת , נושא שטר מכר 5/3/21.</w:t>
      </w:r>
    </w:p>
    <w:p w14:paraId="106A42F3" w14:textId="77777777" w:rsidR="00000000" w:rsidRDefault="00000000">
      <w:pPr>
        <w:bidi/>
        <w:spacing w:line="360" w:lineRule="auto"/>
        <w:ind w:left="720"/>
        <w:jc w:val="both"/>
        <w:rPr>
          <w:rtl/>
        </w:rPr>
      </w:pPr>
      <w:r>
        <w:rPr>
          <w:rFonts w:ascii="David" w:hAnsi="David" w:cs="David"/>
          <w:sz w:val="28"/>
          <w:szCs w:val="28"/>
          <w:rtl/>
        </w:rPr>
        <w:t>שוכנעתי כי הגשת הראיות דרושה למניעת עיוות דין, זאת נוכח העולה מן המסמכים שצירופם מבוקש, ואשר יש בהן להשפיע על שינוי פסק הדין .</w:t>
      </w:r>
    </w:p>
    <w:p w14:paraId="57970C4A" w14:textId="77777777" w:rsidR="00000000" w:rsidRDefault="00000000">
      <w:pPr>
        <w:bidi/>
        <w:spacing w:line="360" w:lineRule="auto"/>
        <w:jc w:val="both"/>
        <w:rPr>
          <w:rtl/>
        </w:rPr>
      </w:pPr>
      <w:r>
        <w:rPr>
          <w:rFonts w:ascii="David" w:hAnsi="David" w:cs="David"/>
          <w:sz w:val="28"/>
          <w:szCs w:val="28"/>
          <w:rtl/>
        </w:rPr>
        <w:t> </w:t>
      </w:r>
    </w:p>
    <w:p w14:paraId="58BF4C92" w14:textId="77777777" w:rsidR="00000000" w:rsidRDefault="00000000">
      <w:pPr>
        <w:bidi/>
        <w:spacing w:line="360" w:lineRule="auto"/>
        <w:ind w:left="720" w:hanging="720"/>
        <w:jc w:val="both"/>
        <w:rPr>
          <w:rtl/>
        </w:rPr>
      </w:pPr>
      <w:r>
        <w:rPr>
          <w:rFonts w:ascii="David" w:hAnsi="David" w:cs="David"/>
          <w:sz w:val="28"/>
          <w:szCs w:val="28"/>
          <w:rtl/>
        </w:rPr>
        <w:t>21.  שונה הדבר באשר לתצהירי המערערים. ככלל ,יש להגיש תצהירים בפני ערכאת דיונית , ולא מצאתי טעם המצדיק הגשתם בפני ערכאת הערעור .</w:t>
      </w:r>
    </w:p>
    <w:p w14:paraId="3DE96723" w14:textId="77777777" w:rsidR="00000000" w:rsidRDefault="00000000">
      <w:pPr>
        <w:bidi/>
        <w:spacing w:line="360" w:lineRule="auto"/>
        <w:jc w:val="both"/>
        <w:rPr>
          <w:rtl/>
        </w:rPr>
      </w:pPr>
      <w:r>
        <w:rPr>
          <w:rFonts w:ascii="David" w:hAnsi="David" w:cs="David"/>
          <w:sz w:val="28"/>
          <w:szCs w:val="28"/>
          <w:rtl/>
        </w:rPr>
        <w:t>   </w:t>
      </w:r>
    </w:p>
    <w:p w14:paraId="3E268B59" w14:textId="77777777" w:rsidR="00000000" w:rsidRDefault="00000000">
      <w:pPr>
        <w:bidi/>
        <w:spacing w:line="360" w:lineRule="auto"/>
        <w:jc w:val="both"/>
        <w:rPr>
          <w:rtl/>
        </w:rPr>
      </w:pPr>
      <w:r>
        <w:rPr>
          <w:rFonts w:ascii="David" w:hAnsi="David" w:cs="David"/>
          <w:sz w:val="28"/>
          <w:szCs w:val="28"/>
          <w:rtl/>
        </w:rPr>
        <w:t xml:space="preserve">לגופו של הערעור </w:t>
      </w:r>
    </w:p>
    <w:p w14:paraId="67BCA2CE" w14:textId="77777777" w:rsidR="00000000" w:rsidRDefault="00000000">
      <w:pPr>
        <w:bidi/>
        <w:spacing w:line="360" w:lineRule="auto"/>
        <w:ind w:left="720" w:hanging="720"/>
        <w:jc w:val="both"/>
        <w:rPr>
          <w:rtl/>
        </w:rPr>
      </w:pPr>
      <w:r>
        <w:rPr>
          <w:rFonts w:ascii="David" w:hAnsi="David" w:cs="David"/>
          <w:sz w:val="28"/>
          <w:szCs w:val="28"/>
          <w:rtl/>
        </w:rPr>
        <w:t>22.  כידוע, אין זו מדרכה של ערכאת ערעור להתערב בהחלטות של בית משפט של חדלות פירעון אלא במקרים חריגים, נוכח מומחיותו הייחודית בתחום ולאור היכרותו הישירה עם בעלי הדין וכלל הנסיבות. (ע"א 3145/21 יצחק בן משה נ' כונס הנכסים הרשמי,</w:t>
      </w:r>
    </w:p>
    <w:p w14:paraId="4ABEB1FF" w14:textId="77777777" w:rsidR="00000000" w:rsidRDefault="00000000">
      <w:pPr>
        <w:bidi/>
        <w:spacing w:line="360" w:lineRule="auto"/>
        <w:ind w:firstLine="720"/>
        <w:jc w:val="both"/>
        <w:rPr>
          <w:rtl/>
        </w:rPr>
      </w:pPr>
      <w:r>
        <w:rPr>
          <w:rFonts w:ascii="David" w:hAnsi="David" w:cs="David"/>
          <w:sz w:val="28"/>
          <w:szCs w:val="28"/>
          <w:rtl/>
        </w:rPr>
        <w:t>(רע"א 4406/18 בנק הפועלים בע"מ נ' עו"ד מור נרדיה עמית לדרמן - נאמנים )</w:t>
      </w:r>
    </w:p>
    <w:p w14:paraId="10BF5277" w14:textId="77777777" w:rsidR="00000000" w:rsidRDefault="00000000">
      <w:pPr>
        <w:bidi/>
        <w:spacing w:line="360" w:lineRule="auto"/>
        <w:jc w:val="both"/>
        <w:rPr>
          <w:rtl/>
        </w:rPr>
      </w:pPr>
      <w:r>
        <w:rPr>
          <w:rFonts w:ascii="David" w:hAnsi="David" w:cs="David"/>
          <w:sz w:val="28"/>
          <w:szCs w:val="28"/>
          <w:rtl/>
        </w:rPr>
        <w:t> </w:t>
      </w:r>
    </w:p>
    <w:p w14:paraId="16CB5602" w14:textId="77777777" w:rsidR="00000000" w:rsidRDefault="00000000">
      <w:pPr>
        <w:bidi/>
        <w:spacing w:line="360" w:lineRule="auto"/>
        <w:ind w:left="720" w:hanging="720"/>
        <w:jc w:val="both"/>
        <w:rPr>
          <w:rtl/>
        </w:rPr>
      </w:pPr>
      <w:r>
        <w:rPr>
          <w:rFonts w:ascii="David" w:hAnsi="David" w:cs="David"/>
          <w:sz w:val="28"/>
          <w:szCs w:val="28"/>
          <w:rtl/>
        </w:rPr>
        <w:t>23.  עם זאת, במקרה דנן, לאחר עיון בהודעת הערעור ותשובת הנאמן , שמיעת טענות הצדדים בדיון בפניי , ועיון בתיק בפני בית המשפט קמא והחלטתו , שוכנעתי כי מקרה זה נמנה על אותם מקרים חריגים המצדיקים את התערבותה של ערכאת הערעור.</w:t>
      </w:r>
    </w:p>
    <w:p w14:paraId="11AF35BD" w14:textId="77777777" w:rsidR="00000000" w:rsidRDefault="00000000">
      <w:pPr>
        <w:bidi/>
        <w:spacing w:line="360" w:lineRule="auto"/>
        <w:jc w:val="both"/>
        <w:rPr>
          <w:rtl/>
        </w:rPr>
      </w:pPr>
      <w:r>
        <w:rPr>
          <w:rFonts w:ascii="David" w:hAnsi="David" w:cs="David"/>
          <w:sz w:val="28"/>
          <w:szCs w:val="28"/>
          <w:rtl/>
        </w:rPr>
        <w:t> </w:t>
      </w:r>
    </w:p>
    <w:p w14:paraId="09AD512E" w14:textId="77777777" w:rsidR="00000000" w:rsidRDefault="00000000">
      <w:pPr>
        <w:bidi/>
        <w:spacing w:line="360" w:lineRule="auto"/>
        <w:ind w:left="720" w:hanging="720"/>
        <w:jc w:val="both"/>
        <w:rPr>
          <w:rtl/>
        </w:rPr>
      </w:pPr>
      <w:r>
        <w:rPr>
          <w:rFonts w:ascii="David" w:hAnsi="David" w:cs="David"/>
          <w:sz w:val="28"/>
          <w:szCs w:val="28"/>
          <w:rtl/>
        </w:rPr>
        <w:t>24.  בית משפט קמא לא שמע ראיות , לא נקבעו ממצאי מהימנות בהחלטה נשוא הערעור, וממצאיו ומסקנותיו מבוססים על המסמכים שהוגשו ועל טענות הצדדים. במצב זה אין לבית משפט קמא יתרון של ממש על פני ערכאת הערעור. לטעמי, מסקנותיו של בית משפט קמא אינן מתיישבות עם הגרעין המרכזי של הראיות שהוגשו בתיק קמא , בנוסף למסמכים שהוגשו בפני ערכאה זו, ונפלה טעות בהחלטת בית משפט קמא הדורשת התערבות ערכאת הערעור . אפרט</w:t>
      </w:r>
    </w:p>
    <w:p w14:paraId="59100A0E" w14:textId="77777777" w:rsidR="00000000" w:rsidRDefault="00000000">
      <w:pPr>
        <w:bidi/>
        <w:spacing w:line="360" w:lineRule="auto"/>
        <w:jc w:val="both"/>
        <w:rPr>
          <w:rtl/>
        </w:rPr>
      </w:pPr>
      <w:r>
        <w:rPr>
          <w:rFonts w:ascii="David" w:hAnsi="David" w:cs="David"/>
          <w:sz w:val="28"/>
          <w:szCs w:val="28"/>
          <w:rtl/>
        </w:rPr>
        <w:t> </w:t>
      </w:r>
    </w:p>
    <w:p w14:paraId="575EABB4" w14:textId="77777777" w:rsidR="00000000" w:rsidRDefault="00000000">
      <w:pPr>
        <w:bidi/>
        <w:spacing w:line="360" w:lineRule="auto"/>
        <w:ind w:left="720" w:hanging="720"/>
        <w:jc w:val="both"/>
        <w:rPr>
          <w:rtl/>
        </w:rPr>
      </w:pPr>
      <w:r>
        <w:rPr>
          <w:rFonts w:ascii="David" w:hAnsi="David" w:cs="David"/>
          <w:sz w:val="28"/>
          <w:szCs w:val="28"/>
          <w:rtl/>
        </w:rPr>
        <w:t xml:space="preserve">25.  כאמור לעיל, בין בני הזוג (המערערים) נחתם בתאריך 30/3/1999 "הסכם יחסי ממון" , בין היתר, הוסכם כי בבעלות המערערת יהיה בית מגורים וכל תכולתו, ואילו בבעלות המערער יהיו זכויות אחרות לרבות מניות בחברה ,רכבים ועוד כמפורט שם . </w:t>
      </w:r>
    </w:p>
    <w:p w14:paraId="65EDF274" w14:textId="77777777" w:rsidR="00000000" w:rsidRDefault="00000000">
      <w:pPr>
        <w:bidi/>
        <w:spacing w:line="360" w:lineRule="auto"/>
        <w:ind w:left="720"/>
        <w:jc w:val="both"/>
        <w:rPr>
          <w:rtl/>
        </w:rPr>
      </w:pPr>
      <w:r>
        <w:rPr>
          <w:rFonts w:ascii="David" w:hAnsi="David" w:cs="David"/>
          <w:sz w:val="28"/>
          <w:szCs w:val="28"/>
          <w:rtl/>
        </w:rPr>
        <w:t>בתאריך 10/11/99 , אושר הסכם הממון ע"י ביהמ"ש לענייני משפחה וניתן לו תוקף של פסק דין. בתאריך 16/11/20 נחתם "הסכם מכר ללא תמורה" בין המערערת, לבין ילדיה לפי הסכם זה המערערת העבירה את מלוא זכויותיה בנכס לשני ילדיה .ב 5/3/2021 נחתמו שטרי מכר לפיו העביר המערער את זכויותיו בנכס למערערת, ובשטר מכר מאותו יום העבירה המערערת את זכויותיה בנכס לשני ילדיה. וביום 22/3/2021 נרשמו הזכויות בלשכת רישום המקרקעין תחילה משם המערער לשם המערערת ולאחר מכן משם המערערת לשני בניה. וביום 8/8/2023 ניתן צו לפתיחת הליכים נגד היחיד-המערער.</w:t>
      </w:r>
    </w:p>
    <w:p w14:paraId="747B32B7" w14:textId="77777777" w:rsidR="00000000" w:rsidRDefault="00000000">
      <w:pPr>
        <w:bidi/>
        <w:spacing w:line="360" w:lineRule="auto"/>
        <w:ind w:left="720"/>
        <w:jc w:val="both"/>
        <w:rPr>
          <w:rtl/>
        </w:rPr>
      </w:pPr>
      <w:r>
        <w:rPr>
          <w:rFonts w:ascii="David" w:hAnsi="David" w:cs="David"/>
          <w:sz w:val="28"/>
          <w:szCs w:val="28"/>
          <w:rtl/>
        </w:rPr>
        <w:t> </w:t>
      </w:r>
    </w:p>
    <w:p w14:paraId="355589DF" w14:textId="77777777" w:rsidR="00000000" w:rsidRDefault="00000000">
      <w:pPr>
        <w:bidi/>
        <w:spacing w:line="360" w:lineRule="auto"/>
        <w:jc w:val="both"/>
        <w:rPr>
          <w:rtl/>
        </w:rPr>
      </w:pPr>
      <w:r>
        <w:rPr>
          <w:rFonts w:ascii="David" w:hAnsi="David" w:cs="David"/>
          <w:sz w:val="28"/>
          <w:szCs w:val="28"/>
          <w:u w:val="single"/>
          <w:rtl/>
        </w:rPr>
        <w:t>הסכם הממון מיום 30/3/1999 ורישום הבעלות מיום 22/3/2021-</w:t>
      </w:r>
    </w:p>
    <w:p w14:paraId="2D96FF5D" w14:textId="77777777" w:rsidR="00000000" w:rsidRDefault="00000000">
      <w:pPr>
        <w:bidi/>
        <w:spacing w:line="360" w:lineRule="auto"/>
        <w:jc w:val="both"/>
        <w:rPr>
          <w:rtl/>
        </w:rPr>
      </w:pPr>
      <w:r>
        <w:rPr>
          <w:rFonts w:ascii="David" w:hAnsi="David" w:cs="David"/>
          <w:sz w:val="28"/>
          <w:szCs w:val="28"/>
          <w:rtl/>
        </w:rPr>
        <w:t> </w:t>
      </w:r>
    </w:p>
    <w:p w14:paraId="14CF53FA" w14:textId="77777777" w:rsidR="00000000" w:rsidRDefault="00000000">
      <w:pPr>
        <w:bidi/>
        <w:spacing w:line="360" w:lineRule="auto"/>
        <w:ind w:left="720" w:hanging="720"/>
        <w:jc w:val="both"/>
        <w:rPr>
          <w:rtl/>
        </w:rPr>
      </w:pPr>
      <w:r>
        <w:rPr>
          <w:rFonts w:ascii="David" w:hAnsi="David" w:cs="David"/>
          <w:sz w:val="28"/>
          <w:szCs w:val="28"/>
          <w:rtl/>
        </w:rPr>
        <w:t>26.  הנאמן, עתר בבקשתו בפני בית משפט קמא להורות על ביטול פעולת רישום נכס מקרקעין מיום 22/3/2021 מכוח סעיף,220(א) לחוק; הוא טען בבקשתו כי לא נעדר מעיניו כי ישנו הסכם ממון מיום 10/11/99 ,ענין המעיד כביכול על התחייבות אובליגטורית בלבד אשר שררה עד מועד שבו עשה ופעל היחיד בשיתוף עם אשתו להעברת הנכס על שמה ביום 22/3/21.</w:t>
      </w:r>
    </w:p>
    <w:p w14:paraId="70D55258" w14:textId="77777777" w:rsidR="00000000" w:rsidRDefault="00000000">
      <w:pPr>
        <w:bidi/>
        <w:spacing w:line="360" w:lineRule="auto"/>
        <w:ind w:left="720"/>
        <w:jc w:val="both"/>
        <w:rPr>
          <w:rtl/>
        </w:rPr>
      </w:pPr>
      <w:r>
        <w:rPr>
          <w:rFonts w:ascii="David" w:hAnsi="David" w:cs="David"/>
          <w:sz w:val="28"/>
          <w:szCs w:val="28"/>
          <w:rtl/>
        </w:rPr>
        <w:t> </w:t>
      </w:r>
    </w:p>
    <w:p w14:paraId="42C4E079" w14:textId="77777777" w:rsidR="00000000" w:rsidRDefault="00000000">
      <w:pPr>
        <w:bidi/>
        <w:spacing w:line="360" w:lineRule="auto"/>
        <w:ind w:left="720" w:hanging="720"/>
        <w:jc w:val="both"/>
        <w:rPr>
          <w:rtl/>
        </w:rPr>
      </w:pPr>
      <w:r>
        <w:rPr>
          <w:rFonts w:ascii="David" w:hAnsi="David" w:cs="David"/>
          <w:sz w:val="28"/>
          <w:szCs w:val="28"/>
          <w:rtl/>
        </w:rPr>
        <w:t xml:space="preserve">27.  ביהמ"ש קמא קבע( סעיף 42-43) שיש לחשב המועד הקובע לצורך ביטול פעולה לפי סעיף 220(א)(2) לחוק החדל"פ ,ממועד רישום הזכויות בפועל בלשכת רישום המקרקעין ,קרי ביום 22/3/2021. </w:t>
      </w:r>
    </w:p>
    <w:p w14:paraId="15E44805" w14:textId="77777777" w:rsidR="00000000" w:rsidRDefault="00000000">
      <w:pPr>
        <w:bidi/>
        <w:spacing w:line="360" w:lineRule="auto"/>
        <w:ind w:left="720"/>
        <w:jc w:val="both"/>
        <w:rPr>
          <w:rtl/>
        </w:rPr>
      </w:pPr>
      <w:r>
        <w:rPr>
          <w:rFonts w:ascii="David" w:hAnsi="David" w:cs="David"/>
          <w:sz w:val="28"/>
          <w:szCs w:val="28"/>
          <w:rtl/>
        </w:rPr>
        <w:t>איני בידי לקבל קביעה זו.</w:t>
      </w:r>
    </w:p>
    <w:p w14:paraId="71AB94EC" w14:textId="77777777" w:rsidR="00000000" w:rsidRDefault="00000000">
      <w:pPr>
        <w:bidi/>
        <w:spacing w:line="360" w:lineRule="auto"/>
        <w:jc w:val="both"/>
        <w:rPr>
          <w:rtl/>
        </w:rPr>
      </w:pPr>
      <w:r>
        <w:rPr>
          <w:rFonts w:ascii="David" w:hAnsi="David" w:cs="David"/>
          <w:sz w:val="28"/>
          <w:szCs w:val="28"/>
          <w:rtl/>
        </w:rPr>
        <w:t> </w:t>
      </w:r>
    </w:p>
    <w:p w14:paraId="5E7D08E9" w14:textId="77777777" w:rsidR="00000000" w:rsidRDefault="00000000">
      <w:pPr>
        <w:bidi/>
        <w:spacing w:line="360" w:lineRule="auto"/>
        <w:ind w:left="720" w:hanging="720"/>
        <w:jc w:val="both"/>
        <w:rPr>
          <w:rtl/>
        </w:rPr>
      </w:pPr>
      <w:r>
        <w:rPr>
          <w:rFonts w:ascii="David" w:hAnsi="David" w:cs="David"/>
          <w:sz w:val="28"/>
          <w:szCs w:val="28"/>
          <w:rtl/>
        </w:rPr>
        <w:t>28.  המועד הרלוונטי לעניין סעיף 220 לחוק החדל"פ , הוא מועד כריתת הסכם יחסי ממון ב1999, ולא מועד רישום הזכויות בנכס בפועל בלשכת רישום המקרקעין ב2021. הסכם יחסי ממון, הוא הסכם בעל תוקף משפטי מחייב ועומד בפני עצמו. העובדה כי מדובר בנכס מקרקעין שהזכויות הקנייניות בו ,מועברות על שם המערערת רק עם רישומן בטאבו, אינה מעלה ואינה מורידה לעניין ספציפי כאן.</w:t>
      </w:r>
    </w:p>
    <w:p w14:paraId="7DCBB120" w14:textId="77777777" w:rsidR="00000000" w:rsidRDefault="00000000">
      <w:pPr>
        <w:bidi/>
        <w:spacing w:line="360" w:lineRule="auto"/>
        <w:ind w:left="720" w:hanging="720"/>
        <w:jc w:val="both"/>
        <w:rPr>
          <w:rtl/>
        </w:rPr>
      </w:pPr>
      <w:r>
        <w:rPr>
          <w:rFonts w:ascii="David" w:hAnsi="David" w:cs="David"/>
          <w:sz w:val="28"/>
          <w:szCs w:val="28"/>
          <w:rtl/>
        </w:rPr>
        <w:t> </w:t>
      </w:r>
    </w:p>
    <w:p w14:paraId="0A571AB4" w14:textId="77777777" w:rsidR="00000000" w:rsidRDefault="00000000">
      <w:pPr>
        <w:bidi/>
        <w:spacing w:line="360" w:lineRule="auto"/>
        <w:ind w:left="720"/>
        <w:jc w:val="both"/>
        <w:rPr>
          <w:rtl/>
        </w:rPr>
      </w:pPr>
      <w:r>
        <w:rPr>
          <w:rFonts w:ascii="David" w:hAnsi="David" w:cs="David"/>
          <w:sz w:val="28"/>
          <w:szCs w:val="28"/>
          <w:rtl/>
        </w:rPr>
        <w:t>רק לאחרונה חזר בית משפט העליון וקבע ברחד"פ 56520-12-25 איהאב סבאח נגד נעים עדיני וגרייס עדיני, מיום 21/1/26, כי "</w:t>
      </w:r>
      <w:r>
        <w:rPr>
          <w:rFonts w:ascii="David" w:hAnsi="David" w:cs="David"/>
          <w:b/>
          <w:bCs/>
          <w:sz w:val="28"/>
          <w:szCs w:val="28"/>
          <w:rtl/>
        </w:rPr>
        <w:t>המועד הרלוונטי לענין סעיף220 לחוק הוא מועד כריתת הסכם המתנה ולא מועד רישום הזכויות בנכס בפועל. הסכם המתנה הוא הסכם בעל תוקף משפטי מחייב והעובדה שמדובר בנכס מקרקעין שהזכויות הקנייניות שלו מועברות רק עם רישומם בפנקס מקרקעין אינה מעלה או מורידה ...".</w:t>
      </w:r>
    </w:p>
    <w:p w14:paraId="4AA82B74" w14:textId="77777777" w:rsidR="00000000" w:rsidRDefault="00000000">
      <w:pPr>
        <w:bidi/>
        <w:spacing w:line="360" w:lineRule="auto"/>
        <w:ind w:left="720"/>
        <w:jc w:val="both"/>
        <w:rPr>
          <w:rtl/>
        </w:rPr>
      </w:pPr>
      <w:r>
        <w:rPr>
          <w:rFonts w:ascii="David" w:hAnsi="David" w:cs="David"/>
          <w:b/>
          <w:bCs/>
          <w:sz w:val="28"/>
          <w:szCs w:val="28"/>
          <w:rtl/>
        </w:rPr>
        <w:t> </w:t>
      </w:r>
    </w:p>
    <w:p w14:paraId="3097E698" w14:textId="77777777" w:rsidR="00000000" w:rsidRDefault="00000000">
      <w:pPr>
        <w:bidi/>
        <w:spacing w:line="360" w:lineRule="auto"/>
        <w:jc w:val="both"/>
        <w:rPr>
          <w:rtl/>
        </w:rPr>
      </w:pPr>
      <w:r>
        <w:rPr>
          <w:rFonts w:ascii="David" w:hAnsi="David" w:cs="David"/>
          <w:sz w:val="28"/>
          <w:szCs w:val="28"/>
          <w:u w:val="single"/>
          <w:rtl/>
        </w:rPr>
        <w:t>האם החתימה על שטר מכר ב5/3/2021 היא הסכם מתנה נפרד מהסכם הממון?</w:t>
      </w:r>
    </w:p>
    <w:p w14:paraId="4E762CCF" w14:textId="77777777" w:rsidR="00000000" w:rsidRDefault="00000000">
      <w:pPr>
        <w:bidi/>
        <w:spacing w:line="360" w:lineRule="auto"/>
        <w:jc w:val="both"/>
        <w:rPr>
          <w:rtl/>
        </w:rPr>
      </w:pPr>
      <w:r>
        <w:rPr>
          <w:rFonts w:ascii="David" w:hAnsi="David" w:cs="David"/>
          <w:sz w:val="28"/>
          <w:szCs w:val="28"/>
          <w:rtl/>
        </w:rPr>
        <w:t> </w:t>
      </w:r>
    </w:p>
    <w:p w14:paraId="26A1E801" w14:textId="77777777" w:rsidR="00000000" w:rsidRDefault="00000000">
      <w:pPr>
        <w:bidi/>
        <w:spacing w:line="360" w:lineRule="auto"/>
        <w:ind w:left="720" w:hanging="720"/>
        <w:jc w:val="both"/>
        <w:rPr>
          <w:rtl/>
        </w:rPr>
      </w:pPr>
      <w:r>
        <w:rPr>
          <w:rFonts w:ascii="David" w:hAnsi="David" w:cs="David"/>
          <w:sz w:val="28"/>
          <w:szCs w:val="28"/>
          <w:rtl/>
        </w:rPr>
        <w:t>29.  בית משפט קמא קבע (סעיפים 45-46להחלטה) כי הנאמן לא עמד בנטל ההוכחה המוגבר כדי להוכיח כי מדובר בהסכם למראית עין. קביעה זו בדין יסודה.</w:t>
      </w:r>
    </w:p>
    <w:p w14:paraId="2C4E29EF" w14:textId="77777777" w:rsidR="00000000" w:rsidRDefault="00000000">
      <w:pPr>
        <w:bidi/>
        <w:spacing w:line="360" w:lineRule="auto"/>
        <w:ind w:left="720"/>
        <w:jc w:val="both"/>
        <w:rPr>
          <w:rtl/>
        </w:rPr>
      </w:pPr>
      <w:r>
        <w:rPr>
          <w:rFonts w:ascii="David" w:hAnsi="David" w:cs="David"/>
          <w:sz w:val="28"/>
          <w:szCs w:val="28"/>
          <w:rtl/>
        </w:rPr>
        <w:t>אך ביהמ"ש קמא הסיק כי חתימה שטר המכר מ- 5/3/2021 היא הסכם מתנה נפרד מהסכם יחסי הממון משנת 1999 , כאשר הסכם יחסי הממון נזנח ע"י בני הזוג.</w:t>
      </w:r>
    </w:p>
    <w:p w14:paraId="4DAB78CF" w14:textId="77777777" w:rsidR="00000000" w:rsidRDefault="00000000">
      <w:pPr>
        <w:bidi/>
        <w:spacing w:line="360" w:lineRule="auto"/>
        <w:ind w:left="720"/>
        <w:jc w:val="both"/>
        <w:rPr>
          <w:rtl/>
        </w:rPr>
      </w:pPr>
      <w:r>
        <w:rPr>
          <w:rFonts w:ascii="David" w:hAnsi="David" w:cs="David"/>
          <w:sz w:val="28"/>
          <w:szCs w:val="28"/>
          <w:rtl/>
        </w:rPr>
        <w:t>אין בידי לקבל מסקנות אלה של ביהמ"ש, מסקנות אלה אינן עולות מהחומר הראייתי שהונח בפניו.</w:t>
      </w:r>
    </w:p>
    <w:p w14:paraId="464685E0" w14:textId="77777777" w:rsidR="00000000" w:rsidRDefault="00000000">
      <w:pPr>
        <w:bidi/>
        <w:spacing w:line="360" w:lineRule="auto"/>
        <w:ind w:left="720" w:hanging="720"/>
        <w:jc w:val="both"/>
        <w:rPr>
          <w:rtl/>
        </w:rPr>
      </w:pPr>
      <w:r>
        <w:rPr>
          <w:rFonts w:ascii="David" w:hAnsi="David" w:cs="David"/>
          <w:sz w:val="28"/>
          <w:szCs w:val="28"/>
          <w:rtl/>
        </w:rPr>
        <w:t> </w:t>
      </w:r>
    </w:p>
    <w:p w14:paraId="1A8AB2B3" w14:textId="77777777" w:rsidR="00000000" w:rsidRDefault="00000000">
      <w:pPr>
        <w:bidi/>
        <w:spacing w:line="360" w:lineRule="auto"/>
        <w:ind w:left="720" w:hanging="720"/>
        <w:jc w:val="both"/>
        <w:rPr>
          <w:rtl/>
        </w:rPr>
      </w:pPr>
      <w:r>
        <w:rPr>
          <w:rFonts w:ascii="David" w:hAnsi="David" w:cs="David"/>
          <w:sz w:val="28"/>
          <w:szCs w:val="28"/>
          <w:rtl/>
        </w:rPr>
        <w:t xml:space="preserve">30.  היחיד ואשתו- הגיבו וטענו בפני ביהמ"ש קמא כי חתימת שטרי המכר אינה פעולה נפרדת אלא פעולה לצורך רישום העסקה מכוח הסכם יחסי ממון מיום 30/3/99 , כאשר שטרי המכר נחתמו ב 5/3/2021 ורישום ההסכם בלשכת המקרקעין היה ביום 22/3/21 . </w:t>
      </w:r>
    </w:p>
    <w:p w14:paraId="55F64C13" w14:textId="77777777" w:rsidR="00000000" w:rsidRDefault="00000000">
      <w:pPr>
        <w:bidi/>
        <w:spacing w:line="360" w:lineRule="auto"/>
        <w:ind w:left="720"/>
        <w:jc w:val="both"/>
        <w:rPr>
          <w:rtl/>
        </w:rPr>
      </w:pPr>
      <w:r>
        <w:rPr>
          <w:rFonts w:ascii="David" w:hAnsi="David" w:cs="David"/>
          <w:sz w:val="28"/>
          <w:szCs w:val="28"/>
          <w:rtl/>
        </w:rPr>
        <w:t>בתגובת היחיד לבקשת הנאמן לביטול פעולת רישום נכס מקרקעין, מיום 12/3/25 שהוגשה בפני בית משפט קמא- צורפו "אישורי מס" מיום 18/3/2021 כנספח 6 , בינים מסמכים לפיהם גם מדובר בעסקה מיום 30/3/1999:</w:t>
      </w:r>
    </w:p>
    <w:p w14:paraId="64D166F1" w14:textId="77777777" w:rsidR="00000000" w:rsidRDefault="00000000">
      <w:pPr>
        <w:bidi/>
        <w:spacing w:line="360" w:lineRule="auto"/>
        <w:ind w:left="720"/>
        <w:jc w:val="both"/>
        <w:rPr>
          <w:rtl/>
        </w:rPr>
      </w:pPr>
      <w:r>
        <w:rPr>
          <w:rFonts w:ascii="David" w:hAnsi="David" w:cs="David"/>
          <w:sz w:val="28"/>
          <w:szCs w:val="28"/>
          <w:rtl/>
        </w:rPr>
        <w:t xml:space="preserve">-"אישור לרישום בפנקסי מקרקעין" -נצרת -מס שבח, מתאריך 18/3/21, רשום " בסול מוחמד -שם המוכר, בסול חיראת ,-שם הקונה, ו " 30/3/1999- תאריך המכירה " </w:t>
      </w:r>
    </w:p>
    <w:p w14:paraId="506716EC" w14:textId="77777777" w:rsidR="00000000" w:rsidRDefault="00000000">
      <w:pPr>
        <w:bidi/>
        <w:spacing w:line="360" w:lineRule="auto"/>
        <w:ind w:left="720"/>
        <w:jc w:val="both"/>
        <w:rPr>
          <w:rtl/>
        </w:rPr>
      </w:pPr>
      <w:r>
        <w:rPr>
          <w:rFonts w:ascii="David" w:hAnsi="David" w:cs="David"/>
          <w:sz w:val="28"/>
          <w:szCs w:val="28"/>
          <w:rtl/>
        </w:rPr>
        <w:t xml:space="preserve">-"אישור לרישום בפנקסי מקרקעין" -נצרת -מס רכישה , מתאריך 5/3/21, רשום" בסול מוחמד -שם המוכר, בסול חיראת ,-שם הקונה, ו " 30/3/1999- תאריך המכירה " </w:t>
      </w:r>
    </w:p>
    <w:p w14:paraId="1DE740BD" w14:textId="77777777" w:rsidR="00000000" w:rsidRDefault="00000000">
      <w:pPr>
        <w:bidi/>
        <w:spacing w:line="360" w:lineRule="auto"/>
        <w:ind w:left="720"/>
        <w:jc w:val="both"/>
        <w:rPr>
          <w:rtl/>
        </w:rPr>
      </w:pPr>
      <w:r>
        <w:rPr>
          <w:rFonts w:ascii="David" w:hAnsi="David" w:cs="David"/>
          <w:sz w:val="28"/>
          <w:szCs w:val="28"/>
          <w:rtl/>
        </w:rPr>
        <w:t>-"אישור לרישום בספרי המקרקעין" -אגף מס הכנסה ומיסוי מקרקעין, מתאריך 4/3/21, על שם בסול חיראת, רשום, אין חובות במס רכוש, ורישום בכתב יד "ת. העסקה</w:t>
      </w:r>
    </w:p>
    <w:p w14:paraId="4BAB66CE" w14:textId="77777777" w:rsidR="00000000" w:rsidRDefault="00000000">
      <w:pPr>
        <w:bidi/>
        <w:spacing w:line="360" w:lineRule="auto"/>
        <w:ind w:left="720"/>
        <w:jc w:val="both"/>
        <w:rPr>
          <w:rtl/>
        </w:rPr>
      </w:pPr>
      <w:r>
        <w:rPr>
          <w:rFonts w:ascii="David" w:hAnsi="David" w:cs="David"/>
          <w:sz w:val="28"/>
          <w:szCs w:val="28"/>
          <w:rtl/>
        </w:rPr>
        <w:t xml:space="preserve">30/03/1999". </w:t>
      </w:r>
    </w:p>
    <w:p w14:paraId="0993C601" w14:textId="77777777" w:rsidR="00000000" w:rsidRDefault="00000000">
      <w:pPr>
        <w:bidi/>
        <w:spacing w:line="360" w:lineRule="auto"/>
        <w:ind w:left="720"/>
        <w:jc w:val="both"/>
        <w:rPr>
          <w:rtl/>
        </w:rPr>
      </w:pPr>
      <w:r>
        <w:rPr>
          <w:rFonts w:ascii="David" w:hAnsi="David" w:cs="David"/>
          <w:sz w:val="28"/>
          <w:szCs w:val="28"/>
          <w:rtl/>
        </w:rPr>
        <w:t>-"אישור לרישום בפנקסי המקרקעין, נצרת מס שבח-, מתאריך 5/3/2021, רשום " בסול מוחמד-שם המוכר, בסול חיראת-שם הקונה, ו -30/3/1999 תאריך המכירה".</w:t>
      </w:r>
    </w:p>
    <w:p w14:paraId="051FCDB0" w14:textId="77777777" w:rsidR="00000000" w:rsidRDefault="00000000">
      <w:pPr>
        <w:bidi/>
        <w:spacing w:line="360" w:lineRule="auto"/>
        <w:ind w:left="720"/>
        <w:jc w:val="both"/>
        <w:rPr>
          <w:rtl/>
        </w:rPr>
      </w:pPr>
      <w:r>
        <w:rPr>
          <w:rFonts w:ascii="David" w:hAnsi="David" w:cs="David"/>
          <w:sz w:val="28"/>
          <w:szCs w:val="28"/>
          <w:rtl/>
        </w:rPr>
        <w:t> </w:t>
      </w:r>
    </w:p>
    <w:p w14:paraId="30228AB1" w14:textId="77777777" w:rsidR="00000000" w:rsidRDefault="00000000">
      <w:pPr>
        <w:bidi/>
        <w:spacing w:line="360" w:lineRule="auto"/>
        <w:ind w:left="720"/>
        <w:jc w:val="both"/>
        <w:rPr>
          <w:rtl/>
        </w:rPr>
      </w:pPr>
      <w:r>
        <w:rPr>
          <w:rFonts w:ascii="David" w:hAnsi="David" w:cs="David"/>
          <w:sz w:val="28"/>
          <w:szCs w:val="28"/>
          <w:rtl/>
        </w:rPr>
        <w:t>כך שמהדיווחים אשר הוגשו ללשכת מיסוי מקרקעין, ואשר צורפו לתגובת היחיד אשר הוגשה בפני ביהמ"ש קמא, עולה כי תאריך העסקה שדווחה היא הסכם יחסי הממון 30/3/1999. אך ביהמ"ש קמא לא התייחס בהחלטתו לנתונים ובפרט לענין מועד העיסקה.</w:t>
      </w:r>
    </w:p>
    <w:p w14:paraId="382F7328" w14:textId="77777777" w:rsidR="00000000" w:rsidRDefault="00000000">
      <w:pPr>
        <w:bidi/>
        <w:spacing w:line="360" w:lineRule="auto"/>
        <w:ind w:left="720"/>
        <w:jc w:val="both"/>
        <w:rPr>
          <w:rtl/>
        </w:rPr>
      </w:pPr>
      <w:r>
        <w:rPr>
          <w:rFonts w:ascii="David" w:hAnsi="David" w:cs="David"/>
          <w:sz w:val="28"/>
          <w:szCs w:val="28"/>
          <w:rtl/>
        </w:rPr>
        <w:t> </w:t>
      </w:r>
    </w:p>
    <w:p w14:paraId="0F618A9E" w14:textId="77777777" w:rsidR="00000000" w:rsidRDefault="00000000">
      <w:pPr>
        <w:bidi/>
        <w:spacing w:line="360" w:lineRule="auto"/>
        <w:ind w:left="720"/>
        <w:jc w:val="both"/>
        <w:rPr>
          <w:rtl/>
        </w:rPr>
      </w:pPr>
      <w:r>
        <w:rPr>
          <w:rFonts w:ascii="David" w:hAnsi="David" w:cs="David"/>
          <w:sz w:val="28"/>
          <w:szCs w:val="28"/>
          <w:rtl/>
        </w:rPr>
        <w:t>גם מעיון במסמכי דיווח לרשות המסים, שהוגשו בפניי , עולה בבירור כי מדובר ברישום עסקה המבוססת על הסכם יחסי ממון מיום30/3/1999, כאשר העתק מהסכם זה ופסק דין המאשר אותו, הוגשו לרשות המסים, כך למשל, בטופס "מכירת זכות במקרקעין" ב"פרטי העסקה" , רשום במפורש כי " בתאריך 30/3/1999 נמכרה הזכות במקרקעין ...." עם צירוף הסכם ממון יחסי ממון מ30/3/199,לרבות פסק דין המאשר את הסכם יחס הממון.</w:t>
      </w:r>
    </w:p>
    <w:p w14:paraId="2C0F9502" w14:textId="77777777" w:rsidR="00000000" w:rsidRDefault="00000000">
      <w:pPr>
        <w:bidi/>
        <w:spacing w:line="360" w:lineRule="auto"/>
        <w:ind w:left="720"/>
        <w:jc w:val="both"/>
        <w:rPr>
          <w:rtl/>
        </w:rPr>
      </w:pPr>
      <w:r>
        <w:rPr>
          <w:rFonts w:ascii="David" w:hAnsi="David" w:cs="David"/>
          <w:sz w:val="28"/>
          <w:szCs w:val="28"/>
          <w:rtl/>
        </w:rPr>
        <w:t> </w:t>
      </w:r>
    </w:p>
    <w:p w14:paraId="6CD43DBF" w14:textId="77777777" w:rsidR="00000000" w:rsidRDefault="00000000">
      <w:pPr>
        <w:bidi/>
        <w:spacing w:line="360" w:lineRule="auto"/>
        <w:ind w:left="720"/>
        <w:jc w:val="both"/>
        <w:rPr>
          <w:rtl/>
        </w:rPr>
      </w:pPr>
      <w:r>
        <w:rPr>
          <w:rFonts w:ascii="David" w:hAnsi="David" w:cs="David"/>
          <w:sz w:val="28"/>
          <w:szCs w:val="28"/>
          <w:rtl/>
        </w:rPr>
        <w:t>אשר על כן ,קביעת ביהמ"ש קמא שהחתימה על שטר המכר מ 5/3/2021 היא הסכם מתנה נפרד מהסכם הממון , לא יכולה לעמוד. אין לנתק בין הסכם יחסי ממון לבין פעולת רישומו. פעולת, חתימה על שטר המכר ביום 5/3/2021 ורישום הזכויות במקרקעין על שם המערערת בתאריך 22/3/21 נעשתה מכוח הסכם הממון שאושר וקבל תוקף של פסק דין בשנת1999, מדובר בפעולה לצורך רישום הסכם הממון בלשכת רישום המקרקעין, ואין מדובר ברישום "עסקה נפרדת" ועצמאית, מכוח עסקת מתנה נוספת, השונה מעסקה נשוא הסכם ההמון שאושר.</w:t>
      </w:r>
    </w:p>
    <w:p w14:paraId="2551C84B" w14:textId="77777777" w:rsidR="00000000" w:rsidRDefault="00000000">
      <w:pPr>
        <w:bidi/>
        <w:spacing w:line="360" w:lineRule="auto"/>
        <w:ind w:left="720"/>
        <w:jc w:val="both"/>
        <w:rPr>
          <w:rtl/>
        </w:rPr>
      </w:pPr>
      <w:r>
        <w:rPr>
          <w:rFonts w:ascii="David" w:hAnsi="David" w:cs="David"/>
          <w:sz w:val="28"/>
          <w:szCs w:val="28"/>
          <w:rtl/>
        </w:rPr>
        <w:t> </w:t>
      </w:r>
    </w:p>
    <w:p w14:paraId="4D7D9B1E" w14:textId="77777777" w:rsidR="00000000" w:rsidRDefault="00000000">
      <w:pPr>
        <w:bidi/>
        <w:spacing w:line="360" w:lineRule="auto"/>
        <w:ind w:left="720" w:hanging="720"/>
        <w:jc w:val="both"/>
        <w:rPr>
          <w:rtl/>
        </w:rPr>
      </w:pPr>
      <w:r>
        <w:rPr>
          <w:rFonts w:ascii="David" w:hAnsi="David" w:cs="David"/>
          <w:sz w:val="28"/>
          <w:szCs w:val="28"/>
          <w:rtl/>
        </w:rPr>
        <w:t>31.  בנוסף, קביעת ביהמ"ש קמא (סעיף 32 ), כי החתימה על שטר המכר ב 5/3/2021 היא עסקת מתנה נפרדת מהסכם הממון, שכן בשטר המכר דובר בהעברה ללא תמורה בעוד שבסעיף 4 להסכם יחסי ממון אין זכר להעברה במתנה וללא תמורה אלא לכך שכנגד חלקו הרשום של היחיד בנכס ותכולת הדירה(סעיף3) היחיד מותיר ברשותו זכויות בנכסים המפורטים בסעיף4.</w:t>
      </w:r>
    </w:p>
    <w:p w14:paraId="66B4BEBD" w14:textId="77777777" w:rsidR="00000000" w:rsidRDefault="00000000">
      <w:pPr>
        <w:bidi/>
        <w:spacing w:line="360" w:lineRule="auto"/>
        <w:ind w:left="720" w:hanging="720"/>
        <w:jc w:val="both"/>
        <w:rPr>
          <w:rtl/>
        </w:rPr>
      </w:pPr>
      <w:r>
        <w:rPr>
          <w:rFonts w:ascii="David" w:hAnsi="David" w:cs="David"/>
          <w:sz w:val="28"/>
          <w:szCs w:val="28"/>
          <w:rtl/>
        </w:rPr>
        <w:t>  אין בידי לקבל מסקנה זו של ביהמ"ש קמא.</w:t>
      </w:r>
    </w:p>
    <w:p w14:paraId="3F0647A1" w14:textId="77777777" w:rsidR="00000000" w:rsidRDefault="00000000">
      <w:pPr>
        <w:bidi/>
        <w:spacing w:line="360" w:lineRule="auto"/>
        <w:ind w:left="720"/>
        <w:jc w:val="both"/>
        <w:rPr>
          <w:rtl/>
        </w:rPr>
      </w:pPr>
      <w:r>
        <w:rPr>
          <w:rFonts w:ascii="David" w:hAnsi="David" w:cs="David"/>
          <w:sz w:val="28"/>
          <w:szCs w:val="28"/>
          <w:rtl/>
        </w:rPr>
        <w:t> </w:t>
      </w:r>
    </w:p>
    <w:p w14:paraId="6EF6C5B3" w14:textId="77777777" w:rsidR="00000000" w:rsidRDefault="00000000">
      <w:pPr>
        <w:bidi/>
        <w:spacing w:line="360" w:lineRule="auto"/>
        <w:ind w:left="720"/>
        <w:jc w:val="both"/>
        <w:rPr>
          <w:rtl/>
        </w:rPr>
      </w:pPr>
      <w:r>
        <w:rPr>
          <w:rFonts w:ascii="David" w:hAnsi="David" w:cs="David"/>
          <w:sz w:val="28"/>
          <w:szCs w:val="28"/>
          <w:rtl/>
        </w:rPr>
        <w:t>מעיון בהסכם הממון עולה כי האישה תקבל בעלות על בית מגורים הקיים ותכולת הבית כמפורט שם. הבעל- המערער יקבל בעלות על מנויותיו בחברת בונה רינה בע"מ הרשומות על שמו, שני רכבים הרשומים על שמו, סכום כסף מזומן בסך16,000$, חשבון בנק הרשום על שמו וחפצים אישיים. בנוסף לזכות מדור בבית בו גרים (סעיף6). הסכם הממון התייחס גם לעניין הפנסיה, והחובות. כמו כן, הסכם הממון הסדיר את צרכי הילדים. כך למשל בסעיף 12 להסכם נקבע:" הצדדים יחלקו באופן שווה בעבור צורכי ילדיהם ובצרכים היום יומיים וכן אחזקת הבית והוצאותיו השוטפות".</w:t>
      </w:r>
    </w:p>
    <w:p w14:paraId="0C0B588B" w14:textId="77777777" w:rsidR="00000000" w:rsidRDefault="00000000">
      <w:pPr>
        <w:bidi/>
        <w:spacing w:line="360" w:lineRule="auto"/>
        <w:ind w:left="720"/>
        <w:jc w:val="both"/>
        <w:rPr>
          <w:rtl/>
        </w:rPr>
      </w:pPr>
      <w:r>
        <w:rPr>
          <w:rFonts w:ascii="David" w:hAnsi="David" w:cs="David"/>
          <w:sz w:val="28"/>
          <w:szCs w:val="28"/>
          <w:rtl/>
        </w:rPr>
        <w:t> </w:t>
      </w:r>
    </w:p>
    <w:p w14:paraId="2A50915B" w14:textId="77777777" w:rsidR="00000000" w:rsidRDefault="00000000">
      <w:pPr>
        <w:bidi/>
        <w:spacing w:line="360" w:lineRule="auto"/>
        <w:ind w:left="720"/>
        <w:jc w:val="both"/>
        <w:rPr>
          <w:rtl/>
        </w:rPr>
      </w:pPr>
      <w:r>
        <w:rPr>
          <w:rFonts w:ascii="David" w:hAnsi="David" w:cs="David"/>
          <w:sz w:val="28"/>
          <w:szCs w:val="28"/>
          <w:rtl/>
        </w:rPr>
        <w:t>חשוב להדגיש כי מדובר כאן בהסכם ממון בין בני זוג, שאושר וקבל תוקף של פסק דין בבית משפט לענייני משפחה ,ולפי הפסיקה , הסכם כזה נהנה ממעמד מיוחד; יש לנקוט במשנה זהירות שעה שמדובר בשאלה הנוגעת לנפקותו של הסכם ממון ולקביעה באם העברת זכות מסוימת הייתה בתמורה. שכן בהסכם אין הוראה מפורשת המורה על העברה בתמורה. הווה אומר, הסכם יחסי ממון, מהווה מארג של הסכמות וויתורים שלובים זה בזה, שקשה להפריד ביניהם, ויש להתייחס אליו כמקשה אחת . אין תניה עומדת מול תניה אחרת באופן עצמאי ונפרד.</w:t>
      </w:r>
    </w:p>
    <w:p w14:paraId="6FE5271F" w14:textId="77777777" w:rsidR="00000000" w:rsidRDefault="00000000">
      <w:pPr>
        <w:bidi/>
        <w:spacing w:line="360" w:lineRule="auto"/>
        <w:ind w:left="720"/>
        <w:jc w:val="both"/>
        <w:rPr>
          <w:rtl/>
        </w:rPr>
      </w:pPr>
      <w:r>
        <w:rPr>
          <w:rFonts w:ascii="David" w:hAnsi="David" w:cs="David"/>
          <w:sz w:val="28"/>
          <w:szCs w:val="28"/>
          <w:rtl/>
        </w:rPr>
        <w:t>ועל כן בעת שבשטר המכר נרשמה העברה ללא תמורה , הדבר אינו סותר את הקבוע בהסכם הממון, שכן בהסכם הממון אין הוראה מפורשת בעניין תשלום תמורה עבור העברת בית המגורים לאישה.</w:t>
      </w:r>
    </w:p>
    <w:p w14:paraId="451AD303" w14:textId="77777777" w:rsidR="00000000" w:rsidRDefault="00000000">
      <w:pPr>
        <w:bidi/>
        <w:spacing w:line="360" w:lineRule="auto"/>
        <w:ind w:left="720"/>
        <w:jc w:val="both"/>
        <w:rPr>
          <w:rtl/>
        </w:rPr>
      </w:pPr>
      <w:r>
        <w:rPr>
          <w:rFonts w:ascii="David" w:hAnsi="David" w:cs="David"/>
          <w:sz w:val="28"/>
          <w:szCs w:val="28"/>
          <w:rtl/>
        </w:rPr>
        <w:t> </w:t>
      </w:r>
    </w:p>
    <w:p w14:paraId="311DF295" w14:textId="77777777" w:rsidR="00000000" w:rsidRDefault="00000000">
      <w:pPr>
        <w:bidi/>
        <w:spacing w:line="360" w:lineRule="auto"/>
        <w:ind w:left="720" w:hanging="720"/>
        <w:jc w:val="both"/>
        <w:rPr>
          <w:rtl/>
        </w:rPr>
      </w:pPr>
      <w:r>
        <w:rPr>
          <w:rFonts w:ascii="David" w:hAnsi="David" w:cs="David"/>
          <w:sz w:val="28"/>
          <w:szCs w:val="28"/>
          <w:rtl/>
        </w:rPr>
        <w:t>32.  קביעת בית משפט קמא( סעיף 33 , 37להחלטה) כי הזהות בין שטרי המכר ונסחי הרישום בעסקה בין המערערים ,לבין העסקה בין המערערת וילדיה, מחייבת המסקנה שהעסקה מ 5/3/2021 נפרדת מהסכם הממון, אינה מקובלת עלי.</w:t>
      </w:r>
    </w:p>
    <w:p w14:paraId="64F00575" w14:textId="77777777" w:rsidR="00000000" w:rsidRDefault="00000000">
      <w:pPr>
        <w:bidi/>
        <w:spacing w:line="360" w:lineRule="auto"/>
        <w:ind w:left="720"/>
        <w:jc w:val="both"/>
        <w:rPr>
          <w:rtl/>
        </w:rPr>
      </w:pPr>
      <w:r>
        <w:rPr>
          <w:rFonts w:ascii="David" w:hAnsi="David" w:cs="David"/>
          <w:sz w:val="28"/>
          <w:szCs w:val="28"/>
          <w:rtl/>
        </w:rPr>
        <w:t>העסקה בין בני הזוג-המערערים , והעסקה של ילדי המערערת, לא נערכו באותו יום . העסקה בין המערערת לבין שני ילדיה, נערכה כבר ב16/11/20 לפי הסכם מכר, בעוד שמועד עריכת העסקה בין בני הזוג היתה ב30/3/1999 לפי הסכם יחסי ממון, אך שטרי המכר נערכו ב 5/3/2021 .</w:t>
      </w:r>
    </w:p>
    <w:p w14:paraId="670E56B5" w14:textId="77777777" w:rsidR="00000000" w:rsidRDefault="00000000">
      <w:pPr>
        <w:bidi/>
        <w:spacing w:line="360" w:lineRule="auto"/>
        <w:jc w:val="both"/>
        <w:rPr>
          <w:rtl/>
        </w:rPr>
      </w:pPr>
      <w:r>
        <w:rPr>
          <w:rFonts w:ascii="David" w:hAnsi="David" w:cs="David"/>
          <w:sz w:val="28"/>
          <w:szCs w:val="28"/>
          <w:rtl/>
        </w:rPr>
        <w:t> </w:t>
      </w:r>
    </w:p>
    <w:p w14:paraId="2C214B9A" w14:textId="77777777" w:rsidR="00000000" w:rsidRDefault="00000000">
      <w:pPr>
        <w:bidi/>
        <w:spacing w:line="360" w:lineRule="auto"/>
        <w:ind w:left="720" w:hanging="720"/>
        <w:jc w:val="both"/>
        <w:rPr>
          <w:rtl/>
        </w:rPr>
      </w:pPr>
      <w:r>
        <w:rPr>
          <w:rFonts w:ascii="David" w:hAnsi="David" w:cs="David"/>
          <w:sz w:val="28"/>
          <w:szCs w:val="28"/>
          <w:rtl/>
        </w:rPr>
        <w:t xml:space="preserve">33.  בהקשר זה אוסיף, לדידי גם אם המערערת בקשה למנוע סיכון עתידי של ירידה לנכסיו של המערער, הדבר אינו פסול ואינו פוגע בהכרח בהסכם יחסי ממון ביניהם , עת לא נקבע כי מדובר בהסכם למראית עין, ועת ההסכם נערך שנים רבות לפני צו פתיחת ההליכים ולא בתקופה הקבועה בסעיף 220(א)(ב) לחוק החדל"פ. </w:t>
      </w:r>
    </w:p>
    <w:p w14:paraId="145E115D" w14:textId="77777777" w:rsidR="00000000" w:rsidRDefault="00000000">
      <w:pPr>
        <w:bidi/>
        <w:spacing w:line="360" w:lineRule="auto"/>
        <w:ind w:left="720"/>
        <w:jc w:val="both"/>
        <w:rPr>
          <w:rtl/>
        </w:rPr>
      </w:pPr>
      <w:r>
        <w:rPr>
          <w:rFonts w:ascii="David" w:hAnsi="David" w:cs="David"/>
          <w:sz w:val="28"/>
          <w:szCs w:val="28"/>
          <w:rtl/>
        </w:rPr>
        <w:t>ע"א 4374/98 ורד עצמון נ' עורך-דין אורי רפ, נז(3) 433 (2002)‏‏ :</w:t>
      </w:r>
    </w:p>
    <w:p w14:paraId="77CCDC06" w14:textId="77777777" w:rsidR="00000000" w:rsidRDefault="00000000">
      <w:pPr>
        <w:bidi/>
        <w:spacing w:line="360" w:lineRule="auto"/>
        <w:ind w:left="720"/>
        <w:jc w:val="both"/>
        <w:rPr>
          <w:rtl/>
        </w:rPr>
      </w:pPr>
      <w:r>
        <w:rPr>
          <w:rFonts w:ascii="David" w:hAnsi="David" w:cs="David"/>
          <w:b/>
          <w:bCs/>
          <w:sz w:val="28"/>
          <w:szCs w:val="28"/>
          <w:rtl/>
        </w:rPr>
        <w:t xml:space="preserve">"נראה כי בכך נתפס בית-המשפט המחוזי לכלל טעות, שכן כאמור, בענייננו המניע המיידי שעמד ביסוד בחירתם של בני-הזוג אינו גורע מבחירתם לממש את כוונת ההפרדה ברכוש ולהעביר נכס כלשהו מבעלות האחד לבעלות האחר. מקום שברורה בו כוונתם זו של שני בני-הזוג ליצור הסדר קנייני מעין זה, אין מוטלת עליהם עוד החובה להציג "הסבר", צידוק או מניע סביר לרצונם זה. מקום שמוכחת בו כוונתם זו, ומתברר כי היא מומשה וניתן לה תוקף, אין עוד מקום להוסיף ולחקור במניעיהם. גם כאשר יצירת ההפרדה ברכוש והעברת הבעלות נבעו מרצון של בני-הזוג לחסן מבעוד מועד נכסים אלו מפני נושי החייב, אין בכך כדי לאיין את תוקפו של ההסדר הרכושי שקבעו, ובלבד שעמדו בדרישות הקוגנטיות הצריכות לעניין, ובמקרה זה - אלה הקבועות, כמפורט להלן, בפקודת פשיטת הרגל". </w:t>
      </w:r>
    </w:p>
    <w:p w14:paraId="0921B7B6" w14:textId="77777777" w:rsidR="00000000" w:rsidRDefault="00000000">
      <w:pPr>
        <w:bidi/>
        <w:spacing w:line="360" w:lineRule="auto"/>
        <w:jc w:val="both"/>
        <w:rPr>
          <w:rtl/>
        </w:rPr>
      </w:pPr>
      <w:r>
        <w:rPr>
          <w:rFonts w:ascii="David" w:hAnsi="David" w:cs="David"/>
          <w:b/>
          <w:bCs/>
          <w:sz w:val="28"/>
          <w:szCs w:val="28"/>
          <w:rtl/>
        </w:rPr>
        <w:t> </w:t>
      </w:r>
    </w:p>
    <w:p w14:paraId="6D917963" w14:textId="77777777" w:rsidR="00000000" w:rsidRDefault="00000000">
      <w:pPr>
        <w:bidi/>
        <w:spacing w:line="360" w:lineRule="auto"/>
        <w:jc w:val="both"/>
        <w:rPr>
          <w:rtl/>
        </w:rPr>
      </w:pPr>
      <w:r>
        <w:rPr>
          <w:rFonts w:ascii="David" w:hAnsi="David" w:cs="David"/>
          <w:sz w:val="28"/>
          <w:szCs w:val="28"/>
          <w:rtl/>
        </w:rPr>
        <w:t>האם הסכם יחסי הממון נזנח?</w:t>
      </w:r>
    </w:p>
    <w:p w14:paraId="00EAB49E" w14:textId="77777777" w:rsidR="00000000" w:rsidRDefault="00000000">
      <w:pPr>
        <w:bidi/>
        <w:spacing w:line="360" w:lineRule="auto"/>
        <w:ind w:left="720" w:hanging="720"/>
        <w:jc w:val="both"/>
        <w:rPr>
          <w:rtl/>
        </w:rPr>
      </w:pPr>
      <w:r>
        <w:rPr>
          <w:rFonts w:ascii="David" w:hAnsi="David" w:cs="David"/>
          <w:sz w:val="28"/>
          <w:szCs w:val="28"/>
          <w:rtl/>
        </w:rPr>
        <w:t xml:space="preserve">34.  לא מקובלת עליי מסקנת בית משפט קמא כי בני הזוג זנחו את הסכם יחסי הממון, ביהמ"ש קבע בהחלטתו (סעיף38) כי </w:t>
      </w:r>
      <w:r>
        <w:rPr>
          <w:rFonts w:ascii="David" w:hAnsi="David" w:cs="David"/>
          <w:b/>
          <w:bCs/>
          <w:sz w:val="28"/>
          <w:szCs w:val="28"/>
          <w:rtl/>
        </w:rPr>
        <w:t>"...ברם אין חולק כי הצדדים אינם פרודים, המשיכו לנהל משק בית משותף ויש להסיק מכך כי הם זנחו את קיומו של ההסכם....".</w:t>
      </w:r>
    </w:p>
    <w:p w14:paraId="471FC95F" w14:textId="77777777" w:rsidR="00000000" w:rsidRDefault="00000000">
      <w:pPr>
        <w:bidi/>
        <w:spacing w:line="360" w:lineRule="auto"/>
        <w:jc w:val="both"/>
        <w:rPr>
          <w:rtl/>
        </w:rPr>
      </w:pPr>
      <w:r>
        <w:rPr>
          <w:rFonts w:ascii="David" w:hAnsi="David" w:cs="David"/>
          <w:sz w:val="28"/>
          <w:szCs w:val="28"/>
          <w:rtl/>
        </w:rPr>
        <w:t> </w:t>
      </w:r>
    </w:p>
    <w:p w14:paraId="297D0F4A" w14:textId="77777777" w:rsidR="00000000" w:rsidRDefault="00000000">
      <w:pPr>
        <w:bidi/>
        <w:spacing w:line="360" w:lineRule="auto"/>
        <w:ind w:left="720"/>
        <w:jc w:val="both"/>
        <w:rPr>
          <w:rtl/>
        </w:rPr>
      </w:pPr>
      <w:r>
        <w:rPr>
          <w:rFonts w:ascii="David" w:hAnsi="David" w:cs="David"/>
          <w:sz w:val="28"/>
          <w:szCs w:val="28"/>
          <w:rtl/>
        </w:rPr>
        <w:t>אשת היחיד מסרה בפני ביהמ"ש קמא בתגובה לבקשת הנאמן לביטול פעולה גרסה לפיה, במהלך שנת 1998 נתגלע סכסוך קשה בין בני הזוג, בעקבותיו ביקשה האישה להתגרש מהיחיד, ואולם ולאחר התערבותם של מכובדים מהכפר ואנשי דת, הסכימה האישה להמשיך ולהתגורר יחד עם היחיד ואולם בפירוד מוחלט בתוך בית המגורים, ובתנאי שייחתם הסכם ממון ביניהם בתנאים שהיא קבעה בזמנו, ואשר יבטיחו לה ולילדיה קורת גג. ואכן בהתאם לכך, נתחם בין בני הזוג ביום 30/3/99 הסכם ממון להסדרת יחסי הממון ביניהם. בדיון 29/5/25 בבית משפט קמא, בקשה ב"כ היחיד להסביר כי מדובר בענייני משפחה ודברים רגישים , והתיק חשוף בפני ציבור ולכן לא פרטו, והיא הוסיפה כי אכן הצדדים לא נפרדו וגם בדוחות הכלכליים דווח על משק בית משותף. כאשר הרקע להסכם היה אירוע אישי בין בני הזוג והחשש שהיחיד יישא לו לאישה אחרת, ואז האישה תמצא עצמה בלי קורת גג יחד עם הילדים שלה, לכן התנאי שלה -שימשיך להתגורר בבית ולא להתגרש ולרשום את הבית על שמה ועל שם הילדים(שם עמ6ש15-23)</w:t>
      </w:r>
    </w:p>
    <w:p w14:paraId="3DC05DA7" w14:textId="77777777" w:rsidR="00000000" w:rsidRDefault="00000000">
      <w:pPr>
        <w:bidi/>
        <w:spacing w:line="360" w:lineRule="auto"/>
        <w:jc w:val="both"/>
        <w:rPr>
          <w:rtl/>
        </w:rPr>
      </w:pPr>
      <w:r>
        <w:rPr>
          <w:rFonts w:ascii="David" w:hAnsi="David" w:cs="David"/>
          <w:sz w:val="28"/>
          <w:szCs w:val="28"/>
          <w:rtl/>
        </w:rPr>
        <w:t> </w:t>
      </w:r>
    </w:p>
    <w:p w14:paraId="17D5AC5B" w14:textId="77777777" w:rsidR="00000000" w:rsidRDefault="00000000">
      <w:pPr>
        <w:bidi/>
        <w:spacing w:line="360" w:lineRule="auto"/>
        <w:ind w:left="720" w:hanging="720"/>
        <w:jc w:val="both"/>
        <w:rPr>
          <w:rtl/>
        </w:rPr>
      </w:pPr>
      <w:r>
        <w:rPr>
          <w:rFonts w:ascii="David" w:hAnsi="David" w:cs="David"/>
          <w:sz w:val="28"/>
          <w:szCs w:val="28"/>
          <w:rtl/>
        </w:rPr>
        <w:t>35.  כאמור תגובת אשת היחיד בפני ביהמ"ש קמא , לא נתמכה בתצהיר מטעמה, עם זאת הדבר לא היה מביא ,בנסיבות העניין, למסקנה שההסכם נזנח. שכן הקביעה שההסכם נזנח היא קביעה עובדתית, המחייבת שמיעת ראיות ועדויות , הנטל להוכיח שהסכם הממון נזנח מוטל על הטוען; הנאמן עצמו לא טען בבקשו לביטול פעולה כי הסכם הממון נזנח, הנאמן העלה טיעון זה רק בסיכומיו , הנאמן לא הוכיח זאת, לא הזמין אשת היחיד לחקירה , הוא גם לא חקר את היחיד הגם שנכח באותו דיון, ואשר בהיותו בן זוג וצד להסכם יחסי ממון , יכול לשפוך אור על הרבה שאלות מרכזיות שבמחלקות.</w:t>
      </w:r>
    </w:p>
    <w:p w14:paraId="7B41ECFB" w14:textId="77777777" w:rsidR="00000000" w:rsidRDefault="00000000">
      <w:pPr>
        <w:bidi/>
        <w:spacing w:line="360" w:lineRule="auto"/>
        <w:jc w:val="both"/>
        <w:rPr>
          <w:rtl/>
        </w:rPr>
      </w:pPr>
      <w:r>
        <w:rPr>
          <w:rFonts w:ascii="David" w:hAnsi="David" w:cs="David"/>
          <w:sz w:val="28"/>
          <w:szCs w:val="28"/>
          <w:rtl/>
        </w:rPr>
        <w:t> </w:t>
      </w:r>
    </w:p>
    <w:p w14:paraId="2B2D55CA" w14:textId="77777777" w:rsidR="00000000" w:rsidRDefault="00000000">
      <w:pPr>
        <w:bidi/>
        <w:spacing w:line="360" w:lineRule="auto"/>
        <w:jc w:val="both"/>
        <w:rPr>
          <w:rtl/>
        </w:rPr>
      </w:pPr>
      <w:r>
        <w:rPr>
          <w:rFonts w:ascii="David" w:hAnsi="David" w:cs="David"/>
          <w:sz w:val="28"/>
          <w:szCs w:val="28"/>
          <w:rtl/>
        </w:rPr>
        <w:t> </w:t>
      </w:r>
    </w:p>
    <w:p w14:paraId="054102EC" w14:textId="77777777" w:rsidR="00000000" w:rsidRDefault="00000000">
      <w:pPr>
        <w:bidi/>
        <w:spacing w:line="360" w:lineRule="auto"/>
        <w:ind w:left="720" w:hanging="720"/>
        <w:jc w:val="both"/>
        <w:rPr>
          <w:rtl/>
        </w:rPr>
      </w:pPr>
      <w:r>
        <w:rPr>
          <w:rFonts w:ascii="David" w:hAnsi="David" w:cs="David"/>
          <w:sz w:val="28"/>
          <w:szCs w:val="28"/>
          <w:rtl/>
        </w:rPr>
        <w:t xml:space="preserve">36.  בנוסף, הסכם יחסי ממון בא להסדיר את יחסי ההמון בין בני המערערים , על רקע הסכסוך שהתגלע ביניהם. אין מדובר בהסכם פירוד או גירושין. </w:t>
      </w:r>
    </w:p>
    <w:p w14:paraId="2A19D7BA" w14:textId="77777777" w:rsidR="00000000" w:rsidRDefault="00000000">
      <w:pPr>
        <w:bidi/>
        <w:spacing w:line="360" w:lineRule="auto"/>
        <w:ind w:left="720"/>
        <w:jc w:val="both"/>
        <w:rPr>
          <w:rtl/>
        </w:rPr>
      </w:pPr>
      <w:r>
        <w:rPr>
          <w:rFonts w:ascii="David" w:hAnsi="David" w:cs="David"/>
          <w:sz w:val="28"/>
          <w:szCs w:val="28"/>
          <w:rtl/>
        </w:rPr>
        <w:t>מגורי המערערים באותו בית מגורים, תוך ניהול משק משותף, אינו מלמד על זניחת הסכם הממון. להפך, מצב זה מתיישב עם הוראות ההסכם. בהסכם עצמו, הוסכם כאמור (סעיף6) על זכות מדור ליחיד-המערער בבית בו גרים בני הזוג- המערערים; כן הוסדר (סעיף12) ענין צרכי הילדים ואחזקת הבית והוצאות שוטפות.</w:t>
      </w:r>
    </w:p>
    <w:p w14:paraId="3C75B2B1" w14:textId="77777777" w:rsidR="00000000" w:rsidRDefault="00000000">
      <w:pPr>
        <w:bidi/>
        <w:spacing w:line="360" w:lineRule="auto"/>
        <w:ind w:left="720"/>
        <w:jc w:val="both"/>
        <w:rPr>
          <w:rtl/>
        </w:rPr>
      </w:pPr>
      <w:r>
        <w:rPr>
          <w:rFonts w:ascii="David" w:hAnsi="David" w:cs="David"/>
          <w:sz w:val="28"/>
          <w:szCs w:val="28"/>
          <w:rtl/>
        </w:rPr>
        <w:t> </w:t>
      </w:r>
    </w:p>
    <w:p w14:paraId="0A550C04" w14:textId="77777777" w:rsidR="00000000" w:rsidRDefault="00000000">
      <w:pPr>
        <w:bidi/>
        <w:spacing w:line="360" w:lineRule="auto"/>
        <w:ind w:left="720" w:hanging="720"/>
        <w:jc w:val="both"/>
        <w:rPr>
          <w:rtl/>
        </w:rPr>
      </w:pPr>
      <w:r>
        <w:rPr>
          <w:rFonts w:ascii="David" w:hAnsi="David" w:cs="David"/>
          <w:sz w:val="28"/>
          <w:szCs w:val="28"/>
          <w:rtl/>
        </w:rPr>
        <w:t>37.  כמו כן, אינני מקבלת מסקנת ביהמ"ש קמא כי העיכוב ברישום הזכויות בלשכת רישום המקרקעין מעיד על זניחת הסכם הממון.</w:t>
      </w:r>
    </w:p>
    <w:p w14:paraId="7BBAB583" w14:textId="77777777" w:rsidR="00000000" w:rsidRDefault="00000000">
      <w:pPr>
        <w:bidi/>
        <w:spacing w:line="360" w:lineRule="auto"/>
        <w:ind w:left="720" w:hanging="720"/>
        <w:jc w:val="both"/>
        <w:rPr>
          <w:rtl/>
        </w:rPr>
      </w:pPr>
      <w:r>
        <w:rPr>
          <w:rFonts w:ascii="David" w:hAnsi="David" w:cs="David"/>
          <w:sz w:val="28"/>
          <w:szCs w:val="28"/>
          <w:rtl/>
        </w:rPr>
        <w:t>א.  המערערת טענה בתגובה מטעמה בפני בית משפט קמא, כי זכויותיה בבית לא נרשמו בלשכת רישום המקרקעין, במשך השנים, בשל עיקולים שרבצו על הנכס ואשר הוטלו מאוחר למועד חתימת ההסכם ואישורו על ידי בית המשפט. ב16/11/20 העבירה זכויותיה בבית מגורים לשני ילדיה. וכפי שהוסבר לה ולילדיה, לא היה ניתן לבצע רישום של הזכויות בטאבו בשל עיקולים שרבצו על הנכס, ועל כן לצורך רישום זכויותיהם של הילדים , הוגשה ללשכת הוצל"פ בקשה לביטול עיקולים ורק וביום15/2/21 בוטלו העיקולים.</w:t>
      </w:r>
    </w:p>
    <w:p w14:paraId="44D26E68" w14:textId="77777777" w:rsidR="00000000" w:rsidRDefault="00000000">
      <w:pPr>
        <w:bidi/>
        <w:spacing w:line="360" w:lineRule="auto"/>
        <w:jc w:val="both"/>
        <w:rPr>
          <w:rtl/>
        </w:rPr>
      </w:pPr>
      <w:r>
        <w:rPr>
          <w:rFonts w:ascii="David" w:hAnsi="David" w:cs="David"/>
          <w:sz w:val="28"/>
          <w:szCs w:val="28"/>
          <w:rtl/>
        </w:rPr>
        <w:t> </w:t>
      </w:r>
    </w:p>
    <w:p w14:paraId="57E26385" w14:textId="77777777" w:rsidR="00000000" w:rsidRDefault="00000000">
      <w:pPr>
        <w:bidi/>
        <w:spacing w:line="360" w:lineRule="auto"/>
        <w:jc w:val="both"/>
        <w:rPr>
          <w:rtl/>
        </w:rPr>
      </w:pPr>
      <w:r>
        <w:rPr>
          <w:rFonts w:ascii="David" w:hAnsi="David" w:cs="David"/>
          <w:sz w:val="28"/>
          <w:szCs w:val="28"/>
          <w:rtl/>
        </w:rPr>
        <w:t>ב.  מעיון בנסח הרישום עולה, כי על זכויות המקרקעין הוטלו עיקולים</w:t>
      </w:r>
    </w:p>
    <w:p w14:paraId="2310DA0F" w14:textId="77777777" w:rsidR="00000000" w:rsidRDefault="00000000">
      <w:pPr>
        <w:bidi/>
        <w:spacing w:line="360" w:lineRule="auto"/>
        <w:ind w:left="720"/>
        <w:jc w:val="both"/>
        <w:rPr>
          <w:rtl/>
        </w:rPr>
      </w:pPr>
      <w:r>
        <w:rPr>
          <w:rFonts w:ascii="David" w:hAnsi="David" w:cs="David"/>
          <w:sz w:val="28"/>
          <w:szCs w:val="28"/>
          <w:rtl/>
        </w:rPr>
        <w:t xml:space="preserve">בתאריך 9/4/2000 הוטל עיקול -מלשכת הוצאה לפועל חיפה, על זכויות במקרקעין של "מוחמד בסול"- המערער </w:t>
      </w:r>
    </w:p>
    <w:p w14:paraId="588A24C6" w14:textId="77777777" w:rsidR="00000000" w:rsidRDefault="00000000">
      <w:pPr>
        <w:bidi/>
        <w:spacing w:line="360" w:lineRule="auto"/>
        <w:ind w:left="720"/>
        <w:jc w:val="both"/>
        <w:rPr>
          <w:rtl/>
        </w:rPr>
      </w:pPr>
      <w:r>
        <w:rPr>
          <w:rFonts w:ascii="David" w:hAnsi="David" w:cs="David"/>
          <w:sz w:val="28"/>
          <w:szCs w:val="28"/>
          <w:rtl/>
        </w:rPr>
        <w:t>קרי, העיקולים הוטלו לאחר עריכת הסכם הממון, העקול הראשן לאחר שנה מחתימת הסכם ממון ,ו5 חודשים בלבד מאישור ההסכם.</w:t>
      </w:r>
    </w:p>
    <w:p w14:paraId="46B1AA07" w14:textId="77777777" w:rsidR="00000000" w:rsidRDefault="00000000">
      <w:pPr>
        <w:bidi/>
        <w:spacing w:line="360" w:lineRule="auto"/>
        <w:ind w:left="720"/>
        <w:jc w:val="both"/>
        <w:rPr>
          <w:rtl/>
        </w:rPr>
      </w:pPr>
      <w:r>
        <w:rPr>
          <w:rFonts w:ascii="David" w:hAnsi="David" w:cs="David"/>
          <w:sz w:val="28"/>
          <w:szCs w:val="28"/>
          <w:rtl/>
        </w:rPr>
        <w:t>רק בתאריך 15/2/2021 הורה כב' רשם ההוצאה לפועל -חיפה, על ביטול העיקולים (בתיק 02-98859-04-3).</w:t>
      </w:r>
    </w:p>
    <w:p w14:paraId="28D4B02D" w14:textId="77777777" w:rsidR="00000000" w:rsidRDefault="00000000">
      <w:pPr>
        <w:bidi/>
        <w:spacing w:line="360" w:lineRule="auto"/>
        <w:ind w:left="720"/>
        <w:jc w:val="both"/>
        <w:rPr>
          <w:rtl/>
        </w:rPr>
      </w:pPr>
      <w:r>
        <w:rPr>
          <w:rFonts w:ascii="David" w:hAnsi="David" w:cs="David"/>
          <w:sz w:val="28"/>
          <w:szCs w:val="28"/>
          <w:rtl/>
        </w:rPr>
        <w:t> </w:t>
      </w:r>
    </w:p>
    <w:p w14:paraId="02777BD4" w14:textId="77777777" w:rsidR="00000000" w:rsidRDefault="00000000">
      <w:pPr>
        <w:bidi/>
        <w:spacing w:line="360" w:lineRule="auto"/>
        <w:ind w:left="720" w:hanging="720"/>
        <w:jc w:val="both"/>
        <w:rPr>
          <w:rtl/>
        </w:rPr>
      </w:pPr>
      <w:r>
        <w:rPr>
          <w:rFonts w:ascii="David" w:hAnsi="David" w:cs="David"/>
          <w:sz w:val="28"/>
          <w:szCs w:val="28"/>
          <w:rtl/>
        </w:rPr>
        <w:t>ג.  אמנם, בין מועד עריכת הסכם יחסי ממון מ30/3/99 ועד הטלת עיקול ראשון ב9/4/00 , עברה שנה כאשר המערערת לא העבירה זכויותיה בתקופה זו, וגם לא רשמה הערת אזהרה בתקופה זו וגם לא לאחר מכן ( סעיף 35 להחלטת ביהמ"ש קמא) . עם זאת, וחרף חלוף הזמן, יש לזכור כי זכויות המערערת הובטחו לה כבר בהסכם יחסי ממון שקיבל תוקף של פסק דין . ולא התעורר אז צורך להגן על זכויותיה בנכס ולפעול לרישום הערת אזהרה או ולהעביר את זכויותיה בטאבו .</w:t>
      </w:r>
    </w:p>
    <w:p w14:paraId="3CD62073" w14:textId="77777777" w:rsidR="00000000" w:rsidRDefault="00000000">
      <w:pPr>
        <w:bidi/>
        <w:spacing w:line="360" w:lineRule="auto"/>
        <w:jc w:val="both"/>
        <w:rPr>
          <w:rtl/>
        </w:rPr>
      </w:pPr>
      <w:r>
        <w:rPr>
          <w:rFonts w:ascii="David" w:hAnsi="David" w:cs="David"/>
          <w:sz w:val="28"/>
          <w:szCs w:val="28"/>
          <w:rtl/>
        </w:rPr>
        <w:t> </w:t>
      </w:r>
    </w:p>
    <w:p w14:paraId="7DA7AA9A" w14:textId="77777777" w:rsidR="00000000" w:rsidRDefault="00000000">
      <w:pPr>
        <w:bidi/>
        <w:spacing w:line="360" w:lineRule="auto"/>
        <w:ind w:left="720" w:hanging="720"/>
        <w:jc w:val="both"/>
        <w:rPr>
          <w:rtl/>
        </w:rPr>
      </w:pPr>
      <w:r>
        <w:rPr>
          <w:rFonts w:ascii="David" w:hAnsi="David" w:cs="David"/>
          <w:sz w:val="28"/>
          <w:szCs w:val="28"/>
          <w:rtl/>
        </w:rPr>
        <w:t>ד.  העובדה שמערערת לא רשמה הערת אזהרה, אינה פוגעת, כהוא זה, בזכויותיה בבית המגורים , מכוח הסכם יחסי ממון שקיבל תוקף של פסק דין. הסכם ממון בין בני זוג מקבל את תוקפו המחייב מאישור בית המשפט לענייני משפחה או בית הדין הדתי, וזאת לאחר שערכאה שיפוטית זו נוכחה שבני הזוג עשו את ההסכם בהסכמה חופשית ובהבינם את משמעותו ותוצאותיו.</w:t>
      </w:r>
    </w:p>
    <w:p w14:paraId="2448CA16" w14:textId="77777777" w:rsidR="00000000" w:rsidRDefault="00000000">
      <w:pPr>
        <w:bidi/>
        <w:spacing w:line="360" w:lineRule="auto"/>
        <w:ind w:left="720"/>
        <w:jc w:val="both"/>
        <w:rPr>
          <w:rtl/>
        </w:rPr>
      </w:pPr>
      <w:r>
        <w:rPr>
          <w:rFonts w:ascii="David" w:hAnsi="David" w:cs="David"/>
          <w:sz w:val="28"/>
          <w:szCs w:val="28"/>
          <w:rtl/>
        </w:rPr>
        <w:t xml:space="preserve">רישום הערת אזהרה על זכויות במקרקעין הנובעות מהסכם ממון שקיבל תוקף של פסק דין אינו תנאי לתוקפו של ההסכם עצמו, אלא מנגנון הגנה חשוב המיועד לשמור על זכויות הצדדים כלפי צדדים שלישיים. אי רישום הערת אזהרה אינו מעיד בהכרח על זניחת הסכם הממון.לפעמים קיימים שיקולים כבדי משקל המצדיקים אי רישום הערת אזהרה כגון שיקולי אחדות המשפחה וכו'. </w:t>
      </w:r>
    </w:p>
    <w:p w14:paraId="177D7673" w14:textId="77777777" w:rsidR="00000000" w:rsidRDefault="00000000">
      <w:pPr>
        <w:bidi/>
        <w:spacing w:line="360" w:lineRule="auto"/>
        <w:ind w:left="720"/>
        <w:jc w:val="both"/>
        <w:rPr>
          <w:rtl/>
        </w:rPr>
      </w:pPr>
      <w:r>
        <w:rPr>
          <w:rFonts w:ascii="David" w:hAnsi="David" w:cs="David"/>
          <w:sz w:val="28"/>
          <w:szCs w:val="28"/>
          <w:rtl/>
        </w:rPr>
        <w:t>במקרה דנן , בית משפט קמא ייחס משקל יתר לעובדת אי רישום הערת אזהרה לטובת המערערת . כאמור, זכויות המערערת בנכס, הם מכוח הסכם יחסי ממון שקבל תוקף של פסק . וסביר כי המערערת "הסתמכה" עליו ועל ההפרדה הרכושית שיצר בינה לבין היחיד, ולא התעורר צורך בזמנו , מבחינתה, ברישום הערת אזהרה או העברת הזכויות בלשכת רישום המקרקעין.</w:t>
      </w:r>
    </w:p>
    <w:p w14:paraId="4335E60E" w14:textId="77777777" w:rsidR="00000000" w:rsidRDefault="00000000">
      <w:pPr>
        <w:bidi/>
        <w:spacing w:line="360" w:lineRule="auto"/>
        <w:jc w:val="both"/>
        <w:rPr>
          <w:rtl/>
        </w:rPr>
      </w:pPr>
      <w:r>
        <w:rPr>
          <w:rFonts w:ascii="David" w:hAnsi="David" w:cs="David"/>
          <w:sz w:val="28"/>
          <w:szCs w:val="28"/>
          <w:rtl/>
        </w:rPr>
        <w:t> </w:t>
      </w:r>
    </w:p>
    <w:p w14:paraId="05C77D7B" w14:textId="77777777" w:rsidR="00000000" w:rsidRDefault="00000000">
      <w:pPr>
        <w:bidi/>
        <w:spacing w:line="360" w:lineRule="auto"/>
        <w:jc w:val="both"/>
        <w:rPr>
          <w:rtl/>
        </w:rPr>
      </w:pPr>
      <w:r>
        <w:rPr>
          <w:rFonts w:ascii="David" w:hAnsi="David" w:cs="David"/>
          <w:sz w:val="28"/>
          <w:szCs w:val="28"/>
          <w:rtl/>
        </w:rPr>
        <w:t xml:space="preserve">  </w:t>
      </w:r>
    </w:p>
    <w:p w14:paraId="51259BB8" w14:textId="77777777" w:rsidR="00000000" w:rsidRDefault="00000000">
      <w:pPr>
        <w:bidi/>
        <w:spacing w:line="360" w:lineRule="auto"/>
        <w:ind w:left="720" w:hanging="720"/>
        <w:jc w:val="both"/>
        <w:rPr>
          <w:rtl/>
        </w:rPr>
      </w:pPr>
      <w:r>
        <w:rPr>
          <w:rFonts w:ascii="David" w:hAnsi="David" w:cs="David"/>
          <w:sz w:val="28"/>
          <w:szCs w:val="28"/>
          <w:rtl/>
        </w:rPr>
        <w:t>38.  מכל האמור לעיל עולה כי, חתימת המערערים על שטר מכר ביום 5/3/2021 היא פעולה שנעשתה לצורך רישום הסכם יחסי ממון מ30/3/199 שקיבל תוקף פסק דין ב10/11/99 , אין מדובר בהסכם ממון שנזנח, ואין מדובר בעסקה ופעולה נפרדת. יוצא כי מועד ביצוע הפעולה בשנת 1999, אינו נופל בטווח הזמנים של 4 שנים לפני מועד הגשת הבקשה לצו פתיחת הליכים של היחיד ב 21/7/23. משמע התנאי של מועד ביצוע הפעולה - לפי סעיף 220 לחוק החדל"פ לביטול הענקה, אינו מתקיים, והבקשה לביטול ההענקה דינה להידחות.</w:t>
      </w:r>
    </w:p>
    <w:p w14:paraId="2AD3B8FD" w14:textId="77777777" w:rsidR="00000000" w:rsidRDefault="00000000">
      <w:pPr>
        <w:bidi/>
        <w:spacing w:line="360" w:lineRule="auto"/>
        <w:jc w:val="both"/>
        <w:rPr>
          <w:rtl/>
        </w:rPr>
      </w:pPr>
      <w:r>
        <w:rPr>
          <w:rFonts w:ascii="David" w:hAnsi="David" w:cs="David"/>
          <w:sz w:val="28"/>
          <w:szCs w:val="28"/>
          <w:rtl/>
        </w:rPr>
        <w:t xml:space="preserve">  </w:t>
      </w:r>
    </w:p>
    <w:p w14:paraId="176C7EE8" w14:textId="77777777" w:rsidR="00000000" w:rsidRDefault="00000000">
      <w:pPr>
        <w:bidi/>
        <w:spacing w:line="360" w:lineRule="auto"/>
        <w:jc w:val="both"/>
        <w:rPr>
          <w:rtl/>
        </w:rPr>
      </w:pPr>
      <w:r>
        <w:rPr>
          <w:rFonts w:ascii="David" w:hAnsi="David" w:cs="David"/>
          <w:b/>
          <w:bCs/>
          <w:sz w:val="28"/>
          <w:szCs w:val="28"/>
          <w:rtl/>
        </w:rPr>
        <w:t>סוף דבר</w:t>
      </w:r>
    </w:p>
    <w:p w14:paraId="384D3837" w14:textId="77777777" w:rsidR="00000000" w:rsidRDefault="00000000">
      <w:pPr>
        <w:bidi/>
        <w:spacing w:line="360" w:lineRule="auto"/>
        <w:jc w:val="both"/>
        <w:rPr>
          <w:rtl/>
        </w:rPr>
      </w:pPr>
      <w:r>
        <w:rPr>
          <w:rFonts w:ascii="David" w:hAnsi="David" w:cs="David"/>
          <w:sz w:val="28"/>
          <w:szCs w:val="28"/>
          <w:rtl/>
        </w:rPr>
        <w:t>39.  אני מקבלת את הערעור. ומורה על ביטול החלטת בית משפט קמא מיום 11/08/25.</w:t>
      </w:r>
    </w:p>
    <w:p w14:paraId="057256B9" w14:textId="77777777" w:rsidR="00000000" w:rsidRDefault="00000000">
      <w:pPr>
        <w:bidi/>
        <w:spacing w:line="360" w:lineRule="auto"/>
        <w:jc w:val="both"/>
        <w:rPr>
          <w:rtl/>
        </w:rPr>
      </w:pPr>
      <w:r>
        <w:rPr>
          <w:rFonts w:ascii="David" w:hAnsi="David" w:cs="David"/>
          <w:sz w:val="28"/>
          <w:szCs w:val="28"/>
          <w:rtl/>
        </w:rPr>
        <w:t> </w:t>
      </w:r>
    </w:p>
    <w:p w14:paraId="0E75A84A" w14:textId="77777777" w:rsidR="00000000" w:rsidRDefault="00000000">
      <w:pPr>
        <w:bidi/>
        <w:spacing w:line="360" w:lineRule="auto"/>
        <w:ind w:left="720" w:hanging="720"/>
        <w:jc w:val="both"/>
        <w:rPr>
          <w:rtl/>
        </w:rPr>
      </w:pPr>
      <w:r>
        <w:rPr>
          <w:rFonts w:ascii="David" w:hAnsi="David" w:cs="David"/>
          <w:sz w:val="28"/>
          <w:szCs w:val="28"/>
          <w:rtl/>
        </w:rPr>
        <w:t>40.  אני מחייבת את הנאמן לשלם ,לכל אחד מהמערערים, את הוצאות המשפט ושכ"ט עו"ד בסך של 3,000 ₪.</w:t>
      </w:r>
    </w:p>
    <w:p w14:paraId="52C5D162" w14:textId="77777777" w:rsidR="00000000" w:rsidRDefault="00000000">
      <w:pPr>
        <w:bidi/>
        <w:spacing w:line="360" w:lineRule="auto"/>
        <w:ind w:left="720" w:hanging="720"/>
        <w:jc w:val="both"/>
        <w:rPr>
          <w:rtl/>
        </w:rPr>
      </w:pPr>
      <w:r>
        <w:rPr>
          <w:rFonts w:ascii="David" w:hAnsi="David" w:cs="David"/>
          <w:sz w:val="28"/>
          <w:szCs w:val="28"/>
          <w:rtl/>
        </w:rPr>
        <w:t> </w:t>
      </w:r>
    </w:p>
    <w:p w14:paraId="09FE86C7" w14:textId="77777777" w:rsidR="00000000" w:rsidRDefault="00000000">
      <w:pPr>
        <w:bidi/>
        <w:spacing w:line="360" w:lineRule="auto"/>
        <w:ind w:left="720" w:hanging="720"/>
        <w:jc w:val="both"/>
        <w:rPr>
          <w:rtl/>
        </w:rPr>
      </w:pPr>
      <w:r>
        <w:rPr>
          <w:rFonts w:ascii="David" w:hAnsi="David" w:cs="David"/>
          <w:sz w:val="28"/>
          <w:szCs w:val="28"/>
          <w:rtl/>
        </w:rPr>
        <w:t xml:space="preserve">  </w:t>
      </w:r>
      <w:r>
        <w:rPr>
          <w:rFonts w:ascii="David" w:hAnsi="David" w:cs="David"/>
          <w:b/>
          <w:bCs/>
          <w:sz w:val="28"/>
          <w:szCs w:val="28"/>
          <w:u w:val="single"/>
          <w:rtl/>
        </w:rPr>
        <w:t>המזכירות תמציא לצדדים.</w:t>
      </w:r>
    </w:p>
    <w:p w14:paraId="04854289" w14:textId="77777777" w:rsidR="00000000" w:rsidRDefault="00000000">
      <w:pPr>
        <w:bidi/>
        <w:spacing w:line="360" w:lineRule="auto"/>
        <w:jc w:val="both"/>
        <w:rPr>
          <w:rtl/>
        </w:rPr>
      </w:pPr>
      <w:r>
        <w:rPr>
          <w:rFonts w:ascii="David" w:hAnsi="David" w:cs="David"/>
          <w:sz w:val="28"/>
          <w:szCs w:val="28"/>
          <w:rtl/>
        </w:rPr>
        <w:t> </w:t>
      </w:r>
    </w:p>
    <w:p w14:paraId="075624C4" w14:textId="77777777" w:rsidR="00000000" w:rsidRDefault="00000000">
      <w:pPr>
        <w:bidi/>
        <w:spacing w:line="360" w:lineRule="auto"/>
        <w:jc w:val="both"/>
        <w:rPr>
          <w:rtl/>
        </w:rPr>
      </w:pPr>
      <w:r>
        <w:rPr>
          <w:rFonts w:ascii="David" w:hAnsi="David" w:cs="David"/>
          <w:sz w:val="28"/>
          <w:szCs w:val="28"/>
          <w:rtl/>
        </w:rPr>
        <w:t> </w:t>
      </w:r>
    </w:p>
    <w:p w14:paraId="0ECD2003" w14:textId="77777777" w:rsidR="00000000" w:rsidRDefault="00000000">
      <w:pPr>
        <w:bidi/>
        <w:ind w:left="5040"/>
        <w:jc w:val="both"/>
        <w:rPr>
          <w:rtl/>
        </w:rPr>
      </w:pPr>
      <w:r>
        <w:rPr>
          <w:rFonts w:ascii="David" w:hAnsi="David" w:cs="David"/>
          <w:sz w:val="28"/>
          <w:szCs w:val="28"/>
          <w:rtl/>
        </w:rPr>
        <w:t xml:space="preserve">ניתן היום, ז' אדר תשפ"ו, </w:t>
      </w:r>
      <w:r>
        <w:rPr>
          <w:rStyle w:val="f5dinim"/>
          <w:rFonts w:ascii="David" w:hAnsi="David" w:cs="David"/>
          <w:color w:val="000000"/>
          <w:sz w:val="28"/>
          <w:szCs w:val="28"/>
          <w:rtl/>
        </w:rPr>
        <w:t>24 פברואר 2026</w:t>
      </w:r>
      <w:r>
        <w:rPr>
          <w:rFonts w:ascii="David" w:hAnsi="David" w:cs="David"/>
          <w:sz w:val="28"/>
          <w:szCs w:val="28"/>
          <w:rtl/>
        </w:rPr>
        <w:t>, בהעדר הצדדים.</w:t>
      </w:r>
    </w:p>
    <w:p w14:paraId="6E51DE64" w14:textId="77777777" w:rsidR="00000000" w:rsidRDefault="00000000">
      <w:pPr>
        <w:bidi/>
        <w:ind w:left="5040"/>
        <w:jc w:val="both"/>
        <w:rPr>
          <w:rtl/>
        </w:rPr>
      </w:pPr>
      <w:r>
        <w:rPr>
          <w:rFonts w:ascii="David" w:hAnsi="David" w:cs="David"/>
          <w:sz w:val="28"/>
          <w:szCs w:val="28"/>
          <w:rtl/>
        </w:rPr>
        <w:t> </w:t>
      </w:r>
    </w:p>
    <w:p w14:paraId="55CD9139" w14:textId="77777777" w:rsidR="00000000" w:rsidRDefault="00000000">
      <w:pPr>
        <w:bidi/>
        <w:jc w:val="both"/>
        <w:rPr>
          <w:rtl/>
        </w:rPr>
      </w:pPr>
      <w:r>
        <w:rPr>
          <w:rFonts w:ascii="David" w:hAnsi="David" w:cs="David"/>
          <w:sz w:val="28"/>
          <w:szCs w:val="28"/>
          <w:rtl/>
        </w:rPr>
        <w:t>   </w:t>
      </w:r>
    </w:p>
    <w:p w14:paraId="4A490AF4" w14:textId="77777777" w:rsidR="00000000" w:rsidRDefault="00000000">
      <w:pPr>
        <w:bidi/>
        <w:jc w:val="both"/>
        <w:rPr>
          <w:rtl/>
        </w:rPr>
      </w:pPr>
      <w:r>
        <w:rPr>
          <w:rFonts w:ascii="David" w:hAnsi="David" w:cs="David"/>
          <w:sz w:val="28"/>
          <w:szCs w:val="28"/>
          <w:rtl/>
        </w:rPr>
        <w:t> </w:t>
      </w:r>
    </w:p>
    <w:p w14:paraId="6F3604E9"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7C43CD64" w14:textId="77777777">
        <w:trPr>
          <w:tblCellSpacing w:w="0" w:type="dxa"/>
        </w:trPr>
        <w:tc>
          <w:tcPr>
            <w:tcW w:w="0" w:type="auto"/>
            <w:vAlign w:val="center"/>
            <w:hideMark/>
          </w:tcPr>
          <w:p w14:paraId="0667496C" w14:textId="77777777" w:rsidR="00000000" w:rsidRDefault="00000000">
            <w:pPr>
              <w:bidi/>
              <w:jc w:val="center"/>
              <w:divId w:val="1556432331"/>
              <w:rPr>
                <w:rFonts w:ascii="David" w:eastAsia="Times New Roman" w:hAnsi="David" w:cs="David"/>
                <w:rtl/>
              </w:rPr>
            </w:pPr>
            <w:r>
              <w:rPr>
                <w:rFonts w:ascii="David" w:eastAsia="Times New Roman" w:hAnsi="David" w:cs="David"/>
                <w:rtl/>
              </w:rPr>
              <w:t>עחדלפ 40968-11-25 מוחמד בסול,חיראת בסול נגד הממונה על חדלות פירעון - מחוז חיפה והצפון 2.</w:t>
            </w:r>
          </w:p>
          <w:p w14:paraId="43786191" w14:textId="77777777" w:rsidR="00000000" w:rsidRDefault="00000000">
            <w:pPr>
              <w:pStyle w:val="a5"/>
              <w:bidi/>
              <w:jc w:val="center"/>
              <w:divId w:val="677539428"/>
              <w:rPr>
                <w:rtl/>
              </w:rPr>
            </w:pPr>
            <w:r>
              <w:rPr>
                <w:rtl/>
              </w:rPr>
              <w:t>עחדלפ 40968-11-25 מוחמד בסול,חיראת בסול נגד הממונה על חדלות פירעון - מחוז חיפה והצפון 2.</w:t>
            </w:r>
          </w:p>
        </w:tc>
      </w:tr>
    </w:tbl>
    <w:p w14:paraId="502B6DBD" w14:textId="77777777" w:rsidR="0033008F" w:rsidRDefault="0033008F">
      <w:pPr>
        <w:rPr>
          <w:rFonts w:eastAsia="Times New Roman"/>
        </w:rPr>
      </w:pPr>
    </w:p>
    <w:sectPr w:rsidR="0033008F">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0060" w14:textId="77777777" w:rsidR="0033008F" w:rsidRDefault="0033008F">
      <w:r>
        <w:separator/>
      </w:r>
    </w:p>
  </w:endnote>
  <w:endnote w:type="continuationSeparator" w:id="0">
    <w:p w14:paraId="3FF5B62E" w14:textId="77777777" w:rsidR="0033008F" w:rsidRDefault="0033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5A5A" w14:textId="77777777" w:rsidR="00000000" w:rsidRDefault="00000000">
    <w:pPr>
      <w:bidi/>
      <w:jc w:val="center"/>
      <w:rPr>
        <w:rFonts w:ascii="David" w:eastAsia="Times New Roman" w:hAnsi="David" w:cs="David"/>
        <w:rtl/>
      </w:rPr>
    </w:pPr>
    <w:r>
      <w:rPr>
        <w:rFonts w:ascii="David" w:eastAsia="Times New Roman" w:hAnsi="David" w:cs="David"/>
        <w:rtl/>
      </w:rPr>
      <w:t>עחדלפ 40968-11-25 מוחמד בסול,חיראת בסול נגד הממונה על חדלות פירעון - מחוז חיפה והצפון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99AE" w14:textId="77777777" w:rsidR="0033008F" w:rsidRDefault="0033008F">
      <w:r>
        <w:separator/>
      </w:r>
    </w:p>
  </w:footnote>
  <w:footnote w:type="continuationSeparator" w:id="0">
    <w:p w14:paraId="106BDA23" w14:textId="77777777" w:rsidR="0033008F" w:rsidRDefault="00330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0432"/>
    <w:rsid w:val="002F0432"/>
    <w:rsid w:val="0033008F"/>
    <w:rsid w:val="00D3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D0D18"/>
  <w15:chartTrackingRefBased/>
  <w15:docId w15:val="{BC7BCE9A-EE8B-4E77-8564-33AC750D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ascii="David" w:hAnsi="David" w:cs="David" w:hint="default"/>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customStyle="1" w:styleId="idhidden">
    <w:name w:val="idhidden"/>
    <w:basedOn w:val="a"/>
    <w:pPr>
      <w:spacing w:before="100" w:beforeAutospacing="1" w:after="100" w:afterAutospacing="1"/>
    </w:pPr>
    <w:rPr>
      <w:vanish/>
    </w:rPr>
  </w:style>
  <w:style w:type="paragraph" w:customStyle="1" w:styleId="section1">
    <w:name w:val="section1"/>
    <w:basedOn w:val="a"/>
    <w:pPr>
      <w:spacing w:before="100" w:beforeAutospacing="1" w:after="100" w:afterAutospacing="1"/>
    </w:pPr>
  </w:style>
  <w:style w:type="character" w:styleId="a7">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13hdinim">
    <w:name w:val="f13h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39428">
      <w:marLeft w:val="0"/>
      <w:marRight w:val="0"/>
      <w:marTop w:val="0"/>
      <w:marBottom w:val="0"/>
      <w:divBdr>
        <w:top w:val="none" w:sz="0" w:space="0" w:color="auto"/>
        <w:left w:val="none" w:sz="0" w:space="0" w:color="auto"/>
        <w:bottom w:val="none" w:sz="0" w:space="0" w:color="auto"/>
        <w:right w:val="none" w:sz="0" w:space="0" w:color="auto"/>
      </w:divBdr>
    </w:div>
    <w:div w:id="1556432331">
      <w:marLeft w:val="0"/>
      <w:marRight w:val="0"/>
      <w:marTop w:val="0"/>
      <w:marBottom w:val="0"/>
      <w:divBdr>
        <w:top w:val="none" w:sz="0" w:space="0" w:color="auto"/>
        <w:left w:val="none" w:sz="0" w:space="0" w:color="auto"/>
        <w:bottom w:val="none" w:sz="0" w:space="0" w:color="auto"/>
        <w:right w:val="none" w:sz="0" w:space="0" w:color="auto"/>
      </w:divBdr>
    </w:div>
    <w:div w:id="1729915781">
      <w:marLeft w:val="0"/>
      <w:marRight w:val="0"/>
      <w:marTop w:val="0"/>
      <w:marBottom w:val="0"/>
      <w:divBdr>
        <w:top w:val="none" w:sz="0" w:space="0" w:color="auto"/>
        <w:left w:val="none" w:sz="0" w:space="0" w:color="auto"/>
        <w:bottom w:val="none" w:sz="0" w:space="0" w:color="auto"/>
        <w:right w:val="none" w:sz="0" w:space="0" w:color="auto"/>
      </w:divBdr>
      <w:divsChild>
        <w:div w:id="1653679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3945</Words>
  <Characters>19728</Characters>
  <Application>Microsoft Office Word</Application>
  <DocSecurity>0</DocSecurity>
  <Lines>164</Lines>
  <Paragraphs>47</Paragraphs>
  <ScaleCrop>false</ScaleCrop>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2026-03-05T09:04:00Z</dcterms:created>
  <dcterms:modified xsi:type="dcterms:W3CDTF">2026-03-05T09:04:00Z</dcterms:modified>
</cp:coreProperties>
</file>