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0" w:type="auto"/>
        <w:jc w:val="center"/>
        <w:tblLook w:val="0000" w:firstRow="0" w:lastRow="0" w:firstColumn="0" w:lastColumn="0" w:noHBand="0" w:noVBand="0"/>
      </w:tblPr>
      <w:tblGrid>
        <w:gridCol w:w="8505"/>
      </w:tblGrid>
      <w:tr w:rsidR="00C001EC" w14:paraId="41FFB58E" w14:textId="77777777" w:rsidTr="002C54A1">
        <w:trPr>
          <w:trHeight w:hRule="exact" w:val="670"/>
          <w:jc w:val="center"/>
        </w:trPr>
        <w:tc>
          <w:tcPr>
            <w:tcW w:w="8721" w:type="dxa"/>
          </w:tcPr>
          <w:p w14:paraId="672999D7" w14:textId="77777777" w:rsidR="00D23D66" w:rsidRPr="00414BB6" w:rsidRDefault="00000000" w:rsidP="002C54A1">
            <w:pPr>
              <w:pStyle w:val="a3"/>
              <w:jc w:val="center"/>
              <w:rPr>
                <w:rFonts w:ascii="Tahoma" w:hAnsi="Tahoma" w:cs="Tahoma"/>
                <w:noProof w:val="0"/>
                <w:color w:val="000080"/>
                <w:rtl/>
              </w:rPr>
            </w:pPr>
            <w:bookmarkStart w:id="0" w:name="LastJudge"/>
            <w:r w:rsidRPr="00414BB6">
              <w:rPr>
                <w:rFonts w:ascii="Tahoma" w:hAnsi="Tahoma" w:cs="Tahoma"/>
                <w:b/>
                <w:bCs/>
                <w:noProof w:val="0"/>
                <w:color w:val="000080"/>
                <w:rtl/>
              </w:rPr>
              <w:t>בית משפט לענייני משפחה בחדרה</w:t>
            </w:r>
          </w:p>
        </w:tc>
      </w:tr>
      <w:tr w:rsidR="00C001EC" w14:paraId="460431CD" w14:textId="77777777" w:rsidTr="002C54A1">
        <w:trPr>
          <w:trHeight w:val="337"/>
          <w:jc w:val="center"/>
        </w:trPr>
        <w:tc>
          <w:tcPr>
            <w:tcW w:w="8721" w:type="dxa"/>
          </w:tcPr>
          <w:p w14:paraId="09E4EA5F" w14:textId="77777777" w:rsidR="00D23D66" w:rsidRPr="00414BB6" w:rsidRDefault="00000000" w:rsidP="002C54A1">
            <w:pPr>
              <w:rPr>
                <w:b/>
                <w:bCs/>
                <w:noProof w:val="0"/>
                <w:sz w:val="26"/>
                <w:szCs w:val="26"/>
                <w:rtl/>
              </w:rPr>
            </w:pPr>
            <w:r w:rsidRPr="00414BB6">
              <w:rPr>
                <w:b/>
                <w:bCs/>
                <w:noProof w:val="0"/>
                <w:sz w:val="26"/>
                <w:szCs w:val="26"/>
                <w:rtl/>
              </w:rPr>
              <w:t xml:space="preserve">תמ"ש 40568-01-22 </w:t>
            </w:r>
            <w:r w:rsidRPr="00414BB6">
              <w:rPr>
                <w:rFonts w:hint="cs"/>
                <w:b/>
                <w:bCs/>
                <w:noProof w:val="0"/>
                <w:sz w:val="26"/>
                <w:szCs w:val="26"/>
                <w:rtl/>
              </w:rPr>
              <w:t>פלונית</w:t>
            </w:r>
            <w:r w:rsidRPr="00414BB6">
              <w:rPr>
                <w:b/>
                <w:bCs/>
                <w:noProof w:val="0"/>
                <w:sz w:val="26"/>
                <w:szCs w:val="26"/>
                <w:rtl/>
              </w:rPr>
              <w:t xml:space="preserve"> נ' </w:t>
            </w:r>
            <w:r w:rsidRPr="00414BB6">
              <w:rPr>
                <w:rFonts w:hint="cs"/>
                <w:b/>
                <w:bCs/>
                <w:noProof w:val="0"/>
                <w:sz w:val="26"/>
                <w:szCs w:val="26"/>
                <w:rtl/>
              </w:rPr>
              <w:t>פלוני</w:t>
            </w:r>
            <w:r w:rsidRPr="00414BB6">
              <w:rPr>
                <w:b/>
                <w:bCs/>
                <w:noProof w:val="0"/>
                <w:sz w:val="26"/>
                <w:szCs w:val="26"/>
                <w:rtl/>
              </w:rPr>
              <w:t xml:space="preserve"> ואח'</w:t>
            </w:r>
          </w:p>
          <w:p w14:paraId="2DFFF390" w14:textId="77777777" w:rsidR="00D23D66" w:rsidRPr="00414BB6" w:rsidRDefault="00D23D66" w:rsidP="002C54A1">
            <w:pPr>
              <w:rPr>
                <w:b/>
                <w:bCs/>
                <w:noProof w:val="0"/>
                <w:sz w:val="2"/>
                <w:szCs w:val="2"/>
                <w:rtl/>
              </w:rPr>
            </w:pPr>
          </w:p>
          <w:p w14:paraId="4F2FA5DE" w14:textId="77777777" w:rsidR="00D23D66" w:rsidRPr="00414BB6" w:rsidRDefault="00000000" w:rsidP="002C54A1">
            <w:pPr>
              <w:rPr>
                <w:b/>
                <w:bCs/>
                <w:noProof w:val="0"/>
                <w:sz w:val="26"/>
                <w:szCs w:val="26"/>
                <w:rtl/>
              </w:rPr>
            </w:pPr>
            <w:r w:rsidRPr="00414BB6">
              <w:rPr>
                <w:rFonts w:hint="cs"/>
                <w:b/>
                <w:bCs/>
                <w:noProof w:val="0"/>
                <w:sz w:val="26"/>
                <w:szCs w:val="26"/>
                <w:rtl/>
              </w:rPr>
              <w:t xml:space="preserve"> </w:t>
            </w:r>
          </w:p>
          <w:p w14:paraId="71FB0538" w14:textId="77777777" w:rsidR="00D23D66" w:rsidRPr="00414BB6" w:rsidRDefault="00000000" w:rsidP="002C54A1">
            <w:pPr>
              <w:rPr>
                <w:b/>
                <w:bCs/>
                <w:noProof w:val="0"/>
                <w:sz w:val="26"/>
                <w:szCs w:val="26"/>
                <w:rtl/>
              </w:rPr>
            </w:pPr>
            <w:r w:rsidRPr="00414BB6">
              <w:rPr>
                <w:rFonts w:hint="cs"/>
                <w:sz w:val="20"/>
                <w:szCs w:val="20"/>
                <w:rtl/>
              </w:rPr>
              <w:t xml:space="preserve">תיק חיצוני: 5031261221  </w:t>
            </w:r>
          </w:p>
        </w:tc>
      </w:tr>
    </w:tbl>
    <w:p w14:paraId="29F75413" w14:textId="77777777" w:rsidR="00D23D66" w:rsidRPr="00414BB6" w:rsidRDefault="00000000" w:rsidP="00344FBD">
      <w:pPr>
        <w:pStyle w:val="a3"/>
        <w:rPr>
          <w:sz w:val="26"/>
          <w:szCs w:val="26"/>
        </w:rPr>
      </w:pPr>
      <w:r w:rsidRPr="00414BB6">
        <w:rPr>
          <w:noProof w:val="0"/>
          <w:rtl/>
        </w:rPr>
        <w:t xml:space="preserve"> </w:t>
      </w:r>
    </w:p>
    <w:tbl>
      <w:tblPr>
        <w:bidiVisual/>
        <w:tblW w:w="8820" w:type="dxa"/>
        <w:jc w:val="center"/>
        <w:tblLook w:val="01E0" w:firstRow="1" w:lastRow="1" w:firstColumn="1" w:lastColumn="1" w:noHBand="0" w:noVBand="0"/>
      </w:tblPr>
      <w:tblGrid>
        <w:gridCol w:w="743"/>
        <w:gridCol w:w="2506"/>
        <w:gridCol w:w="5571"/>
      </w:tblGrid>
      <w:tr w:rsidR="00C001EC" w14:paraId="4AB199BF" w14:textId="77777777" w:rsidTr="00D23D66">
        <w:trPr>
          <w:jc w:val="center"/>
        </w:trPr>
        <w:tc>
          <w:tcPr>
            <w:tcW w:w="743" w:type="dxa"/>
          </w:tcPr>
          <w:p w14:paraId="10612523" w14:textId="77777777" w:rsidR="00D23D66" w:rsidRPr="002E0C34" w:rsidRDefault="00000000" w:rsidP="002E0C34">
            <w:pPr>
              <w:spacing w:before="120" w:after="120" w:line="240" w:lineRule="exact"/>
              <w:jc w:val="both"/>
              <w:rPr>
                <w:rFonts w:ascii="Arial (W1)" w:hAnsi="Arial (W1)"/>
                <w:b/>
                <w:bCs/>
                <w:sz w:val="26"/>
                <w:szCs w:val="26"/>
              </w:rPr>
            </w:pPr>
            <w:r w:rsidRPr="002E0C34">
              <w:rPr>
                <w:rFonts w:hint="cs"/>
                <w:b/>
                <w:bCs/>
                <w:sz w:val="26"/>
                <w:szCs w:val="26"/>
                <w:rtl/>
              </w:rPr>
              <w:t xml:space="preserve">לפני </w:t>
            </w:r>
          </w:p>
        </w:tc>
        <w:tc>
          <w:tcPr>
            <w:tcW w:w="8077" w:type="dxa"/>
            <w:gridSpan w:val="2"/>
          </w:tcPr>
          <w:p w14:paraId="79DA6715" w14:textId="77777777" w:rsidR="00D23D66" w:rsidRPr="002E0C34" w:rsidRDefault="00000000" w:rsidP="002E0C34">
            <w:pPr>
              <w:spacing w:before="120" w:after="120" w:line="240" w:lineRule="exact"/>
              <w:rPr>
                <w:sz w:val="26"/>
                <w:szCs w:val="26"/>
              </w:rPr>
            </w:pPr>
            <w:r w:rsidRPr="002E0C34">
              <w:rPr>
                <w:rFonts w:ascii="Arial" w:hAnsi="Arial" w:hint="cs"/>
                <w:b/>
                <w:bCs/>
                <w:sz w:val="26"/>
                <w:szCs w:val="26"/>
                <w:rtl/>
              </w:rPr>
              <w:t>כבוד ה</w:t>
            </w:r>
            <w:r w:rsidRPr="002E0C34">
              <w:rPr>
                <w:rFonts w:ascii="Arial" w:hAnsi="Arial"/>
                <w:b/>
                <w:bCs/>
                <w:sz w:val="26"/>
                <w:szCs w:val="26"/>
                <w:rtl/>
              </w:rPr>
              <w:t>שופטת</w:t>
            </w:r>
            <w:r w:rsidRPr="002E0C34">
              <w:rPr>
                <w:rFonts w:ascii="Arial" w:hAnsi="Arial" w:hint="cs"/>
                <w:b/>
                <w:bCs/>
                <w:sz w:val="26"/>
                <w:szCs w:val="26"/>
                <w:rtl/>
              </w:rPr>
              <w:t xml:space="preserve">  </w:t>
            </w:r>
            <w:bookmarkStart w:id="1" w:name="_Hlk218692744"/>
            <w:r w:rsidRPr="002E0C34">
              <w:rPr>
                <w:rFonts w:ascii="Arial" w:hAnsi="Arial"/>
                <w:b/>
                <w:bCs/>
                <w:sz w:val="26"/>
                <w:szCs w:val="26"/>
                <w:rtl/>
              </w:rPr>
              <w:t>יפעת שקדי שץ</w:t>
            </w:r>
            <w:bookmarkEnd w:id="1"/>
          </w:p>
        </w:tc>
      </w:tr>
      <w:tr w:rsidR="00C001EC" w14:paraId="250DFCE9" w14:textId="77777777" w:rsidTr="00D23D66">
        <w:trPr>
          <w:jc w:val="center"/>
        </w:trPr>
        <w:tc>
          <w:tcPr>
            <w:tcW w:w="3249" w:type="dxa"/>
            <w:gridSpan w:val="2"/>
          </w:tcPr>
          <w:p w14:paraId="1A641DD0" w14:textId="77777777" w:rsidR="00D23D66" w:rsidRPr="002E0C34" w:rsidRDefault="00000000" w:rsidP="002E0C34">
            <w:pPr>
              <w:spacing w:before="120" w:after="120" w:line="240" w:lineRule="exact"/>
              <w:rPr>
                <w:rFonts w:ascii="Arial (W1)" w:hAnsi="Arial (W1)"/>
                <w:b/>
                <w:bCs/>
                <w:noProof w:val="0"/>
                <w:sz w:val="26"/>
                <w:szCs w:val="26"/>
              </w:rPr>
            </w:pPr>
            <w:bookmarkStart w:id="2" w:name="FirstAppellant"/>
            <w:bookmarkStart w:id="3" w:name="FirstLawyer"/>
            <w:r w:rsidRPr="002E0C34">
              <w:rPr>
                <w:rFonts w:hint="cs"/>
                <w:b/>
                <w:bCs/>
                <w:noProof w:val="0"/>
                <w:sz w:val="26"/>
                <w:szCs w:val="26"/>
                <w:rtl/>
              </w:rPr>
              <w:t>תובעת</w:t>
            </w:r>
          </w:p>
        </w:tc>
        <w:tc>
          <w:tcPr>
            <w:tcW w:w="5571" w:type="dxa"/>
          </w:tcPr>
          <w:p w14:paraId="0DD87DD9" w14:textId="77777777" w:rsidR="00D23D66" w:rsidRPr="002E0C34" w:rsidRDefault="00000000" w:rsidP="002E0C34">
            <w:pPr>
              <w:spacing w:before="120" w:after="120" w:line="240" w:lineRule="exact"/>
              <w:rPr>
                <w:rFonts w:ascii="Arial" w:hAnsi="Arial"/>
                <w:b/>
                <w:bCs/>
                <w:noProof w:val="0"/>
                <w:sz w:val="26"/>
                <w:szCs w:val="26"/>
                <w:rtl/>
              </w:rPr>
            </w:pPr>
            <w:r w:rsidRPr="002E0C34">
              <w:rPr>
                <w:rFonts w:hint="cs"/>
                <w:b/>
                <w:bCs/>
                <w:noProof w:val="0"/>
                <w:sz w:val="26"/>
                <w:szCs w:val="26"/>
                <w:rtl/>
              </w:rPr>
              <w:t xml:space="preserve">פלונית </w:t>
            </w:r>
            <w:r w:rsidRPr="002E0C34">
              <w:rPr>
                <w:rFonts w:hint="eastAsia"/>
                <w:b/>
                <w:bCs/>
                <w:noProof w:val="0"/>
                <w:sz w:val="26"/>
                <w:szCs w:val="26"/>
                <w:rtl/>
              </w:rPr>
              <w:t>ת"ז</w:t>
            </w:r>
            <w:r w:rsidRPr="002E0C34">
              <w:rPr>
                <w:rFonts w:hint="cs"/>
                <w:b/>
                <w:bCs/>
                <w:noProof w:val="0"/>
                <w:sz w:val="26"/>
                <w:szCs w:val="26"/>
                <w:rtl/>
              </w:rPr>
              <w:t xml:space="preserve"> ---------- </w:t>
            </w:r>
          </w:p>
          <w:p w14:paraId="456093AC" w14:textId="77777777" w:rsidR="00D23D66" w:rsidRPr="002E0C34" w:rsidRDefault="00000000" w:rsidP="002E0C34">
            <w:pPr>
              <w:spacing w:before="120" w:after="120" w:line="240" w:lineRule="exact"/>
              <w:rPr>
                <w:rFonts w:ascii="Arial (W1)" w:hAnsi="Arial (W1)"/>
                <w:b/>
                <w:bCs/>
                <w:noProof w:val="0"/>
                <w:sz w:val="26"/>
                <w:szCs w:val="26"/>
              </w:rPr>
            </w:pPr>
            <w:r w:rsidRPr="002E0C34">
              <w:rPr>
                <w:rFonts w:ascii="Arial" w:hAnsi="Arial"/>
                <w:b/>
                <w:bCs/>
                <w:noProof w:val="0"/>
                <w:sz w:val="26"/>
                <w:szCs w:val="26"/>
                <w:rtl/>
              </w:rPr>
              <w:t>ע"י ב"כ עוה"ד</w:t>
            </w:r>
            <w:r w:rsidRPr="002E0C34">
              <w:rPr>
                <w:rFonts w:ascii="Arial" w:hAnsi="Arial" w:hint="cs"/>
                <w:b/>
                <w:bCs/>
                <w:noProof w:val="0"/>
                <w:sz w:val="26"/>
                <w:szCs w:val="26"/>
                <w:rtl/>
              </w:rPr>
              <w:t xml:space="preserve"> גלעד קראוז</w:t>
            </w:r>
          </w:p>
        </w:tc>
      </w:tr>
      <w:bookmarkEnd w:id="2"/>
      <w:bookmarkEnd w:id="3"/>
      <w:tr w:rsidR="00C001EC" w14:paraId="7EF2153C" w14:textId="77777777" w:rsidTr="00D23D66">
        <w:trPr>
          <w:jc w:val="center"/>
        </w:trPr>
        <w:tc>
          <w:tcPr>
            <w:tcW w:w="8820" w:type="dxa"/>
            <w:gridSpan w:val="3"/>
          </w:tcPr>
          <w:p w14:paraId="24AC3ECD" w14:textId="77777777" w:rsidR="00D23D66" w:rsidRPr="002E0C34" w:rsidRDefault="00000000" w:rsidP="002E0C34">
            <w:pPr>
              <w:spacing w:before="240" w:after="240" w:line="240" w:lineRule="exact"/>
              <w:jc w:val="center"/>
              <w:rPr>
                <w:rFonts w:ascii="Arial (W1)" w:hAnsi="Arial (W1)"/>
                <w:b/>
                <w:bCs/>
                <w:noProof w:val="0"/>
                <w:sz w:val="26"/>
                <w:szCs w:val="26"/>
              </w:rPr>
            </w:pPr>
            <w:r w:rsidRPr="002E0C34">
              <w:rPr>
                <w:rFonts w:hint="cs"/>
                <w:b/>
                <w:bCs/>
                <w:noProof w:val="0"/>
                <w:sz w:val="26"/>
                <w:szCs w:val="26"/>
                <w:rtl/>
              </w:rPr>
              <w:t>נגד</w:t>
            </w:r>
          </w:p>
        </w:tc>
      </w:tr>
      <w:tr w:rsidR="00C001EC" w14:paraId="6EA2D01A" w14:textId="77777777" w:rsidTr="00D23D66">
        <w:trPr>
          <w:jc w:val="center"/>
        </w:trPr>
        <w:tc>
          <w:tcPr>
            <w:tcW w:w="3249" w:type="dxa"/>
            <w:gridSpan w:val="2"/>
          </w:tcPr>
          <w:p w14:paraId="2825AC0A" w14:textId="77777777" w:rsidR="00D23D66" w:rsidRPr="002E0C34" w:rsidRDefault="00000000" w:rsidP="002E0C34">
            <w:pPr>
              <w:spacing w:before="120" w:after="120" w:line="240" w:lineRule="exact"/>
              <w:rPr>
                <w:rFonts w:ascii="Arial (W1)" w:hAnsi="Arial (W1)"/>
                <w:b/>
                <w:bCs/>
                <w:noProof w:val="0"/>
                <w:sz w:val="26"/>
                <w:szCs w:val="26"/>
              </w:rPr>
            </w:pPr>
            <w:r w:rsidRPr="002E0C34">
              <w:rPr>
                <w:rFonts w:hint="cs"/>
                <w:b/>
                <w:bCs/>
                <w:noProof w:val="0"/>
                <w:sz w:val="26"/>
                <w:szCs w:val="26"/>
                <w:rtl/>
              </w:rPr>
              <w:t>נתבעים</w:t>
            </w:r>
          </w:p>
        </w:tc>
        <w:tc>
          <w:tcPr>
            <w:tcW w:w="5571" w:type="dxa"/>
          </w:tcPr>
          <w:p w14:paraId="4845BE3E" w14:textId="77777777" w:rsidR="00D23D66" w:rsidRPr="002E0C34" w:rsidRDefault="00000000" w:rsidP="002E0C34">
            <w:pPr>
              <w:spacing w:before="120" w:after="120" w:line="240" w:lineRule="exact"/>
              <w:rPr>
                <w:rFonts w:ascii="Arial" w:hAnsi="Arial"/>
                <w:b/>
                <w:bCs/>
                <w:noProof w:val="0"/>
                <w:sz w:val="26"/>
                <w:szCs w:val="26"/>
                <w:rtl/>
              </w:rPr>
            </w:pPr>
            <w:r w:rsidRPr="002E0C34">
              <w:rPr>
                <w:rFonts w:hint="cs"/>
                <w:b/>
                <w:bCs/>
                <w:noProof w:val="0"/>
                <w:sz w:val="26"/>
                <w:szCs w:val="26"/>
                <w:rtl/>
              </w:rPr>
              <w:t xml:space="preserve">1.אלמוני </w:t>
            </w:r>
            <w:r w:rsidRPr="002E0C34">
              <w:rPr>
                <w:rFonts w:hint="eastAsia"/>
                <w:b/>
                <w:bCs/>
                <w:noProof w:val="0"/>
                <w:sz w:val="26"/>
                <w:szCs w:val="26"/>
                <w:rtl/>
              </w:rPr>
              <w:t>ת"ז</w:t>
            </w:r>
            <w:r w:rsidRPr="002E0C34">
              <w:rPr>
                <w:rFonts w:hint="cs"/>
                <w:b/>
                <w:bCs/>
                <w:noProof w:val="0"/>
                <w:sz w:val="26"/>
                <w:szCs w:val="26"/>
                <w:rtl/>
              </w:rPr>
              <w:t xml:space="preserve"> --------</w:t>
            </w:r>
            <w:r w:rsidRPr="002E0C34">
              <w:rPr>
                <w:rFonts w:hint="cs"/>
                <w:sz w:val="26"/>
                <w:szCs w:val="26"/>
                <w:rtl/>
              </w:rPr>
              <w:t xml:space="preserve"> </w:t>
            </w:r>
          </w:p>
          <w:p w14:paraId="36A03CB9" w14:textId="77777777" w:rsidR="00D23D66" w:rsidRPr="002E0C34" w:rsidRDefault="00000000" w:rsidP="002E0C34">
            <w:pPr>
              <w:spacing w:before="120" w:after="120" w:line="240" w:lineRule="exact"/>
              <w:rPr>
                <w:rFonts w:ascii="Arial (W1)" w:hAnsi="Arial (W1)"/>
                <w:b/>
                <w:bCs/>
                <w:noProof w:val="0"/>
                <w:sz w:val="26"/>
                <w:szCs w:val="26"/>
              </w:rPr>
            </w:pPr>
            <w:r w:rsidRPr="002E0C34">
              <w:rPr>
                <w:rFonts w:ascii="Arial" w:hAnsi="Arial"/>
                <w:b/>
                <w:bCs/>
                <w:noProof w:val="0"/>
                <w:sz w:val="26"/>
                <w:szCs w:val="26"/>
                <w:rtl/>
              </w:rPr>
              <w:t>ע"י ב"כ עוה"ד</w:t>
            </w:r>
            <w:r w:rsidRPr="002E0C34">
              <w:rPr>
                <w:rFonts w:ascii="Arial" w:hAnsi="Arial" w:hint="cs"/>
                <w:b/>
                <w:bCs/>
                <w:noProof w:val="0"/>
                <w:sz w:val="26"/>
                <w:szCs w:val="26"/>
                <w:rtl/>
              </w:rPr>
              <w:t xml:space="preserve"> יואל רביב</w:t>
            </w:r>
          </w:p>
          <w:p w14:paraId="3C4643C6" w14:textId="77777777" w:rsidR="00D23D66" w:rsidRPr="002E0C34" w:rsidRDefault="00000000" w:rsidP="002E0C34">
            <w:pPr>
              <w:spacing w:before="120" w:after="120" w:line="240" w:lineRule="exact"/>
              <w:rPr>
                <w:rFonts w:ascii="Arial (W1)" w:hAnsi="Arial (W1)"/>
                <w:b/>
                <w:bCs/>
                <w:noProof w:val="0"/>
                <w:sz w:val="26"/>
                <w:szCs w:val="26"/>
              </w:rPr>
            </w:pPr>
            <w:r w:rsidRPr="002E0C34">
              <w:rPr>
                <w:rFonts w:hint="cs"/>
                <w:b/>
                <w:bCs/>
                <w:noProof w:val="0"/>
                <w:sz w:val="26"/>
                <w:szCs w:val="26"/>
                <w:rtl/>
              </w:rPr>
              <w:t xml:space="preserve">2.פלונית </w:t>
            </w:r>
            <w:r w:rsidRPr="002E0C34">
              <w:rPr>
                <w:rFonts w:hint="eastAsia"/>
                <w:b/>
                <w:bCs/>
                <w:noProof w:val="0"/>
                <w:sz w:val="26"/>
                <w:szCs w:val="26"/>
                <w:rtl/>
              </w:rPr>
              <w:t>ת"ז</w:t>
            </w:r>
            <w:r w:rsidRPr="002E0C34">
              <w:rPr>
                <w:rFonts w:hint="cs"/>
                <w:b/>
                <w:bCs/>
                <w:noProof w:val="0"/>
                <w:sz w:val="26"/>
                <w:szCs w:val="26"/>
                <w:rtl/>
              </w:rPr>
              <w:t xml:space="preserve"> ---------</w:t>
            </w:r>
            <w:r w:rsidRPr="002E0C34">
              <w:rPr>
                <w:rFonts w:hint="cs"/>
                <w:sz w:val="26"/>
                <w:szCs w:val="26"/>
                <w:rtl/>
              </w:rPr>
              <w:t xml:space="preserve"> </w:t>
            </w:r>
          </w:p>
        </w:tc>
      </w:tr>
    </w:tbl>
    <w:p w14:paraId="77167917" w14:textId="77777777" w:rsidR="002E0C34" w:rsidRPr="002E0C34" w:rsidRDefault="002E0C34" w:rsidP="002E0C34">
      <w:pPr>
        <w:suppressLineNumbers/>
        <w:spacing w:before="120" w:after="120" w:line="240" w:lineRule="exact"/>
        <w:ind w:left="283" w:hanging="283"/>
        <w:jc w:val="both"/>
        <w:rPr>
          <w:rFonts w:ascii="FrankRuehl" w:hAnsi="FrankRuehl" w:cs="FrankRuehl"/>
          <w:rtl/>
        </w:rPr>
      </w:pPr>
      <w:bookmarkStart w:id="4" w:name="LawTable"/>
      <w:bookmarkEnd w:id="4"/>
    </w:p>
    <w:p w14:paraId="7645F9D1" w14:textId="77777777" w:rsidR="002E0C34" w:rsidRPr="002E0C34" w:rsidRDefault="002E0C34" w:rsidP="002E0C34">
      <w:pPr>
        <w:suppressLineNumbers/>
      </w:pPr>
    </w:p>
    <w:tbl>
      <w:tblPr>
        <w:bidiVisual/>
        <w:tblW w:w="8820" w:type="dxa"/>
        <w:jc w:val="center"/>
        <w:tblLook w:val="01E0" w:firstRow="1" w:lastRow="1" w:firstColumn="1" w:lastColumn="1" w:noHBand="0" w:noVBand="0"/>
      </w:tblPr>
      <w:tblGrid>
        <w:gridCol w:w="8820"/>
      </w:tblGrid>
      <w:tr w:rsidR="00C001EC" w14:paraId="00BF2064" w14:textId="77777777" w:rsidTr="00D23D66">
        <w:trPr>
          <w:jc w:val="center"/>
        </w:trPr>
        <w:tc>
          <w:tcPr>
            <w:tcW w:w="8820" w:type="dxa"/>
          </w:tcPr>
          <w:p w14:paraId="758DCB79" w14:textId="77777777" w:rsidR="00414BB6" w:rsidRPr="00414BB6" w:rsidRDefault="00000000" w:rsidP="00414BB6">
            <w:pPr>
              <w:bidi w:val="0"/>
              <w:jc w:val="center"/>
              <w:rPr>
                <w:rFonts w:ascii="Arial" w:hAnsi="Arial"/>
                <w:b/>
                <w:bCs/>
                <w:noProof w:val="0"/>
                <w:sz w:val="28"/>
                <w:szCs w:val="28"/>
                <w:u w:val="single"/>
              </w:rPr>
            </w:pPr>
            <w:bookmarkStart w:id="5" w:name="PsakDin" w:colFirst="0" w:colLast="0"/>
            <w:bookmarkEnd w:id="0"/>
            <w:r w:rsidRPr="00414BB6">
              <w:rPr>
                <w:rFonts w:ascii="Arial" w:hAnsi="Arial"/>
                <w:b/>
                <w:bCs/>
                <w:noProof w:val="0"/>
                <w:sz w:val="28"/>
                <w:szCs w:val="28"/>
                <w:u w:val="single"/>
                <w:rtl/>
              </w:rPr>
              <w:t>פסק דין</w:t>
            </w:r>
          </w:p>
          <w:p w14:paraId="5BC3C73C" w14:textId="77777777" w:rsidR="00D23D66" w:rsidRPr="00414BB6" w:rsidRDefault="00D23D66" w:rsidP="00414BB6">
            <w:pPr>
              <w:bidi w:val="0"/>
              <w:jc w:val="center"/>
              <w:rPr>
                <w:rFonts w:ascii="Arial" w:hAnsi="Arial"/>
                <w:b/>
                <w:bCs/>
                <w:noProof w:val="0"/>
                <w:sz w:val="28"/>
                <w:szCs w:val="28"/>
                <w:u w:val="single"/>
              </w:rPr>
            </w:pPr>
          </w:p>
        </w:tc>
      </w:tr>
      <w:bookmarkEnd w:id="5"/>
    </w:tbl>
    <w:p w14:paraId="3F4A5CC4" w14:textId="77777777" w:rsidR="00D23D66" w:rsidRDefault="00D23D66" w:rsidP="00D23D66">
      <w:pPr>
        <w:spacing w:line="360" w:lineRule="auto"/>
        <w:jc w:val="both"/>
        <w:rPr>
          <w:rFonts w:ascii="Arial" w:hAnsi="Arial"/>
          <w:noProof w:val="0"/>
          <w:rtl/>
        </w:rPr>
      </w:pPr>
    </w:p>
    <w:p w14:paraId="22D5AD23" w14:textId="77777777" w:rsidR="00D23D66" w:rsidRDefault="00000000" w:rsidP="00D23D66">
      <w:pPr>
        <w:spacing w:line="360" w:lineRule="auto"/>
        <w:jc w:val="both"/>
        <w:rPr>
          <w:rFonts w:ascii="Arial" w:hAnsi="Arial"/>
          <w:noProof w:val="0"/>
          <w:rtl/>
        </w:rPr>
      </w:pPr>
      <w:r>
        <w:rPr>
          <w:rFonts w:ascii="Arial" w:hAnsi="Arial" w:hint="cs"/>
          <w:noProof w:val="0"/>
          <w:rtl/>
        </w:rPr>
        <w:t>פסק דין זה מכריע בטענות התובעת לחוב כספי של הנתבעים כלפיה בסך 90,000 ש</w:t>
      </w:r>
      <w:r>
        <w:rPr>
          <w:rFonts w:ascii="Arial" w:hAnsi="Arial"/>
          <w:noProof w:val="0"/>
          <w:rtl/>
        </w:rPr>
        <w:t>"</w:t>
      </w:r>
      <w:r>
        <w:rPr>
          <w:rFonts w:ascii="Arial" w:hAnsi="Arial" w:hint="cs"/>
          <w:noProof w:val="0"/>
          <w:rtl/>
        </w:rPr>
        <w:t xml:space="preserve">ח. </w:t>
      </w:r>
    </w:p>
    <w:p w14:paraId="7A5FE629" w14:textId="77777777" w:rsidR="00D23D66" w:rsidRDefault="00000000" w:rsidP="00D23D66">
      <w:pPr>
        <w:pStyle w:val="1"/>
        <w:numPr>
          <w:ilvl w:val="0"/>
          <w:numId w:val="1"/>
        </w:numPr>
        <w:spacing w:after="120" w:line="360" w:lineRule="auto"/>
        <w:ind w:left="567" w:hanging="567"/>
        <w:contextualSpacing w:val="0"/>
        <w:jc w:val="both"/>
        <w:rPr>
          <w:rFonts w:ascii="Arial" w:hAnsi="Arial"/>
          <w:b/>
          <w:bCs/>
          <w:noProof w:val="0"/>
          <w:u w:val="single"/>
        </w:rPr>
      </w:pPr>
      <w:r w:rsidRPr="005B6844">
        <w:rPr>
          <w:rFonts w:ascii="Arial" w:hAnsi="Arial" w:hint="cs"/>
          <w:b/>
          <w:bCs/>
          <w:noProof w:val="0"/>
          <w:u w:val="single"/>
          <w:rtl/>
        </w:rPr>
        <w:t xml:space="preserve">רקע, שלבי ניהול ההליך והחלטות מהותיות </w:t>
      </w:r>
    </w:p>
    <w:p w14:paraId="4C0DB9EA"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 xml:space="preserve">הנתבעים הם בני זוג לשעבר אשר ניהלו הליכים רבים בבית משפט זה. </w:t>
      </w:r>
    </w:p>
    <w:p w14:paraId="45A22C23"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 xml:space="preserve">התובעת היא אמה של הנתבעת 2. </w:t>
      </w:r>
    </w:p>
    <w:p w14:paraId="7984044B" w14:textId="77777777" w:rsidR="00D23D66" w:rsidRPr="001518E5" w:rsidRDefault="00000000" w:rsidP="00D23D66">
      <w:pPr>
        <w:spacing w:line="360" w:lineRule="auto"/>
        <w:ind w:left="567" w:hanging="567"/>
        <w:jc w:val="both"/>
        <w:rPr>
          <w:rFonts w:ascii="Arial" w:hAnsi="Arial"/>
          <w:b/>
          <w:bCs/>
          <w:noProof w:val="0"/>
          <w:u w:val="single"/>
        </w:rPr>
      </w:pPr>
      <w:r w:rsidRPr="001518E5">
        <w:rPr>
          <w:rFonts w:ascii="Arial" w:hAnsi="Arial" w:hint="cs"/>
          <w:b/>
          <w:bCs/>
          <w:noProof w:val="0"/>
          <w:rtl/>
        </w:rPr>
        <w:t>א.1.</w:t>
      </w:r>
      <w:r w:rsidRPr="001518E5">
        <w:rPr>
          <w:rFonts w:ascii="Arial" w:hAnsi="Arial"/>
          <w:b/>
          <w:bCs/>
          <w:noProof w:val="0"/>
          <w:rtl/>
        </w:rPr>
        <w:tab/>
      </w:r>
      <w:r>
        <w:rPr>
          <w:rFonts w:ascii="Arial" w:hAnsi="Arial" w:hint="cs"/>
          <w:b/>
          <w:bCs/>
          <w:noProof w:val="0"/>
          <w:u w:val="single"/>
          <w:rtl/>
        </w:rPr>
        <w:t>הגשת השטר לביצוע בהוצאה לפועל וההליך בבית משפט השלום</w:t>
      </w:r>
    </w:p>
    <w:p w14:paraId="58A59952"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ראשיתו של ההליך בהגשת שטר לביצוע בלשכת ההוצאה לפועל ב -------. ביום 17.1.2022 הגישה התובעת, גב' --------, המחאה לפקודתה ולפקודת בעלה, מר --------, על סך 90,000 ש</w:t>
      </w:r>
      <w:r>
        <w:rPr>
          <w:rFonts w:ascii="Arial" w:hAnsi="Arial"/>
          <w:noProof w:val="0"/>
          <w:rtl/>
        </w:rPr>
        <w:t>"</w:t>
      </w:r>
      <w:r>
        <w:rPr>
          <w:rFonts w:ascii="Arial" w:hAnsi="Arial" w:hint="cs"/>
          <w:noProof w:val="0"/>
          <w:rtl/>
        </w:rPr>
        <w:t xml:space="preserve">ח. </w:t>
      </w:r>
    </w:p>
    <w:p w14:paraId="63F7C42A" w14:textId="77777777" w:rsidR="00D23D66" w:rsidRDefault="00000000" w:rsidP="00D23D66">
      <w:pPr>
        <w:pStyle w:val="1"/>
        <w:spacing w:after="120" w:line="360" w:lineRule="auto"/>
        <w:ind w:left="567"/>
        <w:contextualSpacing w:val="0"/>
        <w:jc w:val="both"/>
        <w:rPr>
          <w:rFonts w:ascii="Arial" w:hAnsi="Arial"/>
          <w:noProof w:val="0"/>
        </w:rPr>
      </w:pPr>
      <w:r>
        <w:rPr>
          <w:rFonts w:ascii="Arial" w:hAnsi="Arial" w:hint="cs"/>
          <w:noProof w:val="0"/>
          <w:rtl/>
        </w:rPr>
        <w:t>ההמחאה נמשכה מחשבון הבנק של הנתבע 1 ביום 16.11.2021 (</w:t>
      </w:r>
      <w:r>
        <w:rPr>
          <w:rFonts w:ascii="Arial" w:hAnsi="Arial" w:hint="cs"/>
          <w:b/>
          <w:bCs/>
          <w:noProof w:val="0"/>
          <w:rtl/>
        </w:rPr>
        <w:t>"השטר"</w:t>
      </w:r>
      <w:r>
        <w:rPr>
          <w:rFonts w:ascii="Arial" w:hAnsi="Arial" w:hint="cs"/>
          <w:noProof w:val="0"/>
          <w:rtl/>
        </w:rPr>
        <w:t>). בבקשה צוין, כי העילה שבשלה ניתן השטר היא הלוואה, כאשר תאריך כריתת ההלוואה הוא בשנת -------- וסכום ההלוואה הוא 90,000 ש</w:t>
      </w:r>
      <w:r>
        <w:rPr>
          <w:rFonts w:ascii="Arial" w:hAnsi="Arial"/>
          <w:noProof w:val="0"/>
          <w:rtl/>
        </w:rPr>
        <w:t>"</w:t>
      </w:r>
      <w:r>
        <w:rPr>
          <w:rFonts w:ascii="Arial" w:hAnsi="Arial" w:hint="cs"/>
          <w:noProof w:val="0"/>
          <w:rtl/>
        </w:rPr>
        <w:t>ח. התובעת הצהירה בבקשה לביצוע השטר, כי השטר ניתן כבטוחה לפירעון הלוואה או כתשלום להחזר הלוואה (סעיף 5 לבקשת הביצוע).</w:t>
      </w:r>
    </w:p>
    <w:p w14:paraId="332D763F"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הנתבע 1 (</w:t>
      </w:r>
      <w:r>
        <w:rPr>
          <w:rFonts w:ascii="Arial" w:hAnsi="Arial" w:hint="cs"/>
          <w:b/>
          <w:bCs/>
          <w:noProof w:val="0"/>
          <w:rtl/>
        </w:rPr>
        <w:t>"הנתבע"</w:t>
      </w:r>
      <w:r>
        <w:rPr>
          <w:rFonts w:ascii="Arial" w:hAnsi="Arial" w:hint="cs"/>
          <w:noProof w:val="0"/>
          <w:rtl/>
        </w:rPr>
        <w:t>) הגיש התנגדות לביצוע השטר וטען, כי אין לו שום חוב כלפי התובעת, כי לא חתם על השטר ולא מסר את השטר לידי התובעת. לטענתו, התובעת עשתה יד אחת עם בתה, הנתבעת 2 (</w:t>
      </w:r>
      <w:r>
        <w:rPr>
          <w:rFonts w:ascii="Arial" w:hAnsi="Arial" w:hint="cs"/>
          <w:b/>
          <w:bCs/>
          <w:noProof w:val="0"/>
          <w:rtl/>
        </w:rPr>
        <w:t>"הנתבעת"</w:t>
      </w:r>
      <w:r>
        <w:rPr>
          <w:rFonts w:ascii="Arial" w:hAnsi="Arial" w:hint="cs"/>
          <w:noProof w:val="0"/>
          <w:rtl/>
        </w:rPr>
        <w:t xml:space="preserve">), כדי לקחת ממנו כספים. הנתבע טען, כי לאחר שנאלץ לעזוב את ביתם המשותף של הצדדים גנבה הנתבעת פנקס המחאות שלו ועשתה בו שימוש שלא כדין. עוד נטען, כי ביום 17.10.2021 כתבה לו </w:t>
      </w:r>
      <w:r>
        <w:rPr>
          <w:rFonts w:ascii="Arial" w:hAnsi="Arial" w:hint="cs"/>
          <w:b/>
          <w:bCs/>
          <w:noProof w:val="0"/>
          <w:rtl/>
        </w:rPr>
        <w:t>"יש צ'קים שלך מהחשבון המשותף שפיזרתי לאנשים"</w:t>
      </w:r>
      <w:r>
        <w:rPr>
          <w:rFonts w:ascii="Arial" w:hAnsi="Arial" w:hint="cs"/>
          <w:noProof w:val="0"/>
          <w:rtl/>
        </w:rPr>
        <w:t xml:space="preserve"> ובעקבות זאת הוגשה תלונה נגד הנתבעת והפנקס בוטל. </w:t>
      </w:r>
    </w:p>
    <w:p w14:paraId="721E1372" w14:textId="77777777" w:rsidR="00D23D66" w:rsidRPr="005B6844" w:rsidRDefault="00000000" w:rsidP="00D23D66">
      <w:pPr>
        <w:pStyle w:val="1"/>
        <w:spacing w:after="120" w:line="360" w:lineRule="auto"/>
        <w:ind w:left="567"/>
        <w:contextualSpacing w:val="0"/>
        <w:jc w:val="both"/>
        <w:rPr>
          <w:rFonts w:ascii="Arial" w:hAnsi="Arial"/>
          <w:noProof w:val="0"/>
        </w:rPr>
      </w:pPr>
      <w:r>
        <w:rPr>
          <w:rFonts w:ascii="Arial" w:hAnsi="Arial" w:hint="cs"/>
          <w:noProof w:val="0"/>
          <w:rtl/>
        </w:rPr>
        <w:lastRenderedPageBreak/>
        <w:t xml:space="preserve">להתנגדות צורפה דוגמת חתימה של הנתבע אשר לטענתו אינה תואמת את החתימה על השטר. </w:t>
      </w:r>
    </w:p>
    <w:p w14:paraId="06DCDDF9"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 xml:space="preserve">בעקבות הגשת ההתנגדות הועבר ההליך לבית משפט השלום בחדרה. </w:t>
      </w:r>
    </w:p>
    <w:p w14:paraId="623C601D" w14:textId="77777777" w:rsidR="00D23D66" w:rsidRPr="005B6844"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 xml:space="preserve">לאחר שנוהל דיון בפני כבוד הרשם הבכיר, ש. לפיד, ביום 6.6.2022 ניתנה לנתבע רשות להתגונן וביום 7.7.2022 הועבר ההליך לבית המשפט לענייני משפחה. </w:t>
      </w:r>
    </w:p>
    <w:p w14:paraId="41401D64" w14:textId="77777777" w:rsidR="00D23D66" w:rsidRDefault="00000000" w:rsidP="00D23D66">
      <w:pPr>
        <w:spacing w:line="360" w:lineRule="auto"/>
        <w:ind w:left="567" w:hanging="567"/>
        <w:jc w:val="both"/>
        <w:rPr>
          <w:rFonts w:ascii="Arial" w:hAnsi="Arial"/>
          <w:b/>
          <w:bCs/>
          <w:noProof w:val="0"/>
          <w:u w:val="single"/>
          <w:rtl/>
        </w:rPr>
      </w:pPr>
      <w:r w:rsidRPr="00FB6262">
        <w:rPr>
          <w:rFonts w:ascii="Arial" w:hAnsi="Arial" w:hint="cs"/>
          <w:b/>
          <w:bCs/>
          <w:noProof w:val="0"/>
          <w:rtl/>
        </w:rPr>
        <w:t>א.2.</w:t>
      </w:r>
      <w:r w:rsidRPr="00FB6262">
        <w:rPr>
          <w:rFonts w:ascii="Arial" w:hAnsi="Arial"/>
          <w:b/>
          <w:bCs/>
          <w:noProof w:val="0"/>
          <w:rtl/>
        </w:rPr>
        <w:tab/>
      </w:r>
      <w:r>
        <w:rPr>
          <w:rFonts w:ascii="Arial" w:hAnsi="Arial" w:hint="cs"/>
          <w:b/>
          <w:bCs/>
          <w:noProof w:val="0"/>
          <w:u w:val="single"/>
          <w:rtl/>
        </w:rPr>
        <w:t xml:space="preserve">ניהול ההליך בבית המשפט לענייני משפחה </w:t>
      </w:r>
    </w:p>
    <w:p w14:paraId="53B44B89"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 xml:space="preserve">בעקבות החלטה על הגשת כתב תביעה מותאם להליכים המתנהלים בבית משפט זה, הגישה התובעת "כתב תביעה כספי להחזר הלוואה" (נסרק לכתחילה במסגרת תמ"ש 13523-09-22). </w:t>
      </w:r>
    </w:p>
    <w:p w14:paraId="46C2A82D" w14:textId="77777777" w:rsidR="00D23D66" w:rsidRPr="005B6844" w:rsidRDefault="00000000" w:rsidP="00D23D66">
      <w:pPr>
        <w:spacing w:line="360" w:lineRule="auto"/>
        <w:ind w:left="567" w:hanging="567"/>
        <w:jc w:val="both"/>
        <w:rPr>
          <w:rFonts w:ascii="Arial" w:hAnsi="Arial"/>
          <w:b/>
          <w:bCs/>
          <w:noProof w:val="0"/>
          <w:u w:val="single"/>
        </w:rPr>
      </w:pPr>
      <w:r>
        <w:rPr>
          <w:rFonts w:ascii="Arial" w:hAnsi="Arial" w:hint="cs"/>
          <w:b/>
          <w:bCs/>
          <w:noProof w:val="0"/>
          <w:rtl/>
        </w:rPr>
        <w:t>א.</w:t>
      </w:r>
      <w:r w:rsidRPr="00943CBF">
        <w:rPr>
          <w:rFonts w:ascii="Arial" w:hAnsi="Arial" w:hint="cs"/>
          <w:b/>
          <w:bCs/>
          <w:noProof w:val="0"/>
          <w:rtl/>
        </w:rPr>
        <w:t>1.2.</w:t>
      </w:r>
      <w:r w:rsidRPr="00943CBF">
        <w:rPr>
          <w:rFonts w:ascii="Arial" w:hAnsi="Arial"/>
          <w:b/>
          <w:bCs/>
          <w:noProof w:val="0"/>
          <w:rtl/>
        </w:rPr>
        <w:tab/>
      </w:r>
      <w:r>
        <w:rPr>
          <w:rFonts w:ascii="Arial" w:hAnsi="Arial" w:hint="cs"/>
          <w:b/>
          <w:bCs/>
          <w:noProof w:val="0"/>
          <w:u w:val="single"/>
          <w:rtl/>
        </w:rPr>
        <w:t xml:space="preserve">הטענות בכתב התביעה </w:t>
      </w:r>
    </w:p>
    <w:p w14:paraId="34BAA548"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tl/>
        </w:rPr>
      </w:pPr>
      <w:r>
        <w:rPr>
          <w:rFonts w:ascii="Arial" w:hAnsi="Arial" w:hint="cs"/>
          <w:noProof w:val="0"/>
          <w:rtl/>
        </w:rPr>
        <w:t>בכתב התביעה טענה התובעת, כי עילת התביעה היא החזר הלוואה שניתנה לנתבעים במהלך נישואיהם. לטענתה, הנתבעת שילמה מחצית מהחוב ועל כן התביעה היא על סך 45,000 ש</w:t>
      </w:r>
      <w:r>
        <w:rPr>
          <w:rFonts w:ascii="Arial" w:hAnsi="Arial"/>
          <w:noProof w:val="0"/>
          <w:rtl/>
        </w:rPr>
        <w:t>"</w:t>
      </w:r>
      <w:r>
        <w:rPr>
          <w:rFonts w:ascii="Arial" w:hAnsi="Arial" w:hint="cs"/>
          <w:noProof w:val="0"/>
          <w:rtl/>
        </w:rPr>
        <w:t xml:space="preserve">ח כלפי הנתבע בלבד. </w:t>
      </w:r>
    </w:p>
    <w:p w14:paraId="77639A50" w14:textId="77777777" w:rsidR="00D23D66" w:rsidRDefault="00000000" w:rsidP="00D23D66">
      <w:pPr>
        <w:pStyle w:val="1"/>
        <w:spacing w:after="120" w:line="360" w:lineRule="auto"/>
        <w:ind w:left="567"/>
        <w:contextualSpacing w:val="0"/>
        <w:jc w:val="both"/>
        <w:rPr>
          <w:rFonts w:ascii="Arial" w:hAnsi="Arial"/>
          <w:noProof w:val="0"/>
          <w:rtl/>
        </w:rPr>
      </w:pPr>
      <w:r>
        <w:rPr>
          <w:rFonts w:ascii="Arial" w:hAnsi="Arial" w:hint="cs"/>
          <w:noProof w:val="0"/>
          <w:rtl/>
        </w:rPr>
        <w:t>לטענתה, השטר ניתן כבטוחה בגין הלוואות שניתנו במהלך תקופת הנישואין. התובעת טענה, כי בשנת 2008 נתנה לנתבעים הלוואה בסך 50,000 ש</w:t>
      </w:r>
      <w:r>
        <w:rPr>
          <w:rFonts w:ascii="Arial" w:hAnsi="Arial"/>
          <w:noProof w:val="0"/>
          <w:rtl/>
        </w:rPr>
        <w:t>"</w:t>
      </w:r>
      <w:r>
        <w:rPr>
          <w:rFonts w:ascii="Arial" w:hAnsi="Arial" w:hint="cs"/>
          <w:noProof w:val="0"/>
          <w:rtl/>
        </w:rPr>
        <w:t xml:space="preserve">ח לצורך רכישת בית המגורים של הנתבעים בחדרה ומאחר שהנתבעים לא השיבו את ההלוואה, הלוואות מאוחרות יותר הותנו במסירת המחאת בטחון או העברת המחאות חודשיות. </w:t>
      </w:r>
    </w:p>
    <w:p w14:paraId="4323E320"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בחודש דצמבר 2014 ביקשו הנתבעים הלוואה בסך 60,000 ש</w:t>
      </w:r>
      <w:r>
        <w:rPr>
          <w:rFonts w:ascii="Arial" w:hAnsi="Arial"/>
          <w:noProof w:val="0"/>
          <w:rtl/>
        </w:rPr>
        <w:t>"</w:t>
      </w:r>
      <w:r>
        <w:rPr>
          <w:rFonts w:ascii="Arial" w:hAnsi="Arial" w:hint="cs"/>
          <w:noProof w:val="0"/>
          <w:rtl/>
        </w:rPr>
        <w:t>ח. התובעת ובעלה העבירו את הסך שהתבקש לחשבון הבנק של הנתבעת ובתמורה הנתבעת תכננה חופשה משפחתית ושילמה עבור החופשה סך של 38,000 ש</w:t>
      </w:r>
      <w:r>
        <w:rPr>
          <w:rFonts w:ascii="Arial" w:hAnsi="Arial"/>
          <w:noProof w:val="0"/>
          <w:rtl/>
        </w:rPr>
        <w:t>"</w:t>
      </w:r>
      <w:r>
        <w:rPr>
          <w:rFonts w:ascii="Arial" w:hAnsi="Arial" w:hint="cs"/>
          <w:noProof w:val="0"/>
          <w:rtl/>
        </w:rPr>
        <w:t xml:space="preserve">ח מחשבון הבנק של הנתבעת והיתרה מחשבון משותף של הנתבעים. </w:t>
      </w:r>
    </w:p>
    <w:p w14:paraId="52CD2A66" w14:textId="77777777" w:rsidR="00D23D66" w:rsidRDefault="00000000" w:rsidP="00D23D66">
      <w:pPr>
        <w:pStyle w:val="1"/>
        <w:spacing w:after="120" w:line="360" w:lineRule="auto"/>
        <w:ind w:left="567"/>
        <w:contextualSpacing w:val="0"/>
        <w:jc w:val="both"/>
        <w:rPr>
          <w:rFonts w:ascii="Arial" w:hAnsi="Arial"/>
          <w:noProof w:val="0"/>
          <w:rtl/>
        </w:rPr>
      </w:pPr>
      <w:r>
        <w:rPr>
          <w:rFonts w:ascii="Arial" w:hAnsi="Arial" w:hint="cs"/>
          <w:noProof w:val="0"/>
          <w:rtl/>
        </w:rPr>
        <w:t>העברה נוספת של סכום של 10,000 ש</w:t>
      </w:r>
      <w:r>
        <w:rPr>
          <w:rFonts w:ascii="Arial" w:hAnsi="Arial"/>
          <w:noProof w:val="0"/>
          <w:rtl/>
        </w:rPr>
        <w:t>"</w:t>
      </w:r>
      <w:r>
        <w:rPr>
          <w:rFonts w:ascii="Arial" w:hAnsi="Arial" w:hint="cs"/>
          <w:noProof w:val="0"/>
          <w:rtl/>
        </w:rPr>
        <w:t xml:space="preserve">ח הועברה לחשבון המשותף של הנתבעים ביום 31.1.2020 אולם סכום זה מהווה מתנה עבור בר המצווה של בנם של הנתבעים. </w:t>
      </w:r>
    </w:p>
    <w:p w14:paraId="23E07ADA"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 xml:space="preserve">הנתבעת טענה כי אין לה כל טענה בהקשר של ההלוואות המפורטות בתביעה והפירוט הוא כדי להוכיח את תום הלב. </w:t>
      </w:r>
    </w:p>
    <w:p w14:paraId="75D5B0F8"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הנתבעת טענה, כי בחודש מרץ 2016 ביקשו הנתבעים הלוואה של 40,000 ש</w:t>
      </w:r>
      <w:r>
        <w:rPr>
          <w:rFonts w:ascii="Arial" w:hAnsi="Arial"/>
          <w:noProof w:val="0"/>
          <w:rtl/>
        </w:rPr>
        <w:t>"</w:t>
      </w:r>
      <w:r>
        <w:rPr>
          <w:rFonts w:ascii="Arial" w:hAnsi="Arial" w:hint="cs"/>
          <w:noProof w:val="0"/>
          <w:rtl/>
        </w:rPr>
        <w:t xml:space="preserve">ח לצורך רכישת רכב שטח לנתבע וניתוח פלסטי לנתבעת והבטיחו שההלוואה תוחזר כאשר קרן השתלמות תהפוך נזילה מבלי שצוין תאריך ספציפי. עוד נטען, כי אין כרגע פנקס המחאות וכי כאשר יהיה - תועבר המחאת בטחון. </w:t>
      </w:r>
    </w:p>
    <w:p w14:paraId="21F307A4"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 xml:space="preserve">בחלוף כחודשיים ממועד העברת ההלוואה החל בעלה של התובעת לבקש מהנתבעת את השבת ההלוואה. הנתבעת כעסה על אביה והבטיחה שתיתן המחאת בטחון וכך עשתה. לטענת התובעת מצבם הכלכלי של הנתבעים הוסתר מהתובעת ובעלה עת נוצל תום ליבם והוצג חוסר יכולת. </w:t>
      </w:r>
    </w:p>
    <w:p w14:paraId="0378E7A3" w14:textId="77777777" w:rsidR="00D23D66" w:rsidRDefault="00414BB6" w:rsidP="00D23D66">
      <w:pPr>
        <w:pStyle w:val="1"/>
        <w:numPr>
          <w:ilvl w:val="0"/>
          <w:numId w:val="2"/>
        </w:numPr>
        <w:spacing w:after="120" w:line="360" w:lineRule="auto"/>
        <w:ind w:left="567" w:hanging="567"/>
        <w:contextualSpacing w:val="0"/>
        <w:jc w:val="both"/>
        <w:rPr>
          <w:rFonts w:ascii="Arial" w:hAnsi="Arial"/>
          <w:noProof w:val="0"/>
        </w:rPr>
      </w:pPr>
      <w:r w:rsidRPr="00414BB6">
        <w:rPr>
          <w:rFonts w:ascii="Arial" w:hAnsi="Arial"/>
          <w:noProof w:val="0"/>
          <w:color w:val="FFFFFF"/>
          <w:sz w:val="2"/>
          <w:szCs w:val="2"/>
          <w:rtl/>
        </w:rPr>
        <w:t>ההתיישבות העותומנית [נוסח ישן] 1916</w:t>
      </w:r>
      <w:r w:rsidR="00000000">
        <w:rPr>
          <w:rFonts w:ascii="Arial" w:hAnsi="Arial" w:hint="cs"/>
          <w:noProof w:val="0"/>
          <w:rtl/>
        </w:rPr>
        <w:t>לאחר ניסיונות להגיע להסכמות על פירעו</w:t>
      </w:r>
      <w:r w:rsidR="00000000">
        <w:rPr>
          <w:rFonts w:ascii="Arial" w:hAnsi="Arial" w:hint="eastAsia"/>
          <w:noProof w:val="0"/>
          <w:rtl/>
        </w:rPr>
        <w:t>ן</w:t>
      </w:r>
      <w:r w:rsidR="00000000">
        <w:rPr>
          <w:rFonts w:ascii="Arial" w:hAnsi="Arial" w:hint="cs"/>
          <w:noProof w:val="0"/>
          <w:rtl/>
        </w:rPr>
        <w:t xml:space="preserve"> ההלוואה, הופקדה ההמחאה והוגשה לביצוע. </w:t>
      </w:r>
    </w:p>
    <w:p w14:paraId="505B0F83" w14:textId="77777777" w:rsidR="00D23D66" w:rsidRDefault="00414BB6" w:rsidP="00D23D66">
      <w:pPr>
        <w:pStyle w:val="1"/>
        <w:numPr>
          <w:ilvl w:val="0"/>
          <w:numId w:val="2"/>
        </w:numPr>
        <w:spacing w:after="120" w:line="360" w:lineRule="auto"/>
        <w:ind w:left="567" w:hanging="567"/>
        <w:contextualSpacing w:val="0"/>
        <w:jc w:val="both"/>
        <w:rPr>
          <w:rFonts w:ascii="Arial" w:hAnsi="Arial"/>
          <w:noProof w:val="0"/>
        </w:rPr>
      </w:pPr>
      <w:r w:rsidRPr="00414BB6">
        <w:rPr>
          <w:rFonts w:ascii="Arial" w:hAnsi="Arial"/>
          <w:noProof w:val="0"/>
          <w:color w:val="FFFFFF"/>
          <w:sz w:val="2"/>
          <w:szCs w:val="2"/>
          <w:rtl/>
        </w:rPr>
        <w:t>12-34-56-78 צ'כוב נ' מדינת ישראל, פ'ד נא (2)</w:t>
      </w:r>
      <w:r w:rsidR="00000000">
        <w:rPr>
          <w:rFonts w:ascii="Arial" w:hAnsi="Arial" w:hint="cs"/>
          <w:noProof w:val="0"/>
          <w:rtl/>
        </w:rPr>
        <w:t xml:space="preserve">במסגרת כתב התביעה כללה התובעת פרק שלם של טענות </w:t>
      </w:r>
      <w:r w:rsidR="00000000" w:rsidRPr="00CE1148">
        <w:rPr>
          <w:rFonts w:ascii="Arial" w:hAnsi="Arial" w:hint="cs"/>
          <w:noProof w:val="0"/>
          <w:u w:val="single"/>
          <w:rtl/>
        </w:rPr>
        <w:t>מפי הנתבעת</w:t>
      </w:r>
      <w:r w:rsidR="00000000">
        <w:rPr>
          <w:rFonts w:ascii="Arial" w:hAnsi="Arial" w:hint="cs"/>
          <w:noProof w:val="0"/>
          <w:rtl/>
        </w:rPr>
        <w:t xml:space="preserve"> ביחס להמחאה שהוגשה לביצוע. הנתבעת טענה (במסגרת כתב התביעה נגדה), כי השטר מהווה בטחון עבור שתי הלוואות וכי עם קבלת פנקס ההמחאות מהבנק</w:t>
      </w:r>
      <w:r w:rsidR="00000000" w:rsidRPr="00CE1148">
        <w:rPr>
          <w:rFonts w:ascii="Arial" w:hAnsi="Arial" w:hint="cs"/>
          <w:noProof w:val="0"/>
          <w:u w:val="single"/>
          <w:rtl/>
        </w:rPr>
        <w:t xml:space="preserve"> היא</w:t>
      </w:r>
      <w:r w:rsidR="00000000">
        <w:rPr>
          <w:rFonts w:ascii="Arial" w:hAnsi="Arial" w:hint="cs"/>
          <w:noProof w:val="0"/>
          <w:rtl/>
        </w:rPr>
        <w:t xml:space="preserve"> נתנה להוריה את השטר. נטען, כי הפנקס הוזמן לתכלית זו וכי השטר הוא ההמחאה היחידה שנמשכה מפנקס זה. עוד נטען, כי לא ברור מדוע הפנקס הוצא על שמו של הנתבע בלבד שכן היא הצטרפה לחשבון שלו עוד קודם להנפקת הפנקס. </w:t>
      </w:r>
    </w:p>
    <w:p w14:paraId="506EF060"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 xml:space="preserve">הנתבעת טענה, כי מדובר במשיכה מחשבון משותף וכי במהות מדובר בכספים משותפים. הנתבעת ציינה, כי היא חתומה על השטר. לטענתה השטר מהווה ראיה לקיומה של ההלוואה. </w:t>
      </w:r>
    </w:p>
    <w:p w14:paraId="4B088045"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tl/>
        </w:rPr>
      </w:pPr>
      <w:r>
        <w:rPr>
          <w:rFonts w:ascii="Arial" w:hAnsi="Arial" w:hint="cs"/>
          <w:noProof w:val="0"/>
          <w:rtl/>
        </w:rPr>
        <w:t>לכתב התביעה צורפו אסמכתאות להעברת הכספים המהווים הלוואה לנתבעים, לטענת התובעת - העברה כספית בסך 60,000 ש</w:t>
      </w:r>
      <w:r>
        <w:rPr>
          <w:rFonts w:ascii="Arial" w:hAnsi="Arial"/>
          <w:noProof w:val="0"/>
          <w:rtl/>
        </w:rPr>
        <w:t>"</w:t>
      </w:r>
      <w:r>
        <w:rPr>
          <w:rFonts w:ascii="Arial" w:hAnsi="Arial" w:hint="cs"/>
          <w:noProof w:val="0"/>
          <w:rtl/>
        </w:rPr>
        <w:t>ח ביום -------- מחשבון התובעת ובעלה לחשבון הנתבעת וסך של 40,000 ש</w:t>
      </w:r>
      <w:r>
        <w:rPr>
          <w:rFonts w:ascii="Arial" w:hAnsi="Arial"/>
          <w:noProof w:val="0"/>
          <w:rtl/>
        </w:rPr>
        <w:t>"</w:t>
      </w:r>
      <w:r>
        <w:rPr>
          <w:rFonts w:ascii="Arial" w:hAnsi="Arial" w:hint="cs"/>
          <w:noProof w:val="0"/>
          <w:rtl/>
        </w:rPr>
        <w:t>ח שהועברו מחשבון התובעת ובעלה ביום ----------.</w:t>
      </w:r>
    </w:p>
    <w:p w14:paraId="202DB867" w14:textId="77777777" w:rsidR="00D23D66" w:rsidRDefault="00000000" w:rsidP="00D23D66">
      <w:pPr>
        <w:spacing w:after="120" w:line="360" w:lineRule="auto"/>
        <w:jc w:val="both"/>
        <w:rPr>
          <w:rFonts w:ascii="Arial" w:hAnsi="Arial"/>
          <w:b/>
          <w:bCs/>
          <w:noProof w:val="0"/>
          <w:u w:val="single"/>
          <w:rtl/>
        </w:rPr>
      </w:pPr>
      <w:r w:rsidRPr="008E6C17">
        <w:rPr>
          <w:rFonts w:ascii="Arial" w:hAnsi="Arial" w:hint="cs"/>
          <w:b/>
          <w:bCs/>
          <w:noProof w:val="0"/>
          <w:rtl/>
        </w:rPr>
        <w:t>א.</w:t>
      </w:r>
      <w:r>
        <w:rPr>
          <w:rFonts w:ascii="Arial" w:hAnsi="Arial" w:hint="cs"/>
          <w:b/>
          <w:bCs/>
          <w:noProof w:val="0"/>
          <w:rtl/>
        </w:rPr>
        <w:t>2.2</w:t>
      </w:r>
      <w:r w:rsidRPr="008E6C17">
        <w:rPr>
          <w:rFonts w:ascii="Arial" w:hAnsi="Arial" w:hint="cs"/>
          <w:b/>
          <w:bCs/>
          <w:noProof w:val="0"/>
          <w:rtl/>
        </w:rPr>
        <w:t>.</w:t>
      </w:r>
      <w:r w:rsidRPr="008E6C17">
        <w:rPr>
          <w:rFonts w:ascii="Arial" w:hAnsi="Arial"/>
          <w:b/>
          <w:bCs/>
          <w:noProof w:val="0"/>
          <w:rtl/>
        </w:rPr>
        <w:tab/>
      </w:r>
      <w:r>
        <w:rPr>
          <w:rFonts w:ascii="Arial" w:hAnsi="Arial" w:hint="cs"/>
          <w:b/>
          <w:bCs/>
          <w:noProof w:val="0"/>
          <w:u w:val="single"/>
          <w:rtl/>
        </w:rPr>
        <w:t>טענות ההגנה לאחר הגשת כתב תביעה בבית משפט זה</w:t>
      </w:r>
    </w:p>
    <w:p w14:paraId="1507F906"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sidRPr="008E6C17">
        <w:rPr>
          <w:rFonts w:ascii="Arial" w:hAnsi="Arial" w:hint="cs"/>
          <w:noProof w:val="0"/>
          <w:rtl/>
        </w:rPr>
        <w:t>ה</w:t>
      </w:r>
      <w:r>
        <w:rPr>
          <w:rFonts w:ascii="Arial" w:hAnsi="Arial" w:hint="cs"/>
          <w:noProof w:val="0"/>
          <w:rtl/>
        </w:rPr>
        <w:t xml:space="preserve">נתבע טען, כי אין לו שום חוב כלפי הנתבעת, כי השטר נגנב ממנו וכי לא חתם עליו. עוד טען הנתבע, כי מעולם לא היתה דרישה להשיב כספים וכי הוצגו גרסאות שונות על ידי התובעת. </w:t>
      </w:r>
    </w:p>
    <w:p w14:paraId="6DE91818"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הנתבע טען, כי ההמחאות בסדר עוקב לשטר ניתנו במהלך החודשים פברואר - יוני 2019 עבור חוג של בתם של הצדדים -------. מכאן, כך טען הנתבע, שלא יתכן שההמחאה ניתנה במועד מתן ההלוואה הנטענת או במועד שנטען בבקשה לביצוע השטר שעה שההמחאות המוקדמות בפנקס נמשכו בשנת --------.</w:t>
      </w:r>
    </w:p>
    <w:p w14:paraId="224E4469"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 xml:space="preserve">לטענתו אין לקבל את טענות הנתבעת כפי שפורטו בכתב התביעה של התובעת בדבר הזמנת הפנקס לצורך העברת המחאת בטחון שכן המועדים של נטילת ההלוואה השניה לכאורה אינם מתיישבים עם מועד הזמנת הפנקס ומועדי משיכת ההמחאות. </w:t>
      </w:r>
    </w:p>
    <w:p w14:paraId="2FA33501"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 xml:space="preserve">עוד טען הנתבע, כי בעת פירוט הנתונים במסגרת ההליכים שהתנהלו בין הנתבעים לא ציינה הנתבעת את החוב הנטען כאן כחוב קיים.  </w:t>
      </w:r>
    </w:p>
    <w:p w14:paraId="23353E6F" w14:textId="77777777" w:rsidR="00D23D66" w:rsidRDefault="00000000" w:rsidP="00D23D66">
      <w:pPr>
        <w:pStyle w:val="1"/>
        <w:numPr>
          <w:ilvl w:val="0"/>
          <w:numId w:val="1"/>
        </w:numPr>
        <w:spacing w:after="120" w:line="360" w:lineRule="auto"/>
        <w:ind w:left="567" w:hanging="567"/>
        <w:jc w:val="both"/>
        <w:rPr>
          <w:rFonts w:ascii="Arial" w:hAnsi="Arial"/>
          <w:b/>
          <w:bCs/>
          <w:noProof w:val="0"/>
          <w:u w:val="single"/>
        </w:rPr>
      </w:pPr>
      <w:r w:rsidRPr="009D256E">
        <w:rPr>
          <w:rFonts w:ascii="Arial" w:hAnsi="Arial" w:hint="cs"/>
          <w:b/>
          <w:bCs/>
          <w:noProof w:val="0"/>
          <w:u w:val="single"/>
          <w:rtl/>
        </w:rPr>
        <w:t>דיון והכרעה</w:t>
      </w:r>
    </w:p>
    <w:p w14:paraId="4CA8DE59" w14:textId="77777777" w:rsidR="00D23D66" w:rsidRPr="00994DC5" w:rsidRDefault="00000000" w:rsidP="00D23D66">
      <w:pPr>
        <w:pStyle w:val="1"/>
        <w:numPr>
          <w:ilvl w:val="0"/>
          <w:numId w:val="2"/>
        </w:numPr>
        <w:spacing w:after="120" w:line="360" w:lineRule="auto"/>
        <w:ind w:left="567" w:hanging="567"/>
        <w:contextualSpacing w:val="0"/>
        <w:jc w:val="both"/>
        <w:rPr>
          <w:rFonts w:ascii="Arial" w:hAnsi="Arial"/>
          <w:noProof w:val="0"/>
        </w:rPr>
      </w:pPr>
      <w:r w:rsidRPr="00994DC5">
        <w:rPr>
          <w:rFonts w:ascii="Arial" w:hAnsi="Arial" w:hint="cs"/>
          <w:noProof w:val="0"/>
          <w:rtl/>
        </w:rPr>
        <w:t xml:space="preserve">השאלות הנדרשות להכרעה הן האם ניתנה לנתבעים הלוואה בסכום הנטען; האם השטר שהוגש לביצוע נמסר כבטוחה להלוואות הנטענות ומה תוקפו של השטר לאור זהותו של החותם. </w:t>
      </w:r>
    </w:p>
    <w:p w14:paraId="0566D4C0" w14:textId="77777777" w:rsidR="00D23D66" w:rsidRPr="000A7912" w:rsidRDefault="00000000" w:rsidP="00D23D66">
      <w:pPr>
        <w:pStyle w:val="1"/>
        <w:numPr>
          <w:ilvl w:val="0"/>
          <w:numId w:val="2"/>
        </w:numPr>
        <w:spacing w:after="120" w:line="360" w:lineRule="auto"/>
        <w:ind w:left="567" w:hanging="567"/>
        <w:contextualSpacing w:val="0"/>
        <w:jc w:val="both"/>
        <w:rPr>
          <w:rFonts w:ascii="Arial" w:hAnsi="Arial"/>
          <w:noProof w:val="0"/>
        </w:rPr>
      </w:pPr>
      <w:r w:rsidRPr="000A7912">
        <w:rPr>
          <w:rFonts w:ascii="Arial" w:hAnsi="Arial" w:hint="cs"/>
          <w:noProof w:val="0"/>
          <w:rtl/>
        </w:rPr>
        <w:t>ביחס לכל אחת מהשאלות אתייחס בקצרה לטענות הצדדים, לראיות שהוצגו ולבסוף תובא ההכרעה.</w:t>
      </w:r>
      <w:r w:rsidRPr="00265E9B">
        <w:rPr>
          <w:rFonts w:ascii="Arial" w:hAnsi="Arial" w:hint="cs"/>
          <w:b/>
          <w:bCs/>
          <w:noProof w:val="0"/>
          <w:rtl/>
        </w:rPr>
        <w:t xml:space="preserve"> בפרק ב.1.</w:t>
      </w:r>
      <w:r w:rsidRPr="000A7912">
        <w:rPr>
          <w:rFonts w:ascii="Arial" w:hAnsi="Arial" w:hint="cs"/>
          <w:noProof w:val="0"/>
          <w:rtl/>
        </w:rPr>
        <w:t xml:space="preserve"> אבחן את טענתה של התובעת ביחס למתן הלוואות בסכומים הנטענים; </w:t>
      </w:r>
      <w:r w:rsidRPr="00265E9B">
        <w:rPr>
          <w:rFonts w:ascii="Arial" w:hAnsi="Arial" w:hint="cs"/>
          <w:b/>
          <w:bCs/>
          <w:noProof w:val="0"/>
          <w:rtl/>
        </w:rPr>
        <w:t xml:space="preserve">בפרק ב.2. </w:t>
      </w:r>
      <w:r w:rsidRPr="000A7912">
        <w:rPr>
          <w:rFonts w:ascii="Arial" w:hAnsi="Arial" w:hint="cs"/>
          <w:noProof w:val="0"/>
          <w:rtl/>
        </w:rPr>
        <w:t xml:space="preserve">אבחן את הטענה בענין העמדת בטוחה להלוואות </w:t>
      </w:r>
      <w:r w:rsidRPr="00265E9B">
        <w:rPr>
          <w:rFonts w:ascii="Arial" w:hAnsi="Arial" w:hint="cs"/>
          <w:b/>
          <w:bCs/>
          <w:noProof w:val="0"/>
          <w:rtl/>
        </w:rPr>
        <w:t>ובפרק ב.3</w:t>
      </w:r>
      <w:r w:rsidRPr="000A7912">
        <w:rPr>
          <w:rFonts w:ascii="Arial" w:hAnsi="Arial" w:hint="cs"/>
          <w:noProof w:val="0"/>
          <w:rtl/>
        </w:rPr>
        <w:t xml:space="preserve"> אבחן את תוקפו של השטר לאור טענות בדבר זהות החותם. </w:t>
      </w:r>
    </w:p>
    <w:p w14:paraId="54FC8A1D" w14:textId="77777777" w:rsidR="00D23D66" w:rsidRPr="000A7912" w:rsidRDefault="00414BB6" w:rsidP="00D23D66">
      <w:pPr>
        <w:pStyle w:val="1"/>
        <w:numPr>
          <w:ilvl w:val="0"/>
          <w:numId w:val="2"/>
        </w:numPr>
        <w:spacing w:after="120" w:line="360" w:lineRule="auto"/>
        <w:ind w:left="567" w:hanging="567"/>
        <w:contextualSpacing w:val="0"/>
        <w:jc w:val="both"/>
        <w:rPr>
          <w:rFonts w:ascii="Arial" w:hAnsi="Arial"/>
          <w:noProof w:val="0"/>
        </w:rPr>
      </w:pPr>
      <w:r w:rsidRPr="00414BB6">
        <w:rPr>
          <w:rFonts w:ascii="Arial" w:hAnsi="Arial"/>
          <w:noProof w:val="0"/>
          <w:color w:val="FFFFFF"/>
          <w:sz w:val="2"/>
          <w:szCs w:val="2"/>
          <w:rtl/>
        </w:rPr>
        <w:t>הועתק מנבו</w:t>
      </w:r>
      <w:r w:rsidR="00000000" w:rsidRPr="000A7912">
        <w:rPr>
          <w:rFonts w:ascii="Arial" w:hAnsi="Arial" w:hint="cs"/>
          <w:noProof w:val="0"/>
          <w:rtl/>
        </w:rPr>
        <w:t>אציין, כי הפניות לעדויות בפרק זה הן הפניות לתמליל פרוטוקול הדיון מיום 5.12.2024.</w:t>
      </w:r>
    </w:p>
    <w:p w14:paraId="774B557F" w14:textId="77777777" w:rsidR="00D23D66" w:rsidRDefault="00000000" w:rsidP="00D23D66">
      <w:pPr>
        <w:spacing w:after="120" w:line="360" w:lineRule="auto"/>
        <w:ind w:left="567" w:hanging="567"/>
        <w:jc w:val="both"/>
        <w:rPr>
          <w:rFonts w:ascii="Arial" w:hAnsi="Arial"/>
          <w:b/>
          <w:bCs/>
          <w:noProof w:val="0"/>
          <w:u w:val="single"/>
          <w:rtl/>
        </w:rPr>
      </w:pPr>
      <w:r w:rsidRPr="00FE254A">
        <w:rPr>
          <w:rFonts w:ascii="Arial" w:hAnsi="Arial" w:hint="cs"/>
          <w:b/>
          <w:bCs/>
          <w:noProof w:val="0"/>
          <w:rtl/>
        </w:rPr>
        <w:t>ב.1.</w:t>
      </w:r>
      <w:r w:rsidRPr="00FE254A">
        <w:rPr>
          <w:rFonts w:ascii="Arial" w:hAnsi="Arial"/>
          <w:b/>
          <w:bCs/>
          <w:noProof w:val="0"/>
          <w:rtl/>
        </w:rPr>
        <w:tab/>
      </w:r>
      <w:r>
        <w:rPr>
          <w:rFonts w:ascii="Arial" w:hAnsi="Arial" w:hint="cs"/>
          <w:b/>
          <w:bCs/>
          <w:noProof w:val="0"/>
          <w:u w:val="single"/>
          <w:rtl/>
        </w:rPr>
        <w:t>טענת התובעת להעמדת הלוואות לנתבעים בסך כולל של 90,000 ש</w:t>
      </w:r>
      <w:r>
        <w:rPr>
          <w:rFonts w:ascii="Arial" w:hAnsi="Arial"/>
          <w:b/>
          <w:bCs/>
          <w:noProof w:val="0"/>
          <w:u w:val="single"/>
          <w:rtl/>
        </w:rPr>
        <w:t>"</w:t>
      </w:r>
      <w:r>
        <w:rPr>
          <w:rFonts w:ascii="Arial" w:hAnsi="Arial" w:hint="cs"/>
          <w:b/>
          <w:bCs/>
          <w:noProof w:val="0"/>
          <w:u w:val="single"/>
          <w:rtl/>
        </w:rPr>
        <w:t xml:space="preserve">ח. </w:t>
      </w:r>
    </w:p>
    <w:p w14:paraId="201BD69C"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בבקשה לביצוע השטר טענה התובעת, כי מדובר בהמחאה להבטחת פירעון הלוואה על סך 90,000 ש"ח שניתנה בשנת 2018. בכתב התביעה שהוגש כאן, בתצהיר ובסיכומים טענה התובעת, כי מדובר בדרישת תשלום בגין שתי הלוואות - הלוואה על סך 50,000 ש</w:t>
      </w:r>
      <w:r>
        <w:rPr>
          <w:rFonts w:ascii="Arial" w:hAnsi="Arial"/>
          <w:noProof w:val="0"/>
          <w:rtl/>
        </w:rPr>
        <w:t>"</w:t>
      </w:r>
      <w:r>
        <w:rPr>
          <w:rFonts w:ascii="Arial" w:hAnsi="Arial" w:hint="cs"/>
          <w:noProof w:val="0"/>
          <w:rtl/>
        </w:rPr>
        <w:t>ח שניתנה לנתבעים בשנת 2008 והלוואה על סך 40,000 ש</w:t>
      </w:r>
      <w:r>
        <w:rPr>
          <w:rFonts w:ascii="Arial" w:hAnsi="Arial"/>
          <w:noProof w:val="0"/>
          <w:rtl/>
        </w:rPr>
        <w:t>"</w:t>
      </w:r>
      <w:r>
        <w:rPr>
          <w:rFonts w:ascii="Arial" w:hAnsi="Arial" w:hint="cs"/>
          <w:noProof w:val="0"/>
          <w:rtl/>
        </w:rPr>
        <w:t>ח שניתנה לנתבעים בשנת 2016.</w:t>
      </w:r>
    </w:p>
    <w:p w14:paraId="6704E0AF"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 xml:space="preserve">נדמה, כי די בהצגת שתי גרסאות שונות בכל הנוגע לסכום ההלוואה ומועד העמדתה כדי להוביל לדחיית התביעה. על אף האמור, אדרש לבחינת הטענות ביחס להלוואות הנטענות בתביעה. </w:t>
      </w:r>
    </w:p>
    <w:p w14:paraId="412C7463" w14:textId="77777777" w:rsidR="00D23D66" w:rsidRDefault="00000000" w:rsidP="00D23D66">
      <w:pPr>
        <w:spacing w:after="120" w:line="360" w:lineRule="auto"/>
        <w:ind w:left="567" w:hanging="567"/>
        <w:jc w:val="both"/>
        <w:rPr>
          <w:rFonts w:ascii="Arial" w:hAnsi="Arial"/>
          <w:b/>
          <w:bCs/>
          <w:noProof w:val="0"/>
          <w:u w:val="single"/>
          <w:rtl/>
        </w:rPr>
      </w:pPr>
      <w:r w:rsidRPr="00994DC5">
        <w:rPr>
          <w:rFonts w:ascii="Arial" w:hAnsi="Arial" w:hint="cs"/>
          <w:b/>
          <w:bCs/>
          <w:noProof w:val="0"/>
          <w:rtl/>
        </w:rPr>
        <w:t>ב.1.1.</w:t>
      </w:r>
      <w:r w:rsidRPr="00994DC5">
        <w:rPr>
          <w:rFonts w:ascii="Arial" w:hAnsi="Arial"/>
          <w:b/>
          <w:bCs/>
          <w:noProof w:val="0"/>
          <w:rtl/>
        </w:rPr>
        <w:tab/>
      </w:r>
      <w:r>
        <w:rPr>
          <w:rFonts w:ascii="Arial" w:hAnsi="Arial" w:hint="cs"/>
          <w:b/>
          <w:bCs/>
          <w:noProof w:val="0"/>
          <w:u w:val="single"/>
          <w:rtl/>
        </w:rPr>
        <w:t>דיון ב</w:t>
      </w:r>
      <w:r w:rsidRPr="00994DC5">
        <w:rPr>
          <w:rFonts w:ascii="Arial" w:hAnsi="Arial" w:hint="cs"/>
          <w:b/>
          <w:bCs/>
          <w:noProof w:val="0"/>
          <w:u w:val="single"/>
          <w:rtl/>
        </w:rPr>
        <w:t xml:space="preserve">טענות התובעת להעמדת הלוואה בסך 50,000 </w:t>
      </w:r>
      <w:r>
        <w:rPr>
          <w:rFonts w:ascii="Arial" w:hAnsi="Arial" w:hint="cs"/>
          <w:b/>
          <w:bCs/>
          <w:noProof w:val="0"/>
          <w:u w:val="single"/>
          <w:rtl/>
        </w:rPr>
        <w:t>ש</w:t>
      </w:r>
      <w:r>
        <w:rPr>
          <w:rFonts w:ascii="Arial" w:hAnsi="Arial"/>
          <w:b/>
          <w:bCs/>
          <w:noProof w:val="0"/>
          <w:u w:val="single"/>
          <w:rtl/>
        </w:rPr>
        <w:t>"</w:t>
      </w:r>
      <w:r>
        <w:rPr>
          <w:rFonts w:ascii="Arial" w:hAnsi="Arial" w:hint="cs"/>
          <w:b/>
          <w:bCs/>
          <w:noProof w:val="0"/>
          <w:u w:val="single"/>
          <w:rtl/>
        </w:rPr>
        <w:t>ח</w:t>
      </w:r>
      <w:r w:rsidRPr="00994DC5">
        <w:rPr>
          <w:rFonts w:ascii="Arial" w:hAnsi="Arial" w:hint="cs"/>
          <w:b/>
          <w:bCs/>
          <w:noProof w:val="0"/>
          <w:u w:val="single"/>
          <w:rtl/>
        </w:rPr>
        <w:t xml:space="preserve"> בשנת 2008:</w:t>
      </w:r>
    </w:p>
    <w:p w14:paraId="6179D97F" w14:textId="77777777" w:rsidR="00D23D66" w:rsidRPr="00B92CE9" w:rsidRDefault="00000000" w:rsidP="00D23D66">
      <w:pPr>
        <w:spacing w:after="120" w:line="360" w:lineRule="auto"/>
        <w:ind w:left="567" w:hanging="567"/>
        <w:jc w:val="both"/>
        <w:rPr>
          <w:rFonts w:ascii="Arial" w:hAnsi="Arial"/>
          <w:b/>
          <w:bCs/>
          <w:noProof w:val="0"/>
          <w:u w:val="single"/>
        </w:rPr>
      </w:pPr>
      <w:r w:rsidRPr="00B92CE9">
        <w:rPr>
          <w:rFonts w:ascii="Arial" w:hAnsi="Arial" w:hint="cs"/>
          <w:b/>
          <w:bCs/>
          <w:noProof w:val="0"/>
          <w:rtl/>
        </w:rPr>
        <w:t>(א)</w:t>
      </w:r>
      <w:r w:rsidRPr="00B92CE9">
        <w:rPr>
          <w:rFonts w:ascii="Arial" w:hAnsi="Arial"/>
          <w:b/>
          <w:bCs/>
          <w:noProof w:val="0"/>
          <w:rtl/>
        </w:rPr>
        <w:tab/>
      </w:r>
      <w:r w:rsidRPr="00B92CE9">
        <w:rPr>
          <w:rFonts w:ascii="Arial" w:hAnsi="Arial" w:hint="cs"/>
          <w:b/>
          <w:bCs/>
          <w:noProof w:val="0"/>
          <w:u w:val="single"/>
          <w:rtl/>
        </w:rPr>
        <w:t>לא הוצג תיעוד לעצם הענקת ההלוואה</w:t>
      </w:r>
      <w:r>
        <w:rPr>
          <w:rFonts w:ascii="Arial" w:hAnsi="Arial" w:hint="cs"/>
          <w:b/>
          <w:bCs/>
          <w:noProof w:val="0"/>
          <w:u w:val="single"/>
          <w:rtl/>
        </w:rPr>
        <w:t xml:space="preserve"> והגרסה בענין מועד ההעברה ואופן ביצועה לא היתה סדורה</w:t>
      </w:r>
    </w:p>
    <w:p w14:paraId="1A99CDAE" w14:textId="77777777" w:rsidR="00D23D66" w:rsidRPr="000A7912" w:rsidRDefault="00000000" w:rsidP="00D23D66">
      <w:pPr>
        <w:pStyle w:val="1"/>
        <w:numPr>
          <w:ilvl w:val="0"/>
          <w:numId w:val="2"/>
        </w:numPr>
        <w:spacing w:after="120" w:line="360" w:lineRule="auto"/>
        <w:ind w:left="567" w:hanging="567"/>
        <w:contextualSpacing w:val="0"/>
        <w:jc w:val="both"/>
        <w:rPr>
          <w:rFonts w:ascii="Arial" w:hAnsi="Arial"/>
          <w:noProof w:val="0"/>
        </w:rPr>
      </w:pPr>
      <w:r w:rsidRPr="000A7912">
        <w:rPr>
          <w:rFonts w:ascii="Arial" w:hAnsi="Arial" w:hint="cs"/>
          <w:noProof w:val="0"/>
          <w:rtl/>
        </w:rPr>
        <w:t xml:space="preserve">התובעת העידה, כי השטר ניתן כבטחון לפרעון שתי הלוואות </w:t>
      </w:r>
      <w:r>
        <w:rPr>
          <w:rFonts w:ascii="Arial" w:hAnsi="Arial" w:hint="cs"/>
          <w:noProof w:val="0"/>
          <w:rtl/>
        </w:rPr>
        <w:t>-</w:t>
      </w:r>
      <w:r w:rsidRPr="000A7912">
        <w:rPr>
          <w:rFonts w:ascii="Arial" w:hAnsi="Arial" w:hint="cs"/>
          <w:noProof w:val="0"/>
          <w:rtl/>
        </w:rPr>
        <w:t xml:space="preserve"> הלוואה על סך 50,000 </w:t>
      </w:r>
      <w:r>
        <w:rPr>
          <w:rFonts w:ascii="Arial" w:hAnsi="Arial" w:hint="cs"/>
          <w:noProof w:val="0"/>
          <w:rtl/>
        </w:rPr>
        <w:t>ש</w:t>
      </w:r>
      <w:r>
        <w:rPr>
          <w:rFonts w:ascii="Arial" w:hAnsi="Arial"/>
          <w:noProof w:val="0"/>
          <w:rtl/>
        </w:rPr>
        <w:t>"</w:t>
      </w:r>
      <w:r>
        <w:rPr>
          <w:rFonts w:ascii="Arial" w:hAnsi="Arial" w:hint="cs"/>
          <w:noProof w:val="0"/>
          <w:rtl/>
        </w:rPr>
        <w:t>ח</w:t>
      </w:r>
      <w:r w:rsidRPr="000A7912">
        <w:rPr>
          <w:rFonts w:ascii="Arial" w:hAnsi="Arial" w:hint="cs"/>
          <w:noProof w:val="0"/>
          <w:rtl/>
        </w:rPr>
        <w:t xml:space="preserve"> שניתנה לנתבעים בשנת 2008 לצורך שיפוץ הבית (סעיף 7 לתצהיר) ומאחר שהלוואה זו לא הוחזרה, דרשו בטוחה כתנאי למתן הלוואה נוספת (סעיף 9 לתצהיר). </w:t>
      </w:r>
    </w:p>
    <w:p w14:paraId="19745F4F" w14:textId="77777777" w:rsidR="00D23D66" w:rsidRDefault="00000000" w:rsidP="00D23D66">
      <w:pPr>
        <w:pStyle w:val="1"/>
        <w:spacing w:after="120" w:line="360" w:lineRule="auto"/>
        <w:ind w:left="567"/>
        <w:contextualSpacing w:val="0"/>
        <w:jc w:val="both"/>
        <w:rPr>
          <w:rFonts w:ascii="Arial" w:hAnsi="Arial"/>
          <w:noProof w:val="0"/>
        </w:rPr>
      </w:pPr>
      <w:r w:rsidRPr="000A7912">
        <w:rPr>
          <w:rFonts w:ascii="Arial" w:hAnsi="Arial" w:hint="cs"/>
          <w:noProof w:val="0"/>
          <w:rtl/>
        </w:rPr>
        <w:t xml:space="preserve">בכתב התביעה ובתצהיר מפנה התובעת למסמכים אשר מהווים אסמכתא להעברת סכום ההלוואה הנטען בסך 50,000 </w:t>
      </w:r>
      <w:r>
        <w:rPr>
          <w:rFonts w:ascii="Arial" w:hAnsi="Arial" w:hint="cs"/>
          <w:noProof w:val="0"/>
          <w:rtl/>
        </w:rPr>
        <w:t>ש</w:t>
      </w:r>
      <w:r>
        <w:rPr>
          <w:rFonts w:ascii="Arial" w:hAnsi="Arial"/>
          <w:noProof w:val="0"/>
          <w:rtl/>
        </w:rPr>
        <w:t>"</w:t>
      </w:r>
      <w:r>
        <w:rPr>
          <w:rFonts w:ascii="Arial" w:hAnsi="Arial" w:hint="cs"/>
          <w:noProof w:val="0"/>
          <w:rtl/>
        </w:rPr>
        <w:t>ח</w:t>
      </w:r>
      <w:r w:rsidRPr="000A7912">
        <w:rPr>
          <w:rFonts w:ascii="Arial" w:hAnsi="Arial" w:hint="cs"/>
          <w:noProof w:val="0"/>
          <w:rtl/>
        </w:rPr>
        <w:t xml:space="preserve"> (התובעת הפנתה בתביעה לנספחים 5 ו-8). אולם עיון במסמכים שצורפו אינו מצביע על העברת הסכום הנטען</w:t>
      </w:r>
      <w:r w:rsidRPr="00680ED2">
        <w:rPr>
          <w:rFonts w:ascii="Arial" w:hAnsi="Arial" w:hint="cs"/>
          <w:b/>
          <w:bCs/>
          <w:noProof w:val="0"/>
          <w:rtl/>
        </w:rPr>
        <w:t>. למעשה, לאורך כל שלבי ההליך לא הוצגה העברה כספית בסכום של 50,000 ש</w:t>
      </w:r>
      <w:r w:rsidRPr="00680ED2">
        <w:rPr>
          <w:rFonts w:ascii="Arial" w:hAnsi="Arial"/>
          <w:b/>
          <w:bCs/>
          <w:noProof w:val="0"/>
          <w:rtl/>
        </w:rPr>
        <w:t>"</w:t>
      </w:r>
      <w:r w:rsidRPr="00680ED2">
        <w:rPr>
          <w:rFonts w:ascii="Arial" w:hAnsi="Arial" w:hint="cs"/>
          <w:b/>
          <w:bCs/>
          <w:noProof w:val="0"/>
          <w:rtl/>
        </w:rPr>
        <w:t>ח</w:t>
      </w:r>
      <w:r>
        <w:rPr>
          <w:rFonts w:ascii="Arial" w:hAnsi="Arial" w:hint="cs"/>
          <w:noProof w:val="0"/>
          <w:rtl/>
        </w:rPr>
        <w:t xml:space="preserve">, כך שאין ראיה לעצם הענקת ההלוואה הנטענת. </w:t>
      </w:r>
    </w:p>
    <w:p w14:paraId="20791E09"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 xml:space="preserve">בחקירת העדים נעשה ניסיון להבין מתי ואיך ניתנה ההלוואה הנטענת, אולם הגרסאות בענין זה לא היו סדורות ותואמות ולאחר שמיעת העדים התגבר הספק בענין זה. </w:t>
      </w:r>
    </w:p>
    <w:p w14:paraId="61820BEB" w14:textId="77777777" w:rsidR="00D23D66" w:rsidRDefault="00000000" w:rsidP="00D23D66">
      <w:pPr>
        <w:pStyle w:val="1"/>
        <w:spacing w:after="120" w:line="360" w:lineRule="auto"/>
        <w:ind w:left="567"/>
        <w:contextualSpacing w:val="0"/>
        <w:jc w:val="both"/>
        <w:rPr>
          <w:rFonts w:ascii="Arial" w:hAnsi="Arial"/>
          <w:noProof w:val="0"/>
        </w:rPr>
      </w:pPr>
      <w:r>
        <w:rPr>
          <w:rFonts w:ascii="Arial" w:hAnsi="Arial" w:hint="cs"/>
          <w:noProof w:val="0"/>
          <w:rtl/>
        </w:rPr>
        <w:t>אפרט:</w:t>
      </w:r>
    </w:p>
    <w:p w14:paraId="55102F9B" w14:textId="77777777" w:rsidR="00D23D66" w:rsidRPr="000A7912" w:rsidRDefault="00000000" w:rsidP="00D23D66">
      <w:pPr>
        <w:pStyle w:val="1"/>
        <w:spacing w:after="120" w:line="360" w:lineRule="auto"/>
        <w:ind w:left="567"/>
        <w:contextualSpacing w:val="0"/>
        <w:jc w:val="both"/>
        <w:rPr>
          <w:rFonts w:ascii="Arial" w:hAnsi="Arial"/>
          <w:noProof w:val="0"/>
        </w:rPr>
      </w:pPr>
      <w:r w:rsidRPr="000A7912">
        <w:rPr>
          <w:rFonts w:ascii="Arial" w:hAnsi="Arial" w:hint="cs"/>
          <w:noProof w:val="0"/>
          <w:rtl/>
        </w:rPr>
        <w:t xml:space="preserve">כאשר נשאל </w:t>
      </w:r>
      <w:r w:rsidRPr="000A7912">
        <w:rPr>
          <w:rFonts w:ascii="Arial" w:hAnsi="Arial" w:hint="cs"/>
          <w:b/>
          <w:bCs/>
          <w:noProof w:val="0"/>
          <w:rtl/>
        </w:rPr>
        <w:t>אביה של הנתבעת</w:t>
      </w:r>
      <w:r w:rsidRPr="000A7912">
        <w:rPr>
          <w:rFonts w:ascii="Arial" w:hAnsi="Arial" w:hint="cs"/>
          <w:noProof w:val="0"/>
          <w:rtl/>
        </w:rPr>
        <w:t>, בעלה של התובעת</w:t>
      </w:r>
      <w:r>
        <w:rPr>
          <w:rFonts w:ascii="Arial" w:hAnsi="Arial" w:hint="cs"/>
          <w:noProof w:val="0"/>
          <w:rtl/>
        </w:rPr>
        <w:t>,</w:t>
      </w:r>
      <w:r w:rsidRPr="000A7912">
        <w:rPr>
          <w:rFonts w:ascii="Arial" w:hAnsi="Arial" w:hint="cs"/>
          <w:noProof w:val="0"/>
          <w:rtl/>
        </w:rPr>
        <w:t xml:space="preserve"> לגבי מועד העברת הסכום הנטען</w:t>
      </w:r>
      <w:r>
        <w:rPr>
          <w:rFonts w:ascii="Arial" w:hAnsi="Arial" w:hint="cs"/>
          <w:noProof w:val="0"/>
          <w:rtl/>
        </w:rPr>
        <w:t xml:space="preserve">, </w:t>
      </w:r>
      <w:r w:rsidRPr="000A7912">
        <w:rPr>
          <w:rFonts w:ascii="Arial" w:hAnsi="Arial" w:hint="cs"/>
          <w:noProof w:val="0"/>
          <w:rtl/>
        </w:rPr>
        <w:t xml:space="preserve">ציין שהוא אינו זוכר לאן הופקד הסכום (עמ' 4, ש' 32-30 ועמ' 5, ש' 3-1). </w:t>
      </w:r>
    </w:p>
    <w:p w14:paraId="68FF2319" w14:textId="77777777" w:rsidR="00D23D66" w:rsidRDefault="00000000" w:rsidP="00D23D66">
      <w:pPr>
        <w:pStyle w:val="1"/>
        <w:spacing w:after="120" w:line="360" w:lineRule="auto"/>
        <w:ind w:left="567"/>
        <w:contextualSpacing w:val="0"/>
        <w:jc w:val="both"/>
        <w:rPr>
          <w:rFonts w:ascii="Arial" w:hAnsi="Arial"/>
          <w:noProof w:val="0"/>
          <w:rtl/>
        </w:rPr>
      </w:pPr>
      <w:r>
        <w:rPr>
          <w:rFonts w:ascii="Arial" w:hAnsi="Arial" w:hint="cs"/>
          <w:noProof w:val="0"/>
          <w:rtl/>
        </w:rPr>
        <w:t>בעדותה טענה</w:t>
      </w:r>
      <w:r w:rsidRPr="000A7912">
        <w:rPr>
          <w:rFonts w:ascii="Arial" w:hAnsi="Arial" w:hint="cs"/>
          <w:b/>
          <w:bCs/>
          <w:noProof w:val="0"/>
          <w:rtl/>
        </w:rPr>
        <w:t xml:space="preserve"> התובעת, </w:t>
      </w:r>
      <w:r>
        <w:rPr>
          <w:rFonts w:ascii="Arial" w:hAnsi="Arial" w:hint="cs"/>
          <w:noProof w:val="0"/>
          <w:rtl/>
        </w:rPr>
        <w:t xml:space="preserve">כי סכום זה הועבר </w:t>
      </w:r>
      <w:r w:rsidRPr="000A7912">
        <w:rPr>
          <w:rFonts w:ascii="Arial" w:hAnsi="Arial" w:hint="cs"/>
          <w:b/>
          <w:bCs/>
          <w:noProof w:val="0"/>
          <w:rtl/>
        </w:rPr>
        <w:t xml:space="preserve">במזומן </w:t>
      </w:r>
      <w:r>
        <w:rPr>
          <w:rFonts w:ascii="Arial" w:hAnsi="Arial" w:hint="cs"/>
          <w:noProof w:val="0"/>
          <w:rtl/>
        </w:rPr>
        <w:t>(עמ' 14, ש' 8-5). כאשר עומתה עם העובדה שנטען בתביעה ובתצהיר שמדובר בהעברה בנקאית ציינה, כי היא אינה זוכרת להיכן בוצעה ההפקדה וכי אינה יכולה להציג תיעוד של העברה כספית זו (ע' 15, ש' 33-26). התובעת ציינה, כי היא אינה זוכרת לאן הופקד הסכום הנטען (עמ' 16, ש' 11-8).</w:t>
      </w:r>
    </w:p>
    <w:p w14:paraId="1EF27576" w14:textId="77777777" w:rsidR="00D23D66" w:rsidRDefault="00000000" w:rsidP="00D23D66">
      <w:pPr>
        <w:pStyle w:val="1"/>
        <w:spacing w:after="120" w:line="360" w:lineRule="auto"/>
        <w:ind w:left="567"/>
        <w:contextualSpacing w:val="0"/>
        <w:jc w:val="both"/>
        <w:rPr>
          <w:rFonts w:ascii="Arial" w:hAnsi="Arial"/>
          <w:noProof w:val="0"/>
        </w:rPr>
      </w:pPr>
      <w:r w:rsidRPr="00B92CE9">
        <w:rPr>
          <w:rFonts w:ascii="Arial" w:hAnsi="Arial" w:hint="cs"/>
          <w:b/>
          <w:bCs/>
          <w:noProof w:val="0"/>
          <w:rtl/>
        </w:rPr>
        <w:t xml:space="preserve">הנתבעת </w:t>
      </w:r>
      <w:r>
        <w:rPr>
          <w:rFonts w:ascii="Arial" w:hAnsi="Arial" w:hint="cs"/>
          <w:noProof w:val="0"/>
          <w:rtl/>
        </w:rPr>
        <w:t>אישרה בעדותה שאין תיעוד להעברת הסכום האמור (עמ' 53, ש' 7-1).</w:t>
      </w:r>
    </w:p>
    <w:p w14:paraId="5691019D"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כך - לא הוצגה ראיה להעברת הסכום הנטען, לא הוצג תיעוד שניתן להסתמך עליו כדי לקבוע שאכן הועבר סכום של 50,000 ש</w:t>
      </w:r>
      <w:r>
        <w:rPr>
          <w:rFonts w:ascii="Arial" w:hAnsi="Arial"/>
          <w:noProof w:val="0"/>
          <w:rtl/>
        </w:rPr>
        <w:t>"</w:t>
      </w:r>
      <w:r>
        <w:rPr>
          <w:rFonts w:ascii="Arial" w:hAnsi="Arial" w:hint="cs"/>
          <w:noProof w:val="0"/>
          <w:rtl/>
        </w:rPr>
        <w:t xml:space="preserve">ח ולא הוצג תיעוד שמלמד על הענקת הלוואה במועד הנטען. מעבר להעדר התיעוד, גם הגרסאות של העדים אינן תואמות את הנטען ולא הוצגה גרסה סדורה ומהודקת ביחס למועד ההענקה של ההלוואה האמורה והאופן בו נמסרו הכספים. </w:t>
      </w:r>
    </w:p>
    <w:p w14:paraId="13F7C465" w14:textId="77777777" w:rsidR="00D23D66" w:rsidRPr="00DA5699" w:rsidRDefault="00000000" w:rsidP="00D23D66">
      <w:pPr>
        <w:pStyle w:val="1"/>
        <w:numPr>
          <w:ilvl w:val="0"/>
          <w:numId w:val="3"/>
        </w:numPr>
        <w:spacing w:after="120" w:line="360" w:lineRule="auto"/>
        <w:ind w:left="567" w:hanging="567"/>
        <w:jc w:val="both"/>
        <w:rPr>
          <w:rFonts w:ascii="Arial" w:hAnsi="Arial"/>
          <w:b/>
          <w:bCs/>
          <w:noProof w:val="0"/>
          <w:u w:val="single"/>
        </w:rPr>
      </w:pPr>
      <w:r w:rsidRPr="00DA5699">
        <w:rPr>
          <w:rFonts w:ascii="Arial" w:hAnsi="Arial" w:hint="cs"/>
          <w:b/>
          <w:bCs/>
          <w:noProof w:val="0"/>
          <w:u w:val="single"/>
          <w:rtl/>
        </w:rPr>
        <w:t>לא הוצג</w:t>
      </w:r>
      <w:r>
        <w:rPr>
          <w:rFonts w:ascii="Arial" w:hAnsi="Arial" w:hint="cs"/>
          <w:b/>
          <w:bCs/>
          <w:noProof w:val="0"/>
          <w:u w:val="single"/>
          <w:rtl/>
        </w:rPr>
        <w:t xml:space="preserve">ו ראיות לדרישת פירעון ההלוואה האמורה </w:t>
      </w:r>
    </w:p>
    <w:p w14:paraId="233620CC"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לטענת התובעת, מאחר שההלוואה בסך 50,000 ש</w:t>
      </w:r>
      <w:r>
        <w:rPr>
          <w:rFonts w:ascii="Arial" w:hAnsi="Arial"/>
          <w:noProof w:val="0"/>
          <w:rtl/>
        </w:rPr>
        <w:t>"</w:t>
      </w:r>
      <w:r>
        <w:rPr>
          <w:rFonts w:ascii="Arial" w:hAnsi="Arial" w:hint="cs"/>
          <w:noProof w:val="0"/>
          <w:rtl/>
        </w:rPr>
        <w:t xml:space="preserve">ח לא נפרעה, עמדו התובעת ובעלה על העברת בטוחה כתנאי להעמדת הלוואה נוספת ואולם, לא הוצגו ראיות לכך שפירעון ההלוואה נדרש; כי המלווים עמדו על הפירעון וכי נעשו ניסיונות לגבות את הסכומים. לא הובאו עדים שיכולים להעיד על הטענה ולא הוצגה התכתבות או מסכת נסיבות שמלמדת על ניסיון לגבות את הסכום משך השנים הרבות שחלפו ממועד הענקת ההלוואה לכאורה. </w:t>
      </w:r>
    </w:p>
    <w:p w14:paraId="6E94FE3C"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 xml:space="preserve">מעבר לקושי של קבלת הטענה בדבר הענקת ההלוואה האמורה בהעדר תיעוד לעצם מתן ההלוואה ובהעדר תיעוד לניסיונות גבייה של ההלוואה; החֵסֵר הראייתי מלמד על שיהוי, ויתור וזניחת הענין. כלומר, גם אם ניתנה הלוואה בשנת 2008, העובדה שמשך שנים רבות לא בוצעו פעולות לגבייתה והמלווים לא עמדו על פרעונה ולא הסדירו את תנאי השבתה מלמדת על ויתור או על שיהוי המקים מחסום. אציין, כי הנתבע טען להתיישנות החוב הנטען (זאת בצד הכחשה גורפת של עצם קיומו). איני נדרשת לדיון בטענת ההתיישנות, שכן ממילא לא הוצגה תשתית ראייתית לעצם קיומו של החוב, כך שאין צורך לדון בהתיישנותו אך אציין, כי יש ממש בטענות הנתבע בענין הקמת מחסום לתובעת גם מהטעם הזה. </w:t>
      </w:r>
    </w:p>
    <w:p w14:paraId="64EA329D" w14:textId="77777777" w:rsidR="00D23D66" w:rsidRPr="00014C24" w:rsidRDefault="00000000" w:rsidP="00D23D66">
      <w:pPr>
        <w:pStyle w:val="1"/>
        <w:numPr>
          <w:ilvl w:val="0"/>
          <w:numId w:val="3"/>
        </w:numPr>
        <w:spacing w:after="120" w:line="360" w:lineRule="auto"/>
        <w:ind w:left="567" w:hanging="567"/>
        <w:contextualSpacing w:val="0"/>
        <w:jc w:val="both"/>
        <w:rPr>
          <w:rFonts w:ascii="Arial" w:hAnsi="Arial"/>
          <w:b/>
          <w:bCs/>
          <w:noProof w:val="0"/>
          <w:u w:val="single"/>
        </w:rPr>
      </w:pPr>
      <w:r w:rsidRPr="00014C24">
        <w:rPr>
          <w:rFonts w:ascii="Arial" w:hAnsi="Arial" w:hint="cs"/>
          <w:b/>
          <w:bCs/>
          <w:noProof w:val="0"/>
          <w:u w:val="single"/>
          <w:rtl/>
        </w:rPr>
        <w:t>לא הוצגו ראיות לסיווג העברת סכום נטען כהלוואה במובחן ממתנה</w:t>
      </w:r>
      <w:r>
        <w:rPr>
          <w:rFonts w:ascii="Arial" w:hAnsi="Arial" w:hint="cs"/>
          <w:b/>
          <w:bCs/>
          <w:noProof w:val="0"/>
          <w:u w:val="single"/>
          <w:rtl/>
        </w:rPr>
        <w:t xml:space="preserve"> ולא נסתרה "חזקת המתנה" </w:t>
      </w:r>
      <w:r w:rsidRPr="00014C24">
        <w:rPr>
          <w:rFonts w:ascii="Arial" w:hAnsi="Arial" w:hint="cs"/>
          <w:b/>
          <w:bCs/>
          <w:noProof w:val="0"/>
          <w:u w:val="single"/>
          <w:rtl/>
        </w:rPr>
        <w:t xml:space="preserve"> </w:t>
      </w:r>
    </w:p>
    <w:p w14:paraId="07A4A3C1" w14:textId="65A2F173"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בכל הנוגע להעברת כספים בין בני משפחה קרובים מתקיימת חזקה, כי העברה ללא תמורה נעשית מתוך כוונה לתת מתנה. חזקה זו מתקיימת במקרים בהם טבעי להניח שמדובר במתנה למשל ביחסים בין הורים וילדים (</w:t>
      </w:r>
      <w:r w:rsidR="00414BB6" w:rsidRPr="006B03B9">
        <w:rPr>
          <w:rFonts w:ascii="Arial" w:hAnsi="Arial"/>
          <w:noProof w:val="0"/>
          <w:rtl/>
        </w:rPr>
        <w:t>ע"א 3829/91</w:t>
      </w:r>
      <w:r w:rsidRPr="006B03B9">
        <w:rPr>
          <w:rFonts w:ascii="Arial" w:hAnsi="Arial" w:hint="cs"/>
          <w:noProof w:val="0"/>
          <w:rtl/>
        </w:rPr>
        <w:t xml:space="preserve"> </w:t>
      </w:r>
      <w:r w:rsidRPr="004B31A4">
        <w:rPr>
          <w:rFonts w:ascii="Arial" w:hAnsi="Arial" w:hint="cs"/>
          <w:b/>
          <w:bCs/>
          <w:noProof w:val="0"/>
          <w:rtl/>
        </w:rPr>
        <w:t>וואלס נ' גת</w:t>
      </w:r>
      <w:r w:rsidRPr="004B31A4">
        <w:rPr>
          <w:rFonts w:ascii="Arial" w:hAnsi="Arial" w:hint="cs"/>
          <w:noProof w:val="0"/>
          <w:rtl/>
        </w:rPr>
        <w:t xml:space="preserve"> (10.9.2024)</w:t>
      </w:r>
      <w:r>
        <w:rPr>
          <w:rFonts w:ascii="Arial" w:hAnsi="Arial" w:hint="cs"/>
          <w:noProof w:val="0"/>
          <w:rtl/>
        </w:rPr>
        <w:t xml:space="preserve">). </w:t>
      </w:r>
    </w:p>
    <w:p w14:paraId="522ADA1C" w14:textId="59F83626" w:rsidR="00D23D66" w:rsidRDefault="00000000" w:rsidP="00D23D66">
      <w:pPr>
        <w:pStyle w:val="1"/>
        <w:spacing w:after="120" w:line="360" w:lineRule="auto"/>
        <w:ind w:left="567"/>
        <w:contextualSpacing w:val="0"/>
        <w:jc w:val="both"/>
        <w:rPr>
          <w:rFonts w:ascii="Arial" w:hAnsi="Arial"/>
          <w:noProof w:val="0"/>
        </w:rPr>
      </w:pPr>
      <w:r>
        <w:rPr>
          <w:rFonts w:ascii="Arial" w:hAnsi="Arial" w:hint="cs"/>
          <w:noProof w:val="0"/>
          <w:rtl/>
        </w:rPr>
        <w:t>בית המשפט העליון הבהיר, כי כאשר נדרש בית המשפט להכריע בשאלה האם יש לסווג כספים שקיבלו בני זוג מהוריהם כמתנה או הלוואה, נקודת המוצא היא שיש להחיל את "חזקת המתנה", כלומר להניח כי הכוונה היא להענקת מתנה לאור יחסי הקרבה. נקבע, כי אין במשבר בנישואין כדי להפוך מתנות להלוואות (</w:t>
      </w:r>
      <w:r w:rsidR="002E0C34" w:rsidRPr="006B03B9">
        <w:rPr>
          <w:rFonts w:ascii="Arial" w:hAnsi="Arial" w:hint="eastAsia"/>
          <w:noProof w:val="0"/>
          <w:rtl/>
        </w:rPr>
        <w:t>בגֵ</w:t>
      </w:r>
      <w:r w:rsidR="002E0C34" w:rsidRPr="006B03B9">
        <w:rPr>
          <w:rFonts w:ascii="Arial" w:hAnsi="Arial"/>
          <w:noProof w:val="0"/>
          <w:rtl/>
        </w:rPr>
        <w:t>"צ 1907/22</w:t>
      </w:r>
      <w:r>
        <w:rPr>
          <w:rFonts w:ascii="Arial" w:hAnsi="Arial" w:hint="cs"/>
          <w:noProof w:val="0"/>
          <w:rtl/>
        </w:rPr>
        <w:t xml:space="preserve"> </w:t>
      </w:r>
      <w:r>
        <w:rPr>
          <w:rFonts w:ascii="Arial" w:hAnsi="Arial" w:hint="cs"/>
          <w:b/>
          <w:bCs/>
          <w:noProof w:val="0"/>
          <w:rtl/>
        </w:rPr>
        <w:t xml:space="preserve">פלוני נ' פלונית </w:t>
      </w:r>
      <w:r>
        <w:rPr>
          <w:rFonts w:ascii="Arial" w:hAnsi="Arial" w:hint="cs"/>
          <w:noProof w:val="0"/>
          <w:rtl/>
        </w:rPr>
        <w:t xml:space="preserve">(12.6.2022). </w:t>
      </w:r>
    </w:p>
    <w:p w14:paraId="50FE4A73" w14:textId="1413241D"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"חזקת המתנה" בין הורים לילדיהם במהלך תקופת הנישואין היא חזקה הניתנת לסתירה, כאשר הנטל לסתירת החזקה מוטל על כתפי הנותן ועליו להוכיח כי היה ברור לכולם שמדובר בהלוואה שיש להחזירה ולא במתנה (</w:t>
      </w:r>
      <w:r w:rsidR="00414BB6" w:rsidRPr="006B03B9">
        <w:rPr>
          <w:rFonts w:ascii="Arial" w:hAnsi="Arial"/>
          <w:noProof w:val="0"/>
          <w:rtl/>
        </w:rPr>
        <w:t>תמ"ש (תל אביב-יפו) 15553-04-21</w:t>
      </w:r>
      <w:r w:rsidR="00414BB6">
        <w:rPr>
          <w:rFonts w:ascii="Arial" w:hAnsi="Arial"/>
          <w:noProof w:val="0"/>
          <w:rtl/>
        </w:rPr>
        <w:t xml:space="preserve"> </w:t>
      </w:r>
      <w:r w:rsidRPr="002B652B">
        <w:rPr>
          <w:rFonts w:ascii="Arial" w:hAnsi="Arial"/>
          <w:b/>
          <w:bCs/>
          <w:noProof w:val="0"/>
          <w:rtl/>
        </w:rPr>
        <w:t>האב</w:t>
      </w:r>
      <w:r w:rsidR="00414BB6">
        <w:rPr>
          <w:rFonts w:ascii="Arial" w:hAnsi="Arial"/>
          <w:b/>
          <w:bCs/>
          <w:noProof w:val="0"/>
          <w:rtl/>
        </w:rPr>
        <w:t xml:space="preserve"> </w:t>
      </w:r>
      <w:r w:rsidRPr="002B652B">
        <w:rPr>
          <w:rFonts w:ascii="Arial" w:hAnsi="Arial" w:hint="cs"/>
          <w:b/>
          <w:bCs/>
          <w:noProof w:val="0"/>
          <w:rtl/>
        </w:rPr>
        <w:t xml:space="preserve">נ' </w:t>
      </w:r>
      <w:r w:rsidRPr="002B652B">
        <w:rPr>
          <w:rFonts w:ascii="Arial" w:hAnsi="Arial"/>
          <w:b/>
          <w:bCs/>
          <w:noProof w:val="0"/>
          <w:rtl/>
        </w:rPr>
        <w:t>הבן</w:t>
      </w:r>
      <w:r>
        <w:rPr>
          <w:rFonts w:ascii="Arial" w:hAnsi="Arial" w:hint="cs"/>
          <w:b/>
          <w:bCs/>
          <w:noProof w:val="0"/>
          <w:rtl/>
        </w:rPr>
        <w:t xml:space="preserve"> </w:t>
      </w:r>
      <w:r>
        <w:rPr>
          <w:rFonts w:ascii="Arial" w:hAnsi="Arial" w:hint="cs"/>
          <w:noProof w:val="0"/>
          <w:rtl/>
        </w:rPr>
        <w:t xml:space="preserve">(24.7.2023)). </w:t>
      </w:r>
    </w:p>
    <w:p w14:paraId="467AF54B" w14:textId="7536A521"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סוג הראיות הנדרשות לצורך הפרכת החזקה, טיבן ומשקלן הוא תלוי נסיבות והן תיבחנה לאור נסיבות הענקת המתנה ומהותה. נקבע, כי הנטל מוגבר בהתאם לשווי המתנה וכי מערכת היחסים המשפחתית וסוג הקרבה תשפיע אף היא על היקף הראיות הנדרש, כאשר מדובר בהענקה מהורה או סב לילד או נכד, הנטל גבוה (</w:t>
      </w:r>
      <w:r w:rsidRPr="006B03B9">
        <w:rPr>
          <w:rFonts w:ascii="Arial" w:hAnsi="Arial" w:hint="cs"/>
          <w:noProof w:val="0"/>
          <w:rtl/>
        </w:rPr>
        <w:t xml:space="preserve">ראו </w:t>
      </w:r>
      <w:r w:rsidR="00414BB6" w:rsidRPr="006B03B9">
        <w:rPr>
          <w:rFonts w:ascii="Arial" w:hAnsi="Arial"/>
          <w:noProof w:val="0"/>
          <w:rtl/>
        </w:rPr>
        <w:t>תמ"ש (תל אביב יפו) 35951-12-14</w:t>
      </w:r>
      <w:r>
        <w:rPr>
          <w:rFonts w:ascii="Arial" w:hAnsi="Arial" w:hint="cs"/>
          <w:noProof w:val="0"/>
          <w:rtl/>
        </w:rPr>
        <w:t xml:space="preserve"> </w:t>
      </w:r>
      <w:r>
        <w:rPr>
          <w:rFonts w:ascii="Arial" w:hAnsi="Arial" w:hint="cs"/>
          <w:b/>
          <w:bCs/>
          <w:noProof w:val="0"/>
          <w:rtl/>
        </w:rPr>
        <w:t>ש.א. נ' א.ס</w:t>
      </w:r>
      <w:r w:rsidR="006B03B9">
        <w:rPr>
          <w:rFonts w:ascii="Arial" w:hAnsi="Arial" w:hint="cs"/>
          <w:b/>
          <w:bCs/>
          <w:noProof w:val="0"/>
          <w:rtl/>
        </w:rPr>
        <w:t>.</w:t>
      </w:r>
      <w:r w:rsidR="002E0C34">
        <w:rPr>
          <w:rFonts w:ascii="Arial" w:hAnsi="Arial" w:hint="cs"/>
          <w:b/>
          <w:bCs/>
          <w:noProof w:val="0"/>
          <w:rtl/>
        </w:rPr>
        <w:t xml:space="preserve"> </w:t>
      </w:r>
      <w:r>
        <w:rPr>
          <w:rFonts w:ascii="Arial" w:hAnsi="Arial" w:hint="cs"/>
          <w:noProof w:val="0"/>
          <w:rtl/>
        </w:rPr>
        <w:t xml:space="preserve">(14.12.2015). </w:t>
      </w:r>
    </w:p>
    <w:p w14:paraId="76211E14" w14:textId="77777777" w:rsidR="00D23D66" w:rsidRDefault="00414BB6" w:rsidP="00D23D66">
      <w:pPr>
        <w:pStyle w:val="1"/>
        <w:numPr>
          <w:ilvl w:val="0"/>
          <w:numId w:val="2"/>
        </w:numPr>
        <w:spacing w:after="120" w:line="360" w:lineRule="auto"/>
        <w:ind w:left="567" w:hanging="567"/>
        <w:contextualSpacing w:val="0"/>
        <w:jc w:val="both"/>
        <w:rPr>
          <w:rFonts w:ascii="Arial" w:hAnsi="Arial"/>
          <w:noProof w:val="0"/>
        </w:rPr>
      </w:pPr>
      <w:r w:rsidRPr="00414BB6">
        <w:rPr>
          <w:rFonts w:ascii="Arial" w:hAnsi="Arial"/>
          <w:noProof w:val="0"/>
          <w:color w:val="FFFFFF"/>
          <w:sz w:val="2"/>
          <w:szCs w:val="2"/>
          <w:rtl/>
        </w:rPr>
        <w:t>051293710</w:t>
      </w:r>
      <w:r w:rsidR="00000000">
        <w:rPr>
          <w:rFonts w:ascii="Arial" w:hAnsi="Arial" w:hint="cs"/>
          <w:noProof w:val="0"/>
          <w:rtl/>
        </w:rPr>
        <w:t xml:space="preserve">על כן, גם אם היה מוצג תיעוד לביצוע ההענקה הנטענת, היה על התובעת לעמוד בנטל המוטל עליה ולהוכיח שלא מדובר במתנה שניתנה במסגרת היחסים המשפחתיים וכתמיכה בנתבעים אלא כהלוואה. </w:t>
      </w:r>
    </w:p>
    <w:p w14:paraId="6F8BCB51" w14:textId="77777777" w:rsidR="00D23D66" w:rsidRDefault="00414BB6" w:rsidP="00D23D66">
      <w:pPr>
        <w:pStyle w:val="1"/>
        <w:spacing w:after="120" w:line="360" w:lineRule="auto"/>
        <w:ind w:left="567"/>
        <w:contextualSpacing w:val="0"/>
        <w:jc w:val="both"/>
        <w:rPr>
          <w:rFonts w:ascii="Arial" w:hAnsi="Arial"/>
          <w:noProof w:val="0"/>
        </w:rPr>
      </w:pPr>
      <w:r w:rsidRPr="00414BB6">
        <w:rPr>
          <w:rFonts w:ascii="Arial" w:hAnsi="Arial"/>
          <w:noProof w:val="0"/>
          <w:color w:val="FFFFFF"/>
          <w:sz w:val="2"/>
          <w:szCs w:val="2"/>
          <w:rtl/>
        </w:rPr>
        <w:t>054678313</w:t>
      </w:r>
      <w:r w:rsidR="00000000">
        <w:rPr>
          <w:rFonts w:ascii="Arial" w:hAnsi="Arial" w:hint="cs"/>
          <w:noProof w:val="0"/>
          <w:rtl/>
        </w:rPr>
        <w:t xml:space="preserve">אציין, כי הטענה שמדובר בכספים שניתנו לצורך שיפוץ דירת המגורים שנרכשה על ידי הנתבעים מחזקת את ההנחה בדבר קיומה של "חזקת המתנה" שכן מדובר בהענקה מקובלת ונהוגה במערכת היחסים של הורים - ילדים ומקובלת תמיכה כספית בסמוך לרכישת דירת מגורים לזוג צעיר. על כן, לאור התכלית שהוצגה להענקה; לאור סכום ההענקה; לאור הסמיכות לרכישת בית המגורים ושיפוצו; שעה שלא הוצגה דרישת השבה משך שנים רבות; שעה שלא הוצגה שום גרסה לגבי תנאי ההלוואה הנטענת וההסכמה ביחס למועד ההשבה - לא נסתרה חזקת המתנה. </w:t>
      </w:r>
    </w:p>
    <w:p w14:paraId="6103CB8C" w14:textId="77777777" w:rsidR="00D23D66" w:rsidRPr="00130E02" w:rsidRDefault="00000000" w:rsidP="00D23D66">
      <w:pPr>
        <w:pStyle w:val="1"/>
        <w:numPr>
          <w:ilvl w:val="0"/>
          <w:numId w:val="3"/>
        </w:numPr>
        <w:spacing w:after="120" w:line="360" w:lineRule="auto"/>
        <w:ind w:left="567" w:hanging="567"/>
        <w:contextualSpacing w:val="0"/>
        <w:jc w:val="both"/>
        <w:rPr>
          <w:rFonts w:ascii="Arial" w:hAnsi="Arial"/>
          <w:b/>
          <w:bCs/>
          <w:noProof w:val="0"/>
          <w:u w:val="single"/>
        </w:rPr>
      </w:pPr>
      <w:r w:rsidRPr="00130E02">
        <w:rPr>
          <w:rFonts w:ascii="Arial" w:hAnsi="Arial" w:hint="cs"/>
          <w:b/>
          <w:bCs/>
          <w:noProof w:val="0"/>
          <w:u w:val="single"/>
          <w:rtl/>
        </w:rPr>
        <w:t>סיכום ביניים:</w:t>
      </w:r>
    </w:p>
    <w:p w14:paraId="69A4B411"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אם כן, לסיכום נקודה זו - בהעדר תיעוד להעברת הסכום הנטען; לאור אי הבהירות ביחס לגרסאות שהוצגו לגבי מועד ואופן העמדת ההלוואה; בהעדר תיעוד לעמידה על החוב וניסיונות גבייה; לאור משך הזמן הממושך שחלף מבלי שבוצעו פעולות בענין בהקשר של שיהוי ובהקשר של ויתור ובהעדר טיעון מבוסס דיו כדי לסתור את "חזקת המתנה" - אני מורה על דחיית הטענה בדבר העמדת הלוואה בסך 50,000 ש</w:t>
      </w:r>
      <w:r>
        <w:rPr>
          <w:rFonts w:ascii="Arial" w:hAnsi="Arial"/>
          <w:noProof w:val="0"/>
          <w:rtl/>
        </w:rPr>
        <w:t>"</w:t>
      </w:r>
      <w:r>
        <w:rPr>
          <w:rFonts w:ascii="Arial" w:hAnsi="Arial" w:hint="cs"/>
          <w:noProof w:val="0"/>
          <w:rtl/>
        </w:rPr>
        <w:t xml:space="preserve">ח ועל דחיית טענותיה של התובעת לזכותה לגבות את הסכום האמור. </w:t>
      </w:r>
    </w:p>
    <w:p w14:paraId="6E9CD3D4" w14:textId="77777777" w:rsidR="00D23D66" w:rsidRPr="00130E02" w:rsidRDefault="00000000" w:rsidP="00D23D66">
      <w:pPr>
        <w:spacing w:after="120" w:line="360" w:lineRule="auto"/>
        <w:jc w:val="both"/>
        <w:rPr>
          <w:rFonts w:ascii="Arial" w:hAnsi="Arial"/>
          <w:b/>
          <w:bCs/>
          <w:noProof w:val="0"/>
          <w:u w:val="single"/>
          <w:rtl/>
        </w:rPr>
      </w:pPr>
      <w:r w:rsidRPr="00130E02">
        <w:rPr>
          <w:rFonts w:ascii="Arial" w:hAnsi="Arial" w:hint="cs"/>
          <w:b/>
          <w:bCs/>
          <w:noProof w:val="0"/>
          <w:rtl/>
        </w:rPr>
        <w:t>ב.</w:t>
      </w:r>
      <w:r>
        <w:rPr>
          <w:rFonts w:ascii="Arial" w:hAnsi="Arial" w:hint="cs"/>
          <w:b/>
          <w:bCs/>
          <w:noProof w:val="0"/>
          <w:rtl/>
        </w:rPr>
        <w:t>2.1</w:t>
      </w:r>
      <w:r w:rsidRPr="00130E02">
        <w:rPr>
          <w:rFonts w:ascii="Arial" w:hAnsi="Arial" w:hint="cs"/>
          <w:b/>
          <w:bCs/>
          <w:noProof w:val="0"/>
          <w:rtl/>
        </w:rPr>
        <w:t>.</w:t>
      </w:r>
      <w:r w:rsidRPr="00130E02">
        <w:rPr>
          <w:rFonts w:ascii="Arial" w:hAnsi="Arial"/>
          <w:b/>
          <w:bCs/>
          <w:noProof w:val="0"/>
          <w:rtl/>
        </w:rPr>
        <w:tab/>
      </w:r>
      <w:r w:rsidRPr="00130E02">
        <w:rPr>
          <w:rFonts w:ascii="Arial" w:hAnsi="Arial" w:hint="cs"/>
          <w:b/>
          <w:bCs/>
          <w:noProof w:val="0"/>
          <w:u w:val="single"/>
          <w:rtl/>
        </w:rPr>
        <w:t xml:space="preserve">דיון בטענות התובעת להעמדת הלוואה בסך </w:t>
      </w:r>
      <w:r>
        <w:rPr>
          <w:rFonts w:ascii="Arial" w:hAnsi="Arial" w:hint="cs"/>
          <w:b/>
          <w:bCs/>
          <w:noProof w:val="0"/>
          <w:u w:val="single"/>
          <w:rtl/>
        </w:rPr>
        <w:t>40,000 ש</w:t>
      </w:r>
      <w:r>
        <w:rPr>
          <w:rFonts w:ascii="Arial" w:hAnsi="Arial"/>
          <w:b/>
          <w:bCs/>
          <w:noProof w:val="0"/>
          <w:u w:val="single"/>
          <w:rtl/>
        </w:rPr>
        <w:t>"</w:t>
      </w:r>
      <w:r>
        <w:rPr>
          <w:rFonts w:ascii="Arial" w:hAnsi="Arial" w:hint="cs"/>
          <w:b/>
          <w:bCs/>
          <w:noProof w:val="0"/>
          <w:u w:val="single"/>
          <w:rtl/>
        </w:rPr>
        <w:t>ח בשנת 2016</w:t>
      </w:r>
    </w:p>
    <w:p w14:paraId="11775C30"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התובעת הציגה תיעוד להעברת סך של 40,000 ש</w:t>
      </w:r>
      <w:r>
        <w:rPr>
          <w:rFonts w:ascii="Arial" w:hAnsi="Arial"/>
          <w:noProof w:val="0"/>
          <w:rtl/>
        </w:rPr>
        <w:t>"</w:t>
      </w:r>
      <w:r>
        <w:rPr>
          <w:rFonts w:ascii="Arial" w:hAnsi="Arial" w:hint="cs"/>
          <w:noProof w:val="0"/>
          <w:rtl/>
        </w:rPr>
        <w:t xml:space="preserve">ח לידי הנתבעים במהלך שנת 2016, כאשר נטען שמדובר היה בהלוואה לצורך ביצוע ניתוח פלסטי ורכישת רכב שטח. הנתבע הציג תיעוד של העברת הסכום האמור לצורך ביצוע הניתוח הפלסטי. </w:t>
      </w:r>
    </w:p>
    <w:p w14:paraId="2B184DC5"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 xml:space="preserve">התיעוד שהוצג מבסס את הטענה בדבר העברת הסכום אולם לא הוצג שום תיעוד ולא הוצגה מערכת נסיבות שיש בה כדי לערער את החלתה של "חזקת המתנה". התובעת לא הציגה תיעוד לדרישת השבת הסכומים, לא הובאו ראיות לעמידה על השבה ואפילו לא נטען מה היה המועד שהוסכם להשבת הסכומים או תנאי ההשבה. </w:t>
      </w:r>
    </w:p>
    <w:p w14:paraId="5E6C381C"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 xml:space="preserve">אוסיף, כי התובעת טוענת שהתגלו בינה ובין הנתבעים מחלוקות לאחר שלא הושבה ההלוואה הראשונה הנטענת. ככל שכך אכן היה, מצופה היה שמתן ההלוואה הנוספת יוסדר באופן כלשהו והעדר כל הסדרה ולו מינימלית וכללית מבססת את ההנחה שמדובר היה במתנה. </w:t>
      </w:r>
    </w:p>
    <w:p w14:paraId="78B17730"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 xml:space="preserve">התובעת לא עמדה בנטל המוטל עליה לסתור את החזקה המתקיימת והעובדה שלא בוצעה שום דרישה של הסכום האמור אלא עד לאחר פרידת הצדדים מלמדת על סיווגה של ההענקה כמתנה. </w:t>
      </w:r>
    </w:p>
    <w:p w14:paraId="4B3677A7"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לקושי האמור אוסיף קושי נוסף הנובע מכך שבעת הגשת הבקשה לביצוע השטר נטען לחוב משנת 2018, כך שהתובעת עצמה לא סברה שיש חוב בשל הענקת סכום כלשהו במהלך שנת 2016.</w:t>
      </w:r>
    </w:p>
    <w:p w14:paraId="03992E65"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 xml:space="preserve">על כן, לאור ניתוח הדברים כאמור, אני דוחה את טענות התובעת לקיומן של הלוואות בסכומים הנטענים. </w:t>
      </w:r>
    </w:p>
    <w:p w14:paraId="26957B4F"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 xml:space="preserve">ניתן היה לסיים את הדיון בנקודה זו, שכן שעה שלא הוכחה הלוואה אין צורך לדון במעמדו של השטר שנטען שניתן כבטוחה ואין צורך לדון במעמדו ותוקפו; אולם לאור המשמעות של החזקה בשטר ומאחר שחלק נכבד מההליך הושקע בטענות אלה, אדרש בקצרה גם ליתר הטענות. </w:t>
      </w:r>
    </w:p>
    <w:p w14:paraId="4FA85C64" w14:textId="77777777" w:rsidR="00D23D66" w:rsidRPr="00265E9B" w:rsidRDefault="00000000" w:rsidP="00D23D66">
      <w:pPr>
        <w:spacing w:after="120" w:line="360" w:lineRule="auto"/>
        <w:ind w:left="567" w:hanging="567"/>
        <w:jc w:val="both"/>
        <w:rPr>
          <w:rFonts w:ascii="Arial" w:hAnsi="Arial"/>
          <w:b/>
          <w:bCs/>
          <w:noProof w:val="0"/>
          <w:u w:val="single"/>
        </w:rPr>
      </w:pPr>
      <w:r w:rsidRPr="00265E9B">
        <w:rPr>
          <w:rFonts w:ascii="Arial" w:hAnsi="Arial" w:hint="cs"/>
          <w:b/>
          <w:bCs/>
          <w:noProof w:val="0"/>
          <w:rtl/>
        </w:rPr>
        <w:t xml:space="preserve">ב.2. </w:t>
      </w:r>
      <w:r w:rsidRPr="00265E9B">
        <w:rPr>
          <w:rFonts w:ascii="Arial" w:hAnsi="Arial"/>
          <w:b/>
          <w:bCs/>
          <w:noProof w:val="0"/>
          <w:rtl/>
        </w:rPr>
        <w:tab/>
      </w:r>
      <w:r>
        <w:rPr>
          <w:rFonts w:ascii="Arial" w:hAnsi="Arial" w:hint="cs"/>
          <w:b/>
          <w:bCs/>
          <w:noProof w:val="0"/>
          <w:u w:val="single"/>
          <w:rtl/>
        </w:rPr>
        <w:t>טענת התובעת ל</w:t>
      </w:r>
      <w:r w:rsidRPr="00265E9B">
        <w:rPr>
          <w:rFonts w:ascii="Arial" w:hAnsi="Arial" w:hint="cs"/>
          <w:b/>
          <w:bCs/>
          <w:noProof w:val="0"/>
          <w:u w:val="single"/>
          <w:rtl/>
        </w:rPr>
        <w:t>מסירת השטר כבטוחה לפ</w:t>
      </w:r>
      <w:r>
        <w:rPr>
          <w:rFonts w:ascii="Arial" w:hAnsi="Arial" w:hint="cs"/>
          <w:b/>
          <w:bCs/>
          <w:noProof w:val="0"/>
          <w:u w:val="single"/>
          <w:rtl/>
        </w:rPr>
        <w:t>י</w:t>
      </w:r>
      <w:r w:rsidRPr="00265E9B">
        <w:rPr>
          <w:rFonts w:ascii="Arial" w:hAnsi="Arial" w:hint="cs"/>
          <w:b/>
          <w:bCs/>
          <w:noProof w:val="0"/>
          <w:u w:val="single"/>
          <w:rtl/>
        </w:rPr>
        <w:t>רעון ההלוואות</w:t>
      </w:r>
    </w:p>
    <w:p w14:paraId="08ED483D"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 xml:space="preserve">התובעת טענה, כי השטר נמסר כבטוחה לפירעון ההלוואות הנטענות וזאת לאור הימנעות הנתבעים מהשבת ההלוואה הראשונה הנטענת. </w:t>
      </w:r>
    </w:p>
    <w:p w14:paraId="11F912D2"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טיעון זה האינו ברור. ככל שבעקבות קושי לגבות את החזר ההלוואה הראשונה משנת 2008 החליטו התובעת ובעלה להתנות מתן הלוואה נוספת בהעמדת בטוחה, כיצד יתכן שניתנה הלוואה על סך 60,000 ש</w:t>
      </w:r>
      <w:r>
        <w:rPr>
          <w:rFonts w:ascii="Arial" w:hAnsi="Arial"/>
          <w:noProof w:val="0"/>
          <w:rtl/>
        </w:rPr>
        <w:t>"</w:t>
      </w:r>
      <w:r>
        <w:rPr>
          <w:rFonts w:ascii="Arial" w:hAnsi="Arial" w:hint="cs"/>
          <w:noProof w:val="0"/>
          <w:rtl/>
        </w:rPr>
        <w:t xml:space="preserve">ח בחודש דצמבר, 2014 ללא כל בטוחה? </w:t>
      </w:r>
    </w:p>
    <w:p w14:paraId="1B53C0C8" w14:textId="77777777" w:rsidR="00D23D66" w:rsidRDefault="00000000" w:rsidP="00D23D66">
      <w:pPr>
        <w:pStyle w:val="1"/>
        <w:spacing w:after="120" w:line="360" w:lineRule="auto"/>
        <w:ind w:left="567"/>
        <w:contextualSpacing w:val="0"/>
        <w:jc w:val="both"/>
        <w:rPr>
          <w:rFonts w:ascii="Arial" w:hAnsi="Arial"/>
          <w:noProof w:val="0"/>
          <w:rtl/>
        </w:rPr>
      </w:pPr>
      <w:r>
        <w:rPr>
          <w:rFonts w:ascii="Arial" w:hAnsi="Arial" w:hint="cs"/>
          <w:noProof w:val="0"/>
          <w:rtl/>
        </w:rPr>
        <w:t xml:space="preserve">יתר על כן, מעדותה של התובעת עולה, כי פנקס ההמחאות ממנו נלקח השטר הונפק בחודש מאי 2017 (סעיף 25 לתצהיר). אם כן, גם ההלוואה השניה הנטענת, הלוואה משנת 2016 על סך 40,000 ש"ח, ניתנה מבלי שהועמדה בטוחה. </w:t>
      </w:r>
    </w:p>
    <w:p w14:paraId="77177EDC" w14:textId="77777777" w:rsidR="00D23D66" w:rsidRDefault="00000000" w:rsidP="00D23D66">
      <w:pPr>
        <w:pStyle w:val="1"/>
        <w:spacing w:after="120" w:line="360" w:lineRule="auto"/>
        <w:ind w:left="567"/>
        <w:contextualSpacing w:val="0"/>
        <w:jc w:val="both"/>
        <w:rPr>
          <w:rFonts w:ascii="Arial" w:hAnsi="Arial"/>
          <w:noProof w:val="0"/>
          <w:rtl/>
        </w:rPr>
      </w:pPr>
      <w:r>
        <w:rPr>
          <w:rFonts w:ascii="Arial" w:hAnsi="Arial" w:hint="cs"/>
          <w:noProof w:val="0"/>
          <w:rtl/>
        </w:rPr>
        <w:t xml:space="preserve">בהקשר זה טענו התובעת והנתבעת כי הובטח שתימסר המחאה בהמשך. אולם יש קושי עם גרסה זו, שכן אילו אכן ההחלטה להתנות הלוואה בבטוחה התקבלה לאור ניסיונם המר של הצדדים בעבר, כיצד יתכן שניתנה הלוואה נוספת מבלי שהדברים יוסדרו ובטרם הוצגה בטוחה? </w:t>
      </w:r>
    </w:p>
    <w:p w14:paraId="5B6AC5B1" w14:textId="77777777" w:rsidR="00D23D66" w:rsidRDefault="00000000" w:rsidP="00D23D66">
      <w:pPr>
        <w:pStyle w:val="1"/>
        <w:spacing w:after="120" w:line="360" w:lineRule="auto"/>
        <w:ind w:left="567"/>
        <w:contextualSpacing w:val="0"/>
        <w:jc w:val="both"/>
        <w:rPr>
          <w:rFonts w:ascii="Arial" w:hAnsi="Arial"/>
          <w:noProof w:val="0"/>
          <w:rtl/>
        </w:rPr>
      </w:pPr>
      <w:r>
        <w:rPr>
          <w:rFonts w:ascii="Arial" w:hAnsi="Arial" w:hint="cs"/>
          <w:noProof w:val="0"/>
          <w:rtl/>
        </w:rPr>
        <w:t xml:space="preserve">אציין, כי בהקשר זה העידה התובעת, כי ההמחאה נמסרה לה בערך </w:t>
      </w:r>
      <w:r w:rsidRPr="004D29AA">
        <w:rPr>
          <w:rFonts w:ascii="Arial" w:hAnsi="Arial" w:hint="cs"/>
          <w:noProof w:val="0"/>
          <w:u w:val="single"/>
          <w:rtl/>
        </w:rPr>
        <w:t>שנתיים וחצי</w:t>
      </w:r>
      <w:r>
        <w:rPr>
          <w:rFonts w:ascii="Arial" w:hAnsi="Arial" w:hint="cs"/>
          <w:noProof w:val="0"/>
          <w:rtl/>
        </w:rPr>
        <w:t xml:space="preserve"> לאחר ההלוואה הנטענת השניה (עמ' 23, ש' 5), כך שההמחאה לא ניתנה בסמוך למתן ההלוואה. </w:t>
      </w:r>
    </w:p>
    <w:p w14:paraId="2A2EF63D" w14:textId="77777777" w:rsidR="00D23D66" w:rsidRDefault="00000000" w:rsidP="00D23D66">
      <w:pPr>
        <w:pStyle w:val="1"/>
        <w:spacing w:after="120" w:line="360" w:lineRule="auto"/>
        <w:ind w:left="567"/>
        <w:contextualSpacing w:val="0"/>
        <w:jc w:val="both"/>
        <w:rPr>
          <w:rFonts w:ascii="Arial" w:hAnsi="Arial"/>
          <w:noProof w:val="0"/>
          <w:rtl/>
        </w:rPr>
      </w:pPr>
      <w:r>
        <w:rPr>
          <w:rFonts w:ascii="Arial" w:hAnsi="Arial" w:hint="cs"/>
          <w:noProof w:val="0"/>
          <w:rtl/>
        </w:rPr>
        <w:t>אוסיף, כי התובעת והנתבעת טענו שהובטח שההלוואה תיפרע מתוך קרן השתלמות כך שקיימת היתה בטוחה לפירעון וככל שהדרישה היתה לשטר כבטוחה עד לפירעון מתוך קרן ההשתלמות, כיצד  יתכן שלא נתחם המועד להעברת השטר ולא נקבעה מסגרת זמנים בהתאמה לנזילות הקרן?</w:t>
      </w:r>
    </w:p>
    <w:p w14:paraId="66A93AF4"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אזכיר, כי הטענה שהשטר נמסר כבטוחה לפירעו</w:t>
      </w:r>
      <w:r>
        <w:rPr>
          <w:rFonts w:ascii="Arial" w:hAnsi="Arial" w:hint="eastAsia"/>
          <w:noProof w:val="0"/>
          <w:rtl/>
        </w:rPr>
        <w:t>ן</w:t>
      </w:r>
      <w:r>
        <w:rPr>
          <w:rFonts w:ascii="Arial" w:hAnsi="Arial" w:hint="cs"/>
          <w:noProof w:val="0"/>
          <w:rtl/>
        </w:rPr>
        <w:t xml:space="preserve"> ההלוואות הנטענות אינה תואמת את הנטען בבקשת הביצוע של השטר, שם נטען כי מדובר בהמחאת בטחון לפירעון הלוואה משנת 2018, כך שלא ניתן לקבל את הטענה כי מדובר בבטוחה להלוואה משנת 2016 והקושי בענין זה מתעצם לאור טענת התובעת בדבר מסירת ההמחאה לביטחון בשנת 2017, כלומר בהתאם לטענות התובעת עצמה, השטר נמסר לפני המועד בו ניתנה ההלוואה שצוינה בבקשת הביצוע, כך שלא ברור כיצד יתכן שמדובר בבטוחה להלוואה הנטענת בבקשת הביצוע. </w:t>
      </w:r>
    </w:p>
    <w:p w14:paraId="054796B5"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u w:val="single"/>
        </w:rPr>
      </w:pPr>
      <w:r w:rsidRPr="00A95BAD">
        <w:rPr>
          <w:rFonts w:ascii="Arial" w:hAnsi="Arial" w:hint="cs"/>
          <w:noProof w:val="0"/>
          <w:rtl/>
        </w:rPr>
        <w:t xml:space="preserve">כאשר נשאלה התובעת בענין זה בקדם המשפט ועומתה עם העדר העקביות בין הטענות בבקשת הביצוע והתביעה לא הוצג מענה סדור והתובעת לא ידעה להשיב מדוע יש שוני בטענות בשלבים השונים (עמ' 53, ש' 12 וכן ש' 24-18). </w:t>
      </w:r>
    </w:p>
    <w:p w14:paraId="266D5F18"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sidRPr="00A95BAD">
        <w:rPr>
          <w:rFonts w:ascii="Arial" w:hAnsi="Arial" w:hint="cs"/>
          <w:noProof w:val="0"/>
          <w:rtl/>
        </w:rPr>
        <w:t xml:space="preserve">אוסיף, כי גם עדותה של הנתבעת בהקשר זה לא היתה עקבית - הנתבעת העידה, כי פנקס ההמחאות הוזמן ביום 3.5.2017 ונחתם על ידיה במהלך השנים 2018-2017 (עמ' 65, ש' 15-7). </w:t>
      </w:r>
    </w:p>
    <w:p w14:paraId="4CE5DE2E" w14:textId="77777777" w:rsidR="00D23D66" w:rsidRDefault="00000000" w:rsidP="00D23D66">
      <w:pPr>
        <w:pStyle w:val="1"/>
        <w:spacing w:after="120" w:line="360" w:lineRule="auto"/>
        <w:ind w:left="567"/>
        <w:contextualSpacing w:val="0"/>
        <w:jc w:val="both"/>
        <w:rPr>
          <w:rFonts w:ascii="Arial" w:hAnsi="Arial"/>
          <w:noProof w:val="0"/>
        </w:rPr>
      </w:pPr>
      <w:r w:rsidRPr="00A95BAD">
        <w:rPr>
          <w:rFonts w:ascii="Arial" w:hAnsi="Arial" w:hint="cs"/>
          <w:noProof w:val="0"/>
          <w:rtl/>
        </w:rPr>
        <w:t>כאשר עומתה הנתבעת עם הטענה בתצהיר כי ההמחאה נמסרה לקראת הניתוח</w:t>
      </w:r>
      <w:r>
        <w:rPr>
          <w:rFonts w:ascii="Arial" w:hAnsi="Arial" w:hint="cs"/>
          <w:noProof w:val="0"/>
          <w:rtl/>
        </w:rPr>
        <w:t xml:space="preserve"> הפלסטי</w:t>
      </w:r>
      <w:r w:rsidRPr="00A95BAD">
        <w:rPr>
          <w:rFonts w:ascii="Arial" w:hAnsi="Arial" w:hint="cs"/>
          <w:noProof w:val="0"/>
          <w:rtl/>
        </w:rPr>
        <w:t xml:space="preserve"> והניתוח התקיים בשנת 2016 השיבה שהתכוונה כי ההלוואה ניתנה במועד האמור (עמ' 69, ש' 25-17). </w:t>
      </w:r>
      <w:r>
        <w:rPr>
          <w:rFonts w:ascii="Arial" w:hAnsi="Arial" w:hint="cs"/>
          <w:noProof w:val="0"/>
          <w:rtl/>
        </w:rPr>
        <w:t xml:space="preserve">כלומר גם הטענות לגבי מועד מסירת השטר לידי המחזיקה אינן עקביות. </w:t>
      </w:r>
    </w:p>
    <w:p w14:paraId="298968F9"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sidRPr="001B2F8F">
        <w:rPr>
          <w:rFonts w:ascii="Arial" w:hAnsi="Arial" w:hint="cs"/>
          <w:noProof w:val="0"/>
          <w:rtl/>
        </w:rPr>
        <w:t>לשורת הקשיים בדבר טענת התובעת בדבר היות השטר בטוחה לפירעו</w:t>
      </w:r>
      <w:r w:rsidRPr="001B2F8F">
        <w:rPr>
          <w:rFonts w:ascii="Arial" w:hAnsi="Arial" w:hint="eastAsia"/>
          <w:noProof w:val="0"/>
          <w:rtl/>
        </w:rPr>
        <w:t>ן</w:t>
      </w:r>
      <w:r w:rsidRPr="001B2F8F">
        <w:rPr>
          <w:rFonts w:ascii="Arial" w:hAnsi="Arial" w:hint="cs"/>
          <w:noProof w:val="0"/>
          <w:rtl/>
        </w:rPr>
        <w:t xml:space="preserve"> הלוואות מתווספת טענת הנתבע בדבר מועד משיכת ההמחאה שכן הוצג תיעוד לכך שההמחאות הקודמות לשטר נמשכו בחלקה הראשון של שנת 2019, כך שלא יתכן שנמסרה המחאה במועד זה לצורך הבטחת הלוואה משנת 2008 ומשנת 2016</w:t>
      </w:r>
      <w:r>
        <w:rPr>
          <w:rFonts w:ascii="Arial" w:hAnsi="Arial" w:hint="cs"/>
          <w:noProof w:val="0"/>
          <w:rtl/>
        </w:rPr>
        <w:t xml:space="preserve">. </w:t>
      </w:r>
    </w:p>
    <w:p w14:paraId="178CDF44" w14:textId="77777777" w:rsidR="00D23D66" w:rsidRPr="001B2F8F" w:rsidRDefault="00000000" w:rsidP="00D23D66">
      <w:pPr>
        <w:pStyle w:val="1"/>
        <w:numPr>
          <w:ilvl w:val="0"/>
          <w:numId w:val="2"/>
        </w:numPr>
        <w:spacing w:after="120" w:line="360" w:lineRule="auto"/>
        <w:ind w:left="567" w:hanging="567"/>
        <w:contextualSpacing w:val="0"/>
        <w:jc w:val="both"/>
        <w:rPr>
          <w:rFonts w:ascii="Arial" w:hAnsi="Arial"/>
          <w:noProof w:val="0"/>
          <w:rtl/>
        </w:rPr>
      </w:pPr>
      <w:r>
        <w:rPr>
          <w:rFonts w:ascii="Arial" w:hAnsi="Arial" w:hint="cs"/>
          <w:noProof w:val="0"/>
          <w:rtl/>
        </w:rPr>
        <w:t>ה</w:t>
      </w:r>
      <w:r w:rsidRPr="001B2F8F">
        <w:rPr>
          <w:rFonts w:ascii="Arial" w:hAnsi="Arial" w:hint="cs"/>
          <w:noProof w:val="0"/>
          <w:rtl/>
        </w:rPr>
        <w:t xml:space="preserve">נתבע העיד, כי הוא הזמין את הפנקסים, שמר אותם אצלו </w:t>
      </w:r>
      <w:r>
        <w:rPr>
          <w:rFonts w:ascii="Arial" w:hAnsi="Arial" w:hint="cs"/>
          <w:noProof w:val="0"/>
          <w:rtl/>
        </w:rPr>
        <w:t xml:space="preserve">במגירה לצורך </w:t>
      </w:r>
      <w:r w:rsidRPr="001B2F8F">
        <w:rPr>
          <w:rFonts w:ascii="Arial" w:hAnsi="Arial" w:hint="cs"/>
          <w:noProof w:val="0"/>
          <w:rtl/>
        </w:rPr>
        <w:t>תשלום על חוגים בלבד (עמ' 84, ש' 15-1). הנתבע העיד שהוא ז</w:t>
      </w:r>
      <w:r>
        <w:rPr>
          <w:rFonts w:ascii="Arial" w:hAnsi="Arial" w:hint="cs"/>
          <w:noProof w:val="0"/>
          <w:rtl/>
        </w:rPr>
        <w:t>וכ</w:t>
      </w:r>
      <w:r w:rsidRPr="001B2F8F">
        <w:rPr>
          <w:rFonts w:ascii="Arial" w:hAnsi="Arial" w:hint="cs"/>
          <w:noProof w:val="0"/>
          <w:rtl/>
        </w:rPr>
        <w:t xml:space="preserve">ר איפה אוחסן הפנקס כאשר עזב את הבית, הסביר שהפנקס שימש לתשלום לחוג </w:t>
      </w:r>
      <w:r>
        <w:rPr>
          <w:rFonts w:ascii="Arial" w:hAnsi="Arial" w:hint="cs"/>
          <w:noProof w:val="0"/>
          <w:rtl/>
        </w:rPr>
        <w:t xml:space="preserve">בלבד </w:t>
      </w:r>
      <w:r w:rsidRPr="001B2F8F">
        <w:rPr>
          <w:rFonts w:ascii="Arial" w:hAnsi="Arial" w:hint="cs"/>
          <w:noProof w:val="0"/>
          <w:rtl/>
        </w:rPr>
        <w:t xml:space="preserve">ושההמחאות שקדמו להמחאה זו נמסרו לצורך </w:t>
      </w:r>
      <w:r>
        <w:rPr>
          <w:rFonts w:ascii="Arial" w:hAnsi="Arial" w:hint="cs"/>
          <w:noProof w:val="0"/>
          <w:rtl/>
        </w:rPr>
        <w:t>ה</w:t>
      </w:r>
      <w:r w:rsidRPr="001B2F8F">
        <w:rPr>
          <w:rFonts w:ascii="Arial" w:hAnsi="Arial" w:hint="cs"/>
          <w:noProof w:val="0"/>
          <w:rtl/>
        </w:rPr>
        <w:t xml:space="preserve">תשלום לחוג במהלך שנת 2019, כך שלא יתכן שההמחאה נחתמה בשנת 2017 (עמ' 86, ש' 9 </w:t>
      </w:r>
      <w:r>
        <w:rPr>
          <w:rFonts w:ascii="Arial" w:hAnsi="Arial" w:hint="cs"/>
          <w:noProof w:val="0"/>
          <w:rtl/>
        </w:rPr>
        <w:t xml:space="preserve">- </w:t>
      </w:r>
      <w:r w:rsidRPr="001B2F8F">
        <w:rPr>
          <w:rFonts w:ascii="Arial" w:hAnsi="Arial" w:hint="cs"/>
          <w:noProof w:val="0"/>
          <w:rtl/>
        </w:rPr>
        <w:t>עמ' 93, ש' 21)</w:t>
      </w:r>
      <w:r>
        <w:rPr>
          <w:rFonts w:ascii="Arial" w:hAnsi="Arial" w:hint="cs"/>
          <w:noProof w:val="0"/>
          <w:rtl/>
        </w:rPr>
        <w:t xml:space="preserve">. אני סבורה שהטענה שהציגה הנתבעת בעדותה, כי נמסרה המחאה אקראית מאמצע פנקס במהלך שנת 2017 וההמחאות הקודמות לה נמסרו בשנת 2019 בחודשים עוקבים היא פחות מסתברת מההנחה שהמחאות נמסרות מהפנקס בסדר עוקב, כך שההמחאה הראשונה בפנקס נמסרת ראשונה וכך הלאה. פחות סביר שימוש בהמחאה מאמצע הפנקס והדברים גם פחות מסתדרים לאור תאריך משיכת ההמחאה והסמיכות למועד בו כתבה הנתבעת לתובע, כי היא "פיזרה המחאות" מתוך החשבון המשותף. </w:t>
      </w:r>
    </w:p>
    <w:p w14:paraId="125E0022"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 xml:space="preserve">אם כן, לסיכום ענין זה ותוך הדגשה שממילא לא הוכחה הטענה בדבר מתן ההלוואות, אני דוחה את טענות התובעת בדבר החזקתה בשטר שניתן כבטוחה לפירעון הלוואה/ות בשל אי התאמה בתאריכי ההלוואות הנטענות (אשר לא הוכחו) ומועד מתן השטר ולאור העדר התאמה בין הטענות ביחס להלוואה לגביה ניתן השטר במסגרת בקשת ביצוע השטר והטענות שהוצגו לאחר שניתנה רשות להתגונן. </w:t>
      </w:r>
    </w:p>
    <w:p w14:paraId="3B37D651" w14:textId="77777777" w:rsidR="00D23D66" w:rsidRPr="001B2F8F" w:rsidRDefault="00000000" w:rsidP="00D23D66">
      <w:pPr>
        <w:spacing w:after="120" w:line="360" w:lineRule="auto"/>
        <w:ind w:left="567" w:hanging="567"/>
        <w:jc w:val="both"/>
        <w:rPr>
          <w:rFonts w:ascii="Arial" w:hAnsi="Arial"/>
          <w:b/>
          <w:bCs/>
          <w:noProof w:val="0"/>
          <w:u w:val="single"/>
          <w:rtl/>
        </w:rPr>
      </w:pPr>
      <w:r w:rsidRPr="001B2F8F">
        <w:rPr>
          <w:rFonts w:ascii="Arial" w:hAnsi="Arial" w:hint="cs"/>
          <w:b/>
          <w:bCs/>
          <w:noProof w:val="0"/>
          <w:rtl/>
        </w:rPr>
        <w:t>ב.3.</w:t>
      </w:r>
      <w:r w:rsidRPr="001B2F8F">
        <w:rPr>
          <w:rFonts w:ascii="Arial" w:hAnsi="Arial"/>
          <w:b/>
          <w:bCs/>
          <w:noProof w:val="0"/>
          <w:rtl/>
        </w:rPr>
        <w:tab/>
      </w:r>
      <w:r>
        <w:rPr>
          <w:rFonts w:ascii="Arial" w:hAnsi="Arial" w:hint="cs"/>
          <w:b/>
          <w:bCs/>
          <w:noProof w:val="0"/>
          <w:u w:val="single"/>
          <w:rtl/>
        </w:rPr>
        <w:t xml:space="preserve">טענת הנתבע לזיוף החתימה על השטר וטענת התובעת, כי חתימת השטר על ידי הנתבעת יוצרת חיוב תקף </w:t>
      </w:r>
    </w:p>
    <w:p w14:paraId="6825C394"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sidRPr="007869A2">
        <w:rPr>
          <w:rFonts w:ascii="Arial" w:hAnsi="Arial" w:hint="cs"/>
          <w:noProof w:val="0"/>
          <w:rtl/>
        </w:rPr>
        <w:t xml:space="preserve">בבקשה לביצוע השטר ציינה התובעת כי ההמחאה נחתמה על ידי בעל החשבון. בהתאם לפרטי השטר בעל החשבון הוא הנתבע. </w:t>
      </w:r>
      <w:r>
        <w:rPr>
          <w:rFonts w:ascii="Arial" w:hAnsi="Arial" w:hint="cs"/>
          <w:noProof w:val="0"/>
          <w:rtl/>
        </w:rPr>
        <w:t xml:space="preserve">בהתאם, הבקשה לביצוע השטר הוגשה רק נגד הנתבע בהיותו, כך נטען, החייב. </w:t>
      </w:r>
    </w:p>
    <w:p w14:paraId="0BCD0306"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במסגרת ההליך טענו התובעת והנתבעת כי מדובר בהלוואות שניתנו לנתבעים במשותף.</w:t>
      </w:r>
    </w:p>
    <w:p w14:paraId="52F9B321" w14:textId="77777777" w:rsidR="00D23D66" w:rsidRPr="007869A2" w:rsidRDefault="00000000" w:rsidP="00D23D66">
      <w:pPr>
        <w:pStyle w:val="1"/>
        <w:spacing w:after="120" w:line="360" w:lineRule="auto"/>
        <w:ind w:left="567"/>
        <w:contextualSpacing w:val="0"/>
        <w:jc w:val="both"/>
        <w:rPr>
          <w:rFonts w:ascii="Arial" w:hAnsi="Arial"/>
          <w:noProof w:val="0"/>
        </w:rPr>
      </w:pPr>
      <w:r>
        <w:rPr>
          <w:rFonts w:ascii="Arial" w:hAnsi="Arial" w:hint="cs"/>
          <w:noProof w:val="0"/>
          <w:rtl/>
        </w:rPr>
        <w:t xml:space="preserve">התובעת אישרה כי ההמחאה נמסרה לה על ידי הנתבעת (עמ' 53, ש' 30) ונטען, כי השטר נמשך מחשבון משותף וכי החיוב נעשה על ידי </w:t>
      </w:r>
      <w:r w:rsidRPr="002E6F78">
        <w:rPr>
          <w:rFonts w:ascii="Arial" w:hAnsi="Arial" w:hint="cs"/>
          <w:b/>
          <w:bCs/>
          <w:noProof w:val="0"/>
          <w:rtl/>
        </w:rPr>
        <w:t xml:space="preserve">הנתבעת </w:t>
      </w:r>
      <w:r w:rsidRPr="006736F3">
        <w:rPr>
          <w:rFonts w:ascii="Arial" w:hAnsi="Arial" w:hint="cs"/>
          <w:b/>
          <w:bCs/>
          <w:noProof w:val="0"/>
          <w:u w:val="single"/>
          <w:rtl/>
        </w:rPr>
        <w:t>בחתימתה</w:t>
      </w:r>
      <w:r>
        <w:rPr>
          <w:rFonts w:ascii="Arial" w:hAnsi="Arial" w:hint="cs"/>
          <w:noProof w:val="0"/>
          <w:rtl/>
        </w:rPr>
        <w:t xml:space="preserve">, אך יש בו כדי לחייב את הנתבע מכח מערכת היחסים ביניהם. </w:t>
      </w:r>
    </w:p>
    <w:p w14:paraId="5059CA6F"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 xml:space="preserve">בסיכומים טענה התובעת, כי מאחר שמדובר בחשבון משותף השטר נמשך יחד ולחוד עם הנתבע (סעיף 12 לסיכומים) ועל כן אין נפקות לשמו של מי כתוב על ההמחאה. נטען, כי החתימה נחתמה בסמכות ותקפה וכי בשל דיני השליחות יכולה הנתבעת למשוך כספים מהחשבון (סעיף 13). </w:t>
      </w:r>
    </w:p>
    <w:p w14:paraId="1FB7EF2D" w14:textId="16969108"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 xml:space="preserve">מעבר לקושי שנובע מהגשת בקשת ביצוע שטר בו נטען שהחייב - הנתבע, בעל החשבון, חתם על השטר וזאת שעה שהשטר נחתם על ידי הנתבעת; טענותיה של התובעת אינן תואמות את </w:t>
      </w:r>
      <w:r w:rsidR="00414BB6" w:rsidRPr="006B03B9">
        <w:rPr>
          <w:rFonts w:ascii="Arial" w:hAnsi="Arial"/>
          <w:noProof w:val="0"/>
          <w:rtl/>
        </w:rPr>
        <w:t>פקודת השטרות</w:t>
      </w:r>
      <w:r>
        <w:rPr>
          <w:rFonts w:ascii="Arial" w:hAnsi="Arial" w:hint="cs"/>
          <w:noProof w:val="0"/>
          <w:rtl/>
        </w:rPr>
        <w:t xml:space="preserve"> והטענה, כי הנתבעת יכולה לחייב את שני הצדדים בחתימתה על המחאה של הנתבע אינה תואמת את הוראות הדין. </w:t>
      </w:r>
    </w:p>
    <w:p w14:paraId="6E5F4592"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פקודת השטרות [נוסח חדש] (</w:t>
      </w:r>
      <w:r>
        <w:rPr>
          <w:rFonts w:ascii="Arial" w:hAnsi="Arial" w:hint="cs"/>
          <w:b/>
          <w:bCs/>
          <w:noProof w:val="0"/>
          <w:rtl/>
        </w:rPr>
        <w:t>"הפקודה"</w:t>
      </w:r>
      <w:r>
        <w:rPr>
          <w:rFonts w:ascii="Arial" w:hAnsi="Arial" w:hint="cs"/>
          <w:noProof w:val="0"/>
          <w:rtl/>
        </w:rPr>
        <w:t>) קובעת, כי "</w:t>
      </w:r>
      <w:r w:rsidRPr="00290A2B">
        <w:rPr>
          <w:rFonts w:ascii="Arial" w:hAnsi="Arial" w:hint="cs"/>
          <w:b/>
          <w:bCs/>
          <w:noProof w:val="0"/>
          <w:rtl/>
        </w:rPr>
        <w:t>אין חבות בלי חתימה</w:t>
      </w:r>
      <w:r>
        <w:rPr>
          <w:rFonts w:ascii="Arial" w:hAnsi="Arial" w:hint="cs"/>
          <w:noProof w:val="0"/>
          <w:rtl/>
        </w:rPr>
        <w:t xml:space="preserve">". כלומר, לא נוצר חיוב באמצעות שטר אלא כלפי מי שחתם על השטר (סעיף 22). עוד קובעת הפקודה, כי חתימה שלא בהרשאה של האדם שהחתימה נחזית כשלו, אין כוחה יפה כלשהו ואין רוכשים על ידיה או על פיה זכות להחזיק בשטר או לכפות את פירעונו (סעיף 23). </w:t>
      </w:r>
    </w:p>
    <w:p w14:paraId="57FCE308" w14:textId="77777777" w:rsidR="00D23D66" w:rsidRDefault="00000000" w:rsidP="00D23D66">
      <w:pPr>
        <w:pStyle w:val="1"/>
        <w:spacing w:after="120" w:line="360" w:lineRule="auto"/>
        <w:ind w:left="567"/>
        <w:contextualSpacing w:val="0"/>
        <w:jc w:val="both"/>
        <w:rPr>
          <w:rFonts w:ascii="Arial" w:hAnsi="Arial"/>
          <w:noProof w:val="0"/>
        </w:rPr>
      </w:pPr>
      <w:r>
        <w:rPr>
          <w:rFonts w:ascii="Arial" w:hAnsi="Arial" w:hint="cs"/>
          <w:noProof w:val="0"/>
          <w:rtl/>
        </w:rPr>
        <w:t xml:space="preserve">הפקודה מאפשרת חתימת מסמך בידי אחר תחת האדם שחתימתו נדרשת לצורך חיוב על פי השטר ובלבד שמדובר בחתימה שנכתבה ביד אדם אחר </w:t>
      </w:r>
      <w:r w:rsidRPr="006736F3">
        <w:rPr>
          <w:rFonts w:ascii="Arial" w:hAnsi="Arial" w:hint="cs"/>
          <w:noProof w:val="0"/>
          <w:u w:val="single"/>
          <w:rtl/>
        </w:rPr>
        <w:t>בהרשאתו או על פיה</w:t>
      </w:r>
      <w:r>
        <w:rPr>
          <w:rFonts w:ascii="Arial" w:hAnsi="Arial" w:hint="cs"/>
          <w:noProof w:val="0"/>
          <w:rtl/>
        </w:rPr>
        <w:t xml:space="preserve"> (סעיף 92). </w:t>
      </w:r>
    </w:p>
    <w:p w14:paraId="1B9E8073"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התובעת עמדה על ביצוע השטר, כלומר לכתחילה התביעה הוגשה בעילה שטרית (אם כי יש קושי להבין את כוונתה של התובעת בענין זה לאור הגדרת התביעה לאחר מכן כתביעת השבה).</w:t>
      </w:r>
    </w:p>
    <w:p w14:paraId="2AB28DC0" w14:textId="77777777" w:rsidR="00D23D66" w:rsidRDefault="00000000" w:rsidP="00D23D66">
      <w:pPr>
        <w:pStyle w:val="1"/>
        <w:spacing w:after="120" w:line="360" w:lineRule="auto"/>
        <w:ind w:left="567"/>
        <w:contextualSpacing w:val="0"/>
        <w:jc w:val="both"/>
        <w:rPr>
          <w:rFonts w:ascii="Arial" w:hAnsi="Arial"/>
          <w:noProof w:val="0"/>
        </w:rPr>
      </w:pPr>
      <w:r>
        <w:rPr>
          <w:rFonts w:ascii="Arial" w:hAnsi="Arial" w:hint="cs"/>
          <w:noProof w:val="0"/>
          <w:rtl/>
        </w:rPr>
        <w:t xml:space="preserve">כדי לחייב בעילה השטרית יש להסתמך על חתימתו של המושך. </w:t>
      </w:r>
    </w:p>
    <w:p w14:paraId="1EF4CDA7" w14:textId="5280C52F" w:rsidR="00D23D66" w:rsidRDefault="00000000" w:rsidP="00D23D66">
      <w:pPr>
        <w:pStyle w:val="1"/>
        <w:spacing w:after="120" w:line="360" w:lineRule="auto"/>
        <w:ind w:left="567"/>
        <w:contextualSpacing w:val="0"/>
        <w:jc w:val="both"/>
        <w:rPr>
          <w:rFonts w:ascii="Arial" w:hAnsi="Arial"/>
          <w:noProof w:val="0"/>
        </w:rPr>
      </w:pPr>
      <w:r>
        <w:rPr>
          <w:rFonts w:ascii="Arial" w:hAnsi="Arial" w:hint="cs"/>
          <w:noProof w:val="0"/>
          <w:rtl/>
        </w:rPr>
        <w:t xml:space="preserve">גם אם הצדדים שותפים בחשבון, לא ניתן לחייב, </w:t>
      </w:r>
      <w:r w:rsidRPr="00AE6261">
        <w:rPr>
          <w:rFonts w:ascii="Arial" w:hAnsi="Arial" w:hint="cs"/>
          <w:b/>
          <w:bCs/>
          <w:noProof w:val="0"/>
          <w:u w:val="single"/>
          <w:rtl/>
        </w:rPr>
        <w:t>מכח השטר</w:t>
      </w:r>
      <w:r w:rsidRPr="00AE6261">
        <w:rPr>
          <w:rFonts w:ascii="Arial" w:hAnsi="Arial" w:hint="cs"/>
          <w:b/>
          <w:bCs/>
          <w:noProof w:val="0"/>
          <w:rtl/>
        </w:rPr>
        <w:t xml:space="preserve">, </w:t>
      </w:r>
      <w:r w:rsidRPr="00AE6261">
        <w:rPr>
          <w:rFonts w:ascii="Arial" w:hAnsi="Arial" w:hint="cs"/>
          <w:noProof w:val="0"/>
          <w:rtl/>
        </w:rPr>
        <w:t xml:space="preserve">את בעל החשבון שאינו </w:t>
      </w:r>
      <w:r>
        <w:rPr>
          <w:rFonts w:ascii="Arial" w:hAnsi="Arial" w:hint="cs"/>
          <w:noProof w:val="0"/>
          <w:rtl/>
        </w:rPr>
        <w:t xml:space="preserve">מצוין על גבי השטר כמושך אלא אם מתקיימת הרשאה ברורה. שונה הדבר בהתייחס לחיוב חוזי שנקבע לגביו שמתקיים בין חייבים יחד ולחוד (ראו פסק הדין שהובא על ידי הנתבע בסיכומיו </w:t>
      </w:r>
      <w:r w:rsidR="00414BB6" w:rsidRPr="006B03B9">
        <w:rPr>
          <w:rFonts w:ascii="Arial" w:hAnsi="Arial"/>
          <w:noProof w:val="0"/>
          <w:rtl/>
        </w:rPr>
        <w:t>רע"א 2928/97</w:t>
      </w:r>
      <w:r w:rsidRPr="006B03B9">
        <w:rPr>
          <w:rFonts w:ascii="Arial" w:hAnsi="Arial" w:hint="cs"/>
          <w:noProof w:val="0"/>
          <w:rtl/>
        </w:rPr>
        <w:t xml:space="preserve"> </w:t>
      </w:r>
      <w:r>
        <w:rPr>
          <w:rFonts w:ascii="Arial" w:hAnsi="Arial" w:hint="cs"/>
          <w:b/>
          <w:bCs/>
          <w:noProof w:val="0"/>
          <w:rtl/>
        </w:rPr>
        <w:t xml:space="preserve">חנוך נ' חברת אופיר שי ישווק והספקה בע"מ </w:t>
      </w:r>
      <w:r>
        <w:rPr>
          <w:rFonts w:ascii="Arial" w:hAnsi="Arial" w:hint="cs"/>
          <w:noProof w:val="0"/>
          <w:rtl/>
        </w:rPr>
        <w:t>(</w:t>
      </w:r>
      <w:r w:rsidRPr="00AE6261">
        <w:rPr>
          <w:rFonts w:ascii="Arial" w:hAnsi="Arial" w:hint="cs"/>
          <w:noProof w:val="0"/>
          <w:rtl/>
        </w:rPr>
        <w:t>28.7.1998)</w:t>
      </w:r>
      <w:r>
        <w:rPr>
          <w:rFonts w:ascii="Arial" w:hAnsi="Arial" w:hint="cs"/>
          <w:noProof w:val="0"/>
          <w:rtl/>
        </w:rPr>
        <w:t xml:space="preserve">). </w:t>
      </w:r>
    </w:p>
    <w:p w14:paraId="30823D69" w14:textId="1FF7E5FF"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sidRPr="006B03B9">
        <w:rPr>
          <w:rFonts w:ascii="Arial" w:hAnsi="Arial" w:hint="cs"/>
          <w:noProof w:val="0"/>
          <w:rtl/>
        </w:rPr>
        <w:t>ב</w:t>
      </w:r>
      <w:r w:rsidR="00414BB6" w:rsidRPr="006B03B9">
        <w:rPr>
          <w:rFonts w:ascii="Arial" w:hAnsi="Arial"/>
          <w:noProof w:val="0"/>
          <w:rtl/>
        </w:rPr>
        <w:t>ע"א 4085/07</w:t>
      </w:r>
      <w:r>
        <w:rPr>
          <w:rFonts w:ascii="Arial" w:hAnsi="Arial" w:hint="cs"/>
          <w:noProof w:val="0"/>
          <w:rtl/>
        </w:rPr>
        <w:t xml:space="preserve"> </w:t>
      </w:r>
      <w:r>
        <w:rPr>
          <w:rFonts w:ascii="Arial" w:hAnsi="Arial" w:hint="cs"/>
          <w:b/>
          <w:bCs/>
          <w:noProof w:val="0"/>
          <w:rtl/>
        </w:rPr>
        <w:t xml:space="preserve">אוזן נ' תבל נכסים והשקעות י.מ. (1994) בע"מ </w:t>
      </w:r>
      <w:r>
        <w:rPr>
          <w:rFonts w:ascii="Arial" w:hAnsi="Arial" w:hint="cs"/>
          <w:noProof w:val="0"/>
          <w:rtl/>
        </w:rPr>
        <w:t>(4.10.2009) ו</w:t>
      </w:r>
      <w:r w:rsidRPr="006B03B9">
        <w:rPr>
          <w:rFonts w:ascii="Arial" w:hAnsi="Arial" w:hint="cs"/>
          <w:noProof w:val="0"/>
          <w:u w:val="single"/>
          <w:rtl/>
        </w:rPr>
        <w:t>ב</w:t>
      </w:r>
      <w:r w:rsidR="00414BB6" w:rsidRPr="006B03B9">
        <w:rPr>
          <w:rFonts w:ascii="Arial" w:hAnsi="Arial"/>
          <w:noProof w:val="0"/>
          <w:u w:val="single"/>
          <w:rtl/>
        </w:rPr>
        <w:t>דנ"א 9337/09</w:t>
      </w:r>
      <w:r w:rsidRPr="006B03B9">
        <w:rPr>
          <w:rFonts w:ascii="Arial" w:hAnsi="Arial" w:hint="cs"/>
          <w:noProof w:val="0"/>
          <w:u w:val="single"/>
          <w:rtl/>
        </w:rPr>
        <w:t xml:space="preserve"> </w:t>
      </w:r>
      <w:r>
        <w:rPr>
          <w:rFonts w:ascii="Arial" w:hAnsi="Arial" w:hint="cs"/>
          <w:b/>
          <w:bCs/>
          <w:noProof w:val="0"/>
          <w:rtl/>
        </w:rPr>
        <w:t xml:space="preserve">אוזן נ' תבל נכסים והשקעות י.צ. 1994(בע"מ) </w:t>
      </w:r>
      <w:r>
        <w:rPr>
          <w:rFonts w:ascii="Arial" w:hAnsi="Arial" w:hint="cs"/>
          <w:noProof w:val="0"/>
          <w:rtl/>
        </w:rPr>
        <w:t xml:space="preserve">(25.5.2010) קבע בית המשפט העליון, כי במצב בו חתם אדם בשם אדם אחר, יש לבחון אם מדובר בחתימה בהרשאה ואז יחויב נותן ההרשאה על פי השטר שנחתם וזאת בהסתמך על הוראות </w:t>
      </w:r>
      <w:r w:rsidR="00344FBD" w:rsidRPr="006B03B9">
        <w:rPr>
          <w:rFonts w:ascii="Arial" w:hAnsi="Arial"/>
          <w:noProof w:val="0"/>
          <w:rtl/>
        </w:rPr>
        <w:t>סעיף 92(א)</w:t>
      </w:r>
      <w:r w:rsidRPr="006B03B9">
        <w:rPr>
          <w:rFonts w:ascii="Arial" w:hAnsi="Arial" w:hint="cs"/>
          <w:noProof w:val="0"/>
          <w:rtl/>
        </w:rPr>
        <w:t xml:space="preserve"> לפקודה</w:t>
      </w:r>
      <w:r>
        <w:rPr>
          <w:rFonts w:ascii="Arial" w:hAnsi="Arial" w:hint="cs"/>
          <w:noProof w:val="0"/>
          <w:rtl/>
        </w:rPr>
        <w:t xml:space="preserve"> או שמדובר בחתימה "בתוקף הרשאה" כלומר חתימה של האדם שחתם אך ברור שמדובר בחיוב של אחר ואז, בכדי לקיים את ההרשאה בפועל, נדרש פירוט של דבר גילוי השליחות </w:t>
      </w:r>
      <w:r w:rsidRPr="0018612C">
        <w:rPr>
          <w:rFonts w:ascii="Arial" w:hAnsi="Arial" w:hint="cs"/>
          <w:noProof w:val="0"/>
          <w:u w:val="single"/>
          <w:rtl/>
        </w:rPr>
        <w:t>על השטר גופו</w:t>
      </w:r>
      <w:r>
        <w:rPr>
          <w:rFonts w:ascii="Arial" w:hAnsi="Arial" w:hint="cs"/>
          <w:noProof w:val="0"/>
          <w:rtl/>
        </w:rPr>
        <w:t xml:space="preserve"> בכדי לבסס חיוב של האחר וזאת על פי הוראות </w:t>
      </w:r>
      <w:r w:rsidR="00344FBD" w:rsidRPr="006B03B9">
        <w:rPr>
          <w:rFonts w:ascii="Arial" w:hAnsi="Arial"/>
          <w:noProof w:val="0"/>
          <w:rtl/>
        </w:rPr>
        <w:t>סעיפים 24-25</w:t>
      </w:r>
      <w:r>
        <w:rPr>
          <w:rFonts w:ascii="Arial" w:hAnsi="Arial" w:hint="cs"/>
          <w:noProof w:val="0"/>
          <w:rtl/>
        </w:rPr>
        <w:t xml:space="preserve"> לפקודה. </w:t>
      </w:r>
    </w:p>
    <w:p w14:paraId="0F7AB266" w14:textId="77777777" w:rsidR="00D23D66" w:rsidRDefault="00000000" w:rsidP="00D23D66">
      <w:pPr>
        <w:pStyle w:val="1"/>
        <w:spacing w:after="120" w:line="360" w:lineRule="auto"/>
        <w:ind w:left="567"/>
        <w:contextualSpacing w:val="0"/>
        <w:jc w:val="both"/>
        <w:rPr>
          <w:rFonts w:ascii="Arial" w:hAnsi="Arial"/>
          <w:noProof w:val="0"/>
        </w:rPr>
      </w:pPr>
      <w:r>
        <w:rPr>
          <w:rFonts w:ascii="Arial" w:hAnsi="Arial" w:hint="cs"/>
          <w:noProof w:val="0"/>
          <w:rtl/>
        </w:rPr>
        <w:t>במקרה כאן, מדובר בחתימה על גבי שטר שאינה של מושך השטר בנסיבות בהן לא נטען דבר לגבי ההרשאה ומעמדה של החותמת על השטר, הנתבעת, לחייב את הנתבע באמצעות מתן שטר בטחון, כפי שנטען.</w:t>
      </w:r>
    </w:p>
    <w:p w14:paraId="711AB0F1"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 xml:space="preserve"> לאור האמור, שעה שבבקשה לביצוע השטר טענה התובעת, כי השטר נחתם על ידי הנתבע והתברר שהשטר נחתם על ידי הנתבעת; שעה שזהות החותמת אינה תואמת את פרטי ההמחאה וזהות "המושך"; מאחר שחתימה היא יסוד מיסודות השטר ופגם בחתימה הוא פגם מהותי; מאחר שלא נטען דבר לגבי ההרשאה וספק רב לגבי ההרשאה לאור מועד הגשת ההמחאה לביצוע והתאריך שצוין על גבי ההמחאה - עת היו הנתבעים בעיצומו של הסכסוך - אני דוחה את טענות התובעת ביחס לתוקפו של השטר וקובעת, כי נפל פגם בשטר שאינו מאפשר ביצועו. </w:t>
      </w:r>
    </w:p>
    <w:p w14:paraId="28030F1B"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 xml:space="preserve">אוסיף, למעלה מן הצורך, כי גם אם עומדת התובעת על טענות חוזיות פירוט הדברים לגבי העדר תיעוד של ההלוואה הנטענת; העדר העקביות ביחס לסכום ההלוואה הנטענת ומועד העמדתה; קיומה של חזקת המתנה שלא נסתרה והשיהוי מובילים לדחיית התביעה גם אם היא מושתת על עילה חוזית. </w:t>
      </w:r>
    </w:p>
    <w:p w14:paraId="18673489" w14:textId="77777777" w:rsidR="00D23D66" w:rsidRPr="00922C05" w:rsidRDefault="00000000" w:rsidP="00D23D66">
      <w:pPr>
        <w:pStyle w:val="1"/>
        <w:numPr>
          <w:ilvl w:val="0"/>
          <w:numId w:val="1"/>
        </w:numPr>
        <w:spacing w:after="120" w:line="360" w:lineRule="auto"/>
        <w:ind w:left="567" w:hanging="567"/>
        <w:jc w:val="both"/>
        <w:rPr>
          <w:rFonts w:ascii="Arial" w:hAnsi="Arial"/>
          <w:b/>
          <w:bCs/>
          <w:noProof w:val="0"/>
          <w:u w:val="single"/>
        </w:rPr>
      </w:pPr>
      <w:r w:rsidRPr="00922C05">
        <w:rPr>
          <w:rFonts w:ascii="Arial" w:hAnsi="Arial" w:hint="cs"/>
          <w:b/>
          <w:bCs/>
          <w:noProof w:val="0"/>
          <w:u w:val="single"/>
          <w:rtl/>
        </w:rPr>
        <w:t>סוף דבר:</w:t>
      </w:r>
    </w:p>
    <w:p w14:paraId="4A572850"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 xml:space="preserve">התובעת טענה לזכותה להיפרע משטר המוחזק בידיה בהיותו בטוחה לפירעון הלוואות. </w:t>
      </w:r>
    </w:p>
    <w:p w14:paraId="0CB255EA" w14:textId="77777777" w:rsidR="00D23D66" w:rsidRDefault="00000000" w:rsidP="00D23D66">
      <w:pPr>
        <w:pStyle w:val="1"/>
        <w:spacing w:after="120" w:line="360" w:lineRule="auto"/>
        <w:ind w:left="567"/>
        <w:contextualSpacing w:val="0"/>
        <w:jc w:val="both"/>
        <w:rPr>
          <w:rFonts w:ascii="Arial" w:hAnsi="Arial"/>
          <w:noProof w:val="0"/>
        </w:rPr>
      </w:pPr>
      <w:r>
        <w:rPr>
          <w:rFonts w:ascii="Arial" w:hAnsi="Arial" w:hint="cs"/>
          <w:noProof w:val="0"/>
          <w:rtl/>
        </w:rPr>
        <w:t xml:space="preserve">ההלוואות הנטענות לא הוכחו; לא הוצג תיעוד להעברת כספים התואמת את הטענות לגבי ההלוואה הראשונה; לא נסתרה חזקת המתנה החלה על העברות כספיות בין הורים וילדים; לא הוצג תיעוד לעמידה על פירעון ההלוואה משך שנים רבות ואין התאמה בין הנתונים שצויינו בבקשת ביצוע השטר ביחס להלוואה הנטענת והנתונים שהוצגו בתביעה. </w:t>
      </w:r>
    </w:p>
    <w:p w14:paraId="3096A51C" w14:textId="77777777" w:rsidR="00D23D66" w:rsidRDefault="00000000" w:rsidP="00D23D66">
      <w:pPr>
        <w:pStyle w:val="1"/>
        <w:spacing w:after="120" w:line="360" w:lineRule="auto"/>
        <w:ind w:left="567"/>
        <w:contextualSpacing w:val="0"/>
        <w:jc w:val="both"/>
        <w:rPr>
          <w:rFonts w:ascii="Arial" w:hAnsi="Arial"/>
          <w:noProof w:val="0"/>
        </w:rPr>
      </w:pPr>
      <w:r>
        <w:rPr>
          <w:rFonts w:ascii="Arial" w:hAnsi="Arial" w:hint="cs"/>
          <w:noProof w:val="0"/>
          <w:rtl/>
        </w:rPr>
        <w:t xml:space="preserve">נוסף על כך שהתובעת לא הוכיחה את עצם הענקת ההלוואות; טענותיה בדבר העמדת בטוחה לפירעון ההלוואות לא נלמדות מתוך המועדים הנטענים ביחס להלוואות אל מול מועד העברת השטר לידיה ומועד החתימה עליו. </w:t>
      </w:r>
    </w:p>
    <w:p w14:paraId="1E48F85E" w14:textId="77777777" w:rsidR="00D23D66" w:rsidRDefault="00000000" w:rsidP="00D23D66">
      <w:pPr>
        <w:pStyle w:val="1"/>
        <w:spacing w:after="120" w:line="360" w:lineRule="auto"/>
        <w:ind w:left="567"/>
        <w:contextualSpacing w:val="0"/>
        <w:jc w:val="both"/>
        <w:rPr>
          <w:rFonts w:ascii="Arial" w:hAnsi="Arial"/>
          <w:noProof w:val="0"/>
        </w:rPr>
      </w:pPr>
      <w:r>
        <w:rPr>
          <w:rFonts w:ascii="Arial" w:hAnsi="Arial" w:hint="cs"/>
          <w:noProof w:val="0"/>
          <w:rtl/>
        </w:rPr>
        <w:t xml:space="preserve">על כך יש להוסיף, כי החתימה על השטר אינה חתימתו של הנתבע וזאת בניגוד לשנטען בבקשת ביצוע השטר ובאופן שאינו מאפשר חיובו בסכום הנקוב בשטר. </w:t>
      </w:r>
    </w:p>
    <w:p w14:paraId="706CF5C7" w14:textId="77777777" w:rsidR="00D23D66" w:rsidRDefault="00000000" w:rsidP="00D23D66">
      <w:pPr>
        <w:pStyle w:val="1"/>
        <w:spacing w:after="120" w:line="360" w:lineRule="auto"/>
        <w:ind w:left="567"/>
        <w:contextualSpacing w:val="0"/>
        <w:jc w:val="both"/>
        <w:rPr>
          <w:rFonts w:ascii="Arial" w:hAnsi="Arial"/>
          <w:noProof w:val="0"/>
        </w:rPr>
      </w:pPr>
      <w:r>
        <w:rPr>
          <w:rFonts w:ascii="Arial" w:hAnsi="Arial" w:hint="cs"/>
          <w:noProof w:val="0"/>
          <w:rtl/>
        </w:rPr>
        <w:t xml:space="preserve">בהסתמך על האמור ולאור ניתוח הדברים כמפורט בפסק דין זה אני דוחה את התביעה. </w:t>
      </w:r>
    </w:p>
    <w:p w14:paraId="1F1DC603"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לאחר ששקלתי את אופן ניהול ההליך, את שלבי ההליך השונים, את העלויות בהן נשא הנתבע בשל הצורך להגיש התנגדות וקיום הליך בירור הרשות להתגונן; הצורך בהגשת כתב הגנה לאחר שהותאמו כתבי הטענות; משך הזמן הממושך; ניהול ההליך נגדו בפועל גם על ידי הנתבעת והערכת עלויות ניהול ההליך כאן - אני מורה על חיובה של התובעת בהוצאות הנתבע בסך 10,000 ש</w:t>
      </w:r>
      <w:r>
        <w:rPr>
          <w:rFonts w:ascii="Arial" w:hAnsi="Arial"/>
          <w:noProof w:val="0"/>
          <w:rtl/>
        </w:rPr>
        <w:t>"</w:t>
      </w:r>
      <w:r>
        <w:rPr>
          <w:rFonts w:ascii="Arial" w:hAnsi="Arial" w:hint="cs"/>
          <w:noProof w:val="0"/>
          <w:rtl/>
        </w:rPr>
        <w:t xml:space="preserve">ח. </w:t>
      </w:r>
    </w:p>
    <w:p w14:paraId="54421829" w14:textId="77777777" w:rsidR="00D23D66" w:rsidRDefault="00000000" w:rsidP="00D23D66">
      <w:pPr>
        <w:pStyle w:val="1"/>
        <w:numPr>
          <w:ilvl w:val="0"/>
          <w:numId w:val="2"/>
        </w:numPr>
        <w:spacing w:after="120" w:line="360" w:lineRule="auto"/>
        <w:ind w:left="567" w:hanging="567"/>
        <w:contextualSpacing w:val="0"/>
        <w:jc w:val="both"/>
        <w:rPr>
          <w:rFonts w:ascii="Arial" w:hAnsi="Arial"/>
          <w:noProof w:val="0"/>
        </w:rPr>
      </w:pPr>
      <w:r>
        <w:rPr>
          <w:rFonts w:ascii="Arial" w:hAnsi="Arial" w:hint="cs"/>
          <w:noProof w:val="0"/>
          <w:rtl/>
        </w:rPr>
        <w:t>אני מתירה פרסום החלטה זו בהשמטת פרטים מזהים.</w:t>
      </w:r>
    </w:p>
    <w:p w14:paraId="06A5CA25" w14:textId="77777777" w:rsidR="00D23D66" w:rsidRPr="00240698" w:rsidRDefault="00000000" w:rsidP="00D23D66">
      <w:pPr>
        <w:spacing w:after="120" w:line="360" w:lineRule="auto"/>
        <w:jc w:val="both"/>
        <w:rPr>
          <w:rFonts w:ascii="Arial" w:hAnsi="Arial"/>
          <w:noProof w:val="0"/>
          <w:rtl/>
        </w:rPr>
      </w:pPr>
      <w:r w:rsidRPr="00240698">
        <w:rPr>
          <w:rFonts w:ascii="Arial" w:hAnsi="Arial" w:hint="cs"/>
          <w:b/>
          <w:bCs/>
          <w:noProof w:val="0"/>
          <w:u w:val="single"/>
          <w:rtl/>
        </w:rPr>
        <w:t>המזכירות</w:t>
      </w:r>
      <w:r w:rsidRPr="00240698">
        <w:rPr>
          <w:rFonts w:ascii="Arial" w:hAnsi="Arial" w:hint="cs"/>
          <w:noProof w:val="0"/>
          <w:rtl/>
        </w:rPr>
        <w:t xml:space="preserve"> תמציא את פסק הדין לצדדים ותסגור את התיק. </w:t>
      </w:r>
    </w:p>
    <w:p w14:paraId="21489A7A" w14:textId="77777777" w:rsidR="00D23D66" w:rsidRDefault="00414BB6" w:rsidP="00D23D66">
      <w:pPr>
        <w:spacing w:after="120" w:line="360" w:lineRule="auto"/>
        <w:jc w:val="both"/>
        <w:rPr>
          <w:rFonts w:ascii="Arial" w:hAnsi="Arial"/>
          <w:noProof w:val="0"/>
          <w:rtl/>
        </w:rPr>
      </w:pPr>
      <w:bookmarkStart w:id="6" w:name="Nitan"/>
      <w:r>
        <w:rPr>
          <w:rFonts w:ascii="Arial" w:hAnsi="Arial"/>
          <w:noProof w:val="0"/>
          <w:rtl/>
        </w:rPr>
        <w:t xml:space="preserve">ניתן היום,  ח' טבת תשפ"ו, 28 דצמבר 2025, בהעדר הצדדים. </w:t>
      </w:r>
      <w:bookmarkEnd w:id="6"/>
      <w:r w:rsidR="00000000">
        <w:rPr>
          <w:rFonts w:ascii="Arial" w:hAnsi="Arial" w:hint="cs"/>
          <w:noProof w:val="0"/>
          <w:rtl/>
        </w:rPr>
        <w:tab/>
      </w:r>
      <w:r w:rsidR="00000000">
        <w:rPr>
          <w:rFonts w:ascii="Arial" w:hAnsi="Arial" w:hint="cs"/>
          <w:noProof w:val="0"/>
          <w:rtl/>
        </w:rPr>
        <w:tab/>
      </w:r>
      <w:r w:rsidR="00000000">
        <w:rPr>
          <w:rFonts w:ascii="Arial" w:hAnsi="Arial" w:hint="cs"/>
          <w:noProof w:val="0"/>
          <w:rtl/>
        </w:rPr>
        <w:tab/>
      </w:r>
      <w:r w:rsidR="00000000">
        <w:rPr>
          <w:rFonts w:ascii="Arial" w:hAnsi="Arial" w:hint="cs"/>
          <w:noProof w:val="0"/>
          <w:rtl/>
        </w:rPr>
        <w:tab/>
      </w:r>
      <w:r w:rsidR="00000000">
        <w:rPr>
          <w:rFonts w:ascii="Arial" w:hAnsi="Arial" w:hint="cs"/>
          <w:noProof w:val="0"/>
          <w:rtl/>
        </w:rPr>
        <w:tab/>
      </w:r>
      <w:r w:rsidR="00000000">
        <w:rPr>
          <w:rFonts w:ascii="Arial" w:hAnsi="Arial"/>
          <w:noProof w:val="0"/>
          <w:rtl/>
        </w:rPr>
        <w:tab/>
      </w:r>
      <w:r w:rsidR="00000000">
        <w:rPr>
          <w:rFonts w:ascii="Arial" w:hAnsi="Arial" w:hint="cs"/>
          <w:noProof w:val="0"/>
          <w:rtl/>
        </w:rPr>
        <w:tab/>
      </w:r>
      <w:r w:rsidR="00000000">
        <w:rPr>
          <w:rFonts w:ascii="Arial" w:hAnsi="Arial" w:hint="cs"/>
          <w:noProof w:val="0"/>
          <w:rtl/>
        </w:rPr>
        <w:tab/>
      </w:r>
      <w:r w:rsidR="00000000">
        <w:rPr>
          <w:rFonts w:ascii="Arial" w:hAnsi="Arial"/>
          <w:noProof w:val="0"/>
          <w:rtl/>
        </w:rPr>
        <w:t xml:space="preserve"> </w:t>
      </w:r>
    </w:p>
    <w:p w14:paraId="795AF429" w14:textId="77777777" w:rsidR="00D23D66" w:rsidRDefault="00D23D66" w:rsidP="00D23D66">
      <w:pPr>
        <w:spacing w:after="120" w:line="360" w:lineRule="auto"/>
        <w:ind w:left="3600" w:firstLine="720"/>
      </w:pPr>
    </w:p>
    <w:p w14:paraId="3155D1CA" w14:textId="77777777" w:rsidR="00D23D66" w:rsidRDefault="00D23D66" w:rsidP="00D23D66">
      <w:pPr>
        <w:spacing w:after="120" w:line="360" w:lineRule="auto"/>
        <w:ind w:left="3600" w:firstLine="720"/>
        <w:rPr>
          <w:rFonts w:ascii="Arial" w:hAnsi="Arial"/>
          <w:noProof w:val="0"/>
          <w:rtl/>
        </w:rPr>
      </w:pPr>
    </w:p>
    <w:p w14:paraId="445E06D4" w14:textId="77777777" w:rsidR="00D23D66" w:rsidRDefault="00D23D66" w:rsidP="00D23D66">
      <w:pPr>
        <w:spacing w:after="120" w:line="360" w:lineRule="auto"/>
        <w:jc w:val="both"/>
        <w:rPr>
          <w:rFonts w:ascii="Arial" w:hAnsi="Arial"/>
          <w:noProof w:val="0"/>
          <w:rtl/>
        </w:rPr>
      </w:pPr>
    </w:p>
    <w:p w14:paraId="6638C1B0" w14:textId="77777777" w:rsidR="00D23D66" w:rsidRDefault="00D23D66" w:rsidP="00D23D66">
      <w:pPr>
        <w:spacing w:after="120" w:line="360" w:lineRule="auto"/>
        <w:jc w:val="both"/>
        <w:rPr>
          <w:rFonts w:ascii="Arial" w:hAnsi="Arial"/>
          <w:noProof w:val="0"/>
          <w:rtl/>
        </w:rPr>
      </w:pPr>
    </w:p>
    <w:p w14:paraId="24625096" w14:textId="043F22E9" w:rsidR="00414BB6" w:rsidRPr="00414BB6" w:rsidRDefault="00414BB6" w:rsidP="00344FBD">
      <w:pPr>
        <w:rPr>
          <w:color w:val="0000FF"/>
          <w:u w:val="single"/>
        </w:rPr>
      </w:pPr>
    </w:p>
    <w:sectPr w:rsidR="00414BB6" w:rsidRPr="00414BB6" w:rsidSect="00344FBD">
      <w:headerReference w:type="even" r:id="rId7"/>
      <w:headerReference w:type="default" r:id="rId8"/>
      <w:footerReference w:type="even" r:id="rId9"/>
      <w:footerReference w:type="default" r:id="rId10"/>
      <w:pgSz w:w="11907" w:h="16840" w:code="9"/>
      <w:pgMar w:top="1701" w:right="1701" w:bottom="1134" w:left="1701" w:header="720" w:footer="737" w:gutter="0"/>
      <w:pgNumType w:start="1"/>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5985B" w14:textId="77777777" w:rsidR="00CD27AD" w:rsidRDefault="00CD27AD">
      <w:r>
        <w:separator/>
      </w:r>
    </w:p>
  </w:endnote>
  <w:endnote w:type="continuationSeparator" w:id="0">
    <w:p w14:paraId="3D6DCB4A" w14:textId="77777777" w:rsidR="00CD27AD" w:rsidRDefault="00CD2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49ED" w14:textId="77777777" w:rsidR="00344FBD" w:rsidRDefault="00000000" w:rsidP="00344FBD">
    <w:pPr>
      <w:pStyle w:val="a5"/>
      <w:jc w:val="center"/>
      <w:rPr>
        <w:rFonts w:ascii="FrankRuehl" w:hAnsi="FrankRuehl" w:cs="FrankRuehl"/>
      </w:rPr>
    </w:pPr>
    <w:r>
      <w:rPr>
        <w:rFonts w:ascii="FrankRuehl" w:hAnsi="FrankRuehl" w:cs="FrankRuehl"/>
        <w:rtl/>
      </w:rPr>
      <w:fldChar w:fldCharType="begin"/>
    </w:r>
    <w:r>
      <w:rPr>
        <w:rFonts w:ascii="FrankRuehl" w:hAnsi="FrankRuehl" w:cs="FrankRuehl"/>
        <w:rtl/>
      </w:rPr>
      <w:instrText xml:space="preserve"> </w:instrText>
    </w:r>
    <w:r>
      <w:rPr>
        <w:rFonts w:ascii="FrankRuehl" w:hAnsi="FrankRuehl" w:cs="FrankRuehl"/>
      </w:rPr>
      <w:instrText>PAGE</w:instrText>
    </w:r>
    <w:r>
      <w:rPr>
        <w:rFonts w:ascii="FrankRuehl" w:hAnsi="FrankRuehl" w:cs="FrankRuehl"/>
        <w:rtl/>
      </w:rPr>
      <w:instrText xml:space="preserve">  \* </w:instrText>
    </w:r>
    <w:r>
      <w:rPr>
        <w:rFonts w:ascii="FrankRuehl" w:hAnsi="FrankRuehl" w:cs="FrankRuehl"/>
      </w:rPr>
      <w:instrText>MERGEFORMAT</w:instrText>
    </w:r>
    <w:r>
      <w:rPr>
        <w:rFonts w:ascii="FrankRuehl" w:hAnsi="FrankRuehl" w:cs="FrankRuehl"/>
        <w:rtl/>
      </w:rPr>
      <w:instrText xml:space="preserve"> </w:instrText>
    </w:r>
    <w:r>
      <w:rPr>
        <w:rFonts w:ascii="FrankRuehl" w:hAnsi="FrankRuehl" w:cs="FrankRuehl"/>
        <w:rtl/>
      </w:rPr>
      <w:fldChar w:fldCharType="separate"/>
    </w:r>
    <w:r>
      <w:rPr>
        <w:rFonts w:ascii="FrankRuehl" w:hAnsi="FrankRuehl" w:cs="FrankRuehl"/>
        <w:rtl/>
      </w:rPr>
      <w:t>4</w:t>
    </w:r>
    <w:r>
      <w:rPr>
        <w:rFonts w:ascii="FrankRuehl" w:hAnsi="FrankRuehl" w:cs="FrankRuehl"/>
        <w:rtl/>
      </w:rPr>
      <w:fldChar w:fldCharType="end"/>
    </w:r>
  </w:p>
  <w:p w14:paraId="6D34F405" w14:textId="129E3CA4" w:rsidR="00414BB6" w:rsidRPr="00344FBD" w:rsidRDefault="006B03B9" w:rsidP="00344FBD">
    <w:pPr>
      <w:pStyle w:val="a5"/>
      <w:pBdr>
        <w:top w:val="single" w:sz="4" w:space="1" w:color="auto"/>
        <w:between w:val="single" w:sz="4" w:space="0" w:color="auto"/>
      </w:pBdr>
      <w:spacing w:after="60"/>
      <w:jc w:val="center"/>
      <w:rPr>
        <w:rFonts w:ascii="FrankRuehl" w:hAnsi="FrankRuehl" w:cs="FrankRuehl"/>
        <w:color w:val="000000"/>
      </w:rPr>
    </w:pPr>
    <w:r>
      <w:rPr>
        <w:rFonts w:ascii="FrankRuehl" w:hAnsi="FrankRuehl" w:cs="FrankRuehl"/>
        <w:color w:val="000000"/>
      </w:rPr>
      <w:drawing>
        <wp:inline distT="0" distB="0" distL="0" distR="0" wp14:anchorId="20CD03A4" wp14:editId="75ECA5B6">
          <wp:extent cx="552450" cy="2286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228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3A88" w14:textId="77777777" w:rsidR="00344FBD" w:rsidRDefault="00000000" w:rsidP="00344FBD">
    <w:pPr>
      <w:pStyle w:val="a5"/>
      <w:jc w:val="center"/>
      <w:rPr>
        <w:rStyle w:val="a8"/>
        <w:rFonts w:ascii="FrankRuehl" w:hAnsi="FrankRuehl" w:cs="FrankRuehl"/>
        <w:rtl/>
      </w:rPr>
    </w:pPr>
    <w:r>
      <w:rPr>
        <w:rStyle w:val="a8"/>
        <w:rFonts w:ascii="FrankRuehl" w:hAnsi="FrankRuehl" w:cs="FrankRuehl"/>
        <w:rtl/>
      </w:rPr>
      <w:fldChar w:fldCharType="begin"/>
    </w:r>
    <w:r>
      <w:rPr>
        <w:rStyle w:val="a8"/>
        <w:rFonts w:ascii="FrankRuehl" w:hAnsi="FrankRuehl" w:cs="FrankRuehl"/>
        <w:rtl/>
      </w:rPr>
      <w:instrText xml:space="preserve"> </w:instrText>
    </w:r>
    <w:r>
      <w:rPr>
        <w:rStyle w:val="a8"/>
        <w:rFonts w:ascii="FrankRuehl" w:hAnsi="FrankRuehl" w:cs="FrankRuehl" w:hint="cs"/>
      </w:rPr>
      <w:instrText>PAGE</w:instrText>
    </w:r>
    <w:r>
      <w:rPr>
        <w:rStyle w:val="a8"/>
        <w:rFonts w:ascii="FrankRuehl" w:hAnsi="FrankRuehl" w:cs="FrankRuehl" w:hint="cs"/>
        <w:rtl/>
      </w:rPr>
      <w:instrText xml:space="preserve">  \* </w:instrText>
    </w:r>
    <w:r>
      <w:rPr>
        <w:rStyle w:val="a8"/>
        <w:rFonts w:ascii="FrankRuehl" w:hAnsi="FrankRuehl" w:cs="FrankRuehl" w:hint="cs"/>
      </w:rPr>
      <w:instrText>MERGEFORMAT</w:instrText>
    </w:r>
    <w:r>
      <w:rPr>
        <w:rStyle w:val="a8"/>
        <w:rFonts w:ascii="FrankRuehl" w:hAnsi="FrankRuehl" w:cs="FrankRuehl"/>
        <w:rtl/>
      </w:rPr>
      <w:instrText xml:space="preserve"> </w:instrText>
    </w:r>
    <w:r>
      <w:rPr>
        <w:rStyle w:val="a8"/>
        <w:rFonts w:ascii="FrankRuehl" w:hAnsi="FrankRuehl" w:cs="FrankRuehl"/>
        <w:rtl/>
      </w:rPr>
      <w:fldChar w:fldCharType="separate"/>
    </w:r>
    <w:r w:rsidR="00412980">
      <w:rPr>
        <w:rStyle w:val="a8"/>
        <w:rFonts w:ascii="FrankRuehl" w:hAnsi="FrankRuehl" w:cs="FrankRuehl"/>
        <w:rtl/>
      </w:rPr>
      <w:t>1</w:t>
    </w:r>
    <w:r>
      <w:rPr>
        <w:rStyle w:val="a8"/>
        <w:rFonts w:ascii="FrankRuehl" w:hAnsi="FrankRuehl" w:cs="FrankRuehl"/>
        <w:rtl/>
      </w:rPr>
      <w:fldChar w:fldCharType="end"/>
    </w:r>
  </w:p>
  <w:p w14:paraId="054E5843" w14:textId="69FD29D5" w:rsidR="002C54A1" w:rsidRPr="00344FBD" w:rsidRDefault="002C54A1" w:rsidP="00344FBD">
    <w:pPr>
      <w:pStyle w:val="a5"/>
      <w:pBdr>
        <w:top w:val="single" w:sz="4" w:space="1" w:color="auto"/>
        <w:between w:val="single" w:sz="4" w:space="0" w:color="auto"/>
      </w:pBdr>
      <w:spacing w:after="60"/>
      <w:jc w:val="center"/>
      <w:rPr>
        <w:rStyle w:val="a8"/>
        <w:rFonts w:ascii="FrankRuehl" w:hAnsi="FrankRuehl" w:cs="FrankRuehl"/>
        <w:color w:val="00000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A8CDF" w14:textId="77777777" w:rsidR="00CD27AD" w:rsidRDefault="00CD27AD">
      <w:r>
        <w:separator/>
      </w:r>
    </w:p>
  </w:footnote>
  <w:footnote w:type="continuationSeparator" w:id="0">
    <w:p w14:paraId="63CDC1A6" w14:textId="77777777" w:rsidR="00CD27AD" w:rsidRDefault="00CD2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99C7" w14:textId="77777777" w:rsidR="00414BB6" w:rsidRPr="00344FBD" w:rsidRDefault="00344FBD" w:rsidP="00344FBD">
    <w:pPr>
      <w:pStyle w:val="a3"/>
      <w:pBdr>
        <w:bottom w:val="single" w:sz="4" w:space="1" w:color="auto"/>
      </w:pBdr>
      <w:tabs>
        <w:tab w:val="clear" w:pos="4153"/>
        <w:tab w:val="clear" w:pos="8306"/>
        <w:tab w:val="right" w:pos="8311"/>
      </w:tabs>
      <w:spacing w:line="220" w:lineRule="auto"/>
      <w:rPr>
        <w:rFonts w:ascii="David" w:hAnsi="David"/>
        <w:color w:val="000000"/>
        <w:sz w:val="22"/>
        <w:szCs w:val="22"/>
        <w:rtl/>
      </w:rPr>
    </w:pPr>
    <w:r>
      <w:rPr>
        <w:rFonts w:ascii="David" w:hAnsi="David"/>
        <w:color w:val="000000"/>
        <w:sz w:val="22"/>
        <w:szCs w:val="22"/>
        <w:rtl/>
      </w:rPr>
      <w:t>תמש (חד') 40568-01-22</w:t>
    </w:r>
    <w:r>
      <w:rPr>
        <w:rFonts w:ascii="David" w:hAnsi="David"/>
        <w:color w:val="000000"/>
        <w:sz w:val="22"/>
        <w:szCs w:val="22"/>
        <w:rtl/>
      </w:rPr>
      <w:tab/>
      <w:t xml:space="preserve"> פלונית נ' אלמוני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3E01E" w14:textId="77777777" w:rsidR="00414BB6" w:rsidRPr="00344FBD" w:rsidRDefault="00344FBD" w:rsidP="00344FBD">
    <w:pPr>
      <w:pStyle w:val="a3"/>
      <w:pBdr>
        <w:bottom w:val="single" w:sz="4" w:space="1" w:color="auto"/>
      </w:pBdr>
      <w:tabs>
        <w:tab w:val="clear" w:pos="4153"/>
        <w:tab w:val="clear" w:pos="8306"/>
        <w:tab w:val="right" w:pos="8311"/>
      </w:tabs>
      <w:spacing w:line="220" w:lineRule="auto"/>
      <w:rPr>
        <w:rFonts w:ascii="David" w:hAnsi="David"/>
        <w:color w:val="000000"/>
        <w:sz w:val="22"/>
        <w:szCs w:val="22"/>
        <w:rtl/>
      </w:rPr>
    </w:pPr>
    <w:bookmarkStart w:id="7" w:name="_Hlk218692775"/>
    <w:bookmarkStart w:id="8" w:name="_Hlk218692776"/>
    <w:bookmarkStart w:id="9" w:name="_Hlk218692777"/>
    <w:bookmarkStart w:id="10" w:name="_Hlk218692778"/>
    <w:r>
      <w:rPr>
        <w:rFonts w:ascii="David" w:hAnsi="David"/>
        <w:color w:val="000000"/>
        <w:sz w:val="22"/>
        <w:szCs w:val="22"/>
        <w:rtl/>
      </w:rPr>
      <w:t>תמש (חד') 40568-01-22</w:t>
    </w:r>
    <w:r>
      <w:rPr>
        <w:rFonts w:ascii="David" w:hAnsi="David"/>
        <w:color w:val="000000"/>
        <w:sz w:val="22"/>
        <w:szCs w:val="22"/>
        <w:rtl/>
      </w:rPr>
      <w:tab/>
      <w:t xml:space="preserve"> פלונית נ' אלמוני</w:t>
    </w:r>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D2D2F"/>
    <w:multiLevelType w:val="hybridMultilevel"/>
    <w:tmpl w:val="23885E72"/>
    <w:lvl w:ilvl="0" w:tplc="AE36FB68">
      <w:start w:val="1"/>
      <w:numFmt w:val="decimal"/>
      <w:lvlText w:val="%1."/>
      <w:lvlJc w:val="left"/>
      <w:pPr>
        <w:ind w:left="720" w:hanging="360"/>
      </w:pPr>
      <w:rPr>
        <w:rFonts w:hint="default"/>
      </w:rPr>
    </w:lvl>
    <w:lvl w:ilvl="1" w:tplc="7E76DD30" w:tentative="1">
      <w:start w:val="1"/>
      <w:numFmt w:val="lowerLetter"/>
      <w:lvlText w:val="%2."/>
      <w:lvlJc w:val="left"/>
      <w:pPr>
        <w:ind w:left="1440" w:hanging="360"/>
      </w:pPr>
    </w:lvl>
    <w:lvl w:ilvl="2" w:tplc="0860C902" w:tentative="1">
      <w:start w:val="1"/>
      <w:numFmt w:val="lowerRoman"/>
      <w:lvlText w:val="%3."/>
      <w:lvlJc w:val="right"/>
      <w:pPr>
        <w:ind w:left="2160" w:hanging="180"/>
      </w:pPr>
    </w:lvl>
    <w:lvl w:ilvl="3" w:tplc="E7ECE096" w:tentative="1">
      <w:start w:val="1"/>
      <w:numFmt w:val="decimal"/>
      <w:lvlText w:val="%4."/>
      <w:lvlJc w:val="left"/>
      <w:pPr>
        <w:ind w:left="2880" w:hanging="360"/>
      </w:pPr>
    </w:lvl>
    <w:lvl w:ilvl="4" w:tplc="9A681300" w:tentative="1">
      <w:start w:val="1"/>
      <w:numFmt w:val="lowerLetter"/>
      <w:lvlText w:val="%5."/>
      <w:lvlJc w:val="left"/>
      <w:pPr>
        <w:ind w:left="3600" w:hanging="360"/>
      </w:pPr>
    </w:lvl>
    <w:lvl w:ilvl="5" w:tplc="617403C0" w:tentative="1">
      <w:start w:val="1"/>
      <w:numFmt w:val="lowerRoman"/>
      <w:lvlText w:val="%6."/>
      <w:lvlJc w:val="right"/>
      <w:pPr>
        <w:ind w:left="4320" w:hanging="180"/>
      </w:pPr>
    </w:lvl>
    <w:lvl w:ilvl="6" w:tplc="4936FC20" w:tentative="1">
      <w:start w:val="1"/>
      <w:numFmt w:val="decimal"/>
      <w:lvlText w:val="%7."/>
      <w:lvlJc w:val="left"/>
      <w:pPr>
        <w:ind w:left="5040" w:hanging="360"/>
      </w:pPr>
    </w:lvl>
    <w:lvl w:ilvl="7" w:tplc="1A300144" w:tentative="1">
      <w:start w:val="1"/>
      <w:numFmt w:val="lowerLetter"/>
      <w:lvlText w:val="%8."/>
      <w:lvlJc w:val="left"/>
      <w:pPr>
        <w:ind w:left="5760" w:hanging="360"/>
      </w:pPr>
    </w:lvl>
    <w:lvl w:ilvl="8" w:tplc="C79C48A6" w:tentative="1">
      <w:start w:val="1"/>
      <w:numFmt w:val="lowerRoman"/>
      <w:lvlText w:val="%9."/>
      <w:lvlJc w:val="right"/>
      <w:pPr>
        <w:ind w:left="6480" w:hanging="180"/>
      </w:pPr>
    </w:lvl>
  </w:abstractNum>
  <w:abstractNum w:abstractNumId="1" w15:restartNumberingAfterBreak="0">
    <w:nsid w:val="64BF2E20"/>
    <w:multiLevelType w:val="hybridMultilevel"/>
    <w:tmpl w:val="DA72CCD2"/>
    <w:lvl w:ilvl="0" w:tplc="14C2CA7C">
      <w:start w:val="2"/>
      <w:numFmt w:val="hebrew1"/>
      <w:lvlText w:val="(%1)"/>
      <w:lvlJc w:val="left"/>
      <w:pPr>
        <w:ind w:left="720" w:hanging="360"/>
      </w:pPr>
      <w:rPr>
        <w:rFonts w:hint="default"/>
      </w:rPr>
    </w:lvl>
    <w:lvl w:ilvl="1" w:tplc="9F0879CC" w:tentative="1">
      <w:start w:val="1"/>
      <w:numFmt w:val="lowerLetter"/>
      <w:lvlText w:val="%2."/>
      <w:lvlJc w:val="left"/>
      <w:pPr>
        <w:ind w:left="1440" w:hanging="360"/>
      </w:pPr>
    </w:lvl>
    <w:lvl w:ilvl="2" w:tplc="28EEB1C4" w:tentative="1">
      <w:start w:val="1"/>
      <w:numFmt w:val="lowerRoman"/>
      <w:lvlText w:val="%3."/>
      <w:lvlJc w:val="right"/>
      <w:pPr>
        <w:ind w:left="2160" w:hanging="180"/>
      </w:pPr>
    </w:lvl>
    <w:lvl w:ilvl="3" w:tplc="343653CC" w:tentative="1">
      <w:start w:val="1"/>
      <w:numFmt w:val="decimal"/>
      <w:lvlText w:val="%4."/>
      <w:lvlJc w:val="left"/>
      <w:pPr>
        <w:ind w:left="2880" w:hanging="360"/>
      </w:pPr>
    </w:lvl>
    <w:lvl w:ilvl="4" w:tplc="0CDA4926" w:tentative="1">
      <w:start w:val="1"/>
      <w:numFmt w:val="lowerLetter"/>
      <w:lvlText w:val="%5."/>
      <w:lvlJc w:val="left"/>
      <w:pPr>
        <w:ind w:left="3600" w:hanging="360"/>
      </w:pPr>
    </w:lvl>
    <w:lvl w:ilvl="5" w:tplc="96B64DA6" w:tentative="1">
      <w:start w:val="1"/>
      <w:numFmt w:val="lowerRoman"/>
      <w:lvlText w:val="%6."/>
      <w:lvlJc w:val="right"/>
      <w:pPr>
        <w:ind w:left="4320" w:hanging="180"/>
      </w:pPr>
    </w:lvl>
    <w:lvl w:ilvl="6" w:tplc="273212F2" w:tentative="1">
      <w:start w:val="1"/>
      <w:numFmt w:val="decimal"/>
      <w:lvlText w:val="%7."/>
      <w:lvlJc w:val="left"/>
      <w:pPr>
        <w:ind w:left="5040" w:hanging="360"/>
      </w:pPr>
    </w:lvl>
    <w:lvl w:ilvl="7" w:tplc="4A8E9E5C" w:tentative="1">
      <w:start w:val="1"/>
      <w:numFmt w:val="lowerLetter"/>
      <w:lvlText w:val="%8."/>
      <w:lvlJc w:val="left"/>
      <w:pPr>
        <w:ind w:left="5760" w:hanging="360"/>
      </w:pPr>
    </w:lvl>
    <w:lvl w:ilvl="8" w:tplc="B7523B34" w:tentative="1">
      <w:start w:val="1"/>
      <w:numFmt w:val="lowerRoman"/>
      <w:lvlText w:val="%9."/>
      <w:lvlJc w:val="right"/>
      <w:pPr>
        <w:ind w:left="6480" w:hanging="180"/>
      </w:pPr>
    </w:lvl>
  </w:abstractNum>
  <w:abstractNum w:abstractNumId="2" w15:restartNumberingAfterBreak="0">
    <w:nsid w:val="65CD3C69"/>
    <w:multiLevelType w:val="hybridMultilevel"/>
    <w:tmpl w:val="414C863C"/>
    <w:lvl w:ilvl="0" w:tplc="E3A0FDA4">
      <w:start w:val="1"/>
      <w:numFmt w:val="hebrew1"/>
      <w:lvlText w:val="%1."/>
      <w:lvlJc w:val="left"/>
      <w:pPr>
        <w:ind w:left="720" w:hanging="360"/>
      </w:pPr>
      <w:rPr>
        <w:rFonts w:hint="default"/>
      </w:rPr>
    </w:lvl>
    <w:lvl w:ilvl="1" w:tplc="26F61C02" w:tentative="1">
      <w:start w:val="1"/>
      <w:numFmt w:val="lowerLetter"/>
      <w:lvlText w:val="%2."/>
      <w:lvlJc w:val="left"/>
      <w:pPr>
        <w:ind w:left="1440" w:hanging="360"/>
      </w:pPr>
    </w:lvl>
    <w:lvl w:ilvl="2" w:tplc="01D49A4E" w:tentative="1">
      <w:start w:val="1"/>
      <w:numFmt w:val="lowerRoman"/>
      <w:lvlText w:val="%3."/>
      <w:lvlJc w:val="right"/>
      <w:pPr>
        <w:ind w:left="2160" w:hanging="180"/>
      </w:pPr>
    </w:lvl>
    <w:lvl w:ilvl="3" w:tplc="13DE7FF2" w:tentative="1">
      <w:start w:val="1"/>
      <w:numFmt w:val="decimal"/>
      <w:lvlText w:val="%4."/>
      <w:lvlJc w:val="left"/>
      <w:pPr>
        <w:ind w:left="2880" w:hanging="360"/>
      </w:pPr>
    </w:lvl>
    <w:lvl w:ilvl="4" w:tplc="D33EB168" w:tentative="1">
      <w:start w:val="1"/>
      <w:numFmt w:val="lowerLetter"/>
      <w:lvlText w:val="%5."/>
      <w:lvlJc w:val="left"/>
      <w:pPr>
        <w:ind w:left="3600" w:hanging="360"/>
      </w:pPr>
    </w:lvl>
    <w:lvl w:ilvl="5" w:tplc="5C627D1E" w:tentative="1">
      <w:start w:val="1"/>
      <w:numFmt w:val="lowerRoman"/>
      <w:lvlText w:val="%6."/>
      <w:lvlJc w:val="right"/>
      <w:pPr>
        <w:ind w:left="4320" w:hanging="180"/>
      </w:pPr>
    </w:lvl>
    <w:lvl w:ilvl="6" w:tplc="80B4F568" w:tentative="1">
      <w:start w:val="1"/>
      <w:numFmt w:val="decimal"/>
      <w:lvlText w:val="%7."/>
      <w:lvlJc w:val="left"/>
      <w:pPr>
        <w:ind w:left="5040" w:hanging="360"/>
      </w:pPr>
    </w:lvl>
    <w:lvl w:ilvl="7" w:tplc="5822A074" w:tentative="1">
      <w:start w:val="1"/>
      <w:numFmt w:val="lowerLetter"/>
      <w:lvlText w:val="%8."/>
      <w:lvlJc w:val="left"/>
      <w:pPr>
        <w:ind w:left="5760" w:hanging="360"/>
      </w:pPr>
    </w:lvl>
    <w:lvl w:ilvl="8" w:tplc="1426452C" w:tentative="1">
      <w:start w:val="1"/>
      <w:numFmt w:val="lowerRoman"/>
      <w:lvlText w:val="%9."/>
      <w:lvlJc w:val="right"/>
      <w:pPr>
        <w:ind w:left="6480" w:hanging="180"/>
      </w:pPr>
    </w:lvl>
  </w:abstractNum>
  <w:num w:numId="1" w16cid:durableId="1161192585">
    <w:abstractNumId w:val="2"/>
  </w:num>
  <w:num w:numId="2" w16cid:durableId="2116317144">
    <w:abstractNumId w:val="0"/>
  </w:num>
  <w:num w:numId="3" w16cid:durableId="1732801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yInfo" w:val="This document was extracted from Nevo's site"/>
  </w:docVars>
  <w:rsids>
    <w:rsidRoot w:val="00D23D66"/>
    <w:rsid w:val="00014C24"/>
    <w:rsid w:val="000A7912"/>
    <w:rsid w:val="00130E02"/>
    <w:rsid w:val="001518E5"/>
    <w:rsid w:val="0018612C"/>
    <w:rsid w:val="001B2F8F"/>
    <w:rsid w:val="001F076E"/>
    <w:rsid w:val="00240698"/>
    <w:rsid w:val="00265E9B"/>
    <w:rsid w:val="00290A2B"/>
    <w:rsid w:val="002B652B"/>
    <w:rsid w:val="002C54A1"/>
    <w:rsid w:val="002E0C34"/>
    <w:rsid w:val="002E6F78"/>
    <w:rsid w:val="00322869"/>
    <w:rsid w:val="00344FBD"/>
    <w:rsid w:val="003C4B09"/>
    <w:rsid w:val="00412980"/>
    <w:rsid w:val="00414BB6"/>
    <w:rsid w:val="004B31A4"/>
    <w:rsid w:val="004D29AA"/>
    <w:rsid w:val="004F21D6"/>
    <w:rsid w:val="005B6844"/>
    <w:rsid w:val="006736F3"/>
    <w:rsid w:val="00680ED2"/>
    <w:rsid w:val="006B03B9"/>
    <w:rsid w:val="00773683"/>
    <w:rsid w:val="007869A2"/>
    <w:rsid w:val="008E6C17"/>
    <w:rsid w:val="00913721"/>
    <w:rsid w:val="00922C05"/>
    <w:rsid w:val="00943CBF"/>
    <w:rsid w:val="00994DC5"/>
    <w:rsid w:val="009C28D2"/>
    <w:rsid w:val="009D256E"/>
    <w:rsid w:val="009D4DF3"/>
    <w:rsid w:val="00A95BAD"/>
    <w:rsid w:val="00AE6261"/>
    <w:rsid w:val="00B92CE9"/>
    <w:rsid w:val="00C001EC"/>
    <w:rsid w:val="00CD27AD"/>
    <w:rsid w:val="00CE1148"/>
    <w:rsid w:val="00D23D66"/>
    <w:rsid w:val="00D95FD4"/>
    <w:rsid w:val="00DA5699"/>
    <w:rsid w:val="00EF5B5D"/>
    <w:rsid w:val="00FB6262"/>
    <w:rsid w:val="00FE2170"/>
    <w:rsid w:val="00FE25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78425"/>
  <w15:docId w15:val="{440DB915-8721-419D-973E-537FCC21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3D66"/>
    <w:pPr>
      <w:bidi/>
    </w:pPr>
    <w:rPr>
      <w:rFonts w:ascii="Times New Roman" w:eastAsia="Times New Roman" w:hAnsi="Times New Roman" w:cs="David"/>
      <w:noProof/>
      <w:sz w:val="24"/>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23D66"/>
    <w:pPr>
      <w:tabs>
        <w:tab w:val="center" w:pos="4153"/>
        <w:tab w:val="right" w:pos="8306"/>
      </w:tabs>
    </w:pPr>
  </w:style>
  <w:style w:type="character" w:customStyle="1" w:styleId="a4">
    <w:name w:val="כותרת עליונה תו"/>
    <w:link w:val="a3"/>
    <w:rsid w:val="00D23D66"/>
    <w:rPr>
      <w:rFonts w:ascii="Times New Roman" w:eastAsia="Times New Roman" w:hAnsi="Times New Roman" w:cs="David"/>
      <w:noProof/>
      <w:sz w:val="24"/>
      <w:szCs w:val="24"/>
    </w:rPr>
  </w:style>
  <w:style w:type="paragraph" w:styleId="a5">
    <w:name w:val="footer"/>
    <w:basedOn w:val="a"/>
    <w:link w:val="a6"/>
    <w:rsid w:val="00D23D66"/>
    <w:pPr>
      <w:tabs>
        <w:tab w:val="center" w:pos="4153"/>
        <w:tab w:val="right" w:pos="8306"/>
      </w:tabs>
    </w:pPr>
  </w:style>
  <w:style w:type="character" w:customStyle="1" w:styleId="a6">
    <w:name w:val="כותרת תחתונה תו"/>
    <w:link w:val="a5"/>
    <w:rsid w:val="00D23D66"/>
    <w:rPr>
      <w:rFonts w:ascii="Times New Roman" w:eastAsia="Times New Roman" w:hAnsi="Times New Roman" w:cs="David"/>
      <w:noProof/>
      <w:sz w:val="24"/>
      <w:szCs w:val="24"/>
    </w:rPr>
  </w:style>
  <w:style w:type="table" w:styleId="a7">
    <w:name w:val="Table Grid"/>
    <w:basedOn w:val="a1"/>
    <w:rsid w:val="00D23D66"/>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rsid w:val="00D23D66"/>
  </w:style>
  <w:style w:type="paragraph" w:customStyle="1" w:styleId="1">
    <w:name w:val="פיסקת רשימה1"/>
    <w:basedOn w:val="a"/>
    <w:qFormat/>
    <w:rsid w:val="00D23D66"/>
    <w:pPr>
      <w:ind w:left="720"/>
      <w:contextualSpacing/>
    </w:pPr>
  </w:style>
  <w:style w:type="paragraph" w:styleId="NormalWeb">
    <w:name w:val="Normal (Web)"/>
    <w:basedOn w:val="a"/>
    <w:rsid w:val="00D23D66"/>
    <w:pPr>
      <w:bidi w:val="0"/>
      <w:spacing w:before="100" w:beforeAutospacing="1" w:after="100" w:afterAutospacing="1"/>
    </w:pPr>
    <w:rPr>
      <w:rFonts w:cs="Times New Roman"/>
      <w:noProof w:val="0"/>
    </w:rPr>
  </w:style>
  <w:style w:type="character" w:styleId="a9">
    <w:name w:val="line number"/>
    <w:rsid w:val="00D23D66"/>
  </w:style>
  <w:style w:type="character" w:styleId="Hyperlink">
    <w:name w:val="Hyperlink"/>
    <w:rsid w:val="00414BB6"/>
    <w:rPr>
      <w:color w:val="0000FF"/>
      <w:u w:val="single"/>
    </w:rPr>
  </w:style>
  <w:style w:type="paragraph" w:customStyle="1" w:styleId="10">
    <w:name w:val="ללא מרווח1"/>
    <w:qFormat/>
    <w:rsid w:val="001F076E"/>
    <w:pPr>
      <w:bidi/>
    </w:pPr>
    <w:rPr>
      <w:rFonts w:ascii="Times New Roman" w:eastAsia="Times New Roman" w:hAnsi="Times New Roman" w:cs="David"/>
      <w:noProof/>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3466</Words>
  <Characters>17332</Characters>
  <Application>Microsoft Office Word</Application>
  <DocSecurity>0</DocSecurity>
  <Lines>144</Lines>
  <Paragraphs>41</Paragraphs>
  <ScaleCrop>false</ScaleCrop>
  <Company/>
  <LinksUpToDate>false</LinksUpToDate>
  <CharactersWithSpaces>20757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orit כהן</cp:lastModifiedBy>
  <cp:revision>2</cp:revision>
  <dcterms:created xsi:type="dcterms:W3CDTF">2026-01-07T13:44:00Z</dcterms:created>
  <dcterms:modified xsi:type="dcterms:W3CDTF">2026-01-07T13:44:00Z</dcterms:modified>
</cp:coreProperties>
</file>