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869C" w14:textId="406A0330" w:rsidR="00000000" w:rsidRDefault="00000000">
      <w:pPr>
        <w:divId w:val="1866862510"/>
        <w:rPr>
          <w:rFonts w:ascii="David" w:eastAsia="Times New Roman" w:hAnsi="David" w:cs="David"/>
        </w:rPr>
      </w:pPr>
    </w:p>
    <w:p w14:paraId="797FF5EB" w14:textId="77777777" w:rsidR="00000000" w:rsidRDefault="00000000">
      <w:pPr>
        <w:pStyle w:val="idhidden"/>
      </w:pPr>
      <w:r>
        <w:rPr>
          <w:rtl/>
        </w:rPr>
        <w:t>takd_id: עמנ@39372-04-25;takd_s:20260123;takd_d:23.01.2026;takd_u:24.01.2026;mms_s:מחוזי;mms_p:3444;mms_y:2026;mms_v:1;orig_filename:a477769ba2b54a4ca8bf638ee9f7c906.html;taktzir_exist:0;kt_exist:0;</w:t>
      </w:r>
    </w:p>
    <w:tbl>
      <w:tblPr>
        <w:bidiVisual/>
        <w:tblW w:w="0" w:type="auto"/>
        <w:jc w:val="center"/>
        <w:tblCellMar>
          <w:left w:w="0" w:type="dxa"/>
          <w:right w:w="0" w:type="dxa"/>
        </w:tblCellMar>
        <w:tblLook w:val="04A0" w:firstRow="1" w:lastRow="0" w:firstColumn="1" w:lastColumn="0" w:noHBand="0" w:noVBand="1"/>
      </w:tblPr>
      <w:tblGrid>
        <w:gridCol w:w="4812"/>
        <w:gridCol w:w="3500"/>
      </w:tblGrid>
      <w:tr w:rsidR="00000000" w14:paraId="4DE3DD3B" w14:textId="77777777">
        <w:trPr>
          <w:trHeight w:val="670"/>
          <w:jc w:val="center"/>
        </w:trPr>
        <w:tc>
          <w:tcPr>
            <w:tcW w:w="8721" w:type="dxa"/>
            <w:gridSpan w:val="2"/>
            <w:tcMar>
              <w:top w:w="0" w:type="dxa"/>
              <w:left w:w="108" w:type="dxa"/>
              <w:bottom w:w="0" w:type="dxa"/>
              <w:right w:w="108" w:type="dxa"/>
            </w:tcMar>
            <w:hideMark/>
          </w:tcPr>
          <w:p w14:paraId="3D0A441D" w14:textId="77777777" w:rsidR="00000000" w:rsidRDefault="00000000">
            <w:pPr>
              <w:pStyle w:val="a3"/>
              <w:bidi/>
              <w:jc w:val="center"/>
              <w:rPr>
                <w:rtl/>
              </w:rPr>
            </w:pPr>
            <w:r>
              <w:rPr>
                <w:rStyle w:val="f4dinim"/>
                <w:rFonts w:ascii="David" w:hAnsi="David" w:cs="David"/>
                <w:color w:val="000080"/>
                <w:sz w:val="32"/>
                <w:szCs w:val="32"/>
                <w:rtl/>
              </w:rPr>
              <w:t>בית משפט לעניינים מנהליים בתל אביב -יפו</w:t>
            </w:r>
          </w:p>
        </w:tc>
      </w:tr>
      <w:tr w:rsidR="00000000" w14:paraId="365D82BD" w14:textId="77777777">
        <w:trPr>
          <w:trHeight w:val="337"/>
          <w:jc w:val="center"/>
        </w:trPr>
        <w:tc>
          <w:tcPr>
            <w:tcW w:w="5047" w:type="dxa"/>
            <w:tcMar>
              <w:top w:w="0" w:type="dxa"/>
              <w:left w:w="108" w:type="dxa"/>
              <w:bottom w:w="0" w:type="dxa"/>
              <w:right w:w="108" w:type="dxa"/>
            </w:tcMar>
            <w:hideMark/>
          </w:tcPr>
          <w:p w14:paraId="39AB1253"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72EAD796" w14:textId="77777777" w:rsidR="00000000" w:rsidRDefault="00000000">
            <w:pPr>
              <w:pStyle w:val="a3"/>
              <w:bidi/>
              <w:jc w:val="right"/>
              <w:rPr>
                <w:rtl/>
              </w:rPr>
            </w:pPr>
            <w:r>
              <w:rPr>
                <w:rFonts w:ascii="David" w:hAnsi="David" w:cs="David"/>
                <w:sz w:val="26"/>
                <w:szCs w:val="26"/>
                <w:rtl/>
              </w:rPr>
              <w:t> </w:t>
            </w:r>
          </w:p>
        </w:tc>
      </w:tr>
      <w:tr w:rsidR="00000000" w14:paraId="62D9EB11" w14:textId="77777777">
        <w:trPr>
          <w:trHeight w:val="337"/>
          <w:jc w:val="center"/>
        </w:trPr>
        <w:tc>
          <w:tcPr>
            <w:tcW w:w="8721" w:type="dxa"/>
            <w:gridSpan w:val="2"/>
            <w:tcMar>
              <w:top w:w="0" w:type="dxa"/>
              <w:left w:w="108" w:type="dxa"/>
              <w:bottom w:w="0" w:type="dxa"/>
              <w:right w:w="108" w:type="dxa"/>
            </w:tcMar>
            <w:hideMark/>
          </w:tcPr>
          <w:p w14:paraId="3C6D6035" w14:textId="77777777" w:rsidR="00000000" w:rsidRDefault="00000000">
            <w:pPr>
              <w:bidi/>
              <w:rPr>
                <w:rtl/>
              </w:rPr>
            </w:pPr>
            <w:bookmarkStart w:id="0" w:name="_Hlk220584644"/>
            <w:proofErr w:type="spellStart"/>
            <w:r>
              <w:rPr>
                <w:rStyle w:val="f40dinim"/>
                <w:rFonts w:ascii="David" w:hAnsi="David" w:cs="David"/>
                <w:sz w:val="26"/>
                <w:szCs w:val="26"/>
                <w:rtl/>
              </w:rPr>
              <w:t>עמ"נ</w:t>
            </w:r>
            <w:proofErr w:type="spellEnd"/>
            <w:r>
              <w:rPr>
                <w:rStyle w:val="f40dinim"/>
                <w:rFonts w:ascii="David" w:hAnsi="David" w:cs="David"/>
                <w:sz w:val="26"/>
                <w:szCs w:val="26"/>
                <w:rtl/>
              </w:rPr>
              <w:t xml:space="preserve"> 39372-04-25</w:t>
            </w:r>
            <w:r>
              <w:rPr>
                <w:rFonts w:ascii="David" w:hAnsi="David" w:cs="David"/>
                <w:sz w:val="26"/>
                <w:szCs w:val="26"/>
                <w:rtl/>
              </w:rPr>
              <w:t xml:space="preserve"> </w:t>
            </w:r>
            <w:proofErr w:type="spellStart"/>
            <w:r>
              <w:rPr>
                <w:rFonts w:ascii="David" w:hAnsi="David" w:cs="David"/>
                <w:sz w:val="26"/>
                <w:szCs w:val="26"/>
                <w:rtl/>
              </w:rPr>
              <w:t>שאוליאן</w:t>
            </w:r>
            <w:proofErr w:type="spellEnd"/>
            <w:r>
              <w:rPr>
                <w:rFonts w:ascii="David" w:hAnsi="David" w:cs="David"/>
                <w:sz w:val="26"/>
                <w:szCs w:val="26"/>
                <w:rtl/>
              </w:rPr>
              <w:t xml:space="preserve"> נ' הועדה המקומית לתכנון ובניה תל אביב</w:t>
            </w:r>
          </w:p>
          <w:p w14:paraId="4B109909" w14:textId="77777777" w:rsidR="00000000" w:rsidRDefault="00000000">
            <w:pPr>
              <w:bidi/>
              <w:rPr>
                <w:rtl/>
              </w:rPr>
            </w:pPr>
            <w:r>
              <w:rPr>
                <w:rFonts w:ascii="David" w:hAnsi="David" w:cs="David"/>
                <w:sz w:val="26"/>
                <w:szCs w:val="26"/>
                <w:rtl/>
              </w:rPr>
              <w:t> </w:t>
            </w:r>
          </w:p>
          <w:bookmarkEnd w:id="0"/>
          <w:p w14:paraId="56CBC88F" w14:textId="77777777" w:rsidR="00000000" w:rsidRDefault="00000000">
            <w:pPr>
              <w:bidi/>
              <w:rPr>
                <w:rtl/>
              </w:rPr>
            </w:pPr>
            <w:r>
              <w:rPr>
                <w:rFonts w:ascii="David" w:hAnsi="David" w:cs="David"/>
                <w:sz w:val="26"/>
                <w:szCs w:val="26"/>
                <w:rtl/>
              </w:rPr>
              <w:t> </w:t>
            </w:r>
          </w:p>
        </w:tc>
      </w:tr>
    </w:tbl>
    <w:p w14:paraId="5D1BD233" w14:textId="77777777" w:rsidR="00000000" w:rsidRDefault="00000000">
      <w:pPr>
        <w:bidi/>
        <w:rPr>
          <w:rtl/>
        </w:rPr>
      </w:pPr>
      <w:r>
        <w:rPr>
          <w:rFonts w:ascii="David" w:hAnsi="David" w:cs="David"/>
          <w:sz w:val="28"/>
          <w:szCs w:val="28"/>
          <w:rtl/>
        </w:rPr>
        <w:t> </w:t>
      </w:r>
    </w:p>
    <w:p w14:paraId="0F5BE55E"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27C6493E" w14:textId="77777777">
        <w:trPr>
          <w:jc w:val="center"/>
        </w:trPr>
        <w:tc>
          <w:tcPr>
            <w:tcW w:w="743" w:type="dxa"/>
            <w:tcMar>
              <w:top w:w="0" w:type="dxa"/>
              <w:left w:w="108" w:type="dxa"/>
              <w:bottom w:w="0" w:type="dxa"/>
              <w:right w:w="108" w:type="dxa"/>
            </w:tcMar>
            <w:hideMark/>
          </w:tcPr>
          <w:p w14:paraId="537AFDC5"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3066585E" w14:textId="77777777" w:rsidR="00000000" w:rsidRDefault="00000000">
            <w:pPr>
              <w:bidi/>
              <w:rPr>
                <w:rtl/>
              </w:rPr>
            </w:pPr>
            <w:r>
              <w:rPr>
                <w:rStyle w:val="f41dinim"/>
                <w:rFonts w:ascii="David" w:hAnsi="David" w:cs="David"/>
                <w:sz w:val="28"/>
                <w:szCs w:val="28"/>
                <w:rtl/>
              </w:rPr>
              <w:t xml:space="preserve">כבוד השופט </w:t>
            </w:r>
            <w:bookmarkStart w:id="1" w:name="_Hlk220584667"/>
            <w:r>
              <w:rPr>
                <w:rStyle w:val="f41dinim"/>
                <w:rFonts w:ascii="David" w:hAnsi="David" w:cs="David"/>
                <w:sz w:val="28"/>
                <w:szCs w:val="28"/>
                <w:rtl/>
              </w:rPr>
              <w:t>אילן צור</w:t>
            </w:r>
            <w:bookmarkEnd w:id="1"/>
          </w:p>
          <w:p w14:paraId="6158D3E8" w14:textId="77777777" w:rsidR="00000000" w:rsidRDefault="00000000">
            <w:pPr>
              <w:bidi/>
              <w:rPr>
                <w:rtl/>
              </w:rPr>
            </w:pPr>
            <w:r>
              <w:rPr>
                <w:rStyle w:val="f41dinim"/>
                <w:rFonts w:ascii="David" w:hAnsi="David" w:cs="David"/>
                <w:sz w:val="28"/>
                <w:szCs w:val="28"/>
                <w:rtl/>
              </w:rPr>
              <w:t> </w:t>
            </w:r>
          </w:p>
        </w:tc>
      </w:tr>
      <w:tr w:rsidR="00000000" w14:paraId="34E940C5" w14:textId="77777777">
        <w:trPr>
          <w:jc w:val="center"/>
        </w:trPr>
        <w:tc>
          <w:tcPr>
            <w:tcW w:w="3249" w:type="dxa"/>
            <w:gridSpan w:val="2"/>
            <w:tcMar>
              <w:top w:w="0" w:type="dxa"/>
              <w:left w:w="108" w:type="dxa"/>
              <w:bottom w:w="0" w:type="dxa"/>
              <w:right w:w="108" w:type="dxa"/>
            </w:tcMar>
            <w:hideMark/>
          </w:tcPr>
          <w:p w14:paraId="7CF4A0D1" w14:textId="77777777" w:rsidR="00000000" w:rsidRDefault="00000000">
            <w:pPr>
              <w:bidi/>
              <w:rPr>
                <w:rtl/>
              </w:rPr>
            </w:pPr>
            <w:r>
              <w:rPr>
                <w:rFonts w:ascii="David" w:hAnsi="David" w:cs="David"/>
                <w:sz w:val="28"/>
                <w:szCs w:val="28"/>
                <w:rtl/>
              </w:rPr>
              <w:t> </w:t>
            </w:r>
          </w:p>
          <w:p w14:paraId="4FCA7533" w14:textId="77777777" w:rsidR="00000000" w:rsidRDefault="00000000">
            <w:pPr>
              <w:bidi/>
              <w:rPr>
                <w:rtl/>
              </w:rPr>
            </w:pPr>
            <w:r>
              <w:rPr>
                <w:rFonts w:ascii="David" w:hAnsi="David" w:cs="David"/>
                <w:sz w:val="28"/>
                <w:szCs w:val="28"/>
                <w:rtl/>
              </w:rPr>
              <w:t>המערערת:</w:t>
            </w:r>
          </w:p>
        </w:tc>
        <w:tc>
          <w:tcPr>
            <w:tcW w:w="5571" w:type="dxa"/>
            <w:tcMar>
              <w:top w:w="0" w:type="dxa"/>
              <w:left w:w="108" w:type="dxa"/>
              <w:bottom w:w="0" w:type="dxa"/>
              <w:right w:w="108" w:type="dxa"/>
            </w:tcMar>
            <w:hideMark/>
          </w:tcPr>
          <w:p w14:paraId="24FF085C" w14:textId="77777777" w:rsidR="00000000" w:rsidRDefault="00000000">
            <w:pPr>
              <w:bidi/>
              <w:rPr>
                <w:rtl/>
              </w:rPr>
            </w:pPr>
            <w:r>
              <w:rPr>
                <w:rFonts w:ascii="David" w:hAnsi="David" w:cs="David"/>
                <w:sz w:val="28"/>
                <w:szCs w:val="28"/>
                <w:rtl/>
              </w:rPr>
              <w:t> </w:t>
            </w:r>
          </w:p>
          <w:p w14:paraId="66F07B4D" w14:textId="77777777" w:rsidR="00000000" w:rsidRDefault="00000000">
            <w:pPr>
              <w:bidi/>
              <w:rPr>
                <w:rtl/>
              </w:rPr>
            </w:pPr>
            <w:r>
              <w:rPr>
                <w:rStyle w:val="f2dinim"/>
                <w:rFonts w:ascii="David" w:hAnsi="David" w:cs="David"/>
                <w:sz w:val="28"/>
                <w:szCs w:val="28"/>
                <w:rtl/>
              </w:rPr>
              <w:t xml:space="preserve">פלורה </w:t>
            </w:r>
            <w:proofErr w:type="spellStart"/>
            <w:r>
              <w:rPr>
                <w:rStyle w:val="f2dinim"/>
                <w:rFonts w:ascii="David" w:hAnsi="David" w:cs="David"/>
                <w:sz w:val="28"/>
                <w:szCs w:val="28"/>
                <w:rtl/>
              </w:rPr>
              <w:t>שאוליאן</w:t>
            </w:r>
            <w:proofErr w:type="spellEnd"/>
          </w:p>
          <w:p w14:paraId="32B7168F" w14:textId="77777777" w:rsidR="00000000" w:rsidRDefault="00000000">
            <w:pPr>
              <w:bidi/>
              <w:rPr>
                <w:rtl/>
              </w:rPr>
            </w:pPr>
            <w:r>
              <w:rPr>
                <w:rFonts w:ascii="David" w:hAnsi="David" w:cs="David"/>
                <w:sz w:val="28"/>
                <w:szCs w:val="28"/>
                <w:rtl/>
              </w:rPr>
              <w:t xml:space="preserve">ע"י ב"כ עו"ד ניסן </w:t>
            </w:r>
            <w:proofErr w:type="spellStart"/>
            <w:r>
              <w:rPr>
                <w:rFonts w:ascii="David" w:hAnsi="David" w:cs="David"/>
                <w:sz w:val="28"/>
                <w:szCs w:val="28"/>
                <w:rtl/>
              </w:rPr>
              <w:t>שאוליאן</w:t>
            </w:r>
            <w:proofErr w:type="spellEnd"/>
          </w:p>
        </w:tc>
      </w:tr>
      <w:tr w:rsidR="00000000" w14:paraId="4BA73A10" w14:textId="77777777">
        <w:trPr>
          <w:jc w:val="center"/>
        </w:trPr>
        <w:tc>
          <w:tcPr>
            <w:tcW w:w="8820" w:type="dxa"/>
            <w:gridSpan w:val="3"/>
            <w:tcMar>
              <w:top w:w="0" w:type="dxa"/>
              <w:left w:w="108" w:type="dxa"/>
              <w:bottom w:w="0" w:type="dxa"/>
              <w:right w:w="108" w:type="dxa"/>
            </w:tcMar>
            <w:hideMark/>
          </w:tcPr>
          <w:p w14:paraId="736690B7" w14:textId="77777777" w:rsidR="00000000" w:rsidRDefault="00000000">
            <w:pPr>
              <w:bidi/>
              <w:rPr>
                <w:rtl/>
              </w:rPr>
            </w:pPr>
            <w:r>
              <w:rPr>
                <w:rFonts w:ascii="David" w:hAnsi="David" w:cs="David"/>
                <w:sz w:val="28"/>
                <w:szCs w:val="28"/>
                <w:rtl/>
              </w:rPr>
              <w:t> </w:t>
            </w:r>
          </w:p>
          <w:p w14:paraId="40CAC3CD" w14:textId="77777777" w:rsidR="00000000" w:rsidRDefault="00000000">
            <w:pPr>
              <w:bidi/>
              <w:jc w:val="center"/>
              <w:rPr>
                <w:rtl/>
              </w:rPr>
            </w:pPr>
            <w:r>
              <w:rPr>
                <w:rFonts w:ascii="David" w:hAnsi="David" w:cs="David"/>
                <w:sz w:val="28"/>
                <w:szCs w:val="28"/>
                <w:rtl/>
              </w:rPr>
              <w:t> </w:t>
            </w:r>
          </w:p>
          <w:p w14:paraId="3DC66B1C" w14:textId="77777777" w:rsidR="00000000" w:rsidRDefault="00000000">
            <w:pPr>
              <w:bidi/>
              <w:jc w:val="center"/>
              <w:rPr>
                <w:rtl/>
              </w:rPr>
            </w:pPr>
            <w:r>
              <w:rPr>
                <w:rStyle w:val="f2ndinim"/>
                <w:rFonts w:ascii="David" w:hAnsi="David" w:cs="David"/>
                <w:sz w:val="28"/>
                <w:szCs w:val="28"/>
                <w:rtl/>
              </w:rPr>
              <w:t>נגד</w:t>
            </w:r>
          </w:p>
          <w:p w14:paraId="0007F0A2" w14:textId="77777777" w:rsidR="00000000" w:rsidRDefault="00000000">
            <w:pPr>
              <w:bidi/>
              <w:rPr>
                <w:rtl/>
              </w:rPr>
            </w:pPr>
            <w:r>
              <w:rPr>
                <w:rFonts w:ascii="David" w:hAnsi="David" w:cs="David"/>
                <w:sz w:val="28"/>
                <w:szCs w:val="28"/>
              </w:rPr>
              <w:t> </w:t>
            </w:r>
          </w:p>
        </w:tc>
      </w:tr>
      <w:tr w:rsidR="00000000" w14:paraId="7C9007E9" w14:textId="77777777">
        <w:trPr>
          <w:jc w:val="center"/>
        </w:trPr>
        <w:tc>
          <w:tcPr>
            <w:tcW w:w="3249" w:type="dxa"/>
            <w:gridSpan w:val="2"/>
            <w:tcMar>
              <w:top w:w="0" w:type="dxa"/>
              <w:left w:w="108" w:type="dxa"/>
              <w:bottom w:w="0" w:type="dxa"/>
              <w:right w:w="108" w:type="dxa"/>
            </w:tcMar>
            <w:hideMark/>
          </w:tcPr>
          <w:p w14:paraId="696B4F07" w14:textId="77777777" w:rsidR="00000000" w:rsidRDefault="00000000">
            <w:pPr>
              <w:bidi/>
              <w:rPr>
                <w:rtl/>
              </w:rPr>
            </w:pPr>
            <w:r>
              <w:rPr>
                <w:rFonts w:ascii="David" w:hAnsi="David" w:cs="David"/>
                <w:sz w:val="28"/>
                <w:szCs w:val="28"/>
                <w:rtl/>
              </w:rPr>
              <w:t> </w:t>
            </w:r>
          </w:p>
          <w:p w14:paraId="54C3B781" w14:textId="77777777" w:rsidR="00000000" w:rsidRDefault="00000000">
            <w:pPr>
              <w:bidi/>
              <w:rPr>
                <w:rtl/>
              </w:rPr>
            </w:pPr>
            <w:r>
              <w:rPr>
                <w:rFonts w:ascii="David" w:hAnsi="David" w:cs="David"/>
                <w:sz w:val="28"/>
                <w:szCs w:val="28"/>
                <w:rtl/>
              </w:rPr>
              <w:t>המשיבה:</w:t>
            </w:r>
          </w:p>
        </w:tc>
        <w:tc>
          <w:tcPr>
            <w:tcW w:w="5571" w:type="dxa"/>
            <w:tcMar>
              <w:top w:w="0" w:type="dxa"/>
              <w:left w:w="108" w:type="dxa"/>
              <w:bottom w:w="0" w:type="dxa"/>
              <w:right w:w="108" w:type="dxa"/>
            </w:tcMar>
            <w:hideMark/>
          </w:tcPr>
          <w:p w14:paraId="7363A248" w14:textId="77777777" w:rsidR="00000000" w:rsidRDefault="00000000">
            <w:pPr>
              <w:bidi/>
              <w:rPr>
                <w:rtl/>
              </w:rPr>
            </w:pPr>
            <w:r>
              <w:rPr>
                <w:rFonts w:ascii="David" w:hAnsi="David" w:cs="David"/>
                <w:sz w:val="28"/>
                <w:szCs w:val="28"/>
                <w:rtl/>
              </w:rPr>
              <w:t> </w:t>
            </w:r>
          </w:p>
          <w:p w14:paraId="50559CDD" w14:textId="77777777" w:rsidR="00000000" w:rsidRDefault="00000000">
            <w:pPr>
              <w:bidi/>
              <w:rPr>
                <w:rtl/>
              </w:rPr>
            </w:pPr>
            <w:r>
              <w:rPr>
                <w:rStyle w:val="f3dinim"/>
                <w:rFonts w:ascii="David" w:hAnsi="David" w:cs="David"/>
                <w:sz w:val="28"/>
                <w:szCs w:val="28"/>
                <w:rtl/>
              </w:rPr>
              <w:t>הועדה המקומית לתכנון ובניה תל אביב</w:t>
            </w:r>
          </w:p>
          <w:p w14:paraId="7F6FBC19" w14:textId="77777777" w:rsidR="00000000" w:rsidRDefault="00000000">
            <w:pPr>
              <w:bidi/>
              <w:rPr>
                <w:rtl/>
              </w:rPr>
            </w:pPr>
            <w:r>
              <w:rPr>
                <w:rFonts w:ascii="David" w:hAnsi="David" w:cs="David"/>
                <w:sz w:val="28"/>
                <w:szCs w:val="28"/>
                <w:rtl/>
              </w:rPr>
              <w:t xml:space="preserve">ע"י ב"כ עו"ד אביטל </w:t>
            </w:r>
            <w:proofErr w:type="spellStart"/>
            <w:r>
              <w:rPr>
                <w:rFonts w:ascii="David" w:hAnsi="David" w:cs="David"/>
                <w:sz w:val="28"/>
                <w:szCs w:val="28"/>
                <w:rtl/>
              </w:rPr>
              <w:t>פריזמנט</w:t>
            </w:r>
            <w:proofErr w:type="spellEnd"/>
            <w:r>
              <w:rPr>
                <w:rFonts w:ascii="David" w:hAnsi="David" w:cs="David"/>
                <w:sz w:val="28"/>
                <w:szCs w:val="28"/>
                <w:rtl/>
              </w:rPr>
              <w:t>-ביטון</w:t>
            </w:r>
          </w:p>
        </w:tc>
      </w:tr>
      <w:tr w:rsidR="00000000" w14:paraId="76B11322" w14:textId="77777777">
        <w:trPr>
          <w:jc w:val="center"/>
        </w:trPr>
        <w:tc>
          <w:tcPr>
            <w:tcW w:w="750" w:type="dxa"/>
            <w:tcBorders>
              <w:top w:val="nil"/>
              <w:left w:val="nil"/>
              <w:bottom w:val="nil"/>
              <w:right w:val="nil"/>
            </w:tcBorders>
            <w:vAlign w:val="center"/>
            <w:hideMark/>
          </w:tcPr>
          <w:p w14:paraId="3C8C6729" w14:textId="77777777" w:rsidR="00000000" w:rsidRDefault="00000000">
            <w:pPr>
              <w:rPr>
                <w:rtl/>
              </w:rPr>
            </w:pPr>
          </w:p>
        </w:tc>
        <w:tc>
          <w:tcPr>
            <w:tcW w:w="2505" w:type="dxa"/>
            <w:tcBorders>
              <w:top w:val="nil"/>
              <w:left w:val="nil"/>
              <w:bottom w:val="nil"/>
              <w:right w:val="nil"/>
            </w:tcBorders>
            <w:vAlign w:val="center"/>
            <w:hideMark/>
          </w:tcPr>
          <w:p w14:paraId="715E70ED"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4F1F168E" w14:textId="77777777" w:rsidR="00000000" w:rsidRDefault="00000000">
            <w:pPr>
              <w:bidi/>
              <w:rPr>
                <w:rFonts w:eastAsia="Times New Roman"/>
                <w:sz w:val="20"/>
                <w:szCs w:val="20"/>
              </w:rPr>
            </w:pPr>
          </w:p>
        </w:tc>
      </w:tr>
    </w:tbl>
    <w:p w14:paraId="0237FF7C" w14:textId="77777777" w:rsidR="00000000" w:rsidRDefault="00000000">
      <w:pPr>
        <w:bidi/>
      </w:pPr>
      <w:r>
        <w:rPr>
          <w:rFonts w:ascii="David" w:hAnsi="David" w:cs="David"/>
          <w:sz w:val="28"/>
          <w:szCs w:val="28"/>
          <w:rtl/>
        </w:rPr>
        <w:t> </w:t>
      </w:r>
    </w:p>
    <w:p w14:paraId="3950DC8A" w14:textId="77777777" w:rsidR="00000000" w:rsidRDefault="00000000">
      <w:pPr>
        <w:bidi/>
        <w:rPr>
          <w:rtl/>
        </w:rPr>
      </w:pPr>
      <w:r>
        <w:rPr>
          <w:rFonts w:ascii="David" w:hAnsi="David" w:cs="David"/>
          <w:sz w:val="28"/>
          <w:szCs w:val="28"/>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40854F7" w14:textId="77777777">
        <w:trPr>
          <w:jc w:val="center"/>
        </w:trPr>
        <w:tc>
          <w:tcPr>
            <w:tcW w:w="8820" w:type="dxa"/>
            <w:tcMar>
              <w:top w:w="0" w:type="dxa"/>
              <w:left w:w="108" w:type="dxa"/>
              <w:bottom w:w="0" w:type="dxa"/>
              <w:right w:w="108" w:type="dxa"/>
            </w:tcMar>
            <w:hideMark/>
          </w:tcPr>
          <w:p w14:paraId="6E295F37" w14:textId="77777777" w:rsidR="00000000" w:rsidRDefault="00000000">
            <w:pPr>
              <w:bidi/>
              <w:jc w:val="center"/>
              <w:rPr>
                <w:rtl/>
              </w:rPr>
            </w:pPr>
            <w:r>
              <w:rPr>
                <w:rFonts w:ascii="David" w:hAnsi="David" w:cs="David"/>
                <w:sz w:val="28"/>
                <w:szCs w:val="28"/>
                <w:rtl/>
              </w:rPr>
              <w:t> </w:t>
            </w:r>
          </w:p>
          <w:p w14:paraId="4436C3F5" w14:textId="77777777" w:rsidR="00000000" w:rsidRDefault="00000000">
            <w:pPr>
              <w:bidi/>
              <w:jc w:val="center"/>
              <w:rPr>
                <w:rtl/>
              </w:rPr>
            </w:pPr>
            <w:r>
              <w:rPr>
                <w:rStyle w:val="f13hdinim"/>
                <w:rFonts w:ascii="David" w:hAnsi="David" w:cs="David"/>
                <w:b/>
                <w:bCs/>
                <w:sz w:val="28"/>
                <w:szCs w:val="28"/>
                <w:u w:val="single"/>
                <w:rtl/>
              </w:rPr>
              <w:t>פסק דין</w:t>
            </w:r>
          </w:p>
        </w:tc>
      </w:tr>
    </w:tbl>
    <w:p w14:paraId="4EB03BBB" w14:textId="77777777" w:rsidR="00000000" w:rsidRDefault="00000000">
      <w:pPr>
        <w:bidi/>
        <w:spacing w:line="360" w:lineRule="auto"/>
        <w:jc w:val="center"/>
        <w:rPr>
          <w:rtl/>
        </w:rPr>
      </w:pPr>
      <w:r>
        <w:rPr>
          <w:rFonts w:ascii="David" w:hAnsi="David" w:cs="David"/>
          <w:sz w:val="28"/>
          <w:szCs w:val="28"/>
          <w:rtl/>
        </w:rPr>
        <w:t> </w:t>
      </w:r>
    </w:p>
    <w:p w14:paraId="59F05105" w14:textId="77777777" w:rsidR="00000000" w:rsidRDefault="00000000">
      <w:pPr>
        <w:pStyle w:val="NormalWeb"/>
        <w:bidi/>
        <w:spacing w:before="0" w:beforeAutospacing="0" w:after="0" w:afterAutospacing="0" w:line="360" w:lineRule="auto"/>
        <w:jc w:val="both"/>
        <w:rPr>
          <w:rtl/>
        </w:rPr>
      </w:pPr>
      <w:r>
        <w:rPr>
          <w:rFonts w:ascii="David" w:hAnsi="David" w:cs="David"/>
          <w:sz w:val="28"/>
          <w:szCs w:val="28"/>
          <w:rtl/>
        </w:rPr>
        <w:t xml:space="preserve">מונח לפניי </w:t>
      </w:r>
      <w:bookmarkStart w:id="2" w:name="_Hlk220584694"/>
      <w:r>
        <w:rPr>
          <w:rFonts w:ascii="David" w:hAnsi="David" w:cs="David"/>
          <w:sz w:val="28"/>
          <w:szCs w:val="28"/>
          <w:rtl/>
        </w:rPr>
        <w:t xml:space="preserve">ערעור </w:t>
      </w:r>
      <w:proofErr w:type="spellStart"/>
      <w:r>
        <w:rPr>
          <w:rFonts w:ascii="David" w:hAnsi="David" w:cs="David"/>
          <w:sz w:val="28"/>
          <w:szCs w:val="28"/>
          <w:rtl/>
        </w:rPr>
        <w:t>מינהלי</w:t>
      </w:r>
      <w:proofErr w:type="spellEnd"/>
      <w:r>
        <w:rPr>
          <w:rFonts w:ascii="David" w:hAnsi="David" w:cs="David"/>
          <w:sz w:val="28"/>
          <w:szCs w:val="28"/>
          <w:rtl/>
        </w:rPr>
        <w:t xml:space="preserve"> על החלטת ועדת הערר לפיצויים ולהיטל השבחה מחוז תל-אביב, אשר דחתה ערר שהגישה המערערת על שומה מכרעת וחיוב בהיטל השבחה, אשר נקבעו בעקבות מימוש זכויות בדרך של היתר בנייה</w:t>
      </w:r>
      <w:r>
        <w:rPr>
          <w:rFonts w:ascii="David" w:hAnsi="David" w:cs="David"/>
          <w:sz w:val="28"/>
          <w:szCs w:val="28"/>
        </w:rPr>
        <w:t>.</w:t>
      </w:r>
      <w:r>
        <w:rPr>
          <w:rFonts w:ascii="David" w:hAnsi="David" w:cs="David"/>
          <w:sz w:val="28"/>
          <w:szCs w:val="28"/>
          <w:rtl/>
        </w:rPr>
        <w:t xml:space="preserve"> </w:t>
      </w:r>
    </w:p>
    <w:p w14:paraId="73610FB8" w14:textId="77777777" w:rsidR="00000000" w:rsidRDefault="00000000">
      <w:pPr>
        <w:pStyle w:val="NormalWeb"/>
        <w:bidi/>
        <w:spacing w:before="0" w:beforeAutospacing="0" w:after="0" w:afterAutospacing="0" w:line="360" w:lineRule="auto"/>
        <w:jc w:val="both"/>
        <w:rPr>
          <w:rtl/>
        </w:rPr>
      </w:pPr>
      <w:r>
        <w:rPr>
          <w:rFonts w:ascii="David" w:hAnsi="David" w:cs="David"/>
          <w:sz w:val="28"/>
          <w:szCs w:val="28"/>
          <w:rtl/>
        </w:rPr>
        <w:t>המערערת תוקפת, בין היתר, את החיוב בגין שטח פיר חדר המדרגות בקומת הקרקע, בטענה כי שטח זה היה קיים ושימש את הבניין גם במצב הקודם, ומשכך אין בו כדי ליצור השבחה</w:t>
      </w:r>
      <w:r>
        <w:rPr>
          <w:rFonts w:ascii="David" w:hAnsi="David" w:cs="David"/>
          <w:sz w:val="28"/>
          <w:szCs w:val="28"/>
        </w:rPr>
        <w:t>.</w:t>
      </w:r>
    </w:p>
    <w:bookmarkEnd w:id="2"/>
    <w:p w14:paraId="6DA4FD0D" w14:textId="77777777" w:rsidR="00000000" w:rsidRDefault="00000000">
      <w:pPr>
        <w:bidi/>
        <w:spacing w:line="360" w:lineRule="auto"/>
        <w:jc w:val="both"/>
        <w:rPr>
          <w:rtl/>
        </w:rPr>
      </w:pPr>
      <w:r>
        <w:rPr>
          <w:rFonts w:ascii="David" w:hAnsi="David" w:cs="David"/>
          <w:sz w:val="28"/>
          <w:szCs w:val="28"/>
        </w:rPr>
        <w:t> </w:t>
      </w:r>
    </w:p>
    <w:p w14:paraId="6D8CDB9F" w14:textId="77777777" w:rsidR="00000000" w:rsidRDefault="00000000">
      <w:pPr>
        <w:bidi/>
        <w:spacing w:line="360" w:lineRule="auto"/>
        <w:jc w:val="both"/>
        <w:rPr>
          <w:rtl/>
        </w:rPr>
      </w:pPr>
      <w:r>
        <w:rPr>
          <w:rFonts w:ascii="David" w:hAnsi="David" w:cs="David"/>
          <w:sz w:val="28"/>
          <w:szCs w:val="28"/>
          <w:u w:val="single"/>
          <w:rtl/>
        </w:rPr>
        <w:t>רקע ועובדות</w:t>
      </w:r>
    </w:p>
    <w:p w14:paraId="4FD2655C" w14:textId="77777777" w:rsidR="00000000" w:rsidRDefault="00000000">
      <w:pPr>
        <w:pStyle w:val="a9"/>
        <w:spacing w:after="0" w:line="360" w:lineRule="auto"/>
        <w:ind w:left="368" w:hanging="426"/>
        <w:jc w:val="both"/>
        <w:rPr>
          <w:rtl/>
        </w:rPr>
      </w:pPr>
      <w:r>
        <w:rPr>
          <w:rFonts w:ascii="David" w:hAnsi="David" w:cs="David"/>
          <w:b/>
          <w:bCs/>
          <w:color w:val="000000"/>
          <w:sz w:val="28"/>
          <w:szCs w:val="28"/>
          <w:rtl/>
        </w:rPr>
        <w:t>1.</w:t>
      </w:r>
      <w:r>
        <w:rPr>
          <w:rFonts w:ascii="Times New Roman" w:hAnsi="Times New Roman" w:cs="Times New Roman"/>
          <w:b/>
          <w:bCs/>
          <w:color w:val="000000"/>
          <w:sz w:val="14"/>
          <w:szCs w:val="14"/>
          <w:rtl/>
        </w:rPr>
        <w:t xml:space="preserve">  </w:t>
      </w:r>
      <w:bookmarkStart w:id="3" w:name="_Hlk220584781"/>
      <w:r>
        <w:rPr>
          <w:rFonts w:ascii="David" w:hAnsi="David" w:cs="David"/>
          <w:color w:val="000000"/>
          <w:sz w:val="28"/>
          <w:szCs w:val="28"/>
          <w:rtl/>
        </w:rPr>
        <w:t xml:space="preserve">המערערת היא בעלת זכויות חכירה של מחצית מהמקרקעין שברח' אוגרית 23 פינת רח' קפריסין 14 בתל אביב, המצויה בשכונת תל ברוך דרום - עליה בנוי מבנה דו-קומתי ותיק צמוד קרקע. על פי תכנית בקשה להיתר משנת 1951, שטח המבנה הוא 234.60 מ"ר - כל קומה בשטח של 117.3 מ"ר + 13.2 מ"ר גג. </w:t>
      </w:r>
    </w:p>
    <w:p w14:paraId="55876B56" w14:textId="77777777" w:rsidR="00000000" w:rsidRDefault="00000000">
      <w:pPr>
        <w:pStyle w:val="a9"/>
        <w:spacing w:after="0" w:line="360" w:lineRule="auto"/>
        <w:ind w:left="368"/>
        <w:jc w:val="both"/>
        <w:rPr>
          <w:rtl/>
        </w:rPr>
      </w:pPr>
      <w:r>
        <w:rPr>
          <w:rFonts w:ascii="David" w:hAnsi="David" w:cs="David"/>
          <w:color w:val="000000"/>
          <w:sz w:val="28"/>
          <w:szCs w:val="28"/>
        </w:rPr>
        <w:t> </w:t>
      </w:r>
    </w:p>
    <w:p w14:paraId="472DB82E" w14:textId="77777777" w:rsidR="00000000" w:rsidRDefault="00000000">
      <w:pPr>
        <w:pStyle w:val="a9"/>
        <w:spacing w:after="0" w:line="360" w:lineRule="auto"/>
        <w:ind w:left="368" w:hanging="426"/>
        <w:jc w:val="both"/>
        <w:rPr>
          <w:rtl/>
        </w:rPr>
      </w:pPr>
      <w:r>
        <w:rPr>
          <w:rFonts w:ascii="David" w:hAnsi="David" w:cs="David"/>
          <w:b/>
          <w:bCs/>
          <w:color w:val="000000"/>
          <w:sz w:val="28"/>
          <w:szCs w:val="28"/>
          <w:rtl/>
        </w:rPr>
        <w:t>2.</w:t>
      </w:r>
      <w:r>
        <w:rPr>
          <w:rFonts w:ascii="Times New Roman" w:hAnsi="Times New Roman" w:cs="Times New Roman"/>
          <w:b/>
          <w:bCs/>
          <w:color w:val="000000"/>
          <w:sz w:val="14"/>
          <w:szCs w:val="14"/>
          <w:rtl/>
        </w:rPr>
        <w:t xml:space="preserve">  </w:t>
      </w:r>
      <w:r>
        <w:rPr>
          <w:rFonts w:ascii="David" w:hAnsi="David" w:cs="David"/>
          <w:color w:val="000000"/>
          <w:sz w:val="28"/>
          <w:szCs w:val="28"/>
          <w:rtl/>
        </w:rPr>
        <w:t xml:space="preserve">המערערת חויבה בהיטל השבחה </w:t>
      </w:r>
      <w:proofErr w:type="spellStart"/>
      <w:r>
        <w:rPr>
          <w:rFonts w:ascii="David" w:hAnsi="David" w:cs="David"/>
          <w:color w:val="000000"/>
          <w:sz w:val="28"/>
          <w:szCs w:val="28"/>
          <w:rtl/>
        </w:rPr>
        <w:t>מכח</w:t>
      </w:r>
      <w:proofErr w:type="spellEnd"/>
      <w:r>
        <w:rPr>
          <w:rFonts w:ascii="David" w:hAnsi="David" w:cs="David"/>
          <w:color w:val="000000"/>
          <w:sz w:val="28"/>
          <w:szCs w:val="28"/>
          <w:rtl/>
        </w:rPr>
        <w:t xml:space="preserve"> הקלות, לרבות הקלה לפיצול יחידת דיור קיימת בת 2 קומות ל - 2 יחידות דיור מכוח תיקון 117 לחוק התכנון והבניה. </w:t>
      </w:r>
    </w:p>
    <w:p w14:paraId="3FFF92CE" w14:textId="77777777" w:rsidR="00000000" w:rsidRDefault="00000000">
      <w:pPr>
        <w:pStyle w:val="a9"/>
        <w:rPr>
          <w:rtl/>
        </w:rPr>
      </w:pPr>
      <w:r>
        <w:rPr>
          <w:rFonts w:ascii="David" w:hAnsi="David" w:cs="David"/>
          <w:color w:val="000000"/>
          <w:sz w:val="28"/>
          <w:szCs w:val="28"/>
        </w:rPr>
        <w:t> </w:t>
      </w:r>
    </w:p>
    <w:p w14:paraId="4AAFB75C" w14:textId="77777777" w:rsidR="00000000" w:rsidRDefault="00000000">
      <w:pPr>
        <w:pStyle w:val="a9"/>
        <w:spacing w:after="0" w:line="360" w:lineRule="auto"/>
        <w:ind w:left="368" w:hanging="426"/>
        <w:jc w:val="both"/>
        <w:rPr>
          <w:rtl/>
        </w:rPr>
      </w:pPr>
      <w:r>
        <w:rPr>
          <w:rFonts w:ascii="David" w:hAnsi="David" w:cs="David"/>
          <w:b/>
          <w:bCs/>
          <w:color w:val="000000"/>
          <w:sz w:val="28"/>
          <w:szCs w:val="28"/>
          <w:rtl/>
        </w:rPr>
        <w:lastRenderedPageBreak/>
        <w:t>3.</w:t>
      </w:r>
      <w:r>
        <w:rPr>
          <w:rFonts w:ascii="Times New Roman" w:hAnsi="Times New Roman" w:cs="Times New Roman"/>
          <w:b/>
          <w:bCs/>
          <w:color w:val="000000"/>
          <w:sz w:val="14"/>
          <w:szCs w:val="14"/>
          <w:rtl/>
        </w:rPr>
        <w:t xml:space="preserve">  </w:t>
      </w:r>
      <w:r>
        <w:rPr>
          <w:rFonts w:ascii="David" w:hAnsi="David" w:cs="David"/>
          <w:sz w:val="28"/>
          <w:szCs w:val="28"/>
          <w:rtl/>
        </w:rPr>
        <w:t>על שומת היטל ההשבחה הוגשו מספר השגות: השגה אחת לשמאי מכריע על שיעור החיוב בהיטל, והשגה שניה על עצם החיוב בהיטל בטענה לפטור לפי סעיף 19(ג) לתוספת השלישית לחוק</w:t>
      </w:r>
      <w:bookmarkEnd w:id="3"/>
      <w:r>
        <w:rPr>
          <w:rFonts w:ascii="David" w:hAnsi="David" w:cs="David"/>
          <w:sz w:val="28"/>
          <w:szCs w:val="28"/>
          <w:rtl/>
        </w:rPr>
        <w:t xml:space="preserve"> (פטור מהיטל להרחבת דירה עד 140 מ"ר - א.צ). </w:t>
      </w:r>
    </w:p>
    <w:p w14:paraId="521A2C0C" w14:textId="77777777" w:rsidR="00000000" w:rsidRDefault="00000000">
      <w:pPr>
        <w:pStyle w:val="a9"/>
        <w:rPr>
          <w:rtl/>
        </w:rPr>
      </w:pPr>
      <w:r>
        <w:rPr>
          <w:rFonts w:ascii="David" w:hAnsi="David" w:cs="David"/>
          <w:color w:val="000000"/>
          <w:sz w:val="28"/>
          <w:szCs w:val="28"/>
        </w:rPr>
        <w:t> </w:t>
      </w:r>
    </w:p>
    <w:p w14:paraId="5118AA37" w14:textId="77777777" w:rsidR="00000000" w:rsidRDefault="00000000">
      <w:pPr>
        <w:pStyle w:val="a9"/>
        <w:spacing w:after="0" w:line="360" w:lineRule="auto"/>
        <w:ind w:left="368" w:hanging="426"/>
        <w:jc w:val="both"/>
        <w:rPr>
          <w:rtl/>
        </w:rPr>
      </w:pPr>
      <w:r>
        <w:rPr>
          <w:rFonts w:ascii="David" w:hAnsi="David" w:cs="David"/>
          <w:b/>
          <w:bCs/>
          <w:color w:val="000000"/>
          <w:sz w:val="28"/>
          <w:szCs w:val="28"/>
          <w:rtl/>
        </w:rPr>
        <w:t>4.</w:t>
      </w:r>
      <w:r>
        <w:rPr>
          <w:rFonts w:ascii="Times New Roman" w:hAnsi="Times New Roman" w:cs="Times New Roman"/>
          <w:b/>
          <w:bCs/>
          <w:color w:val="000000"/>
          <w:sz w:val="14"/>
          <w:szCs w:val="14"/>
          <w:rtl/>
        </w:rPr>
        <w:t xml:space="preserve">  </w:t>
      </w:r>
      <w:bookmarkStart w:id="4" w:name="_Hlk220585078"/>
      <w:r>
        <w:rPr>
          <w:rFonts w:ascii="David" w:hAnsi="David" w:cs="David"/>
          <w:sz w:val="28"/>
          <w:szCs w:val="28"/>
          <w:rtl/>
        </w:rPr>
        <w:t xml:space="preserve">בעקבות החלטת ועדת הערר לעניין הפטור, מחקה המערערת את ההשגה אשר הוגשה לשמאי המכריע, ולאחר דיון שהתקיים בערר - ניתנה החלטה הדוחה את טענת הפטור, תוך שנקבע כי על המשיבה לתקן את השומה שנערכה מטעמה, בהתאם למתודה שמאית של השמאי המייעץ בערר </w:t>
      </w:r>
      <w:bookmarkEnd w:id="4"/>
      <w:r>
        <w:rPr>
          <w:rFonts w:ascii="David" w:hAnsi="David" w:cs="David"/>
          <w:sz w:val="28"/>
          <w:szCs w:val="28"/>
          <w:rtl/>
        </w:rPr>
        <w:t xml:space="preserve">(ת"א) 81001-01-21 </w:t>
      </w:r>
      <w:r>
        <w:rPr>
          <w:rFonts w:ascii="David" w:hAnsi="David" w:cs="David"/>
          <w:b/>
          <w:bCs/>
          <w:sz w:val="28"/>
          <w:szCs w:val="28"/>
          <w:rtl/>
        </w:rPr>
        <w:t xml:space="preserve">שפרוט נ' ועדה מקומית </w:t>
      </w:r>
      <w:proofErr w:type="spellStart"/>
      <w:r>
        <w:rPr>
          <w:rFonts w:ascii="David" w:hAnsi="David" w:cs="David"/>
          <w:b/>
          <w:bCs/>
          <w:sz w:val="28"/>
          <w:szCs w:val="28"/>
          <w:rtl/>
        </w:rPr>
        <w:t>לתו"ב</w:t>
      </w:r>
      <w:proofErr w:type="spellEnd"/>
      <w:r>
        <w:rPr>
          <w:rFonts w:ascii="David" w:hAnsi="David" w:cs="David"/>
          <w:b/>
          <w:bCs/>
          <w:sz w:val="28"/>
          <w:szCs w:val="28"/>
          <w:rtl/>
        </w:rPr>
        <w:t xml:space="preserve"> ת"א </w:t>
      </w:r>
      <w:r>
        <w:rPr>
          <w:rFonts w:ascii="David" w:hAnsi="David" w:cs="David"/>
          <w:sz w:val="28"/>
          <w:szCs w:val="28"/>
          <w:rtl/>
        </w:rPr>
        <w:t xml:space="preserve">(לא פורסם, ניתן ביום 5.9.2021). </w:t>
      </w:r>
    </w:p>
    <w:p w14:paraId="3A46E25D" w14:textId="77777777" w:rsidR="00000000" w:rsidRDefault="00000000">
      <w:pPr>
        <w:pStyle w:val="a9"/>
        <w:rPr>
          <w:rtl/>
        </w:rPr>
      </w:pPr>
      <w:r>
        <w:rPr>
          <w:rFonts w:ascii="David" w:hAnsi="David" w:cs="David"/>
          <w:color w:val="000000"/>
          <w:sz w:val="28"/>
          <w:szCs w:val="28"/>
        </w:rPr>
        <w:t> </w:t>
      </w:r>
    </w:p>
    <w:p w14:paraId="4C66D038" w14:textId="77777777" w:rsidR="00000000" w:rsidRDefault="00000000">
      <w:pPr>
        <w:pStyle w:val="a9"/>
        <w:spacing w:after="0" w:line="360" w:lineRule="auto"/>
        <w:ind w:left="368" w:hanging="426"/>
        <w:jc w:val="both"/>
        <w:rPr>
          <w:rtl/>
        </w:rPr>
      </w:pPr>
      <w:r>
        <w:rPr>
          <w:rFonts w:ascii="David" w:hAnsi="David" w:cs="David"/>
          <w:b/>
          <w:bCs/>
          <w:color w:val="000000"/>
          <w:sz w:val="28"/>
          <w:szCs w:val="28"/>
          <w:rtl/>
        </w:rPr>
        <w:t>5.</w:t>
      </w:r>
      <w:r>
        <w:rPr>
          <w:rFonts w:ascii="Times New Roman" w:hAnsi="Times New Roman" w:cs="Times New Roman"/>
          <w:b/>
          <w:bCs/>
          <w:color w:val="000000"/>
          <w:sz w:val="14"/>
          <w:szCs w:val="14"/>
          <w:rtl/>
        </w:rPr>
        <w:t xml:space="preserve">  </w:t>
      </w:r>
      <w:bookmarkStart w:id="5" w:name="_Hlk220585143"/>
      <w:r>
        <w:rPr>
          <w:rFonts w:ascii="David" w:hAnsi="David" w:cs="David"/>
          <w:sz w:val="28"/>
          <w:szCs w:val="28"/>
          <w:rtl/>
        </w:rPr>
        <w:t>לאחר שתוקנה שומת הוועדה המקומית, ונמסרה למערערת שומה מתוקנת, פנתה המערערת בהליך של השגה חדשה אצל השמאי המכריע - מר דוד דדון. מכאן הערעור.</w:t>
      </w:r>
    </w:p>
    <w:bookmarkEnd w:id="5"/>
    <w:p w14:paraId="1F4EC44B" w14:textId="77777777" w:rsidR="00000000" w:rsidRDefault="00000000">
      <w:pPr>
        <w:bidi/>
        <w:spacing w:line="360" w:lineRule="auto"/>
        <w:jc w:val="both"/>
        <w:rPr>
          <w:rtl/>
        </w:rPr>
      </w:pPr>
      <w:r>
        <w:rPr>
          <w:rFonts w:ascii="David" w:hAnsi="David" w:cs="David"/>
          <w:sz w:val="28"/>
          <w:szCs w:val="28"/>
          <w:rtl/>
        </w:rPr>
        <w:t> </w:t>
      </w:r>
    </w:p>
    <w:p w14:paraId="2BCD43D2" w14:textId="77777777" w:rsidR="00000000" w:rsidRDefault="00000000">
      <w:pPr>
        <w:bidi/>
        <w:spacing w:line="360" w:lineRule="auto"/>
        <w:jc w:val="both"/>
        <w:rPr>
          <w:rtl/>
        </w:rPr>
      </w:pPr>
      <w:r>
        <w:rPr>
          <w:rFonts w:ascii="David" w:hAnsi="David" w:cs="David"/>
          <w:sz w:val="28"/>
          <w:szCs w:val="28"/>
          <w:u w:val="single"/>
          <w:rtl/>
        </w:rPr>
        <w:t>החלטת ועדת הערר</w:t>
      </w:r>
    </w:p>
    <w:p w14:paraId="7CAF8935" w14:textId="77777777" w:rsidR="00000000" w:rsidRDefault="00000000">
      <w:pPr>
        <w:pStyle w:val="a9"/>
        <w:spacing w:after="0" w:line="360" w:lineRule="auto"/>
        <w:ind w:left="368" w:hanging="426"/>
        <w:jc w:val="both"/>
        <w:rPr>
          <w:rtl/>
        </w:rPr>
      </w:pPr>
      <w:r>
        <w:rPr>
          <w:rFonts w:ascii="David" w:hAnsi="David" w:cs="David"/>
          <w:b/>
          <w:bCs/>
          <w:sz w:val="28"/>
          <w:szCs w:val="28"/>
          <w:rtl/>
        </w:rPr>
        <w:t>6.</w:t>
      </w:r>
      <w:r>
        <w:rPr>
          <w:rFonts w:ascii="Times New Roman" w:hAnsi="Times New Roman" w:cs="Times New Roman"/>
          <w:b/>
          <w:bCs/>
          <w:sz w:val="14"/>
          <w:szCs w:val="14"/>
          <w:rtl/>
        </w:rPr>
        <w:t xml:space="preserve">  </w:t>
      </w:r>
      <w:r>
        <w:rPr>
          <w:rFonts w:ascii="David" w:hAnsi="David" w:cs="David"/>
          <w:sz w:val="28"/>
          <w:szCs w:val="28"/>
          <w:rtl/>
        </w:rPr>
        <w:t xml:space="preserve">כמפורט בהחלטת ועדת הערר, טענות העוררת לעניין ערכם של המקרקעין - כפי שקבע השמאי המכריע - נדחו. כן נקבעו הדברים הבאים: </w:t>
      </w:r>
    </w:p>
    <w:p w14:paraId="752F9FC0" w14:textId="77777777" w:rsidR="00000000" w:rsidRDefault="00000000">
      <w:pPr>
        <w:pStyle w:val="a9"/>
        <w:spacing w:after="0" w:line="360" w:lineRule="auto"/>
        <w:ind w:left="368" w:hanging="426"/>
        <w:jc w:val="both"/>
        <w:rPr>
          <w:rtl/>
        </w:rPr>
      </w:pPr>
      <w:r>
        <w:rPr>
          <w:rFonts w:ascii="David" w:hAnsi="David" w:cs="David"/>
          <w:sz w:val="28"/>
          <w:szCs w:val="28"/>
        </w:rPr>
        <w:t> </w:t>
      </w:r>
    </w:p>
    <w:p w14:paraId="3F107F5D" w14:textId="77777777" w:rsidR="00000000" w:rsidRDefault="00000000">
      <w:pPr>
        <w:pStyle w:val="a9"/>
        <w:spacing w:after="0" w:line="360" w:lineRule="auto"/>
        <w:ind w:left="728"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sz w:val="28"/>
          <w:szCs w:val="28"/>
          <w:rtl/>
        </w:rPr>
        <w:t>אין לקבל את טענות העוררת לפיה שווי מ"ר מבונה בשומה המכרעת גבוה באופן שיטתי, מגמתי ומובהק, משומת שמאי העוררת ומהממוצע של כלל 4 השומות המכריעות שנערכו בשכונת "</w:t>
      </w:r>
      <w:proofErr w:type="spellStart"/>
      <w:r>
        <w:rPr>
          <w:rFonts w:ascii="David" w:hAnsi="David" w:cs="David"/>
          <w:sz w:val="28"/>
          <w:szCs w:val="28"/>
          <w:rtl/>
        </w:rPr>
        <w:t>אפקה</w:t>
      </w:r>
      <w:proofErr w:type="spellEnd"/>
      <w:r>
        <w:rPr>
          <w:rFonts w:ascii="David" w:hAnsi="David" w:cs="David"/>
          <w:sz w:val="28"/>
          <w:szCs w:val="28"/>
          <w:rtl/>
        </w:rPr>
        <w:t>" ובשכונת "תל ברוך". השמאי המכריע קבע, כי השווי למ"ר מגלם את כלל מאפייני מיקום הנכס וסביבתו בצורה זהירה וכן את מיקומו בצומת דרכים ועל כן אין מקום להפחתה נוספת (בשווי למ"ר - א.צ). קביעות השמאי המכריע מקובלות לחלוטין ומכל מקום, מדובר בטענה היורדת לשורשו של שיקול הדעת השמאי.</w:t>
      </w:r>
    </w:p>
    <w:p w14:paraId="76F2DAF0" w14:textId="77777777" w:rsidR="00000000" w:rsidRDefault="00000000">
      <w:pPr>
        <w:pStyle w:val="a9"/>
        <w:spacing w:after="0" w:line="360" w:lineRule="auto"/>
        <w:ind w:left="368" w:hanging="426"/>
        <w:jc w:val="both"/>
        <w:rPr>
          <w:rtl/>
        </w:rPr>
      </w:pPr>
      <w:r>
        <w:rPr>
          <w:rFonts w:ascii="David" w:hAnsi="David" w:cs="David"/>
          <w:sz w:val="28"/>
          <w:szCs w:val="28"/>
        </w:rPr>
        <w:t> </w:t>
      </w:r>
    </w:p>
    <w:p w14:paraId="5DC62651" w14:textId="77777777" w:rsidR="00000000" w:rsidRDefault="00000000">
      <w:pPr>
        <w:pStyle w:val="a9"/>
        <w:spacing w:after="0" w:line="360" w:lineRule="auto"/>
        <w:ind w:left="793" w:hanging="425"/>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sz w:val="28"/>
          <w:szCs w:val="28"/>
          <w:rtl/>
        </w:rPr>
        <w:t xml:space="preserve">השמאי המכריע לא קבע כל השבחה בגין הפיצול, כי אם רק בגין ההקלות הנוספות שהתבקשו. </w:t>
      </w:r>
    </w:p>
    <w:p w14:paraId="15B8D875" w14:textId="77777777" w:rsidR="00000000" w:rsidRDefault="00000000">
      <w:pPr>
        <w:pStyle w:val="a9"/>
        <w:rPr>
          <w:rtl/>
        </w:rPr>
      </w:pPr>
      <w:r>
        <w:rPr>
          <w:rFonts w:ascii="David" w:hAnsi="David" w:cs="David"/>
          <w:sz w:val="28"/>
          <w:szCs w:val="28"/>
        </w:rPr>
        <w:t> </w:t>
      </w:r>
    </w:p>
    <w:p w14:paraId="6F54AA9C" w14:textId="77777777" w:rsidR="00000000" w:rsidRDefault="00000000">
      <w:pPr>
        <w:pStyle w:val="a9"/>
        <w:spacing w:after="0" w:line="360" w:lineRule="auto"/>
        <w:ind w:left="793" w:hanging="425"/>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sz w:val="28"/>
          <w:szCs w:val="28"/>
          <w:rtl/>
        </w:rPr>
        <w:t xml:space="preserve">הצדדים חלוקים ביניהם ביחס לתוספת השטח העיקרי שמעל 117.3 מ"ר בקומת הקרקע. לגרסת שמאי המערערת, יש להפחית בחישוב היטל ההשבחה את שטח חדר המדרגות בקומת הקרקע. </w:t>
      </w:r>
    </w:p>
    <w:p w14:paraId="1E222606" w14:textId="77777777" w:rsidR="00000000" w:rsidRDefault="00000000">
      <w:pPr>
        <w:pStyle w:val="a9"/>
        <w:rPr>
          <w:rtl/>
        </w:rPr>
      </w:pPr>
      <w:r>
        <w:rPr>
          <w:rFonts w:ascii="David" w:hAnsi="David" w:cs="David"/>
          <w:sz w:val="28"/>
          <w:szCs w:val="28"/>
        </w:rPr>
        <w:t> </w:t>
      </w:r>
    </w:p>
    <w:p w14:paraId="1F1977B1" w14:textId="77777777" w:rsidR="00000000" w:rsidRDefault="00000000">
      <w:pPr>
        <w:pStyle w:val="a9"/>
        <w:spacing w:after="0" w:line="360" w:lineRule="auto"/>
        <w:ind w:left="793" w:hanging="425"/>
        <w:jc w:val="both"/>
        <w:rPr>
          <w:rtl/>
        </w:rPr>
      </w:pPr>
      <w:r>
        <w:rPr>
          <w:rFonts w:ascii="David" w:hAnsi="David" w:cs="David"/>
          <w:b/>
          <w:bCs/>
          <w:sz w:val="28"/>
          <w:szCs w:val="28"/>
          <w:rtl/>
        </w:rPr>
        <w:t>ד.</w:t>
      </w:r>
      <w:r>
        <w:rPr>
          <w:rFonts w:ascii="Times New Roman" w:hAnsi="Times New Roman" w:cs="Times New Roman"/>
          <w:b/>
          <w:bCs/>
          <w:sz w:val="14"/>
          <w:szCs w:val="14"/>
          <w:rtl/>
        </w:rPr>
        <w:t xml:space="preserve">  </w:t>
      </w:r>
      <w:r>
        <w:rPr>
          <w:rFonts w:ascii="David" w:hAnsi="David" w:cs="David"/>
          <w:sz w:val="28"/>
          <w:szCs w:val="28"/>
          <w:rtl/>
        </w:rPr>
        <w:t xml:space="preserve">השמאי המכריע קבע, כי חדר מדרגות לגישה לקומה א' מקומת הקרקע, נדרש עוד במצב הקודם, בו לגישת שמאי המערערת, השימוש הטוב והיעיל היה בית מגורים חד-משפחתי אחד. על כן, חדר מדרגות זה היה קיים בנכס עוד במצב הקודם והיווה שטח דירתי, וסביר כי צריך היה להיספר כשטח לרישוי עוד במצב הקודם, שכן לא הוצגו לפניו תימוכין לכך כי היו שטחים נוספים לניצול במצב הקודם מעבר ל - 117.3 מ"ר. </w:t>
      </w:r>
    </w:p>
    <w:p w14:paraId="2F118E07" w14:textId="77777777" w:rsidR="00000000" w:rsidRDefault="00000000">
      <w:pPr>
        <w:pStyle w:val="a9"/>
        <w:rPr>
          <w:rtl/>
        </w:rPr>
      </w:pPr>
      <w:r>
        <w:rPr>
          <w:rFonts w:ascii="David" w:hAnsi="David" w:cs="David"/>
          <w:sz w:val="28"/>
          <w:szCs w:val="28"/>
        </w:rPr>
        <w:t> </w:t>
      </w:r>
    </w:p>
    <w:p w14:paraId="4F827C62" w14:textId="77777777" w:rsidR="00000000" w:rsidRDefault="00000000">
      <w:pPr>
        <w:pStyle w:val="a9"/>
        <w:spacing w:after="0" w:line="360" w:lineRule="auto"/>
        <w:ind w:left="793" w:hanging="425"/>
        <w:jc w:val="both"/>
        <w:rPr>
          <w:rtl/>
        </w:rPr>
      </w:pPr>
      <w:r>
        <w:rPr>
          <w:rFonts w:ascii="David" w:hAnsi="David" w:cs="David"/>
          <w:b/>
          <w:bCs/>
          <w:sz w:val="28"/>
          <w:szCs w:val="28"/>
          <w:rtl/>
        </w:rPr>
        <w:t>ה.</w:t>
      </w:r>
      <w:r>
        <w:rPr>
          <w:rFonts w:ascii="Times New Roman" w:hAnsi="Times New Roman" w:cs="Times New Roman"/>
          <w:b/>
          <w:bCs/>
          <w:sz w:val="14"/>
          <w:szCs w:val="14"/>
          <w:rtl/>
        </w:rPr>
        <w:t xml:space="preserve">  </w:t>
      </w:r>
      <w:r>
        <w:rPr>
          <w:rFonts w:ascii="David" w:hAnsi="David" w:cs="David"/>
          <w:sz w:val="28"/>
          <w:szCs w:val="28"/>
          <w:rtl/>
        </w:rPr>
        <w:t xml:space="preserve">אין להפחית שטחים עיקריים של חדר מדרגות, שנדרשו גם במצב הקודם ומשמשים את בית המגורים בקומה א' במצב החדש. השימוש בחדר המדרגות מבוצע באופן זהה בשני מצבי התכנון, והשינוי בו משימוש ביח"ד אחת לשימוש ביח"ד נוספת באופן נפרד הינו יחסית קטן. </w:t>
      </w:r>
    </w:p>
    <w:p w14:paraId="5BEA8D46" w14:textId="77777777" w:rsidR="00000000" w:rsidRDefault="00000000">
      <w:pPr>
        <w:pStyle w:val="a9"/>
        <w:rPr>
          <w:rtl/>
        </w:rPr>
      </w:pPr>
      <w:r>
        <w:rPr>
          <w:rFonts w:ascii="David" w:hAnsi="David" w:cs="David"/>
          <w:sz w:val="28"/>
          <w:szCs w:val="28"/>
        </w:rPr>
        <w:t> </w:t>
      </w:r>
    </w:p>
    <w:p w14:paraId="503A8FD2" w14:textId="77777777" w:rsidR="00000000" w:rsidRDefault="00000000">
      <w:pPr>
        <w:pStyle w:val="a9"/>
        <w:spacing w:after="0" w:line="360" w:lineRule="auto"/>
        <w:ind w:left="793" w:hanging="425"/>
        <w:jc w:val="both"/>
        <w:rPr>
          <w:rtl/>
        </w:rPr>
      </w:pPr>
      <w:r>
        <w:rPr>
          <w:rFonts w:ascii="David" w:hAnsi="David" w:cs="David"/>
          <w:b/>
          <w:bCs/>
          <w:sz w:val="28"/>
          <w:szCs w:val="28"/>
          <w:rtl/>
        </w:rPr>
        <w:t>ו.</w:t>
      </w:r>
      <w:r>
        <w:rPr>
          <w:rFonts w:ascii="Times New Roman" w:hAnsi="Times New Roman" w:cs="Times New Roman"/>
          <w:b/>
          <w:bCs/>
          <w:sz w:val="14"/>
          <w:szCs w:val="14"/>
          <w:rtl/>
        </w:rPr>
        <w:t xml:space="preserve">  </w:t>
      </w:r>
      <w:r>
        <w:rPr>
          <w:rFonts w:ascii="David" w:hAnsi="David" w:cs="David"/>
          <w:sz w:val="28"/>
          <w:szCs w:val="28"/>
          <w:rtl/>
        </w:rPr>
        <w:t xml:space="preserve">על כן - כך קבעה ועדת הערר - לא נפל פגם בקביעת השמאי, לפיה השטחים לפיצול הם שטחים של 117 מ"ר של הדירה בקומה התחתונה (מה שהיה חדר שרטוט) ובדין דחה השמאי המכריע את טענת המערערת, לפיה יש לחשב את היקף המקרקעין במצב הקודם ככוללים את שטח חדר המדרגות כשטח עיקרי, שעה שלא כך הדבר. השמאי </w:t>
      </w:r>
      <w:proofErr w:type="spellStart"/>
      <w:r>
        <w:rPr>
          <w:rFonts w:ascii="David" w:hAnsi="David" w:cs="David"/>
          <w:sz w:val="28"/>
          <w:szCs w:val="28"/>
          <w:rtl/>
        </w:rPr>
        <w:t>אמד</w:t>
      </w:r>
      <w:proofErr w:type="spellEnd"/>
      <w:r>
        <w:rPr>
          <w:rFonts w:ascii="David" w:hAnsi="David" w:cs="David"/>
          <w:sz w:val="28"/>
          <w:szCs w:val="28"/>
          <w:rtl/>
        </w:rPr>
        <w:t xml:space="preserve"> את שטחי הדירה התחתונה ללא חדר המדרגות ולפיכך, הפחתת ערכו תהיה הפחתה כפולה שלא כדין.</w:t>
      </w:r>
    </w:p>
    <w:p w14:paraId="71AC3983" w14:textId="77777777" w:rsidR="00000000" w:rsidRDefault="00000000">
      <w:pPr>
        <w:pStyle w:val="a9"/>
        <w:spacing w:after="0" w:line="360" w:lineRule="auto"/>
        <w:ind w:left="368" w:hanging="426"/>
        <w:jc w:val="both"/>
        <w:rPr>
          <w:rtl/>
        </w:rPr>
      </w:pPr>
      <w:r>
        <w:rPr>
          <w:rFonts w:ascii="David" w:hAnsi="David" w:cs="David"/>
          <w:sz w:val="28"/>
          <w:szCs w:val="28"/>
        </w:rPr>
        <w:t> </w:t>
      </w:r>
    </w:p>
    <w:p w14:paraId="772748B4" w14:textId="77777777" w:rsidR="00000000" w:rsidRDefault="00000000">
      <w:pPr>
        <w:bidi/>
        <w:spacing w:line="360" w:lineRule="auto"/>
        <w:ind w:left="368" w:hanging="426"/>
        <w:jc w:val="both"/>
        <w:rPr>
          <w:rtl/>
        </w:rPr>
      </w:pPr>
      <w:r>
        <w:rPr>
          <w:rFonts w:ascii="David" w:hAnsi="David" w:cs="David"/>
          <w:sz w:val="28"/>
          <w:szCs w:val="28"/>
          <w:u w:val="single"/>
          <w:rtl/>
        </w:rPr>
        <w:t>טענות המערערת</w:t>
      </w:r>
    </w:p>
    <w:p w14:paraId="391D13CF" w14:textId="77777777" w:rsidR="00000000" w:rsidRDefault="00000000">
      <w:pPr>
        <w:pStyle w:val="a9"/>
        <w:spacing w:after="0" w:line="360" w:lineRule="auto"/>
        <w:ind w:left="368" w:hanging="426"/>
        <w:jc w:val="both"/>
        <w:rPr>
          <w:rtl/>
        </w:rPr>
      </w:pPr>
      <w:r>
        <w:rPr>
          <w:rFonts w:ascii="David" w:hAnsi="David" w:cs="David"/>
          <w:b/>
          <w:bCs/>
          <w:sz w:val="28"/>
          <w:szCs w:val="28"/>
          <w:rtl/>
        </w:rPr>
        <w:t>7.</w:t>
      </w:r>
      <w:r>
        <w:rPr>
          <w:rFonts w:ascii="Times New Roman" w:hAnsi="Times New Roman" w:cs="Times New Roman"/>
          <w:b/>
          <w:bCs/>
          <w:sz w:val="14"/>
          <w:szCs w:val="14"/>
          <w:rtl/>
        </w:rPr>
        <w:t xml:space="preserve">  </w:t>
      </w:r>
      <w:r>
        <w:rPr>
          <w:rFonts w:ascii="David" w:hAnsi="David" w:cs="David"/>
          <w:sz w:val="28"/>
          <w:szCs w:val="28"/>
          <w:rtl/>
        </w:rPr>
        <w:t xml:space="preserve">יש לבטל את קביעת השמאי כי השווי למ"ר הוא 28,000 ₪ ולקבוע כי שוויו - 21,250 ₪ למ"ר. </w:t>
      </w:r>
    </w:p>
    <w:p w14:paraId="2B8DADC3" w14:textId="77777777" w:rsidR="00000000" w:rsidRDefault="00000000">
      <w:pPr>
        <w:pStyle w:val="a9"/>
        <w:spacing w:after="0" w:line="360" w:lineRule="auto"/>
        <w:ind w:left="368" w:hanging="426"/>
        <w:jc w:val="both"/>
        <w:rPr>
          <w:rtl/>
        </w:rPr>
      </w:pPr>
      <w:r>
        <w:rPr>
          <w:rFonts w:ascii="David" w:hAnsi="David" w:cs="David"/>
          <w:sz w:val="28"/>
          <w:szCs w:val="28"/>
        </w:rPr>
        <w:t> </w:t>
      </w:r>
    </w:p>
    <w:p w14:paraId="754FE934" w14:textId="77777777" w:rsidR="00000000" w:rsidRDefault="00000000">
      <w:pPr>
        <w:pStyle w:val="a9"/>
        <w:spacing w:after="0" w:line="360" w:lineRule="auto"/>
        <w:ind w:left="368" w:hanging="426"/>
        <w:jc w:val="both"/>
        <w:rPr>
          <w:rtl/>
        </w:rPr>
      </w:pPr>
      <w:r>
        <w:rPr>
          <w:rFonts w:ascii="David" w:hAnsi="David" w:cs="David"/>
          <w:b/>
          <w:bCs/>
          <w:sz w:val="28"/>
          <w:szCs w:val="28"/>
          <w:rtl/>
        </w:rPr>
        <w:t>8.</w:t>
      </w:r>
      <w:r>
        <w:rPr>
          <w:rFonts w:ascii="Times New Roman" w:hAnsi="Times New Roman" w:cs="Times New Roman"/>
          <w:b/>
          <w:bCs/>
          <w:sz w:val="14"/>
          <w:szCs w:val="14"/>
          <w:rtl/>
        </w:rPr>
        <w:t xml:space="preserve">  </w:t>
      </w:r>
      <w:r>
        <w:rPr>
          <w:rFonts w:ascii="David" w:hAnsi="David" w:cs="David"/>
          <w:sz w:val="28"/>
          <w:szCs w:val="28"/>
          <w:rtl/>
        </w:rPr>
        <w:t xml:space="preserve">שגה השמאי המכריע, שעה שחישב את פיר חדר המדרגות כתוספת בניה בשטח המצב החדש. היה עליו לחשב את פיר חדר המדרגות במצב הקודם והבנוי. השבחה מתקיימת במקום בו ישנה "עלייה בשווי" המקרקעין לפי סעיף 1(א) בתוספת השלישית בחוק, ולא בגין תוספת שטח בנוי. בהשוואת המבנה במצב החדש עם מתן ההיתר - למצב הקודם, אין עלייה בשווי המקרקעין בגין שטח הפיר - ושוויו מתקזז. </w:t>
      </w:r>
    </w:p>
    <w:p w14:paraId="15B26827" w14:textId="77777777" w:rsidR="00000000" w:rsidRDefault="00000000">
      <w:pPr>
        <w:pStyle w:val="a9"/>
        <w:spacing w:after="0" w:line="360" w:lineRule="auto"/>
        <w:ind w:left="368" w:hanging="426"/>
        <w:jc w:val="both"/>
        <w:rPr>
          <w:rtl/>
        </w:rPr>
      </w:pPr>
      <w:r>
        <w:rPr>
          <w:rFonts w:ascii="David" w:hAnsi="David" w:cs="David"/>
          <w:sz w:val="28"/>
          <w:szCs w:val="28"/>
        </w:rPr>
        <w:t> </w:t>
      </w:r>
    </w:p>
    <w:p w14:paraId="7852682C" w14:textId="77777777" w:rsidR="00000000" w:rsidRDefault="00000000">
      <w:pPr>
        <w:pStyle w:val="a9"/>
        <w:spacing w:after="0" w:line="360" w:lineRule="auto"/>
        <w:ind w:left="368" w:hanging="426"/>
        <w:jc w:val="both"/>
        <w:rPr>
          <w:rtl/>
        </w:rPr>
      </w:pPr>
      <w:r>
        <w:rPr>
          <w:rFonts w:ascii="David" w:hAnsi="David" w:cs="David"/>
          <w:b/>
          <w:bCs/>
          <w:sz w:val="28"/>
          <w:szCs w:val="28"/>
          <w:rtl/>
        </w:rPr>
        <w:t>9.</w:t>
      </w:r>
      <w:r>
        <w:rPr>
          <w:rFonts w:ascii="Times New Roman" w:hAnsi="Times New Roman" w:cs="Times New Roman"/>
          <w:b/>
          <w:bCs/>
          <w:sz w:val="14"/>
          <w:szCs w:val="14"/>
          <w:rtl/>
        </w:rPr>
        <w:t xml:space="preserve">  </w:t>
      </w:r>
      <w:r>
        <w:rPr>
          <w:rFonts w:ascii="David" w:hAnsi="David" w:cs="David"/>
          <w:sz w:val="28"/>
          <w:szCs w:val="28"/>
          <w:rtl/>
        </w:rPr>
        <w:t xml:space="preserve">המשיבה מפנה לטבלת השטחים, הפנייה שנועדה להסתיר את העובדה כי פיר המדרגות אושר בהיתר המחייב במצב הקודם, וכי הוא מופיע בנוסף לשטח "קומת הדירה". בשנות ה - 50 לא היו תקנות שקבעו את אופן הצגת השטחים, כפי שיש היום, אך אין בכך כדי להעלים ולהביא לביטולו של הרכיב הבנוי - המופיע בהיתר המחייב. כלומר, בנטרול שטח פיר המדרגות שאושר במצב הקודם, תוספת השטח בהשוואה למצב הקודם היא כ - 12 מ"ר בלבד ולא 24.93 מ"ר. </w:t>
      </w:r>
    </w:p>
    <w:p w14:paraId="0C734F2E" w14:textId="77777777" w:rsidR="00000000" w:rsidRDefault="00000000">
      <w:pPr>
        <w:pStyle w:val="a9"/>
        <w:rPr>
          <w:rtl/>
        </w:rPr>
      </w:pPr>
      <w:r>
        <w:rPr>
          <w:rFonts w:ascii="David" w:hAnsi="David" w:cs="David"/>
          <w:sz w:val="28"/>
          <w:szCs w:val="28"/>
          <w:rtl/>
        </w:rPr>
        <w:t> </w:t>
      </w:r>
    </w:p>
    <w:p w14:paraId="3EB16077" w14:textId="77777777" w:rsidR="00000000" w:rsidRDefault="00000000">
      <w:pPr>
        <w:pStyle w:val="a9"/>
        <w:spacing w:after="0" w:line="360" w:lineRule="auto"/>
        <w:ind w:left="368" w:hanging="426"/>
        <w:jc w:val="both"/>
        <w:rPr>
          <w:rtl/>
        </w:rPr>
      </w:pPr>
      <w:r>
        <w:rPr>
          <w:rFonts w:ascii="David" w:hAnsi="David" w:cs="David"/>
          <w:b/>
          <w:bCs/>
          <w:sz w:val="28"/>
          <w:szCs w:val="28"/>
          <w:rtl/>
        </w:rPr>
        <w:t>10.</w:t>
      </w:r>
      <w:r>
        <w:rPr>
          <w:rFonts w:ascii="Times New Roman" w:hAnsi="Times New Roman" w:cs="Times New Roman"/>
          <w:b/>
          <w:bCs/>
          <w:sz w:val="14"/>
          <w:szCs w:val="14"/>
          <w:rtl/>
        </w:rPr>
        <w:t xml:space="preserve">  </w:t>
      </w:r>
      <w:r>
        <w:rPr>
          <w:rFonts w:ascii="David" w:hAnsi="David" w:cs="David"/>
          <w:sz w:val="28"/>
          <w:szCs w:val="28"/>
          <w:rtl/>
        </w:rPr>
        <w:t xml:space="preserve">שמאי המשיבה, אשר ערך את השומה השלישית - הסתיר את המסמך, אשר פיר המדרגות אושר בו, בנפרד משתי הקומות. השמאי המכריע לא חלק באופן פורמלי על כך שחדר המדרגות אושר כבר בהיתר המחייב, כפי שטען שמאי המערערת. מנימוקיו של השמאי המכריע עולה, כי לא הוצג לו ההיתר המקורי ומשכך, התקשה לקבל את טענת שמאי המערערת. ככל וההיתר היה מונח לפניו, היה מקבל את טענת המערערת והפיר היה נלקח בחשבון כחלק מהמצב הקודם. </w:t>
      </w:r>
    </w:p>
    <w:p w14:paraId="35CE9D62" w14:textId="77777777" w:rsidR="00000000" w:rsidRDefault="00000000">
      <w:pPr>
        <w:pStyle w:val="a9"/>
        <w:spacing w:after="0" w:line="360" w:lineRule="auto"/>
        <w:ind w:left="368" w:hanging="426"/>
        <w:jc w:val="both"/>
        <w:rPr>
          <w:rtl/>
        </w:rPr>
      </w:pPr>
      <w:r>
        <w:rPr>
          <w:rFonts w:ascii="David" w:hAnsi="David" w:cs="David"/>
          <w:sz w:val="28"/>
          <w:szCs w:val="28"/>
        </w:rPr>
        <w:t> </w:t>
      </w:r>
    </w:p>
    <w:p w14:paraId="52787E82" w14:textId="77777777" w:rsidR="00000000" w:rsidRDefault="00000000">
      <w:pPr>
        <w:pStyle w:val="a9"/>
        <w:spacing w:after="0" w:line="360" w:lineRule="auto"/>
        <w:ind w:left="368" w:hanging="426"/>
        <w:jc w:val="both"/>
        <w:rPr>
          <w:rtl/>
        </w:rPr>
      </w:pPr>
      <w:r>
        <w:rPr>
          <w:rFonts w:ascii="David" w:hAnsi="David" w:cs="David"/>
          <w:b/>
          <w:bCs/>
          <w:sz w:val="28"/>
          <w:szCs w:val="28"/>
          <w:rtl/>
        </w:rPr>
        <w:t>11.</w:t>
      </w:r>
      <w:r>
        <w:rPr>
          <w:rFonts w:ascii="Times New Roman" w:hAnsi="Times New Roman" w:cs="Times New Roman"/>
          <w:b/>
          <w:bCs/>
          <w:sz w:val="14"/>
          <w:szCs w:val="14"/>
          <w:rtl/>
        </w:rPr>
        <w:t xml:space="preserve">  </w:t>
      </w:r>
      <w:r>
        <w:rPr>
          <w:rFonts w:ascii="David" w:hAnsi="David" w:cs="David"/>
          <w:sz w:val="28"/>
          <w:szCs w:val="28"/>
          <w:rtl/>
        </w:rPr>
        <w:t xml:space="preserve">בהתאם להיתר הקיים, המבנה כולל גג שטוח וחדר מדרגות ובנוסף 2 קומות במבנה. מה שמוכיח ששטחי הגג ופיר המדרגות היו קיימים עוד במצב הקודם ואינם מקנים תוספת זכויות בניה או השבחה. </w:t>
      </w:r>
    </w:p>
    <w:p w14:paraId="739A2D1F" w14:textId="77777777" w:rsidR="00000000" w:rsidRDefault="00000000">
      <w:pPr>
        <w:pStyle w:val="a9"/>
        <w:spacing w:after="0" w:line="360" w:lineRule="auto"/>
        <w:ind w:left="368" w:hanging="426"/>
        <w:jc w:val="both"/>
        <w:rPr>
          <w:rtl/>
        </w:rPr>
      </w:pPr>
      <w:r>
        <w:rPr>
          <w:rFonts w:ascii="David" w:hAnsi="David" w:cs="David"/>
          <w:sz w:val="28"/>
          <w:szCs w:val="28"/>
        </w:rPr>
        <w:t> </w:t>
      </w:r>
    </w:p>
    <w:p w14:paraId="7CC1EDAD" w14:textId="77777777" w:rsidR="00000000" w:rsidRDefault="00000000">
      <w:pPr>
        <w:bidi/>
        <w:spacing w:line="360" w:lineRule="auto"/>
        <w:ind w:left="368" w:hanging="426"/>
        <w:jc w:val="both"/>
        <w:rPr>
          <w:rtl/>
        </w:rPr>
      </w:pPr>
      <w:r>
        <w:rPr>
          <w:rFonts w:ascii="David" w:hAnsi="David" w:cs="David"/>
          <w:sz w:val="28"/>
          <w:szCs w:val="28"/>
          <w:u w:val="single"/>
          <w:rtl/>
        </w:rPr>
        <w:t xml:space="preserve">טענות המשיבה </w:t>
      </w:r>
    </w:p>
    <w:p w14:paraId="36C809F2" w14:textId="77777777" w:rsidR="00000000" w:rsidRDefault="00000000">
      <w:pPr>
        <w:pStyle w:val="a9"/>
        <w:spacing w:after="0" w:line="360" w:lineRule="auto"/>
        <w:ind w:left="368" w:hanging="426"/>
        <w:jc w:val="both"/>
        <w:rPr>
          <w:rtl/>
        </w:rPr>
      </w:pPr>
      <w:r>
        <w:rPr>
          <w:rFonts w:ascii="David" w:hAnsi="David" w:cs="David"/>
          <w:b/>
          <w:bCs/>
          <w:sz w:val="28"/>
          <w:szCs w:val="28"/>
          <w:rtl/>
        </w:rPr>
        <w:t>12.</w:t>
      </w:r>
      <w:r>
        <w:rPr>
          <w:rFonts w:ascii="Times New Roman" w:hAnsi="Times New Roman" w:cs="Times New Roman"/>
          <w:b/>
          <w:bCs/>
          <w:sz w:val="14"/>
          <w:szCs w:val="14"/>
          <w:rtl/>
        </w:rPr>
        <w:t xml:space="preserve">  </w:t>
      </w:r>
      <w:r>
        <w:rPr>
          <w:rFonts w:ascii="David" w:hAnsi="David" w:cs="David"/>
          <w:sz w:val="28"/>
          <w:szCs w:val="28"/>
          <w:rtl/>
        </w:rPr>
        <w:t>לדידה של המשיבה, צדקה ועדת הערר עת קבעה, כי אין להתערב בקביעות השמאי המכריע לעניין שווי מ"ר מבונה. השמאי המכריע נימק את מסקנתו - וציין, כי בין המועד הקובע, שנקבע בשומות המכריעות שהובאו לפניו ע"י המערערת, למועד הקובע בעניין זה, חלו עליות מחירים ניכרות. עוד הוא מציין, כי ניכר שבהחלטות שמאים מכריעים בשומה הנגדית, קיבלו השמאים את ההפחתה (לעניין שווי מ"ר - א.צ) בהתאם להסכמת הצדדים ולפחות לעניין החלטה אחת, דובר בנכס שמאפייניו אינם דומים לנכס הנדון. מאחר ומדובר בתחום מקצועי שמאי מובהק וקביעתו מבוססת ומנומקת - אין מקום להתערב בהחלטתו.</w:t>
      </w:r>
    </w:p>
    <w:p w14:paraId="33326BBF" w14:textId="77777777" w:rsidR="00000000" w:rsidRDefault="00000000">
      <w:pPr>
        <w:pStyle w:val="a9"/>
        <w:spacing w:after="0" w:line="360" w:lineRule="auto"/>
        <w:ind w:left="368"/>
        <w:jc w:val="both"/>
        <w:rPr>
          <w:rtl/>
        </w:rPr>
      </w:pPr>
      <w:r>
        <w:rPr>
          <w:rFonts w:ascii="David" w:hAnsi="David" w:cs="David"/>
          <w:sz w:val="28"/>
          <w:szCs w:val="28"/>
        </w:rPr>
        <w:t> </w:t>
      </w:r>
    </w:p>
    <w:p w14:paraId="305C4844" w14:textId="77777777" w:rsidR="00000000" w:rsidRDefault="00000000">
      <w:pPr>
        <w:pStyle w:val="a9"/>
        <w:spacing w:after="0" w:line="360" w:lineRule="auto"/>
        <w:ind w:left="368" w:hanging="426"/>
        <w:jc w:val="both"/>
        <w:rPr>
          <w:rtl/>
        </w:rPr>
      </w:pPr>
      <w:r>
        <w:rPr>
          <w:rFonts w:ascii="David" w:hAnsi="David" w:cs="David"/>
          <w:b/>
          <w:bCs/>
          <w:sz w:val="28"/>
          <w:szCs w:val="28"/>
          <w:rtl/>
        </w:rPr>
        <w:t>13.</w:t>
      </w:r>
      <w:r>
        <w:rPr>
          <w:rFonts w:ascii="Times New Roman" w:hAnsi="Times New Roman" w:cs="Times New Roman"/>
          <w:b/>
          <w:bCs/>
          <w:sz w:val="14"/>
          <w:szCs w:val="14"/>
          <w:rtl/>
        </w:rPr>
        <w:t xml:space="preserve">  </w:t>
      </w:r>
      <w:r>
        <w:rPr>
          <w:rFonts w:ascii="David" w:hAnsi="David" w:cs="David"/>
          <w:sz w:val="28"/>
          <w:szCs w:val="28"/>
          <w:rtl/>
        </w:rPr>
        <w:t xml:space="preserve">תכנית 256 החלה על הנכס הנדון, מקצה זכויות לבניה נמוכה בשיעור של - 20% לקומה, בגובה 2 קומות, ובסה"כ 40% לשתי קומות כשטח עיקרי. </w:t>
      </w:r>
    </w:p>
    <w:p w14:paraId="5F4D3649" w14:textId="77777777" w:rsidR="00000000" w:rsidRDefault="00000000">
      <w:pPr>
        <w:pStyle w:val="a9"/>
        <w:spacing w:after="0" w:line="360" w:lineRule="auto"/>
        <w:ind w:left="368" w:hanging="426"/>
        <w:jc w:val="both"/>
        <w:rPr>
          <w:rtl/>
        </w:rPr>
      </w:pPr>
      <w:r>
        <w:rPr>
          <w:rFonts w:ascii="David" w:hAnsi="David" w:cs="David"/>
          <w:sz w:val="28"/>
          <w:szCs w:val="28"/>
          <w:rtl/>
        </w:rPr>
        <w:t> </w:t>
      </w:r>
    </w:p>
    <w:p w14:paraId="302889B4" w14:textId="77777777" w:rsidR="00000000" w:rsidRDefault="00000000">
      <w:pPr>
        <w:pStyle w:val="a9"/>
        <w:spacing w:after="0" w:line="360" w:lineRule="auto"/>
        <w:ind w:left="368" w:hanging="426"/>
        <w:jc w:val="both"/>
        <w:rPr>
          <w:rtl/>
        </w:rPr>
      </w:pPr>
      <w:r>
        <w:rPr>
          <w:rFonts w:ascii="David" w:hAnsi="David" w:cs="David"/>
          <w:b/>
          <w:bCs/>
          <w:sz w:val="28"/>
          <w:szCs w:val="28"/>
          <w:rtl/>
        </w:rPr>
        <w:t>14.</w:t>
      </w:r>
      <w:r>
        <w:rPr>
          <w:rFonts w:ascii="Times New Roman" w:hAnsi="Times New Roman" w:cs="Times New Roman"/>
          <w:b/>
          <w:bCs/>
          <w:sz w:val="14"/>
          <w:szCs w:val="14"/>
          <w:rtl/>
        </w:rPr>
        <w:t xml:space="preserve">  </w:t>
      </w:r>
      <w:r>
        <w:rPr>
          <w:rFonts w:ascii="David" w:hAnsi="David" w:cs="David"/>
          <w:sz w:val="28"/>
          <w:szCs w:val="28"/>
          <w:rtl/>
        </w:rPr>
        <w:t xml:space="preserve">תכנית 256, אינה מקנה שטחי שירות נוספים מעבר לשטחים העיקריים. על כן, שטחי חדר המדרגות שנבנה בטרם כניסתן לתוקף של תקנות התכנון והבניה (חישוב שטחים ואחוזי בניה בתוכניות והיתרים), תשנ"ב - 1992 (להלן: </w:t>
      </w:r>
      <w:r>
        <w:rPr>
          <w:rFonts w:ascii="David" w:hAnsi="David" w:cs="David"/>
          <w:b/>
          <w:bCs/>
          <w:sz w:val="28"/>
          <w:szCs w:val="28"/>
          <w:rtl/>
        </w:rPr>
        <w:t>"תקנות חישוב שטחים"</w:t>
      </w:r>
      <w:r>
        <w:rPr>
          <w:rFonts w:ascii="David" w:hAnsi="David" w:cs="David"/>
          <w:sz w:val="28"/>
          <w:szCs w:val="28"/>
          <w:rtl/>
        </w:rPr>
        <w:t>) - מהווים שטח עיקרי.</w:t>
      </w:r>
    </w:p>
    <w:p w14:paraId="1E37898C" w14:textId="77777777" w:rsidR="00000000" w:rsidRDefault="00000000">
      <w:pPr>
        <w:pStyle w:val="a9"/>
        <w:spacing w:after="0" w:line="360" w:lineRule="auto"/>
        <w:ind w:left="368" w:hanging="426"/>
        <w:jc w:val="both"/>
        <w:rPr>
          <w:rtl/>
        </w:rPr>
      </w:pPr>
      <w:r>
        <w:rPr>
          <w:rFonts w:ascii="David" w:hAnsi="David" w:cs="David"/>
          <w:sz w:val="28"/>
          <w:szCs w:val="28"/>
        </w:rPr>
        <w:t> </w:t>
      </w:r>
    </w:p>
    <w:p w14:paraId="53A47A74" w14:textId="77777777" w:rsidR="00000000" w:rsidRDefault="00000000">
      <w:pPr>
        <w:pStyle w:val="a9"/>
        <w:spacing w:after="0" w:line="360" w:lineRule="auto"/>
        <w:ind w:left="368" w:hanging="426"/>
        <w:jc w:val="both"/>
        <w:rPr>
          <w:rtl/>
        </w:rPr>
      </w:pPr>
      <w:r>
        <w:rPr>
          <w:rFonts w:ascii="David" w:hAnsi="David" w:cs="David"/>
          <w:b/>
          <w:bCs/>
          <w:sz w:val="28"/>
          <w:szCs w:val="28"/>
          <w:rtl/>
        </w:rPr>
        <w:t>15.</w:t>
      </w:r>
      <w:r>
        <w:rPr>
          <w:rFonts w:ascii="Times New Roman" w:hAnsi="Times New Roman" w:cs="Times New Roman"/>
          <w:b/>
          <w:bCs/>
          <w:sz w:val="14"/>
          <w:szCs w:val="14"/>
          <w:rtl/>
        </w:rPr>
        <w:t xml:space="preserve">  </w:t>
      </w:r>
      <w:r>
        <w:rPr>
          <w:rFonts w:ascii="David" w:hAnsi="David" w:cs="David"/>
          <w:sz w:val="28"/>
          <w:szCs w:val="28"/>
          <w:rtl/>
        </w:rPr>
        <w:t xml:space="preserve">אין שום מקור תכנוני התומך בעמדת המערערת, לפיו שטחי חדר המדרגות ניתנו בנוסף לשטחים העיקריים המפורטים </w:t>
      </w:r>
      <w:proofErr w:type="spellStart"/>
      <w:r>
        <w:rPr>
          <w:rFonts w:ascii="David" w:hAnsi="David" w:cs="David"/>
          <w:sz w:val="28"/>
          <w:szCs w:val="28"/>
          <w:rtl/>
        </w:rPr>
        <w:t>בתכנית</w:t>
      </w:r>
      <w:proofErr w:type="spellEnd"/>
      <w:r>
        <w:rPr>
          <w:rFonts w:ascii="David" w:hAnsi="David" w:cs="David"/>
          <w:sz w:val="28"/>
          <w:szCs w:val="28"/>
          <w:rtl/>
        </w:rPr>
        <w:t xml:space="preserve"> 256. טענת המערערת לעניין הפחתת שטח המדרגות בקומת הקרקע והפיכתו לשטח שירות - מהווה </w:t>
      </w:r>
      <w:r>
        <w:rPr>
          <w:rFonts w:ascii="David" w:hAnsi="David" w:cs="David"/>
          <w:sz w:val="28"/>
          <w:szCs w:val="28"/>
          <w:u w:val="single"/>
          <w:rtl/>
        </w:rPr>
        <w:t>שינוי מהותי של ההיתר ומחייבת הגשת בקשה חדשה להיתר</w:t>
      </w:r>
      <w:r>
        <w:rPr>
          <w:rFonts w:ascii="David" w:hAnsi="David" w:cs="David"/>
          <w:sz w:val="28"/>
          <w:szCs w:val="28"/>
          <w:rtl/>
        </w:rPr>
        <w:t>.</w:t>
      </w:r>
    </w:p>
    <w:p w14:paraId="67FA8FA0" w14:textId="77777777" w:rsidR="00000000" w:rsidRDefault="00000000">
      <w:pPr>
        <w:pStyle w:val="a9"/>
        <w:spacing w:after="0" w:line="360" w:lineRule="auto"/>
        <w:ind w:left="368" w:hanging="426"/>
        <w:jc w:val="both"/>
        <w:rPr>
          <w:rtl/>
        </w:rPr>
      </w:pPr>
      <w:r>
        <w:rPr>
          <w:rFonts w:ascii="David" w:hAnsi="David" w:cs="David"/>
          <w:sz w:val="28"/>
          <w:szCs w:val="28"/>
        </w:rPr>
        <w:t> </w:t>
      </w:r>
    </w:p>
    <w:p w14:paraId="1264E503" w14:textId="77777777" w:rsidR="00000000" w:rsidRDefault="00000000">
      <w:pPr>
        <w:pStyle w:val="a9"/>
        <w:spacing w:after="0" w:line="360" w:lineRule="auto"/>
        <w:ind w:left="368" w:hanging="426"/>
        <w:jc w:val="both"/>
        <w:rPr>
          <w:rtl/>
        </w:rPr>
      </w:pPr>
      <w:r>
        <w:rPr>
          <w:rFonts w:ascii="David" w:hAnsi="David" w:cs="David"/>
          <w:b/>
          <w:bCs/>
          <w:sz w:val="28"/>
          <w:szCs w:val="28"/>
          <w:rtl/>
        </w:rPr>
        <w:t>16.</w:t>
      </w:r>
      <w:r>
        <w:rPr>
          <w:rFonts w:ascii="Times New Roman" w:hAnsi="Times New Roman" w:cs="Times New Roman"/>
          <w:b/>
          <w:bCs/>
          <w:sz w:val="14"/>
          <w:szCs w:val="14"/>
          <w:rtl/>
        </w:rPr>
        <w:t xml:space="preserve">  </w:t>
      </w:r>
      <w:r>
        <w:rPr>
          <w:rFonts w:ascii="David" w:hAnsi="David" w:cs="David"/>
          <w:sz w:val="28"/>
          <w:szCs w:val="28"/>
          <w:rtl/>
        </w:rPr>
        <w:t>טענות המערערת לעניין שטח חדר המדרגות בקומת הקרקע, הן טענות שהיו צריכות להיטען בהזדמנות הראשונה במסגרת ערר שהיה עליה להגיש לוועדת הערר רישוי, ולא במסגרת ערר השבחה וערעור מנהלי.</w:t>
      </w:r>
    </w:p>
    <w:p w14:paraId="43B26F8B" w14:textId="77777777" w:rsidR="00000000" w:rsidRDefault="00000000">
      <w:pPr>
        <w:pStyle w:val="a9"/>
        <w:spacing w:after="0" w:line="360" w:lineRule="auto"/>
        <w:ind w:left="368" w:hanging="426"/>
        <w:jc w:val="both"/>
        <w:rPr>
          <w:rtl/>
        </w:rPr>
      </w:pPr>
      <w:r>
        <w:rPr>
          <w:rFonts w:ascii="David" w:hAnsi="David" w:cs="David"/>
          <w:sz w:val="28"/>
          <w:szCs w:val="28"/>
        </w:rPr>
        <w:t> </w:t>
      </w:r>
    </w:p>
    <w:p w14:paraId="2F6DFDF7" w14:textId="77777777" w:rsidR="00000000" w:rsidRDefault="00000000">
      <w:pPr>
        <w:pStyle w:val="a9"/>
        <w:spacing w:after="0" w:line="360" w:lineRule="auto"/>
        <w:ind w:left="368" w:hanging="426"/>
        <w:jc w:val="both"/>
        <w:rPr>
          <w:rtl/>
        </w:rPr>
      </w:pPr>
      <w:r>
        <w:rPr>
          <w:rFonts w:ascii="David" w:hAnsi="David" w:cs="David"/>
          <w:b/>
          <w:bCs/>
          <w:sz w:val="28"/>
          <w:szCs w:val="28"/>
          <w:rtl/>
        </w:rPr>
        <w:t>17.</w:t>
      </w:r>
      <w:r>
        <w:rPr>
          <w:rFonts w:ascii="Times New Roman" w:hAnsi="Times New Roman" w:cs="Times New Roman"/>
          <w:b/>
          <w:bCs/>
          <w:sz w:val="14"/>
          <w:szCs w:val="14"/>
          <w:rtl/>
        </w:rPr>
        <w:t xml:space="preserve">  </w:t>
      </w:r>
      <w:r>
        <w:rPr>
          <w:rFonts w:ascii="David" w:hAnsi="David" w:cs="David"/>
          <w:sz w:val="28"/>
          <w:szCs w:val="28"/>
          <w:rtl/>
        </w:rPr>
        <w:t xml:space="preserve">לפי תקנה 7 לתקנות חישוב שטחים, יש לקחת בחשבון את שטח חדר המדרגות לצורך חישוב שטחי הבניה - פעם אחת בלבד, לפי ההשלכה האופקית של משטחי מערכת המדרגות האופקיים והמשופעים </w:t>
      </w:r>
      <w:r>
        <w:rPr>
          <w:rFonts w:ascii="David" w:hAnsi="David" w:cs="David"/>
          <w:sz w:val="28"/>
          <w:szCs w:val="28"/>
          <w:u w:val="single"/>
          <w:rtl/>
        </w:rPr>
        <w:t>במפלס התחתון של חדר המדרגות</w:t>
      </w:r>
      <w:r>
        <w:rPr>
          <w:rFonts w:ascii="David" w:hAnsi="David" w:cs="David"/>
          <w:sz w:val="28"/>
          <w:szCs w:val="28"/>
          <w:rtl/>
        </w:rPr>
        <w:t xml:space="preserve"> - שרק בו ממוקמת רצפה. דהיינו, יש לכלול בשטח המדרגות אך ורק שטח פיזי של ההשלכה האופקית במפלס התחתון, וזאת פעם אחת בלבד (כמו במעלית). פרשנות זו היא הפרשנות הנהוגה בוועדות הערר לתכנון ובניה.</w:t>
      </w:r>
    </w:p>
    <w:p w14:paraId="29B4B7BC" w14:textId="77777777" w:rsidR="00000000" w:rsidRDefault="00000000">
      <w:pPr>
        <w:pStyle w:val="a9"/>
        <w:spacing w:after="0" w:line="360" w:lineRule="auto"/>
        <w:ind w:left="368" w:hanging="426"/>
        <w:jc w:val="both"/>
        <w:rPr>
          <w:rtl/>
        </w:rPr>
      </w:pPr>
      <w:r>
        <w:rPr>
          <w:rFonts w:ascii="David" w:hAnsi="David" w:cs="David"/>
          <w:sz w:val="28"/>
          <w:szCs w:val="28"/>
        </w:rPr>
        <w:t> </w:t>
      </w:r>
    </w:p>
    <w:p w14:paraId="14F97A52" w14:textId="77777777" w:rsidR="00000000" w:rsidRDefault="00000000">
      <w:pPr>
        <w:pStyle w:val="a9"/>
        <w:spacing w:after="0" w:line="360" w:lineRule="auto"/>
        <w:ind w:left="368" w:hanging="426"/>
        <w:jc w:val="both"/>
        <w:rPr>
          <w:rtl/>
        </w:rPr>
      </w:pPr>
      <w:r>
        <w:rPr>
          <w:rFonts w:ascii="David" w:hAnsi="David" w:cs="David"/>
          <w:b/>
          <w:bCs/>
          <w:sz w:val="28"/>
          <w:szCs w:val="28"/>
          <w:rtl/>
        </w:rPr>
        <w:t>18.</w:t>
      </w:r>
      <w:r>
        <w:rPr>
          <w:rFonts w:ascii="Times New Roman" w:hAnsi="Times New Roman" w:cs="Times New Roman"/>
          <w:b/>
          <w:bCs/>
          <w:sz w:val="14"/>
          <w:szCs w:val="14"/>
          <w:rtl/>
        </w:rPr>
        <w:t xml:space="preserve">  </w:t>
      </w:r>
      <w:r>
        <w:rPr>
          <w:rFonts w:ascii="David" w:hAnsi="David" w:cs="David"/>
          <w:sz w:val="28"/>
          <w:szCs w:val="28"/>
          <w:rtl/>
        </w:rPr>
        <w:t xml:space="preserve">בעניינינו, תכנית 256 אינה מתירה שטחי שירות מעבר לשטחי הבניה העיקריים המוקנים </w:t>
      </w:r>
      <w:proofErr w:type="spellStart"/>
      <w:r>
        <w:rPr>
          <w:rFonts w:ascii="David" w:hAnsi="David" w:cs="David"/>
          <w:sz w:val="28"/>
          <w:szCs w:val="28"/>
          <w:rtl/>
        </w:rPr>
        <w:t>בתכנית</w:t>
      </w:r>
      <w:proofErr w:type="spellEnd"/>
      <w:r>
        <w:rPr>
          <w:rFonts w:ascii="David" w:hAnsi="David" w:cs="David"/>
          <w:sz w:val="28"/>
          <w:szCs w:val="28"/>
          <w:rtl/>
        </w:rPr>
        <w:t xml:space="preserve">. על כן, בנסיבות התיק שטח חדר המדרגות בנכס צמוד הקרקע, הינו שטח עיקרי ויש לספור אותו פעם אחת בקומת הקרקע, כפי שנעשה ע"י השמאי המכריע. </w:t>
      </w:r>
    </w:p>
    <w:p w14:paraId="41D65928" w14:textId="77777777" w:rsidR="00000000" w:rsidRDefault="00000000">
      <w:pPr>
        <w:pStyle w:val="a9"/>
        <w:spacing w:after="0" w:line="360" w:lineRule="auto"/>
        <w:ind w:left="368" w:hanging="426"/>
        <w:jc w:val="both"/>
        <w:rPr>
          <w:rtl/>
        </w:rPr>
      </w:pPr>
      <w:r>
        <w:rPr>
          <w:rFonts w:ascii="David" w:hAnsi="David" w:cs="David"/>
          <w:sz w:val="28"/>
          <w:szCs w:val="28"/>
        </w:rPr>
        <w:t> </w:t>
      </w:r>
    </w:p>
    <w:p w14:paraId="5727244E" w14:textId="77777777" w:rsidR="00000000" w:rsidRDefault="00000000">
      <w:pPr>
        <w:pStyle w:val="a9"/>
        <w:spacing w:after="0" w:line="360" w:lineRule="auto"/>
        <w:ind w:left="368" w:hanging="426"/>
        <w:jc w:val="both"/>
        <w:rPr>
          <w:rtl/>
        </w:rPr>
      </w:pPr>
      <w:r>
        <w:rPr>
          <w:rFonts w:ascii="David" w:hAnsi="David" w:cs="David"/>
          <w:b/>
          <w:bCs/>
          <w:sz w:val="28"/>
          <w:szCs w:val="28"/>
          <w:rtl/>
        </w:rPr>
        <w:t>19.</w:t>
      </w:r>
      <w:r>
        <w:rPr>
          <w:rFonts w:ascii="Times New Roman" w:hAnsi="Times New Roman" w:cs="Times New Roman"/>
          <w:b/>
          <w:bCs/>
          <w:sz w:val="14"/>
          <w:szCs w:val="14"/>
          <w:rtl/>
        </w:rPr>
        <w:t xml:space="preserve">  </w:t>
      </w:r>
      <w:r>
        <w:rPr>
          <w:rFonts w:ascii="David" w:hAnsi="David" w:cs="David"/>
          <w:sz w:val="28"/>
          <w:szCs w:val="28"/>
          <w:rtl/>
        </w:rPr>
        <w:t>על כן, כמפורט בבקשה להיתר, בקומת הקרקע חושב שטח חדר המדרגות במלואו, ואילו בקומה א' שטח חדר המדרגות לא חושב כשטח עיקרי בהתאם לתקנות חישוב שטחים.</w:t>
      </w:r>
    </w:p>
    <w:p w14:paraId="13A896D6" w14:textId="77777777" w:rsidR="00000000" w:rsidRDefault="00000000">
      <w:pPr>
        <w:pStyle w:val="a9"/>
        <w:ind w:left="368" w:hanging="426"/>
        <w:rPr>
          <w:rtl/>
        </w:rPr>
      </w:pPr>
      <w:r>
        <w:rPr>
          <w:rFonts w:ascii="David" w:hAnsi="David" w:cs="David"/>
          <w:sz w:val="28"/>
          <w:szCs w:val="28"/>
        </w:rPr>
        <w:t> </w:t>
      </w:r>
    </w:p>
    <w:p w14:paraId="45AF42B2" w14:textId="77777777" w:rsidR="00000000" w:rsidRDefault="00000000">
      <w:pPr>
        <w:bidi/>
        <w:spacing w:line="360" w:lineRule="auto"/>
        <w:ind w:left="368" w:hanging="426"/>
        <w:jc w:val="both"/>
        <w:rPr>
          <w:rtl/>
        </w:rPr>
      </w:pPr>
      <w:r>
        <w:rPr>
          <w:rFonts w:ascii="David" w:hAnsi="David" w:cs="David"/>
          <w:b/>
          <w:bCs/>
          <w:sz w:val="28"/>
          <w:szCs w:val="28"/>
          <w:u w:val="single"/>
          <w:rtl/>
        </w:rPr>
        <w:t>מהלך הדיון</w:t>
      </w:r>
    </w:p>
    <w:p w14:paraId="6F9E6DEB" w14:textId="77777777" w:rsidR="00000000" w:rsidRDefault="00000000">
      <w:pPr>
        <w:pStyle w:val="a9"/>
        <w:spacing w:after="0" w:line="360" w:lineRule="auto"/>
        <w:ind w:left="368" w:hanging="426"/>
        <w:jc w:val="both"/>
        <w:rPr>
          <w:rtl/>
        </w:rPr>
      </w:pPr>
      <w:r>
        <w:rPr>
          <w:rFonts w:ascii="David" w:hAnsi="David" w:cs="David"/>
          <w:b/>
          <w:bCs/>
          <w:sz w:val="28"/>
          <w:szCs w:val="28"/>
          <w:rtl/>
        </w:rPr>
        <w:t>20.</w:t>
      </w:r>
      <w:r>
        <w:rPr>
          <w:rFonts w:ascii="Times New Roman" w:hAnsi="Times New Roman" w:cs="Times New Roman"/>
          <w:b/>
          <w:bCs/>
          <w:sz w:val="14"/>
          <w:szCs w:val="14"/>
          <w:rtl/>
        </w:rPr>
        <w:t xml:space="preserve">  </w:t>
      </w:r>
      <w:r>
        <w:rPr>
          <w:rFonts w:ascii="David" w:hAnsi="David" w:cs="David"/>
          <w:sz w:val="28"/>
          <w:szCs w:val="28"/>
          <w:rtl/>
        </w:rPr>
        <w:t xml:space="preserve">במסגרת הדיון אשר התקיים לפניי ביום 6/1/26, חזרו הצדדים וחידדו טענותיהם, כפי שיובא להלן בתמצית. </w:t>
      </w:r>
    </w:p>
    <w:p w14:paraId="2BEBC69C" w14:textId="77777777" w:rsidR="00000000" w:rsidRDefault="00000000">
      <w:pPr>
        <w:pStyle w:val="a9"/>
        <w:spacing w:after="0" w:line="360" w:lineRule="auto"/>
        <w:ind w:left="368"/>
        <w:jc w:val="both"/>
        <w:rPr>
          <w:rtl/>
        </w:rPr>
      </w:pPr>
      <w:r>
        <w:rPr>
          <w:rFonts w:ascii="David" w:hAnsi="David" w:cs="David"/>
          <w:sz w:val="28"/>
          <w:szCs w:val="28"/>
        </w:rPr>
        <w:t> </w:t>
      </w:r>
    </w:p>
    <w:p w14:paraId="0F2F1A6D" w14:textId="77777777" w:rsidR="00000000" w:rsidRDefault="00000000">
      <w:pPr>
        <w:pStyle w:val="a9"/>
        <w:spacing w:after="0" w:line="360" w:lineRule="auto"/>
        <w:ind w:left="368"/>
        <w:jc w:val="both"/>
        <w:rPr>
          <w:rtl/>
        </w:rPr>
      </w:pPr>
      <w:r>
        <w:rPr>
          <w:rFonts w:ascii="David" w:hAnsi="David" w:cs="David"/>
          <w:sz w:val="28"/>
          <w:szCs w:val="28"/>
          <w:u w:val="single"/>
          <w:rtl/>
        </w:rPr>
        <w:t>טיעוני המערערת</w:t>
      </w:r>
    </w:p>
    <w:p w14:paraId="1D159394" w14:textId="77777777" w:rsidR="00000000" w:rsidRDefault="00000000">
      <w:pPr>
        <w:pStyle w:val="a9"/>
        <w:spacing w:after="0" w:line="360" w:lineRule="auto"/>
        <w:ind w:left="368" w:hanging="426"/>
        <w:jc w:val="both"/>
        <w:rPr>
          <w:rtl/>
        </w:rPr>
      </w:pPr>
      <w:r>
        <w:rPr>
          <w:rFonts w:ascii="David" w:hAnsi="David" w:cs="David"/>
          <w:b/>
          <w:bCs/>
          <w:sz w:val="28"/>
          <w:szCs w:val="28"/>
          <w:rtl/>
        </w:rPr>
        <w:t>21.</w:t>
      </w:r>
      <w:r>
        <w:rPr>
          <w:rFonts w:ascii="Times New Roman" w:hAnsi="Times New Roman" w:cs="Times New Roman"/>
          <w:b/>
          <w:bCs/>
          <w:sz w:val="14"/>
          <w:szCs w:val="14"/>
          <w:rtl/>
        </w:rPr>
        <w:t xml:space="preserve">  </w:t>
      </w:r>
      <w:r>
        <w:rPr>
          <w:rFonts w:ascii="David" w:hAnsi="David" w:cs="David"/>
          <w:sz w:val="28"/>
          <w:szCs w:val="28"/>
          <w:rtl/>
        </w:rPr>
        <w:t xml:space="preserve">לדידה של המערערת, החלטת ועדת הערר נגועה בפגמים מהותיים, הן במישור הדיוני והן במישור המהותי, באופן המצדיק התערבות שיפוטית. לשיטתה, ועדת הערר לא נתנה מענה לטענותיה המרכזיות של המערערת - בדבר הפגיעה בזכויותיה הקנייניות, ולא בחנה כראוי את שאלת עצם קיומה של השבחה, כנדרש בדין וכמפורט להלן: </w:t>
      </w:r>
    </w:p>
    <w:p w14:paraId="5FCB4F48" w14:textId="77777777" w:rsidR="00000000" w:rsidRDefault="00000000">
      <w:pPr>
        <w:pStyle w:val="a9"/>
        <w:spacing w:after="0" w:line="360" w:lineRule="auto"/>
        <w:ind w:left="368"/>
        <w:jc w:val="both"/>
        <w:rPr>
          <w:rtl/>
        </w:rPr>
      </w:pPr>
      <w:r>
        <w:rPr>
          <w:rFonts w:ascii="David" w:hAnsi="David" w:cs="David"/>
          <w:sz w:val="28"/>
          <w:szCs w:val="28"/>
        </w:rPr>
        <w:t> </w:t>
      </w:r>
    </w:p>
    <w:p w14:paraId="15AD780B" w14:textId="77777777" w:rsidR="00000000" w:rsidRDefault="00000000">
      <w:pPr>
        <w:pStyle w:val="a9"/>
        <w:spacing w:after="0" w:line="360" w:lineRule="auto"/>
        <w:ind w:left="728"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sz w:val="28"/>
          <w:szCs w:val="28"/>
          <w:rtl/>
        </w:rPr>
        <w:t>המערערת הדגישה, כי במהלך ההליך שהתקיים לפני ועדת הערר - העלתה טענות קונקרטיות בדבר פגמים אשר נפלו בשומה המכרעת ובהחלטת ועדת הערר, ובפרט לעניין פיר חדר המדרגות בקומת הקרקע. לטענתה, פיר זה היה קיים במצב הקודם, אושר בהיתר המקורי, ולא חל בו כל שינוי פיזי, תכנוני או שימושי במצב החדש. חרף זאת, חויבה בהיטל השבחה בגין רכיב זה, מבלי שנערכה בחינה של עליית שווי בין מצב קודם למצב חדש</w:t>
      </w:r>
      <w:r>
        <w:rPr>
          <w:rFonts w:ascii="David" w:hAnsi="David" w:cs="David"/>
          <w:sz w:val="28"/>
          <w:szCs w:val="28"/>
        </w:rPr>
        <w:t>.</w:t>
      </w:r>
      <w:r>
        <w:rPr>
          <w:rFonts w:ascii="David" w:hAnsi="David" w:cs="David"/>
          <w:sz w:val="28"/>
          <w:szCs w:val="28"/>
          <w:rtl/>
        </w:rPr>
        <w:t xml:space="preserve"> </w:t>
      </w:r>
    </w:p>
    <w:p w14:paraId="3AE2ED47" w14:textId="77777777" w:rsidR="00000000" w:rsidRDefault="00000000">
      <w:pPr>
        <w:pStyle w:val="a9"/>
        <w:spacing w:after="0" w:line="360" w:lineRule="auto"/>
        <w:ind w:left="728"/>
        <w:jc w:val="both"/>
        <w:rPr>
          <w:rtl/>
        </w:rPr>
      </w:pPr>
      <w:r>
        <w:rPr>
          <w:rFonts w:ascii="David" w:hAnsi="David" w:cs="David"/>
          <w:sz w:val="28"/>
          <w:szCs w:val="28"/>
        </w:rPr>
        <w:t> </w:t>
      </w:r>
    </w:p>
    <w:p w14:paraId="2EB587DF" w14:textId="77777777" w:rsidR="00000000" w:rsidRDefault="00000000">
      <w:pPr>
        <w:pStyle w:val="a9"/>
        <w:spacing w:after="0" w:line="360" w:lineRule="auto"/>
        <w:ind w:left="728"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sz w:val="28"/>
          <w:szCs w:val="28"/>
          <w:rtl/>
        </w:rPr>
        <w:t>עוד נטען על ידה, כי בקשת ביניים שהגישה לצורך הצגת מסמכים ונתונים חיוניים לבירור הערר - נדחתה שלא בצדק, ובכך נפגעה זכותה להליך הוגן ונמנעה ממנה האפשרות להניח תשתית עובדתית מלאה לפני ועדת הערר</w:t>
      </w:r>
      <w:r>
        <w:rPr>
          <w:rFonts w:ascii="David" w:hAnsi="David" w:cs="David"/>
          <w:sz w:val="28"/>
          <w:szCs w:val="28"/>
        </w:rPr>
        <w:t>.</w:t>
      </w:r>
      <w:r>
        <w:rPr>
          <w:rFonts w:ascii="David" w:hAnsi="David" w:cs="David"/>
          <w:sz w:val="28"/>
          <w:szCs w:val="28"/>
          <w:rtl/>
        </w:rPr>
        <w:t xml:space="preserve"> </w:t>
      </w:r>
    </w:p>
    <w:p w14:paraId="052A5001" w14:textId="77777777" w:rsidR="00000000" w:rsidRDefault="00000000">
      <w:pPr>
        <w:pStyle w:val="a9"/>
        <w:rPr>
          <w:rtl/>
        </w:rPr>
      </w:pPr>
      <w:r>
        <w:rPr>
          <w:rFonts w:ascii="David" w:hAnsi="David" w:cs="David"/>
          <w:sz w:val="28"/>
          <w:szCs w:val="28"/>
        </w:rPr>
        <w:t> </w:t>
      </w:r>
    </w:p>
    <w:p w14:paraId="434BEF9C" w14:textId="77777777" w:rsidR="00000000" w:rsidRDefault="00000000">
      <w:pPr>
        <w:pStyle w:val="a9"/>
        <w:spacing w:after="0" w:line="360" w:lineRule="auto"/>
        <w:ind w:left="728" w:hanging="360"/>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sz w:val="28"/>
          <w:szCs w:val="28"/>
          <w:rtl/>
        </w:rPr>
        <w:t xml:space="preserve">באשר להיתר המקורי, טוענת המערערת, כי ההיתר הוצג לראשונה על ידי המשיבה במסגרת הליך פלילי שהתנהל בעניינה, וכי היא חלקה על תוקפו - מאחר שלא היה חתום כדין. טענה זו הועלתה גם בהליך הפלילי ואף הובילה לפנייה לבית המשפט העליון. לטענתה, ההיתר שנמצא בתיק הפלילי - אומץ בהמשך על ידי גורמי הרישוי, ונכפה עליה במסגרת ההליך </w:t>
      </w:r>
      <w:proofErr w:type="spellStart"/>
      <w:r>
        <w:rPr>
          <w:rFonts w:ascii="David" w:hAnsi="David" w:cs="David"/>
          <w:sz w:val="28"/>
          <w:szCs w:val="28"/>
          <w:rtl/>
        </w:rPr>
        <w:t>הרישויי</w:t>
      </w:r>
      <w:proofErr w:type="spellEnd"/>
      <w:r>
        <w:rPr>
          <w:rFonts w:ascii="David" w:hAnsi="David" w:cs="David"/>
          <w:sz w:val="28"/>
          <w:szCs w:val="28"/>
        </w:rPr>
        <w:t>.</w:t>
      </w:r>
    </w:p>
    <w:p w14:paraId="533404D2" w14:textId="77777777" w:rsidR="00000000" w:rsidRDefault="00000000">
      <w:pPr>
        <w:pStyle w:val="a9"/>
        <w:rPr>
          <w:rtl/>
        </w:rPr>
      </w:pPr>
      <w:r>
        <w:rPr>
          <w:rFonts w:ascii="David" w:hAnsi="David" w:cs="David"/>
          <w:sz w:val="28"/>
          <w:szCs w:val="28"/>
        </w:rPr>
        <w:t> </w:t>
      </w:r>
    </w:p>
    <w:p w14:paraId="0DA9BB44" w14:textId="77777777" w:rsidR="00000000" w:rsidRDefault="00000000">
      <w:pPr>
        <w:pStyle w:val="a9"/>
        <w:spacing w:after="0" w:line="360" w:lineRule="auto"/>
        <w:ind w:left="728" w:hanging="360"/>
        <w:jc w:val="both"/>
        <w:rPr>
          <w:rtl/>
        </w:rPr>
      </w:pPr>
      <w:r>
        <w:rPr>
          <w:rFonts w:ascii="David" w:hAnsi="David" w:cs="David"/>
          <w:b/>
          <w:bCs/>
          <w:sz w:val="28"/>
          <w:szCs w:val="28"/>
          <w:rtl/>
        </w:rPr>
        <w:t>ד.</w:t>
      </w:r>
      <w:r>
        <w:rPr>
          <w:rFonts w:ascii="Times New Roman" w:hAnsi="Times New Roman" w:cs="Times New Roman"/>
          <w:b/>
          <w:bCs/>
          <w:sz w:val="14"/>
          <w:szCs w:val="14"/>
          <w:rtl/>
        </w:rPr>
        <w:t xml:space="preserve">  </w:t>
      </w:r>
      <w:r>
        <w:rPr>
          <w:rFonts w:ascii="David" w:hAnsi="David" w:cs="David"/>
          <w:sz w:val="28"/>
          <w:szCs w:val="28"/>
          <w:rtl/>
        </w:rPr>
        <w:t xml:space="preserve">המערערת הוסיפה, כי המשיבה כפתה עליה להתאים את טבלת השטחים </w:t>
      </w:r>
      <w:proofErr w:type="spellStart"/>
      <w:r>
        <w:rPr>
          <w:rFonts w:ascii="David" w:hAnsi="David" w:cs="David"/>
          <w:sz w:val="28"/>
          <w:szCs w:val="28"/>
          <w:rtl/>
        </w:rPr>
        <w:t>והתשריטים</w:t>
      </w:r>
      <w:proofErr w:type="spellEnd"/>
      <w:r>
        <w:rPr>
          <w:rFonts w:ascii="David" w:hAnsi="David" w:cs="David"/>
          <w:sz w:val="28"/>
          <w:szCs w:val="28"/>
          <w:rtl/>
        </w:rPr>
        <w:t xml:space="preserve"> להיתר זה, לרבות דרישות קונקרטיות כגון הסרת מטבח - </w:t>
      </w:r>
      <w:proofErr w:type="spellStart"/>
      <w:r>
        <w:rPr>
          <w:rFonts w:ascii="David" w:hAnsi="David" w:cs="David"/>
          <w:sz w:val="28"/>
          <w:szCs w:val="28"/>
          <w:rtl/>
        </w:rPr>
        <w:t>הכל</w:t>
      </w:r>
      <w:proofErr w:type="spellEnd"/>
      <w:r>
        <w:rPr>
          <w:rFonts w:ascii="David" w:hAnsi="David" w:cs="David"/>
          <w:sz w:val="28"/>
          <w:szCs w:val="28"/>
          <w:rtl/>
        </w:rPr>
        <w:t xml:space="preserve"> בהתאם </w:t>
      </w:r>
      <w:proofErr w:type="spellStart"/>
      <w:r>
        <w:rPr>
          <w:rFonts w:ascii="David" w:hAnsi="David" w:cs="David"/>
          <w:sz w:val="28"/>
          <w:szCs w:val="28"/>
          <w:rtl/>
        </w:rPr>
        <w:t>לתשריט</w:t>
      </w:r>
      <w:proofErr w:type="spellEnd"/>
      <w:r>
        <w:rPr>
          <w:rFonts w:ascii="David" w:hAnsi="David" w:cs="David"/>
          <w:sz w:val="28"/>
          <w:szCs w:val="28"/>
          <w:rtl/>
        </w:rPr>
        <w:t xml:space="preserve"> שנמצא בתיק הפלילי. לשיטתה, אין מדובר בבחירה חופשית אלא בהתנהלות כופה מצד הרשות</w:t>
      </w:r>
      <w:r>
        <w:rPr>
          <w:rFonts w:ascii="David" w:hAnsi="David" w:cs="David"/>
          <w:sz w:val="28"/>
          <w:szCs w:val="28"/>
        </w:rPr>
        <w:t>.</w:t>
      </w:r>
      <w:r>
        <w:rPr>
          <w:rFonts w:ascii="David" w:hAnsi="David" w:cs="David"/>
          <w:sz w:val="28"/>
          <w:szCs w:val="28"/>
          <w:rtl/>
        </w:rPr>
        <w:t xml:space="preserve"> </w:t>
      </w:r>
    </w:p>
    <w:p w14:paraId="4381E46A" w14:textId="77777777" w:rsidR="00000000" w:rsidRDefault="00000000">
      <w:pPr>
        <w:pStyle w:val="a9"/>
        <w:rPr>
          <w:rtl/>
        </w:rPr>
      </w:pPr>
      <w:r>
        <w:rPr>
          <w:rFonts w:ascii="David" w:hAnsi="David" w:cs="David"/>
          <w:sz w:val="28"/>
          <w:szCs w:val="28"/>
        </w:rPr>
        <w:t> </w:t>
      </w:r>
    </w:p>
    <w:p w14:paraId="69247FA3" w14:textId="77777777" w:rsidR="00000000" w:rsidRDefault="00000000">
      <w:pPr>
        <w:pStyle w:val="a9"/>
        <w:spacing w:after="0" w:line="360" w:lineRule="auto"/>
        <w:ind w:left="728" w:hanging="360"/>
        <w:jc w:val="both"/>
        <w:rPr>
          <w:rtl/>
        </w:rPr>
      </w:pPr>
      <w:r>
        <w:rPr>
          <w:rFonts w:ascii="David" w:hAnsi="David" w:cs="David"/>
          <w:b/>
          <w:bCs/>
          <w:sz w:val="28"/>
          <w:szCs w:val="28"/>
          <w:rtl/>
        </w:rPr>
        <w:t>ה.</w:t>
      </w:r>
      <w:r>
        <w:rPr>
          <w:rFonts w:ascii="Times New Roman" w:hAnsi="Times New Roman" w:cs="Times New Roman"/>
          <w:b/>
          <w:bCs/>
          <w:sz w:val="14"/>
          <w:szCs w:val="14"/>
          <w:rtl/>
        </w:rPr>
        <w:t xml:space="preserve">  </w:t>
      </w:r>
      <w:r>
        <w:rPr>
          <w:rFonts w:ascii="David" w:hAnsi="David" w:cs="David"/>
          <w:sz w:val="28"/>
          <w:szCs w:val="28"/>
          <w:rtl/>
        </w:rPr>
        <w:t xml:space="preserve">לגופו של עניין, טוענת המערערת, כי חדר המדרגות אושר בהיתר המקורי, וכי חישוב השטחים שערכה בוחנת הרישוי מלמד - כי במועד הרלוונטי, חישוב השטחים נערך על פי היתר קיים, בו היה קיים חדר מדרגות עם יציאה לגג. על כן, תמוה שהשמאי המכריע לא ביקש מהמערערת את ההיתר וערך חישוביו לפי היתר קודם ולא לפי היתר השינויים משנת 1952. לטענתה, היא נדרשה להביא ויתור זכויות מהשכן לצורך קבלת ההיתר, ויתור שניתן בפועל </w:t>
      </w:r>
      <w:proofErr w:type="spellStart"/>
      <w:r>
        <w:rPr>
          <w:rFonts w:ascii="David" w:hAnsi="David" w:cs="David"/>
          <w:sz w:val="28"/>
          <w:szCs w:val="28"/>
          <w:rtl/>
        </w:rPr>
        <w:t>ואיפשר</w:t>
      </w:r>
      <w:proofErr w:type="spellEnd"/>
      <w:r>
        <w:rPr>
          <w:rFonts w:ascii="David" w:hAnsi="David" w:cs="David"/>
          <w:sz w:val="28"/>
          <w:szCs w:val="28"/>
          <w:rtl/>
        </w:rPr>
        <w:t xml:space="preserve"> את אישור ההיתר, כפי שעולה מפרוטוקולי הוועדה</w:t>
      </w:r>
      <w:r>
        <w:rPr>
          <w:rFonts w:ascii="David" w:hAnsi="David" w:cs="David"/>
          <w:sz w:val="28"/>
          <w:szCs w:val="28"/>
        </w:rPr>
        <w:t>.</w:t>
      </w:r>
      <w:r>
        <w:rPr>
          <w:rFonts w:ascii="David" w:hAnsi="David" w:cs="David"/>
          <w:sz w:val="28"/>
          <w:szCs w:val="28"/>
          <w:rtl/>
        </w:rPr>
        <w:t xml:space="preserve"> </w:t>
      </w:r>
    </w:p>
    <w:p w14:paraId="384174D8" w14:textId="77777777" w:rsidR="00000000" w:rsidRDefault="00000000">
      <w:pPr>
        <w:pStyle w:val="a9"/>
        <w:rPr>
          <w:rtl/>
        </w:rPr>
      </w:pPr>
      <w:r>
        <w:rPr>
          <w:rFonts w:ascii="David" w:hAnsi="David" w:cs="David"/>
          <w:sz w:val="28"/>
          <w:szCs w:val="28"/>
        </w:rPr>
        <w:t> </w:t>
      </w:r>
    </w:p>
    <w:p w14:paraId="422C5A23" w14:textId="77777777" w:rsidR="00000000" w:rsidRDefault="00000000">
      <w:pPr>
        <w:pStyle w:val="a9"/>
        <w:spacing w:after="0" w:line="360" w:lineRule="auto"/>
        <w:ind w:left="728" w:hanging="360"/>
        <w:jc w:val="both"/>
        <w:rPr>
          <w:rtl/>
        </w:rPr>
      </w:pPr>
      <w:r>
        <w:rPr>
          <w:rFonts w:ascii="David" w:hAnsi="David" w:cs="David"/>
          <w:b/>
          <w:bCs/>
          <w:sz w:val="28"/>
          <w:szCs w:val="28"/>
          <w:rtl/>
        </w:rPr>
        <w:t>ו.</w:t>
      </w:r>
      <w:r>
        <w:rPr>
          <w:rFonts w:ascii="Times New Roman" w:hAnsi="Times New Roman" w:cs="Times New Roman"/>
          <w:b/>
          <w:bCs/>
          <w:sz w:val="14"/>
          <w:szCs w:val="14"/>
          <w:rtl/>
        </w:rPr>
        <w:t xml:space="preserve">  </w:t>
      </w:r>
      <w:r>
        <w:rPr>
          <w:rFonts w:ascii="David" w:hAnsi="David" w:cs="David"/>
          <w:sz w:val="28"/>
          <w:szCs w:val="28"/>
          <w:rtl/>
        </w:rPr>
        <w:t xml:space="preserve">עוד נטען, כי תכנית בניין עיר 256 - נכנסה לתוקף רק לאחר שניתן ההיתר המקורי לבית, וכי במועד מתן ההיתר לא חלה </w:t>
      </w:r>
      <w:proofErr w:type="spellStart"/>
      <w:r>
        <w:rPr>
          <w:rFonts w:ascii="David" w:hAnsi="David" w:cs="David"/>
          <w:sz w:val="28"/>
          <w:szCs w:val="28"/>
          <w:rtl/>
        </w:rPr>
        <w:t>תב"ע</w:t>
      </w:r>
      <w:proofErr w:type="spellEnd"/>
      <w:r>
        <w:rPr>
          <w:rFonts w:ascii="David" w:hAnsi="David" w:cs="David"/>
          <w:sz w:val="28"/>
          <w:szCs w:val="28"/>
          <w:rtl/>
        </w:rPr>
        <w:t xml:space="preserve"> מחייבת, והיקף הזכויות שהיה ניתן לממש היה רחב יותר. רק בדיעבד, עם כניסת </w:t>
      </w:r>
      <w:proofErr w:type="spellStart"/>
      <w:r>
        <w:rPr>
          <w:rFonts w:ascii="David" w:hAnsi="David" w:cs="David"/>
          <w:sz w:val="28"/>
          <w:szCs w:val="28"/>
          <w:rtl/>
        </w:rPr>
        <w:t>התכנית</w:t>
      </w:r>
      <w:proofErr w:type="spellEnd"/>
      <w:r>
        <w:rPr>
          <w:rFonts w:ascii="David" w:hAnsi="David" w:cs="David"/>
          <w:sz w:val="28"/>
          <w:szCs w:val="28"/>
          <w:rtl/>
        </w:rPr>
        <w:t xml:space="preserve"> לתוקף, צומצמו הזכויות והיא נדרשה להתאמות תכנוניות</w:t>
      </w:r>
      <w:r>
        <w:rPr>
          <w:rFonts w:ascii="David" w:hAnsi="David" w:cs="David"/>
          <w:sz w:val="28"/>
          <w:szCs w:val="28"/>
        </w:rPr>
        <w:t>.</w:t>
      </w:r>
      <w:r>
        <w:rPr>
          <w:rFonts w:ascii="David" w:hAnsi="David" w:cs="David"/>
          <w:sz w:val="28"/>
          <w:szCs w:val="28"/>
          <w:rtl/>
        </w:rPr>
        <w:t xml:space="preserve"> </w:t>
      </w:r>
    </w:p>
    <w:p w14:paraId="3A8AB81F" w14:textId="77777777" w:rsidR="00000000" w:rsidRDefault="00000000">
      <w:pPr>
        <w:pStyle w:val="a9"/>
        <w:rPr>
          <w:rtl/>
        </w:rPr>
      </w:pPr>
      <w:r>
        <w:rPr>
          <w:rFonts w:ascii="David" w:hAnsi="David" w:cs="David"/>
          <w:sz w:val="28"/>
          <w:szCs w:val="28"/>
        </w:rPr>
        <w:t> </w:t>
      </w:r>
    </w:p>
    <w:p w14:paraId="76C65B12" w14:textId="77777777" w:rsidR="00000000" w:rsidRDefault="00000000">
      <w:pPr>
        <w:pStyle w:val="a9"/>
        <w:spacing w:after="0" w:line="360" w:lineRule="auto"/>
        <w:ind w:left="728" w:hanging="360"/>
        <w:jc w:val="both"/>
        <w:rPr>
          <w:rtl/>
        </w:rPr>
      </w:pPr>
      <w:r>
        <w:rPr>
          <w:rFonts w:ascii="David" w:hAnsi="David" w:cs="David"/>
          <w:b/>
          <w:bCs/>
          <w:sz w:val="28"/>
          <w:szCs w:val="28"/>
          <w:rtl/>
        </w:rPr>
        <w:t>ז.</w:t>
      </w:r>
      <w:r>
        <w:rPr>
          <w:rFonts w:ascii="Times New Roman" w:hAnsi="Times New Roman" w:cs="Times New Roman"/>
          <w:b/>
          <w:bCs/>
          <w:sz w:val="14"/>
          <w:szCs w:val="14"/>
          <w:rtl/>
        </w:rPr>
        <w:t xml:space="preserve">  </w:t>
      </w:r>
      <w:r>
        <w:rPr>
          <w:rFonts w:ascii="David" w:hAnsi="David" w:cs="David"/>
          <w:sz w:val="28"/>
          <w:szCs w:val="28"/>
          <w:rtl/>
        </w:rPr>
        <w:t>לבסוף, מצביעה המערערת על טעות פנימית בהחלטת ועדת הערר, כאשר יו"ר הוועדה ציטטה את קביעות השמאי המכריע, אך קבעה בטעות כי הוא הגיע לתוצאה של "אפס", בעוד שבפועל קבע ההיפך. לטענתה, בלבול זה משליך על הבנת ההכרעה ועל תקינותה</w:t>
      </w:r>
      <w:r>
        <w:rPr>
          <w:rFonts w:ascii="David" w:hAnsi="David" w:cs="David"/>
          <w:sz w:val="28"/>
          <w:szCs w:val="28"/>
        </w:rPr>
        <w:t>.</w:t>
      </w:r>
    </w:p>
    <w:p w14:paraId="32A0AB44" w14:textId="77777777" w:rsidR="00000000" w:rsidRDefault="00000000">
      <w:pPr>
        <w:pStyle w:val="a9"/>
        <w:rPr>
          <w:rtl/>
        </w:rPr>
      </w:pPr>
      <w:r>
        <w:rPr>
          <w:rFonts w:ascii="David" w:hAnsi="David" w:cs="David"/>
          <w:sz w:val="28"/>
          <w:szCs w:val="28"/>
        </w:rPr>
        <w:t> </w:t>
      </w:r>
    </w:p>
    <w:p w14:paraId="58D70E91" w14:textId="77777777" w:rsidR="00000000" w:rsidRDefault="00000000">
      <w:pPr>
        <w:pStyle w:val="a9"/>
        <w:spacing w:after="0" w:line="360" w:lineRule="auto"/>
        <w:ind w:left="368"/>
        <w:jc w:val="both"/>
        <w:rPr>
          <w:rtl/>
        </w:rPr>
      </w:pPr>
      <w:r>
        <w:rPr>
          <w:rFonts w:ascii="David" w:hAnsi="David" w:cs="David"/>
          <w:sz w:val="28"/>
          <w:szCs w:val="28"/>
          <w:u w:val="single"/>
          <w:rtl/>
        </w:rPr>
        <w:t>טיעוני המשיבה</w:t>
      </w:r>
    </w:p>
    <w:p w14:paraId="4D56B9BA" w14:textId="77777777" w:rsidR="00000000" w:rsidRDefault="00000000">
      <w:pPr>
        <w:pStyle w:val="a9"/>
        <w:spacing w:after="0" w:line="360" w:lineRule="auto"/>
        <w:ind w:left="368" w:hanging="426"/>
        <w:jc w:val="both"/>
        <w:rPr>
          <w:rtl/>
        </w:rPr>
      </w:pPr>
      <w:r>
        <w:rPr>
          <w:rFonts w:ascii="David" w:hAnsi="David" w:cs="David"/>
          <w:b/>
          <w:bCs/>
          <w:sz w:val="28"/>
          <w:szCs w:val="28"/>
          <w:rtl/>
        </w:rPr>
        <w:t>22.</w:t>
      </w:r>
      <w:r>
        <w:rPr>
          <w:rFonts w:ascii="Times New Roman" w:hAnsi="Times New Roman" w:cs="Times New Roman"/>
          <w:b/>
          <w:bCs/>
          <w:sz w:val="14"/>
          <w:szCs w:val="14"/>
          <w:rtl/>
        </w:rPr>
        <w:t xml:space="preserve">  </w:t>
      </w:r>
      <w:r>
        <w:rPr>
          <w:rFonts w:ascii="David" w:hAnsi="David" w:cs="David"/>
          <w:sz w:val="28"/>
          <w:szCs w:val="28"/>
          <w:rtl/>
        </w:rPr>
        <w:t xml:space="preserve">מנגד טוענת המשיבה, כי התנהלות המערערת לאורך ההליכים השונים מכבידה על ניהולו באופן חריג, ואינה מאפיינת תיק רגיל. לשיטתה, מדובר במערערת המיוצגת על ידי עורך-דין, אשר ניהלה במשך זמן רב שורה של הליכים מקבילים וחוזרים, הן במישור </w:t>
      </w:r>
      <w:proofErr w:type="spellStart"/>
      <w:r>
        <w:rPr>
          <w:rFonts w:ascii="David" w:hAnsi="David" w:cs="David"/>
          <w:sz w:val="28"/>
          <w:szCs w:val="28"/>
          <w:rtl/>
        </w:rPr>
        <w:t>הרישויי</w:t>
      </w:r>
      <w:proofErr w:type="spellEnd"/>
      <w:r>
        <w:rPr>
          <w:rFonts w:ascii="David" w:hAnsi="David" w:cs="David"/>
          <w:sz w:val="28"/>
          <w:szCs w:val="28"/>
          <w:rtl/>
        </w:rPr>
        <w:t xml:space="preserve"> והן במישור השמאי והעררי, באופן היוצר סרבול דיוני ניכר</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 xml:space="preserve">לגופם של דברים טענה המשיבה כדלקמן: </w:t>
      </w:r>
    </w:p>
    <w:p w14:paraId="131FE160" w14:textId="77777777" w:rsidR="00000000" w:rsidRDefault="00000000">
      <w:pPr>
        <w:pStyle w:val="a9"/>
        <w:spacing w:after="0" w:line="360" w:lineRule="auto"/>
        <w:ind w:left="368"/>
        <w:jc w:val="both"/>
        <w:rPr>
          <w:rtl/>
        </w:rPr>
      </w:pPr>
      <w:r>
        <w:rPr>
          <w:rFonts w:ascii="David" w:hAnsi="David" w:cs="David"/>
          <w:sz w:val="28"/>
          <w:szCs w:val="28"/>
        </w:rPr>
        <w:t> </w:t>
      </w:r>
    </w:p>
    <w:p w14:paraId="4915DA52" w14:textId="77777777" w:rsidR="00000000" w:rsidRDefault="00000000">
      <w:pPr>
        <w:pStyle w:val="a9"/>
        <w:spacing w:after="0" w:line="360" w:lineRule="auto"/>
        <w:ind w:left="728"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sz w:val="28"/>
          <w:szCs w:val="28"/>
          <w:rtl/>
        </w:rPr>
        <w:t xml:space="preserve">בקשות ההיתר שהוגשו נסגרו ונפתחו מחדש מספר פעמים עקב אי-עמידה בדרישות הרישוי ובלוחות הזמנים שנקבעו. כך, בקשה שנפתחה ביום 21.7.2021 נסגרה ביום 6.3.2022, ובקשה נוספת מחודש מרץ 2022, הועברה למילוי דרישות שבע פעמים. </w:t>
      </w:r>
    </w:p>
    <w:p w14:paraId="66654956" w14:textId="77777777" w:rsidR="00000000" w:rsidRDefault="00000000">
      <w:pPr>
        <w:pStyle w:val="a9"/>
        <w:spacing w:after="0" w:line="360" w:lineRule="auto"/>
        <w:ind w:left="728"/>
        <w:jc w:val="both"/>
        <w:rPr>
          <w:rtl/>
        </w:rPr>
      </w:pPr>
      <w:r>
        <w:rPr>
          <w:rFonts w:ascii="David" w:hAnsi="David" w:cs="David"/>
          <w:sz w:val="28"/>
          <w:szCs w:val="28"/>
        </w:rPr>
        <w:t> </w:t>
      </w:r>
    </w:p>
    <w:p w14:paraId="56BB685E" w14:textId="77777777" w:rsidR="00000000" w:rsidRDefault="00000000">
      <w:pPr>
        <w:pStyle w:val="a9"/>
        <w:spacing w:after="0" w:line="360" w:lineRule="auto"/>
        <w:ind w:left="728"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sz w:val="28"/>
          <w:szCs w:val="28"/>
          <w:rtl/>
        </w:rPr>
        <w:t>עוד נטען, כי בראשית הדרך הוגשו שתי השגות שונות: האחת לשמאי המכריע, אשר עסקה בשאלות שמאיות, והשנייה לוועדת הערר, אשר עסקה בטענת זכאות לפטור מהיטל השבחה. הערר לוועדת הערר נדחה, ובהמשך בחרה המערערת לפנות לשמאי מכריע נוסף, וגם על שומה זו הוגשה השגה נוספת. לטענת המשיבה, במהלך ההשגה הראשונה לא הועלו הטענות המועלות כיום, ובפרט לא הועלתה הטענה בדבר פיר חדר המדרגות</w:t>
      </w:r>
      <w:r>
        <w:rPr>
          <w:rFonts w:ascii="David" w:hAnsi="David" w:cs="David"/>
          <w:sz w:val="28"/>
          <w:szCs w:val="28"/>
        </w:rPr>
        <w:t>.</w:t>
      </w:r>
      <w:r>
        <w:rPr>
          <w:rFonts w:ascii="David" w:hAnsi="David" w:cs="David"/>
          <w:sz w:val="28"/>
          <w:szCs w:val="28"/>
          <w:rtl/>
        </w:rPr>
        <w:t xml:space="preserve"> </w:t>
      </w:r>
    </w:p>
    <w:p w14:paraId="6E9FCF36" w14:textId="77777777" w:rsidR="00000000" w:rsidRDefault="00000000">
      <w:pPr>
        <w:pStyle w:val="a9"/>
        <w:spacing w:after="0" w:line="360" w:lineRule="auto"/>
        <w:ind w:left="728"/>
        <w:jc w:val="both"/>
        <w:rPr>
          <w:rtl/>
        </w:rPr>
      </w:pPr>
      <w:r>
        <w:rPr>
          <w:rFonts w:ascii="David" w:hAnsi="David" w:cs="David"/>
          <w:sz w:val="28"/>
          <w:szCs w:val="28"/>
        </w:rPr>
        <w:t> </w:t>
      </w:r>
    </w:p>
    <w:p w14:paraId="03DD4E7F" w14:textId="77777777" w:rsidR="00000000" w:rsidRDefault="00000000">
      <w:pPr>
        <w:pStyle w:val="a9"/>
        <w:spacing w:after="0" w:line="360" w:lineRule="auto"/>
        <w:ind w:left="728" w:hanging="360"/>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sz w:val="28"/>
          <w:szCs w:val="28"/>
          <w:rtl/>
        </w:rPr>
        <w:t>כן טוענת המשיבה, כי מדובר בבית מגורים אשר ניצל את מלוא הזכויות בתוכניות החלות עליו, וכן זכויות מכוח היתרים קודמים. לשיטתה, כאשר מדובר במבנה שבו התקיימו חריגות בנייה והמערערת ביקשה להכשיר את המצב הקיים, אין לראות במצב הקודם ככזה המקנה זכויות בנייה נוספות, שניתן לקזזן</w:t>
      </w:r>
      <w:r>
        <w:rPr>
          <w:rFonts w:ascii="David" w:hAnsi="David" w:cs="David"/>
          <w:sz w:val="28"/>
          <w:szCs w:val="28"/>
        </w:rPr>
        <w:t>.</w:t>
      </w:r>
      <w:r>
        <w:rPr>
          <w:rFonts w:ascii="David" w:hAnsi="David" w:cs="David"/>
          <w:sz w:val="28"/>
          <w:szCs w:val="28"/>
          <w:rtl/>
        </w:rPr>
        <w:t xml:space="preserve"> </w:t>
      </w:r>
    </w:p>
    <w:p w14:paraId="5C19059F" w14:textId="77777777" w:rsidR="00000000" w:rsidRDefault="00000000">
      <w:pPr>
        <w:pStyle w:val="a9"/>
        <w:rPr>
          <w:rtl/>
        </w:rPr>
      </w:pPr>
      <w:r>
        <w:rPr>
          <w:rFonts w:ascii="David" w:hAnsi="David" w:cs="David"/>
          <w:sz w:val="28"/>
          <w:szCs w:val="28"/>
        </w:rPr>
        <w:t> </w:t>
      </w:r>
    </w:p>
    <w:p w14:paraId="46F99A66" w14:textId="77777777" w:rsidR="00000000" w:rsidRDefault="00000000">
      <w:pPr>
        <w:pStyle w:val="a9"/>
        <w:spacing w:after="0" w:line="360" w:lineRule="auto"/>
        <w:ind w:left="728" w:hanging="360"/>
        <w:jc w:val="both"/>
        <w:rPr>
          <w:rtl/>
        </w:rPr>
      </w:pPr>
      <w:r>
        <w:rPr>
          <w:rFonts w:ascii="David" w:hAnsi="David" w:cs="David"/>
          <w:b/>
          <w:bCs/>
          <w:sz w:val="28"/>
          <w:szCs w:val="28"/>
          <w:rtl/>
        </w:rPr>
        <w:t>ד.</w:t>
      </w:r>
      <w:r>
        <w:rPr>
          <w:rFonts w:ascii="Times New Roman" w:hAnsi="Times New Roman" w:cs="Times New Roman"/>
          <w:b/>
          <w:bCs/>
          <w:sz w:val="14"/>
          <w:szCs w:val="14"/>
          <w:rtl/>
        </w:rPr>
        <w:t xml:space="preserve">  </w:t>
      </w:r>
      <w:r>
        <w:rPr>
          <w:rFonts w:ascii="David" w:hAnsi="David" w:cs="David"/>
          <w:sz w:val="28"/>
          <w:szCs w:val="28"/>
          <w:rtl/>
        </w:rPr>
        <w:t xml:space="preserve">באשר לפיר חדר המדרגות, טוענת המשיבה כי עצם קיומו הפיזי של רכיב בנוי - אינו יוצר זכויות משפטיות. גם אם פיר חדר המדרגות הופיע </w:t>
      </w:r>
      <w:proofErr w:type="spellStart"/>
      <w:r>
        <w:rPr>
          <w:rFonts w:ascii="David" w:hAnsi="David" w:cs="David"/>
          <w:sz w:val="28"/>
          <w:szCs w:val="28"/>
          <w:rtl/>
        </w:rPr>
        <w:t>בתשריטים</w:t>
      </w:r>
      <w:proofErr w:type="spellEnd"/>
      <w:r>
        <w:rPr>
          <w:rFonts w:ascii="David" w:hAnsi="David" w:cs="David"/>
          <w:sz w:val="28"/>
          <w:szCs w:val="28"/>
          <w:rtl/>
        </w:rPr>
        <w:t xml:space="preserve"> ישנים, הוא לא אושר כזכות בנייה נוספת מעבר לאחוזי הבנייה המותרים. כל השטחים, לרבות שטח חדר המדרגות, נכללו כשטחים עיקריים, ולא התקיימה הבחנה של שטחי שירות</w:t>
      </w:r>
      <w:r>
        <w:rPr>
          <w:rFonts w:ascii="David" w:hAnsi="David" w:cs="David"/>
          <w:sz w:val="28"/>
          <w:szCs w:val="28"/>
        </w:rPr>
        <w:t>.</w:t>
      </w:r>
      <w:r>
        <w:rPr>
          <w:rFonts w:ascii="David" w:hAnsi="David" w:cs="David"/>
          <w:sz w:val="28"/>
          <w:szCs w:val="28"/>
          <w:rtl/>
        </w:rPr>
        <w:t xml:space="preserve"> </w:t>
      </w:r>
    </w:p>
    <w:p w14:paraId="70A51BA2" w14:textId="77777777" w:rsidR="00000000" w:rsidRDefault="00000000">
      <w:pPr>
        <w:pStyle w:val="a9"/>
        <w:spacing w:after="0" w:line="360" w:lineRule="auto"/>
        <w:ind w:left="728"/>
        <w:jc w:val="both"/>
        <w:rPr>
          <w:rtl/>
        </w:rPr>
      </w:pPr>
      <w:r>
        <w:rPr>
          <w:rFonts w:ascii="David" w:hAnsi="David" w:cs="David"/>
          <w:sz w:val="28"/>
          <w:szCs w:val="28"/>
        </w:rPr>
        <w:t> </w:t>
      </w:r>
    </w:p>
    <w:p w14:paraId="09221B3A" w14:textId="77777777" w:rsidR="00000000" w:rsidRDefault="00000000">
      <w:pPr>
        <w:pStyle w:val="a9"/>
        <w:spacing w:after="0" w:line="360" w:lineRule="auto"/>
        <w:ind w:left="728" w:hanging="360"/>
        <w:jc w:val="both"/>
        <w:rPr>
          <w:rtl/>
        </w:rPr>
      </w:pPr>
      <w:r>
        <w:rPr>
          <w:rFonts w:ascii="David" w:hAnsi="David" w:cs="David"/>
          <w:b/>
          <w:bCs/>
          <w:sz w:val="28"/>
          <w:szCs w:val="28"/>
          <w:rtl/>
        </w:rPr>
        <w:t>ה.</w:t>
      </w:r>
      <w:r>
        <w:rPr>
          <w:rFonts w:ascii="Times New Roman" w:hAnsi="Times New Roman" w:cs="Times New Roman"/>
          <w:b/>
          <w:bCs/>
          <w:sz w:val="14"/>
          <w:szCs w:val="14"/>
          <w:rtl/>
        </w:rPr>
        <w:t xml:space="preserve">  </w:t>
      </w:r>
      <w:r>
        <w:rPr>
          <w:rFonts w:ascii="David" w:hAnsi="David" w:cs="David"/>
          <w:sz w:val="28"/>
          <w:szCs w:val="28"/>
          <w:rtl/>
        </w:rPr>
        <w:t>המשיבה הדגישה, כי בהתאם לקביעת השמאי המכריע, כאשר קיים חדר מדרגות בצמוד קרקע - בדומה למעלית - נלקח בחשבון שטח הקרקע בלבד, והחלל אינו נספר פעם נוספת. לפיכך, אין מקום להפחתה נוספת בגין פיר חדר המדרגות, שכן הדבר יוביל להפחתה כפולה של שטח עיקרי</w:t>
      </w:r>
      <w:r>
        <w:rPr>
          <w:rFonts w:ascii="David" w:hAnsi="David" w:cs="David"/>
          <w:sz w:val="28"/>
          <w:szCs w:val="28"/>
        </w:rPr>
        <w:t>.</w:t>
      </w:r>
      <w:r>
        <w:rPr>
          <w:rFonts w:ascii="David" w:hAnsi="David" w:cs="David"/>
          <w:sz w:val="28"/>
          <w:szCs w:val="28"/>
          <w:rtl/>
        </w:rPr>
        <w:t xml:space="preserve"> </w:t>
      </w:r>
    </w:p>
    <w:p w14:paraId="7C7B3FD5" w14:textId="77777777" w:rsidR="00000000" w:rsidRDefault="00000000">
      <w:pPr>
        <w:pStyle w:val="a9"/>
        <w:rPr>
          <w:rtl/>
        </w:rPr>
      </w:pPr>
      <w:r>
        <w:rPr>
          <w:rFonts w:ascii="David" w:hAnsi="David" w:cs="David"/>
          <w:sz w:val="28"/>
          <w:szCs w:val="28"/>
        </w:rPr>
        <w:t> </w:t>
      </w:r>
    </w:p>
    <w:p w14:paraId="1F4CBE53" w14:textId="77777777" w:rsidR="00000000" w:rsidRDefault="00000000">
      <w:pPr>
        <w:pStyle w:val="a9"/>
        <w:spacing w:after="0" w:line="360" w:lineRule="auto"/>
        <w:ind w:left="728" w:hanging="360"/>
        <w:jc w:val="both"/>
        <w:rPr>
          <w:rtl/>
        </w:rPr>
      </w:pPr>
      <w:r>
        <w:rPr>
          <w:rFonts w:ascii="David" w:hAnsi="David" w:cs="David"/>
          <w:b/>
          <w:bCs/>
          <w:sz w:val="28"/>
          <w:szCs w:val="28"/>
          <w:rtl/>
        </w:rPr>
        <w:t>ו.</w:t>
      </w:r>
      <w:r>
        <w:rPr>
          <w:rFonts w:ascii="Times New Roman" w:hAnsi="Times New Roman" w:cs="Times New Roman"/>
          <w:b/>
          <w:bCs/>
          <w:sz w:val="14"/>
          <w:szCs w:val="14"/>
          <w:rtl/>
        </w:rPr>
        <w:t xml:space="preserve">  </w:t>
      </w:r>
      <w:r>
        <w:rPr>
          <w:rFonts w:ascii="David" w:hAnsi="David" w:cs="David"/>
          <w:sz w:val="28"/>
          <w:szCs w:val="28"/>
          <w:rtl/>
        </w:rPr>
        <w:t xml:space="preserve">באשר לשווי </w:t>
      </w:r>
      <w:proofErr w:type="spellStart"/>
      <w:r>
        <w:rPr>
          <w:rFonts w:ascii="David" w:hAnsi="David" w:cs="David"/>
          <w:sz w:val="28"/>
          <w:szCs w:val="28"/>
          <w:rtl/>
        </w:rPr>
        <w:t>המ"ר</w:t>
      </w:r>
      <w:proofErr w:type="spellEnd"/>
      <w:r>
        <w:rPr>
          <w:rFonts w:ascii="David" w:hAnsi="David" w:cs="David"/>
          <w:sz w:val="28"/>
          <w:szCs w:val="28"/>
          <w:rtl/>
        </w:rPr>
        <w:t xml:space="preserve"> המבונה, נטען כי השמאי המכריע וועדת הערר נימקו את קביעותיהם, ואין מדובר בקביעות החורגות ממתחם הסבירות</w:t>
      </w:r>
      <w:r>
        <w:rPr>
          <w:rFonts w:ascii="David" w:hAnsi="David" w:cs="David"/>
          <w:sz w:val="28"/>
          <w:szCs w:val="28"/>
        </w:rPr>
        <w:t>.</w:t>
      </w:r>
      <w:r>
        <w:rPr>
          <w:rFonts w:ascii="David" w:hAnsi="David" w:cs="David"/>
          <w:sz w:val="28"/>
          <w:szCs w:val="28"/>
          <w:rtl/>
        </w:rPr>
        <w:t xml:space="preserve"> </w:t>
      </w:r>
    </w:p>
    <w:p w14:paraId="5E2E3803" w14:textId="77777777" w:rsidR="00000000" w:rsidRDefault="00000000">
      <w:pPr>
        <w:pStyle w:val="a9"/>
        <w:rPr>
          <w:rtl/>
        </w:rPr>
      </w:pPr>
      <w:r>
        <w:rPr>
          <w:rFonts w:ascii="David" w:hAnsi="David" w:cs="David"/>
          <w:sz w:val="28"/>
          <w:szCs w:val="28"/>
        </w:rPr>
        <w:t> </w:t>
      </w:r>
    </w:p>
    <w:p w14:paraId="2E27BE55" w14:textId="77777777" w:rsidR="00000000" w:rsidRDefault="00000000">
      <w:pPr>
        <w:pStyle w:val="a9"/>
        <w:spacing w:after="0" w:line="360" w:lineRule="auto"/>
        <w:ind w:left="728" w:hanging="360"/>
        <w:jc w:val="both"/>
        <w:rPr>
          <w:rtl/>
        </w:rPr>
      </w:pPr>
      <w:r>
        <w:rPr>
          <w:rFonts w:ascii="David" w:hAnsi="David" w:cs="David"/>
          <w:b/>
          <w:bCs/>
          <w:sz w:val="28"/>
          <w:szCs w:val="28"/>
          <w:rtl/>
        </w:rPr>
        <w:t>ז.</w:t>
      </w:r>
      <w:r>
        <w:rPr>
          <w:rFonts w:ascii="Times New Roman" w:hAnsi="Times New Roman" w:cs="Times New Roman"/>
          <w:b/>
          <w:bCs/>
          <w:sz w:val="14"/>
          <w:szCs w:val="14"/>
          <w:rtl/>
        </w:rPr>
        <w:t xml:space="preserve">  </w:t>
      </w:r>
      <w:r>
        <w:rPr>
          <w:rFonts w:ascii="David" w:hAnsi="David" w:cs="David"/>
          <w:sz w:val="28"/>
          <w:szCs w:val="28"/>
          <w:rtl/>
        </w:rPr>
        <w:t xml:space="preserve">עוד הוסיפה המשיבה, כי במועדים הרלוונטיים, נהגה הוועדה המקומית להוציא היתרים גם מכוח </w:t>
      </w:r>
      <w:proofErr w:type="spellStart"/>
      <w:r>
        <w:rPr>
          <w:rFonts w:ascii="David" w:hAnsi="David" w:cs="David"/>
          <w:sz w:val="28"/>
          <w:szCs w:val="28"/>
          <w:rtl/>
        </w:rPr>
        <w:t>תכניות</w:t>
      </w:r>
      <w:proofErr w:type="spellEnd"/>
      <w:r>
        <w:rPr>
          <w:rFonts w:ascii="David" w:hAnsi="David" w:cs="David"/>
          <w:sz w:val="28"/>
          <w:szCs w:val="28"/>
          <w:rtl/>
        </w:rPr>
        <w:t xml:space="preserve"> שהופקדו אך טרם אושרו, ובכלל זה תכנית 256, ועל בסיס פרקטיקה זו ניתן גם ההיתר נשוא ההליך</w:t>
      </w:r>
      <w:r>
        <w:rPr>
          <w:rFonts w:ascii="David" w:hAnsi="David" w:cs="David"/>
          <w:sz w:val="28"/>
          <w:szCs w:val="28"/>
        </w:rPr>
        <w:t>.</w:t>
      </w:r>
    </w:p>
    <w:p w14:paraId="45BD844B" w14:textId="77777777" w:rsidR="00000000" w:rsidRDefault="00000000">
      <w:pPr>
        <w:pStyle w:val="a9"/>
        <w:rPr>
          <w:rtl/>
        </w:rPr>
      </w:pPr>
      <w:r>
        <w:rPr>
          <w:rFonts w:ascii="David" w:hAnsi="David" w:cs="David"/>
          <w:sz w:val="28"/>
          <w:szCs w:val="28"/>
        </w:rPr>
        <w:t> </w:t>
      </w:r>
    </w:p>
    <w:p w14:paraId="1288FAAE" w14:textId="77777777" w:rsidR="00000000" w:rsidRDefault="00000000">
      <w:pPr>
        <w:pStyle w:val="a9"/>
        <w:spacing w:after="0" w:line="360" w:lineRule="auto"/>
        <w:ind w:left="728" w:hanging="786"/>
        <w:jc w:val="both"/>
        <w:rPr>
          <w:rtl/>
        </w:rPr>
      </w:pPr>
      <w:r>
        <w:rPr>
          <w:rFonts w:ascii="David" w:hAnsi="David" w:cs="David"/>
          <w:sz w:val="28"/>
          <w:szCs w:val="28"/>
          <w:u w:val="single"/>
          <w:rtl/>
        </w:rPr>
        <w:t>תשובת המערערת</w:t>
      </w:r>
    </w:p>
    <w:p w14:paraId="2C0598FD" w14:textId="77777777" w:rsidR="00000000" w:rsidRDefault="00000000">
      <w:pPr>
        <w:pStyle w:val="a9"/>
        <w:spacing w:after="0" w:line="360" w:lineRule="auto"/>
        <w:ind w:left="368" w:hanging="426"/>
        <w:jc w:val="both"/>
        <w:rPr>
          <w:rtl/>
        </w:rPr>
      </w:pPr>
      <w:r>
        <w:rPr>
          <w:rFonts w:ascii="David" w:hAnsi="David" w:cs="David"/>
          <w:b/>
          <w:bCs/>
          <w:sz w:val="28"/>
          <w:szCs w:val="28"/>
          <w:rtl/>
        </w:rPr>
        <w:t>23.</w:t>
      </w:r>
      <w:r>
        <w:rPr>
          <w:rFonts w:ascii="Times New Roman" w:hAnsi="Times New Roman" w:cs="Times New Roman"/>
          <w:b/>
          <w:bCs/>
          <w:sz w:val="14"/>
          <w:szCs w:val="14"/>
          <w:rtl/>
        </w:rPr>
        <w:t xml:space="preserve">  </w:t>
      </w:r>
      <w:r>
        <w:rPr>
          <w:rFonts w:ascii="David" w:hAnsi="David" w:cs="David"/>
          <w:sz w:val="28"/>
          <w:szCs w:val="28"/>
          <w:rtl/>
        </w:rPr>
        <w:t xml:space="preserve">בתשובתה טענה המערערת, כי טענות המשיבה מתמקדות בהתנהלות דיונית ואינן מתמודדות עם ליבת הסכסוך - הפגמים המהותיים שנפלו בהחלטת ועדת הערר והפגיעה בזכויות, וכמפורט להלן: </w:t>
      </w:r>
    </w:p>
    <w:p w14:paraId="6DCAE917" w14:textId="77777777" w:rsidR="00000000" w:rsidRDefault="00000000">
      <w:pPr>
        <w:pStyle w:val="a9"/>
        <w:spacing w:after="0" w:line="360" w:lineRule="auto"/>
        <w:ind w:left="368"/>
        <w:jc w:val="both"/>
        <w:rPr>
          <w:rtl/>
        </w:rPr>
      </w:pPr>
      <w:r>
        <w:rPr>
          <w:rFonts w:ascii="David" w:hAnsi="David" w:cs="David"/>
          <w:sz w:val="28"/>
          <w:szCs w:val="28"/>
        </w:rPr>
        <w:t> </w:t>
      </w:r>
    </w:p>
    <w:p w14:paraId="1C5D06A0" w14:textId="77777777" w:rsidR="00000000" w:rsidRDefault="00000000">
      <w:pPr>
        <w:pStyle w:val="a9"/>
        <w:spacing w:after="0" w:line="360" w:lineRule="auto"/>
        <w:ind w:left="728" w:hanging="360"/>
        <w:jc w:val="both"/>
        <w:rPr>
          <w:rtl/>
        </w:rPr>
      </w:pPr>
      <w:r>
        <w:rPr>
          <w:rFonts w:ascii="David" w:hAnsi="David" w:cs="David"/>
          <w:b/>
          <w:bCs/>
          <w:sz w:val="28"/>
          <w:szCs w:val="28"/>
          <w:rtl/>
        </w:rPr>
        <w:t>א.</w:t>
      </w:r>
      <w:r>
        <w:rPr>
          <w:rFonts w:ascii="Times New Roman" w:hAnsi="Times New Roman" w:cs="Times New Roman"/>
          <w:b/>
          <w:bCs/>
          <w:sz w:val="14"/>
          <w:szCs w:val="14"/>
          <w:rtl/>
        </w:rPr>
        <w:t xml:space="preserve">  </w:t>
      </w:r>
      <w:r>
        <w:rPr>
          <w:rFonts w:ascii="David" w:hAnsi="David" w:cs="David"/>
          <w:sz w:val="28"/>
          <w:szCs w:val="28"/>
          <w:rtl/>
        </w:rPr>
        <w:t>ההיתר המקורי אושר כדין, לרבות פיר חדר המדרגות, והטענה כאילו מדובר ברכיב שלא אושר מעולם - אינה נכונה. המערערת הפנתה לחישוב השטחים שערכה בוחנת הרישוי ולפרוטוקולי הוועדה, המלמדים כי ההיתר ניתן על בסיס תשתית תכנונית מוסדרת, לרבות על יסוד ויתור זכויות מהשכן</w:t>
      </w:r>
      <w:r>
        <w:rPr>
          <w:rFonts w:ascii="David" w:hAnsi="David" w:cs="David"/>
          <w:sz w:val="28"/>
          <w:szCs w:val="28"/>
        </w:rPr>
        <w:t>.</w:t>
      </w:r>
      <w:r>
        <w:rPr>
          <w:rFonts w:ascii="David" w:hAnsi="David" w:cs="David"/>
          <w:sz w:val="28"/>
          <w:szCs w:val="28"/>
          <w:rtl/>
        </w:rPr>
        <w:t xml:space="preserve"> </w:t>
      </w:r>
    </w:p>
    <w:p w14:paraId="37D3F7ED" w14:textId="77777777" w:rsidR="00000000" w:rsidRDefault="00000000">
      <w:pPr>
        <w:pStyle w:val="a9"/>
        <w:spacing w:after="0" w:line="360" w:lineRule="auto"/>
        <w:ind w:left="728"/>
        <w:jc w:val="both"/>
        <w:rPr>
          <w:rtl/>
        </w:rPr>
      </w:pPr>
      <w:r>
        <w:rPr>
          <w:rFonts w:ascii="David" w:hAnsi="David" w:cs="David"/>
          <w:sz w:val="28"/>
          <w:szCs w:val="28"/>
        </w:rPr>
        <w:t> </w:t>
      </w:r>
    </w:p>
    <w:p w14:paraId="59DB03BB" w14:textId="77777777" w:rsidR="00000000" w:rsidRDefault="00000000">
      <w:pPr>
        <w:pStyle w:val="a9"/>
        <w:spacing w:after="0" w:line="360" w:lineRule="auto"/>
        <w:ind w:left="728" w:hanging="360"/>
        <w:jc w:val="both"/>
        <w:rPr>
          <w:rtl/>
        </w:rPr>
      </w:pPr>
      <w:r>
        <w:rPr>
          <w:rFonts w:ascii="David" w:hAnsi="David" w:cs="David"/>
          <w:b/>
          <w:bCs/>
          <w:sz w:val="28"/>
          <w:szCs w:val="28"/>
          <w:rtl/>
        </w:rPr>
        <w:t>ב.</w:t>
      </w:r>
      <w:r>
        <w:rPr>
          <w:rFonts w:ascii="Times New Roman" w:hAnsi="Times New Roman" w:cs="Times New Roman"/>
          <w:b/>
          <w:bCs/>
          <w:sz w:val="14"/>
          <w:szCs w:val="14"/>
          <w:rtl/>
        </w:rPr>
        <w:t xml:space="preserve">  </w:t>
      </w:r>
      <w:r>
        <w:rPr>
          <w:rFonts w:ascii="David" w:hAnsi="David" w:cs="David"/>
          <w:sz w:val="28"/>
          <w:szCs w:val="28"/>
          <w:rtl/>
        </w:rPr>
        <w:t>עוד נטען ע"י המערערת, כי תכנית 256 נכנסה לתוקף רק לאחר מתן ההיתר המקורי, וכי אין זה ראוי לצמצם בדיעבד את המצב הקודם, לצורך חיוב בהיטל השבחה</w:t>
      </w:r>
      <w:r>
        <w:rPr>
          <w:rFonts w:ascii="David" w:hAnsi="David" w:cs="David"/>
          <w:sz w:val="28"/>
          <w:szCs w:val="28"/>
        </w:rPr>
        <w:t>.</w:t>
      </w:r>
      <w:r>
        <w:rPr>
          <w:rFonts w:ascii="David" w:hAnsi="David" w:cs="David"/>
          <w:sz w:val="28"/>
          <w:szCs w:val="28"/>
          <w:rtl/>
        </w:rPr>
        <w:t xml:space="preserve"> </w:t>
      </w:r>
    </w:p>
    <w:p w14:paraId="422B0575" w14:textId="77777777" w:rsidR="00000000" w:rsidRDefault="00000000">
      <w:pPr>
        <w:pStyle w:val="a9"/>
        <w:rPr>
          <w:rtl/>
        </w:rPr>
      </w:pPr>
      <w:r>
        <w:rPr>
          <w:rFonts w:ascii="David" w:hAnsi="David" w:cs="David"/>
          <w:sz w:val="28"/>
          <w:szCs w:val="28"/>
        </w:rPr>
        <w:t> </w:t>
      </w:r>
    </w:p>
    <w:p w14:paraId="077D4242" w14:textId="77777777" w:rsidR="00000000" w:rsidRDefault="00000000">
      <w:pPr>
        <w:pStyle w:val="a9"/>
        <w:spacing w:after="0" w:line="360" w:lineRule="auto"/>
        <w:ind w:left="728" w:hanging="360"/>
        <w:jc w:val="both"/>
        <w:rPr>
          <w:rtl/>
        </w:rPr>
      </w:pPr>
      <w:r>
        <w:rPr>
          <w:rFonts w:ascii="David" w:hAnsi="David" w:cs="David"/>
          <w:b/>
          <w:bCs/>
          <w:sz w:val="28"/>
          <w:szCs w:val="28"/>
          <w:rtl/>
        </w:rPr>
        <w:t>ג.</w:t>
      </w:r>
      <w:r>
        <w:rPr>
          <w:rFonts w:ascii="Times New Roman" w:hAnsi="Times New Roman" w:cs="Times New Roman"/>
          <w:b/>
          <w:bCs/>
          <w:sz w:val="14"/>
          <w:szCs w:val="14"/>
          <w:rtl/>
        </w:rPr>
        <w:t xml:space="preserve">  </w:t>
      </w:r>
      <w:r>
        <w:rPr>
          <w:rFonts w:ascii="David" w:hAnsi="David" w:cs="David"/>
          <w:sz w:val="28"/>
          <w:szCs w:val="28"/>
          <w:rtl/>
        </w:rPr>
        <w:t>המערערת הוסיפה, כי חיובה בהיטל השבחה עומד על כ - 340 אלף ש"ח, כאשר פיר חדר המדרגות מהווה למעלה ממחצית שטח ההקלה - אשר בגינה חויבה, דבר המלמד על משקל בלתי פרופורציונלי שניתן לרכיב זה</w:t>
      </w:r>
      <w:r>
        <w:rPr>
          <w:rFonts w:ascii="David" w:hAnsi="David" w:cs="David"/>
          <w:sz w:val="28"/>
          <w:szCs w:val="28"/>
        </w:rPr>
        <w:t>.</w:t>
      </w:r>
      <w:r>
        <w:rPr>
          <w:rFonts w:ascii="David" w:hAnsi="David" w:cs="David"/>
          <w:sz w:val="28"/>
          <w:szCs w:val="28"/>
          <w:rtl/>
        </w:rPr>
        <w:t xml:space="preserve"> </w:t>
      </w:r>
    </w:p>
    <w:p w14:paraId="6B638EE7" w14:textId="77777777" w:rsidR="00000000" w:rsidRDefault="00000000">
      <w:pPr>
        <w:pStyle w:val="a9"/>
        <w:rPr>
          <w:rtl/>
        </w:rPr>
      </w:pPr>
      <w:r>
        <w:rPr>
          <w:rFonts w:ascii="David" w:hAnsi="David" w:cs="David"/>
          <w:sz w:val="28"/>
          <w:szCs w:val="28"/>
        </w:rPr>
        <w:t> </w:t>
      </w:r>
    </w:p>
    <w:p w14:paraId="656E2535" w14:textId="77777777" w:rsidR="00000000" w:rsidRDefault="00000000">
      <w:pPr>
        <w:pStyle w:val="a9"/>
        <w:spacing w:after="0" w:line="360" w:lineRule="auto"/>
        <w:ind w:left="728" w:hanging="360"/>
        <w:jc w:val="both"/>
        <w:rPr>
          <w:rtl/>
        </w:rPr>
      </w:pPr>
      <w:r>
        <w:rPr>
          <w:rFonts w:ascii="David" w:hAnsi="David" w:cs="David"/>
          <w:b/>
          <w:bCs/>
          <w:sz w:val="28"/>
          <w:szCs w:val="28"/>
          <w:rtl/>
        </w:rPr>
        <w:t>ד.</w:t>
      </w:r>
      <w:r>
        <w:rPr>
          <w:rFonts w:ascii="Times New Roman" w:hAnsi="Times New Roman" w:cs="Times New Roman"/>
          <w:b/>
          <w:bCs/>
          <w:sz w:val="14"/>
          <w:szCs w:val="14"/>
          <w:rtl/>
        </w:rPr>
        <w:t xml:space="preserve">  </w:t>
      </w:r>
      <w:r>
        <w:rPr>
          <w:rFonts w:ascii="David" w:hAnsi="David" w:cs="David"/>
          <w:sz w:val="28"/>
          <w:szCs w:val="28"/>
          <w:rtl/>
        </w:rPr>
        <w:t>לבסוף, שבה וחזרה המערערת על טענתה, בדבר שגיאה מהותית בהחלטת ועדת הערר עצמה ביחס למסקנות השמאי המכריע, שגגה הפוגעת בתקינות ההחלטה</w:t>
      </w:r>
      <w:r>
        <w:rPr>
          <w:rFonts w:ascii="David" w:hAnsi="David" w:cs="David"/>
          <w:sz w:val="28"/>
          <w:szCs w:val="28"/>
        </w:rPr>
        <w:t>.</w:t>
      </w:r>
      <w:r>
        <w:rPr>
          <w:rFonts w:ascii="David" w:hAnsi="David" w:cs="David"/>
          <w:sz w:val="28"/>
          <w:szCs w:val="28"/>
          <w:rtl/>
        </w:rPr>
        <w:t xml:space="preserve"> </w:t>
      </w:r>
    </w:p>
    <w:p w14:paraId="4D9654AB" w14:textId="77777777" w:rsidR="00000000" w:rsidRDefault="00000000">
      <w:pPr>
        <w:pStyle w:val="a9"/>
        <w:rPr>
          <w:rtl/>
        </w:rPr>
      </w:pPr>
      <w:r>
        <w:rPr>
          <w:rFonts w:ascii="David" w:hAnsi="David" w:cs="David"/>
          <w:sz w:val="28"/>
          <w:szCs w:val="28"/>
        </w:rPr>
        <w:t> </w:t>
      </w:r>
    </w:p>
    <w:p w14:paraId="1B3B0BF9" w14:textId="77777777" w:rsidR="00000000" w:rsidRDefault="00000000">
      <w:pPr>
        <w:pStyle w:val="a9"/>
        <w:spacing w:after="0" w:line="360" w:lineRule="auto"/>
        <w:ind w:left="509" w:hanging="283"/>
        <w:jc w:val="both"/>
        <w:rPr>
          <w:rtl/>
        </w:rPr>
      </w:pPr>
      <w:r>
        <w:rPr>
          <w:rFonts w:ascii="David" w:hAnsi="David" w:cs="David"/>
          <w:sz w:val="28"/>
          <w:szCs w:val="28"/>
          <w:u w:val="single"/>
          <w:rtl/>
        </w:rPr>
        <w:t>הערת המשיבה</w:t>
      </w:r>
    </w:p>
    <w:p w14:paraId="43471FDB" w14:textId="77777777" w:rsidR="00000000" w:rsidRDefault="00000000">
      <w:pPr>
        <w:pStyle w:val="a9"/>
        <w:spacing w:after="0" w:line="360" w:lineRule="auto"/>
        <w:ind w:left="368" w:hanging="426"/>
        <w:jc w:val="both"/>
        <w:rPr>
          <w:rtl/>
        </w:rPr>
      </w:pPr>
      <w:r>
        <w:rPr>
          <w:rFonts w:ascii="David" w:hAnsi="David" w:cs="David"/>
          <w:b/>
          <w:bCs/>
          <w:sz w:val="28"/>
          <w:szCs w:val="28"/>
          <w:rtl/>
        </w:rPr>
        <w:t>24.</w:t>
      </w:r>
      <w:r>
        <w:rPr>
          <w:rFonts w:ascii="Times New Roman" w:hAnsi="Times New Roman" w:cs="Times New Roman"/>
          <w:b/>
          <w:bCs/>
          <w:sz w:val="14"/>
          <w:szCs w:val="14"/>
          <w:rtl/>
        </w:rPr>
        <w:t xml:space="preserve">  </w:t>
      </w:r>
      <w:r>
        <w:rPr>
          <w:rFonts w:ascii="David" w:hAnsi="David" w:cs="David"/>
          <w:sz w:val="28"/>
          <w:szCs w:val="28"/>
          <w:rtl/>
        </w:rPr>
        <w:t xml:space="preserve">לסיום טיעוני הצדדים בדיון, הבהירה המשיבה כי ההיתר המקורי ניתן בתקופה שבה נהגה הוועדה המקומית להוציא היתרים גם מכוח </w:t>
      </w:r>
      <w:proofErr w:type="spellStart"/>
      <w:r>
        <w:rPr>
          <w:rFonts w:ascii="David" w:hAnsi="David" w:cs="David"/>
          <w:sz w:val="28"/>
          <w:szCs w:val="28"/>
          <w:rtl/>
        </w:rPr>
        <w:t>תכניות</w:t>
      </w:r>
      <w:proofErr w:type="spellEnd"/>
      <w:r>
        <w:rPr>
          <w:rFonts w:ascii="David" w:hAnsi="David" w:cs="David"/>
          <w:sz w:val="28"/>
          <w:szCs w:val="28"/>
          <w:rtl/>
        </w:rPr>
        <w:t xml:space="preserve"> שהופקדו אך טרם אושרו, ובכלל זה תכנית 256. לשיטתה, ההיתר ניתן בהתאם לפרקטיקה התכנונית שנהגה באותה עת, ואין בעובדה </w:t>
      </w:r>
      <w:proofErr w:type="spellStart"/>
      <w:r>
        <w:rPr>
          <w:rFonts w:ascii="David" w:hAnsi="David" w:cs="David"/>
          <w:sz w:val="28"/>
          <w:szCs w:val="28"/>
          <w:rtl/>
        </w:rPr>
        <w:t>שהתכנית</w:t>
      </w:r>
      <w:proofErr w:type="spellEnd"/>
      <w:r>
        <w:rPr>
          <w:rFonts w:ascii="David" w:hAnsi="David" w:cs="David"/>
          <w:sz w:val="28"/>
          <w:szCs w:val="28"/>
          <w:rtl/>
        </w:rPr>
        <w:t xml:space="preserve"> טרם קיבלה תוקף סטטוטורי מלא כדי ללמד על קיומן של זכויות בנייה עודפות מעבר לאלה שנלקחו בחשבון לצורך השומה</w:t>
      </w:r>
      <w:r>
        <w:rPr>
          <w:rFonts w:ascii="David" w:hAnsi="David" w:cs="David"/>
          <w:sz w:val="28"/>
          <w:szCs w:val="28"/>
        </w:rPr>
        <w:t>.</w:t>
      </w:r>
    </w:p>
    <w:p w14:paraId="1A9DEA94" w14:textId="77777777" w:rsidR="00000000" w:rsidRDefault="00000000">
      <w:pPr>
        <w:pStyle w:val="a9"/>
        <w:spacing w:after="0" w:line="360" w:lineRule="auto"/>
        <w:ind w:left="368" w:hanging="426"/>
        <w:jc w:val="both"/>
        <w:rPr>
          <w:rtl/>
        </w:rPr>
      </w:pPr>
      <w:r>
        <w:rPr>
          <w:rFonts w:ascii="David" w:hAnsi="David" w:cs="David"/>
          <w:b/>
          <w:bCs/>
          <w:sz w:val="28"/>
          <w:szCs w:val="28"/>
          <w:rtl/>
        </w:rPr>
        <w:t> </w:t>
      </w:r>
    </w:p>
    <w:p w14:paraId="373CF753" w14:textId="77777777" w:rsidR="00000000" w:rsidRDefault="00000000">
      <w:pPr>
        <w:pStyle w:val="a9"/>
        <w:spacing w:after="0" w:line="360" w:lineRule="auto"/>
        <w:ind w:left="368" w:hanging="426"/>
        <w:jc w:val="both"/>
        <w:rPr>
          <w:rtl/>
        </w:rPr>
      </w:pPr>
      <w:r>
        <w:rPr>
          <w:rFonts w:ascii="David" w:hAnsi="David" w:cs="David"/>
          <w:b/>
          <w:bCs/>
          <w:sz w:val="28"/>
          <w:szCs w:val="28"/>
          <w:u w:val="single"/>
          <w:rtl/>
        </w:rPr>
        <w:t>דיון והכרעה</w:t>
      </w:r>
    </w:p>
    <w:p w14:paraId="38E8F089" w14:textId="77777777" w:rsidR="00000000" w:rsidRDefault="00000000">
      <w:pPr>
        <w:pStyle w:val="a9"/>
        <w:spacing w:after="0" w:line="360" w:lineRule="auto"/>
        <w:ind w:left="368" w:hanging="426"/>
        <w:jc w:val="both"/>
        <w:rPr>
          <w:rtl/>
        </w:rPr>
      </w:pPr>
      <w:r>
        <w:rPr>
          <w:rFonts w:ascii="David" w:hAnsi="David" w:cs="David"/>
          <w:sz w:val="28"/>
          <w:szCs w:val="28"/>
          <w:rtl/>
        </w:rPr>
        <w:t> </w:t>
      </w:r>
    </w:p>
    <w:p w14:paraId="5B609940" w14:textId="77777777" w:rsidR="00000000" w:rsidRDefault="00000000">
      <w:pPr>
        <w:pStyle w:val="a9"/>
        <w:spacing w:after="0" w:line="360" w:lineRule="auto"/>
        <w:ind w:left="368" w:hanging="426"/>
        <w:jc w:val="both"/>
        <w:rPr>
          <w:rtl/>
        </w:rPr>
      </w:pPr>
      <w:r>
        <w:rPr>
          <w:rFonts w:ascii="David" w:hAnsi="David" w:cs="David"/>
          <w:b/>
          <w:bCs/>
          <w:sz w:val="28"/>
          <w:szCs w:val="28"/>
          <w:u w:val="single"/>
          <w:rtl/>
        </w:rPr>
        <w:t xml:space="preserve">המסגרת הנורמטיבית </w:t>
      </w:r>
    </w:p>
    <w:p w14:paraId="23E41228" w14:textId="77777777" w:rsidR="00000000" w:rsidRDefault="00000000">
      <w:pPr>
        <w:pStyle w:val="a9"/>
        <w:spacing w:after="0" w:line="360" w:lineRule="auto"/>
        <w:ind w:left="368" w:hanging="426"/>
        <w:jc w:val="both"/>
        <w:rPr>
          <w:rtl/>
        </w:rPr>
      </w:pPr>
      <w:r>
        <w:rPr>
          <w:rFonts w:ascii="David" w:hAnsi="David" w:cs="David"/>
          <w:b/>
          <w:bCs/>
          <w:sz w:val="28"/>
          <w:szCs w:val="28"/>
          <w:rtl/>
        </w:rPr>
        <w:t> </w:t>
      </w:r>
    </w:p>
    <w:p w14:paraId="7F993D34" w14:textId="77777777" w:rsidR="00000000" w:rsidRDefault="00000000">
      <w:pPr>
        <w:pStyle w:val="a9"/>
        <w:spacing w:after="0" w:line="360" w:lineRule="auto"/>
        <w:ind w:left="368" w:hanging="426"/>
        <w:jc w:val="both"/>
        <w:rPr>
          <w:rtl/>
        </w:rPr>
      </w:pPr>
      <w:r>
        <w:rPr>
          <w:rFonts w:ascii="David" w:hAnsi="David" w:cs="David"/>
          <w:b/>
          <w:bCs/>
          <w:sz w:val="28"/>
          <w:szCs w:val="28"/>
          <w:u w:val="single"/>
          <w:rtl/>
        </w:rPr>
        <w:t>החיוב בהיטל השבחה</w:t>
      </w:r>
    </w:p>
    <w:p w14:paraId="34CDE855" w14:textId="77777777" w:rsidR="00000000" w:rsidRDefault="00000000">
      <w:pPr>
        <w:pStyle w:val="a9"/>
        <w:spacing w:after="0" w:line="360" w:lineRule="auto"/>
        <w:ind w:left="368" w:hanging="426"/>
        <w:jc w:val="both"/>
        <w:rPr>
          <w:rtl/>
        </w:rPr>
      </w:pPr>
      <w:r>
        <w:rPr>
          <w:rFonts w:ascii="David" w:hAnsi="David" w:cs="David"/>
          <w:b/>
          <w:bCs/>
          <w:sz w:val="28"/>
          <w:szCs w:val="28"/>
          <w:rtl/>
        </w:rPr>
        <w:t>25.</w:t>
      </w:r>
      <w:r>
        <w:rPr>
          <w:rFonts w:ascii="Times New Roman" w:hAnsi="Times New Roman" w:cs="Times New Roman"/>
          <w:b/>
          <w:bCs/>
          <w:sz w:val="14"/>
          <w:szCs w:val="14"/>
          <w:rtl/>
        </w:rPr>
        <w:t xml:space="preserve">  </w:t>
      </w:r>
      <w:bookmarkStart w:id="6" w:name="_Hlk220585243"/>
      <w:r>
        <w:rPr>
          <w:rFonts w:ascii="David" w:hAnsi="David" w:cs="David"/>
          <w:sz w:val="28"/>
          <w:szCs w:val="28"/>
          <w:rtl/>
        </w:rPr>
        <w:t xml:space="preserve">היטל השבחה נגבה מכוח התוספת השלישית לחוק התכנון והבניה, והוא מבוסס על עיקרון יסוד של דיני המס: גביית ההיטל מותרת אך ורק מקום שבו חלה </w:t>
      </w:r>
      <w:r>
        <w:rPr>
          <w:rStyle w:val="ab"/>
          <w:rFonts w:ascii="David" w:hAnsi="David" w:cs="David"/>
          <w:sz w:val="28"/>
          <w:szCs w:val="28"/>
          <w:rtl/>
        </w:rPr>
        <w:t>השבחה</w:t>
      </w:r>
      <w:r>
        <w:rPr>
          <w:rFonts w:ascii="David" w:hAnsi="David" w:cs="David"/>
          <w:sz w:val="28"/>
          <w:szCs w:val="28"/>
          <w:rtl/>
        </w:rPr>
        <w:t>, כהגדרתה בסעיף 1(א) לתוספת השלישית - קרי, עלייה בשווי המקרקעין עקב אישור תכנית, מתן הקלה או התרת שימוש חורג</w:t>
      </w:r>
      <w:r>
        <w:rPr>
          <w:rFonts w:ascii="David" w:hAnsi="David" w:cs="David"/>
          <w:sz w:val="28"/>
          <w:szCs w:val="28"/>
        </w:rPr>
        <w:t>.</w:t>
      </w:r>
      <w:r>
        <w:rPr>
          <w:rFonts w:ascii="David" w:hAnsi="David" w:cs="David"/>
          <w:sz w:val="28"/>
          <w:szCs w:val="28"/>
          <w:rtl/>
        </w:rPr>
        <w:t xml:space="preserve"> </w:t>
      </w:r>
    </w:p>
    <w:p w14:paraId="5A56C2D8" w14:textId="77777777" w:rsidR="00000000" w:rsidRDefault="00000000">
      <w:pPr>
        <w:pStyle w:val="a9"/>
        <w:spacing w:after="0" w:line="360" w:lineRule="auto"/>
        <w:ind w:left="368"/>
        <w:jc w:val="both"/>
        <w:rPr>
          <w:rtl/>
        </w:rPr>
      </w:pPr>
      <w:r>
        <w:rPr>
          <w:rFonts w:ascii="David" w:hAnsi="David" w:cs="David"/>
          <w:sz w:val="28"/>
          <w:szCs w:val="28"/>
        </w:rPr>
        <w:t> </w:t>
      </w:r>
    </w:p>
    <w:bookmarkEnd w:id="6"/>
    <w:p w14:paraId="4D7DBAA0" w14:textId="77777777" w:rsidR="00000000" w:rsidRDefault="00000000">
      <w:pPr>
        <w:pStyle w:val="a9"/>
        <w:spacing w:after="0" w:line="360" w:lineRule="auto"/>
        <w:ind w:left="368" w:hanging="426"/>
        <w:jc w:val="both"/>
        <w:rPr>
          <w:rtl/>
        </w:rPr>
      </w:pPr>
      <w:r>
        <w:rPr>
          <w:rFonts w:ascii="David" w:hAnsi="David" w:cs="David"/>
          <w:b/>
          <w:bCs/>
          <w:sz w:val="28"/>
          <w:szCs w:val="28"/>
          <w:rtl/>
        </w:rPr>
        <w:t>26.</w:t>
      </w:r>
      <w:r>
        <w:rPr>
          <w:rFonts w:ascii="Times New Roman" w:hAnsi="Times New Roman" w:cs="Times New Roman"/>
          <w:b/>
          <w:bCs/>
          <w:sz w:val="14"/>
          <w:szCs w:val="14"/>
          <w:rtl/>
        </w:rPr>
        <w:t xml:space="preserve">  </w:t>
      </w:r>
      <w:r>
        <w:rPr>
          <w:rFonts w:ascii="David" w:hAnsi="David" w:cs="David"/>
          <w:sz w:val="28"/>
          <w:szCs w:val="28"/>
          <w:rtl/>
        </w:rPr>
        <w:t xml:space="preserve">כפי שהטעמתי </w:t>
      </w:r>
      <w:proofErr w:type="spellStart"/>
      <w:r>
        <w:rPr>
          <w:rFonts w:ascii="David" w:hAnsi="David" w:cs="David"/>
          <w:sz w:val="28"/>
          <w:szCs w:val="28"/>
          <w:rtl/>
        </w:rPr>
        <w:t>בעמ"נ</w:t>
      </w:r>
      <w:proofErr w:type="spellEnd"/>
      <w:r>
        <w:rPr>
          <w:rFonts w:ascii="David" w:hAnsi="David" w:cs="David"/>
          <w:sz w:val="28"/>
          <w:szCs w:val="28"/>
          <w:rtl/>
        </w:rPr>
        <w:t xml:space="preserve"> 28867-04-24 </w:t>
      </w:r>
      <w:r>
        <w:rPr>
          <w:rFonts w:ascii="David" w:hAnsi="David" w:cs="David"/>
          <w:b/>
          <w:bCs/>
          <w:sz w:val="28"/>
          <w:szCs w:val="28"/>
          <w:rtl/>
        </w:rPr>
        <w:t xml:space="preserve">הוועדה המקומית </w:t>
      </w:r>
      <w:proofErr w:type="spellStart"/>
      <w:r>
        <w:rPr>
          <w:rFonts w:ascii="David" w:hAnsi="David" w:cs="David"/>
          <w:b/>
          <w:bCs/>
          <w:sz w:val="28"/>
          <w:szCs w:val="28"/>
          <w:rtl/>
        </w:rPr>
        <w:t>לתו"ב</w:t>
      </w:r>
      <w:proofErr w:type="spellEnd"/>
      <w:r>
        <w:rPr>
          <w:rFonts w:ascii="David" w:hAnsi="David" w:cs="David"/>
          <w:b/>
          <w:bCs/>
          <w:sz w:val="28"/>
          <w:szCs w:val="28"/>
          <w:rtl/>
        </w:rPr>
        <w:t xml:space="preserve"> תל אביב נ' מירה גל</w:t>
      </w:r>
      <w:r>
        <w:rPr>
          <w:rFonts w:ascii="David" w:hAnsi="David" w:cs="David"/>
          <w:sz w:val="28"/>
          <w:szCs w:val="28"/>
          <w:rtl/>
        </w:rPr>
        <w:t xml:space="preserve"> (לא פורסם, 4.3.25) (פסקה 20 לפסק הדין):</w:t>
      </w:r>
    </w:p>
    <w:p w14:paraId="6B6D6403" w14:textId="77777777" w:rsidR="00000000" w:rsidRDefault="00000000">
      <w:pPr>
        <w:pStyle w:val="a9"/>
        <w:rPr>
          <w:rtl/>
        </w:rPr>
      </w:pPr>
      <w:r>
        <w:rPr>
          <w:rFonts w:ascii="David" w:hAnsi="David" w:cs="David"/>
          <w:sz w:val="28"/>
          <w:szCs w:val="28"/>
        </w:rPr>
        <w:t> </w:t>
      </w:r>
    </w:p>
    <w:p w14:paraId="5EA2C9C3" w14:textId="77777777" w:rsidR="00000000" w:rsidRDefault="00000000">
      <w:pPr>
        <w:pStyle w:val="a9"/>
        <w:spacing w:after="0" w:line="360" w:lineRule="auto"/>
        <w:ind w:left="793" w:right="851" w:hanging="141"/>
        <w:jc w:val="both"/>
        <w:rPr>
          <w:rtl/>
        </w:rPr>
      </w:pPr>
      <w:r>
        <w:rPr>
          <w:rFonts w:ascii="David" w:hAnsi="David" w:cs="David"/>
          <w:b/>
          <w:bCs/>
          <w:sz w:val="28"/>
          <w:szCs w:val="28"/>
          <w:rtl/>
        </w:rPr>
        <w:t>"היטל השבחה שייך לקבוצה של כלים פיסקליים המיושמים ע"י גורמי ממשל, לשם לכידת ערך של מקרקעין (</w:t>
      </w:r>
      <w:r>
        <w:rPr>
          <w:rFonts w:ascii="David" w:hAnsi="David" w:cs="David"/>
          <w:b/>
          <w:bCs/>
          <w:sz w:val="28"/>
          <w:szCs w:val="28"/>
        </w:rPr>
        <w:t>capture value land</w:t>
      </w:r>
      <w:r>
        <w:rPr>
          <w:rFonts w:ascii="David" w:hAnsi="David" w:cs="David"/>
          <w:b/>
          <w:bCs/>
          <w:sz w:val="28"/>
          <w:szCs w:val="28"/>
          <w:rtl/>
        </w:rPr>
        <w:t>), ששווים עלה בעקבות שינוי באסדרה (רגולציה) התכנונית - על אופן הניצול של הקרקע, או בשל פיתוח של תשתיות ציבוריות. הבסיס הרעיוני להטלת ההיטל - הוא 'עיקרון הצדק החלוקתי', שלפיו אם השקעה ציבורית או שינוי באסדרה הביאו לעליית ערך, מן הראוי שבעלי המקרקעין יישאו בחלק מהוצאות התכנון והפיתוח [(ראו דברי ההסבר להצעת תיקון מס' 15 לחוק התכנון והבנייה (</w:t>
      </w:r>
      <w:proofErr w:type="spellStart"/>
      <w:r>
        <w:rPr>
          <w:rFonts w:ascii="David" w:hAnsi="David" w:cs="David"/>
          <w:b/>
          <w:bCs/>
          <w:sz w:val="28"/>
          <w:szCs w:val="28"/>
          <w:rtl/>
        </w:rPr>
        <w:t>הצ"ח</w:t>
      </w:r>
      <w:proofErr w:type="spellEnd"/>
      <w:r>
        <w:rPr>
          <w:rFonts w:ascii="David" w:hAnsi="David" w:cs="David"/>
          <w:b/>
          <w:bCs/>
          <w:sz w:val="28"/>
          <w:szCs w:val="28"/>
          <w:rtl/>
        </w:rPr>
        <w:t xml:space="preserve"> 1491 מיום 10.11.80)]."</w:t>
      </w:r>
    </w:p>
    <w:p w14:paraId="262335A7" w14:textId="77777777" w:rsidR="00000000" w:rsidRDefault="00000000">
      <w:pPr>
        <w:pStyle w:val="a9"/>
        <w:spacing w:after="0" w:line="360" w:lineRule="auto"/>
        <w:ind w:left="368" w:hanging="426"/>
        <w:jc w:val="both"/>
        <w:rPr>
          <w:rtl/>
        </w:rPr>
      </w:pPr>
      <w:r>
        <w:rPr>
          <w:rFonts w:ascii="David" w:hAnsi="David" w:cs="David"/>
          <w:b/>
          <w:bCs/>
          <w:sz w:val="28"/>
          <w:szCs w:val="28"/>
          <w:rtl/>
        </w:rPr>
        <w:t>27.</w:t>
      </w:r>
      <w:r>
        <w:rPr>
          <w:rFonts w:ascii="Times New Roman" w:hAnsi="Times New Roman" w:cs="Times New Roman"/>
          <w:b/>
          <w:bCs/>
          <w:sz w:val="14"/>
          <w:szCs w:val="14"/>
          <w:rtl/>
        </w:rPr>
        <w:t xml:space="preserve">  </w:t>
      </w:r>
      <w:bookmarkStart w:id="7" w:name="_Hlk220585307"/>
      <w:r>
        <w:rPr>
          <w:rFonts w:ascii="David" w:hAnsi="David" w:cs="David"/>
          <w:sz w:val="28"/>
          <w:szCs w:val="28"/>
          <w:rtl/>
        </w:rPr>
        <w:t xml:space="preserve">ההשבחה נבחנת, אפוא, בדרך של השוואה בין </w:t>
      </w:r>
      <w:r>
        <w:rPr>
          <w:rStyle w:val="ab"/>
          <w:rFonts w:ascii="David" w:hAnsi="David" w:cs="David"/>
          <w:sz w:val="28"/>
          <w:szCs w:val="28"/>
          <w:rtl/>
        </w:rPr>
        <w:t>מצב תכנוני קודם</w:t>
      </w:r>
      <w:r>
        <w:rPr>
          <w:rFonts w:ascii="David" w:hAnsi="David" w:cs="David"/>
          <w:sz w:val="28"/>
          <w:szCs w:val="28"/>
          <w:rtl/>
        </w:rPr>
        <w:t xml:space="preserve"> לבין </w:t>
      </w:r>
      <w:r>
        <w:rPr>
          <w:rStyle w:val="ab"/>
          <w:rFonts w:ascii="David" w:hAnsi="David" w:cs="David"/>
          <w:sz w:val="28"/>
          <w:szCs w:val="28"/>
          <w:rtl/>
        </w:rPr>
        <w:t>מצב תכנוני חדש</w:t>
      </w:r>
      <w:r>
        <w:rPr>
          <w:rFonts w:ascii="David" w:hAnsi="David" w:cs="David"/>
          <w:sz w:val="28"/>
          <w:szCs w:val="28"/>
          <w:rtl/>
        </w:rPr>
        <w:t>, תוך בחינת השווי הכולל של המקרקעין בכל אחד מן המצבים. אין די בהצבעה על תוספת שטח בנוי או על שינוי פיזי גרידא; נדרש להראות תרומה ממשית לעליית שווי המקרקעין</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 xml:space="preserve">הערכת השווי תיעשה בהתאם למבחן אוניברסלי המניח שוק משוכלל. במסגרת זו בוחנים מהו המחיר שקונה סביר היה מוכן לשלם עבור המקרקעין בנקודת זמן נתונה, בהתאם לתכונות הקרקעיות של הנכס ולשימוש הטוב ויעיל שניתן לעשות בו </w:t>
      </w:r>
      <w:bookmarkEnd w:id="7"/>
      <w:r>
        <w:rPr>
          <w:rFonts w:ascii="David" w:hAnsi="David" w:cs="David" w:hint="cs"/>
          <w:sz w:val="28"/>
          <w:szCs w:val="28"/>
          <w:rtl/>
        </w:rPr>
        <w:t xml:space="preserve">(בר"מ 7255/17 </w:t>
      </w:r>
      <w:r>
        <w:rPr>
          <w:rFonts w:ascii="David" w:hAnsi="David" w:cs="David" w:hint="cs"/>
          <w:b/>
          <w:bCs/>
          <w:sz w:val="28"/>
          <w:szCs w:val="28"/>
          <w:rtl/>
        </w:rPr>
        <w:t>הוועדה המקומית לתכנון ובניה תל אביב נ' אורלי בורשטיין</w:t>
      </w:r>
      <w:r>
        <w:rPr>
          <w:rFonts w:ascii="David" w:hAnsi="David" w:cs="David" w:hint="cs"/>
          <w:sz w:val="28"/>
          <w:szCs w:val="28"/>
          <w:rtl/>
        </w:rPr>
        <w:t xml:space="preserve"> (לא פורסם, 22.3.21), רע"א 4487/01 </w:t>
      </w:r>
      <w:r>
        <w:rPr>
          <w:rFonts w:ascii="David" w:hAnsi="David" w:cs="David" w:hint="cs"/>
          <w:b/>
          <w:bCs/>
          <w:sz w:val="28"/>
          <w:szCs w:val="28"/>
          <w:rtl/>
        </w:rPr>
        <w:t xml:space="preserve">הוועדה המקומית לתכנון ובניה רחובות נ' מ. </w:t>
      </w:r>
      <w:proofErr w:type="spellStart"/>
      <w:r>
        <w:rPr>
          <w:rFonts w:ascii="David" w:hAnsi="David" w:cs="David" w:hint="cs"/>
          <w:b/>
          <w:bCs/>
          <w:sz w:val="28"/>
          <w:szCs w:val="28"/>
          <w:rtl/>
        </w:rPr>
        <w:t>לוסטרניק</w:t>
      </w:r>
      <w:proofErr w:type="spellEnd"/>
      <w:r>
        <w:rPr>
          <w:rFonts w:ascii="David" w:hAnsi="David" w:cs="David" w:hint="cs"/>
          <w:b/>
          <w:bCs/>
          <w:sz w:val="28"/>
          <w:szCs w:val="28"/>
          <w:rtl/>
        </w:rPr>
        <w:t xml:space="preserve"> ובנו חברה להנדסה ובנייה בע"מ</w:t>
      </w:r>
      <w:r>
        <w:rPr>
          <w:rFonts w:ascii="David" w:hAnsi="David" w:cs="David" w:hint="cs"/>
          <w:sz w:val="28"/>
          <w:szCs w:val="28"/>
          <w:rtl/>
        </w:rPr>
        <w:t xml:space="preserve"> (לא פורסם, 22.6.2003). </w:t>
      </w:r>
    </w:p>
    <w:p w14:paraId="2FCE0C27" w14:textId="77777777" w:rsidR="00000000" w:rsidRDefault="00000000">
      <w:pPr>
        <w:bidi/>
        <w:spacing w:line="360" w:lineRule="auto"/>
        <w:jc w:val="both"/>
        <w:rPr>
          <w:rtl/>
        </w:rPr>
      </w:pPr>
      <w:r>
        <w:rPr>
          <w:rFonts w:ascii="David" w:hAnsi="David" w:cs="David"/>
          <w:sz w:val="28"/>
          <w:szCs w:val="28"/>
        </w:rPr>
        <w:t> </w:t>
      </w:r>
    </w:p>
    <w:p w14:paraId="0EB50EC2" w14:textId="77777777" w:rsidR="00000000" w:rsidRDefault="00000000">
      <w:pPr>
        <w:pStyle w:val="a9"/>
        <w:spacing w:after="0" w:line="360" w:lineRule="auto"/>
        <w:ind w:left="368" w:hanging="426"/>
        <w:jc w:val="both"/>
        <w:rPr>
          <w:rtl/>
        </w:rPr>
      </w:pPr>
      <w:r>
        <w:rPr>
          <w:rFonts w:ascii="David" w:hAnsi="David" w:cs="David"/>
          <w:b/>
          <w:bCs/>
          <w:sz w:val="28"/>
          <w:szCs w:val="28"/>
          <w:u w:val="single"/>
          <w:rtl/>
        </w:rPr>
        <w:t>היקף הביקורת השיפוטית</w:t>
      </w:r>
    </w:p>
    <w:p w14:paraId="5303F31B" w14:textId="77777777" w:rsidR="00000000" w:rsidRDefault="00000000">
      <w:pPr>
        <w:pStyle w:val="a9"/>
        <w:spacing w:after="0" w:line="360" w:lineRule="auto"/>
        <w:ind w:left="368" w:hanging="426"/>
        <w:jc w:val="both"/>
        <w:rPr>
          <w:rtl/>
        </w:rPr>
      </w:pPr>
      <w:r>
        <w:rPr>
          <w:rFonts w:ascii="David" w:hAnsi="David" w:cs="David"/>
          <w:b/>
          <w:bCs/>
          <w:sz w:val="28"/>
          <w:szCs w:val="28"/>
          <w:rtl/>
        </w:rPr>
        <w:t>28.</w:t>
      </w:r>
      <w:r>
        <w:rPr>
          <w:rFonts w:ascii="Times New Roman" w:hAnsi="Times New Roman" w:cs="Times New Roman"/>
          <w:b/>
          <w:bCs/>
          <w:sz w:val="14"/>
          <w:szCs w:val="14"/>
          <w:rtl/>
        </w:rPr>
        <w:t xml:space="preserve">  </w:t>
      </w:r>
      <w:r>
        <w:rPr>
          <w:rFonts w:ascii="David" w:hAnsi="David" w:cs="David"/>
          <w:sz w:val="28"/>
          <w:szCs w:val="28"/>
          <w:rtl/>
        </w:rPr>
        <w:t xml:space="preserve">לצד האמור, </w:t>
      </w:r>
      <w:bookmarkStart w:id="8" w:name="_Hlk220585359"/>
      <w:r>
        <w:rPr>
          <w:rFonts w:ascii="David" w:hAnsi="David" w:cs="David"/>
          <w:sz w:val="28"/>
          <w:szCs w:val="28"/>
          <w:rtl/>
        </w:rPr>
        <w:t xml:space="preserve">הלכה פסוקה ומושרשת היא, כי בית משפט זה אינו יושב כערכאה </w:t>
      </w:r>
      <w:proofErr w:type="spellStart"/>
      <w:r>
        <w:rPr>
          <w:rFonts w:ascii="David" w:hAnsi="David" w:cs="David"/>
          <w:sz w:val="28"/>
          <w:szCs w:val="28"/>
          <w:rtl/>
        </w:rPr>
        <w:t>ערעורית</w:t>
      </w:r>
      <w:proofErr w:type="spellEnd"/>
      <w:r>
        <w:rPr>
          <w:rFonts w:ascii="David" w:hAnsi="David" w:cs="David"/>
          <w:sz w:val="28"/>
          <w:szCs w:val="28"/>
          <w:rtl/>
        </w:rPr>
        <w:t xml:space="preserve"> נוספת על החלטות ועדת הערר, ואינו מחליף את שיקול דעתו המקצועי של שמאי מכריע, בשיקול דעתו של בית המשפט עצמו. התערבות שיפוטית תיעשה אך במקרים חריגים, בהם נפלה טעות משפטית מהותית; פגם דיוני היורד לשורשו של עניין; היעדר הנמקה מספקת; או חריגה קיצונית ממתחם הסבירות. </w:t>
      </w:r>
    </w:p>
    <w:bookmarkEnd w:id="8"/>
    <w:p w14:paraId="59922959" w14:textId="77777777" w:rsidR="00000000" w:rsidRDefault="00000000">
      <w:pPr>
        <w:pStyle w:val="a9"/>
        <w:spacing w:after="0" w:line="360" w:lineRule="auto"/>
        <w:ind w:left="368"/>
        <w:jc w:val="both"/>
        <w:rPr>
          <w:rtl/>
        </w:rPr>
      </w:pPr>
      <w:r>
        <w:rPr>
          <w:rFonts w:ascii="David" w:hAnsi="David" w:cs="David"/>
          <w:sz w:val="28"/>
          <w:szCs w:val="28"/>
        </w:rPr>
        <w:t> </w:t>
      </w:r>
    </w:p>
    <w:p w14:paraId="574933AA" w14:textId="77777777" w:rsidR="00000000" w:rsidRDefault="00000000">
      <w:pPr>
        <w:pStyle w:val="a9"/>
        <w:spacing w:after="0" w:line="360" w:lineRule="auto"/>
        <w:ind w:left="368" w:hanging="426"/>
        <w:jc w:val="both"/>
        <w:rPr>
          <w:rtl/>
        </w:rPr>
      </w:pPr>
      <w:r>
        <w:rPr>
          <w:rFonts w:ascii="David" w:hAnsi="David" w:cs="David"/>
          <w:b/>
          <w:bCs/>
          <w:sz w:val="28"/>
          <w:szCs w:val="28"/>
          <w:rtl/>
        </w:rPr>
        <w:t>29.</w:t>
      </w:r>
      <w:r>
        <w:rPr>
          <w:rFonts w:ascii="Times New Roman" w:hAnsi="Times New Roman" w:cs="Times New Roman"/>
          <w:b/>
          <w:bCs/>
          <w:sz w:val="14"/>
          <w:szCs w:val="14"/>
          <w:rtl/>
        </w:rPr>
        <w:t xml:space="preserve">  </w:t>
      </w:r>
      <w:r>
        <w:rPr>
          <w:rFonts w:ascii="David" w:hAnsi="David" w:cs="David"/>
          <w:sz w:val="28"/>
          <w:szCs w:val="28"/>
          <w:rtl/>
        </w:rPr>
        <w:t xml:space="preserve">כפי שציינתי </w:t>
      </w:r>
      <w:proofErr w:type="spellStart"/>
      <w:r>
        <w:rPr>
          <w:rFonts w:ascii="David" w:hAnsi="David" w:cs="David"/>
          <w:sz w:val="28"/>
          <w:szCs w:val="28"/>
          <w:rtl/>
        </w:rPr>
        <w:t>בעמ"נ</w:t>
      </w:r>
      <w:proofErr w:type="spellEnd"/>
      <w:r>
        <w:rPr>
          <w:rFonts w:ascii="David" w:hAnsi="David" w:cs="David"/>
          <w:sz w:val="28"/>
          <w:szCs w:val="28"/>
          <w:rtl/>
        </w:rPr>
        <w:t xml:space="preserve"> 70951-12-24 </w:t>
      </w:r>
      <w:r>
        <w:rPr>
          <w:rFonts w:ascii="David" w:hAnsi="David" w:cs="David"/>
          <w:b/>
          <w:bCs/>
          <w:sz w:val="28"/>
          <w:szCs w:val="28"/>
          <w:rtl/>
        </w:rPr>
        <w:t>קבוצת אהרוני (מ.א) יזום והשקעות בע"מ ואח' נ' הוועדה המקומית לתכנון ובניה בת ים</w:t>
      </w:r>
      <w:r>
        <w:rPr>
          <w:rFonts w:ascii="David" w:hAnsi="David" w:cs="David"/>
          <w:sz w:val="28"/>
          <w:szCs w:val="28"/>
          <w:rtl/>
        </w:rPr>
        <w:t xml:space="preserve"> (לא פורסם, 29.7.25): </w:t>
      </w:r>
    </w:p>
    <w:p w14:paraId="2E4FF606" w14:textId="77777777" w:rsidR="00000000" w:rsidRDefault="00000000">
      <w:pPr>
        <w:pStyle w:val="a9"/>
        <w:spacing w:after="0" w:line="360" w:lineRule="auto"/>
        <w:ind w:left="368"/>
        <w:jc w:val="both"/>
        <w:rPr>
          <w:rtl/>
        </w:rPr>
      </w:pPr>
      <w:r>
        <w:rPr>
          <w:rFonts w:ascii="David" w:hAnsi="David" w:cs="David"/>
          <w:sz w:val="28"/>
          <w:szCs w:val="28"/>
        </w:rPr>
        <w:t> </w:t>
      </w:r>
    </w:p>
    <w:p w14:paraId="4C9E01EC" w14:textId="77777777" w:rsidR="00000000" w:rsidRDefault="00000000">
      <w:pPr>
        <w:pStyle w:val="a9"/>
        <w:spacing w:after="0" w:line="360" w:lineRule="auto"/>
        <w:ind w:left="793" w:right="851"/>
        <w:jc w:val="both"/>
        <w:rPr>
          <w:rtl/>
        </w:rPr>
      </w:pPr>
      <w:r>
        <w:rPr>
          <w:rFonts w:ascii="David" w:hAnsi="David" w:cs="David"/>
          <w:b/>
          <w:bCs/>
          <w:sz w:val="28"/>
          <w:szCs w:val="28"/>
          <w:rtl/>
        </w:rPr>
        <w:t>"בית המשפט לעניינים מנהליים איננו מתיימר להיות בבחינת 'מוסד תכנון עליון', ולפיכך התערבותו בהחלטות מקצועיות - מצומצמת מלכתחילה (פס' 38, בג"ץ 3017/05 חברת הזרע בע"מ נ' המועצה הארצית לתכנון ובניה, משרד הפנים, (לא פורסם, ניתן ביום 23.3.11).</w:t>
      </w:r>
    </w:p>
    <w:p w14:paraId="64BC87FC" w14:textId="77777777" w:rsidR="00000000" w:rsidRDefault="00000000">
      <w:pPr>
        <w:pStyle w:val="a9"/>
        <w:spacing w:line="360" w:lineRule="auto"/>
        <w:ind w:left="793" w:right="851"/>
        <w:jc w:val="both"/>
        <w:rPr>
          <w:rtl/>
        </w:rPr>
      </w:pPr>
      <w:r>
        <w:rPr>
          <w:rFonts w:ascii="David" w:hAnsi="David" w:cs="David"/>
          <w:b/>
          <w:bCs/>
          <w:sz w:val="28"/>
          <w:szCs w:val="28"/>
          <w:rtl/>
        </w:rPr>
        <w:t xml:space="preserve">צא ולמד, בית המשפט לעניינים </w:t>
      </w:r>
      <w:proofErr w:type="spellStart"/>
      <w:r>
        <w:rPr>
          <w:rFonts w:ascii="David" w:hAnsi="David" w:cs="David"/>
          <w:b/>
          <w:bCs/>
          <w:sz w:val="28"/>
          <w:szCs w:val="28"/>
          <w:rtl/>
        </w:rPr>
        <w:t>מינהליים</w:t>
      </w:r>
      <w:proofErr w:type="spellEnd"/>
      <w:r>
        <w:rPr>
          <w:rFonts w:ascii="David" w:hAnsi="David" w:cs="David"/>
          <w:b/>
          <w:bCs/>
          <w:sz w:val="28"/>
          <w:szCs w:val="28"/>
          <w:rtl/>
        </w:rPr>
        <w:t xml:space="preserve"> אינו נוהג להתערב כערכאת ערעור, בשיקוליה המקצועיים של ועדת הערר בתחום התכנון והבניה, והתערבותו תעשה רק כאשר מתקיימות עילות </w:t>
      </w:r>
      <w:proofErr w:type="spellStart"/>
      <w:r>
        <w:rPr>
          <w:rFonts w:ascii="David" w:hAnsi="David" w:cs="David"/>
          <w:b/>
          <w:bCs/>
          <w:sz w:val="28"/>
          <w:szCs w:val="28"/>
          <w:rtl/>
        </w:rPr>
        <w:t>מינהליות</w:t>
      </w:r>
      <w:proofErr w:type="spellEnd"/>
      <w:r>
        <w:rPr>
          <w:rFonts w:ascii="David" w:hAnsi="David" w:cs="David"/>
          <w:b/>
          <w:bCs/>
          <w:sz w:val="28"/>
          <w:szCs w:val="28"/>
          <w:rtl/>
        </w:rPr>
        <w:t xml:space="preserve"> מובהקות (ראו - </w:t>
      </w:r>
      <w:proofErr w:type="spellStart"/>
      <w:r>
        <w:rPr>
          <w:rFonts w:ascii="David" w:hAnsi="David" w:cs="David"/>
          <w:b/>
          <w:bCs/>
          <w:color w:val="000000"/>
          <w:sz w:val="28"/>
          <w:szCs w:val="28"/>
          <w:rtl/>
        </w:rPr>
        <w:t>עע"מ</w:t>
      </w:r>
      <w:proofErr w:type="spellEnd"/>
      <w:r>
        <w:rPr>
          <w:rFonts w:ascii="David" w:hAnsi="David" w:cs="David"/>
          <w:b/>
          <w:bCs/>
          <w:color w:val="000000"/>
          <w:sz w:val="28"/>
          <w:szCs w:val="28"/>
          <w:rtl/>
        </w:rPr>
        <w:t xml:space="preserve"> 2418</w:t>
      </w:r>
      <w:r>
        <w:rPr>
          <w:rFonts w:ascii="David" w:hAnsi="David" w:cs="David"/>
          <w:b/>
          <w:bCs/>
          <w:sz w:val="28"/>
          <w:szCs w:val="28"/>
          <w:rtl/>
        </w:rPr>
        <w:t xml:space="preserve"> </w:t>
      </w:r>
      <w:proofErr w:type="spellStart"/>
      <w:r>
        <w:rPr>
          <w:rFonts w:ascii="David" w:hAnsi="David" w:cs="David"/>
          <w:b/>
          <w:bCs/>
          <w:sz w:val="28"/>
          <w:szCs w:val="28"/>
          <w:rtl/>
        </w:rPr>
        <w:t>מילגרום</w:t>
      </w:r>
      <w:proofErr w:type="spellEnd"/>
      <w:r>
        <w:rPr>
          <w:rFonts w:ascii="David" w:hAnsi="David" w:cs="David"/>
          <w:b/>
          <w:bCs/>
          <w:sz w:val="28"/>
          <w:szCs w:val="28"/>
          <w:rtl/>
        </w:rPr>
        <w:t xml:space="preserve"> נ' הוועדה המחוזית לתכנון ובניה מחוז ירושלים, (לא פורסם, ניתן ביום 24.11.05)."</w:t>
      </w:r>
    </w:p>
    <w:p w14:paraId="2FB9B2CD" w14:textId="77777777" w:rsidR="00000000" w:rsidRDefault="00000000">
      <w:pPr>
        <w:pStyle w:val="a9"/>
        <w:spacing w:line="360" w:lineRule="auto"/>
        <w:ind w:left="793" w:right="851"/>
        <w:jc w:val="both"/>
        <w:rPr>
          <w:rtl/>
        </w:rPr>
      </w:pPr>
      <w:r>
        <w:rPr>
          <w:rFonts w:ascii="David" w:hAnsi="David" w:cs="David"/>
          <w:sz w:val="28"/>
          <w:szCs w:val="28"/>
          <w:rtl/>
        </w:rPr>
        <w:t> </w:t>
      </w:r>
    </w:p>
    <w:p w14:paraId="020D3DAA" w14:textId="77777777" w:rsidR="00000000" w:rsidRDefault="00000000">
      <w:pPr>
        <w:pStyle w:val="a9"/>
        <w:spacing w:after="0" w:line="360" w:lineRule="auto"/>
        <w:ind w:left="368"/>
        <w:jc w:val="both"/>
        <w:rPr>
          <w:rtl/>
        </w:rPr>
      </w:pPr>
      <w:r>
        <w:rPr>
          <w:rFonts w:ascii="David" w:hAnsi="David" w:cs="David"/>
          <w:sz w:val="28"/>
          <w:szCs w:val="28"/>
          <w:rtl/>
        </w:rPr>
        <w:t xml:space="preserve">ראו גם </w:t>
      </w:r>
      <w:proofErr w:type="spellStart"/>
      <w:r>
        <w:rPr>
          <w:rFonts w:ascii="David" w:hAnsi="David" w:cs="David"/>
          <w:sz w:val="28"/>
          <w:szCs w:val="28"/>
          <w:rtl/>
        </w:rPr>
        <w:t>עמ"נ</w:t>
      </w:r>
      <w:proofErr w:type="spellEnd"/>
      <w:r>
        <w:rPr>
          <w:rFonts w:ascii="David" w:hAnsi="David" w:cs="David"/>
          <w:sz w:val="28"/>
          <w:szCs w:val="28"/>
          <w:rtl/>
        </w:rPr>
        <w:t xml:space="preserve"> (ת"א) 35113-02-25 </w:t>
      </w:r>
      <w:r>
        <w:rPr>
          <w:rFonts w:ascii="David" w:hAnsi="David" w:cs="David"/>
          <w:b/>
          <w:bCs/>
          <w:sz w:val="28"/>
          <w:szCs w:val="28"/>
          <w:rtl/>
        </w:rPr>
        <w:t>הר נוף ואח' נ' הוועדה המקומית לתכנון ובניה תל אביב</w:t>
      </w:r>
      <w:r>
        <w:rPr>
          <w:rFonts w:ascii="David" w:hAnsi="David" w:cs="David"/>
          <w:sz w:val="28"/>
          <w:szCs w:val="28"/>
          <w:rtl/>
        </w:rPr>
        <w:t xml:space="preserve"> (לא פורסם, ניתן ביום 14.1.26) </w:t>
      </w:r>
    </w:p>
    <w:p w14:paraId="51035868" w14:textId="77777777" w:rsidR="00000000" w:rsidRDefault="00000000">
      <w:pPr>
        <w:bidi/>
        <w:spacing w:line="360" w:lineRule="auto"/>
        <w:jc w:val="both"/>
        <w:rPr>
          <w:rtl/>
        </w:rPr>
      </w:pPr>
      <w:r>
        <w:rPr>
          <w:rFonts w:ascii="David" w:hAnsi="David" w:cs="David"/>
          <w:sz w:val="28"/>
          <w:szCs w:val="28"/>
        </w:rPr>
        <w:t> </w:t>
      </w:r>
    </w:p>
    <w:p w14:paraId="086369B9" w14:textId="77777777" w:rsidR="00000000" w:rsidRDefault="00000000">
      <w:pPr>
        <w:pStyle w:val="a9"/>
        <w:spacing w:after="0" w:line="360" w:lineRule="auto"/>
        <w:ind w:left="368" w:hanging="426"/>
        <w:jc w:val="both"/>
        <w:rPr>
          <w:rtl/>
        </w:rPr>
      </w:pPr>
      <w:r>
        <w:rPr>
          <w:rFonts w:ascii="David" w:hAnsi="David" w:cs="David"/>
          <w:b/>
          <w:bCs/>
          <w:sz w:val="28"/>
          <w:szCs w:val="28"/>
          <w:rtl/>
        </w:rPr>
        <w:t>30.</w:t>
      </w:r>
      <w:r>
        <w:rPr>
          <w:rFonts w:ascii="Times New Roman" w:hAnsi="Times New Roman" w:cs="Times New Roman"/>
          <w:b/>
          <w:bCs/>
          <w:sz w:val="14"/>
          <w:szCs w:val="14"/>
          <w:rtl/>
        </w:rPr>
        <w:t xml:space="preserve">  </w:t>
      </w:r>
      <w:bookmarkStart w:id="9" w:name="_Hlk220585392"/>
      <w:r>
        <w:rPr>
          <w:rFonts w:ascii="David" w:hAnsi="David" w:cs="David"/>
          <w:sz w:val="28"/>
          <w:szCs w:val="28"/>
          <w:rtl/>
        </w:rPr>
        <w:t>קביעות בדבר שווי מ"ר מבונה, בחירת עסקאות השוואה, מתודולוגיה שמאית ואומדנים כספיים - מצויות, דרך כלל, בליבת המומחיות המקצועית-שמאית, ובית המשפט יימנע מלהתערב בהן, כל עוד הן מנומקות ומבוססות</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עם זאת, מקום שבו מתעורר ספק, אם אכן הופעל שיקול הדעת הנדרש בשאלה משפטית-מהותית, הנוגעת לעצם קיומה של השבחה, או מקום שבו ההנמקה לוקה בחסר באופן שאינו מאפשר ביקורת שיפוטית אפקטיבית - מוסמך ואף צריך בית המשפט להתערב במידה הנדרשת</w:t>
      </w:r>
      <w:bookmarkEnd w:id="9"/>
      <w:r>
        <w:rPr>
          <w:rFonts w:ascii="David" w:hAnsi="David" w:cs="David" w:hint="cs"/>
          <w:sz w:val="28"/>
          <w:szCs w:val="28"/>
          <w:rtl/>
        </w:rPr>
        <w:t>.</w:t>
      </w:r>
    </w:p>
    <w:p w14:paraId="68DBA3D0" w14:textId="77777777" w:rsidR="00000000" w:rsidRDefault="00000000">
      <w:pPr>
        <w:pStyle w:val="a9"/>
        <w:spacing w:after="0" w:line="360" w:lineRule="auto"/>
        <w:ind w:left="368"/>
        <w:jc w:val="both"/>
        <w:rPr>
          <w:rtl/>
        </w:rPr>
      </w:pPr>
      <w:r>
        <w:rPr>
          <w:rFonts w:ascii="David" w:hAnsi="David" w:cs="David"/>
          <w:sz w:val="28"/>
          <w:szCs w:val="28"/>
        </w:rPr>
        <w:t> </w:t>
      </w:r>
    </w:p>
    <w:p w14:paraId="4D2858F3" w14:textId="77777777" w:rsidR="00000000" w:rsidRDefault="00000000">
      <w:pPr>
        <w:pStyle w:val="a9"/>
        <w:spacing w:after="0" w:line="360" w:lineRule="auto"/>
        <w:ind w:left="368"/>
        <w:jc w:val="both"/>
        <w:rPr>
          <w:rtl/>
        </w:rPr>
      </w:pPr>
      <w:r>
        <w:rPr>
          <w:rFonts w:ascii="David" w:hAnsi="David" w:cs="David"/>
          <w:sz w:val="28"/>
          <w:szCs w:val="28"/>
          <w:rtl/>
        </w:rPr>
        <w:t xml:space="preserve">לעניין זה, ראו דברי בית המשפט </w:t>
      </w:r>
      <w:proofErr w:type="spellStart"/>
      <w:r>
        <w:rPr>
          <w:rFonts w:ascii="David" w:hAnsi="David" w:cs="David"/>
          <w:sz w:val="28"/>
          <w:szCs w:val="28"/>
          <w:rtl/>
        </w:rPr>
        <w:t>בעמ"נ</w:t>
      </w:r>
      <w:proofErr w:type="spellEnd"/>
      <w:r>
        <w:rPr>
          <w:rFonts w:ascii="David" w:hAnsi="David" w:cs="David"/>
          <w:sz w:val="28"/>
          <w:szCs w:val="28"/>
          <w:rtl/>
        </w:rPr>
        <w:t xml:space="preserve"> 34680-03-22 </w:t>
      </w:r>
      <w:r>
        <w:rPr>
          <w:rFonts w:ascii="David" w:hAnsi="David" w:cs="David"/>
          <w:b/>
          <w:bCs/>
          <w:sz w:val="28"/>
          <w:szCs w:val="28"/>
          <w:rtl/>
        </w:rPr>
        <w:t xml:space="preserve">שמי </w:t>
      </w:r>
      <w:proofErr w:type="spellStart"/>
      <w:r>
        <w:rPr>
          <w:rFonts w:ascii="David" w:hAnsi="David" w:cs="David"/>
          <w:b/>
          <w:bCs/>
          <w:sz w:val="28"/>
          <w:szCs w:val="28"/>
          <w:rtl/>
        </w:rPr>
        <w:t>אשקלוני</w:t>
      </w:r>
      <w:proofErr w:type="spellEnd"/>
      <w:r>
        <w:rPr>
          <w:rFonts w:ascii="David" w:hAnsi="David" w:cs="David"/>
          <w:b/>
          <w:bCs/>
          <w:sz w:val="28"/>
          <w:szCs w:val="28"/>
          <w:rtl/>
        </w:rPr>
        <w:t xml:space="preserve"> בע"מ נ' הוועדה המקומית לתכנון ובניה רמת גן</w:t>
      </w:r>
      <w:r>
        <w:rPr>
          <w:rFonts w:ascii="David" w:hAnsi="David" w:cs="David"/>
          <w:sz w:val="28"/>
          <w:szCs w:val="28"/>
          <w:rtl/>
        </w:rPr>
        <w:t xml:space="preserve"> (לא פורסם, 1.5.23):</w:t>
      </w:r>
    </w:p>
    <w:p w14:paraId="1FE93BD2" w14:textId="77777777" w:rsidR="00000000" w:rsidRDefault="00000000">
      <w:pPr>
        <w:shd w:val="clear" w:color="auto" w:fill="FFFFFF"/>
        <w:bidi/>
        <w:spacing w:after="180" w:line="360" w:lineRule="atLeast"/>
        <w:ind w:left="793" w:right="851"/>
        <w:jc w:val="both"/>
        <w:rPr>
          <w:rtl/>
        </w:rPr>
      </w:pPr>
      <w:r>
        <w:rPr>
          <w:rFonts w:ascii="David" w:hAnsi="David" w:cs="David"/>
          <w:b/>
          <w:bCs/>
          <w:color w:val="000000"/>
          <w:sz w:val="28"/>
          <w:szCs w:val="28"/>
          <w:rtl/>
        </w:rPr>
        <w:t>"ממעמדם המקצועי המיוחד של השמאי המכריע וועדת הערר, ומעצם היותם גופים מקצועיים, נגזרות שתי מסקנות חשובות לענייננו.</w:t>
      </w:r>
    </w:p>
    <w:p w14:paraId="51A89D16" w14:textId="77777777" w:rsidR="00000000" w:rsidRDefault="00000000">
      <w:pPr>
        <w:shd w:val="clear" w:color="auto" w:fill="FFFFFF"/>
        <w:bidi/>
        <w:spacing w:after="180" w:line="360" w:lineRule="atLeast"/>
        <w:ind w:left="793" w:right="851"/>
        <w:jc w:val="both"/>
        <w:rPr>
          <w:rtl/>
        </w:rPr>
      </w:pPr>
      <w:r>
        <w:rPr>
          <w:rFonts w:ascii="David" w:hAnsi="David" w:cs="David"/>
          <w:b/>
          <w:bCs/>
          <w:color w:val="000000"/>
          <w:sz w:val="28"/>
          <w:szCs w:val="28"/>
          <w:rtl/>
        </w:rPr>
        <w:t xml:space="preserve">המסקנה הראשונה היא, כי ועדת הערר תתערב בממצאים </w:t>
      </w:r>
      <w:proofErr w:type="spellStart"/>
      <w:r>
        <w:rPr>
          <w:rFonts w:ascii="David" w:hAnsi="David" w:cs="David"/>
          <w:b/>
          <w:bCs/>
          <w:color w:val="000000"/>
          <w:sz w:val="28"/>
          <w:szCs w:val="28"/>
          <w:rtl/>
        </w:rPr>
        <w:t>השמאיים</w:t>
      </w:r>
      <w:proofErr w:type="spellEnd"/>
      <w:r>
        <w:rPr>
          <w:rFonts w:ascii="David" w:hAnsi="David" w:cs="David"/>
          <w:b/>
          <w:bCs/>
          <w:color w:val="000000"/>
          <w:sz w:val="28"/>
          <w:szCs w:val="28"/>
          <w:rtl/>
        </w:rPr>
        <w:t xml:space="preserve"> שקבע השמאי המכריע רק במקרים חריגים ונדירים [...] </w:t>
      </w:r>
    </w:p>
    <w:p w14:paraId="4C9F3EDE" w14:textId="77777777" w:rsidR="00000000" w:rsidRDefault="00000000">
      <w:pPr>
        <w:shd w:val="clear" w:color="auto" w:fill="FFFFFF"/>
        <w:bidi/>
        <w:spacing w:after="180" w:line="360" w:lineRule="atLeast"/>
        <w:ind w:left="793" w:right="851"/>
        <w:jc w:val="both"/>
        <w:rPr>
          <w:rtl/>
        </w:rPr>
      </w:pPr>
      <w:r>
        <w:rPr>
          <w:rFonts w:ascii="David" w:hAnsi="David" w:cs="David"/>
          <w:b/>
          <w:bCs/>
          <w:color w:val="000000"/>
          <w:sz w:val="28"/>
          <w:szCs w:val="28"/>
          <w:rtl/>
        </w:rPr>
        <w:t>עם זאת, ראוי לציין כי יש להבחין בין ההתערבות המצומצמת של ועדת הערר בעניינים שמאיים ומקצועיים, אשר תעשה רק במקרים בהם נפלה טעות חמורה בשומה, לבין התערבות ועדת הערר בעניינים משפטיים ובפרשנות החוק או התכנון, כאשר בנושאים אלו אין לשמאי המכריע יתרון על פני ועדת הערר. לעניין ההבחנה בין היקף התערבות ועדת הערר במחלוקת מקצועית-</w:t>
      </w:r>
      <w:r>
        <w:rPr>
          <w:rFonts w:ascii="David" w:hAnsi="David" w:cs="David"/>
          <w:b/>
          <w:bCs/>
          <w:sz w:val="28"/>
          <w:szCs w:val="28"/>
          <w:rtl/>
        </w:rPr>
        <w:t>שמאית להיקף ההתערבות במחלוקת משפטית, ר' לדוגמא ערר (י-ם) 267/12 ועד עדת המערבים נ' משה שחר ואח' [פורסם במאגר נבו] (27.06.2013).</w:t>
      </w:r>
    </w:p>
    <w:p w14:paraId="143B9761" w14:textId="77777777" w:rsidR="00000000" w:rsidRDefault="00000000">
      <w:pPr>
        <w:shd w:val="clear" w:color="auto" w:fill="FFFFFF"/>
        <w:bidi/>
        <w:spacing w:after="180" w:line="360" w:lineRule="atLeast"/>
        <w:ind w:left="793" w:right="851"/>
        <w:jc w:val="both"/>
        <w:rPr>
          <w:rtl/>
        </w:rPr>
      </w:pPr>
      <w:r>
        <w:rPr>
          <w:rFonts w:ascii="David" w:hAnsi="David" w:cs="David"/>
          <w:b/>
          <w:bCs/>
          <w:color w:val="000000"/>
          <w:sz w:val="28"/>
          <w:szCs w:val="28"/>
          <w:rtl/>
        </w:rPr>
        <w:t>המסקנה השנייה הינה לגבי היקף התערבות בית המשפט לעניינים מנהליים בהחלטות ועדת הערר במסגרת ערעור מנהלי, כאשר גם כאן נשמר העיקרון של התערבות זהירה ונדירה בנושאים מקצועיים ושמאיים, והתערבות רחבה יותר כאשר מדובר במחלוקת בדבר פרשנות התכנון או הדין."</w:t>
      </w:r>
    </w:p>
    <w:p w14:paraId="4D2B17B7" w14:textId="77777777" w:rsidR="00000000" w:rsidRDefault="00000000">
      <w:pPr>
        <w:pStyle w:val="NormalWeb"/>
        <w:bidi/>
        <w:spacing w:before="0" w:beforeAutospacing="0" w:after="0" w:afterAutospacing="0" w:line="360" w:lineRule="auto"/>
        <w:jc w:val="both"/>
        <w:rPr>
          <w:rtl/>
        </w:rPr>
      </w:pPr>
      <w:r>
        <w:rPr>
          <w:rFonts w:ascii="David" w:hAnsi="David" w:cs="David"/>
          <w:sz w:val="28"/>
          <w:szCs w:val="28"/>
          <w:rtl/>
        </w:rPr>
        <w:t> </w:t>
      </w:r>
    </w:p>
    <w:p w14:paraId="09399928" w14:textId="77777777" w:rsidR="00000000" w:rsidRDefault="00000000">
      <w:pPr>
        <w:pStyle w:val="NormalWeb"/>
        <w:bidi/>
        <w:spacing w:before="0" w:beforeAutospacing="0" w:after="0" w:afterAutospacing="0" w:line="360" w:lineRule="auto"/>
        <w:jc w:val="both"/>
        <w:rPr>
          <w:rtl/>
        </w:rPr>
      </w:pPr>
      <w:r>
        <w:rPr>
          <w:rFonts w:ascii="David" w:hAnsi="David" w:cs="David"/>
          <w:sz w:val="28"/>
          <w:szCs w:val="28"/>
          <w:u w:val="single"/>
          <w:rtl/>
        </w:rPr>
        <w:t>מן הכלל אל הפרט</w:t>
      </w:r>
    </w:p>
    <w:p w14:paraId="01B54690" w14:textId="77777777" w:rsidR="00000000" w:rsidRDefault="00000000">
      <w:pPr>
        <w:pStyle w:val="a9"/>
        <w:spacing w:after="0" w:line="360" w:lineRule="auto"/>
        <w:ind w:left="368" w:hanging="426"/>
        <w:jc w:val="both"/>
        <w:rPr>
          <w:rtl/>
        </w:rPr>
      </w:pPr>
      <w:r>
        <w:rPr>
          <w:rFonts w:ascii="David" w:hAnsi="David" w:cs="David"/>
          <w:b/>
          <w:bCs/>
          <w:sz w:val="28"/>
          <w:szCs w:val="28"/>
          <w:rtl/>
        </w:rPr>
        <w:t>31.</w:t>
      </w:r>
      <w:r>
        <w:rPr>
          <w:rFonts w:ascii="Times New Roman" w:hAnsi="Times New Roman" w:cs="Times New Roman"/>
          <w:b/>
          <w:bCs/>
          <w:sz w:val="14"/>
          <w:szCs w:val="14"/>
          <w:rtl/>
        </w:rPr>
        <w:t xml:space="preserve">  </w:t>
      </w:r>
      <w:bookmarkStart w:id="10" w:name="_Hlk220585439"/>
      <w:r>
        <w:rPr>
          <w:rFonts w:ascii="David" w:hAnsi="David" w:cs="David"/>
          <w:sz w:val="28"/>
          <w:szCs w:val="28"/>
          <w:rtl/>
        </w:rPr>
        <w:t>בענייננו, מרבית טענות המערערת נוגעות לקביעות שמאיות מובהקות, ובראשן קביעת השווי למ"ר מבונה. לעניין זה, מקובלות עליי קביעות ועדת הערר כי מדובר בתחום מקצועי המצוי בליבת שיקול הדעת השמאי. השמאי המכריע נימק את קביעותיו, התייחס לנתוני השוק, לפערי מועדים ולמאפייני הנכס, טענות אותם בחנה ועדת הערר - ודחתה אותן. לא הוצגה תשתית המלמדת על חוסר סבירות קיצוני או טעות משפטית המצדיקה התערבות שיפוטית, ועל כן אין מקום להתערב בקביעות אלו</w:t>
      </w:r>
      <w:r>
        <w:rPr>
          <w:rFonts w:ascii="David" w:hAnsi="David" w:cs="David"/>
          <w:sz w:val="28"/>
          <w:szCs w:val="28"/>
        </w:rPr>
        <w:t>.</w:t>
      </w:r>
      <w:r>
        <w:rPr>
          <w:rFonts w:ascii="David" w:hAnsi="David" w:cs="David"/>
          <w:sz w:val="28"/>
          <w:szCs w:val="28"/>
          <w:rtl/>
        </w:rPr>
        <w:t xml:space="preserve"> </w:t>
      </w:r>
    </w:p>
    <w:p w14:paraId="2260AA2D" w14:textId="77777777" w:rsidR="00000000" w:rsidRDefault="00000000">
      <w:pPr>
        <w:pStyle w:val="a9"/>
        <w:spacing w:after="0" w:line="360" w:lineRule="auto"/>
        <w:ind w:left="368" w:hanging="426"/>
        <w:jc w:val="both"/>
        <w:rPr>
          <w:rtl/>
        </w:rPr>
      </w:pPr>
      <w:r>
        <w:rPr>
          <w:rFonts w:ascii="David" w:hAnsi="David" w:cs="David"/>
          <w:b/>
          <w:bCs/>
          <w:sz w:val="28"/>
          <w:szCs w:val="28"/>
          <w:rtl/>
        </w:rPr>
        <w:t>32.</w:t>
      </w:r>
      <w:r>
        <w:rPr>
          <w:rFonts w:ascii="Times New Roman" w:hAnsi="Times New Roman" w:cs="Times New Roman"/>
          <w:b/>
          <w:bCs/>
          <w:sz w:val="14"/>
          <w:szCs w:val="14"/>
          <w:rtl/>
        </w:rPr>
        <w:t xml:space="preserve">  </w:t>
      </w:r>
      <w:r>
        <w:rPr>
          <w:rFonts w:ascii="David" w:hAnsi="David" w:cs="David"/>
          <w:sz w:val="28"/>
          <w:szCs w:val="28"/>
          <w:rtl/>
        </w:rPr>
        <w:t>שונה היא התמונה ביחס לסוגיית - '</w:t>
      </w:r>
      <w:r>
        <w:rPr>
          <w:rStyle w:val="ab"/>
          <w:rFonts w:ascii="David" w:hAnsi="David" w:cs="David"/>
          <w:sz w:val="28"/>
          <w:szCs w:val="28"/>
          <w:rtl/>
        </w:rPr>
        <w:t>פיר חדר המדרגות' בקומת הקרקע</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מן החומר שלפניי עולה כי אין מחלוקת של ממש בשאלות העובדתיות הבאות</w:t>
      </w:r>
      <w:r>
        <w:rPr>
          <w:rFonts w:ascii="David" w:hAnsi="David" w:cs="David"/>
          <w:sz w:val="28"/>
          <w:szCs w:val="28"/>
        </w:rPr>
        <w:t>:</w:t>
      </w:r>
    </w:p>
    <w:p w14:paraId="716D4C1A" w14:textId="77777777" w:rsidR="00000000" w:rsidRDefault="00000000">
      <w:pPr>
        <w:pStyle w:val="NormalWeb"/>
        <w:bidi/>
        <w:spacing w:before="0" w:beforeAutospacing="0" w:after="0" w:afterAutospacing="0" w:line="360" w:lineRule="auto"/>
        <w:ind w:left="720" w:hanging="360"/>
        <w:jc w:val="both"/>
        <w:rPr>
          <w:rtl/>
        </w:rPr>
      </w:pPr>
      <w:r>
        <w:rPr>
          <w:rFonts w:ascii="Symbol" w:hAnsi="Symbol"/>
          <w:sz w:val="20"/>
          <w:szCs w:val="20"/>
          <w:rtl/>
        </w:rPr>
        <w:t>·</w:t>
      </w:r>
      <w:r>
        <w:rPr>
          <w:sz w:val="14"/>
          <w:szCs w:val="14"/>
          <w:rtl/>
        </w:rPr>
        <w:t xml:space="preserve">  </w:t>
      </w:r>
      <w:r>
        <w:rPr>
          <w:rFonts w:ascii="David" w:hAnsi="David" w:cs="David"/>
          <w:sz w:val="28"/>
          <w:szCs w:val="28"/>
          <w:rtl/>
        </w:rPr>
        <w:t>פיר חדר המדרגות היה קיים פיזית בנכס עוד במצב הקודם</w:t>
      </w:r>
      <w:r>
        <w:rPr>
          <w:rFonts w:ascii="David" w:hAnsi="David" w:cs="David"/>
          <w:sz w:val="28"/>
          <w:szCs w:val="28"/>
        </w:rPr>
        <w:t>;</w:t>
      </w:r>
    </w:p>
    <w:p w14:paraId="090D646E" w14:textId="77777777" w:rsidR="00000000" w:rsidRDefault="00000000">
      <w:pPr>
        <w:pStyle w:val="NormalWeb"/>
        <w:bidi/>
        <w:spacing w:before="0" w:beforeAutospacing="0" w:after="0" w:afterAutospacing="0" w:line="360" w:lineRule="auto"/>
        <w:ind w:left="720" w:hanging="360"/>
        <w:jc w:val="both"/>
        <w:rPr>
          <w:rtl/>
        </w:rPr>
      </w:pPr>
      <w:r>
        <w:rPr>
          <w:rFonts w:ascii="Symbol" w:hAnsi="Symbol"/>
          <w:sz w:val="20"/>
          <w:szCs w:val="20"/>
          <w:rtl/>
        </w:rPr>
        <w:t>·</w:t>
      </w:r>
      <w:r>
        <w:rPr>
          <w:sz w:val="14"/>
          <w:szCs w:val="14"/>
          <w:rtl/>
        </w:rPr>
        <w:t xml:space="preserve">  </w:t>
      </w:r>
      <w:r>
        <w:rPr>
          <w:rFonts w:ascii="David" w:hAnsi="David" w:cs="David"/>
          <w:sz w:val="28"/>
          <w:szCs w:val="28"/>
          <w:rtl/>
        </w:rPr>
        <w:t>המדרגות שימשו את המבנה גם קודם למימוש הזכויות</w:t>
      </w:r>
      <w:r>
        <w:rPr>
          <w:rFonts w:ascii="David" w:hAnsi="David" w:cs="David"/>
          <w:sz w:val="28"/>
          <w:szCs w:val="28"/>
        </w:rPr>
        <w:t>;</w:t>
      </w:r>
    </w:p>
    <w:p w14:paraId="61D2817D" w14:textId="77777777" w:rsidR="00000000" w:rsidRDefault="00000000">
      <w:pPr>
        <w:pStyle w:val="NormalWeb"/>
        <w:bidi/>
        <w:spacing w:before="0" w:beforeAutospacing="0" w:after="0" w:afterAutospacing="0" w:line="360" w:lineRule="auto"/>
        <w:ind w:left="720" w:hanging="360"/>
        <w:jc w:val="both"/>
        <w:rPr>
          <w:rtl/>
        </w:rPr>
      </w:pPr>
      <w:r>
        <w:rPr>
          <w:rFonts w:ascii="Symbol" w:hAnsi="Symbol"/>
          <w:sz w:val="20"/>
          <w:szCs w:val="20"/>
          <w:rtl/>
        </w:rPr>
        <w:t>·</w:t>
      </w:r>
      <w:r>
        <w:rPr>
          <w:sz w:val="14"/>
          <w:szCs w:val="14"/>
          <w:rtl/>
        </w:rPr>
        <w:t xml:space="preserve">  </w:t>
      </w:r>
      <w:r>
        <w:rPr>
          <w:rFonts w:ascii="David" w:hAnsi="David" w:cs="David"/>
          <w:sz w:val="28"/>
          <w:szCs w:val="28"/>
          <w:rtl/>
        </w:rPr>
        <w:t>והשימוש במצב החדש דומה בעיקרו לשימוש שנעשה בו במצב הקודם</w:t>
      </w:r>
      <w:r>
        <w:rPr>
          <w:rFonts w:ascii="David" w:hAnsi="David" w:cs="David"/>
          <w:sz w:val="28"/>
          <w:szCs w:val="28"/>
        </w:rPr>
        <w:t>.</w:t>
      </w:r>
    </w:p>
    <w:p w14:paraId="63BE74B8" w14:textId="77777777" w:rsidR="00000000" w:rsidRDefault="00000000">
      <w:pPr>
        <w:pStyle w:val="NormalWeb"/>
        <w:bidi/>
        <w:spacing w:before="0" w:beforeAutospacing="0" w:after="0" w:afterAutospacing="0" w:line="360" w:lineRule="auto"/>
        <w:ind w:left="720"/>
        <w:jc w:val="both"/>
        <w:rPr>
          <w:rtl/>
        </w:rPr>
      </w:pPr>
      <w:r>
        <w:rPr>
          <w:rFonts w:ascii="David" w:hAnsi="David" w:cs="David"/>
          <w:sz w:val="28"/>
          <w:szCs w:val="28"/>
        </w:rPr>
        <w:t> </w:t>
      </w:r>
    </w:p>
    <w:bookmarkEnd w:id="10"/>
    <w:p w14:paraId="1C90AEA8" w14:textId="77777777" w:rsidR="00000000" w:rsidRDefault="00000000">
      <w:pPr>
        <w:pStyle w:val="a9"/>
        <w:spacing w:after="0" w:line="360" w:lineRule="auto"/>
        <w:ind w:left="368" w:hanging="426"/>
        <w:jc w:val="both"/>
        <w:rPr>
          <w:rtl/>
        </w:rPr>
      </w:pPr>
      <w:r>
        <w:rPr>
          <w:rFonts w:ascii="David" w:hAnsi="David" w:cs="David"/>
          <w:b/>
          <w:bCs/>
          <w:sz w:val="28"/>
          <w:szCs w:val="28"/>
          <w:rtl/>
        </w:rPr>
        <w:t>33.</w:t>
      </w:r>
      <w:r>
        <w:rPr>
          <w:rFonts w:ascii="Times New Roman" w:hAnsi="Times New Roman" w:cs="Times New Roman"/>
          <w:b/>
          <w:bCs/>
          <w:sz w:val="14"/>
          <w:szCs w:val="14"/>
          <w:rtl/>
        </w:rPr>
        <w:t xml:space="preserve">  </w:t>
      </w:r>
      <w:bookmarkStart w:id="11" w:name="_Hlk220585579"/>
      <w:r>
        <w:rPr>
          <w:rFonts w:ascii="David" w:hAnsi="David" w:cs="David"/>
          <w:sz w:val="28"/>
          <w:szCs w:val="28"/>
          <w:rtl/>
        </w:rPr>
        <w:t>קביעת השמאי המכריע אותה אימצה ועדת הערר, היא כי אין להפחית את שטח חדר המדרגות במסגרת חישוב המצב הקודם, בין היתר מן הטעם שלא הוצגו תימוכין לכך שבמצב הקודם היו שטחים נוספים לניצול מעבר ל - 117.3 מ"ר, וכי הפחתה נוספת תביא להפחתה כפולה של שטח עיקרי</w:t>
      </w:r>
      <w:r>
        <w:rPr>
          <w:rFonts w:ascii="David" w:hAnsi="David" w:cs="David"/>
          <w:sz w:val="28"/>
          <w:szCs w:val="28"/>
        </w:rPr>
        <w:t>.</w:t>
      </w:r>
      <w:r>
        <w:rPr>
          <w:rFonts w:ascii="David" w:hAnsi="David" w:cs="David"/>
          <w:sz w:val="28"/>
          <w:szCs w:val="28"/>
          <w:rtl/>
        </w:rPr>
        <w:t xml:space="preserve"> </w:t>
      </w:r>
      <w:r>
        <w:rPr>
          <w:rFonts w:ascii="David" w:hAnsi="David" w:cs="David" w:hint="cs"/>
          <w:sz w:val="28"/>
          <w:szCs w:val="28"/>
          <w:rtl/>
        </w:rPr>
        <w:t>עם זאת, עיון בהחלטת ועדת הערר מעלה קושי בהנמקה הנוגעת לשאלה המהותית הנדרשת בדין, והיא</w:t>
      </w:r>
      <w:r>
        <w:rPr>
          <w:rFonts w:ascii="David" w:hAnsi="David" w:cs="David"/>
          <w:sz w:val="28"/>
          <w:szCs w:val="28"/>
        </w:rPr>
        <w:t>:</w:t>
      </w:r>
      <w:r>
        <w:rPr>
          <w:rFonts w:ascii="David" w:hAnsi="David" w:cs="David"/>
          <w:sz w:val="28"/>
          <w:szCs w:val="28"/>
          <w:rtl/>
        </w:rPr>
        <w:t xml:space="preserve"> </w:t>
      </w:r>
      <w:r>
        <w:rPr>
          <w:rStyle w:val="ab"/>
          <w:rFonts w:ascii="David" w:hAnsi="David" w:cs="David"/>
          <w:sz w:val="28"/>
          <w:szCs w:val="28"/>
          <w:rtl/>
        </w:rPr>
        <w:t>האם, וכיצד, תרם פיר חדר המדרגות לעליית שווי המקרקעין, בין המצב הקודם למצב החדש</w:t>
      </w:r>
      <w:r>
        <w:rPr>
          <w:rStyle w:val="ab"/>
          <w:rFonts w:ascii="David" w:hAnsi="David" w:cs="David"/>
          <w:sz w:val="28"/>
          <w:szCs w:val="28"/>
        </w:rPr>
        <w:t>.</w:t>
      </w:r>
      <w:r>
        <w:rPr>
          <w:rFonts w:ascii="David" w:hAnsi="David" w:cs="David"/>
          <w:b/>
          <w:bCs/>
          <w:sz w:val="28"/>
          <w:szCs w:val="28"/>
          <w:rtl/>
        </w:rPr>
        <w:t xml:space="preserve"> </w:t>
      </w:r>
    </w:p>
    <w:bookmarkEnd w:id="11"/>
    <w:p w14:paraId="75892783" w14:textId="77777777" w:rsidR="00000000" w:rsidRDefault="00000000">
      <w:pPr>
        <w:pStyle w:val="a9"/>
        <w:spacing w:after="0" w:line="360" w:lineRule="auto"/>
        <w:ind w:left="368"/>
        <w:jc w:val="both"/>
        <w:rPr>
          <w:rtl/>
        </w:rPr>
      </w:pPr>
      <w:r>
        <w:rPr>
          <w:rFonts w:ascii="David" w:hAnsi="David" w:cs="David"/>
          <w:b/>
          <w:bCs/>
          <w:sz w:val="28"/>
          <w:szCs w:val="28"/>
        </w:rPr>
        <w:t> </w:t>
      </w:r>
    </w:p>
    <w:p w14:paraId="29BDCD8B" w14:textId="77777777" w:rsidR="00000000" w:rsidRDefault="00000000">
      <w:pPr>
        <w:pStyle w:val="a9"/>
        <w:spacing w:after="0" w:line="360" w:lineRule="auto"/>
        <w:ind w:left="368" w:hanging="426"/>
        <w:jc w:val="both"/>
        <w:rPr>
          <w:rtl/>
        </w:rPr>
      </w:pPr>
      <w:r>
        <w:rPr>
          <w:rFonts w:ascii="David" w:hAnsi="David" w:cs="David"/>
          <w:b/>
          <w:bCs/>
          <w:sz w:val="28"/>
          <w:szCs w:val="28"/>
          <w:rtl/>
        </w:rPr>
        <w:t>34.</w:t>
      </w:r>
      <w:r>
        <w:rPr>
          <w:rFonts w:ascii="Times New Roman" w:hAnsi="Times New Roman" w:cs="Times New Roman"/>
          <w:b/>
          <w:bCs/>
          <w:sz w:val="14"/>
          <w:szCs w:val="14"/>
          <w:rtl/>
        </w:rPr>
        <w:t xml:space="preserve">  </w:t>
      </w:r>
      <w:r>
        <w:rPr>
          <w:rFonts w:ascii="David" w:hAnsi="David" w:cs="David"/>
          <w:sz w:val="28"/>
          <w:szCs w:val="28"/>
          <w:rtl/>
        </w:rPr>
        <w:t>אלא שהחלטת ועדת הערר מתמקדת בסיווגו התכנוני של חדר המדרגות כ"שטח עיקרי", וביישום תקנות חישוב שטחים, אך אינה כוללת דיון מפורש ומובחן בשאלת תרומתו של רכיב זה להשבחה הנטענת, להבדיל מההשבחה הכוללת שנוצרה עקב יתר ההקלות והשינויים התכנוניים</w:t>
      </w:r>
      <w:r>
        <w:rPr>
          <w:rFonts w:ascii="David" w:hAnsi="David" w:cs="David"/>
          <w:sz w:val="28"/>
          <w:szCs w:val="28"/>
        </w:rPr>
        <w:t>.</w:t>
      </w:r>
      <w:r>
        <w:rPr>
          <w:rFonts w:ascii="David" w:hAnsi="David" w:cs="David"/>
          <w:b/>
          <w:bCs/>
          <w:sz w:val="28"/>
          <w:szCs w:val="28"/>
          <w:rtl/>
        </w:rPr>
        <w:t xml:space="preserve"> </w:t>
      </w:r>
    </w:p>
    <w:p w14:paraId="71831832" w14:textId="77777777" w:rsidR="00000000" w:rsidRDefault="00000000">
      <w:pPr>
        <w:pStyle w:val="a9"/>
        <w:rPr>
          <w:rtl/>
        </w:rPr>
      </w:pPr>
      <w:r>
        <w:rPr>
          <w:rFonts w:ascii="David" w:hAnsi="David" w:cs="David"/>
          <w:b/>
          <w:bCs/>
          <w:sz w:val="28"/>
          <w:szCs w:val="28"/>
        </w:rPr>
        <w:t> </w:t>
      </w:r>
    </w:p>
    <w:p w14:paraId="4D443A0A" w14:textId="77777777" w:rsidR="00000000" w:rsidRDefault="00000000">
      <w:pPr>
        <w:pStyle w:val="a9"/>
        <w:spacing w:after="0" w:line="360" w:lineRule="auto"/>
        <w:ind w:left="368" w:hanging="426"/>
        <w:jc w:val="both"/>
        <w:rPr>
          <w:rtl/>
        </w:rPr>
      </w:pPr>
      <w:r>
        <w:rPr>
          <w:rFonts w:ascii="David" w:hAnsi="David" w:cs="David"/>
          <w:b/>
          <w:bCs/>
          <w:sz w:val="28"/>
          <w:szCs w:val="28"/>
          <w:rtl/>
        </w:rPr>
        <w:t>35.</w:t>
      </w:r>
      <w:r>
        <w:rPr>
          <w:rFonts w:ascii="Times New Roman" w:hAnsi="Times New Roman" w:cs="Times New Roman"/>
          <w:b/>
          <w:bCs/>
          <w:sz w:val="14"/>
          <w:szCs w:val="14"/>
          <w:rtl/>
        </w:rPr>
        <w:t xml:space="preserve">  </w:t>
      </w:r>
      <w:bookmarkStart w:id="12" w:name="_Hlk220585656"/>
      <w:r>
        <w:rPr>
          <w:rFonts w:ascii="David" w:hAnsi="David" w:cs="David"/>
          <w:sz w:val="28"/>
          <w:szCs w:val="28"/>
          <w:rtl/>
        </w:rPr>
        <w:t>יתרה מכך, בהחלטת ועדת הערר עצמה נפלה אי-בהירות פנימית ביחס למסקנות השמאי המכריע, כאשר מחד גיסא מצוטטת קביעתו, ומאידך גיסא נאמר כי "</w:t>
      </w:r>
      <w:r>
        <w:rPr>
          <w:rFonts w:ascii="David" w:hAnsi="David" w:cs="David"/>
          <w:b/>
          <w:bCs/>
          <w:sz w:val="28"/>
          <w:szCs w:val="28"/>
          <w:rtl/>
        </w:rPr>
        <w:t>בדין הוא קבע שזה אפס</w:t>
      </w:r>
      <w:r>
        <w:rPr>
          <w:rFonts w:ascii="David" w:hAnsi="David" w:cs="David"/>
          <w:sz w:val="28"/>
          <w:szCs w:val="28"/>
          <w:rtl/>
        </w:rPr>
        <w:t>", בעוד שמקביעות השמאי המכריע עולה תמונה שונה. אי-בהירות זו, מקשה לעמוד על הנמקת ההכרעה ועל האופן שבו יושמה ההשוואה בין מצב קודם למצב חדש</w:t>
      </w:r>
      <w:r>
        <w:rPr>
          <w:rFonts w:ascii="David" w:hAnsi="David" w:cs="David"/>
          <w:sz w:val="28"/>
          <w:szCs w:val="28"/>
        </w:rPr>
        <w:t>.</w:t>
      </w:r>
      <w:r>
        <w:rPr>
          <w:rFonts w:ascii="David" w:hAnsi="David" w:cs="David"/>
          <w:b/>
          <w:bCs/>
          <w:sz w:val="28"/>
          <w:szCs w:val="28"/>
          <w:rtl/>
        </w:rPr>
        <w:t xml:space="preserve"> </w:t>
      </w:r>
    </w:p>
    <w:p w14:paraId="4D735F7C" w14:textId="77777777" w:rsidR="00000000" w:rsidRDefault="00000000">
      <w:pPr>
        <w:pStyle w:val="a9"/>
        <w:rPr>
          <w:rtl/>
        </w:rPr>
      </w:pPr>
      <w:r>
        <w:rPr>
          <w:rFonts w:ascii="David" w:hAnsi="David" w:cs="David"/>
          <w:b/>
          <w:bCs/>
          <w:sz w:val="28"/>
          <w:szCs w:val="28"/>
        </w:rPr>
        <w:t> </w:t>
      </w:r>
    </w:p>
    <w:p w14:paraId="5E22E752" w14:textId="77777777" w:rsidR="00000000" w:rsidRDefault="00000000">
      <w:pPr>
        <w:pStyle w:val="a9"/>
        <w:spacing w:after="0" w:line="360" w:lineRule="auto"/>
        <w:ind w:left="368" w:hanging="426"/>
        <w:jc w:val="both"/>
        <w:rPr>
          <w:rtl/>
        </w:rPr>
      </w:pPr>
      <w:r>
        <w:rPr>
          <w:rFonts w:ascii="David" w:hAnsi="David" w:cs="David"/>
          <w:b/>
          <w:bCs/>
          <w:sz w:val="28"/>
          <w:szCs w:val="28"/>
          <w:rtl/>
        </w:rPr>
        <w:t>36.</w:t>
      </w:r>
      <w:r>
        <w:rPr>
          <w:rFonts w:ascii="Times New Roman" w:hAnsi="Times New Roman" w:cs="Times New Roman"/>
          <w:b/>
          <w:bCs/>
          <w:sz w:val="14"/>
          <w:szCs w:val="14"/>
          <w:rtl/>
        </w:rPr>
        <w:t xml:space="preserve">  </w:t>
      </w:r>
      <w:r>
        <w:rPr>
          <w:rFonts w:ascii="David" w:hAnsi="David" w:cs="David"/>
          <w:sz w:val="28"/>
          <w:szCs w:val="28"/>
          <w:rtl/>
        </w:rPr>
        <w:t>בהיעדר הנמקה ברורה ומפורשת בשאלה, האם רכיב פיר חדר המדרגות יוצר - או אינו יוצר - השבחה כמשמעותה בדין, אין בידי בית המשפט תשתית מספקת להפעלת ביקורת שיפוטית</w:t>
      </w:r>
      <w:r>
        <w:rPr>
          <w:rFonts w:ascii="David" w:hAnsi="David" w:cs="David"/>
          <w:sz w:val="28"/>
          <w:szCs w:val="28"/>
        </w:rPr>
        <w:t>.</w:t>
      </w:r>
      <w:r>
        <w:rPr>
          <w:rFonts w:ascii="David" w:hAnsi="David" w:cs="David"/>
          <w:b/>
          <w:bCs/>
          <w:sz w:val="28"/>
          <w:szCs w:val="28"/>
          <w:rtl/>
        </w:rPr>
        <w:t xml:space="preserve"> </w:t>
      </w:r>
    </w:p>
    <w:bookmarkEnd w:id="12"/>
    <w:p w14:paraId="7C11155E" w14:textId="77777777" w:rsidR="00000000" w:rsidRDefault="00000000">
      <w:pPr>
        <w:pStyle w:val="a9"/>
        <w:rPr>
          <w:rtl/>
        </w:rPr>
      </w:pPr>
      <w:r>
        <w:rPr>
          <w:rFonts w:ascii="David" w:hAnsi="David" w:cs="David"/>
          <w:b/>
          <w:bCs/>
          <w:sz w:val="28"/>
          <w:szCs w:val="28"/>
        </w:rPr>
        <w:t> </w:t>
      </w:r>
    </w:p>
    <w:p w14:paraId="366DBC86" w14:textId="77777777" w:rsidR="00000000" w:rsidRDefault="00000000">
      <w:pPr>
        <w:pStyle w:val="a9"/>
        <w:spacing w:after="0" w:line="360" w:lineRule="auto"/>
        <w:ind w:left="368" w:hanging="426"/>
        <w:jc w:val="both"/>
        <w:rPr>
          <w:rtl/>
        </w:rPr>
      </w:pPr>
      <w:r>
        <w:rPr>
          <w:rFonts w:ascii="David" w:hAnsi="David" w:cs="David"/>
          <w:b/>
          <w:bCs/>
          <w:sz w:val="28"/>
          <w:szCs w:val="28"/>
          <w:rtl/>
        </w:rPr>
        <w:t>37</w:t>
      </w:r>
      <w:bookmarkStart w:id="13" w:name="_Hlk220585747"/>
      <w:r>
        <w:rPr>
          <w:rFonts w:ascii="David" w:hAnsi="David" w:cs="David"/>
          <w:b/>
          <w:bCs/>
          <w:sz w:val="28"/>
          <w:szCs w:val="28"/>
          <w:rtl/>
        </w:rPr>
        <w:t>.</w:t>
      </w:r>
      <w:r>
        <w:rPr>
          <w:rFonts w:ascii="Times New Roman" w:hAnsi="Times New Roman" w:cs="Times New Roman"/>
          <w:b/>
          <w:bCs/>
          <w:sz w:val="14"/>
          <w:szCs w:val="14"/>
          <w:rtl/>
        </w:rPr>
        <w:t xml:space="preserve">  </w:t>
      </w:r>
      <w:r>
        <w:rPr>
          <w:rFonts w:ascii="David" w:hAnsi="David" w:cs="David"/>
          <w:sz w:val="28"/>
          <w:szCs w:val="28"/>
          <w:rtl/>
        </w:rPr>
        <w:t>בנסיבות אלה, ובשים לב למתחם ההתערבות המצומצם החל על בית משפט בעניינים הללו, לא מצאתי מקום לבטל את החלטת ועדת הערר או להחליף את שיקול דעתה בשיקול דעתי. יחד עם זאת, מצאתי כי נפל פגם נקודתי בהנמקה, המצדיק החזרת הדיון לוועדת הערר לצורך הבהרה והשלמה</w:t>
      </w:r>
      <w:r>
        <w:rPr>
          <w:rFonts w:ascii="David" w:hAnsi="David" w:cs="David"/>
          <w:sz w:val="28"/>
          <w:szCs w:val="28"/>
        </w:rPr>
        <w:t>.</w:t>
      </w:r>
      <w:r>
        <w:rPr>
          <w:rFonts w:ascii="David" w:hAnsi="David" w:cs="David"/>
          <w:b/>
          <w:bCs/>
          <w:sz w:val="28"/>
          <w:szCs w:val="28"/>
          <w:rtl/>
        </w:rPr>
        <w:t xml:space="preserve"> </w:t>
      </w:r>
      <w:bookmarkEnd w:id="13"/>
    </w:p>
    <w:p w14:paraId="2AE62072" w14:textId="77777777" w:rsidR="00000000" w:rsidRDefault="00000000">
      <w:pPr>
        <w:pStyle w:val="a9"/>
        <w:rPr>
          <w:rtl/>
        </w:rPr>
      </w:pPr>
      <w:r>
        <w:rPr>
          <w:rFonts w:ascii="David" w:hAnsi="David" w:cs="David"/>
          <w:b/>
          <w:bCs/>
          <w:sz w:val="28"/>
          <w:szCs w:val="28"/>
        </w:rPr>
        <w:t> </w:t>
      </w:r>
    </w:p>
    <w:p w14:paraId="59777EFE" w14:textId="77777777" w:rsidR="00000000" w:rsidRDefault="00000000">
      <w:pPr>
        <w:pStyle w:val="a9"/>
        <w:spacing w:after="0" w:line="360" w:lineRule="auto"/>
        <w:ind w:left="368" w:hanging="426"/>
        <w:jc w:val="both"/>
        <w:rPr>
          <w:rtl/>
        </w:rPr>
      </w:pPr>
      <w:r>
        <w:rPr>
          <w:rFonts w:ascii="David" w:hAnsi="David" w:cs="David"/>
          <w:b/>
          <w:bCs/>
          <w:sz w:val="28"/>
          <w:szCs w:val="28"/>
          <w:rtl/>
        </w:rPr>
        <w:t>38.</w:t>
      </w:r>
      <w:r>
        <w:rPr>
          <w:rFonts w:ascii="Times New Roman" w:hAnsi="Times New Roman" w:cs="Times New Roman"/>
          <w:b/>
          <w:bCs/>
          <w:sz w:val="14"/>
          <w:szCs w:val="14"/>
          <w:rtl/>
        </w:rPr>
        <w:t xml:space="preserve">  </w:t>
      </w:r>
      <w:r>
        <w:rPr>
          <w:rFonts w:ascii="David" w:hAnsi="David" w:cs="David"/>
          <w:sz w:val="28"/>
          <w:szCs w:val="28"/>
          <w:rtl/>
        </w:rPr>
        <w:t>יובהר, כי אין באמור כדי לקבוע מסמרות באשר לתוצאה הראויה. אין בקביעה זו משום אימוץ עמדת המערערת לגופה, ואין בכך כדי לשלול את האפשרות כי גם לאחר בחינה מחודשת תגיע ועדת הערר לאותה תוצאה.</w:t>
      </w:r>
      <w:r>
        <w:rPr>
          <w:rFonts w:ascii="David" w:hAnsi="David" w:cs="David"/>
          <w:b/>
          <w:bCs/>
          <w:sz w:val="28"/>
          <w:szCs w:val="28"/>
          <w:rtl/>
        </w:rPr>
        <w:t xml:space="preserve"> </w:t>
      </w:r>
    </w:p>
    <w:p w14:paraId="584FBE59" w14:textId="77777777" w:rsidR="00000000" w:rsidRDefault="00000000">
      <w:pPr>
        <w:pStyle w:val="a9"/>
        <w:spacing w:after="0" w:line="360" w:lineRule="auto"/>
        <w:ind w:left="368" w:hanging="426"/>
        <w:jc w:val="both"/>
        <w:rPr>
          <w:rtl/>
        </w:rPr>
      </w:pPr>
      <w:r>
        <w:rPr>
          <w:rFonts w:ascii="David" w:hAnsi="David" w:cs="David"/>
          <w:b/>
          <w:bCs/>
          <w:sz w:val="28"/>
          <w:szCs w:val="28"/>
          <w:rtl/>
        </w:rPr>
        <w:t>39.</w:t>
      </w:r>
      <w:r>
        <w:rPr>
          <w:rFonts w:ascii="Times New Roman" w:hAnsi="Times New Roman" w:cs="Times New Roman"/>
          <w:b/>
          <w:bCs/>
          <w:sz w:val="14"/>
          <w:szCs w:val="14"/>
          <w:rtl/>
        </w:rPr>
        <w:t xml:space="preserve">  </w:t>
      </w:r>
      <w:r>
        <w:rPr>
          <w:rFonts w:ascii="David" w:hAnsi="David" w:cs="David"/>
          <w:sz w:val="28"/>
          <w:szCs w:val="28"/>
          <w:rtl/>
        </w:rPr>
        <w:t>לפיכך, יש להשיב את התיק לוועדת הערר, על מנת שתבחן מחדש ותנמק באופן מפורש וברור - האם, ובאיזו מידה, פיר חדר המדרגות בקומת הקרקע יוצר השבחה בין מצב קודם למצב חדש, ומהן השלכות קביעה זו על תוצאת ההליך שלפניה</w:t>
      </w:r>
      <w:r>
        <w:rPr>
          <w:rFonts w:ascii="David" w:hAnsi="David" w:cs="David"/>
          <w:sz w:val="28"/>
          <w:szCs w:val="28"/>
        </w:rPr>
        <w:t>.</w:t>
      </w:r>
      <w:r>
        <w:rPr>
          <w:rFonts w:ascii="David" w:hAnsi="David" w:cs="David"/>
          <w:b/>
          <w:bCs/>
          <w:sz w:val="28"/>
          <w:szCs w:val="28"/>
          <w:rtl/>
        </w:rPr>
        <w:t xml:space="preserve"> </w:t>
      </w:r>
    </w:p>
    <w:p w14:paraId="064641A4" w14:textId="77777777" w:rsidR="00000000" w:rsidRDefault="00000000">
      <w:pPr>
        <w:pStyle w:val="NormalWeb"/>
        <w:bidi/>
        <w:spacing w:before="0" w:beforeAutospacing="0" w:after="0" w:afterAutospacing="0" w:line="360" w:lineRule="auto"/>
        <w:ind w:left="368"/>
        <w:jc w:val="both"/>
        <w:rPr>
          <w:rtl/>
        </w:rPr>
      </w:pPr>
      <w:r>
        <w:rPr>
          <w:rFonts w:ascii="David" w:hAnsi="David" w:cs="David"/>
          <w:sz w:val="28"/>
          <w:szCs w:val="28"/>
          <w:rtl/>
        </w:rPr>
        <w:t xml:space="preserve">יתר רכיבי החלטת ועדת הערר, ובכלל זה הקביעות לעניין שווי </w:t>
      </w:r>
      <w:proofErr w:type="spellStart"/>
      <w:r>
        <w:rPr>
          <w:rFonts w:ascii="David" w:hAnsi="David" w:cs="David"/>
          <w:sz w:val="28"/>
          <w:szCs w:val="28"/>
          <w:rtl/>
        </w:rPr>
        <w:t>המ"ר</w:t>
      </w:r>
      <w:proofErr w:type="spellEnd"/>
      <w:r>
        <w:rPr>
          <w:rFonts w:ascii="David" w:hAnsi="David" w:cs="David"/>
          <w:sz w:val="28"/>
          <w:szCs w:val="28"/>
          <w:rtl/>
        </w:rPr>
        <w:t xml:space="preserve"> המבונה ויתר מרכיבי ההשבחה, יעמדו בעינם</w:t>
      </w:r>
      <w:r>
        <w:rPr>
          <w:rFonts w:ascii="David" w:hAnsi="David" w:cs="David"/>
          <w:sz w:val="28"/>
          <w:szCs w:val="28"/>
        </w:rPr>
        <w:t>.</w:t>
      </w:r>
    </w:p>
    <w:p w14:paraId="5050D3DE" w14:textId="77777777" w:rsidR="00000000" w:rsidRDefault="00000000">
      <w:pPr>
        <w:pStyle w:val="NormalWeb"/>
        <w:bidi/>
        <w:spacing w:before="0" w:beforeAutospacing="0" w:after="0" w:afterAutospacing="0" w:line="360" w:lineRule="auto"/>
        <w:jc w:val="both"/>
        <w:rPr>
          <w:rtl/>
        </w:rPr>
      </w:pPr>
      <w:r>
        <w:rPr>
          <w:rFonts w:ascii="David" w:hAnsi="David" w:cs="David"/>
          <w:b/>
          <w:bCs/>
          <w:sz w:val="28"/>
          <w:szCs w:val="28"/>
          <w:rtl/>
        </w:rPr>
        <w:t> </w:t>
      </w:r>
    </w:p>
    <w:p w14:paraId="47DCDAB1" w14:textId="77777777" w:rsidR="00000000" w:rsidRDefault="00000000">
      <w:pPr>
        <w:pStyle w:val="NormalWeb"/>
        <w:bidi/>
        <w:spacing w:before="0" w:beforeAutospacing="0" w:after="0" w:afterAutospacing="0" w:line="360" w:lineRule="auto"/>
        <w:jc w:val="both"/>
        <w:rPr>
          <w:rtl/>
        </w:rPr>
      </w:pPr>
      <w:r>
        <w:rPr>
          <w:rFonts w:ascii="David" w:hAnsi="David" w:cs="David"/>
          <w:b/>
          <w:bCs/>
          <w:sz w:val="28"/>
          <w:szCs w:val="28"/>
          <w:u w:val="single"/>
          <w:rtl/>
        </w:rPr>
        <w:t>סוף דבר</w:t>
      </w:r>
    </w:p>
    <w:p w14:paraId="7EBE997B" w14:textId="77777777" w:rsidR="00000000" w:rsidRDefault="00000000">
      <w:pPr>
        <w:pStyle w:val="a9"/>
        <w:spacing w:after="0" w:line="360" w:lineRule="auto"/>
        <w:ind w:left="368" w:hanging="426"/>
        <w:jc w:val="both"/>
        <w:rPr>
          <w:rtl/>
        </w:rPr>
      </w:pPr>
      <w:r>
        <w:rPr>
          <w:rFonts w:ascii="David" w:hAnsi="David" w:cs="David"/>
          <w:b/>
          <w:bCs/>
          <w:sz w:val="28"/>
          <w:szCs w:val="28"/>
          <w:rtl/>
        </w:rPr>
        <w:t>40.</w:t>
      </w:r>
      <w:r>
        <w:rPr>
          <w:rFonts w:ascii="Times New Roman" w:hAnsi="Times New Roman" w:cs="Times New Roman"/>
          <w:b/>
          <w:bCs/>
          <w:sz w:val="14"/>
          <w:szCs w:val="14"/>
          <w:rtl/>
        </w:rPr>
        <w:t xml:space="preserve">  </w:t>
      </w:r>
      <w:r>
        <w:rPr>
          <w:rFonts w:ascii="David" w:hAnsi="David" w:cs="David"/>
          <w:sz w:val="28"/>
          <w:szCs w:val="28"/>
          <w:rtl/>
        </w:rPr>
        <w:t>נוכח המקובץ לעיל ובשים להבהרה האמורה - הערעור מתקבל באופן חלקי</w:t>
      </w:r>
      <w:r>
        <w:rPr>
          <w:rFonts w:ascii="David" w:hAnsi="David" w:cs="David"/>
          <w:sz w:val="28"/>
          <w:szCs w:val="28"/>
        </w:rPr>
        <w:t>.</w:t>
      </w:r>
      <w:r>
        <w:rPr>
          <w:rFonts w:ascii="David" w:hAnsi="David" w:cs="David"/>
          <w:sz w:val="28"/>
          <w:szCs w:val="28"/>
          <w:rtl/>
        </w:rPr>
        <w:t xml:space="preserve"> </w:t>
      </w:r>
      <w:bookmarkStart w:id="14" w:name="_Hlk220585901"/>
      <w:r>
        <w:rPr>
          <w:rFonts w:ascii="David" w:hAnsi="David" w:cs="David"/>
          <w:sz w:val="28"/>
          <w:szCs w:val="28"/>
          <w:rtl/>
        </w:rPr>
        <w:t xml:space="preserve">לפיכך אני מורה כי עניינו של החיוב </w:t>
      </w:r>
      <w:r>
        <w:rPr>
          <w:rFonts w:ascii="David" w:hAnsi="David" w:cs="David"/>
          <w:sz w:val="28"/>
          <w:szCs w:val="28"/>
          <w:u w:val="single"/>
          <w:rtl/>
        </w:rPr>
        <w:t>בגין פיר חדר המדרגות בלבד,</w:t>
      </w:r>
      <w:r>
        <w:rPr>
          <w:rFonts w:ascii="David" w:hAnsi="David" w:cs="David"/>
          <w:sz w:val="28"/>
          <w:szCs w:val="28"/>
          <w:rtl/>
        </w:rPr>
        <w:t xml:space="preserve"> יוחזר לוועדת הערר לפיצויים ולהיטל השבחה מחוז תל-אביב, על מנת שתנמק ותבהיר מחדש את הכרעתה בסוגיה זו ואת השלכתה על שומת היטל ההשבחה</w:t>
      </w:r>
      <w:r>
        <w:rPr>
          <w:rFonts w:ascii="David" w:hAnsi="David" w:cs="David"/>
          <w:sz w:val="28"/>
          <w:szCs w:val="28"/>
        </w:rPr>
        <w:t>.</w:t>
      </w:r>
      <w:r>
        <w:rPr>
          <w:rFonts w:ascii="David" w:hAnsi="David" w:cs="David"/>
          <w:sz w:val="28"/>
          <w:szCs w:val="28"/>
          <w:rtl/>
        </w:rPr>
        <w:t xml:space="preserve"> </w:t>
      </w:r>
    </w:p>
    <w:bookmarkEnd w:id="14"/>
    <w:p w14:paraId="7112F413" w14:textId="77777777" w:rsidR="00000000" w:rsidRDefault="00000000">
      <w:pPr>
        <w:pStyle w:val="a9"/>
        <w:spacing w:after="0" w:line="360" w:lineRule="auto"/>
        <w:ind w:left="368"/>
        <w:jc w:val="both"/>
        <w:rPr>
          <w:rtl/>
        </w:rPr>
      </w:pPr>
      <w:r>
        <w:rPr>
          <w:rFonts w:ascii="David" w:hAnsi="David" w:cs="David"/>
          <w:sz w:val="28"/>
          <w:szCs w:val="28"/>
        </w:rPr>
        <w:t> </w:t>
      </w:r>
    </w:p>
    <w:p w14:paraId="7F2A686C" w14:textId="77777777" w:rsidR="00000000" w:rsidRDefault="00000000">
      <w:pPr>
        <w:pStyle w:val="NormalWeb"/>
        <w:bidi/>
        <w:spacing w:before="0" w:beforeAutospacing="0" w:after="0" w:afterAutospacing="0" w:line="360" w:lineRule="auto"/>
        <w:ind w:left="368"/>
        <w:jc w:val="both"/>
        <w:rPr>
          <w:rtl/>
        </w:rPr>
      </w:pPr>
      <w:r>
        <w:rPr>
          <w:rFonts w:ascii="David" w:hAnsi="David" w:cs="David"/>
          <w:sz w:val="28"/>
          <w:szCs w:val="28"/>
          <w:rtl/>
        </w:rPr>
        <w:t>בנסיבות העניין, ובהינתן קבלת הערעור באופן חלקי בלבד, כל צד יישא בהוצאותיו</w:t>
      </w:r>
      <w:r>
        <w:rPr>
          <w:rFonts w:ascii="David" w:hAnsi="David" w:cs="David"/>
          <w:sz w:val="28"/>
          <w:szCs w:val="28"/>
        </w:rPr>
        <w:t>.</w:t>
      </w:r>
    </w:p>
    <w:p w14:paraId="18F4EA41" w14:textId="77777777" w:rsidR="00000000" w:rsidRDefault="00000000">
      <w:pPr>
        <w:bidi/>
        <w:spacing w:line="360" w:lineRule="auto"/>
        <w:ind w:left="368" w:hanging="426"/>
        <w:jc w:val="both"/>
        <w:rPr>
          <w:rtl/>
        </w:rPr>
      </w:pPr>
      <w:r>
        <w:rPr>
          <w:rFonts w:ascii="David" w:hAnsi="David" w:cs="David"/>
          <w:sz w:val="28"/>
          <w:szCs w:val="28"/>
        </w:rPr>
        <w:t> </w:t>
      </w:r>
    </w:p>
    <w:p w14:paraId="06CB6C33" w14:textId="77777777" w:rsidR="00000000" w:rsidRDefault="00000000">
      <w:pPr>
        <w:bidi/>
        <w:spacing w:line="360" w:lineRule="auto"/>
        <w:ind w:left="368" w:hanging="426"/>
        <w:jc w:val="both"/>
        <w:rPr>
          <w:rtl/>
        </w:rPr>
      </w:pPr>
      <w:r>
        <w:rPr>
          <w:rFonts w:ascii="David" w:hAnsi="David" w:cs="David"/>
          <w:sz w:val="28"/>
          <w:szCs w:val="28"/>
          <w:rtl/>
        </w:rPr>
        <w:t> </w:t>
      </w:r>
    </w:p>
    <w:p w14:paraId="450296ED" w14:textId="77777777" w:rsidR="00000000" w:rsidRDefault="00000000">
      <w:pPr>
        <w:bidi/>
        <w:spacing w:line="360" w:lineRule="auto"/>
        <w:jc w:val="both"/>
        <w:rPr>
          <w:rtl/>
        </w:rPr>
      </w:pPr>
      <w:r>
        <w:rPr>
          <w:rFonts w:ascii="David" w:hAnsi="David" w:cs="David"/>
          <w:sz w:val="28"/>
          <w:szCs w:val="28"/>
          <w:rtl/>
        </w:rPr>
        <w:t xml:space="preserve">ניתן היום, ה' שבט תשפ"ו, </w:t>
      </w:r>
      <w:r>
        <w:rPr>
          <w:rStyle w:val="f5dinim"/>
          <w:rFonts w:ascii="David" w:hAnsi="David" w:cs="David"/>
          <w:sz w:val="28"/>
          <w:szCs w:val="28"/>
          <w:rtl/>
        </w:rPr>
        <w:t>23 ינואר 2026</w:t>
      </w:r>
      <w:r>
        <w:rPr>
          <w:rFonts w:ascii="David" w:hAnsi="David" w:cs="David"/>
          <w:sz w:val="28"/>
          <w:szCs w:val="28"/>
          <w:rtl/>
        </w:rPr>
        <w:t>, בהעדר הצדדים.</w:t>
      </w:r>
    </w:p>
    <w:p w14:paraId="0F64D6FF" w14:textId="77777777" w:rsidR="00000000" w:rsidRDefault="00000000">
      <w:pPr>
        <w:bidi/>
        <w:rPr>
          <w:rtl/>
        </w:rPr>
      </w:pPr>
      <w:r>
        <w:rPr>
          <w:rFonts w:ascii="David" w:hAnsi="David" w:cs="David"/>
          <w:sz w:val="28"/>
          <w:szCs w:val="28"/>
          <w:rtl/>
        </w:rPr>
        <w:t>       </w:t>
      </w:r>
    </w:p>
    <w:p w14:paraId="2A98A065" w14:textId="77777777" w:rsidR="00000000" w:rsidRDefault="00000000">
      <w:pPr>
        <w:bidi/>
        <w:spacing w:line="360" w:lineRule="auto"/>
        <w:ind w:left="3600" w:firstLine="720"/>
        <w:rPr>
          <w:rtl/>
        </w:rPr>
      </w:pPr>
      <w:r>
        <w:rPr>
          <w:rFonts w:ascii="David" w:hAnsi="David" w:cs="David"/>
          <w:sz w:val="28"/>
          <w:szCs w:val="28"/>
        </w:rPr>
        <w:t> </w:t>
      </w:r>
    </w:p>
    <w:p w14:paraId="3C4E1F87" w14:textId="77777777" w:rsidR="00000000" w:rsidRDefault="00000000">
      <w:pPr>
        <w:bidi/>
        <w:spacing w:line="360" w:lineRule="auto"/>
        <w:ind w:left="3600" w:firstLine="720"/>
        <w:rPr>
          <w:rtl/>
        </w:rPr>
      </w:pPr>
      <w:r>
        <w:rPr>
          <w:rFonts w:ascii="David" w:hAnsi="David" w:cs="David"/>
          <w:sz w:val="28"/>
          <w:szCs w:val="28"/>
          <w:rtl/>
        </w:rPr>
        <w:t> </w:t>
      </w:r>
    </w:p>
    <w:p w14:paraId="1C1C59E8" w14:textId="77777777" w:rsidR="00000000" w:rsidRDefault="00000000">
      <w:pPr>
        <w:bidi/>
        <w:spacing w:line="360" w:lineRule="auto"/>
        <w:jc w:val="both"/>
        <w:rPr>
          <w:rtl/>
        </w:rPr>
      </w:pPr>
      <w:r>
        <w:rPr>
          <w:rFonts w:ascii="David" w:hAnsi="David" w:cs="David"/>
          <w:sz w:val="28"/>
          <w:szCs w:val="28"/>
          <w:rtl/>
        </w:rPr>
        <w:t> </w:t>
      </w:r>
    </w:p>
    <w:p w14:paraId="06B1E749" w14:textId="77777777" w:rsidR="00000000" w:rsidRDefault="00000000">
      <w:pPr>
        <w:bidi/>
        <w:spacing w:line="360" w:lineRule="auto"/>
        <w:jc w:val="both"/>
        <w:rPr>
          <w:rtl/>
        </w:rPr>
      </w:pPr>
      <w:r>
        <w:rPr>
          <w:rFonts w:ascii="David" w:hAnsi="David" w:cs="David"/>
          <w:sz w:val="28"/>
          <w:szCs w:val="28"/>
          <w:rtl/>
        </w:rPr>
        <w:t> </w:t>
      </w:r>
    </w:p>
    <w:p w14:paraId="7202925D"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48B3793" w14:textId="77777777">
        <w:trPr>
          <w:tblCellSpacing w:w="0" w:type="dxa"/>
        </w:trPr>
        <w:tc>
          <w:tcPr>
            <w:tcW w:w="0" w:type="auto"/>
            <w:vAlign w:val="center"/>
            <w:hideMark/>
          </w:tcPr>
          <w:p w14:paraId="67B5F87D" w14:textId="77777777" w:rsidR="00000000" w:rsidRDefault="00000000">
            <w:pPr>
              <w:bidi/>
              <w:jc w:val="center"/>
              <w:divId w:val="331837642"/>
              <w:rPr>
                <w:rFonts w:ascii="David" w:eastAsia="Times New Roman" w:hAnsi="David" w:cs="David"/>
                <w:rtl/>
              </w:rPr>
            </w:pPr>
            <w:proofErr w:type="spellStart"/>
            <w:r>
              <w:rPr>
                <w:rFonts w:ascii="David" w:eastAsia="Times New Roman" w:hAnsi="David" w:cs="David"/>
                <w:rtl/>
              </w:rPr>
              <w:t>עמנ</w:t>
            </w:r>
            <w:proofErr w:type="spellEnd"/>
            <w:r>
              <w:rPr>
                <w:rFonts w:ascii="David" w:eastAsia="Times New Roman" w:hAnsi="David" w:cs="David"/>
                <w:rtl/>
              </w:rPr>
              <w:t xml:space="preserve"> 39372-04-25 פלורה </w:t>
            </w:r>
            <w:proofErr w:type="spellStart"/>
            <w:r>
              <w:rPr>
                <w:rFonts w:ascii="David" w:eastAsia="Times New Roman" w:hAnsi="David" w:cs="David"/>
                <w:rtl/>
              </w:rPr>
              <w:t>שאוליאן</w:t>
            </w:r>
            <w:proofErr w:type="spellEnd"/>
            <w:r>
              <w:rPr>
                <w:rFonts w:ascii="David" w:eastAsia="Times New Roman" w:hAnsi="David" w:cs="David"/>
                <w:rtl/>
              </w:rPr>
              <w:t xml:space="preserve"> נגד הועדה המקומית לתכנון ובניה תל אביב</w:t>
            </w:r>
          </w:p>
          <w:p w14:paraId="4B0AB33E" w14:textId="77777777" w:rsidR="00000000" w:rsidRDefault="00000000">
            <w:pPr>
              <w:pStyle w:val="a5"/>
              <w:bidi/>
              <w:jc w:val="center"/>
              <w:divId w:val="695545962"/>
              <w:rPr>
                <w:rtl/>
              </w:rPr>
            </w:pPr>
            <w:proofErr w:type="spellStart"/>
            <w:r>
              <w:rPr>
                <w:rtl/>
              </w:rPr>
              <w:t>עמנ</w:t>
            </w:r>
            <w:proofErr w:type="spellEnd"/>
            <w:r>
              <w:rPr>
                <w:rtl/>
              </w:rPr>
              <w:t xml:space="preserve"> 39372-04-25 פלורה </w:t>
            </w:r>
            <w:proofErr w:type="spellStart"/>
            <w:r>
              <w:rPr>
                <w:rtl/>
              </w:rPr>
              <w:t>שאוליאן</w:t>
            </w:r>
            <w:proofErr w:type="spellEnd"/>
            <w:r>
              <w:rPr>
                <w:rtl/>
              </w:rPr>
              <w:t xml:space="preserve"> נגד הועדה המקומית לתכנון ובניה תל אביב</w:t>
            </w:r>
          </w:p>
        </w:tc>
      </w:tr>
    </w:tbl>
    <w:p w14:paraId="1BDFEB61" w14:textId="77777777" w:rsidR="00105685" w:rsidRDefault="00105685">
      <w:pPr>
        <w:rPr>
          <w:rFonts w:eastAsia="Times New Roman"/>
        </w:rPr>
      </w:pPr>
    </w:p>
    <w:sectPr w:rsidR="00105685">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8B08" w14:textId="77777777" w:rsidR="00105685" w:rsidRDefault="00105685">
      <w:r>
        <w:separator/>
      </w:r>
    </w:p>
  </w:endnote>
  <w:endnote w:type="continuationSeparator" w:id="0">
    <w:p w14:paraId="21B2BF52" w14:textId="77777777" w:rsidR="00105685" w:rsidRDefault="0010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0631"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עמנ</w:t>
    </w:r>
    <w:proofErr w:type="spellEnd"/>
    <w:r>
      <w:rPr>
        <w:rFonts w:ascii="David" w:eastAsia="Times New Roman" w:hAnsi="David" w:cs="David"/>
        <w:rtl/>
      </w:rPr>
      <w:t xml:space="preserve"> 39372-04-25 פלורה </w:t>
    </w:r>
    <w:proofErr w:type="spellStart"/>
    <w:r>
      <w:rPr>
        <w:rFonts w:ascii="David" w:eastAsia="Times New Roman" w:hAnsi="David" w:cs="David"/>
        <w:rtl/>
      </w:rPr>
      <w:t>שאוליאן</w:t>
    </w:r>
    <w:proofErr w:type="spellEnd"/>
    <w:r>
      <w:rPr>
        <w:rFonts w:ascii="David" w:eastAsia="Times New Roman" w:hAnsi="David" w:cs="David"/>
        <w:rtl/>
      </w:rPr>
      <w:t xml:space="preserve"> נגד הועדה המקומית לתכנון ובניה תל אביב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E1FF" w14:textId="77777777" w:rsidR="00105685" w:rsidRDefault="00105685">
      <w:r>
        <w:separator/>
      </w:r>
    </w:p>
  </w:footnote>
  <w:footnote w:type="continuationSeparator" w:id="0">
    <w:p w14:paraId="181972FF" w14:textId="77777777" w:rsidR="00105685" w:rsidRDefault="00105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646B"/>
    <w:rsid w:val="00105685"/>
    <w:rsid w:val="002C646B"/>
    <w:rsid w:val="00383CCA"/>
    <w:rsid w:val="009A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59552"/>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NormalWeb">
    <w:name w:val="Normal (Web)"/>
    <w:basedOn w:val="a"/>
    <w:uiPriority w:val="99"/>
    <w:semiHidden/>
    <w:unhideWhenUsed/>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76" w:lineRule="auto"/>
      <w:ind w:left="720"/>
    </w:pPr>
    <w:rPr>
      <w:rFonts w:ascii="Calibri" w:hAnsi="Calibri" w:cs="Calibri"/>
    </w:rPr>
  </w:style>
  <w:style w:type="paragraph" w:customStyle="1" w:styleId="msolistparagraphcxspfirst">
    <w:name w:val="msolistparagraphcxspfirst"/>
    <w:basedOn w:val="a"/>
    <w:pPr>
      <w:bidi/>
      <w:spacing w:line="276" w:lineRule="auto"/>
      <w:ind w:left="720"/>
    </w:pPr>
    <w:rPr>
      <w:rFonts w:ascii="Calibri" w:hAnsi="Calibri" w:cs="Calibri"/>
    </w:rPr>
  </w:style>
  <w:style w:type="paragraph" w:customStyle="1" w:styleId="msolistparagraphcxspmiddle">
    <w:name w:val="msolistparagraphcxspmiddle"/>
    <w:basedOn w:val="a"/>
    <w:pPr>
      <w:bidi/>
      <w:spacing w:line="276" w:lineRule="auto"/>
      <w:ind w:left="720"/>
    </w:pPr>
    <w:rPr>
      <w:rFonts w:ascii="Calibri" w:hAnsi="Calibri" w:cs="Calibri"/>
    </w:rPr>
  </w:style>
  <w:style w:type="paragraph" w:customStyle="1" w:styleId="msolistparagraphcxsplast">
    <w:name w:val="msolistparagraphcxsplast"/>
    <w:basedOn w:val="a"/>
    <w:pPr>
      <w:bidi/>
      <w:spacing w:after="160" w:line="276" w:lineRule="auto"/>
      <w:ind w:left="720"/>
    </w:pPr>
    <w:rPr>
      <w:rFonts w:ascii="Calibri" w:hAnsi="Calibri" w:cs="Calibri"/>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styleId="ab">
    <w:name w:val="Strong"/>
    <w:basedOn w:val="a0"/>
    <w:uiPriority w:val="22"/>
    <w:qFormat/>
    <w:rPr>
      <w:b/>
      <w:bCs/>
    </w:rPr>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7642">
      <w:marLeft w:val="0"/>
      <w:marRight w:val="0"/>
      <w:marTop w:val="0"/>
      <w:marBottom w:val="0"/>
      <w:divBdr>
        <w:top w:val="none" w:sz="0" w:space="0" w:color="auto"/>
        <w:left w:val="none" w:sz="0" w:space="0" w:color="auto"/>
        <w:bottom w:val="none" w:sz="0" w:space="0" w:color="auto"/>
        <w:right w:val="none" w:sz="0" w:space="0" w:color="auto"/>
      </w:divBdr>
    </w:div>
    <w:div w:id="449327139">
      <w:marLeft w:val="0"/>
      <w:marRight w:val="0"/>
      <w:marTop w:val="0"/>
      <w:marBottom w:val="0"/>
      <w:divBdr>
        <w:top w:val="none" w:sz="0" w:space="0" w:color="auto"/>
        <w:left w:val="none" w:sz="0" w:space="0" w:color="auto"/>
        <w:bottom w:val="none" w:sz="0" w:space="0" w:color="auto"/>
        <w:right w:val="none" w:sz="0" w:space="0" w:color="auto"/>
      </w:divBdr>
      <w:divsChild>
        <w:div w:id="1866862510">
          <w:marLeft w:val="0"/>
          <w:marRight w:val="0"/>
          <w:marTop w:val="0"/>
          <w:marBottom w:val="0"/>
          <w:divBdr>
            <w:top w:val="none" w:sz="0" w:space="0" w:color="auto"/>
            <w:left w:val="none" w:sz="0" w:space="0" w:color="auto"/>
            <w:bottom w:val="none" w:sz="0" w:space="0" w:color="auto"/>
            <w:right w:val="none" w:sz="0" w:space="0" w:color="auto"/>
          </w:divBdr>
        </w:div>
      </w:divsChild>
    </w:div>
    <w:div w:id="69554596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3416</Words>
  <Characters>17082</Characters>
  <Application>Microsoft Office Word</Application>
  <DocSecurity>0</DocSecurity>
  <Lines>142</Lines>
  <Paragraphs>40</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2026-01-29T11:33:00Z</dcterms:created>
  <dcterms:modified xsi:type="dcterms:W3CDTF">2026-01-29T11:33:00Z</dcterms:modified>
</cp:coreProperties>
</file>