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F73B5E" w14:paraId="6CB6DE77" w14:textId="77777777" w:rsidTr="00616AE2">
        <w:trPr>
          <w:trHeight w:hRule="exact" w:val="624"/>
          <w:jc w:val="center"/>
        </w:trPr>
        <w:tc>
          <w:tcPr>
            <w:tcW w:w="8307" w:type="dxa"/>
          </w:tcPr>
          <w:p w14:paraId="68FDD3E5" w14:textId="77777777" w:rsidR="00270C62" w:rsidRPr="004B1D70" w:rsidRDefault="00000000" w:rsidP="00C36C5B">
            <w:pPr>
              <w:pStyle w:val="a5"/>
              <w:jc w:val="center"/>
              <w:rPr>
                <w:rFonts w:ascii="Tahoma" w:hAnsi="Tahoma"/>
                <w:b/>
                <w:bCs/>
                <w:sz w:val="28"/>
                <w:szCs w:val="28"/>
                <w:rtl/>
              </w:rPr>
            </w:pPr>
            <w:bookmarkStart w:id="0" w:name="LastJudge"/>
            <w:r w:rsidRPr="004B1D70">
              <w:rPr>
                <w:rFonts w:ascii="Tahoma" w:hAnsi="Tahoma" w:hint="cs"/>
                <w:b/>
                <w:bCs/>
                <w:sz w:val="28"/>
                <w:szCs w:val="28"/>
                <w:rtl/>
              </w:rPr>
              <w:t>בבית המשפט העליון בשבתו כבית משפט לערעורים אזרחיים</w:t>
            </w:r>
          </w:p>
        </w:tc>
      </w:tr>
    </w:tbl>
    <w:p w14:paraId="3E81791C" w14:textId="77777777" w:rsidR="00C9217F" w:rsidRPr="004B1D70" w:rsidRDefault="00270C62" w:rsidP="00247FF1">
      <w:pPr>
        <w:pStyle w:val="a5"/>
        <w:jc w:val="right"/>
        <w:rPr>
          <w:rFonts w:ascii="David" w:hAnsi="David"/>
          <w:b/>
          <w:bCs/>
          <w:sz w:val="28"/>
          <w:szCs w:val="28"/>
          <w:rtl/>
        </w:rPr>
      </w:pPr>
      <w:r w:rsidRPr="004B1D70">
        <w:rPr>
          <w:rtl/>
        </w:rPr>
        <w:t xml:space="preserve"> </w:t>
      </w:r>
      <w:r w:rsidRPr="004B1D70">
        <w:rPr>
          <w:rFonts w:ascii="David" w:hAnsi="David"/>
          <w:b/>
          <w:bCs/>
          <w:sz w:val="28"/>
          <w:szCs w:val="28"/>
          <w:rtl/>
        </w:rPr>
        <w:t>ע"א</w:t>
      </w:r>
      <w:r w:rsidR="00000000" w:rsidRPr="004B1D70">
        <w:rPr>
          <w:rFonts w:ascii="David" w:hAnsi="David"/>
          <w:b/>
          <w:bCs/>
          <w:sz w:val="28"/>
          <w:szCs w:val="28"/>
          <w:rtl/>
        </w:rPr>
        <w:t xml:space="preserve"> </w:t>
      </w:r>
      <w:r w:rsidR="00247FF1" w:rsidRPr="004B1D70">
        <w:rPr>
          <w:rFonts w:ascii="David" w:hAnsi="David" w:hint="cs"/>
          <w:b/>
          <w:bCs/>
          <w:sz w:val="28"/>
          <w:szCs w:val="28"/>
          <w:rtl/>
        </w:rPr>
        <w:t>3805/23</w:t>
      </w:r>
    </w:p>
    <w:p w14:paraId="08100702" w14:textId="77777777" w:rsidR="00C9217F" w:rsidRPr="004B1D70" w:rsidRDefault="00C9217F" w:rsidP="00C9217F">
      <w:pPr>
        <w:suppressLineNumbers/>
        <w:jc w:val="right"/>
        <w:rPr>
          <w:rtl/>
        </w:rPr>
      </w:pPr>
    </w:p>
    <w:tbl>
      <w:tblPr>
        <w:bidiVisual/>
        <w:tblW w:w="8348" w:type="dxa"/>
        <w:jc w:val="center"/>
        <w:tblLook w:val="01E0" w:firstRow="1" w:lastRow="1" w:firstColumn="1" w:lastColumn="1" w:noHBand="0" w:noVBand="0"/>
      </w:tblPr>
      <w:tblGrid>
        <w:gridCol w:w="3096"/>
        <w:gridCol w:w="5252"/>
      </w:tblGrid>
      <w:tr w:rsidR="00F73B5E" w14:paraId="4162A67C" w14:textId="77777777" w:rsidTr="004B1D70">
        <w:trPr>
          <w:trHeight w:val="295"/>
          <w:jc w:val="center"/>
        </w:trPr>
        <w:tc>
          <w:tcPr>
            <w:tcW w:w="8348" w:type="dxa"/>
            <w:gridSpan w:val="2"/>
            <w:shd w:val="clear" w:color="auto" w:fill="auto"/>
          </w:tcPr>
          <w:p w14:paraId="69E9976A" w14:textId="77777777" w:rsidR="00105E0F" w:rsidRPr="004B1D70" w:rsidRDefault="0094424E" w:rsidP="004B1D70">
            <w:pPr>
              <w:suppressLineNumbers/>
              <w:rPr>
                <w:rFonts w:ascii="Arial" w:hAnsi="Arial"/>
                <w:sz w:val="28"/>
                <w:szCs w:val="28"/>
                <w:rtl/>
              </w:rPr>
            </w:pPr>
            <w:r w:rsidRPr="004B1D70">
              <w:rPr>
                <w:rtl/>
              </w:rPr>
              <w:t xml:space="preserve"> </w:t>
            </w:r>
          </w:p>
        </w:tc>
      </w:tr>
      <w:tr w:rsidR="00F73B5E" w14:paraId="74413D50" w14:textId="77777777" w:rsidTr="004B1D70">
        <w:trPr>
          <w:jc w:val="center"/>
        </w:trPr>
        <w:tc>
          <w:tcPr>
            <w:tcW w:w="3096" w:type="dxa"/>
            <w:shd w:val="clear" w:color="auto" w:fill="auto"/>
          </w:tcPr>
          <w:p w14:paraId="0099A8E2" w14:textId="77777777" w:rsidR="0094424E" w:rsidRPr="004B1D70" w:rsidRDefault="00105E0F" w:rsidP="004B1D70">
            <w:pPr>
              <w:suppressLineNumbers/>
              <w:ind w:right="-295"/>
              <w:jc w:val="both"/>
              <w:rPr>
                <w:rFonts w:ascii="David" w:hAnsi="David"/>
                <w:sz w:val="28"/>
                <w:szCs w:val="28"/>
                <w:rtl/>
              </w:rPr>
            </w:pPr>
            <w:r w:rsidRPr="004B1D70">
              <w:rPr>
                <w:rFonts w:ascii="David" w:hAnsi="David"/>
                <w:sz w:val="28"/>
                <w:szCs w:val="28"/>
                <w:rtl/>
              </w:rPr>
              <w:t>ל</w:t>
            </w:r>
            <w:r w:rsidR="00000000" w:rsidRPr="004B1D70">
              <w:rPr>
                <w:rFonts w:ascii="David" w:hAnsi="David"/>
                <w:sz w:val="28"/>
                <w:szCs w:val="28"/>
                <w:rtl/>
              </w:rPr>
              <w:t>פני</w:t>
            </w:r>
            <w:r w:rsidRPr="004B1D70">
              <w:rPr>
                <w:rFonts w:ascii="David" w:hAnsi="David"/>
                <w:sz w:val="28"/>
                <w:szCs w:val="28"/>
                <w:rtl/>
              </w:rPr>
              <w:t>:</w:t>
            </w:r>
          </w:p>
        </w:tc>
        <w:tc>
          <w:tcPr>
            <w:tcW w:w="5252" w:type="dxa"/>
            <w:shd w:val="clear" w:color="auto" w:fill="auto"/>
          </w:tcPr>
          <w:p w14:paraId="21F0A4AB" w14:textId="77777777" w:rsidR="00D83309" w:rsidRPr="004B1D70" w:rsidRDefault="00000000" w:rsidP="004B1D70">
            <w:pPr>
              <w:suppressLineNumbers/>
              <w:rPr>
                <w:rFonts w:ascii="David" w:hAnsi="David"/>
                <w:sz w:val="28"/>
                <w:szCs w:val="28"/>
                <w:rtl/>
              </w:rPr>
            </w:pPr>
            <w:bookmarkStart w:id="1" w:name="_Hlk176406437"/>
            <w:r w:rsidRPr="004B1D70">
              <w:rPr>
                <w:rFonts w:ascii="David" w:hAnsi="David" w:hint="cs"/>
                <w:sz w:val="28"/>
                <w:szCs w:val="28"/>
                <w:rtl/>
              </w:rPr>
              <w:t>כבוד השופט נעם סולברג</w:t>
            </w:r>
          </w:p>
          <w:p w14:paraId="27EA014D" w14:textId="77777777" w:rsidR="00007DE0" w:rsidRPr="004B1D70" w:rsidRDefault="000529D2" w:rsidP="004B1D70">
            <w:pPr>
              <w:suppressLineNumbers/>
              <w:rPr>
                <w:rFonts w:ascii="David" w:hAnsi="David"/>
                <w:sz w:val="28"/>
                <w:szCs w:val="28"/>
                <w:rtl/>
              </w:rPr>
            </w:pPr>
            <w:r w:rsidRPr="004B1D70">
              <w:rPr>
                <w:rFonts w:ascii="David" w:hAnsi="David"/>
                <w:sz w:val="28"/>
                <w:szCs w:val="28"/>
                <w:rtl/>
              </w:rPr>
              <w:t>כבוד</w:t>
            </w:r>
            <w:r w:rsidR="0094424E" w:rsidRPr="004B1D70">
              <w:rPr>
                <w:rFonts w:ascii="David" w:hAnsi="David"/>
                <w:sz w:val="28"/>
                <w:szCs w:val="28"/>
                <w:rtl/>
              </w:rPr>
              <w:t xml:space="preserve"> ה</w:t>
            </w:r>
            <w:r w:rsidRPr="004B1D70">
              <w:rPr>
                <w:rFonts w:ascii="David" w:hAnsi="David"/>
                <w:sz w:val="28"/>
                <w:szCs w:val="28"/>
                <w:rtl/>
              </w:rPr>
              <w:t>שופטת</w:t>
            </w:r>
            <w:r w:rsidR="0094424E" w:rsidRPr="004B1D70">
              <w:rPr>
                <w:rFonts w:ascii="David" w:hAnsi="David"/>
                <w:sz w:val="28"/>
                <w:szCs w:val="28"/>
                <w:rtl/>
              </w:rPr>
              <w:t xml:space="preserve"> </w:t>
            </w:r>
            <w:r w:rsidRPr="004B1D70">
              <w:rPr>
                <w:rFonts w:ascii="David" w:hAnsi="David"/>
                <w:sz w:val="28"/>
                <w:szCs w:val="28"/>
                <w:rtl/>
              </w:rPr>
              <w:t>גילה כנפי-שטייניץ</w:t>
            </w:r>
          </w:p>
          <w:p w14:paraId="5740A965" w14:textId="77777777" w:rsidR="00CA4C49" w:rsidRPr="004B1D70" w:rsidRDefault="00D83309" w:rsidP="004B1D70">
            <w:pPr>
              <w:suppressLineNumbers/>
              <w:rPr>
                <w:rFonts w:ascii="David" w:hAnsi="David"/>
                <w:sz w:val="28"/>
                <w:szCs w:val="28"/>
                <w:rtl/>
              </w:rPr>
            </w:pPr>
            <w:r w:rsidRPr="004B1D70">
              <w:rPr>
                <w:rFonts w:ascii="David" w:hAnsi="David" w:hint="cs"/>
                <w:sz w:val="28"/>
                <w:szCs w:val="28"/>
                <w:rtl/>
              </w:rPr>
              <w:t>כבוד השופט יחיאל כשר</w:t>
            </w:r>
          </w:p>
          <w:bookmarkEnd w:id="1"/>
          <w:p w14:paraId="66AF75A6" w14:textId="77777777" w:rsidR="00D83309" w:rsidRPr="004B1D70" w:rsidRDefault="00D83309" w:rsidP="004B1D70">
            <w:pPr>
              <w:suppressLineNumbers/>
              <w:rPr>
                <w:rFonts w:ascii="David" w:hAnsi="David"/>
                <w:sz w:val="28"/>
                <w:szCs w:val="28"/>
              </w:rPr>
            </w:pPr>
          </w:p>
        </w:tc>
      </w:tr>
      <w:tr w:rsidR="00F73B5E" w14:paraId="6CCF4112" w14:textId="77777777" w:rsidTr="004B1D70">
        <w:trPr>
          <w:jc w:val="center"/>
        </w:trPr>
        <w:tc>
          <w:tcPr>
            <w:tcW w:w="3096" w:type="dxa"/>
            <w:shd w:val="clear" w:color="auto" w:fill="auto"/>
          </w:tcPr>
          <w:p w14:paraId="05DA285E" w14:textId="77777777" w:rsidR="0094424E" w:rsidRPr="004B1D70" w:rsidRDefault="00C9217F" w:rsidP="004B1D70">
            <w:pPr>
              <w:suppressLineNumbers/>
              <w:rPr>
                <w:rFonts w:ascii="David" w:hAnsi="David"/>
                <w:sz w:val="28"/>
                <w:szCs w:val="28"/>
                <w:rtl/>
              </w:rPr>
            </w:pPr>
            <w:bookmarkStart w:id="2" w:name="FirstAppellant"/>
            <w:r w:rsidRPr="004B1D70">
              <w:rPr>
                <w:rFonts w:ascii="David" w:hAnsi="David" w:hint="cs"/>
                <w:sz w:val="28"/>
                <w:szCs w:val="28"/>
                <w:rtl/>
              </w:rPr>
              <w:t>ה</w:t>
            </w:r>
            <w:r w:rsidR="00D83309" w:rsidRPr="004B1D70">
              <w:rPr>
                <w:rFonts w:ascii="David" w:hAnsi="David"/>
                <w:sz w:val="28"/>
                <w:szCs w:val="28"/>
                <w:rtl/>
              </w:rPr>
              <w:t>מערער</w:t>
            </w:r>
            <w:r w:rsidR="00D83309" w:rsidRPr="004B1D70">
              <w:rPr>
                <w:rFonts w:ascii="David" w:hAnsi="David" w:hint="cs"/>
                <w:sz w:val="28"/>
                <w:szCs w:val="28"/>
                <w:rtl/>
              </w:rPr>
              <w:t>ת</w:t>
            </w:r>
            <w:r w:rsidRPr="004B1D70">
              <w:rPr>
                <w:rFonts w:ascii="David" w:hAnsi="David" w:hint="cs"/>
                <w:sz w:val="28"/>
                <w:szCs w:val="28"/>
                <w:rtl/>
              </w:rPr>
              <w:t>:</w:t>
            </w:r>
          </w:p>
        </w:tc>
        <w:tc>
          <w:tcPr>
            <w:tcW w:w="5252" w:type="dxa"/>
            <w:shd w:val="clear" w:color="auto" w:fill="auto"/>
          </w:tcPr>
          <w:p w14:paraId="1D4B4CD5" w14:textId="77777777" w:rsidR="0094424E" w:rsidRPr="004B1D70" w:rsidRDefault="00193B4B" w:rsidP="004B1D70">
            <w:pPr>
              <w:suppressLineNumbers/>
              <w:rPr>
                <w:rFonts w:ascii="David" w:hAnsi="David"/>
                <w:sz w:val="28"/>
                <w:szCs w:val="28"/>
              </w:rPr>
            </w:pPr>
            <w:r w:rsidRPr="004B1D70">
              <w:rPr>
                <w:rFonts w:ascii="David" w:hAnsi="David"/>
                <w:sz w:val="28"/>
                <w:szCs w:val="28"/>
                <w:rtl/>
              </w:rPr>
              <w:t>גלינה גולדנברג</w:t>
            </w:r>
          </w:p>
        </w:tc>
      </w:tr>
      <w:bookmarkEnd w:id="2"/>
      <w:tr w:rsidR="00F73B5E" w14:paraId="3B7DB602" w14:textId="77777777" w:rsidTr="004B1D70">
        <w:trPr>
          <w:jc w:val="center"/>
        </w:trPr>
        <w:tc>
          <w:tcPr>
            <w:tcW w:w="8348" w:type="dxa"/>
            <w:gridSpan w:val="2"/>
            <w:shd w:val="clear" w:color="auto" w:fill="auto"/>
          </w:tcPr>
          <w:p w14:paraId="66004A7F" w14:textId="77777777" w:rsidR="0094424E" w:rsidRPr="004B1D70" w:rsidRDefault="0094424E" w:rsidP="004B1D70">
            <w:pPr>
              <w:suppressLineNumbers/>
              <w:rPr>
                <w:rFonts w:ascii="David" w:hAnsi="David"/>
                <w:sz w:val="28"/>
                <w:szCs w:val="28"/>
                <w:rtl/>
              </w:rPr>
            </w:pPr>
          </w:p>
          <w:p w14:paraId="3436C6D3" w14:textId="77777777" w:rsidR="0094424E" w:rsidRPr="004B1D70" w:rsidRDefault="00616AE2" w:rsidP="004B1D70">
            <w:pPr>
              <w:suppressLineNumbers/>
              <w:ind w:left="2880"/>
              <w:rPr>
                <w:rFonts w:ascii="David" w:hAnsi="David"/>
                <w:spacing w:val="40"/>
                <w:sz w:val="28"/>
                <w:szCs w:val="28"/>
                <w:rtl/>
              </w:rPr>
            </w:pPr>
            <w:r w:rsidRPr="004B1D70">
              <w:rPr>
                <w:rFonts w:ascii="David" w:hAnsi="David" w:hint="cs"/>
                <w:spacing w:val="40"/>
                <w:sz w:val="28"/>
                <w:szCs w:val="28"/>
                <w:rtl/>
              </w:rPr>
              <w:t xml:space="preserve">  </w:t>
            </w:r>
            <w:r w:rsidR="00000000" w:rsidRPr="004B1D70">
              <w:rPr>
                <w:rFonts w:ascii="David" w:hAnsi="David"/>
                <w:spacing w:val="40"/>
                <w:sz w:val="28"/>
                <w:szCs w:val="28"/>
                <w:rtl/>
              </w:rPr>
              <w:t>נגד</w:t>
            </w:r>
          </w:p>
          <w:p w14:paraId="34765A94" w14:textId="77777777" w:rsidR="0094424E" w:rsidRPr="004B1D70" w:rsidRDefault="0094424E" w:rsidP="004B1D70">
            <w:pPr>
              <w:suppressLineNumbers/>
              <w:rPr>
                <w:rFonts w:ascii="David" w:hAnsi="David"/>
                <w:sz w:val="28"/>
                <w:szCs w:val="28"/>
              </w:rPr>
            </w:pPr>
          </w:p>
        </w:tc>
      </w:tr>
      <w:tr w:rsidR="00F73B5E" w14:paraId="343C11FE" w14:textId="77777777" w:rsidTr="004B1D70">
        <w:trPr>
          <w:jc w:val="center"/>
        </w:trPr>
        <w:tc>
          <w:tcPr>
            <w:tcW w:w="3096" w:type="dxa"/>
            <w:shd w:val="clear" w:color="auto" w:fill="auto"/>
          </w:tcPr>
          <w:p w14:paraId="60BC4730" w14:textId="77777777" w:rsidR="0094424E" w:rsidRPr="004B1D70" w:rsidRDefault="00C9217F" w:rsidP="004B1D70">
            <w:pPr>
              <w:suppressLineNumbers/>
              <w:rPr>
                <w:rFonts w:ascii="David" w:hAnsi="David"/>
                <w:sz w:val="28"/>
                <w:szCs w:val="28"/>
              </w:rPr>
            </w:pPr>
            <w:r w:rsidRPr="004B1D70">
              <w:rPr>
                <w:rFonts w:ascii="David" w:hAnsi="David" w:hint="cs"/>
                <w:sz w:val="28"/>
                <w:szCs w:val="28"/>
                <w:rtl/>
              </w:rPr>
              <w:t>ה</w:t>
            </w:r>
            <w:r w:rsidRPr="004B1D70">
              <w:rPr>
                <w:rFonts w:ascii="David" w:hAnsi="David"/>
                <w:sz w:val="28"/>
                <w:szCs w:val="28"/>
                <w:rtl/>
              </w:rPr>
              <w:t>משיבים</w:t>
            </w:r>
            <w:r w:rsidRPr="004B1D70">
              <w:rPr>
                <w:rFonts w:ascii="David" w:hAnsi="David" w:hint="cs"/>
                <w:sz w:val="28"/>
                <w:szCs w:val="28"/>
                <w:rtl/>
              </w:rPr>
              <w:t>:</w:t>
            </w:r>
          </w:p>
        </w:tc>
        <w:tc>
          <w:tcPr>
            <w:tcW w:w="5252" w:type="dxa"/>
            <w:shd w:val="clear" w:color="auto" w:fill="auto"/>
          </w:tcPr>
          <w:p w14:paraId="3203DBD3" w14:textId="77777777" w:rsidR="00CF6BB7" w:rsidRPr="004B1D70" w:rsidRDefault="00193B4B" w:rsidP="004B1D70">
            <w:pPr>
              <w:suppressLineNumbers/>
              <w:rPr>
                <w:rFonts w:ascii="David" w:hAnsi="David"/>
                <w:sz w:val="28"/>
                <w:szCs w:val="28"/>
                <w:rtl/>
              </w:rPr>
            </w:pPr>
            <w:r w:rsidRPr="004B1D70">
              <w:rPr>
                <w:rFonts w:ascii="David" w:hAnsi="David"/>
                <w:sz w:val="28"/>
                <w:szCs w:val="28"/>
                <w:rtl/>
              </w:rPr>
              <w:t>1</w:t>
            </w:r>
            <w:r w:rsidR="0094424E" w:rsidRPr="004B1D70">
              <w:rPr>
                <w:rFonts w:ascii="David" w:hAnsi="David"/>
                <w:sz w:val="28"/>
                <w:szCs w:val="28"/>
                <w:rtl/>
              </w:rPr>
              <w:t xml:space="preserve">. </w:t>
            </w:r>
            <w:r w:rsidRPr="004B1D70">
              <w:rPr>
                <w:rFonts w:ascii="David" w:hAnsi="David"/>
                <w:sz w:val="28"/>
                <w:szCs w:val="28"/>
                <w:rtl/>
              </w:rPr>
              <w:t>בר-זן נדל"ן ותיירות בע"מ</w:t>
            </w:r>
          </w:p>
          <w:p w14:paraId="5914E9E5" w14:textId="77777777" w:rsidR="00CF6BB7" w:rsidRPr="004B1D70" w:rsidRDefault="00193B4B" w:rsidP="004B1D70">
            <w:pPr>
              <w:suppressLineNumbers/>
              <w:rPr>
                <w:rFonts w:ascii="David" w:hAnsi="David"/>
                <w:sz w:val="28"/>
                <w:szCs w:val="28"/>
                <w:rtl/>
              </w:rPr>
            </w:pPr>
            <w:r w:rsidRPr="004B1D70">
              <w:rPr>
                <w:rFonts w:ascii="David" w:hAnsi="David"/>
                <w:sz w:val="28"/>
                <w:szCs w:val="28"/>
                <w:rtl/>
              </w:rPr>
              <w:t>2</w:t>
            </w:r>
            <w:r w:rsidR="0094424E" w:rsidRPr="004B1D70">
              <w:rPr>
                <w:rFonts w:ascii="David" w:hAnsi="David"/>
                <w:sz w:val="28"/>
                <w:szCs w:val="28"/>
                <w:rtl/>
              </w:rPr>
              <w:t xml:space="preserve">. </w:t>
            </w:r>
            <w:r w:rsidRPr="004B1D70">
              <w:rPr>
                <w:rFonts w:ascii="David" w:hAnsi="David"/>
                <w:sz w:val="28"/>
                <w:szCs w:val="28"/>
                <w:rtl/>
              </w:rPr>
              <w:t>יעקב בריגה</w:t>
            </w:r>
          </w:p>
          <w:p w14:paraId="125DD188" w14:textId="77777777" w:rsidR="00CF6BB7" w:rsidRPr="004B1D70" w:rsidRDefault="00193B4B" w:rsidP="004B1D70">
            <w:pPr>
              <w:suppressLineNumbers/>
              <w:rPr>
                <w:rFonts w:ascii="David" w:hAnsi="David"/>
                <w:sz w:val="28"/>
                <w:szCs w:val="28"/>
                <w:rtl/>
              </w:rPr>
            </w:pPr>
            <w:r w:rsidRPr="004B1D70">
              <w:rPr>
                <w:rFonts w:ascii="David" w:hAnsi="David"/>
                <w:sz w:val="28"/>
                <w:szCs w:val="28"/>
                <w:rtl/>
              </w:rPr>
              <w:t>3</w:t>
            </w:r>
            <w:r w:rsidR="0094424E" w:rsidRPr="004B1D70">
              <w:rPr>
                <w:rFonts w:ascii="David" w:hAnsi="David"/>
                <w:sz w:val="28"/>
                <w:szCs w:val="28"/>
                <w:rtl/>
              </w:rPr>
              <w:t xml:space="preserve">. </w:t>
            </w:r>
            <w:r w:rsidRPr="004B1D70">
              <w:rPr>
                <w:rFonts w:ascii="David" w:hAnsi="David"/>
                <w:sz w:val="28"/>
                <w:szCs w:val="28"/>
                <w:rtl/>
              </w:rPr>
              <w:t>רפאל זנזורי</w:t>
            </w:r>
          </w:p>
        </w:tc>
      </w:tr>
      <w:tr w:rsidR="00F73B5E" w14:paraId="5868A68A" w14:textId="77777777" w:rsidTr="004B1D70">
        <w:trPr>
          <w:jc w:val="center"/>
        </w:trPr>
        <w:tc>
          <w:tcPr>
            <w:tcW w:w="3096" w:type="dxa"/>
            <w:shd w:val="clear" w:color="auto" w:fill="auto"/>
          </w:tcPr>
          <w:p w14:paraId="7F8B10F7" w14:textId="77777777" w:rsidR="00C9217F" w:rsidRPr="004B1D70" w:rsidRDefault="00C9217F" w:rsidP="004B1D70">
            <w:pPr>
              <w:suppressLineNumbers/>
              <w:rPr>
                <w:rFonts w:ascii="David" w:hAnsi="David"/>
                <w:sz w:val="28"/>
                <w:szCs w:val="28"/>
                <w:rtl/>
              </w:rPr>
            </w:pPr>
          </w:p>
        </w:tc>
        <w:tc>
          <w:tcPr>
            <w:tcW w:w="5252" w:type="dxa"/>
            <w:shd w:val="clear" w:color="auto" w:fill="auto"/>
          </w:tcPr>
          <w:p w14:paraId="1516CFD1" w14:textId="77777777" w:rsidR="00C9217F" w:rsidRPr="004B1D70" w:rsidRDefault="00C9217F" w:rsidP="004B1D70">
            <w:pPr>
              <w:suppressLineNumbers/>
              <w:rPr>
                <w:rFonts w:ascii="David" w:hAnsi="David"/>
                <w:rtl/>
              </w:rPr>
            </w:pPr>
          </w:p>
          <w:p w14:paraId="272F309C" w14:textId="77777777" w:rsidR="00C9217F" w:rsidRPr="004B1D70" w:rsidRDefault="00616AE2" w:rsidP="004B1D70">
            <w:pPr>
              <w:suppressLineNumbers/>
              <w:rPr>
                <w:rFonts w:ascii="David" w:hAnsi="David"/>
                <w:sz w:val="28"/>
                <w:szCs w:val="28"/>
                <w:rtl/>
              </w:rPr>
            </w:pPr>
            <w:r w:rsidRPr="004B1D70">
              <w:rPr>
                <w:rFonts w:ascii="David" w:hAnsi="David" w:hint="cs"/>
                <w:rtl/>
              </w:rPr>
              <w:t xml:space="preserve">ערעור </w:t>
            </w:r>
            <w:r w:rsidR="00D83309" w:rsidRPr="004B1D70">
              <w:rPr>
                <w:rFonts w:ascii="David" w:hAnsi="David" w:hint="cs"/>
                <w:rtl/>
              </w:rPr>
              <w:t>על פסק ד</w:t>
            </w:r>
            <w:r w:rsidR="006529BA" w:rsidRPr="004B1D70">
              <w:rPr>
                <w:rFonts w:ascii="David" w:hAnsi="David" w:hint="cs"/>
                <w:rtl/>
              </w:rPr>
              <w:t>ינו של בית המשפט המחוזי בתל אביב-יפו (השופט העמית י' פרגו) מיום 9.3.2023 ב</w:t>
            </w:r>
            <w:hyperlink r:id="rId7" w:history="1">
              <w:r w:rsidR="004B1D70" w:rsidRPr="004B1D70">
                <w:rPr>
                  <w:rFonts w:ascii="David" w:hAnsi="David"/>
                  <w:color w:val="0000FF"/>
                  <w:u w:val="single"/>
                  <w:rtl/>
                </w:rPr>
                <w:t>ת"א 71461-1</w:t>
              </w:r>
              <w:bookmarkStart w:id="3" w:name="_Hlt175129266"/>
              <w:bookmarkStart w:id="4" w:name="_Hlt175129267"/>
              <w:r w:rsidR="004B1D70" w:rsidRPr="004B1D70">
                <w:rPr>
                  <w:rFonts w:ascii="David" w:hAnsi="David"/>
                  <w:color w:val="0000FF"/>
                  <w:u w:val="single"/>
                  <w:rtl/>
                </w:rPr>
                <w:t>2</w:t>
              </w:r>
              <w:bookmarkEnd w:id="3"/>
              <w:bookmarkEnd w:id="4"/>
              <w:r w:rsidR="004B1D70" w:rsidRPr="004B1D70">
                <w:rPr>
                  <w:rFonts w:ascii="David" w:hAnsi="David"/>
                  <w:color w:val="0000FF"/>
                  <w:u w:val="single"/>
                  <w:rtl/>
                </w:rPr>
                <w:t>-20</w:t>
              </w:r>
            </w:hyperlink>
            <w:r w:rsidR="006529BA" w:rsidRPr="004B1D70">
              <w:rPr>
                <w:rFonts w:ascii="David" w:hAnsi="David" w:hint="cs"/>
                <w:rtl/>
              </w:rPr>
              <w:t xml:space="preserve"> </w:t>
            </w:r>
            <w:r w:rsidR="00C3630B">
              <w:rPr>
                <w:rFonts w:ascii="David" w:hAnsi="David" w:hint="cs"/>
                <w:rtl/>
              </w:rPr>
              <w:t>[נבו]</w:t>
            </w:r>
          </w:p>
        </w:tc>
      </w:tr>
      <w:tr w:rsidR="00F73B5E" w14:paraId="64F5A22A" w14:textId="77777777" w:rsidTr="004B1D70">
        <w:trPr>
          <w:jc w:val="center"/>
        </w:trPr>
        <w:tc>
          <w:tcPr>
            <w:tcW w:w="3096" w:type="dxa"/>
            <w:shd w:val="clear" w:color="auto" w:fill="auto"/>
          </w:tcPr>
          <w:p w14:paraId="41C9DC1E" w14:textId="77777777" w:rsidR="00105E0F" w:rsidRPr="004B1D70" w:rsidRDefault="00C9217F" w:rsidP="004B1D70">
            <w:pPr>
              <w:suppressLineNumbers/>
              <w:rPr>
                <w:rFonts w:ascii="David" w:hAnsi="David"/>
                <w:sz w:val="28"/>
                <w:szCs w:val="28"/>
              </w:rPr>
            </w:pPr>
            <w:r w:rsidRPr="004B1D70">
              <w:rPr>
                <w:rFonts w:ascii="David" w:hAnsi="David" w:hint="cs"/>
                <w:sz w:val="28"/>
                <w:szCs w:val="28"/>
                <w:rtl/>
              </w:rPr>
              <w:t>בשם ה</w:t>
            </w:r>
            <w:r w:rsidR="006529BA" w:rsidRPr="004B1D70">
              <w:rPr>
                <w:rFonts w:ascii="David" w:hAnsi="David"/>
                <w:sz w:val="28"/>
                <w:szCs w:val="28"/>
                <w:rtl/>
              </w:rPr>
              <w:t>מערער</w:t>
            </w:r>
            <w:r w:rsidR="006529BA" w:rsidRPr="004B1D70">
              <w:rPr>
                <w:rFonts w:ascii="David" w:hAnsi="David" w:hint="cs"/>
                <w:sz w:val="28"/>
                <w:szCs w:val="28"/>
                <w:rtl/>
              </w:rPr>
              <w:t>ת</w:t>
            </w:r>
            <w:r w:rsidRPr="004B1D70">
              <w:rPr>
                <w:rFonts w:ascii="David" w:hAnsi="David" w:hint="cs"/>
                <w:sz w:val="28"/>
                <w:szCs w:val="28"/>
                <w:rtl/>
              </w:rPr>
              <w:t>:</w:t>
            </w:r>
          </w:p>
          <w:p w14:paraId="780E3885" w14:textId="77777777" w:rsidR="00105E0F" w:rsidRPr="004B1D70" w:rsidRDefault="00105E0F" w:rsidP="004B1D70">
            <w:pPr>
              <w:suppressLineNumbers/>
              <w:rPr>
                <w:rFonts w:ascii="David" w:hAnsi="David"/>
                <w:sz w:val="28"/>
                <w:szCs w:val="28"/>
                <w:rtl/>
              </w:rPr>
            </w:pPr>
          </w:p>
        </w:tc>
        <w:tc>
          <w:tcPr>
            <w:tcW w:w="5252" w:type="dxa"/>
            <w:shd w:val="clear" w:color="auto" w:fill="auto"/>
          </w:tcPr>
          <w:p w14:paraId="549B4D69" w14:textId="77777777" w:rsidR="00105E0F" w:rsidRPr="004B1D70" w:rsidRDefault="00616AE2" w:rsidP="004B1D70">
            <w:pPr>
              <w:suppressLineNumbers/>
              <w:rPr>
                <w:rFonts w:ascii="David" w:hAnsi="David"/>
                <w:sz w:val="28"/>
                <w:szCs w:val="28"/>
                <w:rtl/>
              </w:rPr>
            </w:pPr>
            <w:r w:rsidRPr="004B1D70">
              <w:rPr>
                <w:rFonts w:ascii="David" w:hAnsi="David" w:hint="cs"/>
                <w:sz w:val="28"/>
                <w:szCs w:val="28"/>
                <w:rtl/>
              </w:rPr>
              <w:t xml:space="preserve">עו"ד </w:t>
            </w:r>
            <w:r w:rsidRPr="004B1D70">
              <w:rPr>
                <w:rFonts w:ascii="David" w:hAnsi="David"/>
                <w:sz w:val="28"/>
                <w:szCs w:val="28"/>
                <w:rtl/>
              </w:rPr>
              <w:t>אבירם</w:t>
            </w:r>
            <w:r w:rsidR="00000000" w:rsidRPr="004B1D70">
              <w:rPr>
                <w:rFonts w:ascii="David" w:hAnsi="David"/>
                <w:sz w:val="28"/>
                <w:szCs w:val="28"/>
                <w:rtl/>
              </w:rPr>
              <w:t xml:space="preserve"> </w:t>
            </w:r>
            <w:r w:rsidRPr="004B1D70">
              <w:rPr>
                <w:rFonts w:ascii="David" w:hAnsi="David"/>
                <w:sz w:val="28"/>
                <w:szCs w:val="28"/>
                <w:rtl/>
              </w:rPr>
              <w:t>רחימי</w:t>
            </w:r>
            <w:r w:rsidRPr="004B1D70">
              <w:rPr>
                <w:rFonts w:ascii="David" w:hAnsi="David" w:hint="cs"/>
                <w:sz w:val="28"/>
                <w:szCs w:val="28"/>
                <w:rtl/>
              </w:rPr>
              <w:t xml:space="preserve"> </w:t>
            </w:r>
          </w:p>
        </w:tc>
      </w:tr>
      <w:tr w:rsidR="00F73B5E" w14:paraId="1CB21A6F" w14:textId="77777777" w:rsidTr="004B1D70">
        <w:trPr>
          <w:jc w:val="center"/>
        </w:trPr>
        <w:tc>
          <w:tcPr>
            <w:tcW w:w="3096" w:type="dxa"/>
            <w:shd w:val="clear" w:color="auto" w:fill="auto"/>
          </w:tcPr>
          <w:p w14:paraId="3E5B0A1D" w14:textId="77777777" w:rsidR="00105E0F" w:rsidRPr="004B1D70" w:rsidRDefault="00C9217F" w:rsidP="004B1D70">
            <w:pPr>
              <w:suppressLineNumbers/>
              <w:rPr>
                <w:rFonts w:ascii="David" w:hAnsi="David"/>
                <w:sz w:val="28"/>
                <w:szCs w:val="28"/>
              </w:rPr>
            </w:pPr>
            <w:bookmarkStart w:id="5" w:name="FirstLawyer"/>
            <w:r w:rsidRPr="004B1D70">
              <w:rPr>
                <w:rFonts w:ascii="David" w:hAnsi="David" w:hint="cs"/>
                <w:sz w:val="28"/>
                <w:szCs w:val="28"/>
                <w:rtl/>
              </w:rPr>
              <w:t>בשם ה</w:t>
            </w:r>
            <w:r w:rsidRPr="004B1D70">
              <w:rPr>
                <w:rFonts w:ascii="David" w:hAnsi="David"/>
                <w:sz w:val="28"/>
                <w:szCs w:val="28"/>
                <w:rtl/>
              </w:rPr>
              <w:t>משיבים</w:t>
            </w:r>
            <w:r w:rsidRPr="004B1D70">
              <w:rPr>
                <w:rFonts w:ascii="David" w:hAnsi="David" w:hint="cs"/>
                <w:sz w:val="28"/>
                <w:szCs w:val="28"/>
                <w:rtl/>
              </w:rPr>
              <w:t>:</w:t>
            </w:r>
          </w:p>
        </w:tc>
        <w:tc>
          <w:tcPr>
            <w:tcW w:w="5252" w:type="dxa"/>
            <w:shd w:val="clear" w:color="auto" w:fill="auto"/>
          </w:tcPr>
          <w:p w14:paraId="459FC0BE" w14:textId="77777777" w:rsidR="00105E0F" w:rsidRPr="004B1D70" w:rsidRDefault="006529BA" w:rsidP="004B1D70">
            <w:pPr>
              <w:suppressLineNumbers/>
              <w:rPr>
                <w:rFonts w:ascii="David" w:hAnsi="David"/>
                <w:sz w:val="28"/>
                <w:szCs w:val="28"/>
              </w:rPr>
            </w:pPr>
            <w:r w:rsidRPr="004B1D70">
              <w:rPr>
                <w:rFonts w:ascii="David" w:hAnsi="David" w:hint="cs"/>
                <w:sz w:val="28"/>
                <w:szCs w:val="28"/>
                <w:rtl/>
              </w:rPr>
              <w:t xml:space="preserve">עו"ד גלעד וקסלמן; </w:t>
            </w:r>
            <w:r w:rsidR="00616AE2" w:rsidRPr="004B1D70">
              <w:rPr>
                <w:rFonts w:ascii="David" w:hAnsi="David" w:hint="cs"/>
                <w:sz w:val="28"/>
                <w:szCs w:val="28"/>
                <w:rtl/>
              </w:rPr>
              <w:t xml:space="preserve">עו"ד </w:t>
            </w:r>
            <w:r w:rsidRPr="004B1D70">
              <w:rPr>
                <w:rFonts w:ascii="David" w:hAnsi="David" w:hint="cs"/>
                <w:sz w:val="28"/>
                <w:szCs w:val="28"/>
                <w:rtl/>
              </w:rPr>
              <w:t>דוד בודנהיים</w:t>
            </w:r>
            <w:r w:rsidR="00616AE2" w:rsidRPr="004B1D70">
              <w:rPr>
                <w:rFonts w:ascii="David" w:hAnsi="David" w:hint="cs"/>
                <w:sz w:val="28"/>
                <w:szCs w:val="28"/>
                <w:rtl/>
              </w:rPr>
              <w:t xml:space="preserve"> </w:t>
            </w:r>
          </w:p>
        </w:tc>
      </w:tr>
      <w:bookmarkEnd w:id="5"/>
    </w:tbl>
    <w:p w14:paraId="77ACCCE4" w14:textId="77777777" w:rsidR="0094424E" w:rsidRPr="004B1D70" w:rsidRDefault="0094424E" w:rsidP="00D44968">
      <w:pPr>
        <w:suppressLineNumbers/>
        <w:rPr>
          <w:rFonts w:ascii="David" w:hAnsi="David"/>
          <w:rtl/>
        </w:rPr>
      </w:pPr>
    </w:p>
    <w:p w14:paraId="0B385CC5" w14:textId="77777777" w:rsidR="00C3630B" w:rsidRPr="00C3630B" w:rsidRDefault="00C3630B" w:rsidP="00C3630B">
      <w:pPr>
        <w:suppressLineNumbers/>
        <w:spacing w:after="120" w:line="240" w:lineRule="exact"/>
        <w:ind w:left="283" w:hanging="283"/>
        <w:jc w:val="both"/>
        <w:rPr>
          <w:rFonts w:ascii="David" w:hAnsi="David"/>
          <w:rtl/>
        </w:rPr>
      </w:pPr>
      <w:bookmarkStart w:id="6" w:name="LawTable_End"/>
      <w:bookmarkStart w:id="7" w:name="ABSTRACT_END"/>
      <w:bookmarkEnd w:id="6"/>
      <w:bookmarkEnd w:id="7"/>
    </w:p>
    <w:tbl>
      <w:tblPr>
        <w:bidiVisual/>
        <w:tblW w:w="8498" w:type="dxa"/>
        <w:jc w:val="center"/>
        <w:tblLook w:val="01E0" w:firstRow="1" w:lastRow="1" w:firstColumn="1" w:lastColumn="1" w:noHBand="0" w:noVBand="0"/>
      </w:tblPr>
      <w:tblGrid>
        <w:gridCol w:w="8498"/>
      </w:tblGrid>
      <w:tr w:rsidR="00F73B5E" w14:paraId="64F78F69" w14:textId="77777777" w:rsidTr="004B1D70">
        <w:trPr>
          <w:jc w:val="center"/>
        </w:trPr>
        <w:tc>
          <w:tcPr>
            <w:tcW w:w="8498" w:type="dxa"/>
            <w:shd w:val="clear" w:color="auto" w:fill="auto"/>
          </w:tcPr>
          <w:p w14:paraId="0C4BB84D" w14:textId="77777777" w:rsidR="004B1D70" w:rsidRPr="004B1D70" w:rsidRDefault="00000000" w:rsidP="004B1D70">
            <w:pPr>
              <w:bidi w:val="0"/>
              <w:jc w:val="center"/>
              <w:rPr>
                <w:rFonts w:ascii="David" w:hAnsi="David"/>
                <w:b/>
                <w:bCs/>
                <w:spacing w:val="30"/>
                <w:sz w:val="28"/>
                <w:szCs w:val="28"/>
                <w:u w:val="single"/>
                <w:rtl/>
              </w:rPr>
            </w:pPr>
            <w:bookmarkStart w:id="8" w:name="PsakDin"/>
            <w:r w:rsidRPr="00C3630B">
              <w:rPr>
                <w:rFonts w:ascii="David" w:hAnsi="David"/>
                <w:b/>
                <w:bCs/>
                <w:spacing w:val="30"/>
                <w:sz w:val="28"/>
                <w:szCs w:val="28"/>
                <w:u w:val="single"/>
                <w:rtl/>
              </w:rPr>
              <w:t>פסק-</w:t>
            </w:r>
            <w:r w:rsidRPr="004B1D70">
              <w:rPr>
                <w:rFonts w:ascii="David" w:hAnsi="David"/>
                <w:b/>
                <w:bCs/>
                <w:spacing w:val="30"/>
                <w:sz w:val="28"/>
                <w:szCs w:val="28"/>
                <w:u w:val="single"/>
                <w:rtl/>
              </w:rPr>
              <w:t>דין</w:t>
            </w:r>
          </w:p>
          <w:bookmarkEnd w:id="8"/>
          <w:p w14:paraId="4FEA276E" w14:textId="77777777" w:rsidR="00D44968" w:rsidRPr="004B1D70" w:rsidRDefault="00D44968" w:rsidP="004B1D70">
            <w:pPr>
              <w:bidi w:val="0"/>
              <w:jc w:val="center"/>
              <w:rPr>
                <w:rFonts w:ascii="David" w:hAnsi="David"/>
                <w:b/>
                <w:bCs/>
                <w:u w:val="single"/>
              </w:rPr>
            </w:pPr>
          </w:p>
        </w:tc>
      </w:tr>
    </w:tbl>
    <w:p w14:paraId="084590EE" w14:textId="77777777" w:rsidR="00694556" w:rsidRPr="00FB7A67" w:rsidRDefault="00694556">
      <w:pPr>
        <w:spacing w:line="360" w:lineRule="auto"/>
        <w:jc w:val="both"/>
        <w:rPr>
          <w:rFonts w:ascii="FrankRuehl" w:hAnsi="FrankRuehl" w:cs="FrankRuehl"/>
          <w:spacing w:val="10"/>
          <w:sz w:val="28"/>
          <w:szCs w:val="28"/>
          <w:rtl/>
        </w:rPr>
      </w:pPr>
      <w:bookmarkStart w:id="9" w:name="NGCSBookmark"/>
      <w:bookmarkEnd w:id="0"/>
      <w:bookmarkEnd w:id="9"/>
    </w:p>
    <w:p w14:paraId="6FD5AF82" w14:textId="77777777" w:rsidR="00E311E6" w:rsidRDefault="00000000" w:rsidP="00E311E6">
      <w:pPr>
        <w:pStyle w:val="Ruller41"/>
        <w:rPr>
          <w:rFonts w:ascii="Century" w:hAnsi="Century" w:cs="Miriam"/>
          <w:b/>
          <w:spacing w:val="0"/>
          <w:szCs w:val="24"/>
          <w:u w:val="single"/>
        </w:rPr>
      </w:pPr>
      <w:r w:rsidRPr="00E311E6">
        <w:rPr>
          <w:rFonts w:ascii="Century" w:hAnsi="Century" w:cs="Miriam"/>
          <w:b/>
          <w:spacing w:val="0"/>
          <w:szCs w:val="24"/>
          <w:u w:val="single"/>
          <w:rtl/>
        </w:rPr>
        <w:t>ה</w:t>
      </w:r>
      <w:r>
        <w:rPr>
          <w:rFonts w:ascii="Century" w:hAnsi="Century" w:cs="Miriam"/>
          <w:b/>
          <w:spacing w:val="0"/>
          <w:szCs w:val="24"/>
          <w:u w:val="single"/>
          <w:rtl/>
        </w:rPr>
        <w:t>שופטת</w:t>
      </w:r>
      <w:r w:rsidRPr="00E311E6">
        <w:rPr>
          <w:rFonts w:ascii="Century" w:hAnsi="Century" w:cs="Miriam"/>
          <w:b/>
          <w:spacing w:val="0"/>
          <w:szCs w:val="24"/>
          <w:u w:val="single"/>
          <w:rtl/>
        </w:rPr>
        <w:t xml:space="preserve"> </w:t>
      </w:r>
      <w:r>
        <w:rPr>
          <w:rFonts w:ascii="Century" w:hAnsi="Century" w:cs="Miriam"/>
          <w:b/>
          <w:spacing w:val="0"/>
          <w:szCs w:val="24"/>
          <w:u w:val="single"/>
          <w:rtl/>
        </w:rPr>
        <w:t>גילה כנפי-שטייניץ</w:t>
      </w:r>
      <w:r w:rsidRPr="00E311E6">
        <w:rPr>
          <w:rFonts w:ascii="Century" w:hAnsi="Century" w:cs="Miriam"/>
          <w:b/>
          <w:spacing w:val="0"/>
          <w:szCs w:val="24"/>
          <w:u w:val="single"/>
          <w:rtl/>
        </w:rPr>
        <w:t>:</w:t>
      </w:r>
    </w:p>
    <w:p w14:paraId="73BAFF24" w14:textId="77777777" w:rsidR="00694556" w:rsidRPr="00E311E6" w:rsidRDefault="00694556" w:rsidP="00E311E6">
      <w:pPr>
        <w:spacing w:line="360" w:lineRule="auto"/>
        <w:jc w:val="both"/>
        <w:rPr>
          <w:rFonts w:ascii="FrankRuehl" w:hAnsi="FrankRuehl" w:cs="FrankRuehl"/>
          <w:spacing w:val="10"/>
          <w:sz w:val="28"/>
          <w:szCs w:val="28"/>
          <w:rtl/>
        </w:rPr>
      </w:pPr>
    </w:p>
    <w:p w14:paraId="67DAFE17" w14:textId="77777777" w:rsidR="00033FEA" w:rsidRDefault="00000000" w:rsidP="00C3630B">
      <w:pPr>
        <w:pStyle w:val="Ruller41"/>
      </w:pPr>
      <w:r>
        <w:rPr>
          <w:rtl/>
        </w:rPr>
        <w:tab/>
        <w:t xml:space="preserve">לפנינו ערעור על פסק דינו של בית המשפט המחוזי תל אביב-יפו (השופט העמית </w:t>
      </w:r>
      <w:r>
        <w:rPr>
          <w:rFonts w:ascii="Century" w:hAnsi="Century" w:cs="Miriam"/>
          <w:b/>
          <w:spacing w:val="0"/>
          <w:szCs w:val="24"/>
          <w:rtl/>
        </w:rPr>
        <w:t>י' פרגו</w:t>
      </w:r>
      <w:r>
        <w:rPr>
          <w:rtl/>
        </w:rPr>
        <w:t>) מיום 9.3.2023 ב</w:t>
      </w:r>
      <w:hyperlink r:id="rId8" w:history="1">
        <w:r w:rsidR="004B1D70" w:rsidRPr="004B1D70">
          <w:rPr>
            <w:color w:val="0000FF"/>
            <w:u w:val="single"/>
            <w:rtl/>
          </w:rPr>
          <w:t>ת"א 71461-12-20</w:t>
        </w:r>
      </w:hyperlink>
      <w:r>
        <w:rPr>
          <w:rtl/>
        </w:rPr>
        <w:t xml:space="preserve"> </w:t>
      </w:r>
      <w:r w:rsidR="00C3630B">
        <w:rPr>
          <w:rFonts w:hint="cs"/>
          <w:rtl/>
        </w:rPr>
        <w:t xml:space="preserve">[נבו]. </w:t>
      </w:r>
      <w:r>
        <w:rPr>
          <w:rtl/>
        </w:rPr>
        <w:t>בפסק הדין נדחתה תביעת המערערת לביטול שני הסכמים לרכישת יחידות נופש שכרתה עם המשיבה 1, ולהשבת התמורה בסך של 3,500,000 ₪ ששילמה בגינן.</w:t>
      </w:r>
    </w:p>
    <w:p w14:paraId="5752957E" w14:textId="77777777" w:rsidR="00033FEA" w:rsidRDefault="00033FEA" w:rsidP="00033FEA">
      <w:pPr>
        <w:pStyle w:val="Ruller41"/>
        <w:rPr>
          <w:rtl/>
        </w:rPr>
      </w:pPr>
    </w:p>
    <w:p w14:paraId="163DD426" w14:textId="77777777" w:rsidR="00033FEA" w:rsidRDefault="00000000" w:rsidP="00033FEA">
      <w:pPr>
        <w:pStyle w:val="Ruller41"/>
        <w:rPr>
          <w:rFonts w:ascii="Century" w:hAnsi="Century" w:cs="Miriam"/>
          <w:b/>
          <w:spacing w:val="0"/>
          <w:szCs w:val="24"/>
          <w:rtl/>
        </w:rPr>
      </w:pPr>
      <w:r>
        <w:rPr>
          <w:rFonts w:ascii="Century" w:hAnsi="Century" w:cs="Miriam"/>
          <w:b/>
          <w:spacing w:val="0"/>
          <w:szCs w:val="24"/>
          <w:rtl/>
        </w:rPr>
        <w:t>רקע עובדתי</w:t>
      </w:r>
    </w:p>
    <w:p w14:paraId="5D007352" w14:textId="77777777" w:rsidR="00033FEA" w:rsidRDefault="00033FEA" w:rsidP="00033FEA">
      <w:pPr>
        <w:pStyle w:val="Ruller41"/>
        <w:rPr>
          <w:rFonts w:ascii="Century" w:hAnsi="Century" w:cs="Miriam"/>
          <w:b/>
          <w:spacing w:val="0"/>
          <w:szCs w:val="24"/>
          <w:rtl/>
        </w:rPr>
      </w:pPr>
    </w:p>
    <w:p w14:paraId="7554EF7F" w14:textId="77777777" w:rsidR="00033FEA" w:rsidRDefault="00000000" w:rsidP="00033FEA">
      <w:pPr>
        <w:pStyle w:val="Ruller4"/>
        <w:rPr>
          <w:rtl/>
        </w:rPr>
      </w:pPr>
      <w:r>
        <w:rPr>
          <w:rtl/>
        </w:rPr>
        <w:t xml:space="preserve">המערערת התקשרה עם המשיבה 1, בהסכמים לרכישת שתי יחידות נופש בפרויקט מלון סוויטות, הוא מלון איילנד, המצוי על חוף ימה של נתניה (להלן: </w:t>
      </w:r>
      <w:r>
        <w:rPr>
          <w:rFonts w:ascii="Century" w:hAnsi="Century" w:cs="Miriam"/>
          <w:b/>
          <w:spacing w:val="0"/>
          <w:sz w:val="22"/>
          <w:szCs w:val="24"/>
          <w:rtl/>
        </w:rPr>
        <w:t>מלון איילנד</w:t>
      </w:r>
      <w:r>
        <w:rPr>
          <w:rtl/>
        </w:rPr>
        <w:t xml:space="preserve"> או </w:t>
      </w:r>
      <w:r>
        <w:rPr>
          <w:rFonts w:ascii="Century" w:hAnsi="Century" w:cs="Miriam"/>
          <w:b/>
          <w:spacing w:val="0"/>
          <w:sz w:val="22"/>
          <w:szCs w:val="24"/>
          <w:rtl/>
        </w:rPr>
        <w:t>הפרויקט</w:t>
      </w:r>
      <w:r>
        <w:rPr>
          <w:rtl/>
        </w:rPr>
        <w:t xml:space="preserve">). המשיבה 1 (להלן: </w:t>
      </w:r>
      <w:r>
        <w:rPr>
          <w:rFonts w:ascii="Century" w:hAnsi="Century" w:cs="Miriam"/>
          <w:b/>
          <w:spacing w:val="0"/>
          <w:sz w:val="22"/>
          <w:szCs w:val="24"/>
          <w:rtl/>
        </w:rPr>
        <w:t>המשיבה</w:t>
      </w:r>
      <w:r>
        <w:rPr>
          <w:rtl/>
        </w:rPr>
        <w:t xml:space="preserve">) היא חברה יזמית אשר הקימה את הפרויקט, הכולל מלון סוויטות בן 30 קומות ו-137 יחידות נופש וכן שטחי מסחר, ובו </w:t>
      </w:r>
      <w:r>
        <w:rPr>
          <w:rtl/>
        </w:rPr>
        <w:lastRenderedPageBreak/>
        <w:t>מוצעים שירותים מלונאים שונים. המשיבים 2 ו-3 הם מנהליה של המשיבה, לגביהם נטען כי היו מעורבים במשא ומתן שהתנהל מול המערערת.</w:t>
      </w:r>
    </w:p>
    <w:p w14:paraId="5674CBC1" w14:textId="77777777" w:rsidR="00033FEA" w:rsidRDefault="00033FEA" w:rsidP="00033FEA">
      <w:pPr>
        <w:pStyle w:val="Ruller41"/>
        <w:rPr>
          <w:rtl/>
        </w:rPr>
      </w:pPr>
    </w:p>
    <w:p w14:paraId="59B98540" w14:textId="77777777" w:rsidR="00033FEA" w:rsidRDefault="00000000" w:rsidP="00033FEA">
      <w:pPr>
        <w:pStyle w:val="Ruller4"/>
        <w:rPr>
          <w:rtl/>
        </w:rPr>
      </w:pPr>
      <w:r>
        <w:rPr>
          <w:rtl/>
        </w:rPr>
        <w:t xml:space="preserve">בימים 5.6.2008 ו-22.7.2009 נחתמו בין המערערת לבין המשיבה שני הסכמי מכר זהים בתוכנם, לפיהם רכשה המערערת מן המשיבה שתי יחידות נופש בפרויקט (להלן גם: </w:t>
      </w:r>
      <w:r>
        <w:rPr>
          <w:rFonts w:ascii="Century" w:hAnsi="Century" w:cs="Miriam"/>
          <w:b/>
          <w:spacing w:val="0"/>
          <w:sz w:val="22"/>
          <w:szCs w:val="24"/>
          <w:rtl/>
        </w:rPr>
        <w:t>היחידות</w:t>
      </w:r>
      <w:r>
        <w:rPr>
          <w:rtl/>
        </w:rPr>
        <w:t>) – יחידה מס' 2203 ויחידה מס' 2204 – בסכום של 2 מיליון ₪ ו-1.5 מיליון ₪, בהתאמה. על פי תנאי ההסכם, רשאית המערערת לעשות שימוש ביחידות למשך פרק זמן של שלושה חודשים בשנה, ואילו ביתר ימות השנה, קרי משך תשעה חודשים, עליה להעמידן לטובת השכרה מלונאית לציבור הרחב, באמצעות חברת הניהול של המלון. עוד נקבע בהסכם כי עתיד להיחתם בין הרוכש לחברת הניהול הסכם ניהול מלונאי, שנוסחו צורף כנספח להסכם המכר ("הסכם לניהול מאגר יחידות"), ובו ייקבעו הוראות שונות הקשורות לאופן ניהול יחידות הנופש, בהן הוראות הנוגעות להשכרתן על-ידי חברת הניהול לציבור הרחב. להסכם המכר צורפו מספר מסמכים ונספחים נוספים עליהם אעמוד בהמשך.</w:t>
      </w:r>
    </w:p>
    <w:p w14:paraId="3D39D5CC" w14:textId="77777777" w:rsidR="00033FEA" w:rsidRDefault="00033FEA" w:rsidP="00033FEA">
      <w:pPr>
        <w:pStyle w:val="Ruller41"/>
        <w:rPr>
          <w:rtl/>
        </w:rPr>
      </w:pPr>
    </w:p>
    <w:p w14:paraId="6ECBBC03" w14:textId="77777777" w:rsidR="00033FEA" w:rsidRDefault="00000000" w:rsidP="00033FEA">
      <w:pPr>
        <w:pStyle w:val="Ruller4"/>
        <w:rPr>
          <w:rtl/>
        </w:rPr>
      </w:pPr>
      <w:r>
        <w:rPr>
          <w:rtl/>
        </w:rPr>
        <w:t xml:space="preserve">בנוסף להסכמי המכר, נערכו בין הצדדים שני מסמכים נוספים – שהם העומדים במוקד הערעור שלפנינו. במועד חתימת הסכם המכר הראשון, נערך מסמך שכותרתו "פרוטוקול מיום 5.6.2008" (להלן: </w:t>
      </w:r>
      <w:r>
        <w:rPr>
          <w:rFonts w:ascii="Century" w:hAnsi="Century" w:cs="Miriam"/>
          <w:b/>
          <w:spacing w:val="0"/>
          <w:sz w:val="22"/>
          <w:szCs w:val="24"/>
          <w:rtl/>
        </w:rPr>
        <w:t>הפרוטוקול</w:t>
      </w:r>
      <w:r>
        <w:rPr>
          <w:rtl/>
        </w:rPr>
        <w:t xml:space="preserve">), החתום על-ידי המשיבה ועל-ידי חברת נתון בע"מ, היא חברת הניהול שניהלה את המלון במועדים הרלוונטיים (להלן: </w:t>
      </w:r>
      <w:r>
        <w:rPr>
          <w:rFonts w:ascii="Century" w:hAnsi="Century" w:cs="Miriam"/>
          <w:b/>
          <w:spacing w:val="0"/>
          <w:szCs w:val="24"/>
          <w:rtl/>
        </w:rPr>
        <w:t>חברת הניהול</w:t>
      </w:r>
      <w:r>
        <w:rPr>
          <w:rtl/>
        </w:rPr>
        <w:t>). בפרוטוקול נקבע כדלקמן:</w:t>
      </w:r>
    </w:p>
    <w:p w14:paraId="18F8B52E" w14:textId="77777777" w:rsidR="00033FEA" w:rsidRDefault="00033FEA" w:rsidP="00033FEA">
      <w:pPr>
        <w:pStyle w:val="Ruller41"/>
        <w:rPr>
          <w:rtl/>
        </w:rPr>
      </w:pPr>
    </w:p>
    <w:p w14:paraId="184B6361" w14:textId="77777777" w:rsidR="00033FEA" w:rsidRDefault="00000000" w:rsidP="00033FEA">
      <w:pPr>
        <w:pStyle w:val="Ruller5"/>
        <w:rPr>
          <w:rtl/>
        </w:rPr>
      </w:pPr>
      <w:r>
        <w:rPr>
          <w:rtl/>
        </w:rPr>
        <w:t>"בעניין: תוספת להסכם ניהול מאגר יחידות (להלן: "הסכם ניהול") בפרויקט.</w:t>
      </w:r>
    </w:p>
    <w:p w14:paraId="1F304686" w14:textId="77777777" w:rsidR="00033FEA" w:rsidRDefault="00033FEA" w:rsidP="00033FEA">
      <w:pPr>
        <w:pStyle w:val="Ruller5"/>
        <w:rPr>
          <w:rtl/>
        </w:rPr>
      </w:pPr>
    </w:p>
    <w:p w14:paraId="1A0E44B2" w14:textId="77777777" w:rsidR="00033FEA" w:rsidRDefault="00000000" w:rsidP="00033FEA">
      <w:pPr>
        <w:pStyle w:val="Ruller5"/>
        <w:rPr>
          <w:rtl/>
        </w:rPr>
      </w:pPr>
      <w:r>
        <w:rPr>
          <w:rtl/>
        </w:rPr>
        <w:t>הצדדים הגיעו בזה להסכמה כדלקמן:</w:t>
      </w:r>
    </w:p>
    <w:p w14:paraId="306E151D" w14:textId="77777777" w:rsidR="00033FEA" w:rsidRDefault="00033FEA" w:rsidP="00033FEA">
      <w:pPr>
        <w:pStyle w:val="Ruller5"/>
        <w:rPr>
          <w:rtl/>
        </w:rPr>
      </w:pPr>
    </w:p>
    <w:p w14:paraId="0A2CD913" w14:textId="77777777" w:rsidR="00033FEA" w:rsidRDefault="00000000" w:rsidP="00033FEA">
      <w:pPr>
        <w:pStyle w:val="Ruller5"/>
        <w:numPr>
          <w:ilvl w:val="0"/>
          <w:numId w:val="2"/>
        </w:numPr>
        <w:ind w:right="1276"/>
        <w:rPr>
          <w:rtl/>
        </w:rPr>
      </w:pPr>
      <w:r>
        <w:rPr>
          <w:rtl/>
        </w:rPr>
        <w:t>תנוסח תוספת להסכם הניהול לפי העקרונות שלהלן:</w:t>
      </w:r>
    </w:p>
    <w:p w14:paraId="759051B7" w14:textId="77777777" w:rsidR="00033FEA" w:rsidRDefault="00033FEA" w:rsidP="00033FEA">
      <w:pPr>
        <w:pStyle w:val="Ruller5"/>
        <w:rPr>
          <w:rtl/>
        </w:rPr>
      </w:pPr>
    </w:p>
    <w:p w14:paraId="3C9BD2F1" w14:textId="77777777" w:rsidR="00033FEA" w:rsidRDefault="00000000" w:rsidP="00033FEA">
      <w:pPr>
        <w:pStyle w:val="Ruller5"/>
        <w:ind w:left="2004"/>
        <w:rPr>
          <w:rtl/>
        </w:rPr>
      </w:pPr>
      <w:r>
        <w:rPr>
          <w:rtl/>
        </w:rPr>
        <w:t>א. בעל יחידה בפרויקט יורשה לשכור באמצעות חב' הניהול את היחידה שבבעלותו לתקופות נוספות מעבר לזמן שעומדת לשימושו עפ"י הוראות היתר הבניה ו/או הוראות משרד התיירות בתנאים מיוחדים ובהתאם לנוהלים שנקבעו בהסכם הניהול.</w:t>
      </w:r>
    </w:p>
    <w:p w14:paraId="40F82BF6" w14:textId="77777777" w:rsidR="00033FEA" w:rsidRDefault="00033FEA" w:rsidP="00033FEA">
      <w:pPr>
        <w:pStyle w:val="Ruller5"/>
        <w:rPr>
          <w:rtl/>
        </w:rPr>
      </w:pPr>
    </w:p>
    <w:p w14:paraId="0BBB4FFE" w14:textId="77777777" w:rsidR="00033FEA" w:rsidRDefault="00000000" w:rsidP="00033FEA">
      <w:pPr>
        <w:pStyle w:val="Ruller5"/>
        <w:ind w:left="2004"/>
        <w:rPr>
          <w:rtl/>
        </w:rPr>
      </w:pPr>
      <w:r>
        <w:rPr>
          <w:rtl/>
        </w:rPr>
        <w:t>ב. הזכות הנ"ל הינה אך ורק לבעל היחידה כאמור ולבני משפחתו בדרגה ראשונה (הורים-צאצאים).</w:t>
      </w:r>
    </w:p>
    <w:p w14:paraId="2BF86BA9" w14:textId="77777777" w:rsidR="00033FEA" w:rsidRDefault="00033FEA" w:rsidP="00033FEA">
      <w:pPr>
        <w:pStyle w:val="Ruller5"/>
        <w:rPr>
          <w:rtl/>
        </w:rPr>
      </w:pPr>
    </w:p>
    <w:p w14:paraId="7447088F" w14:textId="77777777" w:rsidR="00033FEA" w:rsidRDefault="00000000" w:rsidP="00033FEA">
      <w:pPr>
        <w:pStyle w:val="Ruller5"/>
        <w:numPr>
          <w:ilvl w:val="0"/>
          <w:numId w:val="2"/>
        </w:numPr>
        <w:ind w:right="1276"/>
        <w:rPr>
          <w:rtl/>
        </w:rPr>
      </w:pPr>
      <w:r>
        <w:rPr>
          <w:rtl/>
        </w:rPr>
        <w:lastRenderedPageBreak/>
        <w:t>במקרה ומסיבה כלשהי לא תנוסח התוספת כאמור לעיל, פרוטוקול זה ישמש כתוספת בת תוקף לכל דבר ועניין בנוגע לכל ההסכמים שנחתמו ו/או יחתמו בפרויקט".</w:t>
      </w:r>
    </w:p>
    <w:p w14:paraId="642051CE" w14:textId="77777777" w:rsidR="00033FEA" w:rsidRDefault="00033FEA" w:rsidP="00033FEA">
      <w:pPr>
        <w:pStyle w:val="Ruller5"/>
        <w:rPr>
          <w:rtl/>
        </w:rPr>
      </w:pPr>
    </w:p>
    <w:p w14:paraId="46EF2F6A" w14:textId="77777777" w:rsidR="00033FEA" w:rsidRDefault="00000000" w:rsidP="00033FEA">
      <w:pPr>
        <w:pStyle w:val="Ruller4"/>
        <w:numPr>
          <w:ilvl w:val="0"/>
          <w:numId w:val="0"/>
        </w:numPr>
      </w:pPr>
      <w:r>
        <w:rPr>
          <w:rtl/>
        </w:rPr>
        <w:tab/>
        <w:t>בשולי הפרוטוקול צוין בכתב יד, במועד מאוחר יותר, כי "הנ"ל תקף גם לגבי הסכם נוסף מיום 22.7.2009 לגבי יחידה 2204".</w:t>
      </w:r>
    </w:p>
    <w:p w14:paraId="60FADEB5" w14:textId="77777777" w:rsidR="00033FEA" w:rsidRDefault="00033FEA" w:rsidP="00033FEA">
      <w:pPr>
        <w:pStyle w:val="Ruller41"/>
        <w:rPr>
          <w:rtl/>
        </w:rPr>
      </w:pPr>
    </w:p>
    <w:p w14:paraId="133EA07F" w14:textId="77777777" w:rsidR="00033FEA" w:rsidRDefault="00000000" w:rsidP="00033FEA">
      <w:pPr>
        <w:pStyle w:val="Ruller4"/>
        <w:numPr>
          <w:ilvl w:val="0"/>
          <w:numId w:val="0"/>
        </w:numPr>
        <w:rPr>
          <w:rtl/>
        </w:rPr>
      </w:pPr>
      <w:r>
        <w:rPr>
          <w:rtl/>
        </w:rPr>
        <w:tab/>
        <w:t>מסמך נוסף שאינו נושא תאריך, אך נחתם ככל הנראה באותו מועד, הוא מסמך הממוען למערערת שכותרתו "פרויקט האי בנתניה", החתום הן על-ידי מנכ"ל חברת הניהול, והן על-ידי המשיבה כמי שמסכימה לתוכנו</w:t>
      </w:r>
      <w:r>
        <w:rPr>
          <w:rFonts w:ascii="Arial" w:hAnsi="Arial"/>
          <w:rtl/>
        </w:rPr>
        <w:t xml:space="preserve"> ומתחייבת לפעול על פיו (להלן: </w:t>
      </w:r>
      <w:r>
        <w:rPr>
          <w:rFonts w:ascii="Century" w:hAnsi="Century" w:cs="Miriam"/>
          <w:b/>
          <w:spacing w:val="0"/>
          <w:szCs w:val="24"/>
          <w:rtl/>
        </w:rPr>
        <w:t>מכתב התנאים המיוחדים</w:t>
      </w:r>
      <w:r>
        <w:rPr>
          <w:rFonts w:ascii="Arial" w:hAnsi="Arial"/>
          <w:rtl/>
        </w:rPr>
        <w:t>)</w:t>
      </w:r>
      <w:r>
        <w:rPr>
          <w:rtl/>
        </w:rPr>
        <w:t>, בו צוינו הדברים הבאים:</w:t>
      </w:r>
    </w:p>
    <w:p w14:paraId="649FDA56" w14:textId="77777777" w:rsidR="00033FEA" w:rsidRDefault="00033FEA" w:rsidP="00033FEA">
      <w:pPr>
        <w:pStyle w:val="Ruller41"/>
        <w:rPr>
          <w:rtl/>
        </w:rPr>
      </w:pPr>
    </w:p>
    <w:p w14:paraId="638809E7" w14:textId="77777777" w:rsidR="00033FEA" w:rsidRDefault="00000000" w:rsidP="00033FEA">
      <w:pPr>
        <w:pStyle w:val="Ruller5"/>
        <w:rPr>
          <w:rtl/>
        </w:rPr>
      </w:pPr>
      <w:r>
        <w:rPr>
          <w:rtl/>
        </w:rPr>
        <w:t>"בהמשך לפרוטוקול הרצ"ב, הננו לאשר לך את הסכמת חברתנו שבמקרה המתואר בסעיפים א' ו-ב' של הפרוטוקול שבנדון, 'התנאים המיוחדים' כאמור בסעיף א' יהיו כדלקמן, ומתחייבים לפעול בהתאם:</w:t>
      </w:r>
    </w:p>
    <w:p w14:paraId="74F0DC00" w14:textId="77777777" w:rsidR="00033FEA" w:rsidRDefault="00033FEA" w:rsidP="00033FEA">
      <w:pPr>
        <w:pStyle w:val="Ruller5"/>
        <w:rPr>
          <w:rFonts w:ascii="Arial" w:hAnsi="Arial"/>
          <w:sz w:val="12"/>
          <w:szCs w:val="12"/>
          <w:rtl/>
        </w:rPr>
      </w:pPr>
    </w:p>
    <w:p w14:paraId="5734DA38" w14:textId="77777777" w:rsidR="00033FEA" w:rsidRDefault="00000000" w:rsidP="00033FEA">
      <w:pPr>
        <w:pStyle w:val="Ruller5"/>
        <w:numPr>
          <w:ilvl w:val="0"/>
          <w:numId w:val="3"/>
        </w:numPr>
        <w:ind w:right="1276"/>
        <w:rPr>
          <w:rFonts w:ascii="Arial" w:hAnsi="Arial"/>
          <w:rtl/>
        </w:rPr>
      </w:pPr>
      <w:r>
        <w:rPr>
          <w:rFonts w:ascii="Arial" w:hAnsi="Arial"/>
          <w:rtl/>
        </w:rPr>
        <w:t>ישולמו לחב' הניהול הוצאות אחזקה וכן החלק היחסי של הוצאות מאגר היחידות בלבד (ללא תוספת כלשהי) בהוראת קבע.</w:t>
      </w:r>
    </w:p>
    <w:p w14:paraId="21A477AE" w14:textId="77777777" w:rsidR="00033FEA" w:rsidRDefault="00000000" w:rsidP="00033FEA">
      <w:pPr>
        <w:pStyle w:val="Ruller5"/>
        <w:numPr>
          <w:ilvl w:val="0"/>
          <w:numId w:val="3"/>
        </w:numPr>
        <w:ind w:right="1276"/>
        <w:rPr>
          <w:rFonts w:ascii="Arial" w:hAnsi="Arial"/>
          <w:rtl/>
        </w:rPr>
      </w:pPr>
      <w:r>
        <w:rPr>
          <w:rFonts w:ascii="Arial" w:hAnsi="Arial"/>
          <w:rtl/>
        </w:rPr>
        <w:t>בעל היחידה לא יהיה זכאי בקבלת הכנסה כלשהי מניהול מאגר היחידות.</w:t>
      </w:r>
    </w:p>
    <w:p w14:paraId="3D8FFFD0" w14:textId="77777777" w:rsidR="00033FEA" w:rsidRDefault="00000000" w:rsidP="00033FEA">
      <w:pPr>
        <w:pStyle w:val="Ruller5"/>
        <w:numPr>
          <w:ilvl w:val="0"/>
          <w:numId w:val="3"/>
        </w:numPr>
        <w:ind w:right="1276"/>
        <w:rPr>
          <w:rFonts w:ascii="Arial" w:hAnsi="Arial"/>
        </w:rPr>
      </w:pPr>
      <w:r>
        <w:rPr>
          <w:rFonts w:ascii="Arial" w:hAnsi="Arial"/>
          <w:rtl/>
        </w:rPr>
        <w:t xml:space="preserve">סעיף 18.2 של הסכם האחזקה (היינו תוספת 1500$ לפקדון במקרה של אי העמדת היחידה לרשות המאגר) לא יהיה תקף כלפי בעלי היחידות שיכנסו להסדר הנ"ל". </w:t>
      </w:r>
    </w:p>
    <w:p w14:paraId="5855B1D7" w14:textId="77777777" w:rsidR="00033FEA" w:rsidRDefault="00033FEA" w:rsidP="00033FEA">
      <w:pPr>
        <w:pStyle w:val="Ruller5"/>
        <w:ind w:left="2004"/>
        <w:rPr>
          <w:rFonts w:ascii="Arial" w:hAnsi="Arial"/>
        </w:rPr>
      </w:pPr>
    </w:p>
    <w:p w14:paraId="6A9478CB" w14:textId="77777777" w:rsidR="00033FEA" w:rsidRDefault="00033FEA" w:rsidP="00033FEA">
      <w:pPr>
        <w:pStyle w:val="Ruller5"/>
        <w:ind w:left="2004"/>
        <w:rPr>
          <w:rFonts w:ascii="Arial" w:hAnsi="Arial"/>
        </w:rPr>
      </w:pPr>
    </w:p>
    <w:p w14:paraId="5CEAEEF8" w14:textId="77777777" w:rsidR="00033FEA" w:rsidRDefault="00000000" w:rsidP="00033FEA">
      <w:pPr>
        <w:pStyle w:val="Ruller4"/>
        <w:numPr>
          <w:ilvl w:val="0"/>
          <w:numId w:val="0"/>
        </w:numPr>
      </w:pPr>
      <w:r>
        <w:rPr>
          <w:rtl/>
        </w:rPr>
        <w:tab/>
        <w:t xml:space="preserve">לשם הנוחות, הפרוטוקול ומכתב התנאים המיוחדים, יכונו יחדיו להלן: </w:t>
      </w:r>
      <w:r>
        <w:rPr>
          <w:rFonts w:ascii="Century" w:hAnsi="Century" w:cs="Miriam"/>
          <w:b/>
          <w:spacing w:val="0"/>
          <w:sz w:val="22"/>
          <w:szCs w:val="24"/>
          <w:rtl/>
        </w:rPr>
        <w:t>ההסדר המיוחד</w:t>
      </w:r>
      <w:r>
        <w:rPr>
          <w:rtl/>
        </w:rPr>
        <w:t xml:space="preserve">. </w:t>
      </w:r>
    </w:p>
    <w:p w14:paraId="3BDE7729" w14:textId="77777777" w:rsidR="00033FEA" w:rsidRDefault="00033FEA" w:rsidP="00033FEA">
      <w:pPr>
        <w:pStyle w:val="Ruller41"/>
      </w:pPr>
    </w:p>
    <w:p w14:paraId="608E3C48" w14:textId="77777777" w:rsidR="00033FEA" w:rsidRDefault="00000000" w:rsidP="00033FEA">
      <w:pPr>
        <w:pStyle w:val="Ruller4"/>
        <w:numPr>
          <w:ilvl w:val="0"/>
          <w:numId w:val="0"/>
        </w:numPr>
        <w:rPr>
          <w:rtl/>
        </w:rPr>
      </w:pPr>
      <w:r>
        <w:rPr>
          <w:rtl/>
        </w:rPr>
        <w:tab/>
        <w:t xml:space="preserve">למען שלמות התמונה יצוין, כי המערערת נדרשה לחתום גם על מסמך "הצהרת סודיות", בו התחייבה לשמור ב"סודיות מוחלטת" את מכתב התנאים המיוחדים שהומצא לה (להלן: </w:t>
      </w:r>
      <w:r>
        <w:rPr>
          <w:rFonts w:ascii="Century" w:hAnsi="Century" w:cs="Miriam"/>
          <w:b/>
          <w:spacing w:val="0"/>
          <w:sz w:val="22"/>
          <w:szCs w:val="24"/>
          <w:rtl/>
        </w:rPr>
        <w:t>הצהרת הסודיות</w:t>
      </w:r>
      <w:r>
        <w:rPr>
          <w:rtl/>
        </w:rPr>
        <w:t xml:space="preserve">). </w:t>
      </w:r>
    </w:p>
    <w:p w14:paraId="4BAB6E92" w14:textId="77777777" w:rsidR="00033FEA" w:rsidRDefault="00033FEA" w:rsidP="00033FEA">
      <w:pPr>
        <w:pStyle w:val="Ruller41"/>
        <w:rPr>
          <w:rtl/>
        </w:rPr>
      </w:pPr>
    </w:p>
    <w:p w14:paraId="0ABDBDC5" w14:textId="77777777" w:rsidR="00033FEA" w:rsidRDefault="00000000" w:rsidP="00C3630B">
      <w:pPr>
        <w:pStyle w:val="Ruller4"/>
        <w:rPr>
          <w:rtl/>
        </w:rPr>
      </w:pPr>
      <w:r>
        <w:rPr>
          <w:rtl/>
        </w:rPr>
        <w:t xml:space="preserve">אין חולק כי ממועד מסירת יחידות הנופש לחזקתה של המערערת, ובין השנים 2016-2010, עמדו שתי יחידות הנופש לשימושה של המערערת לאורך כל ימות השנה. זאת, מבלי שהיא נדרשה להעמידן לרשות חברת הניהול לצורך השכרתן לציבור </w:t>
      </w:r>
      <w:r>
        <w:rPr>
          <w:rtl/>
        </w:rPr>
        <w:lastRenderedPageBreak/>
        <w:t xml:space="preserve">לשימוש מלונאי. בשנת 2016 חל מפנה במצבה של המערערת לאחר שהוגשה לבית המשפט המחוזי בתל אביב-יפו על-ידי חברת הניהול בקשה להקפאת הליכים ולאישור הסדר נושים (ראו: </w:t>
      </w:r>
      <w:hyperlink r:id="rId9" w:history="1">
        <w:r w:rsidR="004B1D70" w:rsidRPr="004B1D70">
          <w:rPr>
            <w:rFonts w:hint="eastAsia"/>
            <w:color w:val="0000FF"/>
            <w:u w:val="single"/>
            <w:rtl/>
          </w:rPr>
          <w:t>פר</w:t>
        </w:r>
        <w:r w:rsidR="004B1D70" w:rsidRPr="004B1D70">
          <w:rPr>
            <w:color w:val="0000FF"/>
            <w:u w:val="single"/>
            <w:rtl/>
          </w:rPr>
          <w:t>"</w:t>
        </w:r>
        <w:r w:rsidR="004B1D70" w:rsidRPr="004B1D70">
          <w:rPr>
            <w:rFonts w:hint="eastAsia"/>
            <w:color w:val="0000FF"/>
            <w:u w:val="single"/>
            <w:rtl/>
          </w:rPr>
          <w:t>ק</w:t>
        </w:r>
        <w:r w:rsidR="004B1D70" w:rsidRPr="004B1D70">
          <w:rPr>
            <w:color w:val="0000FF"/>
            <w:u w:val="single"/>
            <w:rtl/>
          </w:rPr>
          <w:t xml:space="preserve"> 64485-</w:t>
        </w:r>
        <w:bookmarkStart w:id="10" w:name="_Hlt175129353"/>
        <w:r w:rsidR="004B1D70" w:rsidRPr="004B1D70">
          <w:rPr>
            <w:color w:val="0000FF"/>
            <w:u w:val="single"/>
            <w:rtl/>
          </w:rPr>
          <w:t>1</w:t>
        </w:r>
        <w:bookmarkEnd w:id="10"/>
        <w:r w:rsidR="004B1D70" w:rsidRPr="004B1D70">
          <w:rPr>
            <w:color w:val="0000FF"/>
            <w:u w:val="single"/>
            <w:rtl/>
          </w:rPr>
          <w:t>2-15</w:t>
        </w:r>
      </w:hyperlink>
      <w:r w:rsidR="00C3630B">
        <w:rPr>
          <w:rFonts w:hint="cs"/>
          <w:rtl/>
        </w:rPr>
        <w:t>,</w:t>
      </w:r>
      <w:r>
        <w:rPr>
          <w:rtl/>
        </w:rPr>
        <w:t xml:space="preserve"> </w:t>
      </w:r>
      <w:r w:rsidR="00C3630B">
        <w:rPr>
          <w:rFonts w:hint="cs"/>
          <w:rtl/>
        </w:rPr>
        <w:t xml:space="preserve">[נבו] </w:t>
      </w:r>
      <w:r>
        <w:rPr>
          <w:rtl/>
        </w:rPr>
        <w:t xml:space="preserve">להלן: </w:t>
      </w:r>
      <w:r>
        <w:rPr>
          <w:rFonts w:ascii="Century" w:hAnsi="Century" w:cs="Miriam"/>
          <w:b/>
          <w:spacing w:val="0"/>
          <w:sz w:val="22"/>
          <w:szCs w:val="24"/>
          <w:rtl/>
        </w:rPr>
        <w:t>הליך הפירוק</w:t>
      </w:r>
      <w:r>
        <w:rPr>
          <w:rtl/>
        </w:rPr>
        <w:t xml:space="preserve">). בעקבות פתיחת ההליך מונה נאמן והוחלפה חברת הניהול. בגדרו של ההליך הגיש הנאמן בקשה לבית משפט של פירוק ובה עתר לחייב את בעלי היחידות שלא מסרו את יחידותיהם לחברת הניהול לצורך השכרתן, בהם המערערת, לפנותן לאלתר ולהשיבן לחברת הניהול על מנת לאפשר השכרתן. בהחלטתו מיום 6.11.2016, קיבל בית המשפט המחוזי את עמדת הנאמן, שלפיה יחידות הנופש אמורות לעמוד לרשות המאגר המלונאי של חברת הניהול, למעט שלושה חודשים בשנה, שבהם אלה תהיינה בשימוש הרוכשים, והורה על מתן צו </w:t>
      </w:r>
      <w:r>
        <w:rPr>
          <w:rFonts w:ascii="Century" w:hAnsi="Century" w:cs="Miriam"/>
          <w:b/>
          <w:spacing w:val="0"/>
          <w:sz w:val="22"/>
          <w:szCs w:val="24"/>
          <w:rtl/>
        </w:rPr>
        <w:t>"האוכף על בעלי היחידות למסור אותן למאגר המלונאי"</w:t>
      </w:r>
      <w:r>
        <w:rPr>
          <w:rtl/>
        </w:rPr>
        <w:t>.</w:t>
      </w:r>
    </w:p>
    <w:p w14:paraId="2C25E32B" w14:textId="77777777" w:rsidR="00033FEA" w:rsidRDefault="00033FEA" w:rsidP="00033FEA">
      <w:pPr>
        <w:pStyle w:val="Ruller41"/>
      </w:pPr>
    </w:p>
    <w:p w14:paraId="4488AFBA" w14:textId="77777777" w:rsidR="00033FEA" w:rsidRDefault="00000000" w:rsidP="00033FEA">
      <w:pPr>
        <w:pStyle w:val="Ruller4"/>
        <w:rPr>
          <w:rtl/>
        </w:rPr>
      </w:pPr>
      <w:r>
        <w:rPr>
          <w:rtl/>
        </w:rPr>
        <w:t>בחלוף כארבע שנים לערך, ביום 30.12.2020, הגישה המערערת את התביעה העומדת ביסוד הערעור שלפנינו. המערערת עתרה בתביעתה להורות על ביטול הסכמי המכר עליהם חתמה ולהשבת התמורה ששולמה מכוחם. המערערת ביססה את תב</w:t>
      </w:r>
      <w:r w:rsidR="001A4EAD">
        <w:rPr>
          <w:rtl/>
        </w:rPr>
        <w:t xml:space="preserve">יעתה על הטענה כי המשיבים הציגו </w:t>
      </w:r>
      <w:r w:rsidR="001A4EAD">
        <w:rPr>
          <w:rFonts w:hint="cs"/>
          <w:rtl/>
        </w:rPr>
        <w:t>ב</w:t>
      </w:r>
      <w:r>
        <w:rPr>
          <w:rtl/>
        </w:rPr>
        <w:t xml:space="preserve">פניה מצגים לפיהם הסכם המכר הוא חוזה פורמלי שהוראותיו תואמות את הוראות התב"ע והוראות משרד התיירות, שנחתם למראית עין בלבד, תוך שהובטח לה כי המגבלות שבהסכם זה לא ימנעו ממנה לעשות שימוש של קבע ביחידותיה לאורך כל ימות השנה. המערערת תמכה את עמדתה, בין היתר, בהבטחות שנמסרו לה בעל-פה ובהסדר המיוחד שהוצג לעיל, וטענה כי המשיבים הציגו מסמכים אלה כאסמכתה להתחייבותם לאפשר לה שימוש ייחודי ללא הפרעה ביחידותיה. נטען אפוא כי הסכמי המכר הם חוזים למראית עין בלבד, בעוד שההסדר המיוחד הוא החוזה האמיתי שנכרת בין הצדדים, ולפיכך דינם של הסכמי המכר – בטלות. בהקשר זה נטען כי הצהרת הסודיות, עליה נדרשה המערערת לחתום, נועדה להסתיר את התנהלותם הבלתי-חוקית של המשיבים בכל הקשור להוראות ההיתר ולאופן ניהול הפרויקט המלונאי. לחלופין נטען, כי המשיבים הפרו את הוראות הסכמי המכר הפרה יסודית באי-רישום הבניין מושא הפרויקט כבית משותף בהתאם להוראות הסכם המכר, הפרה המזכה את המערערת בסעד של ביטול ההסכמים והשבת התמורה. </w:t>
      </w:r>
    </w:p>
    <w:p w14:paraId="4ACA5ADF" w14:textId="77777777" w:rsidR="00033FEA" w:rsidRDefault="00033FEA" w:rsidP="00033FEA">
      <w:pPr>
        <w:pStyle w:val="Ruller41"/>
        <w:rPr>
          <w:rtl/>
        </w:rPr>
      </w:pPr>
    </w:p>
    <w:p w14:paraId="500CF0DB" w14:textId="77777777" w:rsidR="00033FEA" w:rsidRDefault="00000000" w:rsidP="00033FEA">
      <w:pPr>
        <w:pStyle w:val="Ruller4"/>
        <w:rPr>
          <w:rtl/>
        </w:rPr>
      </w:pPr>
      <w:r>
        <w:rPr>
          <w:rtl/>
        </w:rPr>
        <w:t xml:space="preserve">המשיבים טענו כי דין התביעה להידחות, הן על הסף מחמת התיישנות ושיהוי, והן לגופה. המשיבים טענו כי כבר בעת המשא ומתן הובהר למערערת במפורש שאין מדובר ביחידות למגורי קבע, אלא ביחידות נופש המהוות חלק מן המאגר המלונאי המצוי בשליטת חברת הניהול. המשיבים הפנו להוראות שונות בהסכם המכר ובנספחים </w:t>
      </w:r>
      <w:r>
        <w:rPr>
          <w:rtl/>
        </w:rPr>
        <w:lastRenderedPageBreak/>
        <w:t xml:space="preserve">שצורפו לו – בהן נקבע כי המערערת רשאית לעשות שימוש ביחידות משך תקופה שלא תעלה על שלושה חודשים בשנה במצטבר. באשר להסדר המיוחד טענו המשיבים, כי טענות המערערת מבוססות על פרשנות שגויה של מסמכי ההסדר המיוחד, אשר אינו גורע מהוראות הסכם המכר. נטען כי בעת שנחתמו הסכמי המכר המצב המשפטי בכל הנוגע למשך התקופה בה יידרשו הרוכשים להעמיד את היחידות לטובת המאגר המלונאי לא היה סופי – מצד אחד פסיקת בית המשפט העליון קבעה כי נדרש להעמיד את היחידות לטובת השכרה מלונאית לתקופה העולה על מחצית השנה, ומצד שני, עמדת משרד התיירות הייתה כי יש להעמידן להשכרה מלונאית למשך תשעה חודשים בשנה. המשיבים טענו, כי ההסדר המיוחד נועד לגשר על הפער שנוצר בין העמדות השונות (תקופה של כשלושה חודשים) מתוך ציפייה ל"יישור קו" ביניהן, ולהסדיר את אפשרות המערערת לשכור את יחידות הנופש מחברת הניהול לתקופות נוספות בתנאים מוסכמים מראש. עם זאת הודגש, כי אין מדובר בהסכמה ל"דיור קבע" או בפטור מן החובה להעמיד את היחידות להשכרה כחלק מן המאגר המלונאי, אלא בהסדר המאפשר למערערת לשכור את היחידות מבלי לחרוג ממגבלת השימוש שנקבעה לשיטתה בפסיקתו של בית המשפט העליון, היינו עד ששה חודשים פחות יום. כן צוין כי ההטבה שניתנה למערערת מתבטאת בהנחה בעלויות השכירות, הא ותו לא. </w:t>
      </w:r>
    </w:p>
    <w:p w14:paraId="1B80E537" w14:textId="77777777" w:rsidR="00033FEA" w:rsidRDefault="00033FEA" w:rsidP="00033FEA">
      <w:pPr>
        <w:pStyle w:val="Ruller41"/>
        <w:rPr>
          <w:rtl/>
        </w:rPr>
      </w:pPr>
    </w:p>
    <w:p w14:paraId="3AE638C9" w14:textId="77777777" w:rsidR="00033FEA" w:rsidRDefault="00000000" w:rsidP="00033FEA">
      <w:pPr>
        <w:pStyle w:val="Ruller41"/>
        <w:rPr>
          <w:rFonts w:ascii="Century" w:hAnsi="Century" w:cs="Miriam"/>
          <w:b/>
          <w:spacing w:val="0"/>
          <w:szCs w:val="24"/>
          <w:rtl/>
        </w:rPr>
      </w:pPr>
      <w:r>
        <w:rPr>
          <w:rFonts w:ascii="Century" w:hAnsi="Century" w:cs="Miriam"/>
          <w:b/>
          <w:spacing w:val="0"/>
          <w:szCs w:val="24"/>
          <w:rtl/>
        </w:rPr>
        <w:t>עיקרי פסק הדין של בית המשפט המחוזי</w:t>
      </w:r>
    </w:p>
    <w:p w14:paraId="2D1D4DA3" w14:textId="77777777" w:rsidR="00033FEA" w:rsidRDefault="00033FEA" w:rsidP="00033FEA">
      <w:pPr>
        <w:pStyle w:val="Ruller41"/>
        <w:rPr>
          <w:rtl/>
        </w:rPr>
      </w:pPr>
    </w:p>
    <w:p w14:paraId="58383F27" w14:textId="77777777" w:rsidR="00033FEA" w:rsidRDefault="00000000" w:rsidP="00033FEA">
      <w:pPr>
        <w:pStyle w:val="Ruller4"/>
        <w:rPr>
          <w:rtl/>
        </w:rPr>
      </w:pPr>
      <w:r>
        <w:rPr>
          <w:rtl/>
        </w:rPr>
        <w:t>בפסק דינו, העומד במוקד הערעור דנן, דחה בית המשפט המחוזי את תביעתה של המערערת. בית המשפט המחוזי קבע, על יסוד הסכמי המכר ונספחיהם, כי בעת שחתמה על הסכמי המכר, ידעה המערערת שזכויות המגורים שרכשה בשתי היחידות מוגבלות וקצובות למספר חודשים בשנה. בית המשפט המחוזי הוסיף ודחה את</w:t>
      </w:r>
      <w:r w:rsidR="001A4EAD">
        <w:rPr>
          <w:rtl/>
        </w:rPr>
        <w:t xml:space="preserve"> טענת המערערת כי המשיבים הציגו </w:t>
      </w:r>
      <w:r w:rsidR="001A4EAD">
        <w:rPr>
          <w:rFonts w:hint="cs"/>
          <w:rtl/>
        </w:rPr>
        <w:t>ב</w:t>
      </w:r>
      <w:r>
        <w:rPr>
          <w:rtl/>
        </w:rPr>
        <w:t xml:space="preserve">פניה מצג שלפיו היא ובנה יוכלו להתגורר ביחידות דרך קבע בכל ימות השנה, ללא הגבלה. בית המשפט המחוזי עמד בפסק דינו על תניותיהם השונות של הסכם המכר והנספחים שצורפו לו, וקבע כי מדובר במסמכים המבהירים בצורה ברורה ומפורשת כי מדובר בפרויקט מסוג מלון סוויטות הכפוף להוראות משרד התיירות, לפיהן </w:t>
      </w:r>
      <w:r>
        <w:rPr>
          <w:rFonts w:ascii="Arial" w:hAnsi="Arial"/>
          <w:rtl/>
        </w:rPr>
        <w:t xml:space="preserve">שהיית הרוכשים ביחידות מוגבלת למספר חודשים בשנה, כאשר ביתר ימות השנה הן יועמדו לרשות המאגר המלונאי </w:t>
      </w:r>
      <w:r>
        <w:rPr>
          <w:rtl/>
        </w:rPr>
        <w:t>ויושכרו לציבור הרחב. כן הודגש כי בעת ההתקשרות החוזית הייתה המערערת מיוצגת על-ידי עורך דין המתמחה בעסקאות נדל"ן (אשר בינתיים הלך לבית עולמו), אשר ניהל עבורה משא ומתן ממושך עם המשיבים ואף השיג לה תנאים מיטיבים, כך שבנסיבות אלה קשה לקבל את הטענה כי היא לא הייתה מודעת למגבלת השימוש הנדונה. עוד ייחס בית המשפט המחוזי משקל</w:t>
      </w:r>
      <w:r w:rsidR="001A4EAD">
        <w:rPr>
          <w:rFonts w:hint="cs"/>
          <w:rtl/>
        </w:rPr>
        <w:t>,</w:t>
      </w:r>
      <w:r>
        <w:rPr>
          <w:rtl/>
        </w:rPr>
        <w:t xml:space="preserve"> </w:t>
      </w:r>
      <w:r>
        <w:rPr>
          <w:rtl/>
        </w:rPr>
        <w:lastRenderedPageBreak/>
        <w:t>לחובת המערערת</w:t>
      </w:r>
      <w:r w:rsidR="001A4EAD">
        <w:rPr>
          <w:rFonts w:hint="cs"/>
          <w:rtl/>
        </w:rPr>
        <w:t>,</w:t>
      </w:r>
      <w:r>
        <w:rPr>
          <w:rtl/>
        </w:rPr>
        <w:t xml:space="preserve"> להגשת התביעה רק בחלוף כארבע שנים מן המועד בו נדרשה להעמיד את יחידותיה לרשות המאגר המלונאי, תוך שציין כי הסבריה של המערערת להשתהותה האמורה, הנעוצים בפטירתו של בעלה המנוח בשנת 2017 והסדרת הנדרש לייצוגה, </w:t>
      </w:r>
      <w:r>
        <w:rPr>
          <w:rFonts w:ascii="Century" w:hAnsi="Century" w:cs="Miriam"/>
          <w:b/>
          <w:spacing w:val="0"/>
          <w:sz w:val="22"/>
          <w:szCs w:val="24"/>
          <w:rtl/>
        </w:rPr>
        <w:t>"רחוקים מלשכנע"</w:t>
      </w:r>
      <w:r>
        <w:rPr>
          <w:rtl/>
        </w:rPr>
        <w:t xml:space="preserve">. </w:t>
      </w:r>
    </w:p>
    <w:p w14:paraId="00DBAC50" w14:textId="77777777" w:rsidR="00033FEA" w:rsidRDefault="00033FEA" w:rsidP="00033FEA">
      <w:pPr>
        <w:pStyle w:val="Ruller41"/>
        <w:rPr>
          <w:rtl/>
        </w:rPr>
      </w:pPr>
    </w:p>
    <w:p w14:paraId="066E372F" w14:textId="77777777" w:rsidR="00033FEA" w:rsidRDefault="00000000" w:rsidP="00033FEA">
      <w:pPr>
        <w:pStyle w:val="Ruller4"/>
        <w:rPr>
          <w:rtl/>
        </w:rPr>
      </w:pPr>
      <w:r>
        <w:rPr>
          <w:rtl/>
        </w:rPr>
        <w:t xml:space="preserve">בכל המתייחס למסמכי ההסדר המיוחד – הם הפרוטוקול ומכתב התנאים המיוחדים – קיבל בית המשפט המחוזי את הסברי המשיבים, לפיהם מסמכים אלו נועדו לגשר על הפער שנוצר בין תקופת השימוש המותרת על-פי פסיקת בית המשפט העליון לתקופת השימוש המותרת לפי עמדת משרד התיירות. בית המשפט המחוזי קבע כי אין במסמכי ההסדר עוגן לטענה לפיה הורשתה המערערת להתגורר ביחידות שבבעלותה דרך קבע משך כל ימות השנה, אלא ההיפך הוא הנכון: הובהר במסמכים האמורים שהזכות לעשות שימוש ביחידה מעבר לשלושה חודשים היא זכות מסוג שכירות ולא בעלות. בכל המתייחס לתנאי השכירות בתקופה הנוספת קבע בית המשפט המחוזי כי בתקופה זו, מחד גיסא, אין המערערת זכאית לקבלת הכנסה מניהול מאגר היחידות שכן היא 'שוכרת' את היחידה בפטור מתשלום דמי שכירות, ומאידך גיסא, היא </w:t>
      </w:r>
      <w:r>
        <w:rPr>
          <w:rFonts w:cs="Miriam"/>
          <w:b/>
          <w:spacing w:val="0"/>
          <w:sz w:val="22"/>
          <w:szCs w:val="24"/>
          <w:rtl/>
        </w:rPr>
        <w:t>"אינה זכאית לקבל את חלקה מ-75% מהרווחים המחולקים לבעלי היחידות אשר העמידו את דירותיהם להשכרה ו'העשירו' את ה'קופה המשותפת'"</w:t>
      </w:r>
      <w:r>
        <w:rPr>
          <w:rtl/>
        </w:rPr>
        <w:t xml:space="preserve">. כן קבע כי </w:t>
      </w:r>
      <w:r>
        <w:rPr>
          <w:rFonts w:cs="Miriam"/>
          <w:b/>
          <w:spacing w:val="0"/>
          <w:sz w:val="22"/>
          <w:szCs w:val="24"/>
          <w:rtl/>
        </w:rPr>
        <w:t>"פטור מתשלום דמי שכירות, לא משחרר את [המערערת] מתשלום דמי אחזקה שהרי היא מתגוררת בדירה"</w:t>
      </w:r>
      <w:r>
        <w:rPr>
          <w:rtl/>
        </w:rPr>
        <w:t>. אשר למגוריה בפועל של המערערת ביחידות הנופש ממועד מסירתן ועד לשנת 2016 ברציפות – נקבע כי עובדה זו אינה מלמדת על זכות למגורי קבע כנטען על-ידה, כי אם על תפקוד לקוי של חברת הניהול.</w:t>
      </w:r>
    </w:p>
    <w:p w14:paraId="4D47A971" w14:textId="77777777" w:rsidR="00033FEA" w:rsidRDefault="00033FEA" w:rsidP="00033FEA">
      <w:pPr>
        <w:pStyle w:val="Ruller41"/>
        <w:rPr>
          <w:rtl/>
        </w:rPr>
      </w:pPr>
    </w:p>
    <w:p w14:paraId="513C2F32" w14:textId="77777777" w:rsidR="00033FEA" w:rsidRDefault="00000000" w:rsidP="00033FEA">
      <w:pPr>
        <w:pStyle w:val="Ruller4"/>
        <w:rPr>
          <w:rtl/>
        </w:rPr>
      </w:pPr>
      <w:r>
        <w:rPr>
          <w:rtl/>
        </w:rPr>
        <w:t xml:space="preserve">ולבסוף, באשר לטענות הנוגעות לרישום היחידות במרשם המקרקעין – בית המשפט המחוזי דחה את טענת המערערת להפרת הסכמי המכר, משמצא כי בעת שמיעת הראיות כבר נרשמו יחידות הנופש במרשם המקרקעין על שם בעליהן, ומשלא הוכח כי הרישום המאוחר גרם נזק כלשהו למערערת. כן נדחתה טענת המערערת לרישום חסר של יחידותיה, משעה שטענה זו לא הועלתה בכתב התביעה ולא נמסרה עדות בעניינה. </w:t>
      </w:r>
    </w:p>
    <w:p w14:paraId="0CEB7546" w14:textId="77777777" w:rsidR="00033FEA" w:rsidRDefault="00033FEA" w:rsidP="00033FEA">
      <w:pPr>
        <w:pStyle w:val="Ruller41"/>
        <w:rPr>
          <w:rFonts w:ascii="Century" w:hAnsi="Century" w:cs="Miriam"/>
          <w:b/>
          <w:spacing w:val="0"/>
          <w:szCs w:val="24"/>
        </w:rPr>
      </w:pPr>
    </w:p>
    <w:p w14:paraId="3FFEA551" w14:textId="77777777" w:rsidR="00033FEA" w:rsidRDefault="00000000" w:rsidP="00033FEA">
      <w:pPr>
        <w:pStyle w:val="Ruller41"/>
        <w:rPr>
          <w:rFonts w:ascii="Century" w:hAnsi="Century" w:cs="Miriam"/>
          <w:b/>
          <w:spacing w:val="0"/>
          <w:szCs w:val="24"/>
          <w:rtl/>
        </w:rPr>
      </w:pPr>
      <w:r>
        <w:rPr>
          <w:rFonts w:ascii="Century" w:hAnsi="Century" w:cs="Miriam"/>
          <w:b/>
          <w:spacing w:val="0"/>
          <w:szCs w:val="24"/>
          <w:rtl/>
        </w:rPr>
        <w:t>תמצית טענות הצדדים בערעור</w:t>
      </w:r>
    </w:p>
    <w:p w14:paraId="2718F8AF" w14:textId="77777777" w:rsidR="00033FEA" w:rsidRDefault="00033FEA" w:rsidP="00033FEA">
      <w:pPr>
        <w:pStyle w:val="Ruller41"/>
        <w:rPr>
          <w:rtl/>
        </w:rPr>
      </w:pPr>
    </w:p>
    <w:p w14:paraId="04090667" w14:textId="77777777" w:rsidR="00033FEA" w:rsidRDefault="00000000" w:rsidP="00033FEA">
      <w:pPr>
        <w:pStyle w:val="Ruller4"/>
        <w:rPr>
          <w:rtl/>
        </w:rPr>
      </w:pPr>
      <w:r>
        <w:rPr>
          <w:rtl/>
        </w:rPr>
        <w:t xml:space="preserve">בערעורה שבה המערערת על טענותיה כפי שהועלו לפני הערכאה קמא, וטוענת כי הסכמי המכר ויתר המסמכים הנלווים הם בבחינת חוזה למראית עין בלבד </w:t>
      </w:r>
      <w:r>
        <w:rPr>
          <w:rtl/>
        </w:rPr>
        <w:lastRenderedPageBreak/>
        <w:t>שדינם בטלות. המערערת מעגנת את ערעורה במסמכי ההסדר המיוחד וטוענת כי אלה נועדו ליצור הסדר החורג מהנחיות משרד התיירות והיתר הבניה שניתן למשיבה. הסדר זה, כך לטענתה, הקנה לה זכות להתגורר ביחידות דרך קבע, ללא מגבלת זמן וללא תוספת תשלום, למעט התשלומים הקבועים בגין אחזקה וניהול. המערערת סומכת את טענתה בהקשר זה גם על הצהרת הסודיות, שנועדה לטענתה לשמור על ההסדר המיוחד במחשכים. עוד טוענת המערערת כי בית המשפט המחוזי שגה במסקנתו גם לגבי רישום היחידות באיחור, ובפרט שהרישום בוצע בצורה שאינה תואמת את גודלן של היחידות. כן טוענת המערערת כי בית המשפט המחוזי שגה כאשר דחה את בקשתה להוספת הפניה בסיכומיה לפסק דין שניתן בעניין המלון בהליך מקביל, ממנו ניתן היה ללמוד לגבי התנהלותם הפסולה של המשיבים בענייננו.</w:t>
      </w:r>
    </w:p>
    <w:p w14:paraId="69475310" w14:textId="77777777" w:rsidR="00033FEA" w:rsidRDefault="00033FEA" w:rsidP="00033FEA">
      <w:pPr>
        <w:pStyle w:val="Ruller41"/>
        <w:rPr>
          <w:rtl/>
        </w:rPr>
      </w:pPr>
    </w:p>
    <w:p w14:paraId="704A8F1C" w14:textId="77777777" w:rsidR="00033FEA" w:rsidRDefault="00000000" w:rsidP="00033FEA">
      <w:pPr>
        <w:pStyle w:val="Ruller4"/>
        <w:rPr>
          <w:rtl/>
        </w:rPr>
      </w:pPr>
      <w:r>
        <w:rPr>
          <w:rtl/>
        </w:rPr>
        <w:t>המשיבים סומכים ידיהם על פסק דינו של בית המשפט המחוזי. לטענתם, יש לדחות את הערעור משעה שטענותיה של המערערת מופנות כלפי ממצאי עובדה ומהימנות שנקבעו על-ידי הערכאה הדיונית. המשיבים מפנים לתניות שונות בהסכם המכר ונספחיו וטוענים כי אלה מבהירות באופן מפורש שמדובר ביחידות נופש בבית מלון שהשימוש בהן מוגבל לשלושה חודשים בשנה. אשר לטענות הנוגעות להסדר המיוחד – שבים המשיבים על קביעותיו של בית המשפט המחוזי, וטוענים כי אין לקרוא לתוך המסמכים הללו את מה שאין בהם. מסמכים אלו, כך לטענתם, נועדו לספק למערערת ולרוכשים אחרים גמישות מסוימת בשימוש ביחידה מעבר לשלושת החודשים, על דרך של השכרה בתשלום מחברת הניהול בתנאים מועדפים ביחס לאורח רגיל. בהתאם לכך נטען, כי יש לדחות את טענת המערערת ולפיה הסכם המכר הוא חוזה למראית עין. כן מוסיפים המשיבים כי יש לדחות את ניסיון המערערת להיבנות מהליכים אחרים שהיא אינה צד להם, שכן אלה מהווים עדות מפי השמועה.</w:t>
      </w:r>
    </w:p>
    <w:p w14:paraId="77612080" w14:textId="77777777" w:rsidR="00033FEA" w:rsidRDefault="00033FEA" w:rsidP="00033FEA">
      <w:pPr>
        <w:pStyle w:val="Ruller41"/>
        <w:rPr>
          <w:rtl/>
        </w:rPr>
      </w:pPr>
    </w:p>
    <w:p w14:paraId="6428CE1A" w14:textId="77777777" w:rsidR="00033FEA" w:rsidRDefault="00000000" w:rsidP="00033FEA">
      <w:pPr>
        <w:pStyle w:val="Ruller4"/>
        <w:rPr>
          <w:rtl/>
        </w:rPr>
      </w:pPr>
      <w:r>
        <w:rPr>
          <w:rtl/>
        </w:rPr>
        <w:t xml:space="preserve">אוסיף כי לאחר שנשמעו מלוא טענות הצדדים בערעור שלפנינו, המלצנו לצדדים לבוא בדברים על מנת להגיע להסדר של פשרה. משעדכנו הצדדים כי הידברותם לא צלחה – הגיעה העת להכרעה. </w:t>
      </w:r>
    </w:p>
    <w:p w14:paraId="0C77A22D" w14:textId="77777777" w:rsidR="00033FEA" w:rsidRDefault="00033FEA" w:rsidP="00033FEA">
      <w:pPr>
        <w:pStyle w:val="Ruller41"/>
        <w:rPr>
          <w:rtl/>
        </w:rPr>
      </w:pPr>
    </w:p>
    <w:p w14:paraId="64954CF2" w14:textId="77777777" w:rsidR="00033FEA" w:rsidRDefault="00000000" w:rsidP="00033FEA">
      <w:pPr>
        <w:pStyle w:val="Ruller41"/>
        <w:rPr>
          <w:rFonts w:ascii="Century" w:hAnsi="Century" w:cs="Miriam"/>
          <w:b/>
          <w:spacing w:val="0"/>
          <w:szCs w:val="24"/>
          <w:rtl/>
        </w:rPr>
      </w:pPr>
      <w:r>
        <w:rPr>
          <w:rFonts w:ascii="Century" w:hAnsi="Century" w:cs="Miriam"/>
          <w:b/>
          <w:spacing w:val="0"/>
          <w:szCs w:val="24"/>
          <w:rtl/>
        </w:rPr>
        <w:t>דיון והכרעה</w:t>
      </w:r>
    </w:p>
    <w:p w14:paraId="4EB5CD62" w14:textId="77777777" w:rsidR="00033FEA" w:rsidRDefault="00033FEA" w:rsidP="00033FEA">
      <w:pPr>
        <w:pStyle w:val="Ruller41"/>
        <w:rPr>
          <w:rtl/>
        </w:rPr>
      </w:pPr>
    </w:p>
    <w:p w14:paraId="2F9510E7" w14:textId="77777777" w:rsidR="00033FEA" w:rsidRDefault="00000000" w:rsidP="00033FEA">
      <w:pPr>
        <w:pStyle w:val="Ruller4"/>
        <w:rPr>
          <w:rtl/>
        </w:rPr>
      </w:pPr>
      <w:r>
        <w:rPr>
          <w:rtl/>
        </w:rPr>
        <w:t xml:space="preserve">השאלה שהוצבה לפני בית המשפט המחוזי, והיא הניצבת גם לפנינו, היא: האם הסכמי המכר הם הסכמים למראית עין בלבד בכל המתייחס לתקופה בה הותר </w:t>
      </w:r>
      <w:r>
        <w:rPr>
          <w:rtl/>
        </w:rPr>
        <w:lastRenderedPageBreak/>
        <w:t xml:space="preserve">למערערת לעשות שימוש ביחידות הנופש. שאלה קשורה נוספת היא – האם הסכימו הצדדים במסמכי ההסדר המיוחד על הסדר שונה מן ההסדר שנקבע בהסכמי המכר, המוציא את יחידות הנופש מן המאגר המלונאי ומאפשר למערערת להתגורר בהן לאורך כל ימות השנה. </w:t>
      </w:r>
    </w:p>
    <w:p w14:paraId="04B641C4" w14:textId="77777777" w:rsidR="00033FEA" w:rsidRDefault="00033FEA" w:rsidP="00033FEA">
      <w:pPr>
        <w:pStyle w:val="Ruller4"/>
        <w:numPr>
          <w:ilvl w:val="0"/>
          <w:numId w:val="0"/>
        </w:numPr>
      </w:pPr>
    </w:p>
    <w:p w14:paraId="5F05B97E" w14:textId="77777777" w:rsidR="00033FEA" w:rsidRDefault="00000000" w:rsidP="00033FEA">
      <w:pPr>
        <w:pStyle w:val="Ruller4"/>
      </w:pPr>
      <w:r>
        <w:rPr>
          <w:rtl/>
        </w:rPr>
        <w:t xml:space="preserve">אקדים ואומר כי לאחר עיון בהסכמי המכר ומסמכי ההסדר המיוחד, ולאחר בחינת טענות הצדדים לעומקן, הגעתי למסקנה שונה מן המסקנה אליה הגיע בית המשפט המחוזי. מסקנתי היא כי עלה בידי המערערת להוכיח, ברמת ההוכחה הנדרשת, כי מסמכי ההסדר המיוחד משקפים את הסכמתם האמתית של הצדדים להעניק למערערת זכות שימוש ביחידות הנופש דרך קבע, וכי הסכמות אלה נועדו לגבור על ההסדרים שנקבעו בהקשר זה בהסכמי המכר ובנספחיו למראית עין בלבד. לנוכח מסקנתי זו, אציע לחבריי לקבל את הערעור ולהשיב את הדיון לבית המשפט המחוזי לשם דיון והכרעה ביתר טענות הצדדים. </w:t>
      </w:r>
    </w:p>
    <w:p w14:paraId="79AA06F0" w14:textId="77777777" w:rsidR="00033FEA" w:rsidRDefault="00033FEA" w:rsidP="00033FEA">
      <w:pPr>
        <w:pStyle w:val="Ruller41"/>
        <w:rPr>
          <w:rtl/>
        </w:rPr>
      </w:pPr>
    </w:p>
    <w:p w14:paraId="0AD9222C" w14:textId="77777777" w:rsidR="00033FEA" w:rsidRDefault="00000000" w:rsidP="00033FEA">
      <w:pPr>
        <w:pStyle w:val="Ruller41"/>
        <w:rPr>
          <w:rtl/>
        </w:rPr>
      </w:pPr>
      <w:r>
        <w:rPr>
          <w:rFonts w:ascii="Century" w:hAnsi="Century" w:cs="Miriam"/>
          <w:b/>
          <w:spacing w:val="0"/>
          <w:szCs w:val="24"/>
          <w:rtl/>
        </w:rPr>
        <w:t xml:space="preserve">התערבות בממצאי עובדה </w:t>
      </w:r>
    </w:p>
    <w:p w14:paraId="4700A490" w14:textId="77777777" w:rsidR="00033FEA" w:rsidRDefault="00000000" w:rsidP="00033FEA">
      <w:pPr>
        <w:pStyle w:val="Ruller4"/>
        <w:numPr>
          <w:ilvl w:val="0"/>
          <w:numId w:val="0"/>
        </w:numPr>
        <w:rPr>
          <w:rtl/>
        </w:rPr>
      </w:pPr>
      <w:r>
        <w:rPr>
          <w:rtl/>
        </w:rPr>
        <w:tab/>
      </w:r>
    </w:p>
    <w:p w14:paraId="7EB5F316" w14:textId="77777777" w:rsidR="00033FEA" w:rsidRDefault="00000000" w:rsidP="00033FEA">
      <w:pPr>
        <w:pStyle w:val="Ruller4"/>
        <w:rPr>
          <w:rFonts w:ascii="David" w:hAnsi="David"/>
          <w:sz w:val="28"/>
          <w:rtl/>
        </w:rPr>
      </w:pPr>
      <w:r>
        <w:rPr>
          <w:rFonts w:ascii="David" w:hAnsi="David"/>
          <w:sz w:val="28"/>
          <w:rtl/>
        </w:rPr>
        <w:t xml:space="preserve">בטרם אדרש לטענות הצדדים, אתייחס תחילה לטענת המשיבים ולפיה פסק דינו של בית משפט קמא מושתת על ממצאי עובדה ומהימנות שאין דרכה של ערכאת הערעור להתערב בהן. אכן, לא בנקל תתערב ערכאת הערעור בממצאיה העובדתיים של הערכאה הדיונית, בהיותם מיוסדים על התרשמות בלתי אמצעית מן העדויות שבאו לפניה, ועל קביעות מהימנות, בעניינן לערכאה הדיונית יתרון מובהק על פני ערכאת הערעור </w:t>
      </w:r>
      <w:r>
        <w:rPr>
          <w:rtl/>
        </w:rPr>
        <w:t xml:space="preserve">(ראו בין רבים: </w:t>
      </w:r>
      <w:hyperlink r:id="rId10"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3601/96</w:t>
        </w:r>
      </w:hyperlink>
      <w:r>
        <w:rPr>
          <w:rtl/>
        </w:rPr>
        <w:t xml:space="preserve"> </w:t>
      </w:r>
      <w:r>
        <w:rPr>
          <w:rFonts w:ascii="Century" w:hAnsi="Century" w:cs="Miriam"/>
          <w:b/>
          <w:spacing w:val="0"/>
          <w:sz w:val="22"/>
          <w:szCs w:val="24"/>
          <w:rtl/>
        </w:rPr>
        <w:t>בראשי נ' עיזבון בראשי</w:t>
      </w:r>
      <w:r>
        <w:rPr>
          <w:rtl/>
        </w:rPr>
        <w:t xml:space="preserve">, פ''ד נב(2) 582, 594 (1998); </w:t>
      </w:r>
      <w:hyperlink r:id="rId11"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3561/13</w:t>
        </w:r>
      </w:hyperlink>
      <w:r>
        <w:rPr>
          <w:rtl/>
        </w:rPr>
        <w:t xml:space="preserve"> </w:t>
      </w:r>
      <w:r>
        <w:rPr>
          <w:rFonts w:ascii="Century" w:hAnsi="Century" w:cs="Miriam"/>
          <w:b/>
          <w:spacing w:val="0"/>
          <w:sz w:val="22"/>
          <w:szCs w:val="24"/>
          <w:rtl/>
        </w:rPr>
        <w:t>שרגאי נ' פקיד שומה תל אביב 1</w:t>
      </w:r>
      <w:r>
        <w:rPr>
          <w:rtl/>
        </w:rPr>
        <w:t xml:space="preserve">, פסקה 27 </w:t>
      </w:r>
      <w:r w:rsidR="00C3630B">
        <w:rPr>
          <w:rFonts w:hint="cs"/>
          <w:rtl/>
        </w:rPr>
        <w:t>[נבו]</w:t>
      </w:r>
      <w:r w:rsidR="00C3630B">
        <w:rPr>
          <w:rtl/>
        </w:rPr>
        <w:t xml:space="preserve"> </w:t>
      </w:r>
      <w:r>
        <w:rPr>
          <w:rtl/>
        </w:rPr>
        <w:t xml:space="preserve">(23.10.2017); </w:t>
      </w:r>
      <w:hyperlink r:id="rId12"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2711/20</w:t>
        </w:r>
      </w:hyperlink>
      <w:r>
        <w:rPr>
          <w:rtl/>
        </w:rPr>
        <w:t xml:space="preserve"> </w:t>
      </w:r>
      <w:r>
        <w:rPr>
          <w:rFonts w:ascii="Century" w:hAnsi="Century" w:cs="Miriam"/>
          <w:b/>
          <w:spacing w:val="0"/>
          <w:sz w:val="22"/>
          <w:szCs w:val="24"/>
          <w:rtl/>
        </w:rPr>
        <w:t>בן צבי נ' רשות מקרקעי ישראל</w:t>
      </w:r>
      <w:r>
        <w:rPr>
          <w:rtl/>
        </w:rPr>
        <w:t xml:space="preserve">, פסקה 18 </w:t>
      </w:r>
      <w:r w:rsidR="00C3630B">
        <w:rPr>
          <w:rFonts w:hint="cs"/>
          <w:rtl/>
        </w:rPr>
        <w:t>[נבו]</w:t>
      </w:r>
      <w:r w:rsidR="00C3630B">
        <w:rPr>
          <w:rtl/>
        </w:rPr>
        <w:t xml:space="preserve"> </w:t>
      </w:r>
      <w:r>
        <w:rPr>
          <w:rtl/>
        </w:rPr>
        <w:t xml:space="preserve">(26.6.2022)). לא כך הם פני הדברים מקום בו ממצאיה העובדתיים של הערכאה הדיונית מיוסדים על ראיות בכתב, על המסקנות שניתן להסיק מתוכן או הפרשנות שיש ליתן להן, בעניינן </w:t>
      </w:r>
      <w:r>
        <w:rPr>
          <w:rFonts w:ascii="David" w:hAnsi="David"/>
          <w:sz w:val="28"/>
          <w:rtl/>
        </w:rPr>
        <w:t xml:space="preserve">אין לערכאה הדיונית יתרון מיוחד על פני ערכאת הערעור. במצב דברים זה, </w:t>
      </w:r>
      <w:r>
        <w:rPr>
          <w:rFonts w:ascii="Century" w:hAnsi="Century" w:cs="Miriam"/>
          <w:b/>
          <w:spacing w:val="0"/>
          <w:sz w:val="22"/>
          <w:szCs w:val="24"/>
          <w:rtl/>
        </w:rPr>
        <w:t>"חשופים ממצאיה ומסקנותיה של הערכאה הדיונית לגבי הראיות הכתובות להתערבותה של ערכאת הערעור יותר מאשר ממצאים ומסקנות הנסמכים על קביעות מהימנות והתרשמות בלתי אמצעית מעדים"</w:t>
      </w:r>
      <w:r w:rsidR="004B1D70">
        <w:rPr>
          <w:rFonts w:ascii="FrankRuehl" w:hAnsi="FrankRuehl"/>
          <w:color w:val="000000"/>
          <w:sz w:val="28"/>
          <w:rtl/>
        </w:rPr>
        <w:t xml:space="preserve"> </w:t>
      </w:r>
      <w:r>
        <w:rPr>
          <w:rFonts w:ascii="David" w:hAnsi="David"/>
          <w:sz w:val="28"/>
          <w:rtl/>
        </w:rPr>
        <w:t>(</w:t>
      </w:r>
      <w:hyperlink r:id="rId13" w:history="1">
        <w:r w:rsidR="004B1D70" w:rsidRPr="004B1D70">
          <w:rPr>
            <w:rFonts w:ascii="David" w:hAnsi="David"/>
            <w:color w:val="0000FF"/>
            <w:sz w:val="28"/>
            <w:u w:val="single"/>
            <w:rtl/>
          </w:rPr>
          <w:t>ע"א 8168/09</w:t>
        </w:r>
      </w:hyperlink>
      <w:r>
        <w:rPr>
          <w:rFonts w:ascii="David" w:hAnsi="David"/>
          <w:sz w:val="28"/>
          <w:rtl/>
        </w:rPr>
        <w:t xml:space="preserve"> </w:t>
      </w:r>
      <w:r>
        <w:rPr>
          <w:rFonts w:ascii="Century" w:hAnsi="Century" w:cs="Miriam"/>
          <w:b/>
          <w:spacing w:val="0"/>
          <w:sz w:val="22"/>
          <w:szCs w:val="24"/>
          <w:rtl/>
        </w:rPr>
        <w:t>ועד חברת עולי משהד (אירן) ירושלים נ' הועד המרכזי לעולי (אנוסי) משהד אירן בישראל</w:t>
      </w:r>
      <w:r>
        <w:rPr>
          <w:rFonts w:ascii="David" w:hAnsi="David"/>
          <w:sz w:val="28"/>
          <w:rtl/>
        </w:rPr>
        <w:t xml:space="preserve">, פסקה 22 </w:t>
      </w:r>
      <w:r w:rsidR="00C3630B">
        <w:rPr>
          <w:rFonts w:hint="cs"/>
          <w:rtl/>
        </w:rPr>
        <w:t>[נבו]</w:t>
      </w:r>
      <w:r w:rsidR="00C3630B">
        <w:rPr>
          <w:rFonts w:ascii="David" w:hAnsi="David"/>
          <w:sz w:val="28"/>
          <w:rtl/>
        </w:rPr>
        <w:t xml:space="preserve"> </w:t>
      </w:r>
      <w:r>
        <w:rPr>
          <w:rFonts w:ascii="David" w:hAnsi="David"/>
          <w:sz w:val="28"/>
          <w:rtl/>
        </w:rPr>
        <w:t xml:space="preserve">(23.10.2012); </w:t>
      </w:r>
      <w:hyperlink r:id="rId14" w:history="1">
        <w:r w:rsidR="004B1D70" w:rsidRPr="004B1D70">
          <w:rPr>
            <w:rFonts w:ascii="David" w:hAnsi="David"/>
            <w:color w:val="0000FF"/>
            <w:sz w:val="28"/>
            <w:u w:val="single"/>
            <w:rtl/>
          </w:rPr>
          <w:t>ע"א 9555/10</w:t>
        </w:r>
      </w:hyperlink>
      <w:r>
        <w:rPr>
          <w:rFonts w:ascii="David" w:hAnsi="David"/>
          <w:sz w:val="28"/>
          <w:rtl/>
        </w:rPr>
        <w:t xml:space="preserve"> </w:t>
      </w:r>
      <w:r>
        <w:rPr>
          <w:rFonts w:ascii="Century" w:hAnsi="Century" w:cs="Miriam"/>
          <w:b/>
          <w:spacing w:val="0"/>
          <w:sz w:val="22"/>
          <w:szCs w:val="24"/>
          <w:rtl/>
        </w:rPr>
        <w:t>הופמן נ' יפה</w:t>
      </w:r>
      <w:r>
        <w:rPr>
          <w:rFonts w:ascii="David" w:hAnsi="David"/>
          <w:sz w:val="28"/>
          <w:rtl/>
        </w:rPr>
        <w:t xml:space="preserve">, פסקה 18 </w:t>
      </w:r>
      <w:r w:rsidR="00C3630B">
        <w:rPr>
          <w:rFonts w:hint="cs"/>
          <w:rtl/>
        </w:rPr>
        <w:t>[נבו]</w:t>
      </w:r>
      <w:r w:rsidR="00C3630B">
        <w:rPr>
          <w:rFonts w:ascii="David" w:hAnsi="David"/>
          <w:sz w:val="28"/>
          <w:rtl/>
        </w:rPr>
        <w:t xml:space="preserve"> </w:t>
      </w:r>
      <w:r>
        <w:rPr>
          <w:rFonts w:ascii="David" w:hAnsi="David"/>
          <w:sz w:val="28"/>
          <w:rtl/>
        </w:rPr>
        <w:t xml:space="preserve">(15.7.2013); </w:t>
      </w:r>
      <w:hyperlink r:id="rId15" w:history="1">
        <w:r w:rsidR="004B1D70" w:rsidRPr="004B1D70">
          <w:rPr>
            <w:rFonts w:ascii="David" w:hAnsi="David"/>
            <w:color w:val="0000FF"/>
            <w:sz w:val="28"/>
            <w:u w:val="single"/>
            <w:rtl/>
          </w:rPr>
          <w:t>ע"א 8124/18</w:t>
        </w:r>
      </w:hyperlink>
      <w:r>
        <w:rPr>
          <w:rFonts w:ascii="David" w:hAnsi="David"/>
          <w:sz w:val="28"/>
          <w:rtl/>
        </w:rPr>
        <w:t xml:space="preserve"> </w:t>
      </w:r>
      <w:r>
        <w:rPr>
          <w:rFonts w:ascii="Century" w:hAnsi="Century" w:cs="Miriam"/>
          <w:b/>
          <w:spacing w:val="0"/>
          <w:sz w:val="22"/>
          <w:szCs w:val="24"/>
          <w:rtl/>
        </w:rPr>
        <w:t>יורשי ביישיץ נ' ז'רוט</w:t>
      </w:r>
      <w:r>
        <w:rPr>
          <w:rFonts w:ascii="David" w:hAnsi="David"/>
          <w:sz w:val="28"/>
          <w:rtl/>
        </w:rPr>
        <w:t xml:space="preserve">, פסקה 22 </w:t>
      </w:r>
      <w:r w:rsidR="00C3630B">
        <w:rPr>
          <w:rFonts w:hint="cs"/>
          <w:rtl/>
        </w:rPr>
        <w:lastRenderedPageBreak/>
        <w:t>[נבו]</w:t>
      </w:r>
      <w:r w:rsidR="00C3630B">
        <w:rPr>
          <w:rFonts w:ascii="David" w:hAnsi="David"/>
          <w:sz w:val="28"/>
          <w:rtl/>
        </w:rPr>
        <w:t xml:space="preserve"> </w:t>
      </w:r>
      <w:r>
        <w:rPr>
          <w:rFonts w:ascii="David" w:hAnsi="David"/>
          <w:sz w:val="28"/>
          <w:rtl/>
        </w:rPr>
        <w:t xml:space="preserve">(4.8.2020); </w:t>
      </w:r>
      <w:hyperlink r:id="rId16" w:history="1">
        <w:r w:rsidR="004B1D70" w:rsidRPr="004B1D70">
          <w:rPr>
            <w:rFonts w:ascii="David" w:hAnsi="David"/>
            <w:color w:val="0000FF"/>
            <w:sz w:val="28"/>
            <w:u w:val="single"/>
            <w:rtl/>
          </w:rPr>
          <w:t>ע"פ 8146/09</w:t>
        </w:r>
      </w:hyperlink>
      <w:r>
        <w:rPr>
          <w:rFonts w:ascii="David" w:hAnsi="David"/>
          <w:sz w:val="28"/>
          <w:rtl/>
        </w:rPr>
        <w:t xml:space="preserve"> </w:t>
      </w:r>
      <w:r>
        <w:rPr>
          <w:rFonts w:ascii="Century" w:hAnsi="Century" w:cs="Miriam"/>
          <w:b/>
          <w:spacing w:val="0"/>
          <w:sz w:val="22"/>
          <w:szCs w:val="24"/>
          <w:rtl/>
        </w:rPr>
        <w:t>אבשלום נ' מדינת ישראל</w:t>
      </w:r>
      <w:r>
        <w:rPr>
          <w:rFonts w:ascii="David" w:hAnsi="David"/>
          <w:sz w:val="28"/>
          <w:rtl/>
        </w:rPr>
        <w:t xml:space="preserve">, פסקה 19 </w:t>
      </w:r>
      <w:r w:rsidR="00C3630B">
        <w:rPr>
          <w:rFonts w:hint="cs"/>
          <w:rtl/>
        </w:rPr>
        <w:t>[נבו]</w:t>
      </w:r>
      <w:r w:rsidR="00C3630B">
        <w:rPr>
          <w:rFonts w:ascii="David" w:hAnsi="David"/>
          <w:sz w:val="28"/>
          <w:rtl/>
        </w:rPr>
        <w:t xml:space="preserve"> </w:t>
      </w:r>
      <w:r>
        <w:rPr>
          <w:rFonts w:ascii="David" w:hAnsi="David"/>
          <w:sz w:val="28"/>
          <w:rtl/>
        </w:rPr>
        <w:t xml:space="preserve">(8.9.2011); חמי בן-נון וטל חבקין </w:t>
      </w:r>
      <w:hyperlink r:id="rId17" w:history="1">
        <w:r w:rsidR="004B1D70" w:rsidRPr="004B1D70">
          <w:rPr>
            <w:rFonts w:ascii="Century" w:hAnsi="Century" w:cs="Miriam" w:hint="eastAsia"/>
            <w:b/>
            <w:color w:val="0000FF"/>
            <w:spacing w:val="0"/>
            <w:sz w:val="22"/>
            <w:szCs w:val="24"/>
            <w:u w:val="single"/>
            <w:rtl/>
          </w:rPr>
          <w:t>הערעור</w:t>
        </w:r>
        <w:r w:rsidR="004B1D70" w:rsidRPr="004B1D70">
          <w:rPr>
            <w:rFonts w:ascii="Century" w:hAnsi="Century" w:cs="Miriam"/>
            <w:b/>
            <w:color w:val="0000FF"/>
            <w:spacing w:val="0"/>
            <w:sz w:val="22"/>
            <w:szCs w:val="24"/>
            <w:u w:val="single"/>
            <w:rtl/>
          </w:rPr>
          <w:t xml:space="preserve"> </w:t>
        </w:r>
        <w:r w:rsidR="004B1D70" w:rsidRPr="004B1D70">
          <w:rPr>
            <w:rFonts w:ascii="Century" w:hAnsi="Century" w:cs="Miriam" w:hint="eastAsia"/>
            <w:b/>
            <w:color w:val="0000FF"/>
            <w:spacing w:val="0"/>
            <w:sz w:val="22"/>
            <w:szCs w:val="24"/>
            <w:u w:val="single"/>
            <w:rtl/>
          </w:rPr>
          <w:t>האזרחי</w:t>
        </w:r>
      </w:hyperlink>
      <w:r>
        <w:rPr>
          <w:rFonts w:ascii="David" w:hAnsi="David"/>
          <w:sz w:val="28"/>
          <w:rtl/>
        </w:rPr>
        <w:t xml:space="preserve"> 479 (מהדורה שלישית 2012)).</w:t>
      </w:r>
    </w:p>
    <w:p w14:paraId="253B9DD6" w14:textId="77777777" w:rsidR="00033FEA" w:rsidRDefault="00033FEA" w:rsidP="00033FEA">
      <w:pPr>
        <w:pStyle w:val="Ruller4"/>
        <w:numPr>
          <w:ilvl w:val="0"/>
          <w:numId w:val="0"/>
        </w:numPr>
        <w:rPr>
          <w:rFonts w:ascii="David" w:hAnsi="David"/>
          <w:sz w:val="28"/>
          <w:rtl/>
        </w:rPr>
      </w:pPr>
    </w:p>
    <w:p w14:paraId="7B22E48B" w14:textId="77777777" w:rsidR="00033FEA" w:rsidRDefault="00000000" w:rsidP="00033FEA">
      <w:pPr>
        <w:pStyle w:val="Ruller41"/>
        <w:rPr>
          <w:rtl/>
        </w:rPr>
      </w:pPr>
      <w:r>
        <w:rPr>
          <w:rFonts w:ascii="David" w:hAnsi="David"/>
          <w:sz w:val="28"/>
          <w:rtl/>
        </w:rPr>
        <w:tab/>
        <w:t>בנסיבות ענייננו, מש</w:t>
      </w:r>
      <w:r>
        <w:rPr>
          <w:rtl/>
        </w:rPr>
        <w:t>טענות המערערת</w:t>
      </w:r>
      <w:r>
        <w:rPr>
          <w:rFonts w:ascii="David" w:hAnsi="David"/>
          <w:sz w:val="28"/>
          <w:rtl/>
        </w:rPr>
        <w:t xml:space="preserve"> נשענות בעיקרן על ניתוח תוכנם של מסמכי ההסדר המיוחד, אשר תוקפם אינו שנוי במחלוקת, ועל פרשנותם, לא מצאתי כי לערכאה הדיונית יתרון על פני ערכאת הערעור</w:t>
      </w:r>
      <w:r>
        <w:rPr>
          <w:rtl/>
        </w:rPr>
        <w:t>. יתר על כן, וכפי שיפורט בהמשך, קיים קושי ממשי ליישב בין ממצאיו של בית המשפט המחוזי לבין תוכנם של המסמכים, שעה שעיון במסמכים לעומקם מעלה בסיס מוצק לטענות המערערת.</w:t>
      </w:r>
    </w:p>
    <w:p w14:paraId="04A6A57B" w14:textId="77777777" w:rsidR="00033FEA" w:rsidRDefault="00033FEA" w:rsidP="00033FEA">
      <w:pPr>
        <w:pStyle w:val="Ruller41"/>
        <w:rPr>
          <w:rFonts w:ascii="Century" w:hAnsi="Century" w:cs="Miriam"/>
          <w:b/>
          <w:spacing w:val="0"/>
          <w:szCs w:val="24"/>
          <w:rtl/>
        </w:rPr>
      </w:pPr>
    </w:p>
    <w:p w14:paraId="08271244" w14:textId="77777777" w:rsidR="00033FEA" w:rsidRDefault="00000000" w:rsidP="00033FEA">
      <w:pPr>
        <w:pStyle w:val="Ruller41"/>
        <w:rPr>
          <w:rtl/>
        </w:rPr>
      </w:pPr>
      <w:r>
        <w:rPr>
          <w:rFonts w:ascii="Century" w:hAnsi="Century" w:cs="Miriam"/>
          <w:b/>
          <w:spacing w:val="0"/>
          <w:szCs w:val="24"/>
          <w:rtl/>
        </w:rPr>
        <w:t>חוזה למראית עין</w:t>
      </w:r>
      <w:r>
        <w:rPr>
          <w:rtl/>
        </w:rPr>
        <w:t xml:space="preserve"> </w:t>
      </w:r>
    </w:p>
    <w:p w14:paraId="5DF45F1E" w14:textId="77777777" w:rsidR="00033FEA" w:rsidRDefault="00033FEA" w:rsidP="00033FEA">
      <w:pPr>
        <w:pStyle w:val="Ruller41"/>
        <w:rPr>
          <w:rtl/>
        </w:rPr>
      </w:pPr>
    </w:p>
    <w:p w14:paraId="02F1E662" w14:textId="77777777" w:rsidR="00033FEA" w:rsidRDefault="00000000" w:rsidP="00033FEA">
      <w:pPr>
        <w:pStyle w:val="Ruller4"/>
        <w:rPr>
          <w:rtl/>
        </w:rPr>
      </w:pPr>
      <w:r>
        <w:rPr>
          <w:rtl/>
        </w:rPr>
        <w:t>כאמור, טענת המערערת היא כי הסכמי המכר, בהם התחייבה להעמיד את יחידותיה לרשות המאגר המלונאי לתקופה של תשעה חודשים בשנה, נכרתו למראית עין בלבד. לטענתה, ההסדר המיוחד הוא בבחינת חוזה "סמוי" שנועד להחליף את הסדרי השימוש ביחידות הנופש שנקבעו בהסכם המכר, הוא החוזה "הגלוי", ועל כן יש לראות בהסכם המכר חוזה למראית עין שיש להורות על בטלותו. כן נטען כי לא ניתן לקיים את החוזה ה"סמוי" משזה נוגד את הוראות הדין, ובפרט את הוראות משרד התיירות המגבילות את השימוש העצמי ביחידות לשלושה חודשים בשנה.</w:t>
      </w:r>
    </w:p>
    <w:p w14:paraId="151FE0F8" w14:textId="77777777" w:rsidR="00033FEA" w:rsidRDefault="00000000" w:rsidP="00033FEA">
      <w:pPr>
        <w:pStyle w:val="Ruller4"/>
        <w:numPr>
          <w:ilvl w:val="0"/>
          <w:numId w:val="0"/>
        </w:numPr>
      </w:pPr>
      <w:r>
        <w:rPr>
          <w:rtl/>
        </w:rPr>
        <w:t xml:space="preserve"> </w:t>
      </w:r>
    </w:p>
    <w:p w14:paraId="030659C0" w14:textId="77777777" w:rsidR="00033FEA" w:rsidRDefault="00000000" w:rsidP="00033FEA">
      <w:pPr>
        <w:pStyle w:val="Ruller4"/>
      </w:pPr>
      <w:r>
        <w:rPr>
          <w:rFonts w:ascii="David" w:hAnsi="David"/>
          <w:sz w:val="28"/>
          <w:rtl/>
        </w:rPr>
        <w:t xml:space="preserve">חוזה למראית עין הוא חוזה בו </w:t>
      </w:r>
      <w:r>
        <w:rPr>
          <w:rFonts w:ascii="Century" w:hAnsi="Century" w:cs="Miriam"/>
          <w:b/>
          <w:spacing w:val="0"/>
          <w:sz w:val="22"/>
          <w:szCs w:val="24"/>
          <w:rtl/>
        </w:rPr>
        <w:t>"קיימת אי התאמה בין רצונם המשותף והמוצהר של הצדדים, אשר משתקף בחוזה, לבין רצונותיהם וכוונותיהם האמתיות. חוזה למראית עין מציג, כלפי חוץ, הסדר משפטי מסוים אליו הגיעו הצדדים, ואולם, בפועל, הם הגיעו להסכמה סמויה, אשר משקפת את כוונתם האמתית. משכך, ההסדר המשפטי המופיע בהסכם הגלוי, אינו משקף את אומד דעתם של הצדדים, והוא נעשה למראית עין בלבד"</w:t>
      </w:r>
      <w:r>
        <w:rPr>
          <w:rFonts w:ascii="David" w:hAnsi="David"/>
          <w:sz w:val="28"/>
          <w:rtl/>
        </w:rPr>
        <w:t xml:space="preserve"> (</w:t>
      </w:r>
      <w:hyperlink r:id="rId18"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810/17</w:t>
        </w:r>
      </w:hyperlink>
      <w:r>
        <w:rPr>
          <w:rtl/>
        </w:rPr>
        <w:t xml:space="preserve"> </w:t>
      </w:r>
      <w:r>
        <w:rPr>
          <w:rFonts w:ascii="Century" w:hAnsi="Century" w:cs="Miriam"/>
          <w:b/>
          <w:spacing w:val="0"/>
          <w:sz w:val="22"/>
          <w:szCs w:val="24"/>
          <w:rtl/>
        </w:rPr>
        <w:t>באשה נ' גרדג'י</w:t>
      </w:r>
      <w:r>
        <w:rPr>
          <w:rtl/>
        </w:rPr>
        <w:t xml:space="preserve">, פסקה 34 </w:t>
      </w:r>
      <w:r w:rsidR="00C3630B">
        <w:rPr>
          <w:rFonts w:hint="cs"/>
          <w:rtl/>
        </w:rPr>
        <w:t>[נבו]</w:t>
      </w:r>
      <w:r w:rsidR="00C3630B">
        <w:rPr>
          <w:rtl/>
        </w:rPr>
        <w:t xml:space="preserve"> </w:t>
      </w:r>
      <w:r>
        <w:rPr>
          <w:rtl/>
        </w:rPr>
        <w:t>(31.10.2018)</w:t>
      </w:r>
      <w:r>
        <w:rPr>
          <w:rFonts w:ascii="David" w:hAnsi="David"/>
          <w:sz w:val="28"/>
          <w:rtl/>
        </w:rPr>
        <w:t xml:space="preserve"> (להלן: עניין </w:t>
      </w:r>
      <w:r>
        <w:rPr>
          <w:rFonts w:ascii="Century" w:hAnsi="Century" w:cs="Miriam"/>
          <w:b/>
          <w:spacing w:val="0"/>
          <w:sz w:val="22"/>
          <w:szCs w:val="24"/>
          <w:rtl/>
        </w:rPr>
        <w:t>באשה</w:t>
      </w:r>
      <w:r>
        <w:rPr>
          <w:rFonts w:ascii="David" w:hAnsi="David"/>
          <w:sz w:val="28"/>
          <w:rtl/>
        </w:rPr>
        <w:t>);</w:t>
      </w:r>
      <w:r>
        <w:rPr>
          <w:rtl/>
        </w:rPr>
        <w:t xml:space="preserve"> </w:t>
      </w:r>
      <w:hyperlink r:id="rId19"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3642/11</w:t>
        </w:r>
      </w:hyperlink>
      <w:r>
        <w:rPr>
          <w:rtl/>
        </w:rPr>
        <w:t xml:space="preserve"> </w:t>
      </w:r>
      <w:r>
        <w:rPr>
          <w:rFonts w:ascii="Century" w:hAnsi="Century" w:cs="Miriam"/>
          <w:b/>
          <w:spacing w:val="0"/>
          <w:sz w:val="22"/>
          <w:szCs w:val="24"/>
          <w:rtl/>
        </w:rPr>
        <w:t>כהן נ' גטאס</w:t>
      </w:r>
      <w:r>
        <w:rPr>
          <w:rtl/>
        </w:rPr>
        <w:t xml:space="preserve">, פסקאות 7-6 </w:t>
      </w:r>
      <w:r w:rsidR="00C3630B">
        <w:rPr>
          <w:rFonts w:hint="cs"/>
          <w:rtl/>
        </w:rPr>
        <w:t>[נבו]</w:t>
      </w:r>
      <w:r w:rsidR="00C3630B">
        <w:rPr>
          <w:rtl/>
        </w:rPr>
        <w:t xml:space="preserve"> </w:t>
      </w:r>
      <w:r>
        <w:rPr>
          <w:rtl/>
        </w:rPr>
        <w:t xml:space="preserve">(3.3.2014) (להלן: </w:t>
      </w:r>
      <w:r>
        <w:rPr>
          <w:rFonts w:ascii="Century" w:hAnsi="Century"/>
          <w:sz w:val="22"/>
          <w:rtl/>
        </w:rPr>
        <w:t>עניין</w:t>
      </w:r>
      <w:r>
        <w:rPr>
          <w:rFonts w:ascii="Century" w:hAnsi="Century" w:cs="Miriam"/>
          <w:b/>
          <w:spacing w:val="0"/>
          <w:sz w:val="22"/>
          <w:szCs w:val="24"/>
          <w:rtl/>
        </w:rPr>
        <w:t xml:space="preserve"> גטאס</w:t>
      </w:r>
      <w:r>
        <w:rPr>
          <w:rtl/>
        </w:rPr>
        <w:t xml:space="preserve">); </w:t>
      </w:r>
      <w:hyperlink r:id="rId20"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3725/08</w:t>
        </w:r>
      </w:hyperlink>
      <w:r>
        <w:rPr>
          <w:rtl/>
        </w:rPr>
        <w:t xml:space="preserve"> </w:t>
      </w:r>
      <w:r>
        <w:rPr>
          <w:rFonts w:ascii="Century" w:hAnsi="Century" w:cs="Miriam"/>
          <w:b/>
          <w:spacing w:val="0"/>
          <w:sz w:val="22"/>
          <w:szCs w:val="24"/>
          <w:rtl/>
        </w:rPr>
        <w:t>חזן נ' חזן</w:t>
      </w:r>
      <w:r>
        <w:rPr>
          <w:rtl/>
        </w:rPr>
        <w:t xml:space="preserve">, פסקאות 25-23 </w:t>
      </w:r>
      <w:r w:rsidR="00C3630B">
        <w:rPr>
          <w:rFonts w:hint="cs"/>
          <w:rtl/>
        </w:rPr>
        <w:t>[נבו]</w:t>
      </w:r>
      <w:r w:rsidR="00C3630B">
        <w:rPr>
          <w:rtl/>
        </w:rPr>
        <w:t xml:space="preserve"> </w:t>
      </w:r>
      <w:r>
        <w:rPr>
          <w:rtl/>
        </w:rPr>
        <w:t xml:space="preserve">(3.2.2011) (להלן: עניין </w:t>
      </w:r>
      <w:r>
        <w:rPr>
          <w:rFonts w:ascii="Century" w:hAnsi="Century" w:cs="Miriam"/>
          <w:b/>
          <w:spacing w:val="0"/>
          <w:sz w:val="22"/>
          <w:szCs w:val="24"/>
          <w:rtl/>
        </w:rPr>
        <w:t>חזן</w:t>
      </w:r>
      <w:r>
        <w:rPr>
          <w:rtl/>
        </w:rPr>
        <w:t xml:space="preserve">); גבריאלה שלו ואפי צמח </w:t>
      </w:r>
      <w:hyperlink r:id="rId21" w:history="1">
        <w:r w:rsidR="004B1D70" w:rsidRPr="004B1D70">
          <w:rPr>
            <w:rFonts w:ascii="Century" w:hAnsi="Century" w:cs="Miriam" w:hint="eastAsia"/>
            <w:b/>
            <w:color w:val="0000FF"/>
            <w:spacing w:val="0"/>
            <w:sz w:val="22"/>
            <w:szCs w:val="24"/>
            <w:u w:val="single"/>
            <w:rtl/>
          </w:rPr>
          <w:t>דיני</w:t>
        </w:r>
        <w:r w:rsidR="004B1D70" w:rsidRPr="004B1D70">
          <w:rPr>
            <w:rFonts w:ascii="Century" w:hAnsi="Century" w:cs="Miriam"/>
            <w:b/>
            <w:color w:val="0000FF"/>
            <w:spacing w:val="0"/>
            <w:sz w:val="22"/>
            <w:szCs w:val="24"/>
            <w:u w:val="single"/>
            <w:rtl/>
          </w:rPr>
          <w:t xml:space="preserve"> </w:t>
        </w:r>
        <w:r w:rsidR="004B1D70" w:rsidRPr="004B1D70">
          <w:rPr>
            <w:rFonts w:ascii="Century" w:hAnsi="Century" w:cs="Miriam" w:hint="eastAsia"/>
            <w:b/>
            <w:color w:val="0000FF"/>
            <w:spacing w:val="0"/>
            <w:sz w:val="22"/>
            <w:szCs w:val="24"/>
            <w:u w:val="single"/>
            <w:rtl/>
          </w:rPr>
          <w:t>חוזים</w:t>
        </w:r>
      </w:hyperlink>
      <w:r>
        <w:rPr>
          <w:rtl/>
        </w:rPr>
        <w:t xml:space="preserve"> 301 (מהדורה רביעית 2019); להלן: </w:t>
      </w:r>
      <w:r>
        <w:rPr>
          <w:rFonts w:ascii="Century" w:hAnsi="Century" w:cs="Miriam"/>
          <w:b/>
          <w:spacing w:val="0"/>
          <w:sz w:val="22"/>
          <w:szCs w:val="24"/>
          <w:rtl/>
        </w:rPr>
        <w:t>שלו וצמח</w:t>
      </w:r>
      <w:r>
        <w:rPr>
          <w:rtl/>
        </w:rPr>
        <w:t>)).</w:t>
      </w:r>
    </w:p>
    <w:p w14:paraId="25ADC217" w14:textId="77777777" w:rsidR="00033FEA" w:rsidRDefault="00033FEA" w:rsidP="00033FEA">
      <w:pPr>
        <w:pStyle w:val="Ruller41"/>
        <w:rPr>
          <w:rtl/>
        </w:rPr>
      </w:pPr>
    </w:p>
    <w:p w14:paraId="15FBADB3" w14:textId="77777777" w:rsidR="00033FEA" w:rsidRDefault="00000000" w:rsidP="00033FEA">
      <w:pPr>
        <w:pStyle w:val="Ruller41"/>
        <w:rPr>
          <w:rtl/>
        </w:rPr>
      </w:pPr>
      <w:r>
        <w:rPr>
          <w:rtl/>
        </w:rPr>
        <w:tab/>
        <w:t xml:space="preserve">הבחנה שקנתה לה אחיזה בפסיקה בהקשרו של חוזה למראית עין, הרלוונטית לענייננו, היא בין חוזה שמראית העין בו היא </w:t>
      </w:r>
      <w:r>
        <w:rPr>
          <w:rFonts w:ascii="Century" w:hAnsi="Century" w:cs="Miriam"/>
          <w:b/>
          <w:spacing w:val="0"/>
          <w:szCs w:val="24"/>
          <w:rtl/>
        </w:rPr>
        <w:t>מוחלטת</w:t>
      </w:r>
      <w:r>
        <w:rPr>
          <w:rtl/>
        </w:rPr>
        <w:t xml:space="preserve"> </w:t>
      </w:r>
      <w:r>
        <w:rPr>
          <w:rFonts w:ascii="Century" w:hAnsi="Century" w:cs="Miriam"/>
          <w:b/>
          <w:spacing w:val="0"/>
          <w:szCs w:val="24"/>
          <w:rtl/>
        </w:rPr>
        <w:t>"חוזה שאין מאחוריו מאומה. הצדדים לו אינם מתכוונים לשנות את המצב המשפטי הקיים, אלא רק פועלים כלפי חוץ, למראית עין, כאילו הם מתכוונים לשנותו"</w:t>
      </w:r>
      <w:r>
        <w:rPr>
          <w:rtl/>
        </w:rPr>
        <w:t xml:space="preserve"> (</w:t>
      </w:r>
      <w:r>
        <w:rPr>
          <w:rFonts w:ascii="Century" w:hAnsi="Century" w:cs="Miriam"/>
          <w:b/>
          <w:spacing w:val="0"/>
          <w:szCs w:val="24"/>
          <w:rtl/>
        </w:rPr>
        <w:t>שלו וצמח</w:t>
      </w:r>
      <w:r>
        <w:rPr>
          <w:rtl/>
        </w:rPr>
        <w:t xml:space="preserve">, בעמ' 305); ובין חוזה שמראית </w:t>
      </w:r>
      <w:r>
        <w:rPr>
          <w:rtl/>
        </w:rPr>
        <w:lastRenderedPageBreak/>
        <w:t xml:space="preserve">העין בו היא </w:t>
      </w:r>
      <w:r>
        <w:rPr>
          <w:rFonts w:ascii="Century" w:hAnsi="Century" w:cs="Miriam"/>
          <w:b/>
          <w:spacing w:val="0"/>
          <w:szCs w:val="24"/>
          <w:rtl/>
        </w:rPr>
        <w:t>יחסית</w:t>
      </w:r>
      <w:r>
        <w:rPr>
          <w:rtl/>
        </w:rPr>
        <w:t xml:space="preserve">, כלומר </w:t>
      </w:r>
      <w:r>
        <w:rPr>
          <w:rFonts w:ascii="Century" w:hAnsi="Century" w:cs="Miriam"/>
          <w:b/>
          <w:spacing w:val="0"/>
          <w:szCs w:val="24"/>
          <w:rtl/>
        </w:rPr>
        <w:t>"חוזה שמסתתר מאחוריו חוזה אחר, שונה"</w:t>
      </w:r>
      <w:r>
        <w:rPr>
          <w:rtl/>
        </w:rPr>
        <w:t xml:space="preserve"> (שם, בעמ' 306). להבחנה זו עשויות להיות נפקויות שונות במישור הסעדים עם קביעת בטלותו של ההסכם שנכרת למראית עין. </w:t>
      </w:r>
    </w:p>
    <w:p w14:paraId="73435F20" w14:textId="77777777" w:rsidR="00033FEA" w:rsidRDefault="00033FEA" w:rsidP="00033FEA">
      <w:pPr>
        <w:pStyle w:val="Ruller41"/>
        <w:rPr>
          <w:rtl/>
        </w:rPr>
      </w:pPr>
    </w:p>
    <w:p w14:paraId="7AA54A2E" w14:textId="77777777" w:rsidR="00033FEA" w:rsidRDefault="00000000" w:rsidP="00033FEA">
      <w:pPr>
        <w:pStyle w:val="Ruller4"/>
      </w:pPr>
      <w:r>
        <w:rPr>
          <w:rtl/>
        </w:rPr>
        <w:t xml:space="preserve">על מנת לקבוע האם מדובר בחוזה למראית עין, נדרש להתחקות אחר כוונתם האמתית של הצדדים בעת כריתת החוזה. מדובר בשאלה עובדתית במהותה, הנלמדת מנסיבות העניין, כאשר הנטל להוכיח שהחוזה נעשה למראית עין בלבד, מוטל על שכמו של הטוען לכך. בשל טיבה של הטענה האמורה, ובפרט מקום בו הפער בין ההסכם הסמוי לבין זה הגלוי נועד להשיג תכלית בלתי חוקית, נדרשת רמה הוכחה מוגברת לצורך ביסוסה (עניין </w:t>
      </w:r>
      <w:r>
        <w:rPr>
          <w:rFonts w:ascii="Century" w:hAnsi="Century" w:cs="Miriam"/>
          <w:b/>
          <w:spacing w:val="0"/>
          <w:sz w:val="22"/>
          <w:szCs w:val="24"/>
          <w:rtl/>
        </w:rPr>
        <w:t>באשה</w:t>
      </w:r>
      <w:r>
        <w:rPr>
          <w:rFonts w:ascii="Century" w:hAnsi="Century"/>
          <w:sz w:val="22"/>
          <w:rtl/>
        </w:rPr>
        <w:t>,</w:t>
      </w:r>
      <w:r>
        <w:rPr>
          <w:rtl/>
        </w:rPr>
        <w:t xml:space="preserve"> בפסקה 37; עניין </w:t>
      </w:r>
      <w:r>
        <w:rPr>
          <w:rFonts w:ascii="Century" w:hAnsi="Century" w:cs="Miriam"/>
          <w:b/>
          <w:spacing w:val="0"/>
          <w:sz w:val="22"/>
          <w:szCs w:val="24"/>
          <w:rtl/>
        </w:rPr>
        <w:t>גטאס</w:t>
      </w:r>
      <w:r>
        <w:rPr>
          <w:rtl/>
        </w:rPr>
        <w:t xml:space="preserve">, בפסקה 7; עניין </w:t>
      </w:r>
      <w:r>
        <w:rPr>
          <w:rFonts w:ascii="Century" w:hAnsi="Century" w:cs="Miriam"/>
          <w:b/>
          <w:spacing w:val="0"/>
          <w:sz w:val="22"/>
          <w:szCs w:val="24"/>
          <w:rtl/>
        </w:rPr>
        <w:t>חזן</w:t>
      </w:r>
      <w:r>
        <w:rPr>
          <w:rtl/>
        </w:rPr>
        <w:t xml:space="preserve">, בפסקה 25; </w:t>
      </w:r>
      <w:hyperlink r:id="rId22"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545/79</w:t>
        </w:r>
      </w:hyperlink>
      <w:r>
        <w:rPr>
          <w:rtl/>
        </w:rPr>
        <w:t xml:space="preserve"> </w:t>
      </w:r>
      <w:r>
        <w:rPr>
          <w:rFonts w:ascii="Century" w:hAnsi="Century" w:cs="Miriam"/>
          <w:b/>
          <w:spacing w:val="0"/>
          <w:sz w:val="22"/>
          <w:szCs w:val="24"/>
          <w:rtl/>
        </w:rPr>
        <w:t>בראונר נ' דיאמסלס פ.ו.ב.א.</w:t>
      </w:r>
      <w:r>
        <w:rPr>
          <w:rtl/>
        </w:rPr>
        <w:t xml:space="preserve">, פ"ד לח(2) 191, 198 (1984)). </w:t>
      </w:r>
    </w:p>
    <w:p w14:paraId="321BB4C8" w14:textId="77777777" w:rsidR="00033FEA" w:rsidRDefault="00033FEA" w:rsidP="00033FEA">
      <w:pPr>
        <w:pStyle w:val="Ruller4"/>
        <w:numPr>
          <w:ilvl w:val="0"/>
          <w:numId w:val="0"/>
        </w:numPr>
        <w:rPr>
          <w:rtl/>
        </w:rPr>
      </w:pPr>
    </w:p>
    <w:p w14:paraId="6BF3300D" w14:textId="77777777" w:rsidR="00033FEA" w:rsidRDefault="00000000" w:rsidP="00033FEA">
      <w:pPr>
        <w:pStyle w:val="Ruller4"/>
        <w:rPr>
          <w:rtl/>
        </w:rPr>
      </w:pPr>
      <w:r>
        <w:rPr>
          <w:rtl/>
        </w:rPr>
        <w:t>באשר לסעד הניתן מקום שבו נקבע כי בחוזה למראית עין עסקינן –</w:t>
      </w:r>
      <w:r>
        <w:rPr>
          <w:rFonts w:ascii="Century" w:hAnsi="Century" w:cs="Miriam"/>
          <w:b/>
          <w:spacing w:val="0"/>
          <w:sz w:val="22"/>
          <w:szCs w:val="24"/>
          <w:rtl/>
        </w:rPr>
        <w:t xml:space="preserve"> </w:t>
      </w:r>
      <w:hyperlink r:id="rId23" w:history="1">
        <w:r w:rsidR="00C36C5B" w:rsidRPr="00C36C5B">
          <w:rPr>
            <w:rStyle w:val="Hyperlink"/>
            <w:rFonts w:ascii="Century" w:hAnsi="Century" w:hint="eastAsia"/>
            <w:sz w:val="22"/>
            <w:rtl/>
          </w:rPr>
          <w:t>סעיף</w:t>
        </w:r>
        <w:r w:rsidR="00C36C5B" w:rsidRPr="00C36C5B">
          <w:rPr>
            <w:rStyle w:val="Hyperlink"/>
            <w:rFonts w:ascii="Century" w:hAnsi="Century"/>
            <w:sz w:val="22"/>
            <w:rtl/>
          </w:rPr>
          <w:t xml:space="preserve"> 13</w:t>
        </w:r>
      </w:hyperlink>
      <w:r>
        <w:rPr>
          <w:rFonts w:ascii="Century" w:hAnsi="Century"/>
          <w:sz w:val="22"/>
          <w:rtl/>
        </w:rPr>
        <w:t xml:space="preserve"> ל</w:t>
      </w:r>
      <w:hyperlink r:id="rId24" w:history="1">
        <w:r w:rsidR="004B1D70" w:rsidRPr="004B1D70">
          <w:rPr>
            <w:rFonts w:ascii="Century" w:hAnsi="Century" w:hint="eastAsia"/>
            <w:color w:val="0000FF"/>
            <w:sz w:val="22"/>
            <w:u w:val="single"/>
            <w:rtl/>
          </w:rPr>
          <w:t>חוק</w:t>
        </w:r>
        <w:r w:rsidR="004B1D70" w:rsidRPr="004B1D70">
          <w:rPr>
            <w:rFonts w:ascii="Century" w:hAnsi="Century"/>
            <w:color w:val="0000FF"/>
            <w:sz w:val="22"/>
            <w:u w:val="single"/>
            <w:rtl/>
          </w:rPr>
          <w:t xml:space="preserve"> </w:t>
        </w:r>
        <w:r w:rsidR="004B1D70" w:rsidRPr="004B1D70">
          <w:rPr>
            <w:rFonts w:ascii="Century" w:hAnsi="Century" w:hint="eastAsia"/>
            <w:color w:val="0000FF"/>
            <w:sz w:val="22"/>
            <w:u w:val="single"/>
            <w:rtl/>
          </w:rPr>
          <w:t>החוזים</w:t>
        </w:r>
      </w:hyperlink>
      <w:r>
        <w:rPr>
          <w:rFonts w:ascii="Century" w:hAnsi="Century"/>
          <w:sz w:val="22"/>
          <w:rtl/>
        </w:rPr>
        <w:t xml:space="preserve"> (חלק כללי), התשל"ג-1973 (להלן: </w:t>
      </w:r>
      <w:r>
        <w:rPr>
          <w:rFonts w:ascii="Century" w:hAnsi="Century" w:cs="Miriam"/>
          <w:b/>
          <w:spacing w:val="0"/>
          <w:sz w:val="22"/>
          <w:szCs w:val="24"/>
          <w:rtl/>
        </w:rPr>
        <w:t>חוק החוזים</w:t>
      </w:r>
      <w:r>
        <w:rPr>
          <w:rFonts w:ascii="Century" w:hAnsi="Century"/>
          <w:sz w:val="22"/>
          <w:rtl/>
        </w:rPr>
        <w:t>) מורה לנו כי</w:t>
      </w:r>
      <w:r>
        <w:rPr>
          <w:rFonts w:ascii="Century" w:hAnsi="Century" w:cs="Miriam"/>
          <w:b/>
          <w:spacing w:val="0"/>
          <w:sz w:val="22"/>
          <w:szCs w:val="24"/>
          <w:rtl/>
        </w:rPr>
        <w:t xml:space="preserve"> "חוזה שנכרת למראית עין בלבד – בטל"</w:t>
      </w:r>
      <w:r>
        <w:rPr>
          <w:rtl/>
        </w:rPr>
        <w:t xml:space="preserve">. </w:t>
      </w:r>
      <w:r>
        <w:rPr>
          <w:rFonts w:ascii="David" w:hAnsi="David"/>
          <w:sz w:val="28"/>
          <w:rtl/>
        </w:rPr>
        <w:t>בטלות זו – שהיא בטלות מעיקרא של החוזה – עוגנה בהלכה ברצונם האמתי של הצדדים להסכם, כמי שלא התכוונו מלכתחילה להתקשר בחוזה שכרתו או לקיימו, והיא גוררת עמה חובת השבה של מה שהתקבל על-פי החוזה (</w:t>
      </w:r>
      <w:r>
        <w:rPr>
          <w:rFonts w:ascii="David" w:hAnsi="David"/>
          <w:rtl/>
        </w:rPr>
        <w:t xml:space="preserve">עניין </w:t>
      </w:r>
      <w:r>
        <w:rPr>
          <w:rFonts w:ascii="Century" w:hAnsi="Century" w:cs="Miriam"/>
          <w:b/>
          <w:spacing w:val="0"/>
          <w:sz w:val="22"/>
          <w:szCs w:val="24"/>
          <w:rtl/>
        </w:rPr>
        <w:t>באשה</w:t>
      </w:r>
      <w:r>
        <w:rPr>
          <w:rFonts w:ascii="David" w:hAnsi="David"/>
          <w:sz w:val="28"/>
          <w:rtl/>
        </w:rPr>
        <w:t xml:space="preserve">, בפסקה 35; </w:t>
      </w:r>
      <w:hyperlink r:id="rId25" w:history="1">
        <w:r w:rsidR="004B1D70" w:rsidRPr="004B1D70">
          <w:rPr>
            <w:rFonts w:ascii="David" w:hAnsi="David"/>
            <w:color w:val="0000FF"/>
            <w:sz w:val="28"/>
            <w:u w:val="single"/>
            <w:rtl/>
          </w:rPr>
          <w:t>ע"א 6634/15</w:t>
        </w:r>
      </w:hyperlink>
      <w:r>
        <w:rPr>
          <w:rFonts w:ascii="David" w:hAnsi="David"/>
          <w:sz w:val="28"/>
          <w:rtl/>
        </w:rPr>
        <w:t xml:space="preserve"> </w:t>
      </w:r>
      <w:r>
        <w:rPr>
          <w:rFonts w:ascii="Century" w:hAnsi="Century" w:cs="Miriam"/>
          <w:b/>
          <w:spacing w:val="0"/>
          <w:sz w:val="22"/>
          <w:szCs w:val="24"/>
          <w:rtl/>
        </w:rPr>
        <w:t>טופ במרחבי השרון ייזום בע"מ נ' קפלן</w:t>
      </w:r>
      <w:r>
        <w:rPr>
          <w:rFonts w:ascii="David" w:hAnsi="David"/>
          <w:rtl/>
        </w:rPr>
        <w:t xml:space="preserve">, </w:t>
      </w:r>
      <w:r>
        <w:rPr>
          <w:rFonts w:ascii="David" w:hAnsi="David"/>
          <w:sz w:val="28"/>
          <w:rtl/>
        </w:rPr>
        <w:t xml:space="preserve">פסקה 15 </w:t>
      </w:r>
      <w:r w:rsidR="00C3630B">
        <w:rPr>
          <w:rFonts w:hint="cs"/>
          <w:rtl/>
        </w:rPr>
        <w:t>[נבו]</w:t>
      </w:r>
      <w:r w:rsidR="00C3630B">
        <w:rPr>
          <w:rFonts w:ascii="David" w:hAnsi="David"/>
          <w:sz w:val="28"/>
          <w:rtl/>
        </w:rPr>
        <w:t xml:space="preserve"> </w:t>
      </w:r>
      <w:r>
        <w:rPr>
          <w:rFonts w:ascii="David" w:hAnsi="David"/>
          <w:sz w:val="28"/>
          <w:rtl/>
        </w:rPr>
        <w:t xml:space="preserve">(24.10.2017) (להלן: עניין </w:t>
      </w:r>
      <w:r>
        <w:rPr>
          <w:rFonts w:ascii="Century" w:hAnsi="Century" w:cs="Miriam"/>
          <w:b/>
          <w:spacing w:val="0"/>
          <w:sz w:val="22"/>
          <w:szCs w:val="24"/>
          <w:rtl/>
        </w:rPr>
        <w:t>טופ</w:t>
      </w:r>
      <w:r>
        <w:rPr>
          <w:rFonts w:ascii="Century" w:hAnsi="Century"/>
          <w:sz w:val="22"/>
          <w:rtl/>
        </w:rPr>
        <w:t>);</w:t>
      </w:r>
      <w:r>
        <w:rPr>
          <w:rFonts w:ascii="Century" w:hAnsi="Century" w:cs="Miriam"/>
          <w:b/>
          <w:spacing w:val="0"/>
          <w:sz w:val="22"/>
          <w:szCs w:val="24"/>
          <w:rtl/>
        </w:rPr>
        <w:t xml:space="preserve"> </w:t>
      </w:r>
      <w:hyperlink r:id="rId26"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4305/10</w:t>
        </w:r>
      </w:hyperlink>
      <w:r>
        <w:rPr>
          <w:rtl/>
        </w:rPr>
        <w:t xml:space="preserve"> </w:t>
      </w:r>
      <w:r>
        <w:rPr>
          <w:rFonts w:ascii="Century" w:hAnsi="Century" w:cs="Miriam"/>
          <w:b/>
          <w:spacing w:val="0"/>
          <w:sz w:val="22"/>
          <w:szCs w:val="24"/>
          <w:rtl/>
        </w:rPr>
        <w:t>אילן נ' לוי</w:t>
      </w:r>
      <w:r>
        <w:rPr>
          <w:rtl/>
        </w:rPr>
        <w:t xml:space="preserve">, פסקה 21 </w:t>
      </w:r>
      <w:r w:rsidR="00C3630B">
        <w:rPr>
          <w:rFonts w:hint="cs"/>
          <w:rtl/>
        </w:rPr>
        <w:t>[נבו]</w:t>
      </w:r>
      <w:r w:rsidR="00C3630B">
        <w:rPr>
          <w:rtl/>
        </w:rPr>
        <w:t xml:space="preserve"> </w:t>
      </w:r>
      <w:r>
        <w:rPr>
          <w:rtl/>
        </w:rPr>
        <w:t xml:space="preserve">(9.5.2012) (להלן: עניין </w:t>
      </w:r>
      <w:r>
        <w:rPr>
          <w:rFonts w:ascii="Century" w:hAnsi="Century" w:cs="Miriam"/>
          <w:b/>
          <w:spacing w:val="0"/>
          <w:sz w:val="22"/>
          <w:szCs w:val="24"/>
          <w:rtl/>
        </w:rPr>
        <w:t>אילן</w:t>
      </w:r>
      <w:r>
        <w:rPr>
          <w:rFonts w:ascii="Century" w:hAnsi="Century"/>
          <w:sz w:val="22"/>
          <w:rtl/>
        </w:rPr>
        <w:t>)</w:t>
      </w:r>
      <w:r>
        <w:rPr>
          <w:rtl/>
        </w:rPr>
        <w:t xml:space="preserve">; להרחבה ראו: </w:t>
      </w:r>
      <w:r>
        <w:rPr>
          <w:rFonts w:ascii="Century" w:hAnsi="Century" w:cs="Miriam"/>
          <w:b/>
          <w:spacing w:val="0"/>
          <w:sz w:val="22"/>
          <w:szCs w:val="24"/>
          <w:rtl/>
        </w:rPr>
        <w:t>שלו וצמח</w:t>
      </w:r>
      <w:r>
        <w:rPr>
          <w:rtl/>
        </w:rPr>
        <w:t>, בעמ' 319-302).</w:t>
      </w:r>
    </w:p>
    <w:p w14:paraId="6B8742EE" w14:textId="77777777" w:rsidR="00033FEA" w:rsidRDefault="00033FEA" w:rsidP="00033FEA">
      <w:pPr>
        <w:jc w:val="both"/>
        <w:rPr>
          <w:rFonts w:ascii="David" w:hAnsi="David"/>
          <w:sz w:val="28"/>
          <w:rtl/>
        </w:rPr>
      </w:pPr>
    </w:p>
    <w:p w14:paraId="3F1F86FE" w14:textId="77777777" w:rsidR="00033FEA" w:rsidRDefault="00000000" w:rsidP="00033FEA">
      <w:pPr>
        <w:pStyle w:val="Ruller4"/>
        <w:rPr>
          <w:rtl/>
        </w:rPr>
      </w:pPr>
      <w:r>
        <w:rPr>
          <w:rtl/>
        </w:rPr>
        <w:t xml:space="preserve">משהגענו לבחינת טענות המערערת לגופן, אדרש תחילה להוראות הסכמי המכר, הם לפי הנטען ההסכמים שנכרתו למראית עין בלבד, ולאחר מכן אפנה להוראות ההסדר המיוחד, שהוא העומד בלבו של הערעור. </w:t>
      </w:r>
    </w:p>
    <w:p w14:paraId="378A92B8" w14:textId="77777777" w:rsidR="00033FEA" w:rsidRDefault="00033FEA" w:rsidP="00033FEA">
      <w:pPr>
        <w:pStyle w:val="Ruller41"/>
        <w:rPr>
          <w:rFonts w:ascii="Century" w:hAnsi="Century" w:cs="Miriam"/>
          <w:b/>
          <w:spacing w:val="0"/>
          <w:szCs w:val="24"/>
          <w:rtl/>
        </w:rPr>
      </w:pPr>
    </w:p>
    <w:p w14:paraId="5A2B6B84" w14:textId="77777777" w:rsidR="00033FEA" w:rsidRDefault="00000000" w:rsidP="00033FEA">
      <w:pPr>
        <w:pStyle w:val="Ruller41"/>
        <w:rPr>
          <w:rtl/>
        </w:rPr>
      </w:pPr>
      <w:r>
        <w:rPr>
          <w:rFonts w:ascii="Century" w:hAnsi="Century" w:cs="Miriam"/>
          <w:b/>
          <w:spacing w:val="0"/>
          <w:szCs w:val="24"/>
          <w:rtl/>
        </w:rPr>
        <w:t>הסכם המכר ונספחיו</w:t>
      </w:r>
      <w:r>
        <w:rPr>
          <w:rtl/>
        </w:rPr>
        <w:t xml:space="preserve"> </w:t>
      </w:r>
    </w:p>
    <w:p w14:paraId="4EC89C84" w14:textId="77777777" w:rsidR="00033FEA" w:rsidRDefault="00033FEA" w:rsidP="00033FEA">
      <w:pPr>
        <w:pStyle w:val="Ruller41"/>
        <w:rPr>
          <w:rtl/>
        </w:rPr>
      </w:pPr>
    </w:p>
    <w:p w14:paraId="01294D92" w14:textId="77777777" w:rsidR="00033FEA" w:rsidRDefault="00000000" w:rsidP="00033FEA">
      <w:pPr>
        <w:pStyle w:val="Ruller4"/>
        <w:rPr>
          <w:rtl/>
        </w:rPr>
      </w:pPr>
      <w:r>
        <w:rPr>
          <w:rtl/>
        </w:rPr>
        <w:t xml:space="preserve">אין חולק, למעשה, שהסכמי המכר על נספחיהם משקפים עסקה לרכישת יחידת נופש מלונאית ששימוש הרוכש בה מוגבל למספר חודשים בשנה, ולא הסכם למגורי קבע ביחידת הנופש – זאת כמתחייב מהוראות התכנית החלה על המקרקעין ומהתחייבות המשיבה כלפי משרד התיירות והוועדה המקומית לתכנון ובניה נתניה (להלן: </w:t>
      </w:r>
      <w:r>
        <w:rPr>
          <w:rFonts w:ascii="Century" w:hAnsi="Century" w:cs="Miriam"/>
          <w:b/>
          <w:spacing w:val="0"/>
          <w:sz w:val="22"/>
          <w:szCs w:val="24"/>
          <w:rtl/>
        </w:rPr>
        <w:t>הוועדה המקומית</w:t>
      </w:r>
      <w:r>
        <w:rPr>
          <w:rtl/>
        </w:rPr>
        <w:t xml:space="preserve">). על פי ההתחייבות האמורה, חל על המשיבה איסור למכור </w:t>
      </w:r>
      <w:r>
        <w:rPr>
          <w:rtl/>
        </w:rPr>
        <w:lastRenderedPageBreak/>
        <w:t xml:space="preserve">את יחידות הנופש למטרת מגורים, ומכירתן כפופה לייעוד המלונאי של הקרקע. הדבר בא לידי ביטוי מפורש </w:t>
      </w:r>
      <w:r>
        <w:rPr>
          <w:rFonts w:ascii="Century" w:hAnsi="Century" w:cs="Miriam"/>
          <w:b/>
          <w:spacing w:val="0"/>
          <w:sz w:val="22"/>
          <w:szCs w:val="24"/>
          <w:rtl/>
        </w:rPr>
        <w:t>ב"כתב התחייבות"</w:t>
      </w:r>
      <w:r>
        <w:rPr>
          <w:rtl/>
        </w:rPr>
        <w:t xml:space="preserve">, עליו חתמה המשיבה, הממוען למשרד התיירות ולוועדה המקומית, אשר צורף לפי מצוות הרשויות להסכמי המכר בהם התקשרה עם רוכשי היחידות. בכתב ההתחייבות האמור, התחייבה המשיבה לבנות את המלון ולהפעילו בהתאם לתכניות החלות על המקרקעין, ובהתאם לייעודם. עוד התחייבה </w:t>
      </w:r>
      <w:r>
        <w:rPr>
          <w:rFonts w:ascii="Century" w:hAnsi="Century" w:cs="Miriam"/>
          <w:b/>
          <w:spacing w:val="0"/>
          <w:sz w:val="22"/>
          <w:szCs w:val="24"/>
          <w:rtl/>
        </w:rPr>
        <w:t>"לתפעולו המלונאי של הפרוייקט כמלון סוויטות [...] (ולא כמבנה מגורים)"</w:t>
      </w:r>
      <w:r>
        <w:rPr>
          <w:rtl/>
        </w:rPr>
        <w:t xml:space="preserve">, ולהטמעת התחייבויותיה אלה בהסכמי המכר ובהסכמי הניהול המלונאי שצורפו להתחייבותה. בנספח א' לכתב ההתחייבות, המפרט את </w:t>
      </w:r>
      <w:r>
        <w:rPr>
          <w:rFonts w:ascii="Century" w:hAnsi="Century" w:cs="Miriam"/>
          <w:b/>
          <w:spacing w:val="0"/>
          <w:sz w:val="22"/>
          <w:szCs w:val="24"/>
          <w:rtl/>
        </w:rPr>
        <w:t>"עקרונות הניהול המלונאי"</w:t>
      </w:r>
      <w:r>
        <w:rPr>
          <w:rtl/>
        </w:rPr>
        <w:t xml:space="preserve"> של המלון, הוסיפה המשיבה והתחייבה כי הסכמי המכר שייחתמו עם רוכשי היחידות יכללו הגבלה של זכויות השימוש ביחידות, במובן זה שהרוכשים יורשו לעשות שימוש ביחידותיהם משך תקופה שלא תעלה על שלושה חודשים בשנה. לצד זאת נקבע, כי ביתרת חודשי השנה יידרשו הרוכשים להעמיד את יחידותיהם לרשות חברת הניהול המלונאי לשם השכרתה לשימוש מלונאי. כך באו הדברים לידי ביטוי בכתב ההתחייבות:</w:t>
      </w:r>
    </w:p>
    <w:p w14:paraId="289196CF" w14:textId="77777777" w:rsidR="00033FEA" w:rsidRDefault="00000000" w:rsidP="00033FEA">
      <w:pPr>
        <w:pStyle w:val="Ruller4"/>
        <w:numPr>
          <w:ilvl w:val="0"/>
          <w:numId w:val="0"/>
        </w:numPr>
      </w:pPr>
      <w:r>
        <w:rPr>
          <w:rtl/>
        </w:rPr>
        <w:tab/>
      </w:r>
      <w:r>
        <w:rPr>
          <w:rtl/>
        </w:rPr>
        <w:tab/>
      </w:r>
    </w:p>
    <w:p w14:paraId="74534296" w14:textId="77777777" w:rsidR="00033FEA" w:rsidRDefault="00000000" w:rsidP="00033FEA">
      <w:pPr>
        <w:pStyle w:val="Ruller4"/>
        <w:numPr>
          <w:ilvl w:val="0"/>
          <w:numId w:val="0"/>
        </w:numPr>
        <w:spacing w:line="240" w:lineRule="auto"/>
        <w:ind w:left="1786" w:right="1559"/>
        <w:rPr>
          <w:rtl/>
        </w:rPr>
      </w:pPr>
      <w:r>
        <w:rPr>
          <w:rtl/>
        </w:rPr>
        <w:t xml:space="preserve">"בכוונת הבעלים למכור יחידות אירוח בפרוייקט. במסגרת הסכמי המכר יוגבלו זכויות הרוכש ביחידות האירוח, באופן בו בעל יחידות האירוח יהיה רשאי לעשות שימוש ביחידת האירוח במשך </w:t>
      </w:r>
      <w:r>
        <w:rPr>
          <w:u w:val="single"/>
          <w:rtl/>
        </w:rPr>
        <w:t>תקופה שלא [תעלה] על 3 חודשים בשנה במצטבר</w:t>
      </w:r>
      <w:r>
        <w:rPr>
          <w:rtl/>
        </w:rPr>
        <w:t xml:space="preserve"> (להלן: "תקופת השימוש העצמי"). ביתרת השנה, תחול על כל רוכש חובה להעמיד את יחידת האירוח לרשות חברת הניהול המלונאי, לצורך השכרתה לשימוש מלונאי. בנוסף, יחוייב הרוכש, במסגרת הסכם המכר, לחתום על הסכם ניהול עם חברת הניהול המלונאי, במסגרתו יתחייב, בין היתר, למסור את ניהול יחידת האירוח והשטחים הציבוריים במלון הסוויטות לחברת הניהול המלונאי" (ההדגשה במקור. וראו גם: סעיף 5 לנספח ז' לכתב ההתחייבות "עקרונות הסכם הניהול").</w:t>
      </w:r>
    </w:p>
    <w:p w14:paraId="392E7375" w14:textId="77777777" w:rsidR="00033FEA" w:rsidRDefault="00033FEA" w:rsidP="00033FEA">
      <w:pPr>
        <w:pStyle w:val="Ruller41"/>
        <w:rPr>
          <w:rtl/>
        </w:rPr>
      </w:pPr>
    </w:p>
    <w:p w14:paraId="46103495" w14:textId="77777777" w:rsidR="00033FEA" w:rsidRDefault="00000000" w:rsidP="00033FEA">
      <w:pPr>
        <w:pStyle w:val="Ruller41"/>
        <w:rPr>
          <w:rtl/>
        </w:rPr>
      </w:pPr>
      <w:r>
        <w:rPr>
          <w:rtl/>
        </w:rPr>
        <w:tab/>
        <w:t>על יסודה של התחייבות זו ניתן היתר הבניה להקמת הפרויקט (ראו: סעיפים 7 ו-9 לכתב ההתחייבות), והיא העומדת בבסיס ההסכמים שנכרתו עם רוכשי היחידות.</w:t>
      </w:r>
    </w:p>
    <w:p w14:paraId="76BE133D" w14:textId="77777777" w:rsidR="00033FEA" w:rsidRDefault="00033FEA" w:rsidP="00033FEA">
      <w:pPr>
        <w:pStyle w:val="Ruller41"/>
        <w:rPr>
          <w:rtl/>
        </w:rPr>
      </w:pPr>
    </w:p>
    <w:p w14:paraId="74F50690" w14:textId="77777777" w:rsidR="00033FEA" w:rsidRDefault="00000000" w:rsidP="00033FEA">
      <w:pPr>
        <w:pStyle w:val="Ruller4"/>
      </w:pPr>
      <w:r>
        <w:rPr>
          <w:rtl/>
        </w:rPr>
        <w:t xml:space="preserve">ואכן, </w:t>
      </w:r>
      <w:r>
        <w:rPr>
          <w:rFonts w:ascii="Century" w:hAnsi="Century" w:cs="Miriam"/>
          <w:b/>
          <w:spacing w:val="0"/>
          <w:sz w:val="22"/>
          <w:szCs w:val="24"/>
          <w:rtl/>
        </w:rPr>
        <w:t>הסכם המכר ונספחיו</w:t>
      </w:r>
      <w:r>
        <w:rPr>
          <w:rtl/>
        </w:rPr>
        <w:t xml:space="preserve"> מחרים מחזיקים בעיקרם אחרי ההתחייבות האמורה. אלה כוללים שורה של תניות חוזיות המלמדות כי "הפרויקט" שבענייננו הוא פרויקט מסוג "מלון סוויטות"; כי ייעוד הקרקע נקבע לתכלית של מלונאות, תיירות קיט </w:t>
      </w:r>
      <w:r>
        <w:rPr>
          <w:rtl/>
        </w:rPr>
        <w:lastRenderedPageBreak/>
        <w:t xml:space="preserve">ונופש; וכי הרוכש מתחייב להשתמש ביחידת הנופש על פי היעוד האמור (סעיף 3.ב להסכם המכר). עוד הובהר לרוכש כי עליו להתקשר עם חברת הניהול בהסכם ניהול מלונאי, ולהעמיד את יחידתו לרשות המאגר המלונאי לצורך השכרתה לציבור הרחב למשך </w:t>
      </w:r>
      <w:r>
        <w:rPr>
          <w:rFonts w:ascii="Century" w:hAnsi="Century" w:cs="Miriam"/>
          <w:b/>
          <w:spacing w:val="0"/>
          <w:sz w:val="22"/>
          <w:szCs w:val="24"/>
          <w:rtl/>
        </w:rPr>
        <w:t>"מרבית ימות השנה"</w:t>
      </w:r>
      <w:r>
        <w:rPr>
          <w:rtl/>
        </w:rPr>
        <w:t xml:space="preserve"> (סעיפים 29 ו-33 להסכם המכר). </w:t>
      </w:r>
    </w:p>
    <w:p w14:paraId="7709C8CE" w14:textId="77777777" w:rsidR="00033FEA" w:rsidRDefault="00033FEA" w:rsidP="00033FEA">
      <w:pPr>
        <w:pStyle w:val="Ruller41"/>
        <w:rPr>
          <w:rtl/>
        </w:rPr>
      </w:pPr>
    </w:p>
    <w:p w14:paraId="4D6988D6" w14:textId="77777777" w:rsidR="00033FEA" w:rsidRDefault="00000000" w:rsidP="00033FEA">
      <w:pPr>
        <w:pStyle w:val="Ruller4"/>
        <w:numPr>
          <w:ilvl w:val="0"/>
          <w:numId w:val="0"/>
        </w:numPr>
        <w:rPr>
          <w:rtl/>
        </w:rPr>
      </w:pPr>
      <w:r>
        <w:rPr>
          <w:rtl/>
        </w:rPr>
        <w:tab/>
        <w:t xml:space="preserve">גם הסכם הניהול המלונאי, הוא </w:t>
      </w:r>
      <w:r>
        <w:rPr>
          <w:rFonts w:ascii="Century" w:hAnsi="Century" w:cs="Miriam"/>
          <w:b/>
          <w:spacing w:val="0"/>
          <w:sz w:val="22"/>
          <w:szCs w:val="24"/>
          <w:rtl/>
        </w:rPr>
        <w:t>"הסכם לניהול מאגר יחידות"</w:t>
      </w:r>
      <w:r>
        <w:rPr>
          <w:rtl/>
        </w:rPr>
        <w:t xml:space="preserve"> שצורף להסכם המכר (להלן: </w:t>
      </w:r>
      <w:r>
        <w:rPr>
          <w:rFonts w:ascii="Century" w:hAnsi="Century" w:cs="Miriam"/>
          <w:b/>
          <w:spacing w:val="0"/>
          <w:sz w:val="22"/>
          <w:szCs w:val="24"/>
          <w:rtl/>
        </w:rPr>
        <w:t>הסכם הניהול</w:t>
      </w:r>
      <w:r>
        <w:rPr>
          <w:rtl/>
        </w:rPr>
        <w:t>), מעגן את התחייבותו של הרוכש להעמיד את יחידתו לרשות מאגר היחידות המלונאי לשם השכרתה לשימוש מלונאי (ה"הואיל" החמישי, סעיף 3, סעיף 5 להסכם הניהול); את הגבלת שימושו ביחידה שתועמד לרשותו ל</w:t>
      </w:r>
      <w:r>
        <w:rPr>
          <w:rFonts w:ascii="Century" w:hAnsi="Century" w:cs="Miriam"/>
          <w:b/>
          <w:spacing w:val="0"/>
          <w:sz w:val="22"/>
          <w:szCs w:val="24"/>
          <w:rtl/>
        </w:rPr>
        <w:t>"משך תקופה מצטברת של עד 6 חודשים פחות יום בכל שנה קלנדרית"</w:t>
      </w:r>
      <w:r>
        <w:rPr>
          <w:rtl/>
        </w:rPr>
        <w:t xml:space="preserve"> (סעיף 6.1 להסכם);</w:t>
      </w:r>
      <w:r>
        <w:rPr>
          <w:rFonts w:hint="cs"/>
        </w:rPr>
        <w:t xml:space="preserve"> </w:t>
      </w:r>
      <w:r>
        <w:rPr>
          <w:rtl/>
        </w:rPr>
        <w:t>ואת אופן השתתפותו ברווחי מאגר היחידות (סעיפים 8-7 להסכם).</w:t>
      </w:r>
    </w:p>
    <w:p w14:paraId="64B35946" w14:textId="77777777" w:rsidR="00033FEA" w:rsidRDefault="00000000" w:rsidP="00033FEA">
      <w:pPr>
        <w:pStyle w:val="Ruller4"/>
        <w:numPr>
          <w:ilvl w:val="0"/>
          <w:numId w:val="0"/>
        </w:numPr>
        <w:rPr>
          <w:rtl/>
        </w:rPr>
      </w:pPr>
      <w:r>
        <w:rPr>
          <w:rtl/>
        </w:rPr>
        <w:t xml:space="preserve"> </w:t>
      </w:r>
    </w:p>
    <w:p w14:paraId="4F74C2F9" w14:textId="77777777" w:rsidR="00033FEA" w:rsidRDefault="00000000" w:rsidP="00033FEA">
      <w:pPr>
        <w:pStyle w:val="Ruller4"/>
        <w:rPr>
          <w:rtl/>
        </w:rPr>
      </w:pPr>
      <w:r>
        <w:rPr>
          <w:rtl/>
        </w:rPr>
        <w:t xml:space="preserve">אעיר, כפי שניתן להתרשם כבר בשלב זה, כי חרף התחייבות המשיבה כלפי הרשויות לפיה יועמדו היחידות לשימוש רוכשיהן לפרק זמן שלא יעלה על שלושה חודשים בשנה (סעיף 3 לנספח א לכתב ההתחייבות; סעיף 2 לנספח ז לכתב ההתחייבות; וראו גם סעיף 3(ה) להסכם המכר בו פורטה עמדתו של משרד התיירות המחייבת העמדת היחידות להשכרה מלונאית </w:t>
      </w:r>
      <w:r>
        <w:rPr>
          <w:rFonts w:ascii="Century" w:hAnsi="Century" w:cs="Miriam"/>
          <w:b/>
          <w:spacing w:val="0"/>
          <w:sz w:val="22"/>
          <w:szCs w:val="24"/>
          <w:rtl/>
        </w:rPr>
        <w:t>"למשך תשעה חודשים בשנה"</w:t>
      </w:r>
      <w:r>
        <w:rPr>
          <w:rtl/>
        </w:rPr>
        <w:t xml:space="preserve">), הפרה המשיבה את התחייבותה זו שעה שבחלק מן המסמכים צוין כי הרוכש יהיה רשאי להשתמש ביחידתו לפרק זמן של "עד 6 חודשים פחות יום בכל שנה קלנדרית" (וראו: סעיף 3.ו להסכם המכר; סעיף 6.1 להסכם הניהול). מכל מקום, אין חולק כי הסכם המכר על נספחיו הקנה למערערת זכות שימוש מוגבלת ביחידותיה לפרק זמן של מספר חודשים בשנה ולא שימוש למגורי קבע. </w:t>
      </w:r>
    </w:p>
    <w:p w14:paraId="4D689D8D" w14:textId="77777777" w:rsidR="00033FEA" w:rsidRDefault="00033FEA" w:rsidP="00033FEA">
      <w:pPr>
        <w:pStyle w:val="Ruller41"/>
        <w:rPr>
          <w:rtl/>
        </w:rPr>
      </w:pPr>
    </w:p>
    <w:p w14:paraId="417114EC" w14:textId="77777777" w:rsidR="00033FEA" w:rsidRDefault="00000000" w:rsidP="00033FEA">
      <w:pPr>
        <w:pStyle w:val="Ruller41"/>
      </w:pPr>
      <w:r>
        <w:rPr>
          <w:rFonts w:ascii="Century" w:hAnsi="Century" w:cs="Miriam"/>
          <w:b/>
          <w:spacing w:val="0"/>
          <w:szCs w:val="24"/>
          <w:rtl/>
        </w:rPr>
        <w:t>ההסדר המיוחד</w:t>
      </w:r>
    </w:p>
    <w:p w14:paraId="2A3C6E63" w14:textId="77777777" w:rsidR="00033FEA" w:rsidRDefault="00033FEA" w:rsidP="00033FEA">
      <w:pPr>
        <w:pStyle w:val="Ruller41"/>
        <w:rPr>
          <w:rtl/>
        </w:rPr>
      </w:pPr>
    </w:p>
    <w:p w14:paraId="6B639ED5" w14:textId="77777777" w:rsidR="00033FEA" w:rsidRDefault="00000000" w:rsidP="00033FEA">
      <w:pPr>
        <w:pStyle w:val="Ruller4"/>
        <w:rPr>
          <w:rtl/>
        </w:rPr>
      </w:pPr>
      <w:r>
        <w:rPr>
          <w:rtl/>
        </w:rPr>
        <w:t xml:space="preserve">לב הערעור הוא בטענת המערערת כי הסכם המכר אינו משקף את זכויות השימוש שהוענקו לה ביחידת הנופש, וכי לצד הסכם זה, שנכרת למראית עין בלבד, נכרת חוזה סמוי המקנה לה זכות למגורי קבע ביחידות הנופש ללא כל הגבלה וללא תשלום נוסף. את טענותיה אלה נוטעת המערערת, בעיקרו של דבר, במסמכי ההסדר המיוחד המגלמים לטענתה, על פי תוכנם, הסכמה להענקת זכות שימוש ביחידות הדיור לאורך כל ימות השנה. המערערת מוסיפה וטוענת, כי אין בתנאים המיוחדים שנקבעו </w:t>
      </w:r>
      <w:r>
        <w:rPr>
          <w:rtl/>
        </w:rPr>
        <w:lastRenderedPageBreak/>
        <w:t xml:space="preserve">לתקופות הנוספות כדי להטיל עליה תשלום נוסף, באופן שמלמד כי הזכות שניתנה לה בהסדר המיוחד שקולה בפועל לזכות למגורי קבע ביחידות הנופש. </w:t>
      </w:r>
    </w:p>
    <w:p w14:paraId="67D14D88" w14:textId="77777777" w:rsidR="00033FEA" w:rsidRDefault="00033FEA" w:rsidP="00033FEA">
      <w:pPr>
        <w:pStyle w:val="Ruller41"/>
        <w:rPr>
          <w:rtl/>
        </w:rPr>
      </w:pPr>
    </w:p>
    <w:p w14:paraId="639859DC" w14:textId="77777777" w:rsidR="00033FEA" w:rsidRDefault="00000000" w:rsidP="00033FEA">
      <w:pPr>
        <w:pStyle w:val="Ruller4"/>
        <w:rPr>
          <w:rtl/>
        </w:rPr>
      </w:pPr>
      <w:r>
        <w:rPr>
          <w:rtl/>
        </w:rPr>
        <w:t>לאחר שעיינתי, ושבתי ועיינתי, בטענות הצדדים ובהוראות מסמכי ההסדר המיוחד, שאינן פשוטות לפענוח, הגעתי כאמור לכלל מסקנה כי עלה בידי המערערת להוכיח כי ההסדר המיוחד העניק לה זכות לעשות ביחידותיה שימוש של קבע במשך כל ימות השנה, ובתוך כך פטר אותה מן החובה להעמידן לרשות המאגר המלונאי בחלק מחודשי השנה. הסדר זה אף יושם בפועל על-ידי המשיבה וחברת הניהול, ללא עוררין, לאורך תקופה של כחמש שנים, החל ממועד מסירת היחידות למערערת ועד להחלטת בית משפט של פירוק שהורה לרוכשי היחידות להעמיד את היחידות לרשות המאגר המלונאי.</w:t>
      </w:r>
    </w:p>
    <w:p w14:paraId="66BC25A3" w14:textId="77777777" w:rsidR="00033FEA" w:rsidRDefault="00033FEA" w:rsidP="00033FEA">
      <w:pPr>
        <w:pStyle w:val="Ruller4"/>
        <w:numPr>
          <w:ilvl w:val="0"/>
          <w:numId w:val="0"/>
        </w:numPr>
        <w:rPr>
          <w:rtl/>
        </w:rPr>
      </w:pPr>
    </w:p>
    <w:p w14:paraId="5AFCBA73" w14:textId="77777777" w:rsidR="00033FEA" w:rsidRDefault="00000000" w:rsidP="00033FEA">
      <w:pPr>
        <w:pStyle w:val="Ruller4"/>
        <w:rPr>
          <w:rtl/>
        </w:rPr>
      </w:pPr>
      <w:r>
        <w:rPr>
          <w:rtl/>
        </w:rPr>
        <w:t xml:space="preserve">אבחן אפוא את מסמכי ההסדר המיוחד. כזכור, בפרוטוקול שנמסר למערערת צוין, בין היתר, כדלהלן: </w:t>
      </w:r>
    </w:p>
    <w:p w14:paraId="2C89BE9F" w14:textId="77777777" w:rsidR="00033FEA" w:rsidRDefault="00033FEA" w:rsidP="00033FEA">
      <w:pPr>
        <w:pStyle w:val="Ruller41"/>
      </w:pPr>
    </w:p>
    <w:p w14:paraId="3B62A25E" w14:textId="77777777" w:rsidR="00033FEA" w:rsidRDefault="00000000" w:rsidP="00033FEA">
      <w:pPr>
        <w:pStyle w:val="Ruller5"/>
        <w:ind w:left="2004"/>
        <w:rPr>
          <w:rtl/>
        </w:rPr>
      </w:pPr>
      <w:r>
        <w:rPr>
          <w:rtl/>
        </w:rPr>
        <w:t>"א. בעל יחידה בפרויקט יורשה לשכור באמצעות חב' הניהול את היחידה שבבעלותו לתקופות נוספות מעבר לזמן שעומדת לשימושו עפ"י הוראות היתר הבניה ו/או הוראות משרד התיירות בתנאים מיוחדים ובהתאם לנוהלים שנקבעו בהסכם הניהול.</w:t>
      </w:r>
    </w:p>
    <w:p w14:paraId="51FBCA5D" w14:textId="77777777" w:rsidR="00033FEA" w:rsidRDefault="00033FEA" w:rsidP="00033FEA">
      <w:pPr>
        <w:pStyle w:val="Ruller5"/>
      </w:pPr>
    </w:p>
    <w:p w14:paraId="438F1FEF" w14:textId="77777777" w:rsidR="00033FEA" w:rsidRDefault="00000000" w:rsidP="00033FEA">
      <w:pPr>
        <w:pStyle w:val="Ruller5"/>
        <w:ind w:left="2004"/>
        <w:rPr>
          <w:rtl/>
        </w:rPr>
      </w:pPr>
      <w:r>
        <w:rPr>
          <w:rtl/>
        </w:rPr>
        <w:t>ב. הזכות הנ"ל הינה אך ורק לבעל היחידה כאמור ולבני משפחתו בדרגה ראשונה (הורים-צאצאים)".</w:t>
      </w:r>
    </w:p>
    <w:p w14:paraId="64C8FEF8" w14:textId="77777777" w:rsidR="00033FEA" w:rsidRDefault="00033FEA" w:rsidP="00033FEA">
      <w:pPr>
        <w:pStyle w:val="Ruller4"/>
        <w:numPr>
          <w:ilvl w:val="0"/>
          <w:numId w:val="0"/>
        </w:numPr>
        <w:rPr>
          <w:rtl/>
        </w:rPr>
      </w:pPr>
    </w:p>
    <w:p w14:paraId="0DEA668F" w14:textId="77777777" w:rsidR="00033FEA" w:rsidRDefault="00000000" w:rsidP="00033FEA">
      <w:pPr>
        <w:pStyle w:val="Ruller4"/>
        <w:numPr>
          <w:ilvl w:val="0"/>
          <w:numId w:val="0"/>
        </w:numPr>
        <w:rPr>
          <w:rtl/>
        </w:rPr>
      </w:pPr>
      <w:r>
        <w:rPr>
          <w:rtl/>
        </w:rPr>
        <w:tab/>
        <w:t xml:space="preserve">המשיבים מדגישים בטיעוניהם כי מסמך זה העניק למערערת זכות </w:t>
      </w:r>
      <w:r>
        <w:rPr>
          <w:rFonts w:ascii="Century" w:hAnsi="Century" w:cs="Miriam"/>
          <w:b/>
          <w:spacing w:val="0"/>
          <w:sz w:val="22"/>
          <w:szCs w:val="24"/>
          <w:rtl/>
        </w:rPr>
        <w:t>"לשכור"</w:t>
      </w:r>
      <w:r>
        <w:rPr>
          <w:rtl/>
        </w:rPr>
        <w:t xml:space="preserve"> את יחידת הנופש </w:t>
      </w:r>
      <w:r>
        <w:rPr>
          <w:rFonts w:ascii="Century" w:hAnsi="Century" w:cs="Miriam"/>
          <w:b/>
          <w:spacing w:val="0"/>
          <w:sz w:val="22"/>
          <w:szCs w:val="24"/>
          <w:rtl/>
        </w:rPr>
        <w:t>"לתקופות נוספות"</w:t>
      </w:r>
      <w:r>
        <w:rPr>
          <w:rFonts w:ascii="Century" w:hAnsi="Century"/>
          <w:sz w:val="22"/>
          <w:rtl/>
        </w:rPr>
        <w:t>,</w:t>
      </w:r>
      <w:r>
        <w:rPr>
          <w:rFonts w:ascii="Century" w:hAnsi="Century" w:cs="Miriam"/>
          <w:b/>
          <w:spacing w:val="0"/>
          <w:sz w:val="22"/>
          <w:szCs w:val="24"/>
          <w:rtl/>
        </w:rPr>
        <w:t xml:space="preserve"> </w:t>
      </w:r>
      <w:r>
        <w:rPr>
          <w:rtl/>
        </w:rPr>
        <w:t xml:space="preserve">ולא זכות לשימוש קבע ללא תשלום נוסף. המערערת טוענת מנגד, כי אין מדובר בהשכרה כמובנה על-פי דין, משזו לא הותנתה בתשלום ומשמעותה המעשית על פי תנאי מסמך התנאים המיוחדים היא – הענקת זכות לשימוש קבע ללא הגבלה וללא תשלום נוסף </w:t>
      </w:r>
      <w:r>
        <w:rPr>
          <w:b/>
          <w:rtl/>
        </w:rPr>
        <w:t>(</w:t>
      </w:r>
      <w:r>
        <w:rPr>
          <w:rtl/>
        </w:rPr>
        <w:t xml:space="preserve">והשוו להגדרת "שכירות" </w:t>
      </w:r>
      <w:hyperlink r:id="rId27" w:history="1">
        <w:r w:rsidR="00C36C5B" w:rsidRPr="00C36C5B">
          <w:rPr>
            <w:rStyle w:val="Hyperlink"/>
            <w:rFonts w:hint="eastAsia"/>
            <w:rtl/>
          </w:rPr>
          <w:t>בסעיף</w:t>
        </w:r>
        <w:r w:rsidR="00C36C5B" w:rsidRPr="00C36C5B">
          <w:rPr>
            <w:rStyle w:val="Hyperlink"/>
            <w:rtl/>
          </w:rPr>
          <w:t xml:space="preserve"> 3</w:t>
        </w:r>
      </w:hyperlink>
      <w:r>
        <w:rPr>
          <w:rtl/>
        </w:rPr>
        <w:t xml:space="preserve"> ל</w:t>
      </w:r>
      <w:hyperlink r:id="rId28" w:history="1">
        <w:r w:rsidR="004B1D70" w:rsidRPr="004B1D70">
          <w:rPr>
            <w:rFonts w:hint="eastAsia"/>
            <w:color w:val="0000FF"/>
            <w:u w:val="single"/>
            <w:rtl/>
          </w:rPr>
          <w:t>חוק</w:t>
        </w:r>
        <w:r w:rsidR="004B1D70" w:rsidRPr="004B1D70">
          <w:rPr>
            <w:color w:val="0000FF"/>
            <w:u w:val="single"/>
            <w:rtl/>
          </w:rPr>
          <w:t xml:space="preserve"> </w:t>
        </w:r>
        <w:r w:rsidR="004B1D70" w:rsidRPr="004B1D70">
          <w:rPr>
            <w:rFonts w:hint="eastAsia"/>
            <w:color w:val="0000FF"/>
            <w:u w:val="single"/>
            <w:rtl/>
          </w:rPr>
          <w:t>המקרקעין</w:t>
        </w:r>
      </w:hyperlink>
      <w:r>
        <w:rPr>
          <w:rtl/>
        </w:rPr>
        <w:t>, התשכ"ט-1969, כ</w:t>
      </w:r>
      <w:r>
        <w:rPr>
          <w:rFonts w:ascii="Century" w:hAnsi="Century" w:cs="Miriam"/>
          <w:b/>
          <w:spacing w:val="0"/>
          <w:sz w:val="22"/>
          <w:szCs w:val="24"/>
          <w:rtl/>
        </w:rPr>
        <w:t>"זכות שהוקנתה בתמורה להחזיק במקרקעין ולהשתמש בהם שלא לצמיתות"</w:t>
      </w:r>
      <w:r>
        <w:rPr>
          <w:rtl/>
        </w:rPr>
        <w:t xml:space="preserve">). </w:t>
      </w:r>
    </w:p>
    <w:p w14:paraId="746D3617" w14:textId="77777777" w:rsidR="00033FEA" w:rsidRDefault="00033FEA" w:rsidP="00033FEA">
      <w:pPr>
        <w:pStyle w:val="Ruller41"/>
      </w:pPr>
    </w:p>
    <w:p w14:paraId="1CC10EC3" w14:textId="77777777" w:rsidR="00033FEA" w:rsidRDefault="00000000" w:rsidP="00033FEA">
      <w:pPr>
        <w:pStyle w:val="Ruller4"/>
        <w:rPr>
          <w:rtl/>
        </w:rPr>
      </w:pPr>
      <w:r>
        <w:rPr>
          <w:rtl/>
        </w:rPr>
        <w:t xml:space="preserve">לאמיתו של דבר, יש בעמדת המשיבים משום הודאה בכך שלעניין פרק הזמן בו רשאית המערערת לעשות שימוש ביחידות – אין בהסכמי המכר כדי לשקף את הסכמות הצדדים לאשורן. אף לשיטתם, זכאית הייתה המערערת לעשות שימוש </w:t>
      </w:r>
      <w:r>
        <w:rPr>
          <w:rtl/>
        </w:rPr>
        <w:lastRenderedPageBreak/>
        <w:t>ביחידותיה לתקופות נוספות מעבר לתקופת השימוש המותרת על-פי הסכמי המכר. המחלוקת בין הצדדים עניינה בשאלה האם מדובר בזכות "לשכור" את היחידות מן המאגר לתקופות מוגבלות ובתנאים מיטיבים, כטענת המשיבים; או שמא מדובר, למעשה, בהוצאת היחידות מן המאגר המלונאי ומתן זכות למגורי קבע, כטענת המערערת. בהקשר זה אעיר, כי בין אם "ההשכרה" היא כטענת המערערת ובין אם כטענת המשיבים, העמדת היחידות לשימוש רוכשיהן לתקופות נוספות מעבר לפרק הזמן בו הותר השימוש על פי הוראות היתר הבניה והוראות משרד התיירות, אינה עולה בקנה אחד עם הוראות הדין (</w:t>
      </w:r>
      <w:hyperlink r:id="rId29" w:history="1">
        <w:r w:rsidR="004B1D70" w:rsidRPr="004B1D70">
          <w:rPr>
            <w:rFonts w:hint="eastAsia"/>
            <w:color w:val="0000FF"/>
            <w:u w:val="single"/>
            <w:rtl/>
          </w:rPr>
          <w:t>עע</w:t>
        </w:r>
        <w:r w:rsidR="004B1D70" w:rsidRPr="004B1D70">
          <w:rPr>
            <w:color w:val="0000FF"/>
            <w:u w:val="single"/>
            <w:rtl/>
          </w:rPr>
          <w:t>"</w:t>
        </w:r>
        <w:r w:rsidR="004B1D70" w:rsidRPr="004B1D70">
          <w:rPr>
            <w:rFonts w:hint="eastAsia"/>
            <w:color w:val="0000FF"/>
            <w:u w:val="single"/>
            <w:rtl/>
          </w:rPr>
          <w:t>ם</w:t>
        </w:r>
        <w:r w:rsidR="004B1D70" w:rsidRPr="004B1D70">
          <w:rPr>
            <w:color w:val="0000FF"/>
            <w:u w:val="single"/>
            <w:rtl/>
          </w:rPr>
          <w:t xml:space="preserve"> 2273/03</w:t>
        </w:r>
      </w:hyperlink>
      <w:r>
        <w:rPr>
          <w:rtl/>
        </w:rPr>
        <w:t xml:space="preserve"> </w:t>
      </w:r>
      <w:r>
        <w:rPr>
          <w:rFonts w:ascii="Century" w:hAnsi="Century" w:cs="Miriam"/>
          <w:b/>
          <w:spacing w:val="0"/>
          <w:sz w:val="22"/>
          <w:szCs w:val="24"/>
          <w:rtl/>
        </w:rPr>
        <w:t>אי התכלת שותפות כללית נ' החברה להגנת הטבע</w:t>
      </w:r>
      <w:r>
        <w:rPr>
          <w:rtl/>
        </w:rPr>
        <w:t xml:space="preserve"> </w:t>
      </w:r>
      <w:r w:rsidR="00C3630B">
        <w:rPr>
          <w:rFonts w:hint="cs"/>
          <w:rtl/>
        </w:rPr>
        <w:t>[נבו]</w:t>
      </w:r>
      <w:r w:rsidR="00C3630B">
        <w:rPr>
          <w:rtl/>
        </w:rPr>
        <w:t xml:space="preserve"> </w:t>
      </w:r>
      <w:r>
        <w:rPr>
          <w:rtl/>
        </w:rPr>
        <w:t xml:space="preserve">(7.12.2006); </w:t>
      </w:r>
      <w:hyperlink r:id="rId30" w:history="1">
        <w:r w:rsidR="004B1D70" w:rsidRPr="004B1D70">
          <w:rPr>
            <w:rFonts w:hint="eastAsia"/>
            <w:color w:val="0000FF"/>
            <w:u w:val="single"/>
            <w:rtl/>
          </w:rPr>
          <w:t>ע</w:t>
        </w:r>
        <w:r w:rsidR="004B1D70" w:rsidRPr="004B1D70">
          <w:rPr>
            <w:color w:val="0000FF"/>
            <w:u w:val="single"/>
            <w:rtl/>
          </w:rPr>
          <w:t>"</w:t>
        </w:r>
        <w:r w:rsidR="004B1D70" w:rsidRPr="004B1D70">
          <w:rPr>
            <w:rFonts w:hint="eastAsia"/>
            <w:color w:val="0000FF"/>
            <w:u w:val="single"/>
            <w:rtl/>
          </w:rPr>
          <w:t>א</w:t>
        </w:r>
        <w:r w:rsidR="004B1D70" w:rsidRPr="004B1D70">
          <w:rPr>
            <w:color w:val="0000FF"/>
            <w:u w:val="single"/>
            <w:rtl/>
          </w:rPr>
          <w:t xml:space="preserve"> 1054/98</w:t>
        </w:r>
      </w:hyperlink>
      <w:r>
        <w:rPr>
          <w:rtl/>
        </w:rPr>
        <w:t xml:space="preserve"> </w:t>
      </w:r>
      <w:r>
        <w:rPr>
          <w:rFonts w:ascii="Century" w:hAnsi="Century" w:cs="Miriam"/>
          <w:b/>
          <w:spacing w:val="0"/>
          <w:sz w:val="22"/>
          <w:szCs w:val="24"/>
          <w:rtl/>
        </w:rPr>
        <w:t>חוף הכרמל נופש ותיירות (1989) בע"מ נ' עמותת אדם טבע ודין אגודה ישראלית להגנת הסביבה</w:t>
      </w:r>
      <w:r>
        <w:rPr>
          <w:rtl/>
        </w:rPr>
        <w:t xml:space="preserve">, פ"ד נו(3) 385 (2002)). הדבר אינו מתיישב גם עם כתב ההתחייבות עליו חתמה המשיבה ועל בסיסו ניתן היתר הבניה. בשני המצבים מדובר בהענקת זכות ל"שימוש עצמי" ביחידות הנופש מעבר למותר על-פי התכניות החלות על המקרקעין והוראות ההיתר, ובשני המצבים אין המלון משמש לאירוח מלונאי בהתאם לייעודם התכנוני של המקרקעין. מה לי אם השימוש ביחידה נעשה בדרך של הענקת זכות שימוש ומה לי אם הדבר נעשה בדרך של "השכרה", אם תוצאת הדברים היא, אי-העמדת יחידות הנופש לשימוש מלונאי לרווחת הציבור בניגוד ליעוד המקרקעין. אוסיף כי לא מצאתי ממש בטענת המשיבה כי ההסדר המיוחד נועד "לגשר" על הפער שבין פסיקת בית המשפט העליון לבין עמדת משרד התיירות (טענה שלא חזרה עליה בתשובתה לערעור), משעה שההיתר שקיבלה הותנה בהעמדת היחידות לרשות המאגר המלונאי למשך תשעה חודשים בשנה. יתר על כן, וכפי שיפורט להלן, ההסדר המיוחד לא הגביל את תקופת "ההשכרה" לתקופה של שלושה חודשים נוספים בשנה, ואף בפועל עשתה המערערת שימוש ביחידותיה לכל אורך ימות השנה. </w:t>
      </w:r>
    </w:p>
    <w:p w14:paraId="356012CD" w14:textId="77777777" w:rsidR="00033FEA" w:rsidRDefault="00033FEA" w:rsidP="00033FEA">
      <w:pPr>
        <w:pStyle w:val="Ruller41"/>
        <w:rPr>
          <w:rtl/>
        </w:rPr>
      </w:pPr>
    </w:p>
    <w:p w14:paraId="41BE12A5" w14:textId="77777777" w:rsidR="00033FEA" w:rsidRDefault="00000000" w:rsidP="00033FEA">
      <w:pPr>
        <w:pStyle w:val="Ruller4"/>
        <w:rPr>
          <w:rtl/>
        </w:rPr>
      </w:pPr>
      <w:r>
        <w:rPr>
          <w:rtl/>
        </w:rPr>
        <w:t xml:space="preserve">אפנה אפוא לבחינת תוכנה של הזכות שהוענקה למערערת, כפי שהועלתה על הכתב במכתב התנאים המיוחדים, כדלהלן: </w:t>
      </w:r>
    </w:p>
    <w:p w14:paraId="33DE2B6B" w14:textId="77777777" w:rsidR="00033FEA" w:rsidRDefault="00033FEA" w:rsidP="00033FEA">
      <w:pPr>
        <w:pStyle w:val="Ruller41"/>
        <w:rPr>
          <w:rtl/>
        </w:rPr>
      </w:pPr>
    </w:p>
    <w:p w14:paraId="6D347BCA" w14:textId="77777777" w:rsidR="00033FEA" w:rsidRDefault="00000000" w:rsidP="00033FEA">
      <w:pPr>
        <w:pStyle w:val="Ruller5"/>
      </w:pPr>
      <w:r>
        <w:rPr>
          <w:rtl/>
        </w:rPr>
        <w:t>"בהמשך לפרוטוקול הרצ"ב, הננו לאשר לך את הסכמת חברתנו שבמקרה המתואר בסעיפים א' ו-ב' של הפרוטוקול שבנדון, 'התנאים המיוחדים' כאמור בסעיף א' יהיו כדלקמן, ומתחייבים לפעול בהתאם:</w:t>
      </w:r>
    </w:p>
    <w:p w14:paraId="117DDF02" w14:textId="77777777" w:rsidR="00033FEA" w:rsidRDefault="00033FEA" w:rsidP="00033FEA">
      <w:pPr>
        <w:pStyle w:val="Ruller5"/>
        <w:rPr>
          <w:rFonts w:ascii="Arial" w:hAnsi="Arial"/>
          <w:sz w:val="12"/>
          <w:szCs w:val="12"/>
          <w:rtl/>
        </w:rPr>
      </w:pPr>
    </w:p>
    <w:p w14:paraId="24E1157D" w14:textId="77777777" w:rsidR="00033FEA" w:rsidRDefault="00000000" w:rsidP="00033FEA">
      <w:pPr>
        <w:pStyle w:val="Ruller5"/>
        <w:numPr>
          <w:ilvl w:val="0"/>
          <w:numId w:val="4"/>
        </w:numPr>
        <w:ind w:right="1276"/>
        <w:rPr>
          <w:rFonts w:ascii="Arial" w:hAnsi="Arial"/>
          <w:rtl/>
        </w:rPr>
      </w:pPr>
      <w:r>
        <w:rPr>
          <w:rFonts w:ascii="Arial" w:hAnsi="Arial"/>
          <w:rtl/>
        </w:rPr>
        <w:t>ישולמו לחב' הניהול הוצאות אחזקה וכן החלק היחסי של הוצאות מאגר היחידות בלבד (ללא תוספת כלשהי) בהוראת קבע.</w:t>
      </w:r>
    </w:p>
    <w:p w14:paraId="6A021401" w14:textId="77777777" w:rsidR="00033FEA" w:rsidRDefault="00000000" w:rsidP="00033FEA">
      <w:pPr>
        <w:pStyle w:val="Ruller5"/>
        <w:numPr>
          <w:ilvl w:val="0"/>
          <w:numId w:val="4"/>
        </w:numPr>
        <w:ind w:right="1276"/>
        <w:rPr>
          <w:rFonts w:ascii="Arial" w:hAnsi="Arial"/>
          <w:rtl/>
        </w:rPr>
      </w:pPr>
      <w:r>
        <w:rPr>
          <w:rFonts w:ascii="Arial" w:hAnsi="Arial"/>
          <w:rtl/>
        </w:rPr>
        <w:lastRenderedPageBreak/>
        <w:t>בעל היחידה לא יהיה זכאי בקבלת הכנסה כלשהי מניהול מאגר היחידות.</w:t>
      </w:r>
    </w:p>
    <w:p w14:paraId="6CC66205" w14:textId="77777777" w:rsidR="00033FEA" w:rsidRDefault="00000000" w:rsidP="001A4EAD">
      <w:pPr>
        <w:pStyle w:val="Ruller5"/>
        <w:numPr>
          <w:ilvl w:val="0"/>
          <w:numId w:val="4"/>
        </w:numPr>
        <w:ind w:right="1276"/>
        <w:rPr>
          <w:rFonts w:ascii="Arial" w:hAnsi="Arial"/>
        </w:rPr>
      </w:pPr>
      <w:r>
        <w:rPr>
          <w:rFonts w:ascii="Arial" w:hAnsi="Arial"/>
          <w:rtl/>
        </w:rPr>
        <w:t xml:space="preserve">סעיף 18.2 של הסכם האחזקה (היינו תוספת </w:t>
      </w:r>
      <w:r w:rsidR="001A4EAD">
        <w:rPr>
          <w:rFonts w:ascii="Arial" w:hAnsi="Arial"/>
          <w:rtl/>
        </w:rPr>
        <w:t>$</w:t>
      </w:r>
      <w:r>
        <w:rPr>
          <w:rFonts w:ascii="Arial" w:hAnsi="Arial"/>
          <w:rtl/>
        </w:rPr>
        <w:t xml:space="preserve">1500 לפקדון במקרה של אי העמדת היחידה לרשות המאגר) לא יהיה תקף כלפי בעלי היחידות שיכנסו להסדר הנ"ל". </w:t>
      </w:r>
    </w:p>
    <w:p w14:paraId="11AB5D18" w14:textId="77777777" w:rsidR="00033FEA" w:rsidRDefault="00033FEA" w:rsidP="00033FEA">
      <w:pPr>
        <w:pStyle w:val="Ruller4"/>
        <w:numPr>
          <w:ilvl w:val="0"/>
          <w:numId w:val="0"/>
        </w:numPr>
      </w:pPr>
    </w:p>
    <w:p w14:paraId="761F1E2F" w14:textId="77777777" w:rsidR="00033FEA" w:rsidRDefault="00000000" w:rsidP="00033FEA">
      <w:pPr>
        <w:pStyle w:val="Ruller4"/>
        <w:numPr>
          <w:ilvl w:val="0"/>
          <w:numId w:val="0"/>
        </w:numPr>
        <w:rPr>
          <w:rtl/>
        </w:rPr>
      </w:pPr>
      <w:r>
        <w:rPr>
          <w:rtl/>
        </w:rPr>
        <w:tab/>
        <w:t xml:space="preserve">מסמך זה קובע שלושה "תנאים מיוחדים" לתקופת ה"השכרה" הנוספת, המתייחסים לחיובים הכספיים שיחולו על המערערת: </w:t>
      </w:r>
      <w:r>
        <w:rPr>
          <w:rFonts w:ascii="Century" w:hAnsi="Century" w:cs="Miriam"/>
          <w:b/>
          <w:spacing w:val="0"/>
          <w:sz w:val="22"/>
          <w:szCs w:val="24"/>
          <w:shd w:val="clear" w:color="auto" w:fill="FFFFFF"/>
          <w:rtl/>
        </w:rPr>
        <w:t>האחד</w:t>
      </w:r>
      <w:r>
        <w:rPr>
          <w:rtl/>
        </w:rPr>
        <w:t xml:space="preserve">, תשלום הוצאות אחזקה ותשלום חלקי של הוצאות מאגר היחידות, באמצעות הוראת קבע. </w:t>
      </w:r>
      <w:r>
        <w:rPr>
          <w:rFonts w:ascii="Century" w:hAnsi="Century" w:cs="Miriam"/>
          <w:b/>
          <w:spacing w:val="0"/>
          <w:sz w:val="22"/>
          <w:szCs w:val="24"/>
          <w:shd w:val="clear" w:color="auto" w:fill="FFFFFF"/>
          <w:rtl/>
        </w:rPr>
        <w:t>השני</w:t>
      </w:r>
      <w:r>
        <w:rPr>
          <w:rtl/>
        </w:rPr>
        <w:t xml:space="preserve">, שלילת זכות המערערת להשתתף ברווחי מאגר היחידות. </w:t>
      </w:r>
      <w:r>
        <w:rPr>
          <w:rFonts w:ascii="Century" w:hAnsi="Century" w:cs="Miriam"/>
          <w:b/>
          <w:spacing w:val="0"/>
          <w:sz w:val="22"/>
          <w:szCs w:val="24"/>
          <w:shd w:val="clear" w:color="auto" w:fill="FFFFFF"/>
          <w:rtl/>
        </w:rPr>
        <w:t>והשלישי</w:t>
      </w:r>
      <w:r>
        <w:rPr>
          <w:rtl/>
        </w:rPr>
        <w:t xml:space="preserve">, אי-תחולת הסדר הפיקדון הקבוע בסעיף 18.2 להסכם האחזקה. כפי שאראה להלן, תנאים אלה מלמדים על הוצאת יחידות המערערת מן המאגר המלונאי. </w:t>
      </w:r>
    </w:p>
    <w:p w14:paraId="22D5E152" w14:textId="77777777" w:rsidR="00033FEA" w:rsidRDefault="00033FEA" w:rsidP="00033FEA">
      <w:pPr>
        <w:pStyle w:val="Ruller4"/>
        <w:numPr>
          <w:ilvl w:val="0"/>
          <w:numId w:val="0"/>
        </w:numPr>
      </w:pPr>
    </w:p>
    <w:p w14:paraId="0231BE2A" w14:textId="77777777" w:rsidR="00033FEA" w:rsidRDefault="00000000" w:rsidP="00033FEA">
      <w:pPr>
        <w:pStyle w:val="Ruller4"/>
      </w:pPr>
      <w:r>
        <w:rPr>
          <w:rtl/>
        </w:rPr>
        <w:t xml:space="preserve">לשם הבנת משמעותן של הוראות אלה, אקדים התייחסות קצרה למערך החיובים הכספיים החלים על רוכשי היחידות וחברת הניהול על-פי ההסדר הרגיל, הוא הסכם הניהול המלונאי. כזכור, הסכם המכר קובע כי חברת הניהול המלונאי היא שתנהל עבור רוכשי היחידות את השכרת היחידות לציבור הרחב (סעיף 33(ב) להסכם). עוד הוא מטיל על רוכש היחידות לשלם לחברת הניהול את דמי האחזקה וכן את דמי הניהול המלונאי (סעיף 29(י) להסכם). הסכם הניהול קובע כי חברת הניהול תנהל את מאגר יחידות הרוכשים ותעמידן להשכרה מלונאית בתקופה שאלה אינן משמשות את רוכשיהן, וכן הוא קובע כי הכנסות מאגר היחידות, לאחר ניכוי הוצאות תפעול המאגר, יחולקו בין רוכשי היחידות לבין חברת הניהול, באופן שבעלי היחידות יקבלו 75% מן הרווחים ואילו חברת הניהול תקבל 25% מן הרווחים (סעיפים 7.1 סיפא ו-8.1 להסכם הניהול). </w:t>
      </w:r>
    </w:p>
    <w:p w14:paraId="49590DA6" w14:textId="77777777" w:rsidR="00033FEA" w:rsidRDefault="00033FEA" w:rsidP="00033FEA">
      <w:pPr>
        <w:pStyle w:val="Ruller41"/>
        <w:rPr>
          <w:rtl/>
        </w:rPr>
      </w:pPr>
    </w:p>
    <w:p w14:paraId="786D8294" w14:textId="77777777" w:rsidR="00033FEA" w:rsidRDefault="00000000" w:rsidP="00033FEA">
      <w:pPr>
        <w:pStyle w:val="Ruller4"/>
        <w:rPr>
          <w:rtl/>
        </w:rPr>
      </w:pPr>
      <w:r>
        <w:rPr>
          <w:rtl/>
        </w:rPr>
        <w:t>אחזור כעת לתנאים המיוחדים. אפתח בתנאי השלישי שעניינו פטור מהסדר הפיקדון הקבוע בסעיף 18.2 להסכם האחזקה. הוראה זו מורה כדלהלן:</w:t>
      </w:r>
    </w:p>
    <w:p w14:paraId="1C37607A" w14:textId="77777777" w:rsidR="00033FEA" w:rsidRDefault="00033FEA" w:rsidP="00033FEA">
      <w:pPr>
        <w:pStyle w:val="Ruller4"/>
        <w:numPr>
          <w:ilvl w:val="0"/>
          <w:numId w:val="0"/>
        </w:numPr>
        <w:ind w:left="1643" w:right="1418"/>
      </w:pPr>
    </w:p>
    <w:p w14:paraId="137CF3C7" w14:textId="77777777" w:rsidR="00033FEA" w:rsidRDefault="00000000" w:rsidP="00033FEA">
      <w:pPr>
        <w:pStyle w:val="Ruller4"/>
        <w:numPr>
          <w:ilvl w:val="0"/>
          <w:numId w:val="0"/>
        </w:numPr>
        <w:spacing w:line="240" w:lineRule="auto"/>
        <w:ind w:left="1644" w:right="1418"/>
        <w:rPr>
          <w:rtl/>
        </w:rPr>
      </w:pPr>
      <w:r>
        <w:rPr>
          <w:rtl/>
        </w:rPr>
        <w:t>"[...] מוסכם בזה כי מי מן המחזיקים אשר לא יעמיד כלל את יחידתו לרשות המאגר המלונאי, יוסיף לסכום הפיקדון הקבוע בהסכם הניהול סך של 1,500 דולר ארה"ב בצירוף מע"מ [...]".</w:t>
      </w:r>
    </w:p>
    <w:p w14:paraId="3BA0C966" w14:textId="77777777" w:rsidR="00033FEA" w:rsidRDefault="00000000" w:rsidP="00033FEA">
      <w:pPr>
        <w:pStyle w:val="Ruller4"/>
        <w:numPr>
          <w:ilvl w:val="0"/>
          <w:numId w:val="0"/>
        </w:numPr>
        <w:spacing w:line="240" w:lineRule="auto"/>
        <w:ind w:left="1644" w:right="1418"/>
        <w:rPr>
          <w:rtl/>
        </w:rPr>
      </w:pPr>
      <w:r>
        <w:rPr>
          <w:rtl/>
        </w:rPr>
        <w:t xml:space="preserve"> </w:t>
      </w:r>
    </w:p>
    <w:p w14:paraId="225B190F" w14:textId="77777777" w:rsidR="00033FEA" w:rsidRDefault="00000000" w:rsidP="00033FEA">
      <w:pPr>
        <w:pStyle w:val="Ruller4"/>
        <w:numPr>
          <w:ilvl w:val="0"/>
          <w:numId w:val="0"/>
        </w:numPr>
      </w:pPr>
      <w:r>
        <w:rPr>
          <w:rtl/>
        </w:rPr>
        <w:tab/>
      </w:r>
    </w:p>
    <w:p w14:paraId="1BDD2779" w14:textId="77777777" w:rsidR="00033FEA" w:rsidRDefault="00000000" w:rsidP="00033FEA">
      <w:pPr>
        <w:pStyle w:val="Ruller4"/>
        <w:numPr>
          <w:ilvl w:val="0"/>
          <w:numId w:val="0"/>
        </w:numPr>
        <w:rPr>
          <w:rtl/>
        </w:rPr>
      </w:pPr>
      <w:r>
        <w:rPr>
          <w:rtl/>
        </w:rPr>
        <w:lastRenderedPageBreak/>
        <w:tab/>
        <w:t xml:space="preserve">תניה זו מטילה, אפוא, על מחזיק (רוכש יחידת הנופש, ראו: המבוא להסכם האחזקה) </w:t>
      </w:r>
      <w:r>
        <w:rPr>
          <w:rFonts w:ascii="Century" w:hAnsi="Century" w:cs="Miriam"/>
          <w:b/>
          <w:spacing w:val="0"/>
          <w:sz w:val="22"/>
          <w:szCs w:val="24"/>
          <w:shd w:val="clear" w:color="auto" w:fill="FFFFFF"/>
          <w:rtl/>
        </w:rPr>
        <w:t>"אשר לא יעמיד כלל את יחידתו לרשות המאגר המלונאי</w:t>
      </w:r>
      <w:r>
        <w:rPr>
          <w:rtl/>
        </w:rPr>
        <w:t xml:space="preserve">" תוספת פיקדון. מסמך התנאים המיוחדים קובע כי הסדר זה </w:t>
      </w:r>
      <w:r>
        <w:rPr>
          <w:rFonts w:ascii="Century" w:hAnsi="Century" w:cs="Miriam"/>
          <w:b/>
          <w:spacing w:val="0"/>
          <w:sz w:val="22"/>
          <w:szCs w:val="24"/>
          <w:shd w:val="clear" w:color="auto" w:fill="FFFFFF"/>
          <w:rtl/>
        </w:rPr>
        <w:t>"לא יהיה תקף כלפי בעלי היחידות שיכנסו להסדר הנ"ל"</w:t>
      </w:r>
      <w:r>
        <w:rPr>
          <w:rtl/>
        </w:rPr>
        <w:t xml:space="preserve">. בית המשפט המחוזי קבע כי הפטור שניתן למערערת מהפקדת תוספת לפיקדון נבע מהוראת קבע שהעמידה המערערת לטובת תשלום הוצאות האחזקה, כאמור בתנאי הראשון למכתב התנאים המיוחדים. אלא שקביעה זו אינה מסבירה מדוע לכתחילה חלה הוראה זו על המערערת, אם האחרונה מעמידה את יחידותיה לרשות המאגר המלונאי. הנחת המוצא הגלומה בהוראת הפטור שבמסמך "התנאים המיוחדים" היא כי ההסדר המיוחד המפורט בו מכניס את המערערת לקבוצת </w:t>
      </w:r>
      <w:r>
        <w:rPr>
          <w:rFonts w:ascii="Century" w:hAnsi="Century" w:cs="Miriam"/>
          <w:b/>
          <w:spacing w:val="0"/>
          <w:sz w:val="22"/>
          <w:szCs w:val="24"/>
          <w:rtl/>
        </w:rPr>
        <w:t>"מי מן המחזיקים אשר לא יעמיד כלל את יחידתו לרשות המאגר המלונאי"</w:t>
      </w:r>
      <w:r>
        <w:rPr>
          <w:rtl/>
        </w:rPr>
        <w:t xml:space="preserve">. מסקנה זו תומכת בגרסת המערערת הטוענת כי ניתנה לה זכות למגורי קבע תוך הוצאת שתי יחידותיה ממאגר היחידות המלונאי. </w:t>
      </w:r>
    </w:p>
    <w:p w14:paraId="0E400A54" w14:textId="77777777" w:rsidR="00033FEA" w:rsidRDefault="00033FEA" w:rsidP="00033FEA">
      <w:pPr>
        <w:pStyle w:val="Ruller4"/>
        <w:numPr>
          <w:ilvl w:val="0"/>
          <w:numId w:val="0"/>
        </w:numPr>
        <w:rPr>
          <w:rtl/>
        </w:rPr>
      </w:pPr>
    </w:p>
    <w:p w14:paraId="49D8E2ED" w14:textId="77777777" w:rsidR="00033FEA" w:rsidRDefault="00000000" w:rsidP="00033FEA">
      <w:pPr>
        <w:pStyle w:val="Ruller4"/>
      </w:pPr>
      <w:r>
        <w:rPr>
          <w:rtl/>
        </w:rPr>
        <w:t xml:space="preserve">אשר לתנאי השני – זה קובע כי המערערת לא תהיה זכאית להכנסה מניהול מאגר היחידות. תניה זו תומכת אף היא בטענת המערערת להוצאת יחידותיה ממאגר היחידות, שכן מטבע הדברים שהכנסה זו מותנית בהעמדת יחידותיה לרשות המאגר בחלק מימות השנה. אוסיף, כי מסמך התנאים המיוחדים אינו מתנה את "ההשכרה" בתשלום תמורה נוספת על התמורה ששולמה בעת רכישת היחידות, וכאמור אינו מגביל בזמן את תקופות "ההשכרה" הנוספות, או את תקופת ההסדר המיוחד. על פניו מדובר אפוא בהסדר קבע המאפשר שימוש ביחידות הנופש ללא הגבלת זמן וללא תמורה נוספת. </w:t>
      </w:r>
    </w:p>
    <w:p w14:paraId="20867099" w14:textId="77777777" w:rsidR="00033FEA" w:rsidRDefault="00033FEA" w:rsidP="00033FEA">
      <w:pPr>
        <w:pStyle w:val="Ruller41"/>
      </w:pPr>
    </w:p>
    <w:p w14:paraId="609A5088" w14:textId="77777777" w:rsidR="00033FEA" w:rsidRDefault="00000000" w:rsidP="00033FEA">
      <w:pPr>
        <w:pStyle w:val="Ruller4"/>
        <w:rPr>
          <w:rtl/>
        </w:rPr>
      </w:pPr>
      <w:r>
        <w:rPr>
          <w:rtl/>
        </w:rPr>
        <w:t xml:space="preserve">המשיבה טוענת כי הסדר "ההשכרה" הוא הסדר המותנה בתמורה. תמורה זו, לשיטתה, היא </w:t>
      </w:r>
      <w:r>
        <w:rPr>
          <w:rFonts w:ascii="Century" w:hAnsi="Century" w:cs="Miriam"/>
          <w:b/>
          <w:spacing w:val="0"/>
          <w:sz w:val="22"/>
          <w:szCs w:val="24"/>
          <w:rtl/>
        </w:rPr>
        <w:t xml:space="preserve">ויתור </w:t>
      </w:r>
      <w:r>
        <w:rPr>
          <w:rtl/>
        </w:rPr>
        <w:t xml:space="preserve">המערערת על חלקה (75%) ברווחי המאגר. ואולם, משעה שיחידות המערערת אינן עומדות לרשות המאגר ואינן מייצרות לו הכנסות, ממילא אין היא זכאית לחלק מהכנסות אלה, ואין באי-קבלת ההכנסות משום "ויתור" על הכנסה לה היא אינה זכאית. </w:t>
      </w:r>
    </w:p>
    <w:p w14:paraId="1B105F07" w14:textId="77777777" w:rsidR="00033FEA" w:rsidRDefault="00033FEA" w:rsidP="00033FEA">
      <w:pPr>
        <w:pStyle w:val="Ruller41"/>
        <w:rPr>
          <w:rtl/>
        </w:rPr>
      </w:pPr>
    </w:p>
    <w:p w14:paraId="5E1A5F6A" w14:textId="77777777" w:rsidR="00033FEA" w:rsidRDefault="00000000" w:rsidP="00033FEA">
      <w:pPr>
        <w:pStyle w:val="Ruller4"/>
        <w:rPr>
          <w:rtl/>
        </w:rPr>
      </w:pPr>
      <w:r>
        <w:rPr>
          <w:rtl/>
        </w:rPr>
        <w:t xml:space="preserve">אשר לתנאי הראשון – זה קובע כי המערערת תשלם לחברת הניהול את דמי האחזקה הנוגעים בעיקרם לאחזקת השטחים המשותפים, וכן תשלום "יחסי" של הוצאות מאגר היחידות. תנאי אחרון זה לא התלבן די צרכו בראיות הצדדים, אולם תשלומם ה"יחסי" של ההוצאות מרמז על חיוב מופחת הנובע, כפי הנראה, מאי-העמדת </w:t>
      </w:r>
      <w:r>
        <w:rPr>
          <w:rtl/>
        </w:rPr>
        <w:lastRenderedPageBreak/>
        <w:t xml:space="preserve">היחידות לטובת מאגר היחידות. זאת כעולה מהשוואת הוראה זו להוראות הסכם המכר המחייבות את רוכשי היחידות להשתתף בדמי האחזקה ובדמי הניהול המלאים גם אם לא עשו כל שימוש ביחידתם, ואפילו כאשר זו טרם נמסרה לחזקתם בנסיבות התלויות בהם (וראו: סעיפים 9 ו- 29(י) להסכם המכר). </w:t>
      </w:r>
    </w:p>
    <w:p w14:paraId="34CB577A" w14:textId="77777777" w:rsidR="00033FEA" w:rsidRDefault="00033FEA" w:rsidP="00033FEA">
      <w:pPr>
        <w:pStyle w:val="Ruller41"/>
        <w:rPr>
          <w:highlight w:val="yellow"/>
          <w:rtl/>
        </w:rPr>
      </w:pPr>
    </w:p>
    <w:p w14:paraId="77E7A15C" w14:textId="77777777" w:rsidR="00033FEA" w:rsidRDefault="00000000" w:rsidP="00033FEA">
      <w:pPr>
        <w:pStyle w:val="Ruller4"/>
        <w:rPr>
          <w:rtl/>
        </w:rPr>
      </w:pPr>
      <w:r>
        <w:rPr>
          <w:rtl/>
        </w:rPr>
        <w:t xml:space="preserve">אינדיקציה משמעותית נוספת לתוכנו של ההסדר המיוחד היא אופן יישומו בפועל על-ידי הצדדים לו. כאמור, אין חולק כי שתי יחידות הנופש הועמדו לרשותה של המערערת, לאורך כל ימות השנה, החל ממועד מסירתן בשנת 2010 ועד לשנת 2016, תקופה של למעלה מחמש שנים, ללא עוררין. יחידות הנופש הועמדו לשימושה הייחודי של המערערת ללא תמורה נוספת, מבלי שהגישה בקשות "להשכרה" לתקופה נוספת, ומבלי שהיא נדרשה אי פעם להעמידן לרשות חברת הניהול לשם השכרתן לציבור. הדרישה להעמדת היחידות לטובת המאגר המלונאי באה, כזכור, לא מן המשיבה או מחברת הניהול, אלא רק בעקבות כניסתה של חברת הניהול של המלון להקפאת הליכים והחלטת בית משפט של פירוק. </w:t>
      </w:r>
    </w:p>
    <w:p w14:paraId="0C262F8D" w14:textId="77777777" w:rsidR="00033FEA" w:rsidRDefault="00033FEA" w:rsidP="00033FEA">
      <w:pPr>
        <w:pStyle w:val="Ruller41"/>
        <w:rPr>
          <w:rtl/>
        </w:rPr>
      </w:pPr>
    </w:p>
    <w:p w14:paraId="2FFAE1B5" w14:textId="77777777" w:rsidR="00033FEA" w:rsidRDefault="00000000" w:rsidP="00033FEA">
      <w:pPr>
        <w:pStyle w:val="Ruller4"/>
      </w:pPr>
      <w:r>
        <w:rPr>
          <w:rtl/>
        </w:rPr>
        <w:t>ולבסוף, לא ניתן להתעלם מ</w:t>
      </w:r>
      <w:r>
        <w:rPr>
          <w:rFonts w:ascii="Century" w:hAnsi="Century" w:cs="Miriam"/>
          <w:b/>
          <w:spacing w:val="0"/>
          <w:sz w:val="22"/>
          <w:szCs w:val="24"/>
          <w:rtl/>
        </w:rPr>
        <w:t>"הצהרת סודיות"</w:t>
      </w:r>
      <w:r>
        <w:rPr>
          <w:rtl/>
        </w:rPr>
        <w:t xml:space="preserve"> עליה הוחתמה המערערת במועד בו נחתם ההסדר המיוחד, ובעקבות קבלת "מכתב התנאים המיוחדים" מחברת הניהול, אשר זו לשונה:</w:t>
      </w:r>
    </w:p>
    <w:p w14:paraId="46B19A0C" w14:textId="77777777" w:rsidR="00033FEA" w:rsidRDefault="00000000" w:rsidP="00033FEA">
      <w:pPr>
        <w:pStyle w:val="13"/>
        <w:rPr>
          <w:rtl/>
        </w:rPr>
      </w:pPr>
      <w:r>
        <w:rPr>
          <w:rtl/>
        </w:rPr>
        <w:t xml:space="preserve"> </w:t>
      </w:r>
    </w:p>
    <w:p w14:paraId="266F882A" w14:textId="77777777" w:rsidR="00033FEA" w:rsidRDefault="00000000" w:rsidP="00033FEA">
      <w:pPr>
        <w:pStyle w:val="Ruller4"/>
        <w:numPr>
          <w:ilvl w:val="0"/>
          <w:numId w:val="0"/>
        </w:numPr>
        <w:spacing w:line="240" w:lineRule="auto"/>
        <w:ind w:left="1786" w:right="1418"/>
        <w:rPr>
          <w:rtl/>
        </w:rPr>
      </w:pPr>
      <w:r>
        <w:rPr>
          <w:rtl/>
        </w:rPr>
        <w:t xml:space="preserve">"הנני מאשרת בחתימתי כי המסמך </w:t>
      </w:r>
      <w:r>
        <w:rPr>
          <w:rFonts w:ascii="Century" w:hAnsi="Century" w:cs="Miriam"/>
          <w:b/>
          <w:spacing w:val="0"/>
          <w:sz w:val="22"/>
          <w:szCs w:val="24"/>
          <w:rtl/>
        </w:rPr>
        <w:t>[מכתב התנאים המיוחדים]</w:t>
      </w:r>
      <w:r>
        <w:rPr>
          <w:rtl/>
        </w:rPr>
        <w:t xml:space="preserve"> נמסר לי בכפוף לחתימתי על כתב זה.</w:t>
      </w:r>
    </w:p>
    <w:p w14:paraId="1FC789E1" w14:textId="77777777" w:rsidR="00033FEA" w:rsidRDefault="00000000" w:rsidP="00033FEA">
      <w:pPr>
        <w:pStyle w:val="Ruller41"/>
        <w:spacing w:line="240" w:lineRule="auto"/>
        <w:ind w:left="1786" w:right="1418"/>
        <w:rPr>
          <w:rtl/>
        </w:rPr>
      </w:pPr>
      <w:r>
        <w:rPr>
          <w:rtl/>
        </w:rPr>
        <w:t>הנני מתחייבת לשמור על סודיות מוחלטת של כל פרט במסמך שהומצא לי.</w:t>
      </w:r>
    </w:p>
    <w:p w14:paraId="45012F51" w14:textId="77777777" w:rsidR="00033FEA" w:rsidRDefault="00000000" w:rsidP="00033FEA">
      <w:pPr>
        <w:pStyle w:val="Ruller41"/>
        <w:spacing w:line="240" w:lineRule="auto"/>
        <w:ind w:left="1786" w:right="1418"/>
        <w:rPr>
          <w:rtl/>
        </w:rPr>
      </w:pPr>
      <w:r>
        <w:rPr>
          <w:rtl/>
        </w:rPr>
        <w:t xml:space="preserve">אני מתחייבת שלא להשתמש בכל צורה שהיא במסמך בשלמותו ו/או בחלקו ללא הסכמתה המפורשת בכתב של החברה </w:t>
      </w:r>
      <w:r>
        <w:rPr>
          <w:rFonts w:ascii="Century" w:hAnsi="Century" w:cs="Miriam"/>
          <w:b/>
          <w:spacing w:val="0"/>
          <w:szCs w:val="24"/>
          <w:rtl/>
        </w:rPr>
        <w:t>[חברת הניהול]</w:t>
      </w:r>
      <w:r>
        <w:rPr>
          <w:rtl/>
        </w:rPr>
        <w:t>, או במקרה של הפרת התחייבויות החברה עפ"י המסמך.</w:t>
      </w:r>
    </w:p>
    <w:p w14:paraId="59810134" w14:textId="77777777" w:rsidR="00033FEA" w:rsidRDefault="00000000" w:rsidP="00033FEA">
      <w:pPr>
        <w:pStyle w:val="Ruller41"/>
        <w:spacing w:line="240" w:lineRule="auto"/>
        <w:ind w:left="1786" w:right="1418"/>
        <w:rPr>
          <w:rtl/>
        </w:rPr>
      </w:pPr>
      <w:r>
        <w:rPr>
          <w:rtl/>
        </w:rPr>
        <w:t>הנני מודעת לנזק שעלול להיגרם לחברה ע"י העברת מידע בכל הקשור למסמך ומקבלת עליי אחריות מוחלטת לשמור את המסמך בסודיות מוחלטת.</w:t>
      </w:r>
    </w:p>
    <w:p w14:paraId="45180C5F" w14:textId="77777777" w:rsidR="00033FEA" w:rsidRDefault="00000000" w:rsidP="00033FEA">
      <w:pPr>
        <w:pStyle w:val="Ruller41"/>
        <w:spacing w:line="240" w:lineRule="auto"/>
        <w:ind w:left="1786" w:right="1418"/>
        <w:rPr>
          <w:rtl/>
        </w:rPr>
      </w:pPr>
      <w:r>
        <w:rPr>
          <w:rtl/>
        </w:rPr>
        <w:t xml:space="preserve">הפרת איזו מהתחייבויות המפורטות לעיל, תפקיע, מניה וביה, את כל התחייבויות החברה במסמך, וזאת מבלי לגרוע מיתר הסעדים שיעמדו לחברה במקרה כאמור". </w:t>
      </w:r>
    </w:p>
    <w:p w14:paraId="469F623E" w14:textId="77777777" w:rsidR="00033FEA" w:rsidRDefault="00033FEA" w:rsidP="00033FEA">
      <w:pPr>
        <w:pStyle w:val="Ruller4"/>
        <w:numPr>
          <w:ilvl w:val="0"/>
          <w:numId w:val="0"/>
        </w:numPr>
        <w:rPr>
          <w:rtl/>
        </w:rPr>
      </w:pPr>
    </w:p>
    <w:p w14:paraId="6B88B42B" w14:textId="77777777" w:rsidR="00033FEA" w:rsidRDefault="00000000" w:rsidP="00033FEA">
      <w:pPr>
        <w:pStyle w:val="Ruller4"/>
        <w:numPr>
          <w:ilvl w:val="0"/>
          <w:numId w:val="0"/>
        </w:numPr>
        <w:rPr>
          <w:rtl/>
        </w:rPr>
      </w:pPr>
      <w:r>
        <w:rPr>
          <w:rtl/>
        </w:rPr>
        <w:tab/>
        <w:t xml:space="preserve">דומה כי הצהרת הסודיות מדברת בעד עצמה, ומלמדת על כוונת חברת הניהול להסתיר את ההסדר המיוחד ולא לתת לו פומבי. המשיבים טענו כי ההצהרה נדרשה </w:t>
      </w:r>
      <w:r>
        <w:rPr>
          <w:rtl/>
        </w:rPr>
        <w:lastRenderedPageBreak/>
        <w:t xml:space="preserve">על-ידי חברת הניהול ונועדה למניעת פרסום ההסדר בקרב בעלי יחידות אחרים שלא זכו להסדר המיטיב שהוענק למערערת (וראו גם עדות המערערת שלפיה כך נאמר לה בזמן אמת, פרוטוקול הדיון מיום 22.2.2022, בעמ' 22, ש' 7-1). עם זאת, בנסיבות בהן עומד ההסדר המיוחד בניגוד להתחייבויות חד-משמעיות שניתנו לרשויות, אשר מצאו ביטויין בהסכמי המכר, והוא עוסק בנזקים העלולים להיגרם לחברת הניהול בשל פרסומו, מותר להניח כי פרסומה בין הרוכשים לא היה הטעם היחיד לדרישתה. </w:t>
      </w:r>
    </w:p>
    <w:p w14:paraId="7674D90B" w14:textId="77777777" w:rsidR="00033FEA" w:rsidRDefault="00033FEA" w:rsidP="00033FEA">
      <w:pPr>
        <w:pStyle w:val="Ruller41"/>
        <w:rPr>
          <w:rtl/>
        </w:rPr>
      </w:pPr>
    </w:p>
    <w:p w14:paraId="7BB76BE9" w14:textId="77777777" w:rsidR="00033FEA" w:rsidRDefault="00000000" w:rsidP="00033FEA">
      <w:pPr>
        <w:pStyle w:val="Ruller4"/>
        <w:rPr>
          <w:rtl/>
        </w:rPr>
      </w:pPr>
      <w:r>
        <w:rPr>
          <w:rFonts w:ascii="Century" w:hAnsi="Century" w:cs="Miriam"/>
          <w:b/>
          <w:spacing w:val="0"/>
          <w:sz w:val="22"/>
          <w:szCs w:val="24"/>
          <w:rtl/>
        </w:rPr>
        <w:t>סיכומו של דבר</w:t>
      </w:r>
      <w:r>
        <w:rPr>
          <w:rtl/>
        </w:rPr>
        <w:t xml:space="preserve">: הוכח כי התקיימה בין הצדדים מערכת הסכמית כפולה: </w:t>
      </w:r>
      <w:r>
        <w:rPr>
          <w:rFonts w:ascii="Century" w:hAnsi="Century" w:cs="Miriam"/>
          <w:b/>
          <w:spacing w:val="0"/>
          <w:sz w:val="22"/>
          <w:szCs w:val="24"/>
          <w:rtl/>
        </w:rPr>
        <w:t>חוזה גלוי</w:t>
      </w:r>
      <w:r>
        <w:rPr>
          <w:rtl/>
        </w:rPr>
        <w:t xml:space="preserve"> – הוא הסכם המכר – המתיר למערערת לעשות שימוש ביחידות הנופש שרכשה שלושה (או ששה) חודשים בשנה ומחייבה להעמיד את יחידותיה לרשות מאגר היחידות המלונאי ביתר חודשי השנה; </w:t>
      </w:r>
      <w:r>
        <w:rPr>
          <w:rFonts w:ascii="Century" w:hAnsi="Century" w:cs="Miriam"/>
          <w:b/>
          <w:spacing w:val="0"/>
          <w:sz w:val="22"/>
          <w:szCs w:val="24"/>
          <w:rtl/>
        </w:rPr>
        <w:t>וחוזה סמוי</w:t>
      </w:r>
      <w:r>
        <w:rPr>
          <w:rtl/>
        </w:rPr>
        <w:t xml:space="preserve"> כתוב וחתום – הוא ההסדר המיוחד – המעניק למערערת זכות שימוש ביחידות הנופש ללא הגבלת זמן וללא תוספת תשלום. הצדדים גילו דעתם, הן במסמכי ההסדר המיוחד הן בהתנהגותם, כי ההסדר המיוחד, אשר נועד לבוא תחת ההסדרים שנקבעו בהסכמי המכר, הוא המבטא את הסכמותיהם האמתיות והוא המשקף את אומד דעתם בעת כריתת ההסכמים. כאמור, הצדדים נהגו בפועל על פי הסדר זה שנים רבות, עד להחלטת בית המשפט שהורתה על פינוי הרוכשים, בהם המערערת, ועל העברת יחידותיהם למאגר המלונאי. בנסיבות אלה, אין מנוס מלקבוע כי הסכמי המכר – הם החוזה ה"גלוי" – נכרתו למראית עין בלבד. </w:t>
      </w:r>
    </w:p>
    <w:p w14:paraId="46B3BFA8" w14:textId="77777777" w:rsidR="00033FEA" w:rsidRDefault="00033FEA" w:rsidP="00033FEA">
      <w:pPr>
        <w:pStyle w:val="Ruller41"/>
        <w:rPr>
          <w:rtl/>
        </w:rPr>
      </w:pPr>
    </w:p>
    <w:p w14:paraId="78CC6D2A" w14:textId="77777777" w:rsidR="00033FEA" w:rsidRDefault="00000000" w:rsidP="00033FEA">
      <w:pPr>
        <w:pStyle w:val="Ruller4"/>
        <w:rPr>
          <w:rtl/>
        </w:rPr>
      </w:pPr>
      <w:r>
        <w:rPr>
          <w:rFonts w:ascii="Century" w:hAnsi="Century"/>
          <w:sz w:val="22"/>
          <w:rtl/>
        </w:rPr>
        <w:t xml:space="preserve">באשר להסדר המיוחד, </w:t>
      </w:r>
      <w:r>
        <w:rPr>
          <w:rtl/>
        </w:rPr>
        <w:t xml:space="preserve">הוא החוזה "הסמוי" החל בין הצדדים </w:t>
      </w:r>
      <w:r>
        <w:rPr>
          <w:rFonts w:ascii="Century" w:hAnsi="Century"/>
          <w:sz w:val="22"/>
          <w:rtl/>
        </w:rPr>
        <w:t xml:space="preserve">– </w:t>
      </w:r>
      <w:r>
        <w:rPr>
          <w:rtl/>
        </w:rPr>
        <w:t xml:space="preserve">הסדר זה נועד לעקוף את הוראות ההיתר ואת כתב ההתחייבות שנתנה המשיבה לוועדה המקומית ולמשרד התיירות. חוזה שאלה מטרותיו, הוא חוזה פסול לפי </w:t>
      </w:r>
      <w:hyperlink r:id="rId31" w:history="1">
        <w:r w:rsidR="00C36C5B" w:rsidRPr="00C36C5B">
          <w:rPr>
            <w:rStyle w:val="Hyperlink"/>
            <w:rFonts w:hint="eastAsia"/>
            <w:rtl/>
          </w:rPr>
          <w:t>סעיף</w:t>
        </w:r>
        <w:r w:rsidR="00C36C5B" w:rsidRPr="00C36C5B">
          <w:rPr>
            <w:rStyle w:val="Hyperlink"/>
            <w:rtl/>
          </w:rPr>
          <w:t xml:space="preserve"> 30</w:t>
        </w:r>
      </w:hyperlink>
      <w:r>
        <w:rPr>
          <w:rtl/>
        </w:rPr>
        <w:t xml:space="preserve"> ל</w:t>
      </w:r>
      <w:hyperlink r:id="rId32" w:history="1">
        <w:r w:rsidR="004B1D70" w:rsidRPr="004B1D70">
          <w:rPr>
            <w:rFonts w:hint="eastAsia"/>
            <w:color w:val="0000FF"/>
            <w:u w:val="single"/>
            <w:rtl/>
          </w:rPr>
          <w:t>חוק</w:t>
        </w:r>
        <w:r w:rsidR="004B1D70" w:rsidRPr="004B1D70">
          <w:rPr>
            <w:color w:val="0000FF"/>
            <w:u w:val="single"/>
            <w:rtl/>
          </w:rPr>
          <w:t xml:space="preserve"> </w:t>
        </w:r>
        <w:r w:rsidR="004B1D70" w:rsidRPr="004B1D70">
          <w:rPr>
            <w:rFonts w:hint="eastAsia"/>
            <w:color w:val="0000FF"/>
            <w:u w:val="single"/>
            <w:rtl/>
          </w:rPr>
          <w:t>החוזים</w:t>
        </w:r>
      </w:hyperlink>
      <w:r>
        <w:rPr>
          <w:rtl/>
        </w:rPr>
        <w:t xml:space="preserve"> (ולאופן הסיווג של חוזה שנועד להונות את הרשויות כחוזה למראית עין או כחוזה פסול ראו: עניין </w:t>
      </w:r>
      <w:r>
        <w:rPr>
          <w:rFonts w:ascii="Century" w:hAnsi="Century" w:cs="Miriam"/>
          <w:b/>
          <w:spacing w:val="0"/>
          <w:sz w:val="22"/>
          <w:szCs w:val="24"/>
          <w:rtl/>
        </w:rPr>
        <w:t>אילן</w:t>
      </w:r>
      <w:r>
        <w:rPr>
          <w:rtl/>
        </w:rPr>
        <w:t xml:space="preserve">, בפסקאות 29-23, עניין </w:t>
      </w:r>
      <w:r>
        <w:rPr>
          <w:rFonts w:ascii="Century" w:hAnsi="Century" w:cs="Miriam"/>
          <w:b/>
          <w:spacing w:val="0"/>
          <w:sz w:val="22"/>
          <w:szCs w:val="24"/>
          <w:rtl/>
        </w:rPr>
        <w:t>טופ</w:t>
      </w:r>
      <w:r>
        <w:rPr>
          <w:rtl/>
        </w:rPr>
        <w:t xml:space="preserve">, בפסקאות 16-14; איל זמיר ומיכאל </w:t>
      </w:r>
      <w:hyperlink r:id="rId33" w:history="1">
        <w:r w:rsidR="004B1D70" w:rsidRPr="004B1D70">
          <w:rPr>
            <w:rFonts w:hint="eastAsia"/>
            <w:color w:val="0000FF"/>
            <w:u w:val="single"/>
            <w:rtl/>
          </w:rPr>
          <w:t>כהן</w:t>
        </w:r>
        <w:r w:rsidR="004B1D70" w:rsidRPr="004B1D70">
          <w:rPr>
            <w:color w:val="0000FF"/>
            <w:u w:val="single"/>
            <w:rtl/>
          </w:rPr>
          <w:t xml:space="preserve"> "</w:t>
        </w:r>
        <w:r w:rsidR="004B1D70" w:rsidRPr="004B1D70">
          <w:rPr>
            <w:rFonts w:hint="eastAsia"/>
            <w:color w:val="0000FF"/>
            <w:u w:val="single"/>
            <w:rtl/>
          </w:rPr>
          <w:t>חוזה</w:t>
        </w:r>
        <w:r w:rsidR="004B1D70" w:rsidRPr="004B1D70">
          <w:rPr>
            <w:color w:val="0000FF"/>
            <w:u w:val="single"/>
            <w:rtl/>
          </w:rPr>
          <w:t xml:space="preserve"> </w:t>
        </w:r>
        <w:r w:rsidR="004B1D70" w:rsidRPr="004B1D70">
          <w:rPr>
            <w:rFonts w:hint="eastAsia"/>
            <w:color w:val="0000FF"/>
            <w:u w:val="single"/>
            <w:rtl/>
          </w:rPr>
          <w:t>פסול</w:t>
        </w:r>
        <w:r w:rsidR="004B1D70" w:rsidRPr="004B1D70">
          <w:rPr>
            <w:color w:val="0000FF"/>
            <w:u w:val="single"/>
            <w:rtl/>
          </w:rPr>
          <w:t xml:space="preserve">, </w:t>
        </w:r>
        <w:r w:rsidR="004B1D70" w:rsidRPr="004B1D70">
          <w:rPr>
            <w:rFonts w:hint="eastAsia"/>
            <w:color w:val="0000FF"/>
            <w:u w:val="single"/>
            <w:rtl/>
          </w:rPr>
          <w:t>חוזה</w:t>
        </w:r>
        <w:r w:rsidR="004B1D70" w:rsidRPr="004B1D70">
          <w:rPr>
            <w:color w:val="0000FF"/>
            <w:u w:val="single"/>
            <w:rtl/>
          </w:rPr>
          <w:t xml:space="preserve"> </w:t>
        </w:r>
        <w:r w:rsidR="004B1D70" w:rsidRPr="004B1D70">
          <w:rPr>
            <w:rFonts w:hint="eastAsia"/>
            <w:color w:val="0000FF"/>
            <w:u w:val="single"/>
            <w:rtl/>
          </w:rPr>
          <w:t>למראית</w:t>
        </w:r>
        <w:r w:rsidR="004B1D70" w:rsidRPr="004B1D70">
          <w:rPr>
            <w:color w:val="0000FF"/>
            <w:u w:val="single"/>
            <w:rtl/>
          </w:rPr>
          <w:t xml:space="preserve"> </w:t>
        </w:r>
      </w:hyperlink>
      <w:r>
        <w:rPr>
          <w:rtl/>
        </w:rPr>
        <w:t xml:space="preserve"> עין או חוזה פסול למראית עין? (בשולי </w:t>
      </w:r>
      <w:r w:rsidR="004B1D70" w:rsidRPr="00C3630B">
        <w:rPr>
          <w:rFonts w:hint="eastAsia"/>
          <w:rtl/>
        </w:rPr>
        <w:t>ע</w:t>
      </w:r>
      <w:r w:rsidR="004B1D70" w:rsidRPr="00C3630B">
        <w:rPr>
          <w:rtl/>
        </w:rPr>
        <w:t>"</w:t>
      </w:r>
      <w:r w:rsidR="004B1D70" w:rsidRPr="00C3630B">
        <w:rPr>
          <w:rFonts w:hint="eastAsia"/>
          <w:rtl/>
        </w:rPr>
        <w:t>א</w:t>
      </w:r>
      <w:r w:rsidR="004B1D70" w:rsidRPr="00C3630B">
        <w:rPr>
          <w:rtl/>
        </w:rPr>
        <w:t xml:space="preserve"> 4305/10</w:t>
      </w:r>
      <w:r>
        <w:rPr>
          <w:rtl/>
        </w:rPr>
        <w:t xml:space="preserve"> אילן נ' לוי)" </w:t>
      </w:r>
      <w:r>
        <w:rPr>
          <w:rFonts w:ascii="Century" w:hAnsi="Century" w:cs="Miriam"/>
          <w:b/>
          <w:spacing w:val="0"/>
          <w:sz w:val="22"/>
          <w:szCs w:val="24"/>
          <w:rtl/>
        </w:rPr>
        <w:t>משפטים</w:t>
      </w:r>
      <w:r>
        <w:rPr>
          <w:rtl/>
        </w:rPr>
        <w:t xml:space="preserve"> מה 251, 253 (התשע"ה)). אף שההסדר המיוחד, הוא המשקף את העסקה האמתית שנערכה בין הצדדים, המערערת אינה מבקשת ליתן לו תוקף ואינה עותרת לאכיפתו. בתביעתה, כפי שהוגשה לבית המשפט המחוזי, אשר התבססה רק על הטענה להיות הסכמי המכר הסכמים למראית עין, עתרה המערערת לבטלות כלל ההסכמים ולהשבת התמורה ששילמה מכוחם. לפיכך, התייתר הצורך להידרש לתוצאות הפסלות. יש לזכור, כי מאז ניתנה החלטת בית משפט של פירוק, בשנת 2016, חויבה </w:t>
      </w:r>
      <w:r>
        <w:rPr>
          <w:rtl/>
        </w:rPr>
        <w:lastRenderedPageBreak/>
        <w:t>המערערת להעמיד את יחידותיה לרשות המאגר המלונאי בהתאם להוראות הדין, ולמעשה נשללו זכויותיה לפי ההסדר המיוחד.</w:t>
      </w:r>
    </w:p>
    <w:p w14:paraId="5584DBFE" w14:textId="77777777" w:rsidR="00033FEA" w:rsidRDefault="00033FEA" w:rsidP="00033FEA">
      <w:pPr>
        <w:pStyle w:val="Ruller41"/>
        <w:rPr>
          <w:rtl/>
        </w:rPr>
      </w:pPr>
    </w:p>
    <w:p w14:paraId="64F8834D" w14:textId="77777777" w:rsidR="00033FEA" w:rsidRDefault="00000000" w:rsidP="00033FEA">
      <w:pPr>
        <w:pStyle w:val="Ruller4"/>
        <w:rPr>
          <w:rtl/>
        </w:rPr>
      </w:pPr>
      <w:r>
        <w:rPr>
          <w:rtl/>
        </w:rPr>
        <w:t>לאור המסקנה אליה הגיע, לא ראה בית המשפט המחוזי צורך להידרש ליתר טענות הצדדים – בכללן טענות המשיבים להתיישנות ושיהוי, טענות המערערת לאחריותם האישית של המשיבים 3-2 וטענות הצדדים במישור הסעדים שנתבעו. אציין כי סוגיה אחרונה זו לא זכתה לליבון משמעותי בסיכומי הצדדים, אשר לא ראו להתייחס לשיקולים שראוי ליישמם ככל שתיקבע בטלותם של החוזים ותוטל חובת השבה על הצדדים. בין שיקולים אלה עשויים להימנות, מבלי למצות, חלקם של הצדדים באי-החוקיות שנפלה בחוזה הסמוי; ביצועו של החוזה הסמוי לאורך כחמש שנים בהן התגוררו המערערת ובנה ברציפות ביחידות הנופש; וביצועו</w:t>
      </w:r>
      <w:r>
        <w:rPr>
          <w:rFonts w:hint="cs"/>
        </w:rPr>
        <w:t xml:space="preserve"> </w:t>
      </w:r>
      <w:r>
        <w:rPr>
          <w:rtl/>
        </w:rPr>
        <w:t xml:space="preserve">של החוזה הגלוי לאורך שנים רבות נוספות. דומה כי בנסיבות אלה, טוב היו עושים הצדדים לו הגיעו להסדר של פשרה כפי שהומלץ בדיון שהתקיים לפנינו. </w:t>
      </w:r>
    </w:p>
    <w:p w14:paraId="2CD20D9F" w14:textId="77777777" w:rsidR="00033FEA" w:rsidRDefault="00033FEA" w:rsidP="00033FEA">
      <w:pPr>
        <w:pStyle w:val="Ruller41"/>
        <w:rPr>
          <w:rtl/>
        </w:rPr>
      </w:pPr>
    </w:p>
    <w:p w14:paraId="11614EC7" w14:textId="77777777" w:rsidR="00033FEA" w:rsidRDefault="00000000" w:rsidP="00033FEA">
      <w:pPr>
        <w:pStyle w:val="Ruller4"/>
      </w:pPr>
      <w:r>
        <w:rPr>
          <w:rFonts w:ascii="Century" w:hAnsi="Century" w:cs="Miriam"/>
          <w:b/>
          <w:spacing w:val="0"/>
          <w:sz w:val="22"/>
          <w:szCs w:val="24"/>
          <w:rtl/>
        </w:rPr>
        <w:t>סוף דבר</w:t>
      </w:r>
      <w:r>
        <w:rPr>
          <w:rFonts w:ascii="Century" w:hAnsi="Century"/>
          <w:sz w:val="22"/>
          <w:rtl/>
        </w:rPr>
        <w:t>:</w:t>
      </w:r>
      <w:r>
        <w:rPr>
          <w:rtl/>
        </w:rPr>
        <w:t xml:space="preserve"> אציע לחבריי לקבל את הערעור באופן שיקבע כי הסכמי המכר הם הסכמים למראית לעין, ולהשיב את הדיון לבית המשפט המחוזי על מנת שידון ביתר טענות הצדדים. בית המשפט המחוזי ישקול האם ליתן את פסק דינו המשלים על סמך טיעוני הצדדים שכבר הוגשו, או שמא להתיר לצדדים להשלים את טיעוניהם בסוגיות אלה. </w:t>
      </w:r>
    </w:p>
    <w:p w14:paraId="5D17DCBE" w14:textId="77777777" w:rsidR="00033FEA" w:rsidRDefault="00033FEA" w:rsidP="00033FEA">
      <w:pPr>
        <w:pStyle w:val="Ruller41"/>
        <w:rPr>
          <w:rtl/>
        </w:rPr>
      </w:pPr>
    </w:p>
    <w:p w14:paraId="777C448E" w14:textId="77777777" w:rsidR="00033FEA" w:rsidRDefault="00000000" w:rsidP="00033FEA">
      <w:pPr>
        <w:pStyle w:val="Ruller4"/>
        <w:rPr>
          <w:rtl/>
        </w:rPr>
      </w:pPr>
      <w:r>
        <w:rPr>
          <w:rtl/>
        </w:rPr>
        <w:t>אשר על כן, לוּ תישמע דעתי, הערעור יתקבל כמפורט לעיל והמשיבים יישאו בהוצאות המערערת בסכום של 20,000 ₪.</w:t>
      </w:r>
    </w:p>
    <w:p w14:paraId="755EEC20" w14:textId="77777777" w:rsidR="00033FEA" w:rsidRDefault="00033FEA" w:rsidP="00033FEA">
      <w:pPr>
        <w:pStyle w:val="Ruller41"/>
        <w:rPr>
          <w:rtl/>
        </w:rPr>
      </w:pPr>
    </w:p>
    <w:tbl>
      <w:tblPr>
        <w:bidiVisual/>
        <w:tblW w:w="0" w:type="auto"/>
        <w:jc w:val="right"/>
        <w:tblLook w:val="01E0" w:firstRow="1" w:lastRow="1" w:firstColumn="1" w:lastColumn="1" w:noHBand="0" w:noVBand="0"/>
      </w:tblPr>
      <w:tblGrid>
        <w:gridCol w:w="2551"/>
      </w:tblGrid>
      <w:tr w:rsidR="00F73B5E" w14:paraId="638BAD24" w14:textId="77777777" w:rsidTr="004B1D70">
        <w:trPr>
          <w:trHeight w:val="454"/>
          <w:jc w:val="right"/>
        </w:trPr>
        <w:tc>
          <w:tcPr>
            <w:tcW w:w="2551" w:type="dxa"/>
            <w:tcBorders>
              <w:top w:val="single" w:sz="4" w:space="0" w:color="auto"/>
              <w:left w:val="nil"/>
              <w:bottom w:val="nil"/>
              <w:right w:val="nil"/>
            </w:tcBorders>
            <w:shd w:val="clear" w:color="auto" w:fill="auto"/>
            <w:vAlign w:val="center"/>
          </w:tcPr>
          <w:p w14:paraId="5595813C" w14:textId="77777777" w:rsidR="001A381F" w:rsidRPr="004B1D70" w:rsidRDefault="00000000" w:rsidP="004B1D70">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 xml:space="preserve">גילה כנפי-שטייניץ </w:t>
            </w:r>
            <w:r w:rsidRPr="004B1D70">
              <w:rPr>
                <w:rFonts w:cs="FrankRuehl"/>
                <w:b w:val="0"/>
                <w:bCs w:val="0"/>
                <w:spacing w:val="10"/>
                <w:sz w:val="28"/>
                <w:szCs w:val="28"/>
                <w:rtl/>
              </w:rPr>
              <w:t>שופטת</w:t>
            </w:r>
          </w:p>
        </w:tc>
      </w:tr>
    </w:tbl>
    <w:p w14:paraId="007E2FD3" w14:textId="77777777" w:rsidR="001A381F" w:rsidRDefault="001A381F">
      <w:pPr>
        <w:jc w:val="center"/>
        <w:rPr>
          <w:rtl/>
        </w:rPr>
      </w:pPr>
    </w:p>
    <w:p w14:paraId="03FD5ACB" w14:textId="77777777" w:rsidR="00C61238" w:rsidRDefault="00C61238">
      <w:pPr>
        <w:spacing w:line="360" w:lineRule="auto"/>
        <w:jc w:val="both"/>
        <w:rPr>
          <w:rFonts w:ascii="FrankRuehl" w:hAnsi="FrankRuehl" w:cs="FrankRuehl"/>
          <w:spacing w:val="10"/>
          <w:sz w:val="28"/>
          <w:szCs w:val="28"/>
          <w:rtl/>
        </w:rPr>
      </w:pPr>
    </w:p>
    <w:p w14:paraId="2990C683" w14:textId="77777777" w:rsidR="00C61238" w:rsidRDefault="00C61238">
      <w:pPr>
        <w:spacing w:line="360" w:lineRule="auto"/>
        <w:jc w:val="both"/>
        <w:rPr>
          <w:rFonts w:ascii="FrankRuehl" w:hAnsi="FrankRuehl" w:cs="FrankRuehl"/>
          <w:spacing w:val="10"/>
          <w:sz w:val="28"/>
          <w:szCs w:val="28"/>
          <w:rtl/>
        </w:rPr>
      </w:pPr>
    </w:p>
    <w:p w14:paraId="321C475F" w14:textId="77777777" w:rsidR="00033FEA" w:rsidRDefault="00000000">
      <w:pPr>
        <w:spacing w:line="360" w:lineRule="auto"/>
        <w:jc w:val="both"/>
        <w:rPr>
          <w:rFonts w:ascii="Century" w:hAnsi="Century" w:cs="Miriam"/>
          <w:b/>
          <w:sz w:val="22"/>
          <w:u w:val="single"/>
          <w:rtl/>
        </w:rPr>
      </w:pPr>
      <w:r w:rsidRPr="00033FEA">
        <w:rPr>
          <w:rFonts w:ascii="Century" w:hAnsi="Century" w:cs="Miriam" w:hint="cs"/>
          <w:b/>
          <w:sz w:val="22"/>
          <w:u w:val="single"/>
          <w:rtl/>
        </w:rPr>
        <w:t>השופט נעם סולברג:</w:t>
      </w:r>
    </w:p>
    <w:p w14:paraId="01EACF69" w14:textId="77777777" w:rsidR="00033FEA" w:rsidRDefault="00033FEA">
      <w:pPr>
        <w:spacing w:line="360" w:lineRule="auto"/>
        <w:jc w:val="both"/>
        <w:rPr>
          <w:rFonts w:ascii="Century" w:hAnsi="Century" w:cs="Miriam"/>
          <w:b/>
          <w:sz w:val="22"/>
          <w:u w:val="single"/>
          <w:rtl/>
        </w:rPr>
      </w:pPr>
    </w:p>
    <w:p w14:paraId="28239A58" w14:textId="77777777" w:rsidR="00033FEA" w:rsidRDefault="00000000">
      <w:pPr>
        <w:spacing w:line="360" w:lineRule="auto"/>
        <w:jc w:val="both"/>
        <w:rPr>
          <w:rFonts w:ascii="Century" w:hAnsi="Century" w:cs="FrankRuehl"/>
          <w:spacing w:val="10"/>
          <w:sz w:val="22"/>
          <w:szCs w:val="28"/>
          <w:rtl/>
        </w:rPr>
      </w:pPr>
      <w:r>
        <w:rPr>
          <w:rFonts w:ascii="Century" w:hAnsi="Century" w:cs="FrankRuehl"/>
          <w:spacing w:val="10"/>
          <w:sz w:val="22"/>
          <w:szCs w:val="28"/>
          <w:rtl/>
        </w:rPr>
        <w:tab/>
      </w:r>
      <w:r>
        <w:rPr>
          <w:rFonts w:ascii="Century" w:hAnsi="Century" w:cs="FrankRuehl" w:hint="cs"/>
          <w:spacing w:val="10"/>
          <w:sz w:val="22"/>
          <w:szCs w:val="28"/>
          <w:rtl/>
        </w:rPr>
        <w:t>אני מסכים.</w:t>
      </w:r>
    </w:p>
    <w:p w14:paraId="78E4DDB9" w14:textId="77777777" w:rsidR="00033FEA" w:rsidRDefault="00033FEA">
      <w:pPr>
        <w:spacing w:line="360" w:lineRule="auto"/>
        <w:jc w:val="both"/>
        <w:rPr>
          <w:rFonts w:ascii="Century" w:hAnsi="Century" w:cs="FrankRuehl"/>
          <w:spacing w:val="10"/>
          <w:sz w:val="22"/>
          <w:szCs w:val="28"/>
          <w:rtl/>
        </w:rPr>
      </w:pPr>
    </w:p>
    <w:tbl>
      <w:tblPr>
        <w:bidiVisual/>
        <w:tblW w:w="0" w:type="auto"/>
        <w:jc w:val="right"/>
        <w:tblLook w:val="01E0" w:firstRow="1" w:lastRow="1" w:firstColumn="1" w:lastColumn="1" w:noHBand="0" w:noVBand="0"/>
      </w:tblPr>
      <w:tblGrid>
        <w:gridCol w:w="2551"/>
      </w:tblGrid>
      <w:tr w:rsidR="00F73B5E" w14:paraId="293F81AE" w14:textId="77777777" w:rsidTr="004B1D70">
        <w:trPr>
          <w:trHeight w:val="454"/>
          <w:jc w:val="right"/>
        </w:trPr>
        <w:tc>
          <w:tcPr>
            <w:tcW w:w="2551" w:type="dxa"/>
            <w:tcBorders>
              <w:top w:val="single" w:sz="4" w:space="0" w:color="auto"/>
              <w:left w:val="nil"/>
              <w:bottom w:val="nil"/>
              <w:right w:val="nil"/>
            </w:tcBorders>
            <w:shd w:val="clear" w:color="auto" w:fill="auto"/>
            <w:vAlign w:val="center"/>
          </w:tcPr>
          <w:p w14:paraId="7F1B00CB" w14:textId="77777777" w:rsidR="001A381F" w:rsidRPr="004B1D70" w:rsidRDefault="00000000" w:rsidP="004B1D70">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lastRenderedPageBreak/>
              <w:t xml:space="preserve">נעם סולברג </w:t>
            </w:r>
          </w:p>
          <w:p w14:paraId="49FA7AA2" w14:textId="77777777" w:rsidR="001A381F" w:rsidRPr="004B1D70" w:rsidRDefault="00000000" w:rsidP="004B1D70">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שופט</w:t>
            </w:r>
          </w:p>
        </w:tc>
      </w:tr>
    </w:tbl>
    <w:p w14:paraId="045EA81D" w14:textId="77777777" w:rsidR="001A381F" w:rsidRDefault="001A381F">
      <w:pPr>
        <w:jc w:val="center"/>
        <w:rPr>
          <w:rtl/>
        </w:rPr>
      </w:pPr>
    </w:p>
    <w:p w14:paraId="3E6400FB" w14:textId="77777777" w:rsidR="00033FEA" w:rsidRDefault="00033FEA" w:rsidP="001A381F">
      <w:pPr>
        <w:rPr>
          <w:rtl/>
        </w:rPr>
      </w:pPr>
    </w:p>
    <w:p w14:paraId="1D86699D" w14:textId="77777777" w:rsidR="00033FEA" w:rsidRPr="00033FEA" w:rsidRDefault="00033FEA">
      <w:pPr>
        <w:spacing w:line="360" w:lineRule="auto"/>
        <w:jc w:val="both"/>
        <w:rPr>
          <w:rFonts w:ascii="Century" w:hAnsi="Century" w:cs="FrankRuehl"/>
          <w:spacing w:val="10"/>
          <w:sz w:val="22"/>
          <w:szCs w:val="28"/>
          <w:rtl/>
        </w:rPr>
      </w:pPr>
    </w:p>
    <w:p w14:paraId="488E6A00" w14:textId="77777777" w:rsidR="00C61238" w:rsidRDefault="00C61238">
      <w:pPr>
        <w:spacing w:line="360" w:lineRule="auto"/>
        <w:jc w:val="both"/>
        <w:rPr>
          <w:rFonts w:ascii="FrankRuehl" w:hAnsi="FrankRuehl" w:cs="FrankRuehl"/>
          <w:spacing w:val="10"/>
          <w:sz w:val="28"/>
          <w:szCs w:val="28"/>
          <w:rtl/>
        </w:rPr>
      </w:pPr>
    </w:p>
    <w:p w14:paraId="1A856429" w14:textId="77777777" w:rsidR="00033FEA" w:rsidRPr="00033FEA" w:rsidRDefault="00000000">
      <w:pPr>
        <w:spacing w:line="360" w:lineRule="auto"/>
        <w:jc w:val="both"/>
        <w:rPr>
          <w:rFonts w:ascii="Century" w:hAnsi="Century" w:cs="Miriam"/>
          <w:b/>
          <w:sz w:val="22"/>
          <w:u w:val="single"/>
          <w:rtl/>
        </w:rPr>
      </w:pPr>
      <w:r w:rsidRPr="00033FEA">
        <w:rPr>
          <w:rFonts w:ascii="Century" w:hAnsi="Century" w:cs="Miriam" w:hint="cs"/>
          <w:b/>
          <w:sz w:val="22"/>
          <w:u w:val="single"/>
          <w:rtl/>
        </w:rPr>
        <w:t>השופט יחיאל כשר:</w:t>
      </w:r>
    </w:p>
    <w:p w14:paraId="0A602A6D" w14:textId="77777777" w:rsidR="00C61238" w:rsidRDefault="00C61238">
      <w:pPr>
        <w:spacing w:line="360" w:lineRule="auto"/>
        <w:jc w:val="both"/>
        <w:rPr>
          <w:rFonts w:ascii="FrankRuehl" w:hAnsi="FrankRuehl" w:cs="FrankRuehl"/>
          <w:spacing w:val="10"/>
          <w:sz w:val="28"/>
          <w:szCs w:val="28"/>
          <w:rtl/>
        </w:rPr>
      </w:pPr>
    </w:p>
    <w:p w14:paraId="26484D8C" w14:textId="77777777" w:rsidR="00C61238" w:rsidRDefault="00033FEA">
      <w:pPr>
        <w:spacing w:line="360" w:lineRule="auto"/>
        <w:jc w:val="both"/>
        <w:rPr>
          <w:rFonts w:ascii="Century" w:hAnsi="Century" w:cs="FrankRuehl"/>
          <w:spacing w:val="10"/>
          <w:sz w:val="22"/>
          <w:szCs w:val="28"/>
          <w:rtl/>
        </w:rPr>
      </w:pPr>
      <w:r>
        <w:rPr>
          <w:rFonts w:ascii="Century" w:hAnsi="Century" w:cs="FrankRuehl"/>
          <w:spacing w:val="10"/>
          <w:sz w:val="22"/>
          <w:szCs w:val="28"/>
          <w:rtl/>
        </w:rPr>
        <w:tab/>
      </w:r>
      <w:r>
        <w:rPr>
          <w:rFonts w:ascii="Century" w:hAnsi="Century" w:cs="FrankRuehl" w:hint="cs"/>
          <w:spacing w:val="10"/>
          <w:sz w:val="22"/>
          <w:szCs w:val="28"/>
          <w:rtl/>
        </w:rPr>
        <w:t>אני מסכים.</w:t>
      </w:r>
    </w:p>
    <w:p w14:paraId="3ED3C54F" w14:textId="77777777" w:rsidR="00033FEA" w:rsidRDefault="00033FEA">
      <w:pPr>
        <w:spacing w:line="360" w:lineRule="auto"/>
        <w:jc w:val="both"/>
        <w:rPr>
          <w:rFonts w:ascii="Century" w:hAnsi="Century" w:cs="FrankRuehl"/>
          <w:spacing w:val="10"/>
          <w:sz w:val="22"/>
          <w:szCs w:val="28"/>
          <w:rtl/>
        </w:rPr>
      </w:pPr>
    </w:p>
    <w:tbl>
      <w:tblPr>
        <w:bidiVisual/>
        <w:tblW w:w="0" w:type="auto"/>
        <w:jc w:val="right"/>
        <w:tblLook w:val="01E0" w:firstRow="1" w:lastRow="1" w:firstColumn="1" w:lastColumn="1" w:noHBand="0" w:noVBand="0"/>
      </w:tblPr>
      <w:tblGrid>
        <w:gridCol w:w="2551"/>
      </w:tblGrid>
      <w:tr w:rsidR="00F73B5E" w14:paraId="062A0164" w14:textId="77777777" w:rsidTr="004B1D70">
        <w:trPr>
          <w:trHeight w:val="454"/>
          <w:jc w:val="right"/>
        </w:trPr>
        <w:tc>
          <w:tcPr>
            <w:tcW w:w="2551" w:type="dxa"/>
            <w:tcBorders>
              <w:top w:val="single" w:sz="4" w:space="0" w:color="auto"/>
              <w:left w:val="nil"/>
              <w:bottom w:val="nil"/>
              <w:right w:val="nil"/>
            </w:tcBorders>
            <w:shd w:val="clear" w:color="auto" w:fill="auto"/>
            <w:vAlign w:val="center"/>
          </w:tcPr>
          <w:p w14:paraId="5D452C2F" w14:textId="77777777" w:rsidR="001A381F" w:rsidRPr="004B1D70" w:rsidRDefault="00000000" w:rsidP="004B1D70">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 xml:space="preserve">יחיאל כשר </w:t>
            </w:r>
          </w:p>
          <w:p w14:paraId="41BCE1AA" w14:textId="77777777" w:rsidR="001A381F" w:rsidRPr="004B1D70" w:rsidRDefault="00000000" w:rsidP="004B1D70">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שופט</w:t>
            </w:r>
          </w:p>
        </w:tc>
      </w:tr>
    </w:tbl>
    <w:p w14:paraId="14840983" w14:textId="77777777" w:rsidR="001A381F" w:rsidRDefault="001A381F">
      <w:pPr>
        <w:jc w:val="center"/>
        <w:rPr>
          <w:rtl/>
        </w:rPr>
      </w:pPr>
    </w:p>
    <w:p w14:paraId="286D9233" w14:textId="77777777" w:rsidR="00033FEA" w:rsidRDefault="00033FEA" w:rsidP="001A381F">
      <w:pPr>
        <w:rPr>
          <w:rtl/>
        </w:rPr>
      </w:pPr>
    </w:p>
    <w:p w14:paraId="0E8E7D6E" w14:textId="77777777" w:rsidR="00033FEA" w:rsidRPr="00033FEA" w:rsidRDefault="00033FEA">
      <w:pPr>
        <w:spacing w:line="360" w:lineRule="auto"/>
        <w:jc w:val="both"/>
        <w:rPr>
          <w:rFonts w:ascii="Century" w:hAnsi="Century" w:cs="FrankRuehl"/>
          <w:spacing w:val="10"/>
          <w:sz w:val="22"/>
          <w:szCs w:val="28"/>
          <w:rtl/>
        </w:rPr>
      </w:pPr>
    </w:p>
    <w:p w14:paraId="0B6EA2B5" w14:textId="77777777" w:rsidR="00C61238" w:rsidRDefault="00033FEA">
      <w:pPr>
        <w:spacing w:line="360" w:lineRule="auto"/>
        <w:jc w:val="both"/>
        <w:rPr>
          <w:rFonts w:ascii="FrankRuehl" w:hAnsi="FrankRuehl" w:cs="FrankRuehl"/>
          <w:spacing w:val="10"/>
          <w:sz w:val="28"/>
          <w:szCs w:val="28"/>
          <w:rtl/>
        </w:rPr>
      </w:pPr>
      <w:r>
        <w:rPr>
          <w:rFonts w:ascii="FrankRuehl" w:hAnsi="FrankRuehl" w:cs="FrankRuehl"/>
          <w:spacing w:val="10"/>
          <w:sz w:val="28"/>
          <w:szCs w:val="28"/>
          <w:rtl/>
        </w:rPr>
        <w:tab/>
      </w:r>
      <w:r>
        <w:rPr>
          <w:rFonts w:ascii="FrankRuehl" w:hAnsi="FrankRuehl" w:cs="FrankRuehl" w:hint="cs"/>
          <w:spacing w:val="10"/>
          <w:sz w:val="28"/>
          <w:szCs w:val="28"/>
          <w:rtl/>
        </w:rPr>
        <w:t xml:space="preserve">הוחלט כאמור בפסק דינה של השופטת </w:t>
      </w:r>
      <w:r w:rsidRPr="00033FEA">
        <w:rPr>
          <w:rFonts w:ascii="Century" w:hAnsi="Century" w:cs="Miriam" w:hint="cs"/>
          <w:b/>
          <w:sz w:val="22"/>
          <w:rtl/>
        </w:rPr>
        <w:t>ג' כנפי-שטייניץ</w:t>
      </w:r>
      <w:r>
        <w:rPr>
          <w:rFonts w:ascii="FrankRuehl" w:hAnsi="FrankRuehl" w:cs="FrankRuehl" w:hint="cs"/>
          <w:spacing w:val="10"/>
          <w:sz w:val="28"/>
          <w:szCs w:val="28"/>
          <w:rtl/>
        </w:rPr>
        <w:t>.</w:t>
      </w:r>
    </w:p>
    <w:p w14:paraId="2E64A0A5" w14:textId="77777777" w:rsidR="00033FEA" w:rsidRDefault="00033FEA">
      <w:pPr>
        <w:spacing w:line="360" w:lineRule="auto"/>
        <w:jc w:val="both"/>
        <w:rPr>
          <w:rFonts w:ascii="FrankRuehl" w:hAnsi="FrankRuehl" w:cs="FrankRuehl"/>
          <w:spacing w:val="10"/>
          <w:sz w:val="28"/>
          <w:szCs w:val="28"/>
          <w:rtl/>
        </w:rPr>
      </w:pPr>
    </w:p>
    <w:p w14:paraId="657397D5" w14:textId="77777777" w:rsidR="00033FEA" w:rsidRDefault="004B1D70" w:rsidP="00BF76BE">
      <w:pPr>
        <w:spacing w:line="360" w:lineRule="auto"/>
        <w:ind w:firstLine="720"/>
        <w:jc w:val="both"/>
        <w:rPr>
          <w:rFonts w:ascii="FrankRuehl" w:hAnsi="FrankRuehl" w:cs="FrankRuehl"/>
          <w:sz w:val="28"/>
          <w:szCs w:val="28"/>
          <w:rtl/>
        </w:rPr>
      </w:pPr>
      <w:bookmarkStart w:id="11" w:name="Nitan"/>
      <w:r w:rsidRPr="004B1D70">
        <w:rPr>
          <w:rFonts w:ascii="FrankRuehl" w:hAnsi="FrankRuehl" w:cs="FrankRuehl"/>
          <w:color w:val="FFFFFF"/>
          <w:spacing w:val="10"/>
          <w:sz w:val="2"/>
          <w:szCs w:val="2"/>
          <w:rtl/>
        </w:rPr>
        <w:t>5129371</w:t>
      </w:r>
      <w:r>
        <w:rPr>
          <w:rFonts w:ascii="FrankRuehl" w:hAnsi="FrankRuehl" w:cs="FrankRuehl"/>
          <w:spacing w:val="10"/>
          <w:sz w:val="28"/>
          <w:szCs w:val="28"/>
          <w:rtl/>
        </w:rPr>
        <w:t xml:space="preserve">ניתן היום, ט"ז אב תשפ"ד (20 אוגוסט 2024). </w:t>
      </w:r>
      <w:bookmarkEnd w:id="11"/>
    </w:p>
    <w:tbl>
      <w:tblPr>
        <w:bidiVisual/>
        <w:tblW w:w="0" w:type="auto"/>
        <w:tblLook w:val="04A0" w:firstRow="1" w:lastRow="0" w:firstColumn="1" w:lastColumn="0" w:noHBand="0" w:noVBand="1"/>
      </w:tblPr>
      <w:tblGrid>
        <w:gridCol w:w="2765"/>
        <w:gridCol w:w="2766"/>
        <w:gridCol w:w="2766"/>
      </w:tblGrid>
      <w:tr w:rsidR="00F73B5E" w14:paraId="788EF54D" w14:textId="77777777" w:rsidTr="004B1D70">
        <w:tc>
          <w:tcPr>
            <w:tcW w:w="2765" w:type="dxa"/>
            <w:shd w:val="clear" w:color="auto" w:fill="auto"/>
          </w:tcPr>
          <w:p w14:paraId="1E94A192" w14:textId="77777777" w:rsidR="004B1D70" w:rsidRPr="004B1D70" w:rsidRDefault="00000000" w:rsidP="00C3630B">
            <w:pPr>
              <w:jc w:val="center"/>
              <w:rPr>
                <w:rFonts w:ascii="Courier New" w:hAnsi="Courier New"/>
                <w:color w:val="FFFFFF"/>
                <w:sz w:val="2"/>
                <w:szCs w:val="2"/>
                <w:rtl/>
              </w:rPr>
            </w:pPr>
            <w:r w:rsidRPr="004B1D70">
              <w:rPr>
                <w:rFonts w:ascii="Courier New" w:hAnsi="Courier New"/>
                <w:color w:val="FFFFFF"/>
                <w:sz w:val="2"/>
                <w:szCs w:val="2"/>
                <w:rtl/>
              </w:rPr>
              <w:t>54678313</w:t>
            </w:r>
          </w:p>
          <w:p w14:paraId="470713B0" w14:textId="77777777" w:rsidR="004B1D70" w:rsidRPr="004B1D70" w:rsidRDefault="00000000" w:rsidP="00C3630B">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נעם סולברג</w:t>
            </w:r>
          </w:p>
          <w:p w14:paraId="758B22DF" w14:textId="77777777" w:rsidR="004B1D70" w:rsidRPr="004B1D70" w:rsidRDefault="00000000" w:rsidP="00C3630B">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שופט</w:t>
            </w:r>
          </w:p>
          <w:p w14:paraId="75C5C057" w14:textId="77777777" w:rsidR="00E90C45" w:rsidRPr="004B1D70" w:rsidRDefault="00E90C45" w:rsidP="00C3630B">
            <w:pPr>
              <w:spacing w:line="360" w:lineRule="auto"/>
              <w:jc w:val="center"/>
              <w:rPr>
                <w:rFonts w:ascii="FrankRuehl" w:hAnsi="FrankRuehl" w:cs="FrankRuehl"/>
                <w:sz w:val="28"/>
                <w:szCs w:val="28"/>
                <w:rtl/>
              </w:rPr>
            </w:pPr>
          </w:p>
        </w:tc>
        <w:tc>
          <w:tcPr>
            <w:tcW w:w="2766" w:type="dxa"/>
            <w:shd w:val="clear" w:color="auto" w:fill="auto"/>
          </w:tcPr>
          <w:p w14:paraId="3E70C935" w14:textId="77777777" w:rsidR="004B1D70" w:rsidRPr="004B1D70" w:rsidRDefault="004B1D70" w:rsidP="00C3630B">
            <w:pPr>
              <w:jc w:val="center"/>
              <w:rPr>
                <w:rFonts w:ascii="Courier New" w:hAnsi="Courier New"/>
                <w:rtl/>
              </w:rPr>
            </w:pPr>
          </w:p>
          <w:p w14:paraId="07E3DCFC" w14:textId="77777777" w:rsidR="004B1D70" w:rsidRPr="004B1D70" w:rsidRDefault="00000000" w:rsidP="00C3630B">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 xml:space="preserve">גילה כנפי-שטייניץ </w:t>
            </w:r>
            <w:r w:rsidRPr="004B1D70">
              <w:rPr>
                <w:rFonts w:cs="FrankRuehl"/>
                <w:b w:val="0"/>
                <w:bCs w:val="0"/>
                <w:spacing w:val="10"/>
                <w:sz w:val="28"/>
                <w:szCs w:val="28"/>
                <w:rtl/>
              </w:rPr>
              <w:t>שופטת</w:t>
            </w:r>
          </w:p>
          <w:p w14:paraId="4BA16425" w14:textId="77777777" w:rsidR="00E90C45" w:rsidRPr="004B1D70" w:rsidRDefault="00E90C45" w:rsidP="00C3630B">
            <w:pPr>
              <w:spacing w:line="360" w:lineRule="auto"/>
              <w:jc w:val="center"/>
              <w:rPr>
                <w:rFonts w:ascii="FrankRuehl" w:hAnsi="FrankRuehl" w:cs="FrankRuehl"/>
                <w:sz w:val="28"/>
                <w:szCs w:val="28"/>
                <w:rtl/>
              </w:rPr>
            </w:pPr>
          </w:p>
        </w:tc>
        <w:tc>
          <w:tcPr>
            <w:tcW w:w="2766" w:type="dxa"/>
            <w:shd w:val="clear" w:color="auto" w:fill="auto"/>
          </w:tcPr>
          <w:p w14:paraId="098BCCEA" w14:textId="321A2414" w:rsidR="004B1D70" w:rsidRPr="004B1D70" w:rsidRDefault="00704144" w:rsidP="00C3630B">
            <w:pPr>
              <w:jc w:val="center"/>
              <w:rPr>
                <w:rFonts w:ascii="Courier New" w:hAnsi="Courier New"/>
                <w:rtl/>
              </w:rPr>
            </w:pPr>
            <w:r>
              <w:rPr>
                <w:noProof/>
                <w:rtl/>
              </w:rPr>
              <w:drawing>
                <wp:anchor distT="0" distB="0" distL="114300" distR="114300" simplePos="0" relativeHeight="251657728" behindDoc="1" locked="0" layoutInCell="1" allowOverlap="1" wp14:anchorId="61FDFAA9" wp14:editId="003CA888">
                  <wp:simplePos x="0" y="0"/>
                  <wp:positionH relativeFrom="column">
                    <wp:posOffset>191770</wp:posOffset>
                  </wp:positionH>
                  <wp:positionV relativeFrom="paragraph">
                    <wp:posOffset>33020</wp:posOffset>
                  </wp:positionV>
                  <wp:extent cx="1038225" cy="868680"/>
                  <wp:effectExtent l="0" t="0" r="0" b="0"/>
                  <wp:wrapNone/>
                  <wp:docPr id="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822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0EEF2" w14:textId="77777777" w:rsidR="004B1D70" w:rsidRPr="004B1D70" w:rsidRDefault="00000000" w:rsidP="00C3630B">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יחיאל כשר</w:t>
            </w:r>
          </w:p>
          <w:p w14:paraId="7D1B8DC1" w14:textId="77777777" w:rsidR="004B1D70" w:rsidRPr="004B1D70" w:rsidRDefault="00000000" w:rsidP="00C3630B">
            <w:pPr>
              <w:pStyle w:val="31"/>
              <w:spacing w:line="240" w:lineRule="auto"/>
              <w:jc w:val="center"/>
              <w:rPr>
                <w:rFonts w:cs="FrankRuehl"/>
                <w:b w:val="0"/>
                <w:bCs w:val="0"/>
                <w:spacing w:val="10"/>
                <w:sz w:val="28"/>
                <w:szCs w:val="28"/>
                <w:rtl/>
              </w:rPr>
            </w:pPr>
            <w:r w:rsidRPr="004B1D70">
              <w:rPr>
                <w:rFonts w:cs="FrankRuehl" w:hint="cs"/>
                <w:b w:val="0"/>
                <w:bCs w:val="0"/>
                <w:spacing w:val="10"/>
                <w:sz w:val="28"/>
                <w:szCs w:val="28"/>
                <w:rtl/>
              </w:rPr>
              <w:t>שופט</w:t>
            </w:r>
          </w:p>
          <w:p w14:paraId="251A2F22" w14:textId="77777777" w:rsidR="00E90C45" w:rsidRPr="004B1D70" w:rsidRDefault="00E90C45" w:rsidP="00C3630B">
            <w:pPr>
              <w:spacing w:line="360" w:lineRule="auto"/>
              <w:jc w:val="center"/>
              <w:rPr>
                <w:rFonts w:ascii="FrankRuehl" w:hAnsi="FrankRuehl" w:cs="FrankRuehl"/>
                <w:sz w:val="28"/>
                <w:szCs w:val="28"/>
                <w:rtl/>
              </w:rPr>
            </w:pPr>
          </w:p>
        </w:tc>
      </w:tr>
    </w:tbl>
    <w:p w14:paraId="1F6595E4" w14:textId="77777777" w:rsidR="00E90C45" w:rsidRPr="00105E0F" w:rsidRDefault="00E90C45" w:rsidP="00E90C45">
      <w:pPr>
        <w:spacing w:line="360" w:lineRule="auto"/>
        <w:jc w:val="both"/>
        <w:rPr>
          <w:rFonts w:ascii="FrankRuehl" w:hAnsi="FrankRuehl" w:cs="FrankRuehl"/>
          <w:sz w:val="28"/>
          <w:szCs w:val="28"/>
          <w:rtl/>
        </w:rPr>
      </w:pPr>
    </w:p>
    <w:p w14:paraId="17341CAE" w14:textId="77777777" w:rsidR="00C43648" w:rsidRPr="00C36C5B" w:rsidRDefault="00C36C5B" w:rsidP="00BD6531">
      <w:pPr>
        <w:tabs>
          <w:tab w:val="left" w:pos="2553"/>
        </w:tabs>
        <w:ind w:left="5040"/>
        <w:rPr>
          <w:rFonts w:ascii="FrankRuehl" w:hAnsi="FrankRuehl" w:cs="FrankRuehl"/>
          <w:color w:val="FFFFFF"/>
          <w:sz w:val="2"/>
          <w:szCs w:val="2"/>
          <w:rtl/>
        </w:rPr>
      </w:pPr>
      <w:r w:rsidRPr="00C36C5B">
        <w:rPr>
          <w:rFonts w:ascii="FrankRuehl" w:hAnsi="FrankRuehl" w:cs="FrankRuehl"/>
          <w:color w:val="FFFFFF"/>
          <w:sz w:val="2"/>
          <w:szCs w:val="2"/>
          <w:rtl/>
        </w:rPr>
        <w:t>5129371</w:t>
      </w:r>
    </w:p>
    <w:p w14:paraId="453CF250" w14:textId="77777777" w:rsidR="00694556" w:rsidRPr="00C36C5B" w:rsidRDefault="00C36C5B" w:rsidP="004B1D70">
      <w:pPr>
        <w:keepNext/>
        <w:tabs>
          <w:tab w:val="left" w:pos="2553"/>
        </w:tabs>
        <w:rPr>
          <w:rFonts w:ascii="David" w:hAnsi="David"/>
          <w:color w:val="FFFFFF"/>
          <w:sz w:val="2"/>
          <w:szCs w:val="2"/>
          <w:rtl/>
        </w:rPr>
      </w:pPr>
      <w:r w:rsidRPr="00C36C5B">
        <w:rPr>
          <w:rFonts w:ascii="FrankRuehl" w:hAnsi="FrankRuehl" w:cs="FrankRuehl"/>
          <w:color w:val="FFFFFF"/>
          <w:sz w:val="2"/>
          <w:szCs w:val="2"/>
          <w:rtl/>
        </w:rPr>
        <w:t>54678313</w:t>
      </w:r>
      <w:r w:rsidR="00BD6531" w:rsidRPr="00C36C5B">
        <w:rPr>
          <w:rFonts w:ascii="FrankRuehl" w:hAnsi="FrankRuehl" w:cs="FrankRuehl"/>
          <w:color w:val="FFFFFF"/>
          <w:sz w:val="2"/>
          <w:szCs w:val="2"/>
          <w:rtl/>
        </w:rPr>
        <w:tab/>
      </w:r>
      <w:r w:rsidR="00BD6531" w:rsidRPr="00C36C5B">
        <w:rPr>
          <w:rFonts w:ascii="FrankRuehl" w:hAnsi="FrankRuehl" w:cs="FrankRuehl"/>
          <w:color w:val="FFFFFF"/>
          <w:sz w:val="2"/>
          <w:szCs w:val="2"/>
          <w:rtl/>
        </w:rPr>
        <w:tab/>
      </w:r>
      <w:r w:rsidR="00BD6531" w:rsidRPr="00C36C5B">
        <w:rPr>
          <w:rFonts w:ascii="FrankRuehl" w:hAnsi="FrankRuehl" w:cs="FrankRuehl"/>
          <w:color w:val="FFFFFF"/>
          <w:sz w:val="2"/>
          <w:szCs w:val="2"/>
          <w:rtl/>
        </w:rPr>
        <w:tab/>
      </w:r>
      <w:r w:rsidR="00BD6531" w:rsidRPr="00C36C5B">
        <w:rPr>
          <w:rFonts w:ascii="FrankRuehl" w:hAnsi="FrankRuehl" w:cs="FrankRuehl"/>
          <w:color w:val="FFFFFF"/>
          <w:sz w:val="2"/>
          <w:szCs w:val="2"/>
          <w:rtl/>
        </w:rPr>
        <w:tab/>
        <w:t xml:space="preserve">        </w:t>
      </w:r>
    </w:p>
    <w:p w14:paraId="4E28BC41" w14:textId="77777777" w:rsidR="004B1D70" w:rsidRDefault="004B1D70" w:rsidP="004B1D70">
      <w:pPr>
        <w:tabs>
          <w:tab w:val="left" w:pos="2553"/>
        </w:tabs>
        <w:rPr>
          <w:rFonts w:ascii="FrankRuehl" w:hAnsi="FrankRuehl" w:cs="FrankRuehl"/>
          <w:sz w:val="28"/>
          <w:szCs w:val="28"/>
          <w:rtl/>
        </w:rPr>
      </w:pPr>
    </w:p>
    <w:p w14:paraId="72A29368" w14:textId="58015D3C" w:rsidR="004B1D70" w:rsidRPr="004B1D70" w:rsidRDefault="004B1D70" w:rsidP="00C36C5B">
      <w:pPr>
        <w:tabs>
          <w:tab w:val="left" w:pos="2553"/>
        </w:tabs>
        <w:rPr>
          <w:rFonts w:ascii="FrankRuehl" w:hAnsi="FrankRuehl"/>
          <w:color w:val="0000FF"/>
          <w:sz w:val="28"/>
          <w:u w:val="single"/>
          <w:rtl/>
        </w:rPr>
      </w:pPr>
    </w:p>
    <w:sectPr w:rsidR="004B1D70" w:rsidRPr="004B1D70" w:rsidSect="00C36C5B">
      <w:headerReference w:type="even" r:id="rId35"/>
      <w:headerReference w:type="default" r:id="rId36"/>
      <w:footerReference w:type="even" r:id="rId37"/>
      <w:footerReference w:type="default" r:id="rId38"/>
      <w:headerReference w:type="first" r:id="rId39"/>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1DEF" w14:textId="77777777" w:rsidR="008D4379" w:rsidRDefault="008D4379">
      <w:r>
        <w:separator/>
      </w:r>
    </w:p>
  </w:endnote>
  <w:endnote w:type="continuationSeparator" w:id="0">
    <w:p w14:paraId="2772996A" w14:textId="77777777" w:rsidR="008D4379" w:rsidRDefault="008D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D25A" w14:textId="77777777" w:rsidR="00C36C5B" w:rsidRDefault="00000000" w:rsidP="00C36C5B">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w:t>
    </w:r>
    <w:r>
      <w:rPr>
        <w:rFonts w:ascii="FrankRuehl" w:hAnsi="FrankRuehl" w:cs="FrankRuehl"/>
        <w:rtl/>
      </w:rPr>
      <w:fldChar w:fldCharType="end"/>
    </w:r>
  </w:p>
  <w:p w14:paraId="1C8B9C91" w14:textId="5A6F97A3" w:rsidR="004B1D70" w:rsidRPr="00C36C5B" w:rsidRDefault="00704144" w:rsidP="00C36C5B">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135496AC" wp14:editId="7792EBDE">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DD13B" w14:textId="77777777" w:rsidR="00C36C5B" w:rsidRDefault="00000000" w:rsidP="00C36C5B">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C3630B">
      <w:rPr>
        <w:rFonts w:ascii="FrankRuehl" w:hAnsi="FrankRuehl" w:cs="FrankRuehl"/>
        <w:noProof/>
        <w:rtl/>
      </w:rPr>
      <w:t>3</w:t>
    </w:r>
    <w:r>
      <w:rPr>
        <w:rFonts w:ascii="FrankRuehl" w:hAnsi="FrankRuehl" w:cs="FrankRuehl"/>
        <w:rtl/>
      </w:rPr>
      <w:fldChar w:fldCharType="end"/>
    </w:r>
  </w:p>
  <w:p w14:paraId="0870CB88" w14:textId="3563FD83" w:rsidR="004B1D70" w:rsidRPr="00C36C5B" w:rsidRDefault="004B1D70" w:rsidP="00C36C5B">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7E19" w14:textId="77777777" w:rsidR="008D4379" w:rsidRDefault="008D4379">
      <w:r>
        <w:separator/>
      </w:r>
    </w:p>
  </w:footnote>
  <w:footnote w:type="continuationSeparator" w:id="0">
    <w:p w14:paraId="13D8A647" w14:textId="77777777" w:rsidR="008D4379" w:rsidRDefault="008D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E4E6" w14:textId="77777777" w:rsidR="004B1D70" w:rsidRPr="00C36C5B" w:rsidRDefault="00C36C5B" w:rsidP="00C36C5B">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3805/23 </w:t>
    </w:r>
    <w:r>
      <w:rPr>
        <w:rFonts w:ascii="David" w:hAnsi="David"/>
        <w:color w:val="000000"/>
        <w:sz w:val="22"/>
        <w:szCs w:val="22"/>
        <w:rtl/>
      </w:rPr>
      <w:tab/>
      <w:t xml:space="preserve"> גלינה גולדנברג נ' בר-זן נדל"ן ותיירות בע"מ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ABC5" w14:textId="77777777" w:rsidR="00105E0F" w:rsidRPr="00C36C5B" w:rsidRDefault="00C36C5B" w:rsidP="00C36C5B">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2" w:name="_Hlk176406495"/>
    <w:bookmarkStart w:id="13" w:name="_Hlk176406496"/>
    <w:bookmarkStart w:id="14" w:name="_Hlk176406497"/>
    <w:bookmarkStart w:id="15" w:name="_Hlk176406498"/>
    <w:r>
      <w:rPr>
        <w:rFonts w:ascii="David" w:hAnsi="David"/>
        <w:color w:val="000000"/>
        <w:sz w:val="22"/>
        <w:szCs w:val="22"/>
        <w:rtl/>
      </w:rPr>
      <w:t xml:space="preserve">עא 3805/23 </w:t>
    </w:r>
    <w:r>
      <w:rPr>
        <w:rFonts w:ascii="David" w:hAnsi="David"/>
        <w:color w:val="000000"/>
        <w:sz w:val="22"/>
        <w:szCs w:val="22"/>
        <w:rtl/>
      </w:rPr>
      <w:tab/>
      <w:t xml:space="preserve"> גלינה גולדנברג נ' בר-זן נדל"ן ותיירות בע"מ</w:t>
    </w:r>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35AB" w14:textId="5B580506" w:rsidR="00616AE2" w:rsidRDefault="00704144" w:rsidP="00616AE2">
    <w:pPr>
      <w:pStyle w:val="a5"/>
      <w:jc w:val="center"/>
    </w:pPr>
    <w:r>
      <w:rPr>
        <w:noProof/>
      </w:rPr>
      <w:drawing>
        <wp:inline distT="0" distB="0" distL="0" distR="0" wp14:anchorId="391860BA" wp14:editId="33ABA7FB">
          <wp:extent cx="466725" cy="447675"/>
          <wp:effectExtent l="0" t="0" r="0" b="0"/>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2C9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1F857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4E36A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44A947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E8ABC4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C72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EC12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60023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AE5D1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1A89E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864587"/>
    <w:multiLevelType w:val="hybridMultilevel"/>
    <w:tmpl w:val="85545D1C"/>
    <w:lvl w:ilvl="0" w:tplc="174E61C4">
      <w:start w:val="1"/>
      <w:numFmt w:val="hebrew1"/>
      <w:lvlText w:val="%1)"/>
      <w:lvlJc w:val="left"/>
      <w:pPr>
        <w:ind w:left="2004" w:hanging="360"/>
      </w:pPr>
      <w:rPr>
        <w:sz w:val="28"/>
      </w:rPr>
    </w:lvl>
    <w:lvl w:ilvl="1" w:tplc="2E62CB7C">
      <w:start w:val="1"/>
      <w:numFmt w:val="lowerLetter"/>
      <w:lvlText w:val="%2."/>
      <w:lvlJc w:val="left"/>
      <w:pPr>
        <w:ind w:left="2724" w:hanging="360"/>
      </w:pPr>
    </w:lvl>
    <w:lvl w:ilvl="2" w:tplc="C9FC4A8E">
      <w:start w:val="1"/>
      <w:numFmt w:val="lowerRoman"/>
      <w:lvlText w:val="%3."/>
      <w:lvlJc w:val="right"/>
      <w:pPr>
        <w:ind w:left="3444" w:hanging="180"/>
      </w:pPr>
    </w:lvl>
    <w:lvl w:ilvl="3" w:tplc="801ADDC2">
      <w:start w:val="1"/>
      <w:numFmt w:val="decimal"/>
      <w:lvlText w:val="%4."/>
      <w:lvlJc w:val="left"/>
      <w:pPr>
        <w:ind w:left="4164" w:hanging="360"/>
      </w:pPr>
    </w:lvl>
    <w:lvl w:ilvl="4" w:tplc="F8AA1350">
      <w:start w:val="1"/>
      <w:numFmt w:val="lowerLetter"/>
      <w:lvlText w:val="%5."/>
      <w:lvlJc w:val="left"/>
      <w:pPr>
        <w:ind w:left="4884" w:hanging="360"/>
      </w:pPr>
    </w:lvl>
    <w:lvl w:ilvl="5" w:tplc="430A5BD0">
      <w:start w:val="1"/>
      <w:numFmt w:val="lowerRoman"/>
      <w:lvlText w:val="%6."/>
      <w:lvlJc w:val="right"/>
      <w:pPr>
        <w:ind w:left="5604" w:hanging="180"/>
      </w:pPr>
    </w:lvl>
    <w:lvl w:ilvl="6" w:tplc="B7BA0C8A">
      <w:start w:val="1"/>
      <w:numFmt w:val="decimal"/>
      <w:lvlText w:val="%7."/>
      <w:lvlJc w:val="left"/>
      <w:pPr>
        <w:ind w:left="6324" w:hanging="360"/>
      </w:pPr>
    </w:lvl>
    <w:lvl w:ilvl="7" w:tplc="60AE7DDE">
      <w:start w:val="1"/>
      <w:numFmt w:val="lowerLetter"/>
      <w:lvlText w:val="%8."/>
      <w:lvlJc w:val="left"/>
      <w:pPr>
        <w:ind w:left="7044" w:hanging="360"/>
      </w:pPr>
    </w:lvl>
    <w:lvl w:ilvl="8" w:tplc="15C802C6">
      <w:start w:val="1"/>
      <w:numFmt w:val="lowerRoman"/>
      <w:lvlText w:val="%9."/>
      <w:lvlJc w:val="right"/>
      <w:pPr>
        <w:ind w:left="7764" w:hanging="180"/>
      </w:pPr>
    </w:lvl>
  </w:abstractNum>
  <w:abstractNum w:abstractNumId="11" w15:restartNumberingAfterBreak="0">
    <w:nsid w:val="08A6001B"/>
    <w:multiLevelType w:val="hybridMultilevel"/>
    <w:tmpl w:val="B2C4B5E4"/>
    <w:lvl w:ilvl="0" w:tplc="D5D014D8">
      <w:start w:val="1"/>
      <w:numFmt w:val="decimal"/>
      <w:pStyle w:val="Ruller4"/>
      <w:lvlText w:val="%1."/>
      <w:lvlJc w:val="left"/>
      <w:pPr>
        <w:tabs>
          <w:tab w:val="num" w:pos="907"/>
        </w:tabs>
        <w:ind w:left="0" w:firstLine="0"/>
      </w:pPr>
    </w:lvl>
    <w:lvl w:ilvl="1" w:tplc="1F52E1BC">
      <w:start w:val="1"/>
      <w:numFmt w:val="lowerLetter"/>
      <w:lvlText w:val="%2."/>
      <w:lvlJc w:val="left"/>
      <w:pPr>
        <w:tabs>
          <w:tab w:val="num" w:pos="1440"/>
        </w:tabs>
        <w:ind w:left="1440" w:hanging="360"/>
      </w:pPr>
    </w:lvl>
    <w:lvl w:ilvl="2" w:tplc="838AB532">
      <w:start w:val="1"/>
      <w:numFmt w:val="lowerRoman"/>
      <w:lvlText w:val="%3."/>
      <w:lvlJc w:val="right"/>
      <w:pPr>
        <w:tabs>
          <w:tab w:val="num" w:pos="2160"/>
        </w:tabs>
        <w:ind w:left="2160" w:hanging="180"/>
      </w:pPr>
    </w:lvl>
    <w:lvl w:ilvl="3" w:tplc="D540A4D2">
      <w:start w:val="1"/>
      <w:numFmt w:val="decimal"/>
      <w:lvlText w:val="%4."/>
      <w:lvlJc w:val="left"/>
      <w:pPr>
        <w:tabs>
          <w:tab w:val="num" w:pos="2880"/>
        </w:tabs>
        <w:ind w:left="2880" w:hanging="360"/>
      </w:pPr>
    </w:lvl>
    <w:lvl w:ilvl="4" w:tplc="A1D88288">
      <w:start w:val="1"/>
      <w:numFmt w:val="lowerLetter"/>
      <w:lvlText w:val="%5."/>
      <w:lvlJc w:val="left"/>
      <w:pPr>
        <w:tabs>
          <w:tab w:val="num" w:pos="3600"/>
        </w:tabs>
        <w:ind w:left="3600" w:hanging="360"/>
      </w:pPr>
    </w:lvl>
    <w:lvl w:ilvl="5" w:tplc="4380EC18">
      <w:start w:val="1"/>
      <w:numFmt w:val="lowerRoman"/>
      <w:lvlText w:val="%6."/>
      <w:lvlJc w:val="right"/>
      <w:pPr>
        <w:tabs>
          <w:tab w:val="num" w:pos="4320"/>
        </w:tabs>
        <w:ind w:left="4320" w:hanging="180"/>
      </w:pPr>
    </w:lvl>
    <w:lvl w:ilvl="6" w:tplc="1C86A372">
      <w:start w:val="1"/>
      <w:numFmt w:val="decimal"/>
      <w:lvlText w:val="%7."/>
      <w:lvlJc w:val="left"/>
      <w:pPr>
        <w:tabs>
          <w:tab w:val="num" w:pos="5040"/>
        </w:tabs>
        <w:ind w:left="5040" w:hanging="360"/>
      </w:pPr>
    </w:lvl>
    <w:lvl w:ilvl="7" w:tplc="C92AFA10">
      <w:start w:val="1"/>
      <w:numFmt w:val="lowerLetter"/>
      <w:lvlText w:val="%8."/>
      <w:lvlJc w:val="left"/>
      <w:pPr>
        <w:tabs>
          <w:tab w:val="num" w:pos="5760"/>
        </w:tabs>
        <w:ind w:left="5760" w:hanging="360"/>
      </w:pPr>
    </w:lvl>
    <w:lvl w:ilvl="8" w:tplc="DDDC053E">
      <w:start w:val="1"/>
      <w:numFmt w:val="lowerRoman"/>
      <w:lvlText w:val="%9."/>
      <w:lvlJc w:val="right"/>
      <w:pPr>
        <w:tabs>
          <w:tab w:val="num" w:pos="6480"/>
        </w:tabs>
        <w:ind w:left="6480" w:hanging="180"/>
      </w:pPr>
    </w:lvl>
  </w:abstractNum>
  <w:abstractNum w:abstractNumId="12" w15:restartNumberingAfterBreak="0">
    <w:nsid w:val="0AE1065F"/>
    <w:multiLevelType w:val="hybridMultilevel"/>
    <w:tmpl w:val="6EE49AC6"/>
    <w:lvl w:ilvl="0" w:tplc="A934D7FC">
      <w:start w:val="1"/>
      <w:numFmt w:val="decimal"/>
      <w:lvlText w:val="%1."/>
      <w:lvlJc w:val="left"/>
      <w:pPr>
        <w:ind w:left="2004" w:hanging="360"/>
      </w:pPr>
    </w:lvl>
    <w:lvl w:ilvl="1" w:tplc="88F22EA8">
      <w:start w:val="1"/>
      <w:numFmt w:val="lowerLetter"/>
      <w:lvlText w:val="%2."/>
      <w:lvlJc w:val="left"/>
      <w:pPr>
        <w:ind w:left="2724" w:hanging="360"/>
      </w:pPr>
    </w:lvl>
    <w:lvl w:ilvl="2" w:tplc="33D6F50C">
      <w:start w:val="1"/>
      <w:numFmt w:val="lowerRoman"/>
      <w:lvlText w:val="%3."/>
      <w:lvlJc w:val="right"/>
      <w:pPr>
        <w:ind w:left="3444" w:hanging="180"/>
      </w:pPr>
    </w:lvl>
    <w:lvl w:ilvl="3" w:tplc="70E226B8">
      <w:start w:val="1"/>
      <w:numFmt w:val="decimal"/>
      <w:lvlText w:val="%4."/>
      <w:lvlJc w:val="left"/>
      <w:pPr>
        <w:ind w:left="4164" w:hanging="360"/>
      </w:pPr>
    </w:lvl>
    <w:lvl w:ilvl="4" w:tplc="E2380A42">
      <w:start w:val="1"/>
      <w:numFmt w:val="lowerLetter"/>
      <w:lvlText w:val="%5."/>
      <w:lvlJc w:val="left"/>
      <w:pPr>
        <w:ind w:left="4884" w:hanging="360"/>
      </w:pPr>
    </w:lvl>
    <w:lvl w:ilvl="5" w:tplc="D65ADF38">
      <w:start w:val="1"/>
      <w:numFmt w:val="lowerRoman"/>
      <w:lvlText w:val="%6."/>
      <w:lvlJc w:val="right"/>
      <w:pPr>
        <w:ind w:left="5604" w:hanging="180"/>
      </w:pPr>
    </w:lvl>
    <w:lvl w:ilvl="6" w:tplc="2BDE6B8A">
      <w:start w:val="1"/>
      <w:numFmt w:val="decimal"/>
      <w:lvlText w:val="%7."/>
      <w:lvlJc w:val="left"/>
      <w:pPr>
        <w:ind w:left="6324" w:hanging="360"/>
      </w:pPr>
    </w:lvl>
    <w:lvl w:ilvl="7" w:tplc="06A4034E">
      <w:start w:val="1"/>
      <w:numFmt w:val="lowerLetter"/>
      <w:lvlText w:val="%8."/>
      <w:lvlJc w:val="left"/>
      <w:pPr>
        <w:ind w:left="7044" w:hanging="360"/>
      </w:pPr>
    </w:lvl>
    <w:lvl w:ilvl="8" w:tplc="2A9AB772">
      <w:start w:val="1"/>
      <w:numFmt w:val="lowerRoman"/>
      <w:lvlText w:val="%9."/>
      <w:lvlJc w:val="right"/>
      <w:pPr>
        <w:ind w:left="7764" w:hanging="180"/>
      </w:pPr>
    </w:lvl>
  </w:abstractNum>
  <w:abstractNum w:abstractNumId="13" w15:restartNumberingAfterBreak="0">
    <w:nsid w:val="0DF23734"/>
    <w:multiLevelType w:val="hybridMultilevel"/>
    <w:tmpl w:val="85545D1C"/>
    <w:lvl w:ilvl="0" w:tplc="9F7E27C6">
      <w:start w:val="1"/>
      <w:numFmt w:val="hebrew1"/>
      <w:lvlText w:val="%1)"/>
      <w:lvlJc w:val="left"/>
      <w:pPr>
        <w:ind w:left="2004" w:hanging="360"/>
      </w:pPr>
      <w:rPr>
        <w:sz w:val="28"/>
      </w:rPr>
    </w:lvl>
    <w:lvl w:ilvl="1" w:tplc="6584EA88">
      <w:start w:val="1"/>
      <w:numFmt w:val="lowerLetter"/>
      <w:lvlText w:val="%2."/>
      <w:lvlJc w:val="left"/>
      <w:pPr>
        <w:ind w:left="2724" w:hanging="360"/>
      </w:pPr>
    </w:lvl>
    <w:lvl w:ilvl="2" w:tplc="2B6AC732">
      <w:start w:val="1"/>
      <w:numFmt w:val="lowerRoman"/>
      <w:lvlText w:val="%3."/>
      <w:lvlJc w:val="right"/>
      <w:pPr>
        <w:ind w:left="3444" w:hanging="180"/>
      </w:pPr>
    </w:lvl>
    <w:lvl w:ilvl="3" w:tplc="78026A4E">
      <w:start w:val="1"/>
      <w:numFmt w:val="decimal"/>
      <w:lvlText w:val="%4."/>
      <w:lvlJc w:val="left"/>
      <w:pPr>
        <w:ind w:left="4164" w:hanging="360"/>
      </w:pPr>
    </w:lvl>
    <w:lvl w:ilvl="4" w:tplc="9D8C8FB4">
      <w:start w:val="1"/>
      <w:numFmt w:val="lowerLetter"/>
      <w:lvlText w:val="%5."/>
      <w:lvlJc w:val="left"/>
      <w:pPr>
        <w:ind w:left="4884" w:hanging="360"/>
      </w:pPr>
    </w:lvl>
    <w:lvl w:ilvl="5" w:tplc="81D65832">
      <w:start w:val="1"/>
      <w:numFmt w:val="lowerRoman"/>
      <w:lvlText w:val="%6."/>
      <w:lvlJc w:val="right"/>
      <w:pPr>
        <w:ind w:left="5604" w:hanging="180"/>
      </w:pPr>
    </w:lvl>
    <w:lvl w:ilvl="6" w:tplc="FBB87352">
      <w:start w:val="1"/>
      <w:numFmt w:val="decimal"/>
      <w:lvlText w:val="%7."/>
      <w:lvlJc w:val="left"/>
      <w:pPr>
        <w:ind w:left="6324" w:hanging="360"/>
      </w:pPr>
    </w:lvl>
    <w:lvl w:ilvl="7" w:tplc="87565D86">
      <w:start w:val="1"/>
      <w:numFmt w:val="lowerLetter"/>
      <w:lvlText w:val="%8."/>
      <w:lvlJc w:val="left"/>
      <w:pPr>
        <w:ind w:left="7044" w:hanging="360"/>
      </w:pPr>
    </w:lvl>
    <w:lvl w:ilvl="8" w:tplc="41221DEC">
      <w:start w:val="1"/>
      <w:numFmt w:val="lowerRoman"/>
      <w:lvlText w:val="%9."/>
      <w:lvlJc w:val="right"/>
      <w:pPr>
        <w:ind w:left="7764" w:hanging="180"/>
      </w:pPr>
    </w:lvl>
  </w:abstractNum>
  <w:num w:numId="1" w16cid:durableId="1970817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68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611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9432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362495">
    <w:abstractNumId w:val="8"/>
  </w:num>
  <w:num w:numId="6" w16cid:durableId="1748647717">
    <w:abstractNumId w:val="3"/>
  </w:num>
  <w:num w:numId="7" w16cid:durableId="310402918">
    <w:abstractNumId w:val="2"/>
  </w:num>
  <w:num w:numId="8" w16cid:durableId="1263106700">
    <w:abstractNumId w:val="1"/>
  </w:num>
  <w:num w:numId="9" w16cid:durableId="889920959">
    <w:abstractNumId w:val="0"/>
  </w:num>
  <w:num w:numId="10" w16cid:durableId="1294366801">
    <w:abstractNumId w:val="9"/>
  </w:num>
  <w:num w:numId="11" w16cid:durableId="744690173">
    <w:abstractNumId w:val="7"/>
  </w:num>
  <w:num w:numId="12" w16cid:durableId="1101413785">
    <w:abstractNumId w:val="6"/>
  </w:num>
  <w:num w:numId="13" w16cid:durableId="2097050722">
    <w:abstractNumId w:val="5"/>
  </w:num>
  <w:num w:numId="14" w16cid:durableId="644118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22864"/>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22864&amp;lt;/CaseID&amp;gt;_x000d__x000a_        &amp;lt;CaseMonth&amp;gt;5&amp;lt;/CaseMonth&amp;gt;_x000d__x000a_        &amp;lt;CaseYear&amp;gt;2023&amp;lt;/CaseYear&amp;gt;_x000d__x000a_        &amp;lt;CaseNumber&amp;gt;79346&amp;lt;/CaseNumber&amp;gt;_x000d__x000a_        &amp;lt;NumeratorGroupID&amp;gt;1&amp;lt;/NumeratorGroupID&amp;gt;_x000d__x000a_        &amp;lt;CaseName&amp;gt;גולדנברג  נ&amp;#39; בר-זן נדל&amp;quot;ן ותיירות בע&amp;quot;מ  ואח&amp;#39;&amp;lt;/CaseName&amp;gt;_x000d__x000a_        &amp;lt;CourtID&amp;gt;11&amp;lt;/CourtID&amp;gt;_x000d__x000a_        &amp;lt;CaseTypeID&amp;gt;10001&amp;lt;/CaseTypeID&amp;gt;_x000d__x000a_        &amp;lt;CaseInterestID&amp;gt;10711&amp;lt;/CaseInterestID&amp;gt;_x000d__x000a_        &amp;lt;CaseLinkTypeID&amp;gt;7&amp;lt;/CaseLinkTypeID&amp;gt;_x000d__x000a_        &amp;lt;ProcedureID&amp;gt;1&amp;lt;/ProcedureID&amp;gt;_x000d__x000a_        &amp;lt;PreviousCaseYear&amp;gt;2023&amp;lt;/PreviousCaseYear&amp;gt;_x000d__x000a_        &amp;lt;PreviousCaseNumber&amp;gt;3805&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3805/23&amp;lt;/CaseDisplayIdentifier&amp;gt;_x000d__x000a_        &amp;lt;CaseTypeDesc&amp;gt;ע&amp;quot;א&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3-05-18T00:00:00+03:00&amp;lt;/CaseOpenDate&amp;gt;_x000d__x000a_        &amp;lt;PleaTypeID&amp;gt;6&amp;lt;/PleaTypeID&amp;gt;_x000d__x000a_        &amp;lt;CourtLevelID&amp;gt;3&amp;lt;/CourtLevelID&amp;gt;_x000d__x000a_        &amp;lt;CourtLevelCaseTypeInterestID&amp;gt;2484&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11&amp;lt;/PreviousCaseTypeID&amp;gt;_x000d__x000a_        &amp;lt;CaseDesc /&amp;gt;_x000d__x000a_        &amp;lt;isExistMinorSide&amp;gt;false&amp;lt;/isExistMinorSide&amp;gt;_x000d__x000a_        &amp;lt;isExistMinorWitness&amp;gt;false&amp;lt;/isExistMinorWitness&amp;gt;_x000d__x000a_        &amp;lt;PreviousCaseIdentifier&amp;gt;2023003805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22864&amp;lt;/CaseID&amp;gt;_x000d__x000a_        &amp;lt;CaseMonth&amp;gt;5&amp;lt;/CaseMonth&amp;gt;_x000d__x000a_        &amp;lt;CaseYear&amp;gt;2023&amp;lt;/CaseYear&amp;gt;_x000d__x000a_        &amp;lt;CaseNumber&amp;gt;79346&amp;lt;/CaseNumber&amp;gt;_x000d__x000a_        &amp;lt;NumeratorGroupID&amp;gt;1&amp;lt;/NumeratorGroupID&amp;gt;_x000d__x000a_        &amp;lt;CaseName&amp;gt;גולדנברג  נ&amp;#39; בר-זן נדל&amp;quot;ן ותיירות בע&amp;quot;מ  ואח&amp;#39;&amp;lt;/CaseName&amp;gt;_x000d__x000a_        &amp;lt;CourtID&amp;gt;11&amp;lt;/CourtID&amp;gt;_x000d__x000a_        &amp;lt;CaseTypeID&amp;gt;10001&amp;lt;/CaseTypeID&amp;gt;_x000d__x000a_        &amp;lt;CaseInterestID&amp;gt;10711&amp;lt;/CaseInterestID&amp;gt;_x000d__x000a_        &amp;lt;CaseLinkTypeID&amp;gt;7&amp;lt;/CaseLinkTypeID&amp;gt;_x000d__x000a_        &amp;lt;ProcedureID&amp;gt;1&amp;lt;/ProcedureID&amp;gt;_x000d__x000a_        &amp;lt;PreviousCaseYear&amp;gt;2023&amp;lt;/PreviousCaseYear&amp;gt;_x000d__x000a_        &amp;lt;PreviousCaseNumber&amp;gt;3805&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3805/23&amp;lt;/CaseDisplayIdentifier&amp;gt;_x000d__x000a_        &amp;lt;CaseTypeDesc&amp;gt;ע&amp;quot;א&amp;lt;/CaseTypeDesc&amp;gt;_x000d__x000a_        &amp;lt;CourtDesc&amp;gt;העליון&amp;lt;/CourtDesc&amp;gt;_x000d__x000a_        &amp;lt;CaseStageDesc&amp;gt;תיק נייר מוסב&amp;lt;/CaseStageDesc&amp;gt;_x000d__x000a_        &amp;lt;CaseOpenDate&amp;gt;2023-05-18T00:00:00+03:00&amp;lt;/CaseOpenDate&amp;gt;_x000d__x000a_        &amp;lt;PleaTypeID&amp;gt;6&amp;lt;/PleaTypeID&amp;gt;_x000d__x000a_        &amp;lt;CourtLevelID&amp;gt;3&amp;lt;/CourtLevelID&amp;gt;_x000d__x000a_        &amp;lt;CourtLevelCaseTypeInterestID&amp;gt;2484&amp;lt;/CourtLevelCaseTypeInterest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true&amp;lt;/IsMainCase&amp;gt;_x000d__x000a_        &amp;lt;PreviousCourtID&amp;gt;1&amp;lt;/PreviousCourtID&amp;gt;_x000d__x000a_        &amp;lt;PreviousCaseTypeID&amp;gt;11&amp;lt;/PreviousCaseTypeID&amp;gt;_x000d__x000a_        &amp;lt;CaseDesc /&amp;gt;_x000d__x000a_        &amp;lt;PreviousCaseIdentifier&amp;gt;2023003805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4496400&amp;lt;/DecisionID&amp;gt;_x000d__x000a_        &amp;lt;DecisionName&amp;gt;פסק דין  שניתנה ע&amp;quot;י  גילה כנפי-שטייניץ&amp;lt;/DecisionName&amp;gt;_x000d__x000a_        &amp;lt;DecisionStatusID&amp;gt;1&amp;lt;/DecisionStatusID&amp;gt;_x000d__x000a_        &amp;lt;DecisionStatusChangeDate&amp;gt;2024-08-20T10:11:16.563+03:00&amp;lt;/DecisionStatusChangeDate&amp;gt;_x000d__x000a_        &amp;lt;DecisionSignatureDate&amp;gt;2024-08-20T09:53:22.477+03:00&amp;lt;/DecisionSignatureDate&amp;gt;_x000d__x000a_        &amp;lt;DecisionSignatureUserID&amp;gt;055475867@GOV.IL&amp;lt;/DecisionSignatureUserID&amp;gt;_x000d__x000a_        &amp;lt;DecisionCreateDate&amp;gt;2024-08-19T16:00:25.107+03:00&amp;lt;/DecisionCreateDate&amp;gt;_x000d__x000a_        &amp;lt;DecisionChangeDate&amp;gt;2024-08-20T10:11:16.637+03:00&amp;lt;/DecisionChangeDate&amp;gt;_x000d__x000a_        &amp;lt;DecisionChangeUserID&amp;gt;21142612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3086356&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475867@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211426127@GOV.IL&amp;lt;/DecisionCreationUserID&amp;gt;_x000d__x000a_        &amp;lt;DecisionDisplayName&amp;gt;פסק דין  שניתנה ע&amp;quot;י  גילה כנפי-שטייניץ&amp;lt;/DecisionDisplayName&amp;gt;_x000d__x000a_        &amp;lt;IsScanned&amp;gt;false&amp;lt;/IsScanned&amp;gt;_x000d__x000a_        &amp;lt;DecisionSignatureUserName&amp;gt;גילה כנפי-שטייניץ&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4&amp;lt;/DecisionNumberInCase&amp;gt;_x000d__x000a_        &amp;lt;DecisionMeetingDate&amp;gt;2024-08-19T00:00:00+03:00&amp;lt;/DecisionMeetingDate&amp;gt;_x000d__x000a_      &amp;lt;/dt_Decision&amp;gt;_x000d__x000a_      &amp;lt;dt_DecisionCase diffgr:id=&amp;quot;dt_DecisionCase1&amp;quot; msdata:rowOrder=&amp;quot;0&amp;quot;&amp;gt;_x000d__x000a_        &amp;lt;DecisionID&amp;gt;154496400&amp;lt;/DecisionID&amp;gt;_x000d__x000a_        &amp;lt;CaseID&amp;gt;81822864&amp;lt;/CaseID&amp;gt;_x000d__x000a_        &amp;lt;IsOriginal&amp;gt;true&amp;lt;/IsOriginal&amp;gt;_x000d__x000a_        &amp;lt;IsDeleted&amp;gt;false&amp;lt;/IsDeleted&amp;gt;_x000d__x000a_        &amp;lt;CaseName&amp;gt;גולדנברג  נ&amp;#39; בר-זן נדל&amp;quot;ן ותיירות בע&amp;quot;מ  ואח&amp;#39;&amp;lt;/CaseName&amp;gt;_x000d__x000a_        &amp;lt;CaseDisplayIdentifier&amp;gt;ע&amp;quot;א 3805/23&amp;lt;/CaseDisplayIdentifier&amp;gt;_x000d__x000a_      &amp;lt;/dt_DecisionCase&amp;gt;_x000d__x000a_    &amp;lt;/DecisionDS&amp;gt;_x000d__x000a_  &amp;lt;/diffgr:diffgram&amp;gt;_x000d__x000a_&amp;lt;/DecisionDS&amp;gt;"/>
    <w:docVar w:name="DecisionID" w:val="154496400"/>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3FEA"/>
    <w:rsid w:val="000346CC"/>
    <w:rsid w:val="000529D2"/>
    <w:rsid w:val="000529F0"/>
    <w:rsid w:val="000564AB"/>
    <w:rsid w:val="00064FBD"/>
    <w:rsid w:val="00082AB2"/>
    <w:rsid w:val="000906FE"/>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367BC"/>
    <w:rsid w:val="00144D2A"/>
    <w:rsid w:val="0014653E"/>
    <w:rsid w:val="00180519"/>
    <w:rsid w:val="00191C82"/>
    <w:rsid w:val="00193B4B"/>
    <w:rsid w:val="001A079E"/>
    <w:rsid w:val="001A381F"/>
    <w:rsid w:val="001A4EAD"/>
    <w:rsid w:val="001A6FDE"/>
    <w:rsid w:val="001C4003"/>
    <w:rsid w:val="001D4DBF"/>
    <w:rsid w:val="001E75CA"/>
    <w:rsid w:val="001F1962"/>
    <w:rsid w:val="002265FF"/>
    <w:rsid w:val="00235B97"/>
    <w:rsid w:val="00247FF1"/>
    <w:rsid w:val="00261FEE"/>
    <w:rsid w:val="00270C62"/>
    <w:rsid w:val="00271B56"/>
    <w:rsid w:val="00275E20"/>
    <w:rsid w:val="00286B0C"/>
    <w:rsid w:val="002A1B48"/>
    <w:rsid w:val="002C344E"/>
    <w:rsid w:val="002E75E9"/>
    <w:rsid w:val="002F0B1E"/>
    <w:rsid w:val="00307A6A"/>
    <w:rsid w:val="00307C40"/>
    <w:rsid w:val="00320433"/>
    <w:rsid w:val="003230C7"/>
    <w:rsid w:val="00327E50"/>
    <w:rsid w:val="0033597A"/>
    <w:rsid w:val="00343D89"/>
    <w:rsid w:val="00362612"/>
    <w:rsid w:val="0036743F"/>
    <w:rsid w:val="00367B06"/>
    <w:rsid w:val="003715DD"/>
    <w:rsid w:val="003823E0"/>
    <w:rsid w:val="003A4521"/>
    <w:rsid w:val="003B3E8D"/>
    <w:rsid w:val="003D1C8C"/>
    <w:rsid w:val="0040096C"/>
    <w:rsid w:val="00414F1F"/>
    <w:rsid w:val="0043125D"/>
    <w:rsid w:val="0043502B"/>
    <w:rsid w:val="004443AC"/>
    <w:rsid w:val="00444748"/>
    <w:rsid w:val="00444B02"/>
    <w:rsid w:val="00451E28"/>
    <w:rsid w:val="00462C62"/>
    <w:rsid w:val="00465D36"/>
    <w:rsid w:val="004B1D70"/>
    <w:rsid w:val="004C17EE"/>
    <w:rsid w:val="004C4BDF"/>
    <w:rsid w:val="004C6754"/>
    <w:rsid w:val="004D1187"/>
    <w:rsid w:val="004D3AA0"/>
    <w:rsid w:val="004E1987"/>
    <w:rsid w:val="004E2E15"/>
    <w:rsid w:val="004E6E3C"/>
    <w:rsid w:val="00511B90"/>
    <w:rsid w:val="00520898"/>
    <w:rsid w:val="00523621"/>
    <w:rsid w:val="00524986"/>
    <w:rsid w:val="005268F6"/>
    <w:rsid w:val="00534284"/>
    <w:rsid w:val="00547DB7"/>
    <w:rsid w:val="005736FE"/>
    <w:rsid w:val="00594B6D"/>
    <w:rsid w:val="005C0627"/>
    <w:rsid w:val="005F4F09"/>
    <w:rsid w:val="0061431B"/>
    <w:rsid w:val="00616AE2"/>
    <w:rsid w:val="00622BAA"/>
    <w:rsid w:val="006306CF"/>
    <w:rsid w:val="006318D8"/>
    <w:rsid w:val="00644E9A"/>
    <w:rsid w:val="006529BA"/>
    <w:rsid w:val="00671BD5"/>
    <w:rsid w:val="006805C1"/>
    <w:rsid w:val="006833AE"/>
    <w:rsid w:val="00686C21"/>
    <w:rsid w:val="006931C1"/>
    <w:rsid w:val="00694556"/>
    <w:rsid w:val="006B7258"/>
    <w:rsid w:val="006C30C5"/>
    <w:rsid w:val="006D3B31"/>
    <w:rsid w:val="006E0D96"/>
    <w:rsid w:val="006E1A53"/>
    <w:rsid w:val="006F56E6"/>
    <w:rsid w:val="00704144"/>
    <w:rsid w:val="00704EDA"/>
    <w:rsid w:val="00721122"/>
    <w:rsid w:val="00734689"/>
    <w:rsid w:val="007447C7"/>
    <w:rsid w:val="00753019"/>
    <w:rsid w:val="00754801"/>
    <w:rsid w:val="00761441"/>
    <w:rsid w:val="007628D9"/>
    <w:rsid w:val="00795365"/>
    <w:rsid w:val="007A351D"/>
    <w:rsid w:val="007B7765"/>
    <w:rsid w:val="007C5BDD"/>
    <w:rsid w:val="007D45E3"/>
    <w:rsid w:val="007E6115"/>
    <w:rsid w:val="007F4609"/>
    <w:rsid w:val="00814468"/>
    <w:rsid w:val="008176A1"/>
    <w:rsid w:val="00820005"/>
    <w:rsid w:val="00841158"/>
    <w:rsid w:val="00844318"/>
    <w:rsid w:val="00851257"/>
    <w:rsid w:val="00863F5D"/>
    <w:rsid w:val="00870890"/>
    <w:rsid w:val="00873602"/>
    <w:rsid w:val="00875D12"/>
    <w:rsid w:val="0088479D"/>
    <w:rsid w:val="00891F42"/>
    <w:rsid w:val="00896889"/>
    <w:rsid w:val="008A59EE"/>
    <w:rsid w:val="008A6E97"/>
    <w:rsid w:val="008C5714"/>
    <w:rsid w:val="008D10B2"/>
    <w:rsid w:val="008D4379"/>
    <w:rsid w:val="00903896"/>
    <w:rsid w:val="00906F3D"/>
    <w:rsid w:val="0094424E"/>
    <w:rsid w:val="00955642"/>
    <w:rsid w:val="009622DF"/>
    <w:rsid w:val="0096493F"/>
    <w:rsid w:val="00967DFF"/>
    <w:rsid w:val="00985567"/>
    <w:rsid w:val="00994341"/>
    <w:rsid w:val="009D1A48"/>
    <w:rsid w:val="009E1CE7"/>
    <w:rsid w:val="009E4EA5"/>
    <w:rsid w:val="009F164B"/>
    <w:rsid w:val="009F323C"/>
    <w:rsid w:val="00A21CEB"/>
    <w:rsid w:val="00A3392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7FDA"/>
    <w:rsid w:val="00B27E99"/>
    <w:rsid w:val="00B5356E"/>
    <w:rsid w:val="00B62AD7"/>
    <w:rsid w:val="00B66717"/>
    <w:rsid w:val="00B77019"/>
    <w:rsid w:val="00B809AD"/>
    <w:rsid w:val="00B80CBD"/>
    <w:rsid w:val="00B86096"/>
    <w:rsid w:val="00B95D6E"/>
    <w:rsid w:val="00B964D9"/>
    <w:rsid w:val="00BA0A7C"/>
    <w:rsid w:val="00BA517C"/>
    <w:rsid w:val="00BB3D05"/>
    <w:rsid w:val="00BB53F7"/>
    <w:rsid w:val="00BB55A2"/>
    <w:rsid w:val="00BB73BE"/>
    <w:rsid w:val="00BC2D89"/>
    <w:rsid w:val="00BC4E2C"/>
    <w:rsid w:val="00BD6531"/>
    <w:rsid w:val="00BE05B2"/>
    <w:rsid w:val="00BF1908"/>
    <w:rsid w:val="00BF76BE"/>
    <w:rsid w:val="00C05869"/>
    <w:rsid w:val="00C22D93"/>
    <w:rsid w:val="00C23458"/>
    <w:rsid w:val="00C31120"/>
    <w:rsid w:val="00C34482"/>
    <w:rsid w:val="00C3630B"/>
    <w:rsid w:val="00C36C5B"/>
    <w:rsid w:val="00C43648"/>
    <w:rsid w:val="00C50A9F"/>
    <w:rsid w:val="00C61238"/>
    <w:rsid w:val="00C642FA"/>
    <w:rsid w:val="00C9217F"/>
    <w:rsid w:val="00CA4C49"/>
    <w:rsid w:val="00CC7622"/>
    <w:rsid w:val="00CD516B"/>
    <w:rsid w:val="00CD608F"/>
    <w:rsid w:val="00CE0084"/>
    <w:rsid w:val="00CF403E"/>
    <w:rsid w:val="00CF6BB7"/>
    <w:rsid w:val="00D04AA4"/>
    <w:rsid w:val="00D20565"/>
    <w:rsid w:val="00D27982"/>
    <w:rsid w:val="00D33B86"/>
    <w:rsid w:val="00D44968"/>
    <w:rsid w:val="00D53924"/>
    <w:rsid w:val="00D55D0C"/>
    <w:rsid w:val="00D83309"/>
    <w:rsid w:val="00D96D8C"/>
    <w:rsid w:val="00DA6649"/>
    <w:rsid w:val="00DC1259"/>
    <w:rsid w:val="00DC1BD2"/>
    <w:rsid w:val="00DC2571"/>
    <w:rsid w:val="00DC487C"/>
    <w:rsid w:val="00DC792F"/>
    <w:rsid w:val="00DD4335"/>
    <w:rsid w:val="00DE1E7D"/>
    <w:rsid w:val="00DE6BF6"/>
    <w:rsid w:val="00E1068A"/>
    <w:rsid w:val="00E25884"/>
    <w:rsid w:val="00E25B55"/>
    <w:rsid w:val="00E311E6"/>
    <w:rsid w:val="00E31C2B"/>
    <w:rsid w:val="00E5426A"/>
    <w:rsid w:val="00E54642"/>
    <w:rsid w:val="00E80CBE"/>
    <w:rsid w:val="00E90C45"/>
    <w:rsid w:val="00E9269D"/>
    <w:rsid w:val="00E962E3"/>
    <w:rsid w:val="00EB6C79"/>
    <w:rsid w:val="00EC37E9"/>
    <w:rsid w:val="00F038D8"/>
    <w:rsid w:val="00F06995"/>
    <w:rsid w:val="00F12D66"/>
    <w:rsid w:val="00F13623"/>
    <w:rsid w:val="00F14E68"/>
    <w:rsid w:val="00F44D1D"/>
    <w:rsid w:val="00F73B5E"/>
    <w:rsid w:val="00F83223"/>
    <w:rsid w:val="00F84B6D"/>
    <w:rsid w:val="00F856E6"/>
    <w:rsid w:val="00F957E8"/>
    <w:rsid w:val="00FA311A"/>
    <w:rsid w:val="00FA5FDA"/>
    <w:rsid w:val="00FA7FD0"/>
    <w:rsid w:val="00FB6AB3"/>
    <w:rsid w:val="00FB7A67"/>
    <w:rsid w:val="00FD1419"/>
    <w:rsid w:val="00FD22A7"/>
    <w:rsid w:val="00FD79E4"/>
    <w:rsid w:val="00FE09EC"/>
    <w:rsid w:val="00FE2894"/>
    <w:rsid w:val="00FF52DF"/>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6D200"/>
  <w15:docId w15:val="{521C9329-3817-4C06-B34D-2D72B90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033FEA"/>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033FEA"/>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033FEA"/>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033FEA"/>
    <w:pPr>
      <w:keepNext/>
      <w:keepLines/>
      <w:spacing w:before="40"/>
      <w:outlineLvl w:val="4"/>
    </w:pPr>
    <w:rPr>
      <w:rFonts w:ascii="Cambria" w:hAnsi="Cambria" w:cs="Times New Roman"/>
      <w:color w:val="365F91"/>
    </w:rPr>
  </w:style>
  <w:style w:type="paragraph" w:styleId="6">
    <w:name w:val="heading 6"/>
    <w:basedOn w:val="a1"/>
    <w:next w:val="a1"/>
    <w:link w:val="60"/>
    <w:qFormat/>
    <w:rsid w:val="00033FEA"/>
    <w:pPr>
      <w:keepNext/>
      <w:keepLines/>
      <w:spacing w:before="40"/>
      <w:outlineLvl w:val="5"/>
    </w:pPr>
    <w:rPr>
      <w:rFonts w:ascii="Cambria" w:hAnsi="Cambria" w:cs="Times New Roman"/>
      <w:color w:val="243F60"/>
    </w:rPr>
  </w:style>
  <w:style w:type="paragraph" w:styleId="7">
    <w:name w:val="heading 7"/>
    <w:basedOn w:val="a1"/>
    <w:next w:val="a1"/>
    <w:link w:val="70"/>
    <w:qFormat/>
    <w:rsid w:val="00033FEA"/>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033FEA"/>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033FEA"/>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1"/>
    <w:link w:val="Ruller40"/>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13">
    <w:name w:val="פיסקת רשימה1"/>
    <w:basedOn w:val="a1"/>
    <w:uiPriority w:val="34"/>
    <w:qFormat/>
    <w:rsid w:val="00033FEA"/>
    <w:pPr>
      <w:overflowPunct w:val="0"/>
      <w:autoSpaceDE w:val="0"/>
      <w:autoSpaceDN w:val="0"/>
      <w:adjustRightInd w:val="0"/>
      <w:spacing w:line="360" w:lineRule="auto"/>
      <w:ind w:left="720"/>
      <w:contextualSpacing/>
    </w:pPr>
    <w:rPr>
      <w:rFonts w:ascii="Century" w:hAnsi="Century" w:cs="FrankRuehl"/>
      <w:spacing w:val="10"/>
      <w:sz w:val="20"/>
      <w:szCs w:val="28"/>
    </w:rPr>
  </w:style>
  <w:style w:type="paragraph" w:customStyle="1" w:styleId="Ruller5">
    <w:name w:val="Ruller5"/>
    <w:basedOn w:val="a1"/>
    <w:rsid w:val="00033FEA"/>
    <w:pPr>
      <w:overflowPunct w:val="0"/>
      <w:autoSpaceDE w:val="0"/>
      <w:autoSpaceDN w:val="0"/>
      <w:adjustRightInd w:val="0"/>
      <w:ind w:left="1642" w:right="1282"/>
      <w:jc w:val="both"/>
    </w:pPr>
    <w:rPr>
      <w:rFonts w:ascii="Arial TUR" w:hAnsi="Arial TUR" w:cs="FrankRuehl"/>
      <w:spacing w:val="10"/>
      <w:sz w:val="22"/>
      <w:szCs w:val="28"/>
    </w:rPr>
  </w:style>
  <w:style w:type="paragraph" w:customStyle="1" w:styleId="Ruller4">
    <w:name w:val="Ruller 4 ממוספר"/>
    <w:basedOn w:val="Ruller41"/>
    <w:next w:val="Ruller41"/>
    <w:rsid w:val="00033FEA"/>
    <w:pPr>
      <w:numPr>
        <w:numId w:val="1"/>
      </w:numPr>
    </w:pPr>
    <w:rPr>
      <w:rFonts w:ascii="Garamond" w:hAnsi="Garamond"/>
      <w:sz w:val="24"/>
    </w:rPr>
  </w:style>
  <w:style w:type="character" w:customStyle="1" w:styleId="32">
    <w:name w:val="כותרת 3 תו"/>
    <w:link w:val="31"/>
    <w:rsid w:val="00033FEA"/>
    <w:rPr>
      <w:rFonts w:cs="David"/>
      <w:b/>
      <w:bCs/>
      <w:noProof w:val="0"/>
      <w:szCs w:val="24"/>
      <w:lang w:eastAsia="he-IL"/>
    </w:rPr>
  </w:style>
  <w:style w:type="character" w:styleId="FollowedHyperlink">
    <w:name w:val="FollowedHyperlink"/>
    <w:rsid w:val="00033FEA"/>
    <w:rPr>
      <w:noProof w:val="0"/>
      <w:color w:val="800080"/>
      <w:u w:val="single"/>
    </w:rPr>
  </w:style>
  <w:style w:type="character" w:styleId="HTMLCite">
    <w:name w:val="HTML Cite"/>
    <w:rsid w:val="00033FEA"/>
    <w:rPr>
      <w:i/>
      <w:iCs/>
      <w:noProof w:val="0"/>
    </w:rPr>
  </w:style>
  <w:style w:type="character" w:styleId="HTMLCode">
    <w:name w:val="HTML Code"/>
    <w:rsid w:val="00033FEA"/>
    <w:rPr>
      <w:rFonts w:ascii="Consolas" w:hAnsi="Consolas"/>
      <w:noProof w:val="0"/>
      <w:sz w:val="20"/>
      <w:szCs w:val="20"/>
    </w:rPr>
  </w:style>
  <w:style w:type="character" w:styleId="HTMLDefinition">
    <w:name w:val="HTML Definition"/>
    <w:rsid w:val="00033FEA"/>
    <w:rPr>
      <w:i/>
      <w:iCs/>
      <w:noProof w:val="0"/>
    </w:rPr>
  </w:style>
  <w:style w:type="character" w:styleId="HTMLVariable">
    <w:name w:val="HTML Variable"/>
    <w:rsid w:val="00033FEA"/>
    <w:rPr>
      <w:i/>
      <w:iCs/>
      <w:noProof w:val="0"/>
    </w:rPr>
  </w:style>
  <w:style w:type="paragraph" w:styleId="HTML">
    <w:name w:val="HTML Preformatted"/>
    <w:basedOn w:val="a1"/>
    <w:link w:val="HTML0"/>
    <w:rsid w:val="00033FEA"/>
    <w:rPr>
      <w:rFonts w:ascii="Consolas" w:hAnsi="Consolas"/>
      <w:sz w:val="20"/>
      <w:szCs w:val="20"/>
    </w:rPr>
  </w:style>
  <w:style w:type="character" w:customStyle="1" w:styleId="HTML0">
    <w:name w:val="HTML מעוצב מראש תו"/>
    <w:link w:val="HTML"/>
    <w:semiHidden/>
    <w:rsid w:val="00033FEA"/>
    <w:rPr>
      <w:rFonts w:ascii="Consolas" w:hAnsi="Consolas" w:cs="David"/>
      <w:noProof w:val="0"/>
    </w:rPr>
  </w:style>
  <w:style w:type="character" w:styleId="Hyperlink">
    <w:name w:val="Hyperlink"/>
    <w:rsid w:val="00033FEA"/>
    <w:rPr>
      <w:noProof w:val="0"/>
      <w:color w:val="0000FF"/>
      <w:u w:val="single"/>
    </w:rPr>
  </w:style>
  <w:style w:type="paragraph" w:styleId="Index1">
    <w:name w:val="index 1"/>
    <w:basedOn w:val="a1"/>
    <w:next w:val="a1"/>
    <w:autoRedefine/>
    <w:rsid w:val="00033FEA"/>
    <w:pPr>
      <w:ind w:left="240" w:hanging="240"/>
    </w:pPr>
  </w:style>
  <w:style w:type="paragraph" w:styleId="Index2">
    <w:name w:val="index 2"/>
    <w:basedOn w:val="a1"/>
    <w:next w:val="a1"/>
    <w:autoRedefine/>
    <w:rsid w:val="00033FEA"/>
    <w:pPr>
      <w:ind w:left="480" w:hanging="240"/>
    </w:pPr>
  </w:style>
  <w:style w:type="paragraph" w:styleId="Index3">
    <w:name w:val="index 3"/>
    <w:basedOn w:val="a1"/>
    <w:next w:val="a1"/>
    <w:autoRedefine/>
    <w:rsid w:val="00033FEA"/>
    <w:pPr>
      <w:ind w:left="720" w:hanging="240"/>
    </w:pPr>
  </w:style>
  <w:style w:type="paragraph" w:styleId="Index4">
    <w:name w:val="index 4"/>
    <w:basedOn w:val="a1"/>
    <w:next w:val="a1"/>
    <w:autoRedefine/>
    <w:rsid w:val="00033FEA"/>
    <w:pPr>
      <w:ind w:left="960" w:hanging="240"/>
    </w:pPr>
  </w:style>
  <w:style w:type="paragraph" w:styleId="Index5">
    <w:name w:val="index 5"/>
    <w:basedOn w:val="a1"/>
    <w:next w:val="a1"/>
    <w:autoRedefine/>
    <w:rsid w:val="00033FEA"/>
    <w:pPr>
      <w:ind w:left="1200" w:hanging="240"/>
    </w:pPr>
  </w:style>
  <w:style w:type="paragraph" w:styleId="Index6">
    <w:name w:val="index 6"/>
    <w:basedOn w:val="a1"/>
    <w:next w:val="a1"/>
    <w:autoRedefine/>
    <w:rsid w:val="00033FEA"/>
    <w:pPr>
      <w:ind w:left="1440" w:hanging="240"/>
    </w:pPr>
  </w:style>
  <w:style w:type="paragraph" w:styleId="Index7">
    <w:name w:val="index 7"/>
    <w:basedOn w:val="a1"/>
    <w:next w:val="a1"/>
    <w:autoRedefine/>
    <w:rsid w:val="00033FEA"/>
    <w:pPr>
      <w:ind w:left="1680" w:hanging="240"/>
    </w:pPr>
  </w:style>
  <w:style w:type="paragraph" w:styleId="Index8">
    <w:name w:val="index 8"/>
    <w:basedOn w:val="a1"/>
    <w:next w:val="a1"/>
    <w:autoRedefine/>
    <w:rsid w:val="00033FEA"/>
    <w:pPr>
      <w:ind w:left="1920" w:hanging="240"/>
    </w:pPr>
  </w:style>
  <w:style w:type="paragraph" w:styleId="Index9">
    <w:name w:val="index 9"/>
    <w:basedOn w:val="a1"/>
    <w:next w:val="a1"/>
    <w:autoRedefine/>
    <w:rsid w:val="00033FEA"/>
    <w:pPr>
      <w:ind w:left="2160" w:hanging="240"/>
    </w:pPr>
  </w:style>
  <w:style w:type="paragraph" w:styleId="NormalWeb">
    <w:name w:val="Normal (Web)"/>
    <w:basedOn w:val="a1"/>
    <w:rsid w:val="00033FEA"/>
    <w:rPr>
      <w:rFonts w:cs="Times New Roman"/>
    </w:rPr>
  </w:style>
  <w:style w:type="paragraph" w:styleId="TOC1">
    <w:name w:val="toc 1"/>
    <w:basedOn w:val="a1"/>
    <w:next w:val="a1"/>
    <w:autoRedefine/>
    <w:rsid w:val="00033FEA"/>
    <w:pPr>
      <w:spacing w:after="100"/>
    </w:pPr>
  </w:style>
  <w:style w:type="paragraph" w:styleId="TOC2">
    <w:name w:val="toc 2"/>
    <w:basedOn w:val="a1"/>
    <w:next w:val="a1"/>
    <w:autoRedefine/>
    <w:rsid w:val="00033FEA"/>
    <w:pPr>
      <w:spacing w:after="100"/>
      <w:ind w:left="240"/>
    </w:pPr>
  </w:style>
  <w:style w:type="paragraph" w:styleId="TOC3">
    <w:name w:val="toc 3"/>
    <w:basedOn w:val="a1"/>
    <w:next w:val="a1"/>
    <w:autoRedefine/>
    <w:rsid w:val="00033FEA"/>
    <w:pPr>
      <w:spacing w:after="100"/>
      <w:ind w:left="480"/>
    </w:pPr>
  </w:style>
  <w:style w:type="paragraph" w:styleId="TOC4">
    <w:name w:val="toc 4"/>
    <w:basedOn w:val="a1"/>
    <w:next w:val="a1"/>
    <w:autoRedefine/>
    <w:rsid w:val="00033FEA"/>
    <w:pPr>
      <w:spacing w:after="100"/>
      <w:ind w:left="720"/>
    </w:pPr>
  </w:style>
  <w:style w:type="paragraph" w:styleId="TOC5">
    <w:name w:val="toc 5"/>
    <w:basedOn w:val="a1"/>
    <w:next w:val="a1"/>
    <w:autoRedefine/>
    <w:rsid w:val="00033FEA"/>
    <w:pPr>
      <w:spacing w:after="100"/>
      <w:ind w:left="960"/>
    </w:pPr>
  </w:style>
  <w:style w:type="paragraph" w:styleId="TOC6">
    <w:name w:val="toc 6"/>
    <w:basedOn w:val="a1"/>
    <w:next w:val="a1"/>
    <w:autoRedefine/>
    <w:rsid w:val="00033FEA"/>
    <w:pPr>
      <w:spacing w:after="100"/>
      <w:ind w:left="1200"/>
    </w:pPr>
  </w:style>
  <w:style w:type="paragraph" w:styleId="TOC7">
    <w:name w:val="toc 7"/>
    <w:basedOn w:val="a1"/>
    <w:next w:val="a1"/>
    <w:autoRedefine/>
    <w:rsid w:val="00033FEA"/>
    <w:pPr>
      <w:spacing w:after="100"/>
      <w:ind w:left="1440"/>
    </w:pPr>
  </w:style>
  <w:style w:type="paragraph" w:styleId="TOC8">
    <w:name w:val="toc 8"/>
    <w:basedOn w:val="a1"/>
    <w:next w:val="a1"/>
    <w:autoRedefine/>
    <w:rsid w:val="00033FEA"/>
    <w:pPr>
      <w:spacing w:after="100"/>
      <w:ind w:left="1680"/>
    </w:pPr>
  </w:style>
  <w:style w:type="paragraph" w:styleId="TOC9">
    <w:name w:val="toc 9"/>
    <w:basedOn w:val="a1"/>
    <w:next w:val="a1"/>
    <w:autoRedefine/>
    <w:rsid w:val="00033FEA"/>
    <w:pPr>
      <w:spacing w:after="100"/>
      <w:ind w:left="1920"/>
    </w:pPr>
  </w:style>
  <w:style w:type="table" w:styleId="-1">
    <w:name w:val="Table 3D effects 1"/>
    <w:basedOn w:val="a3"/>
    <w:rsid w:val="00033FE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033FE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033FEA"/>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ביבליוגרפיה1"/>
    <w:basedOn w:val="a1"/>
    <w:next w:val="a1"/>
    <w:uiPriority w:val="37"/>
    <w:semiHidden/>
    <w:unhideWhenUsed/>
    <w:rsid w:val="00033FEA"/>
  </w:style>
  <w:style w:type="paragraph" w:styleId="af1">
    <w:name w:val="Salutation"/>
    <w:basedOn w:val="a1"/>
    <w:next w:val="a1"/>
    <w:link w:val="af2"/>
    <w:rsid w:val="00033FEA"/>
  </w:style>
  <w:style w:type="character" w:customStyle="1" w:styleId="af2">
    <w:name w:val="ברכה תו"/>
    <w:link w:val="af1"/>
    <w:rsid w:val="00033FEA"/>
    <w:rPr>
      <w:rFonts w:cs="David"/>
      <w:noProof w:val="0"/>
      <w:sz w:val="24"/>
      <w:szCs w:val="24"/>
    </w:rPr>
  </w:style>
  <w:style w:type="paragraph" w:styleId="af3">
    <w:name w:val="Body Text"/>
    <w:basedOn w:val="a1"/>
    <w:link w:val="af4"/>
    <w:rsid w:val="00033FEA"/>
    <w:pPr>
      <w:spacing w:after="120"/>
    </w:pPr>
  </w:style>
  <w:style w:type="character" w:customStyle="1" w:styleId="af4">
    <w:name w:val="גוף טקסט תו"/>
    <w:link w:val="af3"/>
    <w:semiHidden/>
    <w:rsid w:val="00033FEA"/>
    <w:rPr>
      <w:rFonts w:cs="David"/>
      <w:noProof w:val="0"/>
      <w:sz w:val="24"/>
      <w:szCs w:val="24"/>
    </w:rPr>
  </w:style>
  <w:style w:type="paragraph" w:styleId="23">
    <w:name w:val="Body Text 2"/>
    <w:basedOn w:val="a1"/>
    <w:link w:val="24"/>
    <w:rsid w:val="00033FEA"/>
    <w:pPr>
      <w:spacing w:after="120" w:line="480" w:lineRule="auto"/>
    </w:pPr>
  </w:style>
  <w:style w:type="character" w:customStyle="1" w:styleId="24">
    <w:name w:val="גוף טקסט 2 תו"/>
    <w:link w:val="23"/>
    <w:semiHidden/>
    <w:rsid w:val="00033FEA"/>
    <w:rPr>
      <w:rFonts w:cs="David"/>
      <w:noProof w:val="0"/>
      <w:sz w:val="24"/>
      <w:szCs w:val="24"/>
    </w:rPr>
  </w:style>
  <w:style w:type="paragraph" w:styleId="33">
    <w:name w:val="Body Text 3"/>
    <w:basedOn w:val="a1"/>
    <w:link w:val="34"/>
    <w:rsid w:val="00033FEA"/>
    <w:pPr>
      <w:spacing w:after="120"/>
    </w:pPr>
    <w:rPr>
      <w:sz w:val="16"/>
      <w:szCs w:val="16"/>
    </w:rPr>
  </w:style>
  <w:style w:type="character" w:customStyle="1" w:styleId="34">
    <w:name w:val="גוף טקסט 3 תו"/>
    <w:link w:val="33"/>
    <w:semiHidden/>
    <w:rsid w:val="00033FEA"/>
    <w:rPr>
      <w:rFonts w:cs="David"/>
      <w:noProof w:val="0"/>
      <w:sz w:val="16"/>
      <w:szCs w:val="16"/>
    </w:rPr>
  </w:style>
  <w:style w:type="character" w:styleId="HTML1">
    <w:name w:val="HTML Sample"/>
    <w:rsid w:val="00033FEA"/>
    <w:rPr>
      <w:rFonts w:ascii="Consolas" w:hAnsi="Consolas"/>
      <w:noProof w:val="0"/>
      <w:sz w:val="24"/>
      <w:szCs w:val="24"/>
    </w:rPr>
  </w:style>
  <w:style w:type="character" w:styleId="af5">
    <w:name w:val="Emphasis"/>
    <w:qFormat/>
    <w:rsid w:val="00033FEA"/>
    <w:rPr>
      <w:i/>
      <w:iCs/>
      <w:noProof w:val="0"/>
    </w:rPr>
  </w:style>
  <w:style w:type="character" w:customStyle="1" w:styleId="15">
    <w:name w:val="הדגשה חזקה1"/>
    <w:uiPriority w:val="21"/>
    <w:qFormat/>
    <w:rsid w:val="00033FEA"/>
    <w:rPr>
      <w:i/>
      <w:iCs/>
      <w:noProof w:val="0"/>
      <w:color w:val="4F81BD"/>
    </w:rPr>
  </w:style>
  <w:style w:type="character" w:customStyle="1" w:styleId="16">
    <w:name w:val="הדגשה עדינה1"/>
    <w:uiPriority w:val="19"/>
    <w:qFormat/>
    <w:rsid w:val="00033FEA"/>
    <w:rPr>
      <w:i/>
      <w:iCs/>
      <w:noProof w:val="0"/>
      <w:color w:val="404040"/>
    </w:rPr>
  </w:style>
  <w:style w:type="paragraph" w:styleId="af6">
    <w:name w:val="List Continue"/>
    <w:basedOn w:val="a1"/>
    <w:rsid w:val="00033FEA"/>
    <w:pPr>
      <w:spacing w:after="120"/>
      <w:ind w:left="283"/>
      <w:contextualSpacing/>
    </w:pPr>
  </w:style>
  <w:style w:type="paragraph" w:styleId="25">
    <w:name w:val="List Continue 2"/>
    <w:basedOn w:val="a1"/>
    <w:rsid w:val="00033FEA"/>
    <w:pPr>
      <w:spacing w:after="120"/>
      <w:ind w:left="566"/>
      <w:contextualSpacing/>
    </w:pPr>
  </w:style>
  <w:style w:type="paragraph" w:styleId="35">
    <w:name w:val="List Continue 3"/>
    <w:basedOn w:val="a1"/>
    <w:rsid w:val="00033FEA"/>
    <w:pPr>
      <w:spacing w:after="120"/>
      <w:ind w:left="849"/>
      <w:contextualSpacing/>
    </w:pPr>
  </w:style>
  <w:style w:type="paragraph" w:styleId="42">
    <w:name w:val="List Continue 4"/>
    <w:basedOn w:val="a1"/>
    <w:rsid w:val="00033FEA"/>
    <w:pPr>
      <w:spacing w:after="120"/>
      <w:ind w:left="1132"/>
      <w:contextualSpacing/>
    </w:pPr>
  </w:style>
  <w:style w:type="paragraph" w:styleId="53">
    <w:name w:val="List Continue 5"/>
    <w:basedOn w:val="a1"/>
    <w:rsid w:val="00033FEA"/>
    <w:pPr>
      <w:spacing w:after="120"/>
      <w:ind w:left="1415"/>
      <w:contextualSpacing/>
    </w:pPr>
  </w:style>
  <w:style w:type="character" w:customStyle="1" w:styleId="17">
    <w:name w:val="הפניה חזקה1"/>
    <w:uiPriority w:val="32"/>
    <w:qFormat/>
    <w:rsid w:val="00033FEA"/>
    <w:rPr>
      <w:b/>
      <w:bCs/>
      <w:smallCaps/>
      <w:noProof w:val="0"/>
      <w:color w:val="4F81BD"/>
      <w:spacing w:val="5"/>
    </w:rPr>
  </w:style>
  <w:style w:type="character" w:styleId="af7">
    <w:name w:val="endnote reference"/>
    <w:rsid w:val="00033FEA"/>
    <w:rPr>
      <w:noProof w:val="0"/>
      <w:vertAlign w:val="superscript"/>
    </w:rPr>
  </w:style>
  <w:style w:type="character" w:styleId="af8">
    <w:name w:val="footnote reference"/>
    <w:rsid w:val="00033FEA"/>
    <w:rPr>
      <w:noProof w:val="0"/>
      <w:vertAlign w:val="superscript"/>
    </w:rPr>
  </w:style>
  <w:style w:type="character" w:customStyle="1" w:styleId="18">
    <w:name w:val="הפניה עדינה1"/>
    <w:uiPriority w:val="31"/>
    <w:qFormat/>
    <w:rsid w:val="00033FEA"/>
    <w:rPr>
      <w:smallCaps/>
      <w:noProof w:val="0"/>
      <w:color w:val="5A5A5A"/>
    </w:rPr>
  </w:style>
  <w:style w:type="table" w:customStyle="1" w:styleId="19">
    <w:name w:val="הצללה בהירה1"/>
    <w:basedOn w:val="a3"/>
    <w:uiPriority w:val="60"/>
    <w:semiHidden/>
    <w:unhideWhenUsed/>
    <w:rsid w:val="00033FE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033FE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033FE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033FE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033FE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033FE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033FE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033FE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033FE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033FE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033FE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033FE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033FE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033FE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033F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a">
    <w:name w:val="הצללה צבעונית1"/>
    <w:basedOn w:val="a3"/>
    <w:uiPriority w:val="71"/>
    <w:semiHidden/>
    <w:unhideWhenUsed/>
    <w:rsid w:val="00033FE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033FE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033FE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033FE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033FE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033FE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033FE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033FEA"/>
    <w:rPr>
      <w:b/>
      <w:bCs/>
      <w:noProof w:val="0"/>
    </w:rPr>
  </w:style>
  <w:style w:type="paragraph" w:styleId="afa">
    <w:name w:val="Signature"/>
    <w:basedOn w:val="a1"/>
    <w:link w:val="afb"/>
    <w:rsid w:val="00033FEA"/>
    <w:pPr>
      <w:ind w:left="4252"/>
    </w:pPr>
  </w:style>
  <w:style w:type="character" w:customStyle="1" w:styleId="afb">
    <w:name w:val="חתימה תו"/>
    <w:link w:val="afa"/>
    <w:semiHidden/>
    <w:rsid w:val="00033FEA"/>
    <w:rPr>
      <w:rFonts w:cs="David"/>
      <w:noProof w:val="0"/>
      <w:sz w:val="24"/>
      <w:szCs w:val="24"/>
    </w:rPr>
  </w:style>
  <w:style w:type="paragraph" w:styleId="afc">
    <w:name w:val="E-mail Signature"/>
    <w:basedOn w:val="a1"/>
    <w:link w:val="afd"/>
    <w:rsid w:val="00033FEA"/>
  </w:style>
  <w:style w:type="character" w:customStyle="1" w:styleId="afd">
    <w:name w:val="חתימת דואר אלקטרוני תו"/>
    <w:link w:val="afc"/>
    <w:semiHidden/>
    <w:rsid w:val="00033FEA"/>
    <w:rPr>
      <w:rFonts w:cs="David"/>
      <w:noProof w:val="0"/>
      <w:sz w:val="24"/>
      <w:szCs w:val="24"/>
    </w:rPr>
  </w:style>
  <w:style w:type="table" w:styleId="afe">
    <w:name w:val="Table Elegant"/>
    <w:basedOn w:val="a3"/>
    <w:rsid w:val="00033FEA"/>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033FE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ubtle 1"/>
    <w:basedOn w:val="a3"/>
    <w:rsid w:val="00033FEA"/>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033FEA"/>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033FEA"/>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rsid w:val="00033FEA"/>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033FEA"/>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033FEA"/>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Colorful 1"/>
    <w:basedOn w:val="a3"/>
    <w:rsid w:val="00033FEA"/>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033FEA"/>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033FEA"/>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lassic 1"/>
    <w:basedOn w:val="a3"/>
    <w:rsid w:val="00033FEA"/>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033FEA"/>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033FEA"/>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033FEA"/>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033FE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033FE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033FE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033F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033FEA"/>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
    <w:name w:val="Table Web 1"/>
    <w:basedOn w:val="a3"/>
    <w:rsid w:val="00033FEA"/>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033FEA"/>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033FEA"/>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033FE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033FEA"/>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033FEA"/>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033FEA"/>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033FEA"/>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033FEA"/>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033FEA"/>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033FE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033FEA"/>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033FEA"/>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033FEA"/>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033FEA"/>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033FEA"/>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033FEA"/>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033FE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033FEA"/>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033FEA"/>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033FEA"/>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033FEA"/>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033FEA"/>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033FEA"/>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033FE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033FE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033FE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033FE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033FE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033FE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033FE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033FE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033FEA"/>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033FEA"/>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033FEA"/>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033FEA"/>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033FEA"/>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033FEA"/>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033FE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033FEA"/>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033FEA"/>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033FEA"/>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033FEA"/>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033FEA"/>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033FEA"/>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033FEA"/>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033FEA"/>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033FEA"/>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033FEA"/>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033FEA"/>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033FEA"/>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033FEA"/>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033FE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033FEA"/>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033FEA"/>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033FEA"/>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033FEA"/>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033FEA"/>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033FEA"/>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033FE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033FEA"/>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033FEA"/>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033FEA"/>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033FEA"/>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033FEA"/>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033FEA"/>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033FE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033FE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033FE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033FE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033FE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033FE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033FE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033FE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033FE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033FE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033FE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033FE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033FE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033FE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033F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033FE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033FE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033FEA"/>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033FEA"/>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033FE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033FE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033FE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033FE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033FE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033FEA"/>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033FEA"/>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033FE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033FE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033FE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033FEA"/>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033FEA"/>
    <w:rPr>
      <w:sz w:val="20"/>
      <w:szCs w:val="20"/>
    </w:rPr>
  </w:style>
  <w:style w:type="character" w:customStyle="1" w:styleId="aff3">
    <w:name w:val="טקסט הערת סיום תו"/>
    <w:link w:val="aff2"/>
    <w:semiHidden/>
    <w:rsid w:val="00033FEA"/>
    <w:rPr>
      <w:rFonts w:cs="David"/>
      <w:noProof w:val="0"/>
    </w:rPr>
  </w:style>
  <w:style w:type="paragraph" w:styleId="aff4">
    <w:name w:val="footnote text"/>
    <w:basedOn w:val="a1"/>
    <w:link w:val="aff5"/>
    <w:rsid w:val="00033FEA"/>
    <w:rPr>
      <w:sz w:val="20"/>
      <w:szCs w:val="20"/>
    </w:rPr>
  </w:style>
  <w:style w:type="character" w:customStyle="1" w:styleId="aff5">
    <w:name w:val="טקסט הערת שוליים תו"/>
    <w:link w:val="aff4"/>
    <w:semiHidden/>
    <w:rsid w:val="00033FEA"/>
    <w:rPr>
      <w:rFonts w:cs="David"/>
      <w:noProof w:val="0"/>
    </w:rPr>
  </w:style>
  <w:style w:type="paragraph" w:styleId="aff6">
    <w:name w:val="macro"/>
    <w:link w:val="aff7"/>
    <w:rsid w:val="00033FE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033FEA"/>
    <w:rPr>
      <w:rFonts w:ascii="Consolas" w:hAnsi="Consolas" w:cs="David"/>
      <w:noProof w:val="0"/>
    </w:rPr>
  </w:style>
  <w:style w:type="paragraph" w:styleId="aff8">
    <w:name w:val="Plain Text"/>
    <w:basedOn w:val="a1"/>
    <w:link w:val="aff9"/>
    <w:rsid w:val="00033FEA"/>
    <w:rPr>
      <w:rFonts w:ascii="Consolas" w:hAnsi="Consolas"/>
      <w:sz w:val="21"/>
      <w:szCs w:val="21"/>
    </w:rPr>
  </w:style>
  <w:style w:type="character" w:customStyle="1" w:styleId="aff9">
    <w:name w:val="טקסט רגיל תו"/>
    <w:link w:val="aff8"/>
    <w:semiHidden/>
    <w:rsid w:val="00033FEA"/>
    <w:rPr>
      <w:rFonts w:ascii="Consolas" w:hAnsi="Consolas" w:cs="David"/>
      <w:noProof w:val="0"/>
      <w:sz w:val="21"/>
      <w:szCs w:val="21"/>
    </w:rPr>
  </w:style>
  <w:style w:type="character" w:customStyle="1" w:styleId="1f0">
    <w:name w:val="כותר הספר1"/>
    <w:uiPriority w:val="33"/>
    <w:qFormat/>
    <w:rsid w:val="00033FEA"/>
    <w:rPr>
      <w:b/>
      <w:bCs/>
      <w:i/>
      <w:iCs/>
      <w:noProof w:val="0"/>
      <w:spacing w:val="5"/>
    </w:rPr>
  </w:style>
  <w:style w:type="character" w:customStyle="1" w:styleId="10">
    <w:name w:val="כותרת 1 תו"/>
    <w:link w:val="1"/>
    <w:rsid w:val="00033FEA"/>
    <w:rPr>
      <w:rFonts w:ascii="Cambria" w:eastAsia="Times New Roman" w:hAnsi="Cambria" w:cs="Times New Roman"/>
      <w:noProof w:val="0"/>
      <w:color w:val="365F91"/>
      <w:sz w:val="32"/>
      <w:szCs w:val="32"/>
    </w:rPr>
  </w:style>
  <w:style w:type="character" w:customStyle="1" w:styleId="22">
    <w:name w:val="כותרת 2 תו"/>
    <w:link w:val="21"/>
    <w:semiHidden/>
    <w:rsid w:val="00033FEA"/>
    <w:rPr>
      <w:rFonts w:ascii="Cambria" w:eastAsia="Times New Roman" w:hAnsi="Cambria" w:cs="Times New Roman"/>
      <w:noProof w:val="0"/>
      <w:color w:val="365F91"/>
      <w:sz w:val="26"/>
      <w:szCs w:val="26"/>
    </w:rPr>
  </w:style>
  <w:style w:type="character" w:customStyle="1" w:styleId="52">
    <w:name w:val="כותרת 5 תו"/>
    <w:link w:val="51"/>
    <w:semiHidden/>
    <w:rsid w:val="00033FEA"/>
    <w:rPr>
      <w:rFonts w:ascii="Cambria" w:eastAsia="Times New Roman" w:hAnsi="Cambria" w:cs="Times New Roman"/>
      <w:noProof w:val="0"/>
      <w:color w:val="365F91"/>
      <w:sz w:val="24"/>
      <w:szCs w:val="24"/>
    </w:rPr>
  </w:style>
  <w:style w:type="character" w:customStyle="1" w:styleId="60">
    <w:name w:val="כותרת 6 תו"/>
    <w:link w:val="6"/>
    <w:semiHidden/>
    <w:rsid w:val="00033FEA"/>
    <w:rPr>
      <w:rFonts w:ascii="Cambria" w:eastAsia="Times New Roman" w:hAnsi="Cambria" w:cs="Times New Roman"/>
      <w:noProof w:val="0"/>
      <w:color w:val="243F60"/>
      <w:sz w:val="24"/>
      <w:szCs w:val="24"/>
    </w:rPr>
  </w:style>
  <w:style w:type="character" w:customStyle="1" w:styleId="70">
    <w:name w:val="כותרת 7 תו"/>
    <w:link w:val="7"/>
    <w:semiHidden/>
    <w:rsid w:val="00033FEA"/>
    <w:rPr>
      <w:rFonts w:ascii="Cambria" w:eastAsia="Times New Roman" w:hAnsi="Cambria" w:cs="Times New Roman"/>
      <w:i/>
      <w:iCs/>
      <w:noProof w:val="0"/>
      <w:color w:val="243F60"/>
      <w:sz w:val="24"/>
      <w:szCs w:val="24"/>
    </w:rPr>
  </w:style>
  <w:style w:type="character" w:customStyle="1" w:styleId="80">
    <w:name w:val="כותרת 8 תו"/>
    <w:link w:val="8"/>
    <w:semiHidden/>
    <w:rsid w:val="00033FEA"/>
    <w:rPr>
      <w:rFonts w:ascii="Cambria" w:eastAsia="Times New Roman" w:hAnsi="Cambria" w:cs="Times New Roman"/>
      <w:noProof w:val="0"/>
      <w:color w:val="272727"/>
      <w:sz w:val="21"/>
      <w:szCs w:val="21"/>
    </w:rPr>
  </w:style>
  <w:style w:type="character" w:customStyle="1" w:styleId="90">
    <w:name w:val="כותרת 9 תו"/>
    <w:link w:val="9"/>
    <w:semiHidden/>
    <w:rsid w:val="00033FEA"/>
    <w:rPr>
      <w:rFonts w:ascii="Cambria" w:eastAsia="Times New Roman" w:hAnsi="Cambria" w:cs="Times New Roman"/>
      <w:i/>
      <w:iCs/>
      <w:noProof w:val="0"/>
      <w:color w:val="272727"/>
      <w:sz w:val="21"/>
      <w:szCs w:val="21"/>
    </w:rPr>
  </w:style>
  <w:style w:type="paragraph" w:styleId="affa">
    <w:name w:val="index heading"/>
    <w:basedOn w:val="a1"/>
    <w:next w:val="Index1"/>
    <w:rsid w:val="00033FEA"/>
    <w:rPr>
      <w:rFonts w:ascii="Cambria" w:hAnsi="Cambria" w:cs="Times New Roman"/>
      <w:b/>
      <w:bCs/>
    </w:rPr>
  </w:style>
  <w:style w:type="paragraph" w:styleId="affb">
    <w:name w:val="Note Heading"/>
    <w:basedOn w:val="a1"/>
    <w:next w:val="a1"/>
    <w:link w:val="affc"/>
    <w:rsid w:val="00033FEA"/>
  </w:style>
  <w:style w:type="character" w:customStyle="1" w:styleId="affc">
    <w:name w:val="כותרת הערות תו"/>
    <w:link w:val="affb"/>
    <w:semiHidden/>
    <w:rsid w:val="00033FEA"/>
    <w:rPr>
      <w:rFonts w:cs="David"/>
      <w:noProof w:val="0"/>
      <w:sz w:val="24"/>
      <w:szCs w:val="24"/>
    </w:rPr>
  </w:style>
  <w:style w:type="paragraph" w:styleId="affd">
    <w:name w:val="Title"/>
    <w:basedOn w:val="a1"/>
    <w:next w:val="a1"/>
    <w:link w:val="affe"/>
    <w:qFormat/>
    <w:rsid w:val="00033FEA"/>
    <w:pPr>
      <w:contextualSpacing/>
    </w:pPr>
    <w:rPr>
      <w:rFonts w:ascii="Cambria" w:hAnsi="Cambria" w:cs="Times New Roman"/>
      <w:spacing w:val="-10"/>
      <w:kern w:val="28"/>
      <w:sz w:val="56"/>
      <w:szCs w:val="56"/>
    </w:rPr>
  </w:style>
  <w:style w:type="character" w:customStyle="1" w:styleId="affe">
    <w:name w:val="כותרת טקסט תו"/>
    <w:link w:val="affd"/>
    <w:rsid w:val="00033FEA"/>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033FEA"/>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033FEA"/>
    <w:rPr>
      <w:rFonts w:ascii="Calibri" w:eastAsia="Times New Roman" w:hAnsi="Calibri" w:cs="Arial"/>
      <w:noProof w:val="0"/>
      <w:color w:val="5A5A5A"/>
      <w:spacing w:val="15"/>
      <w:sz w:val="22"/>
      <w:szCs w:val="22"/>
    </w:rPr>
  </w:style>
  <w:style w:type="paragraph" w:styleId="afff1">
    <w:name w:val="Message Header"/>
    <w:basedOn w:val="a1"/>
    <w:link w:val="afff2"/>
    <w:rsid w:val="00033FE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033FEA"/>
    <w:rPr>
      <w:rFonts w:ascii="Cambria" w:eastAsia="Times New Roman" w:hAnsi="Cambria" w:cs="Times New Roman"/>
      <w:noProof w:val="0"/>
      <w:sz w:val="24"/>
      <w:szCs w:val="24"/>
      <w:shd w:val="pct20" w:color="auto" w:fill="auto"/>
    </w:rPr>
  </w:style>
  <w:style w:type="paragraph" w:styleId="afff3">
    <w:name w:val="toa heading"/>
    <w:basedOn w:val="a1"/>
    <w:next w:val="a1"/>
    <w:rsid w:val="00033FEA"/>
    <w:pPr>
      <w:spacing w:before="120"/>
    </w:pPr>
    <w:rPr>
      <w:rFonts w:ascii="Cambria" w:hAnsi="Cambria" w:cs="Times New Roman"/>
      <w:b/>
      <w:bCs/>
    </w:rPr>
  </w:style>
  <w:style w:type="paragraph" w:customStyle="1" w:styleId="1f1">
    <w:name w:val="כותרת תוכן עניינים1"/>
    <w:basedOn w:val="1"/>
    <w:next w:val="a1"/>
    <w:uiPriority w:val="39"/>
    <w:qFormat/>
    <w:rsid w:val="00033FEA"/>
    <w:pPr>
      <w:outlineLvl w:val="9"/>
    </w:pPr>
  </w:style>
  <w:style w:type="paragraph" w:styleId="afff4">
    <w:name w:val="caption"/>
    <w:basedOn w:val="a1"/>
    <w:next w:val="a1"/>
    <w:qFormat/>
    <w:rsid w:val="00033FEA"/>
    <w:pPr>
      <w:spacing w:after="200"/>
    </w:pPr>
    <w:rPr>
      <w:i/>
      <w:iCs/>
      <w:color w:val="1F497D"/>
      <w:sz w:val="18"/>
      <w:szCs w:val="18"/>
    </w:rPr>
  </w:style>
  <w:style w:type="paragraph" w:styleId="afff5">
    <w:name w:val="Body Text Indent"/>
    <w:basedOn w:val="a1"/>
    <w:link w:val="afff6"/>
    <w:rsid w:val="00033FEA"/>
    <w:pPr>
      <w:spacing w:after="120"/>
      <w:ind w:left="283"/>
    </w:pPr>
  </w:style>
  <w:style w:type="character" w:customStyle="1" w:styleId="afff6">
    <w:name w:val="כניסה בגוף טקסט תו"/>
    <w:link w:val="afff5"/>
    <w:semiHidden/>
    <w:rsid w:val="00033FEA"/>
    <w:rPr>
      <w:rFonts w:cs="David"/>
      <w:noProof w:val="0"/>
      <w:sz w:val="24"/>
      <w:szCs w:val="24"/>
    </w:rPr>
  </w:style>
  <w:style w:type="paragraph" w:styleId="2b">
    <w:name w:val="Body Text Indent 2"/>
    <w:basedOn w:val="a1"/>
    <w:link w:val="2c"/>
    <w:rsid w:val="00033FEA"/>
    <w:pPr>
      <w:spacing w:after="120" w:line="480" w:lineRule="auto"/>
      <w:ind w:left="283"/>
    </w:pPr>
  </w:style>
  <w:style w:type="character" w:customStyle="1" w:styleId="2c">
    <w:name w:val="כניסה בגוף טקסט 2 תו"/>
    <w:link w:val="2b"/>
    <w:semiHidden/>
    <w:rsid w:val="00033FEA"/>
    <w:rPr>
      <w:rFonts w:cs="David"/>
      <w:noProof w:val="0"/>
      <w:sz w:val="24"/>
      <w:szCs w:val="24"/>
    </w:rPr>
  </w:style>
  <w:style w:type="paragraph" w:styleId="3a">
    <w:name w:val="Body Text Indent 3"/>
    <w:basedOn w:val="a1"/>
    <w:link w:val="3b"/>
    <w:rsid w:val="00033FEA"/>
    <w:pPr>
      <w:spacing w:after="120"/>
      <w:ind w:left="283"/>
    </w:pPr>
    <w:rPr>
      <w:sz w:val="16"/>
      <w:szCs w:val="16"/>
    </w:rPr>
  </w:style>
  <w:style w:type="character" w:customStyle="1" w:styleId="3b">
    <w:name w:val="כניסה בגוף טקסט 3 תו"/>
    <w:link w:val="3a"/>
    <w:semiHidden/>
    <w:rsid w:val="00033FEA"/>
    <w:rPr>
      <w:rFonts w:cs="David"/>
      <w:noProof w:val="0"/>
      <w:sz w:val="16"/>
      <w:szCs w:val="16"/>
    </w:rPr>
  </w:style>
  <w:style w:type="paragraph" w:styleId="afff7">
    <w:name w:val="Normal Indent"/>
    <w:basedOn w:val="a1"/>
    <w:rsid w:val="00033FEA"/>
    <w:pPr>
      <w:ind w:left="720"/>
    </w:pPr>
  </w:style>
  <w:style w:type="paragraph" w:styleId="afff8">
    <w:name w:val="Body Text First Indent"/>
    <w:basedOn w:val="af3"/>
    <w:link w:val="afff9"/>
    <w:rsid w:val="00033FEA"/>
    <w:pPr>
      <w:spacing w:after="0"/>
      <w:ind w:firstLine="360"/>
    </w:pPr>
  </w:style>
  <w:style w:type="character" w:customStyle="1" w:styleId="afff9">
    <w:name w:val="כניסת שורה ראשונה בגוף טקסט תו"/>
    <w:link w:val="afff8"/>
    <w:rsid w:val="00033FEA"/>
    <w:rPr>
      <w:rFonts w:cs="David"/>
      <w:noProof w:val="0"/>
      <w:sz w:val="24"/>
      <w:szCs w:val="24"/>
    </w:rPr>
  </w:style>
  <w:style w:type="paragraph" w:styleId="2d">
    <w:name w:val="Body Text First Indent 2"/>
    <w:basedOn w:val="afff5"/>
    <w:link w:val="2e"/>
    <w:rsid w:val="00033FEA"/>
    <w:pPr>
      <w:spacing w:after="0"/>
      <w:ind w:left="360" w:firstLine="360"/>
    </w:pPr>
  </w:style>
  <w:style w:type="character" w:customStyle="1" w:styleId="2e">
    <w:name w:val="כניסת שורה ראשונה בגוף טקסט 2 תו"/>
    <w:link w:val="2d"/>
    <w:semiHidden/>
    <w:rsid w:val="00033FEA"/>
    <w:rPr>
      <w:rFonts w:cs="David"/>
      <w:noProof w:val="0"/>
      <w:sz w:val="24"/>
      <w:szCs w:val="24"/>
    </w:rPr>
  </w:style>
  <w:style w:type="paragraph" w:styleId="HTML2">
    <w:name w:val="HTML Address"/>
    <w:basedOn w:val="a1"/>
    <w:link w:val="HTML3"/>
    <w:rsid w:val="00033FEA"/>
    <w:rPr>
      <w:i/>
      <w:iCs/>
    </w:rPr>
  </w:style>
  <w:style w:type="character" w:customStyle="1" w:styleId="HTML3">
    <w:name w:val="כתובת HTML תו"/>
    <w:link w:val="HTML2"/>
    <w:semiHidden/>
    <w:rsid w:val="00033FEA"/>
    <w:rPr>
      <w:rFonts w:cs="David"/>
      <w:i/>
      <w:iCs/>
      <w:noProof w:val="0"/>
      <w:sz w:val="24"/>
      <w:szCs w:val="24"/>
    </w:rPr>
  </w:style>
  <w:style w:type="paragraph" w:styleId="afffa">
    <w:name w:val="envelope address"/>
    <w:basedOn w:val="a1"/>
    <w:rsid w:val="00033FEA"/>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033FEA"/>
    <w:rPr>
      <w:rFonts w:ascii="Cambria" w:hAnsi="Cambria" w:cs="Times New Roman"/>
      <w:sz w:val="20"/>
      <w:szCs w:val="20"/>
    </w:rPr>
  </w:style>
  <w:style w:type="paragraph" w:customStyle="1" w:styleId="1f2">
    <w:name w:val="ללא מרווח1"/>
    <w:uiPriority w:val="1"/>
    <w:qFormat/>
    <w:rsid w:val="00033FEA"/>
    <w:pPr>
      <w:bidi/>
    </w:pPr>
    <w:rPr>
      <w:rFonts w:cs="David"/>
      <w:sz w:val="24"/>
      <w:szCs w:val="24"/>
      <w:lang w:bidi="he-IL"/>
    </w:rPr>
  </w:style>
  <w:style w:type="character" w:styleId="HTML4">
    <w:name w:val="HTML Typewriter"/>
    <w:rsid w:val="00033FEA"/>
    <w:rPr>
      <w:rFonts w:ascii="Consolas" w:hAnsi="Consolas"/>
      <w:noProof w:val="0"/>
      <w:sz w:val="20"/>
      <w:szCs w:val="20"/>
    </w:rPr>
  </w:style>
  <w:style w:type="paragraph" w:styleId="afffc">
    <w:name w:val="Document Map"/>
    <w:basedOn w:val="a1"/>
    <w:link w:val="afffd"/>
    <w:rsid w:val="00033FEA"/>
    <w:rPr>
      <w:rFonts w:ascii="Tahoma" w:hAnsi="Tahoma" w:cs="Tahoma"/>
      <w:sz w:val="16"/>
      <w:szCs w:val="16"/>
    </w:rPr>
  </w:style>
  <w:style w:type="character" w:customStyle="1" w:styleId="afffd">
    <w:name w:val="מפת מסמך תו"/>
    <w:link w:val="afffc"/>
    <w:semiHidden/>
    <w:rsid w:val="00033FEA"/>
    <w:rPr>
      <w:rFonts w:ascii="Tahoma" w:hAnsi="Tahoma" w:cs="Tahoma"/>
      <w:noProof w:val="0"/>
      <w:sz w:val="16"/>
      <w:szCs w:val="16"/>
    </w:rPr>
  </w:style>
  <w:style w:type="character" w:styleId="HTML5">
    <w:name w:val="HTML Keyboard"/>
    <w:rsid w:val="00033FEA"/>
    <w:rPr>
      <w:rFonts w:ascii="Consolas" w:hAnsi="Consolas"/>
      <w:noProof w:val="0"/>
      <w:sz w:val="20"/>
      <w:szCs w:val="20"/>
    </w:rPr>
  </w:style>
  <w:style w:type="paragraph" w:styleId="afffe">
    <w:name w:val="annotation subject"/>
    <w:basedOn w:val="aa"/>
    <w:next w:val="aa"/>
    <w:link w:val="affff"/>
    <w:rsid w:val="00033FEA"/>
    <w:rPr>
      <w:rFonts w:cs="David"/>
      <w:b/>
      <w:bCs/>
      <w:sz w:val="20"/>
      <w:szCs w:val="20"/>
    </w:rPr>
  </w:style>
  <w:style w:type="character" w:customStyle="1" w:styleId="ab">
    <w:name w:val="טקסט הערה תו"/>
    <w:link w:val="aa"/>
    <w:semiHidden/>
    <w:rsid w:val="00033FEA"/>
    <w:rPr>
      <w:noProof w:val="0"/>
      <w:sz w:val="24"/>
      <w:szCs w:val="24"/>
    </w:rPr>
  </w:style>
  <w:style w:type="character" w:customStyle="1" w:styleId="affff">
    <w:name w:val="נושא הערה תו"/>
    <w:link w:val="afffe"/>
    <w:semiHidden/>
    <w:rsid w:val="00033FEA"/>
    <w:rPr>
      <w:rFonts w:cs="David"/>
      <w:b/>
      <w:bCs/>
      <w:noProof w:val="0"/>
      <w:sz w:val="24"/>
      <w:szCs w:val="24"/>
    </w:rPr>
  </w:style>
  <w:style w:type="table" w:styleId="affff0">
    <w:name w:val="Table Theme"/>
    <w:basedOn w:val="a3"/>
    <w:rsid w:val="00033FE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033FEA"/>
    <w:pPr>
      <w:ind w:left="4252"/>
    </w:pPr>
  </w:style>
  <w:style w:type="character" w:customStyle="1" w:styleId="affff2">
    <w:name w:val="סיום תו"/>
    <w:link w:val="affff1"/>
    <w:semiHidden/>
    <w:rsid w:val="00033FEA"/>
    <w:rPr>
      <w:rFonts w:cs="David"/>
      <w:noProof w:val="0"/>
      <w:sz w:val="24"/>
      <w:szCs w:val="24"/>
    </w:rPr>
  </w:style>
  <w:style w:type="table" w:styleId="1f3">
    <w:name w:val="Table Columns 1"/>
    <w:basedOn w:val="a3"/>
    <w:rsid w:val="00033FEA"/>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033FEA"/>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033FE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033FEA"/>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033FEA"/>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4">
    <w:name w:val="ציטוט1"/>
    <w:basedOn w:val="a1"/>
    <w:next w:val="a1"/>
    <w:link w:val="QuoteChar"/>
    <w:uiPriority w:val="29"/>
    <w:qFormat/>
    <w:rsid w:val="00033FEA"/>
    <w:pPr>
      <w:spacing w:before="200" w:after="160"/>
      <w:ind w:left="864" w:right="864"/>
      <w:jc w:val="center"/>
    </w:pPr>
    <w:rPr>
      <w:i/>
      <w:iCs/>
      <w:color w:val="404040"/>
    </w:rPr>
  </w:style>
  <w:style w:type="character" w:customStyle="1" w:styleId="QuoteChar">
    <w:name w:val="Quote Char"/>
    <w:link w:val="1f4"/>
    <w:uiPriority w:val="29"/>
    <w:rsid w:val="00033FEA"/>
    <w:rPr>
      <w:rFonts w:cs="David"/>
      <w:i/>
      <w:iCs/>
      <w:noProof w:val="0"/>
      <w:color w:val="404040"/>
      <w:sz w:val="24"/>
      <w:szCs w:val="24"/>
    </w:rPr>
  </w:style>
  <w:style w:type="paragraph" w:customStyle="1" w:styleId="1f5">
    <w:name w:val="ציטוט חזק1"/>
    <w:basedOn w:val="a1"/>
    <w:next w:val="a1"/>
    <w:link w:val="IntenseQuoteChar"/>
    <w:uiPriority w:val="30"/>
    <w:qFormat/>
    <w:rsid w:val="00033FEA"/>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033FEA"/>
    <w:rPr>
      <w:rFonts w:cs="David"/>
      <w:i/>
      <w:iCs/>
      <w:noProof w:val="0"/>
      <w:color w:val="4F81BD"/>
      <w:sz w:val="24"/>
      <w:szCs w:val="24"/>
    </w:rPr>
  </w:style>
  <w:style w:type="character" w:styleId="HTML6">
    <w:name w:val="HTML Acronym"/>
    <w:rsid w:val="00033FEA"/>
    <w:rPr>
      <w:noProof w:val="0"/>
    </w:rPr>
  </w:style>
  <w:style w:type="paragraph" w:styleId="affff3">
    <w:name w:val="List"/>
    <w:basedOn w:val="a1"/>
    <w:rsid w:val="00033FEA"/>
    <w:pPr>
      <w:ind w:left="283" w:hanging="283"/>
      <w:contextualSpacing/>
    </w:pPr>
  </w:style>
  <w:style w:type="paragraph" w:styleId="2f0">
    <w:name w:val="List 2"/>
    <w:basedOn w:val="a1"/>
    <w:rsid w:val="00033FEA"/>
    <w:pPr>
      <w:ind w:left="566" w:hanging="283"/>
      <w:contextualSpacing/>
    </w:pPr>
  </w:style>
  <w:style w:type="paragraph" w:styleId="3d">
    <w:name w:val="List 3"/>
    <w:basedOn w:val="a1"/>
    <w:rsid w:val="00033FEA"/>
    <w:pPr>
      <w:ind w:left="849" w:hanging="283"/>
      <w:contextualSpacing/>
    </w:pPr>
  </w:style>
  <w:style w:type="paragraph" w:styleId="45">
    <w:name w:val="List 4"/>
    <w:basedOn w:val="a1"/>
    <w:rsid w:val="00033FEA"/>
    <w:pPr>
      <w:ind w:left="1132" w:hanging="283"/>
      <w:contextualSpacing/>
    </w:pPr>
  </w:style>
  <w:style w:type="paragraph" w:styleId="55">
    <w:name w:val="List 5"/>
    <w:basedOn w:val="a1"/>
    <w:rsid w:val="00033FEA"/>
    <w:pPr>
      <w:ind w:left="1415" w:hanging="283"/>
      <w:contextualSpacing/>
    </w:pPr>
  </w:style>
  <w:style w:type="table" w:customStyle="1" w:styleId="1f6">
    <w:name w:val="רשימה בהירה1"/>
    <w:basedOn w:val="a3"/>
    <w:uiPriority w:val="61"/>
    <w:semiHidden/>
    <w:unhideWhenUsed/>
    <w:rsid w:val="00033FE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033FE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033FE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033FE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033FE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033FE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033FE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033FEA"/>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033FEA"/>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033FEA"/>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033FEA"/>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033FEA"/>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033FEA"/>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033FEA"/>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033FEA"/>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033FEA"/>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033FEA"/>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033FEA"/>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033FEA"/>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033FEA"/>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033FEA"/>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033FEA"/>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033FE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033FE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033FE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033FE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033FE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033FE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033FE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033FE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033FE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033FE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033FE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033FE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033FE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033FE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033FEA"/>
    <w:pPr>
      <w:numPr>
        <w:numId w:val="5"/>
      </w:numPr>
      <w:contextualSpacing/>
    </w:pPr>
  </w:style>
  <w:style w:type="paragraph" w:styleId="2">
    <w:name w:val="List Number 2"/>
    <w:basedOn w:val="a1"/>
    <w:rsid w:val="00033FEA"/>
    <w:pPr>
      <w:numPr>
        <w:numId w:val="6"/>
      </w:numPr>
      <w:contextualSpacing/>
    </w:pPr>
  </w:style>
  <w:style w:type="paragraph" w:styleId="3">
    <w:name w:val="List Number 3"/>
    <w:basedOn w:val="a1"/>
    <w:rsid w:val="00033FEA"/>
    <w:pPr>
      <w:numPr>
        <w:numId w:val="7"/>
      </w:numPr>
      <w:contextualSpacing/>
    </w:pPr>
  </w:style>
  <w:style w:type="paragraph" w:styleId="4">
    <w:name w:val="List Number 4"/>
    <w:basedOn w:val="a1"/>
    <w:rsid w:val="00033FEA"/>
    <w:pPr>
      <w:numPr>
        <w:numId w:val="8"/>
      </w:numPr>
      <w:contextualSpacing/>
    </w:pPr>
  </w:style>
  <w:style w:type="paragraph" w:styleId="5">
    <w:name w:val="List Number 5"/>
    <w:basedOn w:val="a1"/>
    <w:rsid w:val="00033FEA"/>
    <w:pPr>
      <w:numPr>
        <w:numId w:val="9"/>
      </w:numPr>
      <w:contextualSpacing/>
    </w:pPr>
  </w:style>
  <w:style w:type="paragraph" w:styleId="a0">
    <w:name w:val="List Bullet"/>
    <w:basedOn w:val="a1"/>
    <w:rsid w:val="00033FEA"/>
    <w:pPr>
      <w:numPr>
        <w:numId w:val="10"/>
      </w:numPr>
      <w:contextualSpacing/>
    </w:pPr>
  </w:style>
  <w:style w:type="paragraph" w:styleId="20">
    <w:name w:val="List Bullet 2"/>
    <w:basedOn w:val="a1"/>
    <w:rsid w:val="00033FEA"/>
    <w:pPr>
      <w:numPr>
        <w:numId w:val="11"/>
      </w:numPr>
      <w:contextualSpacing/>
    </w:pPr>
  </w:style>
  <w:style w:type="paragraph" w:styleId="30">
    <w:name w:val="List Bullet 3"/>
    <w:basedOn w:val="a1"/>
    <w:rsid w:val="00033FEA"/>
    <w:pPr>
      <w:numPr>
        <w:numId w:val="12"/>
      </w:numPr>
      <w:contextualSpacing/>
    </w:pPr>
  </w:style>
  <w:style w:type="paragraph" w:styleId="40">
    <w:name w:val="List Bullet 4"/>
    <w:basedOn w:val="a1"/>
    <w:rsid w:val="00033FEA"/>
    <w:pPr>
      <w:numPr>
        <w:numId w:val="13"/>
      </w:numPr>
      <w:contextualSpacing/>
    </w:pPr>
  </w:style>
  <w:style w:type="paragraph" w:styleId="50">
    <w:name w:val="List Bullet 5"/>
    <w:basedOn w:val="a1"/>
    <w:rsid w:val="00033FEA"/>
    <w:pPr>
      <w:numPr>
        <w:numId w:val="14"/>
      </w:numPr>
      <w:contextualSpacing/>
    </w:pPr>
  </w:style>
  <w:style w:type="table" w:customStyle="1" w:styleId="1f9">
    <w:name w:val="רשימה צבעונית1"/>
    <w:basedOn w:val="a3"/>
    <w:uiPriority w:val="72"/>
    <w:semiHidden/>
    <w:unhideWhenUsed/>
    <w:rsid w:val="00033FE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033FE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033FE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033FE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033FE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033FE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033FE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033FEA"/>
  </w:style>
  <w:style w:type="paragraph" w:styleId="affff5">
    <w:name w:val="table of authorities"/>
    <w:basedOn w:val="a1"/>
    <w:next w:val="a1"/>
    <w:rsid w:val="00033FEA"/>
    <w:pPr>
      <w:ind w:left="240" w:hanging="240"/>
    </w:pPr>
  </w:style>
  <w:style w:type="table" w:customStyle="1" w:styleId="1fa">
    <w:name w:val="רשת בהירה1"/>
    <w:basedOn w:val="a3"/>
    <w:uiPriority w:val="62"/>
    <w:semiHidden/>
    <w:unhideWhenUsed/>
    <w:rsid w:val="00033FE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033FE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033FE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033FE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033FE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033FE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033FE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033FE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033FE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033FE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033FE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033FE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033FE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033FE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033FE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033FE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033FE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033FE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033FE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033FE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033FE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033F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033FE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033FEA"/>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033FEA"/>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033FEA"/>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033FEA"/>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033FEA"/>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033FEA"/>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033FEA"/>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033FE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033FE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033FEA"/>
  </w:style>
  <w:style w:type="character" w:customStyle="1" w:styleId="affff7">
    <w:name w:val="תאריך תו"/>
    <w:link w:val="affff6"/>
    <w:rsid w:val="00033FEA"/>
    <w:rPr>
      <w:rFonts w:cs="David"/>
      <w:noProof w:val="0"/>
      <w:sz w:val="24"/>
      <w:szCs w:val="24"/>
    </w:rPr>
  </w:style>
  <w:style w:type="paragraph" w:customStyle="1" w:styleId="2f3">
    <w:name w:val="ללא מרווח2"/>
    <w:qFormat/>
    <w:rsid w:val="00C3630B"/>
    <w:pPr>
      <w:bidi/>
    </w:pPr>
    <w:rPr>
      <w:rFonts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27284065" TargetMode="External"/><Relationship Id="rId13" Type="http://schemas.openxmlformats.org/officeDocument/2006/relationships/hyperlink" Target="http://www.nevo.co.il/case/6106577" TargetMode="External"/><Relationship Id="rId18" Type="http://schemas.openxmlformats.org/officeDocument/2006/relationships/hyperlink" Target="http://www.nevo.co.il/case/22195662" TargetMode="External"/><Relationship Id="rId26" Type="http://schemas.openxmlformats.org/officeDocument/2006/relationships/hyperlink" Target="http://www.nevo.co.il/case/5949537"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nevo.co.il/safrut/bookgroup/1949" TargetMode="External"/><Relationship Id="rId34" Type="http://schemas.openxmlformats.org/officeDocument/2006/relationships/image" Target="media/image1.jpeg"/><Relationship Id="rId7" Type="http://schemas.openxmlformats.org/officeDocument/2006/relationships/hyperlink" Target="http://www.nevo.co.il/case/27284065" TargetMode="External"/><Relationship Id="rId12" Type="http://schemas.openxmlformats.org/officeDocument/2006/relationships/hyperlink" Target="http://www.nevo.co.il/case/26626627" TargetMode="External"/><Relationship Id="rId17" Type="http://schemas.openxmlformats.org/officeDocument/2006/relationships/hyperlink" Target="http://www.nevo.co.il/safrut/bookgroup/591" TargetMode="External"/><Relationship Id="rId25" Type="http://schemas.openxmlformats.org/officeDocument/2006/relationships/hyperlink" Target="http://www.nevo.co.il/case/20618851" TargetMode="External"/><Relationship Id="rId33" Type="http://schemas.openxmlformats.org/officeDocument/2006/relationships/hyperlink" Target="http://www.nevo.co.il/safrut/book/19492"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case/5756128" TargetMode="External"/><Relationship Id="rId20" Type="http://schemas.openxmlformats.org/officeDocument/2006/relationships/hyperlink" Target="http://www.nevo.co.il/case/5689709" TargetMode="External"/><Relationship Id="rId29" Type="http://schemas.openxmlformats.org/officeDocument/2006/relationships/hyperlink" Target="http://www.nevo.co.il/case/568081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7011597" TargetMode="External"/><Relationship Id="rId24" Type="http://schemas.openxmlformats.org/officeDocument/2006/relationships/hyperlink" Target="http://www.nevo.co.il/law/71888" TargetMode="External"/><Relationship Id="rId32" Type="http://schemas.openxmlformats.org/officeDocument/2006/relationships/hyperlink" Target="http://www.nevo.co.il/law/7188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case/25150247" TargetMode="External"/><Relationship Id="rId23" Type="http://schemas.openxmlformats.org/officeDocument/2006/relationships/hyperlink" Target="http://www.nevo.co.il/law/71888/13" TargetMode="External"/><Relationship Id="rId28" Type="http://schemas.openxmlformats.org/officeDocument/2006/relationships/hyperlink" Target="http://www.nevo.co.il/law/72897" TargetMode="External"/><Relationship Id="rId36" Type="http://schemas.openxmlformats.org/officeDocument/2006/relationships/header" Target="header2.xml"/><Relationship Id="rId10" Type="http://schemas.openxmlformats.org/officeDocument/2006/relationships/hyperlink" Target="http://www.nevo.co.il/case/5905544" TargetMode="External"/><Relationship Id="rId19" Type="http://schemas.openxmlformats.org/officeDocument/2006/relationships/hyperlink" Target="http://www.nevo.co.il/case/5907898" TargetMode="External"/><Relationship Id="rId31" Type="http://schemas.openxmlformats.org/officeDocument/2006/relationships/hyperlink" Target="http://www.nevo.co.il/law/71888/30" TargetMode="External"/><Relationship Id="rId4" Type="http://schemas.openxmlformats.org/officeDocument/2006/relationships/webSettings" Target="webSettings.xml"/><Relationship Id="rId9" Type="http://schemas.openxmlformats.org/officeDocument/2006/relationships/hyperlink" Target="http://www.nevo.co.il/case/20837730" TargetMode="External"/><Relationship Id="rId14" Type="http://schemas.openxmlformats.org/officeDocument/2006/relationships/hyperlink" Target="http://www.nevo.co.il/case/6155422" TargetMode="External"/><Relationship Id="rId22" Type="http://schemas.openxmlformats.org/officeDocument/2006/relationships/hyperlink" Target="http://www.nevo.co.il/case/17926746" TargetMode="External"/><Relationship Id="rId27" Type="http://schemas.openxmlformats.org/officeDocument/2006/relationships/hyperlink" Target="http://www.nevo.co.il/law/72897/3" TargetMode="External"/><Relationship Id="rId30" Type="http://schemas.openxmlformats.org/officeDocument/2006/relationships/hyperlink" Target="http://www.nevo.co.il/case/5743532"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5865</Words>
  <Characters>29326</Characters>
  <Application>Microsoft Office Word</Application>
  <DocSecurity>0</DocSecurity>
  <Lines>244</Lines>
  <Paragraphs>70</Paragraphs>
  <ScaleCrop>false</ScaleCrop>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2024-09-05T02:32:00Z</dcterms:created>
  <dcterms:modified xsi:type="dcterms:W3CDTF">2024-09-05T02:32:00Z</dcterms:modified>
</cp:coreProperties>
</file>