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8820" w:type="dxa"/>
        <w:jc w:val="center"/>
        <w:tblLook w:val="0000" w:firstRow="0" w:lastRow="0" w:firstColumn="0" w:lastColumn="0" w:noHBand="0" w:noVBand="0"/>
      </w:tblPr>
      <w:tblGrid>
        <w:gridCol w:w="743"/>
        <w:gridCol w:w="2506"/>
        <w:gridCol w:w="5472"/>
        <w:gridCol w:w="99"/>
      </w:tblGrid>
      <w:tr w:rsidR="00A4573C" w14:paraId="40627B0C" w14:textId="77777777" w:rsidTr="00C80505">
        <w:trPr>
          <w:gridAfter w:val="1"/>
          <w:wAfter w:w="99" w:type="dxa"/>
          <w:trHeight w:hRule="exact" w:val="670"/>
          <w:jc w:val="center"/>
        </w:trPr>
        <w:tc>
          <w:tcPr>
            <w:tcW w:w="8721" w:type="dxa"/>
            <w:gridSpan w:val="3"/>
          </w:tcPr>
          <w:p w14:paraId="5D0F93FC" w14:textId="77777777" w:rsidR="00F470C3" w:rsidRPr="003F496E" w:rsidRDefault="00000000" w:rsidP="00AB4478">
            <w:pPr>
              <w:pStyle w:val="a3"/>
              <w:jc w:val="center"/>
              <w:rPr>
                <w:rFonts w:ascii="Tahoma" w:hAnsi="Tahoma" w:cs="Tahoma"/>
                <w:noProof w:val="0"/>
                <w:color w:val="000080"/>
              </w:rPr>
            </w:pPr>
            <w:bookmarkStart w:id="0" w:name="LastJudge"/>
            <w:r w:rsidRPr="003F496E">
              <w:rPr>
                <w:rFonts w:ascii="Tahoma" w:hAnsi="Tahoma" w:cs="Tahoma"/>
                <w:b/>
                <w:bCs/>
                <w:color w:val="000080"/>
                <w:rtl/>
              </w:rPr>
              <w:t>בית המשפט המחוזי בחיפה בשבתו כבית-משפט לעניינים מנהליים</w:t>
            </w:r>
          </w:p>
          <w:p w14:paraId="39AD1745" w14:textId="77777777" w:rsidR="00F470C3" w:rsidRPr="003F496E" w:rsidRDefault="00F470C3" w:rsidP="00F5663D">
            <w:pPr>
              <w:pStyle w:val="a3"/>
              <w:rPr>
                <w:rFonts w:ascii="Tahoma" w:hAnsi="Tahoma" w:cs="Tahoma"/>
                <w:noProof w:val="0"/>
                <w:color w:val="000080"/>
                <w:rtl/>
              </w:rPr>
            </w:pPr>
          </w:p>
        </w:tc>
      </w:tr>
      <w:tr w:rsidR="00A4573C" w14:paraId="35250CD6" w14:textId="77777777" w:rsidTr="00C80505">
        <w:trPr>
          <w:gridAfter w:val="1"/>
          <w:wAfter w:w="99" w:type="dxa"/>
          <w:trHeight w:val="337"/>
          <w:jc w:val="center"/>
        </w:trPr>
        <w:tc>
          <w:tcPr>
            <w:tcW w:w="8721" w:type="dxa"/>
            <w:gridSpan w:val="3"/>
          </w:tcPr>
          <w:p w14:paraId="1D17520E" w14:textId="77777777" w:rsidR="00F470C3" w:rsidRPr="003F496E" w:rsidRDefault="00000000" w:rsidP="00F5663D">
            <w:pPr>
              <w:rPr>
                <w:b/>
                <w:bCs/>
                <w:noProof w:val="0"/>
                <w:sz w:val="26"/>
                <w:szCs w:val="26"/>
                <w:rtl/>
              </w:rPr>
            </w:pPr>
            <w:r w:rsidRPr="003F496E">
              <w:rPr>
                <w:b/>
                <w:bCs/>
                <w:noProof w:val="0"/>
                <w:sz w:val="26"/>
                <w:szCs w:val="26"/>
                <w:rtl/>
              </w:rPr>
              <w:t>עת"מ 3761-03-24 באראקא השקעות ישראל בע"מ נ' עיריית טירת כרמל</w:t>
            </w:r>
          </w:p>
          <w:p w14:paraId="22B39CA2" w14:textId="77777777" w:rsidR="00F470C3" w:rsidRPr="003F496E" w:rsidRDefault="00F470C3" w:rsidP="00F5663D">
            <w:pPr>
              <w:rPr>
                <w:b/>
                <w:bCs/>
                <w:noProof w:val="0"/>
                <w:sz w:val="2"/>
                <w:szCs w:val="2"/>
                <w:rtl/>
              </w:rPr>
            </w:pPr>
          </w:p>
          <w:p w14:paraId="5F8CB982" w14:textId="77777777" w:rsidR="00F470C3" w:rsidRPr="003F496E" w:rsidRDefault="00000000" w:rsidP="00F5663D">
            <w:pPr>
              <w:rPr>
                <w:b/>
                <w:bCs/>
                <w:noProof w:val="0"/>
                <w:sz w:val="26"/>
                <w:szCs w:val="26"/>
                <w:rtl/>
              </w:rPr>
            </w:pPr>
            <w:r w:rsidRPr="003F496E">
              <w:rPr>
                <w:rFonts w:hint="cs"/>
                <w:b/>
                <w:bCs/>
                <w:noProof w:val="0"/>
                <w:sz w:val="26"/>
                <w:szCs w:val="26"/>
                <w:rtl/>
              </w:rPr>
              <w:t xml:space="preserve"> </w:t>
            </w:r>
          </w:p>
          <w:p w14:paraId="34B59515" w14:textId="77777777" w:rsidR="00F470C3" w:rsidRPr="003F496E" w:rsidRDefault="00000000" w:rsidP="00F5663D">
            <w:pPr>
              <w:rPr>
                <w:b/>
                <w:bCs/>
                <w:noProof w:val="0"/>
                <w:sz w:val="26"/>
                <w:szCs w:val="26"/>
                <w:rtl/>
              </w:rPr>
            </w:pPr>
            <w:r w:rsidRPr="003F496E">
              <w:rPr>
                <w:rFonts w:hint="cs"/>
                <w:sz w:val="20"/>
                <w:szCs w:val="20"/>
                <w:rtl/>
              </w:rPr>
              <w:t xml:space="preserve">תיק חיצוני:   </w:t>
            </w:r>
          </w:p>
        </w:tc>
      </w:tr>
      <w:tr w:rsidR="00A4573C" w14:paraId="641288D1" w14:textId="77777777" w:rsidTr="00C80505">
        <w:tblPrEx>
          <w:tblLook w:val="01E0" w:firstRow="1" w:lastRow="1" w:firstColumn="1" w:lastColumn="1" w:noHBand="0" w:noVBand="0"/>
        </w:tblPrEx>
        <w:trPr>
          <w:jc w:val="center"/>
        </w:trPr>
        <w:tc>
          <w:tcPr>
            <w:tcW w:w="743" w:type="dxa"/>
            <w:shd w:val="clear" w:color="auto" w:fill="auto"/>
          </w:tcPr>
          <w:p w14:paraId="696A4F26" w14:textId="77777777" w:rsidR="00F470C3" w:rsidRPr="00AB4478" w:rsidRDefault="00000000" w:rsidP="00AB4478">
            <w:pPr>
              <w:spacing w:before="120" w:after="120" w:line="240" w:lineRule="exact"/>
              <w:jc w:val="both"/>
              <w:rPr>
                <w:rFonts w:ascii="Arial (W1)" w:hAnsi="Arial (W1)"/>
                <w:b/>
                <w:bCs/>
                <w:sz w:val="26"/>
                <w:szCs w:val="26"/>
              </w:rPr>
            </w:pPr>
            <w:r w:rsidRPr="00AB4478">
              <w:rPr>
                <w:b/>
                <w:bCs/>
                <w:noProof w:val="0"/>
                <w:sz w:val="26"/>
                <w:szCs w:val="26"/>
                <w:rtl/>
              </w:rPr>
              <w:t xml:space="preserve"> </w:t>
            </w:r>
            <w:r w:rsidRPr="00AB4478">
              <w:rPr>
                <w:rFonts w:hint="cs"/>
                <w:b/>
                <w:bCs/>
                <w:sz w:val="26"/>
                <w:szCs w:val="26"/>
                <w:rtl/>
              </w:rPr>
              <w:t xml:space="preserve">בפני </w:t>
            </w:r>
          </w:p>
        </w:tc>
        <w:tc>
          <w:tcPr>
            <w:tcW w:w="8077" w:type="dxa"/>
            <w:gridSpan w:val="3"/>
            <w:shd w:val="clear" w:color="auto" w:fill="auto"/>
          </w:tcPr>
          <w:p w14:paraId="2E6B43BD" w14:textId="77777777" w:rsidR="00F470C3" w:rsidRPr="00AB4478" w:rsidRDefault="00000000" w:rsidP="00AB4478">
            <w:pPr>
              <w:spacing w:before="120" w:after="120" w:line="240" w:lineRule="exact"/>
              <w:rPr>
                <w:b/>
                <w:bCs/>
                <w:sz w:val="26"/>
                <w:szCs w:val="26"/>
              </w:rPr>
            </w:pPr>
            <w:r w:rsidRPr="00AB4478">
              <w:rPr>
                <w:rFonts w:ascii="Arial" w:hAnsi="Arial" w:hint="cs"/>
                <w:b/>
                <w:bCs/>
                <w:sz w:val="26"/>
                <w:szCs w:val="26"/>
                <w:rtl/>
              </w:rPr>
              <w:t>כבוד ה</w:t>
            </w:r>
            <w:r w:rsidRPr="00AB4478">
              <w:rPr>
                <w:rFonts w:ascii="Arial" w:hAnsi="Arial"/>
                <w:b/>
                <w:bCs/>
                <w:sz w:val="26"/>
                <w:szCs w:val="26"/>
                <w:rtl/>
              </w:rPr>
              <w:t>שופטת</w:t>
            </w:r>
            <w:r w:rsidRPr="00AB4478">
              <w:rPr>
                <w:rFonts w:ascii="Arial" w:hAnsi="Arial" w:hint="cs"/>
                <w:b/>
                <w:bCs/>
                <w:sz w:val="26"/>
                <w:szCs w:val="26"/>
                <w:rtl/>
              </w:rPr>
              <w:t xml:space="preserve">  </w:t>
            </w:r>
            <w:r w:rsidRPr="00AB4478">
              <w:rPr>
                <w:rFonts w:ascii="Arial" w:hAnsi="Arial"/>
                <w:b/>
                <w:bCs/>
                <w:sz w:val="26"/>
                <w:szCs w:val="26"/>
                <w:rtl/>
              </w:rPr>
              <w:t>אורית וינשטיין</w:t>
            </w:r>
          </w:p>
        </w:tc>
      </w:tr>
      <w:tr w:rsidR="00A4573C" w14:paraId="4CF5E565" w14:textId="77777777" w:rsidTr="00C80505">
        <w:tblPrEx>
          <w:tblLook w:val="01E0" w:firstRow="1" w:lastRow="1" w:firstColumn="1" w:lastColumn="1" w:noHBand="0" w:noVBand="0"/>
        </w:tblPrEx>
        <w:trPr>
          <w:jc w:val="center"/>
        </w:trPr>
        <w:tc>
          <w:tcPr>
            <w:tcW w:w="3249" w:type="dxa"/>
            <w:gridSpan w:val="2"/>
            <w:shd w:val="clear" w:color="auto" w:fill="auto"/>
          </w:tcPr>
          <w:p w14:paraId="3617ADFE" w14:textId="77777777" w:rsidR="00F470C3" w:rsidRPr="00AB4478" w:rsidRDefault="00000000" w:rsidP="00AB4478">
            <w:pPr>
              <w:spacing w:before="120" w:after="120" w:line="240" w:lineRule="exact"/>
              <w:rPr>
                <w:rFonts w:ascii="Arial (W1)" w:hAnsi="Arial (W1)"/>
                <w:b/>
                <w:bCs/>
                <w:noProof w:val="0"/>
                <w:sz w:val="26"/>
                <w:szCs w:val="26"/>
              </w:rPr>
            </w:pPr>
            <w:bookmarkStart w:id="1" w:name="FirstAppellant"/>
            <w:bookmarkStart w:id="2" w:name="FirstLawyer"/>
            <w:r w:rsidRPr="00AB4478">
              <w:rPr>
                <w:rFonts w:hint="cs"/>
                <w:b/>
                <w:bCs/>
                <w:noProof w:val="0"/>
                <w:sz w:val="26"/>
                <w:szCs w:val="26"/>
                <w:rtl/>
              </w:rPr>
              <w:t>העותרת:</w:t>
            </w:r>
          </w:p>
        </w:tc>
        <w:tc>
          <w:tcPr>
            <w:tcW w:w="5571" w:type="dxa"/>
            <w:gridSpan w:val="2"/>
            <w:shd w:val="clear" w:color="auto" w:fill="auto"/>
          </w:tcPr>
          <w:p w14:paraId="457AAA9C" w14:textId="77777777" w:rsidR="00F470C3" w:rsidRPr="00AB4478" w:rsidRDefault="00000000" w:rsidP="00AB4478">
            <w:pPr>
              <w:spacing w:before="120" w:after="120" w:line="240" w:lineRule="exact"/>
              <w:rPr>
                <w:rFonts w:ascii="Arial (W1)" w:hAnsi="Arial (W1)"/>
                <w:b/>
                <w:bCs/>
                <w:noProof w:val="0"/>
                <w:sz w:val="26"/>
                <w:szCs w:val="26"/>
                <w:rtl/>
              </w:rPr>
            </w:pPr>
            <w:r w:rsidRPr="00AB4478">
              <w:rPr>
                <w:rFonts w:hint="cs"/>
                <w:b/>
                <w:bCs/>
                <w:noProof w:val="0"/>
                <w:sz w:val="26"/>
                <w:szCs w:val="26"/>
                <w:rtl/>
              </w:rPr>
              <w:t>באראקא השקעות ישראל בע"מ</w:t>
            </w:r>
          </w:p>
          <w:p w14:paraId="0DF00B80" w14:textId="77777777" w:rsidR="00F470C3" w:rsidRPr="00AB4478" w:rsidRDefault="00000000" w:rsidP="00AB4478">
            <w:pPr>
              <w:spacing w:before="120" w:after="120" w:line="240" w:lineRule="exact"/>
              <w:rPr>
                <w:rFonts w:ascii="Arial (W1)" w:hAnsi="Arial (W1)"/>
                <w:b/>
                <w:bCs/>
                <w:noProof w:val="0"/>
                <w:sz w:val="26"/>
                <w:szCs w:val="26"/>
              </w:rPr>
            </w:pPr>
            <w:r w:rsidRPr="00AB4478">
              <w:rPr>
                <w:rFonts w:ascii="Arial (W1)" w:hAnsi="Arial (W1)" w:hint="cs"/>
                <w:b/>
                <w:bCs/>
                <w:noProof w:val="0"/>
                <w:sz w:val="26"/>
                <w:szCs w:val="26"/>
                <w:rtl/>
              </w:rPr>
              <w:t>ע"י עו"ד אלדד בן הרוש</w:t>
            </w:r>
          </w:p>
        </w:tc>
      </w:tr>
      <w:bookmarkEnd w:id="1"/>
      <w:bookmarkEnd w:id="2"/>
      <w:tr w:rsidR="00A4573C" w14:paraId="70BB2AB6" w14:textId="77777777" w:rsidTr="00C80505">
        <w:tblPrEx>
          <w:tblLook w:val="01E0" w:firstRow="1" w:lastRow="1" w:firstColumn="1" w:lastColumn="1" w:noHBand="0" w:noVBand="0"/>
        </w:tblPrEx>
        <w:trPr>
          <w:jc w:val="center"/>
        </w:trPr>
        <w:tc>
          <w:tcPr>
            <w:tcW w:w="8820" w:type="dxa"/>
            <w:gridSpan w:val="4"/>
            <w:shd w:val="clear" w:color="auto" w:fill="auto"/>
          </w:tcPr>
          <w:p w14:paraId="106E40DD" w14:textId="77777777" w:rsidR="00F470C3" w:rsidRPr="00AB4478" w:rsidRDefault="00000000" w:rsidP="00AB4478">
            <w:pPr>
              <w:spacing w:before="240" w:after="240" w:line="240" w:lineRule="exact"/>
              <w:jc w:val="center"/>
              <w:rPr>
                <w:b/>
                <w:bCs/>
                <w:noProof w:val="0"/>
                <w:sz w:val="26"/>
                <w:szCs w:val="26"/>
              </w:rPr>
            </w:pPr>
            <w:r w:rsidRPr="00AB4478">
              <w:rPr>
                <w:rFonts w:hint="cs"/>
                <w:b/>
                <w:bCs/>
                <w:noProof w:val="0"/>
                <w:sz w:val="26"/>
                <w:szCs w:val="26"/>
                <w:rtl/>
              </w:rPr>
              <w:t>נגד</w:t>
            </w:r>
          </w:p>
        </w:tc>
      </w:tr>
      <w:tr w:rsidR="00A4573C" w14:paraId="41B51FCD" w14:textId="77777777" w:rsidTr="00C80505">
        <w:tblPrEx>
          <w:tblLook w:val="01E0" w:firstRow="1" w:lastRow="1" w:firstColumn="1" w:lastColumn="1" w:noHBand="0" w:noVBand="0"/>
        </w:tblPrEx>
        <w:trPr>
          <w:jc w:val="center"/>
        </w:trPr>
        <w:tc>
          <w:tcPr>
            <w:tcW w:w="3249" w:type="dxa"/>
            <w:gridSpan w:val="2"/>
            <w:shd w:val="clear" w:color="auto" w:fill="auto"/>
          </w:tcPr>
          <w:p w14:paraId="57626C72" w14:textId="77777777" w:rsidR="00F470C3" w:rsidRPr="00AB4478" w:rsidRDefault="00000000" w:rsidP="00AB4478">
            <w:pPr>
              <w:spacing w:before="120" w:after="120" w:line="240" w:lineRule="exact"/>
              <w:rPr>
                <w:rFonts w:ascii="Arial (W1)" w:hAnsi="Arial (W1)"/>
                <w:b/>
                <w:bCs/>
                <w:noProof w:val="0"/>
                <w:sz w:val="26"/>
                <w:szCs w:val="26"/>
              </w:rPr>
            </w:pPr>
            <w:r w:rsidRPr="00AB4478">
              <w:rPr>
                <w:rFonts w:hint="cs"/>
                <w:b/>
                <w:bCs/>
                <w:noProof w:val="0"/>
                <w:sz w:val="26"/>
                <w:szCs w:val="26"/>
                <w:rtl/>
              </w:rPr>
              <w:t>המשיבה:</w:t>
            </w:r>
          </w:p>
        </w:tc>
        <w:tc>
          <w:tcPr>
            <w:tcW w:w="5571" w:type="dxa"/>
            <w:gridSpan w:val="2"/>
            <w:shd w:val="clear" w:color="auto" w:fill="auto"/>
          </w:tcPr>
          <w:p w14:paraId="75E733A4" w14:textId="77777777" w:rsidR="00F470C3" w:rsidRPr="00AB4478" w:rsidRDefault="00000000" w:rsidP="00AB4478">
            <w:pPr>
              <w:spacing w:before="120" w:after="120" w:line="240" w:lineRule="exact"/>
              <w:rPr>
                <w:rFonts w:ascii="Arial (W1)" w:hAnsi="Arial (W1)"/>
                <w:b/>
                <w:bCs/>
                <w:noProof w:val="0"/>
                <w:sz w:val="26"/>
                <w:szCs w:val="26"/>
              </w:rPr>
            </w:pPr>
            <w:r w:rsidRPr="00AB4478">
              <w:rPr>
                <w:rFonts w:hint="cs"/>
                <w:b/>
                <w:bCs/>
                <w:noProof w:val="0"/>
                <w:sz w:val="26"/>
                <w:szCs w:val="26"/>
                <w:rtl/>
              </w:rPr>
              <w:t>עיריית טירת כרמל</w:t>
            </w:r>
            <w:r w:rsidRPr="00AB4478">
              <w:rPr>
                <w:b/>
                <w:bCs/>
                <w:noProof w:val="0"/>
                <w:sz w:val="26"/>
                <w:szCs w:val="26"/>
                <w:rtl/>
              </w:rPr>
              <w:br/>
            </w:r>
            <w:r w:rsidRPr="00AB4478">
              <w:rPr>
                <w:rFonts w:hint="cs"/>
                <w:b/>
                <w:bCs/>
                <w:sz w:val="26"/>
                <w:szCs w:val="26"/>
                <w:rtl/>
              </w:rPr>
              <w:t>ע"י עו"ד אסיא סיוון</w:t>
            </w:r>
          </w:p>
        </w:tc>
      </w:tr>
    </w:tbl>
    <w:p w14:paraId="5C91D3D0" w14:textId="77777777" w:rsidR="00AB4478" w:rsidRPr="00AB4478" w:rsidRDefault="00AB4478" w:rsidP="00AB4478">
      <w:pPr>
        <w:spacing w:before="120" w:after="120" w:line="240" w:lineRule="exact"/>
        <w:ind w:left="283" w:hanging="283"/>
        <w:jc w:val="both"/>
        <w:rPr>
          <w:rFonts w:ascii="FrankRuehl" w:hAnsi="FrankRuehl" w:cs="FrankRuehl"/>
          <w:noProof w:val="0"/>
          <w:rtl/>
        </w:rPr>
      </w:pPr>
      <w:bookmarkStart w:id="3" w:name="LawTable"/>
      <w:bookmarkEnd w:id="3"/>
    </w:p>
    <w:p w14:paraId="31E07654" w14:textId="77777777" w:rsidR="0097136C" w:rsidRDefault="0097136C" w:rsidP="003F496E">
      <w:pPr>
        <w:bidi w:val="0"/>
        <w:jc w:val="center"/>
        <w:rPr>
          <w:rFonts w:ascii="Arial" w:hAnsi="Arial"/>
          <w:b/>
          <w:bCs/>
          <w:noProof w:val="0"/>
          <w:sz w:val="28"/>
          <w:szCs w:val="28"/>
          <w:u w:val="single"/>
        </w:rPr>
      </w:pPr>
      <w:bookmarkStart w:id="4" w:name="PsakDin"/>
    </w:p>
    <w:p w14:paraId="0B28378B" w14:textId="77777777" w:rsidR="0097136C" w:rsidRDefault="0097136C" w:rsidP="0097136C">
      <w:pPr>
        <w:bidi w:val="0"/>
        <w:jc w:val="center"/>
        <w:rPr>
          <w:rFonts w:ascii="Arial" w:hAnsi="Arial"/>
          <w:b/>
          <w:bCs/>
          <w:noProof w:val="0"/>
          <w:sz w:val="28"/>
          <w:szCs w:val="28"/>
          <w:u w:val="single"/>
          <w:rtl/>
        </w:rPr>
      </w:pPr>
    </w:p>
    <w:p w14:paraId="20E7821D" w14:textId="77777777" w:rsidR="00C80505" w:rsidRDefault="00000000" w:rsidP="0097136C">
      <w:pPr>
        <w:bidi w:val="0"/>
        <w:jc w:val="center"/>
        <w:rPr>
          <w:rFonts w:ascii="Arial" w:hAnsi="Arial"/>
          <w:b/>
          <w:bCs/>
          <w:noProof w:val="0"/>
          <w:sz w:val="28"/>
          <w:szCs w:val="28"/>
          <w:u w:val="single"/>
          <w:rtl/>
        </w:rPr>
      </w:pPr>
      <w:r w:rsidRPr="003F496E">
        <w:rPr>
          <w:rFonts w:ascii="Arial" w:hAnsi="Arial"/>
          <w:b/>
          <w:bCs/>
          <w:noProof w:val="0"/>
          <w:sz w:val="28"/>
          <w:szCs w:val="28"/>
          <w:u w:val="single"/>
          <w:rtl/>
        </w:rPr>
        <w:t>פסק דין</w:t>
      </w:r>
    </w:p>
    <w:bookmarkEnd w:id="4"/>
    <w:p w14:paraId="6C774D9D" w14:textId="77777777" w:rsidR="00C80505" w:rsidRPr="00F470C3" w:rsidRDefault="00C80505" w:rsidP="00F470C3">
      <w:pPr>
        <w:bidi w:val="0"/>
        <w:jc w:val="center"/>
        <w:rPr>
          <w:rFonts w:ascii="Arial" w:hAnsi="Arial"/>
          <w:b/>
          <w:bCs/>
          <w:noProof w:val="0"/>
          <w:sz w:val="28"/>
          <w:szCs w:val="28"/>
          <w:u w:val="single"/>
          <w:rtl/>
        </w:rPr>
      </w:pPr>
    </w:p>
    <w:p w14:paraId="37E975A3" w14:textId="77777777" w:rsidR="00C80505" w:rsidRPr="00F470C3" w:rsidRDefault="00C80505" w:rsidP="00F470C3">
      <w:pPr>
        <w:bidi w:val="0"/>
        <w:jc w:val="center"/>
        <w:rPr>
          <w:rFonts w:ascii="Arial" w:hAnsi="Arial"/>
          <w:b/>
          <w:bCs/>
          <w:noProof w:val="0"/>
          <w:sz w:val="28"/>
          <w:szCs w:val="28"/>
          <w:u w:val="single"/>
        </w:rPr>
      </w:pPr>
    </w:p>
    <w:bookmarkEnd w:id="0"/>
    <w:p w14:paraId="1252B82C" w14:textId="77777777" w:rsidR="00F470C3" w:rsidRDefault="00000000" w:rsidP="00F470C3">
      <w:pPr>
        <w:spacing w:after="240" w:line="360" w:lineRule="auto"/>
        <w:jc w:val="both"/>
        <w:rPr>
          <w:rFonts w:ascii="David" w:hAnsi="David"/>
          <w:color w:val="000000"/>
          <w:rtl/>
        </w:rPr>
      </w:pPr>
      <w:r>
        <w:rPr>
          <w:rFonts w:ascii="David" w:hAnsi="David"/>
          <w:rtl/>
        </w:rPr>
        <w:t>בפניי ע</w:t>
      </w:r>
      <w:r>
        <w:rPr>
          <w:rFonts w:ascii="David" w:hAnsi="David"/>
          <w:color w:val="000000"/>
          <w:rtl/>
        </w:rPr>
        <w:t xml:space="preserve">תירת העותרת, חברת באראקא השקעות ישראל בע"מ (להלן – </w:t>
      </w:r>
      <w:r>
        <w:rPr>
          <w:rFonts w:ascii="David" w:hAnsi="David"/>
          <w:b/>
          <w:bCs/>
          <w:color w:val="000000"/>
          <w:rtl/>
        </w:rPr>
        <w:t>העותרת)</w:t>
      </w:r>
      <w:r>
        <w:rPr>
          <w:rFonts w:ascii="David" w:hAnsi="David"/>
          <w:color w:val="000000"/>
          <w:rtl/>
        </w:rPr>
        <w:t xml:space="preserve"> לחייב את המשיבה, עיריית טירת כרמל (להלן – </w:t>
      </w:r>
      <w:r>
        <w:rPr>
          <w:rFonts w:ascii="David" w:hAnsi="David"/>
          <w:b/>
          <w:bCs/>
          <w:color w:val="000000"/>
          <w:rtl/>
        </w:rPr>
        <w:t xml:space="preserve">המשיבה </w:t>
      </w:r>
      <w:r>
        <w:rPr>
          <w:rFonts w:ascii="David" w:hAnsi="David"/>
          <w:color w:val="000000"/>
          <w:rtl/>
        </w:rPr>
        <w:t xml:space="preserve">או  </w:t>
      </w:r>
      <w:r>
        <w:rPr>
          <w:rFonts w:ascii="David" w:hAnsi="David"/>
          <w:b/>
          <w:bCs/>
          <w:color w:val="000000"/>
          <w:rtl/>
        </w:rPr>
        <w:t>העירייה</w:t>
      </w:r>
      <w:r>
        <w:rPr>
          <w:rFonts w:ascii="David" w:hAnsi="David"/>
          <w:color w:val="000000"/>
          <w:rtl/>
        </w:rPr>
        <w:t>) ליתן בידה אישור עירייה עדכני וללא הסתייגויות לשנת 2023 בדבר היעדר חובות בנכס מקרקעין שבבעלות העותרת, הידוע כגוש 10144 חלקה 47 הממו</w:t>
      </w:r>
      <w:r>
        <w:rPr>
          <w:rFonts w:ascii="David" w:hAnsi="David" w:hint="cs"/>
          <w:color w:val="000000"/>
          <w:rtl/>
        </w:rPr>
        <w:t>ק</w:t>
      </w:r>
      <w:r>
        <w:rPr>
          <w:rFonts w:ascii="David" w:hAnsi="David"/>
          <w:color w:val="000000"/>
          <w:rtl/>
        </w:rPr>
        <w:t xml:space="preserve">ם בשטח המוניציפאלי של המשיבה (להלן – </w:t>
      </w:r>
      <w:r>
        <w:rPr>
          <w:rFonts w:ascii="David" w:hAnsi="David"/>
          <w:b/>
          <w:bCs/>
          <w:color w:val="000000"/>
          <w:rtl/>
        </w:rPr>
        <w:t>הנכס</w:t>
      </w:r>
      <w:r>
        <w:rPr>
          <w:rFonts w:ascii="David" w:hAnsi="David"/>
          <w:color w:val="000000"/>
          <w:rtl/>
        </w:rPr>
        <w:t xml:space="preserve">), וזאת בהתאם להוראות </w:t>
      </w:r>
      <w:hyperlink r:id="rId7" w:history="1">
        <w:r w:rsidR="00C80505" w:rsidRPr="00C80505">
          <w:rPr>
            <w:rStyle w:val="Hyperlink"/>
            <w:rFonts w:ascii="David" w:hAnsi="David"/>
            <w:rtl/>
          </w:rPr>
          <w:t>סעיף 324</w:t>
        </w:r>
      </w:hyperlink>
      <w:r>
        <w:rPr>
          <w:rFonts w:ascii="David" w:hAnsi="David"/>
          <w:color w:val="000000"/>
          <w:rtl/>
        </w:rPr>
        <w:t xml:space="preserve"> ל</w:t>
      </w:r>
      <w:hyperlink r:id="rId8" w:history="1">
        <w:r w:rsidR="003F496E" w:rsidRPr="003F496E">
          <w:rPr>
            <w:rFonts w:ascii="David" w:hAnsi="David"/>
            <w:color w:val="0000FF"/>
            <w:u w:val="single"/>
            <w:rtl/>
          </w:rPr>
          <w:t>פקודת העיריות</w:t>
        </w:r>
      </w:hyperlink>
      <w:r>
        <w:rPr>
          <w:rFonts w:ascii="David" w:hAnsi="David"/>
          <w:color w:val="000000"/>
          <w:rtl/>
        </w:rPr>
        <w:t xml:space="preserve"> [נוסח חדש] (להלן – </w:t>
      </w:r>
      <w:r>
        <w:rPr>
          <w:rFonts w:ascii="David" w:hAnsi="David"/>
          <w:b/>
          <w:bCs/>
          <w:color w:val="000000"/>
          <w:rtl/>
        </w:rPr>
        <w:t>פקודת העיריות</w:t>
      </w:r>
      <w:r>
        <w:rPr>
          <w:rFonts w:ascii="David" w:hAnsi="David"/>
          <w:color w:val="000000"/>
          <w:rtl/>
        </w:rPr>
        <w:t xml:space="preserve">) ולצורך רישום הבעלות של העותרת בנכס במרשם המקרקעין.  </w:t>
      </w:r>
    </w:p>
    <w:p w14:paraId="0A702E2E" w14:textId="77777777" w:rsidR="00F470C3" w:rsidRDefault="00000000" w:rsidP="00F470C3">
      <w:pPr>
        <w:spacing w:after="240" w:line="360" w:lineRule="auto"/>
        <w:jc w:val="both"/>
        <w:rPr>
          <w:rFonts w:ascii="David" w:hAnsi="David"/>
          <w:color w:val="000000"/>
          <w:rtl/>
        </w:rPr>
      </w:pPr>
      <w:r>
        <w:rPr>
          <w:rFonts w:ascii="David" w:hAnsi="David"/>
          <w:color w:val="000000"/>
          <w:rtl/>
        </w:rPr>
        <w:t xml:space="preserve">המשיבה הנפיקה למערערת אישור, אלא שנרשמה באישור זה הערה בדבר החרגה של חלק מהנכס - חנויות שבחזית המבנה המצוי בנכס - בטענה כי העותרת אינה הבעלים של חלק זה בנכס.  </w:t>
      </w:r>
    </w:p>
    <w:p w14:paraId="0CA8450D" w14:textId="77777777" w:rsidR="00F470C3" w:rsidRPr="00F470C3" w:rsidRDefault="00000000" w:rsidP="00F470C3">
      <w:pPr>
        <w:spacing w:after="240" w:line="360" w:lineRule="auto"/>
        <w:jc w:val="both"/>
        <w:rPr>
          <w:rFonts w:ascii="David" w:eastAsia="Calibri" w:hAnsi="David"/>
          <w:b/>
          <w:bCs/>
          <w:u w:val="single"/>
          <w:rtl/>
        </w:rPr>
      </w:pPr>
      <w:r>
        <w:rPr>
          <w:rFonts w:ascii="David" w:hAnsi="David"/>
          <w:b/>
          <w:bCs/>
          <w:u w:val="single"/>
          <w:rtl/>
        </w:rPr>
        <w:t>הרקע העובדתי הנדרש:</w:t>
      </w:r>
    </w:p>
    <w:p w14:paraId="2E6DA8E3" w14:textId="77777777" w:rsidR="00F470C3" w:rsidRDefault="00000000" w:rsidP="00F470C3">
      <w:pPr>
        <w:spacing w:after="240" w:line="360" w:lineRule="auto"/>
        <w:ind w:left="720" w:hanging="720"/>
        <w:jc w:val="both"/>
        <w:rPr>
          <w:rFonts w:ascii="David" w:hAnsi="David"/>
          <w:color w:val="000000"/>
          <w:rtl/>
        </w:rPr>
      </w:pPr>
      <w:r>
        <w:rPr>
          <w:rFonts w:ascii="David" w:hAnsi="David"/>
          <w:rtl/>
        </w:rPr>
        <w:t>1.</w:t>
      </w:r>
      <w:r>
        <w:rPr>
          <w:rFonts w:ascii="David" w:hAnsi="David"/>
          <w:rtl/>
        </w:rPr>
        <w:tab/>
        <w:t xml:space="preserve">העותרת היא הבעלים של </w:t>
      </w:r>
      <w:r>
        <w:rPr>
          <w:rFonts w:ascii="David" w:hAnsi="David"/>
          <w:color w:val="000000"/>
          <w:rtl/>
        </w:rPr>
        <w:t xml:space="preserve">הנכס, מקרקעין הידועים כגוש 10144 חלקה 47 (ראו </w:t>
      </w:r>
      <w:r>
        <w:rPr>
          <w:rFonts w:ascii="David" w:hAnsi="David"/>
          <w:b/>
          <w:bCs/>
          <w:color w:val="000000"/>
          <w:u w:val="single"/>
          <w:rtl/>
        </w:rPr>
        <w:t>נספחים 1-3</w:t>
      </w:r>
      <w:r>
        <w:rPr>
          <w:rFonts w:ascii="David" w:hAnsi="David"/>
          <w:color w:val="000000"/>
          <w:rtl/>
        </w:rPr>
        <w:t xml:space="preserve"> לעתירה). העותרת רכשה את הזכויות בנכס, לרבות במבנה ובמחוברים אליו, בשנת 1994 בהליך כינוס נכסים של חברת אולם המזלות בע"מ. רכישה זו אושרה על ידי בית המשפט המחוזי בתל-אביב. בשנת 2013 נחתם בין העותרת לבין רשות הפיתוח חוזה חכירה לפיו מוחכרים לעותרת המקרקעין בשלמותם, לרבות הבנוי והמחובר אליהם (ראו </w:t>
      </w:r>
      <w:r>
        <w:rPr>
          <w:rFonts w:ascii="David" w:hAnsi="David"/>
          <w:b/>
          <w:bCs/>
          <w:color w:val="000000"/>
          <w:u w:val="single"/>
          <w:rtl/>
        </w:rPr>
        <w:t>נספח 4</w:t>
      </w:r>
      <w:r>
        <w:rPr>
          <w:rFonts w:ascii="David" w:hAnsi="David"/>
          <w:color w:val="000000"/>
          <w:rtl/>
        </w:rPr>
        <w:t xml:space="preserve"> לעתירה).</w:t>
      </w:r>
    </w:p>
    <w:p w14:paraId="3FF4E9E7" w14:textId="77777777" w:rsidR="00F470C3" w:rsidRDefault="00000000" w:rsidP="00F470C3">
      <w:pPr>
        <w:spacing w:after="240" w:line="360" w:lineRule="auto"/>
        <w:ind w:left="720" w:hanging="720"/>
        <w:jc w:val="both"/>
        <w:rPr>
          <w:rFonts w:ascii="David" w:hAnsi="David"/>
          <w:color w:val="000000"/>
          <w:rtl/>
        </w:rPr>
      </w:pPr>
      <w:r>
        <w:rPr>
          <w:rFonts w:ascii="David" w:hAnsi="David"/>
          <w:color w:val="000000"/>
          <w:rtl/>
        </w:rPr>
        <w:t>2.</w:t>
      </w:r>
      <w:r>
        <w:rPr>
          <w:rFonts w:ascii="David" w:hAnsi="David"/>
          <w:color w:val="000000"/>
          <w:rtl/>
        </w:rPr>
        <w:tab/>
        <w:t xml:space="preserve">ביום 7.3.2023 פנתה העותרת לעירייה בבקשה לקבל אישור בדבר היעדר חובות בנכס מכוח </w:t>
      </w:r>
      <w:hyperlink r:id="rId9" w:history="1">
        <w:r w:rsidR="00C80505" w:rsidRPr="00C80505">
          <w:rPr>
            <w:rStyle w:val="Hyperlink"/>
            <w:rFonts w:ascii="David" w:hAnsi="David"/>
            <w:rtl/>
          </w:rPr>
          <w:t>סעיף 324</w:t>
        </w:r>
      </w:hyperlink>
      <w:r>
        <w:rPr>
          <w:rFonts w:ascii="David" w:hAnsi="David"/>
          <w:color w:val="000000"/>
          <w:rtl/>
        </w:rPr>
        <w:t xml:space="preserve"> ל</w:t>
      </w:r>
      <w:hyperlink r:id="rId10" w:history="1">
        <w:r w:rsidR="003F496E" w:rsidRPr="003F496E">
          <w:rPr>
            <w:rFonts w:ascii="David" w:hAnsi="David"/>
            <w:color w:val="0000FF"/>
            <w:u w:val="single"/>
            <w:rtl/>
          </w:rPr>
          <w:t>פקודת העיריות</w:t>
        </w:r>
      </w:hyperlink>
      <w:r>
        <w:rPr>
          <w:rFonts w:ascii="David" w:hAnsi="David"/>
          <w:color w:val="000000"/>
          <w:rtl/>
        </w:rPr>
        <w:t xml:space="preserve">, הנדרש לה לצורכי ביצוע הליך רישום הנכס במרשם המקרקעין (ראו </w:t>
      </w:r>
      <w:r>
        <w:rPr>
          <w:rFonts w:ascii="David" w:hAnsi="David"/>
          <w:b/>
          <w:bCs/>
          <w:color w:val="000000"/>
          <w:u w:val="single"/>
          <w:rtl/>
        </w:rPr>
        <w:t>נספח 5</w:t>
      </w:r>
      <w:r>
        <w:rPr>
          <w:rFonts w:ascii="David" w:hAnsi="David"/>
          <w:color w:val="000000"/>
          <w:rtl/>
        </w:rPr>
        <w:t xml:space="preserve"> לעתירה).</w:t>
      </w:r>
    </w:p>
    <w:p w14:paraId="31BE09CD" w14:textId="77777777" w:rsidR="00F470C3" w:rsidRPr="00F470C3" w:rsidRDefault="00000000" w:rsidP="00F470C3">
      <w:pPr>
        <w:spacing w:after="240" w:line="360" w:lineRule="auto"/>
        <w:ind w:left="720" w:hanging="720"/>
        <w:jc w:val="both"/>
        <w:rPr>
          <w:rFonts w:ascii="David" w:eastAsia="Calibri" w:hAnsi="David"/>
          <w:rtl/>
        </w:rPr>
      </w:pPr>
      <w:r>
        <w:rPr>
          <w:rFonts w:ascii="David" w:hAnsi="David"/>
          <w:color w:val="000000"/>
          <w:rtl/>
        </w:rPr>
        <w:lastRenderedPageBreak/>
        <w:t>3.</w:t>
      </w:r>
      <w:r>
        <w:rPr>
          <w:rFonts w:ascii="David" w:hAnsi="David"/>
          <w:color w:val="000000"/>
          <w:rtl/>
        </w:rPr>
        <w:tab/>
      </w:r>
      <w:r>
        <w:rPr>
          <w:rFonts w:ascii="David" w:hAnsi="David"/>
          <w:rtl/>
        </w:rPr>
        <w:t xml:space="preserve">העירייה הפיקה עבור העותרת אישור אך ציינה בו הערה בדבר החרגת חלק מהנכס - חנויות שבחזית המבנה (להלן – </w:t>
      </w:r>
      <w:r>
        <w:rPr>
          <w:rFonts w:ascii="David" w:hAnsi="David"/>
          <w:b/>
          <w:bCs/>
          <w:rtl/>
        </w:rPr>
        <w:t>ההחרגה</w:t>
      </w:r>
      <w:r>
        <w:rPr>
          <w:rFonts w:ascii="David" w:hAnsi="David"/>
          <w:rtl/>
        </w:rPr>
        <w:t xml:space="preserve">). </w:t>
      </w:r>
    </w:p>
    <w:p w14:paraId="628AD0DE" w14:textId="77777777" w:rsidR="00F470C3" w:rsidRDefault="00000000" w:rsidP="00F470C3">
      <w:pPr>
        <w:spacing w:after="240" w:line="360" w:lineRule="auto"/>
        <w:ind w:left="720" w:hanging="720"/>
        <w:jc w:val="both"/>
        <w:rPr>
          <w:rFonts w:ascii="David" w:hAnsi="David"/>
          <w:rtl/>
        </w:rPr>
      </w:pPr>
      <w:r>
        <w:rPr>
          <w:rFonts w:ascii="David" w:hAnsi="David"/>
          <w:color w:val="000000"/>
          <w:rtl/>
        </w:rPr>
        <w:tab/>
        <w:t>יצוין</w:t>
      </w:r>
      <w:r>
        <w:rPr>
          <w:rFonts w:ascii="David" w:hAnsi="David" w:hint="cs"/>
          <w:color w:val="000000"/>
          <w:rtl/>
        </w:rPr>
        <w:t>,</w:t>
      </w:r>
      <w:r>
        <w:rPr>
          <w:rFonts w:ascii="David" w:hAnsi="David"/>
          <w:color w:val="000000"/>
          <w:rtl/>
        </w:rPr>
        <w:t xml:space="preserve"> כי המשיבה הפיקה בעבר לעותרת אישורים בדבר העדר חובות לצרכים שונים של העותרת, בין היתר בשנת 2015 ובשנת 2020 ומעולם לא נרשמה הערה מחריגה במי מהאישורים שניתנו בעבר לעותרת (ראו </w:t>
      </w:r>
      <w:r>
        <w:rPr>
          <w:rFonts w:ascii="David" w:hAnsi="David"/>
          <w:b/>
          <w:bCs/>
          <w:color w:val="000000"/>
          <w:u w:val="single"/>
          <w:rtl/>
        </w:rPr>
        <w:t>נספח 6</w:t>
      </w:r>
      <w:r>
        <w:rPr>
          <w:rFonts w:ascii="David" w:hAnsi="David"/>
          <w:color w:val="000000"/>
          <w:rtl/>
        </w:rPr>
        <w:t xml:space="preserve"> לעתירה). </w:t>
      </w:r>
    </w:p>
    <w:p w14:paraId="027BB4DC" w14:textId="77777777" w:rsidR="00F470C3" w:rsidRDefault="00000000" w:rsidP="00F470C3">
      <w:pPr>
        <w:spacing w:after="240" w:line="360" w:lineRule="auto"/>
        <w:ind w:left="720" w:hanging="720"/>
        <w:jc w:val="both"/>
        <w:rPr>
          <w:rFonts w:ascii="David" w:hAnsi="David"/>
          <w:rtl/>
        </w:rPr>
      </w:pPr>
      <w:r>
        <w:rPr>
          <w:rFonts w:ascii="David" w:hAnsi="David"/>
          <w:color w:val="000000"/>
          <w:rtl/>
        </w:rPr>
        <w:t>4.</w:t>
      </w:r>
      <w:r>
        <w:rPr>
          <w:rFonts w:ascii="David" w:hAnsi="David"/>
          <w:rtl/>
        </w:rPr>
        <w:tab/>
        <w:t>העותרת פנתה מספר פעמים לבירור ההחרגה מאחר וזו לא נומקה (</w:t>
      </w:r>
      <w:r>
        <w:rPr>
          <w:rFonts w:ascii="David" w:hAnsi="David"/>
          <w:color w:val="000000"/>
          <w:rtl/>
        </w:rPr>
        <w:t xml:space="preserve">ראו </w:t>
      </w:r>
      <w:r>
        <w:rPr>
          <w:rFonts w:ascii="David" w:hAnsi="David"/>
          <w:b/>
          <w:bCs/>
          <w:color w:val="000000"/>
          <w:u w:val="single"/>
          <w:rtl/>
        </w:rPr>
        <w:t>נספחים 7-8</w:t>
      </w:r>
      <w:r>
        <w:rPr>
          <w:rFonts w:ascii="David" w:hAnsi="David"/>
          <w:color w:val="000000"/>
          <w:rtl/>
        </w:rPr>
        <w:t xml:space="preserve"> לעתירה)</w:t>
      </w:r>
      <w:r>
        <w:rPr>
          <w:rFonts w:ascii="David" w:hAnsi="David"/>
          <w:rtl/>
        </w:rPr>
        <w:t xml:space="preserve">. </w:t>
      </w:r>
    </w:p>
    <w:p w14:paraId="5ED61816" w14:textId="77777777" w:rsidR="00F470C3" w:rsidRDefault="00000000" w:rsidP="00F470C3">
      <w:pPr>
        <w:spacing w:after="240" w:line="360" w:lineRule="auto"/>
        <w:ind w:left="720" w:hanging="720"/>
        <w:jc w:val="both"/>
        <w:rPr>
          <w:rFonts w:ascii="David" w:hAnsi="David"/>
          <w:rtl/>
        </w:rPr>
      </w:pPr>
      <w:r>
        <w:rPr>
          <w:rFonts w:ascii="David" w:hAnsi="David"/>
          <w:rtl/>
        </w:rPr>
        <w:t>5.</w:t>
      </w:r>
      <w:r>
        <w:rPr>
          <w:rFonts w:ascii="David" w:hAnsi="David"/>
          <w:rtl/>
        </w:rPr>
        <w:tab/>
        <w:t xml:space="preserve">משלא נענו פניותיה בכתב של העותרת למשיבה בעניין זה, פנתה העותרת טלפונית ליועץ המשפטי של המשיבה, ובמסגרת השיחה נמסר לעותרת כי האישור ניתן עם החרגה בשל מסמכים הנמצאים בידי המשיבה, מהם עולה כי אין מקום להנפיק לעותרת את האישור המבוקש מבלי שיוחרגו החנויות בחזית המבנה. לטענת העותרת לא ניתן שום פירוט או הסבר לאילו מסמכים התייחס היועץ המשפטי של העירייה. </w:t>
      </w:r>
    </w:p>
    <w:p w14:paraId="5666FEBA" w14:textId="77777777" w:rsidR="00F470C3" w:rsidRDefault="00000000" w:rsidP="00F470C3">
      <w:pPr>
        <w:spacing w:after="240" w:line="360" w:lineRule="auto"/>
        <w:ind w:left="720" w:hanging="720"/>
        <w:jc w:val="both"/>
        <w:rPr>
          <w:rFonts w:ascii="David" w:hAnsi="David"/>
          <w:rtl/>
        </w:rPr>
      </w:pPr>
      <w:r>
        <w:rPr>
          <w:rFonts w:ascii="David" w:hAnsi="David"/>
          <w:rtl/>
        </w:rPr>
        <w:t>6.</w:t>
      </w:r>
      <w:r>
        <w:rPr>
          <w:rFonts w:ascii="David" w:hAnsi="David"/>
          <w:rtl/>
        </w:rPr>
        <w:tab/>
        <w:t xml:space="preserve">בעקבות שיחה זו ובטרם הגשת העתירה דנן פנתה העותרת פעם נוספת במכתב למשיבה (ראו </w:t>
      </w:r>
      <w:r>
        <w:rPr>
          <w:rFonts w:ascii="David" w:hAnsi="David"/>
          <w:b/>
          <w:bCs/>
          <w:u w:val="single"/>
          <w:rtl/>
        </w:rPr>
        <w:t>נספח 9</w:t>
      </w:r>
      <w:r>
        <w:rPr>
          <w:rFonts w:ascii="David" w:hAnsi="David"/>
          <w:rtl/>
        </w:rPr>
        <w:t xml:space="preserve"> לעתירה), אולם גם פנייה זו לא נענתה. מטעמים אלו הגישה העותרת את העתירה שבפניי. </w:t>
      </w:r>
    </w:p>
    <w:p w14:paraId="48470448" w14:textId="77777777" w:rsidR="00F470C3" w:rsidRDefault="00000000" w:rsidP="00F470C3">
      <w:pPr>
        <w:spacing w:after="240" w:line="360" w:lineRule="auto"/>
        <w:ind w:left="720" w:hanging="720"/>
        <w:jc w:val="both"/>
        <w:rPr>
          <w:rFonts w:ascii="David" w:hAnsi="David"/>
          <w:rtl/>
        </w:rPr>
      </w:pPr>
      <w:r>
        <w:rPr>
          <w:rFonts w:ascii="David" w:hAnsi="David"/>
          <w:rtl/>
        </w:rPr>
        <w:t>7.</w:t>
      </w:r>
      <w:r>
        <w:rPr>
          <w:rFonts w:ascii="David" w:hAnsi="David"/>
          <w:rtl/>
        </w:rPr>
        <w:tab/>
        <w:t xml:space="preserve">בד בבד עם הגשת העתירה, הגישה העותרת ביום 4.3.2024 בקשה למתן צו ביניים, במסגרתה התבקש בית המשפט ליתן צו המורה לעירייה להפיק עבור העותרת תעודה לפי הוראות </w:t>
      </w:r>
      <w:hyperlink r:id="rId11" w:history="1">
        <w:r w:rsidR="00C80505" w:rsidRPr="00C80505">
          <w:rPr>
            <w:rStyle w:val="Hyperlink"/>
            <w:rFonts w:ascii="David" w:hAnsi="David"/>
            <w:rtl/>
          </w:rPr>
          <w:t>סעיף 324</w:t>
        </w:r>
      </w:hyperlink>
      <w:r>
        <w:rPr>
          <w:rFonts w:ascii="David" w:hAnsi="David"/>
          <w:rtl/>
        </w:rPr>
        <w:t xml:space="preserve"> ל</w:t>
      </w:r>
      <w:hyperlink r:id="rId12" w:history="1">
        <w:r w:rsidR="003F496E" w:rsidRPr="003F496E">
          <w:rPr>
            <w:rFonts w:ascii="David" w:hAnsi="David"/>
            <w:color w:val="0000FF"/>
            <w:u w:val="single"/>
            <w:rtl/>
          </w:rPr>
          <w:t>פקודת העיריות</w:t>
        </w:r>
      </w:hyperlink>
      <w:r>
        <w:rPr>
          <w:rFonts w:ascii="David" w:hAnsi="David"/>
          <w:rtl/>
        </w:rPr>
        <w:t xml:space="preserve">. </w:t>
      </w:r>
    </w:p>
    <w:p w14:paraId="677C0868" w14:textId="77777777" w:rsidR="00F470C3" w:rsidRDefault="00000000" w:rsidP="00F470C3">
      <w:pPr>
        <w:spacing w:after="240" w:line="360" w:lineRule="auto"/>
        <w:ind w:left="720" w:hanging="720"/>
        <w:jc w:val="both"/>
        <w:rPr>
          <w:rFonts w:ascii="David" w:hAnsi="David"/>
          <w:rtl/>
        </w:rPr>
      </w:pPr>
      <w:r>
        <w:rPr>
          <w:rFonts w:ascii="David" w:hAnsi="David"/>
          <w:rtl/>
        </w:rPr>
        <w:t>8.</w:t>
      </w:r>
      <w:r>
        <w:rPr>
          <w:rFonts w:ascii="David" w:hAnsi="David"/>
          <w:rtl/>
        </w:rPr>
        <w:tab/>
        <w:t xml:space="preserve">ביום 6.3.2024 ובהמשך להחלטות בית משפט זה הגישה העותרת מסמך אישור על רישום זכות בנכס שניתן על ידי רשות מקרקעי ישראל ממנו עולה כי הזכויות הנכס - גוש 10144 חלקה 47 – רשומות על שם העותרת. </w:t>
      </w:r>
    </w:p>
    <w:p w14:paraId="1C5B7E36" w14:textId="77777777" w:rsidR="00F470C3" w:rsidRDefault="00000000" w:rsidP="00F470C3">
      <w:pPr>
        <w:spacing w:after="240" w:line="360" w:lineRule="auto"/>
        <w:ind w:left="720" w:hanging="720"/>
        <w:jc w:val="both"/>
        <w:rPr>
          <w:rFonts w:ascii="David" w:hAnsi="David"/>
          <w:rtl/>
        </w:rPr>
      </w:pPr>
      <w:r>
        <w:rPr>
          <w:rFonts w:ascii="David" w:hAnsi="David"/>
          <w:rtl/>
        </w:rPr>
        <w:t>9.</w:t>
      </w:r>
      <w:r>
        <w:rPr>
          <w:rFonts w:ascii="David" w:hAnsi="David"/>
          <w:rtl/>
        </w:rPr>
        <w:tab/>
        <w:t>על אף החלטות בית המשפט שהורו למשיבה להגיש תשובה לבקשה למתן צו ביניים, ועל אף כי ביום 12.3.2024 הוגש לתיק בית המשפט אישור בדבר המצאת העתירה והבקשה לצו ביניים לידי המשיבה – לא הוגשה תשובה לבקשה למתן צו ביניים על ידי המשיבה.</w:t>
      </w:r>
    </w:p>
    <w:p w14:paraId="7D059DD4" w14:textId="77777777" w:rsidR="00F470C3" w:rsidRDefault="00000000" w:rsidP="00F470C3">
      <w:pPr>
        <w:spacing w:after="240" w:line="360" w:lineRule="auto"/>
        <w:ind w:left="720" w:hanging="720"/>
        <w:jc w:val="both"/>
        <w:rPr>
          <w:rFonts w:ascii="David" w:hAnsi="David"/>
          <w:rtl/>
        </w:rPr>
      </w:pPr>
      <w:r>
        <w:rPr>
          <w:rFonts w:ascii="David" w:hAnsi="David"/>
          <w:rtl/>
        </w:rPr>
        <w:t>10.</w:t>
      </w:r>
      <w:r>
        <w:rPr>
          <w:rFonts w:ascii="David" w:hAnsi="David"/>
          <w:rtl/>
        </w:rPr>
        <w:tab/>
        <w:t xml:space="preserve">ביום 24.3.2024 נערך דיון בבקשה למתן צו ביניים, אליו התייצבה באת כוח המשיבה וטענה כי אין חולק כי העותרת רכשה חלק מהנכס שבמחלוקת – קרי: אולם האירועים, אך לגבי יתרת הנכס – חנויות המצויות בחלקה 47, נטען כי ברישומי העירייה רשומים בעלי זכויות שונים. </w:t>
      </w:r>
    </w:p>
    <w:p w14:paraId="5B84C167" w14:textId="77777777" w:rsidR="00F470C3" w:rsidRDefault="00000000" w:rsidP="00F470C3">
      <w:pPr>
        <w:spacing w:after="240" w:line="360" w:lineRule="auto"/>
        <w:ind w:left="720"/>
        <w:jc w:val="both"/>
        <w:rPr>
          <w:rFonts w:ascii="David" w:hAnsi="David"/>
          <w:rtl/>
        </w:rPr>
      </w:pPr>
      <w:r>
        <w:rPr>
          <w:rFonts w:ascii="David" w:hAnsi="David"/>
          <w:rtl/>
        </w:rPr>
        <w:t xml:space="preserve">ב"כ המשיבה לא הציגה כל מסמכים לביסוס טענות המשיבה ואף לא ניתן נימוק מניח את הדעת למחדלה של המשיבה להגיש תגובה לבקשה לצו הביניים במועד שנקבע בהחלטות בית המשפט. </w:t>
      </w:r>
    </w:p>
    <w:p w14:paraId="0EFC8222" w14:textId="77777777" w:rsidR="00F470C3" w:rsidRDefault="00000000" w:rsidP="00F470C3">
      <w:pPr>
        <w:spacing w:after="240" w:line="360" w:lineRule="auto"/>
        <w:ind w:left="720" w:hanging="720"/>
        <w:jc w:val="both"/>
        <w:rPr>
          <w:rFonts w:ascii="David" w:hAnsi="David"/>
          <w:rtl/>
        </w:rPr>
      </w:pPr>
      <w:r>
        <w:rPr>
          <w:rFonts w:ascii="David" w:hAnsi="David"/>
          <w:rtl/>
        </w:rPr>
        <w:lastRenderedPageBreak/>
        <w:t>11.</w:t>
      </w:r>
      <w:r>
        <w:rPr>
          <w:rFonts w:ascii="David" w:hAnsi="David"/>
          <w:rtl/>
        </w:rPr>
        <w:tab/>
        <w:t>בסיום הדיון האמור ניתנה לפנים משורת הדין שהות נוספת למשיבה להגיש תשובה לבקשה לצו ביניים עד ליום 26.3.2024 והמשיבה חוייבה בהוצאות העותרת בשל הדיון.</w:t>
      </w:r>
    </w:p>
    <w:p w14:paraId="0819138B" w14:textId="77777777" w:rsidR="00F470C3" w:rsidRDefault="00000000" w:rsidP="00F470C3">
      <w:pPr>
        <w:spacing w:after="240" w:line="360" w:lineRule="auto"/>
        <w:ind w:left="720" w:hanging="720"/>
        <w:jc w:val="both"/>
        <w:rPr>
          <w:rFonts w:ascii="David" w:hAnsi="David"/>
          <w:rtl/>
        </w:rPr>
      </w:pPr>
      <w:r>
        <w:rPr>
          <w:rFonts w:ascii="David" w:hAnsi="David"/>
          <w:rtl/>
        </w:rPr>
        <w:t>12.</w:t>
      </w:r>
      <w:r>
        <w:rPr>
          <w:rFonts w:ascii="David" w:hAnsi="David"/>
          <w:rtl/>
        </w:rPr>
        <w:tab/>
        <w:t>ביום 27.3.2024 הוגשה תגובת העירייה לבקשה למתן צו ביניים (להלן –</w:t>
      </w:r>
      <w:r>
        <w:rPr>
          <w:rFonts w:ascii="David" w:hAnsi="David"/>
          <w:b/>
          <w:bCs/>
          <w:rtl/>
        </w:rPr>
        <w:t xml:space="preserve"> תגובת העירייה)</w:t>
      </w:r>
      <w:r>
        <w:rPr>
          <w:rFonts w:ascii="David" w:hAnsi="David"/>
          <w:rtl/>
        </w:rPr>
        <w:t xml:space="preserve">, במסגרת תגובה זו התנגדה העירייה לבקשה וטענה כי מדובר בסעד זהה לסעד המבוקש בעתירה וכי בהתאם לרישום בספרי העירייה העותרת אינה בעלת הזכויות בשלוש החנויות הבנויות על המקרקעין נשוא מחלוקת, כפי שיפורט להלן: </w:t>
      </w:r>
    </w:p>
    <w:p w14:paraId="450F7005" w14:textId="77777777" w:rsidR="00F470C3" w:rsidRDefault="00000000" w:rsidP="00F470C3">
      <w:pPr>
        <w:pStyle w:val="1"/>
        <w:numPr>
          <w:ilvl w:val="0"/>
          <w:numId w:val="1"/>
        </w:numPr>
        <w:spacing w:after="240" w:line="360" w:lineRule="auto"/>
        <w:jc w:val="both"/>
        <w:rPr>
          <w:rFonts w:ascii="David" w:hAnsi="David" w:cs="David"/>
          <w:sz w:val="24"/>
          <w:szCs w:val="24"/>
        </w:rPr>
      </w:pPr>
      <w:r>
        <w:rPr>
          <w:rFonts w:ascii="David" w:hAnsi="David" w:cs="David"/>
          <w:sz w:val="24"/>
          <w:szCs w:val="24"/>
          <w:rtl/>
        </w:rPr>
        <w:t xml:space="preserve">נכס מס' 9404000 – שטח 78 מ"ר רשום אצל המשיבה על שם יעקב יהודה וזאת מכוח שני מסמכים של מדידות שנערכו על ידי העירייה בשנת 1996 ובשנת 2005 בהם מצוין כי בעל הנכס הוא יעקב יהודה. </w:t>
      </w:r>
    </w:p>
    <w:p w14:paraId="7C495651" w14:textId="77777777" w:rsidR="00F470C3" w:rsidRDefault="00000000" w:rsidP="00F470C3">
      <w:pPr>
        <w:pStyle w:val="1"/>
        <w:numPr>
          <w:ilvl w:val="0"/>
          <w:numId w:val="1"/>
        </w:numPr>
        <w:spacing w:after="240" w:line="360" w:lineRule="auto"/>
        <w:jc w:val="both"/>
        <w:rPr>
          <w:rFonts w:ascii="David" w:hAnsi="David" w:cs="David"/>
          <w:sz w:val="24"/>
          <w:szCs w:val="24"/>
        </w:rPr>
      </w:pPr>
      <w:r>
        <w:rPr>
          <w:rFonts w:ascii="David" w:hAnsi="David" w:cs="David"/>
          <w:sz w:val="24"/>
          <w:szCs w:val="24"/>
          <w:rtl/>
        </w:rPr>
        <w:t xml:space="preserve">נכס מס' 9405000 – שטח 25 מ"ר רשום אצל המשיבה על שם מגרשוילי לאה מכוח הסכם מכירה שדווחה לרשות המיסים. </w:t>
      </w:r>
    </w:p>
    <w:p w14:paraId="24814DD9" w14:textId="77777777" w:rsidR="00F470C3" w:rsidRDefault="00000000" w:rsidP="00F470C3">
      <w:pPr>
        <w:pStyle w:val="1"/>
        <w:numPr>
          <w:ilvl w:val="0"/>
          <w:numId w:val="1"/>
        </w:numPr>
        <w:spacing w:after="240" w:line="360" w:lineRule="auto"/>
        <w:jc w:val="both"/>
        <w:rPr>
          <w:rFonts w:ascii="David" w:hAnsi="David" w:cs="David"/>
          <w:sz w:val="24"/>
          <w:szCs w:val="24"/>
        </w:rPr>
      </w:pPr>
      <w:r>
        <w:rPr>
          <w:rFonts w:ascii="David" w:hAnsi="David" w:cs="David"/>
          <w:sz w:val="24"/>
          <w:szCs w:val="24"/>
          <w:rtl/>
        </w:rPr>
        <w:t xml:space="preserve">נכס מס' 9406000 – שטחו 30 מ"ר רשום על שם נטלה שביט מכוח הסכמי שכירות משנת 2018 ושנת 2021 לפיהן בעלת זכויות היא שביט נטלה. </w:t>
      </w:r>
    </w:p>
    <w:p w14:paraId="0F945161" w14:textId="77777777" w:rsidR="00F470C3" w:rsidRDefault="00000000" w:rsidP="00F470C3">
      <w:pPr>
        <w:pStyle w:val="1"/>
        <w:spacing w:after="240" w:line="360" w:lineRule="auto"/>
        <w:jc w:val="both"/>
        <w:rPr>
          <w:rFonts w:ascii="David" w:hAnsi="David" w:cs="David"/>
          <w:sz w:val="24"/>
          <w:szCs w:val="24"/>
        </w:rPr>
      </w:pPr>
      <w:r>
        <w:rPr>
          <w:rFonts w:ascii="David" w:hAnsi="David" w:cs="David"/>
          <w:sz w:val="24"/>
          <w:szCs w:val="24"/>
          <w:rtl/>
        </w:rPr>
        <w:t>(ראו טבלה בסעיף 13</w:t>
      </w:r>
      <w:r>
        <w:rPr>
          <w:rFonts w:ascii="David" w:hAnsi="David" w:cs="David"/>
          <w:b/>
          <w:bCs/>
          <w:sz w:val="24"/>
          <w:szCs w:val="24"/>
          <w:rtl/>
        </w:rPr>
        <w:t xml:space="preserve"> </w:t>
      </w:r>
      <w:r>
        <w:rPr>
          <w:rFonts w:ascii="David" w:hAnsi="David" w:cs="David"/>
          <w:sz w:val="24"/>
          <w:szCs w:val="24"/>
          <w:rtl/>
        </w:rPr>
        <w:t xml:space="preserve">לתגובת העירייה לבקשה לצו ביניים </w:t>
      </w:r>
      <w:r>
        <w:rPr>
          <w:rFonts w:ascii="David" w:hAnsi="David" w:cs="David"/>
          <w:b/>
          <w:bCs/>
          <w:sz w:val="24"/>
          <w:szCs w:val="24"/>
          <w:u w:val="single"/>
          <w:rtl/>
        </w:rPr>
        <w:t>ונספח 1</w:t>
      </w:r>
      <w:r>
        <w:rPr>
          <w:rFonts w:ascii="David" w:hAnsi="David" w:cs="David"/>
          <w:b/>
          <w:bCs/>
          <w:sz w:val="24"/>
          <w:szCs w:val="24"/>
          <w:rtl/>
        </w:rPr>
        <w:t xml:space="preserve"> </w:t>
      </w:r>
      <w:r>
        <w:rPr>
          <w:rFonts w:ascii="David" w:hAnsi="David" w:cs="David"/>
          <w:sz w:val="24"/>
          <w:szCs w:val="24"/>
          <w:rtl/>
        </w:rPr>
        <w:t>לתגובה).</w:t>
      </w:r>
    </w:p>
    <w:p w14:paraId="4802BE05" w14:textId="77777777" w:rsidR="00F470C3" w:rsidRDefault="00000000" w:rsidP="00F470C3">
      <w:pPr>
        <w:pStyle w:val="David"/>
        <w:spacing w:after="240"/>
        <w:ind w:left="720" w:hanging="720"/>
        <w:rPr>
          <w:rFonts w:ascii="David" w:hAnsi="David"/>
          <w:rtl/>
        </w:rPr>
      </w:pPr>
      <w:r>
        <w:rPr>
          <w:rFonts w:ascii="David" w:hAnsi="David"/>
          <w:rtl/>
        </w:rPr>
        <w:t>13.</w:t>
      </w:r>
      <w:r>
        <w:rPr>
          <w:rFonts w:ascii="David" w:hAnsi="David"/>
          <w:rtl/>
        </w:rPr>
        <w:tab/>
        <w:t xml:space="preserve">ביום 9.4.2024 נערך דיון נוסף בבקשה לצו ביניים. בדיון זה הסתבר כי משרדה של באת כוח העירייה ייצג בעבר את מר יעקב יהודה, אחד מהגורמים שהמשיבה טוענת כי הוא בעל זכויות באחת החנויות. הסתבר גם כי המשיבה, מטעמים שלא הובהרו, לא סברה כי קיימת בעייתיות </w:t>
      </w:r>
      <w:r>
        <w:rPr>
          <w:rFonts w:ascii="David" w:hAnsi="David" w:hint="cs"/>
          <w:rtl/>
        </w:rPr>
        <w:t xml:space="preserve">או ניגוד עניינים </w:t>
      </w:r>
      <w:r>
        <w:rPr>
          <w:rFonts w:ascii="David" w:hAnsi="David"/>
          <w:rtl/>
        </w:rPr>
        <w:t xml:space="preserve">בכך שהמשיבה תיוצג בעתירה זו על ידי אותו משרד עורכי דין שייצג את מי שכעת נטען כי הוא בעל זכויות באחת החנויות. </w:t>
      </w:r>
    </w:p>
    <w:p w14:paraId="2C40A01B" w14:textId="77777777" w:rsidR="00F470C3" w:rsidRDefault="00000000" w:rsidP="00F470C3">
      <w:pPr>
        <w:pStyle w:val="David"/>
        <w:spacing w:after="240"/>
        <w:ind w:left="720"/>
        <w:rPr>
          <w:rFonts w:ascii="David" w:hAnsi="David"/>
          <w:rtl/>
        </w:rPr>
      </w:pPr>
      <w:r>
        <w:rPr>
          <w:rFonts w:ascii="David" w:hAnsi="David"/>
          <w:rtl/>
        </w:rPr>
        <w:t xml:space="preserve">בדיון זה טענה העותרת כי שלוש החנויות המדוברות מושכרות והן נתפסו באיומים, כשהשוכרים עושים בנכס כבשלהם, ולגבי אחת החנויות אף הוגשה תלונה במשטרה בגין השגת גבול. עוד צוין כי הבעלים של העותרת קיבל איומים ברצח, ולכן העותרת ויתרה על שכר הדירה בנכסים הללו (ראה </w:t>
      </w:r>
      <w:r>
        <w:rPr>
          <w:rFonts w:ascii="David" w:hAnsi="David"/>
          <w:b/>
          <w:bCs/>
          <w:u w:val="single"/>
          <w:rtl/>
        </w:rPr>
        <w:t xml:space="preserve">נספח 7 </w:t>
      </w:r>
      <w:r>
        <w:rPr>
          <w:rFonts w:ascii="David" w:hAnsi="David"/>
          <w:rtl/>
        </w:rPr>
        <w:t xml:space="preserve">להודעת העותרת על צירוף מסמכים מיום 14.4.2024). </w:t>
      </w:r>
    </w:p>
    <w:p w14:paraId="464B00ED" w14:textId="77777777" w:rsidR="00F470C3" w:rsidRDefault="00000000" w:rsidP="00F470C3">
      <w:pPr>
        <w:pStyle w:val="David"/>
        <w:spacing w:after="240"/>
        <w:ind w:left="720"/>
        <w:rPr>
          <w:rFonts w:ascii="David" w:hAnsi="David"/>
          <w:rtl/>
        </w:rPr>
      </w:pPr>
      <w:r>
        <w:rPr>
          <w:rFonts w:ascii="David" w:hAnsi="David"/>
          <w:rtl/>
        </w:rPr>
        <w:t xml:space="preserve">בסיום הדיון, ונוכח הטענות שהועלו בו, ניתנה אפשרות לעותרת להציג מסמכים בתמיכה בטענותיה. יצוין, כי נוכח העובדה כי העותרת נדרשה להגיש מסמכים נוספים, הרי שבנסיבות העניין לא ניתנה החלטה בבקשה לצו הביניים. </w:t>
      </w:r>
    </w:p>
    <w:p w14:paraId="466F6B20" w14:textId="77777777" w:rsidR="00F470C3" w:rsidRDefault="00000000" w:rsidP="00F470C3">
      <w:pPr>
        <w:pStyle w:val="David"/>
        <w:spacing w:after="240"/>
        <w:ind w:left="720"/>
        <w:rPr>
          <w:rFonts w:ascii="David" w:hAnsi="David"/>
          <w:rtl/>
        </w:rPr>
      </w:pPr>
      <w:r>
        <w:rPr>
          <w:rFonts w:ascii="David" w:hAnsi="David"/>
          <w:rtl/>
        </w:rPr>
        <w:t xml:space="preserve">לאור המועד שנקבע לדיון מקדמי בעתירה – הרי שניתנה האפשרות להשלים את המסמכים הנדרשים ואת הטיעון ולדון במחלוקת במסגרת הדיון המקדמי בעתירה. </w:t>
      </w:r>
    </w:p>
    <w:p w14:paraId="3B6D7B19" w14:textId="77777777" w:rsidR="00F470C3" w:rsidRDefault="00000000" w:rsidP="00F470C3">
      <w:pPr>
        <w:pStyle w:val="David"/>
        <w:spacing w:after="240"/>
        <w:ind w:left="720" w:hanging="720"/>
        <w:rPr>
          <w:rFonts w:ascii="David" w:hAnsi="David"/>
          <w:rtl/>
        </w:rPr>
      </w:pPr>
      <w:r>
        <w:rPr>
          <w:rFonts w:ascii="David" w:hAnsi="David"/>
          <w:rtl/>
        </w:rPr>
        <w:t>14.</w:t>
      </w:r>
      <w:r>
        <w:rPr>
          <w:rFonts w:ascii="David" w:hAnsi="David"/>
          <w:rtl/>
        </w:rPr>
        <w:tab/>
        <w:t>ביום 9.5.2024 הגישה העותרת תעודת עובד ציבור מטעם רשות מקרקעי ישראל</w:t>
      </w:r>
      <w:r>
        <w:rPr>
          <w:rFonts w:ascii="David" w:hAnsi="David" w:hint="cs"/>
          <w:rtl/>
        </w:rPr>
        <w:t>,</w:t>
      </w:r>
      <w:r>
        <w:rPr>
          <w:rFonts w:ascii="David" w:hAnsi="David"/>
          <w:rtl/>
        </w:rPr>
        <w:t xml:space="preserve"> המאשרת כי לא נחתמו חוזי חכירה בקשר עם המקרקעין מושא העתירה, גוש 10144 חלקה 47 במלואה, עם גורם אחר כלשהו, מלבד העותרת, חברת באראקא השקעות ישראל בע"מ ח.פ. 511787475.</w:t>
      </w:r>
    </w:p>
    <w:p w14:paraId="72184B11" w14:textId="77777777" w:rsidR="00F470C3" w:rsidRDefault="00000000" w:rsidP="00F470C3">
      <w:pPr>
        <w:pStyle w:val="David"/>
        <w:spacing w:after="240"/>
        <w:ind w:left="720" w:hanging="720"/>
        <w:rPr>
          <w:rFonts w:ascii="David" w:hAnsi="David"/>
          <w:rtl/>
        </w:rPr>
      </w:pPr>
      <w:r>
        <w:rPr>
          <w:rFonts w:ascii="David" w:hAnsi="David"/>
          <w:rtl/>
        </w:rPr>
        <w:lastRenderedPageBreak/>
        <w:t>15.</w:t>
      </w:r>
      <w:r>
        <w:rPr>
          <w:rFonts w:ascii="David" w:hAnsi="David"/>
          <w:rtl/>
        </w:rPr>
        <w:tab/>
        <w:t xml:space="preserve">הדיון המקדמי בעתירה היה קבוע ליום 19.6.2024, אך אליו לא התייצבו נציגי המשיבה ובאת כוחה, וזאת בלא שהוגשה כל בקשה או הודעה לתיק בית המשפט. </w:t>
      </w:r>
    </w:p>
    <w:p w14:paraId="2904B4FA" w14:textId="77777777" w:rsidR="00F470C3" w:rsidRDefault="00000000" w:rsidP="00F470C3">
      <w:pPr>
        <w:pStyle w:val="David"/>
        <w:spacing w:after="240"/>
        <w:ind w:left="720"/>
        <w:rPr>
          <w:rFonts w:ascii="David" w:hAnsi="David"/>
          <w:rtl/>
        </w:rPr>
      </w:pPr>
      <w:r>
        <w:rPr>
          <w:rFonts w:ascii="David" w:hAnsi="David"/>
          <w:rtl/>
        </w:rPr>
        <w:t>יתר על כן, המשיבה אף לא הגישה תגובה מקדמית לעתירה, על אף החלטת בית המשפט אשר הורה על הגשת התגובה המקדמית עד ליום 22.5.2024. בית המשפט נמנע באותו דיון מליתן פסק דין בעתירה, אך פסק הוצאות נוספות נגד המשיבה בשל אי התייצבותה ואיפשר למשיבה, פעם נוספת, לבאר את פשר מחדלה מלהתייצב לדיון</w:t>
      </w:r>
      <w:r>
        <w:rPr>
          <w:rFonts w:ascii="David" w:hAnsi="David" w:hint="cs"/>
          <w:rtl/>
        </w:rPr>
        <w:t>,</w:t>
      </w:r>
      <w:r>
        <w:rPr>
          <w:rFonts w:ascii="David" w:hAnsi="David"/>
          <w:rtl/>
        </w:rPr>
        <w:t xml:space="preserve"> כמו גם את עמדתה לאור תעודת עובד הציבור שהוגשה. </w:t>
      </w:r>
    </w:p>
    <w:p w14:paraId="349FA094" w14:textId="77777777" w:rsidR="00F470C3" w:rsidRDefault="00000000" w:rsidP="00F470C3">
      <w:pPr>
        <w:pStyle w:val="David"/>
        <w:spacing w:after="240"/>
        <w:ind w:left="720" w:hanging="720"/>
        <w:rPr>
          <w:rFonts w:ascii="David" w:hAnsi="David"/>
          <w:rtl/>
        </w:rPr>
      </w:pPr>
      <w:r>
        <w:rPr>
          <w:rFonts w:ascii="David" w:hAnsi="David"/>
          <w:rtl/>
        </w:rPr>
        <w:t>16.</w:t>
      </w:r>
      <w:r>
        <w:rPr>
          <w:rFonts w:ascii="David" w:hAnsi="David"/>
          <w:rtl/>
        </w:rPr>
        <w:tab/>
        <w:t xml:space="preserve">ביום 26.6.2024 הוגשה "תגובה מטעם המשיבה", בה נטען כי הדיון בעתירה נשכח על ידי ב"כ המשיבה בשל טעמים אישיים. המשיבה חזרה על הטענה כי בהתאם למסמכים העומדים בפניה קיימות שלוש חנויות על החלקה מעבר לאולם האירועים, אשר לשיטתה אינן בבעלותה של העותרת, וכי במהלך כל התקופה העותרת לא פנתה למשיבה והציגה בפניה מסמכים אשר מכוחם יכולה הייתה העירייה לשנות את זהות בעלי החנויות ברישומיה, וכי מאחר והנפקת האישור בהתאם לבקשת העותרת עלולה להביא לפגיעה בזכויות קנייניות של צדדי ג' אזי ולא היה בידה להנפיק את האישור ללא ההחרגה. המשיבה טענה כי מטעם זה העותרת נדרשה על ידה להגיש הליך משפטי לבית המשפט. </w:t>
      </w:r>
    </w:p>
    <w:p w14:paraId="6AE02BB9" w14:textId="77777777" w:rsidR="00F470C3" w:rsidRDefault="00000000" w:rsidP="00F470C3">
      <w:pPr>
        <w:pStyle w:val="David"/>
        <w:spacing w:after="240"/>
        <w:ind w:left="720" w:hanging="720"/>
        <w:rPr>
          <w:rFonts w:ascii="David" w:hAnsi="David"/>
          <w:rtl/>
        </w:rPr>
      </w:pPr>
      <w:r>
        <w:rPr>
          <w:rFonts w:ascii="David" w:hAnsi="David"/>
          <w:rtl/>
        </w:rPr>
        <w:t>17.</w:t>
      </w:r>
      <w:r>
        <w:rPr>
          <w:rFonts w:ascii="David" w:hAnsi="David"/>
          <w:rtl/>
        </w:rPr>
        <w:tab/>
        <w:t xml:space="preserve">העותרת טוענת כי מדובר בהחלטה שרירותית, משוללת סמכות, ודינה להתבטל, וכי המשיבה הפגינה זלזול בוטה בעותרת ובהליך המשפטי. </w:t>
      </w:r>
    </w:p>
    <w:p w14:paraId="34FA4FDE" w14:textId="77777777" w:rsidR="00F470C3" w:rsidRDefault="00000000" w:rsidP="00F470C3">
      <w:pPr>
        <w:spacing w:after="240" w:line="360" w:lineRule="auto"/>
        <w:jc w:val="both"/>
        <w:rPr>
          <w:rFonts w:ascii="David" w:hAnsi="David"/>
          <w:b/>
          <w:bCs/>
          <w:u w:val="single"/>
        </w:rPr>
      </w:pPr>
      <w:r>
        <w:rPr>
          <w:rFonts w:ascii="David" w:hAnsi="David"/>
          <w:b/>
          <w:bCs/>
          <w:u w:val="single"/>
          <w:rtl/>
        </w:rPr>
        <w:t xml:space="preserve">דיון והכרעה: </w:t>
      </w:r>
    </w:p>
    <w:p w14:paraId="01D6D4A3" w14:textId="77777777" w:rsidR="00F470C3" w:rsidRDefault="00000000" w:rsidP="00F470C3">
      <w:pPr>
        <w:spacing w:after="240" w:line="360" w:lineRule="auto"/>
        <w:ind w:left="720" w:hanging="720"/>
        <w:jc w:val="both"/>
        <w:rPr>
          <w:rFonts w:ascii="David" w:hAnsi="David"/>
          <w:color w:val="000000"/>
          <w:shd w:val="clear" w:color="auto" w:fill="FFFFFF"/>
          <w:rtl/>
        </w:rPr>
      </w:pPr>
      <w:r>
        <w:rPr>
          <w:rFonts w:ascii="David" w:hAnsi="David"/>
          <w:color w:val="000000"/>
          <w:shd w:val="clear" w:color="auto" w:fill="FFFFFF"/>
          <w:rtl/>
        </w:rPr>
        <w:t>18.</w:t>
      </w:r>
      <w:r>
        <w:rPr>
          <w:rFonts w:ascii="David" w:hAnsi="David"/>
          <w:color w:val="000000"/>
          <w:shd w:val="clear" w:color="auto" w:fill="FFFFFF"/>
          <w:rtl/>
        </w:rPr>
        <w:tab/>
        <w:t xml:space="preserve">לאחר עיון במכלול טענות הצדדים ובראיות שהוצגו בפניי, סבורני כי יש לקבל את העתירה במלואה. העותרת הציגה ראיות ברורות וחד משמעיות בדבר היותה בעלת הזכויות בנכס בשלמות. לא הוכח כי קיים חוב ארנונה בקשר עם הנכס בשלמותו ועל כן – אין ולא היתה קיימת עילה בדין שלא ליתן בידי העותרת את האישור שהתבקש לפי </w:t>
      </w:r>
      <w:hyperlink r:id="rId13" w:history="1">
        <w:r w:rsidR="00C80505" w:rsidRPr="00C80505">
          <w:rPr>
            <w:rStyle w:val="Hyperlink"/>
            <w:rFonts w:ascii="David" w:hAnsi="David"/>
            <w:shd w:val="clear" w:color="auto" w:fill="FFFFFF"/>
            <w:rtl/>
          </w:rPr>
          <w:t>סעיף 324</w:t>
        </w:r>
      </w:hyperlink>
      <w:r>
        <w:rPr>
          <w:rFonts w:ascii="David" w:hAnsi="David"/>
          <w:color w:val="000000"/>
          <w:shd w:val="clear" w:color="auto" w:fill="FFFFFF"/>
          <w:rtl/>
        </w:rPr>
        <w:t xml:space="preserve"> ל</w:t>
      </w:r>
      <w:hyperlink r:id="rId14" w:history="1">
        <w:r w:rsidR="003F496E" w:rsidRPr="003F496E">
          <w:rPr>
            <w:rFonts w:ascii="David" w:hAnsi="David"/>
            <w:color w:val="0000FF"/>
            <w:u w:val="single"/>
            <w:shd w:val="clear" w:color="auto" w:fill="FFFFFF"/>
            <w:rtl/>
          </w:rPr>
          <w:t>פקודת העיריות</w:t>
        </w:r>
      </w:hyperlink>
      <w:r>
        <w:rPr>
          <w:rFonts w:ascii="David" w:hAnsi="David"/>
          <w:color w:val="000000"/>
          <w:shd w:val="clear" w:color="auto" w:fill="FFFFFF"/>
          <w:rtl/>
        </w:rPr>
        <w:t xml:space="preserve">. </w:t>
      </w:r>
    </w:p>
    <w:p w14:paraId="29A834A7" w14:textId="77777777" w:rsidR="00F470C3" w:rsidRPr="00F470C3" w:rsidRDefault="00000000" w:rsidP="00F470C3">
      <w:pPr>
        <w:spacing w:after="240" w:line="360" w:lineRule="auto"/>
        <w:ind w:left="720"/>
        <w:jc w:val="both"/>
        <w:rPr>
          <w:rFonts w:ascii="Calibri" w:hAnsi="Calibri" w:cs="Arial"/>
          <w:sz w:val="22"/>
          <w:szCs w:val="22"/>
          <w:rtl/>
        </w:rPr>
      </w:pPr>
      <w:r>
        <w:rPr>
          <w:rFonts w:ascii="David" w:hAnsi="David"/>
          <w:color w:val="000000"/>
          <w:shd w:val="clear" w:color="auto" w:fill="FFFFFF"/>
          <w:rtl/>
        </w:rPr>
        <w:t xml:space="preserve">יתר על כן, המשיבה הנפיקה בעבר לעותרת אישורים לפי </w:t>
      </w:r>
      <w:hyperlink r:id="rId15" w:history="1">
        <w:r w:rsidR="00C80505" w:rsidRPr="00C80505">
          <w:rPr>
            <w:rStyle w:val="Hyperlink"/>
            <w:rFonts w:ascii="David" w:hAnsi="David"/>
            <w:shd w:val="clear" w:color="auto" w:fill="FFFFFF"/>
            <w:rtl/>
          </w:rPr>
          <w:t>סעיף 324</w:t>
        </w:r>
      </w:hyperlink>
      <w:r>
        <w:rPr>
          <w:rFonts w:ascii="David" w:hAnsi="David"/>
          <w:color w:val="000000"/>
          <w:shd w:val="clear" w:color="auto" w:fill="FFFFFF"/>
          <w:rtl/>
        </w:rPr>
        <w:t xml:space="preserve"> ל</w:t>
      </w:r>
      <w:hyperlink r:id="rId16" w:history="1">
        <w:r w:rsidR="003F496E" w:rsidRPr="003F496E">
          <w:rPr>
            <w:rFonts w:ascii="David" w:hAnsi="David"/>
            <w:color w:val="0000FF"/>
            <w:u w:val="single"/>
            <w:shd w:val="clear" w:color="auto" w:fill="FFFFFF"/>
            <w:rtl/>
          </w:rPr>
          <w:t>פקודת העיריות</w:t>
        </w:r>
      </w:hyperlink>
      <w:r>
        <w:rPr>
          <w:rFonts w:ascii="David" w:hAnsi="David"/>
          <w:color w:val="000000"/>
          <w:shd w:val="clear" w:color="auto" w:fill="FFFFFF"/>
          <w:rtl/>
        </w:rPr>
        <w:t xml:space="preserve">, ובשום שלב לא הועלתה כל טענה בעניין בעלותה של העותרת בנכס בשלמותו. זאת ועוד, איני סבורה כי המשיבה מוסמכת על פי דין להימנע ממתן אישור כדין וללא החרגות, שכן אין היא גורם מוסמך בנושא רישום זכויות במקרקעין, והמסמכים שצורפו לתגובת המשיבה לבקשה לצו הביניים אין בהם כדי לסתור את טענות העותרת בעניין הבעלות בזכויות במלוא המקרקעין נשוא מחלוקת. </w:t>
      </w:r>
    </w:p>
    <w:p w14:paraId="34F8B06E" w14:textId="77777777" w:rsidR="00F470C3" w:rsidRDefault="00000000" w:rsidP="00F470C3">
      <w:pPr>
        <w:spacing w:after="240" w:line="360" w:lineRule="auto"/>
        <w:jc w:val="both"/>
        <w:rPr>
          <w:rFonts w:ascii="David" w:hAnsi="David"/>
          <w:color w:val="000000"/>
          <w:rtl/>
        </w:rPr>
      </w:pPr>
      <w:r>
        <w:rPr>
          <w:rFonts w:ascii="David" w:hAnsi="David"/>
        </w:rPr>
        <w:t>19</w:t>
      </w:r>
      <w:r>
        <w:rPr>
          <w:rFonts w:ascii="David" w:hAnsi="David"/>
          <w:rtl/>
        </w:rPr>
        <w:t>.</w:t>
      </w:r>
      <w:r>
        <w:rPr>
          <w:rFonts w:ascii="David" w:hAnsi="David"/>
          <w:rtl/>
        </w:rPr>
        <w:tab/>
      </w:r>
      <w:hyperlink r:id="rId17" w:history="1">
        <w:r w:rsidR="00C80505" w:rsidRPr="00C80505">
          <w:rPr>
            <w:rStyle w:val="Hyperlink"/>
            <w:rFonts w:ascii="David" w:hAnsi="David"/>
            <w:rtl/>
          </w:rPr>
          <w:t>סעיף 324(א)</w:t>
        </w:r>
      </w:hyperlink>
      <w:r w:rsidR="003F496E">
        <w:rPr>
          <w:rFonts w:ascii="David" w:hAnsi="David"/>
          <w:rtl/>
        </w:rPr>
        <w:t xml:space="preserve"> </w:t>
      </w:r>
      <w:r w:rsidRPr="00C9028C">
        <w:rPr>
          <w:rFonts w:ascii="David" w:hAnsi="David"/>
          <w:rtl/>
        </w:rPr>
        <w:t>ל</w:t>
      </w:r>
      <w:hyperlink r:id="rId18" w:history="1">
        <w:r w:rsidR="003F496E" w:rsidRPr="003F496E">
          <w:rPr>
            <w:rFonts w:ascii="David" w:hAnsi="David"/>
            <w:color w:val="0000FF"/>
            <w:u w:val="single"/>
            <w:rtl/>
          </w:rPr>
          <w:t>פקודת העיריות</w:t>
        </w:r>
      </w:hyperlink>
      <w:r w:rsidR="003F496E">
        <w:rPr>
          <w:rFonts w:ascii="David" w:hAnsi="David"/>
          <w:rtl/>
        </w:rPr>
        <w:t xml:space="preserve"> </w:t>
      </w:r>
      <w:r w:rsidRPr="00C9028C">
        <w:rPr>
          <w:rFonts w:ascii="David" w:hAnsi="David"/>
          <w:rtl/>
        </w:rPr>
        <w:t>קובע:</w:t>
      </w:r>
    </w:p>
    <w:p w14:paraId="43953A90" w14:textId="77777777" w:rsidR="00F470C3" w:rsidRDefault="00000000" w:rsidP="00F470C3">
      <w:pPr>
        <w:pStyle w:val="1"/>
        <w:spacing w:after="240" w:line="240" w:lineRule="auto"/>
        <w:ind w:left="1418"/>
        <w:jc w:val="both"/>
        <w:rPr>
          <w:rFonts w:ascii="David" w:eastAsia="Times New Roman" w:hAnsi="David" w:cs="David"/>
          <w:b/>
          <w:bCs/>
          <w:color w:val="000000"/>
          <w:sz w:val="24"/>
          <w:szCs w:val="24"/>
        </w:rPr>
      </w:pPr>
      <w:r>
        <w:rPr>
          <w:rFonts w:ascii="David" w:eastAsia="Times New Roman" w:hAnsi="David" w:cs="David"/>
          <w:b/>
          <w:bCs/>
          <w:color w:val="000000"/>
          <w:sz w:val="24"/>
          <w:szCs w:val="24"/>
          <w:rtl/>
        </w:rPr>
        <w:t>"לא תירשם בפנקסי המקרקעין כל העברה של נכס, אלא אם הוצגה לפני הרשם, או לפני עוזר הרשם, תעודה חתומה בידי ראש העיריה, המעידה שכל החובות המגיעים לעיריה מאת</w:t>
      </w:r>
      <w:r w:rsidR="003F496E">
        <w:rPr>
          <w:rFonts w:ascii="David" w:eastAsia="Times New Roman" w:hAnsi="David" w:cs="David"/>
          <w:b/>
          <w:bCs/>
          <w:color w:val="000000"/>
          <w:sz w:val="24"/>
          <w:szCs w:val="24"/>
          <w:rtl/>
        </w:rPr>
        <w:t xml:space="preserve"> </w:t>
      </w:r>
      <w:r>
        <w:rPr>
          <w:rFonts w:ascii="David" w:eastAsia="Times New Roman" w:hAnsi="David" w:cs="David"/>
          <w:b/>
          <w:bCs/>
          <w:color w:val="000000"/>
          <w:sz w:val="24"/>
          <w:szCs w:val="24"/>
          <w:rtl/>
        </w:rPr>
        <w:t>בעל</w:t>
      </w:r>
      <w:r w:rsidR="003F496E">
        <w:rPr>
          <w:rFonts w:ascii="David" w:eastAsia="Times New Roman" w:hAnsi="David" w:cs="David"/>
          <w:b/>
          <w:bCs/>
          <w:color w:val="000000"/>
          <w:sz w:val="24"/>
          <w:szCs w:val="24"/>
          <w:rtl/>
        </w:rPr>
        <w:t xml:space="preserve"> </w:t>
      </w:r>
      <w:r>
        <w:rPr>
          <w:rFonts w:ascii="David" w:eastAsia="Times New Roman" w:hAnsi="David" w:cs="David"/>
          <w:b/>
          <w:bCs/>
          <w:color w:val="000000"/>
          <w:sz w:val="24"/>
          <w:szCs w:val="24"/>
          <w:rtl/>
        </w:rPr>
        <w:t>הנכס</w:t>
      </w:r>
      <w:r w:rsidR="003F496E">
        <w:rPr>
          <w:rFonts w:ascii="David" w:eastAsia="Times New Roman" w:hAnsi="David" w:cs="David"/>
          <w:b/>
          <w:bCs/>
          <w:color w:val="000000"/>
          <w:sz w:val="24"/>
          <w:szCs w:val="24"/>
          <w:rtl/>
        </w:rPr>
        <w:t xml:space="preserve"> </w:t>
      </w:r>
      <w:r>
        <w:rPr>
          <w:rFonts w:ascii="David" w:eastAsia="Times New Roman" w:hAnsi="David" w:cs="David"/>
          <w:b/>
          <w:bCs/>
          <w:color w:val="000000"/>
          <w:sz w:val="24"/>
          <w:szCs w:val="24"/>
          <w:rtl/>
        </w:rPr>
        <w:t>ביחס לאותו נכס עד ליום מתן התעודה והנובעים מהוראות הפקודה או מדין אחר - סולקו במלואם או שאין חובות כאלה."</w:t>
      </w:r>
    </w:p>
    <w:p w14:paraId="4EF46E8B" w14:textId="77777777" w:rsidR="00F470C3" w:rsidRPr="00F470C3" w:rsidRDefault="00000000" w:rsidP="00F470C3">
      <w:pPr>
        <w:shd w:val="clear" w:color="auto" w:fill="FFFFFF"/>
        <w:spacing w:after="240" w:line="360" w:lineRule="auto"/>
        <w:ind w:left="720" w:hanging="720"/>
        <w:jc w:val="both"/>
        <w:rPr>
          <w:rFonts w:ascii="Calibri" w:eastAsia="Calibri" w:hAnsi="Calibri" w:cs="Arial"/>
          <w:sz w:val="22"/>
          <w:szCs w:val="22"/>
          <w:rtl/>
        </w:rPr>
      </w:pPr>
      <w:r>
        <w:rPr>
          <w:rFonts w:ascii="David" w:hAnsi="David"/>
          <w:color w:val="000000"/>
          <w:rtl/>
        </w:rPr>
        <w:lastRenderedPageBreak/>
        <w:t>20.</w:t>
      </w:r>
      <w:r>
        <w:rPr>
          <w:rFonts w:ascii="David" w:hAnsi="David"/>
          <w:color w:val="000000"/>
          <w:rtl/>
        </w:rPr>
        <w:tab/>
      </w:r>
      <w:r w:rsidRPr="00C9028C">
        <w:rPr>
          <w:rFonts w:ascii="David" w:hAnsi="David"/>
          <w:rtl/>
        </w:rPr>
        <w:t>כידוע, לרשות מקומית דרכי גבייה שונות של תשלומי חובה מוניציפליים, לרבות חובות ארנונה, על פי</w:t>
      </w:r>
      <w:r w:rsidR="003F496E">
        <w:rPr>
          <w:rFonts w:ascii="David" w:hAnsi="David"/>
          <w:rtl/>
        </w:rPr>
        <w:t xml:space="preserve"> </w:t>
      </w:r>
      <w:hyperlink r:id="rId19" w:history="1">
        <w:r w:rsidR="003F496E" w:rsidRPr="003F496E">
          <w:rPr>
            <w:rFonts w:ascii="David" w:hAnsi="David"/>
            <w:color w:val="0000FF"/>
            <w:u w:val="single"/>
            <w:rtl/>
          </w:rPr>
          <w:t>פקודת המסים (גביה)</w:t>
        </w:r>
      </w:hyperlink>
      <w:r w:rsidRPr="00C9028C">
        <w:rPr>
          <w:rFonts w:ascii="David" w:hAnsi="David"/>
          <w:rtl/>
        </w:rPr>
        <w:t>, או</w:t>
      </w:r>
      <w:r w:rsidR="003F496E">
        <w:rPr>
          <w:rFonts w:ascii="David" w:hAnsi="David"/>
          <w:rtl/>
        </w:rPr>
        <w:t xml:space="preserve"> </w:t>
      </w:r>
      <w:hyperlink r:id="rId20" w:history="1">
        <w:r w:rsidR="003F496E" w:rsidRPr="003F496E">
          <w:rPr>
            <w:rFonts w:ascii="David" w:hAnsi="David"/>
            <w:color w:val="0000FF"/>
            <w:u w:val="single"/>
            <w:rtl/>
          </w:rPr>
          <w:t>פקודת העיריות</w:t>
        </w:r>
      </w:hyperlink>
      <w:r w:rsidRPr="00C9028C">
        <w:rPr>
          <w:rFonts w:ascii="David" w:hAnsi="David"/>
        </w:rPr>
        <w:t>'</w:t>
      </w:r>
      <w:r w:rsidRPr="00C9028C">
        <w:rPr>
          <w:rFonts w:ascii="David" w:hAnsi="David"/>
          <w:rtl/>
        </w:rPr>
        <w:t>כדוגמת</w:t>
      </w:r>
      <w:r w:rsidR="003F496E">
        <w:rPr>
          <w:rFonts w:ascii="David" w:hAnsi="David"/>
          <w:rtl/>
        </w:rPr>
        <w:t xml:space="preserve"> </w:t>
      </w:r>
      <w:hyperlink r:id="rId21" w:history="1">
        <w:r w:rsidR="00C80505" w:rsidRPr="00C80505">
          <w:rPr>
            <w:rStyle w:val="Hyperlink"/>
            <w:rFonts w:ascii="David" w:hAnsi="David"/>
            <w:rtl/>
          </w:rPr>
          <w:t>סעיף 324(א)</w:t>
        </w:r>
      </w:hyperlink>
      <w:r w:rsidR="003F496E">
        <w:rPr>
          <w:rFonts w:ascii="David" w:hAnsi="David"/>
          <w:rtl/>
        </w:rPr>
        <w:t xml:space="preserve"> </w:t>
      </w:r>
      <w:r w:rsidRPr="00C9028C">
        <w:rPr>
          <w:rFonts w:ascii="David" w:hAnsi="David"/>
          <w:rtl/>
        </w:rPr>
        <w:t xml:space="preserve">לפקודת העיריות. </w:t>
      </w:r>
      <w:r w:rsidRPr="00C9028C">
        <w:rPr>
          <w:rFonts w:ascii="David" w:hAnsi="David"/>
          <w:shd w:val="clear" w:color="auto" w:fill="FFFFFF"/>
          <w:rtl/>
        </w:rPr>
        <w:t xml:space="preserve">לעניין זה ראו למשל: </w:t>
      </w:r>
      <w:hyperlink r:id="rId22" w:history="1">
        <w:r w:rsidR="003F496E" w:rsidRPr="003F496E">
          <w:rPr>
            <w:rFonts w:ascii="David" w:hAnsi="David"/>
            <w:color w:val="0000FF"/>
            <w:u w:val="single"/>
            <w:shd w:val="clear" w:color="auto" w:fill="FFFFFF"/>
            <w:rtl/>
          </w:rPr>
          <w:t>עע"מ 1164/04</w:t>
        </w:r>
      </w:hyperlink>
      <w:r w:rsidR="003F496E">
        <w:rPr>
          <w:rFonts w:ascii="David" w:hAnsi="David"/>
          <w:shd w:val="clear" w:color="auto" w:fill="FFFFFF"/>
        </w:rPr>
        <w:t xml:space="preserve"> </w:t>
      </w:r>
      <w:r w:rsidRPr="00C9028C">
        <w:rPr>
          <w:rFonts w:ascii="David" w:hAnsi="David"/>
          <w:b/>
          <w:bCs/>
          <w:shd w:val="clear" w:color="auto" w:fill="FFFFFF"/>
          <w:rtl/>
        </w:rPr>
        <w:t>עיריית הרצליה נ' יצחקי</w:t>
      </w:r>
      <w:r w:rsidR="003F496E">
        <w:rPr>
          <w:rFonts w:ascii="David" w:hAnsi="David"/>
          <w:shd w:val="clear" w:color="auto" w:fill="FFFFFF"/>
          <w:rtl/>
        </w:rPr>
        <w:t xml:space="preserve"> </w:t>
      </w:r>
      <w:r w:rsidR="00AB4478">
        <w:rPr>
          <w:rFonts w:ascii="David" w:hAnsi="David"/>
          <w:shd w:val="clear" w:color="auto" w:fill="FFFFFF"/>
          <w:rtl/>
        </w:rPr>
        <w:t>[נבו]</w:t>
      </w:r>
      <w:r w:rsidR="00AB4478">
        <w:rPr>
          <w:rFonts w:ascii="David" w:hAnsi="David" w:hint="cs"/>
          <w:shd w:val="clear" w:color="auto" w:fill="FFFFFF"/>
          <w:rtl/>
        </w:rPr>
        <w:t xml:space="preserve"> </w:t>
      </w:r>
      <w:r>
        <w:rPr>
          <w:rFonts w:ascii="David" w:hAnsi="David"/>
          <w:color w:val="000000"/>
          <w:shd w:val="clear" w:color="auto" w:fill="FFFFFF"/>
          <w:rtl/>
        </w:rPr>
        <w:t>(5/12/06)</w:t>
      </w:r>
      <w:r>
        <w:rPr>
          <w:rFonts w:ascii="David" w:hAnsi="David"/>
          <w:color w:val="000000"/>
          <w:rtl/>
        </w:rPr>
        <w:t xml:space="preserve">. </w:t>
      </w:r>
    </w:p>
    <w:p w14:paraId="1241A83C" w14:textId="77777777" w:rsidR="00F470C3" w:rsidRDefault="00000000" w:rsidP="00F470C3">
      <w:pPr>
        <w:shd w:val="clear" w:color="auto" w:fill="FFFFFF"/>
        <w:spacing w:after="240" w:line="360" w:lineRule="auto"/>
        <w:ind w:left="720" w:hanging="720"/>
        <w:jc w:val="both"/>
        <w:rPr>
          <w:rFonts w:ascii="David" w:hAnsi="David"/>
          <w:color w:val="000000"/>
          <w:rtl/>
        </w:rPr>
      </w:pPr>
      <w:r>
        <w:rPr>
          <w:rFonts w:ascii="David" w:hAnsi="David"/>
          <w:rtl/>
        </w:rPr>
        <w:t>21</w:t>
      </w:r>
      <w:r>
        <w:rPr>
          <w:rtl/>
        </w:rPr>
        <w:t>.</w:t>
      </w:r>
      <w:r>
        <w:rPr>
          <w:rtl/>
        </w:rPr>
        <w:tab/>
      </w:r>
      <w:hyperlink r:id="rId23" w:history="1">
        <w:r w:rsidR="00C80505" w:rsidRPr="00C80505">
          <w:rPr>
            <w:rStyle w:val="Hyperlink"/>
            <w:rFonts w:ascii="David" w:hAnsi="David"/>
            <w:rtl/>
          </w:rPr>
          <w:t>סעיף 324(א)</w:t>
        </w:r>
      </w:hyperlink>
      <w:r w:rsidR="003F496E">
        <w:rPr>
          <w:rFonts w:ascii="David" w:hAnsi="David"/>
          <w:rtl/>
        </w:rPr>
        <w:t xml:space="preserve"> </w:t>
      </w:r>
      <w:r w:rsidRPr="00C9028C">
        <w:rPr>
          <w:rFonts w:ascii="David" w:hAnsi="David"/>
          <w:rtl/>
        </w:rPr>
        <w:t>ל</w:t>
      </w:r>
      <w:hyperlink r:id="rId24" w:history="1">
        <w:r w:rsidR="003F496E" w:rsidRPr="003F496E">
          <w:rPr>
            <w:rFonts w:ascii="David" w:hAnsi="David"/>
            <w:color w:val="0000FF"/>
            <w:u w:val="single"/>
            <w:rtl/>
          </w:rPr>
          <w:t>פקודת העיריות</w:t>
        </w:r>
      </w:hyperlink>
      <w:r>
        <w:rPr>
          <w:rFonts w:ascii="David" w:hAnsi="David"/>
          <w:color w:val="000000"/>
          <w:rtl/>
        </w:rPr>
        <w:t xml:space="preserve"> שולל את האפשרות לבצע את הרישום בפנקסי המקרקעין של העברת זכויות בנכס מקרקעין עד לקבלת תעודה – אישור, בדבר העדר חובות לרשות המקומית (להלן – </w:t>
      </w:r>
      <w:r>
        <w:rPr>
          <w:rFonts w:ascii="David" w:hAnsi="David"/>
          <w:b/>
          <w:bCs/>
          <w:color w:val="000000"/>
          <w:rtl/>
        </w:rPr>
        <w:t xml:space="preserve">התעודה </w:t>
      </w:r>
      <w:r>
        <w:rPr>
          <w:rFonts w:ascii="David" w:hAnsi="David"/>
          <w:color w:val="000000"/>
          <w:rtl/>
        </w:rPr>
        <w:t>או</w:t>
      </w:r>
      <w:r>
        <w:rPr>
          <w:rFonts w:ascii="David" w:hAnsi="David"/>
          <w:b/>
          <w:bCs/>
          <w:color w:val="000000"/>
          <w:rtl/>
        </w:rPr>
        <w:t xml:space="preserve"> האישור</w:t>
      </w:r>
      <w:r>
        <w:rPr>
          <w:rFonts w:ascii="David" w:hAnsi="David"/>
          <w:color w:val="000000"/>
          <w:rtl/>
        </w:rPr>
        <w:t>). אישור זה מתייחס לחובות של</w:t>
      </w:r>
      <w:r w:rsidR="003F496E">
        <w:rPr>
          <w:rFonts w:ascii="David" w:hAnsi="David"/>
          <w:color w:val="000000"/>
          <w:rtl/>
        </w:rPr>
        <w:t xml:space="preserve"> </w:t>
      </w:r>
      <w:r>
        <w:rPr>
          <w:rFonts w:ascii="David" w:hAnsi="David"/>
          <w:color w:val="000000"/>
          <w:rtl/>
        </w:rPr>
        <w:t>בעל</w:t>
      </w:r>
      <w:r w:rsidR="003F496E">
        <w:rPr>
          <w:rFonts w:ascii="David" w:hAnsi="David"/>
          <w:color w:val="000000"/>
          <w:rtl/>
        </w:rPr>
        <w:t xml:space="preserve"> </w:t>
      </w:r>
      <w:r>
        <w:rPr>
          <w:rFonts w:ascii="David" w:hAnsi="David"/>
          <w:color w:val="000000"/>
          <w:rtl/>
        </w:rPr>
        <w:t>הנכס</w:t>
      </w:r>
      <w:r w:rsidR="003F496E">
        <w:rPr>
          <w:rFonts w:ascii="David" w:hAnsi="David"/>
          <w:color w:val="000000"/>
          <w:rtl/>
        </w:rPr>
        <w:t xml:space="preserve"> </w:t>
      </w:r>
      <w:r>
        <w:rPr>
          <w:rFonts w:ascii="David" w:hAnsi="David"/>
          <w:color w:val="000000"/>
          <w:rtl/>
        </w:rPr>
        <w:t xml:space="preserve">לעירייה ביחס לאותו נכס שהעברתו מתבקשת. </w:t>
      </w:r>
    </w:p>
    <w:p w14:paraId="7BDFC230" w14:textId="77777777" w:rsidR="00F470C3" w:rsidRDefault="00000000" w:rsidP="00F470C3">
      <w:pPr>
        <w:shd w:val="clear" w:color="auto" w:fill="FFFFFF"/>
        <w:spacing w:after="240" w:line="360" w:lineRule="auto"/>
        <w:ind w:left="720"/>
        <w:jc w:val="both"/>
        <w:rPr>
          <w:rFonts w:ascii="David" w:hAnsi="David"/>
          <w:color w:val="000000"/>
          <w:rtl/>
        </w:rPr>
      </w:pPr>
      <w:r>
        <w:rPr>
          <w:rFonts w:ascii="David" w:hAnsi="David"/>
          <w:color w:val="000000"/>
          <w:rtl/>
        </w:rPr>
        <w:t>העירייה רשאית לסרב ליתן אישור היעדר חובות מקום בו היא מצביעה על התקיימותם של ארבעה רכיבים: (א)</w:t>
      </w:r>
      <w:r w:rsidR="003F496E">
        <w:rPr>
          <w:rFonts w:ascii="David" w:hAnsi="David"/>
          <w:color w:val="000000"/>
          <w:rtl/>
        </w:rPr>
        <w:t xml:space="preserve"> </w:t>
      </w:r>
      <w:r>
        <w:rPr>
          <w:rFonts w:ascii="David" w:hAnsi="David"/>
          <w:color w:val="000000"/>
          <w:rtl/>
        </w:rPr>
        <w:t>קיומו של חוב לעירייה</w:t>
      </w:r>
      <w:r>
        <w:rPr>
          <w:rFonts w:ascii="David" w:hAnsi="David"/>
          <w:color w:val="000000"/>
        </w:rPr>
        <w:t>;</w:t>
      </w:r>
      <w:r>
        <w:rPr>
          <w:rFonts w:ascii="David" w:hAnsi="David"/>
          <w:color w:val="000000"/>
          <w:rtl/>
        </w:rPr>
        <w:t xml:space="preserve"> (ב)</w:t>
      </w:r>
      <w:r w:rsidR="003F496E">
        <w:rPr>
          <w:rFonts w:ascii="David" w:hAnsi="David"/>
          <w:color w:val="000000"/>
          <w:rtl/>
        </w:rPr>
        <w:t xml:space="preserve"> </w:t>
      </w:r>
      <w:r>
        <w:rPr>
          <w:rFonts w:ascii="David" w:hAnsi="David"/>
          <w:color w:val="000000"/>
          <w:rtl/>
        </w:rPr>
        <w:t xml:space="preserve">החוב נובע מהוראות </w:t>
      </w:r>
      <w:hyperlink r:id="rId25" w:history="1">
        <w:r w:rsidR="003F496E" w:rsidRPr="003F496E">
          <w:rPr>
            <w:rFonts w:ascii="David" w:hAnsi="David"/>
            <w:color w:val="0000FF"/>
            <w:u w:val="single"/>
            <w:rtl/>
          </w:rPr>
          <w:t>פקודת העיריות</w:t>
        </w:r>
      </w:hyperlink>
      <w:r>
        <w:rPr>
          <w:rFonts w:ascii="David" w:hAnsi="David"/>
          <w:color w:val="000000"/>
          <w:rtl/>
        </w:rPr>
        <w:t xml:space="preserve"> או מדין אחר הקובע חובות לעירייה</w:t>
      </w:r>
      <w:r>
        <w:rPr>
          <w:rFonts w:ascii="David" w:hAnsi="David"/>
          <w:color w:val="000000"/>
        </w:rPr>
        <w:t>;</w:t>
      </w:r>
      <w:r>
        <w:rPr>
          <w:rFonts w:ascii="David" w:hAnsi="David"/>
          <w:color w:val="000000"/>
          <w:rtl/>
        </w:rPr>
        <w:t xml:space="preserve"> </w:t>
      </w:r>
      <w:r>
        <w:rPr>
          <w:rFonts w:ascii="David" w:hAnsi="David" w:hint="cs"/>
          <w:color w:val="000000"/>
          <w:rtl/>
        </w:rPr>
        <w:t>(ג)</w:t>
      </w:r>
      <w:r w:rsidR="003F496E">
        <w:rPr>
          <w:rFonts w:ascii="David" w:hAnsi="David" w:hint="cs"/>
          <w:color w:val="000000"/>
          <w:rtl/>
        </w:rPr>
        <w:t xml:space="preserve"> </w:t>
      </w:r>
      <w:r>
        <w:rPr>
          <w:rFonts w:ascii="David" w:hAnsi="David" w:hint="cs"/>
          <w:color w:val="000000"/>
          <w:rtl/>
        </w:rPr>
        <w:t>החוב הינו של</w:t>
      </w:r>
      <w:r w:rsidR="003F496E">
        <w:rPr>
          <w:rFonts w:ascii="David" w:hAnsi="David" w:hint="cs"/>
          <w:color w:val="000000"/>
          <w:rtl/>
        </w:rPr>
        <w:t xml:space="preserve"> </w:t>
      </w:r>
      <w:r>
        <w:rPr>
          <w:rFonts w:ascii="David" w:hAnsi="David" w:hint="cs"/>
          <w:color w:val="000000"/>
          <w:rtl/>
        </w:rPr>
        <w:t>בעל</w:t>
      </w:r>
      <w:r w:rsidR="003F496E">
        <w:rPr>
          <w:rFonts w:ascii="David" w:hAnsi="David" w:hint="cs"/>
          <w:color w:val="000000"/>
          <w:rtl/>
        </w:rPr>
        <w:t xml:space="preserve"> </w:t>
      </w:r>
      <w:r>
        <w:rPr>
          <w:rFonts w:ascii="David" w:hAnsi="David" w:hint="cs"/>
          <w:color w:val="000000"/>
          <w:rtl/>
        </w:rPr>
        <w:t>הנכס</w:t>
      </w:r>
      <w:r>
        <w:rPr>
          <w:rFonts w:ascii="David" w:hAnsi="David"/>
          <w:color w:val="000000"/>
        </w:rPr>
        <w:t>;</w:t>
      </w:r>
      <w:r>
        <w:rPr>
          <w:rFonts w:ascii="David" w:hAnsi="David"/>
          <w:color w:val="000000"/>
          <w:rtl/>
        </w:rPr>
        <w:t xml:space="preserve"> (ד)</w:t>
      </w:r>
      <w:r w:rsidR="003F496E">
        <w:rPr>
          <w:rFonts w:ascii="David" w:hAnsi="David"/>
          <w:color w:val="000000"/>
          <w:rtl/>
        </w:rPr>
        <w:t xml:space="preserve"> </w:t>
      </w:r>
      <w:r>
        <w:rPr>
          <w:rFonts w:ascii="David" w:hAnsi="David"/>
          <w:color w:val="000000"/>
          <w:rtl/>
        </w:rPr>
        <w:t>החוב נובע מאותו נכס.</w:t>
      </w:r>
    </w:p>
    <w:p w14:paraId="522994B6" w14:textId="77777777" w:rsidR="00F470C3" w:rsidRDefault="00000000" w:rsidP="00F470C3">
      <w:pPr>
        <w:pStyle w:val="1"/>
        <w:shd w:val="clear" w:color="auto" w:fill="FFFFFF"/>
        <w:spacing w:after="240" w:line="360" w:lineRule="auto"/>
        <w:ind w:left="360" w:firstLine="360"/>
        <w:jc w:val="both"/>
        <w:rPr>
          <w:rFonts w:ascii="David" w:hAnsi="David" w:cs="David"/>
          <w:sz w:val="24"/>
          <w:szCs w:val="24"/>
          <w:rtl/>
        </w:rPr>
      </w:pPr>
      <w:r>
        <w:rPr>
          <w:rFonts w:ascii="David" w:eastAsia="Times New Roman" w:hAnsi="David" w:cs="David"/>
          <w:color w:val="000000"/>
          <w:sz w:val="24"/>
          <w:szCs w:val="24"/>
          <w:rtl/>
        </w:rPr>
        <w:t>ראו לעניין זה:</w:t>
      </w:r>
      <w:r w:rsidR="003F496E">
        <w:rPr>
          <w:rFonts w:ascii="David" w:eastAsia="Times New Roman" w:hAnsi="David" w:cs="David"/>
          <w:color w:val="000000"/>
          <w:sz w:val="24"/>
          <w:szCs w:val="24"/>
          <w:rtl/>
        </w:rPr>
        <w:t xml:space="preserve"> </w:t>
      </w:r>
      <w:hyperlink r:id="rId26" w:history="1">
        <w:r w:rsidR="003F496E" w:rsidRPr="003F496E">
          <w:rPr>
            <w:rFonts w:ascii="David" w:eastAsia="Times New Roman" w:hAnsi="David" w:cs="David"/>
            <w:color w:val="0000FF"/>
            <w:sz w:val="24"/>
            <w:szCs w:val="24"/>
            <w:u w:val="single"/>
            <w:rtl/>
          </w:rPr>
          <w:t>בג"צ 779/92</w:t>
        </w:r>
      </w:hyperlink>
      <w:r w:rsidRPr="003F496E">
        <w:rPr>
          <w:rFonts w:ascii="David" w:eastAsia="Times New Roman" w:hAnsi="David" w:cs="David"/>
          <w:color w:val="000000"/>
          <w:sz w:val="24"/>
          <w:szCs w:val="24"/>
          <w:rtl/>
        </w:rPr>
        <w:t xml:space="preserve"> </w:t>
      </w:r>
      <w:r w:rsidRPr="003F496E">
        <w:rPr>
          <w:rFonts w:ascii="David" w:eastAsia="Times New Roman" w:hAnsi="David" w:cs="David"/>
          <w:b/>
          <w:bCs/>
          <w:color w:val="000000"/>
          <w:sz w:val="24"/>
          <w:szCs w:val="24"/>
          <w:rtl/>
        </w:rPr>
        <w:t>סלאמה נ' ראש עיריית נצרת</w:t>
      </w:r>
      <w:r w:rsidRPr="003F496E">
        <w:rPr>
          <w:rFonts w:ascii="David" w:eastAsia="Times New Roman" w:hAnsi="David" w:cs="David"/>
          <w:color w:val="000000"/>
          <w:sz w:val="24"/>
          <w:szCs w:val="24"/>
          <w:rtl/>
        </w:rPr>
        <w:t>, פ"ד מז</w:t>
      </w:r>
      <w:r w:rsidRPr="00C9028C">
        <w:rPr>
          <w:rFonts w:ascii="David" w:eastAsia="Times New Roman" w:hAnsi="David" w:cs="David"/>
          <w:sz w:val="24"/>
          <w:szCs w:val="24"/>
          <w:rtl/>
        </w:rPr>
        <w:t>(</w:t>
      </w:r>
      <w:r>
        <w:rPr>
          <w:rFonts w:ascii="David" w:eastAsia="Times New Roman" w:hAnsi="David" w:cs="David"/>
          <w:color w:val="000000"/>
          <w:sz w:val="24"/>
          <w:szCs w:val="24"/>
          <w:rtl/>
        </w:rPr>
        <w:t>5) 183 (1993).</w:t>
      </w:r>
    </w:p>
    <w:p w14:paraId="203AEBE7" w14:textId="77777777" w:rsidR="00F470C3" w:rsidRDefault="00000000" w:rsidP="00F470C3">
      <w:pPr>
        <w:shd w:val="clear" w:color="auto" w:fill="FFFFFF"/>
        <w:spacing w:after="240" w:line="360" w:lineRule="auto"/>
        <w:ind w:left="720" w:hanging="720"/>
        <w:jc w:val="both"/>
        <w:rPr>
          <w:rFonts w:ascii="David" w:hAnsi="David"/>
          <w:rtl/>
        </w:rPr>
      </w:pPr>
      <w:r>
        <w:rPr>
          <w:rFonts w:ascii="David" w:hAnsi="David"/>
          <w:rtl/>
        </w:rPr>
        <w:t>22.</w:t>
      </w:r>
      <w:r>
        <w:rPr>
          <w:rFonts w:ascii="David" w:hAnsi="David"/>
          <w:rtl/>
        </w:rPr>
        <w:tab/>
        <w:t xml:space="preserve">המשיבה סבורה כי היא רשאית היתה לסרב ליתן לעותרת את האישור בהתאם להוראות </w:t>
      </w:r>
      <w:hyperlink r:id="rId27" w:history="1">
        <w:r w:rsidR="00C80505" w:rsidRPr="00C80505">
          <w:rPr>
            <w:rStyle w:val="Hyperlink"/>
            <w:rFonts w:ascii="David" w:hAnsi="David"/>
            <w:rtl/>
          </w:rPr>
          <w:t>סעיף 324א</w:t>
        </w:r>
      </w:hyperlink>
      <w:r>
        <w:rPr>
          <w:rFonts w:ascii="David" w:hAnsi="David"/>
          <w:rtl/>
        </w:rPr>
        <w:t xml:space="preserve"> לפקודה ללא ציון ההחרגה בעניין שלוש החנויות שבחזית הנכס, וככל שהעותרת ביקשה לקבל את האישור ללא החרגה, היה עליה להגיש הליך משפטי לצורך זה. </w:t>
      </w:r>
    </w:p>
    <w:p w14:paraId="0F78B1F8" w14:textId="77777777" w:rsidR="00F470C3" w:rsidRDefault="00000000" w:rsidP="00F470C3">
      <w:pPr>
        <w:shd w:val="clear" w:color="auto" w:fill="FFFFFF"/>
        <w:spacing w:after="240" w:line="360" w:lineRule="auto"/>
        <w:ind w:left="720"/>
        <w:jc w:val="both"/>
        <w:rPr>
          <w:rFonts w:ascii="David" w:hAnsi="David"/>
          <w:b/>
          <w:bCs/>
          <w:u w:val="single"/>
          <w:rtl/>
        </w:rPr>
      </w:pPr>
      <w:r>
        <w:rPr>
          <w:rFonts w:ascii="David" w:hAnsi="David"/>
          <w:rtl/>
        </w:rPr>
        <w:t>דעתי אינה כדעת המשיבה.</w:t>
      </w:r>
    </w:p>
    <w:p w14:paraId="245041A6" w14:textId="77777777" w:rsidR="00F470C3" w:rsidRDefault="00000000" w:rsidP="00F470C3">
      <w:pPr>
        <w:spacing w:after="240" w:line="360" w:lineRule="auto"/>
        <w:ind w:left="720" w:hanging="720"/>
        <w:jc w:val="both"/>
        <w:rPr>
          <w:rFonts w:ascii="David" w:hAnsi="David"/>
          <w:rtl/>
        </w:rPr>
      </w:pPr>
      <w:r>
        <w:rPr>
          <w:rFonts w:ascii="David" w:hAnsi="David"/>
          <w:rtl/>
        </w:rPr>
        <w:t>23.</w:t>
      </w:r>
      <w:r>
        <w:rPr>
          <w:rFonts w:ascii="David" w:hAnsi="David"/>
          <w:rtl/>
        </w:rPr>
        <w:tab/>
        <w:t xml:space="preserve">אציין תחילה, כי הדיון בשאלת בעלותה של העותרת בזכויות בנכס בשלמותו הינו מוגבל למחלוקת שהובאה בפניי, ואין בו כדי להוות הכרעה בעניין זה במישורים אחרים, ככל שקיימים או שיהיו קיימים. </w:t>
      </w:r>
    </w:p>
    <w:p w14:paraId="35F34CE1" w14:textId="77777777" w:rsidR="00F470C3" w:rsidRDefault="00000000" w:rsidP="00F470C3">
      <w:pPr>
        <w:spacing w:after="240" w:line="360" w:lineRule="auto"/>
        <w:ind w:left="720"/>
        <w:jc w:val="both"/>
        <w:rPr>
          <w:rFonts w:ascii="David" w:hAnsi="David"/>
        </w:rPr>
      </w:pPr>
      <w:r>
        <w:rPr>
          <w:rFonts w:ascii="David" w:hAnsi="David"/>
          <w:rtl/>
        </w:rPr>
        <w:t>הטענה לפיה העותרת אינה בעלת מלוא הזכויות בנכס הועלתה לראשונה בפני ערכאה שיפוטית על ידי המשיבה ולא על ידי צד שלישי כלשהו. מכאן גם שאין כל בסיס לטענת המשיבה לפיה הנפקת האישור בהתאם לבקשת העותרת עלולה להביא לפגיעה בזכויות קנייניות של צדדי ג'. משעה שאלה אינם צד להליך המשפטי דנן, ברור הוא כי ככל שקיימות ל</w:t>
      </w:r>
      <w:r>
        <w:rPr>
          <w:rFonts w:ascii="David" w:hAnsi="David" w:hint="cs"/>
          <w:rtl/>
        </w:rPr>
        <w:t>מאן דהוא</w:t>
      </w:r>
      <w:r>
        <w:rPr>
          <w:rFonts w:ascii="David" w:hAnsi="David"/>
          <w:rtl/>
        </w:rPr>
        <w:t xml:space="preserve"> טענות באשר לזכויות בנכס, אין ה</w:t>
      </w:r>
      <w:r>
        <w:rPr>
          <w:rFonts w:ascii="David" w:hAnsi="David" w:hint="cs"/>
          <w:rtl/>
        </w:rPr>
        <w:t>וא</w:t>
      </w:r>
      <w:r>
        <w:rPr>
          <w:rFonts w:ascii="David" w:hAnsi="David"/>
          <w:rtl/>
        </w:rPr>
        <w:t xml:space="preserve"> מושתק מלהעלותן בהליך המתאים. </w:t>
      </w:r>
    </w:p>
    <w:p w14:paraId="51D929D5" w14:textId="77777777" w:rsidR="00F470C3" w:rsidRDefault="00000000" w:rsidP="00F470C3">
      <w:pPr>
        <w:spacing w:after="240" w:line="360" w:lineRule="auto"/>
        <w:ind w:left="720" w:hanging="720"/>
        <w:jc w:val="both"/>
        <w:rPr>
          <w:rFonts w:ascii="David" w:hAnsi="David"/>
          <w:rtl/>
        </w:rPr>
      </w:pPr>
      <w:r>
        <w:rPr>
          <w:rFonts w:ascii="David" w:hAnsi="David"/>
          <w:rtl/>
        </w:rPr>
        <w:t xml:space="preserve">24. </w:t>
      </w:r>
      <w:r>
        <w:rPr>
          <w:rFonts w:ascii="David" w:hAnsi="David"/>
          <w:rtl/>
        </w:rPr>
        <w:tab/>
        <w:t xml:space="preserve">יתר על כן, דומה כי עמדתה של העירייה אינה עולה בקנה אחד עם תכליתן של הוראות הדין שעניינן הנפקת אישורים לצורך הרישום בלשכת רישום המקרקעין. </w:t>
      </w:r>
      <w:hyperlink r:id="rId28" w:history="1">
        <w:r w:rsidR="003F496E" w:rsidRPr="003F496E">
          <w:rPr>
            <w:rFonts w:ascii="David" w:hAnsi="David"/>
            <w:color w:val="0000FF"/>
            <w:u w:val="single"/>
            <w:rtl/>
          </w:rPr>
          <w:t>פקודת העיריות</w:t>
        </w:r>
      </w:hyperlink>
      <w:r>
        <w:rPr>
          <w:rFonts w:ascii="David" w:hAnsi="David"/>
          <w:rtl/>
        </w:rPr>
        <w:t xml:space="preserve"> מגדירה בסעיף 1 "בעל" כמי שאינו דווקא הבעלים הרשום בלשכת רישום מקרקעין</w:t>
      </w:r>
      <w:r>
        <w:rPr>
          <w:rFonts w:ascii="David" w:hAnsi="David" w:hint="cs"/>
          <w:rtl/>
        </w:rPr>
        <w:t>.</w:t>
      </w:r>
      <w:r>
        <w:rPr>
          <w:rFonts w:ascii="David" w:hAnsi="David"/>
          <w:rtl/>
        </w:rPr>
        <w:t xml:space="preserve"> אולם, תכליתו של </w:t>
      </w:r>
      <w:hyperlink r:id="rId29" w:history="1">
        <w:r w:rsidR="00C80505" w:rsidRPr="00C80505">
          <w:rPr>
            <w:rStyle w:val="Hyperlink"/>
            <w:rFonts w:ascii="David" w:hAnsi="David"/>
            <w:rtl/>
          </w:rPr>
          <w:t>סעיף 324</w:t>
        </w:r>
      </w:hyperlink>
      <w:r>
        <w:rPr>
          <w:rFonts w:ascii="David" w:hAnsi="David"/>
          <w:rtl/>
        </w:rPr>
        <w:t xml:space="preserve"> ל</w:t>
      </w:r>
      <w:hyperlink r:id="rId30" w:history="1">
        <w:r w:rsidR="003F496E" w:rsidRPr="003F496E">
          <w:rPr>
            <w:rFonts w:ascii="David" w:hAnsi="David"/>
            <w:color w:val="0000FF"/>
            <w:u w:val="single"/>
            <w:rtl/>
          </w:rPr>
          <w:t>פקודת העיריות</w:t>
        </w:r>
      </w:hyperlink>
      <w:r>
        <w:rPr>
          <w:rFonts w:ascii="David" w:hAnsi="David"/>
          <w:rtl/>
        </w:rPr>
        <w:t xml:space="preserve">, האוסר על רשם מקרקעין לרשום העברת זכויות בפנקסי מקרקעין בלא שהוצג אישור העדר חובות, היא לשמש לרשות המקומית כאמצעי גביה יעיל. לעניין זה ראו </w:t>
      </w:r>
      <w:hyperlink r:id="rId31" w:history="1">
        <w:r w:rsidR="00AB4478" w:rsidRPr="00AB4478">
          <w:rPr>
            <w:rStyle w:val="Hyperlink"/>
            <w:rFonts w:ascii="David" w:hAnsi="David"/>
            <w:rtl/>
          </w:rPr>
          <w:t>עת"מ (מינהליים י-ם) 8599/08</w:t>
        </w:r>
      </w:hyperlink>
      <w:r w:rsidR="003F496E" w:rsidRPr="00AB4478">
        <w:rPr>
          <w:rFonts w:ascii="David" w:hAnsi="David"/>
          <w:rtl/>
        </w:rPr>
        <w:t xml:space="preserve"> </w:t>
      </w:r>
      <w:r w:rsidRPr="00AB4478">
        <w:rPr>
          <w:rFonts w:ascii="David" w:hAnsi="David"/>
          <w:b/>
          <w:bCs/>
          <w:rtl/>
        </w:rPr>
        <w:t xml:space="preserve">יעד שיאן נדל"ן נ' עיריית ירושלים, </w:t>
      </w:r>
      <w:r w:rsidRPr="00AB4478">
        <w:rPr>
          <w:rFonts w:ascii="David" w:hAnsi="David"/>
          <w:rtl/>
        </w:rPr>
        <w:t xml:space="preserve">פסקה 5 </w:t>
      </w:r>
      <w:r w:rsidR="00AB4478">
        <w:rPr>
          <w:rFonts w:ascii="David" w:hAnsi="David"/>
          <w:rtl/>
        </w:rPr>
        <w:t>[נבו]</w:t>
      </w:r>
      <w:r w:rsidR="00AB4478">
        <w:rPr>
          <w:rFonts w:ascii="David" w:hAnsi="David" w:hint="cs"/>
          <w:rtl/>
        </w:rPr>
        <w:t xml:space="preserve"> </w:t>
      </w:r>
      <w:r w:rsidRPr="00AB4478">
        <w:rPr>
          <w:rFonts w:ascii="David" w:hAnsi="David"/>
          <w:rtl/>
        </w:rPr>
        <w:t>(21.2.2013)‏</w:t>
      </w:r>
      <w:r w:rsidRPr="000D3440">
        <w:rPr>
          <w:rFonts w:ascii="David" w:hAnsi="David"/>
          <w:rtl/>
        </w:rPr>
        <w:t>‏ ו</w:t>
      </w:r>
      <w:r>
        <w:rPr>
          <w:rFonts w:ascii="David" w:hAnsi="David"/>
          <w:color w:val="000000"/>
          <w:rtl/>
        </w:rPr>
        <w:t xml:space="preserve">המקורות שאוזכרו שם: </w:t>
      </w:r>
    </w:p>
    <w:p w14:paraId="13269EE8" w14:textId="77777777" w:rsidR="00F470C3" w:rsidRDefault="00000000" w:rsidP="00F470C3">
      <w:pPr>
        <w:pStyle w:val="1"/>
        <w:spacing w:after="240" w:line="240" w:lineRule="auto"/>
        <w:ind w:left="1418"/>
        <w:jc w:val="both"/>
        <w:rPr>
          <w:rFonts w:ascii="David" w:hAnsi="David" w:cs="David"/>
          <w:b/>
          <w:bCs/>
          <w:sz w:val="24"/>
          <w:szCs w:val="24"/>
          <w:u w:val="single"/>
        </w:rPr>
      </w:pPr>
      <w:r>
        <w:rPr>
          <w:rFonts w:ascii="David" w:hAnsi="David" w:cs="David"/>
          <w:b/>
          <w:bCs/>
          <w:color w:val="000000"/>
          <w:sz w:val="24"/>
          <w:szCs w:val="24"/>
          <w:rtl/>
        </w:rPr>
        <w:t>"האיסור המוטל על רשם המקרקעין בסעיף 324 לפקודה לרשום העברת זכויות בפנקסי המקרקעין בלא שהוצגה בפניו תעודת העדר חובות, נמנה על אותן הוראות בחקיקה שמטרתן לתת "בידי הרשויות אמצעי גבייה אדמיניסטרטיביים אשר נועדו לייעל את הליך הגבייה" (</w:t>
      </w:r>
      <w:hyperlink r:id="rId32" w:history="1">
        <w:r w:rsidR="003F496E" w:rsidRPr="003F496E">
          <w:rPr>
            <w:rFonts w:ascii="David" w:hAnsi="David" w:cs="David"/>
            <w:b/>
            <w:bCs/>
            <w:color w:val="0000FF"/>
            <w:sz w:val="24"/>
            <w:szCs w:val="24"/>
            <w:u w:val="single"/>
            <w:rtl/>
          </w:rPr>
          <w:t>רע"א 2911/95</w:t>
        </w:r>
      </w:hyperlink>
      <w:r>
        <w:rPr>
          <w:rFonts w:ascii="David" w:hAnsi="David" w:cs="David"/>
          <w:b/>
          <w:bCs/>
          <w:color w:val="000000"/>
          <w:sz w:val="24"/>
          <w:szCs w:val="24"/>
          <w:rtl/>
        </w:rPr>
        <w:t xml:space="preserve"> אברהם נ' עיריית רמת-גן, פ"ד </w:t>
      </w:r>
      <w:r>
        <w:rPr>
          <w:rFonts w:ascii="David" w:hAnsi="David" w:cs="David"/>
          <w:b/>
          <w:bCs/>
          <w:color w:val="000000"/>
          <w:sz w:val="24"/>
          <w:szCs w:val="24"/>
          <w:rtl/>
        </w:rPr>
        <w:lastRenderedPageBreak/>
        <w:t>נג(1) 218, 226-225), ולשמש "הליכים ממין מיוחד של הוצאה לפועל" (</w:t>
      </w:r>
      <w:hyperlink r:id="rId33" w:history="1">
        <w:r w:rsidR="003F496E" w:rsidRPr="003F496E">
          <w:rPr>
            <w:rFonts w:ascii="David" w:hAnsi="David" w:cs="David"/>
            <w:b/>
            <w:bCs/>
            <w:color w:val="0000FF"/>
            <w:sz w:val="24"/>
            <w:szCs w:val="24"/>
            <w:u w:val="single"/>
            <w:rtl/>
          </w:rPr>
          <w:t>ע"א 633/91</w:t>
        </w:r>
      </w:hyperlink>
      <w:r>
        <w:rPr>
          <w:rFonts w:ascii="David" w:hAnsi="David" w:cs="David"/>
          <w:b/>
          <w:bCs/>
          <w:color w:val="000000"/>
          <w:sz w:val="24"/>
          <w:szCs w:val="24"/>
          <w:rtl/>
        </w:rPr>
        <w:t xml:space="preserve"> מנהל מס רכוש ומנהל מס שבח מקרקעין תל-אביב נ' שמש, פ"ד מח(1) 841, 850; ראו עוד: </w:t>
      </w:r>
      <w:hyperlink r:id="rId34" w:history="1">
        <w:r w:rsidR="003F496E" w:rsidRPr="003F496E">
          <w:rPr>
            <w:rFonts w:ascii="David" w:hAnsi="David" w:cs="David"/>
            <w:b/>
            <w:bCs/>
            <w:color w:val="0000FF"/>
            <w:sz w:val="24"/>
            <w:szCs w:val="24"/>
            <w:u w:val="single"/>
            <w:rtl/>
          </w:rPr>
          <w:t>בג"ץ 243/60</w:t>
        </w:r>
      </w:hyperlink>
      <w:r>
        <w:rPr>
          <w:rFonts w:ascii="David" w:hAnsi="David" w:cs="David"/>
          <w:b/>
          <w:bCs/>
          <w:color w:val="000000"/>
          <w:sz w:val="24"/>
          <w:szCs w:val="24"/>
          <w:rtl/>
        </w:rPr>
        <w:t xml:space="preserve"> אולדק נ' עיריית רמת-גן, פ"ד יד 2265, 2267; </w:t>
      </w:r>
      <w:hyperlink r:id="rId35" w:history="1">
        <w:r w:rsidR="003F496E" w:rsidRPr="003F496E">
          <w:rPr>
            <w:rFonts w:ascii="David" w:hAnsi="David" w:cs="David"/>
            <w:b/>
            <w:bCs/>
            <w:color w:val="0000FF"/>
            <w:sz w:val="24"/>
            <w:szCs w:val="24"/>
            <w:u w:val="single"/>
            <w:rtl/>
          </w:rPr>
          <w:t>רע"א 7037/00</w:t>
        </w:r>
      </w:hyperlink>
      <w:r>
        <w:rPr>
          <w:rFonts w:ascii="David" w:hAnsi="David" w:cs="David"/>
          <w:b/>
          <w:bCs/>
          <w:color w:val="000000"/>
          <w:sz w:val="24"/>
          <w:szCs w:val="24"/>
          <w:rtl/>
        </w:rPr>
        <w:t xml:space="preserve"> עיריית ראשון-לציון נ' וינבוים, פ"ד נו(4) 856, 863; </w:t>
      </w:r>
      <w:hyperlink r:id="rId36" w:history="1">
        <w:r w:rsidR="003F496E" w:rsidRPr="003F496E">
          <w:rPr>
            <w:rFonts w:ascii="David" w:hAnsi="David" w:cs="David"/>
            <w:b/>
            <w:bCs/>
            <w:color w:val="0000FF"/>
            <w:sz w:val="24"/>
            <w:szCs w:val="24"/>
            <w:u w:val="single"/>
            <w:rtl/>
          </w:rPr>
          <w:t>רע"א 3437/01</w:t>
        </w:r>
      </w:hyperlink>
      <w:r>
        <w:rPr>
          <w:rFonts w:ascii="David" w:hAnsi="David" w:cs="David"/>
          <w:b/>
          <w:bCs/>
          <w:color w:val="000000"/>
          <w:sz w:val="24"/>
          <w:szCs w:val="24"/>
          <w:rtl/>
        </w:rPr>
        <w:t xml:space="preserve"> עירית ראשון לציון נ' גרינהויז-לנדוי, [פורסם בנבו] מיום 11.7.02)</w:t>
      </w:r>
      <w:r>
        <w:rPr>
          <w:rFonts w:ascii="David" w:hAnsi="David" w:cs="David"/>
          <w:b/>
          <w:bCs/>
          <w:color w:val="000000"/>
          <w:sz w:val="24"/>
          <w:szCs w:val="24"/>
        </w:rPr>
        <w:t>."</w:t>
      </w:r>
    </w:p>
    <w:p w14:paraId="4BAAEB8B" w14:textId="77777777" w:rsidR="00F470C3" w:rsidRDefault="00000000" w:rsidP="00F470C3">
      <w:pPr>
        <w:spacing w:after="240" w:line="360" w:lineRule="auto"/>
        <w:ind w:left="720" w:hanging="720"/>
        <w:jc w:val="both"/>
        <w:rPr>
          <w:rFonts w:ascii="David" w:hAnsi="David"/>
          <w:rtl/>
        </w:rPr>
      </w:pPr>
      <w:r>
        <w:rPr>
          <w:rFonts w:ascii="David" w:hAnsi="David"/>
          <w:rtl/>
        </w:rPr>
        <w:t>32.</w:t>
      </w:r>
      <w:r>
        <w:rPr>
          <w:rFonts w:ascii="David" w:hAnsi="David"/>
          <w:rtl/>
        </w:rPr>
        <w:tab/>
        <w:t xml:space="preserve">נוכח תכליתו של </w:t>
      </w:r>
      <w:hyperlink r:id="rId37" w:history="1">
        <w:r w:rsidR="00C80505" w:rsidRPr="00C80505">
          <w:rPr>
            <w:rStyle w:val="Hyperlink"/>
            <w:rFonts w:ascii="David" w:hAnsi="David"/>
            <w:rtl/>
          </w:rPr>
          <w:t>סעיף 324</w:t>
        </w:r>
      </w:hyperlink>
      <w:r>
        <w:rPr>
          <w:rFonts w:ascii="David" w:hAnsi="David"/>
          <w:rtl/>
        </w:rPr>
        <w:t xml:space="preserve"> ל</w:t>
      </w:r>
      <w:hyperlink r:id="rId38" w:history="1">
        <w:r w:rsidR="003F496E" w:rsidRPr="003F496E">
          <w:rPr>
            <w:rFonts w:ascii="David" w:hAnsi="David"/>
            <w:color w:val="0000FF"/>
            <w:u w:val="single"/>
            <w:rtl/>
          </w:rPr>
          <w:t>פקודת העיריות</w:t>
        </w:r>
      </w:hyperlink>
      <w:r>
        <w:rPr>
          <w:rFonts w:ascii="David" w:hAnsi="David"/>
          <w:rtl/>
        </w:rPr>
        <w:t xml:space="preserve"> ומאחר והעירייה כלל לא טענה לחוב כלשהו בו חייבת העותרת - אזי לטעמי אין היא רשאית שלא ליתן בידי העותרת אישור כדין, ואין בידה סמכות להוציא אישור עם החרגה. לעירייה אין סמכות להורות על הקנייה או על רישום זכויות במקרקעין. תפקידה אינו להסדיר או להחליט בעניין רישום בעלויות בנכסים</w:t>
      </w:r>
      <w:r>
        <w:rPr>
          <w:rFonts w:ascii="David" w:hAnsi="David" w:hint="cs"/>
          <w:rtl/>
        </w:rPr>
        <w:t>.</w:t>
      </w:r>
    </w:p>
    <w:p w14:paraId="771B1559" w14:textId="77777777" w:rsidR="00F470C3" w:rsidRDefault="00000000" w:rsidP="00F470C3">
      <w:pPr>
        <w:spacing w:after="240" w:line="360" w:lineRule="auto"/>
        <w:ind w:left="720" w:hanging="720"/>
        <w:jc w:val="both"/>
        <w:rPr>
          <w:rFonts w:ascii="David" w:hAnsi="David"/>
          <w:rtl/>
        </w:rPr>
      </w:pPr>
      <w:r>
        <w:rPr>
          <w:rFonts w:ascii="David" w:hAnsi="David"/>
          <w:rtl/>
        </w:rPr>
        <w:t>24.</w:t>
      </w:r>
      <w:r>
        <w:rPr>
          <w:rFonts w:ascii="David" w:hAnsi="David"/>
          <w:rtl/>
        </w:rPr>
        <w:tab/>
        <w:t>למעלה מן הצורך אוסיף</w:t>
      </w:r>
      <w:r>
        <w:rPr>
          <w:rFonts w:ascii="David" w:hAnsi="David" w:hint="cs"/>
          <w:rtl/>
        </w:rPr>
        <w:t>,</w:t>
      </w:r>
      <w:r>
        <w:rPr>
          <w:rFonts w:ascii="David" w:hAnsi="David"/>
          <w:rtl/>
        </w:rPr>
        <w:t xml:space="preserve"> כי מהחומר הנמצא בפניי עולה כי אף לגופם של דברים אין בסיס לטענת המשיבה </w:t>
      </w:r>
      <w:r>
        <w:rPr>
          <w:rFonts w:ascii="David" w:hAnsi="David" w:hint="cs"/>
          <w:rtl/>
        </w:rPr>
        <w:t xml:space="preserve">כנגד </w:t>
      </w:r>
      <w:r>
        <w:rPr>
          <w:rFonts w:ascii="David" w:hAnsi="David"/>
          <w:rtl/>
        </w:rPr>
        <w:t xml:space="preserve">בעלותה המלאה של העותרת בנכס. העותרת רכשה את זכויות החכירה בנכס מרשות מקרקעי ישראל בתחילת שנת 1994 ואישור לפי </w:t>
      </w:r>
      <w:hyperlink r:id="rId39" w:history="1">
        <w:r w:rsidR="00C80505" w:rsidRPr="00C80505">
          <w:rPr>
            <w:rStyle w:val="Hyperlink"/>
            <w:rFonts w:ascii="David" w:hAnsi="David"/>
            <w:rtl/>
          </w:rPr>
          <w:t>סעיף 324</w:t>
        </w:r>
      </w:hyperlink>
      <w:r>
        <w:rPr>
          <w:rFonts w:ascii="David" w:hAnsi="David"/>
          <w:rtl/>
        </w:rPr>
        <w:t xml:space="preserve"> ל</w:t>
      </w:r>
      <w:hyperlink r:id="rId40" w:history="1">
        <w:r w:rsidR="003F496E" w:rsidRPr="003F496E">
          <w:rPr>
            <w:rFonts w:ascii="David" w:hAnsi="David"/>
            <w:color w:val="0000FF"/>
            <w:u w:val="single"/>
            <w:rtl/>
          </w:rPr>
          <w:t>פקודת העיריות</w:t>
        </w:r>
      </w:hyperlink>
      <w:r>
        <w:rPr>
          <w:rFonts w:ascii="David" w:hAnsi="David"/>
          <w:rtl/>
        </w:rPr>
        <w:t xml:space="preserve"> לצורך העברת הזכויות לידי העותרת אף ניתן על ידי העירייה ביום 16.11.1994 (ראו </w:t>
      </w:r>
      <w:r>
        <w:rPr>
          <w:rFonts w:ascii="David" w:hAnsi="David"/>
          <w:b/>
          <w:bCs/>
          <w:u w:val="single"/>
          <w:rtl/>
        </w:rPr>
        <w:t>נספח 1</w:t>
      </w:r>
      <w:r>
        <w:rPr>
          <w:rFonts w:ascii="David" w:hAnsi="David"/>
          <w:rtl/>
        </w:rPr>
        <w:t xml:space="preserve"> להודעה על סריקת מסמכים מטעם העותרת וכן </w:t>
      </w:r>
      <w:r>
        <w:rPr>
          <w:rFonts w:ascii="David" w:hAnsi="David"/>
          <w:b/>
          <w:bCs/>
          <w:u w:val="single"/>
          <w:rtl/>
        </w:rPr>
        <w:t>נספח 3</w:t>
      </w:r>
      <w:r>
        <w:rPr>
          <w:rFonts w:ascii="David" w:hAnsi="David"/>
          <w:rtl/>
        </w:rPr>
        <w:t xml:space="preserve"> לעתירה). </w:t>
      </w:r>
    </w:p>
    <w:p w14:paraId="650F0013" w14:textId="77777777" w:rsidR="00F470C3" w:rsidRDefault="00000000" w:rsidP="00F470C3">
      <w:pPr>
        <w:spacing w:after="240" w:line="360" w:lineRule="auto"/>
        <w:ind w:left="720"/>
        <w:jc w:val="both"/>
        <w:rPr>
          <w:rFonts w:ascii="David" w:hAnsi="David"/>
          <w:rtl/>
        </w:rPr>
      </w:pPr>
      <w:r>
        <w:rPr>
          <w:rFonts w:ascii="David" w:hAnsi="David"/>
          <w:rtl/>
        </w:rPr>
        <w:t>עובדת בעלותה של העותרת בזכויות בנכס ידועה אפוא למשיבה מזה שנים רבות ובהסתמך עליה ניתנו אישורי</w:t>
      </w:r>
      <w:r>
        <w:rPr>
          <w:rFonts w:ascii="David" w:hAnsi="David" w:hint="cs"/>
          <w:rtl/>
        </w:rPr>
        <w:t xml:space="preserve">ם על </w:t>
      </w:r>
      <w:r>
        <w:rPr>
          <w:rFonts w:ascii="David" w:hAnsi="David"/>
          <w:rtl/>
        </w:rPr>
        <w:t>היעדר חובות בעבר על ידי המשיבה לעותרת (</w:t>
      </w:r>
      <w:r>
        <w:rPr>
          <w:rFonts w:ascii="David" w:hAnsi="David"/>
          <w:b/>
          <w:bCs/>
          <w:u w:val="single"/>
          <w:rtl/>
        </w:rPr>
        <w:t>נספח 6</w:t>
      </w:r>
      <w:r>
        <w:rPr>
          <w:rFonts w:ascii="David" w:hAnsi="David"/>
          <w:rtl/>
        </w:rPr>
        <w:t xml:space="preserve"> לעתירה).   </w:t>
      </w:r>
    </w:p>
    <w:p w14:paraId="0B82C5C7" w14:textId="77777777" w:rsidR="00F470C3" w:rsidRDefault="00000000" w:rsidP="00F470C3">
      <w:pPr>
        <w:spacing w:after="240" w:line="360" w:lineRule="auto"/>
        <w:ind w:left="720" w:hanging="720"/>
        <w:jc w:val="both"/>
        <w:rPr>
          <w:rFonts w:ascii="David" w:hAnsi="David"/>
          <w:rtl/>
        </w:rPr>
      </w:pPr>
      <w:r>
        <w:rPr>
          <w:rFonts w:ascii="David" w:hAnsi="David"/>
          <w:rtl/>
        </w:rPr>
        <w:t>25.</w:t>
      </w:r>
      <w:r>
        <w:rPr>
          <w:rFonts w:ascii="David" w:hAnsi="David"/>
          <w:rtl/>
        </w:rPr>
        <w:tab/>
        <w:t xml:space="preserve">העירייה העלתה את הטענה בעניין קיומם של בעלי זכויות אחרים בשלוש החנויות שבנכס על בסיס רישומים פנימיים של העירייה – ראו </w:t>
      </w:r>
      <w:r>
        <w:rPr>
          <w:rFonts w:ascii="David" w:hAnsi="David"/>
          <w:b/>
          <w:bCs/>
          <w:u w:val="single"/>
          <w:rtl/>
        </w:rPr>
        <w:t xml:space="preserve">נספח 1 </w:t>
      </w:r>
      <w:r>
        <w:rPr>
          <w:rFonts w:ascii="David" w:hAnsi="David"/>
          <w:rtl/>
        </w:rPr>
        <w:t xml:space="preserve">לתגובת המשיבה לבקשה להורות על צו ביניים. המשיבה צירפה לתגובתה מסמכים אשר לפיהם עולה, לטענתה, כי רשומים בעלים אחרים בחנויות והעותרת לא מופיעה כבעלים שם (ראו </w:t>
      </w:r>
      <w:r>
        <w:rPr>
          <w:rFonts w:ascii="David" w:hAnsi="David"/>
          <w:b/>
          <w:bCs/>
          <w:u w:val="single"/>
          <w:rtl/>
        </w:rPr>
        <w:t>נספחים 2-4</w:t>
      </w:r>
      <w:r>
        <w:rPr>
          <w:rFonts w:ascii="David" w:hAnsi="David"/>
          <w:rtl/>
        </w:rPr>
        <w:t xml:space="preserve"> לתגובת המשיבה). אי לכך סברה העירייה</w:t>
      </w:r>
      <w:r>
        <w:rPr>
          <w:rFonts w:ascii="David" w:hAnsi="David" w:hint="cs"/>
          <w:rtl/>
        </w:rPr>
        <w:t>,</w:t>
      </w:r>
      <w:r>
        <w:rPr>
          <w:rFonts w:ascii="David" w:hAnsi="David"/>
          <w:rtl/>
        </w:rPr>
        <w:t xml:space="preserve"> בהתייעצות עם מנהל הגבייה, כי מאחר והנפקת האישור נשוא מחלוקת עלול להביא לפגיעה בצדדים שלישיים – </w:t>
      </w:r>
      <w:r>
        <w:rPr>
          <w:rFonts w:ascii="David" w:hAnsi="David" w:hint="cs"/>
          <w:rtl/>
        </w:rPr>
        <w:t>אותם אלו ש</w:t>
      </w:r>
      <w:r>
        <w:rPr>
          <w:rFonts w:ascii="David" w:hAnsi="David"/>
          <w:rtl/>
        </w:rPr>
        <w:t>לגישתה הם בעלי הזכויות הרשומים בספרי העירייה בשלוש החנויות – אזי אין להנפיק את האישור בלא החרגת שלוש החנויות. כאמור, איני סבורה כי עצם הנפקת האישור פוגע בצדדים שלישיים שאינם צד להליך.</w:t>
      </w:r>
      <w:r>
        <w:rPr>
          <w:rFonts w:ascii="David" w:hAnsi="David" w:hint="cs"/>
          <w:rtl/>
        </w:rPr>
        <w:t xml:space="preserve"> ממילא ככל שישנם בעלי זכויות אחרים או נוספים בנכס, הרי הדבר יעלה במסגרת הליך הרישום מול רשם המקרקעין.</w:t>
      </w:r>
    </w:p>
    <w:p w14:paraId="32EA13D9" w14:textId="77777777" w:rsidR="00F470C3" w:rsidRDefault="00000000" w:rsidP="00F470C3">
      <w:pPr>
        <w:spacing w:after="240" w:line="360" w:lineRule="auto"/>
        <w:ind w:left="720" w:hanging="720"/>
        <w:jc w:val="both"/>
        <w:rPr>
          <w:rFonts w:ascii="David" w:hAnsi="David"/>
          <w:rtl/>
        </w:rPr>
      </w:pPr>
      <w:r>
        <w:rPr>
          <w:rFonts w:ascii="David" w:hAnsi="David"/>
          <w:rtl/>
        </w:rPr>
        <w:t>26.</w:t>
      </w:r>
      <w:r>
        <w:rPr>
          <w:rFonts w:ascii="David" w:hAnsi="David"/>
          <w:rtl/>
        </w:rPr>
        <w:tab/>
        <w:t xml:space="preserve">יתר על כן, אל מול רישומיה הפנימיים של העירייה, העותרת הציגה שורה של אסמכתאות ומסמכים שיש בהם להעיד וללמד כי מלוא הזכויות בנכס שייכות לה: העותרת צירפה העתק רישום מלשכת רישום מקרקעין לפיו הבעלות </w:t>
      </w:r>
      <w:r>
        <w:rPr>
          <w:rFonts w:ascii="David" w:hAnsi="David"/>
          <w:b/>
          <w:bCs/>
          <w:rtl/>
        </w:rPr>
        <w:t>בשלמות</w:t>
      </w:r>
      <w:r>
        <w:rPr>
          <w:rFonts w:ascii="David" w:hAnsi="David"/>
          <w:rtl/>
        </w:rPr>
        <w:t xml:space="preserve"> הנכס היא לרשות הפיתוח (ראה נספח 1 לעתירה)</w:t>
      </w:r>
      <w:r>
        <w:rPr>
          <w:rFonts w:ascii="David" w:hAnsi="David" w:hint="cs"/>
          <w:rtl/>
        </w:rPr>
        <w:t>.</w:t>
      </w:r>
      <w:r>
        <w:rPr>
          <w:rFonts w:ascii="David" w:hAnsi="David"/>
          <w:rtl/>
        </w:rPr>
        <w:t xml:space="preserve"> יחד עם רישום זה צורף גם שטר שכירות חתום משנת 2013</w:t>
      </w:r>
      <w:r>
        <w:rPr>
          <w:rFonts w:ascii="David" w:hAnsi="David" w:hint="cs"/>
          <w:rtl/>
        </w:rPr>
        <w:t xml:space="preserve">, </w:t>
      </w:r>
      <w:r>
        <w:rPr>
          <w:rFonts w:ascii="David" w:hAnsi="David"/>
          <w:rtl/>
        </w:rPr>
        <w:t>לפיו נערך בינה לבין רשות הפיתוח</w:t>
      </w:r>
      <w:r>
        <w:rPr>
          <w:rFonts w:ascii="David" w:hAnsi="David" w:hint="cs"/>
          <w:rtl/>
        </w:rPr>
        <w:t>,</w:t>
      </w:r>
      <w:r>
        <w:rPr>
          <w:rFonts w:ascii="David" w:hAnsi="David"/>
          <w:rtl/>
        </w:rPr>
        <w:t xml:space="preserve"> המיוצגת על ידי מינהל מקרקעי ישראל</w:t>
      </w:r>
      <w:r>
        <w:rPr>
          <w:rFonts w:ascii="David" w:hAnsi="David" w:hint="cs"/>
          <w:rtl/>
        </w:rPr>
        <w:t>,</w:t>
      </w:r>
      <w:r>
        <w:rPr>
          <w:rFonts w:ascii="David" w:hAnsi="David"/>
          <w:rtl/>
        </w:rPr>
        <w:t xml:space="preserve"> הסכם לפיו היא החוכרת של גוש 10411 חלקה 47, כאשר בפירוט החלק בנכס נרשם </w:t>
      </w:r>
      <w:r>
        <w:rPr>
          <w:rFonts w:ascii="David" w:hAnsi="David"/>
          <w:b/>
          <w:bCs/>
          <w:i/>
          <w:iCs/>
          <w:rtl/>
        </w:rPr>
        <w:t>"שלם"</w:t>
      </w:r>
      <w:r>
        <w:rPr>
          <w:rFonts w:ascii="David" w:hAnsi="David"/>
          <w:rtl/>
        </w:rPr>
        <w:t xml:space="preserve"> (ראה נספח שטר שכירות שצורף למכתב ההתראה מטעם העותרת מיום 20.11.2023, </w:t>
      </w:r>
      <w:r>
        <w:rPr>
          <w:rFonts w:ascii="David" w:hAnsi="David"/>
          <w:b/>
          <w:bCs/>
          <w:u w:val="single"/>
          <w:rtl/>
        </w:rPr>
        <w:t>נספח 8</w:t>
      </w:r>
      <w:r>
        <w:rPr>
          <w:rFonts w:ascii="David" w:hAnsi="David"/>
          <w:rtl/>
        </w:rPr>
        <w:t xml:space="preserve"> לעתירה)</w:t>
      </w:r>
      <w:r>
        <w:rPr>
          <w:rFonts w:ascii="David" w:hAnsi="David"/>
        </w:rPr>
        <w:t>;</w:t>
      </w:r>
      <w:r>
        <w:rPr>
          <w:rFonts w:ascii="David" w:hAnsi="David"/>
          <w:rtl/>
        </w:rPr>
        <w:t xml:space="preserve"> אישור על רישום זכות בנכס משנת 2001 לפיו הזכויות בנכס רשומות על שם העותרת (</w:t>
      </w:r>
      <w:r>
        <w:rPr>
          <w:rFonts w:ascii="David" w:hAnsi="David"/>
          <w:b/>
          <w:bCs/>
          <w:u w:val="single"/>
          <w:rtl/>
        </w:rPr>
        <w:t>נספח 2</w:t>
      </w:r>
      <w:r>
        <w:rPr>
          <w:rFonts w:ascii="David" w:hAnsi="David"/>
          <w:rtl/>
        </w:rPr>
        <w:t xml:space="preserve"> לעתירה)</w:t>
      </w:r>
      <w:r>
        <w:rPr>
          <w:rFonts w:ascii="David" w:hAnsi="David" w:hint="cs"/>
          <w:rtl/>
        </w:rPr>
        <w:t>;</w:t>
      </w:r>
      <w:r>
        <w:rPr>
          <w:rFonts w:ascii="David" w:hAnsi="David"/>
          <w:rtl/>
        </w:rPr>
        <w:t xml:space="preserve">ואישור על רישום זכות בנכס מטעם רשות מקרקעי ישראל מיוני 2024 (צורף להודעה על הגשת אישור זכויות שהגישה העותרת ביום 6.3.2024), לפיו הזכויות בנכס רשומות על שם העותרת כאשר חלקיות הזכויות היא </w:t>
      </w:r>
      <w:r>
        <w:rPr>
          <w:rFonts w:ascii="David" w:hAnsi="David"/>
          <w:b/>
          <w:bCs/>
          <w:i/>
          <w:iCs/>
          <w:rtl/>
        </w:rPr>
        <w:t>"1/1"</w:t>
      </w:r>
      <w:r>
        <w:rPr>
          <w:rFonts w:ascii="David" w:hAnsi="David"/>
        </w:rPr>
        <w:t>;</w:t>
      </w:r>
      <w:r>
        <w:rPr>
          <w:rFonts w:ascii="David" w:hAnsi="David"/>
          <w:rtl/>
        </w:rPr>
        <w:t xml:space="preserve"> </w:t>
      </w:r>
      <w:r>
        <w:rPr>
          <w:rFonts w:ascii="David" w:hAnsi="David" w:hint="cs"/>
          <w:rtl/>
        </w:rPr>
        <w:t xml:space="preserve">חוזה חכירה שנערך בינה לבין </w:t>
      </w:r>
      <w:r>
        <w:rPr>
          <w:rFonts w:ascii="David" w:hAnsi="David" w:hint="cs"/>
          <w:rtl/>
        </w:rPr>
        <w:lastRenderedPageBreak/>
        <w:t>מינהל מקרקעי ישראל משנת 2013 לפיו לעותרת כבעלי זכויות בנכס הסכם חכירה תקף עד 6.1.2029 (</w:t>
      </w:r>
      <w:r>
        <w:rPr>
          <w:rFonts w:ascii="David" w:hAnsi="David" w:hint="cs"/>
          <w:b/>
          <w:bCs/>
          <w:u w:val="single"/>
          <w:rtl/>
        </w:rPr>
        <w:t>נספח 4</w:t>
      </w:r>
      <w:r>
        <w:rPr>
          <w:rFonts w:ascii="David" w:hAnsi="David" w:hint="cs"/>
          <w:rtl/>
        </w:rPr>
        <w:t xml:space="preserve"> לעתירה), המתייחס למגרש בשלמות: </w:t>
      </w:r>
    </w:p>
    <w:p w14:paraId="59083A48" w14:textId="76BB7548" w:rsidR="00F470C3" w:rsidRDefault="007A357F" w:rsidP="00F470C3">
      <w:pPr>
        <w:pStyle w:val="1"/>
        <w:spacing w:after="240" w:line="360" w:lineRule="auto"/>
        <w:ind w:left="360"/>
        <w:jc w:val="both"/>
        <w:rPr>
          <w:rFonts w:ascii="David" w:hAnsi="David" w:cs="David"/>
          <w:b/>
          <w:bCs/>
          <w:sz w:val="24"/>
          <w:szCs w:val="24"/>
          <w:u w:val="single"/>
          <w:rtl/>
        </w:rPr>
      </w:pPr>
      <w:r>
        <w:rPr>
          <w:rFonts w:ascii="David" w:hAnsi="David" w:cs="David"/>
          <w:b/>
          <w:bCs/>
          <w:noProof/>
          <w:sz w:val="24"/>
          <w:szCs w:val="24"/>
        </w:rPr>
        <w:drawing>
          <wp:inline distT="0" distB="0" distL="0" distR="0" wp14:anchorId="573403F7" wp14:editId="5E0B68AC">
            <wp:extent cx="5105400" cy="714375"/>
            <wp:effectExtent l="0" t="0" r="0" b="0"/>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1">
                      <a:extLst>
                        <a:ext uri="{28A0092B-C50C-407E-A947-70E740481C1C}">
                          <a14:useLocalDpi xmlns:a14="http://schemas.microsoft.com/office/drawing/2010/main" val="0"/>
                        </a:ext>
                      </a:extLst>
                    </a:blip>
                    <a:srcRect b="13792"/>
                    <a:stretch>
                      <a:fillRect/>
                    </a:stretch>
                  </pic:blipFill>
                  <pic:spPr bwMode="auto">
                    <a:xfrm>
                      <a:off x="0" y="0"/>
                      <a:ext cx="5105400" cy="714375"/>
                    </a:xfrm>
                    <a:prstGeom prst="rect">
                      <a:avLst/>
                    </a:prstGeom>
                    <a:noFill/>
                    <a:ln>
                      <a:noFill/>
                    </a:ln>
                  </pic:spPr>
                </pic:pic>
              </a:graphicData>
            </a:graphic>
          </wp:inline>
        </w:drawing>
      </w:r>
    </w:p>
    <w:p w14:paraId="2BB0BCD1" w14:textId="77777777" w:rsidR="00F470C3" w:rsidRDefault="00F470C3" w:rsidP="00F470C3">
      <w:pPr>
        <w:pStyle w:val="1"/>
        <w:spacing w:after="240" w:line="360" w:lineRule="auto"/>
        <w:ind w:left="360"/>
        <w:jc w:val="both"/>
        <w:rPr>
          <w:rFonts w:ascii="David" w:hAnsi="David" w:cs="David"/>
          <w:b/>
          <w:bCs/>
          <w:sz w:val="24"/>
          <w:szCs w:val="24"/>
          <w:u w:val="single"/>
          <w:rtl/>
        </w:rPr>
      </w:pPr>
    </w:p>
    <w:p w14:paraId="36485D8A" w14:textId="77777777" w:rsidR="00F470C3" w:rsidRDefault="00000000" w:rsidP="00F470C3">
      <w:pPr>
        <w:pStyle w:val="1"/>
        <w:spacing w:after="240" w:line="360" w:lineRule="auto"/>
        <w:jc w:val="both"/>
        <w:rPr>
          <w:rFonts w:ascii="David" w:hAnsi="David" w:cs="David"/>
          <w:sz w:val="24"/>
          <w:szCs w:val="24"/>
          <w:rtl/>
        </w:rPr>
      </w:pPr>
      <w:r>
        <w:rPr>
          <w:rFonts w:ascii="David" w:hAnsi="David" w:cs="David"/>
          <w:sz w:val="24"/>
          <w:szCs w:val="24"/>
          <w:rtl/>
        </w:rPr>
        <w:t>עוד צירפה העותרת את תשובת רשות מקרקעי ישראל מיום 17.11.2017</w:t>
      </w:r>
      <w:r>
        <w:rPr>
          <w:rFonts w:ascii="David" w:hAnsi="David" w:cs="David" w:hint="cs"/>
          <w:sz w:val="24"/>
          <w:szCs w:val="24"/>
          <w:rtl/>
        </w:rPr>
        <w:t xml:space="preserve">, </w:t>
      </w:r>
      <w:r>
        <w:rPr>
          <w:rFonts w:ascii="David" w:hAnsi="David" w:cs="David"/>
          <w:sz w:val="24"/>
          <w:szCs w:val="24"/>
          <w:rtl/>
        </w:rPr>
        <w:t xml:space="preserve">לפיה אחד הגורמים אשר לטענת העירייה רשום ברישומי המשיבה כבעלים של אחת החנויות – גב' נטלה שביט אינה רשומה כבעלת הזכויות בנכס (ראו </w:t>
      </w:r>
      <w:r>
        <w:rPr>
          <w:rFonts w:ascii="David" w:hAnsi="David" w:cs="David"/>
          <w:b/>
          <w:bCs/>
          <w:sz w:val="24"/>
          <w:szCs w:val="24"/>
          <w:u w:val="single"/>
          <w:rtl/>
        </w:rPr>
        <w:t>נספח 3</w:t>
      </w:r>
      <w:r>
        <w:rPr>
          <w:rFonts w:ascii="David" w:hAnsi="David" w:cs="David"/>
          <w:sz w:val="24"/>
          <w:szCs w:val="24"/>
          <w:rtl/>
        </w:rPr>
        <w:t xml:space="preserve"> להודעה על סריקת מסמכים לתיק בית המשפט מיום 14.4.2024). </w:t>
      </w:r>
    </w:p>
    <w:p w14:paraId="11395924" w14:textId="77777777" w:rsidR="00F470C3" w:rsidRDefault="00000000" w:rsidP="00F470C3">
      <w:pPr>
        <w:spacing w:after="240" w:line="360" w:lineRule="auto"/>
        <w:ind w:left="720" w:hanging="720"/>
        <w:jc w:val="both"/>
        <w:rPr>
          <w:rFonts w:ascii="David" w:hAnsi="David"/>
          <w:rtl/>
        </w:rPr>
      </w:pPr>
      <w:r>
        <w:rPr>
          <w:rFonts w:ascii="David" w:hAnsi="David"/>
          <w:rtl/>
        </w:rPr>
        <w:t>27.</w:t>
      </w:r>
      <w:r>
        <w:rPr>
          <w:rFonts w:ascii="David" w:hAnsi="David"/>
          <w:rtl/>
        </w:rPr>
        <w:tab/>
        <w:t xml:space="preserve">העותרת הוסיפה וטענה כי סירובה של העירייה לתת את האישור נשוא מחלוקת זו עומד בסתירה לאישורים קודמים שהעותרת קיבלה בגין אותו נכס (ראו אישורים קודמים משנת 2015 ו- 2020 אשר צורפו כחלק </w:t>
      </w:r>
      <w:r>
        <w:rPr>
          <w:rFonts w:ascii="David" w:hAnsi="David"/>
          <w:b/>
          <w:bCs/>
          <w:u w:val="single"/>
          <w:rtl/>
        </w:rPr>
        <w:t>מנספח 6</w:t>
      </w:r>
      <w:r>
        <w:rPr>
          <w:rFonts w:ascii="David" w:hAnsi="David"/>
          <w:rtl/>
        </w:rPr>
        <w:t xml:space="preserve"> לעתירה), עיון בהם מעלה כי הם מתייחסים לנכס מספר 90480000 (מספר רישום פנימי בעירייה). העירייה לא העלתה במקרים קודמים כל טענה בעניין בעלותה של העותרת במלוא הזכויות בנכס. </w:t>
      </w:r>
    </w:p>
    <w:p w14:paraId="601D8408" w14:textId="77777777" w:rsidR="00F470C3" w:rsidRDefault="00000000" w:rsidP="00F470C3">
      <w:pPr>
        <w:spacing w:after="240" w:line="360" w:lineRule="auto"/>
        <w:ind w:left="720"/>
        <w:jc w:val="both"/>
        <w:rPr>
          <w:rFonts w:ascii="David" w:hAnsi="David"/>
          <w:rtl/>
        </w:rPr>
      </w:pPr>
      <w:r>
        <w:rPr>
          <w:rFonts w:ascii="David" w:hAnsi="David"/>
          <w:rtl/>
        </w:rPr>
        <w:t xml:space="preserve">המשיבה מצידה טוענת כי אין סתירה בין האישור נשוא המחלוקת לבין אישורים קודמים וזאת מאחר והאישור אינו מתייחס לאותו מספר נכס ביחס אליו ניתנו אישורים קודמים, אלא שהוא מתייחס לנכס מספר: 9097000 (ראו אישור שצורף כחלק </w:t>
      </w:r>
      <w:r>
        <w:rPr>
          <w:rFonts w:ascii="David" w:hAnsi="David"/>
          <w:b/>
          <w:bCs/>
          <w:u w:val="single"/>
          <w:rtl/>
        </w:rPr>
        <w:t>מנספח 6</w:t>
      </w:r>
      <w:r>
        <w:rPr>
          <w:rFonts w:ascii="David" w:hAnsi="David"/>
          <w:rtl/>
        </w:rPr>
        <w:t xml:space="preserve"> לעתירה).</w:t>
      </w:r>
    </w:p>
    <w:p w14:paraId="675F0B75" w14:textId="77777777" w:rsidR="00F470C3" w:rsidRDefault="00000000" w:rsidP="00F470C3">
      <w:pPr>
        <w:spacing w:after="240" w:line="360" w:lineRule="auto"/>
        <w:ind w:left="720" w:hanging="720"/>
        <w:jc w:val="both"/>
        <w:rPr>
          <w:rFonts w:ascii="David" w:hAnsi="David"/>
          <w:rtl/>
        </w:rPr>
      </w:pPr>
      <w:r>
        <w:rPr>
          <w:rFonts w:ascii="David" w:hAnsi="David"/>
          <w:rtl/>
        </w:rPr>
        <w:t>28.</w:t>
      </w:r>
      <w:r>
        <w:rPr>
          <w:rFonts w:ascii="David" w:hAnsi="David"/>
          <w:rtl/>
        </w:rPr>
        <w:tab/>
        <w:t xml:space="preserve">אולם, מהמסמכים והטבלה המפרטת את השטחים שצירפה המשיבה בעצמה (ראה </w:t>
      </w:r>
      <w:r>
        <w:rPr>
          <w:rFonts w:ascii="David" w:hAnsi="David"/>
          <w:b/>
          <w:bCs/>
          <w:u w:val="single"/>
          <w:rtl/>
        </w:rPr>
        <w:t>נספח 1</w:t>
      </w:r>
      <w:r>
        <w:rPr>
          <w:rFonts w:ascii="David" w:hAnsi="David"/>
          <w:rtl/>
        </w:rPr>
        <w:t xml:space="preserve"> לתגובת המשיבה לבקשה לצו הביניים), עולה כי מספר הנכס שרשום על גבי האישור נשוא המחלוקת (אישור משנת 2022) מתייחס לשטח בן 20 מ"ר, כך שלא ברור הכיצד המשיבה רושמת הערה לפיה מחריגה שלוש חנויות משטח כזה, ואף אם נלך לגישתה ורישומיה של המשיבה עצמה הרי אותן שלוש חנויות שבמחלוקת שייכות למספרי נכסים אחרים ושונים.</w:t>
      </w:r>
    </w:p>
    <w:p w14:paraId="44477E91" w14:textId="77777777" w:rsidR="00F470C3" w:rsidRDefault="00000000" w:rsidP="00F470C3">
      <w:pPr>
        <w:spacing w:after="240" w:line="360" w:lineRule="auto"/>
        <w:ind w:left="720" w:hanging="720"/>
        <w:jc w:val="both"/>
        <w:rPr>
          <w:rFonts w:ascii="David" w:hAnsi="David"/>
          <w:rtl/>
        </w:rPr>
      </w:pPr>
      <w:r>
        <w:rPr>
          <w:rFonts w:ascii="David" w:hAnsi="David"/>
          <w:rtl/>
        </w:rPr>
        <w:t>29.</w:t>
      </w:r>
      <w:r>
        <w:rPr>
          <w:rFonts w:ascii="David" w:hAnsi="David"/>
          <w:rtl/>
        </w:rPr>
        <w:tab/>
        <w:t xml:space="preserve">העותרת אינה מכחישה את העובדה כי החנויות מוחזקות על ידי גורמים אחרים, אך טוענת כי היא בעלת הזכויות, וכי "ההחזקה" של אותם גורמים אחרים נעשתה תחת איומים ושלא בהסכמתה, וכי היא אף פנתה למשטרה בעניין זה בטענה להסגת גבול (ראו </w:t>
      </w:r>
      <w:r>
        <w:rPr>
          <w:rFonts w:ascii="David" w:hAnsi="David"/>
          <w:b/>
          <w:bCs/>
          <w:u w:val="single"/>
          <w:rtl/>
        </w:rPr>
        <w:t>נספח 7</w:t>
      </w:r>
      <w:r>
        <w:rPr>
          <w:rFonts w:ascii="David" w:hAnsi="David"/>
          <w:rtl/>
        </w:rPr>
        <w:t xml:space="preserve"> להודעה על סריקת מסמכים). </w:t>
      </w:r>
    </w:p>
    <w:p w14:paraId="05CF4C35" w14:textId="77777777" w:rsidR="00F470C3" w:rsidRDefault="00000000" w:rsidP="00F470C3">
      <w:pPr>
        <w:spacing w:after="240" w:line="360" w:lineRule="auto"/>
        <w:ind w:left="720" w:hanging="720"/>
        <w:jc w:val="both"/>
        <w:rPr>
          <w:rFonts w:ascii="David" w:hAnsi="David"/>
          <w:rtl/>
        </w:rPr>
      </w:pPr>
      <w:r>
        <w:rPr>
          <w:rFonts w:ascii="David" w:hAnsi="David"/>
          <w:rtl/>
        </w:rPr>
        <w:t>30.</w:t>
      </w:r>
      <w:r>
        <w:rPr>
          <w:rFonts w:ascii="David" w:hAnsi="David"/>
          <w:rtl/>
        </w:rPr>
        <w:tab/>
        <w:t>מנגד,  העירייה לא הציגה כי בבסיס החלטתה וסירובה להעניק את האישור ללא החרגות עומדים שיקולים נכונים וסבירים. גם אם ברישומיה הפנימיים רשומים בעלי זכויות נוספים או אחרים -  אין בכך כדי לקבוע כי מדובר בגורמים שבידם זכויות בעלות בנכס.</w:t>
      </w:r>
    </w:p>
    <w:p w14:paraId="7CAB4453" w14:textId="77777777" w:rsidR="00F470C3" w:rsidRDefault="00000000" w:rsidP="00F470C3">
      <w:pPr>
        <w:spacing w:after="240" w:line="360" w:lineRule="auto"/>
        <w:ind w:left="720" w:hanging="720"/>
        <w:jc w:val="both"/>
        <w:rPr>
          <w:rFonts w:ascii="David" w:hAnsi="David"/>
          <w:rtl/>
        </w:rPr>
      </w:pPr>
      <w:r>
        <w:rPr>
          <w:rFonts w:ascii="David" w:hAnsi="David"/>
          <w:rtl/>
        </w:rPr>
        <w:t>31.</w:t>
      </w:r>
      <w:r>
        <w:rPr>
          <w:rFonts w:ascii="David" w:hAnsi="David"/>
          <w:rtl/>
        </w:rPr>
        <w:tab/>
        <w:t>‏</w:t>
      </w:r>
      <w:r>
        <w:rPr>
          <w:rFonts w:ascii="David" w:hAnsi="David"/>
          <w:color w:val="000000"/>
          <w:rtl/>
        </w:rPr>
        <w:t xml:space="preserve"> </w:t>
      </w:r>
      <w:r>
        <w:rPr>
          <w:rFonts w:ascii="David" w:hAnsi="David" w:hint="cs"/>
          <w:rtl/>
        </w:rPr>
        <w:t xml:space="preserve">זאת ועוד, </w:t>
      </w:r>
      <w:r>
        <w:rPr>
          <w:rFonts w:ascii="David" w:hAnsi="David"/>
          <w:rtl/>
        </w:rPr>
        <w:t xml:space="preserve">במקרה הנדון אף הונחה בפניי תעודת עובד ציבור מטעם מרכזת בכירה שירות לחוקר – רשות מקרקעי ישראל – מרחב חיפה, בה מוצהר כי לא נחתם חוזה חכירה בקשר עם המקרקעין הידועים כגוש 10144 חלקה 47 </w:t>
      </w:r>
      <w:r>
        <w:rPr>
          <w:rFonts w:ascii="David" w:hAnsi="David"/>
          <w:b/>
          <w:bCs/>
          <w:i/>
          <w:iCs/>
          <w:rtl/>
        </w:rPr>
        <w:t>במלואה</w:t>
      </w:r>
      <w:r>
        <w:rPr>
          <w:rFonts w:ascii="David" w:hAnsi="David"/>
          <w:rtl/>
        </w:rPr>
        <w:t xml:space="preserve">, עם גורם אחר מלבד העותרת, ובהתאם הזכויות במלואן הן בבעלות העותרת. </w:t>
      </w:r>
    </w:p>
    <w:p w14:paraId="51691166" w14:textId="77777777" w:rsidR="00F470C3" w:rsidRDefault="00000000" w:rsidP="00F470C3">
      <w:pPr>
        <w:spacing w:after="240" w:line="360" w:lineRule="auto"/>
        <w:ind w:left="720"/>
        <w:jc w:val="both"/>
        <w:rPr>
          <w:rFonts w:ascii="David" w:hAnsi="David"/>
          <w:rtl/>
        </w:rPr>
      </w:pPr>
      <w:r>
        <w:rPr>
          <w:rFonts w:ascii="David" w:hAnsi="David"/>
          <w:rtl/>
        </w:rPr>
        <w:lastRenderedPageBreak/>
        <w:t xml:space="preserve">המשיבה לא התייחסה כלל לאמור בתעודת עובד הציבור הנ"ל ולא הציגה כל מסמך או אסמכתא שיש בהם כדי לסתור את האמור בה. </w:t>
      </w:r>
    </w:p>
    <w:p w14:paraId="46CD499A" w14:textId="77777777" w:rsidR="00F470C3" w:rsidRDefault="00000000" w:rsidP="00F470C3">
      <w:pPr>
        <w:spacing w:after="240" w:line="360" w:lineRule="auto"/>
        <w:ind w:left="720" w:hanging="720"/>
        <w:jc w:val="both"/>
        <w:rPr>
          <w:rFonts w:ascii="David" w:hAnsi="David"/>
          <w:rtl/>
        </w:rPr>
      </w:pPr>
      <w:r>
        <w:rPr>
          <w:rFonts w:ascii="David" w:hAnsi="David"/>
          <w:rtl/>
        </w:rPr>
        <w:t>3</w:t>
      </w:r>
      <w:r>
        <w:rPr>
          <w:rFonts w:ascii="David" w:hAnsi="David" w:hint="cs"/>
          <w:rtl/>
        </w:rPr>
        <w:t>2</w:t>
      </w:r>
      <w:r>
        <w:rPr>
          <w:rFonts w:ascii="David" w:hAnsi="David"/>
          <w:rtl/>
        </w:rPr>
        <w:t>.</w:t>
      </w:r>
      <w:r>
        <w:rPr>
          <w:rFonts w:ascii="David" w:hAnsi="David"/>
          <w:rtl/>
        </w:rPr>
        <w:tab/>
        <w:t>סבורני כי בהסתמך על הראיות שהוצגו בפניי יש לקבל את הטענה כי העותרת היא הבעלים של מלוא הזכויות בנכס נשוא העתירה. בהינתן עובדה זו, הרי שיש לבחון האם העירייה הצביעה על חוב כלשהו שהעותרת חייבת לה, שכן בהיעדר קיומו של חוב כזה – אין העיריה, כאמור, רשאית למנוע מהעותרת את קבלת האישור ללא כל החרגה או הסתייגות.</w:t>
      </w:r>
    </w:p>
    <w:p w14:paraId="4C8D60BA" w14:textId="77777777" w:rsidR="00F470C3" w:rsidRDefault="00000000" w:rsidP="00F470C3">
      <w:pPr>
        <w:spacing w:after="240" w:line="360" w:lineRule="auto"/>
        <w:ind w:left="720"/>
        <w:jc w:val="both"/>
        <w:rPr>
          <w:rFonts w:ascii="David" w:hAnsi="David"/>
          <w:rtl/>
        </w:rPr>
      </w:pPr>
      <w:r>
        <w:rPr>
          <w:rFonts w:ascii="David" w:hAnsi="David"/>
          <w:color w:val="000000"/>
          <w:rtl/>
        </w:rPr>
        <w:t>אזכיר שוב כי תנאי להימנעותה של העירייה ממתן תעודה לרשם המקרקעין הינו חוב של</w:t>
      </w:r>
      <w:r w:rsidR="003F496E">
        <w:rPr>
          <w:rFonts w:ascii="David" w:hAnsi="David"/>
          <w:color w:val="000000"/>
          <w:rtl/>
        </w:rPr>
        <w:t xml:space="preserve"> </w:t>
      </w:r>
      <w:r>
        <w:rPr>
          <w:rStyle w:val="term1"/>
          <w:rFonts w:ascii="David" w:hAnsi="David"/>
          <w:color w:val="000000"/>
          <w:u w:val="single"/>
          <w:rtl/>
        </w:rPr>
        <w:t>בעל</w:t>
      </w:r>
      <w:r w:rsidR="003F496E">
        <w:rPr>
          <w:rFonts w:ascii="David" w:hAnsi="David"/>
          <w:color w:val="000000"/>
          <w:rtl/>
        </w:rPr>
        <w:t xml:space="preserve"> </w:t>
      </w:r>
      <w:r>
        <w:rPr>
          <w:rStyle w:val="term1"/>
          <w:rFonts w:ascii="David" w:hAnsi="David"/>
          <w:color w:val="000000"/>
          <w:rtl/>
        </w:rPr>
        <w:t>הנכס</w:t>
      </w:r>
      <w:r>
        <w:rPr>
          <w:rFonts w:ascii="David" w:hAnsi="David"/>
          <w:color w:val="000000"/>
          <w:shd w:val="clear" w:color="auto" w:fill="FFFFFF"/>
          <w:rtl/>
        </w:rPr>
        <w:t xml:space="preserve"> (השוו:</w:t>
      </w:r>
      <w:r w:rsidR="003F496E">
        <w:rPr>
          <w:rFonts w:ascii="David" w:hAnsi="David"/>
          <w:color w:val="000000"/>
          <w:shd w:val="clear" w:color="auto" w:fill="FFFFFF"/>
          <w:rtl/>
        </w:rPr>
        <w:t xml:space="preserve"> </w:t>
      </w:r>
      <w:hyperlink r:id="rId42" w:history="1">
        <w:r w:rsidR="003F496E" w:rsidRPr="003F496E">
          <w:rPr>
            <w:rFonts w:ascii="David" w:hAnsi="David"/>
            <w:color w:val="0000FF"/>
            <w:u w:val="single"/>
            <w:shd w:val="clear" w:color="auto" w:fill="FFFFFF"/>
            <w:rtl/>
          </w:rPr>
          <w:t>בג"צ 973/90</w:t>
        </w:r>
      </w:hyperlink>
      <w:r>
        <w:rPr>
          <w:rFonts w:ascii="David" w:hAnsi="David"/>
          <w:shd w:val="clear" w:color="auto" w:fill="FFFFFF"/>
          <w:rtl/>
        </w:rPr>
        <w:t xml:space="preserve"> </w:t>
      </w:r>
      <w:r>
        <w:rPr>
          <w:rFonts w:ascii="David" w:hAnsi="David"/>
          <w:b/>
          <w:bCs/>
          <w:shd w:val="clear" w:color="auto" w:fill="FFFFFF"/>
          <w:rtl/>
        </w:rPr>
        <w:t>פרופיל חן בע"מ נ' עירית יבנה</w:t>
      </w:r>
      <w:r>
        <w:rPr>
          <w:rFonts w:ascii="David" w:hAnsi="David"/>
          <w:shd w:val="clear" w:color="auto" w:fill="FFFFFF"/>
          <w:rtl/>
        </w:rPr>
        <w:t xml:space="preserve">, פ"ד מה(1) 16 (1990)). </w:t>
      </w:r>
    </w:p>
    <w:p w14:paraId="66C499DB" w14:textId="77777777" w:rsidR="00F470C3" w:rsidRDefault="00000000" w:rsidP="00F470C3">
      <w:pPr>
        <w:spacing w:after="240" w:line="360" w:lineRule="auto"/>
        <w:ind w:left="720" w:hanging="720"/>
        <w:jc w:val="both"/>
        <w:rPr>
          <w:rFonts w:ascii="David" w:hAnsi="David"/>
          <w:b/>
          <w:bCs/>
          <w:u w:val="single"/>
          <w:rtl/>
        </w:rPr>
      </w:pPr>
      <w:r>
        <w:rPr>
          <w:rFonts w:ascii="David" w:hAnsi="David"/>
          <w:rtl/>
        </w:rPr>
        <w:t>3</w:t>
      </w:r>
      <w:r>
        <w:rPr>
          <w:rFonts w:ascii="David" w:hAnsi="David" w:hint="cs"/>
          <w:rtl/>
        </w:rPr>
        <w:t>3</w:t>
      </w:r>
      <w:r>
        <w:rPr>
          <w:rFonts w:ascii="David" w:hAnsi="David"/>
          <w:rtl/>
        </w:rPr>
        <w:t>.</w:t>
      </w:r>
      <w:r>
        <w:rPr>
          <w:rFonts w:ascii="David" w:hAnsi="David"/>
          <w:rtl/>
        </w:rPr>
        <w:tab/>
        <w:t xml:space="preserve">המשיבה לא טענה ובוודאי שלא הציגה כל ראייה בדבר קיומו של חוב של העותרת בגין הנכס מושא העתירה. לפיכך, סבורני כי המשיבה פעלה בחוסר סמכות עת סירבה לתת לעותרת את האישור שהתבקש על ידה בגין הנכס במלואו. </w:t>
      </w:r>
    </w:p>
    <w:p w14:paraId="1F4F620B" w14:textId="77777777" w:rsidR="00F470C3" w:rsidRDefault="00000000" w:rsidP="00F470C3">
      <w:pPr>
        <w:spacing w:after="240" w:line="360" w:lineRule="auto"/>
        <w:ind w:left="720" w:hanging="720"/>
        <w:jc w:val="both"/>
        <w:rPr>
          <w:rFonts w:ascii="David" w:hAnsi="David"/>
        </w:rPr>
      </w:pPr>
      <w:r>
        <w:rPr>
          <w:rFonts w:ascii="David" w:hAnsi="David"/>
          <w:color w:val="000000"/>
          <w:rtl/>
        </w:rPr>
        <w:t>3</w:t>
      </w:r>
      <w:r>
        <w:rPr>
          <w:rFonts w:ascii="David" w:hAnsi="David" w:hint="cs"/>
          <w:color w:val="000000"/>
          <w:rtl/>
        </w:rPr>
        <w:t>4</w:t>
      </w:r>
      <w:r>
        <w:rPr>
          <w:rFonts w:ascii="David" w:hAnsi="David"/>
          <w:color w:val="000000"/>
          <w:rtl/>
        </w:rPr>
        <w:t>.</w:t>
      </w:r>
      <w:r>
        <w:rPr>
          <w:rFonts w:ascii="David" w:hAnsi="David"/>
          <w:color w:val="000000"/>
          <w:rtl/>
        </w:rPr>
        <w:tab/>
        <w:t xml:space="preserve">סבורני גם כי אופן התנהלותה של המשיבה אל מול העותרת עוד טרם הגשת העתירה בכך שלא נתנה מענה ענייני לפניותיה השונות, כמו גם אופן התנהלותה לאורך ההליך דנן – בכך </w:t>
      </w:r>
      <w:r>
        <w:rPr>
          <w:rFonts w:ascii="David" w:hAnsi="David"/>
          <w:rtl/>
        </w:rPr>
        <w:t>שלא התייצבה לדיונים בלא הודעה, נמנעה מליישם את החלטות בית משפט בעניין מועדים להגשת תגובה הן לעתירה לגופה והן לבקשה לסעד הזמני, הימנעותה מצירוף מסמכים עליהם מבוססת החלטתה וצירופם רק לאחר שהתבקשה לעשות זאת מספר פעמים על ידי בית המשפט וזאת חרף חובתה לצרפם מלכתחילה,</w:t>
      </w:r>
      <w:r>
        <w:rPr>
          <w:rFonts w:ascii="David" w:hAnsi="David"/>
          <w:color w:val="000000"/>
          <w:rtl/>
        </w:rPr>
        <w:t xml:space="preserve"> לצד מחדלה מלהגיש תגובה עניינית לעתירה,  - היא התנהלות שאין להשלים עמה. </w:t>
      </w:r>
      <w:r>
        <w:rPr>
          <w:rFonts w:ascii="David" w:hAnsi="David"/>
          <w:rtl/>
        </w:rPr>
        <w:t xml:space="preserve"> </w:t>
      </w:r>
    </w:p>
    <w:p w14:paraId="437100A9" w14:textId="77777777" w:rsidR="00F470C3" w:rsidRDefault="00000000" w:rsidP="00F470C3">
      <w:pPr>
        <w:spacing w:after="240" w:line="360" w:lineRule="auto"/>
        <w:jc w:val="both"/>
        <w:rPr>
          <w:rFonts w:ascii="David" w:hAnsi="David"/>
          <w:b/>
          <w:bCs/>
          <w:u w:val="single"/>
          <w:rtl/>
        </w:rPr>
      </w:pPr>
      <w:r>
        <w:rPr>
          <w:rFonts w:ascii="David" w:hAnsi="David"/>
          <w:b/>
          <w:bCs/>
          <w:u w:val="single"/>
          <w:rtl/>
        </w:rPr>
        <w:t xml:space="preserve">סוף דבר </w:t>
      </w:r>
    </w:p>
    <w:p w14:paraId="613323DE" w14:textId="77777777" w:rsidR="00F470C3" w:rsidRDefault="00000000" w:rsidP="00F470C3">
      <w:pPr>
        <w:spacing w:after="240" w:line="360" w:lineRule="auto"/>
        <w:ind w:left="720" w:hanging="720"/>
        <w:jc w:val="both"/>
        <w:rPr>
          <w:rFonts w:ascii="David" w:hAnsi="David"/>
          <w:color w:val="000000"/>
          <w:shd w:val="clear" w:color="auto" w:fill="FFFFFF"/>
          <w:rtl/>
        </w:rPr>
      </w:pPr>
      <w:r>
        <w:rPr>
          <w:rFonts w:ascii="David" w:hAnsi="David"/>
          <w:rtl/>
        </w:rPr>
        <w:t>3</w:t>
      </w:r>
      <w:r>
        <w:rPr>
          <w:rFonts w:ascii="David" w:hAnsi="David" w:hint="cs"/>
          <w:rtl/>
        </w:rPr>
        <w:t>5</w:t>
      </w:r>
      <w:r>
        <w:rPr>
          <w:rFonts w:ascii="David" w:hAnsi="David"/>
          <w:rtl/>
        </w:rPr>
        <w:t>.</w:t>
      </w:r>
      <w:r>
        <w:rPr>
          <w:rFonts w:ascii="David" w:hAnsi="David"/>
          <w:rtl/>
        </w:rPr>
        <w:tab/>
      </w:r>
      <w:r>
        <w:rPr>
          <w:rFonts w:ascii="David" w:hAnsi="David"/>
          <w:b/>
          <w:bCs/>
          <w:rtl/>
        </w:rPr>
        <w:t>דין העתירה להתקבל</w:t>
      </w:r>
      <w:r>
        <w:rPr>
          <w:rFonts w:ascii="David" w:hAnsi="David"/>
          <w:rtl/>
        </w:rPr>
        <w:t xml:space="preserve">. אני מורה למשיבה להמציא לעותרת תוך 7 ימים מיום מסירת פסק דין זה אישור מלא ובלתי מותנה כנדרש על פי </w:t>
      </w:r>
      <w:hyperlink r:id="rId43" w:history="1">
        <w:r w:rsidR="00C80505" w:rsidRPr="00C80505">
          <w:rPr>
            <w:rStyle w:val="Hyperlink"/>
            <w:rFonts w:ascii="David" w:hAnsi="David"/>
            <w:shd w:val="clear" w:color="auto" w:fill="FFFFFF"/>
            <w:rtl/>
          </w:rPr>
          <w:t>סעיף 324(א)</w:t>
        </w:r>
      </w:hyperlink>
      <w:r w:rsidR="003F496E">
        <w:rPr>
          <w:rFonts w:ascii="David" w:hAnsi="David"/>
          <w:shd w:val="clear" w:color="auto" w:fill="FFFFFF"/>
        </w:rPr>
        <w:t xml:space="preserve"> </w:t>
      </w:r>
      <w:r w:rsidRPr="00C22B38">
        <w:rPr>
          <w:rFonts w:ascii="David" w:hAnsi="David"/>
          <w:shd w:val="clear" w:color="auto" w:fill="FFFFFF"/>
          <w:rtl/>
        </w:rPr>
        <w:t>ל</w:t>
      </w:r>
      <w:hyperlink r:id="rId44" w:history="1">
        <w:r w:rsidR="003F496E" w:rsidRPr="003F496E">
          <w:rPr>
            <w:rFonts w:ascii="David" w:hAnsi="David"/>
            <w:color w:val="0000FF"/>
            <w:u w:val="single"/>
            <w:shd w:val="clear" w:color="auto" w:fill="FFFFFF"/>
            <w:rtl/>
          </w:rPr>
          <w:t>פקודת העיריות</w:t>
        </w:r>
      </w:hyperlink>
      <w:r>
        <w:rPr>
          <w:rFonts w:hint="cs"/>
          <w:rtl/>
        </w:rPr>
        <w:t>,</w:t>
      </w:r>
      <w:r>
        <w:rPr>
          <w:rFonts w:ascii="David" w:hAnsi="David"/>
          <w:color w:val="000000"/>
          <w:shd w:val="clear" w:color="auto" w:fill="FFFFFF"/>
        </w:rPr>
        <w:t xml:space="preserve"> </w:t>
      </w:r>
      <w:r>
        <w:rPr>
          <w:rFonts w:ascii="David" w:hAnsi="David"/>
          <w:color w:val="000000"/>
          <w:shd w:val="clear" w:color="auto" w:fill="FFFFFF"/>
          <w:rtl/>
        </w:rPr>
        <w:t xml:space="preserve">לשם העברת הנכס הידוע </w:t>
      </w:r>
      <w:r>
        <w:rPr>
          <w:rFonts w:ascii="David" w:hAnsi="David"/>
          <w:color w:val="000000"/>
          <w:rtl/>
        </w:rPr>
        <w:t>כגוש 10144 חלקה 47</w:t>
      </w:r>
      <w:r>
        <w:rPr>
          <w:rFonts w:ascii="David" w:hAnsi="David"/>
          <w:color w:val="000000"/>
          <w:shd w:val="clear" w:color="auto" w:fill="FFFFFF"/>
          <w:rtl/>
        </w:rPr>
        <w:t xml:space="preserve"> </w:t>
      </w:r>
      <w:r w:rsidRPr="00C22B38">
        <w:rPr>
          <w:rFonts w:ascii="David" w:hAnsi="David"/>
          <w:b/>
          <w:bCs/>
          <w:color w:val="000000"/>
          <w:shd w:val="clear" w:color="auto" w:fill="FFFFFF"/>
          <w:rtl/>
        </w:rPr>
        <w:t>במלואו</w:t>
      </w:r>
      <w:r>
        <w:rPr>
          <w:rFonts w:ascii="David" w:hAnsi="David"/>
          <w:color w:val="000000"/>
          <w:shd w:val="clear" w:color="auto" w:fill="FFFFFF"/>
          <w:rtl/>
        </w:rPr>
        <w:t xml:space="preserve"> - ללא כל החרגות - על שמה של העותרת, באראקא השקעות ישראל בע"מ</w:t>
      </w:r>
      <w:r>
        <w:rPr>
          <w:rFonts w:ascii="David" w:hAnsi="David"/>
          <w:color w:val="000000"/>
          <w:shd w:val="clear" w:color="auto" w:fill="FFFFFF"/>
        </w:rPr>
        <w:t>.</w:t>
      </w:r>
    </w:p>
    <w:p w14:paraId="01F3D8A3" w14:textId="77777777" w:rsidR="00F470C3" w:rsidRDefault="00000000" w:rsidP="00F470C3">
      <w:pPr>
        <w:spacing w:after="240" w:line="360" w:lineRule="auto"/>
        <w:ind w:left="720"/>
        <w:jc w:val="both"/>
        <w:rPr>
          <w:rFonts w:ascii="David" w:hAnsi="David"/>
          <w:rtl/>
        </w:rPr>
      </w:pPr>
      <w:r>
        <w:rPr>
          <w:rFonts w:ascii="David" w:hAnsi="David"/>
          <w:color w:val="000000"/>
          <w:shd w:val="clear" w:color="auto" w:fill="FFFFFF"/>
          <w:rtl/>
        </w:rPr>
        <w:t>בשים לב להתנהלות המשיבה כפי שפורטה לעיל, תישא המשיבה בהוצאות העותרת ובשכר טרחת עורך דינה בסך כולל של 30,000 ₪, אשר ישולם בתוך 30 יום מהיום, שאם לא כן יישא בהפרשי ריבית והצמדה כדין מהיום ועד התשלום המלא בפועל</w:t>
      </w:r>
      <w:r>
        <w:rPr>
          <w:rFonts w:ascii="David" w:hAnsi="David"/>
          <w:color w:val="000000"/>
          <w:shd w:val="clear" w:color="auto" w:fill="FFFFFF"/>
        </w:rPr>
        <w:t>.</w:t>
      </w:r>
      <w:r>
        <w:rPr>
          <w:rFonts w:ascii="David" w:hAnsi="David" w:hint="cs"/>
          <w:rtl/>
        </w:rPr>
        <w:t xml:space="preserve"> הוצאות ושכ"ט אלו הן בנוסף להוצאות שנפסקו לטובת העותרת בהחלטות קודמות.</w:t>
      </w:r>
    </w:p>
    <w:p w14:paraId="02CAA8A8" w14:textId="77777777" w:rsidR="00F470C3" w:rsidRDefault="003F496E" w:rsidP="00F470C3">
      <w:pPr>
        <w:pStyle w:val="1"/>
        <w:spacing w:after="240" w:line="360" w:lineRule="auto"/>
        <w:ind w:left="360"/>
        <w:jc w:val="both"/>
        <w:rPr>
          <w:rFonts w:ascii="David" w:hAnsi="David" w:cs="David"/>
          <w:b/>
          <w:bCs/>
          <w:sz w:val="24"/>
          <w:szCs w:val="24"/>
          <w:u w:val="single"/>
          <w:rtl/>
        </w:rPr>
      </w:pPr>
      <w:r w:rsidRPr="003F496E">
        <w:rPr>
          <w:rFonts w:ascii="David" w:hAnsi="David" w:cs="David"/>
          <w:b/>
          <w:bCs/>
          <w:color w:val="FFFFFF"/>
          <w:sz w:val="2"/>
          <w:szCs w:val="2"/>
          <w:u w:val="single"/>
          <w:rtl/>
        </w:rPr>
        <w:t>5129371</w:t>
      </w:r>
      <w:r w:rsidR="00000000">
        <w:rPr>
          <w:rFonts w:ascii="David" w:hAnsi="David" w:cs="David"/>
          <w:b/>
          <w:bCs/>
          <w:sz w:val="24"/>
          <w:szCs w:val="24"/>
          <w:u w:val="single"/>
          <w:rtl/>
        </w:rPr>
        <w:t xml:space="preserve">המזכירות תשלח את פסק הדין לבאי כוח הצדדים. </w:t>
      </w:r>
    </w:p>
    <w:p w14:paraId="33B4D46E" w14:textId="77777777" w:rsidR="00F470C3" w:rsidRDefault="003F496E" w:rsidP="00F470C3">
      <w:pPr>
        <w:spacing w:line="360" w:lineRule="auto"/>
        <w:jc w:val="both"/>
        <w:rPr>
          <w:rFonts w:ascii="Arial" w:hAnsi="Arial"/>
          <w:noProof w:val="0"/>
          <w:rtl/>
        </w:rPr>
      </w:pPr>
      <w:bookmarkStart w:id="5" w:name="Nitan"/>
      <w:r w:rsidRPr="003F496E">
        <w:rPr>
          <w:rFonts w:ascii="Arial" w:hAnsi="Arial"/>
          <w:noProof w:val="0"/>
          <w:color w:val="FFFFFF"/>
          <w:sz w:val="2"/>
          <w:szCs w:val="2"/>
          <w:rtl/>
        </w:rPr>
        <w:t>54678313</w:t>
      </w:r>
      <w:r>
        <w:rPr>
          <w:rFonts w:ascii="Arial" w:hAnsi="Arial"/>
          <w:noProof w:val="0"/>
          <w:rtl/>
        </w:rPr>
        <w:t xml:space="preserve">ניתן היום,  ט"ו חשוון תשפ"ה, 16 נובמבר 2024, בהעדר הצדדים. </w:t>
      </w:r>
      <w:bookmarkEnd w:id="5"/>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r w:rsidR="00000000">
        <w:rPr>
          <w:rFonts w:ascii="Arial" w:hAnsi="Arial" w:hint="cs"/>
          <w:noProof w:val="0"/>
          <w:rtl/>
        </w:rPr>
        <w:tab/>
      </w:r>
    </w:p>
    <w:p w14:paraId="3B464E8F" w14:textId="77777777" w:rsidR="00F470C3" w:rsidRDefault="00F470C3" w:rsidP="00F470C3">
      <w:pPr>
        <w:spacing w:line="360" w:lineRule="auto"/>
        <w:ind w:left="3600" w:firstLine="720"/>
        <w:jc w:val="center"/>
      </w:pPr>
    </w:p>
    <w:p w14:paraId="1340848A" w14:textId="77777777" w:rsidR="00F470C3" w:rsidRDefault="00F470C3" w:rsidP="00F470C3">
      <w:pPr>
        <w:spacing w:line="360" w:lineRule="auto"/>
        <w:ind w:left="3600" w:firstLine="720"/>
        <w:jc w:val="center"/>
        <w:rPr>
          <w:rFonts w:ascii="Arial" w:hAnsi="Arial"/>
          <w:noProof w:val="0"/>
          <w:rtl/>
        </w:rPr>
      </w:pPr>
    </w:p>
    <w:p w14:paraId="2D296BA4" w14:textId="77777777" w:rsidR="00F470C3" w:rsidRDefault="00F470C3" w:rsidP="00F470C3">
      <w:pPr>
        <w:spacing w:line="360" w:lineRule="auto"/>
        <w:jc w:val="both"/>
        <w:rPr>
          <w:rFonts w:ascii="Arial" w:hAnsi="Arial"/>
          <w:noProof w:val="0"/>
          <w:rtl/>
        </w:rPr>
      </w:pPr>
    </w:p>
    <w:p w14:paraId="29132D53" w14:textId="77777777" w:rsidR="00F470C3" w:rsidRPr="00C80505" w:rsidRDefault="00C80505" w:rsidP="00F470C3">
      <w:pPr>
        <w:spacing w:line="360" w:lineRule="auto"/>
        <w:jc w:val="both"/>
        <w:rPr>
          <w:rFonts w:ascii="Arial" w:hAnsi="Arial"/>
          <w:noProof w:val="0"/>
          <w:color w:val="FFFFFF"/>
          <w:sz w:val="2"/>
          <w:szCs w:val="2"/>
          <w:rtl/>
        </w:rPr>
      </w:pPr>
      <w:r w:rsidRPr="00C80505">
        <w:rPr>
          <w:rFonts w:ascii="Arial" w:hAnsi="Arial"/>
          <w:noProof w:val="0"/>
          <w:color w:val="FFFFFF"/>
          <w:sz w:val="2"/>
          <w:szCs w:val="2"/>
          <w:rtl/>
        </w:rPr>
        <w:lastRenderedPageBreak/>
        <w:t>5129371</w:t>
      </w:r>
    </w:p>
    <w:p w14:paraId="4DBFEEAB" w14:textId="7789F008" w:rsidR="003F496E" w:rsidRPr="007A357F" w:rsidRDefault="00C80505" w:rsidP="007A357F">
      <w:pPr>
        <w:keepNext/>
        <w:rPr>
          <w:rFonts w:ascii="David" w:hAnsi="David"/>
          <w:color w:val="FFFFFF"/>
          <w:sz w:val="2"/>
          <w:szCs w:val="2"/>
        </w:rPr>
      </w:pPr>
      <w:r w:rsidRPr="00C80505">
        <w:rPr>
          <w:rFonts w:ascii="David" w:hAnsi="David"/>
          <w:color w:val="FFFFFF"/>
          <w:sz w:val="2"/>
          <w:szCs w:val="2"/>
          <w:rtl/>
        </w:rPr>
        <w:t>54678</w:t>
      </w:r>
    </w:p>
    <w:sectPr w:rsidR="003F496E" w:rsidRPr="007A357F" w:rsidSect="00C80505">
      <w:headerReference w:type="even" r:id="rId45"/>
      <w:headerReference w:type="default" r:id="rId46"/>
      <w:footerReference w:type="even" r:id="rId47"/>
      <w:footerReference w:type="default" r:id="rId48"/>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822E" w14:textId="77777777" w:rsidR="00FE7DA3" w:rsidRDefault="00FE7DA3">
      <w:r>
        <w:separator/>
      </w:r>
    </w:p>
  </w:endnote>
  <w:endnote w:type="continuationSeparator" w:id="0">
    <w:p w14:paraId="2ECAA01B" w14:textId="77777777" w:rsidR="00FE7DA3" w:rsidRDefault="00FE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1E73" w14:textId="77777777" w:rsidR="00C80505" w:rsidRDefault="00000000" w:rsidP="00C80505">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4036F7F2" w14:textId="7B90318F" w:rsidR="003F496E" w:rsidRPr="00C80505" w:rsidRDefault="007A357F" w:rsidP="00C80505">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2FBF332F" wp14:editId="42957AAE">
          <wp:extent cx="552450" cy="228600"/>
          <wp:effectExtent l="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7D4A" w14:textId="77777777" w:rsidR="00C80505" w:rsidRDefault="00000000" w:rsidP="00C80505">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97136C">
      <w:rPr>
        <w:rStyle w:val="a8"/>
        <w:rFonts w:ascii="FrankRuehl" w:hAnsi="FrankRuehl" w:cs="FrankRuehl"/>
        <w:rtl/>
      </w:rPr>
      <w:t>3</w:t>
    </w:r>
    <w:r>
      <w:rPr>
        <w:rStyle w:val="a8"/>
        <w:rFonts w:ascii="FrankRuehl" w:hAnsi="FrankRuehl" w:cs="FrankRuehl"/>
        <w:rtl/>
      </w:rPr>
      <w:fldChar w:fldCharType="end"/>
    </w:r>
  </w:p>
  <w:p w14:paraId="35723BC0" w14:textId="0A7F9FF8" w:rsidR="00F5663D" w:rsidRPr="00C80505" w:rsidRDefault="00F5663D" w:rsidP="00C80505">
    <w:pPr>
      <w:pStyle w:val="a5"/>
      <w:pBdr>
        <w:top w:val="single" w:sz="4" w:space="1" w:color="auto"/>
        <w:between w:val="single" w:sz="4" w:space="0" w:color="auto"/>
      </w:pBdr>
      <w:spacing w:after="60"/>
      <w:jc w:val="center"/>
      <w:rPr>
        <w:rStyle w:val="a8"/>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B6860" w14:textId="77777777" w:rsidR="00FE7DA3" w:rsidRDefault="00FE7DA3">
      <w:r>
        <w:separator/>
      </w:r>
    </w:p>
  </w:footnote>
  <w:footnote w:type="continuationSeparator" w:id="0">
    <w:p w14:paraId="5C16E0B5" w14:textId="77777777" w:rsidR="00FE7DA3" w:rsidRDefault="00FE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6551" w14:textId="77777777" w:rsidR="003F496E" w:rsidRPr="00C80505" w:rsidRDefault="00C80505" w:rsidP="00C8050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עתמ (חי') 3761-03-24</w:t>
    </w:r>
    <w:r>
      <w:rPr>
        <w:rFonts w:ascii="David" w:hAnsi="David"/>
        <w:color w:val="000000"/>
        <w:sz w:val="22"/>
        <w:szCs w:val="22"/>
        <w:rtl/>
      </w:rPr>
      <w:tab/>
      <w:t xml:space="preserve"> באראקא השקעות ישראל בע"מ נ' עיריית טירת כרמל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E570" w14:textId="77777777" w:rsidR="003F496E" w:rsidRPr="00C80505" w:rsidRDefault="00C80505" w:rsidP="00C8050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6" w:name="_Hlk183575850"/>
    <w:bookmarkStart w:id="7" w:name="_Hlk183575851"/>
    <w:r>
      <w:rPr>
        <w:rFonts w:ascii="David" w:hAnsi="David"/>
        <w:color w:val="000000"/>
        <w:sz w:val="22"/>
        <w:szCs w:val="22"/>
        <w:rtl/>
      </w:rPr>
      <w:t>עתמ (חי') 3761-03-24</w:t>
    </w:r>
    <w:r>
      <w:rPr>
        <w:rFonts w:ascii="David" w:hAnsi="David"/>
        <w:color w:val="000000"/>
        <w:sz w:val="22"/>
        <w:szCs w:val="22"/>
        <w:rtl/>
      </w:rPr>
      <w:tab/>
      <w:t xml:space="preserve"> באראקא השקעות ישראל בע"מ נ' עיריית טירת כרמל</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87CF8"/>
    <w:multiLevelType w:val="hybridMultilevel"/>
    <w:tmpl w:val="906E409C"/>
    <w:lvl w:ilvl="0" w:tplc="16F88298">
      <w:start w:val="7"/>
      <w:numFmt w:val="bullet"/>
      <w:lvlText w:val=""/>
      <w:lvlJc w:val="left"/>
      <w:pPr>
        <w:ind w:left="720" w:hanging="360"/>
      </w:pPr>
      <w:rPr>
        <w:rFonts w:ascii="Symbol" w:eastAsia="Calibri" w:hAnsi="Symbol" w:cs="David" w:hint="default"/>
      </w:rPr>
    </w:lvl>
    <w:lvl w:ilvl="1" w:tplc="8FF67636">
      <w:start w:val="1"/>
      <w:numFmt w:val="bullet"/>
      <w:lvlText w:val="o"/>
      <w:lvlJc w:val="left"/>
      <w:pPr>
        <w:ind w:left="1440" w:hanging="360"/>
      </w:pPr>
      <w:rPr>
        <w:rFonts w:ascii="Courier New" w:hAnsi="Courier New" w:cs="Courier New" w:hint="default"/>
      </w:rPr>
    </w:lvl>
    <w:lvl w:ilvl="2" w:tplc="6B7C0B60">
      <w:start w:val="1"/>
      <w:numFmt w:val="bullet"/>
      <w:lvlText w:val=""/>
      <w:lvlJc w:val="left"/>
      <w:pPr>
        <w:ind w:left="2160" w:hanging="360"/>
      </w:pPr>
      <w:rPr>
        <w:rFonts w:ascii="Wingdings" w:hAnsi="Wingdings" w:hint="default"/>
      </w:rPr>
    </w:lvl>
    <w:lvl w:ilvl="3" w:tplc="BC8E3EEC">
      <w:start w:val="1"/>
      <w:numFmt w:val="bullet"/>
      <w:lvlText w:val=""/>
      <w:lvlJc w:val="left"/>
      <w:pPr>
        <w:ind w:left="2880" w:hanging="360"/>
      </w:pPr>
      <w:rPr>
        <w:rFonts w:ascii="Symbol" w:hAnsi="Symbol" w:hint="default"/>
      </w:rPr>
    </w:lvl>
    <w:lvl w:ilvl="4" w:tplc="79005FC0">
      <w:start w:val="1"/>
      <w:numFmt w:val="bullet"/>
      <w:lvlText w:val="o"/>
      <w:lvlJc w:val="left"/>
      <w:pPr>
        <w:ind w:left="3600" w:hanging="360"/>
      </w:pPr>
      <w:rPr>
        <w:rFonts w:ascii="Courier New" w:hAnsi="Courier New" w:cs="Courier New" w:hint="default"/>
      </w:rPr>
    </w:lvl>
    <w:lvl w:ilvl="5" w:tplc="DB40C038">
      <w:start w:val="1"/>
      <w:numFmt w:val="bullet"/>
      <w:lvlText w:val=""/>
      <w:lvlJc w:val="left"/>
      <w:pPr>
        <w:ind w:left="4320" w:hanging="360"/>
      </w:pPr>
      <w:rPr>
        <w:rFonts w:ascii="Wingdings" w:hAnsi="Wingdings" w:hint="default"/>
      </w:rPr>
    </w:lvl>
    <w:lvl w:ilvl="6" w:tplc="9F142BD8">
      <w:start w:val="1"/>
      <w:numFmt w:val="bullet"/>
      <w:lvlText w:val=""/>
      <w:lvlJc w:val="left"/>
      <w:pPr>
        <w:ind w:left="5040" w:hanging="360"/>
      </w:pPr>
      <w:rPr>
        <w:rFonts w:ascii="Symbol" w:hAnsi="Symbol" w:hint="default"/>
      </w:rPr>
    </w:lvl>
    <w:lvl w:ilvl="7" w:tplc="86E0D7B8">
      <w:start w:val="1"/>
      <w:numFmt w:val="bullet"/>
      <w:lvlText w:val="o"/>
      <w:lvlJc w:val="left"/>
      <w:pPr>
        <w:ind w:left="5760" w:hanging="360"/>
      </w:pPr>
      <w:rPr>
        <w:rFonts w:ascii="Courier New" w:hAnsi="Courier New" w:cs="Courier New" w:hint="default"/>
      </w:rPr>
    </w:lvl>
    <w:lvl w:ilvl="8" w:tplc="4CA49E90">
      <w:start w:val="1"/>
      <w:numFmt w:val="bullet"/>
      <w:lvlText w:val=""/>
      <w:lvlJc w:val="left"/>
      <w:pPr>
        <w:ind w:left="6480" w:hanging="360"/>
      </w:pPr>
      <w:rPr>
        <w:rFonts w:ascii="Wingdings" w:hAnsi="Wingdings" w:hint="default"/>
      </w:rPr>
    </w:lvl>
  </w:abstractNum>
  <w:num w:numId="1" w16cid:durableId="69653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F470C3"/>
    <w:rsid w:val="00025165"/>
    <w:rsid w:val="000D3440"/>
    <w:rsid w:val="0016382E"/>
    <w:rsid w:val="002B50F1"/>
    <w:rsid w:val="00304557"/>
    <w:rsid w:val="00322869"/>
    <w:rsid w:val="00387CFB"/>
    <w:rsid w:val="003F496E"/>
    <w:rsid w:val="007A357F"/>
    <w:rsid w:val="00937415"/>
    <w:rsid w:val="0097136C"/>
    <w:rsid w:val="00A4573C"/>
    <w:rsid w:val="00AB4478"/>
    <w:rsid w:val="00B01C04"/>
    <w:rsid w:val="00C22B38"/>
    <w:rsid w:val="00C80505"/>
    <w:rsid w:val="00C9028C"/>
    <w:rsid w:val="00E14DEB"/>
    <w:rsid w:val="00E71327"/>
    <w:rsid w:val="00F470C3"/>
    <w:rsid w:val="00F5663D"/>
    <w:rsid w:val="00FE7D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7979F"/>
  <w15:docId w15:val="{76B4DDC4-E1CD-4F94-8DDA-2838E398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0C3"/>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70C3"/>
    <w:pPr>
      <w:tabs>
        <w:tab w:val="center" w:pos="4153"/>
        <w:tab w:val="right" w:pos="8306"/>
      </w:tabs>
    </w:pPr>
  </w:style>
  <w:style w:type="character" w:customStyle="1" w:styleId="a4">
    <w:name w:val="כותרת עליונה תו"/>
    <w:link w:val="a3"/>
    <w:rsid w:val="00F470C3"/>
    <w:rPr>
      <w:rFonts w:ascii="Times New Roman" w:eastAsia="Times New Roman" w:hAnsi="Times New Roman" w:cs="David"/>
      <w:noProof/>
      <w:sz w:val="24"/>
      <w:szCs w:val="24"/>
    </w:rPr>
  </w:style>
  <w:style w:type="paragraph" w:styleId="a5">
    <w:name w:val="footer"/>
    <w:basedOn w:val="a"/>
    <w:link w:val="a6"/>
    <w:rsid w:val="00F470C3"/>
    <w:pPr>
      <w:tabs>
        <w:tab w:val="center" w:pos="4153"/>
        <w:tab w:val="right" w:pos="8306"/>
      </w:tabs>
    </w:pPr>
  </w:style>
  <w:style w:type="character" w:customStyle="1" w:styleId="a6">
    <w:name w:val="כותרת תחתונה תו"/>
    <w:link w:val="a5"/>
    <w:rsid w:val="00F470C3"/>
    <w:rPr>
      <w:rFonts w:ascii="Times New Roman" w:eastAsia="Times New Roman" w:hAnsi="Times New Roman" w:cs="David"/>
      <w:noProof/>
      <w:sz w:val="24"/>
      <w:szCs w:val="24"/>
    </w:rPr>
  </w:style>
  <w:style w:type="table" w:styleId="a7">
    <w:name w:val="Table Grid"/>
    <w:basedOn w:val="a1"/>
    <w:rsid w:val="00F470C3"/>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F470C3"/>
  </w:style>
  <w:style w:type="character" w:styleId="Hyperlink">
    <w:name w:val="Hyperlink"/>
    <w:rsid w:val="00F470C3"/>
    <w:rPr>
      <w:color w:val="0000FF"/>
      <w:u w:val="single"/>
    </w:rPr>
  </w:style>
  <w:style w:type="paragraph" w:customStyle="1" w:styleId="1">
    <w:name w:val="פיסקת רשימה1"/>
    <w:basedOn w:val="a"/>
    <w:qFormat/>
    <w:rsid w:val="00F470C3"/>
    <w:pPr>
      <w:spacing w:after="160" w:line="256" w:lineRule="auto"/>
      <w:ind w:left="720"/>
      <w:contextualSpacing/>
    </w:pPr>
    <w:rPr>
      <w:rFonts w:ascii="Calibri" w:eastAsia="Calibri" w:hAnsi="Calibri" w:cs="Arial"/>
      <w:noProof w:val="0"/>
      <w:sz w:val="22"/>
      <w:szCs w:val="22"/>
    </w:rPr>
  </w:style>
  <w:style w:type="paragraph" w:customStyle="1" w:styleId="David">
    <w:name w:val="סגנון (עברית ושפות אחרות) David מיושר לשני הצדדים מרווח בין שורות..."/>
    <w:basedOn w:val="a"/>
    <w:rsid w:val="00F470C3"/>
    <w:pPr>
      <w:spacing w:line="360" w:lineRule="auto"/>
      <w:jc w:val="both"/>
    </w:pPr>
    <w:rPr>
      <w:noProof w:val="0"/>
    </w:rPr>
  </w:style>
  <w:style w:type="character" w:customStyle="1" w:styleId="term1">
    <w:name w:val="term_1"/>
    <w:rsid w:val="00F470C3"/>
  </w:style>
  <w:style w:type="character" w:styleId="a9">
    <w:name w:val="line number"/>
    <w:rsid w:val="00F4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law/74255/324" TargetMode="External"/><Relationship Id="rId18" Type="http://schemas.openxmlformats.org/officeDocument/2006/relationships/hyperlink" Target="http://www.nevo.co.il/law/74255" TargetMode="External"/><Relationship Id="rId26" Type="http://schemas.openxmlformats.org/officeDocument/2006/relationships/hyperlink" Target="http://www.nevo.co.il/case/17931489" TargetMode="External"/><Relationship Id="rId39" Type="http://schemas.openxmlformats.org/officeDocument/2006/relationships/hyperlink" Target="http://www.nevo.co.il/law/74255/324" TargetMode="External"/><Relationship Id="rId3" Type="http://schemas.openxmlformats.org/officeDocument/2006/relationships/settings" Target="settings.xml"/><Relationship Id="rId21" Type="http://schemas.openxmlformats.org/officeDocument/2006/relationships/hyperlink" Target="http://www.nevo.co.il/law/74255/324.a" TargetMode="External"/><Relationship Id="rId34" Type="http://schemas.openxmlformats.org/officeDocument/2006/relationships/hyperlink" Target="http://www.nevo.co.il/case/17944714" TargetMode="External"/><Relationship Id="rId42" Type="http://schemas.openxmlformats.org/officeDocument/2006/relationships/hyperlink" Target="http://www.nevo.co.il/case/17933011"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www.nevo.co.il/law/74255/324" TargetMode="External"/><Relationship Id="rId12" Type="http://schemas.openxmlformats.org/officeDocument/2006/relationships/hyperlink" Target="http://www.nevo.co.il/law/74255" TargetMode="External"/><Relationship Id="rId17" Type="http://schemas.openxmlformats.org/officeDocument/2006/relationships/hyperlink" Target="http://www.nevo.co.il/law/74255/324.a" TargetMode="External"/><Relationship Id="rId25" Type="http://schemas.openxmlformats.org/officeDocument/2006/relationships/hyperlink" Target="http://www.nevo.co.il/law/74255" TargetMode="External"/><Relationship Id="rId33" Type="http://schemas.openxmlformats.org/officeDocument/2006/relationships/hyperlink" Target="http://www.nevo.co.il/case/17929229" TargetMode="External"/><Relationship Id="rId38" Type="http://schemas.openxmlformats.org/officeDocument/2006/relationships/hyperlink" Target="http://www.nevo.co.il/law/74255"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evo.co.il/law/74255" TargetMode="External"/><Relationship Id="rId20" Type="http://schemas.openxmlformats.org/officeDocument/2006/relationships/hyperlink" Target="http://www.nevo.co.il/law/74255" TargetMode="External"/><Relationship Id="rId29" Type="http://schemas.openxmlformats.org/officeDocument/2006/relationships/hyperlink" Target="http://www.nevo.co.il/law/74255/324" TargetMode="External"/><Relationship Id="rId4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74255/324" TargetMode="External"/><Relationship Id="rId24" Type="http://schemas.openxmlformats.org/officeDocument/2006/relationships/hyperlink" Target="http://www.nevo.co.il/law/74255" TargetMode="External"/><Relationship Id="rId32" Type="http://schemas.openxmlformats.org/officeDocument/2006/relationships/hyperlink" Target="http://www.nevo.co.il/case/5864118" TargetMode="External"/><Relationship Id="rId37" Type="http://schemas.openxmlformats.org/officeDocument/2006/relationships/hyperlink" Target="http://www.nevo.co.il/law/74255/324" TargetMode="External"/><Relationship Id="rId40" Type="http://schemas.openxmlformats.org/officeDocument/2006/relationships/hyperlink" Target="http://www.nevo.co.il/law/74255"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evo.co.il/law/74255/324" TargetMode="External"/><Relationship Id="rId23" Type="http://schemas.openxmlformats.org/officeDocument/2006/relationships/hyperlink" Target="http://www.nevo.co.il/law/74255/324.a" TargetMode="External"/><Relationship Id="rId28" Type="http://schemas.openxmlformats.org/officeDocument/2006/relationships/hyperlink" Target="http://www.nevo.co.il/law/74255" TargetMode="External"/><Relationship Id="rId36" Type="http://schemas.openxmlformats.org/officeDocument/2006/relationships/hyperlink" Target="http://www.nevo.co.il/case/5896119" TargetMode="External"/><Relationship Id="rId49" Type="http://schemas.openxmlformats.org/officeDocument/2006/relationships/fontTable" Target="fontTable.xml"/><Relationship Id="rId10" Type="http://schemas.openxmlformats.org/officeDocument/2006/relationships/hyperlink" Target="http://www.nevo.co.il/law/74255" TargetMode="External"/><Relationship Id="rId19" Type="http://schemas.openxmlformats.org/officeDocument/2006/relationships/hyperlink" Target="http://www.nevo.co.il/law/72762" TargetMode="External"/><Relationship Id="rId31" Type="http://schemas.openxmlformats.org/officeDocument/2006/relationships/hyperlink" Target="http://www.nevo.co.il/case/6589943" TargetMode="External"/><Relationship Id="rId44" Type="http://schemas.openxmlformats.org/officeDocument/2006/relationships/hyperlink" Target="http://www.nevo.co.il/law/74255" TargetMode="External"/><Relationship Id="rId4" Type="http://schemas.openxmlformats.org/officeDocument/2006/relationships/webSettings" Target="webSettings.xml"/><Relationship Id="rId9" Type="http://schemas.openxmlformats.org/officeDocument/2006/relationships/hyperlink" Target="http://www.nevo.co.il/law/74255/324" TargetMode="External"/><Relationship Id="rId14" Type="http://schemas.openxmlformats.org/officeDocument/2006/relationships/hyperlink" Target="http://www.nevo.co.il/law/74255" TargetMode="External"/><Relationship Id="rId22" Type="http://schemas.openxmlformats.org/officeDocument/2006/relationships/hyperlink" Target="http://www.nevo.co.il/case/5750809" TargetMode="External"/><Relationship Id="rId27" Type="http://schemas.openxmlformats.org/officeDocument/2006/relationships/hyperlink" Target="http://www.nevo.co.il/law/74255/324a" TargetMode="External"/><Relationship Id="rId30" Type="http://schemas.openxmlformats.org/officeDocument/2006/relationships/hyperlink" Target="http://www.nevo.co.il/law/74255" TargetMode="External"/><Relationship Id="rId35" Type="http://schemas.openxmlformats.org/officeDocument/2006/relationships/hyperlink" Target="http://www.nevo.co.il/case/5865646" TargetMode="External"/><Relationship Id="rId43" Type="http://schemas.openxmlformats.org/officeDocument/2006/relationships/hyperlink" Target="http://www.nevo.co.il/law/74255/324.a" TargetMode="External"/><Relationship Id="rId48" Type="http://schemas.openxmlformats.org/officeDocument/2006/relationships/footer" Target="footer2.xml"/><Relationship Id="rId8" Type="http://schemas.openxmlformats.org/officeDocument/2006/relationships/hyperlink" Target="http://www.nevo.co.il/law/7425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3139</Words>
  <Characters>15697</Characters>
  <Application>Microsoft Office Word</Application>
  <DocSecurity>0</DocSecurity>
  <Lines>130</Lines>
  <Paragraphs>37</Paragraphs>
  <ScaleCrop>false</ScaleCrop>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2024-11-27T03:03:00Z</dcterms:created>
  <dcterms:modified xsi:type="dcterms:W3CDTF">2024-11-27T03:03:00Z</dcterms:modified>
</cp:coreProperties>
</file>