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421E8" w14:textId="43764A60" w:rsidR="00000000" w:rsidRDefault="00000000">
      <w:pPr>
        <w:divId w:val="1792357759"/>
        <w:rPr>
          <w:rFonts w:ascii="David" w:eastAsia="Times New Roman" w:hAnsi="David" w:cs="David"/>
        </w:rPr>
      </w:pPr>
    </w:p>
    <w:p w14:paraId="70C5AB14" w14:textId="77777777" w:rsidR="00000000" w:rsidRDefault="00000000">
      <w:pPr>
        <w:pStyle w:val="idhidden"/>
        <w:rPr>
          <w:rFonts w:ascii="David" w:hAnsi="David" w:cs="David"/>
        </w:rPr>
      </w:pPr>
      <w:r>
        <w:rPr>
          <w:rFonts w:ascii="David" w:hAnsi="David" w:cs="David"/>
        </w:rPr>
        <w:t>takd_id: עשא@37143-09-25;takd_s:20260222;takd_d:22.02.2026;takd_u:02.03.2026;mms_s:מחוזי;mms_p:17403;mms_y:2026;mms_v:1;orig_filename:42e5243280d74c708f5a8a6ca4de2030.html;taktzir_exist:0;kt_exist:0;</w:t>
      </w:r>
    </w:p>
    <w:tbl>
      <w:tblPr>
        <w:bidiVisual/>
        <w:tblW w:w="0" w:type="auto"/>
        <w:jc w:val="center"/>
        <w:tblCellMar>
          <w:left w:w="0" w:type="dxa"/>
          <w:right w:w="0" w:type="dxa"/>
        </w:tblCellMar>
        <w:tblLook w:val="04A0" w:firstRow="1" w:lastRow="0" w:firstColumn="1" w:lastColumn="0" w:noHBand="0" w:noVBand="1"/>
      </w:tblPr>
      <w:tblGrid>
        <w:gridCol w:w="4811"/>
        <w:gridCol w:w="3501"/>
      </w:tblGrid>
      <w:tr w:rsidR="00000000" w14:paraId="5C385600" w14:textId="77777777">
        <w:trPr>
          <w:trHeight w:val="670"/>
          <w:jc w:val="center"/>
        </w:trPr>
        <w:tc>
          <w:tcPr>
            <w:tcW w:w="8721" w:type="dxa"/>
            <w:gridSpan w:val="2"/>
            <w:tcMar>
              <w:top w:w="0" w:type="dxa"/>
              <w:left w:w="108" w:type="dxa"/>
              <w:bottom w:w="0" w:type="dxa"/>
              <w:right w:w="108" w:type="dxa"/>
            </w:tcMar>
            <w:hideMark/>
          </w:tcPr>
          <w:p w14:paraId="6A410A63" w14:textId="77777777" w:rsidR="00000000" w:rsidRDefault="00000000">
            <w:pPr>
              <w:pStyle w:val="a3"/>
              <w:bidi/>
              <w:jc w:val="center"/>
            </w:pPr>
            <w:r>
              <w:rPr>
                <w:rStyle w:val="f4dinim"/>
                <w:rFonts w:ascii="David" w:hAnsi="David" w:cs="David"/>
                <w:color w:val="000080"/>
                <w:sz w:val="32"/>
                <w:szCs w:val="32"/>
                <w:rtl/>
              </w:rPr>
              <w:t>בית המשפט המחוזי בתל אביב -יפו</w:t>
            </w:r>
          </w:p>
        </w:tc>
      </w:tr>
      <w:tr w:rsidR="00000000" w14:paraId="70AB500D" w14:textId="77777777">
        <w:trPr>
          <w:trHeight w:val="337"/>
          <w:jc w:val="center"/>
        </w:trPr>
        <w:tc>
          <w:tcPr>
            <w:tcW w:w="5047" w:type="dxa"/>
            <w:tcMar>
              <w:top w:w="0" w:type="dxa"/>
              <w:left w:w="108" w:type="dxa"/>
              <w:bottom w:w="0" w:type="dxa"/>
              <w:right w:w="108" w:type="dxa"/>
            </w:tcMar>
            <w:hideMark/>
          </w:tcPr>
          <w:p w14:paraId="78481643" w14:textId="77777777" w:rsidR="00000000" w:rsidRDefault="00000000">
            <w:pPr>
              <w:bidi/>
              <w:rPr>
                <w:rtl/>
              </w:rPr>
            </w:pPr>
            <w:r>
              <w:rPr>
                <w:rFonts w:ascii="David" w:hAnsi="David" w:cs="David"/>
                <w:sz w:val="26"/>
                <w:szCs w:val="26"/>
                <w:rtl/>
              </w:rPr>
              <w:t> </w:t>
            </w:r>
          </w:p>
        </w:tc>
        <w:tc>
          <w:tcPr>
            <w:tcW w:w="3674" w:type="dxa"/>
            <w:tcMar>
              <w:top w:w="0" w:type="dxa"/>
              <w:left w:w="108" w:type="dxa"/>
              <w:bottom w:w="0" w:type="dxa"/>
              <w:right w:w="108" w:type="dxa"/>
            </w:tcMar>
            <w:hideMark/>
          </w:tcPr>
          <w:p w14:paraId="008B077F" w14:textId="77777777" w:rsidR="00000000" w:rsidRDefault="00000000">
            <w:pPr>
              <w:pStyle w:val="a3"/>
              <w:bidi/>
              <w:jc w:val="right"/>
              <w:rPr>
                <w:rtl/>
              </w:rPr>
            </w:pPr>
            <w:r>
              <w:rPr>
                <w:rFonts w:ascii="David" w:hAnsi="David" w:cs="David"/>
                <w:sz w:val="26"/>
                <w:szCs w:val="26"/>
                <w:rtl/>
              </w:rPr>
              <w:t> </w:t>
            </w:r>
          </w:p>
        </w:tc>
      </w:tr>
      <w:tr w:rsidR="00000000" w14:paraId="793AB366" w14:textId="77777777">
        <w:trPr>
          <w:trHeight w:val="337"/>
          <w:jc w:val="center"/>
        </w:trPr>
        <w:tc>
          <w:tcPr>
            <w:tcW w:w="8721" w:type="dxa"/>
            <w:gridSpan w:val="2"/>
            <w:tcMar>
              <w:top w:w="0" w:type="dxa"/>
              <w:left w:w="108" w:type="dxa"/>
              <w:bottom w:w="0" w:type="dxa"/>
              <w:right w:w="108" w:type="dxa"/>
            </w:tcMar>
            <w:hideMark/>
          </w:tcPr>
          <w:p w14:paraId="772AF669" w14:textId="77777777" w:rsidR="00000000" w:rsidRDefault="00000000">
            <w:pPr>
              <w:bidi/>
              <w:rPr>
                <w:rtl/>
              </w:rPr>
            </w:pPr>
            <w:r>
              <w:rPr>
                <w:rStyle w:val="f40dinim"/>
                <w:rFonts w:ascii="David" w:hAnsi="David" w:cs="David"/>
                <w:color w:val="000000"/>
                <w:sz w:val="26"/>
                <w:szCs w:val="26"/>
                <w:rtl/>
              </w:rPr>
              <w:t>עש"א 37143-09-25</w:t>
            </w:r>
            <w:r>
              <w:rPr>
                <w:rFonts w:ascii="David" w:hAnsi="David" w:cs="David"/>
                <w:sz w:val="26"/>
                <w:szCs w:val="26"/>
                <w:rtl/>
              </w:rPr>
              <w:t xml:space="preserve"> זלינגר ואח' נ' דגני ואח'</w:t>
            </w:r>
          </w:p>
          <w:p w14:paraId="463C10E8" w14:textId="77777777" w:rsidR="00000000" w:rsidRDefault="00000000">
            <w:pPr>
              <w:bidi/>
              <w:rPr>
                <w:rtl/>
              </w:rPr>
            </w:pPr>
            <w:r>
              <w:rPr>
                <w:rFonts w:ascii="David" w:hAnsi="David" w:cs="David"/>
                <w:sz w:val="26"/>
                <w:szCs w:val="26"/>
                <w:rtl/>
              </w:rPr>
              <w:t> </w:t>
            </w:r>
          </w:p>
          <w:p w14:paraId="09616A61" w14:textId="77777777" w:rsidR="00000000" w:rsidRDefault="00000000">
            <w:pPr>
              <w:bidi/>
              <w:rPr>
                <w:rtl/>
              </w:rPr>
            </w:pPr>
            <w:r>
              <w:rPr>
                <w:rFonts w:ascii="David" w:hAnsi="David" w:cs="David"/>
                <w:sz w:val="26"/>
                <w:szCs w:val="26"/>
                <w:rtl/>
              </w:rPr>
              <w:t> </w:t>
            </w:r>
          </w:p>
        </w:tc>
      </w:tr>
    </w:tbl>
    <w:p w14:paraId="5C0137AE" w14:textId="77777777" w:rsidR="00000000" w:rsidRDefault="00000000">
      <w:pPr>
        <w:bidi/>
        <w:rPr>
          <w:rtl/>
        </w:rPr>
      </w:pPr>
      <w:r>
        <w:rPr>
          <w:rFonts w:ascii="David" w:hAnsi="David" w:cs="David"/>
          <w:sz w:val="28"/>
          <w:szCs w:val="28"/>
          <w:rtl/>
        </w:rPr>
        <w:t> </w:t>
      </w:r>
    </w:p>
    <w:p w14:paraId="35C1F025" w14:textId="77777777" w:rsidR="00000000" w:rsidRDefault="00000000">
      <w:pPr>
        <w:bidi/>
        <w:rPr>
          <w:rtl/>
        </w:rPr>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750"/>
        <w:gridCol w:w="2503"/>
        <w:gridCol w:w="5567"/>
      </w:tblGrid>
      <w:tr w:rsidR="00000000" w14:paraId="13FDB809" w14:textId="77777777">
        <w:trPr>
          <w:jc w:val="center"/>
        </w:trPr>
        <w:tc>
          <w:tcPr>
            <w:tcW w:w="743" w:type="dxa"/>
            <w:tcMar>
              <w:top w:w="0" w:type="dxa"/>
              <w:left w:w="108" w:type="dxa"/>
              <w:bottom w:w="0" w:type="dxa"/>
              <w:right w:w="108" w:type="dxa"/>
            </w:tcMar>
            <w:hideMark/>
          </w:tcPr>
          <w:p w14:paraId="6C267E6D" w14:textId="77777777" w:rsidR="00000000" w:rsidRDefault="00000000">
            <w:pPr>
              <w:bidi/>
              <w:jc w:val="both"/>
              <w:rPr>
                <w:rtl/>
              </w:rPr>
            </w:pPr>
            <w:r>
              <w:rPr>
                <w:rFonts w:ascii="David" w:hAnsi="David" w:cs="David"/>
                <w:sz w:val="28"/>
                <w:szCs w:val="28"/>
                <w:rtl/>
              </w:rPr>
              <w:t xml:space="preserve">לפני </w:t>
            </w:r>
          </w:p>
        </w:tc>
        <w:tc>
          <w:tcPr>
            <w:tcW w:w="8077" w:type="dxa"/>
            <w:gridSpan w:val="2"/>
            <w:tcMar>
              <w:top w:w="0" w:type="dxa"/>
              <w:left w:w="108" w:type="dxa"/>
              <w:bottom w:w="0" w:type="dxa"/>
              <w:right w:w="108" w:type="dxa"/>
            </w:tcMar>
            <w:hideMark/>
          </w:tcPr>
          <w:p w14:paraId="1BCD0446" w14:textId="77777777" w:rsidR="00000000" w:rsidRDefault="00000000">
            <w:pPr>
              <w:bidi/>
              <w:rPr>
                <w:rtl/>
              </w:rPr>
            </w:pPr>
            <w:r>
              <w:rPr>
                <w:rStyle w:val="f41dinim"/>
                <w:rFonts w:ascii="David" w:hAnsi="David" w:cs="David"/>
                <w:color w:val="000000"/>
                <w:sz w:val="28"/>
                <w:szCs w:val="28"/>
                <w:rtl/>
              </w:rPr>
              <w:t>כבוד השופטת לימור ביבי</w:t>
            </w:r>
          </w:p>
          <w:p w14:paraId="2329C1D4" w14:textId="77777777" w:rsidR="00000000" w:rsidRDefault="00000000">
            <w:pPr>
              <w:bidi/>
              <w:rPr>
                <w:rtl/>
              </w:rPr>
            </w:pPr>
            <w:r>
              <w:rPr>
                <w:rStyle w:val="f41dinim"/>
                <w:rFonts w:ascii="David" w:hAnsi="David" w:cs="David"/>
                <w:sz w:val="28"/>
                <w:szCs w:val="28"/>
                <w:rtl/>
              </w:rPr>
              <w:t> </w:t>
            </w:r>
          </w:p>
        </w:tc>
      </w:tr>
      <w:tr w:rsidR="00000000" w14:paraId="5719B84B" w14:textId="77777777">
        <w:trPr>
          <w:jc w:val="center"/>
        </w:trPr>
        <w:tc>
          <w:tcPr>
            <w:tcW w:w="3249" w:type="dxa"/>
            <w:gridSpan w:val="2"/>
            <w:tcMar>
              <w:top w:w="0" w:type="dxa"/>
              <w:left w:w="108" w:type="dxa"/>
              <w:bottom w:w="0" w:type="dxa"/>
              <w:right w:w="108" w:type="dxa"/>
            </w:tcMar>
            <w:hideMark/>
          </w:tcPr>
          <w:p w14:paraId="0789F8D4" w14:textId="77777777" w:rsidR="00000000" w:rsidRDefault="00000000">
            <w:pPr>
              <w:bidi/>
              <w:rPr>
                <w:rFonts w:hint="cs"/>
                <w:rtl/>
              </w:rPr>
            </w:pPr>
            <w:r>
              <w:rPr>
                <w:rFonts w:ascii="David" w:hAnsi="David" w:cs="David"/>
                <w:sz w:val="28"/>
                <w:szCs w:val="28"/>
                <w:rtl/>
              </w:rPr>
              <w:t> </w:t>
            </w:r>
          </w:p>
          <w:p w14:paraId="531BA266" w14:textId="77777777" w:rsidR="00000000" w:rsidRDefault="00000000">
            <w:pPr>
              <w:bidi/>
              <w:rPr>
                <w:rtl/>
              </w:rPr>
            </w:pPr>
            <w:r>
              <w:rPr>
                <w:rFonts w:ascii="David" w:hAnsi="David" w:cs="David"/>
                <w:sz w:val="28"/>
                <w:szCs w:val="28"/>
                <w:rtl/>
              </w:rPr>
              <w:t>מערערים</w:t>
            </w:r>
          </w:p>
        </w:tc>
        <w:tc>
          <w:tcPr>
            <w:tcW w:w="5571" w:type="dxa"/>
            <w:tcMar>
              <w:top w:w="0" w:type="dxa"/>
              <w:left w:w="108" w:type="dxa"/>
              <w:bottom w:w="0" w:type="dxa"/>
              <w:right w:w="108" w:type="dxa"/>
            </w:tcMar>
            <w:hideMark/>
          </w:tcPr>
          <w:p w14:paraId="66320489" w14:textId="77777777" w:rsidR="00000000" w:rsidRDefault="00000000">
            <w:pPr>
              <w:bidi/>
              <w:rPr>
                <w:rtl/>
              </w:rPr>
            </w:pPr>
            <w:r>
              <w:rPr>
                <w:rFonts w:ascii="David" w:hAnsi="David" w:cs="David"/>
                <w:sz w:val="28"/>
                <w:szCs w:val="28"/>
                <w:rtl/>
              </w:rPr>
              <w:t> </w:t>
            </w:r>
          </w:p>
          <w:p w14:paraId="27E4E1AC" w14:textId="77777777" w:rsidR="00000000" w:rsidRDefault="00000000">
            <w:pPr>
              <w:bidi/>
              <w:rPr>
                <w:rtl/>
              </w:rPr>
            </w:pPr>
            <w:r>
              <w:rPr>
                <w:rFonts w:ascii="David" w:hAnsi="David" w:cs="David"/>
                <w:sz w:val="28"/>
                <w:szCs w:val="28"/>
                <w:rtl/>
              </w:rPr>
              <w:t>1.</w:t>
            </w:r>
            <w:r>
              <w:rPr>
                <w:rStyle w:val="f2dinim"/>
                <w:rFonts w:ascii="David" w:hAnsi="David" w:cs="David"/>
                <w:color w:val="000000"/>
                <w:sz w:val="28"/>
                <w:szCs w:val="28"/>
                <w:rtl/>
              </w:rPr>
              <w:t>יעקב זלינגר</w:t>
            </w:r>
          </w:p>
          <w:p w14:paraId="12B25E86" w14:textId="77777777" w:rsidR="00000000" w:rsidRDefault="00000000">
            <w:pPr>
              <w:bidi/>
              <w:rPr>
                <w:rtl/>
              </w:rPr>
            </w:pPr>
            <w:r>
              <w:rPr>
                <w:rFonts w:ascii="David" w:hAnsi="David" w:cs="David"/>
                <w:sz w:val="28"/>
                <w:szCs w:val="28"/>
                <w:rtl/>
              </w:rPr>
              <w:t>2.</w:t>
            </w:r>
            <w:r>
              <w:rPr>
                <w:rStyle w:val="f2dinim"/>
                <w:rFonts w:ascii="David" w:hAnsi="David" w:cs="David"/>
                <w:color w:val="000000"/>
                <w:sz w:val="28"/>
                <w:szCs w:val="28"/>
                <w:rtl/>
              </w:rPr>
              <w:t>אורלי זלינגר</w:t>
            </w:r>
          </w:p>
          <w:p w14:paraId="5FE108C1" w14:textId="77777777" w:rsidR="00000000" w:rsidRDefault="00000000">
            <w:pPr>
              <w:bidi/>
              <w:rPr>
                <w:rtl/>
              </w:rPr>
            </w:pPr>
            <w:r>
              <w:rPr>
                <w:rFonts w:ascii="David" w:hAnsi="David" w:cs="David"/>
                <w:sz w:val="28"/>
                <w:szCs w:val="28"/>
                <w:rtl/>
              </w:rPr>
              <w:t>ע"י ב"כ עו"ד ויקטור תשובה</w:t>
            </w:r>
          </w:p>
        </w:tc>
      </w:tr>
      <w:tr w:rsidR="00000000" w14:paraId="3C7C97D3" w14:textId="77777777">
        <w:trPr>
          <w:jc w:val="center"/>
        </w:trPr>
        <w:tc>
          <w:tcPr>
            <w:tcW w:w="8820" w:type="dxa"/>
            <w:gridSpan w:val="3"/>
            <w:tcMar>
              <w:top w:w="0" w:type="dxa"/>
              <w:left w:w="108" w:type="dxa"/>
              <w:bottom w:w="0" w:type="dxa"/>
              <w:right w:w="108" w:type="dxa"/>
            </w:tcMar>
            <w:hideMark/>
          </w:tcPr>
          <w:p w14:paraId="10BFE978" w14:textId="77777777" w:rsidR="00000000" w:rsidRDefault="00000000">
            <w:pPr>
              <w:bidi/>
              <w:rPr>
                <w:rtl/>
              </w:rPr>
            </w:pPr>
            <w:r>
              <w:rPr>
                <w:rFonts w:ascii="David" w:hAnsi="David" w:cs="David"/>
                <w:sz w:val="28"/>
                <w:szCs w:val="28"/>
                <w:rtl/>
              </w:rPr>
              <w:t> </w:t>
            </w:r>
          </w:p>
          <w:p w14:paraId="2D6C5A5D" w14:textId="77777777" w:rsidR="00000000" w:rsidRDefault="00000000">
            <w:pPr>
              <w:bidi/>
              <w:jc w:val="center"/>
              <w:rPr>
                <w:rtl/>
              </w:rPr>
            </w:pPr>
            <w:r>
              <w:rPr>
                <w:rStyle w:val="f2ndinim"/>
                <w:rFonts w:ascii="David" w:hAnsi="David" w:cs="David"/>
                <w:color w:val="000000"/>
                <w:sz w:val="28"/>
                <w:szCs w:val="28"/>
                <w:rtl/>
              </w:rPr>
              <w:t>נגד</w:t>
            </w:r>
          </w:p>
          <w:p w14:paraId="30D37D59" w14:textId="77777777" w:rsidR="00000000" w:rsidRDefault="00000000">
            <w:pPr>
              <w:bidi/>
              <w:rPr>
                <w:rtl/>
              </w:rPr>
            </w:pPr>
            <w:r>
              <w:rPr>
                <w:rFonts w:ascii="David" w:hAnsi="David" w:cs="David"/>
                <w:sz w:val="28"/>
                <w:szCs w:val="28"/>
              </w:rPr>
              <w:t> </w:t>
            </w:r>
          </w:p>
        </w:tc>
      </w:tr>
      <w:tr w:rsidR="00000000" w14:paraId="169080BF" w14:textId="77777777">
        <w:trPr>
          <w:jc w:val="center"/>
        </w:trPr>
        <w:tc>
          <w:tcPr>
            <w:tcW w:w="3249" w:type="dxa"/>
            <w:gridSpan w:val="2"/>
            <w:tcMar>
              <w:top w:w="0" w:type="dxa"/>
              <w:left w:w="108" w:type="dxa"/>
              <w:bottom w:w="0" w:type="dxa"/>
              <w:right w:w="108" w:type="dxa"/>
            </w:tcMar>
            <w:hideMark/>
          </w:tcPr>
          <w:p w14:paraId="12D940FD" w14:textId="77777777" w:rsidR="00000000" w:rsidRDefault="00000000">
            <w:pPr>
              <w:bidi/>
              <w:rPr>
                <w:rtl/>
              </w:rPr>
            </w:pPr>
            <w:r>
              <w:rPr>
                <w:rFonts w:ascii="David" w:hAnsi="David" w:cs="David"/>
                <w:sz w:val="28"/>
                <w:szCs w:val="28"/>
                <w:rtl/>
              </w:rPr>
              <w:t>משיבים</w:t>
            </w:r>
          </w:p>
        </w:tc>
        <w:tc>
          <w:tcPr>
            <w:tcW w:w="5571" w:type="dxa"/>
            <w:tcMar>
              <w:top w:w="0" w:type="dxa"/>
              <w:left w:w="108" w:type="dxa"/>
              <w:bottom w:w="0" w:type="dxa"/>
              <w:right w:w="108" w:type="dxa"/>
            </w:tcMar>
            <w:hideMark/>
          </w:tcPr>
          <w:p w14:paraId="339EDA64" w14:textId="77777777" w:rsidR="00000000" w:rsidRDefault="00000000">
            <w:pPr>
              <w:bidi/>
              <w:rPr>
                <w:rtl/>
              </w:rPr>
            </w:pPr>
            <w:r>
              <w:rPr>
                <w:rFonts w:ascii="David" w:hAnsi="David" w:cs="David"/>
                <w:sz w:val="28"/>
                <w:szCs w:val="28"/>
                <w:rtl/>
              </w:rPr>
              <w:t>1.</w:t>
            </w:r>
            <w:r>
              <w:rPr>
                <w:rStyle w:val="f3dinim"/>
                <w:rFonts w:ascii="David" w:hAnsi="David" w:cs="David"/>
                <w:color w:val="000000"/>
                <w:sz w:val="28"/>
                <w:szCs w:val="28"/>
                <w:rtl/>
              </w:rPr>
              <w:t>יעל דגני</w:t>
            </w:r>
          </w:p>
          <w:p w14:paraId="702CF5CF" w14:textId="77777777" w:rsidR="00000000" w:rsidRDefault="00000000">
            <w:pPr>
              <w:bidi/>
              <w:rPr>
                <w:rtl/>
              </w:rPr>
            </w:pPr>
            <w:r>
              <w:rPr>
                <w:rFonts w:ascii="David" w:hAnsi="David" w:cs="David"/>
                <w:sz w:val="28"/>
                <w:szCs w:val="28"/>
                <w:rtl/>
              </w:rPr>
              <w:t>2.</w:t>
            </w:r>
            <w:r>
              <w:rPr>
                <w:rStyle w:val="f3dinim"/>
                <w:rFonts w:ascii="David" w:hAnsi="David" w:cs="David"/>
                <w:color w:val="000000"/>
                <w:sz w:val="28"/>
                <w:szCs w:val="28"/>
                <w:rtl/>
              </w:rPr>
              <w:t>אפרים הכט</w:t>
            </w:r>
          </w:p>
          <w:p w14:paraId="07DEEAFB" w14:textId="77777777" w:rsidR="00000000" w:rsidRDefault="00000000">
            <w:pPr>
              <w:bidi/>
              <w:rPr>
                <w:rtl/>
              </w:rPr>
            </w:pPr>
            <w:r>
              <w:rPr>
                <w:rFonts w:ascii="David" w:hAnsi="David" w:cs="David"/>
                <w:sz w:val="28"/>
                <w:szCs w:val="28"/>
                <w:rtl/>
              </w:rPr>
              <w:t>3.</w:t>
            </w:r>
            <w:r>
              <w:rPr>
                <w:rStyle w:val="f3dinim"/>
                <w:rFonts w:ascii="David" w:hAnsi="David" w:cs="David"/>
                <w:color w:val="000000"/>
                <w:sz w:val="28"/>
                <w:szCs w:val="28"/>
                <w:rtl/>
              </w:rPr>
              <w:t>טובה רון</w:t>
            </w:r>
          </w:p>
          <w:p w14:paraId="0DE95E80" w14:textId="77777777" w:rsidR="00000000" w:rsidRDefault="00000000">
            <w:pPr>
              <w:bidi/>
              <w:rPr>
                <w:rtl/>
              </w:rPr>
            </w:pPr>
            <w:r>
              <w:rPr>
                <w:rFonts w:ascii="David" w:hAnsi="David" w:cs="David"/>
                <w:sz w:val="28"/>
                <w:szCs w:val="28"/>
                <w:rtl/>
              </w:rPr>
              <w:t>4.</w:t>
            </w:r>
            <w:r>
              <w:rPr>
                <w:rStyle w:val="f3dinim"/>
                <w:rFonts w:ascii="David" w:hAnsi="David" w:cs="David"/>
                <w:color w:val="000000"/>
                <w:sz w:val="28"/>
                <w:szCs w:val="28"/>
                <w:rtl/>
              </w:rPr>
              <w:t>מרים איזנשטיין</w:t>
            </w:r>
          </w:p>
          <w:p w14:paraId="4CDB1AA2" w14:textId="77777777" w:rsidR="00000000" w:rsidRDefault="00000000">
            <w:pPr>
              <w:bidi/>
              <w:rPr>
                <w:rtl/>
              </w:rPr>
            </w:pPr>
            <w:r>
              <w:rPr>
                <w:rFonts w:ascii="David" w:hAnsi="David" w:cs="David"/>
                <w:sz w:val="28"/>
                <w:szCs w:val="28"/>
                <w:rtl/>
              </w:rPr>
              <w:t>5.</w:t>
            </w:r>
            <w:r>
              <w:rPr>
                <w:rStyle w:val="f3dinim"/>
                <w:rFonts w:ascii="David" w:hAnsi="David" w:cs="David"/>
                <w:color w:val="000000"/>
                <w:sz w:val="28"/>
                <w:szCs w:val="28"/>
                <w:rtl/>
              </w:rPr>
              <w:t>דנה הלן פינקלשטיין</w:t>
            </w:r>
          </w:p>
          <w:p w14:paraId="0C99934B" w14:textId="77777777" w:rsidR="00000000" w:rsidRDefault="00000000">
            <w:pPr>
              <w:bidi/>
              <w:rPr>
                <w:rtl/>
              </w:rPr>
            </w:pPr>
            <w:r>
              <w:rPr>
                <w:rFonts w:ascii="David" w:hAnsi="David" w:cs="David"/>
                <w:sz w:val="28"/>
                <w:szCs w:val="28"/>
                <w:rtl/>
              </w:rPr>
              <w:t>6.</w:t>
            </w:r>
            <w:r>
              <w:rPr>
                <w:rStyle w:val="f3dinim"/>
                <w:rFonts w:ascii="David" w:hAnsi="David" w:cs="David"/>
                <w:color w:val="000000"/>
                <w:sz w:val="28"/>
                <w:szCs w:val="28"/>
                <w:rtl/>
              </w:rPr>
              <w:t>אבי גולדשטיין</w:t>
            </w:r>
          </w:p>
          <w:p w14:paraId="7AB460EF" w14:textId="77777777" w:rsidR="00000000" w:rsidRDefault="00000000">
            <w:pPr>
              <w:bidi/>
              <w:rPr>
                <w:rtl/>
              </w:rPr>
            </w:pPr>
            <w:r>
              <w:rPr>
                <w:rFonts w:ascii="David" w:hAnsi="David" w:cs="David"/>
                <w:sz w:val="28"/>
                <w:szCs w:val="28"/>
                <w:rtl/>
              </w:rPr>
              <w:t>7.</w:t>
            </w:r>
            <w:r>
              <w:rPr>
                <w:rStyle w:val="f3dinim"/>
                <w:rFonts w:ascii="David" w:hAnsi="David" w:cs="David"/>
                <w:color w:val="000000"/>
                <w:sz w:val="28"/>
                <w:szCs w:val="28"/>
                <w:rtl/>
              </w:rPr>
              <w:t>נאוה יוזפוביץ</w:t>
            </w:r>
          </w:p>
          <w:p w14:paraId="74F7B5F8" w14:textId="77777777" w:rsidR="00000000" w:rsidRDefault="00000000">
            <w:pPr>
              <w:bidi/>
              <w:rPr>
                <w:rtl/>
              </w:rPr>
            </w:pPr>
            <w:r>
              <w:rPr>
                <w:rFonts w:ascii="David" w:hAnsi="David" w:cs="David"/>
                <w:sz w:val="28"/>
                <w:szCs w:val="28"/>
                <w:rtl/>
              </w:rPr>
              <w:t>8.</w:t>
            </w:r>
            <w:r>
              <w:rPr>
                <w:rStyle w:val="f3dinim"/>
                <w:rFonts w:ascii="David" w:hAnsi="David" w:cs="David"/>
                <w:color w:val="000000"/>
                <w:sz w:val="28"/>
                <w:szCs w:val="28"/>
                <w:rtl/>
              </w:rPr>
              <w:t>אסנת בית און</w:t>
            </w:r>
          </w:p>
          <w:p w14:paraId="5E0CE2C1" w14:textId="77777777" w:rsidR="00000000" w:rsidRDefault="00000000">
            <w:pPr>
              <w:bidi/>
              <w:rPr>
                <w:rtl/>
              </w:rPr>
            </w:pPr>
            <w:r>
              <w:rPr>
                <w:rFonts w:ascii="David" w:hAnsi="David" w:cs="David"/>
                <w:sz w:val="28"/>
                <w:szCs w:val="28"/>
                <w:rtl/>
              </w:rPr>
              <w:t>9.</w:t>
            </w:r>
            <w:r>
              <w:rPr>
                <w:rStyle w:val="f3dinim"/>
                <w:rFonts w:ascii="David" w:hAnsi="David" w:cs="David"/>
                <w:color w:val="000000"/>
                <w:sz w:val="28"/>
                <w:szCs w:val="28"/>
                <w:rtl/>
              </w:rPr>
              <w:t>מיכל זיו זמיר</w:t>
            </w:r>
          </w:p>
          <w:p w14:paraId="2F63E31A" w14:textId="77777777" w:rsidR="00000000" w:rsidRDefault="00000000">
            <w:pPr>
              <w:bidi/>
              <w:rPr>
                <w:rtl/>
              </w:rPr>
            </w:pPr>
            <w:r>
              <w:rPr>
                <w:rFonts w:ascii="David" w:hAnsi="David" w:cs="David"/>
                <w:sz w:val="28"/>
                <w:szCs w:val="28"/>
                <w:rtl/>
              </w:rPr>
              <w:t>10.</w:t>
            </w:r>
            <w:r>
              <w:rPr>
                <w:rStyle w:val="f3dinim"/>
                <w:rFonts w:ascii="David" w:hAnsi="David" w:cs="David"/>
                <w:color w:val="000000"/>
                <w:sz w:val="28"/>
                <w:szCs w:val="28"/>
                <w:rtl/>
              </w:rPr>
              <w:t>טוני זמיר איתן</w:t>
            </w:r>
          </w:p>
          <w:p w14:paraId="260C1FE2" w14:textId="77777777" w:rsidR="00000000" w:rsidRDefault="00000000">
            <w:pPr>
              <w:bidi/>
              <w:rPr>
                <w:rtl/>
              </w:rPr>
            </w:pPr>
            <w:r>
              <w:rPr>
                <w:rFonts w:ascii="David" w:hAnsi="David" w:cs="David"/>
                <w:sz w:val="28"/>
                <w:szCs w:val="28"/>
                <w:rtl/>
              </w:rPr>
              <w:t>11.</w:t>
            </w:r>
            <w:r>
              <w:rPr>
                <w:rStyle w:val="f3dinim"/>
                <w:rFonts w:ascii="David" w:hAnsi="David" w:cs="David"/>
                <w:color w:val="000000"/>
                <w:sz w:val="28"/>
                <w:szCs w:val="28"/>
                <w:rtl/>
              </w:rPr>
              <w:t>רבקה שניידר</w:t>
            </w:r>
          </w:p>
          <w:p w14:paraId="3A2FE6DC" w14:textId="77777777" w:rsidR="00000000" w:rsidRDefault="00000000">
            <w:pPr>
              <w:bidi/>
              <w:rPr>
                <w:rtl/>
              </w:rPr>
            </w:pPr>
            <w:r>
              <w:rPr>
                <w:rFonts w:ascii="David" w:hAnsi="David" w:cs="David"/>
                <w:sz w:val="28"/>
                <w:szCs w:val="28"/>
                <w:rtl/>
              </w:rPr>
              <w:t>12.</w:t>
            </w:r>
            <w:r>
              <w:rPr>
                <w:rStyle w:val="f3dinim"/>
                <w:rFonts w:ascii="David" w:hAnsi="David" w:cs="David"/>
                <w:color w:val="000000"/>
                <w:sz w:val="28"/>
                <w:szCs w:val="28"/>
                <w:rtl/>
              </w:rPr>
              <w:t>ברוריה מרגולין</w:t>
            </w:r>
          </w:p>
          <w:p w14:paraId="5AB863E1" w14:textId="77777777" w:rsidR="00000000" w:rsidRDefault="00000000">
            <w:pPr>
              <w:bidi/>
              <w:rPr>
                <w:rtl/>
              </w:rPr>
            </w:pPr>
            <w:r>
              <w:rPr>
                <w:rFonts w:ascii="David" w:hAnsi="David" w:cs="David"/>
                <w:sz w:val="28"/>
                <w:szCs w:val="28"/>
                <w:rtl/>
              </w:rPr>
              <w:t>13.</w:t>
            </w:r>
            <w:r>
              <w:rPr>
                <w:rStyle w:val="f3dinim"/>
                <w:rFonts w:ascii="David" w:hAnsi="David" w:cs="David"/>
                <w:color w:val="000000"/>
                <w:sz w:val="28"/>
                <w:szCs w:val="28"/>
                <w:rtl/>
              </w:rPr>
              <w:t>הדר יואב יעקב</w:t>
            </w:r>
          </w:p>
          <w:p w14:paraId="6EDCA665" w14:textId="77777777" w:rsidR="00000000" w:rsidRDefault="00000000">
            <w:pPr>
              <w:bidi/>
              <w:rPr>
                <w:rtl/>
              </w:rPr>
            </w:pPr>
            <w:r>
              <w:rPr>
                <w:rFonts w:ascii="David" w:hAnsi="David" w:cs="David"/>
                <w:sz w:val="28"/>
                <w:szCs w:val="28"/>
                <w:rtl/>
              </w:rPr>
              <w:t>14.</w:t>
            </w:r>
            <w:r>
              <w:rPr>
                <w:rStyle w:val="f3dinim"/>
                <w:rFonts w:ascii="David" w:hAnsi="David" w:cs="David"/>
                <w:color w:val="000000"/>
                <w:sz w:val="28"/>
                <w:szCs w:val="28"/>
                <w:rtl/>
              </w:rPr>
              <w:t>אפרת גולדברג</w:t>
            </w:r>
          </w:p>
          <w:p w14:paraId="21E873F8" w14:textId="77777777" w:rsidR="00000000" w:rsidRDefault="00000000">
            <w:pPr>
              <w:bidi/>
              <w:rPr>
                <w:rtl/>
              </w:rPr>
            </w:pPr>
            <w:r>
              <w:rPr>
                <w:rFonts w:ascii="David" w:hAnsi="David" w:cs="David"/>
                <w:sz w:val="28"/>
                <w:szCs w:val="28"/>
                <w:rtl/>
              </w:rPr>
              <w:t>15.</w:t>
            </w:r>
            <w:r>
              <w:rPr>
                <w:rStyle w:val="f3dinim"/>
                <w:rFonts w:ascii="David" w:hAnsi="David" w:cs="David"/>
                <w:color w:val="000000"/>
                <w:sz w:val="28"/>
                <w:szCs w:val="28"/>
                <w:rtl/>
              </w:rPr>
              <w:t>סלומה פקיאל דיין</w:t>
            </w:r>
          </w:p>
          <w:p w14:paraId="6DB5AD8F" w14:textId="77777777" w:rsidR="00000000" w:rsidRDefault="00000000">
            <w:pPr>
              <w:bidi/>
              <w:rPr>
                <w:rtl/>
              </w:rPr>
            </w:pPr>
            <w:r>
              <w:rPr>
                <w:rFonts w:ascii="David" w:hAnsi="David" w:cs="David"/>
                <w:sz w:val="28"/>
                <w:szCs w:val="28"/>
                <w:rtl/>
              </w:rPr>
              <w:t>16.</w:t>
            </w:r>
            <w:r>
              <w:rPr>
                <w:rStyle w:val="f3dinim"/>
                <w:rFonts w:ascii="David" w:hAnsi="David" w:cs="David"/>
                <w:color w:val="000000"/>
                <w:sz w:val="28"/>
                <w:szCs w:val="28"/>
                <w:rtl/>
              </w:rPr>
              <w:t>אייל אלברט דיין</w:t>
            </w:r>
          </w:p>
          <w:p w14:paraId="6DD03730" w14:textId="77777777" w:rsidR="00000000" w:rsidRDefault="00000000">
            <w:pPr>
              <w:bidi/>
              <w:rPr>
                <w:rtl/>
              </w:rPr>
            </w:pPr>
            <w:r>
              <w:rPr>
                <w:rFonts w:ascii="David" w:hAnsi="David" w:cs="David"/>
                <w:sz w:val="28"/>
                <w:szCs w:val="28"/>
                <w:rtl/>
              </w:rPr>
              <w:t>17.</w:t>
            </w:r>
            <w:r>
              <w:rPr>
                <w:rStyle w:val="f3dinim"/>
                <w:rFonts w:ascii="David" w:hAnsi="David" w:cs="David"/>
                <w:color w:val="000000"/>
                <w:sz w:val="28"/>
                <w:szCs w:val="28"/>
                <w:rtl/>
              </w:rPr>
              <w:t>רוני לינדר גנץ</w:t>
            </w:r>
          </w:p>
          <w:p w14:paraId="67E23089" w14:textId="77777777" w:rsidR="00000000" w:rsidRDefault="00000000">
            <w:pPr>
              <w:bidi/>
              <w:rPr>
                <w:rtl/>
              </w:rPr>
            </w:pPr>
            <w:r>
              <w:rPr>
                <w:rFonts w:ascii="David" w:hAnsi="David" w:cs="David"/>
                <w:sz w:val="28"/>
                <w:szCs w:val="28"/>
                <w:rtl/>
              </w:rPr>
              <w:t>18.</w:t>
            </w:r>
            <w:r>
              <w:rPr>
                <w:rStyle w:val="f3dinim"/>
                <w:rFonts w:ascii="David" w:hAnsi="David" w:cs="David"/>
                <w:color w:val="000000"/>
                <w:sz w:val="28"/>
                <w:szCs w:val="28"/>
                <w:rtl/>
              </w:rPr>
              <w:t>ערן גנץ</w:t>
            </w:r>
          </w:p>
          <w:p w14:paraId="6B6CDA99" w14:textId="77777777" w:rsidR="00000000" w:rsidRDefault="00000000">
            <w:pPr>
              <w:bidi/>
              <w:rPr>
                <w:rtl/>
              </w:rPr>
            </w:pPr>
            <w:r>
              <w:rPr>
                <w:rFonts w:ascii="David" w:hAnsi="David" w:cs="David"/>
                <w:sz w:val="28"/>
                <w:szCs w:val="28"/>
                <w:rtl/>
              </w:rPr>
              <w:t>19.</w:t>
            </w:r>
            <w:r>
              <w:rPr>
                <w:rStyle w:val="f3dinim"/>
                <w:rFonts w:ascii="David" w:hAnsi="David" w:cs="David"/>
                <w:color w:val="000000"/>
                <w:sz w:val="28"/>
                <w:szCs w:val="28"/>
                <w:rtl/>
              </w:rPr>
              <w:t>יוסף חיים סגל</w:t>
            </w:r>
          </w:p>
          <w:p w14:paraId="4A0B0FD3" w14:textId="77777777" w:rsidR="00000000" w:rsidRDefault="00000000">
            <w:pPr>
              <w:bidi/>
              <w:rPr>
                <w:rtl/>
              </w:rPr>
            </w:pPr>
            <w:r>
              <w:rPr>
                <w:rFonts w:ascii="David" w:hAnsi="David" w:cs="David"/>
                <w:sz w:val="28"/>
                <w:szCs w:val="28"/>
                <w:rtl/>
              </w:rPr>
              <w:t>20.</w:t>
            </w:r>
            <w:r>
              <w:rPr>
                <w:rStyle w:val="f3dinim"/>
                <w:rFonts w:ascii="David" w:hAnsi="David" w:cs="David"/>
                <w:color w:val="000000"/>
                <w:sz w:val="28"/>
                <w:szCs w:val="28"/>
                <w:rtl/>
              </w:rPr>
              <w:t>חדוה סגל</w:t>
            </w:r>
          </w:p>
          <w:p w14:paraId="256AEF64" w14:textId="77777777" w:rsidR="00000000" w:rsidRDefault="00000000">
            <w:pPr>
              <w:bidi/>
              <w:rPr>
                <w:rtl/>
              </w:rPr>
            </w:pPr>
            <w:r>
              <w:rPr>
                <w:rFonts w:ascii="David" w:hAnsi="David" w:cs="David"/>
                <w:sz w:val="28"/>
                <w:szCs w:val="28"/>
                <w:rtl/>
              </w:rPr>
              <w:t>21.</w:t>
            </w:r>
            <w:r>
              <w:rPr>
                <w:rStyle w:val="f3dinim"/>
                <w:rFonts w:ascii="David" w:hAnsi="David" w:cs="David"/>
                <w:color w:val="000000"/>
                <w:sz w:val="28"/>
                <w:szCs w:val="28"/>
                <w:rtl/>
              </w:rPr>
              <w:t>סטיב קפלן</w:t>
            </w:r>
          </w:p>
          <w:p w14:paraId="126E8BB9" w14:textId="77777777" w:rsidR="00000000" w:rsidRDefault="00000000">
            <w:pPr>
              <w:bidi/>
              <w:rPr>
                <w:rtl/>
              </w:rPr>
            </w:pPr>
            <w:r>
              <w:rPr>
                <w:rFonts w:ascii="David" w:hAnsi="David" w:cs="David"/>
                <w:sz w:val="28"/>
                <w:szCs w:val="28"/>
                <w:rtl/>
              </w:rPr>
              <w:t>22.</w:t>
            </w:r>
            <w:r>
              <w:rPr>
                <w:rStyle w:val="f3dinim"/>
                <w:rFonts w:ascii="David" w:hAnsi="David" w:cs="David"/>
                <w:color w:val="000000"/>
                <w:sz w:val="28"/>
                <w:szCs w:val="28"/>
                <w:rtl/>
              </w:rPr>
              <w:t>אירית קפלן</w:t>
            </w:r>
          </w:p>
          <w:p w14:paraId="35F2FB1E" w14:textId="77777777" w:rsidR="00000000" w:rsidRDefault="00000000">
            <w:pPr>
              <w:bidi/>
              <w:rPr>
                <w:rtl/>
              </w:rPr>
            </w:pPr>
            <w:r>
              <w:rPr>
                <w:rFonts w:ascii="David" w:hAnsi="David" w:cs="David"/>
                <w:sz w:val="28"/>
                <w:szCs w:val="28"/>
                <w:rtl/>
              </w:rPr>
              <w:t>23.</w:t>
            </w:r>
            <w:r>
              <w:rPr>
                <w:rStyle w:val="f3dinim"/>
                <w:rFonts w:ascii="David" w:hAnsi="David" w:cs="David"/>
                <w:color w:val="000000"/>
                <w:sz w:val="28"/>
                <w:szCs w:val="28"/>
                <w:rtl/>
              </w:rPr>
              <w:t>טלי בסר שוורצשטיין</w:t>
            </w:r>
          </w:p>
          <w:p w14:paraId="45988F9B" w14:textId="77777777" w:rsidR="00000000" w:rsidRDefault="00000000">
            <w:pPr>
              <w:bidi/>
              <w:rPr>
                <w:rtl/>
              </w:rPr>
            </w:pPr>
            <w:r>
              <w:rPr>
                <w:rFonts w:ascii="David" w:hAnsi="David" w:cs="David"/>
                <w:sz w:val="28"/>
                <w:szCs w:val="28"/>
                <w:rtl/>
              </w:rPr>
              <w:t>24.</w:t>
            </w:r>
            <w:r>
              <w:rPr>
                <w:rStyle w:val="f3dinim"/>
                <w:rFonts w:ascii="David" w:hAnsi="David" w:cs="David"/>
                <w:color w:val="000000"/>
                <w:sz w:val="28"/>
                <w:szCs w:val="28"/>
                <w:rtl/>
              </w:rPr>
              <w:t>ישראל דב זוסמן</w:t>
            </w:r>
          </w:p>
          <w:p w14:paraId="08CA01C2" w14:textId="77777777" w:rsidR="00000000" w:rsidRDefault="00000000">
            <w:pPr>
              <w:bidi/>
              <w:rPr>
                <w:rtl/>
              </w:rPr>
            </w:pPr>
            <w:r>
              <w:rPr>
                <w:rFonts w:ascii="David" w:hAnsi="David" w:cs="David"/>
                <w:sz w:val="28"/>
                <w:szCs w:val="28"/>
                <w:rtl/>
              </w:rPr>
              <w:t>25.</w:t>
            </w:r>
            <w:r>
              <w:rPr>
                <w:rStyle w:val="f3dinim"/>
                <w:rFonts w:ascii="David" w:hAnsi="David" w:cs="David"/>
                <w:color w:val="000000"/>
                <w:sz w:val="28"/>
                <w:szCs w:val="28"/>
                <w:rtl/>
              </w:rPr>
              <w:t>מרדכי מנחם זוסמן</w:t>
            </w:r>
          </w:p>
          <w:p w14:paraId="48B217CA" w14:textId="77777777" w:rsidR="00000000" w:rsidRDefault="00000000">
            <w:pPr>
              <w:bidi/>
              <w:rPr>
                <w:rtl/>
              </w:rPr>
            </w:pPr>
            <w:r>
              <w:rPr>
                <w:rFonts w:ascii="David" w:hAnsi="David" w:cs="David"/>
                <w:sz w:val="28"/>
                <w:szCs w:val="28"/>
                <w:rtl/>
              </w:rPr>
              <w:t>26.</w:t>
            </w:r>
            <w:r>
              <w:rPr>
                <w:rStyle w:val="f3dinim"/>
                <w:rFonts w:ascii="David" w:hAnsi="David" w:cs="David"/>
                <w:color w:val="000000"/>
                <w:sz w:val="28"/>
                <w:szCs w:val="28"/>
                <w:rtl/>
              </w:rPr>
              <w:t>נאוה בן משה</w:t>
            </w:r>
          </w:p>
          <w:p w14:paraId="73476F94" w14:textId="77777777" w:rsidR="00000000" w:rsidRDefault="00000000">
            <w:pPr>
              <w:bidi/>
              <w:rPr>
                <w:rtl/>
              </w:rPr>
            </w:pPr>
            <w:r>
              <w:rPr>
                <w:rFonts w:ascii="David" w:hAnsi="David" w:cs="David"/>
                <w:sz w:val="28"/>
                <w:szCs w:val="28"/>
                <w:rtl/>
              </w:rPr>
              <w:t>ע"י ב"כ עו"ד לירן רובין</w:t>
            </w:r>
          </w:p>
        </w:tc>
      </w:tr>
      <w:tr w:rsidR="00000000" w14:paraId="774EDB0F" w14:textId="77777777">
        <w:trPr>
          <w:jc w:val="center"/>
        </w:trPr>
        <w:tc>
          <w:tcPr>
            <w:tcW w:w="750" w:type="dxa"/>
            <w:tcBorders>
              <w:top w:val="nil"/>
              <w:left w:val="nil"/>
              <w:bottom w:val="nil"/>
              <w:right w:val="nil"/>
            </w:tcBorders>
            <w:vAlign w:val="center"/>
            <w:hideMark/>
          </w:tcPr>
          <w:p w14:paraId="40A7DC27" w14:textId="77777777" w:rsidR="00000000" w:rsidRDefault="00000000">
            <w:pPr>
              <w:rPr>
                <w:rtl/>
              </w:rPr>
            </w:pPr>
          </w:p>
        </w:tc>
        <w:tc>
          <w:tcPr>
            <w:tcW w:w="2505" w:type="dxa"/>
            <w:tcBorders>
              <w:top w:val="nil"/>
              <w:left w:val="nil"/>
              <w:bottom w:val="nil"/>
              <w:right w:val="nil"/>
            </w:tcBorders>
            <w:vAlign w:val="center"/>
            <w:hideMark/>
          </w:tcPr>
          <w:p w14:paraId="02B5A9ED" w14:textId="77777777" w:rsidR="00000000" w:rsidRDefault="00000000">
            <w:pPr>
              <w:bidi/>
              <w:rPr>
                <w:rFonts w:eastAsia="Times New Roman"/>
                <w:sz w:val="20"/>
                <w:szCs w:val="20"/>
              </w:rPr>
            </w:pPr>
          </w:p>
        </w:tc>
        <w:tc>
          <w:tcPr>
            <w:tcW w:w="5565" w:type="dxa"/>
            <w:tcBorders>
              <w:top w:val="nil"/>
              <w:left w:val="nil"/>
              <w:bottom w:val="nil"/>
              <w:right w:val="nil"/>
            </w:tcBorders>
            <w:vAlign w:val="center"/>
            <w:hideMark/>
          </w:tcPr>
          <w:p w14:paraId="0E448FD7" w14:textId="77777777" w:rsidR="00000000" w:rsidRDefault="00000000">
            <w:pPr>
              <w:bidi/>
              <w:rPr>
                <w:rFonts w:eastAsia="Times New Roman"/>
                <w:sz w:val="20"/>
                <w:szCs w:val="20"/>
              </w:rPr>
            </w:pPr>
          </w:p>
        </w:tc>
      </w:tr>
    </w:tbl>
    <w:p w14:paraId="2736C8E2" w14:textId="77777777" w:rsidR="00000000" w:rsidRDefault="00000000">
      <w:pPr>
        <w:bidi/>
      </w:pPr>
      <w:r>
        <w:rPr>
          <w:rFonts w:ascii="David" w:hAnsi="David" w:cs="David"/>
          <w:sz w:val="28"/>
          <w:szCs w:val="28"/>
          <w:rtl/>
        </w:rPr>
        <w:t> </w:t>
      </w:r>
    </w:p>
    <w:tbl>
      <w:tblPr>
        <w:bidiVisual/>
        <w:tblW w:w="8820" w:type="dxa"/>
        <w:jc w:val="center"/>
        <w:tblCellMar>
          <w:left w:w="0" w:type="dxa"/>
          <w:right w:w="0" w:type="dxa"/>
        </w:tblCellMar>
        <w:tblLook w:val="04A0" w:firstRow="1" w:lastRow="0" w:firstColumn="1" w:lastColumn="0" w:noHBand="0" w:noVBand="1"/>
      </w:tblPr>
      <w:tblGrid>
        <w:gridCol w:w="8820"/>
      </w:tblGrid>
      <w:tr w:rsidR="00000000" w14:paraId="5CDEFF27" w14:textId="77777777">
        <w:trPr>
          <w:jc w:val="center"/>
        </w:trPr>
        <w:tc>
          <w:tcPr>
            <w:tcW w:w="8820" w:type="dxa"/>
            <w:tcMar>
              <w:top w:w="0" w:type="dxa"/>
              <w:left w:w="108" w:type="dxa"/>
              <w:bottom w:w="0" w:type="dxa"/>
              <w:right w:w="108" w:type="dxa"/>
            </w:tcMar>
            <w:hideMark/>
          </w:tcPr>
          <w:p w14:paraId="7BC55872" w14:textId="77777777" w:rsidR="00000000" w:rsidRDefault="00000000">
            <w:pPr>
              <w:bidi/>
              <w:jc w:val="center"/>
              <w:rPr>
                <w:rtl/>
              </w:rPr>
            </w:pPr>
            <w:r>
              <w:rPr>
                <w:rStyle w:val="f13hdinim"/>
                <w:rFonts w:ascii="David" w:hAnsi="David" w:cs="David"/>
                <w:b/>
                <w:bCs/>
                <w:color w:val="000000"/>
                <w:sz w:val="28"/>
                <w:szCs w:val="28"/>
                <w:u w:val="single"/>
                <w:rtl/>
              </w:rPr>
              <w:t>פסק דין</w:t>
            </w:r>
          </w:p>
        </w:tc>
      </w:tr>
    </w:tbl>
    <w:p w14:paraId="71EF712D" w14:textId="77777777" w:rsidR="00000000" w:rsidRDefault="00000000">
      <w:pPr>
        <w:bidi/>
        <w:spacing w:line="360" w:lineRule="auto"/>
        <w:jc w:val="both"/>
        <w:rPr>
          <w:rtl/>
        </w:rPr>
      </w:pPr>
      <w:r>
        <w:rPr>
          <w:rFonts w:ascii="David" w:hAnsi="David" w:cs="David"/>
          <w:sz w:val="28"/>
          <w:szCs w:val="28"/>
          <w:rtl/>
        </w:rPr>
        <w:t> </w:t>
      </w:r>
    </w:p>
    <w:p w14:paraId="09D5CEC7" w14:textId="77777777" w:rsidR="00000000" w:rsidRDefault="00000000">
      <w:pPr>
        <w:bidi/>
        <w:spacing w:after="160" w:line="360" w:lineRule="auto"/>
        <w:jc w:val="both"/>
        <w:rPr>
          <w:rtl/>
        </w:rPr>
      </w:pPr>
      <w:r>
        <w:rPr>
          <w:rFonts w:ascii="David" w:hAnsi="David" w:cs="David"/>
          <w:sz w:val="28"/>
          <w:szCs w:val="28"/>
          <w:rtl/>
        </w:rPr>
        <w:lastRenderedPageBreak/>
        <w:t>לפני ערעור על פסק דינה של המפקחת הבכירה על רישום מקרקעין, הגב' דגנית קציר-ברין (להלן: "</w:t>
      </w:r>
      <w:r>
        <w:rPr>
          <w:rFonts w:ascii="David" w:hAnsi="David" w:cs="David"/>
          <w:b/>
          <w:bCs/>
          <w:sz w:val="28"/>
          <w:szCs w:val="28"/>
          <w:rtl/>
        </w:rPr>
        <w:t>המפקחת</w:t>
      </w:r>
      <w:r>
        <w:rPr>
          <w:rFonts w:ascii="David" w:hAnsi="David" w:cs="David"/>
          <w:sz w:val="28"/>
          <w:szCs w:val="28"/>
          <w:rtl/>
        </w:rPr>
        <w:t>"), בתיק 4/451/2023 מיום 22/5/2025. במסגרת פסק דינה קיבלה המפקחת תביעה אשר הוגשה כנגד המערערים בהתאם להוראות סעיף 5א' לחוק המקרקעין (חיזוק בתים מפני רעידות אדמה), התשס"ח - 2008 (להלן: "</w:t>
      </w:r>
      <w:r>
        <w:rPr>
          <w:rFonts w:ascii="David" w:hAnsi="David" w:cs="David"/>
          <w:b/>
          <w:bCs/>
          <w:sz w:val="28"/>
          <w:szCs w:val="28"/>
          <w:rtl/>
        </w:rPr>
        <w:t>חוק החיזוק</w:t>
      </w:r>
      <w:r>
        <w:rPr>
          <w:rFonts w:ascii="David" w:hAnsi="David" w:cs="David"/>
          <w:sz w:val="28"/>
          <w:szCs w:val="28"/>
          <w:rtl/>
        </w:rPr>
        <w:t xml:space="preserve">") והורתה למערערים להתקשר בהסכם להריסתו ובנייתו מחדש של בית משותף ובו דירתם. </w:t>
      </w:r>
    </w:p>
    <w:p w14:paraId="6A6A4C7B" w14:textId="77777777" w:rsidR="00000000" w:rsidRDefault="00000000">
      <w:pPr>
        <w:bidi/>
        <w:spacing w:after="160" w:line="360" w:lineRule="auto"/>
        <w:jc w:val="both"/>
        <w:rPr>
          <w:rtl/>
        </w:rPr>
      </w:pPr>
      <w:r>
        <w:rPr>
          <w:rFonts w:ascii="David" w:hAnsi="David" w:cs="David"/>
          <w:b/>
          <w:bCs/>
          <w:sz w:val="28"/>
          <w:szCs w:val="28"/>
          <w:u w:val="single"/>
          <w:rtl/>
        </w:rPr>
        <w:t>מבוא;</w:t>
      </w:r>
    </w:p>
    <w:p w14:paraId="0B0500A0" w14:textId="77777777" w:rsidR="00000000" w:rsidRDefault="00000000">
      <w:pPr>
        <w:bidi/>
        <w:spacing w:line="360" w:lineRule="auto"/>
        <w:ind w:left="720" w:hanging="778"/>
        <w:jc w:val="both"/>
        <w:rPr>
          <w:rtl/>
        </w:rPr>
      </w:pPr>
      <w:r>
        <w:rPr>
          <w:rFonts w:ascii="David" w:hAnsi="David" w:cs="David"/>
          <w:sz w:val="28"/>
          <w:szCs w:val="28"/>
          <w:rtl/>
        </w:rPr>
        <w:t>1.</w:t>
      </w:r>
      <w:r>
        <w:rPr>
          <w:sz w:val="14"/>
          <w:szCs w:val="14"/>
          <w:rtl/>
        </w:rPr>
        <w:t xml:space="preserve">  </w:t>
      </w:r>
      <w:r>
        <w:rPr>
          <w:rFonts w:ascii="David" w:hAnsi="David" w:cs="David"/>
          <w:sz w:val="28"/>
          <w:szCs w:val="28"/>
          <w:rtl/>
        </w:rPr>
        <w:t>המערערים הם בעלי דירה הידועה כתת חלקה 3 בבית משותף ברחוב דוד המלך 35 פינת רחוב אורי לסר 2 בתל אביב, הידוע כחלקות 365,366,380 ו - 381 בגוש 6111 (להלן: "</w:t>
      </w:r>
      <w:r>
        <w:rPr>
          <w:rFonts w:ascii="David" w:hAnsi="David" w:cs="David"/>
          <w:b/>
          <w:bCs/>
          <w:sz w:val="28"/>
          <w:szCs w:val="28"/>
          <w:rtl/>
        </w:rPr>
        <w:t>הבית המשותף</w:t>
      </w:r>
      <w:r>
        <w:rPr>
          <w:rFonts w:ascii="David" w:hAnsi="David" w:cs="David"/>
          <w:sz w:val="28"/>
          <w:szCs w:val="28"/>
          <w:rtl/>
        </w:rPr>
        <w:t xml:space="preserve">"). בבית המשותף 16 דירות. הבית המשותף נבנה לפני ה - 1/1/1980 (בשנת 1955), הוא אינו עומד בתקן ישראלי 413 לעמידות מפני רעידות אדמה וחלות בהקשר אליו הוראות תמ"א 38. </w:t>
      </w:r>
    </w:p>
    <w:p w14:paraId="59F5A9DA" w14:textId="77777777" w:rsidR="00000000" w:rsidRDefault="00000000">
      <w:pPr>
        <w:bidi/>
        <w:spacing w:line="360" w:lineRule="auto"/>
        <w:ind w:left="720"/>
        <w:jc w:val="both"/>
        <w:rPr>
          <w:rtl/>
        </w:rPr>
      </w:pPr>
      <w:r>
        <w:rPr>
          <w:rFonts w:ascii="David" w:hAnsi="David" w:cs="David"/>
          <w:sz w:val="28"/>
          <w:szCs w:val="28"/>
        </w:rPr>
        <w:t> </w:t>
      </w:r>
    </w:p>
    <w:p w14:paraId="40820515" w14:textId="77777777" w:rsidR="00000000" w:rsidRDefault="00000000">
      <w:pPr>
        <w:bidi/>
        <w:spacing w:line="360" w:lineRule="auto"/>
        <w:ind w:left="720" w:hanging="778"/>
        <w:jc w:val="both"/>
        <w:rPr>
          <w:rtl/>
        </w:rPr>
      </w:pPr>
      <w:r>
        <w:rPr>
          <w:rFonts w:ascii="David" w:hAnsi="David" w:cs="David"/>
          <w:sz w:val="28"/>
          <w:szCs w:val="28"/>
          <w:rtl/>
        </w:rPr>
        <w:t>2.</w:t>
      </w:r>
      <w:r>
        <w:rPr>
          <w:sz w:val="14"/>
          <w:szCs w:val="14"/>
          <w:rtl/>
        </w:rPr>
        <w:t xml:space="preserve">  </w:t>
      </w:r>
      <w:r>
        <w:rPr>
          <w:rFonts w:ascii="David" w:hAnsi="David" w:cs="David"/>
          <w:sz w:val="28"/>
          <w:szCs w:val="28"/>
          <w:rtl/>
        </w:rPr>
        <w:t>בעלי 13 דירות מבין בעלי הדירות בבית המשותף (המהווים 81.25% מכלל בעלי הדירות, אשר 85% מהרכוש המשותף צמוד לדירותיהם), התקשרו בהסכם מיום 21/5/2021 עם חברה יזמית בשם חברת נוגה אורי לסר בע"מ (להלן: "</w:t>
      </w:r>
      <w:r>
        <w:rPr>
          <w:rFonts w:ascii="David" w:hAnsi="David" w:cs="David"/>
          <w:b/>
          <w:bCs/>
          <w:sz w:val="28"/>
          <w:szCs w:val="28"/>
          <w:rtl/>
        </w:rPr>
        <w:t>היזם</w:t>
      </w:r>
      <w:r>
        <w:rPr>
          <w:rFonts w:ascii="David" w:hAnsi="David" w:cs="David"/>
          <w:sz w:val="28"/>
          <w:szCs w:val="28"/>
          <w:rtl/>
        </w:rPr>
        <w:t>"), לביצוע פרויקט להריסת הבית המשותף הקיים והקמת בית חדש ומחוזק תחתיו, הכולל בסך הכל 31 דירות - 16 מבין הדירות מיועדות לבעלי הדירות הקיימים ו - 15 כדירות תמורה ליזם. יצוין כי הדירות החדשות המיועדות לבעלי הדירות הקיימים כוללות: תוספת שטח של כ - 23 מ"ר לכל דירה (לרבות ממ"ד) מעבר לשטחה של דירת המקור, תוספת מרפסת שמש בשטח של 14 מ"ר או גינה בשטח של 21 מ"ר, מחסן וחניה תת קרקעית לכל דירה. כמו כן, נקבע בהסכם כי תוקם בבית מעלית ולבית יהיה מפרט יוקרתי (להלן: "</w:t>
      </w:r>
      <w:r>
        <w:rPr>
          <w:rFonts w:ascii="David" w:hAnsi="David" w:cs="David"/>
          <w:b/>
          <w:bCs/>
          <w:sz w:val="28"/>
          <w:szCs w:val="28"/>
          <w:rtl/>
        </w:rPr>
        <w:t>הסכם התמ"א</w:t>
      </w:r>
      <w:r>
        <w:rPr>
          <w:rFonts w:ascii="David" w:hAnsi="David" w:cs="David"/>
          <w:sz w:val="28"/>
          <w:szCs w:val="28"/>
          <w:rtl/>
        </w:rPr>
        <w:t xml:space="preserve">"). </w:t>
      </w:r>
    </w:p>
    <w:p w14:paraId="5709DE41" w14:textId="77777777" w:rsidR="00000000" w:rsidRDefault="00000000">
      <w:pPr>
        <w:bidi/>
        <w:spacing w:line="254" w:lineRule="auto"/>
        <w:ind w:left="720"/>
        <w:rPr>
          <w:rtl/>
        </w:rPr>
      </w:pPr>
      <w:r>
        <w:rPr>
          <w:rFonts w:ascii="David" w:hAnsi="David" w:cs="David"/>
          <w:sz w:val="28"/>
          <w:szCs w:val="28"/>
        </w:rPr>
        <w:t> </w:t>
      </w:r>
    </w:p>
    <w:p w14:paraId="30A04579" w14:textId="77777777" w:rsidR="00000000" w:rsidRDefault="00000000">
      <w:pPr>
        <w:bidi/>
        <w:spacing w:line="360" w:lineRule="auto"/>
        <w:ind w:left="720" w:hanging="778"/>
        <w:jc w:val="both"/>
        <w:rPr>
          <w:rtl/>
        </w:rPr>
      </w:pPr>
      <w:r>
        <w:rPr>
          <w:rFonts w:ascii="David" w:hAnsi="David" w:cs="David"/>
          <w:sz w:val="28"/>
          <w:szCs w:val="28"/>
          <w:rtl/>
        </w:rPr>
        <w:t>3.</w:t>
      </w:r>
      <w:r>
        <w:rPr>
          <w:sz w:val="14"/>
          <w:szCs w:val="14"/>
          <w:rtl/>
        </w:rPr>
        <w:t xml:space="preserve">  </w:t>
      </w:r>
      <w:r>
        <w:rPr>
          <w:rFonts w:ascii="David" w:hAnsi="David" w:cs="David"/>
          <w:sz w:val="28"/>
          <w:szCs w:val="28"/>
          <w:rtl/>
        </w:rPr>
        <w:t xml:space="preserve">היזם הגיש בקשה להיתר בניה (בקשה 22-2006) וביום 15/2/2023 ניתנה החלטת ועדת המשנה לתכנון ולבניה, לאשר את הבקשה להיתר בניה. </w:t>
      </w:r>
    </w:p>
    <w:p w14:paraId="0F95EEFA" w14:textId="77777777" w:rsidR="00000000" w:rsidRDefault="00000000">
      <w:pPr>
        <w:bidi/>
        <w:spacing w:line="254" w:lineRule="auto"/>
        <w:ind w:left="720"/>
        <w:rPr>
          <w:rtl/>
        </w:rPr>
      </w:pPr>
      <w:r>
        <w:rPr>
          <w:rFonts w:ascii="David" w:hAnsi="David" w:cs="David"/>
          <w:sz w:val="28"/>
          <w:szCs w:val="28"/>
        </w:rPr>
        <w:t> </w:t>
      </w:r>
    </w:p>
    <w:p w14:paraId="05FDB342" w14:textId="77777777" w:rsidR="00000000" w:rsidRDefault="00000000">
      <w:pPr>
        <w:bidi/>
        <w:spacing w:line="360" w:lineRule="auto"/>
        <w:ind w:left="720" w:hanging="778"/>
        <w:jc w:val="both"/>
        <w:rPr>
          <w:rtl/>
        </w:rPr>
      </w:pPr>
      <w:r>
        <w:rPr>
          <w:rFonts w:ascii="David" w:hAnsi="David" w:cs="David"/>
          <w:sz w:val="28"/>
          <w:szCs w:val="28"/>
          <w:rtl/>
        </w:rPr>
        <w:t>4.</w:t>
      </w:r>
      <w:r>
        <w:rPr>
          <w:sz w:val="14"/>
          <w:szCs w:val="14"/>
          <w:rtl/>
        </w:rPr>
        <w:t xml:space="preserve">  </w:t>
      </w:r>
      <w:r>
        <w:rPr>
          <w:rFonts w:ascii="David" w:hAnsi="David" w:cs="David"/>
          <w:sz w:val="28"/>
          <w:szCs w:val="28"/>
          <w:rtl/>
        </w:rPr>
        <w:t xml:space="preserve">המערערים ועוד בעלי שתי דירות נוספות - הידועות כתתי חלקה 4 ו - 10 בבית המשותף, התנגדו לחתום על הסכם התמ"א במתכונתו ומשכך - לאחר שהסכם התמ"א נחתם על ידי רוב בעלי הדירות כפי שפורט וניתנה החלטה המאשרת מתן היתר בניה - הוגשה כנגדם תביעה, במסגרתה התבקשה המפקחת - בהתאם להוראות סעיף 5א' לחוק החיזוק, לאכוף על בעלי הדירות המתנגדים, חתימה על הסכם התמ"א כפי שנחתם על ידי בעלי הדירות האחרים וכן על מסמכים אחרים הדרושים לצורך הוצאתו אל הפועל וקיום הוראותיו או כרוכים בו או הנובעים ממנו. </w:t>
      </w:r>
    </w:p>
    <w:p w14:paraId="70D2948F" w14:textId="77777777" w:rsidR="00000000" w:rsidRDefault="00000000">
      <w:pPr>
        <w:bidi/>
        <w:spacing w:line="360" w:lineRule="auto"/>
        <w:ind w:left="720"/>
        <w:jc w:val="both"/>
        <w:rPr>
          <w:rtl/>
        </w:rPr>
      </w:pPr>
      <w:r>
        <w:rPr>
          <w:rFonts w:ascii="David" w:hAnsi="David" w:cs="David"/>
          <w:sz w:val="28"/>
          <w:szCs w:val="28"/>
          <w:rtl/>
        </w:rPr>
        <w:t>במאמר מוסגר וכהקדמת המאוחר אציין כבר עתה כי הערעור הוגש רק על ידי המערערים ולא על ידי בעלי הדירות האחרים, אשר התנגדו אף הם לחתום על הסכם התמ"א. משכך, פירוט הדיון בפני הערכאה קמא, יכלול התייחסות רק לטענות הרלוונטיות למערערים.</w:t>
      </w:r>
    </w:p>
    <w:p w14:paraId="599A2AE2" w14:textId="77777777" w:rsidR="00000000" w:rsidRDefault="00000000">
      <w:pPr>
        <w:bidi/>
        <w:spacing w:line="254" w:lineRule="auto"/>
        <w:ind w:left="720"/>
        <w:rPr>
          <w:rtl/>
        </w:rPr>
      </w:pPr>
      <w:r>
        <w:rPr>
          <w:rFonts w:ascii="David" w:hAnsi="David" w:cs="David"/>
          <w:sz w:val="28"/>
          <w:szCs w:val="28"/>
        </w:rPr>
        <w:t> </w:t>
      </w:r>
    </w:p>
    <w:p w14:paraId="0A6C008A" w14:textId="77777777" w:rsidR="00000000" w:rsidRDefault="00000000">
      <w:pPr>
        <w:bidi/>
        <w:spacing w:line="360" w:lineRule="auto"/>
        <w:ind w:left="720" w:hanging="778"/>
        <w:jc w:val="both"/>
        <w:rPr>
          <w:rtl/>
        </w:rPr>
      </w:pPr>
      <w:r>
        <w:rPr>
          <w:rFonts w:ascii="David" w:hAnsi="David" w:cs="David"/>
          <w:sz w:val="28"/>
          <w:szCs w:val="28"/>
          <w:rtl/>
        </w:rPr>
        <w:t>5.</w:t>
      </w:r>
      <w:r>
        <w:rPr>
          <w:sz w:val="14"/>
          <w:szCs w:val="14"/>
          <w:rtl/>
        </w:rPr>
        <w:t xml:space="preserve">  </w:t>
      </w:r>
      <w:r>
        <w:rPr>
          <w:rFonts w:ascii="David" w:hAnsi="David" w:cs="David"/>
          <w:sz w:val="28"/>
          <w:szCs w:val="28"/>
          <w:rtl/>
        </w:rPr>
        <w:t xml:space="preserve">במסגרת התביעה טענו בעלי הדירות האחרים כי המערערים מתנגדים לחתום על הסכם התמ"א, הואיל והם מנסים לכפות על היזם מתווה ולפיו הוא יתקשר עמם בעסקה לרכישת שירותי בניה וזאת, כתנאי להסכם. נטען כי העסקה אותה מבקשים המערערים לכפות על היזם ובגדרה ישלמו המערערים ליזם עבור שירותי הבניה, מהווה סטיה מעקרון השוויון, הואיל ובמסגרתה יזכו המערערים לתמורה עודפת על פני בעלי הדירות האחרים בבית המשותף. עוד נטען כי על דירת המערערים רשומות הערות אזהרה לפי סעיף 11א' לפקודת המסים גביה, כאשר האחרונה בהן היא על סכום של 3,360,954 ₪ וכמו כן, נרשמה על דירה זו הערה בקשר עם צו עיקול של לשכת ההוצאה לפועל. נטען כי הואיל ודירת המערערים אינה נקייה משעבודים, הודיע היזם כי הוא לא יוכל לקבל ליווי בנקאי - המהווה תנאי מתלה להסכם וכפועל יוצא מכך, יתקשה היזם להעניק בטחונות כספיים לבעלי הדירות. כיוון שכך, נטען כי יש להורות למערערים לחתום על הסכם התמ"א ונוסף על כך למחוק את כל הערות האזהרה, השעבודים והעיקולים המוטלים על דירתם. </w:t>
      </w:r>
    </w:p>
    <w:p w14:paraId="6C5D58D7" w14:textId="77777777" w:rsidR="00000000" w:rsidRDefault="00000000">
      <w:pPr>
        <w:bidi/>
        <w:spacing w:line="360" w:lineRule="auto"/>
        <w:ind w:left="720"/>
        <w:jc w:val="both"/>
        <w:rPr>
          <w:rtl/>
        </w:rPr>
      </w:pPr>
      <w:r>
        <w:rPr>
          <w:rFonts w:ascii="David" w:hAnsi="David" w:cs="David"/>
          <w:sz w:val="28"/>
          <w:szCs w:val="28"/>
        </w:rPr>
        <w:t> </w:t>
      </w:r>
    </w:p>
    <w:p w14:paraId="54261E79" w14:textId="77777777" w:rsidR="00000000" w:rsidRDefault="00000000">
      <w:pPr>
        <w:bidi/>
        <w:spacing w:line="360" w:lineRule="auto"/>
        <w:ind w:left="720" w:hanging="778"/>
        <w:jc w:val="both"/>
        <w:rPr>
          <w:rtl/>
        </w:rPr>
      </w:pPr>
      <w:r>
        <w:rPr>
          <w:rFonts w:ascii="David" w:hAnsi="David" w:cs="David"/>
          <w:sz w:val="28"/>
          <w:szCs w:val="28"/>
          <w:rtl/>
        </w:rPr>
        <w:t>6.</w:t>
      </w:r>
      <w:r>
        <w:rPr>
          <w:sz w:val="14"/>
          <w:szCs w:val="14"/>
          <w:rtl/>
        </w:rPr>
        <w:t xml:space="preserve">  </w:t>
      </w:r>
      <w:r>
        <w:rPr>
          <w:rFonts w:ascii="David" w:hAnsi="David" w:cs="David"/>
          <w:sz w:val="28"/>
          <w:szCs w:val="28"/>
          <w:rtl/>
        </w:rPr>
        <w:t xml:space="preserve">המערערים טענו מנגד כי הם אינם מתנגדים לביצוע עבודה ברכוש המשותף שמטרתה הריסת הבית הקיים והקמתו מחדש ואולם, הם מסרבים למתכונת המוצעת בהסכם התמ"א ולפיה הם מוכרים את דירתם והרכוש המשותף הצמוד לה ליזם. כך לטענת המערערים בהתאם להסכם התמ"א, מוסרים בעלי הדירות האחרים את דירתם ומקבלים ללא תוספת תשלום דירה חדשה חלף דירתם הישנה ונוסף על כך מקבלים הטבות הכוללות שכר דירה לכל תקופת הבניה, תשלום הוצאות פינוי וחזרה לדירה וכן הטבות מיסוי הנכללות במסגרת תמ"א 38/2. אולם, הם מבקשים תחת זאת לרכוש מהקבלן במחיר מלא את שירותי הבנייה בגין הריסת דירתם ובנייתה מחדש בתוספת דמי הייזום. כפועל יוצא מכך, הם אמנם יקבלו את חלקם היחסי בדירות הנוספות בפרויקט ואולם, לא מדובר בתמורה עודפת שיש בה כדי לפגוע בשוויון. זאת מכיוון שבעלי הדירות האחרים בחרו לממן את ביצוע העבודות על דרך מכירת חלק מזכויותיהם בבית המשותף וזו זכותם ואילו הם מעדיפים לשלם 100% מעלות שירותי הבנייה בגין אותה עבודה. קרי בעלי הדירות האחרים משלמים עבור הבנייה בדירותיהם ובחלקם ברכוש המשותף ואילו הם משלמים עבור שירותי הבניה בכסף. לטענת המערערים, הם פנו ליזם, זה הביע הסכמתו העקרונית למתווה אשר הוצע על ידם ואולם, התנה הסכמתו להתקשר עמם בהסכם כאמור, בהסכמת בעלי הדירות האחרים אשר תתקבל קודם למועד מתן ההחלטה על ידי הוועדה המקומית. לטענת המערערים הם פנו לבעלי הדירות האחרים ואולם, אלו לא שיתפו עמם פעולה. משכך, לאחר קבלת החלטת הוועדה המקומית, חזר בו היזם מהסכמתו העקרונית למתווה המוצע על ידי המערערים. המערערים הדגישו כי הוראות חוק החיזוק אינן מקנות לבעלי דירות את הכוח או הזכות לכפות על הנתבעים למכור חלק מזכויותיהם במגרש לצורך מימון העבודות ברכוש המשותף לצד ג' וכן כי המתווה המוצע על ידם יש בו כדי להגן על זכות הקניין שלהם. המערערים הוסיפו וטענו כי תימוכין לזכותם למתווה כאמור, נמצא גם בכך שלמעשה כל זכויות הבנייה אשר הוקנו למגרש אינן נובעות מתמ"א 38 אלא מתכנית הרובעים ומשכך נטען כי הלכה למעשה מדובר בעסקת קומבינציה במסווה של תמ"א 38/2, על מנת לזכות בהטבות המס הנובעות מתמ"א 38. </w:t>
      </w:r>
    </w:p>
    <w:p w14:paraId="556BF739" w14:textId="77777777" w:rsidR="00000000" w:rsidRDefault="00000000">
      <w:pPr>
        <w:bidi/>
        <w:spacing w:line="360" w:lineRule="auto"/>
        <w:ind w:left="720"/>
        <w:jc w:val="both"/>
        <w:rPr>
          <w:rtl/>
        </w:rPr>
      </w:pPr>
      <w:r>
        <w:rPr>
          <w:rFonts w:ascii="David" w:hAnsi="David" w:cs="David"/>
          <w:sz w:val="28"/>
          <w:szCs w:val="28"/>
          <w:rtl/>
        </w:rPr>
        <w:t xml:space="preserve">לאור כל זאת טענו המערערים כי סירובם לחתום על הסכם התמ"א הוא מוצדק וכי אין לאכוף עליהם חתימה על הסכם זה. </w:t>
      </w:r>
    </w:p>
    <w:p w14:paraId="29F83BCC" w14:textId="77777777" w:rsidR="00000000" w:rsidRDefault="00000000">
      <w:pPr>
        <w:bidi/>
        <w:spacing w:after="160" w:line="360" w:lineRule="auto"/>
        <w:ind w:left="-58"/>
        <w:jc w:val="both"/>
        <w:rPr>
          <w:rtl/>
        </w:rPr>
      </w:pPr>
      <w:r>
        <w:rPr>
          <w:rFonts w:ascii="David" w:hAnsi="David" w:cs="David"/>
          <w:b/>
          <w:bCs/>
          <w:sz w:val="28"/>
          <w:szCs w:val="28"/>
          <w:rtl/>
        </w:rPr>
        <w:t> </w:t>
      </w:r>
    </w:p>
    <w:p w14:paraId="331ABEC7" w14:textId="77777777" w:rsidR="00000000" w:rsidRDefault="00000000">
      <w:pPr>
        <w:bidi/>
        <w:spacing w:after="160" w:line="360" w:lineRule="auto"/>
        <w:ind w:left="-58"/>
        <w:jc w:val="both"/>
        <w:rPr>
          <w:rtl/>
        </w:rPr>
      </w:pPr>
      <w:r>
        <w:rPr>
          <w:rFonts w:ascii="David" w:hAnsi="David" w:cs="David"/>
          <w:b/>
          <w:bCs/>
          <w:sz w:val="28"/>
          <w:szCs w:val="28"/>
          <w:u w:val="single"/>
          <w:rtl/>
        </w:rPr>
        <w:t>פסק דינה של המפקחת;</w:t>
      </w:r>
    </w:p>
    <w:p w14:paraId="24159E94" w14:textId="77777777" w:rsidR="00000000" w:rsidRDefault="00000000">
      <w:pPr>
        <w:bidi/>
        <w:spacing w:line="360" w:lineRule="auto"/>
        <w:ind w:left="720" w:hanging="778"/>
        <w:jc w:val="both"/>
        <w:rPr>
          <w:rtl/>
        </w:rPr>
      </w:pPr>
      <w:r>
        <w:rPr>
          <w:rFonts w:ascii="David" w:hAnsi="David" w:cs="David"/>
          <w:sz w:val="28"/>
          <w:szCs w:val="28"/>
          <w:rtl/>
        </w:rPr>
        <w:t>7.</w:t>
      </w:r>
      <w:r>
        <w:rPr>
          <w:sz w:val="14"/>
          <w:szCs w:val="14"/>
          <w:rtl/>
        </w:rPr>
        <w:t xml:space="preserve">  </w:t>
      </w:r>
      <w:r>
        <w:rPr>
          <w:rFonts w:ascii="David" w:hAnsi="David" w:cs="David"/>
          <w:sz w:val="28"/>
          <w:szCs w:val="28"/>
          <w:rtl/>
        </w:rPr>
        <w:t>בפסק דינה דחתה המפקחת את טענותיהם של המערערים וקבעה כי עליהם לחתום על הסכם התמ"א.</w:t>
      </w:r>
    </w:p>
    <w:p w14:paraId="6C7155C6" w14:textId="77777777" w:rsidR="00000000" w:rsidRDefault="00000000">
      <w:pPr>
        <w:bidi/>
        <w:spacing w:line="360" w:lineRule="auto"/>
        <w:ind w:left="720"/>
        <w:jc w:val="both"/>
        <w:rPr>
          <w:rtl/>
        </w:rPr>
      </w:pPr>
      <w:r>
        <w:rPr>
          <w:rFonts w:ascii="David" w:hAnsi="David" w:cs="David"/>
          <w:sz w:val="28"/>
          <w:szCs w:val="28"/>
          <w:rtl/>
        </w:rPr>
        <w:t xml:space="preserve">בפתח פסק דינה הבהירה המפקחת את מהותן ואופיין של זכויות בניה, לרבות מכוח תמ"א 38. אשר לכך, הובהר כי בהתאם לדין, זכויות בניה אינן רכוש משותף ואין להן קיום עצמאי, אלא שמדובר בנכס כלכלי שנמצא בבעלות משותפת של בעלי הדירות בבית המשותף. כברירת מחדל זכויות אלו מחולקות בין בעלי הדירות בהתאם לחלקם היחסי ברכוש המשותף. בהתאמה לכך במסגרת חוק החיזוק נקבע כי הדירות החדשות המוקמות בפרויקט תמ"א, אמורות להירשם על שם בעלי הדירות ולכן עסקה בגדרה תירשמנה הדירות החדשות באופן שונה, מחייבת הסכמת כל בעלי הדירות וככל שזה לא ניתנה, רשאי רוב בעלי הדירות לפנות בתביעה למפקחת על מנת שזו תכפה עסקה כאמור על המיעוט. </w:t>
      </w:r>
    </w:p>
    <w:p w14:paraId="52F48E1B" w14:textId="77777777" w:rsidR="00000000" w:rsidRDefault="00000000">
      <w:pPr>
        <w:bidi/>
        <w:spacing w:line="360" w:lineRule="auto"/>
        <w:ind w:left="720"/>
        <w:jc w:val="both"/>
        <w:rPr>
          <w:rtl/>
        </w:rPr>
      </w:pPr>
      <w:r>
        <w:rPr>
          <w:rFonts w:ascii="David" w:hAnsi="David" w:cs="David"/>
          <w:sz w:val="28"/>
          <w:szCs w:val="28"/>
          <w:rtl/>
        </w:rPr>
        <w:t> </w:t>
      </w:r>
    </w:p>
    <w:p w14:paraId="0AFC8159" w14:textId="77777777" w:rsidR="00000000" w:rsidRDefault="00000000">
      <w:pPr>
        <w:bidi/>
        <w:spacing w:line="360" w:lineRule="auto"/>
        <w:ind w:left="720"/>
        <w:jc w:val="both"/>
        <w:rPr>
          <w:rtl/>
        </w:rPr>
      </w:pPr>
      <w:r>
        <w:rPr>
          <w:rFonts w:ascii="David" w:hAnsi="David" w:cs="David"/>
          <w:sz w:val="28"/>
          <w:szCs w:val="28"/>
          <w:rtl/>
        </w:rPr>
        <w:t xml:space="preserve">בהתבסס על נקודת מוצא זו, נקבע כי אין בטענות המערערים כדי להצדיק התנגדותם להסכם התמ"א. זאת ראשית, הואיל וזכויות הבניה אינן זכות קניינית המשויכת לבעל דירה פלוני, אלא נובעות מהוראות סטטוטוריות ותכנוניות ומשויכות למקרקעין. קרי הן כפופות למסגרת השיתוף במקרקעין והן ניתנות לניצול רק בהסכמה. נקבע כי קביעה זו (וכן סמכות המפקח לאשר את אופן ביצוע העבודות) שוללות את אפשרות בעל דירה בודד לדרוש ביצוע נפרד משלו או לקדם חלופה פרטית שאינה מקובלת על בעלי הזכויות האחרים או היזם - כבענייננו. </w:t>
      </w:r>
    </w:p>
    <w:p w14:paraId="13FAD727" w14:textId="77777777" w:rsidR="00000000" w:rsidRDefault="00000000">
      <w:pPr>
        <w:bidi/>
        <w:spacing w:line="360" w:lineRule="auto"/>
        <w:ind w:left="720"/>
        <w:jc w:val="both"/>
        <w:rPr>
          <w:rtl/>
        </w:rPr>
      </w:pPr>
      <w:r>
        <w:rPr>
          <w:rFonts w:ascii="David" w:hAnsi="David" w:cs="David"/>
          <w:sz w:val="28"/>
          <w:szCs w:val="28"/>
          <w:rtl/>
        </w:rPr>
        <w:t>שנית, נקבע שככלל פרויקט מסוג זה של הריסה ובניה מחדש מבוסס על מכר זכויות הבניה ליזם, שמממן את עלות הבניה וכי הדרישה של המערערים לפצל עצמם מהעסקה ולקבל שירותי בניה בנפרד, סותרת את אופי ההתקשרות הכוללת ומחייבת את הסכמת היזם. בתמיכה לכך, הפנתה המפקחת לפסק הדין בעניין שומרוני (רע"א 1002/14 שומרוני נ' קופמן (9.7.2014) (להלן: "</w:t>
      </w:r>
      <w:r>
        <w:rPr>
          <w:rFonts w:ascii="David" w:hAnsi="David" w:cs="David"/>
          <w:b/>
          <w:bCs/>
          <w:sz w:val="28"/>
          <w:szCs w:val="28"/>
          <w:rtl/>
        </w:rPr>
        <w:t>עניין שומרוני</w:t>
      </w:r>
      <w:r>
        <w:rPr>
          <w:rFonts w:ascii="David" w:hAnsi="David" w:cs="David"/>
          <w:sz w:val="28"/>
          <w:szCs w:val="28"/>
          <w:rtl/>
        </w:rPr>
        <w:t xml:space="preserve">"), במסגרתו נקבע כי דרך המלך למימוש זכויות בניה היא דווקא התקשרות עם יזם חיצוני. בהתאמה נקבע כי ניסיונם של המערערים לממש את הזכויות באופן פרטני, בניגוד לעמדת היזם שהתקשר עם רוב בעלי הדירות, נוגדת את תכלית החוק. </w:t>
      </w:r>
    </w:p>
    <w:p w14:paraId="191C9FE7" w14:textId="77777777" w:rsidR="00000000" w:rsidRDefault="00000000">
      <w:pPr>
        <w:bidi/>
        <w:spacing w:line="360" w:lineRule="auto"/>
        <w:ind w:left="720"/>
        <w:jc w:val="both"/>
        <w:rPr>
          <w:rtl/>
        </w:rPr>
      </w:pPr>
      <w:r>
        <w:rPr>
          <w:rFonts w:ascii="David" w:hAnsi="David" w:cs="David"/>
          <w:sz w:val="28"/>
          <w:szCs w:val="28"/>
          <w:rtl/>
        </w:rPr>
        <w:t xml:space="preserve">שלישית, נקבע כי מעבר להעדר עיגון משפטי, ממילא עובדתית העיד היזם כי אינו מוכן להתקשר עם המערערים במודל המוצע על ידם. משכך, נקבע כי קבלת עמדת המערערים תסכל את הפרויקט ותוביל לביטול ההסכם עם היזם. אשר לכך, הפנתה המפקחת גם לעדות אחד הנתבעים האחרים (אשר לא הגיש ערעור) ואשר הוא יזם מקרקעין ואשר העיד כי הוא עצמו לא ביצע פרויקטים במתווה שהוא מציע. נקבע כי עדות זו ממחישה את חוסר הביסוס המעשי של ההצעה. עוד הודגש כי לא הובא לעדות יזם אחר, שמוכן להתקשר עם בעלי הדירות באופן זה וכי העד הרלוונטי אף העיד כי יזמים שהביא לא הציעו מתווה עסקה כזה. נוסף על כך הפנתה המפקחת לעדות השמאי דרור גולדברג אשר העיד כי עסקאות מסוג זה מקובלות ביחס לקרקע אך לא במסגרת פרויקט תמ"א 38. </w:t>
      </w:r>
    </w:p>
    <w:p w14:paraId="7A2F2540" w14:textId="77777777" w:rsidR="00000000" w:rsidRDefault="00000000">
      <w:pPr>
        <w:bidi/>
        <w:spacing w:line="360" w:lineRule="auto"/>
        <w:ind w:left="720"/>
        <w:jc w:val="both"/>
        <w:rPr>
          <w:rtl/>
        </w:rPr>
      </w:pPr>
      <w:r>
        <w:rPr>
          <w:rFonts w:ascii="David" w:hAnsi="David" w:cs="David"/>
          <w:sz w:val="28"/>
          <w:szCs w:val="28"/>
          <w:rtl/>
        </w:rPr>
        <w:t xml:space="preserve">רביעית, נקבע כי הטענה ולפיה ניתן להשיג עסקה טובה יותר, אינה בגדר נימוק לסירוב סביר, הואיל והמטרה העליונה היא חיזוק הפרויקט ומשכך יש לבדוק האם התנאים שהושגו הם סבירים ושוויוניים ולא אם בעל דירה יכול תיאורטית להשיג תמורה טובה יותר עבור עצמו. </w:t>
      </w:r>
    </w:p>
    <w:p w14:paraId="7DB4FB43" w14:textId="77777777" w:rsidR="00000000" w:rsidRDefault="00000000">
      <w:pPr>
        <w:bidi/>
        <w:spacing w:line="360" w:lineRule="auto"/>
        <w:ind w:left="720"/>
        <w:jc w:val="both"/>
        <w:rPr>
          <w:rtl/>
        </w:rPr>
      </w:pPr>
      <w:r>
        <w:rPr>
          <w:rFonts w:ascii="David" w:hAnsi="David" w:cs="David"/>
          <w:sz w:val="28"/>
          <w:szCs w:val="28"/>
          <w:rtl/>
        </w:rPr>
        <w:t xml:space="preserve">לאור כל האמור נקבע כי בהעדר הסכמת היזם ויתר בעלי הדירות למבנה העסקה שהוצע על ידי המערערים יש לאשר את ביצוע העבודות בהתאם להסכם שנחתם עם רוב בעלי הדירות. </w:t>
      </w:r>
    </w:p>
    <w:p w14:paraId="231832A7" w14:textId="77777777" w:rsidR="00000000" w:rsidRDefault="00000000">
      <w:pPr>
        <w:bidi/>
        <w:spacing w:line="360" w:lineRule="auto"/>
        <w:ind w:left="720"/>
        <w:jc w:val="both"/>
        <w:rPr>
          <w:rtl/>
        </w:rPr>
      </w:pPr>
      <w:r>
        <w:rPr>
          <w:rFonts w:ascii="David" w:hAnsi="David" w:cs="David"/>
          <w:sz w:val="28"/>
          <w:szCs w:val="28"/>
          <w:rtl/>
        </w:rPr>
        <w:t> </w:t>
      </w:r>
    </w:p>
    <w:p w14:paraId="725BE723" w14:textId="77777777" w:rsidR="00000000" w:rsidRDefault="00000000">
      <w:pPr>
        <w:bidi/>
        <w:spacing w:line="360" w:lineRule="auto"/>
        <w:ind w:left="720" w:hanging="778"/>
        <w:jc w:val="both"/>
        <w:rPr>
          <w:rtl/>
        </w:rPr>
      </w:pPr>
      <w:r>
        <w:rPr>
          <w:rFonts w:ascii="David" w:hAnsi="David" w:cs="David"/>
          <w:sz w:val="28"/>
          <w:szCs w:val="28"/>
          <w:rtl/>
        </w:rPr>
        <w:t>8.</w:t>
      </w:r>
      <w:r>
        <w:rPr>
          <w:sz w:val="14"/>
          <w:szCs w:val="14"/>
          <w:rtl/>
        </w:rPr>
        <w:t xml:space="preserve">  </w:t>
      </w:r>
      <w:r>
        <w:rPr>
          <w:rFonts w:ascii="David" w:hAnsi="David" w:cs="David"/>
          <w:sz w:val="28"/>
          <w:szCs w:val="28"/>
          <w:rtl/>
        </w:rPr>
        <w:t xml:space="preserve">בבחינת למעלה מן הצורך, נקבע כי גם ככל שניתן היה לקבל את טענות המערערים בדבר המתווה המוצע על ידם, הרי שאין הצדקה לעשות כן במקרה הנוכחי. זאת בשים לב לכך שהמערערים לא פעלו במשך שנים לקידום חלופה כמוצע על ידם והצעתם הועלתה רק לאחר חתימת ההסכם עם היזם על ידי מרבית בעלי הדירות. לעניין זה הפנתה המפקחת לעדויות אשר נשמעו לפניה, מהן עלה כי המערערים, נעלמו והעלו את דרישתם רק בשלבים מאוחרים, לאחר שנחתמה העסקה על ידי רוב בעלי הדירות. עוד צוין כי מתוך העדויות עלה כי המערערים ניסו להביא יזמים משל עצמם לאורך התקופה, אך אלה לא התקדמו ונעלמו ממעורבות ישירה במשך זמן ארוך. זאת אף זאת, בכל הנוגע למערערים, נקבע כי ריבוי הערות אזהרה על דירתם, מחזק את חשש בעלי הדירות מפני איתנותם הפיננסית של המערערים ומפני יכולתם המעשית לרכוש שירותי בניה תמורת תשלום. </w:t>
      </w:r>
    </w:p>
    <w:p w14:paraId="4ABF2BF1" w14:textId="77777777" w:rsidR="00000000" w:rsidRDefault="00000000">
      <w:pPr>
        <w:bidi/>
        <w:spacing w:line="360" w:lineRule="auto"/>
        <w:ind w:left="720"/>
        <w:jc w:val="both"/>
        <w:rPr>
          <w:rtl/>
        </w:rPr>
      </w:pPr>
      <w:r>
        <w:rPr>
          <w:rFonts w:ascii="David" w:hAnsi="David" w:cs="David"/>
          <w:sz w:val="28"/>
          <w:szCs w:val="28"/>
          <w:rtl/>
        </w:rPr>
        <w:t xml:space="preserve">יתרה מכך, המפקחת הוסיפה וקבעה כי המערערים אמנם הציעו לשלם ליזם רווח קבלני ואולם, הם אינם מוכנים לשאת ברווח היזמי בו נושאים יתר בעלי הדירות. משכך, נקבע כי הצעתם של המערערים אינה שוויונית, הואיל והיא מעניקה למערערים יתרון כלכלי ויוצרת פער מהותי בין בעלי הדירות. עוד נקבע לעניין זה, כי קבלת הצעת המערערים עלולה לפגוע לא רק ביזם אלא גם בבעלי הדירות האחרים, אשר על מנת להוציא את הפרויקט לפועל, יאלצו לממן את הפרשי הרווח היזמי. זאת כנתמך בעדות השמאי מטעם התובעים בנושא. </w:t>
      </w:r>
    </w:p>
    <w:p w14:paraId="23058AB4" w14:textId="77777777" w:rsidR="00000000" w:rsidRDefault="00000000">
      <w:pPr>
        <w:bidi/>
        <w:spacing w:line="360" w:lineRule="auto"/>
        <w:ind w:left="720"/>
        <w:jc w:val="both"/>
        <w:rPr>
          <w:rtl/>
        </w:rPr>
      </w:pPr>
      <w:r>
        <w:rPr>
          <w:rFonts w:ascii="David" w:hAnsi="David" w:cs="David"/>
          <w:sz w:val="28"/>
          <w:szCs w:val="28"/>
          <w:rtl/>
        </w:rPr>
        <w:t> </w:t>
      </w:r>
    </w:p>
    <w:p w14:paraId="26A6E02D" w14:textId="77777777" w:rsidR="00000000" w:rsidRDefault="00000000">
      <w:pPr>
        <w:bidi/>
        <w:spacing w:line="360" w:lineRule="auto"/>
        <w:ind w:left="720" w:hanging="778"/>
        <w:jc w:val="both"/>
        <w:rPr>
          <w:rtl/>
        </w:rPr>
      </w:pPr>
      <w:r>
        <w:rPr>
          <w:rFonts w:ascii="David" w:hAnsi="David" w:cs="David"/>
          <w:sz w:val="28"/>
          <w:szCs w:val="28"/>
          <w:rtl/>
        </w:rPr>
        <w:t>9.</w:t>
      </w:r>
      <w:r>
        <w:rPr>
          <w:sz w:val="14"/>
          <w:szCs w:val="14"/>
          <w:rtl/>
        </w:rPr>
        <w:t xml:space="preserve">  </w:t>
      </w:r>
      <w:r>
        <w:rPr>
          <w:rFonts w:ascii="David" w:hAnsi="David" w:cs="David"/>
          <w:sz w:val="28"/>
          <w:szCs w:val="28"/>
          <w:rtl/>
        </w:rPr>
        <w:t xml:space="preserve">כסיכום נקבע כי בהעדר הסכמה מלאה מצד בעלי הדירות האחרים, אין לאפשר למערערים לדרוש רכישת שירותי בניה בנפרד או לשמר בידיהם את זכויות הבניה. נקבע כי כאשר רוב מיוחס פעל למימוש הזכויות כמתווה קולקטיבי, לא עומדת ליחיד זכות לסטות מן ההסכם. זאת, אלא אם תוצג חלופה קונקרטית, ישימה, עדיפה ומאוזנת - שלא הוכחה בענייננו. מכל מקום, סברה המפקחת כי אין להותיר פתח ליישום מתווה בלתי מגובש, הנסמך על הצהרות בעלמא, ללא ראיות מספקות להיתכנות משפטית או כלכלית. </w:t>
      </w:r>
    </w:p>
    <w:p w14:paraId="6AF2EE72" w14:textId="77777777" w:rsidR="00000000" w:rsidRDefault="00000000">
      <w:pPr>
        <w:bidi/>
        <w:spacing w:line="360" w:lineRule="auto"/>
        <w:ind w:left="720"/>
        <w:jc w:val="both"/>
        <w:rPr>
          <w:rtl/>
        </w:rPr>
      </w:pPr>
      <w:r>
        <w:rPr>
          <w:rFonts w:ascii="David" w:hAnsi="David" w:cs="David"/>
          <w:sz w:val="28"/>
          <w:szCs w:val="28"/>
        </w:rPr>
        <w:t> </w:t>
      </w:r>
    </w:p>
    <w:p w14:paraId="04B26BED" w14:textId="77777777" w:rsidR="00000000" w:rsidRDefault="00000000">
      <w:pPr>
        <w:bidi/>
        <w:spacing w:line="360" w:lineRule="auto"/>
        <w:ind w:left="720"/>
        <w:jc w:val="both"/>
        <w:rPr>
          <w:rtl/>
        </w:rPr>
      </w:pPr>
      <w:r>
        <w:rPr>
          <w:rFonts w:ascii="David" w:hAnsi="David" w:cs="David"/>
          <w:sz w:val="28"/>
          <w:szCs w:val="28"/>
          <w:rtl/>
        </w:rPr>
        <w:t xml:space="preserve">לאור כל זאת התקבלה התביעה כנגד המערערים והמפקחת הורתה להם לחתום על הסכם התמ"א וכן, להסיר את ההערות הרשומות על דירתם. עוד חייבה המפקחת את המערערים בהוצאות המשיבים. </w:t>
      </w:r>
    </w:p>
    <w:p w14:paraId="4BE314C6" w14:textId="77777777" w:rsidR="00000000" w:rsidRDefault="00000000">
      <w:pPr>
        <w:bidi/>
        <w:spacing w:line="360" w:lineRule="auto"/>
        <w:ind w:left="720"/>
        <w:jc w:val="both"/>
        <w:rPr>
          <w:rtl/>
        </w:rPr>
      </w:pPr>
      <w:r>
        <w:rPr>
          <w:rFonts w:ascii="David" w:hAnsi="David" w:cs="David"/>
          <w:sz w:val="28"/>
          <w:szCs w:val="28"/>
          <w:rtl/>
        </w:rPr>
        <w:t> </w:t>
      </w:r>
    </w:p>
    <w:p w14:paraId="61A0DA2D" w14:textId="77777777" w:rsidR="00000000" w:rsidRDefault="00000000">
      <w:pPr>
        <w:bidi/>
        <w:spacing w:after="160" w:line="360" w:lineRule="auto"/>
        <w:jc w:val="both"/>
        <w:rPr>
          <w:rtl/>
        </w:rPr>
      </w:pPr>
      <w:r>
        <w:rPr>
          <w:rFonts w:ascii="David" w:hAnsi="David" w:cs="David"/>
          <w:b/>
          <w:bCs/>
          <w:sz w:val="28"/>
          <w:szCs w:val="28"/>
          <w:u w:val="single"/>
          <w:rtl/>
        </w:rPr>
        <w:t>טענות הצדדים בערעור;</w:t>
      </w:r>
    </w:p>
    <w:p w14:paraId="72DEDFEA" w14:textId="77777777" w:rsidR="00000000" w:rsidRDefault="00000000">
      <w:pPr>
        <w:bidi/>
        <w:spacing w:line="360" w:lineRule="auto"/>
        <w:ind w:left="720" w:hanging="778"/>
        <w:jc w:val="both"/>
        <w:rPr>
          <w:rtl/>
        </w:rPr>
      </w:pPr>
      <w:r>
        <w:rPr>
          <w:rFonts w:ascii="David" w:hAnsi="David" w:cs="David"/>
          <w:sz w:val="28"/>
          <w:szCs w:val="28"/>
          <w:rtl/>
        </w:rPr>
        <w:t>10.</w:t>
      </w:r>
      <w:r>
        <w:rPr>
          <w:sz w:val="14"/>
          <w:szCs w:val="14"/>
          <w:rtl/>
        </w:rPr>
        <w:t xml:space="preserve">  </w:t>
      </w:r>
      <w:r>
        <w:rPr>
          <w:rFonts w:ascii="David" w:hAnsi="David" w:cs="David"/>
          <w:b/>
          <w:bCs/>
          <w:sz w:val="28"/>
          <w:szCs w:val="28"/>
          <w:u w:val="single"/>
          <w:rtl/>
        </w:rPr>
        <w:t>המערערים</w:t>
      </w:r>
      <w:r>
        <w:rPr>
          <w:rFonts w:ascii="David" w:hAnsi="David" w:cs="David"/>
          <w:sz w:val="28"/>
          <w:szCs w:val="28"/>
          <w:rtl/>
        </w:rPr>
        <w:t xml:space="preserve"> טוענים כי נפלו שגגות המצדיקות התערבות בפסק דינה של המפקחת ומשכך לטענתם דין פסק דינה להתבטל ויש להורות על הוצאתו לפועל של פרויקט התמ"א, תוך שיותר להם להתקשר עם היזם בהתאם לחלופה המוצעת על ידם - קרי כי הם ירכשו את שירותי הבנייה בכסף מהיזם, ישמרו על חלקם היחסי במקרקעין ובהלימה יקבלו - נוסף על דירה במקום דירתם, עוד אחת מהדירות הנוספות בפרויקט. </w:t>
      </w:r>
    </w:p>
    <w:p w14:paraId="6B40FF9A" w14:textId="77777777" w:rsidR="00000000" w:rsidRDefault="00000000">
      <w:pPr>
        <w:bidi/>
        <w:spacing w:line="360" w:lineRule="auto"/>
        <w:ind w:left="720"/>
        <w:jc w:val="both"/>
        <w:rPr>
          <w:rtl/>
        </w:rPr>
      </w:pPr>
      <w:r>
        <w:rPr>
          <w:rFonts w:ascii="David" w:hAnsi="David" w:cs="David"/>
          <w:sz w:val="28"/>
          <w:szCs w:val="28"/>
          <w:rtl/>
        </w:rPr>
        <w:t xml:space="preserve">כביסוס לטענותיהם, פותחים המערערים וטוענים כי הערעור נסב על פרשנות סעיף 5א' לחוק החיזוק, בשים לב למתח שבין זכויות הקניין של המערערים - כבעלי דירה בבית משותף - לבין הזכות החשובה של המשיבים - לפעול לחיזוק הבית המשותף על דרך הריסת הבית ובניית בית משותף. נטען כי המערערים אינם מתנגדים לביצוע עבודות לחיזוק הבניין, אך הם אינם מוכנים לשלם עבור בניה חדשה על ידי מכירת זכויותיהם במקרקעין ליזם, אלא מבקשים לבצע עסקה של רכישת שירותי בניה. לטענת המערערים הובהר על ידם לבעלי הדירות האחרים, כי מדובר בעסקה כלכלית מקובלת כאשר מבצעים עסקת קומבינציה. עוד נטען כי הלכה למעשה במקרה דנן מדובר בעסקת קומבינציה, אשר במסגרתה מוכרים בעלי הדירות את המקרקעין, בתמורה להריסת הבית המשותף ובנייתו מחדש. נטען כי בעסקאות קומבינציה ככלל מוכרת האפשרות לכך שעסקת הקומבינציה תהיה משולבת בעסקת שירותי בניה והראייה - הדבר אף הוכר על ידי שלטונות המס, אשר פירסמו חוזר המסדיר את הטיפול במיסוי בעסקה מסוג זה. זאת ועוד, נטען כי תימוכין נוסף לכך שמדובר בעסקה מקובלת, ניתן למצוא בכך שהיזם עצמו הסכים לשקול עסקה זו ואולם, בסופו של דבר סירב לה, רק הואיל ולא התקבלה הסכמת בעלי הדירות האחרים. </w:t>
      </w:r>
    </w:p>
    <w:p w14:paraId="379AB0DB" w14:textId="77777777" w:rsidR="00000000" w:rsidRDefault="00000000">
      <w:pPr>
        <w:bidi/>
        <w:spacing w:line="360" w:lineRule="auto"/>
        <w:ind w:left="720"/>
        <w:jc w:val="both"/>
        <w:rPr>
          <w:rtl/>
        </w:rPr>
      </w:pPr>
      <w:r>
        <w:rPr>
          <w:rFonts w:ascii="David" w:hAnsi="David" w:cs="David"/>
          <w:sz w:val="28"/>
          <w:szCs w:val="28"/>
          <w:rtl/>
        </w:rPr>
        <w:t xml:space="preserve">נטען כי בנסיבות בהן המערערים אינם מתנגדים לפרויקט, אלא מסכימים לו - לא ניתן לכפות עליהם את עמדת הרוב ולא ניתן לכפות עליהם למכור את זכויותיהם במקרקעין. נטען כי המפקחת התעלמה מהזכויות הקניין של המערערים; מהעובדה שעמדתם אינה משפיעה על בעלי הדירות האחרים; מהעובדה שהיזם הסכים לנקוט באופציה המוצעת על ידי המערערים; מהעובדה שבעלי הדירות התעלמו מפניות המערערים; וסברה בטעות כי יש לה את הכוח והסמכות לכפות על המערערים את העסקה שרקחו המשיבים והכל שעה שהמערערים אינם מתנגדים לביצוע העבודות, אלא מתנגדים אך לוותר על זכות הקניין שלהם ומוכנים לקחת את הסיכונים העסקיים, תוך ויתור על הטבות היזם והטבות המס. </w:t>
      </w:r>
    </w:p>
    <w:p w14:paraId="447F896A" w14:textId="77777777" w:rsidR="00000000" w:rsidRDefault="00000000">
      <w:pPr>
        <w:bidi/>
        <w:spacing w:line="360" w:lineRule="auto"/>
        <w:ind w:left="720"/>
        <w:jc w:val="both"/>
        <w:rPr>
          <w:rtl/>
        </w:rPr>
      </w:pPr>
      <w:r>
        <w:rPr>
          <w:rFonts w:ascii="David" w:hAnsi="David" w:cs="David"/>
          <w:sz w:val="28"/>
          <w:szCs w:val="28"/>
          <w:rtl/>
        </w:rPr>
        <w:t> </w:t>
      </w:r>
    </w:p>
    <w:p w14:paraId="6BC788C3" w14:textId="77777777" w:rsidR="00000000" w:rsidRDefault="00000000">
      <w:pPr>
        <w:bidi/>
        <w:spacing w:line="360" w:lineRule="auto"/>
        <w:ind w:left="720"/>
        <w:jc w:val="both"/>
        <w:rPr>
          <w:rtl/>
        </w:rPr>
      </w:pPr>
      <w:r>
        <w:rPr>
          <w:rFonts w:ascii="David" w:hAnsi="David" w:cs="David"/>
          <w:sz w:val="28"/>
          <w:szCs w:val="28"/>
          <w:rtl/>
        </w:rPr>
        <w:t>נטען כי נקודת המוצא בניתוח המשפטי מצויה בדינים החלים על שותפות רגילה ופשוטה במקרקעין ובכלל ולפיו לא ניתן לכפות על אדם לממש את רכושו, כלל ממנו נובע כי שותף אינו יכול לכפות האחד על השני עסקה למכירת חלקם במקרקעין. נטען כי באופן רגיל הפתרון בו נוקט חוק המקרקעין במקרה של חוסר הסכמה בין שותפים הוא פירוק שיתוף, שנעשה על דרך מכירת הזכויות במקרקעין תוך מקסום התמורה לכלל בעלי הזכויות. עוד נטען כי כאשר יש ריבוי העדפות בין שותפים, ניתן לממש את ההעדפות השונות על דרך של עסקה משולבת - קרי ליזום עסקת קומבינציה המשולבת עם מכירת זכויות ועם רכישת שירותי בניה. המערערים מוסיפים וטוענים כי מקום בו מדובר בבית משותף ובתחולת חוק החיזוק, אמנם קיים ריכוך בדרישת ההסכמה ואולם, לטענתם אין בריכוך דרישת ההסכמה כדי לגרוע מהעקרונות הבסיסיים של חוק המקרקעין ולפיהם - על מי שמבקש לכפות את דעתו להראות שאין חלופה סבירה אחרת לביצוע העבודות. נטען כי לאור זאת, מקום בו המתנגד אינו מתנגד אלא מציע חלופה ישימה להתקשרות שמבקש הרוב לכפות, אין מקום לכפות את ההתקשרות כפי שעיצב אותה הרוב, אלא שעל הרוב לשקול גם את החלופה אותה מבקש המיעוט לעצמו וככל שזו ישימה כלכלית במסגרת התכנית שגיבש הרוב - הרי שלא ניתן לכפות את עמדת הרוב על המיעוט.</w:t>
      </w:r>
    </w:p>
    <w:p w14:paraId="60D69833" w14:textId="77777777" w:rsidR="00000000" w:rsidRDefault="00000000">
      <w:pPr>
        <w:bidi/>
        <w:spacing w:line="360" w:lineRule="auto"/>
        <w:ind w:left="720"/>
        <w:jc w:val="both"/>
        <w:rPr>
          <w:rtl/>
        </w:rPr>
      </w:pPr>
      <w:r>
        <w:rPr>
          <w:rFonts w:ascii="David" w:hAnsi="David" w:cs="David"/>
          <w:sz w:val="28"/>
          <w:szCs w:val="28"/>
          <w:rtl/>
        </w:rPr>
        <w:t> </w:t>
      </w:r>
    </w:p>
    <w:p w14:paraId="2399C401" w14:textId="77777777" w:rsidR="00000000" w:rsidRDefault="00000000">
      <w:pPr>
        <w:bidi/>
        <w:spacing w:line="360" w:lineRule="auto"/>
        <w:ind w:left="720"/>
        <w:jc w:val="both"/>
        <w:rPr>
          <w:rtl/>
        </w:rPr>
      </w:pPr>
      <w:r>
        <w:rPr>
          <w:rFonts w:ascii="David" w:hAnsi="David" w:cs="David"/>
          <w:sz w:val="28"/>
          <w:szCs w:val="28"/>
          <w:rtl/>
        </w:rPr>
        <w:t xml:space="preserve">עוד טוענים המערערים כי, בכל הנוגע לפרשנות חוק החיזוק, הטיעון אשר ניתן על ידי המפקחת במסגרת פסק דינה ולפיו הדירות החדשות הן של כל בעלי הדירות ומשכך נדרשת הסכמת כולם כדי למכור כל אחת מהן - מהווה טיעון מעגלי הסובל מכשל לוגי. זאת הואיל והוא עומד בסתירה לכך שבפועל ניתן למכור דירות חדשות ליזם, אשר יכול למכור אותן הלאה בהחלטת הרוב. נטען כי בהינתן שהכלל הוא שלמערערים יש בעלות בקניין המשתרעת גם על חלקם היחסי בזכויות הבניה, הרי שיש למערערים גם הזכות לממש את בעלותם במקרקעין ובזכויות הבניה ואין לפגוע בזכויות קניין אלו אלא לתכלית ראויה. נטען כי למשוואה זו יש להכניס גם את זכות רוב בעלי הדירות לחזק את הבניין על פי תכנית החיזוק ולכן קם צורך לנהל משא ומתן בין בעלי הזכויות לשם קידום תכנית חיזוק. נטען כי משא ומתן משמעו כי אם יש הסכמה על מתווה חיזוק וחלוקת הזכויות בין הבעלים, אזי נשלל הכוח (וגם הצורך) מהרוב לכפות את מתווה החיזוק על המיעוט. אשר לכך, נטען כי מקום בו המיעוט מסכים לתכנית שהוצאה על ידי הרוב - ואולם מבקש לממשה באופן אחר- אין התנגשות אינטרסים ולכן אין צורך בכפיה דעת הרוב על המיעוט. </w:t>
      </w:r>
    </w:p>
    <w:p w14:paraId="5D012E48" w14:textId="77777777" w:rsidR="00000000" w:rsidRDefault="00000000">
      <w:pPr>
        <w:bidi/>
        <w:spacing w:line="360" w:lineRule="auto"/>
        <w:ind w:left="720"/>
        <w:jc w:val="both"/>
        <w:rPr>
          <w:rtl/>
        </w:rPr>
      </w:pPr>
      <w:r>
        <w:rPr>
          <w:rFonts w:ascii="David" w:hAnsi="David" w:cs="David"/>
          <w:sz w:val="28"/>
          <w:szCs w:val="28"/>
          <w:rtl/>
        </w:rPr>
        <w:t> </w:t>
      </w:r>
    </w:p>
    <w:p w14:paraId="11596AC8" w14:textId="77777777" w:rsidR="00000000" w:rsidRDefault="00000000">
      <w:pPr>
        <w:bidi/>
        <w:spacing w:line="360" w:lineRule="auto"/>
        <w:ind w:left="720"/>
        <w:jc w:val="both"/>
        <w:rPr>
          <w:rtl/>
        </w:rPr>
      </w:pPr>
      <w:r>
        <w:rPr>
          <w:rFonts w:ascii="David" w:hAnsi="David" w:cs="David"/>
          <w:sz w:val="28"/>
          <w:szCs w:val="28"/>
          <w:rtl/>
        </w:rPr>
        <w:t xml:space="preserve">המערערים מוסיפים ומדגישים כי מקום בו מבקשים להפקיע זכויות קנין של המיעוט, לא די באמירה "לא רוצה", אלא יש לנהל משא ומתן בתום לב ולהסביר היכן נפגעות זכויות הרוב אם יסכימו למתווה המוצע וחובה זו מוטלת גם על היזם. נטען כי במקרה דנן היזם היה מוכן לשקול מכירת שירות הבניה למערערים ואולם, נציגי הדיירים - על אף פניות רבות שנעשו אליהם - סרבו לקיים שיח ומשכך, לא היה מקום לכפות על המיעוט את דעת הרוב. עוד נטען כי הפקעת זכויות המיעוט מהווה חריג לכלל הקובע כי נדרשת הסכמה פוזיטיבית לויתור על זכויות קניין. כיוון שכך נטען כי על מנת לפנות לחריג יש להראות שלא ניתן להגיע להסכמה עם המיעוט ומשכך, כאשר לא ניתן להראות העדר הסכמה, לא ניתן לגשת לכפייה. לטענת המערערים לאור זאת, שגתה המפקחת עת קבעה - בניגוד ללשון החוק - כי לרוב יש את הכוח לכפות גם את המתווה הכלכלי להוצאת תכנית החיזוק וכי יש להעדיף את אינטרס היזם למקסם את התועלת הכלכלית שלו מהפרויקט, על אף שזה הודה כי היה מוכן לשקול מתווה של מכירת שירותי בניה למערערים. עוד נטען כי בהתאם לפסק הדין בעניין שמעוני, למיעוט הזכות להציג תכנית חלופית קונקרטית שגלומים בה יתרונות שאין בהסכם שהוצג לאישור וכך אמנם עשו המערערים בפועל, בבהירות ובגיבוי שמאות. נטען כי בנסיבות אלו, זכות הקניין של מי שלא התנגד לתכנית כפי שהוצגה, גוברת על זכות היזם שאין לו קניין בבניין להכתיב את תנאי העסקה. משכך, נטען כי כאשר מתמנה שמאי הקובע כיצד העסקה כלכלית גם כאשר המיעוט מבקש לרכוש שירותים בניה - ההנחה היא כי ימצא יזם שיהיה מוכן לבצע את העסקה. אשר לכך, נטען כי במקרה דנן הוצגה חוות דעת כלכלית, המנתחת את כלכליות הפרויקט והיזם עצמו הבהיר כי הוא מוכן לשקול שירותי בניה ואולם, כאשר בעלי הזכויות והמפקחת קבעו כי הכפייה היא דרך המלך, ברי כי היזם לא נדרש "להתאמץ" ולהיות הוגן כלפי המערערים. </w:t>
      </w:r>
    </w:p>
    <w:p w14:paraId="2E624057" w14:textId="77777777" w:rsidR="00000000" w:rsidRDefault="00000000">
      <w:pPr>
        <w:bidi/>
        <w:spacing w:line="360" w:lineRule="auto"/>
        <w:ind w:left="720"/>
        <w:jc w:val="both"/>
        <w:rPr>
          <w:rtl/>
        </w:rPr>
      </w:pPr>
      <w:r>
        <w:rPr>
          <w:rFonts w:ascii="David" w:hAnsi="David" w:cs="David"/>
          <w:sz w:val="28"/>
          <w:szCs w:val="28"/>
          <w:rtl/>
        </w:rPr>
        <w:t> </w:t>
      </w:r>
    </w:p>
    <w:p w14:paraId="0A4B209A" w14:textId="77777777" w:rsidR="00000000" w:rsidRDefault="00000000">
      <w:pPr>
        <w:bidi/>
        <w:spacing w:line="360" w:lineRule="auto"/>
        <w:ind w:left="720"/>
        <w:jc w:val="both"/>
        <w:rPr>
          <w:rtl/>
        </w:rPr>
      </w:pPr>
      <w:r>
        <w:rPr>
          <w:rFonts w:ascii="David" w:hAnsi="David" w:cs="David"/>
          <w:sz w:val="28"/>
          <w:szCs w:val="28"/>
          <w:rtl/>
        </w:rPr>
        <w:t xml:space="preserve">עוד טוענים המערערים כי - בניגוד לקביעת המפקחת - לא הוצג מצד היזם או המשיבים כל חישוב המראה פגיעה ברווח היזמי מקום בו יסכים היזם למכור שירותי בניה למערערים ולכן מדובר בקביעה חסרת כל בסיס עובדתי, תוך התעלמות מראיות שהוצגו בהליך וממתווה מקובל של עסקאות קומבינציה המשולבות בעסקאות שירותי בניה. </w:t>
      </w:r>
    </w:p>
    <w:p w14:paraId="7F2E62FF" w14:textId="77777777" w:rsidR="00000000" w:rsidRDefault="00000000">
      <w:pPr>
        <w:bidi/>
        <w:spacing w:line="360" w:lineRule="auto"/>
        <w:ind w:left="720"/>
        <w:jc w:val="both"/>
        <w:rPr>
          <w:rtl/>
        </w:rPr>
      </w:pPr>
      <w:r>
        <w:rPr>
          <w:rFonts w:ascii="David" w:hAnsi="David" w:cs="David"/>
          <w:sz w:val="28"/>
          <w:szCs w:val="28"/>
          <w:rtl/>
        </w:rPr>
        <w:t> </w:t>
      </w:r>
    </w:p>
    <w:p w14:paraId="3198D38A" w14:textId="77777777" w:rsidR="00000000" w:rsidRDefault="00000000">
      <w:pPr>
        <w:bidi/>
        <w:spacing w:line="360" w:lineRule="auto"/>
        <w:ind w:left="720"/>
        <w:jc w:val="both"/>
        <w:rPr>
          <w:rtl/>
        </w:rPr>
      </w:pPr>
      <w:r>
        <w:rPr>
          <w:rFonts w:ascii="David" w:hAnsi="David" w:cs="David"/>
          <w:sz w:val="28"/>
          <w:szCs w:val="28"/>
          <w:rtl/>
        </w:rPr>
        <w:t xml:space="preserve">לסיכום נטען כי יישום הדין מלמד כי היה מקום לקבל את עמדת המערערים. זאת הואיל ושגתה המפקחת עת גרסה שכיוון שהיזם והמשיבים לא מוכנים להתקשר בעסקת שירותי בניה - מדובר בעסקה שאינה חלופה אפשרית. לטענת המערערים, בכך שגתה המפקחת שגיאה כפולה - ראשית, הואיל ונקודת המוצא להגשת תביעה היא תמיד שאין הסכמה בין הצדדים ולאור זאת מבחן ההסכמה בו נקטה המפקחת הוא מבחן שאינו ראלי. שנית, נטען כי כאשר יינתן לרוב הכוח הבלתי מוגבל לכפות דעתו על המיעוט, הרי שזה יוביל תמיד לכפייה ולהימנעות מניהול משא ומתן הוגן, הממקסם את זכויות כל הצדדים לבעלות במקרקעין. נטען כי בהתאם לחוק, בהעדר פגיעה ברוב אין הרוב יכול לכפות את דעתו על אופן הביצוע של עסקה כלכלית על המיעוט שהם לא צד לה. נטען כי בנסיבות אלו הטיעון היחיד שניתן היה להעלות הוא שהיזם מתנגד למכירת שירותי בניה למיעוט. אלא שבמקרה דנן, הוכח כי היזם הסכים להצעה והיה מוכן לשקול מכירת שירותי בניה למערערים. מבלי לגרוע מהאמור, נטען כי בכל מקרה - אם הכלל המשפטי הוא כפיית רצון הרוב - הרי שאין לשעות לסירובו של היזם, הואיל והוא תמיד יעדיף להתקשר בעסקה שהיא פשוטה יותר מבחינתו ומשכך, לא די בהתנגדות סתם אלא שחלה חובה לנמק את ההתנגדות ולנהל משא ומתן שיאפשר את ההתנגדות. </w:t>
      </w:r>
    </w:p>
    <w:p w14:paraId="4EF81532" w14:textId="77777777" w:rsidR="00000000" w:rsidRDefault="00000000">
      <w:pPr>
        <w:bidi/>
        <w:spacing w:line="360" w:lineRule="auto"/>
        <w:ind w:left="720"/>
        <w:jc w:val="both"/>
        <w:rPr>
          <w:rtl/>
        </w:rPr>
      </w:pPr>
      <w:r>
        <w:rPr>
          <w:rFonts w:ascii="David" w:hAnsi="David" w:cs="David"/>
          <w:sz w:val="28"/>
          <w:szCs w:val="28"/>
          <w:rtl/>
        </w:rPr>
        <w:t> </w:t>
      </w:r>
    </w:p>
    <w:p w14:paraId="1E52049F" w14:textId="77777777" w:rsidR="00000000" w:rsidRDefault="00000000">
      <w:pPr>
        <w:bidi/>
        <w:spacing w:line="360" w:lineRule="auto"/>
        <w:ind w:left="720"/>
        <w:jc w:val="both"/>
        <w:rPr>
          <w:rtl/>
        </w:rPr>
      </w:pPr>
      <w:r>
        <w:rPr>
          <w:rFonts w:ascii="David" w:hAnsi="David" w:cs="David"/>
          <w:sz w:val="28"/>
          <w:szCs w:val="28"/>
          <w:rtl/>
        </w:rPr>
        <w:t xml:space="preserve">לאור זאת נטען כי יש לקבל את הערעור, להורות על ביטול פסק דינה של המפקחת ולקבוע כי לאור הוראות הדין אין לכפות על המערערים את הריסת הבית המשותף על פי הוראות סעיף 5א' לחוק החיזוק. עוד התבקש בית המשפט לחייב את המשיבים בהוצאות המערערים. </w:t>
      </w:r>
    </w:p>
    <w:p w14:paraId="4B87F8FD" w14:textId="77777777" w:rsidR="00000000" w:rsidRDefault="00000000">
      <w:pPr>
        <w:bidi/>
        <w:spacing w:line="360" w:lineRule="auto"/>
        <w:ind w:left="720"/>
        <w:jc w:val="both"/>
        <w:rPr>
          <w:rtl/>
        </w:rPr>
      </w:pPr>
      <w:r>
        <w:rPr>
          <w:rFonts w:ascii="David" w:hAnsi="David" w:cs="David"/>
          <w:sz w:val="28"/>
          <w:szCs w:val="28"/>
          <w:rtl/>
        </w:rPr>
        <w:t> </w:t>
      </w:r>
    </w:p>
    <w:p w14:paraId="3A67E8B6" w14:textId="77777777" w:rsidR="00000000" w:rsidRDefault="00000000">
      <w:pPr>
        <w:bidi/>
        <w:spacing w:line="360" w:lineRule="auto"/>
        <w:ind w:left="720" w:hanging="778"/>
        <w:jc w:val="both"/>
        <w:rPr>
          <w:rtl/>
        </w:rPr>
      </w:pPr>
      <w:r>
        <w:rPr>
          <w:rFonts w:ascii="David" w:hAnsi="David" w:cs="David"/>
          <w:sz w:val="28"/>
          <w:szCs w:val="28"/>
          <w:rtl/>
        </w:rPr>
        <w:t>11.</w:t>
      </w:r>
      <w:r>
        <w:rPr>
          <w:sz w:val="14"/>
          <w:szCs w:val="14"/>
          <w:rtl/>
        </w:rPr>
        <w:t xml:space="preserve">  </w:t>
      </w:r>
      <w:r>
        <w:rPr>
          <w:rFonts w:ascii="David" w:hAnsi="David" w:cs="David"/>
          <w:b/>
          <w:bCs/>
          <w:sz w:val="28"/>
          <w:szCs w:val="28"/>
          <w:u w:val="single"/>
          <w:rtl/>
        </w:rPr>
        <w:t xml:space="preserve">המשיבים </w:t>
      </w:r>
      <w:r>
        <w:rPr>
          <w:rFonts w:ascii="David" w:hAnsi="David" w:cs="David"/>
          <w:sz w:val="28"/>
          <w:szCs w:val="28"/>
          <w:rtl/>
        </w:rPr>
        <w:t xml:space="preserve">מנגד סומכים ידיהם על פסק דינה של המפקחת וטוענים כי אין כל מקום להתערב בו. המשיבים פותחים ומדגישים כי נוכח הסיכון הבטיחותי הנובע מהבית המשותף, אשר נבנה בשנת 1955, הם החליטו לקדם פרויקט של הריסתו ובנייתו מחדש. במסגרת הפרויקט אין הבדל בין הדיירים לעניין התמורות וכולם מקבלים תמורות זהות וזאת, במסגרת הסכם פשוט, השומר על עיקרון השוויון. נטען כי המתנגדים היחידים להסכם הם המערערים. </w:t>
      </w:r>
    </w:p>
    <w:p w14:paraId="3F57700D" w14:textId="77777777" w:rsidR="00000000" w:rsidRDefault="00000000">
      <w:pPr>
        <w:bidi/>
        <w:spacing w:line="360" w:lineRule="auto"/>
        <w:ind w:left="720"/>
        <w:jc w:val="both"/>
        <w:rPr>
          <w:rtl/>
        </w:rPr>
      </w:pPr>
      <w:r>
        <w:rPr>
          <w:rFonts w:ascii="David" w:hAnsi="David" w:cs="David"/>
          <w:sz w:val="28"/>
          <w:szCs w:val="28"/>
          <w:rtl/>
        </w:rPr>
        <w:t xml:space="preserve">כטענות סף טוענים המשיבים כי דין הערעור להידחות על הסף מפאת איחור בהגשתו. כך, נטען כי פסק הדין ניתן כבר ביום 22/5/25 ומשכך, בהתאם להוראות תקנה 83 לתקנות המקרקעין (ניהול ורישום), תשע"ב - 2011, פרק הזמן להגשת ערעור הוא 45 ימים - קרי חל ביום 6/7/25. אלא שבפועל הוגש הערעור ביום 14/9/25- קרי באיחור של שבעים יום מהמועד החוקי. נטען כי המערערים לא הגישו בקשה להארכת המועד להגשת הערעור ומשכך, פסק הדין הפך לחלוט. לא זו אף זו, נטען כי הלכה למעשה לאור חלוף הזמן, הפרויקט מצוי על סף יציאתו לפועל, קרי "הרכבת עזבה את התחנה" ומשכך, מדובר בערעור תיאורטי. זאת ועוד, נטען כי יש להורות על סילוקו של הערעור על הסף, גם הואיל ומדובר בערעור טורדני וקנטרני, אשר בבסיסו רצונם של המערערים בקבלת תמורה עודפת ביחס לשאר בעלי הזכויות בפרויקט, שאם לא כן תטורפד הוצאתו לפועל של הפרויקט. </w:t>
      </w:r>
    </w:p>
    <w:p w14:paraId="187265B6" w14:textId="77777777" w:rsidR="00000000" w:rsidRDefault="00000000">
      <w:pPr>
        <w:bidi/>
        <w:spacing w:line="360" w:lineRule="auto"/>
        <w:ind w:left="720"/>
        <w:jc w:val="both"/>
        <w:rPr>
          <w:rtl/>
        </w:rPr>
      </w:pPr>
      <w:r>
        <w:rPr>
          <w:rFonts w:ascii="David" w:hAnsi="David" w:cs="David"/>
          <w:sz w:val="28"/>
          <w:szCs w:val="28"/>
          <w:rtl/>
        </w:rPr>
        <w:t> </w:t>
      </w:r>
    </w:p>
    <w:p w14:paraId="77B4B96D" w14:textId="77777777" w:rsidR="00000000" w:rsidRDefault="00000000">
      <w:pPr>
        <w:bidi/>
        <w:spacing w:line="360" w:lineRule="auto"/>
        <w:ind w:left="720"/>
        <w:jc w:val="both"/>
        <w:rPr>
          <w:rtl/>
        </w:rPr>
      </w:pPr>
      <w:r>
        <w:rPr>
          <w:rFonts w:ascii="David" w:hAnsi="David" w:cs="David"/>
          <w:sz w:val="28"/>
          <w:szCs w:val="28"/>
          <w:rtl/>
        </w:rPr>
        <w:t xml:space="preserve">לגופם של דברים נטען כי - בניגוד לטענות המערערים - הערעור אינו עוסק בשאלה משפטית עקרונית, אלא שהלכה למעשה מדובר בניסיון להסוות ערעור על קביעות עובדתיות של הערכאה למטה ולהציגו כערעור העוסק בשאלה משפטית עקרונית. נטען כי המפקחת קבעה קביעות עובדתיות, בהתבסס על עדויות אשר הובאו בפניה במשך שלושה דיוני הוכחות ואותן מבקשים המערערים לתקוף. בכלל כך, נקבעו ממצאים עובדתיים ובהתאם להם, לא הובא יזם שמוכן להתקשר עם בעלי הדירות באופן הרלוונטי וכי המערער 1 אף העיד כי יזמים שהביא לא הציעו מתווה כזה. עוד נקבע כי אפילו ככל שניתן היה לקבל את טענת המערערים ולפיה המתווה אפשרי, הרי שאין הצדקה לאפשר זאת במקרה דנן, נוכח התשתית העובדתית אשר נפרשה במהלך הדיון. נוסף על כך, נקבע כממצא עובדתי על ידי המפקחת, כי הצעת המערערים היא בלתי שוויונית והיא נסמכת על הצהרות בעלמא וללא ראיות מספקות. כריכוז נטען כי מדובר בממצאים עובדתיים חד משמעיים ולפיהם - לא הוכחה עילה לסירוב; לא הוצגה חלופה קונקרטית עדיפה; המשיבים והיזם אינם מסכימים למתווה הפרטני כמוצע על ידי המערערים; על דירת המערערים רובצים עיקולים רבים בהיקף גבוה, המחזקים חשש לאיתנות פיננסית; והמתווה של המערערים מפלה ובלתי שוויוני. נטען כי בהתאם להלכה הפסוקה ערכאת הערעור לא תתערב בממצאים עובדתיים כפי שנקבעו על ידי הערכאה המבררת אלא במקרים חריגים - אשר אינם מתקיימים במקרה דנן. </w:t>
      </w:r>
    </w:p>
    <w:p w14:paraId="6B3A8148" w14:textId="77777777" w:rsidR="00000000" w:rsidRDefault="00000000">
      <w:pPr>
        <w:bidi/>
        <w:spacing w:line="360" w:lineRule="auto"/>
        <w:ind w:left="720"/>
        <w:jc w:val="both"/>
        <w:rPr>
          <w:rtl/>
        </w:rPr>
      </w:pPr>
      <w:r>
        <w:rPr>
          <w:rFonts w:ascii="David" w:hAnsi="David" w:cs="David"/>
          <w:sz w:val="28"/>
          <w:szCs w:val="28"/>
          <w:rtl/>
        </w:rPr>
        <w:t> </w:t>
      </w:r>
    </w:p>
    <w:p w14:paraId="3E7E9C92" w14:textId="77777777" w:rsidR="00000000" w:rsidRDefault="00000000">
      <w:pPr>
        <w:bidi/>
        <w:spacing w:line="360" w:lineRule="auto"/>
        <w:ind w:left="720"/>
        <w:jc w:val="both"/>
        <w:rPr>
          <w:rtl/>
        </w:rPr>
      </w:pPr>
      <w:r>
        <w:rPr>
          <w:rFonts w:ascii="David" w:hAnsi="David" w:cs="David"/>
          <w:sz w:val="28"/>
          <w:szCs w:val="28"/>
          <w:rtl/>
        </w:rPr>
        <w:t xml:space="preserve">עוד נטען כי אין לקבל את טענת המערערים ולפיה המפקחת התעלמה מהעובדה שבקשת המערערים לא משנה במאומה את ההתקשרות עם המשיבים, לא פוגעת בזכותם ולא משנה או מעכבת את הפרויקט - זאת משהמפקחת קבעה ברורות כי קבלת עמדת המערערים תסכל הוצאתו לפועל של הפרויקט ותביא לביטולו. </w:t>
      </w:r>
    </w:p>
    <w:p w14:paraId="1A4958CB" w14:textId="77777777" w:rsidR="00000000" w:rsidRDefault="00000000">
      <w:pPr>
        <w:bidi/>
        <w:spacing w:line="360" w:lineRule="auto"/>
        <w:ind w:left="720"/>
        <w:jc w:val="both"/>
        <w:rPr>
          <w:rtl/>
        </w:rPr>
      </w:pPr>
      <w:r>
        <w:rPr>
          <w:rFonts w:ascii="David" w:hAnsi="David" w:cs="David"/>
          <w:sz w:val="28"/>
          <w:szCs w:val="28"/>
          <w:rtl/>
        </w:rPr>
        <w:t> </w:t>
      </w:r>
    </w:p>
    <w:p w14:paraId="0AE02FBA" w14:textId="77777777" w:rsidR="00000000" w:rsidRDefault="00000000">
      <w:pPr>
        <w:bidi/>
        <w:spacing w:line="360" w:lineRule="auto"/>
        <w:ind w:left="720"/>
        <w:jc w:val="both"/>
        <w:rPr>
          <w:rtl/>
        </w:rPr>
      </w:pPr>
      <w:r>
        <w:rPr>
          <w:rFonts w:ascii="David" w:hAnsi="David" w:cs="David"/>
          <w:sz w:val="28"/>
          <w:szCs w:val="28"/>
          <w:rtl/>
        </w:rPr>
        <w:t xml:space="preserve">זאת ועוד, נטען כי המערערים - בניגוד לטענתם - לא הוכיחו כי הציעו חלופה ישימה להתקשרות עם היזם. ההיפך - הוכח שהמערערים לא פעלו במשך שנים לקידום חלופה והצעתם הוצעה רק לאחר חתימת ההסכם בין היזם לבין מרבית בעלי הדירות. זאת ועוד, נטען כי אין רבותא בטענת המערערים ולפיה הם מוכנים ליטול את הסיכון בהתקשרות בעסקה לרכישת שירותי בניה, שעה שהוכח כי למערערים אין כל סיכון אלא שהסיכון הגדול הוא זה המוטל על המשיבים. </w:t>
      </w:r>
    </w:p>
    <w:p w14:paraId="5593AD17" w14:textId="77777777" w:rsidR="00000000" w:rsidRDefault="00000000">
      <w:pPr>
        <w:bidi/>
        <w:spacing w:line="360" w:lineRule="auto"/>
        <w:ind w:left="720"/>
        <w:jc w:val="both"/>
        <w:rPr>
          <w:rtl/>
        </w:rPr>
      </w:pPr>
      <w:r>
        <w:rPr>
          <w:rFonts w:ascii="David" w:hAnsi="David" w:cs="David"/>
          <w:sz w:val="28"/>
          <w:szCs w:val="28"/>
          <w:rtl/>
        </w:rPr>
        <w:t> </w:t>
      </w:r>
    </w:p>
    <w:p w14:paraId="1D641FE1" w14:textId="77777777" w:rsidR="00000000" w:rsidRDefault="00000000">
      <w:pPr>
        <w:bidi/>
        <w:spacing w:line="360" w:lineRule="auto"/>
        <w:ind w:left="720"/>
        <w:jc w:val="both"/>
        <w:rPr>
          <w:rtl/>
        </w:rPr>
      </w:pPr>
      <w:r>
        <w:rPr>
          <w:rFonts w:ascii="David" w:hAnsi="David" w:cs="David"/>
          <w:sz w:val="28"/>
          <w:szCs w:val="28"/>
          <w:rtl/>
        </w:rPr>
        <w:t xml:space="preserve">זו אף זו, נטען כי טענת המערערים ולפיה מדובר בחיזוק מכוח הוראות תכנית הרובעים ולא מכוח תמ"א 38 מהווה הרחבת חזית פסולה ומשכך, אין להישמע לה. מכל מקום נטען כי המערערים הודיעו כי הם חוזרים בהם מטענה זו ומשכך אין לאפשר להם להעלותה שוב בערעור. </w:t>
      </w:r>
    </w:p>
    <w:p w14:paraId="2527AA05" w14:textId="77777777" w:rsidR="00000000" w:rsidRDefault="00000000">
      <w:pPr>
        <w:bidi/>
        <w:spacing w:line="360" w:lineRule="auto"/>
        <w:ind w:left="720"/>
        <w:jc w:val="both"/>
        <w:rPr>
          <w:rtl/>
        </w:rPr>
      </w:pPr>
      <w:r>
        <w:rPr>
          <w:rFonts w:ascii="David" w:hAnsi="David" w:cs="David"/>
          <w:sz w:val="28"/>
          <w:szCs w:val="28"/>
          <w:rtl/>
        </w:rPr>
        <w:t> </w:t>
      </w:r>
    </w:p>
    <w:p w14:paraId="7DB24CE4" w14:textId="77777777" w:rsidR="00000000" w:rsidRDefault="00000000">
      <w:pPr>
        <w:bidi/>
        <w:spacing w:line="360" w:lineRule="auto"/>
        <w:ind w:left="720"/>
        <w:jc w:val="both"/>
        <w:rPr>
          <w:rtl/>
        </w:rPr>
      </w:pPr>
      <w:r>
        <w:rPr>
          <w:rFonts w:ascii="David" w:hAnsi="David" w:cs="David"/>
          <w:sz w:val="28"/>
          <w:szCs w:val="28"/>
          <w:rtl/>
        </w:rPr>
        <w:t xml:space="preserve">יתרה מכך, נטען כי אין ממש בטענת המערערים ולפיה הוכח שעסקת רכישת שירותי בניה במשולב עם עסקת קומבינציה - מקובלת או מוכרת בשוק במסגרת עסקאות תמ"א 38 - זאת הואיל והוכח ההפך - כי מדובר בעסקאות שאינן מקובלות ואין מוכרות. </w:t>
      </w:r>
    </w:p>
    <w:p w14:paraId="3C3CC72E" w14:textId="77777777" w:rsidR="00000000" w:rsidRDefault="00000000">
      <w:pPr>
        <w:bidi/>
        <w:spacing w:line="360" w:lineRule="auto"/>
        <w:ind w:left="720"/>
        <w:jc w:val="both"/>
        <w:rPr>
          <w:rtl/>
        </w:rPr>
      </w:pPr>
      <w:r>
        <w:rPr>
          <w:rFonts w:ascii="David" w:hAnsi="David" w:cs="David"/>
          <w:sz w:val="28"/>
          <w:szCs w:val="28"/>
          <w:rtl/>
        </w:rPr>
        <w:t> </w:t>
      </w:r>
    </w:p>
    <w:p w14:paraId="02B20F66" w14:textId="77777777" w:rsidR="00000000" w:rsidRDefault="00000000">
      <w:pPr>
        <w:bidi/>
        <w:spacing w:line="360" w:lineRule="auto"/>
        <w:ind w:left="720"/>
        <w:jc w:val="both"/>
        <w:rPr>
          <w:rtl/>
        </w:rPr>
      </w:pPr>
      <w:r>
        <w:rPr>
          <w:rFonts w:ascii="David" w:hAnsi="David" w:cs="David"/>
          <w:sz w:val="28"/>
          <w:szCs w:val="28"/>
          <w:rtl/>
        </w:rPr>
        <w:t>המשיבים מוסיפים וטוענים כי לא חלה כל שגגה בניתוח המשפטי אשר נערך על ידי המפקחת. אשר לכך, נטען כי שגו המערערים עת טענו כי נקודת המוצא לדיון היא דיני השותפות הרגילים במקרקעין, שעה שקיים הסדר ספציפי במסגרת חוק החיזוק. עוד נטען כי יש לבחון את זכות הקניין של המערערים, בשים לב לכך שמדובר בזכות קניינית של בעל דירה בבית משותף, אשר ההנחה היא כי הסכים מראש לוותר על חלק מהאוטונומיה הקניינית המוקנית לו והקנה חלק מזכויותיו למסגרת השיתופית המתמשכת והקבועה. עוד נטען כי לא נפלה כל שגגה בקביעות המפקחת בעניין פרשנות סעיף 5א' לחוק החיזוק. זאת שעה שהוכח כי משך שנים המערערים לא פעלו לקדם חלופה קונקרטית כמוצע על ידם. יתרה מכך, נטען כי ה"חלופה" המוצעת על ידי המערערים, אינה אלא חוות דעת שמאית, אשר הוצגה לראשונה במסגרת פרשת ההוכחות בהליך דלמטה, זמן רב מאוד לאחר שנחתם ההסכם עם היזם. נטען כי ברי שחוות דעת כאמור אינה מהווה חלופה. עוד נטען כי הוכח שלא מדובר בחלופה מוכרת אלא בחלופה שאינה מוכרת ומילא לא הוכחה אף לא בראשית ראייה - שעה שלא הובאה עדות של גורם מקצועי המוכן ליישמה. אשר למסמך של רשות המיסים נטען כי מדובר בנייר עמדה שאינו רלוונטי, הנסב על מקרים בהם למי מבעלי הזכויות בבניין יש זכויות בניה נוספות (כגון דירה עם הצמדה של גג עם זכויות בניה) שהוא אינו מוכר ליזם ומעונין לרכוש בקשר להם שירותי בניה.</w:t>
      </w:r>
    </w:p>
    <w:p w14:paraId="04056DD0" w14:textId="77777777" w:rsidR="00000000" w:rsidRDefault="00000000">
      <w:pPr>
        <w:bidi/>
        <w:spacing w:line="360" w:lineRule="auto"/>
        <w:ind w:left="720"/>
        <w:jc w:val="both"/>
        <w:rPr>
          <w:rtl/>
        </w:rPr>
      </w:pPr>
      <w:r>
        <w:rPr>
          <w:rFonts w:ascii="David" w:hAnsi="David" w:cs="David"/>
          <w:sz w:val="28"/>
          <w:szCs w:val="28"/>
          <w:rtl/>
        </w:rPr>
        <w:t> </w:t>
      </w:r>
    </w:p>
    <w:p w14:paraId="5F52690E" w14:textId="77777777" w:rsidR="00000000" w:rsidRDefault="00000000">
      <w:pPr>
        <w:bidi/>
        <w:spacing w:line="360" w:lineRule="auto"/>
        <w:ind w:left="720"/>
        <w:jc w:val="both"/>
        <w:rPr>
          <w:rtl/>
        </w:rPr>
      </w:pPr>
      <w:r>
        <w:rPr>
          <w:rFonts w:ascii="David" w:hAnsi="David" w:cs="David"/>
          <w:sz w:val="28"/>
          <w:szCs w:val="28"/>
          <w:rtl/>
        </w:rPr>
        <w:t xml:space="preserve">זאת ועוד, לטענת המשיבים - בניגוד לטענת המערערים - מתקיימים במקרה דנן כלל התנאים כפי שנקבעו בעניין שומרוני. זאת הואיל והטעם אשר הוצג על ידי המערערים נדחה במקרים דומים; משהוכח במישור האובייקטיבי כי התכנית עתידה להיטיב את מצב כלל הדיירים; משהתכנית היא שוויונית ואינה פוגעת במיעוט בעלי הזכויות; משלא נטען כי מדובר בתכנית אשר התקבלה בחוסר תום לב; ולבסוף משלא הוצגה כל חלופה קונקרטית לתכנית בה גלומים יתרונות שאין בתכנית. </w:t>
      </w:r>
    </w:p>
    <w:p w14:paraId="77951A29" w14:textId="77777777" w:rsidR="00000000" w:rsidRDefault="00000000">
      <w:pPr>
        <w:bidi/>
        <w:spacing w:line="360" w:lineRule="auto"/>
        <w:ind w:left="720"/>
        <w:jc w:val="both"/>
        <w:rPr>
          <w:rtl/>
        </w:rPr>
      </w:pPr>
      <w:r>
        <w:rPr>
          <w:rFonts w:ascii="David" w:hAnsi="David" w:cs="David"/>
          <w:sz w:val="28"/>
          <w:szCs w:val="28"/>
          <w:rtl/>
        </w:rPr>
        <w:t> </w:t>
      </w:r>
    </w:p>
    <w:p w14:paraId="2E1990E1" w14:textId="77777777" w:rsidR="00000000" w:rsidRDefault="00000000">
      <w:pPr>
        <w:bidi/>
        <w:spacing w:line="360" w:lineRule="auto"/>
        <w:ind w:left="720"/>
        <w:jc w:val="both"/>
        <w:rPr>
          <w:rtl/>
        </w:rPr>
      </w:pPr>
      <w:r>
        <w:rPr>
          <w:rFonts w:ascii="David" w:hAnsi="David" w:cs="David"/>
          <w:sz w:val="28"/>
          <w:szCs w:val="28"/>
          <w:rtl/>
        </w:rPr>
        <w:t xml:space="preserve">עוד נטען כי סמכות המפקחת בהתאם לחוק החיזוק אינה מתמצית בשאלת עצם ביצוע העבודות לבניית דירות חדשות אלא גם באשר לאופן בו תבוצענה העבודות ורק באמצעות סמכות לאישור מתכונת העבודות יהיה באפשרות המפקחת ליישם את מטרתו של חוק החיזוק. </w:t>
      </w:r>
    </w:p>
    <w:p w14:paraId="25D7D67D" w14:textId="77777777" w:rsidR="00000000" w:rsidRDefault="00000000">
      <w:pPr>
        <w:bidi/>
        <w:spacing w:line="360" w:lineRule="auto"/>
        <w:ind w:left="720"/>
        <w:jc w:val="both"/>
        <w:rPr>
          <w:rtl/>
        </w:rPr>
      </w:pPr>
      <w:r>
        <w:rPr>
          <w:rFonts w:ascii="David" w:hAnsi="David" w:cs="David"/>
          <w:sz w:val="28"/>
          <w:szCs w:val="28"/>
          <w:rtl/>
        </w:rPr>
        <w:t> </w:t>
      </w:r>
    </w:p>
    <w:p w14:paraId="644C4F93" w14:textId="77777777" w:rsidR="00000000" w:rsidRDefault="00000000">
      <w:pPr>
        <w:bidi/>
        <w:spacing w:line="360" w:lineRule="auto"/>
        <w:ind w:left="720"/>
        <w:jc w:val="both"/>
        <w:rPr>
          <w:rtl/>
        </w:rPr>
      </w:pPr>
      <w:r>
        <w:rPr>
          <w:rFonts w:ascii="David" w:hAnsi="David" w:cs="David"/>
          <w:sz w:val="28"/>
          <w:szCs w:val="28"/>
          <w:rtl/>
        </w:rPr>
        <w:t xml:space="preserve">המשיבים מוסיפים וטוענים כי בטיעונם מבקשים המערערים לשים את האינטרס הצר שלהם לפני האינטרס המוגן על ידי תמ"א 38. נטען כי טיעון זה עומד בניגוד לאינטרס המוגן על פי תמ"א 38, שאינו מתמקד באינטרס הפרטי של בעל דירה להשיא את רווחיו ולשפר את מצב דירתו, אלא שהוא לחזק מבנים, כאשר שיפור מצבם של בעלי הדירות אינו אלא פועל יוצא של האינטרס לחיזוק המבנים. נטען כי לאור זאת, יש לבחון האם התנאים שהוסכמו עומדים במבחן הסבירות, השוויון וההגינות ולא האם כל בעל דירה יכול בתיאוריה להשיג תמורה גבוהה יותר עבור עצמו. </w:t>
      </w:r>
    </w:p>
    <w:p w14:paraId="5E95B642" w14:textId="77777777" w:rsidR="00000000" w:rsidRDefault="00000000">
      <w:pPr>
        <w:bidi/>
        <w:spacing w:line="360" w:lineRule="auto"/>
        <w:ind w:left="720"/>
        <w:jc w:val="both"/>
        <w:rPr>
          <w:rtl/>
        </w:rPr>
      </w:pPr>
      <w:r>
        <w:rPr>
          <w:rFonts w:ascii="David" w:hAnsi="David" w:cs="David"/>
          <w:sz w:val="28"/>
          <w:szCs w:val="28"/>
          <w:rtl/>
        </w:rPr>
        <w:t> </w:t>
      </w:r>
    </w:p>
    <w:p w14:paraId="307DE57C" w14:textId="77777777" w:rsidR="00000000" w:rsidRDefault="00000000">
      <w:pPr>
        <w:bidi/>
        <w:spacing w:line="360" w:lineRule="auto"/>
        <w:ind w:left="720"/>
        <w:jc w:val="both"/>
        <w:rPr>
          <w:rtl/>
        </w:rPr>
      </w:pPr>
      <w:r>
        <w:rPr>
          <w:rFonts w:ascii="David" w:hAnsi="David" w:cs="David"/>
          <w:sz w:val="28"/>
          <w:szCs w:val="28"/>
          <w:rtl/>
        </w:rPr>
        <w:t xml:space="preserve">נוסף על כך, מדגישים המשיבים כי - בניגוד לטענת המערערים, נטל ההוכחה במקרה זה מוטל על המערערים והם לא עמדו בו. זאת משהמערערים לא הוכיחו שבעסקאות מסוג זה יש מתווה של שרותי בניה במשולב עם קומבינציה; לא הוכיחו שיש יזמים המתקשרים בעסקאות מסוג זה; לא הוכיחו קיומו של יזם ספציפי המוכן למתווה; לא הוכיחו קיומה של תכנית חלופית לא כל שכן תכנית קונקרטית; לא הוכיחו יכולת לעמוד במימון השירותים - אם כבר הוכח ההיפך; לא הוכיחו כי הצעתם שומרת על עיקרון השוויון; לא הוכיחו שהדין קובע שיש להתקשר בעסקה הממקסמת את הזכויות של כל הצדדים; לא הוכיחו שהדין אינו מאפשר לכפות על המיעוט את אופן ההתקשרות בהסכם לביצוע עבודות; ולא הוכיחו כי היזם צריך להציג חוות דעת כלכלית שתצדיק את סירוב להתקשר במתווה של שירותי בניה. </w:t>
      </w:r>
    </w:p>
    <w:p w14:paraId="68D981EA" w14:textId="77777777" w:rsidR="00000000" w:rsidRDefault="00000000">
      <w:pPr>
        <w:bidi/>
        <w:spacing w:line="360" w:lineRule="auto"/>
        <w:ind w:left="720"/>
        <w:jc w:val="both"/>
        <w:rPr>
          <w:rtl/>
        </w:rPr>
      </w:pPr>
      <w:r>
        <w:rPr>
          <w:rFonts w:ascii="David" w:hAnsi="David" w:cs="David"/>
          <w:sz w:val="28"/>
          <w:szCs w:val="28"/>
          <w:rtl/>
        </w:rPr>
        <w:t> </w:t>
      </w:r>
    </w:p>
    <w:p w14:paraId="7B59CCDD" w14:textId="77777777" w:rsidR="00000000" w:rsidRDefault="00000000">
      <w:pPr>
        <w:bidi/>
        <w:spacing w:line="360" w:lineRule="auto"/>
        <w:ind w:left="720"/>
        <w:jc w:val="both"/>
        <w:rPr>
          <w:rtl/>
        </w:rPr>
      </w:pPr>
      <w:r>
        <w:rPr>
          <w:rFonts w:ascii="David" w:hAnsi="David" w:cs="David"/>
          <w:sz w:val="28"/>
          <w:szCs w:val="28"/>
          <w:rtl/>
        </w:rPr>
        <w:t xml:space="preserve">לאור כל זאת נטען כי יש להותיר על כנו את פסק דינה של המפקחת ולחייב את המערערים בהוצאות. </w:t>
      </w:r>
    </w:p>
    <w:p w14:paraId="3F1538D7" w14:textId="77777777" w:rsidR="00000000" w:rsidRDefault="00000000">
      <w:pPr>
        <w:bidi/>
        <w:spacing w:after="160" w:line="360" w:lineRule="auto"/>
        <w:jc w:val="both"/>
        <w:rPr>
          <w:rtl/>
        </w:rPr>
      </w:pPr>
      <w:r>
        <w:rPr>
          <w:rFonts w:ascii="David" w:hAnsi="David" w:cs="David"/>
          <w:b/>
          <w:bCs/>
          <w:sz w:val="28"/>
          <w:szCs w:val="28"/>
          <w:rtl/>
        </w:rPr>
        <w:t> </w:t>
      </w:r>
    </w:p>
    <w:p w14:paraId="2C326201" w14:textId="77777777" w:rsidR="00000000" w:rsidRDefault="00000000">
      <w:pPr>
        <w:bidi/>
        <w:spacing w:after="160" w:line="360" w:lineRule="auto"/>
        <w:jc w:val="both"/>
        <w:rPr>
          <w:rtl/>
        </w:rPr>
      </w:pPr>
      <w:r>
        <w:rPr>
          <w:rFonts w:ascii="David" w:hAnsi="David" w:cs="David"/>
          <w:b/>
          <w:bCs/>
          <w:sz w:val="28"/>
          <w:szCs w:val="28"/>
          <w:rtl/>
        </w:rPr>
        <w:t> </w:t>
      </w:r>
    </w:p>
    <w:p w14:paraId="23E6884C" w14:textId="77777777" w:rsidR="00000000" w:rsidRDefault="00000000">
      <w:pPr>
        <w:bidi/>
        <w:spacing w:after="160" w:line="360" w:lineRule="auto"/>
        <w:jc w:val="both"/>
        <w:rPr>
          <w:rtl/>
        </w:rPr>
      </w:pPr>
      <w:r>
        <w:rPr>
          <w:rFonts w:ascii="David" w:hAnsi="David" w:cs="David"/>
          <w:b/>
          <w:bCs/>
          <w:sz w:val="28"/>
          <w:szCs w:val="28"/>
          <w:u w:val="single"/>
          <w:rtl/>
        </w:rPr>
        <w:t>דיון והכרעה;</w:t>
      </w:r>
    </w:p>
    <w:p w14:paraId="5E078D78" w14:textId="77777777" w:rsidR="00000000" w:rsidRDefault="00000000">
      <w:pPr>
        <w:bidi/>
        <w:spacing w:line="360" w:lineRule="auto"/>
        <w:ind w:left="720" w:hanging="778"/>
        <w:jc w:val="both"/>
        <w:rPr>
          <w:rtl/>
        </w:rPr>
      </w:pPr>
      <w:r>
        <w:rPr>
          <w:rFonts w:ascii="David" w:hAnsi="David" w:cs="David"/>
          <w:sz w:val="28"/>
          <w:szCs w:val="28"/>
          <w:rtl/>
        </w:rPr>
        <w:t>12.</w:t>
      </w:r>
      <w:r>
        <w:rPr>
          <w:sz w:val="14"/>
          <w:szCs w:val="14"/>
          <w:rtl/>
        </w:rPr>
        <w:t xml:space="preserve">  </w:t>
      </w:r>
      <w:r>
        <w:rPr>
          <w:rFonts w:ascii="David" w:hAnsi="David" w:cs="David"/>
          <w:sz w:val="28"/>
          <w:szCs w:val="28"/>
          <w:rtl/>
        </w:rPr>
        <w:t xml:space="preserve">קודם לקיום הדיון בערעור, הוגשה על ידי המשיבים בקשה לסילוק הערעור על הסף נוכח האיחור בהגשתו. הבקשה הועברה לתשובת המערערים ואלו הגישו תשובתם לטענות ואולם, לשם הזהירות - באותה התשובה - אף עתרו להארכת המועד להגשת הערעור. בהחלטתי מיום 9/12/25, קבעתי כי יש ממש בטענות המשיבים לעניין זה ובצד זאת, מצאתי להאריך את המועד להגשת הערעור עד למועד הגשתו בפועל. כיוון שכך, אינני נדרשת עוד לטענתם המקדמית של המשיבים בדבר האיחור בהגשת הערעור. </w:t>
      </w:r>
    </w:p>
    <w:p w14:paraId="62CB27D5" w14:textId="77777777" w:rsidR="00000000" w:rsidRDefault="00000000">
      <w:pPr>
        <w:bidi/>
        <w:spacing w:line="360" w:lineRule="auto"/>
        <w:ind w:left="720"/>
        <w:jc w:val="both"/>
        <w:rPr>
          <w:rtl/>
        </w:rPr>
      </w:pPr>
      <w:r>
        <w:rPr>
          <w:rFonts w:ascii="David" w:hAnsi="David" w:cs="David"/>
          <w:sz w:val="28"/>
          <w:szCs w:val="28"/>
        </w:rPr>
        <w:t> </w:t>
      </w:r>
    </w:p>
    <w:p w14:paraId="26C3FE28" w14:textId="77777777" w:rsidR="00000000" w:rsidRDefault="00000000">
      <w:pPr>
        <w:bidi/>
        <w:spacing w:line="360" w:lineRule="auto"/>
        <w:ind w:left="720" w:hanging="778"/>
        <w:jc w:val="both"/>
        <w:rPr>
          <w:rtl/>
        </w:rPr>
      </w:pPr>
      <w:r>
        <w:rPr>
          <w:rFonts w:ascii="David" w:hAnsi="David" w:cs="David"/>
          <w:sz w:val="28"/>
          <w:szCs w:val="28"/>
          <w:rtl/>
        </w:rPr>
        <w:t>13.</w:t>
      </w:r>
      <w:r>
        <w:rPr>
          <w:sz w:val="14"/>
          <w:szCs w:val="14"/>
          <w:rtl/>
        </w:rPr>
        <w:t xml:space="preserve">  </w:t>
      </w:r>
      <w:r>
        <w:rPr>
          <w:rFonts w:ascii="David" w:hAnsi="David" w:cs="David"/>
          <w:sz w:val="28"/>
          <w:szCs w:val="28"/>
          <w:rtl/>
        </w:rPr>
        <w:t xml:space="preserve">בדיון אשר התקיים לפני ביום 25/1/26, השלימו הצדדים טענותיהם על פה. אשר לכך, אציין כי מרבית הטיעון התמקד בחידוד טענות אשר נטענו וכבר פורטו על ידי לעיל ומשכך, אינני מוצאת לשוב ולשקפן. יחד עם זאת, הנני מוצאת להביא הבהרה אשר ניתנה על ידי המערערים במענה לשאלתי ואשר היא רלוונטית. כך, במענה לשאלה האם המערערים הגיעו להסכמה קונקרטית עם היזם השיב ב"כ המערערים כי: "הסכמה הקונקרטית עם היזם היתה, וזה קשה להראות מהראיות, שאנו נשלם את חלקנו בעלויות הבניה כולל רווח יזמי. לא סגרנו מהו הרווח היזמי". (עמוד 2 שורות 29-31). עוד הובהר על ידי ב"כ המערערים כי: "אם יש ויכוח עמה עלות הבניה, יש דוח אפס שהוגש ושקובע מה העלויות" (עמוד 4 שורה 5) ונוסף על כך הבהיר ב"כ המערערים במענה לשאלתי כי: "יש 16 דירות קיימות ו - 15 דירות תמורה. אנו אמרנו שנשלם עבור שירותי הבניה ונבקש לייחד לנו 2 דירות ספציפיות" (עמוד 5 שורות 1-2). עוד אציין כי במסגרת הדיון מצאתי לשקף כי: "במקרה הזה, כפי שעולה מהדיון, היזם לא הסכים לכל עסקה קונקרטית- כבר בשלב זה ברור שלא הוסכם על שיעור רווח היזמי, לא הוסכם שתוקנה דירה נוספת למערערים ולא הוסכם על שום קונקרטיזציה של העסקה". (עמוד 5 שורות 17-19). </w:t>
      </w:r>
    </w:p>
    <w:p w14:paraId="47FA0DF6" w14:textId="77777777" w:rsidR="00000000" w:rsidRDefault="00000000">
      <w:pPr>
        <w:bidi/>
        <w:spacing w:line="254" w:lineRule="auto"/>
        <w:ind w:left="720"/>
        <w:rPr>
          <w:rtl/>
        </w:rPr>
      </w:pPr>
      <w:r>
        <w:rPr>
          <w:rFonts w:ascii="David" w:hAnsi="David" w:cs="David"/>
          <w:sz w:val="28"/>
          <w:szCs w:val="28"/>
        </w:rPr>
        <w:t> </w:t>
      </w:r>
    </w:p>
    <w:p w14:paraId="5EF67081" w14:textId="77777777" w:rsidR="00000000" w:rsidRDefault="00000000">
      <w:pPr>
        <w:bidi/>
        <w:spacing w:line="360" w:lineRule="auto"/>
        <w:ind w:left="720" w:hanging="778"/>
        <w:jc w:val="both"/>
        <w:rPr>
          <w:rtl/>
        </w:rPr>
      </w:pPr>
      <w:r>
        <w:rPr>
          <w:rFonts w:ascii="David" w:hAnsi="David" w:cs="David"/>
          <w:sz w:val="28"/>
          <w:szCs w:val="28"/>
          <w:rtl/>
        </w:rPr>
        <w:t>14.</w:t>
      </w:r>
      <w:r>
        <w:rPr>
          <w:sz w:val="14"/>
          <w:szCs w:val="14"/>
          <w:rtl/>
        </w:rPr>
        <w:t xml:space="preserve">  </w:t>
      </w:r>
      <w:r>
        <w:rPr>
          <w:rFonts w:ascii="David" w:hAnsi="David" w:cs="David"/>
          <w:sz w:val="28"/>
          <w:szCs w:val="28"/>
          <w:rtl/>
        </w:rPr>
        <w:t xml:space="preserve">בסיום הדיון ביקשו המערערים לשקול את המלצתי למשוך את הערעור ואולם, בהודעתם מיום 1/2/26 ביקשו להודיע כי הם עומדים על הערעור ומשכך ניתן פסק דין זה. במסגרת פסק דיני - אקדים אחרית לראשית - מצאתי לדחות את הערעור. זאת ראש וראשונה הואיל ולגישתי המסד הראייתי-עובדתי עליו מבקשים המערערים להישען בערעור זה, מנוגד לממצאים עובדתיים כפי שנקבעו על ידי המפקחת כערכאה מבררת. בממצאים עובדתיים אלו לא מצאתי להתערב ומשכך והואיל והטיעון המשפטי מנוגד להם - נופל גם טיעונם של המערערים, בבחינת "נפל הסוס ונפל רוכבו". משהוסברה הכרעתי בתמצית אפנה לפירוט הטענות העומדות בבסיסה. </w:t>
      </w:r>
    </w:p>
    <w:p w14:paraId="2F46F269" w14:textId="77777777" w:rsidR="00000000" w:rsidRDefault="00000000">
      <w:pPr>
        <w:bidi/>
        <w:spacing w:line="254" w:lineRule="auto"/>
        <w:ind w:left="720"/>
        <w:rPr>
          <w:rtl/>
        </w:rPr>
      </w:pPr>
      <w:r>
        <w:rPr>
          <w:rFonts w:ascii="David" w:hAnsi="David" w:cs="David"/>
          <w:sz w:val="28"/>
          <w:szCs w:val="28"/>
        </w:rPr>
        <w:t> </w:t>
      </w:r>
    </w:p>
    <w:p w14:paraId="4FCE6F0D" w14:textId="77777777" w:rsidR="00000000" w:rsidRDefault="00000000">
      <w:pPr>
        <w:bidi/>
        <w:spacing w:line="360" w:lineRule="auto"/>
        <w:ind w:left="720" w:hanging="778"/>
        <w:jc w:val="both"/>
        <w:rPr>
          <w:rtl/>
        </w:rPr>
      </w:pPr>
      <w:r>
        <w:rPr>
          <w:rFonts w:ascii="David" w:hAnsi="David" w:cs="David"/>
          <w:sz w:val="28"/>
          <w:szCs w:val="28"/>
          <w:rtl/>
        </w:rPr>
        <w:t>15.</w:t>
      </w:r>
      <w:r>
        <w:rPr>
          <w:sz w:val="14"/>
          <w:szCs w:val="14"/>
          <w:rtl/>
        </w:rPr>
        <w:t xml:space="preserve">  </w:t>
      </w:r>
      <w:r>
        <w:rPr>
          <w:rFonts w:ascii="David" w:hAnsi="David" w:cs="David"/>
          <w:sz w:val="28"/>
          <w:szCs w:val="28"/>
          <w:rtl/>
        </w:rPr>
        <w:t>כעולה מתיאור הנסיבות, עסקינן בפרויקט לחיזוק הבית המשותף בהתאם לתמ"א 38 ובתביעה אשר הוגשה למפקחת על רישום המקרקעין בהתאם לסמכותה בהתאם לחוק המקרקעין, התשכ"ט -1969 (לעיל ולהלן: "</w:t>
      </w:r>
      <w:r>
        <w:rPr>
          <w:rFonts w:ascii="David" w:hAnsi="David" w:cs="David"/>
          <w:b/>
          <w:bCs/>
          <w:sz w:val="28"/>
          <w:szCs w:val="28"/>
          <w:rtl/>
        </w:rPr>
        <w:t>חוק המקרקעין</w:t>
      </w:r>
      <w:r>
        <w:rPr>
          <w:rFonts w:ascii="David" w:hAnsi="David" w:cs="David"/>
          <w:sz w:val="28"/>
          <w:szCs w:val="28"/>
          <w:rtl/>
        </w:rPr>
        <w:t>") וחוק החיזוק. כיוון שכך, קודם תפורטנה הכרעותיי בסוגיות במחלוקת, הנני מוצאת להקדים סקירה נורמטיבית קצרה באשר למהות ההליך וכן, באשר למיקומו הנכון של הפרויקט והעבודות המבוצעות במסגרתו, בתוך המסגרת הנורמטיבית האמורה.</w:t>
      </w:r>
    </w:p>
    <w:p w14:paraId="3D871572" w14:textId="77777777" w:rsidR="00000000" w:rsidRDefault="00000000">
      <w:pPr>
        <w:bidi/>
        <w:spacing w:line="254" w:lineRule="auto"/>
        <w:ind w:left="720"/>
        <w:rPr>
          <w:rtl/>
        </w:rPr>
      </w:pPr>
      <w:r>
        <w:rPr>
          <w:rFonts w:ascii="David" w:hAnsi="David" w:cs="David"/>
          <w:sz w:val="28"/>
          <w:szCs w:val="28"/>
        </w:rPr>
        <w:t> </w:t>
      </w:r>
    </w:p>
    <w:p w14:paraId="024E9A73" w14:textId="77777777" w:rsidR="00000000" w:rsidRDefault="00000000">
      <w:pPr>
        <w:bidi/>
        <w:spacing w:line="360" w:lineRule="auto"/>
        <w:ind w:left="720" w:hanging="778"/>
        <w:jc w:val="both"/>
        <w:rPr>
          <w:rtl/>
        </w:rPr>
      </w:pPr>
      <w:r>
        <w:rPr>
          <w:rFonts w:ascii="David" w:hAnsi="David" w:cs="David"/>
          <w:sz w:val="28"/>
          <w:szCs w:val="28"/>
          <w:rtl/>
        </w:rPr>
        <w:t>16.</w:t>
      </w:r>
      <w:r>
        <w:rPr>
          <w:sz w:val="14"/>
          <w:szCs w:val="14"/>
          <w:rtl/>
        </w:rPr>
        <w:t xml:space="preserve">  </w:t>
      </w:r>
      <w:r>
        <w:rPr>
          <w:rFonts w:ascii="David" w:hAnsi="David" w:cs="David"/>
          <w:sz w:val="28"/>
          <w:szCs w:val="28"/>
          <w:rtl/>
        </w:rPr>
        <w:t>בפסק דין אשר ניתן על ידי בעניין ילין (עש"א 7187-10-19 ילין נ' גורן (27/4/20) (להלן: "</w:t>
      </w:r>
      <w:r>
        <w:rPr>
          <w:rFonts w:ascii="David" w:hAnsi="David" w:cs="David"/>
          <w:b/>
          <w:bCs/>
          <w:sz w:val="28"/>
          <w:szCs w:val="28"/>
          <w:rtl/>
        </w:rPr>
        <w:t>עניין ילין</w:t>
      </w:r>
      <w:r>
        <w:rPr>
          <w:rFonts w:ascii="David" w:hAnsi="David" w:cs="David"/>
          <w:sz w:val="28"/>
          <w:szCs w:val="28"/>
          <w:rtl/>
        </w:rPr>
        <w:t>")), סקרתי באופן נרחב את הרקע לחקיקתם של תמ"א 38 וחוק החיזוק והאינטרס החשוב אשר נועדו לקדם. כמו כן, דנתי בהרחבה בהוראות החיקוקים הרלוונטיים ובסמכות המפקח על רישום המקרקעין, במסגרת דיון בתביעה לפי חוק החיזוק, בהתאמה להוראות הדין ולפסיקה. הואיל ובאותו עניין הרחבתי את היריעה, אינני מוצאת לשוב על דברים אשר נכתבו, נסקרו והוכרעו, אלא תחת זאת, לפרט בתמצית את ההתוויות הרלוונטיות לענייננו.</w:t>
      </w:r>
    </w:p>
    <w:p w14:paraId="1C87CDB3" w14:textId="77777777" w:rsidR="00000000" w:rsidRDefault="00000000">
      <w:pPr>
        <w:bidi/>
        <w:spacing w:line="254" w:lineRule="auto"/>
        <w:ind w:left="720"/>
        <w:rPr>
          <w:rtl/>
        </w:rPr>
      </w:pPr>
      <w:r>
        <w:rPr>
          <w:rFonts w:ascii="David" w:hAnsi="David" w:cs="David"/>
          <w:sz w:val="28"/>
          <w:szCs w:val="28"/>
        </w:rPr>
        <w:t> </w:t>
      </w:r>
    </w:p>
    <w:p w14:paraId="20EB0E0B" w14:textId="77777777" w:rsidR="00000000" w:rsidRDefault="00000000">
      <w:pPr>
        <w:bidi/>
        <w:spacing w:line="360" w:lineRule="auto"/>
        <w:ind w:left="720" w:hanging="778"/>
        <w:jc w:val="both"/>
        <w:rPr>
          <w:rtl/>
        </w:rPr>
      </w:pPr>
      <w:r>
        <w:rPr>
          <w:rFonts w:ascii="David" w:hAnsi="David" w:cs="David"/>
          <w:sz w:val="28"/>
          <w:szCs w:val="28"/>
          <w:rtl/>
        </w:rPr>
        <w:t>17.</w:t>
      </w:r>
      <w:r>
        <w:rPr>
          <w:sz w:val="14"/>
          <w:szCs w:val="14"/>
          <w:rtl/>
        </w:rPr>
        <w:t xml:space="preserve">  </w:t>
      </w:r>
      <w:r>
        <w:rPr>
          <w:rFonts w:ascii="David" w:hAnsi="David" w:cs="David"/>
          <w:sz w:val="28"/>
          <w:szCs w:val="28"/>
          <w:rtl/>
        </w:rPr>
        <w:t>כך וראשית, בעניין ילין הצבעתי על כך שאישורה של תמ"א 38 היה בין המהלכים אשר ננקטו על ידי ממשלת ישראל, בעקבות מסקנות דו"ח מבקר המדינה מיום 23/3/11, במסגרתו הצביע מבקר המדינה מחד, על האפשרות להתרחשות אסון רעידת אדמה בישראל ומאידך, על כך שבישראל קיימים מבנים רבים אשר אינם עומדים בתקן לבנייה עמידה ברעידות אדמה. צוין כי במסגרת התמ"א הוקנו תמריצים כלכליים-תכנוניים, אשר מטרתם לאפשר חיזוק מבנים, מבלי שיהא על בעלי זכויות במבנים לממן מכיסם את עלויות החיזוק. כאשר המנגנון הכלכלי העומד בבסיס התמריצים האמורים הוא, שבעלי הזכויות בבניין טעון החיזוק, יוכלו להעביר ליזם את זכויות הבניה המוקנות מכוח התמ"א וזה מנגד יבצע את חיזוקו של הבניין. עוד פורט כי במסגרת התמ"א שני מסלולים אפשריים: האחד - חיזוק המבנה ללא הריסתו והשני - חיזוק המבנה באמצעות הריסתו לחלוטין ובנייתו מחדש.</w:t>
      </w:r>
    </w:p>
    <w:p w14:paraId="74868772" w14:textId="77777777" w:rsidR="00000000" w:rsidRDefault="00000000">
      <w:pPr>
        <w:bidi/>
        <w:spacing w:line="254" w:lineRule="auto"/>
        <w:ind w:left="720"/>
        <w:rPr>
          <w:rtl/>
        </w:rPr>
      </w:pPr>
      <w:r>
        <w:rPr>
          <w:rFonts w:ascii="David" w:hAnsi="David" w:cs="David"/>
          <w:sz w:val="28"/>
          <w:szCs w:val="28"/>
        </w:rPr>
        <w:t> </w:t>
      </w:r>
    </w:p>
    <w:p w14:paraId="68071D3E" w14:textId="77777777" w:rsidR="00000000" w:rsidRDefault="00000000">
      <w:pPr>
        <w:bidi/>
        <w:spacing w:line="360" w:lineRule="auto"/>
        <w:ind w:left="720"/>
        <w:jc w:val="both"/>
        <w:rPr>
          <w:rtl/>
        </w:rPr>
      </w:pPr>
      <w:r>
        <w:rPr>
          <w:rFonts w:ascii="David" w:hAnsi="David" w:cs="David"/>
          <w:sz w:val="28"/>
          <w:szCs w:val="28"/>
          <w:rtl/>
        </w:rPr>
        <w:t xml:space="preserve">אציין כי בתחילה ייעודה המרכזי של תמ"א 38 היה חיזוק בתים מפני רעידות אדמה ואולם, בהמשך, נוספה מטרה חשובה לא פחות והיא הוספת מרחבים דירתיים מוגנים לדירות- מטרה אשר כל מי החי במדינת ישראל - מודע ומכיר בחשיבותה העליונה לשם שמירה על ביטחונם של בעלי הדירות. </w:t>
      </w:r>
    </w:p>
    <w:p w14:paraId="73F9C509" w14:textId="77777777" w:rsidR="00000000" w:rsidRDefault="00000000">
      <w:pPr>
        <w:bidi/>
        <w:spacing w:line="254" w:lineRule="auto"/>
        <w:ind w:left="720"/>
        <w:rPr>
          <w:rtl/>
        </w:rPr>
      </w:pPr>
      <w:r>
        <w:rPr>
          <w:rFonts w:ascii="David" w:hAnsi="David" w:cs="David"/>
          <w:sz w:val="28"/>
          <w:szCs w:val="28"/>
        </w:rPr>
        <w:t> </w:t>
      </w:r>
    </w:p>
    <w:p w14:paraId="5008F197" w14:textId="77777777" w:rsidR="00000000" w:rsidRDefault="00000000">
      <w:pPr>
        <w:bidi/>
        <w:spacing w:line="360" w:lineRule="auto"/>
        <w:ind w:left="720" w:hanging="778"/>
        <w:jc w:val="both"/>
        <w:rPr>
          <w:rtl/>
        </w:rPr>
      </w:pPr>
      <w:r>
        <w:rPr>
          <w:rFonts w:ascii="David" w:hAnsi="David" w:cs="David"/>
          <w:sz w:val="28"/>
          <w:szCs w:val="28"/>
          <w:rtl/>
        </w:rPr>
        <w:t>18.</w:t>
      </w:r>
      <w:r>
        <w:rPr>
          <w:sz w:val="14"/>
          <w:szCs w:val="14"/>
          <w:rtl/>
        </w:rPr>
        <w:t xml:space="preserve">  </w:t>
      </w:r>
      <w:r>
        <w:rPr>
          <w:rFonts w:ascii="David" w:hAnsi="David" w:cs="David"/>
          <w:sz w:val="28"/>
          <w:szCs w:val="28"/>
          <w:rtl/>
        </w:rPr>
        <w:t>חוק החיזוק, אשר הסמכות לדון בתביעות המוגשות מכוחו הוקנתה למפקח על רישום המקרקעין, נחקק כצעד משלים לתמ"א 38 ועל מנת להקל על הוצאתם לפועל של פרויקטים עליהם היא חלה. מטרתו זו של חוק החיזוק משתקפת בדברי ההסבר לחוק החיזוק כדלקמן:</w:t>
      </w:r>
    </w:p>
    <w:p w14:paraId="0229097F" w14:textId="77777777" w:rsidR="00000000" w:rsidRDefault="00000000">
      <w:pPr>
        <w:bidi/>
        <w:spacing w:line="360" w:lineRule="auto"/>
        <w:ind w:left="720"/>
        <w:jc w:val="both"/>
        <w:rPr>
          <w:rtl/>
        </w:rPr>
      </w:pPr>
      <w:r>
        <w:rPr>
          <w:rFonts w:ascii="David" w:hAnsi="David" w:cs="David"/>
          <w:sz w:val="28"/>
          <w:szCs w:val="28"/>
          <w:rtl/>
        </w:rPr>
        <w:t>"להוריד את רף ההסכמה הדרוש על-פי חוק המקרקעין לשם ביצוע עבודה ברכוש המשותף, בנכס שהוא בית משותף, כאשר היא נעשית על-פי היתר בניה שהוצא מכוח תכנית החיזוק" (דברי ההסבר להצעת חוק המקרקעין (חיזוק בתים משותפים מפני רעידות אדמה), (הוראת שעה), התשס"ז-2007, ה"ח הממשלה התשס"ז 313, בעמ' 702). זאת, תוך איזון בין זכויותיהם של בעלי הדירות לבין הצורך הציבורי החשוב בחיזוק בתים מפני רעידת אדמה" (שם.; ראו בנוסף - ע"א 3700/15 אורי רוט נ' מיכל עגנון , בפסקה 15 (27.06.2016) (להלן: "</w:t>
      </w:r>
      <w:r>
        <w:rPr>
          <w:rFonts w:ascii="David" w:hAnsi="David" w:cs="David"/>
          <w:b/>
          <w:bCs/>
          <w:sz w:val="28"/>
          <w:szCs w:val="28"/>
          <w:rtl/>
        </w:rPr>
        <w:t>עניין רוט</w:t>
      </w:r>
      <w:r>
        <w:rPr>
          <w:rFonts w:ascii="David" w:hAnsi="David" w:cs="David"/>
          <w:sz w:val="28"/>
          <w:szCs w:val="28"/>
          <w:rtl/>
        </w:rPr>
        <w:t>")).</w:t>
      </w:r>
    </w:p>
    <w:p w14:paraId="7B5E063B" w14:textId="77777777" w:rsidR="00000000" w:rsidRDefault="00000000">
      <w:pPr>
        <w:bidi/>
        <w:spacing w:line="360" w:lineRule="auto"/>
        <w:ind w:left="720"/>
        <w:jc w:val="both"/>
        <w:rPr>
          <w:rtl/>
        </w:rPr>
      </w:pPr>
      <w:r>
        <w:rPr>
          <w:rFonts w:ascii="David" w:hAnsi="David" w:cs="David"/>
          <w:sz w:val="28"/>
          <w:szCs w:val="28"/>
          <w:rtl/>
        </w:rPr>
        <w:t> </w:t>
      </w:r>
    </w:p>
    <w:p w14:paraId="6121EF02" w14:textId="77777777" w:rsidR="00000000" w:rsidRDefault="00000000">
      <w:pPr>
        <w:bidi/>
        <w:spacing w:line="360" w:lineRule="auto"/>
        <w:ind w:left="720" w:hanging="778"/>
        <w:jc w:val="both"/>
        <w:rPr>
          <w:rtl/>
        </w:rPr>
      </w:pPr>
      <w:r>
        <w:rPr>
          <w:rFonts w:ascii="David" w:hAnsi="David" w:cs="David"/>
          <w:sz w:val="28"/>
          <w:szCs w:val="28"/>
          <w:rtl/>
        </w:rPr>
        <w:t>19.</w:t>
      </w:r>
      <w:r>
        <w:rPr>
          <w:sz w:val="14"/>
          <w:szCs w:val="14"/>
          <w:rtl/>
        </w:rPr>
        <w:t xml:space="preserve">  </w:t>
      </w:r>
      <w:r>
        <w:rPr>
          <w:rFonts w:ascii="David" w:hAnsi="David" w:cs="David"/>
          <w:sz w:val="28"/>
          <w:szCs w:val="28"/>
          <w:rtl/>
        </w:rPr>
        <w:t xml:space="preserve">בהתאמה לתכליתו של חוק החיזוק, כפי שהובהרה לעיל, נקבע בסעיף 2 לחוק החיזוק, כי מקום בו ניתן היתר בנייה לביצוע עבודה ברכוש המשותף לפי תכנית חיזוק ונדרשת הסכמת בעלי הדירות בבית המשותף לביצוע העבודה, יחולו לעניין הסכמה כאמור, הוראות חוק החיזוק ולא הוראות חוק המקרקעין. אשר לקביעתו זו המפורשת של חוק החיזוק אציין כבר עתה כי יש בקביעה זו כדי לדחות מניה וביה, את טענות המערערים במקרה דנן ולפיהן יש להחיל את הוראותיו הכלליות של חוק המקרקעין הנוגעות לפירוק שיתוף במסגרת דיון בתביעה כנגד דייר סרבן. זאת הואיל וחוק החיזוק, מהווה הסדר ספציפי הקובע מפורשות עדיפותו על פני הוראות חוק המקרקעין. </w:t>
      </w:r>
    </w:p>
    <w:p w14:paraId="6DDB0DF2" w14:textId="77777777" w:rsidR="00000000" w:rsidRDefault="00000000">
      <w:pPr>
        <w:bidi/>
        <w:spacing w:line="360" w:lineRule="auto"/>
        <w:ind w:left="720"/>
        <w:jc w:val="both"/>
        <w:rPr>
          <w:rtl/>
        </w:rPr>
      </w:pPr>
      <w:r>
        <w:rPr>
          <w:rFonts w:ascii="David" w:hAnsi="David" w:cs="David"/>
          <w:sz w:val="28"/>
          <w:szCs w:val="28"/>
        </w:rPr>
        <w:t> </w:t>
      </w:r>
    </w:p>
    <w:p w14:paraId="07B2DE2D" w14:textId="77777777" w:rsidR="00000000" w:rsidRDefault="00000000">
      <w:pPr>
        <w:bidi/>
        <w:spacing w:line="360" w:lineRule="auto"/>
        <w:ind w:left="720"/>
        <w:jc w:val="both"/>
        <w:rPr>
          <w:rtl/>
        </w:rPr>
      </w:pPr>
      <w:r>
        <w:rPr>
          <w:rFonts w:ascii="David" w:hAnsi="David" w:cs="David"/>
          <w:sz w:val="28"/>
          <w:szCs w:val="28"/>
          <w:rtl/>
        </w:rPr>
        <w:t>בהמשך לקביעת סעיף 2 לחוק החיזוק, נקבע במסגרת חוק חיזוק הרוב הנדרש לביצוע עבודות החיזוק, באופן מדורג, אשר עולה, ככל שהיקף העבודות או היקף השינויים ברכוש המשותף עולים. כך, בהתאם להוראת סעיף 3 לחוק החיזוק נדרש רוב רגיל לשם אישור עבודות חיזוק שמטרתן שינוי ברכוש המשותף שאינו הרחבת דירה או בניית דירה חדשה.</w:t>
      </w:r>
    </w:p>
    <w:p w14:paraId="74020F21" w14:textId="77777777" w:rsidR="00000000" w:rsidRDefault="00000000">
      <w:pPr>
        <w:bidi/>
        <w:spacing w:line="360" w:lineRule="auto"/>
        <w:ind w:left="720"/>
        <w:jc w:val="both"/>
        <w:rPr>
          <w:rtl/>
        </w:rPr>
      </w:pPr>
      <w:r>
        <w:rPr>
          <w:rFonts w:ascii="David" w:hAnsi="David" w:cs="David"/>
          <w:sz w:val="28"/>
          <w:szCs w:val="28"/>
          <w:rtl/>
        </w:rPr>
        <w:t>סעיף 4 לחוק החיזוק מאפשר ביצוע עבודה ברכוש המשותף שמטרתה הרחבת דירה וקובע:</w:t>
      </w:r>
    </w:p>
    <w:p w14:paraId="0E0B5A54" w14:textId="77777777" w:rsidR="00000000" w:rsidRDefault="00000000">
      <w:pPr>
        <w:bidi/>
        <w:spacing w:line="360" w:lineRule="auto"/>
        <w:ind w:left="720"/>
        <w:jc w:val="both"/>
        <w:rPr>
          <w:rtl/>
        </w:rPr>
      </w:pPr>
      <w:r>
        <w:rPr>
          <w:rFonts w:ascii="David" w:hAnsi="David" w:cs="David"/>
          <w:sz w:val="28"/>
          <w:szCs w:val="28"/>
          <w:rtl/>
        </w:rPr>
        <w:t>"ביצוע עבודה ברכוש המשותף שמטרתה הרחבת דירה, טעון החלטה מראש של מי שבבעלותם שישים אחוזים מהדירות בבית המשותף, בדבר הוצאת חלקים מהרכוש המשותף לשם הצמדתם לאותה דירה וכן בדבר חלוקת זכויות הבניה הנדרשות לשם ביצוע עבודה."</w:t>
      </w:r>
    </w:p>
    <w:p w14:paraId="64950D5F" w14:textId="77777777" w:rsidR="00000000" w:rsidRDefault="00000000">
      <w:pPr>
        <w:bidi/>
        <w:spacing w:line="360" w:lineRule="auto"/>
        <w:ind w:left="720"/>
        <w:jc w:val="both"/>
        <w:rPr>
          <w:rtl/>
        </w:rPr>
      </w:pPr>
      <w:r>
        <w:rPr>
          <w:rFonts w:ascii="David" w:hAnsi="David" w:cs="David"/>
          <w:sz w:val="28"/>
          <w:szCs w:val="28"/>
          <w:rtl/>
        </w:rPr>
        <w:t> </w:t>
      </w:r>
    </w:p>
    <w:p w14:paraId="452EF2F1" w14:textId="77777777" w:rsidR="00000000" w:rsidRDefault="00000000">
      <w:pPr>
        <w:bidi/>
        <w:spacing w:line="360" w:lineRule="auto"/>
        <w:ind w:left="720"/>
        <w:jc w:val="both"/>
        <w:rPr>
          <w:rtl/>
        </w:rPr>
      </w:pPr>
      <w:r>
        <w:rPr>
          <w:rFonts w:ascii="David" w:hAnsi="David" w:cs="David"/>
          <w:sz w:val="28"/>
          <w:szCs w:val="28"/>
          <w:rtl/>
        </w:rPr>
        <w:t>הסעיף הרלוונטי לענייננו הוא זה הקבוע בסעיף 5א' לחוק החיזוק הדן בהריסת בניין והקמתו מחדש וקובע:</w:t>
      </w:r>
    </w:p>
    <w:p w14:paraId="352AE3F0" w14:textId="77777777" w:rsidR="00000000" w:rsidRDefault="00000000">
      <w:pPr>
        <w:bidi/>
        <w:spacing w:line="360" w:lineRule="auto"/>
        <w:ind w:left="720"/>
        <w:jc w:val="both"/>
        <w:rPr>
          <w:rtl/>
        </w:rPr>
      </w:pPr>
      <w:r>
        <w:rPr>
          <w:rFonts w:ascii="David" w:hAnsi="David" w:cs="David"/>
          <w:sz w:val="28"/>
          <w:szCs w:val="28"/>
          <w:rtl/>
        </w:rPr>
        <w:t>"(א)  ביצוע עבודה ברכוש המשותף שמטרתה הריסת בניין קיים והקמתו מחדש בהתאם לתכנית חיזוק, טעון החלטה מראש של כל בעלי הדירות; ואולם רשאי המפקח, אף אם לא התקבלה החלטה מראש של כל בעלי הדירות בבית משותף שיש בו ארבע דירות לפחות, ויותר משני בעלי דירות, לאשר את ביצוע העבודה, על פי תביעה של בעלי הדירות שבמועד הגשת התביעה היו בבעלותם שני שלישים מהדירות בבית המשותף ושני שלישים מהרכוש המשותף היו צמודים לדירותיהם (להלן - הרוב הדרוש לאישור ביצוע העבודה), ובלבד שנתן לכל בעל דירה בבית המשותף הזדמנות לטעון את טענותיו; בהחלטה כאמור ישקול המפקח, בין השאר, את הנסיבות המיוחדות שבהריסת דירתו של בעל דירה המתנגד לביצוע העבודה כאמור והשלכותיהן; הוראות סעיף 5(ב) ו-(ג) יחולו לעניין זה, בשינויים המחויבים.</w:t>
      </w:r>
    </w:p>
    <w:p w14:paraId="4977469A" w14:textId="77777777" w:rsidR="00000000" w:rsidRDefault="00000000">
      <w:pPr>
        <w:bidi/>
        <w:spacing w:line="360" w:lineRule="auto"/>
        <w:ind w:left="720"/>
        <w:jc w:val="both"/>
        <w:rPr>
          <w:rtl/>
        </w:rPr>
      </w:pPr>
      <w:r>
        <w:rPr>
          <w:rFonts w:ascii="David" w:hAnsi="David" w:cs="David"/>
          <w:sz w:val="28"/>
          <w:szCs w:val="28"/>
          <w:rtl/>
        </w:rPr>
        <w:t>...</w:t>
      </w:r>
    </w:p>
    <w:p w14:paraId="7FDC68AB" w14:textId="77777777" w:rsidR="00000000" w:rsidRDefault="00000000">
      <w:pPr>
        <w:bidi/>
        <w:spacing w:line="360" w:lineRule="auto"/>
        <w:ind w:left="720"/>
        <w:jc w:val="both"/>
        <w:rPr>
          <w:rtl/>
        </w:rPr>
      </w:pPr>
      <w:r>
        <w:rPr>
          <w:rFonts w:ascii="David" w:hAnsi="David" w:cs="David"/>
          <w:sz w:val="28"/>
          <w:szCs w:val="28"/>
          <w:rtl/>
        </w:rPr>
        <w:t>(ב)  דירה שנוספה לבניין בעת בנייתו מחדש בהתאם להוראות סעיף זה תהיה בבעלותם של מי שערב ביצוע העבודה כאמור בסעיף קטן (א) היו בעלי דירות בבית המשותף, לפי החלק ברכוש המשותף הצמוד לכל דירה."</w:t>
      </w:r>
    </w:p>
    <w:p w14:paraId="45A86973" w14:textId="77777777" w:rsidR="00000000" w:rsidRDefault="00000000">
      <w:pPr>
        <w:bidi/>
        <w:spacing w:line="360" w:lineRule="auto"/>
        <w:ind w:left="720"/>
        <w:jc w:val="both"/>
        <w:rPr>
          <w:rtl/>
        </w:rPr>
      </w:pPr>
      <w:r>
        <w:rPr>
          <w:rFonts w:ascii="David" w:hAnsi="David" w:cs="David"/>
          <w:sz w:val="28"/>
          <w:szCs w:val="28"/>
          <w:rtl/>
        </w:rPr>
        <w:t> </w:t>
      </w:r>
    </w:p>
    <w:p w14:paraId="68E22808" w14:textId="77777777" w:rsidR="00000000" w:rsidRDefault="00000000">
      <w:pPr>
        <w:bidi/>
        <w:spacing w:line="360" w:lineRule="auto"/>
        <w:ind w:left="720" w:hanging="778"/>
        <w:jc w:val="both"/>
        <w:rPr>
          <w:rtl/>
        </w:rPr>
      </w:pPr>
      <w:r>
        <w:rPr>
          <w:rFonts w:ascii="David" w:hAnsi="David" w:cs="David"/>
          <w:sz w:val="28"/>
          <w:szCs w:val="28"/>
          <w:rtl/>
        </w:rPr>
        <w:t>20.</w:t>
      </w:r>
      <w:r>
        <w:rPr>
          <w:sz w:val="14"/>
          <w:szCs w:val="14"/>
          <w:rtl/>
        </w:rPr>
        <w:t xml:space="preserve">  </w:t>
      </w:r>
      <w:r>
        <w:rPr>
          <w:rFonts w:ascii="David" w:hAnsi="David" w:cs="David"/>
          <w:sz w:val="28"/>
          <w:szCs w:val="28"/>
          <w:rtl/>
        </w:rPr>
        <w:t>ודוקו, אמנם בהתאם להוראות חוק החיזוק, על פניו מקום בו מתקיים הרוב הנדרש, יכול רוב בעלי הדירות לכפות דעתו על המיעוט ואולם, על מנת לאזן זאת, נקבעו במסגרת חוק החיזוק מנגנונים, אשר ייעודם שמירה על זכויות המיעוט ואשר במסגרתם מתאפשר למיעוט זה להשמיע את קולו ולהשפיע על הקביעה האם הפרויקט יצא לפועל - בכלל או למצער במתכונת עליה הסכים רוב בעלי הדירות.</w:t>
      </w:r>
    </w:p>
    <w:p w14:paraId="4726B125" w14:textId="77777777" w:rsidR="00000000" w:rsidRDefault="00000000">
      <w:pPr>
        <w:bidi/>
        <w:spacing w:line="360" w:lineRule="auto"/>
        <w:ind w:left="720"/>
        <w:jc w:val="both"/>
        <w:rPr>
          <w:rtl/>
        </w:rPr>
      </w:pPr>
      <w:r>
        <w:rPr>
          <w:rFonts w:ascii="David" w:hAnsi="David" w:cs="David"/>
          <w:sz w:val="28"/>
          <w:szCs w:val="28"/>
          <w:rtl/>
        </w:rPr>
        <w:t>המנגנון האחד (הוא גם הרלוונטי על פניו לענייננו) - קבוע בסיפא לסעיף 5א' לחוק החיזוק ובהתאם לו על המפקח ליתן לכל בעל דירה בבית המשותף אפשרות להשמיע את דבריו.</w:t>
      </w:r>
    </w:p>
    <w:p w14:paraId="3266A40C" w14:textId="77777777" w:rsidR="00000000" w:rsidRDefault="00000000">
      <w:pPr>
        <w:bidi/>
        <w:spacing w:line="360" w:lineRule="auto"/>
        <w:ind w:left="720"/>
        <w:jc w:val="both"/>
        <w:rPr>
          <w:rtl/>
        </w:rPr>
      </w:pPr>
      <w:r>
        <w:rPr>
          <w:rFonts w:ascii="David" w:hAnsi="David" w:cs="David"/>
          <w:sz w:val="28"/>
          <w:szCs w:val="28"/>
          <w:rtl/>
        </w:rPr>
        <w:t> </w:t>
      </w:r>
    </w:p>
    <w:p w14:paraId="26B01E67" w14:textId="77777777" w:rsidR="00000000" w:rsidRDefault="00000000">
      <w:pPr>
        <w:bidi/>
        <w:spacing w:line="360" w:lineRule="auto"/>
        <w:ind w:left="720" w:hanging="360"/>
        <w:jc w:val="both"/>
        <w:rPr>
          <w:rtl/>
        </w:rPr>
      </w:pPr>
      <w:r>
        <w:rPr>
          <w:rFonts w:ascii="David" w:hAnsi="David" w:cs="David"/>
          <w:sz w:val="28"/>
          <w:szCs w:val="28"/>
          <w:rtl/>
        </w:rPr>
        <w:t>21.</w:t>
      </w:r>
      <w:r>
        <w:rPr>
          <w:sz w:val="14"/>
          <w:szCs w:val="14"/>
          <w:rtl/>
        </w:rPr>
        <w:t xml:space="preserve">  </w:t>
      </w:r>
      <w:r>
        <w:rPr>
          <w:rFonts w:ascii="David" w:hAnsi="David" w:cs="David"/>
          <w:sz w:val="28"/>
          <w:szCs w:val="28"/>
          <w:rtl/>
        </w:rPr>
        <w:t>להשלמת התמונה, אציין, כי בהקשר להיקף סמכות המפקח על רישום המקרקעין בדיונים בסכסוכים בהתאם לחוק החיזוק, נקבע בעניין רוט על ידי בית המשפט העליון, שמתוך לשון סעיף 72(א) לחוק המקרקעין - הקובעת סמכות ייחודית למפקח לדון בכל סכסוך בין בעלי דירות בבית משותף, בדבר זכויותיהם או חובותיהם, הנובע מחוק החיזוק - עולה כי סמכותו של המפקח על רישום המקרקעין היא נרחבת - והוא מוסמך לדון בכל סכסוך בין בעלי דירות הנוגע לחוק החיזוק ובכלל כך גם בסכסוך הנסב על הקניית זכויות קנייניות לצדדים שלישיים ואין הוא מוגבל לסכסוכים נשוא התביעות המפורטות מפורשות בחוק החיזוק. אציין כי לענייננו רלוונטי לציין כי באותו המקרה, עתרו המערערים למתן צו הצהרתי לפיו תוקנה להם הבעלות בשליש בלתי מסוים מכל שייבנה בשטחים הצמודים, בהצמדה משותפת לדירותיהם. קרי ביקשו הם כי תוקנה להם הבעלות בדירות הנוספות לבית המשותף בעת ביצוע פרויקט תמ"א 38. השאלה אשר נבחנה על ידי בית המשפט העליון הייתה למי הסמכות לדון בתביעה זו - האם לבית המשפט המחוזי או למפקח על רישום המקרקעין. אשר לסוגיה זו, טענו המערערים באותו העניין כי סמכות המפקח "לאשר את העבודה" כאמור בסעיף 5(א) לחוק החיזוק, אינה יכולה לכלול גם סמכות להכריע בטענות קנייניות ובכלל כך כי אין המפקח מוסמך לקבוע כי הדירות הנוספות תהיינה בבעלותו של צד שלישי ולא בבעלותם של מי שערב ביצוע העבודה היו בעלי דירות בבית המשותף. אציין כי סוגיה זו משיקה לסוגיה בהליך לפני, באשר אף פה חלק מהמחלוקת בין הצדדים קשורה לשאלת זכותם של המערערים לקבל לעצמם את הדירות הנוספות במסגרת הבנייה, בתמורה לתשלום עלויות הבניה, כאשר את טענתם זו משתיתים המערערים על זכותם הקניינית ברכוש המשותף וכפועל יוצא מכך בחלקם היחסי בדירות הנוספות. לאור זאת אציין כי, בסוגיה אשר הונחה להכרעת בית המשפט העליון בעניין רוט - קרי סוגית הסמכות, סיכם בית המשפט העליון קביעתו כדלקמן:</w:t>
      </w:r>
    </w:p>
    <w:p w14:paraId="4D8B182E" w14:textId="77777777" w:rsidR="00000000" w:rsidRDefault="00000000">
      <w:pPr>
        <w:bidi/>
        <w:spacing w:line="360" w:lineRule="auto"/>
        <w:ind w:left="720"/>
        <w:jc w:val="both"/>
        <w:rPr>
          <w:rtl/>
        </w:rPr>
      </w:pPr>
      <w:r>
        <w:rPr>
          <w:rFonts w:ascii="David" w:hAnsi="David" w:cs="David"/>
          <w:sz w:val="28"/>
          <w:szCs w:val="28"/>
          <w:rtl/>
        </w:rPr>
        <w:t>"סמכותו העניינית של המפקח קבועה בסעיף 72(א) לחוק המקרקעין, והיא חלה על כל סכסוך הנוגע לזכויות וחובות של בעלי דירות בבית המשותף לפי חוק החיזוק. משתובענת המערערים נוגעת לזכויות ביחס לדירות שתיבנינה, אם תיבנינה, מכוח תמ"א 38 ובהתאם להוראות חוק החיזוק, הרי שהמפקח מוסמך לדון בה."</w:t>
      </w:r>
    </w:p>
    <w:p w14:paraId="6C2B707A" w14:textId="77777777" w:rsidR="00000000" w:rsidRDefault="00000000">
      <w:pPr>
        <w:bidi/>
        <w:spacing w:line="360" w:lineRule="auto"/>
        <w:ind w:left="720"/>
        <w:jc w:val="both"/>
        <w:rPr>
          <w:rtl/>
        </w:rPr>
      </w:pPr>
      <w:r>
        <w:rPr>
          <w:rFonts w:ascii="David" w:hAnsi="David" w:cs="David"/>
          <w:sz w:val="28"/>
          <w:szCs w:val="28"/>
          <w:rtl/>
        </w:rPr>
        <w:t>בהתאמה לכך, אציין כנקודת מוצא לדיון בענייננו, כי על פניו, אין הכרח בהסכמת כל בעלי הדירות באשר לאופן בו תירשמנה הדירות בסופו של יום, אלא שגם עניין זה יבחן על ידי המפקח במסגרת תביעה המוגשת על פי חוק החיזוק.</w:t>
      </w:r>
    </w:p>
    <w:p w14:paraId="5986FB5E" w14:textId="77777777" w:rsidR="00000000" w:rsidRDefault="00000000">
      <w:pPr>
        <w:bidi/>
        <w:spacing w:line="360" w:lineRule="auto"/>
        <w:ind w:left="720"/>
        <w:jc w:val="both"/>
        <w:rPr>
          <w:rtl/>
        </w:rPr>
      </w:pPr>
      <w:r>
        <w:rPr>
          <w:rFonts w:ascii="David" w:hAnsi="David" w:cs="David"/>
          <w:sz w:val="28"/>
          <w:szCs w:val="28"/>
        </w:rPr>
        <w:t> </w:t>
      </w:r>
    </w:p>
    <w:p w14:paraId="2A663984" w14:textId="77777777" w:rsidR="00000000" w:rsidRDefault="00000000">
      <w:pPr>
        <w:bidi/>
        <w:spacing w:line="360" w:lineRule="auto"/>
        <w:ind w:left="720" w:hanging="778"/>
        <w:jc w:val="both"/>
        <w:rPr>
          <w:rtl/>
        </w:rPr>
      </w:pPr>
      <w:r>
        <w:rPr>
          <w:rFonts w:ascii="David" w:hAnsi="David" w:cs="David"/>
          <w:sz w:val="28"/>
          <w:szCs w:val="28"/>
          <w:rtl/>
        </w:rPr>
        <w:t>22.</w:t>
      </w:r>
      <w:r>
        <w:rPr>
          <w:sz w:val="14"/>
          <w:szCs w:val="14"/>
          <w:rtl/>
        </w:rPr>
        <w:t xml:space="preserve">  </w:t>
      </w:r>
      <w:r>
        <w:rPr>
          <w:rFonts w:ascii="David" w:hAnsi="David" w:cs="David"/>
          <w:sz w:val="28"/>
          <w:szCs w:val="28"/>
          <w:rtl/>
        </w:rPr>
        <w:t>נוסף על כך, ברע"א 1002/14 שומרוני נ' קופמן (9.7.2014) (לעיל ולהלן: "</w:t>
      </w:r>
      <w:r>
        <w:rPr>
          <w:rFonts w:ascii="David" w:hAnsi="David" w:cs="David"/>
          <w:b/>
          <w:bCs/>
          <w:sz w:val="28"/>
          <w:szCs w:val="28"/>
          <w:rtl/>
        </w:rPr>
        <w:t>פסק הדין בעניין שומרוני</w:t>
      </w:r>
      <w:r>
        <w:rPr>
          <w:rFonts w:ascii="David" w:hAnsi="David" w:cs="David"/>
          <w:sz w:val="28"/>
          <w:szCs w:val="28"/>
          <w:rtl/>
        </w:rPr>
        <w:t>"), הוסיף בית המשפט העליון וקבע כי סמכותו של המפקח על רישום המקרקעין לא נסבה רק על אישור עבודות החיזוק, אלא היא משתרעת גם על אישור של אופן ביצוע העבודה. כך, בסעיף 22 נקבע על ידי בית המשפט העליון בעניין שומרוני כי:</w:t>
      </w:r>
    </w:p>
    <w:p w14:paraId="2EB933CD" w14:textId="77777777" w:rsidR="00000000" w:rsidRDefault="00000000">
      <w:pPr>
        <w:bidi/>
        <w:spacing w:line="360" w:lineRule="auto"/>
        <w:ind w:left="720"/>
        <w:jc w:val="both"/>
        <w:rPr>
          <w:rtl/>
        </w:rPr>
      </w:pPr>
      <w:r>
        <w:rPr>
          <w:rFonts w:ascii="David" w:hAnsi="David" w:cs="David"/>
          <w:sz w:val="28"/>
          <w:szCs w:val="28"/>
          <w:rtl/>
        </w:rPr>
        <w:t>"פעולה משותפת של בעלי זכויות בדירות בבית משותף במסגרת תמ"א 38 היא תנאי הכרחי ליישומה, הן משום שהחיזוק צריך להיעשות במבנה כולו והן משום שזכויות הבנייה הנוספות הן זכויות המשותפות לכלל הדיירים בבניין. על מנת שניתן יהיה ליישם את ההסדרים המקלים הקבועים בחוק החיזוק, הלכה למעשה, ודווקא כאשר קיימת יותר מחלופה אפשרית אחת לחיזוק הבניין - נדרש כי למפקח תהיה סמכות להכריע גם באשר לאופן ביצוע העבודות. רק באמצעות סמכות לאישור מתכונת העבודות יהיה באפשרות המפקח ליישם את מטרתו של חוק החיזוק - קביעת הסדרים מקלים לביצוע תמ"א 38. כל פרשנות אחרת תעקר את סמכויותיו של המפקח מתוכן ותסכל את המטרות שתמ"א 38 וחוק החיזוק נועדו לקדם. למעשה, במקרה הטיפוסי, המחלוקת בין בעלי דירות נסבה על אופן מימוש הזכויות לפי תמ"א 38, להבדיל מאשר על "תמיכה עקרונית" ביישומה. במילים אחרות, מרבית המחלוקות מתגלעות דווקא כאשר הצדדים נדרשים להסכים על הפרטים הקונקרטיים של תוכנית מוצעת".</w:t>
      </w:r>
    </w:p>
    <w:p w14:paraId="120517D1" w14:textId="77777777" w:rsidR="00000000" w:rsidRDefault="00000000">
      <w:pPr>
        <w:bidi/>
        <w:spacing w:line="360" w:lineRule="auto"/>
        <w:ind w:left="720"/>
        <w:jc w:val="both"/>
        <w:rPr>
          <w:rtl/>
        </w:rPr>
      </w:pPr>
      <w:r>
        <w:rPr>
          <w:rFonts w:ascii="David" w:hAnsi="David" w:cs="David"/>
          <w:sz w:val="28"/>
          <w:szCs w:val="28"/>
          <w:rtl/>
        </w:rPr>
        <w:t> </w:t>
      </w:r>
    </w:p>
    <w:p w14:paraId="686F6652" w14:textId="77777777" w:rsidR="00000000" w:rsidRDefault="00000000">
      <w:pPr>
        <w:bidi/>
        <w:spacing w:line="360" w:lineRule="auto"/>
        <w:ind w:left="720"/>
        <w:jc w:val="both"/>
        <w:rPr>
          <w:rtl/>
        </w:rPr>
      </w:pPr>
      <w:r>
        <w:rPr>
          <w:rFonts w:ascii="David" w:hAnsi="David" w:cs="David"/>
          <w:sz w:val="28"/>
          <w:szCs w:val="28"/>
          <w:rtl/>
        </w:rPr>
        <w:t>בכל הנוגע לשאלות אשר על המפקח לברר בהליך זה, נקבע בעניין שומרוני, כי אמנם המטרה של חיזוק הבית המשותף היא מטרה ראויה ואולם, בצד זאת, הוסיף בית המשפט העליון והדגיש, כי הואיל ועסקינן בהתנגשות אפשרית בין אינטרס הכלל לאינטרס הפרט, הרי שחשוב שהדברים יעשו בזהירות ראויה, תוך איזון בין האינטרסים (סעיף 26 לפסק הדין). בהתאמה לכך, התווה בית המשפט העליון את האופן בו תבחן התביעה על ידי המפקח כדלקמן:</w:t>
      </w:r>
    </w:p>
    <w:p w14:paraId="14B536E0" w14:textId="77777777" w:rsidR="00000000" w:rsidRDefault="00000000">
      <w:pPr>
        <w:bidi/>
        <w:spacing w:line="360" w:lineRule="auto"/>
        <w:ind w:left="720"/>
        <w:jc w:val="both"/>
        <w:rPr>
          <w:rtl/>
        </w:rPr>
      </w:pPr>
      <w:r>
        <w:rPr>
          <w:rFonts w:ascii="David" w:hAnsi="David" w:cs="David"/>
          <w:sz w:val="28"/>
          <w:szCs w:val="28"/>
          <w:rtl/>
        </w:rPr>
        <w:t>"אשר על כן, בבואו לבחון בקשה לאשר הסכם, חרף התנגדות של מיעוט מקרב הדיירים, עליו להקדים ולבחון את מכלול נסיבות העניין, ובכלל זה לתת דעתו לשאלות הבאות: האם הוצג טעם להתנגדות (או שמא ההתנגדות היא בעלת אופי "עקרוני" ללא הנמקה)? האם במישור האובייקטיבי התוכנית עתידה להיטיב את מצב כלל הדיירים בבניין? האם התוכנית פוגעת באופן מהותי בזכויותיו של המיעוט? האם היא התקבלה בחוסר תום לב או בניגוד עניינים? האם הוצגה תוכנית חלופית קונקרטית והאם גלומים בזו יתרונות שאין בהסכם שהוצג לאישור? האם נשמר השוויון בין הדיירים? המדובר ברשימת שיקולים לא ממצה וכמובן שעל המפקח לשקול את התוכנית שמוגשת לאישורו בהתאם למכלול נסיבות העניין." (סעיף 27 לפסק הדין).</w:t>
      </w:r>
    </w:p>
    <w:p w14:paraId="0706F61C" w14:textId="77777777" w:rsidR="00000000" w:rsidRDefault="00000000">
      <w:pPr>
        <w:bidi/>
        <w:spacing w:line="360" w:lineRule="auto"/>
        <w:ind w:left="720"/>
        <w:jc w:val="both"/>
        <w:rPr>
          <w:rtl/>
        </w:rPr>
      </w:pPr>
      <w:r>
        <w:rPr>
          <w:rFonts w:ascii="David" w:hAnsi="David" w:cs="David"/>
          <w:sz w:val="28"/>
          <w:szCs w:val="28"/>
          <w:rtl/>
        </w:rPr>
        <w:t> </w:t>
      </w:r>
    </w:p>
    <w:p w14:paraId="311C55A2" w14:textId="77777777" w:rsidR="00000000" w:rsidRDefault="00000000">
      <w:pPr>
        <w:bidi/>
        <w:spacing w:line="360" w:lineRule="auto"/>
        <w:ind w:left="720"/>
        <w:jc w:val="both"/>
        <w:rPr>
          <w:rtl/>
        </w:rPr>
      </w:pPr>
      <w:r>
        <w:rPr>
          <w:rFonts w:ascii="David" w:hAnsi="David" w:cs="David"/>
          <w:sz w:val="28"/>
          <w:szCs w:val="28"/>
          <w:rtl/>
        </w:rPr>
        <w:t>כהשלמה לקביעתו של בית המשפט העליון בעניין שומרוני והואיל ובמקרה דנן הסוגיה המרכזית העומדת לדיון קשורה לשאלה האם הציגו המערערים חלופה קונקרטית אפשרית אל מול החלופה הגלומה בהסכם התמ"א, הנני מוצאת להדגיש כי לגישתי - הגם שבעניין שומרוני, החלופה עליה דיבר בית המשפט העליון הייתה חלופה תכנונית - אינני סבורה כי בית המשפט העליון ביקש לצמצם קביעתו רק לנסיבות לפניו, קרי לקבוע כי החלופה הרלוונטית אשר יש לבחון היא החלופה התכנונית. אשר לכך אפתח ואציין כי במרכז הדיון בעניין שומרוני, עמדה השאלה האם הציג המערער חלופה ריאלית - בדמות תכנית חלופית - לביצוען של עבודות החיזוק ונקבע כי המערער כשל מעשות כן. זאת, בשים לב לכך שהתכניות אשר הוצגו על ידי המערער באותו העניין, נבחנו בקפידה ונשללו וכאשר המפקח קבע כי כל התנגדותו של המערער והאיצטלות לאי חתימתו והסכמתו לפרויקט, נותרו בגדר תירוצים בלבד למטרתו האמיתית והיא כי לא יבוצע חיזוק ולא תבוצע כל עבודה בבית. יחד עם זאת והגם שכאמור בעניין שומרוני נסב הסירוב רק על החלופה התכנונית - הנני סבורה - ולגישתי האמור אף עולה מפרשנות תכליתית של קביעות בית המשפט העליון, כי הכוונה היא שיהא על הדייר המסרב, להציג חלופה אפשרית אחרת בכל תחום ועניין השנוי במחלוקת - קרי לתמוך בקיומה של חלופה התואמת את גישתו והתנגדותו. קביעתי זו עולה ראשית עם לשון הקביעה בעניין שומרוני ובהתאם לה מדבר בית המשפט העליון ב"חלופה" ולאו דווקא בחלופה תכנונית. זאת ועוד, מתוך דברי בית המשפט העליון עולה כי השיקולים המוצגים על ידו הם שיקולים אפשריים ואולם, לא מדובר ברשימת שיקולים ממצה. ולבסוף, כחוט השני עובר בשיקולים אשר מונה בית המשפט העליון ההיגיון והרציונל ולפיו נדרש כי ההתנגדות תהיה התנגדות ממשית ולא סתמית או תיאורטית. בהלימה לכך, הרי שגם החלופה בה מדבר בית המשפט העליון, היא חלופה המגלמת אפשרות העולה בקנה אחד עם הטעמים להתנגדותו של הדייר המסרב. כך ככל שסירובו של הדייר מבוסס על טעמים כלכליים- עליו להציג חלופה כלכלית אחרת העולה בקנה אחד עם התנגדותו, ככל שסירובו מבוסס על טעמים תכנוניים - עליו להציג חלופה תכנונית אחרת העולה בקנה אחד עם התנגדותו וככל שהתנגדותו מבוססת על מתווה ההתקשרות עם הקבלן (כפי הנטען במקרה דנן) - עליו להציג חלופה אפשרית העולה בקנה אחד עם התנגדותו - קרי עם המתווה המוצע על ידו. ודוקו - הדרישה אינה בחלופה תיאורטית מפרי דימיונו של המתנגד, אלא חלופה בדמות - תכנית אחרת שניתן לאשרה במוסדות התכנון; הסכם אחר - אשר יש יזם המסכים לחתום עליו המגלם תמורות כלכליות עודפות ולבסוף - יזם קונקרטי המסכים למתווה הקונקרטי המוצע על ידי הדייר המתנגד. הנני סבורה כי האמור חל למצער בנסיבות המקרה נשוא הדיון כאן, בהן מצהירים המערערים כי הם מעוניינים בקיומו של הפרויקט ואולם, לגישתם יש לבצעו בעסקה המורכבת מעסקת קומבינציה (של שאר בעלי הדירות שיקבלו את שירות הבניה בתמורה לזכויות הנוספות לבית המשותף) ועסקת רכישת שירותי בניה בכסף אשר תבוצע על ידם, תוך שהם יקבלו הן דירה במקום דירתם והן, אחת מדירות הנוספות. (ראו לעניין זה בדומה גם קביעתי בעש"א (מחוזי ת"א) 69335-06-23 נעם ניר נ' דוד נאור (המנוח) (24.1.2024) אשר בקשת רשות ערעור אשר הוגשה עליה נדחתה, על ידי כבוד השופטת דפנה ברק ארז, ברע"א 2331/24 ניר נעם נ' נאור ששון דוד ז"ל ו-80 אח' ( 23.6.2024), תוך שבסעיף 10 לפסק דינה נקבע כי: "אף השאלות הנוגעות לטיב החלופה שהיה על המבקש להציג היו בעלות אופי יישומי וקונקרטי. כמו כן, מכלול טענותיו של המבקש נדונו בהרחבה במסגרת ההליך, ולאחר שנבחנו לגופן - נדחו אחת לאחת." ובית המשפט העליון לא מצא להתערב בקביעות אלו).</w:t>
      </w:r>
    </w:p>
    <w:p w14:paraId="270DE9F1" w14:textId="77777777" w:rsidR="00000000" w:rsidRDefault="00000000">
      <w:pPr>
        <w:bidi/>
        <w:spacing w:line="360" w:lineRule="auto"/>
        <w:ind w:left="720"/>
        <w:jc w:val="both"/>
        <w:rPr>
          <w:rtl/>
        </w:rPr>
      </w:pPr>
      <w:r>
        <w:rPr>
          <w:rFonts w:ascii="David" w:hAnsi="David" w:cs="David"/>
          <w:sz w:val="28"/>
          <w:szCs w:val="28"/>
          <w:rtl/>
        </w:rPr>
        <w:t> </w:t>
      </w:r>
    </w:p>
    <w:p w14:paraId="5BD47DF8" w14:textId="77777777" w:rsidR="00000000" w:rsidRDefault="00000000">
      <w:pPr>
        <w:bidi/>
        <w:spacing w:line="360" w:lineRule="auto"/>
        <w:ind w:left="720" w:hanging="778"/>
        <w:jc w:val="both"/>
        <w:rPr>
          <w:rtl/>
        </w:rPr>
      </w:pPr>
      <w:r>
        <w:rPr>
          <w:rFonts w:ascii="David" w:hAnsi="David" w:cs="David"/>
          <w:sz w:val="28"/>
          <w:szCs w:val="28"/>
          <w:rtl/>
        </w:rPr>
        <w:t>23.</w:t>
      </w:r>
      <w:r>
        <w:rPr>
          <w:sz w:val="14"/>
          <w:szCs w:val="14"/>
          <w:rtl/>
        </w:rPr>
        <w:t xml:space="preserve">  </w:t>
      </w:r>
      <w:r>
        <w:rPr>
          <w:rFonts w:ascii="David" w:hAnsi="David" w:cs="David"/>
          <w:sz w:val="28"/>
          <w:szCs w:val="28"/>
          <w:rtl/>
        </w:rPr>
        <w:t>נוסף על סוגיית היקף סמכותו של המפקח על רישום המקרקעין, נדרשה הפסיקה לטיבה של התנגדות הדייר המסרב לביצוע הפרויקט ובכלל כך לשאלה - על מי מוטל הנטל בהתאם לחוק החיזוק - האם על רוב בעלי הדירות להוכיח כי סרבנותו של הדייר מופרכת או על בעל הדירה המסרב - להוכיח כי סרבנותו מוצדקת. כבסיס לקביעות בנושא זה, נדרשה הפסיקה גם לבחינת טיבה של הזכות הקניינית של בעל דירה בדירתו, כמו גם ברכוש המשותף ובכלל כך, לסוגיית האיזון בין זכותו הקניינית של המיעוט אל מול רצונו של הרוב בקידום פרויקט לפי תמ"א 38, אשר יכול שכפועל יוצא ממנו תפגענה זכויות המיעוט. לסוגיה זו האחרונה, נדרשתי בעש"א (מחוזי ת"א) 13039-12-20 יוסף ניסני נ' אמנון חביב (26.4.2021) (להלן: "</w:t>
      </w:r>
      <w:r>
        <w:rPr>
          <w:rFonts w:ascii="David" w:hAnsi="David" w:cs="David"/>
          <w:b/>
          <w:bCs/>
          <w:sz w:val="28"/>
          <w:szCs w:val="28"/>
          <w:rtl/>
        </w:rPr>
        <w:t>עניין ניסני</w:t>
      </w:r>
      <w:r>
        <w:rPr>
          <w:rFonts w:ascii="David" w:hAnsi="David" w:cs="David"/>
          <w:sz w:val="28"/>
          <w:szCs w:val="28"/>
          <w:rtl/>
        </w:rPr>
        <w:t>"). באותו העניין פתחתי וחיוויתי דעתי כי בכל הנוגע לפגיעה המהותית בזכויותיו של המיעוט, הרי שלכאורה תחת כסות ההגנה הקניינית על זכויות בעלי הדירות בבית המשותף, ניתן לחסום כל יוזמה לביצוע שינויים בבית המשותף. לכך יש להוסיף כי בבסיס התנגדות בעל דירה לפרויקט יכולים לעמוד מחד טעמים עניינים ומאידך גם שרירות לב או רצון לסחטנות. לגופם של דברים, בכל הנוגע לאופן בו יש לבחון את הפגיעה בזכויות המיעוט, הבהרתי בעניין ניסני כי שותפה אני לניתוח, מסקנות והכרעות, כפי שנעשו על ידי בית המשפט המחוזי בחיפה, מפי כב' השופט כהן בע"א (מחוזי חי') 899-03-09 שרה קלצוק נ' צבי אורון (29/04/10) (להלן: "</w:t>
      </w:r>
      <w:r>
        <w:rPr>
          <w:rFonts w:ascii="David" w:hAnsi="David" w:cs="David"/>
          <w:b/>
          <w:bCs/>
          <w:sz w:val="28"/>
          <w:szCs w:val="28"/>
          <w:rtl/>
        </w:rPr>
        <w:t>עניין קלצוק</w:t>
      </w:r>
      <w:r>
        <w:rPr>
          <w:rFonts w:ascii="David" w:hAnsi="David" w:cs="David"/>
          <w:sz w:val="28"/>
          <w:szCs w:val="28"/>
          <w:rtl/>
        </w:rPr>
        <w:t>") (אשר שוקפה גם בספרם של מיכה גדרון ואהרן נמדר תמ"א 38 (התשס"א), בעמודים 437-439). כך בראשית הדברים מצא כב' השופט כהן, בעניין קלצ'וק, להבחין בין שתי גישות בכל הנוגע להיקפה של זכות הקניין וההגנה עליה -הראשונה היא "הגנת הקניין" - שהיא: "זכות יסוד בעלת עוצמה רבה. על פי תפיסה זו, כל אדם זכאי לעשות בקניינו כרצונו, בכפוף למגבלות הדין, ואין אדם זכאי לפגוע בקניין זולתו. תפיסה זו חלה אף על זכויות קניין של בעלי דירות בבית משותף, הן ביחס לזכויותיהם הקנייניות בדירות שבבעלותם והן ביחס לזכויותיהם הקנייניות בחלקים מהרכוש המשותף. במסגרת תפיסה זו, בניית דירות חדשות בבית המשותף "מדללת" את זכויות בעלי הדירות הקיימות ברכוש המשותף, ובכך נפגעות זכויותיהם הקנייניות. מכאן נובעת אף זכות כל אחד מבעלי הדירות, להתנגד לבניית דירות חדשות בבניין."</w:t>
      </w:r>
    </w:p>
    <w:p w14:paraId="01F16E83" w14:textId="77777777" w:rsidR="00000000" w:rsidRDefault="00000000">
      <w:pPr>
        <w:bidi/>
        <w:spacing w:line="360" w:lineRule="auto"/>
        <w:ind w:left="720"/>
        <w:jc w:val="both"/>
        <w:rPr>
          <w:rtl/>
        </w:rPr>
      </w:pPr>
      <w:r>
        <w:rPr>
          <w:rFonts w:ascii="David" w:hAnsi="David" w:cs="David"/>
          <w:sz w:val="28"/>
          <w:szCs w:val="28"/>
          <w:rtl/>
        </w:rPr>
        <w:t>והשנייה היא "הגנת החבות" - "(או בשמה האחר - הגנת האחריות), מעקרת את זכות הווטו של המיעוט, העלולה למנוע השאת התועלת לכלל השותפים. עם זאת, מקום בו התועלת לכלל גורמת לפגיעה במיעוט, יהיה המיעוט זכאי לקבל פיצוי על הפגיעה בזכותו הקניינית. הפעלת הגנת החבות, עשויה במקרים המתאימים לשמש כלי יעיל לאיזון בין זכויות קנייניות סותרות."</w:t>
      </w:r>
    </w:p>
    <w:p w14:paraId="26293BC8" w14:textId="77777777" w:rsidR="00000000" w:rsidRDefault="00000000">
      <w:pPr>
        <w:bidi/>
        <w:spacing w:line="360" w:lineRule="auto"/>
        <w:ind w:left="720"/>
        <w:jc w:val="both"/>
        <w:rPr>
          <w:rtl/>
        </w:rPr>
      </w:pPr>
      <w:r>
        <w:rPr>
          <w:rFonts w:ascii="David" w:hAnsi="David" w:cs="David"/>
          <w:sz w:val="28"/>
          <w:szCs w:val="28"/>
          <w:rtl/>
        </w:rPr>
        <w:t> </w:t>
      </w:r>
    </w:p>
    <w:p w14:paraId="16E7373C" w14:textId="77777777" w:rsidR="00000000" w:rsidRDefault="00000000">
      <w:pPr>
        <w:bidi/>
        <w:spacing w:line="360" w:lineRule="auto"/>
        <w:ind w:left="720"/>
        <w:jc w:val="both"/>
        <w:rPr>
          <w:rtl/>
        </w:rPr>
      </w:pPr>
      <w:r>
        <w:rPr>
          <w:rFonts w:ascii="David" w:hAnsi="David" w:cs="David"/>
          <w:sz w:val="28"/>
          <w:szCs w:val="28"/>
          <w:rtl/>
        </w:rPr>
        <w:t>במסגרת פסק הדין בעניין קלצוק צויין, כי הגנת הקניין היא זו בה נקט ככלל חוק המקרקעין. יחד עם זאת, בהתבסס על פסק הדין אשר ניתן על ידי כב' השופט מ' חשין ברע"א 7112/93 צודלר נ' יוסף, פ"ד מח(5) 550 (1994) (להלן: "</w:t>
      </w:r>
      <w:r>
        <w:rPr>
          <w:rFonts w:ascii="David" w:hAnsi="David" w:cs="David"/>
          <w:b/>
          <w:bCs/>
          <w:sz w:val="28"/>
          <w:szCs w:val="28"/>
          <w:rtl/>
        </w:rPr>
        <w:t>עניין צודלר</w:t>
      </w:r>
      <w:r>
        <w:rPr>
          <w:rFonts w:ascii="David" w:hAnsi="David" w:cs="David"/>
          <w:sz w:val="28"/>
          <w:szCs w:val="28"/>
          <w:rtl/>
        </w:rPr>
        <w:t>"), קבע השופט כהן כי בכל הנוגע לזכויות בעלי דירות ברכוש משותף, קיימת נגיסה בהגנת הקניין והליכה לכיוון הגנת החבות. אציין כי בעניין צודלר, אליו כאמור הפנה בית המשפט בעניין קלצוק, נדונה האפשרות להוספת דירות חדשות אגב בנייה מחדש, בהתאם להוראות סעיף 60 לחוק המקרקעין, של בית שנהרס. בתוספת הדירות כאמור היה בכדי להוביל לדילול חלקם של הבעלים הנוכחיים ברכוש המשותף. בנתחו את מערכת הזכויות בין בעלי הדירות בבית המשותף, לעניין הקמתו של בית משותף שנהרס, לפי סעיף 60 לחוק המקרקעין, קבע כב' השופט חשין, בעמ' 562 כי:</w:t>
      </w:r>
    </w:p>
    <w:p w14:paraId="3F3EBF88" w14:textId="77777777" w:rsidR="00000000" w:rsidRDefault="00000000">
      <w:pPr>
        <w:bidi/>
        <w:spacing w:line="360" w:lineRule="auto"/>
        <w:ind w:left="720"/>
        <w:jc w:val="both"/>
        <w:rPr>
          <w:rtl/>
        </w:rPr>
      </w:pPr>
      <w:r>
        <w:rPr>
          <w:rFonts w:ascii="David" w:hAnsi="David" w:cs="David"/>
          <w:sz w:val="28"/>
          <w:szCs w:val="28"/>
          <w:rtl/>
        </w:rPr>
        <w:t>".... הרוכש דירה בבית משותף - הוא הדין במי שדירה בבית משותף נפלה לבעלותו בדרך אחרת - מעלים עליו כי הסכים מראש לוותר על חלק מן האוטונומיה הקניינית הקנויה לו, וכמו הקנה חלק מזכויותיו למסגרת השיתופית המתמשכת והקבועה. דיברנו בלשון של ויתור, אך לאמיתם של דברים הוויתור מובנה הוא אל תוך מסגרתו הנורמטיבית של הבית המשותף, כהגבלה קניינית מעיקרו של דין".</w:t>
      </w:r>
    </w:p>
    <w:p w14:paraId="654689DD" w14:textId="77777777" w:rsidR="00000000" w:rsidRDefault="00000000">
      <w:pPr>
        <w:bidi/>
        <w:spacing w:line="360" w:lineRule="auto"/>
        <w:ind w:left="720"/>
        <w:jc w:val="both"/>
        <w:rPr>
          <w:rtl/>
        </w:rPr>
      </w:pPr>
      <w:r>
        <w:rPr>
          <w:rFonts w:ascii="David" w:hAnsi="David" w:cs="David"/>
          <w:sz w:val="28"/>
          <w:szCs w:val="28"/>
          <w:rtl/>
        </w:rPr>
        <w:t>עוד נקבע על ידי כב' השופט חשין בעניין צודלר כי בסעיף 60 לחוק המקרקעין, גילה המחוקק דעתו שההסדר אשר יחול לפי סעיף זה לא ייגזר מזכות הקניין בהיקפה הקלאסי, אלא שבמסגרת ההסדר ניתנה הבמה לשיקולים לבר קניינים. לכך אוסיף אני כי בדומה להסדר זה, בכל הנוגע לזכויות בעלי דירות ברכוש המשותף, החיל חוק המקרקעין מספר נוסף של הסדרים שיש בהם משום כרסום בהגנת הקניין הקלאסי, אשר מהם נובע כי אמנם, זכות הקניין של בעל דירה ברכוש המשותף, היא זכות קניינית מוחלשת (ראו לדוגמא - ההסדר החל על התקנת מעלית בבית משותף, התקנת דוד שמש, תוספת בנייה לפי סעיף 71א' וכיוצא בכך).</w:t>
      </w:r>
    </w:p>
    <w:p w14:paraId="5E23CBBC" w14:textId="77777777" w:rsidR="00000000" w:rsidRDefault="00000000">
      <w:pPr>
        <w:bidi/>
        <w:spacing w:line="360" w:lineRule="auto"/>
        <w:ind w:left="720"/>
        <w:jc w:val="both"/>
        <w:rPr>
          <w:rtl/>
        </w:rPr>
      </w:pPr>
      <w:r>
        <w:rPr>
          <w:rFonts w:ascii="David" w:hAnsi="David" w:cs="David"/>
          <w:sz w:val="28"/>
          <w:szCs w:val="28"/>
          <w:rtl/>
        </w:rPr>
        <w:t>לאחר סקירת שתי ההגנות האפשריות על הקניין- הגנת החבות והגנת הקניין - פנה השופט כהן בעניין קלצוק לבחון, איזה מבין ההגנות תחול מקום בו מתנגד בעל דירה לפרויקט בהתאם לחוק החיזוק - קרי האם תחול הגנת הקניין או הגנת החבות - וחיווה דעתו כי:</w:t>
      </w:r>
    </w:p>
    <w:p w14:paraId="1E4BCD15" w14:textId="77777777" w:rsidR="00000000" w:rsidRDefault="00000000">
      <w:pPr>
        <w:bidi/>
        <w:spacing w:line="360" w:lineRule="auto"/>
        <w:ind w:left="720"/>
        <w:jc w:val="both"/>
        <w:rPr>
          <w:rtl/>
        </w:rPr>
      </w:pPr>
      <w:r>
        <w:rPr>
          <w:rFonts w:ascii="David" w:hAnsi="David" w:cs="David"/>
          <w:sz w:val="28"/>
          <w:szCs w:val="28"/>
          <w:rtl/>
        </w:rPr>
        <w:t>"המחוקק ביקש לרכך את ההגנה הקניינית שניתנה לבעלי הדירות בבית המשותף, על ידי הורדת רף ההסכמה הדרושה לשם ביצוע עבודה ברכוש המשותף. ודוק: אילו ביקש המחוקק להותיר את הגנת הקניין על כנה במקרה של עבודות לחיזוק הבית המשותף מפני רעידות אדמה, כי אז לא היה צריך לחוקק את "חוק החיזוק", שכן את כל התשובות הראויות ניתן היה לשאוב מתוך חוק המקרקעין.</w:t>
      </w:r>
    </w:p>
    <w:p w14:paraId="5D0753AD" w14:textId="77777777" w:rsidR="00000000" w:rsidRDefault="00000000">
      <w:pPr>
        <w:bidi/>
        <w:spacing w:line="360" w:lineRule="auto"/>
        <w:ind w:left="720"/>
        <w:jc w:val="both"/>
        <w:rPr>
          <w:rtl/>
        </w:rPr>
      </w:pPr>
      <w:r>
        <w:rPr>
          <w:rFonts w:ascii="David" w:hAnsi="David" w:cs="David"/>
          <w:sz w:val="28"/>
          <w:szCs w:val="28"/>
          <w:rtl/>
        </w:rPr>
        <w:t xml:space="preserve">על כן, ולהשקפתי, בבואנו ליישם את "חוק החיזוק", </w:t>
      </w:r>
      <w:r>
        <w:rPr>
          <w:rFonts w:ascii="David" w:hAnsi="David" w:cs="David"/>
          <w:sz w:val="28"/>
          <w:szCs w:val="28"/>
          <w:u w:val="single"/>
          <w:rtl/>
        </w:rPr>
        <w:t>עלינו לשנות מהתפיסה הרגילה המנחה אותנו בהגנת זכויותיהם הקנייניות של בעלי דירות ברכוש המשותף, ובמקום לנהוג על פי תפיסת ההגנה הכללית בדיני המקרקעין, עלינו לאמץ את התפיסה שעמדה בבסיס "פס"ד צודלר</w:t>
      </w:r>
      <w:r>
        <w:rPr>
          <w:rFonts w:ascii="David" w:hAnsi="David" w:cs="David"/>
          <w:sz w:val="28"/>
          <w:szCs w:val="28"/>
          <w:rtl/>
        </w:rPr>
        <w:t xml:space="preserve">"..... כאשר יינתן היתר הבניה, והמיעוט עדיין יעמוד בסרובו ליתן הסכמתו, </w:t>
      </w:r>
      <w:r>
        <w:rPr>
          <w:rFonts w:ascii="David" w:hAnsi="David" w:cs="David"/>
          <w:sz w:val="28"/>
          <w:szCs w:val="28"/>
          <w:u w:val="single"/>
          <w:rtl/>
        </w:rPr>
        <w:t>יתייצב נא הרוב בפני המפקח על רישום המקרקעין, והמפקח יבחן האם הופר השוויון, והאם הרוב נוהג בתום לב, והאם "הפיחותים" בזכויות הקניין של המיעוט בטלים בשישים לעומת ההנאה הצומחת לו מעבודות החיזוק הנעשות בבית.</w:t>
      </w:r>
      <w:r>
        <w:rPr>
          <w:rFonts w:ascii="David" w:hAnsi="David" w:cs="David"/>
          <w:sz w:val="28"/>
          <w:szCs w:val="28"/>
          <w:rtl/>
        </w:rPr>
        <w:t xml:space="preserve"> מעל לכל, אם ימצא המפקח מקום לכך, יהיה בוודאי מוסמך להתנות את ביצוע העבודות בפיצוי כספי. המפקח על רישום המקרקעין לא יהיה רשאי למנוע את ביצוע העבודות רק בסיס טענות המיעוט בנוגע לפגיעה בזכויות הקניין שלו. זכויות אלה תדללנה וייגרמו להם "פיחותים", אך פגיעות אלה לא יהיה בכוחם למנוע את עבודות החיזוק. </w:t>
      </w:r>
      <w:r>
        <w:rPr>
          <w:rFonts w:ascii="David" w:hAnsi="David" w:cs="David"/>
          <w:sz w:val="28"/>
          <w:szCs w:val="28"/>
          <w:u w:val="single"/>
          <w:rtl/>
        </w:rPr>
        <w:t>סמכות ההתערבות של המפקח, לקבל את טענות המיעוט, ולא לאשר את ביצוע עבודות החיזוק, תהיה אפוא מצומצמת ביותר</w:t>
      </w:r>
      <w:r>
        <w:rPr>
          <w:rFonts w:ascii="David" w:hAnsi="David" w:cs="David"/>
          <w:sz w:val="28"/>
          <w:szCs w:val="28"/>
          <w:rtl/>
        </w:rPr>
        <w:t>." [ההדגשות שלי ל.ב.]</w:t>
      </w:r>
    </w:p>
    <w:p w14:paraId="7D2204C3" w14:textId="77777777" w:rsidR="00000000" w:rsidRDefault="00000000">
      <w:pPr>
        <w:bidi/>
        <w:spacing w:line="360" w:lineRule="auto"/>
        <w:ind w:left="720"/>
        <w:jc w:val="both"/>
        <w:rPr>
          <w:rtl/>
        </w:rPr>
      </w:pPr>
      <w:r>
        <w:rPr>
          <w:rFonts w:ascii="David" w:hAnsi="David" w:cs="David"/>
          <w:sz w:val="28"/>
          <w:szCs w:val="28"/>
          <w:rtl/>
        </w:rPr>
        <w:t> </w:t>
      </w:r>
    </w:p>
    <w:p w14:paraId="1D1DA2C8" w14:textId="77777777" w:rsidR="00000000" w:rsidRDefault="00000000">
      <w:pPr>
        <w:bidi/>
        <w:spacing w:line="360" w:lineRule="auto"/>
        <w:ind w:left="720"/>
        <w:jc w:val="both"/>
        <w:rPr>
          <w:rtl/>
        </w:rPr>
      </w:pPr>
      <w:r>
        <w:rPr>
          <w:rFonts w:ascii="David" w:hAnsi="David" w:cs="David"/>
          <w:sz w:val="28"/>
          <w:szCs w:val="28"/>
          <w:rtl/>
        </w:rPr>
        <w:t>הניתוח אשר נערך על ידי כב' השופט כהן בעניין קלצוק מקובל עלי ונסקר על ידי, כפי שהקדמתי וציינתי בעניין ניסני, אשר נדון לפני. יחד עם זאת, כפי שכבר כתבתי בעניין ניסני, הנני מוצאת להבהיר ולדייק גם כאן את גישתי, המותאמת לטיבן של שתי זכויות בהן אוחז הדייר בבית המשותף - זכותו בדירת המגורים שלו וזכותו ברכוש המשותף. כך, את הזכות של בעל דירה בבית משותף ניתן לראות כצירוף של בעלות ייחודית ובעלות משותפת. כשהבעלות הייחודית משתרעת על הדירה, ואילו הבעלות המשותפת חלה על החלקים שברכוש המשותף (ראו - יהושע ויסמן דיני קניין - בעלות ושיתוף (תשנ"ז) (להלן: "</w:t>
      </w:r>
      <w:r>
        <w:rPr>
          <w:rFonts w:ascii="David" w:hAnsi="David" w:cs="David"/>
          <w:b/>
          <w:bCs/>
          <w:sz w:val="28"/>
          <w:szCs w:val="28"/>
          <w:rtl/>
        </w:rPr>
        <w:t>ויסמן</w:t>
      </w:r>
      <w:r>
        <w:rPr>
          <w:rFonts w:ascii="David" w:hAnsi="David" w:cs="David"/>
          <w:sz w:val="28"/>
          <w:szCs w:val="28"/>
          <w:rtl/>
        </w:rPr>
        <w:t>"), בעמוד 336). ולא הרי טיבה של היקף הגנת הזכות לבעלות הייחודית של בעל הדירה בדירתו, כהיקפה של ההגנה על זכות בעלותו המשותפת של בעל הדירה ברכוש המשותף. אשר לכך, ברי כי ההגנה על הראשונה חזקה יותר מאשר על השנייה. יחד עם זאת, מובהר מפורשות כי גם ההגנה על זכות הבעלות הייחודית של בעל הדירה בדירתו, אינה מוחלטת, אלא שגם באשר אליה ניתן למצוא ראיות לכרסום במסגרת הדין. כך ולשם הדוגמא, מהותה המוחלשת של הבעלות גם בדירת המגורים מוצאת ביטויה בכך שלא ניתן להעביר הזכויות בדירה בנפרד מהזכויות ברכוש המשותף. כן ימצא תימוכין לאמור בהסדר הקבוע בסעיף 60 לחוק המקרקעין במסגרתו ניתן לאכוף על בעל דירה שאינו מעונין בכך, להשתתף בהוצאות שיקום הבית או למכור דירתו. ביטוי נוסף לכך ימצא בהוראת סעיף 2(ב) לתקנון המצוי ובהתאם לה לא רשאי בעל דירה לעשות שינויים בדירתו אשר יש בהם בכדי להוביל לפגיעה בדירת שכנו (להרחבה ראו ויסמן בעמודים 337-351). לאור האמור, הנני מוצאת לדייק ולקבוע כי לטעמי הדברים כפי שנקבעו על ידי השופט כהן בעניין קלצוק, בכל הנוגע לחולשתה של ההגנה על זכות הקניין, בהקשר לפרויקט חיזוק ובוודאי בעוצמה כפי שנקבעו, יפים למקרים בהם נפגעת זכות הקניין ברכוש המשותף ואולם, להגנה נרחבת יותר יזכה דייר אשר הזכות הנפגעת היא זכותו בדירתו הוא.</w:t>
      </w:r>
    </w:p>
    <w:p w14:paraId="14FA828A" w14:textId="77777777" w:rsidR="00000000" w:rsidRDefault="00000000">
      <w:pPr>
        <w:bidi/>
        <w:spacing w:line="360" w:lineRule="auto"/>
        <w:ind w:left="720"/>
        <w:jc w:val="both"/>
        <w:rPr>
          <w:rtl/>
        </w:rPr>
      </w:pPr>
      <w:r>
        <w:rPr>
          <w:rFonts w:ascii="David" w:hAnsi="David" w:cs="David"/>
          <w:sz w:val="28"/>
          <w:szCs w:val="28"/>
          <w:rtl/>
        </w:rPr>
        <w:t>אציין כי במקרה דנן, המערערים אינם מעלים כל טענה בדבר פגיעה בדירותיהם, או באשר לכך שהסכם התמ"א אינו כדאי כלכלית או שהתמורות בו אינן שיוויניות ומשכך, אינני מוצאת להוסיף ולהרחיב בסוגיה זו. יחד עם זאת, בהינתן שהמערערים טוענים כי יש להתחשב בזכות הקניין שלהם, מצאתי להדגיש ראשית את אופייה של זכות הקניין של בעל דירה בבית משותף. לכך יש להוסיף כי לית מין דפליג, שהריסת דירה או חלקה יש בה כדי לפגוע בזכויות הקנייניות של בעלי הדירה, זכויות אשר הוכרו כזכות יסוד במסגרת סעיף 3 לחוק יסוד: כבוד האדם וחירותו. אלא, שזכות הקניין, כמו כל זכויות היסוד אינה מוחלטת, אלא אף היא יחסית - קרי יש לאזנה אל מול אינטרסים אחרים. אשר לכך, הרי שבחוק החיזוק, מתוך מודעות לכך שמכוח פרויקט חיזוק ברי כי תפגענה זכויות קניין - הן משום שתבוצענה עבודות ברכוש המשותף, הן הואיל ותבוצענה עבודות של תוספות לדירות והן משהותר להרוס את הבניין או חלקים ממנו על מנת להוציא הפרויקט לפועל - נקבע מפורשות כי בהתקיים הרוב הנדרש לפי החוק, הרי שפגיעה זו מאוזנת אל מול האינטרסים האחרים אשר החוק נועד לקיימם. בכלל כך בפרט האינטרס של ביטחון הציבור ושלמות גופו (הן בחיזוק הבית המשותף מפני רעידת אדמה והן בהוספת מרחבים מוגנים דירתיים). לאור זאת, הרי ככל שיקבע כי העבודה באה בגדרו של חוק החיזוק, לא תהיה בפגיעה הקניינית הגלומה בה כשלעצמה, כדי לאיין את האפשרות לאשרה ככל שיתקיימו התנאים הקבועים בהוראות החוק הספציפיות.</w:t>
      </w:r>
    </w:p>
    <w:p w14:paraId="696E9E3B" w14:textId="77777777" w:rsidR="00000000" w:rsidRDefault="00000000">
      <w:pPr>
        <w:bidi/>
        <w:spacing w:line="360" w:lineRule="auto"/>
        <w:jc w:val="both"/>
        <w:rPr>
          <w:rtl/>
        </w:rPr>
      </w:pPr>
      <w:r>
        <w:rPr>
          <w:rFonts w:ascii="David" w:hAnsi="David" w:cs="David"/>
          <w:sz w:val="28"/>
          <w:szCs w:val="28"/>
          <w:rtl/>
        </w:rPr>
        <w:t> </w:t>
      </w:r>
    </w:p>
    <w:p w14:paraId="53B91CD1" w14:textId="77777777" w:rsidR="00000000" w:rsidRDefault="00000000">
      <w:pPr>
        <w:bidi/>
        <w:spacing w:line="360" w:lineRule="auto"/>
        <w:ind w:left="720" w:hanging="778"/>
        <w:jc w:val="both"/>
        <w:rPr>
          <w:rtl/>
        </w:rPr>
      </w:pPr>
      <w:r>
        <w:rPr>
          <w:rFonts w:ascii="David" w:hAnsi="David" w:cs="David"/>
          <w:sz w:val="28"/>
          <w:szCs w:val="28"/>
          <w:rtl/>
        </w:rPr>
        <w:t>24.</w:t>
      </w:r>
      <w:r>
        <w:rPr>
          <w:sz w:val="14"/>
          <w:szCs w:val="14"/>
          <w:rtl/>
        </w:rPr>
        <w:t xml:space="preserve">  </w:t>
      </w:r>
      <w:r>
        <w:rPr>
          <w:rFonts w:ascii="David" w:hAnsi="David" w:cs="David"/>
          <w:sz w:val="28"/>
          <w:szCs w:val="28"/>
          <w:rtl/>
        </w:rPr>
        <w:t xml:space="preserve">מכאן אפנה לבחינת השאלה על מי הנטל להוכיח סבירות סירובו של הדייר המתנגד. לשאלה זו נדרשתי בעש"א (מחוזי ת"א) 50506-09-19 סיגל יעל נ' עמנואל באומלשפינר (15.01.2020) (להלן: </w:t>
      </w:r>
      <w:r>
        <w:rPr>
          <w:rFonts w:ascii="David" w:hAnsi="David" w:cs="David"/>
          <w:b/>
          <w:bCs/>
          <w:sz w:val="28"/>
          <w:szCs w:val="28"/>
          <w:rtl/>
        </w:rPr>
        <w:t>"עניין סיגל"</w:t>
      </w:r>
      <w:r>
        <w:rPr>
          <w:rFonts w:ascii="David" w:hAnsi="David" w:cs="David"/>
          <w:sz w:val="28"/>
          <w:szCs w:val="28"/>
          <w:rtl/>
        </w:rPr>
        <w:t>) וקבעתי כי מקום בו מתקיימות דרישות הסף הקבועות בחוק החיזוק, הנטל הוא על הדייר המתנגד להוכיח כי סירובו סביר. אציין כי באותו העניין הטענה אשר העלתה הדיירת הסרבנית נסבה על חוסר איזון בתמורות ואולם, קביעתי בכל הנוגע לשאלה על מי הנטל, נכונה לגישתי לכל תביעה המוגשת כנגד דייר סרבן, מקום בו רוב בעלי הדירות מצאו את העסקה כראויה ועמדו בתנאי הסף הקבועים בחוק. קביעתי זו ולפיה יש להטיל את הנטל על הדייר הסרבן - במיוחד במקרה דנן בו טוענים המערערים לכך שיש לאמץ את החלופה כפי שהוצעה על ידם - נתמכת לגישתי גם בקביעתו של כב' בית המשפט העליון בעניין שומרוני, שם נקבע (כפי שהובא כבר לעיל), כי בין היתר יש לבחון: "האם הוצגה תוכנית חלופית קונקרטית והאם גלומים בזו יתרונות שאין בהסכם שהוצג לאישור?" - קביעה המלמדת כי על המתנגד להציג תכנית חלופית זו ולהציג יתרונותיה אל מול התכנית המוסכמת. לשם שלמות היריעה אציין כי נוסף על כך, קבעתי בעניין סיגל כי הראייה אשר יש להציג בכדי לתמוך בחוסר האיזון היא אובייקטיבית ולא די בתחושתו הסובייקטיבית של הדייר הסרבן. קביעתי זו הושתתה הן על קביעת בית המשפט העליון בעניין שומרוני שם נקבע כי את השאלה האם התוכנית עתידה להיטיב את מצב הדיירים בבניין אם לאו, יש לבחון במישור האובייקטיבי, קרי לא בהתאם לתחושתו הסובייקטיבית של הדייר המסרב. נוסף על כך, הפניתי באותו העניין לע"א 3511/13 רגינה שורצברגר נ' שלום מרין (24.07.2014), גם שם נקבע על ידי כבוד השופט דנציגר, יש לבחון את כדאיות העסקה מנקודת מבט אובייקטיבית הבוחנת את הפרויקט כמכלול.</w:t>
      </w:r>
    </w:p>
    <w:p w14:paraId="7F936087" w14:textId="77777777" w:rsidR="00000000" w:rsidRDefault="00000000">
      <w:pPr>
        <w:bidi/>
        <w:spacing w:line="360" w:lineRule="auto"/>
        <w:ind w:left="720"/>
        <w:jc w:val="both"/>
        <w:rPr>
          <w:rtl/>
        </w:rPr>
      </w:pPr>
      <w:r>
        <w:rPr>
          <w:rFonts w:ascii="David" w:hAnsi="David" w:cs="David"/>
          <w:sz w:val="28"/>
          <w:szCs w:val="28"/>
          <w:rtl/>
        </w:rPr>
        <w:t> </w:t>
      </w:r>
    </w:p>
    <w:p w14:paraId="53EB1CBE" w14:textId="77777777" w:rsidR="00000000" w:rsidRDefault="00000000">
      <w:pPr>
        <w:bidi/>
        <w:spacing w:line="360" w:lineRule="auto"/>
        <w:ind w:left="720" w:hanging="778"/>
        <w:jc w:val="both"/>
        <w:rPr>
          <w:rtl/>
        </w:rPr>
      </w:pPr>
      <w:r>
        <w:rPr>
          <w:rFonts w:ascii="David" w:hAnsi="David" w:cs="David"/>
          <w:sz w:val="28"/>
          <w:szCs w:val="28"/>
          <w:rtl/>
        </w:rPr>
        <w:t>25.</w:t>
      </w:r>
      <w:r>
        <w:rPr>
          <w:sz w:val="14"/>
          <w:szCs w:val="14"/>
          <w:rtl/>
        </w:rPr>
        <w:t xml:space="preserve">  </w:t>
      </w:r>
      <w:r>
        <w:rPr>
          <w:rFonts w:ascii="David" w:hAnsi="David" w:cs="David"/>
          <w:sz w:val="28"/>
          <w:szCs w:val="28"/>
          <w:rtl/>
        </w:rPr>
        <w:t xml:space="preserve">ריכוז ההתוויות הנורמטיביות הרלוונטיות לענייננו מלמד תחילה כי בכל הנוגע לפגיעה האפשרית בזכותו הקניינית של הדייר המתנגד לפרויקט, הרי שמלכתחילה זכותו הקניינית של בעל דירה בבית משותף היא זכות מוחלשת, בהינתן שמדובר בזכות המשלבת אלמנטים שיתופיים. יתרה מכך, הובהר כי מקום בו עסקינן בהוצאתו לפועל של פרויקט חיזוק, הרי שבמסגרת חוק החיזוק, גובשו האיזונים בין זכותו הקניינית של המיעוט אל מול האינטרסים אשר החוק מבקש לקדם ובכלל כך בפרט האינטרס הציבורי-בטיחותי החשוב הקשור בחיזוק בתים משותפים מפני רעידות אדמה והוספת מרחבים מוגנים לדירות בבתים משותפים. לאור כל אלו, הוכרה בפסיקה סמכותו הרחבה של המפקח על רישום המקרקעין לדון בתביעות הנסבות על חוק החיזוק. בכלל כך, הכירה הפסיקה בסמכותו של המפקח לקבוע מה יעשה בדירות הנוספות במסגרת פרויקט כאמור וכן לקבוע למי תוקננה הזכויות בדירות אלו. עוד נקבע כי במסגרת בחינת הסכם התמ"א, יבחן המפקח גם את תנאי ההסכם ונוסף על כך, יבחן האם הוצגה חלופה קונקרטית לזו המוצעת במסגרת הסכם התמ"א. בכל הנוגע לסוגיה האחרונה - קרי לסוגיית החלופה, הרי שהנטל להוכיח קיומה של חלופה כאמור, מוטל על הדייר המתנגד לחתימה על הסכם התמ"א המוסכם. </w:t>
      </w:r>
    </w:p>
    <w:p w14:paraId="7DBA8F0B" w14:textId="77777777" w:rsidR="00000000" w:rsidRDefault="00000000">
      <w:pPr>
        <w:bidi/>
        <w:spacing w:line="360" w:lineRule="auto"/>
        <w:ind w:left="720"/>
        <w:jc w:val="both"/>
        <w:rPr>
          <w:rtl/>
        </w:rPr>
      </w:pPr>
      <w:r>
        <w:rPr>
          <w:rFonts w:ascii="David" w:hAnsi="David" w:cs="David"/>
          <w:sz w:val="28"/>
          <w:szCs w:val="28"/>
        </w:rPr>
        <w:t> </w:t>
      </w:r>
    </w:p>
    <w:p w14:paraId="790E9A05" w14:textId="77777777" w:rsidR="00000000" w:rsidRDefault="00000000">
      <w:pPr>
        <w:bidi/>
        <w:spacing w:line="360" w:lineRule="auto"/>
        <w:ind w:left="720" w:hanging="778"/>
        <w:jc w:val="both"/>
        <w:rPr>
          <w:rtl/>
        </w:rPr>
      </w:pPr>
      <w:r>
        <w:rPr>
          <w:rFonts w:ascii="David" w:hAnsi="David" w:cs="David"/>
          <w:b/>
          <w:bCs/>
          <w:sz w:val="28"/>
          <w:szCs w:val="28"/>
          <w:rtl/>
        </w:rPr>
        <w:t>26.</w:t>
      </w:r>
      <w:r>
        <w:rPr>
          <w:b/>
          <w:bCs/>
          <w:sz w:val="14"/>
          <w:szCs w:val="14"/>
          <w:rtl/>
        </w:rPr>
        <w:t xml:space="preserve">  </w:t>
      </w:r>
      <w:r>
        <w:rPr>
          <w:rFonts w:ascii="David" w:hAnsi="David" w:cs="David"/>
          <w:b/>
          <w:bCs/>
          <w:sz w:val="28"/>
          <w:szCs w:val="28"/>
          <w:u w:val="single"/>
          <w:rtl/>
        </w:rPr>
        <w:t>מן הכלל אל הפרט;</w:t>
      </w:r>
    </w:p>
    <w:p w14:paraId="4037A9ED" w14:textId="77777777" w:rsidR="00000000" w:rsidRDefault="00000000">
      <w:pPr>
        <w:bidi/>
        <w:spacing w:line="360" w:lineRule="auto"/>
        <w:ind w:left="720"/>
        <w:jc w:val="both"/>
        <w:rPr>
          <w:rtl/>
        </w:rPr>
      </w:pPr>
      <w:r>
        <w:rPr>
          <w:rFonts w:ascii="David" w:hAnsi="David" w:cs="David"/>
          <w:sz w:val="28"/>
          <w:szCs w:val="28"/>
          <w:rtl/>
        </w:rPr>
        <w:t>כאמור, לטענת המערערים הם אינם מתנגדים לפרויקט התמ"א אלא שהם מתנגדים למתווה המוסכם ובהתאם לו - בתמורה לשירותי הבנייה המסופקים על ידי הקבלן וכן, הטבות נוספות כגון - עלויות פינוי הדירות, שכר הדירה וכיוצא בכך - יוקנו ליזם הזכויות בדירות הנוספות לבית המשותף במסגרת הפרויקט. זאת משהמערערים מבקשים כי יוחל עליהם מתווה אחר ובהתאם לו הם ישלמו ליזם עבור עלויות הבנייה בתוספת רווח קבלני. הלכה למעשה, המערערים אמנם טוענים כי הם אינם מתנגדים לפרויקט אלא רק למתווה ואולם, בפועל - מדובר אך בהבדל סמנטי. זאת הואיל ובפועל הפרויקט אינו רק העבודות אשר תבוצענה אלא גם האופן בו תבוצענה העבודות. בהינתן האמור, הרי שכאשר המערערים מתנגדים לאופן ביצוע העבודות ומציעים מתווה שונה בתכלית - הם מתנגדים למעשה לפרויקט. וביתר פירוט - כוונתם של המערערים באומרם כי אין הם מתנגדים למתווה, נסבה על עצם ביצוע פרויקט הריסה ובנייה מחדש וכן, על התכנית במסגרת תבוצע עבודה זו. ואולם, לבד מהסכמה על כך, מתנגדים המערערים להסכם התמ"א המוצג עם היזם הקונקרטי - בכלל כך, מבקשים הם לקבל תמורות השונות מאלו של בעלי הדירות האחרים - הואיל והם מבקשים לקבל לעצמם, לבד מדירה במקום דירתם, גם דירה נוספת מתוך הדירות הנוספות לפרויקט. עוד מבקשים המערערים לשלם בעצמם עבור בניית חלקם בבית המשותף, זאת אל מול בעלי הדירות האחרים אשר "משלמים" עבור הבנייה בהקניית חלקם במקרקעין. זאת ועוד, המערערים מבקשים להסדיר בטוחות לקיום התחייבותם וכן, כי יוערך שווי עלויות הבנייה של היזם - כפי שנטען על ידם ולבסוף, כי יקבע שיעור הרווח אשר ישולם ליזם. הנה כי כן וכפי שהקדמתי וציינתי - הלכה למעשה - מבקשים המערערים כי ייחתם הסכם אחר ושונה בתכלית מזה המוצג. הסכם במסגרתו אל מול בעלי הדירות האחרים יקבע המתווה הקודם ואילו אל מול המערערים יקבע המתווה המוצע על ידם, שעל פניו הוא שונה בתכלית. קרי, המערערים מציעים אל מול ההצעה הקיימת, הצעה אחרת - שונה ומשכך, אין הם יכולים להישמע בטענה ולפיה הם מסכימים לפרויקט, שהרי הפרויקט הוא המכלול הכולל את העבודות ואולם גם את האופן בו תוצאנה לפועל. יתרה מכך, המשמעות הנובעת מהצעתם של המערערים - שהיא כאמור שונה מהמתווה המוסכם - היא שלגישת המערערים קיימת חלופה אחרת לביצוע עבודות החיזוק- כפי המוצעת על ידם המשלבת בין עסקת קומבינציה ועסקת רכישת שירותי בנייה. דא עקא, שהמערערים לא הצליחו להראות כי מדובר בחלופה קונקרטית קיימת, בהבדל מחלופה תיאורטית - אשר קיימת אך בחוות דעת אשר הוגשה על ידי המערערים ואולם, לא בחיי המעשה בכלל ובפרויקט הספציפי בפרט. בהינתן האמור ובשים לב לכך שאת כלל יהבם שמו המערערים על האפשרות לחלופה זו - לא הרימו המערערים את הנטל להראות כי קיימת הצדקה לסירובם ובהלימה לכך הרי שלא נפלה כל שגגה בקביעתה של המפקחת.</w:t>
      </w:r>
    </w:p>
    <w:p w14:paraId="327EC988" w14:textId="77777777" w:rsidR="00000000" w:rsidRDefault="00000000">
      <w:pPr>
        <w:bidi/>
        <w:spacing w:line="360" w:lineRule="auto"/>
        <w:ind w:left="720"/>
        <w:jc w:val="both"/>
        <w:rPr>
          <w:rtl/>
        </w:rPr>
      </w:pPr>
      <w:r>
        <w:rPr>
          <w:rFonts w:ascii="David" w:hAnsi="David" w:cs="David"/>
          <w:sz w:val="28"/>
          <w:szCs w:val="28"/>
          <w:rtl/>
        </w:rPr>
        <w:t> </w:t>
      </w:r>
    </w:p>
    <w:p w14:paraId="4506377B" w14:textId="77777777" w:rsidR="00000000" w:rsidRDefault="00000000">
      <w:pPr>
        <w:bidi/>
        <w:spacing w:line="360" w:lineRule="auto"/>
        <w:ind w:left="720" w:hanging="778"/>
        <w:jc w:val="both"/>
        <w:rPr>
          <w:rtl/>
        </w:rPr>
      </w:pPr>
      <w:r>
        <w:rPr>
          <w:rFonts w:ascii="David" w:hAnsi="David" w:cs="David"/>
          <w:sz w:val="28"/>
          <w:szCs w:val="28"/>
          <w:rtl/>
        </w:rPr>
        <w:t>27.</w:t>
      </w:r>
      <w:r>
        <w:rPr>
          <w:sz w:val="14"/>
          <w:szCs w:val="14"/>
          <w:rtl/>
        </w:rPr>
        <w:t xml:space="preserve">  </w:t>
      </w:r>
      <w:r>
        <w:rPr>
          <w:rFonts w:ascii="David" w:hAnsi="David" w:cs="David"/>
          <w:sz w:val="28"/>
          <w:szCs w:val="28"/>
          <w:rtl/>
        </w:rPr>
        <w:t xml:space="preserve">קביעתי זו מושתתת על הממצאים העובדתיים כפי שנקבעו על ידי המפקחת - ממצאים עובדתיים השוללים מניה וביה את טענותיהם של המערערים. כך כפי שפורט לעיל בהרחבה, קבעה המפקחת - בהתבסס על הראיות אשר נשמעו לפניה בלא פחות משלושה דיוני הוכחות כי - היזם אשר התקשר עם בעלי הדירות אמנם הסכים עקרונית למתווה המערערים ואולם, כאמור מדובר בהסכמה עקרונית, אשר פרטיה לא סוכמו ויתרה מכך, אשר היזם חזר בו ממנה והודיע מפורשות כי אינו מסכים לה. תימוכין לקביעה זו, ניתן למצוא בדברי בא כוח המערערים בדיון לפני (אשר שוקפו לעיל בסעיף 13 לפסק הדין), מהם עולה כי לבד מהסכמה עקרונית לא הגיעו המערערים להסכמה קונקרטית עם היזם, הסכמה הכוללת בפירוט את העלויות שישולמו לו, הרווח, התמורה למערערים וכיוצא בכל אלו. חסרים אלו מלמדים על כך שגם חלופה זו אינה אלא חלופה תיאורטית שכלל לא התגבשה לכדי חלופה קונקרטית. לכך יש להוסיף כי בהתאם לקביעות המפקחת, המערערים לא הביאו ולו יזם אחד אשר הסכים למתווה המשולב המוצע על ידם. יתרה מכך, גם אחד מהנתבעים הקודמים - שהעיד כי הוא יזם - הודה בעדותו בפני המפקחת כי הוא מעולם לא נתקל בעסקה משולבת כאמור. לאור כל זאת קבעה המפקחת כי המערערים לא הציגו חלופה קונקרטית ויתרה מכך, כי העסקה המשולבת המוצעת על ידי המערערים אינה מקובלת או מוכרת במסגרת עסקאות תמ"א 38. </w:t>
      </w:r>
    </w:p>
    <w:p w14:paraId="1A8B31B1" w14:textId="77777777" w:rsidR="00000000" w:rsidRDefault="00000000">
      <w:pPr>
        <w:bidi/>
        <w:spacing w:line="360" w:lineRule="auto"/>
        <w:ind w:left="720"/>
        <w:jc w:val="both"/>
        <w:rPr>
          <w:rtl/>
        </w:rPr>
      </w:pPr>
      <w:r>
        <w:rPr>
          <w:rFonts w:ascii="David" w:hAnsi="David" w:cs="David"/>
          <w:sz w:val="28"/>
          <w:szCs w:val="28"/>
        </w:rPr>
        <w:t> </w:t>
      </w:r>
    </w:p>
    <w:p w14:paraId="68FE1C21" w14:textId="77777777" w:rsidR="00000000" w:rsidRDefault="00000000">
      <w:pPr>
        <w:bidi/>
        <w:spacing w:line="360" w:lineRule="auto"/>
        <w:ind w:left="720"/>
        <w:jc w:val="both"/>
        <w:rPr>
          <w:rtl/>
        </w:rPr>
      </w:pPr>
      <w:r>
        <w:rPr>
          <w:rFonts w:ascii="David" w:hAnsi="David" w:cs="David"/>
          <w:sz w:val="28"/>
          <w:szCs w:val="28"/>
          <w:rtl/>
        </w:rPr>
        <w:t xml:space="preserve">מבלי לגרוע מהאמור, הוסיפה המפקחת וקבעה כי בנסיבות הקונקרטיות ממילא אין להישמע להצעת המערערים. זאת הואיל והעלו לראשונה דרישותיהם אלו רק לאחר שמרבית בעלי הדירות חתמו על הסכם התמ"א - קרי לא פעלו לשם יצירת חלופה קודם לכן. במאמר מוסגר ובהקשר זה, יש להוסיף ולציין כי בדיון לפני טענו המערערים כי שעה שהיזם הסכים עקרונית להצעתם והתנה אותה בהסכמת בעלי הדירות האחרים, שומה היה על היזם ועל בעלי הדירות לקיים משא ומתן עם המערערים, בניסיון להגיע לכדי הסכם ולא די בכך שאלו הודיעו כי אין הם מסכימים למתווה. אשר לטענה זו, הרי שאינני נדרשת לקבוע מסמרות באשר לסוגיית החובה בניהול משא ומתן בנסיבות אלו. זאת הואיל וממילא מתוך הממצאים העובדתיים, כפי שנקבעו על ידי המפקחת, עולה כי המערערים עצמם היו אלו אשר "נעלמו" לאחר שהיזם הביע הסכמתו העקרונית ולמעט פניה לדיירים - אשר לטענתם לא נענתה - לא קידמו בפועל, ניסיון להגיע למתווה זה, אלא לאחר המועד בו כבר אושר מתן היתר הבניה ונחתם הסכם התמ"א על ידי כלל בעלי הדירות. </w:t>
      </w:r>
    </w:p>
    <w:p w14:paraId="778A0D1B" w14:textId="77777777" w:rsidR="00000000" w:rsidRDefault="00000000">
      <w:pPr>
        <w:bidi/>
        <w:spacing w:line="360" w:lineRule="auto"/>
        <w:ind w:left="720"/>
        <w:jc w:val="both"/>
        <w:rPr>
          <w:rtl/>
        </w:rPr>
      </w:pPr>
      <w:r>
        <w:rPr>
          <w:rFonts w:ascii="David" w:hAnsi="David" w:cs="David"/>
          <w:sz w:val="28"/>
          <w:szCs w:val="28"/>
          <w:rtl/>
        </w:rPr>
        <w:t xml:space="preserve">נוסף על כך, קבעה המפקחת כי טעם נוסף בעטיו לא היה מקום להישמע להצעת המערערים בנסיבות המקרה נעוץ במצבם הכלכלי של המערערים, הניכר בריבוי הערות אזהרה על דירתם, עובדה המלמדת ביסוס לחששם של בעלי הדירות להסכים למתווה בו יהא על המערערים לשלם מכיסם על הבנייה. </w:t>
      </w:r>
    </w:p>
    <w:p w14:paraId="0625ACF6" w14:textId="77777777" w:rsidR="00000000" w:rsidRDefault="00000000">
      <w:pPr>
        <w:bidi/>
        <w:spacing w:line="360" w:lineRule="auto"/>
        <w:ind w:left="720"/>
        <w:jc w:val="both"/>
        <w:rPr>
          <w:rtl/>
        </w:rPr>
      </w:pPr>
      <w:r>
        <w:rPr>
          <w:rFonts w:ascii="David" w:hAnsi="David" w:cs="David"/>
          <w:sz w:val="28"/>
          <w:szCs w:val="28"/>
          <w:rtl/>
        </w:rPr>
        <w:t xml:space="preserve">ולבסוף קבעה המפקחת כי אין להיעתר למתווה המוצע בנסיבות הקונקרטיות, בהינתן שעל פניו המתווה המוצע על ידי המערערים פוגע בשוויון, הואיל והמערערים הציעו לשאת בעלויות הבנייה בצירוף רווח קבלני בלבד, שעה שכלל בעלי הדירות נושאים בפועל בעלויות הבניה בצירוף רווח יזמי. </w:t>
      </w:r>
    </w:p>
    <w:p w14:paraId="6E691F6C" w14:textId="77777777" w:rsidR="00000000" w:rsidRDefault="00000000">
      <w:pPr>
        <w:bidi/>
        <w:spacing w:line="360" w:lineRule="auto"/>
        <w:ind w:left="720"/>
        <w:jc w:val="both"/>
        <w:rPr>
          <w:rtl/>
        </w:rPr>
      </w:pPr>
      <w:r>
        <w:rPr>
          <w:rFonts w:ascii="David" w:hAnsi="David" w:cs="David"/>
          <w:sz w:val="28"/>
          <w:szCs w:val="28"/>
          <w:rtl/>
        </w:rPr>
        <w:t xml:space="preserve">עוד הוסיפה המפקחת וקבעה - ואף קביעתה זו מהווה קביעה עובדתית - כי דרישותיהם של המערערים יובילו לסיכול הוצאתו לפועל של הפרויקט. </w:t>
      </w:r>
    </w:p>
    <w:p w14:paraId="51E76C11" w14:textId="77777777" w:rsidR="00000000" w:rsidRDefault="00000000">
      <w:pPr>
        <w:bidi/>
        <w:spacing w:line="360" w:lineRule="auto"/>
        <w:ind w:left="720"/>
        <w:jc w:val="both"/>
        <w:rPr>
          <w:rtl/>
        </w:rPr>
      </w:pPr>
      <w:r>
        <w:rPr>
          <w:rFonts w:ascii="David" w:hAnsi="David" w:cs="David"/>
          <w:sz w:val="28"/>
          <w:szCs w:val="28"/>
          <w:rtl/>
        </w:rPr>
        <w:t> </w:t>
      </w:r>
    </w:p>
    <w:p w14:paraId="3629AF81" w14:textId="77777777" w:rsidR="00000000" w:rsidRDefault="00000000">
      <w:pPr>
        <w:bidi/>
        <w:spacing w:line="360" w:lineRule="auto"/>
        <w:ind w:left="720" w:hanging="778"/>
        <w:jc w:val="both"/>
        <w:rPr>
          <w:rtl/>
        </w:rPr>
      </w:pPr>
      <w:r>
        <w:rPr>
          <w:rFonts w:ascii="David" w:hAnsi="David" w:cs="David"/>
          <w:sz w:val="28"/>
          <w:szCs w:val="28"/>
          <w:rtl/>
        </w:rPr>
        <w:t>28.</w:t>
      </w:r>
      <w:r>
        <w:rPr>
          <w:sz w:val="14"/>
          <w:szCs w:val="14"/>
          <w:rtl/>
        </w:rPr>
        <w:t xml:space="preserve">  </w:t>
      </w:r>
      <w:r>
        <w:rPr>
          <w:rFonts w:ascii="David" w:hAnsi="David" w:cs="David"/>
          <w:sz w:val="28"/>
          <w:szCs w:val="28"/>
          <w:rtl/>
        </w:rPr>
        <w:t xml:space="preserve">כפי המפורט לעיל, המערערים מאריכים בפירוט הסוגיות הנורמטיביות ואולם, בפועל יוצאים הם כנגד קביעות המפקחת והממצאים העובדתיים כפי שנקבעו על ידה. בהתאם לפסיקה התערבות ערכאת הערעור בממצאי עובדה ומהימנות שנקבעו על ידי הערכאה הדיונית תעשה במקרים חריגים בלבד, כאשר מתקיימות נסיבות המצדיקות זאת או כאשר מתגלים פגמים מהותיים היורדים לשורשם של דברים בהערכת העובדות או מקום בו הממצאים העובדתיים מושתתים אך על ההיגיון שבדבר (ע"א 4175/12 תעשית אבן וסיד בע"מ נ' אבראהים גדיר (10.03.2014), בעמוד 10; ע"א 1548/96 בנק איגוד לישראל בע"מ נ' זהבה לופו, נד(2) 559, 568). </w:t>
      </w:r>
    </w:p>
    <w:p w14:paraId="783EADD8" w14:textId="77777777" w:rsidR="00000000" w:rsidRDefault="00000000">
      <w:pPr>
        <w:bidi/>
        <w:spacing w:line="360" w:lineRule="auto"/>
        <w:ind w:left="720"/>
        <w:jc w:val="both"/>
        <w:rPr>
          <w:rtl/>
        </w:rPr>
      </w:pPr>
      <w:r>
        <w:rPr>
          <w:rFonts w:ascii="David" w:hAnsi="David" w:cs="David"/>
          <w:sz w:val="28"/>
          <w:szCs w:val="28"/>
        </w:rPr>
        <w:t> </w:t>
      </w:r>
    </w:p>
    <w:p w14:paraId="17A02A56" w14:textId="77777777" w:rsidR="00000000" w:rsidRDefault="00000000">
      <w:pPr>
        <w:bidi/>
        <w:spacing w:line="360" w:lineRule="auto"/>
        <w:ind w:left="720"/>
        <w:jc w:val="both"/>
        <w:rPr>
          <w:rtl/>
        </w:rPr>
      </w:pPr>
      <w:r>
        <w:rPr>
          <w:rFonts w:ascii="David" w:hAnsi="David" w:cs="David"/>
          <w:sz w:val="28"/>
          <w:szCs w:val="28"/>
          <w:rtl/>
        </w:rPr>
        <w:t xml:space="preserve">במקרה דנן, לא זו בלבד שלא מצאתי כי מתקיימות הנסיבות החריגות המצדיקות התערבות ערכאת הערעור, אלא שלאחר שבחנתי את הממצאים העובדתיים כפי שנקבעו על ידי המפקחת, מצאתי כי אלו מבוססים היטב בחומר הראיות ובעדויות אשר נשמעו בפני המפקחת ואשר פורטו כדבעי בפסק דינה. </w:t>
      </w:r>
    </w:p>
    <w:p w14:paraId="7684EA40" w14:textId="77777777" w:rsidR="00000000" w:rsidRDefault="00000000">
      <w:pPr>
        <w:bidi/>
        <w:spacing w:line="360" w:lineRule="auto"/>
        <w:ind w:left="720"/>
        <w:jc w:val="both"/>
        <w:rPr>
          <w:rtl/>
        </w:rPr>
      </w:pPr>
      <w:r>
        <w:rPr>
          <w:rFonts w:ascii="David" w:hAnsi="David" w:cs="David"/>
          <w:sz w:val="28"/>
          <w:szCs w:val="28"/>
          <w:rtl/>
        </w:rPr>
        <w:t> </w:t>
      </w:r>
    </w:p>
    <w:p w14:paraId="641B7E40" w14:textId="77777777" w:rsidR="00000000" w:rsidRDefault="00000000">
      <w:pPr>
        <w:bidi/>
        <w:spacing w:line="360" w:lineRule="auto"/>
        <w:ind w:left="720" w:hanging="778"/>
        <w:jc w:val="both"/>
        <w:rPr>
          <w:rtl/>
        </w:rPr>
      </w:pPr>
      <w:r>
        <w:rPr>
          <w:rFonts w:ascii="David" w:hAnsi="David" w:cs="David"/>
          <w:sz w:val="28"/>
          <w:szCs w:val="28"/>
          <w:rtl/>
        </w:rPr>
        <w:t>29.</w:t>
      </w:r>
      <w:r>
        <w:rPr>
          <w:sz w:val="14"/>
          <w:szCs w:val="14"/>
          <w:rtl/>
        </w:rPr>
        <w:t xml:space="preserve">  </w:t>
      </w:r>
      <w:r>
        <w:rPr>
          <w:rFonts w:ascii="David" w:hAnsi="David" w:cs="David"/>
          <w:sz w:val="28"/>
          <w:szCs w:val="28"/>
          <w:rtl/>
        </w:rPr>
        <w:t xml:space="preserve">הממצאים העובדתיים כפי שנקבעו על ידי המפקחת, מלמדים כי המערערים לא עמדו בנטל המוטל עליהם בהתאם להלכה הפסוקה ובכלל כך בפרט לא הציגו חלופה קונקרטית אפשרית אחרת מזו המוצעת בהסכם התמ"א. כיוון שכך הרי שבדין נקבע על ידי המפקחת כי יש לחייב את המערערים בחתימה על הסכם התמ"א המוסכם. </w:t>
      </w:r>
    </w:p>
    <w:p w14:paraId="0DC757C3" w14:textId="77777777" w:rsidR="00000000" w:rsidRDefault="00000000">
      <w:pPr>
        <w:bidi/>
        <w:spacing w:line="360" w:lineRule="auto"/>
        <w:ind w:left="720"/>
        <w:jc w:val="both"/>
        <w:rPr>
          <w:rtl/>
        </w:rPr>
      </w:pPr>
      <w:r>
        <w:rPr>
          <w:rFonts w:ascii="David" w:hAnsi="David" w:cs="David"/>
          <w:sz w:val="28"/>
          <w:szCs w:val="28"/>
        </w:rPr>
        <w:t> </w:t>
      </w:r>
    </w:p>
    <w:p w14:paraId="337E86A4" w14:textId="77777777" w:rsidR="00000000" w:rsidRDefault="00000000">
      <w:pPr>
        <w:bidi/>
        <w:spacing w:line="360" w:lineRule="auto"/>
        <w:ind w:left="720" w:hanging="778"/>
        <w:jc w:val="both"/>
        <w:rPr>
          <w:rtl/>
        </w:rPr>
      </w:pPr>
      <w:r>
        <w:rPr>
          <w:rFonts w:ascii="David" w:hAnsi="David" w:cs="David"/>
          <w:sz w:val="28"/>
          <w:szCs w:val="28"/>
          <w:rtl/>
        </w:rPr>
        <w:t>30.</w:t>
      </w:r>
      <w:r>
        <w:rPr>
          <w:sz w:val="14"/>
          <w:szCs w:val="14"/>
          <w:rtl/>
        </w:rPr>
        <w:t xml:space="preserve">  </w:t>
      </w:r>
      <w:r>
        <w:rPr>
          <w:rFonts w:ascii="David" w:hAnsi="David" w:cs="David"/>
          <w:sz w:val="28"/>
          <w:szCs w:val="28"/>
          <w:rtl/>
        </w:rPr>
        <w:t xml:space="preserve">למעלה מן הצורך, אציין כי לאור הקביעות העובדתיות של המפקחת בהן לא מצאתי להתערב ובהתאם להן ממילא לא הציגו המערערים כל חלופה קונקרטית אפשרית ומשכך, לא הצדיקו את סירובם - אינני נדרשת לקבוע מסמרות בשאלה האם ניתן ככלל להוציא לפועל מתווה משולב. קרי האם ככל שהייתה מוצעת על ידי המערערים חלופה קונקרטית - היו יכולים הם לכפותה על הרוב. אשר לכך, אציין כי לגישתי, ספק אם ניתן לקבל לעניין זה את ניסיונם של המערערים ללמוד תוך היקש מתוך הדינים החלים באופן כללי על שותפות במקרקעין - זאת ראשית בהינתן שחוק החיזוק מהווה חוק ספציפי הקובע מפורשות תחולתו על אף האמור בחוק המקרקעין. יחד עם זאת ולשם שלמות היריעה אציין בהקשר לכך, כי בת"א (מחוזי תל אביב-יפו) 50794-02-24 פרויקט הבושם בתל אביב בע"מ נ' פנחס יואב (14.5.2025) - בחנתי את השאלה האם ניתן במסגרת הליך לפירוק השיתוף לשלב בין עסקת מכירה אשר תחול על חלק מבעלי הזכויות ועסקת קומבינציה אשר תחול על אחרים, הבהרתי כי תשובה לשאלה זו טרם ניתנה בהלכה הפסוקה ויחד עם זאת, כי אינני סבורה שניתן לשלול אפריורית אפשרות זו ויתרה מכך כי למצער האפשרות ראויה למחשבה או למחשבה נוספת. יתרה מכך, יש לזכור כי המתווה המוצע על ידי המערערים שונה בתכלית מהותית ממתווה פירוק שיתוף באמצעות מכירת הזכויות בשילוב עם עסקת קומבינציה. זאת הואיל ובמתווה פרוק שיתוף משולב - למעשה בעלי הזכויות אשר אינם מעוניינים עוד בשיתוף, מוכרים את זכויותיהם ואלו המסכימים להמשיך ולהיות קשורים עם בעלי המקרקעין האחרים, נותרים בשיתוף תוך שילובם בעסקת קומבינציה. זאת בהבדל מהותי נקודת המוצא בעסקה דנן שהיא המשך השיתוף במקרקעין של כלל השותפים ולמעשה כפיית עסקה המורכבת ממימון על ידי המערערים עם עסקה עם היזם. רוצה לומר - במקרה דנן, אין למי שאינו מעונין במתווה שיתוף זה אפשרות "יציאה", אלא שיש לזכור כי כאן ממשיכים כלל הצדדים בשיתוף ומשכך, לא ניתן להקיש גזירה שווה או דומה על נסיבות המקרה כאן, ממקרה בו מי שאינו רוצה בהמשך השותפות יכול לצאת ממנה. </w:t>
      </w:r>
    </w:p>
    <w:p w14:paraId="18002144" w14:textId="77777777" w:rsidR="00000000" w:rsidRDefault="00000000">
      <w:pPr>
        <w:bidi/>
        <w:spacing w:line="360" w:lineRule="auto"/>
        <w:ind w:left="720"/>
        <w:jc w:val="both"/>
        <w:rPr>
          <w:rtl/>
        </w:rPr>
      </w:pPr>
      <w:r>
        <w:rPr>
          <w:rFonts w:ascii="David" w:hAnsi="David" w:cs="David"/>
          <w:sz w:val="28"/>
          <w:szCs w:val="28"/>
          <w:rtl/>
        </w:rPr>
        <w:t> </w:t>
      </w:r>
    </w:p>
    <w:p w14:paraId="5808DF74" w14:textId="77777777" w:rsidR="00000000" w:rsidRDefault="00000000">
      <w:pPr>
        <w:bidi/>
        <w:spacing w:after="160" w:line="360" w:lineRule="auto"/>
        <w:jc w:val="both"/>
        <w:rPr>
          <w:rtl/>
        </w:rPr>
      </w:pPr>
      <w:r>
        <w:rPr>
          <w:rFonts w:ascii="David" w:hAnsi="David" w:cs="David"/>
          <w:b/>
          <w:bCs/>
          <w:sz w:val="28"/>
          <w:szCs w:val="28"/>
          <w:u w:val="single"/>
          <w:rtl/>
        </w:rPr>
        <w:t xml:space="preserve">סוף דבר </w:t>
      </w:r>
    </w:p>
    <w:p w14:paraId="6771565B" w14:textId="77777777" w:rsidR="00000000" w:rsidRDefault="00000000">
      <w:pPr>
        <w:bidi/>
        <w:spacing w:line="360" w:lineRule="auto"/>
        <w:ind w:left="720" w:hanging="778"/>
        <w:jc w:val="both"/>
        <w:rPr>
          <w:rtl/>
        </w:rPr>
      </w:pPr>
      <w:r>
        <w:rPr>
          <w:rFonts w:ascii="David" w:hAnsi="David" w:cs="David"/>
          <w:sz w:val="28"/>
          <w:szCs w:val="28"/>
          <w:rtl/>
        </w:rPr>
        <w:t>31.</w:t>
      </w:r>
      <w:r>
        <w:rPr>
          <w:sz w:val="14"/>
          <w:szCs w:val="14"/>
          <w:rtl/>
        </w:rPr>
        <w:t xml:space="preserve">  </w:t>
      </w:r>
      <w:r>
        <w:rPr>
          <w:rFonts w:ascii="David" w:hAnsi="David" w:cs="David"/>
          <w:sz w:val="28"/>
          <w:szCs w:val="28"/>
          <w:rtl/>
        </w:rPr>
        <w:t>לאור כל האמור והמפורט - הערעור נדחה.</w:t>
      </w:r>
    </w:p>
    <w:p w14:paraId="020ACC83" w14:textId="77777777" w:rsidR="00000000" w:rsidRDefault="00000000">
      <w:pPr>
        <w:bidi/>
        <w:spacing w:line="360" w:lineRule="auto"/>
        <w:ind w:left="720"/>
        <w:jc w:val="both"/>
        <w:rPr>
          <w:rtl/>
        </w:rPr>
      </w:pPr>
      <w:r>
        <w:rPr>
          <w:rFonts w:ascii="David" w:hAnsi="David" w:cs="David"/>
          <w:sz w:val="28"/>
          <w:szCs w:val="28"/>
        </w:rPr>
        <w:t> </w:t>
      </w:r>
    </w:p>
    <w:p w14:paraId="73545CD5" w14:textId="77777777" w:rsidR="00000000" w:rsidRDefault="00000000">
      <w:pPr>
        <w:bidi/>
        <w:spacing w:line="360" w:lineRule="auto"/>
        <w:ind w:left="720" w:hanging="778"/>
        <w:jc w:val="both"/>
        <w:rPr>
          <w:rtl/>
        </w:rPr>
      </w:pPr>
      <w:r>
        <w:rPr>
          <w:rFonts w:ascii="David" w:hAnsi="David" w:cs="David"/>
          <w:sz w:val="28"/>
          <w:szCs w:val="28"/>
          <w:rtl/>
        </w:rPr>
        <w:t>32.</w:t>
      </w:r>
      <w:r>
        <w:rPr>
          <w:sz w:val="14"/>
          <w:szCs w:val="14"/>
          <w:rtl/>
        </w:rPr>
        <w:t xml:space="preserve">  </w:t>
      </w:r>
      <w:r>
        <w:rPr>
          <w:rFonts w:ascii="David" w:hAnsi="David" w:cs="David"/>
          <w:sz w:val="28"/>
          <w:szCs w:val="28"/>
          <w:rtl/>
        </w:rPr>
        <w:t xml:space="preserve">המערערים יישאו בהוצאות המשיבים בסך של 15,000 ₪ אשר ישולם על ידי המזכירות למשיבים באמצעות בא כוחם, מתוך העירבון אשר הופקד על ידי המערערים. </w:t>
      </w:r>
    </w:p>
    <w:p w14:paraId="067A4DC6" w14:textId="77777777" w:rsidR="00000000" w:rsidRDefault="00000000">
      <w:pPr>
        <w:bidi/>
        <w:spacing w:line="254" w:lineRule="auto"/>
        <w:ind w:left="720"/>
        <w:rPr>
          <w:rtl/>
        </w:rPr>
      </w:pPr>
      <w:r>
        <w:rPr>
          <w:rFonts w:ascii="David" w:hAnsi="David" w:cs="David"/>
          <w:sz w:val="28"/>
          <w:szCs w:val="28"/>
        </w:rPr>
        <w:t> </w:t>
      </w:r>
    </w:p>
    <w:p w14:paraId="1D0648D3" w14:textId="77777777" w:rsidR="00000000" w:rsidRDefault="00000000">
      <w:pPr>
        <w:bidi/>
        <w:spacing w:line="360" w:lineRule="auto"/>
        <w:ind w:left="720" w:hanging="778"/>
        <w:jc w:val="both"/>
        <w:rPr>
          <w:rtl/>
        </w:rPr>
      </w:pPr>
      <w:r>
        <w:rPr>
          <w:rFonts w:ascii="David" w:hAnsi="David" w:cs="David"/>
          <w:sz w:val="28"/>
          <w:szCs w:val="28"/>
          <w:rtl/>
        </w:rPr>
        <w:t>33.</w:t>
      </w:r>
      <w:r>
        <w:rPr>
          <w:sz w:val="14"/>
          <w:szCs w:val="14"/>
          <w:rtl/>
        </w:rPr>
        <w:t xml:space="preserve">  </w:t>
      </w:r>
      <w:r>
        <w:rPr>
          <w:rFonts w:ascii="David" w:hAnsi="David" w:cs="David"/>
          <w:sz w:val="28"/>
          <w:szCs w:val="28"/>
          <w:rtl/>
        </w:rPr>
        <w:t xml:space="preserve">המזכירות תדוור את פסק הדין לצדדים. </w:t>
      </w:r>
    </w:p>
    <w:p w14:paraId="15247A5B" w14:textId="77777777" w:rsidR="00000000" w:rsidRDefault="00000000">
      <w:pPr>
        <w:bidi/>
        <w:spacing w:line="360" w:lineRule="auto"/>
        <w:jc w:val="both"/>
        <w:rPr>
          <w:rtl/>
        </w:rPr>
      </w:pPr>
      <w:r>
        <w:rPr>
          <w:rFonts w:ascii="David" w:hAnsi="David" w:cs="David"/>
          <w:sz w:val="28"/>
          <w:szCs w:val="28"/>
          <w:rtl/>
        </w:rPr>
        <w:t> </w:t>
      </w:r>
    </w:p>
    <w:p w14:paraId="3376B546" w14:textId="77777777" w:rsidR="00000000" w:rsidRDefault="00000000">
      <w:pPr>
        <w:bidi/>
        <w:spacing w:line="360" w:lineRule="auto"/>
        <w:jc w:val="both"/>
        <w:rPr>
          <w:rtl/>
        </w:rPr>
      </w:pPr>
      <w:r>
        <w:rPr>
          <w:rFonts w:ascii="David" w:hAnsi="David" w:cs="David"/>
          <w:sz w:val="28"/>
          <w:szCs w:val="28"/>
          <w:rtl/>
        </w:rPr>
        <w:t> </w:t>
      </w:r>
    </w:p>
    <w:p w14:paraId="6C150B74" w14:textId="77777777" w:rsidR="00000000" w:rsidRDefault="00000000">
      <w:pPr>
        <w:bidi/>
        <w:spacing w:line="360" w:lineRule="auto"/>
        <w:jc w:val="both"/>
        <w:rPr>
          <w:rtl/>
        </w:rPr>
      </w:pPr>
      <w:r>
        <w:rPr>
          <w:rFonts w:ascii="David" w:hAnsi="David" w:cs="David"/>
          <w:sz w:val="28"/>
          <w:szCs w:val="28"/>
          <w:rtl/>
        </w:rPr>
        <w:t xml:space="preserve">ניתן היום, ה' אדר תשפ"ו, </w:t>
      </w:r>
      <w:r>
        <w:rPr>
          <w:rStyle w:val="f5dinim"/>
          <w:rFonts w:ascii="David" w:hAnsi="David" w:cs="David"/>
          <w:color w:val="000000"/>
          <w:sz w:val="28"/>
          <w:szCs w:val="28"/>
          <w:rtl/>
        </w:rPr>
        <w:t>22 פברואר 2026</w:t>
      </w:r>
      <w:r>
        <w:rPr>
          <w:rFonts w:ascii="David" w:hAnsi="David" w:cs="David"/>
          <w:sz w:val="28"/>
          <w:szCs w:val="28"/>
          <w:rtl/>
        </w:rPr>
        <w:t>, בהעדר הצדדים.</w:t>
      </w:r>
    </w:p>
    <w:p w14:paraId="7E6556D9" w14:textId="77777777" w:rsidR="00000000" w:rsidRDefault="00000000">
      <w:pPr>
        <w:bidi/>
        <w:rPr>
          <w:rtl/>
        </w:rPr>
      </w:pPr>
      <w:r>
        <w:rPr>
          <w:rFonts w:ascii="David" w:hAnsi="David" w:cs="David"/>
          <w:sz w:val="28"/>
          <w:szCs w:val="28"/>
          <w:rtl/>
        </w:rPr>
        <w:t>       </w:t>
      </w:r>
    </w:p>
    <w:p w14:paraId="10C1D0D3" w14:textId="77777777" w:rsidR="00000000" w:rsidRDefault="00000000">
      <w:pPr>
        <w:bidi/>
        <w:spacing w:line="360" w:lineRule="auto"/>
        <w:ind w:left="3600" w:firstLine="720"/>
        <w:rPr>
          <w:rtl/>
        </w:rPr>
      </w:pPr>
      <w:r>
        <w:rPr>
          <w:rFonts w:ascii="David" w:hAnsi="David" w:cs="David"/>
          <w:sz w:val="28"/>
          <w:szCs w:val="28"/>
        </w:rPr>
        <w:t> </w:t>
      </w:r>
    </w:p>
    <w:p w14:paraId="7674EA38" w14:textId="77777777" w:rsidR="00000000" w:rsidRDefault="00000000">
      <w:pPr>
        <w:bidi/>
        <w:spacing w:line="360" w:lineRule="auto"/>
        <w:ind w:left="3600" w:firstLine="720"/>
        <w:rPr>
          <w:rtl/>
        </w:rPr>
      </w:pPr>
      <w:r>
        <w:rPr>
          <w:rFonts w:ascii="David" w:hAnsi="David" w:cs="David"/>
          <w:sz w:val="28"/>
          <w:szCs w:val="28"/>
          <w:rtl/>
        </w:rPr>
        <w:t> </w:t>
      </w:r>
    </w:p>
    <w:p w14:paraId="7E4A4FB1" w14:textId="77777777" w:rsidR="00000000" w:rsidRDefault="00000000">
      <w:pPr>
        <w:bidi/>
        <w:spacing w:line="360" w:lineRule="auto"/>
        <w:jc w:val="both"/>
        <w:rPr>
          <w:rtl/>
        </w:rPr>
      </w:pPr>
      <w:r>
        <w:rPr>
          <w:rFonts w:ascii="David" w:hAnsi="David" w:cs="David"/>
          <w:sz w:val="28"/>
          <w:szCs w:val="28"/>
          <w:rtl/>
        </w:rPr>
        <w:t> </w:t>
      </w:r>
    </w:p>
    <w:p w14:paraId="03E02221" w14:textId="77777777" w:rsidR="00000000" w:rsidRDefault="00000000">
      <w:pPr>
        <w:bidi/>
        <w:spacing w:line="360" w:lineRule="auto"/>
        <w:jc w:val="both"/>
        <w:rPr>
          <w:rtl/>
        </w:rPr>
      </w:pPr>
      <w:r>
        <w:rPr>
          <w:rFonts w:ascii="David" w:hAnsi="David" w:cs="David"/>
          <w:sz w:val="28"/>
          <w:szCs w:val="28"/>
          <w:rtl/>
        </w:rPr>
        <w:t> </w:t>
      </w:r>
    </w:p>
    <w:p w14:paraId="488A03F6" w14:textId="77777777" w:rsidR="00000000" w:rsidRDefault="00000000">
      <w:pPr>
        <w:bidi/>
        <w:rPr>
          <w:rtl/>
        </w:rPr>
      </w:pPr>
      <w:r>
        <w:rPr>
          <w:rFonts w:ascii="David" w:hAnsi="David" w:cs="David"/>
          <w:color w:val="000000"/>
          <w:sz w:val="28"/>
          <w:szCs w:val="28"/>
          <w:rtl/>
        </w:rPr>
        <w:t> </w:t>
      </w:r>
    </w:p>
    <w:tbl>
      <w:tblPr>
        <w:bidiVisual/>
        <w:tblW w:w="5000" w:type="pct"/>
        <w:tblCellSpacing w:w="0" w:type="dxa"/>
        <w:tblCellMar>
          <w:left w:w="0" w:type="dxa"/>
          <w:right w:w="0" w:type="dxa"/>
        </w:tblCellMar>
        <w:tblLook w:val="04A0" w:firstRow="1" w:lastRow="0" w:firstColumn="1" w:lastColumn="0" w:noHBand="0" w:noVBand="1"/>
      </w:tblPr>
      <w:tblGrid>
        <w:gridCol w:w="8312"/>
      </w:tblGrid>
      <w:tr w:rsidR="00000000" w14:paraId="796BFD29" w14:textId="77777777">
        <w:trPr>
          <w:tblCellSpacing w:w="0" w:type="dxa"/>
        </w:trPr>
        <w:tc>
          <w:tcPr>
            <w:tcW w:w="0" w:type="auto"/>
            <w:vAlign w:val="center"/>
            <w:hideMark/>
          </w:tcPr>
          <w:p w14:paraId="71C6C224" w14:textId="77777777" w:rsidR="00000000" w:rsidRDefault="00000000">
            <w:pPr>
              <w:bidi/>
              <w:jc w:val="center"/>
              <w:divId w:val="267205692"/>
              <w:rPr>
                <w:rFonts w:ascii="David" w:eastAsia="Times New Roman" w:hAnsi="David" w:cs="David"/>
                <w:rtl/>
              </w:rPr>
            </w:pPr>
            <w:r>
              <w:rPr>
                <w:rFonts w:ascii="David" w:eastAsia="Times New Roman" w:hAnsi="David" w:cs="David"/>
                <w:rtl/>
              </w:rPr>
              <w:t>עשא 37143-09-25 יעקב זלינגר,אורלי זלינגר ואח'... נגד יעל דגני,אפרים הכט,טובה רון,מרים איזנשטיין,דנה הלן פינקלשטיין,אבי גולדשטיין,נאו ואח'...</w:t>
            </w:r>
          </w:p>
          <w:p w14:paraId="7112CDBF" w14:textId="77777777" w:rsidR="00000000" w:rsidRDefault="00000000">
            <w:pPr>
              <w:pStyle w:val="a5"/>
              <w:bidi/>
              <w:jc w:val="center"/>
              <w:divId w:val="1624728784"/>
              <w:rPr>
                <w:rtl/>
              </w:rPr>
            </w:pPr>
            <w:r>
              <w:rPr>
                <w:rtl/>
              </w:rPr>
              <w:t>עשא 37143-09-25 יעקב זלינגר,אורלי זלינגר ואח'... נגד יעל דגני,אפרים הכט,טובה רון,מרים איזנשטיין,דנה הלן פינקלשטיין,אבי גולדשטיין,נאו ואח'...</w:t>
            </w:r>
          </w:p>
        </w:tc>
      </w:tr>
    </w:tbl>
    <w:p w14:paraId="3EDC19F0" w14:textId="77777777" w:rsidR="00DD0329" w:rsidRDefault="00DD0329">
      <w:pPr>
        <w:rPr>
          <w:rFonts w:eastAsia="Times New Roman"/>
        </w:rPr>
      </w:pPr>
    </w:p>
    <w:sectPr w:rsidR="00DD0329">
      <w:footerReference w:type="default" r:id="rId6"/>
      <w:pgSz w:w="11906" w:h="16838"/>
      <w:pgMar w:top="1440" w:right="1797" w:bottom="1440" w:left="1797" w:header="708"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BAB23" w14:textId="77777777" w:rsidR="00DD0329" w:rsidRDefault="00DD0329">
      <w:r>
        <w:separator/>
      </w:r>
    </w:p>
  </w:endnote>
  <w:endnote w:type="continuationSeparator" w:id="0">
    <w:p w14:paraId="3C488B87" w14:textId="77777777" w:rsidR="00DD0329" w:rsidRDefault="00DD03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079BD" w14:textId="77777777" w:rsidR="00000000" w:rsidRDefault="00000000">
    <w:pPr>
      <w:bidi/>
      <w:jc w:val="center"/>
      <w:rPr>
        <w:rFonts w:ascii="David" w:eastAsia="Times New Roman" w:hAnsi="David" w:cs="David"/>
        <w:rtl/>
      </w:rPr>
    </w:pPr>
    <w:r>
      <w:rPr>
        <w:rFonts w:ascii="David" w:eastAsia="Times New Roman" w:hAnsi="David" w:cs="David"/>
        <w:rtl/>
      </w:rPr>
      <w:t>עשא 37143-09-25 יעקב זלינגר,אורלי זלינגר ואח'... נגד יעל דגני,אפרים הכט,טובה רון,מרים איזנשטיין,דנה הלן פינקלשטיין,אבי גולדשטיין,נאו ואח'...</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443C70" w14:textId="77777777" w:rsidR="00DD0329" w:rsidRDefault="00DD0329">
      <w:r>
        <w:separator/>
      </w:r>
    </w:p>
  </w:footnote>
  <w:footnote w:type="continuationSeparator" w:id="0">
    <w:p w14:paraId="15F215B7" w14:textId="77777777" w:rsidR="00DD0329" w:rsidRDefault="00DD03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noPunctuationKerning/>
  <w:characterSpacingControl w:val="doNotCompress"/>
  <w:savePreviewPicture/>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5D0F77"/>
    <w:rsid w:val="005D0F77"/>
    <w:rsid w:val="00D35D0B"/>
    <w:rsid w:val="00DD03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C1D55E"/>
  <w15:chartTrackingRefBased/>
  <w15:docId w15:val="{BC7BCE9A-EE8B-4E77-8564-33AC750DA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Pr>
      <w:color w:val="0000FF"/>
      <w:u w:val="single"/>
    </w:rPr>
  </w:style>
  <w:style w:type="character" w:styleId="FollowedHyperlink">
    <w:name w:val="FollowedHyperlink"/>
    <w:basedOn w:val="a0"/>
    <w:uiPriority w:val="99"/>
    <w:semiHidden/>
    <w:unhideWhenUsed/>
    <w:rPr>
      <w:color w:val="96607D"/>
      <w:u w:val="single"/>
    </w:rPr>
  </w:style>
  <w:style w:type="paragraph" w:customStyle="1" w:styleId="msonormal0">
    <w:name w:val="msonormal"/>
    <w:basedOn w:val="a"/>
    <w:pPr>
      <w:spacing w:before="100" w:beforeAutospacing="1" w:after="100" w:afterAutospacing="1"/>
    </w:pPr>
  </w:style>
  <w:style w:type="paragraph" w:styleId="a3">
    <w:name w:val="header"/>
    <w:basedOn w:val="a"/>
    <w:link w:val="a4"/>
    <w:uiPriority w:val="99"/>
    <w:semiHidden/>
    <w:unhideWhenUsed/>
  </w:style>
  <w:style w:type="character" w:customStyle="1" w:styleId="a4">
    <w:name w:val="כותרת עליונה תו"/>
    <w:basedOn w:val="a0"/>
    <w:link w:val="a3"/>
    <w:uiPriority w:val="99"/>
    <w:semiHidden/>
    <w:rPr>
      <w:rFonts w:ascii="David" w:hAnsi="David" w:cs="David" w:hint="default"/>
    </w:rPr>
  </w:style>
  <w:style w:type="paragraph" w:styleId="a5">
    <w:name w:val="footer"/>
    <w:basedOn w:val="a"/>
    <w:link w:val="a6"/>
    <w:uiPriority w:val="99"/>
    <w:unhideWhenUsed/>
    <w:pPr>
      <w:tabs>
        <w:tab w:val="center" w:pos="4320"/>
        <w:tab w:val="right" w:pos="8640"/>
      </w:tabs>
    </w:pPr>
    <w:rPr>
      <w:rFonts w:ascii="David" w:hAnsi="David" w:cs="David"/>
    </w:rPr>
  </w:style>
  <w:style w:type="character" w:customStyle="1" w:styleId="a6">
    <w:name w:val="כותרת תחתונה תו"/>
    <w:basedOn w:val="a0"/>
    <w:link w:val="a5"/>
    <w:uiPriority w:val="99"/>
    <w:rPr>
      <w:rFonts w:eastAsiaTheme="minorEastAsia"/>
      <w:sz w:val="24"/>
      <w:szCs w:val="24"/>
    </w:rPr>
  </w:style>
  <w:style w:type="paragraph" w:customStyle="1" w:styleId="idhidden">
    <w:name w:val="idhidden"/>
    <w:basedOn w:val="a"/>
    <w:pPr>
      <w:spacing w:before="100" w:beforeAutospacing="1" w:after="100" w:afterAutospacing="1"/>
    </w:pPr>
    <w:rPr>
      <w:vanish/>
    </w:rPr>
  </w:style>
  <w:style w:type="paragraph" w:customStyle="1" w:styleId="section1">
    <w:name w:val="section1"/>
    <w:basedOn w:val="a"/>
    <w:pPr>
      <w:spacing w:before="100" w:beforeAutospacing="1" w:after="100" w:afterAutospacing="1"/>
    </w:pPr>
  </w:style>
  <w:style w:type="character" w:styleId="a7">
    <w:name w:val="page number"/>
    <w:basedOn w:val="a0"/>
    <w:uiPriority w:val="99"/>
    <w:semiHidden/>
    <w:unhideWhenUsed/>
    <w:rPr>
      <w:rFonts w:ascii="Times New Roman" w:hAnsi="Times New Roman" w:cs="Times New Roman" w:hint="default"/>
    </w:rPr>
  </w:style>
  <w:style w:type="character" w:customStyle="1" w:styleId="f4dinim">
    <w:name w:val="f4dinim"/>
    <w:basedOn w:val="a0"/>
  </w:style>
  <w:style w:type="character" w:customStyle="1" w:styleId="f40dinim">
    <w:name w:val="f40dinim"/>
    <w:basedOn w:val="a0"/>
  </w:style>
  <w:style w:type="character" w:customStyle="1" w:styleId="f41dinim">
    <w:name w:val="f41dinim"/>
    <w:basedOn w:val="a0"/>
  </w:style>
  <w:style w:type="character" w:customStyle="1" w:styleId="f2dinim">
    <w:name w:val="f2dinim"/>
    <w:basedOn w:val="a0"/>
  </w:style>
  <w:style w:type="character" w:customStyle="1" w:styleId="f2ndinim">
    <w:name w:val="f2ndinim"/>
    <w:basedOn w:val="a0"/>
  </w:style>
  <w:style w:type="character" w:customStyle="1" w:styleId="f3dinim">
    <w:name w:val="f3dinim"/>
    <w:basedOn w:val="a0"/>
  </w:style>
  <w:style w:type="character" w:customStyle="1" w:styleId="f13hdinim">
    <w:name w:val="f13hdinim"/>
    <w:basedOn w:val="a0"/>
  </w:style>
  <w:style w:type="character" w:customStyle="1" w:styleId="f5dinim">
    <w:name w:val="f5dinim"/>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7205692">
      <w:marLeft w:val="0"/>
      <w:marRight w:val="0"/>
      <w:marTop w:val="0"/>
      <w:marBottom w:val="0"/>
      <w:divBdr>
        <w:top w:val="none" w:sz="0" w:space="0" w:color="auto"/>
        <w:left w:val="none" w:sz="0" w:space="0" w:color="auto"/>
        <w:bottom w:val="none" w:sz="0" w:space="0" w:color="auto"/>
        <w:right w:val="none" w:sz="0" w:space="0" w:color="auto"/>
      </w:divBdr>
    </w:div>
    <w:div w:id="1624728784">
      <w:marLeft w:val="0"/>
      <w:marRight w:val="0"/>
      <w:marTop w:val="0"/>
      <w:marBottom w:val="0"/>
      <w:divBdr>
        <w:top w:val="none" w:sz="0" w:space="0" w:color="auto"/>
        <w:left w:val="none" w:sz="0" w:space="0" w:color="auto"/>
        <w:bottom w:val="none" w:sz="0" w:space="0" w:color="auto"/>
        <w:right w:val="none" w:sz="0" w:space="0" w:color="auto"/>
      </w:divBdr>
    </w:div>
    <w:div w:id="1701079550">
      <w:marLeft w:val="0"/>
      <w:marRight w:val="0"/>
      <w:marTop w:val="0"/>
      <w:marBottom w:val="0"/>
      <w:divBdr>
        <w:top w:val="none" w:sz="0" w:space="0" w:color="auto"/>
        <w:left w:val="none" w:sz="0" w:space="0" w:color="auto"/>
        <w:bottom w:val="none" w:sz="0" w:space="0" w:color="auto"/>
        <w:right w:val="none" w:sz="0" w:space="0" w:color="auto"/>
      </w:divBdr>
      <w:divsChild>
        <w:div w:id="1792357759">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32</Pages>
  <Words>9775</Words>
  <Characters>48879</Characters>
  <Application>Microsoft Office Word</Application>
  <DocSecurity>0</DocSecurity>
  <Lines>407</Lines>
  <Paragraphs>117</Paragraphs>
  <ScaleCrop>false</ScaleCrop>
  <Company/>
  <LinksUpToDate>false</LinksUpToDate>
  <CharactersWithSpaces>58537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hxgfכגידיג</dc:title>
  <dc:subject/>
  <dc:creator>orit כהן</dc:creator>
  <cp:keywords/>
  <dc:description/>
  <cp:lastModifiedBy>orit כהן</cp:lastModifiedBy>
  <cp:revision>2</cp:revision>
  <dcterms:created xsi:type="dcterms:W3CDTF">2026-03-05T10:56:00Z</dcterms:created>
  <dcterms:modified xsi:type="dcterms:W3CDTF">2026-03-05T10:56:00Z</dcterms:modified>
</cp:coreProperties>
</file>