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23"/>
        <w:gridCol w:w="3582"/>
      </w:tblGrid>
      <w:tr w:rsidR="00F270FC" w14:paraId="32AD05F5" w14:textId="77777777" w:rsidTr="005F39AB">
        <w:trPr>
          <w:trHeight w:hRule="exact" w:val="418"/>
          <w:jc w:val="center"/>
        </w:trPr>
        <w:tc>
          <w:tcPr>
            <w:tcW w:w="8721" w:type="dxa"/>
            <w:gridSpan w:val="2"/>
          </w:tcPr>
          <w:p w14:paraId="2BC7FFCC" w14:textId="77777777" w:rsidR="00BD7105" w:rsidRPr="00BD7105" w:rsidRDefault="00000000" w:rsidP="005F39AB">
            <w:pPr>
              <w:pStyle w:val="a3"/>
              <w:jc w:val="center"/>
              <w:rPr>
                <w:rFonts w:ascii="Tahoma" w:hAnsi="Tahoma" w:cs="Tahoma"/>
                <w:noProof w:val="0"/>
                <w:color w:val="000080"/>
                <w:rtl/>
              </w:rPr>
            </w:pPr>
            <w:bookmarkStart w:id="0" w:name="LastJudge"/>
            <w:r w:rsidRPr="00BD7105">
              <w:rPr>
                <w:rFonts w:ascii="Tahoma" w:hAnsi="Tahoma" w:cs="Tahoma"/>
                <w:b/>
                <w:bCs/>
                <w:noProof w:val="0"/>
                <w:color w:val="000080"/>
                <w:rtl/>
              </w:rPr>
              <w:t>בית משפט לענייני משפחה בתל אביב -יפו</w:t>
            </w:r>
          </w:p>
        </w:tc>
      </w:tr>
      <w:tr w:rsidR="00F270FC" w14:paraId="31BFC604" w14:textId="77777777" w:rsidTr="005F39AB">
        <w:trPr>
          <w:trHeight w:val="337"/>
          <w:jc w:val="center"/>
        </w:trPr>
        <w:tc>
          <w:tcPr>
            <w:tcW w:w="5047" w:type="dxa"/>
          </w:tcPr>
          <w:p w14:paraId="32CA6178" w14:textId="77777777" w:rsidR="00BD7105" w:rsidRPr="00BD7105" w:rsidRDefault="00BD7105" w:rsidP="005F39AB">
            <w:pPr>
              <w:rPr>
                <w:b/>
                <w:bCs/>
                <w:noProof w:val="0"/>
                <w:sz w:val="26"/>
                <w:szCs w:val="26"/>
                <w:rtl/>
              </w:rPr>
            </w:pPr>
          </w:p>
        </w:tc>
        <w:tc>
          <w:tcPr>
            <w:tcW w:w="3674" w:type="dxa"/>
          </w:tcPr>
          <w:p w14:paraId="190A0DCA" w14:textId="77777777" w:rsidR="00BD7105" w:rsidRPr="00BD7105" w:rsidRDefault="00BD7105" w:rsidP="005F39AB">
            <w:pPr>
              <w:pStyle w:val="a3"/>
              <w:jc w:val="right"/>
              <w:rPr>
                <w:b/>
                <w:bCs/>
                <w:noProof w:val="0"/>
                <w:sz w:val="26"/>
                <w:szCs w:val="26"/>
                <w:rtl/>
              </w:rPr>
            </w:pPr>
          </w:p>
        </w:tc>
      </w:tr>
      <w:tr w:rsidR="00F270FC" w14:paraId="7163DB70" w14:textId="77777777" w:rsidTr="005F39AB">
        <w:trPr>
          <w:trHeight w:val="337"/>
          <w:jc w:val="center"/>
        </w:trPr>
        <w:tc>
          <w:tcPr>
            <w:tcW w:w="8721" w:type="dxa"/>
            <w:gridSpan w:val="2"/>
          </w:tcPr>
          <w:p w14:paraId="251C53CF" w14:textId="77777777" w:rsidR="00BD7105" w:rsidRPr="00BD7105" w:rsidRDefault="00000000" w:rsidP="005F39AB">
            <w:pPr>
              <w:rPr>
                <w:b/>
                <w:bCs/>
                <w:noProof w:val="0"/>
                <w:sz w:val="26"/>
                <w:szCs w:val="26"/>
                <w:rtl/>
              </w:rPr>
            </w:pPr>
            <w:r w:rsidRPr="00BD7105">
              <w:rPr>
                <w:b/>
                <w:bCs/>
                <w:noProof w:val="0"/>
                <w:sz w:val="26"/>
                <w:szCs w:val="26"/>
                <w:rtl/>
              </w:rPr>
              <w:t>תמ"ש 35988-03-23 א.כ נ' ח.ר</w:t>
            </w:r>
          </w:p>
          <w:p w14:paraId="4AC7E332" w14:textId="77777777" w:rsidR="00BD7105" w:rsidRPr="00BD7105" w:rsidRDefault="00BD7105" w:rsidP="005F39AB">
            <w:pPr>
              <w:rPr>
                <w:noProof w:val="0"/>
                <w:rtl/>
              </w:rPr>
            </w:pPr>
          </w:p>
        </w:tc>
      </w:tr>
    </w:tbl>
    <w:p w14:paraId="1EE65592" w14:textId="77777777" w:rsidR="00BD7105" w:rsidRPr="00BD7105" w:rsidRDefault="00000000" w:rsidP="00BD7105">
      <w:pPr>
        <w:pStyle w:val="a3"/>
        <w:rPr>
          <w:noProof w:val="0"/>
          <w:rtl/>
        </w:rPr>
      </w:pPr>
      <w:r w:rsidRPr="00BD7105">
        <w:rPr>
          <w:noProof w:val="0"/>
          <w:rtl/>
        </w:rPr>
        <w:t xml:space="preserve"> </w:t>
      </w:r>
    </w:p>
    <w:p w14:paraId="056D7B83" w14:textId="77777777" w:rsidR="006F6013" w:rsidRPr="00BD7105" w:rsidRDefault="006F6013">
      <w:pPr>
        <w:rPr>
          <w:noProof w:val="0"/>
          <w:rtl/>
        </w:rPr>
      </w:pPr>
    </w:p>
    <w:tbl>
      <w:tblPr>
        <w:bidiVisual/>
        <w:tblW w:w="8820" w:type="dxa"/>
        <w:jc w:val="center"/>
        <w:tblLook w:val="01E0" w:firstRow="1" w:lastRow="1" w:firstColumn="1" w:lastColumn="1" w:noHBand="0" w:noVBand="0"/>
      </w:tblPr>
      <w:tblGrid>
        <w:gridCol w:w="743"/>
        <w:gridCol w:w="2506"/>
        <w:gridCol w:w="5571"/>
      </w:tblGrid>
      <w:tr w:rsidR="00F270FC" w14:paraId="7DBCA8FB" w14:textId="77777777" w:rsidTr="00CC2718">
        <w:trPr>
          <w:jc w:val="center"/>
        </w:trPr>
        <w:tc>
          <w:tcPr>
            <w:tcW w:w="743" w:type="dxa"/>
          </w:tcPr>
          <w:p w14:paraId="54281047" w14:textId="77777777" w:rsidR="006F6013" w:rsidRPr="00BD7105" w:rsidRDefault="00000000" w:rsidP="00CC2718">
            <w:pPr>
              <w:jc w:val="both"/>
              <w:rPr>
                <w:rFonts w:ascii="Arial" w:hAnsi="Arial"/>
                <w:b/>
                <w:bCs/>
              </w:rPr>
            </w:pPr>
            <w:r w:rsidRPr="00BD7105">
              <w:rPr>
                <w:rFonts w:ascii="Arial" w:hAnsi="Arial"/>
                <w:b/>
                <w:bCs/>
                <w:noProof w:val="0"/>
                <w:rtl/>
              </w:rPr>
              <w:t xml:space="preserve">בפני </w:t>
            </w:r>
          </w:p>
        </w:tc>
        <w:tc>
          <w:tcPr>
            <w:tcW w:w="8077" w:type="dxa"/>
            <w:gridSpan w:val="2"/>
          </w:tcPr>
          <w:p w14:paraId="20055CC5" w14:textId="77777777" w:rsidR="006F6013" w:rsidRPr="00BD7105" w:rsidRDefault="00000000">
            <w:pPr>
              <w:rPr>
                <w:rFonts w:ascii="Arial" w:hAnsi="Arial"/>
                <w:b/>
                <w:bCs/>
                <w:noProof w:val="0"/>
                <w:rtl/>
              </w:rPr>
            </w:pPr>
            <w:r w:rsidRPr="00BD7105">
              <w:rPr>
                <w:rFonts w:ascii="Arial" w:hAnsi="Arial"/>
                <w:b/>
                <w:bCs/>
                <w:noProof w:val="0"/>
                <w:rtl/>
              </w:rPr>
              <w:t xml:space="preserve">כב' השופט  </w:t>
            </w:r>
            <w:bookmarkStart w:id="1" w:name="_Hlk196764268"/>
            <w:r w:rsidRPr="00BD7105">
              <w:rPr>
                <w:rFonts w:ascii="Arial" w:hAnsi="Arial"/>
                <w:b/>
                <w:bCs/>
                <w:noProof w:val="0"/>
                <w:rtl/>
              </w:rPr>
              <w:t>תומר שלם</w:t>
            </w:r>
            <w:bookmarkEnd w:id="1"/>
            <w:r w:rsidRPr="00BD7105">
              <w:rPr>
                <w:rFonts w:ascii="Arial" w:hAnsi="Arial"/>
                <w:b/>
                <w:bCs/>
                <w:noProof w:val="0"/>
                <w:rtl/>
              </w:rPr>
              <w:br/>
            </w:r>
            <w:r w:rsidRPr="00BD7105">
              <w:rPr>
                <w:noProof w:val="0"/>
                <w:rtl/>
              </w:rPr>
              <w:br/>
            </w:r>
          </w:p>
          <w:p w14:paraId="08C4B767" w14:textId="77777777" w:rsidR="006F6013" w:rsidRPr="00BD7105" w:rsidRDefault="006F6013">
            <w:pPr>
              <w:rPr>
                <w:rFonts w:ascii="Arial" w:hAnsi="Arial" w:cs="FrankRuehl"/>
                <w:sz w:val="28"/>
                <w:szCs w:val="28"/>
                <w:highlight w:val="yellow"/>
              </w:rPr>
            </w:pPr>
          </w:p>
        </w:tc>
      </w:tr>
      <w:tr w:rsidR="00F270FC" w14:paraId="6E1A56D2" w14:textId="77777777" w:rsidTr="00CC2718">
        <w:trPr>
          <w:jc w:val="center"/>
        </w:trPr>
        <w:tc>
          <w:tcPr>
            <w:tcW w:w="3249" w:type="dxa"/>
            <w:gridSpan w:val="2"/>
          </w:tcPr>
          <w:p w14:paraId="49AB98B9" w14:textId="77777777" w:rsidR="006F6013" w:rsidRPr="00BD7105" w:rsidRDefault="00000000" w:rsidP="00CC2718">
            <w:pPr>
              <w:bidi w:val="0"/>
              <w:spacing w:line="360" w:lineRule="auto"/>
              <w:jc w:val="right"/>
              <w:rPr>
                <w:rFonts w:ascii="Arial" w:hAnsi="Arial"/>
                <w:b/>
                <w:bCs/>
                <w:noProof w:val="0"/>
                <w:sz w:val="26"/>
                <w:szCs w:val="26"/>
                <w:rtl/>
              </w:rPr>
            </w:pPr>
            <w:bookmarkStart w:id="2" w:name="FirstAppellant"/>
            <w:bookmarkStart w:id="3" w:name="FirstLawyer"/>
            <w:r w:rsidRPr="00BD7105">
              <w:rPr>
                <w:rFonts w:ascii="Arial" w:hAnsi="Arial"/>
                <w:b/>
                <w:bCs/>
                <w:noProof w:val="0"/>
                <w:sz w:val="26"/>
                <w:szCs w:val="26"/>
                <w:rtl/>
              </w:rPr>
              <w:t>התובע</w:t>
            </w:r>
          </w:p>
        </w:tc>
        <w:tc>
          <w:tcPr>
            <w:tcW w:w="5571" w:type="dxa"/>
          </w:tcPr>
          <w:p w14:paraId="570ECEA4" w14:textId="77777777" w:rsidR="006F6013" w:rsidRPr="00BD7105" w:rsidRDefault="00000000" w:rsidP="00CC2718">
            <w:pPr>
              <w:spacing w:line="360" w:lineRule="auto"/>
              <w:rPr>
                <w:b/>
                <w:bCs/>
                <w:noProof w:val="0"/>
                <w:sz w:val="26"/>
                <w:szCs w:val="26"/>
              </w:rPr>
            </w:pPr>
            <w:r w:rsidRPr="00BD7105">
              <w:rPr>
                <w:rStyle w:val="1"/>
                <w:b/>
                <w:bCs/>
                <w:noProof w:val="0"/>
                <w:color w:val="auto"/>
                <w:rtl/>
              </w:rPr>
              <w:t xml:space="preserve">א.כ </w:t>
            </w:r>
            <w:r w:rsidRPr="00BD7105">
              <w:rPr>
                <w:b/>
                <w:bCs/>
                <w:noProof w:val="0"/>
                <w:sz w:val="26"/>
                <w:szCs w:val="26"/>
                <w:rtl/>
              </w:rPr>
              <w:t xml:space="preserve">   </w:t>
            </w:r>
            <w:r w:rsidRPr="00BD7105">
              <w:rPr>
                <w:rStyle w:val="1"/>
                <w:b/>
                <w:bCs/>
                <w:noProof w:val="0"/>
                <w:color w:val="auto"/>
                <w:rtl/>
              </w:rPr>
              <w:br/>
              <w:t xml:space="preserve">ע"י ב"כ עו"ד רונית מר </w:t>
            </w:r>
          </w:p>
        </w:tc>
      </w:tr>
      <w:bookmarkEnd w:id="2"/>
      <w:bookmarkEnd w:id="3"/>
      <w:tr w:rsidR="00F270FC" w14:paraId="62C5B483" w14:textId="77777777" w:rsidTr="00CC2718">
        <w:trPr>
          <w:jc w:val="center"/>
        </w:trPr>
        <w:tc>
          <w:tcPr>
            <w:tcW w:w="8820" w:type="dxa"/>
            <w:gridSpan w:val="3"/>
          </w:tcPr>
          <w:p w14:paraId="0381B00D" w14:textId="77777777" w:rsidR="006F6013" w:rsidRPr="00BD7105" w:rsidRDefault="006F6013" w:rsidP="00CC2718">
            <w:pPr>
              <w:spacing w:line="360" w:lineRule="auto"/>
              <w:rPr>
                <w:rFonts w:ascii="Arial" w:hAnsi="Arial"/>
                <w:b/>
                <w:bCs/>
                <w:noProof w:val="0"/>
                <w:sz w:val="26"/>
                <w:szCs w:val="26"/>
                <w:rtl/>
              </w:rPr>
            </w:pPr>
          </w:p>
          <w:p w14:paraId="214B9CA5" w14:textId="77777777" w:rsidR="006F6013" w:rsidRPr="00BD7105" w:rsidRDefault="00000000" w:rsidP="00CC2718">
            <w:pPr>
              <w:spacing w:line="360" w:lineRule="auto"/>
              <w:jc w:val="center"/>
              <w:rPr>
                <w:rFonts w:ascii="Arial" w:hAnsi="Arial"/>
                <w:b/>
                <w:bCs/>
                <w:noProof w:val="0"/>
                <w:sz w:val="26"/>
                <w:szCs w:val="26"/>
                <w:rtl/>
              </w:rPr>
            </w:pPr>
            <w:r w:rsidRPr="00BD7105">
              <w:rPr>
                <w:rFonts w:ascii="Arial" w:hAnsi="Arial"/>
                <w:b/>
                <w:bCs/>
                <w:noProof w:val="0"/>
                <w:sz w:val="26"/>
                <w:szCs w:val="26"/>
                <w:rtl/>
              </w:rPr>
              <w:t>נגד</w:t>
            </w:r>
          </w:p>
          <w:p w14:paraId="6CC52913" w14:textId="77777777" w:rsidR="006F6013" w:rsidRPr="00BD7105" w:rsidRDefault="006F6013" w:rsidP="00CC2718">
            <w:pPr>
              <w:spacing w:line="360" w:lineRule="auto"/>
              <w:jc w:val="center"/>
              <w:rPr>
                <w:rFonts w:ascii="Arial" w:hAnsi="Arial"/>
                <w:b/>
                <w:bCs/>
                <w:noProof w:val="0"/>
                <w:sz w:val="26"/>
                <w:szCs w:val="26"/>
              </w:rPr>
            </w:pPr>
          </w:p>
        </w:tc>
      </w:tr>
      <w:tr w:rsidR="00F270FC" w14:paraId="7CEE5A10" w14:textId="77777777" w:rsidTr="00CC2718">
        <w:trPr>
          <w:jc w:val="center"/>
        </w:trPr>
        <w:tc>
          <w:tcPr>
            <w:tcW w:w="3249" w:type="dxa"/>
            <w:gridSpan w:val="2"/>
          </w:tcPr>
          <w:p w14:paraId="55AAF41C" w14:textId="77777777" w:rsidR="006F6013" w:rsidRPr="00BD7105" w:rsidRDefault="00000000" w:rsidP="00CC2718">
            <w:pPr>
              <w:spacing w:line="360" w:lineRule="auto"/>
              <w:rPr>
                <w:rFonts w:ascii="Arial" w:hAnsi="Arial"/>
                <w:b/>
                <w:bCs/>
                <w:noProof w:val="0"/>
                <w:sz w:val="26"/>
                <w:szCs w:val="26"/>
              </w:rPr>
            </w:pPr>
            <w:r w:rsidRPr="00BD7105">
              <w:rPr>
                <w:rFonts w:ascii="Arial" w:hAnsi="Arial"/>
                <w:b/>
                <w:bCs/>
                <w:noProof w:val="0"/>
                <w:sz w:val="26"/>
                <w:szCs w:val="26"/>
                <w:rtl/>
              </w:rPr>
              <w:t>הנתבעת</w:t>
            </w:r>
          </w:p>
        </w:tc>
        <w:tc>
          <w:tcPr>
            <w:tcW w:w="5571" w:type="dxa"/>
          </w:tcPr>
          <w:p w14:paraId="1A63ACF1" w14:textId="77777777" w:rsidR="006F6013" w:rsidRPr="00BD7105" w:rsidRDefault="00000000" w:rsidP="00CC2718">
            <w:pPr>
              <w:spacing w:line="360" w:lineRule="auto"/>
              <w:rPr>
                <w:b/>
                <w:bCs/>
                <w:noProof w:val="0"/>
                <w:sz w:val="26"/>
                <w:szCs w:val="26"/>
                <w:rtl/>
              </w:rPr>
            </w:pPr>
            <w:r w:rsidRPr="00BD7105">
              <w:rPr>
                <w:rStyle w:val="1"/>
                <w:b/>
                <w:bCs/>
                <w:noProof w:val="0"/>
                <w:color w:val="auto"/>
                <w:rtl/>
              </w:rPr>
              <w:t>ח.ר</w:t>
            </w:r>
            <w:r w:rsidRPr="00BD7105">
              <w:rPr>
                <w:b/>
                <w:bCs/>
                <w:noProof w:val="0"/>
                <w:sz w:val="26"/>
                <w:szCs w:val="26"/>
                <w:rtl/>
              </w:rPr>
              <w:t xml:space="preserve">  </w:t>
            </w:r>
            <w:r w:rsidRPr="00BD7105">
              <w:rPr>
                <w:rStyle w:val="1"/>
                <w:b/>
                <w:bCs/>
                <w:noProof w:val="0"/>
                <w:color w:val="auto"/>
                <w:rtl/>
              </w:rPr>
              <w:br/>
            </w:r>
            <w:r w:rsidRPr="00BD7105">
              <w:rPr>
                <w:b/>
                <w:bCs/>
                <w:noProof w:val="0"/>
                <w:sz w:val="26"/>
                <w:szCs w:val="26"/>
                <w:rtl/>
              </w:rPr>
              <w:t>ע"י ב"כ עו"ד נעה פרסמן</w:t>
            </w:r>
          </w:p>
        </w:tc>
      </w:tr>
    </w:tbl>
    <w:p w14:paraId="5F0200B6" w14:textId="77777777" w:rsidR="006F6013" w:rsidRPr="00BD7105" w:rsidRDefault="006F6013">
      <w:pPr>
        <w:rPr>
          <w:noProof w:val="0"/>
          <w:rtl/>
        </w:rPr>
      </w:pPr>
    </w:p>
    <w:p w14:paraId="6AE22B58" w14:textId="77777777" w:rsidR="00BD7105" w:rsidRPr="00BD7105" w:rsidRDefault="00BD7105">
      <w:pPr>
        <w:rPr>
          <w:rtl/>
        </w:rPr>
      </w:pPr>
    </w:p>
    <w:p w14:paraId="655D245C" w14:textId="77777777" w:rsidR="006F6013" w:rsidRPr="000919FD" w:rsidRDefault="006F6013" w:rsidP="007B004A">
      <w:pPr>
        <w:spacing w:after="120" w:line="240" w:lineRule="exact"/>
        <w:jc w:val="both"/>
        <w:rPr>
          <w:rtl/>
        </w:rPr>
      </w:pPr>
      <w:bookmarkStart w:id="4" w:name="Links_Start"/>
      <w:bookmarkStart w:id="5" w:name="ABSTRACT_END"/>
      <w:bookmarkEnd w:id="4"/>
      <w:bookmarkEnd w:id="5"/>
    </w:p>
    <w:tbl>
      <w:tblPr>
        <w:bidiVisual/>
        <w:tblW w:w="8820" w:type="dxa"/>
        <w:jc w:val="center"/>
        <w:tblLook w:val="01E0" w:firstRow="1" w:lastRow="1" w:firstColumn="1" w:lastColumn="1" w:noHBand="0" w:noVBand="0"/>
      </w:tblPr>
      <w:tblGrid>
        <w:gridCol w:w="8820"/>
      </w:tblGrid>
      <w:tr w:rsidR="00F270FC" w14:paraId="2D6563F1" w14:textId="77777777" w:rsidTr="00CC2718">
        <w:trPr>
          <w:jc w:val="center"/>
        </w:trPr>
        <w:tc>
          <w:tcPr>
            <w:tcW w:w="8820" w:type="dxa"/>
          </w:tcPr>
          <w:p w14:paraId="4148C606" w14:textId="77777777" w:rsidR="00BD7105" w:rsidRPr="00BD7105" w:rsidRDefault="00000000" w:rsidP="00BD7105">
            <w:pPr>
              <w:bidi w:val="0"/>
              <w:jc w:val="center"/>
              <w:rPr>
                <w:rFonts w:ascii="Arial" w:hAnsi="Arial"/>
                <w:b/>
                <w:bCs/>
                <w:noProof w:val="0"/>
                <w:sz w:val="28"/>
                <w:szCs w:val="28"/>
                <w:u w:val="single"/>
              </w:rPr>
            </w:pPr>
            <w:bookmarkStart w:id="6" w:name="PsakDin" w:colFirst="0" w:colLast="0"/>
            <w:bookmarkEnd w:id="0"/>
            <w:r w:rsidRPr="00BD7105">
              <w:rPr>
                <w:rFonts w:ascii="Arial" w:hAnsi="Arial"/>
                <w:b/>
                <w:bCs/>
                <w:noProof w:val="0"/>
                <w:sz w:val="28"/>
                <w:szCs w:val="28"/>
                <w:u w:val="single"/>
                <w:rtl/>
              </w:rPr>
              <w:t>פסק דין</w:t>
            </w:r>
          </w:p>
          <w:p w14:paraId="1FE19D89" w14:textId="77777777" w:rsidR="006F6013" w:rsidRPr="00BD7105" w:rsidRDefault="006F6013" w:rsidP="00BD7105">
            <w:pPr>
              <w:bidi w:val="0"/>
              <w:jc w:val="center"/>
              <w:rPr>
                <w:rFonts w:ascii="Arial" w:hAnsi="Arial"/>
                <w:b/>
                <w:bCs/>
                <w:noProof w:val="0"/>
                <w:sz w:val="28"/>
                <w:szCs w:val="28"/>
                <w:u w:val="single"/>
              </w:rPr>
            </w:pPr>
          </w:p>
        </w:tc>
      </w:tr>
      <w:bookmarkEnd w:id="6"/>
    </w:tbl>
    <w:p w14:paraId="25B7DFDB" w14:textId="77777777" w:rsidR="006F6013" w:rsidRDefault="006F6013">
      <w:pPr>
        <w:spacing w:line="360" w:lineRule="auto"/>
        <w:jc w:val="both"/>
        <w:rPr>
          <w:rFonts w:ascii="Arial" w:hAnsi="Arial"/>
          <w:noProof w:val="0"/>
          <w:rtl/>
        </w:rPr>
      </w:pPr>
    </w:p>
    <w:p w14:paraId="1A139D18" w14:textId="77777777" w:rsidR="006F6013" w:rsidRDefault="00000000" w:rsidP="005E147F">
      <w:pPr>
        <w:spacing w:line="360" w:lineRule="auto"/>
        <w:jc w:val="both"/>
        <w:rPr>
          <w:rFonts w:ascii="Arial" w:hAnsi="Arial"/>
          <w:noProof w:val="0"/>
          <w:rtl/>
        </w:rPr>
      </w:pPr>
      <w:r>
        <w:rPr>
          <w:rFonts w:ascii="Arial" w:hAnsi="Arial"/>
          <w:noProof w:val="0"/>
          <w:rtl/>
        </w:rPr>
        <w:t xml:space="preserve">לפניי תובענה כספית להשבה ופיצויים בעילות חוזיות ונזיקיות על סך של 548,514 ₪ [סכום המורכב משבעה סעדים כספיים שונים].   </w:t>
      </w:r>
    </w:p>
    <w:p w14:paraId="7D7E4E99" w14:textId="77777777" w:rsidR="006F6013" w:rsidRDefault="00000000" w:rsidP="000D44B6">
      <w:pPr>
        <w:spacing w:line="360" w:lineRule="auto"/>
        <w:jc w:val="both"/>
        <w:rPr>
          <w:rFonts w:ascii="Arial" w:hAnsi="Arial"/>
          <w:noProof w:val="0"/>
          <w:rtl/>
        </w:rPr>
      </w:pPr>
      <w:r>
        <w:rPr>
          <w:rFonts w:ascii="Arial" w:hAnsi="Arial"/>
          <w:noProof w:val="0"/>
          <w:rtl/>
        </w:rPr>
        <w:t xml:space="preserve">ביום 10.2.2019, ניתן בבית המשפט המחוזי פסק-דין (להלן: פסק-הדין) במסגרתו נקבע, כי בין הצדדים נכרת הסכם מכר מחייב, שפרטיו סוכמו בתכתובת דוא"ל, ולפיו התובע רכש את זכויות הנתבעת בדירתם המשותפת, עוד ביום 2.9.2014 ולכל המאוחר ביום 5.9.2014, לפי שווי בסך של 1,900,000 ₪. </w:t>
      </w:r>
    </w:p>
    <w:p w14:paraId="719A3C37" w14:textId="77777777" w:rsidR="006F6013" w:rsidRDefault="00000000" w:rsidP="0049383E">
      <w:pPr>
        <w:spacing w:line="360" w:lineRule="auto"/>
        <w:jc w:val="both"/>
        <w:rPr>
          <w:rFonts w:ascii="Arial" w:hAnsi="Arial"/>
          <w:noProof w:val="0"/>
          <w:rtl/>
        </w:rPr>
      </w:pPr>
      <w:r>
        <w:rPr>
          <w:rFonts w:ascii="Arial" w:hAnsi="Arial"/>
          <w:noProof w:val="0"/>
          <w:rtl/>
        </w:rPr>
        <w:t xml:space="preserve">בעקבות פסק-הדין, הגיש התובע תובענה כספית זו לפיצויים והשבה, בעד התקופה מחודש ספטמבר 2014 ועד חודש פברואר 2019, שבה הנתבעת סיכלה את השלמת הסכם המכר. </w:t>
      </w:r>
    </w:p>
    <w:p w14:paraId="4504F4E7" w14:textId="77777777" w:rsidR="006F6013" w:rsidRDefault="006F6013" w:rsidP="00D83474">
      <w:pPr>
        <w:spacing w:line="360" w:lineRule="auto"/>
        <w:jc w:val="both"/>
        <w:rPr>
          <w:rFonts w:ascii="Arial" w:hAnsi="Arial"/>
          <w:noProof w:val="0"/>
          <w:rtl/>
        </w:rPr>
      </w:pPr>
    </w:p>
    <w:p w14:paraId="6A34238C" w14:textId="77777777" w:rsidR="006F6013" w:rsidRPr="00594CED" w:rsidRDefault="00000000" w:rsidP="00594CED">
      <w:pPr>
        <w:spacing w:line="360" w:lineRule="auto"/>
        <w:jc w:val="both"/>
        <w:rPr>
          <w:rFonts w:ascii="Arial" w:hAnsi="Arial"/>
          <w:b/>
          <w:bCs/>
          <w:noProof w:val="0"/>
          <w:u w:val="single"/>
        </w:rPr>
      </w:pPr>
      <w:r>
        <w:rPr>
          <w:rFonts w:ascii="Arial" w:hAnsi="Arial"/>
          <w:b/>
          <w:bCs/>
          <w:noProof w:val="0"/>
          <w:u w:val="single"/>
          <w:rtl/>
        </w:rPr>
        <w:t>רקע עובדתי</w:t>
      </w:r>
    </w:p>
    <w:p w14:paraId="6D44A5B2" w14:textId="77777777" w:rsidR="006F6013" w:rsidRDefault="006F6013" w:rsidP="00574960">
      <w:pPr>
        <w:pStyle w:val="10"/>
        <w:spacing w:line="360" w:lineRule="auto"/>
        <w:ind w:left="360"/>
        <w:jc w:val="both"/>
        <w:rPr>
          <w:rFonts w:ascii="Arial" w:hAnsi="Arial"/>
          <w:noProof w:val="0"/>
        </w:rPr>
      </w:pPr>
    </w:p>
    <w:p w14:paraId="7D9596D2" w14:textId="77777777" w:rsidR="006F6013" w:rsidRDefault="00000000" w:rsidP="00DE6C49">
      <w:pPr>
        <w:pStyle w:val="10"/>
        <w:numPr>
          <w:ilvl w:val="0"/>
          <w:numId w:val="1"/>
        </w:numPr>
        <w:spacing w:line="360" w:lineRule="auto"/>
        <w:jc w:val="both"/>
        <w:rPr>
          <w:rFonts w:ascii="Arial" w:hAnsi="Arial"/>
          <w:noProof w:val="0"/>
        </w:rPr>
      </w:pPr>
      <w:r>
        <w:rPr>
          <w:rFonts w:ascii="Arial" w:hAnsi="Arial"/>
          <w:noProof w:val="0"/>
          <w:rtl/>
        </w:rPr>
        <w:t xml:space="preserve">הצדדים, בני זוג לשעבר, מצויים בסכסוך מורכב, ממושך, רווי יצרים, שתחילתו עוד בשנת 2014, ונדון בכל הערכאות המשפטיות בישראל. תובענה זו היא אחת מעשרות רבות של הליכים משפטיים שהתנהלו בין הצדדים על פני יותר מעשור. </w:t>
      </w:r>
    </w:p>
    <w:p w14:paraId="6EC7EB8D" w14:textId="77777777" w:rsidR="006F6013" w:rsidRDefault="006F6013" w:rsidP="00494935">
      <w:pPr>
        <w:pStyle w:val="10"/>
        <w:spacing w:line="360" w:lineRule="auto"/>
        <w:ind w:left="360"/>
        <w:jc w:val="both"/>
        <w:rPr>
          <w:rFonts w:ascii="Arial" w:hAnsi="Arial"/>
          <w:noProof w:val="0"/>
        </w:rPr>
      </w:pPr>
    </w:p>
    <w:p w14:paraId="06A46468" w14:textId="77777777" w:rsidR="006F6013" w:rsidRDefault="00000000" w:rsidP="000D44B6">
      <w:pPr>
        <w:pStyle w:val="10"/>
        <w:numPr>
          <w:ilvl w:val="0"/>
          <w:numId w:val="1"/>
        </w:numPr>
        <w:spacing w:line="360" w:lineRule="auto"/>
        <w:jc w:val="both"/>
        <w:rPr>
          <w:rFonts w:ascii="Arial" w:hAnsi="Arial"/>
          <w:noProof w:val="0"/>
        </w:rPr>
      </w:pPr>
      <w:r>
        <w:rPr>
          <w:rFonts w:ascii="Arial" w:hAnsi="Arial"/>
          <w:noProof w:val="0"/>
          <w:rtl/>
        </w:rPr>
        <w:t xml:space="preserve">ביום 1.6.2014, כרתו הצדדים הסכם (להלן: ההסכם), שאושר בבית המשפט לענייני משפחה וניתן לו תוקף של פסק-דין (על ידי כב' השופטת איריס ארבל-אסל).  </w:t>
      </w:r>
    </w:p>
    <w:p w14:paraId="6BAC97B6" w14:textId="77777777" w:rsidR="006F6013" w:rsidRDefault="006F6013" w:rsidP="00D83474">
      <w:pPr>
        <w:pStyle w:val="10"/>
        <w:spacing w:line="360" w:lineRule="auto"/>
        <w:ind w:left="792"/>
        <w:jc w:val="both"/>
        <w:rPr>
          <w:rFonts w:ascii="Arial" w:hAnsi="Arial"/>
          <w:noProof w:val="0"/>
          <w:rtl/>
        </w:rPr>
      </w:pPr>
    </w:p>
    <w:p w14:paraId="57450838" w14:textId="77777777" w:rsidR="006F6013" w:rsidRDefault="006F6013" w:rsidP="00D83474">
      <w:pPr>
        <w:pStyle w:val="10"/>
        <w:spacing w:line="360" w:lineRule="auto"/>
        <w:ind w:left="792"/>
        <w:jc w:val="both"/>
        <w:rPr>
          <w:rFonts w:ascii="Arial" w:hAnsi="Arial"/>
          <w:noProof w:val="0"/>
          <w:rtl/>
        </w:rPr>
      </w:pPr>
    </w:p>
    <w:p w14:paraId="0E5923CA" w14:textId="77777777" w:rsidR="006F6013" w:rsidRDefault="00000000" w:rsidP="00AB0313">
      <w:pPr>
        <w:pStyle w:val="10"/>
        <w:numPr>
          <w:ilvl w:val="0"/>
          <w:numId w:val="1"/>
        </w:numPr>
        <w:spacing w:line="360" w:lineRule="auto"/>
        <w:jc w:val="both"/>
        <w:rPr>
          <w:rFonts w:ascii="Arial" w:hAnsi="Arial"/>
          <w:noProof w:val="0"/>
        </w:rPr>
      </w:pPr>
      <w:r>
        <w:rPr>
          <w:rFonts w:ascii="Arial" w:hAnsi="Arial"/>
          <w:noProof w:val="0"/>
          <w:rtl/>
        </w:rPr>
        <w:t xml:space="preserve">במסגרת ההסכם, הוסדר אופן פירוק השיתוף בדירה המשותפת לצדדים ברח' ----בת"א (להלן: הדירה). וזו לשון ההסכם בעניין הדירה: </w:t>
      </w:r>
    </w:p>
    <w:p w14:paraId="0CBEAEE3" w14:textId="77777777" w:rsidR="006F6013" w:rsidRPr="00C0321A" w:rsidRDefault="00000000" w:rsidP="00AB0313">
      <w:pPr>
        <w:pStyle w:val="10"/>
        <w:spacing w:line="360" w:lineRule="auto"/>
        <w:ind w:right="567"/>
        <w:jc w:val="both"/>
        <w:rPr>
          <w:rFonts w:ascii="Arial" w:hAnsi="Arial"/>
          <w:b/>
          <w:bCs/>
          <w:noProof w:val="0"/>
          <w:rtl/>
        </w:rPr>
      </w:pPr>
      <w:r w:rsidRPr="00C0321A">
        <w:rPr>
          <w:rFonts w:ascii="Arial" w:hAnsi="Arial"/>
          <w:b/>
          <w:bCs/>
          <w:noProof w:val="0"/>
          <w:rtl/>
        </w:rPr>
        <w:t xml:space="preserve">"2. אני מורה כפי הסכמת הצדדים כי דירת הצדדים ברחוב </w:t>
      </w:r>
      <w:r>
        <w:rPr>
          <w:rFonts w:ascii="Arial" w:hAnsi="Arial"/>
          <w:b/>
          <w:bCs/>
          <w:noProof w:val="0"/>
          <w:rtl/>
        </w:rPr>
        <w:t xml:space="preserve">--- </w:t>
      </w:r>
      <w:r w:rsidRPr="00C0321A">
        <w:rPr>
          <w:rFonts w:ascii="Arial" w:hAnsi="Arial"/>
          <w:b/>
          <w:bCs/>
          <w:noProof w:val="0"/>
          <w:rtl/>
        </w:rPr>
        <w:t xml:space="preserve">ת"א, גוש </w:t>
      </w:r>
      <w:r>
        <w:rPr>
          <w:rFonts w:ascii="Arial" w:hAnsi="Arial"/>
          <w:b/>
          <w:bCs/>
          <w:noProof w:val="0"/>
          <w:rtl/>
        </w:rPr>
        <w:t>---</w:t>
      </w:r>
      <w:r w:rsidRPr="00C0321A">
        <w:rPr>
          <w:rFonts w:ascii="Arial" w:hAnsi="Arial"/>
          <w:b/>
          <w:bCs/>
          <w:noProof w:val="0"/>
          <w:rtl/>
        </w:rPr>
        <w:t xml:space="preserve">חלקה </w:t>
      </w:r>
      <w:r>
        <w:rPr>
          <w:rFonts w:ascii="Arial" w:hAnsi="Arial"/>
          <w:b/>
          <w:bCs/>
          <w:noProof w:val="0"/>
          <w:rtl/>
        </w:rPr>
        <w:t>---</w:t>
      </w:r>
      <w:r w:rsidRPr="00C0321A">
        <w:rPr>
          <w:rFonts w:ascii="Arial" w:hAnsi="Arial"/>
          <w:b/>
          <w:bCs/>
          <w:noProof w:val="0"/>
          <w:rtl/>
        </w:rPr>
        <w:t xml:space="preserve">, תת חלקה </w:t>
      </w:r>
      <w:r>
        <w:rPr>
          <w:rFonts w:ascii="Arial" w:hAnsi="Arial"/>
          <w:b/>
          <w:bCs/>
          <w:noProof w:val="0"/>
          <w:rtl/>
        </w:rPr>
        <w:t xml:space="preserve">-- </w:t>
      </w:r>
      <w:r w:rsidRPr="00C0321A">
        <w:rPr>
          <w:rFonts w:ascii="Arial" w:hAnsi="Arial"/>
          <w:b/>
          <w:bCs/>
          <w:noProof w:val="0"/>
          <w:rtl/>
        </w:rPr>
        <w:t xml:space="preserve">תימכר על ידי הצדדים עצמם. הצדדים יפעלו מיד למכירת הנכס בשוק החופשי לכל המרבה במחיר. </w:t>
      </w:r>
    </w:p>
    <w:p w14:paraId="0A47FE47" w14:textId="77777777" w:rsidR="006F6013" w:rsidRPr="00C0321A" w:rsidRDefault="00000000" w:rsidP="00DE6C49">
      <w:pPr>
        <w:pStyle w:val="10"/>
        <w:spacing w:line="360" w:lineRule="auto"/>
        <w:ind w:right="567"/>
        <w:jc w:val="both"/>
        <w:rPr>
          <w:rFonts w:ascii="Arial" w:hAnsi="Arial"/>
          <w:b/>
          <w:bCs/>
          <w:noProof w:val="0"/>
          <w:rtl/>
        </w:rPr>
      </w:pPr>
      <w:r w:rsidRPr="00C0321A">
        <w:rPr>
          <w:rFonts w:ascii="Arial" w:hAnsi="Arial"/>
          <w:b/>
          <w:bCs/>
          <w:noProof w:val="0"/>
          <w:rtl/>
        </w:rPr>
        <w:t xml:space="preserve">אם יחול מס בגין העובדה שהיתה דירה נוספת על שם האישה ו/או בגין הדירה הנוכחית של האישה, המס ישולם על ידי האישה בלבד. התמורה שתתקבל ממכירת הדירה תשמש בראשונה לסילוק חוב המשכנתא והוצאות המכירה והיתרה תחולק בין הצדדים בחלקים שווים. עד למכירת הדירה דמי השכירות שיתקבלו ישמשו לתשלום החזרי המשכנתא וההוצאות שיחולו על הדירה והיתרה תחולק כאמור שווה בשווה". </w:t>
      </w:r>
    </w:p>
    <w:p w14:paraId="06F2AC09" w14:textId="77777777" w:rsidR="006F6013" w:rsidRDefault="006F6013" w:rsidP="00DE6C49">
      <w:pPr>
        <w:pStyle w:val="10"/>
        <w:spacing w:line="360" w:lineRule="auto"/>
        <w:ind w:left="360"/>
        <w:jc w:val="both"/>
        <w:rPr>
          <w:rFonts w:ascii="Arial" w:hAnsi="Arial"/>
          <w:noProof w:val="0"/>
        </w:rPr>
      </w:pPr>
    </w:p>
    <w:p w14:paraId="26BE7843" w14:textId="77777777" w:rsidR="006F6013" w:rsidRDefault="00000000" w:rsidP="0090051A">
      <w:pPr>
        <w:pStyle w:val="10"/>
        <w:numPr>
          <w:ilvl w:val="0"/>
          <w:numId w:val="1"/>
        </w:numPr>
        <w:spacing w:line="360" w:lineRule="auto"/>
        <w:jc w:val="both"/>
        <w:rPr>
          <w:rFonts w:ascii="Arial" w:hAnsi="Arial"/>
          <w:noProof w:val="0"/>
        </w:rPr>
      </w:pPr>
      <w:r>
        <w:rPr>
          <w:rFonts w:ascii="Arial" w:hAnsi="Arial"/>
          <w:noProof w:val="0"/>
          <w:rtl/>
        </w:rPr>
        <w:t xml:space="preserve">בסוף חודש אוגוסט 2014 ותחילת חודש ספטמבר 2014, היו מספר תכתובות דוא"ל בין התובע לבין ב"כ הנתבעת, בעקבות הצעת התובע לרכוש את זכויות הנתבעת בדירה. </w:t>
      </w:r>
      <w:r w:rsidRPr="00A952C6">
        <w:rPr>
          <w:rFonts w:ascii="Arial" w:hAnsi="Arial"/>
          <w:noProof w:val="0"/>
          <w:rtl/>
        </w:rPr>
        <w:t>ביום 31.8.2014 כתב התובע לב"כ הנתבעת, כי הוא מעוניין לרכוש את זכויות הנתבעת בדירה לפי שווי של</w:t>
      </w:r>
      <w:r>
        <w:rPr>
          <w:rFonts w:ascii="Arial" w:hAnsi="Arial"/>
          <w:noProof w:val="0"/>
          <w:rtl/>
        </w:rPr>
        <w:t xml:space="preserve">               </w:t>
      </w:r>
      <w:r w:rsidRPr="00A952C6">
        <w:rPr>
          <w:rFonts w:ascii="Arial" w:hAnsi="Arial"/>
          <w:noProof w:val="0"/>
          <w:rtl/>
        </w:rPr>
        <w:t xml:space="preserve"> 1,900,000 ₪</w:t>
      </w:r>
      <w:r>
        <w:rPr>
          <w:rFonts w:ascii="Arial" w:hAnsi="Arial"/>
          <w:noProof w:val="0"/>
          <w:rtl/>
        </w:rPr>
        <w:t xml:space="preserve">. </w:t>
      </w:r>
    </w:p>
    <w:p w14:paraId="74187582" w14:textId="77777777" w:rsidR="006F6013" w:rsidRDefault="006F6013" w:rsidP="0090051A">
      <w:pPr>
        <w:pStyle w:val="10"/>
        <w:spacing w:line="360" w:lineRule="auto"/>
        <w:ind w:left="360"/>
        <w:jc w:val="both"/>
        <w:rPr>
          <w:rFonts w:ascii="Arial" w:hAnsi="Arial"/>
          <w:noProof w:val="0"/>
        </w:rPr>
      </w:pPr>
    </w:p>
    <w:p w14:paraId="6960EDE4" w14:textId="77777777" w:rsidR="006F6013" w:rsidRPr="0090051A" w:rsidRDefault="00000000" w:rsidP="0090051A">
      <w:pPr>
        <w:pStyle w:val="10"/>
        <w:numPr>
          <w:ilvl w:val="0"/>
          <w:numId w:val="1"/>
        </w:numPr>
        <w:spacing w:line="360" w:lineRule="auto"/>
        <w:jc w:val="both"/>
        <w:rPr>
          <w:rFonts w:ascii="Arial" w:hAnsi="Arial"/>
          <w:noProof w:val="0"/>
        </w:rPr>
      </w:pPr>
      <w:r w:rsidRPr="0090051A">
        <w:rPr>
          <w:rFonts w:ascii="Arial" w:hAnsi="Arial"/>
          <w:noProof w:val="0"/>
          <w:u w:val="single"/>
          <w:rtl/>
        </w:rPr>
        <w:t>ביום 2.9.2014, השיב ב"כ הנתבעת לתובע כדלהלן</w:t>
      </w:r>
      <w:r w:rsidRPr="0090051A">
        <w:rPr>
          <w:rFonts w:ascii="Arial" w:hAnsi="Arial"/>
          <w:noProof w:val="0"/>
          <w:rtl/>
        </w:rPr>
        <w:t xml:space="preserve">: </w:t>
      </w:r>
    </w:p>
    <w:p w14:paraId="469332CC"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"שלום לך</w:t>
      </w:r>
    </w:p>
    <w:p w14:paraId="18109653"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מרשתי מסכימה למכור את חלקה לך בעסקת מזומן מהירה.</w:t>
      </w:r>
    </w:p>
    <w:p w14:paraId="4F63BC4D"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יערך הסכם גירושין מתוקן, תבוצע העברה אגב גירושין ללא מס כל שהוא</w:t>
      </w:r>
    </w:p>
    <w:p w14:paraId="403BC11F"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 xml:space="preserve">המשכנתא תפרע או תעבור לחובתך בלבד – </w:t>
      </w:r>
    </w:p>
    <w:p w14:paraId="4F6C925C"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ומרשתי תקבל את מלוא הסכום שנותר לזכותה.</w:t>
      </w:r>
    </w:p>
    <w:p w14:paraId="1337B3EF"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 xml:space="preserve">עד לקבלת מלוא הסכום – דמי השכירות יחולקו. </w:t>
      </w:r>
    </w:p>
    <w:p w14:paraId="5AFE8980"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 xml:space="preserve">במידה ולא יחתם הסכם בתוך זמן קצר – </w:t>
      </w:r>
    </w:p>
    <w:p w14:paraId="71EDDDBF"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ההצעה מבוטלת ולא יהיה מנוס ממינוי כונס נכסים</w:t>
      </w:r>
    </w:p>
    <w:p w14:paraId="4D60D7F4" w14:textId="77777777" w:rsidR="006F6013" w:rsidRPr="00E76646" w:rsidRDefault="00000000" w:rsidP="00CF19F0">
      <w:pPr>
        <w:pStyle w:val="10"/>
        <w:spacing w:line="360" w:lineRule="auto"/>
        <w:ind w:left="907"/>
        <w:jc w:val="both"/>
        <w:rPr>
          <w:rFonts w:ascii="Arial" w:hAnsi="Arial"/>
          <w:b/>
          <w:bCs/>
          <w:noProof w:val="0"/>
          <w:rtl/>
        </w:rPr>
      </w:pPr>
      <w:r w:rsidRPr="00E76646">
        <w:rPr>
          <w:rFonts w:ascii="Arial" w:hAnsi="Arial"/>
          <w:b/>
          <w:bCs/>
          <w:noProof w:val="0"/>
          <w:rtl/>
        </w:rPr>
        <w:t>בכבוד רב</w:t>
      </w:r>
    </w:p>
    <w:p w14:paraId="17499751" w14:textId="77777777" w:rsidR="006F6013" w:rsidRDefault="00000000" w:rsidP="00CF19F0">
      <w:pPr>
        <w:pStyle w:val="10"/>
        <w:spacing w:line="360" w:lineRule="auto"/>
        <w:ind w:left="907"/>
        <w:jc w:val="both"/>
        <w:rPr>
          <w:rFonts w:ascii="Arial" w:hAnsi="Arial"/>
          <w:noProof w:val="0"/>
          <w:rtl/>
        </w:rPr>
      </w:pPr>
      <w:r>
        <w:rPr>
          <w:rFonts w:ascii="Arial" w:hAnsi="Arial"/>
          <w:b/>
          <w:bCs/>
          <w:noProof w:val="0"/>
        </w:rPr>
        <w:t>xxxx</w:t>
      </w:r>
      <w:r w:rsidRPr="00E76646">
        <w:rPr>
          <w:rFonts w:ascii="Arial" w:hAnsi="Arial"/>
          <w:b/>
          <w:bCs/>
          <w:noProof w:val="0"/>
          <w:rtl/>
        </w:rPr>
        <w:t>, עו"ד".</w:t>
      </w:r>
      <w:r>
        <w:rPr>
          <w:rFonts w:ascii="Arial" w:hAnsi="Arial"/>
          <w:noProof w:val="0"/>
          <w:rtl/>
        </w:rPr>
        <w:t xml:space="preserve"> </w:t>
      </w:r>
    </w:p>
    <w:p w14:paraId="7D3EB293" w14:textId="77777777" w:rsidR="006F6013" w:rsidRDefault="006F6013" w:rsidP="00C0321A">
      <w:pPr>
        <w:pStyle w:val="10"/>
        <w:spacing w:line="360" w:lineRule="auto"/>
        <w:ind w:left="792"/>
        <w:jc w:val="both"/>
        <w:rPr>
          <w:rFonts w:ascii="Arial" w:hAnsi="Arial"/>
          <w:noProof w:val="0"/>
          <w:rtl/>
        </w:rPr>
      </w:pPr>
    </w:p>
    <w:p w14:paraId="69559B6C" w14:textId="77777777" w:rsidR="006F6013" w:rsidRDefault="00000000" w:rsidP="00594CED">
      <w:pPr>
        <w:pStyle w:val="10"/>
        <w:numPr>
          <w:ilvl w:val="0"/>
          <w:numId w:val="1"/>
        </w:numPr>
        <w:spacing w:line="360" w:lineRule="auto"/>
        <w:jc w:val="both"/>
        <w:rPr>
          <w:rFonts w:ascii="Arial" w:hAnsi="Arial"/>
          <w:noProof w:val="0"/>
        </w:rPr>
      </w:pPr>
      <w:r>
        <w:rPr>
          <w:rFonts w:ascii="Arial" w:hAnsi="Arial"/>
          <w:noProof w:val="0"/>
          <w:rtl/>
        </w:rPr>
        <w:t xml:space="preserve">בסופו של יום, לא בוצעה עסקת המכר, מאחר והנתבעת התנתה חתימתה בהסכם גירושין כולל. </w:t>
      </w:r>
    </w:p>
    <w:p w14:paraId="14387F57" w14:textId="77777777" w:rsidR="006F6013" w:rsidRDefault="006F6013" w:rsidP="00805FEA">
      <w:pPr>
        <w:pStyle w:val="10"/>
        <w:spacing w:line="360" w:lineRule="auto"/>
        <w:ind w:left="792"/>
        <w:jc w:val="both"/>
        <w:rPr>
          <w:rFonts w:ascii="Arial" w:hAnsi="Arial"/>
          <w:noProof w:val="0"/>
        </w:rPr>
      </w:pPr>
    </w:p>
    <w:p w14:paraId="5679DECE" w14:textId="77777777" w:rsidR="006F6013" w:rsidRDefault="00000000" w:rsidP="00594CED">
      <w:pPr>
        <w:pStyle w:val="10"/>
        <w:numPr>
          <w:ilvl w:val="0"/>
          <w:numId w:val="1"/>
        </w:numPr>
        <w:spacing w:line="360" w:lineRule="auto"/>
        <w:jc w:val="both"/>
        <w:rPr>
          <w:rFonts w:ascii="Arial" w:hAnsi="Arial"/>
          <w:noProof w:val="0"/>
        </w:rPr>
      </w:pPr>
      <w:r>
        <w:rPr>
          <w:rFonts w:ascii="Arial" w:hAnsi="Arial"/>
          <w:noProof w:val="0"/>
          <w:rtl/>
        </w:rPr>
        <w:t xml:space="preserve">התובע הגיש תביעה למתן פסק-דין הצהרתי לפיו, ביום 2.9.2014, ועל סמך ההתכתבויות בדוא"ל בין התובע לבין ב"כ הנתבעת, רכש התובע את זכויות הנתבעת בדירה, בתמורה לתשלום של מחצית ההפרש שבין 1,900,000 ₪ לבין יתרת המשכנתא לסילוק.  </w:t>
      </w:r>
    </w:p>
    <w:p w14:paraId="1C657980" w14:textId="77777777" w:rsidR="006F6013" w:rsidRDefault="00000000" w:rsidP="003064E7">
      <w:pPr>
        <w:pStyle w:val="10"/>
        <w:numPr>
          <w:ilvl w:val="0"/>
          <w:numId w:val="1"/>
        </w:numPr>
        <w:spacing w:line="360" w:lineRule="auto"/>
        <w:jc w:val="both"/>
        <w:rPr>
          <w:rFonts w:ascii="Arial" w:hAnsi="Arial"/>
          <w:noProof w:val="0"/>
        </w:rPr>
      </w:pPr>
      <w:r>
        <w:rPr>
          <w:rFonts w:ascii="Arial" w:hAnsi="Arial"/>
          <w:noProof w:val="0"/>
          <w:rtl/>
        </w:rPr>
        <w:t>בית המשפט לענייני משפחה, כב' השופטת איריס ארבל-אסל,</w:t>
      </w:r>
      <w:r w:rsidRPr="006E10DF">
        <w:rPr>
          <w:rFonts w:ascii="Arial" w:hAnsi="Arial"/>
          <w:noProof w:val="0"/>
          <w:rtl/>
        </w:rPr>
        <w:t xml:space="preserve"> </w:t>
      </w:r>
      <w:r w:rsidRPr="00A74F7B">
        <w:rPr>
          <w:rFonts w:ascii="Arial" w:hAnsi="Arial"/>
          <w:noProof w:val="0"/>
          <w:u w:val="single"/>
          <w:rtl/>
        </w:rPr>
        <w:t>דח</w:t>
      </w:r>
      <w:r>
        <w:rPr>
          <w:rFonts w:ascii="Arial" w:hAnsi="Arial"/>
          <w:noProof w:val="0"/>
          <w:u w:val="single"/>
          <w:rtl/>
        </w:rPr>
        <w:t>ת</w:t>
      </w:r>
      <w:r w:rsidRPr="00A74F7B">
        <w:rPr>
          <w:rFonts w:ascii="Arial" w:hAnsi="Arial"/>
          <w:noProof w:val="0"/>
          <w:u w:val="single"/>
          <w:rtl/>
        </w:rPr>
        <w:t>ה את התביעה</w:t>
      </w:r>
      <w:r w:rsidRPr="006E10DF">
        <w:rPr>
          <w:rFonts w:ascii="Arial" w:hAnsi="Arial"/>
          <w:noProof w:val="0"/>
          <w:rtl/>
        </w:rPr>
        <w:t xml:space="preserve">. </w:t>
      </w:r>
    </w:p>
    <w:p w14:paraId="7BF2F638" w14:textId="77777777" w:rsidR="006F6013" w:rsidRPr="0090051A" w:rsidRDefault="006F6013" w:rsidP="0090051A">
      <w:pPr>
        <w:pStyle w:val="10"/>
        <w:spacing w:line="360" w:lineRule="auto"/>
        <w:ind w:left="360"/>
        <w:jc w:val="both"/>
        <w:rPr>
          <w:rFonts w:ascii="Arial" w:hAnsi="Arial"/>
          <w:b/>
          <w:bCs/>
          <w:noProof w:val="0"/>
        </w:rPr>
      </w:pPr>
    </w:p>
    <w:p w14:paraId="32DCB090" w14:textId="77777777" w:rsidR="006F6013" w:rsidRPr="006E10DF" w:rsidRDefault="00000000" w:rsidP="0090051A">
      <w:pPr>
        <w:pStyle w:val="10"/>
        <w:numPr>
          <w:ilvl w:val="0"/>
          <w:numId w:val="1"/>
        </w:numPr>
        <w:spacing w:line="360" w:lineRule="auto"/>
        <w:jc w:val="both"/>
        <w:rPr>
          <w:rFonts w:ascii="Arial" w:hAnsi="Arial"/>
          <w:b/>
          <w:bCs/>
          <w:noProof w:val="0"/>
        </w:rPr>
      </w:pPr>
      <w:r w:rsidRPr="006E10DF">
        <w:rPr>
          <w:rFonts w:ascii="Arial" w:hAnsi="Arial"/>
          <w:noProof w:val="0"/>
          <w:rtl/>
        </w:rPr>
        <w:t>ערעו</w:t>
      </w:r>
      <w:r>
        <w:rPr>
          <w:rFonts w:ascii="Arial" w:hAnsi="Arial"/>
          <w:noProof w:val="0"/>
          <w:rtl/>
        </w:rPr>
        <w:t>ר שהגיש התובע לבית המשפט המחוזי,</w:t>
      </w:r>
      <w:r w:rsidRPr="006E10DF">
        <w:rPr>
          <w:rFonts w:ascii="Arial" w:hAnsi="Arial"/>
          <w:noProof w:val="0"/>
          <w:rtl/>
        </w:rPr>
        <w:t xml:space="preserve"> </w:t>
      </w:r>
      <w:r w:rsidRPr="00A74F7B">
        <w:rPr>
          <w:rFonts w:ascii="Arial" w:hAnsi="Arial"/>
          <w:noProof w:val="0"/>
          <w:u w:val="single"/>
          <w:rtl/>
        </w:rPr>
        <w:t xml:space="preserve">התקבל </w:t>
      </w:r>
      <w:r w:rsidRPr="006E10DF">
        <w:rPr>
          <w:rFonts w:ascii="Arial" w:hAnsi="Arial"/>
          <w:noProof w:val="0"/>
          <w:rtl/>
        </w:rPr>
        <w:t>(</w:t>
      </w:r>
      <w:hyperlink r:id="rId7" w:history="1">
        <w:r w:rsidR="00BD7105" w:rsidRPr="00BD7105">
          <w:rPr>
            <w:rFonts w:ascii="Arial" w:hAnsi="Arial"/>
            <w:noProof w:val="0"/>
            <w:color w:val="0000FF"/>
            <w:u w:val="single"/>
            <w:rtl/>
          </w:rPr>
          <w:t>עמ"ש 26328-10-17</w:t>
        </w:r>
      </w:hyperlink>
      <w:r w:rsidRPr="006E10DF">
        <w:rPr>
          <w:rFonts w:ascii="Arial" w:hAnsi="Arial"/>
          <w:noProof w:val="0"/>
          <w:rtl/>
        </w:rPr>
        <w:t xml:space="preserve"> </w:t>
      </w:r>
      <w:r w:rsidRPr="00E76646">
        <w:rPr>
          <w:rFonts w:ascii="Arial" w:hAnsi="Arial"/>
          <w:b/>
          <w:bCs/>
          <w:noProof w:val="0"/>
          <w:rtl/>
        </w:rPr>
        <w:t>א</w:t>
      </w:r>
      <w:r>
        <w:rPr>
          <w:rFonts w:ascii="Arial" w:hAnsi="Arial"/>
          <w:b/>
          <w:bCs/>
          <w:noProof w:val="0"/>
          <w:rtl/>
        </w:rPr>
        <w:t xml:space="preserve">.כ </w:t>
      </w:r>
      <w:r w:rsidRPr="00E76646">
        <w:rPr>
          <w:rFonts w:ascii="Arial" w:hAnsi="Arial"/>
          <w:b/>
          <w:bCs/>
          <w:noProof w:val="0"/>
          <w:rtl/>
        </w:rPr>
        <w:t>נ' ח</w:t>
      </w:r>
      <w:r>
        <w:rPr>
          <w:rFonts w:ascii="Arial" w:hAnsi="Arial"/>
          <w:b/>
          <w:bCs/>
          <w:noProof w:val="0"/>
          <w:rtl/>
        </w:rPr>
        <w:t>.ר</w:t>
      </w:r>
      <w:r w:rsidRPr="006E10DF">
        <w:rPr>
          <w:rFonts w:ascii="Arial" w:hAnsi="Arial"/>
          <w:noProof w:val="0"/>
          <w:rtl/>
        </w:rPr>
        <w:t xml:space="preserve"> [פורסם בנבו] 10.2.2019</w:t>
      </w:r>
      <w:r>
        <w:rPr>
          <w:rFonts w:ascii="Arial" w:hAnsi="Arial"/>
          <w:noProof w:val="0"/>
          <w:rtl/>
        </w:rPr>
        <w:t>)</w:t>
      </w:r>
      <w:r w:rsidRPr="006E10DF">
        <w:rPr>
          <w:rFonts w:ascii="Arial" w:hAnsi="Arial"/>
          <w:noProof w:val="0"/>
          <w:rtl/>
        </w:rPr>
        <w:t xml:space="preserve">. בית המשפט המחוזי קבע, כי </w:t>
      </w:r>
      <w:r w:rsidRPr="006E10DF">
        <w:rPr>
          <w:rFonts w:ascii="Arial" w:hAnsi="Arial"/>
          <w:b/>
          <w:bCs/>
          <w:noProof w:val="0"/>
          <w:rtl/>
        </w:rPr>
        <w:t xml:space="preserve">"יש לקבל את הערעור, ולתת פסק דין הצהרתי לפיו ביום 2.9.2014 ולכל המאוחר ביום 5.9.2014, נכרת בין הצדדים הסכם 'אגב גירושין' לפיו רכש המערער מהמשיבה את זכויותיה בדירה על פי שווי דירה של 1.9 מיליון ₪ ולפיכך דין תביעת המערער לאכיפת הסכם המכר – להתקבל. לסכום של 1.9 מיליון ₪ יצורפו הפרשי הצמדה מיום 2.9.2014". </w:t>
      </w:r>
    </w:p>
    <w:p w14:paraId="576E65A5" w14:textId="77777777" w:rsidR="006F6013" w:rsidRDefault="006F6013" w:rsidP="00594CED">
      <w:pPr>
        <w:pStyle w:val="10"/>
        <w:spacing w:line="360" w:lineRule="auto"/>
        <w:rPr>
          <w:rFonts w:ascii="Arial" w:hAnsi="Arial"/>
          <w:noProof w:val="0"/>
          <w:rtl/>
        </w:rPr>
      </w:pPr>
    </w:p>
    <w:p w14:paraId="413E42E8" w14:textId="77777777" w:rsidR="006F6013" w:rsidRDefault="00000000" w:rsidP="008F79B2">
      <w:pPr>
        <w:pStyle w:val="10"/>
        <w:numPr>
          <w:ilvl w:val="0"/>
          <w:numId w:val="1"/>
        </w:numPr>
        <w:spacing w:line="360" w:lineRule="auto"/>
        <w:jc w:val="both"/>
        <w:rPr>
          <w:rFonts w:ascii="Arial" w:hAnsi="Arial"/>
          <w:noProof w:val="0"/>
          <w:rtl/>
        </w:rPr>
      </w:pPr>
      <w:r>
        <w:rPr>
          <w:rFonts w:ascii="Arial" w:hAnsi="Arial"/>
          <w:noProof w:val="0"/>
          <w:rtl/>
        </w:rPr>
        <w:t>אם כן, בפסק-הדין נקבע, כי התובע רכש את זכויות הנתבעת ביום 2.9.2014 ולכל המאוחר ביום 5.9.2014. פסק-הדין אושר בבית המשפט העליון (</w:t>
      </w:r>
      <w:hyperlink r:id="rId8" w:history="1">
        <w:r w:rsidR="00BD7105" w:rsidRPr="00BD7105">
          <w:rPr>
            <w:rFonts w:ascii="Arial" w:hAnsi="Arial"/>
            <w:noProof w:val="0"/>
            <w:color w:val="0000FF"/>
            <w:u w:val="single"/>
            <w:rtl/>
          </w:rPr>
          <w:t>בע"מ 1796/19</w:t>
        </w:r>
      </w:hyperlink>
      <w:r>
        <w:rPr>
          <w:rFonts w:ascii="Arial" w:hAnsi="Arial"/>
          <w:noProof w:val="0"/>
          <w:rtl/>
        </w:rPr>
        <w:t xml:space="preserve"> </w:t>
      </w:r>
      <w:r w:rsidRPr="00094D46">
        <w:rPr>
          <w:rFonts w:ascii="Arial" w:hAnsi="Arial"/>
          <w:b/>
          <w:bCs/>
          <w:noProof w:val="0"/>
          <w:rtl/>
        </w:rPr>
        <w:t>פלונית נ' פלוני</w:t>
      </w:r>
      <w:r>
        <w:rPr>
          <w:rFonts w:ascii="Arial" w:hAnsi="Arial"/>
          <w:noProof w:val="0"/>
          <w:rtl/>
        </w:rPr>
        <w:t xml:space="preserve"> [פורסם בנבו] 22.5.2019). </w:t>
      </w:r>
    </w:p>
    <w:p w14:paraId="0C99A191" w14:textId="77777777" w:rsidR="006F6013" w:rsidRDefault="006F6013" w:rsidP="005B4FD6">
      <w:pPr>
        <w:pStyle w:val="10"/>
        <w:spacing w:line="360" w:lineRule="auto"/>
        <w:jc w:val="both"/>
        <w:rPr>
          <w:rFonts w:ascii="Arial" w:hAnsi="Arial"/>
          <w:noProof w:val="0"/>
          <w:rtl/>
        </w:rPr>
      </w:pPr>
    </w:p>
    <w:p w14:paraId="7CD7DEA3" w14:textId="77777777" w:rsidR="006F6013" w:rsidRDefault="00000000" w:rsidP="00BD717F">
      <w:pPr>
        <w:pStyle w:val="10"/>
        <w:numPr>
          <w:ilvl w:val="0"/>
          <w:numId w:val="1"/>
        </w:numPr>
        <w:spacing w:line="360" w:lineRule="auto"/>
        <w:jc w:val="both"/>
        <w:rPr>
          <w:rFonts w:ascii="Arial" w:hAnsi="Arial"/>
          <w:noProof w:val="0"/>
        </w:rPr>
      </w:pPr>
      <w:r w:rsidRPr="0045749E">
        <w:rPr>
          <w:rFonts w:ascii="Arial" w:hAnsi="Arial"/>
          <w:noProof w:val="0"/>
          <w:rtl/>
        </w:rPr>
        <w:t>ביום 15.3.2023, הגיש התובע את התביעה הכספית בסך של 548,514 ₪, ובמרכזה עתר להשבה כספית בסך של 105,884 ₪ (ל</w:t>
      </w:r>
      <w:r>
        <w:rPr>
          <w:rFonts w:ascii="Arial" w:hAnsi="Arial"/>
          <w:noProof w:val="0"/>
          <w:rtl/>
        </w:rPr>
        <w:t>פני</w:t>
      </w:r>
      <w:r w:rsidRPr="0045749E">
        <w:rPr>
          <w:rFonts w:ascii="Arial" w:hAnsi="Arial"/>
          <w:noProof w:val="0"/>
          <w:rtl/>
        </w:rPr>
        <w:t xml:space="preserve"> שערוך) בגין דמי שכירות שקיבלה הנתבעת בתקופה </w:t>
      </w:r>
      <w:r>
        <w:rPr>
          <w:rFonts w:ascii="Arial" w:hAnsi="Arial"/>
          <w:noProof w:val="0"/>
          <w:rtl/>
        </w:rPr>
        <w:t>שמאז ספטמבר 2014 ועד יולי 2018;</w:t>
      </w:r>
      <w:r w:rsidRPr="0045749E">
        <w:rPr>
          <w:rFonts w:ascii="Arial" w:hAnsi="Arial"/>
          <w:noProof w:val="0"/>
          <w:rtl/>
        </w:rPr>
        <w:t xml:space="preserve"> ו</w:t>
      </w:r>
      <w:r>
        <w:rPr>
          <w:rFonts w:ascii="Arial" w:hAnsi="Arial"/>
          <w:noProof w:val="0"/>
          <w:rtl/>
        </w:rPr>
        <w:t>לפיצוי ב</w:t>
      </w:r>
      <w:r w:rsidRPr="0045749E">
        <w:rPr>
          <w:rFonts w:ascii="Arial" w:hAnsi="Arial"/>
          <w:noProof w:val="0"/>
          <w:rtl/>
        </w:rPr>
        <w:t>סך נוסף של 219,394 ₪ המהווה את ההפרש בין דמי השכירות שהתובע</w:t>
      </w:r>
      <w:r>
        <w:rPr>
          <w:rFonts w:ascii="Arial" w:hAnsi="Arial"/>
          <w:noProof w:val="0"/>
          <w:rtl/>
        </w:rPr>
        <w:t xml:space="preserve"> נאלץ לשלם עבור השכרת דירה אחרת </w:t>
      </w:r>
      <w:r w:rsidRPr="0045749E">
        <w:rPr>
          <w:rFonts w:ascii="Arial" w:hAnsi="Arial"/>
          <w:noProof w:val="0"/>
          <w:rtl/>
        </w:rPr>
        <w:t>לבין דמי השכירות שהתקבלו בגין השכרת הדירה (לאחר ניכוי המשכנתא וההוצאות)</w:t>
      </w:r>
      <w:r>
        <w:rPr>
          <w:rFonts w:ascii="Arial" w:hAnsi="Arial"/>
          <w:noProof w:val="0"/>
          <w:rtl/>
        </w:rPr>
        <w:t>.</w:t>
      </w:r>
    </w:p>
    <w:p w14:paraId="0084FE71" w14:textId="77777777" w:rsidR="006F6013" w:rsidRPr="0045749E" w:rsidRDefault="006F6013" w:rsidP="0045749E">
      <w:pPr>
        <w:spacing w:line="360" w:lineRule="auto"/>
        <w:jc w:val="both"/>
        <w:rPr>
          <w:rFonts w:ascii="Arial" w:hAnsi="Arial"/>
          <w:noProof w:val="0"/>
          <w:rtl/>
        </w:rPr>
      </w:pPr>
    </w:p>
    <w:p w14:paraId="0921E5D5" w14:textId="77777777" w:rsidR="006F6013" w:rsidRDefault="00000000" w:rsidP="00D60391">
      <w:pPr>
        <w:pStyle w:val="10"/>
        <w:numPr>
          <w:ilvl w:val="0"/>
          <w:numId w:val="1"/>
        </w:numPr>
        <w:spacing w:line="360" w:lineRule="auto"/>
        <w:jc w:val="both"/>
        <w:rPr>
          <w:rFonts w:ascii="Arial" w:hAnsi="Arial"/>
          <w:noProof w:val="0"/>
        </w:rPr>
      </w:pPr>
      <w:r>
        <w:rPr>
          <w:rFonts w:ascii="Arial" w:hAnsi="Arial"/>
          <w:noProof w:val="0"/>
          <w:rtl/>
        </w:rPr>
        <w:t xml:space="preserve">ביום 8.9.2024, התקיים דיון הוכחות ממושך; בפתח הדיון נעשה ניסיון להביא את הצדדים להסכמות, ולו אף להסכמות חלקיות, אולם ניסיון זה לא צלח, ולא היה מנוס אלא לשמוע את חקירות הצדדים. הצדדים הגישו סיכומיהם והגיעה העת להכרעה [התובע הגיש את סיכומי התשובה ביום 26.2.2025]. </w:t>
      </w:r>
    </w:p>
    <w:p w14:paraId="747AD95E" w14:textId="77777777" w:rsidR="006F6013" w:rsidRPr="00D826C8" w:rsidRDefault="006F6013" w:rsidP="00D826C8">
      <w:pPr>
        <w:spacing w:line="360" w:lineRule="auto"/>
        <w:jc w:val="both"/>
        <w:rPr>
          <w:rFonts w:ascii="Arial" w:hAnsi="Arial"/>
          <w:noProof w:val="0"/>
        </w:rPr>
      </w:pPr>
    </w:p>
    <w:p w14:paraId="27F1F14F" w14:textId="77777777" w:rsidR="006F6013" w:rsidRPr="00594CED" w:rsidRDefault="00000000" w:rsidP="00594CED">
      <w:pPr>
        <w:spacing w:line="360" w:lineRule="auto"/>
        <w:jc w:val="both"/>
        <w:rPr>
          <w:rFonts w:ascii="Arial" w:hAnsi="Arial"/>
          <w:b/>
          <w:bCs/>
          <w:noProof w:val="0"/>
          <w:u w:val="single"/>
        </w:rPr>
      </w:pPr>
      <w:r w:rsidRPr="00594CED">
        <w:rPr>
          <w:rFonts w:ascii="Arial" w:hAnsi="Arial"/>
          <w:b/>
          <w:bCs/>
          <w:noProof w:val="0"/>
          <w:u w:val="single"/>
          <w:rtl/>
        </w:rPr>
        <w:t>תמצית טענות התובע</w:t>
      </w:r>
    </w:p>
    <w:p w14:paraId="07C33334" w14:textId="77777777" w:rsidR="006F6013" w:rsidRDefault="006F6013" w:rsidP="00D826C8">
      <w:pPr>
        <w:pStyle w:val="10"/>
        <w:spacing w:line="360" w:lineRule="auto"/>
        <w:ind w:left="360"/>
        <w:jc w:val="both"/>
        <w:rPr>
          <w:rFonts w:ascii="Arial" w:hAnsi="Arial"/>
          <w:noProof w:val="0"/>
        </w:rPr>
      </w:pPr>
    </w:p>
    <w:p w14:paraId="668FFAA6" w14:textId="77777777" w:rsidR="006F6013" w:rsidRDefault="00000000" w:rsidP="008F79B2">
      <w:pPr>
        <w:pStyle w:val="10"/>
        <w:numPr>
          <w:ilvl w:val="0"/>
          <w:numId w:val="1"/>
        </w:numPr>
        <w:spacing w:line="360" w:lineRule="auto"/>
        <w:jc w:val="both"/>
        <w:rPr>
          <w:rFonts w:ascii="Arial" w:hAnsi="Arial"/>
          <w:noProof w:val="0"/>
        </w:rPr>
      </w:pPr>
      <w:r w:rsidRPr="00CF19F0">
        <w:rPr>
          <w:rFonts w:ascii="Arial" w:hAnsi="Arial"/>
          <w:noProof w:val="0"/>
          <w:rtl/>
        </w:rPr>
        <w:t xml:space="preserve">בהסכם נקבע, כי </w:t>
      </w:r>
      <w:r w:rsidRPr="00212271">
        <w:rPr>
          <w:rFonts w:ascii="Arial" w:hAnsi="Arial"/>
          <w:noProof w:val="0"/>
          <w:rtl/>
        </w:rPr>
        <w:t>עד למכירת הדירה,</w:t>
      </w:r>
      <w:r w:rsidRPr="00CF19F0">
        <w:rPr>
          <w:rFonts w:ascii="Arial" w:hAnsi="Arial"/>
          <w:noProof w:val="0"/>
          <w:rtl/>
        </w:rPr>
        <w:t xml:space="preserve"> דמי השכירות </w:t>
      </w:r>
      <w:r>
        <w:rPr>
          <w:rFonts w:ascii="Arial" w:hAnsi="Arial"/>
          <w:noProof w:val="0"/>
          <w:rtl/>
        </w:rPr>
        <w:t xml:space="preserve">יתחלקו בין הצדדים. על פי </w:t>
      </w:r>
      <w:r w:rsidRPr="00CF19F0">
        <w:rPr>
          <w:rFonts w:ascii="Arial" w:hAnsi="Arial"/>
          <w:noProof w:val="0"/>
          <w:rtl/>
        </w:rPr>
        <w:t>פסק-הדין, החל מיום 2.9.2014 ולכל המאוחר מיום 5.9.2014, הנתבעת מכרה את זכויותיה בדירה</w:t>
      </w:r>
      <w:r>
        <w:rPr>
          <w:rFonts w:ascii="Arial" w:hAnsi="Arial"/>
          <w:noProof w:val="0"/>
          <w:rtl/>
        </w:rPr>
        <w:t xml:space="preserve">, ולכן ממועד זה </w:t>
      </w:r>
      <w:r w:rsidRPr="00CF19F0">
        <w:rPr>
          <w:rFonts w:ascii="Arial" w:hAnsi="Arial"/>
          <w:noProof w:val="0"/>
          <w:rtl/>
        </w:rPr>
        <w:t>היא אינה זכאית לקבל כל חלק מדמי השכירות</w:t>
      </w:r>
      <w:r>
        <w:rPr>
          <w:rFonts w:ascii="Arial" w:hAnsi="Arial"/>
          <w:noProof w:val="0"/>
          <w:rtl/>
        </w:rPr>
        <w:t xml:space="preserve"> והתובע זכאי לקבל את מלוא דמי השכירות</w:t>
      </w:r>
      <w:r w:rsidRPr="00CF19F0">
        <w:rPr>
          <w:rFonts w:ascii="Arial" w:hAnsi="Arial"/>
          <w:noProof w:val="0"/>
          <w:rtl/>
        </w:rPr>
        <w:t xml:space="preserve">. </w:t>
      </w:r>
    </w:p>
    <w:p w14:paraId="3C8FAB50" w14:textId="77777777" w:rsidR="006F6013" w:rsidRDefault="006F6013" w:rsidP="00594CED">
      <w:pPr>
        <w:pStyle w:val="10"/>
        <w:spacing w:line="360" w:lineRule="auto"/>
        <w:ind w:left="360"/>
        <w:jc w:val="both"/>
        <w:rPr>
          <w:rFonts w:ascii="Arial" w:hAnsi="Arial"/>
          <w:noProof w:val="0"/>
        </w:rPr>
      </w:pPr>
    </w:p>
    <w:p w14:paraId="6EAC0350" w14:textId="77777777" w:rsidR="006F6013" w:rsidRPr="00594CED" w:rsidRDefault="00000000" w:rsidP="00A74F7B">
      <w:pPr>
        <w:pStyle w:val="10"/>
        <w:numPr>
          <w:ilvl w:val="0"/>
          <w:numId w:val="1"/>
        </w:numPr>
        <w:spacing w:line="360" w:lineRule="auto"/>
        <w:jc w:val="both"/>
        <w:rPr>
          <w:rFonts w:ascii="Arial" w:hAnsi="Arial"/>
          <w:noProof w:val="0"/>
        </w:rPr>
      </w:pPr>
      <w:r>
        <w:rPr>
          <w:rFonts w:ascii="Arial" w:hAnsi="Arial"/>
          <w:noProof w:val="0"/>
          <w:rtl/>
        </w:rPr>
        <w:t xml:space="preserve">עד שניתן פסק-הדין, </w:t>
      </w:r>
      <w:r w:rsidRPr="00594CED">
        <w:rPr>
          <w:rFonts w:ascii="Arial" w:hAnsi="Arial"/>
          <w:noProof w:val="0"/>
          <w:rtl/>
        </w:rPr>
        <w:t xml:space="preserve">התובע גבה את דמי השכירות בגין השכרת הדירה, מהם שילם את החזרי המשכנתא, ומחצית מהיתרה העביר לנתבעת. לאור קביעות </w:t>
      </w:r>
      <w:r>
        <w:rPr>
          <w:rFonts w:ascii="Arial" w:hAnsi="Arial"/>
          <w:noProof w:val="0"/>
          <w:rtl/>
        </w:rPr>
        <w:t>פסק-הדין,</w:t>
      </w:r>
      <w:r w:rsidRPr="00594CED">
        <w:rPr>
          <w:rFonts w:ascii="Arial" w:hAnsi="Arial"/>
          <w:noProof w:val="0"/>
          <w:rtl/>
        </w:rPr>
        <w:t xml:space="preserve"> שהכיר בתוקף הסכם המכר מאז 09/2014, ומכוח </w:t>
      </w:r>
      <w:hyperlink r:id="rId9" w:history="1">
        <w:r w:rsidR="00BD7105" w:rsidRPr="00BD7105">
          <w:rPr>
            <w:rFonts w:ascii="Arial" w:hAnsi="Arial"/>
            <w:noProof w:val="0"/>
            <w:color w:val="0000FF"/>
            <w:u w:val="single"/>
            <w:rtl/>
          </w:rPr>
          <w:t>חוק עשיית עושר ולא במשפט</w:t>
        </w:r>
      </w:hyperlink>
      <w:r w:rsidRPr="00594CED">
        <w:rPr>
          <w:rFonts w:ascii="Arial" w:hAnsi="Arial"/>
          <w:noProof w:val="0"/>
          <w:rtl/>
        </w:rPr>
        <w:t xml:space="preserve">, חלה על הנתבעת </w:t>
      </w:r>
      <w:r w:rsidRPr="00B13034">
        <w:rPr>
          <w:rFonts w:ascii="Arial" w:hAnsi="Arial"/>
          <w:b/>
          <w:bCs/>
          <w:noProof w:val="0"/>
          <w:rtl/>
        </w:rPr>
        <w:t>חובה להשיב לתובע את דמי השכירות</w:t>
      </w:r>
      <w:r>
        <w:rPr>
          <w:rFonts w:ascii="Arial" w:hAnsi="Arial"/>
          <w:noProof w:val="0"/>
          <w:rtl/>
        </w:rPr>
        <w:t xml:space="preserve"> שקיבלה לידיה, </w:t>
      </w:r>
      <w:r w:rsidRPr="00594CED">
        <w:rPr>
          <w:rFonts w:ascii="Arial" w:hAnsi="Arial"/>
          <w:noProof w:val="0"/>
          <w:rtl/>
        </w:rPr>
        <w:t>מאז ספטמבר 2014 ועד יולי 2018</w:t>
      </w:r>
      <w:r>
        <w:rPr>
          <w:rFonts w:ascii="Arial" w:hAnsi="Arial"/>
          <w:noProof w:val="0"/>
          <w:rtl/>
        </w:rPr>
        <w:t xml:space="preserve"> (אז הסתיים חוזה השכירות) ב</w:t>
      </w:r>
      <w:r w:rsidRPr="00594CED">
        <w:rPr>
          <w:rFonts w:ascii="Arial" w:hAnsi="Arial"/>
          <w:noProof w:val="0"/>
          <w:rtl/>
        </w:rPr>
        <w:t>סך של 105,884 ₪ (ל</w:t>
      </w:r>
      <w:r>
        <w:rPr>
          <w:rFonts w:ascii="Arial" w:hAnsi="Arial"/>
          <w:noProof w:val="0"/>
          <w:rtl/>
        </w:rPr>
        <w:t xml:space="preserve">פני שערוך). </w:t>
      </w:r>
    </w:p>
    <w:p w14:paraId="5807F970" w14:textId="77777777" w:rsidR="006F6013" w:rsidRPr="00CF19F0" w:rsidRDefault="006F6013" w:rsidP="00594CED">
      <w:pPr>
        <w:pStyle w:val="10"/>
        <w:spacing w:line="360" w:lineRule="auto"/>
        <w:rPr>
          <w:rFonts w:ascii="Arial" w:hAnsi="Arial"/>
          <w:noProof w:val="0"/>
          <w:rtl/>
        </w:rPr>
      </w:pPr>
    </w:p>
    <w:p w14:paraId="44F934C0" w14:textId="77777777" w:rsidR="006F6013" w:rsidRDefault="00000000" w:rsidP="009F297F">
      <w:pPr>
        <w:pStyle w:val="10"/>
        <w:numPr>
          <w:ilvl w:val="0"/>
          <w:numId w:val="1"/>
        </w:numPr>
        <w:spacing w:line="360" w:lineRule="auto"/>
        <w:jc w:val="both"/>
        <w:rPr>
          <w:rFonts w:ascii="Arial" w:hAnsi="Arial"/>
          <w:noProof w:val="0"/>
        </w:rPr>
      </w:pPr>
      <w:r w:rsidRPr="00015783">
        <w:rPr>
          <w:rFonts w:ascii="Arial" w:hAnsi="Arial"/>
          <w:noProof w:val="0"/>
          <w:rtl/>
        </w:rPr>
        <w:t xml:space="preserve">לטענת התובע, ביולי 2018 הסתיימה תקופת השכירות של שוכרי הדירה, והחל מאוגוסט 2018, סירבה הנתבעת להשכיר את הדירה. התובע עותר לחיוב הנתבעת בפיצוי </w:t>
      </w:r>
      <w:r w:rsidRPr="0073316C">
        <w:rPr>
          <w:rFonts w:ascii="Arial" w:hAnsi="Arial"/>
          <w:noProof w:val="0"/>
          <w:rtl/>
        </w:rPr>
        <w:t xml:space="preserve">בגין </w:t>
      </w:r>
      <w:r w:rsidRPr="00015783">
        <w:rPr>
          <w:rFonts w:ascii="Arial" w:hAnsi="Arial"/>
          <w:b/>
          <w:bCs/>
          <w:noProof w:val="0"/>
          <w:rtl/>
        </w:rPr>
        <w:t>הפסד דמי השכירות</w:t>
      </w:r>
      <w:r>
        <w:rPr>
          <w:rFonts w:ascii="Arial" w:hAnsi="Arial"/>
          <w:noProof w:val="0"/>
          <w:rtl/>
        </w:rPr>
        <w:t xml:space="preserve"> בסך של 58,500 ₪, </w:t>
      </w:r>
      <w:r w:rsidRPr="0073316C">
        <w:rPr>
          <w:rFonts w:ascii="Arial" w:hAnsi="Arial"/>
          <w:noProof w:val="0"/>
          <w:rtl/>
        </w:rPr>
        <w:t>לתקופה שבה הדירה לא הושכרה בעטיה של הנתבעת</w:t>
      </w:r>
      <w:r>
        <w:rPr>
          <w:rFonts w:ascii="Arial" w:hAnsi="Arial"/>
          <w:noProof w:val="0"/>
          <w:rtl/>
        </w:rPr>
        <w:t xml:space="preserve"> (מחודש אוגוסט 2018 ועד פברואר 2019)</w:t>
      </w:r>
      <w:r w:rsidRPr="0073316C">
        <w:rPr>
          <w:rFonts w:ascii="Arial" w:hAnsi="Arial"/>
          <w:noProof w:val="0"/>
          <w:rtl/>
        </w:rPr>
        <w:t xml:space="preserve">. </w:t>
      </w:r>
    </w:p>
    <w:p w14:paraId="27697548" w14:textId="77777777" w:rsidR="006F6013" w:rsidRPr="00015783" w:rsidRDefault="006F6013" w:rsidP="00015783">
      <w:pPr>
        <w:pStyle w:val="10"/>
        <w:spacing w:line="360" w:lineRule="auto"/>
        <w:ind w:left="360"/>
        <w:jc w:val="both"/>
        <w:rPr>
          <w:rFonts w:ascii="Arial" w:hAnsi="Arial"/>
          <w:noProof w:val="0"/>
          <w:rtl/>
        </w:rPr>
      </w:pPr>
    </w:p>
    <w:p w14:paraId="13C5023B" w14:textId="77777777" w:rsidR="006F6013" w:rsidRDefault="00000000" w:rsidP="00594CED">
      <w:pPr>
        <w:pStyle w:val="10"/>
        <w:numPr>
          <w:ilvl w:val="0"/>
          <w:numId w:val="1"/>
        </w:numPr>
        <w:spacing w:line="360" w:lineRule="auto"/>
        <w:jc w:val="both"/>
        <w:rPr>
          <w:rFonts w:ascii="Arial" w:hAnsi="Arial"/>
          <w:noProof w:val="0"/>
        </w:rPr>
      </w:pPr>
      <w:r w:rsidRPr="00CF19F0">
        <w:rPr>
          <w:rFonts w:ascii="Arial" w:hAnsi="Arial"/>
          <w:noProof w:val="0"/>
          <w:rtl/>
        </w:rPr>
        <w:t xml:space="preserve">בתקופה שבה מנעה הנתבעת את השכרת הדירה ועד מועד מתן פסק-הדין (08/2018 ועד 02/2019), שילם התובע ועד בית </w:t>
      </w:r>
      <w:r>
        <w:rPr>
          <w:rFonts w:ascii="Arial" w:hAnsi="Arial"/>
          <w:noProof w:val="0"/>
          <w:rtl/>
        </w:rPr>
        <w:t xml:space="preserve">וארנונה. </w:t>
      </w:r>
      <w:r w:rsidRPr="00CF19F0">
        <w:rPr>
          <w:rFonts w:ascii="Arial" w:hAnsi="Arial"/>
          <w:noProof w:val="0"/>
          <w:rtl/>
        </w:rPr>
        <w:t xml:space="preserve">התובע עותר לחיוב הנתבעת </w:t>
      </w:r>
      <w:r>
        <w:rPr>
          <w:rFonts w:ascii="Arial" w:hAnsi="Arial"/>
          <w:noProof w:val="0"/>
          <w:rtl/>
        </w:rPr>
        <w:t xml:space="preserve">בסך של 250 ₪ בגין </w:t>
      </w:r>
      <w:r w:rsidRPr="00B13034">
        <w:rPr>
          <w:rFonts w:ascii="Arial" w:hAnsi="Arial"/>
          <w:b/>
          <w:bCs/>
          <w:noProof w:val="0"/>
          <w:rtl/>
        </w:rPr>
        <w:t>ועד בית</w:t>
      </w:r>
      <w:r>
        <w:rPr>
          <w:rFonts w:ascii="Arial" w:hAnsi="Arial"/>
          <w:noProof w:val="0"/>
          <w:rtl/>
        </w:rPr>
        <w:t xml:space="preserve"> ובסך של 1,087.31 ₪ בגין </w:t>
      </w:r>
      <w:r w:rsidRPr="00B13034">
        <w:rPr>
          <w:rFonts w:ascii="Arial" w:hAnsi="Arial"/>
          <w:b/>
          <w:bCs/>
          <w:noProof w:val="0"/>
          <w:rtl/>
        </w:rPr>
        <w:t>ארנונה.</w:t>
      </w:r>
      <w:r>
        <w:rPr>
          <w:rFonts w:ascii="Arial" w:hAnsi="Arial"/>
          <w:noProof w:val="0"/>
          <w:rtl/>
        </w:rPr>
        <w:t xml:space="preserve">  </w:t>
      </w:r>
    </w:p>
    <w:p w14:paraId="07F35852" w14:textId="77777777" w:rsidR="006F6013" w:rsidRPr="00CF19F0" w:rsidRDefault="006F6013" w:rsidP="00CF19F0">
      <w:pPr>
        <w:pStyle w:val="10"/>
        <w:spacing w:line="360" w:lineRule="auto"/>
        <w:ind w:left="907"/>
        <w:jc w:val="both"/>
        <w:rPr>
          <w:rFonts w:ascii="Arial" w:hAnsi="Arial"/>
          <w:noProof w:val="0"/>
          <w:rtl/>
        </w:rPr>
      </w:pPr>
    </w:p>
    <w:p w14:paraId="1D8FEED3" w14:textId="77777777" w:rsidR="006F6013" w:rsidRPr="00CF19F0" w:rsidRDefault="00000000" w:rsidP="00B13034">
      <w:pPr>
        <w:pStyle w:val="10"/>
        <w:numPr>
          <w:ilvl w:val="0"/>
          <w:numId w:val="1"/>
        </w:numPr>
        <w:spacing w:line="360" w:lineRule="auto"/>
        <w:jc w:val="both"/>
        <w:rPr>
          <w:rFonts w:ascii="Arial" w:hAnsi="Arial"/>
          <w:noProof w:val="0"/>
        </w:rPr>
      </w:pPr>
      <w:r w:rsidRPr="00CF19F0">
        <w:rPr>
          <w:rFonts w:ascii="Arial" w:hAnsi="Arial"/>
          <w:noProof w:val="0"/>
          <w:rtl/>
        </w:rPr>
        <w:t>בתקופה שבה מנעה הנתבעת את השכרת הדירה, התובע מצא עצמו במצוקה תזרימית; היה עליו לשלם את דמי השכירות של הדירה ששכר למגוריו ולמגורי הבת המשותפת</w:t>
      </w:r>
      <w:r>
        <w:rPr>
          <w:rFonts w:ascii="Arial" w:hAnsi="Arial"/>
          <w:noProof w:val="0"/>
          <w:rtl/>
        </w:rPr>
        <w:t>,</w:t>
      </w:r>
      <w:r w:rsidRPr="00CF19F0">
        <w:rPr>
          <w:rFonts w:ascii="Arial" w:hAnsi="Arial"/>
          <w:noProof w:val="0"/>
          <w:rtl/>
        </w:rPr>
        <w:t xml:space="preserve"> את החזרי המשכנתא ואת מזונות הבת. נוכח המצוקה התזרימית, התובע נטל שתי הלוואות, ושילם בגינן ריבית</w:t>
      </w:r>
      <w:r>
        <w:rPr>
          <w:rFonts w:ascii="Arial" w:hAnsi="Arial"/>
          <w:noProof w:val="0"/>
          <w:rtl/>
        </w:rPr>
        <w:t xml:space="preserve">. התובע עותר </w:t>
      </w:r>
      <w:r w:rsidRPr="00B13034">
        <w:rPr>
          <w:rFonts w:ascii="Arial" w:hAnsi="Arial"/>
          <w:noProof w:val="0"/>
          <w:rtl/>
        </w:rPr>
        <w:t xml:space="preserve">לחיוב הנתבעת </w:t>
      </w:r>
      <w:r w:rsidRPr="00015783">
        <w:rPr>
          <w:rFonts w:ascii="Arial" w:hAnsi="Arial"/>
          <w:b/>
          <w:bCs/>
          <w:noProof w:val="0"/>
          <w:rtl/>
        </w:rPr>
        <w:t>בריבית ששילם בגין ההלוואות</w:t>
      </w:r>
      <w:r>
        <w:rPr>
          <w:rFonts w:ascii="Arial" w:hAnsi="Arial"/>
          <w:noProof w:val="0"/>
          <w:rtl/>
        </w:rPr>
        <w:t xml:space="preserve"> ב</w:t>
      </w:r>
      <w:r w:rsidRPr="00CF19F0">
        <w:rPr>
          <w:rFonts w:ascii="Arial" w:hAnsi="Arial"/>
          <w:noProof w:val="0"/>
          <w:rtl/>
        </w:rPr>
        <w:t>סך של</w:t>
      </w:r>
      <w:r>
        <w:rPr>
          <w:rFonts w:ascii="Arial" w:hAnsi="Arial"/>
          <w:noProof w:val="0"/>
          <w:rtl/>
        </w:rPr>
        <w:t xml:space="preserve"> </w:t>
      </w:r>
      <w:r w:rsidRPr="00CF19F0">
        <w:rPr>
          <w:rFonts w:ascii="Arial" w:hAnsi="Arial"/>
          <w:noProof w:val="0"/>
          <w:rtl/>
        </w:rPr>
        <w:t>2,993 ₪ (ל</w:t>
      </w:r>
      <w:r>
        <w:rPr>
          <w:rFonts w:ascii="Arial" w:hAnsi="Arial"/>
          <w:noProof w:val="0"/>
          <w:rtl/>
        </w:rPr>
        <w:t>פני</w:t>
      </w:r>
      <w:r w:rsidRPr="00CF19F0">
        <w:rPr>
          <w:rFonts w:ascii="Arial" w:hAnsi="Arial"/>
          <w:noProof w:val="0"/>
          <w:rtl/>
        </w:rPr>
        <w:t xml:space="preserve"> שערוך).  </w:t>
      </w:r>
      <w:r>
        <w:rPr>
          <w:rFonts w:ascii="Arial" w:hAnsi="Arial"/>
          <w:noProof w:val="0"/>
          <w:rtl/>
        </w:rPr>
        <w:t xml:space="preserve"> </w:t>
      </w:r>
    </w:p>
    <w:p w14:paraId="35C9CE7F" w14:textId="77777777" w:rsidR="006F6013" w:rsidRDefault="006F6013" w:rsidP="00CF19F0">
      <w:pPr>
        <w:pStyle w:val="10"/>
        <w:spacing w:line="360" w:lineRule="auto"/>
        <w:ind w:left="360"/>
        <w:jc w:val="both"/>
        <w:rPr>
          <w:rFonts w:ascii="Arial" w:hAnsi="Arial"/>
          <w:noProof w:val="0"/>
        </w:rPr>
      </w:pPr>
    </w:p>
    <w:p w14:paraId="1A03C0AC" w14:textId="77777777" w:rsidR="006F6013" w:rsidRDefault="00000000" w:rsidP="0018470B">
      <w:pPr>
        <w:pStyle w:val="10"/>
        <w:numPr>
          <w:ilvl w:val="0"/>
          <w:numId w:val="1"/>
        </w:numPr>
        <w:spacing w:line="360" w:lineRule="auto"/>
        <w:jc w:val="both"/>
        <w:rPr>
          <w:rFonts w:ascii="Arial" w:hAnsi="Arial"/>
          <w:noProof w:val="0"/>
        </w:rPr>
      </w:pPr>
      <w:r w:rsidRPr="00CF19F0">
        <w:rPr>
          <w:rFonts w:ascii="Arial" w:hAnsi="Arial"/>
          <w:noProof w:val="0"/>
          <w:rtl/>
        </w:rPr>
        <w:t xml:space="preserve">בשל </w:t>
      </w:r>
      <w:r>
        <w:rPr>
          <w:rFonts w:ascii="Arial" w:hAnsi="Arial"/>
          <w:noProof w:val="0"/>
          <w:rtl/>
        </w:rPr>
        <w:t>כך</w:t>
      </w:r>
      <w:r w:rsidRPr="00CF19F0">
        <w:rPr>
          <w:rFonts w:ascii="Arial" w:hAnsi="Arial"/>
          <w:noProof w:val="0"/>
          <w:rtl/>
        </w:rPr>
        <w:t xml:space="preserve"> שהנתבעת עיכבה את ביצוע המכר, שילם התובע את </w:t>
      </w:r>
      <w:r w:rsidRPr="00015783">
        <w:rPr>
          <w:rFonts w:ascii="Arial" w:hAnsi="Arial"/>
          <w:b/>
          <w:bCs/>
          <w:noProof w:val="0"/>
          <w:rtl/>
        </w:rPr>
        <w:t>פרמיית ביטוח החיים</w:t>
      </w:r>
      <w:r w:rsidRPr="00CF19F0">
        <w:rPr>
          <w:rFonts w:ascii="Arial" w:hAnsi="Arial"/>
          <w:noProof w:val="0"/>
          <w:rtl/>
        </w:rPr>
        <w:t xml:space="preserve"> של הנתבעת לחברת הביטוח מנורה</w:t>
      </w:r>
      <w:r>
        <w:rPr>
          <w:rFonts w:ascii="Arial" w:hAnsi="Arial"/>
          <w:noProof w:val="0"/>
          <w:rtl/>
        </w:rPr>
        <w:t xml:space="preserve">. </w:t>
      </w:r>
      <w:r w:rsidRPr="00CF19F0">
        <w:rPr>
          <w:rFonts w:ascii="Arial" w:hAnsi="Arial"/>
          <w:noProof w:val="0"/>
          <w:rtl/>
        </w:rPr>
        <w:t xml:space="preserve"> </w:t>
      </w:r>
      <w:r>
        <w:rPr>
          <w:rFonts w:ascii="Arial" w:hAnsi="Arial"/>
          <w:noProof w:val="0"/>
          <w:rtl/>
        </w:rPr>
        <w:t>התובע עותר לחיוב הנתבעת בפרמיות הביטוח ששילם עבור הנתבעת בסך של 4,310 ₪ (לפני</w:t>
      </w:r>
      <w:r w:rsidRPr="00CF19F0">
        <w:rPr>
          <w:rFonts w:ascii="Arial" w:hAnsi="Arial"/>
          <w:noProof w:val="0"/>
          <w:rtl/>
        </w:rPr>
        <w:t xml:space="preserve"> שערוך).  </w:t>
      </w:r>
    </w:p>
    <w:p w14:paraId="1D03347E" w14:textId="77777777" w:rsidR="006F6013" w:rsidRPr="00CF19F0" w:rsidRDefault="00000000" w:rsidP="00CF19F0">
      <w:pPr>
        <w:spacing w:line="360" w:lineRule="auto"/>
        <w:jc w:val="both"/>
        <w:rPr>
          <w:rFonts w:ascii="Arial" w:hAnsi="Arial"/>
          <w:noProof w:val="0"/>
          <w:rtl/>
        </w:rPr>
      </w:pPr>
      <w:r w:rsidRPr="00CF19F0">
        <w:rPr>
          <w:rFonts w:ascii="Arial" w:hAnsi="Arial"/>
          <w:noProof w:val="0"/>
          <w:rtl/>
        </w:rPr>
        <w:t xml:space="preserve">  </w:t>
      </w:r>
    </w:p>
    <w:p w14:paraId="1F018D7B" w14:textId="77777777" w:rsidR="006F6013" w:rsidRPr="00CF19F0" w:rsidRDefault="00000000" w:rsidP="0018470B">
      <w:pPr>
        <w:pStyle w:val="10"/>
        <w:numPr>
          <w:ilvl w:val="0"/>
          <w:numId w:val="1"/>
        </w:numPr>
        <w:spacing w:line="360" w:lineRule="auto"/>
        <w:jc w:val="both"/>
        <w:rPr>
          <w:rFonts w:ascii="Arial" w:hAnsi="Arial"/>
          <w:noProof w:val="0"/>
          <w:rtl/>
        </w:rPr>
      </w:pPr>
      <w:r w:rsidRPr="00CF19F0">
        <w:rPr>
          <w:rFonts w:ascii="Arial" w:hAnsi="Arial"/>
          <w:noProof w:val="0"/>
          <w:rtl/>
        </w:rPr>
        <w:t xml:space="preserve">עד שהושלמה עסקת המכר, משך כ- 6 שנים, התובע נאלץ לשכור דירה, ונמנעה ממנו האפשרות להפוך "חוב להון". אילו </w:t>
      </w:r>
      <w:r>
        <w:rPr>
          <w:rFonts w:ascii="Arial" w:hAnsi="Arial"/>
          <w:noProof w:val="0"/>
          <w:rtl/>
        </w:rPr>
        <w:t xml:space="preserve">הושלמה </w:t>
      </w:r>
      <w:r w:rsidRPr="00CF19F0">
        <w:rPr>
          <w:rFonts w:ascii="Arial" w:hAnsi="Arial"/>
          <w:noProof w:val="0"/>
          <w:rtl/>
        </w:rPr>
        <w:t>עסקת המכר</w:t>
      </w:r>
      <w:r>
        <w:rPr>
          <w:rFonts w:ascii="Arial" w:hAnsi="Arial"/>
          <w:noProof w:val="0"/>
          <w:rtl/>
        </w:rPr>
        <w:t xml:space="preserve"> במועדה</w:t>
      </w:r>
      <w:r w:rsidRPr="00CF19F0">
        <w:rPr>
          <w:rFonts w:ascii="Arial" w:hAnsi="Arial"/>
          <w:noProof w:val="0"/>
          <w:rtl/>
        </w:rPr>
        <w:t xml:space="preserve">, התובע היה מוכר את הדירה, רוכש דירה מתאימה עבורו ועבור הבת המשותפת באמצעות משכנתא, וכך </w:t>
      </w:r>
      <w:r>
        <w:rPr>
          <w:rFonts w:ascii="Arial" w:hAnsi="Arial"/>
          <w:noProof w:val="0"/>
          <w:rtl/>
        </w:rPr>
        <w:t>תחת תשלום דמי שכירות היה יכול ל</w:t>
      </w:r>
      <w:r w:rsidRPr="00CF19F0">
        <w:rPr>
          <w:rFonts w:ascii="Arial" w:hAnsi="Arial"/>
          <w:noProof w:val="0"/>
          <w:rtl/>
        </w:rPr>
        <w:t xml:space="preserve">שלם משכנתא והיה לו נכס. התובע עותר לחיוב הנתבעת לשלם </w:t>
      </w:r>
      <w:r w:rsidRPr="00015783">
        <w:rPr>
          <w:rFonts w:ascii="Arial" w:hAnsi="Arial"/>
          <w:b/>
          <w:bCs/>
          <w:noProof w:val="0"/>
          <w:rtl/>
        </w:rPr>
        <w:t>פיצוי בגין אובדן רווחים</w:t>
      </w:r>
      <w:r>
        <w:rPr>
          <w:rFonts w:ascii="Arial" w:hAnsi="Arial"/>
          <w:noProof w:val="0"/>
          <w:rtl/>
        </w:rPr>
        <w:t xml:space="preserve"> המגלם </w:t>
      </w:r>
      <w:r w:rsidRPr="00CF19F0">
        <w:rPr>
          <w:rFonts w:ascii="Arial" w:hAnsi="Arial"/>
          <w:noProof w:val="0"/>
          <w:rtl/>
        </w:rPr>
        <w:t xml:space="preserve">את ההפרש שבין דמי השכירות ששילם </w:t>
      </w:r>
      <w:r>
        <w:rPr>
          <w:rFonts w:ascii="Arial" w:hAnsi="Arial"/>
          <w:noProof w:val="0"/>
          <w:rtl/>
        </w:rPr>
        <w:t xml:space="preserve">לדירה ששכר </w:t>
      </w:r>
      <w:r w:rsidRPr="00CF19F0">
        <w:rPr>
          <w:rFonts w:ascii="Arial" w:hAnsi="Arial"/>
          <w:noProof w:val="0"/>
          <w:rtl/>
        </w:rPr>
        <w:t>לבין דמי השכירות שהתקבלו מהשכרת הדירה, והכל בסך של 265,397 ₪</w:t>
      </w:r>
      <w:r>
        <w:rPr>
          <w:rFonts w:ascii="Arial" w:hAnsi="Arial"/>
          <w:noProof w:val="0"/>
          <w:rtl/>
        </w:rPr>
        <w:t xml:space="preserve"> (לפני שערוך)</w:t>
      </w:r>
      <w:r w:rsidRPr="00CF19F0">
        <w:rPr>
          <w:rFonts w:ascii="Arial" w:hAnsi="Arial"/>
          <w:noProof w:val="0"/>
          <w:rtl/>
        </w:rPr>
        <w:t xml:space="preserve">. </w:t>
      </w:r>
    </w:p>
    <w:p w14:paraId="199D7B02" w14:textId="77777777" w:rsidR="006F6013" w:rsidRPr="00CF19F0" w:rsidRDefault="006F6013" w:rsidP="00CF19F0">
      <w:pPr>
        <w:pStyle w:val="10"/>
        <w:spacing w:line="360" w:lineRule="auto"/>
        <w:ind w:left="360"/>
        <w:jc w:val="both"/>
        <w:rPr>
          <w:rFonts w:ascii="Arial" w:hAnsi="Arial"/>
          <w:noProof w:val="0"/>
          <w:rtl/>
        </w:rPr>
      </w:pPr>
    </w:p>
    <w:p w14:paraId="4984AE9A" w14:textId="77777777" w:rsidR="006F6013" w:rsidRPr="005771FD" w:rsidRDefault="00000000" w:rsidP="00594CED">
      <w:pPr>
        <w:pStyle w:val="10"/>
        <w:numPr>
          <w:ilvl w:val="0"/>
          <w:numId w:val="1"/>
        </w:numPr>
        <w:spacing w:line="360" w:lineRule="auto"/>
        <w:jc w:val="both"/>
        <w:rPr>
          <w:rFonts w:ascii="Arial" w:hAnsi="Arial"/>
          <w:noProof w:val="0"/>
        </w:rPr>
      </w:pPr>
      <w:r>
        <w:rPr>
          <w:rFonts w:ascii="Arial" w:hAnsi="Arial"/>
          <w:noProof w:val="0"/>
          <w:rtl/>
        </w:rPr>
        <w:t xml:space="preserve">התובע עותר לחיוב הנתבעת בפיצוי בגין </w:t>
      </w:r>
      <w:r w:rsidRPr="00015783">
        <w:rPr>
          <w:rFonts w:ascii="Arial" w:hAnsi="Arial"/>
          <w:b/>
          <w:bCs/>
          <w:noProof w:val="0"/>
          <w:rtl/>
        </w:rPr>
        <w:t>נזקים לא ממוניים</w:t>
      </w:r>
      <w:r>
        <w:rPr>
          <w:rFonts w:ascii="Arial" w:hAnsi="Arial"/>
          <w:noProof w:val="0"/>
          <w:rtl/>
        </w:rPr>
        <w:t xml:space="preserve"> בסך של 55,000 ₪. </w:t>
      </w:r>
    </w:p>
    <w:p w14:paraId="022B309A" w14:textId="77777777" w:rsidR="006F6013" w:rsidRPr="00516E74" w:rsidRDefault="006F6013" w:rsidP="00594CED">
      <w:pPr>
        <w:pStyle w:val="10"/>
        <w:spacing w:line="360" w:lineRule="auto"/>
        <w:rPr>
          <w:rFonts w:ascii="Arial" w:hAnsi="Arial"/>
          <w:noProof w:val="0"/>
          <w:rtl/>
        </w:rPr>
      </w:pPr>
    </w:p>
    <w:p w14:paraId="4DF43193" w14:textId="77777777" w:rsidR="006F6013" w:rsidRPr="00594CED" w:rsidRDefault="00000000" w:rsidP="00594CED">
      <w:pPr>
        <w:spacing w:line="360" w:lineRule="auto"/>
        <w:jc w:val="both"/>
        <w:rPr>
          <w:rFonts w:ascii="Arial" w:hAnsi="Arial"/>
          <w:b/>
          <w:bCs/>
          <w:noProof w:val="0"/>
          <w:u w:val="single"/>
        </w:rPr>
      </w:pPr>
      <w:r w:rsidRPr="00594CED">
        <w:rPr>
          <w:rFonts w:ascii="Arial" w:hAnsi="Arial"/>
          <w:b/>
          <w:bCs/>
          <w:noProof w:val="0"/>
          <w:u w:val="single"/>
          <w:rtl/>
        </w:rPr>
        <w:t xml:space="preserve">תמצית טענות הנתבעת </w:t>
      </w:r>
    </w:p>
    <w:p w14:paraId="2C1EC5FF" w14:textId="77777777" w:rsidR="006F6013" w:rsidRPr="006A469D" w:rsidRDefault="006F6013" w:rsidP="00594CED">
      <w:pPr>
        <w:pStyle w:val="10"/>
        <w:spacing w:line="360" w:lineRule="auto"/>
        <w:rPr>
          <w:rFonts w:ascii="Arial" w:hAnsi="Arial"/>
          <w:noProof w:val="0"/>
          <w:rtl/>
        </w:rPr>
      </w:pPr>
    </w:p>
    <w:p w14:paraId="339EA034" w14:textId="77777777" w:rsidR="006F6013" w:rsidRPr="000642BF" w:rsidRDefault="00000000" w:rsidP="00594CED">
      <w:pPr>
        <w:pStyle w:val="10"/>
        <w:numPr>
          <w:ilvl w:val="0"/>
          <w:numId w:val="1"/>
        </w:numPr>
        <w:spacing w:line="360" w:lineRule="auto"/>
        <w:jc w:val="both"/>
        <w:rPr>
          <w:rFonts w:ascii="Arial" w:hAnsi="Arial"/>
          <w:noProof w:val="0"/>
        </w:rPr>
      </w:pPr>
      <w:r w:rsidRPr="000642BF">
        <w:rPr>
          <w:rFonts w:ascii="Arial" w:hAnsi="Arial"/>
          <w:noProof w:val="0"/>
          <w:rtl/>
        </w:rPr>
        <w:t xml:space="preserve">עסקת המכר בין הצדדים הושלמה רק ביום 6.9.2020, עת שילם התובע לנתבעת את תמורת המכר. על אף שזכויות התובע עוגנו </w:t>
      </w:r>
      <w:r>
        <w:rPr>
          <w:rFonts w:ascii="Arial" w:hAnsi="Arial"/>
          <w:noProof w:val="0"/>
          <w:rtl/>
        </w:rPr>
        <w:t xml:space="preserve">בפסק-הדין </w:t>
      </w:r>
      <w:r w:rsidRPr="000642BF">
        <w:rPr>
          <w:rFonts w:ascii="Arial" w:hAnsi="Arial"/>
          <w:noProof w:val="0"/>
          <w:rtl/>
        </w:rPr>
        <w:t xml:space="preserve">החל מספטמבר 2014, הרי שלא קמה לתובע הזכות ליהנות מפירות הנכס, בטרם השלים את ביצוע הסכם המכר. כל עוד לא שילם התובע את תמורת המכר, והדבר קרה רק ב- 6.9.2020, זכאית הנתבעת ליהנות מפירות הדירה. </w:t>
      </w:r>
    </w:p>
    <w:p w14:paraId="6774B930" w14:textId="77777777" w:rsidR="006F6013" w:rsidRDefault="006F6013" w:rsidP="002C3DE0">
      <w:pPr>
        <w:pStyle w:val="10"/>
        <w:spacing w:line="360" w:lineRule="auto"/>
        <w:jc w:val="both"/>
        <w:rPr>
          <w:rFonts w:ascii="Arial" w:hAnsi="Arial"/>
          <w:noProof w:val="0"/>
        </w:rPr>
      </w:pPr>
    </w:p>
    <w:p w14:paraId="03F15F87" w14:textId="77777777" w:rsidR="006F6013" w:rsidRDefault="00000000" w:rsidP="00594CED">
      <w:pPr>
        <w:pStyle w:val="10"/>
        <w:numPr>
          <w:ilvl w:val="0"/>
          <w:numId w:val="1"/>
        </w:numPr>
        <w:spacing w:line="360" w:lineRule="auto"/>
        <w:jc w:val="both"/>
        <w:rPr>
          <w:rFonts w:ascii="Arial" w:hAnsi="Arial"/>
          <w:noProof w:val="0"/>
        </w:rPr>
      </w:pPr>
      <w:r w:rsidRPr="002C3DE0">
        <w:rPr>
          <w:rFonts w:ascii="Arial" w:hAnsi="Arial"/>
          <w:noProof w:val="0"/>
          <w:rtl/>
        </w:rPr>
        <w:t>פסק-הדין אינו מקנה לתובע עילת תביעה מעבר לפסק-הדין ההצהרתי</w:t>
      </w:r>
      <w:r>
        <w:rPr>
          <w:rFonts w:ascii="Arial" w:hAnsi="Arial"/>
          <w:noProof w:val="0"/>
          <w:rtl/>
        </w:rPr>
        <w:t xml:space="preserve"> אשר קבע</w:t>
      </w:r>
      <w:r w:rsidRPr="002C3DE0">
        <w:rPr>
          <w:rFonts w:ascii="Arial" w:hAnsi="Arial"/>
          <w:noProof w:val="0"/>
          <w:rtl/>
        </w:rPr>
        <w:t xml:space="preserve">, כי נכרת הסכם המכר. </w:t>
      </w:r>
    </w:p>
    <w:p w14:paraId="5DEA5F89" w14:textId="77777777" w:rsidR="006F6013" w:rsidRPr="00F162CB" w:rsidRDefault="006F6013" w:rsidP="00594CED">
      <w:pPr>
        <w:pStyle w:val="10"/>
        <w:spacing w:line="360" w:lineRule="auto"/>
        <w:rPr>
          <w:rFonts w:ascii="Arial" w:hAnsi="Arial"/>
          <w:noProof w:val="0"/>
          <w:rtl/>
        </w:rPr>
      </w:pPr>
    </w:p>
    <w:p w14:paraId="035FEC08" w14:textId="77777777" w:rsidR="006F6013" w:rsidRPr="009A2853" w:rsidRDefault="00000000" w:rsidP="009A2853">
      <w:pPr>
        <w:pStyle w:val="10"/>
        <w:numPr>
          <w:ilvl w:val="0"/>
          <w:numId w:val="1"/>
        </w:numPr>
        <w:spacing w:line="360" w:lineRule="auto"/>
        <w:jc w:val="both"/>
        <w:rPr>
          <w:rFonts w:ascii="Arial" w:hAnsi="Arial"/>
          <w:noProof w:val="0"/>
        </w:rPr>
      </w:pPr>
      <w:r>
        <w:rPr>
          <w:rFonts w:ascii="Arial" w:hAnsi="Arial"/>
          <w:noProof w:val="0"/>
          <w:rtl/>
        </w:rPr>
        <w:t xml:space="preserve">התובע עיכב את ביצוע פסק-הדין ושילם לנתבעת את תמורת המכר רק ביום 6.9.2020. הסכם המכר נכרת בשנת 2014, התמורה נקבעה לפי שווי של שנת 2014, ותמורת המכר שולמה לידי הנתבעת רק בשנת 2020, ללא ריבית. </w:t>
      </w:r>
      <w:r w:rsidRPr="009A2853">
        <w:rPr>
          <w:rFonts w:ascii="Arial" w:hAnsi="Arial"/>
          <w:noProof w:val="0"/>
          <w:rtl/>
        </w:rPr>
        <w:t>מיום שניתן פסק-הדין בתאריך 10.2.2019 ועד למועד תשלום תמורת המכר לנתבעת בתאריך 6.9.2020, משך כשנה ו- 7 חודשים, התובע החזיק בדירה, גבה את שכר הדירה ושלשל אותו לכיסו. הנתבעת זכאית למחצית מדמי השכירות שקיבל התובע</w:t>
      </w:r>
      <w:r>
        <w:rPr>
          <w:rFonts w:ascii="Arial" w:hAnsi="Arial"/>
          <w:noProof w:val="0"/>
          <w:rtl/>
        </w:rPr>
        <w:t xml:space="preserve"> בשל כך שהתובע עיכב את ביצוע התשלום</w:t>
      </w:r>
      <w:r w:rsidRPr="009A2853">
        <w:rPr>
          <w:rFonts w:ascii="Arial" w:hAnsi="Arial"/>
          <w:noProof w:val="0"/>
          <w:rtl/>
        </w:rPr>
        <w:t xml:space="preserve">. </w:t>
      </w:r>
    </w:p>
    <w:p w14:paraId="11EE998B" w14:textId="77777777" w:rsidR="006F6013" w:rsidRDefault="006F6013" w:rsidP="006B6683">
      <w:pPr>
        <w:pStyle w:val="10"/>
        <w:spacing w:line="360" w:lineRule="auto"/>
        <w:jc w:val="both"/>
        <w:rPr>
          <w:rFonts w:ascii="Arial" w:hAnsi="Arial"/>
          <w:noProof w:val="0"/>
        </w:rPr>
      </w:pPr>
    </w:p>
    <w:p w14:paraId="09852A8A" w14:textId="77777777" w:rsidR="006F6013" w:rsidRDefault="00000000" w:rsidP="009A2853">
      <w:pPr>
        <w:pStyle w:val="10"/>
        <w:numPr>
          <w:ilvl w:val="0"/>
          <w:numId w:val="1"/>
        </w:numPr>
        <w:spacing w:line="360" w:lineRule="auto"/>
        <w:jc w:val="both"/>
        <w:rPr>
          <w:rFonts w:ascii="Arial" w:hAnsi="Arial"/>
          <w:noProof w:val="0"/>
        </w:rPr>
      </w:pPr>
      <w:r w:rsidRPr="00F162CB">
        <w:rPr>
          <w:rFonts w:ascii="Arial" w:hAnsi="Arial"/>
          <w:noProof w:val="0"/>
          <w:rtl/>
        </w:rPr>
        <w:t>תמורת המכר נמוכה משמעותית משווי השוק הריאלי של הדירה</w:t>
      </w:r>
      <w:r>
        <w:rPr>
          <w:rFonts w:ascii="Arial" w:hAnsi="Arial"/>
          <w:noProof w:val="0"/>
          <w:rtl/>
        </w:rPr>
        <w:t>.</w:t>
      </w:r>
      <w:r w:rsidRPr="00F162CB">
        <w:rPr>
          <w:rFonts w:ascii="Arial" w:hAnsi="Arial"/>
          <w:noProof w:val="0"/>
          <w:rtl/>
        </w:rPr>
        <w:t xml:space="preserve"> בכך מגלם פסק-הדין כל פיצוי שהתובע היה זכאי לו, אם בכלל, והרבה מעבר לכך. </w:t>
      </w:r>
    </w:p>
    <w:p w14:paraId="54BD96B8" w14:textId="77777777" w:rsidR="006F6013" w:rsidRDefault="006F6013" w:rsidP="009F5879">
      <w:pPr>
        <w:pStyle w:val="10"/>
        <w:spacing w:line="360" w:lineRule="auto"/>
        <w:jc w:val="both"/>
        <w:rPr>
          <w:rFonts w:ascii="Arial" w:hAnsi="Arial"/>
          <w:noProof w:val="0"/>
        </w:rPr>
      </w:pPr>
    </w:p>
    <w:p w14:paraId="084BFF97" w14:textId="77777777" w:rsidR="006F6013" w:rsidRPr="00B86006" w:rsidRDefault="00000000" w:rsidP="0079128E">
      <w:pPr>
        <w:pStyle w:val="10"/>
        <w:numPr>
          <w:ilvl w:val="0"/>
          <w:numId w:val="1"/>
        </w:numPr>
        <w:spacing w:line="360" w:lineRule="auto"/>
        <w:jc w:val="both"/>
        <w:rPr>
          <w:rFonts w:ascii="Arial" w:hAnsi="Arial"/>
          <w:noProof w:val="0"/>
        </w:rPr>
      </w:pPr>
      <w:r>
        <w:rPr>
          <w:rFonts w:ascii="Arial" w:hAnsi="Arial"/>
          <w:noProof w:val="0"/>
          <w:rtl/>
        </w:rPr>
        <w:t xml:space="preserve">אף אם תתקבל תביעת התובע, הרי שיש לראות בתקבולי השכירות שקיבלה הנתבעת, כמגלם תשלום חודשי, בעד הדחייה בתשלום תמורת המכר נטו בסך 560,381 ₪. הנתבעת נתנה לתובע הלוואה [מעין "מימון ביניים"] מיום עסקת המכר ועד לתשלום תמורת המכר ביום 6.9.2020. </w:t>
      </w:r>
      <w:r w:rsidRPr="00B86006">
        <w:rPr>
          <w:rFonts w:ascii="Arial" w:hAnsi="Arial"/>
          <w:noProof w:val="0"/>
          <w:rtl/>
        </w:rPr>
        <w:t xml:space="preserve">לחילופי חילופין, מתקבולי השכירות יש לקזז את הריבית על ההלוואה בסך 560,381 ₪ שהעניקה הנתבעת לתובע, ועל פי תחשיב שצירפה הנתבעת, על התובע להשיב לה סך של 174,349 ₪. </w:t>
      </w:r>
    </w:p>
    <w:p w14:paraId="6699092A" w14:textId="77777777" w:rsidR="006F6013" w:rsidRPr="00F162CB" w:rsidRDefault="006F6013" w:rsidP="00B86006">
      <w:pPr>
        <w:pStyle w:val="10"/>
        <w:spacing w:line="360" w:lineRule="auto"/>
        <w:rPr>
          <w:rFonts w:ascii="Arial" w:hAnsi="Arial"/>
          <w:noProof w:val="0"/>
          <w:rtl/>
        </w:rPr>
      </w:pPr>
    </w:p>
    <w:p w14:paraId="18016AC6" w14:textId="77777777" w:rsidR="006F6013" w:rsidRDefault="00000000" w:rsidP="000642BF">
      <w:pPr>
        <w:pStyle w:val="10"/>
        <w:numPr>
          <w:ilvl w:val="0"/>
          <w:numId w:val="1"/>
        </w:numPr>
        <w:spacing w:line="360" w:lineRule="auto"/>
        <w:jc w:val="both"/>
        <w:rPr>
          <w:rFonts w:ascii="Arial" w:hAnsi="Arial"/>
          <w:noProof w:val="0"/>
        </w:rPr>
      </w:pPr>
      <w:r>
        <w:rPr>
          <w:rFonts w:ascii="Arial" w:hAnsi="Arial"/>
          <w:noProof w:val="0"/>
          <w:rtl/>
        </w:rPr>
        <w:t xml:space="preserve">התובע הגיש את התביעה בשיהוי של 4 שנים לאחר שניתן פסק-הדין של בית המשפט המחוזי. דמי השכירות הנתבעים, צריכים להיות מחושבים ללא תוספת ריבית. </w:t>
      </w:r>
    </w:p>
    <w:p w14:paraId="0969F198" w14:textId="77777777" w:rsidR="006F6013" w:rsidRDefault="006F6013" w:rsidP="00594CED">
      <w:pPr>
        <w:pStyle w:val="10"/>
        <w:spacing w:line="360" w:lineRule="auto"/>
        <w:ind w:left="360"/>
        <w:jc w:val="both"/>
        <w:rPr>
          <w:rFonts w:ascii="Arial" w:hAnsi="Arial"/>
          <w:noProof w:val="0"/>
        </w:rPr>
      </w:pPr>
    </w:p>
    <w:p w14:paraId="40660885" w14:textId="77777777" w:rsidR="006F6013" w:rsidRDefault="00000000" w:rsidP="00594CED">
      <w:pPr>
        <w:pStyle w:val="10"/>
        <w:numPr>
          <w:ilvl w:val="0"/>
          <w:numId w:val="1"/>
        </w:numPr>
        <w:spacing w:line="360" w:lineRule="auto"/>
        <w:jc w:val="both"/>
        <w:rPr>
          <w:rFonts w:ascii="Arial" w:hAnsi="Arial"/>
          <w:noProof w:val="0"/>
        </w:rPr>
      </w:pPr>
      <w:r w:rsidRPr="001F341F">
        <w:rPr>
          <w:rFonts w:ascii="Arial" w:hAnsi="Arial"/>
          <w:noProof w:val="0"/>
          <w:rtl/>
        </w:rPr>
        <w:t xml:space="preserve">לאחר שניתן פסק-הדין במחוזי, התובע דרש להחתים את הנתבעת על </w:t>
      </w:r>
      <w:r>
        <w:rPr>
          <w:rFonts w:ascii="Arial" w:hAnsi="Arial"/>
          <w:noProof w:val="0"/>
          <w:rtl/>
        </w:rPr>
        <w:t xml:space="preserve">מסמכי משכנתא הכוללים הצהרה שהנכס במצב טוב ותקין, שעה שהתובעת לא הורשתה להיכנס אליו וידעה, כי הנכס מחולק באופן בלתי חוקי. בית המשפט קבע, כי יש להגיש הסכם מכר לאישור, ואין מקום לדרישת התובע, כי הנתבעת תחתום על מסמכי המשכנתא שהוגשו לחתימתה. </w:t>
      </w:r>
    </w:p>
    <w:p w14:paraId="2561A7EA" w14:textId="77777777" w:rsidR="006F6013" w:rsidRPr="00594CED" w:rsidRDefault="006F6013" w:rsidP="00B86006">
      <w:pPr>
        <w:pStyle w:val="10"/>
        <w:spacing w:line="360" w:lineRule="auto"/>
        <w:rPr>
          <w:rFonts w:ascii="Arial" w:hAnsi="Arial"/>
          <w:noProof w:val="0"/>
          <w:rtl/>
        </w:rPr>
      </w:pPr>
    </w:p>
    <w:p w14:paraId="2E738E6E" w14:textId="77777777" w:rsidR="006F6013" w:rsidRDefault="00000000" w:rsidP="00C576A2">
      <w:pPr>
        <w:pStyle w:val="10"/>
        <w:numPr>
          <w:ilvl w:val="0"/>
          <w:numId w:val="1"/>
        </w:numPr>
        <w:spacing w:line="360" w:lineRule="auto"/>
        <w:jc w:val="both"/>
        <w:rPr>
          <w:rFonts w:ascii="Arial" w:hAnsi="Arial"/>
          <w:noProof w:val="0"/>
        </w:rPr>
      </w:pPr>
      <w:r w:rsidRPr="00594CED">
        <w:rPr>
          <w:rFonts w:ascii="Arial" w:hAnsi="Arial"/>
          <w:noProof w:val="0"/>
          <w:rtl/>
        </w:rPr>
        <w:t xml:space="preserve">על פי החלטת בית המשפט המחוזי, מיום 20.11.2017, התובע "לא יוכל להמשיך ולפעול בדירה (השכרתה וגביית דמי השכירות) למשך תקופת הערעור ללא שיתופה". הנתבעת לא התנגדה להשכרת הדירה, אך עמדה על כך שהדירה תושכר באופן חוקי, היינו כיחידה אחת ולא כשתי יחידות מפוצלות. </w:t>
      </w:r>
    </w:p>
    <w:p w14:paraId="222BE44F" w14:textId="77777777" w:rsidR="006F6013" w:rsidRDefault="00000000" w:rsidP="00C576A2">
      <w:pPr>
        <w:pStyle w:val="10"/>
        <w:numPr>
          <w:ilvl w:val="0"/>
          <w:numId w:val="1"/>
        </w:numPr>
        <w:spacing w:line="360" w:lineRule="auto"/>
        <w:jc w:val="both"/>
        <w:rPr>
          <w:rFonts w:ascii="Arial" w:hAnsi="Arial"/>
          <w:noProof w:val="0"/>
        </w:rPr>
      </w:pPr>
      <w:r w:rsidRPr="00C576A2">
        <w:rPr>
          <w:rFonts w:ascii="Arial" w:hAnsi="Arial"/>
          <w:noProof w:val="0"/>
          <w:rtl/>
        </w:rPr>
        <w:t>התובע העביר לנתבעת את דמי השכירות על פי שיקול דעתו, בניכוי כל ההוצאות, ובכלל זה, המשכנתא, הריבית ותשלומים נוספים שהנתבעת אינה מודעת להם. ככל שהדירה לא הושכרה</w:t>
      </w:r>
      <w:r>
        <w:rPr>
          <w:rFonts w:ascii="Arial" w:hAnsi="Arial"/>
          <w:noProof w:val="0"/>
          <w:rtl/>
        </w:rPr>
        <w:t xml:space="preserve"> כטענת התובע</w:t>
      </w:r>
      <w:r w:rsidRPr="00C576A2">
        <w:rPr>
          <w:rFonts w:ascii="Arial" w:hAnsi="Arial"/>
          <w:noProof w:val="0"/>
          <w:rtl/>
        </w:rPr>
        <w:t xml:space="preserve">, הרי שהדבר נובע בשל מחדלי התובע, כך שאין על הנתבעת כל חובה לשאת בתשלומי הועד והארנונה. </w:t>
      </w:r>
    </w:p>
    <w:p w14:paraId="08E27615" w14:textId="77777777" w:rsidR="006F6013" w:rsidRPr="00C576A2" w:rsidRDefault="006F6013" w:rsidP="00B86006">
      <w:pPr>
        <w:pStyle w:val="10"/>
        <w:spacing w:line="360" w:lineRule="auto"/>
        <w:rPr>
          <w:rFonts w:ascii="Arial" w:hAnsi="Arial"/>
          <w:noProof w:val="0"/>
          <w:rtl/>
        </w:rPr>
      </w:pPr>
    </w:p>
    <w:p w14:paraId="72D8ACC3" w14:textId="77777777" w:rsidR="006F6013" w:rsidRDefault="00000000" w:rsidP="00C576A2">
      <w:pPr>
        <w:pStyle w:val="10"/>
        <w:numPr>
          <w:ilvl w:val="0"/>
          <w:numId w:val="1"/>
        </w:numPr>
        <w:spacing w:line="360" w:lineRule="auto"/>
        <w:jc w:val="both"/>
        <w:rPr>
          <w:rFonts w:ascii="Arial" w:hAnsi="Arial"/>
          <w:noProof w:val="0"/>
        </w:rPr>
      </w:pPr>
      <w:r w:rsidRPr="00C576A2">
        <w:rPr>
          <w:rFonts w:ascii="Arial" w:hAnsi="Arial"/>
          <w:noProof w:val="0"/>
          <w:rtl/>
        </w:rPr>
        <w:t>לא זו בלבד שהתובע אחראי לכך שהדירה לא הושכרה, אלא ש</w:t>
      </w:r>
      <w:r>
        <w:rPr>
          <w:rFonts w:ascii="Arial" w:hAnsi="Arial"/>
          <w:noProof w:val="0"/>
          <w:rtl/>
        </w:rPr>
        <w:t>ביחס לטענת התובע, כי נטל הלוואות בשל מצוקה תזרימית, הרי ש</w:t>
      </w:r>
      <w:r w:rsidRPr="00C576A2">
        <w:rPr>
          <w:rFonts w:ascii="Arial" w:hAnsi="Arial"/>
          <w:noProof w:val="0"/>
          <w:rtl/>
        </w:rPr>
        <w:t xml:space="preserve">אין לנתבעת אחריות להתנהלותו הכלכלית של התובע ולבחירותיו הכלכליות. </w:t>
      </w:r>
    </w:p>
    <w:p w14:paraId="7D68AA53" w14:textId="77777777" w:rsidR="006F6013" w:rsidRPr="00C576A2" w:rsidRDefault="006F6013" w:rsidP="00B86006">
      <w:pPr>
        <w:pStyle w:val="10"/>
        <w:spacing w:line="360" w:lineRule="auto"/>
        <w:rPr>
          <w:rFonts w:ascii="Arial" w:hAnsi="Arial"/>
          <w:noProof w:val="0"/>
          <w:rtl/>
        </w:rPr>
      </w:pPr>
    </w:p>
    <w:p w14:paraId="335B2B2A" w14:textId="77777777" w:rsidR="006F6013" w:rsidRPr="00B86006" w:rsidRDefault="00000000" w:rsidP="000F2AE5">
      <w:pPr>
        <w:pStyle w:val="10"/>
        <w:numPr>
          <w:ilvl w:val="0"/>
          <w:numId w:val="1"/>
        </w:numPr>
        <w:spacing w:line="360" w:lineRule="auto"/>
        <w:jc w:val="both"/>
        <w:rPr>
          <w:rFonts w:ascii="Arial" w:hAnsi="Arial"/>
          <w:noProof w:val="0"/>
          <w:rtl/>
        </w:rPr>
      </w:pPr>
      <w:r w:rsidRPr="00B86006">
        <w:rPr>
          <w:rFonts w:ascii="Arial" w:hAnsi="Arial"/>
          <w:noProof w:val="0"/>
          <w:rtl/>
        </w:rPr>
        <w:t>התובע אינו זכאי לפיצוי בגין אובדן רווחים. אין לטענות התובע כל אחיזה במציאות; המדובר בטענות היפותטיות ולא ניתן לדעת מה היה עושה התובע בזמן אמת. מאז קיבל התובע את החזקה בדירה בשנת 2019, ה</w:t>
      </w:r>
      <w:r>
        <w:rPr>
          <w:rFonts w:ascii="Arial" w:hAnsi="Arial"/>
          <w:noProof w:val="0"/>
          <w:rtl/>
        </w:rPr>
        <w:t xml:space="preserve">וא </w:t>
      </w:r>
      <w:r w:rsidRPr="00B86006">
        <w:rPr>
          <w:rFonts w:ascii="Arial" w:hAnsi="Arial"/>
          <w:noProof w:val="0"/>
          <w:rtl/>
        </w:rPr>
        <w:t xml:space="preserve">לא מכר את הדירה ולא רכש תחתיה דירה אחרת. חלוף הזמן מלמד, כי התובע התכוון להשתמש בדירה כדירה להשקעה. זאת ועוד: התובע לא יכול היה לרכוש דירה חלופית, כאשר הוא עצמו טוען, כי נקלע למצוקה תזרימית.  </w:t>
      </w:r>
    </w:p>
    <w:p w14:paraId="4B93AB38" w14:textId="77777777" w:rsidR="006F6013" w:rsidRDefault="006F6013" w:rsidP="00C368B4">
      <w:pPr>
        <w:spacing w:line="360" w:lineRule="auto"/>
        <w:jc w:val="both"/>
        <w:rPr>
          <w:rFonts w:ascii="Arial" w:hAnsi="Arial"/>
          <w:b/>
          <w:bCs/>
          <w:noProof w:val="0"/>
          <w:sz w:val="28"/>
          <w:szCs w:val="28"/>
          <w:u w:val="single"/>
          <w:rtl/>
        </w:rPr>
      </w:pPr>
    </w:p>
    <w:p w14:paraId="7B1C6FB0" w14:textId="77777777" w:rsidR="006F6013" w:rsidRPr="00C368B4" w:rsidRDefault="00000000" w:rsidP="00C368B4">
      <w:pPr>
        <w:spacing w:line="360" w:lineRule="auto"/>
        <w:jc w:val="both"/>
        <w:rPr>
          <w:rFonts w:ascii="Arial" w:hAnsi="Arial"/>
          <w:b/>
          <w:bCs/>
          <w:noProof w:val="0"/>
          <w:sz w:val="28"/>
          <w:szCs w:val="28"/>
          <w:u w:val="single"/>
          <w:rtl/>
        </w:rPr>
      </w:pPr>
      <w:r w:rsidRPr="00C368B4">
        <w:rPr>
          <w:rFonts w:ascii="Arial" w:hAnsi="Arial"/>
          <w:b/>
          <w:bCs/>
          <w:noProof w:val="0"/>
          <w:sz w:val="28"/>
          <w:szCs w:val="28"/>
          <w:u w:val="single"/>
          <w:rtl/>
        </w:rPr>
        <w:t xml:space="preserve">דיון והכרעה </w:t>
      </w:r>
    </w:p>
    <w:p w14:paraId="0CF5A5CE" w14:textId="77777777" w:rsidR="006F6013" w:rsidRDefault="006F6013">
      <w:pPr>
        <w:spacing w:line="360" w:lineRule="auto"/>
        <w:jc w:val="both"/>
        <w:rPr>
          <w:rFonts w:ascii="Arial" w:hAnsi="Arial"/>
          <w:noProof w:val="0"/>
          <w:rtl/>
        </w:rPr>
      </w:pPr>
    </w:p>
    <w:p w14:paraId="46E694D8" w14:textId="77777777" w:rsidR="006F6013" w:rsidRPr="00923961" w:rsidRDefault="00000000" w:rsidP="00923961">
      <w:pPr>
        <w:spacing w:line="360" w:lineRule="auto"/>
        <w:jc w:val="both"/>
        <w:rPr>
          <w:rFonts w:ascii="David" w:hAnsi="David"/>
          <w:b/>
          <w:bCs/>
          <w:noProof w:val="0"/>
          <w:u w:val="single"/>
        </w:rPr>
      </w:pPr>
      <w:r w:rsidRPr="00923961">
        <w:rPr>
          <w:rFonts w:ascii="Arial" w:hAnsi="Arial"/>
          <w:b/>
          <w:bCs/>
          <w:noProof w:val="0"/>
          <w:u w:val="single"/>
          <w:rtl/>
        </w:rPr>
        <w:t xml:space="preserve">טענה מקדמית </w:t>
      </w:r>
    </w:p>
    <w:p w14:paraId="16E9077A" w14:textId="77777777" w:rsidR="006F6013" w:rsidRDefault="00000000" w:rsidP="00923961">
      <w:pPr>
        <w:pStyle w:val="10"/>
        <w:spacing w:line="360" w:lineRule="auto"/>
        <w:ind w:left="0"/>
        <w:jc w:val="both"/>
        <w:rPr>
          <w:rFonts w:ascii="David" w:hAnsi="David"/>
          <w:noProof w:val="0"/>
        </w:rPr>
      </w:pPr>
      <w:r>
        <w:rPr>
          <w:rFonts w:ascii="Arial" w:hAnsi="Arial"/>
          <w:noProof w:val="0"/>
          <w:rtl/>
        </w:rPr>
        <w:t xml:space="preserve">טענת הנתבעת, כי פסק-הדין הצהיר על בעלות התובע בדירה ולא הקנה לתובע עילת תביעה נוספת, דינה להידחות מכמה טעמים: </w:t>
      </w:r>
      <w:r w:rsidRPr="00B3154F">
        <w:rPr>
          <w:rFonts w:ascii="Arial" w:hAnsi="Arial"/>
          <w:noProof w:val="0"/>
          <w:u w:val="single"/>
          <w:rtl/>
        </w:rPr>
        <w:t>ראשית</w:t>
      </w:r>
      <w:r>
        <w:rPr>
          <w:rFonts w:ascii="Arial" w:hAnsi="Arial"/>
          <w:noProof w:val="0"/>
          <w:rtl/>
        </w:rPr>
        <w:t xml:space="preserve">, פסק-דין הצהרתי, אינו מונע מהתובע לתבוע סעדים כספיים מכוח הסעד ההצהרתי. </w:t>
      </w:r>
      <w:r w:rsidRPr="00B3154F">
        <w:rPr>
          <w:rFonts w:ascii="Arial" w:hAnsi="Arial"/>
          <w:noProof w:val="0"/>
          <w:u w:val="single"/>
          <w:rtl/>
        </w:rPr>
        <w:t>שנית</w:t>
      </w:r>
      <w:r>
        <w:rPr>
          <w:rFonts w:ascii="Arial" w:hAnsi="Arial"/>
          <w:noProof w:val="0"/>
          <w:rtl/>
        </w:rPr>
        <w:t xml:space="preserve">, התובע הגיש בקשה לפיצול סעדים. בהחלטה מיום 5.6.2016, קבעה כב' השופטת איריס ארבל-אסל, כי מאחר והתביעה לפסק-דין הצהרתי היא תביעה נפרדת, אין צורך במתן רשות לפיצול סעדים והתובע רשאי לתבוע תביעה כספית בתביעה נפרדת. </w:t>
      </w:r>
      <w:r w:rsidRPr="00B3154F">
        <w:rPr>
          <w:rFonts w:ascii="Arial" w:hAnsi="Arial"/>
          <w:noProof w:val="0"/>
          <w:u w:val="single"/>
          <w:rtl/>
        </w:rPr>
        <w:t>שלישית,</w:t>
      </w:r>
      <w:r>
        <w:rPr>
          <w:rFonts w:ascii="Arial" w:hAnsi="Arial"/>
          <w:noProof w:val="0"/>
          <w:rtl/>
        </w:rPr>
        <w:t xml:space="preserve"> בפסיקה נקבע, כי </w:t>
      </w:r>
      <w:r>
        <w:rPr>
          <w:rFonts w:ascii="David" w:hAnsi="David"/>
          <w:noProof w:val="0"/>
          <w:color w:val="000000"/>
          <w:rtl/>
        </w:rPr>
        <w:t>"</w:t>
      </w:r>
      <w:r w:rsidRPr="0065016A">
        <w:rPr>
          <w:rFonts w:ascii="David" w:hAnsi="David"/>
          <w:noProof w:val="0"/>
          <w:color w:val="000000"/>
          <w:rtl/>
        </w:rPr>
        <w:t>מי שזכה בסעד הצהרתי, ולו גם על יסוד עילה מוגדרת, רשאי לתבוע סעד אופראטיווי כ</w:t>
      </w:r>
      <w:r>
        <w:rPr>
          <w:rFonts w:ascii="David" w:hAnsi="David"/>
          <w:noProof w:val="0"/>
          <w:color w:val="000000"/>
          <w:rtl/>
        </w:rPr>
        <w:t>'השלמה'</w:t>
      </w:r>
      <w:r w:rsidRPr="0065016A">
        <w:rPr>
          <w:rFonts w:ascii="David" w:hAnsi="David"/>
          <w:noProof w:val="0"/>
          <w:color w:val="000000"/>
          <w:rtl/>
        </w:rPr>
        <w:t xml:space="preserve"> להכרה המוצהרת בזכותו, ותביעתו הנוספת איננה טעונה היתר לפיצול סעדים</w:t>
      </w:r>
      <w:r>
        <w:rPr>
          <w:rFonts w:ascii="David" w:hAnsi="David"/>
          <w:noProof w:val="0"/>
          <w:color w:val="000000"/>
          <w:rtl/>
        </w:rPr>
        <w:t>"</w:t>
      </w:r>
      <w:r>
        <w:rPr>
          <w:rFonts w:ascii="David" w:hAnsi="David"/>
          <w:noProof w:val="0"/>
          <w:rtl/>
        </w:rPr>
        <w:t xml:space="preserve"> (</w:t>
      </w:r>
      <w:hyperlink r:id="rId10" w:history="1">
        <w:r w:rsidR="00BD7105" w:rsidRPr="00BD7105">
          <w:rPr>
            <w:rFonts w:ascii="David" w:hAnsi="David"/>
            <w:noProof w:val="0"/>
            <w:color w:val="0000FF"/>
            <w:u w:val="single"/>
            <w:rtl/>
          </w:rPr>
          <w:t>ע"א 4646/90</w:t>
        </w:r>
      </w:hyperlink>
      <w:r>
        <w:rPr>
          <w:rFonts w:ascii="David" w:hAnsi="David"/>
          <w:noProof w:val="0"/>
          <w:rtl/>
        </w:rPr>
        <w:t xml:space="preserve"> </w:t>
      </w:r>
      <w:r w:rsidRPr="00B3154F">
        <w:rPr>
          <w:rFonts w:ascii="David" w:hAnsi="David"/>
          <w:b/>
          <w:bCs/>
          <w:noProof w:val="0"/>
          <w:rtl/>
        </w:rPr>
        <w:t>אריה בר חן נ' מנחם שמעון</w:t>
      </w:r>
      <w:r>
        <w:rPr>
          <w:rFonts w:ascii="David" w:hAnsi="David"/>
          <w:noProof w:val="0"/>
          <w:rtl/>
        </w:rPr>
        <w:t xml:space="preserve">, פ"ד מו (5) 798). </w:t>
      </w:r>
      <w:r w:rsidRPr="0041712A">
        <w:rPr>
          <w:rFonts w:ascii="David" w:hAnsi="David"/>
          <w:noProof w:val="0"/>
          <w:u w:val="single"/>
          <w:rtl/>
        </w:rPr>
        <w:t>רביעית</w:t>
      </w:r>
      <w:r>
        <w:rPr>
          <w:rFonts w:ascii="David" w:hAnsi="David"/>
          <w:noProof w:val="0"/>
          <w:rtl/>
        </w:rPr>
        <w:t xml:space="preserve">, בית המשפט המחוזי לא היה מוסמך לפסוק פיצוי כלשהו לטובת התובע, שהרי המסגרת הדיונית והשאלה המשפטית בערעור היתה מצומצמת אך ורק לשאלת תוקפו של הסכם המכר. </w:t>
      </w:r>
    </w:p>
    <w:p w14:paraId="04D0811B" w14:textId="77777777" w:rsidR="006F6013" w:rsidRDefault="006F6013" w:rsidP="00923961">
      <w:pPr>
        <w:spacing w:line="360" w:lineRule="auto"/>
        <w:jc w:val="both"/>
        <w:rPr>
          <w:rFonts w:ascii="Arial" w:hAnsi="Arial"/>
          <w:b/>
          <w:bCs/>
          <w:noProof w:val="0"/>
          <w:u w:val="single"/>
          <w:rtl/>
        </w:rPr>
      </w:pPr>
    </w:p>
    <w:p w14:paraId="4DF59B9C" w14:textId="77777777" w:rsidR="006F6013" w:rsidRPr="00923961" w:rsidRDefault="00000000" w:rsidP="00A66A81">
      <w:pPr>
        <w:spacing w:line="360" w:lineRule="auto"/>
        <w:jc w:val="both"/>
        <w:rPr>
          <w:rFonts w:ascii="Arial" w:hAnsi="Arial"/>
          <w:b/>
          <w:bCs/>
          <w:noProof w:val="0"/>
          <w:u w:val="single"/>
        </w:rPr>
      </w:pPr>
      <w:r w:rsidRPr="00923961">
        <w:rPr>
          <w:rFonts w:ascii="Arial" w:hAnsi="Arial"/>
          <w:b/>
          <w:bCs/>
          <w:noProof w:val="0"/>
          <w:u w:val="single"/>
          <w:rtl/>
        </w:rPr>
        <w:t xml:space="preserve">השבה של דמי השכירות </w:t>
      </w:r>
    </w:p>
    <w:p w14:paraId="625F8F5B" w14:textId="77777777" w:rsidR="006F6013" w:rsidRDefault="006F6013" w:rsidP="00774DEB">
      <w:pPr>
        <w:pStyle w:val="10"/>
        <w:spacing w:line="360" w:lineRule="auto"/>
        <w:ind w:left="360"/>
        <w:jc w:val="both"/>
        <w:rPr>
          <w:rFonts w:ascii="Arial" w:hAnsi="Arial"/>
          <w:noProof w:val="0"/>
          <w:rtl/>
        </w:rPr>
      </w:pPr>
    </w:p>
    <w:p w14:paraId="070B6E2E" w14:textId="77777777" w:rsidR="006F6013" w:rsidRDefault="00000000" w:rsidP="00515797">
      <w:pPr>
        <w:pStyle w:val="10"/>
        <w:numPr>
          <w:ilvl w:val="0"/>
          <w:numId w:val="1"/>
        </w:numPr>
        <w:spacing w:line="360" w:lineRule="auto"/>
        <w:jc w:val="both"/>
        <w:rPr>
          <w:rFonts w:ascii="Arial" w:hAnsi="Arial"/>
          <w:noProof w:val="0"/>
        </w:rPr>
      </w:pPr>
      <w:r w:rsidRPr="00B67460">
        <w:rPr>
          <w:rFonts w:ascii="Arial" w:hAnsi="Arial"/>
          <w:noProof w:val="0"/>
          <w:rtl/>
        </w:rPr>
        <w:t xml:space="preserve">אין מחלוקת, כי עד </w:t>
      </w:r>
      <w:r>
        <w:rPr>
          <w:rFonts w:ascii="Arial" w:hAnsi="Arial"/>
          <w:noProof w:val="0"/>
          <w:rtl/>
        </w:rPr>
        <w:t>למתן פסק-הדין,</w:t>
      </w:r>
      <w:r w:rsidRPr="00B67460">
        <w:rPr>
          <w:rFonts w:ascii="Arial" w:hAnsi="Arial"/>
          <w:noProof w:val="0"/>
          <w:rtl/>
        </w:rPr>
        <w:t xml:space="preserve"> התובע המשיך להעביר לנתבעת מחצית מדמי השכירות </w:t>
      </w:r>
      <w:r>
        <w:rPr>
          <w:rFonts w:ascii="Arial" w:hAnsi="Arial"/>
          <w:noProof w:val="0"/>
          <w:rtl/>
        </w:rPr>
        <w:t>בקיזוז סכום</w:t>
      </w:r>
      <w:r w:rsidRPr="00B67460">
        <w:rPr>
          <w:rFonts w:ascii="Arial" w:hAnsi="Arial"/>
          <w:noProof w:val="0"/>
          <w:rtl/>
        </w:rPr>
        <w:t xml:space="preserve"> החזר</w:t>
      </w:r>
      <w:r>
        <w:rPr>
          <w:rFonts w:ascii="Arial" w:hAnsi="Arial"/>
          <w:noProof w:val="0"/>
          <w:rtl/>
        </w:rPr>
        <w:t>י</w:t>
      </w:r>
      <w:r w:rsidRPr="00B67460">
        <w:rPr>
          <w:rFonts w:ascii="Arial" w:hAnsi="Arial"/>
          <w:noProof w:val="0"/>
          <w:rtl/>
        </w:rPr>
        <w:t xml:space="preserve"> המשכנתא</w:t>
      </w:r>
      <w:r>
        <w:rPr>
          <w:rFonts w:ascii="Arial" w:hAnsi="Arial"/>
          <w:noProof w:val="0"/>
          <w:rtl/>
        </w:rPr>
        <w:t xml:space="preserve"> (עמ' 72 שורה 8-10 לפרוט')</w:t>
      </w:r>
      <w:r w:rsidRPr="00B67460">
        <w:rPr>
          <w:rFonts w:ascii="Arial" w:hAnsi="Arial"/>
          <w:noProof w:val="0"/>
          <w:rtl/>
        </w:rPr>
        <w:t xml:space="preserve">. </w:t>
      </w:r>
    </w:p>
    <w:p w14:paraId="5C8E7F33" w14:textId="77777777" w:rsidR="006F6013" w:rsidRDefault="006F6013" w:rsidP="00C41B70">
      <w:pPr>
        <w:pStyle w:val="10"/>
        <w:spacing w:line="360" w:lineRule="auto"/>
        <w:ind w:left="360"/>
        <w:jc w:val="both"/>
        <w:rPr>
          <w:rFonts w:ascii="Arial" w:hAnsi="Arial"/>
          <w:noProof w:val="0"/>
        </w:rPr>
      </w:pPr>
    </w:p>
    <w:p w14:paraId="61B2B2F9" w14:textId="77777777" w:rsidR="006F6013" w:rsidRDefault="00000000" w:rsidP="00515797">
      <w:pPr>
        <w:pStyle w:val="10"/>
        <w:numPr>
          <w:ilvl w:val="0"/>
          <w:numId w:val="1"/>
        </w:numPr>
        <w:spacing w:line="360" w:lineRule="auto"/>
        <w:jc w:val="both"/>
        <w:rPr>
          <w:rFonts w:ascii="Arial" w:hAnsi="Arial"/>
          <w:noProof w:val="0"/>
        </w:rPr>
      </w:pPr>
      <w:r>
        <w:rPr>
          <w:rFonts w:ascii="Arial" w:hAnsi="Arial"/>
          <w:noProof w:val="0"/>
          <w:rtl/>
        </w:rPr>
        <w:t xml:space="preserve">לאחר שבחנתי את כל טענות הצדדים וראיותיהם, הגעתי למסקנה, כי </w:t>
      </w:r>
      <w:r w:rsidRPr="00B67460">
        <w:rPr>
          <w:rFonts w:ascii="Arial" w:hAnsi="Arial"/>
          <w:noProof w:val="0"/>
          <w:rtl/>
        </w:rPr>
        <w:t xml:space="preserve">על הנתבעת </w:t>
      </w:r>
      <w:r>
        <w:rPr>
          <w:rFonts w:ascii="Arial" w:hAnsi="Arial"/>
          <w:noProof w:val="0"/>
          <w:rtl/>
        </w:rPr>
        <w:t xml:space="preserve">חלה החובה </w:t>
      </w:r>
      <w:r w:rsidRPr="00B67460">
        <w:rPr>
          <w:rFonts w:ascii="Arial" w:hAnsi="Arial"/>
          <w:noProof w:val="0"/>
          <w:rtl/>
        </w:rPr>
        <w:t>להשיב</w:t>
      </w:r>
      <w:r>
        <w:rPr>
          <w:rFonts w:ascii="Arial" w:hAnsi="Arial"/>
          <w:noProof w:val="0"/>
          <w:rtl/>
        </w:rPr>
        <w:t xml:space="preserve"> לתובע</w:t>
      </w:r>
      <w:r w:rsidRPr="00B67460">
        <w:rPr>
          <w:rFonts w:ascii="Arial" w:hAnsi="Arial"/>
          <w:noProof w:val="0"/>
          <w:rtl/>
        </w:rPr>
        <w:t xml:space="preserve"> את תקבולי שכר הדירה שקיבלה מ</w:t>
      </w:r>
      <w:r>
        <w:rPr>
          <w:rFonts w:ascii="Arial" w:hAnsi="Arial"/>
          <w:noProof w:val="0"/>
          <w:rtl/>
        </w:rPr>
        <w:t>מנו</w:t>
      </w:r>
      <w:r w:rsidRPr="00B67460">
        <w:rPr>
          <w:rFonts w:ascii="Arial" w:hAnsi="Arial"/>
          <w:noProof w:val="0"/>
          <w:rtl/>
        </w:rPr>
        <w:t xml:space="preserve"> החל מיום 5.9.2014 ועד 10.2.2019</w:t>
      </w:r>
      <w:r>
        <w:rPr>
          <w:rFonts w:ascii="Arial" w:hAnsi="Arial"/>
          <w:noProof w:val="0"/>
          <w:rtl/>
        </w:rPr>
        <w:t xml:space="preserve">, וכן להשיב את פרמיית ביטוח המשכנתא ששילם עבורה התובע. </w:t>
      </w:r>
    </w:p>
    <w:p w14:paraId="1F88E66E" w14:textId="77777777" w:rsidR="006F6013" w:rsidRPr="00515797" w:rsidRDefault="006F6013" w:rsidP="00515797">
      <w:pPr>
        <w:pStyle w:val="10"/>
        <w:rPr>
          <w:rFonts w:ascii="Arial" w:hAnsi="Arial"/>
          <w:b/>
          <w:bCs/>
          <w:noProof w:val="0"/>
          <w:rtl/>
        </w:rPr>
      </w:pPr>
    </w:p>
    <w:p w14:paraId="61FCD9FC" w14:textId="77777777" w:rsidR="006F6013" w:rsidRPr="00515797" w:rsidRDefault="00000000" w:rsidP="007F60A4">
      <w:pPr>
        <w:pStyle w:val="10"/>
        <w:numPr>
          <w:ilvl w:val="0"/>
          <w:numId w:val="1"/>
        </w:numPr>
        <w:spacing w:line="360" w:lineRule="auto"/>
        <w:jc w:val="both"/>
        <w:rPr>
          <w:rFonts w:ascii="Arial" w:hAnsi="Arial"/>
          <w:noProof w:val="0"/>
        </w:rPr>
      </w:pPr>
      <w:r w:rsidRPr="00515797">
        <w:rPr>
          <w:rFonts w:ascii="Arial" w:hAnsi="Arial"/>
          <w:b/>
          <w:bCs/>
          <w:noProof w:val="0"/>
          <w:rtl/>
        </w:rPr>
        <w:t>חובת ההשבה החלה על הנתבעת, מבוססת על חמ</w:t>
      </w:r>
      <w:r>
        <w:rPr>
          <w:rFonts w:ascii="Arial" w:hAnsi="Arial"/>
          <w:b/>
          <w:bCs/>
          <w:noProof w:val="0"/>
          <w:rtl/>
        </w:rPr>
        <w:t xml:space="preserve">ישה </w:t>
      </w:r>
      <w:r w:rsidRPr="00515797">
        <w:rPr>
          <w:rFonts w:ascii="Arial" w:hAnsi="Arial"/>
          <w:b/>
          <w:bCs/>
          <w:noProof w:val="0"/>
          <w:rtl/>
        </w:rPr>
        <w:t>מקורות משפטיים</w:t>
      </w:r>
      <w:r>
        <w:rPr>
          <w:rFonts w:ascii="Arial" w:hAnsi="Arial"/>
          <w:b/>
          <w:bCs/>
          <w:noProof w:val="0"/>
          <w:rtl/>
        </w:rPr>
        <w:t xml:space="preserve">: </w:t>
      </w:r>
      <w:r w:rsidRPr="00515797">
        <w:rPr>
          <w:rFonts w:ascii="Arial" w:hAnsi="Arial"/>
          <w:noProof w:val="0"/>
          <w:rtl/>
        </w:rPr>
        <w:t xml:space="preserve">                          </w:t>
      </w:r>
    </w:p>
    <w:p w14:paraId="3C437216" w14:textId="77777777" w:rsidR="006F6013" w:rsidRDefault="00000000" w:rsidP="00A7272D">
      <w:pPr>
        <w:pStyle w:val="10"/>
        <w:numPr>
          <w:ilvl w:val="0"/>
          <w:numId w:val="10"/>
        </w:numPr>
        <w:spacing w:line="360" w:lineRule="auto"/>
        <w:jc w:val="both"/>
        <w:rPr>
          <w:rFonts w:ascii="Arial" w:hAnsi="Arial"/>
          <w:noProof w:val="0"/>
          <w:rtl/>
        </w:rPr>
      </w:pPr>
      <w:r>
        <w:rPr>
          <w:rFonts w:ascii="Arial" w:hAnsi="Arial"/>
          <w:noProof w:val="0"/>
          <w:rtl/>
        </w:rPr>
        <w:t xml:space="preserve">פסק-הדין קבע, כי התובע בעלים של הזכויות בדירה מיום 5.9.2014 (לכל המאוחר); </w:t>
      </w:r>
    </w:p>
    <w:p w14:paraId="027C9228" w14:textId="77777777" w:rsidR="006F6013" w:rsidRDefault="00000000" w:rsidP="00A7272D">
      <w:pPr>
        <w:pStyle w:val="10"/>
        <w:numPr>
          <w:ilvl w:val="0"/>
          <w:numId w:val="10"/>
        </w:numPr>
        <w:spacing w:line="360" w:lineRule="auto"/>
        <w:jc w:val="both"/>
        <w:rPr>
          <w:rFonts w:ascii="Arial" w:hAnsi="Arial"/>
          <w:noProof w:val="0"/>
        </w:rPr>
      </w:pPr>
      <w:r>
        <w:rPr>
          <w:rFonts w:ascii="Arial" w:hAnsi="Arial"/>
          <w:noProof w:val="0"/>
          <w:rtl/>
        </w:rPr>
        <w:t>ההסכם מיום 1.6.2014, קבע</w:t>
      </w:r>
      <w:r w:rsidRPr="00094D46">
        <w:rPr>
          <w:rFonts w:ascii="Arial" w:hAnsi="Arial"/>
          <w:noProof w:val="0"/>
          <w:rtl/>
        </w:rPr>
        <w:t xml:space="preserve"> את זכות כל אחד מהצדדים ל</w:t>
      </w:r>
      <w:r>
        <w:rPr>
          <w:rFonts w:ascii="Arial" w:hAnsi="Arial"/>
          <w:noProof w:val="0"/>
          <w:rtl/>
        </w:rPr>
        <w:t xml:space="preserve">קבל את </w:t>
      </w:r>
      <w:r w:rsidRPr="00094D46">
        <w:rPr>
          <w:rFonts w:ascii="Arial" w:hAnsi="Arial"/>
          <w:noProof w:val="0"/>
          <w:rtl/>
        </w:rPr>
        <w:t xml:space="preserve">דמי </w:t>
      </w:r>
      <w:r>
        <w:rPr>
          <w:rFonts w:ascii="Arial" w:hAnsi="Arial"/>
          <w:noProof w:val="0"/>
          <w:rtl/>
        </w:rPr>
        <w:t>ה</w:t>
      </w:r>
      <w:r w:rsidRPr="00094D46">
        <w:rPr>
          <w:rFonts w:ascii="Arial" w:hAnsi="Arial"/>
          <w:noProof w:val="0"/>
          <w:rtl/>
        </w:rPr>
        <w:t>שכירות עד המכירה</w:t>
      </w:r>
      <w:r>
        <w:rPr>
          <w:rFonts w:ascii="Arial" w:hAnsi="Arial"/>
          <w:noProof w:val="0"/>
          <w:rtl/>
        </w:rPr>
        <w:t>, ומכאן שמיום עסקת המכר זכאי התובע למלוא דמי השכירות</w:t>
      </w:r>
      <w:r w:rsidRPr="00094D46">
        <w:rPr>
          <w:rFonts w:ascii="Arial" w:hAnsi="Arial"/>
          <w:noProof w:val="0"/>
          <w:rtl/>
        </w:rPr>
        <w:t xml:space="preserve">; </w:t>
      </w:r>
    </w:p>
    <w:p w14:paraId="7FFFCC0A" w14:textId="77777777" w:rsidR="006F6013" w:rsidRDefault="00000000" w:rsidP="00A7272D">
      <w:pPr>
        <w:pStyle w:val="10"/>
        <w:numPr>
          <w:ilvl w:val="0"/>
          <w:numId w:val="10"/>
        </w:numPr>
        <w:spacing w:line="360" w:lineRule="auto"/>
        <w:jc w:val="both"/>
        <w:rPr>
          <w:rFonts w:ascii="Arial" w:hAnsi="Arial"/>
          <w:noProof w:val="0"/>
        </w:rPr>
      </w:pPr>
      <w:r>
        <w:rPr>
          <w:rFonts w:ascii="Arial" w:hAnsi="Arial"/>
          <w:noProof w:val="0"/>
          <w:rtl/>
        </w:rPr>
        <w:t xml:space="preserve">פסק-הדין קבע, כי הנתבעת סיכלה את השלמת עסקת המכר; פסק-הדין מקים "השתק פלוגתא" כנגד הנתבעת;  </w:t>
      </w:r>
    </w:p>
    <w:p w14:paraId="13438EBA" w14:textId="77777777" w:rsidR="006F6013" w:rsidRDefault="00BD7105" w:rsidP="00A7272D">
      <w:pPr>
        <w:pStyle w:val="10"/>
        <w:numPr>
          <w:ilvl w:val="0"/>
          <w:numId w:val="10"/>
        </w:numPr>
        <w:spacing w:line="360" w:lineRule="auto"/>
        <w:jc w:val="both"/>
        <w:rPr>
          <w:rFonts w:ascii="Arial" w:hAnsi="Arial"/>
          <w:noProof w:val="0"/>
        </w:rPr>
      </w:pPr>
      <w:hyperlink r:id="rId11" w:history="1">
        <w:r w:rsidRPr="00BD7105">
          <w:rPr>
            <w:rFonts w:ascii="Arial" w:hAnsi="Arial"/>
            <w:noProof w:val="0"/>
            <w:color w:val="0000FF"/>
            <w:u w:val="single"/>
            <w:rtl/>
          </w:rPr>
          <w:t>חוק עשיית עושר ולא במשפט</w:t>
        </w:r>
      </w:hyperlink>
      <w:r w:rsidR="00000000">
        <w:rPr>
          <w:rFonts w:ascii="Arial" w:hAnsi="Arial"/>
          <w:noProof w:val="0"/>
          <w:rtl/>
        </w:rPr>
        <w:t>, תשל"ט-1979, הקובע את חובת ההשבה;</w:t>
      </w:r>
    </w:p>
    <w:p w14:paraId="21C74020" w14:textId="77777777" w:rsidR="006F6013" w:rsidRPr="00094D46" w:rsidRDefault="00000000" w:rsidP="00BD740B">
      <w:pPr>
        <w:pStyle w:val="10"/>
        <w:numPr>
          <w:ilvl w:val="0"/>
          <w:numId w:val="10"/>
        </w:numPr>
        <w:spacing w:line="360" w:lineRule="auto"/>
        <w:jc w:val="both"/>
        <w:rPr>
          <w:rFonts w:ascii="Arial" w:hAnsi="Arial"/>
          <w:noProof w:val="0"/>
        </w:rPr>
      </w:pPr>
      <w:r>
        <w:rPr>
          <w:rFonts w:ascii="Arial" w:hAnsi="Arial"/>
          <w:noProof w:val="0"/>
          <w:rtl/>
        </w:rPr>
        <w:t xml:space="preserve">הנתבעת סיכלה את התנאי בעסקת המכר </w:t>
      </w:r>
      <w:r w:rsidRPr="0044153D">
        <w:rPr>
          <w:rFonts w:ascii="David" w:hAnsi="David"/>
          <w:noProof w:val="0"/>
          <w:rtl/>
        </w:rPr>
        <w:t>ואין היא זכאית להסתמך על אי-קיומו</w:t>
      </w:r>
      <w:r>
        <w:rPr>
          <w:rFonts w:ascii="Arial" w:hAnsi="Arial"/>
          <w:noProof w:val="0"/>
          <w:rtl/>
        </w:rPr>
        <w:t xml:space="preserve"> – </w:t>
      </w:r>
      <w:hyperlink r:id="rId12" w:history="1">
        <w:r w:rsidR="000919FD" w:rsidRPr="000919FD">
          <w:rPr>
            <w:rStyle w:val="Hyperlink"/>
            <w:rFonts w:ascii="Arial" w:hAnsi="Arial"/>
            <w:noProof w:val="0"/>
            <w:rtl/>
          </w:rPr>
          <w:t>סעיפים 28</w:t>
        </w:r>
      </w:hyperlink>
      <w:r>
        <w:rPr>
          <w:rFonts w:ascii="Arial" w:hAnsi="Arial"/>
          <w:noProof w:val="0"/>
          <w:rtl/>
        </w:rPr>
        <w:t xml:space="preserve"> ו- </w:t>
      </w:r>
      <w:hyperlink r:id="rId13" w:history="1">
        <w:r w:rsidR="000919FD" w:rsidRPr="000919FD">
          <w:rPr>
            <w:rStyle w:val="Hyperlink"/>
            <w:rFonts w:ascii="Arial" w:hAnsi="Arial"/>
            <w:noProof w:val="0"/>
            <w:rtl/>
          </w:rPr>
          <w:t>43 (א)</w:t>
        </w:r>
      </w:hyperlink>
      <w:r>
        <w:rPr>
          <w:rFonts w:ascii="Arial" w:hAnsi="Arial"/>
          <w:noProof w:val="0"/>
          <w:rtl/>
        </w:rPr>
        <w:t xml:space="preserve"> ל</w:t>
      </w:r>
      <w:hyperlink r:id="rId14" w:history="1">
        <w:r w:rsidR="00BD7105" w:rsidRPr="00BD7105">
          <w:rPr>
            <w:rFonts w:ascii="Arial" w:hAnsi="Arial"/>
            <w:noProof w:val="0"/>
            <w:color w:val="0000FF"/>
            <w:u w:val="single"/>
            <w:rtl/>
          </w:rPr>
          <w:t>חוק החוזים</w:t>
        </w:r>
      </w:hyperlink>
      <w:r w:rsidRPr="00094D46">
        <w:rPr>
          <w:rFonts w:ascii="Arial" w:hAnsi="Arial"/>
          <w:noProof w:val="0"/>
          <w:rtl/>
        </w:rPr>
        <w:t xml:space="preserve"> (חלק כללי) תשל"ג-1973. </w:t>
      </w:r>
    </w:p>
    <w:p w14:paraId="73F3DB32" w14:textId="77777777" w:rsidR="006F6013" w:rsidRDefault="006F6013" w:rsidP="00685FD8">
      <w:pPr>
        <w:pStyle w:val="10"/>
        <w:spacing w:line="360" w:lineRule="auto"/>
        <w:ind w:left="907"/>
        <w:jc w:val="both"/>
        <w:rPr>
          <w:rFonts w:ascii="Arial" w:hAnsi="Arial"/>
          <w:noProof w:val="0"/>
        </w:rPr>
      </w:pPr>
    </w:p>
    <w:p w14:paraId="6D2D099E" w14:textId="77777777" w:rsidR="006F6013" w:rsidRDefault="00000000" w:rsidP="00D25503">
      <w:pPr>
        <w:pStyle w:val="10"/>
        <w:numPr>
          <w:ilvl w:val="0"/>
          <w:numId w:val="1"/>
        </w:numPr>
        <w:spacing w:line="360" w:lineRule="auto"/>
        <w:jc w:val="both"/>
        <w:rPr>
          <w:rFonts w:ascii="Arial" w:hAnsi="Arial"/>
          <w:noProof w:val="0"/>
        </w:rPr>
      </w:pPr>
      <w:r w:rsidRPr="00E33D62">
        <w:rPr>
          <w:rFonts w:ascii="Arial" w:hAnsi="Arial"/>
          <w:noProof w:val="0"/>
          <w:rtl/>
        </w:rPr>
        <w:t xml:space="preserve">בית המשפט המחוזי קבע בפסק-הדין, כי </w:t>
      </w:r>
      <w:r w:rsidRPr="00E33D62">
        <w:rPr>
          <w:rFonts w:ascii="Arial" w:hAnsi="Arial"/>
          <w:b/>
          <w:bCs/>
          <w:noProof w:val="0"/>
          <w:rtl/>
        </w:rPr>
        <w:t>"ביום 2.9.2014, ולכל המאוחר ביום 5.9.2014, נכרת בין הצדדים הסכם 'אגב גירושין' לפיו רכש המערער מהמשיבה את זכויותיה בדירה על פי שווי דירה של 1.9 מיליון ₪ ולפיכך דין תביעת המערער לאכיפת הסכם המכר – להתקבל".</w:t>
      </w:r>
      <w:r w:rsidRPr="00E33D62">
        <w:rPr>
          <w:rFonts w:ascii="Arial" w:hAnsi="Arial"/>
          <w:noProof w:val="0"/>
          <w:rtl/>
        </w:rPr>
        <w:t xml:space="preserve"> </w:t>
      </w:r>
    </w:p>
    <w:p w14:paraId="73D6E75C" w14:textId="77777777" w:rsidR="006F6013" w:rsidRPr="00E33D62" w:rsidRDefault="00000000" w:rsidP="00A7272D">
      <w:pPr>
        <w:pStyle w:val="10"/>
        <w:spacing w:line="360" w:lineRule="auto"/>
        <w:ind w:left="360"/>
        <w:jc w:val="both"/>
        <w:rPr>
          <w:rFonts w:ascii="Arial" w:hAnsi="Arial"/>
          <w:noProof w:val="0"/>
        </w:rPr>
      </w:pPr>
      <w:r w:rsidRPr="00E33D62">
        <w:rPr>
          <w:rFonts w:ascii="Arial" w:hAnsi="Arial"/>
          <w:noProof w:val="0"/>
          <w:rtl/>
        </w:rPr>
        <w:t xml:space="preserve">בית המשפט המחוזי הכיר בתוקפו של הסכם המכר </w:t>
      </w:r>
      <w:r w:rsidRPr="00E33D62">
        <w:rPr>
          <w:rFonts w:ascii="Arial" w:hAnsi="Arial"/>
          <w:noProof w:val="0"/>
          <w:u w:val="single"/>
          <w:rtl/>
        </w:rPr>
        <w:t>והחילו רטרואקטיבית</w:t>
      </w:r>
      <w:r w:rsidRPr="00E33D62">
        <w:rPr>
          <w:rFonts w:ascii="Arial" w:hAnsi="Arial"/>
          <w:noProof w:val="0"/>
          <w:rtl/>
        </w:rPr>
        <w:t>, כך שהחל מיום 2.9.2014 ולכל המאוחר ביום 5.9.2014, התובע הוא בעל</w:t>
      </w:r>
      <w:r>
        <w:rPr>
          <w:rFonts w:ascii="Arial" w:hAnsi="Arial"/>
          <w:noProof w:val="0"/>
          <w:rtl/>
        </w:rPr>
        <w:t>ים של</w:t>
      </w:r>
      <w:r w:rsidRPr="00E33D62">
        <w:rPr>
          <w:rFonts w:ascii="Arial" w:hAnsi="Arial"/>
          <w:noProof w:val="0"/>
          <w:rtl/>
        </w:rPr>
        <w:t xml:space="preserve"> מלוא הזכויות בדירה. </w:t>
      </w:r>
      <w:r>
        <w:rPr>
          <w:rFonts w:ascii="Arial" w:hAnsi="Arial"/>
          <w:noProof w:val="0"/>
          <w:rtl/>
        </w:rPr>
        <w:t>ל</w:t>
      </w:r>
      <w:r w:rsidRPr="00E33D62">
        <w:rPr>
          <w:rFonts w:ascii="Arial" w:hAnsi="Arial"/>
          <w:noProof w:val="0"/>
          <w:rtl/>
        </w:rPr>
        <w:t xml:space="preserve">אור </w:t>
      </w:r>
      <w:r>
        <w:rPr>
          <w:rFonts w:ascii="Arial" w:hAnsi="Arial"/>
          <w:noProof w:val="0"/>
          <w:rtl/>
        </w:rPr>
        <w:t>קביעות</w:t>
      </w:r>
      <w:r w:rsidRPr="00E33D62">
        <w:rPr>
          <w:rFonts w:ascii="Arial" w:hAnsi="Arial"/>
          <w:noProof w:val="0"/>
          <w:rtl/>
        </w:rPr>
        <w:t xml:space="preserve"> פסק-הדין, התובע זכאי ליהנות באופן בלעדי מפירות הנכס שבבעלותו, </w:t>
      </w:r>
      <w:r>
        <w:rPr>
          <w:rFonts w:ascii="Arial" w:hAnsi="Arial"/>
          <w:noProof w:val="0"/>
          <w:rtl/>
        </w:rPr>
        <w:t xml:space="preserve">החל </w:t>
      </w:r>
      <w:r w:rsidRPr="00E33D62">
        <w:rPr>
          <w:rFonts w:ascii="Arial" w:hAnsi="Arial"/>
          <w:noProof w:val="0"/>
          <w:rtl/>
        </w:rPr>
        <w:t xml:space="preserve">מיום 5.9.2014 ועד למועד מתן פסק-הדין ביום 10.2.2019. </w:t>
      </w:r>
    </w:p>
    <w:p w14:paraId="1676A318" w14:textId="77777777" w:rsidR="006F6013" w:rsidRPr="005B23BB" w:rsidRDefault="006F6013" w:rsidP="005B23BB">
      <w:pPr>
        <w:pStyle w:val="10"/>
        <w:rPr>
          <w:rFonts w:ascii="Arial" w:hAnsi="Arial"/>
          <w:noProof w:val="0"/>
          <w:rtl/>
        </w:rPr>
      </w:pPr>
    </w:p>
    <w:p w14:paraId="605B8E22" w14:textId="77777777" w:rsidR="006F6013" w:rsidRPr="005B23BB" w:rsidRDefault="00000000" w:rsidP="009F5D8D">
      <w:pPr>
        <w:pStyle w:val="10"/>
        <w:numPr>
          <w:ilvl w:val="0"/>
          <w:numId w:val="1"/>
        </w:numPr>
        <w:spacing w:line="360" w:lineRule="auto"/>
        <w:jc w:val="both"/>
        <w:rPr>
          <w:rFonts w:ascii="Arial" w:hAnsi="Arial"/>
          <w:noProof w:val="0"/>
        </w:rPr>
      </w:pPr>
      <w:r w:rsidRPr="005B23BB">
        <w:rPr>
          <w:rFonts w:ascii="Arial" w:hAnsi="Arial"/>
          <w:noProof w:val="0"/>
          <w:rtl/>
        </w:rPr>
        <w:t xml:space="preserve">מקור </w:t>
      </w:r>
      <w:r>
        <w:rPr>
          <w:rFonts w:ascii="Arial" w:hAnsi="Arial"/>
          <w:noProof w:val="0"/>
          <w:rtl/>
        </w:rPr>
        <w:t xml:space="preserve">משפטי </w:t>
      </w:r>
      <w:r w:rsidRPr="005B23BB">
        <w:rPr>
          <w:rFonts w:ascii="Arial" w:hAnsi="Arial"/>
          <w:noProof w:val="0"/>
          <w:rtl/>
        </w:rPr>
        <w:t>נוסף לחיוב הנתבעת בהשבה של דמי השכירות</w:t>
      </w:r>
      <w:r>
        <w:rPr>
          <w:rFonts w:ascii="Arial" w:hAnsi="Arial"/>
          <w:noProof w:val="0"/>
          <w:rtl/>
        </w:rPr>
        <w:t>,</w:t>
      </w:r>
      <w:r w:rsidRPr="005B23BB">
        <w:rPr>
          <w:rFonts w:ascii="Arial" w:hAnsi="Arial"/>
          <w:noProof w:val="0"/>
          <w:rtl/>
        </w:rPr>
        <w:t xml:space="preserve"> </w:t>
      </w:r>
      <w:r w:rsidRPr="009F5D8D">
        <w:rPr>
          <w:rFonts w:ascii="Arial" w:hAnsi="Arial"/>
          <w:b/>
          <w:bCs/>
          <w:noProof w:val="0"/>
          <w:rtl/>
        </w:rPr>
        <w:t>מצוי בהסכם מיום 1.6.2024</w:t>
      </w:r>
      <w:r w:rsidRPr="005B23BB">
        <w:rPr>
          <w:rFonts w:ascii="Arial" w:hAnsi="Arial"/>
          <w:noProof w:val="0"/>
          <w:rtl/>
        </w:rPr>
        <w:t xml:space="preserve">, שאושר בבית המשפט וניתן לו תוקף של פסק-דין. לפי ההסכם, </w:t>
      </w:r>
      <w:r w:rsidRPr="009F5D8D">
        <w:rPr>
          <w:rFonts w:ascii="Arial" w:hAnsi="Arial"/>
          <w:b/>
          <w:bCs/>
          <w:noProof w:val="0"/>
          <w:rtl/>
        </w:rPr>
        <w:t>"עד למכירת הדירה דמי השכירות שיתקבלו ישמשו לתשלום החזרי המשכנתא וההוצאות שיחולו על הדירה והיתרה תחולק כאמור שווה בשווה".</w:t>
      </w:r>
      <w:r w:rsidRPr="005B23BB">
        <w:rPr>
          <w:rFonts w:ascii="Arial" w:hAnsi="Arial"/>
          <w:noProof w:val="0"/>
          <w:rtl/>
        </w:rPr>
        <w:t xml:space="preserve"> אמור מעתה, לנתבעת זכות לקבלת דמי השכירות </w:t>
      </w:r>
      <w:r w:rsidRPr="00C41B70">
        <w:rPr>
          <w:rFonts w:ascii="Arial" w:hAnsi="Arial"/>
          <w:noProof w:val="0"/>
          <w:u w:val="single"/>
          <w:rtl/>
        </w:rPr>
        <w:t>עד למועד מכירתה הדירה</w:t>
      </w:r>
      <w:r>
        <w:rPr>
          <w:rFonts w:ascii="Arial" w:hAnsi="Arial"/>
          <w:noProof w:val="0"/>
          <w:rtl/>
        </w:rPr>
        <w:t xml:space="preserve">; מאחר ועל פי פסק-הדין הדירה נמכרה לתובע </w:t>
      </w:r>
      <w:r w:rsidRPr="005B23BB">
        <w:rPr>
          <w:rFonts w:ascii="Arial" w:hAnsi="Arial"/>
          <w:noProof w:val="0"/>
          <w:rtl/>
        </w:rPr>
        <w:t xml:space="preserve">לכל המאוחר </w:t>
      </w:r>
      <w:r>
        <w:rPr>
          <w:rFonts w:ascii="Arial" w:hAnsi="Arial"/>
          <w:noProof w:val="0"/>
          <w:rtl/>
        </w:rPr>
        <w:t>ב</w:t>
      </w:r>
      <w:r w:rsidRPr="005B23BB">
        <w:rPr>
          <w:rFonts w:ascii="Arial" w:hAnsi="Arial"/>
          <w:noProof w:val="0"/>
          <w:rtl/>
        </w:rPr>
        <w:t xml:space="preserve">יום 5.9.2014, </w:t>
      </w:r>
      <w:r>
        <w:rPr>
          <w:rFonts w:ascii="Arial" w:hAnsi="Arial"/>
          <w:noProof w:val="0"/>
          <w:rtl/>
        </w:rPr>
        <w:t xml:space="preserve">הרי </w:t>
      </w:r>
      <w:r w:rsidRPr="00085A72">
        <w:rPr>
          <w:rFonts w:ascii="Arial" w:hAnsi="Arial"/>
          <w:b/>
          <w:bCs/>
          <w:noProof w:val="0"/>
          <w:rtl/>
        </w:rPr>
        <w:t>שממועד זה זכאי התובע למלוא דמי השכירות</w:t>
      </w:r>
      <w:r>
        <w:rPr>
          <w:rFonts w:ascii="Arial" w:hAnsi="Arial"/>
          <w:noProof w:val="0"/>
          <w:rtl/>
        </w:rPr>
        <w:t xml:space="preserve"> (ראה עדות התובע בעמ' 6 שורות 31-32 לפרוט')</w:t>
      </w:r>
      <w:r w:rsidRPr="005B23BB">
        <w:rPr>
          <w:rFonts w:ascii="Arial" w:hAnsi="Arial"/>
          <w:noProof w:val="0"/>
          <w:rtl/>
        </w:rPr>
        <w:t>, בדיוק כפי שצד שלישי</w:t>
      </w:r>
      <w:r>
        <w:rPr>
          <w:rFonts w:ascii="Arial" w:hAnsi="Arial"/>
          <w:noProof w:val="0"/>
          <w:rtl/>
        </w:rPr>
        <w:t>,</w:t>
      </w:r>
      <w:r w:rsidRPr="005B23BB">
        <w:rPr>
          <w:rFonts w:ascii="Arial" w:hAnsi="Arial"/>
          <w:noProof w:val="0"/>
          <w:rtl/>
        </w:rPr>
        <w:t xml:space="preserve"> שהיה רוכש את הדירה</w:t>
      </w:r>
      <w:r>
        <w:rPr>
          <w:rFonts w:ascii="Arial" w:hAnsi="Arial"/>
          <w:noProof w:val="0"/>
          <w:rtl/>
        </w:rPr>
        <w:t>,</w:t>
      </w:r>
      <w:r w:rsidRPr="005B23BB">
        <w:rPr>
          <w:rFonts w:ascii="Arial" w:hAnsi="Arial"/>
          <w:noProof w:val="0"/>
          <w:rtl/>
        </w:rPr>
        <w:t xml:space="preserve"> היה זכאי למלוא דמי השכירות.  </w:t>
      </w:r>
    </w:p>
    <w:p w14:paraId="336893F5" w14:textId="77777777" w:rsidR="006F6013" w:rsidRPr="00447F9F" w:rsidRDefault="006F6013" w:rsidP="003615DB">
      <w:pPr>
        <w:pStyle w:val="10"/>
        <w:spacing w:line="360" w:lineRule="auto"/>
        <w:rPr>
          <w:rFonts w:ascii="Arial" w:hAnsi="Arial"/>
          <w:noProof w:val="0"/>
          <w:rtl/>
        </w:rPr>
      </w:pPr>
    </w:p>
    <w:p w14:paraId="4E00DD2B" w14:textId="77777777" w:rsidR="006F6013" w:rsidRPr="00BD740B" w:rsidRDefault="00000000" w:rsidP="00F2610E">
      <w:pPr>
        <w:pStyle w:val="10"/>
        <w:numPr>
          <w:ilvl w:val="0"/>
          <w:numId w:val="1"/>
        </w:numPr>
        <w:spacing w:line="360" w:lineRule="auto"/>
        <w:jc w:val="both"/>
        <w:rPr>
          <w:rFonts w:ascii="Arial" w:hAnsi="Arial"/>
          <w:noProof w:val="0"/>
          <w:rtl/>
        </w:rPr>
      </w:pPr>
      <w:r w:rsidRPr="00BD740B">
        <w:rPr>
          <w:rFonts w:ascii="Arial" w:hAnsi="Arial"/>
          <w:noProof w:val="0"/>
          <w:rtl/>
        </w:rPr>
        <w:t xml:space="preserve">הנתבעת טוענת, כי התובע שילם את תמורת המכר רק ביום 6.9.2020, ועל כן, כמו בכל הסכם מכר, כל עוד לא שולמה תמורת המכר, הוא אינו זכאי ליהנות מפירות הנכס כל עוד לא שילם את תמורת המכר. במילים נוספות: הנתבעת טוענת כי הסכם המכר </w:t>
      </w:r>
      <w:r w:rsidRPr="00BD740B">
        <w:rPr>
          <w:rFonts w:ascii="Arial" w:hAnsi="Arial"/>
          <w:b/>
          <w:bCs/>
          <w:noProof w:val="0"/>
          <w:rtl/>
        </w:rPr>
        <w:t>תלוי בתנאי מתלה</w:t>
      </w:r>
      <w:r w:rsidRPr="00BD740B">
        <w:rPr>
          <w:rFonts w:ascii="Arial" w:hAnsi="Arial"/>
          <w:noProof w:val="0"/>
          <w:rtl/>
        </w:rPr>
        <w:t xml:space="preserve"> והוא תשלום תמורת המכר, כפי שקובע </w:t>
      </w:r>
      <w:hyperlink r:id="rId15" w:history="1">
        <w:r w:rsidR="000919FD" w:rsidRPr="000919FD">
          <w:rPr>
            <w:rStyle w:val="Hyperlink"/>
            <w:rFonts w:ascii="Arial" w:hAnsi="Arial"/>
            <w:noProof w:val="0"/>
            <w:rtl/>
          </w:rPr>
          <w:t>סע' 23</w:t>
        </w:r>
      </w:hyperlink>
      <w:r w:rsidRPr="00BD740B">
        <w:rPr>
          <w:rFonts w:ascii="Arial" w:hAnsi="Arial"/>
          <w:noProof w:val="0"/>
          <w:rtl/>
        </w:rPr>
        <w:t xml:space="preserve"> ל</w:t>
      </w:r>
      <w:hyperlink r:id="rId16" w:history="1">
        <w:r w:rsidR="00BD7105" w:rsidRPr="00BD7105">
          <w:rPr>
            <w:rFonts w:ascii="Arial" w:hAnsi="Arial"/>
            <w:noProof w:val="0"/>
            <w:color w:val="0000FF"/>
            <w:u w:val="single"/>
            <w:rtl/>
          </w:rPr>
          <w:t>חוק המכר</w:t>
        </w:r>
      </w:hyperlink>
      <w:r w:rsidRPr="00BD740B">
        <w:rPr>
          <w:rFonts w:ascii="Arial" w:hAnsi="Arial"/>
          <w:noProof w:val="0"/>
          <w:rtl/>
        </w:rPr>
        <w:t xml:space="preserve">, תשכ"ח-1968. </w:t>
      </w:r>
    </w:p>
    <w:p w14:paraId="1231992F" w14:textId="77777777" w:rsidR="006F6013" w:rsidRDefault="00000000" w:rsidP="00162543">
      <w:pPr>
        <w:pStyle w:val="10"/>
        <w:numPr>
          <w:ilvl w:val="0"/>
          <w:numId w:val="1"/>
        </w:numPr>
        <w:spacing w:line="360" w:lineRule="auto"/>
        <w:jc w:val="both"/>
        <w:rPr>
          <w:rFonts w:ascii="Arial" w:hAnsi="Arial"/>
          <w:noProof w:val="0"/>
        </w:rPr>
      </w:pPr>
      <w:r w:rsidRPr="00C41B70">
        <w:rPr>
          <w:rFonts w:ascii="Arial" w:hAnsi="Arial"/>
          <w:noProof w:val="0"/>
          <w:rtl/>
        </w:rPr>
        <w:t xml:space="preserve">הנתבעת "דילגה" משנת 2014 לשנת 2020, תוך שהיא מתעלמת מהעובדה שבמשך </w:t>
      </w:r>
      <w:r>
        <w:rPr>
          <w:rFonts w:ascii="Arial" w:hAnsi="Arial"/>
          <w:noProof w:val="0"/>
          <w:rtl/>
        </w:rPr>
        <w:t xml:space="preserve">תקופה ממושכת, עד למועד שבו ניתן פסק-הדין, התנתה את הסכמתה </w:t>
      </w:r>
      <w:r w:rsidRPr="00C41B70">
        <w:rPr>
          <w:rFonts w:ascii="Arial" w:hAnsi="Arial"/>
          <w:noProof w:val="0"/>
          <w:rtl/>
        </w:rPr>
        <w:t>ל</w:t>
      </w:r>
      <w:r>
        <w:rPr>
          <w:rFonts w:ascii="Arial" w:hAnsi="Arial"/>
          <w:noProof w:val="0"/>
          <w:rtl/>
        </w:rPr>
        <w:t xml:space="preserve">השלים את עסקת המכר בכך שייחתם הסכם גירושין כולל (ראה סע' 10 לתצהיר עדות ראשית של הנתבעת; עדותה בעמ' 59 שורות 23-35 לפרוט'). בכך מנעה הנתבעת מהתובע לשלם את תמורת המכר, והיא </w:t>
      </w:r>
      <w:r w:rsidRPr="00085A72">
        <w:rPr>
          <w:rFonts w:ascii="Arial" w:hAnsi="Arial"/>
          <w:b/>
          <w:bCs/>
          <w:noProof w:val="0"/>
          <w:rtl/>
        </w:rPr>
        <w:t>מנועה</w:t>
      </w:r>
      <w:r>
        <w:rPr>
          <w:rFonts w:ascii="Arial" w:hAnsi="Arial"/>
          <w:noProof w:val="0"/>
          <w:rtl/>
        </w:rPr>
        <w:t xml:space="preserve"> להסתמך על הטענה שהתנאי לא התקיים. </w:t>
      </w:r>
    </w:p>
    <w:p w14:paraId="13CE5C65" w14:textId="77777777" w:rsidR="006F6013" w:rsidRPr="00C41B70" w:rsidRDefault="00000000" w:rsidP="00085A72">
      <w:pPr>
        <w:pStyle w:val="10"/>
        <w:spacing w:line="360" w:lineRule="auto"/>
        <w:ind w:left="360"/>
        <w:jc w:val="both"/>
        <w:rPr>
          <w:rFonts w:ascii="Arial" w:hAnsi="Arial"/>
          <w:noProof w:val="0"/>
        </w:rPr>
      </w:pPr>
      <w:r>
        <w:rPr>
          <w:rFonts w:ascii="Arial" w:hAnsi="Arial"/>
          <w:noProof w:val="0"/>
          <w:rtl/>
        </w:rPr>
        <w:t xml:space="preserve">סירוב הנתבעת לחתום על מסמכי המכר, אילץ את התובע להגיש </w:t>
      </w:r>
      <w:r w:rsidRPr="00C41B70">
        <w:rPr>
          <w:rFonts w:ascii="Arial" w:hAnsi="Arial"/>
          <w:noProof w:val="0"/>
          <w:rtl/>
        </w:rPr>
        <w:t>תביעה למתן פסק-דין הצהרתי</w:t>
      </w:r>
      <w:r>
        <w:rPr>
          <w:rFonts w:ascii="Arial" w:hAnsi="Arial"/>
          <w:noProof w:val="0"/>
          <w:rtl/>
        </w:rPr>
        <w:t xml:space="preserve">, ומאז שנת 2015 </w:t>
      </w:r>
      <w:r w:rsidRPr="00C41B70">
        <w:rPr>
          <w:rFonts w:ascii="Arial" w:hAnsi="Arial"/>
          <w:noProof w:val="0"/>
          <w:rtl/>
        </w:rPr>
        <w:t xml:space="preserve">היו תלויים ועומדים הליכים משפטיים בשאלת תוקפו של הסכם המכר, עד אשר הוכרעה המחלוקת בפסק-הדין של בית המשפט המחוזי מיום 10.2.2019. </w:t>
      </w:r>
    </w:p>
    <w:p w14:paraId="6EBB4AA2" w14:textId="77777777" w:rsidR="006F6013" w:rsidRDefault="006F6013" w:rsidP="00BD740B">
      <w:pPr>
        <w:pStyle w:val="10"/>
        <w:spacing w:line="360" w:lineRule="auto"/>
        <w:ind w:left="360"/>
        <w:jc w:val="both"/>
        <w:rPr>
          <w:rFonts w:ascii="Arial" w:hAnsi="Arial"/>
          <w:noProof w:val="0"/>
        </w:rPr>
      </w:pPr>
    </w:p>
    <w:p w14:paraId="222B0EAE" w14:textId="77777777" w:rsidR="006F6013" w:rsidRDefault="00000000" w:rsidP="00162543">
      <w:pPr>
        <w:pStyle w:val="10"/>
        <w:numPr>
          <w:ilvl w:val="0"/>
          <w:numId w:val="1"/>
        </w:numPr>
        <w:spacing w:line="360" w:lineRule="auto"/>
        <w:jc w:val="both"/>
        <w:rPr>
          <w:rFonts w:ascii="Arial" w:hAnsi="Arial"/>
          <w:noProof w:val="0"/>
        </w:rPr>
      </w:pPr>
      <w:r>
        <w:rPr>
          <w:rFonts w:ascii="Arial" w:hAnsi="Arial"/>
          <w:noProof w:val="0"/>
          <w:rtl/>
        </w:rPr>
        <w:t>שתי</w:t>
      </w:r>
      <w:r w:rsidRPr="006D1A0B">
        <w:rPr>
          <w:rFonts w:ascii="Arial" w:hAnsi="Arial"/>
          <w:noProof w:val="0"/>
          <w:rtl/>
        </w:rPr>
        <w:t xml:space="preserve"> קביעות חשובות בפסק-הדין</w:t>
      </w:r>
      <w:r>
        <w:rPr>
          <w:rFonts w:ascii="Arial" w:hAnsi="Arial"/>
          <w:noProof w:val="0"/>
          <w:rtl/>
        </w:rPr>
        <w:t xml:space="preserve"> </w:t>
      </w:r>
      <w:r w:rsidRPr="006D1A0B">
        <w:rPr>
          <w:rFonts w:ascii="Arial" w:hAnsi="Arial"/>
          <w:noProof w:val="0"/>
          <w:rtl/>
        </w:rPr>
        <w:t>נוגע</w:t>
      </w:r>
      <w:r>
        <w:rPr>
          <w:rFonts w:ascii="Arial" w:hAnsi="Arial"/>
          <w:noProof w:val="0"/>
          <w:rtl/>
        </w:rPr>
        <w:t>ו</w:t>
      </w:r>
      <w:r w:rsidRPr="006D1A0B">
        <w:rPr>
          <w:rFonts w:ascii="Arial" w:hAnsi="Arial"/>
          <w:noProof w:val="0"/>
          <w:rtl/>
        </w:rPr>
        <w:t xml:space="preserve">ת </w:t>
      </w:r>
      <w:r>
        <w:rPr>
          <w:rFonts w:ascii="Arial" w:hAnsi="Arial"/>
          <w:noProof w:val="0"/>
          <w:rtl/>
        </w:rPr>
        <w:t xml:space="preserve">למניעות החלה על </w:t>
      </w:r>
      <w:r w:rsidRPr="006D1A0B">
        <w:rPr>
          <w:rFonts w:ascii="Arial" w:hAnsi="Arial"/>
          <w:noProof w:val="0"/>
          <w:rtl/>
        </w:rPr>
        <w:t>טענת הנתבעת</w:t>
      </w:r>
      <w:r>
        <w:rPr>
          <w:rFonts w:ascii="Arial" w:hAnsi="Arial"/>
          <w:noProof w:val="0"/>
          <w:rtl/>
        </w:rPr>
        <w:t xml:space="preserve">. כך נקבע בפסק-הדין:  </w:t>
      </w:r>
    </w:p>
    <w:p w14:paraId="68DEFD5A" w14:textId="77777777" w:rsidR="006F6013" w:rsidRDefault="00000000" w:rsidP="00923961">
      <w:pPr>
        <w:pStyle w:val="10"/>
        <w:spacing w:line="360" w:lineRule="auto"/>
        <w:ind w:right="709"/>
        <w:jc w:val="both"/>
        <w:rPr>
          <w:rFonts w:ascii="Arial" w:hAnsi="Arial"/>
          <w:b/>
          <w:bCs/>
          <w:noProof w:val="0"/>
          <w:rtl/>
        </w:rPr>
      </w:pPr>
      <w:r>
        <w:rPr>
          <w:rFonts w:ascii="Arial" w:hAnsi="Arial"/>
          <w:b/>
          <w:bCs/>
          <w:noProof w:val="0"/>
          <w:rtl/>
        </w:rPr>
        <w:t xml:space="preserve">"18 ...אני סבור כי התחפרות המשיבה אחרי הדרישה להסכם חתום לא נועדה אלא כדי לסכל את התחייבותה שנעשתה לאחר גמירת דעת". </w:t>
      </w:r>
    </w:p>
    <w:p w14:paraId="4DAA6539" w14:textId="77777777" w:rsidR="006F6013" w:rsidRPr="005B4FD6" w:rsidRDefault="00000000" w:rsidP="00923961">
      <w:pPr>
        <w:pStyle w:val="10"/>
        <w:spacing w:line="360" w:lineRule="auto"/>
        <w:ind w:right="709"/>
        <w:jc w:val="both"/>
        <w:rPr>
          <w:rFonts w:ascii="Arial" w:hAnsi="Arial"/>
          <w:b/>
          <w:bCs/>
          <w:noProof w:val="0"/>
        </w:rPr>
      </w:pPr>
      <w:r>
        <w:rPr>
          <w:rFonts w:ascii="Arial" w:hAnsi="Arial"/>
          <w:b/>
          <w:bCs/>
          <w:noProof w:val="0"/>
          <w:rtl/>
        </w:rPr>
        <w:t xml:space="preserve">19... </w:t>
      </w:r>
      <w:r w:rsidRPr="005B4FD6">
        <w:rPr>
          <w:rFonts w:ascii="Arial" w:hAnsi="Arial"/>
          <w:b/>
          <w:bCs/>
          <w:noProof w:val="0"/>
          <w:rtl/>
        </w:rPr>
        <w:t>המשיבה ובא-כוחה הם שמנעו את קיומו של תנאי זה. כל עוד המשיבה מונעת את קיומו של התנאי היא איננה יכולה להסתמך על כך ואין באי התקיימות התנאי בשל סיבה התלויה בה כדי למנוע את שכלול ההצעה לכדי חוזה מחייב (השוו מתוך היקש לסעיף 43 (א)-(1) ל</w:t>
      </w:r>
      <w:hyperlink r:id="rId17" w:history="1">
        <w:r w:rsidR="00BD7105" w:rsidRPr="00BD7105">
          <w:rPr>
            <w:rFonts w:ascii="Arial" w:hAnsi="Arial"/>
            <w:b/>
            <w:bCs/>
            <w:noProof w:val="0"/>
            <w:color w:val="0000FF"/>
            <w:u w:val="single"/>
            <w:rtl/>
          </w:rPr>
          <w:t>חוק החוזים</w:t>
        </w:r>
      </w:hyperlink>
      <w:r w:rsidRPr="005B4FD6">
        <w:rPr>
          <w:rFonts w:ascii="Arial" w:hAnsi="Arial"/>
          <w:b/>
          <w:bCs/>
          <w:noProof w:val="0"/>
          <w:rtl/>
        </w:rPr>
        <w:t xml:space="preserve"> וראו גבריאלה שלו ויהודה </w:t>
      </w:r>
      <w:hyperlink r:id="rId18" w:history="1">
        <w:r w:rsidR="00BD7105" w:rsidRPr="00BD7105">
          <w:rPr>
            <w:rFonts w:ascii="Arial" w:hAnsi="Arial"/>
            <w:b/>
            <w:bCs/>
            <w:noProof w:val="0"/>
            <w:color w:val="0000FF"/>
            <w:u w:val="single"/>
            <w:rtl/>
          </w:rPr>
          <w:t>אדר, דיני החוזים – התרופות</w:t>
        </w:r>
      </w:hyperlink>
      <w:r w:rsidRPr="005B4FD6">
        <w:rPr>
          <w:rFonts w:ascii="Arial" w:hAnsi="Arial"/>
          <w:b/>
          <w:bCs/>
          <w:noProof w:val="0"/>
          <w:rtl/>
        </w:rPr>
        <w:t xml:space="preserve">, עמ' 122)". </w:t>
      </w:r>
    </w:p>
    <w:p w14:paraId="1CFA1B65" w14:textId="77777777" w:rsidR="006F6013" w:rsidRDefault="006F6013" w:rsidP="00265271">
      <w:pPr>
        <w:pStyle w:val="10"/>
        <w:spacing w:line="360" w:lineRule="auto"/>
        <w:ind w:left="360"/>
        <w:jc w:val="both"/>
        <w:rPr>
          <w:rFonts w:ascii="Arial" w:hAnsi="Arial"/>
          <w:noProof w:val="0"/>
        </w:rPr>
      </w:pPr>
    </w:p>
    <w:p w14:paraId="41F9A372" w14:textId="77777777" w:rsidR="006F6013" w:rsidRDefault="00000000" w:rsidP="00E14764">
      <w:pPr>
        <w:pStyle w:val="10"/>
        <w:numPr>
          <w:ilvl w:val="0"/>
          <w:numId w:val="1"/>
        </w:numPr>
        <w:spacing w:line="360" w:lineRule="auto"/>
        <w:jc w:val="both"/>
        <w:rPr>
          <w:rFonts w:ascii="Arial" w:hAnsi="Arial"/>
          <w:noProof w:val="0"/>
        </w:rPr>
      </w:pPr>
      <w:r>
        <w:rPr>
          <w:rFonts w:ascii="Arial" w:hAnsi="Arial"/>
          <w:noProof w:val="0"/>
          <w:rtl/>
        </w:rPr>
        <w:t xml:space="preserve">קביעות בית המשפט המחוזי בפסק-הדין מהוות </w:t>
      </w:r>
      <w:r w:rsidRPr="00923961">
        <w:rPr>
          <w:rFonts w:ascii="Arial" w:hAnsi="Arial"/>
          <w:b/>
          <w:bCs/>
          <w:noProof w:val="0"/>
          <w:rtl/>
        </w:rPr>
        <w:t>"השתק פלוגתא"</w:t>
      </w:r>
      <w:r>
        <w:rPr>
          <w:rFonts w:ascii="Arial" w:hAnsi="Arial"/>
          <w:b/>
          <w:bCs/>
          <w:noProof w:val="0"/>
          <w:rtl/>
        </w:rPr>
        <w:t>,</w:t>
      </w:r>
      <w:r>
        <w:rPr>
          <w:rFonts w:ascii="Arial" w:hAnsi="Arial"/>
          <w:noProof w:val="0"/>
          <w:rtl/>
        </w:rPr>
        <w:t xml:space="preserve"> המונע מהנתבעת לטעון, כי היא לא סיכלה את התנאי. כך נקבע ב</w:t>
      </w:r>
      <w:hyperlink r:id="rId19" w:history="1">
        <w:r w:rsidR="00BD7105" w:rsidRPr="00BD7105">
          <w:rPr>
            <w:rFonts w:ascii="Arial" w:hAnsi="Arial"/>
            <w:noProof w:val="0"/>
            <w:color w:val="0000FF"/>
            <w:u w:val="single"/>
            <w:rtl/>
          </w:rPr>
          <w:t>ע"א 1041/97</w:t>
        </w:r>
      </w:hyperlink>
      <w:r>
        <w:rPr>
          <w:rFonts w:ascii="Arial" w:hAnsi="Arial"/>
          <w:noProof w:val="0"/>
          <w:rtl/>
        </w:rPr>
        <w:t xml:space="preserve"> </w:t>
      </w:r>
      <w:r w:rsidRPr="00923961">
        <w:rPr>
          <w:rFonts w:ascii="Arial" w:hAnsi="Arial"/>
          <w:b/>
          <w:bCs/>
          <w:noProof w:val="0"/>
          <w:rtl/>
        </w:rPr>
        <w:t>סררו נ' נעלי תומרס בע"מ</w:t>
      </w:r>
      <w:r>
        <w:rPr>
          <w:rFonts w:ascii="Arial" w:hAnsi="Arial"/>
          <w:noProof w:val="0"/>
          <w:rtl/>
        </w:rPr>
        <w:t>, פ"ד (1) 642:</w:t>
      </w:r>
    </w:p>
    <w:p w14:paraId="21001745" w14:textId="77777777" w:rsidR="006F6013" w:rsidRDefault="00000000" w:rsidP="00936595">
      <w:pPr>
        <w:pStyle w:val="10"/>
        <w:spacing w:line="360" w:lineRule="auto"/>
        <w:ind w:left="360"/>
        <w:jc w:val="both"/>
        <w:rPr>
          <w:rFonts w:ascii="David" w:hAnsi="David"/>
          <w:b/>
          <w:bCs/>
          <w:noProof w:val="0"/>
          <w:color w:val="000000"/>
          <w:rtl/>
        </w:rPr>
      </w:pPr>
      <w:r w:rsidRPr="00C41B70">
        <w:rPr>
          <w:rFonts w:ascii="David" w:hAnsi="David"/>
          <w:b/>
          <w:bCs/>
          <w:noProof w:val="0"/>
          <w:color w:val="000000"/>
          <w:rtl/>
        </w:rPr>
        <w:t>"השתק פלוגתא מקים מחסום דיוני לבעל</w:t>
      </w:r>
      <w:r w:rsidRPr="00C41B70">
        <w:rPr>
          <w:rFonts w:ascii="David" w:hAnsi="David"/>
          <w:b/>
          <w:bCs/>
          <w:noProof w:val="0"/>
          <w:color w:val="000000"/>
          <w:vertAlign w:val="superscript"/>
          <w:rtl/>
        </w:rPr>
        <w:t>-</w:t>
      </w:r>
      <w:r w:rsidRPr="00C41B70">
        <w:rPr>
          <w:rFonts w:ascii="David" w:hAnsi="David"/>
          <w:b/>
          <w:bCs/>
          <w:noProof w:val="0"/>
          <w:color w:val="000000"/>
          <w:rtl/>
        </w:rPr>
        <w:t>דין המבקש לשוב ולהתדיין בשאלה עובדתית מסוימת שכבר נדונה בין בעלי</w:t>
      </w:r>
      <w:r w:rsidRPr="00C41B70">
        <w:rPr>
          <w:rFonts w:ascii="David" w:hAnsi="David"/>
          <w:b/>
          <w:bCs/>
          <w:noProof w:val="0"/>
          <w:color w:val="000000"/>
          <w:vertAlign w:val="superscript"/>
          <w:rtl/>
        </w:rPr>
        <w:t>-</w:t>
      </w:r>
      <w:r w:rsidRPr="00C41B70">
        <w:rPr>
          <w:rFonts w:ascii="David" w:hAnsi="David"/>
          <w:b/>
          <w:bCs/>
          <w:noProof w:val="0"/>
          <w:color w:val="000000"/>
          <w:rtl/>
        </w:rPr>
        <w:t>הדין בהתדיינות קודמת אם מתקיימים ארבעה תנאים, והם:</w:t>
      </w:r>
    </w:p>
    <w:p w14:paraId="1B897727" w14:textId="77777777" w:rsidR="006F6013" w:rsidRDefault="00000000" w:rsidP="00936595">
      <w:pPr>
        <w:pStyle w:val="10"/>
        <w:numPr>
          <w:ilvl w:val="0"/>
          <w:numId w:val="9"/>
        </w:numPr>
        <w:spacing w:line="360" w:lineRule="auto"/>
        <w:ind w:left="1080"/>
        <w:jc w:val="both"/>
        <w:rPr>
          <w:rFonts w:ascii="David" w:hAnsi="David"/>
          <w:b/>
          <w:bCs/>
          <w:noProof w:val="0"/>
          <w:color w:val="000000"/>
          <w:rtl/>
        </w:rPr>
      </w:pPr>
      <w:r w:rsidRPr="00923961">
        <w:rPr>
          <w:rFonts w:ascii="David" w:hAnsi="David"/>
          <w:b/>
          <w:bCs/>
          <w:noProof w:val="0"/>
          <w:color w:val="000000"/>
          <w:rtl/>
        </w:rPr>
        <w:t>הפלוגתא העולה בכל אחת מההתדיינויות היא אכן אותה פלוגתא</w:t>
      </w:r>
      <w:r>
        <w:rPr>
          <w:rFonts w:ascii="David" w:hAnsi="David"/>
          <w:b/>
          <w:bCs/>
          <w:noProof w:val="0"/>
          <w:color w:val="000000"/>
          <w:rtl/>
        </w:rPr>
        <w:t>, על רכיביה העובדתיים והמשפטיים.</w:t>
      </w:r>
    </w:p>
    <w:p w14:paraId="03ACD8C8" w14:textId="77777777" w:rsidR="006F6013" w:rsidRPr="00DD2C3C" w:rsidRDefault="00000000" w:rsidP="00936595">
      <w:pPr>
        <w:pStyle w:val="10"/>
        <w:numPr>
          <w:ilvl w:val="0"/>
          <w:numId w:val="9"/>
        </w:numPr>
        <w:spacing w:line="360" w:lineRule="auto"/>
        <w:ind w:left="1080"/>
        <w:jc w:val="both"/>
        <w:rPr>
          <w:rFonts w:ascii="Arial" w:hAnsi="Arial"/>
          <w:b/>
          <w:bCs/>
          <w:noProof w:val="0"/>
        </w:rPr>
      </w:pPr>
      <w:r w:rsidRPr="00DD2C3C">
        <w:rPr>
          <w:rFonts w:ascii="David" w:hAnsi="David"/>
          <w:b/>
          <w:bCs/>
          <w:noProof w:val="0"/>
          <w:color w:val="000000"/>
          <w:rtl/>
        </w:rPr>
        <w:t>קוים דיון בין הצדדים באותה פלוגתא במסגרת ההתדיינות הראשונה, ולצד שנגדו מועלית טענת השתק בהתדיינות השנייה היה יומו בבית</w:t>
      </w:r>
      <w:r w:rsidRPr="00DD2C3C">
        <w:rPr>
          <w:rFonts w:ascii="David" w:hAnsi="David"/>
          <w:b/>
          <w:bCs/>
          <w:noProof w:val="0"/>
          <w:color w:val="000000"/>
          <w:vertAlign w:val="superscript"/>
          <w:rtl/>
        </w:rPr>
        <w:t>-</w:t>
      </w:r>
      <w:r w:rsidRPr="00DD2C3C">
        <w:rPr>
          <w:rFonts w:ascii="David" w:hAnsi="David"/>
          <w:b/>
          <w:bCs/>
          <w:noProof w:val="0"/>
          <w:color w:val="000000"/>
          <w:rtl/>
        </w:rPr>
        <w:t>המשפט ביחס לאותה פלוגתא.</w:t>
      </w:r>
    </w:p>
    <w:p w14:paraId="19051A52" w14:textId="77777777" w:rsidR="006F6013" w:rsidRPr="00DD2C3C" w:rsidRDefault="00000000" w:rsidP="00936595">
      <w:pPr>
        <w:pStyle w:val="10"/>
        <w:numPr>
          <w:ilvl w:val="0"/>
          <w:numId w:val="9"/>
        </w:numPr>
        <w:spacing w:line="360" w:lineRule="auto"/>
        <w:ind w:left="1080"/>
        <w:jc w:val="both"/>
        <w:rPr>
          <w:rFonts w:ascii="Arial" w:hAnsi="Arial"/>
          <w:b/>
          <w:bCs/>
          <w:noProof w:val="0"/>
        </w:rPr>
      </w:pPr>
      <w:r w:rsidRPr="00DD2C3C">
        <w:rPr>
          <w:rFonts w:ascii="David" w:hAnsi="David"/>
          <w:b/>
          <w:bCs/>
          <w:noProof w:val="0"/>
          <w:color w:val="000000"/>
          <w:rtl/>
        </w:rPr>
        <w:t>ההתדיינות הסתיימה בהכרעה מפורשת או מכללא של בית</w:t>
      </w:r>
      <w:r w:rsidRPr="00DD2C3C">
        <w:rPr>
          <w:rFonts w:ascii="David" w:hAnsi="David"/>
          <w:b/>
          <w:bCs/>
          <w:noProof w:val="0"/>
          <w:color w:val="000000"/>
          <w:vertAlign w:val="superscript"/>
          <w:rtl/>
        </w:rPr>
        <w:t>-</w:t>
      </w:r>
      <w:r w:rsidRPr="00DD2C3C">
        <w:rPr>
          <w:rFonts w:ascii="David" w:hAnsi="David"/>
          <w:b/>
          <w:bCs/>
          <w:noProof w:val="0"/>
          <w:color w:val="000000"/>
          <w:rtl/>
        </w:rPr>
        <w:t>המשפט באותה פלוגתא, בקביעת מימצא פוזיטיבי, להבדיל ממימצא הנובע מהיעדר הוכחה.</w:t>
      </w:r>
    </w:p>
    <w:p w14:paraId="73CF6EF6" w14:textId="77777777" w:rsidR="006F6013" w:rsidRPr="00DD2C3C" w:rsidRDefault="00000000" w:rsidP="00936595">
      <w:pPr>
        <w:pStyle w:val="ac"/>
        <w:numPr>
          <w:ilvl w:val="0"/>
          <w:numId w:val="9"/>
        </w:numPr>
        <w:bidi/>
        <w:spacing w:before="0" w:beforeAutospacing="0" w:after="240" w:afterAutospacing="0" w:line="360" w:lineRule="auto"/>
        <w:ind w:left="1080"/>
        <w:jc w:val="both"/>
        <w:rPr>
          <w:rFonts w:ascii="David" w:hAnsi="David" w:cs="David"/>
          <w:b/>
          <w:bCs/>
          <w:color w:val="000000"/>
        </w:rPr>
      </w:pPr>
      <w:r w:rsidRPr="00DD2C3C">
        <w:rPr>
          <w:rFonts w:ascii="David" w:hAnsi="David" w:cs="David"/>
          <w:b/>
          <w:bCs/>
          <w:color w:val="000000"/>
          <w:rtl/>
        </w:rPr>
        <w:t>ההכרעה הייתה חיונית לצורך פסק</w:t>
      </w:r>
      <w:r w:rsidRPr="00DD2C3C">
        <w:rPr>
          <w:rFonts w:ascii="David" w:hAnsi="David" w:cs="David"/>
          <w:b/>
          <w:bCs/>
          <w:color w:val="000000"/>
          <w:vertAlign w:val="superscript"/>
          <w:rtl/>
        </w:rPr>
        <w:t>-</w:t>
      </w:r>
      <w:r w:rsidRPr="00DD2C3C">
        <w:rPr>
          <w:rFonts w:ascii="David" w:hAnsi="David" w:cs="David"/>
          <w:b/>
          <w:bCs/>
          <w:color w:val="000000"/>
          <w:rtl/>
        </w:rPr>
        <w:t>הדין שניתן בתובענה הראשונה".</w:t>
      </w:r>
    </w:p>
    <w:p w14:paraId="77E0D5E4" w14:textId="77777777" w:rsidR="006F6013" w:rsidRDefault="00000000" w:rsidP="00BA7F2D">
      <w:pPr>
        <w:pStyle w:val="ac"/>
        <w:numPr>
          <w:ilvl w:val="0"/>
          <w:numId w:val="1"/>
        </w:numPr>
        <w:bidi/>
        <w:spacing w:before="0" w:beforeAutospacing="0" w:after="240" w:afterAutospacing="0" w:line="360" w:lineRule="auto"/>
        <w:jc w:val="both"/>
        <w:rPr>
          <w:rFonts w:ascii="David" w:hAnsi="David" w:cs="David"/>
          <w:color w:val="000000"/>
        </w:rPr>
      </w:pPr>
      <w:r w:rsidRPr="007934EB">
        <w:rPr>
          <w:rFonts w:ascii="David" w:hAnsi="David" w:cs="David"/>
          <w:color w:val="000000"/>
          <w:u w:val="single"/>
          <w:rtl/>
        </w:rPr>
        <w:t>במקרה דנא, התקיימו כל ארבעת התנאים</w:t>
      </w:r>
      <w:r w:rsidRPr="007934EB">
        <w:rPr>
          <w:rFonts w:ascii="David" w:hAnsi="David" w:cs="David"/>
          <w:color w:val="000000"/>
          <w:rtl/>
        </w:rPr>
        <w:t xml:space="preserve">. לטענת הנתבעת, הקביעות העובדתיות בפסק-הדין, </w:t>
      </w:r>
      <w:r>
        <w:rPr>
          <w:rFonts w:ascii="David" w:hAnsi="David" w:cs="David"/>
          <w:color w:val="000000"/>
          <w:rtl/>
        </w:rPr>
        <w:t>אינן מהוות חלק מההנמקה בפסק-הדין. הנתבעת טועה טעות בסיסית! זוהי אחת הקביעות המרכזיות בפסק-הדין, שהרי אם בית המשפט המחוזי היה מקבל את טענתה, כי הסכמתה למכר היתה מותנית בחתימה על הסכם גירושין כולל,  ערעור התובע היה נדחה, ובית המשפט המחוזי לא היה קובע, כי נכרת הסכם מכר.</w:t>
      </w:r>
    </w:p>
    <w:p w14:paraId="077A75DB" w14:textId="77777777" w:rsidR="006F6013" w:rsidRPr="00BA7F2D" w:rsidRDefault="00000000" w:rsidP="00085A72">
      <w:pPr>
        <w:pStyle w:val="ac"/>
        <w:numPr>
          <w:ilvl w:val="0"/>
          <w:numId w:val="1"/>
        </w:numPr>
        <w:bidi/>
        <w:spacing w:before="0" w:beforeAutospacing="0" w:after="240" w:afterAutospacing="0" w:line="360" w:lineRule="auto"/>
        <w:jc w:val="both"/>
        <w:rPr>
          <w:rFonts w:ascii="David" w:hAnsi="David" w:cs="David"/>
          <w:color w:val="000000"/>
        </w:rPr>
      </w:pPr>
      <w:r w:rsidRPr="00BA7F2D">
        <w:rPr>
          <w:rFonts w:ascii="David" w:hAnsi="David" w:cs="David"/>
          <w:rtl/>
        </w:rPr>
        <w:t xml:space="preserve">הנתבעת היא שסיכלה את קיומו של התנאי בדרישה, כי ייחתמו הסכם גירושין כולל ומסמכי המכר, ואין היא זכאית להסתמך על אי-קיומו, כפי שקובע </w:t>
      </w:r>
      <w:hyperlink r:id="rId20" w:history="1">
        <w:r w:rsidR="000919FD" w:rsidRPr="000919FD">
          <w:rPr>
            <w:rStyle w:val="Hyperlink"/>
            <w:rFonts w:ascii="David" w:hAnsi="David" w:cs="David"/>
            <w:b/>
            <w:bCs/>
            <w:rtl/>
          </w:rPr>
          <w:t>סע' 28 (א)</w:t>
        </w:r>
      </w:hyperlink>
      <w:r w:rsidRPr="00BA7F2D">
        <w:rPr>
          <w:rFonts w:ascii="David" w:hAnsi="David" w:cs="David"/>
          <w:b/>
          <w:bCs/>
          <w:rtl/>
        </w:rPr>
        <w:t xml:space="preserve"> ל</w:t>
      </w:r>
      <w:hyperlink r:id="rId21" w:history="1">
        <w:r w:rsidR="00BD7105" w:rsidRPr="00BD7105">
          <w:rPr>
            <w:rFonts w:ascii="David" w:hAnsi="David" w:cs="David"/>
            <w:b/>
            <w:bCs/>
            <w:color w:val="0000FF"/>
            <w:u w:val="single"/>
            <w:rtl/>
          </w:rPr>
          <w:t>חוק החוזים</w:t>
        </w:r>
      </w:hyperlink>
      <w:r>
        <w:rPr>
          <w:rFonts w:ascii="David" w:hAnsi="David" w:cs="David"/>
          <w:b/>
          <w:bCs/>
          <w:rtl/>
        </w:rPr>
        <w:t xml:space="preserve"> (חלק כללי), תשל"ג-1973 [</w:t>
      </w:r>
      <w:r w:rsidRPr="00BA7F2D">
        <w:rPr>
          <w:rFonts w:ascii="David" w:hAnsi="David" w:cs="David"/>
          <w:rtl/>
        </w:rPr>
        <w:t xml:space="preserve">ראה </w:t>
      </w:r>
      <w:r>
        <w:rPr>
          <w:rFonts w:ascii="David" w:hAnsi="David" w:cs="David"/>
          <w:rtl/>
        </w:rPr>
        <w:t xml:space="preserve">עדות התובע בעמ' 6 שורות 32-34; </w:t>
      </w:r>
      <w:r w:rsidRPr="00BA7F2D">
        <w:rPr>
          <w:rFonts w:ascii="David" w:hAnsi="David" w:cs="David"/>
          <w:rtl/>
        </w:rPr>
        <w:t>סע' 10 לתצהיר עדות ראשית של הנתבעת; עדות הנתבעת בעמ' 59 שורות 23-35 לפרוט'</w:t>
      </w:r>
      <w:r>
        <w:rPr>
          <w:rFonts w:ascii="David" w:hAnsi="David" w:cs="David"/>
          <w:rtl/>
        </w:rPr>
        <w:t xml:space="preserve">]. </w:t>
      </w:r>
      <w:r w:rsidRPr="00BA7F2D">
        <w:rPr>
          <w:rFonts w:ascii="David" w:hAnsi="David" w:cs="David"/>
          <w:rtl/>
        </w:rPr>
        <w:t xml:space="preserve">אלמלא מנעה הנתבעת את השלמת עסקת המכר, היה התובע משלם לידיה את תמורת המכר, מקבל את החזקה בדירה לידיו ומקבל את מלוא שכר הדירה. </w:t>
      </w:r>
      <w:r>
        <w:rPr>
          <w:rFonts w:ascii="David" w:hAnsi="David" w:cs="David"/>
          <w:rtl/>
        </w:rPr>
        <w:t xml:space="preserve"> </w:t>
      </w:r>
    </w:p>
    <w:p w14:paraId="000806F0" w14:textId="77777777" w:rsidR="006F6013" w:rsidRPr="00923961" w:rsidRDefault="00000000" w:rsidP="00923961">
      <w:pPr>
        <w:pStyle w:val="10"/>
        <w:numPr>
          <w:ilvl w:val="0"/>
          <w:numId w:val="1"/>
        </w:numPr>
        <w:spacing w:line="360" w:lineRule="auto"/>
        <w:jc w:val="both"/>
        <w:rPr>
          <w:rFonts w:ascii="Arial" w:hAnsi="Arial"/>
          <w:noProof w:val="0"/>
        </w:rPr>
      </w:pPr>
      <w:r>
        <w:rPr>
          <w:rFonts w:ascii="Arial" w:hAnsi="Arial"/>
          <w:noProof w:val="0"/>
          <w:rtl/>
        </w:rPr>
        <w:t xml:space="preserve">הוראת </w:t>
      </w:r>
      <w:hyperlink r:id="rId22" w:history="1">
        <w:r w:rsidR="000919FD" w:rsidRPr="000919FD">
          <w:rPr>
            <w:rStyle w:val="Hyperlink"/>
            <w:rFonts w:ascii="Arial" w:hAnsi="Arial"/>
            <w:noProof w:val="0"/>
            <w:rtl/>
          </w:rPr>
          <w:t>סע' 28</w:t>
        </w:r>
      </w:hyperlink>
      <w:r>
        <w:rPr>
          <w:rFonts w:ascii="Arial" w:hAnsi="Arial"/>
          <w:noProof w:val="0"/>
          <w:rtl/>
        </w:rPr>
        <w:t xml:space="preserve"> ל</w:t>
      </w:r>
      <w:hyperlink r:id="rId23" w:history="1">
        <w:r w:rsidR="00BD7105" w:rsidRPr="00BD7105">
          <w:rPr>
            <w:rFonts w:ascii="Arial" w:hAnsi="Arial"/>
            <w:noProof w:val="0"/>
            <w:color w:val="0000FF"/>
            <w:u w:val="single"/>
            <w:rtl/>
          </w:rPr>
          <w:t>חוק החוזים</w:t>
        </w:r>
      </w:hyperlink>
      <w:r>
        <w:rPr>
          <w:rFonts w:ascii="Arial" w:hAnsi="Arial"/>
          <w:noProof w:val="0"/>
          <w:rtl/>
        </w:rPr>
        <w:t xml:space="preserve"> היא ביטוי ספציפי לחובת תום הלב (</w:t>
      </w:r>
      <w:hyperlink r:id="rId24" w:history="1">
        <w:r w:rsidR="00BD7105" w:rsidRPr="00BD7105">
          <w:rPr>
            <w:rFonts w:ascii="Arial" w:hAnsi="Arial"/>
            <w:noProof w:val="0"/>
            <w:color w:val="0000FF"/>
            <w:u w:val="single"/>
            <w:rtl/>
          </w:rPr>
          <w:t>ע"א 2794/20</w:t>
        </w:r>
      </w:hyperlink>
      <w:r>
        <w:rPr>
          <w:rFonts w:ascii="Arial" w:hAnsi="Arial"/>
          <w:noProof w:val="0"/>
          <w:rtl/>
        </w:rPr>
        <w:t xml:space="preserve"> </w:t>
      </w:r>
      <w:r w:rsidRPr="005B7426">
        <w:rPr>
          <w:rFonts w:ascii="Arial" w:hAnsi="Arial"/>
          <w:b/>
          <w:bCs/>
          <w:noProof w:val="0"/>
          <w:rtl/>
        </w:rPr>
        <w:t>עו"ד ענת לוי נ' מלטיה ויטוריו את פדלון בע"מ</w:t>
      </w:r>
      <w:r>
        <w:rPr>
          <w:rFonts w:ascii="Arial" w:hAnsi="Arial"/>
          <w:noProof w:val="0"/>
          <w:rtl/>
        </w:rPr>
        <w:t xml:space="preserve"> [פורסם בנבו] 6.11.23; דניאל פרידמן ונילי כהן </w:t>
      </w:r>
      <w:hyperlink r:id="rId25" w:history="1">
        <w:r w:rsidR="00BD7105" w:rsidRPr="00BD7105">
          <w:rPr>
            <w:rFonts w:ascii="Arial" w:hAnsi="Arial"/>
            <w:b/>
            <w:bCs/>
            <w:noProof w:val="0"/>
            <w:color w:val="0000FF"/>
            <w:u w:val="single"/>
            <w:rtl/>
          </w:rPr>
          <w:t>חוזים</w:t>
        </w:r>
      </w:hyperlink>
      <w:r>
        <w:rPr>
          <w:rFonts w:ascii="Arial" w:hAnsi="Arial"/>
          <w:noProof w:val="0"/>
          <w:rtl/>
        </w:rPr>
        <w:t xml:space="preserve"> עמ' 51-53). </w:t>
      </w:r>
      <w:r w:rsidRPr="00923961">
        <w:rPr>
          <w:rFonts w:ascii="Arial" w:hAnsi="Arial"/>
          <w:noProof w:val="0"/>
          <w:rtl/>
        </w:rPr>
        <w:t xml:space="preserve">בפסיקה נקבע, כי החובה לנהוג בתום לב מחילה על הצדדים הקשורים בהסכם המותנה בתנאי מתלה, את החובה לפעול באופן פוזיטיבי, בשקידה ובזהירות הראויה לקיום התנאי ולא רק להימנע מפעולה שתביא לסיכולו (ראה </w:t>
      </w:r>
      <w:hyperlink r:id="rId26" w:history="1">
        <w:r w:rsidR="00BD7105" w:rsidRPr="00BD7105">
          <w:rPr>
            <w:rFonts w:ascii="Arial" w:hAnsi="Arial"/>
            <w:noProof w:val="0"/>
            <w:color w:val="0000FF"/>
            <w:u w:val="single"/>
            <w:rtl/>
          </w:rPr>
          <w:t>ע"א 3865/19</w:t>
        </w:r>
      </w:hyperlink>
      <w:r w:rsidRPr="00923961">
        <w:rPr>
          <w:rFonts w:ascii="Arial" w:hAnsi="Arial"/>
          <w:noProof w:val="0"/>
          <w:rtl/>
        </w:rPr>
        <w:t xml:space="preserve"> </w:t>
      </w:r>
      <w:r w:rsidRPr="00923961">
        <w:rPr>
          <w:rFonts w:ascii="Arial" w:hAnsi="Arial"/>
          <w:b/>
          <w:bCs/>
          <w:noProof w:val="0"/>
          <w:rtl/>
        </w:rPr>
        <w:t>משה אליאסיאן נ' משה שבו</w:t>
      </w:r>
      <w:r w:rsidRPr="00923961">
        <w:rPr>
          <w:rFonts w:ascii="Arial" w:hAnsi="Arial"/>
          <w:noProof w:val="0"/>
          <w:rtl/>
        </w:rPr>
        <w:t xml:space="preserve"> [פורסם בנבו] 11.9.22 והאסמכתאות המובאות שם). </w:t>
      </w:r>
    </w:p>
    <w:p w14:paraId="4EFED764" w14:textId="77777777" w:rsidR="006F6013" w:rsidRPr="00923961" w:rsidRDefault="00000000" w:rsidP="00BA7F2D">
      <w:pPr>
        <w:spacing w:line="360" w:lineRule="auto"/>
        <w:ind w:left="360"/>
        <w:jc w:val="both"/>
        <w:rPr>
          <w:rFonts w:ascii="Arial" w:hAnsi="Arial"/>
          <w:noProof w:val="0"/>
        </w:rPr>
      </w:pPr>
      <w:r w:rsidRPr="00923961">
        <w:rPr>
          <w:rFonts w:ascii="Arial" w:hAnsi="Arial"/>
          <w:noProof w:val="0"/>
          <w:rtl/>
        </w:rPr>
        <w:t xml:space="preserve">במקרה דנא, הנתבעת לא רק שלא פעלה באופן פוזיטיבי לקיום התנאי, אלא הכשילה את התנאי, כאשר </w:t>
      </w:r>
      <w:r>
        <w:rPr>
          <w:rFonts w:ascii="Arial" w:hAnsi="Arial"/>
          <w:noProof w:val="0"/>
          <w:rtl/>
        </w:rPr>
        <w:t xml:space="preserve">התנתה את השלמת עסקת המכר בחתימה על הסכם גירושין כולל.   </w:t>
      </w:r>
    </w:p>
    <w:p w14:paraId="2199E5A2" w14:textId="77777777" w:rsidR="006F6013" w:rsidRPr="006D1A0B" w:rsidRDefault="006F6013" w:rsidP="00923961">
      <w:pPr>
        <w:pStyle w:val="10"/>
        <w:spacing w:line="360" w:lineRule="auto"/>
        <w:rPr>
          <w:rFonts w:ascii="Arial" w:hAnsi="Arial"/>
          <w:noProof w:val="0"/>
          <w:rtl/>
        </w:rPr>
      </w:pPr>
    </w:p>
    <w:p w14:paraId="280B31D9" w14:textId="77777777" w:rsidR="006F6013" w:rsidRDefault="00000000" w:rsidP="0033629E">
      <w:pPr>
        <w:pStyle w:val="10"/>
        <w:numPr>
          <w:ilvl w:val="0"/>
          <w:numId w:val="1"/>
        </w:numPr>
        <w:spacing w:line="360" w:lineRule="auto"/>
        <w:jc w:val="both"/>
        <w:rPr>
          <w:rFonts w:ascii="David" w:hAnsi="David"/>
          <w:noProof w:val="0"/>
        </w:rPr>
      </w:pPr>
      <w:r>
        <w:rPr>
          <w:rFonts w:ascii="David" w:hAnsi="David"/>
          <w:noProof w:val="0"/>
          <w:rtl/>
        </w:rPr>
        <w:t xml:space="preserve">במסגרת יחסים חוזיים, הכירו – הן החקיקה והן הפסיקה - </w:t>
      </w:r>
      <w:r w:rsidRPr="00F67FD2">
        <w:rPr>
          <w:rFonts w:ascii="David" w:hAnsi="David"/>
          <w:noProof w:val="0"/>
          <w:rtl/>
        </w:rPr>
        <w:t xml:space="preserve">כי צד אחד לעסקה עלול להיות מנוע מלדרוש מהצד השני לעסקה לקיים חיוב, כאשר הוא עצמו אינו מקיים חובה המוטלת עליו, אף אם </w:t>
      </w:r>
      <w:r>
        <w:rPr>
          <w:rFonts w:ascii="David" w:hAnsi="David"/>
          <w:noProof w:val="0"/>
          <w:rtl/>
        </w:rPr>
        <w:t>שני החיובים אינם שלובים זה בזה</w:t>
      </w:r>
      <w:r w:rsidRPr="00F67FD2">
        <w:rPr>
          <w:rFonts w:ascii="David" w:hAnsi="David"/>
          <w:noProof w:val="0"/>
          <w:rtl/>
        </w:rPr>
        <w:t xml:space="preserve"> </w:t>
      </w:r>
      <w:r>
        <w:rPr>
          <w:rFonts w:ascii="David" w:hAnsi="David"/>
          <w:noProof w:val="0"/>
          <w:rtl/>
        </w:rPr>
        <w:t>[</w:t>
      </w:r>
      <w:r w:rsidRPr="00F67FD2">
        <w:rPr>
          <w:rFonts w:ascii="David" w:hAnsi="David"/>
          <w:noProof w:val="0"/>
          <w:rtl/>
        </w:rPr>
        <w:t xml:space="preserve">ראה </w:t>
      </w:r>
      <w:hyperlink r:id="rId27" w:history="1">
        <w:r w:rsidR="00BD7105" w:rsidRPr="00BD7105">
          <w:rPr>
            <w:rFonts w:ascii="David" w:hAnsi="David"/>
            <w:noProof w:val="0"/>
            <w:color w:val="0000FF"/>
            <w:u w:val="single"/>
            <w:rtl/>
          </w:rPr>
          <w:t>עע"מ 1659/09</w:t>
        </w:r>
      </w:hyperlink>
      <w:r w:rsidRPr="00F67FD2">
        <w:rPr>
          <w:rFonts w:ascii="David" w:hAnsi="David"/>
          <w:noProof w:val="0"/>
          <w:rtl/>
        </w:rPr>
        <w:t xml:space="preserve"> </w:t>
      </w:r>
      <w:r w:rsidRPr="00F8198F">
        <w:rPr>
          <w:rFonts w:ascii="David" w:hAnsi="David"/>
          <w:b/>
          <w:bCs/>
          <w:noProof w:val="0"/>
          <w:rtl/>
        </w:rPr>
        <w:t>משרד הבינוי והשיכון נ' אליהו מלכה</w:t>
      </w:r>
      <w:r w:rsidRPr="00F67FD2">
        <w:rPr>
          <w:rFonts w:ascii="David" w:hAnsi="David"/>
          <w:noProof w:val="0"/>
          <w:rtl/>
        </w:rPr>
        <w:t xml:space="preserve"> [פורסם בנבו] 17.11.2013; </w:t>
      </w:r>
      <w:hyperlink r:id="rId28" w:history="1">
        <w:r w:rsidR="00BD7105" w:rsidRPr="00BD7105">
          <w:rPr>
            <w:rFonts w:ascii="David" w:hAnsi="David"/>
            <w:noProof w:val="0"/>
            <w:color w:val="0000FF"/>
            <w:u w:val="single"/>
            <w:rtl/>
          </w:rPr>
          <w:t>ע"א 368/83</w:t>
        </w:r>
      </w:hyperlink>
      <w:r w:rsidRPr="00F67FD2">
        <w:rPr>
          <w:rFonts w:ascii="David" w:hAnsi="David"/>
          <w:noProof w:val="0"/>
          <w:rtl/>
        </w:rPr>
        <w:t xml:space="preserve"> </w:t>
      </w:r>
      <w:r w:rsidRPr="00F8198F">
        <w:rPr>
          <w:rFonts w:ascii="David" w:hAnsi="David"/>
          <w:b/>
          <w:bCs/>
          <w:noProof w:val="0"/>
          <w:rtl/>
        </w:rPr>
        <w:t>מסיקה נ' ועקנין</w:t>
      </w:r>
      <w:r w:rsidRPr="00F67FD2">
        <w:rPr>
          <w:rFonts w:ascii="David" w:hAnsi="David"/>
          <w:noProof w:val="0"/>
          <w:rtl/>
        </w:rPr>
        <w:t xml:space="preserve">, פ"ד מ (2) 477, 479-480; פרידמן וכהן, </w:t>
      </w:r>
      <w:hyperlink r:id="rId29" w:history="1">
        <w:r w:rsidR="00BD7105" w:rsidRPr="00BD7105">
          <w:rPr>
            <w:rFonts w:ascii="David" w:hAnsi="David"/>
            <w:b/>
            <w:bCs/>
            <w:noProof w:val="0"/>
            <w:color w:val="0000FF"/>
            <w:u w:val="single"/>
            <w:rtl/>
          </w:rPr>
          <w:t>חוזים</w:t>
        </w:r>
      </w:hyperlink>
      <w:r w:rsidRPr="00F8198F">
        <w:rPr>
          <w:rFonts w:ascii="David" w:hAnsi="David"/>
          <w:b/>
          <w:bCs/>
          <w:noProof w:val="0"/>
          <w:rtl/>
        </w:rPr>
        <w:t>,</w:t>
      </w:r>
      <w:r>
        <w:rPr>
          <w:rFonts w:ascii="David" w:hAnsi="David"/>
          <w:noProof w:val="0"/>
          <w:rtl/>
        </w:rPr>
        <w:t xml:space="preserve"> כרך ג', עמ' 84-85 (2003)]. </w:t>
      </w:r>
    </w:p>
    <w:p w14:paraId="50841BEF" w14:textId="77777777" w:rsidR="006F6013" w:rsidRDefault="006F6013" w:rsidP="0033629E">
      <w:pPr>
        <w:pStyle w:val="10"/>
        <w:spacing w:line="360" w:lineRule="auto"/>
        <w:ind w:left="360"/>
        <w:jc w:val="both"/>
        <w:rPr>
          <w:rFonts w:ascii="David" w:hAnsi="David"/>
          <w:noProof w:val="0"/>
        </w:rPr>
      </w:pPr>
    </w:p>
    <w:p w14:paraId="77309250" w14:textId="77777777" w:rsidR="006F6013" w:rsidRPr="0033629E" w:rsidRDefault="00000000" w:rsidP="0033629E">
      <w:pPr>
        <w:pStyle w:val="10"/>
        <w:numPr>
          <w:ilvl w:val="0"/>
          <w:numId w:val="1"/>
        </w:numPr>
        <w:spacing w:line="360" w:lineRule="auto"/>
        <w:jc w:val="both"/>
        <w:rPr>
          <w:rFonts w:ascii="David" w:hAnsi="David"/>
          <w:noProof w:val="0"/>
          <w:rtl/>
        </w:rPr>
      </w:pPr>
      <w:r w:rsidRPr="0033629E">
        <w:rPr>
          <w:rFonts w:ascii="Arial" w:hAnsi="Arial"/>
          <w:noProof w:val="0"/>
          <w:rtl/>
        </w:rPr>
        <w:t xml:space="preserve">על פי </w:t>
      </w:r>
      <w:hyperlink r:id="rId30" w:history="1">
        <w:r w:rsidR="000919FD" w:rsidRPr="000919FD">
          <w:rPr>
            <w:rStyle w:val="Hyperlink"/>
            <w:rFonts w:ascii="Arial" w:hAnsi="Arial"/>
            <w:noProof w:val="0"/>
            <w:rtl/>
          </w:rPr>
          <w:t>סע' 43 (א)</w:t>
        </w:r>
      </w:hyperlink>
      <w:r w:rsidRPr="0033629E">
        <w:rPr>
          <w:rFonts w:ascii="Arial" w:hAnsi="Arial"/>
          <w:noProof w:val="0"/>
          <w:rtl/>
        </w:rPr>
        <w:t xml:space="preserve"> ל</w:t>
      </w:r>
      <w:hyperlink r:id="rId31" w:history="1">
        <w:r w:rsidR="00BD7105" w:rsidRPr="00BD7105">
          <w:rPr>
            <w:rFonts w:ascii="Arial" w:hAnsi="Arial"/>
            <w:noProof w:val="0"/>
            <w:color w:val="0000FF"/>
            <w:u w:val="single"/>
            <w:rtl/>
          </w:rPr>
          <w:t>חוק החוזים</w:t>
        </w:r>
      </w:hyperlink>
      <w:r w:rsidRPr="0033629E">
        <w:rPr>
          <w:rFonts w:ascii="Arial" w:hAnsi="Arial"/>
          <w:noProof w:val="0"/>
          <w:rtl/>
        </w:rPr>
        <w:t xml:space="preserve"> (הנזכר בסע' 19 לפסק-הדין), חיובו של התובע לשלם את תמורת המכר, נדחה עד המועד שבו הנתבעת קיימה היא את התחייבותה והסכימה לחתום על מסמכי המשכנתא</w:t>
      </w:r>
      <w:r>
        <w:rPr>
          <w:rFonts w:ascii="Arial" w:hAnsi="Arial"/>
          <w:noProof w:val="0"/>
          <w:rtl/>
        </w:rPr>
        <w:t xml:space="preserve"> [בלעדיהם לא יכול היה התובע לשלם את התמורה]</w:t>
      </w:r>
      <w:r w:rsidRPr="0033629E">
        <w:rPr>
          <w:rFonts w:ascii="Arial" w:hAnsi="Arial"/>
          <w:noProof w:val="0"/>
          <w:rtl/>
        </w:rPr>
        <w:t xml:space="preserve">. כך קובע </w:t>
      </w:r>
      <w:hyperlink r:id="rId32" w:history="1">
        <w:r w:rsidR="000919FD" w:rsidRPr="000919FD">
          <w:rPr>
            <w:rStyle w:val="Hyperlink"/>
            <w:rFonts w:ascii="Arial" w:hAnsi="Arial"/>
            <w:noProof w:val="0"/>
            <w:rtl/>
          </w:rPr>
          <w:t>סע' 43 (א)</w:t>
        </w:r>
      </w:hyperlink>
      <w:r w:rsidRPr="0033629E">
        <w:rPr>
          <w:rFonts w:ascii="Arial" w:hAnsi="Arial"/>
          <w:noProof w:val="0"/>
          <w:rtl/>
        </w:rPr>
        <w:t xml:space="preserve"> ל</w:t>
      </w:r>
      <w:hyperlink r:id="rId33" w:history="1">
        <w:r w:rsidR="00BD7105" w:rsidRPr="00BD7105">
          <w:rPr>
            <w:rFonts w:ascii="Arial" w:hAnsi="Arial"/>
            <w:noProof w:val="0"/>
            <w:color w:val="0000FF"/>
            <w:u w:val="single"/>
            <w:rtl/>
          </w:rPr>
          <w:t>חוק החוזים</w:t>
        </w:r>
      </w:hyperlink>
      <w:r w:rsidRPr="0033629E">
        <w:rPr>
          <w:rFonts w:ascii="Arial" w:hAnsi="Arial"/>
          <w:noProof w:val="0"/>
          <w:rtl/>
        </w:rPr>
        <w:t xml:space="preserve">:  </w:t>
      </w:r>
    </w:p>
    <w:p w14:paraId="1D69F5E2" w14:textId="77777777" w:rsidR="006F6013" w:rsidRPr="00BE05A1" w:rsidRDefault="00000000" w:rsidP="00923961">
      <w:pPr>
        <w:spacing w:line="360" w:lineRule="auto"/>
        <w:ind w:left="720" w:right="284"/>
        <w:jc w:val="both"/>
        <w:rPr>
          <w:rFonts w:ascii="Arial" w:hAnsi="Arial"/>
          <w:b/>
          <w:bCs/>
          <w:noProof w:val="0"/>
          <w:rtl/>
        </w:rPr>
      </w:pPr>
      <w:r w:rsidRPr="00BE05A1">
        <w:rPr>
          <w:rFonts w:ascii="Arial" w:hAnsi="Arial"/>
          <w:b/>
          <w:bCs/>
          <w:noProof w:val="0"/>
          <w:rtl/>
        </w:rPr>
        <w:t>"43.(א)</w:t>
      </w:r>
      <w:r>
        <w:rPr>
          <w:rFonts w:ascii="Arial" w:hAnsi="Arial"/>
          <w:b/>
          <w:bCs/>
          <w:noProof w:val="0"/>
          <w:rtl/>
        </w:rPr>
        <w:t xml:space="preserve"> </w:t>
      </w:r>
      <w:r w:rsidRPr="00BE05A1">
        <w:rPr>
          <w:rFonts w:ascii="Arial" w:hAnsi="Arial"/>
          <w:b/>
          <w:bCs/>
          <w:noProof w:val="0"/>
          <w:rtl/>
        </w:rPr>
        <w:t>המועד לקיומו של חיוב נדחה –</w:t>
      </w:r>
    </w:p>
    <w:p w14:paraId="050AAB75" w14:textId="77777777" w:rsidR="006F6013" w:rsidRPr="00BE05A1" w:rsidRDefault="00000000" w:rsidP="00923961">
      <w:pPr>
        <w:spacing w:line="360" w:lineRule="auto"/>
        <w:ind w:left="1440" w:right="284" w:hanging="318"/>
        <w:jc w:val="both"/>
        <w:rPr>
          <w:rFonts w:ascii="Arial" w:hAnsi="Arial"/>
          <w:b/>
          <w:bCs/>
          <w:noProof w:val="0"/>
          <w:rtl/>
        </w:rPr>
      </w:pPr>
      <w:r w:rsidRPr="00BE05A1">
        <w:rPr>
          <w:rFonts w:ascii="Arial" w:hAnsi="Arial"/>
          <w:b/>
          <w:bCs/>
          <w:noProof w:val="0"/>
          <w:rtl/>
        </w:rPr>
        <w:t>(1)</w:t>
      </w:r>
      <w:r>
        <w:rPr>
          <w:rFonts w:ascii="Arial" w:hAnsi="Arial"/>
          <w:b/>
          <w:bCs/>
          <w:noProof w:val="0"/>
          <w:rtl/>
        </w:rPr>
        <w:t xml:space="preserve"> </w:t>
      </w:r>
      <w:r w:rsidRPr="00BE05A1">
        <w:rPr>
          <w:rFonts w:ascii="Arial" w:hAnsi="Arial"/>
          <w:b/>
          <w:bCs/>
          <w:noProof w:val="0"/>
          <w:rtl/>
        </w:rPr>
        <w:t>אם נמנע הקיום במועדו מסיבה התלויה בנושה – עד שהוסרה המניעה;</w:t>
      </w:r>
    </w:p>
    <w:p w14:paraId="05605E81" w14:textId="77777777" w:rsidR="006F6013" w:rsidRPr="00BE05A1" w:rsidRDefault="00000000" w:rsidP="00923961">
      <w:pPr>
        <w:spacing w:line="360" w:lineRule="auto"/>
        <w:ind w:left="1440" w:right="284" w:hanging="318"/>
        <w:jc w:val="both"/>
        <w:rPr>
          <w:rFonts w:ascii="Arial" w:hAnsi="Arial"/>
          <w:b/>
          <w:bCs/>
          <w:noProof w:val="0"/>
          <w:rtl/>
        </w:rPr>
      </w:pPr>
      <w:r w:rsidRPr="00BE05A1">
        <w:rPr>
          <w:rFonts w:ascii="Arial" w:hAnsi="Arial"/>
          <w:b/>
          <w:bCs/>
          <w:noProof w:val="0"/>
          <w:rtl/>
        </w:rPr>
        <w:t>(2)</w:t>
      </w:r>
      <w:r>
        <w:rPr>
          <w:rFonts w:ascii="Arial" w:hAnsi="Arial"/>
          <w:b/>
          <w:bCs/>
          <w:noProof w:val="0"/>
          <w:rtl/>
        </w:rPr>
        <w:t xml:space="preserve"> </w:t>
      </w:r>
      <w:r w:rsidRPr="00BE05A1">
        <w:rPr>
          <w:rFonts w:ascii="Arial" w:hAnsi="Arial"/>
          <w:b/>
          <w:bCs/>
          <w:noProof w:val="0"/>
          <w:rtl/>
        </w:rPr>
        <w:t>אם תנאי לקיום הוא שיקויים תחילה חיובו של הנושה – עד שקוים אותו חיוב;</w:t>
      </w:r>
    </w:p>
    <w:p w14:paraId="5D163AC7" w14:textId="77777777" w:rsidR="006F6013" w:rsidRPr="00BE05A1" w:rsidRDefault="00000000" w:rsidP="00923961">
      <w:pPr>
        <w:spacing w:line="360" w:lineRule="auto"/>
        <w:ind w:left="1440" w:right="284" w:hanging="318"/>
        <w:jc w:val="both"/>
        <w:rPr>
          <w:rFonts w:ascii="Arial" w:hAnsi="Arial"/>
          <w:b/>
          <w:bCs/>
          <w:noProof w:val="0"/>
          <w:rtl/>
        </w:rPr>
      </w:pPr>
      <w:r w:rsidRPr="00BE05A1">
        <w:rPr>
          <w:rFonts w:ascii="Arial" w:hAnsi="Arial"/>
          <w:b/>
          <w:bCs/>
          <w:noProof w:val="0"/>
          <w:rtl/>
        </w:rPr>
        <w:t>(3)</w:t>
      </w:r>
      <w:r>
        <w:rPr>
          <w:rFonts w:ascii="Arial" w:hAnsi="Arial"/>
          <w:b/>
          <w:bCs/>
          <w:noProof w:val="0"/>
          <w:rtl/>
        </w:rPr>
        <w:t xml:space="preserve"> </w:t>
      </w:r>
      <w:r w:rsidRPr="00BE05A1">
        <w:rPr>
          <w:rFonts w:ascii="Arial" w:hAnsi="Arial"/>
          <w:b/>
          <w:bCs/>
          <w:noProof w:val="0"/>
          <w:rtl/>
        </w:rPr>
        <w:t>אם על הצדדים לקיים חיוביהם בד בבד – כל עוד הנושה אינו מוכן לקיים את החיוב המוטל עליו.</w:t>
      </w:r>
    </w:p>
    <w:p w14:paraId="38D9BBCF" w14:textId="77777777" w:rsidR="006F6013" w:rsidRDefault="006F6013" w:rsidP="00BE05A1">
      <w:pPr>
        <w:spacing w:line="360" w:lineRule="auto"/>
        <w:ind w:right="709"/>
        <w:jc w:val="both"/>
        <w:rPr>
          <w:rFonts w:ascii="Arial" w:hAnsi="Arial"/>
          <w:noProof w:val="0"/>
          <w:rtl/>
        </w:rPr>
      </w:pPr>
    </w:p>
    <w:p w14:paraId="1406D409" w14:textId="77777777" w:rsidR="006F6013" w:rsidRDefault="006F6013" w:rsidP="00F67FD2">
      <w:pPr>
        <w:pStyle w:val="10"/>
        <w:spacing w:line="360" w:lineRule="auto"/>
        <w:ind w:left="360"/>
        <w:jc w:val="both"/>
        <w:rPr>
          <w:rFonts w:ascii="David" w:hAnsi="David"/>
          <w:noProof w:val="0"/>
        </w:rPr>
      </w:pPr>
    </w:p>
    <w:p w14:paraId="65011CF5" w14:textId="77777777" w:rsidR="006F6013" w:rsidRPr="0020009E" w:rsidRDefault="00000000" w:rsidP="00D1445A">
      <w:pPr>
        <w:pStyle w:val="10"/>
        <w:numPr>
          <w:ilvl w:val="0"/>
          <w:numId w:val="1"/>
        </w:numPr>
        <w:spacing w:line="360" w:lineRule="auto"/>
        <w:jc w:val="both"/>
        <w:rPr>
          <w:rFonts w:ascii="David" w:hAnsi="David"/>
          <w:noProof w:val="0"/>
        </w:rPr>
      </w:pPr>
      <w:r w:rsidRPr="0020009E">
        <w:rPr>
          <w:rFonts w:ascii="Arial" w:hAnsi="Arial"/>
          <w:noProof w:val="0"/>
          <w:rtl/>
        </w:rPr>
        <w:t xml:space="preserve">לאור האמור לעיל, דין טענות הנתבעת, כי התובע אינו זכאי לדמי השכירות מאחר ושילם את תמורת המכר רק ביום 6.9.2020, להידחות. </w:t>
      </w:r>
      <w:r>
        <w:rPr>
          <w:rFonts w:ascii="David" w:hAnsi="David"/>
          <w:noProof w:val="0"/>
          <w:rtl/>
        </w:rPr>
        <w:t xml:space="preserve">הוא הדין </w:t>
      </w:r>
      <w:r w:rsidRPr="0020009E">
        <w:rPr>
          <w:rFonts w:ascii="David" w:hAnsi="David"/>
          <w:noProof w:val="0"/>
          <w:rtl/>
        </w:rPr>
        <w:t xml:space="preserve">גם ביחס לטענת הנתבעת, כי </w:t>
      </w:r>
      <w:r>
        <w:rPr>
          <w:rFonts w:ascii="David" w:hAnsi="David"/>
          <w:noProof w:val="0"/>
          <w:rtl/>
        </w:rPr>
        <w:t xml:space="preserve">אין עליה להשיב את </w:t>
      </w:r>
      <w:r w:rsidRPr="0020009E">
        <w:rPr>
          <w:rFonts w:ascii="David" w:hAnsi="David"/>
          <w:noProof w:val="0"/>
          <w:rtl/>
        </w:rPr>
        <w:t>דמי השכירות שקיבלה מהתובע</w:t>
      </w:r>
      <w:r>
        <w:rPr>
          <w:rFonts w:ascii="David" w:hAnsi="David"/>
          <w:noProof w:val="0"/>
          <w:rtl/>
        </w:rPr>
        <w:t xml:space="preserve">, מאחר ואלה </w:t>
      </w:r>
      <w:r w:rsidRPr="0020009E">
        <w:rPr>
          <w:rFonts w:ascii="David" w:hAnsi="David"/>
          <w:noProof w:val="0"/>
          <w:rtl/>
        </w:rPr>
        <w:t xml:space="preserve">מגלמים </w:t>
      </w:r>
      <w:r>
        <w:rPr>
          <w:rFonts w:ascii="David" w:hAnsi="David"/>
          <w:noProof w:val="0"/>
          <w:rtl/>
        </w:rPr>
        <w:t xml:space="preserve">את דחיית תשלום תמורת המכר (כמעין </w:t>
      </w:r>
      <w:r>
        <w:rPr>
          <w:rFonts w:ascii="Arial" w:hAnsi="Arial"/>
          <w:noProof w:val="0"/>
          <w:rtl/>
        </w:rPr>
        <w:t xml:space="preserve">"מימון ביניים").  </w:t>
      </w:r>
      <w:r w:rsidRPr="0020009E">
        <w:rPr>
          <w:rFonts w:ascii="Arial" w:hAnsi="Arial"/>
          <w:noProof w:val="0"/>
          <w:rtl/>
        </w:rPr>
        <w:t xml:space="preserve">  </w:t>
      </w:r>
    </w:p>
    <w:p w14:paraId="76C0CBFA" w14:textId="77777777" w:rsidR="006F6013" w:rsidRPr="00CE381D" w:rsidRDefault="006F6013" w:rsidP="000D49DD"/>
    <w:p w14:paraId="5D5E2204" w14:textId="77777777" w:rsidR="006F6013" w:rsidRPr="0020009E" w:rsidRDefault="006F6013" w:rsidP="00BA7F2D">
      <w:pPr>
        <w:pStyle w:val="10"/>
        <w:rPr>
          <w:rFonts w:ascii="David" w:hAnsi="David"/>
          <w:noProof w:val="0"/>
          <w:rtl/>
        </w:rPr>
      </w:pPr>
    </w:p>
    <w:p w14:paraId="7F4BD861" w14:textId="77777777" w:rsidR="006F6013" w:rsidRDefault="00000000" w:rsidP="00D52664">
      <w:pPr>
        <w:pStyle w:val="10"/>
        <w:numPr>
          <w:ilvl w:val="0"/>
          <w:numId w:val="1"/>
        </w:numPr>
        <w:spacing w:line="360" w:lineRule="auto"/>
        <w:jc w:val="both"/>
        <w:rPr>
          <w:rFonts w:ascii="David" w:hAnsi="David"/>
          <w:b/>
          <w:bCs/>
          <w:noProof w:val="0"/>
        </w:rPr>
      </w:pPr>
      <w:r w:rsidRPr="00F67FD2">
        <w:rPr>
          <w:rFonts w:ascii="David" w:hAnsi="David"/>
          <w:noProof w:val="0"/>
          <w:rtl/>
        </w:rPr>
        <w:t xml:space="preserve">זכות התובע להשבה קמה גם לאור עקרונות </w:t>
      </w:r>
      <w:r w:rsidRPr="0007141F">
        <w:rPr>
          <w:rFonts w:ascii="David" w:hAnsi="David"/>
          <w:b/>
          <w:bCs/>
          <w:noProof w:val="0"/>
          <w:u w:val="single"/>
          <w:rtl/>
        </w:rPr>
        <w:t>עשיית ולא במשפט</w:t>
      </w:r>
      <w:r w:rsidRPr="00F67FD2">
        <w:rPr>
          <w:rFonts w:ascii="David" w:hAnsi="David"/>
          <w:noProof w:val="0"/>
          <w:rtl/>
        </w:rPr>
        <w:t>. הוראת</w:t>
      </w:r>
      <w:r w:rsidR="00BD7105">
        <w:rPr>
          <w:rFonts w:ascii="David" w:hAnsi="David"/>
          <w:noProof w:val="0"/>
          <w:rtl/>
        </w:rPr>
        <w:t xml:space="preserve"> </w:t>
      </w:r>
      <w:hyperlink r:id="rId34" w:history="1">
        <w:r w:rsidR="000919FD" w:rsidRPr="000919FD">
          <w:rPr>
            <w:rStyle w:val="Hyperlink"/>
            <w:rFonts w:ascii="David" w:hAnsi="David"/>
            <w:noProof w:val="0"/>
            <w:rtl/>
          </w:rPr>
          <w:t>סעיף 1 (א)</w:t>
        </w:r>
      </w:hyperlink>
      <w:r w:rsidR="00BD7105">
        <w:rPr>
          <w:rFonts w:ascii="David" w:hAnsi="David"/>
          <w:noProof w:val="0"/>
          <w:rtl/>
        </w:rPr>
        <w:t xml:space="preserve"> </w:t>
      </w:r>
      <w:r w:rsidRPr="00F67FD2">
        <w:rPr>
          <w:rFonts w:ascii="David" w:hAnsi="David"/>
          <w:noProof w:val="0"/>
          <w:rtl/>
        </w:rPr>
        <w:t>ל</w:t>
      </w:r>
      <w:hyperlink r:id="rId35" w:history="1">
        <w:r w:rsidR="00BD7105" w:rsidRPr="00BD7105">
          <w:rPr>
            <w:rFonts w:ascii="David" w:hAnsi="David"/>
            <w:noProof w:val="0"/>
            <w:color w:val="0000FF"/>
            <w:u w:val="single"/>
            <w:rtl/>
          </w:rPr>
          <w:t>חוק עשיית עושר ולא במשפט</w:t>
        </w:r>
      </w:hyperlink>
      <w:r w:rsidR="00BD7105">
        <w:rPr>
          <w:rFonts w:ascii="David" w:hAnsi="David"/>
          <w:noProof w:val="0"/>
          <w:rtl/>
        </w:rPr>
        <w:t xml:space="preserve"> </w:t>
      </w:r>
      <w:r w:rsidRPr="00F67FD2">
        <w:rPr>
          <w:rFonts w:ascii="David" w:hAnsi="David"/>
          <w:noProof w:val="0"/>
          <w:rtl/>
        </w:rPr>
        <w:t xml:space="preserve">תשל"ט - 1979 קובעת: </w:t>
      </w:r>
      <w:r w:rsidRPr="0031153F">
        <w:rPr>
          <w:rFonts w:ascii="David" w:hAnsi="David"/>
          <w:b/>
          <w:bCs/>
          <w:noProof w:val="0"/>
          <w:rtl/>
        </w:rPr>
        <w:t>"מי שקיבל שלא על פי זכות שבדין נכס, שירות או טובת הנאה אחרת (להלן - הזוכה) שבאו לו מאדם אחר (להלן - המזכה), חייב להשיב למזכה את הזכיה, ואם השבה בעין בלתי אפשרית או בלתי סבירה - לשלם לו את שוויה"</w:t>
      </w:r>
      <w:r w:rsidRPr="0031153F">
        <w:rPr>
          <w:rFonts w:ascii="David" w:hAnsi="David"/>
          <w:b/>
          <w:bCs/>
        </w:rPr>
        <w:t>.</w:t>
      </w:r>
    </w:p>
    <w:p w14:paraId="1BB8F4C8" w14:textId="77777777" w:rsidR="006F6013" w:rsidRPr="00D52664" w:rsidRDefault="006F6013" w:rsidP="00D52664">
      <w:pPr>
        <w:pStyle w:val="10"/>
        <w:spacing w:line="360" w:lineRule="auto"/>
        <w:rPr>
          <w:rFonts w:ascii="David" w:hAnsi="David"/>
          <w:noProof w:val="0"/>
          <w:rtl/>
        </w:rPr>
      </w:pPr>
    </w:p>
    <w:p w14:paraId="219353BB" w14:textId="77777777" w:rsidR="006F6013" w:rsidRPr="00D52664" w:rsidRDefault="00000000" w:rsidP="0007141F">
      <w:pPr>
        <w:pStyle w:val="10"/>
        <w:numPr>
          <w:ilvl w:val="0"/>
          <w:numId w:val="1"/>
        </w:numPr>
        <w:spacing w:line="360" w:lineRule="auto"/>
        <w:jc w:val="both"/>
        <w:rPr>
          <w:rFonts w:ascii="David" w:hAnsi="David"/>
          <w:b/>
          <w:bCs/>
          <w:noProof w:val="0"/>
          <w:rtl/>
        </w:rPr>
      </w:pPr>
      <w:r w:rsidRPr="00D52664">
        <w:rPr>
          <w:rFonts w:ascii="David" w:hAnsi="David"/>
          <w:noProof w:val="0"/>
          <w:rtl/>
        </w:rPr>
        <w:t xml:space="preserve">בפרשת ש.ג.מ חניונים בע"מ, נדונה תביעה של בעל חניון שהמדינה עשתה בו שימוש לחניית רכבים בזמן מלחמת יום הכיפורים, </w:t>
      </w:r>
      <w:r>
        <w:rPr>
          <w:rFonts w:ascii="David" w:hAnsi="David"/>
          <w:noProof w:val="0"/>
          <w:rtl/>
        </w:rPr>
        <w:t xml:space="preserve">כאשר </w:t>
      </w:r>
      <w:r w:rsidRPr="00D52664">
        <w:rPr>
          <w:rFonts w:ascii="David" w:hAnsi="David"/>
          <w:noProof w:val="0"/>
          <w:rtl/>
        </w:rPr>
        <w:t xml:space="preserve">אותו שימוש לא פגע בחניית רכבים אזרחיים בחניון. כך נקבע שם: </w:t>
      </w:r>
      <w:r w:rsidRPr="00D52664">
        <w:rPr>
          <w:rFonts w:ascii="David" w:hAnsi="David"/>
          <w:b/>
          <w:bCs/>
          <w:noProof w:val="0"/>
          <w:rtl/>
        </w:rPr>
        <w:t>"התביעה להשבה בדיני עשיית עושר ולא במשפט בשל נטילת רכוש הזולת או שימוש</w:t>
      </w:r>
      <w:r w:rsidR="00BD7105">
        <w:rPr>
          <w:rFonts w:ascii="David" w:hAnsi="David"/>
          <w:b/>
          <w:bCs/>
        </w:rPr>
        <w:t xml:space="preserve"> </w:t>
      </w:r>
      <w:r w:rsidRPr="00D52664">
        <w:rPr>
          <w:rFonts w:ascii="David" w:hAnsi="David"/>
          <w:b/>
          <w:bCs/>
          <w:noProof w:val="0"/>
          <w:rtl/>
        </w:rPr>
        <w:t>בו מושתתת על כך, שהנתבע נטל את רכוש הזולת או השתמש בו</w:t>
      </w:r>
      <w:r w:rsidR="00BD7105">
        <w:rPr>
          <w:rFonts w:ascii="David" w:hAnsi="David"/>
          <w:b/>
          <w:bCs/>
        </w:rPr>
        <w:t xml:space="preserve"> </w:t>
      </w:r>
      <w:r w:rsidRPr="00D52664">
        <w:rPr>
          <w:rFonts w:ascii="David" w:hAnsi="David"/>
          <w:b/>
          <w:bCs/>
          <w:noProof w:val="0"/>
          <w:rtl/>
        </w:rPr>
        <w:t>לתועלתו ולהנאתו,</w:t>
      </w:r>
      <w:r w:rsidR="00BD7105">
        <w:rPr>
          <w:rFonts w:ascii="David" w:hAnsi="David"/>
          <w:b/>
          <w:bCs/>
          <w:noProof w:val="0"/>
          <w:rtl/>
        </w:rPr>
        <w:t xml:space="preserve"> </w:t>
      </w:r>
      <w:r w:rsidRPr="00D52664">
        <w:rPr>
          <w:rFonts w:ascii="David" w:hAnsi="David"/>
          <w:b/>
          <w:bCs/>
          <w:noProof w:val="0"/>
          <w:rtl/>
        </w:rPr>
        <w:t>מבלי שבעל הרכוש, והזכאי על-פי דין להשתמש בו וליהנות ממנו ומפירותיו, ניאות להקנות לנתבע טובת הנאה זו בחינם. ולעניין זה שימוש זמני בנכס הריהו 'נטילה' של אותו נכס למשך תקופת השימוש.</w:t>
      </w:r>
      <w:r w:rsidR="00BD7105">
        <w:rPr>
          <w:rFonts w:ascii="David" w:hAnsi="David"/>
          <w:b/>
          <w:bCs/>
          <w:noProof w:val="0"/>
          <w:rtl/>
        </w:rPr>
        <w:t xml:space="preserve"> </w:t>
      </w:r>
      <w:r w:rsidRPr="00D52664">
        <w:rPr>
          <w:rFonts w:ascii="David" w:hAnsi="David"/>
          <w:b/>
          <w:bCs/>
          <w:noProof w:val="0"/>
          <w:rtl/>
        </w:rPr>
        <w:t>כך הוא גם כשפלוני משתמש במקרקעין, אשר לאחר זכות החזקה והשימוש בהם, ללא הסכמת האחר: במקרה כזה מתעשר הוא על חשבונו, ואותו אחר זכאי ל</w:t>
      </w:r>
      <w:r>
        <w:rPr>
          <w:rFonts w:ascii="David" w:hAnsi="David"/>
          <w:b/>
          <w:bCs/>
          <w:noProof w:val="0"/>
          <w:rtl/>
        </w:rPr>
        <w:t>'</w:t>
      </w:r>
      <w:r w:rsidRPr="00D52664">
        <w:rPr>
          <w:rFonts w:ascii="David" w:hAnsi="David"/>
          <w:b/>
          <w:bCs/>
          <w:noProof w:val="0"/>
          <w:rtl/>
        </w:rPr>
        <w:t>השבה</w:t>
      </w:r>
      <w:r>
        <w:rPr>
          <w:rFonts w:ascii="David" w:hAnsi="David"/>
          <w:b/>
          <w:bCs/>
          <w:noProof w:val="0"/>
          <w:rtl/>
        </w:rPr>
        <w:t>'</w:t>
      </w:r>
      <w:r w:rsidRPr="00D52664">
        <w:rPr>
          <w:rFonts w:ascii="David" w:hAnsi="David"/>
          <w:b/>
          <w:bCs/>
          <w:noProof w:val="0"/>
          <w:rtl/>
        </w:rPr>
        <w:t xml:space="preserve"> של אותה 'התעשרות' של פלוני, על ידי כך שפלוני יחויב לשלם לו דמי שימוש"</w:t>
      </w:r>
      <w:r w:rsidR="00BD7105">
        <w:rPr>
          <w:rFonts w:ascii="David" w:hAnsi="David"/>
          <w:noProof w:val="0"/>
          <w:rtl/>
        </w:rPr>
        <w:t xml:space="preserve"> </w:t>
      </w:r>
      <w:r w:rsidRPr="00D52664">
        <w:rPr>
          <w:rFonts w:ascii="David" w:hAnsi="David"/>
          <w:noProof w:val="0"/>
          <w:rtl/>
        </w:rPr>
        <w:t>(</w:t>
      </w:r>
      <w:hyperlink r:id="rId36" w:history="1">
        <w:r w:rsidR="00BD7105" w:rsidRPr="00BD7105">
          <w:rPr>
            <w:rFonts w:ascii="David" w:hAnsi="David"/>
            <w:noProof w:val="0"/>
            <w:color w:val="0000FF"/>
            <w:u w:val="single"/>
            <w:rtl/>
          </w:rPr>
          <w:t>ע"א 290/80</w:t>
        </w:r>
      </w:hyperlink>
      <w:r w:rsidRPr="00D52664">
        <w:rPr>
          <w:rFonts w:ascii="David" w:hAnsi="David"/>
          <w:noProof w:val="0"/>
          <w:rtl/>
        </w:rPr>
        <w:t xml:space="preserve"> </w:t>
      </w:r>
      <w:r w:rsidRPr="00D52664">
        <w:rPr>
          <w:rFonts w:ascii="David" w:hAnsi="David"/>
          <w:b/>
          <w:bCs/>
          <w:noProof w:val="0"/>
          <w:rtl/>
        </w:rPr>
        <w:t>ש.ג.מ חניונים בע"מ נ' מדינת ישראל</w:t>
      </w:r>
      <w:r w:rsidRPr="00D52664">
        <w:rPr>
          <w:rFonts w:ascii="David" w:hAnsi="David"/>
          <w:noProof w:val="0"/>
          <w:rtl/>
        </w:rPr>
        <w:t xml:space="preserve"> [פורסם בנבו] 25.5.1983). </w:t>
      </w:r>
      <w:r w:rsidR="00BD7105">
        <w:rPr>
          <w:rFonts w:ascii="David" w:hAnsi="David"/>
          <w:noProof w:val="0"/>
          <w:rtl/>
        </w:rPr>
        <w:t xml:space="preserve">     </w:t>
      </w:r>
    </w:p>
    <w:p w14:paraId="2BFFF3D1" w14:textId="77777777" w:rsidR="006F6013" w:rsidRDefault="00000000" w:rsidP="00FD51C4">
      <w:pPr>
        <w:spacing w:line="360" w:lineRule="auto"/>
        <w:ind w:left="360"/>
        <w:jc w:val="both"/>
        <w:rPr>
          <w:rFonts w:ascii="David" w:hAnsi="David"/>
          <w:noProof w:val="0"/>
          <w:color w:val="000000"/>
          <w:rtl/>
        </w:rPr>
      </w:pPr>
      <w:r>
        <w:rPr>
          <w:rFonts w:ascii="David" w:hAnsi="David"/>
          <w:noProof w:val="0"/>
          <w:color w:val="000000"/>
          <w:rtl/>
        </w:rPr>
        <w:t xml:space="preserve">ממועד עסקת המכר ועד למועד מתן פסק-הדין, הנתבעת קיבלה מהתובע את תקבול השכירות. לימים התברר, עם מתן פסק-הדין, כי התובע זכאי לקבלם במלואם. הנתבעת הפיקה רווח בגובה תקבולי השכירות ולכן </w:t>
      </w:r>
      <w:r w:rsidRPr="00D1445A">
        <w:rPr>
          <w:rFonts w:ascii="David" w:hAnsi="David"/>
          <w:b/>
          <w:bCs/>
          <w:noProof w:val="0"/>
          <w:color w:val="000000"/>
          <w:rtl/>
        </w:rPr>
        <w:t>על הנתבעת להשיב לתובע את הזכיה.</w:t>
      </w:r>
      <w:r>
        <w:rPr>
          <w:rFonts w:ascii="David" w:hAnsi="David"/>
          <w:noProof w:val="0"/>
          <w:color w:val="000000"/>
          <w:rtl/>
        </w:rPr>
        <w:t xml:space="preserve">  </w:t>
      </w:r>
    </w:p>
    <w:p w14:paraId="15396C53" w14:textId="77777777" w:rsidR="006F6013" w:rsidRPr="00F67FD2" w:rsidRDefault="006F6013" w:rsidP="0031153F">
      <w:pPr>
        <w:spacing w:line="360" w:lineRule="auto"/>
        <w:ind w:left="360"/>
        <w:jc w:val="both"/>
        <w:rPr>
          <w:rFonts w:ascii="Arial" w:hAnsi="Arial"/>
          <w:noProof w:val="0"/>
        </w:rPr>
      </w:pPr>
    </w:p>
    <w:p w14:paraId="56FD65FF" w14:textId="77777777" w:rsidR="006F6013" w:rsidRPr="0044153D" w:rsidRDefault="000919FD" w:rsidP="00A66A81">
      <w:pPr>
        <w:pStyle w:val="10"/>
        <w:numPr>
          <w:ilvl w:val="0"/>
          <w:numId w:val="1"/>
        </w:numPr>
        <w:spacing w:line="360" w:lineRule="auto"/>
        <w:jc w:val="both"/>
        <w:rPr>
          <w:rFonts w:ascii="Arial" w:hAnsi="Arial"/>
          <w:noProof w:val="0"/>
        </w:rPr>
      </w:pPr>
      <w:hyperlink r:id="rId37" w:history="1">
        <w:r w:rsidRPr="000919FD">
          <w:rPr>
            <w:rStyle w:val="Hyperlink"/>
            <w:rFonts w:ascii="Arial" w:hAnsi="Arial"/>
            <w:noProof w:val="0"/>
            <w:rtl/>
          </w:rPr>
          <w:t>סעיף 43 (ב)</w:t>
        </w:r>
      </w:hyperlink>
      <w:r w:rsidR="00000000" w:rsidRPr="00265271">
        <w:rPr>
          <w:rFonts w:ascii="Arial" w:hAnsi="Arial"/>
          <w:noProof w:val="0"/>
          <w:rtl/>
        </w:rPr>
        <w:t xml:space="preserve"> ל</w:t>
      </w:r>
      <w:hyperlink r:id="rId38" w:history="1">
        <w:r w:rsidR="00BD7105" w:rsidRPr="00BD7105">
          <w:rPr>
            <w:rFonts w:ascii="Arial" w:hAnsi="Arial"/>
            <w:noProof w:val="0"/>
            <w:color w:val="0000FF"/>
            <w:u w:val="single"/>
            <w:rtl/>
          </w:rPr>
          <w:t>חוק החוזים</w:t>
        </w:r>
      </w:hyperlink>
      <w:r w:rsidR="00000000" w:rsidRPr="00265271">
        <w:rPr>
          <w:rFonts w:ascii="Arial" w:hAnsi="Arial"/>
          <w:noProof w:val="0"/>
          <w:rtl/>
        </w:rPr>
        <w:t xml:space="preserve"> מסמיך את בית המשפט </w:t>
      </w:r>
      <w:r w:rsidR="00000000">
        <w:rPr>
          <w:rFonts w:ascii="Arial" w:hAnsi="Arial"/>
          <w:noProof w:val="0"/>
          <w:rtl/>
        </w:rPr>
        <w:t>לחייב את הנושה (הנתבעת במקרה דנא) ב</w:t>
      </w:r>
      <w:r w:rsidR="00000000" w:rsidRPr="00265271">
        <w:rPr>
          <w:rFonts w:ascii="Arial" w:hAnsi="Arial"/>
          <w:noProof w:val="0"/>
          <w:rtl/>
        </w:rPr>
        <w:t>פיצויים על הנזק שנגרם לחייב</w:t>
      </w:r>
      <w:r w:rsidR="00000000">
        <w:rPr>
          <w:rFonts w:ascii="Arial" w:hAnsi="Arial"/>
          <w:noProof w:val="0"/>
          <w:rtl/>
        </w:rPr>
        <w:t xml:space="preserve"> </w:t>
      </w:r>
      <w:r w:rsidR="00000000" w:rsidRPr="00265271">
        <w:rPr>
          <w:rFonts w:ascii="Arial" w:hAnsi="Arial"/>
          <w:noProof w:val="0"/>
          <w:rtl/>
        </w:rPr>
        <w:t>עקב הדחייה</w:t>
      </w:r>
      <w:r w:rsidR="00000000">
        <w:rPr>
          <w:rFonts w:ascii="Arial" w:hAnsi="Arial"/>
          <w:noProof w:val="0"/>
          <w:rtl/>
        </w:rPr>
        <w:t xml:space="preserve"> במועד הקיום</w:t>
      </w:r>
      <w:r w:rsidR="00000000" w:rsidRPr="00265271">
        <w:rPr>
          <w:rFonts w:ascii="Arial" w:hAnsi="Arial"/>
          <w:noProof w:val="0"/>
          <w:rtl/>
        </w:rPr>
        <w:t xml:space="preserve">. </w:t>
      </w:r>
      <w:r w:rsidR="00000000">
        <w:rPr>
          <w:rFonts w:ascii="Arial" w:hAnsi="Arial"/>
          <w:noProof w:val="0"/>
          <w:rtl/>
        </w:rPr>
        <w:t xml:space="preserve">האם זכאי התובע לפיצוי נוסף עקב הדחייה בהשלמת העסקה, מעבר להשבה של דמי השכירות? שאלה זו תיבחן על ידי בהמשך. </w:t>
      </w:r>
    </w:p>
    <w:p w14:paraId="523ECA2B" w14:textId="77777777" w:rsidR="006F6013" w:rsidRPr="00E3347C" w:rsidRDefault="00000000" w:rsidP="00D52664">
      <w:pPr>
        <w:pStyle w:val="10"/>
        <w:spacing w:line="360" w:lineRule="auto"/>
        <w:rPr>
          <w:rFonts w:ascii="Arial" w:hAnsi="Arial"/>
          <w:noProof w:val="0"/>
          <w:rtl/>
        </w:rPr>
      </w:pPr>
      <w:r>
        <w:rPr>
          <w:rFonts w:ascii="Arial" w:hAnsi="Arial"/>
          <w:noProof w:val="0"/>
          <w:rtl/>
        </w:rPr>
        <w:t xml:space="preserve"> </w:t>
      </w:r>
    </w:p>
    <w:p w14:paraId="4DDEA7FD" w14:textId="77777777" w:rsidR="006F6013" w:rsidRDefault="00000000" w:rsidP="00D52664">
      <w:pPr>
        <w:pStyle w:val="10"/>
        <w:numPr>
          <w:ilvl w:val="0"/>
          <w:numId w:val="1"/>
        </w:numPr>
        <w:spacing w:line="360" w:lineRule="auto"/>
        <w:jc w:val="both"/>
        <w:rPr>
          <w:rFonts w:ascii="Arial" w:hAnsi="Arial"/>
          <w:noProof w:val="0"/>
        </w:rPr>
      </w:pPr>
      <w:r>
        <w:rPr>
          <w:rFonts w:ascii="Arial" w:hAnsi="Arial"/>
          <w:noProof w:val="0"/>
          <w:rtl/>
        </w:rPr>
        <w:t xml:space="preserve">לאור כל האמור לעיל, הנתבעת </w:t>
      </w:r>
      <w:r w:rsidRPr="0044153D">
        <w:rPr>
          <w:rFonts w:ascii="Arial" w:hAnsi="Arial"/>
          <w:b/>
          <w:bCs/>
          <w:noProof w:val="0"/>
          <w:rtl/>
        </w:rPr>
        <w:t>חבה בהשבה של מלוא דמי השכירות</w:t>
      </w:r>
      <w:r>
        <w:rPr>
          <w:rFonts w:ascii="Arial" w:hAnsi="Arial"/>
          <w:noProof w:val="0"/>
          <w:rtl/>
        </w:rPr>
        <w:t xml:space="preserve"> שקיבלה מאת התובע (לאחר קיזוז החזר המשכנתא) בתקופה שמיום 5.9.2014 ועד חודש יולי 2018 כולל (אז הסתיים חוזה השכירות).  </w:t>
      </w:r>
    </w:p>
    <w:p w14:paraId="71DF82FA" w14:textId="77777777" w:rsidR="006F6013" w:rsidRDefault="006F6013" w:rsidP="00D52664">
      <w:pPr>
        <w:pStyle w:val="10"/>
        <w:spacing w:line="360" w:lineRule="auto"/>
        <w:rPr>
          <w:rFonts w:ascii="Arial" w:hAnsi="Arial"/>
          <w:noProof w:val="0"/>
          <w:rtl/>
        </w:rPr>
      </w:pPr>
    </w:p>
    <w:p w14:paraId="26B0AA81" w14:textId="77777777" w:rsidR="006F6013" w:rsidRDefault="006F6013" w:rsidP="00D52664">
      <w:pPr>
        <w:pStyle w:val="10"/>
        <w:spacing w:line="360" w:lineRule="auto"/>
        <w:rPr>
          <w:rFonts w:ascii="Arial" w:hAnsi="Arial"/>
          <w:noProof w:val="0"/>
          <w:rtl/>
        </w:rPr>
      </w:pPr>
    </w:p>
    <w:p w14:paraId="6289F01A" w14:textId="77777777" w:rsidR="006F6013" w:rsidRDefault="006F6013" w:rsidP="00D52664">
      <w:pPr>
        <w:pStyle w:val="10"/>
        <w:spacing w:line="360" w:lineRule="auto"/>
        <w:rPr>
          <w:rFonts w:ascii="Arial" w:hAnsi="Arial"/>
          <w:noProof w:val="0"/>
          <w:rtl/>
        </w:rPr>
      </w:pPr>
    </w:p>
    <w:p w14:paraId="60CCFC18" w14:textId="77777777" w:rsidR="006F6013" w:rsidRDefault="006F6013" w:rsidP="00D52664">
      <w:pPr>
        <w:pStyle w:val="10"/>
        <w:spacing w:line="360" w:lineRule="auto"/>
        <w:rPr>
          <w:rFonts w:ascii="Arial" w:hAnsi="Arial"/>
          <w:noProof w:val="0"/>
          <w:rtl/>
        </w:rPr>
      </w:pPr>
    </w:p>
    <w:p w14:paraId="32F01F14" w14:textId="77777777" w:rsidR="006F6013" w:rsidRPr="00A66A81" w:rsidRDefault="00000000" w:rsidP="00A66A81">
      <w:pPr>
        <w:spacing w:line="360" w:lineRule="auto"/>
        <w:jc w:val="both"/>
        <w:rPr>
          <w:rFonts w:ascii="Arial" w:hAnsi="Arial"/>
          <w:noProof w:val="0"/>
        </w:rPr>
      </w:pPr>
      <w:r>
        <w:rPr>
          <w:rFonts w:ascii="Arial" w:hAnsi="Arial"/>
          <w:b/>
          <w:bCs/>
          <w:noProof w:val="0"/>
          <w:u w:val="single"/>
          <w:rtl/>
        </w:rPr>
        <w:t xml:space="preserve">השבה של </w:t>
      </w:r>
      <w:r w:rsidRPr="00A66A81">
        <w:rPr>
          <w:rFonts w:ascii="Arial" w:hAnsi="Arial"/>
          <w:b/>
          <w:bCs/>
          <w:noProof w:val="0"/>
          <w:u w:val="single"/>
          <w:rtl/>
        </w:rPr>
        <w:t xml:space="preserve">פרמיית ביטוח המשכנתא </w:t>
      </w:r>
    </w:p>
    <w:p w14:paraId="40E50D7E" w14:textId="77777777" w:rsidR="006F6013" w:rsidRPr="00D52664" w:rsidRDefault="00000000" w:rsidP="00A71F77">
      <w:pPr>
        <w:pStyle w:val="10"/>
        <w:numPr>
          <w:ilvl w:val="0"/>
          <w:numId w:val="1"/>
        </w:numPr>
        <w:spacing w:line="360" w:lineRule="auto"/>
        <w:jc w:val="both"/>
        <w:rPr>
          <w:rFonts w:ascii="Arial" w:hAnsi="Arial"/>
          <w:noProof w:val="0"/>
        </w:rPr>
      </w:pPr>
      <w:r>
        <w:rPr>
          <w:rFonts w:ascii="Arial" w:hAnsi="Arial"/>
          <w:noProof w:val="0"/>
          <w:rtl/>
        </w:rPr>
        <w:t xml:space="preserve">התובע שילם את פרמיות ביטוח החיים של הנתבעת (משכנתא) בסך 4,310 ₪. </w:t>
      </w:r>
      <w:r w:rsidRPr="00D52664">
        <w:rPr>
          <w:rFonts w:ascii="Arial" w:hAnsi="Arial"/>
          <w:noProof w:val="0"/>
          <w:rtl/>
        </w:rPr>
        <w:t>הנתבעת הודתה</w:t>
      </w:r>
      <w:r>
        <w:rPr>
          <w:rFonts w:ascii="Arial" w:hAnsi="Arial"/>
          <w:noProof w:val="0"/>
          <w:rtl/>
        </w:rPr>
        <w:t xml:space="preserve"> בעובדה זו </w:t>
      </w:r>
      <w:r w:rsidRPr="00D52664">
        <w:rPr>
          <w:rFonts w:ascii="Arial" w:hAnsi="Arial"/>
          <w:noProof w:val="0"/>
          <w:rtl/>
        </w:rPr>
        <w:t>(עמ' 77 שורות 11-12 לפרוט'). אותם נימוקים שהביאוני למסקנה, כי התובע זכאי להשבה של דמי השכירות, מחייבים את המסקנה, כי על הנתבעת להשיב לתובע את כל פרמיות ביטוח החיים ששילם עבורה התובע לתקופה שמיום 5.9.2014 ועד אוגוסט 2020</w:t>
      </w:r>
      <w:r>
        <w:rPr>
          <w:rFonts w:ascii="Arial" w:hAnsi="Arial"/>
          <w:noProof w:val="0"/>
          <w:rtl/>
        </w:rPr>
        <w:t>,</w:t>
      </w:r>
      <w:r w:rsidRPr="00D52664">
        <w:rPr>
          <w:rFonts w:ascii="Arial" w:hAnsi="Arial"/>
          <w:noProof w:val="0"/>
          <w:rtl/>
        </w:rPr>
        <w:t xml:space="preserve"> שאז הוחרגה הנתבעת מהמשכנתא. </w:t>
      </w:r>
      <w:r>
        <w:rPr>
          <w:rFonts w:ascii="Arial" w:hAnsi="Arial"/>
          <w:noProof w:val="0"/>
          <w:rtl/>
        </w:rPr>
        <w:t xml:space="preserve"> </w:t>
      </w:r>
    </w:p>
    <w:p w14:paraId="2E4382B3" w14:textId="77777777" w:rsidR="006F6013" w:rsidRDefault="00000000" w:rsidP="00D52664">
      <w:pPr>
        <w:pStyle w:val="10"/>
        <w:spacing w:line="360" w:lineRule="auto"/>
        <w:ind w:left="360"/>
        <w:jc w:val="both"/>
        <w:rPr>
          <w:rFonts w:ascii="Arial" w:hAnsi="Arial"/>
          <w:noProof w:val="0"/>
        </w:rPr>
      </w:pPr>
      <w:r>
        <w:rPr>
          <w:rFonts w:ascii="Arial" w:hAnsi="Arial"/>
          <w:noProof w:val="0"/>
          <w:rtl/>
        </w:rPr>
        <w:t xml:space="preserve">זאת ועוד: בביטוח מסוג "ריסק", תשלום הפרמיה מבטיח, כי בקרות אירוע ביטוחי, תסלק חברת הביטוח את היתרה לסילוק המשכנתא. אם היה מתרחש חלילה אירוע ביטוחי, ההון של כל אחד מצדדים היה גדל, וגם מטעם זה על הנתבעת להשיב לתובע את הפרמיה ששילם במקומה. </w:t>
      </w:r>
    </w:p>
    <w:p w14:paraId="6EF9E464" w14:textId="77777777" w:rsidR="006F6013" w:rsidRDefault="006F6013" w:rsidP="00265271">
      <w:pPr>
        <w:pStyle w:val="10"/>
        <w:rPr>
          <w:rFonts w:ascii="Arial" w:hAnsi="Arial"/>
          <w:noProof w:val="0"/>
          <w:rtl/>
        </w:rPr>
      </w:pPr>
    </w:p>
    <w:p w14:paraId="03BBC898" w14:textId="77777777" w:rsidR="006F6013" w:rsidRPr="00F31459" w:rsidRDefault="00000000" w:rsidP="00901997">
      <w:pPr>
        <w:spacing w:line="360" w:lineRule="auto"/>
        <w:jc w:val="both"/>
        <w:rPr>
          <w:rFonts w:ascii="Arial" w:hAnsi="Arial"/>
          <w:b/>
          <w:bCs/>
          <w:noProof w:val="0"/>
          <w:u w:val="single"/>
        </w:rPr>
      </w:pPr>
      <w:r>
        <w:rPr>
          <w:rFonts w:ascii="Arial" w:hAnsi="Arial"/>
          <w:b/>
          <w:bCs/>
          <w:noProof w:val="0"/>
          <w:u w:val="single"/>
          <w:rtl/>
        </w:rPr>
        <w:t xml:space="preserve">פיצוי בגין </w:t>
      </w:r>
      <w:r w:rsidRPr="00F31459">
        <w:rPr>
          <w:rFonts w:ascii="Arial" w:hAnsi="Arial"/>
          <w:b/>
          <w:bCs/>
          <w:noProof w:val="0"/>
          <w:u w:val="single"/>
          <w:rtl/>
        </w:rPr>
        <w:t xml:space="preserve">הפסד דמי השכירות לתקופה שבה </w:t>
      </w:r>
      <w:r>
        <w:rPr>
          <w:rFonts w:ascii="Arial" w:hAnsi="Arial"/>
          <w:b/>
          <w:bCs/>
          <w:noProof w:val="0"/>
          <w:u w:val="single"/>
          <w:rtl/>
        </w:rPr>
        <w:t xml:space="preserve">הדירה </w:t>
      </w:r>
      <w:r w:rsidRPr="00F31459">
        <w:rPr>
          <w:rFonts w:ascii="Arial" w:hAnsi="Arial"/>
          <w:b/>
          <w:bCs/>
          <w:noProof w:val="0"/>
          <w:u w:val="single"/>
          <w:rtl/>
        </w:rPr>
        <w:t xml:space="preserve">עמדה ריקה </w:t>
      </w:r>
    </w:p>
    <w:p w14:paraId="560B10DC" w14:textId="77777777" w:rsidR="006F6013" w:rsidRDefault="006F6013" w:rsidP="00BA2416">
      <w:pPr>
        <w:pStyle w:val="10"/>
        <w:spacing w:line="360" w:lineRule="auto"/>
        <w:ind w:left="360"/>
        <w:jc w:val="both"/>
        <w:rPr>
          <w:rFonts w:ascii="Arial" w:hAnsi="Arial"/>
          <w:noProof w:val="0"/>
          <w:rtl/>
        </w:rPr>
      </w:pPr>
    </w:p>
    <w:p w14:paraId="0192B71F" w14:textId="77777777" w:rsidR="006F6013" w:rsidRDefault="00000000" w:rsidP="00855D87">
      <w:pPr>
        <w:pStyle w:val="10"/>
        <w:numPr>
          <w:ilvl w:val="0"/>
          <w:numId w:val="1"/>
        </w:numPr>
        <w:spacing w:line="360" w:lineRule="auto"/>
        <w:jc w:val="both"/>
        <w:rPr>
          <w:rFonts w:ascii="Arial" w:hAnsi="Arial"/>
          <w:noProof w:val="0"/>
        </w:rPr>
      </w:pPr>
      <w:r>
        <w:rPr>
          <w:rFonts w:ascii="Arial" w:hAnsi="Arial"/>
          <w:noProof w:val="0"/>
          <w:rtl/>
        </w:rPr>
        <w:t xml:space="preserve">התובע טוען, כי הדירה לא היתה מושכרת בתקופה שמחודש אוגוסט 2018 ועד חודש פברואר 2019 (המועד בו ניתן פסק-הדין), </w:t>
      </w:r>
      <w:r w:rsidRPr="003A0E12">
        <w:rPr>
          <w:rFonts w:ascii="Arial" w:hAnsi="Arial"/>
          <w:b/>
          <w:bCs/>
          <w:noProof w:val="0"/>
          <w:rtl/>
        </w:rPr>
        <w:t>בשל סירוב הנתבעת להשכירה</w:t>
      </w:r>
      <w:r>
        <w:rPr>
          <w:rFonts w:ascii="Arial" w:hAnsi="Arial"/>
          <w:noProof w:val="0"/>
          <w:rtl/>
        </w:rPr>
        <w:t xml:space="preserve">. הנתבעת הכחישה את טענות התובע מחוסר ידיעה; אך בצד זה טענה, כי אף אם הדירה לא הושכרה, הרי שסירובה להשכרת הדירה נעשה כדין, נוכח העובדה שהדירה פוצלה שלא כדין לשתי יחידות, והיה זה בלתי חוקי  להשכיר את הדירה במצבה הפיזי.  </w:t>
      </w:r>
    </w:p>
    <w:p w14:paraId="7487C2A7" w14:textId="77777777" w:rsidR="006F6013" w:rsidRDefault="006F6013" w:rsidP="00B745D9">
      <w:pPr>
        <w:pStyle w:val="10"/>
        <w:spacing w:line="360" w:lineRule="auto"/>
        <w:ind w:left="907"/>
        <w:jc w:val="both"/>
        <w:rPr>
          <w:rFonts w:ascii="Arial" w:hAnsi="Arial"/>
          <w:noProof w:val="0"/>
        </w:rPr>
      </w:pPr>
    </w:p>
    <w:p w14:paraId="174368D3" w14:textId="77777777" w:rsidR="006F6013" w:rsidRPr="00855D87" w:rsidRDefault="00000000" w:rsidP="00AF432B">
      <w:pPr>
        <w:pStyle w:val="10"/>
        <w:numPr>
          <w:ilvl w:val="0"/>
          <w:numId w:val="1"/>
        </w:numPr>
        <w:spacing w:line="360" w:lineRule="auto"/>
        <w:jc w:val="both"/>
        <w:rPr>
          <w:rFonts w:ascii="Arial" w:hAnsi="Arial"/>
          <w:noProof w:val="0"/>
        </w:rPr>
      </w:pPr>
      <w:r w:rsidRPr="00AF432B">
        <w:rPr>
          <w:rFonts w:ascii="Arial" w:hAnsi="Arial"/>
          <w:noProof w:val="0"/>
          <w:rtl/>
        </w:rPr>
        <w:t xml:space="preserve">לאחר שבחנתי את טענות הצדדים וראיותיהם, שוכנעתי לקבל את גרסת התובע, כי הדירה לא הושכרה בתקופה שמחודש אוגוסט 2018 ועד פברואר 2019. מסקנתי זו מבוססת על הטעמים הבאים: </w:t>
      </w:r>
    </w:p>
    <w:p w14:paraId="101911BD" w14:textId="77777777" w:rsidR="006F6013" w:rsidRDefault="006F6013" w:rsidP="00937E66">
      <w:pPr>
        <w:pStyle w:val="10"/>
        <w:ind w:left="360"/>
        <w:jc w:val="both"/>
        <w:rPr>
          <w:rFonts w:ascii="Arial" w:hAnsi="Arial"/>
          <w:noProof w:val="0"/>
          <w:u w:val="single"/>
          <w:rtl/>
        </w:rPr>
      </w:pPr>
    </w:p>
    <w:p w14:paraId="2CCA4425" w14:textId="77777777" w:rsidR="006F6013" w:rsidRPr="00E95361" w:rsidRDefault="00000000" w:rsidP="00E95361">
      <w:pPr>
        <w:pStyle w:val="10"/>
        <w:spacing w:line="360" w:lineRule="auto"/>
        <w:ind w:left="360"/>
        <w:jc w:val="both"/>
        <w:rPr>
          <w:rFonts w:ascii="Arial" w:hAnsi="Arial"/>
          <w:noProof w:val="0"/>
          <w:rtl/>
        </w:rPr>
      </w:pPr>
      <w:r w:rsidRPr="00AF432B">
        <w:rPr>
          <w:rFonts w:ascii="Arial" w:hAnsi="Arial"/>
          <w:noProof w:val="0"/>
          <w:u w:val="single"/>
          <w:rtl/>
        </w:rPr>
        <w:t>ראשית</w:t>
      </w:r>
      <w:r w:rsidRPr="00AF432B">
        <w:rPr>
          <w:rFonts w:ascii="Arial" w:hAnsi="Arial"/>
          <w:noProof w:val="0"/>
          <w:rtl/>
        </w:rPr>
        <w:t>, במהלך החקירה שאלתי את הנתבעת</w:t>
      </w:r>
      <w:r>
        <w:rPr>
          <w:rFonts w:ascii="Arial" w:hAnsi="Arial"/>
          <w:noProof w:val="0"/>
          <w:rtl/>
        </w:rPr>
        <w:t>:</w:t>
      </w:r>
      <w:r w:rsidRPr="00AF432B">
        <w:rPr>
          <w:rFonts w:ascii="Arial" w:hAnsi="Arial"/>
          <w:noProof w:val="0"/>
          <w:rtl/>
        </w:rPr>
        <w:t xml:space="preserve"> "...כאשר הדירה לא הושכרה והיה צריך להשכיר אותה מחדש, התנגדת"; הנתבעת השיבה: "נכון" (עמ' 72 שורות 17-19 לפרוט'). </w:t>
      </w:r>
      <w:r w:rsidRPr="00E95361">
        <w:rPr>
          <w:rFonts w:ascii="Arial" w:hAnsi="Arial"/>
          <w:noProof w:val="0"/>
          <w:rtl/>
        </w:rPr>
        <w:t xml:space="preserve">הנתבעת אישרה בחקירה, כי הדירה </w:t>
      </w:r>
      <w:r>
        <w:rPr>
          <w:rFonts w:ascii="Arial" w:hAnsi="Arial"/>
          <w:noProof w:val="0"/>
          <w:rtl/>
        </w:rPr>
        <w:t>לא הושכרה</w:t>
      </w:r>
      <w:r w:rsidRPr="00E95361">
        <w:rPr>
          <w:rFonts w:ascii="Arial" w:hAnsi="Arial"/>
          <w:noProof w:val="0"/>
          <w:rtl/>
        </w:rPr>
        <w:t xml:space="preserve">. </w:t>
      </w:r>
    </w:p>
    <w:p w14:paraId="66A51A07" w14:textId="77777777" w:rsidR="006F6013" w:rsidRDefault="006F6013" w:rsidP="00937E66">
      <w:pPr>
        <w:pStyle w:val="10"/>
        <w:ind w:left="360"/>
        <w:jc w:val="both"/>
        <w:rPr>
          <w:rFonts w:ascii="Arial" w:hAnsi="Arial"/>
          <w:noProof w:val="0"/>
          <w:u w:val="single"/>
          <w:rtl/>
        </w:rPr>
      </w:pPr>
    </w:p>
    <w:p w14:paraId="66E46F88" w14:textId="77777777" w:rsidR="006F6013" w:rsidRDefault="00000000" w:rsidP="00855D87">
      <w:pPr>
        <w:pStyle w:val="10"/>
        <w:spacing w:line="360" w:lineRule="auto"/>
        <w:ind w:left="360"/>
        <w:jc w:val="both"/>
        <w:rPr>
          <w:rFonts w:ascii="Arial" w:hAnsi="Arial"/>
          <w:noProof w:val="0"/>
          <w:rtl/>
        </w:rPr>
      </w:pPr>
      <w:r w:rsidRPr="00AF432B">
        <w:rPr>
          <w:rFonts w:ascii="Arial" w:hAnsi="Arial"/>
          <w:noProof w:val="0"/>
          <w:u w:val="single"/>
          <w:rtl/>
        </w:rPr>
        <w:t>שנית</w:t>
      </w:r>
      <w:r w:rsidRPr="00AF432B">
        <w:rPr>
          <w:rFonts w:ascii="Arial" w:hAnsi="Arial"/>
          <w:noProof w:val="0"/>
          <w:rtl/>
        </w:rPr>
        <w:t xml:space="preserve">, עדות התובע היתה מהימנה עלי. התובע מסר גרסה קוהרנטית, והנתבעת לא סתרה את גרסתו. </w:t>
      </w:r>
    </w:p>
    <w:p w14:paraId="6497B14F" w14:textId="77777777" w:rsidR="006F6013" w:rsidRPr="00937E66" w:rsidRDefault="006F6013" w:rsidP="00937E66">
      <w:pPr>
        <w:jc w:val="both"/>
        <w:rPr>
          <w:rFonts w:ascii="Arial" w:hAnsi="Arial"/>
          <w:noProof w:val="0"/>
          <w:rtl/>
        </w:rPr>
      </w:pPr>
    </w:p>
    <w:p w14:paraId="2A7A1C09" w14:textId="77777777" w:rsidR="006F6013" w:rsidRDefault="00000000" w:rsidP="00937E66">
      <w:pPr>
        <w:pStyle w:val="10"/>
        <w:spacing w:line="360" w:lineRule="auto"/>
        <w:ind w:left="360"/>
        <w:jc w:val="both"/>
        <w:rPr>
          <w:rFonts w:ascii="Arial" w:hAnsi="Arial"/>
          <w:noProof w:val="0"/>
          <w:rtl/>
        </w:rPr>
      </w:pPr>
      <w:r w:rsidRPr="00AF432B">
        <w:rPr>
          <w:rFonts w:ascii="Arial" w:hAnsi="Arial"/>
          <w:noProof w:val="0"/>
          <w:u w:val="single"/>
          <w:rtl/>
        </w:rPr>
        <w:t>שלישית</w:t>
      </w:r>
      <w:r>
        <w:rPr>
          <w:rFonts w:ascii="Arial" w:hAnsi="Arial"/>
          <w:noProof w:val="0"/>
          <w:rtl/>
        </w:rPr>
        <w:t xml:space="preserve">, </w:t>
      </w:r>
      <w:hyperlink r:id="rId39" w:history="1">
        <w:r w:rsidR="000919FD" w:rsidRPr="000919FD">
          <w:rPr>
            <w:rStyle w:val="Hyperlink"/>
            <w:rFonts w:ascii="Arial" w:hAnsi="Arial"/>
            <w:noProof w:val="0"/>
            <w:rtl/>
          </w:rPr>
          <w:t>תקנה 28 (ב)</w:t>
        </w:r>
      </w:hyperlink>
      <w:r w:rsidRPr="00AF432B">
        <w:rPr>
          <w:rFonts w:ascii="Arial" w:hAnsi="Arial"/>
          <w:noProof w:val="0"/>
          <w:rtl/>
        </w:rPr>
        <w:t xml:space="preserve"> ל</w:t>
      </w:r>
      <w:hyperlink r:id="rId40" w:history="1">
        <w:r w:rsidR="00BD7105" w:rsidRPr="00BD7105">
          <w:rPr>
            <w:rFonts w:ascii="Arial" w:hAnsi="Arial"/>
            <w:noProof w:val="0"/>
            <w:color w:val="0000FF"/>
            <w:u w:val="single"/>
            <w:rtl/>
          </w:rPr>
          <w:t>תקנות בית המשפט לענייני משפחה (סדרי דין) תשפ"א-2020</w:t>
        </w:r>
      </w:hyperlink>
      <w:r>
        <w:rPr>
          <w:rFonts w:ascii="Arial" w:hAnsi="Arial"/>
          <w:noProof w:val="0"/>
          <w:rtl/>
        </w:rPr>
        <w:t xml:space="preserve">) קובעת, כי </w:t>
      </w:r>
      <w:r w:rsidRPr="00AF432B">
        <w:rPr>
          <w:rFonts w:ascii="Arial" w:hAnsi="Arial"/>
          <w:noProof w:val="0"/>
          <w:rtl/>
        </w:rPr>
        <w:t xml:space="preserve"> "בית המשפט יקבע את ממצאיו לפי הראיות המסתברות יותר"</w:t>
      </w:r>
      <w:r>
        <w:rPr>
          <w:rFonts w:ascii="Arial" w:hAnsi="Arial"/>
          <w:noProof w:val="0"/>
          <w:rtl/>
        </w:rPr>
        <w:t>.</w:t>
      </w:r>
      <w:r w:rsidRPr="00B35F8D">
        <w:rPr>
          <w:rFonts w:ascii="Arial" w:hAnsi="Arial"/>
          <w:noProof w:val="0"/>
          <w:rtl/>
        </w:rPr>
        <w:t xml:space="preserve"> </w:t>
      </w:r>
      <w:r>
        <w:rPr>
          <w:rFonts w:ascii="Arial" w:hAnsi="Arial"/>
          <w:noProof w:val="0"/>
          <w:rtl/>
        </w:rPr>
        <w:t xml:space="preserve">במקרה דנא, "הראיות המסתברות יותר", מצביעות על כך שהדירה לא הושכרה בתקופה שמחודש אוגוסט 2018 ועד למועד מתן פסק-הדין ביום 10.2.2019. על מה נסמכת מסקנה זו? </w:t>
      </w:r>
    </w:p>
    <w:p w14:paraId="2992542C" w14:textId="77777777" w:rsidR="006F6013" w:rsidRDefault="006F6013" w:rsidP="00937E66">
      <w:pPr>
        <w:pStyle w:val="10"/>
        <w:spacing w:line="360" w:lineRule="auto"/>
        <w:ind w:left="360"/>
        <w:jc w:val="both"/>
        <w:rPr>
          <w:rFonts w:ascii="Arial" w:hAnsi="Arial"/>
          <w:noProof w:val="0"/>
          <w:rtl/>
        </w:rPr>
      </w:pPr>
    </w:p>
    <w:p w14:paraId="6DB3D9B9" w14:textId="77777777" w:rsidR="006F6013" w:rsidRDefault="006F6013" w:rsidP="00937E66">
      <w:pPr>
        <w:pStyle w:val="10"/>
        <w:spacing w:line="360" w:lineRule="auto"/>
        <w:ind w:left="360"/>
        <w:jc w:val="both"/>
        <w:rPr>
          <w:rFonts w:ascii="Arial" w:hAnsi="Arial"/>
          <w:noProof w:val="0"/>
          <w:rtl/>
        </w:rPr>
      </w:pPr>
    </w:p>
    <w:p w14:paraId="27B481D3" w14:textId="77777777" w:rsidR="006F6013" w:rsidRDefault="00000000" w:rsidP="00937E66">
      <w:pPr>
        <w:pStyle w:val="10"/>
        <w:spacing w:line="360" w:lineRule="auto"/>
        <w:ind w:left="360"/>
        <w:jc w:val="both"/>
        <w:rPr>
          <w:rFonts w:ascii="Arial" w:hAnsi="Arial"/>
          <w:noProof w:val="0"/>
          <w:rtl/>
        </w:rPr>
      </w:pPr>
      <w:r w:rsidRPr="00937E66">
        <w:rPr>
          <w:rFonts w:ascii="Arial" w:hAnsi="Arial"/>
          <w:noProof w:val="0"/>
          <w:rtl/>
        </w:rPr>
        <w:t>א) חוזה השכירות של הדירה הסתיים בחודש יולי 2018 (ראה הודאת הנתבעת בנספח 16 סע' 21). אין מחלוקת, כי ממועד זה ואילך, חדל התובע להעביר את דמי השכירות לידי הנתבעת; אילו הושכרה הדירה, סביר להניח, כי הנתבעת היתה עומדת על זכויותיה לקבל דמי שכירות, ולו אף במכתב דרישה</w:t>
      </w:r>
      <w:r>
        <w:rPr>
          <w:rFonts w:ascii="Arial" w:hAnsi="Arial"/>
          <w:noProof w:val="0"/>
          <w:rtl/>
        </w:rPr>
        <w:t xml:space="preserve"> וכזה אין בנמצא בענייננו. </w:t>
      </w:r>
      <w:r w:rsidRPr="00937E66">
        <w:rPr>
          <w:rFonts w:ascii="Arial" w:hAnsi="Arial"/>
          <w:noProof w:val="0"/>
          <w:rtl/>
        </w:rPr>
        <w:t xml:space="preserve"> </w:t>
      </w:r>
    </w:p>
    <w:p w14:paraId="52E5399E" w14:textId="77777777" w:rsidR="006F6013" w:rsidRDefault="00000000" w:rsidP="00E95361">
      <w:pPr>
        <w:pStyle w:val="10"/>
        <w:spacing w:line="360" w:lineRule="auto"/>
        <w:ind w:left="360"/>
        <w:jc w:val="both"/>
        <w:rPr>
          <w:rFonts w:ascii="Arial" w:hAnsi="Arial"/>
          <w:noProof w:val="0"/>
          <w:rtl/>
        </w:rPr>
      </w:pPr>
      <w:r w:rsidRPr="00937E66">
        <w:rPr>
          <w:rFonts w:ascii="Arial" w:hAnsi="Arial"/>
          <w:noProof w:val="0"/>
          <w:rtl/>
        </w:rPr>
        <w:t>ב) התובע צירף לתצהירו חוזה שכירות מיום 14.2.2019, היינו מיד בסמוך לאחר שניתן פסק-הדין. סמיכות הזמנים מלמדת כי הדירה היתה פנויה מש</w:t>
      </w:r>
      <w:r>
        <w:rPr>
          <w:rFonts w:ascii="Arial" w:hAnsi="Arial"/>
          <w:noProof w:val="0"/>
          <w:rtl/>
        </w:rPr>
        <w:t xml:space="preserve">וכרים, וכבר בסמוך לאחר שניתן פסק-הדין הושכרה לצד שלישי. </w:t>
      </w:r>
      <w:r w:rsidRPr="00937E66">
        <w:rPr>
          <w:rFonts w:ascii="Arial" w:hAnsi="Arial"/>
          <w:noProof w:val="0"/>
          <w:rtl/>
        </w:rPr>
        <w:t xml:space="preserve"> </w:t>
      </w:r>
    </w:p>
    <w:p w14:paraId="3EE0448E" w14:textId="77777777" w:rsidR="006F6013" w:rsidRPr="00937E66" w:rsidRDefault="00000000" w:rsidP="00937E66">
      <w:pPr>
        <w:pStyle w:val="10"/>
        <w:spacing w:line="360" w:lineRule="auto"/>
        <w:ind w:left="360"/>
        <w:jc w:val="both"/>
        <w:rPr>
          <w:rFonts w:ascii="Arial" w:hAnsi="Arial"/>
          <w:noProof w:val="0"/>
        </w:rPr>
      </w:pPr>
      <w:r w:rsidRPr="00937E66">
        <w:rPr>
          <w:rFonts w:ascii="Arial" w:hAnsi="Arial"/>
          <w:noProof w:val="0"/>
          <w:rtl/>
        </w:rPr>
        <w:t>ג) בתקופה שבה הדירה לא הושכרה</w:t>
      </w:r>
      <w:r>
        <w:rPr>
          <w:rFonts w:ascii="Arial" w:hAnsi="Arial"/>
          <w:noProof w:val="0"/>
          <w:rtl/>
        </w:rPr>
        <w:t>,</w:t>
      </w:r>
      <w:r w:rsidRPr="00937E66">
        <w:rPr>
          <w:rFonts w:ascii="Arial" w:hAnsi="Arial"/>
          <w:noProof w:val="0"/>
          <w:rtl/>
        </w:rPr>
        <w:t xml:space="preserve"> שילם התובע חובות ועד בית וארנונה, שהיו אמורים להיות משולמים על ידי שוכר</w:t>
      </w:r>
      <w:r>
        <w:rPr>
          <w:rFonts w:ascii="Arial" w:hAnsi="Arial"/>
          <w:noProof w:val="0"/>
          <w:rtl/>
        </w:rPr>
        <w:t xml:space="preserve">, אילו היתה הדירה מושכרת. </w:t>
      </w:r>
      <w:r w:rsidRPr="00937E66">
        <w:rPr>
          <w:rFonts w:ascii="Arial" w:hAnsi="Arial"/>
          <w:noProof w:val="0"/>
          <w:rtl/>
        </w:rPr>
        <w:t xml:space="preserve">   </w:t>
      </w:r>
    </w:p>
    <w:p w14:paraId="3CB2D37A" w14:textId="77777777" w:rsidR="006F6013" w:rsidRPr="00AF432B" w:rsidRDefault="00000000" w:rsidP="00AF432B">
      <w:pPr>
        <w:spacing w:line="360" w:lineRule="auto"/>
        <w:jc w:val="both"/>
        <w:rPr>
          <w:rFonts w:ascii="Arial" w:hAnsi="Arial"/>
          <w:noProof w:val="0"/>
          <w:rtl/>
        </w:rPr>
      </w:pPr>
      <w:r w:rsidRPr="00AF432B">
        <w:rPr>
          <w:rFonts w:ascii="Arial" w:hAnsi="Arial"/>
          <w:noProof w:val="0"/>
          <w:rtl/>
        </w:rPr>
        <w:t xml:space="preserve">  </w:t>
      </w:r>
    </w:p>
    <w:p w14:paraId="3367CBA2" w14:textId="77777777" w:rsidR="006F6013" w:rsidRDefault="00000000" w:rsidP="00E95361">
      <w:pPr>
        <w:pStyle w:val="10"/>
        <w:numPr>
          <w:ilvl w:val="0"/>
          <w:numId w:val="1"/>
        </w:numPr>
        <w:spacing w:line="360" w:lineRule="auto"/>
        <w:jc w:val="both"/>
        <w:rPr>
          <w:rFonts w:ascii="Arial" w:hAnsi="Arial"/>
          <w:noProof w:val="0"/>
        </w:rPr>
      </w:pPr>
      <w:r w:rsidRPr="004620B5">
        <w:rPr>
          <w:rFonts w:ascii="Arial" w:hAnsi="Arial"/>
          <w:noProof w:val="0"/>
          <w:rtl/>
        </w:rPr>
        <w:t>התנגדות הנתבעת להשכיר את הדירה בנימוק שהדירה מפוצלת באופן בלתי חוקי, נגועה בחוסר תום לב</w:t>
      </w:r>
      <w:r>
        <w:rPr>
          <w:rFonts w:ascii="Arial" w:hAnsi="Arial"/>
          <w:noProof w:val="0"/>
          <w:rtl/>
        </w:rPr>
        <w:t xml:space="preserve">, מארבעה טעמים מרכזיים: </w:t>
      </w:r>
    </w:p>
    <w:p w14:paraId="2FFBD74D" w14:textId="77777777" w:rsidR="006F6013" w:rsidRPr="00310097" w:rsidRDefault="006F6013" w:rsidP="00310097">
      <w:pPr>
        <w:pStyle w:val="10"/>
        <w:rPr>
          <w:rFonts w:ascii="Arial" w:hAnsi="Arial"/>
          <w:noProof w:val="0"/>
          <w:rtl/>
        </w:rPr>
      </w:pPr>
    </w:p>
    <w:p w14:paraId="6B7F6974" w14:textId="77777777" w:rsidR="006F6013" w:rsidRDefault="00000000" w:rsidP="00563DE1">
      <w:pPr>
        <w:pStyle w:val="10"/>
        <w:spacing w:line="360" w:lineRule="auto"/>
        <w:ind w:left="360"/>
        <w:jc w:val="both"/>
        <w:rPr>
          <w:rFonts w:ascii="Arial" w:hAnsi="Arial"/>
          <w:noProof w:val="0"/>
          <w:rtl/>
        </w:rPr>
      </w:pPr>
      <w:r w:rsidRPr="00E26E28">
        <w:rPr>
          <w:rFonts w:ascii="Arial" w:hAnsi="Arial"/>
          <w:b/>
          <w:bCs/>
          <w:noProof w:val="0"/>
          <w:rtl/>
        </w:rPr>
        <w:t>האחד</w:t>
      </w:r>
      <w:r>
        <w:rPr>
          <w:rFonts w:ascii="Arial" w:hAnsi="Arial"/>
          <w:noProof w:val="0"/>
          <w:rtl/>
        </w:rPr>
        <w:t xml:space="preserve"> - </w:t>
      </w:r>
      <w:r w:rsidRPr="004620B5">
        <w:rPr>
          <w:rFonts w:ascii="Arial" w:hAnsi="Arial"/>
          <w:noProof w:val="0"/>
          <w:rtl/>
        </w:rPr>
        <w:t xml:space="preserve">הדירה הושכרה כדירה מפוצלת במשך שנים </w:t>
      </w:r>
      <w:r>
        <w:rPr>
          <w:rFonts w:ascii="Arial" w:hAnsi="Arial"/>
          <w:noProof w:val="0"/>
          <w:rtl/>
        </w:rPr>
        <w:t xml:space="preserve">וכבר משנת 2014 </w:t>
      </w:r>
      <w:r w:rsidRPr="004620B5">
        <w:rPr>
          <w:rFonts w:ascii="Arial" w:hAnsi="Arial"/>
          <w:noProof w:val="0"/>
          <w:rtl/>
        </w:rPr>
        <w:t xml:space="preserve">(עמ' 72 </w:t>
      </w:r>
      <w:r>
        <w:rPr>
          <w:rFonts w:ascii="Arial" w:hAnsi="Arial"/>
          <w:noProof w:val="0"/>
          <w:rtl/>
        </w:rPr>
        <w:t>שורות 21-22 לפרו</w:t>
      </w:r>
      <w:r w:rsidRPr="004620B5">
        <w:rPr>
          <w:rFonts w:ascii="Arial" w:hAnsi="Arial"/>
          <w:noProof w:val="0"/>
          <w:rtl/>
        </w:rPr>
        <w:t xml:space="preserve">ט'); במשך השנים </w:t>
      </w:r>
      <w:r>
        <w:rPr>
          <w:rFonts w:ascii="Arial" w:hAnsi="Arial"/>
          <w:noProof w:val="0"/>
          <w:rtl/>
        </w:rPr>
        <w:t xml:space="preserve">ועד 2019 </w:t>
      </w:r>
      <w:r w:rsidRPr="004620B5">
        <w:rPr>
          <w:rFonts w:ascii="Arial" w:hAnsi="Arial"/>
          <w:noProof w:val="0"/>
          <w:rtl/>
        </w:rPr>
        <w:t>בהן קיבלה הנתבעת את דמי השכירות</w:t>
      </w:r>
      <w:r>
        <w:rPr>
          <w:rFonts w:ascii="Arial" w:hAnsi="Arial"/>
          <w:noProof w:val="0"/>
          <w:rtl/>
        </w:rPr>
        <w:t xml:space="preserve"> (עמ' 72 שורות 26-27 לפרוט')</w:t>
      </w:r>
      <w:r w:rsidRPr="004620B5">
        <w:rPr>
          <w:rFonts w:ascii="Arial" w:hAnsi="Arial"/>
          <w:noProof w:val="0"/>
          <w:rtl/>
        </w:rPr>
        <w:t xml:space="preserve">, </w:t>
      </w:r>
      <w:r>
        <w:rPr>
          <w:rFonts w:ascii="Arial" w:hAnsi="Arial"/>
          <w:noProof w:val="0"/>
          <w:rtl/>
        </w:rPr>
        <w:t>לא רק שהיא לא הבי</w:t>
      </w:r>
      <w:r w:rsidRPr="004620B5">
        <w:rPr>
          <w:rFonts w:ascii="Arial" w:hAnsi="Arial"/>
          <w:noProof w:val="0"/>
          <w:rtl/>
        </w:rPr>
        <w:t xml:space="preserve">עה כל התנגדות להשכרת הדירה </w:t>
      </w:r>
      <w:r>
        <w:rPr>
          <w:rFonts w:ascii="Arial" w:hAnsi="Arial"/>
          <w:noProof w:val="0"/>
          <w:rtl/>
        </w:rPr>
        <w:t>אלא שקיבלה את</w:t>
      </w:r>
      <w:r w:rsidRPr="004620B5">
        <w:rPr>
          <w:rFonts w:ascii="Arial" w:hAnsi="Arial"/>
          <w:noProof w:val="0"/>
          <w:rtl/>
        </w:rPr>
        <w:t xml:space="preserve"> דמי השכירות</w:t>
      </w:r>
      <w:r>
        <w:rPr>
          <w:rFonts w:ascii="Arial" w:hAnsi="Arial"/>
          <w:noProof w:val="0"/>
          <w:rtl/>
        </w:rPr>
        <w:t>, חרף העובדה שהדירה היתה מפוצלת.</w:t>
      </w:r>
    </w:p>
    <w:p w14:paraId="11FD8818" w14:textId="77777777" w:rsidR="006F6013" w:rsidRDefault="006F6013" w:rsidP="009D7BD6">
      <w:pPr>
        <w:pStyle w:val="10"/>
        <w:spacing w:line="360" w:lineRule="auto"/>
        <w:ind w:left="360"/>
        <w:jc w:val="both"/>
        <w:rPr>
          <w:rFonts w:ascii="Arial" w:hAnsi="Arial"/>
          <w:noProof w:val="0"/>
          <w:rtl/>
        </w:rPr>
      </w:pPr>
    </w:p>
    <w:p w14:paraId="465ACB6C" w14:textId="77777777" w:rsidR="006F6013" w:rsidRDefault="00000000" w:rsidP="00DE4682">
      <w:pPr>
        <w:pStyle w:val="10"/>
        <w:spacing w:line="360" w:lineRule="auto"/>
        <w:ind w:left="360"/>
        <w:jc w:val="both"/>
        <w:rPr>
          <w:rFonts w:ascii="Arial" w:hAnsi="Arial"/>
          <w:noProof w:val="0"/>
          <w:rtl/>
        </w:rPr>
      </w:pPr>
      <w:r w:rsidRPr="00193690">
        <w:rPr>
          <w:rFonts w:ascii="Arial" w:hAnsi="Arial"/>
          <w:b/>
          <w:bCs/>
          <w:noProof w:val="0"/>
          <w:rtl/>
        </w:rPr>
        <w:t>השני</w:t>
      </w:r>
      <w:r>
        <w:rPr>
          <w:rFonts w:ascii="Arial" w:hAnsi="Arial"/>
          <w:noProof w:val="0"/>
          <w:rtl/>
        </w:rPr>
        <w:t xml:space="preserve"> – הנתבעת צירפה לתצהיר עדותה הראשית מכתב שנחתם על ידי ב"כ הקודם, עו"ד ---, מיום 13.6.2018 (נספח 16 עמ' 68 לנספחי התצהיר). במכתב מציעה הנתבעת, כי ימונה נאמן להשכרת הדירה והוא יהיה אמון על חלוקת דמי השכירות. אין במכתב זכר לטענה, כי היא מתנגדת להשכרת הדירה בשל הבנייה הבלתי חוקית. בחקירתה, הנתבעת לא נתנה הסבר והשיבה: "אני לא כתבתי את זה בעצמי" (עמ' 75 שורות 19-25 לפרוט'). </w:t>
      </w:r>
    </w:p>
    <w:p w14:paraId="243ACBBF" w14:textId="77777777" w:rsidR="006F6013" w:rsidRDefault="006F6013" w:rsidP="00E95361">
      <w:pPr>
        <w:pStyle w:val="10"/>
        <w:spacing w:line="360" w:lineRule="auto"/>
        <w:ind w:left="360"/>
        <w:jc w:val="both"/>
        <w:rPr>
          <w:rFonts w:ascii="Arial" w:hAnsi="Arial"/>
          <w:noProof w:val="0"/>
          <w:rtl/>
        </w:rPr>
      </w:pPr>
    </w:p>
    <w:p w14:paraId="7EA72C3C" w14:textId="77777777" w:rsidR="006F6013" w:rsidRDefault="00000000" w:rsidP="003700F2">
      <w:pPr>
        <w:pStyle w:val="10"/>
        <w:spacing w:line="360" w:lineRule="auto"/>
        <w:ind w:left="360"/>
        <w:jc w:val="both"/>
        <w:rPr>
          <w:rFonts w:ascii="Arial" w:hAnsi="Arial"/>
          <w:noProof w:val="0"/>
          <w:rtl/>
        </w:rPr>
      </w:pPr>
      <w:r w:rsidRPr="003700F2">
        <w:rPr>
          <w:rFonts w:ascii="Arial" w:hAnsi="Arial"/>
          <w:b/>
          <w:bCs/>
          <w:noProof w:val="0"/>
          <w:rtl/>
        </w:rPr>
        <w:t>השלישי -</w:t>
      </w:r>
      <w:r>
        <w:rPr>
          <w:rFonts w:ascii="Arial" w:hAnsi="Arial"/>
          <w:noProof w:val="0"/>
          <w:rtl/>
        </w:rPr>
        <w:t xml:space="preserve"> לתצהיר עדותה הראשית צירפה הנתבעת תגובה שהגישה לבית המשפט המחוזי מיום 1.5.2018 (נספח 15 עמ' 60) ובה עתרה למנות נאמן חיצוני להשכרת הדירה ולחילופין עתרה למנותה כנאמנה על השכרת הדירה; פיצול הדירה לא מנע מהנתבעת לעתור לסעדים הנ"ל באותה תגובה. </w:t>
      </w:r>
      <w:r w:rsidRPr="00303A7B">
        <w:rPr>
          <w:rFonts w:ascii="Arial" w:hAnsi="Arial"/>
          <w:noProof w:val="0"/>
          <w:rtl/>
        </w:rPr>
        <w:t xml:space="preserve">אם כן, </w:t>
      </w:r>
      <w:r>
        <w:rPr>
          <w:rFonts w:ascii="Arial" w:hAnsi="Arial"/>
          <w:noProof w:val="0"/>
          <w:rtl/>
        </w:rPr>
        <w:t xml:space="preserve">טענות הנתבעת, נסתרות מניה-וביה. </w:t>
      </w:r>
      <w:r w:rsidRPr="004620B5">
        <w:rPr>
          <w:rFonts w:ascii="Arial" w:hAnsi="Arial"/>
          <w:noProof w:val="0"/>
          <w:rtl/>
        </w:rPr>
        <w:t>הנתבעת מושתקת לטעון, כי התנגדה להשכרתה של הדירה בשל כך שהדירה היתה מפוצלת.</w:t>
      </w:r>
    </w:p>
    <w:p w14:paraId="6E58EF6F" w14:textId="77777777" w:rsidR="006F6013" w:rsidRDefault="006F6013" w:rsidP="00FE5D1D">
      <w:pPr>
        <w:pStyle w:val="10"/>
        <w:spacing w:line="360" w:lineRule="auto"/>
        <w:ind w:left="907"/>
        <w:jc w:val="both"/>
        <w:rPr>
          <w:rFonts w:ascii="Arial" w:hAnsi="Arial"/>
          <w:noProof w:val="0"/>
        </w:rPr>
      </w:pPr>
    </w:p>
    <w:p w14:paraId="64E6560E" w14:textId="77777777" w:rsidR="006F6013" w:rsidRDefault="00000000" w:rsidP="003700F2">
      <w:pPr>
        <w:pStyle w:val="10"/>
        <w:spacing w:line="360" w:lineRule="auto"/>
        <w:ind w:left="360"/>
        <w:jc w:val="both"/>
        <w:rPr>
          <w:rFonts w:ascii="Arial" w:hAnsi="Arial"/>
          <w:noProof w:val="0"/>
        </w:rPr>
      </w:pPr>
      <w:r w:rsidRPr="00E26E28">
        <w:rPr>
          <w:rFonts w:ascii="Arial" w:hAnsi="Arial"/>
          <w:b/>
          <w:bCs/>
          <w:noProof w:val="0"/>
          <w:rtl/>
        </w:rPr>
        <w:t>ה</w:t>
      </w:r>
      <w:r>
        <w:rPr>
          <w:rFonts w:ascii="Arial" w:hAnsi="Arial"/>
          <w:b/>
          <w:bCs/>
          <w:noProof w:val="0"/>
          <w:rtl/>
        </w:rPr>
        <w:t>רביעי</w:t>
      </w:r>
      <w:r>
        <w:rPr>
          <w:rFonts w:ascii="Arial" w:hAnsi="Arial"/>
          <w:noProof w:val="0"/>
          <w:rtl/>
        </w:rPr>
        <w:t xml:space="preserve"> - בהסכם מיום 1.6.2014 נקבע, כי עד למכירתה, הדירה תושכר ודמי השכירות יחולקו בין הצדדים בחלקים שווים. גם בשנת 2014, עת נכרת ההסכם, היתה הדירה מפוצלת לשתי יחידות (עדות הנתבעת בעמ' 73 שורות 18-19 לפרוט; עדות התובע בעמ' 19 שורות 20-23 לפרוט'), כך שלא היתה לנתבעת כל הצדקה לסרב להשכרת הדירה. חרף התחייבות הנתבעת בהסכם, היא הפרה התחייבותה וסירבה שלא כדין להשכיר את הדירה. </w:t>
      </w:r>
    </w:p>
    <w:p w14:paraId="7380441B" w14:textId="77777777" w:rsidR="006F6013" w:rsidRPr="004620B5" w:rsidRDefault="00000000" w:rsidP="009D7BD6">
      <w:pPr>
        <w:pStyle w:val="10"/>
        <w:numPr>
          <w:ilvl w:val="0"/>
          <w:numId w:val="1"/>
        </w:numPr>
        <w:spacing w:line="360" w:lineRule="auto"/>
        <w:jc w:val="both"/>
        <w:rPr>
          <w:rFonts w:ascii="Arial" w:hAnsi="Arial"/>
          <w:noProof w:val="0"/>
        </w:rPr>
      </w:pPr>
      <w:r w:rsidRPr="0073316C">
        <w:rPr>
          <w:rFonts w:ascii="Arial" w:hAnsi="Arial"/>
          <w:noProof w:val="0"/>
          <w:rtl/>
        </w:rPr>
        <w:t>החלטת בית המשפט המחוזי</w:t>
      </w:r>
      <w:r>
        <w:rPr>
          <w:rFonts w:ascii="Arial" w:hAnsi="Arial"/>
          <w:noProof w:val="0"/>
          <w:rtl/>
        </w:rPr>
        <w:t xml:space="preserve">, מיום 20.11.2017, לפיה השכרת הדירה תעשה בכפוף להסכמת המשיבה, אינה פוטרת את הנתבעת מאחריות לנזקי התובע, </w:t>
      </w:r>
      <w:r w:rsidRPr="004620B5">
        <w:rPr>
          <w:rFonts w:ascii="Arial" w:hAnsi="Arial"/>
          <w:noProof w:val="0"/>
          <w:rtl/>
        </w:rPr>
        <w:t>ואינה מהווה מחסום בפני חיוב</w:t>
      </w:r>
      <w:r>
        <w:rPr>
          <w:rFonts w:ascii="Arial" w:hAnsi="Arial"/>
          <w:noProof w:val="0"/>
          <w:rtl/>
        </w:rPr>
        <w:t xml:space="preserve">ה </w:t>
      </w:r>
      <w:r w:rsidRPr="004620B5">
        <w:rPr>
          <w:rFonts w:ascii="Arial" w:hAnsi="Arial"/>
          <w:noProof w:val="0"/>
          <w:rtl/>
        </w:rPr>
        <w:t xml:space="preserve">בנזקי התובע.  </w:t>
      </w:r>
      <w:r>
        <w:rPr>
          <w:rFonts w:ascii="Arial" w:hAnsi="Arial"/>
          <w:noProof w:val="0"/>
          <w:rtl/>
        </w:rPr>
        <w:t xml:space="preserve">ודוק: החלטת בית המשפט המחוזי ניתנה בטרם הוכרע הערעור ביום 10.2.2019. </w:t>
      </w:r>
    </w:p>
    <w:p w14:paraId="1AC1A4AA" w14:textId="77777777" w:rsidR="006F6013" w:rsidRPr="00B745D9" w:rsidRDefault="006F6013" w:rsidP="00B745D9">
      <w:pPr>
        <w:pStyle w:val="10"/>
        <w:rPr>
          <w:rFonts w:ascii="Arial" w:hAnsi="Arial"/>
          <w:noProof w:val="0"/>
          <w:rtl/>
        </w:rPr>
      </w:pPr>
    </w:p>
    <w:p w14:paraId="11D6D41E" w14:textId="77777777" w:rsidR="006F6013" w:rsidRDefault="00000000" w:rsidP="003700F2">
      <w:pPr>
        <w:pStyle w:val="10"/>
        <w:numPr>
          <w:ilvl w:val="0"/>
          <w:numId w:val="1"/>
        </w:numPr>
        <w:spacing w:line="360" w:lineRule="auto"/>
        <w:jc w:val="both"/>
        <w:rPr>
          <w:rFonts w:ascii="Arial" w:hAnsi="Arial"/>
          <w:noProof w:val="0"/>
        </w:rPr>
      </w:pPr>
      <w:r>
        <w:rPr>
          <w:rFonts w:ascii="Arial" w:hAnsi="Arial"/>
          <w:noProof w:val="0"/>
          <w:rtl/>
        </w:rPr>
        <w:t xml:space="preserve">לאור האמור לעיל, הגעתי למסקנה, כי הנתבעת חייבת בפיצוי כספי לתובע בגובה מחצית מדמי השכירות שהיו ראויים להשתלם בגין התקופה בה הדירה לא הושכרה מחודש אוגוסט 2018 ועד למועד מתן פסק-הדין ביום 10.2.2019.  </w:t>
      </w:r>
    </w:p>
    <w:p w14:paraId="79944BE0" w14:textId="77777777" w:rsidR="006F6013" w:rsidRPr="003700F2" w:rsidRDefault="006F6013" w:rsidP="003700F2">
      <w:pPr>
        <w:spacing w:line="360" w:lineRule="auto"/>
        <w:jc w:val="both"/>
        <w:rPr>
          <w:rFonts w:ascii="Arial" w:hAnsi="Arial"/>
          <w:noProof w:val="0"/>
        </w:rPr>
      </w:pPr>
    </w:p>
    <w:p w14:paraId="492FCD6E" w14:textId="77777777" w:rsidR="006F6013" w:rsidRDefault="00000000" w:rsidP="009D7BD6">
      <w:pPr>
        <w:pStyle w:val="10"/>
        <w:numPr>
          <w:ilvl w:val="0"/>
          <w:numId w:val="1"/>
        </w:numPr>
        <w:spacing w:line="360" w:lineRule="auto"/>
        <w:jc w:val="both"/>
        <w:rPr>
          <w:rFonts w:ascii="Arial" w:hAnsi="Arial"/>
          <w:noProof w:val="0"/>
        </w:rPr>
      </w:pPr>
      <w:r w:rsidRPr="00A35CAD">
        <w:rPr>
          <w:rFonts w:ascii="Arial" w:hAnsi="Arial"/>
          <w:noProof w:val="0"/>
          <w:u w:val="single"/>
          <w:rtl/>
        </w:rPr>
        <w:t>חיוב הנתבעת בפיצויי נשען על שני מקורות נורמטיביים</w:t>
      </w:r>
      <w:r>
        <w:rPr>
          <w:rFonts w:ascii="Arial" w:hAnsi="Arial"/>
          <w:noProof w:val="0"/>
          <w:rtl/>
        </w:rPr>
        <w:t xml:space="preserve">: </w:t>
      </w:r>
    </w:p>
    <w:p w14:paraId="49E8D4F2" w14:textId="77777777" w:rsidR="006F6013" w:rsidRDefault="006F6013" w:rsidP="00C2163F">
      <w:pPr>
        <w:pStyle w:val="10"/>
        <w:spacing w:line="360" w:lineRule="auto"/>
        <w:ind w:left="907"/>
        <w:jc w:val="both"/>
        <w:rPr>
          <w:rFonts w:ascii="Arial" w:hAnsi="Arial"/>
          <w:noProof w:val="0"/>
        </w:rPr>
      </w:pPr>
    </w:p>
    <w:p w14:paraId="043E158B" w14:textId="77777777" w:rsidR="006F6013" w:rsidRDefault="00000000" w:rsidP="009D7BD6">
      <w:pPr>
        <w:pStyle w:val="10"/>
        <w:spacing w:line="360" w:lineRule="auto"/>
        <w:ind w:left="360"/>
        <w:jc w:val="both"/>
        <w:rPr>
          <w:rFonts w:ascii="Arial" w:hAnsi="Arial"/>
          <w:noProof w:val="0"/>
          <w:rtl/>
        </w:rPr>
      </w:pPr>
      <w:r w:rsidRPr="006C35BF">
        <w:rPr>
          <w:rFonts w:ascii="Arial" w:hAnsi="Arial"/>
          <w:noProof w:val="0"/>
          <w:u w:val="single"/>
          <w:rtl/>
        </w:rPr>
        <w:t>האחד</w:t>
      </w:r>
      <w:r>
        <w:rPr>
          <w:rFonts w:ascii="Arial" w:hAnsi="Arial"/>
          <w:noProof w:val="0"/>
          <w:rtl/>
        </w:rPr>
        <w:t xml:space="preserve"> - </w:t>
      </w:r>
      <w:hyperlink r:id="rId41" w:history="1">
        <w:r w:rsidR="000919FD" w:rsidRPr="000919FD">
          <w:rPr>
            <w:rStyle w:val="Hyperlink"/>
            <w:rFonts w:ascii="Arial" w:hAnsi="Arial"/>
            <w:noProof w:val="0"/>
            <w:rtl/>
          </w:rPr>
          <w:t>סע' 10</w:t>
        </w:r>
      </w:hyperlink>
      <w:r>
        <w:rPr>
          <w:rFonts w:ascii="Arial" w:hAnsi="Arial"/>
          <w:noProof w:val="0"/>
          <w:rtl/>
        </w:rPr>
        <w:t xml:space="preserve"> ל</w:t>
      </w:r>
      <w:hyperlink r:id="rId42" w:history="1">
        <w:r w:rsidR="00BD7105" w:rsidRPr="00BD7105">
          <w:rPr>
            <w:rFonts w:ascii="Arial" w:hAnsi="Arial"/>
            <w:noProof w:val="0"/>
            <w:color w:val="0000FF"/>
            <w:u w:val="single"/>
            <w:rtl/>
          </w:rPr>
          <w:t>חוק החוזים (תרופות בשל הפרת חוזה)</w:t>
        </w:r>
      </w:hyperlink>
      <w:r>
        <w:rPr>
          <w:rFonts w:ascii="Arial" w:hAnsi="Arial"/>
          <w:noProof w:val="0"/>
          <w:rtl/>
        </w:rPr>
        <w:t xml:space="preserve"> קובע את זכאותו של הנפגע "לפיצויים בעד הנזק שנגרם לו עקב ההפרה ותוצאותיה, ושהמפר ראה אותו או שהיה עליו לראותו מראש, בעת כריתת החוזה, כתוצאה מסתברת של ההפרה". </w:t>
      </w:r>
    </w:p>
    <w:p w14:paraId="5CCD2FDD" w14:textId="77777777" w:rsidR="006F6013" w:rsidRDefault="00000000" w:rsidP="00332F5F">
      <w:pPr>
        <w:pStyle w:val="10"/>
        <w:spacing w:line="360" w:lineRule="auto"/>
        <w:ind w:left="360"/>
        <w:jc w:val="both"/>
        <w:rPr>
          <w:rFonts w:ascii="Arial" w:hAnsi="Arial"/>
          <w:noProof w:val="0"/>
        </w:rPr>
      </w:pPr>
      <w:r>
        <w:rPr>
          <w:rFonts w:ascii="Arial" w:hAnsi="Arial"/>
          <w:noProof w:val="0"/>
          <w:rtl/>
        </w:rPr>
        <w:t>תרופת הפיצוי נועדה להעמיד את הנפגע מבחינה כספית במצב בו היה עומד אלמלא ההפרה. נזקו של הנפגע עשוי להתבטא באובדן רווחים שהיו צפויים לו אילו החוזה עמו היה מקוים (</w:t>
      </w:r>
      <w:hyperlink r:id="rId43" w:history="1">
        <w:r w:rsidR="00BD7105" w:rsidRPr="00BD7105">
          <w:rPr>
            <w:rFonts w:ascii="Arial" w:hAnsi="Arial"/>
            <w:noProof w:val="0"/>
            <w:color w:val="0000FF"/>
            <w:u w:val="single"/>
            <w:rtl/>
          </w:rPr>
          <w:t>ע"א 7302/96</w:t>
        </w:r>
      </w:hyperlink>
      <w:r>
        <w:rPr>
          <w:rFonts w:ascii="Arial" w:hAnsi="Arial"/>
          <w:noProof w:val="0"/>
          <w:rtl/>
        </w:rPr>
        <w:t xml:space="preserve"> </w:t>
      </w:r>
      <w:r w:rsidRPr="00E26E28">
        <w:rPr>
          <w:rFonts w:ascii="Arial" w:hAnsi="Arial"/>
          <w:b/>
          <w:bCs/>
          <w:noProof w:val="0"/>
          <w:rtl/>
        </w:rPr>
        <w:t>בנק המזרחי המאוחד בע"מ נ' עו"ד יוסף לילוף</w:t>
      </w:r>
      <w:r>
        <w:rPr>
          <w:rFonts w:ascii="Arial" w:hAnsi="Arial"/>
          <w:noProof w:val="0"/>
          <w:rtl/>
        </w:rPr>
        <w:t xml:space="preserve">, פ"ד נה (3) 200). כאמור לעיל, הנתבעת הפרה את התחייבותה על פי ההסכם להשכיר את הדירה עד מכירתה, ובכך גרמה לנזק – אובדן רווח מדמי השכירות - שהיה עליה לצפותו מראש.    </w:t>
      </w:r>
    </w:p>
    <w:p w14:paraId="46B21E3B" w14:textId="77777777" w:rsidR="006F6013" w:rsidRPr="00B745D9" w:rsidRDefault="006F6013" w:rsidP="00C2163F">
      <w:pPr>
        <w:pStyle w:val="10"/>
        <w:spacing w:line="360" w:lineRule="auto"/>
        <w:ind w:left="173"/>
        <w:rPr>
          <w:rFonts w:ascii="Arial" w:hAnsi="Arial"/>
          <w:noProof w:val="0"/>
          <w:rtl/>
        </w:rPr>
      </w:pPr>
    </w:p>
    <w:p w14:paraId="3A3E9B52" w14:textId="77777777" w:rsidR="006F6013" w:rsidRPr="003700F2" w:rsidRDefault="00000000" w:rsidP="00834DB5">
      <w:pPr>
        <w:pStyle w:val="10"/>
        <w:spacing w:line="360" w:lineRule="auto"/>
        <w:ind w:left="360"/>
        <w:jc w:val="both"/>
        <w:rPr>
          <w:rFonts w:ascii="Arial" w:hAnsi="Arial"/>
          <w:b/>
          <w:bCs/>
          <w:noProof w:val="0"/>
          <w:rtl/>
        </w:rPr>
      </w:pPr>
      <w:r w:rsidRPr="006C35BF">
        <w:rPr>
          <w:rFonts w:ascii="Arial" w:hAnsi="Arial"/>
          <w:noProof w:val="0"/>
          <w:u w:val="single"/>
          <w:rtl/>
        </w:rPr>
        <w:t xml:space="preserve">השני </w:t>
      </w:r>
      <w:r>
        <w:rPr>
          <w:rFonts w:ascii="Arial" w:hAnsi="Arial"/>
          <w:noProof w:val="0"/>
          <w:rtl/>
        </w:rPr>
        <w:t xml:space="preserve">- מקור נורמטיבי נוסף לחיוב הנתבעת בפיצויים תמצא </w:t>
      </w:r>
      <w:hyperlink r:id="rId44" w:history="1">
        <w:r w:rsidR="000919FD" w:rsidRPr="000919FD">
          <w:rPr>
            <w:rStyle w:val="Hyperlink"/>
            <w:rFonts w:ascii="Arial" w:hAnsi="Arial"/>
            <w:noProof w:val="0"/>
            <w:rtl/>
          </w:rPr>
          <w:t>בסעיף 43 (ב)</w:t>
        </w:r>
      </w:hyperlink>
      <w:r>
        <w:rPr>
          <w:rFonts w:ascii="Arial" w:hAnsi="Arial"/>
          <w:noProof w:val="0"/>
          <w:rtl/>
        </w:rPr>
        <w:t xml:space="preserve"> ל</w:t>
      </w:r>
      <w:hyperlink r:id="rId45" w:history="1">
        <w:r w:rsidR="00BD7105" w:rsidRPr="00BD7105">
          <w:rPr>
            <w:rFonts w:ascii="Arial" w:hAnsi="Arial"/>
            <w:noProof w:val="0"/>
            <w:color w:val="0000FF"/>
            <w:u w:val="single"/>
            <w:rtl/>
          </w:rPr>
          <w:t>חוק החוזים</w:t>
        </w:r>
      </w:hyperlink>
      <w:r>
        <w:rPr>
          <w:rFonts w:ascii="Arial" w:hAnsi="Arial"/>
          <w:noProof w:val="0"/>
          <w:rtl/>
        </w:rPr>
        <w:t xml:space="preserve">. </w:t>
      </w:r>
      <w:r w:rsidRPr="00E26E28">
        <w:rPr>
          <w:rFonts w:ascii="Arial" w:hAnsi="Arial"/>
          <w:noProof w:val="0"/>
          <w:rtl/>
        </w:rPr>
        <w:t xml:space="preserve">במקרה שבו נדחה מועד הקיום על פי </w:t>
      </w:r>
      <w:hyperlink r:id="rId46" w:history="1">
        <w:r w:rsidR="000919FD" w:rsidRPr="000919FD">
          <w:rPr>
            <w:rStyle w:val="Hyperlink"/>
            <w:rFonts w:ascii="Arial" w:hAnsi="Arial"/>
            <w:noProof w:val="0"/>
            <w:rtl/>
          </w:rPr>
          <w:t>סע' 43 (א)</w:t>
        </w:r>
      </w:hyperlink>
      <w:r w:rsidRPr="00E26E28">
        <w:rPr>
          <w:rFonts w:ascii="Arial" w:hAnsi="Arial"/>
          <w:noProof w:val="0"/>
          <w:rtl/>
        </w:rPr>
        <w:t xml:space="preserve">, מוסמך בית המשפט, </w:t>
      </w:r>
      <w:r w:rsidRPr="00E26E28">
        <w:rPr>
          <w:rFonts w:ascii="Arial" w:hAnsi="Arial"/>
          <w:b/>
          <w:bCs/>
          <w:noProof w:val="0"/>
          <w:rtl/>
        </w:rPr>
        <w:t>אם ראה שמן הצדק לעשות כן</w:t>
      </w:r>
      <w:r w:rsidRPr="00E26E28">
        <w:rPr>
          <w:rFonts w:ascii="Arial" w:hAnsi="Arial"/>
          <w:noProof w:val="0"/>
          <w:rtl/>
        </w:rPr>
        <w:t>, לחייב את הנושה בתשלום פיצויים על הנזק שנגרם לחייב עקב הדחיה, אפילו לא היה בכך הפרת חוזה מצידו (</w:t>
      </w:r>
      <w:hyperlink r:id="rId47" w:history="1">
        <w:r w:rsidR="00BD7105" w:rsidRPr="00BD7105">
          <w:rPr>
            <w:rFonts w:ascii="Arial" w:hAnsi="Arial"/>
            <w:noProof w:val="0"/>
            <w:color w:val="0000FF"/>
            <w:u w:val="single"/>
            <w:rtl/>
          </w:rPr>
          <w:t>ע"א 1978/18</w:t>
        </w:r>
      </w:hyperlink>
      <w:r w:rsidRPr="00E26E28">
        <w:rPr>
          <w:rFonts w:ascii="Arial" w:hAnsi="Arial"/>
          <w:noProof w:val="0"/>
          <w:rtl/>
        </w:rPr>
        <w:t xml:space="preserve"> </w:t>
      </w:r>
      <w:r w:rsidRPr="00E26E28">
        <w:rPr>
          <w:rFonts w:ascii="Arial" w:hAnsi="Arial"/>
          <w:b/>
          <w:bCs/>
          <w:noProof w:val="0"/>
          <w:rtl/>
        </w:rPr>
        <w:t xml:space="preserve">ש. כהן הנדסה בע"מ נ' החברה העירונית לפיתוח אשדוד בע"מ </w:t>
      </w:r>
      <w:r>
        <w:rPr>
          <w:rFonts w:ascii="Arial" w:hAnsi="Arial"/>
          <w:noProof w:val="0"/>
          <w:rtl/>
        </w:rPr>
        <w:t xml:space="preserve">[פורסם בנבו] 14.3.2019). במקרה דנא, הנתבעת סיכלה את התחייבותה בהסכם המכר ומנעה את השלמת עסקת המכר. הדחייה בהשלמת עסקת המכר מנעה מהתובע לעשות שימוש בקניינו ומנעה ממנו להשכיר את הדירה בתקופה שמחודש אוגוסט 2018 ועד 10.2.2019. </w:t>
      </w:r>
      <w:r w:rsidRPr="003700F2">
        <w:rPr>
          <w:rFonts w:ascii="Arial" w:hAnsi="Arial"/>
          <w:b/>
          <w:bCs/>
          <w:noProof w:val="0"/>
          <w:rtl/>
        </w:rPr>
        <w:t xml:space="preserve">אם כן, מן הצדק לחייב את הנתבעת בפיצוי בגין הנזק שנגרם לתובע. </w:t>
      </w:r>
    </w:p>
    <w:p w14:paraId="0ED9631F" w14:textId="77777777" w:rsidR="006F6013" w:rsidRPr="00B745D9" w:rsidRDefault="006F6013" w:rsidP="00C2163F">
      <w:pPr>
        <w:pStyle w:val="10"/>
        <w:spacing w:line="360" w:lineRule="auto"/>
        <w:rPr>
          <w:rFonts w:ascii="Arial" w:hAnsi="Arial"/>
          <w:noProof w:val="0"/>
          <w:rtl/>
        </w:rPr>
      </w:pPr>
    </w:p>
    <w:p w14:paraId="44BC56EE" w14:textId="77777777" w:rsidR="006F6013" w:rsidRPr="004A7C5E" w:rsidRDefault="00000000" w:rsidP="009D7BD6">
      <w:pPr>
        <w:pStyle w:val="10"/>
        <w:numPr>
          <w:ilvl w:val="0"/>
          <w:numId w:val="1"/>
        </w:numPr>
        <w:spacing w:line="360" w:lineRule="auto"/>
        <w:jc w:val="both"/>
        <w:rPr>
          <w:rFonts w:ascii="David" w:hAnsi="David"/>
          <w:noProof w:val="0"/>
        </w:rPr>
      </w:pPr>
      <w:r>
        <w:rPr>
          <w:rFonts w:ascii="Arial" w:hAnsi="Arial"/>
          <w:noProof w:val="0"/>
          <w:rtl/>
        </w:rPr>
        <w:t>על התובע מוטלת החובה לא רק להוכיח את קיומו של הנזק אלא גם להוכיח את הנתונים העובדתיים עליהם יש לבסס את היקף הפיצוי הראוי בגין הנזק. לא די לו לנפגע, כי יוכיח, שבשל הפרת החוזה נגרם לו נזק אלא עליו גם להוכיח, במידת וודאות סבירה ועל בסיס נתונים עובדתיים</w:t>
      </w:r>
      <w:r w:rsidRPr="004A7C5E">
        <w:rPr>
          <w:rFonts w:ascii="David" w:hAnsi="David"/>
          <w:noProof w:val="0"/>
          <w:rtl/>
        </w:rPr>
        <w:t xml:space="preserve">, </w:t>
      </w:r>
      <w:r w:rsidRPr="004A7C5E">
        <w:rPr>
          <w:rFonts w:ascii="David" w:hAnsi="David"/>
          <w:noProof w:val="0"/>
          <w:color w:val="000000"/>
          <w:spacing w:val="10"/>
          <w:rtl/>
        </w:rPr>
        <w:t>גם את שיעור הפיצויים, דהיינו את הערך הכספי של החזרת המצב לקדמותו</w:t>
      </w:r>
      <w:r w:rsidRPr="004A7C5E">
        <w:rPr>
          <w:rFonts w:ascii="David" w:hAnsi="David"/>
          <w:noProof w:val="0"/>
          <w:rtl/>
        </w:rPr>
        <w:t xml:space="preserve"> (</w:t>
      </w:r>
      <w:hyperlink r:id="rId48" w:history="1">
        <w:r w:rsidR="00BD7105" w:rsidRPr="00BD7105">
          <w:rPr>
            <w:rFonts w:ascii="David" w:hAnsi="David"/>
            <w:noProof w:val="0"/>
            <w:color w:val="0000FF"/>
            <w:u w:val="single"/>
            <w:rtl/>
          </w:rPr>
          <w:t>ע"א 9656/05</w:t>
        </w:r>
      </w:hyperlink>
      <w:r w:rsidRPr="004A7C5E">
        <w:rPr>
          <w:rFonts w:ascii="David" w:hAnsi="David"/>
          <w:noProof w:val="0"/>
          <w:rtl/>
        </w:rPr>
        <w:t xml:space="preserve"> </w:t>
      </w:r>
      <w:r w:rsidRPr="004A7C5E">
        <w:rPr>
          <w:rFonts w:ascii="David" w:hAnsi="David"/>
          <w:b/>
          <w:bCs/>
          <w:noProof w:val="0"/>
          <w:rtl/>
        </w:rPr>
        <w:t>נפתלי שוורץ נ' רמנוף חברה לביטוח וציוד בניה בע"מ</w:t>
      </w:r>
      <w:r w:rsidRPr="004A7C5E">
        <w:rPr>
          <w:rFonts w:ascii="David" w:hAnsi="David"/>
          <w:noProof w:val="0"/>
          <w:rtl/>
        </w:rPr>
        <w:t xml:space="preserve"> [פורסם בנבו] 27.7.2008. </w:t>
      </w:r>
    </w:p>
    <w:p w14:paraId="085FCAEC" w14:textId="77777777" w:rsidR="006F6013" w:rsidRPr="00834DB5" w:rsidRDefault="00000000" w:rsidP="00C2163F">
      <w:pPr>
        <w:spacing w:line="360" w:lineRule="auto"/>
        <w:ind w:left="360"/>
        <w:jc w:val="both"/>
        <w:rPr>
          <w:rFonts w:ascii="Arial" w:hAnsi="Arial"/>
          <w:noProof w:val="0"/>
        </w:rPr>
      </w:pPr>
      <w:r w:rsidRPr="00834DB5">
        <w:rPr>
          <w:rFonts w:ascii="Arial" w:hAnsi="Arial"/>
          <w:noProof w:val="0"/>
          <w:rtl/>
        </w:rPr>
        <w:t>במקרה דנא, הנתונים העובדתיים ידועים</w:t>
      </w:r>
      <w:r>
        <w:rPr>
          <w:rFonts w:ascii="Arial" w:hAnsi="Arial"/>
          <w:noProof w:val="0"/>
          <w:rtl/>
        </w:rPr>
        <w:t xml:space="preserve">, אינם שנויים במחלוקת, ושיעור הנזק ברור, </w:t>
      </w:r>
      <w:r w:rsidRPr="00834DB5">
        <w:rPr>
          <w:rFonts w:ascii="Arial" w:hAnsi="Arial"/>
          <w:noProof w:val="0"/>
          <w:rtl/>
        </w:rPr>
        <w:t xml:space="preserve">שהרי משך שנים הושכרה הדירה (שתי היחידות) בתמורה לסך של 9,000 ₪ לחודש. </w:t>
      </w:r>
      <w:r>
        <w:rPr>
          <w:rFonts w:ascii="Arial" w:hAnsi="Arial"/>
          <w:noProof w:val="0"/>
          <w:rtl/>
        </w:rPr>
        <w:t xml:space="preserve"> </w:t>
      </w:r>
    </w:p>
    <w:p w14:paraId="5DF866C5" w14:textId="77777777" w:rsidR="006F6013" w:rsidRPr="00DD78A4" w:rsidRDefault="006F6013" w:rsidP="00C2163F">
      <w:pPr>
        <w:pStyle w:val="10"/>
        <w:spacing w:line="360" w:lineRule="auto"/>
        <w:rPr>
          <w:rFonts w:ascii="Arial" w:hAnsi="Arial"/>
          <w:noProof w:val="0"/>
          <w:rtl/>
        </w:rPr>
      </w:pPr>
    </w:p>
    <w:p w14:paraId="1D8B85C2" w14:textId="77777777" w:rsidR="006F6013" w:rsidRPr="00DD78A4" w:rsidRDefault="00000000" w:rsidP="00217115">
      <w:pPr>
        <w:pStyle w:val="10"/>
        <w:numPr>
          <w:ilvl w:val="0"/>
          <w:numId w:val="1"/>
        </w:numPr>
        <w:spacing w:line="360" w:lineRule="auto"/>
        <w:jc w:val="both"/>
        <w:rPr>
          <w:rFonts w:ascii="Arial" w:hAnsi="Arial"/>
          <w:noProof w:val="0"/>
        </w:rPr>
      </w:pPr>
      <w:r w:rsidRPr="00DD78A4">
        <w:rPr>
          <w:rFonts w:ascii="Arial" w:hAnsi="Arial"/>
          <w:noProof w:val="0"/>
          <w:rtl/>
        </w:rPr>
        <w:t xml:space="preserve">לאור האמור לעיל, מצאתי כי </w:t>
      </w:r>
      <w:r>
        <w:rPr>
          <w:rFonts w:ascii="Arial" w:hAnsi="Arial"/>
          <w:noProof w:val="0"/>
          <w:rtl/>
        </w:rPr>
        <w:t xml:space="preserve">יש מקום </w:t>
      </w:r>
      <w:r w:rsidRPr="00DD78A4">
        <w:rPr>
          <w:rFonts w:ascii="Arial" w:hAnsi="Arial"/>
          <w:noProof w:val="0"/>
          <w:rtl/>
        </w:rPr>
        <w:t xml:space="preserve">לחייב את הנתבעת לפצות את התובע במחצית דמי השכירות הראויים ובסך של 4,500 ₪ לחודש לתקופה שמיום 1.8.2018 ועד 10.2.2019 (עבור חודש פברואר 2019 יחושב הסכום באופן יחסי).  </w:t>
      </w:r>
    </w:p>
    <w:p w14:paraId="0C97366D" w14:textId="77777777" w:rsidR="006F6013" w:rsidRDefault="006F6013" w:rsidP="00C2163F">
      <w:pPr>
        <w:pStyle w:val="10"/>
        <w:spacing w:line="360" w:lineRule="auto"/>
        <w:rPr>
          <w:rFonts w:ascii="Arial" w:hAnsi="Arial"/>
          <w:noProof w:val="0"/>
          <w:rtl/>
        </w:rPr>
      </w:pPr>
    </w:p>
    <w:p w14:paraId="200FA9FF" w14:textId="77777777" w:rsidR="006F6013" w:rsidRPr="007B23F8" w:rsidRDefault="00000000" w:rsidP="007B23F8">
      <w:pPr>
        <w:spacing w:line="360" w:lineRule="auto"/>
        <w:jc w:val="both"/>
        <w:rPr>
          <w:rFonts w:ascii="Arial" w:hAnsi="Arial"/>
          <w:noProof w:val="0"/>
          <w:rtl/>
        </w:rPr>
      </w:pPr>
      <w:r>
        <w:rPr>
          <w:rFonts w:ascii="Arial" w:hAnsi="Arial"/>
          <w:b/>
          <w:bCs/>
          <w:noProof w:val="0"/>
          <w:u w:val="single"/>
          <w:rtl/>
        </w:rPr>
        <w:t xml:space="preserve">אחריות הנתבעת לחוב </w:t>
      </w:r>
      <w:r w:rsidRPr="00F31459">
        <w:rPr>
          <w:rFonts w:ascii="Arial" w:hAnsi="Arial"/>
          <w:b/>
          <w:bCs/>
          <w:noProof w:val="0"/>
          <w:u w:val="single"/>
          <w:rtl/>
        </w:rPr>
        <w:t xml:space="preserve">ועד </w:t>
      </w:r>
      <w:r>
        <w:rPr>
          <w:rFonts w:ascii="Arial" w:hAnsi="Arial"/>
          <w:b/>
          <w:bCs/>
          <w:noProof w:val="0"/>
          <w:u w:val="single"/>
          <w:rtl/>
        </w:rPr>
        <w:t>הבית וה</w:t>
      </w:r>
      <w:r w:rsidRPr="00F31459">
        <w:rPr>
          <w:rFonts w:ascii="Arial" w:hAnsi="Arial"/>
          <w:b/>
          <w:bCs/>
          <w:noProof w:val="0"/>
          <w:u w:val="single"/>
          <w:rtl/>
        </w:rPr>
        <w:t>ארנונה</w:t>
      </w:r>
    </w:p>
    <w:p w14:paraId="13F97089" w14:textId="77777777" w:rsidR="006F6013" w:rsidRPr="0090464D" w:rsidRDefault="00000000" w:rsidP="00A51DB7">
      <w:pPr>
        <w:pStyle w:val="10"/>
        <w:numPr>
          <w:ilvl w:val="0"/>
          <w:numId w:val="1"/>
        </w:numPr>
        <w:spacing w:line="360" w:lineRule="auto"/>
        <w:jc w:val="both"/>
        <w:rPr>
          <w:rFonts w:ascii="Arial" w:hAnsi="Arial"/>
          <w:noProof w:val="0"/>
        </w:rPr>
      </w:pPr>
      <w:r>
        <w:rPr>
          <w:rFonts w:ascii="Arial" w:hAnsi="Arial"/>
          <w:noProof w:val="0"/>
          <w:rtl/>
        </w:rPr>
        <w:t xml:space="preserve">הוכח, כי התובע שילם בתקופה שבה הדירה לא הושכרה, חוב ארנונה בסך של 1,087.31 ₪ וכן ועד בית בסך של 250 ₪. </w:t>
      </w:r>
      <w:r w:rsidRPr="00217115">
        <w:rPr>
          <w:rFonts w:ascii="Arial" w:hAnsi="Arial"/>
          <w:noProof w:val="0"/>
          <w:rtl/>
        </w:rPr>
        <w:t xml:space="preserve">אילו היתה הדירה מושכרת, היה שוכר הדירה משלם את ועד הבית והארנונה, והיתה נחסכת לתובע ההוצאה. </w:t>
      </w:r>
      <w:r w:rsidRPr="0090464D">
        <w:rPr>
          <w:rFonts w:ascii="Arial" w:hAnsi="Arial"/>
          <w:noProof w:val="0"/>
          <w:rtl/>
        </w:rPr>
        <w:t xml:space="preserve">לאור </w:t>
      </w:r>
      <w:r>
        <w:rPr>
          <w:rFonts w:ascii="Arial" w:hAnsi="Arial"/>
          <w:noProof w:val="0"/>
          <w:rtl/>
        </w:rPr>
        <w:t xml:space="preserve">מסקנתי, כי על הנתבעת לשלם לתובע פיצוי בעד הפסד דמי השכירות, מצאתי כי יש מקום לחייב את הנתבעת לשלם לתובע פיצוי בגובה </w:t>
      </w:r>
      <w:r w:rsidRPr="0090464D">
        <w:rPr>
          <w:rFonts w:ascii="Arial" w:hAnsi="Arial"/>
          <w:noProof w:val="0"/>
          <w:rtl/>
        </w:rPr>
        <w:t>מחצית מהסכומים הנ"ל</w:t>
      </w:r>
      <w:r>
        <w:rPr>
          <w:rFonts w:ascii="Arial" w:hAnsi="Arial"/>
          <w:noProof w:val="0"/>
          <w:rtl/>
        </w:rPr>
        <w:t>.</w:t>
      </w:r>
      <w:r w:rsidRPr="0090464D">
        <w:rPr>
          <w:rFonts w:ascii="Arial" w:hAnsi="Arial"/>
          <w:noProof w:val="0"/>
          <w:rtl/>
        </w:rPr>
        <w:t xml:space="preserve"> </w:t>
      </w:r>
    </w:p>
    <w:p w14:paraId="635EE387" w14:textId="77777777" w:rsidR="006F6013" w:rsidRDefault="006F6013" w:rsidP="0090464D">
      <w:pPr>
        <w:pStyle w:val="10"/>
        <w:spacing w:line="360" w:lineRule="auto"/>
        <w:ind w:left="360"/>
        <w:jc w:val="both"/>
        <w:rPr>
          <w:rFonts w:ascii="Arial" w:hAnsi="Arial"/>
          <w:noProof w:val="0"/>
        </w:rPr>
      </w:pPr>
    </w:p>
    <w:p w14:paraId="4A4B8EE1" w14:textId="77777777" w:rsidR="006F6013" w:rsidRPr="0090464D" w:rsidRDefault="00000000" w:rsidP="0090464D">
      <w:pPr>
        <w:spacing w:line="360" w:lineRule="auto"/>
        <w:jc w:val="both"/>
        <w:rPr>
          <w:rFonts w:ascii="Arial" w:hAnsi="Arial"/>
          <w:b/>
          <w:bCs/>
          <w:noProof w:val="0"/>
          <w:u w:val="single"/>
          <w:rtl/>
        </w:rPr>
      </w:pPr>
      <w:r w:rsidRPr="0090464D">
        <w:rPr>
          <w:rFonts w:ascii="Arial" w:hAnsi="Arial"/>
          <w:b/>
          <w:bCs/>
          <w:noProof w:val="0"/>
          <w:u w:val="single"/>
          <w:rtl/>
        </w:rPr>
        <w:t xml:space="preserve">אחריות הנתבעת לריבית על ההלוואות שנטל התובע </w:t>
      </w:r>
    </w:p>
    <w:p w14:paraId="4FB5299A" w14:textId="77777777" w:rsidR="006F6013" w:rsidRDefault="006F6013" w:rsidP="00DD78A4">
      <w:pPr>
        <w:spacing w:line="360" w:lineRule="auto"/>
        <w:jc w:val="both"/>
        <w:rPr>
          <w:rFonts w:ascii="Arial" w:hAnsi="Arial"/>
          <w:noProof w:val="0"/>
          <w:rtl/>
        </w:rPr>
      </w:pPr>
    </w:p>
    <w:p w14:paraId="7409C6F1" w14:textId="77777777" w:rsidR="006F6013" w:rsidRDefault="00000000" w:rsidP="00C2163F">
      <w:pPr>
        <w:pStyle w:val="10"/>
        <w:numPr>
          <w:ilvl w:val="0"/>
          <w:numId w:val="1"/>
        </w:numPr>
        <w:spacing w:line="360" w:lineRule="auto"/>
        <w:jc w:val="both"/>
        <w:rPr>
          <w:rFonts w:ascii="Arial" w:hAnsi="Arial"/>
          <w:noProof w:val="0"/>
        </w:rPr>
      </w:pPr>
      <w:r w:rsidRPr="00C2163F">
        <w:rPr>
          <w:rFonts w:ascii="Arial" w:hAnsi="Arial"/>
          <w:noProof w:val="0"/>
          <w:rtl/>
        </w:rPr>
        <w:t xml:space="preserve">התובע טוען, כי בשל סירובה של הנתבעת להשכיר את הדירה, נקלע למצוקה תזרימית, ונאלץ ליטול שתי הלוואות בסך כולל של 59,000 ₪ ושילם בגינן ריבית בסך של 2,993 ₪. התובע עותר לחיוב הנתבעת במלוא הריבית ששילם. </w:t>
      </w:r>
    </w:p>
    <w:p w14:paraId="36220F20" w14:textId="77777777" w:rsidR="006F6013" w:rsidRDefault="006F6013" w:rsidP="00C2163F">
      <w:pPr>
        <w:pStyle w:val="10"/>
        <w:spacing w:line="360" w:lineRule="auto"/>
        <w:ind w:left="360"/>
        <w:jc w:val="both"/>
        <w:rPr>
          <w:rFonts w:ascii="Arial" w:hAnsi="Arial"/>
          <w:noProof w:val="0"/>
        </w:rPr>
      </w:pPr>
    </w:p>
    <w:p w14:paraId="53AB16F7" w14:textId="77777777" w:rsidR="006F6013" w:rsidRPr="00C2163F" w:rsidRDefault="00000000" w:rsidP="009917EC">
      <w:pPr>
        <w:pStyle w:val="10"/>
        <w:numPr>
          <w:ilvl w:val="0"/>
          <w:numId w:val="1"/>
        </w:numPr>
        <w:spacing w:line="360" w:lineRule="auto"/>
        <w:jc w:val="both"/>
        <w:rPr>
          <w:rFonts w:ascii="Arial" w:hAnsi="Arial"/>
          <w:noProof w:val="0"/>
        </w:rPr>
      </w:pPr>
      <w:r w:rsidRPr="00C2163F">
        <w:rPr>
          <w:rFonts w:ascii="Arial" w:hAnsi="Arial"/>
          <w:noProof w:val="0"/>
          <w:rtl/>
        </w:rPr>
        <w:t>בעוד הנזק בגין הפסד דמי השכירות קשור בזיקה ישירה להתנגדות הנתבעת להשכרת הדירה ולהפרת התחייבותה על פי ההסכם, הרי שהתובע לא הוכיח קשר לנזק הנטען בדמות תשלום ריבית על הלוואות. ההלוואות נלקחו בחודש אוגוסט 2018, מיד עם הפסקת השכירות. אין זה סביר שמיד עם הפסקת השכירות נקלע התובע למצוקה תזרימית, ולא מן הנמנע כי המצוקה התזרימית, אם אכן היתה כזו, נבעה מגורמים אחרים. לא זו אף זו, התובע לא הוכיח מצוקה תזירימית באותה תקופה</w:t>
      </w:r>
      <w:r>
        <w:rPr>
          <w:rFonts w:ascii="Arial" w:hAnsi="Arial"/>
          <w:noProof w:val="0"/>
          <w:rtl/>
        </w:rPr>
        <w:t>, ונטל ההוכחה מוטל על כתפיו</w:t>
      </w:r>
      <w:r w:rsidRPr="00C2163F">
        <w:rPr>
          <w:rFonts w:ascii="Arial" w:hAnsi="Arial"/>
          <w:noProof w:val="0"/>
          <w:rtl/>
        </w:rPr>
        <w:t xml:space="preserve">. לפיכך, אני דוחה את תביעת התובע ביחס לתשלום הריבית.   </w:t>
      </w:r>
    </w:p>
    <w:p w14:paraId="659CE17D" w14:textId="77777777" w:rsidR="006F6013" w:rsidRPr="00B745D9" w:rsidRDefault="006F6013" w:rsidP="00C2163F">
      <w:pPr>
        <w:pStyle w:val="10"/>
        <w:spacing w:line="360" w:lineRule="auto"/>
        <w:rPr>
          <w:rFonts w:ascii="Arial" w:hAnsi="Arial"/>
          <w:noProof w:val="0"/>
          <w:rtl/>
        </w:rPr>
      </w:pPr>
    </w:p>
    <w:p w14:paraId="4E83577E" w14:textId="77777777" w:rsidR="006F6013" w:rsidRPr="009D7BD6" w:rsidRDefault="00000000" w:rsidP="009D7BD6">
      <w:pPr>
        <w:spacing w:line="360" w:lineRule="auto"/>
        <w:jc w:val="both"/>
        <w:rPr>
          <w:rFonts w:ascii="Arial" w:hAnsi="Arial"/>
          <w:b/>
          <w:bCs/>
          <w:noProof w:val="0"/>
          <w:u w:val="single"/>
        </w:rPr>
      </w:pPr>
      <w:r w:rsidRPr="009D7BD6">
        <w:rPr>
          <w:rFonts w:ascii="Arial" w:hAnsi="Arial"/>
          <w:b/>
          <w:bCs/>
          <w:noProof w:val="0"/>
          <w:u w:val="single"/>
          <w:rtl/>
        </w:rPr>
        <w:t xml:space="preserve">אחריות הנתבעת לאובדן רווחים  </w:t>
      </w:r>
    </w:p>
    <w:p w14:paraId="1FC069DF" w14:textId="77777777" w:rsidR="006F6013" w:rsidRDefault="006F6013" w:rsidP="00B745D9">
      <w:pPr>
        <w:pStyle w:val="10"/>
        <w:spacing w:line="360" w:lineRule="auto"/>
        <w:ind w:left="360"/>
        <w:jc w:val="both"/>
        <w:rPr>
          <w:rFonts w:ascii="Arial" w:hAnsi="Arial"/>
          <w:noProof w:val="0"/>
          <w:rtl/>
        </w:rPr>
      </w:pPr>
    </w:p>
    <w:p w14:paraId="33AA5579" w14:textId="77777777" w:rsidR="006F6013" w:rsidRDefault="00000000" w:rsidP="009D7BD6">
      <w:pPr>
        <w:pStyle w:val="10"/>
        <w:numPr>
          <w:ilvl w:val="0"/>
          <w:numId w:val="1"/>
        </w:numPr>
        <w:spacing w:line="360" w:lineRule="auto"/>
        <w:jc w:val="both"/>
        <w:rPr>
          <w:rFonts w:ascii="Arial" w:hAnsi="Arial"/>
          <w:noProof w:val="0"/>
        </w:rPr>
      </w:pPr>
      <w:r>
        <w:rPr>
          <w:rFonts w:ascii="Arial" w:hAnsi="Arial"/>
          <w:noProof w:val="0"/>
          <w:rtl/>
        </w:rPr>
        <w:t xml:space="preserve">התובע טוען, כי סירוב הנתבעת להשלים את עסקת המכר, אילצה אותו לשכור דירה, ומנעה ממנו את האפשרות לרכוש דירה קטנה וליטול משכנתא שהיתה הופכת להון. התובע עותר לחיוב הנתבעת בפיצוי המגלם את ההפרש בין שכר הדירה ששילם, לבין שכר הדירה שקיבל מהשכרת הדירה בניכוי המשכנתא.  </w:t>
      </w:r>
    </w:p>
    <w:p w14:paraId="289DC50C" w14:textId="77777777" w:rsidR="006F6013" w:rsidRDefault="006F6013" w:rsidP="00DE4682">
      <w:pPr>
        <w:pStyle w:val="10"/>
        <w:spacing w:line="360" w:lineRule="auto"/>
        <w:ind w:left="360"/>
        <w:jc w:val="both"/>
        <w:rPr>
          <w:rFonts w:ascii="Arial" w:hAnsi="Arial"/>
          <w:noProof w:val="0"/>
          <w:rtl/>
        </w:rPr>
      </w:pPr>
    </w:p>
    <w:p w14:paraId="479D18C7" w14:textId="77777777" w:rsidR="006F6013" w:rsidRDefault="006F6013" w:rsidP="00DE4682">
      <w:pPr>
        <w:pStyle w:val="10"/>
        <w:spacing w:line="360" w:lineRule="auto"/>
        <w:ind w:left="360"/>
        <w:jc w:val="both"/>
        <w:rPr>
          <w:rFonts w:ascii="Arial" w:hAnsi="Arial"/>
          <w:noProof w:val="0"/>
        </w:rPr>
      </w:pPr>
    </w:p>
    <w:p w14:paraId="70CC65B4" w14:textId="77777777" w:rsidR="006F6013" w:rsidRDefault="00000000" w:rsidP="004E064E">
      <w:pPr>
        <w:pStyle w:val="10"/>
        <w:numPr>
          <w:ilvl w:val="0"/>
          <w:numId w:val="1"/>
        </w:numPr>
        <w:spacing w:line="360" w:lineRule="auto"/>
        <w:jc w:val="both"/>
        <w:rPr>
          <w:rFonts w:ascii="Arial" w:hAnsi="Arial"/>
          <w:noProof w:val="0"/>
        </w:rPr>
      </w:pPr>
      <w:r>
        <w:rPr>
          <w:rFonts w:ascii="Arial" w:hAnsi="Arial"/>
          <w:noProof w:val="0"/>
          <w:rtl/>
        </w:rPr>
        <w:t xml:space="preserve">אני דוחה רכיב תביעה זה מכמה טעמים: </w:t>
      </w:r>
    </w:p>
    <w:p w14:paraId="6C669B4E" w14:textId="77777777" w:rsidR="006F6013" w:rsidRPr="00B745D9" w:rsidRDefault="006F6013" w:rsidP="00B745D9">
      <w:pPr>
        <w:pStyle w:val="10"/>
        <w:rPr>
          <w:rFonts w:ascii="Arial" w:hAnsi="Arial"/>
          <w:noProof w:val="0"/>
          <w:rtl/>
        </w:rPr>
      </w:pPr>
    </w:p>
    <w:p w14:paraId="3760F559" w14:textId="77777777" w:rsidR="006F6013" w:rsidRDefault="00000000" w:rsidP="009917EC">
      <w:pPr>
        <w:spacing w:line="360" w:lineRule="auto"/>
        <w:ind w:left="360"/>
        <w:jc w:val="both"/>
        <w:rPr>
          <w:rFonts w:ascii="Arial" w:hAnsi="Arial"/>
          <w:noProof w:val="0"/>
          <w:rtl/>
        </w:rPr>
      </w:pPr>
      <w:r>
        <w:rPr>
          <w:rFonts w:ascii="Arial" w:hAnsi="Arial"/>
          <w:noProof w:val="0"/>
          <w:rtl/>
        </w:rPr>
        <w:t xml:space="preserve">ראשית, </w:t>
      </w:r>
      <w:r w:rsidRPr="005B535E">
        <w:rPr>
          <w:rFonts w:ascii="Arial" w:hAnsi="Arial"/>
          <w:noProof w:val="0"/>
          <w:rtl/>
        </w:rPr>
        <w:t>אין הפרש בין דמי השכירות ששילם התובע לבין דמי השכירות שהתקבלו בגין השכרת הדירה. שכר הדירה ששילם התובע הוא בסך של 7,000 ₪ לחודש (נספח 28 לתצהיר התובע). דמי השכירות שהתקבלו בגין השכרת הדירה היו בסך של 9,000 ₪ בחודש [ויש לחשב את מלוא דמי השכירות שכן נעתרתי לתביעה להשבה]. לצורך חישוב ההפרש, אין לקזז את החזרי המשכנתא מדמי השכירות, שהרי המשכנתא הי</w:t>
      </w:r>
      <w:r>
        <w:rPr>
          <w:rFonts w:ascii="Arial" w:hAnsi="Arial"/>
          <w:noProof w:val="0"/>
          <w:rtl/>
        </w:rPr>
        <w:t>א הון [גם התובע טוען זאת].</w:t>
      </w:r>
    </w:p>
    <w:p w14:paraId="1DB13478" w14:textId="77777777" w:rsidR="006F6013" w:rsidRDefault="006F6013" w:rsidP="005B535E">
      <w:pPr>
        <w:spacing w:line="360" w:lineRule="auto"/>
        <w:ind w:left="360"/>
        <w:jc w:val="both"/>
        <w:rPr>
          <w:rFonts w:ascii="Arial" w:hAnsi="Arial"/>
          <w:noProof w:val="0"/>
          <w:rtl/>
        </w:rPr>
      </w:pPr>
    </w:p>
    <w:p w14:paraId="3236B0F8" w14:textId="77777777" w:rsidR="006F6013" w:rsidRDefault="00000000" w:rsidP="005B535E">
      <w:pPr>
        <w:spacing w:line="360" w:lineRule="auto"/>
        <w:ind w:left="360"/>
        <w:jc w:val="both"/>
        <w:rPr>
          <w:rFonts w:ascii="Arial" w:hAnsi="Arial"/>
          <w:noProof w:val="0"/>
          <w:rtl/>
        </w:rPr>
      </w:pPr>
      <w:r>
        <w:rPr>
          <w:rFonts w:ascii="Arial" w:hAnsi="Arial"/>
          <w:noProof w:val="0"/>
          <w:rtl/>
        </w:rPr>
        <w:t xml:space="preserve">שנית, </w:t>
      </w:r>
      <w:r w:rsidRPr="005B535E">
        <w:rPr>
          <w:rFonts w:ascii="Arial" w:hAnsi="Arial"/>
          <w:noProof w:val="0"/>
          <w:rtl/>
        </w:rPr>
        <w:t>טענת התובע, כי יכול היה לרכוש דירה קטנה וליטול משכנתא תחת תשלום שכר דירה, היא טענה היפותטית ולא ניתן לדעת האם התובע אכן היה מממש את התוכנית ומוכר את הדירה</w:t>
      </w:r>
      <w:r>
        <w:rPr>
          <w:rFonts w:ascii="Arial" w:hAnsi="Arial"/>
          <w:noProof w:val="0"/>
          <w:rtl/>
        </w:rPr>
        <w:t xml:space="preserve"> ורוכש תחתיה דירה אחרת, אם לאו.</w:t>
      </w:r>
    </w:p>
    <w:p w14:paraId="772FD79B" w14:textId="77777777" w:rsidR="006F6013" w:rsidRDefault="006F6013" w:rsidP="005B535E">
      <w:pPr>
        <w:spacing w:line="360" w:lineRule="auto"/>
        <w:ind w:left="360"/>
        <w:jc w:val="both"/>
        <w:rPr>
          <w:rFonts w:ascii="Arial" w:hAnsi="Arial"/>
          <w:noProof w:val="0"/>
          <w:rtl/>
        </w:rPr>
      </w:pPr>
    </w:p>
    <w:p w14:paraId="016F5A63" w14:textId="77777777" w:rsidR="006F6013" w:rsidRDefault="00000000" w:rsidP="005B535E">
      <w:pPr>
        <w:spacing w:line="360" w:lineRule="auto"/>
        <w:ind w:left="360"/>
        <w:jc w:val="both"/>
        <w:rPr>
          <w:rFonts w:ascii="Arial" w:hAnsi="Arial"/>
          <w:noProof w:val="0"/>
          <w:rtl/>
        </w:rPr>
      </w:pPr>
      <w:r>
        <w:rPr>
          <w:rFonts w:ascii="Arial" w:hAnsi="Arial"/>
          <w:noProof w:val="0"/>
          <w:rtl/>
        </w:rPr>
        <w:t xml:space="preserve">שלישית, </w:t>
      </w:r>
      <w:r w:rsidRPr="005B535E">
        <w:rPr>
          <w:rFonts w:ascii="Arial" w:hAnsi="Arial"/>
          <w:noProof w:val="0"/>
          <w:rtl/>
        </w:rPr>
        <w:t>תביעה היפותטית ונזק היפותטי יש להוכיח והנטל על התובע הוא נטל מוגבר. היה על התובע להוכיח, כי פעל להוציא את תוכניתו אל הפועל. כך לדוגמה: להוכיח כי ביקש ליטול משכנתא, התעניין ברכישת דירה ספצ</w:t>
      </w:r>
      <w:r>
        <w:rPr>
          <w:rFonts w:ascii="Arial" w:hAnsi="Arial"/>
          <w:noProof w:val="0"/>
          <w:rtl/>
        </w:rPr>
        <w:t>יפית. התובע לא עמד בנטל ההוכחה.</w:t>
      </w:r>
    </w:p>
    <w:p w14:paraId="27EB2BDB" w14:textId="77777777" w:rsidR="006F6013" w:rsidRDefault="006F6013" w:rsidP="005B535E">
      <w:pPr>
        <w:spacing w:line="360" w:lineRule="auto"/>
        <w:ind w:left="360"/>
        <w:jc w:val="both"/>
        <w:rPr>
          <w:rFonts w:ascii="Arial" w:hAnsi="Arial"/>
          <w:noProof w:val="0"/>
          <w:rtl/>
        </w:rPr>
      </w:pPr>
    </w:p>
    <w:p w14:paraId="03FE4AA1" w14:textId="77777777" w:rsidR="006F6013" w:rsidRPr="005B535E" w:rsidRDefault="00000000" w:rsidP="009917EC">
      <w:pPr>
        <w:spacing w:line="360" w:lineRule="auto"/>
        <w:ind w:left="360"/>
        <w:jc w:val="both"/>
        <w:rPr>
          <w:rFonts w:ascii="Arial" w:hAnsi="Arial"/>
          <w:noProof w:val="0"/>
        </w:rPr>
      </w:pPr>
      <w:r>
        <w:rPr>
          <w:rFonts w:ascii="Arial" w:hAnsi="Arial"/>
          <w:noProof w:val="0"/>
          <w:rtl/>
        </w:rPr>
        <w:t xml:space="preserve">רביעית, </w:t>
      </w:r>
      <w:r w:rsidRPr="005B535E">
        <w:rPr>
          <w:rFonts w:ascii="Arial" w:hAnsi="Arial"/>
          <w:noProof w:val="0"/>
          <w:rtl/>
        </w:rPr>
        <w:t xml:space="preserve">בפועל התובע לא מכר את הדירה גם לאחר שחלפה המניעה. במילים אחרות: גם לאחר שהתובע הפך בעלים בלעדי של הזכויות </w:t>
      </w:r>
      <w:r>
        <w:rPr>
          <w:rFonts w:ascii="Arial" w:hAnsi="Arial"/>
          <w:noProof w:val="0"/>
          <w:rtl/>
        </w:rPr>
        <w:t xml:space="preserve">(ביום 10.2.2019) </w:t>
      </w:r>
      <w:r w:rsidRPr="005B535E">
        <w:rPr>
          <w:rFonts w:ascii="Arial" w:hAnsi="Arial"/>
          <w:noProof w:val="0"/>
          <w:rtl/>
        </w:rPr>
        <w:t>הוא לא פעל ליישם את התוכנית של רכישת דירה קטנה. לא מן הנמנע שבחר כך משום התשואה הגבוהה על ההון מהדירה ב</w:t>
      </w:r>
      <w:r w:rsidR="00A31F4E">
        <w:rPr>
          <w:rFonts w:ascii="Arial" w:hAnsi="Arial"/>
          <w:noProof w:val="0"/>
          <w:rtl/>
        </w:rPr>
        <w:t>---</w:t>
      </w:r>
      <w:r w:rsidRPr="005B535E">
        <w:rPr>
          <w:rFonts w:ascii="Arial" w:hAnsi="Arial"/>
          <w:noProof w:val="0"/>
          <w:rtl/>
        </w:rPr>
        <w:t xml:space="preserve">. </w:t>
      </w:r>
    </w:p>
    <w:p w14:paraId="4D81A7D7" w14:textId="77777777" w:rsidR="006F6013" w:rsidRDefault="006F6013" w:rsidP="00DD23E4">
      <w:pPr>
        <w:spacing w:line="360" w:lineRule="auto"/>
        <w:jc w:val="both"/>
        <w:rPr>
          <w:rFonts w:ascii="Arial" w:hAnsi="Arial"/>
          <w:b/>
          <w:bCs/>
          <w:noProof w:val="0"/>
          <w:u w:val="single"/>
          <w:rtl/>
        </w:rPr>
      </w:pPr>
    </w:p>
    <w:p w14:paraId="0210BEC9" w14:textId="77777777" w:rsidR="006F6013" w:rsidRPr="00D52664" w:rsidRDefault="00000000" w:rsidP="00DD23E4">
      <w:pPr>
        <w:spacing w:line="360" w:lineRule="auto"/>
        <w:jc w:val="both"/>
        <w:rPr>
          <w:rFonts w:ascii="Arial" w:hAnsi="Arial"/>
          <w:b/>
          <w:bCs/>
          <w:noProof w:val="0"/>
          <w:u w:val="single"/>
        </w:rPr>
      </w:pPr>
      <w:r w:rsidRPr="00D52664">
        <w:rPr>
          <w:rFonts w:ascii="Arial" w:hAnsi="Arial"/>
          <w:b/>
          <w:bCs/>
          <w:noProof w:val="0"/>
          <w:u w:val="single"/>
          <w:rtl/>
        </w:rPr>
        <w:t xml:space="preserve">העיכוב בהשלמת עסקת המכר לאחר שניתן פסק-הדין </w:t>
      </w:r>
    </w:p>
    <w:p w14:paraId="5773CE61" w14:textId="77777777" w:rsidR="006F6013" w:rsidRDefault="006F6013" w:rsidP="00DD23E4">
      <w:pPr>
        <w:pStyle w:val="10"/>
        <w:spacing w:line="360" w:lineRule="auto"/>
        <w:ind w:left="360"/>
        <w:jc w:val="both"/>
        <w:rPr>
          <w:rFonts w:ascii="Arial" w:hAnsi="Arial"/>
          <w:noProof w:val="0"/>
          <w:rtl/>
        </w:rPr>
      </w:pPr>
    </w:p>
    <w:p w14:paraId="10C14346" w14:textId="77777777" w:rsidR="006F6013" w:rsidRDefault="00000000" w:rsidP="004E215B">
      <w:pPr>
        <w:pStyle w:val="10"/>
        <w:numPr>
          <w:ilvl w:val="0"/>
          <w:numId w:val="1"/>
        </w:numPr>
        <w:spacing w:line="360" w:lineRule="auto"/>
        <w:jc w:val="both"/>
        <w:rPr>
          <w:rFonts w:ascii="Arial" w:hAnsi="Arial"/>
          <w:noProof w:val="0"/>
        </w:rPr>
      </w:pPr>
      <w:r>
        <w:rPr>
          <w:rFonts w:ascii="Arial" w:hAnsi="Arial"/>
          <w:noProof w:val="0"/>
          <w:rtl/>
        </w:rPr>
        <w:t xml:space="preserve">לטענת התובע, גם לאחר שניתן פסק-הדין, עיכבה הנתבעת את השלמת המכר לאחר שסירבה  לחתום על המסמכים הנדרשים להשלמת המכר. הנתבעת לעומת זאת טוענת, כי התובע "ישב בנכס והחזיק בכסף" ועל כן הוא חב לנתבעת מחצית משכר הדירה שקיבל בתקופה שמיום             פסק-הדין (10.2.2019) ועד לתשלום תמורת המכר (6.9.2020). </w:t>
      </w:r>
    </w:p>
    <w:p w14:paraId="613E8B5A" w14:textId="77777777" w:rsidR="006F6013" w:rsidRDefault="006F6013" w:rsidP="004E215B">
      <w:pPr>
        <w:pStyle w:val="10"/>
        <w:spacing w:line="360" w:lineRule="auto"/>
        <w:ind w:left="360"/>
        <w:jc w:val="both"/>
        <w:rPr>
          <w:rFonts w:ascii="Arial" w:hAnsi="Arial"/>
          <w:noProof w:val="0"/>
        </w:rPr>
      </w:pPr>
    </w:p>
    <w:p w14:paraId="3774DB01" w14:textId="77777777" w:rsidR="006F6013" w:rsidRDefault="00000000" w:rsidP="00D76F2E">
      <w:pPr>
        <w:pStyle w:val="10"/>
        <w:numPr>
          <w:ilvl w:val="0"/>
          <w:numId w:val="1"/>
        </w:numPr>
        <w:spacing w:line="360" w:lineRule="auto"/>
        <w:jc w:val="both"/>
        <w:rPr>
          <w:rFonts w:ascii="Arial" w:hAnsi="Arial"/>
          <w:noProof w:val="0"/>
        </w:rPr>
      </w:pPr>
      <w:r>
        <w:rPr>
          <w:rFonts w:ascii="Arial" w:hAnsi="Arial"/>
          <w:noProof w:val="0"/>
          <w:rtl/>
        </w:rPr>
        <w:t xml:space="preserve">מצד אחד, </w:t>
      </w:r>
      <w:r w:rsidRPr="00251910">
        <w:rPr>
          <w:rFonts w:ascii="Arial" w:hAnsi="Arial"/>
          <w:noProof w:val="0"/>
          <w:rtl/>
        </w:rPr>
        <w:t xml:space="preserve">אחרי שניתן פסק-הדין והוא הפך חלוט (בקשת רשות הערעור לבית </w:t>
      </w:r>
      <w:r>
        <w:rPr>
          <w:rFonts w:ascii="Arial" w:hAnsi="Arial"/>
          <w:noProof w:val="0"/>
          <w:rtl/>
        </w:rPr>
        <w:t xml:space="preserve">המשפט </w:t>
      </w:r>
      <w:r w:rsidRPr="00251910">
        <w:rPr>
          <w:rFonts w:ascii="Arial" w:hAnsi="Arial"/>
          <w:noProof w:val="0"/>
          <w:rtl/>
        </w:rPr>
        <w:t>העליון נדחתה), לא היה  לנתבעת אינטרס להערים קשיים על השלמת עסקת המכר [לעניין זה ראה פסק-הדין שניתן בערעור שהגיש התובע ב</w:t>
      </w:r>
      <w:hyperlink r:id="rId49" w:history="1">
        <w:r w:rsidR="00BD7105" w:rsidRPr="00BD7105">
          <w:rPr>
            <w:rFonts w:ascii="Arial" w:hAnsi="Arial"/>
            <w:noProof w:val="0"/>
            <w:color w:val="0000FF"/>
            <w:u w:val="single"/>
            <w:rtl/>
          </w:rPr>
          <w:t>עמ"ש 51673-10-20</w:t>
        </w:r>
      </w:hyperlink>
      <w:r w:rsidRPr="00251910">
        <w:rPr>
          <w:rFonts w:ascii="Arial" w:hAnsi="Arial"/>
          <w:noProof w:val="0"/>
          <w:rtl/>
        </w:rPr>
        <w:t xml:space="preserve"> מיום 11.3.2021]. </w:t>
      </w:r>
    </w:p>
    <w:p w14:paraId="19029101" w14:textId="77777777" w:rsidR="006F6013" w:rsidRPr="00251910" w:rsidRDefault="006F6013" w:rsidP="00251910">
      <w:pPr>
        <w:pStyle w:val="10"/>
        <w:rPr>
          <w:rFonts w:ascii="Arial" w:hAnsi="Arial"/>
          <w:noProof w:val="0"/>
          <w:rtl/>
        </w:rPr>
      </w:pPr>
    </w:p>
    <w:p w14:paraId="12818C76" w14:textId="77777777" w:rsidR="006F6013" w:rsidRPr="00251910" w:rsidRDefault="00000000" w:rsidP="00251910">
      <w:pPr>
        <w:pStyle w:val="10"/>
        <w:spacing w:line="360" w:lineRule="auto"/>
        <w:ind w:left="360"/>
        <w:jc w:val="both"/>
        <w:rPr>
          <w:rFonts w:ascii="Arial" w:hAnsi="Arial"/>
          <w:noProof w:val="0"/>
        </w:rPr>
      </w:pPr>
      <w:r w:rsidRPr="00251910">
        <w:rPr>
          <w:rFonts w:ascii="Arial" w:hAnsi="Arial"/>
          <w:noProof w:val="0"/>
          <w:rtl/>
        </w:rPr>
        <w:t>מאידך, לא ניתן לומר על התובע, כי עיכב את העברת התשלום, וזאת משני טעמים מרכזיים: האחד,  התובע הגיש תובענה לביצוע כבר ביום 25.2.2019, זמן קצר לאחר שניתן פסק-הדין (</w:t>
      </w:r>
      <w:hyperlink r:id="rId50" w:history="1">
        <w:r w:rsidR="00BD7105" w:rsidRPr="00BD7105">
          <w:rPr>
            <w:rFonts w:ascii="Arial" w:hAnsi="Arial"/>
            <w:noProof w:val="0"/>
            <w:color w:val="0000FF"/>
            <w:u w:val="single"/>
            <w:rtl/>
          </w:rPr>
          <w:t>תמ"ש 62013-02-19</w:t>
        </w:r>
      </w:hyperlink>
      <w:r w:rsidRPr="00251910">
        <w:rPr>
          <w:rFonts w:ascii="Arial" w:hAnsi="Arial"/>
          <w:noProof w:val="0"/>
          <w:rtl/>
        </w:rPr>
        <w:t xml:space="preserve">); השני, ביום 30.6.2020, ניתן פסק-דין בהסכמה לפיו הנתבעת תחתום על כתב התחייבות לרישום משכנתא ובקשה לרישום הערת אזהרה ובתמורה תקבל את הסך של             560,000 ₪. המסמכים עליהם חתמה הנתבעת הם אותם מסמכים שצירף התובע לרשימת הפלוגתאות מיום 16.1.2020. הנתבעת חתמה על המסמכים בו-ביום (30.6.2020), ותמורת המכר בסך 560,381 ₪ שולמה על ידי התובע ביום 6.9.2020, כשהיא צמודה למדד.  </w:t>
      </w:r>
    </w:p>
    <w:p w14:paraId="0EF64E15" w14:textId="77777777" w:rsidR="006F6013" w:rsidRPr="00E543FD" w:rsidRDefault="006F6013" w:rsidP="00E543FD">
      <w:pPr>
        <w:pStyle w:val="10"/>
        <w:rPr>
          <w:rFonts w:ascii="Arial" w:hAnsi="Arial"/>
          <w:noProof w:val="0"/>
          <w:rtl/>
        </w:rPr>
      </w:pPr>
    </w:p>
    <w:p w14:paraId="1A1E2C7C" w14:textId="77777777" w:rsidR="006F6013" w:rsidRDefault="00000000" w:rsidP="00E543FD">
      <w:pPr>
        <w:pStyle w:val="10"/>
        <w:numPr>
          <w:ilvl w:val="0"/>
          <w:numId w:val="1"/>
        </w:numPr>
        <w:spacing w:line="360" w:lineRule="auto"/>
        <w:jc w:val="both"/>
        <w:rPr>
          <w:rFonts w:ascii="Arial" w:hAnsi="Arial"/>
          <w:noProof w:val="0"/>
        </w:rPr>
      </w:pPr>
      <w:r>
        <w:rPr>
          <w:rFonts w:ascii="Arial" w:hAnsi="Arial"/>
          <w:noProof w:val="0"/>
          <w:rtl/>
        </w:rPr>
        <w:t>לאור האמור לעיל, סבורני, כי לא ניתן לתלות עיכוב מכוון של מי מהצדדים בהשלמת עסקת המכר, כפי שגם קבע סגן הנשיאה, כב' השופט יהורם שקד, בהחלטתו מיום 30.7.2020 (</w:t>
      </w:r>
      <w:hyperlink r:id="rId51" w:history="1">
        <w:r w:rsidR="00BD7105" w:rsidRPr="00BD7105">
          <w:rPr>
            <w:rFonts w:ascii="Arial" w:hAnsi="Arial"/>
            <w:noProof w:val="0"/>
            <w:color w:val="0000FF"/>
            <w:u w:val="single"/>
            <w:rtl/>
          </w:rPr>
          <w:t>תמ"ש 62013-02-19</w:t>
        </w:r>
      </w:hyperlink>
      <w:r>
        <w:rPr>
          <w:rFonts w:ascii="Arial" w:hAnsi="Arial"/>
          <w:noProof w:val="0"/>
          <w:rtl/>
        </w:rPr>
        <w:t xml:space="preserve">). על בסיס מסקנתי זו, לא מצאתי, כי יש מקום לקזז מחיובי הנתבעת מחצית משכר הדירה שקיבל התובע לתקופה שמיום מתן פסק-הדין ועד למועד תשלום תמורת המכר. </w:t>
      </w:r>
    </w:p>
    <w:p w14:paraId="129D5503" w14:textId="77777777" w:rsidR="006F6013" w:rsidRPr="00E543FD" w:rsidRDefault="006F6013" w:rsidP="00E543FD">
      <w:pPr>
        <w:pStyle w:val="10"/>
        <w:spacing w:line="360" w:lineRule="auto"/>
        <w:ind w:left="360"/>
        <w:jc w:val="both"/>
        <w:rPr>
          <w:rFonts w:ascii="Arial" w:hAnsi="Arial"/>
          <w:noProof w:val="0"/>
          <w:rtl/>
        </w:rPr>
      </w:pPr>
    </w:p>
    <w:p w14:paraId="38D2FDE7" w14:textId="77777777" w:rsidR="006F6013" w:rsidRPr="009D7BD6" w:rsidRDefault="00000000" w:rsidP="009D7BD6">
      <w:pPr>
        <w:spacing w:line="360" w:lineRule="auto"/>
        <w:jc w:val="both"/>
        <w:rPr>
          <w:rFonts w:ascii="Arial" w:hAnsi="Arial"/>
          <w:b/>
          <w:bCs/>
          <w:noProof w:val="0"/>
          <w:u w:val="single"/>
        </w:rPr>
      </w:pPr>
      <w:r w:rsidRPr="009D7BD6">
        <w:rPr>
          <w:rFonts w:ascii="Arial" w:hAnsi="Arial"/>
          <w:b/>
          <w:bCs/>
          <w:noProof w:val="0"/>
          <w:u w:val="single"/>
          <w:rtl/>
        </w:rPr>
        <w:t xml:space="preserve">נזק לא ממוני </w:t>
      </w:r>
    </w:p>
    <w:p w14:paraId="11634809" w14:textId="77777777" w:rsidR="006F6013" w:rsidRDefault="006F6013" w:rsidP="00B745D9">
      <w:pPr>
        <w:pStyle w:val="10"/>
        <w:spacing w:line="360" w:lineRule="auto"/>
        <w:ind w:left="360"/>
        <w:jc w:val="both"/>
        <w:rPr>
          <w:rFonts w:ascii="Arial" w:hAnsi="Arial"/>
          <w:b/>
          <w:bCs/>
          <w:noProof w:val="0"/>
          <w:u w:val="single"/>
        </w:rPr>
      </w:pPr>
    </w:p>
    <w:p w14:paraId="28CF2ED4" w14:textId="77777777" w:rsidR="006F6013" w:rsidRPr="00B745D9" w:rsidRDefault="000919FD" w:rsidP="009D7BD6">
      <w:pPr>
        <w:pStyle w:val="10"/>
        <w:numPr>
          <w:ilvl w:val="0"/>
          <w:numId w:val="1"/>
        </w:numPr>
        <w:spacing w:line="360" w:lineRule="auto"/>
        <w:jc w:val="both"/>
        <w:rPr>
          <w:rFonts w:ascii="Arial" w:hAnsi="Arial"/>
          <w:b/>
          <w:bCs/>
          <w:noProof w:val="0"/>
          <w:u w:val="single"/>
        </w:rPr>
      </w:pPr>
      <w:hyperlink r:id="rId52" w:history="1">
        <w:r w:rsidRPr="000919FD">
          <w:rPr>
            <w:rStyle w:val="Hyperlink"/>
            <w:rFonts w:ascii="David" w:hAnsi="David"/>
            <w:noProof w:val="0"/>
            <w:spacing w:val="10"/>
            <w:rtl/>
          </w:rPr>
          <w:t>סעיף 13</w:t>
        </w:r>
      </w:hyperlink>
      <w:r w:rsidR="00000000" w:rsidRPr="00B745D9">
        <w:rPr>
          <w:rFonts w:ascii="David" w:hAnsi="David"/>
          <w:noProof w:val="0"/>
          <w:spacing w:val="10"/>
          <w:rtl/>
        </w:rPr>
        <w:t xml:space="preserve"> ל</w:t>
      </w:r>
      <w:r w:rsidR="00000000" w:rsidRPr="00BD7105">
        <w:rPr>
          <w:rFonts w:ascii="David" w:hAnsi="David"/>
          <w:noProof w:val="0"/>
          <w:color w:val="000000"/>
          <w:spacing w:val="10"/>
          <w:rtl/>
        </w:rPr>
        <w:t>חוק התרופות</w:t>
      </w:r>
      <w:r w:rsidR="00000000" w:rsidRPr="00B745D9">
        <w:rPr>
          <w:rFonts w:ascii="David" w:hAnsi="David"/>
          <w:noProof w:val="0"/>
          <w:spacing w:val="10"/>
          <w:rtl/>
        </w:rPr>
        <w:t xml:space="preserve"> מסמיך את בית המשפט לפסוק פיצויים בעד נזק שאיננו ממוני. ובלשון הסעיף: </w:t>
      </w:r>
      <w:r w:rsidR="00000000" w:rsidRPr="00B745D9">
        <w:rPr>
          <w:rFonts w:ascii="David" w:hAnsi="David"/>
          <w:b/>
          <w:bCs/>
          <w:noProof w:val="0"/>
          <w:spacing w:val="10"/>
          <w:rtl/>
        </w:rPr>
        <w:t>"</w:t>
      </w:r>
      <w:r w:rsidR="00000000" w:rsidRPr="00B745D9">
        <w:rPr>
          <w:rFonts w:ascii="David" w:hAnsi="David"/>
          <w:b/>
          <w:bCs/>
          <w:noProof w:val="0"/>
          <w:rtl/>
        </w:rPr>
        <w:t xml:space="preserve">גרמה הפרת החוזה נזק שאינו נזק ממון, רשאי בית המשפט לפסוק פיצויים בעד נזק זה בשיעור שייראה לו בנסיבות הענין". </w:t>
      </w:r>
    </w:p>
    <w:p w14:paraId="2F443F47" w14:textId="77777777" w:rsidR="006F6013" w:rsidRPr="00B745D9" w:rsidRDefault="006F6013" w:rsidP="009855C0">
      <w:pPr>
        <w:pStyle w:val="10"/>
        <w:spacing w:line="360" w:lineRule="auto"/>
        <w:rPr>
          <w:rFonts w:ascii="David" w:hAnsi="David"/>
          <w:noProof w:val="0"/>
          <w:rtl/>
        </w:rPr>
      </w:pPr>
    </w:p>
    <w:p w14:paraId="683C4C79" w14:textId="77777777" w:rsidR="006F6013" w:rsidRDefault="00000000" w:rsidP="009D7BD6">
      <w:pPr>
        <w:pStyle w:val="10"/>
        <w:numPr>
          <w:ilvl w:val="0"/>
          <w:numId w:val="1"/>
        </w:numPr>
        <w:spacing w:line="360" w:lineRule="auto"/>
        <w:jc w:val="both"/>
        <w:rPr>
          <w:rFonts w:ascii="Arial" w:hAnsi="Arial"/>
          <w:b/>
          <w:bCs/>
          <w:noProof w:val="0"/>
          <w:u w:val="single"/>
        </w:rPr>
      </w:pPr>
      <w:r w:rsidRPr="00B745D9">
        <w:rPr>
          <w:rFonts w:ascii="David" w:hAnsi="David"/>
          <w:noProof w:val="0"/>
          <w:rtl/>
        </w:rPr>
        <w:t xml:space="preserve">נזק לא ממוני עשוי להתלוות להפסד כלכלי שנגרם עקב הפרת חוזה. </w:t>
      </w:r>
      <w:r>
        <w:rPr>
          <w:rFonts w:ascii="David" w:hAnsi="David"/>
          <w:noProof w:val="0"/>
          <w:rtl/>
        </w:rPr>
        <w:t xml:space="preserve">פיצוי בעד </w:t>
      </w:r>
      <w:r w:rsidRPr="00B745D9">
        <w:rPr>
          <w:rFonts w:ascii="David" w:hAnsi="David"/>
          <w:noProof w:val="0"/>
          <w:rtl/>
        </w:rPr>
        <w:t xml:space="preserve">נזק לא ממוני בדיני חוזים </w:t>
      </w:r>
      <w:r w:rsidRPr="009D7BD6">
        <w:rPr>
          <w:rFonts w:ascii="David" w:hAnsi="David"/>
          <w:b/>
          <w:bCs/>
          <w:noProof w:val="0"/>
          <w:rtl/>
        </w:rPr>
        <w:t>אינו נפסק כדבר שבשגרה אלא במקרים מיוחדים</w:t>
      </w:r>
      <w:r>
        <w:rPr>
          <w:rFonts w:ascii="David" w:hAnsi="David"/>
          <w:noProof w:val="0"/>
          <w:rtl/>
        </w:rPr>
        <w:t xml:space="preserve">, והוא </w:t>
      </w:r>
      <w:r w:rsidRPr="00B745D9">
        <w:rPr>
          <w:rFonts w:ascii="David" w:hAnsi="David"/>
          <w:noProof w:val="0"/>
          <w:rtl/>
        </w:rPr>
        <w:t xml:space="preserve">מצטמצם למצבים שבהם לנזק הכלכלי נתלוותה הפרה בוטה של יחסי אמון, או של יחסי תלות ששררו בין הנפגע לבין המפר, או במצבים של זדון, התנהגות מעליבה או פוגענית במיוחד (שלו ואדר, בעמ' 302)". </w:t>
      </w:r>
      <w:hyperlink r:id="rId53" w:history="1">
        <w:r w:rsidR="00BD7105" w:rsidRPr="00BD7105">
          <w:rPr>
            <w:rFonts w:ascii="David" w:hAnsi="David"/>
            <w:noProof w:val="0"/>
            <w:color w:val="0000FF"/>
            <w:u w:val="single"/>
            <w:rtl/>
          </w:rPr>
          <w:t>ע"א 8588/06</w:t>
        </w:r>
      </w:hyperlink>
      <w:r w:rsidRPr="00B745D9">
        <w:rPr>
          <w:rFonts w:ascii="David" w:hAnsi="David"/>
          <w:noProof w:val="0"/>
          <w:rtl/>
        </w:rPr>
        <w:t xml:space="preserve"> </w:t>
      </w:r>
      <w:r w:rsidRPr="00B745D9">
        <w:rPr>
          <w:rFonts w:ascii="David" w:hAnsi="David"/>
          <w:b/>
          <w:bCs/>
          <w:noProof w:val="0"/>
          <w:rtl/>
        </w:rPr>
        <w:t>דלג'ו נ' אכ"א לפיתוח בע"מ</w:t>
      </w:r>
      <w:r w:rsidRPr="00B745D9">
        <w:rPr>
          <w:rFonts w:ascii="David" w:hAnsi="David"/>
          <w:noProof w:val="0"/>
          <w:rtl/>
        </w:rPr>
        <w:t xml:space="preserve"> [פורסם בנבו] 11.11.2020. </w:t>
      </w:r>
    </w:p>
    <w:p w14:paraId="6C4EBB4F" w14:textId="77777777" w:rsidR="006F6013" w:rsidRPr="009D7BD6" w:rsidRDefault="006F6013" w:rsidP="009D7BD6">
      <w:pPr>
        <w:pStyle w:val="10"/>
        <w:rPr>
          <w:rFonts w:ascii="Arial" w:hAnsi="Arial"/>
          <w:b/>
          <w:bCs/>
          <w:noProof w:val="0"/>
          <w:u w:val="single"/>
          <w:rtl/>
        </w:rPr>
      </w:pPr>
    </w:p>
    <w:p w14:paraId="2374C17C" w14:textId="77777777" w:rsidR="006F6013" w:rsidRPr="00B745D9" w:rsidRDefault="006F6013" w:rsidP="00B745D9">
      <w:pPr>
        <w:pStyle w:val="10"/>
        <w:rPr>
          <w:rFonts w:ascii="Arial" w:hAnsi="Arial"/>
          <w:b/>
          <w:bCs/>
          <w:noProof w:val="0"/>
          <w:u w:val="single"/>
          <w:rtl/>
        </w:rPr>
      </w:pPr>
    </w:p>
    <w:p w14:paraId="512F6838" w14:textId="77777777" w:rsidR="006F6013" w:rsidRPr="00C37C52" w:rsidRDefault="00000000" w:rsidP="00C37C52">
      <w:pPr>
        <w:pStyle w:val="10"/>
        <w:numPr>
          <w:ilvl w:val="0"/>
          <w:numId w:val="1"/>
        </w:numPr>
        <w:spacing w:line="360" w:lineRule="auto"/>
        <w:jc w:val="both"/>
        <w:rPr>
          <w:rFonts w:ascii="Arial" w:hAnsi="Arial"/>
          <w:noProof w:val="0"/>
        </w:rPr>
      </w:pPr>
      <w:r w:rsidRPr="00B745D9">
        <w:rPr>
          <w:rFonts w:ascii="Arial" w:hAnsi="Arial"/>
          <w:noProof w:val="0"/>
          <w:rtl/>
        </w:rPr>
        <w:t xml:space="preserve">התובע עותר לחייב את הנתבעת בפיצוי בגין נזק לא ממוני בסך של 55,000 ₪ (כ- 10% מסכום התביעה). </w:t>
      </w:r>
      <w:r>
        <w:rPr>
          <w:rFonts w:ascii="Arial" w:hAnsi="Arial"/>
          <w:noProof w:val="0"/>
          <w:rtl/>
        </w:rPr>
        <w:t xml:space="preserve">לאחר ששקלתי את מכלול השיקולים, לרבות את חיוב הנתבעת בחובת ההשבה הכספית והפיצוי שפסקתי, שוכנעתי כי המקרה הנוכחי אינו בא בגדר המקרים החריגים המצדיקים פיצוי שאיננו ממוני. אף שנקבע, כי הנתבעת סיכלה את השלמת המכר, התובע לא הוכיח, כי התנהלות הנתבעת נעשתה בזדון. לפיכך, אין מקום לפסיקת פיצוי לזכות התובע בגין רכיב עוגמת נפש. </w:t>
      </w:r>
      <w:r>
        <w:rPr>
          <w:rFonts w:ascii="David" w:hAnsi="David"/>
          <w:noProof w:val="0"/>
          <w:color w:val="000000"/>
          <w:rtl/>
        </w:rPr>
        <w:t xml:space="preserve"> </w:t>
      </w:r>
      <w:r>
        <w:rPr>
          <w:rFonts w:ascii="Arial" w:hAnsi="Arial"/>
          <w:noProof w:val="0"/>
          <w:rtl/>
        </w:rPr>
        <w:t xml:space="preserve"> </w:t>
      </w:r>
    </w:p>
    <w:p w14:paraId="22BE12B3" w14:textId="77777777" w:rsidR="006F6013" w:rsidRDefault="006F6013" w:rsidP="002C27A7">
      <w:pPr>
        <w:spacing w:line="360" w:lineRule="auto"/>
        <w:jc w:val="both"/>
        <w:rPr>
          <w:rFonts w:ascii="Arial" w:hAnsi="Arial"/>
          <w:noProof w:val="0"/>
          <w:rtl/>
        </w:rPr>
      </w:pPr>
    </w:p>
    <w:p w14:paraId="70E01525" w14:textId="77777777" w:rsidR="006F6013" w:rsidRDefault="00000000" w:rsidP="002C27A7">
      <w:pPr>
        <w:spacing w:line="360" w:lineRule="auto"/>
        <w:jc w:val="both"/>
        <w:rPr>
          <w:rFonts w:ascii="Arial" w:hAnsi="Arial"/>
          <w:b/>
          <w:bCs/>
          <w:noProof w:val="0"/>
          <w:u w:val="single"/>
          <w:rtl/>
        </w:rPr>
      </w:pPr>
      <w:r w:rsidRPr="002C27A7">
        <w:rPr>
          <w:rFonts w:ascii="Arial" w:hAnsi="Arial"/>
          <w:b/>
          <w:bCs/>
          <w:noProof w:val="0"/>
          <w:u w:val="single"/>
          <w:rtl/>
        </w:rPr>
        <w:t xml:space="preserve">סוף דבר </w:t>
      </w:r>
      <w:r>
        <w:rPr>
          <w:rFonts w:ascii="Arial" w:hAnsi="Arial"/>
          <w:b/>
          <w:bCs/>
          <w:noProof w:val="0"/>
          <w:u w:val="single"/>
          <w:rtl/>
        </w:rPr>
        <w:t xml:space="preserve">– כפועל יוצא מכל האמור לעיל, הנני קובע בזאת כדלהלן: </w:t>
      </w:r>
    </w:p>
    <w:p w14:paraId="5F982E84" w14:textId="77777777" w:rsidR="006F6013" w:rsidRDefault="006F6013" w:rsidP="002C27A7">
      <w:pPr>
        <w:spacing w:line="360" w:lineRule="auto"/>
        <w:jc w:val="both"/>
        <w:rPr>
          <w:rFonts w:ascii="Arial" w:hAnsi="Arial"/>
          <w:noProof w:val="0"/>
          <w:rtl/>
        </w:rPr>
      </w:pPr>
    </w:p>
    <w:p w14:paraId="6C3D6461" w14:textId="77777777" w:rsidR="006F6013" w:rsidRDefault="00000000" w:rsidP="005E147F">
      <w:pPr>
        <w:pStyle w:val="10"/>
        <w:numPr>
          <w:ilvl w:val="0"/>
          <w:numId w:val="1"/>
        </w:numPr>
        <w:spacing w:line="360" w:lineRule="auto"/>
        <w:jc w:val="both"/>
        <w:rPr>
          <w:rFonts w:ascii="Arial" w:hAnsi="Arial"/>
          <w:noProof w:val="0"/>
        </w:rPr>
      </w:pPr>
      <w:r w:rsidRPr="005A1B41">
        <w:rPr>
          <w:rFonts w:ascii="Arial" w:hAnsi="Arial"/>
          <w:b/>
          <w:bCs/>
          <w:noProof w:val="0"/>
          <w:u w:val="single"/>
          <w:rtl/>
        </w:rPr>
        <w:t>השבת דמי שכירות</w:t>
      </w:r>
      <w:r>
        <w:rPr>
          <w:rFonts w:ascii="Arial" w:hAnsi="Arial"/>
          <w:noProof w:val="0"/>
          <w:rtl/>
        </w:rPr>
        <w:t xml:space="preserve"> - </w:t>
      </w:r>
      <w:r w:rsidRPr="005A1B41">
        <w:rPr>
          <w:rFonts w:ascii="Arial" w:hAnsi="Arial"/>
          <w:noProof w:val="0"/>
          <w:rtl/>
        </w:rPr>
        <w:t>הנתבעת ח</w:t>
      </w:r>
      <w:r>
        <w:rPr>
          <w:rFonts w:ascii="Arial" w:hAnsi="Arial"/>
          <w:noProof w:val="0"/>
          <w:rtl/>
        </w:rPr>
        <w:t xml:space="preserve">ייבת להשיב לתובע את </w:t>
      </w:r>
      <w:r w:rsidRPr="005A1B41">
        <w:rPr>
          <w:rFonts w:ascii="Arial" w:hAnsi="Arial"/>
          <w:noProof w:val="0"/>
          <w:rtl/>
        </w:rPr>
        <w:t>מלוא דמי השכירות שקיבלה מ</w:t>
      </w:r>
      <w:r>
        <w:rPr>
          <w:rFonts w:ascii="Arial" w:hAnsi="Arial"/>
          <w:noProof w:val="0"/>
          <w:rtl/>
        </w:rPr>
        <w:t xml:space="preserve">מנו </w:t>
      </w:r>
      <w:r w:rsidRPr="005A1B41">
        <w:rPr>
          <w:rFonts w:ascii="Arial" w:hAnsi="Arial"/>
          <w:noProof w:val="0"/>
          <w:rtl/>
        </w:rPr>
        <w:t>(לאחר קיזוז החזר המשכנתא) בתקופה שמיום 5.9.2014 ועד חודש יולי 2018 כולל (אז הסתיים חוזה השכירות). הסכומים יהיו צמודים למדד מיום 5.9.2014 ועד יום</w:t>
      </w:r>
      <w:r>
        <w:rPr>
          <w:rFonts w:ascii="Arial" w:hAnsi="Arial"/>
          <w:noProof w:val="0"/>
          <w:rtl/>
        </w:rPr>
        <w:t xml:space="preserve"> הגשת התביעה, וממועד הגשת התביעה ועד ליום התשלום בפועל בצירוף ריבית והצמדה כחוק. אין כל הצדקה לחיוב הנתבעת בריבית עד למועד הגשת התביעה, כאשר התביעה הוגשה ביום 15.3.2023, כ- 4 שנים לאחר שניתן פסק-הדין.  </w:t>
      </w:r>
    </w:p>
    <w:p w14:paraId="0A40C2B2" w14:textId="77777777" w:rsidR="006F6013" w:rsidRPr="002E61B4" w:rsidRDefault="006F6013" w:rsidP="0044153D">
      <w:pPr>
        <w:pStyle w:val="10"/>
        <w:spacing w:line="360" w:lineRule="auto"/>
        <w:rPr>
          <w:rFonts w:ascii="Arial" w:hAnsi="Arial"/>
          <w:noProof w:val="0"/>
          <w:rtl/>
        </w:rPr>
      </w:pPr>
    </w:p>
    <w:p w14:paraId="7179D80A" w14:textId="77777777" w:rsidR="006F6013" w:rsidRDefault="00000000" w:rsidP="005E147F">
      <w:pPr>
        <w:pStyle w:val="10"/>
        <w:numPr>
          <w:ilvl w:val="0"/>
          <w:numId w:val="1"/>
        </w:numPr>
        <w:spacing w:line="360" w:lineRule="auto"/>
        <w:jc w:val="both"/>
        <w:rPr>
          <w:rFonts w:ascii="Arial" w:hAnsi="Arial"/>
          <w:noProof w:val="0"/>
        </w:rPr>
      </w:pPr>
      <w:r w:rsidRPr="005A1B41">
        <w:rPr>
          <w:rFonts w:ascii="Arial" w:hAnsi="Arial"/>
          <w:b/>
          <w:bCs/>
          <w:noProof w:val="0"/>
          <w:u w:val="single"/>
          <w:rtl/>
        </w:rPr>
        <w:t>השבת פרמיית ביטוח חיים</w:t>
      </w:r>
      <w:r>
        <w:rPr>
          <w:rFonts w:ascii="Arial" w:hAnsi="Arial"/>
          <w:noProof w:val="0"/>
          <w:rtl/>
        </w:rPr>
        <w:t xml:space="preserve"> - הנתבעת חייבת להשיב לתובע את כל פרמיות ביטוח החיים </w:t>
      </w:r>
      <w:r w:rsidRPr="002E61B4">
        <w:rPr>
          <w:rFonts w:ascii="Arial" w:hAnsi="Arial"/>
          <w:noProof w:val="0"/>
          <w:rtl/>
        </w:rPr>
        <w:t xml:space="preserve">ששילם עבורה התובע לתקופה שמיום 5.9.2014 ועד אוגוסט 2020. </w:t>
      </w:r>
      <w:r>
        <w:rPr>
          <w:rFonts w:ascii="Arial" w:hAnsi="Arial"/>
          <w:noProof w:val="0"/>
          <w:rtl/>
        </w:rPr>
        <w:t>הסכומים יהיו צמודים למדד מיום 5.9.2014 ועד יום הגשת התביעה, וממועד הגשת התביעה ועד ליום התשלום בפועל בצירוף ריבית והצמדה כחוק.</w:t>
      </w:r>
    </w:p>
    <w:p w14:paraId="6A61EC5E" w14:textId="77777777" w:rsidR="006F6013" w:rsidRDefault="006F6013" w:rsidP="002C27A7">
      <w:pPr>
        <w:spacing w:line="360" w:lineRule="auto"/>
        <w:jc w:val="both"/>
        <w:rPr>
          <w:rFonts w:ascii="Arial" w:hAnsi="Arial"/>
          <w:noProof w:val="0"/>
          <w:rtl/>
        </w:rPr>
      </w:pPr>
    </w:p>
    <w:p w14:paraId="49B5D25A" w14:textId="77777777" w:rsidR="006F6013" w:rsidRDefault="00000000" w:rsidP="00F166A6">
      <w:pPr>
        <w:pStyle w:val="10"/>
        <w:numPr>
          <w:ilvl w:val="0"/>
          <w:numId w:val="1"/>
        </w:numPr>
        <w:spacing w:line="360" w:lineRule="auto"/>
        <w:jc w:val="both"/>
        <w:rPr>
          <w:rFonts w:ascii="Arial" w:hAnsi="Arial"/>
          <w:noProof w:val="0"/>
        </w:rPr>
      </w:pPr>
      <w:r w:rsidRPr="005A1B41">
        <w:rPr>
          <w:rFonts w:ascii="Arial" w:hAnsi="Arial"/>
          <w:b/>
          <w:bCs/>
          <w:noProof w:val="0"/>
          <w:u w:val="single"/>
          <w:rtl/>
        </w:rPr>
        <w:t>הפסד דמי השכירות</w:t>
      </w:r>
      <w:r>
        <w:rPr>
          <w:rFonts w:ascii="Arial" w:hAnsi="Arial"/>
          <w:noProof w:val="0"/>
          <w:rtl/>
        </w:rPr>
        <w:t xml:space="preserve"> - על הנתבעת לפצות את התובע במחצית הפסד דמי השכירות הראויים בסך של 4,500 ₪ לחודש, לתקופה שמיום 1.8.2018 ועד 10.2.2019 (עבור חודש פברואר 2019 יחושב הסכום באופן יחסי). הסכומים יהיו צמודים למדד מיום 1.8.2018 ועד ליום  הגשת התביעה, וממועד הגשת התביעה ועד ליום התשלום בפועל</w:t>
      </w:r>
      <w:r w:rsidRPr="006C6D48">
        <w:rPr>
          <w:rFonts w:ascii="Arial" w:hAnsi="Arial"/>
          <w:noProof w:val="0"/>
          <w:rtl/>
        </w:rPr>
        <w:t xml:space="preserve"> </w:t>
      </w:r>
      <w:r>
        <w:rPr>
          <w:rFonts w:ascii="Arial" w:hAnsi="Arial"/>
          <w:noProof w:val="0"/>
          <w:rtl/>
        </w:rPr>
        <w:t>בצירוף ריבית והצמדה כחוק.</w:t>
      </w:r>
    </w:p>
    <w:p w14:paraId="5F53985E" w14:textId="77777777" w:rsidR="006F6013" w:rsidRDefault="00000000" w:rsidP="007533C6">
      <w:pPr>
        <w:spacing w:line="360" w:lineRule="auto"/>
        <w:jc w:val="both"/>
        <w:rPr>
          <w:rFonts w:ascii="Arial" w:hAnsi="Arial"/>
          <w:noProof w:val="0"/>
          <w:rtl/>
        </w:rPr>
      </w:pPr>
      <w:r>
        <w:rPr>
          <w:rFonts w:ascii="Arial" w:hAnsi="Arial"/>
          <w:noProof w:val="0"/>
          <w:rtl/>
        </w:rPr>
        <w:t xml:space="preserve"> </w:t>
      </w:r>
    </w:p>
    <w:p w14:paraId="2509278A" w14:textId="77777777" w:rsidR="006F6013" w:rsidRPr="0090464D" w:rsidRDefault="00000000" w:rsidP="00F166A6">
      <w:pPr>
        <w:pStyle w:val="10"/>
        <w:numPr>
          <w:ilvl w:val="0"/>
          <w:numId w:val="1"/>
        </w:numPr>
        <w:spacing w:line="360" w:lineRule="auto"/>
        <w:jc w:val="both"/>
        <w:rPr>
          <w:rFonts w:ascii="Arial" w:hAnsi="Arial"/>
          <w:noProof w:val="0"/>
        </w:rPr>
      </w:pPr>
      <w:r w:rsidRPr="00A51DB7">
        <w:rPr>
          <w:rFonts w:ascii="Arial" w:hAnsi="Arial"/>
          <w:b/>
          <w:bCs/>
          <w:noProof w:val="0"/>
          <w:u w:val="single"/>
          <w:rtl/>
        </w:rPr>
        <w:t>חוב לו</w:t>
      </w:r>
      <w:r>
        <w:rPr>
          <w:rFonts w:ascii="Arial" w:hAnsi="Arial"/>
          <w:b/>
          <w:bCs/>
          <w:noProof w:val="0"/>
          <w:u w:val="single"/>
          <w:rtl/>
        </w:rPr>
        <w:t>ו</w:t>
      </w:r>
      <w:r w:rsidRPr="00A51DB7">
        <w:rPr>
          <w:rFonts w:ascii="Arial" w:hAnsi="Arial"/>
          <w:b/>
          <w:bCs/>
          <w:noProof w:val="0"/>
          <w:u w:val="single"/>
          <w:rtl/>
        </w:rPr>
        <w:t xml:space="preserve">עד הבית וחוב הארנונה </w:t>
      </w:r>
      <w:r>
        <w:rPr>
          <w:rFonts w:ascii="Arial" w:hAnsi="Arial"/>
          <w:noProof w:val="0"/>
          <w:rtl/>
        </w:rPr>
        <w:t xml:space="preserve">–  על הנתבעת לשלם לתובע פיצוי בגובה </w:t>
      </w:r>
      <w:r w:rsidRPr="0090464D">
        <w:rPr>
          <w:rFonts w:ascii="Arial" w:hAnsi="Arial"/>
          <w:noProof w:val="0"/>
          <w:rtl/>
        </w:rPr>
        <w:t xml:space="preserve">מחצית </w:t>
      </w:r>
      <w:r>
        <w:rPr>
          <w:rFonts w:ascii="Arial" w:hAnsi="Arial"/>
          <w:noProof w:val="0"/>
          <w:rtl/>
        </w:rPr>
        <w:t xml:space="preserve">מהחוב ששילם התובע לוועד הבית ולארנונה; לועד הבית בסך 125 ₪ מיום 10.11.2018, ולארנונה בסך של            543.50 ₪ מיום 25.2.2019. </w:t>
      </w:r>
      <w:r w:rsidRPr="0090464D">
        <w:rPr>
          <w:rFonts w:ascii="Arial" w:hAnsi="Arial"/>
          <w:noProof w:val="0"/>
          <w:rtl/>
        </w:rPr>
        <w:t xml:space="preserve"> </w:t>
      </w:r>
      <w:r>
        <w:rPr>
          <w:rFonts w:ascii="Arial" w:hAnsi="Arial"/>
          <w:noProof w:val="0"/>
          <w:rtl/>
        </w:rPr>
        <w:t>הסכומים יהיו צמודים למדד מיום התשלום ועד ליום  הגשת התביעה, וממועד הגשת התביעה ועד ליום התשלום בפועל</w:t>
      </w:r>
      <w:r w:rsidRPr="006C6D48">
        <w:rPr>
          <w:rFonts w:ascii="Arial" w:hAnsi="Arial"/>
          <w:noProof w:val="0"/>
          <w:rtl/>
        </w:rPr>
        <w:t xml:space="preserve"> </w:t>
      </w:r>
      <w:r>
        <w:rPr>
          <w:rFonts w:ascii="Arial" w:hAnsi="Arial"/>
          <w:noProof w:val="0"/>
          <w:rtl/>
        </w:rPr>
        <w:t>בצירוף ריבית והצמדה כחוק.</w:t>
      </w:r>
    </w:p>
    <w:p w14:paraId="6B3EA75B" w14:textId="77777777" w:rsidR="006F6013" w:rsidRDefault="006F6013" w:rsidP="00A51DB7">
      <w:pPr>
        <w:pStyle w:val="10"/>
        <w:spacing w:line="360" w:lineRule="auto"/>
        <w:ind w:left="360"/>
        <w:jc w:val="both"/>
        <w:rPr>
          <w:rFonts w:ascii="Arial" w:hAnsi="Arial"/>
          <w:noProof w:val="0"/>
        </w:rPr>
      </w:pPr>
    </w:p>
    <w:p w14:paraId="5DA7402C" w14:textId="77777777" w:rsidR="006F6013" w:rsidRDefault="00000000" w:rsidP="009D7BD6">
      <w:pPr>
        <w:pStyle w:val="10"/>
        <w:numPr>
          <w:ilvl w:val="0"/>
          <w:numId w:val="1"/>
        </w:numPr>
        <w:spacing w:line="360" w:lineRule="auto"/>
        <w:jc w:val="both"/>
        <w:rPr>
          <w:rFonts w:ascii="Arial" w:hAnsi="Arial"/>
          <w:noProof w:val="0"/>
        </w:rPr>
      </w:pPr>
      <w:r w:rsidRPr="0084539A">
        <w:rPr>
          <w:rFonts w:ascii="Arial" w:hAnsi="Arial"/>
          <w:b/>
          <w:bCs/>
          <w:noProof w:val="0"/>
          <w:u w:val="single"/>
          <w:rtl/>
        </w:rPr>
        <w:t>פיצוי בגין ריבית על ההלוואות שנטל התובע</w:t>
      </w:r>
      <w:r>
        <w:rPr>
          <w:rFonts w:ascii="Arial" w:hAnsi="Arial"/>
          <w:noProof w:val="0"/>
          <w:rtl/>
        </w:rPr>
        <w:t xml:space="preserve"> – התביעה בגין רכיב זה, נדחית. </w:t>
      </w:r>
    </w:p>
    <w:p w14:paraId="7455CA66" w14:textId="77777777" w:rsidR="006F6013" w:rsidRPr="00436840" w:rsidRDefault="006F6013" w:rsidP="00901997">
      <w:pPr>
        <w:pStyle w:val="10"/>
        <w:spacing w:line="360" w:lineRule="auto"/>
        <w:rPr>
          <w:rFonts w:ascii="Arial" w:hAnsi="Arial"/>
          <w:noProof w:val="0"/>
          <w:rtl/>
        </w:rPr>
      </w:pPr>
    </w:p>
    <w:p w14:paraId="1A4292E8" w14:textId="77777777" w:rsidR="006F6013" w:rsidRDefault="00000000" w:rsidP="0084539A">
      <w:pPr>
        <w:pStyle w:val="10"/>
        <w:numPr>
          <w:ilvl w:val="0"/>
          <w:numId w:val="1"/>
        </w:numPr>
        <w:spacing w:line="360" w:lineRule="auto"/>
        <w:jc w:val="both"/>
        <w:rPr>
          <w:rFonts w:ascii="Arial" w:hAnsi="Arial"/>
          <w:noProof w:val="0"/>
        </w:rPr>
      </w:pPr>
      <w:r w:rsidRPr="0084539A">
        <w:rPr>
          <w:rFonts w:ascii="Arial" w:hAnsi="Arial"/>
          <w:b/>
          <w:bCs/>
          <w:noProof w:val="0"/>
          <w:u w:val="single"/>
          <w:rtl/>
        </w:rPr>
        <w:t>פיצוי בגין אובדן רווחים</w:t>
      </w:r>
      <w:r>
        <w:rPr>
          <w:rFonts w:ascii="Arial" w:hAnsi="Arial"/>
          <w:noProof w:val="0"/>
          <w:rtl/>
        </w:rPr>
        <w:t xml:space="preserve"> – התביעה בגין רכיב זה, נדחית. </w:t>
      </w:r>
    </w:p>
    <w:p w14:paraId="070A9ED5" w14:textId="77777777" w:rsidR="006F6013" w:rsidRDefault="006F6013" w:rsidP="005E147F">
      <w:pPr>
        <w:pStyle w:val="10"/>
        <w:spacing w:line="360" w:lineRule="auto"/>
        <w:ind w:left="360"/>
        <w:jc w:val="both"/>
        <w:rPr>
          <w:rFonts w:ascii="Arial" w:hAnsi="Arial"/>
          <w:noProof w:val="0"/>
        </w:rPr>
      </w:pPr>
    </w:p>
    <w:p w14:paraId="3D7C0EF8" w14:textId="77777777" w:rsidR="006F6013" w:rsidRDefault="00000000" w:rsidP="0084539A">
      <w:pPr>
        <w:pStyle w:val="10"/>
        <w:numPr>
          <w:ilvl w:val="0"/>
          <w:numId w:val="1"/>
        </w:numPr>
        <w:spacing w:line="360" w:lineRule="auto"/>
        <w:jc w:val="both"/>
        <w:rPr>
          <w:rFonts w:ascii="Arial" w:hAnsi="Arial"/>
          <w:noProof w:val="0"/>
        </w:rPr>
      </w:pPr>
      <w:r>
        <w:rPr>
          <w:rFonts w:ascii="Arial" w:hAnsi="Arial"/>
          <w:noProof w:val="0"/>
          <w:rtl/>
        </w:rPr>
        <w:t xml:space="preserve">לאור התוצאה אליה הגעתי, ומאחר וקיבלתי חלק מרכיבי התביעה, הנני לחייב את הנתבעת בהוצאות מופחתות בסך של 20,000 ₪. </w:t>
      </w:r>
    </w:p>
    <w:p w14:paraId="5B5725C5" w14:textId="77777777" w:rsidR="006F6013" w:rsidRPr="001725A6" w:rsidRDefault="006F6013" w:rsidP="001725A6">
      <w:pPr>
        <w:pStyle w:val="10"/>
        <w:rPr>
          <w:rFonts w:ascii="Arial" w:hAnsi="Arial"/>
          <w:noProof w:val="0"/>
          <w:rtl/>
        </w:rPr>
      </w:pPr>
    </w:p>
    <w:p w14:paraId="3950E310" w14:textId="77777777" w:rsidR="006F6013" w:rsidRDefault="00BD7105" w:rsidP="001725A6">
      <w:pPr>
        <w:pStyle w:val="10"/>
        <w:numPr>
          <w:ilvl w:val="0"/>
          <w:numId w:val="1"/>
        </w:numPr>
        <w:spacing w:line="360" w:lineRule="auto"/>
        <w:jc w:val="both"/>
        <w:rPr>
          <w:rFonts w:ascii="Arial" w:hAnsi="Arial"/>
          <w:noProof w:val="0"/>
        </w:rPr>
      </w:pPr>
      <w:r w:rsidRPr="00BD7105">
        <w:rPr>
          <w:rFonts w:ascii="Arial" w:hAnsi="Arial"/>
          <w:noProof w:val="0"/>
          <w:color w:val="FFFFFF"/>
          <w:sz w:val="2"/>
          <w:szCs w:val="2"/>
          <w:rtl/>
        </w:rPr>
        <w:t>5129371</w:t>
      </w:r>
      <w:r w:rsidR="00000000" w:rsidRPr="001725A6">
        <w:rPr>
          <w:rFonts w:ascii="Arial" w:hAnsi="Arial"/>
          <w:noProof w:val="0"/>
          <w:rtl/>
        </w:rPr>
        <w:t xml:space="preserve">פסק-הדין מותר לפרסום בהשמטת פרטים מזהים. </w:t>
      </w:r>
    </w:p>
    <w:p w14:paraId="6F23B740" w14:textId="77777777" w:rsidR="006F6013" w:rsidRPr="00BD7105" w:rsidRDefault="00BD7105" w:rsidP="0084539A">
      <w:pPr>
        <w:pStyle w:val="10"/>
        <w:rPr>
          <w:rFonts w:ascii="Arial" w:hAnsi="Arial"/>
          <w:noProof w:val="0"/>
          <w:color w:val="FFFFFF"/>
          <w:sz w:val="2"/>
          <w:szCs w:val="2"/>
          <w:rtl/>
        </w:rPr>
      </w:pPr>
      <w:r w:rsidRPr="00BD7105">
        <w:rPr>
          <w:rFonts w:ascii="Arial" w:hAnsi="Arial"/>
          <w:noProof w:val="0"/>
          <w:color w:val="FFFFFF"/>
          <w:sz w:val="2"/>
          <w:szCs w:val="2"/>
          <w:rtl/>
        </w:rPr>
        <w:t>54678313</w:t>
      </w:r>
    </w:p>
    <w:p w14:paraId="4839F54E" w14:textId="77777777" w:rsidR="006F6013" w:rsidRPr="001725A6" w:rsidRDefault="00000000" w:rsidP="001725A6">
      <w:pPr>
        <w:pStyle w:val="10"/>
        <w:numPr>
          <w:ilvl w:val="0"/>
          <w:numId w:val="1"/>
        </w:numPr>
        <w:spacing w:line="360" w:lineRule="auto"/>
        <w:jc w:val="both"/>
        <w:rPr>
          <w:rFonts w:ascii="Arial" w:hAnsi="Arial"/>
          <w:noProof w:val="0"/>
          <w:rtl/>
        </w:rPr>
      </w:pPr>
      <w:r>
        <w:rPr>
          <w:rFonts w:ascii="Arial" w:hAnsi="Arial"/>
          <w:noProof w:val="0"/>
          <w:rtl/>
        </w:rPr>
        <w:t xml:space="preserve">המזכירות תואיל לסגור את התיק. </w:t>
      </w:r>
    </w:p>
    <w:p w14:paraId="72849044" w14:textId="77777777" w:rsidR="006F6013" w:rsidRPr="007533C6" w:rsidRDefault="006F6013" w:rsidP="007533C6">
      <w:pPr>
        <w:spacing w:line="360" w:lineRule="auto"/>
        <w:jc w:val="both"/>
        <w:rPr>
          <w:rFonts w:ascii="Arial" w:hAnsi="Arial"/>
          <w:noProof w:val="0"/>
        </w:rPr>
      </w:pPr>
    </w:p>
    <w:p w14:paraId="629F8639" w14:textId="77777777" w:rsidR="006F6013" w:rsidRDefault="00BD7105" w:rsidP="00BD7105">
      <w:pPr>
        <w:spacing w:line="360" w:lineRule="auto"/>
        <w:ind w:left="3600" w:firstLine="720"/>
        <w:jc w:val="both"/>
      </w:pPr>
      <w:bookmarkStart w:id="7" w:name="Nitan"/>
      <w:r>
        <w:rPr>
          <w:rFonts w:ascii="Arial" w:hAnsi="Arial"/>
          <w:noProof w:val="0"/>
          <w:rtl/>
        </w:rPr>
        <w:t xml:space="preserve">ניתן היום,  כ"ב ניסן תשפ"ה, 20 אפריל 2025, בהעדר הצדדים. </w:t>
      </w:r>
      <w:bookmarkEnd w:id="7"/>
    </w:p>
    <w:p w14:paraId="1CED2CEC" w14:textId="77777777" w:rsidR="006F6013" w:rsidRPr="00BD7105" w:rsidRDefault="006F6013" w:rsidP="00BD7105">
      <w:pPr>
        <w:keepNext/>
        <w:spacing w:line="360" w:lineRule="auto"/>
        <w:rPr>
          <w:rFonts w:ascii="David" w:hAnsi="David"/>
          <w:noProof w:val="0"/>
          <w:color w:val="000000"/>
          <w:sz w:val="22"/>
          <w:szCs w:val="22"/>
          <w:rtl/>
        </w:rPr>
      </w:pPr>
    </w:p>
    <w:p w14:paraId="7238EFC1" w14:textId="77777777" w:rsidR="00BD7105" w:rsidRPr="00BD7105" w:rsidRDefault="00BD7105" w:rsidP="00BD7105">
      <w:pPr>
        <w:spacing w:line="360" w:lineRule="auto"/>
        <w:ind w:left="3600" w:firstLine="720"/>
        <w:jc w:val="center"/>
        <w:rPr>
          <w:rFonts w:ascii="Arial" w:hAnsi="Arial"/>
          <w:noProof w:val="0"/>
          <w:color w:val="0000FF"/>
          <w:u w:val="single"/>
          <w:rtl/>
        </w:rPr>
      </w:pPr>
    </w:p>
    <w:sectPr w:rsidR="00BD7105" w:rsidRPr="00BD7105" w:rsidSect="00BD7105">
      <w:headerReference w:type="even" r:id="rId54"/>
      <w:headerReference w:type="default" r:id="rId55"/>
      <w:footerReference w:type="even" r:id="rId56"/>
      <w:footerReference w:type="default" r:id="rId57"/>
      <w:pgSz w:w="11907" w:h="16840" w:code="9"/>
      <w:pgMar w:top="1701" w:right="1701" w:bottom="431" w:left="1701" w:header="720" w:footer="1055"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2A015" w14:textId="77777777" w:rsidR="008F3515" w:rsidRDefault="008F3515">
      <w:r>
        <w:separator/>
      </w:r>
    </w:p>
  </w:endnote>
  <w:endnote w:type="continuationSeparator" w:id="0">
    <w:p w14:paraId="40D7492B" w14:textId="77777777" w:rsidR="008F3515" w:rsidRDefault="008F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FDD5" w14:textId="77777777" w:rsidR="00BD7105" w:rsidRDefault="00000000" w:rsidP="00BD7105">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34ECA467" w14:textId="486C49CA" w:rsidR="00BD7105" w:rsidRPr="00BD7105" w:rsidRDefault="007A4E31" w:rsidP="00BD7105">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28FD7E3" wp14:editId="34269D46">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7F2A" w14:textId="77777777" w:rsidR="00BD7105" w:rsidRDefault="00000000" w:rsidP="00BD7105">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4174AC">
      <w:rPr>
        <w:rStyle w:val="ab"/>
        <w:rFonts w:ascii="FrankRuehl" w:hAnsi="FrankRuehl" w:cs="FrankRuehl"/>
        <w:rtl/>
      </w:rPr>
      <w:t>4</w:t>
    </w:r>
    <w:r>
      <w:rPr>
        <w:rStyle w:val="ab"/>
        <w:rFonts w:ascii="FrankRuehl" w:hAnsi="FrankRuehl" w:cs="FrankRuehl"/>
        <w:rtl/>
      </w:rPr>
      <w:fldChar w:fldCharType="end"/>
    </w:r>
  </w:p>
  <w:p w14:paraId="4F035848" w14:textId="65FA9320" w:rsidR="006F6013" w:rsidRPr="00BD7105" w:rsidRDefault="006F6013" w:rsidP="00BD7105">
    <w:pPr>
      <w:pStyle w:val="a4"/>
      <w:pBdr>
        <w:top w:val="single" w:sz="4" w:space="1" w:color="auto"/>
        <w:between w:val="single" w:sz="4" w:space="0" w:color="auto"/>
      </w:pBdr>
      <w:spacing w:after="60"/>
      <w:jc w:val="center"/>
      <w:rPr>
        <w:rStyle w:val="ab"/>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6ED2" w14:textId="77777777" w:rsidR="008F3515" w:rsidRDefault="008F3515">
      <w:r>
        <w:separator/>
      </w:r>
    </w:p>
  </w:footnote>
  <w:footnote w:type="continuationSeparator" w:id="0">
    <w:p w14:paraId="13D9736C" w14:textId="77777777" w:rsidR="008F3515" w:rsidRDefault="008F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E38B" w14:textId="77777777" w:rsidR="00BD7105" w:rsidRPr="00BD7105" w:rsidRDefault="00000000" w:rsidP="00BD71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תמש (ת"א) 35988-03-23</w:t>
    </w:r>
    <w:r>
      <w:rPr>
        <w:rFonts w:ascii="David" w:hAnsi="David"/>
        <w:color w:val="000000"/>
        <w:sz w:val="22"/>
        <w:szCs w:val="22"/>
        <w:rtl/>
      </w:rPr>
      <w:tab/>
      <w:t xml:space="preserve"> א.כ נ' ח.ר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06A6" w14:textId="77777777" w:rsidR="006F6013" w:rsidRPr="00BD7105" w:rsidRDefault="00BD7105" w:rsidP="00BD7105">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96764223"/>
    <w:bookmarkStart w:id="9" w:name="_Hlk196764224"/>
    <w:bookmarkStart w:id="10" w:name="_Hlk196764225"/>
    <w:bookmarkStart w:id="11" w:name="_Hlk196764226"/>
    <w:r>
      <w:rPr>
        <w:rFonts w:ascii="David" w:hAnsi="David"/>
        <w:color w:val="000000"/>
        <w:sz w:val="22"/>
        <w:szCs w:val="22"/>
        <w:rtl/>
      </w:rPr>
      <w:t>תמש (ת"א) 35988-03-23</w:t>
    </w:r>
    <w:r>
      <w:rPr>
        <w:rFonts w:ascii="David" w:hAnsi="David"/>
        <w:color w:val="000000"/>
        <w:sz w:val="22"/>
        <w:szCs w:val="22"/>
        <w:rtl/>
      </w:rPr>
      <w:tab/>
      <w:t xml:space="preserve"> א.כ נ' ח.ר</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0FC0"/>
    <w:multiLevelType w:val="hybridMultilevel"/>
    <w:tmpl w:val="06ECC650"/>
    <w:lvl w:ilvl="0" w:tplc="356A8CC4">
      <w:start w:val="1"/>
      <w:numFmt w:val="hebrew1"/>
      <w:lvlText w:val="%1."/>
      <w:lvlJc w:val="left"/>
      <w:pPr>
        <w:ind w:left="720" w:hanging="360"/>
      </w:pPr>
      <w:rPr>
        <w:rFonts w:cs="Times New Roman" w:hint="default"/>
      </w:rPr>
    </w:lvl>
    <w:lvl w:ilvl="1" w:tplc="C8146132" w:tentative="1">
      <w:start w:val="1"/>
      <w:numFmt w:val="lowerLetter"/>
      <w:lvlText w:val="%2."/>
      <w:lvlJc w:val="left"/>
      <w:pPr>
        <w:ind w:left="1440" w:hanging="360"/>
      </w:pPr>
      <w:rPr>
        <w:rFonts w:cs="Times New Roman"/>
      </w:rPr>
    </w:lvl>
    <w:lvl w:ilvl="2" w:tplc="3F4E1904" w:tentative="1">
      <w:start w:val="1"/>
      <w:numFmt w:val="lowerRoman"/>
      <w:lvlText w:val="%3."/>
      <w:lvlJc w:val="right"/>
      <w:pPr>
        <w:ind w:left="2160" w:hanging="180"/>
      </w:pPr>
      <w:rPr>
        <w:rFonts w:cs="Times New Roman"/>
      </w:rPr>
    </w:lvl>
    <w:lvl w:ilvl="3" w:tplc="13006658" w:tentative="1">
      <w:start w:val="1"/>
      <w:numFmt w:val="decimal"/>
      <w:lvlText w:val="%4."/>
      <w:lvlJc w:val="left"/>
      <w:pPr>
        <w:ind w:left="2880" w:hanging="360"/>
      </w:pPr>
      <w:rPr>
        <w:rFonts w:cs="Times New Roman"/>
      </w:rPr>
    </w:lvl>
    <w:lvl w:ilvl="4" w:tplc="94864C48" w:tentative="1">
      <w:start w:val="1"/>
      <w:numFmt w:val="lowerLetter"/>
      <w:lvlText w:val="%5."/>
      <w:lvlJc w:val="left"/>
      <w:pPr>
        <w:ind w:left="3600" w:hanging="360"/>
      </w:pPr>
      <w:rPr>
        <w:rFonts w:cs="Times New Roman"/>
      </w:rPr>
    </w:lvl>
    <w:lvl w:ilvl="5" w:tplc="D18ECADC" w:tentative="1">
      <w:start w:val="1"/>
      <w:numFmt w:val="lowerRoman"/>
      <w:lvlText w:val="%6."/>
      <w:lvlJc w:val="right"/>
      <w:pPr>
        <w:ind w:left="4320" w:hanging="180"/>
      </w:pPr>
      <w:rPr>
        <w:rFonts w:cs="Times New Roman"/>
      </w:rPr>
    </w:lvl>
    <w:lvl w:ilvl="6" w:tplc="1328318A" w:tentative="1">
      <w:start w:val="1"/>
      <w:numFmt w:val="decimal"/>
      <w:lvlText w:val="%7."/>
      <w:lvlJc w:val="left"/>
      <w:pPr>
        <w:ind w:left="5040" w:hanging="360"/>
      </w:pPr>
      <w:rPr>
        <w:rFonts w:cs="Times New Roman"/>
      </w:rPr>
    </w:lvl>
    <w:lvl w:ilvl="7" w:tplc="00EA6DD0" w:tentative="1">
      <w:start w:val="1"/>
      <w:numFmt w:val="lowerLetter"/>
      <w:lvlText w:val="%8."/>
      <w:lvlJc w:val="left"/>
      <w:pPr>
        <w:ind w:left="5760" w:hanging="360"/>
      </w:pPr>
      <w:rPr>
        <w:rFonts w:cs="Times New Roman"/>
      </w:rPr>
    </w:lvl>
    <w:lvl w:ilvl="8" w:tplc="39420888" w:tentative="1">
      <w:start w:val="1"/>
      <w:numFmt w:val="lowerRoman"/>
      <w:lvlText w:val="%9."/>
      <w:lvlJc w:val="right"/>
      <w:pPr>
        <w:ind w:left="6480" w:hanging="180"/>
      </w:pPr>
      <w:rPr>
        <w:rFonts w:cs="Times New Roman"/>
      </w:rPr>
    </w:lvl>
  </w:abstractNum>
  <w:abstractNum w:abstractNumId="1" w15:restartNumberingAfterBreak="0">
    <w:nsid w:val="157B3C5D"/>
    <w:multiLevelType w:val="hybridMultilevel"/>
    <w:tmpl w:val="E3A6FF5A"/>
    <w:lvl w:ilvl="0" w:tplc="E42AB60E">
      <w:start w:val="1"/>
      <w:numFmt w:val="hebrew1"/>
      <w:lvlText w:val="%1)"/>
      <w:lvlJc w:val="left"/>
      <w:pPr>
        <w:ind w:left="720" w:hanging="360"/>
      </w:pPr>
      <w:rPr>
        <w:rFonts w:cs="Times New Roman" w:hint="default"/>
      </w:rPr>
    </w:lvl>
    <w:lvl w:ilvl="1" w:tplc="CE764396" w:tentative="1">
      <w:start w:val="1"/>
      <w:numFmt w:val="lowerLetter"/>
      <w:lvlText w:val="%2."/>
      <w:lvlJc w:val="left"/>
      <w:pPr>
        <w:ind w:left="1440" w:hanging="360"/>
      </w:pPr>
      <w:rPr>
        <w:rFonts w:cs="Times New Roman"/>
      </w:rPr>
    </w:lvl>
    <w:lvl w:ilvl="2" w:tplc="3B2211B6" w:tentative="1">
      <w:start w:val="1"/>
      <w:numFmt w:val="lowerRoman"/>
      <w:lvlText w:val="%3."/>
      <w:lvlJc w:val="right"/>
      <w:pPr>
        <w:ind w:left="2160" w:hanging="180"/>
      </w:pPr>
      <w:rPr>
        <w:rFonts w:cs="Times New Roman"/>
      </w:rPr>
    </w:lvl>
    <w:lvl w:ilvl="3" w:tplc="D56C43AE" w:tentative="1">
      <w:start w:val="1"/>
      <w:numFmt w:val="decimal"/>
      <w:lvlText w:val="%4."/>
      <w:lvlJc w:val="left"/>
      <w:pPr>
        <w:ind w:left="2880" w:hanging="360"/>
      </w:pPr>
      <w:rPr>
        <w:rFonts w:cs="Times New Roman"/>
      </w:rPr>
    </w:lvl>
    <w:lvl w:ilvl="4" w:tplc="F59620E2" w:tentative="1">
      <w:start w:val="1"/>
      <w:numFmt w:val="lowerLetter"/>
      <w:lvlText w:val="%5."/>
      <w:lvlJc w:val="left"/>
      <w:pPr>
        <w:ind w:left="3600" w:hanging="360"/>
      </w:pPr>
      <w:rPr>
        <w:rFonts w:cs="Times New Roman"/>
      </w:rPr>
    </w:lvl>
    <w:lvl w:ilvl="5" w:tplc="E3CC94A8" w:tentative="1">
      <w:start w:val="1"/>
      <w:numFmt w:val="lowerRoman"/>
      <w:lvlText w:val="%6."/>
      <w:lvlJc w:val="right"/>
      <w:pPr>
        <w:ind w:left="4320" w:hanging="180"/>
      </w:pPr>
      <w:rPr>
        <w:rFonts w:cs="Times New Roman"/>
      </w:rPr>
    </w:lvl>
    <w:lvl w:ilvl="6" w:tplc="949EF92C" w:tentative="1">
      <w:start w:val="1"/>
      <w:numFmt w:val="decimal"/>
      <w:lvlText w:val="%7."/>
      <w:lvlJc w:val="left"/>
      <w:pPr>
        <w:ind w:left="5040" w:hanging="360"/>
      </w:pPr>
      <w:rPr>
        <w:rFonts w:cs="Times New Roman"/>
      </w:rPr>
    </w:lvl>
    <w:lvl w:ilvl="7" w:tplc="C3C00F56" w:tentative="1">
      <w:start w:val="1"/>
      <w:numFmt w:val="lowerLetter"/>
      <w:lvlText w:val="%8."/>
      <w:lvlJc w:val="left"/>
      <w:pPr>
        <w:ind w:left="5760" w:hanging="360"/>
      </w:pPr>
      <w:rPr>
        <w:rFonts w:cs="Times New Roman"/>
      </w:rPr>
    </w:lvl>
    <w:lvl w:ilvl="8" w:tplc="B944F796" w:tentative="1">
      <w:start w:val="1"/>
      <w:numFmt w:val="lowerRoman"/>
      <w:lvlText w:val="%9."/>
      <w:lvlJc w:val="right"/>
      <w:pPr>
        <w:ind w:left="6480" w:hanging="180"/>
      </w:pPr>
      <w:rPr>
        <w:rFonts w:cs="Times New Roman"/>
      </w:rPr>
    </w:lvl>
  </w:abstractNum>
  <w:abstractNum w:abstractNumId="2" w15:restartNumberingAfterBreak="0">
    <w:nsid w:val="28672447"/>
    <w:multiLevelType w:val="hybridMultilevel"/>
    <w:tmpl w:val="F944529E"/>
    <w:lvl w:ilvl="0" w:tplc="E40410BA">
      <w:start w:val="1"/>
      <w:numFmt w:val="hebrew1"/>
      <w:lvlText w:val="%1."/>
      <w:lvlJc w:val="left"/>
      <w:pPr>
        <w:ind w:left="720" w:hanging="360"/>
      </w:pPr>
      <w:rPr>
        <w:rFonts w:cs="Times New Roman" w:hint="default"/>
      </w:rPr>
    </w:lvl>
    <w:lvl w:ilvl="1" w:tplc="F8BCF71C" w:tentative="1">
      <w:start w:val="1"/>
      <w:numFmt w:val="lowerLetter"/>
      <w:lvlText w:val="%2."/>
      <w:lvlJc w:val="left"/>
      <w:pPr>
        <w:ind w:left="1440" w:hanging="360"/>
      </w:pPr>
      <w:rPr>
        <w:rFonts w:cs="Times New Roman"/>
      </w:rPr>
    </w:lvl>
    <w:lvl w:ilvl="2" w:tplc="8D0C7882" w:tentative="1">
      <w:start w:val="1"/>
      <w:numFmt w:val="lowerRoman"/>
      <w:lvlText w:val="%3."/>
      <w:lvlJc w:val="right"/>
      <w:pPr>
        <w:ind w:left="2160" w:hanging="180"/>
      </w:pPr>
      <w:rPr>
        <w:rFonts w:cs="Times New Roman"/>
      </w:rPr>
    </w:lvl>
    <w:lvl w:ilvl="3" w:tplc="6EDC648C" w:tentative="1">
      <w:start w:val="1"/>
      <w:numFmt w:val="decimal"/>
      <w:lvlText w:val="%4."/>
      <w:lvlJc w:val="left"/>
      <w:pPr>
        <w:ind w:left="2880" w:hanging="360"/>
      </w:pPr>
      <w:rPr>
        <w:rFonts w:cs="Times New Roman"/>
      </w:rPr>
    </w:lvl>
    <w:lvl w:ilvl="4" w:tplc="D9B6C14C" w:tentative="1">
      <w:start w:val="1"/>
      <w:numFmt w:val="lowerLetter"/>
      <w:lvlText w:val="%5."/>
      <w:lvlJc w:val="left"/>
      <w:pPr>
        <w:ind w:left="3600" w:hanging="360"/>
      </w:pPr>
      <w:rPr>
        <w:rFonts w:cs="Times New Roman"/>
      </w:rPr>
    </w:lvl>
    <w:lvl w:ilvl="5" w:tplc="F9666602" w:tentative="1">
      <w:start w:val="1"/>
      <w:numFmt w:val="lowerRoman"/>
      <w:lvlText w:val="%6."/>
      <w:lvlJc w:val="right"/>
      <w:pPr>
        <w:ind w:left="4320" w:hanging="180"/>
      </w:pPr>
      <w:rPr>
        <w:rFonts w:cs="Times New Roman"/>
      </w:rPr>
    </w:lvl>
    <w:lvl w:ilvl="6" w:tplc="DA22FFC4" w:tentative="1">
      <w:start w:val="1"/>
      <w:numFmt w:val="decimal"/>
      <w:lvlText w:val="%7."/>
      <w:lvlJc w:val="left"/>
      <w:pPr>
        <w:ind w:left="5040" w:hanging="360"/>
      </w:pPr>
      <w:rPr>
        <w:rFonts w:cs="Times New Roman"/>
      </w:rPr>
    </w:lvl>
    <w:lvl w:ilvl="7" w:tplc="97088072" w:tentative="1">
      <w:start w:val="1"/>
      <w:numFmt w:val="lowerLetter"/>
      <w:lvlText w:val="%8."/>
      <w:lvlJc w:val="left"/>
      <w:pPr>
        <w:ind w:left="5760" w:hanging="360"/>
      </w:pPr>
      <w:rPr>
        <w:rFonts w:cs="Times New Roman"/>
      </w:rPr>
    </w:lvl>
    <w:lvl w:ilvl="8" w:tplc="F67E0382" w:tentative="1">
      <w:start w:val="1"/>
      <w:numFmt w:val="lowerRoman"/>
      <w:lvlText w:val="%9."/>
      <w:lvlJc w:val="right"/>
      <w:pPr>
        <w:ind w:left="6480" w:hanging="180"/>
      </w:pPr>
      <w:rPr>
        <w:rFonts w:cs="Times New Roman"/>
      </w:rPr>
    </w:lvl>
  </w:abstractNum>
  <w:abstractNum w:abstractNumId="3" w15:restartNumberingAfterBreak="0">
    <w:nsid w:val="2D583B28"/>
    <w:multiLevelType w:val="hybridMultilevel"/>
    <w:tmpl w:val="4E569FC8"/>
    <w:lvl w:ilvl="0" w:tplc="ED2AEBAE">
      <w:start w:val="1"/>
      <w:numFmt w:val="hebrew1"/>
      <w:lvlText w:val="%1."/>
      <w:lvlJc w:val="center"/>
      <w:pPr>
        <w:ind w:left="1440" w:hanging="360"/>
      </w:pPr>
      <w:rPr>
        <w:rFonts w:cs="David"/>
      </w:rPr>
    </w:lvl>
    <w:lvl w:ilvl="1" w:tplc="F76EEF52" w:tentative="1">
      <w:start w:val="1"/>
      <w:numFmt w:val="lowerLetter"/>
      <w:lvlText w:val="%2."/>
      <w:lvlJc w:val="left"/>
      <w:pPr>
        <w:ind w:left="2160" w:hanging="360"/>
      </w:pPr>
      <w:rPr>
        <w:rFonts w:cs="Times New Roman"/>
      </w:rPr>
    </w:lvl>
    <w:lvl w:ilvl="2" w:tplc="DB4EFD90" w:tentative="1">
      <w:start w:val="1"/>
      <w:numFmt w:val="lowerRoman"/>
      <w:lvlText w:val="%3."/>
      <w:lvlJc w:val="right"/>
      <w:pPr>
        <w:ind w:left="2880" w:hanging="180"/>
      </w:pPr>
      <w:rPr>
        <w:rFonts w:cs="Times New Roman"/>
      </w:rPr>
    </w:lvl>
    <w:lvl w:ilvl="3" w:tplc="0F383810" w:tentative="1">
      <w:start w:val="1"/>
      <w:numFmt w:val="decimal"/>
      <w:lvlText w:val="%4."/>
      <w:lvlJc w:val="left"/>
      <w:pPr>
        <w:ind w:left="3600" w:hanging="360"/>
      </w:pPr>
      <w:rPr>
        <w:rFonts w:cs="Times New Roman"/>
      </w:rPr>
    </w:lvl>
    <w:lvl w:ilvl="4" w:tplc="2C2E539E" w:tentative="1">
      <w:start w:val="1"/>
      <w:numFmt w:val="lowerLetter"/>
      <w:lvlText w:val="%5."/>
      <w:lvlJc w:val="left"/>
      <w:pPr>
        <w:ind w:left="4320" w:hanging="360"/>
      </w:pPr>
      <w:rPr>
        <w:rFonts w:cs="Times New Roman"/>
      </w:rPr>
    </w:lvl>
    <w:lvl w:ilvl="5" w:tplc="57584AEA" w:tentative="1">
      <w:start w:val="1"/>
      <w:numFmt w:val="lowerRoman"/>
      <w:lvlText w:val="%6."/>
      <w:lvlJc w:val="right"/>
      <w:pPr>
        <w:ind w:left="5040" w:hanging="180"/>
      </w:pPr>
      <w:rPr>
        <w:rFonts w:cs="Times New Roman"/>
      </w:rPr>
    </w:lvl>
    <w:lvl w:ilvl="6" w:tplc="84261228" w:tentative="1">
      <w:start w:val="1"/>
      <w:numFmt w:val="decimal"/>
      <w:lvlText w:val="%7."/>
      <w:lvlJc w:val="left"/>
      <w:pPr>
        <w:ind w:left="5760" w:hanging="360"/>
      </w:pPr>
      <w:rPr>
        <w:rFonts w:cs="Times New Roman"/>
      </w:rPr>
    </w:lvl>
    <w:lvl w:ilvl="7" w:tplc="D15AE352" w:tentative="1">
      <w:start w:val="1"/>
      <w:numFmt w:val="lowerLetter"/>
      <w:lvlText w:val="%8."/>
      <w:lvlJc w:val="left"/>
      <w:pPr>
        <w:ind w:left="6480" w:hanging="360"/>
      </w:pPr>
      <w:rPr>
        <w:rFonts w:cs="Times New Roman"/>
      </w:rPr>
    </w:lvl>
    <w:lvl w:ilvl="8" w:tplc="5590CE5C" w:tentative="1">
      <w:start w:val="1"/>
      <w:numFmt w:val="lowerRoman"/>
      <w:lvlText w:val="%9."/>
      <w:lvlJc w:val="right"/>
      <w:pPr>
        <w:ind w:left="7200" w:hanging="180"/>
      </w:pPr>
      <w:rPr>
        <w:rFonts w:cs="Times New Roman"/>
      </w:rPr>
    </w:lvl>
  </w:abstractNum>
  <w:abstractNum w:abstractNumId="4" w15:restartNumberingAfterBreak="0">
    <w:nsid w:val="3966492F"/>
    <w:multiLevelType w:val="hybridMultilevel"/>
    <w:tmpl w:val="BC4421C4"/>
    <w:lvl w:ilvl="0" w:tplc="A68A80BC">
      <w:start w:val="1"/>
      <w:numFmt w:val="hebrew1"/>
      <w:lvlText w:val="%1."/>
      <w:lvlJc w:val="left"/>
      <w:pPr>
        <w:ind w:left="720" w:hanging="360"/>
      </w:pPr>
      <w:rPr>
        <w:rFonts w:cs="Times New Roman" w:hint="default"/>
      </w:rPr>
    </w:lvl>
    <w:lvl w:ilvl="1" w:tplc="3FBC68DC" w:tentative="1">
      <w:start w:val="1"/>
      <w:numFmt w:val="lowerLetter"/>
      <w:lvlText w:val="%2."/>
      <w:lvlJc w:val="left"/>
      <w:pPr>
        <w:ind w:left="1440" w:hanging="360"/>
      </w:pPr>
      <w:rPr>
        <w:rFonts w:cs="Times New Roman"/>
      </w:rPr>
    </w:lvl>
    <w:lvl w:ilvl="2" w:tplc="2D929BE8" w:tentative="1">
      <w:start w:val="1"/>
      <w:numFmt w:val="lowerRoman"/>
      <w:lvlText w:val="%3."/>
      <w:lvlJc w:val="right"/>
      <w:pPr>
        <w:ind w:left="2160" w:hanging="180"/>
      </w:pPr>
      <w:rPr>
        <w:rFonts w:cs="Times New Roman"/>
      </w:rPr>
    </w:lvl>
    <w:lvl w:ilvl="3" w:tplc="907693F2" w:tentative="1">
      <w:start w:val="1"/>
      <w:numFmt w:val="decimal"/>
      <w:lvlText w:val="%4."/>
      <w:lvlJc w:val="left"/>
      <w:pPr>
        <w:ind w:left="2880" w:hanging="360"/>
      </w:pPr>
      <w:rPr>
        <w:rFonts w:cs="Times New Roman"/>
      </w:rPr>
    </w:lvl>
    <w:lvl w:ilvl="4" w:tplc="40986692" w:tentative="1">
      <w:start w:val="1"/>
      <w:numFmt w:val="lowerLetter"/>
      <w:lvlText w:val="%5."/>
      <w:lvlJc w:val="left"/>
      <w:pPr>
        <w:ind w:left="3600" w:hanging="360"/>
      </w:pPr>
      <w:rPr>
        <w:rFonts w:cs="Times New Roman"/>
      </w:rPr>
    </w:lvl>
    <w:lvl w:ilvl="5" w:tplc="4A3444B6" w:tentative="1">
      <w:start w:val="1"/>
      <w:numFmt w:val="lowerRoman"/>
      <w:lvlText w:val="%6."/>
      <w:lvlJc w:val="right"/>
      <w:pPr>
        <w:ind w:left="4320" w:hanging="180"/>
      </w:pPr>
      <w:rPr>
        <w:rFonts w:cs="Times New Roman"/>
      </w:rPr>
    </w:lvl>
    <w:lvl w:ilvl="6" w:tplc="63729F6A" w:tentative="1">
      <w:start w:val="1"/>
      <w:numFmt w:val="decimal"/>
      <w:lvlText w:val="%7."/>
      <w:lvlJc w:val="left"/>
      <w:pPr>
        <w:ind w:left="5040" w:hanging="360"/>
      </w:pPr>
      <w:rPr>
        <w:rFonts w:cs="Times New Roman"/>
      </w:rPr>
    </w:lvl>
    <w:lvl w:ilvl="7" w:tplc="3F16A398" w:tentative="1">
      <w:start w:val="1"/>
      <w:numFmt w:val="lowerLetter"/>
      <w:lvlText w:val="%8."/>
      <w:lvlJc w:val="left"/>
      <w:pPr>
        <w:ind w:left="5760" w:hanging="360"/>
      </w:pPr>
      <w:rPr>
        <w:rFonts w:cs="Times New Roman"/>
      </w:rPr>
    </w:lvl>
    <w:lvl w:ilvl="8" w:tplc="7FC4016C" w:tentative="1">
      <w:start w:val="1"/>
      <w:numFmt w:val="lowerRoman"/>
      <w:lvlText w:val="%9."/>
      <w:lvlJc w:val="right"/>
      <w:pPr>
        <w:ind w:left="6480" w:hanging="180"/>
      </w:pPr>
      <w:rPr>
        <w:rFonts w:cs="Times New Roman"/>
      </w:rPr>
    </w:lvl>
  </w:abstractNum>
  <w:abstractNum w:abstractNumId="5" w15:restartNumberingAfterBreak="0">
    <w:nsid w:val="3F51585A"/>
    <w:multiLevelType w:val="hybridMultilevel"/>
    <w:tmpl w:val="919EF8FE"/>
    <w:lvl w:ilvl="0" w:tplc="0EB6BD1A">
      <w:start w:val="1"/>
      <w:numFmt w:val="hebrew1"/>
      <w:lvlText w:val="%1."/>
      <w:lvlJc w:val="left"/>
      <w:pPr>
        <w:ind w:left="720" w:hanging="360"/>
      </w:pPr>
      <w:rPr>
        <w:rFonts w:cs="Times New Roman" w:hint="default"/>
      </w:rPr>
    </w:lvl>
    <w:lvl w:ilvl="1" w:tplc="2BEC49C8" w:tentative="1">
      <w:start w:val="1"/>
      <w:numFmt w:val="lowerLetter"/>
      <w:lvlText w:val="%2."/>
      <w:lvlJc w:val="left"/>
      <w:pPr>
        <w:ind w:left="1440" w:hanging="360"/>
      </w:pPr>
      <w:rPr>
        <w:rFonts w:cs="Times New Roman"/>
      </w:rPr>
    </w:lvl>
    <w:lvl w:ilvl="2" w:tplc="CEBA5F58" w:tentative="1">
      <w:start w:val="1"/>
      <w:numFmt w:val="lowerRoman"/>
      <w:lvlText w:val="%3."/>
      <w:lvlJc w:val="right"/>
      <w:pPr>
        <w:ind w:left="2160" w:hanging="180"/>
      </w:pPr>
      <w:rPr>
        <w:rFonts w:cs="Times New Roman"/>
      </w:rPr>
    </w:lvl>
    <w:lvl w:ilvl="3" w:tplc="48F4316C" w:tentative="1">
      <w:start w:val="1"/>
      <w:numFmt w:val="decimal"/>
      <w:lvlText w:val="%4."/>
      <w:lvlJc w:val="left"/>
      <w:pPr>
        <w:ind w:left="2880" w:hanging="360"/>
      </w:pPr>
      <w:rPr>
        <w:rFonts w:cs="Times New Roman"/>
      </w:rPr>
    </w:lvl>
    <w:lvl w:ilvl="4" w:tplc="8684DA04" w:tentative="1">
      <w:start w:val="1"/>
      <w:numFmt w:val="lowerLetter"/>
      <w:lvlText w:val="%5."/>
      <w:lvlJc w:val="left"/>
      <w:pPr>
        <w:ind w:left="3600" w:hanging="360"/>
      </w:pPr>
      <w:rPr>
        <w:rFonts w:cs="Times New Roman"/>
      </w:rPr>
    </w:lvl>
    <w:lvl w:ilvl="5" w:tplc="43187AD2" w:tentative="1">
      <w:start w:val="1"/>
      <w:numFmt w:val="lowerRoman"/>
      <w:lvlText w:val="%6."/>
      <w:lvlJc w:val="right"/>
      <w:pPr>
        <w:ind w:left="4320" w:hanging="180"/>
      </w:pPr>
      <w:rPr>
        <w:rFonts w:cs="Times New Roman"/>
      </w:rPr>
    </w:lvl>
    <w:lvl w:ilvl="6" w:tplc="4964E8A6" w:tentative="1">
      <w:start w:val="1"/>
      <w:numFmt w:val="decimal"/>
      <w:lvlText w:val="%7."/>
      <w:lvlJc w:val="left"/>
      <w:pPr>
        <w:ind w:left="5040" w:hanging="360"/>
      </w:pPr>
      <w:rPr>
        <w:rFonts w:cs="Times New Roman"/>
      </w:rPr>
    </w:lvl>
    <w:lvl w:ilvl="7" w:tplc="A5C64518" w:tentative="1">
      <w:start w:val="1"/>
      <w:numFmt w:val="lowerLetter"/>
      <w:lvlText w:val="%8."/>
      <w:lvlJc w:val="left"/>
      <w:pPr>
        <w:ind w:left="5760" w:hanging="360"/>
      </w:pPr>
      <w:rPr>
        <w:rFonts w:cs="Times New Roman"/>
      </w:rPr>
    </w:lvl>
    <w:lvl w:ilvl="8" w:tplc="2910A22C" w:tentative="1">
      <w:start w:val="1"/>
      <w:numFmt w:val="lowerRoman"/>
      <w:lvlText w:val="%9."/>
      <w:lvlJc w:val="right"/>
      <w:pPr>
        <w:ind w:left="6480" w:hanging="180"/>
      </w:pPr>
      <w:rPr>
        <w:rFonts w:cs="Times New Roman"/>
      </w:rPr>
    </w:lvl>
  </w:abstractNum>
  <w:abstractNum w:abstractNumId="6" w15:restartNumberingAfterBreak="0">
    <w:nsid w:val="431D6B9F"/>
    <w:multiLevelType w:val="multilevel"/>
    <w:tmpl w:val="741E24F0"/>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907" w:hanging="547"/>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44261820"/>
    <w:multiLevelType w:val="hybridMultilevel"/>
    <w:tmpl w:val="1CB6F360"/>
    <w:lvl w:ilvl="0" w:tplc="947CE844">
      <w:start w:val="1"/>
      <w:numFmt w:val="hebrew1"/>
      <w:lvlText w:val="%1."/>
      <w:lvlJc w:val="left"/>
      <w:pPr>
        <w:ind w:left="1267" w:hanging="360"/>
      </w:pPr>
      <w:rPr>
        <w:rFonts w:cs="Times New Roman" w:hint="default"/>
      </w:rPr>
    </w:lvl>
    <w:lvl w:ilvl="1" w:tplc="03E60952" w:tentative="1">
      <w:start w:val="1"/>
      <w:numFmt w:val="lowerLetter"/>
      <w:lvlText w:val="%2."/>
      <w:lvlJc w:val="left"/>
      <w:pPr>
        <w:ind w:left="1987" w:hanging="360"/>
      </w:pPr>
      <w:rPr>
        <w:rFonts w:cs="Times New Roman"/>
      </w:rPr>
    </w:lvl>
    <w:lvl w:ilvl="2" w:tplc="DA2C7BB0" w:tentative="1">
      <w:start w:val="1"/>
      <w:numFmt w:val="lowerRoman"/>
      <w:lvlText w:val="%3."/>
      <w:lvlJc w:val="right"/>
      <w:pPr>
        <w:ind w:left="2707" w:hanging="180"/>
      </w:pPr>
      <w:rPr>
        <w:rFonts w:cs="Times New Roman"/>
      </w:rPr>
    </w:lvl>
    <w:lvl w:ilvl="3" w:tplc="A0043190" w:tentative="1">
      <w:start w:val="1"/>
      <w:numFmt w:val="decimal"/>
      <w:lvlText w:val="%4."/>
      <w:lvlJc w:val="left"/>
      <w:pPr>
        <w:ind w:left="3427" w:hanging="360"/>
      </w:pPr>
      <w:rPr>
        <w:rFonts w:cs="Times New Roman"/>
      </w:rPr>
    </w:lvl>
    <w:lvl w:ilvl="4" w:tplc="DD689982" w:tentative="1">
      <w:start w:val="1"/>
      <w:numFmt w:val="lowerLetter"/>
      <w:lvlText w:val="%5."/>
      <w:lvlJc w:val="left"/>
      <w:pPr>
        <w:ind w:left="4147" w:hanging="360"/>
      </w:pPr>
      <w:rPr>
        <w:rFonts w:cs="Times New Roman"/>
      </w:rPr>
    </w:lvl>
    <w:lvl w:ilvl="5" w:tplc="A168B78A" w:tentative="1">
      <w:start w:val="1"/>
      <w:numFmt w:val="lowerRoman"/>
      <w:lvlText w:val="%6."/>
      <w:lvlJc w:val="right"/>
      <w:pPr>
        <w:ind w:left="4867" w:hanging="180"/>
      </w:pPr>
      <w:rPr>
        <w:rFonts w:cs="Times New Roman"/>
      </w:rPr>
    </w:lvl>
    <w:lvl w:ilvl="6" w:tplc="A9A819EA" w:tentative="1">
      <w:start w:val="1"/>
      <w:numFmt w:val="decimal"/>
      <w:lvlText w:val="%7."/>
      <w:lvlJc w:val="left"/>
      <w:pPr>
        <w:ind w:left="5587" w:hanging="360"/>
      </w:pPr>
      <w:rPr>
        <w:rFonts w:cs="Times New Roman"/>
      </w:rPr>
    </w:lvl>
    <w:lvl w:ilvl="7" w:tplc="6AD251FC" w:tentative="1">
      <w:start w:val="1"/>
      <w:numFmt w:val="lowerLetter"/>
      <w:lvlText w:val="%8."/>
      <w:lvlJc w:val="left"/>
      <w:pPr>
        <w:ind w:left="6307" w:hanging="360"/>
      </w:pPr>
      <w:rPr>
        <w:rFonts w:cs="Times New Roman"/>
      </w:rPr>
    </w:lvl>
    <w:lvl w:ilvl="8" w:tplc="A4A015D6" w:tentative="1">
      <w:start w:val="1"/>
      <w:numFmt w:val="lowerRoman"/>
      <w:lvlText w:val="%9."/>
      <w:lvlJc w:val="right"/>
      <w:pPr>
        <w:ind w:left="7027" w:hanging="180"/>
      </w:pPr>
      <w:rPr>
        <w:rFonts w:cs="Times New Roman"/>
      </w:rPr>
    </w:lvl>
  </w:abstractNum>
  <w:abstractNum w:abstractNumId="8" w15:restartNumberingAfterBreak="0">
    <w:nsid w:val="570A75B9"/>
    <w:multiLevelType w:val="hybridMultilevel"/>
    <w:tmpl w:val="03483464"/>
    <w:lvl w:ilvl="0" w:tplc="888A913E">
      <w:start w:val="1"/>
      <w:numFmt w:val="hebrew1"/>
      <w:lvlText w:val="%1."/>
      <w:lvlJc w:val="center"/>
      <w:pPr>
        <w:ind w:left="360" w:hanging="360"/>
      </w:pPr>
      <w:rPr>
        <w:rFonts w:cs="Times New Roman" w:hint="default"/>
      </w:rPr>
    </w:lvl>
    <w:lvl w:ilvl="1" w:tplc="8BA48E34">
      <w:start w:val="1"/>
      <w:numFmt w:val="lowerLetter"/>
      <w:lvlText w:val="%2."/>
      <w:lvlJc w:val="left"/>
      <w:pPr>
        <w:ind w:left="1080" w:hanging="360"/>
      </w:pPr>
      <w:rPr>
        <w:rFonts w:cs="Times New Roman"/>
      </w:rPr>
    </w:lvl>
    <w:lvl w:ilvl="2" w:tplc="CA7A62A0" w:tentative="1">
      <w:start w:val="1"/>
      <w:numFmt w:val="lowerRoman"/>
      <w:lvlText w:val="%3."/>
      <w:lvlJc w:val="right"/>
      <w:pPr>
        <w:ind w:left="1800" w:hanging="180"/>
      </w:pPr>
      <w:rPr>
        <w:rFonts w:cs="Times New Roman"/>
      </w:rPr>
    </w:lvl>
    <w:lvl w:ilvl="3" w:tplc="33B03DD6" w:tentative="1">
      <w:start w:val="1"/>
      <w:numFmt w:val="decimal"/>
      <w:lvlText w:val="%4."/>
      <w:lvlJc w:val="left"/>
      <w:pPr>
        <w:ind w:left="2520" w:hanging="360"/>
      </w:pPr>
      <w:rPr>
        <w:rFonts w:cs="Times New Roman"/>
      </w:rPr>
    </w:lvl>
    <w:lvl w:ilvl="4" w:tplc="909EAA00" w:tentative="1">
      <w:start w:val="1"/>
      <w:numFmt w:val="lowerLetter"/>
      <w:lvlText w:val="%5."/>
      <w:lvlJc w:val="left"/>
      <w:pPr>
        <w:ind w:left="3240" w:hanging="360"/>
      </w:pPr>
      <w:rPr>
        <w:rFonts w:cs="Times New Roman"/>
      </w:rPr>
    </w:lvl>
    <w:lvl w:ilvl="5" w:tplc="3754E7B8" w:tentative="1">
      <w:start w:val="1"/>
      <w:numFmt w:val="lowerRoman"/>
      <w:lvlText w:val="%6."/>
      <w:lvlJc w:val="right"/>
      <w:pPr>
        <w:ind w:left="3960" w:hanging="180"/>
      </w:pPr>
      <w:rPr>
        <w:rFonts w:cs="Times New Roman"/>
      </w:rPr>
    </w:lvl>
    <w:lvl w:ilvl="6" w:tplc="3356C742" w:tentative="1">
      <w:start w:val="1"/>
      <w:numFmt w:val="decimal"/>
      <w:lvlText w:val="%7."/>
      <w:lvlJc w:val="left"/>
      <w:pPr>
        <w:ind w:left="4680" w:hanging="360"/>
      </w:pPr>
      <w:rPr>
        <w:rFonts w:cs="Times New Roman"/>
      </w:rPr>
    </w:lvl>
    <w:lvl w:ilvl="7" w:tplc="E446D986" w:tentative="1">
      <w:start w:val="1"/>
      <w:numFmt w:val="lowerLetter"/>
      <w:lvlText w:val="%8."/>
      <w:lvlJc w:val="left"/>
      <w:pPr>
        <w:ind w:left="5400" w:hanging="360"/>
      </w:pPr>
      <w:rPr>
        <w:rFonts w:cs="Times New Roman"/>
      </w:rPr>
    </w:lvl>
    <w:lvl w:ilvl="8" w:tplc="69B497F2" w:tentative="1">
      <w:start w:val="1"/>
      <w:numFmt w:val="lowerRoman"/>
      <w:lvlText w:val="%9."/>
      <w:lvlJc w:val="right"/>
      <w:pPr>
        <w:ind w:left="6120" w:hanging="180"/>
      </w:pPr>
      <w:rPr>
        <w:rFonts w:cs="Times New Roman"/>
      </w:rPr>
    </w:lvl>
  </w:abstractNum>
  <w:abstractNum w:abstractNumId="9" w15:restartNumberingAfterBreak="0">
    <w:nsid w:val="705E23B0"/>
    <w:multiLevelType w:val="multilevel"/>
    <w:tmpl w:val="1B6EB332"/>
    <w:lvl w:ilvl="0">
      <w:start w:val="1"/>
      <w:numFmt w:val="decimal"/>
      <w:lvlText w:val="%1."/>
      <w:lvlJc w:val="left"/>
      <w:pPr>
        <w:ind w:left="360" w:hanging="360"/>
      </w:pPr>
      <w:rPr>
        <w:rFonts w:cs="Times New Roman" w:hint="default"/>
      </w:rPr>
    </w:lvl>
    <w:lvl w:ilvl="1">
      <w:start w:val="1"/>
      <w:numFmt w:val="decimal"/>
      <w:lvlText w:val="%1.%2."/>
      <w:lvlJc w:val="left"/>
      <w:pPr>
        <w:ind w:left="907" w:hanging="54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398402145">
    <w:abstractNumId w:val="6"/>
  </w:num>
  <w:num w:numId="2" w16cid:durableId="2086880599">
    <w:abstractNumId w:val="8"/>
  </w:num>
  <w:num w:numId="3" w16cid:durableId="660889292">
    <w:abstractNumId w:val="5"/>
  </w:num>
  <w:num w:numId="4" w16cid:durableId="149955367">
    <w:abstractNumId w:val="0"/>
  </w:num>
  <w:num w:numId="5" w16cid:durableId="22831105">
    <w:abstractNumId w:val="4"/>
  </w:num>
  <w:num w:numId="6" w16cid:durableId="759065677">
    <w:abstractNumId w:val="9"/>
  </w:num>
  <w:num w:numId="7" w16cid:durableId="1093208582">
    <w:abstractNumId w:val="7"/>
  </w:num>
  <w:num w:numId="8" w16cid:durableId="1689720187">
    <w:abstractNumId w:val="2"/>
  </w:num>
  <w:num w:numId="9" w16cid:durableId="1263538877">
    <w:abstractNumId w:val="3"/>
  </w:num>
  <w:num w:numId="10" w16cid:durableId="9040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2914D6"/>
    <w:rsid w:val="00011212"/>
    <w:rsid w:val="00015783"/>
    <w:rsid w:val="00050385"/>
    <w:rsid w:val="00056265"/>
    <w:rsid w:val="00056D43"/>
    <w:rsid w:val="000642BF"/>
    <w:rsid w:val="0007141F"/>
    <w:rsid w:val="00073EA7"/>
    <w:rsid w:val="00081EA4"/>
    <w:rsid w:val="00085A72"/>
    <w:rsid w:val="000919FD"/>
    <w:rsid w:val="00094D46"/>
    <w:rsid w:val="000A073B"/>
    <w:rsid w:val="000A25A0"/>
    <w:rsid w:val="000B21B1"/>
    <w:rsid w:val="000B3640"/>
    <w:rsid w:val="000C01AC"/>
    <w:rsid w:val="000C2D56"/>
    <w:rsid w:val="000D1E23"/>
    <w:rsid w:val="000D44B6"/>
    <w:rsid w:val="000D49DD"/>
    <w:rsid w:val="000E1B43"/>
    <w:rsid w:val="000F2AE5"/>
    <w:rsid w:val="00105750"/>
    <w:rsid w:val="00116E0F"/>
    <w:rsid w:val="001244E1"/>
    <w:rsid w:val="00150C88"/>
    <w:rsid w:val="001615A0"/>
    <w:rsid w:val="00162543"/>
    <w:rsid w:val="00167107"/>
    <w:rsid w:val="001725A6"/>
    <w:rsid w:val="0018470B"/>
    <w:rsid w:val="00193690"/>
    <w:rsid w:val="001A1094"/>
    <w:rsid w:val="001C3375"/>
    <w:rsid w:val="001D2B1F"/>
    <w:rsid w:val="001D7599"/>
    <w:rsid w:val="001E0ACE"/>
    <w:rsid w:val="001E76D1"/>
    <w:rsid w:val="001F341F"/>
    <w:rsid w:val="0020009E"/>
    <w:rsid w:val="00212271"/>
    <w:rsid w:val="00217115"/>
    <w:rsid w:val="00224B33"/>
    <w:rsid w:val="002303DB"/>
    <w:rsid w:val="0024156D"/>
    <w:rsid w:val="00246CDF"/>
    <w:rsid w:val="00251910"/>
    <w:rsid w:val="00254F4C"/>
    <w:rsid w:val="00265271"/>
    <w:rsid w:val="00265648"/>
    <w:rsid w:val="002914D6"/>
    <w:rsid w:val="002A0C63"/>
    <w:rsid w:val="002B66A6"/>
    <w:rsid w:val="002C0FCC"/>
    <w:rsid w:val="002C27A7"/>
    <w:rsid w:val="002C3DE0"/>
    <w:rsid w:val="002D00E0"/>
    <w:rsid w:val="002D2BAC"/>
    <w:rsid w:val="002E61B4"/>
    <w:rsid w:val="002E6E02"/>
    <w:rsid w:val="002F07D7"/>
    <w:rsid w:val="002F5307"/>
    <w:rsid w:val="00303A7B"/>
    <w:rsid w:val="003064E7"/>
    <w:rsid w:val="00310097"/>
    <w:rsid w:val="0031153F"/>
    <w:rsid w:val="00311906"/>
    <w:rsid w:val="003229C7"/>
    <w:rsid w:val="003322BA"/>
    <w:rsid w:val="00332F5F"/>
    <w:rsid w:val="0033629E"/>
    <w:rsid w:val="00341FC5"/>
    <w:rsid w:val="003615DB"/>
    <w:rsid w:val="00365C97"/>
    <w:rsid w:val="003671F2"/>
    <w:rsid w:val="003700F2"/>
    <w:rsid w:val="00383407"/>
    <w:rsid w:val="00390542"/>
    <w:rsid w:val="003A0E12"/>
    <w:rsid w:val="003A70F6"/>
    <w:rsid w:val="003D5F34"/>
    <w:rsid w:val="003E0A95"/>
    <w:rsid w:val="003F6060"/>
    <w:rsid w:val="00412E72"/>
    <w:rsid w:val="0041712A"/>
    <w:rsid w:val="004174AC"/>
    <w:rsid w:val="0042446F"/>
    <w:rsid w:val="00425C28"/>
    <w:rsid w:val="00427A83"/>
    <w:rsid w:val="00435F2A"/>
    <w:rsid w:val="00436840"/>
    <w:rsid w:val="00437B46"/>
    <w:rsid w:val="0044153D"/>
    <w:rsid w:val="00447F9F"/>
    <w:rsid w:val="0045749E"/>
    <w:rsid w:val="004620B5"/>
    <w:rsid w:val="00463A60"/>
    <w:rsid w:val="00464DC6"/>
    <w:rsid w:val="00465551"/>
    <w:rsid w:val="00482C4E"/>
    <w:rsid w:val="00487E53"/>
    <w:rsid w:val="0049383E"/>
    <w:rsid w:val="00494935"/>
    <w:rsid w:val="004A2E66"/>
    <w:rsid w:val="004A3002"/>
    <w:rsid w:val="004A46E2"/>
    <w:rsid w:val="004A7C5E"/>
    <w:rsid w:val="004C14EB"/>
    <w:rsid w:val="004D1DB5"/>
    <w:rsid w:val="004E064E"/>
    <w:rsid w:val="004E215B"/>
    <w:rsid w:val="005037BD"/>
    <w:rsid w:val="00513B03"/>
    <w:rsid w:val="00514ED6"/>
    <w:rsid w:val="00515797"/>
    <w:rsid w:val="00516E74"/>
    <w:rsid w:val="00521B05"/>
    <w:rsid w:val="00524BDB"/>
    <w:rsid w:val="00527F20"/>
    <w:rsid w:val="00553ED5"/>
    <w:rsid w:val="00563DE1"/>
    <w:rsid w:val="00574960"/>
    <w:rsid w:val="00575F76"/>
    <w:rsid w:val="005771FD"/>
    <w:rsid w:val="005816BF"/>
    <w:rsid w:val="00581C05"/>
    <w:rsid w:val="00585025"/>
    <w:rsid w:val="00585E23"/>
    <w:rsid w:val="00594CED"/>
    <w:rsid w:val="005A1B41"/>
    <w:rsid w:val="005B23BB"/>
    <w:rsid w:val="005B4FD6"/>
    <w:rsid w:val="005B535E"/>
    <w:rsid w:val="005B7426"/>
    <w:rsid w:val="005D0313"/>
    <w:rsid w:val="005E147F"/>
    <w:rsid w:val="005E4009"/>
    <w:rsid w:val="005E7A16"/>
    <w:rsid w:val="005F39AB"/>
    <w:rsid w:val="005F78AD"/>
    <w:rsid w:val="006003E9"/>
    <w:rsid w:val="00611272"/>
    <w:rsid w:val="00621FAE"/>
    <w:rsid w:val="006416B9"/>
    <w:rsid w:val="00646FC7"/>
    <w:rsid w:val="0065016A"/>
    <w:rsid w:val="00653349"/>
    <w:rsid w:val="00662A7E"/>
    <w:rsid w:val="006640FD"/>
    <w:rsid w:val="00666802"/>
    <w:rsid w:val="00681CEC"/>
    <w:rsid w:val="00685FD8"/>
    <w:rsid w:val="006A469D"/>
    <w:rsid w:val="006B6683"/>
    <w:rsid w:val="006C35BF"/>
    <w:rsid w:val="006C4051"/>
    <w:rsid w:val="006C6D48"/>
    <w:rsid w:val="006D0BD5"/>
    <w:rsid w:val="006D1A0B"/>
    <w:rsid w:val="006D5762"/>
    <w:rsid w:val="006D63AC"/>
    <w:rsid w:val="006E10DF"/>
    <w:rsid w:val="006E3517"/>
    <w:rsid w:val="006E593F"/>
    <w:rsid w:val="006F3050"/>
    <w:rsid w:val="006F5FB0"/>
    <w:rsid w:val="006F6013"/>
    <w:rsid w:val="00716BDB"/>
    <w:rsid w:val="00716D84"/>
    <w:rsid w:val="007240C1"/>
    <w:rsid w:val="0073316C"/>
    <w:rsid w:val="007533C6"/>
    <w:rsid w:val="007557ED"/>
    <w:rsid w:val="00760BDF"/>
    <w:rsid w:val="007673C0"/>
    <w:rsid w:val="00774DEB"/>
    <w:rsid w:val="00775A13"/>
    <w:rsid w:val="0079128E"/>
    <w:rsid w:val="007934EB"/>
    <w:rsid w:val="007A4E31"/>
    <w:rsid w:val="007A761E"/>
    <w:rsid w:val="007B004A"/>
    <w:rsid w:val="007B23F8"/>
    <w:rsid w:val="007C1077"/>
    <w:rsid w:val="007C6BD7"/>
    <w:rsid w:val="007D39D3"/>
    <w:rsid w:val="007D4159"/>
    <w:rsid w:val="007E2632"/>
    <w:rsid w:val="007E4A70"/>
    <w:rsid w:val="007F4A83"/>
    <w:rsid w:val="007F60A4"/>
    <w:rsid w:val="007F6F6E"/>
    <w:rsid w:val="008032E3"/>
    <w:rsid w:val="00805FEA"/>
    <w:rsid w:val="00816590"/>
    <w:rsid w:val="00816F7C"/>
    <w:rsid w:val="00822AA5"/>
    <w:rsid w:val="00834DB5"/>
    <w:rsid w:val="0084539A"/>
    <w:rsid w:val="00855D87"/>
    <w:rsid w:val="00860787"/>
    <w:rsid w:val="008679DD"/>
    <w:rsid w:val="00873597"/>
    <w:rsid w:val="00890C31"/>
    <w:rsid w:val="008A0E84"/>
    <w:rsid w:val="008D1794"/>
    <w:rsid w:val="008D4A18"/>
    <w:rsid w:val="008F3515"/>
    <w:rsid w:val="008F79B2"/>
    <w:rsid w:val="0090051A"/>
    <w:rsid w:val="00901997"/>
    <w:rsid w:val="00901EAE"/>
    <w:rsid w:val="0090464D"/>
    <w:rsid w:val="0091072C"/>
    <w:rsid w:val="009108D7"/>
    <w:rsid w:val="00920A64"/>
    <w:rsid w:val="00923961"/>
    <w:rsid w:val="00926D64"/>
    <w:rsid w:val="00936595"/>
    <w:rsid w:val="00937E66"/>
    <w:rsid w:val="00951DC2"/>
    <w:rsid w:val="00952874"/>
    <w:rsid w:val="009564C5"/>
    <w:rsid w:val="00980B7F"/>
    <w:rsid w:val="009849E0"/>
    <w:rsid w:val="009855C0"/>
    <w:rsid w:val="00990B3C"/>
    <w:rsid w:val="009917EC"/>
    <w:rsid w:val="009A2853"/>
    <w:rsid w:val="009B4DE7"/>
    <w:rsid w:val="009C0D36"/>
    <w:rsid w:val="009D1E0C"/>
    <w:rsid w:val="009D7BD6"/>
    <w:rsid w:val="009E0ACF"/>
    <w:rsid w:val="009F2968"/>
    <w:rsid w:val="009F297F"/>
    <w:rsid w:val="009F5879"/>
    <w:rsid w:val="009F5D8D"/>
    <w:rsid w:val="009F6014"/>
    <w:rsid w:val="00A029D2"/>
    <w:rsid w:val="00A10C54"/>
    <w:rsid w:val="00A24211"/>
    <w:rsid w:val="00A26343"/>
    <w:rsid w:val="00A31F4E"/>
    <w:rsid w:val="00A35CAD"/>
    <w:rsid w:val="00A506C8"/>
    <w:rsid w:val="00A51DB7"/>
    <w:rsid w:val="00A60095"/>
    <w:rsid w:val="00A66A81"/>
    <w:rsid w:val="00A70414"/>
    <w:rsid w:val="00A71F77"/>
    <w:rsid w:val="00A7272D"/>
    <w:rsid w:val="00A74F7B"/>
    <w:rsid w:val="00A91034"/>
    <w:rsid w:val="00A952C6"/>
    <w:rsid w:val="00AB0313"/>
    <w:rsid w:val="00AB32DD"/>
    <w:rsid w:val="00AC101D"/>
    <w:rsid w:val="00AE446E"/>
    <w:rsid w:val="00AF432B"/>
    <w:rsid w:val="00B07E31"/>
    <w:rsid w:val="00B13034"/>
    <w:rsid w:val="00B13842"/>
    <w:rsid w:val="00B3154F"/>
    <w:rsid w:val="00B333CF"/>
    <w:rsid w:val="00B3397B"/>
    <w:rsid w:val="00B33AE8"/>
    <w:rsid w:val="00B35F8D"/>
    <w:rsid w:val="00B462CA"/>
    <w:rsid w:val="00B55381"/>
    <w:rsid w:val="00B67460"/>
    <w:rsid w:val="00B745D9"/>
    <w:rsid w:val="00B74A84"/>
    <w:rsid w:val="00B83174"/>
    <w:rsid w:val="00B838F7"/>
    <w:rsid w:val="00B86006"/>
    <w:rsid w:val="00BA2416"/>
    <w:rsid w:val="00BA630A"/>
    <w:rsid w:val="00BA7F2D"/>
    <w:rsid w:val="00BD18F5"/>
    <w:rsid w:val="00BD5B6B"/>
    <w:rsid w:val="00BD7105"/>
    <w:rsid w:val="00BD717F"/>
    <w:rsid w:val="00BD740B"/>
    <w:rsid w:val="00BE05A1"/>
    <w:rsid w:val="00BE1C43"/>
    <w:rsid w:val="00BE4CDC"/>
    <w:rsid w:val="00BF5F0D"/>
    <w:rsid w:val="00C0321A"/>
    <w:rsid w:val="00C16A7D"/>
    <w:rsid w:val="00C2163F"/>
    <w:rsid w:val="00C27347"/>
    <w:rsid w:val="00C3058A"/>
    <w:rsid w:val="00C320BE"/>
    <w:rsid w:val="00C349F2"/>
    <w:rsid w:val="00C368B4"/>
    <w:rsid w:val="00C37C52"/>
    <w:rsid w:val="00C40239"/>
    <w:rsid w:val="00C41B70"/>
    <w:rsid w:val="00C576A2"/>
    <w:rsid w:val="00C63369"/>
    <w:rsid w:val="00C86162"/>
    <w:rsid w:val="00C871A6"/>
    <w:rsid w:val="00C931BD"/>
    <w:rsid w:val="00C935C7"/>
    <w:rsid w:val="00CB3C7B"/>
    <w:rsid w:val="00CC2718"/>
    <w:rsid w:val="00CC312B"/>
    <w:rsid w:val="00CE381D"/>
    <w:rsid w:val="00CF19F0"/>
    <w:rsid w:val="00CF3333"/>
    <w:rsid w:val="00D1445A"/>
    <w:rsid w:val="00D23BA3"/>
    <w:rsid w:val="00D25503"/>
    <w:rsid w:val="00D358FE"/>
    <w:rsid w:val="00D52664"/>
    <w:rsid w:val="00D54B3A"/>
    <w:rsid w:val="00D60391"/>
    <w:rsid w:val="00D701C5"/>
    <w:rsid w:val="00D7265C"/>
    <w:rsid w:val="00D72B97"/>
    <w:rsid w:val="00D75ED5"/>
    <w:rsid w:val="00D76F2E"/>
    <w:rsid w:val="00D802DF"/>
    <w:rsid w:val="00D8149D"/>
    <w:rsid w:val="00D826C8"/>
    <w:rsid w:val="00D83474"/>
    <w:rsid w:val="00D84F7E"/>
    <w:rsid w:val="00D91F8F"/>
    <w:rsid w:val="00DB1CE6"/>
    <w:rsid w:val="00DC0832"/>
    <w:rsid w:val="00DD1935"/>
    <w:rsid w:val="00DD23E4"/>
    <w:rsid w:val="00DD2C3C"/>
    <w:rsid w:val="00DD78A4"/>
    <w:rsid w:val="00DE4682"/>
    <w:rsid w:val="00DE47DD"/>
    <w:rsid w:val="00DE6C49"/>
    <w:rsid w:val="00DE7E2D"/>
    <w:rsid w:val="00DF425A"/>
    <w:rsid w:val="00E14764"/>
    <w:rsid w:val="00E23AE5"/>
    <w:rsid w:val="00E2426D"/>
    <w:rsid w:val="00E26E28"/>
    <w:rsid w:val="00E3347C"/>
    <w:rsid w:val="00E33D62"/>
    <w:rsid w:val="00E543FD"/>
    <w:rsid w:val="00E57994"/>
    <w:rsid w:val="00E64708"/>
    <w:rsid w:val="00E76646"/>
    <w:rsid w:val="00E826A3"/>
    <w:rsid w:val="00E851B8"/>
    <w:rsid w:val="00E86847"/>
    <w:rsid w:val="00E9298F"/>
    <w:rsid w:val="00E95361"/>
    <w:rsid w:val="00EA0EF7"/>
    <w:rsid w:val="00EA138D"/>
    <w:rsid w:val="00EB6F15"/>
    <w:rsid w:val="00EC0F5C"/>
    <w:rsid w:val="00EE13A6"/>
    <w:rsid w:val="00F133C4"/>
    <w:rsid w:val="00F162CB"/>
    <w:rsid w:val="00F166A6"/>
    <w:rsid w:val="00F17717"/>
    <w:rsid w:val="00F2610E"/>
    <w:rsid w:val="00F270FC"/>
    <w:rsid w:val="00F31459"/>
    <w:rsid w:val="00F3556B"/>
    <w:rsid w:val="00F42FC0"/>
    <w:rsid w:val="00F46838"/>
    <w:rsid w:val="00F50E07"/>
    <w:rsid w:val="00F6107E"/>
    <w:rsid w:val="00F61BD0"/>
    <w:rsid w:val="00F67FD2"/>
    <w:rsid w:val="00F706EB"/>
    <w:rsid w:val="00F730A9"/>
    <w:rsid w:val="00F801CF"/>
    <w:rsid w:val="00F8198F"/>
    <w:rsid w:val="00F953AD"/>
    <w:rsid w:val="00F9651D"/>
    <w:rsid w:val="00FA5C33"/>
    <w:rsid w:val="00FA7473"/>
    <w:rsid w:val="00FA7C16"/>
    <w:rsid w:val="00FB7512"/>
    <w:rsid w:val="00FC3D4E"/>
    <w:rsid w:val="00FC591D"/>
    <w:rsid w:val="00FC69DF"/>
    <w:rsid w:val="00FD51C4"/>
    <w:rsid w:val="00FE1FB5"/>
    <w:rsid w:val="00FE5D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88433"/>
  <w15:docId w15:val="{C8136ECD-DE2A-49C9-A612-F2E27B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paragraph" w:styleId="5">
    <w:name w:val="heading 5"/>
    <w:basedOn w:val="a"/>
    <w:next w:val="a"/>
    <w:link w:val="50"/>
    <w:qFormat/>
    <w:locked/>
    <w:rsid w:val="007D39D3"/>
    <w:pPr>
      <w:keepNext/>
      <w:keepLines/>
      <w:spacing w:before="40"/>
      <w:outlineLvl w:val="4"/>
    </w:pPr>
    <w:rPr>
      <w:rFonts w:ascii="Cambria" w:hAnsi="Cambria" w:cs="Times New Roman"/>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character" w:customStyle="1" w:styleId="1">
    <w:name w:val="טקסט מציין מיקום1"/>
    <w:semiHidden/>
    <w:rsid w:val="00BD5B6B"/>
    <w:rPr>
      <w:color w:val="808080"/>
    </w:rPr>
  </w:style>
  <w:style w:type="paragraph" w:customStyle="1" w:styleId="10">
    <w:name w:val="פיסקת רשימה1"/>
    <w:basedOn w:val="a"/>
    <w:qFormat/>
    <w:rsid w:val="00990B3C"/>
    <w:pPr>
      <w:ind w:left="720"/>
      <w:contextualSpacing/>
    </w:pPr>
  </w:style>
  <w:style w:type="character" w:styleId="Hyperlink">
    <w:name w:val="Hyperlink"/>
    <w:semiHidden/>
    <w:locked/>
    <w:rsid w:val="006640FD"/>
    <w:rPr>
      <w:color w:val="0000FF"/>
      <w:u w:val="single"/>
    </w:rPr>
  </w:style>
  <w:style w:type="character" w:customStyle="1" w:styleId="50">
    <w:name w:val="כותרת 5 תו"/>
    <w:link w:val="5"/>
    <w:locked/>
    <w:rsid w:val="007D39D3"/>
    <w:rPr>
      <w:rFonts w:ascii="Cambria" w:hAnsi="Cambria"/>
      <w:noProof/>
      <w:color w:val="365F91"/>
      <w:sz w:val="24"/>
    </w:rPr>
  </w:style>
  <w:style w:type="character" w:customStyle="1" w:styleId="Ruller4">
    <w:name w:val="Ruller4 תו"/>
    <w:link w:val="Ruller40"/>
    <w:locked/>
    <w:rsid w:val="00B745D9"/>
    <w:rPr>
      <w:rFonts w:ascii="Arial TUR" w:hAnsi="Arial TUR"/>
      <w:spacing w:val="10"/>
      <w:sz w:val="28"/>
    </w:rPr>
  </w:style>
  <w:style w:type="paragraph" w:customStyle="1" w:styleId="Ruller40">
    <w:name w:val="Ruller4"/>
    <w:basedOn w:val="a"/>
    <w:link w:val="Ruller4"/>
    <w:rsid w:val="00B745D9"/>
    <w:pPr>
      <w:tabs>
        <w:tab w:val="left" w:pos="800"/>
      </w:tabs>
      <w:overflowPunct w:val="0"/>
      <w:autoSpaceDE w:val="0"/>
      <w:autoSpaceDN w:val="0"/>
      <w:adjustRightInd w:val="0"/>
      <w:spacing w:line="360" w:lineRule="auto"/>
      <w:jc w:val="both"/>
    </w:pPr>
    <w:rPr>
      <w:rFonts w:ascii="Arial TUR" w:hAnsi="Arial TUR" w:cs="FrankRuehl"/>
      <w:noProof w:val="0"/>
      <w:spacing w:val="10"/>
      <w:sz w:val="22"/>
      <w:szCs w:val="28"/>
    </w:rPr>
  </w:style>
  <w:style w:type="paragraph" w:customStyle="1" w:styleId="Ruller5">
    <w:name w:val="Ruller5"/>
    <w:basedOn w:val="a"/>
    <w:rsid w:val="00B745D9"/>
    <w:pPr>
      <w:overflowPunct w:val="0"/>
      <w:autoSpaceDE w:val="0"/>
      <w:autoSpaceDN w:val="0"/>
      <w:adjustRightInd w:val="0"/>
      <w:ind w:left="1642" w:right="1282"/>
      <w:jc w:val="both"/>
    </w:pPr>
    <w:rPr>
      <w:rFonts w:ascii="Arial TUR" w:hAnsi="Arial TUR" w:cs="FrankRuehl"/>
      <w:noProof w:val="0"/>
      <w:spacing w:val="10"/>
      <w:sz w:val="22"/>
      <w:szCs w:val="28"/>
    </w:rPr>
  </w:style>
  <w:style w:type="paragraph" w:customStyle="1" w:styleId="ac">
    <w:name w:val="a"/>
    <w:basedOn w:val="a"/>
    <w:rsid w:val="00923961"/>
    <w:pPr>
      <w:bidi w:val="0"/>
      <w:spacing w:before="100" w:beforeAutospacing="1" w:after="100" w:afterAutospacing="1"/>
    </w:pPr>
    <w:rPr>
      <w:rFonts w:cs="Times New Roman"/>
      <w:noProof w:val="0"/>
    </w:rPr>
  </w:style>
  <w:style w:type="paragraph" w:customStyle="1" w:styleId="ruller50">
    <w:name w:val="ruller5"/>
    <w:basedOn w:val="a"/>
    <w:rsid w:val="00EA138D"/>
    <w:pPr>
      <w:bidi w:val="0"/>
      <w:spacing w:before="100" w:beforeAutospacing="1" w:after="100" w:afterAutospacing="1"/>
    </w:pPr>
    <w:rPr>
      <w:rFonts w:cs="Times New Roman"/>
      <w:noProof w:val="0"/>
    </w:rPr>
  </w:style>
  <w:style w:type="paragraph" w:customStyle="1" w:styleId="ruller400">
    <w:name w:val="ruller40"/>
    <w:basedOn w:val="a"/>
    <w:rsid w:val="00EA138D"/>
    <w:pPr>
      <w:bidi w:val="0"/>
      <w:spacing w:before="100" w:beforeAutospacing="1" w:after="100" w:afterAutospacing="1"/>
    </w:pPr>
    <w:rPr>
      <w:rFonts w:cs="Times New Roman"/>
      <w:noProof w:val="0"/>
    </w:rPr>
  </w:style>
  <w:style w:type="paragraph" w:customStyle="1" w:styleId="11">
    <w:name w:val="ללא מרווח1"/>
    <w:qFormat/>
    <w:rsid w:val="00A31F4E"/>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law/71888/43.a" TargetMode="External"/><Relationship Id="rId18" Type="http://schemas.openxmlformats.org/officeDocument/2006/relationships/hyperlink" Target="http://www.nevo.co.il/safrut/bookgroup/433" TargetMode="External"/><Relationship Id="rId26" Type="http://schemas.openxmlformats.org/officeDocument/2006/relationships/hyperlink" Target="http://www.nevo.co.il/case/25764420" TargetMode="External"/><Relationship Id="rId39" Type="http://schemas.openxmlformats.org/officeDocument/2006/relationships/hyperlink" Target="http://www.nevo.co.il/law/196390/28.b" TargetMode="External"/><Relationship Id="rId21" Type="http://schemas.openxmlformats.org/officeDocument/2006/relationships/hyperlink" Target="http://www.nevo.co.il/law/71888" TargetMode="External"/><Relationship Id="rId34" Type="http://schemas.openxmlformats.org/officeDocument/2006/relationships/hyperlink" Target="http://www.nevo.co.il/law/4526/1.a" TargetMode="External"/><Relationship Id="rId42" Type="http://schemas.openxmlformats.org/officeDocument/2006/relationships/hyperlink" Target="http://www.nevo.co.il/law/71887" TargetMode="External"/><Relationship Id="rId47" Type="http://schemas.openxmlformats.org/officeDocument/2006/relationships/hyperlink" Target="http://www.nevo.co.il/case/23769754" TargetMode="External"/><Relationship Id="rId50" Type="http://schemas.openxmlformats.org/officeDocument/2006/relationships/hyperlink" Target="http://www.nevo.co.il/case/25484360" TargetMode="External"/><Relationship Id="rId55" Type="http://schemas.openxmlformats.org/officeDocument/2006/relationships/header" Target="header2.xml"/><Relationship Id="rId7" Type="http://schemas.openxmlformats.org/officeDocument/2006/relationships/hyperlink" Target="http://www.nevo.co.il/case/23149202" TargetMode="External"/><Relationship Id="rId12" Type="http://schemas.openxmlformats.org/officeDocument/2006/relationships/hyperlink" Target="http://www.nevo.co.il/law/71888/28" TargetMode="External"/><Relationship Id="rId17" Type="http://schemas.openxmlformats.org/officeDocument/2006/relationships/hyperlink" Target="http://www.nevo.co.il/law/71888" TargetMode="External"/><Relationship Id="rId25" Type="http://schemas.openxmlformats.org/officeDocument/2006/relationships/hyperlink" Target="http://www.nevo.co.il/safrut/bookgroup/593" TargetMode="External"/><Relationship Id="rId33" Type="http://schemas.openxmlformats.org/officeDocument/2006/relationships/hyperlink" Target="http://www.nevo.co.il/law/71888" TargetMode="External"/><Relationship Id="rId38" Type="http://schemas.openxmlformats.org/officeDocument/2006/relationships/hyperlink" Target="http://www.nevo.co.il/law/71888" TargetMode="External"/><Relationship Id="rId46" Type="http://schemas.openxmlformats.org/officeDocument/2006/relationships/hyperlink" Target="http://www.nevo.co.il/law/71888/43.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vo.co.il/law/72489" TargetMode="External"/><Relationship Id="rId20" Type="http://schemas.openxmlformats.org/officeDocument/2006/relationships/hyperlink" Target="http://www.nevo.co.il/law/71888/28.a" TargetMode="External"/><Relationship Id="rId29" Type="http://schemas.openxmlformats.org/officeDocument/2006/relationships/hyperlink" Target="http://www.nevo.co.il/safrut/bookgroup/593" TargetMode="External"/><Relationship Id="rId41" Type="http://schemas.openxmlformats.org/officeDocument/2006/relationships/hyperlink" Target="http://www.nevo.co.il/law/71887/1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4526" TargetMode="External"/><Relationship Id="rId24" Type="http://schemas.openxmlformats.org/officeDocument/2006/relationships/hyperlink" Target="http://www.nevo.co.il/case/26637266" TargetMode="External"/><Relationship Id="rId32" Type="http://schemas.openxmlformats.org/officeDocument/2006/relationships/hyperlink" Target="http://www.nevo.co.il/law/71888/43.a" TargetMode="External"/><Relationship Id="rId37" Type="http://schemas.openxmlformats.org/officeDocument/2006/relationships/hyperlink" Target="http://www.nevo.co.il/law/71888/43.b" TargetMode="External"/><Relationship Id="rId40" Type="http://schemas.openxmlformats.org/officeDocument/2006/relationships/hyperlink" Target="http://www.nevo.co.il/law/196390" TargetMode="External"/><Relationship Id="rId45" Type="http://schemas.openxmlformats.org/officeDocument/2006/relationships/hyperlink" Target="http://www.nevo.co.il/law/71888" TargetMode="External"/><Relationship Id="rId53" Type="http://schemas.openxmlformats.org/officeDocument/2006/relationships/hyperlink" Target="http://www.nevo.co.il/case/6133027"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law/72489/23" TargetMode="External"/><Relationship Id="rId23" Type="http://schemas.openxmlformats.org/officeDocument/2006/relationships/hyperlink" Target="http://www.nevo.co.il/law/71888" TargetMode="External"/><Relationship Id="rId28" Type="http://schemas.openxmlformats.org/officeDocument/2006/relationships/hyperlink" Target="http://www.nevo.co.il/case/17920626" TargetMode="External"/><Relationship Id="rId36" Type="http://schemas.openxmlformats.org/officeDocument/2006/relationships/hyperlink" Target="http://www.nevo.co.il/case/17917780" TargetMode="External"/><Relationship Id="rId49" Type="http://schemas.openxmlformats.org/officeDocument/2006/relationships/hyperlink" Target="http://www.nevo.co.il/case/27100928" TargetMode="External"/><Relationship Id="rId57" Type="http://schemas.openxmlformats.org/officeDocument/2006/relationships/footer" Target="footer2.xml"/><Relationship Id="rId10" Type="http://schemas.openxmlformats.org/officeDocument/2006/relationships/hyperlink" Target="http://www.nevo.co.il/case/17923955" TargetMode="External"/><Relationship Id="rId19" Type="http://schemas.openxmlformats.org/officeDocument/2006/relationships/hyperlink" Target="http://www.nevo.co.il/case/5743043" TargetMode="External"/><Relationship Id="rId31" Type="http://schemas.openxmlformats.org/officeDocument/2006/relationships/hyperlink" Target="http://www.nevo.co.il/law/71888" TargetMode="External"/><Relationship Id="rId44" Type="http://schemas.openxmlformats.org/officeDocument/2006/relationships/hyperlink" Target="http://www.nevo.co.il/law/71888/43.b" TargetMode="External"/><Relationship Id="rId52" Type="http://schemas.openxmlformats.org/officeDocument/2006/relationships/hyperlink" Target="http://www.nevo.co.il/law/71887/13" TargetMode="External"/><Relationship Id="rId4" Type="http://schemas.openxmlformats.org/officeDocument/2006/relationships/webSettings" Target="webSettings.xml"/><Relationship Id="rId9" Type="http://schemas.openxmlformats.org/officeDocument/2006/relationships/hyperlink" Target="http://www.nevo.co.il/law/4526" TargetMode="External"/><Relationship Id="rId14" Type="http://schemas.openxmlformats.org/officeDocument/2006/relationships/hyperlink" Target="http://www.nevo.co.il/law/71888" TargetMode="External"/><Relationship Id="rId22" Type="http://schemas.openxmlformats.org/officeDocument/2006/relationships/hyperlink" Target="http://www.nevo.co.il/law/71888/28" TargetMode="External"/><Relationship Id="rId27" Type="http://schemas.openxmlformats.org/officeDocument/2006/relationships/hyperlink" Target="http://www.nevo.co.il/case/5714458" TargetMode="External"/><Relationship Id="rId30" Type="http://schemas.openxmlformats.org/officeDocument/2006/relationships/hyperlink" Target="http://www.nevo.co.il/law/71888/43.a" TargetMode="External"/><Relationship Id="rId35" Type="http://schemas.openxmlformats.org/officeDocument/2006/relationships/hyperlink" Target="http://www.nevo.co.il/law/4526" TargetMode="External"/><Relationship Id="rId43" Type="http://schemas.openxmlformats.org/officeDocument/2006/relationships/hyperlink" Target="http://www.nevo.co.il/case/6100627" TargetMode="External"/><Relationship Id="rId48" Type="http://schemas.openxmlformats.org/officeDocument/2006/relationships/hyperlink" Target="http://www.nevo.co.il/case/5582715" TargetMode="External"/><Relationship Id="rId56" Type="http://schemas.openxmlformats.org/officeDocument/2006/relationships/footer" Target="footer1.xml"/><Relationship Id="rId8" Type="http://schemas.openxmlformats.org/officeDocument/2006/relationships/hyperlink" Target="http://www.nevo.co.il/case/25524776" TargetMode="External"/><Relationship Id="rId51" Type="http://schemas.openxmlformats.org/officeDocument/2006/relationships/hyperlink" Target="http://www.nevo.co.il/case/25484360"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5594</Words>
  <Characters>27973</Characters>
  <Application>Microsoft Office Word</Application>
  <DocSecurity>0</DocSecurity>
  <Lines>233</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2025-04-28T18:06:00Z</dcterms:created>
  <dcterms:modified xsi:type="dcterms:W3CDTF">2025-04-28T18:06:00Z</dcterms:modified>
</cp:coreProperties>
</file>