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tif" ContentType="image/tiff"/>
  <Default Extension="tiff" ContentType="image/tiff"/>
  <Default Extension="wdp" ContentType="image/vnd.ms-phot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44868" w14:textId="77777777" w:rsidR="00B912D4" w:rsidRDefault="00B912D4"/>
    <w:tbl>
      <w:tblPr>
        <w:tblStyle w:val="a9"/>
        <w:bidiVisual/>
        <w:tblW w:w="90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36"/>
      </w:tblGrid>
      <w:tr w:rsidR="00BE284B" w14:paraId="664950D7" w14:textId="77777777" w:rsidTr="00BE284B">
        <w:trPr>
          <w:trHeight w:val="295"/>
          <w:jc w:val="center"/>
        </w:trPr>
        <w:tc>
          <w:tcPr>
            <w:tcW w:w="9036" w:type="dxa"/>
          </w:tcPr>
          <w:p w14:paraId="67CAB331" w14:textId="77777777" w:rsidR="00BE284B" w:rsidRPr="0012536B" w:rsidRDefault="00BE284B" w:rsidP="00BE284B">
            <w:pPr>
              <w:jc w:val="right"/>
              <w:rPr>
                <w:b/>
                <w:bCs/>
                <w:color w:val="808080"/>
              </w:rPr>
            </w:pPr>
            <w:r w:rsidRPr="0012536B">
              <w:rPr>
                <w:b/>
                <w:bCs/>
                <w:sz w:val="26"/>
                <w:szCs w:val="26"/>
                <w:u w:val="single"/>
                <w:rtl/>
              </w:rPr>
              <w:t>ניתן ביום</w:t>
            </w:r>
            <w:r>
              <w:rPr>
                <w:rFonts w:hint="cs"/>
                <w:b/>
                <w:bCs/>
                <w:sz w:val="26"/>
                <w:szCs w:val="26"/>
                <w:rtl/>
              </w:rPr>
              <w:t xml:space="preserve"> 14 ינואר 2026</w:t>
            </w:r>
            <w:r w:rsidRPr="0012536B">
              <w:rPr>
                <w:b/>
                <w:bCs/>
                <w:sz w:val="26"/>
                <w:szCs w:val="26"/>
                <w:rtl/>
              </w:rPr>
              <w:t xml:space="preserve"> </w:t>
            </w:r>
          </w:p>
        </w:tc>
      </w:tr>
    </w:tbl>
    <w:p w14:paraId="25AF337B" w14:textId="77777777" w:rsidR="00BE284B" w:rsidRDefault="00BE284B" w:rsidP="00BE284B">
      <w:pPr>
        <w:jc w:val="right"/>
        <w:rPr>
          <w:b/>
          <w:bCs/>
          <w:sz w:val="26"/>
          <w:szCs w:val="26"/>
          <w:rtl/>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9"/>
        <w:gridCol w:w="50"/>
        <w:gridCol w:w="3721"/>
      </w:tblGrid>
      <w:tr w:rsidR="00BE284B" w14:paraId="0F614227" w14:textId="77777777" w:rsidTr="00BE284B">
        <w:trPr>
          <w:trHeight w:val="295"/>
          <w:jc w:val="center"/>
        </w:trPr>
        <w:tc>
          <w:tcPr>
            <w:tcW w:w="5049" w:type="dxa"/>
            <w:hideMark/>
          </w:tcPr>
          <w:p w14:paraId="4D56B453" w14:textId="77777777" w:rsidR="00BE284B" w:rsidRDefault="00BE284B" w:rsidP="003A1439">
            <w:pPr>
              <w:pStyle w:val="ad"/>
              <w:numPr>
                <w:ilvl w:val="0"/>
                <w:numId w:val="1"/>
              </w:numPr>
              <w:spacing w:after="0" w:line="360" w:lineRule="auto"/>
              <w:ind w:left="492"/>
              <w:rPr>
                <w:rFonts w:ascii="Times New Roman" w:eastAsia="Times New Roman" w:hAnsi="Times New Roman" w:cs="David"/>
                <w:bCs/>
                <w:sz w:val="28"/>
                <w:szCs w:val="28"/>
                <w:rtl/>
              </w:rPr>
            </w:pPr>
            <w:r>
              <w:rPr>
                <w:rFonts w:cs="David"/>
                <w:bCs/>
                <w:sz w:val="28"/>
                <w:szCs w:val="28"/>
                <w:rtl/>
              </w:rPr>
              <w:t xml:space="preserve">פלונית </w:t>
            </w:r>
          </w:p>
          <w:p w14:paraId="1250A84D" w14:textId="77777777" w:rsidR="00BE284B" w:rsidRDefault="00BE284B" w:rsidP="003A1439">
            <w:pPr>
              <w:pStyle w:val="ad"/>
              <w:numPr>
                <w:ilvl w:val="0"/>
                <w:numId w:val="1"/>
              </w:numPr>
              <w:spacing w:after="0" w:line="360" w:lineRule="auto"/>
              <w:ind w:left="492"/>
              <w:rPr>
                <w:rFonts w:cs="David"/>
                <w:sz w:val="28"/>
                <w:szCs w:val="28"/>
                <w:rtl/>
              </w:rPr>
            </w:pPr>
            <w:r>
              <w:rPr>
                <w:rFonts w:cs="David"/>
                <w:bCs/>
                <w:sz w:val="28"/>
                <w:szCs w:val="28"/>
                <w:rtl/>
              </w:rPr>
              <w:t>מען - עמותה לסיוע לעובדים</w:t>
            </w:r>
            <w:r>
              <w:rPr>
                <w:rFonts w:cs="David"/>
                <w:sz w:val="28"/>
                <w:szCs w:val="28"/>
                <w:rtl/>
              </w:rPr>
              <w:t xml:space="preserve"> </w:t>
            </w:r>
          </w:p>
        </w:tc>
        <w:tc>
          <w:tcPr>
            <w:tcW w:w="3771" w:type="dxa"/>
            <w:gridSpan w:val="2"/>
          </w:tcPr>
          <w:p w14:paraId="3B5544C6" w14:textId="77777777" w:rsidR="00BE284B" w:rsidRDefault="00BE284B">
            <w:pPr>
              <w:spacing w:before="40" w:after="40" w:line="360" w:lineRule="auto"/>
              <w:jc w:val="right"/>
              <w:rPr>
                <w:rFonts w:ascii="Arial" w:hAnsi="Arial"/>
                <w:b/>
                <w:bCs/>
                <w:sz w:val="28"/>
                <w:szCs w:val="28"/>
                <w:u w:val="single"/>
              </w:rPr>
            </w:pPr>
          </w:p>
          <w:p w14:paraId="513C3F9D" w14:textId="77777777" w:rsidR="00BE284B" w:rsidRDefault="00BE284B" w:rsidP="00BE284B">
            <w:pPr>
              <w:spacing w:before="40" w:after="40" w:line="360" w:lineRule="auto"/>
              <w:jc w:val="right"/>
              <w:rPr>
                <w:rFonts w:ascii="Arial" w:hAnsi="Arial"/>
                <w:b/>
                <w:bCs/>
                <w:sz w:val="28"/>
                <w:szCs w:val="28"/>
                <w:rtl/>
              </w:rPr>
            </w:pPr>
            <w:r>
              <w:rPr>
                <w:rFonts w:ascii="Arial" w:hAnsi="Arial"/>
                <w:b/>
                <w:bCs/>
                <w:sz w:val="28"/>
                <w:szCs w:val="28"/>
                <w:u w:val="single"/>
                <w:rtl/>
              </w:rPr>
              <w:t>המערערות</w:t>
            </w:r>
          </w:p>
        </w:tc>
      </w:tr>
      <w:tr w:rsidR="00BE284B" w14:paraId="541BB443" w14:textId="77777777" w:rsidTr="00BE284B">
        <w:trPr>
          <w:jc w:val="center"/>
        </w:trPr>
        <w:tc>
          <w:tcPr>
            <w:tcW w:w="8820" w:type="dxa"/>
            <w:gridSpan w:val="3"/>
            <w:hideMark/>
          </w:tcPr>
          <w:p w14:paraId="21339D06" w14:textId="77777777" w:rsidR="00BE284B" w:rsidRDefault="00BE284B">
            <w:pPr>
              <w:spacing w:before="240" w:after="240" w:line="360" w:lineRule="auto"/>
              <w:rPr>
                <w:rFonts w:ascii="Arial" w:hAnsi="Arial"/>
                <w:b/>
                <w:bCs/>
                <w:sz w:val="28"/>
                <w:szCs w:val="28"/>
                <w:highlight w:val="yellow"/>
                <w:rtl/>
              </w:rPr>
            </w:pPr>
            <w:r>
              <w:rPr>
                <w:rFonts w:ascii="Arial" w:hAnsi="Arial"/>
                <w:b/>
                <w:bCs/>
                <w:sz w:val="28"/>
                <w:szCs w:val="28"/>
                <w:rtl/>
              </w:rPr>
              <w:t xml:space="preserve">                   -</w:t>
            </w:r>
          </w:p>
        </w:tc>
      </w:tr>
      <w:tr w:rsidR="00BE284B" w14:paraId="3274558D" w14:textId="77777777" w:rsidTr="00BE284B">
        <w:trPr>
          <w:jc w:val="center"/>
        </w:trPr>
        <w:tc>
          <w:tcPr>
            <w:tcW w:w="5099" w:type="dxa"/>
            <w:gridSpan w:val="2"/>
            <w:hideMark/>
          </w:tcPr>
          <w:p w14:paraId="45DF5A50" w14:textId="77777777" w:rsidR="00BE284B" w:rsidRDefault="00BE284B" w:rsidP="003A1439">
            <w:pPr>
              <w:pStyle w:val="ad"/>
              <w:numPr>
                <w:ilvl w:val="0"/>
                <w:numId w:val="2"/>
              </w:numPr>
              <w:spacing w:after="0" w:line="360" w:lineRule="auto"/>
              <w:ind w:left="492" w:hanging="426"/>
              <w:rPr>
                <w:rFonts w:ascii="Arial" w:hAnsi="Arial" w:cs="David"/>
                <w:b/>
                <w:bCs/>
                <w:sz w:val="28"/>
                <w:szCs w:val="28"/>
                <w:rtl/>
              </w:rPr>
            </w:pPr>
            <w:proofErr w:type="spellStart"/>
            <w:r>
              <w:rPr>
                <w:rFonts w:ascii="Arial" w:hAnsi="Arial" w:cs="David"/>
                <w:b/>
                <w:bCs/>
                <w:sz w:val="28"/>
                <w:szCs w:val="28"/>
                <w:rtl/>
              </w:rPr>
              <w:t>עאמר</w:t>
            </w:r>
            <w:proofErr w:type="spellEnd"/>
            <w:r>
              <w:rPr>
                <w:rFonts w:ascii="Arial" w:hAnsi="Arial" w:cs="David"/>
                <w:b/>
                <w:bCs/>
                <w:sz w:val="28"/>
                <w:szCs w:val="28"/>
                <w:rtl/>
              </w:rPr>
              <w:t xml:space="preserve"> עודה</w:t>
            </w:r>
          </w:p>
          <w:p w14:paraId="24987F17" w14:textId="77777777" w:rsidR="00BE284B" w:rsidRDefault="00BE284B" w:rsidP="003A1439">
            <w:pPr>
              <w:pStyle w:val="ad"/>
              <w:numPr>
                <w:ilvl w:val="0"/>
                <w:numId w:val="2"/>
              </w:numPr>
              <w:spacing w:after="0" w:line="360" w:lineRule="auto"/>
              <w:ind w:left="492" w:hanging="426"/>
              <w:rPr>
                <w:rFonts w:ascii="Arial" w:hAnsi="Arial" w:cs="David"/>
                <w:b/>
                <w:bCs/>
                <w:sz w:val="28"/>
                <w:szCs w:val="28"/>
              </w:rPr>
            </w:pPr>
            <w:r>
              <w:rPr>
                <w:rFonts w:ascii="Arial" w:hAnsi="Arial" w:cs="David"/>
                <w:b/>
                <w:bCs/>
                <w:sz w:val="28"/>
                <w:szCs w:val="28"/>
                <w:rtl/>
              </w:rPr>
              <w:t xml:space="preserve">מיה תעשיות מזון </w:t>
            </w:r>
            <w:proofErr w:type="spellStart"/>
            <w:r>
              <w:rPr>
                <w:rFonts w:ascii="Arial" w:hAnsi="Arial" w:cs="David"/>
                <w:b/>
                <w:bCs/>
                <w:sz w:val="28"/>
                <w:szCs w:val="28"/>
                <w:rtl/>
              </w:rPr>
              <w:t>מ.ת.מ</w:t>
            </w:r>
            <w:proofErr w:type="spellEnd"/>
            <w:r>
              <w:rPr>
                <w:rFonts w:ascii="Arial" w:hAnsi="Arial" w:cs="David"/>
                <w:b/>
                <w:bCs/>
                <w:sz w:val="28"/>
                <w:szCs w:val="28"/>
                <w:rtl/>
              </w:rPr>
              <w:t>. בע"מ</w:t>
            </w:r>
          </w:p>
        </w:tc>
        <w:tc>
          <w:tcPr>
            <w:tcW w:w="3721" w:type="dxa"/>
          </w:tcPr>
          <w:p w14:paraId="09504889" w14:textId="77777777" w:rsidR="00BE284B" w:rsidRDefault="00BE284B">
            <w:pPr>
              <w:spacing w:before="40" w:after="40" w:line="360" w:lineRule="auto"/>
              <w:jc w:val="right"/>
              <w:rPr>
                <w:rFonts w:ascii="Arial" w:hAnsi="Arial"/>
                <w:b/>
                <w:bCs/>
                <w:sz w:val="28"/>
                <w:szCs w:val="28"/>
                <w:u w:val="single"/>
              </w:rPr>
            </w:pPr>
          </w:p>
          <w:p w14:paraId="67FB6591" w14:textId="77777777" w:rsidR="00BE284B" w:rsidRDefault="00BE284B" w:rsidP="00BE284B">
            <w:pPr>
              <w:spacing w:before="40" w:after="40" w:line="360" w:lineRule="auto"/>
              <w:jc w:val="right"/>
              <w:rPr>
                <w:rFonts w:ascii="Arial" w:hAnsi="Arial"/>
                <w:b/>
                <w:bCs/>
                <w:sz w:val="28"/>
                <w:szCs w:val="28"/>
                <w:u w:val="single"/>
              </w:rPr>
            </w:pPr>
            <w:r>
              <w:rPr>
                <w:rFonts w:ascii="Arial" w:hAnsi="Arial"/>
                <w:b/>
                <w:bCs/>
                <w:sz w:val="28"/>
                <w:szCs w:val="28"/>
                <w:u w:val="single"/>
                <w:rtl/>
              </w:rPr>
              <w:t>המשיבים</w:t>
            </w:r>
          </w:p>
        </w:tc>
      </w:tr>
      <w:tr w:rsidR="00BE284B" w14:paraId="6658C291" w14:textId="77777777" w:rsidTr="00BE284B">
        <w:trPr>
          <w:jc w:val="center"/>
        </w:trPr>
        <w:tc>
          <w:tcPr>
            <w:tcW w:w="8820" w:type="dxa"/>
            <w:gridSpan w:val="3"/>
          </w:tcPr>
          <w:p w14:paraId="3402CEF3" w14:textId="77777777" w:rsidR="00BE284B" w:rsidRDefault="00BE284B">
            <w:pPr>
              <w:spacing w:before="40" w:after="40" w:line="360" w:lineRule="auto"/>
              <w:jc w:val="center"/>
              <w:rPr>
                <w:b/>
                <w:bCs/>
                <w:sz w:val="28"/>
                <w:szCs w:val="28"/>
              </w:rPr>
            </w:pPr>
            <w:r>
              <w:rPr>
                <w:b/>
                <w:bCs/>
                <w:sz w:val="28"/>
                <w:szCs w:val="28"/>
                <w:rtl/>
              </w:rPr>
              <w:t>לפני: ממלא מקום הנשיא אילן איטח, השופט רועי פוליאק, השופט עמיצור איתם</w:t>
            </w:r>
          </w:p>
          <w:p w14:paraId="6ACA1A1D" w14:textId="77777777" w:rsidR="00BE284B" w:rsidRDefault="00BE284B">
            <w:pPr>
              <w:tabs>
                <w:tab w:val="center" w:pos="4153"/>
                <w:tab w:val="right" w:pos="9157"/>
              </w:tabs>
              <w:ind w:left="-307" w:right="-227"/>
              <w:jc w:val="center"/>
              <w:rPr>
                <w:b/>
                <w:bCs/>
                <w:sz w:val="28"/>
                <w:szCs w:val="28"/>
                <w:rtl/>
              </w:rPr>
            </w:pPr>
            <w:r>
              <w:rPr>
                <w:b/>
                <w:bCs/>
                <w:sz w:val="28"/>
                <w:szCs w:val="28"/>
                <w:rtl/>
              </w:rPr>
              <w:t>נציגת ציבור (עובדים) גב' ורדה אדוארדס, נציג ציבור (מעסיקים) מר יצחק רייף</w:t>
            </w:r>
          </w:p>
        </w:tc>
      </w:tr>
    </w:tbl>
    <w:p w14:paraId="762D3493" w14:textId="77777777" w:rsidR="007D30F2" w:rsidRDefault="007D30F2" w:rsidP="00BE284B">
      <w:pPr>
        <w:spacing w:before="120" w:after="120" w:line="360" w:lineRule="auto"/>
        <w:jc w:val="both"/>
        <w:rPr>
          <w:b/>
          <w:bCs/>
          <w:sz w:val="28"/>
          <w:szCs w:val="28"/>
          <w:rtl/>
        </w:rPr>
      </w:pPr>
    </w:p>
    <w:p w14:paraId="3F46EDEE" w14:textId="77777777" w:rsidR="00BE284B" w:rsidRDefault="00BE284B" w:rsidP="00BE284B">
      <w:pPr>
        <w:spacing w:before="120" w:after="120" w:line="360" w:lineRule="auto"/>
        <w:jc w:val="both"/>
        <w:rPr>
          <w:rFonts w:asciiTheme="minorHAnsi" w:eastAsiaTheme="minorHAnsi" w:hAnsiTheme="minorHAnsi"/>
          <w:b/>
          <w:bCs/>
          <w:sz w:val="28"/>
          <w:szCs w:val="28"/>
          <w:rtl/>
          <w:lang w:eastAsia="he-IL"/>
        </w:rPr>
      </w:pPr>
      <w:r>
        <w:rPr>
          <w:b/>
          <w:bCs/>
          <w:sz w:val="28"/>
          <w:szCs w:val="28"/>
          <w:rtl/>
        </w:rPr>
        <w:t>בשם המערערות - עו"ד קרן בר יהודה</w:t>
      </w:r>
    </w:p>
    <w:p w14:paraId="1F228720" w14:textId="77777777" w:rsidR="00BE284B" w:rsidRDefault="00BE284B" w:rsidP="00BE284B">
      <w:pPr>
        <w:spacing w:before="120" w:after="120" w:line="360" w:lineRule="auto"/>
        <w:jc w:val="both"/>
        <w:rPr>
          <w:b/>
          <w:bCs/>
          <w:noProof w:val="0"/>
          <w:sz w:val="28"/>
          <w:szCs w:val="28"/>
          <w:rtl/>
        </w:rPr>
      </w:pPr>
      <w:r>
        <w:rPr>
          <w:b/>
          <w:bCs/>
          <w:sz w:val="28"/>
          <w:szCs w:val="28"/>
          <w:rtl/>
        </w:rPr>
        <w:t>בשם המשיב 1 - בעצמו</w:t>
      </w:r>
    </w:p>
    <w:p w14:paraId="0AA68AEE" w14:textId="77777777" w:rsidR="00BE284B" w:rsidRDefault="00BE284B" w:rsidP="00BE284B">
      <w:pPr>
        <w:spacing w:before="120" w:after="120" w:line="360" w:lineRule="auto"/>
        <w:jc w:val="both"/>
      </w:pPr>
      <w:r>
        <w:rPr>
          <w:b/>
          <w:bCs/>
          <w:sz w:val="28"/>
          <w:szCs w:val="28"/>
          <w:rtl/>
        </w:rPr>
        <w:t xml:space="preserve">בשם המשיבה 2 - עו"ד </w:t>
      </w:r>
      <w:r>
        <w:rPr>
          <w:rFonts w:ascii="Arial" w:hAnsi="Arial"/>
          <w:b/>
          <w:bCs/>
          <w:sz w:val="28"/>
          <w:szCs w:val="28"/>
          <w:rtl/>
        </w:rPr>
        <w:t>אסף קדוש</w:t>
      </w:r>
    </w:p>
    <w:p w14:paraId="322C77B2" w14:textId="77777777" w:rsidR="00BE284B" w:rsidRDefault="00BE284B" w:rsidP="00BE284B">
      <w:pPr>
        <w:spacing w:before="120" w:after="120"/>
        <w:jc w:val="both"/>
        <w:rPr>
          <w:rFonts w:asciiTheme="minorHAnsi" w:eastAsiaTheme="minorHAnsi" w:hAnsiTheme="minorHAnsi"/>
          <w:b/>
          <w:bCs/>
          <w:noProof w:val="0"/>
          <w:sz w:val="28"/>
          <w:szCs w:val="28"/>
          <w:rtl/>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BE284B" w14:paraId="5D04C50F" w14:textId="77777777" w:rsidTr="00BE284B">
        <w:trPr>
          <w:jc w:val="center"/>
        </w:trPr>
        <w:tc>
          <w:tcPr>
            <w:tcW w:w="8820" w:type="dxa"/>
            <w:hideMark/>
          </w:tcPr>
          <w:p w14:paraId="6EF8BA15" w14:textId="77777777" w:rsidR="00BE284B" w:rsidRDefault="00BE284B">
            <w:pPr>
              <w:bidi w:val="0"/>
              <w:jc w:val="center"/>
              <w:rPr>
                <w:rFonts w:ascii="Arial" w:hAnsi="Arial"/>
                <w:b/>
                <w:bCs/>
                <w:sz w:val="36"/>
                <w:szCs w:val="36"/>
                <w:u w:val="single"/>
                <w:rtl/>
              </w:rPr>
            </w:pPr>
            <w:r>
              <w:rPr>
                <w:rFonts w:ascii="Arial" w:hAnsi="Arial"/>
                <w:b/>
                <w:bCs/>
                <w:sz w:val="36"/>
                <w:szCs w:val="36"/>
                <w:u w:val="single"/>
                <w:rtl/>
              </w:rPr>
              <w:t>פסק דין</w:t>
            </w:r>
          </w:p>
          <w:p w14:paraId="5707B056" w14:textId="77777777" w:rsidR="00BE284B" w:rsidRDefault="00BE284B" w:rsidP="00BE284B">
            <w:pPr>
              <w:bidi w:val="0"/>
              <w:jc w:val="center"/>
              <w:rPr>
                <w:rFonts w:ascii="Arial" w:hAnsi="Arial"/>
                <w:b/>
                <w:bCs/>
                <w:sz w:val="36"/>
                <w:szCs w:val="36"/>
                <w:u w:val="single"/>
                <w:rtl/>
              </w:rPr>
            </w:pPr>
            <w:r>
              <w:rPr>
                <w:rFonts w:ascii="Arial" w:hAnsi="Arial" w:hint="cs"/>
                <w:b/>
                <w:bCs/>
                <w:sz w:val="36"/>
                <w:szCs w:val="36"/>
                <w:u w:val="single"/>
                <w:rtl/>
              </w:rPr>
              <w:t>(נוסח מותר לפרסום על פי החלט</w:t>
            </w:r>
            <w:r w:rsidR="007D30F2">
              <w:rPr>
                <w:rFonts w:ascii="Arial" w:hAnsi="Arial" w:hint="cs"/>
                <w:b/>
                <w:bCs/>
                <w:sz w:val="36"/>
                <w:szCs w:val="36"/>
                <w:u w:val="single"/>
                <w:rtl/>
              </w:rPr>
              <w:t>ה</w:t>
            </w:r>
            <w:r>
              <w:rPr>
                <w:rFonts w:ascii="Arial" w:hAnsi="Arial" w:hint="cs"/>
                <w:b/>
                <w:bCs/>
                <w:sz w:val="36"/>
                <w:szCs w:val="36"/>
                <w:u w:val="single"/>
                <w:rtl/>
              </w:rPr>
              <w:t xml:space="preserve"> מיום 26.1</w:t>
            </w:r>
            <w:r w:rsidR="007D30F2">
              <w:rPr>
                <w:rFonts w:ascii="Arial" w:hAnsi="Arial" w:hint="cs"/>
                <w:b/>
                <w:bCs/>
                <w:sz w:val="36"/>
                <w:szCs w:val="36"/>
                <w:u w:val="single"/>
                <w:rtl/>
              </w:rPr>
              <w:t>.2026</w:t>
            </w:r>
            <w:r>
              <w:rPr>
                <w:rFonts w:ascii="Arial" w:hAnsi="Arial" w:hint="cs"/>
                <w:b/>
                <w:bCs/>
                <w:sz w:val="36"/>
                <w:szCs w:val="36"/>
                <w:u w:val="single"/>
                <w:rtl/>
              </w:rPr>
              <w:t>)</w:t>
            </w:r>
          </w:p>
        </w:tc>
      </w:tr>
    </w:tbl>
    <w:p w14:paraId="1B08A6EB" w14:textId="77777777" w:rsidR="00BE284B" w:rsidRDefault="00BE284B" w:rsidP="00BE284B">
      <w:pPr>
        <w:spacing w:before="120" w:after="120" w:line="360" w:lineRule="auto"/>
        <w:jc w:val="both"/>
        <w:rPr>
          <w:rFonts w:ascii="Arial" w:hAnsi="Arial"/>
          <w:b/>
          <w:bCs/>
          <w:sz w:val="32"/>
          <w:szCs w:val="32"/>
          <w:u w:val="single"/>
          <w:rtl/>
        </w:rPr>
      </w:pPr>
      <w:r>
        <w:rPr>
          <w:rFonts w:ascii="Arial" w:hAnsi="Arial"/>
          <w:b/>
          <w:bCs/>
          <w:sz w:val="32"/>
          <w:szCs w:val="32"/>
          <w:u w:val="single"/>
          <w:rtl/>
        </w:rPr>
        <w:t>ממלא מקום הנשיא אילן איטח</w:t>
      </w:r>
    </w:p>
    <w:p w14:paraId="35F85060" w14:textId="77777777" w:rsidR="00BE284B" w:rsidRDefault="00BE284B" w:rsidP="00BE284B">
      <w:pPr>
        <w:pStyle w:val="ad"/>
        <w:numPr>
          <w:ilvl w:val="0"/>
          <w:numId w:val="3"/>
        </w:numPr>
        <w:spacing w:before="120" w:after="120" w:line="360" w:lineRule="auto"/>
        <w:ind w:left="425" w:hanging="425"/>
        <w:jc w:val="both"/>
        <w:rPr>
          <w:rFonts w:ascii="David" w:hAnsi="David" w:cs="David"/>
          <w:color w:val="000000"/>
          <w:sz w:val="28"/>
          <w:szCs w:val="28"/>
          <w:shd w:val="clear" w:color="auto" w:fill="FFFFFF"/>
          <w:rtl/>
        </w:rPr>
      </w:pPr>
      <w:r>
        <w:rPr>
          <w:rFonts w:ascii="Arial" w:eastAsia="Times New Roman" w:hAnsi="Arial" w:cs="David"/>
          <w:sz w:val="28"/>
          <w:szCs w:val="28"/>
          <w:rtl/>
        </w:rPr>
        <w:t>לפנינו ערעור על פסק דינו של בית הדין האזורי ירושלים (השופטת רחל בר"ג-</w:t>
      </w:r>
      <w:proofErr w:type="spellStart"/>
      <w:r>
        <w:rPr>
          <w:rFonts w:ascii="Arial" w:eastAsia="Times New Roman" w:hAnsi="Arial" w:cs="David"/>
          <w:sz w:val="28"/>
          <w:szCs w:val="28"/>
          <w:rtl/>
        </w:rPr>
        <w:t>הירשברג</w:t>
      </w:r>
      <w:proofErr w:type="spellEnd"/>
      <w:r>
        <w:rPr>
          <w:rFonts w:ascii="Arial" w:eastAsia="Times New Roman" w:hAnsi="Arial" w:cs="David"/>
          <w:sz w:val="28"/>
          <w:szCs w:val="28"/>
          <w:rtl/>
        </w:rPr>
        <w:t xml:space="preserve"> ונציגי הציבור מר בועז </w:t>
      </w:r>
      <w:proofErr w:type="spellStart"/>
      <w:r>
        <w:rPr>
          <w:rFonts w:ascii="Arial" w:eastAsia="Times New Roman" w:hAnsi="Arial" w:cs="David"/>
          <w:sz w:val="28"/>
          <w:szCs w:val="28"/>
          <w:rtl/>
        </w:rPr>
        <w:t>סנדרוב</w:t>
      </w:r>
      <w:proofErr w:type="spellEnd"/>
      <w:r>
        <w:rPr>
          <w:rFonts w:ascii="Arial" w:eastAsia="Times New Roman" w:hAnsi="Arial" w:cs="David"/>
          <w:sz w:val="28"/>
          <w:szCs w:val="28"/>
          <w:rtl/>
        </w:rPr>
        <w:t xml:space="preserve"> ומר צבי גל; </w:t>
      </w:r>
      <w:proofErr w:type="spellStart"/>
      <w:r>
        <w:rPr>
          <w:rFonts w:ascii="Arial" w:eastAsia="Times New Roman" w:hAnsi="Arial" w:cs="David"/>
          <w:sz w:val="28"/>
          <w:szCs w:val="28"/>
          <w:rtl/>
        </w:rPr>
        <w:t>סע"ש</w:t>
      </w:r>
      <w:proofErr w:type="spellEnd"/>
      <w:r>
        <w:rPr>
          <w:rFonts w:ascii="Arial" w:eastAsia="Times New Roman" w:hAnsi="Arial" w:cs="David"/>
          <w:sz w:val="28"/>
          <w:szCs w:val="28"/>
          <w:rtl/>
        </w:rPr>
        <w:t xml:space="preserve"> 39562-07-20) שבו התקבלה בחלקה התביעה נגד המשיבים.</w:t>
      </w:r>
      <w:r>
        <w:rPr>
          <w:rFonts w:ascii="David" w:hAnsi="David" w:cs="David"/>
          <w:color w:val="000000"/>
          <w:sz w:val="28"/>
          <w:szCs w:val="28"/>
          <w:shd w:val="clear" w:color="auto" w:fill="FFFFFF"/>
          <w:rtl/>
        </w:rPr>
        <w:t xml:space="preserve"> בפסק הדין נקבע כי המערערת 1 (להלן – </w:t>
      </w:r>
      <w:r>
        <w:rPr>
          <w:rFonts w:ascii="David" w:hAnsi="David" w:cs="David"/>
          <w:b/>
          <w:bCs/>
          <w:color w:val="000000"/>
          <w:sz w:val="28"/>
          <w:szCs w:val="28"/>
          <w:shd w:val="clear" w:color="auto" w:fill="FFFFFF"/>
          <w:rtl/>
        </w:rPr>
        <w:t>פלונית</w:t>
      </w:r>
      <w:r>
        <w:rPr>
          <w:rFonts w:ascii="David" w:hAnsi="David" w:cs="David"/>
          <w:color w:val="000000"/>
          <w:sz w:val="28"/>
          <w:szCs w:val="28"/>
          <w:shd w:val="clear" w:color="auto" w:fill="FFFFFF"/>
          <w:rtl/>
        </w:rPr>
        <w:t xml:space="preserve">) זכאית לפיצוי בסך 20,000 ₪ מאת המשיב 1 (להלן - </w:t>
      </w:r>
      <w:proofErr w:type="spellStart"/>
      <w:r>
        <w:rPr>
          <w:rFonts w:ascii="David" w:hAnsi="David" w:cs="David"/>
          <w:b/>
          <w:bCs/>
          <w:color w:val="000000"/>
          <w:sz w:val="28"/>
          <w:szCs w:val="28"/>
          <w:shd w:val="clear" w:color="auto" w:fill="FFFFFF"/>
          <w:rtl/>
        </w:rPr>
        <w:t>עאמר</w:t>
      </w:r>
      <w:proofErr w:type="spellEnd"/>
      <w:r>
        <w:rPr>
          <w:rFonts w:ascii="David" w:hAnsi="David" w:cs="David"/>
          <w:color w:val="000000"/>
          <w:sz w:val="28"/>
          <w:szCs w:val="28"/>
          <w:shd w:val="clear" w:color="auto" w:fill="FFFFFF"/>
          <w:rtl/>
        </w:rPr>
        <w:t xml:space="preserve">) מכוח החוק למניעת הטרדה מינית, התשנ"ח-1998 (להלן – </w:t>
      </w:r>
      <w:r>
        <w:rPr>
          <w:rFonts w:ascii="David" w:hAnsi="David" w:cs="David"/>
          <w:b/>
          <w:bCs/>
          <w:color w:val="000000"/>
          <w:sz w:val="28"/>
          <w:szCs w:val="28"/>
          <w:shd w:val="clear" w:color="auto" w:fill="FFFFFF"/>
          <w:rtl/>
        </w:rPr>
        <w:t>החוק</w:t>
      </w:r>
      <w:r>
        <w:rPr>
          <w:rFonts w:ascii="David" w:hAnsi="David" w:cs="David"/>
          <w:color w:val="000000"/>
          <w:sz w:val="28"/>
          <w:szCs w:val="28"/>
          <w:shd w:val="clear" w:color="auto" w:fill="FFFFFF"/>
          <w:rtl/>
        </w:rPr>
        <w:t xml:space="preserve">), ולתשלומים נוספים מאת המשיבה 2 (להלן - </w:t>
      </w:r>
      <w:r>
        <w:rPr>
          <w:rFonts w:ascii="David" w:hAnsi="David" w:cs="David"/>
          <w:b/>
          <w:bCs/>
          <w:color w:val="000000"/>
          <w:sz w:val="28"/>
          <w:szCs w:val="28"/>
          <w:shd w:val="clear" w:color="auto" w:fill="FFFFFF"/>
          <w:rtl/>
        </w:rPr>
        <w:t>החברה</w:t>
      </w:r>
      <w:r>
        <w:rPr>
          <w:rFonts w:ascii="David" w:hAnsi="David" w:cs="David"/>
          <w:color w:val="000000"/>
          <w:sz w:val="28"/>
          <w:szCs w:val="28"/>
          <w:shd w:val="clear" w:color="auto" w:fill="FFFFFF"/>
          <w:rtl/>
        </w:rPr>
        <w:t xml:space="preserve">), ובכלל זאת פיצוי בסך 50,000 ש"ח בגין הפרת חובותיה מכוח החוק והתקנות למניעת הטרדה מינית (חובות מעסיק), תשנ"ח-1998 (להלן - </w:t>
      </w:r>
      <w:r>
        <w:rPr>
          <w:rFonts w:ascii="David" w:hAnsi="David" w:cs="David"/>
          <w:b/>
          <w:bCs/>
          <w:color w:val="000000"/>
          <w:sz w:val="28"/>
          <w:szCs w:val="28"/>
          <w:shd w:val="clear" w:color="auto" w:fill="FFFFFF"/>
          <w:rtl/>
        </w:rPr>
        <w:t>התקנות</w:t>
      </w:r>
      <w:r>
        <w:rPr>
          <w:rFonts w:ascii="David" w:hAnsi="David" w:cs="David"/>
          <w:color w:val="000000"/>
          <w:sz w:val="28"/>
          <w:szCs w:val="28"/>
          <w:shd w:val="clear" w:color="auto" w:fill="FFFFFF"/>
          <w:rtl/>
        </w:rPr>
        <w:t xml:space="preserve">); פיצוי בסך 15,000 ש"ח מכוח חוק איסור לשון הרע, תשכ"ה-1965 (להלן – </w:t>
      </w:r>
      <w:r>
        <w:rPr>
          <w:rFonts w:ascii="David" w:hAnsi="David" w:cs="David"/>
          <w:b/>
          <w:bCs/>
          <w:color w:val="000000"/>
          <w:sz w:val="28"/>
          <w:szCs w:val="28"/>
          <w:shd w:val="clear" w:color="auto" w:fill="FFFFFF"/>
          <w:rtl/>
        </w:rPr>
        <w:t>חוק איסור לשון הרע</w:t>
      </w:r>
      <w:r>
        <w:rPr>
          <w:rFonts w:ascii="David" w:hAnsi="David" w:cs="David"/>
          <w:color w:val="000000"/>
          <w:sz w:val="28"/>
          <w:szCs w:val="28"/>
          <w:shd w:val="clear" w:color="auto" w:fill="FFFFFF"/>
          <w:rtl/>
        </w:rPr>
        <w:t xml:space="preserve">) ותשלומים נוספים שמקורם בתקופת עבודתה הראשונה בחברה וסיומה. כן חויבה החברה לשלם לפלונית הוצאות משפט בסך 4,000 ש"ח. </w:t>
      </w:r>
    </w:p>
    <w:p w14:paraId="123045E6"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rtl/>
        </w:rPr>
        <w:lastRenderedPageBreak/>
        <w:t xml:space="preserve">יאמר כבר עתה, ערעור המערערות אינו סב על קביעותיו העובדתיות של בית הדין קמא ועל מסקנותיו המשפטיות הנגזרות מהן, אלא אך על סכום הפיצוי שנפסק לזכות פלונית בגין הפרת החוק והפרת חוק איסור לשון הרע. לפי הנטען חומרת המעשים אשר יוחסו למשיבים מצדיקה פיצוי בשיעור גבוה יותר. </w:t>
      </w:r>
    </w:p>
    <w:p w14:paraId="60F645EB" w14:textId="77777777" w:rsidR="007D30F2" w:rsidRDefault="007D30F2" w:rsidP="00BE284B">
      <w:pPr>
        <w:spacing w:before="120" w:after="120" w:line="360" w:lineRule="auto"/>
        <w:jc w:val="both"/>
        <w:rPr>
          <w:rFonts w:ascii="Arial" w:hAnsi="Arial"/>
          <w:b/>
          <w:bCs/>
          <w:sz w:val="28"/>
          <w:szCs w:val="28"/>
          <w:u w:val="single"/>
          <w:rtl/>
        </w:rPr>
      </w:pPr>
    </w:p>
    <w:p w14:paraId="62E53F81" w14:textId="77777777" w:rsidR="00BE284B" w:rsidRDefault="00BE284B" w:rsidP="00BE284B">
      <w:pPr>
        <w:spacing w:before="120" w:after="120" w:line="360" w:lineRule="auto"/>
        <w:jc w:val="both"/>
        <w:rPr>
          <w:rFonts w:ascii="Arial" w:hAnsi="Arial"/>
          <w:b/>
          <w:bCs/>
          <w:sz w:val="28"/>
          <w:szCs w:val="28"/>
          <w:u w:val="single"/>
          <w:rtl/>
        </w:rPr>
      </w:pPr>
      <w:r>
        <w:rPr>
          <w:rFonts w:ascii="Arial" w:hAnsi="Arial"/>
          <w:b/>
          <w:bCs/>
          <w:sz w:val="28"/>
          <w:szCs w:val="28"/>
          <w:u w:val="single"/>
          <w:rtl/>
        </w:rPr>
        <w:t>רקע</w:t>
      </w:r>
    </w:p>
    <w:p w14:paraId="0FC230BA"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b/>
          <w:bCs/>
          <w:sz w:val="28"/>
          <w:szCs w:val="28"/>
          <w:u w:val="single"/>
          <w:rtl/>
        </w:rPr>
      </w:pPr>
      <w:r>
        <w:rPr>
          <w:rFonts w:ascii="Arial" w:eastAsia="Times New Roman" w:hAnsi="Arial" w:cs="David"/>
          <w:sz w:val="28"/>
          <w:szCs w:val="28"/>
          <w:rtl/>
        </w:rPr>
        <w:t xml:space="preserve">פלונית היא פלסטינית תושבת השטחים, גרושה ואם לארבעה ילדים. פלונית עבדה במפעל מזון שבבעלות החברה (להלן - </w:t>
      </w:r>
      <w:r>
        <w:rPr>
          <w:rFonts w:ascii="Arial" w:eastAsia="Times New Roman" w:hAnsi="Arial" w:cs="David"/>
          <w:b/>
          <w:bCs/>
          <w:sz w:val="28"/>
          <w:szCs w:val="28"/>
          <w:rtl/>
        </w:rPr>
        <w:t>המפעל</w:t>
      </w:r>
      <w:r>
        <w:rPr>
          <w:rFonts w:ascii="Arial" w:eastAsia="Times New Roman" w:hAnsi="Arial" w:cs="David"/>
          <w:sz w:val="28"/>
          <w:szCs w:val="28"/>
          <w:rtl/>
        </w:rPr>
        <w:t xml:space="preserve">), בשתי תקופות, הראשונה מיום 25.12.2017 ועד ליום 13.3.2018 (לעיל ולהלן - </w:t>
      </w:r>
      <w:r>
        <w:rPr>
          <w:rFonts w:ascii="Arial" w:eastAsia="Times New Roman" w:hAnsi="Arial" w:cs="David"/>
          <w:b/>
          <w:bCs/>
          <w:sz w:val="28"/>
          <w:szCs w:val="28"/>
          <w:rtl/>
        </w:rPr>
        <w:t>תקופת העבודה הראשונה</w:t>
      </w:r>
      <w:r>
        <w:rPr>
          <w:rFonts w:ascii="Arial" w:eastAsia="Times New Roman" w:hAnsi="Arial" w:cs="David"/>
          <w:sz w:val="28"/>
          <w:szCs w:val="28"/>
          <w:rtl/>
        </w:rPr>
        <w:t xml:space="preserve">) והשנייה מיום 16.12.2019 ועד לפיטוריה ביום 19.12.2019 (להלן - </w:t>
      </w:r>
      <w:r>
        <w:rPr>
          <w:rFonts w:ascii="Arial" w:eastAsia="Times New Roman" w:hAnsi="Arial" w:cs="David"/>
          <w:b/>
          <w:bCs/>
          <w:sz w:val="28"/>
          <w:szCs w:val="28"/>
          <w:rtl/>
        </w:rPr>
        <w:t>תקופת העבודה השנייה</w:t>
      </w:r>
      <w:r>
        <w:rPr>
          <w:rFonts w:ascii="Arial" w:eastAsia="Times New Roman" w:hAnsi="Arial" w:cs="David"/>
          <w:sz w:val="28"/>
          <w:szCs w:val="28"/>
          <w:rtl/>
        </w:rPr>
        <w:t xml:space="preserve">).  </w:t>
      </w:r>
    </w:p>
    <w:p w14:paraId="27D40286"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tl/>
        </w:rPr>
      </w:pP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גם הוא פלסטיני תושב השטחים, הוא עובד ותיק במפעל. נוסף על תפקידו בתחום ניקיון המפעל, ונוכח בקיאותו בשפה הערבית ובשפה העברית, הוא שימש כמתורגמן וגורם מתווך בין עובדי הייצור הפלסטינים דוברי הערבית לבין מנהלי הייצור דוברי העברית. </w:t>
      </w:r>
    </w:p>
    <w:p w14:paraId="0B7195F1"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rtl/>
        </w:rPr>
        <w:t xml:space="preserve">המערערת 2 (להלן - </w:t>
      </w:r>
      <w:r>
        <w:rPr>
          <w:rFonts w:ascii="Arial" w:eastAsia="Times New Roman" w:hAnsi="Arial" w:cs="David"/>
          <w:b/>
          <w:bCs/>
          <w:sz w:val="28"/>
          <w:szCs w:val="28"/>
          <w:rtl/>
        </w:rPr>
        <w:t>מען</w:t>
      </w:r>
      <w:r>
        <w:rPr>
          <w:rFonts w:ascii="Arial" w:eastAsia="Times New Roman" w:hAnsi="Arial" w:cs="David"/>
          <w:sz w:val="28"/>
          <w:szCs w:val="28"/>
          <w:rtl/>
        </w:rPr>
        <w:t xml:space="preserve">) היא ארגון העובדים היציג בחברה החל מיום 4.9.2019 (ראו </w:t>
      </w:r>
      <w:proofErr w:type="spellStart"/>
      <w:r>
        <w:rPr>
          <w:rFonts w:ascii="Arial" w:eastAsia="Times New Roman" w:hAnsi="Arial" w:cs="David"/>
          <w:sz w:val="28"/>
          <w:szCs w:val="28"/>
          <w:rtl/>
        </w:rPr>
        <w:t>ס"ק</w:t>
      </w:r>
      <w:proofErr w:type="spellEnd"/>
      <w:r>
        <w:rPr>
          <w:rFonts w:ascii="Arial" w:eastAsia="Times New Roman" w:hAnsi="Arial" w:cs="David"/>
          <w:sz w:val="28"/>
          <w:szCs w:val="28"/>
          <w:rtl/>
        </w:rPr>
        <w:t xml:space="preserve"> 58053-08-19).</w:t>
      </w:r>
    </w:p>
    <w:p w14:paraId="1F91E810"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rtl/>
        </w:rPr>
        <w:t xml:space="preserve">פלונית טענה כי היא הוטרדה מינית על ידי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במספר אירועים שונים, הן בתקופת עבודתה הראשונה והן בתקופת עבודתה השנייה. בית הדין האזורי קבע כממצא עובדתי כי מבין האירועים הנטענים הוכחו רק שני אירועים אשר התרחשו בתקופת עבודתה השנייה, ואלו הם:</w:t>
      </w:r>
    </w:p>
    <w:p w14:paraId="3B80796A" w14:textId="77777777" w:rsidR="00BE284B" w:rsidRDefault="00BE284B" w:rsidP="00BE284B">
      <w:pPr>
        <w:pStyle w:val="ad"/>
        <w:spacing w:before="120" w:after="120" w:line="360" w:lineRule="auto"/>
        <w:ind w:left="425"/>
        <w:jc w:val="both"/>
        <w:rPr>
          <w:rFonts w:ascii="Arial" w:eastAsia="Times New Roman" w:hAnsi="Arial" w:cs="David"/>
          <w:sz w:val="28"/>
          <w:szCs w:val="28"/>
        </w:rPr>
      </w:pPr>
      <w:r>
        <w:rPr>
          <w:rFonts w:ascii="Arial" w:eastAsia="Times New Roman" w:hAnsi="Arial" w:cs="David"/>
          <w:sz w:val="28"/>
          <w:szCs w:val="28"/>
          <w:rtl/>
        </w:rPr>
        <w:t xml:space="preserve">האחד, </w:t>
      </w:r>
      <w:r>
        <w:rPr>
          <w:rFonts w:ascii="Arial" w:eastAsia="Times New Roman" w:hAnsi="Arial" w:cs="David"/>
          <w:sz w:val="28"/>
          <w:szCs w:val="28"/>
          <w:u w:val="single"/>
          <w:rtl/>
        </w:rPr>
        <w:t>אירוע "הנגיעה"</w:t>
      </w:r>
      <w:r>
        <w:rPr>
          <w:rFonts w:ascii="Arial" w:eastAsia="Times New Roman" w:hAnsi="Arial" w:cs="David"/>
          <w:sz w:val="28"/>
          <w:szCs w:val="28"/>
          <w:rtl/>
        </w:rPr>
        <w:t xml:space="preserve"> - ביום 17.12.2019, היום השני לעבודתה בתקופת עבודתה השנייה, נעתרה פלונית לבקשת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וניגשה עימו לעשן סיגריה בחדר ההלבשה של העובדות. במועד זה נגע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באיבר מסוים בגופה, נגיעה שלפי קביעת בית הדין האזורי </w:t>
      </w:r>
      <w:r>
        <w:rPr>
          <w:rFonts w:ascii="Arial" w:eastAsia="Times New Roman" w:hAnsi="Arial" w:cs="David"/>
          <w:b/>
          <w:bCs/>
          <w:sz w:val="28"/>
          <w:szCs w:val="28"/>
          <w:rtl/>
        </w:rPr>
        <w:t>"נעשתה או התרחשה בהיבט מיני"</w:t>
      </w:r>
      <w:r>
        <w:rPr>
          <w:rFonts w:ascii="Arial" w:eastAsia="Times New Roman" w:hAnsi="Arial" w:cs="David"/>
          <w:sz w:val="28"/>
          <w:szCs w:val="28"/>
          <w:rtl/>
        </w:rPr>
        <w:t xml:space="preserve">, אך מיקומו המדויק לא ברור, ומכל מקום אין מדובר בנשיקה ובחיבוק. נקבע כי ככל הנראה עמאר נהדף על ידה. </w:t>
      </w:r>
    </w:p>
    <w:p w14:paraId="4ABEBBE9" w14:textId="77777777" w:rsidR="00BE284B" w:rsidRDefault="00BE284B" w:rsidP="00BE284B">
      <w:pPr>
        <w:pStyle w:val="ad"/>
        <w:spacing w:before="120" w:after="120" w:line="360" w:lineRule="auto"/>
        <w:ind w:left="425"/>
        <w:jc w:val="both"/>
        <w:rPr>
          <w:rFonts w:ascii="Arial" w:eastAsia="Times New Roman" w:hAnsi="Arial" w:cs="David"/>
          <w:sz w:val="28"/>
          <w:szCs w:val="28"/>
        </w:rPr>
      </w:pPr>
      <w:r>
        <w:rPr>
          <w:rFonts w:ascii="Arial" w:eastAsia="Times New Roman" w:hAnsi="Arial" w:cs="David"/>
          <w:sz w:val="28"/>
          <w:szCs w:val="28"/>
          <w:rtl/>
        </w:rPr>
        <w:t xml:space="preserve">השני, </w:t>
      </w:r>
      <w:r>
        <w:rPr>
          <w:rFonts w:ascii="Arial" w:eastAsia="Times New Roman" w:hAnsi="Arial" w:cs="David"/>
          <w:sz w:val="28"/>
          <w:szCs w:val="28"/>
          <w:u w:val="single"/>
          <w:rtl/>
        </w:rPr>
        <w:t>אירוע חדר המדבקות</w:t>
      </w:r>
      <w:r>
        <w:rPr>
          <w:rFonts w:ascii="Arial" w:eastAsia="Times New Roman" w:hAnsi="Arial" w:cs="David"/>
          <w:sz w:val="28"/>
          <w:szCs w:val="28"/>
          <w:rtl/>
        </w:rPr>
        <w:t xml:space="preserve"> - ביום 18.12.2019, היום השלישי בתקופת עבודתה השנייה, שלח אותה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לעבוד ב"חדר המדבקות", בו עבדו רק גברים.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ליווה אותה לשם וכאשר נכנסו לחדר אמר לנוכחים "שהביא אותה לשם כדי שיחגגו עליה ויהיו מבסוטים". </w:t>
      </w:r>
    </w:p>
    <w:p w14:paraId="123BC2C6"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tl/>
        </w:rPr>
      </w:pPr>
      <w:r>
        <w:rPr>
          <w:rFonts w:ascii="Arial" w:eastAsia="Times New Roman" w:hAnsi="Arial" w:cs="David"/>
          <w:sz w:val="28"/>
          <w:szCs w:val="28"/>
          <w:rtl/>
        </w:rPr>
        <w:t xml:space="preserve">עבודתה של פלונית בחברה הסתיימה ביום 19.12.2019, כאשר פוטרה, על ידי מנהל רצפת הייצור בתקופת העבודה השנייה (להלן – </w:t>
      </w:r>
      <w:r>
        <w:rPr>
          <w:rFonts w:ascii="Arial" w:eastAsia="Times New Roman" w:hAnsi="Arial" w:cs="David"/>
          <w:b/>
          <w:bCs/>
          <w:sz w:val="28"/>
          <w:szCs w:val="28"/>
          <w:rtl/>
        </w:rPr>
        <w:t>מנהל הייצור</w:t>
      </w:r>
      <w:r>
        <w:rPr>
          <w:rFonts w:ascii="Arial" w:eastAsia="Times New Roman" w:hAnsi="Arial" w:cs="David"/>
          <w:sz w:val="28"/>
          <w:szCs w:val="28"/>
          <w:rtl/>
        </w:rPr>
        <w:t xml:space="preserve">), בעת הגעתה למפעל. לאירוע זה לא קדם שימוע. </w:t>
      </w:r>
    </w:p>
    <w:p w14:paraId="19ABD357"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rtl/>
        </w:rPr>
        <w:t xml:space="preserve">עוד באותו היום פנתה פלונית לעו"ד אסף אדיב, מנכ"ל מען (להלן – </w:t>
      </w:r>
      <w:r>
        <w:rPr>
          <w:rFonts w:ascii="Arial" w:eastAsia="Times New Roman" w:hAnsi="Arial" w:cs="David"/>
          <w:b/>
          <w:bCs/>
          <w:sz w:val="28"/>
          <w:szCs w:val="28"/>
          <w:rtl/>
        </w:rPr>
        <w:t>עו"ד אדיב</w:t>
      </w:r>
      <w:r>
        <w:rPr>
          <w:rFonts w:ascii="Arial" w:eastAsia="Times New Roman" w:hAnsi="Arial" w:cs="David"/>
          <w:sz w:val="28"/>
          <w:szCs w:val="28"/>
          <w:rtl/>
        </w:rPr>
        <w:t xml:space="preserve">), ומי שליווה את התארגנות העובדים בחברה. עו"ד אדיב דובר הערבית, שוחח עם פלונית ופנה לעו"ד </w:t>
      </w:r>
      <w:proofErr w:type="spellStart"/>
      <w:r>
        <w:rPr>
          <w:rFonts w:ascii="Arial" w:eastAsia="Times New Roman" w:hAnsi="Arial" w:cs="David"/>
          <w:sz w:val="28"/>
          <w:szCs w:val="28"/>
          <w:rtl/>
        </w:rPr>
        <w:t>ברטנשטין</w:t>
      </w:r>
      <w:proofErr w:type="spellEnd"/>
      <w:r>
        <w:rPr>
          <w:rFonts w:ascii="Arial" w:eastAsia="Times New Roman" w:hAnsi="Arial" w:cs="David"/>
          <w:sz w:val="28"/>
          <w:szCs w:val="28"/>
          <w:rtl/>
        </w:rPr>
        <w:t xml:space="preserve"> היועצת המשפטית של מען (להלן – </w:t>
      </w:r>
      <w:r>
        <w:rPr>
          <w:rFonts w:ascii="Arial" w:eastAsia="Times New Roman" w:hAnsi="Arial" w:cs="David"/>
          <w:b/>
          <w:bCs/>
          <w:sz w:val="28"/>
          <w:szCs w:val="28"/>
          <w:rtl/>
        </w:rPr>
        <w:t xml:space="preserve">עו"ד </w:t>
      </w:r>
      <w:proofErr w:type="spellStart"/>
      <w:r>
        <w:rPr>
          <w:rFonts w:ascii="Arial" w:eastAsia="Times New Roman" w:hAnsi="Arial" w:cs="David"/>
          <w:b/>
          <w:bCs/>
          <w:sz w:val="28"/>
          <w:szCs w:val="28"/>
          <w:rtl/>
        </w:rPr>
        <w:t>ברטנשטין</w:t>
      </w:r>
      <w:proofErr w:type="spellEnd"/>
      <w:r>
        <w:rPr>
          <w:rFonts w:ascii="Arial" w:eastAsia="Times New Roman" w:hAnsi="Arial" w:cs="David"/>
          <w:sz w:val="28"/>
          <w:szCs w:val="28"/>
          <w:rtl/>
        </w:rPr>
        <w:t xml:space="preserve">), אשר היא מצידה פנתה עוד באותו היום לעו"ד אסף קדוש, בא כוח החברה (להלן – </w:t>
      </w:r>
      <w:r>
        <w:rPr>
          <w:rFonts w:ascii="Arial" w:eastAsia="Times New Roman" w:hAnsi="Arial" w:cs="David"/>
          <w:b/>
          <w:bCs/>
          <w:sz w:val="28"/>
          <w:szCs w:val="28"/>
          <w:rtl/>
        </w:rPr>
        <w:t>עו"ד קדוש</w:t>
      </w:r>
      <w:r>
        <w:rPr>
          <w:rFonts w:ascii="Arial" w:eastAsia="Times New Roman" w:hAnsi="Arial" w:cs="David"/>
          <w:sz w:val="28"/>
          <w:szCs w:val="28"/>
          <w:rtl/>
        </w:rPr>
        <w:t xml:space="preserve">), בהודעת </w:t>
      </w:r>
      <w:proofErr w:type="spellStart"/>
      <w:r>
        <w:rPr>
          <w:rFonts w:ascii="Arial" w:eastAsia="Times New Roman" w:hAnsi="Arial" w:cs="David"/>
          <w:sz w:val="28"/>
          <w:szCs w:val="28"/>
          <w:rtl/>
        </w:rPr>
        <w:t>ווטסאפ</w:t>
      </w:r>
      <w:proofErr w:type="spellEnd"/>
      <w:r>
        <w:rPr>
          <w:rFonts w:ascii="Arial" w:eastAsia="Times New Roman" w:hAnsi="Arial" w:cs="David"/>
          <w:sz w:val="28"/>
          <w:szCs w:val="28"/>
          <w:rtl/>
        </w:rPr>
        <w:t>, שזו לשונה:</w:t>
      </w:r>
    </w:p>
    <w:p w14:paraId="6FD766ED" w14:textId="77777777" w:rsidR="00BE284B" w:rsidRDefault="00BE284B" w:rsidP="00BE284B">
      <w:pPr>
        <w:pStyle w:val="ad"/>
        <w:spacing w:after="0" w:line="240" w:lineRule="auto"/>
        <w:ind w:left="992" w:right="567"/>
        <w:jc w:val="both"/>
        <w:rPr>
          <w:rFonts w:ascii="Arial" w:eastAsia="Times New Roman" w:hAnsi="Arial" w:cs="David"/>
          <w:b/>
          <w:bCs/>
          <w:sz w:val="28"/>
          <w:szCs w:val="28"/>
        </w:rPr>
      </w:pPr>
      <w:r>
        <w:rPr>
          <w:rFonts w:ascii="Arial" w:eastAsia="Times New Roman" w:hAnsi="Arial" w:cs="David"/>
          <w:b/>
          <w:bCs/>
          <w:sz w:val="28"/>
          <w:szCs w:val="28"/>
          <w:rtl/>
        </w:rPr>
        <w:t xml:space="preserve">"תחזור אליי בבקשה. אני רוצה להעלות אתך עניין רגיש שהגיע אלי. שם העובדת הוא </w:t>
      </w:r>
      <w:r>
        <w:rPr>
          <w:rFonts w:asciiTheme="majorBidi" w:eastAsia="Times New Roman" w:hAnsiTheme="majorBidi" w:cstheme="majorBidi"/>
          <w:b/>
          <w:bCs/>
          <w:sz w:val="24"/>
          <w:szCs w:val="24"/>
        </w:rPr>
        <w:t xml:space="preserve">XXX </w:t>
      </w:r>
      <w:r>
        <w:rPr>
          <w:rFonts w:asciiTheme="majorBidi" w:eastAsia="Times New Roman" w:hAnsiTheme="majorBidi" w:cstheme="majorBidi"/>
          <w:b/>
          <w:bCs/>
          <w:sz w:val="24"/>
          <w:szCs w:val="24"/>
          <w:rtl/>
        </w:rPr>
        <w:t xml:space="preserve"> </w:t>
      </w:r>
      <w:r>
        <w:rPr>
          <w:rFonts w:ascii="Arial" w:eastAsia="Times New Roman" w:hAnsi="Arial" w:cs="David"/>
          <w:b/>
          <w:bCs/>
          <w:sz w:val="28"/>
          <w:szCs w:val="28"/>
          <w:rtl/>
        </w:rPr>
        <w:t xml:space="preserve">ת.ז </w:t>
      </w:r>
      <w:r>
        <w:rPr>
          <w:rFonts w:asciiTheme="majorBidi" w:eastAsia="Times New Roman" w:hAnsiTheme="majorBidi" w:cstheme="majorBidi"/>
          <w:b/>
          <w:bCs/>
          <w:sz w:val="24"/>
          <w:szCs w:val="24"/>
        </w:rPr>
        <w:t xml:space="preserve">XXX </w:t>
      </w:r>
      <w:r>
        <w:rPr>
          <w:rFonts w:asciiTheme="majorBidi" w:eastAsia="Times New Roman" w:hAnsiTheme="majorBidi" w:cstheme="majorBidi"/>
          <w:b/>
          <w:bCs/>
          <w:sz w:val="24"/>
          <w:szCs w:val="24"/>
          <w:rtl/>
        </w:rPr>
        <w:t xml:space="preserve">. </w:t>
      </w:r>
      <w:r>
        <w:rPr>
          <w:rFonts w:ascii="David" w:eastAsia="Times New Roman" w:hAnsi="David" w:cs="David"/>
          <w:b/>
          <w:bCs/>
          <w:sz w:val="28"/>
          <w:szCs w:val="28"/>
          <w:rtl/>
        </w:rPr>
        <w:t xml:space="preserve">ביום ראשון אעביר לך מכתב בעניין. חשוב לי לדייק בפרטים. בשיחות היום עם העובדת ועם עובדות נוספות, עולה טענה שמדובר בהתנהגות סדרתית מצד </w:t>
      </w:r>
      <w:proofErr w:type="spellStart"/>
      <w:r>
        <w:rPr>
          <w:rFonts w:ascii="David" w:eastAsia="Times New Roman" w:hAnsi="David" w:cs="David"/>
          <w:b/>
          <w:bCs/>
          <w:sz w:val="28"/>
          <w:szCs w:val="28"/>
          <w:rtl/>
        </w:rPr>
        <w:t>עאמר</w:t>
      </w:r>
      <w:proofErr w:type="spellEnd"/>
      <w:r>
        <w:rPr>
          <w:rFonts w:ascii="David" w:eastAsia="Times New Roman" w:hAnsi="David" w:cs="David"/>
          <w:b/>
          <w:bCs/>
          <w:sz w:val="28"/>
          <w:szCs w:val="28"/>
          <w:rtl/>
        </w:rPr>
        <w:t xml:space="preserve"> עודה, ואני רוצה לפרט ולדייק ככל האפשר." </w:t>
      </w:r>
    </w:p>
    <w:p w14:paraId="35948663"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rtl/>
        </w:rPr>
        <w:t xml:space="preserve">ביום 22.12.2019 פנתה עו"ד </w:t>
      </w:r>
      <w:proofErr w:type="spellStart"/>
      <w:r>
        <w:rPr>
          <w:rFonts w:ascii="Arial" w:eastAsia="Times New Roman" w:hAnsi="Arial" w:cs="David"/>
          <w:sz w:val="28"/>
          <w:szCs w:val="28"/>
          <w:rtl/>
        </w:rPr>
        <w:t>ברטנשטין</w:t>
      </w:r>
      <w:proofErr w:type="spellEnd"/>
      <w:r>
        <w:rPr>
          <w:rFonts w:ascii="Arial" w:eastAsia="Times New Roman" w:hAnsi="Arial" w:cs="David"/>
          <w:sz w:val="28"/>
          <w:szCs w:val="28"/>
          <w:rtl/>
        </w:rPr>
        <w:t xml:space="preserve"> לעו"ד קדוש, במכתב שעניינו </w:t>
      </w:r>
      <w:r>
        <w:rPr>
          <w:rFonts w:ascii="Arial" w:eastAsia="Times New Roman" w:hAnsi="Arial" w:cs="David"/>
          <w:b/>
          <w:bCs/>
          <w:sz w:val="28"/>
          <w:szCs w:val="28"/>
          <w:rtl/>
        </w:rPr>
        <w:t xml:space="preserve">"תלונה על הטרדה מינית ותקיפה מינית בעבודה ודרישה להשיב לעבודה את העובדת </w:t>
      </w:r>
      <w:r>
        <w:rPr>
          <w:rFonts w:asciiTheme="majorBidi" w:eastAsia="Times New Roman" w:hAnsiTheme="majorBidi" w:cstheme="majorBidi"/>
          <w:b/>
          <w:bCs/>
          <w:sz w:val="24"/>
          <w:szCs w:val="24"/>
        </w:rPr>
        <w:t>XXX</w:t>
      </w:r>
      <w:r>
        <w:rPr>
          <w:rFonts w:ascii="Arial" w:eastAsia="Times New Roman" w:hAnsi="Arial" w:cs="David"/>
          <w:b/>
          <w:bCs/>
          <w:sz w:val="28"/>
          <w:szCs w:val="28"/>
          <w:rtl/>
        </w:rPr>
        <w:t>"</w:t>
      </w:r>
      <w:r>
        <w:rPr>
          <w:rFonts w:ascii="Arial" w:eastAsia="Times New Roman" w:hAnsi="Arial" w:cs="David"/>
          <w:sz w:val="28"/>
          <w:szCs w:val="28"/>
          <w:rtl/>
        </w:rPr>
        <w:t xml:space="preserve"> (להלן – </w:t>
      </w:r>
      <w:r>
        <w:rPr>
          <w:rFonts w:ascii="Arial" w:eastAsia="Times New Roman" w:hAnsi="Arial" w:cs="David"/>
          <w:b/>
          <w:bCs/>
          <w:sz w:val="28"/>
          <w:szCs w:val="28"/>
          <w:rtl/>
        </w:rPr>
        <w:t>מכתב התלונה</w:t>
      </w:r>
      <w:r>
        <w:rPr>
          <w:rFonts w:ascii="Arial" w:eastAsia="Times New Roman" w:hAnsi="Arial" w:cs="David"/>
          <w:sz w:val="28"/>
          <w:szCs w:val="28"/>
          <w:rtl/>
        </w:rPr>
        <w:t xml:space="preserve">). במכתב התלונה צוינו אירועים מספר ובכללם האירועים אשר תוארו בסעיף 6 לעיל והחברה התבקשה לערוך בירור מעמיק של תלונת פלונית, להשיבה לעבודה ולמנוע פגיעה בה עד תום הברור.    </w:t>
      </w:r>
    </w:p>
    <w:p w14:paraId="1DF45A36"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b/>
          <w:bCs/>
          <w:sz w:val="28"/>
          <w:szCs w:val="28"/>
          <w:rtl/>
        </w:rPr>
      </w:pPr>
      <w:r>
        <w:rPr>
          <w:rFonts w:ascii="Arial" w:eastAsia="Times New Roman" w:hAnsi="Arial" w:cs="David"/>
          <w:sz w:val="28"/>
          <w:szCs w:val="28"/>
          <w:rtl/>
        </w:rPr>
        <w:t xml:space="preserve">ביום 24.12.2019 התקיימה פגישת משא ומתן בין נציגי מען לנציגי החברה אגב ההתארגנות במפעל. במהלך הפגישה העלה עו"ד אדיב את "הבעיה של הטרדות מיניות בחברה". בתגובה נציגי החברה גיחכו, עו"ד קדוש הסביר שאין בכוונת החברה להשיב את פלונית לעבודה. מר </w:t>
      </w:r>
      <w:proofErr w:type="spellStart"/>
      <w:r>
        <w:rPr>
          <w:rFonts w:ascii="Arial" w:eastAsia="Times New Roman" w:hAnsi="Arial" w:cs="David"/>
          <w:sz w:val="28"/>
          <w:szCs w:val="28"/>
          <w:rtl/>
        </w:rPr>
        <w:t>ורטהיימר</w:t>
      </w:r>
      <w:proofErr w:type="spellEnd"/>
      <w:r>
        <w:rPr>
          <w:rFonts w:ascii="Arial" w:eastAsia="Times New Roman" w:hAnsi="Arial" w:cs="David"/>
          <w:sz w:val="28"/>
          <w:szCs w:val="28"/>
          <w:rtl/>
        </w:rPr>
        <w:t xml:space="preserve">, אחד מבעלי החברה (להלן – מר </w:t>
      </w:r>
      <w:proofErr w:type="spellStart"/>
      <w:r>
        <w:rPr>
          <w:rFonts w:ascii="Arial" w:eastAsia="Times New Roman" w:hAnsi="Arial" w:cs="David"/>
          <w:b/>
          <w:bCs/>
          <w:sz w:val="28"/>
          <w:szCs w:val="28"/>
          <w:rtl/>
        </w:rPr>
        <w:t>ורטהיימר</w:t>
      </w:r>
      <w:proofErr w:type="spellEnd"/>
      <w:r>
        <w:rPr>
          <w:rFonts w:ascii="Arial" w:eastAsia="Times New Roman" w:hAnsi="Arial" w:cs="David"/>
          <w:sz w:val="28"/>
          <w:szCs w:val="28"/>
          <w:rtl/>
        </w:rPr>
        <w:t xml:space="preserve">), אמר מצידו </w:t>
      </w:r>
      <w:r>
        <w:rPr>
          <w:rFonts w:ascii="Arial" w:eastAsia="Times New Roman" w:hAnsi="Arial" w:cs="David"/>
          <w:b/>
          <w:bCs/>
          <w:sz w:val="28"/>
          <w:szCs w:val="28"/>
          <w:rtl/>
        </w:rPr>
        <w:t xml:space="preserve"> "יש לי מילה אחת להגיד עליה  - שרמוטה"</w:t>
      </w:r>
      <w:r>
        <w:rPr>
          <w:rFonts w:ascii="Arial" w:eastAsia="Times New Roman" w:hAnsi="Arial" w:cs="David"/>
          <w:sz w:val="28"/>
          <w:szCs w:val="28"/>
          <w:rtl/>
        </w:rPr>
        <w:t xml:space="preserve">.  </w:t>
      </w:r>
    </w:p>
    <w:p w14:paraId="42357FB7"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rtl/>
        </w:rPr>
        <w:t xml:space="preserve">ביום 13.1.2020 השיבה החברה באמצעות עו"ד קדוש למכתב התלונה. בתשובה נטען כי מדובר בניסיונות </w:t>
      </w:r>
      <w:r>
        <w:rPr>
          <w:rFonts w:ascii="Arial" w:eastAsia="Times New Roman" w:hAnsi="Arial" w:cs="David"/>
          <w:b/>
          <w:bCs/>
          <w:sz w:val="28"/>
          <w:szCs w:val="28"/>
          <w:rtl/>
        </w:rPr>
        <w:t>"להכפישה ולהעסיקה בעשרות פניות מיותרות ו/או כוזבות ומופרכות..."</w:t>
      </w:r>
      <w:r>
        <w:rPr>
          <w:rFonts w:ascii="Arial" w:eastAsia="Times New Roman" w:hAnsi="Arial" w:cs="David"/>
          <w:sz w:val="28"/>
          <w:szCs w:val="28"/>
          <w:rtl/>
        </w:rPr>
        <w:t xml:space="preserve"> אשר נעשו </w:t>
      </w:r>
      <w:r>
        <w:rPr>
          <w:rFonts w:ascii="Arial" w:eastAsia="Times New Roman" w:hAnsi="Arial" w:cs="David"/>
          <w:b/>
          <w:bCs/>
          <w:sz w:val="28"/>
          <w:szCs w:val="28"/>
          <w:rtl/>
        </w:rPr>
        <w:t>"כחלק מניסיון להכשיל את המו"מ"</w:t>
      </w:r>
      <w:r>
        <w:rPr>
          <w:rFonts w:ascii="Arial" w:eastAsia="Times New Roman" w:hAnsi="Arial" w:cs="David"/>
          <w:sz w:val="28"/>
          <w:szCs w:val="28"/>
          <w:rtl/>
        </w:rPr>
        <w:t xml:space="preserve">. עוד הוסף במכתב כי </w:t>
      </w:r>
      <w:r>
        <w:rPr>
          <w:rFonts w:ascii="Arial" w:eastAsia="Times New Roman" w:hAnsi="Arial" w:cs="David"/>
          <w:b/>
          <w:bCs/>
          <w:sz w:val="28"/>
          <w:szCs w:val="28"/>
          <w:rtl/>
        </w:rPr>
        <w:t>"ככל שארגון מען עומד מאחורי הטענות אשר הועלו במכתב הנ"ל, אזי יתכבד הוא ויפנה ישירות אל בית הדין לעבודה ויפסיק לבזבז את זמנה ומשאביה היקרים"</w:t>
      </w:r>
      <w:r>
        <w:rPr>
          <w:rFonts w:ascii="Arial" w:eastAsia="Times New Roman" w:hAnsi="Arial" w:cs="David"/>
          <w:sz w:val="28"/>
          <w:szCs w:val="28"/>
          <w:rtl/>
        </w:rPr>
        <w:t xml:space="preserve"> של החברה. </w:t>
      </w:r>
    </w:p>
    <w:p w14:paraId="19716EDE"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rtl/>
        </w:rPr>
        <w:t xml:space="preserve">לפי הנטען על ידי החברה, בימים 15.1.2020, 16.1.2020 ו- 19.1.2020 קיימה הממונה על מניעת הטרדה מינית במפעל (להלן – </w:t>
      </w:r>
      <w:r>
        <w:rPr>
          <w:rFonts w:ascii="Arial" w:eastAsia="Times New Roman" w:hAnsi="Arial" w:cs="David"/>
          <w:b/>
          <w:bCs/>
          <w:sz w:val="28"/>
          <w:szCs w:val="28"/>
          <w:rtl/>
        </w:rPr>
        <w:t>הממונה</w:t>
      </w:r>
      <w:r>
        <w:rPr>
          <w:rFonts w:ascii="Arial" w:eastAsia="Times New Roman" w:hAnsi="Arial" w:cs="David"/>
          <w:sz w:val="28"/>
          <w:szCs w:val="28"/>
          <w:rtl/>
        </w:rPr>
        <w:t xml:space="preserve">), בירור של התלונה, באמצעות שיחות שקיימה במשרדה עם מנהל המפעל, מנהל הייצור </w:t>
      </w:r>
      <w:proofErr w:type="spellStart"/>
      <w:r>
        <w:rPr>
          <w:rFonts w:ascii="Arial" w:eastAsia="Times New Roman" w:hAnsi="Arial" w:cs="David"/>
          <w:sz w:val="28"/>
          <w:szCs w:val="28"/>
          <w:rtl/>
        </w:rPr>
        <w:t>ועאמר</w:t>
      </w:r>
      <w:proofErr w:type="spellEnd"/>
      <w:r>
        <w:rPr>
          <w:rFonts w:ascii="Arial" w:eastAsia="Times New Roman" w:hAnsi="Arial" w:cs="David"/>
          <w:sz w:val="28"/>
          <w:szCs w:val="28"/>
          <w:rtl/>
        </w:rPr>
        <w:t xml:space="preserve">. מסקנותיה בתום הליך הבירור היו שלא בוצעה הטרדה מינית. </w:t>
      </w:r>
    </w:p>
    <w:p w14:paraId="2FB6F6E4"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rtl/>
        </w:rPr>
        <w:t xml:space="preserve">ביום 19.7.2020 הגישו פלונית ומען תביעה לבית הדין האזורי. בתביעה טענה פלונית בעיקרו של דבר כי עמאר הטריד אותה מינית, פיסית ומילולית, באופן חוזר, וכי החברה לא נקטה בצעדים בהם היא מחויבת על פי דין למניעת ההטרדות המיניות האמורות.   </w:t>
      </w:r>
    </w:p>
    <w:p w14:paraId="192A642B"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rtl/>
        </w:rPr>
        <w:t xml:space="preserve">מען הצטרפה כתובעת בהליך האזורי (ובהתאמה כמערערת בהליך זה). לפי העולה מתצהיר עו"ד </w:t>
      </w:r>
      <w:proofErr w:type="spellStart"/>
      <w:r>
        <w:rPr>
          <w:rFonts w:ascii="Arial" w:eastAsia="Times New Roman" w:hAnsi="Arial" w:cs="David"/>
          <w:sz w:val="28"/>
          <w:szCs w:val="28"/>
          <w:rtl/>
        </w:rPr>
        <w:t>ברטנשטין</w:t>
      </w:r>
      <w:proofErr w:type="spellEnd"/>
      <w:r>
        <w:rPr>
          <w:rFonts w:ascii="Arial" w:eastAsia="Times New Roman" w:hAnsi="Arial" w:cs="David"/>
          <w:sz w:val="28"/>
          <w:szCs w:val="28"/>
          <w:rtl/>
        </w:rPr>
        <w:t>, במקרה זה, בשונה ממקרים אחרים בהם עובדים הגישו תביעות פרט ומען ליוותה את העובדים אך לא ייצגה אותם ולא הייתה צד להליך, בעניינה של פלונית מען הצטרפה כתובעת בהליך (וכמערערת בהתאמה). זאת, כך לפי הנטען, כיוון שמדובר בעניין "מהותי וחשוב, נפרד מנושא ההתארגנות"</w:t>
      </w:r>
      <w:r>
        <w:rPr>
          <w:rStyle w:val="af0"/>
          <w:rFonts w:ascii="Arial" w:eastAsia="Times New Roman" w:hAnsi="Arial" w:cs="David"/>
          <w:sz w:val="28"/>
          <w:szCs w:val="28"/>
          <w:rtl/>
        </w:rPr>
        <w:footnoteReference w:id="1"/>
      </w:r>
      <w:r>
        <w:rPr>
          <w:rFonts w:ascii="Arial" w:eastAsia="Times New Roman" w:hAnsi="Arial" w:cs="David"/>
          <w:sz w:val="28"/>
          <w:szCs w:val="28"/>
          <w:rtl/>
        </w:rPr>
        <w:t xml:space="preserve">. על מעמדה של מען בהליך בהמשך.  </w:t>
      </w:r>
    </w:p>
    <w:p w14:paraId="0A518936" w14:textId="77777777" w:rsidR="00BE284B" w:rsidRDefault="00BE284B" w:rsidP="00BE284B">
      <w:pPr>
        <w:spacing w:before="120" w:after="120" w:line="360" w:lineRule="auto"/>
        <w:jc w:val="both"/>
        <w:rPr>
          <w:rFonts w:ascii="Arial" w:hAnsi="Arial"/>
          <w:sz w:val="28"/>
          <w:szCs w:val="28"/>
          <w:rtl/>
        </w:rPr>
      </w:pPr>
      <w:r>
        <w:rPr>
          <w:rFonts w:ascii="Arial" w:hAnsi="Arial"/>
          <w:b/>
          <w:bCs/>
          <w:sz w:val="28"/>
          <w:szCs w:val="28"/>
          <w:u w:val="single"/>
          <w:rtl/>
        </w:rPr>
        <w:t>פסק דינו של בית הדין האזורי</w:t>
      </w:r>
    </w:p>
    <w:p w14:paraId="750989F2"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rtl/>
        </w:rPr>
        <w:t xml:space="preserve">בית הדין האזורי קיבל את תביעתה של פלונית בחלקה וקבע בעיקרו של דבר כי פלונית הוטרדה מינית על ידי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בשני אירועים שונים כמפורט בסעיף 6 לעיל, וכי החברה לא נקטה בפעולות בהן היא מחויבת על פין דין.</w:t>
      </w:r>
    </w:p>
    <w:p w14:paraId="09FE0500" w14:textId="77777777" w:rsidR="00BE284B" w:rsidRDefault="00BE284B" w:rsidP="00BE284B">
      <w:pPr>
        <w:pStyle w:val="ad"/>
        <w:spacing w:before="120" w:after="120" w:line="360" w:lineRule="auto"/>
        <w:ind w:left="425"/>
        <w:jc w:val="both"/>
        <w:rPr>
          <w:rFonts w:ascii="Arial" w:eastAsia="Times New Roman" w:hAnsi="Arial" w:cs="David"/>
          <w:sz w:val="28"/>
          <w:szCs w:val="28"/>
        </w:rPr>
      </w:pPr>
      <w:r>
        <w:rPr>
          <w:rFonts w:ascii="Arial" w:eastAsia="Times New Roman" w:hAnsi="Arial" w:cs="David"/>
          <w:sz w:val="28"/>
          <w:szCs w:val="28"/>
          <w:rtl/>
        </w:rPr>
        <w:t xml:space="preserve">על אף שהערעור סב על האירועים בתקופת העבודה השנייה, ולמען שלמות התמונה, יפורטו עיקרי פסקי הדין האזורי ביחס לשתי תקופות העבודה. </w:t>
      </w:r>
    </w:p>
    <w:p w14:paraId="71127CAE"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u w:val="single"/>
          <w:rtl/>
        </w:rPr>
        <w:t>ביחס לתקופת העבודה הראשונה נקבע כך</w:t>
      </w:r>
      <w:r>
        <w:rPr>
          <w:rFonts w:ascii="Arial" w:eastAsia="Times New Roman" w:hAnsi="Arial" w:cs="David"/>
          <w:sz w:val="28"/>
          <w:szCs w:val="28"/>
          <w:rtl/>
        </w:rPr>
        <w:t xml:space="preserve">: </w:t>
      </w:r>
    </w:p>
    <w:p w14:paraId="6D461B71" w14:textId="77777777" w:rsidR="00BE284B" w:rsidRDefault="00BE284B" w:rsidP="00BE284B">
      <w:pPr>
        <w:pStyle w:val="ad"/>
        <w:numPr>
          <w:ilvl w:val="0"/>
          <w:numId w:val="4"/>
        </w:numPr>
        <w:spacing w:before="120" w:after="120" w:line="360" w:lineRule="auto"/>
        <w:jc w:val="both"/>
        <w:rPr>
          <w:rFonts w:ascii="Arial" w:eastAsia="Times New Roman" w:hAnsi="Arial" w:cs="David"/>
          <w:sz w:val="28"/>
          <w:szCs w:val="28"/>
        </w:rPr>
      </w:pPr>
      <w:r>
        <w:rPr>
          <w:rFonts w:ascii="Arial" w:eastAsia="Times New Roman" w:hAnsi="Arial" w:cs="David"/>
          <w:sz w:val="28"/>
          <w:szCs w:val="28"/>
          <w:rtl/>
        </w:rPr>
        <w:t xml:space="preserve">בין פלונית לבין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התקיימו "יחסי השפעה" – מעמדו של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כמתורגמן בין עובדי הייצור הפלסטינים לבין מנהלי הייצור דוברי העברית, כמו גם עצם הקרבה למנהלי המפעל, העניקו לו "מעמד מועדף" והשפעה מסוימת על תנאי העבודה בתקופת העבודה הראשונה. </w:t>
      </w:r>
    </w:p>
    <w:p w14:paraId="35979E2F" w14:textId="77777777" w:rsidR="00BE284B" w:rsidRDefault="00BE284B" w:rsidP="00BE284B">
      <w:pPr>
        <w:pStyle w:val="ad"/>
        <w:numPr>
          <w:ilvl w:val="0"/>
          <w:numId w:val="4"/>
        </w:numPr>
        <w:spacing w:before="120" w:after="120" w:line="360" w:lineRule="auto"/>
        <w:jc w:val="both"/>
        <w:rPr>
          <w:rFonts w:ascii="Arial" w:eastAsia="Times New Roman" w:hAnsi="Arial" w:cs="David"/>
          <w:sz w:val="28"/>
          <w:szCs w:val="28"/>
        </w:rPr>
      </w:pPr>
      <w:r>
        <w:rPr>
          <w:rFonts w:ascii="Arial" w:eastAsia="Times New Roman" w:hAnsi="Arial" w:cs="David"/>
          <w:sz w:val="28"/>
          <w:szCs w:val="28"/>
          <w:rtl/>
        </w:rPr>
        <w:t xml:space="preserve">טענות פלונית לפיהן עמאר הטריד אותה מינית בתקופת העבודה הראשונה נדחו, באשר לא עלה בידה להציג </w:t>
      </w:r>
      <w:r>
        <w:rPr>
          <w:rFonts w:ascii="Arial" w:eastAsia="Times New Roman" w:hAnsi="Arial" w:cs="David"/>
          <w:b/>
          <w:bCs/>
          <w:sz w:val="28"/>
          <w:szCs w:val="28"/>
          <w:rtl/>
        </w:rPr>
        <w:t xml:space="preserve">"גרסה מגובשת העומדת בפני עצמה" </w:t>
      </w:r>
      <w:r>
        <w:rPr>
          <w:rFonts w:ascii="Arial" w:eastAsia="Times New Roman" w:hAnsi="Arial" w:cs="David"/>
          <w:sz w:val="28"/>
          <w:szCs w:val="28"/>
          <w:rtl/>
        </w:rPr>
        <w:t xml:space="preserve">או גרסה עקבית. פלונית אף לא הציגה ראיה תומכת "מזמן אמת" לתמיכה בטענותיה.  </w:t>
      </w:r>
    </w:p>
    <w:p w14:paraId="149C4CB7" w14:textId="77777777" w:rsidR="00BE284B" w:rsidRDefault="00BE284B" w:rsidP="00BE284B">
      <w:pPr>
        <w:pStyle w:val="ad"/>
        <w:numPr>
          <w:ilvl w:val="0"/>
          <w:numId w:val="4"/>
        </w:numPr>
        <w:spacing w:before="120" w:after="120" w:line="360" w:lineRule="auto"/>
        <w:jc w:val="both"/>
        <w:rPr>
          <w:rFonts w:ascii="Arial" w:eastAsia="Times New Roman" w:hAnsi="Arial" w:cs="David"/>
          <w:sz w:val="28"/>
          <w:szCs w:val="28"/>
        </w:rPr>
      </w:pPr>
      <w:r>
        <w:rPr>
          <w:rFonts w:ascii="Arial" w:eastAsia="Times New Roman" w:hAnsi="Arial" w:cs="David"/>
          <w:sz w:val="28"/>
          <w:szCs w:val="28"/>
          <w:rtl/>
        </w:rPr>
        <w:t xml:space="preserve">עבודתה של פלונית במפעל בתקופת העבודה הראשונה הגיעה לסיומה לאחר שפוטרה לבקשת עבדאללה (עובד במפעל) ובהסכמת מנהל המפעל, לאחר שיחסי אחותה של פלונית, אשר גם היא הייתה עובדת המפעל בתקופת העבודה הראשונה, עם אותו עבדאללה עלו על שרטון. </w:t>
      </w:r>
    </w:p>
    <w:p w14:paraId="4B37C193" w14:textId="77777777" w:rsidR="00BE284B" w:rsidRDefault="00BE284B" w:rsidP="00BE284B">
      <w:pPr>
        <w:pStyle w:val="ad"/>
        <w:numPr>
          <w:ilvl w:val="0"/>
          <w:numId w:val="4"/>
        </w:numPr>
        <w:spacing w:before="120" w:after="120" w:line="360" w:lineRule="auto"/>
        <w:jc w:val="both"/>
        <w:rPr>
          <w:rFonts w:ascii="Arial" w:eastAsia="Times New Roman" w:hAnsi="Arial" w:cs="David"/>
          <w:sz w:val="28"/>
          <w:szCs w:val="28"/>
        </w:rPr>
      </w:pPr>
      <w:r>
        <w:rPr>
          <w:rFonts w:ascii="Arial" w:eastAsia="Times New Roman" w:hAnsi="Arial" w:cs="David"/>
          <w:sz w:val="28"/>
          <w:szCs w:val="28"/>
          <w:rtl/>
        </w:rPr>
        <w:t xml:space="preserve">פלונית לא פנתה למנהל המפעל במהלך תקופת עבודתה הראשונה בתלונות על התנהלותו של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w:t>
      </w:r>
    </w:p>
    <w:p w14:paraId="350A0DFA" w14:textId="77777777" w:rsidR="00BE284B" w:rsidRDefault="00BE284B" w:rsidP="00BE284B">
      <w:pPr>
        <w:pStyle w:val="ad"/>
        <w:numPr>
          <w:ilvl w:val="0"/>
          <w:numId w:val="4"/>
        </w:numPr>
        <w:spacing w:before="120" w:after="120" w:line="360" w:lineRule="auto"/>
        <w:jc w:val="both"/>
        <w:rPr>
          <w:rFonts w:ascii="Arial" w:eastAsia="Times New Roman" w:hAnsi="Arial" w:cs="David"/>
          <w:sz w:val="28"/>
          <w:szCs w:val="28"/>
        </w:rPr>
      </w:pPr>
      <w:r>
        <w:rPr>
          <w:rFonts w:ascii="Arial" w:eastAsia="Times New Roman" w:hAnsi="Arial" w:cs="David"/>
          <w:sz w:val="28"/>
          <w:szCs w:val="28"/>
          <w:rtl/>
        </w:rPr>
        <w:t>בגין תקופת עבודתה הראשונה זכאית פלונית לפיצוי בגין אי מסירת הודעה לעובד על תנאי העבודה (5,000 ש"ח) ולפדיון חופשה (979 ש"ח). בתוך כך נדחו טענותיה על אי מסירת תלושי שכר, זכאות להפרשי שכר מינימום, גמול בעד עבודה בשעות נוספות, ושכר חודש העבודה האחרון (מרץ 2018).</w:t>
      </w:r>
    </w:p>
    <w:p w14:paraId="5DC70709"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u w:val="single"/>
          <w:rtl/>
        </w:rPr>
        <w:t>ביחס לתקופת העבודה השנייה נקבע כך</w:t>
      </w:r>
      <w:r>
        <w:rPr>
          <w:rFonts w:ascii="Arial" w:eastAsia="Times New Roman" w:hAnsi="Arial" w:cs="David"/>
          <w:sz w:val="28"/>
          <w:szCs w:val="28"/>
          <w:rtl/>
        </w:rPr>
        <w:t>:</w:t>
      </w:r>
    </w:p>
    <w:p w14:paraId="3765CE98" w14:textId="77777777" w:rsidR="00BE284B" w:rsidRDefault="00BE284B" w:rsidP="00BE284B">
      <w:pPr>
        <w:pStyle w:val="ad"/>
        <w:numPr>
          <w:ilvl w:val="0"/>
          <w:numId w:val="5"/>
        </w:numPr>
        <w:spacing w:before="120" w:after="120" w:line="360" w:lineRule="auto"/>
        <w:jc w:val="both"/>
        <w:rPr>
          <w:rFonts w:ascii="Arial" w:eastAsia="Times New Roman" w:hAnsi="Arial" w:cs="David"/>
          <w:sz w:val="28"/>
          <w:szCs w:val="28"/>
        </w:rPr>
      </w:pPr>
      <w:r>
        <w:rPr>
          <w:rFonts w:ascii="Arial" w:eastAsia="Times New Roman" w:hAnsi="Arial" w:cs="David"/>
          <w:sz w:val="28"/>
          <w:szCs w:val="28"/>
          <w:rtl/>
        </w:rPr>
        <w:t xml:space="preserve">ממשקי העבודה ושירותי התרגום של עמאר התרחבו בתקופת העבודה השנייה, כך שיחסי ההשפעה בין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לבין פלונית הוסיפו להתקיים בתקופה זו.</w:t>
      </w:r>
    </w:p>
    <w:p w14:paraId="57B36D64" w14:textId="77777777" w:rsidR="00BE284B" w:rsidRDefault="00BE284B" w:rsidP="00BE284B">
      <w:pPr>
        <w:pStyle w:val="ad"/>
        <w:numPr>
          <w:ilvl w:val="0"/>
          <w:numId w:val="5"/>
        </w:numPr>
        <w:spacing w:before="120" w:after="120" w:line="360" w:lineRule="auto"/>
        <w:jc w:val="both"/>
        <w:rPr>
          <w:rFonts w:ascii="Arial" w:eastAsia="Times New Roman" w:hAnsi="Arial" w:cs="David"/>
          <w:sz w:val="28"/>
          <w:szCs w:val="28"/>
          <w:rtl/>
        </w:rPr>
      </w:pPr>
      <w:r>
        <w:rPr>
          <w:rFonts w:ascii="Arial" w:eastAsia="Times New Roman" w:hAnsi="Arial" w:cs="David"/>
          <w:sz w:val="28"/>
          <w:szCs w:val="28"/>
          <w:rtl/>
        </w:rPr>
        <w:t>עמאר הטריד את פלונית מינית בשני אירועים כמפורט בסעיף 6 לעיל. ביחס לאירועים אלה הוסיף בית הדין האזורי כך:</w:t>
      </w:r>
    </w:p>
    <w:p w14:paraId="19787CCF" w14:textId="77777777" w:rsidR="00BE284B" w:rsidRDefault="00BE284B" w:rsidP="00BE284B">
      <w:pPr>
        <w:pStyle w:val="ad"/>
        <w:spacing w:before="120" w:after="120" w:line="360" w:lineRule="auto"/>
        <w:ind w:left="785"/>
        <w:jc w:val="both"/>
        <w:rPr>
          <w:rFonts w:ascii="Arial" w:eastAsia="Times New Roman" w:hAnsi="Arial" w:cs="David"/>
          <w:sz w:val="28"/>
          <w:szCs w:val="28"/>
          <w:rtl/>
        </w:rPr>
      </w:pPr>
      <w:r>
        <w:rPr>
          <w:rFonts w:ascii="Arial" w:eastAsia="Times New Roman" w:hAnsi="Arial" w:cs="David"/>
          <w:sz w:val="28"/>
          <w:szCs w:val="28"/>
          <w:u w:val="single"/>
          <w:rtl/>
        </w:rPr>
        <w:t>אירוע "הנגיעה"</w:t>
      </w:r>
      <w:r>
        <w:rPr>
          <w:rFonts w:ascii="Arial" w:eastAsia="Times New Roman" w:hAnsi="Arial" w:cs="David"/>
          <w:sz w:val="28"/>
          <w:szCs w:val="28"/>
          <w:rtl/>
        </w:rPr>
        <w:t xml:space="preserve"> – כאמור, בית הדין האזורי לא קיבל את גרסת המערערת לפיה מדובר בחיבוק ובנשיקה וקבע כי מדובר בנגיעה באיבר מסוים בגופה </w:t>
      </w:r>
      <w:r>
        <w:rPr>
          <w:rFonts w:ascii="David" w:eastAsia="Times New Roman" w:hAnsi="David" w:cs="David"/>
          <w:sz w:val="28"/>
          <w:szCs w:val="28"/>
          <w:rtl/>
        </w:rPr>
        <w:t>("במותן, בחזה, בצוואר או בלחי"</w:t>
      </w:r>
      <w:r>
        <w:rPr>
          <w:rFonts w:ascii="Arial" w:eastAsia="Times New Roman" w:hAnsi="Arial" w:cs="David"/>
          <w:sz w:val="28"/>
          <w:szCs w:val="28"/>
          <w:rtl/>
        </w:rPr>
        <w:t xml:space="preserve">). עוד נקבע כי משמדובר בנגיעה ש"נעשתה בהיבט המיני", מיקומה המדויק בגוף מאבד מחשיבותו. </w:t>
      </w:r>
    </w:p>
    <w:p w14:paraId="3E58BEC2" w14:textId="77777777" w:rsidR="00BE284B" w:rsidRDefault="00BE284B" w:rsidP="00BE284B">
      <w:pPr>
        <w:pStyle w:val="ad"/>
        <w:spacing w:before="120" w:after="120" w:line="360" w:lineRule="auto"/>
        <w:ind w:left="785"/>
        <w:jc w:val="both"/>
        <w:rPr>
          <w:rFonts w:ascii="Arial" w:eastAsia="Times New Roman" w:hAnsi="Arial" w:cs="David"/>
          <w:sz w:val="28"/>
          <w:szCs w:val="28"/>
        </w:rPr>
      </w:pPr>
      <w:r>
        <w:rPr>
          <w:rFonts w:ascii="Arial" w:eastAsia="Times New Roman" w:hAnsi="Arial" w:cs="David"/>
          <w:sz w:val="28"/>
          <w:szCs w:val="28"/>
          <w:u w:val="single"/>
          <w:rtl/>
        </w:rPr>
        <w:t>אירוע חדר המדבקות</w:t>
      </w:r>
      <w:r>
        <w:rPr>
          <w:rFonts w:ascii="Arial" w:eastAsia="Times New Roman" w:hAnsi="Arial" w:cs="David"/>
          <w:sz w:val="28"/>
          <w:szCs w:val="28"/>
          <w:rtl/>
        </w:rPr>
        <w:t xml:space="preserve"> - בית הדין האזורי דחה את גרסת פלונית לפיה עמאר הוסיף בעת האירוע את המילה "שרמוטה". אך קבע, מהקלטת השיחה שבין פלונית לבין עמאר ותמלילה כי גם אם המילה "שרמוטה" לא נאמרה במפורש כוונת עמאר בדבריו לנוכחים בחדר המדבקות הייתה שפלונית היא אישה שנותנת שירותי מין לגברים תמורת כסף, וכי הגברים שנוכחים בחדר חופשיים לעשות לה כרצונם או "להנות" מכך. בית הדין האזורי הוסיף וקבע כי </w:t>
      </w:r>
      <w:r>
        <w:rPr>
          <w:rFonts w:ascii="Arial" w:eastAsia="Times New Roman" w:hAnsi="Arial" w:cs="David"/>
          <w:b/>
          <w:bCs/>
          <w:sz w:val="28"/>
          <w:szCs w:val="28"/>
          <w:rtl/>
        </w:rPr>
        <w:t xml:space="preserve">"תמליל השיחה מותיר את הרושם הברור כי ההתפרצות </w:t>
      </w:r>
      <w:proofErr w:type="spellStart"/>
      <w:r>
        <w:rPr>
          <w:rFonts w:ascii="Arial" w:eastAsia="Times New Roman" w:hAnsi="Arial" w:cs="David"/>
          <w:b/>
          <w:bCs/>
          <w:sz w:val="28"/>
          <w:szCs w:val="28"/>
          <w:rtl/>
        </w:rPr>
        <w:t>המידית</w:t>
      </w:r>
      <w:proofErr w:type="spellEnd"/>
      <w:r>
        <w:rPr>
          <w:rFonts w:ascii="Arial" w:eastAsia="Times New Roman" w:hAnsi="Arial" w:cs="David"/>
          <w:b/>
          <w:bCs/>
          <w:sz w:val="28"/>
          <w:szCs w:val="28"/>
          <w:rtl/>
        </w:rPr>
        <w:t xml:space="preserve"> של התובעת, שבה היא שבה ואומרת כי באה לעבוד ואינה "שרמוטה", ושאותה </w:t>
      </w:r>
      <w:proofErr w:type="spellStart"/>
      <w:r>
        <w:rPr>
          <w:rFonts w:ascii="Arial" w:eastAsia="Times New Roman" w:hAnsi="Arial" w:cs="David"/>
          <w:b/>
          <w:bCs/>
          <w:sz w:val="28"/>
          <w:szCs w:val="28"/>
          <w:rtl/>
        </w:rPr>
        <w:t>עאמר</w:t>
      </w:r>
      <w:proofErr w:type="spellEnd"/>
      <w:r>
        <w:rPr>
          <w:rFonts w:ascii="Arial" w:eastAsia="Times New Roman" w:hAnsi="Arial" w:cs="David"/>
          <w:b/>
          <w:bCs/>
          <w:sz w:val="28"/>
          <w:szCs w:val="28"/>
          <w:rtl/>
        </w:rPr>
        <w:t xml:space="preserve"> לא הביא בחשבון כאפשרות תגובה מצד התובעת, גרמה לו לאי נוחות רבה. </w:t>
      </w:r>
      <w:proofErr w:type="spellStart"/>
      <w:r>
        <w:rPr>
          <w:rFonts w:ascii="Arial" w:eastAsia="Times New Roman" w:hAnsi="Arial" w:cs="David"/>
          <w:b/>
          <w:bCs/>
          <w:sz w:val="28"/>
          <w:szCs w:val="28"/>
          <w:rtl/>
        </w:rPr>
        <w:t>עאמר</w:t>
      </w:r>
      <w:proofErr w:type="spellEnd"/>
      <w:r>
        <w:rPr>
          <w:rFonts w:ascii="Arial" w:eastAsia="Times New Roman" w:hAnsi="Arial" w:cs="David"/>
          <w:b/>
          <w:bCs/>
          <w:sz w:val="28"/>
          <w:szCs w:val="28"/>
          <w:rtl/>
        </w:rPr>
        <w:t xml:space="preserve"> מורה לתובעת להנמיך את קולה ומנסה להסביר לה ששוחח עם אחר וכי יגן על שמה הטוב. אלא שבצדק היא לא השתכנעה"</w:t>
      </w:r>
      <w:r>
        <w:rPr>
          <w:rFonts w:ascii="Arial" w:eastAsia="Times New Roman" w:hAnsi="Arial" w:cs="David"/>
          <w:sz w:val="28"/>
          <w:szCs w:val="28"/>
          <w:rtl/>
        </w:rPr>
        <w:t>.</w:t>
      </w:r>
    </w:p>
    <w:p w14:paraId="6D9ADCBC" w14:textId="77777777" w:rsidR="00BE284B" w:rsidRDefault="00BE284B" w:rsidP="00BE284B">
      <w:pPr>
        <w:pStyle w:val="ad"/>
        <w:numPr>
          <w:ilvl w:val="0"/>
          <w:numId w:val="5"/>
        </w:numPr>
        <w:spacing w:before="120" w:after="120" w:line="360" w:lineRule="auto"/>
        <w:jc w:val="both"/>
        <w:rPr>
          <w:rFonts w:ascii="Arial" w:eastAsia="Times New Roman" w:hAnsi="Arial" w:cs="David"/>
          <w:sz w:val="28"/>
          <w:szCs w:val="28"/>
          <w:rtl/>
        </w:rPr>
      </w:pPr>
      <w:r>
        <w:rPr>
          <w:rFonts w:ascii="Arial" w:eastAsia="Times New Roman" w:hAnsi="Arial" w:cs="David"/>
          <w:sz w:val="28"/>
          <w:szCs w:val="28"/>
          <w:rtl/>
        </w:rPr>
        <w:t xml:space="preserve">ההתנהגות באירועים הנ"ל מהווה </w:t>
      </w:r>
      <w:r>
        <w:rPr>
          <w:rFonts w:ascii="Arial" w:eastAsia="Times New Roman" w:hAnsi="Arial" w:cs="David"/>
          <w:b/>
          <w:bCs/>
          <w:sz w:val="28"/>
          <w:szCs w:val="28"/>
          <w:rtl/>
        </w:rPr>
        <w:t>"התייחסות מבזה או משפילה המופנית לאדם ביחס למינו או למיניותו"</w:t>
      </w:r>
      <w:r>
        <w:rPr>
          <w:rFonts w:ascii="Arial" w:eastAsia="Times New Roman" w:hAnsi="Arial" w:cs="David"/>
          <w:sz w:val="28"/>
          <w:szCs w:val="28"/>
          <w:rtl/>
        </w:rPr>
        <w:t xml:space="preserve"> כאמור בסעיף 3(4) לחוק.</w:t>
      </w:r>
    </w:p>
    <w:p w14:paraId="69130457" w14:textId="77777777" w:rsidR="00BE284B" w:rsidRDefault="00BE284B" w:rsidP="00BE284B">
      <w:pPr>
        <w:pStyle w:val="ad"/>
        <w:numPr>
          <w:ilvl w:val="0"/>
          <w:numId w:val="5"/>
        </w:numPr>
        <w:spacing w:before="120" w:after="120" w:line="360" w:lineRule="auto"/>
        <w:jc w:val="both"/>
        <w:rPr>
          <w:rFonts w:ascii="Arial" w:eastAsia="Times New Roman" w:hAnsi="Arial" w:cs="David"/>
          <w:sz w:val="28"/>
          <w:szCs w:val="28"/>
          <w:rtl/>
        </w:rPr>
      </w:pPr>
      <w:r>
        <w:rPr>
          <w:rFonts w:ascii="Arial" w:eastAsia="Times New Roman" w:hAnsi="Arial" w:cs="David"/>
          <w:sz w:val="28"/>
          <w:szCs w:val="28"/>
          <w:rtl/>
        </w:rPr>
        <w:t xml:space="preserve">בנסיבות המקרה: מדובר בשני אירועים שהתרחשו בתקופת עבודה של שלושה ימים; אחד מהאירועים אמנם מהווה הטרדה מינית מילולית "בלבד", אולם הוא הביא </w:t>
      </w:r>
      <w:r>
        <w:rPr>
          <w:rFonts w:ascii="Arial" w:eastAsia="Times New Roman" w:hAnsi="Arial" w:cs="David"/>
          <w:b/>
          <w:bCs/>
          <w:sz w:val="28"/>
          <w:szCs w:val="28"/>
          <w:rtl/>
        </w:rPr>
        <w:t>"להחפצה ולהקטנה"</w:t>
      </w:r>
      <w:r>
        <w:rPr>
          <w:rFonts w:ascii="Arial" w:eastAsia="Times New Roman" w:hAnsi="Arial" w:cs="David"/>
          <w:sz w:val="28"/>
          <w:szCs w:val="28"/>
          <w:rtl/>
        </w:rPr>
        <w:t xml:space="preserve"> של פלונית ו</w:t>
      </w:r>
      <w:r>
        <w:rPr>
          <w:rFonts w:ascii="Arial" w:eastAsia="Times New Roman" w:hAnsi="Arial" w:cs="David"/>
          <w:b/>
          <w:bCs/>
          <w:sz w:val="28"/>
          <w:szCs w:val="28"/>
          <w:rtl/>
        </w:rPr>
        <w:t>"להתייחסות משפילה ומביכה אליה באופן בוטה כאל אובייקט מיני"</w:t>
      </w:r>
      <w:r>
        <w:rPr>
          <w:rFonts w:ascii="Arial" w:eastAsia="Times New Roman" w:hAnsi="Arial" w:cs="David"/>
          <w:sz w:val="28"/>
          <w:szCs w:val="28"/>
          <w:rtl/>
        </w:rPr>
        <w:t xml:space="preserve"> - חויב עמאר לשלם לפלונית פיצוי בסך 20,000 ש"ח בגין שני האירועים. לחיוב החברה נתייחס בהמשך.</w:t>
      </w:r>
    </w:p>
    <w:p w14:paraId="199A7B1D" w14:textId="77777777" w:rsidR="00BE284B" w:rsidRDefault="00BE284B" w:rsidP="00BE284B">
      <w:pPr>
        <w:pStyle w:val="ad"/>
        <w:numPr>
          <w:ilvl w:val="0"/>
          <w:numId w:val="5"/>
        </w:numPr>
        <w:spacing w:before="120" w:after="120" w:line="360" w:lineRule="auto"/>
        <w:jc w:val="both"/>
        <w:rPr>
          <w:rFonts w:ascii="Arial" w:eastAsia="Times New Roman" w:hAnsi="Arial" w:cs="David"/>
          <w:sz w:val="28"/>
          <w:szCs w:val="28"/>
        </w:rPr>
      </w:pPr>
      <w:r>
        <w:rPr>
          <w:rFonts w:ascii="Arial" w:eastAsia="Times New Roman" w:hAnsi="Arial" w:cs="David"/>
          <w:sz w:val="28"/>
          <w:szCs w:val="28"/>
          <w:rtl/>
        </w:rPr>
        <w:t>פלונית פוטרה ביום 19.12.25 עם הגעתה למפעל, מבלי שקדם לכך שימוע, וללא קשר לאירועי ההטרדה המינית, עליהם נודע לחברה רק מפניית מען לאחר פיטוריה. החברה חויבה לשלם לפלונית פיצוי בגין פיטורים שלא כדין בגין שתי תקופות העבודה בסך של 10,000 ש"ח.</w:t>
      </w:r>
    </w:p>
    <w:p w14:paraId="5671C487"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u w:val="single"/>
          <w:rtl/>
        </w:rPr>
        <w:t>בירור התלונה</w:t>
      </w:r>
      <w:r>
        <w:rPr>
          <w:rFonts w:ascii="Arial" w:eastAsia="Times New Roman" w:hAnsi="Arial" w:cs="David"/>
          <w:sz w:val="28"/>
          <w:szCs w:val="28"/>
          <w:rtl/>
        </w:rPr>
        <w:t>:</w:t>
      </w:r>
    </w:p>
    <w:p w14:paraId="658D4356" w14:textId="77777777" w:rsidR="00BE284B" w:rsidRDefault="00BE284B" w:rsidP="00BE284B">
      <w:pPr>
        <w:pStyle w:val="ad"/>
        <w:numPr>
          <w:ilvl w:val="0"/>
          <w:numId w:val="6"/>
        </w:numPr>
        <w:spacing w:before="120" w:after="120" w:line="360" w:lineRule="auto"/>
        <w:jc w:val="both"/>
        <w:rPr>
          <w:rFonts w:ascii="Arial" w:eastAsia="Times New Roman" w:hAnsi="Arial" w:cs="David"/>
          <w:sz w:val="28"/>
          <w:szCs w:val="28"/>
        </w:rPr>
      </w:pPr>
      <w:r>
        <w:rPr>
          <w:rFonts w:ascii="Arial" w:eastAsia="Times New Roman" w:hAnsi="Arial" w:cs="David"/>
          <w:sz w:val="28"/>
          <w:szCs w:val="28"/>
          <w:rtl/>
        </w:rPr>
        <w:t xml:space="preserve">החברה או מי ממנהליה לא היו מודעים בזמן אמת לאיזה מהאירועים. אשר לאירוע חדר המדבקות - מנהל הייצור, אשר הגיע למקום לאחר אירוע חדר המדבקות, הבחין בהתרחשות, אולם נוכח העדר שליטתו בשפה הערבית, לא הבין את פלונית או את ההתרחשות המדויקת, והורה לעובדים לשוב לעבוד. אירוע הנגיעה התרחש באזור לא מצולם, ופלונית לא סיפרה על התרחשותו לאיש.  </w:t>
      </w:r>
    </w:p>
    <w:p w14:paraId="775D2157" w14:textId="77777777" w:rsidR="00BE284B" w:rsidRDefault="00BE284B" w:rsidP="00BE284B">
      <w:pPr>
        <w:pStyle w:val="ad"/>
        <w:numPr>
          <w:ilvl w:val="0"/>
          <w:numId w:val="6"/>
        </w:numPr>
        <w:spacing w:before="120" w:after="120" w:line="360" w:lineRule="auto"/>
        <w:jc w:val="both"/>
        <w:rPr>
          <w:rFonts w:ascii="Arial" w:eastAsia="Times New Roman" w:hAnsi="Arial" w:cs="David"/>
          <w:sz w:val="28"/>
          <w:szCs w:val="28"/>
          <w:rtl/>
        </w:rPr>
      </w:pPr>
      <w:r>
        <w:rPr>
          <w:rFonts w:ascii="Arial" w:eastAsia="Times New Roman" w:hAnsi="Arial" w:cs="David"/>
          <w:sz w:val="28"/>
          <w:szCs w:val="28"/>
          <w:rtl/>
        </w:rPr>
        <w:t xml:space="preserve">ספק ממשי האם הבירור שגב' הממונה טענה שערכה נעשה בתאריכים עליהם הצהירה או שמא הוא בא לעולם לצורך ההליך. יתרה מכך, מכתב החברה מיום 13.1.2020 בו טענה כי מדובר בבדיות שנועדו לבזבז את משאביה, מלמד כי לא התכוונה לייחד משאבים לבירור התלונה. גם מחקירתו הנגדית של מר </w:t>
      </w:r>
      <w:proofErr w:type="spellStart"/>
      <w:r>
        <w:rPr>
          <w:rFonts w:ascii="Arial" w:eastAsia="Times New Roman" w:hAnsi="Arial" w:cs="David"/>
          <w:sz w:val="28"/>
          <w:szCs w:val="28"/>
          <w:rtl/>
        </w:rPr>
        <w:t>ורטהיימר</w:t>
      </w:r>
      <w:proofErr w:type="spellEnd"/>
      <w:r>
        <w:rPr>
          <w:rFonts w:ascii="Arial" w:eastAsia="Times New Roman" w:hAnsi="Arial" w:cs="David"/>
          <w:sz w:val="28"/>
          <w:szCs w:val="28"/>
          <w:rtl/>
        </w:rPr>
        <w:t xml:space="preserve"> התקבל הרושם כי החל לעסוק בעניין לאחר שביקש הוכחות </w:t>
      </w:r>
      <w:proofErr w:type="spellStart"/>
      <w:r>
        <w:rPr>
          <w:rFonts w:ascii="Arial" w:eastAsia="Times New Roman" w:hAnsi="Arial" w:cs="David"/>
          <w:sz w:val="28"/>
          <w:szCs w:val="28"/>
          <w:rtl/>
        </w:rPr>
        <w:t>מעאמר</w:t>
      </w:r>
      <w:proofErr w:type="spellEnd"/>
      <w:r>
        <w:rPr>
          <w:rFonts w:ascii="Arial" w:eastAsia="Times New Roman" w:hAnsi="Arial" w:cs="David"/>
          <w:sz w:val="28"/>
          <w:szCs w:val="28"/>
          <w:rtl/>
        </w:rPr>
        <w:t xml:space="preserve"> לגרסתו. גב' </w:t>
      </w:r>
      <w:proofErr w:type="spellStart"/>
      <w:r>
        <w:rPr>
          <w:rFonts w:ascii="Arial" w:eastAsia="Times New Roman" w:hAnsi="Arial" w:cs="David"/>
          <w:sz w:val="28"/>
          <w:szCs w:val="28"/>
          <w:rtl/>
        </w:rPr>
        <w:t>אסיאג</w:t>
      </w:r>
      <w:proofErr w:type="spellEnd"/>
      <w:r>
        <w:rPr>
          <w:rFonts w:ascii="Arial" w:eastAsia="Times New Roman" w:hAnsi="Arial" w:cs="David"/>
          <w:sz w:val="28"/>
          <w:szCs w:val="28"/>
          <w:rtl/>
        </w:rPr>
        <w:t xml:space="preserve">, אשר לפי הנטען שימשה כאחראית למניעת הטרדה מינית במפעל משנת 2017, מעולם לא נחשפה להוראות החוק או לתקנות שהוצאו מכוחו, לא קיבלה שום הכשרה בנושא, לא הייתה  מודעת לחובותיה על פי דין, לא הביאה את דבר היותה האחראית למניעת הטרדה מינית לידיעת עובדי הייצור במפעל, לא ערכה הדרכה בנושא במפעל ולא הייתה בטוחה אם הדרכה מסוג זה כלל בוצעה במפעל. </w:t>
      </w:r>
    </w:p>
    <w:p w14:paraId="4AD50469" w14:textId="77777777" w:rsidR="00BE284B" w:rsidRDefault="00BE284B" w:rsidP="00BE284B">
      <w:pPr>
        <w:pStyle w:val="ad"/>
        <w:numPr>
          <w:ilvl w:val="0"/>
          <w:numId w:val="6"/>
        </w:numPr>
        <w:spacing w:before="120" w:after="120" w:line="360" w:lineRule="auto"/>
        <w:jc w:val="both"/>
        <w:rPr>
          <w:rFonts w:ascii="Arial" w:eastAsia="Times New Roman" w:hAnsi="Arial" w:cs="David"/>
          <w:sz w:val="28"/>
          <w:szCs w:val="28"/>
        </w:rPr>
      </w:pPr>
      <w:r>
        <w:rPr>
          <w:rFonts w:ascii="Arial" w:eastAsia="Times New Roman" w:hAnsi="Arial" w:cs="David"/>
          <w:sz w:val="28"/>
          <w:szCs w:val="28"/>
          <w:rtl/>
        </w:rPr>
        <w:t xml:space="preserve">בנוסף, בית הדין לא קיבל את טענת החברה באשר לקיומו של תקנון בחברה, זאת לאור הסתירות הרבות שעלו מחומר הראיות. עוד נקבע כי הדו"ח שמסרה הממונה למר </w:t>
      </w:r>
      <w:proofErr w:type="spellStart"/>
      <w:r>
        <w:rPr>
          <w:rFonts w:ascii="Arial" w:eastAsia="Times New Roman" w:hAnsi="Arial" w:cs="David"/>
          <w:sz w:val="28"/>
          <w:szCs w:val="28"/>
          <w:rtl/>
        </w:rPr>
        <w:t>ורטהיימר</w:t>
      </w:r>
      <w:proofErr w:type="spellEnd"/>
      <w:r>
        <w:rPr>
          <w:rFonts w:ascii="Arial" w:eastAsia="Times New Roman" w:hAnsi="Arial" w:cs="David"/>
          <w:sz w:val="28"/>
          <w:szCs w:val="28"/>
          <w:rtl/>
        </w:rPr>
        <w:t xml:space="preserve"> אינו כולל סיכום או המלצות מנומקות כלשהן; גביית העדות </w:t>
      </w:r>
      <w:proofErr w:type="spellStart"/>
      <w:r>
        <w:rPr>
          <w:rFonts w:ascii="Arial" w:eastAsia="Times New Roman" w:hAnsi="Arial" w:cs="David"/>
          <w:sz w:val="28"/>
          <w:szCs w:val="28"/>
          <w:rtl/>
        </w:rPr>
        <w:t>מעאמר</w:t>
      </w:r>
      <w:proofErr w:type="spellEnd"/>
      <w:r>
        <w:rPr>
          <w:rFonts w:ascii="Arial" w:eastAsia="Times New Roman" w:hAnsi="Arial" w:cs="David"/>
          <w:sz w:val="28"/>
          <w:szCs w:val="28"/>
          <w:rtl/>
        </w:rPr>
        <w:t xml:space="preserve"> נעשתה בנוכחות מנהל המפעל, בניגוד להוראות הדין. הממונה לא ביקשה לבחון את תוצרי מצלמות המפעל; לא שוחחה עם עובדי הייצור בחדר המדבקות או עם עובדות אחרות; ולא הזמינה את פלונית לגביית עדות. בנסיבות המתוארות הגיע בית הדין האזורי למסקנה כי הממונה ערכה בירור "טכני" גרידא. </w:t>
      </w:r>
    </w:p>
    <w:p w14:paraId="69170915" w14:textId="77777777" w:rsidR="00BE284B" w:rsidRDefault="00BE284B" w:rsidP="00BE284B">
      <w:pPr>
        <w:pStyle w:val="ad"/>
        <w:numPr>
          <w:ilvl w:val="0"/>
          <w:numId w:val="6"/>
        </w:numPr>
        <w:spacing w:before="120" w:after="120" w:line="360" w:lineRule="auto"/>
        <w:jc w:val="both"/>
        <w:rPr>
          <w:rFonts w:ascii="Arial" w:eastAsia="Times New Roman" w:hAnsi="Arial" w:cs="David"/>
          <w:sz w:val="28"/>
          <w:szCs w:val="28"/>
        </w:rPr>
      </w:pPr>
      <w:r>
        <w:rPr>
          <w:rFonts w:ascii="Arial" w:eastAsia="Times New Roman" w:hAnsi="Arial" w:cs="David"/>
          <w:sz w:val="28"/>
          <w:szCs w:val="28"/>
          <w:rtl/>
        </w:rPr>
        <w:t xml:space="preserve">בנוסף, מר </w:t>
      </w:r>
      <w:proofErr w:type="spellStart"/>
      <w:r>
        <w:rPr>
          <w:rFonts w:ascii="Arial" w:eastAsia="Times New Roman" w:hAnsi="Arial" w:cs="David"/>
          <w:sz w:val="28"/>
          <w:szCs w:val="28"/>
          <w:rtl/>
        </w:rPr>
        <w:t>ורטהיימר</w:t>
      </w:r>
      <w:proofErr w:type="spellEnd"/>
      <w:r>
        <w:rPr>
          <w:rFonts w:ascii="Arial" w:eastAsia="Times New Roman" w:hAnsi="Arial" w:cs="David"/>
          <w:sz w:val="28"/>
          <w:szCs w:val="28"/>
          <w:rtl/>
        </w:rPr>
        <w:t xml:space="preserve"> שערך בעצמו בירור מקיף, במסגרתו שוחח "כמעט עם כל עובד שבא במגע כזה או אחר שאני  מכיר" וביקש מבנו לתרגם עבורו הודעות מוקלטות של עובדים המצביעות לכאורה על חפותו של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"זיהם" את הליך הבירור. התנהלות זו סותרת חזיתית את הוראות החוק ותכליתו. </w:t>
      </w:r>
    </w:p>
    <w:p w14:paraId="33C45BC6" w14:textId="77777777" w:rsidR="00BE284B" w:rsidRDefault="00BE284B" w:rsidP="00BE284B">
      <w:pPr>
        <w:pStyle w:val="ad"/>
        <w:numPr>
          <w:ilvl w:val="0"/>
          <w:numId w:val="6"/>
        </w:numPr>
        <w:spacing w:before="120" w:after="120" w:line="360" w:lineRule="auto"/>
        <w:jc w:val="both"/>
        <w:rPr>
          <w:rFonts w:ascii="Arial" w:eastAsia="Times New Roman" w:hAnsi="Arial" w:cs="David"/>
          <w:sz w:val="28"/>
          <w:szCs w:val="28"/>
        </w:rPr>
      </w:pPr>
      <w:r>
        <w:rPr>
          <w:rFonts w:ascii="Arial" w:eastAsia="Times New Roman" w:hAnsi="Arial" w:cs="David"/>
          <w:sz w:val="28"/>
          <w:szCs w:val="28"/>
          <w:rtl/>
        </w:rPr>
        <w:t xml:space="preserve">לאור כל האמור ובשים לב לכך שפלונית הייתה עובדת חדשה, נעדרת ביטחון תעסוקתי אשר פוטרה לאלתר, חייב בית הדין את החברה בגין הכשלים בבירור תלונתה של פלונית ומילוי הוראות החוק והתקנות לשלם לה פיצוי בסך של 50,000 ש"ח. </w:t>
      </w:r>
    </w:p>
    <w:p w14:paraId="0F01790C"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u w:val="single"/>
          <w:rtl/>
        </w:rPr>
        <w:t>תביעת לשון הרע</w:t>
      </w:r>
      <w:r>
        <w:rPr>
          <w:rFonts w:ascii="Arial" w:eastAsia="Times New Roman" w:hAnsi="Arial" w:cs="David"/>
          <w:sz w:val="28"/>
          <w:szCs w:val="28"/>
          <w:rtl/>
        </w:rPr>
        <w:t>:</w:t>
      </w:r>
    </w:p>
    <w:p w14:paraId="468D8B17" w14:textId="77777777" w:rsidR="00BE284B" w:rsidRDefault="00BE284B" w:rsidP="00BE284B">
      <w:pPr>
        <w:pStyle w:val="ad"/>
        <w:spacing w:before="120" w:after="120" w:line="360" w:lineRule="auto"/>
        <w:ind w:left="425"/>
        <w:jc w:val="both"/>
        <w:rPr>
          <w:rFonts w:ascii="Arial" w:eastAsia="Times New Roman" w:hAnsi="Arial" w:cs="David"/>
          <w:sz w:val="28"/>
          <w:szCs w:val="28"/>
        </w:rPr>
      </w:pPr>
      <w:r>
        <w:rPr>
          <w:rFonts w:ascii="Arial" w:eastAsia="Times New Roman" w:hAnsi="Arial" w:cs="David"/>
          <w:sz w:val="28"/>
          <w:szCs w:val="28"/>
          <w:rtl/>
        </w:rPr>
        <w:t xml:space="preserve">נקבע כי דברי מר </w:t>
      </w:r>
      <w:proofErr w:type="spellStart"/>
      <w:r>
        <w:rPr>
          <w:rFonts w:ascii="Arial" w:eastAsia="Times New Roman" w:hAnsi="Arial" w:cs="David"/>
          <w:sz w:val="28"/>
          <w:szCs w:val="28"/>
          <w:rtl/>
        </w:rPr>
        <w:t>ורטהיימר</w:t>
      </w:r>
      <w:proofErr w:type="spellEnd"/>
      <w:r>
        <w:rPr>
          <w:rFonts w:ascii="Arial" w:eastAsia="Times New Roman" w:hAnsi="Arial" w:cs="David"/>
          <w:sz w:val="28"/>
          <w:szCs w:val="28"/>
          <w:rtl/>
        </w:rPr>
        <w:t xml:space="preserve"> אגב ישיבת המשא ומתן הם לשון הרע. בית הדין הבהיר כי המילה "שרמוטה" היא מילה בשפה הערבית שפירושה המילולי הוא זונה או סמרטוט ואין לה מקבילה גברית, וכי </w:t>
      </w:r>
      <w:r>
        <w:rPr>
          <w:rFonts w:ascii="Arial" w:eastAsia="Times New Roman" w:hAnsi="Arial" w:cs="David"/>
          <w:b/>
          <w:bCs/>
          <w:sz w:val="28"/>
          <w:szCs w:val="28"/>
          <w:rtl/>
        </w:rPr>
        <w:t>"מילה זו משמשת בשפה העברית ככינוי גנאי משפיל לאישה באמצעות תיאורה כמי שמרבה לקיים יחסי מין עם גברים רבים"</w:t>
      </w:r>
      <w:r>
        <w:rPr>
          <w:rFonts w:ascii="Arial" w:eastAsia="Times New Roman" w:hAnsi="Arial" w:cs="David"/>
          <w:sz w:val="28"/>
          <w:szCs w:val="28"/>
          <w:rtl/>
        </w:rPr>
        <w:t xml:space="preserve">. עוד נקבע כי מדובר בביטוי מבזה ומשפיל העונה על ההגדרה שבסעיף 1(1) ו-1(2) לחוק איסור לשון הרע, שאין לו מקום ביחסי העבודה. הביטוי נאמר במהלך ישיבת משא ומתן ועל כן עונה הוא על דרישת הפרסום לפי סעיף 7 לחוק איסור לשון הרע. בית הדין דחה את טענות החברה לקיומה של הגנה מכוח חוק, וחייב את החברה לשלם לפלונית פיצוי בסך של 15,000 ש"ח.   </w:t>
      </w:r>
    </w:p>
    <w:p w14:paraId="3F1DC101" w14:textId="77777777" w:rsidR="00BE284B" w:rsidRDefault="00BE284B" w:rsidP="00BE284B">
      <w:pPr>
        <w:spacing w:before="120" w:after="120" w:line="360" w:lineRule="auto"/>
        <w:jc w:val="both"/>
        <w:rPr>
          <w:rFonts w:ascii="Arial" w:hAnsi="Arial"/>
          <w:b/>
          <w:bCs/>
          <w:sz w:val="28"/>
          <w:szCs w:val="28"/>
          <w:u w:val="single"/>
          <w:rtl/>
        </w:rPr>
      </w:pPr>
      <w:r>
        <w:rPr>
          <w:rFonts w:ascii="Arial" w:hAnsi="Arial"/>
          <w:b/>
          <w:bCs/>
          <w:sz w:val="28"/>
          <w:szCs w:val="28"/>
          <w:u w:val="single"/>
          <w:rtl/>
        </w:rPr>
        <w:t>הערעור</w:t>
      </w:r>
    </w:p>
    <w:p w14:paraId="7382206C"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b/>
          <w:bCs/>
          <w:sz w:val="28"/>
          <w:szCs w:val="28"/>
          <w:rtl/>
        </w:rPr>
        <w:t>המערערים</w:t>
      </w:r>
      <w:r>
        <w:rPr>
          <w:rFonts w:ascii="Arial" w:eastAsia="Times New Roman" w:hAnsi="Arial" w:cs="David"/>
          <w:sz w:val="28"/>
          <w:szCs w:val="28"/>
          <w:rtl/>
        </w:rPr>
        <w:t xml:space="preserve"> טוענים כי הערעור אינו מכוון כנגד קביעותיו העובדתית של בית הדין האזורי, אלא לסכומי הפיצוי שנפסקו, אשר לפי הנטען חורגים "באופן קיצוני מטווח הפיצוי הנפסק במקרים דומים". הודגש כי בית הדין קמא קבע כי: עמאר הטריד את פלונית מינית בשני אירועים נפרדים, הראשון באמירה מבזה ומשפילה והשני במגע בגופה "בהיבט המיני"; החברה לא קיימה את חובותיה מכוח החוק והתקנות אלא ערכה "מעין טקס מאוחר שתוצאותיו ידועות מראש", לא שמעה את תלונותיה, ערכה בירור תוך זיהום ההליך, באמצעות ממונה שאינה בקיאה בחובותיה על פי דין. עוד נקבע כי אחד מבעלי החברה כינה את פלונית בביטוי "משפיל, מבזה, ומחפץ" במהלך ישיבת משא ומתן קיבוצית מרובת משתתפים, העולה כדי לשון הרע, ומצדיק פסיקת פיצוי בשיעור גבוה יותר. לפי הנטען שיעור הפיצוי שנקבע לפלונית חורג ממתחם הפיצוי המקובל בתביעות מסוג זה ומוצדק בנסיבות העניין בשים לב לחומרת המעשים וזהות הצדדים. כדי ללמד על מתחם הפיצוי הראוי לטעמה, מפנה פלונית לפסיקת בית הדין</w:t>
      </w:r>
      <w:r>
        <w:rPr>
          <w:rStyle w:val="af0"/>
          <w:rFonts w:ascii="Arial" w:eastAsia="Times New Roman" w:hAnsi="Arial" w:cs="David"/>
          <w:sz w:val="28"/>
          <w:szCs w:val="28"/>
          <w:rtl/>
        </w:rPr>
        <w:footnoteReference w:id="2"/>
      </w:r>
      <w:r>
        <w:rPr>
          <w:rFonts w:ascii="Arial" w:eastAsia="Times New Roman" w:hAnsi="Arial" w:cs="David"/>
          <w:sz w:val="28"/>
          <w:szCs w:val="28"/>
          <w:rtl/>
        </w:rPr>
        <w:t xml:space="preserve"> ולהוראות החוק. </w:t>
      </w:r>
    </w:p>
    <w:p w14:paraId="6222C000"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tl/>
        </w:rPr>
      </w:pPr>
      <w:r>
        <w:rPr>
          <w:rFonts w:ascii="Arial" w:eastAsia="Times New Roman" w:hAnsi="Arial" w:cs="David"/>
          <w:b/>
          <w:bCs/>
          <w:sz w:val="28"/>
          <w:szCs w:val="28"/>
          <w:rtl/>
        </w:rPr>
        <w:t>החברה</w:t>
      </w:r>
      <w:r>
        <w:rPr>
          <w:rFonts w:ascii="Arial" w:eastAsia="Times New Roman" w:hAnsi="Arial" w:cs="David"/>
          <w:sz w:val="28"/>
          <w:szCs w:val="28"/>
          <w:rtl/>
        </w:rPr>
        <w:t xml:space="preserve"> מצידה טוענת כי התביעה הוגשה על רקע סכסוך קיבוצי אשר התנהל בחצרה של החברה, במסגרתו הוגשו על ידי מען תביעות נוספות, אשר מטרת כולן אחת היא – להפעיל לחץ פסול על החברה לחתום על הסכם קיבוצי. החברה סומכת ידיה על פסק הדין האזורי וטוענת כי הפסיקה אליה מפנה פלונית אינה רלוונטית ואין להקיש מהאמור שם בענייננו, שכן שם דובר במקרים בהם אופי מקום העבודה מהווה סביבה רגישה במיוחד ועל כן חלה על המעסיק חובה מוגברת למניעת הטרדה מינית. ממילא מדובר בפיצוי על הרף הגבוה, שכן החברה קיימה לפחות חלק מחובותיה על פי דין, גם אם ההליך "זוהם". כך גם ביחס לטענות בנוגע לשיעור הפיצוי בגין לשון הרע, פסק הדין אליו הפנו מערערות אינו רלוונטי, שכן הוא מתייחס לפרסום בהיקף חשיפה רחב. המצדיק פיצוי בשיעור גבוה יותר. אין זה המקרה. מכל מקום, במועד בו נטען כי נאמרה האמירה העולה כדי לשון הרע, פלונית כבר לא עבדה במפעל. בנסיבות אלו סכום הפיצוי שנפסק לה גבוה ביחס לפגיעה בה לכאורה. נוכח הטעמים המפורטים והפער בין סכום התביעה לבין הסכום הנפסק, מתבקש לדחות את הערעור תוך חיוב המערערות בהוצאות החברה. </w:t>
      </w:r>
    </w:p>
    <w:p w14:paraId="6A2CA813"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לא הגיש סיכומים מטעמו ולא התייצב לדיונים שנקבעו בהליך (יום 24.3.25, יום 6.5.25 ויום 4.11.25), לפי הנטען בשל אי קבלת היתר כניסה לישראל.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גם סירב להשתתף בדיון בדרך של היוועדות חזותית. בנסיבות אלו, הורה בית הדין בהחלטתו מיום 6.11.2025 כי הדיון בערעור יתקיים בדרך של סיכומים בכתב כאמור בתקנה 103 לתקנות בית הדין לעבודה (סדרי דין), </w:t>
      </w:r>
      <w:proofErr w:type="spellStart"/>
      <w:r>
        <w:rPr>
          <w:rFonts w:ascii="Arial" w:eastAsia="Times New Roman" w:hAnsi="Arial" w:cs="David"/>
          <w:sz w:val="28"/>
          <w:szCs w:val="28"/>
          <w:rtl/>
        </w:rPr>
        <w:t>התשנ"ב</w:t>
      </w:r>
      <w:proofErr w:type="spellEnd"/>
      <w:r>
        <w:rPr>
          <w:rFonts w:ascii="Arial" w:eastAsia="Times New Roman" w:hAnsi="Arial" w:cs="David"/>
          <w:sz w:val="28"/>
          <w:szCs w:val="28"/>
          <w:rtl/>
        </w:rPr>
        <w:t xml:space="preserve">- 1991 (להלן - </w:t>
      </w:r>
      <w:r>
        <w:rPr>
          <w:rFonts w:ascii="Arial" w:eastAsia="Times New Roman" w:hAnsi="Arial" w:cs="David"/>
          <w:b/>
          <w:bCs/>
          <w:sz w:val="28"/>
          <w:szCs w:val="28"/>
          <w:rtl/>
        </w:rPr>
        <w:t>התקנות</w:t>
      </w:r>
      <w:r>
        <w:rPr>
          <w:rFonts w:ascii="Arial" w:eastAsia="Times New Roman" w:hAnsi="Arial" w:cs="David"/>
          <w:sz w:val="28"/>
          <w:szCs w:val="28"/>
          <w:rtl/>
        </w:rPr>
        <w:t>),  והתאפשר לצדדים להשלים את טיעוניהם בכתב.</w:t>
      </w:r>
    </w:p>
    <w:p w14:paraId="4E38C634"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rtl/>
        </w:rPr>
        <w:t xml:space="preserve">בהשלמת הטיעון שבו </w:t>
      </w:r>
      <w:r>
        <w:rPr>
          <w:rFonts w:ascii="Arial" w:eastAsia="Times New Roman" w:hAnsi="Arial" w:cs="David"/>
          <w:b/>
          <w:bCs/>
          <w:sz w:val="28"/>
          <w:szCs w:val="28"/>
          <w:rtl/>
        </w:rPr>
        <w:t xml:space="preserve">המערערות </w:t>
      </w:r>
      <w:r>
        <w:rPr>
          <w:rFonts w:ascii="Arial" w:eastAsia="Times New Roman" w:hAnsi="Arial" w:cs="David"/>
          <w:sz w:val="28"/>
          <w:szCs w:val="28"/>
          <w:rtl/>
        </w:rPr>
        <w:t>על האמור בסיכומיהן וטענו כי בפסיקתו של בית הדין מהעת האחרונה, הוטלו פיצויים גבוהים באופן משמעותי מאלו שנפסקו בתיק זה, בגין הפרות חמורות פחות. לתמיכה בטענותיהן הפנו המערערת גם לפסק דינו של בית המשפט העליון ב</w:t>
      </w:r>
      <w:r>
        <w:rPr>
          <w:rFonts w:ascii="Arial" w:eastAsia="Times New Roman" w:hAnsi="Arial" w:cs="David"/>
          <w:b/>
          <w:bCs/>
          <w:sz w:val="28"/>
          <w:szCs w:val="28"/>
          <w:rtl/>
        </w:rPr>
        <w:t>עניין פלוני</w:t>
      </w:r>
      <w:r>
        <w:rPr>
          <w:rStyle w:val="af0"/>
          <w:rFonts w:ascii="Arial" w:eastAsia="Times New Roman" w:hAnsi="Arial" w:cs="David"/>
          <w:sz w:val="28"/>
          <w:szCs w:val="28"/>
          <w:rtl/>
        </w:rPr>
        <w:footnoteReference w:id="3"/>
      </w:r>
      <w:r>
        <w:rPr>
          <w:rFonts w:ascii="Arial" w:eastAsia="Times New Roman" w:hAnsi="Arial" w:cs="David"/>
          <w:sz w:val="28"/>
          <w:szCs w:val="28"/>
          <w:rtl/>
        </w:rPr>
        <w:t xml:space="preserve">.  </w:t>
      </w:r>
    </w:p>
    <w:p w14:paraId="7318A8E8"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rtl/>
        </w:rPr>
        <w:t xml:space="preserve">גם </w:t>
      </w:r>
      <w:r>
        <w:rPr>
          <w:rFonts w:ascii="Arial" w:eastAsia="Times New Roman" w:hAnsi="Arial" w:cs="David"/>
          <w:b/>
          <w:bCs/>
          <w:sz w:val="28"/>
          <w:szCs w:val="28"/>
          <w:rtl/>
        </w:rPr>
        <w:t>החברה</w:t>
      </w:r>
      <w:r>
        <w:rPr>
          <w:rFonts w:ascii="Arial" w:eastAsia="Times New Roman" w:hAnsi="Arial" w:cs="David"/>
          <w:sz w:val="28"/>
          <w:szCs w:val="28"/>
          <w:rtl/>
        </w:rPr>
        <w:t xml:space="preserve"> שבה בהשלמת הטיעון על האמור בסיכומיה והוסיפה כי לפי ההלכה הפסוקה</w:t>
      </w:r>
      <w:r>
        <w:rPr>
          <w:rStyle w:val="af0"/>
          <w:rFonts w:ascii="Arial" w:eastAsia="Times New Roman" w:hAnsi="Arial" w:cs="David"/>
          <w:sz w:val="28"/>
          <w:szCs w:val="28"/>
          <w:rtl/>
        </w:rPr>
        <w:footnoteReference w:id="4"/>
      </w:r>
      <w:r>
        <w:rPr>
          <w:rFonts w:ascii="Arial" w:eastAsia="Times New Roman" w:hAnsi="Arial" w:cs="David"/>
          <w:sz w:val="28"/>
          <w:szCs w:val="28"/>
          <w:rtl/>
        </w:rPr>
        <w:t xml:space="preserve"> ערכאת הערעור תתערב בשיעור הפיצוי רק במקרים חריגים, בהם ניכרת חריגה קיצונית ממתחם הפיצוי הראוי, וכי הפיצוי שנפסק לפלונית, הן מכוח החוק והן מכוח חוק איסור לשון הרע, תואם את הפסיקה ואינו חורג המתחם הפיצוי הראוי, ועל כן אין כל הצדקה להתערב בו. </w:t>
      </w:r>
    </w:p>
    <w:p w14:paraId="1414BB54" w14:textId="77777777" w:rsidR="00BE284B" w:rsidRDefault="00BE284B" w:rsidP="00BE284B">
      <w:pPr>
        <w:spacing w:before="120" w:after="120" w:line="360" w:lineRule="auto"/>
        <w:jc w:val="both"/>
        <w:rPr>
          <w:rFonts w:ascii="Arial" w:hAnsi="Arial"/>
          <w:b/>
          <w:bCs/>
          <w:sz w:val="28"/>
          <w:szCs w:val="28"/>
          <w:u w:val="single"/>
          <w:rtl/>
        </w:rPr>
      </w:pPr>
      <w:r>
        <w:rPr>
          <w:rFonts w:ascii="Arial" w:hAnsi="Arial"/>
          <w:b/>
          <w:bCs/>
          <w:sz w:val="28"/>
          <w:szCs w:val="28"/>
          <w:u w:val="single"/>
          <w:rtl/>
        </w:rPr>
        <w:t>דיון והכרעה</w:t>
      </w:r>
    </w:p>
    <w:p w14:paraId="7A63407B"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rtl/>
        </w:rPr>
        <w:t xml:space="preserve">לאחר שעיינו בטענות הצדדים לפנינו אנו סבורים דין הערעור של פלונית להתקבל בחלקו, הן ביחס לשיעור הפיצוי שבו יש לחייב  את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לפי החוק והן ביחס לשיעור הפיצוי לפי חוק איסור לשון הרע שבו יש לחייב  את החברה. להלן נפרט את טעמינו. </w:t>
      </w:r>
    </w:p>
    <w:p w14:paraId="4CADAD03"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u w:val="single"/>
        </w:rPr>
      </w:pPr>
      <w:r>
        <w:rPr>
          <w:rFonts w:ascii="Arial" w:eastAsia="Times New Roman" w:hAnsi="Arial" w:cs="David"/>
          <w:sz w:val="28"/>
          <w:szCs w:val="28"/>
          <w:rtl/>
        </w:rPr>
        <w:t xml:space="preserve">בטרם נדרש לערעור גופו, נבקש להקדים ולהתייחס למעמדו הדיוני של ארגון עובדים בהליך דנן שאין לגביו טענה כי הוא סכסוך קיבוצי או שמתעוררת בו שאלת של פירוש הסכם קיבוצי (סעיף 30(ב) לחוק בית הדין לעבודה, תשכ"ט-1969). כאמור, מען הצטרפה כתובעת בהליך האזורי, ובהתאמה כמערערת בהליך הערעור. הצטרפות זו מעוררת קושי של ממש לא רק במישור זכות העמידה, נוכח מהות העניין העומד להכרעתנו. נבאר. </w:t>
      </w:r>
    </w:p>
    <w:p w14:paraId="3DD32F85" w14:textId="77777777" w:rsidR="00BE284B" w:rsidRDefault="00BE284B" w:rsidP="00BE284B">
      <w:pPr>
        <w:pStyle w:val="ad"/>
        <w:numPr>
          <w:ilvl w:val="0"/>
          <w:numId w:val="7"/>
        </w:numPr>
        <w:spacing w:after="0" w:line="360" w:lineRule="auto"/>
        <w:ind w:left="708"/>
        <w:jc w:val="both"/>
        <w:rPr>
          <w:rFonts w:ascii="Arial" w:eastAsia="Times New Roman" w:hAnsi="Arial" w:cs="David"/>
          <w:sz w:val="28"/>
          <w:szCs w:val="28"/>
          <w:u w:val="single"/>
        </w:rPr>
      </w:pPr>
      <w:r>
        <w:rPr>
          <w:rFonts w:ascii="Arial" w:eastAsia="Times New Roman" w:hAnsi="Arial" w:cs="David"/>
          <w:sz w:val="28"/>
          <w:szCs w:val="28"/>
          <w:rtl/>
        </w:rPr>
        <w:t xml:space="preserve">עסקינן בערעור שעניינו הטרדה מינית. סעיף 6(א) לחוק קובע כי הטרדה מינית (כמו גם התנכלות על רקעה) היא עוולה אזרחית וכי הוראות פקודת </w:t>
      </w:r>
      <w:proofErr w:type="spellStart"/>
      <w:r>
        <w:rPr>
          <w:rFonts w:ascii="Arial" w:eastAsia="Times New Roman" w:hAnsi="Arial" w:cs="David"/>
          <w:sz w:val="28"/>
          <w:szCs w:val="28"/>
          <w:rtl/>
        </w:rPr>
        <w:t>הנזיקין</w:t>
      </w:r>
      <w:proofErr w:type="spellEnd"/>
      <w:r>
        <w:rPr>
          <w:rFonts w:ascii="Arial" w:eastAsia="Times New Roman" w:hAnsi="Arial" w:cs="David"/>
          <w:sz w:val="28"/>
          <w:szCs w:val="28"/>
          <w:rtl/>
        </w:rPr>
        <w:t xml:space="preserve"> [נוסח חדש] (להלן - </w:t>
      </w:r>
      <w:r>
        <w:rPr>
          <w:rFonts w:ascii="Arial" w:eastAsia="Times New Roman" w:hAnsi="Arial" w:cs="David"/>
          <w:b/>
          <w:bCs/>
          <w:sz w:val="28"/>
          <w:szCs w:val="28"/>
          <w:rtl/>
        </w:rPr>
        <w:t>הפקודה</w:t>
      </w:r>
      <w:r>
        <w:rPr>
          <w:rFonts w:ascii="Arial" w:eastAsia="Times New Roman" w:hAnsi="Arial" w:cs="David"/>
          <w:sz w:val="28"/>
          <w:szCs w:val="28"/>
          <w:rtl/>
        </w:rPr>
        <w:t xml:space="preserve">), יחולו עליה בכפוף להוראות חוק זה. </w:t>
      </w:r>
    </w:p>
    <w:p w14:paraId="69D2DC94" w14:textId="77777777" w:rsidR="00BE284B" w:rsidRDefault="00BE284B" w:rsidP="00BE284B">
      <w:pPr>
        <w:pStyle w:val="ad"/>
        <w:numPr>
          <w:ilvl w:val="0"/>
          <w:numId w:val="7"/>
        </w:numPr>
        <w:spacing w:after="0" w:line="360" w:lineRule="auto"/>
        <w:ind w:left="708"/>
        <w:jc w:val="both"/>
        <w:rPr>
          <w:rFonts w:ascii="Arial" w:eastAsia="Times New Roman" w:hAnsi="Arial" w:cs="David"/>
          <w:sz w:val="28"/>
          <w:szCs w:val="28"/>
          <w:u w:val="single"/>
        </w:rPr>
      </w:pPr>
      <w:r>
        <w:rPr>
          <w:rFonts w:ascii="Arial" w:eastAsia="Times New Roman" w:hAnsi="Arial" w:cs="David"/>
          <w:sz w:val="28"/>
          <w:szCs w:val="28"/>
          <w:rtl/>
        </w:rPr>
        <w:t xml:space="preserve">לפי סעיף 3 לפקודה </w:t>
      </w:r>
      <w:r>
        <w:rPr>
          <w:rFonts w:ascii="David" w:hAnsi="David" w:cs="David"/>
          <w:b/>
          <w:bCs/>
          <w:color w:val="000000"/>
          <w:sz w:val="28"/>
          <w:szCs w:val="28"/>
          <w:rtl/>
        </w:rPr>
        <w:t xml:space="preserve">"... </w:t>
      </w:r>
      <w:r>
        <w:rPr>
          <w:rFonts w:ascii="David" w:hAnsi="David" w:cs="David"/>
          <w:b/>
          <w:bCs/>
          <w:color w:val="000000"/>
          <w:sz w:val="28"/>
          <w:szCs w:val="28"/>
          <w:u w:val="single"/>
          <w:rtl/>
        </w:rPr>
        <w:t>כל הנפגע או הניזוק</w:t>
      </w:r>
      <w:r>
        <w:rPr>
          <w:rFonts w:ascii="David" w:hAnsi="David" w:cs="David"/>
          <w:b/>
          <w:bCs/>
          <w:color w:val="000000"/>
          <w:sz w:val="28"/>
          <w:szCs w:val="28"/>
          <w:rtl/>
        </w:rPr>
        <w:t xml:space="preserve"> על ידי עוולה שנעשתה בישראל יהא זכאי לתרופה המפורשת בפקודה מידי עושה העוולה או האחראי לה"</w:t>
      </w:r>
      <w:r>
        <w:rPr>
          <w:rFonts w:ascii="Arial" w:eastAsia="Times New Roman" w:hAnsi="Arial" w:cs="David"/>
          <w:sz w:val="28"/>
          <w:szCs w:val="28"/>
          <w:rtl/>
        </w:rPr>
        <w:t xml:space="preserve"> [ההדגשות הוספו – א.א.]. מען לא העלתה מצידה טענה כי היא נפגעה או ניזוקה ממעשיהם של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או החברה. למעשה על פני הדברים היא נעדרת אינטרס אישי וישיר לסכסוך הקונקרטי מושא ההליך. </w:t>
      </w:r>
    </w:p>
    <w:p w14:paraId="5964FCBF" w14:textId="77777777" w:rsidR="00BE284B" w:rsidRDefault="00BE284B" w:rsidP="00BE284B">
      <w:pPr>
        <w:pStyle w:val="ad"/>
        <w:numPr>
          <w:ilvl w:val="0"/>
          <w:numId w:val="7"/>
        </w:numPr>
        <w:spacing w:after="0" w:line="360" w:lineRule="auto"/>
        <w:ind w:left="708"/>
        <w:jc w:val="both"/>
        <w:rPr>
          <w:rFonts w:ascii="Arial" w:eastAsia="Times New Roman" w:hAnsi="Arial" w:cs="David"/>
          <w:sz w:val="28"/>
          <w:szCs w:val="28"/>
        </w:rPr>
      </w:pPr>
      <w:r>
        <w:rPr>
          <w:rFonts w:ascii="Arial" w:eastAsia="Times New Roman" w:hAnsi="Arial" w:cs="David"/>
          <w:sz w:val="28"/>
          <w:szCs w:val="28"/>
          <w:rtl/>
        </w:rPr>
        <w:t xml:space="preserve">עיון בתצהירה של עו"ד </w:t>
      </w:r>
      <w:proofErr w:type="spellStart"/>
      <w:r>
        <w:rPr>
          <w:rFonts w:ascii="Arial" w:eastAsia="Times New Roman" w:hAnsi="Arial" w:cs="David"/>
          <w:sz w:val="28"/>
          <w:szCs w:val="28"/>
          <w:rtl/>
        </w:rPr>
        <w:t>ברטנשטין</w:t>
      </w:r>
      <w:proofErr w:type="spellEnd"/>
      <w:r>
        <w:rPr>
          <w:rFonts w:ascii="Arial" w:eastAsia="Times New Roman" w:hAnsi="Arial" w:cs="David"/>
          <w:sz w:val="28"/>
          <w:szCs w:val="28"/>
          <w:rtl/>
        </w:rPr>
        <w:t xml:space="preserve"> בתיק האזורי מעלה כי הצטרפותה של מען כתובעת בהליך (וכמערערת בהתאמה) מקורה בהיות ההליך עניין "מהותי וחשוב, נפרד מנושא ההתארגנות"</w:t>
      </w:r>
      <w:r>
        <w:rPr>
          <w:rStyle w:val="af0"/>
          <w:rFonts w:ascii="Arial" w:eastAsia="Times New Roman" w:hAnsi="Arial" w:cs="David"/>
          <w:sz w:val="28"/>
          <w:szCs w:val="28"/>
          <w:rtl/>
        </w:rPr>
        <w:footnoteReference w:id="5"/>
      </w:r>
      <w:r>
        <w:rPr>
          <w:rFonts w:ascii="Arial" w:eastAsia="Times New Roman" w:hAnsi="Arial" w:cs="David"/>
          <w:sz w:val="28"/>
          <w:szCs w:val="28"/>
          <w:rtl/>
        </w:rPr>
        <w:t xml:space="preserve">. אלא שמהותיות וחשיבות המקרה, אשר אינן מוטלות בספק, אינן יכולות להקנות לתובע – ובכלל זה לארגון עובדים אפילו הוא יציג - מעמד של תובע, בהעדר  אינטרס אישי, כנפגע או כניזוק. </w:t>
      </w:r>
    </w:p>
    <w:p w14:paraId="12410335" w14:textId="77777777" w:rsidR="00BE284B" w:rsidRDefault="00BE284B" w:rsidP="00BE284B">
      <w:pPr>
        <w:pStyle w:val="ad"/>
        <w:numPr>
          <w:ilvl w:val="0"/>
          <w:numId w:val="7"/>
        </w:numPr>
        <w:spacing w:after="0" w:line="360" w:lineRule="auto"/>
        <w:ind w:left="708"/>
        <w:jc w:val="both"/>
        <w:rPr>
          <w:rFonts w:ascii="Arial" w:eastAsia="Times New Roman" w:hAnsi="Arial" w:cs="David"/>
          <w:sz w:val="28"/>
          <w:szCs w:val="28"/>
        </w:rPr>
      </w:pPr>
      <w:r>
        <w:rPr>
          <w:rFonts w:ascii="Arial" w:eastAsia="Times New Roman" w:hAnsi="Arial" w:cs="David"/>
          <w:sz w:val="28"/>
          <w:szCs w:val="28"/>
          <w:rtl/>
        </w:rPr>
        <w:t xml:space="preserve">דומה כי חרף שבכתב התביעה התבקש בית הדין האזורי לפסוק את </w:t>
      </w:r>
      <w:proofErr w:type="spellStart"/>
      <w:r>
        <w:rPr>
          <w:rFonts w:ascii="Arial" w:eastAsia="Times New Roman" w:hAnsi="Arial" w:cs="David"/>
          <w:sz w:val="28"/>
          <w:szCs w:val="28"/>
          <w:rtl/>
        </w:rPr>
        <w:t>הסעדים</w:t>
      </w:r>
      <w:proofErr w:type="spellEnd"/>
      <w:r>
        <w:rPr>
          <w:rFonts w:ascii="Arial" w:eastAsia="Times New Roman" w:hAnsi="Arial" w:cs="David"/>
          <w:sz w:val="28"/>
          <w:szCs w:val="28"/>
          <w:rtl/>
        </w:rPr>
        <w:t xml:space="preserve"> "לתובעים", הלכה למעשה מען מבקשת לייחס לה מעמד כשל מעין "עותר ציבורי". אלא שגם כאן יש קושי. שכן בעוד מעמד של עותר ציבורי מכוון ככלל לסוגיות ציבוריות עקרוניות המשפיעות על ציבור רחב, תביעה לפי החוק, על פי טיבה, עוסקת בזכויות האישיות של הנפגע או הניזוק מהעוולה, במקרה זה פלונית. מכל מקום ככלל בית הדין לא יידרש לעניינו של מעין "עותר ציבורי" מקום בו קיים נפגע ישיר, בעל אינטרס אישי</w:t>
      </w:r>
      <w:r>
        <w:rPr>
          <w:rStyle w:val="af0"/>
          <w:rFonts w:ascii="Arial" w:eastAsia="Times New Roman" w:hAnsi="Arial" w:cs="David"/>
          <w:sz w:val="28"/>
          <w:szCs w:val="28"/>
          <w:rtl/>
        </w:rPr>
        <w:footnoteReference w:id="6"/>
      </w:r>
      <w:r>
        <w:rPr>
          <w:rFonts w:ascii="Arial" w:eastAsia="Times New Roman" w:hAnsi="Arial" w:cs="David"/>
          <w:sz w:val="28"/>
          <w:szCs w:val="28"/>
          <w:rtl/>
        </w:rPr>
        <w:t xml:space="preserve">. </w:t>
      </w:r>
    </w:p>
    <w:p w14:paraId="6324B73B" w14:textId="77777777" w:rsidR="00BE284B" w:rsidRDefault="00BE284B" w:rsidP="00BE284B">
      <w:pPr>
        <w:pStyle w:val="ad"/>
        <w:numPr>
          <w:ilvl w:val="0"/>
          <w:numId w:val="7"/>
        </w:numPr>
        <w:spacing w:after="0" w:line="360" w:lineRule="auto"/>
        <w:ind w:left="708"/>
        <w:jc w:val="both"/>
        <w:rPr>
          <w:rFonts w:ascii="Arial" w:eastAsia="Times New Roman" w:hAnsi="Arial" w:cs="David"/>
          <w:sz w:val="28"/>
          <w:szCs w:val="28"/>
          <w:rtl/>
        </w:rPr>
      </w:pPr>
      <w:r>
        <w:rPr>
          <w:rFonts w:ascii="Arial" w:eastAsia="Times New Roman" w:hAnsi="Arial" w:cs="David"/>
          <w:sz w:val="28"/>
          <w:szCs w:val="28"/>
          <w:rtl/>
        </w:rPr>
        <w:t xml:space="preserve">מעבר לקושי הנוגע למעמד של מען בהליך, עשויים להתעורר קשיים מהותיים נוספים. כך למשל, היבטים של פגיעה בפרטיות. הפיכת מען לתובעת מעניקה לה גישה למידע שעלול לעלות כדי פגיעה בפרטיות. גם אם תמצא לומר כי במקרה הנוכחי ניתנה לכך הסכמתה של פלונית, הרי שבהפיכת מען לצד להליך ניטלת מפלונית האפשרות לחזור בה. הקושי האמור יכול ויקבל ביטוי גם בכל הנוגע לאופן ניהול ההליך. משעה שהצטרף תובע נוסף, פלונית כבר אינה בעלת הבית היחידה בצד התביעה והיכולת שלה לסיים את ההליך </w:t>
      </w:r>
      <w:proofErr w:type="spellStart"/>
      <w:r>
        <w:rPr>
          <w:rFonts w:ascii="Arial" w:eastAsia="Times New Roman" w:hAnsi="Arial" w:cs="David"/>
          <w:sz w:val="28"/>
          <w:szCs w:val="28"/>
          <w:rtl/>
        </w:rPr>
        <w:t>וכיוצ"ב</w:t>
      </w:r>
      <w:proofErr w:type="spellEnd"/>
      <w:r>
        <w:rPr>
          <w:rFonts w:ascii="Arial" w:eastAsia="Times New Roman" w:hAnsi="Arial" w:cs="David"/>
          <w:sz w:val="28"/>
          <w:szCs w:val="28"/>
          <w:rtl/>
        </w:rPr>
        <w:t>, הופכת למוגבלת.</w:t>
      </w:r>
    </w:p>
    <w:p w14:paraId="12964E5E" w14:textId="77777777" w:rsidR="00BE284B" w:rsidRDefault="00BE284B" w:rsidP="00BE284B">
      <w:pPr>
        <w:pStyle w:val="ad"/>
        <w:numPr>
          <w:ilvl w:val="0"/>
          <w:numId w:val="7"/>
        </w:numPr>
        <w:spacing w:after="0" w:line="360" w:lineRule="auto"/>
        <w:ind w:left="708"/>
        <w:jc w:val="both"/>
        <w:rPr>
          <w:rFonts w:ascii="Arial" w:eastAsia="Times New Roman" w:hAnsi="Arial" w:cs="David"/>
          <w:sz w:val="28"/>
          <w:szCs w:val="28"/>
        </w:rPr>
      </w:pPr>
      <w:r>
        <w:rPr>
          <w:rFonts w:ascii="Arial" w:eastAsia="Times New Roman" w:hAnsi="Arial" w:cs="David"/>
          <w:sz w:val="28"/>
          <w:szCs w:val="28"/>
          <w:rtl/>
        </w:rPr>
        <w:t>בשים לב לשלב הדיוני, נסתפק בהערות הנ"ל ולא ראינו לנכון ליתן הוראות ביחס לכך. אין באמור כדי לגרוע מהאפשרות של ארגון עובדים להעמיד לרשות הנפגעת ליווי וייצוג משפטי, או לבקש להצטרף להליך כ"ידיד בית משפט" בכפוף להלכות בעניין זה.</w:t>
      </w:r>
    </w:p>
    <w:p w14:paraId="2B493043" w14:textId="77777777" w:rsidR="00BE284B" w:rsidRDefault="00BE284B" w:rsidP="00BE284B">
      <w:pPr>
        <w:pStyle w:val="ad"/>
        <w:spacing w:after="0" w:line="360" w:lineRule="auto"/>
        <w:ind w:left="708"/>
        <w:jc w:val="both"/>
        <w:rPr>
          <w:rFonts w:ascii="Arial" w:eastAsia="Times New Roman" w:hAnsi="Arial" w:cs="David"/>
          <w:sz w:val="28"/>
          <w:szCs w:val="28"/>
        </w:rPr>
      </w:pPr>
    </w:p>
    <w:p w14:paraId="31CD3216" w14:textId="77777777" w:rsidR="00BE284B" w:rsidRDefault="00BE284B" w:rsidP="00BE284B">
      <w:pPr>
        <w:pStyle w:val="ad"/>
        <w:spacing w:before="120" w:after="120" w:line="360" w:lineRule="auto"/>
        <w:ind w:left="425"/>
        <w:jc w:val="both"/>
        <w:rPr>
          <w:rFonts w:ascii="Arial" w:eastAsia="Times New Roman" w:hAnsi="Arial" w:cs="David"/>
          <w:sz w:val="28"/>
          <w:szCs w:val="28"/>
        </w:rPr>
      </w:pPr>
      <w:r>
        <w:rPr>
          <w:rFonts w:ascii="Arial" w:eastAsia="Times New Roman" w:hAnsi="Arial" w:cs="David"/>
          <w:sz w:val="28"/>
          <w:szCs w:val="28"/>
          <w:u w:val="single"/>
          <w:rtl/>
        </w:rPr>
        <w:t>הפיצוי מכוח החוק</w:t>
      </w:r>
    </w:p>
    <w:p w14:paraId="2807553A"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u w:val="single"/>
        </w:rPr>
      </w:pPr>
      <w:r>
        <w:rPr>
          <w:rFonts w:ascii="Arial" w:eastAsia="Times New Roman" w:hAnsi="Arial" w:cs="David"/>
          <w:sz w:val="28"/>
          <w:szCs w:val="28"/>
          <w:rtl/>
        </w:rPr>
        <w:t xml:space="preserve"> תחילה נציין כי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לא הגיש סיכום טענות מטעמו. בהינתן שב"כ החברה אישר בפנינו כי ההחלטה על הגשת הסיכומים נמסרה </w:t>
      </w:r>
      <w:proofErr w:type="spellStart"/>
      <w:r>
        <w:rPr>
          <w:rFonts w:ascii="Arial" w:eastAsia="Times New Roman" w:hAnsi="Arial" w:cs="David"/>
          <w:sz w:val="28"/>
          <w:szCs w:val="28"/>
          <w:rtl/>
        </w:rPr>
        <w:t>לעאמר</w:t>
      </w:r>
      <w:proofErr w:type="spellEnd"/>
      <w:r>
        <w:rPr>
          <w:rFonts w:ascii="Arial" w:eastAsia="Times New Roman" w:hAnsi="Arial" w:cs="David"/>
          <w:sz w:val="28"/>
          <w:szCs w:val="28"/>
          <w:rtl/>
        </w:rPr>
        <w:t xml:space="preserve"> ישירות (ראו הודעת החברה מיום 5.12.24), יתברר הערעור בהעדרו, בהתאם לתקנות 103(ג) ו-104(2) לתקנות בית הדין לעבודה (סדרי דין), תשנ"ב – 1991.</w:t>
      </w:r>
      <w:r>
        <w:rPr>
          <w:rFonts w:ascii="Arial" w:eastAsia="Times New Roman" w:hAnsi="Arial" w:cs="David"/>
          <w:sz w:val="28"/>
          <w:szCs w:val="28"/>
          <w:u w:val="single"/>
          <w:rtl/>
        </w:rPr>
        <w:t xml:space="preserve"> </w:t>
      </w:r>
    </w:p>
    <w:p w14:paraId="3C5D66BD"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u w:val="single"/>
          <w:rtl/>
        </w:rPr>
      </w:pPr>
      <w:r>
        <w:rPr>
          <w:rFonts w:ascii="Arial" w:eastAsia="Times New Roman" w:hAnsi="Arial" w:cs="David"/>
          <w:sz w:val="28"/>
          <w:szCs w:val="28"/>
          <w:rtl/>
        </w:rPr>
        <w:t xml:space="preserve">לגופם של דברים, ערעורה של פלונית סב על שיעור הפיצוי בו חויבו עמאר והחברה בבית הדין האזורי. לטענתה, הפיצוי שנפסק לזכותה אינו תואם את חומרת המעשים של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ואת הפרות החברה ואינו הולם את עמדת הפסיקה.</w:t>
      </w:r>
    </w:p>
    <w:p w14:paraId="663B443D"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u w:val="single"/>
        </w:rPr>
      </w:pPr>
      <w:r>
        <w:rPr>
          <w:rFonts w:ascii="Arial" w:eastAsia="Times New Roman" w:hAnsi="Arial" w:cs="David"/>
          <w:sz w:val="28"/>
          <w:szCs w:val="28"/>
          <w:rtl/>
        </w:rPr>
        <w:t xml:space="preserve">לאחר שבחנו בעיון את טענות המערערת אנו סבורים כי דין הערעור ברכיב זה להתקבל בחלקו, וזאת ביחס לשיעור הפיצוי לפי החוק שבו יש לחייב  את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להלן נפרט את טעמינו. </w:t>
      </w:r>
    </w:p>
    <w:p w14:paraId="0AB5C15D" w14:textId="77777777" w:rsidR="00BE284B" w:rsidRDefault="00BE284B" w:rsidP="00BE284B">
      <w:pPr>
        <w:pStyle w:val="ad"/>
        <w:numPr>
          <w:ilvl w:val="0"/>
          <w:numId w:val="3"/>
        </w:numPr>
        <w:spacing w:before="120" w:after="120" w:line="360" w:lineRule="auto"/>
        <w:ind w:left="425" w:hanging="425"/>
        <w:jc w:val="both"/>
        <w:rPr>
          <w:rFonts w:ascii="David" w:eastAsia="Times New Roman" w:hAnsi="David" w:cs="David"/>
          <w:sz w:val="28"/>
          <w:szCs w:val="28"/>
        </w:rPr>
      </w:pPr>
      <w:r>
        <w:rPr>
          <w:rFonts w:ascii="Arial" w:eastAsia="Times New Roman" w:hAnsi="Arial" w:cs="David"/>
          <w:sz w:val="28"/>
          <w:szCs w:val="28"/>
          <w:rtl/>
        </w:rPr>
        <w:t xml:space="preserve">סעיף 6(ב) לחוק </w:t>
      </w:r>
      <w:r>
        <w:rPr>
          <w:rFonts w:ascii="David" w:eastAsia="Times New Roman" w:hAnsi="David" w:cs="David"/>
          <w:sz w:val="28"/>
          <w:szCs w:val="28"/>
          <w:rtl/>
        </w:rPr>
        <w:t>מסמיך את בית הדין לפסוק, בנסיבות שלא הוכח נזק, "</w:t>
      </w:r>
      <w:r>
        <w:rPr>
          <w:rFonts w:ascii="David" w:hAnsi="David" w:cs="David"/>
          <w:b/>
          <w:bCs/>
          <w:color w:val="000000"/>
          <w:sz w:val="28"/>
          <w:szCs w:val="28"/>
          <w:shd w:val="clear" w:color="auto" w:fill="FFFFFF"/>
          <w:rtl/>
        </w:rPr>
        <w:t>בשל הטרדה מינית או בשל התנכלות פיצוי שלא יעלה על סך 120,000 שקלים חדשים"</w:t>
      </w:r>
      <w:r>
        <w:rPr>
          <w:rFonts w:ascii="David" w:hAnsi="David" w:cs="David"/>
          <w:color w:val="000000"/>
          <w:sz w:val="28"/>
          <w:szCs w:val="28"/>
          <w:shd w:val="clear" w:color="auto" w:fill="FFFFFF"/>
          <w:rtl/>
        </w:rPr>
        <w:t xml:space="preserve">. </w:t>
      </w:r>
      <w:r>
        <w:rPr>
          <w:rFonts w:ascii="David" w:eastAsia="Times New Roman" w:hAnsi="David" w:cs="David"/>
          <w:sz w:val="28"/>
          <w:szCs w:val="28"/>
          <w:rtl/>
        </w:rPr>
        <w:t xml:space="preserve">שיקול הדעת לקבוע את שיעור הפיצוי מסור לבית הדין בשים לב לנסיבות המקרה, </w:t>
      </w:r>
      <w:r>
        <w:rPr>
          <w:rFonts w:ascii="David" w:eastAsia="Times New Roman" w:hAnsi="David" w:cs="David"/>
          <w:b/>
          <w:bCs/>
          <w:sz w:val="28"/>
          <w:szCs w:val="28"/>
          <w:rtl/>
        </w:rPr>
        <w:t>"</w:t>
      </w:r>
      <w:r>
        <w:rPr>
          <w:rFonts w:ascii="David" w:hAnsi="David" w:cs="David"/>
          <w:b/>
          <w:bCs/>
          <w:color w:val="000000"/>
          <w:sz w:val="28"/>
          <w:szCs w:val="28"/>
          <w:shd w:val="clear" w:color="auto" w:fill="FFFFFF"/>
          <w:rtl/>
        </w:rPr>
        <w:t>טיב המעשים, ואת תכיפותם על פני פרק הזמן בו התרחשו"</w:t>
      </w:r>
      <w:r>
        <w:rPr>
          <w:rStyle w:val="af0"/>
          <w:rFonts w:ascii="David" w:hAnsi="David" w:cs="David"/>
          <w:color w:val="000000"/>
          <w:sz w:val="28"/>
          <w:szCs w:val="28"/>
          <w:shd w:val="clear" w:color="auto" w:fill="FFFFFF"/>
          <w:rtl/>
        </w:rPr>
        <w:footnoteReference w:id="7"/>
      </w:r>
      <w:r>
        <w:rPr>
          <w:rFonts w:ascii="David" w:hAnsi="David" w:cs="David"/>
          <w:color w:val="000000"/>
          <w:sz w:val="28"/>
          <w:szCs w:val="28"/>
          <w:shd w:val="clear" w:color="auto" w:fill="FFFFFF"/>
          <w:rtl/>
        </w:rPr>
        <w:t>.</w:t>
      </w:r>
    </w:p>
    <w:p w14:paraId="79C7C128" w14:textId="77777777" w:rsidR="00BE284B" w:rsidRDefault="00BE284B" w:rsidP="00BE284B">
      <w:pPr>
        <w:pStyle w:val="ad"/>
        <w:numPr>
          <w:ilvl w:val="0"/>
          <w:numId w:val="3"/>
        </w:numPr>
        <w:spacing w:before="120" w:after="120" w:line="360" w:lineRule="auto"/>
        <w:ind w:left="425" w:hanging="425"/>
        <w:jc w:val="both"/>
        <w:rPr>
          <w:rFonts w:ascii="David" w:eastAsia="Times New Roman" w:hAnsi="David" w:cs="David"/>
          <w:sz w:val="28"/>
          <w:szCs w:val="28"/>
        </w:rPr>
      </w:pPr>
      <w:r>
        <w:rPr>
          <w:rFonts w:ascii="David" w:hAnsi="David" w:cs="David"/>
          <w:color w:val="000000"/>
          <w:sz w:val="28"/>
          <w:szCs w:val="28"/>
          <w:shd w:val="clear" w:color="auto" w:fill="FFFFFF"/>
          <w:rtl/>
        </w:rPr>
        <w:t xml:space="preserve">בענייננו פסק הדין האזורי קבע כי </w:t>
      </w:r>
      <w:proofErr w:type="spellStart"/>
      <w:r>
        <w:rPr>
          <w:rFonts w:ascii="David" w:hAnsi="David" w:cs="David"/>
          <w:color w:val="000000"/>
          <w:sz w:val="28"/>
          <w:szCs w:val="28"/>
          <w:shd w:val="clear" w:color="auto" w:fill="FFFFFF"/>
          <w:rtl/>
        </w:rPr>
        <w:t>עאמר</w:t>
      </w:r>
      <w:proofErr w:type="spellEnd"/>
      <w:r>
        <w:rPr>
          <w:rFonts w:ascii="David" w:hAnsi="David" w:cs="David"/>
          <w:color w:val="000000"/>
          <w:sz w:val="28"/>
          <w:szCs w:val="28"/>
          <w:shd w:val="clear" w:color="auto" w:fill="FFFFFF"/>
          <w:rtl/>
        </w:rPr>
        <w:t xml:space="preserve"> הטריד מינית את המערערת בשני אירועים נפרדים: הראשון, הטרדה מינית "מילולית"; והשני במגע באיבר מסוים בגופה "בהיבט המיני". אירועים אלו התרחשו ביום השני וביום השלישי לתקופת העבודה השנייה, אשר נמשכה שלושה ימי עבודה בלבד. עוד נקבע כי החברה הפרה את מחויבויותיה על פי דין, ובכלל זה, ביררה את התלונה באופן "טכני" בלבד, זיהמה את עריכת הבירור בשל בירור מקביל שנעשה על ידי מר </w:t>
      </w:r>
      <w:proofErr w:type="spellStart"/>
      <w:r>
        <w:rPr>
          <w:rFonts w:ascii="David" w:hAnsi="David" w:cs="David"/>
          <w:color w:val="000000"/>
          <w:sz w:val="28"/>
          <w:szCs w:val="28"/>
          <w:shd w:val="clear" w:color="auto" w:fill="FFFFFF"/>
          <w:rtl/>
        </w:rPr>
        <w:t>ורטהיימר</w:t>
      </w:r>
      <w:proofErr w:type="spellEnd"/>
      <w:r>
        <w:rPr>
          <w:rFonts w:ascii="David" w:hAnsi="David" w:cs="David"/>
          <w:color w:val="000000"/>
          <w:sz w:val="28"/>
          <w:szCs w:val="28"/>
          <w:shd w:val="clear" w:color="auto" w:fill="FFFFFF"/>
          <w:rtl/>
        </w:rPr>
        <w:t xml:space="preserve">, לא קיימה את חובותיה בנוגע לתקנון, לא קיימה הדרכות לעובדים ועוד. </w:t>
      </w:r>
      <w:r>
        <w:rPr>
          <w:rFonts w:ascii="David" w:eastAsia="Times New Roman" w:hAnsi="David" w:cs="David"/>
          <w:sz w:val="28"/>
          <w:szCs w:val="28"/>
          <w:rtl/>
        </w:rPr>
        <w:t xml:space="preserve">על רקע קביעות אלה חייב בית הדין האזורי את עמאר לשלם לפלונית פיצוי בסכום של 20,000 ש"ח ואת החברה בפיצוי בסכום של 50,000 ש"ח. </w:t>
      </w:r>
    </w:p>
    <w:p w14:paraId="7F4A1A75"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rtl/>
        </w:rPr>
        <w:t>ככלל ערכאת הערעור אינה נוטה להתערב בסכום הפיצוי שנקבע על ידי הערכאה הדיונית, שכן סכום הפיצוי אינו "מדע מדויק". עם זאת התערבות בסכום הפיצוי אפשרית מקום בו ערכאת הערעור מתרשמת שסכום הפיצוי הנפסק חורג ממתחם הפיצוי הסביר</w:t>
      </w:r>
      <w:r>
        <w:rPr>
          <w:rStyle w:val="af0"/>
          <w:rFonts w:ascii="Arial" w:eastAsia="Times New Roman" w:hAnsi="Arial" w:cs="David"/>
          <w:sz w:val="28"/>
          <w:szCs w:val="28"/>
          <w:rtl/>
        </w:rPr>
        <w:footnoteReference w:id="8"/>
      </w:r>
      <w:r>
        <w:rPr>
          <w:rFonts w:ascii="Arial" w:eastAsia="Times New Roman" w:hAnsi="Arial" w:cs="David"/>
          <w:sz w:val="28"/>
          <w:szCs w:val="28"/>
          <w:rtl/>
        </w:rPr>
        <w:t xml:space="preserve">. </w:t>
      </w:r>
    </w:p>
    <w:p w14:paraId="58E5EF51"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David" w:eastAsia="Times New Roman" w:hAnsi="David" w:cs="David"/>
          <w:sz w:val="28"/>
          <w:szCs w:val="28"/>
          <w:rtl/>
        </w:rPr>
        <w:t xml:space="preserve">בענייננו, מצאנו לנכון להתערב בסכום הפיצוי אותו חויב </w:t>
      </w:r>
      <w:proofErr w:type="spellStart"/>
      <w:r>
        <w:rPr>
          <w:rFonts w:ascii="David" w:eastAsia="Times New Roman" w:hAnsi="David" w:cs="David"/>
          <w:sz w:val="28"/>
          <w:szCs w:val="28"/>
          <w:rtl/>
        </w:rPr>
        <w:t>עאמר</w:t>
      </w:r>
      <w:proofErr w:type="spellEnd"/>
      <w:r>
        <w:rPr>
          <w:rFonts w:ascii="David" w:eastAsia="Times New Roman" w:hAnsi="David" w:cs="David"/>
          <w:sz w:val="28"/>
          <w:szCs w:val="28"/>
          <w:rtl/>
        </w:rPr>
        <w:t xml:space="preserve"> לשלם לפלונית ולהגדילו לסכום של 50,000 ש"ח נכון להיום. להלן טעמינו:</w:t>
      </w:r>
    </w:p>
    <w:p w14:paraId="081AD729" w14:textId="77777777" w:rsidR="00BE284B" w:rsidRDefault="00BE284B" w:rsidP="00BE284B">
      <w:pPr>
        <w:pStyle w:val="ad"/>
        <w:spacing w:before="120" w:after="120" w:line="360" w:lineRule="auto"/>
        <w:ind w:left="425"/>
        <w:jc w:val="both"/>
        <w:rPr>
          <w:rFonts w:ascii="Arial" w:eastAsia="Times New Roman" w:hAnsi="Arial" w:cs="David"/>
          <w:sz w:val="28"/>
          <w:szCs w:val="28"/>
        </w:rPr>
      </w:pPr>
      <w:r>
        <w:rPr>
          <w:rFonts w:ascii="Arial" w:eastAsia="Times New Roman" w:hAnsi="Arial" w:cs="David"/>
          <w:sz w:val="28"/>
          <w:szCs w:val="28"/>
          <w:rtl/>
        </w:rPr>
        <w:t xml:space="preserve">לעניין שיעור הפיצוי שהושת על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קבע בית הדין האזורי בסעיף 31 לפסק דינו כך:</w:t>
      </w:r>
    </w:p>
    <w:p w14:paraId="08BD067B" w14:textId="77777777" w:rsidR="00BE284B" w:rsidRDefault="00BE284B" w:rsidP="00BE284B">
      <w:pPr>
        <w:pStyle w:val="ad"/>
        <w:spacing w:after="0" w:line="240" w:lineRule="auto"/>
        <w:ind w:left="992" w:right="567"/>
        <w:jc w:val="both"/>
        <w:rPr>
          <w:rFonts w:ascii="Arial" w:eastAsia="Times New Roman" w:hAnsi="Arial" w:cs="David"/>
          <w:b/>
          <w:bCs/>
          <w:sz w:val="28"/>
          <w:szCs w:val="28"/>
        </w:rPr>
      </w:pPr>
      <w:r>
        <w:rPr>
          <w:rFonts w:ascii="Arial" w:eastAsia="Times New Roman" w:hAnsi="Arial" w:cs="David"/>
          <w:b/>
          <w:bCs/>
          <w:sz w:val="28"/>
          <w:szCs w:val="28"/>
          <w:rtl/>
        </w:rPr>
        <w:t xml:space="preserve">"... בהתאם להלכה הפסוקה שיעור הפיצוי בגין מעשה הטרדה מינית צריך להיקבע על פי מכלול הנסיבות המיוחדות של המקרה (ענין פלוני). </w:t>
      </w:r>
    </w:p>
    <w:p w14:paraId="56AE5434" w14:textId="77777777" w:rsidR="00BE284B" w:rsidRDefault="00BE284B" w:rsidP="00BE284B">
      <w:pPr>
        <w:pStyle w:val="ad"/>
        <w:spacing w:after="0" w:line="240" w:lineRule="auto"/>
        <w:ind w:left="992" w:right="567"/>
        <w:jc w:val="both"/>
        <w:rPr>
          <w:rFonts w:ascii="Arial" w:eastAsia="Times New Roman" w:hAnsi="Arial" w:cs="David"/>
          <w:b/>
          <w:bCs/>
          <w:sz w:val="28"/>
          <w:szCs w:val="28"/>
          <w:rtl/>
        </w:rPr>
      </w:pPr>
      <w:r>
        <w:rPr>
          <w:rFonts w:ascii="Arial" w:eastAsia="Times New Roman" w:hAnsi="Arial" w:cs="David"/>
          <w:b/>
          <w:bCs/>
          <w:sz w:val="28"/>
          <w:szCs w:val="28"/>
          <w:rtl/>
        </w:rPr>
        <w:t xml:space="preserve">לאחרונה עמד בית הדין הארצי על כך שלעתים גם כאשר מדובר בהטרדה מינית מילולית "בלבד", נודעת לה חומרה מיוחדת. שכן גם אם אינה מכוונת להשגת נגישות מינית או כפיית קשר מיני, היא יכולה להיעשות באופן מודע או שלא מודע כאמצעי להשגת שליטה או כוח (...) (להלן: עניין משטרת ישראל), ודומה שזה מצב הדברים כאן ככל שמדובר </w:t>
      </w:r>
      <w:proofErr w:type="spellStart"/>
      <w:r>
        <w:rPr>
          <w:rFonts w:ascii="Arial" w:eastAsia="Times New Roman" w:hAnsi="Arial" w:cs="David"/>
          <w:b/>
          <w:bCs/>
          <w:sz w:val="28"/>
          <w:szCs w:val="28"/>
          <w:rtl/>
        </w:rPr>
        <w:t>בארוע</w:t>
      </w:r>
      <w:proofErr w:type="spellEnd"/>
      <w:r>
        <w:rPr>
          <w:rFonts w:ascii="Arial" w:eastAsia="Times New Roman" w:hAnsi="Arial" w:cs="David"/>
          <w:b/>
          <w:bCs/>
          <w:sz w:val="28"/>
          <w:szCs w:val="28"/>
          <w:rtl/>
        </w:rPr>
        <w:t xml:space="preserve"> שארע בחדר המדבקות. זאת ועוד, דבריו של </w:t>
      </w:r>
      <w:proofErr w:type="spellStart"/>
      <w:r>
        <w:rPr>
          <w:rFonts w:ascii="Arial" w:eastAsia="Times New Roman" w:hAnsi="Arial" w:cs="David"/>
          <w:b/>
          <w:bCs/>
          <w:sz w:val="28"/>
          <w:szCs w:val="28"/>
          <w:rtl/>
        </w:rPr>
        <w:t>עאמר</w:t>
      </w:r>
      <w:proofErr w:type="spellEnd"/>
      <w:r>
        <w:rPr>
          <w:rFonts w:ascii="Arial" w:eastAsia="Times New Roman" w:hAnsi="Arial" w:cs="David"/>
          <w:b/>
          <w:bCs/>
          <w:sz w:val="28"/>
          <w:szCs w:val="28"/>
          <w:rtl/>
        </w:rPr>
        <w:t xml:space="preserve"> בחדר המדבקות הביאו להחפצה והקטנה של התובעת, ולהתייחסות משפילה ומביכה אליה באופן בוטה כאל אובייקט מיני. העובדה שבאותה עת שהו בחדר המדבקות רק גברים מחמירה את הדברים, כפי שבא לידי ביטוי בקלטת, ומובילה למסקנה שהתובעת חוותה </w:t>
      </w:r>
      <w:proofErr w:type="spellStart"/>
      <w:r>
        <w:rPr>
          <w:rFonts w:ascii="Arial" w:eastAsia="Times New Roman" w:hAnsi="Arial" w:cs="David"/>
          <w:b/>
          <w:bCs/>
          <w:sz w:val="28"/>
          <w:szCs w:val="28"/>
          <w:rtl/>
        </w:rPr>
        <w:t>עגמת</w:t>
      </w:r>
      <w:proofErr w:type="spellEnd"/>
      <w:r>
        <w:rPr>
          <w:rFonts w:ascii="Arial" w:eastAsia="Times New Roman" w:hAnsi="Arial" w:cs="David"/>
          <w:b/>
          <w:bCs/>
          <w:sz w:val="28"/>
          <w:szCs w:val="28"/>
          <w:rtl/>
        </w:rPr>
        <w:t xml:space="preserve"> נפש רבה. </w:t>
      </w:r>
    </w:p>
    <w:p w14:paraId="78E13F94" w14:textId="77777777" w:rsidR="00BE284B" w:rsidRDefault="00BE284B" w:rsidP="00BE284B">
      <w:pPr>
        <w:pStyle w:val="ad"/>
        <w:spacing w:after="0" w:line="240" w:lineRule="auto"/>
        <w:ind w:left="992" w:right="567"/>
        <w:jc w:val="both"/>
        <w:rPr>
          <w:rFonts w:ascii="Arial" w:eastAsia="Times New Roman" w:hAnsi="Arial" w:cs="David"/>
          <w:b/>
          <w:bCs/>
          <w:sz w:val="28"/>
          <w:szCs w:val="28"/>
          <w:rtl/>
        </w:rPr>
      </w:pPr>
      <w:r>
        <w:rPr>
          <w:rFonts w:ascii="Arial" w:eastAsia="Times New Roman" w:hAnsi="Arial" w:cs="David"/>
          <w:b/>
          <w:bCs/>
          <w:sz w:val="28"/>
          <w:szCs w:val="28"/>
          <w:rtl/>
        </w:rPr>
        <w:t xml:space="preserve">דומה שעל נגיעה בגופו של אדם אחר כשאינו חפץ בכך ובמקום העבודה בפרט, לא צריך להכביר מילים. עם זאת קבענו שלא מדובר בכפייה של חיבוק ונשיקה אלא בנגיעה בגוף. </w:t>
      </w:r>
    </w:p>
    <w:p w14:paraId="74511828" w14:textId="77777777" w:rsidR="00BE284B" w:rsidRDefault="00BE284B" w:rsidP="00BE284B">
      <w:pPr>
        <w:pStyle w:val="ad"/>
        <w:spacing w:after="0" w:line="240" w:lineRule="auto"/>
        <w:ind w:left="992" w:right="567"/>
        <w:jc w:val="both"/>
        <w:rPr>
          <w:rFonts w:ascii="Arial" w:eastAsia="Times New Roman" w:hAnsi="Arial" w:cs="David"/>
          <w:b/>
          <w:bCs/>
          <w:sz w:val="28"/>
          <w:szCs w:val="28"/>
          <w:rtl/>
        </w:rPr>
      </w:pPr>
      <w:r>
        <w:rPr>
          <w:rFonts w:ascii="Arial" w:eastAsia="Times New Roman" w:hAnsi="Arial" w:cs="David"/>
          <w:b/>
          <w:bCs/>
          <w:sz w:val="28"/>
          <w:szCs w:val="28"/>
          <w:rtl/>
        </w:rPr>
        <w:t xml:space="preserve">עוד הבאנו בחשבון בקביעת שיעור הפיצוי שמדובר בשני </w:t>
      </w:r>
      <w:proofErr w:type="spellStart"/>
      <w:r>
        <w:rPr>
          <w:rFonts w:ascii="Arial" w:eastAsia="Times New Roman" w:hAnsi="Arial" w:cs="David"/>
          <w:b/>
          <w:bCs/>
          <w:sz w:val="28"/>
          <w:szCs w:val="28"/>
          <w:rtl/>
        </w:rPr>
        <w:t>ארועים</w:t>
      </w:r>
      <w:proofErr w:type="spellEnd"/>
      <w:r>
        <w:rPr>
          <w:rFonts w:ascii="Arial" w:eastAsia="Times New Roman" w:hAnsi="Arial" w:cs="David"/>
          <w:b/>
          <w:bCs/>
          <w:sz w:val="28"/>
          <w:szCs w:val="28"/>
          <w:rtl/>
        </w:rPr>
        <w:t xml:space="preserve"> </w:t>
      </w:r>
      <w:proofErr w:type="spellStart"/>
      <w:r>
        <w:rPr>
          <w:rFonts w:ascii="Arial" w:eastAsia="Times New Roman" w:hAnsi="Arial" w:cs="David"/>
          <w:b/>
          <w:bCs/>
          <w:sz w:val="28"/>
          <w:szCs w:val="28"/>
          <w:rtl/>
        </w:rPr>
        <w:t>שארעו</w:t>
      </w:r>
      <w:proofErr w:type="spellEnd"/>
      <w:r>
        <w:rPr>
          <w:rFonts w:ascii="Arial" w:eastAsia="Times New Roman" w:hAnsi="Arial" w:cs="David"/>
          <w:b/>
          <w:bCs/>
          <w:sz w:val="28"/>
          <w:szCs w:val="28"/>
          <w:rtl/>
        </w:rPr>
        <w:t xml:space="preserve"> בתוך 3 ימים בלבד. משמע התובעת הפכה </w:t>
      </w:r>
      <w:proofErr w:type="spellStart"/>
      <w:r>
        <w:rPr>
          <w:rFonts w:ascii="Arial" w:eastAsia="Times New Roman" w:hAnsi="Arial" w:cs="David"/>
          <w:b/>
          <w:bCs/>
          <w:sz w:val="28"/>
          <w:szCs w:val="28"/>
          <w:rtl/>
        </w:rPr>
        <w:t>לעאמר</w:t>
      </w:r>
      <w:proofErr w:type="spellEnd"/>
      <w:r>
        <w:rPr>
          <w:rFonts w:ascii="Arial" w:eastAsia="Times New Roman" w:hAnsi="Arial" w:cs="David"/>
          <w:b/>
          <w:bCs/>
          <w:sz w:val="28"/>
          <w:szCs w:val="28"/>
          <w:rtl/>
        </w:rPr>
        <w:t xml:space="preserve"> 'למטרה'. על כן אנו מעמידים את הפיצוי לתובעת </w:t>
      </w:r>
      <w:proofErr w:type="spellStart"/>
      <w:r>
        <w:rPr>
          <w:rFonts w:ascii="Arial" w:eastAsia="Times New Roman" w:hAnsi="Arial" w:cs="David"/>
          <w:b/>
          <w:bCs/>
          <w:sz w:val="28"/>
          <w:szCs w:val="28"/>
          <w:rtl/>
        </w:rPr>
        <w:t>מעאמר</w:t>
      </w:r>
      <w:proofErr w:type="spellEnd"/>
      <w:r>
        <w:rPr>
          <w:rFonts w:ascii="Arial" w:eastAsia="Times New Roman" w:hAnsi="Arial" w:cs="David"/>
          <w:b/>
          <w:bCs/>
          <w:sz w:val="28"/>
          <w:szCs w:val="28"/>
          <w:rtl/>
        </w:rPr>
        <w:t xml:space="preserve"> בגין שני המעשים על 20,000 ₪."</w:t>
      </w:r>
    </w:p>
    <w:p w14:paraId="6618BF6C" w14:textId="77777777" w:rsidR="00BE284B" w:rsidRDefault="00BE284B" w:rsidP="00BE284B">
      <w:pPr>
        <w:pStyle w:val="ad"/>
        <w:spacing w:after="0" w:line="240" w:lineRule="auto"/>
        <w:ind w:left="992" w:right="567"/>
        <w:jc w:val="both"/>
        <w:rPr>
          <w:rFonts w:ascii="Arial" w:eastAsia="Times New Roman" w:hAnsi="Arial" w:cs="David"/>
          <w:b/>
          <w:bCs/>
          <w:sz w:val="28"/>
          <w:szCs w:val="28"/>
          <w:rtl/>
        </w:rPr>
      </w:pPr>
    </w:p>
    <w:p w14:paraId="5E748D0A" w14:textId="77777777" w:rsidR="00BE284B" w:rsidRDefault="00BE284B" w:rsidP="00BE284B">
      <w:pPr>
        <w:pStyle w:val="ad"/>
        <w:spacing w:before="120" w:after="120" w:line="360" w:lineRule="auto"/>
        <w:ind w:left="425"/>
        <w:jc w:val="both"/>
        <w:rPr>
          <w:rFonts w:ascii="Arial" w:eastAsia="Times New Roman" w:hAnsi="Arial" w:cs="David"/>
          <w:sz w:val="28"/>
          <w:szCs w:val="28"/>
          <w:rtl/>
        </w:rPr>
      </w:pPr>
      <w:r>
        <w:rPr>
          <w:rFonts w:ascii="Arial" w:eastAsia="Times New Roman" w:hAnsi="Arial" w:cs="David"/>
          <w:sz w:val="28"/>
          <w:szCs w:val="28"/>
          <w:rtl/>
        </w:rPr>
        <w:t xml:space="preserve">מקובלת עלינו קביעת בית הדין האזורי כי נסיבות העניין מלמדות כי עמאר הפך את פלונית למטרה, וחמור מכך ההטרדה המינית המילולית מצידו </w:t>
      </w:r>
      <w:proofErr w:type="spellStart"/>
      <w:r>
        <w:rPr>
          <w:rFonts w:ascii="Arial" w:eastAsia="Times New Roman" w:hAnsi="Arial" w:cs="David"/>
          <w:sz w:val="28"/>
          <w:szCs w:val="28"/>
          <w:rtl/>
        </w:rPr>
        <w:t>היתה</w:t>
      </w:r>
      <w:proofErr w:type="spellEnd"/>
      <w:r>
        <w:rPr>
          <w:rFonts w:ascii="Arial" w:eastAsia="Times New Roman" w:hAnsi="Arial" w:cs="David"/>
          <w:sz w:val="28"/>
          <w:szCs w:val="28"/>
          <w:rtl/>
        </w:rPr>
        <w:t xml:space="preserve"> גם מבזה וגם משפילה (סעיף 3(א)(5) לחוק הנוקט לשון "מבזה </w:t>
      </w:r>
      <w:r>
        <w:rPr>
          <w:rFonts w:ascii="Arial" w:eastAsia="Times New Roman" w:hAnsi="Arial" w:cs="David"/>
          <w:sz w:val="28"/>
          <w:szCs w:val="28"/>
          <w:u w:val="single"/>
          <w:rtl/>
        </w:rPr>
        <w:t>או</w:t>
      </w:r>
      <w:r>
        <w:rPr>
          <w:rFonts w:ascii="Arial" w:eastAsia="Times New Roman" w:hAnsi="Arial" w:cs="David"/>
          <w:sz w:val="28"/>
          <w:szCs w:val="28"/>
          <w:rtl/>
        </w:rPr>
        <w:t xml:space="preserve"> משפילה"). לא בכדי קבע בית הדין האזורי כי פלונית </w:t>
      </w:r>
      <w:r>
        <w:rPr>
          <w:rFonts w:ascii="Arial" w:eastAsia="Times New Roman" w:hAnsi="Arial" w:cs="David"/>
          <w:b/>
          <w:bCs/>
          <w:sz w:val="28"/>
          <w:szCs w:val="28"/>
          <w:rtl/>
        </w:rPr>
        <w:t xml:space="preserve">"חוותה </w:t>
      </w:r>
      <w:proofErr w:type="spellStart"/>
      <w:r>
        <w:rPr>
          <w:rFonts w:ascii="Arial" w:eastAsia="Times New Roman" w:hAnsi="Arial" w:cs="David"/>
          <w:b/>
          <w:bCs/>
          <w:sz w:val="28"/>
          <w:szCs w:val="28"/>
          <w:rtl/>
        </w:rPr>
        <w:t>עגמת</w:t>
      </w:r>
      <w:proofErr w:type="spellEnd"/>
      <w:r>
        <w:rPr>
          <w:rFonts w:ascii="Arial" w:eastAsia="Times New Roman" w:hAnsi="Arial" w:cs="David"/>
          <w:b/>
          <w:bCs/>
          <w:sz w:val="28"/>
          <w:szCs w:val="28"/>
          <w:rtl/>
        </w:rPr>
        <w:t xml:space="preserve"> נפש רבה"</w:t>
      </w:r>
      <w:r>
        <w:rPr>
          <w:rFonts w:ascii="Arial" w:eastAsia="Times New Roman" w:hAnsi="Arial" w:cs="David"/>
          <w:sz w:val="28"/>
          <w:szCs w:val="28"/>
          <w:rtl/>
        </w:rPr>
        <w:t xml:space="preserve">. </w:t>
      </w:r>
    </w:p>
    <w:p w14:paraId="3853ADAC" w14:textId="77777777" w:rsidR="00BE284B" w:rsidRDefault="00BE284B" w:rsidP="00BE284B">
      <w:pPr>
        <w:pStyle w:val="ad"/>
        <w:spacing w:before="120" w:after="120" w:line="360" w:lineRule="auto"/>
        <w:ind w:left="425"/>
        <w:jc w:val="both"/>
        <w:rPr>
          <w:rFonts w:ascii="Arial" w:eastAsia="Times New Roman" w:hAnsi="Arial" w:cs="David"/>
          <w:sz w:val="28"/>
          <w:szCs w:val="28"/>
          <w:rtl/>
        </w:rPr>
      </w:pPr>
      <w:r>
        <w:rPr>
          <w:rFonts w:ascii="Arial" w:eastAsia="Times New Roman" w:hAnsi="Arial" w:cs="David"/>
          <w:sz w:val="28"/>
          <w:szCs w:val="28"/>
          <w:rtl/>
        </w:rPr>
        <w:t xml:space="preserve">בנסיבות אלה, שיעור הפיצוי שהושת על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w:t>
      </w:r>
      <w:proofErr w:type="spellStart"/>
      <w:r>
        <w:rPr>
          <w:rFonts w:ascii="Arial" w:eastAsia="Times New Roman" w:hAnsi="Arial" w:cs="David"/>
          <w:sz w:val="28"/>
          <w:szCs w:val="28"/>
          <w:rtl/>
        </w:rPr>
        <w:t>המעוול</w:t>
      </w:r>
      <w:proofErr w:type="spellEnd"/>
      <w:r>
        <w:rPr>
          <w:rFonts w:ascii="Arial" w:eastAsia="Times New Roman" w:hAnsi="Arial" w:cs="David"/>
          <w:sz w:val="28"/>
          <w:szCs w:val="28"/>
          <w:rtl/>
        </w:rPr>
        <w:t xml:space="preserve"> הישיר, אינו משקף לדידנו את החומרה היתרה שבהתנהגותו המבזה </w:t>
      </w:r>
      <w:r>
        <w:rPr>
          <w:rFonts w:ascii="Arial" w:eastAsia="Times New Roman" w:hAnsi="Arial" w:cs="David"/>
          <w:sz w:val="28"/>
          <w:szCs w:val="28"/>
          <w:u w:val="single"/>
          <w:rtl/>
        </w:rPr>
        <w:t>ו</w:t>
      </w:r>
      <w:r>
        <w:rPr>
          <w:rFonts w:ascii="Arial" w:eastAsia="Times New Roman" w:hAnsi="Arial" w:cs="David"/>
          <w:sz w:val="28"/>
          <w:szCs w:val="28"/>
          <w:rtl/>
        </w:rPr>
        <w:t xml:space="preserve">המשפילה כלפי פלונית וראוי כי מעשיו החמורים יקבלו ביטוי בפסיקת פיצוי משמעותי יותר </w:t>
      </w:r>
      <w:proofErr w:type="spellStart"/>
      <w:r>
        <w:rPr>
          <w:rFonts w:ascii="Arial" w:eastAsia="Times New Roman" w:hAnsi="Arial" w:cs="David"/>
          <w:sz w:val="28"/>
          <w:szCs w:val="28"/>
          <w:rtl/>
        </w:rPr>
        <w:t>שיתן</w:t>
      </w:r>
      <w:proofErr w:type="spellEnd"/>
      <w:r>
        <w:rPr>
          <w:rFonts w:ascii="Arial" w:eastAsia="Times New Roman" w:hAnsi="Arial" w:cs="David"/>
          <w:sz w:val="28"/>
          <w:szCs w:val="28"/>
          <w:rtl/>
        </w:rPr>
        <w:t xml:space="preserve"> ביטוי לעוצמת הביזוי וההשפלה שחוותה פלונית הן במעמד האמירה והן לאחריה.</w:t>
      </w:r>
    </w:p>
    <w:p w14:paraId="7D3A6EAE"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tl/>
        </w:rPr>
      </w:pPr>
      <w:r>
        <w:rPr>
          <w:rFonts w:ascii="David" w:eastAsia="Times New Roman" w:hAnsi="David" w:cs="David"/>
          <w:sz w:val="28"/>
          <w:szCs w:val="28"/>
          <w:rtl/>
        </w:rPr>
        <w:t>אשר לפיצוי אשר הושת על החברה - גם אם יתכן וניתן היה לחייבה בפיצוי בגין נזק לא ממוני בסכום גבוה יותר, לא מצאנו כי הסכום שבו חויבה מצדיק את התערבותנו</w:t>
      </w:r>
      <w:r>
        <w:rPr>
          <w:rFonts w:ascii="Arial" w:eastAsia="Times New Roman" w:hAnsi="Arial" w:cs="David"/>
          <w:sz w:val="28"/>
          <w:szCs w:val="28"/>
          <w:rtl/>
        </w:rPr>
        <w:t xml:space="preserve">. ודאי בראי הגדלת הפיצוי בו חויב </w:t>
      </w:r>
      <w:proofErr w:type="spellStart"/>
      <w:r>
        <w:rPr>
          <w:rFonts w:ascii="Arial" w:eastAsia="Times New Roman" w:hAnsi="Arial" w:cs="David"/>
          <w:sz w:val="28"/>
          <w:szCs w:val="28"/>
          <w:rtl/>
        </w:rPr>
        <w:t>עאמר</w:t>
      </w:r>
      <w:proofErr w:type="spellEnd"/>
      <w:r>
        <w:rPr>
          <w:rFonts w:ascii="Arial" w:eastAsia="Times New Roman" w:hAnsi="Arial" w:cs="David"/>
          <w:sz w:val="28"/>
          <w:szCs w:val="28"/>
          <w:rtl/>
        </w:rPr>
        <w:t xml:space="preserve">, כמו גם בראי מסקנתנו בכל הנוגע לחיוב החברה בפיצוי בגין הפרה של חוק איסור לשון הרע, כמפורט בהמשך. נבהיר כבר עתה כי </w:t>
      </w:r>
      <w:proofErr w:type="spellStart"/>
      <w:r>
        <w:rPr>
          <w:rFonts w:ascii="Arial" w:eastAsia="Times New Roman" w:hAnsi="Arial" w:cs="David"/>
          <w:sz w:val="28"/>
          <w:szCs w:val="28"/>
          <w:rtl/>
        </w:rPr>
        <w:t>בהנתן</w:t>
      </w:r>
      <w:proofErr w:type="spellEnd"/>
      <w:r>
        <w:rPr>
          <w:rFonts w:ascii="Arial" w:eastAsia="Times New Roman" w:hAnsi="Arial" w:cs="David"/>
          <w:sz w:val="28"/>
          <w:szCs w:val="28"/>
          <w:rtl/>
        </w:rPr>
        <w:t xml:space="preserve"> ששני סכומי הפיצוי הם ללא הוכחת נזק </w:t>
      </w:r>
      <w:proofErr w:type="spellStart"/>
      <w:r>
        <w:rPr>
          <w:rFonts w:ascii="Arial" w:eastAsia="Times New Roman" w:hAnsi="Arial" w:cs="David"/>
          <w:sz w:val="28"/>
          <w:szCs w:val="28"/>
          <w:rtl/>
        </w:rPr>
        <w:t>ובהנתן</w:t>
      </w:r>
      <w:proofErr w:type="spellEnd"/>
      <w:r>
        <w:rPr>
          <w:rFonts w:ascii="Arial" w:eastAsia="Times New Roman" w:hAnsi="Arial" w:cs="David"/>
          <w:sz w:val="28"/>
          <w:szCs w:val="28"/>
          <w:rtl/>
        </w:rPr>
        <w:t xml:space="preserve"> כי עילתם בתשתית עובדתית שהיא חלק ממארג עובדתי אחד הגענו למסקנה כי בעת בחינת שיעור הפיצוי יש להתבונן על פיצויים אלה במשולב.</w:t>
      </w:r>
    </w:p>
    <w:p w14:paraId="45B50930"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tl/>
        </w:rPr>
      </w:pPr>
      <w:r>
        <w:rPr>
          <w:rFonts w:ascii="Arial" w:eastAsia="Times New Roman" w:hAnsi="Arial" w:cs="David"/>
          <w:sz w:val="28"/>
          <w:szCs w:val="28"/>
          <w:rtl/>
        </w:rPr>
        <w:t>לאמור נוסיף כי המערערת הפנתה למספר הליכים ללמד על מתחם הפיצוי הראוי. בפסקי הדין נקבע סכום הפיצוי כנגזרת של מספר אירועי ההטרדה המינית וחומרתם, ובכלל זאת נסיבות המקרה, אופיים של האירועים, לרבות השאלה האם מדובר באירוע מסוג הטרדה מינית פיסית או מילולית, האם מדובר באירועים חוזרים, האם החברה ידעה על אירועי ההטרדה בזמן אמת, ומה פעולות המנע שביצעה למיגורם. עיון בהליכים אלו מצביע על שונות מהותית של חומרת האירועים לעומת אלו במקרה שלפנינו, ובהתאמה של סכומי הפיצויים שנפסקו בגינם.</w:t>
      </w:r>
    </w:p>
    <w:p w14:paraId="4D2E5991" w14:textId="77777777" w:rsidR="00BE284B" w:rsidRDefault="00BE284B" w:rsidP="00BE284B">
      <w:pPr>
        <w:pStyle w:val="ad"/>
        <w:numPr>
          <w:ilvl w:val="0"/>
          <w:numId w:val="3"/>
        </w:numPr>
        <w:spacing w:before="120" w:after="120" w:line="360" w:lineRule="auto"/>
        <w:ind w:left="425" w:hanging="425"/>
        <w:jc w:val="both"/>
        <w:rPr>
          <w:rFonts w:ascii="Arial" w:eastAsia="Times New Roman" w:hAnsi="Arial" w:cs="David"/>
          <w:sz w:val="28"/>
          <w:szCs w:val="28"/>
        </w:rPr>
      </w:pPr>
      <w:r>
        <w:rPr>
          <w:rFonts w:ascii="Arial" w:eastAsia="Times New Roman" w:hAnsi="Arial" w:cs="David"/>
          <w:sz w:val="28"/>
          <w:szCs w:val="28"/>
          <w:rtl/>
        </w:rPr>
        <w:t xml:space="preserve">בית הדין האזורי ואף הצדדים לא התייחסו לשאלת היחס שבין חיובי עמאר (עושה העוולה) לבין חיובי החברה, משכך אף אנו לא נדרשנו לשאלה זו במקרה שלפנינו. יחד עם זאת בהמשך לנפסק בעניין </w:t>
      </w:r>
      <w:r>
        <w:rPr>
          <w:rFonts w:ascii="Arial" w:eastAsia="Times New Roman" w:hAnsi="Arial" w:cs="David"/>
          <w:b/>
          <w:bCs/>
          <w:sz w:val="28"/>
          <w:szCs w:val="28"/>
          <w:rtl/>
        </w:rPr>
        <w:t>פלונית 2011</w:t>
      </w:r>
      <w:r>
        <w:rPr>
          <w:rFonts w:ascii="Arial" w:eastAsia="Times New Roman" w:hAnsi="Arial" w:cs="David"/>
          <w:sz w:val="28"/>
          <w:szCs w:val="28"/>
          <w:rtl/>
        </w:rPr>
        <w:t xml:space="preserve"> ולהערה בעניין </w:t>
      </w:r>
      <w:r>
        <w:rPr>
          <w:rFonts w:ascii="Arial" w:eastAsia="Times New Roman" w:hAnsi="Arial" w:cs="David"/>
          <w:b/>
          <w:bCs/>
          <w:sz w:val="28"/>
          <w:szCs w:val="28"/>
          <w:rtl/>
        </w:rPr>
        <w:t>מועצה מקומית שהם</w:t>
      </w:r>
      <w:r>
        <w:rPr>
          <w:rStyle w:val="af0"/>
          <w:rFonts w:ascii="Arial" w:eastAsia="Times New Roman" w:hAnsi="Arial" w:cs="David"/>
          <w:sz w:val="28"/>
          <w:szCs w:val="28"/>
          <w:rtl/>
        </w:rPr>
        <w:footnoteReference w:id="9"/>
      </w:r>
      <w:r>
        <w:rPr>
          <w:rFonts w:ascii="Arial" w:eastAsia="Times New Roman" w:hAnsi="Arial" w:cs="David"/>
          <w:sz w:val="28"/>
          <w:szCs w:val="28"/>
          <w:rtl/>
        </w:rPr>
        <w:t xml:space="preserve">, ראוי להקדיש כמה מילים, ולו למעלה מן הדרוש, ליחס שבין חיובי המטריד עושה העוולה לחיובי מעסיקו: </w:t>
      </w:r>
      <w:r>
        <w:rPr>
          <w:rFonts w:ascii="Arial" w:eastAsia="Times New Roman" w:hAnsi="Arial" w:cs="David"/>
          <w:b/>
          <w:bCs/>
          <w:sz w:val="28"/>
          <w:szCs w:val="28"/>
          <w:rtl/>
        </w:rPr>
        <w:tab/>
      </w:r>
    </w:p>
    <w:p w14:paraId="062EF56F" w14:textId="77777777" w:rsidR="00BE284B" w:rsidRDefault="00BE284B" w:rsidP="00BE284B">
      <w:pPr>
        <w:pStyle w:val="ad"/>
        <w:numPr>
          <w:ilvl w:val="0"/>
          <w:numId w:val="8"/>
        </w:numPr>
        <w:spacing w:after="0" w:line="360" w:lineRule="auto"/>
        <w:ind w:left="708" w:hanging="283"/>
        <w:jc w:val="both"/>
        <w:rPr>
          <w:rFonts w:ascii="Arial" w:eastAsia="Times New Roman" w:hAnsi="Arial" w:cs="David"/>
          <w:sz w:val="28"/>
          <w:szCs w:val="28"/>
        </w:rPr>
      </w:pPr>
      <w:r>
        <w:rPr>
          <w:rFonts w:ascii="Arial" w:eastAsia="Times New Roman" w:hAnsi="Arial" w:cs="David"/>
          <w:sz w:val="28"/>
          <w:szCs w:val="28"/>
          <w:rtl/>
        </w:rPr>
        <w:t xml:space="preserve">הטרדה מינית (כמו גם התנכלות) היא כאמור עוולה לפי הפקודה. סעיף 3 לפקודה קובע כי </w:t>
      </w:r>
      <w:r>
        <w:rPr>
          <w:rFonts w:ascii="Arial" w:eastAsia="Times New Roman" w:hAnsi="Arial" w:cs="David"/>
          <w:b/>
          <w:bCs/>
          <w:sz w:val="28"/>
          <w:szCs w:val="28"/>
          <w:rtl/>
        </w:rPr>
        <w:t xml:space="preserve">"... כל הנפגע או הניזוק על ידי עוולה שנעשתה בישראל יהא זכאי לתרופה המפורשת בפקודה מידי </w:t>
      </w:r>
      <w:r>
        <w:rPr>
          <w:rFonts w:ascii="Arial" w:eastAsia="Times New Roman" w:hAnsi="Arial" w:cs="David"/>
          <w:b/>
          <w:bCs/>
          <w:sz w:val="28"/>
          <w:szCs w:val="28"/>
          <w:u w:val="single"/>
          <w:rtl/>
        </w:rPr>
        <w:t>עושה העוולה</w:t>
      </w:r>
      <w:r>
        <w:rPr>
          <w:rFonts w:ascii="Arial" w:eastAsia="Times New Roman" w:hAnsi="Arial" w:cs="David"/>
          <w:b/>
          <w:bCs/>
          <w:sz w:val="28"/>
          <w:szCs w:val="28"/>
          <w:rtl/>
        </w:rPr>
        <w:t xml:space="preserve"> או </w:t>
      </w:r>
      <w:r>
        <w:rPr>
          <w:rFonts w:ascii="Arial" w:eastAsia="Times New Roman" w:hAnsi="Arial" w:cs="David"/>
          <w:b/>
          <w:bCs/>
          <w:sz w:val="28"/>
          <w:szCs w:val="28"/>
          <w:u w:val="single"/>
          <w:rtl/>
        </w:rPr>
        <w:t>האחראי לה</w:t>
      </w:r>
      <w:r>
        <w:rPr>
          <w:rFonts w:ascii="Arial" w:eastAsia="Times New Roman" w:hAnsi="Arial" w:cs="David"/>
          <w:b/>
          <w:bCs/>
          <w:sz w:val="28"/>
          <w:szCs w:val="28"/>
          <w:rtl/>
        </w:rPr>
        <w:t>"</w:t>
      </w:r>
      <w:r>
        <w:rPr>
          <w:rFonts w:ascii="Arial" w:eastAsia="Times New Roman" w:hAnsi="Arial" w:cs="David"/>
          <w:sz w:val="28"/>
          <w:szCs w:val="28"/>
          <w:rtl/>
        </w:rPr>
        <w:t xml:space="preserve"> (הדגשות הוספו – א.א.). הנה כי כן, מי שבוצעה כלפיו עוולה לפי החוק זכאי לתרופה מידי "</w:t>
      </w:r>
      <w:proofErr w:type="spellStart"/>
      <w:r>
        <w:rPr>
          <w:rFonts w:ascii="Arial" w:eastAsia="Times New Roman" w:hAnsi="Arial" w:cs="David"/>
          <w:sz w:val="28"/>
          <w:szCs w:val="28"/>
          <w:rtl/>
        </w:rPr>
        <w:t>המעוול</w:t>
      </w:r>
      <w:proofErr w:type="spellEnd"/>
      <w:r>
        <w:rPr>
          <w:rFonts w:ascii="Arial" w:eastAsia="Times New Roman" w:hAnsi="Arial" w:cs="David"/>
          <w:sz w:val="28"/>
          <w:szCs w:val="28"/>
          <w:rtl/>
        </w:rPr>
        <w:t xml:space="preserve">" או מידי "האחראי" לה. </w:t>
      </w:r>
    </w:p>
    <w:p w14:paraId="528A4A10" w14:textId="77777777" w:rsidR="00BE284B" w:rsidRDefault="00BE284B" w:rsidP="00BE284B">
      <w:pPr>
        <w:pStyle w:val="ad"/>
        <w:numPr>
          <w:ilvl w:val="0"/>
          <w:numId w:val="8"/>
        </w:numPr>
        <w:spacing w:after="0" w:line="360" w:lineRule="auto"/>
        <w:ind w:left="708" w:hanging="283"/>
        <w:jc w:val="both"/>
        <w:rPr>
          <w:rFonts w:ascii="Arial" w:eastAsia="Times New Roman" w:hAnsi="Arial" w:cs="David"/>
          <w:sz w:val="28"/>
          <w:szCs w:val="28"/>
          <w:rtl/>
        </w:rPr>
      </w:pPr>
      <w:r>
        <w:rPr>
          <w:rFonts w:ascii="Arial" w:eastAsia="Times New Roman" w:hAnsi="Arial" w:cs="David"/>
          <w:sz w:val="28"/>
          <w:szCs w:val="28"/>
          <w:rtl/>
        </w:rPr>
        <w:t>אשר ל"עושה העוולה" – במקום עבודה, באופן תיאורטי יתכנו שניים שהם בגדר "עושה עוולה":</w:t>
      </w:r>
    </w:p>
    <w:p w14:paraId="1E481E22" w14:textId="77777777" w:rsidR="00BE284B" w:rsidRDefault="00BE284B" w:rsidP="00BE284B">
      <w:pPr>
        <w:pStyle w:val="ad"/>
        <w:spacing w:after="0" w:line="360" w:lineRule="auto"/>
        <w:ind w:left="708"/>
        <w:jc w:val="both"/>
        <w:rPr>
          <w:rFonts w:ascii="Arial" w:eastAsia="Times New Roman" w:hAnsi="Arial" w:cs="David"/>
          <w:sz w:val="28"/>
          <w:szCs w:val="28"/>
        </w:rPr>
      </w:pPr>
      <w:r>
        <w:rPr>
          <w:rFonts w:ascii="Arial" w:eastAsia="Times New Roman" w:hAnsi="Arial" w:cs="David"/>
          <w:sz w:val="28"/>
          <w:szCs w:val="28"/>
          <w:rtl/>
        </w:rPr>
        <w:t>אם ה</w:t>
      </w:r>
      <w:r>
        <w:rPr>
          <w:rFonts w:ascii="Arial" w:eastAsia="Times New Roman" w:hAnsi="Arial" w:cs="David"/>
          <w:b/>
          <w:bCs/>
          <w:sz w:val="28"/>
          <w:szCs w:val="28"/>
          <w:rtl/>
        </w:rPr>
        <w:t>עובד</w:t>
      </w:r>
      <w:r>
        <w:rPr>
          <w:rFonts w:ascii="Arial" w:eastAsia="Times New Roman" w:hAnsi="Arial" w:cs="David"/>
          <w:sz w:val="28"/>
          <w:szCs w:val="28"/>
          <w:rtl/>
        </w:rPr>
        <w:t xml:space="preserve"> הוא "עושה עוולה", בין עוולה של הטרדה מינית ובין עוולה של התנכלות, הרי שהוא חב בתרופות להן זכאי הנפגע – בין אם מדובר בתרופות המפורטות בפרק ה' לפקודה (סעיף 6(א) לחוק), שמן הסתם עיקרן בפסיקת פיצויים, ובין תרופה של פיצוי ללא הוכחת נזק (סעיף 6(ב) לחוק).</w:t>
      </w:r>
    </w:p>
    <w:p w14:paraId="4FB8BB6B" w14:textId="77777777" w:rsidR="00BE284B" w:rsidRDefault="00BE284B" w:rsidP="00BE284B">
      <w:pPr>
        <w:pStyle w:val="ad"/>
        <w:spacing w:after="0" w:line="360" w:lineRule="auto"/>
        <w:ind w:left="708"/>
        <w:jc w:val="both"/>
        <w:rPr>
          <w:rFonts w:ascii="Arial" w:eastAsia="Times New Roman" w:hAnsi="Arial" w:cs="David"/>
          <w:sz w:val="28"/>
          <w:szCs w:val="28"/>
        </w:rPr>
      </w:pPr>
      <w:r>
        <w:rPr>
          <w:rFonts w:ascii="Arial" w:eastAsia="Times New Roman" w:hAnsi="Arial" w:cs="David"/>
          <w:sz w:val="28"/>
          <w:szCs w:val="28"/>
          <w:rtl/>
        </w:rPr>
        <w:t xml:space="preserve">אם </w:t>
      </w:r>
      <w:r>
        <w:rPr>
          <w:rFonts w:ascii="Arial" w:eastAsia="Times New Roman" w:hAnsi="Arial" w:cs="David"/>
          <w:b/>
          <w:bCs/>
          <w:sz w:val="28"/>
          <w:szCs w:val="28"/>
          <w:rtl/>
        </w:rPr>
        <w:t>המעסיק</w:t>
      </w:r>
      <w:r>
        <w:rPr>
          <w:rFonts w:ascii="Arial" w:eastAsia="Times New Roman" w:hAnsi="Arial" w:cs="David"/>
          <w:sz w:val="28"/>
          <w:szCs w:val="28"/>
          <w:rtl/>
        </w:rPr>
        <w:t xml:space="preserve"> הוא "עושה עוולה", גם הוא חב באותן התרופות. מבחינה עיונית אפשר שהמעסיק יהיה "עושה עוולה" בכל אחת משתי האפשרויות הבאות: </w:t>
      </w:r>
      <w:r>
        <w:rPr>
          <w:rFonts w:ascii="Arial" w:eastAsia="Times New Roman" w:hAnsi="Arial" w:cs="David"/>
          <w:sz w:val="28"/>
          <w:szCs w:val="28"/>
          <w:u w:val="single"/>
          <w:rtl/>
        </w:rPr>
        <w:t>האחת</w:t>
      </w:r>
      <w:r>
        <w:rPr>
          <w:rFonts w:ascii="Arial" w:eastAsia="Times New Roman" w:hAnsi="Arial" w:cs="David"/>
          <w:sz w:val="28"/>
          <w:szCs w:val="28"/>
          <w:rtl/>
        </w:rPr>
        <w:t>, האפשרות הפשוטה - כאשר המעסיק הוא "עושה העוולה" באופן "ישיר", קרי, כאשר המעסיק ביצע בעצמו עוולה של הטרדה מינית או התנכלות</w:t>
      </w:r>
      <w:r>
        <w:rPr>
          <w:rStyle w:val="af0"/>
          <w:rFonts w:ascii="Arial" w:eastAsia="Times New Roman" w:hAnsi="Arial" w:cs="David"/>
          <w:sz w:val="28"/>
          <w:szCs w:val="28"/>
          <w:rtl/>
        </w:rPr>
        <w:footnoteReference w:id="10"/>
      </w:r>
      <w:r>
        <w:rPr>
          <w:rFonts w:ascii="Arial" w:eastAsia="Times New Roman" w:hAnsi="Arial" w:cs="David"/>
          <w:sz w:val="28"/>
          <w:szCs w:val="28"/>
          <w:rtl/>
        </w:rPr>
        <w:t xml:space="preserve"> (נפרדת מזו שביצע עובדו); </w:t>
      </w:r>
      <w:proofErr w:type="spellStart"/>
      <w:r>
        <w:rPr>
          <w:rFonts w:ascii="Arial" w:eastAsia="Times New Roman" w:hAnsi="Arial" w:cs="David"/>
          <w:sz w:val="28"/>
          <w:szCs w:val="28"/>
          <w:u w:val="single"/>
          <w:rtl/>
        </w:rPr>
        <w:t>השניה</w:t>
      </w:r>
      <w:proofErr w:type="spellEnd"/>
      <w:r>
        <w:rPr>
          <w:rFonts w:ascii="Arial" w:eastAsia="Times New Roman" w:hAnsi="Arial" w:cs="David"/>
          <w:sz w:val="28"/>
          <w:szCs w:val="28"/>
          <w:rtl/>
        </w:rPr>
        <w:t>, מורכבת יותר, ותלויה באפשרות לראות את המעסיק, הגם שלא ביצע בעצמו את העוולה, כ"עושה העוולה" באופן "עקיף". למשל, ומבלי לקבוע מסמרות לגבי אפשרות זו, כאשר מחדל של המעסיק הביא לביצוע העוולה של ההטרדה המינית או של ההתנכלות מצד העובד</w:t>
      </w:r>
      <w:r>
        <w:rPr>
          <w:rStyle w:val="af0"/>
          <w:rFonts w:ascii="Arial" w:eastAsia="Times New Roman" w:hAnsi="Arial" w:cs="David"/>
          <w:sz w:val="28"/>
          <w:szCs w:val="28"/>
          <w:rtl/>
        </w:rPr>
        <w:footnoteReference w:id="11"/>
      </w:r>
      <w:r>
        <w:rPr>
          <w:rFonts w:ascii="Arial" w:eastAsia="Times New Roman" w:hAnsi="Arial" w:cs="David"/>
          <w:sz w:val="28"/>
          <w:szCs w:val="28"/>
          <w:rtl/>
        </w:rPr>
        <w:t>.</w:t>
      </w:r>
      <w:r>
        <w:rPr>
          <w:rtl/>
        </w:rPr>
        <w:t xml:space="preserve"> </w:t>
      </w:r>
      <w:r>
        <w:rPr>
          <w:rFonts w:ascii="Arial" w:eastAsia="Times New Roman" w:hAnsi="Arial" w:cs="David"/>
          <w:sz w:val="28"/>
          <w:szCs w:val="28"/>
          <w:rtl/>
        </w:rPr>
        <w:t xml:space="preserve">יובהר כי האפשרות </w:t>
      </w:r>
      <w:proofErr w:type="spellStart"/>
      <w:r>
        <w:rPr>
          <w:rFonts w:ascii="Arial" w:eastAsia="Times New Roman" w:hAnsi="Arial" w:cs="David"/>
          <w:sz w:val="28"/>
          <w:szCs w:val="28"/>
          <w:rtl/>
        </w:rPr>
        <w:t>השניה</w:t>
      </w:r>
      <w:proofErr w:type="spellEnd"/>
      <w:r>
        <w:rPr>
          <w:rFonts w:ascii="Arial" w:eastAsia="Times New Roman" w:hAnsi="Arial" w:cs="David"/>
          <w:sz w:val="28"/>
          <w:szCs w:val="28"/>
          <w:rtl/>
        </w:rPr>
        <w:t xml:space="preserve">, ככל שהיא ניתנת לביסוס עובדתי ומשפטי במקרה הנדון, מאליו תעורר את השאלה האם היא אפשרית בגדרי סמכותו העניינית של בית הדין מכוח החוק (שכן יכול ועניינה של אפשרות זו בעוולת הרשלנות או בעוולה אחרת שאינה מסורה לסמכותו של בית הדין). ויודגש, אין בהצגת אפשרות עיונית זו כדי להביע עמדה לכאן או לכאן בכל הנוגע לאפשרות לביסוסה, לרבות בשאלת סמכותו של בית הדין </w:t>
      </w:r>
      <w:proofErr w:type="spellStart"/>
      <w:r>
        <w:rPr>
          <w:rFonts w:ascii="Arial" w:eastAsia="Times New Roman" w:hAnsi="Arial" w:cs="David"/>
          <w:sz w:val="28"/>
          <w:szCs w:val="28"/>
          <w:rtl/>
        </w:rPr>
        <w:t>להדרש</w:t>
      </w:r>
      <w:proofErr w:type="spellEnd"/>
      <w:r>
        <w:rPr>
          <w:rFonts w:ascii="Arial" w:eastAsia="Times New Roman" w:hAnsi="Arial" w:cs="David"/>
          <w:sz w:val="28"/>
          <w:szCs w:val="28"/>
          <w:rtl/>
        </w:rPr>
        <w:t xml:space="preserve"> אליה.</w:t>
      </w:r>
    </w:p>
    <w:p w14:paraId="7CFAD321" w14:textId="77777777" w:rsidR="00BE284B" w:rsidRDefault="00BE284B" w:rsidP="00BE284B">
      <w:pPr>
        <w:pStyle w:val="ad"/>
        <w:numPr>
          <w:ilvl w:val="0"/>
          <w:numId w:val="8"/>
        </w:numPr>
        <w:spacing w:after="0" w:line="360" w:lineRule="auto"/>
        <w:ind w:left="708" w:hanging="283"/>
        <w:jc w:val="both"/>
        <w:rPr>
          <w:rFonts w:ascii="Arial" w:eastAsia="Times New Roman" w:hAnsi="Arial" w:cs="David"/>
          <w:sz w:val="28"/>
          <w:szCs w:val="28"/>
        </w:rPr>
      </w:pPr>
      <w:r>
        <w:rPr>
          <w:rFonts w:ascii="Arial" w:eastAsia="Times New Roman" w:hAnsi="Arial" w:cs="David"/>
          <w:sz w:val="28"/>
          <w:szCs w:val="28"/>
          <w:rtl/>
        </w:rPr>
        <w:t xml:space="preserve">נעיר שגם אם לא בוצעה עוולה של הטרדה מינית או התנכלות לפי החוק, אפשר שהמעסיק </w:t>
      </w:r>
      <w:proofErr w:type="spellStart"/>
      <w:r>
        <w:rPr>
          <w:rFonts w:ascii="Arial" w:eastAsia="Times New Roman" w:hAnsi="Arial" w:cs="David"/>
          <w:sz w:val="28"/>
          <w:szCs w:val="28"/>
          <w:rtl/>
        </w:rPr>
        <w:t>יחוב</w:t>
      </w:r>
      <w:proofErr w:type="spellEnd"/>
      <w:r>
        <w:rPr>
          <w:rFonts w:ascii="Arial" w:eastAsia="Times New Roman" w:hAnsi="Arial" w:cs="David"/>
          <w:sz w:val="28"/>
          <w:szCs w:val="28"/>
          <w:rtl/>
        </w:rPr>
        <w:t xml:space="preserve"> בפיצוי מכוח </w:t>
      </w:r>
      <w:r>
        <w:rPr>
          <w:rFonts w:ascii="Arial" w:eastAsia="Times New Roman" w:hAnsi="Arial" w:cs="David"/>
          <w:b/>
          <w:bCs/>
          <w:sz w:val="28"/>
          <w:szCs w:val="28"/>
          <w:rtl/>
        </w:rPr>
        <w:t>"הפרת חובות המעסיק על פי החוק והתקנות"</w:t>
      </w:r>
      <w:r>
        <w:rPr>
          <w:rFonts w:ascii="Arial" w:eastAsia="Times New Roman" w:hAnsi="Arial" w:cs="David"/>
          <w:sz w:val="28"/>
          <w:szCs w:val="28"/>
          <w:rtl/>
        </w:rPr>
        <w:t xml:space="preserve">. בעניין </w:t>
      </w:r>
      <w:r>
        <w:rPr>
          <w:rFonts w:ascii="Arial" w:eastAsia="Times New Roman" w:hAnsi="Arial" w:cs="David"/>
          <w:b/>
          <w:bCs/>
          <w:sz w:val="28"/>
          <w:szCs w:val="28"/>
          <w:rtl/>
        </w:rPr>
        <w:t xml:space="preserve">אלמונית 2015 </w:t>
      </w:r>
      <w:r>
        <w:rPr>
          <w:rFonts w:ascii="Arial" w:eastAsia="Times New Roman" w:hAnsi="Arial" w:cs="David"/>
          <w:sz w:val="28"/>
          <w:szCs w:val="28"/>
          <w:rtl/>
        </w:rPr>
        <w:t xml:space="preserve">נקבע כי </w:t>
      </w:r>
      <w:r>
        <w:rPr>
          <w:rFonts w:ascii="Arial" w:eastAsia="Times New Roman" w:hAnsi="Arial" w:cs="David"/>
          <w:b/>
          <w:bCs/>
          <w:sz w:val="28"/>
          <w:szCs w:val="28"/>
          <w:rtl/>
        </w:rPr>
        <w:t xml:space="preserve">"'ארגז הכלים' המשפטי מחזיק כלים נאותים על מנת להתמודד עם מקרה כאמור  – למשל, יכול ותעלה טענה להפרת הסכם עבודה, לרבות חובת תום הלב; הפרת חובה חקוקה; הפרת חובת הנאמנות </w:t>
      </w:r>
      <w:proofErr w:type="spellStart"/>
      <w:r>
        <w:rPr>
          <w:rFonts w:ascii="Arial" w:eastAsia="Times New Roman" w:hAnsi="Arial" w:cs="David"/>
          <w:b/>
          <w:bCs/>
          <w:sz w:val="28"/>
          <w:szCs w:val="28"/>
          <w:rtl/>
        </w:rPr>
        <w:t>וכיוצ"ב</w:t>
      </w:r>
      <w:proofErr w:type="spellEnd"/>
      <w:r>
        <w:rPr>
          <w:rFonts w:ascii="Arial" w:eastAsia="Times New Roman" w:hAnsi="Arial" w:cs="David"/>
          <w:b/>
          <w:bCs/>
          <w:sz w:val="28"/>
          <w:szCs w:val="28"/>
          <w:rtl/>
        </w:rPr>
        <w:t>"</w:t>
      </w:r>
      <w:r>
        <w:rPr>
          <w:rFonts w:ascii="Arial" w:eastAsia="Times New Roman" w:hAnsi="Arial" w:cs="David"/>
          <w:sz w:val="28"/>
          <w:szCs w:val="28"/>
          <w:rtl/>
        </w:rPr>
        <w:t>.</w:t>
      </w:r>
      <w:r>
        <w:rPr>
          <w:rtl/>
        </w:rPr>
        <w:t xml:space="preserve"> </w:t>
      </w:r>
      <w:r>
        <w:rPr>
          <w:rFonts w:ascii="Arial" w:eastAsia="Times New Roman" w:hAnsi="Arial" w:cs="David"/>
          <w:sz w:val="28"/>
          <w:szCs w:val="28"/>
          <w:rtl/>
        </w:rPr>
        <w:t>במקרה כזה מוקד הדיון אינו בנזק מעוולה כאמור לפי החוק (שכן כזו לא בוצעה), אלא בשאלת הקשר הסיבתי שבין ההפרה לנזק, ככל שנגרם, או בשאלת ההצדקה לפסיקת פיצוי בנסיבות אותו עניין, בין אם נגרם נזק ובין אם לאו.</w:t>
      </w:r>
    </w:p>
    <w:p w14:paraId="3D82A255" w14:textId="77777777" w:rsidR="00BE284B" w:rsidRDefault="00BE284B" w:rsidP="00BE284B">
      <w:pPr>
        <w:pStyle w:val="ad"/>
        <w:numPr>
          <w:ilvl w:val="0"/>
          <w:numId w:val="8"/>
        </w:numPr>
        <w:spacing w:after="0" w:line="360" w:lineRule="auto"/>
        <w:ind w:left="708" w:hanging="283"/>
        <w:jc w:val="both"/>
        <w:rPr>
          <w:rFonts w:ascii="Arial" w:eastAsia="Times New Roman" w:hAnsi="Arial" w:cs="David"/>
          <w:sz w:val="28"/>
          <w:szCs w:val="28"/>
        </w:rPr>
      </w:pPr>
      <w:r>
        <w:rPr>
          <w:rFonts w:ascii="Arial" w:eastAsia="Times New Roman" w:hAnsi="Arial" w:cs="David"/>
          <w:sz w:val="28"/>
          <w:szCs w:val="28"/>
          <w:rtl/>
        </w:rPr>
        <w:t xml:space="preserve">כאשר יש יותר מאשר "עושה עוולה" אחד ונגרם נזק, עולה שאלת חלוקת האחריות בין עושי העוולה, אם בכלל – תוך אבחנה בין מצב שבו </w:t>
      </w:r>
      <w:proofErr w:type="spellStart"/>
      <w:r>
        <w:rPr>
          <w:rFonts w:ascii="Arial" w:eastAsia="Times New Roman" w:hAnsi="Arial" w:cs="David"/>
          <w:sz w:val="28"/>
          <w:szCs w:val="28"/>
          <w:rtl/>
        </w:rPr>
        <w:t>המעוולים</w:t>
      </w:r>
      <w:proofErr w:type="spellEnd"/>
      <w:r>
        <w:rPr>
          <w:rFonts w:ascii="Arial" w:eastAsia="Times New Roman" w:hAnsi="Arial" w:cs="David"/>
          <w:sz w:val="28"/>
          <w:szCs w:val="28"/>
          <w:rtl/>
        </w:rPr>
        <w:t xml:space="preserve"> פועלים במשותף וגרמו לאותו נזק, מצב שבו </w:t>
      </w:r>
      <w:proofErr w:type="spellStart"/>
      <w:r>
        <w:rPr>
          <w:rFonts w:ascii="Arial" w:eastAsia="Times New Roman" w:hAnsi="Arial" w:cs="David"/>
          <w:sz w:val="28"/>
          <w:szCs w:val="28"/>
          <w:rtl/>
        </w:rPr>
        <w:t>המעוולים</w:t>
      </w:r>
      <w:proofErr w:type="spellEnd"/>
      <w:r>
        <w:rPr>
          <w:rFonts w:ascii="Arial" w:eastAsia="Times New Roman" w:hAnsi="Arial" w:cs="David"/>
          <w:sz w:val="28"/>
          <w:szCs w:val="28"/>
          <w:rtl/>
        </w:rPr>
        <w:t xml:space="preserve"> פעלו בנפרד וגרמו לנזק נפרד או למצב שבו </w:t>
      </w:r>
      <w:proofErr w:type="spellStart"/>
      <w:r>
        <w:rPr>
          <w:rFonts w:ascii="Arial" w:eastAsia="Times New Roman" w:hAnsi="Arial" w:cs="David"/>
          <w:sz w:val="28"/>
          <w:szCs w:val="28"/>
          <w:rtl/>
        </w:rPr>
        <w:t>המעוולים</w:t>
      </w:r>
      <w:proofErr w:type="spellEnd"/>
      <w:r>
        <w:rPr>
          <w:rFonts w:ascii="Arial" w:eastAsia="Times New Roman" w:hAnsi="Arial" w:cs="David"/>
          <w:sz w:val="28"/>
          <w:szCs w:val="28"/>
          <w:rtl/>
        </w:rPr>
        <w:t xml:space="preserve"> פעלו בנפרד אך גרמו לנזק אחד שלא ניתן לחלוקה. לעניין זה נקבע בע"א </w:t>
      </w:r>
      <w:proofErr w:type="spellStart"/>
      <w:r>
        <w:rPr>
          <w:rFonts w:ascii="Arial" w:eastAsia="Times New Roman" w:hAnsi="Arial" w:cs="David"/>
          <w:b/>
          <w:bCs/>
          <w:sz w:val="28"/>
          <w:szCs w:val="28"/>
          <w:rtl/>
        </w:rPr>
        <w:t>זלצר</w:t>
      </w:r>
      <w:proofErr w:type="spellEnd"/>
      <w:r>
        <w:rPr>
          <w:rStyle w:val="af0"/>
          <w:rFonts w:ascii="Arial" w:eastAsia="Times New Roman" w:hAnsi="Arial" w:cs="David"/>
          <w:sz w:val="28"/>
          <w:szCs w:val="28"/>
          <w:rtl/>
        </w:rPr>
        <w:footnoteReference w:id="12"/>
      </w:r>
      <w:r>
        <w:rPr>
          <w:rFonts w:ascii="Arial" w:eastAsia="Times New Roman" w:hAnsi="Arial" w:cs="David"/>
          <w:sz w:val="28"/>
          <w:szCs w:val="28"/>
          <w:rtl/>
        </w:rPr>
        <w:t xml:space="preserve"> כך:</w:t>
      </w:r>
    </w:p>
    <w:p w14:paraId="579A6EC5" w14:textId="77777777" w:rsidR="00BE284B" w:rsidRDefault="00BE284B" w:rsidP="00BE284B">
      <w:pPr>
        <w:pStyle w:val="ad"/>
        <w:spacing w:after="0" w:line="240" w:lineRule="auto"/>
        <w:ind w:left="992" w:right="567"/>
        <w:jc w:val="both"/>
        <w:rPr>
          <w:rFonts w:ascii="David" w:eastAsia="Times New Roman" w:hAnsi="David" w:cs="David"/>
          <w:b/>
          <w:bCs/>
          <w:color w:val="000000"/>
          <w:sz w:val="28"/>
          <w:szCs w:val="28"/>
          <w:rtl/>
        </w:rPr>
      </w:pPr>
      <w:r>
        <w:rPr>
          <w:rFonts w:ascii="David" w:eastAsia="Times New Roman" w:hAnsi="David" w:cs="David"/>
          <w:b/>
          <w:bCs/>
          <w:color w:val="000000"/>
          <w:sz w:val="28"/>
          <w:szCs w:val="28"/>
          <w:rtl/>
        </w:rPr>
        <w:t xml:space="preserve">"הפסיקה הכירה בשלושה סוגים עיקריים של מצבים שבהם מספר </w:t>
      </w:r>
      <w:proofErr w:type="spellStart"/>
      <w:r>
        <w:rPr>
          <w:rFonts w:ascii="David" w:eastAsia="Times New Roman" w:hAnsi="David" w:cs="David"/>
          <w:b/>
          <w:bCs/>
          <w:color w:val="000000"/>
          <w:sz w:val="28"/>
          <w:szCs w:val="28"/>
          <w:rtl/>
        </w:rPr>
        <w:t>מעוולים</w:t>
      </w:r>
      <w:proofErr w:type="spellEnd"/>
      <w:r>
        <w:rPr>
          <w:rFonts w:ascii="David" w:eastAsia="Times New Roman" w:hAnsi="David" w:cs="David"/>
          <w:b/>
          <w:bCs/>
          <w:color w:val="000000"/>
          <w:sz w:val="28"/>
          <w:szCs w:val="28"/>
          <w:rtl/>
        </w:rPr>
        <w:t xml:space="preserve"> גורמים נזק לאותו ניזוק בגדרי אותה מסכת עובדתית: </w:t>
      </w:r>
      <w:r>
        <w:rPr>
          <w:rFonts w:ascii="Aharoni" w:eastAsia="Times New Roman" w:hAnsi="Aharoni" w:cs="Aharoni"/>
          <w:color w:val="000000"/>
          <w:sz w:val="28"/>
          <w:szCs w:val="28"/>
          <w:rtl/>
        </w:rPr>
        <w:t>אחד</w:t>
      </w:r>
      <w:r>
        <w:rPr>
          <w:rFonts w:ascii="David" w:eastAsia="Times New Roman" w:hAnsi="David" w:cs="David"/>
          <w:b/>
          <w:bCs/>
          <w:color w:val="000000"/>
          <w:sz w:val="28"/>
          <w:szCs w:val="28"/>
          <w:rtl/>
        </w:rPr>
        <w:t xml:space="preserve">, מצב שבו </w:t>
      </w:r>
      <w:proofErr w:type="spellStart"/>
      <w:r>
        <w:rPr>
          <w:rFonts w:ascii="David" w:eastAsia="Times New Roman" w:hAnsi="David" w:cs="David"/>
          <w:b/>
          <w:bCs/>
          <w:color w:val="000000"/>
          <w:sz w:val="28"/>
          <w:szCs w:val="28"/>
          <w:rtl/>
        </w:rPr>
        <w:t>המעוולים</w:t>
      </w:r>
      <w:proofErr w:type="spellEnd"/>
      <w:r>
        <w:rPr>
          <w:rFonts w:ascii="David" w:eastAsia="Times New Roman" w:hAnsi="David" w:cs="David"/>
          <w:b/>
          <w:bCs/>
          <w:color w:val="000000"/>
          <w:sz w:val="28"/>
          <w:szCs w:val="28"/>
          <w:rtl/>
        </w:rPr>
        <w:t xml:space="preserve"> פועלים במשותף, כיחידת אחריות אחת, כגון קבוצה הפועלת יחד או מצב שבו קיימת אחריות </w:t>
      </w:r>
      <w:proofErr w:type="spellStart"/>
      <w:r>
        <w:rPr>
          <w:rFonts w:ascii="David" w:eastAsia="Times New Roman" w:hAnsi="David" w:cs="David"/>
          <w:b/>
          <w:bCs/>
          <w:color w:val="000000"/>
          <w:sz w:val="28"/>
          <w:szCs w:val="28"/>
          <w:rtl/>
        </w:rPr>
        <w:t>שילוחית</w:t>
      </w:r>
      <w:proofErr w:type="spellEnd"/>
      <w:r>
        <w:rPr>
          <w:rFonts w:ascii="David" w:eastAsia="Times New Roman" w:hAnsi="David" w:cs="David"/>
          <w:b/>
          <w:bCs/>
          <w:color w:val="000000"/>
          <w:sz w:val="28"/>
          <w:szCs w:val="28"/>
          <w:rtl/>
        </w:rPr>
        <w:t xml:space="preserve"> של גורם אחד על גורם אחר; </w:t>
      </w:r>
      <w:r>
        <w:rPr>
          <w:rFonts w:ascii="Aharoni" w:eastAsia="Times New Roman" w:hAnsi="Aharoni" w:cs="Aharoni"/>
          <w:color w:val="000000"/>
          <w:sz w:val="28"/>
          <w:szCs w:val="28"/>
          <w:rtl/>
        </w:rPr>
        <w:t>שני</w:t>
      </w:r>
      <w:r>
        <w:rPr>
          <w:rFonts w:ascii="David" w:eastAsia="Times New Roman" w:hAnsi="David" w:cs="David"/>
          <w:b/>
          <w:bCs/>
          <w:color w:val="000000"/>
          <w:sz w:val="28"/>
          <w:szCs w:val="28"/>
          <w:rtl/>
        </w:rPr>
        <w:t xml:space="preserve">, מצב שבו כל מעוול פועל באופן עצמאי, וגורם לנזק נפרד ומובחן מהנזק שגרמו יתר המזיקים. דוגמא לכך היא ...; </w:t>
      </w:r>
      <w:r>
        <w:rPr>
          <w:rFonts w:ascii="Aharoni" w:eastAsia="Times New Roman" w:hAnsi="Aharoni" w:cs="Aharoni"/>
          <w:color w:val="000000"/>
          <w:sz w:val="28"/>
          <w:szCs w:val="28"/>
          <w:rtl/>
        </w:rPr>
        <w:t>שלישי</w:t>
      </w:r>
      <w:r>
        <w:rPr>
          <w:rFonts w:ascii="David" w:eastAsia="Times New Roman" w:hAnsi="David" w:cs="David"/>
          <w:b/>
          <w:bCs/>
          <w:color w:val="000000"/>
          <w:sz w:val="28"/>
          <w:szCs w:val="28"/>
          <w:rtl/>
        </w:rPr>
        <w:t>, מצב שבו כל מעוול פועל באופן עצמאי אלא שנגרם נזק אחד שאינו ניתן לחלוקה. דוגמא לכך היא ...</w:t>
      </w:r>
    </w:p>
    <w:p w14:paraId="5A9857E0" w14:textId="77777777" w:rsidR="00BE284B" w:rsidRDefault="00BE284B" w:rsidP="00BE284B">
      <w:pPr>
        <w:pStyle w:val="ad"/>
        <w:spacing w:after="0" w:line="240" w:lineRule="auto"/>
        <w:ind w:left="992" w:right="567"/>
        <w:jc w:val="both"/>
        <w:rPr>
          <w:rFonts w:ascii="David" w:eastAsia="Times New Roman" w:hAnsi="David" w:cs="David"/>
          <w:b/>
          <w:bCs/>
          <w:color w:val="000000"/>
          <w:sz w:val="28"/>
          <w:szCs w:val="28"/>
          <w:rtl/>
        </w:rPr>
      </w:pPr>
      <w:r>
        <w:rPr>
          <w:rFonts w:ascii="David" w:eastAsia="Times New Roman" w:hAnsi="David" w:cs="David"/>
          <w:b/>
          <w:bCs/>
          <w:color w:val="000000"/>
          <w:sz w:val="28"/>
          <w:szCs w:val="28"/>
          <w:rtl/>
        </w:rPr>
        <w:t xml:space="preserve">שני המצבים הראשונים – </w:t>
      </w:r>
      <w:proofErr w:type="spellStart"/>
      <w:r>
        <w:rPr>
          <w:rFonts w:ascii="David" w:eastAsia="Times New Roman" w:hAnsi="David" w:cs="David"/>
          <w:b/>
          <w:bCs/>
          <w:color w:val="000000"/>
          <w:sz w:val="28"/>
          <w:szCs w:val="28"/>
          <w:rtl/>
        </w:rPr>
        <w:t>מעוולים</w:t>
      </w:r>
      <w:proofErr w:type="spellEnd"/>
      <w:r>
        <w:rPr>
          <w:rFonts w:ascii="David" w:eastAsia="Times New Roman" w:hAnsi="David" w:cs="David"/>
          <w:b/>
          <w:bCs/>
          <w:color w:val="000000"/>
          <w:sz w:val="28"/>
          <w:szCs w:val="28"/>
          <w:rtl/>
        </w:rPr>
        <w:t xml:space="preserve"> במשותף </w:t>
      </w:r>
      <w:proofErr w:type="spellStart"/>
      <w:r>
        <w:rPr>
          <w:rFonts w:ascii="David" w:eastAsia="Times New Roman" w:hAnsi="David" w:cs="David"/>
          <w:b/>
          <w:bCs/>
          <w:color w:val="000000"/>
          <w:sz w:val="28"/>
          <w:szCs w:val="28"/>
          <w:rtl/>
        </w:rPr>
        <w:t>ומעוולים</w:t>
      </w:r>
      <w:proofErr w:type="spellEnd"/>
      <w:r>
        <w:rPr>
          <w:rFonts w:ascii="David" w:eastAsia="Times New Roman" w:hAnsi="David" w:cs="David"/>
          <w:b/>
          <w:bCs/>
          <w:color w:val="000000"/>
          <w:sz w:val="28"/>
          <w:szCs w:val="28"/>
          <w:rtl/>
        </w:rPr>
        <w:t xml:space="preserve"> בנפרד שגרמו נזקים נפרדים – אינם מעוררים קושי רב מבחינה עקרונית. במצב הראשון כל אחד </w:t>
      </w:r>
      <w:proofErr w:type="spellStart"/>
      <w:r>
        <w:rPr>
          <w:rFonts w:ascii="David" w:eastAsia="Times New Roman" w:hAnsi="David" w:cs="David"/>
          <w:b/>
          <w:bCs/>
          <w:color w:val="000000"/>
          <w:sz w:val="28"/>
          <w:szCs w:val="28"/>
          <w:rtl/>
        </w:rPr>
        <w:t>מהמעוולים</w:t>
      </w:r>
      <w:proofErr w:type="spellEnd"/>
      <w:r>
        <w:rPr>
          <w:rFonts w:ascii="David" w:eastAsia="Times New Roman" w:hAnsi="David" w:cs="David"/>
          <w:b/>
          <w:bCs/>
          <w:color w:val="000000"/>
          <w:sz w:val="28"/>
          <w:szCs w:val="28"/>
          <w:rtl/>
        </w:rPr>
        <w:t xml:space="preserve"> אחראי לכל הנזק שנגרם, ולכן אין קושי מיוחד בתוצאה של חיוב ביחד ולחוד. במצב השני כל מעוול אחראי על נזק שונה, ולכן אין מקום לחייבו בגין נזק שלא גרם. המצב השלישי – שבו כל מעוול פועל באופן עצמאי אלא שנגרם נזק אחד שאינו ניתן לחלוקה – מעורר קשיים, ובמיוחד בפן המעשי, כאשר לא כל המזיקים יכולים לעמוד מבחינה כלכלית בתשלום חלקם היחסי בפיצוי. ..."</w:t>
      </w:r>
    </w:p>
    <w:p w14:paraId="21702430" w14:textId="77777777" w:rsidR="00BE284B" w:rsidRDefault="00BE284B" w:rsidP="00BE284B">
      <w:pPr>
        <w:pStyle w:val="ad"/>
        <w:spacing w:after="0" w:line="240" w:lineRule="auto"/>
        <w:ind w:left="1417" w:right="567"/>
        <w:jc w:val="both"/>
        <w:rPr>
          <w:rFonts w:ascii="David" w:eastAsia="Times New Roman" w:hAnsi="David" w:cs="David"/>
          <w:b/>
          <w:bCs/>
          <w:color w:val="000000"/>
          <w:sz w:val="28"/>
          <w:szCs w:val="28"/>
          <w:rtl/>
        </w:rPr>
      </w:pPr>
    </w:p>
    <w:p w14:paraId="662909EC" w14:textId="77777777" w:rsidR="00BE284B" w:rsidRDefault="00BE284B" w:rsidP="00BE284B">
      <w:pPr>
        <w:pStyle w:val="ad"/>
        <w:numPr>
          <w:ilvl w:val="0"/>
          <w:numId w:val="8"/>
        </w:numPr>
        <w:spacing w:after="0" w:line="360" w:lineRule="auto"/>
        <w:ind w:left="708" w:hanging="283"/>
        <w:jc w:val="both"/>
        <w:rPr>
          <w:rFonts w:ascii="Times New Roman" w:hAnsi="Times New Roman" w:cs="David"/>
          <w:sz w:val="28"/>
          <w:szCs w:val="28"/>
          <w:rtl/>
        </w:rPr>
      </w:pPr>
      <w:r>
        <w:rPr>
          <w:rFonts w:ascii="Arial" w:eastAsia="Times New Roman" w:hAnsi="Arial" w:cs="David"/>
          <w:sz w:val="28"/>
          <w:szCs w:val="28"/>
          <w:rtl/>
        </w:rPr>
        <w:t>אשר ל"אחראי" לעוולה –</w:t>
      </w:r>
    </w:p>
    <w:p w14:paraId="4F6E7D52" w14:textId="77777777" w:rsidR="00BE284B" w:rsidRDefault="00BE284B" w:rsidP="00BE284B">
      <w:pPr>
        <w:pStyle w:val="ad"/>
        <w:spacing w:after="0" w:line="360" w:lineRule="auto"/>
        <w:ind w:left="708"/>
        <w:jc w:val="both"/>
        <w:rPr>
          <w:rFonts w:ascii="Times New Roman" w:hAnsi="Times New Roman" w:cs="David"/>
          <w:sz w:val="28"/>
          <w:szCs w:val="28"/>
          <w:rtl/>
        </w:rPr>
      </w:pPr>
      <w:r>
        <w:rPr>
          <w:rFonts w:ascii="Times New Roman" w:hAnsi="Times New Roman" w:cs="David"/>
          <w:sz w:val="28"/>
          <w:szCs w:val="28"/>
          <w:rtl/>
        </w:rPr>
        <w:t xml:space="preserve">בעניין </w:t>
      </w:r>
      <w:r>
        <w:rPr>
          <w:rFonts w:ascii="Times New Roman" w:hAnsi="Times New Roman" w:cs="David"/>
          <w:b/>
          <w:bCs/>
          <w:sz w:val="28"/>
          <w:szCs w:val="28"/>
          <w:rtl/>
        </w:rPr>
        <w:t>אלמונית 2015</w:t>
      </w:r>
      <w:r>
        <w:rPr>
          <w:rStyle w:val="af0"/>
          <w:rFonts w:ascii="Times New Roman" w:hAnsi="Times New Roman" w:cs="David"/>
          <w:sz w:val="28"/>
          <w:szCs w:val="28"/>
          <w:rtl/>
        </w:rPr>
        <w:footnoteReference w:id="13"/>
      </w:r>
      <w:r>
        <w:rPr>
          <w:rFonts w:ascii="Times New Roman" w:hAnsi="Times New Roman" w:cs="David"/>
          <w:sz w:val="28"/>
          <w:szCs w:val="28"/>
          <w:rtl/>
        </w:rPr>
        <w:t xml:space="preserve"> עמד בית הדין על כך שהפקודה קובעת נסיבות בהן תוטל אחריות למעשה עוולה לא רק על מבצע העוולה, אלא גם על "אחר" גם אם אינו "עושה העוולה". מה שניתן לכנות אחריות למעשה הזולת. כך למשל, בסעיף 13 לפקודה, שעוסק בחבות מעביד, נקבע כי בהתקיים תנאים מסוימים ניתן להטיל על מעסיק אחריות לעוולה שביצע עובדו. באותו עניין הודגש כי </w:t>
      </w:r>
      <w:r>
        <w:rPr>
          <w:rFonts w:ascii="Times New Roman" w:hAnsi="Times New Roman" w:cs="David"/>
          <w:b/>
          <w:bCs/>
          <w:sz w:val="28"/>
          <w:szCs w:val="28"/>
          <w:rtl/>
        </w:rPr>
        <w:t>"האפשרות להטיל על פלוני אחריות למעשי זולתו</w:t>
      </w:r>
      <w:r>
        <w:rPr>
          <w:rFonts w:ascii="Times New Roman" w:hAnsi="Times New Roman" w:cs="David"/>
          <w:sz w:val="28"/>
          <w:szCs w:val="28"/>
          <w:vertAlign w:val="superscript"/>
          <w:rtl/>
        </w:rPr>
        <w:footnoteReference w:id="14"/>
      </w:r>
      <w:r>
        <w:rPr>
          <w:rFonts w:ascii="Times New Roman" w:hAnsi="Times New Roman" w:cs="David"/>
          <w:sz w:val="28"/>
          <w:szCs w:val="28"/>
          <w:rtl/>
        </w:rPr>
        <w:t xml:space="preserve"> </w:t>
      </w:r>
      <w:r>
        <w:rPr>
          <w:rFonts w:ascii="Times New Roman" w:hAnsi="Times New Roman" w:cs="David"/>
          <w:b/>
          <w:bCs/>
          <w:sz w:val="28"/>
          <w:szCs w:val="28"/>
          <w:rtl/>
        </w:rPr>
        <w:t xml:space="preserve">– קרי, להטיל עליו אחריות בגין עוולה שעשה הזולת (ולא פלוני עצמו), מוכרת בדין מקום שבו מתקיימת מערכת יחסים מיוחדת בין פלוני ובין המזיק. אפשרות זו </w:t>
      </w:r>
      <w:proofErr w:type="spellStart"/>
      <w:r>
        <w:rPr>
          <w:rFonts w:ascii="Times New Roman" w:hAnsi="Times New Roman" w:cs="David"/>
          <w:b/>
          <w:bCs/>
          <w:sz w:val="28"/>
          <w:szCs w:val="28"/>
          <w:rtl/>
        </w:rPr>
        <w:t>מוּנעת</w:t>
      </w:r>
      <w:proofErr w:type="spellEnd"/>
      <w:r>
        <w:rPr>
          <w:rFonts w:ascii="Times New Roman" w:hAnsi="Times New Roman" w:cs="David"/>
          <w:b/>
          <w:bCs/>
          <w:sz w:val="28"/>
          <w:szCs w:val="28"/>
          <w:rtl/>
        </w:rPr>
        <w:t xml:space="preserve"> משיקולים והצדקות שונים, ובכללם: ההכרה בכך שמקום שבו פלוני קשור ליצירת הסיכון על ידי הזולת, הרי שהוגן להטיל עליו אחריות בגין התממשות אותו סיכון; יעילות במניעת העוולה; פיזור הנזק ועוד</w:t>
      </w:r>
      <w:r>
        <w:rPr>
          <w:rFonts w:ascii="Times New Roman" w:hAnsi="Times New Roman" w:cs="David"/>
          <w:sz w:val="28"/>
          <w:szCs w:val="28"/>
          <w:vertAlign w:val="superscript"/>
          <w:rtl/>
        </w:rPr>
        <w:footnoteReference w:id="15"/>
      </w:r>
      <w:r>
        <w:rPr>
          <w:rFonts w:ascii="Times New Roman" w:hAnsi="Times New Roman" w:cs="David"/>
          <w:b/>
          <w:bCs/>
          <w:sz w:val="28"/>
          <w:szCs w:val="28"/>
          <w:rtl/>
        </w:rPr>
        <w:t>"</w:t>
      </w:r>
      <w:r>
        <w:rPr>
          <w:rFonts w:ascii="Times New Roman" w:hAnsi="Times New Roman" w:cs="David"/>
          <w:sz w:val="28"/>
          <w:szCs w:val="28"/>
          <w:rtl/>
        </w:rPr>
        <w:t xml:space="preserve">. </w:t>
      </w:r>
    </w:p>
    <w:p w14:paraId="5CCAA3C8" w14:textId="77777777" w:rsidR="00BE284B" w:rsidRDefault="00BE284B" w:rsidP="00BE284B">
      <w:pPr>
        <w:pStyle w:val="ad"/>
        <w:spacing w:after="0" w:line="360" w:lineRule="auto"/>
        <w:ind w:left="708"/>
        <w:jc w:val="both"/>
        <w:rPr>
          <w:rFonts w:ascii="Arial" w:eastAsia="Times New Roman" w:hAnsi="Arial" w:cs="David"/>
          <w:sz w:val="28"/>
          <w:szCs w:val="28"/>
        </w:rPr>
      </w:pPr>
      <w:r>
        <w:rPr>
          <w:rFonts w:ascii="Arial" w:eastAsia="Times New Roman" w:hAnsi="Arial" w:cs="David"/>
          <w:sz w:val="28"/>
          <w:szCs w:val="28"/>
          <w:rtl/>
        </w:rPr>
        <w:t xml:space="preserve">האפשרות להטיל על המעסיק אחריות לעוולה של הטרדה מינית או התנכלות שביצע עובדו (מעבר להטלת האחריות על העובד </w:t>
      </w:r>
      <w:proofErr w:type="spellStart"/>
      <w:r>
        <w:rPr>
          <w:rFonts w:ascii="Arial" w:eastAsia="Times New Roman" w:hAnsi="Arial" w:cs="David"/>
          <w:sz w:val="28"/>
          <w:szCs w:val="28"/>
          <w:rtl/>
        </w:rPr>
        <w:t>המעוול</w:t>
      </w:r>
      <w:proofErr w:type="spellEnd"/>
      <w:r>
        <w:rPr>
          <w:rFonts w:ascii="Arial" w:eastAsia="Times New Roman" w:hAnsi="Arial" w:cs="David"/>
          <w:sz w:val="28"/>
          <w:szCs w:val="28"/>
          <w:rtl/>
        </w:rPr>
        <w:t xml:space="preserve"> עצמו</w:t>
      </w:r>
      <w:r>
        <w:rPr>
          <w:rStyle w:val="af0"/>
          <w:rFonts w:ascii="Arial" w:eastAsia="Times New Roman" w:hAnsi="Arial" w:cs="David"/>
          <w:sz w:val="28"/>
          <w:szCs w:val="28"/>
          <w:rtl/>
        </w:rPr>
        <w:footnoteReference w:id="16"/>
      </w:r>
      <w:r>
        <w:rPr>
          <w:rFonts w:ascii="Arial" w:eastAsia="Times New Roman" w:hAnsi="Arial" w:cs="David"/>
          <w:sz w:val="28"/>
          <w:szCs w:val="28"/>
          <w:rtl/>
        </w:rPr>
        <w:t xml:space="preserve"> וכאמור אף אם המעסיק עצמו אינו "עושה עוולה") מעוגנת בסעיף 7(ג) לחוק שקובע כך:</w:t>
      </w:r>
    </w:p>
    <w:p w14:paraId="64FA0632" w14:textId="77777777" w:rsidR="00BE284B" w:rsidRDefault="00BE284B" w:rsidP="00BE284B">
      <w:pPr>
        <w:pStyle w:val="ad"/>
        <w:spacing w:after="0" w:line="240" w:lineRule="auto"/>
        <w:ind w:left="992" w:right="567"/>
        <w:jc w:val="both"/>
        <w:rPr>
          <w:rFonts w:ascii="Arial" w:eastAsia="Times New Roman" w:hAnsi="Arial" w:cs="David"/>
          <w:sz w:val="28"/>
          <w:szCs w:val="28"/>
          <w:rtl/>
        </w:rPr>
      </w:pPr>
      <w:r>
        <w:rPr>
          <w:rFonts w:ascii="Arial" w:eastAsia="Times New Roman" w:hAnsi="Arial" w:cs="David"/>
          <w:b/>
          <w:bCs/>
          <w:sz w:val="28"/>
          <w:szCs w:val="28"/>
          <w:rtl/>
        </w:rPr>
        <w:t>"מעסיק שלא מילא את חובותיו לפי סעיפים קטנים (א)(1) ו-(2) ו-(ב) יהיה אחראי לעוולה אזרחית לפי סעיף 6, או לעוולה אזרחית בשל פגיעה כאמור בסעיף 7 לחוק שוויון ההזדמנויות בעבודה, שעשה עובדו, או ממונה מטעמו אף אם אינו עובדו, במסגרת יחסי העבודה"</w:t>
      </w:r>
      <w:r>
        <w:rPr>
          <w:rFonts w:ascii="Arial" w:eastAsia="Times New Roman" w:hAnsi="Arial" w:cs="David"/>
          <w:sz w:val="28"/>
          <w:szCs w:val="28"/>
          <w:rtl/>
        </w:rPr>
        <w:t>.</w:t>
      </w:r>
    </w:p>
    <w:p w14:paraId="66CCA47F" w14:textId="77777777" w:rsidR="00BE284B" w:rsidRDefault="00BE284B" w:rsidP="00BE284B">
      <w:pPr>
        <w:pStyle w:val="ad"/>
        <w:shd w:val="clear" w:color="auto" w:fill="FFFFFF"/>
        <w:spacing w:before="120" w:after="120" w:line="240" w:lineRule="auto"/>
        <w:ind w:left="1134" w:right="567"/>
        <w:jc w:val="both"/>
        <w:rPr>
          <w:rFonts w:ascii="Arial" w:eastAsia="Times New Roman" w:hAnsi="Arial" w:cs="David"/>
          <w:sz w:val="28"/>
          <w:szCs w:val="28"/>
        </w:rPr>
      </w:pPr>
    </w:p>
    <w:p w14:paraId="53CF9166" w14:textId="77777777" w:rsidR="00BE284B" w:rsidRDefault="00BE284B" w:rsidP="00BE284B">
      <w:pPr>
        <w:pStyle w:val="ad"/>
        <w:spacing w:after="0" w:line="360" w:lineRule="auto"/>
        <w:ind w:left="708"/>
        <w:jc w:val="both"/>
        <w:rPr>
          <w:rFonts w:ascii="Arial" w:eastAsia="Times New Roman" w:hAnsi="Arial" w:cs="David"/>
          <w:sz w:val="28"/>
          <w:szCs w:val="28"/>
          <w:rtl/>
        </w:rPr>
      </w:pPr>
      <w:r>
        <w:rPr>
          <w:rFonts w:ascii="Arial" w:eastAsia="Times New Roman" w:hAnsi="Arial" w:cs="David"/>
          <w:sz w:val="28"/>
          <w:szCs w:val="28"/>
          <w:rtl/>
        </w:rPr>
        <w:t>דהיינו, מקום שבו המעסיק לא קיים את חובותיו לפי איזה מהסעיפים 7(א)(1)</w:t>
      </w:r>
      <w:r>
        <w:rPr>
          <w:rStyle w:val="af0"/>
          <w:rFonts w:ascii="Arial" w:eastAsia="Times New Roman" w:hAnsi="Arial" w:cs="David"/>
          <w:sz w:val="28"/>
          <w:szCs w:val="28"/>
          <w:rtl/>
        </w:rPr>
        <w:footnoteReference w:id="17"/>
      </w:r>
      <w:r>
        <w:rPr>
          <w:rFonts w:ascii="Arial" w:eastAsia="Times New Roman" w:hAnsi="Arial" w:cs="David"/>
          <w:sz w:val="28"/>
          <w:szCs w:val="28"/>
          <w:rtl/>
        </w:rPr>
        <w:t>, 7(א)(2)</w:t>
      </w:r>
      <w:r>
        <w:rPr>
          <w:rStyle w:val="af0"/>
          <w:rFonts w:ascii="Arial" w:eastAsia="Times New Roman" w:hAnsi="Arial" w:cs="David"/>
          <w:sz w:val="28"/>
          <w:szCs w:val="28"/>
          <w:rtl/>
        </w:rPr>
        <w:footnoteReference w:id="18"/>
      </w:r>
      <w:r>
        <w:rPr>
          <w:rFonts w:ascii="Arial" w:eastAsia="Times New Roman" w:hAnsi="Arial" w:cs="David"/>
          <w:sz w:val="28"/>
          <w:szCs w:val="28"/>
          <w:rtl/>
        </w:rPr>
        <w:t xml:space="preserve"> ו- 7(ב)</w:t>
      </w:r>
      <w:r>
        <w:rPr>
          <w:rStyle w:val="af0"/>
          <w:rFonts w:ascii="Arial" w:eastAsia="Times New Roman" w:hAnsi="Arial" w:cs="David"/>
          <w:sz w:val="28"/>
          <w:szCs w:val="28"/>
          <w:rtl/>
        </w:rPr>
        <w:footnoteReference w:id="19"/>
      </w:r>
      <w:r>
        <w:rPr>
          <w:rFonts w:ascii="Arial" w:eastAsia="Times New Roman" w:hAnsi="Arial" w:cs="David"/>
          <w:sz w:val="28"/>
          <w:szCs w:val="28"/>
          <w:rtl/>
        </w:rPr>
        <w:t xml:space="preserve"> לחוק, יהא הוא </w:t>
      </w:r>
      <w:r>
        <w:rPr>
          <w:rFonts w:ascii="Arial" w:eastAsia="Times New Roman" w:hAnsi="Arial" w:cs="David"/>
          <w:sz w:val="28"/>
          <w:szCs w:val="28"/>
          <w:u w:val="single"/>
          <w:rtl/>
        </w:rPr>
        <w:t>אחראי</w:t>
      </w:r>
      <w:r>
        <w:rPr>
          <w:rFonts w:ascii="Arial" w:eastAsia="Times New Roman" w:hAnsi="Arial" w:cs="David"/>
          <w:sz w:val="28"/>
          <w:szCs w:val="28"/>
          <w:rtl/>
        </w:rPr>
        <w:t xml:space="preserve"> לעוולה של הטרדה מינית או התנכלות שביצע עובדו. </w:t>
      </w:r>
    </w:p>
    <w:p w14:paraId="5D09DA28" w14:textId="77777777" w:rsidR="00BE284B" w:rsidRDefault="00BE284B" w:rsidP="00BE284B">
      <w:pPr>
        <w:pStyle w:val="ad"/>
        <w:spacing w:after="0" w:line="360" w:lineRule="auto"/>
        <w:ind w:left="708"/>
        <w:jc w:val="both"/>
        <w:rPr>
          <w:rFonts w:ascii="Arial" w:eastAsia="Times New Roman" w:hAnsi="Arial" w:cs="David"/>
          <w:sz w:val="28"/>
          <w:szCs w:val="28"/>
        </w:rPr>
      </w:pPr>
      <w:r>
        <w:rPr>
          <w:rFonts w:ascii="Arial" w:eastAsia="Times New Roman" w:hAnsi="Arial" w:cs="David"/>
          <w:sz w:val="28"/>
          <w:szCs w:val="28"/>
          <w:rtl/>
        </w:rPr>
        <w:t xml:space="preserve">יובהר כי </w:t>
      </w:r>
      <w:r>
        <w:rPr>
          <w:rFonts w:ascii="Arial" w:eastAsia="Times New Roman" w:hAnsi="Arial" w:cs="David"/>
          <w:b/>
          <w:bCs/>
          <w:sz w:val="28"/>
          <w:szCs w:val="28"/>
          <w:rtl/>
        </w:rPr>
        <w:t xml:space="preserve">"אחריות למעשה הזולת או אחריות </w:t>
      </w:r>
      <w:proofErr w:type="spellStart"/>
      <w:r>
        <w:rPr>
          <w:rFonts w:ascii="Arial" w:eastAsia="Times New Roman" w:hAnsi="Arial" w:cs="David"/>
          <w:b/>
          <w:bCs/>
          <w:sz w:val="28"/>
          <w:szCs w:val="28"/>
          <w:rtl/>
        </w:rPr>
        <w:t>שילוחית</w:t>
      </w:r>
      <w:proofErr w:type="spellEnd"/>
      <w:r>
        <w:rPr>
          <w:rFonts w:ascii="Arial" w:eastAsia="Times New Roman" w:hAnsi="Arial" w:cs="David"/>
          <w:b/>
          <w:bCs/>
          <w:sz w:val="28"/>
          <w:szCs w:val="28"/>
          <w:rtl/>
        </w:rPr>
        <w:t xml:space="preserve"> אינה עוולה בפני עצמה, אלא כלל של הטלת חבות"</w:t>
      </w:r>
      <w:r>
        <w:rPr>
          <w:rStyle w:val="af0"/>
          <w:rFonts w:ascii="Arial" w:eastAsia="Times New Roman" w:hAnsi="Arial" w:cs="David"/>
          <w:sz w:val="28"/>
          <w:szCs w:val="28"/>
          <w:rtl/>
        </w:rPr>
        <w:footnoteReference w:id="20"/>
      </w:r>
      <w:r>
        <w:rPr>
          <w:rFonts w:ascii="Arial" w:eastAsia="Times New Roman" w:hAnsi="Arial" w:cs="David"/>
          <w:sz w:val="28"/>
          <w:szCs w:val="28"/>
          <w:rtl/>
        </w:rPr>
        <w:t>.</w:t>
      </w:r>
    </w:p>
    <w:p w14:paraId="5E032425" w14:textId="77777777" w:rsidR="00BE284B" w:rsidRDefault="00BE284B" w:rsidP="00BE284B">
      <w:pPr>
        <w:pStyle w:val="ad"/>
        <w:numPr>
          <w:ilvl w:val="0"/>
          <w:numId w:val="8"/>
        </w:numPr>
        <w:spacing w:after="0" w:line="360" w:lineRule="auto"/>
        <w:ind w:left="708" w:hanging="283"/>
        <w:jc w:val="both"/>
        <w:rPr>
          <w:rFonts w:ascii="Arial" w:eastAsia="Times New Roman" w:hAnsi="Arial" w:cs="David"/>
          <w:sz w:val="28"/>
          <w:szCs w:val="28"/>
          <w:rtl/>
        </w:rPr>
      </w:pPr>
      <w:r>
        <w:rPr>
          <w:rFonts w:ascii="Arial" w:eastAsia="Times New Roman" w:hAnsi="Arial" w:cs="David"/>
          <w:sz w:val="28"/>
          <w:szCs w:val="28"/>
          <w:rtl/>
        </w:rPr>
        <w:t xml:space="preserve">כאשר העובד הוא "עושה עוולה" ונמצא כי המעסיק "אחראי" לה, מתעוררת שאלת חלוקת האחריות כלפי הניזוק. סעיף 11 לפקודה שעניינו </w:t>
      </w:r>
      <w:r>
        <w:rPr>
          <w:rFonts w:ascii="Arial" w:eastAsia="Times New Roman" w:hAnsi="Arial" w:cs="David"/>
          <w:b/>
          <w:bCs/>
          <w:sz w:val="28"/>
          <w:szCs w:val="28"/>
          <w:rtl/>
        </w:rPr>
        <w:t>"</w:t>
      </w:r>
      <w:proofErr w:type="spellStart"/>
      <w:r>
        <w:rPr>
          <w:rFonts w:ascii="Arial" w:eastAsia="Times New Roman" w:hAnsi="Arial" w:cs="David"/>
          <w:b/>
          <w:bCs/>
          <w:sz w:val="28"/>
          <w:szCs w:val="28"/>
          <w:rtl/>
        </w:rPr>
        <w:t>מעוולים</w:t>
      </w:r>
      <w:proofErr w:type="spellEnd"/>
      <w:r>
        <w:rPr>
          <w:rFonts w:ascii="Arial" w:eastAsia="Times New Roman" w:hAnsi="Arial" w:cs="David"/>
          <w:b/>
          <w:bCs/>
          <w:sz w:val="28"/>
          <w:szCs w:val="28"/>
          <w:rtl/>
        </w:rPr>
        <w:t xml:space="preserve"> ביחד"</w:t>
      </w:r>
      <w:r>
        <w:rPr>
          <w:rFonts w:ascii="Arial" w:eastAsia="Times New Roman" w:hAnsi="Arial" w:cs="David"/>
          <w:sz w:val="28"/>
          <w:szCs w:val="28"/>
          <w:rtl/>
        </w:rPr>
        <w:t xml:space="preserve"> קובע את הכלל לפיו</w:t>
      </w:r>
      <w:r>
        <w:rPr>
          <w:rFonts w:ascii="Arial" w:eastAsia="Times New Roman" w:hAnsi="Arial" w:cs="David"/>
          <w:b/>
          <w:bCs/>
          <w:sz w:val="28"/>
          <w:szCs w:val="28"/>
          <w:rtl/>
        </w:rPr>
        <w:t xml:space="preserve"> "היה כל אחד משני בני-אדם או יותר חבים לפי הוראות פקודה זו, על מעשה פלוני, והמעשה הוא עוולה, יהיו חבים יחד על אותו מעשה </w:t>
      </w:r>
      <w:proofErr w:type="spellStart"/>
      <w:r>
        <w:rPr>
          <w:rFonts w:ascii="Arial" w:eastAsia="Times New Roman" w:hAnsi="Arial" w:cs="David"/>
          <w:b/>
          <w:bCs/>
          <w:sz w:val="28"/>
          <w:szCs w:val="28"/>
          <w:rtl/>
        </w:rPr>
        <w:t>כמעוולים</w:t>
      </w:r>
      <w:proofErr w:type="spellEnd"/>
      <w:r>
        <w:rPr>
          <w:rFonts w:ascii="Arial" w:eastAsia="Times New Roman" w:hAnsi="Arial" w:cs="David"/>
          <w:b/>
          <w:bCs/>
          <w:sz w:val="28"/>
          <w:szCs w:val="28"/>
          <w:rtl/>
        </w:rPr>
        <w:t xml:space="preserve"> יחד וניתנים להיתבע עליה יחד ולחוד"</w:t>
      </w:r>
      <w:r>
        <w:rPr>
          <w:rFonts w:ascii="Arial" w:eastAsia="Times New Roman" w:hAnsi="Arial" w:cs="David"/>
          <w:sz w:val="28"/>
          <w:szCs w:val="28"/>
          <w:rtl/>
        </w:rPr>
        <w:t>. מכוח הסעיף, החבות של העובד עושה העוולה ושל המעסיק האחראי לעוולה היא ביחד ולחוד</w:t>
      </w:r>
      <w:r>
        <w:rPr>
          <w:rStyle w:val="af0"/>
          <w:rFonts w:ascii="Arial" w:eastAsia="Times New Roman" w:hAnsi="Arial" w:cs="David"/>
          <w:sz w:val="28"/>
          <w:szCs w:val="28"/>
          <w:rtl/>
        </w:rPr>
        <w:footnoteReference w:id="21"/>
      </w:r>
      <w:r>
        <w:rPr>
          <w:rFonts w:ascii="Arial" w:eastAsia="Times New Roman" w:hAnsi="Arial" w:cs="David"/>
          <w:sz w:val="28"/>
          <w:szCs w:val="28"/>
          <w:rtl/>
        </w:rPr>
        <w:t xml:space="preserve">. בע"א </w:t>
      </w:r>
      <w:proofErr w:type="spellStart"/>
      <w:r>
        <w:rPr>
          <w:rFonts w:ascii="Arial" w:eastAsia="Times New Roman" w:hAnsi="Arial" w:cs="David"/>
          <w:b/>
          <w:bCs/>
          <w:sz w:val="28"/>
          <w:szCs w:val="28"/>
          <w:rtl/>
        </w:rPr>
        <w:t>זלצר</w:t>
      </w:r>
      <w:proofErr w:type="spellEnd"/>
      <w:r>
        <w:rPr>
          <w:rFonts w:ascii="Arial" w:eastAsia="Times New Roman" w:hAnsi="Arial" w:cs="David"/>
          <w:sz w:val="28"/>
          <w:szCs w:val="28"/>
          <w:rtl/>
        </w:rPr>
        <w:t xml:space="preserve"> הובהר כי במקרה כזה, שהוא המקרה האחד (הראשון), העובד והמעסיק חבים כלפי הניזוק יחד ולחוד, כך שכל אחד מהם </w:t>
      </w:r>
      <w:r>
        <w:rPr>
          <w:rFonts w:ascii="David" w:eastAsia="Times New Roman" w:hAnsi="David" w:cs="David"/>
          <w:b/>
          <w:bCs/>
          <w:color w:val="000000"/>
          <w:sz w:val="28"/>
          <w:szCs w:val="28"/>
          <w:rtl/>
        </w:rPr>
        <w:t>"אחראי לכל הנזק שנגרם"</w:t>
      </w:r>
      <w:r>
        <w:rPr>
          <w:rFonts w:ascii="Arial" w:eastAsia="Times New Roman" w:hAnsi="Arial" w:cs="David"/>
          <w:sz w:val="28"/>
          <w:szCs w:val="28"/>
          <w:rtl/>
        </w:rPr>
        <w:t>.</w:t>
      </w:r>
    </w:p>
    <w:p w14:paraId="398E83B2" w14:textId="77777777" w:rsidR="00BE284B" w:rsidRDefault="00BE284B" w:rsidP="00BE284B">
      <w:pPr>
        <w:pStyle w:val="ad"/>
        <w:numPr>
          <w:ilvl w:val="0"/>
          <w:numId w:val="8"/>
        </w:numPr>
        <w:spacing w:after="0" w:line="360" w:lineRule="auto"/>
        <w:ind w:left="708" w:hanging="283"/>
        <w:jc w:val="both"/>
        <w:rPr>
          <w:rFonts w:ascii="Arial" w:eastAsia="Times New Roman" w:hAnsi="Arial" w:cs="David"/>
          <w:sz w:val="28"/>
          <w:szCs w:val="28"/>
          <w:rtl/>
        </w:rPr>
      </w:pPr>
      <w:r>
        <w:rPr>
          <w:rFonts w:ascii="Arial" w:eastAsia="Times New Roman" w:hAnsi="Arial" w:cs="David"/>
          <w:sz w:val="28"/>
          <w:szCs w:val="28"/>
          <w:rtl/>
        </w:rPr>
        <w:t>מבלי לקבוע מסמרות, אפשר שמן המקובץ ניתן לגבש את המסקנות הבאות: שעה שבוצעה עוולה לפי החוק – בין של הטרדה מינית ובין של התנכלות, יש לבחון מהי תרופתו של הניזוק. לאחר מכן ואם יש יותר מעושה עוולה אחד, יש לבחון את חלוקת האחריות בין עושי העוולה. אם אחד מעושי העוולה הוא עובד יש לבחון האם גם מעסיקו אחראי לחלקו של העובד. במקרה האחרון החבות של העובד (</w:t>
      </w:r>
      <w:proofErr w:type="spellStart"/>
      <w:r>
        <w:rPr>
          <w:rFonts w:ascii="Arial" w:eastAsia="Times New Roman" w:hAnsi="Arial" w:cs="David"/>
          <w:sz w:val="28"/>
          <w:szCs w:val="28"/>
          <w:rtl/>
        </w:rPr>
        <w:t>המעוול</w:t>
      </w:r>
      <w:proofErr w:type="spellEnd"/>
      <w:r>
        <w:rPr>
          <w:rFonts w:ascii="Arial" w:eastAsia="Times New Roman" w:hAnsi="Arial" w:cs="David"/>
          <w:sz w:val="28"/>
          <w:szCs w:val="28"/>
          <w:rtl/>
        </w:rPr>
        <w:t>) ושל המעסיק (האחראי)</w:t>
      </w:r>
      <w:r>
        <w:rPr>
          <w:rFonts w:ascii="Arial" w:eastAsia="Times New Roman" w:hAnsi="Arial" w:cs="David"/>
          <w:sz w:val="28"/>
          <w:szCs w:val="28"/>
        </w:rPr>
        <w:t xml:space="preserve"> </w:t>
      </w:r>
      <w:r>
        <w:rPr>
          <w:rFonts w:ascii="Arial" w:eastAsia="Times New Roman" w:hAnsi="Arial" w:cs="David"/>
          <w:sz w:val="28"/>
          <w:szCs w:val="28"/>
          <w:rtl/>
        </w:rPr>
        <w:t xml:space="preserve">היא ביחד ולחוד. כך או כך, משהעניין לא נטען וממילא לא לובן במסגרת ההליך שלפנינו </w:t>
      </w:r>
      <w:proofErr w:type="spellStart"/>
      <w:r>
        <w:rPr>
          <w:rFonts w:ascii="Arial" w:eastAsia="Times New Roman" w:hAnsi="Arial" w:cs="David"/>
          <w:sz w:val="28"/>
          <w:szCs w:val="28"/>
          <w:rtl/>
        </w:rPr>
        <w:t>נותירו</w:t>
      </w:r>
      <w:proofErr w:type="spellEnd"/>
      <w:r>
        <w:rPr>
          <w:rFonts w:ascii="Arial" w:eastAsia="Times New Roman" w:hAnsi="Arial" w:cs="David"/>
          <w:sz w:val="28"/>
          <w:szCs w:val="28"/>
          <w:rtl/>
        </w:rPr>
        <w:t xml:space="preserve"> לעת מצוא.</w:t>
      </w:r>
    </w:p>
    <w:p w14:paraId="2B5F1EDA" w14:textId="77777777" w:rsidR="00BE284B" w:rsidRDefault="00BE284B" w:rsidP="00BE284B">
      <w:pPr>
        <w:pStyle w:val="ad"/>
        <w:spacing w:after="0" w:line="360" w:lineRule="auto"/>
        <w:ind w:left="708"/>
        <w:jc w:val="both"/>
        <w:rPr>
          <w:rFonts w:ascii="Arial" w:eastAsia="Times New Roman" w:hAnsi="Arial" w:cs="David"/>
          <w:sz w:val="28"/>
          <w:szCs w:val="28"/>
          <w:rtl/>
        </w:rPr>
      </w:pPr>
    </w:p>
    <w:p w14:paraId="7B2F6D34" w14:textId="77777777" w:rsidR="00BE284B" w:rsidRDefault="00BE284B" w:rsidP="00BE284B">
      <w:pPr>
        <w:spacing w:line="360" w:lineRule="auto"/>
        <w:ind w:left="360"/>
        <w:jc w:val="both"/>
        <w:rPr>
          <w:rFonts w:ascii="Arial" w:hAnsi="Arial"/>
          <w:sz w:val="28"/>
          <w:szCs w:val="28"/>
          <w:u w:val="single"/>
        </w:rPr>
      </w:pPr>
      <w:r>
        <w:rPr>
          <w:rFonts w:ascii="Arial" w:hAnsi="Arial"/>
          <w:sz w:val="28"/>
          <w:szCs w:val="28"/>
          <w:u w:val="single"/>
          <w:rtl/>
        </w:rPr>
        <w:t xml:space="preserve">פיצוי מכוח חוק איסור לשון הרע  </w:t>
      </w:r>
    </w:p>
    <w:p w14:paraId="657D6630" w14:textId="77777777" w:rsidR="00BE284B" w:rsidRDefault="00BE284B" w:rsidP="00BE284B">
      <w:pPr>
        <w:pStyle w:val="ad"/>
        <w:numPr>
          <w:ilvl w:val="0"/>
          <w:numId w:val="3"/>
        </w:numPr>
        <w:spacing w:after="0" w:line="360" w:lineRule="auto"/>
        <w:jc w:val="both"/>
        <w:rPr>
          <w:rFonts w:ascii="David" w:eastAsia="Times New Roman" w:hAnsi="David" w:cs="David"/>
          <w:sz w:val="28"/>
          <w:szCs w:val="28"/>
        </w:rPr>
      </w:pPr>
      <w:r>
        <w:rPr>
          <w:rFonts w:ascii="Arial" w:eastAsia="Times New Roman" w:hAnsi="Arial" w:cs="David"/>
          <w:sz w:val="28"/>
          <w:szCs w:val="28"/>
          <w:rtl/>
        </w:rPr>
        <w:t xml:space="preserve">בית הדין האזורי חייב את החברה בפיצוי בגין לשון הרע בסך 15,000 ש"ח. בקביעת סכום הפיצוי התחשב בית הדין האזורי </w:t>
      </w:r>
      <w:r>
        <w:rPr>
          <w:rFonts w:ascii="Arial" w:eastAsia="Times New Roman" w:hAnsi="Arial" w:cs="David"/>
          <w:b/>
          <w:bCs/>
          <w:sz w:val="28"/>
          <w:szCs w:val="28"/>
          <w:rtl/>
        </w:rPr>
        <w:t xml:space="preserve">ב"מידת הפגיעה בשמה הטוב של התובעת </w:t>
      </w:r>
      <w:r>
        <w:rPr>
          <w:rFonts w:ascii="Arial" w:eastAsia="Times New Roman" w:hAnsi="Arial" w:cs="David"/>
          <w:sz w:val="28"/>
          <w:szCs w:val="28"/>
          <w:rtl/>
        </w:rPr>
        <w:t>[פלונית – א.א.]</w:t>
      </w:r>
      <w:r>
        <w:rPr>
          <w:rFonts w:ascii="Arial" w:eastAsia="Times New Roman" w:hAnsi="Arial" w:cs="David"/>
          <w:b/>
          <w:bCs/>
          <w:sz w:val="28"/>
          <w:szCs w:val="28"/>
          <w:rtl/>
        </w:rPr>
        <w:t xml:space="preserve">, כפועל יוצא מחומרת הביטוי ומהותו. את העובדה שמר </w:t>
      </w:r>
      <w:proofErr w:type="spellStart"/>
      <w:r>
        <w:rPr>
          <w:rFonts w:ascii="Arial" w:eastAsia="Times New Roman" w:hAnsi="Arial" w:cs="David"/>
          <w:b/>
          <w:bCs/>
          <w:sz w:val="28"/>
          <w:szCs w:val="28"/>
          <w:rtl/>
        </w:rPr>
        <w:t>ורטהיימר</w:t>
      </w:r>
      <w:proofErr w:type="spellEnd"/>
      <w:r>
        <w:rPr>
          <w:rFonts w:ascii="Arial" w:eastAsia="Times New Roman" w:hAnsi="Arial" w:cs="David"/>
          <w:b/>
          <w:bCs/>
          <w:sz w:val="28"/>
          <w:szCs w:val="28"/>
          <w:rtl/>
        </w:rPr>
        <w:t xml:space="preserve"> לא התנצל על השימוש בו וגם לא במהלך הדיון בבית הדין, ואת מספרם המצומצם של הנוכחים בישיבה שבה נאמר הביטוי כמו גם העובדה שלא הופצה בהמשך לה, למשל, ברשתות חברתיות"</w:t>
      </w:r>
      <w:r>
        <w:rPr>
          <w:rFonts w:ascii="Arial" w:eastAsia="Times New Roman" w:hAnsi="Arial" w:cs="David"/>
          <w:sz w:val="28"/>
          <w:szCs w:val="28"/>
          <w:rtl/>
        </w:rPr>
        <w:t>.</w:t>
      </w:r>
      <w:r>
        <w:rPr>
          <w:rFonts w:ascii="David" w:eastAsia="Times New Roman" w:hAnsi="David" w:cs="David"/>
          <w:sz w:val="28"/>
          <w:szCs w:val="28"/>
          <w:rtl/>
        </w:rPr>
        <w:t xml:space="preserve"> </w:t>
      </w:r>
    </w:p>
    <w:p w14:paraId="16C63AD9" w14:textId="77777777" w:rsidR="00BE284B" w:rsidRDefault="00BE284B" w:rsidP="00BE284B">
      <w:pPr>
        <w:pStyle w:val="ad"/>
        <w:numPr>
          <w:ilvl w:val="0"/>
          <w:numId w:val="3"/>
        </w:numPr>
        <w:spacing w:after="0" w:line="360" w:lineRule="auto"/>
        <w:jc w:val="both"/>
        <w:rPr>
          <w:rFonts w:ascii="David" w:eastAsia="Times New Roman" w:hAnsi="David" w:cs="David"/>
          <w:sz w:val="28"/>
          <w:szCs w:val="28"/>
          <w:rtl/>
        </w:rPr>
      </w:pPr>
      <w:r>
        <w:rPr>
          <w:rFonts w:ascii="Arial" w:eastAsia="Times New Roman" w:hAnsi="Arial" w:cs="David"/>
          <w:sz w:val="28"/>
          <w:szCs w:val="28"/>
          <w:rtl/>
        </w:rPr>
        <w:t xml:space="preserve">ערעורה של פלונית סב על סכום הפיצוי בו חויבה החברה בבית הדין האזורי. לטענתה, הביטוי בו כונתה בישיבה רבת משתתפים (ראו בסעיף 10 לעיל), מצדיק פיצוי בסכום גבוה יותר. </w:t>
      </w:r>
    </w:p>
    <w:p w14:paraId="4DCC5087" w14:textId="77777777" w:rsidR="00BE284B" w:rsidRDefault="00BE284B" w:rsidP="00BE284B">
      <w:pPr>
        <w:pStyle w:val="ad"/>
        <w:numPr>
          <w:ilvl w:val="0"/>
          <w:numId w:val="3"/>
        </w:numPr>
        <w:spacing w:after="0" w:line="360" w:lineRule="auto"/>
        <w:jc w:val="both"/>
        <w:rPr>
          <w:rFonts w:ascii="David" w:eastAsia="Times New Roman" w:hAnsi="David" w:cs="David"/>
          <w:sz w:val="28"/>
          <w:szCs w:val="28"/>
        </w:rPr>
      </w:pPr>
      <w:r>
        <w:rPr>
          <w:rFonts w:ascii="Arial" w:eastAsia="Times New Roman" w:hAnsi="Arial" w:cs="David"/>
          <w:sz w:val="28"/>
          <w:szCs w:val="28"/>
          <w:rtl/>
        </w:rPr>
        <w:t xml:space="preserve">לאחר שבחנו את טענות הצדדים אנו סבורים כי יש לקבל את ערעורה של פלונית ברכיב זה ולהעמיד את </w:t>
      </w:r>
      <w:r>
        <w:rPr>
          <w:rFonts w:ascii="David" w:eastAsia="Times New Roman" w:hAnsi="David" w:cs="David"/>
          <w:sz w:val="28"/>
          <w:szCs w:val="28"/>
          <w:rtl/>
        </w:rPr>
        <w:t>סכום הפיצוי ללא הוכחת נזק מכוח חוק איסור לשון הרע שעל החברה לשלם לה על סך של 50,000 ₪ נכון להיום. להלן נפרט את טעמינו:</w:t>
      </w:r>
    </w:p>
    <w:p w14:paraId="323A1FA3" w14:textId="77777777" w:rsidR="00BE284B" w:rsidRDefault="00BE284B" w:rsidP="00BE284B">
      <w:pPr>
        <w:pStyle w:val="ad"/>
        <w:numPr>
          <w:ilvl w:val="0"/>
          <w:numId w:val="3"/>
        </w:numPr>
        <w:spacing w:after="0" w:line="360" w:lineRule="auto"/>
        <w:jc w:val="both"/>
        <w:rPr>
          <w:rFonts w:ascii="David" w:eastAsia="Times New Roman" w:hAnsi="David" w:cs="David"/>
          <w:sz w:val="28"/>
          <w:szCs w:val="28"/>
        </w:rPr>
      </w:pPr>
      <w:r>
        <w:rPr>
          <w:rFonts w:ascii="Arial" w:eastAsia="Times New Roman" w:hAnsi="Arial" w:cs="David"/>
          <w:sz w:val="28"/>
          <w:szCs w:val="28"/>
          <w:rtl/>
        </w:rPr>
        <w:t xml:space="preserve">סעיף 7א(ב) לחוק איסור לשון קובע תקרת פיצוי של 50,000 ₪ המוצמדת למדד חודש ספטמבר 1998 (כיום מעל 80,000 ₪), בה ניתן לחייב את המפרסם לשון הרע, ללא הוכחת נזק. לפי סעיף 7א(ג) ניתן להכפיל סכום זה, </w:t>
      </w:r>
      <w:r>
        <w:rPr>
          <w:rFonts w:ascii="Arial" w:eastAsia="Times New Roman" w:hAnsi="Arial" w:cs="David"/>
          <w:b/>
          <w:bCs/>
          <w:sz w:val="28"/>
          <w:szCs w:val="28"/>
          <w:rtl/>
        </w:rPr>
        <w:t>"מקום בו הוכח כי לשון הרע פורסמה בכוונה לפגוע"</w:t>
      </w:r>
      <w:r>
        <w:rPr>
          <w:rStyle w:val="af0"/>
          <w:rFonts w:ascii="Arial" w:eastAsia="Times New Roman" w:hAnsi="Arial" w:cs="David"/>
          <w:sz w:val="28"/>
          <w:szCs w:val="28"/>
          <w:rtl/>
        </w:rPr>
        <w:footnoteReference w:id="22"/>
      </w:r>
      <w:r>
        <w:rPr>
          <w:rFonts w:ascii="Arial" w:eastAsia="Times New Roman" w:hAnsi="Arial" w:cs="David"/>
          <w:sz w:val="28"/>
          <w:szCs w:val="28"/>
          <w:rtl/>
        </w:rPr>
        <w:t xml:space="preserve"> – בענייננו לא עלתה טענה כי לשון הרע נאמרה בכוונה לפגוע</w:t>
      </w:r>
      <w:r>
        <w:rPr>
          <w:rFonts w:ascii="David" w:eastAsia="Times New Roman" w:hAnsi="David" w:cs="David"/>
          <w:sz w:val="28"/>
          <w:szCs w:val="28"/>
          <w:rtl/>
        </w:rPr>
        <w:t xml:space="preserve">. </w:t>
      </w:r>
    </w:p>
    <w:p w14:paraId="7ADC8CD3" w14:textId="77777777" w:rsidR="00BE284B" w:rsidRDefault="00BE284B" w:rsidP="00BE284B">
      <w:pPr>
        <w:pStyle w:val="ad"/>
        <w:numPr>
          <w:ilvl w:val="0"/>
          <w:numId w:val="3"/>
        </w:numPr>
        <w:spacing w:after="0" w:line="360" w:lineRule="auto"/>
        <w:jc w:val="both"/>
        <w:rPr>
          <w:rFonts w:ascii="David" w:eastAsia="Times New Roman" w:hAnsi="David" w:cs="David"/>
          <w:sz w:val="28"/>
          <w:szCs w:val="28"/>
        </w:rPr>
      </w:pPr>
      <w:r>
        <w:rPr>
          <w:rFonts w:ascii="Arial" w:eastAsia="Times New Roman" w:hAnsi="Arial" w:cs="David"/>
          <w:sz w:val="28"/>
          <w:szCs w:val="28"/>
          <w:rtl/>
        </w:rPr>
        <w:t xml:space="preserve">בעניין </w:t>
      </w:r>
      <w:r>
        <w:rPr>
          <w:rFonts w:ascii="David" w:eastAsia="Times New Roman" w:hAnsi="David" w:cs="David"/>
          <w:b/>
          <w:bCs/>
          <w:sz w:val="28"/>
          <w:szCs w:val="28"/>
          <w:rtl/>
        </w:rPr>
        <w:t>נודלמן</w:t>
      </w:r>
      <w:r>
        <w:rPr>
          <w:rStyle w:val="af0"/>
          <w:rFonts w:ascii="David" w:eastAsia="Times New Roman" w:hAnsi="David" w:cs="David"/>
          <w:sz w:val="28"/>
          <w:szCs w:val="28"/>
          <w:rtl/>
        </w:rPr>
        <w:footnoteReference w:id="23"/>
      </w:r>
      <w:r>
        <w:rPr>
          <w:rFonts w:ascii="David" w:eastAsia="Times New Roman" w:hAnsi="David" w:cs="David"/>
          <w:sz w:val="28"/>
          <w:szCs w:val="28"/>
          <w:rtl/>
        </w:rPr>
        <w:t xml:space="preserve"> עמד בית המשפט העליון על השיקולים הרלוונטיים לקביעת הפיצוי בגין נזק ללא ממוני לפי חוק איסור לשון הרע, וכך נקבע: </w:t>
      </w:r>
    </w:p>
    <w:p w14:paraId="7A1367F8" w14:textId="77777777" w:rsidR="00BE284B" w:rsidRDefault="00BE284B" w:rsidP="00BE284B">
      <w:pPr>
        <w:pStyle w:val="ad"/>
        <w:spacing w:after="0" w:line="240" w:lineRule="auto"/>
        <w:ind w:left="1275" w:right="567"/>
        <w:jc w:val="both"/>
        <w:rPr>
          <w:rFonts w:ascii="David" w:eastAsia="Times New Roman" w:hAnsi="David" w:cs="David"/>
          <w:b/>
          <w:bCs/>
          <w:sz w:val="28"/>
          <w:szCs w:val="28"/>
        </w:rPr>
      </w:pPr>
      <w:r>
        <w:rPr>
          <w:rFonts w:ascii="David" w:eastAsia="Times New Roman" w:hAnsi="David" w:cs="David"/>
          <w:b/>
          <w:bCs/>
          <w:sz w:val="28"/>
          <w:szCs w:val="28"/>
          <w:rtl/>
        </w:rPr>
        <w:t xml:space="preserve">"בראש וראשונה, יש לתת משקל לנזק שנגרם לתובע כתוצאה מהפרסום, אשר הפיצוי התרופתי נועד להטבתו. קיימת חזקה, כי נגרם נזק לשמו הטוב של הנפגע מעצם </w:t>
      </w:r>
      <w:proofErr w:type="spellStart"/>
      <w:r>
        <w:rPr>
          <w:rFonts w:ascii="David" w:eastAsia="Times New Roman" w:hAnsi="David" w:cs="David"/>
          <w:b/>
          <w:bCs/>
          <w:sz w:val="28"/>
          <w:szCs w:val="28"/>
          <w:rtl/>
        </w:rPr>
        <w:t>פירסום</w:t>
      </w:r>
      <w:proofErr w:type="spellEnd"/>
      <w:r>
        <w:rPr>
          <w:rFonts w:ascii="David" w:eastAsia="Times New Roman" w:hAnsi="David" w:cs="David"/>
          <w:b/>
          <w:bCs/>
          <w:sz w:val="28"/>
          <w:szCs w:val="28"/>
          <w:rtl/>
        </w:rPr>
        <w:t xml:space="preserve"> לשון הרע, המצדיק פסיקת פיצויים אף ללא צורך שיוכיח נזק ממון מיוחד אשר נגרם הלכה למעשה... נזק זה נשקל לא רק בהקשר לפרסום עצמו, אלא גם בהתחשב בהתנהגות הצדדים לאחריו, ואף במהלך הדיון המשפטי, התנהגות העשויה להגדיל את הנזק או להקטינו, לפי </w:t>
      </w:r>
      <w:proofErr w:type="spellStart"/>
      <w:r>
        <w:rPr>
          <w:rFonts w:ascii="David" w:eastAsia="Times New Roman" w:hAnsi="David" w:cs="David"/>
          <w:b/>
          <w:bCs/>
          <w:sz w:val="28"/>
          <w:szCs w:val="28"/>
          <w:rtl/>
        </w:rPr>
        <w:t>הענין</w:t>
      </w:r>
      <w:proofErr w:type="spellEnd"/>
      <w:r>
        <w:rPr>
          <w:rFonts w:ascii="David" w:eastAsia="Times New Roman" w:hAnsi="David" w:cs="David"/>
          <w:b/>
          <w:bCs/>
          <w:sz w:val="28"/>
          <w:szCs w:val="28"/>
          <w:rtl/>
        </w:rPr>
        <w:t xml:space="preserve">. אף באשר למטרה </w:t>
      </w:r>
      <w:proofErr w:type="spellStart"/>
      <w:r>
        <w:rPr>
          <w:rFonts w:ascii="David" w:eastAsia="Times New Roman" w:hAnsi="David" w:cs="David"/>
          <w:b/>
          <w:bCs/>
          <w:sz w:val="28"/>
          <w:szCs w:val="28"/>
          <w:rtl/>
        </w:rPr>
        <w:t>העונשית</w:t>
      </w:r>
      <w:proofErr w:type="spellEnd"/>
      <w:r>
        <w:rPr>
          <w:rFonts w:ascii="David" w:eastAsia="Times New Roman" w:hAnsi="David" w:cs="David"/>
          <w:b/>
          <w:bCs/>
          <w:sz w:val="28"/>
          <w:szCs w:val="28"/>
          <w:rtl/>
        </w:rPr>
        <w:t xml:space="preserve">, החינוכית וההרתעתית, יש לשקול את התנהגות המפרסם, ואת כוונותיו כפי שהן עולות מהתנהגותו כגון, האם היה בהן רישול או קלות דעת, או זדון וכוונה ישירה לפגוע. ברוח זו מונה סעיף 19 לחוק מספר נסיבות שבכוחן להקל על הנאשם, בהן: היות הפרסום חזרה על דברים שנאמרו קודם לכן </w:t>
      </w:r>
      <w:r>
        <w:rPr>
          <w:rFonts w:ascii="David" w:eastAsia="Times New Roman" w:hAnsi="David" w:cs="David"/>
          <w:sz w:val="28"/>
          <w:szCs w:val="28"/>
          <w:rtl/>
        </w:rPr>
        <w:t>(...)</w:t>
      </w:r>
      <w:r>
        <w:rPr>
          <w:rFonts w:ascii="David" w:eastAsia="Times New Roman" w:hAnsi="David" w:cs="David"/>
          <w:b/>
          <w:bCs/>
          <w:sz w:val="28"/>
          <w:szCs w:val="28"/>
          <w:rtl/>
        </w:rPr>
        <w:t xml:space="preserve"> היות המפרסם משוכנע באמיתות דבריו, בהיעדר כוונה לפגוע, וכן בקיום התנצלות, תיקון או הכחשה, או בנקיטת צעדים לצמצום תפוצתו של הפרסום. הערכת הנזק נותרת, בסופו של יום, עניין הנתון להערכה שיפוטית, הבנויה על אמות מידה כלליות, ועל נסיבותיו הקונקרטיות של המקרה הפרטי </w:t>
      </w:r>
      <w:r>
        <w:rPr>
          <w:rFonts w:ascii="David" w:eastAsia="Times New Roman" w:hAnsi="David" w:cs="David"/>
          <w:sz w:val="28"/>
          <w:szCs w:val="28"/>
          <w:rtl/>
        </w:rPr>
        <w:t>(...).</w:t>
      </w:r>
      <w:r>
        <w:rPr>
          <w:rFonts w:ascii="David" w:eastAsia="Times New Roman" w:hAnsi="David" w:cs="David"/>
          <w:b/>
          <w:bCs/>
          <w:sz w:val="28"/>
          <w:szCs w:val="28"/>
          <w:rtl/>
        </w:rPr>
        <w:t>"</w:t>
      </w:r>
    </w:p>
    <w:p w14:paraId="558895E5" w14:textId="77777777" w:rsidR="00BE284B" w:rsidRDefault="00BE284B" w:rsidP="00BE284B">
      <w:pPr>
        <w:pStyle w:val="ad"/>
        <w:spacing w:after="0" w:line="360" w:lineRule="auto"/>
        <w:rPr>
          <w:rFonts w:ascii="David" w:eastAsia="Times New Roman" w:hAnsi="David" w:cs="David"/>
          <w:sz w:val="28"/>
          <w:szCs w:val="28"/>
        </w:rPr>
      </w:pPr>
    </w:p>
    <w:p w14:paraId="73EB5552" w14:textId="77777777" w:rsidR="00BE284B" w:rsidRDefault="00BE284B" w:rsidP="00BE284B">
      <w:pPr>
        <w:pStyle w:val="ad"/>
        <w:numPr>
          <w:ilvl w:val="0"/>
          <w:numId w:val="3"/>
        </w:numPr>
        <w:spacing w:after="0" w:line="360" w:lineRule="auto"/>
        <w:jc w:val="both"/>
        <w:rPr>
          <w:rFonts w:ascii="Calibri" w:hAnsi="Calibri" w:cs="Calibri"/>
          <w:color w:val="000000"/>
          <w:rtl/>
        </w:rPr>
      </w:pPr>
      <w:r>
        <w:rPr>
          <w:rFonts w:ascii="David" w:eastAsia="Times New Roman" w:hAnsi="David" w:cs="David"/>
          <w:sz w:val="28"/>
          <w:szCs w:val="28"/>
          <w:rtl/>
        </w:rPr>
        <w:t xml:space="preserve">בענייננו, בקביעת סכום הפיצוי הראוי בנסיבות המקרה, הבאנו בחשבון את העובדה שמדובר בהתייחסות </w:t>
      </w:r>
      <w:r>
        <w:rPr>
          <w:rFonts w:ascii="David" w:eastAsia="Times New Roman" w:hAnsi="David" w:cs="David"/>
          <w:b/>
          <w:bCs/>
          <w:sz w:val="28"/>
          <w:szCs w:val="28"/>
          <w:rtl/>
        </w:rPr>
        <w:t>"מבזה או משפילה"</w:t>
      </w:r>
      <w:r>
        <w:rPr>
          <w:rFonts w:ascii="David" w:eastAsia="Times New Roman" w:hAnsi="David" w:cs="David"/>
          <w:sz w:val="28"/>
          <w:szCs w:val="28"/>
          <w:rtl/>
        </w:rPr>
        <w:t xml:space="preserve"> כלפי עובדת מוחלשת; את פומביות ההתבטאות אשר נאמרה בישיבה רבת משתתפים ומלמדת על זלזול בכבודה של אותה עובדת; את עוצמת העלבון, ההשפלה והסבל האישי שנגרמו לפלונית, נוכח מצבור הנסיבות ובשים לב לעיתוי האמירה בסמוך לאחר פיטוריה, זהות הדובר, והשתלשלות העניינים אשר הובילה לכך, ואת העובדה שמר </w:t>
      </w:r>
      <w:proofErr w:type="spellStart"/>
      <w:r>
        <w:rPr>
          <w:rFonts w:ascii="David" w:eastAsia="Times New Roman" w:hAnsi="David" w:cs="David"/>
          <w:sz w:val="28"/>
          <w:szCs w:val="28"/>
          <w:rtl/>
        </w:rPr>
        <w:t>ורטהיימר</w:t>
      </w:r>
      <w:proofErr w:type="spellEnd"/>
      <w:r>
        <w:rPr>
          <w:rFonts w:ascii="David" w:eastAsia="Times New Roman" w:hAnsi="David" w:cs="David"/>
          <w:sz w:val="28"/>
          <w:szCs w:val="28"/>
          <w:rtl/>
        </w:rPr>
        <w:t xml:space="preserve"> לא הוכיח איזו מההגנות הקבועות בסעיף 19 לחוק איסור לשון הרע</w:t>
      </w:r>
      <w:r>
        <w:rPr>
          <w:rStyle w:val="af0"/>
          <w:rFonts w:ascii="David" w:eastAsia="Times New Roman" w:hAnsi="David" w:cs="David"/>
          <w:sz w:val="28"/>
          <w:szCs w:val="28"/>
          <w:rtl/>
        </w:rPr>
        <w:footnoteReference w:id="24"/>
      </w:r>
      <w:r>
        <w:rPr>
          <w:rFonts w:ascii="David" w:eastAsia="Times New Roman" w:hAnsi="David" w:cs="David"/>
          <w:sz w:val="28"/>
          <w:szCs w:val="28"/>
          <w:rtl/>
        </w:rPr>
        <w:t xml:space="preserve"> ובמיוחד לא התנצל על אמירתו, גם לא במסגרת ההליך. </w:t>
      </w:r>
    </w:p>
    <w:p w14:paraId="2635108B" w14:textId="77777777" w:rsidR="00BE284B" w:rsidRDefault="00BE284B" w:rsidP="00BE284B">
      <w:pPr>
        <w:pStyle w:val="ad"/>
        <w:numPr>
          <w:ilvl w:val="0"/>
          <w:numId w:val="3"/>
        </w:numPr>
        <w:spacing w:after="0" w:line="360" w:lineRule="auto"/>
        <w:jc w:val="both"/>
        <w:rPr>
          <w:rFonts w:ascii="David" w:eastAsia="Times New Roman" w:hAnsi="David" w:cs="David"/>
          <w:sz w:val="28"/>
          <w:szCs w:val="28"/>
          <w:rtl/>
        </w:rPr>
      </w:pPr>
      <w:r>
        <w:rPr>
          <w:rFonts w:ascii="David" w:eastAsia="Times New Roman" w:hAnsi="David" w:cs="David"/>
          <w:b/>
          <w:bCs/>
          <w:sz w:val="28"/>
          <w:szCs w:val="28"/>
          <w:u w:val="single"/>
          <w:rtl/>
        </w:rPr>
        <w:t>סוף דבר</w:t>
      </w:r>
      <w:r>
        <w:rPr>
          <w:rFonts w:ascii="David" w:eastAsia="Times New Roman" w:hAnsi="David" w:cs="David"/>
          <w:sz w:val="28"/>
          <w:szCs w:val="28"/>
          <w:rtl/>
        </w:rPr>
        <w:t xml:space="preserve"> – </w:t>
      </w:r>
    </w:p>
    <w:p w14:paraId="5CC871BF" w14:textId="77777777" w:rsidR="00BE284B" w:rsidRDefault="00BE284B" w:rsidP="00BE284B">
      <w:pPr>
        <w:pStyle w:val="ad"/>
        <w:spacing w:after="0" w:line="360" w:lineRule="auto"/>
        <w:jc w:val="both"/>
        <w:rPr>
          <w:rFonts w:ascii="David" w:eastAsia="Times New Roman" w:hAnsi="David" w:cs="David"/>
          <w:sz w:val="28"/>
          <w:szCs w:val="28"/>
        </w:rPr>
      </w:pPr>
      <w:r>
        <w:rPr>
          <w:rFonts w:ascii="David" w:eastAsia="Times New Roman" w:hAnsi="David" w:cs="David"/>
          <w:sz w:val="28"/>
          <w:szCs w:val="28"/>
          <w:rtl/>
        </w:rPr>
        <w:t xml:space="preserve">לעניין הפיצוי בגין ההטרדה המינית - הערעור כלפי </w:t>
      </w:r>
      <w:proofErr w:type="spellStart"/>
      <w:r>
        <w:rPr>
          <w:rFonts w:ascii="David" w:eastAsia="Times New Roman" w:hAnsi="David" w:cs="David"/>
          <w:sz w:val="28"/>
          <w:szCs w:val="28"/>
          <w:rtl/>
        </w:rPr>
        <w:t>עאמר</w:t>
      </w:r>
      <w:proofErr w:type="spellEnd"/>
      <w:r>
        <w:rPr>
          <w:rFonts w:ascii="David" w:eastAsia="Times New Roman" w:hAnsi="David" w:cs="David"/>
          <w:sz w:val="28"/>
          <w:szCs w:val="28"/>
          <w:rtl/>
        </w:rPr>
        <w:t xml:space="preserve"> מתקבל בחלקו, כך שהפיצוי שעליו לשלם לפלונית יוגדל ל- 50,000 ש"ח נכון להיום, והערעור כלפי החברה נדחה. </w:t>
      </w:r>
    </w:p>
    <w:p w14:paraId="10C090A5" w14:textId="77777777" w:rsidR="00BE284B" w:rsidRDefault="00BE284B" w:rsidP="00BE284B">
      <w:pPr>
        <w:pStyle w:val="ad"/>
        <w:spacing w:after="0" w:line="360" w:lineRule="auto"/>
        <w:jc w:val="both"/>
        <w:rPr>
          <w:rFonts w:ascii="David" w:eastAsia="Times New Roman" w:hAnsi="David" w:cs="David"/>
          <w:sz w:val="28"/>
          <w:szCs w:val="28"/>
        </w:rPr>
      </w:pPr>
      <w:r>
        <w:rPr>
          <w:rFonts w:ascii="David" w:eastAsia="Times New Roman" w:hAnsi="David" w:cs="David"/>
          <w:sz w:val="28"/>
          <w:szCs w:val="28"/>
          <w:rtl/>
        </w:rPr>
        <w:t xml:space="preserve">לעניין הפיצוי מכוח חוק איסור לשון הרע - הפיצוי שעל החברה לשלם לפלונית יוגדל לסכום של  פיצוי בסך 50,000 ₪ נכון להיום. </w:t>
      </w:r>
    </w:p>
    <w:p w14:paraId="4679BEC4" w14:textId="77777777" w:rsidR="00BE284B" w:rsidRDefault="00BE284B" w:rsidP="00BE284B">
      <w:pPr>
        <w:pStyle w:val="ad"/>
        <w:numPr>
          <w:ilvl w:val="0"/>
          <w:numId w:val="3"/>
        </w:numPr>
        <w:spacing w:after="0" w:line="360" w:lineRule="auto"/>
        <w:jc w:val="both"/>
        <w:rPr>
          <w:rFonts w:ascii="David" w:eastAsia="Times New Roman" w:hAnsi="David" w:cs="David"/>
          <w:sz w:val="28"/>
          <w:szCs w:val="28"/>
          <w:rtl/>
        </w:rPr>
      </w:pPr>
      <w:r>
        <w:rPr>
          <w:rFonts w:ascii="David" w:eastAsia="Times New Roman" w:hAnsi="David" w:cs="David"/>
          <w:sz w:val="28"/>
          <w:szCs w:val="28"/>
          <w:rtl/>
        </w:rPr>
        <w:t>המשיבים, יחד ולחוד, ישלמו לפלונית הוצאות ערעור זה בסך של 10,000 ש"ח.  ביחסים עם מען אין צו להוצאות.</w:t>
      </w:r>
    </w:p>
    <w:p w14:paraId="47984137" w14:textId="77777777" w:rsidR="00BE284B" w:rsidRDefault="00BE284B" w:rsidP="00BE284B">
      <w:pPr>
        <w:spacing w:line="360" w:lineRule="auto"/>
        <w:jc w:val="both"/>
        <w:rPr>
          <w:rFonts w:ascii="David" w:hAnsi="David"/>
          <w:sz w:val="28"/>
          <w:szCs w:val="28"/>
        </w:rPr>
      </w:pPr>
    </w:p>
    <w:p w14:paraId="370AB6EB" w14:textId="77777777" w:rsidR="00BE284B" w:rsidRDefault="007D30F2" w:rsidP="007D30F2">
      <w:pPr>
        <w:spacing w:line="360" w:lineRule="auto"/>
        <w:jc w:val="both"/>
        <w:rPr>
          <w:rFonts w:ascii="Arial" w:hAnsi="Arial"/>
          <w:noProof w:val="0"/>
          <w:sz w:val="28"/>
          <w:szCs w:val="28"/>
          <w:rtl/>
        </w:rPr>
      </w:pPr>
      <w:r>
        <w:rPr>
          <w:rFonts w:ascii="Arial" w:hAnsi="Arial"/>
          <w:noProof w:val="0"/>
          <w:sz w:val="28"/>
          <w:szCs w:val="28"/>
          <w:rtl/>
        </w:rPr>
        <w:t xml:space="preserve">ניתן </w:t>
      </w:r>
      <w:r>
        <w:rPr>
          <w:rFonts w:ascii="Arial" w:hAnsi="Arial" w:hint="cs"/>
          <w:noProof w:val="0"/>
          <w:sz w:val="28"/>
          <w:szCs w:val="28"/>
          <w:rtl/>
        </w:rPr>
        <w:t>ב</w:t>
      </w:r>
      <w:r w:rsidR="00BE284B">
        <w:rPr>
          <w:rFonts w:ascii="Arial" w:hAnsi="Arial"/>
          <w:noProof w:val="0"/>
          <w:sz w:val="28"/>
          <w:szCs w:val="28"/>
          <w:rtl/>
        </w:rPr>
        <w:t>יום,</w:t>
      </w:r>
      <w:r>
        <w:rPr>
          <w:rFonts w:ascii="Arial" w:hAnsi="Arial" w:hint="cs"/>
          <w:noProof w:val="0"/>
          <w:sz w:val="28"/>
          <w:szCs w:val="28"/>
          <w:rtl/>
        </w:rPr>
        <w:t xml:space="preserve"> כ"ה טבת תשפ"ו (14 ינואר 2026) והותר לפרסום ביום </w:t>
      </w:r>
      <w:r>
        <w:rPr>
          <w:rFonts w:ascii="Arial" w:hAnsi="Arial" w:hint="eastAsia"/>
          <w:noProof w:val="0"/>
          <w:sz w:val="28"/>
          <w:szCs w:val="28"/>
          <w:rtl/>
        </w:rPr>
        <w:t>‏ח</w:t>
      </w:r>
      <w:r>
        <w:rPr>
          <w:rFonts w:ascii="Arial" w:hAnsi="Arial"/>
          <w:noProof w:val="0"/>
          <w:sz w:val="28"/>
          <w:szCs w:val="28"/>
          <w:rtl/>
        </w:rPr>
        <w:t>' שבט תשפ"ו</w:t>
      </w:r>
      <w:r>
        <w:rPr>
          <w:rFonts w:ascii="Arial" w:hAnsi="Arial" w:hint="cs"/>
          <w:noProof w:val="0"/>
          <w:sz w:val="28"/>
          <w:szCs w:val="28"/>
          <w:rtl/>
        </w:rPr>
        <w:t xml:space="preserve"> (26 ינואר 2026) </w:t>
      </w:r>
      <w:r w:rsidR="00BE284B">
        <w:rPr>
          <w:rFonts w:ascii="Arial" w:hAnsi="Arial"/>
          <w:noProof w:val="0"/>
          <w:sz w:val="28"/>
          <w:szCs w:val="28"/>
          <w:rtl/>
        </w:rPr>
        <w:t>בהעדר הצדדים ויישלח אליהם.</w:t>
      </w:r>
    </w:p>
    <w:p w14:paraId="31182A57" w14:textId="77777777" w:rsidR="00BE284B" w:rsidRDefault="00BE284B" w:rsidP="00BE284B">
      <w:pPr>
        <w:spacing w:line="360" w:lineRule="auto"/>
        <w:jc w:val="both"/>
        <w:rPr>
          <w:rFonts w:ascii="Arial" w:hAnsi="Arial"/>
          <w:noProof w:val="0"/>
          <w:rtl/>
        </w:rPr>
      </w:pPr>
    </w:p>
    <w:tbl>
      <w:tblPr>
        <w:tblStyle w:val="a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29"/>
        <w:gridCol w:w="359"/>
        <w:gridCol w:w="2334"/>
        <w:gridCol w:w="359"/>
        <w:gridCol w:w="2624"/>
      </w:tblGrid>
      <w:tr w:rsidR="007D30F2" w14:paraId="6C54BA7A" w14:textId="77777777" w:rsidTr="006B4223">
        <w:tc>
          <w:tcPr>
            <w:tcW w:w="2834" w:type="dxa"/>
            <w:tcBorders>
              <w:bottom w:val="single" w:sz="4" w:space="0" w:color="auto"/>
            </w:tcBorders>
            <w:vAlign w:val="center"/>
          </w:tcPr>
          <w:p w14:paraId="071D24B3" w14:textId="77777777" w:rsidR="007D30F2" w:rsidRPr="002E3BE9" w:rsidRDefault="007D30F2" w:rsidP="006B4223">
            <w:pPr>
              <w:spacing w:before="40" w:after="40"/>
              <w:jc w:val="center"/>
              <w:rPr>
                <w:rtl/>
              </w:rPr>
            </w:pPr>
            <w:r>
              <w:drawing>
                <wp:inline distT="0" distB="0" distL="0" distR="0" wp14:anchorId="1070E5D4" wp14:editId="562DB7BA">
                  <wp:extent cx="990600" cy="762000"/>
                  <wp:effectExtent l="0" t="0" r="0" b="0"/>
                  <wp:docPr id="7" name="Picture 1"/>
                  <wp:cNvGraphicFramePr/>
                  <a:graphic xmlns:a="http://schemas.openxmlformats.org/drawingml/2006/main">
                    <a:graphicData uri="http://schemas.openxmlformats.org/drawingml/2006/picture">
                      <pic:pic xmlns:pic="http://schemas.openxmlformats.org/drawingml/2006/picture">
                        <pic:nvPicPr>
                          <pic:cNvPr id="1" name="Picture 1" descr="069600930"/>
                          <pic:cNvPicPr/>
                        </pic:nvPicPr>
                        <pic:blipFill>
                          <a:blip r:embed="rId8">
                            <a:extLst>
                              <a:ext uri="{28A0092B-C50C-407E-A947-70E740481C1C}">
                                <a14:useLocalDpi xmlns:a14="http://schemas.microsoft.com/office/drawing/2010/main" val="0"/>
                              </a:ext>
                            </a:extLst>
                          </a:blip>
                          <a:stretch>
                            <a:fillRect/>
                          </a:stretch>
                        </pic:blipFill>
                        <pic:spPr bwMode="auto">
                          <a:xfrm>
                            <a:off x="0" y="0"/>
                            <a:ext cx="990600" cy="762000"/>
                          </a:xfrm>
                          <a:prstGeom prst="rect">
                            <a:avLst/>
                          </a:prstGeom>
                          <a:noFill/>
                          <a:ln>
                            <a:noFill/>
                          </a:ln>
                        </pic:spPr>
                      </pic:pic>
                    </a:graphicData>
                  </a:graphic>
                </wp:inline>
              </w:drawing>
            </w:r>
          </w:p>
        </w:tc>
        <w:tc>
          <w:tcPr>
            <w:tcW w:w="360" w:type="dxa"/>
            <w:vAlign w:val="center"/>
          </w:tcPr>
          <w:p w14:paraId="04159962" w14:textId="77777777" w:rsidR="007D30F2" w:rsidRDefault="007D30F2" w:rsidP="006B4223">
            <w:pPr>
              <w:spacing w:before="40" w:after="40"/>
              <w:jc w:val="center"/>
              <w:rPr>
                <w:rtl/>
              </w:rPr>
            </w:pPr>
          </w:p>
        </w:tc>
        <w:tc>
          <w:tcPr>
            <w:tcW w:w="2340" w:type="dxa"/>
            <w:tcBorders>
              <w:bottom w:val="single" w:sz="4" w:space="0" w:color="auto"/>
            </w:tcBorders>
            <w:vAlign w:val="center"/>
          </w:tcPr>
          <w:p w14:paraId="4BA9FA7A" w14:textId="77777777" w:rsidR="007D30F2" w:rsidRPr="00C176F3" w:rsidRDefault="007D30F2" w:rsidP="006B4223">
            <w:pPr>
              <w:spacing w:before="40" w:after="40"/>
              <w:jc w:val="center"/>
              <w:rPr>
                <w:rtl/>
              </w:rPr>
            </w:pPr>
            <w:r>
              <w:drawing>
                <wp:inline distT="0" distB="0" distL="0" distR="0" wp14:anchorId="32EE3FE0" wp14:editId="79153E07">
                  <wp:extent cx="710469" cy="973455"/>
                  <wp:effectExtent l="0" t="0" r="0" b="0"/>
                  <wp:docPr id="2" name="תמונה 2"/>
                  <wp:cNvGraphicFramePr/>
                  <a:graphic xmlns:a="http://schemas.openxmlformats.org/drawingml/2006/main">
                    <a:graphicData uri="http://schemas.openxmlformats.org/drawingml/2006/picture">
                      <pic:pic xmlns:pic="http://schemas.openxmlformats.org/drawingml/2006/picture">
                        <pic:nvPicPr>
                          <pic:cNvPr id="2" name="תמונה 2" descr="C:\Users\ShimiG\AppData\Local\Microsoft\Windows\Temporary Internet Files\Content.Word\055394902.tif"/>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712598" cy="976372"/>
                          </a:xfrm>
                          <a:prstGeom prst="rect">
                            <a:avLst/>
                          </a:prstGeom>
                          <a:noFill/>
                          <a:ln>
                            <a:noFill/>
                          </a:ln>
                        </pic:spPr>
                      </pic:pic>
                    </a:graphicData>
                  </a:graphic>
                </wp:inline>
              </w:drawing>
            </w:r>
          </w:p>
        </w:tc>
        <w:tc>
          <w:tcPr>
            <w:tcW w:w="360" w:type="dxa"/>
            <w:vAlign w:val="center"/>
          </w:tcPr>
          <w:p w14:paraId="52FAE4CC" w14:textId="77777777" w:rsidR="007D30F2" w:rsidRDefault="007D30F2" w:rsidP="006B4223">
            <w:pPr>
              <w:spacing w:before="40" w:after="40"/>
              <w:jc w:val="center"/>
              <w:rPr>
                <w:rtl/>
              </w:rPr>
            </w:pPr>
          </w:p>
        </w:tc>
        <w:tc>
          <w:tcPr>
            <w:tcW w:w="2628" w:type="dxa"/>
            <w:tcBorders>
              <w:bottom w:val="single" w:sz="4" w:space="0" w:color="auto"/>
            </w:tcBorders>
            <w:vAlign w:val="center"/>
          </w:tcPr>
          <w:p w14:paraId="7E285513" w14:textId="77777777" w:rsidR="007D30F2" w:rsidRPr="00FF00DF" w:rsidRDefault="007D30F2" w:rsidP="006B4223">
            <w:pPr>
              <w:spacing w:before="40" w:after="40"/>
              <w:jc w:val="center"/>
              <w:rPr>
                <w:rtl/>
              </w:rPr>
            </w:pPr>
            <w:r>
              <w:rPr>
                <w:rFonts w:ascii="Courier New" w:hAnsi="Courier New"/>
                <w:b/>
                <w:bCs/>
                <w:sz w:val="20"/>
                <w:szCs w:val="20"/>
              </w:rPr>
              <w:drawing>
                <wp:inline distT="0" distB="0" distL="0" distR="0" wp14:anchorId="3EF98196" wp14:editId="04ED38D4">
                  <wp:extent cx="1047750" cy="533399"/>
                  <wp:effectExtent l="0" t="0" r="0" b="63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03645129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47750" cy="533399"/>
                          </a:xfrm>
                          <a:prstGeom prst="rect">
                            <a:avLst/>
                          </a:prstGeom>
                          <a:noFill/>
                          <a:ln>
                            <a:noFill/>
                          </a:ln>
                        </pic:spPr>
                      </pic:pic>
                    </a:graphicData>
                  </a:graphic>
                </wp:inline>
              </w:drawing>
            </w:r>
          </w:p>
        </w:tc>
      </w:tr>
      <w:tr w:rsidR="007D30F2" w14:paraId="078D6CFA" w14:textId="77777777" w:rsidTr="006B4223">
        <w:tc>
          <w:tcPr>
            <w:tcW w:w="2834" w:type="dxa"/>
            <w:tcBorders>
              <w:top w:val="single" w:sz="4" w:space="0" w:color="auto"/>
            </w:tcBorders>
            <w:vAlign w:val="center"/>
          </w:tcPr>
          <w:p w14:paraId="0982CED6" w14:textId="77777777" w:rsidR="007D30F2" w:rsidRDefault="007D30F2" w:rsidP="005A19B2">
            <w:pPr>
              <w:spacing w:before="40" w:after="40"/>
              <w:jc w:val="center"/>
              <w:rPr>
                <w:b/>
                <w:bCs/>
                <w:sz w:val="28"/>
                <w:szCs w:val="28"/>
              </w:rPr>
            </w:pPr>
            <w:r>
              <w:rPr>
                <w:b/>
                <w:bCs/>
                <w:sz w:val="28"/>
                <w:szCs w:val="28"/>
                <w:rtl/>
              </w:rPr>
              <w:t>אילן איטח,</w:t>
            </w:r>
          </w:p>
          <w:p w14:paraId="7A45AC99" w14:textId="77777777" w:rsidR="007D30F2" w:rsidRDefault="007D30F2" w:rsidP="005A19B2">
            <w:pPr>
              <w:spacing w:before="40" w:after="40"/>
              <w:jc w:val="center"/>
              <w:rPr>
                <w:b/>
                <w:bCs/>
                <w:sz w:val="28"/>
                <w:szCs w:val="28"/>
                <w:rtl/>
              </w:rPr>
            </w:pPr>
            <w:r>
              <w:rPr>
                <w:b/>
                <w:bCs/>
                <w:sz w:val="28"/>
                <w:szCs w:val="28"/>
                <w:rtl/>
              </w:rPr>
              <w:t>מ"מ נשיא, אב"ד</w:t>
            </w:r>
          </w:p>
        </w:tc>
        <w:tc>
          <w:tcPr>
            <w:tcW w:w="360" w:type="dxa"/>
            <w:vAlign w:val="center"/>
          </w:tcPr>
          <w:p w14:paraId="5DFB6703" w14:textId="77777777" w:rsidR="007D30F2" w:rsidRDefault="007D30F2" w:rsidP="006B4223">
            <w:pPr>
              <w:spacing w:before="40" w:after="40"/>
              <w:jc w:val="center"/>
              <w:rPr>
                <w:rtl/>
              </w:rPr>
            </w:pPr>
          </w:p>
        </w:tc>
        <w:tc>
          <w:tcPr>
            <w:tcW w:w="2340" w:type="dxa"/>
            <w:tcBorders>
              <w:top w:val="single" w:sz="4" w:space="0" w:color="auto"/>
            </w:tcBorders>
            <w:vAlign w:val="center"/>
          </w:tcPr>
          <w:p w14:paraId="10ABBAA1" w14:textId="77777777" w:rsidR="007D30F2" w:rsidRDefault="007D30F2" w:rsidP="00F116B3">
            <w:pPr>
              <w:spacing w:before="40" w:after="40"/>
              <w:jc w:val="center"/>
              <w:rPr>
                <w:b/>
                <w:bCs/>
                <w:sz w:val="28"/>
                <w:szCs w:val="28"/>
                <w:rtl/>
              </w:rPr>
            </w:pPr>
            <w:r>
              <w:rPr>
                <w:rFonts w:hint="cs"/>
                <w:b/>
                <w:bCs/>
                <w:sz w:val="28"/>
                <w:szCs w:val="28"/>
                <w:rtl/>
              </w:rPr>
              <w:t>רועי פוליאק,</w:t>
            </w:r>
          </w:p>
          <w:p w14:paraId="2723727B" w14:textId="77777777" w:rsidR="007D30F2" w:rsidRDefault="007D30F2" w:rsidP="00F116B3">
            <w:pPr>
              <w:spacing w:before="40" w:after="40"/>
              <w:jc w:val="center"/>
              <w:rPr>
                <w:b/>
                <w:bCs/>
                <w:sz w:val="28"/>
                <w:szCs w:val="28"/>
              </w:rPr>
            </w:pPr>
            <w:r>
              <w:rPr>
                <w:rFonts w:hint="cs"/>
                <w:b/>
                <w:bCs/>
                <w:sz w:val="28"/>
                <w:szCs w:val="28"/>
                <w:rtl/>
              </w:rPr>
              <w:t>שופט</w:t>
            </w:r>
          </w:p>
        </w:tc>
        <w:tc>
          <w:tcPr>
            <w:tcW w:w="360" w:type="dxa"/>
            <w:vAlign w:val="center"/>
          </w:tcPr>
          <w:p w14:paraId="15EB90CF" w14:textId="77777777" w:rsidR="007D30F2" w:rsidRDefault="007D30F2" w:rsidP="006B4223">
            <w:pPr>
              <w:spacing w:before="40" w:after="40"/>
              <w:jc w:val="center"/>
              <w:rPr>
                <w:rtl/>
              </w:rPr>
            </w:pPr>
          </w:p>
        </w:tc>
        <w:tc>
          <w:tcPr>
            <w:tcW w:w="2628" w:type="dxa"/>
            <w:tcBorders>
              <w:top w:val="single" w:sz="4" w:space="0" w:color="auto"/>
            </w:tcBorders>
            <w:vAlign w:val="center"/>
          </w:tcPr>
          <w:p w14:paraId="091F0A8D" w14:textId="77777777" w:rsidR="007D30F2" w:rsidRDefault="007D30F2" w:rsidP="00F116B3">
            <w:pPr>
              <w:jc w:val="center"/>
              <w:rPr>
                <w:rFonts w:ascii="Courier New" w:hAnsi="Courier New"/>
                <w:b/>
                <w:bCs/>
                <w:sz w:val="28"/>
                <w:szCs w:val="28"/>
                <w:rtl/>
              </w:rPr>
            </w:pPr>
            <w:r>
              <w:rPr>
                <w:rFonts w:ascii="Courier New" w:hAnsi="Courier New"/>
                <w:b/>
                <w:bCs/>
                <w:sz w:val="28"/>
                <w:szCs w:val="28"/>
                <w:rtl/>
              </w:rPr>
              <w:t>עמיצור איתם,</w:t>
            </w:r>
          </w:p>
          <w:p w14:paraId="06E4834A" w14:textId="77777777" w:rsidR="007D30F2" w:rsidRDefault="007D30F2" w:rsidP="00F116B3">
            <w:pPr>
              <w:jc w:val="center"/>
              <w:rPr>
                <w:b/>
                <w:bCs/>
                <w:sz w:val="28"/>
                <w:szCs w:val="28"/>
              </w:rPr>
            </w:pPr>
            <w:r>
              <w:rPr>
                <w:rFonts w:ascii="Courier New" w:hAnsi="Courier New"/>
                <w:b/>
                <w:bCs/>
                <w:sz w:val="28"/>
                <w:szCs w:val="28"/>
                <w:rtl/>
              </w:rPr>
              <w:t>שופט</w:t>
            </w:r>
          </w:p>
        </w:tc>
      </w:tr>
    </w:tbl>
    <w:p w14:paraId="579A640C" w14:textId="77777777" w:rsidR="007D30F2" w:rsidRDefault="007D30F2">
      <w:pPr>
        <w:rPr>
          <w:rtl/>
        </w:rPr>
      </w:pPr>
    </w:p>
    <w:tbl>
      <w:tblPr>
        <w:tblStyle w:val="a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1697"/>
        <w:gridCol w:w="3406"/>
      </w:tblGrid>
      <w:tr w:rsidR="007D30F2" w14:paraId="56E7FB17" w14:textId="77777777" w:rsidTr="00BA2515">
        <w:trPr>
          <w:trHeight w:val="550"/>
        </w:trPr>
        <w:tc>
          <w:tcPr>
            <w:tcW w:w="3408" w:type="dxa"/>
          </w:tcPr>
          <w:tbl>
            <w:tblPr>
              <w:tblStyle w:val="a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6"/>
            </w:tblGrid>
            <w:tr w:rsidR="007D30F2" w14:paraId="7E0891D3" w14:textId="77777777" w:rsidTr="00D5538F">
              <w:trPr>
                <w:trHeight w:val="823"/>
              </w:trPr>
              <w:tc>
                <w:tcPr>
                  <w:tcW w:w="3194" w:type="dxa"/>
                  <w:tcBorders>
                    <w:bottom w:val="single" w:sz="4" w:space="0" w:color="auto"/>
                  </w:tcBorders>
                </w:tcPr>
                <w:p w14:paraId="58FD0729" w14:textId="77777777" w:rsidR="007D30F2" w:rsidRPr="009B63D8" w:rsidRDefault="007D30F2" w:rsidP="007D2805">
                  <w:pPr>
                    <w:jc w:val="center"/>
                    <w:rPr>
                      <w:rtl/>
                    </w:rPr>
                  </w:pPr>
                  <w:r>
                    <w:drawing>
                      <wp:inline distT="0" distB="0" distL="0" distR="0" wp14:anchorId="1BA9CE9F" wp14:editId="5C6866AD">
                        <wp:extent cx="1092529" cy="709439"/>
                        <wp:effectExtent l="0" t="0" r="0" b="0"/>
                        <wp:docPr id="8" name="תמונה 8" descr="C:\Users\ShimiG\AppData\Local\Microsoft\Windows\Temporary Internet Files\Content.Word\051026680 ורדה אדוארדס.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miG\AppData\Local\Microsoft\Windows\Temporary Internet Files\Content.Word\051026680 ורדה אדוארדס.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152" cy="712441"/>
                                </a:xfrm>
                                <a:prstGeom prst="rect">
                                  <a:avLst/>
                                </a:prstGeom>
                                <a:noFill/>
                                <a:ln>
                                  <a:noFill/>
                                </a:ln>
                              </pic:spPr>
                            </pic:pic>
                          </a:graphicData>
                        </a:graphic>
                      </wp:inline>
                    </w:drawing>
                  </w:r>
                </w:p>
              </w:tc>
            </w:tr>
            <w:tr w:rsidR="007D30F2" w14:paraId="321E61EA" w14:textId="77777777" w:rsidTr="00D5538F">
              <w:trPr>
                <w:trHeight w:val="274"/>
              </w:trPr>
              <w:tc>
                <w:tcPr>
                  <w:tcW w:w="3194" w:type="dxa"/>
                  <w:tcBorders>
                    <w:top w:val="single" w:sz="4" w:space="0" w:color="auto"/>
                  </w:tcBorders>
                </w:tcPr>
                <w:p w14:paraId="29CF3501" w14:textId="77777777" w:rsidR="007D30F2" w:rsidRPr="002057BA" w:rsidRDefault="007D30F2" w:rsidP="0075106C">
                  <w:pPr>
                    <w:jc w:val="center"/>
                    <w:rPr>
                      <w:b/>
                      <w:bCs/>
                      <w:sz w:val="28"/>
                      <w:szCs w:val="28"/>
                      <w:rtl/>
                    </w:rPr>
                  </w:pPr>
                  <w:r w:rsidRPr="002057BA">
                    <w:rPr>
                      <w:rFonts w:hint="cs"/>
                      <w:b/>
                      <w:bCs/>
                      <w:sz w:val="28"/>
                      <w:szCs w:val="28"/>
                      <w:rtl/>
                    </w:rPr>
                    <w:t xml:space="preserve">גברת </w:t>
                  </w:r>
                  <w:r>
                    <w:rPr>
                      <w:rFonts w:hint="cs"/>
                      <w:b/>
                      <w:bCs/>
                      <w:sz w:val="28"/>
                      <w:szCs w:val="28"/>
                      <w:rtl/>
                    </w:rPr>
                    <w:t>ורדה אדוארדס</w:t>
                  </w:r>
                  <w:r w:rsidRPr="002057BA">
                    <w:rPr>
                      <w:rFonts w:hint="cs"/>
                      <w:b/>
                      <w:bCs/>
                      <w:sz w:val="28"/>
                      <w:szCs w:val="28"/>
                      <w:rtl/>
                    </w:rPr>
                    <w:t>,</w:t>
                  </w:r>
                </w:p>
                <w:p w14:paraId="0D3129D4" w14:textId="77777777" w:rsidR="007D30F2" w:rsidRPr="007D2805" w:rsidRDefault="007D30F2" w:rsidP="007D2805">
                  <w:pPr>
                    <w:jc w:val="center"/>
                    <w:rPr>
                      <w:b/>
                      <w:bCs/>
                      <w:rtl/>
                    </w:rPr>
                  </w:pPr>
                  <w:r w:rsidRPr="002057BA">
                    <w:rPr>
                      <w:rFonts w:hint="cs"/>
                      <w:b/>
                      <w:bCs/>
                      <w:sz w:val="28"/>
                      <w:szCs w:val="28"/>
                      <w:rtl/>
                    </w:rPr>
                    <w:t xml:space="preserve">נציגת </w:t>
                  </w:r>
                  <w:r>
                    <w:rPr>
                      <w:rFonts w:hint="cs"/>
                      <w:b/>
                      <w:bCs/>
                      <w:sz w:val="28"/>
                      <w:szCs w:val="28"/>
                      <w:rtl/>
                    </w:rPr>
                    <w:t>ציבור (</w:t>
                  </w:r>
                  <w:r w:rsidRPr="002057BA">
                    <w:rPr>
                      <w:rFonts w:hint="cs"/>
                      <w:b/>
                      <w:bCs/>
                      <w:sz w:val="28"/>
                      <w:szCs w:val="28"/>
                      <w:rtl/>
                    </w:rPr>
                    <w:t>עובדים</w:t>
                  </w:r>
                  <w:r>
                    <w:rPr>
                      <w:rFonts w:hint="cs"/>
                      <w:b/>
                      <w:bCs/>
                      <w:sz w:val="28"/>
                      <w:szCs w:val="28"/>
                      <w:rtl/>
                    </w:rPr>
                    <w:t>)</w:t>
                  </w:r>
                </w:p>
              </w:tc>
            </w:tr>
          </w:tbl>
          <w:p w14:paraId="529F14D0" w14:textId="77777777" w:rsidR="007D30F2" w:rsidRDefault="007D30F2"/>
          <w:p w14:paraId="3BEE625A" w14:textId="77777777" w:rsidR="007D30F2" w:rsidRPr="007D30F2" w:rsidRDefault="007D30F2" w:rsidP="00BA2515">
            <w:pPr>
              <w:jc w:val="center"/>
              <w:rPr>
                <w:rtl/>
              </w:rPr>
            </w:pPr>
          </w:p>
        </w:tc>
        <w:tc>
          <w:tcPr>
            <w:tcW w:w="1704" w:type="dxa"/>
          </w:tcPr>
          <w:p w14:paraId="433FFB06" w14:textId="77777777" w:rsidR="007D30F2" w:rsidRDefault="007D30F2" w:rsidP="00BA2515">
            <w:pPr>
              <w:jc w:val="center"/>
              <w:rPr>
                <w:rtl/>
              </w:rPr>
            </w:pPr>
          </w:p>
        </w:tc>
        <w:tc>
          <w:tcPr>
            <w:tcW w:w="3410" w:type="dxa"/>
          </w:tcPr>
          <w:tbl>
            <w:tblPr>
              <w:tblStyle w:val="a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tblGrid>
            <w:tr w:rsidR="007D30F2" w14:paraId="49567622" w14:textId="77777777" w:rsidTr="00482F7B">
              <w:tc>
                <w:tcPr>
                  <w:tcW w:w="3194" w:type="dxa"/>
                  <w:tcBorders>
                    <w:bottom w:val="single" w:sz="4" w:space="0" w:color="auto"/>
                  </w:tcBorders>
                </w:tcPr>
                <w:p w14:paraId="088DF757" w14:textId="77777777" w:rsidR="007D30F2" w:rsidRPr="00981301" w:rsidRDefault="007D30F2" w:rsidP="007D2805">
                  <w:pPr>
                    <w:jc w:val="center"/>
                    <w:rPr>
                      <w:rtl/>
                    </w:rPr>
                  </w:pPr>
                  <w:r w:rsidRPr="001C6C7B">
                    <w:drawing>
                      <wp:inline distT="0" distB="0" distL="0" distR="0" wp14:anchorId="2C37EE8A" wp14:editId="78C6E8FD">
                        <wp:extent cx="1351280" cy="600710"/>
                        <wp:effectExtent l="0" t="0" r="1270" b="8890"/>
                        <wp:docPr id="9" name="תמונה 9" descr="\\image\HelpDesk\scan\סריקת חתימות\נציגי ציבור ארצי לעבודה י-ם\יצחק רייף 5132103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HelpDesk\scan\סריקת חתימות\נציגי ציבור ארצי לעבודה י-ם\יצחק רייף 51321032.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1280" cy="600710"/>
                                </a:xfrm>
                                <a:prstGeom prst="rect">
                                  <a:avLst/>
                                </a:prstGeom>
                                <a:noFill/>
                                <a:ln>
                                  <a:noFill/>
                                </a:ln>
                              </pic:spPr>
                            </pic:pic>
                          </a:graphicData>
                        </a:graphic>
                      </wp:inline>
                    </w:drawing>
                  </w:r>
                </w:p>
              </w:tc>
            </w:tr>
            <w:tr w:rsidR="007D30F2" w14:paraId="723CD6BC" w14:textId="77777777" w:rsidTr="00482F7B">
              <w:tc>
                <w:tcPr>
                  <w:tcW w:w="3194" w:type="dxa"/>
                  <w:tcBorders>
                    <w:top w:val="single" w:sz="4" w:space="0" w:color="auto"/>
                  </w:tcBorders>
                </w:tcPr>
                <w:p w14:paraId="14FED2AB" w14:textId="77777777" w:rsidR="007D30F2" w:rsidRPr="00906CDA" w:rsidRDefault="007D30F2" w:rsidP="001C6C7B">
                  <w:pPr>
                    <w:jc w:val="center"/>
                    <w:rPr>
                      <w:b/>
                      <w:bCs/>
                      <w:sz w:val="28"/>
                      <w:szCs w:val="28"/>
                      <w:rtl/>
                    </w:rPr>
                  </w:pPr>
                  <w:r w:rsidRPr="00906CDA">
                    <w:rPr>
                      <w:rFonts w:hint="cs"/>
                      <w:b/>
                      <w:bCs/>
                      <w:sz w:val="28"/>
                      <w:szCs w:val="28"/>
                      <w:rtl/>
                    </w:rPr>
                    <w:t xml:space="preserve">מר </w:t>
                  </w:r>
                  <w:r>
                    <w:rPr>
                      <w:rFonts w:hint="cs"/>
                      <w:b/>
                      <w:bCs/>
                      <w:sz w:val="28"/>
                      <w:szCs w:val="28"/>
                      <w:rtl/>
                    </w:rPr>
                    <w:t>יצחק רייף</w:t>
                  </w:r>
                  <w:r w:rsidRPr="00906CDA">
                    <w:rPr>
                      <w:rFonts w:hint="cs"/>
                      <w:b/>
                      <w:bCs/>
                      <w:sz w:val="28"/>
                      <w:szCs w:val="28"/>
                      <w:rtl/>
                    </w:rPr>
                    <w:t>,</w:t>
                  </w:r>
                </w:p>
                <w:p w14:paraId="0EE49535" w14:textId="77777777" w:rsidR="007D30F2" w:rsidRPr="007D2805" w:rsidRDefault="007D30F2" w:rsidP="001537C6">
                  <w:pPr>
                    <w:jc w:val="center"/>
                    <w:rPr>
                      <w:b/>
                      <w:bCs/>
                      <w:rtl/>
                    </w:rPr>
                  </w:pPr>
                  <w:r w:rsidRPr="00906CDA">
                    <w:rPr>
                      <w:rFonts w:hint="cs"/>
                      <w:b/>
                      <w:bCs/>
                      <w:sz w:val="28"/>
                      <w:szCs w:val="28"/>
                      <w:rtl/>
                    </w:rPr>
                    <w:t xml:space="preserve">נציג </w:t>
                  </w:r>
                  <w:r>
                    <w:rPr>
                      <w:rFonts w:hint="cs"/>
                      <w:b/>
                      <w:bCs/>
                      <w:sz w:val="28"/>
                      <w:szCs w:val="28"/>
                      <w:rtl/>
                    </w:rPr>
                    <w:t>ציבור (</w:t>
                  </w:r>
                  <w:r w:rsidRPr="00906CDA">
                    <w:rPr>
                      <w:rFonts w:hint="cs"/>
                      <w:b/>
                      <w:bCs/>
                      <w:sz w:val="28"/>
                      <w:szCs w:val="28"/>
                      <w:rtl/>
                    </w:rPr>
                    <w:t>מע</w:t>
                  </w:r>
                  <w:r>
                    <w:rPr>
                      <w:rFonts w:hint="cs"/>
                      <w:b/>
                      <w:bCs/>
                      <w:sz w:val="28"/>
                      <w:szCs w:val="28"/>
                      <w:rtl/>
                    </w:rPr>
                    <w:t>סיק</w:t>
                  </w:r>
                  <w:r w:rsidRPr="00906CDA">
                    <w:rPr>
                      <w:rFonts w:hint="cs"/>
                      <w:b/>
                      <w:bCs/>
                      <w:sz w:val="28"/>
                      <w:szCs w:val="28"/>
                      <w:rtl/>
                    </w:rPr>
                    <w:t>ים</w:t>
                  </w:r>
                  <w:r>
                    <w:rPr>
                      <w:rFonts w:hint="cs"/>
                      <w:b/>
                      <w:bCs/>
                      <w:sz w:val="28"/>
                      <w:szCs w:val="28"/>
                      <w:rtl/>
                    </w:rPr>
                    <w:t>)</w:t>
                  </w:r>
                </w:p>
              </w:tc>
            </w:tr>
          </w:tbl>
          <w:p w14:paraId="2306EB40" w14:textId="77777777" w:rsidR="007D30F2" w:rsidRDefault="007D30F2">
            <w:pPr>
              <w:rPr>
                <w:rtl/>
              </w:rPr>
            </w:pPr>
          </w:p>
          <w:p w14:paraId="5B7BC0F4" w14:textId="77777777" w:rsidR="007D30F2" w:rsidRDefault="007D30F2">
            <w:pPr>
              <w:rPr>
                <w:rtl/>
              </w:rPr>
            </w:pPr>
          </w:p>
          <w:p w14:paraId="35A62E27" w14:textId="77777777" w:rsidR="007D30F2" w:rsidRDefault="007D30F2">
            <w:pPr>
              <w:rPr>
                <w:rtl/>
              </w:rPr>
            </w:pPr>
          </w:p>
          <w:p w14:paraId="43455C05" w14:textId="77777777" w:rsidR="007D30F2" w:rsidRDefault="007D30F2" w:rsidP="00BA2515">
            <w:pPr>
              <w:jc w:val="center"/>
              <w:rPr>
                <w:rtl/>
              </w:rPr>
            </w:pPr>
          </w:p>
        </w:tc>
      </w:tr>
    </w:tbl>
    <w:p w14:paraId="1C9881F1" w14:textId="77777777" w:rsidR="007D30F2" w:rsidRDefault="007D30F2">
      <w:pPr>
        <w:rPr>
          <w:rtl/>
        </w:rPr>
      </w:pPr>
    </w:p>
    <w:p w14:paraId="21BDB333" w14:textId="77777777" w:rsidR="007D30F2" w:rsidRPr="005C39C7" w:rsidRDefault="007D30F2"/>
    <w:p w14:paraId="05906B4C" w14:textId="77777777" w:rsidR="00694556" w:rsidRDefault="00694556">
      <w:pPr>
        <w:spacing w:line="360" w:lineRule="auto"/>
        <w:jc w:val="both"/>
        <w:rPr>
          <w:rFonts w:ascii="Arial" w:hAnsi="Arial"/>
          <w:noProof w:val="0"/>
          <w:rtl/>
        </w:rPr>
      </w:pPr>
    </w:p>
    <w:sectPr w:rsidR="00694556" w:rsidSect="001229FA">
      <w:headerReference w:type="default" r:id="rId14"/>
      <w:footerReference w:type="default" r:id="rId15"/>
      <w:pgSz w:w="11907" w:h="16840" w:code="9"/>
      <w:pgMar w:top="720" w:right="1701" w:bottom="1134" w:left="1701" w:header="720" w:footer="737" w:gutter="0"/>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39B91" w14:textId="77777777" w:rsidR="007F0CC0" w:rsidRDefault="007F0CC0">
      <w:r>
        <w:separator/>
      </w:r>
    </w:p>
  </w:endnote>
  <w:endnote w:type="continuationSeparator" w:id="0">
    <w:p w14:paraId="29C51DF7" w14:textId="77777777" w:rsidR="007F0CC0" w:rsidRDefault="007F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haroni">
    <w:panose1 w:val="02010803020104030203"/>
    <w:charset w:val="00"/>
    <w:family w:val="auto"/>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B62F" w14:textId="77777777" w:rsidR="00694556" w:rsidRPr="007D30F2" w:rsidRDefault="00094E2B">
    <w:pPr>
      <w:pStyle w:val="a4"/>
      <w:jc w:val="center"/>
      <w:rPr>
        <w:rStyle w:val="ab"/>
        <w:rFonts w:ascii="David" w:hAnsi="David"/>
      </w:rPr>
    </w:pPr>
    <w:r w:rsidRPr="007D30F2">
      <w:rPr>
        <w:rStyle w:val="ab"/>
        <w:rFonts w:ascii="David" w:hAnsi="David"/>
      </w:rPr>
      <w:fldChar w:fldCharType="begin"/>
    </w:r>
    <w:r w:rsidR="00005C8B" w:rsidRPr="007D30F2">
      <w:rPr>
        <w:rStyle w:val="ab"/>
        <w:rFonts w:ascii="David" w:hAnsi="David"/>
      </w:rPr>
      <w:instrText xml:space="preserve"> PAGE </w:instrText>
    </w:r>
    <w:r w:rsidRPr="007D30F2">
      <w:rPr>
        <w:rStyle w:val="ab"/>
        <w:rFonts w:ascii="David" w:hAnsi="David"/>
      </w:rPr>
      <w:fldChar w:fldCharType="separate"/>
    </w:r>
    <w:r w:rsidR="00E80E1D">
      <w:rPr>
        <w:rStyle w:val="ab"/>
        <w:rFonts w:ascii="David" w:hAnsi="David"/>
        <w:rtl/>
      </w:rPr>
      <w:t>1</w:t>
    </w:r>
    <w:r w:rsidRPr="007D30F2">
      <w:rPr>
        <w:rStyle w:val="ab"/>
        <w:rFonts w:ascii="David" w:hAnsi="David"/>
      </w:rPr>
      <w:fldChar w:fldCharType="end"/>
    </w:r>
    <w:r w:rsidR="00005C8B" w:rsidRPr="007D30F2">
      <w:rPr>
        <w:rStyle w:val="ab"/>
        <w:rFonts w:ascii="David" w:hAnsi="David"/>
        <w:rtl/>
      </w:rPr>
      <w:t xml:space="preserve"> מתוך </w:t>
    </w:r>
    <w:r w:rsidRPr="007D30F2">
      <w:rPr>
        <w:rStyle w:val="ab"/>
        <w:rFonts w:ascii="David" w:hAnsi="David"/>
      </w:rPr>
      <w:fldChar w:fldCharType="begin"/>
    </w:r>
    <w:r w:rsidR="00005C8B" w:rsidRPr="007D30F2">
      <w:rPr>
        <w:rStyle w:val="ab"/>
        <w:rFonts w:ascii="David" w:hAnsi="David"/>
      </w:rPr>
      <w:instrText xml:space="preserve"> NUMPAGES </w:instrText>
    </w:r>
    <w:r w:rsidRPr="007D30F2">
      <w:rPr>
        <w:rStyle w:val="ab"/>
        <w:rFonts w:ascii="David" w:hAnsi="David"/>
      </w:rPr>
      <w:fldChar w:fldCharType="separate"/>
    </w:r>
    <w:r w:rsidR="00E80E1D">
      <w:rPr>
        <w:rStyle w:val="ab"/>
        <w:rFonts w:ascii="David" w:hAnsi="David"/>
        <w:rtl/>
      </w:rPr>
      <w:t>18</w:t>
    </w:r>
    <w:r w:rsidRPr="007D30F2">
      <w:rPr>
        <w:rStyle w:val="ab"/>
        <w:rFonts w:ascii="David" w:hAnsi="Dav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AC93" w14:textId="77777777" w:rsidR="007F0CC0" w:rsidRDefault="007F0CC0">
      <w:r>
        <w:separator/>
      </w:r>
    </w:p>
  </w:footnote>
  <w:footnote w:type="continuationSeparator" w:id="0">
    <w:p w14:paraId="440D520E" w14:textId="77777777" w:rsidR="007F0CC0" w:rsidRDefault="007F0CC0">
      <w:r>
        <w:continuationSeparator/>
      </w:r>
    </w:p>
  </w:footnote>
  <w:footnote w:id="1">
    <w:p w14:paraId="228DF361" w14:textId="77777777" w:rsidR="00BE284B" w:rsidRDefault="00BE284B" w:rsidP="00BE284B">
      <w:pPr>
        <w:pStyle w:val="ae"/>
        <w:ind w:left="425" w:hanging="425"/>
        <w:jc w:val="both"/>
        <w:rPr>
          <w:rtl/>
        </w:rPr>
      </w:pPr>
      <w:r>
        <w:rPr>
          <w:rStyle w:val="af0"/>
        </w:rPr>
        <w:footnoteRef/>
      </w:r>
      <w:r>
        <w:rPr>
          <w:rtl/>
        </w:rPr>
        <w:t xml:space="preserve"> </w:t>
      </w:r>
      <w:r>
        <w:rPr>
          <w:rtl/>
        </w:rPr>
        <w:tab/>
      </w:r>
      <w:r>
        <w:rPr>
          <w:rFonts w:ascii="David" w:hAnsi="David" w:cs="David"/>
          <w:rtl/>
        </w:rPr>
        <w:t xml:space="preserve">פסקאות 4-5 לתצהיר עו"ד </w:t>
      </w:r>
      <w:proofErr w:type="spellStart"/>
      <w:r>
        <w:rPr>
          <w:rFonts w:ascii="David" w:hAnsi="David" w:cs="David"/>
          <w:rtl/>
        </w:rPr>
        <w:t>ברטנשטין</w:t>
      </w:r>
      <w:proofErr w:type="spellEnd"/>
      <w:r>
        <w:rPr>
          <w:rFonts w:ascii="David" w:hAnsi="David" w:cs="David"/>
          <w:rtl/>
        </w:rPr>
        <w:t xml:space="preserve"> מטעם המערערות.</w:t>
      </w:r>
      <w:r>
        <w:rPr>
          <w:rtl/>
        </w:rPr>
        <w:t xml:space="preserve">  </w:t>
      </w:r>
    </w:p>
  </w:footnote>
  <w:footnote w:id="2">
    <w:p w14:paraId="3ABE97F2" w14:textId="77777777" w:rsidR="00BE284B" w:rsidRDefault="00BE284B" w:rsidP="00BE284B">
      <w:pPr>
        <w:pStyle w:val="ae"/>
        <w:ind w:left="425" w:hanging="425"/>
        <w:jc w:val="both"/>
        <w:rPr>
          <w:rFonts w:ascii="David" w:hAnsi="David" w:cs="David"/>
        </w:rPr>
      </w:pPr>
      <w:r>
        <w:rPr>
          <w:rStyle w:val="af0"/>
        </w:rPr>
        <w:footnoteRef/>
      </w:r>
      <w:r>
        <w:rPr>
          <w:rtl/>
        </w:rPr>
        <w:t xml:space="preserve"> </w:t>
      </w:r>
      <w:r>
        <w:rPr>
          <w:rtl/>
        </w:rPr>
        <w:tab/>
      </w:r>
      <w:r>
        <w:rPr>
          <w:rFonts w:ascii="David" w:hAnsi="David" w:cs="David"/>
          <w:rtl/>
        </w:rPr>
        <w:t xml:space="preserve">ע"ע (ארצי) 697/09 </w:t>
      </w:r>
      <w:r>
        <w:rPr>
          <w:rFonts w:ascii="David" w:hAnsi="David" w:cs="David"/>
          <w:b/>
          <w:bCs/>
          <w:rtl/>
        </w:rPr>
        <w:t>פלונית – אלמוני</w:t>
      </w:r>
      <w:r>
        <w:rPr>
          <w:rFonts w:ascii="David" w:hAnsi="David" w:cs="David"/>
          <w:rtl/>
        </w:rPr>
        <w:t xml:space="preserve"> (30.10.2011) (להלן – </w:t>
      </w:r>
      <w:r>
        <w:rPr>
          <w:rFonts w:ascii="David" w:hAnsi="David" w:cs="David"/>
          <w:b/>
          <w:bCs/>
          <w:rtl/>
        </w:rPr>
        <w:t>פלונית 2011</w:t>
      </w:r>
      <w:r>
        <w:rPr>
          <w:rFonts w:ascii="David" w:hAnsi="David" w:cs="David"/>
          <w:rtl/>
        </w:rPr>
        <w:t xml:space="preserve">); ע"ע (ארצי) 64261-10-18 </w:t>
      </w:r>
      <w:r>
        <w:rPr>
          <w:rFonts w:ascii="David" w:hAnsi="David" w:cs="David"/>
          <w:b/>
          <w:bCs/>
          <w:rtl/>
        </w:rPr>
        <w:t>פלונית - אלמונית</w:t>
      </w:r>
      <w:r>
        <w:rPr>
          <w:rFonts w:ascii="David" w:hAnsi="David" w:cs="David"/>
          <w:rtl/>
        </w:rPr>
        <w:t xml:space="preserve"> (26.1.2020) (להלן – </w:t>
      </w:r>
      <w:r>
        <w:rPr>
          <w:rFonts w:ascii="David" w:hAnsi="David" w:cs="David"/>
          <w:b/>
          <w:bCs/>
          <w:rtl/>
        </w:rPr>
        <w:t>פלונית 2020</w:t>
      </w:r>
      <w:r>
        <w:rPr>
          <w:rFonts w:ascii="David" w:hAnsi="David" w:cs="David"/>
          <w:rtl/>
        </w:rPr>
        <w:t xml:space="preserve">); ע"ע (ארצי) 39841-11-20 </w:t>
      </w:r>
      <w:r>
        <w:rPr>
          <w:rFonts w:ascii="David" w:hAnsi="David" w:cs="David"/>
          <w:b/>
          <w:bCs/>
          <w:rtl/>
        </w:rPr>
        <w:t>פלונית – אלמוני</w:t>
      </w:r>
      <w:r>
        <w:rPr>
          <w:rFonts w:ascii="David" w:hAnsi="David" w:cs="David"/>
          <w:rtl/>
        </w:rPr>
        <w:t xml:space="preserve"> (11.7.2021) (להלן – </w:t>
      </w:r>
      <w:r>
        <w:rPr>
          <w:rFonts w:ascii="David" w:hAnsi="David" w:cs="David"/>
          <w:b/>
          <w:bCs/>
          <w:rtl/>
        </w:rPr>
        <w:t>פלונית 2021</w:t>
      </w:r>
      <w:r>
        <w:rPr>
          <w:rFonts w:ascii="David" w:hAnsi="David" w:cs="David"/>
          <w:rtl/>
        </w:rPr>
        <w:t xml:space="preserve">); ע"ע (ארצי) 35999-10-21 </w:t>
      </w:r>
      <w:r>
        <w:rPr>
          <w:rFonts w:ascii="David" w:hAnsi="David" w:cs="David"/>
          <w:b/>
          <w:bCs/>
          <w:rtl/>
        </w:rPr>
        <w:t xml:space="preserve">פלונית - חברה פלונית </w:t>
      </w:r>
      <w:r>
        <w:rPr>
          <w:rFonts w:ascii="David" w:hAnsi="David" w:cs="David"/>
          <w:rtl/>
        </w:rPr>
        <w:t xml:space="preserve">(13.12.2022) (להלן – </w:t>
      </w:r>
      <w:r>
        <w:rPr>
          <w:rFonts w:ascii="David" w:hAnsi="David" w:cs="David"/>
          <w:b/>
          <w:bCs/>
          <w:rtl/>
        </w:rPr>
        <w:t>פלונית 2022</w:t>
      </w:r>
      <w:r>
        <w:rPr>
          <w:rFonts w:ascii="David" w:hAnsi="David" w:cs="David"/>
          <w:rtl/>
        </w:rPr>
        <w:t>).</w:t>
      </w:r>
    </w:p>
  </w:footnote>
  <w:footnote w:id="3">
    <w:p w14:paraId="3CD7F23C" w14:textId="77777777" w:rsidR="00BE284B" w:rsidRDefault="00BE284B" w:rsidP="00BE284B">
      <w:pPr>
        <w:pStyle w:val="ae"/>
        <w:ind w:left="425" w:hanging="425"/>
        <w:jc w:val="both"/>
      </w:pPr>
      <w:r>
        <w:rPr>
          <w:rStyle w:val="af0"/>
        </w:rPr>
        <w:footnoteRef/>
      </w:r>
      <w:r>
        <w:rPr>
          <w:rtl/>
        </w:rPr>
        <w:t xml:space="preserve"> </w:t>
      </w:r>
      <w:r>
        <w:rPr>
          <w:rFonts w:ascii="David" w:hAnsi="David" w:cs="David"/>
          <w:rtl/>
        </w:rPr>
        <w:tab/>
      </w:r>
      <w:r>
        <w:rPr>
          <w:rFonts w:ascii="David" w:hAnsi="David" w:cs="David"/>
          <w:rtl/>
        </w:rPr>
        <w:t xml:space="preserve">רע"א 15449-12-24 </w:t>
      </w:r>
      <w:r>
        <w:rPr>
          <w:rFonts w:ascii="David" w:hAnsi="David" w:cs="David"/>
          <w:b/>
          <w:bCs/>
          <w:rtl/>
        </w:rPr>
        <w:t>פלוני נ' מדינת ישראל</w:t>
      </w:r>
      <w:r>
        <w:rPr>
          <w:rFonts w:ascii="David" w:hAnsi="David" w:cs="David"/>
          <w:rtl/>
        </w:rPr>
        <w:t xml:space="preserve"> (11.8.2025).</w:t>
      </w:r>
      <w:r>
        <w:rPr>
          <w:rtl/>
        </w:rPr>
        <w:t xml:space="preserve"> </w:t>
      </w:r>
    </w:p>
  </w:footnote>
  <w:footnote w:id="4">
    <w:p w14:paraId="4374C109" w14:textId="77777777" w:rsidR="00BE284B" w:rsidRDefault="00BE284B" w:rsidP="00BE284B">
      <w:pPr>
        <w:pStyle w:val="ae"/>
        <w:ind w:left="425" w:hanging="425"/>
        <w:jc w:val="both"/>
        <w:rPr>
          <w:rtl/>
        </w:rPr>
      </w:pPr>
      <w:r>
        <w:rPr>
          <w:rStyle w:val="af0"/>
        </w:rPr>
        <w:footnoteRef/>
      </w:r>
      <w:r>
        <w:rPr>
          <w:rtl/>
        </w:rPr>
        <w:t xml:space="preserve"> </w:t>
      </w:r>
      <w:r>
        <w:rPr>
          <w:rtl/>
        </w:rPr>
        <w:tab/>
      </w:r>
      <w:r>
        <w:rPr>
          <w:rFonts w:ascii="David" w:hAnsi="David" w:cs="David"/>
          <w:rtl/>
        </w:rPr>
        <w:t xml:space="preserve">ע"פ 5932/21 </w:t>
      </w:r>
      <w:proofErr w:type="spellStart"/>
      <w:r>
        <w:rPr>
          <w:rFonts w:ascii="David" w:hAnsi="David" w:cs="David"/>
          <w:b/>
          <w:bCs/>
          <w:rtl/>
        </w:rPr>
        <w:t>קורובקוב</w:t>
      </w:r>
      <w:proofErr w:type="spellEnd"/>
      <w:r>
        <w:rPr>
          <w:rFonts w:ascii="David" w:hAnsi="David" w:cs="David"/>
          <w:b/>
          <w:bCs/>
          <w:rtl/>
        </w:rPr>
        <w:t xml:space="preserve"> נ' מדינת ישראל (</w:t>
      </w:r>
      <w:r>
        <w:rPr>
          <w:rFonts w:ascii="David" w:hAnsi="David" w:cs="David"/>
          <w:rtl/>
        </w:rPr>
        <w:t xml:space="preserve">13.7.2022); ע"פ 8074/16 </w:t>
      </w:r>
      <w:proofErr w:type="spellStart"/>
      <w:r>
        <w:rPr>
          <w:rFonts w:ascii="David" w:hAnsi="David" w:cs="David"/>
          <w:b/>
          <w:bCs/>
          <w:rtl/>
        </w:rPr>
        <w:t>סוליימנוב</w:t>
      </w:r>
      <w:proofErr w:type="spellEnd"/>
      <w:r>
        <w:rPr>
          <w:rFonts w:ascii="David" w:hAnsi="David" w:cs="David"/>
          <w:b/>
          <w:bCs/>
          <w:rtl/>
        </w:rPr>
        <w:t xml:space="preserve"> נ' מדינת ישראל</w:t>
      </w:r>
      <w:r>
        <w:rPr>
          <w:rFonts w:ascii="David" w:hAnsi="David" w:cs="David"/>
          <w:rtl/>
        </w:rPr>
        <w:t xml:space="preserve"> (2.4.2020).</w:t>
      </w:r>
    </w:p>
  </w:footnote>
  <w:footnote w:id="5">
    <w:p w14:paraId="711E5CEB" w14:textId="77777777" w:rsidR="00BE284B" w:rsidRDefault="00BE284B" w:rsidP="00BE284B">
      <w:pPr>
        <w:pStyle w:val="ae"/>
        <w:ind w:left="425" w:hanging="425"/>
        <w:jc w:val="both"/>
      </w:pPr>
      <w:r>
        <w:rPr>
          <w:rStyle w:val="af0"/>
        </w:rPr>
        <w:footnoteRef/>
      </w:r>
      <w:r>
        <w:rPr>
          <w:rtl/>
        </w:rPr>
        <w:t xml:space="preserve"> </w:t>
      </w:r>
      <w:r>
        <w:rPr>
          <w:rtl/>
        </w:rPr>
        <w:tab/>
      </w:r>
      <w:r>
        <w:rPr>
          <w:rFonts w:ascii="David" w:hAnsi="David" w:cs="David"/>
          <w:rtl/>
        </w:rPr>
        <w:t xml:space="preserve">פסקאות 4-5 לתצהיר עו"ד </w:t>
      </w:r>
      <w:proofErr w:type="spellStart"/>
      <w:r>
        <w:rPr>
          <w:rFonts w:ascii="David" w:hAnsi="David" w:cs="David"/>
          <w:rtl/>
        </w:rPr>
        <w:t>ברטנשטיין</w:t>
      </w:r>
      <w:proofErr w:type="spellEnd"/>
      <w:r>
        <w:rPr>
          <w:rFonts w:ascii="David" w:hAnsi="David" w:cs="David"/>
          <w:rtl/>
        </w:rPr>
        <w:t xml:space="preserve"> מטעם המערערות.</w:t>
      </w:r>
      <w:r>
        <w:rPr>
          <w:rtl/>
        </w:rPr>
        <w:t xml:space="preserve">  </w:t>
      </w:r>
    </w:p>
  </w:footnote>
  <w:footnote w:id="6">
    <w:p w14:paraId="34DF9DBB" w14:textId="77777777" w:rsidR="00BE284B" w:rsidRDefault="00BE284B" w:rsidP="00BE284B">
      <w:pPr>
        <w:pStyle w:val="ae"/>
        <w:ind w:left="425" w:hanging="425"/>
        <w:jc w:val="both"/>
      </w:pPr>
      <w:r>
        <w:rPr>
          <w:rStyle w:val="af0"/>
        </w:rPr>
        <w:footnoteRef/>
      </w:r>
      <w:r>
        <w:rPr>
          <w:rtl/>
        </w:rPr>
        <w:t xml:space="preserve"> </w:t>
      </w:r>
      <w:r>
        <w:rPr>
          <w:rtl/>
        </w:rPr>
        <w:tab/>
      </w:r>
      <w:r>
        <w:rPr>
          <w:rFonts w:ascii="David" w:hAnsi="David" w:cs="David"/>
          <w:rtl/>
        </w:rPr>
        <w:t xml:space="preserve">בג"ץ 1462/20 </w:t>
      </w:r>
      <w:r>
        <w:rPr>
          <w:rFonts w:ascii="David" w:hAnsi="David" w:cs="David"/>
          <w:b/>
          <w:bCs/>
          <w:rtl/>
        </w:rPr>
        <w:t xml:space="preserve">יסמין </w:t>
      </w:r>
      <w:proofErr w:type="spellStart"/>
      <w:r>
        <w:rPr>
          <w:rFonts w:ascii="David" w:hAnsi="David" w:cs="David"/>
          <w:b/>
          <w:bCs/>
          <w:rtl/>
        </w:rPr>
        <w:t>ח'טיב</w:t>
      </w:r>
      <w:proofErr w:type="spellEnd"/>
      <w:r>
        <w:rPr>
          <w:rFonts w:ascii="David" w:hAnsi="David" w:cs="David"/>
          <w:b/>
          <w:bCs/>
          <w:rtl/>
        </w:rPr>
        <w:t xml:space="preserve"> נ' משרד הביטחון</w:t>
      </w:r>
      <w:r>
        <w:rPr>
          <w:rFonts w:ascii="David" w:hAnsi="David" w:cs="David"/>
          <w:rtl/>
        </w:rPr>
        <w:t xml:space="preserve"> (6.5.2023). </w:t>
      </w:r>
    </w:p>
  </w:footnote>
  <w:footnote w:id="7">
    <w:p w14:paraId="01B2DA3E" w14:textId="77777777" w:rsidR="00BE284B" w:rsidRDefault="00BE284B" w:rsidP="00BE284B">
      <w:pPr>
        <w:pStyle w:val="ae"/>
        <w:ind w:left="425" w:hanging="425"/>
        <w:jc w:val="both"/>
      </w:pPr>
      <w:r>
        <w:rPr>
          <w:rStyle w:val="af0"/>
        </w:rPr>
        <w:footnoteRef/>
      </w:r>
      <w:r>
        <w:rPr>
          <w:rtl/>
        </w:rPr>
        <w:t xml:space="preserve"> </w:t>
      </w:r>
      <w:r>
        <w:rPr>
          <w:rtl/>
        </w:rPr>
        <w:tab/>
      </w:r>
      <w:r>
        <w:rPr>
          <w:rFonts w:ascii="David" w:hAnsi="David" w:cs="David"/>
          <w:b/>
          <w:bCs/>
          <w:rtl/>
        </w:rPr>
        <w:t>פלונית 2011</w:t>
      </w:r>
      <w:r>
        <w:rPr>
          <w:rFonts w:ascii="David" w:hAnsi="David" w:cs="David"/>
          <w:rtl/>
        </w:rPr>
        <w:t>.</w:t>
      </w:r>
    </w:p>
  </w:footnote>
  <w:footnote w:id="8">
    <w:p w14:paraId="456B1EB1" w14:textId="77777777" w:rsidR="00BE284B" w:rsidRDefault="00BE284B" w:rsidP="00BE284B">
      <w:pPr>
        <w:pStyle w:val="ae"/>
        <w:ind w:left="425" w:hanging="425"/>
        <w:jc w:val="both"/>
        <w:rPr>
          <w:rFonts w:ascii="David" w:hAnsi="David" w:cs="David"/>
          <w:rtl/>
        </w:rPr>
      </w:pPr>
      <w:r>
        <w:rPr>
          <w:rStyle w:val="af0"/>
          <w:rFonts w:ascii="David" w:hAnsi="David" w:cs="David"/>
        </w:rPr>
        <w:footnoteRef/>
      </w:r>
      <w:r>
        <w:rPr>
          <w:rFonts w:ascii="David" w:hAnsi="David" w:cs="David"/>
          <w:rtl/>
        </w:rPr>
        <w:t xml:space="preserve"> </w:t>
      </w:r>
      <w:r>
        <w:rPr>
          <w:rFonts w:ascii="David" w:hAnsi="David" w:cs="David"/>
          <w:rtl/>
        </w:rPr>
        <w:tab/>
      </w:r>
      <w:r>
        <w:rPr>
          <w:rFonts w:ascii="David" w:hAnsi="David" w:cs="David"/>
          <w:rtl/>
        </w:rPr>
        <w:t xml:space="preserve">ע"ע (ארצי) 673-01-19 </w:t>
      </w:r>
      <w:r>
        <w:rPr>
          <w:rFonts w:ascii="David" w:hAnsi="David" w:cs="David"/>
          <w:b/>
          <w:bCs/>
          <w:rtl/>
        </w:rPr>
        <w:t xml:space="preserve">המטבח של רמה בע"מ </w:t>
      </w:r>
      <w:r>
        <w:rPr>
          <w:b/>
          <w:bCs/>
          <w:rtl/>
        </w:rPr>
        <w:t>-</w:t>
      </w:r>
      <w:r>
        <w:rPr>
          <w:rFonts w:ascii="David" w:hAnsi="David" w:cs="David"/>
          <w:b/>
          <w:bCs/>
          <w:rtl/>
        </w:rPr>
        <w:t xml:space="preserve"> בן דוד</w:t>
      </w:r>
      <w:r>
        <w:rPr>
          <w:rFonts w:ascii="David" w:hAnsi="David" w:cs="David"/>
          <w:rtl/>
        </w:rPr>
        <w:t xml:space="preserve"> (5.7.2020).</w:t>
      </w:r>
    </w:p>
  </w:footnote>
  <w:footnote w:id="9">
    <w:p w14:paraId="39853F8D" w14:textId="77777777" w:rsidR="00BE284B" w:rsidRDefault="00BE284B" w:rsidP="00BE284B">
      <w:pPr>
        <w:pStyle w:val="ae"/>
        <w:ind w:left="425" w:hanging="425"/>
        <w:jc w:val="both"/>
        <w:rPr>
          <w:rFonts w:ascii="David" w:hAnsi="David" w:cs="David"/>
        </w:rPr>
      </w:pPr>
      <w:r>
        <w:rPr>
          <w:rStyle w:val="af0"/>
          <w:rFonts w:ascii="David" w:hAnsi="David" w:cs="David"/>
        </w:rPr>
        <w:footnoteRef/>
      </w:r>
      <w:r>
        <w:rPr>
          <w:rFonts w:ascii="David" w:hAnsi="David" w:cs="David"/>
          <w:rtl/>
        </w:rPr>
        <w:t xml:space="preserve"> </w:t>
      </w:r>
      <w:r>
        <w:rPr>
          <w:rFonts w:ascii="David" w:hAnsi="David" w:cs="David"/>
          <w:rtl/>
        </w:rPr>
        <w:tab/>
      </w:r>
      <w:r>
        <w:rPr>
          <w:rFonts w:ascii="David" w:hAnsi="David" w:cs="David"/>
          <w:rtl/>
        </w:rPr>
        <w:t xml:space="preserve">שם נפסק כך: </w:t>
      </w:r>
      <w:r>
        <w:rPr>
          <w:rFonts w:ascii="David" w:hAnsi="David" w:cs="David"/>
          <w:b/>
          <w:bCs/>
          <w:rtl/>
        </w:rPr>
        <w:t xml:space="preserve">"ה. לכאורה ניתן היה להסיק כי אחריות המעסיק מכוח סעיף 7 לחוק יוצרת אחריות יחד ולחוד של המעסיק והמטריד כלפי הניזוק מכוח סעיף 11 לפקודת </w:t>
      </w:r>
      <w:proofErr w:type="spellStart"/>
      <w:r>
        <w:rPr>
          <w:rFonts w:ascii="David" w:hAnsi="David" w:cs="David"/>
          <w:b/>
          <w:bCs/>
          <w:rtl/>
        </w:rPr>
        <w:t>הנזיקין</w:t>
      </w:r>
      <w:proofErr w:type="spellEnd"/>
      <w:r>
        <w:rPr>
          <w:rFonts w:ascii="David" w:hAnsi="David" w:cs="David"/>
          <w:b/>
          <w:bCs/>
          <w:rtl/>
        </w:rPr>
        <w:t xml:space="preserve"> [נוסח חדש]. עם זאת הלכה למעשה הפסיקה שקבעה אחריות למעסיקים מכוח סעיף 7 לחוק לא קבעה חיוב יחד ולחוד אלא פסקה סכום פיצוי העומד בפני עצמו בו חויב המעסיק (בנפרד מסכום הפיצוי בו חויב המטריד), בתלות במכלול השיקולים לרבות היקף החובות שהופרו על ידו (וראו למשל: ...). ייתכן שפרקטיקה זו נבעה מכך שדובר במקרים אלה בפיצוי ללא הוכחת נזק מכוח סעיף 6(ב) לחוק, וייתכן שנבעה מכך שאחריות המעסיק מכוח החוק לא מהווה אחריות </w:t>
      </w:r>
      <w:proofErr w:type="spellStart"/>
      <w:r>
        <w:rPr>
          <w:rFonts w:ascii="David" w:hAnsi="David" w:cs="David"/>
          <w:b/>
          <w:bCs/>
          <w:rtl/>
        </w:rPr>
        <w:t>שילוחית</w:t>
      </w:r>
      <w:proofErr w:type="spellEnd"/>
      <w:r>
        <w:rPr>
          <w:rFonts w:ascii="David" w:hAnsi="David" w:cs="David"/>
          <w:b/>
          <w:bCs/>
          <w:rtl/>
        </w:rPr>
        <w:t xml:space="preserve"> רגילה אלא נובעת מהוראה קונקרטית וייחודית (סעיף 7(ג)), ובהתאם לא פורשה כמתפרשת באופן מלא על ההטרדה עצמה אלא בעיקר </w:t>
      </w:r>
      <w:proofErr w:type="spellStart"/>
      <w:r>
        <w:rPr>
          <w:rFonts w:ascii="David" w:hAnsi="David" w:cs="David"/>
          <w:b/>
          <w:bCs/>
          <w:rtl/>
        </w:rPr>
        <w:t>ככזו</w:t>
      </w:r>
      <w:proofErr w:type="spellEnd"/>
      <w:r>
        <w:rPr>
          <w:rFonts w:ascii="David" w:hAnsi="David" w:cs="David"/>
          <w:b/>
          <w:bCs/>
          <w:rtl/>
        </w:rPr>
        <w:t xml:space="preserve"> הבאה לשקף את מחדלי המעסיק במניעת ההטרדה או בטיפול בה. עם זאת, טרם נערך דיון ממצה בפסיקה בהקשר זה, בכלל וביחס להבדלים אפשריים בין סעיפיו הקטנים של סעיף 6 בפרט.</w:t>
      </w:r>
      <w:r>
        <w:rPr>
          <w:rFonts w:ascii="Arial" w:eastAsia="Times New Roman" w:hAnsi="Arial" w:cs="David"/>
          <w:b/>
          <w:bCs/>
          <w:sz w:val="28"/>
          <w:szCs w:val="28"/>
          <w:rtl/>
        </w:rPr>
        <w:t xml:space="preserve"> </w:t>
      </w:r>
      <w:r>
        <w:rPr>
          <w:rFonts w:ascii="David" w:hAnsi="David" w:cs="David"/>
          <w:b/>
          <w:bCs/>
          <w:rtl/>
        </w:rPr>
        <w:t>ו. בענייננו ההליך ממילא מוחזר כאמור לעיל להמשך טיפולו של בית הדין האזורי, לצורך מינוי מומחה רפואי וקביעת הנזק הנפשי</w:t>
      </w:r>
      <w:r>
        <w:rPr>
          <w:rFonts w:ascii="David" w:hAnsi="David" w:cs="David"/>
          <w:rtl/>
        </w:rPr>
        <w:t xml:space="preserve"> </w:t>
      </w:r>
      <w:r>
        <w:rPr>
          <w:rFonts w:ascii="David" w:hAnsi="David" w:cs="David"/>
          <w:b/>
          <w:bCs/>
          <w:rtl/>
        </w:rPr>
        <w:t>שנגרם למערערת כתוצאה מאירועי ההטרדה המינית (ככל שנגרם). משכך, לאחר קביעת סכום הפיצוי בין מכוח סעיף 6(א) ובין מכוח סעיף 6(ב)</w:t>
      </w:r>
      <w:r>
        <w:rPr>
          <w:rFonts w:ascii="David" w:hAnsi="David" w:cs="David"/>
          <w:b/>
          <w:bCs/>
        </w:rPr>
        <w:t xml:space="preserve"> </w:t>
      </w:r>
      <w:r>
        <w:rPr>
          <w:rFonts w:ascii="David" w:hAnsi="David" w:cs="David"/>
          <w:b/>
          <w:bCs/>
          <w:rtl/>
        </w:rPr>
        <w:t>לחוק, יתייחס בית הדין בפסק דינו גם לשאלה אם יש להטיל על המועצה חבות יחד ולחוד עם המשיב (בין תוך חלוקת האחריות ביניהם לצורך תביעות שיפוי ככל שתהיינה ובין אם ללא חלוקה כאמור), ..."</w:t>
      </w:r>
      <w:r>
        <w:rPr>
          <w:rFonts w:ascii="David" w:hAnsi="David" w:cs="David"/>
          <w:rtl/>
        </w:rPr>
        <w:t xml:space="preserve">. </w:t>
      </w:r>
    </w:p>
  </w:footnote>
  <w:footnote w:id="10">
    <w:p w14:paraId="47E3C722" w14:textId="77777777" w:rsidR="00BE284B" w:rsidRDefault="00BE284B" w:rsidP="00BE284B">
      <w:pPr>
        <w:pStyle w:val="ae"/>
        <w:ind w:left="425" w:hanging="425"/>
        <w:jc w:val="both"/>
        <w:rPr>
          <w:rFonts w:ascii="David" w:hAnsi="David" w:cs="David"/>
        </w:rPr>
      </w:pPr>
      <w:r>
        <w:rPr>
          <w:rStyle w:val="af0"/>
          <w:rFonts w:ascii="David" w:hAnsi="David" w:cs="David"/>
        </w:rPr>
        <w:footnoteRef/>
      </w:r>
      <w:r>
        <w:rPr>
          <w:rFonts w:ascii="David" w:hAnsi="David" w:cs="David"/>
          <w:rtl/>
        </w:rPr>
        <w:t xml:space="preserve"> </w:t>
      </w:r>
      <w:r>
        <w:rPr>
          <w:rFonts w:ascii="David" w:hAnsi="David" w:cs="David"/>
          <w:rtl/>
        </w:rPr>
        <w:tab/>
      </w:r>
      <w:r>
        <w:rPr>
          <w:rFonts w:ascii="David" w:hAnsi="David" w:cs="David"/>
          <w:rtl/>
        </w:rPr>
        <w:t xml:space="preserve">השוו: עניין </w:t>
      </w:r>
      <w:r>
        <w:rPr>
          <w:rFonts w:ascii="David" w:hAnsi="David" w:cs="David"/>
          <w:b/>
          <w:bCs/>
          <w:rtl/>
        </w:rPr>
        <w:t>מועצה מקומית שהם</w:t>
      </w:r>
      <w:r>
        <w:rPr>
          <w:rFonts w:ascii="David" w:hAnsi="David" w:cs="David"/>
          <w:rtl/>
        </w:rPr>
        <w:t xml:space="preserve"> בסעיף 69ב' לפסק הדין.</w:t>
      </w:r>
    </w:p>
  </w:footnote>
  <w:footnote w:id="11">
    <w:p w14:paraId="085B4510" w14:textId="77777777" w:rsidR="00BE284B" w:rsidRDefault="00BE284B" w:rsidP="00BE284B">
      <w:pPr>
        <w:pStyle w:val="ae"/>
        <w:ind w:left="425" w:hanging="425"/>
        <w:jc w:val="both"/>
        <w:rPr>
          <w:rFonts w:ascii="David" w:hAnsi="David" w:cs="David"/>
          <w:rtl/>
        </w:rPr>
      </w:pPr>
      <w:r>
        <w:rPr>
          <w:rStyle w:val="af0"/>
          <w:rFonts w:ascii="David" w:hAnsi="David" w:cs="David"/>
        </w:rPr>
        <w:footnoteRef/>
      </w:r>
      <w:r>
        <w:rPr>
          <w:rFonts w:ascii="David" w:hAnsi="David" w:cs="David"/>
          <w:rtl/>
        </w:rPr>
        <w:t xml:space="preserve"> </w:t>
      </w:r>
      <w:r>
        <w:rPr>
          <w:rFonts w:ascii="David" w:hAnsi="David" w:cs="David"/>
          <w:rtl/>
        </w:rPr>
        <w:tab/>
      </w:r>
      <w:r>
        <w:rPr>
          <w:rFonts w:ascii="David" w:hAnsi="David" w:cs="David"/>
          <w:rtl/>
        </w:rPr>
        <w:t xml:space="preserve">השוו: </w:t>
      </w:r>
      <w:r>
        <w:rPr>
          <w:rFonts w:ascii="David" w:hAnsi="David" w:cs="David"/>
          <w:b/>
          <w:bCs/>
          <w:rtl/>
        </w:rPr>
        <w:t>הרמן 2020</w:t>
      </w:r>
      <w:r>
        <w:rPr>
          <w:rFonts w:ascii="David" w:hAnsi="David" w:cs="David"/>
          <w:rtl/>
        </w:rPr>
        <w:t xml:space="preserve"> בעמ' 2011, שם הודגמה האבחנה בין אחריות </w:t>
      </w:r>
      <w:proofErr w:type="spellStart"/>
      <w:r>
        <w:rPr>
          <w:rFonts w:ascii="David" w:hAnsi="David" w:cs="David"/>
          <w:rtl/>
        </w:rPr>
        <w:t>שילוחית</w:t>
      </w:r>
      <w:proofErr w:type="spellEnd"/>
      <w:r>
        <w:rPr>
          <w:rFonts w:ascii="David" w:hAnsi="David" w:cs="David"/>
          <w:rtl/>
        </w:rPr>
        <w:t xml:space="preserve"> המוטלת על המעסיק לבין האפשרות להטיל עליו אחריות של עושה עוולה כך: </w:t>
      </w:r>
      <w:r>
        <w:rPr>
          <w:rFonts w:ascii="David" w:hAnsi="David" w:cs="David"/>
          <w:b/>
          <w:bCs/>
          <w:rtl/>
        </w:rPr>
        <w:t xml:space="preserve">"... מבקר במועדון לילה שהותקף על ידי השומר ועוכב על ידיו שלא כדין, יוכל לתבוע </w:t>
      </w:r>
      <w:proofErr w:type="spellStart"/>
      <w:r>
        <w:rPr>
          <w:rFonts w:ascii="David" w:hAnsi="David" w:cs="David"/>
          <w:b/>
          <w:bCs/>
          <w:rtl/>
        </w:rPr>
        <w:t>שילוחית</w:t>
      </w:r>
      <w:proofErr w:type="spellEnd"/>
      <w:r>
        <w:rPr>
          <w:rFonts w:ascii="David" w:hAnsi="David" w:cs="David"/>
          <w:b/>
          <w:bCs/>
          <w:rtl/>
        </w:rPr>
        <w:t xml:space="preserve"> את המעביד אם יוכיח תקיפה או רשלנות של השומר. לחילופין ניתן לייחס אחריות אישית למעביד במצבים שכאלה על בסיס רשלנות המעביד בבחירת עובדים אלימים או לא אחראיים"</w:t>
      </w:r>
      <w:r>
        <w:rPr>
          <w:rFonts w:ascii="David" w:hAnsi="David" w:cs="David"/>
          <w:rtl/>
        </w:rPr>
        <w:t>.</w:t>
      </w:r>
    </w:p>
  </w:footnote>
  <w:footnote w:id="12">
    <w:p w14:paraId="307524E5" w14:textId="77777777" w:rsidR="00BE284B" w:rsidRDefault="00BE284B" w:rsidP="00BE284B">
      <w:pPr>
        <w:pStyle w:val="ae"/>
        <w:ind w:left="425" w:hanging="425"/>
        <w:jc w:val="both"/>
        <w:rPr>
          <w:rFonts w:ascii="David" w:hAnsi="David" w:cs="David"/>
        </w:rPr>
      </w:pPr>
      <w:r>
        <w:rPr>
          <w:rStyle w:val="af0"/>
          <w:rFonts w:ascii="David" w:hAnsi="David" w:cs="David"/>
        </w:rPr>
        <w:footnoteRef/>
      </w:r>
      <w:r>
        <w:rPr>
          <w:rFonts w:ascii="David" w:hAnsi="David" w:cs="David"/>
          <w:rtl/>
        </w:rPr>
        <w:t xml:space="preserve">  </w:t>
      </w:r>
      <w:r>
        <w:rPr>
          <w:rFonts w:ascii="David" w:hAnsi="David" w:cs="David"/>
          <w:rtl/>
        </w:rPr>
        <w:tab/>
      </w:r>
      <w:r>
        <w:rPr>
          <w:rFonts w:ascii="David" w:hAnsi="David" w:cs="David"/>
          <w:rtl/>
        </w:rPr>
        <w:t xml:space="preserve">ע"א 6894/15 </w:t>
      </w:r>
      <w:proofErr w:type="spellStart"/>
      <w:r>
        <w:rPr>
          <w:rFonts w:ascii="David" w:hAnsi="David" w:cs="David"/>
          <w:b/>
          <w:bCs/>
          <w:rtl/>
        </w:rPr>
        <w:t>זלצר</w:t>
      </w:r>
      <w:proofErr w:type="spellEnd"/>
      <w:r>
        <w:rPr>
          <w:rFonts w:ascii="David" w:hAnsi="David" w:cs="David"/>
          <w:b/>
          <w:bCs/>
          <w:rtl/>
        </w:rPr>
        <w:t xml:space="preserve"> נ' אבירם</w:t>
      </w:r>
      <w:r>
        <w:rPr>
          <w:rFonts w:ascii="David" w:hAnsi="David" w:cs="David"/>
          <w:rtl/>
        </w:rPr>
        <w:t xml:space="preserve"> (7.9.17),</w:t>
      </w:r>
    </w:p>
  </w:footnote>
  <w:footnote w:id="13">
    <w:p w14:paraId="191533DE" w14:textId="77777777" w:rsidR="00BE284B" w:rsidRDefault="00BE284B" w:rsidP="00BE284B">
      <w:pPr>
        <w:pStyle w:val="ae"/>
        <w:ind w:left="425" w:hanging="425"/>
        <w:jc w:val="both"/>
        <w:rPr>
          <w:rFonts w:ascii="David" w:hAnsi="David" w:cs="David"/>
        </w:rPr>
      </w:pPr>
      <w:r>
        <w:rPr>
          <w:rStyle w:val="af0"/>
          <w:rFonts w:ascii="David" w:hAnsi="David" w:cs="David"/>
        </w:rPr>
        <w:footnoteRef/>
      </w:r>
      <w:r>
        <w:rPr>
          <w:rFonts w:ascii="David" w:hAnsi="David" w:cs="David"/>
          <w:rtl/>
        </w:rPr>
        <w:t xml:space="preserve"> </w:t>
      </w:r>
      <w:r>
        <w:rPr>
          <w:rFonts w:ascii="David" w:hAnsi="David" w:cs="David" w:hint="cs"/>
          <w:rtl/>
        </w:rPr>
        <w:tab/>
      </w:r>
      <w:r>
        <w:rPr>
          <w:rFonts w:ascii="David" w:hAnsi="David" w:cs="David" w:hint="cs"/>
          <w:rtl/>
        </w:rPr>
        <w:t xml:space="preserve">ע"ע (ארצי) 51504-01-14 </w:t>
      </w:r>
      <w:r>
        <w:rPr>
          <w:rFonts w:ascii="David" w:hAnsi="David" w:cs="David" w:hint="cs"/>
          <w:b/>
          <w:bCs/>
          <w:rtl/>
        </w:rPr>
        <w:t>אלמונית - פלוני</w:t>
      </w:r>
      <w:r>
        <w:rPr>
          <w:rFonts w:ascii="David" w:hAnsi="David" w:cs="David" w:hint="cs"/>
          <w:rtl/>
        </w:rPr>
        <w:t xml:space="preserve"> (8.9.2015).</w:t>
      </w:r>
    </w:p>
  </w:footnote>
  <w:footnote w:id="14">
    <w:p w14:paraId="5D739AD9" w14:textId="77777777" w:rsidR="00BE284B" w:rsidRDefault="00BE284B" w:rsidP="00BE284B">
      <w:pPr>
        <w:pStyle w:val="ae"/>
        <w:ind w:left="425" w:hanging="425"/>
        <w:jc w:val="both"/>
      </w:pPr>
      <w:r>
        <w:rPr>
          <w:rStyle w:val="af0"/>
          <w:rFonts w:cs="David"/>
        </w:rPr>
        <w:footnoteRef/>
      </w:r>
      <w:r>
        <w:rPr>
          <w:rFonts w:cs="David"/>
          <w:rtl/>
        </w:rPr>
        <w:t xml:space="preserve">  </w:t>
      </w:r>
      <w:r>
        <w:rPr>
          <w:rFonts w:cs="David"/>
          <w:rtl/>
        </w:rPr>
        <w:tab/>
      </w:r>
      <w:r>
        <w:rPr>
          <w:rFonts w:cs="David"/>
          <w:rtl/>
        </w:rPr>
        <w:t xml:space="preserve">על עדיפות השימוש במונח "אחריות למעשה הזולת" תחת המונח "אחריות </w:t>
      </w:r>
      <w:proofErr w:type="spellStart"/>
      <w:r>
        <w:rPr>
          <w:rFonts w:cs="David"/>
          <w:rtl/>
        </w:rPr>
        <w:t>שילוחית</w:t>
      </w:r>
      <w:proofErr w:type="spellEnd"/>
      <w:r>
        <w:rPr>
          <w:rFonts w:cs="David"/>
          <w:rtl/>
        </w:rPr>
        <w:t xml:space="preserve">" ראו: ד. </w:t>
      </w:r>
      <w:proofErr w:type="spellStart"/>
      <w:r>
        <w:rPr>
          <w:rFonts w:cs="David"/>
          <w:rtl/>
        </w:rPr>
        <w:t>טדסקי</w:t>
      </w:r>
      <w:proofErr w:type="spellEnd"/>
      <w:r>
        <w:rPr>
          <w:rFonts w:cs="David"/>
          <w:rtl/>
        </w:rPr>
        <w:t xml:space="preserve">, "חסינות המעביד ואחריות העובד", </w:t>
      </w:r>
      <w:r>
        <w:rPr>
          <w:rFonts w:cs="David"/>
          <w:b/>
          <w:bCs/>
          <w:rtl/>
        </w:rPr>
        <w:t>משפטים</w:t>
      </w:r>
      <w:r>
        <w:rPr>
          <w:rFonts w:cs="David"/>
          <w:rtl/>
        </w:rPr>
        <w:t xml:space="preserve"> </w:t>
      </w:r>
      <w:proofErr w:type="spellStart"/>
      <w:r>
        <w:rPr>
          <w:rFonts w:cs="David"/>
          <w:rtl/>
        </w:rPr>
        <w:t>יג</w:t>
      </w:r>
      <w:proofErr w:type="spellEnd"/>
      <w:r>
        <w:rPr>
          <w:rFonts w:cs="David"/>
          <w:rtl/>
        </w:rPr>
        <w:t xml:space="preserve"> (תשמ"ג) 81, בעמ' 83.</w:t>
      </w:r>
    </w:p>
  </w:footnote>
  <w:footnote w:id="15">
    <w:p w14:paraId="37085072" w14:textId="77777777" w:rsidR="00BE284B" w:rsidRDefault="00BE284B" w:rsidP="00BE284B">
      <w:pPr>
        <w:pStyle w:val="ae"/>
        <w:ind w:left="425" w:hanging="425"/>
        <w:jc w:val="both"/>
        <w:rPr>
          <w:rtl/>
        </w:rPr>
      </w:pPr>
      <w:r>
        <w:rPr>
          <w:rStyle w:val="af0"/>
          <w:rFonts w:cs="David"/>
        </w:rPr>
        <w:footnoteRef/>
      </w:r>
      <w:r>
        <w:rPr>
          <w:rFonts w:cs="David"/>
          <w:rtl/>
        </w:rPr>
        <w:t xml:space="preserve">  </w:t>
      </w:r>
      <w:r>
        <w:rPr>
          <w:rFonts w:cs="David"/>
          <w:rtl/>
        </w:rPr>
        <w:tab/>
      </w:r>
      <w:r>
        <w:rPr>
          <w:rFonts w:cs="David"/>
          <w:rtl/>
        </w:rPr>
        <w:t xml:space="preserve">א. ברק, </w:t>
      </w:r>
      <w:r>
        <w:rPr>
          <w:rFonts w:cs="David"/>
          <w:b/>
          <w:bCs/>
          <w:rtl/>
        </w:rPr>
        <w:t xml:space="preserve">אחריות </w:t>
      </w:r>
      <w:proofErr w:type="spellStart"/>
      <w:r>
        <w:rPr>
          <w:rFonts w:cs="David"/>
          <w:b/>
          <w:bCs/>
          <w:rtl/>
        </w:rPr>
        <w:t>שילוחית</w:t>
      </w:r>
      <w:proofErr w:type="spellEnd"/>
      <w:r>
        <w:rPr>
          <w:rFonts w:cs="David"/>
          <w:b/>
          <w:bCs/>
          <w:rtl/>
        </w:rPr>
        <w:t xml:space="preserve"> בדיני נזיקין</w:t>
      </w:r>
      <w:r>
        <w:rPr>
          <w:rFonts w:cs="David"/>
          <w:rtl/>
        </w:rPr>
        <w:t xml:space="preserve"> (הוצאת </w:t>
      </w:r>
      <w:proofErr w:type="spellStart"/>
      <w:r>
        <w:rPr>
          <w:rFonts w:cs="David"/>
          <w:rtl/>
        </w:rPr>
        <w:t>קרית</w:t>
      </w:r>
      <w:proofErr w:type="spellEnd"/>
      <w:r>
        <w:rPr>
          <w:rFonts w:cs="David"/>
          <w:rtl/>
        </w:rPr>
        <w:t xml:space="preserve"> ספר בע"מ, 1964), בעמ' 25 – 34; י. </w:t>
      </w:r>
      <w:proofErr w:type="spellStart"/>
      <w:r>
        <w:rPr>
          <w:rFonts w:cs="David"/>
          <w:rtl/>
        </w:rPr>
        <w:t>אנגלרד</w:t>
      </w:r>
      <w:proofErr w:type="spellEnd"/>
      <w:r>
        <w:rPr>
          <w:rFonts w:cs="David"/>
          <w:rtl/>
        </w:rPr>
        <w:t xml:space="preserve">, א. ברק, מ. חשין, </w:t>
      </w:r>
      <w:r>
        <w:rPr>
          <w:rFonts w:cs="David"/>
          <w:b/>
          <w:bCs/>
          <w:rtl/>
        </w:rPr>
        <w:t xml:space="preserve">דיני </w:t>
      </w:r>
      <w:proofErr w:type="spellStart"/>
      <w:r>
        <w:rPr>
          <w:rFonts w:cs="David"/>
          <w:b/>
          <w:bCs/>
          <w:rtl/>
        </w:rPr>
        <w:t>הנזיקין</w:t>
      </w:r>
      <w:proofErr w:type="spellEnd"/>
      <w:r>
        <w:rPr>
          <w:rFonts w:cs="David"/>
          <w:b/>
          <w:bCs/>
          <w:rtl/>
        </w:rPr>
        <w:t xml:space="preserve"> – תורת </w:t>
      </w:r>
      <w:proofErr w:type="spellStart"/>
      <w:r>
        <w:rPr>
          <w:rFonts w:cs="David"/>
          <w:b/>
          <w:bCs/>
          <w:rtl/>
        </w:rPr>
        <w:t>הנזיקין</w:t>
      </w:r>
      <w:proofErr w:type="spellEnd"/>
      <w:r>
        <w:rPr>
          <w:rFonts w:cs="David"/>
          <w:b/>
          <w:bCs/>
          <w:rtl/>
        </w:rPr>
        <w:t xml:space="preserve"> הכללית</w:t>
      </w:r>
      <w:r>
        <w:rPr>
          <w:rFonts w:cs="David"/>
          <w:rtl/>
        </w:rPr>
        <w:t xml:space="preserve">, (בעריכת ג. </w:t>
      </w:r>
      <w:proofErr w:type="spellStart"/>
      <w:r>
        <w:rPr>
          <w:rFonts w:cs="David"/>
          <w:rtl/>
        </w:rPr>
        <w:t>טדסקי</w:t>
      </w:r>
      <w:proofErr w:type="spellEnd"/>
      <w:r>
        <w:rPr>
          <w:rFonts w:cs="David"/>
          <w:rtl/>
        </w:rPr>
        <w:t xml:space="preserve">, הוצאת מאגנס, מהדורה שניה, תשל"ז), בעמ' 436 – 438; ע. הרמן, </w:t>
      </w:r>
      <w:r>
        <w:rPr>
          <w:rFonts w:cs="David"/>
          <w:b/>
          <w:bCs/>
          <w:rtl/>
        </w:rPr>
        <w:t>מבוא לדיני נזיקין</w:t>
      </w:r>
      <w:r>
        <w:rPr>
          <w:rFonts w:cs="David"/>
          <w:rtl/>
        </w:rPr>
        <w:t xml:space="preserve"> (המכון למחקרי משפט וכלכלה בע"מ, תשס"ו – 2006), בעמ' 227 – 228;</w:t>
      </w:r>
      <w:r>
        <w:rPr>
          <w:rFonts w:cs="David"/>
          <w:rtl/>
        </w:rPr>
        <w:br/>
        <w:t xml:space="preserve">י. גלעד, </w:t>
      </w:r>
      <w:r>
        <w:rPr>
          <w:rFonts w:cs="David"/>
          <w:b/>
          <w:bCs/>
          <w:rtl/>
        </w:rPr>
        <w:t>דיני נזיקין – גבולות האחריות</w:t>
      </w:r>
      <w:r>
        <w:rPr>
          <w:rFonts w:cs="David"/>
          <w:rtl/>
        </w:rPr>
        <w:t xml:space="preserve"> (נבו הוצאה לאור בע"מ, תשע"ב – 2012), בעמ' 1195 – 1197.</w:t>
      </w:r>
    </w:p>
  </w:footnote>
  <w:footnote w:id="16">
    <w:p w14:paraId="5503088B" w14:textId="77777777" w:rsidR="00BE284B" w:rsidRDefault="00BE284B" w:rsidP="00BE284B">
      <w:pPr>
        <w:pStyle w:val="ae"/>
        <w:ind w:left="425" w:hanging="425"/>
        <w:jc w:val="both"/>
        <w:rPr>
          <w:rFonts w:ascii="David" w:hAnsi="David" w:cs="David"/>
        </w:rPr>
      </w:pPr>
      <w:r>
        <w:rPr>
          <w:rStyle w:val="af0"/>
          <w:rFonts w:ascii="David" w:hAnsi="David" w:cs="David"/>
        </w:rPr>
        <w:footnoteRef/>
      </w:r>
      <w:r>
        <w:rPr>
          <w:rFonts w:ascii="David" w:hAnsi="David" w:cs="David"/>
          <w:rtl/>
        </w:rPr>
        <w:t xml:space="preserve">  </w:t>
      </w:r>
      <w:r>
        <w:rPr>
          <w:rFonts w:ascii="David" w:hAnsi="David" w:cs="David"/>
          <w:rtl/>
        </w:rPr>
        <w:tab/>
      </w:r>
      <w:r>
        <w:rPr>
          <w:rFonts w:ascii="David" w:hAnsi="David" w:cs="David"/>
          <w:rtl/>
        </w:rPr>
        <w:t xml:space="preserve">ראו גם: ע. הרמן, </w:t>
      </w:r>
      <w:r>
        <w:rPr>
          <w:rFonts w:ascii="David" w:hAnsi="David" w:cs="David"/>
          <w:b/>
          <w:bCs/>
          <w:rtl/>
        </w:rPr>
        <w:t>דיני נזיקין</w:t>
      </w:r>
      <w:r>
        <w:rPr>
          <w:rFonts w:ascii="David" w:hAnsi="David" w:cs="David"/>
          <w:rtl/>
        </w:rPr>
        <w:t xml:space="preserve"> (מהדורה 2, 2020) (להלן – </w:t>
      </w:r>
      <w:r>
        <w:rPr>
          <w:rFonts w:ascii="David" w:hAnsi="David" w:cs="David"/>
          <w:b/>
          <w:bCs/>
          <w:rtl/>
        </w:rPr>
        <w:t>הרמן 2020</w:t>
      </w:r>
      <w:r>
        <w:rPr>
          <w:rFonts w:ascii="David" w:hAnsi="David" w:cs="David"/>
          <w:rtl/>
        </w:rPr>
        <w:t>) בעמ' 207 – 208.</w:t>
      </w:r>
    </w:p>
  </w:footnote>
  <w:footnote w:id="17">
    <w:p w14:paraId="706BA23F" w14:textId="77777777" w:rsidR="00BE284B" w:rsidRDefault="00BE284B" w:rsidP="00BE284B">
      <w:pPr>
        <w:pStyle w:val="ae"/>
        <w:ind w:left="425" w:hanging="425"/>
        <w:jc w:val="both"/>
        <w:rPr>
          <w:rFonts w:ascii="David" w:hAnsi="David" w:cs="David"/>
        </w:rPr>
      </w:pPr>
      <w:r>
        <w:rPr>
          <w:rStyle w:val="af0"/>
          <w:rFonts w:ascii="David" w:hAnsi="David" w:cs="David"/>
        </w:rPr>
        <w:footnoteRef/>
      </w:r>
      <w:r>
        <w:rPr>
          <w:rFonts w:ascii="David" w:hAnsi="David" w:cs="David"/>
          <w:rtl/>
        </w:rPr>
        <w:t xml:space="preserve"> </w:t>
      </w:r>
      <w:r>
        <w:rPr>
          <w:rFonts w:ascii="David" w:hAnsi="David" w:cs="David"/>
          <w:rtl/>
        </w:rPr>
        <w:tab/>
      </w:r>
      <w:r>
        <w:rPr>
          <w:rFonts w:ascii="David" w:hAnsi="David" w:cs="David"/>
          <w:rtl/>
        </w:rPr>
        <w:t xml:space="preserve">החובה </w:t>
      </w:r>
      <w:r>
        <w:rPr>
          <w:rFonts w:ascii="David" w:hAnsi="David" w:cs="David"/>
          <w:b/>
          <w:bCs/>
          <w:rtl/>
        </w:rPr>
        <w:t>"לקבוע דרך יעילה להגשת תלונה בשל הטרדה מינית או התנכלות ולבירור התלונה"</w:t>
      </w:r>
      <w:r>
        <w:rPr>
          <w:rFonts w:ascii="David" w:hAnsi="David" w:cs="David"/>
          <w:rtl/>
        </w:rPr>
        <w:t xml:space="preserve"> (סעיף 7(א)(1) לחוק).</w:t>
      </w:r>
    </w:p>
  </w:footnote>
  <w:footnote w:id="18">
    <w:p w14:paraId="6C3C3E59" w14:textId="77777777" w:rsidR="00BE284B" w:rsidRDefault="00BE284B" w:rsidP="00BE284B">
      <w:pPr>
        <w:pStyle w:val="ae"/>
        <w:ind w:left="425" w:hanging="425"/>
        <w:jc w:val="both"/>
        <w:rPr>
          <w:rFonts w:ascii="David" w:hAnsi="David" w:cs="David"/>
        </w:rPr>
      </w:pPr>
      <w:r>
        <w:rPr>
          <w:rStyle w:val="af0"/>
          <w:rFonts w:ascii="David" w:hAnsi="David" w:cs="David"/>
        </w:rPr>
        <w:footnoteRef/>
      </w:r>
      <w:r>
        <w:rPr>
          <w:rFonts w:ascii="David" w:hAnsi="David" w:cs="David"/>
          <w:rtl/>
        </w:rPr>
        <w:t xml:space="preserve"> </w:t>
      </w:r>
      <w:r>
        <w:rPr>
          <w:rFonts w:ascii="David" w:hAnsi="David" w:cs="David"/>
          <w:rtl/>
        </w:rPr>
        <w:tab/>
      </w:r>
      <w:r>
        <w:rPr>
          <w:rFonts w:ascii="David" w:hAnsi="David" w:cs="David"/>
          <w:rtl/>
        </w:rPr>
        <w:t xml:space="preserve">החובה </w:t>
      </w:r>
      <w:r>
        <w:rPr>
          <w:rFonts w:ascii="David" w:hAnsi="David" w:cs="David"/>
          <w:b/>
          <w:bCs/>
          <w:rtl/>
        </w:rPr>
        <w:t>"לטפל ביעילות במקרה של הטרדה מינית או התנכלות שידע אודותיהם, וכן לעשות כל שביכולתו כדי למנוע את הישנות המעשים האמורים וכדי לתקן את הפגיעה שנגרמה למתלונן עקב ההטרדה או ההתנכלות"</w:t>
      </w:r>
      <w:r>
        <w:rPr>
          <w:rFonts w:ascii="David" w:hAnsi="David" w:cs="David"/>
          <w:rtl/>
        </w:rPr>
        <w:t xml:space="preserve"> (סעיף 7(א)(2) לחוק).</w:t>
      </w:r>
    </w:p>
  </w:footnote>
  <w:footnote w:id="19">
    <w:p w14:paraId="5E30D916" w14:textId="77777777" w:rsidR="00BE284B" w:rsidRDefault="00BE284B" w:rsidP="00BE284B">
      <w:pPr>
        <w:pStyle w:val="ae"/>
        <w:ind w:left="425" w:hanging="425"/>
        <w:jc w:val="both"/>
        <w:rPr>
          <w:rFonts w:ascii="David" w:hAnsi="David" w:cs="David"/>
          <w:rtl/>
        </w:rPr>
      </w:pPr>
      <w:r>
        <w:rPr>
          <w:rStyle w:val="af0"/>
          <w:rFonts w:ascii="David" w:hAnsi="David" w:cs="David"/>
        </w:rPr>
        <w:footnoteRef/>
      </w:r>
      <w:r>
        <w:rPr>
          <w:rFonts w:ascii="David" w:hAnsi="David" w:cs="David"/>
          <w:rtl/>
        </w:rPr>
        <w:t xml:space="preserve"> </w:t>
      </w:r>
      <w:r>
        <w:rPr>
          <w:rFonts w:ascii="David" w:hAnsi="David" w:cs="David"/>
          <w:rtl/>
        </w:rPr>
        <w:tab/>
      </w:r>
      <w:r>
        <w:rPr>
          <w:rFonts w:ascii="David" w:hAnsi="David" w:cs="David"/>
          <w:rtl/>
        </w:rPr>
        <w:t xml:space="preserve">החובה </w:t>
      </w:r>
      <w:r>
        <w:rPr>
          <w:rFonts w:ascii="David" w:hAnsi="David" w:cs="David"/>
          <w:b/>
          <w:bCs/>
          <w:rtl/>
        </w:rPr>
        <w:t xml:space="preserve">"לקבוע תקנון שבו יובאו עיקרי הוראות החוק בדבר הטרדה מינית והתנכלות במסגרת יחסי עבודה ויפורטו בו דרכי הגשת התלונות </w:t>
      </w:r>
      <w:proofErr w:type="spellStart"/>
      <w:r>
        <w:rPr>
          <w:rFonts w:ascii="David" w:hAnsi="David" w:cs="David"/>
          <w:b/>
          <w:bCs/>
          <w:rtl/>
        </w:rPr>
        <w:t>שענינן</w:t>
      </w:r>
      <w:proofErr w:type="spellEnd"/>
      <w:r>
        <w:rPr>
          <w:rFonts w:ascii="David" w:hAnsi="David" w:cs="David"/>
          <w:b/>
          <w:bCs/>
          <w:rtl/>
        </w:rPr>
        <w:t xml:space="preserve"> הטרדה מינית או התנכלות והטיפול בהן, כפי שקבע המעסיק (להלן – תקנון); המעסיק יפרסם את התקנון בין עובדיו"</w:t>
      </w:r>
      <w:r>
        <w:rPr>
          <w:rFonts w:ascii="David" w:hAnsi="David" w:cs="David"/>
          <w:rtl/>
        </w:rPr>
        <w:t xml:space="preserve"> (סעיף 7(ב) לחוק).</w:t>
      </w:r>
    </w:p>
  </w:footnote>
  <w:footnote w:id="20">
    <w:p w14:paraId="13050B78" w14:textId="77777777" w:rsidR="00BE284B" w:rsidRDefault="00BE284B" w:rsidP="00BE284B">
      <w:pPr>
        <w:pStyle w:val="ae"/>
        <w:ind w:left="425" w:hanging="425"/>
        <w:jc w:val="both"/>
        <w:rPr>
          <w:rFonts w:ascii="David" w:hAnsi="David" w:cs="David"/>
        </w:rPr>
      </w:pPr>
      <w:r>
        <w:rPr>
          <w:rStyle w:val="af0"/>
          <w:rFonts w:ascii="David" w:hAnsi="David" w:cs="David"/>
        </w:rPr>
        <w:footnoteRef/>
      </w:r>
      <w:r>
        <w:rPr>
          <w:rFonts w:ascii="David" w:hAnsi="David" w:cs="David"/>
          <w:rtl/>
        </w:rPr>
        <w:t xml:space="preserve"> </w:t>
      </w:r>
      <w:r>
        <w:rPr>
          <w:rFonts w:ascii="David" w:hAnsi="David" w:cs="David"/>
          <w:rtl/>
        </w:rPr>
        <w:tab/>
      </w:r>
      <w:r>
        <w:rPr>
          <w:rFonts w:ascii="David" w:hAnsi="David" w:cs="David"/>
          <w:rtl/>
        </w:rPr>
        <w:t>סעיף 16 לפקוד</w:t>
      </w:r>
      <w:r>
        <w:rPr>
          <w:rFonts w:ascii="David" w:hAnsi="David" w:cs="David"/>
          <w:b/>
          <w:bCs/>
          <w:rtl/>
        </w:rPr>
        <w:t>ה; הרמן 2020</w:t>
      </w:r>
      <w:r>
        <w:rPr>
          <w:rFonts w:ascii="David" w:hAnsi="David" w:cs="David"/>
          <w:rtl/>
        </w:rPr>
        <w:t xml:space="preserve"> בעמ' 207.</w:t>
      </w:r>
    </w:p>
  </w:footnote>
  <w:footnote w:id="21">
    <w:p w14:paraId="4395B257" w14:textId="77777777" w:rsidR="00BE284B" w:rsidRDefault="00BE284B" w:rsidP="00BE284B">
      <w:pPr>
        <w:pStyle w:val="ae"/>
        <w:ind w:left="425" w:hanging="425"/>
        <w:jc w:val="both"/>
        <w:rPr>
          <w:rFonts w:ascii="David" w:hAnsi="David" w:cs="David"/>
          <w:rtl/>
        </w:rPr>
      </w:pPr>
      <w:r>
        <w:rPr>
          <w:rStyle w:val="af0"/>
          <w:rFonts w:ascii="David" w:hAnsi="David" w:cs="David"/>
        </w:rPr>
        <w:footnoteRef/>
      </w:r>
      <w:r>
        <w:rPr>
          <w:rFonts w:ascii="David" w:hAnsi="David" w:cs="David"/>
          <w:rtl/>
        </w:rPr>
        <w:t xml:space="preserve"> </w:t>
      </w:r>
      <w:r>
        <w:rPr>
          <w:rFonts w:ascii="David" w:hAnsi="David" w:cs="David"/>
          <w:rtl/>
        </w:rPr>
        <w:tab/>
      </w:r>
      <w:r>
        <w:rPr>
          <w:rFonts w:ascii="David" w:hAnsi="David" w:cs="David"/>
          <w:rtl/>
        </w:rPr>
        <w:t xml:space="preserve">ע"א  22/75 </w:t>
      </w:r>
      <w:r>
        <w:rPr>
          <w:rFonts w:ascii="David" w:hAnsi="David" w:cs="David"/>
          <w:b/>
          <w:bCs/>
          <w:rtl/>
        </w:rPr>
        <w:t xml:space="preserve">אדרי נ' </w:t>
      </w:r>
      <w:proofErr w:type="spellStart"/>
      <w:r>
        <w:rPr>
          <w:rFonts w:ascii="David" w:hAnsi="David" w:cs="David"/>
          <w:b/>
          <w:bCs/>
          <w:rtl/>
        </w:rPr>
        <w:t>עזיזיאן</w:t>
      </w:r>
      <w:proofErr w:type="spellEnd"/>
      <w:r>
        <w:rPr>
          <w:rFonts w:ascii="David" w:hAnsi="David" w:cs="David"/>
          <w:rtl/>
        </w:rPr>
        <w:t xml:space="preserve">, פ"ד ל(1) 701 (1976) בסעיף 2 ג' לעמדת השופט, כתואר אז, שמגר; ד"נ 15/88 </w:t>
      </w:r>
      <w:r>
        <w:rPr>
          <w:rFonts w:ascii="David" w:hAnsi="David" w:cs="David"/>
          <w:b/>
          <w:bCs/>
          <w:rtl/>
        </w:rPr>
        <w:t xml:space="preserve">מלך נ' </w:t>
      </w:r>
      <w:proofErr w:type="spellStart"/>
      <w:r>
        <w:rPr>
          <w:rFonts w:ascii="David" w:hAnsi="David" w:cs="David"/>
          <w:b/>
          <w:bCs/>
          <w:rtl/>
        </w:rPr>
        <w:t>קורנהויזר</w:t>
      </w:r>
      <w:proofErr w:type="spellEnd"/>
      <w:r>
        <w:rPr>
          <w:rFonts w:ascii="David" w:hAnsi="David" w:cs="David"/>
          <w:rtl/>
        </w:rPr>
        <w:t xml:space="preserve">, פ"ד מד(2) 89 (1990) בסעיף 9 לפסק דינו של השופט ד' לוין; ע"א 4530/91 </w:t>
      </w:r>
      <w:r>
        <w:rPr>
          <w:rFonts w:ascii="David" w:hAnsi="David" w:cs="David"/>
          <w:b/>
          <w:bCs/>
          <w:rtl/>
        </w:rPr>
        <w:t>רשות הנמלים והרכבות נ' צים חברת השיט הישראלית בע"מ</w:t>
      </w:r>
      <w:r>
        <w:rPr>
          <w:rFonts w:ascii="David" w:hAnsi="David" w:cs="David"/>
          <w:rtl/>
        </w:rPr>
        <w:t xml:space="preserve">, פ"ד נד(4) 583 (2000) בסעיף 32 לפסק הדין. </w:t>
      </w:r>
    </w:p>
  </w:footnote>
  <w:footnote w:id="22">
    <w:p w14:paraId="60E792D6" w14:textId="77777777" w:rsidR="00BE284B" w:rsidRDefault="00BE284B" w:rsidP="00BE284B">
      <w:pPr>
        <w:pStyle w:val="ae"/>
        <w:ind w:left="425" w:hanging="425"/>
        <w:jc w:val="both"/>
        <w:rPr>
          <w:rFonts w:ascii="David" w:hAnsi="David" w:cs="David"/>
          <w:rtl/>
        </w:rPr>
      </w:pPr>
      <w:r>
        <w:rPr>
          <w:rStyle w:val="af0"/>
          <w:rFonts w:ascii="David" w:hAnsi="David" w:cs="David"/>
        </w:rPr>
        <w:footnoteRef/>
      </w:r>
      <w:r>
        <w:rPr>
          <w:rFonts w:ascii="David" w:hAnsi="David" w:cs="David"/>
          <w:rtl/>
        </w:rPr>
        <w:t xml:space="preserve">  </w:t>
      </w:r>
      <w:r>
        <w:rPr>
          <w:rFonts w:ascii="David" w:hAnsi="David" w:cs="David"/>
          <w:rtl/>
        </w:rPr>
        <w:tab/>
      </w:r>
      <w:r>
        <w:rPr>
          <w:rFonts w:ascii="David" w:hAnsi="David" w:cs="David"/>
          <w:rtl/>
        </w:rPr>
        <w:t xml:space="preserve">ע"א 5022/13 </w:t>
      </w:r>
      <w:r>
        <w:rPr>
          <w:rFonts w:ascii="David" w:hAnsi="David" w:cs="David"/>
          <w:b/>
          <w:bCs/>
          <w:rtl/>
        </w:rPr>
        <w:t>הרב יצחק נ' דנון תקשורת בע"מ</w:t>
      </w:r>
      <w:r>
        <w:rPr>
          <w:rFonts w:ascii="David" w:hAnsi="David" w:cs="David"/>
          <w:rtl/>
        </w:rPr>
        <w:t xml:space="preserve"> (8.9.2013).</w:t>
      </w:r>
    </w:p>
  </w:footnote>
  <w:footnote w:id="23">
    <w:p w14:paraId="2EF916C7" w14:textId="77777777" w:rsidR="00BE284B" w:rsidRDefault="00BE284B" w:rsidP="00BE284B">
      <w:pPr>
        <w:pStyle w:val="ae"/>
        <w:ind w:left="425" w:hanging="425"/>
        <w:jc w:val="both"/>
        <w:rPr>
          <w:rFonts w:ascii="David" w:hAnsi="David" w:cs="David"/>
          <w:rtl/>
        </w:rPr>
      </w:pPr>
      <w:r>
        <w:rPr>
          <w:rStyle w:val="af0"/>
          <w:rFonts w:ascii="David" w:hAnsi="David" w:cs="David"/>
        </w:rPr>
        <w:footnoteRef/>
      </w:r>
      <w:r>
        <w:rPr>
          <w:rFonts w:ascii="David" w:hAnsi="David" w:cs="David"/>
          <w:rtl/>
        </w:rPr>
        <w:t xml:space="preserve"> </w:t>
      </w:r>
      <w:r>
        <w:rPr>
          <w:rFonts w:ascii="David" w:hAnsi="David" w:cs="David"/>
          <w:rtl/>
        </w:rPr>
        <w:tab/>
      </w:r>
      <w:r>
        <w:rPr>
          <w:rFonts w:ascii="David" w:hAnsi="David" w:cs="David"/>
          <w:rtl/>
        </w:rPr>
        <w:t xml:space="preserve">ע"א 89/04 </w:t>
      </w:r>
      <w:r>
        <w:rPr>
          <w:rFonts w:ascii="David" w:hAnsi="David" w:cs="David"/>
          <w:b/>
          <w:bCs/>
          <w:rtl/>
        </w:rPr>
        <w:t xml:space="preserve">ד"ר נודלמן נ' שרנסקי </w:t>
      </w:r>
      <w:r>
        <w:rPr>
          <w:rFonts w:ascii="David" w:hAnsi="David" w:cs="David"/>
          <w:rtl/>
        </w:rPr>
        <w:t xml:space="preserve">(4.8.2008). לתכליות התרופתיות, ההרתעתיות-חינוכיות </w:t>
      </w:r>
      <w:proofErr w:type="spellStart"/>
      <w:r>
        <w:rPr>
          <w:rFonts w:ascii="David" w:hAnsi="David" w:cs="David"/>
          <w:rtl/>
        </w:rPr>
        <w:t>והעונשיות-גמוליות</w:t>
      </w:r>
      <w:proofErr w:type="spellEnd"/>
      <w:r>
        <w:rPr>
          <w:rFonts w:ascii="David" w:hAnsi="David" w:cs="David"/>
          <w:rtl/>
        </w:rPr>
        <w:t xml:space="preserve"> ראו: א. שנער, </w:t>
      </w:r>
      <w:r>
        <w:rPr>
          <w:rFonts w:ascii="David" w:hAnsi="David" w:cs="David"/>
          <w:b/>
          <w:bCs/>
          <w:rtl/>
        </w:rPr>
        <w:t>דיני לשון הרע</w:t>
      </w:r>
      <w:r>
        <w:rPr>
          <w:rFonts w:ascii="David" w:hAnsi="David" w:cs="David"/>
          <w:rtl/>
        </w:rPr>
        <w:t xml:space="preserve"> (מהדורה שניה, 2024) בעמ' 699 – 710. כן ראו: ח. </w:t>
      </w:r>
      <w:proofErr w:type="spellStart"/>
      <w:r>
        <w:rPr>
          <w:rFonts w:ascii="David" w:hAnsi="David" w:cs="David"/>
          <w:rtl/>
        </w:rPr>
        <w:t>גנאים</w:t>
      </w:r>
      <w:proofErr w:type="spellEnd"/>
      <w:r>
        <w:rPr>
          <w:rFonts w:ascii="David" w:hAnsi="David" w:cs="David"/>
          <w:rtl/>
        </w:rPr>
        <w:t xml:space="preserve">, מ. </w:t>
      </w:r>
      <w:proofErr w:type="spellStart"/>
      <w:r>
        <w:rPr>
          <w:rFonts w:ascii="David" w:hAnsi="David" w:cs="David"/>
          <w:rtl/>
        </w:rPr>
        <w:t>קרמניצר</w:t>
      </w:r>
      <w:proofErr w:type="spellEnd"/>
      <w:r>
        <w:rPr>
          <w:rFonts w:ascii="David" w:hAnsi="David" w:cs="David"/>
          <w:rtl/>
        </w:rPr>
        <w:t xml:space="preserve">, ב. שנור, </w:t>
      </w:r>
      <w:r>
        <w:rPr>
          <w:rFonts w:ascii="David" w:hAnsi="David" w:cs="David"/>
          <w:b/>
          <w:bCs/>
          <w:rtl/>
        </w:rPr>
        <w:t xml:space="preserve">דיני לשון הרע - הדין המצוי והדין הרצוי </w:t>
      </w:r>
      <w:r>
        <w:rPr>
          <w:rFonts w:ascii="David" w:hAnsi="David" w:cs="David"/>
          <w:rtl/>
        </w:rPr>
        <w:t>(מהדורה שנייה מורחבת, 2019) בעמ' 443 – 444.</w:t>
      </w:r>
    </w:p>
  </w:footnote>
  <w:footnote w:id="24">
    <w:p w14:paraId="24EB8D83" w14:textId="77777777" w:rsidR="00BE284B" w:rsidRDefault="00BE284B" w:rsidP="00BE284B">
      <w:pPr>
        <w:pStyle w:val="ae"/>
        <w:ind w:left="425" w:hanging="425"/>
        <w:jc w:val="both"/>
        <w:rPr>
          <w:rFonts w:ascii="David" w:hAnsi="David" w:cs="David"/>
        </w:rPr>
      </w:pPr>
      <w:r>
        <w:rPr>
          <w:rStyle w:val="af0"/>
          <w:rFonts w:ascii="David" w:hAnsi="David" w:cs="David"/>
        </w:rPr>
        <w:footnoteRef/>
      </w:r>
      <w:r>
        <w:rPr>
          <w:rFonts w:ascii="David" w:hAnsi="David" w:cs="David"/>
          <w:rtl/>
        </w:rPr>
        <w:t xml:space="preserve"> </w:t>
      </w:r>
      <w:r>
        <w:rPr>
          <w:rFonts w:ascii="David" w:hAnsi="David" w:cs="David" w:hint="cs"/>
          <w:rtl/>
        </w:rPr>
        <w:tab/>
      </w:r>
      <w:r>
        <w:rPr>
          <w:rFonts w:ascii="David" w:hAnsi="David" w:cs="David" w:hint="cs"/>
          <w:rtl/>
        </w:rPr>
        <w:t xml:space="preserve">וכך קובע הסעיף: "בבואו לגזור את הדין או לפסוק פיצויים רשאי בית המשפט להתחשב לטובת הנאשם או הנתבע גם באלה: (1)לשון הרע לא </w:t>
      </w:r>
      <w:proofErr w:type="spellStart"/>
      <w:r>
        <w:rPr>
          <w:rFonts w:ascii="David" w:hAnsi="David" w:cs="David" w:hint="cs"/>
          <w:rtl/>
        </w:rPr>
        <w:t>היתה</w:t>
      </w:r>
      <w:proofErr w:type="spellEnd"/>
      <w:r>
        <w:rPr>
          <w:rFonts w:ascii="David" w:hAnsi="David" w:cs="David" w:hint="cs"/>
          <w:rtl/>
        </w:rPr>
        <w:t xml:space="preserve"> אלא חזרה על מה שכבר נאמר, והוא נקב את המקור שעליו הסתמך; (2)הוא היה משוכנע </w:t>
      </w:r>
      <w:proofErr w:type="spellStart"/>
      <w:r>
        <w:rPr>
          <w:rFonts w:ascii="David" w:hAnsi="David" w:cs="David" w:hint="cs"/>
          <w:rtl/>
        </w:rPr>
        <w:t>באמיתותה</w:t>
      </w:r>
      <w:proofErr w:type="spellEnd"/>
      <w:r>
        <w:rPr>
          <w:rFonts w:ascii="David" w:hAnsi="David" w:cs="David" w:hint="cs"/>
          <w:rtl/>
        </w:rPr>
        <w:t xml:space="preserve"> של לשון הרע; (3)הוא לא נתכוון לנפגע; (4)הוא התנצל בשל הפרסום, תיקן או הכחיש את הדבר המהווה לשון הרע או נקט צעדים להפסקת מכירתו או הפצתו של עותק הפרסום המכיל את לשון הרע, ובלבד שההתנצלות, התיקון או ההכחשה פורסמו במקום, במידה ובדרך שבהן פורסמה לשון הרע, ולא היו </w:t>
      </w:r>
      <w:proofErr w:type="spellStart"/>
      <w:r>
        <w:rPr>
          <w:rFonts w:ascii="David" w:hAnsi="David" w:cs="David" w:hint="cs"/>
          <w:rtl/>
        </w:rPr>
        <w:t>מסוייגים</w:t>
      </w:r>
      <w:proofErr w:type="spellEnd"/>
      <w:r>
        <w:rPr>
          <w:rFonts w:ascii="David" w:hAnsi="David" w:cs="David"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1E13" w14:textId="77777777" w:rsidR="00694556" w:rsidRDefault="00A23F15">
    <w:pPr>
      <w:pStyle w:val="a3"/>
      <w:jc w:val="center"/>
      <w:rPr>
        <w:rFonts w:cs="FrankRuehl"/>
        <w:noProof w:val="0"/>
        <w:sz w:val="28"/>
        <w:szCs w:val="28"/>
        <w:rtl/>
      </w:rPr>
    </w:pPr>
    <w:r>
      <w:rPr>
        <w:rFonts w:cs="FrankRuehl"/>
        <w:sz w:val="28"/>
        <w:szCs w:val="28"/>
      </w:rPr>
      <w:drawing>
        <wp:inline distT="0" distB="0" distL="0" distR="0" wp14:anchorId="14654BCB" wp14:editId="0D1966EB">
          <wp:extent cx="374015" cy="469265"/>
          <wp:effectExtent l="0" t="0" r="6985" b="6985"/>
          <wp:docPr id="1"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09"/>
      <w:gridCol w:w="3596"/>
    </w:tblGrid>
    <w:tr w:rsidR="00694556" w14:paraId="40C34AC5" w14:textId="77777777">
      <w:trPr>
        <w:trHeight w:hRule="exact" w:val="418"/>
        <w:jc w:val="center"/>
      </w:trPr>
      <w:sdt>
        <w:sdtPr>
          <w:rPr>
            <w:sz w:val="36"/>
            <w:szCs w:val="36"/>
            <w:rtl/>
          </w:rPr>
          <w:alias w:val="1174"/>
          <w:tag w:val="1174"/>
          <w:id w:val="-140737790"/>
          <w:text/>
        </w:sdtPr>
        <w:sdtContent>
          <w:tc>
            <w:tcPr>
              <w:tcW w:w="8721" w:type="dxa"/>
              <w:gridSpan w:val="2"/>
            </w:tcPr>
            <w:p w14:paraId="15CBA69B" w14:textId="77777777" w:rsidR="00694556" w:rsidRPr="00991619" w:rsidRDefault="00005C8B">
              <w:pPr>
                <w:pStyle w:val="a3"/>
                <w:jc w:val="center"/>
                <w:rPr>
                  <w:rFonts w:ascii="Tahoma" w:hAnsi="Tahoma"/>
                  <w:noProof w:val="0"/>
                  <w:color w:val="000080"/>
                  <w:sz w:val="36"/>
                  <w:szCs w:val="36"/>
                  <w:rtl/>
                </w:rPr>
              </w:pPr>
              <w:r w:rsidRPr="00991619">
                <w:rPr>
                  <w:rFonts w:ascii="Tahoma" w:hAnsi="Tahoma"/>
                  <w:b/>
                  <w:bCs/>
                  <w:noProof w:val="0"/>
                  <w:color w:val="000080"/>
                  <w:sz w:val="36"/>
                  <w:szCs w:val="36"/>
                  <w:rtl/>
                </w:rPr>
                <w:t>בית הדין הארצי לעבודה</w:t>
              </w:r>
            </w:p>
          </w:tc>
        </w:sdtContent>
      </w:sdt>
    </w:tr>
    <w:tr w:rsidR="00694556" w14:paraId="66FC1714" w14:textId="77777777">
      <w:trPr>
        <w:trHeight w:val="337"/>
        <w:jc w:val="center"/>
      </w:trPr>
      <w:tc>
        <w:tcPr>
          <w:tcW w:w="5047" w:type="dxa"/>
        </w:tcPr>
        <w:p w14:paraId="1F1845D4" w14:textId="77777777" w:rsidR="00694556" w:rsidRDefault="00694556">
          <w:pPr>
            <w:rPr>
              <w:b/>
              <w:bCs/>
              <w:noProof w:val="0"/>
              <w:sz w:val="26"/>
              <w:szCs w:val="26"/>
              <w:rtl/>
            </w:rPr>
          </w:pPr>
        </w:p>
      </w:tc>
      <w:tc>
        <w:tcPr>
          <w:tcW w:w="3674" w:type="dxa"/>
        </w:tcPr>
        <w:p w14:paraId="013B9CD4" w14:textId="77777777" w:rsidR="00FC3B39" w:rsidRPr="00BE284B" w:rsidRDefault="00000000" w:rsidP="00BE284B">
          <w:pPr>
            <w:jc w:val="right"/>
            <w:rPr>
              <w:sz w:val="28"/>
              <w:szCs w:val="28"/>
              <w:u w:val="single"/>
              <w:rtl/>
            </w:rPr>
          </w:pPr>
          <w:sdt>
            <w:sdtPr>
              <w:rPr>
                <w:sz w:val="28"/>
                <w:szCs w:val="28"/>
                <w:u w:val="single"/>
                <w:rtl/>
              </w:rPr>
              <w:alias w:val="1170"/>
              <w:tag w:val="1170"/>
              <w:id w:val="1350066499"/>
              <w:text w:multiLine="1"/>
            </w:sdtPr>
            <w:sdtContent>
              <w:r w:rsidR="000F4879">
                <w:rPr>
                  <w:b/>
                  <w:bCs/>
                  <w:sz w:val="28"/>
                  <w:szCs w:val="28"/>
                  <w:u w:val="single"/>
                  <w:rtl/>
                </w:rPr>
                <w:t>ע"ע</w:t>
              </w:r>
            </w:sdtContent>
          </w:sdt>
          <w:r w:rsidR="00A573CE" w:rsidRPr="00305FC5">
            <w:rPr>
              <w:b/>
              <w:bCs/>
              <w:sz w:val="28"/>
              <w:szCs w:val="28"/>
              <w:u w:val="single"/>
              <w:rtl/>
            </w:rPr>
            <w:t xml:space="preserve"> </w:t>
          </w:r>
          <w:sdt>
            <w:sdtPr>
              <w:rPr>
                <w:sz w:val="28"/>
                <w:szCs w:val="28"/>
                <w:u w:val="single"/>
                <w:rtl/>
              </w:rPr>
              <w:alias w:val="1171"/>
              <w:tag w:val="1171"/>
              <w:id w:val="-1493478238"/>
              <w:text w:multiLine="1"/>
            </w:sdtPr>
            <w:sdtContent>
              <w:r w:rsidR="000F4879">
                <w:rPr>
                  <w:b/>
                  <w:bCs/>
                  <w:sz w:val="28"/>
                  <w:szCs w:val="28"/>
                  <w:u w:val="single"/>
                  <w:rtl/>
                </w:rPr>
                <w:t>32637-06-24</w:t>
              </w:r>
            </w:sdtContent>
          </w:sdt>
          <w:r w:rsidR="00A573CE" w:rsidRPr="00305FC5">
            <w:rPr>
              <w:b/>
              <w:bCs/>
              <w:sz w:val="28"/>
              <w:szCs w:val="28"/>
              <w:u w:val="single"/>
              <w:rtl/>
            </w:rPr>
            <w:t xml:space="preserve"> </w:t>
          </w:r>
        </w:p>
      </w:tc>
    </w:tr>
  </w:tbl>
  <w:p w14:paraId="700E3E98" w14:textId="77777777" w:rsidR="00694556" w:rsidRDefault="00005C8B">
    <w:pPr>
      <w:pStyle w:val="a3"/>
      <w:rPr>
        <w:noProof w:val="0"/>
        <w:rtl/>
      </w:rPr>
    </w:pPr>
    <w:r>
      <w:rPr>
        <w:noProof w:val="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2152"/>
    <w:multiLevelType w:val="hybridMultilevel"/>
    <w:tmpl w:val="7856FC04"/>
    <w:lvl w:ilvl="0" w:tplc="5E903958">
      <w:start w:val="1"/>
      <w:numFmt w:val="decimal"/>
      <w:lvlText w:val="%1."/>
      <w:lvlJc w:val="left"/>
      <w:pPr>
        <w:ind w:left="1080" w:hanging="360"/>
      </w:pPr>
      <w:rPr>
        <w:rFonts w:ascii="Arial" w:hAnsi="Arial" w:cs="Times New Roman"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7FC5AFB"/>
    <w:multiLevelType w:val="hybridMultilevel"/>
    <w:tmpl w:val="C7E896E0"/>
    <w:lvl w:ilvl="0" w:tplc="37C269FE">
      <w:start w:val="1"/>
      <w:numFmt w:val="hebrew1"/>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65124CC"/>
    <w:multiLevelType w:val="hybridMultilevel"/>
    <w:tmpl w:val="85D6D446"/>
    <w:lvl w:ilvl="0" w:tplc="7954241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D26831"/>
    <w:multiLevelType w:val="hybridMultilevel"/>
    <w:tmpl w:val="5CEAEDB2"/>
    <w:lvl w:ilvl="0" w:tplc="7A742F36">
      <w:start w:val="1"/>
      <w:numFmt w:val="decimal"/>
      <w:lvlText w:val="%1."/>
      <w:lvlJc w:val="left"/>
      <w:pPr>
        <w:ind w:left="720" w:hanging="360"/>
      </w:pPr>
      <w:rPr>
        <w:rFonts w:ascii="Arial" w:hAnsi="Arial" w:cs="Times New Roman"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5F265E"/>
    <w:multiLevelType w:val="hybridMultilevel"/>
    <w:tmpl w:val="8A5ED5EA"/>
    <w:lvl w:ilvl="0" w:tplc="13C0EE6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72526D9"/>
    <w:multiLevelType w:val="hybridMultilevel"/>
    <w:tmpl w:val="C7E896E0"/>
    <w:lvl w:ilvl="0" w:tplc="37C269FE">
      <w:start w:val="1"/>
      <w:numFmt w:val="hebrew1"/>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92268EC"/>
    <w:multiLevelType w:val="hybridMultilevel"/>
    <w:tmpl w:val="CA9EC61E"/>
    <w:lvl w:ilvl="0" w:tplc="5A943488">
      <w:start w:val="1"/>
      <w:numFmt w:val="hebrew1"/>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7" w15:restartNumberingAfterBreak="0">
    <w:nsid w:val="7F412F1A"/>
    <w:multiLevelType w:val="hybridMultilevel"/>
    <w:tmpl w:val="476C4D48"/>
    <w:lvl w:ilvl="0" w:tplc="1BCCE5B2">
      <w:start w:val="1"/>
      <w:numFmt w:val="decimal"/>
      <w:lvlText w:val="%1."/>
      <w:lvlJc w:val="left"/>
      <w:pPr>
        <w:ind w:left="720" w:hanging="360"/>
      </w:pPr>
      <w:rPr>
        <w:rFonts w:ascii="David" w:hAnsi="David" w:cs="David" w:hint="default"/>
        <w:b w:val="0"/>
        <w:bCs w:val="0"/>
        <w:sz w:val="28"/>
        <w:szCs w:val="28"/>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593592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7741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8630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7104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1618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82787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23880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824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56"/>
    <w:rsid w:val="00005C8B"/>
    <w:rsid w:val="000564AB"/>
    <w:rsid w:val="00064FBD"/>
    <w:rsid w:val="000829DE"/>
    <w:rsid w:val="00094E2B"/>
    <w:rsid w:val="000962C7"/>
    <w:rsid w:val="00096AF7"/>
    <w:rsid w:val="000C3B0F"/>
    <w:rsid w:val="000E6C7F"/>
    <w:rsid w:val="000F0BC8"/>
    <w:rsid w:val="000F4879"/>
    <w:rsid w:val="000F63CB"/>
    <w:rsid w:val="00107E6D"/>
    <w:rsid w:val="0011194C"/>
    <w:rsid w:val="001229FA"/>
    <w:rsid w:val="00140253"/>
    <w:rsid w:val="00144D2A"/>
    <w:rsid w:val="00170669"/>
    <w:rsid w:val="00180519"/>
    <w:rsid w:val="001808EC"/>
    <w:rsid w:val="001C4003"/>
    <w:rsid w:val="002265FF"/>
    <w:rsid w:val="002B0BF1"/>
    <w:rsid w:val="00300FD5"/>
    <w:rsid w:val="00305FC5"/>
    <w:rsid w:val="00307A6A"/>
    <w:rsid w:val="00307C40"/>
    <w:rsid w:val="003155CB"/>
    <w:rsid w:val="00320433"/>
    <w:rsid w:val="00326CBE"/>
    <w:rsid w:val="0036743F"/>
    <w:rsid w:val="003B5E22"/>
    <w:rsid w:val="00416B90"/>
    <w:rsid w:val="0043125D"/>
    <w:rsid w:val="0043502B"/>
    <w:rsid w:val="00475FAE"/>
    <w:rsid w:val="004C4BDF"/>
    <w:rsid w:val="004D1187"/>
    <w:rsid w:val="004E6E3C"/>
    <w:rsid w:val="005268F6"/>
    <w:rsid w:val="00547DB7"/>
    <w:rsid w:val="0055041F"/>
    <w:rsid w:val="0056038D"/>
    <w:rsid w:val="00575ECB"/>
    <w:rsid w:val="005D36CE"/>
    <w:rsid w:val="00622BAA"/>
    <w:rsid w:val="00671BD5"/>
    <w:rsid w:val="006805C1"/>
    <w:rsid w:val="00694556"/>
    <w:rsid w:val="006E1A53"/>
    <w:rsid w:val="00704EDA"/>
    <w:rsid w:val="00706BFA"/>
    <w:rsid w:val="00732225"/>
    <w:rsid w:val="007D30F2"/>
    <w:rsid w:val="007E60D1"/>
    <w:rsid w:val="007E6115"/>
    <w:rsid w:val="007F0805"/>
    <w:rsid w:val="007F0CC0"/>
    <w:rsid w:val="007F4609"/>
    <w:rsid w:val="00820005"/>
    <w:rsid w:val="00821FD2"/>
    <w:rsid w:val="00896889"/>
    <w:rsid w:val="00896C8E"/>
    <w:rsid w:val="008C5714"/>
    <w:rsid w:val="00903896"/>
    <w:rsid w:val="00906F3D"/>
    <w:rsid w:val="00913306"/>
    <w:rsid w:val="00934F46"/>
    <w:rsid w:val="009546DB"/>
    <w:rsid w:val="00961589"/>
    <w:rsid w:val="00991619"/>
    <w:rsid w:val="009A4223"/>
    <w:rsid w:val="009B4F8F"/>
    <w:rsid w:val="009B72F3"/>
    <w:rsid w:val="009D60B6"/>
    <w:rsid w:val="009E0D81"/>
    <w:rsid w:val="00A034BD"/>
    <w:rsid w:val="00A10BE8"/>
    <w:rsid w:val="00A16AEB"/>
    <w:rsid w:val="00A23F15"/>
    <w:rsid w:val="00A573CE"/>
    <w:rsid w:val="00A836E3"/>
    <w:rsid w:val="00A94B64"/>
    <w:rsid w:val="00AC3B7B"/>
    <w:rsid w:val="00AC5209"/>
    <w:rsid w:val="00AE4CEB"/>
    <w:rsid w:val="00B041C1"/>
    <w:rsid w:val="00B506EA"/>
    <w:rsid w:val="00B80CBD"/>
    <w:rsid w:val="00B86096"/>
    <w:rsid w:val="00B912D4"/>
    <w:rsid w:val="00BE284B"/>
    <w:rsid w:val="00BF1908"/>
    <w:rsid w:val="00C143D8"/>
    <w:rsid w:val="00C22D93"/>
    <w:rsid w:val="00C23C03"/>
    <w:rsid w:val="00C34482"/>
    <w:rsid w:val="00C50021"/>
    <w:rsid w:val="00CC3B05"/>
    <w:rsid w:val="00D02BDA"/>
    <w:rsid w:val="00D32D84"/>
    <w:rsid w:val="00D33B86"/>
    <w:rsid w:val="00D53924"/>
    <w:rsid w:val="00D55D0C"/>
    <w:rsid w:val="00D840CB"/>
    <w:rsid w:val="00D96D8C"/>
    <w:rsid w:val="00DA6649"/>
    <w:rsid w:val="00DD37A1"/>
    <w:rsid w:val="00E25B04"/>
    <w:rsid w:val="00E54642"/>
    <w:rsid w:val="00E80E1D"/>
    <w:rsid w:val="00EC37E9"/>
    <w:rsid w:val="00EC4436"/>
    <w:rsid w:val="00F426CE"/>
    <w:rsid w:val="00F44B96"/>
    <w:rsid w:val="00F82C64"/>
    <w:rsid w:val="00F84B6D"/>
    <w:rsid w:val="00FC3B39"/>
    <w:rsid w:val="00FD79E4"/>
    <w:rsid w:val="00FE2894"/>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70E3"/>
  <w15:docId w15:val="{B36B3EFD-DB29-4305-A5F3-1C1E7B98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0E6C7F"/>
    <w:rPr>
      <w:color w:val="808080"/>
    </w:rPr>
  </w:style>
  <w:style w:type="paragraph" w:styleId="ad">
    <w:name w:val="List Paragraph"/>
    <w:basedOn w:val="a"/>
    <w:uiPriority w:val="34"/>
    <w:qFormat/>
    <w:rsid w:val="00BE284B"/>
    <w:pPr>
      <w:spacing w:after="160" w:line="254" w:lineRule="auto"/>
      <w:ind w:left="720"/>
      <w:contextualSpacing/>
    </w:pPr>
    <w:rPr>
      <w:rFonts w:asciiTheme="minorHAnsi" w:eastAsiaTheme="minorHAnsi" w:hAnsiTheme="minorHAnsi" w:cstheme="minorBidi"/>
      <w:noProof w:val="0"/>
      <w:sz w:val="22"/>
      <w:szCs w:val="22"/>
    </w:rPr>
  </w:style>
  <w:style w:type="paragraph" w:styleId="ae">
    <w:name w:val="footnote text"/>
    <w:basedOn w:val="a"/>
    <w:link w:val="af"/>
    <w:uiPriority w:val="99"/>
    <w:semiHidden/>
    <w:unhideWhenUsed/>
    <w:rsid w:val="00BE284B"/>
    <w:rPr>
      <w:rFonts w:asciiTheme="minorHAnsi" w:eastAsiaTheme="minorHAnsi" w:hAnsiTheme="minorHAnsi" w:cstheme="minorBidi"/>
      <w:noProof w:val="0"/>
      <w:sz w:val="20"/>
      <w:szCs w:val="20"/>
    </w:rPr>
  </w:style>
  <w:style w:type="character" w:customStyle="1" w:styleId="af">
    <w:name w:val="טקסט הערת שוליים תו"/>
    <w:basedOn w:val="a0"/>
    <w:link w:val="ae"/>
    <w:uiPriority w:val="99"/>
    <w:semiHidden/>
    <w:rsid w:val="00BE284B"/>
    <w:rPr>
      <w:rFonts w:asciiTheme="minorHAnsi" w:eastAsiaTheme="minorHAnsi" w:hAnsiTheme="minorHAnsi" w:cstheme="minorBidi"/>
    </w:rPr>
  </w:style>
  <w:style w:type="character" w:styleId="af0">
    <w:name w:val="footnote reference"/>
    <w:basedOn w:val="a0"/>
    <w:semiHidden/>
    <w:unhideWhenUsed/>
    <w:rsid w:val="00BE28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750207">
      <w:bodyDiv w:val="1"/>
      <w:marLeft w:val="0"/>
      <w:marRight w:val="0"/>
      <w:marTop w:val="0"/>
      <w:marBottom w:val="0"/>
      <w:divBdr>
        <w:top w:val="none" w:sz="0" w:space="0" w:color="auto"/>
        <w:left w:val="none" w:sz="0" w:space="0" w:color="auto"/>
        <w:bottom w:val="none" w:sz="0" w:space="0" w:color="auto"/>
        <w:right w:val="none" w:sz="0" w:space="0" w:color="auto"/>
      </w:divBdr>
    </w:div>
    <w:div w:id="338385645">
      <w:bodyDiv w:val="1"/>
      <w:marLeft w:val="0"/>
      <w:marRight w:val="0"/>
      <w:marTop w:val="0"/>
      <w:marBottom w:val="0"/>
      <w:divBdr>
        <w:top w:val="none" w:sz="0" w:space="0" w:color="auto"/>
        <w:left w:val="none" w:sz="0" w:space="0" w:color="auto"/>
        <w:bottom w:val="none" w:sz="0" w:space="0" w:color="auto"/>
        <w:right w:val="none" w:sz="0" w:space="0" w:color="auto"/>
      </w:divBdr>
    </w:div>
    <w:div w:id="962467077">
      <w:bodyDiv w:val="1"/>
      <w:marLeft w:val="0"/>
      <w:marRight w:val="0"/>
      <w:marTop w:val="0"/>
      <w:marBottom w:val="0"/>
      <w:divBdr>
        <w:top w:val="none" w:sz="0" w:space="0" w:color="auto"/>
        <w:left w:val="none" w:sz="0" w:space="0" w:color="auto"/>
        <w:bottom w:val="none" w:sz="0" w:space="0" w:color="auto"/>
        <w:right w:val="none" w:sz="0" w:space="0" w:color="auto"/>
      </w:divBdr>
    </w:div>
    <w:div w:id="1015767478">
      <w:bodyDiv w:val="1"/>
      <w:marLeft w:val="0"/>
      <w:marRight w:val="0"/>
      <w:marTop w:val="0"/>
      <w:marBottom w:val="0"/>
      <w:divBdr>
        <w:top w:val="none" w:sz="0" w:space="0" w:color="auto"/>
        <w:left w:val="none" w:sz="0" w:space="0" w:color="auto"/>
        <w:bottom w:val="none" w:sz="0" w:space="0" w:color="auto"/>
        <w:right w:val="none" w:sz="0" w:space="0" w:color="auto"/>
      </w:divBdr>
    </w:div>
    <w:div w:id="1232882617">
      <w:bodyDiv w:val="1"/>
      <w:marLeft w:val="0"/>
      <w:marRight w:val="0"/>
      <w:marTop w:val="0"/>
      <w:marBottom w:val="0"/>
      <w:divBdr>
        <w:top w:val="none" w:sz="0" w:space="0" w:color="auto"/>
        <w:left w:val="none" w:sz="0" w:space="0" w:color="auto"/>
        <w:bottom w:val="none" w:sz="0" w:space="0" w:color="auto"/>
        <w:right w:val="none" w:sz="0" w:space="0" w:color="auto"/>
      </w:divBdr>
    </w:div>
    <w:div w:id="1276906384">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42929257">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88803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image" Target="media/image5.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tif"/><Relationship Id="rId5" Type="http://schemas.openxmlformats.org/officeDocument/2006/relationships/webSettings" Target="webSettings.xml"/><Relationship Id="rId15" Type="http://schemas.openxmlformats.org/officeDocument/2006/relationships/footer" Target="footer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5088</Words>
  <Characters>25441</Characters>
  <Application>Microsoft Office Word</Application>
  <DocSecurity>0</DocSecurity>
  <Lines>212</Lines>
  <Paragraphs>60</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30469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orit כהן</cp:lastModifiedBy>
  <cp:revision>2</cp:revision>
  <dcterms:created xsi:type="dcterms:W3CDTF">2026-01-29T09:06:00Z</dcterms:created>
  <dcterms:modified xsi:type="dcterms:W3CDTF">2026-01-29T09:06:00Z</dcterms:modified>
</cp:coreProperties>
</file>