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B2E5" w14:textId="1C5BF242" w:rsidR="00000000" w:rsidRDefault="00000000">
      <w:pPr>
        <w:divId w:val="1303391428"/>
        <w:rPr>
          <w:rFonts w:ascii="David" w:eastAsia="Times New Roman" w:hAnsi="David" w:cs="David"/>
        </w:rPr>
      </w:pPr>
    </w:p>
    <w:p w14:paraId="20B4BC88" w14:textId="77777777" w:rsidR="00000000" w:rsidRDefault="00000000">
      <w:pPr>
        <w:pStyle w:val="idhidden"/>
      </w:pPr>
      <w:r>
        <w:t>takd_id</w:t>
      </w:r>
      <w:r>
        <w:rPr>
          <w:rtl/>
        </w:rPr>
        <w:t>: עא@31521-09-25;</w:t>
      </w:r>
      <w:r>
        <w:t>takd_s:20260316;takd_d:16.03.2026;takd_u:17.03.2026;mms_s</w:t>
      </w:r>
      <w:r>
        <w:rPr>
          <w:rtl/>
        </w:rPr>
        <w:t>:מחוזי;</w:t>
      </w:r>
      <w:r>
        <w:t>mms_p:21409;mms_y:2026;mms_v:1;orig_filename:472d9167272a4893bd58d5b56facc7dc.html;taktzir_exist:0;kt_exist:0</w:t>
      </w:r>
      <w:r>
        <w:rPr>
          <w:rtl/>
        </w:rPr>
        <w:t>;</w:t>
      </w:r>
    </w:p>
    <w:tbl>
      <w:tblPr>
        <w:bidiVisual/>
        <w:tblW w:w="8529" w:type="dxa"/>
        <w:jc w:val="center"/>
        <w:tblCellMar>
          <w:left w:w="0" w:type="dxa"/>
          <w:right w:w="0" w:type="dxa"/>
        </w:tblCellMar>
        <w:tblLook w:val="04A0" w:firstRow="1" w:lastRow="0" w:firstColumn="1" w:lastColumn="0" w:noHBand="0" w:noVBand="1"/>
      </w:tblPr>
      <w:tblGrid>
        <w:gridCol w:w="4934"/>
        <w:gridCol w:w="3595"/>
      </w:tblGrid>
      <w:tr w:rsidR="00000000" w14:paraId="421D75E9" w14:textId="77777777">
        <w:trPr>
          <w:trHeight w:val="704"/>
          <w:jc w:val="center"/>
        </w:trPr>
        <w:tc>
          <w:tcPr>
            <w:tcW w:w="8529" w:type="dxa"/>
            <w:gridSpan w:val="2"/>
            <w:tcMar>
              <w:top w:w="0" w:type="dxa"/>
              <w:left w:w="108" w:type="dxa"/>
              <w:bottom w:w="0" w:type="dxa"/>
              <w:right w:w="108" w:type="dxa"/>
            </w:tcMar>
            <w:hideMark/>
          </w:tcPr>
          <w:p w14:paraId="50B16FDE" w14:textId="77777777" w:rsidR="00000000" w:rsidRDefault="00000000">
            <w:pPr>
              <w:pStyle w:val="a3"/>
              <w:bidi/>
              <w:jc w:val="center"/>
              <w:rPr>
                <w:rtl/>
              </w:rPr>
            </w:pPr>
            <w:r>
              <w:rPr>
                <w:rStyle w:val="f4dinim"/>
                <w:rFonts w:ascii="David" w:hAnsi="David" w:cs="David"/>
                <w:color w:val="000080"/>
                <w:sz w:val="32"/>
                <w:szCs w:val="32"/>
                <w:rtl/>
              </w:rPr>
              <w:t>בית המשפט המחוזי בבאר שבע</w:t>
            </w:r>
          </w:p>
        </w:tc>
      </w:tr>
      <w:tr w:rsidR="00000000" w14:paraId="417D5436" w14:textId="77777777">
        <w:trPr>
          <w:trHeight w:val="337"/>
          <w:jc w:val="center"/>
        </w:trPr>
        <w:tc>
          <w:tcPr>
            <w:tcW w:w="4934" w:type="dxa"/>
            <w:tcMar>
              <w:top w:w="0" w:type="dxa"/>
              <w:left w:w="108" w:type="dxa"/>
              <w:bottom w:w="0" w:type="dxa"/>
              <w:right w:w="108" w:type="dxa"/>
            </w:tcMar>
            <w:hideMark/>
          </w:tcPr>
          <w:p w14:paraId="7F413273" w14:textId="77777777" w:rsidR="00000000" w:rsidRDefault="00000000">
            <w:pPr>
              <w:bidi/>
              <w:rPr>
                <w:rtl/>
              </w:rPr>
            </w:pPr>
            <w:r>
              <w:rPr>
                <w:rStyle w:val="f41dinim"/>
                <w:rFonts w:ascii="David" w:hAnsi="David" w:cs="David"/>
                <w:sz w:val="26"/>
                <w:szCs w:val="26"/>
                <w:rtl/>
              </w:rPr>
              <w:t xml:space="preserve">בפני כב' השופט יעקב פרסקי - אב"ד </w:t>
            </w:r>
          </w:p>
          <w:p w14:paraId="03395892" w14:textId="77777777" w:rsidR="00000000" w:rsidRDefault="00000000">
            <w:pPr>
              <w:bidi/>
              <w:rPr>
                <w:rtl/>
              </w:rPr>
            </w:pPr>
            <w:r>
              <w:rPr>
                <w:rStyle w:val="f41dinim"/>
                <w:rFonts w:ascii="David" w:hAnsi="David" w:cs="David"/>
                <w:sz w:val="26"/>
                <w:szCs w:val="26"/>
                <w:rtl/>
              </w:rPr>
              <w:t xml:space="preserve">כב' השופטת גאולה לוין </w:t>
            </w:r>
          </w:p>
          <w:p w14:paraId="4A079701" w14:textId="77777777" w:rsidR="00000000" w:rsidRDefault="00000000">
            <w:pPr>
              <w:bidi/>
              <w:rPr>
                <w:rtl/>
              </w:rPr>
            </w:pPr>
            <w:r>
              <w:rPr>
                <w:rStyle w:val="f41dinim"/>
                <w:rFonts w:ascii="David" w:hAnsi="David" w:cs="David"/>
                <w:sz w:val="26"/>
                <w:szCs w:val="26"/>
                <w:rtl/>
              </w:rPr>
              <w:t xml:space="preserve">כב' השופט גיל דניאל </w:t>
            </w:r>
          </w:p>
        </w:tc>
        <w:tc>
          <w:tcPr>
            <w:tcW w:w="3595" w:type="dxa"/>
            <w:tcMar>
              <w:top w:w="0" w:type="dxa"/>
              <w:left w:w="108" w:type="dxa"/>
              <w:bottom w:w="0" w:type="dxa"/>
              <w:right w:w="108" w:type="dxa"/>
            </w:tcMar>
            <w:hideMark/>
          </w:tcPr>
          <w:p w14:paraId="2038E386" w14:textId="77777777" w:rsidR="00000000" w:rsidRDefault="00000000">
            <w:pPr>
              <w:pStyle w:val="a3"/>
              <w:bidi/>
              <w:jc w:val="right"/>
              <w:rPr>
                <w:rtl/>
              </w:rPr>
            </w:pPr>
            <w:r>
              <w:rPr>
                <w:rStyle w:val="f40dinim"/>
                <w:rFonts w:ascii="David" w:hAnsi="David" w:cs="David"/>
                <w:sz w:val="26"/>
                <w:szCs w:val="26"/>
                <w:rtl/>
              </w:rPr>
              <w:t>ע"א 31521-09-25</w:t>
            </w:r>
          </w:p>
        </w:tc>
      </w:tr>
      <w:tr w:rsidR="00000000" w14:paraId="2AEDE68F" w14:textId="77777777">
        <w:trPr>
          <w:trHeight w:val="337"/>
          <w:jc w:val="center"/>
        </w:trPr>
        <w:tc>
          <w:tcPr>
            <w:tcW w:w="8529" w:type="dxa"/>
            <w:gridSpan w:val="2"/>
            <w:tcMar>
              <w:top w:w="0" w:type="dxa"/>
              <w:left w:w="108" w:type="dxa"/>
              <w:bottom w:w="0" w:type="dxa"/>
              <w:right w:w="108" w:type="dxa"/>
            </w:tcMar>
            <w:hideMark/>
          </w:tcPr>
          <w:p w14:paraId="00146EDE" w14:textId="77777777" w:rsidR="00000000" w:rsidRDefault="00000000">
            <w:pPr>
              <w:bidi/>
              <w:rPr>
                <w:rtl/>
              </w:rPr>
            </w:pPr>
            <w:r>
              <w:rPr>
                <w:rFonts w:ascii="David" w:hAnsi="David" w:cs="David"/>
                <w:sz w:val="20"/>
                <w:szCs w:val="20"/>
                <w:rtl/>
              </w:rPr>
              <w:t> </w:t>
            </w:r>
          </w:p>
        </w:tc>
      </w:tr>
    </w:tbl>
    <w:p w14:paraId="03B2C05D" w14:textId="77777777" w:rsidR="00000000" w:rsidRDefault="00000000">
      <w:pPr>
        <w:jc w:val="center"/>
        <w:rPr>
          <w:rtl/>
        </w:rPr>
      </w:pPr>
      <w:r>
        <w:rPr>
          <w:vanish/>
        </w:rPr>
        <w:t> </w:t>
      </w:r>
    </w:p>
    <w:tbl>
      <w:tblPr>
        <w:bidiVisual/>
        <w:tblW w:w="8820" w:type="dxa"/>
        <w:jc w:val="center"/>
        <w:tblCellMar>
          <w:left w:w="0" w:type="dxa"/>
          <w:right w:w="0" w:type="dxa"/>
        </w:tblCellMar>
        <w:tblLook w:val="04A0" w:firstRow="1" w:lastRow="0" w:firstColumn="1" w:lastColumn="0" w:noHBand="0" w:noVBand="1"/>
      </w:tblPr>
      <w:tblGrid>
        <w:gridCol w:w="3249"/>
        <w:gridCol w:w="5571"/>
      </w:tblGrid>
      <w:tr w:rsidR="00000000" w14:paraId="42735099" w14:textId="77777777">
        <w:trPr>
          <w:jc w:val="center"/>
        </w:trPr>
        <w:tc>
          <w:tcPr>
            <w:tcW w:w="3249" w:type="dxa"/>
            <w:tcMar>
              <w:top w:w="0" w:type="dxa"/>
              <w:left w:w="108" w:type="dxa"/>
              <w:bottom w:w="0" w:type="dxa"/>
              <w:right w:w="108" w:type="dxa"/>
            </w:tcMar>
            <w:hideMark/>
          </w:tcPr>
          <w:p w14:paraId="7B8A6AAD" w14:textId="77777777" w:rsidR="00000000" w:rsidRDefault="00000000">
            <w:pPr>
              <w:bidi/>
            </w:pPr>
            <w:r>
              <w:rPr>
                <w:rFonts w:ascii="David" w:hAnsi="David" w:cs="David"/>
                <w:sz w:val="28"/>
                <w:szCs w:val="28"/>
                <w:rtl/>
              </w:rPr>
              <w:t> </w:t>
            </w:r>
          </w:p>
          <w:p w14:paraId="082B6636" w14:textId="77777777" w:rsidR="00000000" w:rsidRDefault="00000000">
            <w:pPr>
              <w:bidi/>
              <w:rPr>
                <w:rtl/>
              </w:rPr>
            </w:pPr>
            <w:r>
              <w:rPr>
                <w:rFonts w:ascii="David" w:hAnsi="David" w:cs="David"/>
                <w:sz w:val="28"/>
                <w:szCs w:val="28"/>
                <w:rtl/>
              </w:rPr>
              <w:t> </w:t>
            </w:r>
          </w:p>
          <w:p w14:paraId="03FCE6BC" w14:textId="77777777" w:rsidR="00000000" w:rsidRDefault="00000000">
            <w:pPr>
              <w:bidi/>
              <w:rPr>
                <w:rtl/>
              </w:rPr>
            </w:pPr>
            <w:r>
              <w:rPr>
                <w:rFonts w:ascii="David" w:hAnsi="David" w:cs="David"/>
                <w:sz w:val="28"/>
                <w:szCs w:val="28"/>
                <w:rtl/>
              </w:rPr>
              <w:t>המערערים:</w:t>
            </w:r>
          </w:p>
        </w:tc>
        <w:tc>
          <w:tcPr>
            <w:tcW w:w="5571" w:type="dxa"/>
            <w:tcMar>
              <w:top w:w="0" w:type="dxa"/>
              <w:left w:w="108" w:type="dxa"/>
              <w:bottom w:w="0" w:type="dxa"/>
              <w:right w:w="108" w:type="dxa"/>
            </w:tcMar>
            <w:hideMark/>
          </w:tcPr>
          <w:p w14:paraId="182C67DB" w14:textId="77777777" w:rsidR="00000000" w:rsidRDefault="00000000">
            <w:pPr>
              <w:bidi/>
              <w:spacing w:before="120"/>
              <w:rPr>
                <w:rtl/>
              </w:rPr>
            </w:pPr>
            <w:r>
              <w:rPr>
                <w:rFonts w:ascii="David" w:hAnsi="David" w:cs="David"/>
                <w:sz w:val="28"/>
                <w:szCs w:val="28"/>
                <w:rtl/>
              </w:rPr>
              <w:t xml:space="preserve">1. </w:t>
            </w:r>
            <w:r>
              <w:rPr>
                <w:rStyle w:val="f2dinim"/>
                <w:rFonts w:ascii="David" w:hAnsi="David" w:cs="David"/>
                <w:sz w:val="28"/>
                <w:szCs w:val="28"/>
                <w:rtl/>
              </w:rPr>
              <w:t>יוסי רקח</w:t>
            </w:r>
            <w:r>
              <w:rPr>
                <w:rFonts w:ascii="David" w:hAnsi="David" w:cs="David"/>
                <w:sz w:val="28"/>
                <w:szCs w:val="28"/>
                <w:rtl/>
              </w:rPr>
              <w:t xml:space="preserve"> </w:t>
            </w:r>
          </w:p>
          <w:p w14:paraId="7A9900D1" w14:textId="77777777" w:rsidR="00000000" w:rsidRDefault="00000000">
            <w:pPr>
              <w:bidi/>
              <w:spacing w:before="120"/>
              <w:rPr>
                <w:rtl/>
              </w:rPr>
            </w:pPr>
            <w:r>
              <w:rPr>
                <w:rFonts w:ascii="David" w:hAnsi="David" w:cs="David"/>
                <w:sz w:val="28"/>
                <w:szCs w:val="28"/>
                <w:rtl/>
              </w:rPr>
              <w:t xml:space="preserve">2. </w:t>
            </w:r>
            <w:r>
              <w:rPr>
                <w:rStyle w:val="f2dinim"/>
                <w:rFonts w:ascii="David" w:hAnsi="David" w:cs="David"/>
                <w:sz w:val="28"/>
                <w:szCs w:val="28"/>
                <w:rtl/>
              </w:rPr>
              <w:t>יוסי רקח ליווי וניהול בע"מ</w:t>
            </w:r>
            <w:r>
              <w:rPr>
                <w:rFonts w:ascii="David" w:hAnsi="David" w:cs="David"/>
                <w:sz w:val="28"/>
                <w:szCs w:val="28"/>
                <w:rtl/>
              </w:rPr>
              <w:t xml:space="preserve"> </w:t>
            </w:r>
          </w:p>
          <w:p w14:paraId="5AC13DF9" w14:textId="77777777" w:rsidR="00000000" w:rsidRDefault="00000000">
            <w:pPr>
              <w:bidi/>
              <w:spacing w:before="120"/>
              <w:rPr>
                <w:rtl/>
              </w:rPr>
            </w:pPr>
            <w:r>
              <w:rPr>
                <w:rFonts w:ascii="David" w:hAnsi="David" w:cs="David"/>
                <w:sz w:val="28"/>
                <w:szCs w:val="28"/>
                <w:rtl/>
              </w:rPr>
              <w:t xml:space="preserve">ע"י ב"כ </w:t>
            </w:r>
            <w:r>
              <w:rPr>
                <w:rStyle w:val="f42dinim"/>
                <w:rFonts w:ascii="David" w:hAnsi="David" w:cs="David"/>
                <w:sz w:val="28"/>
                <w:szCs w:val="28"/>
                <w:rtl/>
              </w:rPr>
              <w:t>עוה"ד יוסי עבאדי</w:t>
            </w:r>
          </w:p>
        </w:tc>
      </w:tr>
      <w:tr w:rsidR="00000000" w14:paraId="07E09A77" w14:textId="77777777">
        <w:trPr>
          <w:jc w:val="center"/>
        </w:trPr>
        <w:tc>
          <w:tcPr>
            <w:tcW w:w="8820" w:type="dxa"/>
            <w:gridSpan w:val="2"/>
            <w:tcMar>
              <w:top w:w="0" w:type="dxa"/>
              <w:left w:w="108" w:type="dxa"/>
              <w:bottom w:w="0" w:type="dxa"/>
              <w:right w:w="108" w:type="dxa"/>
            </w:tcMar>
            <w:hideMark/>
          </w:tcPr>
          <w:p w14:paraId="5CE7E0EF" w14:textId="77777777" w:rsidR="00000000" w:rsidRDefault="00000000">
            <w:pPr>
              <w:bidi/>
              <w:rPr>
                <w:rtl/>
              </w:rPr>
            </w:pPr>
            <w:r>
              <w:rPr>
                <w:rFonts w:ascii="David" w:hAnsi="David" w:cs="David"/>
                <w:sz w:val="28"/>
                <w:szCs w:val="28"/>
                <w:rtl/>
              </w:rPr>
              <w:t> </w:t>
            </w:r>
          </w:p>
          <w:p w14:paraId="46AD2B7B" w14:textId="77777777" w:rsidR="00000000" w:rsidRDefault="00000000">
            <w:pPr>
              <w:bidi/>
              <w:jc w:val="center"/>
              <w:rPr>
                <w:rtl/>
              </w:rPr>
            </w:pPr>
            <w:r>
              <w:rPr>
                <w:rStyle w:val="f2ndinim"/>
                <w:rFonts w:ascii="David" w:hAnsi="David" w:cs="David"/>
                <w:sz w:val="28"/>
                <w:szCs w:val="28"/>
                <w:rtl/>
              </w:rPr>
              <w:t>נגד</w:t>
            </w:r>
          </w:p>
          <w:p w14:paraId="7C69F4C8" w14:textId="77777777" w:rsidR="00000000" w:rsidRDefault="00000000">
            <w:pPr>
              <w:bidi/>
              <w:rPr>
                <w:rtl/>
              </w:rPr>
            </w:pPr>
            <w:r>
              <w:rPr>
                <w:rFonts w:ascii="David" w:hAnsi="David" w:cs="David"/>
                <w:sz w:val="28"/>
                <w:szCs w:val="28"/>
              </w:rPr>
              <w:t> </w:t>
            </w:r>
          </w:p>
        </w:tc>
      </w:tr>
      <w:tr w:rsidR="00000000" w14:paraId="468246B4" w14:textId="77777777">
        <w:trPr>
          <w:jc w:val="center"/>
        </w:trPr>
        <w:tc>
          <w:tcPr>
            <w:tcW w:w="3249" w:type="dxa"/>
            <w:tcMar>
              <w:top w:w="0" w:type="dxa"/>
              <w:left w:w="108" w:type="dxa"/>
              <w:bottom w:w="0" w:type="dxa"/>
              <w:right w:w="108" w:type="dxa"/>
            </w:tcMar>
            <w:hideMark/>
          </w:tcPr>
          <w:p w14:paraId="4E9279CE" w14:textId="77777777" w:rsidR="00000000" w:rsidRDefault="00000000">
            <w:pPr>
              <w:bidi/>
              <w:rPr>
                <w:rtl/>
              </w:rPr>
            </w:pPr>
            <w:r>
              <w:rPr>
                <w:rFonts w:ascii="David" w:hAnsi="David" w:cs="David"/>
                <w:sz w:val="28"/>
                <w:szCs w:val="28"/>
                <w:rtl/>
              </w:rPr>
              <w:t>המשיב:</w:t>
            </w:r>
          </w:p>
        </w:tc>
        <w:tc>
          <w:tcPr>
            <w:tcW w:w="5571" w:type="dxa"/>
            <w:tcMar>
              <w:top w:w="0" w:type="dxa"/>
              <w:left w:w="108" w:type="dxa"/>
              <w:bottom w:w="0" w:type="dxa"/>
              <w:right w:w="108" w:type="dxa"/>
            </w:tcMar>
            <w:hideMark/>
          </w:tcPr>
          <w:p w14:paraId="6457C4FA" w14:textId="77777777" w:rsidR="00000000" w:rsidRDefault="00000000">
            <w:pPr>
              <w:bidi/>
              <w:spacing w:before="120"/>
              <w:rPr>
                <w:rtl/>
              </w:rPr>
            </w:pPr>
            <w:r>
              <w:rPr>
                <w:rFonts w:ascii="David" w:hAnsi="David" w:cs="David"/>
                <w:sz w:val="28"/>
                <w:szCs w:val="28"/>
                <w:rtl/>
              </w:rPr>
              <w:t> </w:t>
            </w:r>
            <w:r>
              <w:rPr>
                <w:rStyle w:val="f3dinim"/>
                <w:rFonts w:ascii="David" w:hAnsi="David" w:cs="David"/>
                <w:sz w:val="28"/>
                <w:szCs w:val="28"/>
                <w:rtl/>
              </w:rPr>
              <w:t>עופר מימון</w:t>
            </w:r>
            <w:r>
              <w:rPr>
                <w:rFonts w:ascii="David" w:hAnsi="David" w:cs="David"/>
                <w:sz w:val="28"/>
                <w:szCs w:val="28"/>
                <w:rtl/>
              </w:rPr>
              <w:t xml:space="preserve"> </w:t>
            </w:r>
          </w:p>
          <w:p w14:paraId="162C8F4D" w14:textId="77777777" w:rsidR="00000000" w:rsidRDefault="00000000">
            <w:pPr>
              <w:bidi/>
              <w:spacing w:before="120"/>
              <w:rPr>
                <w:rtl/>
              </w:rPr>
            </w:pPr>
            <w:r>
              <w:rPr>
                <w:rFonts w:ascii="David" w:hAnsi="David" w:cs="David"/>
                <w:sz w:val="28"/>
                <w:szCs w:val="28"/>
                <w:rtl/>
              </w:rPr>
              <w:t xml:space="preserve">ע"י ב"כ </w:t>
            </w:r>
            <w:r>
              <w:rPr>
                <w:rStyle w:val="f43dinim"/>
                <w:rFonts w:ascii="David" w:hAnsi="David" w:cs="David"/>
                <w:sz w:val="28"/>
                <w:szCs w:val="28"/>
                <w:rtl/>
              </w:rPr>
              <w:t xml:space="preserve">עוה"ד שלומי וינברג </w:t>
            </w:r>
          </w:p>
        </w:tc>
      </w:tr>
      <w:tr w:rsidR="00000000" w14:paraId="244F57B2" w14:textId="77777777">
        <w:trPr>
          <w:jc w:val="center"/>
        </w:trPr>
        <w:tc>
          <w:tcPr>
            <w:tcW w:w="8820" w:type="dxa"/>
            <w:gridSpan w:val="2"/>
            <w:tcMar>
              <w:top w:w="0" w:type="dxa"/>
              <w:left w:w="108" w:type="dxa"/>
              <w:bottom w:w="0" w:type="dxa"/>
              <w:right w:w="108" w:type="dxa"/>
            </w:tcMar>
            <w:hideMark/>
          </w:tcPr>
          <w:p w14:paraId="0EDF370B" w14:textId="77777777" w:rsidR="00000000" w:rsidRDefault="00000000">
            <w:pPr>
              <w:bidi/>
              <w:rPr>
                <w:rtl/>
              </w:rPr>
            </w:pPr>
            <w:r>
              <w:rPr>
                <w:rFonts w:ascii="David" w:hAnsi="David" w:cs="David"/>
                <w:sz w:val="28"/>
                <w:szCs w:val="28"/>
                <w:rtl/>
              </w:rPr>
              <w:t> </w:t>
            </w:r>
          </w:p>
        </w:tc>
      </w:tr>
      <w:tr w:rsidR="00000000" w14:paraId="09414201" w14:textId="77777777">
        <w:trPr>
          <w:jc w:val="center"/>
        </w:trPr>
        <w:tc>
          <w:tcPr>
            <w:tcW w:w="8820" w:type="dxa"/>
            <w:gridSpan w:val="2"/>
            <w:tcMar>
              <w:top w:w="0" w:type="dxa"/>
              <w:left w:w="108" w:type="dxa"/>
              <w:bottom w:w="0" w:type="dxa"/>
              <w:right w:w="108" w:type="dxa"/>
            </w:tcMar>
            <w:hideMark/>
          </w:tcPr>
          <w:p w14:paraId="12E41212" w14:textId="77777777" w:rsidR="00000000" w:rsidRDefault="00000000">
            <w:pPr>
              <w:bidi/>
              <w:jc w:val="center"/>
              <w:rPr>
                <w:rtl/>
              </w:rPr>
            </w:pPr>
            <w:r>
              <w:rPr>
                <w:rFonts w:ascii="David" w:hAnsi="David" w:cs="David"/>
                <w:sz w:val="28"/>
                <w:szCs w:val="28"/>
              </w:rPr>
              <w:t> </w:t>
            </w:r>
          </w:p>
          <w:p w14:paraId="5295FE2D" w14:textId="77777777" w:rsidR="00000000" w:rsidRDefault="00000000">
            <w:pPr>
              <w:bidi/>
              <w:jc w:val="center"/>
              <w:rPr>
                <w:rtl/>
              </w:rPr>
            </w:pPr>
            <w:r>
              <w:rPr>
                <w:rFonts w:ascii="David" w:hAnsi="David" w:cs="David"/>
                <w:sz w:val="28"/>
                <w:szCs w:val="28"/>
                <w:rtl/>
              </w:rPr>
              <w:t> </w:t>
            </w:r>
          </w:p>
          <w:p w14:paraId="5F44E2AE" w14:textId="77777777" w:rsidR="00000000" w:rsidRDefault="00000000">
            <w:pPr>
              <w:bidi/>
              <w:jc w:val="center"/>
              <w:rPr>
                <w:rtl/>
              </w:rPr>
            </w:pPr>
            <w:r>
              <w:rPr>
                <w:rStyle w:val="f13hdinim"/>
                <w:rFonts w:ascii="David" w:hAnsi="David" w:cs="David"/>
                <w:b/>
                <w:bCs/>
                <w:sz w:val="28"/>
                <w:szCs w:val="28"/>
                <w:u w:val="single"/>
                <w:rtl/>
              </w:rPr>
              <w:t>פסק דין</w:t>
            </w:r>
          </w:p>
          <w:p w14:paraId="70B92159" w14:textId="77777777" w:rsidR="00000000" w:rsidRDefault="00000000">
            <w:pPr>
              <w:bidi/>
              <w:jc w:val="center"/>
              <w:rPr>
                <w:rtl/>
              </w:rPr>
            </w:pPr>
            <w:r>
              <w:rPr>
                <w:rFonts w:ascii="David" w:hAnsi="David" w:cs="David"/>
                <w:b/>
                <w:bCs/>
                <w:sz w:val="28"/>
                <w:szCs w:val="28"/>
              </w:rPr>
              <w:t> </w:t>
            </w:r>
          </w:p>
        </w:tc>
      </w:tr>
    </w:tbl>
    <w:p w14:paraId="278DDEC8" w14:textId="77777777" w:rsidR="00000000" w:rsidRDefault="00000000">
      <w:pPr>
        <w:bidi/>
        <w:spacing w:line="360" w:lineRule="auto"/>
        <w:jc w:val="both"/>
        <w:rPr>
          <w:rtl/>
        </w:rPr>
      </w:pPr>
      <w:bookmarkStart w:id="0" w:name="ngcsbookmark"/>
      <w:bookmarkEnd w:id="0"/>
      <w:r>
        <w:rPr>
          <w:rFonts w:ascii="David" w:hAnsi="David" w:cs="David"/>
          <w:sz w:val="28"/>
          <w:szCs w:val="28"/>
          <w:rtl/>
        </w:rPr>
        <w:t> </w:t>
      </w:r>
    </w:p>
    <w:p w14:paraId="08A85DE6" w14:textId="77777777" w:rsidR="00000000" w:rsidRDefault="00000000">
      <w:pPr>
        <w:pStyle w:val="ab"/>
        <w:spacing w:after="240" w:line="360" w:lineRule="auto"/>
        <w:ind w:left="454" w:hanging="454"/>
        <w:jc w:val="both"/>
        <w:rPr>
          <w:rtl/>
        </w:rPr>
      </w:pPr>
      <w:r>
        <w:rPr>
          <w:rFonts w:ascii="David" w:hAnsi="David" w:cs="David"/>
          <w:sz w:val="28"/>
          <w:szCs w:val="28"/>
          <w:rtl/>
        </w:rPr>
        <w:t>1.</w:t>
      </w:r>
      <w:r>
        <w:rPr>
          <w:sz w:val="14"/>
          <w:szCs w:val="14"/>
          <w:rtl/>
        </w:rPr>
        <w:t xml:space="preserve">  </w:t>
      </w:r>
      <w:r>
        <w:rPr>
          <w:rFonts w:ascii="David" w:hAnsi="David" w:cs="David"/>
          <w:sz w:val="28"/>
          <w:szCs w:val="28"/>
          <w:rtl/>
        </w:rPr>
        <w:t xml:space="preserve">ערעור על פסק דינו של בית משפט השלום באשדוד (כב' השופט יהודה ליבליין) מיום 28.7.2025, במסגרתו נדחתה תביעת המערערים לפיצויים, על פי חוק איסור לשון הרע, התשכ"ה-1965 (להלן: "חוק איסור לשון הרע"), בשל פרסום שעשה והפיץ המשיב בקרב תושבי המועצה האזורית אשכול, במהלך מערכת בחירות לרשויות המקומיות, בשנת 2023, בה התמודד המשיב כמועמד לראשות המועצה האזורית. </w:t>
      </w:r>
    </w:p>
    <w:p w14:paraId="3E26FFB8" w14:textId="77777777" w:rsidR="00000000" w:rsidRDefault="00000000">
      <w:pPr>
        <w:pStyle w:val="ab"/>
        <w:spacing w:after="240" w:line="360" w:lineRule="auto"/>
        <w:ind w:left="454"/>
        <w:jc w:val="both"/>
        <w:rPr>
          <w:rtl/>
        </w:rPr>
      </w:pPr>
      <w:r>
        <w:rPr>
          <w:rFonts w:ascii="David" w:hAnsi="David" w:cs="David"/>
          <w:sz w:val="28"/>
          <w:szCs w:val="28"/>
          <w:u w:val="single"/>
          <w:rtl/>
        </w:rPr>
        <w:t>רקע עובדתי ודיוני</w:t>
      </w:r>
    </w:p>
    <w:p w14:paraId="792D1466" w14:textId="77777777" w:rsidR="00000000" w:rsidRDefault="00000000">
      <w:pPr>
        <w:pStyle w:val="ab"/>
        <w:spacing w:after="240" w:line="360" w:lineRule="auto"/>
        <w:ind w:left="454" w:hanging="454"/>
        <w:jc w:val="both"/>
        <w:rPr>
          <w:rtl/>
        </w:rPr>
      </w:pPr>
      <w:r>
        <w:rPr>
          <w:rFonts w:ascii="David" w:hAnsi="David" w:cs="David"/>
          <w:sz w:val="28"/>
          <w:szCs w:val="28"/>
          <w:rtl/>
        </w:rPr>
        <w:t>2.</w:t>
      </w:r>
      <w:r>
        <w:rPr>
          <w:sz w:val="14"/>
          <w:szCs w:val="14"/>
          <w:rtl/>
        </w:rPr>
        <w:t xml:space="preserve">  </w:t>
      </w:r>
      <w:r>
        <w:rPr>
          <w:rFonts w:ascii="David" w:hAnsi="David" w:cs="David"/>
          <w:sz w:val="28"/>
          <w:szCs w:val="28"/>
          <w:rtl/>
        </w:rPr>
        <w:t xml:space="preserve">המערער 1 (לשם הנוחות, להלן: "המערער") עוסק במתן שירותי ניהול וליווי פיננסי באמצעות חברה שבבעלותו, המערערת 2. המערער זכה במכרז לניהול פרויקט שיזמה המועצה האזורית אשכול (להלן: "המועצה") שעניינו טיפול בפסולת אורגנית לייצור חשמל וביום 21.11.2019 נחתם הסכם ניהול בין המערער ובין החברה הכלכלית של המועצה במסגרתו נקבעו התנאים להתקשרות. </w:t>
      </w:r>
    </w:p>
    <w:p w14:paraId="51749619" w14:textId="77777777" w:rsidR="00000000" w:rsidRDefault="00000000">
      <w:pPr>
        <w:pStyle w:val="ab"/>
        <w:spacing w:after="240" w:line="360" w:lineRule="auto"/>
        <w:ind w:left="454" w:hanging="454"/>
        <w:jc w:val="both"/>
        <w:rPr>
          <w:rtl/>
        </w:rPr>
      </w:pPr>
      <w:r>
        <w:rPr>
          <w:rFonts w:ascii="David" w:hAnsi="David" w:cs="David"/>
          <w:sz w:val="28"/>
          <w:szCs w:val="28"/>
          <w:rtl/>
        </w:rPr>
        <w:t>3.</w:t>
      </w:r>
      <w:r>
        <w:rPr>
          <w:sz w:val="14"/>
          <w:szCs w:val="14"/>
          <w:rtl/>
        </w:rPr>
        <w:t xml:space="preserve">  </w:t>
      </w:r>
      <w:r>
        <w:rPr>
          <w:rFonts w:ascii="David" w:hAnsi="David" w:cs="David"/>
          <w:sz w:val="28"/>
          <w:szCs w:val="28"/>
          <w:rtl/>
        </w:rPr>
        <w:t xml:space="preserve">המשיב הוא עורך דין בהכשרתו, ניהל את החברה הכלכלית במועצה מ- 5/2017 ועד 10/2022 ולקראת הבחירות לרשויות המקומיות ולמועצות האזוריות אשר אמורות היו להתקיים ביום 31.10.2023 הציג מועמדותו לראשות המועצה. </w:t>
      </w:r>
    </w:p>
    <w:p w14:paraId="00AF1F78" w14:textId="77777777" w:rsidR="00000000" w:rsidRDefault="00000000">
      <w:pPr>
        <w:pStyle w:val="ab"/>
        <w:spacing w:after="240" w:line="360" w:lineRule="auto"/>
        <w:ind w:left="454" w:hanging="454"/>
        <w:jc w:val="both"/>
        <w:rPr>
          <w:rtl/>
        </w:rPr>
      </w:pPr>
      <w:r>
        <w:rPr>
          <w:rFonts w:ascii="David" w:hAnsi="David" w:cs="David"/>
          <w:sz w:val="28"/>
          <w:szCs w:val="28"/>
          <w:rtl/>
        </w:rPr>
        <w:lastRenderedPageBreak/>
        <w:t>4.</w:t>
      </w:r>
      <w:r>
        <w:rPr>
          <w:sz w:val="14"/>
          <w:szCs w:val="14"/>
          <w:rtl/>
        </w:rPr>
        <w:t xml:space="preserve">  </w:t>
      </w:r>
      <w:r>
        <w:rPr>
          <w:rFonts w:ascii="David" w:hAnsi="David" w:cs="David"/>
          <w:sz w:val="28"/>
          <w:szCs w:val="28"/>
          <w:rtl/>
        </w:rPr>
        <w:t xml:space="preserve">במסגרת קמפיין הבחירות לראשות המועצה, פרסם המשיב בחודש אפריל 2023 איגרת בחירות בת 4 עמודים אשר הופצה על ידו בקרב תושבי המועצה הן בתיבות הדואר והן במסגרת חוגי בית שערך. </w:t>
      </w:r>
    </w:p>
    <w:p w14:paraId="5956DEA9" w14:textId="77777777" w:rsidR="00000000" w:rsidRDefault="00000000">
      <w:pPr>
        <w:pStyle w:val="ab"/>
        <w:spacing w:after="360" w:line="360" w:lineRule="auto"/>
        <w:ind w:left="454" w:hanging="454"/>
        <w:jc w:val="both"/>
        <w:rPr>
          <w:rtl/>
        </w:rPr>
      </w:pPr>
      <w:r>
        <w:rPr>
          <w:rFonts w:ascii="David" w:hAnsi="David" w:cs="David"/>
          <w:sz w:val="28"/>
          <w:szCs w:val="28"/>
          <w:rtl/>
        </w:rPr>
        <w:t>5.</w:t>
      </w:r>
      <w:r>
        <w:rPr>
          <w:sz w:val="14"/>
          <w:szCs w:val="14"/>
          <w:rtl/>
        </w:rPr>
        <w:t xml:space="preserve">  </w:t>
      </w:r>
      <w:r>
        <w:rPr>
          <w:rFonts w:ascii="David" w:hAnsi="David" w:cs="David"/>
          <w:sz w:val="28"/>
          <w:szCs w:val="28"/>
          <w:rtl/>
        </w:rPr>
        <w:t xml:space="preserve">הפרסום בגינו הוגשה התביעה מצוי במחציתו התחתון של העמוד הראשון לאיגרת הבחירות: </w:t>
      </w:r>
      <w:r>
        <w:rPr>
          <w:rFonts w:ascii="David" w:hAnsi="David" w:cs="David"/>
          <w:noProof/>
          <w:sz w:val="28"/>
          <w:szCs w:val="28"/>
        </w:rPr>
        <w:drawing>
          <wp:inline distT="0" distB="0" distL="0" distR="0" wp14:anchorId="37E788D9" wp14:editId="4879B896">
            <wp:extent cx="5105400" cy="2828925"/>
            <wp:effectExtent l="0" t="0" r="0"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5105400" cy="2828925"/>
                    </a:xfrm>
                    <a:prstGeom prst="rect">
                      <a:avLst/>
                    </a:prstGeom>
                    <a:noFill/>
                    <a:ln>
                      <a:noFill/>
                    </a:ln>
                  </pic:spPr>
                </pic:pic>
              </a:graphicData>
            </a:graphic>
          </wp:inline>
        </w:drawing>
      </w:r>
    </w:p>
    <w:p w14:paraId="74A8EFB4" w14:textId="77777777" w:rsidR="00000000" w:rsidRDefault="00000000">
      <w:pPr>
        <w:pStyle w:val="ab"/>
        <w:spacing w:before="240" w:after="240" w:line="360" w:lineRule="auto"/>
        <w:ind w:left="454" w:hanging="454"/>
        <w:jc w:val="both"/>
        <w:rPr>
          <w:rtl/>
        </w:rPr>
      </w:pPr>
      <w:r>
        <w:rPr>
          <w:rFonts w:ascii="David" w:hAnsi="David" w:cs="David"/>
          <w:sz w:val="28"/>
          <w:szCs w:val="28"/>
          <w:rtl/>
        </w:rPr>
        <w:t>6.</w:t>
      </w:r>
      <w:r>
        <w:rPr>
          <w:sz w:val="14"/>
          <w:szCs w:val="14"/>
          <w:rtl/>
        </w:rPr>
        <w:t xml:space="preserve">  </w:t>
      </w:r>
      <w:r>
        <w:rPr>
          <w:rFonts w:ascii="David" w:hAnsi="David" w:cs="David"/>
          <w:sz w:val="28"/>
          <w:szCs w:val="28"/>
          <w:rtl/>
        </w:rPr>
        <w:t>המערערים הגישו נגד המשיב תובענה לפיצויים בגין לשון הרע. על פי הנטען בתביעה, באגרת הבחירות ששלח המשיב נאמר שהמערער קיבל כספים מהמועצה ומהחברה הכלכלית שלה מבלי שסיפק שירות כלשהו</w:t>
      </w:r>
      <w:r>
        <w:rPr>
          <w:rFonts w:ascii="David" w:hAnsi="David" w:cs="David"/>
          <w:sz w:val="28"/>
          <w:szCs w:val="28"/>
        </w:rPr>
        <w:t>.</w:t>
      </w:r>
      <w:r>
        <w:rPr>
          <w:rFonts w:ascii="David" w:hAnsi="David" w:cs="David"/>
          <w:sz w:val="28"/>
          <w:szCs w:val="28"/>
          <w:rtl/>
        </w:rPr>
        <w:t xml:space="preserve"> כן נטען בתביעה כי הפרסום באיגרת האמורה ייחס למערער מעשים העולים כדי שחיתות ואף פלילים, בכך שבזכות קשרי חברות עם מר גדי ירקוני, ראש המועצה בתקופה הרלוונטית, קיבל כספי ציבור, עבור שירות אותו אמור היה לספק, אלא שבפועל הוא לא ניתן. </w:t>
      </w:r>
    </w:p>
    <w:p w14:paraId="1000D0CB" w14:textId="77777777" w:rsidR="00000000" w:rsidRDefault="00000000">
      <w:pPr>
        <w:pStyle w:val="ab"/>
        <w:spacing w:after="240" w:line="360" w:lineRule="auto"/>
        <w:ind w:left="454" w:hanging="454"/>
        <w:jc w:val="both"/>
        <w:rPr>
          <w:rtl/>
        </w:rPr>
      </w:pPr>
      <w:r>
        <w:rPr>
          <w:rFonts w:ascii="David" w:hAnsi="David" w:cs="David"/>
          <w:sz w:val="28"/>
          <w:szCs w:val="28"/>
          <w:rtl/>
        </w:rPr>
        <w:t>7.</w:t>
      </w:r>
      <w:r>
        <w:rPr>
          <w:sz w:val="14"/>
          <w:szCs w:val="14"/>
          <w:rtl/>
        </w:rPr>
        <w:t xml:space="preserve">  </w:t>
      </w:r>
      <w:r>
        <w:rPr>
          <w:rFonts w:ascii="David" w:hAnsi="David" w:cs="David"/>
          <w:sz w:val="28"/>
          <w:szCs w:val="28"/>
          <w:rtl/>
        </w:rPr>
        <w:t>כך נטען בתביעה, כי מדובר בפרסום שקרי שנעשה בחוסר תום לב ובכוונה לפגוע במערער, ואשר השפיל וביזה אותו וגרם נזק למוניטין שצבר.</w:t>
      </w:r>
    </w:p>
    <w:p w14:paraId="0A56ADBA" w14:textId="77777777" w:rsidR="00000000" w:rsidRDefault="00000000">
      <w:pPr>
        <w:pStyle w:val="ab"/>
        <w:spacing w:after="240" w:line="360" w:lineRule="auto"/>
        <w:ind w:left="454" w:hanging="454"/>
        <w:jc w:val="both"/>
        <w:rPr>
          <w:rtl/>
        </w:rPr>
      </w:pPr>
      <w:r>
        <w:rPr>
          <w:rFonts w:ascii="David" w:hAnsi="David" w:cs="David"/>
          <w:sz w:val="28"/>
          <w:szCs w:val="28"/>
          <w:rtl/>
        </w:rPr>
        <w:t>8.</w:t>
      </w:r>
      <w:r>
        <w:rPr>
          <w:sz w:val="14"/>
          <w:szCs w:val="14"/>
          <w:rtl/>
        </w:rPr>
        <w:t xml:space="preserve">  </w:t>
      </w:r>
      <w:r>
        <w:rPr>
          <w:rFonts w:ascii="David" w:hAnsi="David" w:cs="David"/>
          <w:sz w:val="28"/>
          <w:szCs w:val="28"/>
          <w:rtl/>
        </w:rPr>
        <w:t xml:space="preserve">מנגד, טען המשיב כי באיגרת הבחירות - אותה הפיץ בקרב תושבי אשכול, אשר נועדה להציג את מועמדותו לראשות המועצה, כאלטרנטיבה לראש המועצה המכהן מר גדי ירקוני - הוא ביקש להציג ביקורת על התנהלות ראש המועצה המכהן. כדוגמא לכך הציג את עניינו של המערער, שנשכר לצורך מתן שירותי ניהול עבור פרויקט שקידמה המועצה, אלא שלא הייתה תועלת בשירותים שהעניק. </w:t>
      </w:r>
    </w:p>
    <w:p w14:paraId="3A5371F7" w14:textId="77777777" w:rsidR="00000000" w:rsidRDefault="00000000">
      <w:pPr>
        <w:pStyle w:val="ab"/>
        <w:spacing w:after="240" w:line="360" w:lineRule="auto"/>
        <w:ind w:left="454" w:hanging="454"/>
        <w:jc w:val="both"/>
        <w:rPr>
          <w:rtl/>
        </w:rPr>
      </w:pPr>
      <w:r>
        <w:rPr>
          <w:rFonts w:ascii="David" w:hAnsi="David" w:cs="David"/>
          <w:sz w:val="28"/>
          <w:szCs w:val="28"/>
          <w:rtl/>
        </w:rPr>
        <w:t>9.</w:t>
      </w:r>
      <w:r>
        <w:rPr>
          <w:sz w:val="14"/>
          <w:szCs w:val="14"/>
          <w:rtl/>
        </w:rPr>
        <w:t xml:space="preserve">  </w:t>
      </w:r>
      <w:r>
        <w:rPr>
          <w:rFonts w:ascii="David" w:hAnsi="David" w:cs="David"/>
          <w:sz w:val="28"/>
          <w:szCs w:val="28"/>
          <w:rtl/>
        </w:rPr>
        <w:t xml:space="preserve">לטענת המשיב, כל האמור על ידו באיגרת הבחירות הוא אמת ומהווה ביקורת ציבורית לגיטימית בקשר לעניין בעל משמעות ציבורית ועל כן אינו מהווה לשון הרע. </w:t>
      </w:r>
    </w:p>
    <w:p w14:paraId="2E47EFD1" w14:textId="77777777" w:rsidR="00000000" w:rsidRDefault="00000000">
      <w:pPr>
        <w:pStyle w:val="ab"/>
        <w:spacing w:after="240" w:line="360" w:lineRule="auto"/>
        <w:ind w:left="454" w:hanging="454"/>
        <w:jc w:val="both"/>
        <w:rPr>
          <w:rtl/>
        </w:rPr>
      </w:pPr>
      <w:r>
        <w:rPr>
          <w:rFonts w:ascii="David" w:hAnsi="David" w:cs="David"/>
          <w:sz w:val="28"/>
          <w:szCs w:val="28"/>
          <w:rtl/>
        </w:rPr>
        <w:t>10.</w:t>
      </w:r>
      <w:r>
        <w:rPr>
          <w:sz w:val="14"/>
          <w:szCs w:val="14"/>
          <w:rtl/>
        </w:rPr>
        <w:t xml:space="preserve">  </w:t>
      </w:r>
      <w:r>
        <w:rPr>
          <w:rFonts w:ascii="David" w:hAnsi="David" w:cs="David"/>
          <w:sz w:val="28"/>
          <w:szCs w:val="28"/>
          <w:rtl/>
        </w:rPr>
        <w:t xml:space="preserve">בנוסף נטען, כי עומדות למשיב ההגנות הקבועות בחוק איסור לשון הרע: הגנת אמת הפרסום, לפי סעיף 14 לחוק וכן הגנת הפרסום בתום לב שיש בו הבעת דעה בקשר לעניין ציבורי, לפי סעיף 15(4) לחוק. </w:t>
      </w:r>
    </w:p>
    <w:p w14:paraId="18C7EBA9" w14:textId="77777777" w:rsidR="00000000" w:rsidRDefault="00000000">
      <w:pPr>
        <w:pStyle w:val="ab"/>
        <w:spacing w:after="360" w:line="360" w:lineRule="auto"/>
        <w:ind w:left="454" w:hanging="454"/>
        <w:jc w:val="both"/>
        <w:rPr>
          <w:rtl/>
        </w:rPr>
      </w:pPr>
      <w:r>
        <w:rPr>
          <w:rFonts w:ascii="David" w:hAnsi="David" w:cs="David"/>
          <w:sz w:val="28"/>
          <w:szCs w:val="28"/>
          <w:rtl/>
        </w:rPr>
        <w:t>11.</w:t>
      </w:r>
      <w:r>
        <w:rPr>
          <w:sz w:val="14"/>
          <w:szCs w:val="14"/>
          <w:rtl/>
        </w:rPr>
        <w:t xml:space="preserve">  </w:t>
      </w:r>
      <w:r>
        <w:rPr>
          <w:rFonts w:ascii="David" w:hAnsi="David" w:cs="David"/>
          <w:sz w:val="28"/>
          <w:szCs w:val="28"/>
          <w:rtl/>
        </w:rPr>
        <w:t>בהליך שהתנהל, הצדדים הגישו את ראיותיהם באמצעות תצהירי עדות ראשית של הצדדים עצמם וכן של העדים מטעמם, ואלה נחקרו על תצהיריהם וכן זומנו עדים נוספים למתן עדות בבית המשפט. בהעדר הסכמה לסיום ההליך בפשרה ובשים לב לסירובו של המשיב להתנצל על הדברים, הוגשו סיכומי טענות הצדדים וניתנה הכרעה בפסק דין.</w:t>
      </w:r>
    </w:p>
    <w:p w14:paraId="48A877DA" w14:textId="77777777" w:rsidR="00000000" w:rsidRDefault="00000000">
      <w:pPr>
        <w:pStyle w:val="ab"/>
        <w:spacing w:before="120" w:after="240" w:line="360" w:lineRule="auto"/>
        <w:ind w:left="454"/>
        <w:jc w:val="both"/>
        <w:rPr>
          <w:rtl/>
        </w:rPr>
      </w:pPr>
      <w:r>
        <w:rPr>
          <w:rFonts w:ascii="David" w:hAnsi="David" w:cs="David"/>
          <w:sz w:val="28"/>
          <w:szCs w:val="28"/>
          <w:u w:val="single"/>
          <w:rtl/>
        </w:rPr>
        <w:t>פסק דינו של בית משפט קמא</w:t>
      </w:r>
    </w:p>
    <w:p w14:paraId="020ACEA6" w14:textId="77777777" w:rsidR="00000000" w:rsidRDefault="00000000">
      <w:pPr>
        <w:pStyle w:val="ab"/>
        <w:spacing w:after="240" w:line="360" w:lineRule="auto"/>
        <w:ind w:left="454" w:hanging="454"/>
        <w:jc w:val="both"/>
        <w:rPr>
          <w:rtl/>
        </w:rPr>
      </w:pPr>
      <w:r>
        <w:rPr>
          <w:rFonts w:ascii="David" w:hAnsi="David" w:cs="David"/>
          <w:sz w:val="28"/>
          <w:szCs w:val="28"/>
          <w:rtl/>
        </w:rPr>
        <w:t>12.</w:t>
      </w:r>
      <w:r>
        <w:rPr>
          <w:sz w:val="14"/>
          <w:szCs w:val="14"/>
          <w:rtl/>
        </w:rPr>
        <w:t xml:space="preserve">  </w:t>
      </w:r>
      <w:r>
        <w:rPr>
          <w:rFonts w:ascii="David" w:hAnsi="David" w:cs="David"/>
          <w:sz w:val="28"/>
          <w:szCs w:val="28"/>
          <w:rtl/>
        </w:rPr>
        <w:t xml:space="preserve">בפסק הדין נשוא הערעור קבע בית המשפט כי בחינה אובייקטיבית של הביטויים באיגרת מובילה למסקנה כי אלו אינם עולים כדי לשון הרע, אלא מהווים הבעת דעה ביקורתית בעניין ציבורי ועל כן אינם מצדיקים הטלת חבות בגינם. </w:t>
      </w:r>
    </w:p>
    <w:p w14:paraId="73A671B8" w14:textId="77777777" w:rsidR="00000000" w:rsidRDefault="00000000">
      <w:pPr>
        <w:pStyle w:val="ab"/>
        <w:spacing w:after="240" w:line="360" w:lineRule="auto"/>
        <w:ind w:left="454" w:hanging="454"/>
        <w:jc w:val="both"/>
        <w:rPr>
          <w:rtl/>
        </w:rPr>
      </w:pPr>
      <w:r>
        <w:rPr>
          <w:rFonts w:ascii="David" w:hAnsi="David" w:cs="David"/>
          <w:sz w:val="28"/>
          <w:szCs w:val="28"/>
          <w:rtl/>
        </w:rPr>
        <w:t>13.</w:t>
      </w:r>
      <w:r>
        <w:rPr>
          <w:sz w:val="14"/>
          <w:szCs w:val="14"/>
          <w:rtl/>
        </w:rPr>
        <w:t xml:space="preserve">  </w:t>
      </w:r>
      <w:r>
        <w:rPr>
          <w:rFonts w:ascii="David" w:hAnsi="David" w:cs="David"/>
          <w:sz w:val="28"/>
          <w:szCs w:val="28"/>
          <w:rtl/>
        </w:rPr>
        <w:t xml:space="preserve">בית המשפט בחן את נסיבות פרסום האיגרת ואת משמעות הביטויים הנטענים בה וקבע כי איגרת הבחירות של המשיב מציגה ביקורת אישית, גם אם חריפה, על ההתנהלות של הנהלת המועצה האזורית אשכול, אשר בחרה להמשיך ולהעסיק את המערער, אף שלהשקפתו של המשיב כמנכ"ל החברה הכלכלית באותה עת, אין כל תועלת בשירות הניתן על ידו. </w:t>
      </w:r>
    </w:p>
    <w:p w14:paraId="5365A19F" w14:textId="77777777" w:rsidR="00000000" w:rsidRDefault="00000000">
      <w:pPr>
        <w:pStyle w:val="ab"/>
        <w:spacing w:after="240" w:line="360" w:lineRule="auto"/>
        <w:ind w:left="454" w:hanging="454"/>
        <w:jc w:val="both"/>
        <w:rPr>
          <w:rtl/>
        </w:rPr>
      </w:pPr>
      <w:r>
        <w:rPr>
          <w:rFonts w:ascii="David" w:hAnsi="David" w:cs="David"/>
          <w:sz w:val="28"/>
          <w:szCs w:val="28"/>
          <w:rtl/>
        </w:rPr>
        <w:t>14.</w:t>
      </w:r>
      <w:r>
        <w:rPr>
          <w:sz w:val="14"/>
          <w:szCs w:val="14"/>
          <w:rtl/>
        </w:rPr>
        <w:t xml:space="preserve">  </w:t>
      </w:r>
      <w:r>
        <w:rPr>
          <w:rFonts w:ascii="David" w:hAnsi="David" w:cs="David"/>
          <w:sz w:val="28"/>
          <w:szCs w:val="28"/>
          <w:rtl/>
        </w:rPr>
        <w:t xml:space="preserve">באשר להצגת שלוש החשבוניות שהוציא המערער לחברה הכלכלית כ"מקומטות", קבע בית המשפט כי התיאור שהיו "מקומטות" מיותר, אך אינו מהווה כשלעצמו לשון הרע. </w:t>
      </w:r>
    </w:p>
    <w:p w14:paraId="7CF63264" w14:textId="77777777" w:rsidR="00000000" w:rsidRDefault="00000000">
      <w:pPr>
        <w:pStyle w:val="ab"/>
        <w:spacing w:after="240" w:line="360" w:lineRule="auto"/>
        <w:ind w:left="454" w:hanging="454"/>
        <w:jc w:val="both"/>
        <w:rPr>
          <w:rtl/>
        </w:rPr>
      </w:pPr>
      <w:r>
        <w:rPr>
          <w:rFonts w:ascii="David" w:hAnsi="David" w:cs="David"/>
          <w:sz w:val="28"/>
          <w:szCs w:val="28"/>
          <w:rtl/>
        </w:rPr>
        <w:t>15.</w:t>
      </w:r>
      <w:r>
        <w:rPr>
          <w:sz w:val="14"/>
          <w:szCs w:val="14"/>
          <w:rtl/>
        </w:rPr>
        <w:t xml:space="preserve">  </w:t>
      </w:r>
      <w:r>
        <w:rPr>
          <w:rFonts w:ascii="David" w:hAnsi="David" w:cs="David"/>
          <w:sz w:val="28"/>
          <w:szCs w:val="28"/>
          <w:rtl/>
        </w:rPr>
        <w:t xml:space="preserve">באשר לביטויים "מה התועלת שהוא מספק עבור תשלום זה?" ובהמשך לכך "כלום פשוט כלום. 'יעוץ' וירטואלי שלא נדרש" קבע בית המשפט כי המשיב לא כותב כי לא ניתן כלל שירות תמורת הסכום ששולם למערער, אלא שהשירות שניתן, לא הפיק כלל תועלת. לפיכך, קבע בית המשפט כי מדובר במובהק בדעה אישית ביקורתית, היות ש"תועלת" אינה מדידה אלא ניתנת להערכה "בעיני המתבונן". </w:t>
      </w:r>
    </w:p>
    <w:p w14:paraId="0BF81A2C" w14:textId="77777777" w:rsidR="00000000" w:rsidRDefault="00000000">
      <w:pPr>
        <w:pStyle w:val="ab"/>
        <w:spacing w:after="240" w:line="360" w:lineRule="auto"/>
        <w:ind w:left="454" w:hanging="454"/>
        <w:jc w:val="both"/>
        <w:rPr>
          <w:rtl/>
        </w:rPr>
      </w:pPr>
      <w:r>
        <w:rPr>
          <w:rFonts w:ascii="David" w:hAnsi="David" w:cs="David"/>
          <w:sz w:val="28"/>
          <w:szCs w:val="28"/>
          <w:rtl/>
        </w:rPr>
        <w:t>16.</w:t>
      </w:r>
      <w:r>
        <w:rPr>
          <w:sz w:val="14"/>
          <w:szCs w:val="14"/>
          <w:rtl/>
        </w:rPr>
        <w:t xml:space="preserve">  </w:t>
      </w:r>
      <w:r>
        <w:rPr>
          <w:rFonts w:ascii="David" w:hAnsi="David" w:cs="David"/>
          <w:sz w:val="28"/>
          <w:szCs w:val="28"/>
          <w:rtl/>
        </w:rPr>
        <w:t>בית המשפט המשיך ובחן את הביטוי שיש בו לכאורה טענה חמורה לשחיתות ועניינו "לדאוג שהמועצה תעבוד למען הציבור, שכספי הציבור יוקדשו לצרכיו האמיתיים.." וקבע כי מדובר בעמדה ביקורתית מרומזת כלפי המועצה האזורית וכי עניינו של המערער מובא כדוגמא לשימוש שלא לצורך בכספי ציבור עת שילמה המועצה האזורית למערער כספים שלא הניבו תועלת לתושבי המועצה.</w:t>
      </w:r>
    </w:p>
    <w:p w14:paraId="4810B691" w14:textId="77777777" w:rsidR="00000000" w:rsidRDefault="00000000">
      <w:pPr>
        <w:pStyle w:val="ab"/>
        <w:spacing w:after="240" w:line="360" w:lineRule="auto"/>
        <w:ind w:left="454" w:hanging="454"/>
        <w:jc w:val="both"/>
        <w:rPr>
          <w:rtl/>
        </w:rPr>
      </w:pPr>
      <w:r>
        <w:rPr>
          <w:rFonts w:ascii="David" w:hAnsi="David" w:cs="David"/>
          <w:sz w:val="28"/>
          <w:szCs w:val="28"/>
          <w:rtl/>
        </w:rPr>
        <w:t>17.</w:t>
      </w:r>
      <w:r>
        <w:rPr>
          <w:sz w:val="14"/>
          <w:szCs w:val="14"/>
          <w:rtl/>
        </w:rPr>
        <w:t xml:space="preserve">  </w:t>
      </w:r>
      <w:r>
        <w:rPr>
          <w:rFonts w:ascii="David" w:hAnsi="David" w:cs="David"/>
          <w:sz w:val="28"/>
          <w:szCs w:val="28"/>
          <w:rtl/>
        </w:rPr>
        <w:t xml:space="preserve">בהמשך, בחן בית המשפט את הביטוי שחיתות שהופיע באיגרת כשאלה לציבור הקוראים וקבע כי על רקע נסיבות המקרה, הביטוי "שחיתות ציבורית?" מוצג במסגרת שאלה ערכית לציבור הקוראים ועליהם להחליט האם מדובר בשחיתות או בזריקת כספי ציבור. </w:t>
      </w:r>
    </w:p>
    <w:p w14:paraId="4438B570" w14:textId="77777777" w:rsidR="00000000" w:rsidRDefault="00000000">
      <w:pPr>
        <w:pStyle w:val="ab"/>
        <w:spacing w:after="240" w:line="360" w:lineRule="auto"/>
        <w:ind w:left="454" w:hanging="454"/>
        <w:jc w:val="both"/>
        <w:rPr>
          <w:rtl/>
        </w:rPr>
      </w:pPr>
      <w:r>
        <w:rPr>
          <w:rFonts w:ascii="David" w:hAnsi="David" w:cs="David"/>
          <w:sz w:val="28"/>
          <w:szCs w:val="28"/>
          <w:rtl/>
        </w:rPr>
        <w:t>18.</w:t>
      </w:r>
      <w:r>
        <w:rPr>
          <w:sz w:val="14"/>
          <w:szCs w:val="14"/>
          <w:rtl/>
        </w:rPr>
        <w:t xml:space="preserve">  </w:t>
      </w:r>
      <w:r>
        <w:rPr>
          <w:rFonts w:ascii="David" w:hAnsi="David" w:cs="David"/>
          <w:sz w:val="28"/>
          <w:szCs w:val="28"/>
          <w:rtl/>
        </w:rPr>
        <w:t xml:space="preserve">בית המשפט דחה את טענת המערער לפיה הואיל ושמו הוזכר לצד המילה שחיתות, הרי שיוחס לו ביצוע עבירה פלילית. בית המשפט בחן את פסקי הדין אליהם הפנה המערער בהקשר זה וקבע כי אין בהם כדי לסייע למערער לבסס את טענתו לכך שמיוחס לו ביצוע עבירה פלילית. </w:t>
      </w:r>
    </w:p>
    <w:p w14:paraId="4E955E95" w14:textId="77777777" w:rsidR="00000000" w:rsidRDefault="00000000">
      <w:pPr>
        <w:pStyle w:val="ab"/>
        <w:spacing w:after="240" w:line="360" w:lineRule="auto"/>
        <w:ind w:left="454" w:hanging="454"/>
        <w:jc w:val="both"/>
        <w:rPr>
          <w:rtl/>
        </w:rPr>
      </w:pPr>
      <w:r>
        <w:rPr>
          <w:rFonts w:ascii="David" w:hAnsi="David" w:cs="David"/>
          <w:sz w:val="28"/>
          <w:szCs w:val="28"/>
          <w:rtl/>
        </w:rPr>
        <w:t>19.</w:t>
      </w:r>
      <w:r>
        <w:rPr>
          <w:sz w:val="14"/>
          <w:szCs w:val="14"/>
          <w:rtl/>
        </w:rPr>
        <w:t xml:space="preserve">  </w:t>
      </w:r>
      <w:r>
        <w:rPr>
          <w:rFonts w:ascii="David" w:hAnsi="David" w:cs="David"/>
          <w:sz w:val="28"/>
          <w:szCs w:val="28"/>
          <w:rtl/>
        </w:rPr>
        <w:t xml:space="preserve">על רקע קביעות אלה, בית המשפט הגיע למסקנה כי הביטויים באיגרת אינם עולים כדי לשון הרע, אלא מהווים הבעת דעה ביקורתית בעניין ציבורי, הנוגע לשימוש בכספי המועצה בהקשר של העסקת המערער, כאשר לגישתו של המשיב מדובר בשירות שלא הניב תועלת או ערך מוסף לתושבי המועצה ועל כן כספי ציבור הוצאו לשווא. בית המשפט מצא כי הואיל והמשיב הציג את הביקורת על התנהלות הנהלת המועצה בהקשר העסקתו של המערער בפני גורמים שונים בזמן אמת, ועוד הרבה לפני שהחליט להתמודד בבחירות לראשות המועצה, יש בכך כדי ללמד כי מדובר בהבעת דעה ביקורתית. </w:t>
      </w:r>
    </w:p>
    <w:p w14:paraId="535A4C40" w14:textId="77777777" w:rsidR="00000000" w:rsidRDefault="00000000">
      <w:pPr>
        <w:pStyle w:val="ab"/>
        <w:spacing w:after="240" w:line="360" w:lineRule="auto"/>
        <w:ind w:left="454" w:hanging="454"/>
        <w:jc w:val="both"/>
        <w:rPr>
          <w:rtl/>
        </w:rPr>
      </w:pPr>
      <w:r>
        <w:rPr>
          <w:rFonts w:ascii="David" w:hAnsi="David" w:cs="David"/>
          <w:sz w:val="28"/>
          <w:szCs w:val="28"/>
          <w:rtl/>
        </w:rPr>
        <w:t>20.</w:t>
      </w:r>
      <w:r>
        <w:rPr>
          <w:sz w:val="14"/>
          <w:szCs w:val="14"/>
          <w:rtl/>
        </w:rPr>
        <w:t xml:space="preserve">  </w:t>
      </w:r>
      <w:r>
        <w:rPr>
          <w:rFonts w:ascii="David" w:hAnsi="David" w:cs="David"/>
          <w:sz w:val="28"/>
          <w:szCs w:val="28"/>
          <w:rtl/>
        </w:rPr>
        <w:t xml:space="preserve">בית המשפט בחן גם קיומן של הגנות העומדות למשיב. בהקשר זה, קבע בית המשפט כי גם אם היה נקבע כי קיים בפרסום לשון הרע, למשיב הייתה עומדת הגנת הבעת דעה בתום לב בעניין ציבורי, הקבועה בסעיף 15(4) לחוק איסור לשון הרע. </w:t>
      </w:r>
    </w:p>
    <w:p w14:paraId="4A2C1016" w14:textId="77777777" w:rsidR="00000000" w:rsidRDefault="00000000">
      <w:pPr>
        <w:pStyle w:val="ab"/>
        <w:spacing w:after="240" w:line="360" w:lineRule="auto"/>
        <w:ind w:left="454" w:hanging="454"/>
        <w:jc w:val="both"/>
        <w:rPr>
          <w:rtl/>
        </w:rPr>
      </w:pPr>
      <w:r>
        <w:rPr>
          <w:rFonts w:ascii="David" w:hAnsi="David" w:cs="David"/>
          <w:sz w:val="28"/>
          <w:szCs w:val="28"/>
          <w:rtl/>
        </w:rPr>
        <w:t>21.</w:t>
      </w:r>
      <w:r>
        <w:rPr>
          <w:sz w:val="14"/>
          <w:szCs w:val="14"/>
          <w:rtl/>
        </w:rPr>
        <w:t xml:space="preserve">  </w:t>
      </w:r>
      <w:r>
        <w:rPr>
          <w:rFonts w:ascii="David" w:hAnsi="David" w:cs="David"/>
          <w:sz w:val="28"/>
          <w:szCs w:val="28"/>
          <w:rtl/>
        </w:rPr>
        <w:t xml:space="preserve">בית המשפט דחה את טענת המערער לפיה מתקיימת חזקה בדבר העדר תום לב וקבע כי לא ניתן לייחס חוסר תום לב לעובדה שהמשיב ביקש באיגרת הבחירות בכוונת מתכוון להסביר את "הצד שלו" בשאלה "למה עזבתי את החברה הכלכלית" ומשכך גם אם מדובר בביקורת חריפה, הרי שהיא נעשתה בתום לב, ומתוך רצון להציג ביקורת על התנהלות ההנהגה הקיימת של המועצה מנקודת מבטו של המשיב. </w:t>
      </w:r>
    </w:p>
    <w:p w14:paraId="1771F7DB" w14:textId="77777777" w:rsidR="00000000" w:rsidRDefault="00000000">
      <w:pPr>
        <w:pStyle w:val="ab"/>
        <w:spacing w:after="240" w:line="360" w:lineRule="auto"/>
        <w:ind w:left="454" w:hanging="454"/>
        <w:jc w:val="both"/>
        <w:rPr>
          <w:rtl/>
        </w:rPr>
      </w:pPr>
      <w:r>
        <w:rPr>
          <w:rFonts w:ascii="David" w:hAnsi="David" w:cs="David"/>
          <w:sz w:val="28"/>
          <w:szCs w:val="28"/>
          <w:rtl/>
        </w:rPr>
        <w:t>22.</w:t>
      </w:r>
      <w:r>
        <w:rPr>
          <w:sz w:val="14"/>
          <w:szCs w:val="14"/>
          <w:rtl/>
        </w:rPr>
        <w:t xml:space="preserve">  </w:t>
      </w:r>
      <w:r>
        <w:rPr>
          <w:rFonts w:ascii="David" w:hAnsi="David" w:cs="David"/>
          <w:sz w:val="28"/>
          <w:szCs w:val="28"/>
          <w:rtl/>
        </w:rPr>
        <w:t xml:space="preserve">באשר להגנת אמת דיברתי הקבועה בסעיף 14 לחוק איסור לשון הרע, קבע בית המשפט כי המחלוקת האם יש אמת בפרסום נוגעת לשאלה האם צמחה תועלת מהעסקתו של המערער וכי עניין זה נתון להערכה, אולם לאחר שמיעת הראיות לא ניתן למדוד את ה"תועלת" שהניבה העסקתו של המערער לפרויקט ועל כן אין באפשרות בית המשפט לבחון קיומה של הגנת "אמת דיברתי" בהקשר זה. </w:t>
      </w:r>
    </w:p>
    <w:p w14:paraId="0A3E5A90" w14:textId="77777777" w:rsidR="00000000" w:rsidRDefault="00000000">
      <w:pPr>
        <w:pStyle w:val="ab"/>
        <w:spacing w:after="240" w:line="360" w:lineRule="auto"/>
        <w:ind w:left="454" w:hanging="454"/>
        <w:jc w:val="both"/>
        <w:rPr>
          <w:rtl/>
        </w:rPr>
      </w:pPr>
      <w:r>
        <w:rPr>
          <w:rFonts w:ascii="David" w:hAnsi="David" w:cs="David"/>
          <w:sz w:val="28"/>
          <w:szCs w:val="28"/>
          <w:rtl/>
        </w:rPr>
        <w:t>23.</w:t>
      </w:r>
      <w:r>
        <w:rPr>
          <w:sz w:val="14"/>
          <w:szCs w:val="14"/>
          <w:rtl/>
        </w:rPr>
        <w:t xml:space="preserve">  </w:t>
      </w:r>
      <w:r>
        <w:rPr>
          <w:rFonts w:ascii="David" w:hAnsi="David" w:cs="David"/>
          <w:sz w:val="28"/>
          <w:szCs w:val="28"/>
          <w:rtl/>
        </w:rPr>
        <w:t xml:space="preserve">באשר להגנות הנוספות להן נטען בסיכומים, קבע בית המשפט כי מדובר בהרחבת חזית אסורה ועל כן אין מקום לדון בהן. </w:t>
      </w:r>
    </w:p>
    <w:p w14:paraId="1524FD2A" w14:textId="77777777" w:rsidR="00000000" w:rsidRDefault="00000000">
      <w:pPr>
        <w:pStyle w:val="ab"/>
        <w:spacing w:after="360" w:line="360" w:lineRule="auto"/>
        <w:ind w:left="454" w:hanging="454"/>
        <w:jc w:val="both"/>
        <w:rPr>
          <w:rtl/>
        </w:rPr>
      </w:pPr>
      <w:r>
        <w:rPr>
          <w:rFonts w:ascii="David" w:hAnsi="David" w:cs="David"/>
          <w:sz w:val="28"/>
          <w:szCs w:val="28"/>
          <w:rtl/>
        </w:rPr>
        <w:t>24.</w:t>
      </w:r>
      <w:r>
        <w:rPr>
          <w:sz w:val="14"/>
          <w:szCs w:val="14"/>
          <w:rtl/>
        </w:rPr>
        <w:t xml:space="preserve">  </w:t>
      </w:r>
      <w:r>
        <w:rPr>
          <w:rFonts w:ascii="David" w:hAnsi="David" w:cs="David"/>
          <w:sz w:val="28"/>
          <w:szCs w:val="28"/>
          <w:rtl/>
        </w:rPr>
        <w:t xml:space="preserve">בשולי פסק הדין הוסיף בית משפט קמא וקבע כי טוב היה עושה המשיב אילו נמנע מן השימוש בתמונתו של המערער, היות שעניין זה לא נדרש לצורך השיח בעניין הביקורת שהעביר. יחד עם זאת, נקבע כי השימוש בתמונה עצמה איננו מהווה לשון הרע. </w:t>
      </w:r>
    </w:p>
    <w:p w14:paraId="4710E63C" w14:textId="77777777" w:rsidR="00000000" w:rsidRDefault="00000000">
      <w:pPr>
        <w:pStyle w:val="ab"/>
        <w:spacing w:after="240" w:line="360" w:lineRule="auto"/>
        <w:ind w:left="454"/>
        <w:jc w:val="both"/>
        <w:rPr>
          <w:rtl/>
        </w:rPr>
      </w:pPr>
      <w:r>
        <w:rPr>
          <w:rFonts w:ascii="David" w:hAnsi="David" w:cs="David"/>
          <w:sz w:val="28"/>
          <w:szCs w:val="28"/>
          <w:u w:val="single"/>
          <w:rtl/>
        </w:rPr>
        <w:t>טענות הצדדים בערעור</w:t>
      </w:r>
    </w:p>
    <w:p w14:paraId="6E5D6B8D" w14:textId="77777777" w:rsidR="00000000" w:rsidRDefault="00000000">
      <w:pPr>
        <w:pStyle w:val="ab"/>
        <w:spacing w:after="240" w:line="360" w:lineRule="auto"/>
        <w:ind w:left="454" w:hanging="454"/>
        <w:jc w:val="both"/>
        <w:rPr>
          <w:rtl/>
        </w:rPr>
      </w:pPr>
      <w:r>
        <w:rPr>
          <w:rFonts w:ascii="David" w:hAnsi="David" w:cs="David"/>
          <w:sz w:val="28"/>
          <w:szCs w:val="28"/>
          <w:rtl/>
        </w:rPr>
        <w:t>25.</w:t>
      </w:r>
      <w:r>
        <w:rPr>
          <w:sz w:val="14"/>
          <w:szCs w:val="14"/>
          <w:rtl/>
        </w:rPr>
        <w:t xml:space="preserve">  </w:t>
      </w:r>
      <w:r>
        <w:rPr>
          <w:rFonts w:ascii="David" w:hAnsi="David" w:cs="David"/>
          <w:sz w:val="28"/>
          <w:szCs w:val="28"/>
          <w:rtl/>
        </w:rPr>
        <w:t xml:space="preserve">בכתב הערעור ובדיון שנערך בהליך הערעור טוען המערער כי שגה בית משפט קמא עת קבע כי לא מדובר בהוצאת לשון הרע. לטענתו, הביטויים בהם השתמש המשיב באיגרת הבחירות נתפסים בעיני האדם הסביר ועל פי המבחן האובייקטיבי שנקבע בפסיקה כביטויים מבזים ומשפילים ועל כן מהווים הוצאת לשון הרע. </w:t>
      </w:r>
    </w:p>
    <w:p w14:paraId="10F405AC" w14:textId="77777777" w:rsidR="00000000" w:rsidRDefault="00000000">
      <w:pPr>
        <w:pStyle w:val="ab"/>
        <w:spacing w:after="240" w:line="360" w:lineRule="auto"/>
        <w:ind w:left="454" w:hanging="454"/>
        <w:jc w:val="both"/>
        <w:rPr>
          <w:rtl/>
        </w:rPr>
      </w:pPr>
      <w:r>
        <w:rPr>
          <w:rFonts w:ascii="David" w:hAnsi="David" w:cs="David"/>
          <w:sz w:val="28"/>
          <w:szCs w:val="28"/>
          <w:rtl/>
        </w:rPr>
        <w:t>26.</w:t>
      </w:r>
      <w:r>
        <w:rPr>
          <w:sz w:val="14"/>
          <w:szCs w:val="14"/>
          <w:rtl/>
        </w:rPr>
        <w:t xml:space="preserve">  </w:t>
      </w:r>
      <w:r>
        <w:rPr>
          <w:rFonts w:ascii="David" w:hAnsi="David" w:cs="David"/>
          <w:sz w:val="28"/>
          <w:szCs w:val="28"/>
          <w:rtl/>
        </w:rPr>
        <w:t>כן, לטענתו, שגה בית המשפט כשסיווג את הפרסום כ"הבעת דעה" ולא כעובדה. לטענת המערער, טענה לשחיתות וקבלת כספים ללא תמורה הן טענות עובדתיות הניתנות לאימות או הפרכה ואינן רק "הערכה סובייקטיבית".</w:t>
      </w:r>
    </w:p>
    <w:p w14:paraId="7C8A5E4A" w14:textId="77777777" w:rsidR="00000000" w:rsidRDefault="00000000">
      <w:pPr>
        <w:pStyle w:val="ab"/>
        <w:spacing w:after="240" w:line="360" w:lineRule="auto"/>
        <w:ind w:left="454" w:hanging="454"/>
        <w:jc w:val="both"/>
        <w:rPr>
          <w:rtl/>
        </w:rPr>
      </w:pPr>
      <w:r>
        <w:rPr>
          <w:rFonts w:ascii="David" w:hAnsi="David" w:cs="David"/>
          <w:sz w:val="28"/>
          <w:szCs w:val="28"/>
          <w:rtl/>
        </w:rPr>
        <w:t>27.</w:t>
      </w:r>
      <w:r>
        <w:rPr>
          <w:sz w:val="14"/>
          <w:szCs w:val="14"/>
          <w:rtl/>
        </w:rPr>
        <w:t xml:space="preserve">  </w:t>
      </w:r>
      <w:r>
        <w:rPr>
          <w:rFonts w:ascii="David" w:hAnsi="David" w:cs="David"/>
          <w:sz w:val="28"/>
          <w:szCs w:val="28"/>
          <w:rtl/>
        </w:rPr>
        <w:t>המערער טוען כי תמונתו של המערער עם כוס יין, והביטוי "לא יהיו עוד רקחים כאלה", יחד עם ההקשר הכללי של האיגרת, יוצרים רושם כולל של לשון הרע וכי בית המשפט שגה עת לא ראה זאת כך.</w:t>
      </w:r>
    </w:p>
    <w:p w14:paraId="63502FAC" w14:textId="77777777" w:rsidR="00000000" w:rsidRDefault="00000000">
      <w:pPr>
        <w:pStyle w:val="ab"/>
        <w:spacing w:after="240" w:line="360" w:lineRule="auto"/>
        <w:ind w:left="454" w:hanging="454"/>
        <w:jc w:val="both"/>
        <w:rPr>
          <w:rtl/>
        </w:rPr>
      </w:pPr>
      <w:r>
        <w:rPr>
          <w:rFonts w:ascii="David" w:hAnsi="David" w:cs="David"/>
          <w:sz w:val="28"/>
          <w:szCs w:val="28"/>
          <w:rtl/>
        </w:rPr>
        <w:t>28.</w:t>
      </w:r>
      <w:r>
        <w:rPr>
          <w:sz w:val="14"/>
          <w:szCs w:val="14"/>
          <w:rtl/>
        </w:rPr>
        <w:t xml:space="preserve">  </w:t>
      </w:r>
      <w:r>
        <w:rPr>
          <w:rFonts w:ascii="David" w:hAnsi="David" w:cs="David"/>
          <w:sz w:val="28"/>
          <w:szCs w:val="28"/>
          <w:rtl/>
        </w:rPr>
        <w:t xml:space="preserve">עוד לטענתו, לא עומדת למשיב כל הגנה על פי החוק. בהקשר זה טוען המערער כי שגה בית המשפט כשקבע כי מדובר בהבעת דעה ביחס לעניין ציבורי אשר לא חרג מגדר הסבירות ועל כן חלה חזקה הקבועה בסעיף 16(א) לחוק כי הפרסום נעשה בתום לב ומשכך עומדת למשיב ההגנה בסעיף 15(4) לחוק, וזאת על אף שלעמדת המערער, המשיב נהג בחוסר תום לב ומתוך מניעים זרים. </w:t>
      </w:r>
    </w:p>
    <w:p w14:paraId="1641BDD1" w14:textId="77777777" w:rsidR="00000000" w:rsidRDefault="00000000">
      <w:pPr>
        <w:pStyle w:val="ab"/>
        <w:spacing w:after="240" w:line="360" w:lineRule="auto"/>
        <w:ind w:left="454" w:hanging="454"/>
        <w:jc w:val="both"/>
        <w:rPr>
          <w:rtl/>
        </w:rPr>
      </w:pPr>
      <w:r>
        <w:rPr>
          <w:rFonts w:ascii="David" w:hAnsi="David" w:cs="David"/>
          <w:sz w:val="28"/>
          <w:szCs w:val="28"/>
          <w:rtl/>
        </w:rPr>
        <w:t>29.</w:t>
      </w:r>
      <w:r>
        <w:rPr>
          <w:sz w:val="14"/>
          <w:szCs w:val="14"/>
          <w:rtl/>
        </w:rPr>
        <w:t xml:space="preserve">  </w:t>
      </w:r>
      <w:r>
        <w:rPr>
          <w:rFonts w:ascii="David" w:hAnsi="David" w:cs="David"/>
          <w:sz w:val="28"/>
          <w:szCs w:val="28"/>
          <w:rtl/>
        </w:rPr>
        <w:t xml:space="preserve">לטענתו, כחלק מחובת תום הלב היה על המשיב להפנות את האיגרת ישירות לראש המועצה הקודם, מר גדי ירקוני, שכן לגביו מתקיים האינטרס הציבורי וכי המערער, אשר אינו דמות ציבורית, למעשה "הוקרב" לצורך ניגוח של אחר. </w:t>
      </w:r>
    </w:p>
    <w:p w14:paraId="731BB6B7" w14:textId="77777777" w:rsidR="00000000" w:rsidRDefault="00000000">
      <w:pPr>
        <w:pStyle w:val="ab"/>
        <w:spacing w:after="240" w:line="360" w:lineRule="auto"/>
        <w:ind w:left="454" w:hanging="454"/>
        <w:jc w:val="both"/>
        <w:rPr>
          <w:rtl/>
        </w:rPr>
      </w:pPr>
      <w:r>
        <w:rPr>
          <w:rFonts w:ascii="David" w:hAnsi="David" w:cs="David"/>
          <w:sz w:val="28"/>
          <w:szCs w:val="28"/>
          <w:rtl/>
        </w:rPr>
        <w:t>30.</w:t>
      </w:r>
      <w:r>
        <w:rPr>
          <w:sz w:val="14"/>
          <w:szCs w:val="14"/>
          <w:rtl/>
        </w:rPr>
        <w:t xml:space="preserve">  </w:t>
      </w:r>
      <w:r>
        <w:rPr>
          <w:rFonts w:ascii="David" w:hAnsi="David" w:cs="David"/>
          <w:sz w:val="28"/>
          <w:szCs w:val="28"/>
          <w:rtl/>
        </w:rPr>
        <w:t>בנוסף, טוען המערער כי שגה בית המשפט כשקבע כי לא מתקיימים התנאים לקיומה של החזקה ההפוכה בדבר חוסר תום לב הקבועה בסעיף 16(ב) לחוק.</w:t>
      </w:r>
    </w:p>
    <w:p w14:paraId="093D88BD" w14:textId="77777777" w:rsidR="00000000" w:rsidRDefault="00000000">
      <w:pPr>
        <w:pStyle w:val="ab"/>
        <w:spacing w:after="240" w:line="360" w:lineRule="auto"/>
        <w:ind w:left="454" w:hanging="454"/>
        <w:jc w:val="both"/>
        <w:rPr>
          <w:rtl/>
        </w:rPr>
      </w:pPr>
      <w:r>
        <w:rPr>
          <w:rFonts w:ascii="David" w:hAnsi="David" w:cs="David"/>
          <w:sz w:val="28"/>
          <w:szCs w:val="28"/>
          <w:rtl/>
        </w:rPr>
        <w:t>31.</w:t>
      </w:r>
      <w:r>
        <w:rPr>
          <w:sz w:val="14"/>
          <w:szCs w:val="14"/>
          <w:rtl/>
        </w:rPr>
        <w:t xml:space="preserve">  </w:t>
      </w:r>
      <w:r>
        <w:rPr>
          <w:rFonts w:ascii="David" w:hAnsi="David" w:cs="David"/>
          <w:sz w:val="28"/>
          <w:szCs w:val="28"/>
          <w:rtl/>
        </w:rPr>
        <w:t xml:space="preserve">לטענתו, הפרסום באיגרת אינו אמת והמשיב לא האמין באמיתותו ואף לא נקט באמצעים סבירים כדי להיווכח באמיתותו, והתכוון לפגוע במידה גדולה מאשר הסביר. </w:t>
      </w:r>
    </w:p>
    <w:p w14:paraId="18B370B0" w14:textId="77777777" w:rsidR="00000000" w:rsidRDefault="00000000">
      <w:pPr>
        <w:pStyle w:val="ab"/>
        <w:spacing w:after="240" w:line="360" w:lineRule="auto"/>
        <w:ind w:left="454" w:hanging="454"/>
        <w:jc w:val="both"/>
        <w:rPr>
          <w:rtl/>
        </w:rPr>
      </w:pPr>
      <w:r>
        <w:rPr>
          <w:rFonts w:ascii="David" w:hAnsi="David" w:cs="David"/>
          <w:sz w:val="28"/>
          <w:szCs w:val="28"/>
          <w:rtl/>
        </w:rPr>
        <w:t>32.</w:t>
      </w:r>
      <w:r>
        <w:rPr>
          <w:sz w:val="14"/>
          <w:szCs w:val="14"/>
          <w:rtl/>
        </w:rPr>
        <w:t xml:space="preserve">  </w:t>
      </w:r>
      <w:r>
        <w:rPr>
          <w:rFonts w:ascii="David" w:hAnsi="David" w:cs="David"/>
          <w:sz w:val="28"/>
          <w:szCs w:val="28"/>
          <w:rtl/>
        </w:rPr>
        <w:t xml:space="preserve">כן לטענתו, שגה בית המשפט כשקבע כי למשיב לא הייתה כוונה לפגוע. לטענתו, המשיב פעל מתוך מניע של נקמה על כך שהמערער נטל ממנו את ניהול הפרויקט. </w:t>
      </w:r>
    </w:p>
    <w:p w14:paraId="36F6C1FE" w14:textId="77777777" w:rsidR="00000000" w:rsidRDefault="00000000">
      <w:pPr>
        <w:pStyle w:val="ab"/>
        <w:spacing w:after="240" w:line="360" w:lineRule="auto"/>
        <w:ind w:left="454" w:hanging="454"/>
        <w:jc w:val="both"/>
        <w:rPr>
          <w:rtl/>
        </w:rPr>
      </w:pPr>
      <w:r>
        <w:rPr>
          <w:rFonts w:ascii="David" w:hAnsi="David" w:cs="David"/>
          <w:sz w:val="28"/>
          <w:szCs w:val="28"/>
          <w:rtl/>
        </w:rPr>
        <w:t>33.</w:t>
      </w:r>
      <w:r>
        <w:rPr>
          <w:sz w:val="14"/>
          <w:szCs w:val="14"/>
          <w:rtl/>
        </w:rPr>
        <w:t xml:space="preserve">  </w:t>
      </w:r>
      <w:r>
        <w:rPr>
          <w:rFonts w:ascii="David" w:hAnsi="David" w:cs="David"/>
          <w:sz w:val="28"/>
          <w:szCs w:val="28"/>
          <w:rtl/>
        </w:rPr>
        <w:t>בעניין הסעדים, נטען כי בית משפט קמא טעה עת קבע כי לא ניתן הסבר לסעד המבוקש וכי הטענה לפיצויים נפרדים היא הרחבת חזית. נטען כי ניתן לפסוק פיצויים נפרדים בגין פרסומים נפרדים של אותה לשון הרע.</w:t>
      </w:r>
    </w:p>
    <w:p w14:paraId="337CEDA3" w14:textId="77777777" w:rsidR="00000000" w:rsidRDefault="00000000">
      <w:pPr>
        <w:pStyle w:val="ab"/>
        <w:spacing w:after="240" w:line="360" w:lineRule="auto"/>
        <w:ind w:left="454" w:hanging="454"/>
        <w:jc w:val="both"/>
        <w:rPr>
          <w:rtl/>
        </w:rPr>
      </w:pPr>
      <w:r>
        <w:rPr>
          <w:rFonts w:ascii="David" w:hAnsi="David" w:cs="David"/>
          <w:sz w:val="28"/>
          <w:szCs w:val="28"/>
          <w:rtl/>
        </w:rPr>
        <w:t>34.</w:t>
      </w:r>
      <w:r>
        <w:rPr>
          <w:sz w:val="14"/>
          <w:szCs w:val="14"/>
          <w:rtl/>
        </w:rPr>
        <w:t xml:space="preserve">  </w:t>
      </w:r>
      <w:r>
        <w:rPr>
          <w:rFonts w:ascii="David" w:hAnsi="David" w:cs="David"/>
          <w:sz w:val="28"/>
          <w:szCs w:val="28"/>
          <w:rtl/>
        </w:rPr>
        <w:t xml:space="preserve">המערערים מבקשים להורות על ביטול פסק הדין וההוצאות שנקבעו בו, לקבל את התביעה כפי שהוגשה ולחייב את המשיב בסעדים המפורטים, לרבות הוצאות ושכ"ט עו"ד. </w:t>
      </w:r>
    </w:p>
    <w:p w14:paraId="5AB5612D" w14:textId="77777777" w:rsidR="00000000" w:rsidRDefault="00000000">
      <w:pPr>
        <w:pStyle w:val="ab"/>
        <w:spacing w:after="240" w:line="360" w:lineRule="auto"/>
        <w:ind w:left="454" w:hanging="454"/>
        <w:jc w:val="both"/>
        <w:rPr>
          <w:rtl/>
        </w:rPr>
      </w:pPr>
      <w:r>
        <w:rPr>
          <w:rFonts w:ascii="David" w:hAnsi="David" w:cs="David"/>
          <w:sz w:val="28"/>
          <w:szCs w:val="28"/>
          <w:rtl/>
        </w:rPr>
        <w:t>35.</w:t>
      </w:r>
      <w:r>
        <w:rPr>
          <w:sz w:val="14"/>
          <w:szCs w:val="14"/>
          <w:rtl/>
        </w:rPr>
        <w:t xml:space="preserve">  </w:t>
      </w:r>
      <w:r>
        <w:rPr>
          <w:rFonts w:ascii="David" w:hAnsi="David" w:cs="David"/>
          <w:sz w:val="28"/>
          <w:szCs w:val="28"/>
          <w:rtl/>
        </w:rPr>
        <w:t>המשיב בתשובתו לערעור ובדיון שנערך סומך את ידו על קביעות בית משפט קמא. לטענתו, אין מקום להתערב בקביעות העובדתיות של בית משפט קמא, שכן בית המשפט קמא התרשם באופן בלתי אמצעי מהעדים.</w:t>
      </w:r>
    </w:p>
    <w:p w14:paraId="7B5DE8D1" w14:textId="77777777" w:rsidR="00000000" w:rsidRDefault="00000000">
      <w:pPr>
        <w:pStyle w:val="ab"/>
        <w:spacing w:after="240" w:line="360" w:lineRule="auto"/>
        <w:ind w:left="454" w:hanging="454"/>
        <w:jc w:val="both"/>
        <w:rPr>
          <w:rtl/>
        </w:rPr>
      </w:pPr>
      <w:r>
        <w:rPr>
          <w:rFonts w:ascii="David" w:hAnsi="David" w:cs="David"/>
          <w:sz w:val="28"/>
          <w:szCs w:val="28"/>
          <w:rtl/>
        </w:rPr>
        <w:t>36.</w:t>
      </w:r>
      <w:r>
        <w:rPr>
          <w:sz w:val="14"/>
          <w:szCs w:val="14"/>
          <w:rtl/>
        </w:rPr>
        <w:t xml:space="preserve">  </w:t>
      </w:r>
      <w:r>
        <w:rPr>
          <w:rFonts w:ascii="David" w:hAnsi="David" w:cs="David"/>
          <w:sz w:val="28"/>
          <w:szCs w:val="28"/>
          <w:rtl/>
        </w:rPr>
        <w:t xml:space="preserve">המשיב טוען כי הפרסום אינו מהווה לשון הרע, כפי שקבע בית משפט קמא, אלא הבעת דעה לגיטימית, המבוססת על עובדות ועל עניין ציבורי מובהק, שכן עוסק בשימוש בכספי ציבור ובתפקוד גורמים ציבוריים והוא נעשה בתום לב ובמסגרת חופש הביטוי הפוליטי. כן נטען כי הפרסום היה ענייני ומידתי. </w:t>
      </w:r>
    </w:p>
    <w:p w14:paraId="5CB98239" w14:textId="77777777" w:rsidR="00000000" w:rsidRDefault="00000000">
      <w:pPr>
        <w:pStyle w:val="ab"/>
        <w:spacing w:after="240" w:line="360" w:lineRule="auto"/>
        <w:ind w:left="454" w:hanging="454"/>
        <w:jc w:val="both"/>
        <w:rPr>
          <w:rtl/>
        </w:rPr>
      </w:pPr>
      <w:r>
        <w:rPr>
          <w:rFonts w:ascii="David" w:hAnsi="David" w:cs="David"/>
          <w:sz w:val="28"/>
          <w:szCs w:val="28"/>
          <w:rtl/>
        </w:rPr>
        <w:t>37.</w:t>
      </w:r>
      <w:r>
        <w:rPr>
          <w:sz w:val="14"/>
          <w:szCs w:val="14"/>
          <w:rtl/>
        </w:rPr>
        <w:t xml:space="preserve">  </w:t>
      </w:r>
      <w:r>
        <w:rPr>
          <w:rFonts w:ascii="David" w:hAnsi="David" w:cs="David"/>
          <w:sz w:val="28"/>
          <w:szCs w:val="28"/>
          <w:rtl/>
        </w:rPr>
        <w:t>לטענת המשיב, עומדות לו ההגנות השונות הקבועות בחוק - הגנת אמת הפרסום והגנת תום הלב.</w:t>
      </w:r>
    </w:p>
    <w:p w14:paraId="53C5BEEA" w14:textId="77777777" w:rsidR="00000000" w:rsidRDefault="00000000">
      <w:pPr>
        <w:pStyle w:val="ab"/>
        <w:spacing w:after="240" w:line="360" w:lineRule="auto"/>
        <w:ind w:left="454" w:hanging="454"/>
        <w:jc w:val="both"/>
        <w:rPr>
          <w:rtl/>
        </w:rPr>
      </w:pPr>
      <w:r>
        <w:rPr>
          <w:rFonts w:ascii="David" w:hAnsi="David" w:cs="David"/>
          <w:sz w:val="28"/>
          <w:szCs w:val="28"/>
          <w:rtl/>
        </w:rPr>
        <w:t>38.</w:t>
      </w:r>
      <w:r>
        <w:rPr>
          <w:sz w:val="14"/>
          <w:szCs w:val="14"/>
          <w:rtl/>
        </w:rPr>
        <w:t xml:space="preserve">  </w:t>
      </w:r>
      <w:r>
        <w:rPr>
          <w:rFonts w:ascii="David" w:hAnsi="David" w:cs="David"/>
          <w:sz w:val="28"/>
          <w:szCs w:val="28"/>
          <w:rtl/>
        </w:rPr>
        <w:t>עוד לטענתו, לא הייתה לו כל כוונה לפגוע וכי הפרסום נועד להציג לציבור הבוחרים את מצעו הפוליטי ולצד זאת הסביר באופן ביקורתי מדוע עזב את תפקידו, כשמטרתו ליצור קשר לוגי בפני קוראי איגרת הבחירות בין תפקידו הציבורי הקודם לתפקיד שעליו התמודד.</w:t>
      </w:r>
    </w:p>
    <w:p w14:paraId="6439FAA9" w14:textId="77777777" w:rsidR="00000000" w:rsidRDefault="00000000">
      <w:pPr>
        <w:pStyle w:val="ab"/>
        <w:spacing w:after="240" w:line="360" w:lineRule="auto"/>
        <w:ind w:left="454" w:hanging="454"/>
        <w:jc w:val="both"/>
        <w:rPr>
          <w:rtl/>
        </w:rPr>
      </w:pPr>
      <w:r>
        <w:rPr>
          <w:rFonts w:ascii="David" w:hAnsi="David" w:cs="David"/>
          <w:sz w:val="28"/>
          <w:szCs w:val="28"/>
          <w:rtl/>
        </w:rPr>
        <w:t>39.</w:t>
      </w:r>
      <w:r>
        <w:rPr>
          <w:sz w:val="14"/>
          <w:szCs w:val="14"/>
          <w:rtl/>
        </w:rPr>
        <w:t xml:space="preserve">  </w:t>
      </w:r>
      <w:r>
        <w:rPr>
          <w:rFonts w:ascii="David" w:hAnsi="David" w:cs="David"/>
          <w:sz w:val="28"/>
          <w:szCs w:val="28"/>
          <w:rtl/>
        </w:rPr>
        <w:t xml:space="preserve">בעניין הסעדים, נטען כי הואיל והתביעה נדחתה, לא נדרש לדון בסוגיה ובכל מקרה הפיצוי המבוקש מופרך בפרט כאשר מדובר בפרסום אחד. </w:t>
      </w:r>
    </w:p>
    <w:p w14:paraId="1F521591" w14:textId="77777777" w:rsidR="00000000" w:rsidRDefault="00000000">
      <w:pPr>
        <w:pStyle w:val="ab"/>
        <w:spacing w:after="240" w:line="360" w:lineRule="auto"/>
        <w:ind w:left="454" w:hanging="454"/>
        <w:jc w:val="both"/>
        <w:rPr>
          <w:rtl/>
        </w:rPr>
      </w:pPr>
      <w:r>
        <w:rPr>
          <w:rFonts w:ascii="David" w:hAnsi="David" w:cs="David"/>
          <w:sz w:val="28"/>
          <w:szCs w:val="28"/>
          <w:rtl/>
        </w:rPr>
        <w:t>40.</w:t>
      </w:r>
      <w:r>
        <w:rPr>
          <w:sz w:val="14"/>
          <w:szCs w:val="14"/>
          <w:rtl/>
        </w:rPr>
        <w:t xml:space="preserve">  </w:t>
      </w:r>
      <w:r>
        <w:rPr>
          <w:rFonts w:ascii="David" w:hAnsi="David" w:cs="David"/>
          <w:sz w:val="28"/>
          <w:szCs w:val="28"/>
          <w:rtl/>
        </w:rPr>
        <w:t>לפיכך, המשיב מבקש לדחות את הערעור ולחייב את המערער בהוצאות על הצד הגבוה.</w:t>
      </w:r>
    </w:p>
    <w:p w14:paraId="2B120BEE" w14:textId="77777777" w:rsidR="00000000" w:rsidRDefault="00000000">
      <w:pPr>
        <w:pStyle w:val="ab"/>
        <w:spacing w:after="240" w:line="360" w:lineRule="auto"/>
        <w:ind w:left="454"/>
        <w:jc w:val="both"/>
        <w:rPr>
          <w:rtl/>
        </w:rPr>
      </w:pPr>
      <w:r>
        <w:rPr>
          <w:rFonts w:ascii="David" w:hAnsi="David" w:cs="David"/>
          <w:b/>
          <w:bCs/>
          <w:sz w:val="28"/>
          <w:szCs w:val="28"/>
          <w:rtl/>
        </w:rPr>
        <w:t> </w:t>
      </w:r>
    </w:p>
    <w:p w14:paraId="6E608266" w14:textId="77777777" w:rsidR="00000000" w:rsidRDefault="00000000">
      <w:pPr>
        <w:pStyle w:val="ab"/>
        <w:spacing w:after="240" w:line="360" w:lineRule="auto"/>
        <w:ind w:left="454"/>
        <w:jc w:val="both"/>
        <w:rPr>
          <w:rtl/>
        </w:rPr>
      </w:pPr>
      <w:r>
        <w:rPr>
          <w:rFonts w:ascii="David" w:hAnsi="David" w:cs="David"/>
          <w:b/>
          <w:bCs/>
          <w:sz w:val="28"/>
          <w:szCs w:val="28"/>
          <w:rtl/>
        </w:rPr>
        <w:t> </w:t>
      </w:r>
    </w:p>
    <w:p w14:paraId="07777433" w14:textId="77777777" w:rsidR="00000000" w:rsidRDefault="00000000">
      <w:pPr>
        <w:pStyle w:val="ab"/>
        <w:spacing w:after="240" w:line="360" w:lineRule="auto"/>
        <w:ind w:left="454"/>
        <w:jc w:val="both"/>
        <w:rPr>
          <w:rtl/>
        </w:rPr>
      </w:pPr>
      <w:r>
        <w:rPr>
          <w:rFonts w:ascii="David" w:hAnsi="David" w:cs="David"/>
          <w:b/>
          <w:bCs/>
          <w:sz w:val="28"/>
          <w:szCs w:val="28"/>
          <w:rtl/>
        </w:rPr>
        <w:t> </w:t>
      </w:r>
    </w:p>
    <w:p w14:paraId="0CB186CC" w14:textId="77777777" w:rsidR="00000000" w:rsidRDefault="00000000">
      <w:pPr>
        <w:pStyle w:val="ab"/>
        <w:spacing w:after="240" w:line="360" w:lineRule="auto"/>
        <w:ind w:left="454"/>
        <w:jc w:val="both"/>
        <w:rPr>
          <w:rtl/>
        </w:rPr>
      </w:pPr>
      <w:r>
        <w:rPr>
          <w:rFonts w:ascii="David" w:hAnsi="David" w:cs="David"/>
          <w:b/>
          <w:bCs/>
          <w:sz w:val="28"/>
          <w:szCs w:val="28"/>
          <w:u w:val="single"/>
          <w:rtl/>
        </w:rPr>
        <w:t>דיון והכרעה</w:t>
      </w:r>
    </w:p>
    <w:p w14:paraId="118CF16A" w14:textId="77777777" w:rsidR="00000000" w:rsidRDefault="00000000">
      <w:pPr>
        <w:pStyle w:val="ab"/>
        <w:spacing w:after="240" w:line="360" w:lineRule="auto"/>
        <w:ind w:left="454"/>
        <w:jc w:val="both"/>
        <w:rPr>
          <w:rtl/>
        </w:rPr>
      </w:pPr>
      <w:r>
        <w:rPr>
          <w:rFonts w:ascii="David" w:hAnsi="David" w:cs="David"/>
          <w:sz w:val="28"/>
          <w:szCs w:val="28"/>
          <w:u w:val="single"/>
          <w:rtl/>
        </w:rPr>
        <w:t xml:space="preserve">המסגרת הנורמטיבית </w:t>
      </w:r>
    </w:p>
    <w:p w14:paraId="671636EA" w14:textId="77777777" w:rsidR="00000000" w:rsidRDefault="00000000">
      <w:pPr>
        <w:pStyle w:val="ab"/>
        <w:spacing w:after="240" w:line="360" w:lineRule="auto"/>
        <w:ind w:left="454" w:hanging="454"/>
        <w:jc w:val="both"/>
        <w:rPr>
          <w:rtl/>
        </w:rPr>
      </w:pPr>
      <w:r>
        <w:rPr>
          <w:rFonts w:ascii="David" w:hAnsi="David" w:cs="David"/>
          <w:sz w:val="28"/>
          <w:szCs w:val="28"/>
          <w:rtl/>
        </w:rPr>
        <w:t>41.</w:t>
      </w:r>
      <w:r>
        <w:rPr>
          <w:sz w:val="14"/>
          <w:szCs w:val="14"/>
          <w:rtl/>
        </w:rPr>
        <w:t xml:space="preserve">  </w:t>
      </w:r>
      <w:r>
        <w:rPr>
          <w:rFonts w:ascii="David" w:hAnsi="David" w:cs="David"/>
          <w:sz w:val="28"/>
          <w:szCs w:val="28"/>
          <w:rtl/>
        </w:rPr>
        <w:t>חוק איסור לשון הרע משקף איזון בין הזכות לשמירה על שמו הטוב של האדם אל מול חופש הביטוי. שתי זכויות אלה אינן מוחלטות, הן ניצבות שוות מעמד, ואין להעניק באופן עקרוני עדיפות לאחת מהן על פני רעותה.</w:t>
      </w:r>
    </w:p>
    <w:p w14:paraId="5A458CD1" w14:textId="77777777" w:rsidR="00000000" w:rsidRDefault="00000000">
      <w:pPr>
        <w:pStyle w:val="ab"/>
        <w:spacing w:after="240" w:line="360" w:lineRule="auto"/>
        <w:ind w:left="454" w:hanging="454"/>
        <w:jc w:val="both"/>
        <w:rPr>
          <w:rtl/>
        </w:rPr>
      </w:pPr>
      <w:r>
        <w:rPr>
          <w:rFonts w:ascii="David" w:hAnsi="David" w:cs="David"/>
          <w:sz w:val="28"/>
          <w:szCs w:val="28"/>
          <w:rtl/>
        </w:rPr>
        <w:t>42.</w:t>
      </w:r>
      <w:r>
        <w:rPr>
          <w:sz w:val="14"/>
          <w:szCs w:val="14"/>
          <w:rtl/>
        </w:rPr>
        <w:t xml:space="preserve">  </w:t>
      </w:r>
      <w:r>
        <w:rPr>
          <w:rFonts w:ascii="David" w:hAnsi="David" w:cs="David"/>
          <w:sz w:val="28"/>
          <w:szCs w:val="28"/>
          <w:rtl/>
        </w:rPr>
        <w:t xml:space="preserve">סעיף 1 לחוק איסור לשון הרע מגדיר מהי לשון הרע, כדלקמן: </w:t>
      </w:r>
    </w:p>
    <w:p w14:paraId="393817A6" w14:textId="77777777" w:rsidR="00000000" w:rsidRDefault="00000000">
      <w:pPr>
        <w:pStyle w:val="ab"/>
        <w:ind w:left="1191" w:right="567" w:hanging="454"/>
        <w:jc w:val="both"/>
        <w:rPr>
          <w:rtl/>
        </w:rPr>
      </w:pPr>
      <w:r>
        <w:rPr>
          <w:rFonts w:ascii="David" w:hAnsi="David" w:cs="David"/>
          <w:color w:val="000000"/>
          <w:sz w:val="28"/>
          <w:szCs w:val="28"/>
          <w:rtl/>
        </w:rPr>
        <w:t>"לשון הרע היא דבר שפרסומו עלול -</w:t>
      </w:r>
    </w:p>
    <w:p w14:paraId="37F02075" w14:textId="77777777" w:rsidR="00000000" w:rsidRDefault="00000000">
      <w:pPr>
        <w:pStyle w:val="ab"/>
        <w:ind w:left="1191" w:right="567" w:hanging="454"/>
        <w:jc w:val="both"/>
        <w:rPr>
          <w:rtl/>
        </w:rPr>
      </w:pPr>
      <w:r>
        <w:rPr>
          <w:rFonts w:ascii="David" w:hAnsi="David" w:cs="David"/>
          <w:color w:val="000000"/>
          <w:sz w:val="28"/>
          <w:szCs w:val="28"/>
          <w:rtl/>
        </w:rPr>
        <w:t>(1)</w:t>
      </w:r>
      <w:r>
        <w:rPr>
          <w:color w:val="000000"/>
          <w:sz w:val="14"/>
          <w:szCs w:val="14"/>
          <w:rtl/>
        </w:rPr>
        <w:t xml:space="preserve">  </w:t>
      </w:r>
      <w:r>
        <w:rPr>
          <w:rFonts w:ascii="David" w:hAnsi="David" w:cs="David"/>
          <w:color w:val="000000"/>
          <w:sz w:val="28"/>
          <w:szCs w:val="28"/>
          <w:rtl/>
        </w:rPr>
        <w:t>להשפיל אדם בעיני הבריות או לעשותו מטרה לשנאה, לבוז או ללעג מצדם;</w:t>
      </w:r>
    </w:p>
    <w:p w14:paraId="121A0A97" w14:textId="77777777" w:rsidR="00000000" w:rsidRDefault="00000000">
      <w:pPr>
        <w:pStyle w:val="ab"/>
        <w:ind w:left="1191" w:right="567" w:hanging="454"/>
        <w:jc w:val="both"/>
        <w:rPr>
          <w:rtl/>
        </w:rPr>
      </w:pPr>
      <w:r>
        <w:rPr>
          <w:rFonts w:ascii="David" w:hAnsi="David" w:cs="David"/>
          <w:color w:val="000000"/>
          <w:sz w:val="28"/>
          <w:szCs w:val="28"/>
          <w:rtl/>
        </w:rPr>
        <w:t>(2)</w:t>
      </w:r>
      <w:r>
        <w:rPr>
          <w:color w:val="000000"/>
          <w:sz w:val="14"/>
          <w:szCs w:val="14"/>
          <w:rtl/>
        </w:rPr>
        <w:t xml:space="preserve">  </w:t>
      </w:r>
      <w:r>
        <w:rPr>
          <w:rFonts w:ascii="David" w:hAnsi="David" w:cs="David"/>
          <w:color w:val="000000"/>
          <w:sz w:val="28"/>
          <w:szCs w:val="28"/>
          <w:rtl/>
        </w:rPr>
        <w:t>לבזות אדם בשל מעשים, התנהגות או תכונות המיוחסים לו;</w:t>
      </w:r>
    </w:p>
    <w:p w14:paraId="0C14ED6B" w14:textId="77777777" w:rsidR="00000000" w:rsidRDefault="00000000">
      <w:pPr>
        <w:pStyle w:val="ab"/>
        <w:ind w:left="1191" w:right="567" w:hanging="454"/>
        <w:jc w:val="both"/>
        <w:rPr>
          <w:rtl/>
        </w:rPr>
      </w:pPr>
      <w:r>
        <w:rPr>
          <w:rFonts w:ascii="David" w:hAnsi="David" w:cs="David"/>
          <w:color w:val="000000"/>
          <w:sz w:val="28"/>
          <w:szCs w:val="28"/>
          <w:rtl/>
        </w:rPr>
        <w:t>(3)</w:t>
      </w:r>
      <w:r>
        <w:rPr>
          <w:color w:val="000000"/>
          <w:sz w:val="14"/>
          <w:szCs w:val="14"/>
          <w:rtl/>
        </w:rPr>
        <w:t xml:space="preserve">  </w:t>
      </w:r>
      <w:r>
        <w:rPr>
          <w:rFonts w:ascii="David" w:hAnsi="David" w:cs="David"/>
          <w:color w:val="000000"/>
          <w:sz w:val="28"/>
          <w:szCs w:val="28"/>
          <w:rtl/>
        </w:rPr>
        <w:t>לפגוע באדם במשרתו, אם משרה ציבורית ואם משרה אחרת, בעסקו, במשלח ידו או במקצועו;</w:t>
      </w:r>
    </w:p>
    <w:p w14:paraId="19E4DBF1" w14:textId="77777777" w:rsidR="00000000" w:rsidRDefault="00000000">
      <w:pPr>
        <w:pStyle w:val="ab"/>
        <w:spacing w:after="240"/>
        <w:ind w:left="1191" w:right="567" w:hanging="454"/>
        <w:jc w:val="both"/>
        <w:rPr>
          <w:rtl/>
        </w:rPr>
      </w:pPr>
      <w:r>
        <w:rPr>
          <w:rFonts w:ascii="David" w:hAnsi="David" w:cs="David"/>
          <w:color w:val="000000"/>
          <w:sz w:val="28"/>
          <w:szCs w:val="28"/>
          <w:rtl/>
        </w:rPr>
        <w:t>(4)</w:t>
      </w:r>
      <w:r>
        <w:rPr>
          <w:color w:val="000000"/>
          <w:sz w:val="14"/>
          <w:szCs w:val="14"/>
          <w:rtl/>
        </w:rPr>
        <w:t xml:space="preserve">  </w:t>
      </w:r>
      <w:r>
        <w:rPr>
          <w:rFonts w:ascii="David" w:hAnsi="David" w:cs="David"/>
          <w:color w:val="000000"/>
          <w:sz w:val="28"/>
          <w:szCs w:val="28"/>
          <w:rtl/>
        </w:rPr>
        <w:t>לבזות אדם בשל גזעו, מוצאו, דתו, מקום מגוריו, גילו, מינו, נטייתו המינית או מוגבלותו;</w:t>
      </w:r>
    </w:p>
    <w:p w14:paraId="7BD67D9F" w14:textId="77777777" w:rsidR="00000000" w:rsidRDefault="00000000">
      <w:pPr>
        <w:pStyle w:val="ab"/>
        <w:spacing w:after="240" w:line="360" w:lineRule="auto"/>
        <w:ind w:left="454" w:hanging="454"/>
        <w:jc w:val="both"/>
        <w:rPr>
          <w:rtl/>
        </w:rPr>
      </w:pPr>
      <w:r>
        <w:rPr>
          <w:rFonts w:ascii="David" w:hAnsi="David" w:cs="David"/>
          <w:sz w:val="28"/>
          <w:szCs w:val="28"/>
          <w:rtl/>
        </w:rPr>
        <w:t>43.</w:t>
      </w:r>
      <w:r>
        <w:rPr>
          <w:sz w:val="14"/>
          <w:szCs w:val="14"/>
          <w:rtl/>
        </w:rPr>
        <w:t xml:space="preserve">  </w:t>
      </w:r>
      <w:r>
        <w:rPr>
          <w:rFonts w:ascii="David" w:hAnsi="David" w:cs="David"/>
          <w:sz w:val="28"/>
          <w:szCs w:val="28"/>
          <w:rtl/>
        </w:rPr>
        <w:t>על פי ההלכה הפסוקה, הדיון בסוגיית הפגיעה בשם הטוב, על פי חוק איסור לשון הרע, מחייב ניתוח הבנוי מ-4 שלבים:</w:t>
      </w:r>
    </w:p>
    <w:p w14:paraId="6E9E2B21" w14:textId="77777777" w:rsidR="00000000" w:rsidRDefault="00000000">
      <w:pPr>
        <w:pStyle w:val="ab"/>
        <w:spacing w:after="240" w:line="360" w:lineRule="auto"/>
        <w:ind w:left="454"/>
        <w:jc w:val="both"/>
        <w:rPr>
          <w:rtl/>
        </w:rPr>
      </w:pPr>
      <w:r>
        <w:rPr>
          <w:rFonts w:ascii="David" w:hAnsi="David" w:cs="David"/>
          <w:sz w:val="28"/>
          <w:szCs w:val="28"/>
          <w:rtl/>
        </w:rPr>
        <w:t xml:space="preserve">בשלב הראשון, יש לשלוף מתוך הביטוי את פרשנותו הסבירה ולברר האם מדובר בביטוי הגורם להשפלת אדם פלוני בעיני האדם הסביר. הכוונה היא לפרש את הביטוי, בהקשר אובייקטיבי ולשאוב ממנו את המשמעות, על פי אמות מידה מקובלות של האדם הסביר. בשלב זה יש לייחס לביטוי את המשמעות הסבירה של המילים לפי הקשרן, תוך התחשבות באופייה של הסוגיה ובהתאם לתפיסות מקובלות של האדם הסביר. </w:t>
      </w:r>
    </w:p>
    <w:p w14:paraId="44E98042" w14:textId="77777777" w:rsidR="00000000" w:rsidRDefault="00000000">
      <w:pPr>
        <w:pStyle w:val="ab"/>
        <w:spacing w:after="240" w:line="360" w:lineRule="auto"/>
        <w:ind w:left="454"/>
        <w:jc w:val="both"/>
        <w:rPr>
          <w:rtl/>
        </w:rPr>
      </w:pPr>
      <w:r>
        <w:rPr>
          <w:rFonts w:ascii="David" w:hAnsi="David" w:cs="David"/>
          <w:sz w:val="28"/>
          <w:szCs w:val="28"/>
          <w:rtl/>
        </w:rPr>
        <w:t> </w:t>
      </w:r>
    </w:p>
    <w:p w14:paraId="4CEA33C6" w14:textId="77777777" w:rsidR="00000000" w:rsidRDefault="00000000">
      <w:pPr>
        <w:pStyle w:val="ab"/>
        <w:spacing w:after="240" w:line="360" w:lineRule="auto"/>
        <w:ind w:left="454"/>
        <w:jc w:val="both"/>
        <w:rPr>
          <w:rtl/>
        </w:rPr>
      </w:pPr>
      <w:r>
        <w:rPr>
          <w:rFonts w:ascii="David" w:hAnsi="David" w:cs="David"/>
          <w:sz w:val="28"/>
          <w:szCs w:val="28"/>
          <w:rtl/>
        </w:rPr>
        <w:t xml:space="preserve">השני, יש לבחון האם על פי משמעות זו מהווים הדברים "לשון הרע", על פי סעיף 1 לחוק איסור לשון הרע, והאם אופן אמירתם מהווה "פרסום", על פי הקבוע בסעיף 2 לחוק איסור לשון הרע. בהקשר זה נקבע כי יש להתחשב בזהות הנפגע מן הביטוי ולבחון האם מדובר באיש ציבור או שמא באדם פרטי. ככל ומדובר באיש ציבור, יינתן משקל רב יותר לחופש הביטוי על חשבון השם הטוב. </w:t>
      </w:r>
    </w:p>
    <w:p w14:paraId="4FD11DED" w14:textId="77777777" w:rsidR="00000000" w:rsidRDefault="00000000">
      <w:pPr>
        <w:pStyle w:val="ab"/>
        <w:spacing w:after="240" w:line="360" w:lineRule="auto"/>
        <w:ind w:left="454"/>
        <w:jc w:val="both"/>
        <w:rPr>
          <w:rtl/>
        </w:rPr>
      </w:pPr>
      <w:r>
        <w:rPr>
          <w:rFonts w:ascii="David" w:hAnsi="David" w:cs="David"/>
          <w:sz w:val="28"/>
          <w:szCs w:val="28"/>
          <w:rtl/>
        </w:rPr>
        <w:t> </w:t>
      </w:r>
    </w:p>
    <w:p w14:paraId="2475F5A0" w14:textId="77777777" w:rsidR="00000000" w:rsidRDefault="00000000">
      <w:pPr>
        <w:pStyle w:val="ab"/>
        <w:spacing w:after="240" w:line="360" w:lineRule="auto"/>
        <w:ind w:left="454"/>
        <w:jc w:val="both"/>
        <w:rPr>
          <w:rtl/>
        </w:rPr>
      </w:pPr>
      <w:r>
        <w:rPr>
          <w:rFonts w:ascii="David" w:hAnsi="David" w:cs="David"/>
          <w:sz w:val="28"/>
          <w:szCs w:val="28"/>
          <w:rtl/>
        </w:rPr>
        <w:t>בשלב השלישי, וככל שמתקיים השלב השני, יש לבחון את תחולת ההגנות השונות על הפרסום. בתחילה יש לבחון האם הפרסום נהנה מאחת החסינויות המוחלטות (פרסומים מותרים) הקבועות בסעיף 13 לחוק איסור לשון הרע. אם הפרסום חוסה תחת אחת מהגנות אלו, דין התביעה להידחות. אם הפרסום אינו נהנה מהגנות מוחלטות, יש לבחון האם הוא מוגן על פי אמת המידה הקבועה בסעיף 14 לחוק (הגנת "אמת הפרסום" ועניין ציבורי) או על פי הגנת תום הלב הקבועה בסעיף 15 לחוק, במשולב עם חזקות תום הלב שבסעיף 16. נטל ההוכחה לקיומן של הגנות אלו מוטל על המפרסם</w:t>
      </w:r>
      <w:r>
        <w:rPr>
          <w:rFonts w:ascii="David" w:hAnsi="David" w:cs="David"/>
          <w:sz w:val="28"/>
          <w:szCs w:val="28"/>
        </w:rPr>
        <w:t>.</w:t>
      </w:r>
    </w:p>
    <w:p w14:paraId="5C5CBD83" w14:textId="77777777" w:rsidR="00000000" w:rsidRDefault="00000000">
      <w:pPr>
        <w:pStyle w:val="ab"/>
        <w:spacing w:after="240" w:line="360" w:lineRule="auto"/>
        <w:ind w:left="454"/>
        <w:jc w:val="both"/>
        <w:rPr>
          <w:rtl/>
        </w:rPr>
      </w:pPr>
      <w:r>
        <w:rPr>
          <w:rFonts w:ascii="David" w:hAnsi="David" w:cs="David"/>
          <w:sz w:val="28"/>
          <w:szCs w:val="28"/>
          <w:rtl/>
        </w:rPr>
        <w:t> </w:t>
      </w:r>
    </w:p>
    <w:p w14:paraId="6CDF21E1" w14:textId="77777777" w:rsidR="00000000" w:rsidRDefault="00000000">
      <w:pPr>
        <w:pStyle w:val="ab"/>
        <w:spacing w:after="240" w:line="360" w:lineRule="auto"/>
        <w:ind w:left="454"/>
        <w:jc w:val="both"/>
        <w:rPr>
          <w:rtl/>
        </w:rPr>
      </w:pPr>
      <w:r>
        <w:rPr>
          <w:rFonts w:ascii="David" w:hAnsi="David" w:cs="David"/>
          <w:sz w:val="28"/>
          <w:szCs w:val="28"/>
          <w:rtl/>
        </w:rPr>
        <w:t xml:space="preserve">ולבסוף, בשלב הרביעי, אם ממלא הפרסום את תנאי שלושת השלבים הקודמים, נבחנת שאלת הסעדים, ובתוכן שאלת הפיצוי הראוי. </w:t>
      </w:r>
    </w:p>
    <w:p w14:paraId="4723A608" w14:textId="77777777" w:rsidR="00000000" w:rsidRDefault="00000000">
      <w:pPr>
        <w:pStyle w:val="ab"/>
        <w:spacing w:after="120" w:line="360" w:lineRule="auto"/>
        <w:ind w:left="454"/>
        <w:jc w:val="both"/>
        <w:rPr>
          <w:rtl/>
        </w:rPr>
      </w:pPr>
      <w:r>
        <w:rPr>
          <w:rFonts w:ascii="David" w:hAnsi="David" w:cs="David"/>
          <w:sz w:val="28"/>
          <w:szCs w:val="28"/>
          <w:rtl/>
        </w:rPr>
        <w:t> </w:t>
      </w:r>
    </w:p>
    <w:p w14:paraId="3DA54CF5" w14:textId="77777777" w:rsidR="00000000" w:rsidRDefault="00000000">
      <w:pPr>
        <w:pStyle w:val="ab"/>
        <w:spacing w:after="120" w:line="360" w:lineRule="auto"/>
        <w:ind w:left="454"/>
        <w:jc w:val="both"/>
        <w:rPr>
          <w:rtl/>
        </w:rPr>
      </w:pPr>
      <w:r>
        <w:rPr>
          <w:rFonts w:ascii="David" w:hAnsi="David" w:cs="David"/>
          <w:sz w:val="28"/>
          <w:szCs w:val="28"/>
          <w:rtl/>
        </w:rPr>
        <w:t>ראו: ע"א 4534/02 רשת שוקן בע"מ ואח' נ' הרציקוביץ', פ"ד נח(3) 558, עמ' 568 פסקה 9 (4.3.2004).</w:t>
      </w:r>
    </w:p>
    <w:p w14:paraId="09863ADC" w14:textId="77777777" w:rsidR="00000000" w:rsidRDefault="00000000">
      <w:pPr>
        <w:pStyle w:val="ab"/>
        <w:spacing w:after="240" w:line="360" w:lineRule="auto"/>
        <w:ind w:left="454"/>
        <w:jc w:val="both"/>
        <w:rPr>
          <w:rtl/>
        </w:rPr>
      </w:pPr>
      <w:r>
        <w:rPr>
          <w:rFonts w:ascii="David" w:hAnsi="David" w:cs="David"/>
          <w:sz w:val="28"/>
          <w:szCs w:val="28"/>
          <w:rtl/>
        </w:rPr>
        <w:t>וכן ראו: ע"א 89/04 ד"ר יולי נודלמן נ' נתן שרנסקי, בפסקה 17 (4.8.2008); ע"א 6903/12 </w:t>
      </w:r>
      <w:r>
        <w:rPr>
          <w:rFonts w:ascii="David" w:hAnsi="David" w:cs="David"/>
          <w:sz w:val="28"/>
          <w:szCs w:val="28"/>
        </w:rPr>
        <w:t>canwest global communications corp</w:t>
      </w:r>
      <w:r>
        <w:rPr>
          <w:rFonts w:ascii="David" w:hAnsi="David" w:cs="David"/>
          <w:sz w:val="28"/>
          <w:szCs w:val="28"/>
          <w:rtl/>
        </w:rPr>
        <w:t>נ' אלי עזור ‏(‏22.7.2015‏); ‏‏ע"א 751/10 פלוני נ' ד"ר אילנה דיין -אורבך</w:t>
      </w:r>
      <w:r>
        <w:rPr>
          <w:rFonts w:ascii="David" w:hAnsi="David" w:cs="David"/>
          <w:sz w:val="28"/>
          <w:szCs w:val="28"/>
        </w:rPr>
        <w:t>,</w:t>
      </w:r>
      <w:r>
        <w:rPr>
          <w:rFonts w:ascii="David" w:hAnsi="David" w:cs="David"/>
          <w:sz w:val="28"/>
          <w:szCs w:val="28"/>
          <w:rtl/>
        </w:rPr>
        <w:t xml:space="preserve"> פ"ד סה‏(‏3‏)‏ 369 ‏(‏8.2.2012‏)‏‏.</w:t>
      </w:r>
    </w:p>
    <w:p w14:paraId="7D8CB3F4" w14:textId="77777777" w:rsidR="00000000" w:rsidRDefault="00000000">
      <w:pPr>
        <w:pStyle w:val="ab"/>
        <w:spacing w:after="240" w:line="360" w:lineRule="auto"/>
        <w:ind w:left="454"/>
        <w:jc w:val="both"/>
        <w:rPr>
          <w:rtl/>
        </w:rPr>
      </w:pPr>
      <w:r>
        <w:rPr>
          <w:rFonts w:ascii="David" w:hAnsi="David" w:cs="David"/>
          <w:sz w:val="28"/>
          <w:szCs w:val="28"/>
          <w:rtl/>
        </w:rPr>
        <w:t> </w:t>
      </w:r>
    </w:p>
    <w:p w14:paraId="19E09406" w14:textId="77777777" w:rsidR="00000000" w:rsidRDefault="00000000">
      <w:pPr>
        <w:pStyle w:val="ab"/>
        <w:spacing w:after="240" w:line="360" w:lineRule="auto"/>
        <w:ind w:left="454" w:hanging="454"/>
        <w:jc w:val="both"/>
        <w:rPr>
          <w:rtl/>
        </w:rPr>
      </w:pPr>
      <w:r>
        <w:rPr>
          <w:rFonts w:ascii="David" w:hAnsi="David" w:cs="David"/>
          <w:sz w:val="28"/>
          <w:szCs w:val="28"/>
          <w:rtl/>
        </w:rPr>
        <w:t>44.</w:t>
      </w:r>
      <w:r>
        <w:rPr>
          <w:sz w:val="14"/>
          <w:szCs w:val="14"/>
          <w:rtl/>
        </w:rPr>
        <w:t xml:space="preserve">  </w:t>
      </w:r>
      <w:r>
        <w:rPr>
          <w:rFonts w:ascii="David" w:hAnsi="David" w:cs="David"/>
          <w:sz w:val="28"/>
          <w:szCs w:val="28"/>
          <w:rtl/>
        </w:rPr>
        <w:t>כאמור, השאלה אם ביטוי מסוים או דברים שנאמרו מהווים "לשון הרע" נבחנת על בסיס מבחן אובייקטיבי אשר מתמקד בשאלה "מהו המובן שהאדם הסביר והרגיל היה מתייחס לפרסום, ואם היה באותו מובן כדי לפגוע בשמו הטוב של התובע. בהתאם לכך, אין חשיבות לכוונת המפרסם או לדרך שבה הובן הפרסום על ידי הטוען לפגיעה בו." (ראו: ע"א 1104/00 דוד אפל נ' איילה חסון, פ"ד נו(2) 607, בעמ' 617 (10.1.2002)). על בית המשפט לפרש את הפרסום על פי המובן הטבעי והרגיל של מילותיו, אך גם יתחשב במה שמשתמע "בין השורות" ובנסיבות החיצוניות הסובבות את הפרסום. הבחינה תיעשה בהתאם להקשר המלא והרחב בו נעשה הפרסום, והרושם הכללי אשר יצר הפרסום. גם שימוש בלשון משתמעת עשוי להטיל דופי בנפגע, הכל בהתאם להקשר הדברים והבנתם על ידי האדם הסביר.</w:t>
      </w:r>
    </w:p>
    <w:p w14:paraId="579B71BC" w14:textId="77777777" w:rsidR="00000000" w:rsidRDefault="00000000">
      <w:pPr>
        <w:pStyle w:val="ab"/>
        <w:spacing w:after="240" w:line="360" w:lineRule="auto"/>
        <w:ind w:left="454"/>
        <w:jc w:val="both"/>
        <w:rPr>
          <w:rtl/>
        </w:rPr>
      </w:pPr>
      <w:r>
        <w:rPr>
          <w:rFonts w:ascii="David" w:hAnsi="David" w:cs="David"/>
          <w:sz w:val="28"/>
          <w:szCs w:val="28"/>
          <w:u w:val="single"/>
          <w:rtl/>
        </w:rPr>
        <w:t>מן הכלל אל הפרט</w:t>
      </w:r>
    </w:p>
    <w:p w14:paraId="0167250C" w14:textId="77777777" w:rsidR="00000000" w:rsidRDefault="00000000">
      <w:pPr>
        <w:pStyle w:val="ab"/>
        <w:spacing w:after="240" w:line="360" w:lineRule="auto"/>
        <w:ind w:left="454" w:hanging="454"/>
        <w:jc w:val="both"/>
        <w:rPr>
          <w:rtl/>
        </w:rPr>
      </w:pPr>
      <w:r>
        <w:rPr>
          <w:rFonts w:ascii="David" w:hAnsi="David" w:cs="David"/>
          <w:sz w:val="28"/>
          <w:szCs w:val="28"/>
          <w:rtl/>
        </w:rPr>
        <w:t>45.</w:t>
      </w:r>
      <w:r>
        <w:rPr>
          <w:sz w:val="14"/>
          <w:szCs w:val="14"/>
          <w:rtl/>
        </w:rPr>
        <w:t xml:space="preserve">  </w:t>
      </w:r>
      <w:r>
        <w:rPr>
          <w:rFonts w:ascii="David" w:hAnsi="David" w:cs="David"/>
          <w:sz w:val="28"/>
          <w:szCs w:val="28"/>
          <w:rtl/>
        </w:rPr>
        <w:t>במוקד המחלוקת בין הצדדים מצוי הפרסום הכלול בפסקה המצויה במחציתו התחתון של העמוד הראשון לאיגרת בחירות בת 4 עמודים שהפיץ המשיב בקרב תושבי המועצה, באמצעות משלוח לתיבות דואר ובמסגרת חוגי בית שערך המשיב ועניינה הצגת מועמדותו לראשות המועצה.</w:t>
      </w:r>
    </w:p>
    <w:p w14:paraId="6D04F87A" w14:textId="77777777" w:rsidR="00000000" w:rsidRDefault="00000000">
      <w:pPr>
        <w:pStyle w:val="ab"/>
        <w:spacing w:after="240" w:line="360" w:lineRule="auto"/>
        <w:ind w:left="454" w:hanging="454"/>
        <w:jc w:val="both"/>
        <w:rPr>
          <w:rtl/>
        </w:rPr>
      </w:pPr>
      <w:r>
        <w:rPr>
          <w:rFonts w:ascii="David" w:hAnsi="David" w:cs="David"/>
          <w:sz w:val="28"/>
          <w:szCs w:val="28"/>
          <w:rtl/>
        </w:rPr>
        <w:t>46.</w:t>
      </w:r>
      <w:r>
        <w:rPr>
          <w:sz w:val="14"/>
          <w:szCs w:val="14"/>
          <w:rtl/>
        </w:rPr>
        <w:t xml:space="preserve">  </w:t>
      </w:r>
      <w:r>
        <w:rPr>
          <w:rFonts w:ascii="David" w:hAnsi="David" w:cs="David"/>
          <w:sz w:val="28"/>
          <w:szCs w:val="28"/>
          <w:rtl/>
        </w:rPr>
        <w:t xml:space="preserve">בענייננו, אין מחלוקת על כך כי נעשה פרסום, כמשמעותו בחוק איסור לשון הרע וכי המפרסם הוא המשיב ומכאן שאיגרת הבחירות עונה על הגדרת הפרסום. </w:t>
      </w:r>
    </w:p>
    <w:p w14:paraId="72BD4639" w14:textId="77777777" w:rsidR="00000000" w:rsidRDefault="00000000">
      <w:pPr>
        <w:pStyle w:val="ab"/>
        <w:spacing w:after="240" w:line="360" w:lineRule="auto"/>
        <w:ind w:left="454" w:hanging="454"/>
        <w:jc w:val="both"/>
        <w:rPr>
          <w:rtl/>
        </w:rPr>
      </w:pPr>
      <w:r>
        <w:rPr>
          <w:rFonts w:ascii="David" w:hAnsi="David" w:cs="David"/>
          <w:sz w:val="28"/>
          <w:szCs w:val="28"/>
          <w:rtl/>
        </w:rPr>
        <w:t>47.</w:t>
      </w:r>
      <w:r>
        <w:rPr>
          <w:sz w:val="14"/>
          <w:szCs w:val="14"/>
          <w:rtl/>
        </w:rPr>
        <w:t xml:space="preserve">  </w:t>
      </w:r>
      <w:r>
        <w:rPr>
          <w:rFonts w:ascii="David" w:hAnsi="David" w:cs="David"/>
          <w:sz w:val="28"/>
          <w:szCs w:val="28"/>
          <w:rtl/>
        </w:rPr>
        <w:t xml:space="preserve">המחלוקות העיקריות העומדות לדיון בהליך הערעור והדורשות הכרעה נוגעות לשאלה האם מדובר בפרסום שיש בו הבעת דעה בלבד המהווה ביקורת, החוסה תחת חופש הביטוי או שמא מדובר בפרסום לשון הרע, וכן בשאלה האם עומדות למשיב הגנות על פי החוק, ובפרט ההגנה בדבר הבעת דעה בתום לב בעניין ציבורי, הקבועה בסעיף 15(4) לחוק איסור לשון הרע. </w:t>
      </w:r>
    </w:p>
    <w:p w14:paraId="623BDF48" w14:textId="77777777" w:rsidR="00000000" w:rsidRDefault="00000000">
      <w:pPr>
        <w:pStyle w:val="ab"/>
        <w:spacing w:after="240" w:line="360" w:lineRule="auto"/>
        <w:ind w:left="454" w:hanging="454"/>
        <w:jc w:val="both"/>
        <w:rPr>
          <w:rtl/>
        </w:rPr>
      </w:pPr>
      <w:r>
        <w:rPr>
          <w:rFonts w:ascii="David" w:hAnsi="David" w:cs="David"/>
          <w:sz w:val="28"/>
          <w:szCs w:val="28"/>
          <w:rtl/>
        </w:rPr>
        <w:t>48.</w:t>
      </w:r>
      <w:r>
        <w:rPr>
          <w:sz w:val="14"/>
          <w:szCs w:val="14"/>
          <w:rtl/>
        </w:rPr>
        <w:t xml:space="preserve">  </w:t>
      </w:r>
      <w:r>
        <w:rPr>
          <w:rFonts w:ascii="David" w:hAnsi="David" w:cs="David"/>
          <w:sz w:val="28"/>
          <w:szCs w:val="28"/>
          <w:rtl/>
        </w:rPr>
        <w:t>למעשה, קיימות נקודות השקה רבות בין השאלה בדבר היות הפרסום לשון הרע והאם מדובר בטענה שבעובדה או בדעה, והשאלה בדבר קיומה של הגנה הבוחנת האם מדובר בהבעת דעה בתום לב בעניין ציבורי. השאלה המשותפת העיקרית היא כמובן, האם יש בפרסום משום הבעת עמדה או שמא מדובר בטענות הכוללות קביעת עובדות. כך נקבע כי "הן הבעת עמדה, הן קביעת עובדה, עשויות לבוא בקהל הביטויים העולים כדי 'לשון הרע', כהגדרתו בסעיף 1 לחוק ... ואולם, על הספקטרום שבין הביטויים המהווים לשון הרע, לבין אלו שאינם כאלה, ברי כי פרסומים שיאופיינו כהבעת עמדה, ככלל, יהיו קרובים יותר לקוטב השני מאשר לזה הראשון". וכן נקבע כי מדובר במבחנים ובשיקולים דומים, ש"כידוע, השיקולים המשמשים בהתייחס לפרשנות ולסיווג הפרסום, יפים גם לשאלת תחולתן של הגנות החוק" (ע"א 817/23 עמותת חוזה חדש נ' ח"כ מיקי (מכלוף) זוהר, בפסקה 19 ובפסקה 39 (מיום 30.5.2023)).</w:t>
      </w:r>
    </w:p>
    <w:p w14:paraId="2DF1C09F" w14:textId="77777777" w:rsidR="00000000" w:rsidRDefault="00000000">
      <w:pPr>
        <w:pStyle w:val="ab"/>
        <w:spacing w:after="240" w:line="360" w:lineRule="auto"/>
        <w:ind w:left="454" w:hanging="454"/>
        <w:jc w:val="both"/>
        <w:rPr>
          <w:rtl/>
        </w:rPr>
      </w:pPr>
      <w:r>
        <w:rPr>
          <w:rFonts w:ascii="David" w:hAnsi="David" w:cs="David"/>
          <w:sz w:val="28"/>
          <w:szCs w:val="28"/>
          <w:rtl/>
        </w:rPr>
        <w:t>49.</w:t>
      </w:r>
      <w:r>
        <w:rPr>
          <w:sz w:val="14"/>
          <w:szCs w:val="14"/>
          <w:rtl/>
        </w:rPr>
        <w:t xml:space="preserve">  </w:t>
      </w:r>
      <w:r>
        <w:rPr>
          <w:rFonts w:ascii="David" w:hAnsi="David" w:cs="David"/>
          <w:sz w:val="28"/>
          <w:szCs w:val="28"/>
          <w:rtl/>
        </w:rPr>
        <w:t xml:space="preserve">יש לבחון הדברים, כאמור, בהתאם למבחן אובייקטיבי, היינו מהו המובן שהאדם הסביר והרגיל היה מייחס לפרסום והאם היה באותו המובן כדי לפגוע בשמו הטוב של המערער. </w:t>
      </w:r>
    </w:p>
    <w:p w14:paraId="2E776A15" w14:textId="77777777" w:rsidR="00000000" w:rsidRDefault="00000000">
      <w:pPr>
        <w:pStyle w:val="ab"/>
        <w:spacing w:after="240" w:line="360" w:lineRule="auto"/>
        <w:ind w:left="454" w:hanging="454"/>
        <w:jc w:val="both"/>
        <w:rPr>
          <w:rtl/>
        </w:rPr>
      </w:pPr>
      <w:r>
        <w:rPr>
          <w:rFonts w:ascii="David" w:hAnsi="David" w:cs="David"/>
          <w:sz w:val="28"/>
          <w:szCs w:val="28"/>
          <w:rtl/>
        </w:rPr>
        <w:t>50.</w:t>
      </w:r>
      <w:r>
        <w:rPr>
          <w:sz w:val="14"/>
          <w:szCs w:val="14"/>
          <w:rtl/>
        </w:rPr>
        <w:t xml:space="preserve">  </w:t>
      </w:r>
      <w:r>
        <w:rPr>
          <w:rFonts w:ascii="David" w:hAnsi="David" w:cs="David"/>
          <w:sz w:val="28"/>
          <w:szCs w:val="28"/>
          <w:rtl/>
        </w:rPr>
        <w:t xml:space="preserve">כמפורט לעיל, הרקע לפרסום איגרת הבחירות הוא מסע בחירות לראשות המועצה. המשיב אשר ניהל קמפיין בחירות ביקש להציג את מועמדותו לראשות המועצה ולצורך כך פרסם את איגרת הבחירות. </w:t>
      </w:r>
    </w:p>
    <w:p w14:paraId="362D64B2" w14:textId="77777777" w:rsidR="00000000" w:rsidRDefault="00000000">
      <w:pPr>
        <w:pStyle w:val="ab"/>
        <w:spacing w:after="240" w:line="360" w:lineRule="auto"/>
        <w:ind w:left="454" w:hanging="454"/>
        <w:jc w:val="both"/>
        <w:rPr>
          <w:rtl/>
        </w:rPr>
      </w:pPr>
      <w:r>
        <w:rPr>
          <w:rFonts w:ascii="David" w:hAnsi="David" w:cs="David"/>
          <w:sz w:val="28"/>
          <w:szCs w:val="28"/>
          <w:rtl/>
        </w:rPr>
        <w:t>51.</w:t>
      </w:r>
      <w:r>
        <w:rPr>
          <w:sz w:val="14"/>
          <w:szCs w:val="14"/>
          <w:rtl/>
        </w:rPr>
        <w:t xml:space="preserve">  </w:t>
      </w:r>
      <w:r>
        <w:rPr>
          <w:rFonts w:ascii="David" w:hAnsi="David" w:cs="David"/>
          <w:sz w:val="28"/>
          <w:szCs w:val="28"/>
          <w:rtl/>
        </w:rPr>
        <w:t xml:space="preserve">איגרת הבחירות כוללת 4 עמודים אשר כותרתה "איגרת לתושבי מ.א אשכול מטעם המועמד לראשות המועצה, עופר מימון". במחציתו העליונה של העמוד הראשון מופיעה כותרת "יוצאים לדרך" ובה מציג המשיב את ה"אני מאמין" שלו לגבי עתיד המועצה. </w:t>
      </w:r>
    </w:p>
    <w:p w14:paraId="067CDBEE" w14:textId="77777777" w:rsidR="00000000" w:rsidRDefault="00000000">
      <w:pPr>
        <w:pStyle w:val="ab"/>
        <w:spacing w:after="240" w:line="360" w:lineRule="auto"/>
        <w:ind w:left="454" w:hanging="454"/>
        <w:jc w:val="both"/>
        <w:rPr>
          <w:rtl/>
        </w:rPr>
      </w:pPr>
      <w:r>
        <w:rPr>
          <w:rFonts w:ascii="David" w:hAnsi="David" w:cs="David"/>
          <w:sz w:val="28"/>
          <w:szCs w:val="28"/>
          <w:rtl/>
        </w:rPr>
        <w:t>52.</w:t>
      </w:r>
      <w:r>
        <w:rPr>
          <w:sz w:val="14"/>
          <w:szCs w:val="14"/>
          <w:rtl/>
        </w:rPr>
        <w:t xml:space="preserve">  </w:t>
      </w:r>
      <w:r>
        <w:rPr>
          <w:rFonts w:ascii="David" w:hAnsi="David" w:cs="David"/>
          <w:sz w:val="28"/>
          <w:szCs w:val="28"/>
          <w:rtl/>
        </w:rPr>
        <w:t xml:space="preserve">הפרסום השנוי במחלוקת נשוא ההליך מופיע במחציתו התחתונה של העמוד הראשון לאיגרת וכותרתו היא "למה עזבתי את החברה הכלכלית?" </w:t>
      </w:r>
    </w:p>
    <w:p w14:paraId="7F0DF613" w14:textId="77777777" w:rsidR="00000000" w:rsidRDefault="00000000">
      <w:pPr>
        <w:pStyle w:val="ab"/>
        <w:spacing w:after="240" w:line="360" w:lineRule="auto"/>
        <w:ind w:left="454" w:hanging="454"/>
        <w:jc w:val="both"/>
        <w:rPr>
          <w:rtl/>
        </w:rPr>
      </w:pPr>
      <w:r>
        <w:rPr>
          <w:rFonts w:ascii="David" w:hAnsi="David" w:cs="David"/>
          <w:sz w:val="28"/>
          <w:szCs w:val="28"/>
          <w:rtl/>
        </w:rPr>
        <w:t>53.</w:t>
      </w:r>
      <w:r>
        <w:rPr>
          <w:sz w:val="14"/>
          <w:szCs w:val="14"/>
          <w:rtl/>
        </w:rPr>
        <w:t xml:space="preserve">  </w:t>
      </w:r>
      <w:r>
        <w:rPr>
          <w:rFonts w:ascii="David" w:hAnsi="David" w:cs="David"/>
          <w:sz w:val="28"/>
          <w:szCs w:val="28"/>
          <w:rtl/>
        </w:rPr>
        <w:t xml:space="preserve">בחינה אובייקטיבית של הפרסום שבמחלוקת מתוך איגרת הבחירות מעלה כי אמנם הביקורת המועלית במסגרתה נוגעת לראש המועצה (אשר שמו אף לא ננקב במפורש), אולם בראיית הפרסום בכללותו, עולה כי יש בביטויים בהם השתמש המשיב כדי לייחס מידה של אי יושר והטלת דופי במערער ואלו האירו את אישיותו ומעשיו של המערער באור שלילי. משכך, במבחן האדם הסביר יש בהם משום לשון הרע כלפיו. </w:t>
      </w:r>
    </w:p>
    <w:p w14:paraId="55A63515" w14:textId="77777777" w:rsidR="00000000" w:rsidRDefault="00000000">
      <w:pPr>
        <w:pStyle w:val="ab"/>
        <w:spacing w:after="240" w:line="360" w:lineRule="auto"/>
        <w:ind w:left="454" w:hanging="454"/>
        <w:jc w:val="both"/>
        <w:rPr>
          <w:rtl/>
        </w:rPr>
      </w:pPr>
      <w:r>
        <w:rPr>
          <w:rFonts w:ascii="David" w:hAnsi="David" w:cs="David"/>
          <w:sz w:val="28"/>
          <w:szCs w:val="28"/>
          <w:rtl/>
        </w:rPr>
        <w:t>54.</w:t>
      </w:r>
      <w:r>
        <w:rPr>
          <w:sz w:val="14"/>
          <w:szCs w:val="14"/>
          <w:rtl/>
        </w:rPr>
        <w:t xml:space="preserve">  </w:t>
      </w:r>
      <w:r>
        <w:rPr>
          <w:rFonts w:ascii="David" w:hAnsi="David" w:cs="David"/>
          <w:sz w:val="28"/>
          <w:szCs w:val="28"/>
          <w:rtl/>
        </w:rPr>
        <w:t xml:space="preserve">בעיקר הדברים אמורים בשימוש במונחים "יוסי רקחים שכאלה", "ייעוץ וירטואלי שלא נדרש", "מה התועלת שהוא מספק עבור התשלום הזה? כלום, פשוט כלום", ביטויים שיש בהם לטעון כי המערער פעל באופן לא תקין, באופן פסול, בחוסר רגישות לנורמות ציבוריות ואף נהג במידה של חוסר מוסריות ביחס לקבלת כספי ציבור. </w:t>
      </w:r>
    </w:p>
    <w:p w14:paraId="644F3BF8" w14:textId="77777777" w:rsidR="00000000" w:rsidRDefault="00000000">
      <w:pPr>
        <w:pStyle w:val="ab"/>
        <w:spacing w:after="240" w:line="360" w:lineRule="auto"/>
        <w:ind w:left="454" w:hanging="454"/>
        <w:jc w:val="both"/>
        <w:rPr>
          <w:rtl/>
        </w:rPr>
      </w:pPr>
      <w:r>
        <w:rPr>
          <w:rFonts w:ascii="David" w:hAnsi="David" w:cs="David"/>
          <w:sz w:val="28"/>
          <w:szCs w:val="28"/>
          <w:rtl/>
        </w:rPr>
        <w:t>55.</w:t>
      </w:r>
      <w:r>
        <w:rPr>
          <w:sz w:val="14"/>
          <w:szCs w:val="14"/>
          <w:rtl/>
        </w:rPr>
        <w:t xml:space="preserve">  </w:t>
      </w:r>
      <w:r>
        <w:rPr>
          <w:rFonts w:ascii="David" w:hAnsi="David" w:cs="David"/>
          <w:sz w:val="28"/>
          <w:szCs w:val="28"/>
          <w:rtl/>
        </w:rPr>
        <w:t xml:space="preserve">לצד הביטויים הרבים המופיעים בפרסום המתייחסים באופן שלילי למערער, הרי שגם אופן תיאור הדברים מוסיף נופך של נכלוליות, כגון בתיאור הגשת החשבוניות במילים: "שלוש חשבוניות מקומטות ששלף מכיסו". </w:t>
      </w:r>
    </w:p>
    <w:p w14:paraId="4EBC9506" w14:textId="77777777" w:rsidR="00000000" w:rsidRDefault="00000000">
      <w:pPr>
        <w:pStyle w:val="ab"/>
        <w:spacing w:after="240" w:line="360" w:lineRule="auto"/>
        <w:ind w:left="454" w:hanging="454"/>
        <w:jc w:val="both"/>
        <w:rPr>
          <w:rtl/>
        </w:rPr>
      </w:pPr>
      <w:r>
        <w:rPr>
          <w:rFonts w:ascii="David" w:hAnsi="David" w:cs="David"/>
          <w:sz w:val="28"/>
          <w:szCs w:val="28"/>
          <w:rtl/>
        </w:rPr>
        <w:t>56.</w:t>
      </w:r>
      <w:r>
        <w:rPr>
          <w:sz w:val="14"/>
          <w:szCs w:val="14"/>
          <w:rtl/>
        </w:rPr>
        <w:t xml:space="preserve">  </w:t>
      </w:r>
      <w:r>
        <w:rPr>
          <w:rFonts w:ascii="David" w:hAnsi="David" w:cs="David"/>
          <w:sz w:val="28"/>
          <w:szCs w:val="28"/>
          <w:rtl/>
        </w:rPr>
        <w:t>לסיכום הדברים, כותב המשיב: "שחיתות ציבורית? זריקת כספי ציבור? אני אלחם בזה, ואני יודע לעשות את זה!". אמנם, לאחר המילה שחיתות מופיע סימן שאלה, אולם על רקע התיאור שכבר הובא, האדם הסביר אינו מבין זאת כשאלה אמיתית. למרות סימן השאלה, מבין הקורא כי יש כאן קביעה ברורה וחד משמעית מצד המשיב כי בכוונתו להילחם בתופעות אותן תיאר, העולות כדי שחיתות וזריקת כספי ציבור. סימן השאלה אינו מבקש תשובה מהקורא, אלא יוצר מראית עין בלבד של תהייה, ולמעשה הקביעה כבר קיימת ומובנת מאליה. בדרך זו נוצר ניסוח אשר אומנם מוצג כמו שאלה, אולם בפועל כולל טענה בדבר קיומו של מצב דברים כעובדה, אשר יש בכוונת המשיב להילחם בו והוא יודע כיצד לעשות זאת.</w:t>
      </w:r>
    </w:p>
    <w:p w14:paraId="33ADF1A7" w14:textId="77777777" w:rsidR="00000000" w:rsidRDefault="00000000">
      <w:pPr>
        <w:pStyle w:val="ab"/>
        <w:spacing w:after="240" w:line="360" w:lineRule="auto"/>
        <w:ind w:left="454" w:hanging="454"/>
        <w:jc w:val="both"/>
        <w:rPr>
          <w:rtl/>
        </w:rPr>
      </w:pPr>
      <w:r>
        <w:rPr>
          <w:rFonts w:ascii="David" w:hAnsi="David" w:cs="David"/>
          <w:sz w:val="28"/>
          <w:szCs w:val="28"/>
          <w:rtl/>
        </w:rPr>
        <w:t>57.</w:t>
      </w:r>
      <w:r>
        <w:rPr>
          <w:sz w:val="14"/>
          <w:szCs w:val="14"/>
          <w:rtl/>
        </w:rPr>
        <w:t xml:space="preserve">  </w:t>
      </w:r>
      <w:r>
        <w:rPr>
          <w:rFonts w:ascii="David" w:hAnsi="David" w:cs="David"/>
          <w:sz w:val="28"/>
          <w:szCs w:val="28"/>
          <w:rtl/>
        </w:rPr>
        <w:t xml:space="preserve">בנוסף לכל האמור, גם התמונה בה עשה שימוש המשיב באיגרת הבחירות בצמוד לפרסום הנדון, בה מופיע המערער מחזיק כוס יין ומחייך, מציגה את המערער באור שלילי. אמנם, עצם פרסום תמונת המערער כאמור אינו מהווה בפני עצמו לשון הרע, אולם הפירוש הסביר שלה, שעה שהיא מוצגת לצד הטקסט הכתוב, הוא בהצגת המערער כנהנתן אשר מנצל את קשריו עם ראש המועצה לקבלת כספי ציבור שלא כדין. התמונה המהווה חלק מהפרסום, מחזקת את המסקנה כי יש בפרסום לפגוע במערער לפי המבחן האובייקטיבי וכי אין מדובר בהבעת דעה בלבד. </w:t>
      </w:r>
    </w:p>
    <w:p w14:paraId="331C71C7" w14:textId="77777777" w:rsidR="00000000" w:rsidRDefault="00000000">
      <w:pPr>
        <w:pStyle w:val="ab"/>
        <w:spacing w:after="240" w:line="360" w:lineRule="auto"/>
        <w:ind w:left="454" w:hanging="454"/>
        <w:jc w:val="both"/>
        <w:rPr>
          <w:rtl/>
        </w:rPr>
      </w:pPr>
      <w:r>
        <w:rPr>
          <w:rFonts w:ascii="David" w:hAnsi="David" w:cs="David"/>
          <w:sz w:val="28"/>
          <w:szCs w:val="28"/>
          <w:rtl/>
        </w:rPr>
        <w:t>58.</w:t>
      </w:r>
      <w:r>
        <w:rPr>
          <w:sz w:val="14"/>
          <w:szCs w:val="14"/>
          <w:rtl/>
        </w:rPr>
        <w:t xml:space="preserve">  </w:t>
      </w:r>
      <w:r>
        <w:rPr>
          <w:rFonts w:ascii="David" w:hAnsi="David" w:cs="David"/>
          <w:sz w:val="28"/>
          <w:szCs w:val="28"/>
          <w:rtl/>
        </w:rPr>
        <w:t xml:space="preserve">הנה כי כן, הטענות המועלות באיגרת כלפי המערער, אופן תיאור המערער וההתייחסות אליו והביטויים השונים הכלולים בפרסום, לרבות תמונתו של המערער, על רקע ההקשר הכללי של האיגרת שנשלחה במסגרת קמפיין בחירות, כל אלה עולים יחדיו כדי פרסום אשר בעיני הקורא הסביר כולל פגיעה בשמו הטוב של המערער ועל כן יש לקבוע כי הפרסום מהווה לשון הרע. </w:t>
      </w:r>
    </w:p>
    <w:p w14:paraId="6545BE86" w14:textId="77777777" w:rsidR="00000000" w:rsidRDefault="00000000">
      <w:pPr>
        <w:pStyle w:val="ab"/>
        <w:spacing w:after="240" w:line="360" w:lineRule="auto"/>
        <w:ind w:left="454"/>
        <w:jc w:val="both"/>
        <w:rPr>
          <w:rtl/>
        </w:rPr>
      </w:pPr>
      <w:r>
        <w:rPr>
          <w:rFonts w:ascii="David" w:hAnsi="David" w:cs="David"/>
          <w:sz w:val="28"/>
          <w:szCs w:val="28"/>
          <w:u w:val="single"/>
          <w:rtl/>
        </w:rPr>
        <w:t xml:space="preserve">שאלת קיומן של הגנות </w:t>
      </w:r>
    </w:p>
    <w:p w14:paraId="3FAB15B6" w14:textId="77777777" w:rsidR="00000000" w:rsidRDefault="00000000">
      <w:pPr>
        <w:pStyle w:val="ab"/>
        <w:spacing w:after="240" w:line="360" w:lineRule="auto"/>
        <w:ind w:left="454" w:hanging="454"/>
        <w:jc w:val="both"/>
        <w:rPr>
          <w:rtl/>
        </w:rPr>
      </w:pPr>
      <w:r>
        <w:rPr>
          <w:rFonts w:ascii="David" w:hAnsi="David" w:cs="David"/>
          <w:sz w:val="28"/>
          <w:szCs w:val="28"/>
          <w:rtl/>
        </w:rPr>
        <w:t>59.</w:t>
      </w:r>
      <w:r>
        <w:rPr>
          <w:sz w:val="14"/>
          <w:szCs w:val="14"/>
          <w:rtl/>
        </w:rPr>
        <w:t xml:space="preserve">  </w:t>
      </w:r>
      <w:r>
        <w:rPr>
          <w:rFonts w:ascii="David" w:hAnsi="David" w:cs="David"/>
          <w:sz w:val="28"/>
          <w:szCs w:val="28"/>
          <w:rtl/>
        </w:rPr>
        <w:t>המשיב טען כי עומדת לו הגנת תום הלב ובתוך כך ההגנה שבסעיף 15(4) לחוק איסור לשון הרע בדבר הבעת דעה, הקובעת כדלקמן:</w:t>
      </w:r>
    </w:p>
    <w:p w14:paraId="216CCAB3" w14:textId="77777777" w:rsidR="00000000" w:rsidRDefault="00000000">
      <w:pPr>
        <w:pStyle w:val="ab"/>
        <w:spacing w:after="240"/>
        <w:ind w:left="964" w:right="567"/>
        <w:jc w:val="both"/>
        <w:rPr>
          <w:rtl/>
        </w:rPr>
      </w:pPr>
      <w:r>
        <w:rPr>
          <w:rFonts w:ascii="David" w:hAnsi="David" w:cs="David"/>
          <w:sz w:val="28"/>
          <w:szCs w:val="28"/>
          <w:rtl/>
        </w:rPr>
        <w:t>"במשפט פלילי או אזרחי בשל לשון הרע תהא זאת הגנה טובה אם הנאשם או הנתבע עשה את הפרסום בתום לב באחת הנסיבות האלו:</w:t>
      </w:r>
    </w:p>
    <w:p w14:paraId="65A8F7DD" w14:textId="77777777" w:rsidR="00000000" w:rsidRDefault="00000000">
      <w:pPr>
        <w:pStyle w:val="ab"/>
        <w:spacing w:after="240"/>
        <w:ind w:left="964" w:right="567"/>
        <w:jc w:val="both"/>
        <w:rPr>
          <w:rtl/>
        </w:rPr>
      </w:pPr>
      <w:r>
        <w:rPr>
          <w:rFonts w:ascii="David" w:hAnsi="David" w:cs="David"/>
          <w:sz w:val="28"/>
          <w:szCs w:val="28"/>
        </w:rPr>
        <w:t> </w:t>
      </w:r>
    </w:p>
    <w:p w14:paraId="1E39B407" w14:textId="77777777" w:rsidR="00000000" w:rsidRDefault="00000000">
      <w:pPr>
        <w:pStyle w:val="ab"/>
        <w:spacing w:after="240"/>
        <w:ind w:left="964" w:right="567"/>
        <w:jc w:val="both"/>
        <w:rPr>
          <w:rtl/>
        </w:rPr>
      </w:pPr>
      <w:r>
        <w:rPr>
          <w:rFonts w:ascii="David" w:hAnsi="David" w:cs="David"/>
          <w:sz w:val="28"/>
          <w:szCs w:val="28"/>
          <w:rtl/>
        </w:rPr>
        <w:t xml:space="preserve">... "הפרסום היה הבעת דעה על התנהגות הנפגע בתפקיד שיפוטי, רשמי או ציבורי, בשירות ציבורי או בקשר לענין ציבורי, או על אפיו, עברו, מעשיו או דעותיו של הנפגע במידה שהם נתגלו באותה התנהגות". </w:t>
      </w:r>
    </w:p>
    <w:p w14:paraId="26BC22BF" w14:textId="77777777" w:rsidR="00000000" w:rsidRDefault="00000000">
      <w:pPr>
        <w:pStyle w:val="ab"/>
        <w:spacing w:after="240"/>
        <w:ind w:left="851" w:right="567"/>
        <w:jc w:val="both"/>
        <w:rPr>
          <w:rtl/>
        </w:rPr>
      </w:pPr>
      <w:r>
        <w:rPr>
          <w:rFonts w:ascii="David" w:hAnsi="David" w:cs="David"/>
          <w:sz w:val="28"/>
          <w:szCs w:val="28"/>
        </w:rPr>
        <w:t> </w:t>
      </w:r>
    </w:p>
    <w:p w14:paraId="1A8DC7B0" w14:textId="77777777" w:rsidR="00000000" w:rsidRDefault="00000000">
      <w:pPr>
        <w:pStyle w:val="ab"/>
        <w:spacing w:after="240" w:line="360" w:lineRule="auto"/>
        <w:ind w:left="454" w:hanging="454"/>
        <w:jc w:val="both"/>
        <w:rPr>
          <w:rtl/>
        </w:rPr>
      </w:pPr>
      <w:r>
        <w:rPr>
          <w:rFonts w:ascii="David" w:hAnsi="David" w:cs="David"/>
          <w:sz w:val="28"/>
          <w:szCs w:val="28"/>
          <w:rtl/>
        </w:rPr>
        <w:t>60.</w:t>
      </w:r>
      <w:r>
        <w:rPr>
          <w:sz w:val="14"/>
          <w:szCs w:val="14"/>
          <w:rtl/>
        </w:rPr>
        <w:t xml:space="preserve">  </w:t>
      </w:r>
      <w:r>
        <w:rPr>
          <w:rFonts w:ascii="David" w:hAnsi="David" w:cs="David"/>
          <w:sz w:val="28"/>
          <w:szCs w:val="28"/>
          <w:rtl/>
        </w:rPr>
        <w:t xml:space="preserve">על מנת שהפרסום יחסה תחת הגנת תום הלב צריכים להתקיים בו שני יסודות: האחד הינו כי הפרסום נעשה בתום לב והשני כי התקיימה בו אחת החלופות המנויות בסעיף 15 לחוק ובעניינו הבעת דעה בעניין ציבורי. </w:t>
      </w:r>
    </w:p>
    <w:p w14:paraId="4C327DA8" w14:textId="77777777" w:rsidR="00000000" w:rsidRDefault="00000000">
      <w:pPr>
        <w:pStyle w:val="ab"/>
        <w:spacing w:after="240" w:line="360" w:lineRule="auto"/>
        <w:ind w:left="454" w:hanging="454"/>
        <w:jc w:val="both"/>
        <w:rPr>
          <w:rtl/>
        </w:rPr>
      </w:pPr>
      <w:r>
        <w:rPr>
          <w:rFonts w:ascii="David" w:hAnsi="David" w:cs="David"/>
          <w:sz w:val="28"/>
          <w:szCs w:val="28"/>
          <w:rtl/>
        </w:rPr>
        <w:t>61.</w:t>
      </w:r>
      <w:r>
        <w:rPr>
          <w:sz w:val="14"/>
          <w:szCs w:val="14"/>
          <w:rtl/>
        </w:rPr>
        <w:t xml:space="preserve">  </w:t>
      </w:r>
      <w:r>
        <w:rPr>
          <w:rFonts w:ascii="David" w:hAnsi="David" w:cs="David"/>
          <w:sz w:val="28"/>
          <w:szCs w:val="28"/>
          <w:rtl/>
        </w:rPr>
        <w:t xml:space="preserve">לצורך החלת ההגנה ובחינת סיווג הפרסום כהבעת דעה או כעובדה אובייקטיבית, יש לעיין בפרסום ולבחון מהו הרושם הכללי שיוצר מירקם הדברים בעיני הקורא הסביר והוא זה שחולש על סיווגם של הדברים. אין מקום לניתוח מדוקדק של כל אמרה ואמרה. הרושם הכללי מושפע כמובן מניסוח הדברים שיש בהם הטלת דופי בנפגע, וממקומם בפרסום. נתון חשוב שיש לתת עליו את הדעת הוא בשאלה האם הנפגע הוא איש ציבור. </w:t>
      </w:r>
    </w:p>
    <w:p w14:paraId="480B8440" w14:textId="77777777" w:rsidR="00000000" w:rsidRDefault="00000000">
      <w:pPr>
        <w:pStyle w:val="ab"/>
        <w:spacing w:after="120" w:line="360" w:lineRule="auto"/>
        <w:ind w:left="454"/>
        <w:jc w:val="both"/>
        <w:rPr>
          <w:rtl/>
        </w:rPr>
      </w:pPr>
      <w:r>
        <w:rPr>
          <w:rFonts w:ascii="David" w:hAnsi="David" w:cs="David"/>
          <w:sz w:val="28"/>
          <w:szCs w:val="28"/>
          <w:rtl/>
        </w:rPr>
        <w:t>ראו: ע"א 3199/93קראוס נ' ידיעות אחרונות בע"מ, פ"ד מט(2) 843, בעמ' 857-856 (9.11.1995).</w:t>
      </w:r>
    </w:p>
    <w:p w14:paraId="7CDD6C81" w14:textId="77777777" w:rsidR="00000000" w:rsidRDefault="00000000">
      <w:pPr>
        <w:pStyle w:val="ab"/>
        <w:spacing w:after="240" w:line="360" w:lineRule="auto"/>
        <w:ind w:left="454"/>
        <w:jc w:val="both"/>
        <w:rPr>
          <w:rtl/>
        </w:rPr>
      </w:pPr>
      <w:r>
        <w:rPr>
          <w:rFonts w:ascii="David" w:hAnsi="David" w:cs="David"/>
          <w:sz w:val="28"/>
          <w:szCs w:val="28"/>
          <w:rtl/>
        </w:rPr>
        <w:t>כן ראו: ע"א 89/04 הנ"ל בעניין נודלמן נ' שרנסקי, בפסקאות 33-25; ע"א 817/23 הנ"ל בעניין עמותת חוזה חדש נ' זוהר.</w:t>
      </w:r>
    </w:p>
    <w:p w14:paraId="55988839" w14:textId="77777777" w:rsidR="00000000" w:rsidRDefault="00000000">
      <w:pPr>
        <w:pStyle w:val="ab"/>
        <w:spacing w:after="240" w:line="360" w:lineRule="auto"/>
        <w:ind w:left="454"/>
        <w:jc w:val="both"/>
        <w:rPr>
          <w:rtl/>
        </w:rPr>
      </w:pPr>
      <w:r>
        <w:rPr>
          <w:rFonts w:ascii="David" w:hAnsi="David" w:cs="David"/>
          <w:sz w:val="28"/>
          <w:szCs w:val="28"/>
        </w:rPr>
        <w:t> </w:t>
      </w:r>
    </w:p>
    <w:p w14:paraId="57AEDA2F" w14:textId="77777777" w:rsidR="00000000" w:rsidRDefault="00000000">
      <w:pPr>
        <w:pStyle w:val="ab"/>
        <w:spacing w:after="240" w:line="360" w:lineRule="auto"/>
        <w:ind w:left="454" w:hanging="454"/>
        <w:jc w:val="both"/>
        <w:rPr>
          <w:rtl/>
        </w:rPr>
      </w:pPr>
      <w:r>
        <w:rPr>
          <w:rFonts w:ascii="David" w:hAnsi="David" w:cs="David"/>
          <w:sz w:val="28"/>
          <w:szCs w:val="28"/>
          <w:rtl/>
        </w:rPr>
        <w:t>62.</w:t>
      </w:r>
      <w:r>
        <w:rPr>
          <w:sz w:val="14"/>
          <w:szCs w:val="14"/>
          <w:rtl/>
        </w:rPr>
        <w:t xml:space="preserve">  </w:t>
      </w:r>
      <w:r>
        <w:rPr>
          <w:rFonts w:ascii="David" w:hAnsi="David" w:cs="David"/>
          <w:sz w:val="28"/>
          <w:szCs w:val="28"/>
          <w:rtl/>
        </w:rPr>
        <w:t xml:space="preserve">בית משפט קמא סבר, כי בענייננו חלה הגנה זו, וכי הדברים שנאמרו הינם בגדר הבעת דעה שנכתבו בתום לב. לאחר שמצאנו כי יש בפרסום להוות לשון הרע כלפי המערער וכי אין מדובר בהצגת עמדה בלבד אלא בהעלאת טענות שבעובדה, אזי יש בקביעה האמורה גם לשמוט קיומה של הגנה בדבר הבעת דעה. </w:t>
      </w:r>
    </w:p>
    <w:p w14:paraId="69F510FE" w14:textId="77777777" w:rsidR="00000000" w:rsidRDefault="00000000">
      <w:pPr>
        <w:pStyle w:val="ab"/>
        <w:spacing w:after="240" w:line="360" w:lineRule="auto"/>
        <w:ind w:left="454" w:hanging="454"/>
        <w:jc w:val="both"/>
        <w:rPr>
          <w:rtl/>
        </w:rPr>
      </w:pPr>
      <w:r>
        <w:rPr>
          <w:rFonts w:ascii="David" w:hAnsi="David" w:cs="David"/>
          <w:sz w:val="28"/>
          <w:szCs w:val="28"/>
          <w:rtl/>
        </w:rPr>
        <w:t>63.</w:t>
      </w:r>
      <w:r>
        <w:rPr>
          <w:sz w:val="14"/>
          <w:szCs w:val="14"/>
          <w:rtl/>
        </w:rPr>
        <w:t xml:space="preserve">  </w:t>
      </w:r>
      <w:r>
        <w:rPr>
          <w:rFonts w:ascii="David" w:hAnsi="David" w:cs="David"/>
          <w:sz w:val="28"/>
          <w:szCs w:val="28"/>
          <w:rtl/>
        </w:rPr>
        <w:t>מכל מקום, סבורים אנו כי גם בהיבט הרציונל העומד ביסוד ההגנה הניתנת לאפשרות העלאת ביקורת בעניין ציבורי, אופן ניסוח הדברים והצגתם באיגרת שפרסם המשיב, שוללים במקרה זה את קיומה של ההגנה לפי סעיף 15(4) לחוק.</w:t>
      </w:r>
    </w:p>
    <w:p w14:paraId="7999CAE5" w14:textId="77777777" w:rsidR="00000000" w:rsidRDefault="00000000">
      <w:pPr>
        <w:pStyle w:val="ab"/>
        <w:spacing w:after="240" w:line="360" w:lineRule="auto"/>
        <w:ind w:left="454" w:hanging="454"/>
        <w:jc w:val="both"/>
        <w:rPr>
          <w:rtl/>
        </w:rPr>
      </w:pPr>
      <w:r>
        <w:rPr>
          <w:rFonts w:ascii="David" w:hAnsi="David" w:cs="David"/>
          <w:sz w:val="28"/>
          <w:szCs w:val="28"/>
          <w:rtl/>
        </w:rPr>
        <w:t>64.</w:t>
      </w:r>
      <w:r>
        <w:rPr>
          <w:sz w:val="14"/>
          <w:szCs w:val="14"/>
          <w:rtl/>
        </w:rPr>
        <w:t xml:space="preserve">  </w:t>
      </w:r>
      <w:r>
        <w:rPr>
          <w:rFonts w:ascii="David" w:hAnsi="David" w:cs="David"/>
          <w:sz w:val="28"/>
          <w:szCs w:val="28"/>
          <w:rtl/>
        </w:rPr>
        <w:t xml:space="preserve">גם אם המשיב ביקש להעביר ביקורת חריפה כלפי ראש המועצה המכהן, השימוש בביטויים שנכללו באיגרת וזאת ביחס למערער, אשר כזכור הוא איש פרטי ואינו איש ציבור, כלל לא היה נחוץ. כאמור, ההתבטאויות כלפי המערער בצירוף תמונתו של המערער עם כוס יין, מיקדו את הטענות ביחס למערער דווקא, שעה שהיה בידי המשיב להציג דעתו ולהשמיע את הביקורת שביקש להציג בנושא הציבורי מבלי להכפיש באופן ישיר, ועם זאת נרחב, את המערער. </w:t>
      </w:r>
    </w:p>
    <w:p w14:paraId="1C099F3E" w14:textId="77777777" w:rsidR="00000000" w:rsidRDefault="00000000">
      <w:pPr>
        <w:pStyle w:val="ab"/>
        <w:spacing w:after="240" w:line="360" w:lineRule="auto"/>
        <w:ind w:left="454" w:hanging="454"/>
        <w:jc w:val="both"/>
        <w:rPr>
          <w:rtl/>
        </w:rPr>
      </w:pPr>
      <w:r>
        <w:rPr>
          <w:rFonts w:ascii="David" w:hAnsi="David" w:cs="David"/>
          <w:sz w:val="28"/>
          <w:szCs w:val="28"/>
          <w:rtl/>
        </w:rPr>
        <w:t>65.</w:t>
      </w:r>
      <w:r>
        <w:rPr>
          <w:sz w:val="14"/>
          <w:szCs w:val="14"/>
          <w:rtl/>
        </w:rPr>
        <w:t xml:space="preserve">  </w:t>
      </w:r>
      <w:r>
        <w:rPr>
          <w:rFonts w:ascii="David" w:hAnsi="David" w:cs="David"/>
          <w:sz w:val="28"/>
          <w:szCs w:val="28"/>
          <w:rtl/>
        </w:rPr>
        <w:t>לא שוכנענו מטיעוני המשיב, כי היתה הצדקה עניינית, במסגרת רצונו להשמיע ביקורת בנושא הציבורי אותו ביקש להעלות, לבחירת המילים, לתיאורים הציוריים, לרמיזות הגלויות בדבר גזל כספי ציבור על ידי המערער ולצירוף תמונת המערער כפי שצורפה לפרסום.</w:t>
      </w:r>
    </w:p>
    <w:p w14:paraId="382EBE4D" w14:textId="77777777" w:rsidR="00000000" w:rsidRDefault="00000000">
      <w:pPr>
        <w:pStyle w:val="ab"/>
        <w:spacing w:after="240" w:line="360" w:lineRule="auto"/>
        <w:ind w:left="454" w:hanging="454"/>
        <w:jc w:val="both"/>
        <w:rPr>
          <w:rtl/>
        </w:rPr>
      </w:pPr>
      <w:r>
        <w:rPr>
          <w:rFonts w:ascii="David" w:hAnsi="David" w:cs="David"/>
          <w:sz w:val="28"/>
          <w:szCs w:val="28"/>
          <w:rtl/>
        </w:rPr>
        <w:t>66.</w:t>
      </w:r>
      <w:r>
        <w:rPr>
          <w:sz w:val="14"/>
          <w:szCs w:val="14"/>
          <w:rtl/>
        </w:rPr>
        <w:t xml:space="preserve">  </w:t>
      </w:r>
      <w:r>
        <w:rPr>
          <w:rFonts w:ascii="David" w:hAnsi="David" w:cs="David"/>
          <w:sz w:val="28"/>
          <w:szCs w:val="28"/>
          <w:rtl/>
        </w:rPr>
        <w:t>חריגה זו מהנדרש ביחס לאופן העלאת ביקורת ציבורית, וודאי כאשר היא ממוקדת באדם שאינו איש ציבור, שוללת גם את התקיימות התנאי הנוסף הנדרש, בדבר תום לב.</w:t>
      </w:r>
    </w:p>
    <w:p w14:paraId="74477353" w14:textId="77777777" w:rsidR="00000000" w:rsidRDefault="00000000">
      <w:pPr>
        <w:pStyle w:val="ab"/>
        <w:spacing w:after="240" w:line="360" w:lineRule="auto"/>
        <w:ind w:left="454" w:hanging="454"/>
        <w:jc w:val="both"/>
        <w:rPr>
          <w:rtl/>
        </w:rPr>
      </w:pPr>
      <w:r>
        <w:rPr>
          <w:rFonts w:ascii="David" w:hAnsi="David" w:cs="David"/>
          <w:sz w:val="28"/>
          <w:szCs w:val="28"/>
          <w:rtl/>
        </w:rPr>
        <w:t>67.</w:t>
      </w:r>
      <w:r>
        <w:rPr>
          <w:sz w:val="14"/>
          <w:szCs w:val="14"/>
          <w:rtl/>
        </w:rPr>
        <w:t xml:space="preserve">  </w:t>
      </w:r>
      <w:r>
        <w:rPr>
          <w:rFonts w:ascii="David" w:hAnsi="David" w:cs="David"/>
          <w:sz w:val="28"/>
          <w:szCs w:val="28"/>
          <w:rtl/>
        </w:rPr>
        <w:t xml:space="preserve">נוכח זאת, יש לקבוע כי לא עומדת למשיב ההגנה בדבר הבעת דעה בתום לב בעניין ציבורי לפי סעיף 15(4) לחוק איסור לשון הרע, שכן הפרסום חורג מגדר הבעת דעה בלבד ואינו עומד במבחן תום הלב. </w:t>
      </w:r>
    </w:p>
    <w:p w14:paraId="742031CF" w14:textId="77777777" w:rsidR="00000000" w:rsidRDefault="00000000">
      <w:pPr>
        <w:pStyle w:val="ab"/>
        <w:spacing w:after="240" w:line="360" w:lineRule="auto"/>
        <w:ind w:left="454" w:hanging="454"/>
        <w:jc w:val="both"/>
        <w:rPr>
          <w:rtl/>
        </w:rPr>
      </w:pPr>
      <w:r>
        <w:rPr>
          <w:rFonts w:ascii="David" w:hAnsi="David" w:cs="David"/>
          <w:sz w:val="28"/>
          <w:szCs w:val="28"/>
          <w:rtl/>
        </w:rPr>
        <w:t>68.</w:t>
      </w:r>
      <w:r>
        <w:rPr>
          <w:sz w:val="14"/>
          <w:szCs w:val="14"/>
          <w:rtl/>
        </w:rPr>
        <w:t xml:space="preserve">  </w:t>
      </w:r>
      <w:r>
        <w:rPr>
          <w:rFonts w:ascii="David" w:hAnsi="David" w:cs="David"/>
          <w:sz w:val="28"/>
          <w:szCs w:val="28"/>
          <w:rtl/>
        </w:rPr>
        <w:t xml:space="preserve">באשר להגנת אמת דיברתי הקבועה בסעיף 14 לחוק איסור לשון הרע, אשר לה טען המשיב, בית משפט קמא דן בטענות המשיב בעניין הגנה זו וקבע כי לאחר שמיעת הראיות לא ניתן לבחון קיומה של הגנת "אמת דיברתי" בהקשר זה. </w:t>
      </w:r>
    </w:p>
    <w:p w14:paraId="1223B961" w14:textId="77777777" w:rsidR="00000000" w:rsidRDefault="00000000">
      <w:pPr>
        <w:pStyle w:val="ab"/>
        <w:spacing w:after="240" w:line="360" w:lineRule="auto"/>
        <w:ind w:left="454" w:hanging="454"/>
        <w:jc w:val="both"/>
        <w:rPr>
          <w:rtl/>
        </w:rPr>
      </w:pPr>
      <w:r>
        <w:rPr>
          <w:rFonts w:ascii="David" w:hAnsi="David" w:cs="David"/>
          <w:sz w:val="28"/>
          <w:szCs w:val="28"/>
          <w:rtl/>
        </w:rPr>
        <w:t>69.</w:t>
      </w:r>
      <w:r>
        <w:rPr>
          <w:sz w:val="14"/>
          <w:szCs w:val="14"/>
          <w:rtl/>
        </w:rPr>
        <w:t xml:space="preserve">  </w:t>
      </w:r>
      <w:r>
        <w:rPr>
          <w:rFonts w:ascii="David" w:hAnsi="David" w:cs="David"/>
          <w:sz w:val="28"/>
          <w:szCs w:val="28"/>
          <w:rtl/>
        </w:rPr>
        <w:t>לאחר בחינת טיעוני הצדדים בעניין זה אנו מוצאים כי יש להותיר קביעה זו של בית המשפט על כנה, וכיוצא מכך עולה כי למשיב לא עומדת הגנת "אמת דיברתי".</w:t>
      </w:r>
    </w:p>
    <w:p w14:paraId="7F8B765B" w14:textId="77777777" w:rsidR="00000000" w:rsidRDefault="00000000">
      <w:pPr>
        <w:pStyle w:val="ab"/>
        <w:spacing w:after="240" w:line="360" w:lineRule="auto"/>
        <w:ind w:left="454" w:hanging="454"/>
        <w:jc w:val="both"/>
        <w:rPr>
          <w:rtl/>
        </w:rPr>
      </w:pPr>
      <w:r>
        <w:rPr>
          <w:rFonts w:ascii="David" w:hAnsi="David" w:cs="David"/>
          <w:sz w:val="28"/>
          <w:szCs w:val="28"/>
          <w:rtl/>
        </w:rPr>
        <w:t>70.</w:t>
      </w:r>
      <w:r>
        <w:rPr>
          <w:sz w:val="14"/>
          <w:szCs w:val="14"/>
          <w:rtl/>
        </w:rPr>
        <w:t xml:space="preserve">  </w:t>
      </w:r>
      <w:r>
        <w:rPr>
          <w:rFonts w:ascii="David" w:hAnsi="David" w:cs="David"/>
          <w:sz w:val="28"/>
          <w:szCs w:val="28"/>
          <w:rtl/>
        </w:rPr>
        <w:t>לאור כל האמור, משנקבע כי הפרסום עולה כדי לשון הרע כלפי המערער וכי למשיב לא עומדות ההגנות הקבועות בחוק, אזי דין הערעור להתקבל וזאת ביחס לתביעת המערער לפסיקת פיצוי.</w:t>
      </w:r>
    </w:p>
    <w:p w14:paraId="24488323" w14:textId="77777777" w:rsidR="00000000" w:rsidRDefault="00000000">
      <w:pPr>
        <w:pStyle w:val="ab"/>
        <w:spacing w:after="240" w:line="360" w:lineRule="auto"/>
        <w:ind w:left="454" w:hanging="454"/>
        <w:jc w:val="both"/>
        <w:rPr>
          <w:rtl/>
        </w:rPr>
      </w:pPr>
      <w:r>
        <w:rPr>
          <w:rFonts w:ascii="David" w:hAnsi="David" w:cs="David"/>
          <w:sz w:val="28"/>
          <w:szCs w:val="28"/>
          <w:rtl/>
        </w:rPr>
        <w:t>71.</w:t>
      </w:r>
      <w:r>
        <w:rPr>
          <w:sz w:val="14"/>
          <w:szCs w:val="14"/>
          <w:rtl/>
        </w:rPr>
        <w:t xml:space="preserve">  </w:t>
      </w:r>
      <w:r>
        <w:rPr>
          <w:rFonts w:ascii="David" w:hAnsi="David" w:cs="David"/>
          <w:sz w:val="28"/>
          <w:szCs w:val="28"/>
          <w:rtl/>
        </w:rPr>
        <w:t>לא מצאנו כי יש בנסיבות כדי לבסס פסיקת פיצוי לטובת המערערת 2, החברה אשר באמצעותה פועל המערער, שכן לשון הרע שנמצאה בפרסום התייחסה למערער עצמו, באופן אישי, כאדם פרטי.</w:t>
      </w:r>
    </w:p>
    <w:p w14:paraId="0CDB95C8" w14:textId="77777777" w:rsidR="00000000" w:rsidRDefault="00000000">
      <w:pPr>
        <w:pStyle w:val="ab"/>
        <w:spacing w:after="240" w:line="360" w:lineRule="auto"/>
        <w:ind w:left="454" w:hanging="454"/>
        <w:jc w:val="both"/>
        <w:rPr>
          <w:rtl/>
        </w:rPr>
      </w:pPr>
      <w:r>
        <w:rPr>
          <w:rFonts w:ascii="David" w:hAnsi="David" w:cs="David"/>
          <w:sz w:val="28"/>
          <w:szCs w:val="28"/>
          <w:rtl/>
        </w:rPr>
        <w:t>72.</w:t>
      </w:r>
      <w:r>
        <w:rPr>
          <w:sz w:val="14"/>
          <w:szCs w:val="14"/>
          <w:rtl/>
        </w:rPr>
        <w:t xml:space="preserve">  </w:t>
      </w:r>
      <w:r>
        <w:rPr>
          <w:rFonts w:ascii="David" w:hAnsi="David" w:cs="David"/>
          <w:sz w:val="28"/>
          <w:szCs w:val="28"/>
          <w:rtl/>
        </w:rPr>
        <w:t>בעניין זה יש לקבל את קביעת בית משפט קמא כי עניינו של המערער ושל החברה שבאמצעותה ניתנו השירותים במסגרת המכרז (המערערת 2) אינם ניתנים להפרדה, כך שאין הצדקה לפסיקת פיצוי נפרד לכל אחד מהם.</w:t>
      </w:r>
    </w:p>
    <w:p w14:paraId="5F0DD8BF" w14:textId="77777777" w:rsidR="00000000" w:rsidRDefault="00000000">
      <w:pPr>
        <w:pStyle w:val="ab"/>
        <w:spacing w:after="240" w:line="360" w:lineRule="auto"/>
        <w:ind w:left="454"/>
        <w:jc w:val="both"/>
        <w:rPr>
          <w:rtl/>
        </w:rPr>
      </w:pPr>
      <w:r>
        <w:rPr>
          <w:rFonts w:ascii="David" w:hAnsi="David" w:cs="David"/>
          <w:sz w:val="28"/>
          <w:szCs w:val="28"/>
          <w:u w:val="single"/>
          <w:rtl/>
        </w:rPr>
        <w:t xml:space="preserve">גובה הפיצוי שיש לפסוק </w:t>
      </w:r>
    </w:p>
    <w:p w14:paraId="3140EEFB" w14:textId="77777777" w:rsidR="00000000" w:rsidRDefault="00000000">
      <w:pPr>
        <w:pStyle w:val="ab"/>
        <w:spacing w:after="240" w:line="360" w:lineRule="auto"/>
        <w:ind w:left="454" w:hanging="454"/>
        <w:jc w:val="both"/>
        <w:rPr>
          <w:rtl/>
        </w:rPr>
      </w:pPr>
      <w:r>
        <w:rPr>
          <w:rFonts w:ascii="David" w:hAnsi="David" w:cs="David"/>
          <w:sz w:val="28"/>
          <w:szCs w:val="28"/>
          <w:rtl/>
        </w:rPr>
        <w:t>73.</w:t>
      </w:r>
      <w:r>
        <w:rPr>
          <w:sz w:val="14"/>
          <w:szCs w:val="14"/>
          <w:rtl/>
        </w:rPr>
        <w:t xml:space="preserve">  </w:t>
      </w:r>
      <w:r>
        <w:rPr>
          <w:rFonts w:ascii="David" w:hAnsi="David" w:cs="David"/>
          <w:sz w:val="28"/>
          <w:szCs w:val="28"/>
          <w:rtl/>
        </w:rPr>
        <w:t xml:space="preserve">לטענת המערער, הפרסומים נעשו בכוונה לפגוע ועל כן בהתאם לסעיף 7א(ג) לחוק איסור לשון הרע יש לחייב את המשיב בכפל פיצוי בגין כל אחד מהפרסומים המהווים לשון הרע. </w:t>
      </w:r>
    </w:p>
    <w:p w14:paraId="231CD3A0" w14:textId="77777777" w:rsidR="00000000" w:rsidRDefault="00000000">
      <w:pPr>
        <w:pStyle w:val="ab"/>
        <w:spacing w:after="240" w:line="360" w:lineRule="auto"/>
        <w:ind w:left="454" w:hanging="454"/>
        <w:jc w:val="both"/>
        <w:rPr>
          <w:rtl/>
        </w:rPr>
      </w:pPr>
      <w:r>
        <w:rPr>
          <w:rFonts w:ascii="David" w:hAnsi="David" w:cs="David"/>
          <w:sz w:val="28"/>
          <w:szCs w:val="28"/>
          <w:rtl/>
        </w:rPr>
        <w:t>74.</w:t>
      </w:r>
      <w:r>
        <w:rPr>
          <w:sz w:val="14"/>
          <w:szCs w:val="14"/>
          <w:rtl/>
        </w:rPr>
        <w:t xml:space="preserve">  </w:t>
      </w:r>
      <w:r>
        <w:rPr>
          <w:rFonts w:ascii="David" w:hAnsi="David" w:cs="David"/>
          <w:sz w:val="28"/>
          <w:szCs w:val="28"/>
          <w:rtl/>
        </w:rPr>
        <w:t xml:space="preserve">לאחר בחינת מכלול הנסיבות, אנו סבורים כי אין מדובר במקרה בו יש לראות במשיב כמי שפגע במכוון במערער, וזאת על אף שבפועל הדברים אכן פגעו וכך הם אף עולים בעיני הקורא הסביר. לפיכך, אין מקום בנסיבות העניין לקביעת כפל פיצוי. </w:t>
      </w:r>
    </w:p>
    <w:p w14:paraId="23EF5CB2" w14:textId="77777777" w:rsidR="00000000" w:rsidRDefault="00000000">
      <w:pPr>
        <w:pStyle w:val="ab"/>
        <w:spacing w:after="240" w:line="360" w:lineRule="auto"/>
        <w:ind w:left="454" w:hanging="454"/>
        <w:jc w:val="both"/>
        <w:rPr>
          <w:rtl/>
        </w:rPr>
      </w:pPr>
      <w:r>
        <w:rPr>
          <w:rFonts w:ascii="David" w:hAnsi="David" w:cs="David"/>
          <w:sz w:val="28"/>
          <w:szCs w:val="28"/>
          <w:rtl/>
        </w:rPr>
        <w:t>75.</w:t>
      </w:r>
      <w:r>
        <w:rPr>
          <w:sz w:val="14"/>
          <w:szCs w:val="14"/>
          <w:rtl/>
        </w:rPr>
        <w:t xml:space="preserve">  </w:t>
      </w:r>
      <w:r>
        <w:rPr>
          <w:rFonts w:ascii="David" w:hAnsi="David" w:cs="David"/>
          <w:sz w:val="28"/>
          <w:szCs w:val="28"/>
          <w:rtl/>
        </w:rPr>
        <w:t>באשר לטענה כי יש להתייחס לאיגרת הבחירות כאל מספר פרסומים נפרדים, בית משפט קמא בפסק דינו מצא כי טענה זו לא נטענה בכתב התביעה ומהווה הרחבת חזית אסורה. מכל מקום, בעת בחינת הפיצוי הראוי אנו מוצאים לנכון להתייחס לפרסום באיגרת הבחירות כפרסום אחד.</w:t>
      </w:r>
    </w:p>
    <w:p w14:paraId="30C3DBA7" w14:textId="77777777" w:rsidR="00000000" w:rsidRDefault="00000000">
      <w:pPr>
        <w:pStyle w:val="ab"/>
        <w:spacing w:after="240" w:line="360" w:lineRule="auto"/>
        <w:ind w:left="454" w:hanging="454"/>
        <w:jc w:val="both"/>
        <w:rPr>
          <w:rtl/>
        </w:rPr>
      </w:pPr>
      <w:r>
        <w:rPr>
          <w:rFonts w:ascii="David" w:hAnsi="David" w:cs="David"/>
          <w:sz w:val="28"/>
          <w:szCs w:val="28"/>
          <w:rtl/>
        </w:rPr>
        <w:t>76.</w:t>
      </w:r>
      <w:r>
        <w:rPr>
          <w:sz w:val="14"/>
          <w:szCs w:val="14"/>
          <w:rtl/>
        </w:rPr>
        <w:t xml:space="preserve">  </w:t>
      </w:r>
      <w:r>
        <w:rPr>
          <w:rFonts w:ascii="David" w:hAnsi="David" w:cs="David"/>
          <w:sz w:val="28"/>
          <w:szCs w:val="28"/>
          <w:rtl/>
        </w:rPr>
        <w:t>בהתאם לכל האמור לעיל, אנו מוצאים כי יש להיעתר לתביעה, בהתאם לפיצוי הסטטוטורי ללא הוכחת נזק הקבוע בחוק לשון הרע, כפי המפורט בכתב התביעה בסך של 77,761 ₪.</w:t>
      </w:r>
    </w:p>
    <w:p w14:paraId="64CE57FA" w14:textId="77777777" w:rsidR="00000000" w:rsidRDefault="00000000">
      <w:pPr>
        <w:pStyle w:val="ab"/>
        <w:spacing w:after="240" w:line="360" w:lineRule="auto"/>
        <w:ind w:left="454"/>
        <w:jc w:val="both"/>
        <w:rPr>
          <w:rtl/>
        </w:rPr>
      </w:pPr>
      <w:r>
        <w:rPr>
          <w:rFonts w:ascii="David" w:hAnsi="David" w:cs="David"/>
          <w:sz w:val="28"/>
          <w:szCs w:val="28"/>
          <w:u w:val="single"/>
          <w:rtl/>
        </w:rPr>
        <w:t>סיכום</w:t>
      </w:r>
    </w:p>
    <w:p w14:paraId="5B120881" w14:textId="77777777" w:rsidR="00000000" w:rsidRDefault="00000000">
      <w:pPr>
        <w:pStyle w:val="ab"/>
        <w:spacing w:after="240" w:line="360" w:lineRule="auto"/>
        <w:ind w:left="454" w:hanging="454"/>
        <w:jc w:val="both"/>
        <w:rPr>
          <w:rtl/>
        </w:rPr>
      </w:pPr>
      <w:r>
        <w:rPr>
          <w:rFonts w:ascii="David" w:hAnsi="David" w:cs="David"/>
          <w:sz w:val="28"/>
          <w:szCs w:val="28"/>
          <w:rtl/>
        </w:rPr>
        <w:t>77.</w:t>
      </w:r>
      <w:r>
        <w:rPr>
          <w:sz w:val="14"/>
          <w:szCs w:val="14"/>
          <w:rtl/>
        </w:rPr>
        <w:t xml:space="preserve">  </w:t>
      </w:r>
      <w:r>
        <w:rPr>
          <w:rFonts w:ascii="David" w:hAnsi="David" w:cs="David"/>
          <w:sz w:val="28"/>
          <w:szCs w:val="28"/>
          <w:rtl/>
        </w:rPr>
        <w:t xml:space="preserve">הערעור מתקבל. תחת פסק דינו של בית המשפט קמא, נקבע בזאת כי התביעה מתקבלת ועל המשיב לשלם למערער פיצוי כספי בסך 77,761 ₪, בתוספת הפרשי הצמדה וריבית מיום הגשת התביעה. </w:t>
      </w:r>
    </w:p>
    <w:p w14:paraId="5DDD3246" w14:textId="77777777" w:rsidR="00000000" w:rsidRDefault="00000000">
      <w:pPr>
        <w:pStyle w:val="ab"/>
        <w:spacing w:after="240" w:line="360" w:lineRule="auto"/>
        <w:ind w:left="454" w:hanging="454"/>
        <w:jc w:val="both"/>
        <w:rPr>
          <w:rtl/>
        </w:rPr>
      </w:pPr>
      <w:r>
        <w:rPr>
          <w:rFonts w:ascii="David" w:hAnsi="David" w:cs="David"/>
          <w:sz w:val="28"/>
          <w:szCs w:val="28"/>
          <w:rtl/>
        </w:rPr>
        <w:t>78.</w:t>
      </w:r>
      <w:r>
        <w:rPr>
          <w:sz w:val="14"/>
          <w:szCs w:val="14"/>
          <w:rtl/>
        </w:rPr>
        <w:t xml:space="preserve">  </w:t>
      </w:r>
      <w:r>
        <w:rPr>
          <w:rFonts w:ascii="David" w:hAnsi="David" w:cs="David"/>
          <w:sz w:val="28"/>
          <w:szCs w:val="28"/>
          <w:rtl/>
        </w:rPr>
        <w:t>כמו כן, המשיב ישלם למערער את הוצאות המשפט בתביעה וכן בהליך הערעור בסך כולל של 25,000 ₪.</w:t>
      </w:r>
    </w:p>
    <w:p w14:paraId="09DE9979" w14:textId="77777777" w:rsidR="00000000" w:rsidRDefault="00000000">
      <w:pPr>
        <w:pStyle w:val="ab"/>
        <w:spacing w:after="240" w:line="360" w:lineRule="auto"/>
        <w:ind w:left="454" w:hanging="454"/>
        <w:jc w:val="both"/>
        <w:rPr>
          <w:rtl/>
        </w:rPr>
      </w:pPr>
      <w:r>
        <w:rPr>
          <w:rFonts w:ascii="David" w:hAnsi="David" w:cs="David"/>
          <w:sz w:val="28"/>
          <w:szCs w:val="28"/>
          <w:rtl/>
        </w:rPr>
        <w:t>79.</w:t>
      </w:r>
      <w:r>
        <w:rPr>
          <w:sz w:val="14"/>
          <w:szCs w:val="14"/>
          <w:rtl/>
        </w:rPr>
        <w:t xml:space="preserve">  </w:t>
      </w:r>
      <w:r>
        <w:rPr>
          <w:rFonts w:ascii="David" w:hAnsi="David" w:cs="David"/>
          <w:sz w:val="28"/>
          <w:szCs w:val="28"/>
          <w:rtl/>
        </w:rPr>
        <w:t>העירבון שהופקד על ידי המערער יוחזר לו באמצעות ב"כ.</w:t>
      </w:r>
    </w:p>
    <w:p w14:paraId="3BB27BF7" w14:textId="77777777" w:rsidR="00000000" w:rsidRDefault="00000000">
      <w:pPr>
        <w:bidi/>
        <w:spacing w:line="360" w:lineRule="auto"/>
        <w:jc w:val="both"/>
        <w:rPr>
          <w:rtl/>
        </w:rPr>
      </w:pPr>
      <w:r>
        <w:rPr>
          <w:rFonts w:ascii="David" w:hAnsi="David" w:cs="David"/>
          <w:sz w:val="28"/>
          <w:szCs w:val="28"/>
          <w:rtl/>
        </w:rPr>
        <w:t> </w:t>
      </w:r>
    </w:p>
    <w:tbl>
      <w:tblPr>
        <w:tblpPr w:leftFromText="180" w:rightFromText="180" w:vertAnchor="text" w:tblpXSpec="right" w:tblpYSpec="center"/>
        <w:bidiVisual/>
        <w:tblW w:w="8673" w:type="dxa"/>
        <w:tblCellMar>
          <w:left w:w="0" w:type="dxa"/>
          <w:right w:w="0" w:type="dxa"/>
        </w:tblCellMar>
        <w:tblLook w:val="04A0" w:firstRow="1" w:lastRow="0" w:firstColumn="1" w:lastColumn="0" w:noHBand="0" w:noVBand="1"/>
      </w:tblPr>
      <w:tblGrid>
        <w:gridCol w:w="2891"/>
        <w:gridCol w:w="2891"/>
        <w:gridCol w:w="2891"/>
      </w:tblGrid>
      <w:tr w:rsidR="00000000" w14:paraId="2234B8AB" w14:textId="77777777">
        <w:tc>
          <w:tcPr>
            <w:tcW w:w="2891" w:type="dxa"/>
            <w:tcMar>
              <w:top w:w="0" w:type="dxa"/>
              <w:left w:w="108" w:type="dxa"/>
              <w:bottom w:w="0" w:type="dxa"/>
              <w:right w:w="108" w:type="dxa"/>
            </w:tcMar>
            <w:vAlign w:val="center"/>
            <w:hideMark/>
          </w:tcPr>
          <w:p w14:paraId="494A97BC" w14:textId="77777777" w:rsidR="00000000" w:rsidRDefault="00000000">
            <w:pPr>
              <w:bidi/>
              <w:jc w:val="right"/>
              <w:rPr>
                <w:rtl/>
              </w:rPr>
            </w:pPr>
            <w:r>
              <w:rPr>
                <w:rFonts w:ascii="David" w:hAnsi="David" w:cs="David"/>
                <w:b/>
                <w:bCs/>
                <w:sz w:val="28"/>
                <w:szCs w:val="28"/>
                <w:rtl/>
              </w:rPr>
              <w:t xml:space="preserve">ניתן היום, כ"ז אדר תשפ"ו, </w:t>
            </w:r>
            <w:r>
              <w:rPr>
                <w:rStyle w:val="f5dinim"/>
                <w:rFonts w:ascii="David" w:hAnsi="David" w:cs="David"/>
                <w:b/>
                <w:bCs/>
                <w:sz w:val="28"/>
                <w:szCs w:val="28"/>
                <w:rtl/>
              </w:rPr>
              <w:t>16 מרץ 2026</w:t>
            </w:r>
            <w:r>
              <w:rPr>
                <w:rFonts w:ascii="David" w:hAnsi="David" w:cs="David"/>
                <w:b/>
                <w:bCs/>
                <w:sz w:val="28"/>
                <w:szCs w:val="28"/>
                <w:rtl/>
              </w:rPr>
              <w:t>, בהעדר הצדדים.</w:t>
            </w:r>
          </w:p>
        </w:tc>
        <w:tc>
          <w:tcPr>
            <w:tcW w:w="2891" w:type="dxa"/>
            <w:tcMar>
              <w:top w:w="0" w:type="dxa"/>
              <w:left w:w="108" w:type="dxa"/>
              <w:bottom w:w="0" w:type="dxa"/>
              <w:right w:w="108" w:type="dxa"/>
            </w:tcMar>
            <w:vAlign w:val="center"/>
            <w:hideMark/>
          </w:tcPr>
          <w:p w14:paraId="4DABDB71" w14:textId="77777777" w:rsidR="00000000" w:rsidRDefault="00000000">
            <w:pPr>
              <w:rPr>
                <w:rtl/>
              </w:rPr>
            </w:pPr>
          </w:p>
        </w:tc>
        <w:tc>
          <w:tcPr>
            <w:tcW w:w="2891" w:type="dxa"/>
            <w:tcMar>
              <w:top w:w="0" w:type="dxa"/>
              <w:left w:w="108" w:type="dxa"/>
              <w:bottom w:w="0" w:type="dxa"/>
              <w:right w:w="108" w:type="dxa"/>
            </w:tcMar>
            <w:vAlign w:val="center"/>
            <w:hideMark/>
          </w:tcPr>
          <w:p w14:paraId="550E5737" w14:textId="77777777" w:rsidR="00000000" w:rsidRDefault="00000000">
            <w:pPr>
              <w:bidi/>
              <w:rPr>
                <w:rFonts w:eastAsia="Times New Roman"/>
                <w:sz w:val="20"/>
                <w:szCs w:val="20"/>
              </w:rPr>
            </w:pPr>
          </w:p>
        </w:tc>
      </w:tr>
      <w:tr w:rsidR="00000000" w14:paraId="398E68ED" w14:textId="77777777">
        <w:tc>
          <w:tcPr>
            <w:tcW w:w="2891" w:type="dxa"/>
            <w:tcMar>
              <w:top w:w="0" w:type="dxa"/>
              <w:left w:w="108" w:type="dxa"/>
              <w:bottom w:w="0" w:type="dxa"/>
              <w:right w:w="108" w:type="dxa"/>
            </w:tcMar>
            <w:vAlign w:val="center"/>
            <w:hideMark/>
          </w:tcPr>
          <w:p w14:paraId="5B9D29DF" w14:textId="77777777" w:rsidR="00000000" w:rsidRDefault="00000000">
            <w:pPr>
              <w:bidi/>
              <w:spacing w:line="360" w:lineRule="auto"/>
              <w:jc w:val="center"/>
            </w:pPr>
            <w:r>
              <w:rPr>
                <w:rFonts w:ascii="David" w:hAnsi="David" w:cs="David"/>
                <w:b/>
                <w:bCs/>
                <w:sz w:val="28"/>
                <w:szCs w:val="28"/>
                <w:rtl/>
              </w:rPr>
              <w:t>יעקב פרסקי, שופט - אב"ד</w:t>
            </w:r>
          </w:p>
        </w:tc>
        <w:tc>
          <w:tcPr>
            <w:tcW w:w="2891" w:type="dxa"/>
            <w:tcMar>
              <w:top w:w="0" w:type="dxa"/>
              <w:left w:w="108" w:type="dxa"/>
              <w:bottom w:w="0" w:type="dxa"/>
              <w:right w:w="108" w:type="dxa"/>
            </w:tcMar>
            <w:vAlign w:val="center"/>
            <w:hideMark/>
          </w:tcPr>
          <w:p w14:paraId="375C413B" w14:textId="77777777" w:rsidR="00000000" w:rsidRDefault="00000000">
            <w:pPr>
              <w:bidi/>
              <w:spacing w:line="360" w:lineRule="auto"/>
              <w:jc w:val="center"/>
              <w:rPr>
                <w:rtl/>
              </w:rPr>
            </w:pPr>
            <w:r>
              <w:rPr>
                <w:rFonts w:ascii="David" w:hAnsi="David" w:cs="David"/>
                <w:b/>
                <w:bCs/>
                <w:sz w:val="28"/>
                <w:szCs w:val="28"/>
                <w:rtl/>
              </w:rPr>
              <w:t>גאולה לוין, שופטת</w:t>
            </w:r>
          </w:p>
        </w:tc>
        <w:tc>
          <w:tcPr>
            <w:tcW w:w="2891" w:type="dxa"/>
            <w:tcMar>
              <w:top w:w="0" w:type="dxa"/>
              <w:left w:w="108" w:type="dxa"/>
              <w:bottom w:w="0" w:type="dxa"/>
              <w:right w:w="108" w:type="dxa"/>
            </w:tcMar>
            <w:vAlign w:val="center"/>
            <w:hideMark/>
          </w:tcPr>
          <w:p w14:paraId="693F3984" w14:textId="77777777" w:rsidR="00000000" w:rsidRDefault="00000000">
            <w:pPr>
              <w:bidi/>
              <w:spacing w:line="360" w:lineRule="auto"/>
              <w:jc w:val="center"/>
              <w:rPr>
                <w:rtl/>
              </w:rPr>
            </w:pPr>
            <w:r>
              <w:rPr>
                <w:rFonts w:ascii="David" w:hAnsi="David" w:cs="David"/>
                <w:b/>
                <w:bCs/>
                <w:sz w:val="28"/>
                <w:szCs w:val="28"/>
                <w:rtl/>
              </w:rPr>
              <w:t>גיל דניאל, שופט</w:t>
            </w:r>
          </w:p>
        </w:tc>
      </w:tr>
    </w:tbl>
    <w:p w14:paraId="275C1C1F" w14:textId="77777777" w:rsidR="00000000" w:rsidRDefault="00000000">
      <w:pPr>
        <w:bidi/>
        <w:spacing w:line="360" w:lineRule="auto"/>
        <w:jc w:val="both"/>
        <w:rPr>
          <w:rtl/>
        </w:rPr>
      </w:pPr>
      <w:r>
        <w:rPr>
          <w:rFonts w:ascii="David" w:hAnsi="David" w:cs="David"/>
          <w:b/>
          <w:bCs/>
          <w:sz w:val="28"/>
          <w:szCs w:val="28"/>
          <w:rtl/>
        </w:rPr>
        <w:t> </w:t>
      </w:r>
    </w:p>
    <w:p w14:paraId="13AFAACE"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2784A24C" w14:textId="77777777">
        <w:trPr>
          <w:tblCellSpacing w:w="0" w:type="dxa"/>
        </w:trPr>
        <w:tc>
          <w:tcPr>
            <w:tcW w:w="0" w:type="auto"/>
            <w:vAlign w:val="center"/>
            <w:hideMark/>
          </w:tcPr>
          <w:p w14:paraId="553856A2" w14:textId="77777777" w:rsidR="00000000" w:rsidRDefault="00000000">
            <w:pPr>
              <w:bidi/>
              <w:jc w:val="center"/>
              <w:divId w:val="987395681"/>
              <w:rPr>
                <w:rFonts w:ascii="David" w:eastAsia="Times New Roman" w:hAnsi="David" w:cs="David"/>
                <w:rtl/>
              </w:rPr>
            </w:pPr>
            <w:r>
              <w:rPr>
                <w:rFonts w:ascii="David" w:eastAsia="Times New Roman" w:hAnsi="David" w:cs="David"/>
                <w:rtl/>
              </w:rPr>
              <w:t>עא 31521-09-25 יוסי רקח,יוסי רקח ליווי וניהול בע"מ נגד עופר מימון</w:t>
            </w:r>
          </w:p>
          <w:p w14:paraId="6D606EB9" w14:textId="77777777" w:rsidR="00000000" w:rsidRDefault="00000000">
            <w:pPr>
              <w:pStyle w:val="a5"/>
              <w:bidi/>
              <w:jc w:val="center"/>
              <w:divId w:val="259870923"/>
              <w:rPr>
                <w:rtl/>
              </w:rPr>
            </w:pPr>
            <w:r>
              <w:rPr>
                <w:rtl/>
              </w:rPr>
              <w:t>עא 31521-09-25 יוסי רקח,יוסי רקח ליווי וניהול בע"מ נגד עופר מימון</w:t>
            </w:r>
          </w:p>
        </w:tc>
      </w:tr>
    </w:tbl>
    <w:p w14:paraId="26531773" w14:textId="77777777" w:rsidR="00D548DB" w:rsidRDefault="00D548DB">
      <w:pPr>
        <w:rPr>
          <w:rFonts w:eastAsia="Times New Roman"/>
        </w:rPr>
      </w:pPr>
    </w:p>
    <w:sectPr w:rsidR="00D548DB">
      <w:footerReference w:type="default" r:id="rId7"/>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A9D2" w14:textId="77777777" w:rsidR="00D548DB" w:rsidRDefault="00D548DB">
      <w:r>
        <w:separator/>
      </w:r>
    </w:p>
  </w:endnote>
  <w:endnote w:type="continuationSeparator" w:id="0">
    <w:p w14:paraId="7EB1FF6F" w14:textId="77777777" w:rsidR="00D548DB" w:rsidRDefault="00D5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BBCF" w14:textId="77777777" w:rsidR="00000000" w:rsidRDefault="00000000">
    <w:pPr>
      <w:bidi/>
      <w:jc w:val="center"/>
      <w:rPr>
        <w:rFonts w:ascii="David" w:eastAsia="Times New Roman" w:hAnsi="David" w:cs="David"/>
        <w:rtl/>
      </w:rPr>
    </w:pPr>
    <w:r>
      <w:rPr>
        <w:rFonts w:ascii="David" w:eastAsia="Times New Roman" w:hAnsi="David" w:cs="David"/>
        <w:rtl/>
      </w:rPr>
      <w:t>עא 31521-09-25 יוסי רקח,יוסי רקח ליווי וניהול בע"מ נגד עופר מימון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E8D1" w14:textId="77777777" w:rsidR="00D548DB" w:rsidRDefault="00D548DB">
      <w:r>
        <w:separator/>
      </w:r>
    </w:p>
  </w:footnote>
  <w:footnote w:type="continuationSeparator" w:id="0">
    <w:p w14:paraId="3E901C33" w14:textId="77777777" w:rsidR="00D548DB" w:rsidRDefault="00D54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D479A"/>
    <w:rsid w:val="005012CB"/>
    <w:rsid w:val="007D479A"/>
    <w:rsid w:val="00D5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A34BA"/>
  <w15:chartTrackingRefBased/>
  <w15:docId w15:val="{BE671B1A-48FA-4213-B2AC-133E4640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Subtitle"/>
    <w:basedOn w:val="a"/>
    <w:link w:val="a8"/>
    <w:uiPriority w:val="11"/>
    <w:qFormat/>
    <w:pPr>
      <w:spacing w:after="60"/>
      <w:jc w:val="center"/>
    </w:pPr>
    <w:rPr>
      <w:rFonts w:ascii="Cambria" w:hAnsi="Cambria"/>
    </w:rPr>
  </w:style>
  <w:style w:type="character" w:customStyle="1" w:styleId="a8">
    <w:name w:val="כותרת משנה תו"/>
    <w:basedOn w:val="a0"/>
    <w:link w:val="a7"/>
    <w:uiPriority w:val="11"/>
    <w:rPr>
      <w:rFonts w:asciiTheme="minorHAnsi" w:eastAsiaTheme="majorEastAsia" w:hAnsiTheme="minorHAnsi" w:cstheme="majorBidi"/>
      <w:color w:val="595959" w:themeColor="text1" w:themeTint="A6"/>
      <w:spacing w:val="15"/>
      <w:sz w:val="28"/>
      <w:szCs w:val="28"/>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טקסט בלונים תו"/>
    <w:basedOn w:val="a0"/>
    <w:link w:val="a9"/>
    <w:uiPriority w:val="99"/>
    <w:semiHidden/>
    <w:rPr>
      <w:rFonts w:ascii="Tahoma" w:eastAsiaTheme="minorEastAsia" w:hAnsi="Tahoma" w:cs="Tahoma"/>
      <w:sz w:val="18"/>
      <w:szCs w:val="18"/>
    </w:rPr>
  </w:style>
  <w:style w:type="paragraph" w:styleId="ab">
    <w:name w:val="List Paragraph"/>
    <w:basedOn w:val="a"/>
    <w:uiPriority w:val="34"/>
    <w:qFormat/>
    <w:pPr>
      <w:bidi/>
      <w:ind w:left="720"/>
    </w:pPr>
  </w:style>
  <w:style w:type="paragraph" w:customStyle="1" w:styleId="msolistparagraphcxspfirst">
    <w:name w:val="msolistparagraphcxspfirst"/>
    <w:basedOn w:val="a"/>
    <w:pPr>
      <w:bidi/>
      <w:ind w:left="720"/>
    </w:pPr>
  </w:style>
  <w:style w:type="paragraph" w:customStyle="1" w:styleId="msolistparagraphcxspmiddle">
    <w:name w:val="msolistparagraphcxspmiddle"/>
    <w:basedOn w:val="a"/>
    <w:pPr>
      <w:bidi/>
      <w:ind w:left="720"/>
    </w:pPr>
  </w:style>
  <w:style w:type="paragraph" w:customStyle="1" w:styleId="msolistparagraphcxsplast">
    <w:name w:val="msolistparagraphcxsplast"/>
    <w:basedOn w:val="a"/>
    <w:pPr>
      <w:bidi/>
      <w:ind w:left="720"/>
    </w:pPr>
  </w:style>
  <w:style w:type="paragraph" w:customStyle="1" w:styleId="idhidden">
    <w:name w:val="idhidden"/>
    <w:basedOn w:val="a"/>
    <w:pPr>
      <w:bidi/>
    </w:pPr>
    <w:rPr>
      <w:vanish/>
      <w:color w:val="3366FF"/>
    </w:rPr>
  </w:style>
  <w:style w:type="paragraph" w:customStyle="1" w:styleId="mmtakdin">
    <w:name w:val="mmtakdin"/>
    <w:basedOn w:val="a"/>
    <w:pPr>
      <w:bidi/>
    </w:pPr>
    <w:rPr>
      <w:vanish/>
      <w:color w:val="FF0000"/>
    </w:rPr>
  </w:style>
  <w:style w:type="paragraph" w:customStyle="1" w:styleId="title">
    <w:name w:val="title"/>
    <w:basedOn w:val="a"/>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msochpdefault">
    <w:name w:val="msochpdefault"/>
    <w:basedOn w:val="a"/>
    <w:pPr>
      <w:spacing w:before="100" w:beforeAutospacing="1" w:after="100" w:afterAutospacing="1"/>
    </w:pPr>
    <w:rPr>
      <w:sz w:val="20"/>
      <w:szCs w:val="20"/>
    </w:rPr>
  </w:style>
  <w:style w:type="paragraph" w:customStyle="1" w:styleId="section1">
    <w:name w:val="section1"/>
    <w:basedOn w:val="a"/>
    <w:pPr>
      <w:spacing w:before="100" w:beforeAutospacing="1" w:after="100" w:afterAutospacing="1"/>
    </w:pPr>
  </w:style>
  <w:style w:type="character" w:styleId="ac">
    <w:name w:val="page number"/>
    <w:basedOn w:val="a0"/>
    <w:uiPriority w:val="99"/>
    <w:semiHidden/>
    <w:unhideWhenUsed/>
    <w:rPr>
      <w:rFonts w:ascii="Times New Roman" w:hAnsi="Times New Roman" w:cs="Times New Roman" w:hint="default"/>
    </w:rPr>
  </w:style>
  <w:style w:type="character" w:customStyle="1" w:styleId="ad">
    <w:name w:val="a"/>
    <w:basedOn w:val="a0"/>
    <w:rPr>
      <w:rFonts w:ascii="Times New Roman" w:hAnsi="Times New Roman" w:cs="Times New Roman" w:hint="default"/>
    </w:rPr>
  </w:style>
  <w:style w:type="character" w:customStyle="1" w:styleId="a00">
    <w:name w:val="a0"/>
    <w:basedOn w:val="a0"/>
    <w:rPr>
      <w:rFonts w:ascii="Times New Roman" w:hAnsi="Times New Roman" w:cs="Times New Roman" w:hint="default"/>
    </w:rPr>
  </w:style>
  <w:style w:type="character" w:customStyle="1" w:styleId="a10">
    <w:name w:val="a1"/>
    <w:basedOn w:val="a0"/>
    <w:rPr>
      <w:rFonts w:ascii="Cambria" w:hAnsi="Cambria" w:hint="default"/>
    </w:rPr>
  </w:style>
  <w:style w:type="character" w:customStyle="1" w:styleId="mmtakdinchar">
    <w:name w:val="mmtakdinchar"/>
    <w:basedOn w:val="a0"/>
    <w:rPr>
      <w:vanish/>
      <w:webHidden w:val="0"/>
      <w:color w:val="FF0000"/>
      <w:specVanish w:val="0"/>
    </w:rPr>
  </w:style>
  <w:style w:type="character" w:customStyle="1" w:styleId="titlechar">
    <w:name w:val="titlechar"/>
    <w:basedOn w:val="a0"/>
    <w:rPr>
      <w:rFonts w:ascii="Arial" w:hAnsi="Arial" w:cs="Arial" w:hint="default"/>
      <w:b/>
      <w:bCs/>
    </w:rPr>
  </w:style>
  <w:style w:type="character" w:customStyle="1" w:styleId="a20">
    <w:name w:val="a2"/>
    <w:basedOn w:val="a0"/>
    <w:rPr>
      <w:rFonts w:ascii="Tahoma" w:hAnsi="Tahoma" w:cs="Tahoma" w:hint="default"/>
    </w:rPr>
  </w:style>
  <w:style w:type="character" w:customStyle="1" w:styleId="f4dinim">
    <w:name w:val="f4dinim"/>
    <w:basedOn w:val="a0"/>
  </w:style>
  <w:style w:type="character" w:customStyle="1" w:styleId="f41dinim">
    <w:name w:val="f41dinim"/>
    <w:basedOn w:val="a0"/>
  </w:style>
  <w:style w:type="character" w:customStyle="1" w:styleId="f40dinim">
    <w:name w:val="f40dinim"/>
    <w:basedOn w:val="a0"/>
  </w:style>
  <w:style w:type="character" w:customStyle="1" w:styleId="f2dinim">
    <w:name w:val="f2dinim"/>
    <w:basedOn w:val="a0"/>
  </w:style>
  <w:style w:type="character" w:customStyle="1" w:styleId="f42dinim">
    <w:name w:val="f42dinim"/>
    <w:basedOn w:val="a0"/>
  </w:style>
  <w:style w:type="character" w:customStyle="1" w:styleId="f2ndinim">
    <w:name w:val="f2ndinim"/>
    <w:basedOn w:val="a0"/>
  </w:style>
  <w:style w:type="character" w:customStyle="1" w:styleId="f3dinim">
    <w:name w:val="f3dinim"/>
    <w:basedOn w:val="a0"/>
  </w:style>
  <w:style w:type="character" w:customStyle="1" w:styleId="f43dinim">
    <w:name w:val="f4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70923">
      <w:marLeft w:val="0"/>
      <w:marRight w:val="0"/>
      <w:marTop w:val="0"/>
      <w:marBottom w:val="0"/>
      <w:divBdr>
        <w:top w:val="none" w:sz="0" w:space="0" w:color="auto"/>
        <w:left w:val="none" w:sz="0" w:space="0" w:color="auto"/>
        <w:bottom w:val="none" w:sz="0" w:space="0" w:color="auto"/>
        <w:right w:val="none" w:sz="0" w:space="0" w:color="auto"/>
      </w:divBdr>
    </w:div>
    <w:div w:id="987395681">
      <w:marLeft w:val="0"/>
      <w:marRight w:val="0"/>
      <w:marTop w:val="0"/>
      <w:marBottom w:val="0"/>
      <w:divBdr>
        <w:top w:val="none" w:sz="0" w:space="0" w:color="auto"/>
        <w:left w:val="none" w:sz="0" w:space="0" w:color="auto"/>
        <w:bottom w:val="none" w:sz="0" w:space="0" w:color="auto"/>
        <w:right w:val="none" w:sz="0" w:space="0" w:color="auto"/>
      </w:divBdr>
    </w:div>
    <w:div w:id="1642880632">
      <w:marLeft w:val="0"/>
      <w:marRight w:val="0"/>
      <w:marTop w:val="0"/>
      <w:marBottom w:val="0"/>
      <w:divBdr>
        <w:top w:val="none" w:sz="0" w:space="0" w:color="auto"/>
        <w:left w:val="none" w:sz="0" w:space="0" w:color="auto"/>
        <w:bottom w:val="none" w:sz="0" w:space="0" w:color="auto"/>
        <w:right w:val="none" w:sz="0" w:space="0" w:color="auto"/>
      </w:divBdr>
      <w:divsChild>
        <w:div w:id="13033914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takdin.co.il/hashavimcmsfiles/files/472d9167272a4893bd58d5b56facc7dc/image001.gi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3685</Words>
  <Characters>18429</Characters>
  <Application>Microsoft Office Word</Application>
  <DocSecurity>0</DocSecurity>
  <Lines>153</Lines>
  <Paragraphs>44</Paragraphs>
  <ScaleCrop>false</ScaleCrop>
  <Company/>
  <LinksUpToDate>false</LinksUpToDate>
  <CharactersWithSpaces>22070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2026-03-18T20:43:00Z</dcterms:created>
  <dcterms:modified xsi:type="dcterms:W3CDTF">2026-03-18T20:43:00Z</dcterms:modified>
</cp:coreProperties>
</file>