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8307"/>
      </w:tblGrid>
      <w:tr w:rsidR="00F97E58" w14:paraId="773E9C2B" w14:textId="77777777" w:rsidTr="00C513AA">
        <w:trPr>
          <w:trHeight w:hRule="exact" w:val="704"/>
          <w:jc w:val="center"/>
        </w:trPr>
        <w:tc>
          <w:tcPr>
            <w:tcW w:w="8523" w:type="dxa"/>
          </w:tcPr>
          <w:p w14:paraId="2F414D48" w14:textId="77777777" w:rsidR="00BA20F7" w:rsidRPr="00D012F8" w:rsidRDefault="00000000" w:rsidP="004561F3">
            <w:pPr>
              <w:pStyle w:val="a3"/>
              <w:jc w:val="center"/>
              <w:rPr>
                <w:rFonts w:ascii="Tahoma" w:hAnsi="Tahoma" w:cs="Tahoma"/>
                <w:b/>
                <w:bCs/>
                <w:noProof w:val="0"/>
                <w:color w:val="000080"/>
                <w:rtl/>
              </w:rPr>
            </w:pPr>
            <w:r w:rsidRPr="00D012F8">
              <w:rPr>
                <w:rFonts w:ascii="Tahoma" w:hAnsi="Tahoma" w:cs="Tahoma"/>
                <w:b/>
                <w:bCs/>
                <w:color w:val="000080"/>
                <w:rtl/>
              </w:rPr>
              <w:t>בית המשפט המחוזי בירושלים</w:t>
            </w:r>
          </w:p>
        </w:tc>
      </w:tr>
      <w:tr w:rsidR="00F97E58" w14:paraId="18D80150" w14:textId="77777777" w:rsidTr="00C513AA">
        <w:trPr>
          <w:trHeight w:val="337"/>
          <w:jc w:val="center"/>
        </w:trPr>
        <w:tc>
          <w:tcPr>
            <w:tcW w:w="8523" w:type="dxa"/>
          </w:tcPr>
          <w:p w14:paraId="37FA15BB" w14:textId="77777777" w:rsidR="00BA20F7" w:rsidRPr="00D27030" w:rsidRDefault="00000000" w:rsidP="004561F3">
            <w:pPr>
              <w:rPr>
                <w:b/>
                <w:bCs/>
                <w:noProof w:val="0"/>
                <w:sz w:val="26"/>
                <w:szCs w:val="26"/>
                <w:rtl/>
              </w:rPr>
            </w:pPr>
            <w:r w:rsidRPr="00D27030">
              <w:rPr>
                <w:rFonts w:hint="cs"/>
                <w:b/>
                <w:bCs/>
                <w:noProof w:val="0"/>
                <w:sz w:val="26"/>
                <w:szCs w:val="26"/>
                <w:rtl/>
              </w:rPr>
              <w:t>פר"ק</w:t>
            </w:r>
            <w:r w:rsidRPr="00D27030">
              <w:rPr>
                <w:b/>
                <w:bCs/>
                <w:noProof w:val="0"/>
                <w:sz w:val="26"/>
                <w:szCs w:val="26"/>
                <w:rtl/>
              </w:rPr>
              <w:t xml:space="preserve"> 31095-03-22 ברוכי נ' א.י. פרידמן ובנו קבלנים ירושלים בע"מ ואח' </w:t>
            </w:r>
          </w:p>
          <w:p w14:paraId="1020875F" w14:textId="77777777" w:rsidR="00BA20F7" w:rsidRPr="00D27030" w:rsidRDefault="00BA20F7" w:rsidP="004561F3">
            <w:pPr>
              <w:rPr>
                <w:b/>
                <w:bCs/>
                <w:noProof w:val="0"/>
                <w:sz w:val="2"/>
                <w:szCs w:val="2"/>
                <w:rtl/>
              </w:rPr>
            </w:pPr>
          </w:p>
          <w:p w14:paraId="4AF5F238" w14:textId="77777777" w:rsidR="00BA20F7" w:rsidRPr="00D27030" w:rsidRDefault="00000000" w:rsidP="004561F3">
            <w:pPr>
              <w:rPr>
                <w:sz w:val="20"/>
                <w:szCs w:val="20"/>
                <w:rtl/>
              </w:rPr>
            </w:pPr>
            <w:r w:rsidRPr="00D27030">
              <w:rPr>
                <w:rFonts w:hint="cs"/>
                <w:rtl/>
              </w:rPr>
              <w:t xml:space="preserve">                           </w:t>
            </w:r>
            <w:r w:rsidRPr="00D27030">
              <w:rPr>
                <w:rFonts w:hint="cs"/>
                <w:sz w:val="20"/>
                <w:szCs w:val="20"/>
                <w:rtl/>
              </w:rPr>
              <w:t xml:space="preserve">                                       </w:t>
            </w:r>
          </w:p>
          <w:p w14:paraId="585A3CB6" w14:textId="77777777" w:rsidR="00BA20F7" w:rsidRPr="00D27030" w:rsidRDefault="00000000" w:rsidP="004561F3">
            <w:pPr>
              <w:rPr>
                <w:sz w:val="20"/>
                <w:szCs w:val="20"/>
                <w:rtl/>
              </w:rPr>
            </w:pPr>
            <w:r w:rsidRPr="00D27030">
              <w:rPr>
                <w:rFonts w:hint="cs"/>
                <w:sz w:val="20"/>
                <w:szCs w:val="20"/>
                <w:rtl/>
              </w:rPr>
              <w:t xml:space="preserve">תיק חיצוני: </w:t>
            </w:r>
            <w:r w:rsidRPr="00D27030">
              <w:rPr>
                <w:rFonts w:hint="eastAsia"/>
                <w:sz w:val="20"/>
                <w:szCs w:val="20"/>
                <w:rtl/>
              </w:rPr>
              <w:t>0000</w:t>
            </w:r>
            <w:r w:rsidRPr="00D27030">
              <w:rPr>
                <w:rFonts w:hint="cs"/>
                <w:sz w:val="20"/>
                <w:szCs w:val="20"/>
                <w:rtl/>
              </w:rPr>
              <w:t xml:space="preserve"> </w:t>
            </w:r>
            <w:r w:rsidRPr="00D27030">
              <w:rPr>
                <w:sz w:val="20"/>
                <w:szCs w:val="20"/>
                <w:rtl/>
              </w:rPr>
              <w:t xml:space="preserve">  </w:t>
            </w:r>
          </w:p>
        </w:tc>
      </w:tr>
    </w:tbl>
    <w:p w14:paraId="31B722D2" w14:textId="77777777" w:rsidR="00BA20F7" w:rsidRPr="00D27030" w:rsidRDefault="00000000" w:rsidP="00C513AA">
      <w:pPr>
        <w:pStyle w:val="a3"/>
        <w:rPr>
          <w:rtl/>
        </w:rPr>
      </w:pPr>
      <w:r w:rsidRPr="00D27030">
        <w:rPr>
          <w:noProof w:val="0"/>
          <w:rtl/>
        </w:rPr>
        <w:t xml:space="preserve"> </w:t>
      </w:r>
      <w:r w:rsidRPr="00D27030">
        <w:rPr>
          <w:rtl/>
        </w:rPr>
        <w:t xml:space="preserve"> </w:t>
      </w:r>
    </w:p>
    <w:tbl>
      <w:tblPr>
        <w:bidiVisual/>
        <w:tblW w:w="8820" w:type="dxa"/>
        <w:jc w:val="center"/>
        <w:tblLook w:val="01E0" w:firstRow="1" w:lastRow="1" w:firstColumn="1" w:lastColumn="1" w:noHBand="0" w:noVBand="0"/>
      </w:tblPr>
      <w:tblGrid>
        <w:gridCol w:w="743"/>
        <w:gridCol w:w="2506"/>
        <w:gridCol w:w="5571"/>
      </w:tblGrid>
      <w:tr w:rsidR="00F97E58" w14:paraId="1ABB48E2" w14:textId="77777777" w:rsidTr="00BA20F7">
        <w:trPr>
          <w:jc w:val="center"/>
        </w:trPr>
        <w:tc>
          <w:tcPr>
            <w:tcW w:w="743" w:type="dxa"/>
          </w:tcPr>
          <w:p w14:paraId="59BF9413" w14:textId="77777777" w:rsidR="00BA20F7" w:rsidRPr="00D012F8" w:rsidRDefault="00000000" w:rsidP="00D012F8">
            <w:pPr>
              <w:suppressLineNumbers/>
              <w:spacing w:before="120" w:after="120" w:line="240" w:lineRule="exact"/>
              <w:jc w:val="both"/>
              <w:rPr>
                <w:rFonts w:ascii="David" w:hAnsi="David"/>
                <w:b/>
                <w:bCs/>
                <w:sz w:val="26"/>
                <w:szCs w:val="26"/>
                <w:rtl/>
              </w:rPr>
            </w:pPr>
            <w:r w:rsidRPr="00D012F8">
              <w:rPr>
                <w:rFonts w:ascii="David" w:hAnsi="David"/>
                <w:b/>
                <w:bCs/>
                <w:sz w:val="26"/>
                <w:szCs w:val="26"/>
                <w:rtl/>
              </w:rPr>
              <w:t xml:space="preserve">לפני </w:t>
            </w:r>
          </w:p>
        </w:tc>
        <w:tc>
          <w:tcPr>
            <w:tcW w:w="8077" w:type="dxa"/>
            <w:gridSpan w:val="2"/>
          </w:tcPr>
          <w:p w14:paraId="25A0892D" w14:textId="77777777" w:rsidR="00BA20F7" w:rsidRPr="00D012F8" w:rsidRDefault="00000000" w:rsidP="00D012F8">
            <w:pPr>
              <w:suppressLineNumbers/>
              <w:spacing w:before="120" w:after="120" w:line="240" w:lineRule="exact"/>
              <w:rPr>
                <w:rFonts w:ascii="David" w:hAnsi="David"/>
                <w:b/>
                <w:bCs/>
                <w:sz w:val="26"/>
                <w:szCs w:val="26"/>
                <w:highlight w:val="yellow"/>
              </w:rPr>
            </w:pPr>
            <w:r w:rsidRPr="00D012F8">
              <w:rPr>
                <w:rFonts w:ascii="David" w:hAnsi="David"/>
                <w:b/>
                <w:bCs/>
                <w:sz w:val="26"/>
                <w:szCs w:val="26"/>
                <w:rtl/>
              </w:rPr>
              <w:t xml:space="preserve">כבוד השופט </w:t>
            </w:r>
            <w:bookmarkStart w:id="0" w:name="_Hlk215063404"/>
            <w:r w:rsidRPr="00D012F8">
              <w:rPr>
                <w:rFonts w:ascii="David" w:hAnsi="David"/>
                <w:b/>
                <w:bCs/>
                <w:sz w:val="26"/>
                <w:szCs w:val="26"/>
                <w:rtl/>
              </w:rPr>
              <w:t>אביגדור דורות</w:t>
            </w:r>
            <w:bookmarkEnd w:id="0"/>
          </w:p>
        </w:tc>
      </w:tr>
      <w:tr w:rsidR="00082F09" w:rsidRPr="00082F09" w14:paraId="0F85B5E4" w14:textId="77777777" w:rsidTr="00BA20F7">
        <w:trPr>
          <w:jc w:val="center"/>
        </w:trPr>
        <w:tc>
          <w:tcPr>
            <w:tcW w:w="3249" w:type="dxa"/>
            <w:gridSpan w:val="2"/>
          </w:tcPr>
          <w:p w14:paraId="1DE7CF29" w14:textId="77777777" w:rsidR="00BA20F7" w:rsidRPr="00082F09" w:rsidRDefault="00000000" w:rsidP="00D012F8">
            <w:pPr>
              <w:suppressLineNumbers/>
              <w:spacing w:before="120" w:after="120" w:line="240" w:lineRule="exact"/>
              <w:rPr>
                <w:rFonts w:ascii="David" w:hAnsi="David"/>
                <w:b/>
                <w:bCs/>
                <w:noProof w:val="0"/>
                <w:sz w:val="26"/>
                <w:szCs w:val="26"/>
                <w:rtl/>
              </w:rPr>
            </w:pPr>
            <w:bookmarkStart w:id="1" w:name="LastJudge"/>
            <w:bookmarkStart w:id="2" w:name="FirstAppellant"/>
            <w:bookmarkEnd w:id="1"/>
            <w:r w:rsidRPr="00082F09">
              <w:rPr>
                <w:rFonts w:ascii="David" w:hAnsi="David"/>
                <w:b/>
                <w:bCs/>
                <w:noProof w:val="0"/>
                <w:sz w:val="26"/>
                <w:szCs w:val="26"/>
                <w:rtl/>
              </w:rPr>
              <w:t>בעניין:</w:t>
            </w:r>
          </w:p>
        </w:tc>
        <w:tc>
          <w:tcPr>
            <w:tcW w:w="5571" w:type="dxa"/>
          </w:tcPr>
          <w:p w14:paraId="61030F31" w14:textId="5841E6EF" w:rsidR="00D012F8" w:rsidRPr="00082F09" w:rsidRDefault="00D27030" w:rsidP="00D012F8">
            <w:pPr>
              <w:suppressLineNumbers/>
              <w:spacing w:before="120" w:after="120" w:line="240" w:lineRule="exact"/>
              <w:rPr>
                <w:rFonts w:ascii="David" w:hAnsi="David"/>
                <w:b/>
                <w:bCs/>
                <w:noProof w:val="0"/>
                <w:sz w:val="26"/>
                <w:szCs w:val="26"/>
                <w:rtl/>
              </w:rPr>
            </w:pPr>
            <w:r w:rsidRPr="00082F09">
              <w:rPr>
                <w:rFonts w:ascii="David" w:hAnsi="David"/>
                <w:b/>
                <w:bCs/>
                <w:noProof w:val="0"/>
                <w:sz w:val="26"/>
                <w:szCs w:val="26"/>
                <w:rtl/>
              </w:rPr>
              <w:t>חוק חדלות פירעון ושיקום כלכלי, תשע"ח-2018</w:t>
            </w:r>
            <w:r w:rsidR="00BA20F7" w:rsidRPr="00082F09">
              <w:rPr>
                <w:rFonts w:ascii="David" w:hAnsi="David"/>
                <w:b/>
                <w:bCs/>
                <w:sz w:val="26"/>
                <w:szCs w:val="26"/>
                <w:rtl/>
              </w:rPr>
              <w:t xml:space="preserve"> </w:t>
            </w:r>
            <w:r w:rsidR="00BA20F7" w:rsidRPr="00082F09">
              <w:rPr>
                <w:rFonts w:ascii="David" w:hAnsi="David"/>
                <w:b/>
                <w:bCs/>
                <w:noProof w:val="0"/>
                <w:sz w:val="26"/>
                <w:szCs w:val="26"/>
                <w:rtl/>
              </w:rPr>
              <w:br/>
            </w:r>
          </w:p>
          <w:p w14:paraId="4D6AA696" w14:textId="77777777" w:rsidR="00BA20F7" w:rsidRPr="00082F09" w:rsidRDefault="00000000" w:rsidP="00D012F8">
            <w:pPr>
              <w:suppressLineNumbers/>
              <w:spacing w:before="120" w:after="120" w:line="240" w:lineRule="exact"/>
              <w:jc w:val="right"/>
              <w:rPr>
                <w:rFonts w:ascii="David" w:hAnsi="David"/>
                <w:b/>
                <w:bCs/>
                <w:noProof w:val="0"/>
                <w:sz w:val="26"/>
                <w:szCs w:val="26"/>
              </w:rPr>
            </w:pPr>
            <w:r w:rsidRPr="00082F09">
              <w:rPr>
                <w:rFonts w:ascii="David" w:hAnsi="David"/>
                <w:b/>
                <w:bCs/>
                <w:noProof w:val="0"/>
                <w:sz w:val="26"/>
                <w:szCs w:val="26"/>
                <w:rtl/>
              </w:rPr>
              <w:t>"החוק"</w:t>
            </w:r>
          </w:p>
        </w:tc>
      </w:tr>
      <w:tr w:rsidR="00F97E58" w14:paraId="3FD99C67" w14:textId="77777777" w:rsidTr="00BA20F7">
        <w:trPr>
          <w:jc w:val="center"/>
        </w:trPr>
        <w:tc>
          <w:tcPr>
            <w:tcW w:w="3249" w:type="dxa"/>
            <w:gridSpan w:val="2"/>
          </w:tcPr>
          <w:p w14:paraId="179FA6CD" w14:textId="77777777" w:rsidR="00D012F8" w:rsidRPr="00D012F8" w:rsidRDefault="00000000" w:rsidP="00D012F8">
            <w:pPr>
              <w:suppressLineNumbers/>
              <w:spacing w:before="120" w:after="120" w:line="240" w:lineRule="exact"/>
              <w:rPr>
                <w:rFonts w:ascii="David" w:hAnsi="David"/>
                <w:b/>
                <w:bCs/>
                <w:noProof w:val="0"/>
                <w:sz w:val="26"/>
                <w:szCs w:val="26"/>
                <w:rtl/>
              </w:rPr>
            </w:pPr>
            <w:r w:rsidRPr="00D012F8">
              <w:rPr>
                <w:rFonts w:ascii="David" w:hAnsi="David"/>
                <w:b/>
                <w:bCs/>
                <w:noProof w:val="0"/>
                <w:sz w:val="26"/>
                <w:szCs w:val="26"/>
                <w:rtl/>
              </w:rPr>
              <w:t xml:space="preserve">ובעניין:                                                </w:t>
            </w:r>
          </w:p>
        </w:tc>
        <w:tc>
          <w:tcPr>
            <w:tcW w:w="5571" w:type="dxa"/>
          </w:tcPr>
          <w:p w14:paraId="62CEB813" w14:textId="77777777" w:rsidR="00D012F8" w:rsidRDefault="00000000" w:rsidP="00D012F8">
            <w:pPr>
              <w:suppressLineNumbers/>
              <w:tabs>
                <w:tab w:val="left" w:pos="3339"/>
              </w:tabs>
              <w:spacing w:before="120" w:after="120" w:line="240" w:lineRule="exact"/>
              <w:rPr>
                <w:rFonts w:ascii="David" w:hAnsi="David"/>
                <w:b/>
                <w:bCs/>
                <w:noProof w:val="0"/>
                <w:sz w:val="26"/>
                <w:szCs w:val="26"/>
                <w:rtl/>
              </w:rPr>
            </w:pPr>
            <w:r w:rsidRPr="00D012F8">
              <w:rPr>
                <w:rFonts w:ascii="David" w:hAnsi="David"/>
                <w:b/>
                <w:bCs/>
                <w:noProof w:val="0"/>
                <w:sz w:val="26"/>
                <w:szCs w:val="26"/>
                <w:rtl/>
              </w:rPr>
              <w:t>א.י פרידמן ובנו קבלנים ירושלים בע"מ (בפירוק)</w:t>
            </w:r>
          </w:p>
          <w:p w14:paraId="2F78942F" w14:textId="77777777" w:rsidR="00D012F8" w:rsidRPr="00D012F8" w:rsidRDefault="00000000" w:rsidP="00D012F8">
            <w:pPr>
              <w:suppressLineNumbers/>
              <w:tabs>
                <w:tab w:val="left" w:pos="3339"/>
              </w:tabs>
              <w:spacing w:before="120" w:after="120" w:line="240" w:lineRule="exact"/>
              <w:jc w:val="right"/>
              <w:rPr>
                <w:rFonts w:ascii="David" w:hAnsi="David"/>
                <w:b/>
                <w:bCs/>
                <w:noProof w:val="0"/>
                <w:sz w:val="26"/>
                <w:szCs w:val="26"/>
                <w:rtl/>
              </w:rPr>
            </w:pPr>
            <w:r w:rsidRPr="00D012F8">
              <w:rPr>
                <w:rFonts w:ascii="David" w:hAnsi="David"/>
                <w:b/>
                <w:bCs/>
                <w:noProof w:val="0"/>
                <w:sz w:val="26"/>
                <w:szCs w:val="26"/>
                <w:rtl/>
              </w:rPr>
              <w:t xml:space="preserve">                                                                                                                                               "החברה"</w:t>
            </w:r>
          </w:p>
        </w:tc>
      </w:tr>
      <w:tr w:rsidR="00F97E58" w14:paraId="503F8843" w14:textId="77777777" w:rsidTr="00BA20F7">
        <w:trPr>
          <w:jc w:val="center"/>
        </w:trPr>
        <w:tc>
          <w:tcPr>
            <w:tcW w:w="3249" w:type="dxa"/>
            <w:gridSpan w:val="2"/>
          </w:tcPr>
          <w:p w14:paraId="1A51E048" w14:textId="77777777" w:rsidR="00D012F8" w:rsidRPr="00D012F8" w:rsidRDefault="00000000" w:rsidP="00D012F8">
            <w:pPr>
              <w:suppressLineNumbers/>
              <w:spacing w:before="120" w:after="120" w:line="240" w:lineRule="exact"/>
              <w:rPr>
                <w:rFonts w:ascii="David" w:hAnsi="David"/>
                <w:b/>
                <w:bCs/>
                <w:noProof w:val="0"/>
                <w:sz w:val="26"/>
                <w:szCs w:val="26"/>
                <w:rtl/>
              </w:rPr>
            </w:pPr>
            <w:r w:rsidRPr="00D012F8">
              <w:rPr>
                <w:rFonts w:ascii="David" w:hAnsi="David"/>
                <w:b/>
                <w:bCs/>
                <w:noProof w:val="0"/>
                <w:sz w:val="26"/>
                <w:szCs w:val="26"/>
                <w:rtl/>
              </w:rPr>
              <w:t>ובעניין:</w:t>
            </w:r>
          </w:p>
        </w:tc>
        <w:tc>
          <w:tcPr>
            <w:tcW w:w="5571" w:type="dxa"/>
          </w:tcPr>
          <w:p w14:paraId="5215DADC" w14:textId="77777777" w:rsidR="00D012F8" w:rsidRPr="00D012F8" w:rsidRDefault="00000000" w:rsidP="00D012F8">
            <w:pPr>
              <w:suppressLineNumbers/>
              <w:tabs>
                <w:tab w:val="left" w:pos="7734"/>
              </w:tabs>
              <w:spacing w:before="120" w:after="120" w:line="240" w:lineRule="exact"/>
              <w:rPr>
                <w:rFonts w:ascii="David" w:hAnsi="David"/>
                <w:b/>
                <w:bCs/>
                <w:noProof w:val="0"/>
                <w:sz w:val="26"/>
                <w:szCs w:val="26"/>
                <w:rtl/>
              </w:rPr>
            </w:pPr>
            <w:r w:rsidRPr="00D012F8">
              <w:rPr>
                <w:rFonts w:ascii="David" w:hAnsi="David"/>
                <w:b/>
                <w:bCs/>
                <w:noProof w:val="0"/>
                <w:sz w:val="26"/>
                <w:szCs w:val="26"/>
                <w:rtl/>
              </w:rPr>
              <w:t>ברוכי אברהם</w:t>
            </w:r>
          </w:p>
          <w:p w14:paraId="2B7A064F" w14:textId="77777777" w:rsidR="00D012F8" w:rsidRDefault="00000000" w:rsidP="00D012F8">
            <w:pPr>
              <w:suppressLineNumbers/>
              <w:tabs>
                <w:tab w:val="left" w:pos="3204"/>
              </w:tabs>
              <w:spacing w:before="120" w:after="120" w:line="240" w:lineRule="exact"/>
              <w:rPr>
                <w:rFonts w:ascii="David" w:hAnsi="David"/>
                <w:b/>
                <w:bCs/>
                <w:noProof w:val="0"/>
                <w:sz w:val="26"/>
                <w:szCs w:val="26"/>
                <w:rtl/>
              </w:rPr>
            </w:pPr>
            <w:r w:rsidRPr="00D012F8">
              <w:rPr>
                <w:rFonts w:ascii="David" w:hAnsi="David"/>
                <w:b/>
                <w:bCs/>
                <w:noProof w:val="0"/>
                <w:sz w:val="26"/>
                <w:szCs w:val="26"/>
                <w:rtl/>
              </w:rPr>
              <w:t>ע"י ב"כ עו"ד מרדכי וייס</w:t>
            </w:r>
          </w:p>
          <w:p w14:paraId="0350DD1E" w14:textId="77777777" w:rsidR="00D012F8" w:rsidRPr="00D012F8" w:rsidRDefault="00000000" w:rsidP="00D012F8">
            <w:pPr>
              <w:suppressLineNumbers/>
              <w:spacing w:before="120" w:after="120" w:line="240" w:lineRule="exact"/>
              <w:jc w:val="right"/>
              <w:rPr>
                <w:rFonts w:ascii="David" w:hAnsi="David"/>
                <w:b/>
                <w:bCs/>
                <w:noProof w:val="0"/>
                <w:color w:val="0000FF"/>
                <w:sz w:val="26"/>
                <w:szCs w:val="26"/>
                <w:u w:val="single"/>
                <w:rtl/>
              </w:rPr>
            </w:pPr>
            <w:r w:rsidRPr="00D012F8">
              <w:rPr>
                <w:rFonts w:ascii="David" w:hAnsi="David"/>
                <w:b/>
                <w:bCs/>
                <w:noProof w:val="0"/>
                <w:sz w:val="26"/>
                <w:szCs w:val="26"/>
                <w:rtl/>
              </w:rPr>
              <w:tab/>
              <w:t xml:space="preserve"> "המערער"</w:t>
            </w:r>
          </w:p>
        </w:tc>
      </w:tr>
      <w:bookmarkEnd w:id="2"/>
      <w:tr w:rsidR="00F97E58" w14:paraId="7D4D57F8" w14:textId="77777777" w:rsidTr="00BA20F7">
        <w:trPr>
          <w:trHeight w:val="541"/>
          <w:jc w:val="center"/>
        </w:trPr>
        <w:tc>
          <w:tcPr>
            <w:tcW w:w="3249" w:type="dxa"/>
            <w:gridSpan w:val="2"/>
          </w:tcPr>
          <w:p w14:paraId="305B4D4E" w14:textId="77777777" w:rsidR="00BA20F7" w:rsidRPr="00D012F8" w:rsidRDefault="00000000" w:rsidP="00D012F8">
            <w:pPr>
              <w:spacing w:before="120" w:after="120" w:line="240" w:lineRule="exact"/>
              <w:rPr>
                <w:rFonts w:ascii="David" w:hAnsi="David"/>
                <w:b/>
                <w:bCs/>
                <w:sz w:val="26"/>
                <w:szCs w:val="26"/>
              </w:rPr>
            </w:pPr>
            <w:r w:rsidRPr="00D012F8">
              <w:rPr>
                <w:rFonts w:ascii="David" w:hAnsi="David"/>
                <w:b/>
                <w:bCs/>
                <w:noProof w:val="0"/>
                <w:sz w:val="26"/>
                <w:szCs w:val="26"/>
                <w:rtl/>
              </w:rPr>
              <w:t>ובעניין:</w:t>
            </w:r>
            <w:r w:rsidRPr="00D012F8">
              <w:rPr>
                <w:rFonts w:ascii="David" w:hAnsi="David"/>
                <w:b/>
                <w:bCs/>
                <w:sz w:val="26"/>
                <w:szCs w:val="26"/>
                <w:rtl/>
              </w:rPr>
              <w:t xml:space="preserve">                                     </w:t>
            </w:r>
          </w:p>
        </w:tc>
        <w:tc>
          <w:tcPr>
            <w:tcW w:w="5571" w:type="dxa"/>
          </w:tcPr>
          <w:p w14:paraId="39B18772" w14:textId="77777777" w:rsidR="00D012F8" w:rsidRDefault="00BA20F7" w:rsidP="00D012F8">
            <w:pPr>
              <w:suppressLineNumbers/>
              <w:tabs>
                <w:tab w:val="left" w:pos="4290"/>
              </w:tabs>
              <w:spacing w:before="120" w:after="120" w:line="240" w:lineRule="exact"/>
              <w:rPr>
                <w:rFonts w:ascii="David" w:hAnsi="David"/>
                <w:b/>
                <w:bCs/>
                <w:sz w:val="26"/>
                <w:szCs w:val="26"/>
                <w:rtl/>
              </w:rPr>
            </w:pPr>
            <w:r w:rsidRPr="00D012F8">
              <w:rPr>
                <w:rFonts w:ascii="David" w:hAnsi="David"/>
                <w:b/>
                <w:bCs/>
                <w:sz w:val="26"/>
                <w:szCs w:val="26"/>
                <w:rtl/>
              </w:rPr>
              <w:t xml:space="preserve">עו"ד אילן חזני  </w:t>
            </w:r>
          </w:p>
          <w:p w14:paraId="6AA5FFA5" w14:textId="77777777" w:rsidR="00BA20F7" w:rsidRPr="00D012F8" w:rsidRDefault="00000000" w:rsidP="00D012F8">
            <w:pPr>
              <w:suppressLineNumbers/>
              <w:tabs>
                <w:tab w:val="left" w:pos="4290"/>
              </w:tabs>
              <w:spacing w:before="120" w:after="120" w:line="240" w:lineRule="exact"/>
              <w:jc w:val="right"/>
              <w:rPr>
                <w:rFonts w:ascii="David" w:hAnsi="David"/>
                <w:b/>
                <w:bCs/>
                <w:sz w:val="26"/>
                <w:szCs w:val="26"/>
                <w:rtl/>
              </w:rPr>
            </w:pPr>
            <w:r w:rsidRPr="00D012F8">
              <w:rPr>
                <w:rFonts w:ascii="David" w:hAnsi="David"/>
                <w:b/>
                <w:bCs/>
                <w:sz w:val="26"/>
                <w:szCs w:val="26"/>
                <w:rtl/>
              </w:rPr>
              <w:t xml:space="preserve">                                           "המנהל המיוחד"</w:t>
            </w:r>
          </w:p>
        </w:tc>
      </w:tr>
      <w:tr w:rsidR="00F97E58" w14:paraId="7E513D91" w14:textId="77777777" w:rsidTr="00BA20F7">
        <w:trPr>
          <w:trHeight w:val="541"/>
          <w:jc w:val="center"/>
        </w:trPr>
        <w:tc>
          <w:tcPr>
            <w:tcW w:w="3249" w:type="dxa"/>
            <w:gridSpan w:val="2"/>
          </w:tcPr>
          <w:p w14:paraId="1B34CF0A" w14:textId="77777777" w:rsidR="00D012F8" w:rsidRPr="00D012F8" w:rsidRDefault="00000000" w:rsidP="00D012F8">
            <w:pPr>
              <w:spacing w:before="120" w:after="120" w:line="240" w:lineRule="exact"/>
              <w:rPr>
                <w:rFonts w:ascii="David" w:hAnsi="David"/>
                <w:b/>
                <w:bCs/>
                <w:sz w:val="26"/>
                <w:szCs w:val="26"/>
                <w:rtl/>
              </w:rPr>
            </w:pPr>
            <w:r w:rsidRPr="00D012F8">
              <w:rPr>
                <w:rFonts w:ascii="David" w:hAnsi="David"/>
                <w:b/>
                <w:bCs/>
                <w:sz w:val="26"/>
                <w:szCs w:val="26"/>
                <w:rtl/>
              </w:rPr>
              <w:t>ובעניין:</w:t>
            </w:r>
          </w:p>
          <w:p w14:paraId="53F7758B" w14:textId="77777777" w:rsidR="00D012F8" w:rsidRPr="00D012F8" w:rsidRDefault="00D012F8" w:rsidP="00D012F8">
            <w:pPr>
              <w:suppressLineNumbers/>
              <w:spacing w:before="120" w:after="120" w:line="240" w:lineRule="exact"/>
              <w:rPr>
                <w:rFonts w:ascii="David" w:hAnsi="David"/>
                <w:b/>
                <w:bCs/>
                <w:noProof w:val="0"/>
                <w:sz w:val="26"/>
                <w:szCs w:val="26"/>
                <w:rtl/>
              </w:rPr>
            </w:pPr>
          </w:p>
        </w:tc>
        <w:tc>
          <w:tcPr>
            <w:tcW w:w="5571" w:type="dxa"/>
          </w:tcPr>
          <w:p w14:paraId="57653734" w14:textId="77777777" w:rsidR="00D012F8" w:rsidRPr="00D012F8" w:rsidRDefault="00000000" w:rsidP="00D012F8">
            <w:pPr>
              <w:suppressLineNumbers/>
              <w:tabs>
                <w:tab w:val="left" w:pos="4290"/>
              </w:tabs>
              <w:spacing w:before="120" w:after="120" w:line="240" w:lineRule="exact"/>
              <w:rPr>
                <w:rFonts w:ascii="David" w:hAnsi="David"/>
                <w:b/>
                <w:bCs/>
                <w:sz w:val="26"/>
                <w:szCs w:val="26"/>
                <w:rtl/>
              </w:rPr>
            </w:pPr>
            <w:r w:rsidRPr="00D012F8">
              <w:rPr>
                <w:rFonts w:ascii="David" w:hAnsi="David"/>
                <w:b/>
                <w:bCs/>
                <w:sz w:val="26"/>
                <w:szCs w:val="26"/>
                <w:rtl/>
              </w:rPr>
              <w:t>המוסד לביטוח לאומי</w:t>
            </w:r>
          </w:p>
          <w:p w14:paraId="61039A55" w14:textId="77777777" w:rsidR="00D012F8" w:rsidRDefault="00000000" w:rsidP="00D012F8">
            <w:pPr>
              <w:suppressLineNumbers/>
              <w:tabs>
                <w:tab w:val="left" w:pos="4290"/>
              </w:tabs>
              <w:spacing w:before="120" w:after="120" w:line="240" w:lineRule="exact"/>
              <w:rPr>
                <w:rFonts w:ascii="David" w:hAnsi="David"/>
                <w:b/>
                <w:bCs/>
                <w:sz w:val="26"/>
                <w:szCs w:val="26"/>
                <w:rtl/>
              </w:rPr>
            </w:pPr>
            <w:r w:rsidRPr="00D012F8">
              <w:rPr>
                <w:rFonts w:ascii="David" w:hAnsi="David"/>
                <w:b/>
                <w:bCs/>
                <w:sz w:val="26"/>
                <w:szCs w:val="26"/>
                <w:rtl/>
              </w:rPr>
              <w:t>ע"י ב"כ עו"ד יהודה הריס</w:t>
            </w:r>
          </w:p>
          <w:p w14:paraId="6244A3EA" w14:textId="77777777" w:rsidR="00D012F8" w:rsidRPr="00D012F8" w:rsidRDefault="00000000" w:rsidP="00D012F8">
            <w:pPr>
              <w:suppressLineNumbers/>
              <w:tabs>
                <w:tab w:val="left" w:pos="4290"/>
              </w:tabs>
              <w:spacing w:before="120" w:after="120" w:line="240" w:lineRule="exact"/>
              <w:jc w:val="right"/>
              <w:rPr>
                <w:rFonts w:ascii="David" w:hAnsi="David"/>
                <w:b/>
                <w:bCs/>
                <w:sz w:val="26"/>
                <w:szCs w:val="26"/>
                <w:rtl/>
              </w:rPr>
            </w:pPr>
            <w:r w:rsidRPr="00D012F8">
              <w:rPr>
                <w:rFonts w:ascii="David" w:hAnsi="David"/>
                <w:b/>
                <w:bCs/>
                <w:sz w:val="26"/>
                <w:szCs w:val="26"/>
                <w:rtl/>
              </w:rPr>
              <w:t>"המל"ל"</w:t>
            </w:r>
          </w:p>
        </w:tc>
      </w:tr>
      <w:tr w:rsidR="00F97E58" w14:paraId="219E5A49" w14:textId="77777777" w:rsidTr="00BA20F7">
        <w:trPr>
          <w:trHeight w:val="784"/>
          <w:jc w:val="center"/>
        </w:trPr>
        <w:tc>
          <w:tcPr>
            <w:tcW w:w="3249" w:type="dxa"/>
            <w:gridSpan w:val="2"/>
          </w:tcPr>
          <w:p w14:paraId="0DB3E3A8" w14:textId="77777777" w:rsidR="00BA20F7" w:rsidRPr="00D012F8" w:rsidRDefault="00000000" w:rsidP="00D012F8">
            <w:pPr>
              <w:tabs>
                <w:tab w:val="right" w:pos="3033"/>
              </w:tabs>
              <w:spacing w:before="120" w:after="120" w:line="240" w:lineRule="exact"/>
              <w:rPr>
                <w:rFonts w:ascii="David" w:hAnsi="David"/>
                <w:b/>
                <w:bCs/>
                <w:noProof w:val="0"/>
                <w:sz w:val="26"/>
                <w:szCs w:val="26"/>
              </w:rPr>
            </w:pPr>
            <w:r w:rsidRPr="00D012F8">
              <w:rPr>
                <w:rFonts w:ascii="David" w:hAnsi="David"/>
                <w:b/>
                <w:bCs/>
                <w:noProof w:val="0"/>
                <w:sz w:val="26"/>
                <w:szCs w:val="26"/>
                <w:rtl/>
              </w:rPr>
              <w:t xml:space="preserve">ובעניין:                                    </w:t>
            </w:r>
            <w:r w:rsidRPr="00D012F8">
              <w:rPr>
                <w:rFonts w:ascii="David" w:hAnsi="David"/>
                <w:b/>
                <w:bCs/>
                <w:noProof w:val="0"/>
                <w:sz w:val="26"/>
                <w:szCs w:val="26"/>
              </w:rPr>
              <w:tab/>
            </w:r>
            <w:r w:rsidRPr="00D012F8">
              <w:rPr>
                <w:rFonts w:ascii="David" w:hAnsi="David"/>
                <w:b/>
                <w:bCs/>
                <w:noProof w:val="0"/>
                <w:sz w:val="26"/>
                <w:szCs w:val="26"/>
                <w:rtl/>
              </w:rPr>
              <w:t xml:space="preserve">     </w:t>
            </w:r>
          </w:p>
        </w:tc>
        <w:tc>
          <w:tcPr>
            <w:tcW w:w="5571" w:type="dxa"/>
          </w:tcPr>
          <w:p w14:paraId="493160CC" w14:textId="77777777" w:rsidR="00BA20F7" w:rsidRPr="00D012F8" w:rsidRDefault="00000000" w:rsidP="00D012F8">
            <w:pPr>
              <w:spacing w:before="120" w:after="120" w:line="240" w:lineRule="exact"/>
              <w:rPr>
                <w:rFonts w:ascii="David" w:hAnsi="David"/>
                <w:b/>
                <w:bCs/>
                <w:sz w:val="26"/>
                <w:szCs w:val="26"/>
                <w:rtl/>
              </w:rPr>
            </w:pPr>
            <w:r w:rsidRPr="00D012F8">
              <w:rPr>
                <w:rFonts w:ascii="David" w:hAnsi="David"/>
                <w:b/>
                <w:bCs/>
                <w:sz w:val="26"/>
                <w:szCs w:val="26"/>
                <w:rtl/>
              </w:rPr>
              <w:t>כונס הנכסים הרשמי מחוז ירושלים</w:t>
            </w:r>
          </w:p>
          <w:p w14:paraId="065B57DE" w14:textId="77777777" w:rsidR="00D012F8" w:rsidRDefault="00BA20F7" w:rsidP="00D012F8">
            <w:pPr>
              <w:spacing w:before="120" w:after="120" w:line="240" w:lineRule="exact"/>
              <w:rPr>
                <w:rFonts w:ascii="David" w:hAnsi="David"/>
                <w:b/>
                <w:bCs/>
                <w:sz w:val="26"/>
                <w:szCs w:val="26"/>
                <w:rtl/>
              </w:rPr>
            </w:pPr>
            <w:r w:rsidRPr="00D012F8">
              <w:rPr>
                <w:rFonts w:ascii="David" w:hAnsi="David"/>
                <w:b/>
                <w:bCs/>
                <w:sz w:val="26"/>
                <w:szCs w:val="26"/>
                <w:rtl/>
              </w:rPr>
              <w:t xml:space="preserve"> ע"י ב"כ עו"ד יוסף בכריה   </w:t>
            </w:r>
          </w:p>
          <w:p w14:paraId="79468662" w14:textId="77777777" w:rsidR="00BA20F7" w:rsidRPr="00D012F8" w:rsidRDefault="00000000" w:rsidP="00D012F8">
            <w:pPr>
              <w:spacing w:before="120" w:after="120" w:line="240" w:lineRule="exact"/>
              <w:jc w:val="right"/>
              <w:rPr>
                <w:rFonts w:ascii="David" w:hAnsi="David"/>
                <w:b/>
                <w:bCs/>
                <w:sz w:val="26"/>
                <w:szCs w:val="26"/>
              </w:rPr>
            </w:pPr>
            <w:r w:rsidRPr="00D012F8">
              <w:rPr>
                <w:rFonts w:ascii="David" w:hAnsi="David"/>
                <w:b/>
                <w:bCs/>
                <w:sz w:val="26"/>
                <w:szCs w:val="26"/>
                <w:rtl/>
              </w:rPr>
              <w:t>"הכנ"ר"</w:t>
            </w:r>
          </w:p>
        </w:tc>
      </w:tr>
    </w:tbl>
    <w:p w14:paraId="59DF8B02" w14:textId="77777777" w:rsidR="00C513AA" w:rsidRPr="00D27030" w:rsidRDefault="00000000" w:rsidP="00D27030">
      <w:pPr>
        <w:bidi w:val="0"/>
        <w:jc w:val="center"/>
        <w:rPr>
          <w:rFonts w:ascii="Arial" w:hAnsi="Arial"/>
          <w:b/>
          <w:bCs/>
          <w:noProof w:val="0"/>
          <w:sz w:val="28"/>
          <w:szCs w:val="28"/>
          <w:u w:val="single"/>
          <w:rtl/>
        </w:rPr>
      </w:pPr>
      <w:bookmarkStart w:id="3" w:name="PsakDin"/>
      <w:r w:rsidRPr="00C513AA">
        <w:rPr>
          <w:rFonts w:ascii="Arial" w:hAnsi="Arial"/>
          <w:b/>
          <w:bCs/>
          <w:noProof w:val="0"/>
          <w:sz w:val="28"/>
          <w:szCs w:val="28"/>
          <w:u w:val="single"/>
          <w:rtl/>
        </w:rPr>
        <w:t>פסק</w:t>
      </w:r>
      <w:r w:rsidRPr="00D27030">
        <w:rPr>
          <w:rFonts w:ascii="Arial" w:hAnsi="Arial"/>
          <w:b/>
          <w:bCs/>
          <w:noProof w:val="0"/>
          <w:sz w:val="28"/>
          <w:szCs w:val="28"/>
          <w:u w:val="single"/>
          <w:rtl/>
        </w:rPr>
        <w:t xml:space="preserve"> דין</w:t>
      </w:r>
    </w:p>
    <w:bookmarkEnd w:id="3"/>
    <w:p w14:paraId="6FE4B689" w14:textId="77777777" w:rsidR="00C513AA" w:rsidRPr="00BA20F7" w:rsidRDefault="00C513AA" w:rsidP="00BA20F7">
      <w:pPr>
        <w:bidi w:val="0"/>
        <w:jc w:val="center"/>
        <w:rPr>
          <w:rFonts w:ascii="Arial" w:hAnsi="Arial"/>
          <w:b/>
          <w:bCs/>
          <w:noProof w:val="0"/>
          <w:sz w:val="28"/>
          <w:szCs w:val="28"/>
          <w:u w:val="single"/>
        </w:rPr>
      </w:pPr>
    </w:p>
    <w:p w14:paraId="343B9005" w14:textId="46BA15C5" w:rsidR="00BA20F7" w:rsidRDefault="00000000" w:rsidP="00BA20F7">
      <w:pPr>
        <w:pStyle w:val="1"/>
        <w:numPr>
          <w:ilvl w:val="0"/>
          <w:numId w:val="1"/>
        </w:numPr>
        <w:spacing w:line="360" w:lineRule="auto"/>
        <w:ind w:left="-57" w:hanging="9"/>
        <w:jc w:val="both"/>
        <w:rPr>
          <w:rFonts w:ascii="Arial" w:hAnsi="Arial"/>
          <w:noProof w:val="0"/>
        </w:rPr>
      </w:pPr>
      <w:bookmarkStart w:id="4" w:name="NGCSBookmark"/>
      <w:bookmarkEnd w:id="4"/>
      <w:r>
        <w:rPr>
          <w:rFonts w:ascii="Arial" w:hAnsi="Arial" w:hint="cs"/>
          <w:noProof w:val="0"/>
          <w:rtl/>
        </w:rPr>
        <w:t xml:space="preserve">לפניי ערעור על החלטת המנהל המיוחד מיום 13.1.22, בה הודיע המנהל המיוחד על תיקון החלטתו בתביעת החוב של המערער, כך שסכום החוב שאושר יעמוד על 53,296 ₪ בלבד. </w:t>
      </w:r>
      <w:r w:rsidRPr="00082F09">
        <w:rPr>
          <w:rFonts w:ascii="Arial" w:hAnsi="Arial" w:hint="cs"/>
          <w:noProof w:val="0"/>
          <w:rtl/>
        </w:rPr>
        <w:t xml:space="preserve">החלטה זו ניתנה על בסיס </w:t>
      </w:r>
      <w:r w:rsidR="00C513AA" w:rsidRPr="00082F09">
        <w:rPr>
          <w:rFonts w:ascii="Arial" w:hAnsi="Arial"/>
          <w:noProof w:val="0"/>
          <w:rtl/>
        </w:rPr>
        <w:t>סעיף 183</w:t>
      </w:r>
      <w:r w:rsidRPr="00082F09">
        <w:rPr>
          <w:rFonts w:ascii="Arial" w:hAnsi="Arial" w:hint="cs"/>
          <w:noProof w:val="0"/>
          <w:rtl/>
        </w:rPr>
        <w:t xml:space="preserve"> ל</w:t>
      </w:r>
      <w:r w:rsidR="00D27030" w:rsidRPr="00082F09">
        <w:rPr>
          <w:rFonts w:ascii="Arial" w:hAnsi="Arial"/>
          <w:noProof w:val="0"/>
          <w:rtl/>
        </w:rPr>
        <w:t>חוק הביטוח הלאומי</w:t>
      </w:r>
      <w:r w:rsidRPr="00082F09">
        <w:rPr>
          <w:rFonts w:ascii="Arial" w:hAnsi="Arial"/>
          <w:noProof w:val="0"/>
          <w:rtl/>
        </w:rPr>
        <w:t xml:space="preserve"> [נוסח משולב], תשנ"ה-1995</w:t>
      </w:r>
      <w:r w:rsidRPr="00082F09">
        <w:rPr>
          <w:rFonts w:ascii="Arial" w:hAnsi="Arial" w:hint="cs"/>
          <w:noProof w:val="0"/>
          <w:rtl/>
        </w:rPr>
        <w:t xml:space="preserve"> (להלן:</w:t>
      </w:r>
      <w:r>
        <w:rPr>
          <w:rFonts w:ascii="Arial" w:hAnsi="Arial" w:hint="cs"/>
          <w:noProof w:val="0"/>
          <w:rtl/>
        </w:rPr>
        <w:t xml:space="preserve"> "</w:t>
      </w:r>
      <w:r w:rsidRPr="00E70507">
        <w:rPr>
          <w:rFonts w:ascii="Arial" w:hAnsi="Arial" w:hint="cs"/>
          <w:b/>
          <w:bCs/>
          <w:noProof w:val="0"/>
          <w:rtl/>
        </w:rPr>
        <w:t>חוק המל"ל</w:t>
      </w:r>
      <w:r>
        <w:rPr>
          <w:rFonts w:ascii="Arial" w:hAnsi="Arial" w:hint="cs"/>
          <w:noProof w:val="0"/>
          <w:rtl/>
        </w:rPr>
        <w:t>").</w:t>
      </w:r>
    </w:p>
    <w:p w14:paraId="6C10D92B" w14:textId="77777777" w:rsidR="00BA20F7" w:rsidRDefault="00BA20F7" w:rsidP="00BA20F7">
      <w:pPr>
        <w:spacing w:line="360" w:lineRule="auto"/>
        <w:ind w:left="-66"/>
        <w:jc w:val="both"/>
        <w:rPr>
          <w:rFonts w:ascii="Arial" w:hAnsi="Arial"/>
          <w:noProof w:val="0"/>
          <w:rtl/>
        </w:rPr>
      </w:pPr>
    </w:p>
    <w:p w14:paraId="5D684027" w14:textId="77777777" w:rsidR="00BA20F7" w:rsidRDefault="00000000" w:rsidP="00BA20F7">
      <w:pPr>
        <w:spacing w:line="360" w:lineRule="auto"/>
        <w:ind w:left="-66"/>
        <w:jc w:val="both"/>
        <w:rPr>
          <w:rFonts w:ascii="Arial" w:hAnsi="Arial"/>
          <w:noProof w:val="0"/>
          <w:rtl/>
        </w:rPr>
      </w:pPr>
      <w:r>
        <w:rPr>
          <w:rFonts w:ascii="Arial" w:hAnsi="Arial" w:hint="cs"/>
          <w:b/>
          <w:bCs/>
          <w:noProof w:val="0"/>
          <w:u w:val="single"/>
          <w:rtl/>
        </w:rPr>
        <w:t>רקע והליכים קודמים</w:t>
      </w:r>
    </w:p>
    <w:p w14:paraId="037209FD" w14:textId="77777777" w:rsidR="00BA20F7"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t>המערער הינו מהנדס קונסטרוקציה בהכשרתו, אשר הועסק על ידי חברת א.י פרידמן ובנו קבלנים ירושלים בע"מ (להלן: "</w:t>
      </w:r>
      <w:r w:rsidRPr="00455DBE">
        <w:rPr>
          <w:rFonts w:ascii="Arial" w:hAnsi="Arial" w:hint="cs"/>
          <w:b/>
          <w:bCs/>
          <w:noProof w:val="0"/>
          <w:rtl/>
        </w:rPr>
        <w:t>החברה</w:t>
      </w:r>
      <w:r>
        <w:rPr>
          <w:rFonts w:ascii="Arial" w:hAnsi="Arial" w:hint="cs"/>
          <w:noProof w:val="0"/>
          <w:rtl/>
        </w:rPr>
        <w:t>") במשך כשנתיים וחצי, מיום 1.7.13 ועד ליום 31.12.15.</w:t>
      </w:r>
    </w:p>
    <w:p w14:paraId="48F5DF04" w14:textId="77777777" w:rsidR="00BA20F7" w:rsidRPr="00175D57" w:rsidRDefault="00BA20F7" w:rsidP="00BA20F7">
      <w:pPr>
        <w:spacing w:line="360" w:lineRule="auto"/>
        <w:ind w:left="-57"/>
        <w:jc w:val="both"/>
        <w:rPr>
          <w:rFonts w:ascii="Arial" w:hAnsi="Arial"/>
          <w:noProof w:val="0"/>
        </w:rPr>
      </w:pPr>
    </w:p>
    <w:p w14:paraId="1B796775" w14:textId="368C8299" w:rsidR="00BA20F7" w:rsidRDefault="00000000" w:rsidP="00BA20F7">
      <w:pPr>
        <w:pStyle w:val="1"/>
        <w:numPr>
          <w:ilvl w:val="0"/>
          <w:numId w:val="1"/>
        </w:numPr>
        <w:spacing w:line="360" w:lineRule="auto"/>
        <w:ind w:left="-57" w:firstLine="0"/>
        <w:jc w:val="both"/>
        <w:rPr>
          <w:rFonts w:ascii="Arial" w:hAnsi="Arial"/>
          <w:noProof w:val="0"/>
        </w:rPr>
      </w:pPr>
      <w:r w:rsidRPr="00082F09">
        <w:rPr>
          <w:rFonts w:ascii="Arial" w:hAnsi="Arial" w:hint="cs"/>
          <w:noProof w:val="0"/>
          <w:rtl/>
        </w:rPr>
        <w:t xml:space="preserve">ביום 3.8.15 ניתן צו פירוק כנגד החברה, במסגרת </w:t>
      </w:r>
      <w:r w:rsidR="00D27030" w:rsidRPr="00082F09">
        <w:rPr>
          <w:rFonts w:ascii="Arial" w:hAnsi="Arial"/>
          <w:noProof w:val="0"/>
          <w:rtl/>
        </w:rPr>
        <w:t>פר"ק 43497-</w:t>
      </w:r>
      <w:bookmarkStart w:id="5" w:name="_Hlt214779559"/>
      <w:bookmarkStart w:id="6" w:name="_Hlt214779560"/>
      <w:r w:rsidR="00D27030" w:rsidRPr="00082F09">
        <w:rPr>
          <w:rFonts w:ascii="Arial" w:hAnsi="Arial"/>
          <w:noProof w:val="0"/>
          <w:rtl/>
        </w:rPr>
        <w:t>0</w:t>
      </w:r>
      <w:bookmarkEnd w:id="5"/>
      <w:bookmarkEnd w:id="6"/>
      <w:r w:rsidR="00D27030" w:rsidRPr="00082F09">
        <w:rPr>
          <w:rFonts w:ascii="Arial" w:hAnsi="Arial"/>
          <w:noProof w:val="0"/>
          <w:rtl/>
        </w:rPr>
        <w:t>3-14</w:t>
      </w:r>
      <w:r w:rsidRPr="00082F09">
        <w:rPr>
          <w:rFonts w:ascii="Arial" w:hAnsi="Arial" w:hint="cs"/>
          <w:noProof w:val="0"/>
          <w:rtl/>
        </w:rPr>
        <w:t>, אשר בוטל</w:t>
      </w:r>
      <w:r>
        <w:rPr>
          <w:rFonts w:ascii="Arial" w:hAnsi="Arial" w:hint="cs"/>
          <w:noProof w:val="0"/>
          <w:rtl/>
        </w:rPr>
        <w:t xml:space="preserve"> בהחלטה נוספת מיום 14.2.16.</w:t>
      </w:r>
    </w:p>
    <w:p w14:paraId="1B82C687" w14:textId="77777777" w:rsidR="00BA20F7" w:rsidRPr="0032205E" w:rsidRDefault="00BA20F7" w:rsidP="00BA20F7">
      <w:pPr>
        <w:spacing w:line="360" w:lineRule="auto"/>
        <w:ind w:left="-57"/>
        <w:jc w:val="both"/>
        <w:rPr>
          <w:rFonts w:ascii="Arial" w:hAnsi="Arial"/>
          <w:noProof w:val="0"/>
        </w:rPr>
      </w:pPr>
    </w:p>
    <w:p w14:paraId="0306E66A" w14:textId="77777777" w:rsidR="00BA20F7" w:rsidRPr="0003090A"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lastRenderedPageBreak/>
        <w:t>ביום 18.10.16 ניתן פסק דין של בית הדין האזורי לעבודה בירושלים בסע"ש 14545-0416 (להלן: "</w:t>
      </w:r>
      <w:r w:rsidRPr="0032205E">
        <w:rPr>
          <w:rFonts w:ascii="Arial" w:hAnsi="Arial" w:hint="cs"/>
          <w:b/>
          <w:bCs/>
          <w:noProof w:val="0"/>
          <w:rtl/>
        </w:rPr>
        <w:t>פסק הדין</w:t>
      </w:r>
      <w:r>
        <w:rPr>
          <w:rFonts w:ascii="Arial" w:hAnsi="Arial" w:hint="cs"/>
          <w:noProof w:val="0"/>
          <w:rtl/>
        </w:rPr>
        <w:t xml:space="preserve">"), בו חויבה החברה בגין אי תשלום שכר עבודה, פיצויי פיטורים ורכיבי שכר אחרים למערער. פסק </w:t>
      </w:r>
      <w:r w:rsidRPr="0003090A">
        <w:rPr>
          <w:rFonts w:ascii="Arial" w:hAnsi="Arial" w:hint="cs"/>
          <w:noProof w:val="0"/>
          <w:rtl/>
        </w:rPr>
        <w:t xml:space="preserve">דין </w:t>
      </w:r>
      <w:r>
        <w:rPr>
          <w:rFonts w:ascii="Arial" w:hAnsi="Arial" w:hint="cs"/>
          <w:noProof w:val="0"/>
          <w:rtl/>
        </w:rPr>
        <w:t xml:space="preserve">זה </w:t>
      </w:r>
      <w:r w:rsidRPr="0003090A">
        <w:rPr>
          <w:rFonts w:ascii="Arial" w:hAnsi="Arial" w:hint="cs"/>
          <w:noProof w:val="0"/>
          <w:rtl/>
        </w:rPr>
        <w:t>ניתן בהעדר הגנה</w:t>
      </w:r>
      <w:r>
        <w:rPr>
          <w:rFonts w:ascii="Arial" w:hAnsi="Arial" w:hint="cs"/>
          <w:noProof w:val="0"/>
          <w:rtl/>
        </w:rPr>
        <w:t>.</w:t>
      </w:r>
    </w:p>
    <w:p w14:paraId="3AC21AEB" w14:textId="77777777" w:rsidR="00BA20F7"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t>ביום 31.10.18 ניתן על ידי בית משפט זה צו פירוק כנגד החברה, לבקשת המערער, בגדרה טען כי החברה חייבת לו את הסכומים על פי פסק הדין, וכן מונה עו"ד אילן חזני כמנהל מיוחד לבדיקת תביעות חוב של העובדים.</w:t>
      </w:r>
    </w:p>
    <w:p w14:paraId="438F7BDF" w14:textId="77777777" w:rsidR="00BA20F7" w:rsidRPr="0098442E" w:rsidRDefault="00BA20F7" w:rsidP="00BA20F7">
      <w:pPr>
        <w:pStyle w:val="1"/>
        <w:rPr>
          <w:rFonts w:ascii="Arial" w:hAnsi="Arial"/>
          <w:noProof w:val="0"/>
          <w:rtl/>
        </w:rPr>
      </w:pPr>
    </w:p>
    <w:p w14:paraId="728FE3F7" w14:textId="77777777" w:rsidR="00BA20F7"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t>ביום 26.8.19 הגיש המערער תביעת חוב למנהל המיוחד. ביום 20.3.20 ניתנה ההכרעה הראשונה של המנהל המיוחד בתביעה, בגדרה הוכר חוב בסך 107,700 ₪ (להלן: "</w:t>
      </w:r>
      <w:r w:rsidRPr="00C63595">
        <w:rPr>
          <w:rFonts w:ascii="Arial" w:hAnsi="Arial" w:hint="cs"/>
          <w:b/>
          <w:bCs/>
          <w:noProof w:val="0"/>
          <w:rtl/>
        </w:rPr>
        <w:t>ההכרעה הראשונה</w:t>
      </w:r>
      <w:r>
        <w:rPr>
          <w:rFonts w:ascii="Arial" w:hAnsi="Arial" w:hint="cs"/>
          <w:noProof w:val="0"/>
          <w:rtl/>
        </w:rPr>
        <w:t>"). עם קבלת ההכרעה, יצר המערער קשר טלפוני עם המנהל המיוחד וביקש ממנו לתקן את תביעת החוב, וזאת ללא הגשת ערעור.</w:t>
      </w:r>
    </w:p>
    <w:p w14:paraId="15295F4A" w14:textId="77777777" w:rsidR="00BA20F7" w:rsidRPr="0064031E" w:rsidRDefault="00BA20F7" w:rsidP="00BA20F7">
      <w:pPr>
        <w:pStyle w:val="1"/>
        <w:rPr>
          <w:rFonts w:ascii="Arial" w:hAnsi="Arial"/>
          <w:noProof w:val="0"/>
          <w:rtl/>
        </w:rPr>
      </w:pPr>
    </w:p>
    <w:p w14:paraId="6F39445D" w14:textId="77777777" w:rsidR="00BA20F7"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t>ביום 17.6.20 המערער הגיש תביעת חוב למוסד לביטוח לאומי (להלן: "</w:t>
      </w:r>
      <w:r w:rsidRPr="0032205E">
        <w:rPr>
          <w:rFonts w:ascii="Arial" w:hAnsi="Arial" w:hint="cs"/>
          <w:b/>
          <w:bCs/>
          <w:noProof w:val="0"/>
          <w:rtl/>
        </w:rPr>
        <w:t>המל"ל</w:t>
      </w:r>
      <w:r>
        <w:rPr>
          <w:rFonts w:ascii="Arial" w:hAnsi="Arial" w:hint="cs"/>
          <w:noProof w:val="0"/>
          <w:rtl/>
        </w:rPr>
        <w:t>"), בסך 196,623 ₪.</w:t>
      </w:r>
    </w:p>
    <w:p w14:paraId="0300A39E" w14:textId="77777777" w:rsidR="00BA20F7" w:rsidRPr="0064031E" w:rsidRDefault="00BA20F7" w:rsidP="00BA20F7">
      <w:pPr>
        <w:rPr>
          <w:rFonts w:ascii="Arial" w:hAnsi="Arial"/>
          <w:noProof w:val="0"/>
          <w:rtl/>
        </w:rPr>
      </w:pPr>
    </w:p>
    <w:p w14:paraId="4A919361" w14:textId="77777777" w:rsidR="00BA20F7" w:rsidRPr="0064031E" w:rsidRDefault="00BA20F7" w:rsidP="00BA20F7">
      <w:pPr>
        <w:rPr>
          <w:rFonts w:ascii="Arial" w:hAnsi="Arial"/>
          <w:noProof w:val="0"/>
          <w:rtl/>
        </w:rPr>
      </w:pPr>
    </w:p>
    <w:p w14:paraId="4DCFC5CF" w14:textId="13FFE9EB" w:rsidR="00BA20F7"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t xml:space="preserve">ביום 29.8.20 נתן המנהל המיוחד את החלטתו המתוקנת בתביעת החוב, ואישר את </w:t>
      </w:r>
      <w:r w:rsidRPr="00082F09">
        <w:rPr>
          <w:rFonts w:ascii="Arial" w:hAnsi="Arial" w:hint="cs"/>
          <w:noProof w:val="0"/>
          <w:rtl/>
        </w:rPr>
        <w:t xml:space="preserve">תביעת החוב כלפי המל"ל בסכום של 114,813 ₪ בהתאם </w:t>
      </w:r>
      <w:r w:rsidR="00C513AA" w:rsidRPr="00082F09">
        <w:rPr>
          <w:rFonts w:ascii="Arial" w:hAnsi="Arial"/>
          <w:noProof w:val="0"/>
          <w:rtl/>
        </w:rPr>
        <w:t>לסעיף 183</w:t>
      </w:r>
      <w:r w:rsidRPr="00082F09">
        <w:rPr>
          <w:rFonts w:ascii="Arial" w:hAnsi="Arial" w:hint="cs"/>
          <w:noProof w:val="0"/>
          <w:rtl/>
        </w:rPr>
        <w:t xml:space="preserve"> לחוק המל"ל (להלן:</w:t>
      </w:r>
      <w:r>
        <w:rPr>
          <w:rFonts w:ascii="Arial" w:hAnsi="Arial" w:hint="cs"/>
          <w:noProof w:val="0"/>
          <w:rtl/>
        </w:rPr>
        <w:t xml:space="preserve"> "</w:t>
      </w:r>
      <w:r w:rsidRPr="00C63595">
        <w:rPr>
          <w:rFonts w:ascii="Arial" w:hAnsi="Arial" w:hint="cs"/>
          <w:b/>
          <w:bCs/>
          <w:noProof w:val="0"/>
          <w:rtl/>
        </w:rPr>
        <w:t>ההכרעה השנייה</w:t>
      </w:r>
      <w:r>
        <w:rPr>
          <w:rFonts w:ascii="Arial" w:hAnsi="Arial" w:hint="cs"/>
          <w:noProof w:val="0"/>
          <w:rtl/>
        </w:rPr>
        <w:t>").</w:t>
      </w:r>
    </w:p>
    <w:p w14:paraId="36E47150" w14:textId="77777777" w:rsidR="00BA20F7" w:rsidRPr="00697ABD" w:rsidRDefault="00BA20F7" w:rsidP="00BA20F7">
      <w:pPr>
        <w:pStyle w:val="1"/>
        <w:rPr>
          <w:rFonts w:ascii="Arial" w:hAnsi="Arial"/>
          <w:noProof w:val="0"/>
          <w:rtl/>
        </w:rPr>
      </w:pPr>
    </w:p>
    <w:p w14:paraId="74DBDF1A" w14:textId="77777777" w:rsidR="00BA20F7"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t>ביום 11.8.21 קיבל המערער דוא"ל מהמנהל המיוחד, בו נכתב כי המל"ל הפנה את תשומת ליבו לכך כי נפלה טעות בהכרעת החוב, שכן אושרו רכיבי שכר עבור 27 חודשים (בגין תקופת עבודתו של המערער אצל החברה מיום 1.7.13 וכלה ביום 31.12.15, כאשר במשך תקופה זו של 30 חודשים, טען המערער כי קיבל רק 3 משכורות), במקום עבור 12 חודשים בלבד, בהתאם למגבלה הקבועה בחוק המל"ל.</w:t>
      </w:r>
    </w:p>
    <w:p w14:paraId="320AEEDE" w14:textId="77777777" w:rsidR="00BA20F7" w:rsidRPr="00D27030" w:rsidRDefault="00D27030" w:rsidP="00BA20F7">
      <w:pPr>
        <w:pStyle w:val="1"/>
        <w:rPr>
          <w:rFonts w:ascii="Arial" w:hAnsi="Arial"/>
          <w:noProof w:val="0"/>
          <w:color w:val="FFFFFF"/>
          <w:sz w:val="2"/>
          <w:szCs w:val="2"/>
          <w:rtl/>
        </w:rPr>
      </w:pPr>
      <w:r w:rsidRPr="00D27030">
        <w:rPr>
          <w:rFonts w:ascii="Arial" w:hAnsi="Arial"/>
          <w:noProof w:val="0"/>
          <w:color w:val="FFFFFF"/>
          <w:sz w:val="2"/>
          <w:szCs w:val="2"/>
          <w:rtl/>
        </w:rPr>
        <w:t>ההתיישבות העותומנית [נוסח ישן] 1916</w:t>
      </w:r>
    </w:p>
    <w:p w14:paraId="687A8F64" w14:textId="77777777" w:rsidR="00BA20F7" w:rsidRDefault="00D27030" w:rsidP="00BA20F7">
      <w:pPr>
        <w:pStyle w:val="1"/>
        <w:numPr>
          <w:ilvl w:val="0"/>
          <w:numId w:val="1"/>
        </w:numPr>
        <w:spacing w:line="360" w:lineRule="auto"/>
        <w:ind w:left="-57" w:firstLine="0"/>
        <w:jc w:val="both"/>
        <w:rPr>
          <w:rFonts w:ascii="Arial" w:hAnsi="Arial"/>
          <w:noProof w:val="0"/>
        </w:rPr>
      </w:pPr>
      <w:r w:rsidRPr="00D27030">
        <w:rPr>
          <w:rFonts w:ascii="Arial" w:hAnsi="Arial"/>
          <w:noProof w:val="0"/>
          <w:color w:val="FFFFFF"/>
          <w:sz w:val="2"/>
          <w:szCs w:val="2"/>
          <w:rtl/>
        </w:rPr>
        <w:t>12-34-56-78 צ'כוב נ' מדינת ישראל, פ'ד נא (2)</w:t>
      </w:r>
      <w:r w:rsidR="00000000">
        <w:rPr>
          <w:rFonts w:ascii="Arial" w:hAnsi="Arial" w:hint="cs"/>
          <w:noProof w:val="0"/>
          <w:rtl/>
        </w:rPr>
        <w:t>ביום 13.1.22 הודיע המנהל המיוחד על תיקון הכרעתו בתביעת החוב, כך שסכום החוב שהוכר הועמד על 53,296 ₪ (להלן: "</w:t>
      </w:r>
      <w:r w:rsidR="00000000" w:rsidRPr="00C63595">
        <w:rPr>
          <w:rFonts w:ascii="Arial" w:hAnsi="Arial" w:hint="cs"/>
          <w:b/>
          <w:bCs/>
          <w:noProof w:val="0"/>
          <w:rtl/>
        </w:rPr>
        <w:t>ההכרעה השלישית</w:t>
      </w:r>
      <w:r w:rsidR="00000000">
        <w:rPr>
          <w:rFonts w:ascii="Arial" w:hAnsi="Arial" w:hint="cs"/>
          <w:noProof w:val="0"/>
          <w:rtl/>
        </w:rPr>
        <w:t>").</w:t>
      </w:r>
    </w:p>
    <w:p w14:paraId="40DBD9E0" w14:textId="77777777" w:rsidR="00BA20F7" w:rsidRPr="00B145F2" w:rsidRDefault="00BA20F7" w:rsidP="00BA20F7">
      <w:pPr>
        <w:pStyle w:val="1"/>
        <w:rPr>
          <w:rFonts w:ascii="Arial" w:hAnsi="Arial"/>
          <w:noProof w:val="0"/>
          <w:rtl/>
        </w:rPr>
      </w:pPr>
    </w:p>
    <w:p w14:paraId="4D424B74" w14:textId="77777777" w:rsidR="00BA20F7"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t>על רקע זה הוגש הערעור שלפניי.</w:t>
      </w:r>
    </w:p>
    <w:p w14:paraId="03557C42" w14:textId="77777777" w:rsidR="00BA20F7" w:rsidRPr="00B145F2" w:rsidRDefault="00BA20F7" w:rsidP="00BA20F7">
      <w:pPr>
        <w:pStyle w:val="1"/>
        <w:rPr>
          <w:rFonts w:ascii="Arial" w:hAnsi="Arial"/>
          <w:noProof w:val="0"/>
          <w:rtl/>
        </w:rPr>
      </w:pPr>
    </w:p>
    <w:p w14:paraId="018C9EA9" w14:textId="77777777" w:rsidR="00BA20F7" w:rsidRDefault="00000000" w:rsidP="00BA20F7">
      <w:pPr>
        <w:pStyle w:val="1"/>
        <w:spacing w:line="360" w:lineRule="auto"/>
        <w:ind w:left="-57"/>
        <w:jc w:val="both"/>
        <w:rPr>
          <w:rFonts w:ascii="Arial" w:hAnsi="Arial"/>
          <w:noProof w:val="0"/>
          <w:rtl/>
        </w:rPr>
      </w:pPr>
      <w:r>
        <w:rPr>
          <w:rFonts w:ascii="Arial" w:hAnsi="Arial" w:hint="cs"/>
          <w:b/>
          <w:bCs/>
          <w:noProof w:val="0"/>
          <w:u w:val="single"/>
          <w:rtl/>
        </w:rPr>
        <w:t>טענות הצדדים</w:t>
      </w:r>
    </w:p>
    <w:p w14:paraId="0AAF7318" w14:textId="77777777" w:rsidR="00BA20F7" w:rsidRDefault="00BA20F7" w:rsidP="00BA20F7">
      <w:pPr>
        <w:pStyle w:val="1"/>
        <w:spacing w:line="360" w:lineRule="auto"/>
        <w:ind w:left="-57"/>
        <w:jc w:val="both"/>
        <w:rPr>
          <w:rFonts w:ascii="Arial" w:hAnsi="Arial"/>
          <w:noProof w:val="0"/>
          <w:rtl/>
        </w:rPr>
      </w:pPr>
    </w:p>
    <w:p w14:paraId="07DF0DF4" w14:textId="77777777" w:rsidR="00BA20F7" w:rsidRPr="00632BB5" w:rsidRDefault="00000000" w:rsidP="00BA20F7">
      <w:pPr>
        <w:pStyle w:val="1"/>
        <w:spacing w:line="360" w:lineRule="auto"/>
        <w:ind w:left="-57"/>
        <w:jc w:val="both"/>
        <w:rPr>
          <w:rFonts w:ascii="Arial" w:hAnsi="Arial"/>
          <w:noProof w:val="0"/>
          <w:u w:val="single"/>
          <w:rtl/>
        </w:rPr>
      </w:pPr>
      <w:r>
        <w:rPr>
          <w:rFonts w:ascii="Arial" w:hAnsi="Arial" w:hint="cs"/>
          <w:noProof w:val="0"/>
          <w:u w:val="single"/>
          <w:rtl/>
        </w:rPr>
        <w:t>עמדת המערער</w:t>
      </w:r>
    </w:p>
    <w:p w14:paraId="13270B65" w14:textId="56CE891B" w:rsidR="00BA20F7" w:rsidRDefault="00000000" w:rsidP="00BA20F7">
      <w:pPr>
        <w:pStyle w:val="1"/>
        <w:numPr>
          <w:ilvl w:val="0"/>
          <w:numId w:val="1"/>
        </w:numPr>
        <w:spacing w:line="360" w:lineRule="auto"/>
        <w:ind w:left="-57" w:hanging="9"/>
        <w:jc w:val="both"/>
        <w:rPr>
          <w:rFonts w:ascii="Arial" w:hAnsi="Arial"/>
          <w:noProof w:val="0"/>
        </w:rPr>
      </w:pPr>
      <w:r w:rsidRPr="00082F09">
        <w:rPr>
          <w:rFonts w:ascii="Arial" w:hAnsi="Arial" w:hint="cs"/>
          <w:noProof w:val="0"/>
          <w:rtl/>
        </w:rPr>
        <w:t xml:space="preserve">המערער טען כי בהתאם </w:t>
      </w:r>
      <w:r w:rsidR="00C513AA" w:rsidRPr="00082F09">
        <w:rPr>
          <w:rFonts w:ascii="Arial" w:hAnsi="Arial"/>
          <w:noProof w:val="0"/>
          <w:rtl/>
        </w:rPr>
        <w:t>לסעיף 150</w:t>
      </w:r>
      <w:r w:rsidRPr="00082F09">
        <w:rPr>
          <w:rFonts w:ascii="Arial" w:hAnsi="Arial" w:hint="cs"/>
          <w:noProof w:val="0"/>
          <w:rtl/>
        </w:rPr>
        <w:t xml:space="preserve"> ל</w:t>
      </w:r>
      <w:r w:rsidR="00D27030" w:rsidRPr="00082F09">
        <w:rPr>
          <w:rFonts w:ascii="Arial" w:hAnsi="Arial"/>
          <w:noProof w:val="0"/>
          <w:rtl/>
        </w:rPr>
        <w:t>פקודת פשיטת הרגל</w:t>
      </w:r>
      <w:r w:rsidRPr="00082F09">
        <w:rPr>
          <w:rFonts w:ascii="Arial" w:hAnsi="Arial" w:hint="cs"/>
          <w:noProof w:val="0"/>
          <w:rtl/>
        </w:rPr>
        <w:t xml:space="preserve"> </w:t>
      </w:r>
      <w:r w:rsidRPr="00082F09">
        <w:rPr>
          <w:rFonts w:ascii="Arial" w:hAnsi="Arial"/>
          <w:noProof w:val="0"/>
          <w:rtl/>
        </w:rPr>
        <w:t>[נוסח חדש], תש"ם-1980</w:t>
      </w:r>
      <w:r>
        <w:rPr>
          <w:rFonts w:ascii="Arial" w:hAnsi="Arial" w:hint="cs"/>
          <w:noProof w:val="0"/>
          <w:rtl/>
        </w:rPr>
        <w:t xml:space="preserve"> (להלן: "</w:t>
      </w:r>
      <w:r>
        <w:rPr>
          <w:rFonts w:ascii="Arial" w:hAnsi="Arial" w:hint="cs"/>
          <w:b/>
          <w:bCs/>
          <w:noProof w:val="0"/>
          <w:rtl/>
        </w:rPr>
        <w:t>פקודת פשיטת הרגל</w:t>
      </w:r>
      <w:r>
        <w:rPr>
          <w:rFonts w:ascii="Arial" w:hAnsi="Arial" w:hint="cs"/>
          <w:noProof w:val="0"/>
          <w:rtl/>
        </w:rPr>
        <w:t>"), פושט רגל, נושה, או אדם אחר הנפגע ממעשה או החלטה של הנאמן, רשאי לפנות לבית המשפט, אשר רשאי לאשר, לבטל או לשנות את המעשה או ההחלטה של הנאמן.</w:t>
      </w:r>
    </w:p>
    <w:p w14:paraId="5BECD0EF" w14:textId="77777777" w:rsidR="00BA20F7" w:rsidRDefault="00BA20F7" w:rsidP="00BA20F7">
      <w:pPr>
        <w:pStyle w:val="1"/>
        <w:spacing w:line="360" w:lineRule="auto"/>
        <w:ind w:left="-57"/>
        <w:jc w:val="both"/>
        <w:rPr>
          <w:rFonts w:ascii="Arial" w:hAnsi="Arial"/>
          <w:noProof w:val="0"/>
        </w:rPr>
      </w:pPr>
    </w:p>
    <w:p w14:paraId="27183B9A" w14:textId="3A0F5D06"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כמו כן, טען המערער כי התקנות הרלוונטיות להליכי פשיטת רגל חלות גם בהליכי פירוק, ולעניין זה היפנה </w:t>
      </w:r>
      <w:r w:rsidRPr="00082F09">
        <w:rPr>
          <w:rFonts w:ascii="Arial" w:hAnsi="Arial" w:hint="cs"/>
          <w:noProof w:val="0"/>
          <w:rtl/>
        </w:rPr>
        <w:t>ל</w:t>
      </w:r>
      <w:r w:rsidR="00D27030" w:rsidRPr="00082F09">
        <w:rPr>
          <w:rFonts w:ascii="Arial" w:hAnsi="Arial"/>
          <w:noProof w:val="0"/>
          <w:rtl/>
        </w:rPr>
        <w:t>ע"א 7829/04</w:t>
      </w:r>
      <w:r w:rsidRPr="00082F09">
        <w:rPr>
          <w:rFonts w:ascii="Arial" w:hAnsi="Arial" w:hint="cs"/>
          <w:noProof w:val="0"/>
          <w:rtl/>
        </w:rPr>
        <w:t xml:space="preserve"> </w:t>
      </w:r>
      <w:r w:rsidRPr="00082F09">
        <w:rPr>
          <w:rFonts w:ascii="Arial" w:hAnsi="Arial" w:hint="cs"/>
          <w:b/>
          <w:bCs/>
          <w:noProof w:val="0"/>
          <w:rtl/>
        </w:rPr>
        <w:t>הבנק</w:t>
      </w:r>
      <w:r w:rsidRPr="00FB7828">
        <w:rPr>
          <w:rFonts w:ascii="Arial" w:hAnsi="Arial" w:hint="cs"/>
          <w:b/>
          <w:bCs/>
          <w:noProof w:val="0"/>
          <w:rtl/>
        </w:rPr>
        <w:t xml:space="preserve"> הבינלאומי הראשון בע"מ נ' פאן אל-א סחר בינלאומי בע"מ (בפירוק)</w:t>
      </w:r>
      <w:r>
        <w:rPr>
          <w:rFonts w:ascii="Arial" w:hAnsi="Arial" w:hint="cs"/>
          <w:noProof w:val="0"/>
          <w:rtl/>
        </w:rPr>
        <w:t xml:space="preserve"> </w:t>
      </w:r>
      <w:r w:rsidR="00D012F8">
        <w:rPr>
          <w:rFonts w:ascii="Arial" w:hAnsi="Arial"/>
          <w:noProof w:val="0"/>
          <w:rtl/>
        </w:rPr>
        <w:t>[</w:t>
      </w:r>
      <w:r w:rsidR="00D012F8">
        <w:rPr>
          <w:rFonts w:ascii="Arial" w:hAnsi="Arial" w:hint="cs"/>
          <w:noProof w:val="0"/>
          <w:rtl/>
        </w:rPr>
        <w:t xml:space="preserve"> </w:t>
      </w:r>
      <w:r>
        <w:rPr>
          <w:rFonts w:ascii="Arial" w:hAnsi="Arial" w:hint="cs"/>
          <w:noProof w:val="0"/>
          <w:rtl/>
        </w:rPr>
        <w:t>(13.7.08).</w:t>
      </w:r>
    </w:p>
    <w:p w14:paraId="67B34BC6" w14:textId="77777777" w:rsidR="00BA20F7" w:rsidRPr="00AF277A" w:rsidRDefault="00BA20F7" w:rsidP="00BA20F7">
      <w:pPr>
        <w:pStyle w:val="1"/>
        <w:spacing w:line="360" w:lineRule="auto"/>
        <w:ind w:left="-57"/>
        <w:jc w:val="both"/>
        <w:rPr>
          <w:rFonts w:ascii="Arial" w:hAnsi="Arial"/>
          <w:noProof w:val="0"/>
        </w:rPr>
      </w:pPr>
    </w:p>
    <w:p w14:paraId="646EDA0C"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בהתאם לכך, טען המערער כי בהנחה שהמל"ל הינו במעמד "אדם אחר", הייתה למל"ל זכות לפנות לבית המשפט בבקשה לבטל או לתקן את הכרעת החוב שאישר המנהל המיוחד, וכי הסמכות לשנות את החלטת המנהל המיוחד נתונה לבית המשפט בלבד, בעוד שהמנהל המיוחד אינו יכול לשבת כערכאת ערעור על החלטותיו שלו. </w:t>
      </w:r>
    </w:p>
    <w:p w14:paraId="0BAFE683" w14:textId="77777777" w:rsidR="00BA20F7" w:rsidRPr="00FB7828" w:rsidRDefault="00BA20F7" w:rsidP="00BA20F7">
      <w:pPr>
        <w:pStyle w:val="1"/>
        <w:rPr>
          <w:rFonts w:ascii="Arial" w:hAnsi="Arial"/>
          <w:noProof w:val="0"/>
          <w:rtl/>
        </w:rPr>
      </w:pPr>
    </w:p>
    <w:p w14:paraId="762AF57F" w14:textId="50E9089B" w:rsidR="00BA20F7" w:rsidRDefault="00000000" w:rsidP="00BA20F7">
      <w:pPr>
        <w:pStyle w:val="1"/>
        <w:numPr>
          <w:ilvl w:val="0"/>
          <w:numId w:val="1"/>
        </w:numPr>
        <w:spacing w:line="360" w:lineRule="auto"/>
        <w:ind w:left="-57" w:hanging="9"/>
        <w:jc w:val="both"/>
        <w:rPr>
          <w:rFonts w:ascii="Arial" w:hAnsi="Arial"/>
          <w:noProof w:val="0"/>
        </w:rPr>
      </w:pPr>
      <w:r w:rsidRPr="00082F09">
        <w:rPr>
          <w:rFonts w:ascii="Arial" w:hAnsi="Arial" w:hint="cs"/>
          <w:noProof w:val="0"/>
          <w:rtl/>
        </w:rPr>
        <w:t>ביחס למגבלת הזמן שבה ניתן להגיש ערעור מסוג זה, המערער טען כי בהתאם ל</w:t>
      </w:r>
      <w:r w:rsidR="00D27030" w:rsidRPr="00082F09">
        <w:rPr>
          <w:rFonts w:ascii="Arial" w:hAnsi="Arial"/>
          <w:noProof w:val="0"/>
          <w:rtl/>
        </w:rPr>
        <w:t>רע"א 5077/16</w:t>
      </w:r>
      <w:r w:rsidRPr="00082F09">
        <w:rPr>
          <w:rFonts w:ascii="Arial" w:hAnsi="Arial" w:hint="cs"/>
          <w:noProof w:val="0"/>
          <w:rtl/>
        </w:rPr>
        <w:t xml:space="preserve"> </w:t>
      </w:r>
      <w:r w:rsidRPr="00082F09">
        <w:rPr>
          <w:rFonts w:ascii="Arial" w:hAnsi="Arial" w:hint="cs"/>
          <w:b/>
          <w:bCs/>
          <w:noProof w:val="0"/>
          <w:rtl/>
        </w:rPr>
        <w:t>שיבר נ' כונס הנכסים הרשמי</w:t>
      </w:r>
      <w:r w:rsidRPr="00082F09">
        <w:rPr>
          <w:rFonts w:ascii="Arial" w:hAnsi="Arial" w:hint="cs"/>
          <w:noProof w:val="0"/>
          <w:rtl/>
        </w:rPr>
        <w:t xml:space="preserve"> (14.3.17) ולתקנה </w:t>
      </w:r>
      <w:r w:rsidR="00C513AA" w:rsidRPr="00082F09">
        <w:rPr>
          <w:rFonts w:ascii="Arial" w:hAnsi="Arial"/>
          <w:noProof w:val="0"/>
          <w:rtl/>
        </w:rPr>
        <w:t>96(א)</w:t>
      </w:r>
      <w:r w:rsidRPr="00082F09">
        <w:rPr>
          <w:rFonts w:ascii="Arial" w:hAnsi="Arial" w:hint="cs"/>
          <w:noProof w:val="0"/>
          <w:rtl/>
        </w:rPr>
        <w:t xml:space="preserve"> ל</w:t>
      </w:r>
      <w:r w:rsidR="00D27030" w:rsidRPr="00082F09">
        <w:rPr>
          <w:rFonts w:ascii="Arial" w:hAnsi="Arial"/>
          <w:noProof w:val="0"/>
          <w:rtl/>
        </w:rPr>
        <w:t>תקנות פשיטת הרגל</w:t>
      </w:r>
      <w:r w:rsidRPr="00082F09">
        <w:rPr>
          <w:rFonts w:ascii="Arial" w:hAnsi="Arial" w:hint="cs"/>
          <w:noProof w:val="0"/>
          <w:rtl/>
        </w:rPr>
        <w:t>, תשמ"ה-</w:t>
      </w:r>
      <w:r>
        <w:rPr>
          <w:rFonts w:ascii="Arial" w:hAnsi="Arial" w:hint="cs"/>
          <w:noProof w:val="0"/>
          <w:rtl/>
        </w:rPr>
        <w:t>1985 (להלן: "</w:t>
      </w:r>
      <w:r w:rsidRPr="00FB7828">
        <w:rPr>
          <w:rFonts w:ascii="Arial" w:hAnsi="Arial" w:hint="cs"/>
          <w:b/>
          <w:bCs/>
          <w:noProof w:val="0"/>
          <w:rtl/>
        </w:rPr>
        <w:t>התקנות</w:t>
      </w:r>
      <w:r>
        <w:rPr>
          <w:rFonts w:ascii="Arial" w:hAnsi="Arial" w:hint="cs"/>
          <w:noProof w:val="0"/>
          <w:rtl/>
        </w:rPr>
        <w:t>"), "</w:t>
      </w:r>
      <w:r w:rsidRPr="0089441D">
        <w:rPr>
          <w:rFonts w:ascii="Arial" w:hAnsi="Arial"/>
          <w:noProof w:val="0"/>
          <w:rtl/>
        </w:rPr>
        <w:t>נושה רשאי לערער לבית המשפט על החלטת הנאמן בעני</w:t>
      </w:r>
      <w:r>
        <w:rPr>
          <w:rFonts w:ascii="Arial" w:hAnsi="Arial" w:hint="cs"/>
          <w:noProof w:val="0"/>
          <w:rtl/>
        </w:rPr>
        <w:t>י</w:t>
      </w:r>
      <w:r w:rsidRPr="0089441D">
        <w:rPr>
          <w:rFonts w:ascii="Arial" w:hAnsi="Arial"/>
          <w:noProof w:val="0"/>
          <w:rtl/>
        </w:rPr>
        <w:t xml:space="preserve">ן תביעת החוב שהגיש; הערעור יוגש תוך ארבעים </w:t>
      </w:r>
      <w:r>
        <w:rPr>
          <w:rFonts w:ascii="Arial" w:hAnsi="Arial"/>
          <w:noProof w:val="0"/>
          <w:rtl/>
        </w:rPr>
        <w:t>וחמישה ימים מהמצאת ההחלטה לנושה</w:t>
      </w:r>
      <w:r>
        <w:rPr>
          <w:rFonts w:ascii="Arial" w:hAnsi="Arial" w:hint="cs"/>
          <w:noProof w:val="0"/>
          <w:rtl/>
        </w:rPr>
        <w:t>".</w:t>
      </w:r>
    </w:p>
    <w:p w14:paraId="6918F508" w14:textId="77777777" w:rsidR="00BA20F7" w:rsidRPr="0089441D" w:rsidRDefault="00BA20F7" w:rsidP="00BA20F7">
      <w:pPr>
        <w:pStyle w:val="1"/>
        <w:rPr>
          <w:rFonts w:ascii="Arial" w:hAnsi="Arial"/>
          <w:noProof w:val="0"/>
          <w:rtl/>
        </w:rPr>
      </w:pPr>
    </w:p>
    <w:p w14:paraId="7D7D2352"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על כן, לטענת המערער, הפנייה למנהל המיוחד על ידי המל"ל ביום 11.8.21, כאשר הכרעת החוב ניתנה ביום 29.8.20, הייתה חריגה ובלתי סבירה, בייחוד לאור העובדה כי המל"ל לא הגיש בקשת רשות להארכת מועד.</w:t>
      </w:r>
    </w:p>
    <w:p w14:paraId="44C104D0" w14:textId="77777777" w:rsidR="00BA20F7" w:rsidRPr="00F70336" w:rsidRDefault="00BA20F7" w:rsidP="00BA20F7">
      <w:pPr>
        <w:pStyle w:val="1"/>
        <w:rPr>
          <w:rFonts w:ascii="Arial" w:hAnsi="Arial"/>
          <w:noProof w:val="0"/>
          <w:rtl/>
        </w:rPr>
      </w:pPr>
    </w:p>
    <w:p w14:paraId="3BE27B80" w14:textId="2339F2E5" w:rsidR="00BA20F7" w:rsidRPr="00082F09"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המערער הביא פסיקה התומכת בטיעוניו, בה הוכרע כי במידה והמל"ל אינו מסכים עם החלטת המנהל המיוחד לעניין שיעור השכר המגיע לעובד, דרכו היחידה לתקוף את ההחלטה תהא </w:t>
      </w:r>
      <w:r w:rsidRPr="00082F09">
        <w:rPr>
          <w:rFonts w:ascii="Arial" w:hAnsi="Arial" w:hint="cs"/>
          <w:noProof w:val="0"/>
          <w:rtl/>
        </w:rPr>
        <w:t xml:space="preserve">על ידי ערעור עליה כדין, בפני בית המשפט אשר מינה את המנהל המיוחד (ראו למשל: </w:t>
      </w:r>
      <w:r w:rsidR="00D27030" w:rsidRPr="00082F09">
        <w:rPr>
          <w:rFonts w:ascii="Arial" w:hAnsi="Arial"/>
          <w:noProof w:val="0"/>
          <w:rtl/>
        </w:rPr>
        <w:t>פש"ר (ת"א) 66/98</w:t>
      </w:r>
      <w:r w:rsidRPr="00082F09">
        <w:rPr>
          <w:rFonts w:ascii="Arial" w:hAnsi="Arial" w:hint="cs"/>
          <w:noProof w:val="0"/>
          <w:rtl/>
        </w:rPr>
        <w:t xml:space="preserve"> </w:t>
      </w:r>
      <w:r w:rsidRPr="00082F09">
        <w:rPr>
          <w:rFonts w:ascii="Arial" w:hAnsi="Arial" w:hint="cs"/>
          <w:b/>
          <w:bCs/>
          <w:noProof w:val="0"/>
          <w:rtl/>
        </w:rPr>
        <w:t>איזדורפר חיים נ' המוסד לביטוח לאומי</w:t>
      </w:r>
      <w:r w:rsidRPr="00082F09">
        <w:rPr>
          <w:rFonts w:ascii="Arial" w:hAnsi="Arial" w:hint="cs"/>
          <w:noProof w:val="0"/>
          <w:rtl/>
        </w:rPr>
        <w:t xml:space="preserve"> (28.6.01), פסקאות 21-20).</w:t>
      </w:r>
    </w:p>
    <w:p w14:paraId="7AA8B277" w14:textId="77777777" w:rsidR="00BA20F7" w:rsidRPr="009A2492" w:rsidRDefault="00BA20F7" w:rsidP="00BA20F7">
      <w:pPr>
        <w:rPr>
          <w:rFonts w:ascii="Arial" w:hAnsi="Arial"/>
          <w:noProof w:val="0"/>
          <w:rtl/>
        </w:rPr>
      </w:pPr>
    </w:p>
    <w:p w14:paraId="34D37EAF" w14:textId="7AC1819A" w:rsidR="00BA20F7" w:rsidRDefault="00D27030" w:rsidP="00BA20F7">
      <w:pPr>
        <w:pStyle w:val="1"/>
        <w:numPr>
          <w:ilvl w:val="0"/>
          <w:numId w:val="1"/>
        </w:numPr>
        <w:spacing w:line="360" w:lineRule="auto"/>
        <w:ind w:left="-57" w:hanging="9"/>
        <w:jc w:val="both"/>
        <w:rPr>
          <w:rFonts w:ascii="Arial" w:hAnsi="Arial"/>
          <w:noProof w:val="0"/>
        </w:rPr>
      </w:pPr>
      <w:r w:rsidRPr="00082F09">
        <w:rPr>
          <w:rFonts w:ascii="Arial" w:hAnsi="Arial"/>
          <w:noProof w:val="0"/>
          <w:sz w:val="2"/>
          <w:szCs w:val="2"/>
          <w:rtl/>
        </w:rPr>
        <w:t>הועתק מנבו</w:t>
      </w:r>
      <w:r w:rsidR="00000000" w:rsidRPr="00082F09">
        <w:rPr>
          <w:rFonts w:ascii="Arial" w:hAnsi="Arial" w:hint="cs"/>
          <w:noProof w:val="0"/>
          <w:rtl/>
        </w:rPr>
        <w:t>לטענת המערער, אמנם פסק הדין שניתן בבית הדין לענייני עבודה ב</w:t>
      </w:r>
      <w:r w:rsidRPr="00082F09">
        <w:rPr>
          <w:rFonts w:ascii="Arial" w:hAnsi="Arial"/>
          <w:noProof w:val="0"/>
          <w:rtl/>
        </w:rPr>
        <w:t>סע"ש 14545-04-16</w:t>
      </w:r>
      <w:r w:rsidR="00000000">
        <w:rPr>
          <w:rFonts w:ascii="Arial" w:hAnsi="Arial" w:hint="cs"/>
          <w:noProof w:val="0"/>
          <w:rtl/>
        </w:rPr>
        <w:t xml:space="preserve"> ניתן בהיעדר הגנה, אך הלכה למעשה, למרות שהתביעה הוגשה על סך של 400,000 ₪, נפסק 130,313 ₪ בלבד, ועל כן הרציונל שהובא בפסיקה להציץ מאחורי הפרגוד, אינה רלוונטית במקרה דנן. עוד הוסיף המערער כי היה ידוע לכל כי קופת החברה ריקה, וממילא אין חשש להונאת נושים או להברחת נכסים מקופת הפירוק.</w:t>
      </w:r>
    </w:p>
    <w:p w14:paraId="30AFD85E" w14:textId="77777777" w:rsidR="00BA20F7" w:rsidRPr="00AF3CDB" w:rsidRDefault="00BA20F7" w:rsidP="00BA20F7">
      <w:pPr>
        <w:pStyle w:val="1"/>
        <w:rPr>
          <w:rFonts w:ascii="Arial" w:hAnsi="Arial"/>
          <w:noProof w:val="0"/>
          <w:rtl/>
        </w:rPr>
      </w:pPr>
    </w:p>
    <w:p w14:paraId="650C4AFD" w14:textId="0D1E9690" w:rsidR="00BA20F7" w:rsidRPr="00082F09" w:rsidRDefault="00000000" w:rsidP="00BA20F7">
      <w:pPr>
        <w:pStyle w:val="1"/>
        <w:numPr>
          <w:ilvl w:val="0"/>
          <w:numId w:val="1"/>
        </w:numPr>
        <w:spacing w:line="360" w:lineRule="auto"/>
        <w:ind w:left="-57" w:hanging="9"/>
        <w:jc w:val="both"/>
        <w:rPr>
          <w:rFonts w:ascii="Arial" w:hAnsi="Arial"/>
          <w:noProof w:val="0"/>
        </w:rPr>
      </w:pPr>
      <w:r w:rsidRPr="00082F09">
        <w:rPr>
          <w:rFonts w:ascii="Arial" w:hAnsi="Arial" w:hint="cs"/>
          <w:noProof w:val="0"/>
          <w:rtl/>
        </w:rPr>
        <w:t xml:space="preserve">המערער הוסיף כי לא יהיה זה הוגן לקצץ למעלה מ-50% מהסכום שאושר לו בפסק הדין ובהכרעה השנייה של המנהל המיוחד, בנימוק של התיישנות על פי </w:t>
      </w:r>
      <w:r w:rsidR="00C513AA" w:rsidRPr="00082F09">
        <w:rPr>
          <w:rFonts w:ascii="Arial" w:hAnsi="Arial"/>
          <w:noProof w:val="0"/>
          <w:rtl/>
        </w:rPr>
        <w:t>סעיף 183</w:t>
      </w:r>
      <w:r w:rsidRPr="00082F09">
        <w:rPr>
          <w:rFonts w:ascii="Arial" w:hAnsi="Arial" w:hint="cs"/>
          <w:noProof w:val="0"/>
          <w:rtl/>
        </w:rPr>
        <w:t xml:space="preserve"> לחוק המל"ל עקב כך שלא התקיים דיון בבית הדין לעבודה לגופו של עניין, שכן אילו היה מתקיים הדיון, המערער היה מוכיח ברמת סבירות גבוהה את מלוא סכום התביעה (400,000 ₪), ואז גם לאחר קיצוץ של 50% מהסכום על ידי המנהל המיוחד, עדיין היה המערער מקבל את מלוא הסכום שיכול היה לקבל על פי </w:t>
      </w:r>
      <w:r w:rsidR="00C513AA" w:rsidRPr="00082F09">
        <w:rPr>
          <w:rFonts w:ascii="Arial" w:hAnsi="Arial"/>
          <w:noProof w:val="0"/>
          <w:rtl/>
        </w:rPr>
        <w:t>סעיף 183</w:t>
      </w:r>
      <w:r w:rsidRPr="00082F09">
        <w:rPr>
          <w:rFonts w:ascii="Arial" w:hAnsi="Arial" w:hint="cs"/>
          <w:noProof w:val="0"/>
          <w:rtl/>
        </w:rPr>
        <w:t xml:space="preserve"> לחוק המל"ל, כ- 114,000 ₪.</w:t>
      </w:r>
    </w:p>
    <w:p w14:paraId="23A5B8A2" w14:textId="77777777" w:rsidR="00BA20F7" w:rsidRPr="00082F09" w:rsidRDefault="00BA20F7" w:rsidP="00BA20F7">
      <w:pPr>
        <w:pStyle w:val="1"/>
        <w:rPr>
          <w:rFonts w:ascii="Arial" w:hAnsi="Arial"/>
          <w:noProof w:val="0"/>
          <w:rtl/>
        </w:rPr>
      </w:pPr>
    </w:p>
    <w:p w14:paraId="27A8E7D5"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עוד הוסיף המערער כי ההלכה המשפטית לפיה לבעל תפקיד ישנה סמכות לדחות תביעת חוב עקב התיישנות, קבעה כי ניתן לעשות זאת רק כאשר עילת התביעה מבוססת על עילת חוב שהתיישנה, ולא כאשר עילת החוב היא פסק דין, באשר פסק דין מתיישן רק לאחר 25 שנה. </w:t>
      </w:r>
    </w:p>
    <w:p w14:paraId="15D2AD13" w14:textId="77777777" w:rsidR="00BA20F7" w:rsidRPr="00707FE1" w:rsidRDefault="00BA20F7" w:rsidP="00BA20F7">
      <w:pPr>
        <w:pStyle w:val="1"/>
        <w:rPr>
          <w:rFonts w:ascii="Arial" w:hAnsi="Arial"/>
          <w:noProof w:val="0"/>
          <w:rtl/>
        </w:rPr>
      </w:pPr>
    </w:p>
    <w:p w14:paraId="4E466B72"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המערער טען כי פסק הדין יצר השתק שיפוטי לגבי כל עילות התביעה שהוא מבוסס עליהן, על פי הדוקטרינה של כלל ההבלעה, לפיה כאשר זוכה תובע בפסק דין תקף וסופי, עילת התביעה בפסק הדין נבלעת ותחתיה קמה עילה חדשה, בדמות פסק הדין עצמו. במצב דברים זה, כאשר חוב נוצר על ידי פסק דין, יש לצרף את פסק הדין הקובע את החוב, כראיה לחוב, ודי בכך. על כן, לטענתו, עילת התביעה המקורית אינה טעונה עוד הוכחה, שכן החוב הוכח זה מכבר, וכל עוד לא נהפך פסק הדין בערעור, החוב פטור מהוכחה נוספת. בהתאם לכך, לטענת המערער, אפילו אם המערער בעצמו היה מעונין להגיש את תביעת החוב למנהל המיוחד בעילה שעליה מבוסס כתב התביעה שהוגש לבית הדין לעבודה, הוא היה מנוע מלעשות זאת.</w:t>
      </w:r>
    </w:p>
    <w:p w14:paraId="7E94E16E" w14:textId="77777777" w:rsidR="00BA20F7" w:rsidRPr="00924F02" w:rsidRDefault="00BA20F7" w:rsidP="00BA20F7">
      <w:pPr>
        <w:pStyle w:val="1"/>
        <w:rPr>
          <w:rFonts w:ascii="Arial" w:hAnsi="Arial"/>
          <w:noProof w:val="0"/>
          <w:rtl/>
        </w:rPr>
      </w:pPr>
    </w:p>
    <w:p w14:paraId="3099442E"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המערער הוסיף כי כאשר עילת התביעה בתביעת החוב מבוססת על פסק הדין (ולא עילות התביעה המפורטות בכתב התביעה), יש לפרש את זכותו של המנהל המיוחד להציץ מאחורי הפרגוד של פסק דין חלוט באופן מצומצם הרבה יותר, כך שתחול ורק במקרים מיוחדים, כגון תרמית, קנוניה או עיוות דין, או במצבים בהם החוב האמיתי שונה מפסק הדין.</w:t>
      </w:r>
    </w:p>
    <w:p w14:paraId="02D95F13" w14:textId="77777777" w:rsidR="00BA20F7" w:rsidRPr="009A2492" w:rsidRDefault="00BA20F7" w:rsidP="00BA20F7">
      <w:pPr>
        <w:pStyle w:val="1"/>
        <w:rPr>
          <w:rFonts w:ascii="Arial" w:hAnsi="Arial"/>
          <w:noProof w:val="0"/>
          <w:rtl/>
        </w:rPr>
      </w:pPr>
    </w:p>
    <w:p w14:paraId="6820FE84"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על כן, לטענת המערער, במקרים בהם בעל תפקיד מחליט להציץ מאחורי הפרגוד, הדרך הראויה לעשות זאת תהא באמצעות הגשת בקשה לבית המשפט שדן בתיק, לבטל את פסק הדין ולנהל את התיק מתחילתו, כאשר בעל התפקיד ייצג את החייב בבית המשפט.</w:t>
      </w:r>
    </w:p>
    <w:p w14:paraId="54D10B03" w14:textId="77777777" w:rsidR="00BA20F7" w:rsidRPr="001B6617" w:rsidRDefault="00BA20F7" w:rsidP="00BA20F7">
      <w:pPr>
        <w:pStyle w:val="1"/>
        <w:rPr>
          <w:rFonts w:ascii="Arial" w:hAnsi="Arial"/>
          <w:noProof w:val="0"/>
          <w:rtl/>
        </w:rPr>
      </w:pPr>
    </w:p>
    <w:p w14:paraId="72A042A3" w14:textId="5C2C428C"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המערער הוסיף וטען כי בהתאם לכך שכבר ביום 3.8.15 ניתן צו פירוק כנגד החברה (אשר, כאמור, בוטל ביום 14.2.16) ועל בסיס ההכרעה השנייה של המנהל המיוחד בתביעת החוב, </w:t>
      </w:r>
      <w:r w:rsidRPr="00082F09">
        <w:rPr>
          <w:rFonts w:ascii="Arial" w:hAnsi="Arial" w:hint="cs"/>
          <w:noProof w:val="0"/>
          <w:rtl/>
        </w:rPr>
        <w:t xml:space="preserve">במסגרתה אישר סכום של 114,813 ₪ עבור 15 חודשים, וכן על בסיס </w:t>
      </w:r>
      <w:r w:rsidR="00C513AA" w:rsidRPr="00082F09">
        <w:rPr>
          <w:rFonts w:ascii="Arial" w:hAnsi="Arial"/>
          <w:noProof w:val="0"/>
          <w:rtl/>
        </w:rPr>
        <w:t>סעיף 183</w:t>
      </w:r>
      <w:r w:rsidRPr="00082F09">
        <w:rPr>
          <w:rFonts w:ascii="Arial" w:hAnsi="Arial" w:hint="cs"/>
          <w:noProof w:val="0"/>
          <w:rtl/>
        </w:rPr>
        <w:t xml:space="preserve"> לחוק המל"ל,</w:t>
      </w:r>
      <w:r>
        <w:rPr>
          <w:rFonts w:ascii="Arial" w:hAnsi="Arial" w:hint="cs"/>
          <w:noProof w:val="0"/>
          <w:rtl/>
        </w:rPr>
        <w:t xml:space="preserve"> המערער זכאי להכרה בתביעת החוב כבר מיום 3.8.14, קרי, 17 חודשים בסך הכל (12 חודשים לפני מתן צו פירוק כנגד החברה, ועד לסיום העסקת המערער על ידה). משכך, לטענת המערער אין לקצץ מסכום התביעה המקורית, אלא להפך- יש להוסיף עוד 13% לסכום התביעה.</w:t>
      </w:r>
    </w:p>
    <w:p w14:paraId="09294B2C" w14:textId="77777777" w:rsidR="00BA20F7" w:rsidRPr="00175D57" w:rsidRDefault="00BA20F7" w:rsidP="00BA20F7">
      <w:pPr>
        <w:pStyle w:val="1"/>
        <w:rPr>
          <w:rFonts w:ascii="Arial" w:hAnsi="Arial"/>
          <w:noProof w:val="0"/>
          <w:rtl/>
        </w:rPr>
      </w:pPr>
    </w:p>
    <w:p w14:paraId="10359674" w14:textId="4A31C359"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המערער אף טען כי בהכרעתו השלישית של המנהל המיוחד, נקבע כי נפלה טעות באישור </w:t>
      </w:r>
      <w:r w:rsidRPr="00082F09">
        <w:rPr>
          <w:rFonts w:ascii="Arial" w:hAnsi="Arial" w:hint="cs"/>
          <w:noProof w:val="0"/>
          <w:rtl/>
        </w:rPr>
        <w:t xml:space="preserve">תביעת חוב בגין 27 חודשים שלפני סיום יחסי העבודה, בעוד </w:t>
      </w:r>
      <w:r w:rsidR="00C513AA" w:rsidRPr="00082F09">
        <w:rPr>
          <w:rFonts w:ascii="Arial" w:hAnsi="Arial"/>
          <w:noProof w:val="0"/>
          <w:rtl/>
        </w:rPr>
        <w:t>שסעיף 183</w:t>
      </w:r>
      <w:r w:rsidRPr="00082F09">
        <w:rPr>
          <w:rFonts w:ascii="Arial" w:hAnsi="Arial" w:hint="cs"/>
          <w:noProof w:val="0"/>
          <w:rtl/>
        </w:rPr>
        <w:t xml:space="preserve"> לחוק המל"ל מאפשר</w:t>
      </w:r>
      <w:r>
        <w:rPr>
          <w:rFonts w:ascii="Arial" w:hAnsi="Arial" w:hint="cs"/>
          <w:noProof w:val="0"/>
          <w:rtl/>
        </w:rPr>
        <w:t xml:space="preserve"> תשלום רק בגין 12 החודשים האחרונים שלפני סיום יחסי העבודה. ועוד, מנוסח החלטתו של המנהל המיוחד בהחלטתו המקורית מיום 29.8.20, עולה כי הוא אישר את הסכום בגין התקופה מיום 1.10.14 וכלה ביום 31.12.15. על כן לטענת המערער, כיצד ייתכן כי קיצוץ של 3 חודשים מתוך 15 החודשים שנקבעו (על מנת לעמוד במגבלת החוק של 12 חודשים בלבד לפני סיום היחסים), יביא לקיצוץ של למעלה מ-50% מהסכום שאושר בתביעת החוב המקורית?</w:t>
      </w:r>
    </w:p>
    <w:p w14:paraId="72D98DD8" w14:textId="77777777" w:rsidR="00BA20F7" w:rsidRPr="006204B3" w:rsidRDefault="00BA20F7" w:rsidP="00BA20F7">
      <w:pPr>
        <w:pStyle w:val="1"/>
        <w:rPr>
          <w:rFonts w:ascii="Arial" w:hAnsi="Arial"/>
          <w:noProof w:val="0"/>
          <w:rtl/>
        </w:rPr>
      </w:pPr>
    </w:p>
    <w:p w14:paraId="1F239008"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עוד הוסיף המערער, כי אם לשיטת המנהל המיוחד רק התקופה שבין 1.1.15 לבין 31.12.15 חומקת מטענת התיישנות בכתב התביעה המקורי שעמד על 400,000 ₪, הסכום שיש לאשר לתובע הינו 160,000 ₪.</w:t>
      </w:r>
    </w:p>
    <w:p w14:paraId="3259406C" w14:textId="77777777" w:rsidR="00BA20F7" w:rsidRPr="00AF65C0" w:rsidRDefault="00BA20F7" w:rsidP="00BA20F7">
      <w:pPr>
        <w:pStyle w:val="1"/>
        <w:rPr>
          <w:rFonts w:ascii="Arial" w:hAnsi="Arial"/>
          <w:noProof w:val="0"/>
          <w:rtl/>
        </w:rPr>
      </w:pPr>
    </w:p>
    <w:p w14:paraId="25094DF2" w14:textId="51D133E1" w:rsidR="00BA20F7" w:rsidRDefault="00000000" w:rsidP="00BA20F7">
      <w:pPr>
        <w:pStyle w:val="1"/>
        <w:numPr>
          <w:ilvl w:val="0"/>
          <w:numId w:val="1"/>
        </w:numPr>
        <w:spacing w:line="360" w:lineRule="auto"/>
        <w:ind w:left="-57" w:hanging="9"/>
        <w:jc w:val="both"/>
        <w:rPr>
          <w:rFonts w:ascii="Arial" w:hAnsi="Arial"/>
          <w:noProof w:val="0"/>
        </w:rPr>
      </w:pPr>
      <w:r w:rsidRPr="00082F09">
        <w:rPr>
          <w:rFonts w:ascii="Arial" w:hAnsi="Arial" w:hint="cs"/>
          <w:noProof w:val="0"/>
          <w:rtl/>
        </w:rPr>
        <w:t xml:space="preserve">המערער הוסיף כי בהתאם ללשון </w:t>
      </w:r>
      <w:r w:rsidR="00C513AA" w:rsidRPr="00082F09">
        <w:rPr>
          <w:rFonts w:ascii="Arial" w:hAnsi="Arial"/>
          <w:noProof w:val="0"/>
          <w:rtl/>
        </w:rPr>
        <w:t>סעיף 183</w:t>
      </w:r>
      <w:r w:rsidRPr="00082F09">
        <w:rPr>
          <w:rFonts w:ascii="Arial" w:hAnsi="Arial" w:hint="cs"/>
          <w:noProof w:val="0"/>
          <w:rtl/>
        </w:rPr>
        <w:t xml:space="preserve"> לחוק המל"ל, נקודת ההתחלה של גביית</w:t>
      </w:r>
      <w:r>
        <w:rPr>
          <w:rFonts w:ascii="Arial" w:hAnsi="Arial" w:hint="cs"/>
          <w:noProof w:val="0"/>
          <w:rtl/>
        </w:rPr>
        <w:t xml:space="preserve"> תביעת החוב הינה מוגבלת בזמן, קרי 12 חודשים לפני מתן צו פירוק כנגד החברה או סיום יחסי עובד-מעביד, המוקדם מביניהם. אולם, לטענתו, אורך התקופה אינו מוגבל בזמן, ולכן החוב ישולם בעד כל התקופה האמורה, עד ליום 31.12.15</w:t>
      </w:r>
    </w:p>
    <w:p w14:paraId="7100072A" w14:textId="77777777" w:rsidR="00BA20F7" w:rsidRPr="001E5C78" w:rsidRDefault="00BA20F7" w:rsidP="00BA20F7">
      <w:pPr>
        <w:pStyle w:val="1"/>
        <w:rPr>
          <w:rFonts w:ascii="Arial" w:hAnsi="Arial"/>
          <w:noProof w:val="0"/>
          <w:rtl/>
        </w:rPr>
      </w:pPr>
    </w:p>
    <w:p w14:paraId="291FD6B0" w14:textId="77777777" w:rsidR="00BA20F7" w:rsidRPr="006204B3"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לסיכום דבריו, טען המערער כי לא ייתכן כי מחד, יש לקבל את הקיצוץ הדרמטי שביצע בית הדין לעבודה מיוזמתו בסכום שפורט בכתב התביעה, ומאידך לטעון שמדובר בפסק דין בהעדר הגנה, המצדיק למנהל המיוחד להציץ מאחורי הפרגוד של פסק הדין. על כן לטענתו, יש להורות כי הסכום שיאושר בתביעת החוב, יהא הסכום שאושר בהכרעת החוב השנייה של המנהל המיוחד, שעמד על 114,813 ₪. </w:t>
      </w:r>
    </w:p>
    <w:p w14:paraId="457BDE4D" w14:textId="77777777" w:rsidR="00BA20F7" w:rsidRPr="0036428E" w:rsidRDefault="00BA20F7" w:rsidP="00BA20F7">
      <w:pPr>
        <w:pStyle w:val="1"/>
        <w:rPr>
          <w:rFonts w:ascii="Arial" w:hAnsi="Arial"/>
          <w:noProof w:val="0"/>
          <w:rtl/>
        </w:rPr>
      </w:pPr>
    </w:p>
    <w:p w14:paraId="3C0C0AF0" w14:textId="77777777" w:rsidR="00BA20F7" w:rsidRPr="0036428E" w:rsidRDefault="00000000" w:rsidP="00BA20F7">
      <w:pPr>
        <w:pStyle w:val="1"/>
        <w:spacing w:line="360" w:lineRule="auto"/>
        <w:ind w:left="-57"/>
        <w:jc w:val="both"/>
        <w:rPr>
          <w:rFonts w:ascii="Arial" w:hAnsi="Arial"/>
          <w:noProof w:val="0"/>
        </w:rPr>
      </w:pPr>
      <w:r>
        <w:rPr>
          <w:rFonts w:ascii="Arial" w:hAnsi="Arial" w:hint="cs"/>
          <w:noProof w:val="0"/>
          <w:u w:val="single"/>
          <w:rtl/>
        </w:rPr>
        <w:t>עמדת המנהל המיוחד</w:t>
      </w:r>
    </w:p>
    <w:p w14:paraId="350C604C"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המנהל המיוחד טען כי המערער אינו חולק על כך שההכרעה השנייה של המנהל המיוחד, בה נקבע כי המערער יקבל מעבר למגיע לו על פי דין, מקורה בשגגה, ולמעשה, כל מבוקשו של המערער הוא לאשר לו לקבל את מה שלא מגיע לו על פי דין, מעשה שלא יעלה על הדעת להכשיר.</w:t>
      </w:r>
    </w:p>
    <w:p w14:paraId="36D7058C" w14:textId="77777777" w:rsidR="00BA20F7" w:rsidRPr="00F60C89" w:rsidRDefault="00BA20F7" w:rsidP="00BA20F7">
      <w:pPr>
        <w:pStyle w:val="1"/>
        <w:rPr>
          <w:rFonts w:ascii="Arial" w:hAnsi="Arial"/>
          <w:noProof w:val="0"/>
          <w:rtl/>
        </w:rPr>
      </w:pPr>
    </w:p>
    <w:p w14:paraId="71FC9FB4" w14:textId="77777777" w:rsidR="00BA20F7" w:rsidRPr="00A52550" w:rsidRDefault="00BA20F7" w:rsidP="00BA20F7">
      <w:pPr>
        <w:pStyle w:val="1"/>
        <w:rPr>
          <w:rFonts w:ascii="Arial" w:hAnsi="Arial"/>
          <w:noProof w:val="0"/>
          <w:rtl/>
        </w:rPr>
      </w:pPr>
    </w:p>
    <w:p w14:paraId="0387A00D" w14:textId="055490CC"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עוד הוסיף המנהל המיוחד כי טענותיו של המערער הועלו בעבר ולא התקבלו, במסגרת </w:t>
      </w:r>
      <w:r w:rsidR="00D27030" w:rsidRPr="00D91973">
        <w:rPr>
          <w:rFonts w:ascii="Arial" w:hAnsi="Arial"/>
          <w:noProof w:val="0"/>
          <w:rtl/>
        </w:rPr>
        <w:t>פר"ק 30658-03-18</w:t>
      </w:r>
      <w:r w:rsidRPr="00D91973">
        <w:rPr>
          <w:rFonts w:ascii="Arial" w:hAnsi="Arial" w:hint="cs"/>
          <w:noProof w:val="0"/>
          <w:rtl/>
        </w:rPr>
        <w:t>, שם</w:t>
      </w:r>
      <w:r>
        <w:rPr>
          <w:rFonts w:ascii="Arial" w:hAnsi="Arial" w:hint="cs"/>
          <w:noProof w:val="0"/>
          <w:rtl/>
        </w:rPr>
        <w:t xml:space="preserve"> נקבע בנסיבות זהות לאלו בתיק דנן, כי הכרעת המנהל המיוחד הבודק תביעות חוב הינה חיונית אך אינה מכרעת, ולא ניתן לחייב את המל"ל לשלם סכומים אשר נקבע בצורה מפורשת בדין כי אין לשלם אותם לנושה.</w:t>
      </w:r>
    </w:p>
    <w:p w14:paraId="0513B651" w14:textId="77777777" w:rsidR="00BA20F7" w:rsidRPr="00032763" w:rsidRDefault="00BA20F7" w:rsidP="00BA20F7">
      <w:pPr>
        <w:pStyle w:val="1"/>
        <w:rPr>
          <w:rFonts w:ascii="Arial" w:hAnsi="Arial"/>
          <w:noProof w:val="0"/>
          <w:rtl/>
        </w:rPr>
      </w:pPr>
    </w:p>
    <w:p w14:paraId="6045FF9D"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בכל הנוגע לסכום התביעה, הסביר המנהל המיוחד בדיון שנערך בבית המשפט ביום 16.9.25, כי ההכרעה הראשונה, שהתקבלה על סך 107,700 ₪, אמנם הייתה רשומה עבור התקופה מיום 1.10.14-31.12.15, אך בפועל, החישוב שלה נעשה באופן שגוי עבור תקופה ארוכה יותר: מיום 10.8.13 ועד ליום 10.1.16, ועבור תקופה זו, הסכום הגיע ל-107,700 ₪. על כן, הכרעתו השלישית היוותה תיקון הן למשך התקופה בגינה המערער יכול היה להגיש תביעת חוב, והן לסכום המקסימלי שהמל"ל יכול לשלם על פי חוק.</w:t>
      </w:r>
    </w:p>
    <w:p w14:paraId="786C2118" w14:textId="77777777" w:rsidR="00BA20F7" w:rsidRPr="00CF528F" w:rsidRDefault="00BA20F7" w:rsidP="00BA20F7">
      <w:pPr>
        <w:pStyle w:val="1"/>
        <w:rPr>
          <w:rFonts w:ascii="Arial" w:hAnsi="Arial"/>
          <w:noProof w:val="0"/>
          <w:rtl/>
        </w:rPr>
      </w:pPr>
    </w:p>
    <w:p w14:paraId="673E879C" w14:textId="4D139E33" w:rsidR="00BA20F7" w:rsidRDefault="00D27030" w:rsidP="00BA20F7">
      <w:pPr>
        <w:pStyle w:val="1"/>
        <w:numPr>
          <w:ilvl w:val="0"/>
          <w:numId w:val="1"/>
        </w:numPr>
        <w:spacing w:line="360" w:lineRule="auto"/>
        <w:ind w:left="-57" w:hanging="9"/>
        <w:jc w:val="both"/>
        <w:rPr>
          <w:rFonts w:ascii="Arial" w:hAnsi="Arial"/>
          <w:noProof w:val="0"/>
        </w:rPr>
      </w:pPr>
      <w:r w:rsidRPr="00D27030">
        <w:rPr>
          <w:rFonts w:ascii="Arial" w:hAnsi="Arial"/>
          <w:noProof w:val="0"/>
          <w:color w:val="FFFFFF"/>
          <w:sz w:val="2"/>
          <w:szCs w:val="2"/>
          <w:rtl/>
        </w:rPr>
        <w:t>051293710</w:t>
      </w:r>
      <w:r w:rsidR="00000000">
        <w:rPr>
          <w:rFonts w:ascii="Arial" w:hAnsi="Arial" w:hint="cs"/>
          <w:noProof w:val="0"/>
          <w:rtl/>
        </w:rPr>
        <w:t xml:space="preserve">המנהל המיוחד הוסיף כי המערער פעל בחוסר תום לב כאשר לא גילה לבית המשפט או למנהל המיוחד על ההכרעה של בית הדין לעבודה מיום 5.10.20, במסגרת </w:t>
      </w:r>
      <w:r w:rsidRPr="00D91973">
        <w:rPr>
          <w:rFonts w:ascii="Arial" w:hAnsi="Arial"/>
          <w:noProof w:val="0"/>
          <w:rtl/>
        </w:rPr>
        <w:t>סע"ש 14545-04-16</w:t>
      </w:r>
      <w:r w:rsidR="00000000">
        <w:rPr>
          <w:rFonts w:ascii="Arial" w:hAnsi="Arial" w:hint="cs"/>
          <w:noProof w:val="0"/>
          <w:rtl/>
        </w:rPr>
        <w:t xml:space="preserve">, שם נקבע במפורש כי המערער כלל לא הוכיח כי עבד בחברה בלי לקבל שכר, ואף לא על פסק הדין מיום 15.7.21, בו בוטל פסק הדין כנגד אלמנתו של מר יעקובוביץ, הבעלים של החברה. לטענת המנהל המיוחד, עובדות אלה הצדיקו עיון מחדש והכרעה חדשה בתביעת החוב. </w:t>
      </w:r>
    </w:p>
    <w:p w14:paraId="64E5491B" w14:textId="77777777" w:rsidR="00BA20F7" w:rsidRPr="00D27030" w:rsidRDefault="00D27030" w:rsidP="00BA20F7">
      <w:pPr>
        <w:pStyle w:val="1"/>
        <w:rPr>
          <w:rFonts w:ascii="Arial" w:hAnsi="Arial"/>
          <w:noProof w:val="0"/>
          <w:color w:val="FFFFFF"/>
          <w:sz w:val="2"/>
          <w:szCs w:val="2"/>
          <w:rtl/>
        </w:rPr>
      </w:pPr>
      <w:r w:rsidRPr="00D27030">
        <w:rPr>
          <w:rFonts w:ascii="Arial" w:hAnsi="Arial"/>
          <w:noProof w:val="0"/>
          <w:color w:val="FFFFFF"/>
          <w:sz w:val="2"/>
          <w:szCs w:val="2"/>
          <w:rtl/>
        </w:rPr>
        <w:t>054678313</w:t>
      </w:r>
    </w:p>
    <w:p w14:paraId="4B327E0E"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זאת ועוד, המנהל המיוחד שב וציין כי לאחר ההכרעה הראשונה שקיבל ביחס לתביעת החוב של המערער ביום 20.3.20, המערער יצר עמו קשר טלפוני וביקש ממנו לתקן את תביעת החוב, וזאת ללא הגשת ערעור על תביעת החוב. על כן, כעת, לא יעלה על הדעת שכאשר שינוי הכרעה באותו תיק בדיוק פועל לחובתו, יטען המערער כי אין סמכות למנהל המיוחד לעשות כן, אולם כאשר שינוי ההכרעה פעל לטובתו ונעשה אף לבקשתו, אזי יש למנהל המיוחד סמכות לשנותו.</w:t>
      </w:r>
    </w:p>
    <w:p w14:paraId="6B1AB27B" w14:textId="77777777" w:rsidR="00BA20F7" w:rsidRPr="00FA0807" w:rsidRDefault="00BA20F7" w:rsidP="00BA20F7">
      <w:pPr>
        <w:pStyle w:val="1"/>
        <w:rPr>
          <w:rFonts w:ascii="Arial" w:hAnsi="Arial"/>
          <w:noProof w:val="0"/>
          <w:rtl/>
        </w:rPr>
      </w:pPr>
    </w:p>
    <w:p w14:paraId="7A3DF8E3"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לסיכום טענותיו, טען המנהל המיוחד כי המערער גורר את המנהל המיוחד להוצאות ישירות ועקיפות, ובכלל זה נסיעות לבתי משפט שונים ברחבי הארץ, הוצאות בגין הגשת כתבי טענות בהליכים שונים וכן ניהול הליך בערעור לבית המשפט העליון, ועל כן בנסיבות אלו, ביקש המנהל המיוחד הטלת הוצאות ראויות על המערער.</w:t>
      </w:r>
    </w:p>
    <w:p w14:paraId="3682255C" w14:textId="77777777" w:rsidR="00BA20F7" w:rsidRPr="00A86933" w:rsidRDefault="00BA20F7" w:rsidP="00BA20F7">
      <w:pPr>
        <w:pStyle w:val="1"/>
        <w:rPr>
          <w:rFonts w:ascii="Arial" w:hAnsi="Arial"/>
          <w:noProof w:val="0"/>
          <w:rtl/>
        </w:rPr>
      </w:pPr>
    </w:p>
    <w:p w14:paraId="39E00EDE" w14:textId="77777777" w:rsidR="00BA20F7" w:rsidRPr="003B30C1" w:rsidRDefault="00000000" w:rsidP="00BA20F7">
      <w:pPr>
        <w:pStyle w:val="1"/>
        <w:spacing w:line="360" w:lineRule="auto"/>
        <w:ind w:left="-57"/>
        <w:jc w:val="both"/>
        <w:rPr>
          <w:rFonts w:ascii="Arial" w:hAnsi="Arial"/>
          <w:noProof w:val="0"/>
          <w:rtl/>
        </w:rPr>
      </w:pPr>
      <w:r>
        <w:rPr>
          <w:rFonts w:ascii="Arial" w:hAnsi="Arial" w:hint="cs"/>
          <w:noProof w:val="0"/>
          <w:u w:val="single"/>
          <w:rtl/>
        </w:rPr>
        <w:t>עמדת המל"ל</w:t>
      </w:r>
    </w:p>
    <w:p w14:paraId="63A72952" w14:textId="77777777" w:rsidR="00BA20F7" w:rsidRDefault="00000000" w:rsidP="00BA20F7">
      <w:pPr>
        <w:pStyle w:val="1"/>
        <w:numPr>
          <w:ilvl w:val="0"/>
          <w:numId w:val="1"/>
        </w:numPr>
        <w:spacing w:line="360" w:lineRule="auto"/>
        <w:ind w:left="-57" w:hanging="9"/>
        <w:jc w:val="both"/>
        <w:rPr>
          <w:rFonts w:ascii="Arial" w:hAnsi="Arial"/>
          <w:noProof w:val="0"/>
        </w:rPr>
      </w:pPr>
      <w:r w:rsidRPr="003B30C1">
        <w:rPr>
          <w:rFonts w:ascii="Arial" w:hAnsi="Arial"/>
          <w:noProof w:val="0"/>
          <w:rtl/>
        </w:rPr>
        <w:t>לגישת המל"ל, יש לקבל את עמדתו של המנהל המיוחד.</w:t>
      </w:r>
    </w:p>
    <w:p w14:paraId="1EE9245B" w14:textId="77777777" w:rsidR="00BA20F7" w:rsidRPr="003B30C1" w:rsidRDefault="00BA20F7" w:rsidP="00BA20F7">
      <w:pPr>
        <w:pStyle w:val="1"/>
        <w:spacing w:line="360" w:lineRule="auto"/>
        <w:ind w:left="-57"/>
        <w:jc w:val="both"/>
        <w:rPr>
          <w:rFonts w:ascii="Arial" w:hAnsi="Arial"/>
          <w:noProof w:val="0"/>
          <w:rtl/>
        </w:rPr>
      </w:pPr>
    </w:p>
    <w:p w14:paraId="71246A4F" w14:textId="55DCD6E4" w:rsidR="00BA20F7" w:rsidRPr="00D91973" w:rsidRDefault="00000000" w:rsidP="00BA20F7">
      <w:pPr>
        <w:pStyle w:val="1"/>
        <w:numPr>
          <w:ilvl w:val="0"/>
          <w:numId w:val="1"/>
        </w:numPr>
        <w:spacing w:line="360" w:lineRule="auto"/>
        <w:ind w:left="-57" w:hanging="9"/>
        <w:jc w:val="both"/>
        <w:rPr>
          <w:rFonts w:ascii="Arial" w:hAnsi="Arial"/>
          <w:noProof w:val="0"/>
        </w:rPr>
      </w:pPr>
      <w:r w:rsidRPr="00D91973">
        <w:rPr>
          <w:rFonts w:ascii="Arial" w:hAnsi="Arial"/>
          <w:noProof w:val="0"/>
          <w:rtl/>
        </w:rPr>
        <w:t xml:space="preserve">המל"ל טען כי מדובר בהליך שהחל לפני כניסת </w:t>
      </w:r>
      <w:r w:rsidR="00D27030" w:rsidRPr="00D91973">
        <w:rPr>
          <w:rFonts w:ascii="Arial" w:hAnsi="Arial"/>
          <w:noProof w:val="0"/>
          <w:rtl/>
        </w:rPr>
        <w:t>חוק חדלות פירעון ושיקום כלכלי, התשע"ח-2018</w:t>
      </w:r>
      <w:r w:rsidRPr="00D91973">
        <w:rPr>
          <w:rFonts w:ascii="Arial" w:hAnsi="Arial"/>
          <w:noProof w:val="0"/>
          <w:rtl/>
        </w:rPr>
        <w:t xml:space="preserve"> לתוקף</w:t>
      </w:r>
      <w:r w:rsidRPr="00D91973">
        <w:rPr>
          <w:rFonts w:ascii="Arial" w:hAnsi="Arial" w:hint="cs"/>
          <w:noProof w:val="0"/>
          <w:rtl/>
        </w:rPr>
        <w:t xml:space="preserve"> (להלן: "</w:t>
      </w:r>
      <w:r w:rsidRPr="00D91973">
        <w:rPr>
          <w:rFonts w:ascii="Arial" w:hAnsi="Arial" w:hint="cs"/>
          <w:b/>
          <w:bCs/>
          <w:noProof w:val="0"/>
          <w:rtl/>
        </w:rPr>
        <w:t>חוק חדלות פירעון</w:t>
      </w:r>
      <w:r w:rsidRPr="00D91973">
        <w:rPr>
          <w:rFonts w:ascii="Arial" w:hAnsi="Arial" w:hint="cs"/>
          <w:noProof w:val="0"/>
          <w:rtl/>
        </w:rPr>
        <w:t>")</w:t>
      </w:r>
      <w:r w:rsidRPr="00D91973">
        <w:rPr>
          <w:rFonts w:ascii="Arial" w:hAnsi="Arial"/>
          <w:noProof w:val="0"/>
          <w:rtl/>
        </w:rPr>
        <w:t xml:space="preserve">, ועל כן בדיקת תביעות העובדים לתשלום שכר עבודה ונגזרותיו נעשתה על ידי המנהל </w:t>
      </w:r>
      <w:r w:rsidRPr="00D91973">
        <w:rPr>
          <w:rFonts w:ascii="Arial" w:hAnsi="Arial" w:hint="cs"/>
          <w:noProof w:val="0"/>
          <w:rtl/>
        </w:rPr>
        <w:t>המ</w:t>
      </w:r>
      <w:r w:rsidRPr="00D91973">
        <w:rPr>
          <w:rFonts w:ascii="Arial" w:hAnsi="Arial"/>
          <w:noProof w:val="0"/>
          <w:rtl/>
        </w:rPr>
        <w:t>יוחד, שהוא בעל התפקיד לבדיקת תביעות העובדים.</w:t>
      </w:r>
      <w:r w:rsidRPr="00D91973">
        <w:rPr>
          <w:rFonts w:ascii="Arial" w:hAnsi="Arial" w:hint="cs"/>
          <w:noProof w:val="0"/>
          <w:rtl/>
        </w:rPr>
        <w:t xml:space="preserve"> </w:t>
      </w:r>
      <w:r w:rsidRPr="00D91973">
        <w:rPr>
          <w:rFonts w:ascii="Arial" w:hAnsi="Arial"/>
          <w:noProof w:val="0"/>
          <w:rtl/>
        </w:rPr>
        <w:t xml:space="preserve">המל"ל הוסיף כי לאחר שהמנהל המיוחד הכריע בתביעת החוב ביום 29.8.20 וקבע כי המערער זכאי ל-53,296 ₪, פקידת התביעות של המל"ל בדקה את הכרעתו ואישרה את התביעה, בהתאם להוראות פרק </w:t>
      </w:r>
      <w:r w:rsidR="00C513AA" w:rsidRPr="00D91973">
        <w:rPr>
          <w:rFonts w:ascii="Arial" w:hAnsi="Arial"/>
          <w:noProof w:val="0"/>
          <w:rtl/>
        </w:rPr>
        <w:t>ח'</w:t>
      </w:r>
      <w:r w:rsidRPr="00D91973">
        <w:rPr>
          <w:rFonts w:ascii="Arial" w:hAnsi="Arial"/>
          <w:noProof w:val="0"/>
          <w:rtl/>
        </w:rPr>
        <w:t xml:space="preserve"> לחוק המל"ל.</w:t>
      </w:r>
    </w:p>
    <w:p w14:paraId="1D0F3BD5" w14:textId="77777777" w:rsidR="00BA20F7" w:rsidRPr="003B30C1" w:rsidRDefault="00BA20F7" w:rsidP="00BA20F7">
      <w:pPr>
        <w:spacing w:line="360" w:lineRule="auto"/>
        <w:jc w:val="both"/>
        <w:rPr>
          <w:rFonts w:ascii="Arial" w:hAnsi="Arial"/>
          <w:noProof w:val="0"/>
          <w:rtl/>
        </w:rPr>
      </w:pPr>
    </w:p>
    <w:p w14:paraId="6C7719D7" w14:textId="168ADC5C" w:rsidR="00BA20F7" w:rsidRPr="00D91973"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נטען כי </w:t>
      </w:r>
      <w:r w:rsidRPr="003B30C1">
        <w:rPr>
          <w:rFonts w:ascii="Arial" w:hAnsi="Arial"/>
          <w:noProof w:val="0"/>
          <w:rtl/>
        </w:rPr>
        <w:t xml:space="preserve">בהתאם להוראות פרק ח' </w:t>
      </w:r>
      <w:r>
        <w:rPr>
          <w:rFonts w:ascii="Arial" w:hAnsi="Arial" w:hint="cs"/>
          <w:noProof w:val="0"/>
          <w:rtl/>
        </w:rPr>
        <w:t>ל</w:t>
      </w:r>
      <w:r w:rsidRPr="003B30C1">
        <w:rPr>
          <w:rFonts w:ascii="Arial" w:hAnsi="Arial"/>
          <w:noProof w:val="0"/>
          <w:rtl/>
        </w:rPr>
        <w:t xml:space="preserve">חוק המל"ל, עובד זכאי לגמלה בעד חוב שכר עבודה ופיצויי פיטורים שמעסיקו נותר חייב לו, בהתקיים התנאים המנויים בחוק. ועוד, הזכאות לגמלה </w:t>
      </w:r>
      <w:r w:rsidRPr="00D91973">
        <w:rPr>
          <w:rFonts w:ascii="Arial" w:hAnsi="Arial"/>
          <w:noProof w:val="0"/>
          <w:rtl/>
        </w:rPr>
        <w:t xml:space="preserve">עצמה מוגבלת </w:t>
      </w:r>
      <w:r w:rsidR="00C513AA" w:rsidRPr="00D91973">
        <w:rPr>
          <w:rFonts w:ascii="Arial" w:hAnsi="Arial"/>
          <w:noProof w:val="0"/>
          <w:rtl/>
        </w:rPr>
        <w:t>בסעיף 183</w:t>
      </w:r>
      <w:r w:rsidRPr="00D91973">
        <w:rPr>
          <w:rFonts w:ascii="Arial" w:hAnsi="Arial"/>
          <w:noProof w:val="0"/>
          <w:rtl/>
        </w:rPr>
        <w:t xml:space="preserve"> לחוק המל"ל</w:t>
      </w:r>
      <w:r w:rsidRPr="00D91973">
        <w:rPr>
          <w:rFonts w:ascii="Arial" w:hAnsi="Arial" w:hint="cs"/>
          <w:noProof w:val="0"/>
          <w:rtl/>
        </w:rPr>
        <w:t>,</w:t>
      </w:r>
      <w:r w:rsidRPr="00D91973">
        <w:rPr>
          <w:rFonts w:ascii="Arial" w:hAnsi="Arial"/>
          <w:noProof w:val="0"/>
          <w:rtl/>
        </w:rPr>
        <w:t xml:space="preserve"> בגין חוב עבודה שנוצר ב-12 החודשים שקדמו לצו פירוק החברה או לסיום יחסי העבודה, לפי המוקדם מב</w:t>
      </w:r>
      <w:r w:rsidRPr="00D91973">
        <w:rPr>
          <w:rFonts w:ascii="Arial" w:hAnsi="Arial" w:hint="cs"/>
          <w:noProof w:val="0"/>
          <w:rtl/>
        </w:rPr>
        <w:t>י</w:t>
      </w:r>
      <w:r w:rsidRPr="00D91973">
        <w:rPr>
          <w:rFonts w:ascii="Arial" w:hAnsi="Arial"/>
          <w:noProof w:val="0"/>
          <w:rtl/>
        </w:rPr>
        <w:t>נ</w:t>
      </w:r>
      <w:r w:rsidRPr="00D91973">
        <w:rPr>
          <w:rFonts w:ascii="Arial" w:hAnsi="Arial" w:hint="cs"/>
          <w:noProof w:val="0"/>
          <w:rtl/>
        </w:rPr>
        <w:t>י</w:t>
      </w:r>
      <w:r w:rsidRPr="00D91973">
        <w:rPr>
          <w:rFonts w:ascii="Arial" w:hAnsi="Arial"/>
          <w:noProof w:val="0"/>
          <w:rtl/>
        </w:rPr>
        <w:t>הם.</w:t>
      </w:r>
    </w:p>
    <w:p w14:paraId="3027478A" w14:textId="77777777" w:rsidR="00BA20F7" w:rsidRPr="00D91973" w:rsidRDefault="00BA20F7" w:rsidP="00BA20F7">
      <w:pPr>
        <w:spacing w:line="360" w:lineRule="auto"/>
        <w:jc w:val="both"/>
        <w:rPr>
          <w:rFonts w:ascii="Arial" w:hAnsi="Arial"/>
          <w:noProof w:val="0"/>
          <w:rtl/>
        </w:rPr>
      </w:pPr>
    </w:p>
    <w:p w14:paraId="6DF04B7A" w14:textId="295CF514" w:rsidR="00BA20F7" w:rsidRPr="00233429" w:rsidRDefault="00000000" w:rsidP="00BA20F7">
      <w:pPr>
        <w:pStyle w:val="1"/>
        <w:numPr>
          <w:ilvl w:val="0"/>
          <w:numId w:val="1"/>
        </w:numPr>
        <w:spacing w:line="360" w:lineRule="auto"/>
        <w:ind w:left="-57" w:hanging="9"/>
        <w:jc w:val="both"/>
        <w:rPr>
          <w:rFonts w:ascii="Arial" w:hAnsi="Arial"/>
          <w:noProof w:val="0"/>
          <w:rtl/>
        </w:rPr>
      </w:pPr>
      <w:r w:rsidRPr="00D91973">
        <w:rPr>
          <w:rFonts w:ascii="Arial" w:hAnsi="Arial"/>
          <w:noProof w:val="0"/>
          <w:rtl/>
        </w:rPr>
        <w:t xml:space="preserve">המל"ל הביא לתמיכה בטענותיו את </w:t>
      </w:r>
      <w:r w:rsidR="00D27030" w:rsidRPr="00D91973">
        <w:rPr>
          <w:rFonts w:ascii="Arial" w:hAnsi="Arial"/>
          <w:noProof w:val="0"/>
          <w:rtl/>
        </w:rPr>
        <w:t>פר"ק 2559/08</w:t>
      </w:r>
      <w:r w:rsidRPr="00D91973">
        <w:rPr>
          <w:rFonts w:ascii="Arial" w:hAnsi="Arial"/>
          <w:noProof w:val="0"/>
          <w:rtl/>
        </w:rPr>
        <w:t xml:space="preserve"> </w:t>
      </w:r>
      <w:r w:rsidRPr="00D91973">
        <w:rPr>
          <w:rFonts w:ascii="Arial" w:hAnsi="Arial"/>
          <w:b/>
          <w:bCs/>
          <w:noProof w:val="0"/>
          <w:rtl/>
        </w:rPr>
        <w:t>דניאל נ' חברת אפוד מגן אבטחה</w:t>
      </w:r>
      <w:r w:rsidRPr="00B042A4">
        <w:rPr>
          <w:rFonts w:ascii="Arial" w:hAnsi="Arial"/>
          <w:b/>
          <w:bCs/>
          <w:noProof w:val="0"/>
          <w:rtl/>
        </w:rPr>
        <w:t xml:space="preserve"> בע"מ ואח'</w:t>
      </w:r>
      <w:r w:rsidRPr="003B30C1">
        <w:rPr>
          <w:rFonts w:ascii="Arial" w:hAnsi="Arial"/>
          <w:noProof w:val="0"/>
          <w:rtl/>
        </w:rPr>
        <w:t xml:space="preserve"> (28.2.11), שם הוכרע כי </w:t>
      </w:r>
      <w:r>
        <w:rPr>
          <w:rFonts w:ascii="Arial" w:hAnsi="Arial" w:hint="cs"/>
          <w:noProof w:val="0"/>
          <w:rtl/>
        </w:rPr>
        <w:t>מטרת הוראות הסעיף</w:t>
      </w:r>
      <w:r w:rsidRPr="003B30C1">
        <w:rPr>
          <w:rFonts w:ascii="Arial" w:hAnsi="Arial"/>
          <w:noProof w:val="0"/>
          <w:rtl/>
        </w:rPr>
        <w:t xml:space="preserve"> לצמצם את הפיכתה של הקופה הציבורית לתקופה הסמוכה לקריסה של החברה, על מנת להימנע ממצב שבו חברות מתנהלות באופן פסול במשך שנים, אך העובדים נמנעים מלתבוע את זכויותיהם, על מנת שיוכלו לפנות אל הכיס העמוק של המל"ל</w:t>
      </w:r>
      <w:r>
        <w:rPr>
          <w:rFonts w:ascii="Arial" w:hAnsi="Arial" w:hint="cs"/>
          <w:noProof w:val="0"/>
          <w:rtl/>
        </w:rPr>
        <w:t xml:space="preserve"> בשלב מאוחר יותר</w:t>
      </w:r>
      <w:r w:rsidRPr="003B30C1">
        <w:rPr>
          <w:rFonts w:ascii="Arial" w:hAnsi="Arial"/>
          <w:noProof w:val="0"/>
          <w:rtl/>
        </w:rPr>
        <w:t>.</w:t>
      </w:r>
    </w:p>
    <w:p w14:paraId="368C7910" w14:textId="77777777" w:rsidR="00BA20F7" w:rsidRPr="003B30C1" w:rsidRDefault="00BA20F7" w:rsidP="00BA20F7">
      <w:pPr>
        <w:pStyle w:val="1"/>
        <w:spacing w:line="360" w:lineRule="auto"/>
        <w:ind w:left="-57"/>
        <w:jc w:val="both"/>
        <w:rPr>
          <w:rFonts w:ascii="Arial" w:hAnsi="Arial"/>
          <w:noProof w:val="0"/>
          <w:rtl/>
        </w:rPr>
      </w:pPr>
    </w:p>
    <w:p w14:paraId="460D2A76" w14:textId="40FD9A78" w:rsidR="00BA20F7" w:rsidRDefault="00000000" w:rsidP="00BA20F7">
      <w:pPr>
        <w:pStyle w:val="1"/>
        <w:numPr>
          <w:ilvl w:val="0"/>
          <w:numId w:val="1"/>
        </w:numPr>
        <w:spacing w:line="360" w:lineRule="auto"/>
        <w:ind w:left="-57" w:hanging="9"/>
        <w:jc w:val="both"/>
        <w:rPr>
          <w:rFonts w:ascii="Arial" w:hAnsi="Arial"/>
          <w:noProof w:val="0"/>
        </w:rPr>
      </w:pPr>
      <w:r w:rsidRPr="003B30C1">
        <w:rPr>
          <w:rFonts w:ascii="Arial" w:hAnsi="Arial"/>
          <w:noProof w:val="0"/>
          <w:rtl/>
        </w:rPr>
        <w:t xml:space="preserve">עוד הוסיף המל"ל כי אין לקבל את טענת המערער כי על המל"ל לשלם ריבית והצמדה: </w:t>
      </w:r>
      <w:r w:rsidRPr="00D91973">
        <w:rPr>
          <w:rFonts w:ascii="Arial" w:hAnsi="Arial"/>
          <w:noProof w:val="0"/>
          <w:rtl/>
        </w:rPr>
        <w:t xml:space="preserve">בהתאם להוראות </w:t>
      </w:r>
      <w:r w:rsidR="00C513AA" w:rsidRPr="00D91973">
        <w:rPr>
          <w:rFonts w:ascii="Arial" w:hAnsi="Arial"/>
          <w:noProof w:val="0"/>
          <w:rtl/>
        </w:rPr>
        <w:t>סעיף 297א(ג)</w:t>
      </w:r>
      <w:r w:rsidRPr="00D91973">
        <w:rPr>
          <w:rFonts w:ascii="Arial" w:hAnsi="Arial"/>
          <w:noProof w:val="0"/>
          <w:rtl/>
        </w:rPr>
        <w:t xml:space="preserve"> לחוק המל"ל, על תשלום גמלאות המשולמות מכוח חוק זה, לא חלות הוראות </w:t>
      </w:r>
      <w:r w:rsidR="00D27030" w:rsidRPr="00D91973">
        <w:rPr>
          <w:rFonts w:ascii="Arial" w:hAnsi="Arial"/>
          <w:noProof w:val="0"/>
          <w:rtl/>
        </w:rPr>
        <w:t>חוק פסיקת ריבית והצמדה</w:t>
      </w:r>
      <w:r w:rsidRPr="00D91973">
        <w:rPr>
          <w:rFonts w:ascii="Arial" w:hAnsi="Arial"/>
          <w:noProof w:val="0"/>
          <w:rtl/>
        </w:rPr>
        <w:t xml:space="preserve">, התשכ"א-1961. ועוד, בהתאם </w:t>
      </w:r>
      <w:r w:rsidR="00C513AA" w:rsidRPr="00D91973">
        <w:rPr>
          <w:rFonts w:ascii="Arial" w:hAnsi="Arial"/>
          <w:noProof w:val="0"/>
          <w:rtl/>
        </w:rPr>
        <w:t>לסעיף 297א(א)(3)</w:t>
      </w:r>
      <w:r w:rsidRPr="00D91973">
        <w:rPr>
          <w:rFonts w:ascii="Arial" w:hAnsi="Arial"/>
          <w:noProof w:val="0"/>
          <w:rtl/>
        </w:rPr>
        <w:t>, חוב</w:t>
      </w:r>
      <w:r w:rsidRPr="003B30C1">
        <w:rPr>
          <w:rFonts w:ascii="Arial" w:hAnsi="Arial"/>
          <w:noProof w:val="0"/>
          <w:rtl/>
        </w:rPr>
        <w:t xml:space="preserve"> הקרן יוצמד למדד המחירים לצרכן מיום סיום יחסי עובד-מעביד או צו הפירוק, לפי המוקדם מב</w:t>
      </w:r>
      <w:r>
        <w:rPr>
          <w:rFonts w:ascii="Arial" w:hAnsi="Arial" w:hint="cs"/>
          <w:noProof w:val="0"/>
          <w:rtl/>
        </w:rPr>
        <w:t>י</w:t>
      </w:r>
      <w:r w:rsidRPr="003B30C1">
        <w:rPr>
          <w:rFonts w:ascii="Arial" w:hAnsi="Arial"/>
          <w:noProof w:val="0"/>
          <w:rtl/>
        </w:rPr>
        <w:t>ניהם, ועד ליום התשלום בפועל.</w:t>
      </w:r>
    </w:p>
    <w:p w14:paraId="0222CDEF" w14:textId="77777777" w:rsidR="00BA20F7" w:rsidRPr="003B30C1" w:rsidRDefault="00BA20F7" w:rsidP="00BA20F7">
      <w:pPr>
        <w:spacing w:line="360" w:lineRule="auto"/>
        <w:ind w:left="-66"/>
        <w:jc w:val="both"/>
        <w:rPr>
          <w:rFonts w:ascii="Arial" w:hAnsi="Arial"/>
          <w:noProof w:val="0"/>
          <w:rtl/>
        </w:rPr>
      </w:pPr>
    </w:p>
    <w:p w14:paraId="0C42EDDE" w14:textId="77777777" w:rsidR="00BA20F7" w:rsidRDefault="00000000" w:rsidP="00BA20F7">
      <w:pPr>
        <w:pStyle w:val="1"/>
        <w:numPr>
          <w:ilvl w:val="0"/>
          <w:numId w:val="1"/>
        </w:numPr>
        <w:spacing w:line="360" w:lineRule="auto"/>
        <w:ind w:left="-57" w:hanging="9"/>
        <w:jc w:val="both"/>
        <w:rPr>
          <w:rFonts w:ascii="Arial" w:hAnsi="Arial"/>
          <w:noProof w:val="0"/>
        </w:rPr>
      </w:pPr>
      <w:r w:rsidRPr="003B30C1">
        <w:rPr>
          <w:rFonts w:ascii="Arial" w:hAnsi="Arial"/>
          <w:noProof w:val="0"/>
          <w:rtl/>
        </w:rPr>
        <w:t>לסיכום דבריו, שב המל"ל והדגיש כי הוא מצטרף לעמדת המנהל המיוחד כי דין הערעור להידחות, ולחילופין, המל"ל לא יתנגד להחזרת הדיון לגופו של עניין לבית משפט זה, על אף שבהודעת הערעור, המערער לא טען לגופו של עניין לעצם זכאותו, אלא רק ביקש להחזיר את הדיון לבית</w:t>
      </w:r>
      <w:r>
        <w:rPr>
          <w:rFonts w:ascii="Arial" w:hAnsi="Arial" w:hint="cs"/>
          <w:noProof w:val="0"/>
          <w:rtl/>
        </w:rPr>
        <w:t xml:space="preserve"> המשפט קמא.</w:t>
      </w:r>
    </w:p>
    <w:p w14:paraId="7EAC1F49" w14:textId="77777777" w:rsidR="00BA20F7" w:rsidRPr="00D46806" w:rsidRDefault="00BA20F7" w:rsidP="00BA20F7">
      <w:pPr>
        <w:pStyle w:val="1"/>
        <w:rPr>
          <w:rFonts w:ascii="Arial" w:hAnsi="Arial"/>
          <w:noProof w:val="0"/>
          <w:rtl/>
        </w:rPr>
      </w:pPr>
    </w:p>
    <w:p w14:paraId="2C3928D9" w14:textId="77777777" w:rsidR="00BA20F7" w:rsidRPr="00A86933" w:rsidRDefault="00000000" w:rsidP="00BA20F7">
      <w:pPr>
        <w:pStyle w:val="1"/>
        <w:spacing w:line="360" w:lineRule="auto"/>
        <w:ind w:left="-57"/>
        <w:jc w:val="both"/>
        <w:rPr>
          <w:rFonts w:ascii="Arial" w:hAnsi="Arial"/>
          <w:noProof w:val="0"/>
          <w:rtl/>
        </w:rPr>
      </w:pPr>
      <w:r w:rsidRPr="00A86933">
        <w:rPr>
          <w:rFonts w:ascii="Arial" w:hAnsi="Arial" w:hint="cs"/>
          <w:noProof w:val="0"/>
          <w:u w:val="single"/>
          <w:rtl/>
        </w:rPr>
        <w:t>עמדת הכנ"ר</w:t>
      </w:r>
    </w:p>
    <w:p w14:paraId="27E0E8C5" w14:textId="77777777" w:rsidR="00BA20F7" w:rsidRPr="00D46806"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לטענת ב"כ הכנ"ר, התנהלותו של המערער, כאשר לא ציין בפני בית המשפט כי פסק הדין שניתן בבית הדין לעבודה כנגד אלמנתו של בעל החברה בוטל, הינה התנהלות שלא כדין. </w:t>
      </w:r>
    </w:p>
    <w:p w14:paraId="7A4EA288" w14:textId="77777777" w:rsidR="00BA20F7" w:rsidRPr="00195AB4" w:rsidRDefault="00BA20F7" w:rsidP="00BA20F7">
      <w:pPr>
        <w:pStyle w:val="1"/>
        <w:rPr>
          <w:rFonts w:ascii="Arial" w:hAnsi="Arial"/>
          <w:noProof w:val="0"/>
          <w:rtl/>
        </w:rPr>
      </w:pPr>
    </w:p>
    <w:p w14:paraId="35BE3ADC" w14:textId="77777777" w:rsidR="00BA20F7" w:rsidRDefault="00000000" w:rsidP="00BA20F7">
      <w:pPr>
        <w:pStyle w:val="1"/>
        <w:spacing w:line="360" w:lineRule="auto"/>
        <w:ind w:left="-57"/>
        <w:jc w:val="both"/>
        <w:rPr>
          <w:rFonts w:ascii="Arial" w:hAnsi="Arial"/>
          <w:noProof w:val="0"/>
          <w:rtl/>
        </w:rPr>
      </w:pPr>
      <w:r>
        <w:rPr>
          <w:rFonts w:ascii="Arial" w:hAnsi="Arial" w:hint="cs"/>
          <w:b/>
          <w:bCs/>
          <w:noProof w:val="0"/>
          <w:u w:val="single"/>
          <w:rtl/>
        </w:rPr>
        <w:t>דיון והכרעה</w:t>
      </w:r>
    </w:p>
    <w:p w14:paraId="5DE4E2B6"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בפתח הדברים, אקדים ואציין כי לאחר שעיינתי בטענות הצדדים, הגעתי למסקנה כי דין </w:t>
      </w:r>
      <w:r w:rsidRPr="000B7D55">
        <w:rPr>
          <w:rFonts w:ascii="Arial" w:hAnsi="Arial" w:hint="cs"/>
          <w:noProof w:val="0"/>
          <w:rtl/>
        </w:rPr>
        <w:t>הערעור להידחות</w:t>
      </w:r>
      <w:r>
        <w:rPr>
          <w:rFonts w:ascii="Arial" w:hAnsi="Arial" w:hint="cs"/>
          <w:noProof w:val="0"/>
          <w:rtl/>
        </w:rPr>
        <w:t>. תחילה אדון בטענה המקדמית של המערער, ביחס לסמכותו של המנהל המיוחד לשנות את הכרעתו בתביעת החוב ללא פנייה מוקדמת לבית המשפט. לאחר מכן, אדון בטענות לגופו של עניין.</w:t>
      </w:r>
    </w:p>
    <w:p w14:paraId="30DA4353" w14:textId="77777777" w:rsidR="00BA20F7" w:rsidRPr="00686A8F" w:rsidRDefault="00BA20F7" w:rsidP="00BA20F7">
      <w:pPr>
        <w:pStyle w:val="1"/>
        <w:spacing w:line="360" w:lineRule="auto"/>
        <w:ind w:left="-57"/>
        <w:jc w:val="both"/>
        <w:rPr>
          <w:rFonts w:ascii="Arial" w:hAnsi="Arial"/>
          <w:noProof w:val="0"/>
        </w:rPr>
      </w:pPr>
    </w:p>
    <w:p w14:paraId="40558D83" w14:textId="77777777" w:rsidR="00BA20F7" w:rsidRDefault="00000000" w:rsidP="00BA20F7">
      <w:pPr>
        <w:pStyle w:val="1"/>
        <w:spacing w:line="360" w:lineRule="auto"/>
        <w:ind w:left="-57"/>
        <w:jc w:val="both"/>
        <w:rPr>
          <w:rFonts w:ascii="Arial" w:hAnsi="Arial"/>
          <w:noProof w:val="0"/>
          <w:rtl/>
        </w:rPr>
      </w:pPr>
      <w:r>
        <w:rPr>
          <w:rFonts w:ascii="Arial" w:hAnsi="Arial" w:hint="cs"/>
          <w:noProof w:val="0"/>
          <w:u w:val="single"/>
          <w:rtl/>
        </w:rPr>
        <w:t>טענת חוסר סמכות</w:t>
      </w:r>
    </w:p>
    <w:p w14:paraId="2D22A392" w14:textId="4DD82F05" w:rsidR="00BA20F7" w:rsidRDefault="00000000" w:rsidP="00BA20F7">
      <w:pPr>
        <w:pStyle w:val="1"/>
        <w:numPr>
          <w:ilvl w:val="0"/>
          <w:numId w:val="1"/>
        </w:numPr>
        <w:spacing w:line="360" w:lineRule="auto"/>
        <w:ind w:left="-57" w:hanging="9"/>
        <w:jc w:val="both"/>
        <w:rPr>
          <w:rFonts w:ascii="Arial" w:hAnsi="Arial"/>
          <w:noProof w:val="0"/>
        </w:rPr>
      </w:pPr>
      <w:r w:rsidRPr="00D91973">
        <w:rPr>
          <w:rFonts w:ascii="Arial" w:hAnsi="Arial" w:hint="cs"/>
          <w:noProof w:val="0"/>
          <w:rtl/>
        </w:rPr>
        <w:t xml:space="preserve">החל מכניסתו לתוקף של </w:t>
      </w:r>
      <w:r w:rsidR="00D27030" w:rsidRPr="00D91973">
        <w:rPr>
          <w:rFonts w:ascii="Arial" w:hAnsi="Arial"/>
          <w:noProof w:val="0"/>
          <w:rtl/>
        </w:rPr>
        <w:t>חוק חדלות פירעון ושיקום כלכלי, תשע"ח-2018</w:t>
      </w:r>
      <w:r w:rsidRPr="00D91973">
        <w:rPr>
          <w:rFonts w:ascii="Arial" w:hAnsi="Arial" w:hint="cs"/>
          <w:noProof w:val="0"/>
          <w:rtl/>
        </w:rPr>
        <w:t xml:space="preserve">  (להלן: "</w:t>
      </w:r>
      <w:r w:rsidRPr="00D91973">
        <w:rPr>
          <w:rFonts w:ascii="Arial" w:hAnsi="Arial" w:hint="cs"/>
          <w:b/>
          <w:bCs/>
          <w:noProof w:val="0"/>
          <w:rtl/>
        </w:rPr>
        <w:t>חוק חדלות פירעון</w:t>
      </w:r>
      <w:r w:rsidRPr="00D91973">
        <w:rPr>
          <w:rFonts w:ascii="Arial" w:hAnsi="Arial" w:hint="cs"/>
          <w:noProof w:val="0"/>
          <w:rtl/>
        </w:rPr>
        <w:t xml:space="preserve">") ביום 15.9.2019, השתנה אופן הטיפול בתביעות חוב המוגשות על ידי עובדי החברה בהליכי חדלות פירעון. בעבר, הסמכות לדון בתביעות החוב הייתה מצויה בידי בעל התפקיד, אשר היה מעביר את הכרעתו למל"ל, והמל"ל היה רשאי לאשר את ההכרעה ולשלם את הסכום לתובע, או להגיש עליה ערעור. אולם מאז כניסתו של חוק חדלות פירעון לתוקף, תביעות חוב של עובדים מוגשות ישירות לפקיד התביעות של המל"ל, ללא כל התערבות מצדו של בעל התפקיד (ראו למשל: </w:t>
      </w:r>
      <w:r w:rsidR="00D27030" w:rsidRPr="00D91973">
        <w:rPr>
          <w:rFonts w:ascii="Arial" w:hAnsi="Arial"/>
          <w:noProof w:val="0"/>
          <w:rtl/>
        </w:rPr>
        <w:t>פר"ק (מחוזי ת"א) 18001-04-18</w:t>
      </w:r>
      <w:r w:rsidRPr="00D91973">
        <w:rPr>
          <w:rFonts w:ascii="Arial" w:hAnsi="Arial"/>
          <w:noProof w:val="0"/>
          <w:rtl/>
        </w:rPr>
        <w:t xml:space="preserve"> </w:t>
      </w:r>
      <w:r w:rsidRPr="00D91973">
        <w:rPr>
          <w:rFonts w:ascii="Arial" w:hAnsi="Arial"/>
          <w:b/>
          <w:bCs/>
          <w:noProof w:val="0"/>
          <w:rtl/>
        </w:rPr>
        <w:t>זרוע הזהב כח אדם בע"מ נ' כונס הנכסים</w:t>
      </w:r>
      <w:r w:rsidRPr="001A791E">
        <w:rPr>
          <w:rFonts w:ascii="Arial" w:hAnsi="Arial"/>
          <w:b/>
          <w:bCs/>
          <w:noProof w:val="0"/>
          <w:rtl/>
        </w:rPr>
        <w:t xml:space="preserve"> הרשמי </w:t>
      </w:r>
      <w:r w:rsidRPr="001A791E">
        <w:rPr>
          <w:rFonts w:ascii="Arial" w:hAnsi="Arial"/>
          <w:noProof w:val="0"/>
          <w:rtl/>
        </w:rPr>
        <w:t>(9.1.2023)</w:t>
      </w:r>
      <w:r>
        <w:rPr>
          <w:rFonts w:ascii="Arial" w:hAnsi="Arial" w:hint="cs"/>
          <w:noProof w:val="0"/>
          <w:rtl/>
        </w:rPr>
        <w:t>, פסקה 24).</w:t>
      </w:r>
    </w:p>
    <w:p w14:paraId="24E9EEBC" w14:textId="77777777" w:rsidR="00BA20F7" w:rsidRDefault="00BA20F7" w:rsidP="00BA20F7">
      <w:pPr>
        <w:pStyle w:val="1"/>
        <w:spacing w:line="360" w:lineRule="auto"/>
        <w:ind w:left="-57"/>
        <w:jc w:val="both"/>
        <w:rPr>
          <w:rFonts w:ascii="Arial" w:hAnsi="Arial"/>
          <w:noProof w:val="0"/>
        </w:rPr>
      </w:pPr>
    </w:p>
    <w:p w14:paraId="3D785BD8" w14:textId="2D76B2B0" w:rsidR="00BA20F7" w:rsidRPr="00D91973"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שוני נוסף בין ההסדר שהיה נהוג ערב כניסת חוק חדלות פירעון לתוקף לבין ההסדר </w:t>
      </w:r>
      <w:r w:rsidRPr="00D91973">
        <w:rPr>
          <w:rFonts w:ascii="Arial" w:hAnsi="Arial" w:hint="cs"/>
          <w:noProof w:val="0"/>
          <w:rtl/>
        </w:rPr>
        <w:t xml:space="preserve">הנהוג כיום, הינו שאלת סמכותו של המנהל המיוחד לשנות או לבטל הכרעות חוב. בהתאם </w:t>
      </w:r>
      <w:r w:rsidR="00C513AA" w:rsidRPr="00D91973">
        <w:rPr>
          <w:rFonts w:ascii="Arial" w:hAnsi="Arial"/>
          <w:noProof w:val="0"/>
          <w:rtl/>
        </w:rPr>
        <w:t>לסעיף 150</w:t>
      </w:r>
      <w:r w:rsidRPr="00D91973">
        <w:rPr>
          <w:rFonts w:ascii="Arial" w:hAnsi="Arial" w:hint="cs"/>
          <w:noProof w:val="0"/>
          <w:rtl/>
        </w:rPr>
        <w:t xml:space="preserve"> ל</w:t>
      </w:r>
      <w:r w:rsidR="00D27030" w:rsidRPr="00D91973">
        <w:rPr>
          <w:rFonts w:ascii="Arial" w:hAnsi="Arial"/>
          <w:noProof w:val="0"/>
          <w:rtl/>
        </w:rPr>
        <w:t>פקודת פשיטת הרגל</w:t>
      </w:r>
      <w:r w:rsidRPr="00D91973">
        <w:rPr>
          <w:rFonts w:ascii="Arial" w:hAnsi="Arial" w:hint="cs"/>
          <w:noProof w:val="0"/>
          <w:rtl/>
        </w:rPr>
        <w:t xml:space="preserve">, על מנת לשנות החלטה של נאמן יש לפנות תחילה לבית המשפט אשר בסמכותו לבצע את השינוי. לעומת זאת, בהתאם </w:t>
      </w:r>
      <w:r w:rsidR="00C513AA" w:rsidRPr="00D91973">
        <w:rPr>
          <w:rFonts w:ascii="Arial" w:hAnsi="Arial"/>
          <w:noProof w:val="0"/>
          <w:rtl/>
        </w:rPr>
        <w:t>לתקנה 130</w:t>
      </w:r>
      <w:r w:rsidRPr="00D91973">
        <w:rPr>
          <w:rFonts w:ascii="Arial" w:hAnsi="Arial" w:hint="cs"/>
          <w:noProof w:val="0"/>
          <w:rtl/>
        </w:rPr>
        <w:t xml:space="preserve"> ל</w:t>
      </w:r>
      <w:r w:rsidR="00D27030" w:rsidRPr="00D91973">
        <w:rPr>
          <w:rFonts w:ascii="Arial" w:hAnsi="Arial"/>
          <w:noProof w:val="0"/>
          <w:rtl/>
        </w:rPr>
        <w:t>תקנות חדלות פירעון ושיקום כלכלי, תשע"ט-2019</w:t>
      </w:r>
      <w:r w:rsidRPr="00D91973">
        <w:rPr>
          <w:rFonts w:ascii="Arial" w:hAnsi="Arial" w:hint="cs"/>
          <w:noProof w:val="0"/>
          <w:rtl/>
        </w:rPr>
        <w:t xml:space="preserve"> (להלן: "</w:t>
      </w:r>
      <w:r w:rsidRPr="00D91973">
        <w:rPr>
          <w:rFonts w:ascii="Arial" w:hAnsi="Arial" w:hint="cs"/>
          <w:b/>
          <w:bCs/>
          <w:noProof w:val="0"/>
          <w:rtl/>
        </w:rPr>
        <w:t>תקנות חדלות פירעון</w:t>
      </w:r>
      <w:r w:rsidRPr="00D91973">
        <w:rPr>
          <w:rFonts w:ascii="Arial" w:hAnsi="Arial" w:hint="cs"/>
          <w:noProof w:val="0"/>
          <w:rtl/>
        </w:rPr>
        <w:t>"), נאמן רשאי לבטל הכרעת חוב שאושרה, או להפחית את סכומה, וזאת ללא כל פנייה מוקדמת לבית המשפט.</w:t>
      </w:r>
    </w:p>
    <w:p w14:paraId="4D683420" w14:textId="77777777" w:rsidR="00BA20F7" w:rsidRDefault="00BA20F7" w:rsidP="00BA20F7">
      <w:pPr>
        <w:pStyle w:val="1"/>
        <w:spacing w:line="360" w:lineRule="auto"/>
        <w:ind w:left="-57"/>
        <w:jc w:val="both"/>
        <w:rPr>
          <w:rFonts w:ascii="Arial" w:hAnsi="Arial"/>
          <w:noProof w:val="0"/>
        </w:rPr>
      </w:pPr>
    </w:p>
    <w:p w14:paraId="31A4947B" w14:textId="512802CD" w:rsidR="00BA20F7" w:rsidRPr="00960311"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במקרה דנן עסקינן בחברה שהצו לפירוקה ניתן בשנת 2018, לפני כניסת חוק חדלות </w:t>
      </w:r>
      <w:r w:rsidRPr="00D91973">
        <w:rPr>
          <w:rFonts w:ascii="Arial" w:hAnsi="Arial" w:hint="cs"/>
          <w:noProof w:val="0"/>
          <w:rtl/>
        </w:rPr>
        <w:t xml:space="preserve">פירעון ותקנותיו לתוקף, ועל כן, המערער טען כי בהתאם להוראות </w:t>
      </w:r>
      <w:r w:rsidR="00C513AA" w:rsidRPr="00D91973">
        <w:rPr>
          <w:rFonts w:ascii="Arial" w:hAnsi="Arial"/>
          <w:noProof w:val="0"/>
          <w:rtl/>
        </w:rPr>
        <w:t>סעיף 150</w:t>
      </w:r>
      <w:r w:rsidRPr="00D91973">
        <w:rPr>
          <w:rFonts w:ascii="Arial" w:hAnsi="Arial" w:hint="cs"/>
          <w:noProof w:val="0"/>
          <w:rtl/>
        </w:rPr>
        <w:t xml:space="preserve"> ל</w:t>
      </w:r>
      <w:r w:rsidR="00D27030" w:rsidRPr="00D91973">
        <w:rPr>
          <w:rFonts w:ascii="Arial" w:hAnsi="Arial"/>
          <w:noProof w:val="0"/>
          <w:rtl/>
        </w:rPr>
        <w:t>פקודת פשיטת הרגל</w:t>
      </w:r>
      <w:r w:rsidRPr="00D91973">
        <w:rPr>
          <w:rFonts w:ascii="Arial" w:hAnsi="Arial" w:hint="cs"/>
          <w:noProof w:val="0"/>
          <w:rtl/>
        </w:rPr>
        <w:t>, טעה המנהל המיוחד ופעל בחוסר סמכות כאשר תיקן את הכרעתו השנייה על בסיס פנייתו</w:t>
      </w:r>
      <w:r w:rsidRPr="00960311">
        <w:rPr>
          <w:rFonts w:ascii="Arial" w:hAnsi="Arial" w:hint="cs"/>
          <w:noProof w:val="0"/>
          <w:rtl/>
        </w:rPr>
        <w:t xml:space="preserve"> של המל"ל אליו, וזאת ללא פנייה מוקדמת לבית המשפט בנוגע לטעות שנפלה בהכרעה. </w:t>
      </w:r>
    </w:p>
    <w:p w14:paraId="11E0F8E5" w14:textId="77777777" w:rsidR="00BA20F7" w:rsidRPr="00A67B0B" w:rsidRDefault="00BA20F7" w:rsidP="00BA20F7">
      <w:pPr>
        <w:spacing w:line="360" w:lineRule="auto"/>
        <w:ind w:left="-57"/>
        <w:jc w:val="both"/>
        <w:rPr>
          <w:rFonts w:ascii="Arial" w:hAnsi="Arial"/>
          <w:noProof w:val="0"/>
        </w:rPr>
      </w:pPr>
    </w:p>
    <w:p w14:paraId="7EB9243B" w14:textId="77777777" w:rsidR="00BA20F7"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t>וכלשון הסעיף:</w:t>
      </w:r>
    </w:p>
    <w:p w14:paraId="1FAFF0BC" w14:textId="77777777" w:rsidR="00BA20F7" w:rsidRPr="00F27BE8" w:rsidRDefault="00BA20F7" w:rsidP="00BA20F7">
      <w:pPr>
        <w:spacing w:line="360" w:lineRule="auto"/>
        <w:jc w:val="both"/>
        <w:rPr>
          <w:rFonts w:ascii="Arial" w:hAnsi="Arial"/>
          <w:noProof w:val="0"/>
        </w:rPr>
      </w:pPr>
    </w:p>
    <w:p w14:paraId="3BB3152B" w14:textId="77777777" w:rsidR="00BA20F7" w:rsidRPr="005A6A22" w:rsidRDefault="00000000" w:rsidP="00BA20F7">
      <w:pPr>
        <w:pStyle w:val="1"/>
        <w:spacing w:line="360" w:lineRule="auto"/>
        <w:ind w:left="680" w:right="680"/>
        <w:jc w:val="both"/>
        <w:rPr>
          <w:rFonts w:ascii="Arial" w:hAnsi="Arial"/>
          <w:b/>
          <w:bCs/>
          <w:noProof w:val="0"/>
          <w:rtl/>
        </w:rPr>
      </w:pPr>
      <w:r w:rsidRPr="005A6A22">
        <w:rPr>
          <w:rFonts w:ascii="Arial" w:hAnsi="Arial" w:hint="cs"/>
          <w:b/>
          <w:bCs/>
          <w:noProof w:val="0"/>
          <w:rtl/>
        </w:rPr>
        <w:t>"</w:t>
      </w:r>
      <w:r w:rsidRPr="005A6A22">
        <w:rPr>
          <w:rFonts w:ascii="Arial" w:hAnsi="Arial"/>
          <w:b/>
          <w:bCs/>
          <w:noProof w:val="0"/>
          <w:rtl/>
        </w:rPr>
        <w:t>נפגע פושט הרגל, נושה או אדם אחר על ידי מעשה או החלטה של הנאמן, רשאי הוא לפנות לבית המשפט, ובית המשפט רשאי לאשר, לבטל או לשנות את המעשה או ההחלטה וליתן כל צו בענין כפי שיראה צודק</w:t>
      </w:r>
      <w:r w:rsidRPr="005A6A22">
        <w:rPr>
          <w:rFonts w:ascii="Arial" w:hAnsi="Arial" w:hint="cs"/>
          <w:b/>
          <w:bCs/>
          <w:noProof w:val="0"/>
          <w:rtl/>
        </w:rPr>
        <w:t>"</w:t>
      </w:r>
      <w:r w:rsidRPr="005A6A22">
        <w:rPr>
          <w:rFonts w:ascii="Arial" w:hAnsi="Arial"/>
          <w:b/>
          <w:bCs/>
          <w:noProof w:val="0"/>
          <w:rtl/>
        </w:rPr>
        <w:t>.</w:t>
      </w:r>
    </w:p>
    <w:p w14:paraId="603FE74A" w14:textId="77777777" w:rsidR="00BA20F7" w:rsidRPr="00A67B0B" w:rsidRDefault="00BA20F7" w:rsidP="00BA20F7">
      <w:pPr>
        <w:spacing w:line="360" w:lineRule="auto"/>
        <w:jc w:val="both"/>
        <w:rPr>
          <w:rFonts w:ascii="Arial" w:hAnsi="Arial"/>
          <w:noProof w:val="0"/>
        </w:rPr>
      </w:pPr>
    </w:p>
    <w:p w14:paraId="0E98E577" w14:textId="768B6343" w:rsidR="00BA20F7" w:rsidRPr="00D91973" w:rsidRDefault="00000000" w:rsidP="00BA20F7">
      <w:pPr>
        <w:pStyle w:val="1"/>
        <w:numPr>
          <w:ilvl w:val="0"/>
          <w:numId w:val="1"/>
        </w:numPr>
        <w:spacing w:line="360" w:lineRule="auto"/>
        <w:ind w:left="-57" w:firstLine="0"/>
        <w:jc w:val="both"/>
        <w:rPr>
          <w:rFonts w:ascii="Arial" w:hAnsi="Arial"/>
          <w:noProof w:val="0"/>
        </w:rPr>
      </w:pPr>
      <w:r>
        <w:rPr>
          <w:rFonts w:ascii="Arial" w:hAnsi="Arial" w:hint="cs"/>
          <w:noProof w:val="0"/>
          <w:rtl/>
        </w:rPr>
        <w:t>עוד הוסיף המערער כי המל"ל לא היה זכאי לפנות אל המנהל המיוחד כשנה לאחר שנתן את הכרעתו השנייה ולבקש לתקנה, שכן מועדי הערעור על הכרעת החוב במקרים אלו מוגבלים ל-</w:t>
      </w:r>
      <w:r w:rsidRPr="00D91973">
        <w:rPr>
          <w:rFonts w:ascii="Arial" w:hAnsi="Arial" w:hint="cs"/>
          <w:noProof w:val="0"/>
          <w:rtl/>
        </w:rPr>
        <w:t xml:space="preserve">45 יום ממתן ההחלטה, וזאת על בסיס </w:t>
      </w:r>
      <w:r w:rsidR="00C513AA" w:rsidRPr="00D91973">
        <w:rPr>
          <w:rFonts w:ascii="Arial" w:hAnsi="Arial"/>
          <w:noProof w:val="0"/>
          <w:rtl/>
        </w:rPr>
        <w:t>תקנה 96(א)</w:t>
      </w:r>
      <w:r w:rsidRPr="00D91973">
        <w:rPr>
          <w:rFonts w:ascii="Arial" w:hAnsi="Arial" w:hint="cs"/>
          <w:noProof w:val="0"/>
          <w:rtl/>
        </w:rPr>
        <w:t xml:space="preserve"> ל</w:t>
      </w:r>
      <w:r w:rsidR="00D27030" w:rsidRPr="00D91973">
        <w:rPr>
          <w:rFonts w:ascii="Arial" w:hAnsi="Arial"/>
          <w:noProof w:val="0"/>
          <w:rtl/>
        </w:rPr>
        <w:t>תקנות פשיטת הרגל</w:t>
      </w:r>
      <w:r w:rsidRPr="00D91973">
        <w:rPr>
          <w:rFonts w:ascii="Arial" w:hAnsi="Arial" w:hint="cs"/>
          <w:noProof w:val="0"/>
          <w:rtl/>
        </w:rPr>
        <w:t>, בה נקבע כך:</w:t>
      </w:r>
    </w:p>
    <w:p w14:paraId="1AA7C912" w14:textId="77777777" w:rsidR="00BA20F7" w:rsidRPr="005A6A22" w:rsidRDefault="00BA20F7" w:rsidP="00BA20F7">
      <w:pPr>
        <w:spacing w:line="360" w:lineRule="auto"/>
        <w:ind w:left="-57"/>
        <w:jc w:val="both"/>
        <w:rPr>
          <w:rFonts w:ascii="Arial" w:hAnsi="Arial"/>
          <w:b/>
          <w:bCs/>
          <w:noProof w:val="0"/>
        </w:rPr>
      </w:pPr>
    </w:p>
    <w:p w14:paraId="31D96BEA" w14:textId="77777777" w:rsidR="00BA20F7" w:rsidRPr="005A6A22" w:rsidRDefault="00000000" w:rsidP="00BA20F7">
      <w:pPr>
        <w:pStyle w:val="1"/>
        <w:spacing w:line="360" w:lineRule="auto"/>
        <w:ind w:left="680" w:right="680"/>
        <w:jc w:val="both"/>
        <w:rPr>
          <w:rFonts w:ascii="Arial" w:hAnsi="Arial"/>
          <w:b/>
          <w:bCs/>
          <w:noProof w:val="0"/>
        </w:rPr>
      </w:pPr>
      <w:r w:rsidRPr="005A6A22">
        <w:rPr>
          <w:rFonts w:ascii="Arial" w:hAnsi="Arial" w:hint="cs"/>
          <w:b/>
          <w:bCs/>
          <w:noProof w:val="0"/>
          <w:rtl/>
        </w:rPr>
        <w:t xml:space="preserve"> "</w:t>
      </w:r>
      <w:r w:rsidRPr="005A6A22">
        <w:rPr>
          <w:rFonts w:ascii="Arial" w:hAnsi="Arial"/>
          <w:b/>
          <w:bCs/>
          <w:noProof w:val="0"/>
          <w:rtl/>
        </w:rPr>
        <w:t>נושה רשאי לערער לבית המשפט על החלטת הנאמן בעני</w:t>
      </w:r>
      <w:r w:rsidRPr="005A6A22">
        <w:rPr>
          <w:rFonts w:ascii="Arial" w:hAnsi="Arial" w:hint="cs"/>
          <w:b/>
          <w:bCs/>
          <w:noProof w:val="0"/>
          <w:rtl/>
        </w:rPr>
        <w:t>י</w:t>
      </w:r>
      <w:r w:rsidRPr="005A6A22">
        <w:rPr>
          <w:rFonts w:ascii="Arial" w:hAnsi="Arial"/>
          <w:b/>
          <w:bCs/>
          <w:noProof w:val="0"/>
          <w:rtl/>
        </w:rPr>
        <w:t>ן תביעת החוב שהגיש; הערעור יוגש תוך ארבעים וחמישה ימים מהמצאת ההחלטה לנושה</w:t>
      </w:r>
      <w:r w:rsidRPr="005A6A22">
        <w:rPr>
          <w:rFonts w:ascii="Arial" w:hAnsi="Arial" w:hint="cs"/>
          <w:b/>
          <w:bCs/>
          <w:noProof w:val="0"/>
          <w:rtl/>
        </w:rPr>
        <w:t>".</w:t>
      </w:r>
    </w:p>
    <w:p w14:paraId="7D0DC892" w14:textId="77777777" w:rsidR="00BA20F7" w:rsidRPr="00960311" w:rsidRDefault="00BA20F7" w:rsidP="00BA20F7">
      <w:pPr>
        <w:spacing w:line="360" w:lineRule="auto"/>
        <w:jc w:val="both"/>
        <w:rPr>
          <w:rFonts w:ascii="Arial" w:hAnsi="Arial"/>
          <w:noProof w:val="0"/>
        </w:rPr>
      </w:pPr>
    </w:p>
    <w:p w14:paraId="14D47DB5" w14:textId="33D685E8" w:rsidR="00BA20F7" w:rsidRDefault="00000000" w:rsidP="00BA20F7">
      <w:pPr>
        <w:pStyle w:val="1"/>
        <w:numPr>
          <w:ilvl w:val="0"/>
          <w:numId w:val="1"/>
        </w:numPr>
        <w:spacing w:line="360" w:lineRule="auto"/>
        <w:ind w:left="-68" w:firstLine="0"/>
        <w:jc w:val="both"/>
        <w:rPr>
          <w:rFonts w:ascii="Arial" w:hAnsi="Arial"/>
          <w:noProof w:val="0"/>
        </w:rPr>
      </w:pPr>
      <w:r>
        <w:rPr>
          <w:rFonts w:ascii="Arial" w:hAnsi="Arial" w:hint="cs"/>
          <w:noProof w:val="0"/>
          <w:rtl/>
        </w:rPr>
        <w:t xml:space="preserve">על מנת לבחון טענה זו של המערער, יש להכריע תחילה בשאלה מהו החוק הרלוונטי </w:t>
      </w:r>
      <w:r w:rsidRPr="00D91973">
        <w:rPr>
          <w:rFonts w:ascii="Arial" w:hAnsi="Arial" w:hint="cs"/>
          <w:noProof w:val="0"/>
          <w:rtl/>
        </w:rPr>
        <w:t xml:space="preserve">לענייננו: </w:t>
      </w:r>
      <w:r w:rsidR="00D27030" w:rsidRPr="00D91973">
        <w:rPr>
          <w:rFonts w:ascii="Arial" w:hAnsi="Arial"/>
          <w:noProof w:val="0"/>
          <w:rtl/>
        </w:rPr>
        <w:t>פקודת פשיטת הרגל</w:t>
      </w:r>
      <w:r w:rsidRPr="00D91973">
        <w:rPr>
          <w:rFonts w:ascii="Arial" w:hAnsi="Arial" w:hint="cs"/>
          <w:noProof w:val="0"/>
          <w:rtl/>
        </w:rPr>
        <w:t xml:space="preserve">, אשר הייתה בתוקף כאשר הגיש המערער את תביעת החוב הראשונה, הקובעת </w:t>
      </w:r>
      <w:r w:rsidR="00C513AA" w:rsidRPr="00D91973">
        <w:rPr>
          <w:rFonts w:ascii="Arial" w:hAnsi="Arial"/>
          <w:noProof w:val="0"/>
          <w:rtl/>
        </w:rPr>
        <w:t>בסעיף 150</w:t>
      </w:r>
      <w:r w:rsidRPr="00D91973">
        <w:rPr>
          <w:rFonts w:ascii="Arial" w:hAnsi="Arial" w:hint="cs"/>
          <w:noProof w:val="0"/>
          <w:rtl/>
        </w:rPr>
        <w:t xml:space="preserve"> כי על מנת לשנות הכרעה של נאמן יש לפנות תחילה לבית המשפט אשר הינו בעל הסמכות לבצע את השינוי, או שמא יש לפעול בהתאם לחוק חדלות פירעון ותקנותיו, הקובעות </w:t>
      </w:r>
      <w:r w:rsidR="00C513AA" w:rsidRPr="00D91973">
        <w:rPr>
          <w:rFonts w:ascii="Arial" w:hAnsi="Arial"/>
          <w:noProof w:val="0"/>
          <w:rtl/>
        </w:rPr>
        <w:t>בסעיף 130</w:t>
      </w:r>
      <w:r w:rsidRPr="00D91973">
        <w:rPr>
          <w:rFonts w:ascii="Arial" w:hAnsi="Arial" w:hint="cs"/>
          <w:noProof w:val="0"/>
          <w:rtl/>
        </w:rPr>
        <w:t xml:space="preserve"> כי נאמן רשאי לבטל הכרעת חוב שאושרה, או להפחית את סכומה,</w:t>
      </w:r>
      <w:r>
        <w:rPr>
          <w:rFonts w:ascii="Arial" w:hAnsi="Arial" w:hint="cs"/>
          <w:noProof w:val="0"/>
          <w:rtl/>
        </w:rPr>
        <w:t xml:space="preserve"> וזאת ללא כל פנייה מוקדמת לבית המשפט.</w:t>
      </w:r>
    </w:p>
    <w:p w14:paraId="36E73530" w14:textId="77777777" w:rsidR="00BA20F7" w:rsidRPr="00C37F70" w:rsidRDefault="00BA20F7" w:rsidP="00BA20F7">
      <w:pPr>
        <w:pStyle w:val="1"/>
        <w:spacing w:line="360" w:lineRule="auto"/>
        <w:ind w:left="-57"/>
        <w:jc w:val="both"/>
        <w:rPr>
          <w:rFonts w:ascii="Arial" w:hAnsi="Arial"/>
          <w:noProof w:val="0"/>
        </w:rPr>
      </w:pPr>
    </w:p>
    <w:p w14:paraId="5EF04143" w14:textId="59E49BC7" w:rsidR="00BA20F7" w:rsidRDefault="00C513AA" w:rsidP="00BA20F7">
      <w:pPr>
        <w:pStyle w:val="1"/>
        <w:numPr>
          <w:ilvl w:val="0"/>
          <w:numId w:val="1"/>
        </w:numPr>
        <w:spacing w:line="360" w:lineRule="auto"/>
        <w:ind w:left="-68" w:firstLine="0"/>
        <w:jc w:val="both"/>
        <w:rPr>
          <w:rFonts w:ascii="Arial" w:hAnsi="Arial"/>
          <w:noProof w:val="0"/>
        </w:rPr>
      </w:pPr>
      <w:r w:rsidRPr="00D91973">
        <w:rPr>
          <w:rFonts w:ascii="Arial" w:hAnsi="Arial"/>
          <w:noProof w:val="0"/>
          <w:rtl/>
        </w:rPr>
        <w:t>תקנה 130</w:t>
      </w:r>
      <w:r w:rsidR="00000000" w:rsidRPr="00D91973">
        <w:rPr>
          <w:rFonts w:ascii="Arial" w:hAnsi="Arial" w:hint="cs"/>
          <w:noProof w:val="0"/>
          <w:rtl/>
        </w:rPr>
        <w:t xml:space="preserve"> לתקנות</w:t>
      </w:r>
      <w:r w:rsidR="00000000">
        <w:rPr>
          <w:rFonts w:ascii="Arial" w:hAnsi="Arial" w:hint="cs"/>
          <w:noProof w:val="0"/>
          <w:rtl/>
        </w:rPr>
        <w:t xml:space="preserve"> חדלות פירעון קובעת כך: </w:t>
      </w:r>
    </w:p>
    <w:p w14:paraId="4204847A" w14:textId="77777777" w:rsidR="00BA20F7" w:rsidRPr="00AB60C1" w:rsidRDefault="00BA20F7" w:rsidP="00BA20F7">
      <w:pPr>
        <w:pStyle w:val="1"/>
        <w:rPr>
          <w:rFonts w:ascii="Arial" w:hAnsi="Arial"/>
          <w:noProof w:val="0"/>
          <w:rtl/>
        </w:rPr>
      </w:pPr>
    </w:p>
    <w:p w14:paraId="425B0DB1" w14:textId="77777777" w:rsidR="00BA20F7" w:rsidRPr="005A6A22" w:rsidRDefault="00000000" w:rsidP="00BA20F7">
      <w:pPr>
        <w:pStyle w:val="1"/>
        <w:numPr>
          <w:ilvl w:val="0"/>
          <w:numId w:val="2"/>
        </w:numPr>
        <w:spacing w:line="360" w:lineRule="auto"/>
        <w:ind w:right="680"/>
        <w:jc w:val="both"/>
        <w:rPr>
          <w:rFonts w:ascii="Arial" w:hAnsi="Arial"/>
          <w:b/>
          <w:bCs/>
          <w:noProof w:val="0"/>
        </w:rPr>
      </w:pPr>
      <w:r w:rsidRPr="005A6A22">
        <w:rPr>
          <w:rFonts w:ascii="Arial" w:hAnsi="Arial" w:hint="cs"/>
          <w:b/>
          <w:bCs/>
          <w:noProof w:val="0"/>
          <w:rtl/>
        </w:rPr>
        <w:t>"</w:t>
      </w:r>
      <w:r w:rsidRPr="005A6A22">
        <w:rPr>
          <w:rFonts w:ascii="Arial" w:hAnsi="Arial"/>
          <w:b/>
          <w:bCs/>
          <w:noProof w:val="0"/>
          <w:rtl/>
        </w:rPr>
        <w:t>נאמן רשאי, מיוזמתו או לבקשת מי שנפגע מהכרעתו בתביעת חוב, לבטל תביעת חוב שאושרה או להפחית את סכומה, אם נפלה בה טעות או התגלו עובדות חדשות המצדיקות זאת</w:t>
      </w:r>
      <w:r w:rsidRPr="005A6A22">
        <w:rPr>
          <w:rFonts w:ascii="Arial" w:hAnsi="Arial" w:hint="cs"/>
          <w:b/>
          <w:bCs/>
          <w:noProof w:val="0"/>
          <w:rtl/>
        </w:rPr>
        <w:t>"</w:t>
      </w:r>
      <w:r w:rsidRPr="005A6A22">
        <w:rPr>
          <w:rFonts w:ascii="Arial" w:hAnsi="Arial"/>
          <w:b/>
          <w:bCs/>
          <w:noProof w:val="0"/>
          <w:rtl/>
        </w:rPr>
        <w:t>.</w:t>
      </w:r>
    </w:p>
    <w:p w14:paraId="3A29232E" w14:textId="77777777" w:rsidR="00BA20F7" w:rsidRDefault="00BA20F7" w:rsidP="00BA20F7">
      <w:pPr>
        <w:pStyle w:val="1"/>
        <w:spacing w:line="360" w:lineRule="auto"/>
        <w:ind w:left="1100" w:right="680"/>
        <w:jc w:val="both"/>
        <w:rPr>
          <w:rFonts w:ascii="Arial" w:hAnsi="Arial"/>
          <w:noProof w:val="0"/>
          <w:rtl/>
        </w:rPr>
      </w:pPr>
    </w:p>
    <w:p w14:paraId="57377A6B" w14:textId="10C3E717" w:rsidR="00BA20F7" w:rsidRPr="00D91973" w:rsidRDefault="00000000" w:rsidP="00BA20F7">
      <w:pPr>
        <w:pStyle w:val="1"/>
        <w:numPr>
          <w:ilvl w:val="0"/>
          <w:numId w:val="1"/>
        </w:numPr>
        <w:spacing w:line="360" w:lineRule="auto"/>
        <w:ind w:left="-57" w:hanging="9"/>
        <w:jc w:val="both"/>
        <w:rPr>
          <w:rFonts w:ascii="Arial" w:hAnsi="Arial"/>
          <w:noProof w:val="0"/>
        </w:rPr>
      </w:pPr>
      <w:r>
        <w:rPr>
          <w:rFonts w:ascii="Arial" w:hAnsi="Arial"/>
          <w:noProof w:val="0"/>
          <w:rtl/>
        </w:rPr>
        <w:t xml:space="preserve">הלכה </w:t>
      </w:r>
      <w:r w:rsidRPr="00D32111">
        <w:rPr>
          <w:rFonts w:ascii="Arial" w:hAnsi="Arial"/>
          <w:noProof w:val="0"/>
          <w:rtl/>
        </w:rPr>
        <w:t>מקובלת היא שחו</w:t>
      </w:r>
      <w:r>
        <w:rPr>
          <w:rFonts w:ascii="Arial" w:hAnsi="Arial"/>
          <w:noProof w:val="0"/>
          <w:rtl/>
        </w:rPr>
        <w:t>קים ותקנות פרוצדורליים</w:t>
      </w:r>
      <w:r w:rsidRPr="00D32111">
        <w:rPr>
          <w:rFonts w:ascii="Arial" w:hAnsi="Arial"/>
          <w:noProof w:val="0"/>
          <w:rtl/>
        </w:rPr>
        <w:t xml:space="preserve"> נכנסים לתוקף באופן מיידי וחל</w:t>
      </w:r>
      <w:r>
        <w:rPr>
          <w:rFonts w:ascii="Arial" w:hAnsi="Arial" w:hint="cs"/>
          <w:noProof w:val="0"/>
          <w:rtl/>
        </w:rPr>
        <w:t>ים</w:t>
      </w:r>
      <w:r w:rsidRPr="00D32111">
        <w:rPr>
          <w:rFonts w:ascii="Arial" w:hAnsi="Arial"/>
          <w:noProof w:val="0"/>
          <w:rtl/>
        </w:rPr>
        <w:t xml:space="preserve"> על הליכים תלויים ועומדים. זאת, בניגוד לדינים מהותיים שחלים בדרך כלל</w:t>
      </w:r>
      <w:r>
        <w:rPr>
          <w:rFonts w:ascii="Arial" w:hAnsi="Arial"/>
          <w:noProof w:val="0"/>
          <w:rtl/>
        </w:rPr>
        <w:t xml:space="preserve"> באופן פרוספקטי</w:t>
      </w:r>
      <w:r>
        <w:rPr>
          <w:rFonts w:ascii="Arial" w:hAnsi="Arial" w:hint="cs"/>
          <w:noProof w:val="0"/>
          <w:rtl/>
        </w:rPr>
        <w:t xml:space="preserve">בי. </w:t>
      </w:r>
      <w:r w:rsidRPr="00D32111">
        <w:rPr>
          <w:rFonts w:ascii="Arial" w:hAnsi="Arial"/>
          <w:noProof w:val="0"/>
          <w:rtl/>
        </w:rPr>
        <w:t>הטעם לכך הוא</w:t>
      </w:r>
      <w:r>
        <w:rPr>
          <w:rFonts w:ascii="Arial" w:hAnsi="Arial" w:hint="cs"/>
          <w:noProof w:val="0"/>
          <w:rtl/>
        </w:rPr>
        <w:t xml:space="preserve"> כי "הפרוצדורה אינה עניינו האישי של המתדיין, היא, כביכול, עניינו וקניינו של </w:t>
      </w:r>
      <w:r w:rsidRPr="00D91973">
        <w:rPr>
          <w:rFonts w:ascii="Arial" w:hAnsi="Arial" w:hint="cs"/>
          <w:noProof w:val="0"/>
          <w:rtl/>
        </w:rPr>
        <w:t>בית המשפט" (</w:t>
      </w:r>
      <w:r w:rsidR="00D27030" w:rsidRPr="00D91973">
        <w:rPr>
          <w:rFonts w:ascii="Arial" w:hAnsi="Arial"/>
          <w:noProof w:val="0"/>
          <w:rtl/>
        </w:rPr>
        <w:t>ע"א 1013/15</w:t>
      </w:r>
      <w:r w:rsidRPr="00D91973">
        <w:rPr>
          <w:rFonts w:ascii="Arial" w:hAnsi="Arial"/>
          <w:noProof w:val="0"/>
          <w:rtl/>
        </w:rPr>
        <w:t xml:space="preserve"> </w:t>
      </w:r>
      <w:r w:rsidRPr="00D91973">
        <w:rPr>
          <w:rFonts w:ascii="Arial" w:hAnsi="Arial"/>
          <w:b/>
          <w:bCs/>
          <w:noProof w:val="0"/>
          <w:rtl/>
        </w:rPr>
        <w:t>מדינת ישראל משרד הפנים נ' רחמים מלול</w:t>
      </w:r>
      <w:r w:rsidRPr="00D91973">
        <w:rPr>
          <w:rFonts w:ascii="Arial" w:hAnsi="Arial"/>
          <w:noProof w:val="0"/>
          <w:rtl/>
        </w:rPr>
        <w:t xml:space="preserve"> (1.11.2016)</w:t>
      </w:r>
      <w:r w:rsidRPr="00D91973">
        <w:rPr>
          <w:rFonts w:ascii="Arial" w:hAnsi="Arial" w:hint="cs"/>
          <w:noProof w:val="0"/>
          <w:rtl/>
        </w:rPr>
        <w:t>, פסקה 11).</w:t>
      </w:r>
      <w:r w:rsidRPr="00D91973">
        <w:rPr>
          <w:rFonts w:ascii="Arial" w:hAnsi="Arial"/>
          <w:noProof w:val="0"/>
          <w:rtl/>
        </w:rPr>
        <w:t xml:space="preserve"> </w:t>
      </w:r>
    </w:p>
    <w:p w14:paraId="06604B7E" w14:textId="77777777" w:rsidR="00BA20F7" w:rsidRPr="00D91973" w:rsidRDefault="00BA20F7" w:rsidP="00BA20F7">
      <w:pPr>
        <w:pStyle w:val="1"/>
        <w:spacing w:line="360" w:lineRule="auto"/>
        <w:ind w:left="-57"/>
        <w:jc w:val="both"/>
        <w:rPr>
          <w:rFonts w:ascii="Arial" w:hAnsi="Arial"/>
          <w:noProof w:val="0"/>
        </w:rPr>
      </w:pPr>
    </w:p>
    <w:p w14:paraId="373CD47A" w14:textId="2DD22490" w:rsidR="00BA20F7" w:rsidRDefault="00000000" w:rsidP="00BA20F7">
      <w:pPr>
        <w:pStyle w:val="1"/>
        <w:numPr>
          <w:ilvl w:val="0"/>
          <w:numId w:val="1"/>
        </w:numPr>
        <w:spacing w:line="360" w:lineRule="auto"/>
        <w:ind w:left="-59" w:hanging="9"/>
        <w:jc w:val="both"/>
        <w:rPr>
          <w:rFonts w:ascii="Arial" w:hAnsi="Arial"/>
          <w:noProof w:val="0"/>
        </w:rPr>
      </w:pPr>
      <w:r w:rsidRPr="00D91973">
        <w:rPr>
          <w:rFonts w:ascii="Arial" w:hAnsi="Arial" w:hint="cs"/>
          <w:noProof w:val="0"/>
          <w:rtl/>
        </w:rPr>
        <w:t>הדרך להבחין בין הוראת דין מהותית לבין הוראת דין פרוצדורלית, נידונה בבית המשפט העליון ב</w:t>
      </w:r>
      <w:r w:rsidR="00D27030" w:rsidRPr="00D91973">
        <w:rPr>
          <w:rFonts w:ascii="Arial" w:hAnsi="Arial"/>
          <w:noProof w:val="0"/>
          <w:rtl/>
        </w:rPr>
        <w:t>עע"מ 7665/20</w:t>
      </w:r>
      <w:r w:rsidRPr="00D91973">
        <w:rPr>
          <w:rFonts w:ascii="Arial" w:hAnsi="Arial"/>
          <w:noProof w:val="0"/>
          <w:rtl/>
        </w:rPr>
        <w:t xml:space="preserve"> </w:t>
      </w:r>
      <w:r w:rsidRPr="00D91973">
        <w:rPr>
          <w:rFonts w:ascii="Arial" w:hAnsi="Arial"/>
          <w:b/>
          <w:bCs/>
          <w:noProof w:val="0"/>
          <w:rtl/>
        </w:rPr>
        <w:t>יוניהד ביופארק בע"מ נ' הרשות להשקעות ולפיתוח התעשייה והכלכלה</w:t>
      </w:r>
      <w:r w:rsidRPr="009A21AB">
        <w:rPr>
          <w:rFonts w:ascii="Arial" w:hAnsi="Arial"/>
          <w:b/>
          <w:bCs/>
          <w:noProof w:val="0"/>
          <w:rtl/>
        </w:rPr>
        <w:t xml:space="preserve"> - משרד הכלכלה</w:t>
      </w:r>
      <w:r w:rsidRPr="009A21AB">
        <w:rPr>
          <w:rFonts w:ascii="Arial" w:hAnsi="Arial"/>
          <w:noProof w:val="0"/>
          <w:rtl/>
        </w:rPr>
        <w:t xml:space="preserve"> (23.11.2023)</w:t>
      </w:r>
      <w:r>
        <w:rPr>
          <w:rFonts w:ascii="Arial" w:hAnsi="Arial" w:hint="cs"/>
          <w:noProof w:val="0"/>
          <w:rtl/>
        </w:rPr>
        <w:t>:</w:t>
      </w:r>
    </w:p>
    <w:p w14:paraId="33B00C89" w14:textId="77777777" w:rsidR="00BA20F7" w:rsidRPr="009A21AB" w:rsidRDefault="00BA20F7" w:rsidP="00BA20F7">
      <w:pPr>
        <w:pStyle w:val="1"/>
        <w:rPr>
          <w:rFonts w:ascii="Arial" w:hAnsi="Arial"/>
          <w:noProof w:val="0"/>
          <w:rtl/>
        </w:rPr>
      </w:pPr>
    </w:p>
    <w:p w14:paraId="03DDB0CD" w14:textId="0A9B04F3" w:rsidR="00BA20F7" w:rsidRDefault="00000000" w:rsidP="00BA20F7">
      <w:pPr>
        <w:pStyle w:val="1"/>
        <w:spacing w:line="360" w:lineRule="auto"/>
        <w:ind w:left="680" w:right="680"/>
        <w:jc w:val="both"/>
        <w:rPr>
          <w:rFonts w:ascii="Arial" w:hAnsi="Arial"/>
          <w:b/>
          <w:bCs/>
          <w:noProof w:val="0"/>
          <w:rtl/>
        </w:rPr>
      </w:pPr>
      <w:r w:rsidRPr="009A21AB">
        <w:rPr>
          <w:rFonts w:ascii="Arial" w:hAnsi="Arial" w:hint="cs"/>
          <w:b/>
          <w:bCs/>
          <w:noProof w:val="0"/>
          <w:rtl/>
        </w:rPr>
        <w:t>"</w:t>
      </w:r>
      <w:r w:rsidRPr="009A21AB">
        <w:rPr>
          <w:rFonts w:ascii="Arial" w:hAnsi="Arial"/>
          <w:b/>
          <w:bCs/>
          <w:noProof w:val="0"/>
          <w:rtl/>
        </w:rPr>
        <w:t xml:space="preserve">השאלה כיצד יש להבחין בין הוראת דין מהותי להוראה דיונית עשויה להיות מורכבת. ככלל, הדין המהותי הוא </w:t>
      </w:r>
      <w:r w:rsidRPr="009A21AB">
        <w:rPr>
          <w:rFonts w:ascii="Arial" w:hAnsi="Arial"/>
          <w:b/>
          <w:bCs/>
          <w:noProof w:val="0"/>
          <w:u w:val="single"/>
          <w:rtl/>
        </w:rPr>
        <w:t>הזכויות והחבויות החלות על הפרטים</w:t>
      </w:r>
      <w:r w:rsidRPr="009A21AB">
        <w:rPr>
          <w:rFonts w:ascii="Arial" w:hAnsi="Arial"/>
          <w:b/>
          <w:bCs/>
          <w:noProof w:val="0"/>
          <w:rtl/>
        </w:rPr>
        <w:t xml:space="preserve">; בעוד הדין הדיוני הוא </w:t>
      </w:r>
      <w:r w:rsidRPr="009A21AB">
        <w:rPr>
          <w:rFonts w:ascii="Arial" w:hAnsi="Arial"/>
          <w:b/>
          <w:bCs/>
          <w:noProof w:val="0"/>
          <w:u w:val="single"/>
          <w:rtl/>
        </w:rPr>
        <w:t xml:space="preserve">מערכת הכללים שחלה על ההתדיינות ביחס לזכויות וחבויות </w:t>
      </w:r>
      <w:r w:rsidRPr="00D91973">
        <w:rPr>
          <w:rFonts w:ascii="Arial" w:hAnsi="Arial"/>
          <w:b/>
          <w:bCs/>
          <w:noProof w:val="0"/>
          <w:rtl/>
        </w:rPr>
        <w:t xml:space="preserve">אלה (איסי </w:t>
      </w:r>
      <w:r w:rsidR="00D27030" w:rsidRPr="00D91973">
        <w:rPr>
          <w:rFonts w:ascii="Arial" w:hAnsi="Arial"/>
          <w:b/>
          <w:bCs/>
          <w:noProof w:val="0"/>
          <w:rtl/>
        </w:rPr>
        <w:t xml:space="preserve">רוזן-צבי "פרוצדורה ומהות: חשיבה מחודשת </w:t>
      </w:r>
      <w:r w:rsidRPr="00D91973">
        <w:rPr>
          <w:rFonts w:ascii="Arial" w:hAnsi="Arial"/>
          <w:b/>
          <w:bCs/>
          <w:noProof w:val="0"/>
          <w:rtl/>
        </w:rPr>
        <w:t xml:space="preserve"> על קטגוריות ישנות"</w:t>
      </w:r>
      <w:r w:rsidRPr="009A21AB">
        <w:rPr>
          <w:rFonts w:ascii="Arial" w:hAnsi="Arial"/>
          <w:b/>
          <w:bCs/>
          <w:noProof w:val="0"/>
          <w:rtl/>
        </w:rPr>
        <w:t xml:space="preserve"> משפט, חברה ותרבות 45, 49 (2014)). אולם, כפי שציינתי בעבר, בפועל הפרוצדורה והמהות שלובות זו בזו, וההבחנה ביניהם אינה תמיד חד משמעית. גם לפרוצדורה, הנקבעת בהתאם למדיניות שיפוטית ומבוססת על תכליות וערכים שהמחוקק שואף לקדם – יש לא אחת השפעות מרחיקות לכת על הזכויות המהותיות</w:t>
      </w:r>
      <w:r w:rsidRPr="009A21AB">
        <w:rPr>
          <w:rFonts w:ascii="Arial" w:hAnsi="Arial" w:hint="cs"/>
          <w:b/>
          <w:bCs/>
          <w:noProof w:val="0"/>
          <w:rtl/>
        </w:rPr>
        <w:t>"</w:t>
      </w:r>
      <w:r>
        <w:rPr>
          <w:rFonts w:ascii="Arial" w:hAnsi="Arial" w:hint="cs"/>
          <w:b/>
          <w:bCs/>
          <w:noProof w:val="0"/>
          <w:rtl/>
        </w:rPr>
        <w:t xml:space="preserve"> </w:t>
      </w:r>
      <w:r w:rsidRPr="00FF090D">
        <w:rPr>
          <w:rFonts w:ascii="Arial" w:hAnsi="Arial" w:hint="cs"/>
          <w:noProof w:val="0"/>
          <w:rtl/>
        </w:rPr>
        <w:t>(</w:t>
      </w:r>
      <w:r>
        <w:rPr>
          <w:rFonts w:ascii="Arial" w:hAnsi="Arial" w:hint="cs"/>
          <w:noProof w:val="0"/>
          <w:rtl/>
        </w:rPr>
        <w:t>פסקה 9 לפסק דינה של כב' השופטת ר' רונן)</w:t>
      </w:r>
      <w:r w:rsidRPr="007320B3">
        <w:rPr>
          <w:rFonts w:ascii="Arial" w:hAnsi="Arial" w:hint="cs"/>
          <w:noProof w:val="0"/>
          <w:rtl/>
        </w:rPr>
        <w:t>.</w:t>
      </w:r>
    </w:p>
    <w:p w14:paraId="6AD45175" w14:textId="77777777" w:rsidR="00BA20F7" w:rsidRDefault="00BA20F7" w:rsidP="00BA20F7">
      <w:pPr>
        <w:pStyle w:val="1"/>
        <w:spacing w:line="360" w:lineRule="auto"/>
        <w:ind w:left="680" w:right="680"/>
        <w:jc w:val="both"/>
        <w:rPr>
          <w:rFonts w:ascii="Arial" w:hAnsi="Arial"/>
          <w:b/>
          <w:bCs/>
          <w:noProof w:val="0"/>
          <w:rtl/>
        </w:rPr>
      </w:pPr>
    </w:p>
    <w:p w14:paraId="6E45DD0D" w14:textId="13D2B702" w:rsidR="00BA20F7" w:rsidRDefault="00000000" w:rsidP="00BA20F7">
      <w:pPr>
        <w:pStyle w:val="1"/>
        <w:numPr>
          <w:ilvl w:val="0"/>
          <w:numId w:val="1"/>
        </w:numPr>
        <w:spacing w:line="360" w:lineRule="auto"/>
        <w:ind w:left="-57" w:hanging="9"/>
        <w:jc w:val="both"/>
        <w:rPr>
          <w:rFonts w:ascii="Arial" w:hAnsi="Arial"/>
          <w:noProof w:val="0"/>
        </w:rPr>
      </w:pPr>
      <w:r w:rsidRPr="00D91973">
        <w:rPr>
          <w:rFonts w:ascii="Arial" w:hAnsi="Arial" w:hint="cs"/>
          <w:noProof w:val="0"/>
          <w:rtl/>
        </w:rPr>
        <w:t>ועוד, ב</w:t>
      </w:r>
      <w:r w:rsidR="00D27030" w:rsidRPr="00D91973">
        <w:rPr>
          <w:rFonts w:ascii="Arial" w:hAnsi="Arial"/>
          <w:noProof w:val="0"/>
          <w:rtl/>
        </w:rPr>
        <w:t>ת"א (מחוזי נצ') 41274-12-09</w:t>
      </w:r>
      <w:r w:rsidRPr="00D91973">
        <w:rPr>
          <w:rFonts w:ascii="Arial" w:hAnsi="Arial"/>
          <w:noProof w:val="0"/>
          <w:rtl/>
        </w:rPr>
        <w:t xml:space="preserve"> </w:t>
      </w:r>
      <w:r w:rsidRPr="00D91973">
        <w:rPr>
          <w:rFonts w:ascii="Arial" w:hAnsi="Arial"/>
          <w:b/>
          <w:bCs/>
          <w:noProof w:val="0"/>
          <w:rtl/>
        </w:rPr>
        <w:t>סאבר</w:t>
      </w:r>
      <w:r w:rsidRPr="00B65DDA">
        <w:rPr>
          <w:rFonts w:ascii="Arial" w:hAnsi="Arial"/>
          <w:b/>
          <w:bCs/>
          <w:noProof w:val="0"/>
          <w:rtl/>
        </w:rPr>
        <w:t xml:space="preserve"> מחייסן נ' פתחי אלטיף</w:t>
      </w:r>
      <w:r w:rsidRPr="00B65DDA">
        <w:rPr>
          <w:rFonts w:ascii="Arial" w:hAnsi="Arial"/>
          <w:noProof w:val="0"/>
          <w:rtl/>
        </w:rPr>
        <w:t xml:space="preserve"> (31.10.2010)</w:t>
      </w:r>
      <w:r w:rsidRPr="00B65DDA">
        <w:rPr>
          <w:rFonts w:ascii="Arial" w:hAnsi="Arial" w:hint="cs"/>
          <w:noProof w:val="0"/>
          <w:rtl/>
        </w:rPr>
        <w:t xml:space="preserve">, </w:t>
      </w:r>
      <w:r>
        <w:rPr>
          <w:rFonts w:ascii="Arial" w:hAnsi="Arial" w:hint="cs"/>
          <w:noProof w:val="0"/>
          <w:rtl/>
        </w:rPr>
        <w:t>נקבע כך:</w:t>
      </w:r>
    </w:p>
    <w:p w14:paraId="093E3D21" w14:textId="77777777" w:rsidR="00BA20F7" w:rsidRPr="00B65DDA" w:rsidRDefault="00BA20F7" w:rsidP="00BA20F7">
      <w:pPr>
        <w:pStyle w:val="1"/>
        <w:spacing w:line="360" w:lineRule="auto"/>
        <w:ind w:left="-57"/>
        <w:jc w:val="both"/>
        <w:rPr>
          <w:rFonts w:ascii="Arial" w:hAnsi="Arial"/>
          <w:noProof w:val="0"/>
        </w:rPr>
      </w:pPr>
    </w:p>
    <w:p w14:paraId="33BBC2C7" w14:textId="0A59C909" w:rsidR="00BA20F7" w:rsidRPr="00D91973" w:rsidRDefault="00000000" w:rsidP="00BA20F7">
      <w:pPr>
        <w:pStyle w:val="1"/>
        <w:spacing w:line="360" w:lineRule="auto"/>
        <w:ind w:left="680" w:right="680"/>
        <w:rPr>
          <w:rFonts w:ascii="Arial" w:hAnsi="Arial"/>
          <w:b/>
          <w:bCs/>
          <w:noProof w:val="0"/>
          <w:rtl/>
        </w:rPr>
      </w:pPr>
      <w:r>
        <w:rPr>
          <w:rFonts w:ascii="Arial" w:hAnsi="Arial" w:hint="cs"/>
          <w:b/>
          <w:bCs/>
          <w:noProof w:val="0"/>
          <w:rtl/>
        </w:rPr>
        <w:t>"</w:t>
      </w:r>
      <w:r w:rsidRPr="00B65DDA">
        <w:rPr>
          <w:rFonts w:ascii="Arial" w:hAnsi="Arial"/>
          <w:b/>
          <w:bCs/>
          <w:noProof w:val="0"/>
          <w:rtl/>
        </w:rPr>
        <w:t xml:space="preserve">על פי הפסיקה נתקבלה אבחנה לפיה </w:t>
      </w:r>
      <w:r w:rsidRPr="00B65DDA">
        <w:rPr>
          <w:rFonts w:ascii="Arial" w:hAnsi="Arial"/>
          <w:b/>
          <w:bCs/>
          <w:noProof w:val="0"/>
          <w:u w:val="single"/>
          <w:rtl/>
        </w:rPr>
        <w:t>הוראה מהותית עוסקת בשאלה "מה מגיע?" בעוד שהוראה פרוצדוראלית עוסקת בשאלה "כיצד מגיע?</w:t>
      </w:r>
      <w:r w:rsidRPr="00B65DDA">
        <w:rPr>
          <w:rFonts w:ascii="Arial" w:hAnsi="Arial"/>
          <w:b/>
          <w:bCs/>
          <w:noProof w:val="0"/>
          <w:rtl/>
        </w:rPr>
        <w:t xml:space="preserve">". אולם </w:t>
      </w:r>
      <w:r w:rsidRPr="00D91973">
        <w:rPr>
          <w:rFonts w:ascii="Arial" w:hAnsi="Arial"/>
          <w:b/>
          <w:bCs/>
          <w:noProof w:val="0"/>
          <w:rtl/>
        </w:rPr>
        <w:t xml:space="preserve">אבחנה זו אינה חזות הכל. עמדה על כך השופטת בן </w:t>
      </w:r>
      <w:r w:rsidR="00D27030" w:rsidRPr="00D91973">
        <w:rPr>
          <w:rFonts w:ascii="Arial" w:hAnsi="Arial"/>
          <w:b/>
          <w:bCs/>
          <w:noProof w:val="0"/>
          <w:rtl/>
        </w:rPr>
        <w:t xml:space="preserve">פורת במאמרה "מבחנים לסיווג הוראה בדין </w:t>
      </w:r>
      <w:r w:rsidRPr="00D91973">
        <w:rPr>
          <w:rFonts w:ascii="Arial" w:hAnsi="Arial"/>
          <w:b/>
          <w:bCs/>
          <w:noProof w:val="0"/>
          <w:rtl/>
        </w:rPr>
        <w:t xml:space="preserve"> כמהותית או דיונית" הפרקליט לח (תשמ"ח-מ"ט) </w:t>
      </w:r>
    </w:p>
    <w:p w14:paraId="452C1114" w14:textId="77777777" w:rsidR="00BA20F7" w:rsidRPr="00B65DDA" w:rsidRDefault="00000000" w:rsidP="00BA20F7">
      <w:pPr>
        <w:pStyle w:val="1"/>
        <w:spacing w:line="360" w:lineRule="auto"/>
        <w:ind w:left="680" w:right="680"/>
        <w:rPr>
          <w:rFonts w:ascii="Arial" w:hAnsi="Arial"/>
          <w:b/>
          <w:bCs/>
          <w:noProof w:val="0"/>
        </w:rPr>
      </w:pPr>
      <w:r w:rsidRPr="00B65DDA">
        <w:rPr>
          <w:rFonts w:ascii="Arial" w:hAnsi="Arial"/>
          <w:b/>
          <w:bCs/>
          <w:noProof w:val="0"/>
          <w:rtl/>
        </w:rPr>
        <w:t>.5</w:t>
      </w:r>
      <w:r>
        <w:rPr>
          <w:rFonts w:ascii="Arial" w:hAnsi="Arial" w:hint="cs"/>
          <w:b/>
          <w:bCs/>
          <w:noProof w:val="0"/>
          <w:rtl/>
        </w:rPr>
        <w:t xml:space="preserve"> </w:t>
      </w:r>
      <w:r w:rsidRPr="00B65DDA">
        <w:rPr>
          <w:rFonts w:ascii="Arial" w:hAnsi="Arial"/>
          <w:b/>
          <w:bCs/>
          <w:noProof w:val="0"/>
          <w:rtl/>
        </w:rPr>
        <w:t>באומרה (עמ' 17):</w:t>
      </w:r>
      <w:r>
        <w:rPr>
          <w:rFonts w:ascii="Arial" w:hAnsi="Arial" w:hint="cs"/>
          <w:b/>
          <w:bCs/>
          <w:noProof w:val="0"/>
          <w:rtl/>
        </w:rPr>
        <w:t xml:space="preserve"> </w:t>
      </w:r>
      <w:r w:rsidRPr="00B65DDA">
        <w:rPr>
          <w:rFonts w:ascii="Arial" w:hAnsi="Arial"/>
          <w:b/>
          <w:bCs/>
          <w:noProof w:val="0"/>
          <w:rtl/>
        </w:rPr>
        <w:t xml:space="preserve">"הנה כי כן, שאלת הסיווג במקרה קונקרטי מובילה, לא אחת, לשיקולים החוצים זה את זה שתי וערב ומחייבים יישום זהיר. השאלה אם מדובר ב'מה' או 'כיצד' הוא להשיג את ה'מה' אמנם מקלה על המלאכה, אך רחוקה מלהוות קריטריון בטוח. הדין באמירה כי </w:t>
      </w:r>
      <w:r w:rsidRPr="00B65DDA">
        <w:rPr>
          <w:rFonts w:ascii="Arial" w:hAnsi="Arial"/>
          <w:b/>
          <w:bCs/>
          <w:noProof w:val="0"/>
          <w:u w:val="single"/>
          <w:rtl/>
        </w:rPr>
        <w:t>להוראה המהותית קיום עצמאי ללא קשר להליך שיפוטי ואילו להוראה הדיונית קיום וערך רק לשם מימוש הזכות המהותית</w:t>
      </w:r>
      <w:r w:rsidRPr="00B65DDA">
        <w:rPr>
          <w:rFonts w:ascii="Arial" w:hAnsi="Arial"/>
          <w:b/>
          <w:bCs/>
          <w:noProof w:val="0"/>
          <w:rtl/>
        </w:rPr>
        <w:t xml:space="preserve">. ראינו שגם מאפיין זה לא תמיד מכריע בשעת הסיווג, וכי לעתים הוראה שהיא ביסודה בעלת קווי-אופי דיוניים נחשבת כ'מהותית' מחמת משקלה וחשיבותה המצדיקים הפעלתה רק מכאן ולהבא, כך </w:t>
      </w:r>
      <w:r w:rsidRPr="00B65DDA">
        <w:rPr>
          <w:rFonts w:ascii="Arial" w:hAnsi="Arial"/>
          <w:b/>
          <w:bCs/>
          <w:noProof w:val="0"/>
          <w:u w:val="single"/>
          <w:rtl/>
        </w:rPr>
        <w:t>שהחלוקה כשלעצמה יותר משהיא מהווה סוף פסוק היא נקודת מוצא גרידא</w:t>
      </w:r>
      <w:r w:rsidRPr="00B65DDA">
        <w:rPr>
          <w:rFonts w:ascii="Arial" w:hAnsi="Arial"/>
          <w:b/>
          <w:bCs/>
          <w:noProof w:val="0"/>
          <w:rtl/>
        </w:rPr>
        <w:t>"</w:t>
      </w:r>
      <w:r>
        <w:rPr>
          <w:rFonts w:ascii="Arial" w:hAnsi="Arial" w:hint="cs"/>
          <w:b/>
          <w:bCs/>
          <w:noProof w:val="0"/>
          <w:rtl/>
        </w:rPr>
        <w:t xml:space="preserve"> </w:t>
      </w:r>
      <w:r w:rsidRPr="00FF090D">
        <w:rPr>
          <w:rFonts w:ascii="Arial" w:hAnsi="Arial" w:hint="cs"/>
          <w:noProof w:val="0"/>
          <w:rtl/>
        </w:rPr>
        <w:t>(פסקה 15).</w:t>
      </w:r>
    </w:p>
    <w:p w14:paraId="4697FC5D" w14:textId="77777777" w:rsidR="00BA20F7" w:rsidRPr="00A160DA" w:rsidRDefault="00BA20F7" w:rsidP="00BA20F7">
      <w:pPr>
        <w:spacing w:line="360" w:lineRule="auto"/>
        <w:jc w:val="both"/>
        <w:rPr>
          <w:rFonts w:ascii="Arial" w:hAnsi="Arial"/>
          <w:noProof w:val="0"/>
        </w:rPr>
      </w:pPr>
    </w:p>
    <w:p w14:paraId="4FB95C4B" w14:textId="05CEFC2B" w:rsidR="00BA20F7" w:rsidRDefault="00000000" w:rsidP="00BA20F7">
      <w:pPr>
        <w:pStyle w:val="1"/>
        <w:numPr>
          <w:ilvl w:val="0"/>
          <w:numId w:val="1"/>
        </w:numPr>
        <w:spacing w:line="360" w:lineRule="auto"/>
        <w:ind w:left="-59" w:hanging="9"/>
        <w:jc w:val="both"/>
        <w:rPr>
          <w:rFonts w:ascii="Arial" w:hAnsi="Arial"/>
          <w:b/>
          <w:bCs/>
          <w:noProof w:val="0"/>
        </w:rPr>
      </w:pPr>
      <w:r w:rsidRPr="00D91973">
        <w:rPr>
          <w:rFonts w:ascii="Arial" w:hAnsi="Arial"/>
          <w:noProof w:val="0"/>
          <w:rtl/>
        </w:rPr>
        <w:t>חוק חדלות פירעון ותקנותיו</w:t>
      </w:r>
      <w:r w:rsidRPr="00D91973">
        <w:rPr>
          <w:rFonts w:ascii="Arial" w:hAnsi="Arial" w:hint="cs"/>
          <w:noProof w:val="0"/>
          <w:rtl/>
        </w:rPr>
        <w:t>,</w:t>
      </w:r>
      <w:r w:rsidRPr="00D91973">
        <w:rPr>
          <w:rFonts w:ascii="Arial" w:hAnsi="Arial"/>
          <w:noProof w:val="0"/>
          <w:rtl/>
        </w:rPr>
        <w:t xml:space="preserve"> מסדירים את סמכות הנאמן להכריע בתביעות חוב. </w:t>
      </w:r>
      <w:r w:rsidR="00C513AA" w:rsidRPr="00D91973">
        <w:rPr>
          <w:rFonts w:ascii="Arial" w:hAnsi="Arial"/>
          <w:noProof w:val="0"/>
          <w:rtl/>
        </w:rPr>
        <w:t>סעיף 211(א)</w:t>
      </w:r>
      <w:r w:rsidRPr="00D91973">
        <w:rPr>
          <w:rFonts w:ascii="Arial" w:hAnsi="Arial"/>
          <w:noProof w:val="0"/>
          <w:rtl/>
        </w:rPr>
        <w:t xml:space="preserve"> לחוק קובע כי הנאמן יברר תביעת חוב שהוגשה לו ויחליט אם לאשרה או לדחותה. בנוסף, </w:t>
      </w:r>
      <w:r w:rsidR="00C513AA" w:rsidRPr="00D91973">
        <w:rPr>
          <w:rFonts w:ascii="Arial" w:hAnsi="Arial"/>
          <w:noProof w:val="0"/>
          <w:rtl/>
        </w:rPr>
        <w:t>תקנה 130(א)</w:t>
      </w:r>
      <w:r w:rsidRPr="00D91973">
        <w:rPr>
          <w:rFonts w:ascii="Arial" w:hAnsi="Arial"/>
          <w:noProof w:val="0"/>
          <w:rtl/>
        </w:rPr>
        <w:t xml:space="preserve"> לתקנות חדלות פירעון, מעניקה לנאמן סמכות מפורשת, מיוזמתו או לבקשת מי</w:t>
      </w:r>
      <w:r w:rsidRPr="00E23321">
        <w:rPr>
          <w:rFonts w:ascii="Arial" w:hAnsi="Arial"/>
          <w:noProof w:val="0"/>
          <w:rtl/>
        </w:rPr>
        <w:t xml:space="preserve"> שנפגע מהכרעתו, לבטל </w:t>
      </w:r>
      <w:r>
        <w:rPr>
          <w:rFonts w:ascii="Arial" w:hAnsi="Arial" w:hint="cs"/>
          <w:noProof w:val="0"/>
          <w:rtl/>
        </w:rPr>
        <w:t>הכרעת</w:t>
      </w:r>
      <w:r w:rsidRPr="00E23321">
        <w:rPr>
          <w:rFonts w:ascii="Arial" w:hAnsi="Arial"/>
          <w:noProof w:val="0"/>
          <w:rtl/>
        </w:rPr>
        <w:t xml:space="preserve"> חוב שאושרה או להפחית את סכומה, אם נפלה בה טעות או התגלו עובדות חדשות המצדיקות זאת. סמכות זו, לביטול או הפחתת </w:t>
      </w:r>
      <w:r>
        <w:rPr>
          <w:rFonts w:ascii="Arial" w:hAnsi="Arial" w:hint="cs"/>
          <w:noProof w:val="0"/>
          <w:rtl/>
        </w:rPr>
        <w:t xml:space="preserve">הכרעת </w:t>
      </w:r>
      <w:r w:rsidRPr="00E23321">
        <w:rPr>
          <w:rFonts w:ascii="Arial" w:hAnsi="Arial"/>
          <w:noProof w:val="0"/>
          <w:rtl/>
        </w:rPr>
        <w:t>חוב, אינה דורשת אישור של בית המשפט.</w:t>
      </w:r>
    </w:p>
    <w:p w14:paraId="1516814A" w14:textId="77777777" w:rsidR="00BA20F7" w:rsidRPr="00C21BE9" w:rsidRDefault="00BA20F7" w:rsidP="00BA20F7">
      <w:pPr>
        <w:pStyle w:val="1"/>
        <w:rPr>
          <w:rFonts w:ascii="Arial" w:hAnsi="Arial"/>
          <w:b/>
          <w:bCs/>
          <w:noProof w:val="0"/>
          <w:rtl/>
        </w:rPr>
      </w:pPr>
    </w:p>
    <w:p w14:paraId="1B6AB7C5" w14:textId="77777777" w:rsidR="00BA20F7" w:rsidRDefault="00000000" w:rsidP="00BA20F7">
      <w:pPr>
        <w:pStyle w:val="1"/>
        <w:numPr>
          <w:ilvl w:val="0"/>
          <w:numId w:val="1"/>
        </w:numPr>
        <w:spacing w:line="360" w:lineRule="auto"/>
        <w:ind w:left="-59" w:hanging="9"/>
        <w:jc w:val="both"/>
        <w:rPr>
          <w:rFonts w:ascii="Arial" w:hAnsi="Arial"/>
          <w:noProof w:val="0"/>
        </w:rPr>
      </w:pPr>
      <w:r>
        <w:rPr>
          <w:rFonts w:ascii="Arial" w:hAnsi="Arial" w:hint="cs"/>
          <w:noProof w:val="0"/>
          <w:rtl/>
        </w:rPr>
        <w:t>בשלב זה של הניתוח</w:t>
      </w:r>
      <w:r w:rsidRPr="00E90816">
        <w:rPr>
          <w:rFonts w:ascii="Arial" w:hAnsi="Arial" w:hint="cs"/>
          <w:noProof w:val="0"/>
          <w:rtl/>
        </w:rPr>
        <w:t>, אין אני עוסקים בשאלה</w:t>
      </w:r>
      <w:r>
        <w:rPr>
          <w:rFonts w:ascii="Arial" w:hAnsi="Arial" w:hint="cs"/>
          <w:noProof w:val="0"/>
          <w:rtl/>
        </w:rPr>
        <w:t xml:space="preserve"> האם </w:t>
      </w:r>
      <w:r w:rsidRPr="00E90816">
        <w:rPr>
          <w:rFonts w:ascii="Arial" w:hAnsi="Arial" w:hint="cs"/>
          <w:noProof w:val="0"/>
          <w:u w:val="single"/>
          <w:rtl/>
        </w:rPr>
        <w:t>צדק המנהל המיוחד בהכרעתו</w:t>
      </w:r>
      <w:r>
        <w:rPr>
          <w:rFonts w:ascii="Arial" w:hAnsi="Arial" w:hint="cs"/>
          <w:noProof w:val="0"/>
          <w:rtl/>
        </w:rPr>
        <w:t xml:space="preserve"> המתוקנת לגופו של עניין. אנו עוסקים בשאלה מקדמית יותר: האם בעל התפקיד היה </w:t>
      </w:r>
      <w:r w:rsidRPr="00E90816">
        <w:rPr>
          <w:rFonts w:ascii="Arial" w:hAnsi="Arial" w:hint="cs"/>
          <w:noProof w:val="0"/>
          <w:u w:val="single"/>
          <w:rtl/>
        </w:rPr>
        <w:t>רשאי לשנות את הכרעתו</w:t>
      </w:r>
      <w:r>
        <w:rPr>
          <w:rFonts w:ascii="Arial" w:hAnsi="Arial" w:hint="cs"/>
          <w:noProof w:val="0"/>
          <w:rtl/>
        </w:rPr>
        <w:t xml:space="preserve">. התוצאה של ההכרעה המתוקנת והסכום שנקבע בה, הם עניין מהותי, שיידון בהמשך. אך </w:t>
      </w:r>
      <w:r w:rsidRPr="00A718B1">
        <w:rPr>
          <w:rFonts w:ascii="Arial" w:hAnsi="Arial" w:hint="cs"/>
          <w:b/>
          <w:bCs/>
          <w:noProof w:val="0"/>
          <w:rtl/>
        </w:rPr>
        <w:t xml:space="preserve">שאלת הסמכות של המנהל המיוחד, בה אנו דנים כעת, </w:t>
      </w:r>
      <w:r>
        <w:rPr>
          <w:rFonts w:ascii="Arial" w:hAnsi="Arial" w:hint="cs"/>
          <w:b/>
          <w:bCs/>
          <w:noProof w:val="0"/>
          <w:rtl/>
        </w:rPr>
        <w:t xml:space="preserve">אינה עוסקת בשאלה </w:t>
      </w:r>
      <w:r>
        <w:rPr>
          <w:rFonts w:ascii="Arial" w:hAnsi="Arial" w:hint="cs"/>
          <w:b/>
          <w:bCs/>
          <w:noProof w:val="0"/>
          <w:u w:val="single"/>
          <w:rtl/>
        </w:rPr>
        <w:t>מה</w:t>
      </w:r>
      <w:r>
        <w:rPr>
          <w:rFonts w:ascii="Arial" w:hAnsi="Arial" w:hint="cs"/>
          <w:b/>
          <w:bCs/>
          <w:noProof w:val="0"/>
          <w:rtl/>
        </w:rPr>
        <w:t xml:space="preserve"> מגיע למערער, אלא </w:t>
      </w:r>
      <w:r>
        <w:rPr>
          <w:rFonts w:ascii="Arial" w:hAnsi="Arial" w:hint="cs"/>
          <w:b/>
          <w:bCs/>
          <w:noProof w:val="0"/>
          <w:u w:val="single"/>
          <w:rtl/>
        </w:rPr>
        <w:t>כיצד</w:t>
      </w:r>
      <w:r>
        <w:rPr>
          <w:rFonts w:ascii="Arial" w:hAnsi="Arial" w:hint="cs"/>
          <w:b/>
          <w:bCs/>
          <w:noProof w:val="0"/>
          <w:rtl/>
        </w:rPr>
        <w:t xml:space="preserve"> ניתן לממש את זכויותיו המהותיות</w:t>
      </w:r>
      <w:r>
        <w:rPr>
          <w:rFonts w:ascii="Arial" w:hAnsi="Arial" w:hint="cs"/>
          <w:noProof w:val="0"/>
          <w:rtl/>
        </w:rPr>
        <w:t>: האם המנהל המיוחד רשאי לשנות את הכרעתו, או שמא עליו לפנות תחילה לבית המשפט.</w:t>
      </w:r>
    </w:p>
    <w:p w14:paraId="6818C9C5" w14:textId="77777777" w:rsidR="00BA20F7" w:rsidRPr="003A2083" w:rsidRDefault="00BA20F7" w:rsidP="00BA20F7">
      <w:pPr>
        <w:pStyle w:val="1"/>
        <w:rPr>
          <w:rFonts w:ascii="Arial" w:hAnsi="Arial"/>
          <w:noProof w:val="0"/>
          <w:rtl/>
        </w:rPr>
      </w:pPr>
    </w:p>
    <w:p w14:paraId="1A01762B" w14:textId="2D57AF24" w:rsidR="00BA20F7" w:rsidRPr="00E90816" w:rsidRDefault="00000000" w:rsidP="00BA20F7">
      <w:pPr>
        <w:pStyle w:val="1"/>
        <w:numPr>
          <w:ilvl w:val="0"/>
          <w:numId w:val="1"/>
        </w:numPr>
        <w:spacing w:line="360" w:lineRule="auto"/>
        <w:ind w:left="-59" w:hanging="9"/>
        <w:jc w:val="both"/>
        <w:rPr>
          <w:rFonts w:ascii="Arial" w:hAnsi="Arial"/>
          <w:noProof w:val="0"/>
        </w:rPr>
      </w:pPr>
      <w:r w:rsidRPr="00D91973">
        <w:rPr>
          <w:rFonts w:ascii="Arial" w:hAnsi="Arial" w:hint="cs"/>
          <w:noProof w:val="0"/>
          <w:rtl/>
        </w:rPr>
        <w:t xml:space="preserve">בהתאם לכך, הגעתי למסקנה כי </w:t>
      </w:r>
      <w:r w:rsidR="00C513AA" w:rsidRPr="00D91973">
        <w:rPr>
          <w:rFonts w:ascii="Arial" w:hAnsi="Arial"/>
          <w:noProof w:val="0"/>
          <w:rtl/>
        </w:rPr>
        <w:t>תקנה 130(א)</w:t>
      </w:r>
      <w:r>
        <w:rPr>
          <w:rFonts w:ascii="Arial" w:hAnsi="Arial" w:hint="cs"/>
          <w:noProof w:val="0"/>
          <w:rtl/>
        </w:rPr>
        <w:t xml:space="preserve"> לתקנות חדלות פירעון, הינה תקנה בעלת אופי פרוצדורלי, ומשכך, מרגע כניסת תקנות חדלות פירעון לתוקף, יש להחילן על הליכים תלויים ועומדים. על כן, המנהל המיוחד פעל בסמכות המוקנית לו במסגרת תפקידו כאשר תיקן את הכרעת החוב, ודין טענת המערער לעניין זה להידחות.</w:t>
      </w:r>
    </w:p>
    <w:p w14:paraId="451EFCCE" w14:textId="77777777" w:rsidR="00BA20F7" w:rsidRPr="00783E5D" w:rsidRDefault="00BA20F7" w:rsidP="00BA20F7">
      <w:pPr>
        <w:spacing w:line="360" w:lineRule="auto"/>
        <w:jc w:val="both"/>
        <w:rPr>
          <w:rFonts w:ascii="Arial" w:hAnsi="Arial"/>
          <w:noProof w:val="0"/>
          <w:rtl/>
        </w:rPr>
      </w:pPr>
    </w:p>
    <w:p w14:paraId="50D5329E" w14:textId="77777777" w:rsidR="00BA20F7" w:rsidRPr="000B7D55" w:rsidRDefault="00000000" w:rsidP="00BA20F7">
      <w:pPr>
        <w:pStyle w:val="1"/>
        <w:spacing w:line="360" w:lineRule="auto"/>
        <w:ind w:left="-57"/>
        <w:jc w:val="both"/>
        <w:rPr>
          <w:rFonts w:ascii="Arial" w:hAnsi="Arial"/>
          <w:noProof w:val="0"/>
          <w:u w:val="single"/>
        </w:rPr>
      </w:pPr>
      <w:r w:rsidRPr="000B7D55">
        <w:rPr>
          <w:rFonts w:ascii="Arial" w:hAnsi="Arial" w:hint="cs"/>
          <w:noProof w:val="0"/>
          <w:u w:val="single"/>
          <w:rtl/>
        </w:rPr>
        <w:t>זכות המנהל המיוחד להציץ מאחורי הפרגוד</w:t>
      </w:r>
    </w:p>
    <w:p w14:paraId="1E03B1B0"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לאחר שלובנה סוגיה מקדמית זו, אבחן כעת את טענות הצדדים לגופו של עניין. טענת המערער הינה כי זכותו של המנהל המיוחד "להציץ מאחורי הפרגוד" של פסק דין חלוט מצומצמת ביותר ונתונה רק למקרים בהם יש חשש לעיוות דין, קנוניה או תרמית, אשר לטענתו, לא מתרחשים במקרה דנן. ההלכה הפסוקה שנקבעה לפני תחילת חוק חדלות פירעון עוגנה בחוק. </w:t>
      </w:r>
    </w:p>
    <w:p w14:paraId="0EC4820F" w14:textId="77777777" w:rsidR="00BA20F7" w:rsidRPr="00544852" w:rsidRDefault="00BA20F7" w:rsidP="00BA20F7">
      <w:pPr>
        <w:pStyle w:val="1"/>
        <w:rPr>
          <w:rFonts w:ascii="Arial" w:hAnsi="Arial"/>
          <w:noProof w:val="0"/>
          <w:rtl/>
        </w:rPr>
      </w:pPr>
    </w:p>
    <w:p w14:paraId="23BE3A1D" w14:textId="0C357FE0" w:rsidR="00BA20F7" w:rsidRPr="00D91973" w:rsidRDefault="00C513AA" w:rsidP="00BA20F7">
      <w:pPr>
        <w:pStyle w:val="1"/>
        <w:numPr>
          <w:ilvl w:val="0"/>
          <w:numId w:val="1"/>
        </w:numPr>
        <w:spacing w:line="360" w:lineRule="auto"/>
        <w:ind w:left="-57" w:hanging="9"/>
        <w:jc w:val="both"/>
        <w:rPr>
          <w:rFonts w:ascii="Arial" w:hAnsi="Arial"/>
          <w:noProof w:val="0"/>
        </w:rPr>
      </w:pPr>
      <w:r w:rsidRPr="00D91973">
        <w:rPr>
          <w:rFonts w:ascii="Arial" w:hAnsi="Arial"/>
          <w:noProof w:val="0"/>
          <w:rtl/>
        </w:rPr>
        <w:t>סעיף 211</w:t>
      </w:r>
      <w:r w:rsidR="00000000" w:rsidRPr="00D91973">
        <w:rPr>
          <w:rFonts w:ascii="Arial" w:hAnsi="Arial" w:hint="cs"/>
          <w:noProof w:val="0"/>
          <w:rtl/>
        </w:rPr>
        <w:t xml:space="preserve"> לחוק חדלות פירעון קובע כך:</w:t>
      </w:r>
    </w:p>
    <w:p w14:paraId="53C83B02" w14:textId="77777777" w:rsidR="00BA20F7" w:rsidRPr="00544852" w:rsidRDefault="00BA20F7" w:rsidP="00BA20F7">
      <w:pPr>
        <w:pStyle w:val="1"/>
        <w:rPr>
          <w:rFonts w:ascii="Arial" w:hAnsi="Arial"/>
          <w:noProof w:val="0"/>
          <w:rtl/>
        </w:rPr>
      </w:pPr>
    </w:p>
    <w:p w14:paraId="438C98B6" w14:textId="77777777" w:rsidR="00BA20F7" w:rsidRPr="000703F4" w:rsidRDefault="00000000" w:rsidP="00BA20F7">
      <w:pPr>
        <w:pStyle w:val="1"/>
        <w:numPr>
          <w:ilvl w:val="0"/>
          <w:numId w:val="2"/>
        </w:numPr>
        <w:spacing w:line="360" w:lineRule="auto"/>
        <w:ind w:right="680"/>
        <w:rPr>
          <w:rFonts w:ascii="Arial" w:hAnsi="Arial"/>
          <w:b/>
          <w:bCs/>
          <w:noProof w:val="0"/>
          <w:rtl/>
        </w:rPr>
      </w:pPr>
      <w:r>
        <w:rPr>
          <w:rFonts w:ascii="Arial" w:hAnsi="Arial" w:hint="cs"/>
          <w:b/>
          <w:bCs/>
          <w:noProof w:val="0"/>
          <w:rtl/>
        </w:rPr>
        <w:t>"</w:t>
      </w:r>
      <w:r w:rsidRPr="000703F4">
        <w:rPr>
          <w:rFonts w:ascii="Arial" w:hAnsi="Arial"/>
          <w:b/>
          <w:bCs/>
          <w:noProof w:val="0"/>
          <w:rtl/>
        </w:rPr>
        <w:t>הנאמן רשאי, באישור בית המשפט, לדחות תביעת חוב בשל חוב שניתן לגביו פסק דין, אם מצא כי התקיים אחד מאלה:</w:t>
      </w:r>
    </w:p>
    <w:p w14:paraId="03CB67EC" w14:textId="77777777" w:rsidR="00BA20F7" w:rsidRPr="000703F4" w:rsidRDefault="00000000" w:rsidP="00BA20F7">
      <w:pPr>
        <w:pStyle w:val="1"/>
        <w:spacing w:line="360" w:lineRule="auto"/>
        <w:ind w:left="680" w:right="680"/>
        <w:rPr>
          <w:rFonts w:ascii="Arial" w:hAnsi="Arial"/>
          <w:b/>
          <w:bCs/>
          <w:noProof w:val="0"/>
          <w:rtl/>
        </w:rPr>
      </w:pPr>
      <w:r w:rsidRPr="000703F4">
        <w:rPr>
          <w:rFonts w:ascii="Arial" w:hAnsi="Arial" w:hint="cs"/>
          <w:b/>
          <w:bCs/>
          <w:noProof w:val="0"/>
          <w:rtl/>
        </w:rPr>
        <w:t>[...]</w:t>
      </w:r>
    </w:p>
    <w:p w14:paraId="2D5E6821" w14:textId="77777777" w:rsidR="00BA20F7" w:rsidRPr="000703F4" w:rsidRDefault="00000000" w:rsidP="00BA20F7">
      <w:pPr>
        <w:pStyle w:val="1"/>
        <w:spacing w:line="360" w:lineRule="auto"/>
        <w:ind w:left="680" w:right="680"/>
        <w:jc w:val="both"/>
        <w:rPr>
          <w:rFonts w:ascii="Arial" w:hAnsi="Arial"/>
          <w:b/>
          <w:bCs/>
          <w:noProof w:val="0"/>
          <w:rtl/>
        </w:rPr>
      </w:pPr>
      <w:r w:rsidRPr="000703F4">
        <w:rPr>
          <w:rFonts w:ascii="Arial" w:hAnsi="Arial"/>
          <w:b/>
          <w:bCs/>
          <w:noProof w:val="0"/>
          <w:rtl/>
        </w:rPr>
        <w:t>(2)</w:t>
      </w:r>
      <w:r w:rsidRPr="000703F4">
        <w:rPr>
          <w:rFonts w:ascii="Arial" w:hAnsi="Arial" w:hint="cs"/>
          <w:b/>
          <w:bCs/>
          <w:noProof w:val="0"/>
          <w:rtl/>
        </w:rPr>
        <w:t xml:space="preserve"> </w:t>
      </w:r>
      <w:r w:rsidRPr="000703F4">
        <w:rPr>
          <w:rFonts w:ascii="Arial" w:hAnsi="Arial"/>
          <w:b/>
          <w:bCs/>
          <w:noProof w:val="0"/>
          <w:rtl/>
        </w:rPr>
        <w:t>התקיימו נסיבות אחרות שבהן פסק הדין ניתן בלא בירור לגופו של עניין ובשל כך יש חשש ממשי שאינו משקף נכונה את חוב היחיד</w:t>
      </w:r>
      <w:r>
        <w:rPr>
          <w:rFonts w:ascii="Arial" w:hAnsi="Arial" w:hint="cs"/>
          <w:b/>
          <w:bCs/>
          <w:noProof w:val="0"/>
          <w:rtl/>
        </w:rPr>
        <w:t>"</w:t>
      </w:r>
      <w:r w:rsidRPr="000703F4">
        <w:rPr>
          <w:rFonts w:ascii="Arial" w:hAnsi="Arial"/>
          <w:b/>
          <w:bCs/>
          <w:noProof w:val="0"/>
          <w:rtl/>
        </w:rPr>
        <w:t>.</w:t>
      </w:r>
    </w:p>
    <w:p w14:paraId="19CD97F3" w14:textId="77777777" w:rsidR="00BA20F7" w:rsidRDefault="00BA20F7" w:rsidP="00BA20F7">
      <w:pPr>
        <w:pStyle w:val="1"/>
        <w:spacing w:line="360" w:lineRule="auto"/>
        <w:ind w:left="680" w:right="680"/>
        <w:jc w:val="both"/>
        <w:rPr>
          <w:rFonts w:ascii="Arial" w:hAnsi="Arial"/>
          <w:noProof w:val="0"/>
          <w:rtl/>
        </w:rPr>
      </w:pPr>
    </w:p>
    <w:p w14:paraId="7F4B1692" w14:textId="54DA6C75"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כידוע, פסק הדין החלוט אליו מתייחס המערער ניתן ב-</w:t>
      </w:r>
      <w:r w:rsidR="00D012F8" w:rsidRPr="00D91973">
        <w:rPr>
          <w:rFonts w:ascii="Arial" w:hAnsi="Arial" w:hint="eastAsia"/>
          <w:noProof w:val="0"/>
          <w:rtl/>
        </w:rPr>
        <w:t>סע</w:t>
      </w:r>
      <w:r w:rsidR="00D012F8" w:rsidRPr="00D91973">
        <w:rPr>
          <w:rFonts w:ascii="Arial" w:hAnsi="Arial"/>
          <w:noProof w:val="0"/>
          <w:rtl/>
        </w:rPr>
        <w:t>"ש 14545-04-16</w:t>
      </w:r>
      <w:r>
        <w:rPr>
          <w:rFonts w:ascii="Arial" w:hAnsi="Arial" w:hint="cs"/>
          <w:noProof w:val="0"/>
          <w:rtl/>
        </w:rPr>
        <w:t xml:space="preserve">, על ידי בית הדין לעבודה ביום 18.10.16, בו חויבה החברה בסך של 313,313 ₪ בגין אי תשלום שכר עבודה, פיצויי פיטורים ורכיבי שכר נוספים. כפי שציין המל"ל, </w:t>
      </w:r>
      <w:r w:rsidRPr="003B30C1">
        <w:rPr>
          <w:rFonts w:ascii="Arial" w:hAnsi="Arial"/>
          <w:noProof w:val="0"/>
          <w:rtl/>
        </w:rPr>
        <w:t xml:space="preserve">בהתאם להוראות פרק </w:t>
      </w:r>
      <w:r w:rsidR="00C513AA" w:rsidRPr="00D91973">
        <w:rPr>
          <w:rFonts w:ascii="Arial" w:hAnsi="Arial"/>
          <w:noProof w:val="0"/>
          <w:rtl/>
        </w:rPr>
        <w:t>ח'</w:t>
      </w:r>
      <w:r w:rsidRPr="003B30C1">
        <w:rPr>
          <w:rFonts w:ascii="Arial" w:hAnsi="Arial"/>
          <w:noProof w:val="0"/>
          <w:rtl/>
        </w:rPr>
        <w:t xml:space="preserve"> של חוק המל"ל, עובד זכאי לגמלה בעד </w:t>
      </w:r>
      <w:r w:rsidRPr="0041169B">
        <w:rPr>
          <w:rFonts w:ascii="Arial" w:hAnsi="Arial"/>
          <w:noProof w:val="0"/>
          <w:u w:val="single"/>
          <w:rtl/>
        </w:rPr>
        <w:t>חוב שכר עבודה ופיצויי פיטורים</w:t>
      </w:r>
      <w:r w:rsidRPr="003B30C1">
        <w:rPr>
          <w:rFonts w:ascii="Arial" w:hAnsi="Arial"/>
          <w:noProof w:val="0"/>
          <w:rtl/>
        </w:rPr>
        <w:t xml:space="preserve"> שמעסיקו נותר חייב לו</w:t>
      </w:r>
      <w:r>
        <w:rPr>
          <w:rFonts w:ascii="Arial" w:hAnsi="Arial" w:hint="cs"/>
          <w:noProof w:val="0"/>
          <w:rtl/>
        </w:rPr>
        <w:t>, ועל כן, הסכום אותו אישר בית המשפט, בהתייחס לרכיבים אלו בלבד, הינו 114,813 ₪.</w:t>
      </w:r>
    </w:p>
    <w:p w14:paraId="7EADE24F" w14:textId="77777777" w:rsidR="00BA20F7" w:rsidRDefault="00BA20F7" w:rsidP="00BA20F7">
      <w:pPr>
        <w:pStyle w:val="1"/>
        <w:spacing w:line="360" w:lineRule="auto"/>
        <w:jc w:val="both"/>
        <w:rPr>
          <w:rFonts w:ascii="Arial" w:hAnsi="Arial"/>
          <w:noProof w:val="0"/>
          <w:rtl/>
        </w:rPr>
      </w:pPr>
    </w:p>
    <w:p w14:paraId="6FCFF9E4"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פסק הדין ניתן בהעדר הגנה. בית הדין לעבודה לא דן בתיק לגופו של עניין ולא התנהל הליך הוכחות, שבו הוכיח המערער את עמדתו ואת זכויותיו. במצבים כגון אלה, כאשר יש חשש שפסק הדין אינו משקף נכונה את החוב, המנהל המיוחד רשאי להציץ מאחורי הפרגוד של פסק הדין, ולקבוע בהכרעת החוב סכום אחר מהסכום שנקבע בפסק הדין. </w:t>
      </w:r>
    </w:p>
    <w:p w14:paraId="18B29026" w14:textId="77777777" w:rsidR="00BA20F7" w:rsidRPr="009D302D" w:rsidRDefault="00BA20F7" w:rsidP="00BA20F7">
      <w:pPr>
        <w:pStyle w:val="1"/>
        <w:rPr>
          <w:rFonts w:ascii="Arial" w:hAnsi="Arial"/>
          <w:noProof w:val="0"/>
          <w:rtl/>
        </w:rPr>
      </w:pPr>
    </w:p>
    <w:p w14:paraId="1550C013"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בהחלטה מיום 5.10.20, קבעה כב' השופטת בר"ג-הירשברג כי לא הוכח כי המערער לא קיבל את שכרו במשך שנתיים וחצי בהם עבד בחברה, ואף המערער בחר שלא להודיע לבית הדין מה עלה בגורל תביעת החוב שהגיש למנהל המיוחד. מטעמים אלה ומטעמים נוספים, קבעה השופטת כי יש לבטל את פסק הדין שניתן כנגד </w:t>
      </w:r>
      <w:r w:rsidRPr="000703F4">
        <w:rPr>
          <w:rFonts w:ascii="Arial" w:hAnsi="Arial" w:hint="cs"/>
          <w:noProof w:val="0"/>
          <w:u w:val="single"/>
          <w:rtl/>
        </w:rPr>
        <w:t>בעל החברה</w:t>
      </w:r>
      <w:r>
        <w:rPr>
          <w:rFonts w:ascii="Arial" w:hAnsi="Arial" w:hint="cs"/>
          <w:noProof w:val="0"/>
          <w:rtl/>
        </w:rPr>
        <w:t xml:space="preserve">. </w:t>
      </w:r>
    </w:p>
    <w:p w14:paraId="55E54A34" w14:textId="77777777" w:rsidR="00BA20F7" w:rsidRPr="00794951" w:rsidRDefault="00BA20F7" w:rsidP="00BA20F7">
      <w:pPr>
        <w:pStyle w:val="1"/>
        <w:rPr>
          <w:rFonts w:ascii="Arial" w:hAnsi="Arial"/>
          <w:noProof w:val="0"/>
          <w:rtl/>
        </w:rPr>
      </w:pPr>
    </w:p>
    <w:p w14:paraId="585C9AA9" w14:textId="77777777" w:rsidR="00BA20F7" w:rsidRPr="000703F4" w:rsidRDefault="00000000" w:rsidP="00BA20F7">
      <w:pPr>
        <w:pStyle w:val="1"/>
        <w:numPr>
          <w:ilvl w:val="0"/>
          <w:numId w:val="1"/>
        </w:numPr>
        <w:spacing w:line="360" w:lineRule="auto"/>
        <w:ind w:left="-57" w:hanging="9"/>
        <w:jc w:val="both"/>
        <w:rPr>
          <w:rFonts w:ascii="Arial" w:hAnsi="Arial"/>
          <w:noProof w:val="0"/>
          <w:rtl/>
        </w:rPr>
      </w:pPr>
      <w:r>
        <w:rPr>
          <w:rFonts w:ascii="Arial" w:hAnsi="Arial" w:hint="cs"/>
          <w:noProof w:val="0"/>
          <w:rtl/>
        </w:rPr>
        <w:t xml:space="preserve">משכך, נראה כי טעמים אלה רלוונטיים גם לענייננו: המערער לא הוכיח כי אכן עבד בחברה, אך לא קיבל שכר על עבודתו. בית הדין לעבודה לא ביטל את פסק הדין שניתן כנגד החברה, אך ייתכן וזאת רק משום שגברת יעקובוביץ, אלמנתו של בעל החברה, לא הגישה בקשה לכך, אלא ביקשה לבטל רק את פסק הדין שניתן כנגדה. </w:t>
      </w:r>
    </w:p>
    <w:p w14:paraId="73A62334" w14:textId="77777777" w:rsidR="00BA20F7" w:rsidRPr="00144941" w:rsidRDefault="00BA20F7" w:rsidP="00BA20F7">
      <w:pPr>
        <w:pStyle w:val="1"/>
        <w:rPr>
          <w:rFonts w:ascii="Arial" w:hAnsi="Arial"/>
          <w:noProof w:val="0"/>
          <w:rtl/>
        </w:rPr>
      </w:pPr>
    </w:p>
    <w:p w14:paraId="47A16B9D" w14:textId="77777777" w:rsidR="00BA20F7"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לאור האמור לעיל, הגעתי למסקנה כי במצב דברים זה, המנהל המיוחד היה רשאי להציץ מאחורי הפרגוד ולקבוע סכום הנראה לנכון בעיניו בהתאם לנסיבות העניין, בהתאם להוכחות שהובאו לפניו ולהוראות חוק המל"ל.</w:t>
      </w:r>
    </w:p>
    <w:p w14:paraId="16AA4B44" w14:textId="77777777" w:rsidR="00BA20F7" w:rsidRDefault="00BA20F7" w:rsidP="00BA20F7">
      <w:pPr>
        <w:spacing w:line="360" w:lineRule="auto"/>
        <w:ind w:left="-66"/>
        <w:jc w:val="both"/>
        <w:rPr>
          <w:rFonts w:ascii="Arial" w:hAnsi="Arial"/>
          <w:noProof w:val="0"/>
          <w:rtl/>
        </w:rPr>
      </w:pPr>
    </w:p>
    <w:p w14:paraId="1E163264" w14:textId="6B71D894" w:rsidR="00BA20F7" w:rsidRDefault="00000000" w:rsidP="00BA20F7">
      <w:pPr>
        <w:spacing w:line="360" w:lineRule="auto"/>
        <w:ind w:left="-66"/>
        <w:jc w:val="both"/>
        <w:rPr>
          <w:rFonts w:ascii="Arial" w:hAnsi="Arial"/>
          <w:noProof w:val="0"/>
          <w:rtl/>
        </w:rPr>
      </w:pPr>
      <w:r>
        <w:rPr>
          <w:rFonts w:ascii="Arial" w:hAnsi="Arial" w:hint="cs"/>
          <w:noProof w:val="0"/>
          <w:u w:val="single"/>
          <w:rtl/>
        </w:rPr>
        <w:t xml:space="preserve">פרשנות </w:t>
      </w:r>
      <w:r w:rsidR="00C513AA" w:rsidRPr="00D91973">
        <w:rPr>
          <w:rFonts w:ascii="Arial" w:hAnsi="Arial" w:hint="eastAsia"/>
          <w:noProof w:val="0"/>
          <w:rtl/>
        </w:rPr>
        <w:t>סעיף</w:t>
      </w:r>
      <w:r w:rsidR="00C513AA" w:rsidRPr="00D91973">
        <w:rPr>
          <w:rFonts w:ascii="Arial" w:hAnsi="Arial"/>
          <w:noProof w:val="0"/>
          <w:rtl/>
        </w:rPr>
        <w:t xml:space="preserve"> 183</w:t>
      </w:r>
      <w:r>
        <w:rPr>
          <w:rFonts w:ascii="Arial" w:hAnsi="Arial" w:hint="cs"/>
          <w:noProof w:val="0"/>
          <w:u w:val="single"/>
          <w:rtl/>
        </w:rPr>
        <w:t xml:space="preserve"> לחוק המל"ל</w:t>
      </w:r>
    </w:p>
    <w:p w14:paraId="5497F321" w14:textId="2DF186F2" w:rsidR="00BA20F7" w:rsidRPr="00D91973" w:rsidRDefault="00000000" w:rsidP="00BA20F7">
      <w:pPr>
        <w:pStyle w:val="1"/>
        <w:numPr>
          <w:ilvl w:val="0"/>
          <w:numId w:val="1"/>
        </w:numPr>
        <w:spacing w:line="360" w:lineRule="auto"/>
        <w:ind w:left="-57" w:hanging="9"/>
        <w:jc w:val="both"/>
        <w:rPr>
          <w:rFonts w:ascii="Arial" w:hAnsi="Arial"/>
          <w:noProof w:val="0"/>
        </w:rPr>
      </w:pPr>
      <w:r>
        <w:rPr>
          <w:rFonts w:ascii="Arial" w:hAnsi="Arial" w:hint="cs"/>
          <w:noProof w:val="0"/>
          <w:rtl/>
        </w:rPr>
        <w:t xml:space="preserve">ככלל, בית המשפט ייטה שלא להתערב או להחליף את שיקול דעתו של בעל תפקיד המכריע בתביעות חוב, אלא אם כן הוא שוכנע כי ישנה סטייה קיצונית מסבירות ותקינות </w:t>
      </w:r>
      <w:r w:rsidRPr="00D91973">
        <w:rPr>
          <w:rFonts w:ascii="Arial" w:hAnsi="Arial" w:hint="cs"/>
          <w:noProof w:val="0"/>
          <w:rtl/>
        </w:rPr>
        <w:t xml:space="preserve">ההחלטה (ראו למשל: </w:t>
      </w:r>
      <w:r w:rsidR="00D27030" w:rsidRPr="00D91973">
        <w:rPr>
          <w:rFonts w:ascii="Arial" w:hAnsi="Arial"/>
          <w:noProof w:val="0"/>
          <w:rtl/>
        </w:rPr>
        <w:t>ע"א 2710/23</w:t>
      </w:r>
      <w:r w:rsidRPr="00D91973">
        <w:rPr>
          <w:rFonts w:ascii="Arial" w:hAnsi="Arial"/>
          <w:noProof w:val="0"/>
          <w:rtl/>
        </w:rPr>
        <w:t xml:space="preserve"> </w:t>
      </w:r>
      <w:r w:rsidRPr="00D91973">
        <w:rPr>
          <w:rFonts w:ascii="Arial" w:hAnsi="Arial"/>
          <w:b/>
          <w:bCs/>
          <w:noProof w:val="0"/>
          <w:rtl/>
        </w:rPr>
        <w:t>אהרון שדמי נ' ירמיש יעקב</w:t>
      </w:r>
      <w:r w:rsidRPr="00D91973">
        <w:rPr>
          <w:rFonts w:ascii="Arial" w:hAnsi="Arial"/>
          <w:noProof w:val="0"/>
          <w:rtl/>
        </w:rPr>
        <w:t xml:space="preserve"> (17.5.2023)</w:t>
      </w:r>
      <w:r w:rsidRPr="00D91973">
        <w:rPr>
          <w:rFonts w:ascii="Arial" w:hAnsi="Arial" w:hint="cs"/>
          <w:noProof w:val="0"/>
          <w:rtl/>
        </w:rPr>
        <w:t>, פסקה 7).</w:t>
      </w:r>
    </w:p>
    <w:p w14:paraId="645719CB" w14:textId="77777777" w:rsidR="00BA20F7" w:rsidRPr="004352E4" w:rsidRDefault="00BA20F7" w:rsidP="00BA20F7">
      <w:pPr>
        <w:spacing w:line="360" w:lineRule="auto"/>
        <w:ind w:left="-66"/>
        <w:jc w:val="both"/>
        <w:rPr>
          <w:rFonts w:ascii="Arial" w:hAnsi="Arial"/>
          <w:noProof w:val="0"/>
          <w:u w:val="single"/>
        </w:rPr>
      </w:pPr>
    </w:p>
    <w:p w14:paraId="7C8574A8" w14:textId="21A34B03" w:rsidR="00BA20F7" w:rsidRDefault="00000000" w:rsidP="00BA20F7">
      <w:pPr>
        <w:pStyle w:val="1"/>
        <w:numPr>
          <w:ilvl w:val="0"/>
          <w:numId w:val="1"/>
        </w:numPr>
        <w:spacing w:line="360" w:lineRule="auto"/>
        <w:ind w:left="-57" w:hanging="9"/>
        <w:jc w:val="both"/>
        <w:rPr>
          <w:rFonts w:ascii="Arial" w:hAnsi="Arial"/>
          <w:noProof w:val="0"/>
          <w:u w:val="single"/>
        </w:rPr>
      </w:pPr>
      <w:r>
        <w:rPr>
          <w:rFonts w:ascii="Arial" w:hAnsi="Arial" w:hint="cs"/>
          <w:noProof w:val="0"/>
          <w:rtl/>
        </w:rPr>
        <w:t xml:space="preserve">עמדת המערער הינה כי יש לפרש את </w:t>
      </w:r>
      <w:r w:rsidR="00C513AA" w:rsidRPr="00D91973">
        <w:rPr>
          <w:rFonts w:ascii="Arial" w:hAnsi="Arial" w:hint="eastAsia"/>
          <w:noProof w:val="0"/>
          <w:rtl/>
        </w:rPr>
        <w:t>סעיף</w:t>
      </w:r>
      <w:r w:rsidR="00C513AA" w:rsidRPr="00D91973">
        <w:rPr>
          <w:rFonts w:ascii="Arial" w:hAnsi="Arial"/>
          <w:noProof w:val="0"/>
          <w:rtl/>
        </w:rPr>
        <w:t xml:space="preserve"> 183</w:t>
      </w:r>
      <w:r>
        <w:rPr>
          <w:rFonts w:ascii="Arial" w:hAnsi="Arial" w:hint="cs"/>
          <w:noProof w:val="0"/>
          <w:rtl/>
        </w:rPr>
        <w:t xml:space="preserve"> לחוק המל"ל באופן שבו נקודת ההתחלה, ממנה ניתן להתחיל לתבוע חוב שכר עבודה ופיצויי פיטורים בדרך של תביעת חוב, הינה 12 חודשים לפני מתן צו פירוק לחברה או סיום יחסי עובד-מעביד, המוקדם מביניהם. עוד </w:t>
      </w:r>
      <w:r w:rsidRPr="004352E4">
        <w:rPr>
          <w:rFonts w:ascii="Arial" w:hAnsi="Arial" w:hint="cs"/>
          <w:noProof w:val="0"/>
          <w:rtl/>
        </w:rPr>
        <w:t>הוסיף המערער, כי פרשנות זו</w:t>
      </w:r>
      <w:r w:rsidRPr="000268BB">
        <w:rPr>
          <w:rFonts w:ascii="Arial" w:hAnsi="Arial" w:hint="cs"/>
          <w:noProof w:val="0"/>
          <w:u w:val="single"/>
          <w:rtl/>
        </w:rPr>
        <w:t xml:space="preserve"> אין משמעותה כי </w:t>
      </w:r>
      <w:r w:rsidR="00C513AA" w:rsidRPr="00C513AA">
        <w:rPr>
          <w:rFonts w:ascii="Arial" w:hAnsi="Arial" w:hint="eastAsia"/>
          <w:noProof w:val="0"/>
          <w:rtl/>
        </w:rPr>
        <w:t>פרק</w:t>
      </w:r>
      <w:r w:rsidR="00C513AA" w:rsidRPr="00C513AA">
        <w:rPr>
          <w:rFonts w:ascii="Arial" w:hAnsi="Arial"/>
          <w:noProof w:val="0"/>
          <w:rtl/>
        </w:rPr>
        <w:t xml:space="preserve"> הזמן מוגבל</w:t>
      </w:r>
      <w:r w:rsidRPr="000268BB">
        <w:rPr>
          <w:rFonts w:ascii="Arial" w:hAnsi="Arial" w:hint="cs"/>
          <w:noProof w:val="0"/>
          <w:u w:val="single"/>
          <w:rtl/>
        </w:rPr>
        <w:t xml:space="preserve"> ל-12 חודשים בלבד,</w:t>
      </w:r>
      <w:r w:rsidRPr="004352E4">
        <w:rPr>
          <w:rFonts w:ascii="Arial" w:hAnsi="Arial" w:hint="cs"/>
          <w:noProof w:val="0"/>
          <w:rtl/>
        </w:rPr>
        <w:t xml:space="preserve"> וניתן לדרוש תשלום חוב זה כל אימת שפסק הדין התומך בתביעת החוב, לא התיישן.</w:t>
      </w:r>
    </w:p>
    <w:p w14:paraId="26D95129" w14:textId="77777777" w:rsidR="00BA20F7" w:rsidRDefault="00BA20F7" w:rsidP="00BA20F7">
      <w:pPr>
        <w:pStyle w:val="1"/>
        <w:spacing w:line="360" w:lineRule="auto"/>
        <w:ind w:left="-57"/>
        <w:jc w:val="both"/>
        <w:rPr>
          <w:rFonts w:ascii="Arial" w:hAnsi="Arial"/>
          <w:noProof w:val="0"/>
          <w:u w:val="single"/>
        </w:rPr>
      </w:pPr>
    </w:p>
    <w:p w14:paraId="7A0B5CBF" w14:textId="77777777" w:rsidR="00BA20F7" w:rsidRDefault="00000000" w:rsidP="00BA20F7">
      <w:pPr>
        <w:pStyle w:val="1"/>
        <w:numPr>
          <w:ilvl w:val="0"/>
          <w:numId w:val="1"/>
        </w:numPr>
        <w:spacing w:line="360" w:lineRule="auto"/>
        <w:ind w:left="-57" w:hanging="9"/>
        <w:jc w:val="both"/>
        <w:rPr>
          <w:rFonts w:ascii="Arial" w:hAnsi="Arial"/>
          <w:noProof w:val="0"/>
          <w:u w:val="single"/>
        </w:rPr>
      </w:pPr>
      <w:r>
        <w:rPr>
          <w:rFonts w:ascii="Arial" w:hAnsi="Arial" w:hint="cs"/>
          <w:noProof w:val="0"/>
          <w:rtl/>
        </w:rPr>
        <w:t xml:space="preserve">מנגד, עמדת המל"ל הינה כי פרק הזמן הקבוע בחוק, בעבורו ניתן להגיש תביעת חוב, הינו </w:t>
      </w:r>
      <w:r w:rsidRPr="008867F9">
        <w:rPr>
          <w:rFonts w:ascii="Arial" w:hAnsi="Arial" w:hint="cs"/>
          <w:noProof w:val="0"/>
          <w:u w:val="single"/>
          <w:rtl/>
        </w:rPr>
        <w:t>12 חודשים בלבד</w:t>
      </w:r>
      <w:r>
        <w:rPr>
          <w:rFonts w:ascii="Arial" w:hAnsi="Arial" w:hint="cs"/>
          <w:noProof w:val="0"/>
          <w:rtl/>
        </w:rPr>
        <w:t xml:space="preserve">, כאשר נקודת ההתחלה הינה </w:t>
      </w:r>
      <w:r w:rsidRPr="008867F9">
        <w:rPr>
          <w:rFonts w:ascii="Arial" w:hAnsi="Arial" w:hint="cs"/>
          <w:noProof w:val="0"/>
          <w:rtl/>
        </w:rPr>
        <w:t>1</w:t>
      </w:r>
      <w:r>
        <w:rPr>
          <w:rFonts w:ascii="Arial" w:hAnsi="Arial" w:hint="cs"/>
          <w:noProof w:val="0"/>
          <w:rtl/>
        </w:rPr>
        <w:t>2 חודשים לפני מתן צו פירוק לחברה או סיום יחסי עובד-מעביד, המוקדם מביניהם.</w:t>
      </w:r>
    </w:p>
    <w:p w14:paraId="20F1F6D6" w14:textId="77777777" w:rsidR="00BA20F7" w:rsidRPr="005F6255" w:rsidRDefault="00BA20F7" w:rsidP="00BA20F7">
      <w:pPr>
        <w:pStyle w:val="1"/>
        <w:ind w:left="680" w:right="680"/>
        <w:rPr>
          <w:rFonts w:ascii="Arial" w:hAnsi="Arial"/>
          <w:noProof w:val="0"/>
          <w:rtl/>
        </w:rPr>
      </w:pPr>
    </w:p>
    <w:p w14:paraId="7D97357F" w14:textId="53C28811" w:rsidR="00BA20F7" w:rsidRDefault="00000000" w:rsidP="00BA20F7">
      <w:pPr>
        <w:pStyle w:val="1"/>
        <w:numPr>
          <w:ilvl w:val="0"/>
          <w:numId w:val="1"/>
        </w:numPr>
        <w:spacing w:line="360" w:lineRule="auto"/>
        <w:ind w:left="-57" w:right="680" w:firstLine="0"/>
        <w:jc w:val="both"/>
        <w:rPr>
          <w:rFonts w:ascii="Arial" w:hAnsi="Arial"/>
          <w:noProof w:val="0"/>
        </w:rPr>
      </w:pPr>
      <w:r>
        <w:rPr>
          <w:rFonts w:ascii="Arial" w:hAnsi="Arial" w:hint="cs"/>
          <w:noProof w:val="0"/>
          <w:rtl/>
        </w:rPr>
        <w:t xml:space="preserve">וכלשונו של </w:t>
      </w:r>
      <w:r w:rsidR="00C513AA" w:rsidRPr="00D91973">
        <w:rPr>
          <w:rFonts w:ascii="Arial" w:hAnsi="Arial" w:hint="eastAsia"/>
          <w:noProof w:val="0"/>
          <w:rtl/>
        </w:rPr>
        <w:t>סעיף</w:t>
      </w:r>
      <w:r w:rsidR="00C513AA" w:rsidRPr="00D91973">
        <w:rPr>
          <w:rFonts w:ascii="Arial" w:hAnsi="Arial"/>
          <w:noProof w:val="0"/>
          <w:rtl/>
        </w:rPr>
        <w:t xml:space="preserve"> 183</w:t>
      </w:r>
      <w:r>
        <w:rPr>
          <w:rFonts w:ascii="Arial" w:hAnsi="Arial" w:hint="cs"/>
          <w:noProof w:val="0"/>
          <w:rtl/>
        </w:rPr>
        <w:t xml:space="preserve"> לחוק המל"ל:</w:t>
      </w:r>
    </w:p>
    <w:p w14:paraId="2CEC4D76" w14:textId="77777777" w:rsidR="00BA20F7" w:rsidRPr="005F6255" w:rsidRDefault="00BA20F7" w:rsidP="00BA20F7">
      <w:pPr>
        <w:pStyle w:val="1"/>
        <w:rPr>
          <w:rFonts w:ascii="Arial" w:hAnsi="Arial"/>
          <w:noProof w:val="0"/>
          <w:rtl/>
        </w:rPr>
      </w:pPr>
    </w:p>
    <w:p w14:paraId="00647952" w14:textId="77777777" w:rsidR="00BA20F7" w:rsidRPr="000703F4" w:rsidRDefault="00000000" w:rsidP="00BA20F7">
      <w:pPr>
        <w:pStyle w:val="1"/>
        <w:spacing w:line="360" w:lineRule="auto"/>
        <w:ind w:left="680" w:right="680"/>
        <w:jc w:val="both"/>
        <w:rPr>
          <w:rFonts w:ascii="Arial" w:hAnsi="Arial"/>
          <w:b/>
          <w:bCs/>
          <w:noProof w:val="0"/>
          <w:rtl/>
        </w:rPr>
      </w:pPr>
      <w:r w:rsidRPr="000703F4">
        <w:rPr>
          <w:rFonts w:ascii="Arial" w:hAnsi="Arial" w:hint="cs"/>
          <w:b/>
          <w:bCs/>
          <w:noProof w:val="0"/>
          <w:rtl/>
        </w:rPr>
        <w:t>183</w:t>
      </w:r>
      <w:r w:rsidRPr="000703F4">
        <w:rPr>
          <w:rFonts w:ascii="Arial" w:hAnsi="Arial"/>
          <w:b/>
          <w:bCs/>
          <w:noProof w:val="0"/>
          <w:rtl/>
        </w:rPr>
        <w:t xml:space="preserve">. (א)  </w:t>
      </w:r>
      <w:r w:rsidRPr="000703F4">
        <w:rPr>
          <w:rFonts w:ascii="Arial" w:hAnsi="Arial" w:hint="cs"/>
          <w:b/>
          <w:bCs/>
          <w:noProof w:val="0"/>
          <w:rtl/>
        </w:rPr>
        <w:t>"</w:t>
      </w:r>
      <w:r w:rsidRPr="000703F4">
        <w:rPr>
          <w:rFonts w:ascii="Arial" w:hAnsi="Arial"/>
          <w:b/>
          <w:bCs/>
          <w:noProof w:val="0"/>
          <w:rtl/>
        </w:rPr>
        <w:t>הגמלה שתשולם לפי פרק זה לעובד</w:t>
      </w:r>
      <w:r w:rsidRPr="000703F4">
        <w:rPr>
          <w:rFonts w:ascii="Arial" w:hAnsi="Arial" w:hint="cs"/>
          <w:b/>
          <w:bCs/>
          <w:noProof w:val="0"/>
          <w:rtl/>
        </w:rPr>
        <w:t xml:space="preserve"> </w:t>
      </w:r>
      <w:r w:rsidRPr="000703F4">
        <w:rPr>
          <w:rFonts w:ascii="Arial" w:hAnsi="Arial"/>
          <w:b/>
          <w:bCs/>
          <w:noProof w:val="0"/>
          <w:rtl/>
        </w:rPr>
        <w:t xml:space="preserve">תהיה סכום חוב שכר העבודה ופיצויי הפיטורים שמעבידו חייב לו, עד סכום שלא יעלה על הסכום הבסיסי כפול 13 לגבי כל עובד, בכפוף להוראות סעיף 189(ב), </w:t>
      </w:r>
      <w:r w:rsidRPr="000703F4">
        <w:rPr>
          <w:rFonts w:ascii="Arial" w:hAnsi="Arial"/>
          <w:b/>
          <w:bCs/>
          <w:noProof w:val="0"/>
          <w:u w:val="single"/>
          <w:rtl/>
        </w:rPr>
        <w:t>ובלבד שחוב שכר העבודה כאמור לא ישולם בעד תקופה שלפני 12 החודשים</w:t>
      </w:r>
      <w:r w:rsidRPr="00F31905">
        <w:rPr>
          <w:rFonts w:ascii="Arial" w:hAnsi="Arial"/>
          <w:b/>
          <w:bCs/>
          <w:noProof w:val="0"/>
          <w:rtl/>
        </w:rPr>
        <w:t xml:space="preserve"> </w:t>
      </w:r>
      <w:r w:rsidRPr="000703F4">
        <w:rPr>
          <w:rFonts w:ascii="Arial" w:hAnsi="Arial"/>
          <w:b/>
          <w:bCs/>
          <w:noProof w:val="0"/>
          <w:rtl/>
        </w:rPr>
        <w:t>שקדמו בתכוף למועד שבו נותקו יחסי עובד ומעביד, או למועד מתן צו לפי הוראות סעיף 182, לפי המוקדם מב</w:t>
      </w:r>
      <w:r w:rsidRPr="000703F4">
        <w:rPr>
          <w:rFonts w:ascii="Arial" w:hAnsi="Arial" w:hint="cs"/>
          <w:b/>
          <w:bCs/>
          <w:noProof w:val="0"/>
          <w:rtl/>
        </w:rPr>
        <w:t>י</w:t>
      </w:r>
      <w:r w:rsidRPr="000703F4">
        <w:rPr>
          <w:rFonts w:ascii="Arial" w:hAnsi="Arial"/>
          <w:b/>
          <w:bCs/>
          <w:noProof w:val="0"/>
          <w:rtl/>
        </w:rPr>
        <w:t>ניהם</w:t>
      </w:r>
      <w:r w:rsidRPr="000703F4">
        <w:rPr>
          <w:rFonts w:ascii="Arial" w:hAnsi="Arial" w:hint="cs"/>
          <w:b/>
          <w:bCs/>
          <w:noProof w:val="0"/>
          <w:rtl/>
        </w:rPr>
        <w:t>"</w:t>
      </w:r>
      <w:r w:rsidRPr="000703F4">
        <w:rPr>
          <w:rFonts w:ascii="Arial" w:hAnsi="Arial"/>
          <w:b/>
          <w:bCs/>
          <w:noProof w:val="0"/>
          <w:rtl/>
        </w:rPr>
        <w:t>.</w:t>
      </w:r>
    </w:p>
    <w:p w14:paraId="298EDCE9" w14:textId="77777777" w:rsidR="00BA20F7" w:rsidRDefault="00BA20F7" w:rsidP="00BA20F7">
      <w:pPr>
        <w:pStyle w:val="1"/>
        <w:spacing w:line="360" w:lineRule="auto"/>
        <w:ind w:left="680" w:right="680"/>
        <w:jc w:val="both"/>
        <w:rPr>
          <w:rFonts w:ascii="Arial" w:hAnsi="Arial"/>
          <w:noProof w:val="0"/>
          <w:rtl/>
        </w:rPr>
      </w:pPr>
    </w:p>
    <w:p w14:paraId="68BDB13B" w14:textId="77777777" w:rsidR="00BA20F7" w:rsidRDefault="00000000" w:rsidP="00BA20F7">
      <w:pPr>
        <w:pStyle w:val="1"/>
        <w:numPr>
          <w:ilvl w:val="0"/>
          <w:numId w:val="1"/>
        </w:numPr>
        <w:spacing w:line="360" w:lineRule="auto"/>
        <w:ind w:left="-57" w:right="680" w:firstLine="0"/>
        <w:jc w:val="both"/>
        <w:rPr>
          <w:rFonts w:ascii="Arial" w:hAnsi="Arial"/>
          <w:noProof w:val="0"/>
        </w:rPr>
      </w:pPr>
      <w:r>
        <w:rPr>
          <w:rFonts w:ascii="Arial" w:hAnsi="Arial" w:hint="cs"/>
          <w:noProof w:val="0"/>
          <w:rtl/>
        </w:rPr>
        <w:t>פרשנות לשון סעיף זה נידונה רבות בבתי המשפט, כדלקמן:</w:t>
      </w:r>
    </w:p>
    <w:p w14:paraId="504523D0" w14:textId="77777777" w:rsidR="00BA20F7" w:rsidRDefault="00BA20F7" w:rsidP="00BA20F7">
      <w:pPr>
        <w:pStyle w:val="1"/>
        <w:spacing w:line="360" w:lineRule="auto"/>
        <w:ind w:left="-57" w:right="680"/>
        <w:jc w:val="both"/>
        <w:rPr>
          <w:rFonts w:ascii="Arial" w:hAnsi="Arial"/>
          <w:noProof w:val="0"/>
          <w:rtl/>
        </w:rPr>
      </w:pPr>
    </w:p>
    <w:p w14:paraId="077BB450" w14:textId="50B6030B" w:rsidR="00BA20F7" w:rsidRDefault="00D27030" w:rsidP="00BA20F7">
      <w:pPr>
        <w:pStyle w:val="1"/>
        <w:spacing w:line="360" w:lineRule="auto"/>
        <w:ind w:left="680" w:right="680"/>
        <w:jc w:val="both"/>
        <w:rPr>
          <w:rFonts w:ascii="Arial" w:hAnsi="Arial"/>
          <w:noProof w:val="0"/>
          <w:rtl/>
        </w:rPr>
      </w:pPr>
      <w:r w:rsidRPr="00D91973">
        <w:rPr>
          <w:rFonts w:ascii="Arial" w:hAnsi="Arial"/>
          <w:noProof w:val="0"/>
          <w:rtl/>
        </w:rPr>
        <w:t>ע"א 2826/11</w:t>
      </w:r>
      <w:r w:rsidR="00000000" w:rsidRPr="00292C8F">
        <w:rPr>
          <w:rFonts w:ascii="Arial" w:hAnsi="Arial"/>
          <w:noProof w:val="0"/>
          <w:rtl/>
        </w:rPr>
        <w:t xml:space="preserve"> </w:t>
      </w:r>
      <w:r w:rsidR="00000000" w:rsidRPr="00292C8F">
        <w:rPr>
          <w:rFonts w:ascii="Arial" w:hAnsi="Arial"/>
          <w:b/>
          <w:bCs/>
          <w:noProof w:val="0"/>
          <w:rtl/>
        </w:rPr>
        <w:t>אלכסנדר בלסקי ואח' נ' אורי דניאל מפרק חברת אפוד מגן</w:t>
      </w:r>
      <w:r w:rsidR="00000000" w:rsidRPr="00292C8F">
        <w:rPr>
          <w:rFonts w:ascii="Arial" w:hAnsi="Arial"/>
          <w:noProof w:val="0"/>
          <w:rtl/>
        </w:rPr>
        <w:t xml:space="preserve"> (20.5.2013)</w:t>
      </w:r>
      <w:r w:rsidR="00000000">
        <w:rPr>
          <w:rFonts w:ascii="Arial" w:hAnsi="Arial" w:hint="cs"/>
          <w:noProof w:val="0"/>
          <w:rtl/>
        </w:rPr>
        <w:t xml:space="preserve">: </w:t>
      </w:r>
      <w:r w:rsidR="00000000">
        <w:rPr>
          <w:rFonts w:ascii="Arial" w:hAnsi="Arial"/>
          <w:noProof w:val="0"/>
          <w:rtl/>
        </w:rPr>
        <w:br/>
      </w:r>
      <w:r w:rsidR="00000000" w:rsidRPr="004352E4">
        <w:rPr>
          <w:rFonts w:ascii="Arial" w:hAnsi="Arial" w:hint="cs"/>
          <w:b/>
          <w:bCs/>
          <w:noProof w:val="0"/>
          <w:rtl/>
        </w:rPr>
        <w:t>"</w:t>
      </w:r>
      <w:r w:rsidR="00000000" w:rsidRPr="004352E4">
        <w:rPr>
          <w:rFonts w:ascii="Arial" w:hAnsi="Arial"/>
          <w:b/>
          <w:bCs/>
          <w:noProof w:val="0"/>
          <w:rtl/>
        </w:rPr>
        <w:t xml:space="preserve">לאחר שמיעת הצדדים ושיג ושיח הצענו לבא כוח המערערים שלא לעמוד על </w:t>
      </w:r>
      <w:r w:rsidR="00000000" w:rsidRPr="00D91973">
        <w:rPr>
          <w:rFonts w:ascii="Arial" w:hAnsi="Arial"/>
          <w:b/>
          <w:bCs/>
          <w:noProof w:val="0"/>
          <w:rtl/>
        </w:rPr>
        <w:t>ערעורו, נוכח לשונו הברורה של סעיף 183 ל</w:t>
      </w:r>
      <w:r w:rsidRPr="00D91973">
        <w:rPr>
          <w:rFonts w:ascii="Arial" w:hAnsi="Arial"/>
          <w:b/>
          <w:bCs/>
          <w:noProof w:val="0"/>
          <w:rtl/>
        </w:rPr>
        <w:t>חוק הביטוח הלאומי</w:t>
      </w:r>
      <w:r w:rsidR="00000000" w:rsidRPr="00D91973">
        <w:rPr>
          <w:rFonts w:ascii="Arial" w:hAnsi="Arial"/>
          <w:b/>
          <w:bCs/>
          <w:noProof w:val="0"/>
          <w:rtl/>
        </w:rPr>
        <w:t xml:space="preserve"> (נוסח משולב),</w:t>
      </w:r>
      <w:r w:rsidR="00000000" w:rsidRPr="004352E4">
        <w:rPr>
          <w:rFonts w:ascii="Arial" w:hAnsi="Arial"/>
          <w:b/>
          <w:bCs/>
          <w:noProof w:val="0"/>
          <w:rtl/>
        </w:rPr>
        <w:t xml:space="preserve"> תשנ"ה-1995 כנוסחו כיום. זאת, הגם שהסוגיה שעורר הערעור, קרי, ההגבלה לשנה אחת אחורנית של שיעור הגמלה לעובד לפי סעיף 183, מעוררת שאלה חברתית ואנושית. סבורים אנו, בלא שניטע מסמרות, כי יש מקום שהמחוקק יידרש לסוגיה זו בהמשך. בנתון לכך נמחק הערעור בלא צו להוצאות</w:t>
      </w:r>
      <w:r w:rsidR="00000000" w:rsidRPr="004352E4">
        <w:rPr>
          <w:rFonts w:ascii="Arial" w:hAnsi="Arial" w:hint="cs"/>
          <w:b/>
          <w:bCs/>
          <w:noProof w:val="0"/>
          <w:rtl/>
        </w:rPr>
        <w:t>"</w:t>
      </w:r>
      <w:r w:rsidR="00000000">
        <w:rPr>
          <w:rFonts w:ascii="Arial" w:hAnsi="Arial" w:hint="cs"/>
          <w:noProof w:val="0"/>
          <w:rtl/>
        </w:rPr>
        <w:t xml:space="preserve"> (פסקה 1).</w:t>
      </w:r>
    </w:p>
    <w:p w14:paraId="2FC11B0F" w14:textId="77777777" w:rsidR="00BA20F7" w:rsidRDefault="00BA20F7" w:rsidP="00BA20F7">
      <w:pPr>
        <w:pStyle w:val="1"/>
        <w:spacing w:line="360" w:lineRule="auto"/>
        <w:ind w:left="-57" w:right="680"/>
        <w:jc w:val="both"/>
        <w:rPr>
          <w:rFonts w:ascii="Arial" w:hAnsi="Arial"/>
          <w:noProof w:val="0"/>
          <w:rtl/>
        </w:rPr>
      </w:pPr>
    </w:p>
    <w:p w14:paraId="1E37D88E" w14:textId="1A53186C" w:rsidR="00BA20F7" w:rsidRDefault="00D012F8" w:rsidP="00BA20F7">
      <w:pPr>
        <w:pStyle w:val="1"/>
        <w:spacing w:line="360" w:lineRule="auto"/>
        <w:ind w:left="680" w:right="680"/>
        <w:jc w:val="both"/>
        <w:rPr>
          <w:rFonts w:ascii="Arial" w:hAnsi="Arial"/>
          <w:noProof w:val="0"/>
          <w:rtl/>
        </w:rPr>
      </w:pPr>
      <w:r w:rsidRPr="00D91973">
        <w:rPr>
          <w:rFonts w:ascii="Arial" w:hAnsi="Arial"/>
          <w:noProof w:val="0"/>
          <w:rtl/>
        </w:rPr>
        <w:t>עחד"ת (מחוזי ירושלים) 27189-12-23</w:t>
      </w:r>
      <w:r w:rsidR="00000000" w:rsidRPr="00091E0D">
        <w:rPr>
          <w:rFonts w:ascii="Arial" w:hAnsi="Arial"/>
          <w:noProof w:val="0"/>
          <w:rtl/>
        </w:rPr>
        <w:t xml:space="preserve"> </w:t>
      </w:r>
      <w:r w:rsidR="00000000" w:rsidRPr="00814C15">
        <w:rPr>
          <w:rFonts w:ascii="Arial" w:hAnsi="Arial"/>
          <w:b/>
          <w:bCs/>
          <w:noProof w:val="0"/>
          <w:rtl/>
        </w:rPr>
        <w:t>נזאר זרו נ' הממונה על חדלות פירעון מחוז ירושלים</w:t>
      </w:r>
      <w:r w:rsidR="00000000" w:rsidRPr="00091E0D">
        <w:rPr>
          <w:rFonts w:ascii="Arial" w:hAnsi="Arial"/>
          <w:noProof w:val="0"/>
          <w:rtl/>
        </w:rPr>
        <w:t xml:space="preserve"> (30.1.2025)</w:t>
      </w:r>
      <w:r w:rsidR="00000000">
        <w:rPr>
          <w:rFonts w:ascii="Arial" w:hAnsi="Arial" w:hint="cs"/>
          <w:noProof w:val="0"/>
          <w:rtl/>
        </w:rPr>
        <w:t>:</w:t>
      </w:r>
    </w:p>
    <w:p w14:paraId="5F7B8BB6" w14:textId="2E0D7CEA" w:rsidR="00BA20F7" w:rsidRDefault="00000000" w:rsidP="00BA20F7">
      <w:pPr>
        <w:pStyle w:val="1"/>
        <w:spacing w:line="360" w:lineRule="auto"/>
        <w:ind w:left="680" w:right="680"/>
        <w:jc w:val="both"/>
        <w:rPr>
          <w:rFonts w:ascii="Arial" w:hAnsi="Arial"/>
          <w:noProof w:val="0"/>
          <w:rtl/>
        </w:rPr>
      </w:pPr>
      <w:r w:rsidRPr="004352E4">
        <w:rPr>
          <w:rFonts w:ascii="Arial" w:hAnsi="Arial" w:hint="cs"/>
          <w:b/>
          <w:bCs/>
          <w:noProof w:val="0"/>
          <w:rtl/>
        </w:rPr>
        <w:t>"</w:t>
      </w:r>
      <w:r w:rsidRPr="004352E4">
        <w:rPr>
          <w:rFonts w:ascii="Arial" w:hAnsi="Arial"/>
          <w:b/>
          <w:bCs/>
          <w:noProof w:val="0"/>
          <w:rtl/>
        </w:rPr>
        <w:t>במקביל, גם המל"ל הכריע בתביעות החוב של המערערים. בהכרעתו, דן המל"ל בתביעות החוב של המערערים לגופן. באשר לרכיב הראשון, שולם למערערים החוב בהתאם לתקופת העסקתם בחברה, ובהתאם לשכר הבסיס כפי שדווח למל"ל ונרשם בתלושי המשכורת, תוך הפחתת הסכומים הנדרשים</w:t>
      </w:r>
      <w:r w:rsidRPr="004352E4">
        <w:rPr>
          <w:rFonts w:ascii="Arial" w:hAnsi="Arial"/>
          <w:b/>
          <w:bCs/>
          <w:noProof w:val="0"/>
          <w:u w:val="single"/>
          <w:rtl/>
        </w:rPr>
        <w:t xml:space="preserve">. באשר לרכיב השני, נדחו תביעות החוב, הן מן הטעם כי בהתאם </w:t>
      </w:r>
      <w:r w:rsidRPr="00D91973">
        <w:rPr>
          <w:rFonts w:ascii="Arial" w:hAnsi="Arial"/>
          <w:b/>
          <w:bCs/>
          <w:noProof w:val="0"/>
          <w:rtl/>
        </w:rPr>
        <w:t>ל</w:t>
      </w:r>
      <w:r w:rsidR="00D27030" w:rsidRPr="00D91973">
        <w:rPr>
          <w:rFonts w:ascii="Arial" w:hAnsi="Arial"/>
          <w:b/>
          <w:bCs/>
          <w:noProof w:val="0"/>
          <w:rtl/>
        </w:rPr>
        <w:t>חוק הביטוח הלאומי</w:t>
      </w:r>
      <w:r w:rsidRPr="00D91973">
        <w:rPr>
          <w:rFonts w:ascii="Arial" w:hAnsi="Arial"/>
          <w:b/>
          <w:bCs/>
          <w:noProof w:val="0"/>
          <w:rtl/>
        </w:rPr>
        <w:t>, ניתן לשלם רק בעד חוב שנוצר ב-12 החודשים האחרונים,</w:t>
      </w:r>
      <w:r w:rsidRPr="004352E4">
        <w:rPr>
          <w:rFonts w:ascii="Arial" w:hAnsi="Arial"/>
          <w:b/>
          <w:bCs/>
          <w:noProof w:val="0"/>
          <w:rtl/>
        </w:rPr>
        <w:t xml:space="preserve"> והן מן הטעם כי זכויותיהם של המערערים כבר שולמו במסגרת התביעות בגין תקופת העבודה באלנבאלי</w:t>
      </w:r>
      <w:r w:rsidRPr="004352E4">
        <w:rPr>
          <w:rFonts w:ascii="Arial" w:hAnsi="Arial" w:hint="cs"/>
          <w:b/>
          <w:bCs/>
          <w:noProof w:val="0"/>
          <w:rtl/>
        </w:rPr>
        <w:t xml:space="preserve">" (הדגשה אינה במקור) (שם, סע' 8)... </w:t>
      </w:r>
      <w:r w:rsidR="00D27030">
        <w:rPr>
          <w:b/>
          <w:bCs/>
          <w:color w:val="000000"/>
          <w:sz w:val="14"/>
          <w:szCs w:val="14"/>
          <w:shd w:val="clear" w:color="auto" w:fill="FFFFFF"/>
        </w:rPr>
        <w:t xml:space="preserve">  </w:t>
      </w:r>
      <w:r w:rsidRPr="004352E4">
        <w:rPr>
          <w:rFonts w:ascii="David" w:hAnsi="David"/>
          <w:b/>
          <w:bCs/>
          <w:color w:val="000000"/>
          <w:shd w:val="clear" w:color="auto" w:fill="FFFFFF"/>
          <w:rtl/>
        </w:rPr>
        <w:t>לאור האמור לעיל, כלל הערעורים נדחים אפוא</w:t>
      </w:r>
      <w:r>
        <w:rPr>
          <w:rFonts w:ascii="David" w:hAnsi="David" w:hint="cs"/>
          <w:color w:val="000000"/>
          <w:shd w:val="clear" w:color="auto" w:fill="FFFFFF"/>
          <w:rtl/>
        </w:rPr>
        <w:t xml:space="preserve"> (פסקה 45).</w:t>
      </w:r>
    </w:p>
    <w:p w14:paraId="21ABB3F0" w14:textId="77777777" w:rsidR="00BA20F7" w:rsidRDefault="00BA20F7" w:rsidP="00BA20F7">
      <w:pPr>
        <w:pStyle w:val="1"/>
        <w:spacing w:line="360" w:lineRule="auto"/>
        <w:ind w:left="-57" w:right="680"/>
        <w:jc w:val="both"/>
        <w:rPr>
          <w:rFonts w:ascii="Arial" w:hAnsi="Arial"/>
          <w:noProof w:val="0"/>
          <w:rtl/>
        </w:rPr>
      </w:pPr>
    </w:p>
    <w:p w14:paraId="5322CA77" w14:textId="562B0083" w:rsidR="00BA20F7" w:rsidRDefault="00D27030" w:rsidP="00BA20F7">
      <w:pPr>
        <w:pStyle w:val="1"/>
        <w:spacing w:line="360" w:lineRule="auto"/>
        <w:ind w:left="680" w:right="680"/>
        <w:jc w:val="both"/>
        <w:rPr>
          <w:rFonts w:ascii="Arial" w:hAnsi="Arial"/>
          <w:noProof w:val="0"/>
          <w:rtl/>
        </w:rPr>
      </w:pPr>
      <w:r w:rsidRPr="00D91973">
        <w:rPr>
          <w:rFonts w:ascii="Arial" w:hAnsi="Arial"/>
          <w:noProof w:val="0"/>
          <w:rtl/>
        </w:rPr>
        <w:t>סע"ש (אזורי ת"א) 9904-01-18</w:t>
      </w:r>
      <w:r w:rsidR="00000000" w:rsidRPr="00D91973">
        <w:rPr>
          <w:rFonts w:ascii="Arial" w:hAnsi="Arial"/>
          <w:noProof w:val="0"/>
          <w:rtl/>
        </w:rPr>
        <w:t xml:space="preserve"> </w:t>
      </w:r>
      <w:r w:rsidR="00000000" w:rsidRPr="00D91973">
        <w:rPr>
          <w:rFonts w:ascii="Arial" w:hAnsi="Arial"/>
          <w:b/>
          <w:bCs/>
          <w:noProof w:val="0"/>
        </w:rPr>
        <w:t>resom genet</w:t>
      </w:r>
      <w:r w:rsidR="00000000" w:rsidRPr="00D91973">
        <w:rPr>
          <w:rFonts w:ascii="Arial" w:hAnsi="Arial"/>
          <w:b/>
          <w:bCs/>
          <w:noProof w:val="0"/>
          <w:rtl/>
        </w:rPr>
        <w:t xml:space="preserve"> - אגודת השומרים בע"מ -</w:t>
      </w:r>
      <w:r w:rsidR="00000000" w:rsidRPr="00814C15">
        <w:rPr>
          <w:rFonts w:ascii="Arial" w:hAnsi="Arial"/>
          <w:b/>
          <w:bCs/>
          <w:noProof w:val="0"/>
          <w:rtl/>
        </w:rPr>
        <w:t xml:space="preserve"> בפירוק </w:t>
      </w:r>
      <w:r w:rsidR="00000000" w:rsidRPr="00814C15">
        <w:rPr>
          <w:rFonts w:ascii="Arial" w:hAnsi="Arial"/>
          <w:noProof w:val="0"/>
          <w:rtl/>
        </w:rPr>
        <w:t>(5.6.2019)</w:t>
      </w:r>
      <w:r w:rsidR="00000000">
        <w:rPr>
          <w:rFonts w:ascii="Arial" w:hAnsi="Arial" w:hint="cs"/>
          <w:noProof w:val="0"/>
          <w:rtl/>
        </w:rPr>
        <w:t xml:space="preserve">: </w:t>
      </w:r>
    </w:p>
    <w:p w14:paraId="78BE0D9F" w14:textId="2E25C5B0" w:rsidR="00BA20F7" w:rsidRDefault="00000000" w:rsidP="00BA20F7">
      <w:pPr>
        <w:pStyle w:val="1"/>
        <w:spacing w:line="360" w:lineRule="auto"/>
        <w:ind w:left="680" w:right="680"/>
        <w:jc w:val="both"/>
        <w:rPr>
          <w:rFonts w:ascii="Arial" w:hAnsi="Arial"/>
          <w:noProof w:val="0"/>
          <w:rtl/>
        </w:rPr>
      </w:pPr>
      <w:r w:rsidRPr="00D91973">
        <w:rPr>
          <w:rFonts w:ascii="Arial" w:hAnsi="Arial" w:hint="cs"/>
          <w:b/>
          <w:bCs/>
          <w:noProof w:val="0"/>
          <w:rtl/>
        </w:rPr>
        <w:t>"</w:t>
      </w:r>
      <w:r w:rsidRPr="00D91973">
        <w:rPr>
          <w:rFonts w:ascii="Arial" w:hAnsi="Arial"/>
          <w:b/>
          <w:bCs/>
          <w:noProof w:val="0"/>
          <w:rtl/>
        </w:rPr>
        <w:t>כך, למשל, סעיף 183 ל</w:t>
      </w:r>
      <w:r w:rsidR="00D27030" w:rsidRPr="00D91973">
        <w:rPr>
          <w:rFonts w:ascii="Arial" w:hAnsi="Arial"/>
          <w:b/>
          <w:bCs/>
          <w:noProof w:val="0"/>
          <w:rtl/>
        </w:rPr>
        <w:t>חוק הביטוח הלאומי</w:t>
      </w:r>
      <w:r w:rsidRPr="00D91973">
        <w:rPr>
          <w:rFonts w:ascii="Arial" w:hAnsi="Arial"/>
          <w:b/>
          <w:bCs/>
          <w:noProof w:val="0"/>
          <w:rtl/>
        </w:rPr>
        <w:t xml:space="preserve"> [נוסח משולב], התשנ"ה-1995</w:t>
      </w:r>
      <w:r w:rsidRPr="004352E4">
        <w:rPr>
          <w:rFonts w:ascii="Arial" w:hAnsi="Arial"/>
          <w:b/>
          <w:bCs/>
          <w:noProof w:val="0"/>
          <w:rtl/>
        </w:rPr>
        <w:t xml:space="preserve"> מגביל את הגמלה שהמוסד לביטוח לאומי רשאי לשלם במקרה של פשיטת רגל או פירוק מעסיק, באופן </w:t>
      </w:r>
      <w:r w:rsidRPr="004352E4">
        <w:rPr>
          <w:rFonts w:ascii="Arial" w:hAnsi="Arial"/>
          <w:b/>
          <w:bCs/>
          <w:noProof w:val="0"/>
          <w:u w:val="single"/>
          <w:rtl/>
        </w:rPr>
        <w:t>שחוב שכר העבודה שישולם לעובד לא יעלה על שכר העבודה בעד תקופה שקדמה ל-12 חודשים שקדמו למועד ניתוק יחסי העבודה</w:t>
      </w:r>
      <w:r w:rsidRPr="004352E4">
        <w:rPr>
          <w:rFonts w:ascii="Arial" w:hAnsi="Arial" w:hint="cs"/>
          <w:b/>
          <w:bCs/>
          <w:noProof w:val="0"/>
          <w:u w:val="single"/>
          <w:rtl/>
        </w:rPr>
        <w:t>"</w:t>
      </w:r>
      <w:r w:rsidRPr="004352E4">
        <w:rPr>
          <w:rFonts w:ascii="Arial" w:hAnsi="Arial" w:hint="cs"/>
          <w:noProof w:val="0"/>
          <w:rtl/>
        </w:rPr>
        <w:t xml:space="preserve"> </w:t>
      </w:r>
      <w:r>
        <w:rPr>
          <w:rFonts w:ascii="Arial" w:hAnsi="Arial" w:hint="cs"/>
          <w:noProof w:val="0"/>
          <w:rtl/>
        </w:rPr>
        <w:t>(פסקה 15).</w:t>
      </w:r>
    </w:p>
    <w:p w14:paraId="2E1D7729" w14:textId="77777777" w:rsidR="00BA20F7" w:rsidRDefault="00BA20F7" w:rsidP="00BA20F7">
      <w:pPr>
        <w:pStyle w:val="1"/>
        <w:spacing w:line="360" w:lineRule="auto"/>
        <w:ind w:left="-57" w:right="680"/>
        <w:jc w:val="both"/>
        <w:rPr>
          <w:rFonts w:ascii="Arial" w:hAnsi="Arial"/>
          <w:noProof w:val="0"/>
          <w:rtl/>
        </w:rPr>
      </w:pPr>
    </w:p>
    <w:p w14:paraId="3B713709" w14:textId="77777777" w:rsidR="00BA20F7" w:rsidRDefault="00000000" w:rsidP="00BA20F7">
      <w:pPr>
        <w:pStyle w:val="1"/>
        <w:numPr>
          <w:ilvl w:val="0"/>
          <w:numId w:val="1"/>
        </w:numPr>
        <w:spacing w:line="360" w:lineRule="auto"/>
        <w:ind w:left="-57" w:right="680" w:firstLine="0"/>
        <w:jc w:val="both"/>
        <w:rPr>
          <w:rFonts w:ascii="Arial" w:hAnsi="Arial"/>
          <w:noProof w:val="0"/>
        </w:rPr>
      </w:pPr>
      <w:r>
        <w:rPr>
          <w:rFonts w:ascii="Arial" w:hAnsi="Arial" w:hint="cs"/>
          <w:noProof w:val="0"/>
          <w:rtl/>
        </w:rPr>
        <w:t>מכל האמור לעיל, עולה כי אין מקום לטענות המערער. לשון החוק מגדירה בצורה ברורה וחד משמעית, אשר אינה משמעת לשתי פנים, כי המל"ל רשאי לשלם חוב שכר עבודה ופיצויי פיטורים עבור תקופה שאינה עולה על 12 חודשים, ותו לא.</w:t>
      </w:r>
    </w:p>
    <w:p w14:paraId="015937A1" w14:textId="77777777" w:rsidR="00BA20F7" w:rsidRDefault="00BA20F7" w:rsidP="00BA20F7">
      <w:pPr>
        <w:pStyle w:val="1"/>
        <w:spacing w:line="360" w:lineRule="auto"/>
        <w:ind w:left="-57" w:right="680"/>
        <w:jc w:val="both"/>
        <w:rPr>
          <w:rFonts w:ascii="Arial" w:hAnsi="Arial"/>
          <w:noProof w:val="0"/>
          <w:rtl/>
        </w:rPr>
      </w:pPr>
    </w:p>
    <w:p w14:paraId="56B7C96B" w14:textId="77777777" w:rsidR="00BA20F7" w:rsidRPr="00855821" w:rsidRDefault="00000000" w:rsidP="00BA20F7">
      <w:pPr>
        <w:pStyle w:val="1"/>
        <w:spacing w:line="360" w:lineRule="auto"/>
        <w:ind w:left="-57" w:right="680"/>
        <w:jc w:val="both"/>
        <w:rPr>
          <w:rFonts w:ascii="Arial" w:hAnsi="Arial"/>
          <w:b/>
          <w:bCs/>
          <w:noProof w:val="0"/>
          <w:rtl/>
        </w:rPr>
      </w:pPr>
      <w:r w:rsidRPr="00855821">
        <w:rPr>
          <w:rFonts w:ascii="Arial" w:hAnsi="Arial" w:hint="cs"/>
          <w:b/>
          <w:bCs/>
          <w:noProof w:val="0"/>
          <w:u w:val="single"/>
          <w:rtl/>
        </w:rPr>
        <w:t>סוף דבר</w:t>
      </w:r>
    </w:p>
    <w:p w14:paraId="63B6F4F9" w14:textId="77777777" w:rsidR="00BA20F7" w:rsidRDefault="00000000" w:rsidP="00BA20F7">
      <w:pPr>
        <w:pStyle w:val="1"/>
        <w:numPr>
          <w:ilvl w:val="0"/>
          <w:numId w:val="1"/>
        </w:numPr>
        <w:spacing w:line="360" w:lineRule="auto"/>
        <w:ind w:left="-57" w:right="680" w:firstLine="0"/>
        <w:jc w:val="both"/>
        <w:rPr>
          <w:rFonts w:ascii="Arial" w:hAnsi="Arial"/>
          <w:noProof w:val="0"/>
        </w:rPr>
      </w:pPr>
      <w:r>
        <w:rPr>
          <w:rFonts w:ascii="Arial" w:hAnsi="Arial" w:hint="cs"/>
          <w:noProof w:val="0"/>
          <w:rtl/>
        </w:rPr>
        <w:t xml:space="preserve">לאור כל האמור לעיל, כל טענותיו של המערער נידחות. לא מצאתי מקום להתערב בהחלטתו של המנהל המיוחד, שנתמכה על ידי המל"ל. הכרעת החוב (ההכרעה השלישית של המנהל המיוחד), על סך 53,296 ₪, תעמוד על כנה. </w:t>
      </w:r>
    </w:p>
    <w:p w14:paraId="7CE0D75C" w14:textId="77777777" w:rsidR="00BA20F7" w:rsidRDefault="00BA20F7" w:rsidP="00BA20F7">
      <w:pPr>
        <w:pStyle w:val="1"/>
        <w:spacing w:line="360" w:lineRule="auto"/>
        <w:ind w:left="-57" w:right="680"/>
        <w:jc w:val="both"/>
        <w:rPr>
          <w:rFonts w:ascii="Arial" w:hAnsi="Arial"/>
          <w:noProof w:val="0"/>
        </w:rPr>
      </w:pPr>
    </w:p>
    <w:p w14:paraId="58B2DBA2" w14:textId="77777777" w:rsidR="00BA20F7" w:rsidRDefault="00000000" w:rsidP="00BA20F7">
      <w:pPr>
        <w:pStyle w:val="1"/>
        <w:numPr>
          <w:ilvl w:val="0"/>
          <w:numId w:val="1"/>
        </w:numPr>
        <w:spacing w:line="360" w:lineRule="auto"/>
        <w:ind w:left="-57" w:right="680" w:firstLine="0"/>
        <w:jc w:val="both"/>
        <w:rPr>
          <w:rFonts w:ascii="Arial" w:hAnsi="Arial"/>
          <w:noProof w:val="0"/>
        </w:rPr>
      </w:pPr>
      <w:r>
        <w:rPr>
          <w:rFonts w:ascii="Arial" w:hAnsi="Arial" w:hint="cs"/>
          <w:noProof w:val="0"/>
          <w:rtl/>
        </w:rPr>
        <w:t>לאור התוצאה, על המערער לשלם למנהל המיוחד ולמל"ל הוצאות ושכ"ט עו"ד בסך כולל של 4,000 ₪ לכל אחד (בסך הכול- 8,000 ₪) וזאת תוך 45 ימים מהיום. לאחר מועד זה יתווספו לסכומים הנ"ל הפרשי הצמדה וריבית כחוק.</w:t>
      </w:r>
    </w:p>
    <w:p w14:paraId="60A0AF64" w14:textId="77777777" w:rsidR="00BA20F7" w:rsidRPr="003A2083" w:rsidRDefault="00BA20F7" w:rsidP="00BA20F7">
      <w:pPr>
        <w:pStyle w:val="1"/>
        <w:spacing w:line="360" w:lineRule="auto"/>
        <w:ind w:left="-57" w:right="680"/>
        <w:jc w:val="both"/>
        <w:rPr>
          <w:rFonts w:ascii="Arial" w:hAnsi="Arial"/>
          <w:b/>
          <w:bCs/>
          <w:noProof w:val="0"/>
          <w:rtl/>
        </w:rPr>
      </w:pPr>
    </w:p>
    <w:p w14:paraId="0F756B7E" w14:textId="77777777" w:rsidR="00BA20F7" w:rsidRDefault="00000000" w:rsidP="00BA20F7">
      <w:pPr>
        <w:pStyle w:val="1"/>
        <w:spacing w:line="360" w:lineRule="auto"/>
        <w:ind w:left="-57" w:right="680"/>
        <w:jc w:val="both"/>
        <w:rPr>
          <w:rFonts w:ascii="Arial" w:hAnsi="Arial"/>
          <w:b/>
          <w:bCs/>
          <w:noProof w:val="0"/>
          <w:rtl/>
        </w:rPr>
      </w:pPr>
      <w:r w:rsidRPr="00073C2A">
        <w:rPr>
          <w:rFonts w:ascii="Arial" w:hAnsi="Arial" w:hint="cs"/>
          <w:b/>
          <w:bCs/>
          <w:noProof w:val="0"/>
          <w:rtl/>
        </w:rPr>
        <w:t>המזכירות תמציא את פסק הדין לב"כ הצדדים.</w:t>
      </w:r>
    </w:p>
    <w:p w14:paraId="26A98449" w14:textId="77777777" w:rsidR="00D012F8" w:rsidRDefault="00D012F8" w:rsidP="00BA20F7">
      <w:pPr>
        <w:pStyle w:val="1"/>
        <w:spacing w:line="360" w:lineRule="auto"/>
        <w:ind w:left="-57" w:right="680"/>
        <w:jc w:val="both"/>
        <w:rPr>
          <w:rFonts w:ascii="Arial" w:hAnsi="Arial"/>
          <w:b/>
          <w:bCs/>
          <w:noProof w:val="0"/>
          <w:rtl/>
        </w:rPr>
      </w:pPr>
    </w:p>
    <w:p w14:paraId="5044B13F" w14:textId="77777777" w:rsidR="00D012F8" w:rsidRPr="00BA20F7" w:rsidRDefault="00000000" w:rsidP="00D012F8">
      <w:pPr>
        <w:jc w:val="center"/>
        <w:rPr>
          <w:rFonts w:cs="Times New Roman"/>
          <w:noProof w:val="0"/>
        </w:rPr>
      </w:pPr>
      <w:bookmarkStart w:id="7" w:name="Nitan"/>
      <w:r>
        <w:rPr>
          <w:rFonts w:ascii="Arial" w:hAnsi="Arial"/>
          <w:noProof w:val="0"/>
          <w:rtl/>
        </w:rPr>
        <w:t xml:space="preserve">ניתן היום, כ"ו חשוון תשפ"ו, 17 נובמבר 2025, בהעדר הצדדים. </w:t>
      </w:r>
      <w:bookmarkEnd w:id="7"/>
    </w:p>
    <w:p w14:paraId="765097B9" w14:textId="77777777" w:rsidR="00D012F8" w:rsidRPr="00D012F8" w:rsidRDefault="00D012F8" w:rsidP="00BA20F7">
      <w:pPr>
        <w:pStyle w:val="1"/>
        <w:spacing w:line="360" w:lineRule="auto"/>
        <w:ind w:left="-57" w:right="680"/>
        <w:jc w:val="both"/>
        <w:rPr>
          <w:rFonts w:ascii="Arial" w:hAnsi="Arial"/>
          <w:b/>
          <w:bCs/>
          <w:noProof w:val="0"/>
          <w:rtl/>
        </w:rPr>
      </w:pPr>
    </w:p>
    <w:p w14:paraId="0CD98C3F" w14:textId="77777777" w:rsidR="00BA20F7" w:rsidRDefault="00BA20F7" w:rsidP="00BA20F7">
      <w:pPr>
        <w:spacing w:line="360" w:lineRule="auto"/>
        <w:jc w:val="both"/>
        <w:rPr>
          <w:rFonts w:ascii="Arial" w:hAnsi="Arial"/>
          <w:noProof w:val="0"/>
          <w:rtl/>
        </w:rPr>
      </w:pPr>
    </w:p>
    <w:tbl>
      <w:tblPr>
        <w:bidiVisual/>
        <w:tblW w:w="3708" w:type="dxa"/>
        <w:tblInd w:w="4616" w:type="dxa"/>
        <w:tblBorders>
          <w:insideH w:val="single" w:sz="4" w:space="0" w:color="auto"/>
          <w:insideV w:val="single" w:sz="4" w:space="0" w:color="auto"/>
        </w:tblBorders>
        <w:tblLook w:val="01E0" w:firstRow="1" w:lastRow="1" w:firstColumn="1" w:lastColumn="1" w:noHBand="0" w:noVBand="0"/>
      </w:tblPr>
      <w:tblGrid>
        <w:gridCol w:w="3708"/>
      </w:tblGrid>
      <w:tr w:rsidR="00F97E58" w14:paraId="629D41F9" w14:textId="77777777" w:rsidTr="00BA20F7">
        <w:trPr>
          <w:trHeight w:val="364"/>
        </w:trPr>
        <w:tc>
          <w:tcPr>
            <w:tcW w:w="3708" w:type="dxa"/>
            <w:tcBorders>
              <w:top w:val="nil"/>
              <w:left w:val="nil"/>
              <w:bottom w:val="single" w:sz="4" w:space="0" w:color="auto"/>
              <w:right w:val="nil"/>
            </w:tcBorders>
          </w:tcPr>
          <w:p w14:paraId="10E60011" w14:textId="77777777" w:rsidR="00BA20F7" w:rsidRPr="00BA20F7" w:rsidRDefault="00BA20F7" w:rsidP="00D012F8">
            <w:pPr>
              <w:jc w:val="center"/>
              <w:rPr>
                <w:sz w:val="26"/>
                <w:szCs w:val="26"/>
              </w:rPr>
            </w:pPr>
          </w:p>
        </w:tc>
      </w:tr>
      <w:tr w:rsidR="00F97E58" w14:paraId="7669A49A" w14:textId="77777777" w:rsidTr="00BA20F7">
        <w:trPr>
          <w:trHeight w:val="415"/>
        </w:trPr>
        <w:tc>
          <w:tcPr>
            <w:tcW w:w="3708" w:type="dxa"/>
            <w:tcBorders>
              <w:top w:val="single" w:sz="4" w:space="0" w:color="auto"/>
              <w:left w:val="nil"/>
              <w:bottom w:val="nil"/>
              <w:right w:val="nil"/>
            </w:tcBorders>
          </w:tcPr>
          <w:p w14:paraId="45F8D755" w14:textId="77777777" w:rsidR="00BA20F7" w:rsidRPr="00BA20F7" w:rsidRDefault="00000000" w:rsidP="00BA20F7">
            <w:pPr>
              <w:jc w:val="center"/>
              <w:rPr>
                <w:b/>
                <w:bCs/>
                <w:sz w:val="26"/>
                <w:szCs w:val="26"/>
                <w:rtl/>
              </w:rPr>
            </w:pPr>
            <w:r w:rsidRPr="00BA20F7">
              <w:rPr>
                <w:b/>
                <w:bCs/>
                <w:sz w:val="26"/>
                <w:szCs w:val="26"/>
                <w:rtl/>
              </w:rPr>
              <w:t>אביגדור</w:t>
            </w:r>
            <w:r w:rsidRPr="00BA20F7">
              <w:rPr>
                <w:rFonts w:hint="cs"/>
                <w:b/>
                <w:bCs/>
                <w:sz w:val="26"/>
                <w:szCs w:val="26"/>
                <w:rtl/>
              </w:rPr>
              <w:t xml:space="preserve"> </w:t>
            </w:r>
            <w:r w:rsidRPr="00BA20F7">
              <w:rPr>
                <w:b/>
                <w:bCs/>
                <w:sz w:val="26"/>
                <w:szCs w:val="26"/>
                <w:rtl/>
              </w:rPr>
              <w:t>דורות</w:t>
            </w:r>
            <w:r w:rsidRPr="00BA20F7">
              <w:rPr>
                <w:rFonts w:hint="cs"/>
                <w:b/>
                <w:bCs/>
                <w:sz w:val="26"/>
                <w:szCs w:val="26"/>
                <w:rtl/>
              </w:rPr>
              <w:t xml:space="preserve">, </w:t>
            </w:r>
            <w:r w:rsidRPr="00BA20F7">
              <w:rPr>
                <w:b/>
                <w:bCs/>
                <w:sz w:val="26"/>
                <w:szCs w:val="26"/>
                <w:rtl/>
              </w:rPr>
              <w:t>שופט</w:t>
            </w:r>
          </w:p>
        </w:tc>
      </w:tr>
    </w:tbl>
    <w:p w14:paraId="4DDCA826" w14:textId="77777777" w:rsidR="00BA20F7" w:rsidRPr="00483278" w:rsidRDefault="00BA20F7" w:rsidP="00BA20F7">
      <w:pPr>
        <w:spacing w:line="360" w:lineRule="auto"/>
        <w:jc w:val="both"/>
        <w:rPr>
          <w:rFonts w:ascii="Arial" w:hAnsi="Arial"/>
          <w:noProof w:val="0"/>
          <w:highlight w:val="yellow"/>
        </w:rPr>
      </w:pPr>
    </w:p>
    <w:p w14:paraId="252B8B8E" w14:textId="77777777" w:rsidR="00BA20F7" w:rsidRDefault="00000000" w:rsidP="00BA20F7">
      <w:pPr>
        <w:tabs>
          <w:tab w:val="left" w:pos="2553"/>
        </w:tabs>
        <w:ind w:left="5040"/>
        <w:rPr>
          <w:rtl/>
        </w:rPr>
      </w:pPr>
      <w:r w:rsidRPr="00483278">
        <w:rPr>
          <w:rFonts w:hint="cs"/>
          <w:highlight w:val="yellow"/>
          <w:rtl/>
        </w:rPr>
        <w:t xml:space="preserve">     </w:t>
      </w:r>
    </w:p>
    <w:p w14:paraId="12958095" w14:textId="77777777" w:rsidR="00BA20F7" w:rsidRDefault="00000000" w:rsidP="00BA20F7">
      <w:pPr>
        <w:tabs>
          <w:tab w:val="left" w:pos="2553"/>
        </w:tabs>
        <w:rPr>
          <w:rFonts w:ascii="Arial" w:hAnsi="Arial"/>
          <w:noProof w:val="0"/>
          <w:rtl/>
        </w:rPr>
      </w:pPr>
      <w:r>
        <w:rPr>
          <w:rFonts w:hint="cs"/>
          <w:rtl/>
        </w:rPr>
        <w:tab/>
      </w:r>
      <w:r>
        <w:rPr>
          <w:rFonts w:hint="cs"/>
          <w:rtl/>
        </w:rPr>
        <w:tab/>
      </w:r>
      <w:r>
        <w:rPr>
          <w:rFonts w:hint="cs"/>
          <w:rtl/>
        </w:rPr>
        <w:tab/>
      </w:r>
      <w:r>
        <w:rPr>
          <w:rFonts w:hint="cs"/>
          <w:rtl/>
        </w:rPr>
        <w:tab/>
      </w:r>
    </w:p>
    <w:p w14:paraId="790272D3" w14:textId="7A1DB7E4" w:rsidR="00D27030" w:rsidRPr="00D27030" w:rsidRDefault="00D27030" w:rsidP="00C513AA">
      <w:pPr>
        <w:rPr>
          <w:color w:val="0000FF"/>
          <w:u w:val="single"/>
        </w:rPr>
      </w:pPr>
    </w:p>
    <w:sectPr w:rsidR="00D27030" w:rsidRPr="00D27030" w:rsidSect="00C513AA">
      <w:headerReference w:type="even" r:id="rId7"/>
      <w:headerReference w:type="default" r:id="rId8"/>
      <w:footerReference w:type="even" r:id="rId9"/>
      <w:footerReference w:type="default" r:id="rId10"/>
      <w:pgSz w:w="11907" w:h="16840" w:code="9"/>
      <w:pgMar w:top="1701" w:right="1800" w:bottom="1440" w:left="1800" w:header="720" w:footer="51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3239" w14:textId="77777777" w:rsidR="004D53C8" w:rsidRDefault="004D53C8">
      <w:r>
        <w:separator/>
      </w:r>
    </w:p>
  </w:endnote>
  <w:endnote w:type="continuationSeparator" w:id="0">
    <w:p w14:paraId="05F62A8E" w14:textId="77777777" w:rsidR="004D53C8" w:rsidRDefault="004D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4FA3" w14:textId="77777777" w:rsidR="00C513AA" w:rsidRDefault="00000000" w:rsidP="00C513AA">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4</w:t>
    </w:r>
    <w:r>
      <w:rPr>
        <w:rFonts w:ascii="FrankRuehl" w:hAnsi="FrankRuehl" w:cs="FrankRuehl"/>
        <w:rtl/>
      </w:rPr>
      <w:fldChar w:fldCharType="end"/>
    </w:r>
  </w:p>
  <w:p w14:paraId="3367D80A" w14:textId="34946C3C" w:rsidR="00D27030" w:rsidRPr="00C513AA" w:rsidRDefault="00D91973" w:rsidP="00C513AA">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28CCF6C2" wp14:editId="094EF187">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A9A7" w14:textId="77777777" w:rsidR="00C513AA" w:rsidRDefault="00000000" w:rsidP="00C513AA">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hint="cs"/>
      </w:rPr>
      <w:instrText>PAGE</w:instrText>
    </w:r>
    <w:r>
      <w:rPr>
        <w:rStyle w:val="a8"/>
        <w:rFonts w:ascii="FrankRuehl" w:hAnsi="FrankRuehl" w:cs="FrankRuehl" w:hint="cs"/>
        <w:rtl/>
      </w:rPr>
      <w:instrText xml:space="preserve">  \* </w:instrText>
    </w:r>
    <w:r>
      <w:rPr>
        <w:rStyle w:val="a8"/>
        <w:rFonts w:ascii="FrankRuehl" w:hAnsi="FrankRuehl" w:cs="FrankRuehl" w:hint="cs"/>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3E7B3F">
      <w:rPr>
        <w:rStyle w:val="a8"/>
        <w:rFonts w:ascii="FrankRuehl" w:hAnsi="FrankRuehl" w:cs="FrankRuehl"/>
        <w:rtl/>
      </w:rPr>
      <w:t>3</w:t>
    </w:r>
    <w:r>
      <w:rPr>
        <w:rStyle w:val="a8"/>
        <w:rFonts w:ascii="FrankRuehl" w:hAnsi="FrankRuehl" w:cs="FrankRuehl"/>
        <w:rtl/>
      </w:rPr>
      <w:fldChar w:fldCharType="end"/>
    </w:r>
  </w:p>
  <w:p w14:paraId="19FC5009" w14:textId="3A768C7F" w:rsidR="004561F3" w:rsidRPr="00C513AA" w:rsidRDefault="004561F3" w:rsidP="00C513AA">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3EA7" w14:textId="77777777" w:rsidR="004D53C8" w:rsidRDefault="004D53C8">
      <w:r>
        <w:separator/>
      </w:r>
    </w:p>
  </w:footnote>
  <w:footnote w:type="continuationSeparator" w:id="0">
    <w:p w14:paraId="369B9705" w14:textId="77777777" w:rsidR="004D53C8" w:rsidRDefault="004D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F132" w14:textId="77777777" w:rsidR="00D27030" w:rsidRPr="00C513AA" w:rsidRDefault="00C513AA" w:rsidP="00C513AA">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פרק (י-ם) 31095-03-22</w:t>
    </w:r>
    <w:r>
      <w:rPr>
        <w:rFonts w:ascii="David" w:hAnsi="David"/>
        <w:color w:val="000000"/>
        <w:sz w:val="22"/>
        <w:szCs w:val="22"/>
        <w:rtl/>
      </w:rPr>
      <w:tab/>
      <w:t xml:space="preserve"> א.י פרידמן ובנו קבלנים ירושלים בע"מ נ' כונס הנכסים הרשמי מחוז ירושלים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9912" w14:textId="77777777" w:rsidR="00D27030" w:rsidRPr="00C513AA" w:rsidRDefault="00C513AA" w:rsidP="00C513AA">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8" w:name="_Hlk215063313"/>
    <w:bookmarkStart w:id="9" w:name="_Hlk215063314"/>
    <w:bookmarkStart w:id="10" w:name="_Hlk215063315"/>
    <w:bookmarkStart w:id="11" w:name="_Hlk215063316"/>
    <w:r>
      <w:rPr>
        <w:rFonts w:ascii="David" w:hAnsi="David"/>
        <w:color w:val="000000"/>
        <w:sz w:val="22"/>
        <w:szCs w:val="22"/>
        <w:rtl/>
      </w:rPr>
      <w:t>פרק (י-ם) 31095-03-22</w:t>
    </w:r>
    <w:r>
      <w:rPr>
        <w:rFonts w:ascii="David" w:hAnsi="David"/>
        <w:color w:val="000000"/>
        <w:sz w:val="22"/>
        <w:szCs w:val="22"/>
        <w:rtl/>
      </w:rPr>
      <w:tab/>
      <w:t xml:space="preserve"> א.י פרידמן ובנו קבלנים ירושלים בע"מ נ' כונס הנכסים הרשמי מחוז ירושלים</w:t>
    </w:r>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C2184"/>
    <w:multiLevelType w:val="hybridMultilevel"/>
    <w:tmpl w:val="DED4ECE0"/>
    <w:lvl w:ilvl="0" w:tplc="E00CED6C">
      <w:start w:val="1"/>
      <w:numFmt w:val="decimal"/>
      <w:lvlText w:val="%1."/>
      <w:lvlJc w:val="left"/>
      <w:pPr>
        <w:ind w:left="720" w:hanging="360"/>
      </w:pPr>
      <w:rPr>
        <w:b w:val="0"/>
        <w:bCs w:val="0"/>
      </w:rPr>
    </w:lvl>
    <w:lvl w:ilvl="1" w:tplc="E1B45D8E" w:tentative="1">
      <w:start w:val="1"/>
      <w:numFmt w:val="lowerLetter"/>
      <w:lvlText w:val="%2."/>
      <w:lvlJc w:val="left"/>
      <w:pPr>
        <w:ind w:left="1440" w:hanging="360"/>
      </w:pPr>
    </w:lvl>
    <w:lvl w:ilvl="2" w:tplc="776CE656" w:tentative="1">
      <w:start w:val="1"/>
      <w:numFmt w:val="lowerRoman"/>
      <w:lvlText w:val="%3."/>
      <w:lvlJc w:val="right"/>
      <w:pPr>
        <w:ind w:left="2160" w:hanging="180"/>
      </w:pPr>
    </w:lvl>
    <w:lvl w:ilvl="3" w:tplc="2FD8E10A" w:tentative="1">
      <w:start w:val="1"/>
      <w:numFmt w:val="decimal"/>
      <w:lvlText w:val="%4."/>
      <w:lvlJc w:val="left"/>
      <w:pPr>
        <w:ind w:left="2880" w:hanging="360"/>
      </w:pPr>
    </w:lvl>
    <w:lvl w:ilvl="4" w:tplc="BDEC9CB8" w:tentative="1">
      <w:start w:val="1"/>
      <w:numFmt w:val="lowerLetter"/>
      <w:lvlText w:val="%5."/>
      <w:lvlJc w:val="left"/>
      <w:pPr>
        <w:ind w:left="3600" w:hanging="360"/>
      </w:pPr>
    </w:lvl>
    <w:lvl w:ilvl="5" w:tplc="B64C2AF4" w:tentative="1">
      <w:start w:val="1"/>
      <w:numFmt w:val="lowerRoman"/>
      <w:lvlText w:val="%6."/>
      <w:lvlJc w:val="right"/>
      <w:pPr>
        <w:ind w:left="4320" w:hanging="180"/>
      </w:pPr>
    </w:lvl>
    <w:lvl w:ilvl="6" w:tplc="17AC73FA" w:tentative="1">
      <w:start w:val="1"/>
      <w:numFmt w:val="decimal"/>
      <w:lvlText w:val="%7."/>
      <w:lvlJc w:val="left"/>
      <w:pPr>
        <w:ind w:left="5040" w:hanging="360"/>
      </w:pPr>
    </w:lvl>
    <w:lvl w:ilvl="7" w:tplc="9822FBEA" w:tentative="1">
      <w:start w:val="1"/>
      <w:numFmt w:val="lowerLetter"/>
      <w:lvlText w:val="%8."/>
      <w:lvlJc w:val="left"/>
      <w:pPr>
        <w:ind w:left="5760" w:hanging="360"/>
      </w:pPr>
    </w:lvl>
    <w:lvl w:ilvl="8" w:tplc="F1666C08" w:tentative="1">
      <w:start w:val="1"/>
      <w:numFmt w:val="lowerRoman"/>
      <w:lvlText w:val="%9."/>
      <w:lvlJc w:val="right"/>
      <w:pPr>
        <w:ind w:left="6480" w:hanging="180"/>
      </w:pPr>
    </w:lvl>
  </w:abstractNum>
  <w:abstractNum w:abstractNumId="1" w15:restartNumberingAfterBreak="0">
    <w:nsid w:val="577859BA"/>
    <w:multiLevelType w:val="hybridMultilevel"/>
    <w:tmpl w:val="E9562F5E"/>
    <w:lvl w:ilvl="0" w:tplc="DC229912">
      <w:start w:val="1"/>
      <w:numFmt w:val="hebrew1"/>
      <w:lvlText w:val="(%1)"/>
      <w:lvlJc w:val="left"/>
      <w:pPr>
        <w:ind w:left="1100" w:hanging="420"/>
      </w:pPr>
      <w:rPr>
        <w:rFonts w:hint="default"/>
      </w:rPr>
    </w:lvl>
    <w:lvl w:ilvl="1" w:tplc="F30EFB3C" w:tentative="1">
      <w:start w:val="1"/>
      <w:numFmt w:val="lowerLetter"/>
      <w:lvlText w:val="%2."/>
      <w:lvlJc w:val="left"/>
      <w:pPr>
        <w:ind w:left="1760" w:hanging="360"/>
      </w:pPr>
    </w:lvl>
    <w:lvl w:ilvl="2" w:tplc="CAEE85AA" w:tentative="1">
      <w:start w:val="1"/>
      <w:numFmt w:val="lowerRoman"/>
      <w:lvlText w:val="%3."/>
      <w:lvlJc w:val="right"/>
      <w:pPr>
        <w:ind w:left="2480" w:hanging="180"/>
      </w:pPr>
    </w:lvl>
    <w:lvl w:ilvl="3" w:tplc="60C01F82" w:tentative="1">
      <w:start w:val="1"/>
      <w:numFmt w:val="decimal"/>
      <w:lvlText w:val="%4."/>
      <w:lvlJc w:val="left"/>
      <w:pPr>
        <w:ind w:left="3200" w:hanging="360"/>
      </w:pPr>
    </w:lvl>
    <w:lvl w:ilvl="4" w:tplc="357C47CE" w:tentative="1">
      <w:start w:val="1"/>
      <w:numFmt w:val="lowerLetter"/>
      <w:lvlText w:val="%5."/>
      <w:lvlJc w:val="left"/>
      <w:pPr>
        <w:ind w:left="3920" w:hanging="360"/>
      </w:pPr>
    </w:lvl>
    <w:lvl w:ilvl="5" w:tplc="20C0E514" w:tentative="1">
      <w:start w:val="1"/>
      <w:numFmt w:val="lowerRoman"/>
      <w:lvlText w:val="%6."/>
      <w:lvlJc w:val="right"/>
      <w:pPr>
        <w:ind w:left="4640" w:hanging="180"/>
      </w:pPr>
    </w:lvl>
    <w:lvl w:ilvl="6" w:tplc="C4FC78D8" w:tentative="1">
      <w:start w:val="1"/>
      <w:numFmt w:val="decimal"/>
      <w:lvlText w:val="%7."/>
      <w:lvlJc w:val="left"/>
      <w:pPr>
        <w:ind w:left="5360" w:hanging="360"/>
      </w:pPr>
    </w:lvl>
    <w:lvl w:ilvl="7" w:tplc="8DC405A6" w:tentative="1">
      <w:start w:val="1"/>
      <w:numFmt w:val="lowerLetter"/>
      <w:lvlText w:val="%8."/>
      <w:lvlJc w:val="left"/>
      <w:pPr>
        <w:ind w:left="6080" w:hanging="360"/>
      </w:pPr>
    </w:lvl>
    <w:lvl w:ilvl="8" w:tplc="2B4EC94C" w:tentative="1">
      <w:start w:val="1"/>
      <w:numFmt w:val="lowerRoman"/>
      <w:lvlText w:val="%9."/>
      <w:lvlJc w:val="right"/>
      <w:pPr>
        <w:ind w:left="6800" w:hanging="180"/>
      </w:pPr>
    </w:lvl>
  </w:abstractNum>
  <w:num w:numId="1" w16cid:durableId="1741168848">
    <w:abstractNumId w:val="0"/>
  </w:num>
  <w:num w:numId="2" w16cid:durableId="1023290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BA20F7"/>
    <w:rsid w:val="00013C2A"/>
    <w:rsid w:val="000268BB"/>
    <w:rsid w:val="0003090A"/>
    <w:rsid w:val="00032763"/>
    <w:rsid w:val="000703F4"/>
    <w:rsid w:val="00073C2A"/>
    <w:rsid w:val="00082F09"/>
    <w:rsid w:val="00091E0D"/>
    <w:rsid w:val="000B7D55"/>
    <w:rsid w:val="00144941"/>
    <w:rsid w:val="00147BAB"/>
    <w:rsid w:val="00175D57"/>
    <w:rsid w:val="00195AB4"/>
    <w:rsid w:val="001A791E"/>
    <w:rsid w:val="001B5A3B"/>
    <w:rsid w:val="001B6617"/>
    <w:rsid w:val="001E5C78"/>
    <w:rsid w:val="00233429"/>
    <w:rsid w:val="00246070"/>
    <w:rsid w:val="00292C8F"/>
    <w:rsid w:val="002A7944"/>
    <w:rsid w:val="002E154A"/>
    <w:rsid w:val="0032205E"/>
    <w:rsid w:val="0036428E"/>
    <w:rsid w:val="003A2083"/>
    <w:rsid w:val="003B30C1"/>
    <w:rsid w:val="003E7B3F"/>
    <w:rsid w:val="0041169B"/>
    <w:rsid w:val="004352E4"/>
    <w:rsid w:val="00455DBE"/>
    <w:rsid w:val="004561F3"/>
    <w:rsid w:val="00483278"/>
    <w:rsid w:val="004D53C8"/>
    <w:rsid w:val="00544852"/>
    <w:rsid w:val="005A6A22"/>
    <w:rsid w:val="005F6255"/>
    <w:rsid w:val="006204B3"/>
    <w:rsid w:val="00632BB5"/>
    <w:rsid w:val="0064031E"/>
    <w:rsid w:val="00686A8F"/>
    <w:rsid w:val="00697ABD"/>
    <w:rsid w:val="00707FE1"/>
    <w:rsid w:val="007320B3"/>
    <w:rsid w:val="00783E5D"/>
    <w:rsid w:val="00794951"/>
    <w:rsid w:val="00814C15"/>
    <w:rsid w:val="00855821"/>
    <w:rsid w:val="008867F9"/>
    <w:rsid w:val="0089441D"/>
    <w:rsid w:val="00913721"/>
    <w:rsid w:val="00924F02"/>
    <w:rsid w:val="00960311"/>
    <w:rsid w:val="0098442E"/>
    <w:rsid w:val="009A21AB"/>
    <w:rsid w:val="009A2492"/>
    <w:rsid w:val="009D302D"/>
    <w:rsid w:val="00A160DA"/>
    <w:rsid w:val="00A52550"/>
    <w:rsid w:val="00A67B0B"/>
    <w:rsid w:val="00A718B1"/>
    <w:rsid w:val="00A86933"/>
    <w:rsid w:val="00AB040D"/>
    <w:rsid w:val="00AB60C1"/>
    <w:rsid w:val="00AF277A"/>
    <w:rsid w:val="00AF3CDB"/>
    <w:rsid w:val="00AF65C0"/>
    <w:rsid w:val="00B042A4"/>
    <w:rsid w:val="00B145F2"/>
    <w:rsid w:val="00B407FB"/>
    <w:rsid w:val="00B65DDA"/>
    <w:rsid w:val="00B75EE8"/>
    <w:rsid w:val="00BA20F7"/>
    <w:rsid w:val="00C21BE9"/>
    <w:rsid w:val="00C37F70"/>
    <w:rsid w:val="00C513AA"/>
    <w:rsid w:val="00C63595"/>
    <w:rsid w:val="00C817BF"/>
    <w:rsid w:val="00CF528F"/>
    <w:rsid w:val="00D012F8"/>
    <w:rsid w:val="00D27030"/>
    <w:rsid w:val="00D32111"/>
    <w:rsid w:val="00D46806"/>
    <w:rsid w:val="00D91973"/>
    <w:rsid w:val="00DC44BE"/>
    <w:rsid w:val="00E23321"/>
    <w:rsid w:val="00E24FAB"/>
    <w:rsid w:val="00E70507"/>
    <w:rsid w:val="00E90816"/>
    <w:rsid w:val="00F27BE8"/>
    <w:rsid w:val="00F316CE"/>
    <w:rsid w:val="00F31905"/>
    <w:rsid w:val="00F327B7"/>
    <w:rsid w:val="00F60C89"/>
    <w:rsid w:val="00F70336"/>
    <w:rsid w:val="00F97E58"/>
    <w:rsid w:val="00FA0807"/>
    <w:rsid w:val="00FA65BB"/>
    <w:rsid w:val="00FB7828"/>
    <w:rsid w:val="00FF09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61664"/>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20F7"/>
    <w:pPr>
      <w:bidi/>
    </w:pPr>
    <w:rPr>
      <w:rFonts w:ascii="Times New Roman" w:eastAsia="Times New Roman" w:hAnsi="Times New Roman" w:cs="David"/>
      <w:noProof/>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20F7"/>
    <w:pPr>
      <w:tabs>
        <w:tab w:val="center" w:pos="4153"/>
        <w:tab w:val="right" w:pos="8306"/>
      </w:tabs>
    </w:pPr>
  </w:style>
  <w:style w:type="character" w:customStyle="1" w:styleId="a4">
    <w:name w:val="כותרת עליונה תו"/>
    <w:link w:val="a3"/>
    <w:rsid w:val="00BA20F7"/>
    <w:rPr>
      <w:rFonts w:ascii="Times New Roman" w:eastAsia="Times New Roman" w:hAnsi="Times New Roman" w:cs="David"/>
      <w:noProof/>
      <w:sz w:val="24"/>
      <w:szCs w:val="24"/>
    </w:rPr>
  </w:style>
  <w:style w:type="paragraph" w:styleId="a5">
    <w:name w:val="footer"/>
    <w:basedOn w:val="a"/>
    <w:link w:val="a6"/>
    <w:rsid w:val="00BA20F7"/>
    <w:pPr>
      <w:tabs>
        <w:tab w:val="center" w:pos="4153"/>
        <w:tab w:val="right" w:pos="8306"/>
      </w:tabs>
    </w:pPr>
  </w:style>
  <w:style w:type="character" w:customStyle="1" w:styleId="a6">
    <w:name w:val="כותרת תחתונה תו"/>
    <w:link w:val="a5"/>
    <w:rsid w:val="00BA20F7"/>
    <w:rPr>
      <w:rFonts w:ascii="Times New Roman" w:eastAsia="Times New Roman" w:hAnsi="Times New Roman" w:cs="David"/>
      <w:noProof/>
      <w:sz w:val="24"/>
      <w:szCs w:val="24"/>
    </w:rPr>
  </w:style>
  <w:style w:type="table" w:styleId="a7">
    <w:name w:val="Table Grid"/>
    <w:basedOn w:val="a1"/>
    <w:rsid w:val="00BA20F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BA20F7"/>
  </w:style>
  <w:style w:type="paragraph" w:customStyle="1" w:styleId="1">
    <w:name w:val="פיסקת רשימה1"/>
    <w:basedOn w:val="a"/>
    <w:qFormat/>
    <w:rsid w:val="00BA20F7"/>
    <w:pPr>
      <w:ind w:left="720"/>
      <w:contextualSpacing/>
    </w:pPr>
  </w:style>
  <w:style w:type="character" w:styleId="a9">
    <w:name w:val="line number"/>
    <w:rsid w:val="00BA20F7"/>
  </w:style>
  <w:style w:type="character" w:styleId="Hyperlink">
    <w:name w:val="Hyperlink"/>
    <w:rsid w:val="00D27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4010</Words>
  <Characters>20051</Characters>
  <Application>Microsoft Office Word</Application>
  <DocSecurity>0</DocSecurity>
  <Lines>167</Lines>
  <Paragraphs>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2025-11-26T13:54:00Z</dcterms:created>
  <dcterms:modified xsi:type="dcterms:W3CDTF">2025-11-26T13:54:00Z</dcterms:modified>
</cp:coreProperties>
</file>