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326F" w14:textId="7E92410C" w:rsidR="00000000" w:rsidRDefault="00000000" w:rsidP="00A66047">
      <w:pPr>
        <w:ind w:left="4536" w:right="3033"/>
        <w:divId w:val="1825853653"/>
        <w:rPr>
          <w:rFonts w:ascii="David" w:eastAsia="Times New Roman" w:hAnsi="David" w:cs="David"/>
        </w:rPr>
      </w:pPr>
    </w:p>
    <w:p w14:paraId="579180D9" w14:textId="77777777" w:rsidR="00000000" w:rsidRDefault="00000000">
      <w:pPr>
        <w:pStyle w:val="idhidden"/>
      </w:pPr>
      <w:r>
        <w:rPr>
          <w:rtl/>
        </w:rPr>
        <w:t>takd_id: תא@2995-04-26;takd_s:20260517;takd_d:17.05.2026;takd_u:18.05.2026;mms_s:מחוזי;mms_p:6784;mms_y:2026;mms_v:2;orig_filename:a08d5ce65f254582b5f3998d1c4ab842.html;taktzir_exist:0;kt_exist:0;</w:t>
      </w:r>
    </w:p>
    <w:tbl>
      <w:tblPr>
        <w:bidiVisual/>
        <w:tblW w:w="0" w:type="auto"/>
        <w:jc w:val="center"/>
        <w:tblCellMar>
          <w:left w:w="0" w:type="dxa"/>
          <w:right w:w="0" w:type="dxa"/>
        </w:tblCellMar>
        <w:tblLook w:val="04A0" w:firstRow="1" w:lastRow="0" w:firstColumn="1" w:lastColumn="0" w:noHBand="0" w:noVBand="1"/>
      </w:tblPr>
      <w:tblGrid>
        <w:gridCol w:w="4815"/>
        <w:gridCol w:w="3497"/>
      </w:tblGrid>
      <w:tr w:rsidR="00000000" w14:paraId="6539084C" w14:textId="77777777">
        <w:trPr>
          <w:trHeight w:val="993"/>
          <w:jc w:val="center"/>
        </w:trPr>
        <w:tc>
          <w:tcPr>
            <w:tcW w:w="8721" w:type="dxa"/>
            <w:gridSpan w:val="2"/>
            <w:tcMar>
              <w:top w:w="0" w:type="dxa"/>
              <w:left w:w="108" w:type="dxa"/>
              <w:bottom w:w="0" w:type="dxa"/>
              <w:right w:w="108" w:type="dxa"/>
            </w:tcMar>
            <w:hideMark/>
          </w:tcPr>
          <w:p w14:paraId="0408EB57" w14:textId="77777777" w:rsidR="00000000" w:rsidRDefault="00000000">
            <w:pPr>
              <w:pStyle w:val="a3"/>
              <w:bidi/>
              <w:jc w:val="center"/>
              <w:rPr>
                <w:rtl/>
              </w:rPr>
            </w:pPr>
            <w:r>
              <w:rPr>
                <w:rStyle w:val="f4dinim"/>
                <w:rFonts w:ascii="David" w:hAnsi="David" w:cs="David"/>
                <w:color w:val="000080"/>
                <w:sz w:val="32"/>
                <w:szCs w:val="32"/>
                <w:rtl/>
              </w:rPr>
              <w:t>בית המשפט המחוזי בתל אביב -יפו</w:t>
            </w:r>
          </w:p>
        </w:tc>
      </w:tr>
      <w:tr w:rsidR="00000000" w14:paraId="28D77A7B" w14:textId="77777777">
        <w:trPr>
          <w:trHeight w:val="337"/>
          <w:jc w:val="center"/>
        </w:trPr>
        <w:tc>
          <w:tcPr>
            <w:tcW w:w="5047" w:type="dxa"/>
            <w:tcMar>
              <w:top w:w="0" w:type="dxa"/>
              <w:left w:w="108" w:type="dxa"/>
              <w:bottom w:w="0" w:type="dxa"/>
              <w:right w:w="108" w:type="dxa"/>
            </w:tcMar>
            <w:hideMark/>
          </w:tcPr>
          <w:p w14:paraId="58004571" w14:textId="77777777" w:rsidR="00000000" w:rsidRDefault="00000000">
            <w:pPr>
              <w:bidi/>
              <w:rPr>
                <w:rtl/>
              </w:rPr>
            </w:pPr>
            <w:r>
              <w:rPr>
                <w:rFonts w:ascii="David" w:hAnsi="David" w:cs="David"/>
                <w:sz w:val="26"/>
                <w:szCs w:val="26"/>
                <w:rtl/>
              </w:rPr>
              <w:t> </w:t>
            </w:r>
          </w:p>
        </w:tc>
        <w:tc>
          <w:tcPr>
            <w:tcW w:w="3674" w:type="dxa"/>
            <w:tcMar>
              <w:top w:w="0" w:type="dxa"/>
              <w:left w:w="108" w:type="dxa"/>
              <w:bottom w:w="0" w:type="dxa"/>
              <w:right w:w="108" w:type="dxa"/>
            </w:tcMar>
            <w:hideMark/>
          </w:tcPr>
          <w:p w14:paraId="1D74E73B" w14:textId="77777777" w:rsidR="00000000" w:rsidRDefault="00000000">
            <w:pPr>
              <w:pStyle w:val="a3"/>
              <w:bidi/>
              <w:jc w:val="right"/>
              <w:rPr>
                <w:rtl/>
              </w:rPr>
            </w:pPr>
            <w:r>
              <w:rPr>
                <w:rFonts w:ascii="David" w:hAnsi="David" w:cs="David"/>
                <w:sz w:val="26"/>
                <w:szCs w:val="26"/>
                <w:rtl/>
              </w:rPr>
              <w:t> </w:t>
            </w:r>
          </w:p>
        </w:tc>
      </w:tr>
      <w:tr w:rsidR="00000000" w14:paraId="46A5622C" w14:textId="77777777">
        <w:trPr>
          <w:trHeight w:val="337"/>
          <w:jc w:val="center"/>
        </w:trPr>
        <w:tc>
          <w:tcPr>
            <w:tcW w:w="8721" w:type="dxa"/>
            <w:gridSpan w:val="2"/>
            <w:tcMar>
              <w:top w:w="0" w:type="dxa"/>
              <w:left w:w="108" w:type="dxa"/>
              <w:bottom w:w="0" w:type="dxa"/>
              <w:right w:w="108" w:type="dxa"/>
            </w:tcMar>
            <w:hideMark/>
          </w:tcPr>
          <w:p w14:paraId="6D82956D" w14:textId="77777777" w:rsidR="00000000" w:rsidRDefault="00000000">
            <w:pPr>
              <w:bidi/>
              <w:rPr>
                <w:rtl/>
              </w:rPr>
            </w:pPr>
            <w:r>
              <w:rPr>
                <w:rStyle w:val="f40dinim"/>
                <w:rFonts w:ascii="David" w:hAnsi="David" w:cs="David"/>
                <w:sz w:val="26"/>
                <w:szCs w:val="26"/>
                <w:rtl/>
              </w:rPr>
              <w:t>ת"א 2995-04-26</w:t>
            </w:r>
            <w:r>
              <w:rPr>
                <w:rFonts w:ascii="David" w:hAnsi="David" w:cs="David"/>
                <w:sz w:val="26"/>
                <w:szCs w:val="26"/>
                <w:rtl/>
              </w:rPr>
              <w:t xml:space="preserve"> </w:t>
            </w:r>
            <w:proofErr w:type="spellStart"/>
            <w:r>
              <w:rPr>
                <w:rFonts w:ascii="David" w:hAnsi="David" w:cs="David"/>
                <w:sz w:val="26"/>
                <w:szCs w:val="26"/>
                <w:rtl/>
              </w:rPr>
              <w:t>סוסיאדד</w:t>
            </w:r>
            <w:proofErr w:type="spellEnd"/>
            <w:r>
              <w:rPr>
                <w:rFonts w:ascii="David" w:hAnsi="David" w:cs="David"/>
                <w:sz w:val="26"/>
                <w:szCs w:val="26"/>
                <w:rtl/>
              </w:rPr>
              <w:t xml:space="preserve"> </w:t>
            </w:r>
            <w:proofErr w:type="spellStart"/>
            <w:r>
              <w:rPr>
                <w:rFonts w:ascii="David" w:hAnsi="David" w:cs="David"/>
                <w:sz w:val="26"/>
                <w:szCs w:val="26"/>
                <w:rtl/>
              </w:rPr>
              <w:t>אספנולה</w:t>
            </w:r>
            <w:proofErr w:type="spellEnd"/>
            <w:r>
              <w:rPr>
                <w:rFonts w:ascii="David" w:hAnsi="David" w:cs="David"/>
                <w:sz w:val="26"/>
                <w:szCs w:val="26"/>
                <w:rtl/>
              </w:rPr>
              <w:t xml:space="preserve"> דה </w:t>
            </w:r>
            <w:proofErr w:type="spellStart"/>
            <w:r>
              <w:rPr>
                <w:rFonts w:ascii="David" w:hAnsi="David" w:cs="David"/>
                <w:sz w:val="26"/>
                <w:szCs w:val="26"/>
                <w:rtl/>
              </w:rPr>
              <w:t>מונטאיס</w:t>
            </w:r>
            <w:proofErr w:type="spellEnd"/>
            <w:r>
              <w:rPr>
                <w:rFonts w:ascii="David" w:hAnsi="David" w:cs="David"/>
                <w:sz w:val="26"/>
                <w:szCs w:val="26"/>
                <w:rtl/>
              </w:rPr>
              <w:t xml:space="preserve"> </w:t>
            </w:r>
            <w:proofErr w:type="spellStart"/>
            <w:r>
              <w:rPr>
                <w:rFonts w:ascii="David" w:hAnsi="David" w:cs="David"/>
                <w:sz w:val="26"/>
                <w:szCs w:val="26"/>
                <w:rtl/>
              </w:rPr>
              <w:t>אינדסטריאלס</w:t>
            </w:r>
            <w:proofErr w:type="spellEnd"/>
            <w:r>
              <w:rPr>
                <w:rFonts w:ascii="David" w:hAnsi="David" w:cs="David"/>
                <w:sz w:val="26"/>
                <w:szCs w:val="26"/>
                <w:rtl/>
              </w:rPr>
              <w:t xml:space="preserve"> </w:t>
            </w:r>
            <w:proofErr w:type="spellStart"/>
            <w:r>
              <w:rPr>
                <w:rFonts w:ascii="David" w:hAnsi="David" w:cs="David"/>
                <w:sz w:val="26"/>
                <w:szCs w:val="26"/>
                <w:rtl/>
              </w:rPr>
              <w:t>אס.איי</w:t>
            </w:r>
            <w:proofErr w:type="spellEnd"/>
            <w:r>
              <w:rPr>
                <w:rFonts w:ascii="David" w:hAnsi="David" w:cs="David"/>
                <w:sz w:val="26"/>
                <w:szCs w:val="26"/>
                <w:rtl/>
              </w:rPr>
              <w:t xml:space="preserve"> נ' רכבת ישראל בע"מ</w:t>
            </w:r>
          </w:p>
          <w:p w14:paraId="45AB6125" w14:textId="77777777" w:rsidR="00000000" w:rsidRDefault="00000000">
            <w:pPr>
              <w:bidi/>
              <w:rPr>
                <w:rtl/>
              </w:rPr>
            </w:pPr>
            <w:r>
              <w:rPr>
                <w:rFonts w:ascii="David" w:hAnsi="David" w:cs="David"/>
                <w:sz w:val="26"/>
                <w:szCs w:val="26"/>
                <w:rtl/>
              </w:rPr>
              <w:t> </w:t>
            </w:r>
          </w:p>
          <w:p w14:paraId="5ABAADAB" w14:textId="77777777" w:rsidR="00000000" w:rsidRDefault="00000000">
            <w:pPr>
              <w:bidi/>
              <w:rPr>
                <w:rtl/>
              </w:rPr>
            </w:pPr>
            <w:r>
              <w:rPr>
                <w:rFonts w:ascii="David" w:hAnsi="David" w:cs="David"/>
                <w:sz w:val="26"/>
                <w:szCs w:val="26"/>
                <w:rtl/>
              </w:rPr>
              <w:t> </w:t>
            </w:r>
          </w:p>
        </w:tc>
      </w:tr>
    </w:tbl>
    <w:p w14:paraId="51B3FEC9" w14:textId="77777777" w:rsidR="00000000" w:rsidRDefault="00000000">
      <w:pPr>
        <w:bidi/>
        <w:rPr>
          <w:rtl/>
        </w:rPr>
      </w:pPr>
      <w:r>
        <w:rPr>
          <w:rFonts w:ascii="David" w:hAnsi="David" w:cs="David"/>
          <w:sz w:val="28"/>
          <w:szCs w:val="28"/>
          <w:rtl/>
        </w:rPr>
        <w:t> </w:t>
      </w:r>
    </w:p>
    <w:p w14:paraId="014245D5" w14:textId="77777777" w:rsidR="00000000" w:rsidRDefault="00000000">
      <w:pPr>
        <w:bidi/>
        <w:rPr>
          <w:rtl/>
        </w:rPr>
      </w:pPr>
      <w:r>
        <w:rPr>
          <w:rFonts w:ascii="David" w:hAnsi="David" w:cs="David"/>
          <w:sz w:val="28"/>
          <w:szCs w:val="28"/>
          <w:rtl/>
        </w:rPr>
        <w:t> </w:t>
      </w:r>
    </w:p>
    <w:tbl>
      <w:tblPr>
        <w:bidiVisual/>
        <w:tblW w:w="8820" w:type="dxa"/>
        <w:jc w:val="center"/>
        <w:tblCellMar>
          <w:left w:w="0" w:type="dxa"/>
          <w:right w:w="0" w:type="dxa"/>
        </w:tblCellMar>
        <w:tblLook w:val="04A0" w:firstRow="1" w:lastRow="0" w:firstColumn="1" w:lastColumn="0" w:noHBand="0" w:noVBand="1"/>
      </w:tblPr>
      <w:tblGrid>
        <w:gridCol w:w="751"/>
        <w:gridCol w:w="2502"/>
        <w:gridCol w:w="1797"/>
        <w:gridCol w:w="3770"/>
      </w:tblGrid>
      <w:tr w:rsidR="00000000" w14:paraId="6FA18437" w14:textId="77777777">
        <w:trPr>
          <w:trHeight w:val="295"/>
          <w:jc w:val="center"/>
        </w:trPr>
        <w:tc>
          <w:tcPr>
            <w:tcW w:w="5049" w:type="dxa"/>
            <w:gridSpan w:val="3"/>
            <w:tcMar>
              <w:top w:w="0" w:type="dxa"/>
              <w:left w:w="108" w:type="dxa"/>
              <w:bottom w:w="0" w:type="dxa"/>
              <w:right w:w="108" w:type="dxa"/>
            </w:tcMar>
            <w:hideMark/>
          </w:tcPr>
          <w:p w14:paraId="667DA390" w14:textId="77777777" w:rsidR="00000000" w:rsidRDefault="00000000">
            <w:pPr>
              <w:bidi/>
              <w:rPr>
                <w:rtl/>
              </w:rPr>
            </w:pPr>
            <w:r>
              <w:rPr>
                <w:rFonts w:ascii="David" w:hAnsi="David" w:cs="David"/>
                <w:sz w:val="28"/>
                <w:szCs w:val="28"/>
                <w:rtl/>
              </w:rPr>
              <w:t> </w:t>
            </w:r>
          </w:p>
        </w:tc>
        <w:tc>
          <w:tcPr>
            <w:tcW w:w="3771" w:type="dxa"/>
            <w:tcMar>
              <w:top w:w="0" w:type="dxa"/>
              <w:left w:w="108" w:type="dxa"/>
              <w:bottom w:w="0" w:type="dxa"/>
              <w:right w:w="108" w:type="dxa"/>
            </w:tcMar>
            <w:hideMark/>
          </w:tcPr>
          <w:p w14:paraId="7CF8CB70" w14:textId="77777777" w:rsidR="00000000" w:rsidRDefault="00000000">
            <w:pPr>
              <w:bidi/>
              <w:ind w:left="1539" w:hanging="1539"/>
              <w:rPr>
                <w:rtl/>
              </w:rPr>
            </w:pPr>
            <w:r>
              <w:rPr>
                <w:rFonts w:ascii="David" w:hAnsi="David" w:cs="David"/>
                <w:sz w:val="28"/>
                <w:szCs w:val="28"/>
                <w:rtl/>
              </w:rPr>
              <w:t>מספר בקשה:1</w:t>
            </w:r>
          </w:p>
        </w:tc>
      </w:tr>
      <w:tr w:rsidR="00000000" w14:paraId="4BAB2359" w14:textId="77777777">
        <w:trPr>
          <w:jc w:val="center"/>
        </w:trPr>
        <w:tc>
          <w:tcPr>
            <w:tcW w:w="743" w:type="dxa"/>
            <w:tcMar>
              <w:top w:w="0" w:type="dxa"/>
              <w:left w:w="108" w:type="dxa"/>
              <w:bottom w:w="0" w:type="dxa"/>
              <w:right w:w="108" w:type="dxa"/>
            </w:tcMar>
            <w:hideMark/>
          </w:tcPr>
          <w:p w14:paraId="225A2DFD" w14:textId="77777777" w:rsidR="00000000" w:rsidRDefault="00000000">
            <w:pPr>
              <w:bidi/>
              <w:jc w:val="both"/>
              <w:rPr>
                <w:rtl/>
              </w:rPr>
            </w:pPr>
            <w:r>
              <w:rPr>
                <w:rFonts w:ascii="David" w:hAnsi="David" w:cs="David"/>
                <w:sz w:val="28"/>
                <w:szCs w:val="28"/>
                <w:rtl/>
              </w:rPr>
              <w:t xml:space="preserve">לפני </w:t>
            </w:r>
          </w:p>
        </w:tc>
        <w:tc>
          <w:tcPr>
            <w:tcW w:w="8077" w:type="dxa"/>
            <w:gridSpan w:val="3"/>
            <w:tcMar>
              <w:top w:w="0" w:type="dxa"/>
              <w:left w:w="108" w:type="dxa"/>
              <w:bottom w:w="0" w:type="dxa"/>
              <w:right w:w="108" w:type="dxa"/>
            </w:tcMar>
            <w:hideMark/>
          </w:tcPr>
          <w:p w14:paraId="78A30E0F" w14:textId="77777777" w:rsidR="00000000" w:rsidRDefault="00000000">
            <w:pPr>
              <w:bidi/>
              <w:rPr>
                <w:rtl/>
              </w:rPr>
            </w:pPr>
            <w:r>
              <w:rPr>
                <w:rStyle w:val="f41dinim"/>
                <w:rFonts w:ascii="David" w:hAnsi="David" w:cs="David"/>
                <w:sz w:val="28"/>
                <w:szCs w:val="28"/>
                <w:rtl/>
              </w:rPr>
              <w:t>כבוד השופטת תמר סנונית פורר</w:t>
            </w:r>
          </w:p>
          <w:p w14:paraId="225F5CC6" w14:textId="77777777" w:rsidR="00000000" w:rsidRDefault="00000000">
            <w:pPr>
              <w:bidi/>
              <w:rPr>
                <w:rtl/>
              </w:rPr>
            </w:pPr>
            <w:r>
              <w:rPr>
                <w:rStyle w:val="f41dinim"/>
                <w:rFonts w:ascii="David" w:hAnsi="David" w:cs="David"/>
                <w:sz w:val="28"/>
                <w:szCs w:val="28"/>
                <w:rtl/>
              </w:rPr>
              <w:t> </w:t>
            </w:r>
          </w:p>
          <w:p w14:paraId="3F76CD34" w14:textId="77777777" w:rsidR="00000000" w:rsidRDefault="00000000">
            <w:pPr>
              <w:bidi/>
              <w:rPr>
                <w:rtl/>
              </w:rPr>
            </w:pPr>
            <w:r>
              <w:rPr>
                <w:rFonts w:ascii="David" w:hAnsi="David" w:cs="David"/>
                <w:sz w:val="28"/>
                <w:szCs w:val="28"/>
              </w:rPr>
              <w:t> </w:t>
            </w:r>
          </w:p>
        </w:tc>
      </w:tr>
      <w:tr w:rsidR="00000000" w14:paraId="1CEC2B18" w14:textId="77777777">
        <w:trPr>
          <w:jc w:val="center"/>
        </w:trPr>
        <w:tc>
          <w:tcPr>
            <w:tcW w:w="3249" w:type="dxa"/>
            <w:gridSpan w:val="2"/>
            <w:tcMar>
              <w:top w:w="0" w:type="dxa"/>
              <w:left w:w="108" w:type="dxa"/>
              <w:bottom w:w="0" w:type="dxa"/>
              <w:right w:w="108" w:type="dxa"/>
            </w:tcMar>
            <w:hideMark/>
          </w:tcPr>
          <w:p w14:paraId="7F77F6E7" w14:textId="77777777" w:rsidR="00000000" w:rsidRDefault="00000000">
            <w:pPr>
              <w:bidi/>
              <w:rPr>
                <w:rtl/>
              </w:rPr>
            </w:pPr>
            <w:r>
              <w:rPr>
                <w:rFonts w:ascii="David" w:hAnsi="David" w:cs="David"/>
                <w:sz w:val="28"/>
                <w:szCs w:val="28"/>
              </w:rPr>
              <w:t> </w:t>
            </w:r>
          </w:p>
          <w:p w14:paraId="3847F980" w14:textId="77777777" w:rsidR="00000000" w:rsidRDefault="00000000">
            <w:pPr>
              <w:bidi/>
              <w:rPr>
                <w:rtl/>
              </w:rPr>
            </w:pPr>
            <w:r>
              <w:rPr>
                <w:rFonts w:ascii="David" w:hAnsi="David" w:cs="David"/>
                <w:sz w:val="28"/>
                <w:szCs w:val="28"/>
                <w:u w:val="single"/>
                <w:rtl/>
              </w:rPr>
              <w:t>המבקשת:</w:t>
            </w:r>
          </w:p>
        </w:tc>
        <w:tc>
          <w:tcPr>
            <w:tcW w:w="5571" w:type="dxa"/>
            <w:gridSpan w:val="2"/>
            <w:tcMar>
              <w:top w:w="0" w:type="dxa"/>
              <w:left w:w="108" w:type="dxa"/>
              <w:bottom w:w="0" w:type="dxa"/>
              <w:right w:w="108" w:type="dxa"/>
            </w:tcMar>
            <w:hideMark/>
          </w:tcPr>
          <w:p w14:paraId="3C3B6776" w14:textId="77777777" w:rsidR="00000000" w:rsidRDefault="00000000">
            <w:pPr>
              <w:bidi/>
              <w:rPr>
                <w:rtl/>
              </w:rPr>
            </w:pPr>
            <w:r>
              <w:rPr>
                <w:rFonts w:ascii="David" w:hAnsi="David" w:cs="David"/>
                <w:sz w:val="28"/>
                <w:szCs w:val="28"/>
                <w:rtl/>
              </w:rPr>
              <w:t> </w:t>
            </w:r>
          </w:p>
          <w:p w14:paraId="4DFCEA0A" w14:textId="77777777" w:rsidR="00000000" w:rsidRDefault="00000000">
            <w:pPr>
              <w:bidi/>
              <w:rPr>
                <w:rtl/>
              </w:rPr>
            </w:pPr>
            <w:proofErr w:type="spellStart"/>
            <w:r>
              <w:rPr>
                <w:rStyle w:val="f2dinim"/>
                <w:rFonts w:ascii="David" w:hAnsi="David" w:cs="David"/>
                <w:sz w:val="28"/>
                <w:szCs w:val="28"/>
                <w:rtl/>
              </w:rPr>
              <w:t>סוסיאדד</w:t>
            </w:r>
            <w:proofErr w:type="spellEnd"/>
            <w:r>
              <w:rPr>
                <w:rStyle w:val="f2dinim"/>
                <w:rFonts w:ascii="David" w:hAnsi="David" w:cs="David"/>
                <w:sz w:val="28"/>
                <w:szCs w:val="28"/>
                <w:rtl/>
              </w:rPr>
              <w:t xml:space="preserve"> </w:t>
            </w:r>
            <w:proofErr w:type="spellStart"/>
            <w:r>
              <w:rPr>
                <w:rStyle w:val="f2dinim"/>
                <w:rFonts w:ascii="David" w:hAnsi="David" w:cs="David"/>
                <w:sz w:val="28"/>
                <w:szCs w:val="28"/>
                <w:rtl/>
              </w:rPr>
              <w:t>אספנולה</w:t>
            </w:r>
            <w:proofErr w:type="spellEnd"/>
            <w:r>
              <w:rPr>
                <w:rStyle w:val="f2dinim"/>
                <w:rFonts w:ascii="David" w:hAnsi="David" w:cs="David"/>
                <w:sz w:val="28"/>
                <w:szCs w:val="28"/>
                <w:rtl/>
              </w:rPr>
              <w:t xml:space="preserve"> דה </w:t>
            </w:r>
            <w:proofErr w:type="spellStart"/>
            <w:r>
              <w:rPr>
                <w:rStyle w:val="f2dinim"/>
                <w:rFonts w:ascii="David" w:hAnsi="David" w:cs="David"/>
                <w:sz w:val="28"/>
                <w:szCs w:val="28"/>
                <w:rtl/>
              </w:rPr>
              <w:t>מונטאיס</w:t>
            </w:r>
            <w:proofErr w:type="spellEnd"/>
            <w:r>
              <w:rPr>
                <w:rStyle w:val="f2dinim"/>
                <w:rFonts w:ascii="David" w:hAnsi="David" w:cs="David"/>
                <w:sz w:val="28"/>
                <w:szCs w:val="28"/>
                <w:rtl/>
              </w:rPr>
              <w:t xml:space="preserve"> </w:t>
            </w:r>
            <w:proofErr w:type="spellStart"/>
            <w:r>
              <w:rPr>
                <w:rStyle w:val="f2dinim"/>
                <w:rFonts w:ascii="David" w:hAnsi="David" w:cs="David"/>
                <w:sz w:val="28"/>
                <w:szCs w:val="28"/>
                <w:rtl/>
              </w:rPr>
              <w:t>אינדסטריאלס</w:t>
            </w:r>
            <w:proofErr w:type="spellEnd"/>
            <w:r>
              <w:rPr>
                <w:rStyle w:val="f2dinim"/>
                <w:rFonts w:ascii="David" w:hAnsi="David" w:cs="David"/>
                <w:sz w:val="28"/>
                <w:szCs w:val="28"/>
                <w:rtl/>
              </w:rPr>
              <w:t xml:space="preserve"> </w:t>
            </w:r>
            <w:proofErr w:type="spellStart"/>
            <w:r>
              <w:rPr>
                <w:rStyle w:val="f2dinim"/>
                <w:rFonts w:ascii="David" w:hAnsi="David" w:cs="David"/>
                <w:sz w:val="28"/>
                <w:szCs w:val="28"/>
                <w:rtl/>
              </w:rPr>
              <w:t>אס.איי</w:t>
            </w:r>
            <w:proofErr w:type="spellEnd"/>
          </w:p>
          <w:p w14:paraId="7AAB691B" w14:textId="77777777" w:rsidR="00000000" w:rsidRDefault="00000000">
            <w:pPr>
              <w:bidi/>
              <w:rPr>
                <w:rtl/>
              </w:rPr>
            </w:pPr>
            <w:r>
              <w:rPr>
                <w:rFonts w:ascii="David" w:hAnsi="David" w:cs="David"/>
                <w:sz w:val="28"/>
                <w:szCs w:val="28"/>
                <w:rtl/>
              </w:rPr>
              <w:t xml:space="preserve">ע"י ב"כ עו"ד דרור הרפז, עו"ד </w:t>
            </w:r>
            <w:r>
              <w:rPr>
                <w:rStyle w:val="f42dinim"/>
                <w:rFonts w:ascii="David" w:hAnsi="David" w:cs="David"/>
                <w:sz w:val="28"/>
                <w:szCs w:val="28"/>
                <w:rtl/>
              </w:rPr>
              <w:t>תרזה לס-גרוס</w:t>
            </w:r>
            <w:r>
              <w:rPr>
                <w:rFonts w:ascii="David" w:hAnsi="David" w:cs="David"/>
                <w:sz w:val="28"/>
                <w:szCs w:val="28"/>
                <w:rtl/>
              </w:rPr>
              <w:t xml:space="preserve">, עו"ד </w:t>
            </w:r>
            <w:r>
              <w:rPr>
                <w:rStyle w:val="f42dinim"/>
                <w:rFonts w:ascii="David" w:hAnsi="David" w:cs="David"/>
                <w:sz w:val="28"/>
                <w:szCs w:val="28"/>
                <w:rtl/>
              </w:rPr>
              <w:t>ענבר מקין</w:t>
            </w:r>
            <w:r>
              <w:rPr>
                <w:rFonts w:ascii="David" w:hAnsi="David" w:cs="David"/>
                <w:sz w:val="28"/>
                <w:szCs w:val="28"/>
                <w:rtl/>
              </w:rPr>
              <w:t xml:space="preserve">, ועו"ד </w:t>
            </w:r>
            <w:r>
              <w:rPr>
                <w:rStyle w:val="f42dinim"/>
                <w:rFonts w:ascii="David" w:hAnsi="David" w:cs="David"/>
                <w:sz w:val="28"/>
                <w:szCs w:val="28"/>
                <w:rtl/>
              </w:rPr>
              <w:t>ישי גור אריה</w:t>
            </w:r>
          </w:p>
        </w:tc>
      </w:tr>
      <w:tr w:rsidR="00000000" w14:paraId="231E1100" w14:textId="77777777">
        <w:trPr>
          <w:jc w:val="center"/>
        </w:trPr>
        <w:tc>
          <w:tcPr>
            <w:tcW w:w="8820" w:type="dxa"/>
            <w:gridSpan w:val="4"/>
            <w:tcMar>
              <w:top w:w="0" w:type="dxa"/>
              <w:left w:w="108" w:type="dxa"/>
              <w:bottom w:w="0" w:type="dxa"/>
              <w:right w:w="108" w:type="dxa"/>
            </w:tcMar>
            <w:hideMark/>
          </w:tcPr>
          <w:p w14:paraId="2B3DFBFB" w14:textId="77777777" w:rsidR="00000000" w:rsidRDefault="00000000">
            <w:pPr>
              <w:bidi/>
              <w:rPr>
                <w:rtl/>
              </w:rPr>
            </w:pPr>
            <w:r>
              <w:rPr>
                <w:rFonts w:ascii="David" w:hAnsi="David" w:cs="David"/>
                <w:sz w:val="28"/>
                <w:szCs w:val="28"/>
                <w:rtl/>
              </w:rPr>
              <w:t> </w:t>
            </w:r>
          </w:p>
          <w:p w14:paraId="03F891DF" w14:textId="77777777" w:rsidR="00000000" w:rsidRDefault="00000000">
            <w:pPr>
              <w:bidi/>
              <w:jc w:val="center"/>
              <w:rPr>
                <w:rtl/>
              </w:rPr>
            </w:pPr>
            <w:r>
              <w:rPr>
                <w:rStyle w:val="f2ndinim"/>
                <w:rFonts w:ascii="David" w:hAnsi="David" w:cs="David"/>
                <w:sz w:val="28"/>
                <w:szCs w:val="28"/>
                <w:rtl/>
              </w:rPr>
              <w:t>נגד</w:t>
            </w:r>
          </w:p>
          <w:p w14:paraId="7200C8A3" w14:textId="77777777" w:rsidR="00000000" w:rsidRDefault="00000000">
            <w:pPr>
              <w:bidi/>
              <w:rPr>
                <w:rtl/>
              </w:rPr>
            </w:pPr>
            <w:r>
              <w:rPr>
                <w:rFonts w:ascii="David" w:hAnsi="David" w:cs="David"/>
                <w:sz w:val="28"/>
                <w:szCs w:val="28"/>
              </w:rPr>
              <w:t> </w:t>
            </w:r>
          </w:p>
        </w:tc>
      </w:tr>
      <w:tr w:rsidR="00000000" w14:paraId="11F8C696" w14:textId="77777777">
        <w:trPr>
          <w:jc w:val="center"/>
        </w:trPr>
        <w:tc>
          <w:tcPr>
            <w:tcW w:w="3249" w:type="dxa"/>
            <w:gridSpan w:val="2"/>
            <w:tcMar>
              <w:top w:w="0" w:type="dxa"/>
              <w:left w:w="108" w:type="dxa"/>
              <w:bottom w:w="0" w:type="dxa"/>
              <w:right w:w="108" w:type="dxa"/>
            </w:tcMar>
            <w:hideMark/>
          </w:tcPr>
          <w:p w14:paraId="537EE32C" w14:textId="77777777" w:rsidR="00000000" w:rsidRDefault="00000000">
            <w:pPr>
              <w:bidi/>
              <w:rPr>
                <w:rtl/>
              </w:rPr>
            </w:pPr>
            <w:r>
              <w:rPr>
                <w:rFonts w:ascii="David" w:hAnsi="David" w:cs="David"/>
                <w:sz w:val="28"/>
                <w:szCs w:val="28"/>
                <w:rtl/>
              </w:rPr>
              <w:t> </w:t>
            </w:r>
          </w:p>
          <w:p w14:paraId="45DDF556" w14:textId="77777777" w:rsidR="00000000" w:rsidRDefault="00000000">
            <w:pPr>
              <w:bidi/>
              <w:rPr>
                <w:rtl/>
              </w:rPr>
            </w:pPr>
            <w:r>
              <w:rPr>
                <w:rFonts w:ascii="David" w:hAnsi="David" w:cs="David"/>
                <w:sz w:val="28"/>
                <w:szCs w:val="28"/>
                <w:u w:val="single"/>
                <w:rtl/>
              </w:rPr>
              <w:t>המשיבה:</w:t>
            </w:r>
          </w:p>
        </w:tc>
        <w:tc>
          <w:tcPr>
            <w:tcW w:w="5571" w:type="dxa"/>
            <w:gridSpan w:val="2"/>
            <w:tcMar>
              <w:top w:w="0" w:type="dxa"/>
              <w:left w:w="108" w:type="dxa"/>
              <w:bottom w:w="0" w:type="dxa"/>
              <w:right w:w="108" w:type="dxa"/>
            </w:tcMar>
            <w:hideMark/>
          </w:tcPr>
          <w:p w14:paraId="6F19C2B9" w14:textId="77777777" w:rsidR="00000000" w:rsidRDefault="00000000">
            <w:pPr>
              <w:bidi/>
              <w:rPr>
                <w:rtl/>
              </w:rPr>
            </w:pPr>
            <w:r>
              <w:rPr>
                <w:rFonts w:ascii="David" w:hAnsi="David" w:cs="David"/>
                <w:sz w:val="28"/>
                <w:szCs w:val="28"/>
                <w:rtl/>
              </w:rPr>
              <w:t> </w:t>
            </w:r>
          </w:p>
          <w:p w14:paraId="4A503548" w14:textId="77777777" w:rsidR="00000000" w:rsidRDefault="00000000">
            <w:pPr>
              <w:bidi/>
              <w:rPr>
                <w:rtl/>
              </w:rPr>
            </w:pPr>
            <w:r>
              <w:rPr>
                <w:rStyle w:val="f3dinim"/>
                <w:rFonts w:ascii="David" w:hAnsi="David" w:cs="David"/>
                <w:sz w:val="28"/>
                <w:szCs w:val="28"/>
                <w:rtl/>
              </w:rPr>
              <w:t>רכבת ישראל בע"מ</w:t>
            </w:r>
          </w:p>
          <w:p w14:paraId="0218F196" w14:textId="77777777" w:rsidR="00000000" w:rsidRDefault="00000000">
            <w:pPr>
              <w:bidi/>
              <w:rPr>
                <w:rtl/>
              </w:rPr>
            </w:pPr>
            <w:r>
              <w:rPr>
                <w:rFonts w:ascii="David" w:hAnsi="David" w:cs="David"/>
                <w:sz w:val="28"/>
                <w:szCs w:val="28"/>
                <w:rtl/>
              </w:rPr>
              <w:t xml:space="preserve">ע"י ב"כ עו"ד גבריאל דיסני ועו"ד </w:t>
            </w:r>
            <w:r>
              <w:rPr>
                <w:rStyle w:val="f43dinim"/>
                <w:rFonts w:ascii="David" w:hAnsi="David" w:cs="David"/>
                <w:sz w:val="28"/>
                <w:szCs w:val="28"/>
                <w:rtl/>
              </w:rPr>
              <w:t>רועי כהן</w:t>
            </w:r>
            <w:r>
              <w:rPr>
                <w:rFonts w:ascii="David" w:hAnsi="David" w:cs="David"/>
                <w:sz w:val="28"/>
                <w:szCs w:val="28"/>
                <w:rtl/>
              </w:rPr>
              <w:t xml:space="preserve"> </w:t>
            </w:r>
          </w:p>
        </w:tc>
      </w:tr>
      <w:tr w:rsidR="00000000" w14:paraId="2FD2A5A6" w14:textId="77777777">
        <w:trPr>
          <w:jc w:val="center"/>
        </w:trPr>
        <w:tc>
          <w:tcPr>
            <w:tcW w:w="8820" w:type="dxa"/>
            <w:gridSpan w:val="4"/>
            <w:tcMar>
              <w:top w:w="0" w:type="dxa"/>
              <w:left w:w="108" w:type="dxa"/>
              <w:bottom w:w="0" w:type="dxa"/>
              <w:right w:w="108" w:type="dxa"/>
            </w:tcMar>
            <w:hideMark/>
          </w:tcPr>
          <w:p w14:paraId="0FE719BA" w14:textId="77777777" w:rsidR="00000000" w:rsidRDefault="00000000">
            <w:pPr>
              <w:bidi/>
              <w:rPr>
                <w:rtl/>
              </w:rPr>
            </w:pPr>
            <w:r>
              <w:rPr>
                <w:rFonts w:ascii="David" w:hAnsi="David" w:cs="David"/>
                <w:sz w:val="28"/>
                <w:szCs w:val="28"/>
                <w:rtl/>
              </w:rPr>
              <w:t> </w:t>
            </w:r>
          </w:p>
        </w:tc>
      </w:tr>
      <w:tr w:rsidR="00000000" w14:paraId="0E29FB1D" w14:textId="77777777">
        <w:trPr>
          <w:jc w:val="center"/>
        </w:trPr>
        <w:tc>
          <w:tcPr>
            <w:tcW w:w="750" w:type="dxa"/>
            <w:tcBorders>
              <w:top w:val="nil"/>
              <w:left w:val="nil"/>
              <w:bottom w:val="nil"/>
              <w:right w:val="nil"/>
            </w:tcBorders>
            <w:vAlign w:val="center"/>
            <w:hideMark/>
          </w:tcPr>
          <w:p w14:paraId="3F29AA2C" w14:textId="77777777" w:rsidR="00000000" w:rsidRDefault="00000000">
            <w:pPr>
              <w:rPr>
                <w:rtl/>
              </w:rPr>
            </w:pPr>
          </w:p>
        </w:tc>
        <w:tc>
          <w:tcPr>
            <w:tcW w:w="2505" w:type="dxa"/>
            <w:tcBorders>
              <w:top w:val="nil"/>
              <w:left w:val="nil"/>
              <w:bottom w:val="nil"/>
              <w:right w:val="nil"/>
            </w:tcBorders>
            <w:vAlign w:val="center"/>
            <w:hideMark/>
          </w:tcPr>
          <w:p w14:paraId="3C721DCC" w14:textId="77777777" w:rsidR="00000000" w:rsidRDefault="00000000">
            <w:pPr>
              <w:bidi/>
              <w:rPr>
                <w:rFonts w:eastAsia="Times New Roman"/>
                <w:sz w:val="20"/>
                <w:szCs w:val="20"/>
              </w:rPr>
            </w:pPr>
          </w:p>
        </w:tc>
        <w:tc>
          <w:tcPr>
            <w:tcW w:w="1800" w:type="dxa"/>
            <w:tcBorders>
              <w:top w:val="nil"/>
              <w:left w:val="nil"/>
              <w:bottom w:val="nil"/>
              <w:right w:val="nil"/>
            </w:tcBorders>
            <w:vAlign w:val="center"/>
            <w:hideMark/>
          </w:tcPr>
          <w:p w14:paraId="00EDDD5A" w14:textId="77777777" w:rsidR="00000000" w:rsidRDefault="00000000">
            <w:pPr>
              <w:bidi/>
              <w:rPr>
                <w:rFonts w:eastAsia="Times New Roman"/>
                <w:sz w:val="20"/>
                <w:szCs w:val="20"/>
              </w:rPr>
            </w:pPr>
          </w:p>
        </w:tc>
        <w:tc>
          <w:tcPr>
            <w:tcW w:w="3765" w:type="dxa"/>
            <w:tcBorders>
              <w:top w:val="nil"/>
              <w:left w:val="nil"/>
              <w:bottom w:val="nil"/>
              <w:right w:val="nil"/>
            </w:tcBorders>
            <w:vAlign w:val="center"/>
            <w:hideMark/>
          </w:tcPr>
          <w:p w14:paraId="405168B0" w14:textId="77777777" w:rsidR="00000000" w:rsidRDefault="00000000">
            <w:pPr>
              <w:bidi/>
              <w:rPr>
                <w:rFonts w:eastAsia="Times New Roman"/>
                <w:sz w:val="20"/>
                <w:szCs w:val="20"/>
              </w:rPr>
            </w:pPr>
          </w:p>
        </w:tc>
      </w:tr>
    </w:tbl>
    <w:p w14:paraId="7B9337EF" w14:textId="77777777" w:rsidR="00000000" w:rsidRDefault="00000000">
      <w:pPr>
        <w:bidi/>
      </w:pPr>
      <w:r>
        <w:rPr>
          <w:rFonts w:ascii="David" w:hAnsi="David" w:cs="David"/>
          <w:sz w:val="28"/>
          <w:szCs w:val="28"/>
          <w:rtl/>
        </w:rPr>
        <w:t> </w:t>
      </w:r>
    </w:p>
    <w:p w14:paraId="59D5D910" w14:textId="77777777" w:rsidR="00000000" w:rsidRDefault="00000000">
      <w:pPr>
        <w:bidi/>
        <w:rPr>
          <w:rtl/>
        </w:rPr>
      </w:pPr>
      <w:r>
        <w:rPr>
          <w:rFonts w:ascii="David" w:hAnsi="David" w:cs="David"/>
          <w:sz w:val="28"/>
          <w:szCs w:val="28"/>
        </w:rPr>
        <w:t> </w:t>
      </w:r>
    </w:p>
    <w:tbl>
      <w:tblPr>
        <w:bidiVisual/>
        <w:tblW w:w="8820" w:type="dxa"/>
        <w:jc w:val="center"/>
        <w:tblCellMar>
          <w:left w:w="0" w:type="dxa"/>
          <w:right w:w="0" w:type="dxa"/>
        </w:tblCellMar>
        <w:tblLook w:val="04A0" w:firstRow="1" w:lastRow="0" w:firstColumn="1" w:lastColumn="0" w:noHBand="0" w:noVBand="1"/>
      </w:tblPr>
      <w:tblGrid>
        <w:gridCol w:w="8820"/>
      </w:tblGrid>
      <w:tr w:rsidR="00000000" w14:paraId="066AC238" w14:textId="77777777">
        <w:trPr>
          <w:jc w:val="center"/>
        </w:trPr>
        <w:tc>
          <w:tcPr>
            <w:tcW w:w="8820" w:type="dxa"/>
            <w:tcMar>
              <w:top w:w="0" w:type="dxa"/>
              <w:left w:w="108" w:type="dxa"/>
              <w:bottom w:w="0" w:type="dxa"/>
              <w:right w:w="108" w:type="dxa"/>
            </w:tcMar>
            <w:hideMark/>
          </w:tcPr>
          <w:p w14:paraId="7BF523C9" w14:textId="77777777" w:rsidR="00000000" w:rsidRDefault="00000000">
            <w:pPr>
              <w:bidi/>
              <w:jc w:val="center"/>
              <w:rPr>
                <w:rtl/>
              </w:rPr>
            </w:pPr>
            <w:r>
              <w:rPr>
                <w:rStyle w:val="f13hdinim"/>
                <w:rFonts w:ascii="David" w:hAnsi="David" w:cs="David"/>
                <w:b/>
                <w:bCs/>
                <w:sz w:val="28"/>
                <w:szCs w:val="28"/>
                <w:u w:val="single"/>
                <w:rtl/>
              </w:rPr>
              <w:t>החלטה</w:t>
            </w:r>
          </w:p>
        </w:tc>
      </w:tr>
    </w:tbl>
    <w:p w14:paraId="48A99CE9" w14:textId="77777777" w:rsidR="00000000" w:rsidRDefault="00000000">
      <w:pPr>
        <w:bidi/>
        <w:spacing w:line="360" w:lineRule="auto"/>
        <w:jc w:val="both"/>
        <w:rPr>
          <w:rtl/>
        </w:rPr>
      </w:pPr>
      <w:r>
        <w:rPr>
          <w:rFonts w:ascii="David" w:hAnsi="David" w:cs="David"/>
          <w:sz w:val="28"/>
          <w:szCs w:val="28"/>
          <w:rtl/>
        </w:rPr>
        <w:t> </w:t>
      </w:r>
    </w:p>
    <w:p w14:paraId="2DF563D2" w14:textId="77777777" w:rsidR="00000000" w:rsidRDefault="00000000">
      <w:pPr>
        <w:bidi/>
        <w:spacing w:line="360" w:lineRule="auto"/>
        <w:ind w:left="567" w:hanging="567"/>
        <w:jc w:val="both"/>
        <w:rPr>
          <w:rtl/>
        </w:rPr>
      </w:pPr>
      <w:bookmarkStart w:id="0" w:name="ngcsbookmark"/>
      <w:bookmarkEnd w:id="0"/>
      <w:r>
        <w:rPr>
          <w:rFonts w:ascii="David" w:hAnsi="David" w:cs="David"/>
          <w:color w:val="000000"/>
          <w:rtl/>
        </w:rPr>
        <w:t>1.</w:t>
      </w:r>
      <w:r>
        <w:rPr>
          <w:color w:val="000000"/>
          <w:sz w:val="14"/>
          <w:szCs w:val="14"/>
          <w:rtl/>
        </w:rPr>
        <w:t xml:space="preserve">  </w:t>
      </w:r>
      <w:r>
        <w:rPr>
          <w:rFonts w:ascii="David" w:hAnsi="David" w:cs="David"/>
          <w:sz w:val="28"/>
          <w:szCs w:val="28"/>
          <w:rtl/>
        </w:rPr>
        <w:t xml:space="preserve">לפני בקשה למתן צו זמני המורה למשיבה להימנע מלגרוע מתכולת העבודה של המבקשת בהתאם להסכם שבין הצדדים, את העבודות במסילה 431 ובמקטעים </w:t>
      </w:r>
      <w:r>
        <w:rPr>
          <w:rFonts w:ascii="David" w:hAnsi="David" w:cs="David"/>
          <w:sz w:val="28"/>
          <w:szCs w:val="28"/>
        </w:rPr>
        <w:t>c</w:t>
      </w:r>
      <w:r>
        <w:rPr>
          <w:rFonts w:ascii="David" w:hAnsi="David" w:cs="David"/>
          <w:sz w:val="28"/>
          <w:szCs w:val="28"/>
          <w:rtl/>
        </w:rPr>
        <w:t xml:space="preserve"> ו-</w:t>
      </w:r>
      <w:r>
        <w:rPr>
          <w:rFonts w:ascii="David" w:hAnsi="David" w:cs="David"/>
          <w:sz w:val="28"/>
          <w:szCs w:val="28"/>
        </w:rPr>
        <w:t>d</w:t>
      </w:r>
      <w:r>
        <w:rPr>
          <w:rFonts w:ascii="David" w:hAnsi="David" w:cs="David"/>
          <w:sz w:val="28"/>
          <w:szCs w:val="28"/>
          <w:rtl/>
        </w:rPr>
        <w:t xml:space="preserve"> של המסילה המזרחית והעברתן לקבלנים אחרים. </w:t>
      </w:r>
    </w:p>
    <w:p w14:paraId="3A034C93" w14:textId="77777777" w:rsidR="00000000" w:rsidRDefault="00000000">
      <w:pPr>
        <w:bidi/>
        <w:spacing w:line="360" w:lineRule="auto"/>
        <w:ind w:left="567"/>
        <w:jc w:val="both"/>
        <w:rPr>
          <w:rtl/>
        </w:rPr>
      </w:pPr>
      <w:r>
        <w:rPr>
          <w:rFonts w:ascii="David" w:hAnsi="David" w:cs="David"/>
          <w:sz w:val="28"/>
          <w:szCs w:val="28"/>
          <w:rtl/>
        </w:rPr>
        <w:t xml:space="preserve">הבקשה הוגשה בד בבד עם תביעה אשר סווגה על ידי המבקשת כתביעה לאכיפת הסכם, במסגרתה התבקש סעד עיקרי אחד בלבד הזהה לסעד הזמני נשוא בקשה זו. </w:t>
      </w:r>
    </w:p>
    <w:p w14:paraId="2B9D82B6" w14:textId="77777777" w:rsidR="00000000" w:rsidRDefault="00000000">
      <w:pPr>
        <w:bidi/>
        <w:spacing w:line="360" w:lineRule="auto"/>
        <w:ind w:left="567"/>
        <w:jc w:val="both"/>
        <w:rPr>
          <w:rtl/>
        </w:rPr>
      </w:pPr>
      <w:r>
        <w:rPr>
          <w:rFonts w:ascii="David" w:hAnsi="David" w:cs="David"/>
          <w:sz w:val="28"/>
          <w:szCs w:val="28"/>
        </w:rPr>
        <w:t> </w:t>
      </w:r>
    </w:p>
    <w:p w14:paraId="54AC5BC1" w14:textId="77777777" w:rsidR="00000000" w:rsidRDefault="00000000">
      <w:pPr>
        <w:bidi/>
        <w:spacing w:line="360" w:lineRule="auto"/>
        <w:jc w:val="both"/>
        <w:rPr>
          <w:rtl/>
        </w:rPr>
      </w:pPr>
      <w:r>
        <w:rPr>
          <w:rFonts w:ascii="David" w:hAnsi="David" w:cs="David"/>
          <w:b/>
          <w:bCs/>
          <w:sz w:val="28"/>
          <w:szCs w:val="28"/>
          <w:u w:val="single"/>
          <w:rtl/>
        </w:rPr>
        <w:t>רקע עובדתי וההליכים המשפטיים</w:t>
      </w:r>
    </w:p>
    <w:p w14:paraId="7348DA92" w14:textId="77777777" w:rsidR="00000000" w:rsidRDefault="00000000">
      <w:pPr>
        <w:bidi/>
        <w:spacing w:line="360" w:lineRule="auto"/>
        <w:ind w:left="567"/>
        <w:jc w:val="both"/>
        <w:rPr>
          <w:rtl/>
        </w:rPr>
      </w:pPr>
      <w:r>
        <w:rPr>
          <w:rFonts w:ascii="David" w:hAnsi="David" w:cs="David"/>
          <w:sz w:val="28"/>
          <w:szCs w:val="28"/>
          <w:rtl/>
        </w:rPr>
        <w:t> </w:t>
      </w:r>
    </w:p>
    <w:p w14:paraId="4CF5FC9D" w14:textId="77777777" w:rsidR="00000000" w:rsidRDefault="00000000">
      <w:pPr>
        <w:bidi/>
        <w:spacing w:line="360" w:lineRule="auto"/>
        <w:ind w:left="567" w:hanging="567"/>
        <w:jc w:val="both"/>
        <w:rPr>
          <w:rtl/>
        </w:rPr>
      </w:pPr>
      <w:r>
        <w:rPr>
          <w:rFonts w:ascii="David" w:hAnsi="David" w:cs="David"/>
          <w:color w:val="000000"/>
          <w:rtl/>
        </w:rPr>
        <w:t>2.</w:t>
      </w:r>
      <w:r>
        <w:rPr>
          <w:color w:val="000000"/>
          <w:sz w:val="14"/>
          <w:szCs w:val="14"/>
          <w:rtl/>
        </w:rPr>
        <w:t xml:space="preserve">  </w:t>
      </w:r>
      <w:r>
        <w:rPr>
          <w:rFonts w:ascii="David" w:hAnsi="David" w:cs="David"/>
          <w:sz w:val="28"/>
          <w:szCs w:val="28"/>
          <w:rtl/>
        </w:rPr>
        <w:t xml:space="preserve">המבקשת </w:t>
      </w:r>
      <w:proofErr w:type="spellStart"/>
      <w:r>
        <w:rPr>
          <w:rFonts w:ascii="David" w:hAnsi="David" w:cs="David"/>
          <w:sz w:val="28"/>
          <w:szCs w:val="28"/>
        </w:rPr>
        <w:t>sociedad</w:t>
      </w:r>
      <w:proofErr w:type="spellEnd"/>
      <w:r>
        <w:rPr>
          <w:rFonts w:ascii="David" w:hAnsi="David" w:cs="David"/>
          <w:sz w:val="28"/>
          <w:szCs w:val="28"/>
        </w:rPr>
        <w:t xml:space="preserve"> </w:t>
      </w:r>
      <w:proofErr w:type="spellStart"/>
      <w:r>
        <w:rPr>
          <w:rFonts w:ascii="David" w:hAnsi="David" w:cs="David"/>
          <w:sz w:val="28"/>
          <w:szCs w:val="28"/>
        </w:rPr>
        <w:t>espanola</w:t>
      </w:r>
      <w:proofErr w:type="spellEnd"/>
      <w:r>
        <w:rPr>
          <w:rFonts w:ascii="David" w:hAnsi="David" w:cs="David"/>
          <w:sz w:val="28"/>
          <w:szCs w:val="28"/>
        </w:rPr>
        <w:t xml:space="preserve"> de </w:t>
      </w:r>
      <w:proofErr w:type="spellStart"/>
      <w:r>
        <w:rPr>
          <w:rFonts w:ascii="David" w:hAnsi="David" w:cs="David"/>
          <w:sz w:val="28"/>
          <w:szCs w:val="28"/>
        </w:rPr>
        <w:t>montajes</w:t>
      </w:r>
      <w:proofErr w:type="spellEnd"/>
      <w:r>
        <w:rPr>
          <w:rFonts w:ascii="David" w:hAnsi="David" w:cs="David"/>
          <w:sz w:val="28"/>
          <w:szCs w:val="28"/>
        </w:rPr>
        <w:t xml:space="preserve"> </w:t>
      </w:r>
      <w:proofErr w:type="spellStart"/>
      <w:r>
        <w:rPr>
          <w:rFonts w:ascii="David" w:hAnsi="David" w:cs="David"/>
          <w:sz w:val="28"/>
          <w:szCs w:val="28"/>
        </w:rPr>
        <w:t>industriales</w:t>
      </w:r>
      <w:proofErr w:type="spellEnd"/>
      <w:r>
        <w:rPr>
          <w:rFonts w:ascii="David" w:hAnsi="David" w:cs="David"/>
          <w:sz w:val="28"/>
          <w:szCs w:val="28"/>
        </w:rPr>
        <w:t xml:space="preserve"> s.a.</w:t>
      </w:r>
      <w:r>
        <w:rPr>
          <w:rFonts w:ascii="David" w:hAnsi="David" w:cs="David"/>
          <w:sz w:val="28"/>
          <w:szCs w:val="28"/>
          <w:rtl/>
        </w:rPr>
        <w:t xml:space="preserve"> </w:t>
      </w:r>
      <w:r>
        <w:rPr>
          <w:rFonts w:ascii="David" w:hAnsi="David" w:cs="David" w:hint="cs"/>
          <w:sz w:val="28"/>
          <w:szCs w:val="28"/>
          <w:rtl/>
        </w:rPr>
        <w:t>היא חברת חוץ המאוגדת בספרד שעיסוקה הוא בתחום חשמול רכבות (להלן: "</w:t>
      </w:r>
      <w:r>
        <w:rPr>
          <w:rFonts w:ascii="David" w:hAnsi="David" w:cs="David" w:hint="cs"/>
          <w:b/>
          <w:bCs/>
          <w:sz w:val="28"/>
          <w:szCs w:val="28"/>
          <w:rtl/>
        </w:rPr>
        <w:t>המבקשת</w:t>
      </w:r>
      <w:r>
        <w:rPr>
          <w:rFonts w:ascii="David" w:hAnsi="David" w:cs="David" w:hint="cs"/>
          <w:sz w:val="28"/>
          <w:szCs w:val="28"/>
          <w:rtl/>
        </w:rPr>
        <w:t>"). המשיבה היא חברה ממשלתית, רכבת ישראל בע"מ (להלן: "</w:t>
      </w:r>
      <w:r>
        <w:rPr>
          <w:rFonts w:ascii="David" w:hAnsi="David" w:cs="David" w:hint="cs"/>
          <w:b/>
          <w:bCs/>
          <w:sz w:val="28"/>
          <w:szCs w:val="28"/>
          <w:rtl/>
        </w:rPr>
        <w:t>המשיבה</w:t>
      </w:r>
      <w:r>
        <w:rPr>
          <w:rFonts w:ascii="David" w:hAnsi="David" w:cs="David" w:hint="cs"/>
          <w:sz w:val="28"/>
          <w:szCs w:val="28"/>
          <w:rtl/>
        </w:rPr>
        <w:t xml:space="preserve">"). </w:t>
      </w:r>
    </w:p>
    <w:p w14:paraId="13E8EA54" w14:textId="77777777" w:rsidR="00000000" w:rsidRDefault="00000000">
      <w:pPr>
        <w:bidi/>
        <w:spacing w:line="360" w:lineRule="auto"/>
        <w:ind w:left="567"/>
        <w:jc w:val="both"/>
        <w:rPr>
          <w:rtl/>
        </w:rPr>
      </w:pPr>
      <w:r>
        <w:rPr>
          <w:rFonts w:ascii="David" w:hAnsi="David" w:cs="David"/>
          <w:sz w:val="28"/>
          <w:szCs w:val="28"/>
        </w:rPr>
        <w:lastRenderedPageBreak/>
        <w:t> </w:t>
      </w:r>
    </w:p>
    <w:p w14:paraId="69726371" w14:textId="77777777" w:rsidR="00000000" w:rsidRDefault="00000000">
      <w:pPr>
        <w:bidi/>
        <w:spacing w:line="360" w:lineRule="auto"/>
        <w:ind w:left="567" w:hanging="567"/>
        <w:jc w:val="both"/>
        <w:rPr>
          <w:rtl/>
        </w:rPr>
      </w:pPr>
      <w:r>
        <w:rPr>
          <w:rFonts w:ascii="David" w:hAnsi="David" w:cs="David"/>
          <w:color w:val="000000"/>
          <w:rtl/>
        </w:rPr>
        <w:t>3.</w:t>
      </w:r>
      <w:r>
        <w:rPr>
          <w:color w:val="000000"/>
          <w:sz w:val="14"/>
          <w:szCs w:val="14"/>
          <w:rtl/>
        </w:rPr>
        <w:t xml:space="preserve">  </w:t>
      </w:r>
      <w:r>
        <w:rPr>
          <w:rFonts w:ascii="David" w:hAnsi="David" w:cs="David"/>
          <w:sz w:val="28"/>
          <w:szCs w:val="28"/>
          <w:rtl/>
        </w:rPr>
        <w:t>בשנת 2015 זכתה המבקשת במכרז פרויקט חשמול של רכבת ישראל (להלן: "</w:t>
      </w:r>
      <w:r>
        <w:rPr>
          <w:rFonts w:ascii="David" w:hAnsi="David" w:cs="David"/>
          <w:b/>
          <w:bCs/>
          <w:sz w:val="28"/>
          <w:szCs w:val="28"/>
          <w:rtl/>
        </w:rPr>
        <w:t>הפרויקט</w:t>
      </w:r>
      <w:r>
        <w:rPr>
          <w:rFonts w:ascii="David" w:hAnsi="David" w:cs="David"/>
          <w:sz w:val="28"/>
          <w:szCs w:val="28"/>
          <w:rtl/>
        </w:rPr>
        <w:t xml:space="preserve">") שנועד להחלפת טכנולוגיית ההנעה </w:t>
      </w:r>
      <w:proofErr w:type="spellStart"/>
      <w:r>
        <w:rPr>
          <w:rFonts w:ascii="David" w:hAnsi="David" w:cs="David"/>
          <w:sz w:val="28"/>
          <w:szCs w:val="28"/>
          <w:rtl/>
        </w:rPr>
        <w:t>הרכבתית</w:t>
      </w:r>
      <w:proofErr w:type="spellEnd"/>
      <w:r>
        <w:rPr>
          <w:rFonts w:ascii="David" w:hAnsi="David" w:cs="David"/>
          <w:sz w:val="28"/>
          <w:szCs w:val="28"/>
          <w:rtl/>
        </w:rPr>
        <w:t xml:space="preserve"> מדיזל להנעה חשמלית. מדובר בפרויקט לאומי בהיקף נרחב ובעלות של </w:t>
      </w:r>
      <w:proofErr w:type="spellStart"/>
      <w:r>
        <w:rPr>
          <w:rFonts w:ascii="David" w:hAnsi="David" w:cs="David"/>
          <w:sz w:val="28"/>
          <w:szCs w:val="28"/>
          <w:rtl/>
        </w:rPr>
        <w:t>מילארדי</w:t>
      </w:r>
      <w:proofErr w:type="spellEnd"/>
      <w:r>
        <w:rPr>
          <w:rFonts w:ascii="David" w:hAnsi="David" w:cs="David"/>
          <w:sz w:val="28"/>
          <w:szCs w:val="28"/>
          <w:rtl/>
        </w:rPr>
        <w:t xml:space="preserve"> שקלים, במסגרתו תכננה המשיבה </w:t>
      </w:r>
      <w:proofErr w:type="spellStart"/>
      <w:r>
        <w:rPr>
          <w:rFonts w:ascii="David" w:hAnsi="David" w:cs="David"/>
          <w:sz w:val="28"/>
          <w:szCs w:val="28"/>
          <w:rtl/>
        </w:rPr>
        <w:t>חישמול</w:t>
      </w:r>
      <w:proofErr w:type="spellEnd"/>
      <w:r>
        <w:rPr>
          <w:rFonts w:ascii="David" w:hAnsi="David" w:cs="David"/>
          <w:sz w:val="28"/>
          <w:szCs w:val="28"/>
          <w:rtl/>
        </w:rPr>
        <w:t xml:space="preserve"> עילי של אלפי ק"מ של מסילות רכבת קיימות ועתידיות, הקמת תחנות השנאה לאורך פסי הרכבת והקמת מערכת שליטה בקרה ותקשורת. </w:t>
      </w:r>
    </w:p>
    <w:p w14:paraId="645DD877" w14:textId="77777777" w:rsidR="00000000" w:rsidRDefault="00000000">
      <w:pPr>
        <w:bidi/>
        <w:spacing w:line="360" w:lineRule="auto"/>
        <w:ind w:left="567"/>
        <w:jc w:val="both"/>
        <w:rPr>
          <w:rtl/>
        </w:rPr>
      </w:pPr>
      <w:r>
        <w:rPr>
          <w:rFonts w:ascii="David" w:hAnsi="David" w:cs="David"/>
          <w:sz w:val="28"/>
          <w:szCs w:val="28"/>
        </w:rPr>
        <w:t> </w:t>
      </w:r>
    </w:p>
    <w:p w14:paraId="7F463514" w14:textId="77777777" w:rsidR="00000000" w:rsidRDefault="00000000">
      <w:pPr>
        <w:bidi/>
        <w:spacing w:line="360" w:lineRule="auto"/>
        <w:ind w:left="567" w:hanging="567"/>
        <w:jc w:val="both"/>
        <w:rPr>
          <w:rtl/>
        </w:rPr>
      </w:pPr>
      <w:r>
        <w:rPr>
          <w:rFonts w:ascii="David" w:hAnsi="David" w:cs="David"/>
          <w:color w:val="000000"/>
          <w:rtl/>
        </w:rPr>
        <w:t>4.</w:t>
      </w:r>
      <w:r>
        <w:rPr>
          <w:color w:val="000000"/>
          <w:sz w:val="14"/>
          <w:szCs w:val="14"/>
          <w:rtl/>
        </w:rPr>
        <w:t xml:space="preserve">  </w:t>
      </w:r>
      <w:r>
        <w:rPr>
          <w:rFonts w:ascii="David" w:hAnsi="David" w:cs="David"/>
          <w:sz w:val="28"/>
          <w:szCs w:val="28"/>
          <w:rtl/>
        </w:rPr>
        <w:t xml:space="preserve">לשם ביצוע הפרויקט חתמו הצדדים ביום 28.12.15 על הסכם בן ארבעה כרכים. כרך </w:t>
      </w:r>
      <w:r>
        <w:rPr>
          <w:rFonts w:ascii="David" w:hAnsi="David" w:cs="David"/>
          <w:sz w:val="28"/>
          <w:szCs w:val="28"/>
        </w:rPr>
        <w:t>c</w:t>
      </w:r>
      <w:r>
        <w:rPr>
          <w:rFonts w:ascii="David" w:hAnsi="David" w:cs="David"/>
          <w:sz w:val="28"/>
          <w:szCs w:val="28"/>
          <w:rtl/>
        </w:rPr>
        <w:t xml:space="preserve"> כולל את ההוראות החוזיות בפרויקט אשר יכונו להלן "</w:t>
      </w:r>
      <w:r>
        <w:rPr>
          <w:rFonts w:ascii="David" w:hAnsi="David" w:cs="David"/>
          <w:b/>
          <w:bCs/>
          <w:sz w:val="28"/>
          <w:szCs w:val="28"/>
          <w:rtl/>
        </w:rPr>
        <w:t>ההסכם העיקרי</w:t>
      </w:r>
      <w:r>
        <w:rPr>
          <w:rFonts w:ascii="David" w:hAnsi="David" w:cs="David"/>
          <w:sz w:val="28"/>
          <w:szCs w:val="28"/>
          <w:rtl/>
        </w:rPr>
        <w:t xml:space="preserve">". </w:t>
      </w:r>
    </w:p>
    <w:p w14:paraId="436F3707" w14:textId="77777777" w:rsidR="00000000" w:rsidRDefault="00000000">
      <w:pPr>
        <w:bidi/>
        <w:spacing w:line="360" w:lineRule="auto"/>
        <w:ind w:left="567"/>
        <w:jc w:val="both"/>
        <w:rPr>
          <w:rtl/>
        </w:rPr>
      </w:pPr>
      <w:r>
        <w:rPr>
          <w:rFonts w:ascii="David" w:hAnsi="David" w:cs="David"/>
          <w:sz w:val="28"/>
          <w:szCs w:val="28"/>
          <w:rtl/>
        </w:rPr>
        <w:t>במהלך ביצוע הפרויקט התגלעו מחלוקות בין הצדדים לגבי סוגיות שונות וחלו עיכובים בלוחות הזמנים כפי שנקבעו בהסכם בין היתר, אך לא רק, לאור המצב הבטחוני בישראל. לאחר תחילת הפרויקט תוך כדי ביצוע העבודות, חתמו הצדדים על תיקונים ותוספות להסכם (להלן: "</w:t>
      </w:r>
      <w:r>
        <w:rPr>
          <w:rFonts w:ascii="David" w:hAnsi="David" w:cs="David"/>
          <w:b/>
          <w:bCs/>
          <w:sz w:val="28"/>
          <w:szCs w:val="28"/>
          <w:rtl/>
        </w:rPr>
        <w:t>התוספות להסכם</w:t>
      </w:r>
      <w:r>
        <w:rPr>
          <w:rFonts w:ascii="David" w:hAnsi="David" w:cs="David"/>
          <w:sz w:val="28"/>
          <w:szCs w:val="28"/>
          <w:rtl/>
        </w:rPr>
        <w:t xml:space="preserve">") אשר צורפו לבקשה כדלהלן: הסכם פשרה - ביום 9.7.17; תוספת 1 - ביום 19.7.18; תוספת 3 - ביום 1.4.20; תוספת 4 - ביום 21.5.20; תוספת 5 - ביום 15.12.21; תוספת 6 ביום 22.6.22; תוספת 7 - 22.6.22; תוספת 8 - ביום 23.2.23; תוספת 9 - ביום 11.9.24; תוספת 10 - ביום 3.7.24; תוספת 11- ביום 9.2.25. </w:t>
      </w:r>
    </w:p>
    <w:p w14:paraId="1C9EDDA3" w14:textId="77777777" w:rsidR="00000000" w:rsidRDefault="00000000">
      <w:pPr>
        <w:bidi/>
        <w:spacing w:line="360" w:lineRule="auto"/>
        <w:ind w:left="567"/>
        <w:jc w:val="both"/>
        <w:rPr>
          <w:rtl/>
        </w:rPr>
      </w:pPr>
      <w:r>
        <w:rPr>
          <w:rFonts w:ascii="David" w:hAnsi="David" w:cs="David"/>
          <w:sz w:val="28"/>
          <w:szCs w:val="28"/>
          <w:rtl/>
        </w:rPr>
        <w:t>לשם הנוחות ההסכם העיקרי ביחד עם התוספות ייקראו להלן: "</w:t>
      </w:r>
      <w:r>
        <w:rPr>
          <w:rFonts w:ascii="David" w:hAnsi="David" w:cs="David"/>
          <w:b/>
          <w:bCs/>
          <w:sz w:val="28"/>
          <w:szCs w:val="28"/>
          <w:rtl/>
        </w:rPr>
        <w:t>ההסכם</w:t>
      </w:r>
      <w:r>
        <w:rPr>
          <w:rFonts w:ascii="David" w:hAnsi="David" w:cs="David"/>
          <w:sz w:val="28"/>
          <w:szCs w:val="28"/>
          <w:rtl/>
        </w:rPr>
        <w:t>". כאשר ישנה הפניה לסעיף ספציפי יצוין "</w:t>
      </w:r>
      <w:r>
        <w:rPr>
          <w:rFonts w:ascii="David" w:hAnsi="David" w:cs="David"/>
          <w:b/>
          <w:bCs/>
          <w:sz w:val="28"/>
          <w:szCs w:val="28"/>
          <w:rtl/>
        </w:rPr>
        <w:t>ההסכם העיקרי</w:t>
      </w:r>
      <w:r>
        <w:rPr>
          <w:rFonts w:ascii="David" w:hAnsi="David" w:cs="David"/>
          <w:sz w:val="28"/>
          <w:szCs w:val="28"/>
          <w:rtl/>
        </w:rPr>
        <w:t>" או "</w:t>
      </w:r>
      <w:r>
        <w:rPr>
          <w:rFonts w:ascii="David" w:hAnsi="David" w:cs="David"/>
          <w:b/>
          <w:bCs/>
          <w:sz w:val="28"/>
          <w:szCs w:val="28"/>
          <w:rtl/>
        </w:rPr>
        <w:t>תוספת מספר</w:t>
      </w:r>
      <w:r>
        <w:rPr>
          <w:rFonts w:ascii="David" w:hAnsi="David" w:cs="David"/>
          <w:sz w:val="28"/>
          <w:szCs w:val="28"/>
          <w:rtl/>
        </w:rPr>
        <w:t xml:space="preserve">". </w:t>
      </w:r>
    </w:p>
    <w:p w14:paraId="15A984BE" w14:textId="77777777" w:rsidR="00000000" w:rsidRDefault="00000000">
      <w:pPr>
        <w:bidi/>
        <w:spacing w:line="360" w:lineRule="auto"/>
        <w:ind w:left="567"/>
        <w:jc w:val="both"/>
        <w:rPr>
          <w:rtl/>
        </w:rPr>
      </w:pPr>
      <w:r>
        <w:rPr>
          <w:rFonts w:ascii="David" w:hAnsi="David" w:cs="David"/>
          <w:sz w:val="28"/>
          <w:szCs w:val="28"/>
        </w:rPr>
        <w:t> </w:t>
      </w:r>
    </w:p>
    <w:p w14:paraId="23562E4A" w14:textId="77777777" w:rsidR="00000000" w:rsidRDefault="00000000">
      <w:pPr>
        <w:bidi/>
        <w:spacing w:line="360" w:lineRule="auto"/>
        <w:ind w:left="567"/>
        <w:jc w:val="both"/>
        <w:rPr>
          <w:rtl/>
        </w:rPr>
      </w:pPr>
      <w:r>
        <w:rPr>
          <w:rFonts w:ascii="David" w:hAnsi="David" w:cs="David"/>
          <w:sz w:val="28"/>
          <w:szCs w:val="28"/>
          <w:rtl/>
        </w:rPr>
        <w:t xml:space="preserve">ביום 9.2.25 חתמו הצדדים על תוספת 11 להסכם (נספח 5 לתגובה) - במסגרתה הורחבה תכולת עבודת המבקשת באופן שהוספו עבודות חשמול גם במסילה 431 ובמסילה המזרחית אשר חולקה לארבעה מקטעים </w:t>
      </w:r>
      <w:proofErr w:type="spellStart"/>
      <w:r>
        <w:rPr>
          <w:rFonts w:ascii="David" w:hAnsi="David" w:cs="David"/>
          <w:sz w:val="28"/>
          <w:szCs w:val="28"/>
        </w:rPr>
        <w:t>a,b,c,d</w:t>
      </w:r>
      <w:proofErr w:type="spellEnd"/>
      <w:r>
        <w:rPr>
          <w:rFonts w:ascii="David" w:hAnsi="David" w:cs="David"/>
          <w:sz w:val="28"/>
          <w:szCs w:val="28"/>
          <w:rtl/>
        </w:rPr>
        <w:t xml:space="preserve">. הוסכם על תמורה בסך של 75 מיליון ₪ עבור מסילה 431 ובסך של 245 מיליון ₪ עבור המסילה המזרחית. נקבעו מועדי השלמת העבודות כדלהלן: מסילה 431 מקטע מזרחי - עד ליום 31.1.26. מסילה 431 מקטע מערבי - עד ליום 31.1.27. מסילה מזרחית מקטעים </w:t>
      </w:r>
      <w:r>
        <w:rPr>
          <w:rFonts w:ascii="David" w:hAnsi="David" w:cs="David"/>
          <w:sz w:val="28"/>
          <w:szCs w:val="28"/>
        </w:rPr>
        <w:t>a</w:t>
      </w:r>
      <w:r>
        <w:rPr>
          <w:rFonts w:ascii="David" w:hAnsi="David" w:cs="David"/>
          <w:sz w:val="28"/>
          <w:szCs w:val="28"/>
          <w:rtl/>
        </w:rPr>
        <w:t xml:space="preserve"> ו-</w:t>
      </w:r>
      <w:r>
        <w:rPr>
          <w:rFonts w:ascii="David" w:hAnsi="David" w:cs="David"/>
          <w:sz w:val="28"/>
          <w:szCs w:val="28"/>
        </w:rPr>
        <w:t>b</w:t>
      </w:r>
      <w:r>
        <w:rPr>
          <w:rFonts w:ascii="David" w:hAnsi="David" w:cs="David"/>
          <w:sz w:val="28"/>
          <w:szCs w:val="28"/>
          <w:rtl/>
        </w:rPr>
        <w:t xml:space="preserve"> - עד ליום 31.12.25 (אושרה הארכה לסיומן עד ליום 19.3.26), מקטע </w:t>
      </w:r>
      <w:r>
        <w:rPr>
          <w:rFonts w:ascii="David" w:hAnsi="David" w:cs="David"/>
          <w:sz w:val="28"/>
          <w:szCs w:val="28"/>
        </w:rPr>
        <w:t>c</w:t>
      </w:r>
      <w:r>
        <w:rPr>
          <w:rFonts w:ascii="David" w:hAnsi="David" w:cs="David"/>
          <w:sz w:val="28"/>
          <w:szCs w:val="28"/>
          <w:rtl/>
        </w:rPr>
        <w:t xml:space="preserve"> - עד ליום 31.8.26 ומקטע </w:t>
      </w:r>
      <w:r>
        <w:rPr>
          <w:rFonts w:ascii="David" w:hAnsi="David" w:cs="David"/>
          <w:sz w:val="28"/>
          <w:szCs w:val="28"/>
        </w:rPr>
        <w:t>d</w:t>
      </w:r>
      <w:r>
        <w:rPr>
          <w:rFonts w:ascii="David" w:hAnsi="David" w:cs="David"/>
          <w:sz w:val="28"/>
          <w:szCs w:val="28"/>
          <w:rtl/>
        </w:rPr>
        <w:t xml:space="preserve"> - עד ליום 30.11.26. כמו כן הוסכם כי לצורך ביצוע העבודות הנוספות המבקשת תעמיד צוותי עבודה וציוד נוספים וכן ערבויות ביצוע בסך של כ-11.2 מיליון ₪ וזאת עד ליום 28.6.25. </w:t>
      </w:r>
    </w:p>
    <w:p w14:paraId="3C3A8860" w14:textId="77777777" w:rsidR="00000000" w:rsidRDefault="00000000">
      <w:pPr>
        <w:bidi/>
        <w:spacing w:line="360" w:lineRule="auto"/>
        <w:ind w:left="567"/>
        <w:jc w:val="both"/>
        <w:rPr>
          <w:rtl/>
        </w:rPr>
      </w:pPr>
      <w:r>
        <w:rPr>
          <w:rFonts w:ascii="David" w:hAnsi="David" w:cs="David"/>
          <w:sz w:val="28"/>
          <w:szCs w:val="28"/>
        </w:rPr>
        <w:t> </w:t>
      </w:r>
    </w:p>
    <w:p w14:paraId="2C8EAD42" w14:textId="77777777" w:rsidR="00000000" w:rsidRDefault="00000000">
      <w:pPr>
        <w:bidi/>
        <w:spacing w:line="360" w:lineRule="auto"/>
        <w:ind w:left="567"/>
        <w:jc w:val="both"/>
        <w:rPr>
          <w:rtl/>
        </w:rPr>
      </w:pPr>
      <w:r>
        <w:rPr>
          <w:rFonts w:ascii="David" w:hAnsi="David" w:cs="David"/>
          <w:sz w:val="28"/>
          <w:szCs w:val="28"/>
          <w:rtl/>
        </w:rPr>
        <w:t xml:space="preserve">ביום 4.5.25 נחתם תיקון 1 לתוספת 9 (נספח 4 לתגובה). </w:t>
      </w:r>
    </w:p>
    <w:p w14:paraId="78998368" w14:textId="77777777" w:rsidR="00000000" w:rsidRDefault="00000000">
      <w:pPr>
        <w:bidi/>
        <w:spacing w:line="360" w:lineRule="auto"/>
        <w:ind w:left="567"/>
        <w:jc w:val="both"/>
        <w:rPr>
          <w:rtl/>
        </w:rPr>
      </w:pPr>
      <w:r>
        <w:rPr>
          <w:rFonts w:ascii="David" w:hAnsi="David" w:cs="David"/>
          <w:sz w:val="28"/>
          <w:szCs w:val="28"/>
        </w:rPr>
        <w:t> </w:t>
      </w:r>
    </w:p>
    <w:p w14:paraId="34532318" w14:textId="77777777" w:rsidR="00000000" w:rsidRDefault="00000000">
      <w:pPr>
        <w:bidi/>
        <w:spacing w:line="360" w:lineRule="auto"/>
        <w:ind w:left="567" w:hanging="567"/>
        <w:jc w:val="both"/>
        <w:rPr>
          <w:rtl/>
        </w:rPr>
      </w:pPr>
      <w:r>
        <w:rPr>
          <w:rFonts w:ascii="David" w:hAnsi="David" w:cs="David"/>
          <w:color w:val="000000"/>
          <w:rtl/>
        </w:rPr>
        <w:t>5.</w:t>
      </w:r>
      <w:r>
        <w:rPr>
          <w:color w:val="000000"/>
          <w:sz w:val="14"/>
          <w:szCs w:val="14"/>
          <w:rtl/>
        </w:rPr>
        <w:t xml:space="preserve">  </w:t>
      </w:r>
      <w:r>
        <w:rPr>
          <w:rFonts w:ascii="David" w:hAnsi="David" w:cs="David"/>
          <w:sz w:val="28"/>
          <w:szCs w:val="28"/>
          <w:rtl/>
        </w:rPr>
        <w:t xml:space="preserve">במסגרת כל תוספת חתמו הצדדים על כתבי ויתור ביחס לכל דרישה וטענה שהיו להם אחד כנגד השני נכון למועד חתימת התוספת. </w:t>
      </w:r>
    </w:p>
    <w:p w14:paraId="7476225D" w14:textId="77777777" w:rsidR="00000000" w:rsidRDefault="00000000">
      <w:pPr>
        <w:bidi/>
        <w:spacing w:line="360" w:lineRule="auto"/>
        <w:ind w:left="567"/>
        <w:jc w:val="both"/>
        <w:rPr>
          <w:rtl/>
        </w:rPr>
      </w:pPr>
      <w:r>
        <w:rPr>
          <w:rFonts w:ascii="David" w:hAnsi="David" w:cs="David"/>
          <w:sz w:val="28"/>
          <w:szCs w:val="28"/>
        </w:rPr>
        <w:t> </w:t>
      </w:r>
    </w:p>
    <w:p w14:paraId="73113109" w14:textId="77777777" w:rsidR="00000000" w:rsidRDefault="00000000">
      <w:pPr>
        <w:bidi/>
        <w:spacing w:line="360" w:lineRule="auto"/>
        <w:ind w:left="567" w:hanging="567"/>
        <w:jc w:val="both"/>
        <w:rPr>
          <w:rtl/>
        </w:rPr>
      </w:pPr>
      <w:r>
        <w:rPr>
          <w:rFonts w:ascii="David" w:hAnsi="David" w:cs="David"/>
          <w:color w:val="000000"/>
          <w:rtl/>
        </w:rPr>
        <w:t>6.</w:t>
      </w:r>
      <w:r>
        <w:rPr>
          <w:color w:val="000000"/>
          <w:sz w:val="14"/>
          <w:szCs w:val="14"/>
          <w:rtl/>
        </w:rPr>
        <w:t xml:space="preserve">  </w:t>
      </w:r>
      <w:r>
        <w:rPr>
          <w:rFonts w:ascii="David" w:hAnsi="David" w:cs="David"/>
          <w:sz w:val="28"/>
          <w:szCs w:val="28"/>
          <w:rtl/>
        </w:rPr>
        <w:t xml:space="preserve">ביום 23.3.26 הודיעה המשיבה בכתב למבקשת כי נוכח הפרות המבקשת ובהתאם לסעיף 43.1.8 להסכם העיקרי, היא מצמצמת את היקף עבודת המבקשת בפרויקט באופן שמתכולת העבודה יגרעו העבודות במסילה 431 ובמקטעים </w:t>
      </w:r>
      <w:r>
        <w:rPr>
          <w:rFonts w:ascii="David" w:hAnsi="David" w:cs="David"/>
          <w:sz w:val="28"/>
          <w:szCs w:val="28"/>
        </w:rPr>
        <w:t>c</w:t>
      </w:r>
      <w:r>
        <w:rPr>
          <w:rFonts w:ascii="David" w:hAnsi="David" w:cs="David"/>
          <w:sz w:val="28"/>
          <w:szCs w:val="28"/>
          <w:rtl/>
        </w:rPr>
        <w:t xml:space="preserve"> ו-</w:t>
      </w:r>
      <w:r>
        <w:rPr>
          <w:rFonts w:ascii="David" w:hAnsi="David" w:cs="David"/>
          <w:sz w:val="28"/>
          <w:szCs w:val="28"/>
        </w:rPr>
        <w:t>d</w:t>
      </w:r>
      <w:r>
        <w:rPr>
          <w:rFonts w:ascii="David" w:hAnsi="David" w:cs="David"/>
          <w:sz w:val="28"/>
          <w:szCs w:val="28"/>
          <w:rtl/>
        </w:rPr>
        <w:t xml:space="preserve"> של המסילה המזרחית (להלן: "</w:t>
      </w:r>
      <w:r>
        <w:rPr>
          <w:rFonts w:ascii="David" w:hAnsi="David" w:cs="David"/>
          <w:b/>
          <w:bCs/>
          <w:sz w:val="28"/>
          <w:szCs w:val="28"/>
          <w:rtl/>
        </w:rPr>
        <w:t>הודעת הביטול"</w:t>
      </w:r>
      <w:r>
        <w:rPr>
          <w:rFonts w:ascii="David" w:hAnsi="David" w:cs="David"/>
          <w:sz w:val="28"/>
          <w:szCs w:val="28"/>
          <w:rtl/>
        </w:rPr>
        <w:t xml:space="preserve">) (נספח 1 לכתב התביעה). במסגרת הודעת הביטול עמדה המשיבה על המשך קיומו של ההסכם בנוגע ליתר הפרויקט. </w:t>
      </w:r>
    </w:p>
    <w:p w14:paraId="75930BCB" w14:textId="77777777" w:rsidR="00000000" w:rsidRDefault="00000000">
      <w:pPr>
        <w:bidi/>
        <w:spacing w:line="360" w:lineRule="auto"/>
        <w:ind w:left="567"/>
        <w:jc w:val="both"/>
        <w:rPr>
          <w:rtl/>
        </w:rPr>
      </w:pPr>
      <w:r>
        <w:rPr>
          <w:rFonts w:ascii="David" w:hAnsi="David" w:cs="David"/>
          <w:sz w:val="28"/>
          <w:szCs w:val="28"/>
        </w:rPr>
        <w:t> </w:t>
      </w:r>
    </w:p>
    <w:p w14:paraId="25386FBF" w14:textId="77777777" w:rsidR="00000000" w:rsidRDefault="00000000">
      <w:pPr>
        <w:bidi/>
        <w:spacing w:line="360" w:lineRule="auto"/>
        <w:ind w:left="567" w:hanging="567"/>
        <w:jc w:val="both"/>
        <w:rPr>
          <w:rtl/>
        </w:rPr>
      </w:pPr>
      <w:r>
        <w:rPr>
          <w:rFonts w:ascii="David" w:hAnsi="David" w:cs="David"/>
          <w:color w:val="000000"/>
          <w:rtl/>
        </w:rPr>
        <w:t>7.</w:t>
      </w:r>
      <w:r>
        <w:rPr>
          <w:color w:val="000000"/>
          <w:sz w:val="14"/>
          <w:szCs w:val="14"/>
          <w:rtl/>
        </w:rPr>
        <w:t xml:space="preserve">  </w:t>
      </w:r>
      <w:r>
        <w:rPr>
          <w:rFonts w:ascii="David" w:hAnsi="David" w:cs="David"/>
          <w:sz w:val="28"/>
          <w:szCs w:val="28"/>
          <w:rtl/>
        </w:rPr>
        <w:t xml:space="preserve">ביום 24.3.26 המבקשת השיבה בכתב למשיבה כי היא אינה זכאית לצמצם את תכולת עבודת המבקשת ודרשה מהמשיבה לחזור בה מהודעת הביטול. </w:t>
      </w:r>
    </w:p>
    <w:p w14:paraId="0123B5C0" w14:textId="77777777" w:rsidR="00000000" w:rsidRDefault="00000000">
      <w:pPr>
        <w:bidi/>
        <w:spacing w:line="360" w:lineRule="auto"/>
        <w:ind w:left="567"/>
        <w:jc w:val="both"/>
        <w:rPr>
          <w:rtl/>
        </w:rPr>
      </w:pPr>
      <w:r>
        <w:rPr>
          <w:rFonts w:ascii="David" w:hAnsi="David" w:cs="David"/>
          <w:sz w:val="28"/>
          <w:szCs w:val="28"/>
        </w:rPr>
        <w:t> </w:t>
      </w:r>
    </w:p>
    <w:p w14:paraId="5200458A" w14:textId="77777777" w:rsidR="00000000" w:rsidRDefault="00000000">
      <w:pPr>
        <w:bidi/>
        <w:spacing w:line="360" w:lineRule="auto"/>
        <w:ind w:left="567" w:hanging="567"/>
        <w:jc w:val="both"/>
        <w:rPr>
          <w:rtl/>
        </w:rPr>
      </w:pPr>
      <w:r>
        <w:rPr>
          <w:rFonts w:ascii="David" w:hAnsi="David" w:cs="David"/>
          <w:color w:val="000000"/>
          <w:rtl/>
        </w:rPr>
        <w:t>8.</w:t>
      </w:r>
      <w:r>
        <w:rPr>
          <w:color w:val="000000"/>
          <w:sz w:val="14"/>
          <w:szCs w:val="14"/>
          <w:rtl/>
        </w:rPr>
        <w:t xml:space="preserve">  </w:t>
      </w:r>
      <w:r>
        <w:rPr>
          <w:rFonts w:ascii="David" w:hAnsi="David" w:cs="David"/>
          <w:sz w:val="28"/>
          <w:szCs w:val="28"/>
          <w:rtl/>
        </w:rPr>
        <w:t xml:space="preserve">ביום 26.3.26 הודיעה המשיבה למבקשת כי היא עומדת על צמצום תכולת עבודת המבקשת. </w:t>
      </w:r>
    </w:p>
    <w:p w14:paraId="6F78A136" w14:textId="77777777" w:rsidR="00000000" w:rsidRDefault="00000000">
      <w:pPr>
        <w:bidi/>
        <w:spacing w:line="360" w:lineRule="auto"/>
        <w:ind w:left="567"/>
        <w:jc w:val="both"/>
        <w:rPr>
          <w:rtl/>
        </w:rPr>
      </w:pPr>
      <w:r>
        <w:rPr>
          <w:rFonts w:ascii="David" w:hAnsi="David" w:cs="David"/>
          <w:sz w:val="28"/>
          <w:szCs w:val="28"/>
        </w:rPr>
        <w:t> </w:t>
      </w:r>
    </w:p>
    <w:p w14:paraId="01CD975F" w14:textId="77777777" w:rsidR="00000000" w:rsidRDefault="00000000">
      <w:pPr>
        <w:bidi/>
        <w:spacing w:line="360" w:lineRule="auto"/>
        <w:ind w:left="567" w:hanging="567"/>
        <w:jc w:val="both"/>
        <w:rPr>
          <w:rtl/>
        </w:rPr>
      </w:pPr>
      <w:r>
        <w:rPr>
          <w:rFonts w:ascii="David" w:hAnsi="David" w:cs="David"/>
          <w:color w:val="000000"/>
          <w:rtl/>
        </w:rPr>
        <w:t>9.</w:t>
      </w:r>
      <w:r>
        <w:rPr>
          <w:color w:val="000000"/>
          <w:sz w:val="14"/>
          <w:szCs w:val="14"/>
          <w:rtl/>
        </w:rPr>
        <w:t xml:space="preserve">  </w:t>
      </w:r>
      <w:r>
        <w:rPr>
          <w:rFonts w:ascii="David" w:hAnsi="David" w:cs="David"/>
          <w:sz w:val="28"/>
          <w:szCs w:val="28"/>
          <w:rtl/>
        </w:rPr>
        <w:t xml:space="preserve">ביום 5.4.26 הגישה המבקשת את כתב התביעה בד בבד עם בקשה למתן צו מניעה זמני וארעי במעמד צד אחד במסגרתו עתרה </w:t>
      </w:r>
      <w:r>
        <w:rPr>
          <w:rFonts w:ascii="David" w:hAnsi="David" w:cs="David"/>
          <w:b/>
          <w:bCs/>
          <w:sz w:val="28"/>
          <w:szCs w:val="28"/>
          <w:rtl/>
        </w:rPr>
        <w:t xml:space="preserve">לתת צו מניעה זמני המורה למשיבה להימנע עד למתן פסק דין סופי בתביעה מלהוציא מתכולת העבודה של המבקשת לפי ההסכם בין הצדדים על תוספותיו, את העבודה במסילה 431 ואת העבודות במקטעים </w:t>
      </w:r>
      <w:r>
        <w:rPr>
          <w:rFonts w:ascii="David" w:hAnsi="David" w:cs="David"/>
          <w:b/>
          <w:bCs/>
          <w:sz w:val="28"/>
          <w:szCs w:val="28"/>
        </w:rPr>
        <w:t>c</w:t>
      </w:r>
      <w:r>
        <w:rPr>
          <w:rFonts w:ascii="David" w:hAnsi="David" w:cs="David"/>
          <w:b/>
          <w:bCs/>
          <w:sz w:val="28"/>
          <w:szCs w:val="28"/>
          <w:rtl/>
        </w:rPr>
        <w:t xml:space="preserve"> ו-</w:t>
      </w:r>
      <w:r>
        <w:rPr>
          <w:rFonts w:ascii="David" w:hAnsi="David" w:cs="David"/>
          <w:b/>
          <w:bCs/>
          <w:sz w:val="28"/>
          <w:szCs w:val="28"/>
        </w:rPr>
        <w:t>d</w:t>
      </w:r>
      <w:r>
        <w:rPr>
          <w:rFonts w:ascii="David" w:hAnsi="David" w:cs="David"/>
          <w:b/>
          <w:bCs/>
          <w:sz w:val="28"/>
          <w:szCs w:val="28"/>
          <w:rtl/>
        </w:rPr>
        <w:t xml:space="preserve"> של המסילה המזרחית לצורך העברתן לקבלנים אחרים</w:t>
      </w:r>
      <w:r>
        <w:rPr>
          <w:rFonts w:ascii="David" w:hAnsi="David" w:cs="David"/>
          <w:sz w:val="28"/>
          <w:szCs w:val="28"/>
          <w:rtl/>
        </w:rPr>
        <w:t>.</w:t>
      </w:r>
    </w:p>
    <w:p w14:paraId="4734C9A3" w14:textId="77777777" w:rsidR="00000000" w:rsidRDefault="00000000">
      <w:pPr>
        <w:bidi/>
        <w:spacing w:line="360" w:lineRule="auto"/>
        <w:ind w:left="567"/>
        <w:jc w:val="both"/>
        <w:rPr>
          <w:rtl/>
        </w:rPr>
      </w:pPr>
      <w:r>
        <w:rPr>
          <w:rFonts w:ascii="David" w:hAnsi="David" w:cs="David"/>
          <w:sz w:val="28"/>
          <w:szCs w:val="28"/>
        </w:rPr>
        <w:t> </w:t>
      </w:r>
    </w:p>
    <w:p w14:paraId="4F285FE9" w14:textId="77777777" w:rsidR="00000000" w:rsidRDefault="00000000">
      <w:pPr>
        <w:bidi/>
        <w:spacing w:line="360" w:lineRule="auto"/>
        <w:ind w:left="567" w:hanging="567"/>
        <w:jc w:val="both"/>
        <w:rPr>
          <w:rtl/>
        </w:rPr>
      </w:pPr>
      <w:r>
        <w:rPr>
          <w:rFonts w:ascii="David" w:hAnsi="David" w:cs="David"/>
          <w:color w:val="000000"/>
          <w:rtl/>
        </w:rPr>
        <w:t>10.</w:t>
      </w:r>
      <w:r>
        <w:rPr>
          <w:color w:val="000000"/>
          <w:sz w:val="14"/>
          <w:szCs w:val="14"/>
          <w:rtl/>
        </w:rPr>
        <w:t xml:space="preserve">  </w:t>
      </w:r>
      <w:r>
        <w:rPr>
          <w:rFonts w:ascii="David" w:hAnsi="David" w:cs="David"/>
          <w:sz w:val="28"/>
          <w:szCs w:val="28"/>
          <w:rtl/>
        </w:rPr>
        <w:t xml:space="preserve">ביום 5.4.26 קבעתי כי אין מקום להיעתר לצו במעמד צד אחד והוריתי למשיבה להגיש תגובה. </w:t>
      </w:r>
    </w:p>
    <w:p w14:paraId="5AF45B7D" w14:textId="77777777" w:rsidR="00000000" w:rsidRDefault="00000000">
      <w:pPr>
        <w:bidi/>
        <w:spacing w:line="360" w:lineRule="auto"/>
        <w:ind w:left="567"/>
        <w:jc w:val="both"/>
        <w:rPr>
          <w:rtl/>
        </w:rPr>
      </w:pPr>
      <w:r>
        <w:rPr>
          <w:rFonts w:ascii="David" w:hAnsi="David" w:cs="David"/>
          <w:sz w:val="28"/>
          <w:szCs w:val="28"/>
        </w:rPr>
        <w:t> </w:t>
      </w:r>
    </w:p>
    <w:p w14:paraId="6B66AF30" w14:textId="77777777" w:rsidR="00000000" w:rsidRDefault="00000000">
      <w:pPr>
        <w:bidi/>
        <w:spacing w:line="360" w:lineRule="auto"/>
        <w:ind w:left="567" w:hanging="567"/>
        <w:jc w:val="both"/>
        <w:rPr>
          <w:rtl/>
        </w:rPr>
      </w:pPr>
      <w:r>
        <w:rPr>
          <w:rFonts w:ascii="David" w:hAnsi="David" w:cs="David"/>
          <w:color w:val="000000"/>
          <w:rtl/>
        </w:rPr>
        <w:t>11.</w:t>
      </w:r>
      <w:r>
        <w:rPr>
          <w:color w:val="000000"/>
          <w:sz w:val="14"/>
          <w:szCs w:val="14"/>
          <w:rtl/>
        </w:rPr>
        <w:t xml:space="preserve">  </w:t>
      </w:r>
      <w:r>
        <w:rPr>
          <w:rFonts w:ascii="David" w:hAnsi="David" w:cs="David"/>
          <w:sz w:val="28"/>
          <w:szCs w:val="28"/>
          <w:rtl/>
        </w:rPr>
        <w:t xml:space="preserve">המשיבה הגישה תגובה. ביום 16.4.26 התקיים דיון במסגרתו נחקרו המצהירים מטעם הצדדים, הוגשו סיכומים בכתב ובהתאם ניתנת ההחלטה כעת. </w:t>
      </w:r>
    </w:p>
    <w:p w14:paraId="5D5BAA0A" w14:textId="77777777" w:rsidR="00000000" w:rsidRDefault="00000000">
      <w:pPr>
        <w:pStyle w:val="a9"/>
        <w:spacing w:line="360" w:lineRule="auto"/>
        <w:rPr>
          <w:rtl/>
        </w:rPr>
      </w:pPr>
      <w:r>
        <w:rPr>
          <w:rFonts w:ascii="David" w:hAnsi="David" w:cs="David"/>
          <w:sz w:val="28"/>
          <w:szCs w:val="28"/>
        </w:rPr>
        <w:t> </w:t>
      </w:r>
    </w:p>
    <w:p w14:paraId="2097272A" w14:textId="77777777" w:rsidR="00000000" w:rsidRDefault="00000000">
      <w:pPr>
        <w:bidi/>
        <w:spacing w:line="360" w:lineRule="auto"/>
        <w:jc w:val="both"/>
        <w:rPr>
          <w:rtl/>
        </w:rPr>
      </w:pPr>
      <w:r>
        <w:rPr>
          <w:rFonts w:ascii="David" w:hAnsi="David" w:cs="David"/>
          <w:b/>
          <w:bCs/>
          <w:sz w:val="28"/>
          <w:szCs w:val="28"/>
          <w:u w:val="single"/>
          <w:rtl/>
        </w:rPr>
        <w:t xml:space="preserve">עיקר טענות הצדדים בבקשה </w:t>
      </w:r>
    </w:p>
    <w:p w14:paraId="61C62E74" w14:textId="77777777" w:rsidR="00000000" w:rsidRDefault="00000000">
      <w:pPr>
        <w:bidi/>
        <w:spacing w:line="360" w:lineRule="auto"/>
        <w:ind w:left="567"/>
        <w:jc w:val="both"/>
        <w:rPr>
          <w:rtl/>
        </w:rPr>
      </w:pPr>
      <w:r>
        <w:rPr>
          <w:rFonts w:ascii="David" w:hAnsi="David" w:cs="David"/>
          <w:sz w:val="28"/>
          <w:szCs w:val="28"/>
        </w:rPr>
        <w:t> </w:t>
      </w:r>
    </w:p>
    <w:p w14:paraId="0AF0FAD3" w14:textId="77777777" w:rsidR="00000000" w:rsidRDefault="00000000">
      <w:pPr>
        <w:bidi/>
        <w:spacing w:line="360" w:lineRule="auto"/>
        <w:ind w:left="567" w:hanging="567"/>
        <w:jc w:val="both"/>
        <w:rPr>
          <w:rtl/>
        </w:rPr>
      </w:pPr>
      <w:r>
        <w:rPr>
          <w:rFonts w:ascii="David" w:hAnsi="David" w:cs="David"/>
          <w:color w:val="000000"/>
          <w:rtl/>
        </w:rPr>
        <w:t>12.</w:t>
      </w:r>
      <w:r>
        <w:rPr>
          <w:color w:val="000000"/>
          <w:sz w:val="14"/>
          <w:szCs w:val="14"/>
          <w:rtl/>
        </w:rPr>
        <w:t xml:space="preserve">  </w:t>
      </w:r>
      <w:r>
        <w:rPr>
          <w:rFonts w:ascii="David" w:hAnsi="David" w:cs="David"/>
          <w:b/>
          <w:bCs/>
          <w:sz w:val="28"/>
          <w:szCs w:val="28"/>
          <w:rtl/>
        </w:rPr>
        <w:t>לטענת המבקשת</w:t>
      </w:r>
      <w:r>
        <w:rPr>
          <w:rFonts w:ascii="David" w:hAnsi="David" w:cs="David"/>
          <w:sz w:val="28"/>
          <w:szCs w:val="28"/>
          <w:rtl/>
        </w:rPr>
        <w:t xml:space="preserve"> יש להיעתר לבקשה לצו מניעה זמני. לגבי קיומה של עילת תביעה נטען כי סיכויי התביעה להתקבל גבוהים מאד. נטען כי למשיבה אין זכות חוזית או חוקית לביטול חלקי של ההסכם. נטען כי המבקשת לא הפרה את ההסכם בפרט לא לגבי העבודות שנגרעו והמשיבה לא הצביעה על הפרה מצד המבקשת וגם מטעם זה אין לה זכות לבטל את ההסכם. נטען כי</w:t>
      </w:r>
      <w:r>
        <w:rPr>
          <w:rFonts w:ascii="David" w:hAnsi="David" w:cs="David"/>
          <w:b/>
          <w:bCs/>
          <w:sz w:val="28"/>
          <w:szCs w:val="28"/>
          <w:rtl/>
        </w:rPr>
        <w:t xml:space="preserve"> </w:t>
      </w:r>
      <w:r>
        <w:rPr>
          <w:rFonts w:ascii="David" w:hAnsi="David" w:cs="David"/>
          <w:sz w:val="28"/>
          <w:szCs w:val="28"/>
          <w:rtl/>
        </w:rPr>
        <w:t xml:space="preserve">ראוי שהחלטה על צמצום עבודת המבקשת, שהינה בעלת השלכות משמעותיות, תתקבל על ידי מנכ"ל קבוע ולא ע"י ממלאי מקום. מדובר בהחלטה אשר פוגעת באינטרס ציבורי של השלמת הפרויקט במהירות האפשרית. נטען כי מאזן הנוחות נוטה לטובת המבקשת. נטען כי הבקשה מוגשת בתום-לב והסעד המבוקש צודק ראוי ומידתי. לבקשה צורף תצהירו של מר חואן </w:t>
      </w:r>
      <w:proofErr w:type="spellStart"/>
      <w:r>
        <w:rPr>
          <w:rFonts w:ascii="David" w:hAnsi="David" w:cs="David"/>
          <w:sz w:val="28"/>
          <w:szCs w:val="28"/>
          <w:rtl/>
        </w:rPr>
        <w:t>פיגוארו</w:t>
      </w:r>
      <w:proofErr w:type="spellEnd"/>
      <w:r>
        <w:rPr>
          <w:rFonts w:ascii="David" w:hAnsi="David" w:cs="David"/>
          <w:sz w:val="28"/>
          <w:szCs w:val="28"/>
          <w:rtl/>
        </w:rPr>
        <w:t xml:space="preserve">, אשר על פי האמור בו ניהל במרבית הזמנים </w:t>
      </w:r>
      <w:proofErr w:type="spellStart"/>
      <w:r>
        <w:rPr>
          <w:rFonts w:ascii="David" w:hAnsi="David" w:cs="David"/>
          <w:sz w:val="28"/>
          <w:szCs w:val="28"/>
          <w:rtl/>
        </w:rPr>
        <w:t>הרלבנטים</w:t>
      </w:r>
      <w:proofErr w:type="spellEnd"/>
      <w:r>
        <w:rPr>
          <w:rFonts w:ascii="David" w:hAnsi="David" w:cs="David"/>
          <w:sz w:val="28"/>
          <w:szCs w:val="28"/>
          <w:rtl/>
        </w:rPr>
        <w:t xml:space="preserve"> את פעילות המבקשת בישראל. </w:t>
      </w:r>
    </w:p>
    <w:p w14:paraId="59D32C98" w14:textId="77777777" w:rsidR="00000000" w:rsidRDefault="00000000">
      <w:pPr>
        <w:bidi/>
        <w:spacing w:line="360" w:lineRule="auto"/>
        <w:ind w:left="567"/>
        <w:jc w:val="both"/>
        <w:rPr>
          <w:rtl/>
        </w:rPr>
      </w:pPr>
      <w:r>
        <w:rPr>
          <w:rFonts w:ascii="David" w:hAnsi="David" w:cs="David"/>
          <w:sz w:val="28"/>
          <w:szCs w:val="28"/>
        </w:rPr>
        <w:t> </w:t>
      </w:r>
    </w:p>
    <w:p w14:paraId="1562A90D" w14:textId="77777777" w:rsidR="00000000" w:rsidRDefault="00000000">
      <w:pPr>
        <w:bidi/>
        <w:spacing w:line="360" w:lineRule="auto"/>
        <w:ind w:left="567" w:hanging="567"/>
        <w:jc w:val="both"/>
        <w:rPr>
          <w:rtl/>
        </w:rPr>
      </w:pPr>
      <w:r>
        <w:rPr>
          <w:rFonts w:ascii="David" w:hAnsi="David" w:cs="David"/>
          <w:color w:val="000000"/>
          <w:rtl/>
        </w:rPr>
        <w:t>13.</w:t>
      </w:r>
      <w:r>
        <w:rPr>
          <w:color w:val="000000"/>
          <w:sz w:val="14"/>
          <w:szCs w:val="14"/>
          <w:rtl/>
        </w:rPr>
        <w:t xml:space="preserve">  </w:t>
      </w:r>
      <w:r>
        <w:rPr>
          <w:rFonts w:ascii="David" w:hAnsi="David" w:cs="David"/>
          <w:b/>
          <w:bCs/>
          <w:sz w:val="28"/>
          <w:szCs w:val="28"/>
          <w:rtl/>
        </w:rPr>
        <w:t>לטענת המשיבה</w:t>
      </w:r>
      <w:r>
        <w:rPr>
          <w:rFonts w:ascii="David" w:hAnsi="David" w:cs="David"/>
          <w:sz w:val="28"/>
          <w:szCs w:val="28"/>
          <w:rtl/>
        </w:rPr>
        <w:t xml:space="preserve"> יש לדחות את הבקשה. קבלת הבקשה תגרום לדחייה משמעותית בפתיחת שני קווי רכבת חשובים ובכך לנזק עצום למשק לרכבת ולציבור. נטען יש לדחות את הבקשה גם מהטעם כי הסעד המבוקש זהה לסעד העיקרי. נטען כי סיכויי התביעה נמוכים מאד. תכולת העבודה צומצמה בהתאם להסכם וזאת נוכח הפרות מרובות מצד המבקשת. נטען כי סעד האכיפה אשר התבקש בכתב התביעה, אינו אפשרי הן לאור סעיף מפורש בהסכם השולל אותו והן בשל היעדר אמון בין הצדדים ולאור טיבן של העבודות. נטען כי מאזן הנוחות נוטה באופן מובהק לטובת המשיבה. נטען כי העבודות כבר נמסרו לקבלנים חלופיים. נטען כי הבקשה הוגשה בשיהוי ניכר. נטען כי הבקשה הוגשה בחוסר ניקיון כפיים תוך אי גילוי סעיף בהסכם השולל במפורש את סעד האכיפה אף כסעד זמני, וכן אי גילוי פרטים נוספים ובכלל זה הפרות רבות מצד המבקשת. </w:t>
      </w:r>
    </w:p>
    <w:p w14:paraId="04FC056F" w14:textId="77777777" w:rsidR="00000000" w:rsidRDefault="00000000">
      <w:pPr>
        <w:bidi/>
        <w:spacing w:line="360" w:lineRule="auto"/>
        <w:ind w:left="567"/>
        <w:jc w:val="both"/>
        <w:rPr>
          <w:rtl/>
        </w:rPr>
      </w:pPr>
      <w:r>
        <w:rPr>
          <w:rFonts w:ascii="David" w:hAnsi="David" w:cs="David"/>
          <w:sz w:val="28"/>
          <w:szCs w:val="28"/>
        </w:rPr>
        <w:t> </w:t>
      </w:r>
    </w:p>
    <w:p w14:paraId="53691F28" w14:textId="77777777" w:rsidR="00000000" w:rsidRDefault="00000000">
      <w:pPr>
        <w:bidi/>
        <w:spacing w:line="360" w:lineRule="auto"/>
        <w:ind w:left="567" w:hanging="567"/>
        <w:jc w:val="both"/>
        <w:rPr>
          <w:rtl/>
        </w:rPr>
      </w:pPr>
      <w:r>
        <w:rPr>
          <w:rFonts w:ascii="David" w:hAnsi="David" w:cs="David"/>
          <w:color w:val="000000"/>
          <w:rtl/>
        </w:rPr>
        <w:t>14.</w:t>
      </w:r>
      <w:r>
        <w:rPr>
          <w:color w:val="000000"/>
          <w:sz w:val="14"/>
          <w:szCs w:val="14"/>
          <w:rtl/>
        </w:rPr>
        <w:t xml:space="preserve">  </w:t>
      </w:r>
      <w:r>
        <w:rPr>
          <w:rFonts w:ascii="David" w:hAnsi="David" w:cs="David"/>
          <w:b/>
          <w:bCs/>
          <w:sz w:val="28"/>
          <w:szCs w:val="28"/>
          <w:rtl/>
        </w:rPr>
        <w:t>המבקשת</w:t>
      </w:r>
      <w:r>
        <w:rPr>
          <w:rFonts w:ascii="David" w:hAnsi="David" w:cs="David"/>
          <w:sz w:val="28"/>
          <w:szCs w:val="28"/>
          <w:rtl/>
        </w:rPr>
        <w:t xml:space="preserve"> הגישה תגובה לתשובה במסגרתה חזרה על עיקרי טענותיה והוסיפה וטענה כי צו המניעה אינו משנה מצב קיים אלא מונע את סיכולו. נטען כי המבקשת לא החלה בעבודות שנגרעו בשל מחדלי המשיבה. נטען כי אי מתן הצו יסכל את הסעד העיקרי וכי הסעד שהתבקש הינו הסעד היחיד אשר יכול לשמר את אפקטיביות ההליך. נטען כי מאחר שהמשיבה בחרה שלא לבטל את ההסכם כולו והותירה אותו בתוקף ביחס לחלקו הארי של הפרויקט היא אינה יכולה לטעון כי לא ניתן לאכוף עליה את המשך ההתקשרות עם המבקשת. נטען כי המבקשת לא צירפה צווי תחילת עבודה לקבלנים חלופיים ועל כן אין לקבל את טענתה כי נוצר מצב בלתי הפיך ומדובר בטענה בחוסר תום לב. נטען לחוסר תום לב גם בשל מסירת העבודות לקבלנים חלופיים ללא מכרז ותוך שימוש בתוצרי עבודה של המבקשת. נטען כי המבקשת לא פעלה בשיהוי. </w:t>
      </w:r>
    </w:p>
    <w:p w14:paraId="02DD2557" w14:textId="77777777" w:rsidR="00000000" w:rsidRDefault="00000000">
      <w:pPr>
        <w:bidi/>
        <w:spacing w:line="360" w:lineRule="auto"/>
        <w:jc w:val="both"/>
        <w:rPr>
          <w:rtl/>
        </w:rPr>
      </w:pPr>
      <w:r>
        <w:rPr>
          <w:rFonts w:ascii="David" w:hAnsi="David" w:cs="David"/>
          <w:b/>
          <w:bCs/>
          <w:sz w:val="28"/>
          <w:szCs w:val="28"/>
        </w:rPr>
        <w:t> </w:t>
      </w:r>
    </w:p>
    <w:p w14:paraId="78EE2BFB" w14:textId="77777777" w:rsidR="00000000" w:rsidRDefault="00000000">
      <w:pPr>
        <w:bidi/>
        <w:spacing w:line="360" w:lineRule="auto"/>
        <w:jc w:val="both"/>
        <w:rPr>
          <w:rtl/>
        </w:rPr>
      </w:pPr>
      <w:r>
        <w:rPr>
          <w:rFonts w:ascii="David" w:hAnsi="David" w:cs="David"/>
          <w:b/>
          <w:bCs/>
          <w:sz w:val="28"/>
          <w:szCs w:val="28"/>
          <w:u w:val="single"/>
          <w:rtl/>
        </w:rPr>
        <w:t xml:space="preserve">דיון והכרעה </w:t>
      </w:r>
    </w:p>
    <w:p w14:paraId="641A30EC" w14:textId="77777777" w:rsidR="00000000" w:rsidRDefault="00000000">
      <w:pPr>
        <w:bidi/>
        <w:spacing w:line="360" w:lineRule="auto"/>
        <w:ind w:left="567"/>
        <w:jc w:val="both"/>
        <w:rPr>
          <w:rtl/>
        </w:rPr>
      </w:pPr>
      <w:r>
        <w:rPr>
          <w:rFonts w:ascii="David" w:hAnsi="David" w:cs="David"/>
          <w:sz w:val="28"/>
          <w:szCs w:val="28"/>
        </w:rPr>
        <w:t> </w:t>
      </w:r>
    </w:p>
    <w:p w14:paraId="5BD3BE80" w14:textId="77777777" w:rsidR="00000000" w:rsidRDefault="00000000">
      <w:pPr>
        <w:pStyle w:val="a9"/>
        <w:spacing w:line="360" w:lineRule="auto"/>
        <w:ind w:left="567" w:hanging="567"/>
        <w:jc w:val="both"/>
        <w:rPr>
          <w:rtl/>
        </w:rPr>
      </w:pPr>
      <w:r>
        <w:rPr>
          <w:rFonts w:ascii="David" w:hAnsi="David" w:cs="David"/>
          <w:color w:val="000000"/>
          <w:rtl/>
        </w:rPr>
        <w:t>15.</w:t>
      </w:r>
      <w:r>
        <w:rPr>
          <w:color w:val="000000"/>
          <w:sz w:val="14"/>
          <w:szCs w:val="14"/>
          <w:rtl/>
        </w:rPr>
        <w:t xml:space="preserve">  </w:t>
      </w:r>
      <w:r>
        <w:rPr>
          <w:rFonts w:ascii="David" w:hAnsi="David" w:cs="David"/>
          <w:sz w:val="28"/>
          <w:szCs w:val="28"/>
          <w:rtl/>
        </w:rPr>
        <w:t>לשם הכרעה בבקשה לסעד זמני נדרש בית המשפט לבחון שני שיקולים עיקריים: קיומה של עילת תביעה ומאזן הנוחות (תקנות 95(ב) ו-95(ד)(1) לתקנות סדר הדין האזרחי, התשע"ט-2018 (להלן: "</w:t>
      </w:r>
      <w:proofErr w:type="spellStart"/>
      <w:r>
        <w:rPr>
          <w:rFonts w:ascii="David" w:hAnsi="David" w:cs="David"/>
          <w:b/>
          <w:bCs/>
          <w:sz w:val="28"/>
          <w:szCs w:val="28"/>
          <w:rtl/>
        </w:rPr>
        <w:t>התקסד"א</w:t>
      </w:r>
      <w:proofErr w:type="spellEnd"/>
      <w:r>
        <w:rPr>
          <w:rFonts w:ascii="David" w:hAnsi="David" w:cs="David"/>
          <w:sz w:val="28"/>
          <w:szCs w:val="28"/>
          <w:rtl/>
        </w:rPr>
        <w:t xml:space="preserve">"). בין שני שיקולים אלו מתקיים יחס של "מקבילית הכוחות" תוך מתן בכורה לשיקול של מאזן הנוחות (רע"א 1227/24 צרפתי צבי ושות חברה לבניין לקבלנות בע"מ נ' גמול יהוד בע"מ (19.2.24), פסקה 42 להחלטה (להלן: "עניין צרפתי"). </w:t>
      </w:r>
    </w:p>
    <w:p w14:paraId="65401C80" w14:textId="77777777" w:rsidR="00000000" w:rsidRDefault="00000000">
      <w:pPr>
        <w:pStyle w:val="a9"/>
        <w:spacing w:line="360" w:lineRule="auto"/>
        <w:ind w:left="567"/>
        <w:jc w:val="both"/>
        <w:rPr>
          <w:rtl/>
        </w:rPr>
      </w:pPr>
      <w:r>
        <w:rPr>
          <w:rFonts w:ascii="David" w:hAnsi="David" w:cs="David"/>
          <w:sz w:val="28"/>
          <w:szCs w:val="28"/>
        </w:rPr>
        <w:t> </w:t>
      </w:r>
    </w:p>
    <w:p w14:paraId="679238D5" w14:textId="77777777" w:rsidR="00000000" w:rsidRDefault="00000000">
      <w:pPr>
        <w:pStyle w:val="a9"/>
        <w:spacing w:line="360" w:lineRule="auto"/>
        <w:ind w:left="567" w:hanging="567"/>
        <w:jc w:val="both"/>
        <w:rPr>
          <w:rtl/>
        </w:rPr>
      </w:pPr>
      <w:r>
        <w:rPr>
          <w:rFonts w:ascii="David" w:hAnsi="David" w:cs="David"/>
          <w:color w:val="000000"/>
          <w:rtl/>
        </w:rPr>
        <w:t>16.</w:t>
      </w:r>
      <w:r>
        <w:rPr>
          <w:color w:val="000000"/>
          <w:sz w:val="14"/>
          <w:szCs w:val="14"/>
          <w:rtl/>
        </w:rPr>
        <w:t xml:space="preserve">  </w:t>
      </w:r>
      <w:r>
        <w:rPr>
          <w:rFonts w:ascii="David" w:hAnsi="David" w:cs="David"/>
          <w:sz w:val="28"/>
          <w:szCs w:val="28"/>
          <w:rtl/>
        </w:rPr>
        <w:t xml:space="preserve">לגבי קיומה של עילת תביעה הנדרשת לשם מתן סעד זמני נקבע בפסיקה כי מדובר ברף שאינו גבוה, די בכך כי בית המשפט ישתכנע בדבר קיומה לכאורה של עילת תביעה וכי אין מדובר בתביעת סרק (רע"א 36271-11-24 </w:t>
      </w:r>
      <w:proofErr w:type="spellStart"/>
      <w:r>
        <w:rPr>
          <w:rFonts w:ascii="David" w:hAnsi="David" w:cs="David"/>
          <w:sz w:val="28"/>
          <w:szCs w:val="28"/>
          <w:rtl/>
        </w:rPr>
        <w:t>עליאן</w:t>
      </w:r>
      <w:proofErr w:type="spellEnd"/>
      <w:r>
        <w:rPr>
          <w:rFonts w:ascii="David" w:hAnsi="David" w:cs="David"/>
          <w:sz w:val="28"/>
          <w:szCs w:val="28"/>
          <w:rtl/>
        </w:rPr>
        <w:t xml:space="preserve"> נ' רם אדרת-סלעית בע"מ (19.11.24) פסקה 10 להחלטה). נקבע כי במסגרת בחינת סיכויי התביעה לצורך מתן סעד זמני, בית משפט ימנע מלהיכנס לעובי הקורה ולא יידרש לבחינה מעמיקה של סוגיות הדורשות בירור וליבון, מהטעם כי "</w:t>
      </w:r>
      <w:r>
        <w:rPr>
          <w:rFonts w:ascii="David" w:hAnsi="David" w:cs="David"/>
          <w:b/>
          <w:bCs/>
          <w:sz w:val="28"/>
          <w:szCs w:val="28"/>
          <w:rtl/>
        </w:rPr>
        <w:t>הכרעה חפוזה בשאלות משפטיות סבוכות, גם אם היא ניתנת "על פני הדברים", עלולה להביא לתוצאה שגויה, שעלולה להנציח את עצמה בפסק הדין הסופי"</w:t>
      </w:r>
      <w:r>
        <w:rPr>
          <w:rFonts w:ascii="David" w:hAnsi="David" w:cs="David"/>
          <w:sz w:val="28"/>
          <w:szCs w:val="28"/>
          <w:rtl/>
        </w:rPr>
        <w:t xml:space="preserve"> (רע"א 4252/21 חברת </w:t>
      </w:r>
      <w:proofErr w:type="spellStart"/>
      <w:r>
        <w:rPr>
          <w:rFonts w:ascii="David" w:hAnsi="David" w:cs="David"/>
          <w:sz w:val="28"/>
          <w:szCs w:val="28"/>
          <w:rtl/>
        </w:rPr>
        <w:t>דרדלוקס</w:t>
      </w:r>
      <w:proofErr w:type="spellEnd"/>
      <w:r>
        <w:rPr>
          <w:rFonts w:ascii="David" w:hAnsi="David" w:cs="David"/>
          <w:sz w:val="28"/>
          <w:szCs w:val="28"/>
          <w:rtl/>
        </w:rPr>
        <w:t xml:space="preserve"> שיווק בע"מ נ' קדם ואח' (13.7.21) פסקה 14 לפסק הדין). </w:t>
      </w:r>
    </w:p>
    <w:p w14:paraId="6F9B3784" w14:textId="77777777" w:rsidR="00000000" w:rsidRDefault="00000000">
      <w:pPr>
        <w:pStyle w:val="a9"/>
        <w:spacing w:line="360" w:lineRule="auto"/>
        <w:rPr>
          <w:rtl/>
        </w:rPr>
      </w:pPr>
      <w:r>
        <w:rPr>
          <w:rFonts w:ascii="David" w:hAnsi="David" w:cs="David"/>
          <w:sz w:val="28"/>
          <w:szCs w:val="28"/>
        </w:rPr>
        <w:t> </w:t>
      </w:r>
    </w:p>
    <w:p w14:paraId="30ADB1A0" w14:textId="77777777" w:rsidR="00000000" w:rsidRDefault="00000000">
      <w:pPr>
        <w:pStyle w:val="a9"/>
        <w:spacing w:line="360" w:lineRule="auto"/>
        <w:ind w:left="567" w:hanging="567"/>
        <w:jc w:val="both"/>
        <w:rPr>
          <w:rtl/>
        </w:rPr>
      </w:pPr>
      <w:r>
        <w:rPr>
          <w:rFonts w:ascii="David" w:hAnsi="David" w:cs="David"/>
          <w:color w:val="000000"/>
          <w:rtl/>
        </w:rPr>
        <w:t>17.</w:t>
      </w:r>
      <w:r>
        <w:rPr>
          <w:color w:val="000000"/>
          <w:sz w:val="14"/>
          <w:szCs w:val="14"/>
          <w:rtl/>
        </w:rPr>
        <w:t xml:space="preserve">  </w:t>
      </w:r>
      <w:r>
        <w:rPr>
          <w:rFonts w:ascii="David" w:hAnsi="David" w:cs="David"/>
          <w:sz w:val="28"/>
          <w:szCs w:val="28"/>
          <w:rtl/>
        </w:rPr>
        <w:t>במסגרת מאזן הנוחות, בית המשפט נדרש לבחון את "</w:t>
      </w:r>
      <w:r>
        <w:rPr>
          <w:rFonts w:ascii="David" w:hAnsi="David" w:cs="David"/>
          <w:b/>
          <w:bCs/>
          <w:sz w:val="28"/>
          <w:szCs w:val="28"/>
          <w:rtl/>
        </w:rPr>
        <w:t>הנזק שעלול להיגרם למבקש, אם לא יינתן הסעד הזמני לעומת הנזק שעלול להיגרם למשיב אם יינתן הסעד הזמני וכן נזק העלול להיגרם לאדם אחר או לעניין ציבורי</w:t>
      </w:r>
      <w:r>
        <w:rPr>
          <w:rFonts w:ascii="David" w:hAnsi="David" w:cs="David"/>
          <w:sz w:val="28"/>
          <w:szCs w:val="28"/>
          <w:rtl/>
        </w:rPr>
        <w:t xml:space="preserve">" (תקנה 95(ד)(1) </w:t>
      </w:r>
      <w:proofErr w:type="spellStart"/>
      <w:r>
        <w:rPr>
          <w:rFonts w:ascii="David" w:hAnsi="David" w:cs="David"/>
          <w:sz w:val="28"/>
          <w:szCs w:val="28"/>
          <w:rtl/>
        </w:rPr>
        <w:t>לתקסד"א</w:t>
      </w:r>
      <w:proofErr w:type="spellEnd"/>
      <w:r>
        <w:rPr>
          <w:rFonts w:ascii="David" w:hAnsi="David" w:cs="David"/>
          <w:sz w:val="28"/>
          <w:szCs w:val="28"/>
          <w:rtl/>
        </w:rPr>
        <w:t xml:space="preserve">). על מבקש הסעד הזמני מוטל הנטל להוכיח כי מאזן הנוחות נוטה לטובתו. </w:t>
      </w:r>
    </w:p>
    <w:p w14:paraId="1284058B" w14:textId="77777777" w:rsidR="00000000" w:rsidRDefault="00000000">
      <w:pPr>
        <w:pStyle w:val="a9"/>
        <w:spacing w:line="360" w:lineRule="auto"/>
        <w:rPr>
          <w:rtl/>
        </w:rPr>
      </w:pPr>
      <w:r>
        <w:rPr>
          <w:rFonts w:ascii="David" w:hAnsi="David" w:cs="David"/>
          <w:sz w:val="28"/>
          <w:szCs w:val="28"/>
        </w:rPr>
        <w:t> </w:t>
      </w:r>
    </w:p>
    <w:p w14:paraId="6DD564BC" w14:textId="77777777" w:rsidR="00000000" w:rsidRDefault="00000000">
      <w:pPr>
        <w:pStyle w:val="a9"/>
        <w:spacing w:line="360" w:lineRule="auto"/>
        <w:ind w:left="567" w:hanging="567"/>
        <w:jc w:val="both"/>
        <w:rPr>
          <w:rtl/>
        </w:rPr>
      </w:pPr>
      <w:r>
        <w:rPr>
          <w:rFonts w:ascii="David" w:hAnsi="David" w:cs="David"/>
          <w:color w:val="000000"/>
          <w:rtl/>
        </w:rPr>
        <w:t>18.</w:t>
      </w:r>
      <w:r>
        <w:rPr>
          <w:color w:val="000000"/>
          <w:sz w:val="14"/>
          <w:szCs w:val="14"/>
          <w:rtl/>
        </w:rPr>
        <w:t xml:space="preserve">  </w:t>
      </w:r>
      <w:r>
        <w:rPr>
          <w:rFonts w:ascii="David" w:hAnsi="David" w:cs="David"/>
          <w:sz w:val="28"/>
          <w:szCs w:val="28"/>
          <w:rtl/>
        </w:rPr>
        <w:t xml:space="preserve">לצד שני השיקולים העיקריים של סיכויי התביעה ומאזן הנוחות, נדרש בית המשפט לשקול שיקולי צדק ויושר ובפרט את תום ליבם של שני בעלי הדין וכן שיהוי מצד המבקש בהגשת התביעה או הבקשה לסעד זמני (תקנה 95(ב)(3) </w:t>
      </w:r>
      <w:proofErr w:type="spellStart"/>
      <w:r>
        <w:rPr>
          <w:rFonts w:ascii="David" w:hAnsi="David" w:cs="David"/>
          <w:sz w:val="28"/>
          <w:szCs w:val="28"/>
          <w:rtl/>
        </w:rPr>
        <w:t>לתקסד"א</w:t>
      </w:r>
      <w:proofErr w:type="spellEnd"/>
      <w:r>
        <w:rPr>
          <w:rFonts w:ascii="David" w:hAnsi="David" w:cs="David"/>
          <w:sz w:val="28"/>
          <w:szCs w:val="28"/>
          <w:rtl/>
        </w:rPr>
        <w:t xml:space="preserve">). נקבע כי די בהתנהלות חסרת תום בכדי להביא לדחיית הבקשה למתן סעד זמני (רע"א 6658/09 </w:t>
      </w:r>
      <w:proofErr w:type="spellStart"/>
      <w:r>
        <w:rPr>
          <w:rFonts w:ascii="David" w:hAnsi="David" w:cs="David"/>
          <w:sz w:val="28"/>
          <w:szCs w:val="28"/>
          <w:rtl/>
        </w:rPr>
        <w:t>מולטילוק</w:t>
      </w:r>
      <w:proofErr w:type="spellEnd"/>
      <w:r>
        <w:rPr>
          <w:rFonts w:ascii="David" w:hAnsi="David" w:cs="David"/>
          <w:sz w:val="28"/>
          <w:szCs w:val="28"/>
          <w:rtl/>
        </w:rPr>
        <w:t xml:space="preserve"> בע"מ נ' רב בריח (08) תעשיות בע"מ (12.1.2010) פסקה 14 לפסק הדין). כמו כן נדרש בית המשפט לשקול את מידתיות הסעד המבוקש כלומר האם אין בנמצא סעד אחר אשר פגיעתו במשיב קלה יותר (תקנה 95(ד)(2) </w:t>
      </w:r>
      <w:proofErr w:type="spellStart"/>
      <w:r>
        <w:rPr>
          <w:rFonts w:ascii="David" w:hAnsi="David" w:cs="David"/>
          <w:sz w:val="28"/>
          <w:szCs w:val="28"/>
          <w:rtl/>
        </w:rPr>
        <w:t>לתקסד"א</w:t>
      </w:r>
      <w:proofErr w:type="spellEnd"/>
      <w:r>
        <w:rPr>
          <w:rFonts w:ascii="David" w:hAnsi="David" w:cs="David"/>
          <w:sz w:val="28"/>
          <w:szCs w:val="28"/>
          <w:rtl/>
        </w:rPr>
        <w:t xml:space="preserve">). </w:t>
      </w:r>
    </w:p>
    <w:p w14:paraId="2E8665D3" w14:textId="77777777" w:rsidR="00000000" w:rsidRDefault="00000000">
      <w:pPr>
        <w:pStyle w:val="a9"/>
        <w:spacing w:line="360" w:lineRule="auto"/>
        <w:rPr>
          <w:rtl/>
        </w:rPr>
      </w:pPr>
      <w:r>
        <w:rPr>
          <w:rFonts w:ascii="David" w:hAnsi="David" w:cs="David"/>
          <w:sz w:val="28"/>
          <w:szCs w:val="28"/>
        </w:rPr>
        <w:t> </w:t>
      </w:r>
    </w:p>
    <w:p w14:paraId="74FD2E49" w14:textId="77777777" w:rsidR="00000000" w:rsidRDefault="00000000">
      <w:pPr>
        <w:pStyle w:val="a9"/>
        <w:spacing w:line="360" w:lineRule="auto"/>
        <w:ind w:left="567" w:hanging="567"/>
        <w:jc w:val="both"/>
        <w:rPr>
          <w:rtl/>
        </w:rPr>
      </w:pPr>
      <w:r>
        <w:rPr>
          <w:rFonts w:ascii="David" w:hAnsi="David" w:cs="David"/>
          <w:color w:val="000000"/>
          <w:rtl/>
        </w:rPr>
        <w:t>19.</w:t>
      </w:r>
      <w:r>
        <w:rPr>
          <w:color w:val="000000"/>
          <w:sz w:val="14"/>
          <w:szCs w:val="14"/>
          <w:rtl/>
        </w:rPr>
        <w:t xml:space="preserve">  </w:t>
      </w:r>
      <w:r>
        <w:rPr>
          <w:rFonts w:ascii="David" w:hAnsi="David" w:cs="David"/>
          <w:sz w:val="28"/>
          <w:szCs w:val="28"/>
          <w:rtl/>
        </w:rPr>
        <w:t xml:space="preserve">כעת ליישום הלכות אלו בענייננו. </w:t>
      </w:r>
    </w:p>
    <w:p w14:paraId="2FE5902B" w14:textId="77777777" w:rsidR="00000000" w:rsidRDefault="00000000">
      <w:pPr>
        <w:pStyle w:val="a9"/>
        <w:spacing w:line="360" w:lineRule="auto"/>
        <w:rPr>
          <w:rtl/>
        </w:rPr>
      </w:pPr>
      <w:r>
        <w:rPr>
          <w:rFonts w:ascii="David" w:hAnsi="David" w:cs="David"/>
          <w:sz w:val="28"/>
          <w:szCs w:val="28"/>
        </w:rPr>
        <w:t> </w:t>
      </w:r>
    </w:p>
    <w:p w14:paraId="14D89FF5" w14:textId="77777777" w:rsidR="00000000" w:rsidRDefault="00000000">
      <w:pPr>
        <w:pStyle w:val="a9"/>
        <w:spacing w:line="360" w:lineRule="auto"/>
        <w:ind w:left="567" w:hanging="567"/>
        <w:jc w:val="both"/>
        <w:rPr>
          <w:rtl/>
        </w:rPr>
      </w:pPr>
      <w:r>
        <w:rPr>
          <w:rFonts w:ascii="David" w:hAnsi="David" w:cs="David"/>
          <w:color w:val="000000"/>
          <w:rtl/>
        </w:rPr>
        <w:t>20.</w:t>
      </w:r>
      <w:r>
        <w:rPr>
          <w:color w:val="000000"/>
          <w:sz w:val="14"/>
          <w:szCs w:val="14"/>
          <w:rtl/>
        </w:rPr>
        <w:t xml:space="preserve">  </w:t>
      </w:r>
      <w:r>
        <w:rPr>
          <w:rFonts w:ascii="David" w:hAnsi="David" w:cs="David"/>
          <w:sz w:val="28"/>
          <w:szCs w:val="28"/>
          <w:rtl/>
        </w:rPr>
        <w:t>ראשית, יש להידרש לשאלת סיווגו של הסעד הזמני שהתבקש, האם מדובר בצו מניעה שנועד לשמר מצב קיים או שמא בצו עשה שתכליתו שינוי המצב הקיים, המנוסח כצו מניעה. כאשר הסעד הזמני המבוקש הינו על פי מהותו צו עשה המשנה מצב קיים, בית המשפט נוטה שלא להיעתר לבקשה, בפרט כאשר הסעד הזמני חופף לסעד העיקרי אשר התבקש בכתב התביעה. כמו כן במסגרת צו עשה זמני ישנו קושי לאכוף חוזה עסקי, תוך חיובם של צדדים לחוזה אשר האמון ביניהם אבד לשתף פעולה זה עם זה (ראו: עניין צרפתי פסקה 45 להחלטה והאסמכתאות שהובאו שם).</w:t>
      </w:r>
    </w:p>
    <w:p w14:paraId="557D47C7" w14:textId="77777777" w:rsidR="00000000" w:rsidRDefault="00000000">
      <w:pPr>
        <w:pStyle w:val="a9"/>
        <w:spacing w:line="360" w:lineRule="auto"/>
        <w:rPr>
          <w:rtl/>
        </w:rPr>
      </w:pPr>
      <w:r>
        <w:rPr>
          <w:rFonts w:ascii="David" w:hAnsi="David" w:cs="David"/>
          <w:sz w:val="28"/>
          <w:szCs w:val="28"/>
        </w:rPr>
        <w:t> </w:t>
      </w:r>
    </w:p>
    <w:p w14:paraId="42378BF6" w14:textId="77777777" w:rsidR="00000000" w:rsidRDefault="00000000">
      <w:pPr>
        <w:pStyle w:val="a9"/>
        <w:spacing w:line="360" w:lineRule="auto"/>
        <w:ind w:left="567" w:hanging="567"/>
        <w:jc w:val="both"/>
        <w:rPr>
          <w:rtl/>
        </w:rPr>
      </w:pPr>
      <w:r>
        <w:rPr>
          <w:rFonts w:ascii="David" w:hAnsi="David" w:cs="David"/>
          <w:color w:val="000000"/>
          <w:rtl/>
        </w:rPr>
        <w:t>21.</w:t>
      </w:r>
      <w:r>
        <w:rPr>
          <w:color w:val="000000"/>
          <w:sz w:val="14"/>
          <w:szCs w:val="14"/>
          <w:rtl/>
        </w:rPr>
        <w:t xml:space="preserve">  </w:t>
      </w:r>
      <w:r>
        <w:rPr>
          <w:rFonts w:ascii="David" w:hAnsi="David" w:cs="David"/>
          <w:b/>
          <w:bCs/>
          <w:sz w:val="28"/>
          <w:szCs w:val="28"/>
          <w:rtl/>
        </w:rPr>
        <w:t>לטענת המשיבה</w:t>
      </w:r>
      <w:r>
        <w:rPr>
          <w:rFonts w:ascii="David" w:hAnsi="David" w:cs="David"/>
          <w:sz w:val="28"/>
          <w:szCs w:val="28"/>
          <w:rtl/>
        </w:rPr>
        <w:t xml:space="preserve"> הסעד המבוקש הינו צו לאכיפת הסכם המשנה מצב הקיים, משום שהמשיבה כבר התקשרה עם קבלנים אחרים לשם ביצוע העבודות, שגרעה מהמבקשת, והם התחילו בביצועה. </w:t>
      </w:r>
      <w:r>
        <w:rPr>
          <w:rFonts w:ascii="David" w:hAnsi="David" w:cs="David"/>
          <w:b/>
          <w:bCs/>
          <w:sz w:val="28"/>
          <w:szCs w:val="28"/>
          <w:rtl/>
        </w:rPr>
        <w:t>לטענת המבקשת</w:t>
      </w:r>
      <w:r>
        <w:rPr>
          <w:rFonts w:ascii="David" w:hAnsi="David" w:cs="David"/>
          <w:sz w:val="28"/>
          <w:szCs w:val="28"/>
          <w:rtl/>
        </w:rPr>
        <w:t xml:space="preserve"> הצו המבוקש אינו יוצר מצב חדש, אלא משמר את המצב שקדם להודעת הביטול של המשיבה. העובדה שהמשיבה מיהרה להתקשר עם קבלנים אחרים לביצוע העבודות אינה יכולה לשמש לה מנוף ליצירת מצב קיים מלאכותי שמכוחו תסוכל הבקשה. </w:t>
      </w:r>
    </w:p>
    <w:p w14:paraId="68014112" w14:textId="77777777" w:rsidR="00000000" w:rsidRDefault="00000000">
      <w:pPr>
        <w:pStyle w:val="a9"/>
        <w:spacing w:line="360" w:lineRule="auto"/>
        <w:rPr>
          <w:rtl/>
        </w:rPr>
      </w:pPr>
      <w:r>
        <w:rPr>
          <w:rFonts w:ascii="David" w:hAnsi="David" w:cs="David"/>
          <w:sz w:val="28"/>
          <w:szCs w:val="28"/>
        </w:rPr>
        <w:t> </w:t>
      </w:r>
    </w:p>
    <w:p w14:paraId="132A2E2D" w14:textId="77777777" w:rsidR="00000000" w:rsidRDefault="00000000">
      <w:pPr>
        <w:pStyle w:val="a9"/>
        <w:spacing w:line="360" w:lineRule="auto"/>
        <w:ind w:left="567" w:hanging="567"/>
        <w:jc w:val="both"/>
        <w:rPr>
          <w:rtl/>
        </w:rPr>
      </w:pPr>
      <w:r>
        <w:rPr>
          <w:rFonts w:ascii="David" w:hAnsi="David" w:cs="David"/>
          <w:color w:val="000000"/>
          <w:rtl/>
        </w:rPr>
        <w:t>22.</w:t>
      </w:r>
      <w:r>
        <w:rPr>
          <w:color w:val="000000"/>
          <w:sz w:val="14"/>
          <w:szCs w:val="14"/>
          <w:rtl/>
        </w:rPr>
        <w:t xml:space="preserve">  </w:t>
      </w:r>
      <w:r>
        <w:rPr>
          <w:rFonts w:ascii="David" w:hAnsi="David" w:cs="David"/>
          <w:sz w:val="28"/>
          <w:szCs w:val="28"/>
          <w:rtl/>
        </w:rPr>
        <w:t xml:space="preserve">לאחר בחינת טענות הצדדים שוכנעתי כי הצו המבוקש הינו צו מניעה. </w:t>
      </w:r>
      <w:proofErr w:type="spellStart"/>
      <w:r>
        <w:rPr>
          <w:rFonts w:ascii="David" w:hAnsi="David" w:cs="David"/>
          <w:sz w:val="28"/>
          <w:szCs w:val="28"/>
          <w:rtl/>
        </w:rPr>
        <w:t>ברע"א</w:t>
      </w:r>
      <w:proofErr w:type="spellEnd"/>
      <w:r>
        <w:rPr>
          <w:rFonts w:ascii="David" w:hAnsi="David" w:cs="David"/>
          <w:sz w:val="28"/>
          <w:szCs w:val="28"/>
          <w:rtl/>
        </w:rPr>
        <w:t xml:space="preserve"> 5711/12 נקבע בעניין סיווג סעד זמני שהתבקש כי: "</w:t>
      </w:r>
      <w:r>
        <w:rPr>
          <w:rFonts w:ascii="David" w:hAnsi="David" w:cs="David"/>
          <w:b/>
          <w:bCs/>
          <w:sz w:val="28"/>
          <w:szCs w:val="28"/>
          <w:rtl/>
        </w:rPr>
        <w:t xml:space="preserve">בבחינת למעלה מן הצורך אעיר כי ספק בעיניי אם בנסיבות כאלה יש מקום לקבל את טענת המשיבה כי לא מדובר בצו מניעה זמני שנועד לשמור על המצב הקיים אלא מדובר בצו עשה שנועד לשנותו. טענה זו הינה במידה רבה טענה מלאכותית לנוכח העובדה כי "המצב הקיים" </w:t>
      </w:r>
      <w:r>
        <w:rPr>
          <w:rFonts w:ascii="David" w:hAnsi="David" w:cs="David"/>
          <w:sz w:val="28"/>
          <w:szCs w:val="28"/>
          <w:rtl/>
        </w:rPr>
        <w:t>ערב הגשת התביעה</w:t>
      </w:r>
      <w:r>
        <w:rPr>
          <w:rFonts w:ascii="David" w:hAnsi="David" w:cs="David"/>
          <w:b/>
          <w:bCs/>
          <w:sz w:val="28"/>
          <w:szCs w:val="28"/>
          <w:rtl/>
        </w:rPr>
        <w:t xml:space="preserve"> הינו תוצר ישיר של פעולות חד-צדדיות שננקטו על ידי המשיבה, ולפיכך הינו שונה מהותית מהמצב שהתקיים </w:t>
      </w:r>
      <w:r>
        <w:rPr>
          <w:rFonts w:ascii="David" w:hAnsi="David" w:cs="David"/>
          <w:sz w:val="28"/>
          <w:szCs w:val="28"/>
          <w:rtl/>
        </w:rPr>
        <w:t>ערב ההפרה</w:t>
      </w:r>
      <w:r>
        <w:rPr>
          <w:rFonts w:ascii="David" w:hAnsi="David" w:cs="David"/>
          <w:b/>
          <w:bCs/>
          <w:sz w:val="28"/>
          <w:szCs w:val="28"/>
          <w:rtl/>
        </w:rPr>
        <w:t xml:space="preserve">, ובמשך שנים רבות קודם לכן, בהתאם לחוזה ובטרם ננקטו פעולות חד-צדדיות על ידי המשיבה. לא למותר לציין בנקודה זו כי המבקשת לא השתהתה ומיהרה לפנות לבית המשפט בתביעה, ויש לכך משקל ניכר </w:t>
      </w:r>
      <w:proofErr w:type="spellStart"/>
      <w:r>
        <w:rPr>
          <w:rFonts w:ascii="David" w:hAnsi="David" w:cs="David"/>
          <w:b/>
          <w:bCs/>
          <w:sz w:val="28"/>
          <w:szCs w:val="28"/>
          <w:rtl/>
        </w:rPr>
        <w:t>בכגון</w:t>
      </w:r>
      <w:proofErr w:type="spellEnd"/>
      <w:r>
        <w:rPr>
          <w:rFonts w:ascii="David" w:hAnsi="David" w:cs="David"/>
          <w:b/>
          <w:bCs/>
          <w:sz w:val="28"/>
          <w:szCs w:val="28"/>
          <w:rtl/>
        </w:rPr>
        <w:t xml:space="preserve"> דא"</w:t>
      </w:r>
      <w:r>
        <w:rPr>
          <w:rFonts w:ascii="David" w:hAnsi="David" w:cs="David"/>
          <w:sz w:val="28"/>
          <w:szCs w:val="28"/>
          <w:rtl/>
        </w:rPr>
        <w:t xml:space="preserve"> (ראו: רע"א 5711/12 נ. מצה בע"מ נ' דלק חברת הדלק הישראלית בע"מ (25.2.13) פסקה 11 להחלטה).</w:t>
      </w:r>
    </w:p>
    <w:p w14:paraId="543A37A2" w14:textId="77777777" w:rsidR="00000000" w:rsidRDefault="00000000">
      <w:pPr>
        <w:pStyle w:val="a9"/>
        <w:spacing w:line="360" w:lineRule="auto"/>
        <w:rPr>
          <w:rtl/>
        </w:rPr>
      </w:pPr>
      <w:r>
        <w:rPr>
          <w:rFonts w:ascii="David" w:hAnsi="David" w:cs="David"/>
          <w:sz w:val="28"/>
          <w:szCs w:val="28"/>
        </w:rPr>
        <w:t> </w:t>
      </w:r>
    </w:p>
    <w:p w14:paraId="58752009" w14:textId="77777777" w:rsidR="00000000" w:rsidRDefault="00000000">
      <w:pPr>
        <w:pStyle w:val="a9"/>
        <w:spacing w:line="360" w:lineRule="auto"/>
        <w:ind w:left="567" w:hanging="567"/>
        <w:jc w:val="both"/>
        <w:rPr>
          <w:rtl/>
        </w:rPr>
      </w:pPr>
      <w:r>
        <w:rPr>
          <w:rFonts w:ascii="David" w:hAnsi="David" w:cs="David"/>
          <w:color w:val="000000"/>
          <w:rtl/>
        </w:rPr>
        <w:t>23.</w:t>
      </w:r>
      <w:r>
        <w:rPr>
          <w:color w:val="000000"/>
          <w:sz w:val="14"/>
          <w:szCs w:val="14"/>
          <w:rtl/>
        </w:rPr>
        <w:t xml:space="preserve">  </w:t>
      </w:r>
      <w:r>
        <w:rPr>
          <w:rFonts w:ascii="David" w:hAnsi="David" w:cs="David"/>
          <w:sz w:val="28"/>
          <w:szCs w:val="28"/>
          <w:rtl/>
        </w:rPr>
        <w:t xml:space="preserve">הדברים נכונים גם בענייננו. הודעת הביטול של המשיבה היא זו אשר ביקשה לשנות את המצב הקיים בהתאם להסכם שבין הצדדים. תכליתו של הצו המבוקש, להורות למשיבה שלא לצמצם את תכולת עבודת המבקשת, הינה לשמר את המצב, כפי שהיה טרם הודעת המשיבה. הצו נועד להגן על זכותה החוזית של המבקשת, אשר על פי הפסיקה הינה זכות הראויה להגנה כבר בשלב הסעד הזמני (רע"א 59250-04-25 זיו ישראל בע"מ ואח' נ' </w:t>
      </w:r>
      <w:proofErr w:type="spellStart"/>
      <w:r>
        <w:rPr>
          <w:rFonts w:ascii="David" w:hAnsi="David" w:cs="David"/>
          <w:sz w:val="28"/>
          <w:szCs w:val="28"/>
          <w:rtl/>
        </w:rPr>
        <w:t>מיי</w:t>
      </w:r>
      <w:proofErr w:type="spellEnd"/>
      <w:r>
        <w:rPr>
          <w:rFonts w:ascii="David" w:hAnsi="David" w:cs="David"/>
          <w:sz w:val="28"/>
          <w:szCs w:val="28"/>
          <w:rtl/>
        </w:rPr>
        <w:t xml:space="preserve"> טאון קריית מלאכי בע"מ ואח' (17.8.25), פסקה 21 להחלטה). בנסיבות אלו התקשרות המשיבה עם קבלנים חלופיים לשם ביצוע העבודות אשר נגרעו מהמבקשת, אינה יכולה להוות שיקול אשר בגינו לא ניתן להיעתר לצו. טענת המשיבה לפיה יש לדחות את הבקשה מטעם זה, נדחית. </w:t>
      </w:r>
    </w:p>
    <w:p w14:paraId="205ADF79" w14:textId="77777777" w:rsidR="00000000" w:rsidRDefault="00000000">
      <w:pPr>
        <w:pStyle w:val="a9"/>
        <w:spacing w:line="360" w:lineRule="auto"/>
        <w:rPr>
          <w:rtl/>
        </w:rPr>
      </w:pPr>
      <w:r>
        <w:rPr>
          <w:rFonts w:ascii="David" w:hAnsi="David" w:cs="David"/>
          <w:sz w:val="28"/>
          <w:szCs w:val="28"/>
        </w:rPr>
        <w:t> </w:t>
      </w:r>
    </w:p>
    <w:p w14:paraId="593BF581" w14:textId="77777777" w:rsidR="00000000" w:rsidRDefault="00000000">
      <w:pPr>
        <w:pStyle w:val="a9"/>
        <w:spacing w:line="360" w:lineRule="auto"/>
        <w:ind w:left="567" w:hanging="567"/>
        <w:jc w:val="both"/>
        <w:rPr>
          <w:rtl/>
        </w:rPr>
      </w:pPr>
      <w:r>
        <w:rPr>
          <w:rFonts w:ascii="David" w:hAnsi="David" w:cs="David"/>
          <w:color w:val="000000"/>
          <w:rtl/>
        </w:rPr>
        <w:t>24.</w:t>
      </w:r>
      <w:r>
        <w:rPr>
          <w:color w:val="000000"/>
          <w:sz w:val="14"/>
          <w:szCs w:val="14"/>
          <w:rtl/>
        </w:rPr>
        <w:t xml:space="preserve">  </w:t>
      </w:r>
      <w:r>
        <w:rPr>
          <w:rFonts w:ascii="David" w:hAnsi="David" w:cs="David"/>
          <w:sz w:val="28"/>
          <w:szCs w:val="28"/>
          <w:rtl/>
        </w:rPr>
        <w:t xml:space="preserve">על כן משנקבע על ידי שהסעד המבוקש הינו צו מניעה לשמירת מצב קיים, אני דוחה גם את טענת המשיבה לפיה יש לדחות את הבקשה בשל זהות הסעד המבוקש לסעד העיקרי. הכלל לפיו בית המשפט ימנע ממתן סעד זמני הזהה לסעד העיקרי רלבנטי בעיקרו </w:t>
      </w:r>
      <w:proofErr w:type="spellStart"/>
      <w:r>
        <w:rPr>
          <w:rFonts w:ascii="David" w:hAnsi="David" w:cs="David"/>
          <w:sz w:val="28"/>
          <w:szCs w:val="28"/>
          <w:rtl/>
        </w:rPr>
        <w:t>לסעדים</w:t>
      </w:r>
      <w:proofErr w:type="spellEnd"/>
      <w:r>
        <w:rPr>
          <w:rFonts w:ascii="David" w:hAnsi="David" w:cs="David"/>
          <w:sz w:val="28"/>
          <w:szCs w:val="28"/>
          <w:rtl/>
        </w:rPr>
        <w:t xml:space="preserve"> זמניים המשנים את המצב הקיים ולא לאלו שעניינם שימור מצב קיים. "</w:t>
      </w:r>
      <w:r>
        <w:rPr>
          <w:rFonts w:ascii="David" w:hAnsi="David" w:cs="David"/>
          <w:b/>
          <w:bCs/>
          <w:sz w:val="28"/>
          <w:szCs w:val="28"/>
          <w:rtl/>
        </w:rPr>
        <w:t>אדרבה, לעיתים תעמוד זהות זו דווקא לטובת הצד אשר מבקש סעד זמני המונע שינוי במצב הדברים הקיים בטרם תתברר התביעה לגופה, שאם לא כן עלול להתאיין ההליך העיקרי</w:t>
      </w:r>
      <w:r>
        <w:rPr>
          <w:rFonts w:ascii="David" w:hAnsi="David" w:cs="David"/>
          <w:sz w:val="28"/>
          <w:szCs w:val="28"/>
          <w:rtl/>
        </w:rPr>
        <w:t xml:space="preserve">" (ראו: רע"א 2407/19 זיו נ' בנק לאומי לישראל (14.5.19) פסקה 24 להחלטה). </w:t>
      </w:r>
    </w:p>
    <w:p w14:paraId="6C4639D1" w14:textId="77777777" w:rsidR="00000000" w:rsidRDefault="00000000">
      <w:pPr>
        <w:pStyle w:val="a9"/>
        <w:spacing w:line="360" w:lineRule="auto"/>
        <w:rPr>
          <w:rtl/>
        </w:rPr>
      </w:pPr>
      <w:r>
        <w:rPr>
          <w:rFonts w:ascii="David" w:hAnsi="David" w:cs="David"/>
          <w:sz w:val="28"/>
          <w:szCs w:val="28"/>
        </w:rPr>
        <w:t> </w:t>
      </w:r>
    </w:p>
    <w:p w14:paraId="5D24EC9A" w14:textId="77777777" w:rsidR="00000000" w:rsidRDefault="00000000">
      <w:pPr>
        <w:pStyle w:val="a9"/>
        <w:spacing w:line="360" w:lineRule="auto"/>
        <w:ind w:left="567" w:hanging="567"/>
        <w:jc w:val="both"/>
        <w:rPr>
          <w:rtl/>
        </w:rPr>
      </w:pPr>
      <w:r>
        <w:rPr>
          <w:rFonts w:ascii="David" w:hAnsi="David" w:cs="David"/>
          <w:color w:val="000000"/>
          <w:rtl/>
        </w:rPr>
        <w:t>25.</w:t>
      </w:r>
      <w:r>
        <w:rPr>
          <w:color w:val="000000"/>
          <w:sz w:val="14"/>
          <w:szCs w:val="14"/>
          <w:rtl/>
        </w:rPr>
        <w:t xml:space="preserve">  </w:t>
      </w:r>
      <w:r>
        <w:rPr>
          <w:rFonts w:ascii="David" w:hAnsi="David" w:cs="David"/>
          <w:sz w:val="28"/>
          <w:szCs w:val="28"/>
          <w:u w:val="single"/>
          <w:rtl/>
        </w:rPr>
        <w:t>קיומה של עילת תביעה -</w:t>
      </w:r>
      <w:r>
        <w:rPr>
          <w:rFonts w:ascii="David" w:hAnsi="David" w:cs="David"/>
          <w:sz w:val="28"/>
          <w:szCs w:val="28"/>
          <w:rtl/>
        </w:rPr>
        <w:t xml:space="preserve"> בכתב התביעה עתרה המבקשת לסעד אחד בלבד, צו מניעה קבוע המורה למשיבה שלא לצמצם את תכולת עבודת המבקשת. </w:t>
      </w:r>
      <w:r>
        <w:rPr>
          <w:rFonts w:ascii="David" w:hAnsi="David" w:cs="David"/>
          <w:b/>
          <w:bCs/>
          <w:sz w:val="28"/>
          <w:szCs w:val="28"/>
          <w:rtl/>
        </w:rPr>
        <w:t>לטענת המבקשת</w:t>
      </w:r>
      <w:r>
        <w:rPr>
          <w:rFonts w:ascii="David" w:hAnsi="David" w:cs="David"/>
          <w:sz w:val="28"/>
          <w:szCs w:val="28"/>
          <w:rtl/>
        </w:rPr>
        <w:t xml:space="preserve"> סיכויי התביעה גבוהים. למשיבה אין זכות חוזית או חוקית לביטול חלקי של ההסכם. נטען כי ביטול ההסכם נעשה בחוסר תום לב קיצוני. נטען כי אין למשיבה זכות לביטול ההסכם בשל הפרתו. נטען כי לא התקיימו עילות ההפרה הקבועות בסעיף 43.1 להסכם וכן לא התקיימו התנאים הקבועים בסעיף 43.1.8 אשר מכוחו ניתנה הודעת הביטול. </w:t>
      </w:r>
    </w:p>
    <w:p w14:paraId="6C95BC84" w14:textId="77777777" w:rsidR="00000000" w:rsidRDefault="00000000">
      <w:pPr>
        <w:pStyle w:val="a9"/>
        <w:spacing w:line="360" w:lineRule="auto"/>
        <w:rPr>
          <w:rtl/>
        </w:rPr>
      </w:pPr>
      <w:r>
        <w:rPr>
          <w:rFonts w:ascii="David" w:hAnsi="David" w:cs="David"/>
          <w:sz w:val="28"/>
          <w:szCs w:val="28"/>
        </w:rPr>
        <w:t> </w:t>
      </w:r>
    </w:p>
    <w:p w14:paraId="476DF55C" w14:textId="77777777" w:rsidR="00000000" w:rsidRDefault="00000000">
      <w:pPr>
        <w:pStyle w:val="a9"/>
        <w:spacing w:line="360" w:lineRule="auto"/>
        <w:ind w:left="567" w:hanging="567"/>
        <w:jc w:val="both"/>
        <w:rPr>
          <w:rtl/>
        </w:rPr>
      </w:pPr>
      <w:r>
        <w:rPr>
          <w:rFonts w:ascii="David" w:hAnsi="David" w:cs="David"/>
          <w:color w:val="000000"/>
          <w:rtl/>
        </w:rPr>
        <w:t>26.</w:t>
      </w:r>
      <w:r>
        <w:rPr>
          <w:color w:val="000000"/>
          <w:sz w:val="14"/>
          <w:szCs w:val="14"/>
          <w:rtl/>
        </w:rPr>
        <w:t xml:space="preserve">  </w:t>
      </w:r>
      <w:r>
        <w:rPr>
          <w:rFonts w:ascii="David" w:hAnsi="David" w:cs="David"/>
          <w:b/>
          <w:bCs/>
          <w:sz w:val="28"/>
          <w:szCs w:val="28"/>
          <w:rtl/>
        </w:rPr>
        <w:t>לטענת המשיבה</w:t>
      </w:r>
      <w:r>
        <w:rPr>
          <w:rFonts w:ascii="David" w:hAnsi="David" w:cs="David"/>
          <w:sz w:val="28"/>
          <w:szCs w:val="28"/>
          <w:rtl/>
        </w:rPr>
        <w:t xml:space="preserve"> סיכויי התביעה נמוכים. הסעד לו עותרת המבקשת הינו סעד של אכיפה, עליו ויתרה המבקשת במפורש במסגרת ההסכם, הן כסעד עיקרי והן כסעד זמני. על פי ההסכם המבקשת רשאית לעתור לסעד של פיצויים בלבד. כמו כן בנסיבות העניין אכיפת ההסכם היא בלתי צודקת. נטען כי למשיבה זכות חוזית וחוקית לביטול חלקי של ההסכם. נטען כי למשיבה זכות לביטול ההסכם נוכח הפרות מהותיות ומרובות מצד המבקשת וכי התקיימו התנאים שנקבעו בהסכם לשם ביטולו (או חלק ממנו). </w:t>
      </w:r>
    </w:p>
    <w:p w14:paraId="606AA95B" w14:textId="77777777" w:rsidR="00000000" w:rsidRDefault="00000000">
      <w:pPr>
        <w:pStyle w:val="a9"/>
        <w:spacing w:line="360" w:lineRule="auto"/>
        <w:ind w:left="567"/>
        <w:jc w:val="both"/>
        <w:rPr>
          <w:rtl/>
        </w:rPr>
      </w:pPr>
      <w:r>
        <w:rPr>
          <w:rFonts w:ascii="David" w:hAnsi="David" w:cs="David"/>
          <w:sz w:val="28"/>
          <w:szCs w:val="28"/>
        </w:rPr>
        <w:t> </w:t>
      </w:r>
    </w:p>
    <w:p w14:paraId="76EFE737" w14:textId="77777777" w:rsidR="00000000" w:rsidRDefault="00000000">
      <w:pPr>
        <w:pStyle w:val="a9"/>
        <w:spacing w:line="360" w:lineRule="auto"/>
        <w:ind w:left="567" w:hanging="567"/>
        <w:jc w:val="both"/>
        <w:rPr>
          <w:rtl/>
        </w:rPr>
      </w:pPr>
      <w:r>
        <w:rPr>
          <w:rFonts w:ascii="David" w:hAnsi="David" w:cs="David"/>
          <w:color w:val="000000"/>
          <w:rtl/>
        </w:rPr>
        <w:t>27.</w:t>
      </w:r>
      <w:r>
        <w:rPr>
          <w:color w:val="000000"/>
          <w:sz w:val="14"/>
          <w:szCs w:val="14"/>
          <w:rtl/>
        </w:rPr>
        <w:t xml:space="preserve">  </w:t>
      </w:r>
      <w:r>
        <w:rPr>
          <w:rFonts w:ascii="David" w:hAnsi="David" w:cs="David"/>
          <w:sz w:val="28"/>
          <w:szCs w:val="28"/>
          <w:rtl/>
        </w:rPr>
        <w:t>הצדדים טענו בהרחבה יתרה הרבה מעבר לנדרש בשלב זה, באשר לאפשרות לביטול חלקי של ההסכם ובאשר לפרטי הפרות נטענות מצד המבקשת.</w:t>
      </w:r>
    </w:p>
    <w:p w14:paraId="6C861D0B" w14:textId="77777777" w:rsidR="00000000" w:rsidRDefault="00000000">
      <w:pPr>
        <w:pStyle w:val="a9"/>
        <w:spacing w:line="360" w:lineRule="auto"/>
        <w:rPr>
          <w:rtl/>
        </w:rPr>
      </w:pPr>
      <w:r>
        <w:rPr>
          <w:rFonts w:ascii="David" w:hAnsi="David" w:cs="David"/>
          <w:sz w:val="28"/>
          <w:szCs w:val="28"/>
        </w:rPr>
        <w:t> </w:t>
      </w:r>
    </w:p>
    <w:p w14:paraId="701516C5" w14:textId="77777777" w:rsidR="00000000" w:rsidRDefault="00000000">
      <w:pPr>
        <w:pStyle w:val="a9"/>
        <w:spacing w:line="360" w:lineRule="auto"/>
        <w:ind w:left="567" w:hanging="567"/>
        <w:jc w:val="both"/>
        <w:rPr>
          <w:rtl/>
        </w:rPr>
      </w:pPr>
      <w:r>
        <w:rPr>
          <w:rFonts w:ascii="David" w:hAnsi="David" w:cs="David"/>
          <w:color w:val="000000"/>
          <w:rtl/>
        </w:rPr>
        <w:t>28.</w:t>
      </w:r>
      <w:r>
        <w:rPr>
          <w:color w:val="000000"/>
          <w:sz w:val="14"/>
          <w:szCs w:val="14"/>
          <w:rtl/>
        </w:rPr>
        <w:t xml:space="preserve">  </w:t>
      </w:r>
      <w:r>
        <w:rPr>
          <w:rFonts w:ascii="David" w:hAnsi="David" w:cs="David"/>
          <w:b/>
          <w:bCs/>
          <w:sz w:val="28"/>
          <w:szCs w:val="28"/>
          <w:rtl/>
        </w:rPr>
        <w:t>לטענת המבקשת</w:t>
      </w:r>
      <w:r>
        <w:rPr>
          <w:rFonts w:ascii="David" w:hAnsi="David" w:cs="David"/>
          <w:sz w:val="28"/>
          <w:szCs w:val="28"/>
          <w:rtl/>
        </w:rPr>
        <w:t>, למשיבה אין במסגרת ההסכם זכות לצמצם את תכולת עבודת המבקשת. נטען כי למשיבה הייתה זכות לצמצם את תכולת עבודת המבקשת מטעמי נוחות ולפי שיקול דעתה הבלעדי במסגרת סעיף 8.2 להסכם העיקרי אשר זו לשונו:</w:t>
      </w:r>
    </w:p>
    <w:p w14:paraId="7417736E" w14:textId="77777777" w:rsidR="00000000" w:rsidRDefault="00000000">
      <w:pPr>
        <w:pStyle w:val="a9"/>
        <w:spacing w:line="360" w:lineRule="auto"/>
        <w:rPr>
          <w:rtl/>
        </w:rPr>
      </w:pPr>
      <w:r>
        <w:rPr>
          <w:rFonts w:ascii="David" w:hAnsi="David" w:cs="David"/>
          <w:sz w:val="28"/>
          <w:szCs w:val="28"/>
        </w:rPr>
        <w:t> </w:t>
      </w:r>
    </w:p>
    <w:p w14:paraId="42B44A82" w14:textId="77777777" w:rsidR="00000000" w:rsidRDefault="00000000">
      <w:pPr>
        <w:pStyle w:val="a9"/>
        <w:spacing w:line="360" w:lineRule="auto"/>
        <w:ind w:left="567"/>
        <w:jc w:val="both"/>
        <w:rPr>
          <w:rtl/>
        </w:rPr>
      </w:pPr>
      <w:r>
        <w:rPr>
          <w:rFonts w:ascii="David" w:hAnsi="David" w:cs="David"/>
          <w:noProof/>
          <w:sz w:val="28"/>
          <w:szCs w:val="28"/>
        </w:rPr>
        <w:drawing>
          <wp:inline distT="0" distB="0" distL="0" distR="0" wp14:anchorId="441E2226" wp14:editId="5310D648">
            <wp:extent cx="3381375" cy="981075"/>
            <wp:effectExtent l="0" t="0" r="9525" b="9525"/>
            <wp:docPr id="2"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7"/>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381375" cy="981075"/>
                    </a:xfrm>
                    <a:prstGeom prst="rect">
                      <a:avLst/>
                    </a:prstGeom>
                    <a:noFill/>
                    <a:ln>
                      <a:noFill/>
                    </a:ln>
                  </pic:spPr>
                </pic:pic>
              </a:graphicData>
            </a:graphic>
          </wp:inline>
        </w:drawing>
      </w:r>
    </w:p>
    <w:p w14:paraId="199B2755" w14:textId="77777777" w:rsidR="00000000" w:rsidRDefault="00000000">
      <w:pPr>
        <w:pStyle w:val="a9"/>
        <w:spacing w:line="360" w:lineRule="auto"/>
        <w:rPr>
          <w:rtl/>
        </w:rPr>
      </w:pPr>
      <w:r>
        <w:rPr>
          <w:rFonts w:ascii="David" w:hAnsi="David" w:cs="David"/>
          <w:sz w:val="28"/>
          <w:szCs w:val="28"/>
        </w:rPr>
        <w:t> </w:t>
      </w:r>
    </w:p>
    <w:p w14:paraId="7040B401" w14:textId="77777777" w:rsidR="00000000" w:rsidRDefault="00000000">
      <w:pPr>
        <w:pStyle w:val="a9"/>
        <w:spacing w:line="360" w:lineRule="auto"/>
        <w:ind w:left="567"/>
        <w:jc w:val="both"/>
        <w:rPr>
          <w:rtl/>
        </w:rPr>
      </w:pPr>
      <w:r>
        <w:rPr>
          <w:rFonts w:ascii="David" w:hAnsi="David" w:cs="David"/>
          <w:sz w:val="28"/>
          <w:szCs w:val="28"/>
          <w:rtl/>
        </w:rPr>
        <w:t>אולם זכות זו של המשיבה בוטלה, למעט במקרה בו החליטה המשיבה שלא לבצע את העבודות כלל, וזאת במסגרת סעיף 7.2 לתוספת 3 אשר זו לשונו:</w:t>
      </w:r>
      <w:r>
        <w:rPr>
          <w:rFonts w:ascii="David" w:hAnsi="David" w:cs="David"/>
          <w:sz w:val="28"/>
          <w:szCs w:val="28"/>
        </w:rPr>
        <w:t xml:space="preserve"> </w:t>
      </w:r>
    </w:p>
    <w:p w14:paraId="7D46792E" w14:textId="77777777" w:rsidR="00000000" w:rsidRDefault="00000000">
      <w:pPr>
        <w:pStyle w:val="a9"/>
        <w:spacing w:line="360" w:lineRule="auto"/>
        <w:ind w:left="567"/>
        <w:jc w:val="both"/>
        <w:rPr>
          <w:rtl/>
        </w:rPr>
      </w:pPr>
      <w:r>
        <w:rPr>
          <w:rFonts w:ascii="David" w:hAnsi="David" w:cs="David"/>
          <w:noProof/>
          <w:sz w:val="28"/>
          <w:szCs w:val="28"/>
        </w:rPr>
        <w:drawing>
          <wp:inline distT="0" distB="0" distL="0" distR="0" wp14:anchorId="47F97720" wp14:editId="485BE0D7">
            <wp:extent cx="3295650" cy="1219200"/>
            <wp:effectExtent l="0" t="0" r="0" b="0"/>
            <wp:docPr id="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6"/>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3295650" cy="1219200"/>
                    </a:xfrm>
                    <a:prstGeom prst="rect">
                      <a:avLst/>
                    </a:prstGeom>
                    <a:noFill/>
                    <a:ln>
                      <a:noFill/>
                    </a:ln>
                  </pic:spPr>
                </pic:pic>
              </a:graphicData>
            </a:graphic>
          </wp:inline>
        </w:drawing>
      </w:r>
      <w:r>
        <w:rPr>
          <w:rFonts w:ascii="David" w:hAnsi="David" w:cs="David"/>
          <w:sz w:val="28"/>
          <w:szCs w:val="28"/>
          <w:rtl/>
        </w:rPr>
        <w:t> </w:t>
      </w:r>
    </w:p>
    <w:p w14:paraId="13A3CC6E" w14:textId="77777777" w:rsidR="00000000" w:rsidRDefault="00000000">
      <w:pPr>
        <w:pStyle w:val="a9"/>
        <w:spacing w:line="360" w:lineRule="auto"/>
        <w:ind w:left="567"/>
        <w:jc w:val="both"/>
        <w:rPr>
          <w:rtl/>
        </w:rPr>
      </w:pPr>
      <w:r>
        <w:rPr>
          <w:rFonts w:ascii="David" w:hAnsi="David" w:cs="David"/>
          <w:sz w:val="28"/>
          <w:szCs w:val="28"/>
        </w:rPr>
        <w:t> </w:t>
      </w:r>
    </w:p>
    <w:p w14:paraId="0DE64F09" w14:textId="77777777" w:rsidR="00000000" w:rsidRDefault="00000000">
      <w:pPr>
        <w:pStyle w:val="a9"/>
        <w:spacing w:line="360" w:lineRule="auto"/>
        <w:ind w:left="567"/>
        <w:jc w:val="both"/>
        <w:rPr>
          <w:rtl/>
        </w:rPr>
      </w:pPr>
      <w:r>
        <w:rPr>
          <w:rFonts w:ascii="David" w:hAnsi="David" w:cs="David"/>
          <w:sz w:val="28"/>
          <w:szCs w:val="28"/>
          <w:rtl/>
        </w:rPr>
        <w:t xml:space="preserve">כמו כן צומצמה זכות המשיבה לבטל את ההסכם מחמת עיכוב בלוחות זמנים אלא במקרה של עיכוב של מעל ל-8 חודשים בביצוע העבודות. נטען כי במסגרת ההסכם אין למשיבה זכות לביטול חלקי של ההסכם (צמצום/גריעת עבודות) מחמת הפרה. סעד זה אינו נכלל בסעיף 43.1 להסכם העיקרי הכולל רשימת סעדים במקרה של הפרה. </w:t>
      </w:r>
    </w:p>
    <w:p w14:paraId="5772D327" w14:textId="77777777" w:rsidR="00000000" w:rsidRDefault="00000000">
      <w:pPr>
        <w:pStyle w:val="a9"/>
        <w:spacing w:line="360" w:lineRule="auto"/>
        <w:ind w:left="567"/>
        <w:jc w:val="both"/>
        <w:rPr>
          <w:rtl/>
        </w:rPr>
      </w:pPr>
      <w:r>
        <w:rPr>
          <w:rFonts w:ascii="David" w:hAnsi="David" w:cs="David"/>
          <w:sz w:val="28"/>
          <w:szCs w:val="28"/>
        </w:rPr>
        <w:t> </w:t>
      </w:r>
    </w:p>
    <w:p w14:paraId="6B1B5290" w14:textId="77777777" w:rsidR="00000000" w:rsidRDefault="00000000">
      <w:pPr>
        <w:pStyle w:val="a9"/>
        <w:spacing w:line="360" w:lineRule="auto"/>
        <w:ind w:left="567" w:hanging="567"/>
        <w:jc w:val="both"/>
        <w:rPr>
          <w:rtl/>
        </w:rPr>
      </w:pPr>
      <w:r>
        <w:rPr>
          <w:rFonts w:ascii="David" w:hAnsi="David" w:cs="David"/>
          <w:color w:val="000000"/>
          <w:rtl/>
        </w:rPr>
        <w:t>29.</w:t>
      </w:r>
      <w:r>
        <w:rPr>
          <w:color w:val="000000"/>
          <w:sz w:val="14"/>
          <w:szCs w:val="14"/>
          <w:rtl/>
        </w:rPr>
        <w:t xml:space="preserve">  </w:t>
      </w:r>
      <w:r>
        <w:rPr>
          <w:rFonts w:ascii="David" w:hAnsi="David" w:cs="David"/>
          <w:sz w:val="28"/>
          <w:szCs w:val="28"/>
          <w:rtl/>
        </w:rPr>
        <w:t xml:space="preserve">נטען כי גם סעיף 43.1.8 להסכם העיקרי, אליו מפנה המשיבה בהודעת הביטול, אינו מקנה למשיבה זכות לביטול חלקי של ההסכם אלא רק לביטולו המלא: </w:t>
      </w:r>
    </w:p>
    <w:p w14:paraId="123B3E86" w14:textId="77777777" w:rsidR="00000000" w:rsidRDefault="00000000">
      <w:pPr>
        <w:pStyle w:val="a9"/>
        <w:spacing w:line="360" w:lineRule="auto"/>
        <w:rPr>
          <w:rtl/>
        </w:rPr>
      </w:pPr>
      <w:r>
        <w:rPr>
          <w:rFonts w:ascii="David" w:hAnsi="David" w:cs="David"/>
          <w:noProof/>
          <w:sz w:val="28"/>
          <w:szCs w:val="28"/>
        </w:rPr>
        <w:drawing>
          <wp:inline distT="0" distB="0" distL="0" distR="0" wp14:anchorId="07CD6642" wp14:editId="6DD8B6C2">
            <wp:extent cx="3209925" cy="942975"/>
            <wp:effectExtent l="0" t="0" r="9525" b="9525"/>
            <wp:docPr id="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209925" cy="942975"/>
                    </a:xfrm>
                    <a:prstGeom prst="rect">
                      <a:avLst/>
                    </a:prstGeom>
                    <a:noFill/>
                    <a:ln>
                      <a:noFill/>
                    </a:ln>
                  </pic:spPr>
                </pic:pic>
              </a:graphicData>
            </a:graphic>
          </wp:inline>
        </w:drawing>
      </w:r>
    </w:p>
    <w:p w14:paraId="05DA56DA" w14:textId="77777777" w:rsidR="00000000" w:rsidRDefault="00000000">
      <w:pPr>
        <w:pStyle w:val="a9"/>
        <w:spacing w:line="360" w:lineRule="auto"/>
        <w:ind w:left="567"/>
        <w:jc w:val="both"/>
        <w:rPr>
          <w:rtl/>
        </w:rPr>
      </w:pPr>
      <w:r>
        <w:rPr>
          <w:rFonts w:ascii="David" w:hAnsi="David" w:cs="David"/>
          <w:sz w:val="28"/>
          <w:szCs w:val="28"/>
          <w:rtl/>
        </w:rPr>
        <w:t> </w:t>
      </w:r>
    </w:p>
    <w:p w14:paraId="24429734" w14:textId="77777777" w:rsidR="00000000" w:rsidRDefault="00000000">
      <w:pPr>
        <w:pStyle w:val="a9"/>
        <w:spacing w:line="360" w:lineRule="auto"/>
        <w:ind w:left="567" w:hanging="567"/>
        <w:jc w:val="both"/>
        <w:rPr>
          <w:rtl/>
        </w:rPr>
      </w:pPr>
      <w:r>
        <w:rPr>
          <w:rFonts w:ascii="David" w:hAnsi="David" w:cs="David"/>
          <w:color w:val="000000"/>
          <w:rtl/>
        </w:rPr>
        <w:t>30.</w:t>
      </w:r>
      <w:r>
        <w:rPr>
          <w:color w:val="000000"/>
          <w:sz w:val="14"/>
          <w:szCs w:val="14"/>
          <w:rtl/>
        </w:rPr>
        <w:t xml:space="preserve">  </w:t>
      </w:r>
      <w:r>
        <w:rPr>
          <w:rFonts w:ascii="David" w:hAnsi="David" w:cs="David"/>
          <w:sz w:val="28"/>
          <w:szCs w:val="28"/>
          <w:rtl/>
        </w:rPr>
        <w:t>כמו כן לטענת המבקשת סעיף 46.3.2 שעניינו שלילת הזכות לעתור לסעד של אכיפת ההסכם, חל רק במקרה של ביטול מלא של ההסכם:</w:t>
      </w:r>
      <w:r>
        <w:rPr>
          <w:rFonts w:ascii="David" w:hAnsi="David" w:cs="David"/>
          <w:sz w:val="28"/>
          <w:szCs w:val="28"/>
        </w:rPr>
        <w:t xml:space="preserve"> </w:t>
      </w:r>
    </w:p>
    <w:p w14:paraId="29AF6D99" w14:textId="77777777" w:rsidR="00000000" w:rsidRDefault="00000000">
      <w:pPr>
        <w:pStyle w:val="a9"/>
        <w:spacing w:line="360" w:lineRule="auto"/>
        <w:ind w:left="567"/>
        <w:jc w:val="both"/>
        <w:rPr>
          <w:rtl/>
        </w:rPr>
      </w:pPr>
      <w:r>
        <w:rPr>
          <w:rFonts w:ascii="David" w:hAnsi="David" w:cs="David"/>
          <w:noProof/>
          <w:sz w:val="28"/>
          <w:szCs w:val="28"/>
        </w:rPr>
        <w:drawing>
          <wp:inline distT="0" distB="0" distL="0" distR="0" wp14:anchorId="2DE826F1" wp14:editId="3E2AA5C5">
            <wp:extent cx="3228975" cy="1181100"/>
            <wp:effectExtent l="0" t="0" r="9525" b="0"/>
            <wp:docPr id="5"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3228975" cy="1181100"/>
                    </a:xfrm>
                    <a:prstGeom prst="rect">
                      <a:avLst/>
                    </a:prstGeom>
                    <a:noFill/>
                    <a:ln>
                      <a:noFill/>
                    </a:ln>
                  </pic:spPr>
                </pic:pic>
              </a:graphicData>
            </a:graphic>
          </wp:inline>
        </w:drawing>
      </w:r>
    </w:p>
    <w:p w14:paraId="4A0C59E7" w14:textId="77777777" w:rsidR="00000000" w:rsidRDefault="00000000">
      <w:pPr>
        <w:pStyle w:val="a9"/>
        <w:spacing w:line="360" w:lineRule="auto"/>
        <w:ind w:left="567"/>
        <w:jc w:val="both"/>
        <w:rPr>
          <w:rtl/>
        </w:rPr>
      </w:pPr>
      <w:r>
        <w:rPr>
          <w:rFonts w:ascii="David" w:hAnsi="David" w:cs="David"/>
          <w:sz w:val="28"/>
          <w:szCs w:val="28"/>
        </w:rPr>
        <w:t> </w:t>
      </w:r>
    </w:p>
    <w:p w14:paraId="56E1CC28" w14:textId="77777777" w:rsidR="00000000" w:rsidRDefault="00000000">
      <w:pPr>
        <w:pStyle w:val="a9"/>
        <w:spacing w:line="360" w:lineRule="auto"/>
        <w:ind w:left="567" w:hanging="567"/>
        <w:jc w:val="both"/>
        <w:rPr>
          <w:rtl/>
        </w:rPr>
      </w:pPr>
      <w:r>
        <w:rPr>
          <w:rFonts w:ascii="David" w:hAnsi="David" w:cs="David"/>
          <w:color w:val="000000"/>
          <w:rtl/>
        </w:rPr>
        <w:t>31.</w:t>
      </w:r>
      <w:r>
        <w:rPr>
          <w:color w:val="000000"/>
          <w:sz w:val="14"/>
          <w:szCs w:val="14"/>
          <w:rtl/>
        </w:rPr>
        <w:t xml:space="preserve">  </w:t>
      </w:r>
      <w:r>
        <w:rPr>
          <w:rFonts w:ascii="David" w:hAnsi="David" w:cs="David"/>
          <w:sz w:val="28"/>
          <w:szCs w:val="28"/>
          <w:rtl/>
        </w:rPr>
        <w:t xml:space="preserve">נטען כי אין למשיבה זכות לביטול חלקי של ההסכם מכוח סעיף 7(ג) לחוק החוזים (תרופות בשל הפרת חוזה), תשל"א-1970 מאחר שמדובר בהסכם אשר אינו ניתן להפרדה לחלקים. נטען כי עבודות החשמול מורכבות ומבוצעות עפ"י מפרט טכני שמהווה חלק בלתי נפרד מההסכם. ההסכם כולל פרטים משפטיים וטכניים רבים החלים על עבודות החשמול, אשר אינם נכללים בתוספת 11 ולא ייתכן כי התוספת ניתנת להפרדה משאר ההסכם. נטען כי בהתאם לסעיף 7(ג) לחוק החוזים (תרופות בשל הפרת חוזה) נדרשת הפרה ביחס לחלק שבוטל. המשיבה לא הצביעה על הפרה ספציפית הנוגעת לקטעים שנגרעו ועל כן אין זכות לביטול חלקי מכוח סעיף זה. נטען כי גם אם תוספת 11 ניתנת להפרדה, במסגרת תוספת 3 בוטלה זכות המשיבה לצמצם את תכולת עבודת המבקשת. הסכמה זו הינה התנאה חוקית על סעיף 7(ג) לחוק החוזים (תרופות בשל הפרת חוזה) והמבקשת הסתמכה עליה בכל תוספת שנחתמה אחריה ובכלל זה תוספת 11. </w:t>
      </w:r>
    </w:p>
    <w:p w14:paraId="2F62012F" w14:textId="77777777" w:rsidR="00000000" w:rsidRDefault="00000000">
      <w:pPr>
        <w:pStyle w:val="a9"/>
        <w:spacing w:line="360" w:lineRule="auto"/>
        <w:rPr>
          <w:rtl/>
        </w:rPr>
      </w:pPr>
      <w:r>
        <w:rPr>
          <w:rFonts w:ascii="David" w:hAnsi="David" w:cs="David"/>
          <w:sz w:val="28"/>
          <w:szCs w:val="28"/>
        </w:rPr>
        <w:t> </w:t>
      </w:r>
    </w:p>
    <w:p w14:paraId="5DD43C11" w14:textId="77777777" w:rsidR="00000000" w:rsidRDefault="00000000">
      <w:pPr>
        <w:pStyle w:val="a9"/>
        <w:spacing w:line="360" w:lineRule="auto"/>
        <w:ind w:left="567" w:hanging="567"/>
        <w:jc w:val="both"/>
        <w:rPr>
          <w:rtl/>
        </w:rPr>
      </w:pPr>
      <w:r>
        <w:rPr>
          <w:rFonts w:ascii="David" w:hAnsi="David" w:cs="David"/>
          <w:color w:val="000000"/>
          <w:rtl/>
        </w:rPr>
        <w:t>32.</w:t>
      </w:r>
      <w:r>
        <w:rPr>
          <w:color w:val="000000"/>
          <w:sz w:val="14"/>
          <w:szCs w:val="14"/>
          <w:rtl/>
        </w:rPr>
        <w:t xml:space="preserve">  </w:t>
      </w:r>
      <w:r>
        <w:rPr>
          <w:rFonts w:ascii="David" w:hAnsi="David" w:cs="David"/>
          <w:b/>
          <w:bCs/>
          <w:sz w:val="28"/>
          <w:szCs w:val="28"/>
          <w:rtl/>
        </w:rPr>
        <w:t>לטענת המשיבה</w:t>
      </w:r>
      <w:r>
        <w:rPr>
          <w:rFonts w:ascii="David" w:hAnsi="David" w:cs="David"/>
          <w:sz w:val="28"/>
          <w:szCs w:val="28"/>
          <w:rtl/>
        </w:rPr>
        <w:t xml:space="preserve"> הסעד לו עותרת המבקשת הינו סעד של אכיפה, עליו ויתרה המבקשת במפורש במסגרת סעיף 43.6.2 להסכם שהובא לעיל. לטענת המשיבה לא ניתן להעניק למבקשת סעד של אכיפה, גם נוכח הפרות מהותיות ורבות של ההסכם, היעדר יכולת לעמוד בהתחייבויותיה והיעדר אמון מצד המשיבה במבקשת ובמנהליה. בנסיבות אלו אכיפת ההסכם הינה בלתי צודקת. </w:t>
      </w:r>
    </w:p>
    <w:p w14:paraId="321149C5" w14:textId="77777777" w:rsidR="00000000" w:rsidRDefault="00000000">
      <w:pPr>
        <w:pStyle w:val="a9"/>
        <w:spacing w:line="360" w:lineRule="auto"/>
        <w:rPr>
          <w:rtl/>
        </w:rPr>
      </w:pPr>
      <w:r>
        <w:rPr>
          <w:rFonts w:ascii="David" w:hAnsi="David" w:cs="David"/>
          <w:sz w:val="28"/>
          <w:szCs w:val="28"/>
        </w:rPr>
        <w:t> </w:t>
      </w:r>
    </w:p>
    <w:p w14:paraId="5C47CC21" w14:textId="77777777" w:rsidR="00000000" w:rsidRDefault="00000000">
      <w:pPr>
        <w:pStyle w:val="a9"/>
        <w:spacing w:line="360" w:lineRule="auto"/>
        <w:ind w:left="567" w:hanging="567"/>
        <w:jc w:val="both"/>
        <w:rPr>
          <w:rtl/>
        </w:rPr>
      </w:pPr>
      <w:r>
        <w:rPr>
          <w:rFonts w:ascii="David" w:hAnsi="David" w:cs="David"/>
          <w:color w:val="000000"/>
          <w:rtl/>
        </w:rPr>
        <w:t>33.</w:t>
      </w:r>
      <w:r>
        <w:rPr>
          <w:color w:val="000000"/>
          <w:sz w:val="14"/>
          <w:szCs w:val="14"/>
          <w:rtl/>
        </w:rPr>
        <w:t xml:space="preserve">  </w:t>
      </w:r>
      <w:r>
        <w:rPr>
          <w:rFonts w:ascii="David" w:hAnsi="David" w:cs="David"/>
          <w:b/>
          <w:bCs/>
          <w:sz w:val="28"/>
          <w:szCs w:val="28"/>
          <w:rtl/>
        </w:rPr>
        <w:t>לטענת המבקשת</w:t>
      </w:r>
      <w:r>
        <w:rPr>
          <w:rFonts w:ascii="David" w:hAnsi="David" w:cs="David"/>
          <w:sz w:val="28"/>
          <w:szCs w:val="28"/>
          <w:rtl/>
        </w:rPr>
        <w:t xml:space="preserve"> אין יסוד לטענות המשיבה באשר למשבר אמון בין הצדדים. לטענת המבקשת התוספת האחרונה להסכם במסגרתה נוספו למבקשת עבודות בהיקף של 230 מיליון ש"ח נחתמה כשנה בלבד טרם הודעת הביטול. מר אורי צורף אשר העיד מטעם המשיבה לא הצביע בעדותו על מועד שבו נוצר אי-אמון בין הצדדים ולא הובהר מה גרם למשבר אמון לאחר החתימה על תוספת 11. לאחר משלוח הודעת הביטול, ביקשה המשיבה את עזרת המבקשת בתיקון נזקים שנגרמו במהלך המלחמה האחרונה, המשיבה נענתה והעבודות נעשו לשביעות רצון המשיבה. מכל מקום ככל שטענות אלו היו נכונות, המשיבה </w:t>
      </w:r>
      <w:proofErr w:type="spellStart"/>
      <w:r>
        <w:rPr>
          <w:rFonts w:ascii="David" w:hAnsi="David" w:cs="David"/>
          <w:sz w:val="28"/>
          <w:szCs w:val="28"/>
          <w:rtl/>
        </w:rPr>
        <w:t>היתה</w:t>
      </w:r>
      <w:proofErr w:type="spellEnd"/>
      <w:r>
        <w:rPr>
          <w:rFonts w:ascii="David" w:hAnsi="David" w:cs="David"/>
          <w:sz w:val="28"/>
          <w:szCs w:val="28"/>
          <w:rtl/>
        </w:rPr>
        <w:t xml:space="preserve"> מבקשת לבטל את ההסכם כולו ולא את חלקו, כפי שעשתה.</w:t>
      </w:r>
    </w:p>
    <w:p w14:paraId="496EE55B" w14:textId="77777777" w:rsidR="00000000" w:rsidRDefault="00000000">
      <w:pPr>
        <w:pStyle w:val="a9"/>
        <w:spacing w:line="360" w:lineRule="auto"/>
        <w:rPr>
          <w:rtl/>
        </w:rPr>
      </w:pPr>
      <w:r>
        <w:rPr>
          <w:rFonts w:ascii="David" w:hAnsi="David" w:cs="David"/>
          <w:sz w:val="28"/>
          <w:szCs w:val="28"/>
        </w:rPr>
        <w:t> </w:t>
      </w:r>
    </w:p>
    <w:p w14:paraId="3E61A5F5" w14:textId="77777777" w:rsidR="00000000" w:rsidRDefault="00000000">
      <w:pPr>
        <w:pStyle w:val="a9"/>
        <w:spacing w:line="360" w:lineRule="auto"/>
        <w:ind w:left="567" w:hanging="567"/>
        <w:jc w:val="both"/>
        <w:rPr>
          <w:rtl/>
        </w:rPr>
      </w:pPr>
      <w:r>
        <w:rPr>
          <w:rFonts w:ascii="David" w:hAnsi="David" w:cs="David"/>
          <w:color w:val="000000"/>
          <w:rtl/>
        </w:rPr>
        <w:t>34.</w:t>
      </w:r>
      <w:r>
        <w:rPr>
          <w:color w:val="000000"/>
          <w:sz w:val="14"/>
          <w:szCs w:val="14"/>
          <w:rtl/>
        </w:rPr>
        <w:t xml:space="preserve">  </w:t>
      </w:r>
      <w:r>
        <w:rPr>
          <w:rFonts w:ascii="David" w:hAnsi="David" w:cs="David"/>
          <w:b/>
          <w:bCs/>
          <w:sz w:val="28"/>
          <w:szCs w:val="28"/>
          <w:rtl/>
        </w:rPr>
        <w:t xml:space="preserve">בחקירתו </w:t>
      </w:r>
      <w:r>
        <w:rPr>
          <w:rFonts w:ascii="David" w:hAnsi="David" w:cs="David"/>
          <w:sz w:val="28"/>
          <w:szCs w:val="28"/>
          <w:rtl/>
        </w:rPr>
        <w:t xml:space="preserve">אישר </w:t>
      </w:r>
      <w:proofErr w:type="spellStart"/>
      <w:r>
        <w:rPr>
          <w:rFonts w:ascii="David" w:hAnsi="David" w:cs="David"/>
          <w:sz w:val="28"/>
          <w:szCs w:val="28"/>
          <w:rtl/>
        </w:rPr>
        <w:t>המציר</w:t>
      </w:r>
      <w:proofErr w:type="spellEnd"/>
      <w:r>
        <w:rPr>
          <w:rFonts w:ascii="David" w:hAnsi="David" w:cs="David"/>
          <w:sz w:val="28"/>
          <w:szCs w:val="28"/>
          <w:rtl/>
        </w:rPr>
        <w:t xml:space="preserve"> מטעם המשיבה, מר אורי צורף, כי המשיבה נעזרה במבקשת לשם תיקון תחנת רכבת </w:t>
      </w:r>
      <w:proofErr w:type="spellStart"/>
      <w:r>
        <w:rPr>
          <w:rFonts w:ascii="David" w:hAnsi="David" w:cs="David"/>
          <w:sz w:val="28"/>
          <w:szCs w:val="28"/>
          <w:rtl/>
        </w:rPr>
        <w:t>סבידור</w:t>
      </w:r>
      <w:proofErr w:type="spellEnd"/>
      <w:r>
        <w:rPr>
          <w:rFonts w:ascii="David" w:hAnsi="David" w:cs="David"/>
          <w:sz w:val="28"/>
          <w:szCs w:val="28"/>
          <w:rtl/>
        </w:rPr>
        <w:t xml:space="preserve"> (לאור פגעי המלחמה), וכי העבודה נעשתה לשביעות רצון המשיבה (פרוטוקול מיום 16.4.26, עמ' 26 שורות 2-10)</w:t>
      </w:r>
    </w:p>
    <w:p w14:paraId="43286FEF" w14:textId="77777777" w:rsidR="00000000" w:rsidRDefault="00000000">
      <w:pPr>
        <w:pStyle w:val="a9"/>
        <w:spacing w:line="360" w:lineRule="auto"/>
        <w:rPr>
          <w:rtl/>
        </w:rPr>
      </w:pPr>
      <w:r>
        <w:rPr>
          <w:rFonts w:ascii="David" w:hAnsi="David" w:cs="David"/>
          <w:sz w:val="28"/>
          <w:szCs w:val="28"/>
        </w:rPr>
        <w:t> </w:t>
      </w:r>
    </w:p>
    <w:p w14:paraId="015B0C0E" w14:textId="77777777" w:rsidR="00000000" w:rsidRDefault="00000000">
      <w:pPr>
        <w:pStyle w:val="a9"/>
        <w:spacing w:line="360" w:lineRule="auto"/>
        <w:ind w:left="567" w:hanging="567"/>
        <w:jc w:val="both"/>
        <w:rPr>
          <w:rtl/>
        </w:rPr>
      </w:pPr>
      <w:r>
        <w:rPr>
          <w:rFonts w:ascii="David" w:hAnsi="David" w:cs="David"/>
          <w:color w:val="000000"/>
          <w:rtl/>
        </w:rPr>
        <w:t>35.</w:t>
      </w:r>
      <w:r>
        <w:rPr>
          <w:color w:val="000000"/>
          <w:sz w:val="14"/>
          <w:szCs w:val="14"/>
          <w:rtl/>
        </w:rPr>
        <w:t xml:space="preserve">  </w:t>
      </w:r>
      <w:r>
        <w:rPr>
          <w:rFonts w:ascii="David" w:hAnsi="David" w:cs="David"/>
          <w:sz w:val="28"/>
          <w:szCs w:val="28"/>
          <w:rtl/>
        </w:rPr>
        <w:t xml:space="preserve">כמו כן </w:t>
      </w:r>
      <w:r>
        <w:rPr>
          <w:rFonts w:ascii="David" w:hAnsi="David" w:cs="David"/>
          <w:b/>
          <w:bCs/>
          <w:sz w:val="28"/>
          <w:szCs w:val="28"/>
          <w:rtl/>
        </w:rPr>
        <w:t>לטענת המשיבה</w:t>
      </w:r>
      <w:r>
        <w:rPr>
          <w:rFonts w:ascii="David" w:hAnsi="David" w:cs="David"/>
          <w:sz w:val="28"/>
          <w:szCs w:val="28"/>
          <w:rtl/>
        </w:rPr>
        <w:t xml:space="preserve"> יש לה זכות חוזית לביטול חלקי של ההסכם. סעיף 43.1 להסכם, שעניינו ביטול ההסכם קובע כי המשיבה רשאית לבטל את ההסכם לאחר התראה בכתב של 14 ימים בהתקיים אחד מהמקרים המפורטים ובהם: סעיף 43.1.7. - כאשר התברר כי המבקשת הציגה בפני המשיבה מצג שווא או מסרה למשיבה הצהרה כוזבת במסגרת ההסכם, מסמך, אישור או לוח זמנים שהוגש למשיבה במהלך ביצוע ההסכם; סעיף 43.1.8 - במקרה בו המבקשת הפרה את ההסכם ולא תיקנה את ההפרה בתוך 30 יום (אם זו הפרה יסודית) או 60 יום (אם זו הפרה לא יסודית). </w:t>
      </w:r>
    </w:p>
    <w:p w14:paraId="1CEA1B9A" w14:textId="77777777" w:rsidR="00000000" w:rsidRDefault="00000000">
      <w:pPr>
        <w:pStyle w:val="a9"/>
        <w:spacing w:line="360" w:lineRule="auto"/>
        <w:rPr>
          <w:rtl/>
        </w:rPr>
      </w:pPr>
      <w:r>
        <w:rPr>
          <w:rFonts w:ascii="David" w:hAnsi="David" w:cs="David"/>
          <w:sz w:val="28"/>
          <w:szCs w:val="28"/>
        </w:rPr>
        <w:t> </w:t>
      </w:r>
    </w:p>
    <w:p w14:paraId="5C31A45C" w14:textId="77777777" w:rsidR="00000000" w:rsidRDefault="00000000">
      <w:pPr>
        <w:pStyle w:val="a9"/>
        <w:spacing w:line="360" w:lineRule="auto"/>
        <w:ind w:left="567" w:hanging="567"/>
        <w:jc w:val="both"/>
        <w:rPr>
          <w:rtl/>
        </w:rPr>
      </w:pPr>
      <w:r>
        <w:rPr>
          <w:rFonts w:ascii="David" w:hAnsi="David" w:cs="David"/>
          <w:color w:val="000000"/>
          <w:rtl/>
        </w:rPr>
        <w:t>36.</w:t>
      </w:r>
      <w:r>
        <w:rPr>
          <w:color w:val="000000"/>
          <w:sz w:val="14"/>
          <w:szCs w:val="14"/>
          <w:rtl/>
        </w:rPr>
        <w:t xml:space="preserve">  </w:t>
      </w:r>
      <w:r>
        <w:rPr>
          <w:rFonts w:ascii="David" w:hAnsi="David" w:cs="David"/>
          <w:sz w:val="28"/>
          <w:szCs w:val="28"/>
          <w:rtl/>
        </w:rPr>
        <w:t>כמו כן נטען על ידי המשיבה, כי סעיף 43.5 להסכם העיקרי קובע כי במקרה של ביטול שמורות למשיבה כל הזכויות המוקנות לה על פי דין או ההסכם. נטען כי למשיבה זכות לביטול חלקי של ההסכם מכוח סעיף 43.5.4 להסכם העיקרי הקובע כי במקרה של ביטול ההסכם, המשיבה רשאית על פי שיקול דעתה להורות על השלמת עבודות שהמבקשת החלה לבצע, כלומר ביטול חלקי של ההסכם:</w:t>
      </w:r>
      <w:r>
        <w:rPr>
          <w:rFonts w:ascii="David" w:hAnsi="David" w:cs="David"/>
          <w:sz w:val="28"/>
          <w:szCs w:val="28"/>
        </w:rPr>
        <w:t xml:space="preserve"> </w:t>
      </w:r>
    </w:p>
    <w:p w14:paraId="777B325A" w14:textId="77777777" w:rsidR="00000000" w:rsidRDefault="00000000">
      <w:pPr>
        <w:pStyle w:val="a9"/>
        <w:spacing w:line="360" w:lineRule="auto"/>
        <w:ind w:left="567"/>
        <w:jc w:val="both"/>
        <w:rPr>
          <w:rtl/>
        </w:rPr>
      </w:pPr>
      <w:r>
        <w:rPr>
          <w:rFonts w:ascii="David" w:hAnsi="David" w:cs="David"/>
          <w:noProof/>
          <w:sz w:val="28"/>
          <w:szCs w:val="28"/>
        </w:rPr>
        <w:drawing>
          <wp:inline distT="0" distB="0" distL="0" distR="0" wp14:anchorId="05265594" wp14:editId="2AADCE88">
            <wp:extent cx="2981325" cy="704850"/>
            <wp:effectExtent l="0" t="0" r="9525" b="0"/>
            <wp:docPr id="6"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981325" cy="704850"/>
                    </a:xfrm>
                    <a:prstGeom prst="rect">
                      <a:avLst/>
                    </a:prstGeom>
                    <a:noFill/>
                    <a:ln>
                      <a:noFill/>
                    </a:ln>
                  </pic:spPr>
                </pic:pic>
              </a:graphicData>
            </a:graphic>
          </wp:inline>
        </w:drawing>
      </w:r>
    </w:p>
    <w:p w14:paraId="4C478F72" w14:textId="77777777" w:rsidR="00000000" w:rsidRDefault="00000000">
      <w:pPr>
        <w:pStyle w:val="a9"/>
        <w:spacing w:line="360" w:lineRule="auto"/>
        <w:rPr>
          <w:rtl/>
        </w:rPr>
      </w:pPr>
      <w:r>
        <w:rPr>
          <w:rFonts w:ascii="David" w:hAnsi="David" w:cs="David"/>
          <w:sz w:val="28"/>
          <w:szCs w:val="28"/>
        </w:rPr>
        <w:t> </w:t>
      </w:r>
    </w:p>
    <w:p w14:paraId="7056DFDA" w14:textId="77777777" w:rsidR="00000000" w:rsidRDefault="00000000">
      <w:pPr>
        <w:pStyle w:val="a9"/>
        <w:spacing w:line="360" w:lineRule="auto"/>
        <w:ind w:left="567" w:hanging="567"/>
        <w:jc w:val="both"/>
        <w:rPr>
          <w:rtl/>
        </w:rPr>
      </w:pPr>
      <w:r>
        <w:rPr>
          <w:rFonts w:ascii="David" w:hAnsi="David" w:cs="David"/>
          <w:color w:val="000000"/>
          <w:rtl/>
        </w:rPr>
        <w:t>37.</w:t>
      </w:r>
      <w:r>
        <w:rPr>
          <w:color w:val="000000"/>
          <w:sz w:val="14"/>
          <w:szCs w:val="14"/>
          <w:rtl/>
        </w:rPr>
        <w:t xml:space="preserve">  </w:t>
      </w:r>
      <w:r>
        <w:rPr>
          <w:rFonts w:ascii="David" w:hAnsi="David" w:cs="David"/>
          <w:sz w:val="28"/>
          <w:szCs w:val="28"/>
          <w:rtl/>
        </w:rPr>
        <w:t xml:space="preserve">לבסוף לטענת המשיבה סעיף 7.1 לתוספת 3 החליף את סעיף 43.3 להסכם, המאפשר למשיבה לבטל את ההסכם מטעמי נוחות אף ללא הפרה: </w:t>
      </w:r>
    </w:p>
    <w:p w14:paraId="4FD6AD6C" w14:textId="77777777" w:rsidR="00000000" w:rsidRDefault="00000000">
      <w:pPr>
        <w:pStyle w:val="a9"/>
        <w:spacing w:line="360" w:lineRule="auto"/>
        <w:ind w:left="567"/>
        <w:jc w:val="both"/>
        <w:rPr>
          <w:rtl/>
        </w:rPr>
      </w:pPr>
      <w:r>
        <w:rPr>
          <w:rFonts w:ascii="David" w:hAnsi="David" w:cs="David"/>
          <w:noProof/>
          <w:sz w:val="28"/>
          <w:szCs w:val="28"/>
        </w:rPr>
        <w:drawing>
          <wp:inline distT="0" distB="0" distL="0" distR="0" wp14:anchorId="68D900FC" wp14:editId="6807AB9F">
            <wp:extent cx="3181350" cy="1695450"/>
            <wp:effectExtent l="0" t="0" r="0" b="0"/>
            <wp:docPr id="7"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3181350" cy="1695450"/>
                    </a:xfrm>
                    <a:prstGeom prst="rect">
                      <a:avLst/>
                    </a:prstGeom>
                    <a:noFill/>
                    <a:ln>
                      <a:noFill/>
                    </a:ln>
                  </pic:spPr>
                </pic:pic>
              </a:graphicData>
            </a:graphic>
          </wp:inline>
        </w:drawing>
      </w:r>
    </w:p>
    <w:p w14:paraId="79C7F28E" w14:textId="77777777" w:rsidR="00000000" w:rsidRDefault="00000000">
      <w:pPr>
        <w:bidi/>
        <w:spacing w:line="360" w:lineRule="auto"/>
        <w:jc w:val="both"/>
        <w:rPr>
          <w:rtl/>
        </w:rPr>
      </w:pPr>
      <w:r>
        <w:rPr>
          <w:rFonts w:ascii="David" w:hAnsi="David" w:cs="David"/>
          <w:sz w:val="28"/>
          <w:szCs w:val="28"/>
        </w:rPr>
        <w:t> </w:t>
      </w:r>
    </w:p>
    <w:p w14:paraId="06B12820" w14:textId="77777777" w:rsidR="00000000" w:rsidRDefault="00000000">
      <w:pPr>
        <w:pStyle w:val="a9"/>
        <w:spacing w:line="360" w:lineRule="auto"/>
        <w:ind w:left="567"/>
        <w:jc w:val="both"/>
        <w:rPr>
          <w:rtl/>
        </w:rPr>
      </w:pPr>
      <w:r>
        <w:rPr>
          <w:rFonts w:ascii="David" w:hAnsi="David" w:cs="David"/>
          <w:sz w:val="28"/>
          <w:szCs w:val="28"/>
          <w:rtl/>
        </w:rPr>
        <w:t>אולם לטענת המשיבה, אין בתוספת 3 שינוי, ביטול או הגבלה של זכות המשיבה לבטל את ההסכם כולו או חלקו במקרה של הפרה מצד המבקש.</w:t>
      </w:r>
    </w:p>
    <w:p w14:paraId="555D14E3" w14:textId="77777777" w:rsidR="00000000" w:rsidRDefault="00000000">
      <w:pPr>
        <w:pStyle w:val="a9"/>
        <w:spacing w:line="360" w:lineRule="auto"/>
        <w:rPr>
          <w:rtl/>
        </w:rPr>
      </w:pPr>
      <w:r>
        <w:rPr>
          <w:rFonts w:ascii="David" w:hAnsi="David" w:cs="David"/>
          <w:sz w:val="28"/>
          <w:szCs w:val="28"/>
        </w:rPr>
        <w:t> </w:t>
      </w:r>
    </w:p>
    <w:p w14:paraId="6EF72A52" w14:textId="77777777" w:rsidR="00000000" w:rsidRDefault="00000000">
      <w:pPr>
        <w:pStyle w:val="a9"/>
        <w:spacing w:line="360" w:lineRule="auto"/>
        <w:ind w:left="567" w:hanging="567"/>
        <w:jc w:val="both"/>
        <w:rPr>
          <w:rtl/>
        </w:rPr>
      </w:pPr>
      <w:r>
        <w:rPr>
          <w:rFonts w:ascii="David" w:hAnsi="David" w:cs="David"/>
          <w:color w:val="000000"/>
          <w:rtl/>
        </w:rPr>
        <w:t>38.</w:t>
      </w:r>
      <w:r>
        <w:rPr>
          <w:color w:val="000000"/>
          <w:sz w:val="14"/>
          <w:szCs w:val="14"/>
          <w:rtl/>
        </w:rPr>
        <w:t xml:space="preserve">  </w:t>
      </w:r>
      <w:r>
        <w:rPr>
          <w:rFonts w:ascii="David" w:hAnsi="David" w:cs="David"/>
          <w:sz w:val="28"/>
          <w:szCs w:val="28"/>
          <w:rtl/>
        </w:rPr>
        <w:t xml:space="preserve">נטען כי למשיבה זכות לביטול חלקי של ההסכם גם מכוח סעיפים 7(ג) לחוק החוזים (תרופות בשל הפרת חוזה) ו-19 לחוק החוזים (חלק כללי). נטען כי ההסכם ניתן להפרדה לחלקים ללא קושי. נטען כי שלילת זכות המוקנית לנפגע מהפרה מכוח הדין לרבות התנאה על זכות ביטול חלקי צריכה להיעשות בדרך של התנאה מפורשת שאינה משתמעת לשני פנים, דבר אשר לא נעשה בהסכם. </w:t>
      </w:r>
    </w:p>
    <w:p w14:paraId="1B1F6E2C" w14:textId="77777777" w:rsidR="00000000" w:rsidRDefault="00000000">
      <w:pPr>
        <w:pStyle w:val="a9"/>
        <w:spacing w:line="360" w:lineRule="auto"/>
        <w:ind w:left="567"/>
        <w:jc w:val="both"/>
        <w:rPr>
          <w:rtl/>
        </w:rPr>
      </w:pPr>
      <w:r>
        <w:rPr>
          <w:rFonts w:ascii="David" w:hAnsi="David" w:cs="David"/>
          <w:sz w:val="28"/>
          <w:szCs w:val="28"/>
        </w:rPr>
        <w:t> </w:t>
      </w:r>
    </w:p>
    <w:p w14:paraId="1FD2547F" w14:textId="77777777" w:rsidR="00000000" w:rsidRDefault="00000000">
      <w:pPr>
        <w:pStyle w:val="a9"/>
        <w:spacing w:line="360" w:lineRule="auto"/>
        <w:ind w:left="567" w:hanging="567"/>
        <w:jc w:val="both"/>
        <w:rPr>
          <w:rtl/>
        </w:rPr>
      </w:pPr>
      <w:r>
        <w:rPr>
          <w:rFonts w:ascii="David" w:hAnsi="David" w:cs="David"/>
          <w:color w:val="000000"/>
          <w:rtl/>
        </w:rPr>
        <w:t>39.</w:t>
      </w:r>
      <w:r>
        <w:rPr>
          <w:color w:val="000000"/>
          <w:sz w:val="14"/>
          <w:szCs w:val="14"/>
          <w:rtl/>
        </w:rPr>
        <w:t xml:space="preserve">  </w:t>
      </w:r>
      <w:r>
        <w:rPr>
          <w:rFonts w:ascii="David" w:hAnsi="David" w:cs="David"/>
          <w:sz w:val="28"/>
          <w:szCs w:val="28"/>
          <w:rtl/>
        </w:rPr>
        <w:t xml:space="preserve">טענות נוספות של המבקשת הינן באשר לעילות ההפרה והביטול הקבועות בהסכם. </w:t>
      </w:r>
      <w:r>
        <w:rPr>
          <w:rFonts w:ascii="David" w:hAnsi="David" w:cs="David"/>
          <w:b/>
          <w:bCs/>
          <w:sz w:val="28"/>
          <w:szCs w:val="28"/>
          <w:rtl/>
        </w:rPr>
        <w:t>לטענת המבקשת</w:t>
      </w:r>
      <w:r>
        <w:rPr>
          <w:rFonts w:ascii="David" w:hAnsi="David" w:cs="David"/>
          <w:sz w:val="28"/>
          <w:szCs w:val="28"/>
          <w:rtl/>
        </w:rPr>
        <w:t xml:space="preserve"> המשיבה אינה רשאית לבטל את ההסכם מאחר שלא התקיימו עילות ההפרה הקבועות בסעיף 43.1 להסכם. המבקשת ביצעה את כל מחויבויותיה ביחס לעבודות שנגרעו ונערכה לביצוען בדרך של עבודות הכנה, תכנון הנדסי, עריכת סקר מקיף לבדיקת תשתיות המסילה, רכש חומרים וגיוס עובדים מחו"ל שעברו להתגורר בישראל. העיכוב בהתחלת העבודות הינו בשל מחדלי המשיבה. המשיבה לא הפריכה את טענת המבקשת לפיה היא השלימה את כל התחייבויותיה הניתנות להשלמה. ביחס להפרות הנטענות לגבי אי העמדת ערבויות ביצוע, אי העמדת אנשי מפתח, אי עמידה בלוחות זמנים ועוד, המבקשת הוכיחה בראיות ובעדותו של מר חואן </w:t>
      </w:r>
      <w:proofErr w:type="spellStart"/>
      <w:r>
        <w:rPr>
          <w:rFonts w:ascii="David" w:hAnsi="David" w:cs="David"/>
          <w:sz w:val="28"/>
          <w:szCs w:val="28"/>
          <w:rtl/>
        </w:rPr>
        <w:t>פיגוארו</w:t>
      </w:r>
      <w:proofErr w:type="spellEnd"/>
      <w:r>
        <w:rPr>
          <w:rFonts w:ascii="David" w:hAnsi="David" w:cs="David"/>
          <w:sz w:val="28"/>
          <w:szCs w:val="28"/>
          <w:rtl/>
        </w:rPr>
        <w:t xml:space="preserve">, כי אין המדובר בהפרות . </w:t>
      </w:r>
    </w:p>
    <w:p w14:paraId="63003CB0" w14:textId="77777777" w:rsidR="00000000" w:rsidRDefault="00000000">
      <w:pPr>
        <w:pStyle w:val="a9"/>
        <w:spacing w:line="360" w:lineRule="auto"/>
        <w:rPr>
          <w:rtl/>
        </w:rPr>
      </w:pPr>
      <w:r>
        <w:rPr>
          <w:rFonts w:ascii="David" w:hAnsi="David" w:cs="David"/>
          <w:sz w:val="28"/>
          <w:szCs w:val="28"/>
        </w:rPr>
        <w:t> </w:t>
      </w:r>
    </w:p>
    <w:p w14:paraId="1B2520C1" w14:textId="77777777" w:rsidR="00000000" w:rsidRDefault="00000000">
      <w:pPr>
        <w:pStyle w:val="a9"/>
        <w:spacing w:line="360" w:lineRule="auto"/>
        <w:ind w:left="567" w:hanging="567"/>
        <w:jc w:val="both"/>
        <w:rPr>
          <w:rtl/>
        </w:rPr>
      </w:pPr>
      <w:r>
        <w:rPr>
          <w:rFonts w:ascii="David" w:hAnsi="David" w:cs="David"/>
          <w:color w:val="000000"/>
          <w:rtl/>
        </w:rPr>
        <w:t>40.</w:t>
      </w:r>
      <w:r>
        <w:rPr>
          <w:color w:val="000000"/>
          <w:sz w:val="14"/>
          <w:szCs w:val="14"/>
          <w:rtl/>
        </w:rPr>
        <w:t xml:space="preserve">  </w:t>
      </w:r>
      <w:r>
        <w:rPr>
          <w:rFonts w:ascii="David" w:hAnsi="David" w:cs="David"/>
          <w:sz w:val="28"/>
          <w:szCs w:val="28"/>
          <w:rtl/>
        </w:rPr>
        <w:t xml:space="preserve">כמו כן </w:t>
      </w:r>
      <w:r>
        <w:rPr>
          <w:rFonts w:ascii="David" w:hAnsi="David" w:cs="David"/>
          <w:b/>
          <w:bCs/>
          <w:sz w:val="28"/>
          <w:szCs w:val="28"/>
          <w:rtl/>
        </w:rPr>
        <w:t>לטענת המבקשת</w:t>
      </w:r>
      <w:r>
        <w:rPr>
          <w:rFonts w:ascii="David" w:hAnsi="David" w:cs="David"/>
          <w:sz w:val="28"/>
          <w:szCs w:val="28"/>
          <w:rtl/>
        </w:rPr>
        <w:t xml:space="preserve"> לא התקיימו התנאים הקבועים בסעיף 43.1.8 לביטול ההסכם ואשר בהתאם להודעת הביטול מכוחו נגרעו העבודות: במועד הודעת הביטול לא חל עיכוב של 8 חודשים במועדי סיום העבודות, לא ניתנה למבקשת שהות של 30 יום לתיקון ההפרות והודעת הביטול נכנסה לתוקף לאלתר במועד חתימתה ולא בתוך 14 יום. במקביל חתמה המשיבה על כתבי מטלה וצו התחלת עבודה לקבלנים חלופיים. </w:t>
      </w:r>
    </w:p>
    <w:p w14:paraId="7A664667" w14:textId="77777777" w:rsidR="00000000" w:rsidRDefault="00000000">
      <w:pPr>
        <w:pStyle w:val="a9"/>
        <w:spacing w:line="360" w:lineRule="auto"/>
        <w:rPr>
          <w:rtl/>
        </w:rPr>
      </w:pPr>
      <w:r>
        <w:rPr>
          <w:rFonts w:ascii="David" w:hAnsi="David" w:cs="David"/>
          <w:sz w:val="28"/>
          <w:szCs w:val="28"/>
        </w:rPr>
        <w:t> </w:t>
      </w:r>
    </w:p>
    <w:p w14:paraId="40A7E9C2" w14:textId="77777777" w:rsidR="00000000" w:rsidRDefault="00000000">
      <w:pPr>
        <w:pStyle w:val="a9"/>
        <w:spacing w:line="360" w:lineRule="auto"/>
        <w:ind w:left="567" w:hanging="567"/>
        <w:jc w:val="both"/>
        <w:rPr>
          <w:rtl/>
        </w:rPr>
      </w:pPr>
      <w:r>
        <w:rPr>
          <w:rFonts w:ascii="David" w:hAnsi="David" w:cs="David"/>
          <w:color w:val="000000"/>
          <w:rtl/>
        </w:rPr>
        <w:t>41.</w:t>
      </w:r>
      <w:r>
        <w:rPr>
          <w:color w:val="000000"/>
          <w:sz w:val="14"/>
          <w:szCs w:val="14"/>
          <w:rtl/>
        </w:rPr>
        <w:t xml:space="preserve">  </w:t>
      </w:r>
      <w:r>
        <w:rPr>
          <w:rFonts w:ascii="David" w:hAnsi="David" w:cs="David"/>
          <w:b/>
          <w:bCs/>
          <w:sz w:val="28"/>
          <w:szCs w:val="28"/>
          <w:rtl/>
        </w:rPr>
        <w:t>לטענת המשיבה</w:t>
      </w:r>
      <w:r>
        <w:rPr>
          <w:rFonts w:ascii="David" w:hAnsi="David" w:cs="David"/>
          <w:sz w:val="28"/>
          <w:szCs w:val="28"/>
          <w:rtl/>
        </w:rPr>
        <w:t xml:space="preserve"> היא רשאית לבטל את ההסכם בהתאם לסעיף 43.1 להסכם ולתוספת 3, נוכח הפרות ועיכובים מצד המבקשת. המשיבה הוכיחה כי המבקשת הפרה את התחייבויותיה לפי ההסכם ותוספות 9 ו-11 הפרה שיטתית ממושכת וקבועה. המבקשת לא העמידה צוותי עבודה וציוד נוספים במספר מינימלי לו התחייבה, התעכבה בביצוע העבודות, לא עמדה במועדי סיום העבודות שנקבעו ולא העמידה ערבויות להן התחייבה. כמו כן באופן כללי ולאו דווקא במקטעים שנגרעו, המבקשת אינה פועלת בהתאם להסכם ובפרט אינה מבצעת עבודות תחזוקה, מתקינה רכיבים לקויים, אינה מבצעת בקרת איכות, עובדת ללא קבלת היתרים בפועל, אינה משלימה כנדרש בדיקות נאותות הנדרשות וזאת גם בהתאם לתוספת 11. נטען כי ישנו ערב רב של הפרות מצד המבקשת המצטרפות למסכת אחת של התנהלות בעייתית וממושכת. המשיבה צירפה מכתבי תלונה ששלחה למבקשת וסיכומי דיון גם ממועדים מאוחרים למועד חתימת תוספת 11 ביום 9.2.25, בהם היא מלינה ומפרטת לגבי הפרות אלו מצד המבקשת.</w:t>
      </w:r>
    </w:p>
    <w:p w14:paraId="04BF9990" w14:textId="77777777" w:rsidR="00000000" w:rsidRDefault="00000000">
      <w:pPr>
        <w:pStyle w:val="a9"/>
        <w:spacing w:line="360" w:lineRule="auto"/>
        <w:rPr>
          <w:rtl/>
        </w:rPr>
      </w:pPr>
      <w:r>
        <w:rPr>
          <w:rFonts w:ascii="David" w:hAnsi="David" w:cs="David"/>
          <w:sz w:val="28"/>
          <w:szCs w:val="28"/>
        </w:rPr>
        <w:t> </w:t>
      </w:r>
    </w:p>
    <w:p w14:paraId="4572D3DF" w14:textId="77777777" w:rsidR="00000000" w:rsidRDefault="00000000">
      <w:pPr>
        <w:pStyle w:val="a9"/>
        <w:spacing w:line="360" w:lineRule="auto"/>
        <w:ind w:left="567" w:hanging="567"/>
        <w:jc w:val="both"/>
        <w:rPr>
          <w:rtl/>
        </w:rPr>
      </w:pPr>
      <w:r>
        <w:rPr>
          <w:rFonts w:ascii="David" w:hAnsi="David" w:cs="David"/>
          <w:color w:val="000000"/>
          <w:rtl/>
        </w:rPr>
        <w:t>42.</w:t>
      </w:r>
      <w:r>
        <w:rPr>
          <w:color w:val="000000"/>
          <w:sz w:val="14"/>
          <w:szCs w:val="14"/>
          <w:rtl/>
        </w:rPr>
        <w:t xml:space="preserve">  </w:t>
      </w:r>
      <w:r>
        <w:rPr>
          <w:rFonts w:ascii="David" w:hAnsi="David" w:cs="David"/>
          <w:b/>
          <w:bCs/>
          <w:sz w:val="28"/>
          <w:szCs w:val="28"/>
          <w:rtl/>
        </w:rPr>
        <w:t>לטענת המשיבה</w:t>
      </w:r>
      <w:r>
        <w:rPr>
          <w:rFonts w:ascii="David" w:hAnsi="David" w:cs="David"/>
          <w:sz w:val="28"/>
          <w:szCs w:val="28"/>
          <w:rtl/>
        </w:rPr>
        <w:t xml:space="preserve"> יש לדחות את טענות המבקשת לגבי הפחתת ושחרור ערבויות. המבקשת לא עמדה בתנאים הנדרשים לשם כך וככל שהיו לה טענות, היה עליה לפעול בהליך משפטי לבירור סוגית הערבויות. נטען כי יש לדחות את טענות המבקשת לגבי היעדר עיכוב של מעל ל-8 חודשים במועדי הסיום כנדרש בהסכם. במקטעים רבים בהם התחילו העבודות (ולא נגרעו) ישנו עיכוב משמעותי ואילו במקטעים שנגרעו טרם החלו העבודות ועל אף שטרם הגיעו מועדי הסיום, העיכובים צפויים ממושכים והמבקשת אף הודיעה על כך למשיבה. </w:t>
      </w:r>
    </w:p>
    <w:p w14:paraId="6136F271" w14:textId="77777777" w:rsidR="00000000" w:rsidRDefault="00000000">
      <w:pPr>
        <w:pStyle w:val="a9"/>
        <w:spacing w:line="360" w:lineRule="auto"/>
        <w:rPr>
          <w:rtl/>
        </w:rPr>
      </w:pPr>
      <w:r>
        <w:rPr>
          <w:rFonts w:ascii="David" w:hAnsi="David" w:cs="David"/>
          <w:sz w:val="28"/>
          <w:szCs w:val="28"/>
        </w:rPr>
        <w:t> </w:t>
      </w:r>
    </w:p>
    <w:p w14:paraId="13FFD07D" w14:textId="77777777" w:rsidR="00000000" w:rsidRDefault="00000000">
      <w:pPr>
        <w:pStyle w:val="a9"/>
        <w:spacing w:line="360" w:lineRule="auto"/>
        <w:ind w:left="567" w:hanging="567"/>
        <w:jc w:val="both"/>
        <w:rPr>
          <w:rtl/>
        </w:rPr>
      </w:pPr>
      <w:r>
        <w:rPr>
          <w:rFonts w:ascii="David" w:hAnsi="David" w:cs="David"/>
          <w:color w:val="000000"/>
          <w:rtl/>
        </w:rPr>
        <w:t>43.</w:t>
      </w:r>
      <w:r>
        <w:rPr>
          <w:color w:val="000000"/>
          <w:sz w:val="14"/>
          <w:szCs w:val="14"/>
          <w:rtl/>
        </w:rPr>
        <w:t xml:space="preserve">  </w:t>
      </w:r>
      <w:r>
        <w:rPr>
          <w:rFonts w:ascii="David" w:hAnsi="David" w:cs="David"/>
          <w:b/>
          <w:bCs/>
          <w:sz w:val="28"/>
          <w:szCs w:val="28"/>
          <w:rtl/>
        </w:rPr>
        <w:t>לטענת המשיבה</w:t>
      </w:r>
      <w:r>
        <w:rPr>
          <w:rFonts w:ascii="David" w:hAnsi="David" w:cs="David"/>
          <w:sz w:val="28"/>
          <w:szCs w:val="28"/>
          <w:rtl/>
        </w:rPr>
        <w:t xml:space="preserve"> סעיף 43.1 להסכם מאפשר לה לבטל את ההסכם במקרה שמתברר כי המבקשת הציגה מצג שווא או מסרה הצהרה כוזבת במסגרת ההסכם או כל מסמך, אישור או לוח זמנים שהוגש לרכבת במהלך ביצוע ההסכם, או במקרה בו המבקשת הפרה את ההסכם ולא תיקנה את ההפרה בתוך 30 או 60 יום ממועד התראת המשיבה. לטענת המשיבה התקשרותה עם המבקשת בתוספת 11 נעשתה על יסוד מצגי והבטחות שווא של המבקשת, תוך הטעיה חמורה של המשיבה והיא זכאית לבטל חלק מהעבודות ולהורות למשיבה לסיים את העבודות שהחלה לבצע. לטענת המשיבה צמצום העבודות לא נעשה מטעמי נוחות, אלא בשל הפרות המבקשת וכל טענות המבקשת בעניין עילת ביטול זו זה אינן רלבנטיות. </w:t>
      </w:r>
    </w:p>
    <w:p w14:paraId="57EE136A" w14:textId="77777777" w:rsidR="00000000" w:rsidRDefault="00000000">
      <w:pPr>
        <w:pStyle w:val="a9"/>
        <w:rPr>
          <w:rtl/>
        </w:rPr>
      </w:pPr>
      <w:r>
        <w:rPr>
          <w:rFonts w:ascii="David" w:hAnsi="David" w:cs="David"/>
          <w:sz w:val="28"/>
          <w:szCs w:val="28"/>
        </w:rPr>
        <w:t> </w:t>
      </w:r>
    </w:p>
    <w:p w14:paraId="636BB8B3" w14:textId="77777777" w:rsidR="00000000" w:rsidRDefault="00000000">
      <w:pPr>
        <w:pStyle w:val="a9"/>
        <w:spacing w:line="360" w:lineRule="auto"/>
        <w:ind w:left="567" w:hanging="567"/>
        <w:jc w:val="both"/>
        <w:rPr>
          <w:rtl/>
        </w:rPr>
      </w:pPr>
      <w:r>
        <w:rPr>
          <w:rFonts w:ascii="David" w:hAnsi="David" w:cs="David"/>
          <w:color w:val="000000"/>
          <w:rtl/>
        </w:rPr>
        <w:t>44.</w:t>
      </w:r>
      <w:r>
        <w:rPr>
          <w:color w:val="000000"/>
          <w:sz w:val="14"/>
          <w:szCs w:val="14"/>
          <w:rtl/>
        </w:rPr>
        <w:t xml:space="preserve">  </w:t>
      </w:r>
      <w:r>
        <w:rPr>
          <w:rFonts w:ascii="David" w:hAnsi="David" w:cs="David"/>
          <w:sz w:val="28"/>
          <w:szCs w:val="28"/>
          <w:rtl/>
        </w:rPr>
        <w:t xml:space="preserve">בכל הנוגע לטענת המשיבה לגבי קושי לשיתוף פעולה ולפגיעה באמון כשיקול לאי מתן הסעד הזמני - טענה זו בעת הזו נדחית ומבלי לקבוע מסמרות. המשיבה אינה יכולה לאחוז במקל בשתי קצותיו: גם לטעון כי אין מקום לכפות עליה המשך עבודה מול המבקשת, וגם לעמוד על זכותה לביטול חלקי בלבד של ההסכם. </w:t>
      </w:r>
    </w:p>
    <w:p w14:paraId="36999A26" w14:textId="77777777" w:rsidR="00000000" w:rsidRDefault="00000000">
      <w:pPr>
        <w:pStyle w:val="a9"/>
        <w:spacing w:line="360" w:lineRule="auto"/>
        <w:rPr>
          <w:rtl/>
        </w:rPr>
      </w:pPr>
      <w:r>
        <w:rPr>
          <w:rFonts w:ascii="David" w:hAnsi="David" w:cs="David"/>
          <w:b/>
          <w:bCs/>
          <w:sz w:val="28"/>
          <w:szCs w:val="28"/>
        </w:rPr>
        <w:t> </w:t>
      </w:r>
    </w:p>
    <w:p w14:paraId="3DBB6598" w14:textId="77777777" w:rsidR="00000000" w:rsidRDefault="00000000">
      <w:pPr>
        <w:pStyle w:val="a9"/>
        <w:spacing w:line="360" w:lineRule="auto"/>
        <w:ind w:left="567" w:hanging="567"/>
        <w:jc w:val="both"/>
        <w:rPr>
          <w:rtl/>
        </w:rPr>
      </w:pPr>
      <w:r>
        <w:rPr>
          <w:rFonts w:ascii="David" w:hAnsi="David" w:cs="David"/>
          <w:color w:val="000000"/>
          <w:rtl/>
        </w:rPr>
        <w:t>45.</w:t>
      </w:r>
      <w:r>
        <w:rPr>
          <w:color w:val="000000"/>
          <w:sz w:val="14"/>
          <w:szCs w:val="14"/>
          <w:rtl/>
        </w:rPr>
        <w:t xml:space="preserve">  </w:t>
      </w:r>
      <w:r>
        <w:rPr>
          <w:rFonts w:ascii="David" w:hAnsi="David" w:cs="David"/>
          <w:b/>
          <w:bCs/>
          <w:sz w:val="28"/>
          <w:szCs w:val="28"/>
          <w:rtl/>
        </w:rPr>
        <w:t xml:space="preserve">לאחר בחינת טענות הצדדים בכתב ובעל פה וראיותיהם ומבלי לקבוע מסמרות שוכנעתי כי המבקשת הוכיחה קיומה של עילת תביעה למצער ברף הנדרש בשלב דיוני זה. </w:t>
      </w:r>
    </w:p>
    <w:p w14:paraId="59353E20" w14:textId="77777777" w:rsidR="00000000" w:rsidRDefault="00000000">
      <w:pPr>
        <w:pStyle w:val="a9"/>
        <w:spacing w:line="360" w:lineRule="auto"/>
        <w:rPr>
          <w:rtl/>
        </w:rPr>
      </w:pPr>
      <w:r>
        <w:rPr>
          <w:rFonts w:ascii="David" w:hAnsi="David" w:cs="David"/>
          <w:sz w:val="28"/>
          <w:szCs w:val="28"/>
        </w:rPr>
        <w:t> </w:t>
      </w:r>
    </w:p>
    <w:p w14:paraId="6A9D3D85" w14:textId="77777777" w:rsidR="00000000" w:rsidRDefault="00000000">
      <w:pPr>
        <w:pStyle w:val="a9"/>
        <w:spacing w:line="360" w:lineRule="auto"/>
        <w:ind w:left="567" w:hanging="567"/>
        <w:jc w:val="both"/>
        <w:rPr>
          <w:rtl/>
        </w:rPr>
      </w:pPr>
      <w:r>
        <w:rPr>
          <w:rFonts w:ascii="David" w:hAnsi="David" w:cs="David"/>
          <w:color w:val="000000"/>
          <w:rtl/>
        </w:rPr>
        <w:t>46.</w:t>
      </w:r>
      <w:r>
        <w:rPr>
          <w:color w:val="000000"/>
          <w:sz w:val="14"/>
          <w:szCs w:val="14"/>
          <w:rtl/>
        </w:rPr>
        <w:t xml:space="preserve">  </w:t>
      </w:r>
      <w:r>
        <w:rPr>
          <w:rFonts w:ascii="David" w:hAnsi="David" w:cs="David"/>
          <w:sz w:val="28"/>
          <w:szCs w:val="28"/>
          <w:rtl/>
        </w:rPr>
        <w:t xml:space="preserve">ראשית, באשר לטענת המבקשת לפיה המשיבה ויתרה על סעד האכיפה בסעיף 43.6.2 להסכם. טענה זו לא נכללה תגובת המשיבה והועלתה על ידה לראשונה בפתח הדיון שהתקיים בפניי תוך הסבר כי ההשמטה נעשתה בשל לחץ זמן. ההסכם צורף כנספח 6 לבקשה לסעד זמני. המצהיר מטעם המבקשת גם נחקר בעניין זה (פרוטוקול מיום 16.4.26, עמ' 5 שורות 27-34). לפיכך, אין מדובר בהרחבת חזית. </w:t>
      </w:r>
      <w:r>
        <w:rPr>
          <w:rFonts w:ascii="David" w:hAnsi="David" w:cs="David"/>
          <w:b/>
          <w:bCs/>
          <w:sz w:val="28"/>
          <w:szCs w:val="28"/>
          <w:rtl/>
        </w:rPr>
        <w:t>אשר על כן טענת המבקשת בעניין זה נדחית</w:t>
      </w:r>
      <w:r>
        <w:rPr>
          <w:rFonts w:ascii="David" w:hAnsi="David" w:cs="David"/>
          <w:sz w:val="28"/>
          <w:szCs w:val="28"/>
          <w:rtl/>
        </w:rPr>
        <w:t xml:space="preserve">. </w:t>
      </w:r>
    </w:p>
    <w:p w14:paraId="2D4E06BC" w14:textId="77777777" w:rsidR="00000000" w:rsidRDefault="00000000">
      <w:pPr>
        <w:pStyle w:val="a9"/>
        <w:spacing w:line="360" w:lineRule="auto"/>
        <w:rPr>
          <w:rtl/>
        </w:rPr>
      </w:pPr>
      <w:r>
        <w:rPr>
          <w:rFonts w:ascii="David" w:hAnsi="David" w:cs="David"/>
          <w:sz w:val="28"/>
          <w:szCs w:val="28"/>
        </w:rPr>
        <w:t> </w:t>
      </w:r>
    </w:p>
    <w:p w14:paraId="256537F6" w14:textId="77777777" w:rsidR="00000000" w:rsidRDefault="00000000">
      <w:pPr>
        <w:pStyle w:val="a9"/>
        <w:spacing w:line="360" w:lineRule="auto"/>
        <w:ind w:left="567" w:hanging="567"/>
        <w:jc w:val="both"/>
        <w:rPr>
          <w:rtl/>
        </w:rPr>
      </w:pPr>
      <w:r>
        <w:rPr>
          <w:rFonts w:ascii="David" w:hAnsi="David" w:cs="David"/>
          <w:color w:val="000000"/>
          <w:rtl/>
        </w:rPr>
        <w:t>47.</w:t>
      </w:r>
      <w:r>
        <w:rPr>
          <w:color w:val="000000"/>
          <w:sz w:val="14"/>
          <w:szCs w:val="14"/>
          <w:rtl/>
        </w:rPr>
        <w:t xml:space="preserve">  </w:t>
      </w:r>
      <w:r>
        <w:rPr>
          <w:rFonts w:ascii="David" w:hAnsi="David" w:cs="David"/>
          <w:sz w:val="28"/>
          <w:szCs w:val="28"/>
          <w:rtl/>
        </w:rPr>
        <w:t xml:space="preserve">על פניו ומבלי לקבוע מסמרות לשון הסעיף שוללת סעד של אכיפת ההסכם. המשיבה בסיכומיה טענה כי הסעיף חל רק במקרה של ביטול ההסכם במלואו ולא במקרה של ביטול חלקי כפי שעשתה המשיבה. זכותה של המשיבה לביטול חלקי של ההסכם כמו גם טענות להפרה מצד המבקשת הינן בליבת המחלוקת בין הצדדים. </w:t>
      </w:r>
    </w:p>
    <w:p w14:paraId="37208DCB" w14:textId="77777777" w:rsidR="00000000" w:rsidRDefault="00000000">
      <w:pPr>
        <w:pStyle w:val="a9"/>
        <w:spacing w:line="360" w:lineRule="auto"/>
        <w:rPr>
          <w:rtl/>
        </w:rPr>
      </w:pPr>
      <w:r>
        <w:rPr>
          <w:rFonts w:ascii="David" w:hAnsi="David" w:cs="David"/>
          <w:sz w:val="28"/>
          <w:szCs w:val="28"/>
        </w:rPr>
        <w:t> </w:t>
      </w:r>
    </w:p>
    <w:p w14:paraId="76EC6BC6" w14:textId="77777777" w:rsidR="00000000" w:rsidRDefault="00000000">
      <w:pPr>
        <w:pStyle w:val="a9"/>
        <w:spacing w:line="360" w:lineRule="auto"/>
        <w:ind w:left="567" w:hanging="567"/>
        <w:jc w:val="both"/>
        <w:rPr>
          <w:rtl/>
        </w:rPr>
      </w:pPr>
      <w:r>
        <w:rPr>
          <w:rFonts w:ascii="David" w:hAnsi="David" w:cs="David"/>
          <w:color w:val="000000"/>
          <w:rtl/>
        </w:rPr>
        <w:t>48.</w:t>
      </w:r>
      <w:r>
        <w:rPr>
          <w:color w:val="000000"/>
          <w:sz w:val="14"/>
          <w:szCs w:val="14"/>
          <w:rtl/>
        </w:rPr>
        <w:t xml:space="preserve">  </w:t>
      </w:r>
      <w:r>
        <w:rPr>
          <w:rFonts w:ascii="David" w:hAnsi="David" w:cs="David"/>
          <w:sz w:val="28"/>
          <w:szCs w:val="28"/>
          <w:rtl/>
        </w:rPr>
        <w:t xml:space="preserve">ההסכם בין הצדדים כולל ארבעה כרכים ו-11 תוספות וביצועו נמשך כעשור. מדובר במערכת הסכמית סבוכה. חלק מהתוספות מבטלות סעיפים בהסכם העיקרי. מלבד ההסכמים בין הצדדים הוחלפו תכתובות, נערכו פגישות וסיכומי פגישות, חלקם צורפו לבקשה לסעד זמני. </w:t>
      </w:r>
    </w:p>
    <w:p w14:paraId="66EF929F" w14:textId="77777777" w:rsidR="00000000" w:rsidRDefault="00000000">
      <w:pPr>
        <w:pStyle w:val="a9"/>
        <w:spacing w:line="360" w:lineRule="auto"/>
        <w:rPr>
          <w:rtl/>
        </w:rPr>
      </w:pPr>
      <w:r>
        <w:rPr>
          <w:rFonts w:ascii="David" w:hAnsi="David" w:cs="David"/>
          <w:sz w:val="28"/>
          <w:szCs w:val="28"/>
        </w:rPr>
        <w:t> </w:t>
      </w:r>
    </w:p>
    <w:p w14:paraId="0FD8DC2B" w14:textId="77777777" w:rsidR="00000000" w:rsidRDefault="00000000">
      <w:pPr>
        <w:pStyle w:val="a9"/>
        <w:spacing w:line="360" w:lineRule="auto"/>
        <w:ind w:left="567" w:hanging="567"/>
        <w:jc w:val="both"/>
        <w:rPr>
          <w:rtl/>
        </w:rPr>
      </w:pPr>
      <w:r>
        <w:rPr>
          <w:rFonts w:ascii="David" w:hAnsi="David" w:cs="David"/>
          <w:color w:val="000000"/>
          <w:rtl/>
        </w:rPr>
        <w:t>49.</w:t>
      </w:r>
      <w:r>
        <w:rPr>
          <w:color w:val="000000"/>
          <w:sz w:val="14"/>
          <w:szCs w:val="14"/>
          <w:rtl/>
        </w:rPr>
        <w:t xml:space="preserve">  </w:t>
      </w:r>
      <w:r>
        <w:rPr>
          <w:rFonts w:ascii="David" w:hAnsi="David" w:cs="David"/>
          <w:sz w:val="28"/>
          <w:szCs w:val="28"/>
          <w:rtl/>
        </w:rPr>
        <w:t xml:space="preserve">מחקירות המצהירים עולה כי בין הצדדים מחלוקות עובדתיות ומשפטיות משמעותיות כמעט על כל דבר ועניין. החרבתי גם בפירוט טענות הצדדים על מנת להראות כי הטענות רבות, דורשות בירור עובדתי מעמיק ולא ניתן להכריע בהן בשלב הזה מבלי להיכנס לעומק כל טענה וטענה. </w:t>
      </w:r>
    </w:p>
    <w:p w14:paraId="0D832182" w14:textId="77777777" w:rsidR="00000000" w:rsidRDefault="00000000">
      <w:pPr>
        <w:pStyle w:val="a9"/>
        <w:spacing w:line="360" w:lineRule="auto"/>
        <w:rPr>
          <w:rtl/>
        </w:rPr>
      </w:pPr>
      <w:r>
        <w:rPr>
          <w:rFonts w:ascii="David" w:hAnsi="David" w:cs="David"/>
          <w:sz w:val="28"/>
          <w:szCs w:val="28"/>
        </w:rPr>
        <w:t> </w:t>
      </w:r>
    </w:p>
    <w:p w14:paraId="7AA9416E" w14:textId="77777777" w:rsidR="00000000" w:rsidRDefault="00000000">
      <w:pPr>
        <w:pStyle w:val="a9"/>
        <w:spacing w:line="360" w:lineRule="auto"/>
        <w:ind w:left="567"/>
        <w:jc w:val="both"/>
        <w:rPr>
          <w:rtl/>
        </w:rPr>
      </w:pPr>
      <w:r>
        <w:rPr>
          <w:rFonts w:ascii="David" w:hAnsi="David" w:cs="David"/>
          <w:sz w:val="28"/>
          <w:szCs w:val="28"/>
          <w:rtl/>
        </w:rPr>
        <w:t xml:space="preserve">טענות הצדדים ראויות לבחינה עובדתית מעמיקה. לא שוכנעתי כי למשיבה טענה השוללת על הסף קיומה של עילת תביעה למבקשת. אדרבא בתמונה הכוללת ריבוי טענות הצדדים וריבוי המחלוקות מחזק את התרשמות כי אין המדובר בתביעת סרק. נדרשת בחינה מעמיקה של הסוגיות בהיקף העולה על זה המתאים לשלב דיוני זה. </w:t>
      </w:r>
    </w:p>
    <w:p w14:paraId="4A40048F" w14:textId="77777777" w:rsidR="00000000" w:rsidRDefault="00000000">
      <w:pPr>
        <w:pStyle w:val="a9"/>
        <w:spacing w:line="360" w:lineRule="auto"/>
        <w:ind w:left="567"/>
        <w:jc w:val="both"/>
        <w:rPr>
          <w:rtl/>
        </w:rPr>
      </w:pPr>
      <w:r>
        <w:rPr>
          <w:rFonts w:ascii="David" w:hAnsi="David" w:cs="David"/>
          <w:b/>
          <w:bCs/>
          <w:sz w:val="28"/>
          <w:szCs w:val="28"/>
        </w:rPr>
        <w:t> </w:t>
      </w:r>
    </w:p>
    <w:p w14:paraId="14FBB57F" w14:textId="77777777" w:rsidR="00000000" w:rsidRDefault="00000000">
      <w:pPr>
        <w:pStyle w:val="a9"/>
        <w:spacing w:line="360" w:lineRule="auto"/>
        <w:ind w:left="567" w:hanging="567"/>
        <w:jc w:val="both"/>
        <w:rPr>
          <w:rtl/>
        </w:rPr>
      </w:pPr>
      <w:r>
        <w:rPr>
          <w:rFonts w:ascii="David" w:hAnsi="David" w:cs="David"/>
          <w:color w:val="000000"/>
          <w:rtl/>
        </w:rPr>
        <w:t>50.</w:t>
      </w:r>
      <w:r>
        <w:rPr>
          <w:color w:val="000000"/>
          <w:sz w:val="14"/>
          <w:szCs w:val="14"/>
          <w:rtl/>
        </w:rPr>
        <w:t xml:space="preserve">  </w:t>
      </w:r>
      <w:r>
        <w:rPr>
          <w:rFonts w:ascii="David" w:hAnsi="David" w:cs="David"/>
          <w:sz w:val="28"/>
          <w:szCs w:val="28"/>
          <w:u w:val="single"/>
          <w:rtl/>
        </w:rPr>
        <w:t>מאזן נוחות ונזקים -</w:t>
      </w:r>
      <w:r>
        <w:rPr>
          <w:rFonts w:ascii="David" w:hAnsi="David" w:cs="David"/>
          <w:sz w:val="28"/>
          <w:szCs w:val="28"/>
          <w:rtl/>
        </w:rPr>
        <w:t xml:space="preserve"> כל אחד מהצדדים טוען כי מאזן הנוחות נוטה לטובתו. </w:t>
      </w:r>
      <w:r>
        <w:rPr>
          <w:rFonts w:ascii="David" w:hAnsi="David" w:cs="David"/>
          <w:b/>
          <w:bCs/>
          <w:sz w:val="28"/>
          <w:szCs w:val="28"/>
          <w:rtl/>
        </w:rPr>
        <w:t>לטענת המבקשת</w:t>
      </w:r>
      <w:r>
        <w:rPr>
          <w:rFonts w:ascii="David" w:hAnsi="David" w:cs="David"/>
          <w:sz w:val="28"/>
          <w:szCs w:val="28"/>
          <w:rtl/>
        </w:rPr>
        <w:t xml:space="preserve"> דחיית הבקשה תגרום לסיכול הסעד העיקרי. הקבלנים החלופיים יחלו לעבוד, ייקבעו עובדות בשטח, הדיון בתביעה עיקרית יהפוך תיאורטי ומהמבקשת </w:t>
      </w:r>
      <w:proofErr w:type="spellStart"/>
      <w:r>
        <w:rPr>
          <w:rFonts w:ascii="David" w:hAnsi="David" w:cs="David"/>
          <w:sz w:val="28"/>
          <w:szCs w:val="28"/>
          <w:rtl/>
        </w:rPr>
        <w:t>ישלל</w:t>
      </w:r>
      <w:proofErr w:type="spellEnd"/>
      <w:r>
        <w:rPr>
          <w:rFonts w:ascii="David" w:hAnsi="David" w:cs="David"/>
          <w:sz w:val="28"/>
          <w:szCs w:val="28"/>
          <w:rtl/>
        </w:rPr>
        <w:t xml:space="preserve"> סעד האכיפה. למבקשת ייגרמו נזקים כספיים משמעותיים נוכח המשאבים הרבים שהשקיעה עד עתה לשם ביצוע העבודות ועל אף שטרם החלה בביצוען. כמו כן יגרמו למבקשת נזקים שאינם ניתנים לפיצוי כספי כדלהלן: פגיעה במוניטין שלה כקבלן בינלאומי, פגיעה ביכולת להשתתף במכרזים עתידיים, פגיעה בחובתה של המבקשת לאחריות ולתחזוקה במקטעים שביצעו קבלנים אחרים, נזק כתוצאה משימוש שלא כדין במסמכי התכנון שערכה המבקשת אשר הועברו על ידי המשיבה לקבלנים החלופיים ללא הסכמה וללא תמורה וכן פגיעה במשקיע זר אשר עלול לגרום לאפקט "צינון" למשקיעים עתידיים. דחיית הבקשה תגרום גם לפגיעה בציבור בשל עלויות עודפות והתמשכות העבודות. לעומת זאת, המבקשת ערוכה להמשך ביצוע העבודות ולכן למשיבה לא ייגרם נזק אם יינתן הצו. </w:t>
      </w:r>
    </w:p>
    <w:p w14:paraId="176E90EC" w14:textId="77777777" w:rsidR="00000000" w:rsidRDefault="00000000">
      <w:pPr>
        <w:bidi/>
        <w:spacing w:line="360" w:lineRule="auto"/>
        <w:ind w:left="567"/>
        <w:jc w:val="both"/>
        <w:rPr>
          <w:rtl/>
        </w:rPr>
      </w:pPr>
      <w:r>
        <w:rPr>
          <w:rFonts w:ascii="David" w:hAnsi="David" w:cs="David"/>
          <w:sz w:val="28"/>
          <w:szCs w:val="28"/>
        </w:rPr>
        <w:t> </w:t>
      </w:r>
    </w:p>
    <w:p w14:paraId="07BA61AA" w14:textId="77777777" w:rsidR="00000000" w:rsidRDefault="00000000">
      <w:pPr>
        <w:bidi/>
        <w:spacing w:line="360" w:lineRule="auto"/>
        <w:ind w:left="567" w:hanging="567"/>
        <w:jc w:val="both"/>
        <w:rPr>
          <w:rtl/>
        </w:rPr>
      </w:pPr>
      <w:r>
        <w:rPr>
          <w:rFonts w:ascii="David" w:hAnsi="David" w:cs="David"/>
          <w:color w:val="000000"/>
          <w:rtl/>
        </w:rPr>
        <w:t>51.</w:t>
      </w:r>
      <w:r>
        <w:rPr>
          <w:color w:val="000000"/>
          <w:sz w:val="14"/>
          <w:szCs w:val="14"/>
          <w:rtl/>
        </w:rPr>
        <w:t xml:space="preserve">  </w:t>
      </w:r>
      <w:r>
        <w:rPr>
          <w:rFonts w:ascii="David" w:hAnsi="David" w:cs="David"/>
          <w:b/>
          <w:bCs/>
          <w:sz w:val="28"/>
          <w:szCs w:val="28"/>
          <w:rtl/>
        </w:rPr>
        <w:t>לטענת המשיבה</w:t>
      </w:r>
      <w:r>
        <w:rPr>
          <w:rFonts w:ascii="David" w:hAnsi="David" w:cs="David"/>
          <w:sz w:val="28"/>
          <w:szCs w:val="28"/>
          <w:rtl/>
        </w:rPr>
        <w:t xml:space="preserve"> מתן הסעד הזמני יגרום נזקים כספיים ושאינם כספיים לציבור ולמשיבה. מתן הסעד הזמני יכפה על המשיבה לא לבצע כלל את עבודות החשמול שנגרעו מהמבקשת או לחלופין להותיר את העבודות בידי המבקשת, אשר מהפרותיה את ההסכם עולה כי היא אינה מסוגלת לבצען כפי שהתחייבה. כמו כן הותרת העבודות בידי המבקשת עלולה לגרום לעיכוב משמעותי בהשלמת הפרויקט, לגרום למשיבה ולציבור כולו נזק של מאות מיליוני שקלים. כמו כן הדבר עלול לגרום גם נזק חמור שאינו כספי ובלתי ניתן לכימות, תיקון או ריפוי לפרויקט תשתית לאומית שהינו בעל חשיבות למשק הישראלי. בנוסף מתן הצו הזמני יגרום נזק משמעותי לקבלנים החלופיים, שהחלו להיערך לביצוע העבודות שנגרעו מהמבקשת. לעומת זאת אם לא יינתן הצו, הנזק הצפוי למבקשת הינו כספי בלבד ואין חשש כי המבקשת לא תוכל להיפרע מאת המשיבה, שהינה חברה ממשלתית. לגבי הנזקים שאינם כספיים להם טענה המבקשת, נטען כי הם לא הוכחו בראשית ראיה ולא כומתו. </w:t>
      </w:r>
    </w:p>
    <w:p w14:paraId="14416584" w14:textId="77777777" w:rsidR="00000000" w:rsidRDefault="00000000">
      <w:pPr>
        <w:pStyle w:val="a9"/>
        <w:spacing w:line="360" w:lineRule="auto"/>
        <w:rPr>
          <w:rtl/>
        </w:rPr>
      </w:pPr>
      <w:r>
        <w:rPr>
          <w:rFonts w:ascii="David" w:hAnsi="David" w:cs="David"/>
          <w:b/>
          <w:bCs/>
          <w:sz w:val="28"/>
          <w:szCs w:val="28"/>
        </w:rPr>
        <w:t> </w:t>
      </w:r>
    </w:p>
    <w:p w14:paraId="2BE0399E" w14:textId="77777777" w:rsidR="00000000" w:rsidRDefault="00000000">
      <w:pPr>
        <w:pStyle w:val="a9"/>
        <w:spacing w:line="360" w:lineRule="auto"/>
        <w:ind w:left="567" w:hanging="567"/>
        <w:jc w:val="both"/>
        <w:rPr>
          <w:rtl/>
        </w:rPr>
      </w:pPr>
      <w:r>
        <w:rPr>
          <w:rFonts w:ascii="David" w:hAnsi="David" w:cs="David"/>
          <w:color w:val="000000"/>
          <w:rtl/>
        </w:rPr>
        <w:t>52.</w:t>
      </w:r>
      <w:r>
        <w:rPr>
          <w:color w:val="000000"/>
          <w:sz w:val="14"/>
          <w:szCs w:val="14"/>
          <w:rtl/>
        </w:rPr>
        <w:t xml:space="preserve">  </w:t>
      </w:r>
      <w:r>
        <w:rPr>
          <w:rFonts w:ascii="David" w:hAnsi="David" w:cs="David"/>
          <w:sz w:val="28"/>
          <w:szCs w:val="28"/>
          <w:rtl/>
        </w:rPr>
        <w:t xml:space="preserve">לאחר בחינת טענות הצדדים שוכנעתי כי לשני הצדדים עלולים להיגרם נזקים כספים משמעותיים, אולם הדברים נוטים לטובת המשיבה. למבקשת ייגרם נזק במקרה בו לא יינתן הצו ותביעתה תתקבל, ולמשיבה במקרה בו יינתן הצו והתביעה תידחה (ראו: רע"א 3836-03-25 פלוני נ' נתיבי ישראל - החברה הלאומית לתשתיות תחבורה בע"מ (6.3.25) פסקה 11 להחלטה). על המבקשת להוכיח נזק משמעותי או בלתי הפיך ולא שוכנעתי כי היא עמדה בו במאזן בין הצדדים במלואו. </w:t>
      </w:r>
    </w:p>
    <w:p w14:paraId="540F32DF" w14:textId="77777777" w:rsidR="00000000" w:rsidRDefault="00000000">
      <w:pPr>
        <w:pStyle w:val="a9"/>
        <w:rPr>
          <w:rtl/>
        </w:rPr>
      </w:pPr>
      <w:r>
        <w:rPr>
          <w:rFonts w:ascii="David" w:hAnsi="David" w:cs="David"/>
          <w:sz w:val="28"/>
          <w:szCs w:val="28"/>
        </w:rPr>
        <w:t> </w:t>
      </w:r>
    </w:p>
    <w:p w14:paraId="661F71FF" w14:textId="77777777" w:rsidR="00000000" w:rsidRDefault="00000000">
      <w:pPr>
        <w:pStyle w:val="a9"/>
        <w:spacing w:line="360" w:lineRule="auto"/>
        <w:ind w:left="567" w:hanging="567"/>
        <w:jc w:val="both"/>
        <w:rPr>
          <w:rtl/>
        </w:rPr>
      </w:pPr>
      <w:r>
        <w:rPr>
          <w:rFonts w:ascii="David" w:hAnsi="David" w:cs="David"/>
          <w:color w:val="000000"/>
          <w:rtl/>
        </w:rPr>
        <w:t>53.</w:t>
      </w:r>
      <w:r>
        <w:rPr>
          <w:color w:val="000000"/>
          <w:sz w:val="14"/>
          <w:szCs w:val="14"/>
          <w:rtl/>
        </w:rPr>
        <w:t xml:space="preserve">  </w:t>
      </w:r>
      <w:r>
        <w:rPr>
          <w:rFonts w:ascii="David" w:hAnsi="David" w:cs="David"/>
          <w:sz w:val="28"/>
          <w:szCs w:val="28"/>
          <w:rtl/>
        </w:rPr>
        <w:t>שוכנעתי גם כי כל החלטה בבקשה לסעד זמני עלולה לגרום נזק ציבורי הן בשל עיכוב בהשלמת הפרויקט והן בשל עלויות כספיות שיתווספו. זאת כנזק נפרד שאינו ניתן לעימות כספי עבור מי מהצדדים והוא נזק משמעותי שיש בו למשקל רב לעבר דחיית הבקשה לסעד זמני (ראו: עניין צרפתי, פסקאות 43 ו-61 להחלטה).</w:t>
      </w:r>
    </w:p>
    <w:p w14:paraId="5F652D6F" w14:textId="77777777" w:rsidR="00000000" w:rsidRDefault="00000000">
      <w:pPr>
        <w:pStyle w:val="a9"/>
        <w:rPr>
          <w:rtl/>
        </w:rPr>
      </w:pPr>
      <w:r>
        <w:rPr>
          <w:rFonts w:ascii="David" w:hAnsi="David" w:cs="David"/>
          <w:b/>
          <w:bCs/>
          <w:sz w:val="28"/>
          <w:szCs w:val="28"/>
        </w:rPr>
        <w:t> </w:t>
      </w:r>
    </w:p>
    <w:p w14:paraId="478CE772" w14:textId="77777777" w:rsidR="00000000" w:rsidRDefault="00000000">
      <w:pPr>
        <w:pStyle w:val="a9"/>
        <w:spacing w:line="360" w:lineRule="auto"/>
        <w:ind w:left="567" w:hanging="567"/>
        <w:jc w:val="both"/>
        <w:rPr>
          <w:rtl/>
        </w:rPr>
      </w:pPr>
      <w:r>
        <w:rPr>
          <w:rFonts w:ascii="David" w:hAnsi="David" w:cs="David"/>
          <w:color w:val="000000"/>
          <w:rtl/>
        </w:rPr>
        <w:t>54.</w:t>
      </w:r>
      <w:r>
        <w:rPr>
          <w:color w:val="000000"/>
          <w:sz w:val="14"/>
          <w:szCs w:val="14"/>
          <w:rtl/>
        </w:rPr>
        <w:t xml:space="preserve">  </w:t>
      </w:r>
      <w:r>
        <w:rPr>
          <w:rFonts w:ascii="David" w:hAnsi="David" w:cs="David"/>
          <w:sz w:val="28"/>
          <w:szCs w:val="28"/>
          <w:rtl/>
        </w:rPr>
        <w:t xml:space="preserve">בכל הנוגע לטענה ביחס לקבלנים החלופיים - טענת המבקשת לגבי העדר מכרז ביחס לקבלנים החלופיים אין מקום להכריע לגביה בסעד הזמני והיא נטענה גם לא באופן מספק שניתן לבררו במסגרת זו. הצדק עם המבקשת כי לעיתים די בהתקשרות שאינה כהלכה על מנת שהמשיבה תושתק מלהעלות טענה כי יש הסתמכות שלה ושל הקבלנים הנוספים לביצוע העבודות במקום המבקשת. </w:t>
      </w:r>
    </w:p>
    <w:p w14:paraId="0397DE61" w14:textId="77777777" w:rsidR="00000000" w:rsidRDefault="00000000">
      <w:pPr>
        <w:pStyle w:val="a9"/>
        <w:spacing w:line="360" w:lineRule="auto"/>
        <w:rPr>
          <w:rtl/>
        </w:rPr>
      </w:pPr>
      <w:r>
        <w:rPr>
          <w:rFonts w:ascii="David" w:hAnsi="David" w:cs="David"/>
          <w:sz w:val="28"/>
          <w:szCs w:val="28"/>
          <w:rtl/>
        </w:rPr>
        <w:t> </w:t>
      </w:r>
    </w:p>
    <w:p w14:paraId="743ADA2B" w14:textId="77777777" w:rsidR="00000000" w:rsidRDefault="00000000">
      <w:pPr>
        <w:pStyle w:val="a9"/>
        <w:spacing w:line="360" w:lineRule="auto"/>
        <w:rPr>
          <w:rtl/>
        </w:rPr>
      </w:pPr>
      <w:r>
        <w:rPr>
          <w:rFonts w:ascii="David" w:hAnsi="David" w:cs="David"/>
          <w:sz w:val="28"/>
          <w:szCs w:val="28"/>
        </w:rPr>
        <w:t> </w:t>
      </w:r>
    </w:p>
    <w:p w14:paraId="10D0A6E6" w14:textId="77777777" w:rsidR="00000000" w:rsidRDefault="00000000">
      <w:pPr>
        <w:pStyle w:val="a9"/>
        <w:spacing w:line="360" w:lineRule="auto"/>
        <w:ind w:left="567" w:hanging="567"/>
        <w:jc w:val="both"/>
        <w:rPr>
          <w:rtl/>
        </w:rPr>
      </w:pPr>
      <w:r>
        <w:rPr>
          <w:rFonts w:ascii="David" w:hAnsi="David" w:cs="David"/>
          <w:color w:val="000000"/>
          <w:rtl/>
        </w:rPr>
        <w:t>55.</w:t>
      </w:r>
      <w:r>
        <w:rPr>
          <w:color w:val="000000"/>
          <w:sz w:val="14"/>
          <w:szCs w:val="14"/>
          <w:rtl/>
        </w:rPr>
        <w:t xml:space="preserve">  </w:t>
      </w:r>
      <w:r>
        <w:rPr>
          <w:rFonts w:ascii="David" w:hAnsi="David" w:cs="David"/>
          <w:sz w:val="28"/>
          <w:szCs w:val="28"/>
          <w:rtl/>
        </w:rPr>
        <w:t xml:space="preserve">לא שוכנעתי לגבי קיומם של נזקים אפשרים למבקשת אשר אינם ניתנים לפיצוי כספי. המבקשת טענה לגבי נזקים אלו בכותרות בלבד, בלא פירוט מספק. העבודות שנגרעו הינן בהיקף לא גדול ביחס לפרויקט החשמול בכללותו, אותו מבצעת המבקשת במשך שנים רבות וממשיכה לבצע גם כיום. לא בואר כיצד בנסיבות אלו ייגרמו למבקשת נזקים כה משמעותיים ובפרט נזקי מוניטין ופגיעה ביכולת להשתתף במכרזים עתידיים. גם העובדה כי אין זכר לרובם המוחלט של נזקים אלו במסגרת הבקשה לסעד זמני (למעט נזק של "פגיעה במשקיע זר" אשר אינו נזק שייגרם למבקשת כי אם לציבור) והם נטענו לראשונה במסגרת סיכומי המבקשת, מעלה ספקות באשר לקיומם ומביאה למסקנה כי אין המדובר בנזקים משמעותיים למבקשת שאינם ניתנים לכימות כספי. </w:t>
      </w:r>
    </w:p>
    <w:p w14:paraId="2F9F8206" w14:textId="77777777" w:rsidR="00000000" w:rsidRDefault="00000000">
      <w:pPr>
        <w:pStyle w:val="a9"/>
        <w:spacing w:line="360" w:lineRule="auto"/>
        <w:rPr>
          <w:rtl/>
        </w:rPr>
      </w:pPr>
      <w:r>
        <w:rPr>
          <w:rFonts w:ascii="David" w:hAnsi="David" w:cs="David"/>
          <w:b/>
          <w:bCs/>
          <w:sz w:val="28"/>
          <w:szCs w:val="28"/>
        </w:rPr>
        <w:t> </w:t>
      </w:r>
    </w:p>
    <w:p w14:paraId="154BEA10" w14:textId="77777777" w:rsidR="00000000" w:rsidRDefault="00000000">
      <w:pPr>
        <w:pStyle w:val="a9"/>
        <w:spacing w:line="360" w:lineRule="auto"/>
        <w:ind w:left="567" w:hanging="567"/>
        <w:jc w:val="both"/>
        <w:rPr>
          <w:rtl/>
        </w:rPr>
      </w:pPr>
      <w:r>
        <w:rPr>
          <w:rFonts w:ascii="David" w:hAnsi="David" w:cs="David"/>
          <w:color w:val="000000"/>
          <w:rtl/>
        </w:rPr>
        <w:t>56.</w:t>
      </w:r>
      <w:r>
        <w:rPr>
          <w:color w:val="000000"/>
          <w:sz w:val="14"/>
          <w:szCs w:val="14"/>
          <w:rtl/>
        </w:rPr>
        <w:t xml:space="preserve">  </w:t>
      </w:r>
      <w:r>
        <w:rPr>
          <w:rFonts w:ascii="David" w:hAnsi="David" w:cs="David"/>
          <w:sz w:val="28"/>
          <w:szCs w:val="28"/>
          <w:rtl/>
        </w:rPr>
        <w:t xml:space="preserve">בסופו של יום כאשר הנזק הוא על המבקשת להוכיח נזק משמעותי או בלתי הפיך לא שוכנעתי כי היא עמדה בו באופן הנדרש על פי הפסיקה וכי גם אם הנזק משמעותי ורב יהיה מדובר בנזק בלתי הפיך. </w:t>
      </w:r>
    </w:p>
    <w:p w14:paraId="1C5F1F0A" w14:textId="77777777" w:rsidR="00000000" w:rsidRDefault="00000000">
      <w:pPr>
        <w:pStyle w:val="a9"/>
        <w:rPr>
          <w:rtl/>
        </w:rPr>
      </w:pPr>
      <w:r>
        <w:rPr>
          <w:rFonts w:ascii="David" w:hAnsi="David" w:cs="David"/>
          <w:sz w:val="28"/>
          <w:szCs w:val="28"/>
        </w:rPr>
        <w:t> </w:t>
      </w:r>
    </w:p>
    <w:p w14:paraId="08367118" w14:textId="77777777" w:rsidR="00000000" w:rsidRDefault="00000000">
      <w:pPr>
        <w:pStyle w:val="a9"/>
        <w:spacing w:line="360" w:lineRule="auto"/>
        <w:ind w:left="567" w:hanging="567"/>
        <w:jc w:val="both"/>
        <w:rPr>
          <w:rtl/>
        </w:rPr>
      </w:pPr>
      <w:r>
        <w:rPr>
          <w:rFonts w:ascii="David" w:hAnsi="David" w:cs="David"/>
          <w:color w:val="000000"/>
          <w:rtl/>
        </w:rPr>
        <w:t>57.</w:t>
      </w:r>
      <w:r>
        <w:rPr>
          <w:color w:val="000000"/>
          <w:sz w:val="14"/>
          <w:szCs w:val="14"/>
          <w:rtl/>
        </w:rPr>
        <w:t xml:space="preserve">  </w:t>
      </w:r>
      <w:r>
        <w:rPr>
          <w:rFonts w:ascii="David" w:hAnsi="David" w:cs="David"/>
          <w:b/>
          <w:bCs/>
          <w:sz w:val="28"/>
          <w:szCs w:val="28"/>
          <w:rtl/>
        </w:rPr>
        <w:t xml:space="preserve">אשר על כן שיקולי מאזן הנוחות תומכים בדחיית הבקשה לסעד זמני. </w:t>
      </w:r>
    </w:p>
    <w:p w14:paraId="2B9D4A83" w14:textId="77777777" w:rsidR="00000000" w:rsidRDefault="00000000">
      <w:pPr>
        <w:pStyle w:val="a9"/>
        <w:spacing w:line="360" w:lineRule="auto"/>
        <w:rPr>
          <w:rtl/>
        </w:rPr>
      </w:pPr>
      <w:r>
        <w:rPr>
          <w:rFonts w:ascii="David" w:hAnsi="David" w:cs="David"/>
          <w:sz w:val="28"/>
          <w:szCs w:val="28"/>
        </w:rPr>
        <w:t> </w:t>
      </w:r>
    </w:p>
    <w:p w14:paraId="4C403E2F" w14:textId="77777777" w:rsidR="00000000" w:rsidRDefault="00000000">
      <w:pPr>
        <w:pStyle w:val="a9"/>
        <w:spacing w:line="360" w:lineRule="auto"/>
        <w:ind w:left="567" w:hanging="567"/>
        <w:jc w:val="both"/>
        <w:rPr>
          <w:rtl/>
        </w:rPr>
      </w:pPr>
      <w:r>
        <w:rPr>
          <w:rFonts w:ascii="David" w:hAnsi="David" w:cs="David"/>
          <w:color w:val="000000"/>
          <w:rtl/>
        </w:rPr>
        <w:t>58.</w:t>
      </w:r>
      <w:r>
        <w:rPr>
          <w:color w:val="000000"/>
          <w:sz w:val="14"/>
          <w:szCs w:val="14"/>
          <w:rtl/>
        </w:rPr>
        <w:t xml:space="preserve">  </w:t>
      </w:r>
      <w:r>
        <w:rPr>
          <w:rFonts w:ascii="David" w:hAnsi="David" w:cs="David"/>
          <w:sz w:val="28"/>
          <w:szCs w:val="28"/>
          <w:u w:val="single"/>
          <w:rtl/>
        </w:rPr>
        <w:t>תום לב והדרישה לגילוי מלא -</w:t>
      </w:r>
      <w:r>
        <w:rPr>
          <w:rFonts w:ascii="David" w:hAnsi="David" w:cs="David"/>
          <w:sz w:val="28"/>
          <w:szCs w:val="28"/>
          <w:rtl/>
        </w:rPr>
        <w:t xml:space="preserve"> </w:t>
      </w:r>
      <w:r>
        <w:rPr>
          <w:rFonts w:ascii="David" w:hAnsi="David" w:cs="David"/>
          <w:b/>
          <w:bCs/>
          <w:sz w:val="28"/>
          <w:szCs w:val="28"/>
          <w:rtl/>
        </w:rPr>
        <w:t>לטענת המשיבה,</w:t>
      </w:r>
      <w:r>
        <w:rPr>
          <w:rFonts w:ascii="David" w:hAnsi="David" w:cs="David"/>
          <w:sz w:val="28"/>
          <w:szCs w:val="28"/>
          <w:rtl/>
        </w:rPr>
        <w:t xml:space="preserve"> המבקשת הגישה את הבקשה בחוסר תום לב ובחוסר ניקיון כפיים תוך שהיא מסתירה מבית המשפט פרטים משמעותיים רבים. המבקשת הסתירה כי קיים בהסכם סעיף השולל את זכותה לעתור לסעד של אכיפת ההסכם ובכלל זה סעד זמני לאכיפתו וכן הסתירה קיומם של סעיפים המאפשרים ביטול חלקי של ההסכם. המבקשת הסתירה כי מר חואן </w:t>
      </w:r>
      <w:proofErr w:type="spellStart"/>
      <w:r>
        <w:rPr>
          <w:rFonts w:ascii="David" w:hAnsi="David" w:cs="David"/>
          <w:sz w:val="28"/>
          <w:szCs w:val="28"/>
          <w:rtl/>
        </w:rPr>
        <w:t>פיגוארו</w:t>
      </w:r>
      <w:proofErr w:type="spellEnd"/>
      <w:r>
        <w:rPr>
          <w:rFonts w:ascii="David" w:hAnsi="David" w:cs="David"/>
          <w:sz w:val="28"/>
          <w:szCs w:val="28"/>
          <w:rtl/>
        </w:rPr>
        <w:t xml:space="preserve"> המצהיר מטעמה, סיים את תפקידו כמנהל הפרויקט בחודש 1/2026 בעקבות דרישת המשיבה בשל דיווח שגוי שמסר לגבי טיפול בבעיה משמעותית אשר גרמה להתנתקות כבלי חשמול וסיכון בטיחותי חמור. נטען כי מר </w:t>
      </w:r>
      <w:proofErr w:type="spellStart"/>
      <w:r>
        <w:rPr>
          <w:rFonts w:ascii="David" w:hAnsi="David" w:cs="David"/>
          <w:sz w:val="28"/>
          <w:szCs w:val="28"/>
          <w:rtl/>
        </w:rPr>
        <w:t>פיגוארו</w:t>
      </w:r>
      <w:proofErr w:type="spellEnd"/>
      <w:r>
        <w:rPr>
          <w:rFonts w:ascii="David" w:hAnsi="David" w:cs="David"/>
          <w:sz w:val="28"/>
          <w:szCs w:val="28"/>
          <w:rtl/>
        </w:rPr>
        <w:t xml:space="preserve"> הצהיר באשר לדברים אשר אירעו בפרויקט לאחר מועד סיום תפקידו, דבר המחליש את גרסתה העובדתית של המבקשת ואף מצדיק את דחייתה. המבקשת הסתירה כי היא הפרה את ההסכם פעמים רבות וכי היא מצויה באיחור רב ואינה עומדת באבני דרך חוזיות. </w:t>
      </w:r>
    </w:p>
    <w:p w14:paraId="579E6C90" w14:textId="77777777" w:rsidR="00000000" w:rsidRDefault="00000000">
      <w:pPr>
        <w:pStyle w:val="a9"/>
        <w:spacing w:line="360" w:lineRule="auto"/>
        <w:rPr>
          <w:rtl/>
        </w:rPr>
      </w:pPr>
      <w:r>
        <w:rPr>
          <w:rFonts w:ascii="David" w:hAnsi="David" w:cs="David"/>
          <w:sz w:val="28"/>
          <w:szCs w:val="28"/>
        </w:rPr>
        <w:t> </w:t>
      </w:r>
    </w:p>
    <w:p w14:paraId="73B7A1D5" w14:textId="77777777" w:rsidR="00000000" w:rsidRDefault="00000000">
      <w:pPr>
        <w:pStyle w:val="a9"/>
        <w:spacing w:line="360" w:lineRule="auto"/>
        <w:ind w:left="567" w:hanging="567"/>
        <w:jc w:val="both"/>
        <w:rPr>
          <w:rtl/>
        </w:rPr>
      </w:pPr>
      <w:r>
        <w:rPr>
          <w:rFonts w:ascii="David" w:hAnsi="David" w:cs="David"/>
          <w:color w:val="000000"/>
          <w:rtl/>
        </w:rPr>
        <w:t>59.</w:t>
      </w:r>
      <w:r>
        <w:rPr>
          <w:color w:val="000000"/>
          <w:sz w:val="14"/>
          <w:szCs w:val="14"/>
          <w:rtl/>
        </w:rPr>
        <w:t xml:space="preserve">  </w:t>
      </w:r>
      <w:r>
        <w:rPr>
          <w:rFonts w:ascii="David" w:hAnsi="David" w:cs="David"/>
          <w:b/>
          <w:bCs/>
          <w:sz w:val="28"/>
          <w:szCs w:val="28"/>
          <w:rtl/>
        </w:rPr>
        <w:t>בחקירתו</w:t>
      </w:r>
      <w:r>
        <w:rPr>
          <w:rFonts w:ascii="David" w:hAnsi="David" w:cs="David"/>
          <w:sz w:val="28"/>
          <w:szCs w:val="28"/>
          <w:rtl/>
        </w:rPr>
        <w:t xml:space="preserve"> אישר מר חואן </w:t>
      </w:r>
      <w:proofErr w:type="spellStart"/>
      <w:r>
        <w:rPr>
          <w:rFonts w:ascii="David" w:hAnsi="David" w:cs="David"/>
          <w:sz w:val="28"/>
          <w:szCs w:val="28"/>
          <w:rtl/>
        </w:rPr>
        <w:t>פיגוארו</w:t>
      </w:r>
      <w:proofErr w:type="spellEnd"/>
      <w:r>
        <w:rPr>
          <w:rFonts w:ascii="David" w:hAnsi="David" w:cs="David"/>
          <w:sz w:val="28"/>
          <w:szCs w:val="28"/>
          <w:rtl/>
        </w:rPr>
        <w:t xml:space="preserve"> כי סיים את תפקידו כמנהל פרויקט בחודש ינואר 2026 (ראו: פרוטוקול מיום 16.4.26, עמ' 5 שורות 35-38), וכי הסיבה להדחתו הינה טענה באשר לדיווח לא אמין לגבי תקלה אשר גרמה להתנתקות כבלי </w:t>
      </w:r>
      <w:proofErr w:type="spellStart"/>
      <w:r>
        <w:rPr>
          <w:rFonts w:ascii="David" w:hAnsi="David" w:cs="David"/>
          <w:sz w:val="28"/>
          <w:szCs w:val="28"/>
          <w:rtl/>
        </w:rPr>
        <w:t>חישמול</w:t>
      </w:r>
      <w:proofErr w:type="spellEnd"/>
      <w:r>
        <w:rPr>
          <w:rFonts w:ascii="David" w:hAnsi="David" w:cs="David"/>
          <w:sz w:val="28"/>
          <w:szCs w:val="28"/>
          <w:rtl/>
        </w:rPr>
        <w:t xml:space="preserve"> ממקומם (ראו: פרוטוקול מיום 16.4.26, עמ' 10 שורות 21-23 ושורות 28-31). מר </w:t>
      </w:r>
      <w:proofErr w:type="spellStart"/>
      <w:r>
        <w:rPr>
          <w:rFonts w:ascii="David" w:hAnsi="David" w:cs="David"/>
          <w:sz w:val="28"/>
          <w:szCs w:val="28"/>
          <w:rtl/>
        </w:rPr>
        <w:t>פיגוארו</w:t>
      </w:r>
      <w:proofErr w:type="spellEnd"/>
      <w:r>
        <w:rPr>
          <w:rFonts w:ascii="David" w:hAnsi="David" w:cs="David"/>
          <w:sz w:val="28"/>
          <w:szCs w:val="28"/>
          <w:rtl/>
        </w:rPr>
        <w:t xml:space="preserve"> נשאל בחקירתו מדוע לא התייחס בתצהירו לסעיף 43.6 להסכם שעניינו סעד האכיפה והשיב כי עורכי דינו החליטו בעניין זה (ראו: פרוטוקול מיום 16.4.26, עמ' 10 שורות 30-34). </w:t>
      </w:r>
    </w:p>
    <w:p w14:paraId="66C85A31" w14:textId="77777777" w:rsidR="00000000" w:rsidRDefault="00000000">
      <w:pPr>
        <w:pStyle w:val="a9"/>
        <w:spacing w:line="360" w:lineRule="auto"/>
        <w:ind w:left="567"/>
        <w:jc w:val="both"/>
        <w:rPr>
          <w:rtl/>
        </w:rPr>
      </w:pPr>
      <w:r>
        <w:rPr>
          <w:rFonts w:ascii="David" w:hAnsi="David" w:cs="David"/>
          <w:sz w:val="28"/>
          <w:szCs w:val="28"/>
        </w:rPr>
        <w:t> </w:t>
      </w:r>
    </w:p>
    <w:p w14:paraId="2F3906B5" w14:textId="77777777" w:rsidR="00000000" w:rsidRDefault="00000000">
      <w:pPr>
        <w:pStyle w:val="a9"/>
        <w:spacing w:line="360" w:lineRule="auto"/>
        <w:ind w:left="567" w:hanging="567"/>
        <w:jc w:val="both"/>
        <w:rPr>
          <w:rtl/>
        </w:rPr>
      </w:pPr>
      <w:r>
        <w:rPr>
          <w:rFonts w:ascii="David" w:hAnsi="David" w:cs="David"/>
          <w:color w:val="000000"/>
          <w:rtl/>
        </w:rPr>
        <w:t>60.</w:t>
      </w:r>
      <w:r>
        <w:rPr>
          <w:color w:val="000000"/>
          <w:sz w:val="14"/>
          <w:szCs w:val="14"/>
          <w:rtl/>
        </w:rPr>
        <w:t xml:space="preserve">  </w:t>
      </w:r>
      <w:r>
        <w:rPr>
          <w:rFonts w:ascii="David" w:hAnsi="David" w:cs="David"/>
          <w:sz w:val="28"/>
          <w:szCs w:val="28"/>
          <w:rtl/>
        </w:rPr>
        <w:t xml:space="preserve">לאחר בחינת טענות הצדדים וראיותיהם שוכנעתי כי היה על המבקשת לגלות פרטים נוספים מהותיים אלה במסגרת בקשתה. בפרט היה על המבקשת לגלות את דבר קיומו של הסעיף בהסכם השולל את זכותה לעתור לסעד של אכיפה וכן את עובדת סיום תפקידו של המצהיר מטעמה ובכלל זה מועד וסיבת סיום תפקידו ולהסביר מדוע דווקא הוא נותן תצהיר במצב זה. מדובר בנתונים רלבנטיים לבקשה לסעד זמני. </w:t>
      </w:r>
    </w:p>
    <w:p w14:paraId="39C31FBA" w14:textId="77777777" w:rsidR="00000000" w:rsidRDefault="00000000">
      <w:pPr>
        <w:pStyle w:val="a9"/>
        <w:spacing w:line="360" w:lineRule="auto"/>
        <w:rPr>
          <w:rtl/>
        </w:rPr>
      </w:pPr>
      <w:r>
        <w:rPr>
          <w:rFonts w:ascii="David" w:hAnsi="David" w:cs="David"/>
          <w:sz w:val="28"/>
          <w:szCs w:val="28"/>
        </w:rPr>
        <w:t> </w:t>
      </w:r>
    </w:p>
    <w:p w14:paraId="0DA4F179" w14:textId="77777777" w:rsidR="00000000" w:rsidRDefault="00000000">
      <w:pPr>
        <w:pStyle w:val="a9"/>
        <w:spacing w:line="360" w:lineRule="auto"/>
        <w:ind w:left="567" w:hanging="567"/>
        <w:jc w:val="both"/>
        <w:rPr>
          <w:rtl/>
        </w:rPr>
      </w:pPr>
      <w:r>
        <w:rPr>
          <w:rFonts w:ascii="David" w:hAnsi="David" w:cs="David"/>
          <w:color w:val="000000"/>
          <w:rtl/>
        </w:rPr>
        <w:t>61.</w:t>
      </w:r>
      <w:r>
        <w:rPr>
          <w:color w:val="000000"/>
          <w:sz w:val="14"/>
          <w:szCs w:val="14"/>
          <w:rtl/>
        </w:rPr>
        <w:t xml:space="preserve">  </w:t>
      </w:r>
      <w:r>
        <w:rPr>
          <w:rFonts w:ascii="David" w:hAnsi="David" w:cs="David"/>
          <w:b/>
          <w:bCs/>
          <w:sz w:val="28"/>
          <w:szCs w:val="28"/>
          <w:rtl/>
        </w:rPr>
        <w:t xml:space="preserve">המבקשת </w:t>
      </w:r>
      <w:r>
        <w:rPr>
          <w:rFonts w:ascii="David" w:hAnsi="David" w:cs="David"/>
          <w:sz w:val="28"/>
          <w:szCs w:val="28"/>
          <w:rtl/>
        </w:rPr>
        <w:t xml:space="preserve">טענה גם היא לחוסר תום לב מצד המשיבה במימוש זכותה, ככל שקיימת, לצמצום עבודות המבקשת. ראשית, המשיבה שהינה גוף ממשלתי, העבירה את העבודות בהיקף של מיליוני שקלים לקבלנים אחרים ללא מכרז כדין. שנית, המשיבה חתמה על כתבי המטלה לקבלנים לפני ששלחה למבקשת את הודעת הביטול, תוך שיוצרת עובדות בשטח ומונעת מהמבקשת לפנות לבית המשפט טרם העברת העבודות. שלישית, המשיבה לא פירטה בהודעתה את ההפרות הנטענות ובהמשך פירטה הפרות שאינן רלבנטיות לעבודות שבוטלו וכן הפרות שלא היו. רביעית, מעדותו של מר צורף נציג המשיבה עולה כי הודעת הביטול הינה "קריאת השכמה". לטענת המבקשת מדובר בביטול חוזי לשם הפעלת לחץ על המבקשת. </w:t>
      </w:r>
    </w:p>
    <w:p w14:paraId="0BD06CB4" w14:textId="77777777" w:rsidR="00000000" w:rsidRDefault="00000000">
      <w:pPr>
        <w:pStyle w:val="a9"/>
        <w:spacing w:line="360" w:lineRule="auto"/>
        <w:rPr>
          <w:rtl/>
        </w:rPr>
      </w:pPr>
      <w:r>
        <w:rPr>
          <w:rFonts w:ascii="David" w:hAnsi="David" w:cs="David"/>
          <w:sz w:val="28"/>
          <w:szCs w:val="28"/>
        </w:rPr>
        <w:t> </w:t>
      </w:r>
    </w:p>
    <w:p w14:paraId="55E6DC47" w14:textId="77777777" w:rsidR="00000000" w:rsidRDefault="00000000">
      <w:pPr>
        <w:pStyle w:val="a9"/>
        <w:spacing w:line="360" w:lineRule="auto"/>
        <w:ind w:left="567" w:hanging="567"/>
        <w:jc w:val="both"/>
        <w:rPr>
          <w:rtl/>
        </w:rPr>
      </w:pPr>
      <w:r>
        <w:rPr>
          <w:rFonts w:ascii="David" w:hAnsi="David" w:cs="David"/>
          <w:color w:val="000000"/>
          <w:rtl/>
        </w:rPr>
        <w:t>62.</w:t>
      </w:r>
      <w:r>
        <w:rPr>
          <w:color w:val="000000"/>
          <w:sz w:val="14"/>
          <w:szCs w:val="14"/>
          <w:rtl/>
        </w:rPr>
        <w:t xml:space="preserve">  </w:t>
      </w:r>
      <w:r>
        <w:rPr>
          <w:rFonts w:ascii="David" w:hAnsi="David" w:cs="David"/>
          <w:b/>
          <w:bCs/>
          <w:sz w:val="28"/>
          <w:szCs w:val="28"/>
          <w:rtl/>
        </w:rPr>
        <w:t xml:space="preserve">בחקירתו </w:t>
      </w:r>
      <w:r>
        <w:rPr>
          <w:rFonts w:ascii="David" w:hAnsi="David" w:cs="David"/>
          <w:sz w:val="28"/>
          <w:szCs w:val="28"/>
          <w:rtl/>
        </w:rPr>
        <w:t xml:space="preserve">אישר מר אורי צורף כי המשיבה הוציאה כתבי מטלה לקבלנים החלופיים לביצוע העבודות שנגרעו מהמבקשת טרם משלוח הודעת הביטול למבקשת (ראו: פרוטוקול מיום 16.4.26, עמ' 25 שורות 20-22) וכי הוצא צו התחלת עבודה באותו היום בו נשלחה הודעת הביטול (פרוטוקול מיום 16.4.26, עמ' 25 שורה 38). </w:t>
      </w:r>
    </w:p>
    <w:p w14:paraId="149D740D" w14:textId="77777777" w:rsidR="00000000" w:rsidRDefault="00000000">
      <w:pPr>
        <w:pStyle w:val="a9"/>
        <w:rPr>
          <w:rtl/>
        </w:rPr>
      </w:pPr>
      <w:r>
        <w:rPr>
          <w:rFonts w:ascii="David" w:hAnsi="David" w:cs="David"/>
          <w:sz w:val="28"/>
          <w:szCs w:val="28"/>
        </w:rPr>
        <w:t> </w:t>
      </w:r>
    </w:p>
    <w:p w14:paraId="7779CB8B" w14:textId="77777777" w:rsidR="00000000" w:rsidRDefault="00000000">
      <w:pPr>
        <w:pStyle w:val="a9"/>
        <w:spacing w:line="360" w:lineRule="auto"/>
        <w:ind w:left="567" w:hanging="567"/>
        <w:jc w:val="both"/>
        <w:rPr>
          <w:rtl/>
        </w:rPr>
      </w:pPr>
      <w:r>
        <w:rPr>
          <w:rFonts w:ascii="David" w:hAnsi="David" w:cs="David"/>
          <w:color w:val="000000"/>
          <w:rtl/>
        </w:rPr>
        <w:t>63.</w:t>
      </w:r>
      <w:r>
        <w:rPr>
          <w:color w:val="000000"/>
          <w:sz w:val="14"/>
          <w:szCs w:val="14"/>
          <w:rtl/>
        </w:rPr>
        <w:t xml:space="preserve">  </w:t>
      </w:r>
      <w:r>
        <w:rPr>
          <w:rFonts w:ascii="David" w:hAnsi="David" w:cs="David"/>
          <w:sz w:val="28"/>
          <w:szCs w:val="28"/>
          <w:rtl/>
        </w:rPr>
        <w:t xml:space="preserve">שוכנעתי כי גם פרטים אלה לא התגלו </w:t>
      </w:r>
      <w:proofErr w:type="spellStart"/>
      <w:r>
        <w:rPr>
          <w:rFonts w:ascii="David" w:hAnsi="David" w:cs="David"/>
          <w:sz w:val="28"/>
          <w:szCs w:val="28"/>
          <w:rtl/>
        </w:rPr>
        <w:t>לאשורם</w:t>
      </w:r>
      <w:proofErr w:type="spellEnd"/>
      <w:r>
        <w:rPr>
          <w:rFonts w:ascii="David" w:hAnsi="David" w:cs="David"/>
          <w:sz w:val="28"/>
          <w:szCs w:val="28"/>
          <w:rtl/>
        </w:rPr>
        <w:t xml:space="preserve"> ובאופן מספק בתשובה וכן כי התנהלות המשיבה בעניין זה לגופה חוטאת גם היא לחובת תום הלב. </w:t>
      </w:r>
    </w:p>
    <w:p w14:paraId="168295E0" w14:textId="77777777" w:rsidR="00000000" w:rsidRDefault="00000000">
      <w:pPr>
        <w:pStyle w:val="a9"/>
        <w:rPr>
          <w:rtl/>
        </w:rPr>
      </w:pPr>
      <w:r>
        <w:rPr>
          <w:rFonts w:ascii="David" w:hAnsi="David" w:cs="David"/>
          <w:sz w:val="28"/>
          <w:szCs w:val="28"/>
        </w:rPr>
        <w:t> </w:t>
      </w:r>
    </w:p>
    <w:p w14:paraId="2ABC67F3" w14:textId="77777777" w:rsidR="00000000" w:rsidRDefault="00000000">
      <w:pPr>
        <w:pStyle w:val="a9"/>
        <w:spacing w:line="360" w:lineRule="auto"/>
        <w:ind w:left="567" w:hanging="567"/>
        <w:jc w:val="both"/>
        <w:rPr>
          <w:rtl/>
        </w:rPr>
      </w:pPr>
      <w:r>
        <w:rPr>
          <w:rFonts w:ascii="David" w:hAnsi="David" w:cs="David"/>
          <w:color w:val="000000"/>
          <w:rtl/>
        </w:rPr>
        <w:t>64.</w:t>
      </w:r>
      <w:r>
        <w:rPr>
          <w:color w:val="000000"/>
          <w:sz w:val="14"/>
          <w:szCs w:val="14"/>
          <w:rtl/>
        </w:rPr>
        <w:t xml:space="preserve">  </w:t>
      </w:r>
      <w:r>
        <w:rPr>
          <w:rFonts w:ascii="David" w:hAnsi="David" w:cs="David"/>
          <w:sz w:val="28"/>
          <w:szCs w:val="28"/>
          <w:rtl/>
        </w:rPr>
        <w:t xml:space="preserve">בסופו של יום בבחינת תום הלב המוטל על שני הצדדים והצורך לבחון אותו במסגרת הסעד הזמני (תקנה 95(ד)(3) - שוכנעתי כי הדברים נוטים לטובת המשיבה. עם זאת התנהלות המשיבה בעניין זה </w:t>
      </w:r>
      <w:proofErr w:type="spellStart"/>
      <w:r>
        <w:rPr>
          <w:rFonts w:ascii="David" w:hAnsi="David" w:cs="David"/>
          <w:sz w:val="28"/>
          <w:szCs w:val="28"/>
          <w:rtl/>
        </w:rPr>
        <w:t>תלקח</w:t>
      </w:r>
      <w:proofErr w:type="spellEnd"/>
      <w:r>
        <w:rPr>
          <w:rFonts w:ascii="David" w:hAnsi="David" w:cs="David"/>
          <w:sz w:val="28"/>
          <w:szCs w:val="28"/>
          <w:rtl/>
        </w:rPr>
        <w:t xml:space="preserve"> בחשבון בפסיקת ההוצאות של הבקשה. </w:t>
      </w:r>
    </w:p>
    <w:p w14:paraId="18ECAA40" w14:textId="77777777" w:rsidR="00000000" w:rsidRDefault="00000000">
      <w:pPr>
        <w:pStyle w:val="a9"/>
        <w:spacing w:line="360" w:lineRule="auto"/>
        <w:rPr>
          <w:rtl/>
        </w:rPr>
      </w:pPr>
      <w:r>
        <w:rPr>
          <w:rFonts w:ascii="David" w:hAnsi="David" w:cs="David"/>
          <w:sz w:val="28"/>
          <w:szCs w:val="28"/>
          <w:rtl/>
        </w:rPr>
        <w:t> </w:t>
      </w:r>
    </w:p>
    <w:p w14:paraId="4A4C0BFA" w14:textId="77777777" w:rsidR="00000000" w:rsidRDefault="00000000">
      <w:pPr>
        <w:pStyle w:val="a9"/>
        <w:spacing w:line="360" w:lineRule="auto"/>
        <w:rPr>
          <w:rtl/>
        </w:rPr>
      </w:pPr>
      <w:r>
        <w:rPr>
          <w:rFonts w:ascii="David" w:hAnsi="David" w:cs="David"/>
          <w:sz w:val="28"/>
          <w:szCs w:val="28"/>
          <w:rtl/>
        </w:rPr>
        <w:t> </w:t>
      </w:r>
    </w:p>
    <w:p w14:paraId="62744E89" w14:textId="77777777" w:rsidR="00000000" w:rsidRDefault="00000000">
      <w:pPr>
        <w:pStyle w:val="a9"/>
        <w:spacing w:line="360" w:lineRule="auto"/>
        <w:ind w:left="567" w:hanging="567"/>
        <w:jc w:val="both"/>
        <w:rPr>
          <w:rtl/>
        </w:rPr>
      </w:pPr>
      <w:r>
        <w:rPr>
          <w:rFonts w:ascii="David" w:hAnsi="David" w:cs="David"/>
          <w:color w:val="000000"/>
          <w:rtl/>
        </w:rPr>
        <w:t>65.</w:t>
      </w:r>
      <w:r>
        <w:rPr>
          <w:color w:val="000000"/>
          <w:sz w:val="14"/>
          <w:szCs w:val="14"/>
          <w:rtl/>
        </w:rPr>
        <w:t xml:space="preserve">  </w:t>
      </w:r>
      <w:r>
        <w:rPr>
          <w:rFonts w:ascii="David" w:hAnsi="David" w:cs="David"/>
          <w:sz w:val="28"/>
          <w:szCs w:val="28"/>
          <w:u w:val="single"/>
          <w:rtl/>
        </w:rPr>
        <w:t>שיהוי -</w:t>
      </w:r>
      <w:r>
        <w:rPr>
          <w:rFonts w:ascii="David" w:hAnsi="David" w:cs="David"/>
          <w:sz w:val="28"/>
          <w:szCs w:val="28"/>
          <w:rtl/>
        </w:rPr>
        <w:t xml:space="preserve"> </w:t>
      </w:r>
      <w:r>
        <w:rPr>
          <w:rFonts w:ascii="David" w:hAnsi="David" w:cs="David"/>
          <w:b/>
          <w:bCs/>
          <w:sz w:val="28"/>
          <w:szCs w:val="28"/>
          <w:rtl/>
        </w:rPr>
        <w:t>לטענת המשיבה</w:t>
      </w:r>
      <w:r>
        <w:rPr>
          <w:rFonts w:ascii="David" w:hAnsi="David" w:cs="David"/>
          <w:sz w:val="28"/>
          <w:szCs w:val="28"/>
          <w:rtl/>
        </w:rPr>
        <w:t xml:space="preserve">, הבקשה לסעד זמני הוגשה בשיהוי ניכר. המבקשת הוזהרה במשך חודשים רבים טרם הגשת הבקשה, כי ככל שלא תתקן את ההפרות הרבות, המשיבה תנקוט בצעדים המתבקשים. ביום 28.9.25 המשיבה שלחה למבקשת מכתב המפרט את הפרותיה ודרשה מהמשיבה לתקנן (נספח 22 לתגובה). נטען כי המכתב לא נענה וההפרות לא תוקנו. ביום 4.1.26 ניתנה למבקשת התראה למוכנות לביצוע לגבי מקטע </w:t>
      </w:r>
      <w:r>
        <w:rPr>
          <w:rFonts w:ascii="David" w:hAnsi="David" w:cs="David"/>
          <w:sz w:val="28"/>
          <w:szCs w:val="28"/>
        </w:rPr>
        <w:t>c</w:t>
      </w:r>
      <w:r>
        <w:rPr>
          <w:rFonts w:ascii="David" w:hAnsi="David" w:cs="David"/>
          <w:sz w:val="28"/>
          <w:szCs w:val="28"/>
          <w:rtl/>
        </w:rPr>
        <w:t xml:space="preserve"> שמועד סיומו הוא 31.8.26. ביום 21.1.26 המשיבה שלחה למבקשת מכתב נוסף המפרט הפרות נוספות ודרשה מהמשיבה לתקנן בתוך 14 יום (נספח 23 לתגובה). ביום 2.2.26 השיבה המבקשת למכתב (נספח 24 לתגובה) והבהירה כי אין בכוונתה לתקן את ההפרות שפורטו. צורפו דוגמאות של סיכומי ישיבות בדרג גבוה שנערכו בנושאים אלו. כמו כן נטען כי ביום 4.2.26 התקיימה פגישה עם נציג המבקשת במסגרתה נמסרה לו הודעה על ביטול חלקי של תוספת 11 להסכם וכן נמסר לו על כוונת המשיבה להעביר את העבודות שצומצמו לקבלנים אחרים. לא צורפו אסמכתאות לקיומה של הפגישה. </w:t>
      </w:r>
    </w:p>
    <w:p w14:paraId="22F5BA02" w14:textId="77777777" w:rsidR="00000000" w:rsidRDefault="00000000">
      <w:pPr>
        <w:pStyle w:val="a9"/>
        <w:spacing w:line="360" w:lineRule="auto"/>
        <w:rPr>
          <w:rtl/>
        </w:rPr>
      </w:pPr>
      <w:r>
        <w:rPr>
          <w:rFonts w:ascii="David" w:hAnsi="David" w:cs="David"/>
          <w:b/>
          <w:bCs/>
          <w:sz w:val="28"/>
          <w:szCs w:val="28"/>
        </w:rPr>
        <w:t> </w:t>
      </w:r>
    </w:p>
    <w:p w14:paraId="47EDA935" w14:textId="77777777" w:rsidR="00000000" w:rsidRDefault="00000000">
      <w:pPr>
        <w:pStyle w:val="a9"/>
        <w:spacing w:line="360" w:lineRule="auto"/>
        <w:ind w:left="567" w:hanging="567"/>
        <w:jc w:val="both"/>
        <w:rPr>
          <w:rtl/>
        </w:rPr>
      </w:pPr>
      <w:r>
        <w:rPr>
          <w:rFonts w:ascii="David" w:hAnsi="David" w:cs="David"/>
          <w:color w:val="000000"/>
          <w:rtl/>
        </w:rPr>
        <w:t>66.</w:t>
      </w:r>
      <w:r>
        <w:rPr>
          <w:color w:val="000000"/>
          <w:sz w:val="14"/>
          <w:szCs w:val="14"/>
          <w:rtl/>
        </w:rPr>
        <w:t xml:space="preserve">  </w:t>
      </w:r>
      <w:r>
        <w:rPr>
          <w:rFonts w:ascii="David" w:hAnsi="David" w:cs="David"/>
          <w:b/>
          <w:bCs/>
          <w:sz w:val="28"/>
          <w:szCs w:val="28"/>
          <w:rtl/>
        </w:rPr>
        <w:t xml:space="preserve">לטענת המבקשת, </w:t>
      </w:r>
      <w:r>
        <w:rPr>
          <w:rFonts w:ascii="David" w:hAnsi="David" w:cs="David"/>
          <w:sz w:val="28"/>
          <w:szCs w:val="28"/>
          <w:rtl/>
        </w:rPr>
        <w:t xml:space="preserve">הבקשה הוגשה בסמוך לקבלת הודעת המשיבה בכתב על צמצום תכולת העבודות. נוכח ימי החירום, חג הפסח ומורכבות העניין הבקשה הוגשה לאחר 4 ימי עבודה ממועד תשובת המשיבה ואין המדובר בשיהוי. נטען כי בניגוד לטענות המשיבה, לא נמסרו למבקשת הודעות מוקדמות יותר על ביטול לא בכתב ולא בע"פ. לעומת זאת, המשיבה חתמה על כתבי מטלה וצו התחלת עבודה לקבלנים החלופיים לפני ובמקביל להודעת הביטול ששלחה למבקשת ועל כן היא מנועה לטעון לשיהוי. </w:t>
      </w:r>
    </w:p>
    <w:p w14:paraId="03811EDD" w14:textId="77777777" w:rsidR="00000000" w:rsidRDefault="00000000">
      <w:pPr>
        <w:pStyle w:val="a9"/>
        <w:spacing w:line="360" w:lineRule="auto"/>
        <w:rPr>
          <w:rtl/>
        </w:rPr>
      </w:pPr>
      <w:r>
        <w:rPr>
          <w:rFonts w:ascii="David" w:hAnsi="David" w:cs="David"/>
          <w:sz w:val="28"/>
          <w:szCs w:val="28"/>
        </w:rPr>
        <w:t> </w:t>
      </w:r>
    </w:p>
    <w:p w14:paraId="0B89B824" w14:textId="77777777" w:rsidR="00000000" w:rsidRDefault="00000000">
      <w:pPr>
        <w:pStyle w:val="a9"/>
        <w:spacing w:line="360" w:lineRule="auto"/>
        <w:ind w:left="567" w:hanging="567"/>
        <w:jc w:val="both"/>
        <w:rPr>
          <w:rtl/>
        </w:rPr>
      </w:pPr>
      <w:r>
        <w:rPr>
          <w:rFonts w:ascii="David" w:hAnsi="David" w:cs="David"/>
          <w:color w:val="000000"/>
          <w:rtl/>
        </w:rPr>
        <w:t>67.</w:t>
      </w:r>
      <w:r>
        <w:rPr>
          <w:color w:val="000000"/>
          <w:sz w:val="14"/>
          <w:szCs w:val="14"/>
          <w:rtl/>
        </w:rPr>
        <w:t xml:space="preserve">  </w:t>
      </w:r>
      <w:r>
        <w:rPr>
          <w:rFonts w:ascii="David" w:hAnsi="David" w:cs="David"/>
          <w:b/>
          <w:bCs/>
          <w:sz w:val="28"/>
          <w:szCs w:val="28"/>
          <w:rtl/>
        </w:rPr>
        <w:t>בחקירתו</w:t>
      </w:r>
      <w:r>
        <w:rPr>
          <w:rFonts w:ascii="David" w:hAnsi="David" w:cs="David"/>
          <w:sz w:val="28"/>
          <w:szCs w:val="28"/>
          <w:rtl/>
        </w:rPr>
        <w:t xml:space="preserve"> העיד מר צורף כי במשך זמן רב התמודדה המשיבה עם סוגיית אמון וקשיים בהתנהלות מול המבקשת, אולם בשל מורכבות הפרויקט ובהעדר חלופה מתאימה, המשיכה בהתקשרותה עם המבקשת (פרוטוקול מיום 16.4.26, עמ' 23 שורות 20-23 ושורות 28-35). כשנשאל מר צורף "</w:t>
      </w:r>
      <w:r>
        <w:rPr>
          <w:rFonts w:ascii="David" w:hAnsi="David" w:cs="David"/>
          <w:b/>
          <w:bCs/>
          <w:sz w:val="28"/>
          <w:szCs w:val="28"/>
          <w:rtl/>
        </w:rPr>
        <w:t>ממתי יש חוסר אמון</w:t>
      </w:r>
      <w:r>
        <w:rPr>
          <w:rFonts w:ascii="David" w:hAnsi="David" w:cs="David"/>
          <w:sz w:val="28"/>
          <w:szCs w:val="28"/>
          <w:rtl/>
        </w:rPr>
        <w:t>?" השיב "</w:t>
      </w:r>
      <w:r>
        <w:rPr>
          <w:rFonts w:ascii="David" w:hAnsi="David" w:cs="David"/>
          <w:b/>
          <w:bCs/>
          <w:sz w:val="28"/>
          <w:szCs w:val="28"/>
          <w:rtl/>
        </w:rPr>
        <w:t>אני לא חושב שיש איזושהי נקודה. אני חושב שהוא נשחק בהדרגה</w:t>
      </w:r>
      <w:r>
        <w:rPr>
          <w:rFonts w:ascii="David" w:hAnsi="David" w:cs="David"/>
          <w:sz w:val="28"/>
          <w:szCs w:val="28"/>
          <w:rtl/>
        </w:rPr>
        <w:t xml:space="preserve">" (פרוטוקול מיום 16.4.26, עמ' 22 שורות 33-35) </w:t>
      </w:r>
    </w:p>
    <w:p w14:paraId="3D69E4DE" w14:textId="77777777" w:rsidR="00000000" w:rsidRDefault="00000000">
      <w:pPr>
        <w:pStyle w:val="a9"/>
        <w:spacing w:line="360" w:lineRule="auto"/>
        <w:rPr>
          <w:rtl/>
        </w:rPr>
      </w:pPr>
      <w:r>
        <w:rPr>
          <w:rFonts w:ascii="David" w:hAnsi="David" w:cs="David"/>
          <w:sz w:val="28"/>
          <w:szCs w:val="28"/>
        </w:rPr>
        <w:t> </w:t>
      </w:r>
    </w:p>
    <w:p w14:paraId="227DDD6F" w14:textId="77777777" w:rsidR="00000000" w:rsidRDefault="00000000">
      <w:pPr>
        <w:pStyle w:val="a9"/>
        <w:spacing w:line="360" w:lineRule="auto"/>
        <w:ind w:left="567" w:hanging="567"/>
        <w:jc w:val="both"/>
        <w:rPr>
          <w:rtl/>
        </w:rPr>
      </w:pPr>
      <w:r>
        <w:rPr>
          <w:rFonts w:ascii="David" w:hAnsi="David" w:cs="David"/>
          <w:color w:val="000000"/>
          <w:rtl/>
        </w:rPr>
        <w:t>68.</w:t>
      </w:r>
      <w:r>
        <w:rPr>
          <w:color w:val="000000"/>
          <w:sz w:val="14"/>
          <w:szCs w:val="14"/>
          <w:rtl/>
        </w:rPr>
        <w:t xml:space="preserve">  </w:t>
      </w:r>
      <w:r>
        <w:rPr>
          <w:rFonts w:ascii="David" w:hAnsi="David" w:cs="David"/>
          <w:sz w:val="28"/>
          <w:szCs w:val="28"/>
          <w:rtl/>
        </w:rPr>
        <w:t xml:space="preserve">מכל המפורט עולה כי מערכת היחסים בין הצדדים לא התנהלה על מי מנוחות והתאפיינה בחיכוכים, מכתבי התראה והטלת סנקציות. מעת לעת נחתמו תיקונים ותוספות להסכם על מנת להסדיר נושאים שנויים במחלוקת. במצב דברים זה אין מקום לצפות מהמבקשת כי תמהר לפנות לבית המשפט לקבלת סעד כאשר מתעוררת מחלוקת בין הצדדים. הגשת הבקשה לבימ"ש לאחר הודעה מיום 23.3.26 הייתה ביום 5.4.26. בנסיבות שפורטו לעיל אין מדובר בשיהוי. </w:t>
      </w:r>
      <w:r>
        <w:rPr>
          <w:rFonts w:ascii="David" w:hAnsi="David" w:cs="David"/>
          <w:b/>
          <w:bCs/>
          <w:sz w:val="28"/>
          <w:szCs w:val="28"/>
          <w:rtl/>
        </w:rPr>
        <w:t xml:space="preserve">טענת המשיבה בעניין זה נדחית. </w:t>
      </w:r>
    </w:p>
    <w:p w14:paraId="51A4BB6C" w14:textId="77777777" w:rsidR="00000000" w:rsidRDefault="00000000">
      <w:pPr>
        <w:pStyle w:val="a9"/>
        <w:spacing w:line="360" w:lineRule="auto"/>
        <w:ind w:left="567" w:hanging="567"/>
        <w:jc w:val="both"/>
        <w:rPr>
          <w:rtl/>
        </w:rPr>
      </w:pPr>
      <w:r>
        <w:rPr>
          <w:rFonts w:ascii="David" w:hAnsi="David" w:cs="David"/>
          <w:color w:val="000000"/>
          <w:rtl/>
        </w:rPr>
        <w:t>69.</w:t>
      </w:r>
      <w:r>
        <w:rPr>
          <w:color w:val="000000"/>
          <w:sz w:val="14"/>
          <w:szCs w:val="14"/>
          <w:rtl/>
        </w:rPr>
        <w:t xml:space="preserve">  </w:t>
      </w:r>
      <w:r>
        <w:rPr>
          <w:rFonts w:ascii="David" w:hAnsi="David" w:cs="David"/>
          <w:sz w:val="28"/>
          <w:szCs w:val="28"/>
          <w:rtl/>
        </w:rPr>
        <w:t>בהתאם לתקנה 95(ד)(2) בהכרעה בסעד הזמני יש לבחון האם ישנו "</w:t>
      </w:r>
      <w:r>
        <w:rPr>
          <w:rFonts w:ascii="David" w:hAnsi="David" w:cs="David"/>
          <w:b/>
          <w:bCs/>
          <w:sz w:val="28"/>
          <w:szCs w:val="28"/>
          <w:rtl/>
        </w:rPr>
        <w:t>סעד שפגיעתו במשיב פחותה</w:t>
      </w:r>
      <w:r>
        <w:rPr>
          <w:rFonts w:ascii="David" w:hAnsi="David" w:cs="David"/>
          <w:sz w:val="28"/>
          <w:szCs w:val="28"/>
          <w:rtl/>
        </w:rPr>
        <w:t xml:space="preserve">", אשר משיג את התכלית של הסעד הזמני שהתבקש (ראו: עניין צרפתי, פסקה 44 להחלטה). המבקשת לא טענה בעניין זה והסעד הזמני נוסח ללא סעדים חלופיים. על כן לא ניתן היה לבחון אפשרות למתן סעד זמני שפגיעתו פחותה במשיב ואפשרי לתתו. </w:t>
      </w:r>
    </w:p>
    <w:p w14:paraId="37B6FEBE" w14:textId="77777777" w:rsidR="00000000" w:rsidRDefault="00000000">
      <w:pPr>
        <w:pStyle w:val="a9"/>
        <w:spacing w:line="360" w:lineRule="auto"/>
        <w:rPr>
          <w:rtl/>
        </w:rPr>
      </w:pPr>
      <w:r>
        <w:rPr>
          <w:rFonts w:ascii="David" w:hAnsi="David" w:cs="David"/>
          <w:sz w:val="28"/>
          <w:szCs w:val="28"/>
        </w:rPr>
        <w:t> </w:t>
      </w:r>
    </w:p>
    <w:p w14:paraId="02579711" w14:textId="77777777" w:rsidR="00000000" w:rsidRDefault="00000000">
      <w:pPr>
        <w:pStyle w:val="a9"/>
        <w:spacing w:line="360" w:lineRule="auto"/>
        <w:ind w:left="567" w:hanging="567"/>
        <w:jc w:val="both"/>
        <w:rPr>
          <w:rtl/>
        </w:rPr>
      </w:pPr>
      <w:r>
        <w:rPr>
          <w:rFonts w:ascii="David" w:hAnsi="David" w:cs="David"/>
          <w:color w:val="000000"/>
          <w:rtl/>
        </w:rPr>
        <w:t>70.</w:t>
      </w:r>
      <w:r>
        <w:rPr>
          <w:color w:val="000000"/>
          <w:sz w:val="14"/>
          <w:szCs w:val="14"/>
          <w:rtl/>
        </w:rPr>
        <w:t xml:space="preserve">  </w:t>
      </w:r>
      <w:r>
        <w:rPr>
          <w:rFonts w:ascii="David" w:hAnsi="David" w:cs="David"/>
          <w:b/>
          <w:bCs/>
          <w:sz w:val="28"/>
          <w:szCs w:val="28"/>
          <w:rtl/>
        </w:rPr>
        <w:t xml:space="preserve">אשר על כן לאור כל המפורט בסופו של יום ובתמונה הכוללת שוכנעתי כי מקבילית הכוחות נוטה אל עבר טענות המשיבה לאי מתן הצו. מאזן הנוחות והנזקים נוטה לטובת המשיבה בצירוף שיקולי תום הלב. </w:t>
      </w:r>
    </w:p>
    <w:p w14:paraId="754B2B0F" w14:textId="77777777" w:rsidR="00000000" w:rsidRDefault="00000000">
      <w:pPr>
        <w:pStyle w:val="a9"/>
        <w:spacing w:line="360" w:lineRule="auto"/>
        <w:ind w:left="567"/>
        <w:jc w:val="both"/>
        <w:rPr>
          <w:rtl/>
        </w:rPr>
      </w:pPr>
      <w:r>
        <w:rPr>
          <w:rFonts w:ascii="David" w:hAnsi="David" w:cs="David"/>
          <w:b/>
          <w:bCs/>
          <w:sz w:val="28"/>
          <w:szCs w:val="28"/>
          <w:rtl/>
        </w:rPr>
        <w:t xml:space="preserve">אני ערה לכך כי סביר להניח כי דחיית הבקשה תשלול מהמבקשת את האפשרות לאכוף את ההסכם לגבי העבודות שנגרעו, אולם היא תוכל לעתור לפיצויי כספי בגין נזקיה, ככל שישנם ויוכחו. </w:t>
      </w:r>
    </w:p>
    <w:p w14:paraId="5FBFCE05" w14:textId="77777777" w:rsidR="00000000" w:rsidRDefault="00000000">
      <w:pPr>
        <w:pStyle w:val="a9"/>
        <w:spacing w:line="360" w:lineRule="auto"/>
        <w:rPr>
          <w:rtl/>
        </w:rPr>
      </w:pPr>
      <w:r>
        <w:rPr>
          <w:rFonts w:ascii="David" w:hAnsi="David" w:cs="David"/>
          <w:b/>
          <w:bCs/>
          <w:sz w:val="28"/>
          <w:szCs w:val="28"/>
        </w:rPr>
        <w:t> </w:t>
      </w:r>
    </w:p>
    <w:p w14:paraId="5C4F720D" w14:textId="77777777" w:rsidR="00000000" w:rsidRDefault="00000000">
      <w:pPr>
        <w:pStyle w:val="a9"/>
        <w:spacing w:line="360" w:lineRule="auto"/>
        <w:ind w:left="567" w:hanging="567"/>
        <w:jc w:val="both"/>
        <w:rPr>
          <w:rtl/>
        </w:rPr>
      </w:pPr>
      <w:r>
        <w:rPr>
          <w:rFonts w:ascii="David" w:hAnsi="David" w:cs="David"/>
          <w:color w:val="000000"/>
          <w:rtl/>
        </w:rPr>
        <w:t>71.</w:t>
      </w:r>
      <w:r>
        <w:rPr>
          <w:color w:val="000000"/>
          <w:sz w:val="14"/>
          <w:szCs w:val="14"/>
          <w:rtl/>
        </w:rPr>
        <w:t xml:space="preserve">  </w:t>
      </w:r>
      <w:r>
        <w:rPr>
          <w:rFonts w:ascii="David" w:hAnsi="David" w:cs="David"/>
          <w:b/>
          <w:bCs/>
          <w:sz w:val="28"/>
          <w:szCs w:val="28"/>
          <w:rtl/>
        </w:rPr>
        <w:t xml:space="preserve">אשר על כן הבקשה נדחית. </w:t>
      </w:r>
    </w:p>
    <w:p w14:paraId="6ED74D90" w14:textId="77777777" w:rsidR="00000000" w:rsidRDefault="00000000">
      <w:pPr>
        <w:pStyle w:val="a9"/>
        <w:spacing w:line="360" w:lineRule="auto"/>
        <w:rPr>
          <w:rtl/>
        </w:rPr>
      </w:pPr>
      <w:r>
        <w:rPr>
          <w:rFonts w:ascii="David" w:hAnsi="David" w:cs="David"/>
          <w:sz w:val="28"/>
          <w:szCs w:val="28"/>
        </w:rPr>
        <w:t> </w:t>
      </w:r>
    </w:p>
    <w:p w14:paraId="54C77C48" w14:textId="77777777" w:rsidR="00000000" w:rsidRDefault="00000000">
      <w:pPr>
        <w:pStyle w:val="a9"/>
        <w:spacing w:line="360" w:lineRule="auto"/>
        <w:ind w:left="567" w:hanging="567"/>
        <w:jc w:val="both"/>
        <w:rPr>
          <w:rtl/>
        </w:rPr>
      </w:pPr>
      <w:r>
        <w:rPr>
          <w:rFonts w:ascii="David" w:hAnsi="David" w:cs="David"/>
          <w:color w:val="000000"/>
          <w:rtl/>
        </w:rPr>
        <w:t>72.</w:t>
      </w:r>
      <w:r>
        <w:rPr>
          <w:color w:val="000000"/>
          <w:sz w:val="14"/>
          <w:szCs w:val="14"/>
          <w:rtl/>
        </w:rPr>
        <w:t xml:space="preserve">  </w:t>
      </w:r>
      <w:r>
        <w:rPr>
          <w:rFonts w:ascii="David" w:hAnsi="David" w:cs="David"/>
          <w:sz w:val="28"/>
          <w:szCs w:val="28"/>
          <w:u w:val="single"/>
          <w:rtl/>
        </w:rPr>
        <w:t>הוצאות הבקשה -</w:t>
      </w:r>
      <w:r>
        <w:rPr>
          <w:rFonts w:ascii="David" w:hAnsi="David" w:cs="David"/>
          <w:sz w:val="28"/>
          <w:szCs w:val="28"/>
          <w:rtl/>
        </w:rPr>
        <w:t xml:space="preserve"> לאור התוצאה אליה הגעתי המבקשת תישא בהוצאות המשיבה בהליך זה בסך של 10,000 ש"ח. </w:t>
      </w:r>
    </w:p>
    <w:p w14:paraId="03F7B073" w14:textId="77777777" w:rsidR="00000000" w:rsidRDefault="00000000">
      <w:pPr>
        <w:bidi/>
        <w:spacing w:line="360" w:lineRule="auto"/>
        <w:rPr>
          <w:rtl/>
        </w:rPr>
      </w:pPr>
      <w:r>
        <w:rPr>
          <w:rFonts w:ascii="David" w:hAnsi="David" w:cs="David"/>
          <w:sz w:val="28"/>
          <w:szCs w:val="28"/>
        </w:rPr>
        <w:t> </w:t>
      </w:r>
    </w:p>
    <w:p w14:paraId="5038DA88" w14:textId="77777777" w:rsidR="00000000" w:rsidRDefault="00000000">
      <w:pPr>
        <w:bidi/>
        <w:spacing w:line="360" w:lineRule="auto"/>
        <w:jc w:val="both"/>
        <w:rPr>
          <w:rtl/>
        </w:rPr>
      </w:pPr>
      <w:r>
        <w:rPr>
          <w:rFonts w:ascii="David" w:hAnsi="David" w:cs="David"/>
          <w:sz w:val="28"/>
          <w:szCs w:val="28"/>
          <w:rtl/>
        </w:rPr>
        <w:t> </w:t>
      </w:r>
    </w:p>
    <w:p w14:paraId="30247A6F" w14:textId="77777777" w:rsidR="00000000" w:rsidRDefault="00000000">
      <w:pPr>
        <w:bidi/>
        <w:ind w:left="5040"/>
        <w:rPr>
          <w:rtl/>
        </w:rPr>
      </w:pPr>
      <w:r>
        <w:rPr>
          <w:rFonts w:ascii="David" w:hAnsi="David" w:cs="David"/>
          <w:sz w:val="28"/>
          <w:szCs w:val="28"/>
          <w:rtl/>
        </w:rPr>
        <w:t xml:space="preserve">ניתנה היום, א' סיוון תשפ"ו, </w:t>
      </w:r>
      <w:r>
        <w:rPr>
          <w:rStyle w:val="f5dinim"/>
          <w:rFonts w:ascii="David" w:hAnsi="David" w:cs="David"/>
          <w:sz w:val="28"/>
          <w:szCs w:val="28"/>
          <w:rtl/>
        </w:rPr>
        <w:t>17 מאי 2026</w:t>
      </w:r>
      <w:r>
        <w:rPr>
          <w:rFonts w:ascii="David" w:hAnsi="David" w:cs="David"/>
          <w:sz w:val="28"/>
          <w:szCs w:val="28"/>
          <w:rtl/>
        </w:rPr>
        <w:t>, בהעדר הצדדים.</w:t>
      </w:r>
    </w:p>
    <w:p w14:paraId="0279C4CD" w14:textId="77777777" w:rsidR="00000000" w:rsidRDefault="00000000">
      <w:pPr>
        <w:bidi/>
        <w:ind w:left="5040"/>
        <w:rPr>
          <w:rtl/>
        </w:rPr>
      </w:pPr>
      <w:r>
        <w:rPr>
          <w:rFonts w:ascii="David" w:hAnsi="David" w:cs="David"/>
          <w:sz w:val="28"/>
          <w:szCs w:val="28"/>
          <w:rtl/>
        </w:rPr>
        <w:t> </w:t>
      </w:r>
    </w:p>
    <w:p w14:paraId="147FA319" w14:textId="77777777" w:rsidR="00000000" w:rsidRDefault="00000000">
      <w:pPr>
        <w:bidi/>
        <w:rPr>
          <w:rtl/>
        </w:rPr>
      </w:pPr>
      <w:r>
        <w:rPr>
          <w:rFonts w:ascii="David" w:hAnsi="David" w:cs="David"/>
          <w:sz w:val="28"/>
          <w:szCs w:val="28"/>
          <w:rtl/>
        </w:rPr>
        <w:t>   </w:t>
      </w:r>
    </w:p>
    <w:p w14:paraId="7FA0B984" w14:textId="77777777" w:rsidR="00000000" w:rsidRDefault="00000000">
      <w:pPr>
        <w:bidi/>
        <w:rPr>
          <w:rtl/>
        </w:rPr>
      </w:pPr>
      <w:r>
        <w:rPr>
          <w:rFonts w:ascii="David" w:hAnsi="David" w:cs="David"/>
          <w:sz w:val="28"/>
          <w:szCs w:val="28"/>
          <w:rtl/>
        </w:rPr>
        <w:t> </w:t>
      </w:r>
    </w:p>
    <w:p w14:paraId="53FA0014" w14:textId="77777777" w:rsidR="00000000" w:rsidRDefault="00000000">
      <w:pPr>
        <w:bidi/>
        <w:rPr>
          <w:rtl/>
        </w:rPr>
      </w:pPr>
      <w:r>
        <w:rPr>
          <w:rFonts w:ascii="David" w:hAnsi="David" w:cs="David"/>
          <w:color w:val="000000"/>
          <w:sz w:val="28"/>
          <w:szCs w:val="28"/>
          <w:rtl/>
        </w:rPr>
        <w:t> </w:t>
      </w:r>
    </w:p>
    <w:tbl>
      <w:tblPr>
        <w:bidiVisual/>
        <w:tblW w:w="5000" w:type="pct"/>
        <w:tblCellSpacing w:w="0" w:type="dxa"/>
        <w:tblCellMar>
          <w:left w:w="0" w:type="dxa"/>
          <w:right w:w="0" w:type="dxa"/>
        </w:tblCellMar>
        <w:tblLook w:val="04A0" w:firstRow="1" w:lastRow="0" w:firstColumn="1" w:lastColumn="0" w:noHBand="0" w:noVBand="1"/>
      </w:tblPr>
      <w:tblGrid>
        <w:gridCol w:w="8312"/>
      </w:tblGrid>
      <w:tr w:rsidR="00000000" w14:paraId="2CFB7912" w14:textId="77777777">
        <w:trPr>
          <w:tblCellSpacing w:w="0" w:type="dxa"/>
        </w:trPr>
        <w:tc>
          <w:tcPr>
            <w:tcW w:w="0" w:type="auto"/>
            <w:vAlign w:val="center"/>
            <w:hideMark/>
          </w:tcPr>
          <w:p w14:paraId="38E1D44F" w14:textId="77777777" w:rsidR="00000000" w:rsidRDefault="00000000">
            <w:pPr>
              <w:bidi/>
              <w:jc w:val="center"/>
              <w:divId w:val="1927302573"/>
              <w:rPr>
                <w:rFonts w:ascii="David" w:eastAsia="Times New Roman" w:hAnsi="David" w:cs="David"/>
                <w:rtl/>
              </w:rPr>
            </w:pPr>
            <w:r>
              <w:rPr>
                <w:rFonts w:ascii="David" w:eastAsia="Times New Roman" w:hAnsi="David" w:cs="David"/>
                <w:rtl/>
              </w:rPr>
              <w:t>תא 2995-04-26 </w:t>
            </w:r>
            <w:proofErr w:type="spellStart"/>
            <w:r>
              <w:rPr>
                <w:rFonts w:ascii="David" w:eastAsia="Times New Roman" w:hAnsi="David" w:cs="David"/>
                <w:rtl/>
              </w:rPr>
              <w:t>סוסיאדד</w:t>
            </w:r>
            <w:proofErr w:type="spellEnd"/>
            <w:r>
              <w:rPr>
                <w:rFonts w:ascii="David" w:eastAsia="Times New Roman" w:hAnsi="David" w:cs="David"/>
                <w:rtl/>
              </w:rPr>
              <w:t xml:space="preserve"> </w:t>
            </w:r>
            <w:proofErr w:type="spellStart"/>
            <w:r>
              <w:rPr>
                <w:rFonts w:ascii="David" w:eastAsia="Times New Roman" w:hAnsi="David" w:cs="David"/>
                <w:rtl/>
              </w:rPr>
              <w:t>אספנולה</w:t>
            </w:r>
            <w:proofErr w:type="spellEnd"/>
            <w:r>
              <w:rPr>
                <w:rFonts w:ascii="David" w:eastAsia="Times New Roman" w:hAnsi="David" w:cs="David"/>
                <w:rtl/>
              </w:rPr>
              <w:t xml:space="preserve"> דה </w:t>
            </w:r>
            <w:proofErr w:type="spellStart"/>
            <w:r>
              <w:rPr>
                <w:rFonts w:ascii="David" w:eastAsia="Times New Roman" w:hAnsi="David" w:cs="David"/>
                <w:rtl/>
              </w:rPr>
              <w:t>מונטאיס</w:t>
            </w:r>
            <w:proofErr w:type="spellEnd"/>
            <w:r>
              <w:rPr>
                <w:rFonts w:ascii="David" w:eastAsia="Times New Roman" w:hAnsi="David" w:cs="David"/>
                <w:rtl/>
              </w:rPr>
              <w:t xml:space="preserve"> </w:t>
            </w:r>
            <w:proofErr w:type="spellStart"/>
            <w:r>
              <w:rPr>
                <w:rFonts w:ascii="David" w:eastAsia="Times New Roman" w:hAnsi="David" w:cs="David"/>
                <w:rtl/>
              </w:rPr>
              <w:t>אינדסטריאלס</w:t>
            </w:r>
            <w:proofErr w:type="spellEnd"/>
            <w:r>
              <w:rPr>
                <w:rFonts w:ascii="David" w:eastAsia="Times New Roman" w:hAnsi="David" w:cs="David"/>
                <w:rtl/>
              </w:rPr>
              <w:t xml:space="preserve"> </w:t>
            </w:r>
            <w:proofErr w:type="spellStart"/>
            <w:r>
              <w:rPr>
                <w:rFonts w:ascii="David" w:eastAsia="Times New Roman" w:hAnsi="David" w:cs="David"/>
                <w:rtl/>
              </w:rPr>
              <w:t>אס.איי</w:t>
            </w:r>
            <w:proofErr w:type="spellEnd"/>
            <w:r>
              <w:rPr>
                <w:rFonts w:ascii="David" w:eastAsia="Times New Roman" w:hAnsi="David" w:cs="David"/>
                <w:rtl/>
              </w:rPr>
              <w:t xml:space="preserve"> נגד רכבת ישראל בע"מ</w:t>
            </w:r>
          </w:p>
          <w:p w14:paraId="4A9ABAC2" w14:textId="77777777" w:rsidR="00000000" w:rsidRDefault="00000000">
            <w:pPr>
              <w:pStyle w:val="a5"/>
              <w:bidi/>
              <w:jc w:val="center"/>
              <w:divId w:val="1992057456"/>
              <w:rPr>
                <w:rtl/>
              </w:rPr>
            </w:pPr>
            <w:r>
              <w:rPr>
                <w:rtl/>
              </w:rPr>
              <w:t>תא 2995-04-26 </w:t>
            </w:r>
            <w:proofErr w:type="spellStart"/>
            <w:r>
              <w:rPr>
                <w:rtl/>
              </w:rPr>
              <w:t>סוסיאדד</w:t>
            </w:r>
            <w:proofErr w:type="spellEnd"/>
            <w:r>
              <w:rPr>
                <w:rtl/>
              </w:rPr>
              <w:t xml:space="preserve"> </w:t>
            </w:r>
            <w:proofErr w:type="spellStart"/>
            <w:r>
              <w:rPr>
                <w:rtl/>
              </w:rPr>
              <w:t>אספנולה</w:t>
            </w:r>
            <w:proofErr w:type="spellEnd"/>
            <w:r>
              <w:rPr>
                <w:rtl/>
              </w:rPr>
              <w:t xml:space="preserve"> דה </w:t>
            </w:r>
            <w:proofErr w:type="spellStart"/>
            <w:r>
              <w:rPr>
                <w:rtl/>
              </w:rPr>
              <w:t>מונטאיס</w:t>
            </w:r>
            <w:proofErr w:type="spellEnd"/>
            <w:r>
              <w:rPr>
                <w:rtl/>
              </w:rPr>
              <w:t xml:space="preserve"> </w:t>
            </w:r>
            <w:proofErr w:type="spellStart"/>
            <w:r>
              <w:rPr>
                <w:rtl/>
              </w:rPr>
              <w:t>אינדסטריאלס</w:t>
            </w:r>
            <w:proofErr w:type="spellEnd"/>
            <w:r>
              <w:rPr>
                <w:rtl/>
              </w:rPr>
              <w:t xml:space="preserve"> </w:t>
            </w:r>
            <w:proofErr w:type="spellStart"/>
            <w:r>
              <w:rPr>
                <w:rtl/>
              </w:rPr>
              <w:t>אס.איי</w:t>
            </w:r>
            <w:proofErr w:type="spellEnd"/>
            <w:r>
              <w:rPr>
                <w:rtl/>
              </w:rPr>
              <w:t xml:space="preserve"> נגד רכבת ישראל בע"מ</w:t>
            </w:r>
          </w:p>
        </w:tc>
      </w:tr>
    </w:tbl>
    <w:p w14:paraId="46608426" w14:textId="77777777" w:rsidR="0001160D" w:rsidRDefault="0001160D">
      <w:pPr>
        <w:rPr>
          <w:rFonts w:eastAsia="Times New Roman"/>
        </w:rPr>
      </w:pPr>
    </w:p>
    <w:sectPr w:rsidR="0001160D">
      <w:footerReference w:type="default" r:id="rId12"/>
      <w:pgSz w:w="11906" w:h="16838"/>
      <w:pgMar w:top="1440" w:right="1797" w:bottom="1440" w:left="1797"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7FE9B" w14:textId="77777777" w:rsidR="0001160D" w:rsidRDefault="0001160D">
      <w:r>
        <w:separator/>
      </w:r>
    </w:p>
  </w:endnote>
  <w:endnote w:type="continuationSeparator" w:id="0">
    <w:p w14:paraId="70E0F640" w14:textId="77777777" w:rsidR="0001160D" w:rsidRDefault="00011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C07C" w14:textId="77777777" w:rsidR="00000000" w:rsidRDefault="00000000">
    <w:pPr>
      <w:bidi/>
      <w:jc w:val="center"/>
      <w:rPr>
        <w:rFonts w:ascii="David" w:eastAsia="Times New Roman" w:hAnsi="David" w:cs="David"/>
        <w:rtl/>
      </w:rPr>
    </w:pPr>
    <w:r>
      <w:rPr>
        <w:rFonts w:ascii="David" w:eastAsia="Times New Roman" w:hAnsi="David" w:cs="David"/>
        <w:rtl/>
      </w:rPr>
      <w:t>תא 2995-04-26 סוסיאדד אספנולה דה מונטאיס אינדסטריאלס אס.איי נגד רכבת ישראל בע"מ</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FBC4B" w14:textId="77777777" w:rsidR="0001160D" w:rsidRDefault="0001160D">
      <w:r>
        <w:separator/>
      </w:r>
    </w:p>
  </w:footnote>
  <w:footnote w:type="continuationSeparator" w:id="0">
    <w:p w14:paraId="2B187B34" w14:textId="77777777" w:rsidR="0001160D" w:rsidRDefault="000116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66047"/>
    <w:rsid w:val="0001160D"/>
    <w:rsid w:val="00A66047"/>
    <w:rsid w:val="00C44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ABEB3"/>
  <w15:chartTrackingRefBased/>
  <w15:docId w15:val="{093C4533-C232-4449-BEFD-3B67A985A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Pr>
      <w:color w:val="0000FF"/>
      <w:u w:val="single"/>
    </w:rPr>
  </w:style>
  <w:style w:type="character" w:styleId="FollowedHyperlink">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paragraph" w:styleId="a3">
    <w:name w:val="header"/>
    <w:basedOn w:val="a"/>
    <w:link w:val="a4"/>
    <w:uiPriority w:val="99"/>
    <w:semiHidden/>
    <w:unhideWhenUsed/>
  </w:style>
  <w:style w:type="character" w:customStyle="1" w:styleId="a4">
    <w:name w:val="כותרת עליונה תו"/>
    <w:basedOn w:val="a0"/>
    <w:link w:val="a3"/>
    <w:uiPriority w:val="99"/>
    <w:semiHidden/>
    <w:rPr>
      <w:rFonts w:eastAsiaTheme="minorEastAsia"/>
      <w:sz w:val="24"/>
      <w:szCs w:val="24"/>
    </w:rPr>
  </w:style>
  <w:style w:type="paragraph" w:styleId="a5">
    <w:name w:val="footer"/>
    <w:basedOn w:val="a"/>
    <w:link w:val="a6"/>
    <w:uiPriority w:val="99"/>
    <w:unhideWhenUsed/>
    <w:pPr>
      <w:tabs>
        <w:tab w:val="center" w:pos="4320"/>
        <w:tab w:val="right" w:pos="8640"/>
      </w:tabs>
    </w:pPr>
    <w:rPr>
      <w:rFonts w:ascii="David" w:hAnsi="David" w:cs="David"/>
    </w:rPr>
  </w:style>
  <w:style w:type="character" w:customStyle="1" w:styleId="a6">
    <w:name w:val="כותרת תחתונה תו"/>
    <w:basedOn w:val="a0"/>
    <w:link w:val="a5"/>
    <w:uiPriority w:val="99"/>
    <w:rPr>
      <w:rFonts w:eastAsiaTheme="minorEastAsia"/>
      <w:sz w:val="24"/>
      <w:szCs w:val="24"/>
    </w:rPr>
  </w:style>
  <w:style w:type="paragraph" w:styleId="a7">
    <w:name w:val="Subtitle"/>
    <w:basedOn w:val="a"/>
    <w:link w:val="a8"/>
    <w:uiPriority w:val="11"/>
    <w:qFormat/>
    <w:pPr>
      <w:spacing w:after="60"/>
      <w:jc w:val="center"/>
    </w:pPr>
    <w:rPr>
      <w:rFonts w:ascii="Cambria" w:hAnsi="Cambria"/>
    </w:rPr>
  </w:style>
  <w:style w:type="character" w:customStyle="1" w:styleId="a8">
    <w:name w:val="כותרת משנה תו"/>
    <w:basedOn w:val="a0"/>
    <w:link w:val="a7"/>
    <w:uiPriority w:val="11"/>
    <w:rPr>
      <w:rFonts w:ascii="Cambria" w:hAnsi="Cambria" w:hint="default"/>
    </w:rPr>
  </w:style>
  <w:style w:type="paragraph" w:styleId="a9">
    <w:name w:val="List Paragraph"/>
    <w:basedOn w:val="a"/>
    <w:uiPriority w:val="34"/>
    <w:qFormat/>
    <w:pPr>
      <w:bidi/>
      <w:ind w:left="720"/>
    </w:pPr>
  </w:style>
  <w:style w:type="paragraph" w:customStyle="1" w:styleId="msolistparagraphcxspfirst">
    <w:name w:val="msolistparagraphcxspfirst"/>
    <w:basedOn w:val="a"/>
    <w:pPr>
      <w:bidi/>
      <w:ind w:left="720"/>
    </w:pPr>
  </w:style>
  <w:style w:type="paragraph" w:customStyle="1" w:styleId="msolistparagraphcxspmiddle">
    <w:name w:val="msolistparagraphcxspmiddle"/>
    <w:basedOn w:val="a"/>
    <w:pPr>
      <w:bidi/>
      <w:ind w:left="720"/>
    </w:pPr>
  </w:style>
  <w:style w:type="paragraph" w:customStyle="1" w:styleId="msolistparagraphcxsplast">
    <w:name w:val="msolistparagraphcxsplast"/>
    <w:basedOn w:val="a"/>
    <w:pPr>
      <w:bidi/>
      <w:ind w:left="720"/>
    </w:pPr>
  </w:style>
  <w:style w:type="paragraph" w:customStyle="1" w:styleId="idhidden">
    <w:name w:val="idhidden"/>
    <w:basedOn w:val="a"/>
    <w:pPr>
      <w:bidi/>
    </w:pPr>
    <w:rPr>
      <w:vanish/>
      <w:color w:val="3366FF"/>
    </w:rPr>
  </w:style>
  <w:style w:type="character" w:customStyle="1" w:styleId="mmtakdinchar">
    <w:name w:val="mmtakdin char"/>
    <w:basedOn w:val="a0"/>
    <w:link w:val="mmtakdin"/>
    <w:rPr>
      <w:vanish/>
      <w:webHidden w:val="0"/>
      <w:color w:val="FF0000"/>
      <w:specVanish w:val="0"/>
    </w:rPr>
  </w:style>
  <w:style w:type="paragraph" w:customStyle="1" w:styleId="mmtakdin">
    <w:name w:val="mmtakdin"/>
    <w:basedOn w:val="a"/>
    <w:link w:val="mmtakdinchar"/>
    <w:pPr>
      <w:bidi/>
    </w:pPr>
    <w:rPr>
      <w:vanish/>
      <w:color w:val="FF0000"/>
    </w:rPr>
  </w:style>
  <w:style w:type="character" w:customStyle="1" w:styleId="titlechar">
    <w:name w:val="title char"/>
    <w:basedOn w:val="a0"/>
    <w:link w:val="title"/>
    <w:rPr>
      <w:rFonts w:ascii="Arial" w:hAnsi="Arial" w:cs="Arial" w:hint="default"/>
      <w:b/>
      <w:bCs/>
    </w:rPr>
  </w:style>
  <w:style w:type="paragraph" w:customStyle="1" w:styleId="title">
    <w:name w:val="title"/>
    <w:basedOn w:val="a"/>
    <w:link w:val="titlechar"/>
    <w:pPr>
      <w:jc w:val="center"/>
    </w:pPr>
    <w:rPr>
      <w:rFonts w:ascii="Arial" w:hAnsi="Arial" w:cs="Arial"/>
      <w:b/>
      <w:bCs/>
      <w:sz w:val="32"/>
      <w:szCs w:val="32"/>
    </w:rPr>
  </w:style>
  <w:style w:type="paragraph" w:customStyle="1" w:styleId="datedoc">
    <w:name w:val="datedoc"/>
    <w:basedOn w:val="a"/>
    <w:pPr>
      <w:spacing w:after="200" w:line="276" w:lineRule="auto"/>
      <w:jc w:val="center"/>
    </w:pPr>
    <w:rPr>
      <w:rFonts w:ascii="Arial" w:hAnsi="Arial" w:cs="Arial"/>
      <w:b/>
      <w:bCs/>
      <w:spacing w:val="15"/>
      <w:sz w:val="28"/>
      <w:szCs w:val="28"/>
    </w:rPr>
  </w:style>
  <w:style w:type="paragraph" w:customStyle="1" w:styleId="content">
    <w:name w:val="content"/>
    <w:basedOn w:val="a"/>
    <w:pPr>
      <w:spacing w:after="200" w:line="276" w:lineRule="auto"/>
      <w:jc w:val="center"/>
    </w:pPr>
    <w:rPr>
      <w:rFonts w:ascii="Arial" w:hAnsi="Arial" w:cs="Arial"/>
      <w:spacing w:val="15"/>
      <w:sz w:val="28"/>
      <w:szCs w:val="28"/>
    </w:rPr>
  </w:style>
  <w:style w:type="paragraph" w:customStyle="1" w:styleId="judges">
    <w:name w:val="judges"/>
    <w:basedOn w:val="a"/>
    <w:pPr>
      <w:spacing w:after="200" w:line="276" w:lineRule="auto"/>
      <w:jc w:val="center"/>
    </w:pPr>
    <w:rPr>
      <w:rFonts w:ascii="Arial" w:hAnsi="Arial" w:cs="Arial"/>
      <w:spacing w:val="15"/>
      <w:sz w:val="28"/>
      <w:szCs w:val="28"/>
    </w:rPr>
  </w:style>
  <w:style w:type="paragraph" w:customStyle="1" w:styleId="lawyers">
    <w:name w:val="lawyers"/>
    <w:basedOn w:val="a"/>
    <w:pPr>
      <w:spacing w:after="200" w:line="276" w:lineRule="auto"/>
      <w:jc w:val="center"/>
    </w:pPr>
    <w:rPr>
      <w:rFonts w:ascii="Arial" w:hAnsi="Arial" w:cs="Arial"/>
      <w:spacing w:val="15"/>
    </w:rPr>
  </w:style>
  <w:style w:type="paragraph" w:customStyle="1" w:styleId="details">
    <w:name w:val="details"/>
    <w:basedOn w:val="a"/>
    <w:pPr>
      <w:spacing w:after="200" w:line="276" w:lineRule="auto"/>
      <w:jc w:val="center"/>
    </w:pPr>
    <w:rPr>
      <w:rFonts w:ascii="Arial" w:hAnsi="Arial" w:cs="Arial"/>
      <w:b/>
      <w:bCs/>
      <w:color w:val="800000"/>
      <w:spacing w:val="15"/>
      <w:sz w:val="30"/>
      <w:szCs w:val="30"/>
    </w:rPr>
  </w:style>
  <w:style w:type="paragraph" w:customStyle="1" w:styleId="sivugim">
    <w:name w:val="sivugim"/>
    <w:basedOn w:val="a"/>
    <w:pPr>
      <w:spacing w:after="200" w:line="276" w:lineRule="auto"/>
      <w:jc w:val="center"/>
    </w:pPr>
    <w:rPr>
      <w:rFonts w:ascii="Arial" w:hAnsi="Arial" w:cs="Arial"/>
      <w:spacing w:val="15"/>
    </w:rPr>
  </w:style>
  <w:style w:type="paragraph" w:customStyle="1" w:styleId="subtitle">
    <w:name w:val="subtitle"/>
    <w:basedOn w:val="a"/>
    <w:pPr>
      <w:spacing w:after="200" w:line="276" w:lineRule="auto"/>
    </w:pPr>
    <w:rPr>
      <w:rFonts w:ascii="Arial" w:hAnsi="Arial" w:cs="Arial"/>
      <w:b/>
      <w:bCs/>
      <w:spacing w:val="15"/>
    </w:rPr>
  </w:style>
  <w:style w:type="paragraph" w:customStyle="1" w:styleId="section1">
    <w:name w:val="section1"/>
    <w:basedOn w:val="a"/>
    <w:pPr>
      <w:spacing w:before="100" w:beforeAutospacing="1" w:after="100" w:afterAutospacing="1"/>
    </w:pPr>
  </w:style>
  <w:style w:type="character" w:styleId="aa">
    <w:name w:val="page number"/>
    <w:basedOn w:val="a0"/>
    <w:uiPriority w:val="99"/>
    <w:semiHidden/>
    <w:unhideWhenUsed/>
    <w:rPr>
      <w:rFonts w:ascii="Times New Roman" w:hAnsi="Times New Roman" w:cs="Times New Roman" w:hint="default"/>
    </w:rPr>
  </w:style>
  <w:style w:type="character" w:customStyle="1" w:styleId="f4dinim">
    <w:name w:val="f4dinim"/>
    <w:basedOn w:val="a0"/>
  </w:style>
  <w:style w:type="character" w:customStyle="1" w:styleId="f40dinim">
    <w:name w:val="f40dinim"/>
    <w:basedOn w:val="a0"/>
  </w:style>
  <w:style w:type="character" w:customStyle="1" w:styleId="f41dinim">
    <w:name w:val="f41dinim"/>
    <w:basedOn w:val="a0"/>
  </w:style>
  <w:style w:type="character" w:customStyle="1" w:styleId="f2dinim">
    <w:name w:val="f2dinim"/>
    <w:basedOn w:val="a0"/>
  </w:style>
  <w:style w:type="character" w:customStyle="1" w:styleId="f42dinim">
    <w:name w:val="f42dinim"/>
    <w:basedOn w:val="a0"/>
  </w:style>
  <w:style w:type="character" w:customStyle="1" w:styleId="f2ndinim">
    <w:name w:val="f2ndinim"/>
    <w:basedOn w:val="a0"/>
  </w:style>
  <w:style w:type="character" w:customStyle="1" w:styleId="f3dinim">
    <w:name w:val="f3dinim"/>
    <w:basedOn w:val="a0"/>
  </w:style>
  <w:style w:type="character" w:customStyle="1" w:styleId="f43dinim">
    <w:name w:val="f43dinim"/>
    <w:basedOn w:val="a0"/>
  </w:style>
  <w:style w:type="character" w:customStyle="1" w:styleId="f13hdinim">
    <w:name w:val="f13hdinim"/>
    <w:basedOn w:val="a0"/>
  </w:style>
  <w:style w:type="character" w:customStyle="1" w:styleId="f5dinim">
    <w:name w:val="f5dinim"/>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750023">
      <w:marLeft w:val="0"/>
      <w:marRight w:val="0"/>
      <w:marTop w:val="0"/>
      <w:marBottom w:val="0"/>
      <w:divBdr>
        <w:top w:val="none" w:sz="0" w:space="0" w:color="auto"/>
        <w:left w:val="none" w:sz="0" w:space="0" w:color="auto"/>
        <w:bottom w:val="none" w:sz="0" w:space="0" w:color="auto"/>
        <w:right w:val="none" w:sz="0" w:space="0" w:color="auto"/>
      </w:divBdr>
      <w:divsChild>
        <w:div w:id="1825853653">
          <w:marLeft w:val="0"/>
          <w:marRight w:val="0"/>
          <w:marTop w:val="0"/>
          <w:marBottom w:val="0"/>
          <w:divBdr>
            <w:top w:val="none" w:sz="0" w:space="0" w:color="auto"/>
            <w:left w:val="none" w:sz="0" w:space="0" w:color="auto"/>
            <w:bottom w:val="none" w:sz="0" w:space="0" w:color="auto"/>
            <w:right w:val="none" w:sz="0" w:space="0" w:color="auto"/>
          </w:divBdr>
        </w:div>
      </w:divsChild>
    </w:div>
    <w:div w:id="1927302573">
      <w:marLeft w:val="0"/>
      <w:marRight w:val="0"/>
      <w:marTop w:val="0"/>
      <w:marBottom w:val="0"/>
      <w:divBdr>
        <w:top w:val="none" w:sz="0" w:space="0" w:color="auto"/>
        <w:left w:val="none" w:sz="0" w:space="0" w:color="auto"/>
        <w:bottom w:val="none" w:sz="0" w:space="0" w:color="auto"/>
        <w:right w:val="none" w:sz="0" w:space="0" w:color="auto"/>
      </w:divBdr>
    </w:div>
    <w:div w:id="1992057456">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https://takdin.co.il/hashavimcmsfiles/files/a08d5ce65f254582b5f3998d1c4ab842/image003.gi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takdin.co.il/hashavimcmsfiles/files/a08d5ce65f254582b5f3998d1c4ab842/image002.gif"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takdin.co.il/hashavimcmsfiles/files/a08d5ce65f254582b5f3998d1c4ab842/image001.gif" TargetMode="External"/><Relationship Id="rId11" Type="http://schemas.openxmlformats.org/officeDocument/2006/relationships/image" Target="https://takdin.co.il/hashavimcmsfiles/files/a08d5ce65f254582b5f3998d1c4ab842/image006.gif" TargetMode="External"/><Relationship Id="rId5" Type="http://schemas.openxmlformats.org/officeDocument/2006/relationships/endnotes" Target="endnotes.xml"/><Relationship Id="rId10" Type="http://schemas.openxmlformats.org/officeDocument/2006/relationships/image" Target="https://takdin.co.il/hashavimcmsfiles/files/a08d5ce65f254582b5f3998d1c4ab842/image005.gif" TargetMode="External"/><Relationship Id="rId4" Type="http://schemas.openxmlformats.org/officeDocument/2006/relationships/footnotes" Target="footnotes.xml"/><Relationship Id="rId9" Type="http://schemas.openxmlformats.org/officeDocument/2006/relationships/image" Target="https://takdin.co.il/hashavimcmsfiles/files/a08d5ce65f254582b5f3998d1c4ab842/image004.gif" TargetMode="Externa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5115</Words>
  <Characters>25580</Characters>
  <Application>Microsoft Office Word</Application>
  <DocSecurity>0</DocSecurity>
  <Lines>213</Lines>
  <Paragraphs>61</Paragraphs>
  <ScaleCrop>false</ScaleCrop>
  <Company/>
  <LinksUpToDate>false</LinksUpToDate>
  <CharactersWithSpaces>30634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hxgfכגידיג</dc:title>
  <dc:subject/>
  <dc:creator>orit כהן</dc:creator>
  <cp:keywords/>
  <dc:description/>
  <cp:lastModifiedBy>orit כהן</cp:lastModifiedBy>
  <cp:revision>2</cp:revision>
  <dcterms:created xsi:type="dcterms:W3CDTF">2026-05-20T09:12:00Z</dcterms:created>
  <dcterms:modified xsi:type="dcterms:W3CDTF">2026-05-20T09:12:00Z</dcterms:modified>
</cp:coreProperties>
</file>