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3"/>
        <w:gridCol w:w="3582"/>
      </w:tblGrid>
      <w:tr w:rsidR="00B630B0" w14:paraId="5C7F759B" w14:textId="77777777" w:rsidTr="009E4D4D">
        <w:trPr>
          <w:trHeight w:hRule="exact" w:val="670"/>
          <w:jc w:val="center"/>
        </w:trPr>
        <w:tc>
          <w:tcPr>
            <w:tcW w:w="8721" w:type="dxa"/>
            <w:gridSpan w:val="2"/>
          </w:tcPr>
          <w:p w14:paraId="78227215" w14:textId="77777777" w:rsidR="00E554C3" w:rsidRPr="00E554C3" w:rsidRDefault="00000000" w:rsidP="009E4D4D">
            <w:pPr>
              <w:pStyle w:val="a3"/>
              <w:jc w:val="center"/>
              <w:rPr>
                <w:rFonts w:ascii="Tahoma" w:hAnsi="Tahoma" w:cs="Tahoma"/>
                <w:noProof w:val="0"/>
                <w:color w:val="000080"/>
                <w:rtl/>
              </w:rPr>
            </w:pPr>
            <w:bookmarkStart w:id="0" w:name="LastJudge"/>
            <w:r w:rsidRPr="00E554C3">
              <w:rPr>
                <w:rFonts w:ascii="Tahoma" w:hAnsi="Tahoma" w:cs="Tahoma"/>
                <w:b/>
                <w:bCs/>
                <w:noProof w:val="0"/>
                <w:color w:val="000080"/>
                <w:rtl/>
              </w:rPr>
              <w:t>בית משפט לענייני משפחה בבאר שבע</w:t>
            </w:r>
          </w:p>
        </w:tc>
      </w:tr>
      <w:tr w:rsidR="00B630B0" w14:paraId="418935AF" w14:textId="77777777" w:rsidTr="009E4D4D">
        <w:trPr>
          <w:trHeight w:val="337"/>
          <w:jc w:val="center"/>
        </w:trPr>
        <w:tc>
          <w:tcPr>
            <w:tcW w:w="5047" w:type="dxa"/>
          </w:tcPr>
          <w:p w14:paraId="20CF9D64" w14:textId="77777777" w:rsidR="00E554C3" w:rsidRPr="00E554C3" w:rsidRDefault="00E554C3" w:rsidP="009E4D4D">
            <w:pPr>
              <w:rPr>
                <w:b/>
                <w:bCs/>
                <w:noProof w:val="0"/>
                <w:sz w:val="26"/>
                <w:szCs w:val="26"/>
                <w:rtl/>
              </w:rPr>
            </w:pPr>
          </w:p>
        </w:tc>
        <w:tc>
          <w:tcPr>
            <w:tcW w:w="3674" w:type="dxa"/>
          </w:tcPr>
          <w:p w14:paraId="57D5D640" w14:textId="77777777" w:rsidR="00E554C3" w:rsidRPr="00E554C3" w:rsidRDefault="00E554C3" w:rsidP="009E4D4D">
            <w:pPr>
              <w:pStyle w:val="a3"/>
              <w:jc w:val="right"/>
              <w:rPr>
                <w:b/>
                <w:bCs/>
                <w:noProof w:val="0"/>
                <w:sz w:val="26"/>
                <w:szCs w:val="26"/>
                <w:rtl/>
              </w:rPr>
            </w:pPr>
          </w:p>
        </w:tc>
      </w:tr>
      <w:tr w:rsidR="00B630B0" w14:paraId="50D5B0E4" w14:textId="77777777" w:rsidTr="009E4D4D">
        <w:trPr>
          <w:trHeight w:val="337"/>
          <w:jc w:val="center"/>
        </w:trPr>
        <w:tc>
          <w:tcPr>
            <w:tcW w:w="8721" w:type="dxa"/>
            <w:gridSpan w:val="2"/>
          </w:tcPr>
          <w:p w14:paraId="47DD4BA5" w14:textId="77777777" w:rsidR="00E554C3" w:rsidRPr="00E554C3" w:rsidRDefault="00000000" w:rsidP="009E4D4D">
            <w:pPr>
              <w:rPr>
                <w:b/>
                <w:bCs/>
                <w:noProof w:val="0"/>
                <w:sz w:val="26"/>
                <w:szCs w:val="26"/>
                <w:rtl/>
              </w:rPr>
            </w:pPr>
            <w:r w:rsidRPr="00E554C3">
              <w:rPr>
                <w:b/>
                <w:bCs/>
                <w:noProof w:val="0"/>
                <w:sz w:val="26"/>
                <w:szCs w:val="26"/>
                <w:rtl/>
              </w:rPr>
              <w:t>תמ"ש 29459-09-23 מל. נ' מר. ואח'</w:t>
            </w:r>
          </w:p>
          <w:p w14:paraId="0FABE750" w14:textId="77777777" w:rsidR="00E554C3" w:rsidRPr="00E554C3" w:rsidRDefault="00000000" w:rsidP="009E4D4D">
            <w:pPr>
              <w:rPr>
                <w:b/>
                <w:bCs/>
                <w:noProof w:val="0"/>
                <w:sz w:val="26"/>
                <w:szCs w:val="26"/>
                <w:rtl/>
              </w:rPr>
            </w:pPr>
            <w:r w:rsidRPr="00E554C3">
              <w:rPr>
                <w:noProof w:val="0"/>
                <w:sz w:val="20"/>
                <w:szCs w:val="20"/>
                <w:rtl/>
              </w:rPr>
              <w:t xml:space="preserve"> </w:t>
            </w:r>
          </w:p>
        </w:tc>
      </w:tr>
    </w:tbl>
    <w:p w14:paraId="30F009F3" w14:textId="77777777" w:rsidR="00E554C3" w:rsidRPr="00E554C3" w:rsidRDefault="00000000" w:rsidP="00E554C3">
      <w:pPr>
        <w:pStyle w:val="a3"/>
        <w:rPr>
          <w:noProof w:val="0"/>
          <w:rtl/>
        </w:rPr>
      </w:pPr>
      <w:r w:rsidRPr="00E554C3">
        <w:rPr>
          <w:noProof w:val="0"/>
          <w:rtl/>
        </w:rPr>
        <w:t xml:space="preserve"> </w:t>
      </w:r>
    </w:p>
    <w:tbl>
      <w:tblPr>
        <w:bidiVisual/>
        <w:tblW w:w="8670" w:type="dxa"/>
        <w:jc w:val="center"/>
        <w:tblLook w:val="01E0" w:firstRow="1" w:lastRow="1" w:firstColumn="1" w:lastColumn="1" w:noHBand="0" w:noVBand="0"/>
      </w:tblPr>
      <w:tblGrid>
        <w:gridCol w:w="634"/>
        <w:gridCol w:w="2493"/>
        <w:gridCol w:w="5543"/>
      </w:tblGrid>
      <w:tr w:rsidR="00B630B0" w14:paraId="179C9487" w14:textId="77777777" w:rsidTr="009E4D4D">
        <w:trPr>
          <w:jc w:val="center"/>
        </w:trPr>
        <w:tc>
          <w:tcPr>
            <w:tcW w:w="602" w:type="dxa"/>
          </w:tcPr>
          <w:p w14:paraId="03BA7112" w14:textId="77777777" w:rsidR="00E554C3" w:rsidRPr="00134A7D" w:rsidRDefault="00000000" w:rsidP="00134A7D">
            <w:pPr>
              <w:spacing w:before="120" w:after="120" w:line="240" w:lineRule="exact"/>
              <w:jc w:val="both"/>
              <w:rPr>
                <w:rFonts w:ascii="Arial (W1)" w:hAnsi="Arial (W1)"/>
                <w:b/>
                <w:bCs/>
                <w:sz w:val="26"/>
                <w:szCs w:val="26"/>
              </w:rPr>
            </w:pPr>
            <w:r w:rsidRPr="00134A7D">
              <w:rPr>
                <w:b/>
                <w:bCs/>
                <w:noProof w:val="0"/>
                <w:sz w:val="26"/>
                <w:szCs w:val="26"/>
                <w:rtl/>
              </w:rPr>
              <w:t xml:space="preserve">לפני </w:t>
            </w:r>
          </w:p>
        </w:tc>
        <w:tc>
          <w:tcPr>
            <w:tcW w:w="8068" w:type="dxa"/>
            <w:gridSpan w:val="2"/>
          </w:tcPr>
          <w:p w14:paraId="22905F16" w14:textId="77777777" w:rsidR="00E554C3" w:rsidRPr="00134A7D" w:rsidRDefault="00000000" w:rsidP="00134A7D">
            <w:pPr>
              <w:spacing w:before="120" w:after="120" w:line="240" w:lineRule="exact"/>
              <w:rPr>
                <w:sz w:val="26"/>
                <w:szCs w:val="26"/>
              </w:rPr>
            </w:pPr>
            <w:r w:rsidRPr="00134A7D">
              <w:rPr>
                <w:rFonts w:ascii="Arial" w:hAnsi="Arial"/>
                <w:b/>
                <w:bCs/>
                <w:noProof w:val="0"/>
                <w:sz w:val="26"/>
                <w:szCs w:val="26"/>
                <w:rtl/>
              </w:rPr>
              <w:t>כבוד השופטת  שני כ"ץ</w:t>
            </w:r>
          </w:p>
        </w:tc>
      </w:tr>
      <w:tr w:rsidR="00B630B0" w14:paraId="55E908F6" w14:textId="77777777" w:rsidTr="009E4D4D">
        <w:trPr>
          <w:jc w:val="center"/>
        </w:trPr>
        <w:tc>
          <w:tcPr>
            <w:tcW w:w="3105" w:type="dxa"/>
            <w:gridSpan w:val="2"/>
          </w:tcPr>
          <w:p w14:paraId="6CFAC818" w14:textId="77777777" w:rsidR="00E554C3" w:rsidRPr="00134A7D" w:rsidRDefault="00000000" w:rsidP="00134A7D">
            <w:pPr>
              <w:spacing w:before="120" w:after="120" w:line="240" w:lineRule="exact"/>
              <w:rPr>
                <w:rFonts w:ascii="Arial (W1)" w:hAnsi="Arial (W1)"/>
                <w:b/>
                <w:bCs/>
                <w:noProof w:val="0"/>
                <w:sz w:val="26"/>
                <w:szCs w:val="26"/>
              </w:rPr>
            </w:pPr>
            <w:bookmarkStart w:id="1" w:name="FirstAppellant"/>
            <w:r w:rsidRPr="00134A7D">
              <w:rPr>
                <w:b/>
                <w:bCs/>
                <w:noProof w:val="0"/>
                <w:sz w:val="26"/>
                <w:szCs w:val="26"/>
                <w:rtl/>
              </w:rPr>
              <w:t>תובעת:</w:t>
            </w:r>
          </w:p>
        </w:tc>
        <w:tc>
          <w:tcPr>
            <w:tcW w:w="5565" w:type="dxa"/>
          </w:tcPr>
          <w:p w14:paraId="6BDB44BD" w14:textId="77777777" w:rsidR="00E554C3" w:rsidRPr="00134A7D" w:rsidRDefault="00000000" w:rsidP="00134A7D">
            <w:pPr>
              <w:spacing w:before="120" w:after="120" w:line="240" w:lineRule="exact"/>
              <w:rPr>
                <w:rFonts w:ascii="Arial (W1)" w:hAnsi="Arial (W1)"/>
                <w:b/>
                <w:bCs/>
                <w:noProof w:val="0"/>
                <w:sz w:val="26"/>
                <w:szCs w:val="26"/>
              </w:rPr>
            </w:pPr>
            <w:r w:rsidRPr="00134A7D">
              <w:rPr>
                <w:b/>
                <w:bCs/>
                <w:noProof w:val="0"/>
                <w:sz w:val="26"/>
                <w:szCs w:val="26"/>
                <w:rtl/>
              </w:rPr>
              <w:t>פלונית</w:t>
            </w:r>
          </w:p>
        </w:tc>
      </w:tr>
      <w:bookmarkEnd w:id="1"/>
      <w:tr w:rsidR="00B630B0" w14:paraId="53758E34" w14:textId="77777777" w:rsidTr="009E4D4D">
        <w:trPr>
          <w:jc w:val="center"/>
        </w:trPr>
        <w:tc>
          <w:tcPr>
            <w:tcW w:w="8670" w:type="dxa"/>
            <w:gridSpan w:val="3"/>
          </w:tcPr>
          <w:p w14:paraId="68099A69" w14:textId="77777777" w:rsidR="00E554C3" w:rsidRPr="00134A7D" w:rsidRDefault="00000000" w:rsidP="00134A7D">
            <w:pPr>
              <w:spacing w:before="120" w:after="120" w:line="240" w:lineRule="exact"/>
              <w:jc w:val="center"/>
              <w:rPr>
                <w:b/>
                <w:bCs/>
                <w:noProof w:val="0"/>
                <w:sz w:val="26"/>
                <w:szCs w:val="26"/>
              </w:rPr>
            </w:pPr>
            <w:r w:rsidRPr="00134A7D">
              <w:rPr>
                <w:b/>
                <w:bCs/>
                <w:noProof w:val="0"/>
                <w:sz w:val="26"/>
                <w:szCs w:val="26"/>
                <w:rtl/>
              </w:rPr>
              <w:t>נגד</w:t>
            </w:r>
          </w:p>
        </w:tc>
      </w:tr>
      <w:tr w:rsidR="00B630B0" w14:paraId="011D8C1C" w14:textId="77777777" w:rsidTr="009E4D4D">
        <w:trPr>
          <w:jc w:val="center"/>
        </w:trPr>
        <w:tc>
          <w:tcPr>
            <w:tcW w:w="3105" w:type="dxa"/>
            <w:gridSpan w:val="2"/>
          </w:tcPr>
          <w:p w14:paraId="5FDD357C" w14:textId="77777777" w:rsidR="00E554C3" w:rsidRPr="00134A7D" w:rsidRDefault="00000000" w:rsidP="00134A7D">
            <w:pPr>
              <w:spacing w:before="120" w:after="120" w:line="240" w:lineRule="exact"/>
              <w:rPr>
                <w:b/>
                <w:bCs/>
                <w:noProof w:val="0"/>
                <w:sz w:val="26"/>
                <w:szCs w:val="26"/>
                <w:rtl/>
              </w:rPr>
            </w:pPr>
            <w:bookmarkStart w:id="2" w:name="FirstLawyer"/>
            <w:r w:rsidRPr="00134A7D">
              <w:rPr>
                <w:b/>
                <w:bCs/>
                <w:noProof w:val="0"/>
                <w:sz w:val="26"/>
                <w:szCs w:val="26"/>
                <w:rtl/>
              </w:rPr>
              <w:t>נתבעים:</w:t>
            </w:r>
          </w:p>
          <w:p w14:paraId="4459B2A9" w14:textId="77777777" w:rsidR="00E554C3" w:rsidRPr="00134A7D" w:rsidRDefault="00E554C3" w:rsidP="00134A7D">
            <w:pPr>
              <w:spacing w:before="120" w:after="120" w:line="240" w:lineRule="exact"/>
              <w:rPr>
                <w:b/>
                <w:bCs/>
                <w:noProof w:val="0"/>
                <w:sz w:val="26"/>
                <w:szCs w:val="26"/>
                <w:rtl/>
              </w:rPr>
            </w:pPr>
          </w:p>
          <w:p w14:paraId="4027C45A" w14:textId="77777777" w:rsidR="00E554C3" w:rsidRPr="00134A7D" w:rsidRDefault="00E554C3" w:rsidP="00134A7D">
            <w:pPr>
              <w:spacing w:before="120" w:after="120" w:line="240" w:lineRule="exact"/>
              <w:rPr>
                <w:b/>
                <w:bCs/>
                <w:noProof w:val="0"/>
                <w:sz w:val="26"/>
                <w:szCs w:val="26"/>
                <w:rtl/>
              </w:rPr>
            </w:pPr>
          </w:p>
          <w:p w14:paraId="50A48B0F" w14:textId="77777777" w:rsidR="00E554C3" w:rsidRPr="00134A7D" w:rsidRDefault="00E554C3" w:rsidP="00134A7D">
            <w:pPr>
              <w:spacing w:before="120" w:after="120" w:line="240" w:lineRule="exact"/>
              <w:rPr>
                <w:b/>
                <w:bCs/>
                <w:noProof w:val="0"/>
                <w:sz w:val="26"/>
                <w:szCs w:val="26"/>
                <w:rtl/>
              </w:rPr>
            </w:pPr>
          </w:p>
          <w:p w14:paraId="53779A89" w14:textId="77777777" w:rsidR="00E554C3" w:rsidRPr="00134A7D" w:rsidRDefault="00000000" w:rsidP="00134A7D">
            <w:pPr>
              <w:spacing w:before="120" w:after="120" w:line="240" w:lineRule="exact"/>
              <w:rPr>
                <w:b/>
                <w:bCs/>
                <w:noProof w:val="0"/>
                <w:sz w:val="26"/>
                <w:szCs w:val="26"/>
              </w:rPr>
            </w:pPr>
            <w:r w:rsidRPr="00134A7D">
              <w:rPr>
                <w:b/>
                <w:bCs/>
                <w:noProof w:val="0"/>
                <w:sz w:val="26"/>
                <w:szCs w:val="26"/>
                <w:rtl/>
              </w:rPr>
              <w:t xml:space="preserve">בעניין הקטינה:                              </w:t>
            </w:r>
          </w:p>
        </w:tc>
        <w:tc>
          <w:tcPr>
            <w:tcW w:w="5565" w:type="dxa"/>
          </w:tcPr>
          <w:p w14:paraId="2E705CAD" w14:textId="77777777" w:rsidR="00E554C3" w:rsidRPr="00134A7D" w:rsidRDefault="00000000" w:rsidP="00134A7D">
            <w:pPr>
              <w:spacing w:before="120" w:after="120" w:line="240" w:lineRule="exact"/>
              <w:rPr>
                <w:b/>
                <w:bCs/>
                <w:noProof w:val="0"/>
                <w:sz w:val="26"/>
                <w:szCs w:val="26"/>
              </w:rPr>
            </w:pPr>
            <w:r w:rsidRPr="00134A7D">
              <w:rPr>
                <w:b/>
                <w:bCs/>
                <w:noProof w:val="0"/>
                <w:sz w:val="26"/>
                <w:szCs w:val="26"/>
                <w:rtl/>
              </w:rPr>
              <w:t>1. אלמוני</w:t>
            </w:r>
          </w:p>
          <w:p w14:paraId="27A029B2" w14:textId="77777777" w:rsidR="00E554C3" w:rsidRPr="00134A7D" w:rsidRDefault="00000000" w:rsidP="00134A7D">
            <w:pPr>
              <w:spacing w:before="120" w:after="120" w:line="240" w:lineRule="exact"/>
              <w:rPr>
                <w:b/>
                <w:bCs/>
                <w:noProof w:val="0"/>
                <w:sz w:val="26"/>
                <w:szCs w:val="26"/>
                <w:rtl/>
              </w:rPr>
            </w:pPr>
            <w:r w:rsidRPr="00134A7D">
              <w:rPr>
                <w:b/>
                <w:bCs/>
                <w:noProof w:val="0"/>
                <w:sz w:val="26"/>
                <w:szCs w:val="26"/>
                <w:rtl/>
              </w:rPr>
              <w:t>2. היועצת המשפטית לממשלה</w:t>
            </w:r>
          </w:p>
          <w:p w14:paraId="466C6B21" w14:textId="77777777" w:rsidR="00E554C3" w:rsidRPr="00134A7D" w:rsidRDefault="00000000" w:rsidP="00134A7D">
            <w:pPr>
              <w:spacing w:before="120" w:after="120" w:line="240" w:lineRule="exact"/>
              <w:rPr>
                <w:b/>
                <w:bCs/>
                <w:noProof w:val="0"/>
                <w:sz w:val="26"/>
                <w:szCs w:val="26"/>
                <w:rtl/>
              </w:rPr>
            </w:pPr>
            <w:r w:rsidRPr="00134A7D">
              <w:rPr>
                <w:b/>
                <w:bCs/>
                <w:noProof w:val="0"/>
                <w:sz w:val="26"/>
                <w:szCs w:val="26"/>
                <w:rtl/>
              </w:rPr>
              <w:t xml:space="preserve">    על ידי ב"כ ממשרד הרווחה והביטחון החברתי</w:t>
            </w:r>
          </w:p>
          <w:p w14:paraId="4856A62E" w14:textId="77777777" w:rsidR="00E554C3" w:rsidRPr="00134A7D" w:rsidRDefault="00E554C3" w:rsidP="00134A7D">
            <w:pPr>
              <w:spacing w:before="120" w:after="120" w:line="240" w:lineRule="exact"/>
              <w:rPr>
                <w:b/>
                <w:bCs/>
                <w:noProof w:val="0"/>
                <w:sz w:val="26"/>
                <w:szCs w:val="26"/>
                <w:rtl/>
              </w:rPr>
            </w:pPr>
          </w:p>
          <w:p w14:paraId="3F3220B5" w14:textId="77777777" w:rsidR="00E554C3" w:rsidRPr="00134A7D" w:rsidRDefault="00000000" w:rsidP="00134A7D">
            <w:pPr>
              <w:spacing w:before="120" w:after="120" w:line="240" w:lineRule="exact"/>
              <w:rPr>
                <w:b/>
                <w:bCs/>
                <w:noProof w:val="0"/>
                <w:sz w:val="26"/>
                <w:szCs w:val="26"/>
              </w:rPr>
            </w:pPr>
            <w:r w:rsidRPr="00134A7D">
              <w:rPr>
                <w:b/>
                <w:bCs/>
                <w:noProof w:val="0"/>
                <w:sz w:val="26"/>
                <w:szCs w:val="26"/>
                <w:rtl/>
              </w:rPr>
              <w:t xml:space="preserve">א. מר. </w:t>
            </w:r>
          </w:p>
        </w:tc>
      </w:tr>
    </w:tbl>
    <w:p w14:paraId="4EC2BB6F" w14:textId="77777777" w:rsidR="00D33A82" w:rsidRPr="00D33A82" w:rsidRDefault="00D33A82" w:rsidP="002177F8">
      <w:pPr>
        <w:spacing w:before="240" w:after="240" w:line="360" w:lineRule="auto"/>
        <w:rPr>
          <w:rFonts w:ascii="Arial" w:hAnsi="Arial" w:hint="cs"/>
          <w:noProof w:val="0"/>
          <w:sz w:val="28"/>
          <w:szCs w:val="28"/>
          <w:rtl/>
        </w:rPr>
      </w:pPr>
      <w:bookmarkStart w:id="3" w:name="LawTable"/>
      <w:bookmarkStart w:id="4" w:name="ABSTRACT_END"/>
      <w:bookmarkEnd w:id="2"/>
      <w:bookmarkEnd w:id="3"/>
      <w:bookmarkEnd w:id="4"/>
    </w:p>
    <w:p w14:paraId="1F9D6C84" w14:textId="77777777" w:rsidR="00E554C3" w:rsidRPr="00E554C3" w:rsidRDefault="00000000" w:rsidP="00E554C3">
      <w:pPr>
        <w:spacing w:before="240" w:after="240" w:line="360" w:lineRule="auto"/>
        <w:jc w:val="center"/>
        <w:rPr>
          <w:rFonts w:ascii="Arial" w:hAnsi="Arial"/>
          <w:b/>
          <w:bCs/>
          <w:noProof w:val="0"/>
          <w:sz w:val="28"/>
          <w:szCs w:val="28"/>
          <w:u w:val="single"/>
          <w:rtl/>
        </w:rPr>
      </w:pPr>
      <w:bookmarkStart w:id="5" w:name="PsakDin"/>
      <w:bookmarkEnd w:id="0"/>
      <w:r w:rsidRPr="00E554C3">
        <w:rPr>
          <w:rFonts w:ascii="Arial" w:hAnsi="Arial"/>
          <w:b/>
          <w:bCs/>
          <w:noProof w:val="0"/>
          <w:sz w:val="28"/>
          <w:szCs w:val="28"/>
          <w:u w:val="single"/>
          <w:rtl/>
        </w:rPr>
        <w:t>פסק דין</w:t>
      </w:r>
    </w:p>
    <w:bookmarkEnd w:id="5"/>
    <w:p w14:paraId="7558C510" w14:textId="77777777" w:rsidR="0038561B" w:rsidRDefault="00000000" w:rsidP="008206B1">
      <w:pPr>
        <w:spacing w:before="240" w:after="240" w:line="360" w:lineRule="auto"/>
        <w:jc w:val="both"/>
        <w:rPr>
          <w:rFonts w:ascii="David" w:hAnsi="David"/>
          <w:noProof w:val="0"/>
        </w:rPr>
      </w:pPr>
      <w:r>
        <w:rPr>
          <w:rFonts w:ascii="David" w:hAnsi="David"/>
          <w:noProof w:val="0"/>
          <w:rtl/>
        </w:rPr>
        <w:t>לפני תובענה שהגישה התובעת (להלן גם: "</w:t>
      </w:r>
      <w:r>
        <w:rPr>
          <w:rFonts w:ascii="David" w:hAnsi="David"/>
          <w:b/>
          <w:bCs/>
          <w:noProof w:val="0"/>
          <w:rtl/>
        </w:rPr>
        <w:t>האם</w:t>
      </w:r>
      <w:r>
        <w:rPr>
          <w:rFonts w:ascii="David" w:hAnsi="David"/>
          <w:noProof w:val="0"/>
          <w:rtl/>
        </w:rPr>
        <w:t>") לשינוי שם משפחתה של הקטינה, משם משפחתו של הנתבע 1 (להלן גם: "</w:t>
      </w:r>
      <w:r>
        <w:rPr>
          <w:rFonts w:ascii="David" w:hAnsi="David"/>
          <w:b/>
          <w:bCs/>
          <w:noProof w:val="0"/>
          <w:rtl/>
        </w:rPr>
        <w:t>האב</w:t>
      </w:r>
      <w:r>
        <w:rPr>
          <w:rFonts w:ascii="David" w:hAnsi="David"/>
          <w:noProof w:val="0"/>
          <w:rtl/>
        </w:rPr>
        <w:t>") – "מר.", לשם משפחתה של האם – "מל.".</w:t>
      </w:r>
    </w:p>
    <w:p w14:paraId="698CF118" w14:textId="77777777" w:rsidR="0038561B" w:rsidRDefault="00000000" w:rsidP="008206B1">
      <w:pPr>
        <w:spacing w:before="240" w:after="240" w:line="360" w:lineRule="auto"/>
        <w:jc w:val="both"/>
        <w:rPr>
          <w:rFonts w:ascii="David" w:hAnsi="David"/>
          <w:noProof w:val="0"/>
          <w:rtl/>
        </w:rPr>
      </w:pPr>
      <w:r>
        <w:rPr>
          <w:rFonts w:ascii="David" w:hAnsi="David"/>
          <w:b/>
          <w:bCs/>
          <w:noProof w:val="0"/>
          <w:u w:val="single"/>
          <w:rtl/>
        </w:rPr>
        <w:t>רקע כללי ועמדות הצדדים</w:t>
      </w:r>
      <w:r>
        <w:rPr>
          <w:rFonts w:ascii="David" w:hAnsi="David"/>
          <w:noProof w:val="0"/>
          <w:rtl/>
        </w:rPr>
        <w:t>:</w:t>
      </w:r>
    </w:p>
    <w:p w14:paraId="5F0A1057"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tl/>
        </w:rPr>
      </w:pPr>
      <w:r>
        <w:rPr>
          <w:rFonts w:ascii="David" w:hAnsi="David" w:cs="David"/>
          <w:sz w:val="24"/>
          <w:szCs w:val="24"/>
          <w:rtl/>
        </w:rPr>
        <w:t>התובעת והנתבע 1 הם בני זוג לשעבר אשר נישאו בשנת 2007 והתגרשו בשנת 2011. מנישואיהם, נולדה הקטינה שפרטיה בכותרת, בת 16 כיום.</w:t>
      </w:r>
    </w:p>
    <w:p w14:paraId="2021C5A8"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בין הצדדים נחתם הסכם גירושין שקיבל תוקף של פסד דין על ידי בית הדין האזורי בבאר שבע ביום 7.2.2011, בגדרו הסדירו הצדדים, בין היתר, את זמני שהות של הקטינה עם האב (משמורת והסדרי ראייה במונחיהם דאז). </w:t>
      </w:r>
    </w:p>
    <w:p w14:paraId="4AA86EA9"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הצדדים ניהלו הליכים בבית משפט זה בעניין מזונות הקטינה וסוגיות מתחום האחריות ההורית, וביניהם עתירת האם להסדרת זמני השהות של האב עם הקטינה (</w:t>
      </w:r>
      <w:hyperlink r:id="rId7" w:history="1">
        <w:r w:rsidR="00E554C3" w:rsidRPr="00E554C3">
          <w:rPr>
            <w:rFonts w:ascii="David" w:hAnsi="David" w:cs="David"/>
            <w:color w:val="0000FF"/>
            <w:sz w:val="24"/>
            <w:szCs w:val="24"/>
            <w:u w:val="single"/>
            <w:rtl/>
          </w:rPr>
          <w:t>תמ"ש 18544</w:t>
        </w:r>
        <w:bookmarkStart w:id="6" w:name="_Hlt179446481"/>
        <w:r w:rsidR="00E554C3" w:rsidRPr="00E554C3">
          <w:rPr>
            <w:rFonts w:ascii="David" w:hAnsi="David" w:cs="David"/>
            <w:color w:val="0000FF"/>
            <w:sz w:val="24"/>
            <w:szCs w:val="24"/>
            <w:u w:val="single"/>
            <w:rtl/>
          </w:rPr>
          <w:t>-</w:t>
        </w:r>
        <w:bookmarkEnd w:id="6"/>
        <w:r w:rsidR="00E554C3" w:rsidRPr="00E554C3">
          <w:rPr>
            <w:rFonts w:ascii="David" w:hAnsi="David" w:cs="David"/>
            <w:color w:val="0000FF"/>
            <w:sz w:val="24"/>
            <w:szCs w:val="24"/>
            <w:u w:val="single"/>
            <w:rtl/>
          </w:rPr>
          <w:t>11-</w:t>
        </w:r>
        <w:bookmarkStart w:id="7" w:name="_Hlt179446423"/>
        <w:bookmarkStart w:id="8" w:name="_Hlt179446424"/>
        <w:r w:rsidR="00E554C3" w:rsidRPr="00E554C3">
          <w:rPr>
            <w:rFonts w:ascii="David" w:hAnsi="David" w:cs="David"/>
            <w:color w:val="0000FF"/>
            <w:sz w:val="24"/>
            <w:szCs w:val="24"/>
            <w:u w:val="single"/>
            <w:rtl/>
          </w:rPr>
          <w:t>1</w:t>
        </w:r>
        <w:bookmarkEnd w:id="7"/>
        <w:bookmarkEnd w:id="8"/>
        <w:r w:rsidR="00E554C3" w:rsidRPr="00E554C3">
          <w:rPr>
            <w:rFonts w:ascii="David" w:hAnsi="David" w:cs="David"/>
            <w:color w:val="0000FF"/>
            <w:sz w:val="24"/>
            <w:szCs w:val="24"/>
            <w:u w:val="single"/>
            <w:rtl/>
          </w:rPr>
          <w:t>1</w:t>
        </w:r>
      </w:hyperlink>
      <w:r>
        <w:rPr>
          <w:rFonts w:ascii="David" w:hAnsi="David" w:cs="David"/>
          <w:sz w:val="24"/>
          <w:szCs w:val="24"/>
          <w:rtl/>
        </w:rPr>
        <w:t>); עתירת האב לפי פקודת ביזיון בית המשפט (</w:t>
      </w:r>
      <w:hyperlink r:id="rId8" w:history="1">
        <w:r w:rsidR="00E554C3" w:rsidRPr="00E554C3">
          <w:rPr>
            <w:rFonts w:ascii="David" w:hAnsi="David" w:cs="David"/>
            <w:color w:val="0000FF"/>
            <w:sz w:val="24"/>
            <w:szCs w:val="24"/>
            <w:u w:val="single"/>
            <w:rtl/>
          </w:rPr>
          <w:t>תמ"ש 552-09</w:t>
        </w:r>
        <w:bookmarkStart w:id="9" w:name="_Hlt179446484"/>
        <w:r w:rsidR="00E554C3" w:rsidRPr="00E554C3">
          <w:rPr>
            <w:rFonts w:ascii="David" w:hAnsi="David" w:cs="David"/>
            <w:color w:val="0000FF"/>
            <w:sz w:val="24"/>
            <w:szCs w:val="24"/>
            <w:u w:val="single"/>
            <w:rtl/>
          </w:rPr>
          <w:t>-</w:t>
        </w:r>
        <w:bookmarkEnd w:id="9"/>
        <w:r w:rsidR="00E554C3" w:rsidRPr="00E554C3">
          <w:rPr>
            <w:rFonts w:ascii="David" w:hAnsi="David" w:cs="David"/>
            <w:color w:val="0000FF"/>
            <w:sz w:val="24"/>
            <w:szCs w:val="24"/>
            <w:u w:val="single"/>
            <w:rtl/>
          </w:rPr>
          <w:t>1</w:t>
        </w:r>
        <w:bookmarkStart w:id="10" w:name="_Hlt179446430"/>
        <w:r w:rsidR="00E554C3" w:rsidRPr="00E554C3">
          <w:rPr>
            <w:rFonts w:ascii="David" w:hAnsi="David" w:cs="David"/>
            <w:color w:val="0000FF"/>
            <w:sz w:val="24"/>
            <w:szCs w:val="24"/>
            <w:u w:val="single"/>
            <w:rtl/>
          </w:rPr>
          <w:t>3</w:t>
        </w:r>
        <w:bookmarkEnd w:id="10"/>
      </w:hyperlink>
      <w:r>
        <w:rPr>
          <w:rFonts w:ascii="David" w:hAnsi="David" w:cs="David"/>
          <w:sz w:val="24"/>
          <w:szCs w:val="24"/>
          <w:rtl/>
        </w:rPr>
        <w:t>); ותביעת האב לחידוש קשר עם הקטינה  (</w:t>
      </w:r>
      <w:hyperlink r:id="rId9" w:history="1">
        <w:r w:rsidR="00E554C3" w:rsidRPr="00E554C3">
          <w:rPr>
            <w:rFonts w:ascii="David" w:hAnsi="David" w:cs="David"/>
            <w:color w:val="0000FF"/>
            <w:sz w:val="24"/>
            <w:szCs w:val="24"/>
            <w:u w:val="single"/>
            <w:rtl/>
          </w:rPr>
          <w:t>תלה"מ</w:t>
        </w:r>
        <w:bookmarkStart w:id="11" w:name="_Hlt179446488"/>
        <w:r w:rsidR="00E554C3" w:rsidRPr="00E554C3">
          <w:rPr>
            <w:rFonts w:ascii="David" w:hAnsi="David" w:cs="David"/>
            <w:color w:val="0000FF"/>
            <w:sz w:val="24"/>
            <w:szCs w:val="24"/>
            <w:u w:val="single"/>
            <w:rtl/>
          </w:rPr>
          <w:t xml:space="preserve"> </w:t>
        </w:r>
        <w:bookmarkEnd w:id="11"/>
        <w:r w:rsidR="00E554C3" w:rsidRPr="00E554C3">
          <w:rPr>
            <w:rFonts w:ascii="David" w:hAnsi="David" w:cs="David"/>
            <w:color w:val="0000FF"/>
            <w:sz w:val="24"/>
            <w:szCs w:val="24"/>
            <w:u w:val="single"/>
            <w:rtl/>
          </w:rPr>
          <w:t>27777-04-20</w:t>
        </w:r>
      </w:hyperlink>
      <w:r>
        <w:rPr>
          <w:rFonts w:ascii="David" w:hAnsi="David" w:cs="David"/>
          <w:sz w:val="24"/>
          <w:szCs w:val="24"/>
          <w:rtl/>
        </w:rPr>
        <w:t xml:space="preserve">). </w:t>
      </w:r>
    </w:p>
    <w:p w14:paraId="3AAA1ED0"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בתביעת האב לחידוש הקשר עם הקטינה שהוגשה ביום 23.4.2020, טען האב כי לא פגש בקטינה מזה כשלוש שנים (</w:t>
      </w:r>
      <w:hyperlink r:id="rId10" w:history="1">
        <w:r w:rsidR="00E554C3" w:rsidRPr="00E554C3">
          <w:rPr>
            <w:rFonts w:ascii="David" w:hAnsi="David" w:cs="David"/>
            <w:color w:val="0000FF"/>
            <w:sz w:val="24"/>
            <w:szCs w:val="24"/>
            <w:u w:val="single"/>
            <w:rtl/>
          </w:rPr>
          <w:t>תלה"מ 27777-04-20</w:t>
        </w:r>
      </w:hyperlink>
      <w:r>
        <w:rPr>
          <w:rFonts w:ascii="David" w:hAnsi="David" w:cs="David"/>
          <w:sz w:val="24"/>
          <w:szCs w:val="24"/>
          <w:rtl/>
        </w:rPr>
        <w:t xml:space="preserve">). במהלך ניהול ההליך, נערכו ניסיונות לחידוש הקשר בין האב לקטינה באמצעות הליך טיפולי, במעורבות בית המשפט (שאף שמע את הקטינה בלשכתו), גורמי טיפול ורווחה ואפוטרופסה לדין שמונתה על רקע סירובה של הקטינה בחידוש הקשר עם אביה. הליך זה נמחק ביום 19.6.2022, לאחר שהאב חזר בו </w:t>
      </w:r>
      <w:r>
        <w:rPr>
          <w:rFonts w:ascii="David" w:hAnsi="David" w:cs="David"/>
          <w:sz w:val="24"/>
          <w:szCs w:val="24"/>
          <w:rtl/>
        </w:rPr>
        <w:lastRenderedPageBreak/>
        <w:t>מתביעתו; על רקע המלצות העו"ס לסדרי דין, כי לא ניתן לכפות על הקטינה מפגשים עם אביה ועמדת האפוטרופסה לדין בדבר סירובה של הקטינה בחידוש הקשר עם אביה.</w:t>
      </w:r>
    </w:p>
    <w:p w14:paraId="2B6CEE1A"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ביום 13.9.2023 הוגשה עתירת האם בתובענה דנן לשינוי שם משפחת הקטינה, לאור רצון הקטינה ולבקשתה. </w:t>
      </w:r>
    </w:p>
    <w:p w14:paraId="0CF71B70"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בהחלטתי מיום 14.11.2023 הוריתי על הגשת תסקיר עו"ס לסדרי דין בעניינה של התובענה וכן על קבלת עמדת האב.</w:t>
      </w:r>
    </w:p>
    <w:p w14:paraId="7EE44FCE"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בכתב הגנתו, הביע האב התנגדותו לבקשה לשינוי שם משפחת הקטינה, תוך העלאת טענות רבות בדבר חלקה של האם בניתוק הקשר בינו לבין הקטינה. חרף עמדתו זו, ממועד הגשת כתב הגנתו ואילך, חדל האב לשתף פעולה עם ההליך המשפטי, אף שעיון בשאילתות באתר נט-המשפט העלה כי צפה אחר ההחלטות שניתנו. </w:t>
      </w:r>
    </w:p>
    <w:p w14:paraId="17D693EA"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ביום 25.1.2024 הודיעה העו"ס לסדרי דין, כי האב לא התייצב לפגישות אליהן הוזמן וכי ללא שיתוף פעולה עמו, תתקשה בהגשת תסקיר עם המלצות. בהחלטתי העוקבת מיום 26.1.2024 הובהר לאב, כי הוא מחוייב להתייצב לפגישה עם העו"ס ולשתף פעולה באופן ענייני ומלא לשם הכנתו של התסקיר וכי ככל שלא יעשה כן, ישקול בית המשפט מתן החלטה בהעדר תסקיר. </w:t>
      </w:r>
    </w:p>
    <w:p w14:paraId="1DF53813"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חרף האמור לעיל, לא שיתף האב פעולה עם הכנת התסקיר ולא ענה לפניותיה הטלפוניות של העו"ס לסדרי דין. </w:t>
      </w:r>
    </w:p>
    <w:p w14:paraId="6374EFFD"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לאור האמור, הוריתי לעו"ס לסדרי דין, בהחלטתי מיום 29.3.2024, להגיש תסקיר הכולל המלצות לאחר שמיעת עמדתה של הקטינה ועל יסוד המפורט בתסקירים שהוגשו בהליך הקשור. </w:t>
      </w:r>
    </w:p>
    <w:p w14:paraId="1827BADE"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ביום 30.4.2024 הוגש התסקיר. בתסקיר, תיארה העו"ס לסדרי דין את הנתק שבין האב לקטינה, לרבות תחושות הכעס והתסכול שחוותה הקטינה בקשר עם אביה:</w:t>
      </w:r>
    </w:p>
    <w:p w14:paraId="47389716" w14:textId="77777777" w:rsidR="0038561B" w:rsidRDefault="00000000" w:rsidP="002954FA">
      <w:pPr>
        <w:pStyle w:val="11"/>
        <w:tabs>
          <w:tab w:val="left" w:pos="1134"/>
        </w:tabs>
        <w:spacing w:before="240" w:after="240" w:line="360" w:lineRule="auto"/>
        <w:ind w:left="1134" w:right="567"/>
        <w:contextualSpacing w:val="0"/>
        <w:jc w:val="both"/>
        <w:rPr>
          <w:rFonts w:ascii="David" w:hAnsi="David" w:cs="David"/>
          <w:sz w:val="24"/>
          <w:szCs w:val="24"/>
        </w:rPr>
      </w:pPr>
      <w:r>
        <w:rPr>
          <w:rFonts w:ascii="David" w:hAnsi="David" w:cs="David"/>
          <w:sz w:val="24"/>
          <w:szCs w:val="24"/>
          <w:rtl/>
        </w:rPr>
        <w:t>"א.  מספרת כי היא לא נפגשה עם אביה כבר מספר שנים. כאשר היתה ילדה קטנה, היא היתה מחכה לאבא לביקורים אך הוא לא הגיע, היא היתה מצפה ואבא היה מאכזב אותה ולא מגיע. אבא הפסיק להגיע לביקורים ולאחר זמן כשהגיע היא סירבה להיפגש איתו כדי לא להתאכזב שוב. היא היתה בטיפול רגשי סביב הנתק עם אבא, למרות הטיפול היא עמדה על סירובה להיפגש עם האב. לדבריה, אבא במשך השנים גם לא ניסה ליצור איתה קשר".</w:t>
      </w:r>
    </w:p>
    <w:p w14:paraId="610908EC" w14:textId="77777777" w:rsidR="0038561B" w:rsidRDefault="00000000" w:rsidP="002954FA">
      <w:pPr>
        <w:pStyle w:val="11"/>
        <w:tabs>
          <w:tab w:val="left" w:pos="567"/>
        </w:tabs>
        <w:spacing w:before="240" w:after="240" w:line="360" w:lineRule="auto"/>
        <w:ind w:left="567" w:hanging="567"/>
        <w:contextualSpacing w:val="0"/>
        <w:jc w:val="both"/>
        <w:rPr>
          <w:rFonts w:ascii="David" w:hAnsi="David" w:cs="David"/>
          <w:sz w:val="24"/>
          <w:szCs w:val="24"/>
          <w:rtl/>
        </w:rPr>
      </w:pPr>
      <w:r>
        <w:rPr>
          <w:rFonts w:ascii="David" w:hAnsi="David" w:cs="David"/>
          <w:sz w:val="24"/>
          <w:szCs w:val="24"/>
          <w:rtl/>
        </w:rPr>
        <w:tab/>
        <w:t>בתסקיר הביאה העו"ס גם את נימוקי הקטינה באשר לבקשתה לשנות את שם משפחתה, כדלקמן:</w:t>
      </w:r>
    </w:p>
    <w:p w14:paraId="32A82F16" w14:textId="77777777" w:rsidR="0038561B" w:rsidRDefault="00000000" w:rsidP="002954FA">
      <w:pPr>
        <w:pStyle w:val="11"/>
        <w:tabs>
          <w:tab w:val="left" w:pos="1134"/>
        </w:tabs>
        <w:spacing w:before="240" w:after="240" w:line="360" w:lineRule="auto"/>
        <w:ind w:left="1134" w:right="567"/>
        <w:contextualSpacing w:val="0"/>
        <w:jc w:val="both"/>
        <w:rPr>
          <w:rFonts w:ascii="David" w:hAnsi="David" w:cs="David"/>
          <w:sz w:val="24"/>
          <w:szCs w:val="24"/>
          <w:rtl/>
        </w:rPr>
      </w:pPr>
      <w:r>
        <w:rPr>
          <w:rFonts w:ascii="David" w:hAnsi="David" w:cs="David"/>
          <w:sz w:val="24"/>
          <w:szCs w:val="24"/>
          <w:rtl/>
        </w:rPr>
        <w:t xml:space="preserve">"לדבריה, מגיל צעיר מאוד היא מציגה את עצמה בפני חבריה ובפני כל אחד בשם משפחת "מל." ולמעשה כל חבריה ומכריה מכירים אותה בשם "א.  מל.". </w:t>
      </w:r>
      <w:r>
        <w:rPr>
          <w:rFonts w:ascii="David" w:hAnsi="David" w:cs="David"/>
          <w:sz w:val="24"/>
          <w:szCs w:val="24"/>
          <w:rtl/>
        </w:rPr>
        <w:lastRenderedPageBreak/>
        <w:t xml:space="preserve">היא מחוברת למשפחתה של אימה ורואה אותה כשם משפחתה הטבעי לכן מציגה את עצמה בפני אחרים בשם משפחה זה. עם משפחתו של אביה אין לה קשר והיא לא מרגישה מחוברת לשם משפחתו של אביה אשר איתו אין לה קשר שנים. בתעודת הזהות היא רשומה בשם משפחת "מר." וכאשר החברים או אנשים כגון מורים מגלים את השינוי בשם ואינם יודעים את הסיבה לשינוי בשם המשפחה, הם שואלים אותה לפשר העניין היא נאלצת להסביר את סיפור חייה והנתק עם אביה, דבר שמאוד מקשה עליה... היא אינה רוצה שבמסמכים השונים כגון רישיון נהיגה או תעודת הבגרות שם משפחתה יופיע כ"מר." אלא "מל.". לדבריה, תמיד ראתה את עצמה בשם משפחה "מל.", בשם זה היא רואה את זהותה". </w:t>
      </w:r>
    </w:p>
    <w:p w14:paraId="7923214D" w14:textId="77777777" w:rsidR="0038561B" w:rsidRDefault="00000000" w:rsidP="002954FA">
      <w:pPr>
        <w:pStyle w:val="11"/>
        <w:tabs>
          <w:tab w:val="left" w:pos="567"/>
        </w:tabs>
        <w:spacing w:before="240" w:after="240" w:line="360" w:lineRule="auto"/>
        <w:ind w:left="567" w:hanging="567"/>
        <w:contextualSpacing w:val="0"/>
        <w:jc w:val="both"/>
        <w:rPr>
          <w:rFonts w:ascii="David" w:hAnsi="David" w:cs="David"/>
          <w:sz w:val="24"/>
          <w:szCs w:val="24"/>
          <w:rtl/>
        </w:rPr>
      </w:pPr>
      <w:r>
        <w:rPr>
          <w:rFonts w:ascii="David" w:hAnsi="David" w:cs="David"/>
          <w:sz w:val="24"/>
          <w:szCs w:val="24"/>
          <w:rtl/>
        </w:rPr>
        <w:tab/>
        <w:t>העו"ס לסדרי דין הציעה לקטינה להוסיף את שם משפחת האם לשם משפחתה, אך הקטינה סירבה בתוקף וביקשה ששם משפחתה ישונה לשם משפחת האם. העו"ס מתארת כי הקטינה "הביעה קושי רב מול שם משפחתה כיום וטענה שוב ושוב כי שם משפחתה גורם לה עוגמת נפש רבה מאוד".</w:t>
      </w:r>
    </w:p>
    <w:p w14:paraId="53C17DA8" w14:textId="77777777" w:rsidR="0038561B" w:rsidRDefault="00000000" w:rsidP="002954FA">
      <w:pPr>
        <w:pStyle w:val="11"/>
        <w:tabs>
          <w:tab w:val="left" w:pos="567"/>
        </w:tabs>
        <w:spacing w:before="240" w:after="240" w:line="360" w:lineRule="auto"/>
        <w:ind w:left="567" w:hanging="567"/>
        <w:contextualSpacing w:val="0"/>
        <w:jc w:val="both"/>
        <w:rPr>
          <w:rFonts w:ascii="David" w:hAnsi="David" w:cs="David"/>
          <w:sz w:val="24"/>
          <w:szCs w:val="24"/>
          <w:rtl/>
        </w:rPr>
      </w:pPr>
      <w:r>
        <w:rPr>
          <w:rFonts w:ascii="David" w:hAnsi="David" w:cs="David"/>
          <w:sz w:val="24"/>
          <w:szCs w:val="24"/>
          <w:rtl/>
        </w:rPr>
        <w:tab/>
        <w:t xml:space="preserve">על אף סירובה של הקטינה, המליצה העו"ס על הוספת שם משפחת האם לשם משפחתה של הקטינה, כך ששם משפחתה יהיה "מל. מר.", זאת מן הטעם, ששם משפחתו של אדם הינו חלק מזהותו ושורשיו וכי מחיקת שם משפחתה הינו "צעד קיצוני מעט אשר מוחק לחלוטין קשר בין הקטינה לאביה, גם אם בפועל הוא אינו קיים". </w:t>
      </w:r>
    </w:p>
    <w:p w14:paraId="40FE8B72"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tl/>
        </w:rPr>
      </w:pPr>
      <w:r>
        <w:rPr>
          <w:rFonts w:ascii="David" w:hAnsi="David" w:cs="David"/>
          <w:sz w:val="24"/>
          <w:szCs w:val="24"/>
          <w:rtl/>
        </w:rPr>
        <w:t>האם התנגדה להמלצות העו"ס בתסקיר בטענה שהקטינה ממשיכה להחזיק בעמדתה כי שם משפחתה ישונה משם משפחת האב לשם משפחת האם. ב"כ היועצת המשפטית לממשלה במשרד הרווחה והביטחון החברתי הודיע כי אינו מתנגד שבית המשפט יאמץ את המלצת העו"ס בתסקיר ואילו האב בחר שלא להגיב להמלצות העו"ס חרף החלטות שנדנו בנדון בהן צפה באתר נט-המשפט.</w:t>
      </w:r>
    </w:p>
    <w:p w14:paraId="00386019" w14:textId="77777777" w:rsidR="0038561B" w:rsidRDefault="00000000" w:rsidP="002954FA">
      <w:pPr>
        <w:tabs>
          <w:tab w:val="left" w:pos="567"/>
        </w:tabs>
        <w:spacing w:before="240" w:after="240" w:line="360" w:lineRule="auto"/>
        <w:ind w:left="567" w:hanging="567"/>
        <w:jc w:val="both"/>
        <w:rPr>
          <w:rFonts w:ascii="David" w:hAnsi="David"/>
          <w:noProof w:val="0"/>
          <w:rtl/>
        </w:rPr>
      </w:pPr>
      <w:r>
        <w:rPr>
          <w:rFonts w:ascii="David" w:hAnsi="David"/>
          <w:b/>
          <w:bCs/>
          <w:noProof w:val="0"/>
          <w:u w:val="single"/>
          <w:rtl/>
        </w:rPr>
        <w:t>שמיעת הקטינה</w:t>
      </w:r>
      <w:r w:rsidRPr="002648A0">
        <w:rPr>
          <w:rFonts w:ascii="David" w:hAnsi="David"/>
          <w:b/>
          <w:bCs/>
          <w:noProof w:val="0"/>
          <w:rtl/>
        </w:rPr>
        <w:t>:</w:t>
      </w:r>
    </w:p>
    <w:p w14:paraId="0DCB3DBB"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ביום 14.8.2024 נשמעה הקטינה בלשכתי, בנוכחות עו"ס יחידת הסיוע. </w:t>
      </w:r>
    </w:p>
    <w:p w14:paraId="490BED93"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מדברי הקטינה עלה, כי הבקשה לשינוי שם משפחתה הוגשה ביוזמתה ומתוך רצונה שלה. הקטינה ביטאה, באופן ברור ומפורש, רצונה בדבר שינוי שם משפחתה לשם משפחת אמה, תחת שם משפחת אביה, עמו היא מצויה בנתק מתמשך מזה מספר שנים. הקטינה היטיבה לבטא עמדתה בצורה עניינית ובהירה ושיקפה הקושי היומיומי בנשיאת שם משפחת האב; שם, שלדבריה, אינו מזוהה עמה ככל ועיקר, והשימוש בו מלווה בתחושות של עלבון וכעס.</w:t>
      </w:r>
    </w:p>
    <w:p w14:paraId="69A602E9"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הקטינה הסבירה את עיתוי הגשת בקשתה בעת הזו, הכרוך אחר זכאותה הקרובה להנפקת תעודת זהות, רישיון נהיגה וקבלת תעודת הבגרות. לדבריה, חפצה, כי המסמכים הרשמיים ישקפו את שם משפחתה "מל." (שם משפחת האם), כפי שהיא משתמשת בו מזה שנים רבות ולא את שם המשפחה "מר." (שם משפחת האב), שאין בינו לבינה דבר וחצי דבר. </w:t>
      </w:r>
    </w:p>
    <w:p w14:paraId="20CAA73F"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lastRenderedPageBreak/>
        <w:t>לאחר שיחתי עם הקטינה ובהתאם להחלטתי מיום 17.8.2024, הודיעו האם וב"כ היועצת המשפטית לממשלה, כי אין להם התנגדות כי התביעה תוכרע על יסוד החומר המצוי בפני בית המשפט בהליך דנא ובהליכים הקשורים, ללא צורך בהתייצבותם לדיון נוסף. האב בחר שלא להגיב על אף שצפה בהחלטה באתר נט-המשפט וחרף שבהחלטתי לעיל צוין, כי ככל שלא תובא כל תגובה בתוך המועד שנקצב, יסיק בית המשפט הסכמה למתן פסק דין על יסוד המונח לפניו.</w:t>
      </w:r>
    </w:p>
    <w:p w14:paraId="197EE65E" w14:textId="77777777" w:rsidR="0038561B" w:rsidRDefault="00000000" w:rsidP="002954FA">
      <w:pPr>
        <w:tabs>
          <w:tab w:val="left" w:pos="567"/>
        </w:tabs>
        <w:spacing w:before="240" w:after="240" w:line="360" w:lineRule="auto"/>
        <w:ind w:left="567" w:hanging="567"/>
        <w:jc w:val="both"/>
        <w:rPr>
          <w:rFonts w:ascii="David" w:hAnsi="David"/>
        </w:rPr>
      </w:pPr>
      <w:r>
        <w:rPr>
          <w:rFonts w:ascii="David" w:hAnsi="David"/>
          <w:b/>
          <w:bCs/>
          <w:noProof w:val="0"/>
          <w:u w:val="single"/>
          <w:rtl/>
        </w:rPr>
        <w:t>דיון והכרעה</w:t>
      </w:r>
      <w:r>
        <w:rPr>
          <w:rFonts w:ascii="David" w:hAnsi="David"/>
          <w:noProof w:val="0"/>
          <w:rtl/>
        </w:rPr>
        <w:t>:</w:t>
      </w:r>
    </w:p>
    <w:p w14:paraId="34586CC1" w14:textId="77777777" w:rsidR="0038561B" w:rsidRDefault="00013CC2"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tl/>
        </w:rPr>
      </w:pPr>
      <w:hyperlink r:id="rId11" w:history="1">
        <w:r w:rsidRPr="00013CC2">
          <w:rPr>
            <w:rStyle w:val="Hyperlink"/>
            <w:rFonts w:ascii="David" w:hAnsi="David" w:cs="David"/>
            <w:sz w:val="24"/>
            <w:szCs w:val="24"/>
            <w:rtl/>
          </w:rPr>
          <w:t>סעיף 13(ד)</w:t>
        </w:r>
      </w:hyperlink>
      <w:r w:rsidR="00000000">
        <w:rPr>
          <w:rFonts w:ascii="David" w:hAnsi="David" w:cs="David"/>
          <w:sz w:val="24"/>
          <w:szCs w:val="24"/>
          <w:rtl/>
        </w:rPr>
        <w:t xml:space="preserve"> ל</w:t>
      </w:r>
      <w:hyperlink r:id="rId12" w:history="1">
        <w:r w:rsidR="00E554C3" w:rsidRPr="00E554C3">
          <w:rPr>
            <w:rFonts w:ascii="David" w:hAnsi="David" w:cs="David"/>
            <w:color w:val="0000FF"/>
            <w:sz w:val="24"/>
            <w:szCs w:val="24"/>
            <w:u w:val="single"/>
            <w:rtl/>
          </w:rPr>
          <w:t>חוק השמות</w:t>
        </w:r>
      </w:hyperlink>
      <w:r w:rsidR="00000000">
        <w:rPr>
          <w:rFonts w:ascii="David" w:hAnsi="David" w:cs="David"/>
          <w:sz w:val="24"/>
          <w:szCs w:val="24"/>
          <w:rtl/>
        </w:rPr>
        <w:t>, תשט"ז-1956, קובע: "</w:t>
      </w:r>
      <w:r w:rsidR="00000000">
        <w:rPr>
          <w:rFonts w:ascii="David" w:hAnsi="David" w:cs="David"/>
          <w:b/>
          <w:bCs/>
          <w:sz w:val="24"/>
          <w:szCs w:val="24"/>
          <w:rtl/>
        </w:rPr>
        <w:t>הוריו של קטין רשאים, באישור בית המשפט, לשנות את שם משפחתו, ובלבד שניתנה לו – אם הוא מסוגל לחוות את דעתו – הזדמנות להביע את עמדתו, רצונו ורגשותיו בעניין וניתן להם משקל ראוי בהתחשב בגילו ובמידת בגרותו</w:t>
      </w:r>
      <w:r w:rsidR="00000000">
        <w:rPr>
          <w:rFonts w:ascii="David" w:hAnsi="David" w:cs="David"/>
          <w:sz w:val="24"/>
          <w:szCs w:val="24"/>
          <w:rtl/>
        </w:rPr>
        <w:t>".</w:t>
      </w:r>
    </w:p>
    <w:p w14:paraId="3F510254"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מכאן, כי הדין מורה לנו שגם כאשר קיימת הסכמת שני ההורים, אזי ההחלטה בעניין שינוי שמו של קטין, אשר מסוגל להביע עמדתו, צריכה להתקבל רק לאחר שמיעתו ותוך התחשבות בעמדתו, דעתו ורגשותיו.</w:t>
      </w:r>
    </w:p>
    <w:p w14:paraId="21D31EAB"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חובת שמיעת קטין בתובענה לשינוי שם עוגנה </w:t>
      </w:r>
      <w:hyperlink r:id="rId13" w:history="1">
        <w:r w:rsidR="00013CC2" w:rsidRPr="00013CC2">
          <w:rPr>
            <w:rStyle w:val="Hyperlink"/>
            <w:rFonts w:ascii="David" w:hAnsi="David" w:cs="David"/>
            <w:sz w:val="24"/>
            <w:szCs w:val="24"/>
            <w:rtl/>
          </w:rPr>
          <w:t>בתקנה 49</w:t>
        </w:r>
      </w:hyperlink>
      <w:r>
        <w:rPr>
          <w:rFonts w:ascii="David" w:hAnsi="David" w:cs="David"/>
          <w:sz w:val="24"/>
          <w:szCs w:val="24"/>
          <w:rtl/>
        </w:rPr>
        <w:t xml:space="preserve"> ל</w:t>
      </w:r>
      <w:hyperlink r:id="rId14" w:history="1">
        <w:r w:rsidR="00E554C3" w:rsidRPr="00E554C3">
          <w:rPr>
            <w:rFonts w:ascii="David" w:hAnsi="David" w:cs="David"/>
            <w:color w:val="0000FF"/>
            <w:sz w:val="24"/>
            <w:szCs w:val="24"/>
            <w:u w:val="single"/>
            <w:rtl/>
          </w:rPr>
          <w:t>תקנות בית משפט לענייני משפחה (סדרי דין), תשפ"א- 2020</w:t>
        </w:r>
      </w:hyperlink>
      <w:r>
        <w:rPr>
          <w:rFonts w:ascii="David" w:hAnsi="David" w:cs="David"/>
          <w:sz w:val="24"/>
          <w:szCs w:val="24"/>
          <w:rtl/>
        </w:rPr>
        <w:t xml:space="preserve">: "בית משפט הדן בתובענה כאמור </w:t>
      </w:r>
      <w:hyperlink r:id="rId15" w:history="1">
        <w:r w:rsidR="00013CC2" w:rsidRPr="00013CC2">
          <w:rPr>
            <w:rStyle w:val="Hyperlink"/>
            <w:rFonts w:ascii="David" w:hAnsi="David" w:cs="David"/>
            <w:sz w:val="24"/>
            <w:szCs w:val="24"/>
            <w:rtl/>
          </w:rPr>
          <w:t>בתקנה 15(א)(3)</w:t>
        </w:r>
      </w:hyperlink>
      <w:r>
        <w:rPr>
          <w:rFonts w:ascii="David" w:hAnsi="David" w:cs="David"/>
          <w:sz w:val="24"/>
          <w:szCs w:val="24"/>
          <w:rtl/>
        </w:rPr>
        <w:t xml:space="preserve">, </w:t>
      </w:r>
      <w:hyperlink r:id="rId16" w:history="1">
        <w:r w:rsidR="00013CC2" w:rsidRPr="00013CC2">
          <w:rPr>
            <w:rStyle w:val="Hyperlink"/>
            <w:rFonts w:ascii="David" w:hAnsi="David" w:cs="David"/>
            <w:sz w:val="24"/>
            <w:szCs w:val="24"/>
            <w:rtl/>
          </w:rPr>
          <w:t>(6)</w:t>
        </w:r>
      </w:hyperlink>
      <w:r>
        <w:rPr>
          <w:rFonts w:ascii="David" w:hAnsi="David" w:cs="David"/>
          <w:sz w:val="24"/>
          <w:szCs w:val="24"/>
          <w:rtl/>
        </w:rPr>
        <w:t xml:space="preserve">, </w:t>
      </w:r>
      <w:hyperlink r:id="rId17" w:history="1">
        <w:r w:rsidR="00013CC2" w:rsidRPr="00013CC2">
          <w:rPr>
            <w:rStyle w:val="Hyperlink"/>
            <w:rFonts w:ascii="David" w:hAnsi="David" w:cs="David"/>
            <w:sz w:val="24"/>
            <w:szCs w:val="24"/>
            <w:rtl/>
          </w:rPr>
          <w:t>(11)</w:t>
        </w:r>
      </w:hyperlink>
      <w:r>
        <w:rPr>
          <w:rFonts w:ascii="David" w:hAnsi="David" w:cs="David"/>
          <w:sz w:val="24"/>
          <w:szCs w:val="24"/>
          <w:rtl/>
        </w:rPr>
        <w:t xml:space="preserve"> ו-</w:t>
      </w:r>
      <w:hyperlink r:id="rId18" w:history="1">
        <w:r w:rsidR="00013CC2" w:rsidRPr="00013CC2">
          <w:rPr>
            <w:rStyle w:val="Hyperlink"/>
            <w:rFonts w:ascii="David" w:hAnsi="David" w:cs="David"/>
            <w:sz w:val="24"/>
            <w:szCs w:val="24"/>
            <w:rtl/>
          </w:rPr>
          <w:t>(13)</w:t>
        </w:r>
      </w:hyperlink>
      <w:r>
        <w:rPr>
          <w:rFonts w:ascii="David" w:hAnsi="David" w:cs="David"/>
          <w:sz w:val="24"/>
          <w:szCs w:val="24"/>
          <w:rtl/>
        </w:rPr>
        <w:t xml:space="preserve"> הנוגעת לילד, ייתן לילד </w:t>
      </w:r>
      <w:r>
        <w:rPr>
          <w:rFonts w:ascii="David" w:hAnsi="David" w:cs="David"/>
          <w:b/>
          <w:bCs/>
          <w:sz w:val="24"/>
          <w:szCs w:val="24"/>
          <w:rtl/>
        </w:rPr>
        <w:t xml:space="preserve">הזדמנות להביע את רגשותיו, את דעותיו ואת רצונותיו בעניין הנדון לפניו </w:t>
      </w:r>
      <w:r>
        <w:rPr>
          <w:rFonts w:ascii="David" w:hAnsi="David" w:cs="David"/>
          <w:sz w:val="24"/>
          <w:szCs w:val="24"/>
          <w:rtl/>
        </w:rPr>
        <w:t xml:space="preserve">(להלן בפרק זה – שמיעת הילד) </w:t>
      </w:r>
      <w:r>
        <w:rPr>
          <w:rFonts w:ascii="David" w:hAnsi="David" w:cs="David"/>
          <w:b/>
          <w:bCs/>
          <w:sz w:val="24"/>
          <w:szCs w:val="24"/>
          <w:rtl/>
        </w:rPr>
        <w:t>וייתן להם משקל ראוי בהחלטתו, לפי גילו ולמידת בגרותו של הילד</w:t>
      </w:r>
      <w:r>
        <w:rPr>
          <w:rFonts w:ascii="David" w:hAnsi="David" w:cs="David"/>
          <w:sz w:val="24"/>
          <w:szCs w:val="24"/>
          <w:rtl/>
        </w:rPr>
        <w:t>, אלא אם כן החליט בית המשפט, מנימוקים מיוחדים שיירשמו, שהילד לא יישמע, לאחר ששוכנע כי מימוש זכותו של הילד להישמע יגרום לילד פגיעה העולה על הפגיעה שתיגרם לו משלילתה" (ההדגשה נוספה – ש.כ).</w:t>
      </w:r>
    </w:p>
    <w:p w14:paraId="3B4C4AE8"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נוסף על האמור, </w:t>
      </w:r>
      <w:hyperlink r:id="rId19" w:history="1">
        <w:r w:rsidR="00013CC2" w:rsidRPr="00013CC2">
          <w:rPr>
            <w:rStyle w:val="Hyperlink"/>
            <w:rFonts w:ascii="David" w:hAnsi="David" w:cs="David"/>
            <w:sz w:val="24"/>
            <w:szCs w:val="24"/>
            <w:rtl/>
          </w:rPr>
          <w:t>סעיף 18</w:t>
        </w:r>
      </w:hyperlink>
      <w:r>
        <w:rPr>
          <w:rFonts w:ascii="David" w:hAnsi="David" w:cs="David"/>
          <w:sz w:val="24"/>
          <w:szCs w:val="24"/>
          <w:rtl/>
        </w:rPr>
        <w:t xml:space="preserve"> ל</w:t>
      </w:r>
      <w:hyperlink r:id="rId20" w:history="1">
        <w:r w:rsidR="00E554C3" w:rsidRPr="00E554C3">
          <w:rPr>
            <w:rFonts w:ascii="David" w:hAnsi="David" w:cs="David"/>
            <w:color w:val="0000FF"/>
            <w:sz w:val="24"/>
            <w:szCs w:val="24"/>
            <w:u w:val="single"/>
            <w:rtl/>
          </w:rPr>
          <w:t>חוק הכשרות המשפטית והאפוטרופסות</w:t>
        </w:r>
      </w:hyperlink>
      <w:r>
        <w:rPr>
          <w:rFonts w:ascii="David" w:hAnsi="David" w:cs="David"/>
          <w:sz w:val="24"/>
          <w:szCs w:val="24"/>
          <w:rtl/>
        </w:rPr>
        <w:t>, התשכ"ב-1962 (להלן: "</w:t>
      </w:r>
      <w:r>
        <w:rPr>
          <w:rFonts w:ascii="David" w:hAnsi="David" w:cs="David"/>
          <w:b/>
          <w:bCs/>
          <w:sz w:val="24"/>
          <w:szCs w:val="24"/>
          <w:rtl/>
        </w:rPr>
        <w:t>חוק הכשרות המשפטית והאפוטרופסות</w:t>
      </w:r>
      <w:r>
        <w:rPr>
          <w:rFonts w:ascii="David" w:hAnsi="David" w:cs="David"/>
          <w:sz w:val="24"/>
          <w:szCs w:val="24"/>
          <w:rtl/>
        </w:rPr>
        <w:t xml:space="preserve">"). מחייב את ההורים לפעול בהסכמה בכל עניין הנתון לאפוטרופסותם על הקטין, </w:t>
      </w:r>
      <w:hyperlink r:id="rId21" w:history="1">
        <w:r w:rsidR="00013CC2" w:rsidRPr="00013CC2">
          <w:rPr>
            <w:rStyle w:val="Hyperlink"/>
            <w:rFonts w:ascii="David" w:hAnsi="David" w:cs="David"/>
            <w:sz w:val="24"/>
            <w:szCs w:val="24"/>
            <w:rtl/>
          </w:rPr>
          <w:t>וסעיף 19</w:t>
        </w:r>
      </w:hyperlink>
      <w:r>
        <w:rPr>
          <w:rFonts w:ascii="David" w:hAnsi="David" w:cs="David"/>
          <w:sz w:val="24"/>
          <w:szCs w:val="24"/>
          <w:rtl/>
        </w:rPr>
        <w:t xml:space="preserve"> ל</w:t>
      </w:r>
      <w:hyperlink r:id="rId22" w:history="1">
        <w:r w:rsidR="00E554C3" w:rsidRPr="00E554C3">
          <w:rPr>
            <w:rFonts w:ascii="David" w:hAnsi="David" w:cs="David"/>
            <w:color w:val="0000FF"/>
            <w:sz w:val="24"/>
            <w:szCs w:val="24"/>
            <w:u w:val="single"/>
            <w:rtl/>
          </w:rPr>
          <w:t>חוק הכשרות המשפטית והאפוטרופסות</w:t>
        </w:r>
      </w:hyperlink>
      <w:r>
        <w:rPr>
          <w:rFonts w:ascii="David" w:hAnsi="David" w:cs="David"/>
          <w:sz w:val="24"/>
          <w:szCs w:val="24"/>
          <w:rtl/>
        </w:rPr>
        <w:t>, מעגן את סמכות בית המשפט, בהעדר הסכמה:</w:t>
      </w:r>
    </w:p>
    <w:p w14:paraId="78E27660" w14:textId="77777777" w:rsidR="0038561B" w:rsidRDefault="00000000" w:rsidP="002954FA">
      <w:pPr>
        <w:pStyle w:val="11"/>
        <w:tabs>
          <w:tab w:val="left" w:pos="1134"/>
        </w:tabs>
        <w:spacing w:before="240" w:after="240" w:line="360" w:lineRule="auto"/>
        <w:ind w:left="1134" w:right="567"/>
        <w:contextualSpacing w:val="0"/>
        <w:jc w:val="both"/>
        <w:rPr>
          <w:rFonts w:ascii="David" w:hAnsi="David" w:cs="David"/>
          <w:sz w:val="24"/>
          <w:szCs w:val="24"/>
        </w:rPr>
      </w:pPr>
      <w:r>
        <w:rPr>
          <w:rFonts w:ascii="David" w:hAnsi="David" w:cs="David"/>
          <w:sz w:val="24"/>
          <w:szCs w:val="24"/>
          <w:rtl/>
        </w:rPr>
        <w:t>" לא באו ההורים לידי הסכמה ביניהם בענין אחר הנתון לאפוטרופסותם, רשאים הם יחד לפנות לבית המשפט, ובית המשפט, אם לא עלה בידו להביאם לידי הסכמה ואם ראה שיש מקום להכריע בדבר, יכריע הוא בעצמו או יטיל את ההכרעה על מי שימצא לנכון".</w:t>
      </w:r>
    </w:p>
    <w:p w14:paraId="22E447BF"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 xml:space="preserve">אשר לשיקולים המנחים את בית המשפט בבואו להכריע בעניין שינוי שם של קטין, נקבע זה מכבר כי השיקול היחיד שצריך להנחות את בית המשפט הוא שיקול טובת הילד, אשר הוכר בפסיקה כשיקול העל שצריך להנחות את בית המשפט עת נדרש הוא להכריע בעניינו של קטין, תוך התייחסות לטובת הילד הקונקרטי שבפניו (ראו לדוגמה: </w:t>
      </w:r>
      <w:hyperlink r:id="rId23" w:history="1">
        <w:r w:rsidR="00E554C3" w:rsidRPr="00E554C3">
          <w:rPr>
            <w:rFonts w:ascii="David" w:hAnsi="David" w:cs="David"/>
            <w:color w:val="0000FF"/>
            <w:sz w:val="24"/>
            <w:szCs w:val="24"/>
            <w:u w:val="single"/>
            <w:rtl/>
          </w:rPr>
          <w:t>ע"א 486/72</w:t>
        </w:r>
      </w:hyperlink>
      <w:r>
        <w:rPr>
          <w:rFonts w:ascii="David" w:hAnsi="David" w:cs="David"/>
          <w:sz w:val="24"/>
          <w:szCs w:val="24"/>
          <w:rtl/>
        </w:rPr>
        <w:t xml:space="preserve"> </w:t>
      </w:r>
      <w:r>
        <w:rPr>
          <w:rFonts w:ascii="David" w:hAnsi="David" w:cs="David"/>
          <w:b/>
          <w:bCs/>
          <w:sz w:val="24"/>
          <w:szCs w:val="24"/>
          <w:rtl/>
        </w:rPr>
        <w:t>פלוני נ' אלמונית</w:t>
      </w:r>
      <w:r>
        <w:rPr>
          <w:rFonts w:ascii="David" w:hAnsi="David" w:cs="David"/>
          <w:sz w:val="24"/>
          <w:szCs w:val="24"/>
          <w:rtl/>
        </w:rPr>
        <w:t>, כז(2) 673, 679 (1973).</w:t>
      </w:r>
    </w:p>
    <w:p w14:paraId="2AA1426E"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lastRenderedPageBreak/>
        <w:t>בהקשר זה קובעת הפסיקה, כי תסקיר מאת עו"ס לסדרי דין, שמעמדו הוכר כשווה ערך לחוות דעת מומחה ומהווה אמצעי מרכזי ומשמעותי במסכת הראיות שיובאו בפני בית המשפט בבוחנו את "טובת הילד".</w:t>
      </w:r>
    </w:p>
    <w:p w14:paraId="077E39DA" w14:textId="77777777" w:rsidR="0038561B" w:rsidRDefault="00000000" w:rsidP="002954FA">
      <w:pPr>
        <w:pStyle w:val="11"/>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ab/>
        <w:t>לפיכך, בית המשפט ייטה לאמץ את המלצות התסקיר בהעדר ראיות כבדות משקל לסתירת האמור בהן. ואולם, אין השופט פטור מהפעלת שיקול דעת שיפוטי עצמאי עת שנדרש הוא להכריע בעניין קטין, כאשר אף אם מוגשת חוות דעת מומחה / המלצות בתסקיר, בית המשפט הוא הקובע גם בשאלות שבמומחיות. כבר נפסק, כי אכן חוות הדעת משמשת כלי עזר חיוני אשר תזכה למשקל נכבד, אך לא מכריע, שכן בית המשפט אינו "חותמת גומי" לעמדתו של המומחה המקצועי [ראו למשל ב</w:t>
      </w:r>
      <w:hyperlink r:id="rId24" w:history="1">
        <w:r w:rsidR="00E554C3" w:rsidRPr="00E554C3">
          <w:rPr>
            <w:rFonts w:ascii="David" w:hAnsi="David" w:cs="David"/>
            <w:color w:val="0000FF"/>
            <w:sz w:val="24"/>
            <w:szCs w:val="24"/>
            <w:u w:val="single"/>
            <w:rtl/>
          </w:rPr>
          <w:t>ע"מ 27/07</w:t>
        </w:r>
      </w:hyperlink>
      <w:r>
        <w:rPr>
          <w:rFonts w:ascii="David" w:hAnsi="David" w:cs="David"/>
          <w:sz w:val="24"/>
          <w:szCs w:val="24"/>
          <w:rtl/>
        </w:rPr>
        <w:t xml:space="preserve"> </w:t>
      </w:r>
      <w:r w:rsidRPr="00FA19BB">
        <w:rPr>
          <w:rFonts w:ascii="David" w:hAnsi="David" w:cs="David"/>
          <w:b/>
          <w:bCs/>
          <w:sz w:val="24"/>
          <w:szCs w:val="24"/>
          <w:rtl/>
        </w:rPr>
        <w:t>פלוני נ' פלונית</w:t>
      </w:r>
      <w:r>
        <w:rPr>
          <w:rFonts w:ascii="David" w:hAnsi="David" w:cs="David"/>
          <w:sz w:val="24"/>
          <w:szCs w:val="24"/>
          <w:rtl/>
        </w:rPr>
        <w:t xml:space="preserve"> (פורסם בנבו, 1.5.06), שאומץ ב</w:t>
      </w:r>
      <w:hyperlink r:id="rId25" w:history="1">
        <w:r w:rsidR="00E554C3" w:rsidRPr="00E554C3">
          <w:rPr>
            <w:rFonts w:ascii="David" w:hAnsi="David" w:cs="David"/>
            <w:color w:val="0000FF"/>
            <w:sz w:val="24"/>
            <w:szCs w:val="24"/>
            <w:u w:val="single"/>
            <w:rtl/>
          </w:rPr>
          <w:t>דנ"א 1892/11</w:t>
        </w:r>
      </w:hyperlink>
      <w:r>
        <w:rPr>
          <w:rFonts w:ascii="David" w:hAnsi="David" w:cs="David"/>
          <w:sz w:val="24"/>
          <w:szCs w:val="24"/>
          <w:rtl/>
        </w:rPr>
        <w:t xml:space="preserve"> </w:t>
      </w:r>
      <w:r w:rsidRPr="00FA19BB">
        <w:rPr>
          <w:rFonts w:ascii="David" w:hAnsi="David" w:cs="David"/>
          <w:b/>
          <w:bCs/>
          <w:sz w:val="24"/>
          <w:szCs w:val="24"/>
          <w:rtl/>
        </w:rPr>
        <w:t>היועץ המשפטי לממשלה נ' פלונית</w:t>
      </w:r>
      <w:r>
        <w:rPr>
          <w:rFonts w:ascii="David" w:hAnsi="David" w:cs="David"/>
          <w:sz w:val="24"/>
          <w:szCs w:val="24"/>
          <w:rtl/>
        </w:rPr>
        <w:t xml:space="preserve"> (פורסם בנבו, 22.5.11)].</w:t>
      </w:r>
    </w:p>
    <w:p w14:paraId="107E030A"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tl/>
        </w:rPr>
      </w:pPr>
      <w:r>
        <w:rPr>
          <w:rFonts w:ascii="David" w:hAnsi="David" w:cs="David"/>
          <w:sz w:val="24"/>
          <w:szCs w:val="24"/>
          <w:rtl/>
        </w:rPr>
        <w:t>לאחר עיון בכל אשר הונח לפניי, בהליך דנן ובהליכים הקשורים; לאחר ששמעתי הקטינה באופן בלתי אמצעי והתרשמתי מעמדתה, רצונה ורגשותיה; לאור גילה של הקטינה (בת 16) ומידת בגרותה; ובשים לבדרך הילוכו והתנהלותו של האב והעדר שיתוף הפעולה בניהול ההליך, המעידים על יחסו לבקשה סבורני כי טובת הקטינה בנסיבות המקרה שלפניי בהיעתרות לבקשה לשינוי שם משפחתה, חרף המלצת העו"ס בתסקיר להוסיף את שם משפחת האם לצד שם משפחת האב.</w:t>
      </w:r>
    </w:p>
    <w:p w14:paraId="4D475BDE" w14:textId="77777777" w:rsidR="0038561B" w:rsidRPr="009841A4"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sidRPr="001E2797">
        <w:rPr>
          <w:rFonts w:ascii="David" w:hAnsi="David" w:cs="David"/>
          <w:sz w:val="24"/>
          <w:szCs w:val="24"/>
          <w:rtl/>
        </w:rPr>
        <w:t xml:space="preserve">התרשמתי, כי מדובר בקטינה נעימת הליכות, בוגרת ואינטליגנטית, המבטאת </w:t>
      </w:r>
      <w:r w:rsidRPr="00A327F8">
        <w:rPr>
          <w:rFonts w:ascii="David" w:hAnsi="David" w:cs="David"/>
          <w:sz w:val="24"/>
          <w:szCs w:val="24"/>
          <w:rtl/>
        </w:rPr>
        <w:t>ע</w:t>
      </w:r>
      <w:r w:rsidRPr="00C21231">
        <w:rPr>
          <w:rFonts w:ascii="David" w:hAnsi="David" w:cs="David"/>
          <w:sz w:val="24"/>
          <w:szCs w:val="24"/>
          <w:rtl/>
        </w:rPr>
        <w:t xml:space="preserve">מדתה </w:t>
      </w:r>
      <w:r w:rsidRPr="00F300CD">
        <w:rPr>
          <w:rFonts w:ascii="David" w:hAnsi="David" w:cs="David"/>
          <w:sz w:val="24"/>
          <w:szCs w:val="24"/>
          <w:rtl/>
        </w:rPr>
        <w:t xml:space="preserve">באופן נהיר </w:t>
      </w:r>
      <w:r w:rsidRPr="002954FA">
        <w:rPr>
          <w:rFonts w:ascii="David" w:hAnsi="David" w:cs="David"/>
          <w:sz w:val="24"/>
          <w:szCs w:val="24"/>
          <w:rtl/>
        </w:rPr>
        <w:t>וענייני, וכי בקשתה לשינוי שם משפחתה נובעת מרצונה שלה, במנותק מרצונה של האם ומסיבות ענייניות הכרוכות אחר אופן הצגתה וזיהויה כלפי כולי עלמא; כי שם משפחת האב אינו נתפס כחלק מזהותה, ולמצער אינו מהווה חלק חיובי מזהותה, אלא השימוש בו נתפס עבורה בהקשרים שליליים ופוגעניים בלבד; כי הפער בין שם המשפחה אותו היא נושאת ומזדהה עמו (שם משפחת האם) לבין שם המשפחה הרשום (שם משפחת האב), יוצר אצלה מאבק פנימי קשה וכבד וכי בעטיו נקלעה, לא פעם, למבוכה, חוסר נוחות ועלבון; כי עיתוי הגשת הבקשה בעת הזו כרוך אחר רצונה, כי בתעודת הזהות שתונפק לה עם הגיעה לגיל 16 וכן במסמכים רשמיים משמעותיים אחרים (רישיון נהיגה, תעודת בגרות, צו ראשון וכו') יירשם שם המשפחה אותו היא נושאת בפועל ועמו היא מזדהה, ולא שם משפחה שלדבריה אינו מזוהה עמה והוא זר לה. עוד התרשמתי, כי העובדה ששם משפחתה הנוכחי שונה מהאופן בו היא מציגה את עצמה (הציגה את עצמה לפני בית המשפט כ"</w:t>
      </w:r>
      <w:r>
        <w:rPr>
          <w:rFonts w:ascii="David" w:hAnsi="David" w:cs="David"/>
          <w:sz w:val="24"/>
          <w:szCs w:val="24"/>
          <w:rtl/>
        </w:rPr>
        <w:t xml:space="preserve">א. </w:t>
      </w:r>
      <w:r w:rsidRPr="002954FA">
        <w:rPr>
          <w:rFonts w:ascii="David" w:hAnsi="David" w:cs="David"/>
          <w:sz w:val="24"/>
          <w:szCs w:val="24"/>
          <w:rtl/>
        </w:rPr>
        <w:t xml:space="preserve"> </w:t>
      </w:r>
      <w:r>
        <w:rPr>
          <w:rFonts w:ascii="David" w:hAnsi="David" w:cs="David"/>
          <w:sz w:val="24"/>
          <w:szCs w:val="24"/>
          <w:rtl/>
        </w:rPr>
        <w:t>מל.</w:t>
      </w:r>
      <w:r w:rsidRPr="002954FA">
        <w:rPr>
          <w:rFonts w:ascii="David" w:hAnsi="David" w:cs="David"/>
          <w:sz w:val="24"/>
          <w:szCs w:val="24"/>
          <w:rtl/>
        </w:rPr>
        <w:t>"), בין אם בקשרים בין אישיים, בבית הספר, ברשתות חברתיות וכו', יוצר קושי אמיתי עבורה, שאינו בטובתה וכי היא מרגישה, באמת ובתמים, כי שם המשפחה "</w:t>
      </w:r>
      <w:r>
        <w:rPr>
          <w:rFonts w:ascii="David" w:hAnsi="David" w:cs="David"/>
          <w:sz w:val="24"/>
          <w:szCs w:val="24"/>
          <w:rtl/>
        </w:rPr>
        <w:t>מר.</w:t>
      </w:r>
      <w:r w:rsidRPr="002954FA">
        <w:rPr>
          <w:rFonts w:ascii="David" w:hAnsi="David" w:cs="David"/>
          <w:sz w:val="24"/>
          <w:szCs w:val="24"/>
          <w:rtl/>
        </w:rPr>
        <w:t>" אינו מייצג את זהותה והקשרו אליה יוצר לה קושי ומסב לה מפח נפש. ממילא, בהינתן האמור, אין בשינוי</w:t>
      </w:r>
      <w:r>
        <w:rPr>
          <w:rFonts w:ascii="David" w:hAnsi="David" w:cs="David"/>
          <w:sz w:val="24"/>
          <w:szCs w:val="24"/>
          <w:rtl/>
        </w:rPr>
        <w:t xml:space="preserve"> שם משפחתה של הקטינה כדי ליצור "זעזוע" בזהותה העצמית ובמעגלים החברתיים שלה, אלא אך לשקף את מציאות חייה, שכן ממילא הקטינה משתמשת בשם משפחת האם ואינה מציגה עצמה בשם משפחתה הרשום. </w:t>
      </w:r>
    </w:p>
    <w:p w14:paraId="459C2732" w14:textId="77777777" w:rsidR="0038561B" w:rsidRPr="002954FA"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sidRPr="001E2797">
        <w:rPr>
          <w:rFonts w:ascii="David" w:hAnsi="David" w:cs="David"/>
          <w:sz w:val="24"/>
          <w:szCs w:val="24"/>
          <w:rtl/>
        </w:rPr>
        <w:t xml:space="preserve">אינני מקלה ראש בעמדת העו"ס, כי מחיקת שם המשפחה הינו צעד אשר </w:t>
      </w:r>
      <w:r>
        <w:rPr>
          <w:rFonts w:ascii="David" w:hAnsi="David" w:cs="David"/>
          <w:sz w:val="24"/>
          <w:szCs w:val="24"/>
          <w:rtl/>
        </w:rPr>
        <w:t xml:space="preserve">יש בו כדי לאיין </w:t>
      </w:r>
      <w:r w:rsidRPr="001E2797">
        <w:rPr>
          <w:rFonts w:ascii="David" w:hAnsi="David" w:cs="David"/>
          <w:sz w:val="24"/>
          <w:szCs w:val="24"/>
          <w:rtl/>
        </w:rPr>
        <w:t xml:space="preserve">את הקשר בין הקטינה לבין אביה. דא עקא, בנסיבות ההליך שלפניי, בין האב לקטינה קיים נתק </w:t>
      </w:r>
      <w:r w:rsidRPr="001E2797">
        <w:rPr>
          <w:rFonts w:ascii="David" w:hAnsi="David" w:cs="David"/>
          <w:sz w:val="24"/>
          <w:szCs w:val="24"/>
          <w:rtl/>
        </w:rPr>
        <w:lastRenderedPageBreak/>
        <w:t xml:space="preserve">מוחלט משך שנים ואף ניסיונות לחידוש הקשר לא צלחו. </w:t>
      </w:r>
      <w:r>
        <w:rPr>
          <w:rFonts w:ascii="David" w:hAnsi="David" w:cs="David"/>
          <w:sz w:val="24"/>
          <w:szCs w:val="24"/>
          <w:rtl/>
        </w:rPr>
        <w:t xml:space="preserve">בנוסף, אין בשינוי שם המשפחה כדי </w:t>
      </w:r>
      <w:r w:rsidRPr="002954FA">
        <w:rPr>
          <w:rFonts w:ascii="David" w:hAnsi="David" w:cs="David"/>
          <w:color w:val="000000"/>
          <w:sz w:val="24"/>
          <w:szCs w:val="24"/>
          <w:shd w:val="clear" w:color="auto" w:fill="FFFFFF"/>
          <w:rtl/>
        </w:rPr>
        <w:t xml:space="preserve">לגרוע מהיותו </w:t>
      </w:r>
      <w:r>
        <w:rPr>
          <w:rFonts w:ascii="David" w:hAnsi="David" w:cs="David"/>
          <w:color w:val="000000"/>
          <w:sz w:val="24"/>
          <w:szCs w:val="24"/>
          <w:shd w:val="clear" w:color="auto" w:fill="FFFFFF"/>
          <w:rtl/>
        </w:rPr>
        <w:t xml:space="preserve">של הנתבע </w:t>
      </w:r>
      <w:r w:rsidRPr="002954FA">
        <w:rPr>
          <w:rFonts w:ascii="David" w:hAnsi="David" w:cs="David"/>
          <w:color w:val="000000"/>
          <w:sz w:val="24"/>
          <w:szCs w:val="24"/>
          <w:shd w:val="clear" w:color="auto" w:fill="FFFFFF"/>
          <w:rtl/>
        </w:rPr>
        <w:t>רשום כאביה הביולוגי במשרד הפנים ו</w:t>
      </w:r>
      <w:r>
        <w:rPr>
          <w:rFonts w:ascii="David" w:hAnsi="David" w:cs="David"/>
          <w:color w:val="000000"/>
          <w:sz w:val="24"/>
          <w:szCs w:val="24"/>
          <w:shd w:val="clear" w:color="auto" w:fill="FFFFFF"/>
          <w:rtl/>
        </w:rPr>
        <w:t>/או ל</w:t>
      </w:r>
      <w:r w:rsidRPr="002954FA">
        <w:rPr>
          <w:rFonts w:ascii="David" w:hAnsi="David" w:cs="David"/>
          <w:color w:val="000000"/>
          <w:sz w:val="24"/>
          <w:szCs w:val="24"/>
          <w:shd w:val="clear" w:color="auto" w:fill="FFFFFF"/>
          <w:rtl/>
        </w:rPr>
        <w:t>שנות רישום זה</w:t>
      </w:r>
      <w:r>
        <w:rPr>
          <w:rFonts w:ascii="David" w:hAnsi="David" w:cs="David"/>
          <w:color w:val="000000"/>
          <w:sz w:val="24"/>
          <w:szCs w:val="24"/>
          <w:shd w:val="clear" w:color="auto" w:fill="FFFFFF"/>
          <w:rtl/>
        </w:rPr>
        <w:t>.</w:t>
      </w:r>
      <w:r w:rsidRPr="002954FA">
        <w:rPr>
          <w:rFonts w:ascii="David" w:hAnsi="David" w:cs="David"/>
          <w:color w:val="000000"/>
          <w:sz w:val="24"/>
          <w:szCs w:val="24"/>
          <w:shd w:val="clear" w:color="auto" w:fill="FFFFFF"/>
          <w:rtl/>
        </w:rPr>
        <w:t xml:space="preserve"> </w:t>
      </w:r>
    </w:p>
    <w:p w14:paraId="129870F3" w14:textId="77777777" w:rsidR="0038561B" w:rsidRPr="001E2797" w:rsidRDefault="00000000" w:rsidP="002954FA">
      <w:pPr>
        <w:pStyle w:val="11"/>
        <w:tabs>
          <w:tab w:val="left" w:pos="567"/>
        </w:tabs>
        <w:spacing w:before="240" w:after="240" w:line="360" w:lineRule="auto"/>
        <w:ind w:left="567"/>
        <w:contextualSpacing w:val="0"/>
        <w:jc w:val="both"/>
        <w:rPr>
          <w:rFonts w:ascii="David" w:hAnsi="David" w:cs="David"/>
          <w:sz w:val="24"/>
          <w:szCs w:val="24"/>
        </w:rPr>
      </w:pPr>
      <w:r w:rsidRPr="00C21231">
        <w:rPr>
          <w:rFonts w:ascii="David" w:hAnsi="David" w:cs="David"/>
          <w:sz w:val="24"/>
          <w:szCs w:val="24"/>
          <w:rtl/>
        </w:rPr>
        <w:t xml:space="preserve">אשר </w:t>
      </w:r>
      <w:r w:rsidRPr="002954FA">
        <w:rPr>
          <w:rFonts w:ascii="David" w:hAnsi="David" w:cs="David"/>
          <w:sz w:val="24"/>
          <w:szCs w:val="24"/>
          <w:rtl/>
        </w:rPr>
        <w:t>לעמדת העו"ס,</w:t>
      </w:r>
      <w:r w:rsidRPr="001E2797">
        <w:rPr>
          <w:rFonts w:ascii="David" w:hAnsi="David" w:cs="David"/>
          <w:sz w:val="24"/>
          <w:szCs w:val="24"/>
          <w:rtl/>
        </w:rPr>
        <w:t xml:space="preserve"> כי שם המשפחה מהווה חלק מזהותה של הקטינה, הרי שכאמור לעיל, ה</w:t>
      </w:r>
      <w:r w:rsidRPr="00A70F64">
        <w:rPr>
          <w:rFonts w:ascii="David" w:hAnsi="David" w:cs="David"/>
          <w:sz w:val="24"/>
          <w:szCs w:val="24"/>
          <w:rtl/>
        </w:rPr>
        <w:t>קט</w:t>
      </w:r>
      <w:r w:rsidRPr="005A178E">
        <w:rPr>
          <w:rFonts w:ascii="David" w:hAnsi="David" w:cs="David"/>
          <w:sz w:val="24"/>
          <w:szCs w:val="24"/>
          <w:rtl/>
        </w:rPr>
        <w:t xml:space="preserve">ינה הבהירה באופן חד-משמעי ונחרץ, </w:t>
      </w:r>
      <w:r w:rsidRPr="002954FA">
        <w:rPr>
          <w:rFonts w:ascii="David" w:hAnsi="David" w:cs="David"/>
          <w:sz w:val="24"/>
          <w:szCs w:val="24"/>
          <w:rtl/>
        </w:rPr>
        <w:t xml:space="preserve">כי שם משפחת האב אינה מהווה חלק מזהותה, היא אינה נושאת אותו ואינה מזדהה </w:t>
      </w:r>
      <w:r>
        <w:rPr>
          <w:rFonts w:ascii="David" w:hAnsi="David" w:cs="David"/>
          <w:sz w:val="24"/>
          <w:szCs w:val="24"/>
          <w:rtl/>
        </w:rPr>
        <w:t>באמצעותו</w:t>
      </w:r>
      <w:r w:rsidRPr="002954FA">
        <w:rPr>
          <w:rFonts w:ascii="David" w:hAnsi="David" w:cs="David"/>
          <w:sz w:val="24"/>
          <w:szCs w:val="24"/>
          <w:rtl/>
        </w:rPr>
        <w:t xml:space="preserve"> ובפעמים בהם שמה נקשר לשם משפחה זה</w:t>
      </w:r>
      <w:r>
        <w:rPr>
          <w:rFonts w:ascii="David" w:hAnsi="David" w:cs="David"/>
          <w:sz w:val="24"/>
          <w:szCs w:val="24"/>
          <w:rtl/>
        </w:rPr>
        <w:t>, בעל כורחה,</w:t>
      </w:r>
      <w:r w:rsidRPr="002954FA">
        <w:rPr>
          <w:rFonts w:ascii="David" w:hAnsi="David" w:cs="David"/>
          <w:sz w:val="24"/>
          <w:szCs w:val="24"/>
          <w:rtl/>
        </w:rPr>
        <w:t xml:space="preserve"> הדבר גורם לה לתחושת תסכול ועלבון.</w:t>
      </w:r>
    </w:p>
    <w:p w14:paraId="7D31CE33" w14:textId="77777777" w:rsidR="0038561B" w:rsidRPr="00C21231"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sidRPr="002954FA">
        <w:rPr>
          <w:rFonts w:ascii="David" w:hAnsi="David" w:cs="David"/>
          <w:sz w:val="24"/>
          <w:szCs w:val="24"/>
          <w:rtl/>
        </w:rPr>
        <w:t xml:space="preserve">במקרה שנסיבותיו דומות לענייננו, דחה בית המשפט לענייני משפחה, כב' השופטת ענת אלפסי, עת עמדת העו"ס, בקובעו, כי </w:t>
      </w:r>
      <w:r w:rsidRPr="002954FA">
        <w:rPr>
          <w:rFonts w:ascii="David" w:hAnsi="David" w:cs="David"/>
          <w:color w:val="000000"/>
          <w:sz w:val="24"/>
          <w:szCs w:val="24"/>
          <w:rtl/>
        </w:rPr>
        <w:t>"</w:t>
      </w:r>
      <w:r w:rsidRPr="002954FA">
        <w:rPr>
          <w:rFonts w:ascii="David" w:hAnsi="David" w:cs="David"/>
          <w:b/>
          <w:bCs/>
          <w:color w:val="000000"/>
          <w:sz w:val="24"/>
          <w:szCs w:val="24"/>
          <w:rtl/>
        </w:rPr>
        <w:t xml:space="preserve">המלצה על קיום שני שמות משפחה תואמת מצב שבו קיימת זיקה כלשהי לאב הביולוגי, אך מקום בו האב הביולוגי מנער חוצנו מהילדה, נראה כי הוספת שם המשפחה עלולה לגרום </w:t>
      </w:r>
      <w:r w:rsidRPr="002954FA">
        <w:rPr>
          <w:rFonts w:ascii="David" w:hAnsi="David" w:cs="David"/>
          <w:b/>
          <w:bCs/>
          <w:sz w:val="24"/>
          <w:szCs w:val="24"/>
          <w:rtl/>
        </w:rPr>
        <w:t>יותר נזק מתועלת.</w:t>
      </w:r>
      <w:r w:rsidRPr="002954FA">
        <w:rPr>
          <w:rFonts w:ascii="David" w:hAnsi="David" w:cs="David"/>
          <w:sz w:val="24"/>
          <w:szCs w:val="24"/>
          <w:rtl/>
        </w:rPr>
        <w:t xml:space="preserve"> הוספת שם משפחה זו מהווה תזכורת חוזרת ומכאיבה לילדה ביחס לאדם שאיננו מעוניין עמה בכל קשר" (ר' </w:t>
      </w:r>
      <w:hyperlink r:id="rId26" w:history="1">
        <w:r w:rsidR="00E554C3" w:rsidRPr="00E554C3">
          <w:rPr>
            <w:rFonts w:ascii="David" w:hAnsi="David" w:cs="David"/>
            <w:color w:val="0000FF"/>
            <w:sz w:val="24"/>
            <w:szCs w:val="24"/>
            <w:u w:val="single"/>
            <w:rtl/>
          </w:rPr>
          <w:t>ש"ש (משפחה אשדוד) 24450-01-22</w:t>
        </w:r>
      </w:hyperlink>
      <w:r w:rsidR="00E554C3">
        <w:rPr>
          <w:rFonts w:ascii="David" w:hAnsi="David" w:cs="David"/>
          <w:sz w:val="24"/>
          <w:szCs w:val="24"/>
          <w:rtl/>
        </w:rPr>
        <w:t xml:space="preserve"> </w:t>
      </w:r>
      <w:r w:rsidRPr="002954FA">
        <w:rPr>
          <w:rFonts w:ascii="David" w:hAnsi="David" w:cs="David"/>
          <w:b/>
          <w:bCs/>
          <w:sz w:val="24"/>
          <w:szCs w:val="24"/>
          <w:u w:val="single"/>
          <w:rtl/>
        </w:rPr>
        <w:t>האם גב' "א" נ' היועץ המשפטי לממשלה</w:t>
      </w:r>
      <w:r w:rsidR="00E554C3">
        <w:rPr>
          <w:rFonts w:ascii="David" w:hAnsi="David" w:cs="David"/>
          <w:sz w:val="24"/>
          <w:szCs w:val="24"/>
          <w:rtl/>
        </w:rPr>
        <w:t xml:space="preserve"> </w:t>
      </w:r>
      <w:r w:rsidRPr="002954FA">
        <w:rPr>
          <w:rFonts w:ascii="David" w:hAnsi="David" w:cs="David"/>
          <w:sz w:val="24"/>
          <w:szCs w:val="24"/>
          <w:rtl/>
        </w:rPr>
        <w:t>(נבו 23.5.2022)‏‏).</w:t>
      </w:r>
    </w:p>
    <w:p w14:paraId="7AC07602" w14:textId="77777777" w:rsidR="0038561B" w:rsidRPr="001E2797"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sidRPr="002954FA">
        <w:rPr>
          <w:rFonts w:ascii="David" w:hAnsi="David" w:cs="David"/>
          <w:sz w:val="24"/>
          <w:szCs w:val="24"/>
          <w:rtl/>
        </w:rPr>
        <w:t>ובעניין אחר, נעתר בית המשפט המחוזי (תל אביב - יפו) ב</w:t>
      </w:r>
      <w:hyperlink r:id="rId27" w:history="1">
        <w:r w:rsidR="00E554C3" w:rsidRPr="00E554C3">
          <w:rPr>
            <w:rFonts w:ascii="David" w:hAnsi="David" w:cs="David"/>
            <w:color w:val="0000FF"/>
            <w:sz w:val="24"/>
            <w:szCs w:val="24"/>
            <w:u w:val="single"/>
            <w:rtl/>
          </w:rPr>
          <w:t>עמ"ש (מחוזי תל אביב-יפו) 57289-02-17</w:t>
        </w:r>
      </w:hyperlink>
      <w:r w:rsidRPr="002954FA">
        <w:rPr>
          <w:rFonts w:ascii="David" w:hAnsi="David" w:cs="David"/>
          <w:color w:val="000000"/>
          <w:sz w:val="24"/>
          <w:szCs w:val="24"/>
          <w:rtl/>
        </w:rPr>
        <w:t xml:space="preserve"> </w:t>
      </w:r>
      <w:r w:rsidRPr="002954FA">
        <w:rPr>
          <w:rFonts w:ascii="David" w:hAnsi="David" w:cs="David"/>
          <w:b/>
          <w:bCs/>
          <w:color w:val="000000"/>
          <w:sz w:val="24"/>
          <w:szCs w:val="24"/>
          <w:u w:val="single"/>
          <w:rtl/>
        </w:rPr>
        <w:t>פלוני נ' פלונית</w:t>
      </w:r>
      <w:r w:rsidRPr="002954FA">
        <w:rPr>
          <w:rFonts w:ascii="David" w:hAnsi="David" w:cs="David"/>
          <w:color w:val="000000"/>
          <w:sz w:val="24"/>
          <w:szCs w:val="24"/>
          <w:rtl/>
        </w:rPr>
        <w:t xml:space="preserve"> (נבו 21.11.2017) לבקשת קטין, שהיה מצוי בנתק מאמו, לשנות שם משפחתו לשם משפחת האב</w:t>
      </w:r>
      <w:r w:rsidRPr="002954FA">
        <w:rPr>
          <w:rFonts w:ascii="David" w:hAnsi="David" w:cs="David"/>
          <w:sz w:val="24"/>
          <w:szCs w:val="24"/>
          <w:rtl/>
        </w:rPr>
        <w:t xml:space="preserve"> וביטל את פסק דינו של בית המשפט לענייני משפחה אשר קבע כי הקטין יישא את שני שמות המשפחה: </w:t>
      </w:r>
    </w:p>
    <w:p w14:paraId="447C11C1" w14:textId="77777777" w:rsidR="0038561B" w:rsidRPr="002954FA" w:rsidRDefault="00000000" w:rsidP="002954FA">
      <w:pPr>
        <w:pStyle w:val="11"/>
        <w:tabs>
          <w:tab w:val="left" w:pos="1134"/>
        </w:tabs>
        <w:spacing w:line="360" w:lineRule="auto"/>
        <w:ind w:left="1134" w:right="567"/>
        <w:contextualSpacing w:val="0"/>
        <w:jc w:val="both"/>
        <w:rPr>
          <w:rFonts w:ascii="David" w:hAnsi="David" w:cs="David"/>
          <w:sz w:val="24"/>
          <w:szCs w:val="24"/>
        </w:rPr>
      </w:pPr>
      <w:r w:rsidRPr="002954FA">
        <w:rPr>
          <w:rFonts w:ascii="David" w:hAnsi="David" w:cs="David"/>
          <w:sz w:val="24"/>
          <w:szCs w:val="24"/>
          <w:rtl/>
        </w:rPr>
        <w:t>"מבינים אנו את רצונה של האם כי ת</w:t>
      </w:r>
      <w:r>
        <w:rPr>
          <w:rFonts w:ascii="David" w:hAnsi="David" w:cs="David"/>
          <w:sz w:val="24"/>
          <w:szCs w:val="24"/>
          <w:rtl/>
        </w:rPr>
        <w:t>י</w:t>
      </w:r>
      <w:r w:rsidRPr="002954FA">
        <w:rPr>
          <w:rFonts w:ascii="David" w:hAnsi="David" w:cs="David"/>
          <w:sz w:val="24"/>
          <w:szCs w:val="24"/>
          <w:rtl/>
        </w:rPr>
        <w:t>שאר זיקה בינה לבין בנה ולו בנשיאת שם משפחתה גם כן. אולם, מבחן טובת הילד מחייב התבוננות רחבה יותר וכשהדגש, גם בהתאם ל</w:t>
      </w:r>
      <w:hyperlink r:id="rId28" w:history="1">
        <w:r w:rsidR="00E554C3" w:rsidRPr="00E554C3">
          <w:rPr>
            <w:rFonts w:ascii="David" w:hAnsi="David" w:cs="David"/>
            <w:color w:val="0000FF"/>
            <w:sz w:val="24"/>
            <w:szCs w:val="24"/>
            <w:u w:val="single"/>
            <w:rtl/>
          </w:rPr>
          <w:t>חוק השמות</w:t>
        </w:r>
      </w:hyperlink>
      <w:r w:rsidRPr="002954FA">
        <w:rPr>
          <w:rFonts w:ascii="David" w:hAnsi="David" w:cs="David"/>
          <w:sz w:val="24"/>
          <w:szCs w:val="24"/>
          <w:rtl/>
        </w:rPr>
        <w:t xml:space="preserve"> הינה "...</w:t>
      </w:r>
      <w:r w:rsidRPr="002954FA">
        <w:rPr>
          <w:rFonts w:ascii="David" w:hAnsi="David" w:cs="David"/>
          <w:b/>
          <w:bCs/>
          <w:sz w:val="24"/>
          <w:szCs w:val="24"/>
          <w:rtl/>
        </w:rPr>
        <w:t>עמדתו, רצונו ורגשותיו בעניין..."</w:t>
      </w:r>
      <w:r w:rsidRPr="002954FA">
        <w:rPr>
          <w:rFonts w:ascii="David" w:hAnsi="David" w:cs="David"/>
          <w:sz w:val="24"/>
          <w:szCs w:val="24"/>
          <w:rtl/>
        </w:rPr>
        <w:t xml:space="preserve"> וכי יש לתת להם </w:t>
      </w:r>
      <w:r w:rsidRPr="002954FA">
        <w:rPr>
          <w:rFonts w:ascii="David" w:hAnsi="David" w:cs="David"/>
          <w:b/>
          <w:bCs/>
          <w:sz w:val="24"/>
          <w:szCs w:val="24"/>
          <w:rtl/>
        </w:rPr>
        <w:t>"...משקל ראוי בהתחשב בגילו ובמידת בגרותו"</w:t>
      </w:r>
      <w:r w:rsidRPr="002954FA">
        <w:rPr>
          <w:rFonts w:ascii="David" w:hAnsi="David" w:cs="David"/>
          <w:sz w:val="24"/>
          <w:szCs w:val="24"/>
          <w:rtl/>
        </w:rPr>
        <w:t xml:space="preserve"> וראו גם ב</w:t>
      </w:r>
      <w:hyperlink r:id="rId29" w:history="1">
        <w:r w:rsidR="00E554C3" w:rsidRPr="00E554C3">
          <w:rPr>
            <w:rFonts w:ascii="David" w:hAnsi="David" w:cs="David"/>
            <w:color w:val="0000FF"/>
            <w:sz w:val="24"/>
            <w:szCs w:val="24"/>
            <w:u w:val="single"/>
            <w:rtl/>
          </w:rPr>
          <w:t>ע"א 486/72</w:t>
        </w:r>
      </w:hyperlink>
      <w:r w:rsidRPr="002954FA">
        <w:rPr>
          <w:rFonts w:ascii="David" w:hAnsi="David" w:cs="David"/>
          <w:sz w:val="24"/>
          <w:szCs w:val="24"/>
          <w:rtl/>
        </w:rPr>
        <w:t xml:space="preserve"> פלוני נ' אלמונית פ"ד כז(2), 673; 679 כי "</w:t>
      </w:r>
      <w:r w:rsidRPr="002954FA">
        <w:rPr>
          <w:rFonts w:ascii="David" w:hAnsi="David" w:cs="David"/>
          <w:b/>
          <w:bCs/>
          <w:sz w:val="24"/>
          <w:szCs w:val="24"/>
          <w:rtl/>
        </w:rPr>
        <w:t>... הדבר העיקרי והקובע הוא, ששינוי זה יהיה לטובת הקטין. שיקול זה הוא למעשה השיקול היחידי שצריך כאמור, להדריך את בית המשפט..."</w:t>
      </w:r>
      <w:r w:rsidRPr="002954FA">
        <w:rPr>
          <w:rFonts w:ascii="David" w:hAnsi="David" w:cs="David"/>
          <w:sz w:val="24"/>
          <w:szCs w:val="24"/>
          <w:rtl/>
        </w:rPr>
        <w:t>.</w:t>
      </w:r>
    </w:p>
    <w:p w14:paraId="66C1E9A9" w14:textId="77777777" w:rsidR="0038561B" w:rsidRPr="002954FA" w:rsidRDefault="00000000" w:rsidP="002954FA">
      <w:pPr>
        <w:tabs>
          <w:tab w:val="left" w:pos="1134"/>
        </w:tabs>
        <w:spacing w:line="360" w:lineRule="auto"/>
        <w:ind w:left="1134" w:right="567"/>
        <w:jc w:val="both"/>
        <w:rPr>
          <w:rFonts w:ascii="Arial" w:hAnsi="Arial"/>
          <w:noProof w:val="0"/>
          <w:rtl/>
        </w:rPr>
      </w:pPr>
      <w:r w:rsidRPr="002954FA">
        <w:rPr>
          <w:rFonts w:ascii="Arial" w:hAnsi="Arial"/>
          <w:noProof w:val="0"/>
          <w:rtl/>
        </w:rPr>
        <w:t xml:space="preserve">במקרה דנן  מדובר, כאמור, בבן הקרוב לגיל 17 וכשנראה כי יש להתחשב באשר ציין לפנינו ובמיוחד כשלמעשה לא רחוק היום בו יוכל לשנות את שם משפחתו, ללא תלות זו או אחרת. אין אנו נדרשים לשאלה אם מניעיו של הבן הינם בגין </w:t>
      </w:r>
      <w:r w:rsidRPr="001E2797">
        <w:rPr>
          <w:rFonts w:ascii="Arial" w:hAnsi="Arial"/>
          <w:noProof w:val="0"/>
          <w:rtl/>
        </w:rPr>
        <w:t>הסתה זו או אחרת, ודי לנו כי הבן</w:t>
      </w:r>
      <w:r w:rsidRPr="002954FA">
        <w:rPr>
          <w:rFonts w:ascii="Arial" w:hAnsi="Arial"/>
          <w:noProof w:val="0"/>
          <w:rtl/>
        </w:rPr>
        <w:t xml:space="preserve"> חפץ להיקרא בשם המשפחה של אביו, אותו נושאות גם אחיותיו וכאשר גם כלפי חבריו, אין הוא רוצה להיות שונה ולהסביר מדוע נושא הוא שני שמות, וסבורים אנו שאכן נימוקיו עימו, נימוקים ראויים</w:t>
      </w:r>
      <w:r>
        <w:rPr>
          <w:rFonts w:ascii="Arial" w:hAnsi="Arial"/>
          <w:noProof w:val="0"/>
          <w:rtl/>
        </w:rPr>
        <w:t>"</w:t>
      </w:r>
      <w:r w:rsidRPr="002954FA">
        <w:rPr>
          <w:rFonts w:ascii="Arial" w:hAnsi="Arial"/>
          <w:noProof w:val="0"/>
          <w:rtl/>
        </w:rPr>
        <w:t xml:space="preserve">. </w:t>
      </w:r>
    </w:p>
    <w:p w14:paraId="382DDC5A" w14:textId="77777777" w:rsidR="0038561B" w:rsidRDefault="00000000" w:rsidP="002954FA">
      <w:pPr>
        <w:pStyle w:val="11"/>
        <w:numPr>
          <w:ilvl w:val="0"/>
          <w:numId w:val="1"/>
        </w:numPr>
        <w:tabs>
          <w:tab w:val="left" w:pos="567"/>
        </w:tabs>
        <w:spacing w:before="240" w:after="240" w:line="360" w:lineRule="auto"/>
        <w:ind w:left="567" w:hanging="567"/>
        <w:contextualSpacing w:val="0"/>
        <w:jc w:val="both"/>
        <w:rPr>
          <w:rFonts w:ascii="David" w:hAnsi="David" w:cs="David"/>
          <w:sz w:val="24"/>
          <w:szCs w:val="24"/>
        </w:rPr>
      </w:pPr>
      <w:r>
        <w:rPr>
          <w:rFonts w:ascii="David" w:hAnsi="David" w:cs="David"/>
          <w:sz w:val="24"/>
          <w:szCs w:val="24"/>
          <w:rtl/>
        </w:rPr>
        <w:t>אשר על כן, הבקשה מתקבלת במלואה ולכן נפסק כדלקמן:</w:t>
      </w:r>
    </w:p>
    <w:p w14:paraId="526B2802" w14:textId="77777777" w:rsidR="0038561B" w:rsidRDefault="00000000" w:rsidP="002954FA">
      <w:pPr>
        <w:pStyle w:val="11"/>
        <w:numPr>
          <w:ilvl w:val="0"/>
          <w:numId w:val="2"/>
        </w:numPr>
        <w:tabs>
          <w:tab w:val="left" w:pos="1134"/>
        </w:tabs>
        <w:spacing w:before="240" w:after="240" w:line="360" w:lineRule="auto"/>
        <w:ind w:left="1134" w:hanging="567"/>
        <w:contextualSpacing w:val="0"/>
        <w:jc w:val="both"/>
        <w:rPr>
          <w:rFonts w:ascii="David" w:hAnsi="David" w:cs="David"/>
          <w:b/>
          <w:bCs/>
          <w:sz w:val="24"/>
          <w:szCs w:val="24"/>
        </w:rPr>
      </w:pPr>
      <w:r>
        <w:rPr>
          <w:rFonts w:ascii="David" w:hAnsi="David" w:cs="David"/>
          <w:b/>
          <w:bCs/>
          <w:sz w:val="24"/>
          <w:szCs w:val="24"/>
          <w:rtl/>
        </w:rPr>
        <w:t>שם משפחתה של הקטינה ישונה מ-"מר." ל-"מל.", באופן שהקטינה תקרא מעתה "א.  מל.".</w:t>
      </w:r>
    </w:p>
    <w:p w14:paraId="73EAC138" w14:textId="77777777" w:rsidR="0038561B" w:rsidRDefault="00000000" w:rsidP="002954FA">
      <w:pPr>
        <w:pStyle w:val="11"/>
        <w:numPr>
          <w:ilvl w:val="0"/>
          <w:numId w:val="2"/>
        </w:numPr>
        <w:tabs>
          <w:tab w:val="left" w:pos="1134"/>
        </w:tabs>
        <w:spacing w:before="240" w:after="240" w:line="360" w:lineRule="auto"/>
        <w:ind w:left="1134" w:hanging="567"/>
        <w:contextualSpacing w:val="0"/>
        <w:jc w:val="both"/>
        <w:rPr>
          <w:rFonts w:ascii="David" w:hAnsi="David" w:cs="David"/>
          <w:b/>
          <w:bCs/>
          <w:sz w:val="24"/>
          <w:szCs w:val="24"/>
        </w:rPr>
      </w:pPr>
      <w:r>
        <w:rPr>
          <w:rFonts w:ascii="David" w:hAnsi="David" w:cs="David"/>
          <w:sz w:val="24"/>
          <w:szCs w:val="24"/>
          <w:rtl/>
        </w:rPr>
        <w:t>התובעת תדווח למרשם האוכלוסין על אודות פסק הדין.</w:t>
      </w:r>
    </w:p>
    <w:p w14:paraId="10038226" w14:textId="77777777" w:rsidR="0038561B" w:rsidRDefault="00000000" w:rsidP="002954FA">
      <w:pPr>
        <w:pStyle w:val="11"/>
        <w:numPr>
          <w:ilvl w:val="0"/>
          <w:numId w:val="2"/>
        </w:numPr>
        <w:tabs>
          <w:tab w:val="left" w:pos="1134"/>
        </w:tabs>
        <w:spacing w:before="240" w:after="240" w:line="360" w:lineRule="auto"/>
        <w:ind w:left="1134" w:hanging="567"/>
        <w:contextualSpacing w:val="0"/>
        <w:jc w:val="both"/>
        <w:rPr>
          <w:rFonts w:ascii="David" w:hAnsi="David" w:cs="David"/>
          <w:sz w:val="24"/>
          <w:szCs w:val="24"/>
        </w:rPr>
      </w:pPr>
      <w:r>
        <w:rPr>
          <w:rFonts w:ascii="David" w:hAnsi="David" w:cs="David"/>
          <w:sz w:val="24"/>
          <w:szCs w:val="24"/>
          <w:rtl/>
        </w:rPr>
        <w:lastRenderedPageBreak/>
        <w:t>המזכירות תמציא פסק הדין לצדדים ולעו"ס לסדרי דין.</w:t>
      </w:r>
    </w:p>
    <w:p w14:paraId="71A4A892" w14:textId="77777777" w:rsidR="0038561B" w:rsidRDefault="00000000" w:rsidP="008206B1">
      <w:pPr>
        <w:spacing w:before="240" w:after="240" w:line="360" w:lineRule="auto"/>
        <w:ind w:left="357"/>
        <w:jc w:val="both"/>
        <w:rPr>
          <w:rFonts w:ascii="David" w:hAnsi="David"/>
        </w:rPr>
      </w:pPr>
      <w:r>
        <w:rPr>
          <w:rFonts w:ascii="David" w:hAnsi="David"/>
          <w:noProof w:val="0"/>
          <w:rtl/>
        </w:rPr>
        <w:t>פסק הדין מותר בפרסום בהשמטת פרטים מזהים.</w:t>
      </w:r>
    </w:p>
    <w:p w14:paraId="54E3CECA" w14:textId="77777777" w:rsidR="0038561B" w:rsidRPr="00E554C3" w:rsidRDefault="00E554C3">
      <w:pPr>
        <w:spacing w:line="360" w:lineRule="auto"/>
        <w:jc w:val="both"/>
        <w:rPr>
          <w:rFonts w:ascii="Arial" w:hAnsi="Arial"/>
          <w:noProof w:val="0"/>
          <w:color w:val="FFFFFF"/>
          <w:sz w:val="2"/>
          <w:szCs w:val="2"/>
          <w:rtl/>
        </w:rPr>
      </w:pPr>
      <w:r w:rsidRPr="00E554C3">
        <w:rPr>
          <w:rFonts w:ascii="Arial" w:hAnsi="Arial"/>
          <w:noProof w:val="0"/>
          <w:color w:val="FFFFFF"/>
          <w:sz w:val="2"/>
          <w:szCs w:val="2"/>
          <w:rtl/>
        </w:rPr>
        <w:t>5129371</w:t>
      </w:r>
    </w:p>
    <w:p w14:paraId="42810EFF" w14:textId="77777777" w:rsidR="0038561B" w:rsidRPr="00E554C3" w:rsidRDefault="00E554C3">
      <w:pPr>
        <w:spacing w:line="360" w:lineRule="auto"/>
        <w:jc w:val="both"/>
        <w:rPr>
          <w:rFonts w:ascii="Arial" w:hAnsi="Arial"/>
          <w:noProof w:val="0"/>
          <w:color w:val="FFFFFF"/>
          <w:sz w:val="2"/>
          <w:szCs w:val="2"/>
          <w:rtl/>
        </w:rPr>
      </w:pPr>
      <w:r w:rsidRPr="00E554C3">
        <w:rPr>
          <w:rFonts w:ascii="Arial" w:hAnsi="Arial"/>
          <w:noProof w:val="0"/>
          <w:color w:val="FFFFFF"/>
          <w:sz w:val="2"/>
          <w:szCs w:val="2"/>
          <w:rtl/>
        </w:rPr>
        <w:t>54678313</w:t>
      </w:r>
    </w:p>
    <w:p w14:paraId="6C2930E3" w14:textId="77777777" w:rsidR="0038561B" w:rsidRDefault="00E554C3" w:rsidP="00633C4F">
      <w:pPr>
        <w:spacing w:line="360" w:lineRule="auto"/>
        <w:jc w:val="both"/>
        <w:rPr>
          <w:rFonts w:ascii="Arial" w:hAnsi="Arial"/>
          <w:noProof w:val="0"/>
          <w:rtl/>
        </w:rPr>
      </w:pPr>
      <w:bookmarkStart w:id="12" w:name="Nitan"/>
      <w:r>
        <w:rPr>
          <w:rFonts w:ascii="Arial" w:hAnsi="Arial"/>
          <w:noProof w:val="0"/>
          <w:rtl/>
        </w:rPr>
        <w:t xml:space="preserve">ניתן היום,  כ"ז אלול תשפ"ד, 30 ספטמבר 2024, בהעדר הצדדים. </w:t>
      </w:r>
      <w:bookmarkEnd w:id="12"/>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t xml:space="preserve"> </w:t>
      </w:r>
    </w:p>
    <w:p w14:paraId="03457605" w14:textId="77777777" w:rsidR="0038561B" w:rsidRDefault="0038561B" w:rsidP="00633C4F">
      <w:pPr>
        <w:spacing w:line="360" w:lineRule="auto"/>
        <w:ind w:left="3600" w:firstLine="720"/>
      </w:pPr>
    </w:p>
    <w:p w14:paraId="1ACD538B" w14:textId="77777777" w:rsidR="0038561B" w:rsidRDefault="0038561B" w:rsidP="00633C4F">
      <w:pPr>
        <w:spacing w:line="360" w:lineRule="auto"/>
        <w:ind w:left="3600" w:firstLine="720"/>
        <w:rPr>
          <w:rFonts w:ascii="Arial" w:hAnsi="Arial"/>
          <w:noProof w:val="0"/>
          <w:rtl/>
        </w:rPr>
      </w:pPr>
    </w:p>
    <w:p w14:paraId="520AB80A" w14:textId="77777777" w:rsidR="0038561B" w:rsidRPr="00E931C0" w:rsidRDefault="00E931C0">
      <w:pPr>
        <w:spacing w:line="360" w:lineRule="auto"/>
        <w:jc w:val="both"/>
        <w:rPr>
          <w:rFonts w:ascii="Arial" w:hAnsi="Arial"/>
          <w:noProof w:val="0"/>
          <w:color w:val="FFFFFF"/>
          <w:sz w:val="2"/>
          <w:szCs w:val="2"/>
          <w:rtl/>
        </w:rPr>
      </w:pPr>
      <w:r w:rsidRPr="00E931C0">
        <w:rPr>
          <w:rFonts w:ascii="Arial" w:hAnsi="Arial"/>
          <w:noProof w:val="0"/>
          <w:color w:val="FFFFFF"/>
          <w:sz w:val="2"/>
          <w:szCs w:val="2"/>
          <w:rtl/>
        </w:rPr>
        <w:t>5129371</w:t>
      </w:r>
    </w:p>
    <w:p w14:paraId="00433F7D" w14:textId="77777777" w:rsidR="0038561B" w:rsidRPr="00E931C0" w:rsidRDefault="00E931C0" w:rsidP="00E554C3">
      <w:pPr>
        <w:keepNext/>
        <w:spacing w:line="360" w:lineRule="auto"/>
        <w:rPr>
          <w:rFonts w:ascii="David" w:hAnsi="David"/>
          <w:noProof w:val="0"/>
          <w:color w:val="FFFFFF"/>
          <w:sz w:val="2"/>
          <w:szCs w:val="2"/>
          <w:rtl/>
        </w:rPr>
      </w:pPr>
      <w:r w:rsidRPr="00E931C0">
        <w:rPr>
          <w:rFonts w:ascii="David" w:hAnsi="David"/>
          <w:noProof w:val="0"/>
          <w:color w:val="FFFFFF"/>
          <w:sz w:val="2"/>
          <w:szCs w:val="2"/>
          <w:rtl/>
        </w:rPr>
        <w:t>54678313</w:t>
      </w:r>
    </w:p>
    <w:p w14:paraId="64A8C868" w14:textId="38B24D5F" w:rsidR="00E554C3" w:rsidRPr="00E554C3" w:rsidRDefault="00E554C3" w:rsidP="00E931C0">
      <w:pPr>
        <w:spacing w:line="360" w:lineRule="auto"/>
        <w:rPr>
          <w:rFonts w:ascii="Arial" w:hAnsi="Arial"/>
          <w:noProof w:val="0"/>
          <w:color w:val="0000FF"/>
          <w:u w:val="single"/>
          <w:rtl/>
        </w:rPr>
      </w:pPr>
    </w:p>
    <w:sectPr w:rsidR="00E554C3" w:rsidRPr="00E554C3" w:rsidSect="00E931C0">
      <w:headerReference w:type="even" r:id="rId30"/>
      <w:headerReference w:type="default" r:id="rId31"/>
      <w:footerReference w:type="even" r:id="rId32"/>
      <w:footerReference w:type="default" r:id="rId33"/>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47E1" w14:textId="77777777" w:rsidR="002B6BC3" w:rsidRDefault="002B6BC3">
      <w:r>
        <w:separator/>
      </w:r>
    </w:p>
  </w:endnote>
  <w:endnote w:type="continuationSeparator" w:id="0">
    <w:p w14:paraId="56A7492E" w14:textId="77777777" w:rsidR="002B6BC3" w:rsidRDefault="002B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4EE1" w14:textId="77777777" w:rsidR="00E931C0" w:rsidRDefault="00000000" w:rsidP="00E931C0">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4736FBE2" w14:textId="0757E3AB" w:rsidR="00E554C3" w:rsidRPr="00E931C0" w:rsidRDefault="00591986" w:rsidP="00E931C0">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4B78F39" wp14:editId="4F54E812">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6888" w14:textId="77777777" w:rsidR="00E931C0" w:rsidRDefault="00000000" w:rsidP="00E931C0">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C97547">
      <w:rPr>
        <w:rStyle w:val="ab"/>
        <w:rFonts w:ascii="FrankRuehl" w:hAnsi="FrankRuehl" w:cs="FrankRuehl"/>
        <w:rtl/>
      </w:rPr>
      <w:t>3</w:t>
    </w:r>
    <w:r>
      <w:rPr>
        <w:rStyle w:val="ab"/>
        <w:rFonts w:ascii="FrankRuehl" w:hAnsi="FrankRuehl" w:cs="FrankRuehl"/>
        <w:rtl/>
      </w:rPr>
      <w:fldChar w:fldCharType="end"/>
    </w:r>
  </w:p>
  <w:p w14:paraId="424BFB9A" w14:textId="3A07287E" w:rsidR="006A0931" w:rsidRPr="00E931C0" w:rsidRDefault="006A0931" w:rsidP="00E931C0">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752A" w14:textId="77777777" w:rsidR="002B6BC3" w:rsidRDefault="002B6BC3">
      <w:r>
        <w:separator/>
      </w:r>
    </w:p>
  </w:footnote>
  <w:footnote w:type="continuationSeparator" w:id="0">
    <w:p w14:paraId="5D25DDD5" w14:textId="77777777" w:rsidR="002B6BC3" w:rsidRDefault="002B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6A3C" w14:textId="77777777" w:rsidR="00E554C3" w:rsidRPr="00E931C0" w:rsidRDefault="00E931C0" w:rsidP="00E931C0">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(ב"ש) 29459-09-23</w:t>
    </w:r>
    <w:r>
      <w:rPr>
        <w:rFonts w:ascii="David" w:hAnsi="David"/>
        <w:color w:val="000000"/>
        <w:sz w:val="22"/>
        <w:szCs w:val="22"/>
        <w:rtl/>
      </w:rPr>
      <w:tab/>
      <w:t xml:space="preserve"> פלונית נ' אלמוני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144A" w14:textId="77777777" w:rsidR="006A0931" w:rsidRPr="00E931C0" w:rsidRDefault="00E931C0" w:rsidP="00E931C0">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3" w:name="_Hlk179833573"/>
    <w:bookmarkStart w:id="14" w:name="_Hlk179833574"/>
    <w:bookmarkStart w:id="15" w:name="_Hlk179833575"/>
    <w:bookmarkStart w:id="16" w:name="_Hlk179833576"/>
    <w:r>
      <w:rPr>
        <w:rFonts w:ascii="David" w:hAnsi="David"/>
        <w:color w:val="000000"/>
        <w:sz w:val="22"/>
        <w:szCs w:val="22"/>
        <w:rtl/>
      </w:rPr>
      <w:t>תמש (ב"ש) 29459-09-23</w:t>
    </w:r>
    <w:r>
      <w:rPr>
        <w:rFonts w:ascii="David" w:hAnsi="David"/>
        <w:color w:val="000000"/>
        <w:sz w:val="22"/>
        <w:szCs w:val="22"/>
        <w:rtl/>
      </w:rPr>
      <w:tab/>
      <w:t xml:space="preserve"> פלונית נ' אלמוני</w:t>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718CA"/>
    <w:multiLevelType w:val="hybridMultilevel"/>
    <w:tmpl w:val="3A8C94C0"/>
    <w:lvl w:ilvl="0" w:tplc="EFAAE4C6">
      <w:start w:val="1"/>
      <w:numFmt w:val="hebrew1"/>
      <w:lvlText w:val="%1."/>
      <w:lvlJc w:val="left"/>
      <w:pPr>
        <w:ind w:left="720" w:hanging="360"/>
      </w:pPr>
      <w:rPr>
        <w:rFonts w:cs="Times New Roman"/>
        <w:b w:val="0"/>
        <w:bCs w:val="0"/>
      </w:rPr>
    </w:lvl>
    <w:lvl w:ilvl="1" w:tplc="45342E36">
      <w:start w:val="1"/>
      <w:numFmt w:val="lowerLetter"/>
      <w:lvlText w:val="%2."/>
      <w:lvlJc w:val="left"/>
      <w:pPr>
        <w:ind w:left="1440" w:hanging="360"/>
      </w:pPr>
      <w:rPr>
        <w:rFonts w:cs="Times New Roman"/>
      </w:rPr>
    </w:lvl>
    <w:lvl w:ilvl="2" w:tplc="21806CF0">
      <w:start w:val="1"/>
      <w:numFmt w:val="lowerRoman"/>
      <w:lvlText w:val="%3."/>
      <w:lvlJc w:val="right"/>
      <w:pPr>
        <w:ind w:left="2160" w:hanging="180"/>
      </w:pPr>
      <w:rPr>
        <w:rFonts w:cs="Times New Roman"/>
      </w:rPr>
    </w:lvl>
    <w:lvl w:ilvl="3" w:tplc="B5224806">
      <w:start w:val="1"/>
      <w:numFmt w:val="decimal"/>
      <w:lvlText w:val="%4."/>
      <w:lvlJc w:val="left"/>
      <w:pPr>
        <w:ind w:left="2880" w:hanging="360"/>
      </w:pPr>
      <w:rPr>
        <w:rFonts w:cs="Times New Roman"/>
      </w:rPr>
    </w:lvl>
    <w:lvl w:ilvl="4" w:tplc="A460A182">
      <w:start w:val="1"/>
      <w:numFmt w:val="lowerLetter"/>
      <w:lvlText w:val="%5."/>
      <w:lvlJc w:val="left"/>
      <w:pPr>
        <w:ind w:left="3600" w:hanging="360"/>
      </w:pPr>
      <w:rPr>
        <w:rFonts w:cs="Times New Roman"/>
      </w:rPr>
    </w:lvl>
    <w:lvl w:ilvl="5" w:tplc="7160EBAA">
      <w:start w:val="1"/>
      <w:numFmt w:val="lowerRoman"/>
      <w:lvlText w:val="%6."/>
      <w:lvlJc w:val="right"/>
      <w:pPr>
        <w:ind w:left="4320" w:hanging="180"/>
      </w:pPr>
      <w:rPr>
        <w:rFonts w:cs="Times New Roman"/>
      </w:rPr>
    </w:lvl>
    <w:lvl w:ilvl="6" w:tplc="5614A3E2">
      <w:start w:val="1"/>
      <w:numFmt w:val="decimal"/>
      <w:lvlText w:val="%7."/>
      <w:lvlJc w:val="left"/>
      <w:pPr>
        <w:ind w:left="5040" w:hanging="360"/>
      </w:pPr>
      <w:rPr>
        <w:rFonts w:cs="Times New Roman"/>
      </w:rPr>
    </w:lvl>
    <w:lvl w:ilvl="7" w:tplc="BC409712">
      <w:start w:val="1"/>
      <w:numFmt w:val="lowerLetter"/>
      <w:lvlText w:val="%8."/>
      <w:lvlJc w:val="left"/>
      <w:pPr>
        <w:ind w:left="5760" w:hanging="360"/>
      </w:pPr>
      <w:rPr>
        <w:rFonts w:cs="Times New Roman"/>
      </w:rPr>
    </w:lvl>
    <w:lvl w:ilvl="8" w:tplc="241CA0CA">
      <w:start w:val="1"/>
      <w:numFmt w:val="lowerRoman"/>
      <w:lvlText w:val="%9."/>
      <w:lvlJc w:val="right"/>
      <w:pPr>
        <w:ind w:left="6480" w:hanging="180"/>
      </w:pPr>
      <w:rPr>
        <w:rFonts w:cs="Times New Roman"/>
      </w:rPr>
    </w:lvl>
  </w:abstractNum>
  <w:abstractNum w:abstractNumId="1" w15:restartNumberingAfterBreak="0">
    <w:nsid w:val="792852CC"/>
    <w:multiLevelType w:val="hybridMultilevel"/>
    <w:tmpl w:val="92DEB304"/>
    <w:lvl w:ilvl="0" w:tplc="90CEC004">
      <w:start w:val="1"/>
      <w:numFmt w:val="decimal"/>
      <w:lvlText w:val="%1."/>
      <w:lvlJc w:val="left"/>
      <w:pPr>
        <w:ind w:left="360" w:hanging="360"/>
      </w:pPr>
      <w:rPr>
        <w:rFonts w:cs="Times New Roman"/>
      </w:rPr>
    </w:lvl>
    <w:lvl w:ilvl="1" w:tplc="04DCE0F8">
      <w:start w:val="1"/>
      <w:numFmt w:val="lowerLetter"/>
      <w:lvlText w:val="%2."/>
      <w:lvlJc w:val="left"/>
      <w:pPr>
        <w:ind w:left="1080" w:hanging="360"/>
      </w:pPr>
      <w:rPr>
        <w:rFonts w:cs="Times New Roman"/>
      </w:rPr>
    </w:lvl>
    <w:lvl w:ilvl="2" w:tplc="336E8020">
      <w:start w:val="1"/>
      <w:numFmt w:val="lowerRoman"/>
      <w:lvlText w:val="%3."/>
      <w:lvlJc w:val="right"/>
      <w:pPr>
        <w:ind w:left="1800" w:hanging="180"/>
      </w:pPr>
      <w:rPr>
        <w:rFonts w:cs="Times New Roman"/>
      </w:rPr>
    </w:lvl>
    <w:lvl w:ilvl="3" w:tplc="ABCC5B48">
      <w:start w:val="1"/>
      <w:numFmt w:val="decimal"/>
      <w:lvlText w:val="%4."/>
      <w:lvlJc w:val="left"/>
      <w:pPr>
        <w:ind w:left="2520" w:hanging="360"/>
      </w:pPr>
      <w:rPr>
        <w:rFonts w:cs="Times New Roman"/>
      </w:rPr>
    </w:lvl>
    <w:lvl w:ilvl="4" w:tplc="4082229E">
      <w:start w:val="1"/>
      <w:numFmt w:val="lowerLetter"/>
      <w:lvlText w:val="%5."/>
      <w:lvlJc w:val="left"/>
      <w:pPr>
        <w:ind w:left="3240" w:hanging="360"/>
      </w:pPr>
      <w:rPr>
        <w:rFonts w:cs="Times New Roman"/>
      </w:rPr>
    </w:lvl>
    <w:lvl w:ilvl="5" w:tplc="738C4BC6">
      <w:start w:val="1"/>
      <w:numFmt w:val="lowerRoman"/>
      <w:lvlText w:val="%6."/>
      <w:lvlJc w:val="right"/>
      <w:pPr>
        <w:ind w:left="3960" w:hanging="180"/>
      </w:pPr>
      <w:rPr>
        <w:rFonts w:cs="Times New Roman"/>
      </w:rPr>
    </w:lvl>
    <w:lvl w:ilvl="6" w:tplc="675CCE7A">
      <w:start w:val="1"/>
      <w:numFmt w:val="decimal"/>
      <w:lvlText w:val="%7."/>
      <w:lvlJc w:val="left"/>
      <w:pPr>
        <w:ind w:left="4680" w:hanging="360"/>
      </w:pPr>
      <w:rPr>
        <w:rFonts w:cs="Times New Roman"/>
      </w:rPr>
    </w:lvl>
    <w:lvl w:ilvl="7" w:tplc="BA68CBEE">
      <w:start w:val="1"/>
      <w:numFmt w:val="lowerLetter"/>
      <w:lvlText w:val="%8."/>
      <w:lvlJc w:val="left"/>
      <w:pPr>
        <w:ind w:left="5400" w:hanging="360"/>
      </w:pPr>
      <w:rPr>
        <w:rFonts w:cs="Times New Roman"/>
      </w:rPr>
    </w:lvl>
    <w:lvl w:ilvl="8" w:tplc="F56E2AD4">
      <w:start w:val="1"/>
      <w:numFmt w:val="lowerRoman"/>
      <w:lvlText w:val="%9."/>
      <w:lvlJc w:val="right"/>
      <w:pPr>
        <w:ind w:left="6120" w:hanging="180"/>
      </w:pPr>
      <w:rPr>
        <w:rFonts w:cs="Times New Roman"/>
      </w:rPr>
    </w:lvl>
  </w:abstractNum>
  <w:num w:numId="1" w16cid:durableId="656761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982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0599342"/>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0599342&amp;lt;/CaseID&amp;gt;_x000d__x000a_        &amp;lt;CaseMonth&amp;gt;9&amp;lt;/CaseMonth&amp;gt;_x000d__x000a_        &amp;lt;CaseYear&amp;gt;2023&amp;lt;/CaseYear&amp;gt;_x000d__x000a_        &amp;lt;CaseNumber&amp;gt;29459&amp;lt;/CaseNumber&amp;gt;_x000d__x000a_        &amp;lt;NumeratorGroupID&amp;gt;1&amp;lt;/NumeratorGroupID&amp;gt;_x000d__x000a_        &amp;lt;CaseName&amp;gt;îìëä ð&amp;#39; îøöéàðå åàç&amp;#39;&amp;lt;/CaseName&amp;gt;_x000d__x000a_        &amp;lt;CourtID&amp;gt;41&amp;lt;/CourtID&amp;gt;_x000d__x000a_        &amp;lt;CaseTypeID&amp;gt;15&amp;lt;/CaseTypeID&amp;gt;_x000d__x000a_        &amp;lt;CaseInterestID&amp;gt;10511&amp;lt;/CaseInterestID&amp;gt;_x000d__x000a_        &amp;lt;CaseJudgeName&amp;gt;ùðé ë&amp;quot;õ&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false&amp;lt;/IsAppealingCaseExist&amp;gt;_x000d__x000a_        &amp;lt;CaseDisplayIdentifier&amp;gt;29459-09-23&amp;lt;/CaseDisplayIdentifier&amp;gt;_x000d__x000a_        &amp;lt;CaseTypeDesc&amp;gt;úî&amp;quot;ù&amp;lt;/CaseTypeDesc&amp;gt;_x000d__x000a_        &amp;lt;CourtDesc&amp;gt;ùìåí áàø ùáò&amp;lt;/CourtDesc&amp;gt;_x000d__x000a_        &amp;lt;CaseStageDesc&amp;gt;úé÷ àì÷èøåðé&amp;lt;/CaseStageDesc&amp;gt;_x000d__x000a_        &amp;lt;IsUnpaidFeeExist&amp;gt;false&amp;lt;/IsUnpaidFeeExist&amp;gt;_x000d__x000a_        &amp;lt;CaseNextDeterminingTask&amp;gt;34&amp;lt;/CaseNextDeterminingTask&amp;gt;_x000d__x000a_        &amp;lt;CaseOpenDate&amp;gt;2023-09-13T09:13:00+03:00&amp;lt;/CaseOpenDate&amp;gt;_x000d__x000a_        &amp;lt;PleaTypeID&amp;gt;4&amp;lt;/PleaTypeID&amp;gt;_x000d__x000a_        &amp;lt;CourtLevelID&amp;gt;1&amp;lt;/CourtLevelID&amp;gt;_x000d__x000a_        &amp;lt;CourtLevelCaseTypeInterestID&amp;gt;1767&amp;lt;/CourtLevelCaseTypeInterestID&amp;gt;_x000d__x000a_        &amp;lt;CaseJudgeFirstName&amp;gt;ùðé&amp;lt;/CaseJudgeFirstName&amp;gt;_x000d__x000a_        &amp;lt;CaseJudgeLastName&amp;gt;ë&amp;quot;õ&amp;lt;/CaseJudgeLastName&amp;gt;_x000d__x000a_        &amp;lt;JudicalPersonID&amp;gt;040360844@GOV.IL&amp;lt;/JudicalPersonID&amp;gt;_x000d__x000a_        &amp;lt;IsJudicalPanel&amp;gt;false&amp;lt;/IsJudicalPanel&amp;gt;_x000d__x000a_        &amp;lt;CourtDisplayName&amp;gt;áéú îùôè ìòðééðé îùôçä ááàø ùáò&amp;lt;/CourtDisplayName&amp;gt;_x000d__x000a_        &amp;lt;IsAllStartDataCollected&amp;gt;true&amp;lt;/IsAllStartDataCollected&amp;gt;_x000d__x000a_        &amp;lt;IsMainCase&amp;gt;false&amp;lt;/IsMainCase&amp;gt;_x000d__x000a_        &amp;lt;CaseDesc&amp;gt;äçìèä îéåí 29.3.24 ðîñøä èìôåðéú ìòå&amp;quot;ñ çãååä &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0599342&amp;lt;/CaseID&amp;gt;_x000d__x000a_        &amp;lt;CaseMonth&amp;gt;9&amp;lt;/CaseMonth&amp;gt;_x000d__x000a_        &amp;lt;CaseYear&amp;gt;2023&amp;lt;/CaseYear&amp;gt;_x000d__x000a_        &amp;lt;CaseNumber&amp;gt;29459&amp;lt;/CaseNumber&amp;gt;_x000d__x000a_        &amp;lt;NumeratorGroupID&amp;gt;1&amp;lt;/NumeratorGroupID&amp;gt;_x000d__x000a_        &amp;lt;CaseName&amp;gt;îìëä ð&amp;#39; îøöéàðå åàç&amp;#39;&amp;lt;/CaseName&amp;gt;_x000d__x000a_        &amp;lt;CourtID&amp;gt;41&amp;lt;/CourtID&amp;gt;_x000d__x000a_        &amp;lt;CaseTypeID&amp;gt;15&amp;lt;/CaseTypeID&amp;gt;_x000d__x000a_        &amp;lt;CaseInterestID&amp;gt;10511&amp;lt;/CaseInterestID&amp;gt;_x000d__x000a_        &amp;lt;CaseJudgeName&amp;gt;ùðé ë&amp;quot;õ&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false&amp;lt;/IsAppealingCaseExist&amp;gt;_x000d__x000a_        &amp;lt;CaseDisplayIdentifier&amp;gt;29459-09-23&amp;lt;/CaseDisplayIdentifier&amp;gt;_x000d__x000a_        &amp;lt;CaseTypeDesc&amp;gt;úî&amp;quot;ù&amp;lt;/CaseTypeDesc&amp;gt;_x000d__x000a_        &amp;lt;CourtDesc&amp;gt;ùìåí áàø ùáò&amp;lt;/CourtDesc&amp;gt;_x000d__x000a_        &amp;lt;CaseStageDesc&amp;gt;úé÷ àì÷èøåðé&amp;lt;/CaseStageDesc&amp;gt;_x000d__x000a_        &amp;lt;CaseNextDeterminingTask&amp;gt;34&amp;lt;/CaseNextDeterminingTask&amp;gt;_x000d__x000a_        &amp;lt;CaseOpenDate&amp;gt;2023-09-13T09:13:00+03:00&amp;lt;/CaseOpenDate&amp;gt;_x000d__x000a_        &amp;lt;PleaTypeID&amp;gt;4&amp;lt;/PleaTypeID&amp;gt;_x000d__x000a_        &amp;lt;CourtLevelID&amp;gt;1&amp;lt;/CourtLevelID&amp;gt;_x000d__x000a_        &amp;lt;CourtLevelCaseTypeInterestID&amp;gt;1767&amp;lt;/CourtLevelCaseTypeInterestID&amp;gt;_x000d__x000a_        &amp;lt;CaseJudgeFirstName&amp;gt;ùðé&amp;lt;/CaseJudgeFirstName&amp;gt;_x000d__x000a_        &amp;lt;CaseJudgeLastName&amp;gt;ë&amp;quot;õ&amp;lt;/CaseJudgeLastName&amp;gt;_x000d__x000a_        &amp;lt;JudicalPersonID&amp;gt;040360844@GOV.IL&amp;lt;/JudicalPersonID&amp;gt;_x000d__x000a_        &amp;lt;IsJudicalPanel&amp;gt;false&amp;lt;/IsJudicalPanel&amp;gt;_x000d__x000a_        &amp;lt;CourtDisplayName&amp;gt;áéú îùôè ìòðééðé îùôçä ááàø ùáò&amp;lt;/CourtDisplayName&amp;gt;_x000d__x000a_        &amp;lt;IsAllStartDataCollected&amp;gt;true&amp;lt;/IsAllStartDataCollected&amp;gt;_x000d__x000a_        &amp;lt;IsMainCase&amp;gt;false&amp;lt;/IsMainCase&amp;gt;_x000d__x000a_        &amp;lt;CaseDesc&amp;gt;äçìèä îéåí 29.3.24 ðîñøä èìôåðéú ìòå&amp;quot;ñ çãååä &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4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4792747&amp;lt;/DecisionID&amp;gt;_x000d__x000a_        &amp;lt;DecisionName&amp;gt;ôñ÷ ãéï  ùðéúðä ò&amp;quot;é  ùðé ë&amp;quot;õ&amp;lt;/DecisionName&amp;gt;_x000d__x000a_        &amp;lt;DecisionStatusID&amp;gt;1&amp;lt;/DecisionStatusID&amp;gt;_x000d__x000a_        &amp;lt;DecisionStatusChangeDate&amp;gt;2024-09-09T21:40:00.75+03:00&amp;lt;/DecisionStatusChangeDate&amp;gt;_x000d__x000a_        &amp;lt;DecisionSignatureDate&amp;gt;2024-09-09T21:39:59.227+03:00&amp;lt;/DecisionSignatureDate&amp;gt;_x000d__x000a_        &amp;lt;DecisionSignatureUserID&amp;gt;040360844@GOV.IL&amp;lt;/DecisionSignatureUserID&amp;gt;_x000d__x000a_        &amp;lt;DecisionCreateDate&amp;gt;2024-09-09T21:27:48.04+03:00&amp;lt;/DecisionCreateDate&amp;gt;_x000d__x000a_        &amp;lt;DecisionChangeDate&amp;gt;2024-09-09T21:40:00.947+03:00&amp;lt;/DecisionChangeDate&amp;gt;_x000d__x000a_        &amp;lt;DecisionChangeUserID&amp;gt;311368369@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4639417&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40360844@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311368369@GOV.IL&amp;lt;/DecisionCreationUserID&amp;gt;_x000d__x000a_        &amp;lt;DecisionDisplayName&amp;gt;ôñ÷ ãéï  ùðéúðä ò&amp;quot;é  ùðé ë&amp;quot;õ&amp;lt;/DecisionDisplayName&amp;gt;_x000d__x000a_        &amp;lt;IsScanned&amp;gt;false&amp;lt;/IsScanned&amp;gt;_x000d__x000a_        &amp;lt;DecisionSignatureUserName&amp;gt;ùðé ë&amp;quot;õ&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9&amp;lt;/DecisionNumberInCase&amp;gt;_x000d__x000a_      &amp;lt;/dt_Decision&amp;gt;_x000d__x000a_      &amp;lt;dt_DecisionCase diffgr:id=&amp;quot;dt_DecisionCase1&amp;quot; msdata:rowOrder=&amp;quot;0&amp;quot;&amp;gt;_x000d__x000a_        &amp;lt;DecisionID&amp;gt;154792747&amp;lt;/DecisionID&amp;gt;_x000d__x000a_        &amp;lt;CaseID&amp;gt;80599342&amp;lt;/CaseID&amp;gt;_x000d__x000a_        &amp;lt;IsOriginal&amp;gt;true&amp;lt;/IsOriginal&amp;gt;_x000d__x000a_        &amp;lt;IsDeleted&amp;gt;false&amp;lt;/IsDeleted&amp;gt;_x000d__x000a_        &amp;lt;CaseName&amp;gt;îìëä ð&amp;#39; îøöéàðå åàç&amp;#39;&amp;lt;/CaseName&amp;gt;_x000d__x000a_        &amp;lt;CaseDisplayIdentifier&amp;gt;29459-09-23 úî&amp;quot;ù&amp;lt;/CaseDisplayIdentifier&amp;gt;_x000d__x000a_      &amp;lt;/dt_DecisionCase&amp;gt;_x000d__x000a_    &amp;lt;/DecisionDS&amp;gt;_x000d__x000a_  &amp;lt;/diffgr:diffgram&amp;gt;_x000d__x000a_&amp;lt;/DecisionDS&amp;gt;"/>
    <w:docVar w:name="DecisionID" w:val="154792747"/>
    <w:docVar w:name="MyInfo" w:val="This document was extracted from Nevo's site"/>
    <w:docVar w:name="WordClientAssemblyName" w:val="NGCS.Decision.ClientWordBL"/>
    <w:docVar w:name="WordClientClassName" w:val="NGCS.Decision.ClientWordBL.DecisionClient"/>
  </w:docVars>
  <w:rsids>
    <w:rsidRoot w:val="00694556"/>
    <w:rsid w:val="00005C8B"/>
    <w:rsid w:val="00013CC2"/>
    <w:rsid w:val="000146C2"/>
    <w:rsid w:val="00016C35"/>
    <w:rsid w:val="000258FD"/>
    <w:rsid w:val="00042370"/>
    <w:rsid w:val="00043EEB"/>
    <w:rsid w:val="000564AB"/>
    <w:rsid w:val="000D4A02"/>
    <w:rsid w:val="001072A9"/>
    <w:rsid w:val="00107D35"/>
    <w:rsid w:val="00121F97"/>
    <w:rsid w:val="001277D7"/>
    <w:rsid w:val="00132017"/>
    <w:rsid w:val="00134A7D"/>
    <w:rsid w:val="0014234E"/>
    <w:rsid w:val="00145A87"/>
    <w:rsid w:val="001C4003"/>
    <w:rsid w:val="001E2797"/>
    <w:rsid w:val="001F5474"/>
    <w:rsid w:val="002177F8"/>
    <w:rsid w:val="002352F7"/>
    <w:rsid w:val="00257697"/>
    <w:rsid w:val="002648A0"/>
    <w:rsid w:val="0027277D"/>
    <w:rsid w:val="002954FA"/>
    <w:rsid w:val="002B6BC3"/>
    <w:rsid w:val="00381D3A"/>
    <w:rsid w:val="003823DA"/>
    <w:rsid w:val="0038561B"/>
    <w:rsid w:val="003A328B"/>
    <w:rsid w:val="0043595F"/>
    <w:rsid w:val="0047645A"/>
    <w:rsid w:val="004B60E4"/>
    <w:rsid w:val="004D49A3"/>
    <w:rsid w:val="004D50AC"/>
    <w:rsid w:val="004E6E3C"/>
    <w:rsid w:val="005124F1"/>
    <w:rsid w:val="00530BAD"/>
    <w:rsid w:val="00541598"/>
    <w:rsid w:val="00547DB7"/>
    <w:rsid w:val="0056403C"/>
    <w:rsid w:val="00567324"/>
    <w:rsid w:val="005869C0"/>
    <w:rsid w:val="005917BB"/>
    <w:rsid w:val="00591986"/>
    <w:rsid w:val="005A178E"/>
    <w:rsid w:val="005B0F49"/>
    <w:rsid w:val="005C7EC6"/>
    <w:rsid w:val="005D4BDB"/>
    <w:rsid w:val="005F6229"/>
    <w:rsid w:val="00601468"/>
    <w:rsid w:val="00622BAA"/>
    <w:rsid w:val="00625C89"/>
    <w:rsid w:val="00633C4F"/>
    <w:rsid w:val="00671BD5"/>
    <w:rsid w:val="006805C1"/>
    <w:rsid w:val="006816EC"/>
    <w:rsid w:val="00694556"/>
    <w:rsid w:val="006A0931"/>
    <w:rsid w:val="006B1D1C"/>
    <w:rsid w:val="006E1A53"/>
    <w:rsid w:val="006E1AB8"/>
    <w:rsid w:val="007056AA"/>
    <w:rsid w:val="007419E1"/>
    <w:rsid w:val="00744F41"/>
    <w:rsid w:val="007A24FE"/>
    <w:rsid w:val="007A35AA"/>
    <w:rsid w:val="007B5E23"/>
    <w:rsid w:val="007F1048"/>
    <w:rsid w:val="008056AF"/>
    <w:rsid w:val="00820005"/>
    <w:rsid w:val="008206B1"/>
    <w:rsid w:val="00846D27"/>
    <w:rsid w:val="008610A7"/>
    <w:rsid w:val="008D2D6C"/>
    <w:rsid w:val="008E1332"/>
    <w:rsid w:val="008E7F4D"/>
    <w:rsid w:val="00903896"/>
    <w:rsid w:val="00927813"/>
    <w:rsid w:val="00944D13"/>
    <w:rsid w:val="00957C90"/>
    <w:rsid w:val="009831DB"/>
    <w:rsid w:val="009841A4"/>
    <w:rsid w:val="009B4C5B"/>
    <w:rsid w:val="009B70F6"/>
    <w:rsid w:val="009C358E"/>
    <w:rsid w:val="009E0263"/>
    <w:rsid w:val="009E4D4D"/>
    <w:rsid w:val="00A26253"/>
    <w:rsid w:val="00A267CF"/>
    <w:rsid w:val="00A327F8"/>
    <w:rsid w:val="00A342BD"/>
    <w:rsid w:val="00A43458"/>
    <w:rsid w:val="00A70F64"/>
    <w:rsid w:val="00AB4E09"/>
    <w:rsid w:val="00AC4E19"/>
    <w:rsid w:val="00AF1ED6"/>
    <w:rsid w:val="00B32C61"/>
    <w:rsid w:val="00B368FE"/>
    <w:rsid w:val="00B630B0"/>
    <w:rsid w:val="00B80CBD"/>
    <w:rsid w:val="00BC3369"/>
    <w:rsid w:val="00BD12AF"/>
    <w:rsid w:val="00BF77EE"/>
    <w:rsid w:val="00C21231"/>
    <w:rsid w:val="00C32E0F"/>
    <w:rsid w:val="00C42BF9"/>
    <w:rsid w:val="00C83E56"/>
    <w:rsid w:val="00C97547"/>
    <w:rsid w:val="00CC63CE"/>
    <w:rsid w:val="00CD0A4E"/>
    <w:rsid w:val="00CD2558"/>
    <w:rsid w:val="00CF07A6"/>
    <w:rsid w:val="00CF4BC2"/>
    <w:rsid w:val="00D14F44"/>
    <w:rsid w:val="00D319B3"/>
    <w:rsid w:val="00D33A82"/>
    <w:rsid w:val="00D3613F"/>
    <w:rsid w:val="00D36A71"/>
    <w:rsid w:val="00D53924"/>
    <w:rsid w:val="00D60849"/>
    <w:rsid w:val="00D96D8C"/>
    <w:rsid w:val="00DA755B"/>
    <w:rsid w:val="00DB4B3B"/>
    <w:rsid w:val="00DD337E"/>
    <w:rsid w:val="00E00B6F"/>
    <w:rsid w:val="00E03EB2"/>
    <w:rsid w:val="00E370E1"/>
    <w:rsid w:val="00E44DDF"/>
    <w:rsid w:val="00E54642"/>
    <w:rsid w:val="00E554C3"/>
    <w:rsid w:val="00E931C0"/>
    <w:rsid w:val="00E95A6A"/>
    <w:rsid w:val="00E97908"/>
    <w:rsid w:val="00ED2ACE"/>
    <w:rsid w:val="00EF3ED0"/>
    <w:rsid w:val="00F11E29"/>
    <w:rsid w:val="00F17E56"/>
    <w:rsid w:val="00F21D94"/>
    <w:rsid w:val="00F2662A"/>
    <w:rsid w:val="00F300CD"/>
    <w:rsid w:val="00F56840"/>
    <w:rsid w:val="00FA19BB"/>
    <w:rsid w:val="00FB3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549D9"/>
  <w15:docId w15:val="{2DF1AAF6-DFC2-491A-A080-E6D6C85F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957C90"/>
    <w:rPr>
      <w:color w:val="808080"/>
    </w:rPr>
  </w:style>
  <w:style w:type="paragraph" w:customStyle="1" w:styleId="11">
    <w:name w:val="פיסקת רשימה1"/>
    <w:basedOn w:val="a"/>
    <w:qFormat/>
    <w:rsid w:val="008206B1"/>
    <w:pPr>
      <w:spacing w:after="160" w:line="256" w:lineRule="auto"/>
      <w:ind w:left="720"/>
      <w:contextualSpacing/>
    </w:pPr>
    <w:rPr>
      <w:rFonts w:ascii="Calibri" w:hAnsi="Calibri" w:cs="Arial"/>
      <w:noProof w:val="0"/>
      <w:sz w:val="22"/>
      <w:szCs w:val="22"/>
    </w:rPr>
  </w:style>
  <w:style w:type="character" w:styleId="Hyperlink">
    <w:name w:val="Hyperlink"/>
    <w:semiHidden/>
    <w:locked/>
    <w:rsid w:val="001E2797"/>
    <w:rPr>
      <w:color w:val="0000FF"/>
      <w:u w:val="single"/>
    </w:rPr>
  </w:style>
  <w:style w:type="paragraph" w:customStyle="1" w:styleId="12">
    <w:name w:val="ללא מרווח1"/>
    <w:qFormat/>
    <w:rsid w:val="00D33A82"/>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7981407" TargetMode="External"/><Relationship Id="rId13" Type="http://schemas.openxmlformats.org/officeDocument/2006/relationships/hyperlink" Target="http://www.nevo.co.il/law/196390/49" TargetMode="External"/><Relationship Id="rId18" Type="http://schemas.openxmlformats.org/officeDocument/2006/relationships/hyperlink" Target="http://www.nevo.co.il/law/196390/15.a.13" TargetMode="External"/><Relationship Id="rId26" Type="http://schemas.openxmlformats.org/officeDocument/2006/relationships/hyperlink" Target="http://www.nevo.co.il/case/28869775" TargetMode="External"/><Relationship Id="rId3" Type="http://schemas.openxmlformats.org/officeDocument/2006/relationships/settings" Target="settings.xml"/><Relationship Id="rId21" Type="http://schemas.openxmlformats.org/officeDocument/2006/relationships/hyperlink" Target="http://www.nevo.co.il/law/70325/19" TargetMode="External"/><Relationship Id="rId34" Type="http://schemas.openxmlformats.org/officeDocument/2006/relationships/fontTable" Target="fontTable.xml"/><Relationship Id="rId7" Type="http://schemas.openxmlformats.org/officeDocument/2006/relationships/hyperlink" Target="http://www.nevo.co.il/case/2669391" TargetMode="External"/><Relationship Id="rId12" Type="http://schemas.openxmlformats.org/officeDocument/2006/relationships/hyperlink" Target="http://www.nevo.co.il/law/5162" TargetMode="External"/><Relationship Id="rId17" Type="http://schemas.openxmlformats.org/officeDocument/2006/relationships/hyperlink" Target="http://www.nevo.co.il/law/196390/15.a.11" TargetMode="External"/><Relationship Id="rId25" Type="http://schemas.openxmlformats.org/officeDocument/2006/relationships/hyperlink" Target="http://www.nevo.co.il/case/3027129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vo.co.il/law/196390/15.a.6" TargetMode="External"/><Relationship Id="rId20" Type="http://schemas.openxmlformats.org/officeDocument/2006/relationships/hyperlink" Target="http://www.nevo.co.il/law/70325" TargetMode="External"/><Relationship Id="rId29" Type="http://schemas.openxmlformats.org/officeDocument/2006/relationships/hyperlink" Target="http://www.nevo.co.il/case/179246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5162/13.d" TargetMode="External"/><Relationship Id="rId24" Type="http://schemas.openxmlformats.org/officeDocument/2006/relationships/hyperlink" Target="http://www.nevo.co.il/case/2033790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law/196390/15.a.3" TargetMode="External"/><Relationship Id="rId23" Type="http://schemas.openxmlformats.org/officeDocument/2006/relationships/hyperlink" Target="http://www.nevo.co.il/case/17924694" TargetMode="External"/><Relationship Id="rId28" Type="http://schemas.openxmlformats.org/officeDocument/2006/relationships/hyperlink" Target="http://www.nevo.co.il/law/5162" TargetMode="External"/><Relationship Id="rId10" Type="http://schemas.openxmlformats.org/officeDocument/2006/relationships/hyperlink" Target="http://www.nevo.co.il/case/26616282" TargetMode="External"/><Relationship Id="rId19" Type="http://schemas.openxmlformats.org/officeDocument/2006/relationships/hyperlink" Target="http://www.nevo.co.il/law/70325/18"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case/26616282" TargetMode="External"/><Relationship Id="rId14" Type="http://schemas.openxmlformats.org/officeDocument/2006/relationships/hyperlink" Target="http://www.nevo.co.il/law/196390" TargetMode="External"/><Relationship Id="rId22" Type="http://schemas.openxmlformats.org/officeDocument/2006/relationships/hyperlink" Target="http://www.nevo.co.il/law/70325" TargetMode="External"/><Relationship Id="rId27" Type="http://schemas.openxmlformats.org/officeDocument/2006/relationships/hyperlink" Target="http://www.nevo.co.il/case/22276047"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2307</Words>
  <Characters>11536</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2024-10-14T18:52:00Z</dcterms:created>
  <dcterms:modified xsi:type="dcterms:W3CDTF">2024-10-14T18:52:00Z</dcterms:modified>
</cp:coreProperties>
</file>