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4395" w14:textId="1D92B429" w:rsidR="00000000" w:rsidRDefault="00000000">
      <w:pPr>
        <w:divId w:val="1069117338"/>
        <w:rPr>
          <w:rFonts w:ascii="David" w:eastAsia="Times New Roman" w:hAnsi="David" w:cs="David"/>
        </w:rPr>
      </w:pPr>
    </w:p>
    <w:p w14:paraId="09C48160" w14:textId="77777777" w:rsidR="00000000" w:rsidRDefault="00000000">
      <w:pPr>
        <w:pStyle w:val="idhidden"/>
      </w:pPr>
      <w:r>
        <w:t>takd_id</w:t>
      </w:r>
      <w:r>
        <w:rPr>
          <w:rtl/>
        </w:rPr>
        <w:t>: סעש@2909-05-23;</w:t>
      </w:r>
      <w:r>
        <w:t>takd_s:20260126;takd_d:26.01.2026;takd_u:27.01.2026;mms_s</w:t>
      </w:r>
      <w:r>
        <w:rPr>
          <w:rtl/>
        </w:rPr>
        <w:t>:עבודה;</w:t>
      </w:r>
      <w:r>
        <w:t>mms_p:2079;mms_y:2026;mms_v:1;orig_filename:4d78e2c3377d46a2ab23dfe75d482203.html;taktzir_exist:0;kt_exist:0</w:t>
      </w:r>
      <w:r>
        <w:rPr>
          <w:rtl/>
        </w:rPr>
        <w:t>;</w:t>
      </w:r>
    </w:p>
    <w:tbl>
      <w:tblPr>
        <w:bidiVisual/>
        <w:tblW w:w="0" w:type="auto"/>
        <w:jc w:val="center"/>
        <w:tblCellMar>
          <w:left w:w="0" w:type="dxa"/>
          <w:right w:w="0" w:type="dxa"/>
        </w:tblCellMar>
        <w:tblLook w:val="04A0" w:firstRow="1" w:lastRow="0" w:firstColumn="1" w:lastColumn="0" w:noHBand="0" w:noVBand="1"/>
      </w:tblPr>
      <w:tblGrid>
        <w:gridCol w:w="3182"/>
        <w:gridCol w:w="5130"/>
      </w:tblGrid>
      <w:tr w:rsidR="00000000" w14:paraId="772030D6" w14:textId="77777777">
        <w:trPr>
          <w:trHeight w:val="418"/>
          <w:jc w:val="center"/>
        </w:trPr>
        <w:tc>
          <w:tcPr>
            <w:tcW w:w="8505" w:type="dxa"/>
            <w:gridSpan w:val="2"/>
            <w:tcMar>
              <w:top w:w="0" w:type="dxa"/>
              <w:left w:w="108" w:type="dxa"/>
              <w:bottom w:w="0" w:type="dxa"/>
              <w:right w:w="108" w:type="dxa"/>
            </w:tcMar>
            <w:hideMark/>
          </w:tcPr>
          <w:p w14:paraId="52A3F5F9" w14:textId="77777777" w:rsidR="00000000" w:rsidRDefault="00000000">
            <w:pPr>
              <w:pStyle w:val="a3"/>
              <w:bidi/>
              <w:jc w:val="center"/>
              <w:rPr>
                <w:rtl/>
              </w:rPr>
            </w:pPr>
            <w:r>
              <w:rPr>
                <w:rStyle w:val="f4dinim"/>
                <w:rFonts w:ascii="David" w:hAnsi="David" w:cs="David"/>
                <w:color w:val="000080"/>
                <w:sz w:val="30"/>
                <w:szCs w:val="30"/>
                <w:rtl/>
              </w:rPr>
              <w:t>בית הדין האזורי לעבודה חיפה</w:t>
            </w:r>
          </w:p>
        </w:tc>
      </w:tr>
      <w:tr w:rsidR="00000000" w14:paraId="13A36E0C" w14:textId="77777777">
        <w:trPr>
          <w:trHeight w:val="337"/>
          <w:jc w:val="center"/>
        </w:trPr>
        <w:tc>
          <w:tcPr>
            <w:tcW w:w="3260" w:type="dxa"/>
            <w:tcMar>
              <w:top w:w="0" w:type="dxa"/>
              <w:left w:w="108" w:type="dxa"/>
              <w:bottom w:w="0" w:type="dxa"/>
              <w:right w:w="108" w:type="dxa"/>
            </w:tcMar>
            <w:hideMark/>
          </w:tcPr>
          <w:p w14:paraId="28FE8AB6" w14:textId="77777777" w:rsidR="00000000" w:rsidRDefault="00000000">
            <w:pPr>
              <w:bidi/>
              <w:rPr>
                <w:rtl/>
              </w:rPr>
            </w:pPr>
            <w:r>
              <w:rPr>
                <w:rFonts w:ascii="David" w:hAnsi="David" w:cs="David"/>
                <w:sz w:val="26"/>
                <w:szCs w:val="26"/>
                <w:rtl/>
              </w:rPr>
              <w:t> </w:t>
            </w:r>
          </w:p>
        </w:tc>
        <w:tc>
          <w:tcPr>
            <w:tcW w:w="5245" w:type="dxa"/>
            <w:tcMar>
              <w:top w:w="0" w:type="dxa"/>
              <w:left w:w="108" w:type="dxa"/>
              <w:bottom w:w="0" w:type="dxa"/>
              <w:right w:w="108" w:type="dxa"/>
            </w:tcMar>
            <w:hideMark/>
          </w:tcPr>
          <w:p w14:paraId="481C4374" w14:textId="77777777" w:rsidR="00000000" w:rsidRDefault="00000000">
            <w:pPr>
              <w:bidi/>
              <w:rPr>
                <w:rtl/>
              </w:rPr>
            </w:pPr>
            <w:r>
              <w:rPr>
                <w:rFonts w:ascii="David" w:hAnsi="David" w:cs="David"/>
                <w:sz w:val="28"/>
                <w:szCs w:val="28"/>
                <w:rtl/>
              </w:rPr>
              <w:t> </w:t>
            </w:r>
          </w:p>
          <w:p w14:paraId="7F54A316" w14:textId="77777777" w:rsidR="00000000" w:rsidRDefault="00000000">
            <w:pPr>
              <w:pStyle w:val="a3"/>
              <w:bidi/>
              <w:jc w:val="right"/>
              <w:rPr>
                <w:rtl/>
              </w:rPr>
            </w:pPr>
            <w:proofErr w:type="spellStart"/>
            <w:r>
              <w:rPr>
                <w:rStyle w:val="f40dinim"/>
                <w:rFonts w:ascii="David" w:hAnsi="David" w:cs="David"/>
                <w:sz w:val="28"/>
                <w:szCs w:val="28"/>
                <w:rtl/>
              </w:rPr>
              <w:t>סע"ש</w:t>
            </w:r>
            <w:proofErr w:type="spellEnd"/>
            <w:r>
              <w:rPr>
                <w:rStyle w:val="f40dinim"/>
                <w:rFonts w:ascii="David" w:hAnsi="David" w:cs="David"/>
                <w:sz w:val="28"/>
                <w:szCs w:val="28"/>
                <w:rtl/>
              </w:rPr>
              <w:t xml:space="preserve"> 2909-05-23</w:t>
            </w:r>
          </w:p>
          <w:p w14:paraId="6D017D0C" w14:textId="77777777" w:rsidR="00000000" w:rsidRDefault="00000000">
            <w:pPr>
              <w:pStyle w:val="a3"/>
              <w:bidi/>
              <w:jc w:val="right"/>
              <w:rPr>
                <w:rtl/>
              </w:rPr>
            </w:pPr>
            <w:r>
              <w:rPr>
                <w:rFonts w:ascii="David" w:hAnsi="David" w:cs="David"/>
                <w:sz w:val="26"/>
                <w:szCs w:val="26"/>
                <w:rtl/>
              </w:rPr>
              <w:t>26 ינואר 2026</w:t>
            </w:r>
          </w:p>
          <w:p w14:paraId="6D273183" w14:textId="77777777" w:rsidR="00000000" w:rsidRDefault="00000000">
            <w:pPr>
              <w:bidi/>
              <w:rPr>
                <w:rtl/>
              </w:rPr>
            </w:pPr>
            <w:r>
              <w:rPr>
                <w:rFonts w:ascii="David" w:hAnsi="David" w:cs="David"/>
                <w:sz w:val="28"/>
                <w:szCs w:val="28"/>
                <w:rtl/>
              </w:rPr>
              <w:t> </w:t>
            </w:r>
          </w:p>
        </w:tc>
      </w:tr>
    </w:tbl>
    <w:p w14:paraId="7FC174C8" w14:textId="77777777" w:rsidR="00000000" w:rsidRDefault="00000000">
      <w:pPr>
        <w:jc w:val="center"/>
        <w:rPr>
          <w:rtl/>
        </w:rPr>
      </w:pPr>
      <w:r>
        <w:rPr>
          <w:vanish/>
        </w:rPr>
        <w:t> </w:t>
      </w:r>
    </w:p>
    <w:tbl>
      <w:tblPr>
        <w:bidiVisual/>
        <w:tblW w:w="8820" w:type="dxa"/>
        <w:jc w:val="center"/>
        <w:tblCellMar>
          <w:left w:w="0" w:type="dxa"/>
          <w:right w:w="0" w:type="dxa"/>
        </w:tblCellMar>
        <w:tblLook w:val="04A0" w:firstRow="1" w:lastRow="0" w:firstColumn="1" w:lastColumn="0" w:noHBand="0" w:noVBand="1"/>
      </w:tblPr>
      <w:tblGrid>
        <w:gridCol w:w="1869"/>
        <w:gridCol w:w="6951"/>
      </w:tblGrid>
      <w:tr w:rsidR="00000000" w14:paraId="0C96D6EE" w14:textId="77777777">
        <w:trPr>
          <w:trHeight w:val="295"/>
          <w:jc w:val="center"/>
        </w:trPr>
        <w:tc>
          <w:tcPr>
            <w:tcW w:w="1869" w:type="dxa"/>
            <w:tcMar>
              <w:top w:w="0" w:type="dxa"/>
              <w:left w:w="108" w:type="dxa"/>
              <w:bottom w:w="0" w:type="dxa"/>
              <w:right w:w="108" w:type="dxa"/>
            </w:tcMar>
            <w:hideMark/>
          </w:tcPr>
          <w:p w14:paraId="3BAA263A" w14:textId="77777777" w:rsidR="00000000" w:rsidRDefault="00000000">
            <w:pPr>
              <w:bidi/>
            </w:pPr>
            <w:r>
              <w:rPr>
                <w:rFonts w:ascii="David" w:hAnsi="David" w:cs="David"/>
                <w:sz w:val="28"/>
                <w:szCs w:val="28"/>
                <w:rtl/>
              </w:rPr>
              <w:t> </w:t>
            </w:r>
          </w:p>
          <w:p w14:paraId="0989456E" w14:textId="77777777" w:rsidR="00000000" w:rsidRDefault="00000000">
            <w:pPr>
              <w:bidi/>
              <w:rPr>
                <w:rtl/>
              </w:rPr>
            </w:pPr>
            <w:r>
              <w:rPr>
                <w:rFonts w:ascii="David" w:hAnsi="David" w:cs="David"/>
                <w:sz w:val="28"/>
                <w:szCs w:val="28"/>
                <w:rtl/>
              </w:rPr>
              <w:t> </w:t>
            </w:r>
          </w:p>
          <w:p w14:paraId="723955F0" w14:textId="77777777" w:rsidR="00000000" w:rsidRDefault="00000000">
            <w:pPr>
              <w:bidi/>
              <w:rPr>
                <w:rtl/>
              </w:rPr>
            </w:pPr>
            <w:r>
              <w:rPr>
                <w:rFonts w:ascii="David" w:hAnsi="David" w:cs="David"/>
                <w:sz w:val="28"/>
                <w:szCs w:val="28"/>
                <w:rtl/>
              </w:rPr>
              <w:t>לפני:</w:t>
            </w:r>
          </w:p>
        </w:tc>
        <w:tc>
          <w:tcPr>
            <w:tcW w:w="6951" w:type="dxa"/>
            <w:tcMar>
              <w:top w:w="0" w:type="dxa"/>
              <w:left w:w="108" w:type="dxa"/>
              <w:bottom w:w="0" w:type="dxa"/>
              <w:right w:w="108" w:type="dxa"/>
            </w:tcMar>
            <w:hideMark/>
          </w:tcPr>
          <w:p w14:paraId="1CA2D53F" w14:textId="77777777" w:rsidR="00000000" w:rsidRDefault="00000000">
            <w:pPr>
              <w:bidi/>
              <w:rPr>
                <w:rtl/>
              </w:rPr>
            </w:pPr>
            <w:r>
              <w:rPr>
                <w:rStyle w:val="f41dinim"/>
                <w:rFonts w:ascii="David" w:hAnsi="David" w:cs="David"/>
                <w:sz w:val="28"/>
                <w:szCs w:val="28"/>
                <w:rtl/>
              </w:rPr>
              <w:t xml:space="preserve">כב' השופטת </w:t>
            </w:r>
            <w:bookmarkStart w:id="0" w:name="_Hlk221190451"/>
            <w:r>
              <w:rPr>
                <w:rStyle w:val="f41dinim"/>
                <w:rFonts w:ascii="David" w:hAnsi="David" w:cs="David"/>
                <w:sz w:val="28"/>
                <w:szCs w:val="28"/>
                <w:rtl/>
              </w:rPr>
              <w:t>מירי שי</w:t>
            </w:r>
            <w:bookmarkEnd w:id="0"/>
          </w:p>
          <w:p w14:paraId="2DDB8B82" w14:textId="77777777" w:rsidR="00000000" w:rsidRDefault="00000000">
            <w:pPr>
              <w:bidi/>
              <w:rPr>
                <w:rtl/>
              </w:rPr>
            </w:pPr>
            <w:r>
              <w:rPr>
                <w:rStyle w:val="f41dinim"/>
                <w:rFonts w:ascii="David" w:hAnsi="David" w:cs="David"/>
                <w:sz w:val="28"/>
                <w:szCs w:val="28"/>
                <w:rtl/>
              </w:rPr>
              <w:t xml:space="preserve">נציג ציבור (עובדים) מר </w:t>
            </w:r>
            <w:bookmarkStart w:id="1" w:name="_Hlk221190473"/>
            <w:r>
              <w:rPr>
                <w:rStyle w:val="f41dinim"/>
                <w:rFonts w:ascii="David" w:hAnsi="David" w:cs="David"/>
                <w:sz w:val="28"/>
                <w:szCs w:val="28"/>
                <w:rtl/>
              </w:rPr>
              <w:t>דוד שמחוני</w:t>
            </w:r>
            <w:bookmarkEnd w:id="1"/>
          </w:p>
          <w:p w14:paraId="5A83C7DA" w14:textId="77777777" w:rsidR="00000000" w:rsidRDefault="00000000">
            <w:pPr>
              <w:bidi/>
              <w:rPr>
                <w:rtl/>
              </w:rPr>
            </w:pPr>
            <w:r>
              <w:rPr>
                <w:rStyle w:val="f41dinim"/>
                <w:rFonts w:ascii="David" w:hAnsi="David" w:cs="David"/>
                <w:sz w:val="28"/>
                <w:szCs w:val="28"/>
                <w:rtl/>
              </w:rPr>
              <w:t xml:space="preserve">נציג ציבור (מעסיקים) מר </w:t>
            </w:r>
            <w:bookmarkStart w:id="2" w:name="_Hlk221190497"/>
            <w:r>
              <w:rPr>
                <w:rStyle w:val="f41dinim"/>
                <w:rFonts w:ascii="David" w:hAnsi="David" w:cs="David"/>
                <w:sz w:val="28"/>
                <w:szCs w:val="28"/>
                <w:rtl/>
              </w:rPr>
              <w:t>גרשון קציר</w:t>
            </w:r>
            <w:bookmarkEnd w:id="2"/>
          </w:p>
        </w:tc>
      </w:tr>
      <w:tr w:rsidR="00000000" w14:paraId="14D996E2" w14:textId="77777777">
        <w:trPr>
          <w:trHeight w:val="202"/>
          <w:jc w:val="center"/>
        </w:trPr>
        <w:tc>
          <w:tcPr>
            <w:tcW w:w="8820" w:type="dxa"/>
            <w:gridSpan w:val="2"/>
            <w:tcMar>
              <w:top w:w="0" w:type="dxa"/>
              <w:left w:w="108" w:type="dxa"/>
              <w:bottom w:w="0" w:type="dxa"/>
              <w:right w:w="108" w:type="dxa"/>
            </w:tcMar>
            <w:hideMark/>
          </w:tcPr>
          <w:p w14:paraId="11C02F0C" w14:textId="77777777" w:rsidR="00000000" w:rsidRDefault="00000000">
            <w:pPr>
              <w:bidi/>
              <w:rPr>
                <w:rtl/>
              </w:rPr>
            </w:pPr>
            <w:r>
              <w:rPr>
                <w:rFonts w:ascii="David" w:hAnsi="David" w:cs="David"/>
                <w:sz w:val="28"/>
                <w:szCs w:val="28"/>
                <w:rtl/>
              </w:rPr>
              <w:t> </w:t>
            </w:r>
          </w:p>
        </w:tc>
      </w:tr>
      <w:tr w:rsidR="00000000" w14:paraId="6BB99734" w14:textId="77777777">
        <w:trPr>
          <w:trHeight w:val="887"/>
          <w:jc w:val="center"/>
        </w:trPr>
        <w:tc>
          <w:tcPr>
            <w:tcW w:w="1869" w:type="dxa"/>
            <w:tcMar>
              <w:top w:w="0" w:type="dxa"/>
              <w:left w:w="108" w:type="dxa"/>
              <w:bottom w:w="0" w:type="dxa"/>
              <w:right w:w="108" w:type="dxa"/>
            </w:tcMar>
            <w:hideMark/>
          </w:tcPr>
          <w:p w14:paraId="7A7E266D" w14:textId="77777777" w:rsidR="00000000" w:rsidRDefault="00000000">
            <w:pPr>
              <w:bidi/>
              <w:rPr>
                <w:rtl/>
              </w:rPr>
            </w:pPr>
            <w:r>
              <w:rPr>
                <w:rFonts w:ascii="David" w:hAnsi="David" w:cs="David"/>
                <w:sz w:val="28"/>
                <w:szCs w:val="28"/>
                <w:u w:val="single"/>
                <w:rtl/>
              </w:rPr>
              <w:t>התובע והנתבע שכנגד</w:t>
            </w:r>
          </w:p>
        </w:tc>
        <w:tc>
          <w:tcPr>
            <w:tcW w:w="6951" w:type="dxa"/>
            <w:tcMar>
              <w:top w:w="0" w:type="dxa"/>
              <w:left w:w="108" w:type="dxa"/>
              <w:bottom w:w="0" w:type="dxa"/>
              <w:right w:w="108" w:type="dxa"/>
            </w:tcMar>
            <w:hideMark/>
          </w:tcPr>
          <w:p w14:paraId="54952AFE" w14:textId="77777777" w:rsidR="00000000" w:rsidRDefault="00000000">
            <w:pPr>
              <w:bidi/>
              <w:rPr>
                <w:rtl/>
              </w:rPr>
            </w:pPr>
            <w:r>
              <w:rPr>
                <w:rStyle w:val="f2dinim"/>
                <w:rFonts w:ascii="David" w:hAnsi="David" w:cs="David"/>
                <w:sz w:val="28"/>
                <w:szCs w:val="28"/>
                <w:rtl/>
              </w:rPr>
              <w:t xml:space="preserve">מג'ד </w:t>
            </w:r>
            <w:proofErr w:type="spellStart"/>
            <w:r>
              <w:rPr>
                <w:rStyle w:val="f2dinim"/>
                <w:rFonts w:ascii="David" w:hAnsi="David" w:cs="David"/>
                <w:sz w:val="28"/>
                <w:szCs w:val="28"/>
                <w:rtl/>
              </w:rPr>
              <w:t>מנסור</w:t>
            </w:r>
            <w:proofErr w:type="spellEnd"/>
          </w:p>
          <w:p w14:paraId="799F34CD" w14:textId="77777777" w:rsidR="00000000" w:rsidRDefault="00000000">
            <w:pPr>
              <w:bidi/>
              <w:rPr>
                <w:rtl/>
              </w:rPr>
            </w:pPr>
            <w:r>
              <w:rPr>
                <w:rFonts w:ascii="David" w:hAnsi="David" w:cs="David"/>
                <w:sz w:val="28"/>
                <w:szCs w:val="28"/>
                <w:rtl/>
              </w:rPr>
              <w:t xml:space="preserve">ע"י ב"כ: </w:t>
            </w:r>
            <w:r>
              <w:rPr>
                <w:rStyle w:val="f42dinim"/>
                <w:rFonts w:ascii="David" w:hAnsi="David" w:cs="David"/>
                <w:sz w:val="28"/>
                <w:szCs w:val="28"/>
                <w:rtl/>
              </w:rPr>
              <w:t xml:space="preserve">עו"ד </w:t>
            </w:r>
            <w:proofErr w:type="spellStart"/>
            <w:r>
              <w:rPr>
                <w:rStyle w:val="f42dinim"/>
                <w:rFonts w:ascii="David" w:hAnsi="David" w:cs="David"/>
                <w:sz w:val="28"/>
                <w:szCs w:val="28"/>
                <w:rtl/>
              </w:rPr>
              <w:t>מוראד</w:t>
            </w:r>
            <w:proofErr w:type="spellEnd"/>
            <w:r>
              <w:rPr>
                <w:rStyle w:val="f42dinim"/>
                <w:rFonts w:ascii="David" w:hAnsi="David" w:cs="David"/>
                <w:sz w:val="28"/>
                <w:szCs w:val="28"/>
                <w:rtl/>
              </w:rPr>
              <w:t xml:space="preserve"> </w:t>
            </w:r>
            <w:proofErr w:type="spellStart"/>
            <w:r>
              <w:rPr>
                <w:rStyle w:val="f42dinim"/>
                <w:rFonts w:ascii="David" w:hAnsi="David" w:cs="David"/>
                <w:sz w:val="28"/>
                <w:szCs w:val="28"/>
                <w:rtl/>
              </w:rPr>
              <w:t>ח'ורי</w:t>
            </w:r>
            <w:proofErr w:type="spellEnd"/>
          </w:p>
        </w:tc>
      </w:tr>
      <w:tr w:rsidR="00000000" w14:paraId="4740D781" w14:textId="77777777">
        <w:trPr>
          <w:jc w:val="center"/>
        </w:trPr>
        <w:tc>
          <w:tcPr>
            <w:tcW w:w="8820" w:type="dxa"/>
            <w:gridSpan w:val="2"/>
            <w:tcMar>
              <w:top w:w="0" w:type="dxa"/>
              <w:left w:w="108" w:type="dxa"/>
              <w:bottom w:w="0" w:type="dxa"/>
              <w:right w:w="108" w:type="dxa"/>
            </w:tcMar>
            <w:hideMark/>
          </w:tcPr>
          <w:p w14:paraId="49EA941C" w14:textId="77777777" w:rsidR="00000000" w:rsidRDefault="00000000">
            <w:pPr>
              <w:bidi/>
              <w:rPr>
                <w:rtl/>
              </w:rPr>
            </w:pPr>
            <w:r>
              <w:rPr>
                <w:rFonts w:ascii="David" w:hAnsi="David" w:cs="David"/>
                <w:sz w:val="28"/>
                <w:szCs w:val="28"/>
                <w:rtl/>
              </w:rPr>
              <w:t>-</w:t>
            </w:r>
          </w:p>
        </w:tc>
      </w:tr>
      <w:tr w:rsidR="00000000" w14:paraId="40A3770C" w14:textId="77777777">
        <w:trPr>
          <w:trHeight w:val="764"/>
          <w:jc w:val="center"/>
        </w:trPr>
        <w:tc>
          <w:tcPr>
            <w:tcW w:w="1869" w:type="dxa"/>
            <w:tcMar>
              <w:top w:w="0" w:type="dxa"/>
              <w:left w:w="108" w:type="dxa"/>
              <w:bottom w:w="0" w:type="dxa"/>
              <w:right w:w="108" w:type="dxa"/>
            </w:tcMar>
            <w:hideMark/>
          </w:tcPr>
          <w:p w14:paraId="1D9847D5" w14:textId="77777777" w:rsidR="00000000" w:rsidRDefault="00000000">
            <w:pPr>
              <w:bidi/>
              <w:rPr>
                <w:rtl/>
              </w:rPr>
            </w:pPr>
            <w:r>
              <w:rPr>
                <w:rFonts w:ascii="David" w:hAnsi="David" w:cs="David"/>
                <w:sz w:val="28"/>
                <w:szCs w:val="28"/>
                <w:u w:val="single"/>
                <w:rtl/>
              </w:rPr>
              <w:t>הנתבעת והתובעת שכנגד</w:t>
            </w:r>
          </w:p>
        </w:tc>
        <w:tc>
          <w:tcPr>
            <w:tcW w:w="6951" w:type="dxa"/>
            <w:tcMar>
              <w:top w:w="0" w:type="dxa"/>
              <w:left w:w="108" w:type="dxa"/>
              <w:bottom w:w="0" w:type="dxa"/>
              <w:right w:w="108" w:type="dxa"/>
            </w:tcMar>
            <w:hideMark/>
          </w:tcPr>
          <w:p w14:paraId="7608734B" w14:textId="77777777" w:rsidR="00000000" w:rsidRDefault="00000000">
            <w:pPr>
              <w:bidi/>
              <w:rPr>
                <w:rtl/>
              </w:rPr>
            </w:pPr>
            <w:r>
              <w:rPr>
                <w:rStyle w:val="f3dinim"/>
                <w:rFonts w:ascii="David" w:hAnsi="David" w:cs="David"/>
                <w:sz w:val="28"/>
                <w:szCs w:val="28"/>
                <w:rtl/>
              </w:rPr>
              <w:t>איית חשמל ומיזוג אויר בע"מ</w:t>
            </w:r>
          </w:p>
          <w:p w14:paraId="3D3BF7F0" w14:textId="77777777" w:rsidR="00000000" w:rsidRDefault="00000000">
            <w:pPr>
              <w:bidi/>
              <w:rPr>
                <w:rtl/>
              </w:rPr>
            </w:pPr>
            <w:r>
              <w:rPr>
                <w:rFonts w:ascii="David" w:hAnsi="David" w:cs="David"/>
                <w:sz w:val="28"/>
                <w:szCs w:val="28"/>
                <w:rtl/>
              </w:rPr>
              <w:t xml:space="preserve">ע"י ב"כ: </w:t>
            </w:r>
            <w:r>
              <w:rPr>
                <w:rStyle w:val="f43dinim"/>
                <w:rFonts w:ascii="David" w:hAnsi="David" w:cs="David"/>
                <w:sz w:val="28"/>
                <w:szCs w:val="28"/>
                <w:rtl/>
              </w:rPr>
              <w:t xml:space="preserve">עו"ד </w:t>
            </w:r>
            <w:proofErr w:type="spellStart"/>
            <w:r>
              <w:rPr>
                <w:rStyle w:val="f43dinim"/>
                <w:rFonts w:ascii="David" w:hAnsi="David" w:cs="David"/>
                <w:sz w:val="28"/>
                <w:szCs w:val="28"/>
                <w:rtl/>
              </w:rPr>
              <w:t>אינאס</w:t>
            </w:r>
            <w:proofErr w:type="spellEnd"/>
            <w:r>
              <w:rPr>
                <w:rStyle w:val="f43dinim"/>
                <w:rFonts w:ascii="David" w:hAnsi="David" w:cs="David"/>
                <w:sz w:val="28"/>
                <w:szCs w:val="28"/>
                <w:rtl/>
              </w:rPr>
              <w:t xml:space="preserve"> </w:t>
            </w:r>
            <w:proofErr w:type="spellStart"/>
            <w:r>
              <w:rPr>
                <w:rStyle w:val="f43dinim"/>
                <w:rFonts w:ascii="David" w:hAnsi="David" w:cs="David"/>
                <w:sz w:val="28"/>
                <w:szCs w:val="28"/>
                <w:rtl/>
              </w:rPr>
              <w:t>חג'אזי</w:t>
            </w:r>
            <w:proofErr w:type="spellEnd"/>
          </w:p>
        </w:tc>
      </w:tr>
    </w:tbl>
    <w:p w14:paraId="5A1ADE6D" w14:textId="77777777" w:rsidR="00000000" w:rsidRDefault="00000000">
      <w:pPr>
        <w:bidi/>
        <w:spacing w:line="360" w:lineRule="auto"/>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111B6F7" w14:textId="77777777">
        <w:trPr>
          <w:jc w:val="center"/>
        </w:trPr>
        <w:tc>
          <w:tcPr>
            <w:tcW w:w="8820" w:type="dxa"/>
            <w:tcMar>
              <w:top w:w="0" w:type="dxa"/>
              <w:left w:w="108" w:type="dxa"/>
              <w:bottom w:w="0" w:type="dxa"/>
              <w:right w:w="108" w:type="dxa"/>
            </w:tcMar>
            <w:hideMark/>
          </w:tcPr>
          <w:p w14:paraId="53D3D7FC" w14:textId="77777777" w:rsidR="00000000" w:rsidRDefault="00000000">
            <w:pPr>
              <w:bidi/>
              <w:jc w:val="center"/>
              <w:rPr>
                <w:rtl/>
              </w:rPr>
            </w:pPr>
            <w:r>
              <w:rPr>
                <w:rStyle w:val="f13hdinim"/>
                <w:rFonts w:ascii="David" w:hAnsi="David" w:cs="David"/>
                <w:b/>
                <w:bCs/>
                <w:sz w:val="28"/>
                <w:szCs w:val="28"/>
                <w:u w:val="single"/>
                <w:rtl/>
              </w:rPr>
              <w:t>פסק דין</w:t>
            </w:r>
          </w:p>
        </w:tc>
      </w:tr>
    </w:tbl>
    <w:p w14:paraId="1FA4E219" w14:textId="77777777" w:rsidR="00000000" w:rsidRDefault="00000000">
      <w:pPr>
        <w:bidi/>
        <w:spacing w:line="360" w:lineRule="auto"/>
        <w:jc w:val="both"/>
        <w:rPr>
          <w:rtl/>
        </w:rPr>
      </w:pPr>
      <w:r>
        <w:rPr>
          <w:rFonts w:ascii="David" w:hAnsi="David" w:cs="David"/>
          <w:sz w:val="28"/>
          <w:szCs w:val="28"/>
        </w:rPr>
        <w:t> </w:t>
      </w:r>
    </w:p>
    <w:p w14:paraId="13828DB0" w14:textId="77777777" w:rsidR="00000000" w:rsidRDefault="00000000">
      <w:pPr>
        <w:bidi/>
        <w:spacing w:line="360" w:lineRule="auto"/>
        <w:ind w:left="720" w:hanging="720"/>
        <w:jc w:val="both"/>
        <w:rPr>
          <w:rtl/>
        </w:rPr>
      </w:pPr>
      <w:r>
        <w:rPr>
          <w:rFonts w:ascii="David" w:hAnsi="David" w:cs="David"/>
          <w:sz w:val="28"/>
          <w:szCs w:val="28"/>
          <w:rtl/>
        </w:rPr>
        <w:t xml:space="preserve">1.  לפנינו תביעה ותביעה שכנגד של מר מג'ד </w:t>
      </w:r>
      <w:proofErr w:type="spellStart"/>
      <w:r>
        <w:rPr>
          <w:rFonts w:ascii="David" w:hAnsi="David" w:cs="David"/>
          <w:sz w:val="28"/>
          <w:szCs w:val="28"/>
          <w:rtl/>
        </w:rPr>
        <w:t>מנסור</w:t>
      </w:r>
      <w:proofErr w:type="spellEnd"/>
      <w:r>
        <w:rPr>
          <w:rFonts w:ascii="David" w:hAnsi="David" w:cs="David"/>
          <w:sz w:val="28"/>
          <w:szCs w:val="28"/>
          <w:rtl/>
        </w:rPr>
        <w:t xml:space="preserve"> (להלן: </w:t>
      </w:r>
      <w:r>
        <w:rPr>
          <w:rFonts w:ascii="David" w:hAnsi="David" w:cs="David"/>
          <w:b/>
          <w:bCs/>
          <w:sz w:val="28"/>
          <w:szCs w:val="28"/>
          <w:rtl/>
        </w:rPr>
        <w:t>התובע</w:t>
      </w:r>
      <w:r>
        <w:rPr>
          <w:rFonts w:ascii="David" w:hAnsi="David" w:cs="David"/>
          <w:sz w:val="28"/>
          <w:szCs w:val="28"/>
          <w:rtl/>
        </w:rPr>
        <w:t xml:space="preserve">) ומעסיקתו לשעבר איית חשמל ומיזוג אוויר בע"מ (להלן: </w:t>
      </w:r>
      <w:r>
        <w:rPr>
          <w:rFonts w:ascii="David" w:hAnsi="David" w:cs="David"/>
          <w:b/>
          <w:bCs/>
          <w:sz w:val="28"/>
          <w:szCs w:val="28"/>
          <w:rtl/>
        </w:rPr>
        <w:t>הנתבעת</w:t>
      </w:r>
      <w:r>
        <w:rPr>
          <w:rFonts w:ascii="David" w:hAnsi="David" w:cs="David"/>
          <w:sz w:val="28"/>
          <w:szCs w:val="28"/>
          <w:rtl/>
        </w:rPr>
        <w:t>). טענתו העיקרית של התובע היא לפיטורים שלא כדין, במהלך מחלה וללא שימוע, בעוד שטענתה העיקרית של הנתבעת היא שהתובע התרשל בעבודתו ונהג בחוסר אחריות מקצועית.</w:t>
      </w:r>
    </w:p>
    <w:p w14:paraId="12824530" w14:textId="77777777" w:rsidR="00000000" w:rsidRDefault="00000000">
      <w:pPr>
        <w:bidi/>
        <w:spacing w:line="360" w:lineRule="auto"/>
        <w:jc w:val="both"/>
        <w:rPr>
          <w:rtl/>
        </w:rPr>
      </w:pPr>
      <w:r>
        <w:rPr>
          <w:rFonts w:ascii="David" w:hAnsi="David" w:cs="David"/>
          <w:sz w:val="28"/>
          <w:szCs w:val="28"/>
          <w:rtl/>
        </w:rPr>
        <w:t> </w:t>
      </w:r>
    </w:p>
    <w:p w14:paraId="2AA4ECA9" w14:textId="77777777" w:rsidR="00000000" w:rsidRDefault="00000000">
      <w:pPr>
        <w:bidi/>
        <w:spacing w:line="360" w:lineRule="auto"/>
        <w:jc w:val="both"/>
        <w:rPr>
          <w:rtl/>
        </w:rPr>
      </w:pPr>
      <w:r>
        <w:rPr>
          <w:rFonts w:ascii="David" w:hAnsi="David" w:cs="David"/>
          <w:b/>
          <w:bCs/>
          <w:sz w:val="28"/>
          <w:szCs w:val="28"/>
          <w:u w:val="single"/>
          <w:rtl/>
        </w:rPr>
        <w:t>רקע עובדתי</w:t>
      </w:r>
    </w:p>
    <w:p w14:paraId="1417E3A8" w14:textId="77777777" w:rsidR="00000000" w:rsidRDefault="00000000">
      <w:pPr>
        <w:bidi/>
        <w:spacing w:line="360" w:lineRule="auto"/>
        <w:ind w:left="720" w:hanging="720"/>
        <w:jc w:val="both"/>
        <w:rPr>
          <w:rtl/>
        </w:rPr>
      </w:pPr>
      <w:r>
        <w:rPr>
          <w:rFonts w:ascii="David" w:hAnsi="David" w:cs="David"/>
          <w:sz w:val="28"/>
          <w:szCs w:val="28"/>
          <w:rtl/>
        </w:rPr>
        <w:t xml:space="preserve">2.  הנתבעת היא בעלים של מפעל ללוחות חשמל בכרמיאל. בעלי הנתבעת ומנהלה הוא מר איית </w:t>
      </w:r>
      <w:proofErr w:type="spellStart"/>
      <w:r>
        <w:rPr>
          <w:rFonts w:ascii="David" w:hAnsi="David" w:cs="David"/>
          <w:sz w:val="28"/>
          <w:szCs w:val="28"/>
          <w:rtl/>
        </w:rPr>
        <w:t>אסדי</w:t>
      </w:r>
      <w:proofErr w:type="spellEnd"/>
      <w:r>
        <w:rPr>
          <w:rFonts w:ascii="David" w:hAnsi="David" w:cs="David"/>
          <w:sz w:val="28"/>
          <w:szCs w:val="28"/>
          <w:rtl/>
        </w:rPr>
        <w:t xml:space="preserve">, אשר היה הממונה על התובע (להלן: </w:t>
      </w:r>
      <w:r>
        <w:rPr>
          <w:rFonts w:ascii="David" w:hAnsi="David" w:cs="David"/>
          <w:b/>
          <w:bCs/>
          <w:sz w:val="28"/>
          <w:szCs w:val="28"/>
          <w:rtl/>
        </w:rPr>
        <w:t>איית</w:t>
      </w:r>
      <w:r>
        <w:rPr>
          <w:rFonts w:ascii="David" w:hAnsi="David" w:cs="David"/>
          <w:sz w:val="28"/>
          <w:szCs w:val="28"/>
          <w:rtl/>
        </w:rPr>
        <w:t>). התובע הועסק בנתבעת מיום 1.3.22 ועד ליום 20.9.22. התובע הועסק במשרה מלאה, במתכונת של שישה ימים בשבוע, על בסיס שכר שעתי בתעריף 43.7 ש"ח. שכרו של התובע שולם לו בשיק, בהתאם לתלושי השכר שהנפיקה הנתבעת.</w:t>
      </w:r>
    </w:p>
    <w:p w14:paraId="73854E1A" w14:textId="77777777" w:rsidR="00000000" w:rsidRDefault="00000000">
      <w:pPr>
        <w:bidi/>
        <w:spacing w:line="360" w:lineRule="auto"/>
        <w:jc w:val="both"/>
        <w:rPr>
          <w:rtl/>
        </w:rPr>
      </w:pPr>
      <w:r>
        <w:rPr>
          <w:rFonts w:ascii="David" w:hAnsi="David" w:cs="David"/>
          <w:sz w:val="28"/>
          <w:szCs w:val="28"/>
        </w:rPr>
        <w:t> </w:t>
      </w:r>
    </w:p>
    <w:p w14:paraId="5C122821" w14:textId="77777777" w:rsidR="00000000" w:rsidRDefault="00000000">
      <w:pPr>
        <w:bidi/>
        <w:spacing w:line="360" w:lineRule="auto"/>
        <w:jc w:val="both"/>
        <w:rPr>
          <w:rtl/>
        </w:rPr>
      </w:pPr>
      <w:r>
        <w:rPr>
          <w:rFonts w:ascii="David" w:hAnsi="David" w:cs="David"/>
          <w:b/>
          <w:bCs/>
          <w:sz w:val="28"/>
          <w:szCs w:val="28"/>
          <w:u w:val="single"/>
          <w:rtl/>
        </w:rPr>
        <w:t>טענות הצדדים בתמצית</w:t>
      </w:r>
    </w:p>
    <w:p w14:paraId="3F9A52C7" w14:textId="77777777" w:rsidR="00000000" w:rsidRDefault="00000000">
      <w:pPr>
        <w:bidi/>
        <w:spacing w:line="360" w:lineRule="auto"/>
        <w:ind w:left="720" w:hanging="720"/>
        <w:jc w:val="both"/>
        <w:rPr>
          <w:rtl/>
        </w:rPr>
      </w:pPr>
      <w:r>
        <w:rPr>
          <w:rFonts w:ascii="David" w:hAnsi="David" w:cs="David"/>
          <w:sz w:val="28"/>
          <w:szCs w:val="28"/>
          <w:rtl/>
        </w:rPr>
        <w:t xml:space="preserve">3.  טענת התובע היא שפוטר מעבודתו ללא הליך שימוע וללא הודעה מוקדמת, במהלך חופשת מחלה. הנתבעת טוענת מנגד, כי התובע נטש את עבודתו, </w:t>
      </w:r>
      <w:proofErr w:type="spellStart"/>
      <w:r>
        <w:rPr>
          <w:rFonts w:ascii="David" w:hAnsi="David" w:cs="David"/>
          <w:sz w:val="28"/>
          <w:szCs w:val="28"/>
          <w:rtl/>
        </w:rPr>
        <w:t>ומשלא</w:t>
      </w:r>
      <w:proofErr w:type="spellEnd"/>
      <w:r>
        <w:rPr>
          <w:rFonts w:ascii="David" w:hAnsi="David" w:cs="David"/>
          <w:sz w:val="28"/>
          <w:szCs w:val="28"/>
          <w:rtl/>
        </w:rPr>
        <w:t xml:space="preserve"> צלחו הניסיונות להשיגו, נאלץ איית להודיע לתובע על הפסקת עבודתו תוך מתן הודעה מוקדמת של 15 יום.</w:t>
      </w:r>
    </w:p>
    <w:p w14:paraId="1E667F80" w14:textId="77777777" w:rsidR="00000000" w:rsidRDefault="00000000">
      <w:pPr>
        <w:bidi/>
        <w:spacing w:line="360" w:lineRule="auto"/>
        <w:jc w:val="both"/>
        <w:rPr>
          <w:rtl/>
        </w:rPr>
      </w:pPr>
      <w:r>
        <w:rPr>
          <w:rFonts w:ascii="David" w:hAnsi="David" w:cs="David"/>
          <w:sz w:val="28"/>
          <w:szCs w:val="28"/>
          <w:rtl/>
        </w:rPr>
        <w:t> </w:t>
      </w:r>
    </w:p>
    <w:p w14:paraId="5D3617DB" w14:textId="77777777" w:rsidR="00000000" w:rsidRDefault="00000000">
      <w:pPr>
        <w:bidi/>
        <w:spacing w:line="360" w:lineRule="auto"/>
        <w:jc w:val="both"/>
        <w:rPr>
          <w:rtl/>
        </w:rPr>
      </w:pPr>
      <w:r>
        <w:rPr>
          <w:rFonts w:ascii="David" w:hAnsi="David" w:cs="David"/>
          <w:sz w:val="28"/>
          <w:szCs w:val="28"/>
          <w:rtl/>
        </w:rPr>
        <w:t> </w:t>
      </w:r>
    </w:p>
    <w:p w14:paraId="7F3E1BE6" w14:textId="77777777" w:rsidR="00000000" w:rsidRDefault="00000000">
      <w:pPr>
        <w:bidi/>
        <w:spacing w:line="360" w:lineRule="auto"/>
        <w:jc w:val="both"/>
        <w:rPr>
          <w:rtl/>
        </w:rPr>
      </w:pPr>
      <w:r>
        <w:rPr>
          <w:rFonts w:ascii="David" w:hAnsi="David" w:cs="David"/>
          <w:b/>
          <w:bCs/>
          <w:sz w:val="28"/>
          <w:szCs w:val="28"/>
          <w:u w:val="single"/>
          <w:rtl/>
        </w:rPr>
        <w:lastRenderedPageBreak/>
        <w:t>ההליך בבית הדין</w:t>
      </w:r>
    </w:p>
    <w:p w14:paraId="0CC1439D" w14:textId="77777777" w:rsidR="00000000" w:rsidRDefault="00000000">
      <w:pPr>
        <w:bidi/>
        <w:spacing w:line="360" w:lineRule="auto"/>
        <w:ind w:left="720" w:hanging="720"/>
        <w:jc w:val="both"/>
        <w:rPr>
          <w:rtl/>
        </w:rPr>
      </w:pPr>
      <w:r>
        <w:rPr>
          <w:rFonts w:ascii="David" w:hAnsi="David" w:cs="David"/>
          <w:sz w:val="28"/>
          <w:szCs w:val="28"/>
          <w:rtl/>
        </w:rPr>
        <w:t xml:space="preserve">4.  בדיון ההוכחות התובע העיד לעצמו. מטעם הנתבעת העידו איית ובנו, מר </w:t>
      </w:r>
      <w:proofErr w:type="spellStart"/>
      <w:r>
        <w:rPr>
          <w:rFonts w:ascii="David" w:hAnsi="David" w:cs="David"/>
          <w:sz w:val="28"/>
          <w:szCs w:val="28"/>
          <w:rtl/>
        </w:rPr>
        <w:t>ברקאת</w:t>
      </w:r>
      <w:proofErr w:type="spellEnd"/>
      <w:r>
        <w:rPr>
          <w:rFonts w:ascii="David" w:hAnsi="David" w:cs="David"/>
          <w:sz w:val="28"/>
          <w:szCs w:val="28"/>
          <w:rtl/>
        </w:rPr>
        <w:t xml:space="preserve"> </w:t>
      </w:r>
      <w:proofErr w:type="spellStart"/>
      <w:r>
        <w:rPr>
          <w:rFonts w:ascii="David" w:hAnsi="David" w:cs="David"/>
          <w:sz w:val="28"/>
          <w:szCs w:val="28"/>
          <w:rtl/>
        </w:rPr>
        <w:t>אסדי</w:t>
      </w:r>
      <w:proofErr w:type="spellEnd"/>
      <w:r>
        <w:rPr>
          <w:rFonts w:ascii="David" w:hAnsi="David" w:cs="David"/>
          <w:sz w:val="28"/>
          <w:szCs w:val="28"/>
          <w:rtl/>
        </w:rPr>
        <w:t xml:space="preserve">, המועסק כעובד שכיר בנתבעת (להלן: </w:t>
      </w:r>
      <w:proofErr w:type="spellStart"/>
      <w:r>
        <w:rPr>
          <w:rFonts w:ascii="David" w:hAnsi="David" w:cs="David"/>
          <w:b/>
          <w:bCs/>
          <w:sz w:val="28"/>
          <w:szCs w:val="28"/>
          <w:rtl/>
        </w:rPr>
        <w:t>ברקאת</w:t>
      </w:r>
      <w:proofErr w:type="spellEnd"/>
      <w:r>
        <w:rPr>
          <w:rFonts w:ascii="David" w:hAnsi="David" w:cs="David"/>
          <w:sz w:val="28"/>
          <w:szCs w:val="28"/>
          <w:rtl/>
        </w:rPr>
        <w:t xml:space="preserve">). תצהירו של עד נוסף מטעם הנתבעת, מר </w:t>
      </w:r>
      <w:proofErr w:type="spellStart"/>
      <w:r>
        <w:rPr>
          <w:rFonts w:ascii="David" w:hAnsi="David" w:cs="David"/>
          <w:sz w:val="28"/>
          <w:szCs w:val="28"/>
          <w:rtl/>
        </w:rPr>
        <w:t>פרחאת</w:t>
      </w:r>
      <w:proofErr w:type="spellEnd"/>
      <w:r>
        <w:rPr>
          <w:rFonts w:ascii="David" w:hAnsi="David" w:cs="David"/>
          <w:sz w:val="28"/>
          <w:szCs w:val="28"/>
          <w:rtl/>
        </w:rPr>
        <w:t xml:space="preserve"> </w:t>
      </w:r>
      <w:proofErr w:type="spellStart"/>
      <w:r>
        <w:rPr>
          <w:rFonts w:ascii="David" w:hAnsi="David" w:cs="David"/>
          <w:sz w:val="28"/>
          <w:szCs w:val="28"/>
          <w:rtl/>
        </w:rPr>
        <w:t>חאתם</w:t>
      </w:r>
      <w:proofErr w:type="spellEnd"/>
      <w:r>
        <w:rPr>
          <w:rFonts w:ascii="David" w:hAnsi="David" w:cs="David"/>
          <w:sz w:val="28"/>
          <w:szCs w:val="28"/>
          <w:rtl/>
        </w:rPr>
        <w:t xml:space="preserve">, הוצא מן התיק </w:t>
      </w:r>
      <w:proofErr w:type="spellStart"/>
      <w:r>
        <w:rPr>
          <w:rFonts w:ascii="David" w:hAnsi="David" w:cs="David"/>
          <w:sz w:val="28"/>
          <w:szCs w:val="28"/>
          <w:rtl/>
        </w:rPr>
        <w:t>משלא</w:t>
      </w:r>
      <w:proofErr w:type="spellEnd"/>
      <w:r>
        <w:rPr>
          <w:rFonts w:ascii="David" w:hAnsi="David" w:cs="David"/>
          <w:sz w:val="28"/>
          <w:szCs w:val="28"/>
          <w:rtl/>
        </w:rPr>
        <w:t xml:space="preserve"> הופיע לדיון ההוכחות. </w:t>
      </w:r>
    </w:p>
    <w:p w14:paraId="6D4B97A7" w14:textId="77777777" w:rsidR="00000000" w:rsidRDefault="00000000">
      <w:pPr>
        <w:bidi/>
        <w:spacing w:line="360" w:lineRule="auto"/>
        <w:jc w:val="both"/>
        <w:rPr>
          <w:rtl/>
        </w:rPr>
      </w:pPr>
      <w:r>
        <w:rPr>
          <w:rFonts w:ascii="David" w:hAnsi="David" w:cs="David"/>
          <w:sz w:val="28"/>
          <w:szCs w:val="28"/>
          <w:rtl/>
        </w:rPr>
        <w:t> </w:t>
      </w:r>
    </w:p>
    <w:p w14:paraId="0805D5A9" w14:textId="77777777" w:rsidR="00000000" w:rsidRDefault="00000000">
      <w:pPr>
        <w:bidi/>
        <w:spacing w:line="360" w:lineRule="auto"/>
        <w:jc w:val="both"/>
        <w:rPr>
          <w:rtl/>
        </w:rPr>
      </w:pPr>
      <w:r>
        <w:rPr>
          <w:rFonts w:ascii="David" w:hAnsi="David" w:cs="David"/>
          <w:b/>
          <w:bCs/>
          <w:sz w:val="28"/>
          <w:szCs w:val="28"/>
          <w:u w:val="single"/>
          <w:rtl/>
        </w:rPr>
        <w:t>דיון והכרעה</w:t>
      </w:r>
    </w:p>
    <w:p w14:paraId="62E26EC3" w14:textId="77777777" w:rsidR="00000000" w:rsidRDefault="00000000">
      <w:pPr>
        <w:bidi/>
        <w:spacing w:line="360" w:lineRule="auto"/>
        <w:jc w:val="both"/>
        <w:rPr>
          <w:rtl/>
        </w:rPr>
      </w:pPr>
      <w:r>
        <w:rPr>
          <w:rFonts w:ascii="David" w:hAnsi="David" w:cs="David"/>
          <w:b/>
          <w:bCs/>
          <w:sz w:val="28"/>
          <w:szCs w:val="28"/>
          <w:u w:val="single"/>
          <w:rtl/>
        </w:rPr>
        <w:t>נסיבות סיום העבודה</w:t>
      </w:r>
    </w:p>
    <w:p w14:paraId="23C01BCA" w14:textId="77777777" w:rsidR="00000000" w:rsidRDefault="00000000">
      <w:pPr>
        <w:bidi/>
        <w:spacing w:line="360" w:lineRule="auto"/>
        <w:ind w:left="720" w:hanging="720"/>
        <w:jc w:val="both"/>
        <w:rPr>
          <w:rtl/>
        </w:rPr>
      </w:pPr>
      <w:r>
        <w:rPr>
          <w:rFonts w:ascii="David" w:hAnsi="David" w:cs="David"/>
          <w:sz w:val="28"/>
          <w:szCs w:val="28"/>
          <w:rtl/>
        </w:rPr>
        <w:t xml:space="preserve">5.  לגרסת התובע, ביום 21.9.22 חלה החמרה במצבו הרפואי, והוא נאלץ להעדר מעבודתו עקב מחלה לאחר שעדכן את איית על כך. ביום 22.9.22 איית שלח לתובע הודעה קולית, בעת שהתובע שהה בחופשת מחלה מאושרת, הודיע לו על פיטורים עם הודעה מוקדמת בת 15 יום לפני הפסקת עבודה (סעיפים 11- 13 לתצהיר). </w:t>
      </w:r>
    </w:p>
    <w:p w14:paraId="1BF6CBE8" w14:textId="77777777" w:rsidR="00000000" w:rsidRDefault="00000000">
      <w:pPr>
        <w:bidi/>
        <w:spacing w:line="360" w:lineRule="auto"/>
        <w:jc w:val="both"/>
        <w:rPr>
          <w:rtl/>
        </w:rPr>
      </w:pPr>
      <w:r>
        <w:rPr>
          <w:rFonts w:ascii="David" w:hAnsi="David" w:cs="David"/>
          <w:sz w:val="28"/>
          <w:szCs w:val="28"/>
          <w:rtl/>
        </w:rPr>
        <w:t> </w:t>
      </w:r>
    </w:p>
    <w:p w14:paraId="65F94D9C" w14:textId="77777777" w:rsidR="00000000" w:rsidRDefault="00000000">
      <w:pPr>
        <w:bidi/>
        <w:spacing w:line="360" w:lineRule="auto"/>
        <w:ind w:left="720" w:hanging="720"/>
        <w:jc w:val="both"/>
        <w:rPr>
          <w:rtl/>
        </w:rPr>
      </w:pPr>
      <w:r>
        <w:rPr>
          <w:rFonts w:ascii="David" w:hAnsi="David" w:cs="David"/>
          <w:sz w:val="28"/>
          <w:szCs w:val="28"/>
          <w:rtl/>
        </w:rPr>
        <w:t>6.  לגרסת הנתבעת, התובע נטש את עבודתו ביום 20.9.22. ביום 21.9.22 איית יצר קשר עם התובע בנוגע להיעדרותו הלא מוסברת, ובהמשך לשימוע שנערך לו בחודש 7/22, איית הודיע לתובע על הודעה מוקדמת בת 15 יום לפני הפסקת עבודה. עוד טענה הנתבעת, כי במועד מתן ההודעה המוקדמת איית לא ידע על מחלתו של התובע (סעיפים 20 ו- 22 לכתב ההגנה).</w:t>
      </w:r>
    </w:p>
    <w:p w14:paraId="28233AB5" w14:textId="77777777" w:rsidR="00000000" w:rsidRDefault="00000000">
      <w:pPr>
        <w:bidi/>
        <w:spacing w:line="360" w:lineRule="auto"/>
        <w:jc w:val="both"/>
        <w:rPr>
          <w:rtl/>
        </w:rPr>
      </w:pPr>
      <w:r>
        <w:rPr>
          <w:rFonts w:ascii="David" w:hAnsi="David" w:cs="David"/>
          <w:sz w:val="28"/>
          <w:szCs w:val="28"/>
          <w:rtl/>
        </w:rPr>
        <w:t> </w:t>
      </w:r>
    </w:p>
    <w:p w14:paraId="6A8FEDD8" w14:textId="77777777" w:rsidR="00000000" w:rsidRDefault="00000000">
      <w:pPr>
        <w:bidi/>
        <w:spacing w:line="360" w:lineRule="auto"/>
        <w:ind w:left="720" w:hanging="720"/>
        <w:jc w:val="both"/>
        <w:rPr>
          <w:rtl/>
        </w:rPr>
      </w:pPr>
      <w:r>
        <w:rPr>
          <w:rFonts w:ascii="David" w:hAnsi="David" w:cs="David"/>
          <w:sz w:val="28"/>
          <w:szCs w:val="28"/>
          <w:rtl/>
        </w:rPr>
        <w:t xml:space="preserve">7.  מהראיות שהובאו לפנינו עולה, כי התובע פוטר מעבודתו. איית פיטר את התובע בהודעה קולית שנשלחה אליו ביום 22.9.22 (נספח 4 לתצהיר התובע). בכתב ההגנה הודתה הנתבעת, כי </w:t>
      </w:r>
      <w:r>
        <w:rPr>
          <w:rFonts w:ascii="David" w:hAnsi="David" w:cs="David"/>
          <w:b/>
          <w:bCs/>
          <w:sz w:val="28"/>
          <w:szCs w:val="28"/>
          <w:rtl/>
        </w:rPr>
        <w:t>"ניתנה לתובע הודעה מוקדמת על פיטורין"</w:t>
      </w:r>
      <w:r>
        <w:rPr>
          <w:rFonts w:ascii="David" w:hAnsi="David" w:cs="David"/>
          <w:sz w:val="28"/>
          <w:szCs w:val="28"/>
          <w:rtl/>
        </w:rPr>
        <w:t xml:space="preserve"> (סעיף 21, וגם בסעיף 29 לתצהיר איית). זאת ועוד: מר איית הצהיר, כי </w:t>
      </w:r>
      <w:r>
        <w:rPr>
          <w:rFonts w:ascii="David" w:hAnsi="David" w:cs="David"/>
          <w:b/>
          <w:bCs/>
          <w:sz w:val="28"/>
          <w:szCs w:val="28"/>
          <w:rtl/>
        </w:rPr>
        <w:t xml:space="preserve">"ביום 21.09.2022 אני אישית יצרתי קשר עם התובע, והודיע </w:t>
      </w:r>
      <w:r>
        <w:rPr>
          <w:rFonts w:ascii="David" w:hAnsi="David" w:cs="David"/>
          <w:sz w:val="28"/>
          <w:szCs w:val="28"/>
          <w:rtl/>
        </w:rPr>
        <w:t xml:space="preserve">[צ"ל: הודעתי] </w:t>
      </w:r>
      <w:r>
        <w:rPr>
          <w:rFonts w:ascii="David" w:hAnsi="David" w:cs="David"/>
          <w:b/>
          <w:bCs/>
          <w:sz w:val="28"/>
          <w:szCs w:val="28"/>
          <w:rtl/>
        </w:rPr>
        <w:t>לו על התנהגותו הבלתי מקובלת, ועל הזלזול שלו בעבודה, ואי מתן הודעה על היעדרותו, כאשר במסגרת השיחה נמסר לתובע כי בהמשך לשימוע שנעשה, ובהמשך למעשיו ועבירות המשמעת מטעמו, מודיעים לו על הודעה מוקדמת בת 15 ימים מיום 21.09.2022"</w:t>
      </w:r>
      <w:r>
        <w:rPr>
          <w:rFonts w:ascii="David" w:hAnsi="David" w:cs="David"/>
          <w:sz w:val="28"/>
          <w:szCs w:val="28"/>
          <w:rtl/>
        </w:rPr>
        <w:t xml:space="preserve"> (סעיף 28). גרסת הנתבעת עצמה מלמדת על אקט של פיטורים, ולא התפטרות. נמצא, אפוא, כי הנתבעת הודיעה לתובע על סיום עבודתו תוך מתן הודעה מוקדמת לפיטורים.</w:t>
      </w:r>
    </w:p>
    <w:p w14:paraId="2EA46B3C" w14:textId="77777777" w:rsidR="00000000" w:rsidRDefault="00000000">
      <w:pPr>
        <w:bidi/>
        <w:spacing w:line="360" w:lineRule="auto"/>
        <w:jc w:val="both"/>
        <w:rPr>
          <w:rtl/>
        </w:rPr>
      </w:pPr>
      <w:r>
        <w:rPr>
          <w:rFonts w:ascii="David" w:hAnsi="David" w:cs="David"/>
          <w:sz w:val="28"/>
          <w:szCs w:val="28"/>
          <w:rtl/>
        </w:rPr>
        <w:t> </w:t>
      </w:r>
    </w:p>
    <w:p w14:paraId="74B2A89F" w14:textId="77777777" w:rsidR="00000000" w:rsidRDefault="00000000">
      <w:pPr>
        <w:bidi/>
        <w:spacing w:line="360" w:lineRule="auto"/>
        <w:ind w:left="720" w:hanging="720"/>
        <w:jc w:val="both"/>
        <w:rPr>
          <w:rtl/>
        </w:rPr>
      </w:pPr>
      <w:r>
        <w:rPr>
          <w:rFonts w:ascii="David" w:hAnsi="David" w:cs="David"/>
          <w:sz w:val="28"/>
          <w:szCs w:val="28"/>
          <w:rtl/>
        </w:rPr>
        <w:t xml:space="preserve">8.  </w:t>
      </w:r>
      <w:r>
        <w:rPr>
          <w:rFonts w:ascii="David" w:hAnsi="David" w:cs="David"/>
          <w:sz w:val="28"/>
          <w:szCs w:val="28"/>
          <w:u w:val="single"/>
          <w:rtl/>
        </w:rPr>
        <w:t>לא הוכחו פיטורים במהלך חופשת מחלה</w:t>
      </w:r>
      <w:r>
        <w:rPr>
          <w:rFonts w:ascii="David" w:hAnsi="David" w:cs="David"/>
          <w:sz w:val="28"/>
          <w:szCs w:val="28"/>
          <w:rtl/>
        </w:rPr>
        <w:t xml:space="preserve">: כעולה מכרטיס הנוכחות לחודש 9/22, התובע עבד ביום 20.9.22. אולם, היה זה יום עבודתו האחרון, וביום 21.9.22 לא עבד. במסגרת שמיעת הראיות הסכימו הצדדים, כי התובע ואיית שוחחו ביניהם ביום 21.9.22 (עדות התובע: פ: 16, ש: 29- 30; עדות איית: פ: 25, ש: 4). בנוסף וכפי שקבענו לעיל, הוכח שאיית פיטר את התובע ביום 22.9.22. </w:t>
      </w:r>
    </w:p>
    <w:p w14:paraId="04FBD513" w14:textId="77777777" w:rsidR="00000000" w:rsidRDefault="00000000">
      <w:pPr>
        <w:bidi/>
        <w:spacing w:line="360" w:lineRule="auto"/>
        <w:ind w:left="720" w:hanging="720"/>
        <w:jc w:val="both"/>
        <w:rPr>
          <w:rtl/>
        </w:rPr>
      </w:pPr>
      <w:r>
        <w:rPr>
          <w:rFonts w:ascii="David" w:hAnsi="David" w:cs="David"/>
          <w:sz w:val="28"/>
          <w:szCs w:val="28"/>
          <w:rtl/>
        </w:rPr>
        <w:t> </w:t>
      </w:r>
    </w:p>
    <w:p w14:paraId="4C29F060" w14:textId="77777777" w:rsidR="00000000" w:rsidRDefault="00000000">
      <w:pPr>
        <w:bidi/>
        <w:spacing w:line="360" w:lineRule="auto"/>
        <w:ind w:left="720" w:hanging="720"/>
        <w:jc w:val="both"/>
        <w:rPr>
          <w:rtl/>
        </w:rPr>
      </w:pPr>
      <w:r>
        <w:rPr>
          <w:rFonts w:ascii="David" w:hAnsi="David" w:cs="David"/>
          <w:sz w:val="28"/>
          <w:szCs w:val="28"/>
          <w:rtl/>
        </w:rPr>
        <w:t xml:space="preserve">9.  לגרסת התובע, ביום 21.9.22 </w:t>
      </w:r>
      <w:r>
        <w:rPr>
          <w:rFonts w:ascii="David" w:hAnsi="David" w:cs="David"/>
          <w:b/>
          <w:bCs/>
          <w:sz w:val="28"/>
          <w:szCs w:val="28"/>
          <w:rtl/>
        </w:rPr>
        <w:t>"חוויתי החמרה במצבי הבריאותי, שהתבטאה בקשיי נשימה חמורים"</w:t>
      </w:r>
      <w:r>
        <w:rPr>
          <w:rFonts w:ascii="David" w:hAnsi="David" w:cs="David"/>
          <w:sz w:val="28"/>
          <w:szCs w:val="28"/>
          <w:rtl/>
        </w:rPr>
        <w:t xml:space="preserve"> (סעיף 11 לתצהיר). כן הצהיר התובע, כי ביום 21.9.22 </w:t>
      </w:r>
      <w:r>
        <w:rPr>
          <w:rFonts w:ascii="David" w:hAnsi="David" w:cs="David"/>
          <w:b/>
          <w:bCs/>
          <w:sz w:val="28"/>
          <w:szCs w:val="28"/>
          <w:rtl/>
        </w:rPr>
        <w:t xml:space="preserve">"עדכנתי את מנהל הנתבעת, מר איית </w:t>
      </w:r>
      <w:proofErr w:type="spellStart"/>
      <w:r>
        <w:rPr>
          <w:rFonts w:ascii="David" w:hAnsi="David" w:cs="David"/>
          <w:b/>
          <w:bCs/>
          <w:sz w:val="28"/>
          <w:szCs w:val="28"/>
          <w:rtl/>
        </w:rPr>
        <w:t>אסדי</w:t>
      </w:r>
      <w:proofErr w:type="spellEnd"/>
      <w:r>
        <w:rPr>
          <w:rFonts w:ascii="David" w:hAnsi="David" w:cs="David"/>
          <w:b/>
          <w:bCs/>
          <w:sz w:val="28"/>
          <w:szCs w:val="28"/>
          <w:rtl/>
        </w:rPr>
        <w:t>, במצבי הרפואי ובכך שאיני יכול לשוב לעבודה באופן זמני בשל המגבלות הבריאותיות שנוצרו"</w:t>
      </w:r>
      <w:r>
        <w:rPr>
          <w:rFonts w:ascii="David" w:hAnsi="David" w:cs="David"/>
          <w:sz w:val="28"/>
          <w:szCs w:val="28"/>
          <w:rtl/>
        </w:rPr>
        <w:t xml:space="preserve"> (סעיף 12 לתצהיר). לכן, לפי גרסת התובע בכתב התביעה ובתצהיר, איית פיטר אותו במהלך חופשת מחלה (סעיף 5ט לכתב התביעה; סעיף 13 לתצהיר). כפי שנפרט להלן, גרסה זו לא הוכחה.</w:t>
      </w:r>
    </w:p>
    <w:p w14:paraId="7FF76EBC" w14:textId="77777777" w:rsidR="00000000" w:rsidRDefault="00000000">
      <w:pPr>
        <w:bidi/>
        <w:spacing w:line="360" w:lineRule="auto"/>
        <w:jc w:val="both"/>
        <w:rPr>
          <w:rtl/>
        </w:rPr>
      </w:pPr>
      <w:r>
        <w:rPr>
          <w:rFonts w:ascii="David" w:hAnsi="David" w:cs="David"/>
          <w:sz w:val="28"/>
          <w:szCs w:val="28"/>
          <w:rtl/>
        </w:rPr>
        <w:t> </w:t>
      </w:r>
    </w:p>
    <w:p w14:paraId="526016A9" w14:textId="77777777" w:rsidR="00000000" w:rsidRDefault="00000000">
      <w:pPr>
        <w:bidi/>
        <w:spacing w:line="360" w:lineRule="auto"/>
        <w:ind w:left="720" w:hanging="720"/>
        <w:jc w:val="both"/>
        <w:rPr>
          <w:rtl/>
        </w:rPr>
      </w:pPr>
      <w:r>
        <w:rPr>
          <w:rFonts w:ascii="David" w:hAnsi="David" w:cs="David"/>
          <w:sz w:val="28"/>
          <w:szCs w:val="28"/>
          <w:rtl/>
        </w:rPr>
        <w:t xml:space="preserve">10.  ראשית, בדיון המוקדם ציין ב"כ התובע שהתובע שוחח עם איית ביום 21.9.22 </w:t>
      </w:r>
      <w:r>
        <w:rPr>
          <w:rFonts w:ascii="David" w:hAnsi="David" w:cs="David"/>
          <w:b/>
          <w:bCs/>
          <w:sz w:val="28"/>
          <w:szCs w:val="28"/>
          <w:rtl/>
        </w:rPr>
        <w:t xml:space="preserve">"בשיחה מוקלטת, הסביר לו כי הוא נמצא במחלה, מרותק למיטה עם חום גבוה, ושיצרף לו אישורי מחלה על כך כשמצבו יאפשר לו לגשת לרופא המשפחה" </w:t>
      </w:r>
      <w:r>
        <w:rPr>
          <w:rFonts w:ascii="David" w:hAnsi="David" w:cs="David"/>
          <w:sz w:val="28"/>
          <w:szCs w:val="28"/>
          <w:rtl/>
        </w:rPr>
        <w:t>(עמ' 6, ש' 17- 18). לעומת זאת, בחקירתו הנגדית ציין התובע, כי אין לו הקלטה של השיחה ביום 21.9.22 (פ: 17, ש: 1- 4).</w:t>
      </w:r>
    </w:p>
    <w:p w14:paraId="4B522EAE" w14:textId="77777777" w:rsidR="00000000" w:rsidRDefault="00000000">
      <w:pPr>
        <w:bidi/>
        <w:spacing w:line="360" w:lineRule="auto"/>
        <w:jc w:val="both"/>
        <w:rPr>
          <w:rtl/>
        </w:rPr>
      </w:pPr>
      <w:r>
        <w:rPr>
          <w:rFonts w:ascii="David" w:hAnsi="David" w:cs="David"/>
          <w:sz w:val="28"/>
          <w:szCs w:val="28"/>
          <w:rtl/>
        </w:rPr>
        <w:t> </w:t>
      </w:r>
    </w:p>
    <w:p w14:paraId="2AD5A885" w14:textId="77777777" w:rsidR="00000000" w:rsidRDefault="00000000">
      <w:pPr>
        <w:bidi/>
        <w:spacing w:line="360" w:lineRule="auto"/>
        <w:ind w:left="720" w:hanging="720"/>
        <w:jc w:val="both"/>
        <w:rPr>
          <w:rtl/>
        </w:rPr>
      </w:pPr>
      <w:r>
        <w:rPr>
          <w:rFonts w:ascii="David" w:hAnsi="David" w:cs="David"/>
          <w:sz w:val="28"/>
          <w:szCs w:val="28"/>
          <w:rtl/>
        </w:rPr>
        <w:t xml:space="preserve">11.  שנית, התובע אומנם המציא לתיק בית הדין תקליטור עם קבצי שמע. אולם, ניסיונות בית הדין להפעיל את התקליטור לא צלחו. לא זו בלבד שבהתאם לנוהל מנהל בתי המשפט יש להגיש קבצי שמע בהתקן אחסון נייד, אלא שקבצי השמע גם לא תורגמו לעברית ולא הוגש תמליל שלהן (ראו: ע"ע (ארצי) 36076-06-10 </w:t>
      </w:r>
      <w:r>
        <w:rPr>
          <w:rFonts w:ascii="David" w:hAnsi="David" w:cs="David"/>
          <w:b/>
          <w:bCs/>
          <w:sz w:val="28"/>
          <w:szCs w:val="28"/>
          <w:rtl/>
        </w:rPr>
        <w:t>י. קל-לי תעשיות בע"מ - דמיטרי מלי</w:t>
      </w:r>
      <w:r>
        <w:rPr>
          <w:rFonts w:ascii="David" w:hAnsi="David" w:cs="David"/>
          <w:sz w:val="28"/>
          <w:szCs w:val="28"/>
          <w:rtl/>
        </w:rPr>
        <w:t xml:space="preserve">, פסקה 15 (9.12.2010)). </w:t>
      </w:r>
    </w:p>
    <w:p w14:paraId="61AED1F4" w14:textId="77777777" w:rsidR="00000000" w:rsidRDefault="00000000">
      <w:pPr>
        <w:bidi/>
        <w:spacing w:line="360" w:lineRule="auto"/>
        <w:jc w:val="both"/>
        <w:rPr>
          <w:rtl/>
        </w:rPr>
      </w:pPr>
      <w:r>
        <w:rPr>
          <w:rFonts w:ascii="David" w:hAnsi="David" w:cs="David"/>
          <w:sz w:val="28"/>
          <w:szCs w:val="28"/>
          <w:rtl/>
        </w:rPr>
        <w:t> </w:t>
      </w:r>
    </w:p>
    <w:p w14:paraId="0AB95D1A" w14:textId="77777777" w:rsidR="00000000" w:rsidRDefault="00000000">
      <w:pPr>
        <w:bidi/>
        <w:spacing w:line="360" w:lineRule="auto"/>
        <w:ind w:left="720" w:hanging="720"/>
        <w:jc w:val="both"/>
        <w:rPr>
          <w:rtl/>
        </w:rPr>
      </w:pPr>
      <w:r>
        <w:rPr>
          <w:rFonts w:ascii="David" w:hAnsi="David" w:cs="David"/>
          <w:sz w:val="28"/>
          <w:szCs w:val="28"/>
          <w:rtl/>
        </w:rPr>
        <w:t xml:space="preserve">12.  שלישית, התובע הצהיר, כי ביום 21.9.22, ולנוכח מצבו הרפואי, </w:t>
      </w:r>
      <w:r>
        <w:rPr>
          <w:rFonts w:ascii="David" w:hAnsi="David" w:cs="David"/>
          <w:b/>
          <w:bCs/>
          <w:sz w:val="28"/>
          <w:szCs w:val="28"/>
          <w:rtl/>
        </w:rPr>
        <w:t>"קיבלתי מהרופא המטפל הוראה למנוחה בת מספר ימים לצורך התאוששות והבראה"</w:t>
      </w:r>
      <w:r>
        <w:rPr>
          <w:rFonts w:ascii="David" w:hAnsi="David" w:cs="David"/>
          <w:sz w:val="28"/>
          <w:szCs w:val="28"/>
          <w:rtl/>
        </w:rPr>
        <w:t xml:space="preserve"> (סעיף 11). התובע מפנה בתצהירו לתעודת המחלה שקיבל (נספח 3), אולם מעיון באישור הרפואי עולה כי הופק ביום 22.9.22. משכך, לא ייתכן שביום 21.9.22 קיבל התובע והציג לנתבעת תעודת מחלה. </w:t>
      </w:r>
    </w:p>
    <w:p w14:paraId="043571A9" w14:textId="77777777" w:rsidR="00000000" w:rsidRDefault="00000000">
      <w:pPr>
        <w:bidi/>
        <w:spacing w:line="360" w:lineRule="auto"/>
        <w:jc w:val="both"/>
        <w:rPr>
          <w:rtl/>
        </w:rPr>
      </w:pPr>
      <w:r>
        <w:rPr>
          <w:rFonts w:ascii="David" w:hAnsi="David" w:cs="David"/>
          <w:sz w:val="28"/>
          <w:szCs w:val="28"/>
          <w:rtl/>
        </w:rPr>
        <w:t> </w:t>
      </w:r>
    </w:p>
    <w:p w14:paraId="11561140" w14:textId="77777777" w:rsidR="00000000" w:rsidRDefault="00000000">
      <w:pPr>
        <w:bidi/>
        <w:spacing w:line="360" w:lineRule="auto"/>
        <w:ind w:left="720" w:hanging="720"/>
        <w:jc w:val="both"/>
        <w:rPr>
          <w:rtl/>
        </w:rPr>
      </w:pPr>
      <w:r>
        <w:rPr>
          <w:rFonts w:ascii="David" w:hAnsi="David" w:cs="David"/>
          <w:sz w:val="28"/>
          <w:szCs w:val="28"/>
          <w:rtl/>
        </w:rPr>
        <w:t xml:space="preserve">13.  רביעית, מסיכום ביקור במחלקה לרפואה דחופה במרכז הרפואי לגליל עולה, כי התובע פנה לבית החולים ביום 24.9.22 (ראו גם דברי ב"כ התובע בעמ' 3, ש' 31- 32). ואכן, לגרסת התובע עצמו, ביום 24.9.22 הודיע לאיית שהוא מאושפז בבית חולים בעקבות דלקת ריאות והמציא לנתבעת את אישור המחלה (סעיף 5י' לכתב התביעה; פ: 15, ש: 26; פ: 17, ש: 8- 9, 21). מכאן, שגם המסמך מבית החולים לא תומך בגרסת התובע שביום 21.9.22 יידע את איית על מצבו הרפואי. </w:t>
      </w:r>
    </w:p>
    <w:p w14:paraId="2DE08836" w14:textId="77777777" w:rsidR="00000000" w:rsidRDefault="00000000">
      <w:pPr>
        <w:bidi/>
        <w:spacing w:line="360" w:lineRule="auto"/>
        <w:jc w:val="both"/>
        <w:rPr>
          <w:rtl/>
        </w:rPr>
      </w:pPr>
      <w:r>
        <w:rPr>
          <w:rFonts w:ascii="David" w:hAnsi="David" w:cs="David"/>
          <w:sz w:val="28"/>
          <w:szCs w:val="28"/>
          <w:rtl/>
        </w:rPr>
        <w:t> </w:t>
      </w:r>
    </w:p>
    <w:p w14:paraId="19D64FCB" w14:textId="77777777" w:rsidR="00000000" w:rsidRDefault="00000000">
      <w:pPr>
        <w:bidi/>
        <w:spacing w:line="360" w:lineRule="auto"/>
        <w:ind w:left="720" w:hanging="720"/>
        <w:jc w:val="both"/>
        <w:rPr>
          <w:rtl/>
        </w:rPr>
      </w:pPr>
      <w:r>
        <w:rPr>
          <w:rFonts w:ascii="David" w:hAnsi="David" w:cs="David"/>
          <w:sz w:val="28"/>
          <w:szCs w:val="28"/>
          <w:rtl/>
        </w:rPr>
        <w:t xml:space="preserve">14.  חמישית, התובע הצהיר כי ביום 22.9.22 </w:t>
      </w:r>
      <w:r>
        <w:rPr>
          <w:rFonts w:ascii="David" w:hAnsi="David" w:cs="David"/>
          <w:b/>
          <w:bCs/>
          <w:sz w:val="28"/>
          <w:szCs w:val="28"/>
          <w:rtl/>
        </w:rPr>
        <w:t>"הייתי עדיין בחופשת מחלה מאושרת"</w:t>
      </w:r>
      <w:r>
        <w:rPr>
          <w:rFonts w:ascii="David" w:hAnsi="David" w:cs="David"/>
          <w:sz w:val="28"/>
          <w:szCs w:val="28"/>
          <w:rtl/>
        </w:rPr>
        <w:t xml:space="preserve"> (סעיף 13 לתצהיר). אולם לא הוצגה ראיה לכך שהנתבעת אישרה את חופשת המחלה של התובע.</w:t>
      </w:r>
    </w:p>
    <w:p w14:paraId="4DBFDFDC" w14:textId="77777777" w:rsidR="00000000" w:rsidRDefault="00000000">
      <w:pPr>
        <w:bidi/>
        <w:spacing w:line="360" w:lineRule="auto"/>
        <w:jc w:val="both"/>
        <w:rPr>
          <w:rtl/>
        </w:rPr>
      </w:pPr>
      <w:r>
        <w:rPr>
          <w:rFonts w:ascii="David" w:hAnsi="David" w:cs="David"/>
          <w:sz w:val="28"/>
          <w:szCs w:val="28"/>
          <w:rtl/>
        </w:rPr>
        <w:t> </w:t>
      </w:r>
    </w:p>
    <w:p w14:paraId="54FBCED7" w14:textId="77777777" w:rsidR="00000000" w:rsidRDefault="00000000">
      <w:pPr>
        <w:bidi/>
        <w:spacing w:line="360" w:lineRule="auto"/>
        <w:ind w:left="720" w:hanging="720"/>
        <w:jc w:val="both"/>
        <w:rPr>
          <w:rtl/>
        </w:rPr>
      </w:pPr>
      <w:r>
        <w:rPr>
          <w:rFonts w:ascii="David" w:hAnsi="David" w:cs="David"/>
          <w:sz w:val="28"/>
          <w:szCs w:val="28"/>
          <w:rtl/>
        </w:rPr>
        <w:t xml:space="preserve">15.  לסיכום, לא הוכח תוכן השיחה בין התובע ואיית ביום 21.9.22. התובע לא הציג ראיה לכך שביום 21.9.22 הודיע לאיית שהוא חולה. הוכח שאיית פיטר את התובע ביום 22.9.22, ואישור המחלה הומצא לנתבעת לראשונה ביום 24.9.22. בנסיבות אלה, אנו קובעים כי לא הוכחה טענת התובע שהפיטורים ביום 22.9.22 נעשו במהלך חופשת מחלה בניגוד לחוק דמי מחלה, התשל"ו-1976. </w:t>
      </w:r>
    </w:p>
    <w:p w14:paraId="5B3AF8BA" w14:textId="77777777" w:rsidR="00000000" w:rsidRDefault="00000000">
      <w:pPr>
        <w:bidi/>
        <w:spacing w:line="360" w:lineRule="auto"/>
        <w:jc w:val="both"/>
        <w:rPr>
          <w:rtl/>
        </w:rPr>
      </w:pPr>
      <w:r>
        <w:rPr>
          <w:rFonts w:ascii="David" w:hAnsi="David" w:cs="David"/>
          <w:sz w:val="28"/>
          <w:szCs w:val="28"/>
          <w:rtl/>
        </w:rPr>
        <w:t> </w:t>
      </w:r>
    </w:p>
    <w:p w14:paraId="0064E39F" w14:textId="77777777" w:rsidR="00000000" w:rsidRDefault="00000000">
      <w:pPr>
        <w:bidi/>
        <w:spacing w:line="360" w:lineRule="auto"/>
        <w:ind w:left="720" w:hanging="720"/>
        <w:jc w:val="both"/>
        <w:rPr>
          <w:rtl/>
        </w:rPr>
      </w:pPr>
      <w:r>
        <w:rPr>
          <w:rFonts w:ascii="David" w:hAnsi="David" w:cs="David"/>
          <w:sz w:val="28"/>
          <w:szCs w:val="28"/>
          <w:rtl/>
        </w:rPr>
        <w:t xml:space="preserve">16.  </w:t>
      </w:r>
      <w:r>
        <w:rPr>
          <w:rFonts w:ascii="David" w:hAnsi="David" w:cs="David"/>
          <w:sz w:val="28"/>
          <w:szCs w:val="28"/>
          <w:u w:val="single"/>
          <w:rtl/>
        </w:rPr>
        <w:t>זכאות התובע לפיצויי פיטורים</w:t>
      </w:r>
      <w:r>
        <w:rPr>
          <w:rFonts w:ascii="David" w:hAnsi="David" w:cs="David"/>
          <w:sz w:val="28"/>
          <w:szCs w:val="28"/>
          <w:rtl/>
        </w:rPr>
        <w:t>: בכתב התביעה נתבעו פיצויי פיטורים בסכום של 6,203 ש"ח (סעיף 10 לכתב התביעה). אולם מאחר שהתובע לא השלים שנת עבודה, בדיון המוקדם ויתר התובע על ראש תביעה זה. לתצהירו צירף התובע תחשיב הסכום שהיה על הנתבעת להפקיד בקרן הפנסיה במרכיב פיצויים. אולם, סעד זה לא נתבע בכתב התביעה, ולו כסעד חלופי, ולא ניתן לפסוק לתובע סעד שלא נתבע בכתב התביעה.</w:t>
      </w:r>
    </w:p>
    <w:p w14:paraId="397CFB64" w14:textId="77777777" w:rsidR="00000000" w:rsidRDefault="00000000">
      <w:pPr>
        <w:bidi/>
        <w:spacing w:line="360" w:lineRule="auto"/>
        <w:jc w:val="both"/>
        <w:rPr>
          <w:rtl/>
        </w:rPr>
      </w:pPr>
      <w:r>
        <w:rPr>
          <w:rFonts w:ascii="David" w:hAnsi="David" w:cs="David"/>
          <w:sz w:val="28"/>
          <w:szCs w:val="28"/>
          <w:rtl/>
        </w:rPr>
        <w:t> </w:t>
      </w:r>
    </w:p>
    <w:p w14:paraId="0AC500C0" w14:textId="77777777" w:rsidR="00000000" w:rsidRDefault="00000000">
      <w:pPr>
        <w:bidi/>
        <w:spacing w:line="360" w:lineRule="auto"/>
        <w:ind w:left="720" w:hanging="720"/>
        <w:jc w:val="both"/>
        <w:rPr>
          <w:rtl/>
        </w:rPr>
      </w:pPr>
      <w:r>
        <w:rPr>
          <w:rFonts w:ascii="David" w:hAnsi="David" w:cs="David"/>
          <w:sz w:val="28"/>
          <w:szCs w:val="28"/>
          <w:rtl/>
        </w:rPr>
        <w:t xml:space="preserve">17.  </w:t>
      </w:r>
      <w:r>
        <w:rPr>
          <w:rFonts w:ascii="David" w:hAnsi="David" w:cs="David"/>
          <w:sz w:val="28"/>
          <w:szCs w:val="28"/>
          <w:u w:val="single"/>
          <w:rtl/>
        </w:rPr>
        <w:t>חלף הודעה מוקדמת לפיטורים</w:t>
      </w:r>
      <w:r>
        <w:rPr>
          <w:rFonts w:ascii="David" w:hAnsi="David" w:cs="David"/>
          <w:sz w:val="28"/>
          <w:szCs w:val="28"/>
          <w:rtl/>
        </w:rPr>
        <w:t xml:space="preserve">: משהוכח שהתובע פוטר מעבודתו לאלתר, הוא זכאי לחלף הודעה מוקדמת. התובע הועסק בנתבעת 7 חודשים והוא זכאי לחלף הודעה מוקדמת בת 7 ימים (סעיף 4(1) לחוק הודעה מוקדמת לפיטורים ולהתפטרות, התשס"א-2001). </w:t>
      </w:r>
    </w:p>
    <w:p w14:paraId="42BA8A4F" w14:textId="77777777" w:rsidR="00000000" w:rsidRDefault="00000000">
      <w:pPr>
        <w:bidi/>
        <w:spacing w:line="360" w:lineRule="auto"/>
        <w:jc w:val="both"/>
        <w:rPr>
          <w:rtl/>
        </w:rPr>
      </w:pPr>
      <w:r>
        <w:rPr>
          <w:rFonts w:ascii="David" w:hAnsi="David" w:cs="David"/>
          <w:sz w:val="28"/>
          <w:szCs w:val="28"/>
          <w:rtl/>
        </w:rPr>
        <w:t> </w:t>
      </w:r>
    </w:p>
    <w:p w14:paraId="0958DA42" w14:textId="77777777" w:rsidR="00000000" w:rsidRDefault="00000000">
      <w:pPr>
        <w:bidi/>
        <w:spacing w:line="360" w:lineRule="auto"/>
        <w:ind w:left="720" w:hanging="720"/>
        <w:jc w:val="both"/>
        <w:rPr>
          <w:rtl/>
        </w:rPr>
      </w:pPr>
      <w:r>
        <w:rPr>
          <w:rFonts w:ascii="David" w:hAnsi="David" w:cs="David"/>
          <w:sz w:val="28"/>
          <w:szCs w:val="28"/>
          <w:rtl/>
        </w:rPr>
        <w:t>18.  השכר הקובע של התובע הינו 7,953 ש"ח (43.7 ש"ח * 182 שעות). עבור 7 ימי הודעה מוקדמת זכאי התובע לפיצוי בסך 1,856 ש"ח (7,953/30 * 7). לסכום זה תתווסף ריבית שקלית מיום 20.9.22, מועד סיום העבודה.</w:t>
      </w:r>
    </w:p>
    <w:p w14:paraId="30B9DC7C" w14:textId="77777777" w:rsidR="00000000" w:rsidRDefault="00000000">
      <w:pPr>
        <w:bidi/>
        <w:spacing w:line="360" w:lineRule="auto"/>
        <w:jc w:val="both"/>
        <w:rPr>
          <w:rtl/>
        </w:rPr>
      </w:pPr>
      <w:r>
        <w:rPr>
          <w:rFonts w:ascii="David" w:hAnsi="David" w:cs="David"/>
          <w:sz w:val="28"/>
          <w:szCs w:val="28"/>
          <w:rtl/>
        </w:rPr>
        <w:t> </w:t>
      </w:r>
    </w:p>
    <w:p w14:paraId="654C57F6" w14:textId="77777777" w:rsidR="00000000" w:rsidRDefault="00000000">
      <w:pPr>
        <w:bidi/>
        <w:spacing w:line="360" w:lineRule="auto"/>
        <w:jc w:val="both"/>
        <w:rPr>
          <w:rtl/>
        </w:rPr>
      </w:pPr>
      <w:r>
        <w:rPr>
          <w:rFonts w:ascii="David" w:hAnsi="David" w:cs="David"/>
          <w:b/>
          <w:bCs/>
          <w:sz w:val="28"/>
          <w:szCs w:val="28"/>
          <w:u w:val="single"/>
          <w:rtl/>
        </w:rPr>
        <w:t>הודעה לעובד</w:t>
      </w:r>
    </w:p>
    <w:p w14:paraId="3CD76D2E" w14:textId="77777777" w:rsidR="00000000" w:rsidRDefault="00000000">
      <w:pPr>
        <w:bidi/>
        <w:spacing w:line="360" w:lineRule="auto"/>
        <w:ind w:left="720" w:hanging="720"/>
        <w:jc w:val="both"/>
        <w:rPr>
          <w:rtl/>
        </w:rPr>
      </w:pPr>
      <w:r>
        <w:rPr>
          <w:rFonts w:ascii="David" w:hAnsi="David" w:cs="David"/>
          <w:sz w:val="28"/>
          <w:szCs w:val="28"/>
          <w:rtl/>
        </w:rPr>
        <w:t xml:space="preserve">19.  לגרסת התובע, לא נחתם עמו הסכם עבודה ותנאי עבודתו סוכמו בעל פה (סעיף 7 לתצהיר). לגרסת הנתבעת, מסרה לתובע טופס הודעה לעובד, שהתובע סירב לחתום עליו (סעיף 16 בעמ' 5 לכתב ההגנה). </w:t>
      </w:r>
    </w:p>
    <w:p w14:paraId="2F845E5F" w14:textId="77777777" w:rsidR="00000000" w:rsidRDefault="00000000">
      <w:pPr>
        <w:bidi/>
        <w:spacing w:line="360" w:lineRule="auto"/>
        <w:jc w:val="both"/>
        <w:rPr>
          <w:rtl/>
        </w:rPr>
      </w:pPr>
      <w:r>
        <w:rPr>
          <w:rFonts w:ascii="David" w:hAnsi="David" w:cs="David"/>
          <w:color w:val="FF0000"/>
          <w:sz w:val="28"/>
          <w:szCs w:val="28"/>
          <w:rtl/>
        </w:rPr>
        <w:t> </w:t>
      </w:r>
    </w:p>
    <w:p w14:paraId="04252221" w14:textId="77777777" w:rsidR="00000000" w:rsidRDefault="00000000">
      <w:pPr>
        <w:bidi/>
        <w:spacing w:line="360" w:lineRule="auto"/>
        <w:ind w:left="720" w:hanging="720"/>
        <w:jc w:val="both"/>
        <w:rPr>
          <w:rtl/>
        </w:rPr>
      </w:pPr>
      <w:r>
        <w:rPr>
          <w:rFonts w:ascii="David" w:hAnsi="David" w:cs="David"/>
          <w:sz w:val="28"/>
          <w:szCs w:val="28"/>
          <w:rtl/>
        </w:rPr>
        <w:t xml:space="preserve">20.  מחומר הראיות עולה, כי עם קבלתו לעבודה, קיבל התובע "טופס קבלה לעבודה ודף יושר" (נספח א לתצהיר איית) (להלן: </w:t>
      </w:r>
      <w:r>
        <w:rPr>
          <w:rFonts w:ascii="David" w:hAnsi="David" w:cs="David"/>
          <w:b/>
          <w:bCs/>
          <w:sz w:val="28"/>
          <w:szCs w:val="28"/>
          <w:rtl/>
        </w:rPr>
        <w:t>טופס קבלה לעבודה</w:t>
      </w:r>
      <w:r>
        <w:rPr>
          <w:rFonts w:ascii="David" w:hAnsi="David" w:cs="David"/>
          <w:sz w:val="28"/>
          <w:szCs w:val="28"/>
          <w:rtl/>
        </w:rPr>
        <w:t xml:space="preserve">). איית העיד, כי </w:t>
      </w:r>
      <w:r>
        <w:rPr>
          <w:rFonts w:ascii="David" w:hAnsi="David" w:cs="David"/>
          <w:b/>
          <w:bCs/>
          <w:sz w:val="28"/>
          <w:szCs w:val="28"/>
          <w:rtl/>
        </w:rPr>
        <w:t>"טופס הקבלה זה הנוהל שלנו להסכם עבודה"</w:t>
      </w:r>
      <w:r>
        <w:rPr>
          <w:rFonts w:ascii="David" w:hAnsi="David" w:cs="David"/>
          <w:sz w:val="28"/>
          <w:szCs w:val="28"/>
          <w:rtl/>
        </w:rPr>
        <w:t xml:space="preserve"> (פ: 19, ש: 34). בטופס הקבלה לעבודה רשומים הפרטים הבאים: שמו המלא של התובע, מספר תעודת זהות, כתובת, תאריך לידה, מספר טלפון ומצב משפחתי. כמו כן צוין כי התובע מחזיק ברישיון נהיגה בתוקף, בתעודת יושר מהמשטרה, בתעודה/ רישיון מקצוע. נרשם שלתובע יש ניסיון בעבודה. טופס הקבלה לעבודה לא נושא תאריך והמקום המיועד לחתימת העובד נותר ריק.</w:t>
      </w:r>
    </w:p>
    <w:p w14:paraId="1F9B07A2" w14:textId="77777777" w:rsidR="00000000" w:rsidRDefault="00000000">
      <w:pPr>
        <w:bidi/>
        <w:spacing w:line="360" w:lineRule="auto"/>
        <w:jc w:val="both"/>
        <w:rPr>
          <w:rtl/>
        </w:rPr>
      </w:pPr>
      <w:r>
        <w:rPr>
          <w:rFonts w:ascii="David" w:hAnsi="David" w:cs="David"/>
          <w:sz w:val="28"/>
          <w:szCs w:val="28"/>
          <w:rtl/>
        </w:rPr>
        <w:t> </w:t>
      </w:r>
    </w:p>
    <w:p w14:paraId="19809BCF" w14:textId="77777777" w:rsidR="00000000" w:rsidRDefault="00000000">
      <w:pPr>
        <w:bidi/>
        <w:spacing w:line="360" w:lineRule="auto"/>
        <w:ind w:left="720" w:hanging="720"/>
        <w:jc w:val="both"/>
        <w:rPr>
          <w:rtl/>
        </w:rPr>
      </w:pPr>
      <w:r>
        <w:rPr>
          <w:rFonts w:ascii="David" w:hAnsi="David" w:cs="David"/>
          <w:sz w:val="28"/>
          <w:szCs w:val="28"/>
          <w:rtl/>
        </w:rPr>
        <w:t xml:space="preserve">21.  לאחר שבחנו את טופס הקבלה לעבודה ושקלנו את טענות הצדדים, באנו לכלל מסקנה כי הטופס אינו ממלא אחר דרישות חוק הודעה לעובד ולמועמד לעבודה (תנאי עבודה והליכי מיון וקבלה לעבודה), תשס"ב-2002 (להלן: </w:t>
      </w:r>
      <w:r>
        <w:rPr>
          <w:rFonts w:ascii="David" w:hAnsi="David" w:cs="David"/>
          <w:b/>
          <w:bCs/>
          <w:sz w:val="28"/>
          <w:szCs w:val="28"/>
          <w:rtl/>
        </w:rPr>
        <w:t>החוק</w:t>
      </w:r>
      <w:r>
        <w:rPr>
          <w:rFonts w:ascii="David" w:hAnsi="David" w:cs="David"/>
          <w:sz w:val="28"/>
          <w:szCs w:val="28"/>
          <w:rtl/>
        </w:rPr>
        <w:t xml:space="preserve">). טופס הקבלה לעבודה אינו כולל את כל הפרטים שחובה לכלול בהודעה בדבר תנאי העסקה (ראו הפרטים המנויים בסעיף 2 לחוק). כפי שאישר איית בעדותו, בטופס הקבלה לעבודה לא צוין התעריף השעתי המוסכם (פ: 19, ש: 30, 32). גם לא צוינו תאריך תחילת עבודה, תיאור עיקרי תפקידו של התובע, שמו של הממונה הישיר, אורך יום העבודה ושבוע העבודה ויום המנוחה השבועי. </w:t>
      </w:r>
    </w:p>
    <w:p w14:paraId="75E61263" w14:textId="77777777" w:rsidR="00000000" w:rsidRDefault="00000000">
      <w:pPr>
        <w:bidi/>
        <w:spacing w:line="360" w:lineRule="auto"/>
        <w:jc w:val="both"/>
        <w:rPr>
          <w:rtl/>
        </w:rPr>
      </w:pPr>
      <w:r>
        <w:rPr>
          <w:rFonts w:ascii="David" w:hAnsi="David" w:cs="David"/>
          <w:sz w:val="28"/>
          <w:szCs w:val="28"/>
          <w:rtl/>
        </w:rPr>
        <w:t> </w:t>
      </w:r>
    </w:p>
    <w:p w14:paraId="165C5707" w14:textId="77777777" w:rsidR="00000000" w:rsidRDefault="00000000">
      <w:pPr>
        <w:bidi/>
        <w:spacing w:line="360" w:lineRule="auto"/>
        <w:ind w:left="720" w:hanging="720"/>
        <w:jc w:val="both"/>
        <w:rPr>
          <w:rtl/>
        </w:rPr>
      </w:pPr>
      <w:r>
        <w:rPr>
          <w:rFonts w:ascii="David" w:hAnsi="David" w:cs="David"/>
          <w:sz w:val="28"/>
          <w:szCs w:val="28"/>
          <w:rtl/>
        </w:rPr>
        <w:t>22.  בנסיבות העניין, לאחר ששקלנו את מכלול הנסיבות, אנו פוסקים לזכות התובע פיצוי בסך 4,000 ש"ח בגין אי מתן הודעה לעובד. בקביעת סכום זה הבאנו בין מכלול השיקולים את העובדה שלא הייתה מחלוקת בין הצדדים על השכר השעתי המוסכם, שעות העבודה ואורך שבוע העבודה. שכרו של התובע שולם לו בהתאם לתלושי השכר שהפיקה הנתבעת. אולם, הצדדים היו חלוקים ביניהם בנוגע לתשלום דמי נסיעות, בנוגע לזכאות התובע לביטוח פנסיוני מיום עבודתו הראשון, וכן בנוגע לזמני ההפסקות. מכאן, שלו הייתה הנתבעת עומדת בחובתה כמעסיקה למסור לתובע הודעה לעובד, יכול והיו מתייתרות חלק מהמחלוקות שדרשו הכרעה בהליך זה.</w:t>
      </w:r>
    </w:p>
    <w:p w14:paraId="6F837325" w14:textId="77777777" w:rsidR="00000000" w:rsidRDefault="00000000">
      <w:pPr>
        <w:bidi/>
        <w:spacing w:line="360" w:lineRule="auto"/>
        <w:jc w:val="both"/>
        <w:rPr>
          <w:rtl/>
        </w:rPr>
      </w:pPr>
      <w:r>
        <w:rPr>
          <w:rFonts w:ascii="David" w:hAnsi="David" w:cs="David"/>
          <w:sz w:val="28"/>
          <w:szCs w:val="28"/>
          <w:rtl/>
        </w:rPr>
        <w:t> </w:t>
      </w:r>
    </w:p>
    <w:p w14:paraId="20E536D9" w14:textId="77777777" w:rsidR="00000000" w:rsidRDefault="00000000">
      <w:pPr>
        <w:bidi/>
        <w:spacing w:line="360" w:lineRule="auto"/>
        <w:jc w:val="both"/>
        <w:rPr>
          <w:rtl/>
        </w:rPr>
      </w:pPr>
      <w:r>
        <w:rPr>
          <w:rFonts w:ascii="David" w:hAnsi="David" w:cs="David"/>
          <w:b/>
          <w:bCs/>
          <w:sz w:val="28"/>
          <w:szCs w:val="28"/>
          <w:u w:val="single"/>
          <w:rtl/>
        </w:rPr>
        <w:t>תגמולי מעסיק לקרן פנסיה</w:t>
      </w:r>
    </w:p>
    <w:p w14:paraId="1475E599" w14:textId="77777777" w:rsidR="00000000" w:rsidRDefault="00000000">
      <w:pPr>
        <w:bidi/>
        <w:spacing w:line="360" w:lineRule="auto"/>
        <w:ind w:left="720" w:hanging="720"/>
        <w:jc w:val="both"/>
        <w:rPr>
          <w:rtl/>
        </w:rPr>
      </w:pPr>
      <w:r>
        <w:rPr>
          <w:rFonts w:ascii="David" w:hAnsi="David" w:cs="David"/>
          <w:sz w:val="28"/>
          <w:szCs w:val="28"/>
          <w:rtl/>
        </w:rPr>
        <w:t>23.  לגרסת התובע, התקבל לעבודה בנתבעת עם קרן פנסיה פעילה, אולם הנתבעת הפרה את חובתה ונמנעה מלערוך לו הסדר ביטוח פנסיוני. לגרסת הנתבעת, ביקשה מהתובע פעמים רבות לפנות למשרד סוכן הביטוח לצורך טיפול במסמכי ההצטרפות לקרן פנסיה, אולם התובע לא שיתף פעולה והתחמק מלהגיע לסוכן הביטוח. עוד טענה הנתבעת, כי ביום 19.9.22 נחתם טופס בקשה לפתיחת קרן פנסיה על שם התובע (סעיפים 12 ו- 13 בעמ' 3 לכתב ההגנה).</w:t>
      </w:r>
    </w:p>
    <w:p w14:paraId="09F5CBFE" w14:textId="77777777" w:rsidR="00000000" w:rsidRDefault="00000000">
      <w:pPr>
        <w:bidi/>
        <w:spacing w:line="360" w:lineRule="auto"/>
        <w:jc w:val="both"/>
        <w:rPr>
          <w:rtl/>
        </w:rPr>
      </w:pPr>
      <w:r>
        <w:rPr>
          <w:rFonts w:ascii="David" w:hAnsi="David" w:cs="David"/>
          <w:sz w:val="28"/>
          <w:szCs w:val="28"/>
          <w:rtl/>
        </w:rPr>
        <w:t> </w:t>
      </w:r>
    </w:p>
    <w:p w14:paraId="359F8599" w14:textId="77777777" w:rsidR="00000000" w:rsidRDefault="00000000">
      <w:pPr>
        <w:bidi/>
        <w:spacing w:line="360" w:lineRule="auto"/>
        <w:ind w:left="720" w:hanging="720"/>
        <w:jc w:val="both"/>
        <w:rPr>
          <w:rtl/>
        </w:rPr>
      </w:pPr>
      <w:r>
        <w:rPr>
          <w:rFonts w:ascii="David" w:hAnsi="David" w:cs="David"/>
          <w:sz w:val="28"/>
          <w:szCs w:val="28"/>
          <w:rtl/>
        </w:rPr>
        <w:t xml:space="preserve">24.  מעיון בתלושי השכר עולה, כי הנתבעת לא ערכה לתובע הסדר ביטוח פנסיוני ובמהלך תקופת העבודה לא הפקידה עבורו לקרן פנסיה. בתצהירו ציין איית, כי התובע לא הודיע לנתבעת על קיומה של קרן פנסיה פעילה טרם תחילת עבודתו (סעיף 59 לתצהיר). יש לדחות טענה זו, שכן חובתה של הנתבעת כמעסיקה לברר קיומה של קרן פנסיה קודמת, ולעשות זאת בין היתר באמצעות מילוי טופס הודעה לעובד. </w:t>
      </w:r>
      <w:proofErr w:type="spellStart"/>
      <w:r>
        <w:rPr>
          <w:rFonts w:ascii="David" w:hAnsi="David" w:cs="David"/>
          <w:sz w:val="28"/>
          <w:szCs w:val="28"/>
          <w:rtl/>
        </w:rPr>
        <w:t>משלא</w:t>
      </w:r>
      <w:proofErr w:type="spellEnd"/>
      <w:r>
        <w:rPr>
          <w:rFonts w:ascii="David" w:hAnsi="David" w:cs="David"/>
          <w:sz w:val="28"/>
          <w:szCs w:val="28"/>
          <w:rtl/>
        </w:rPr>
        <w:t xml:space="preserve"> נמסרה לתובע הודעה לעובד, אין לנתבעת להלין אלא על עצמה. </w:t>
      </w:r>
    </w:p>
    <w:p w14:paraId="43D50C82" w14:textId="77777777" w:rsidR="00000000" w:rsidRDefault="00000000">
      <w:pPr>
        <w:bidi/>
        <w:spacing w:line="360" w:lineRule="auto"/>
        <w:jc w:val="both"/>
        <w:rPr>
          <w:rtl/>
        </w:rPr>
      </w:pPr>
      <w:r>
        <w:rPr>
          <w:rFonts w:ascii="David" w:hAnsi="David" w:cs="David"/>
          <w:sz w:val="28"/>
          <w:szCs w:val="28"/>
          <w:rtl/>
        </w:rPr>
        <w:t> </w:t>
      </w:r>
    </w:p>
    <w:p w14:paraId="5F4DAD78" w14:textId="77777777" w:rsidR="00000000" w:rsidRDefault="00000000">
      <w:pPr>
        <w:bidi/>
        <w:spacing w:line="360" w:lineRule="auto"/>
        <w:ind w:left="720" w:hanging="720"/>
        <w:jc w:val="both"/>
        <w:rPr>
          <w:rtl/>
        </w:rPr>
      </w:pPr>
      <w:r>
        <w:rPr>
          <w:rFonts w:ascii="David" w:hAnsi="David" w:cs="David"/>
          <w:sz w:val="28"/>
          <w:szCs w:val="28"/>
          <w:rtl/>
        </w:rPr>
        <w:t xml:space="preserve">25.  לאמור נוסיף, כי בחקירתו הנגדית העיד התובע, כי בראיון העבודה מסר לאיית פרטים על קרן הפנסיה בהראל, ואף </w:t>
      </w:r>
      <w:r>
        <w:rPr>
          <w:rFonts w:ascii="David" w:hAnsi="David" w:cs="David"/>
          <w:b/>
          <w:bCs/>
          <w:sz w:val="28"/>
          <w:szCs w:val="28"/>
          <w:rtl/>
        </w:rPr>
        <w:t xml:space="preserve">"נתתי לו תזכורת כמה פעמים, ואחרי חודש כשהתחלתי לעבוד כל בוקר הזכרתי לו ובמהלך היום שצריך לעשות לי קרן פנסיה. הוא אמר לי 'מחר </w:t>
      </w:r>
      <w:proofErr w:type="spellStart"/>
      <w:r>
        <w:rPr>
          <w:rFonts w:ascii="David" w:hAnsi="David" w:cs="David"/>
          <w:b/>
          <w:bCs/>
          <w:sz w:val="28"/>
          <w:szCs w:val="28"/>
          <w:rtl/>
        </w:rPr>
        <w:t>מחרתיים</w:t>
      </w:r>
      <w:proofErr w:type="spellEnd"/>
      <w:r>
        <w:rPr>
          <w:rFonts w:ascii="David" w:hAnsi="David" w:cs="David"/>
          <w:b/>
          <w:bCs/>
          <w:sz w:val="28"/>
          <w:szCs w:val="28"/>
          <w:rtl/>
        </w:rPr>
        <w:t>' או מועד מסוים כל פעם ולא עומד במועד הזה"</w:t>
      </w:r>
      <w:r>
        <w:rPr>
          <w:rFonts w:ascii="David" w:hAnsi="David" w:cs="David"/>
          <w:sz w:val="28"/>
          <w:szCs w:val="28"/>
          <w:rtl/>
        </w:rPr>
        <w:t xml:space="preserve"> (פ: 14, ש: 3- 6). גרסה זו לא נסתרה.</w:t>
      </w:r>
    </w:p>
    <w:p w14:paraId="4204B10E" w14:textId="77777777" w:rsidR="00000000" w:rsidRDefault="00000000">
      <w:pPr>
        <w:bidi/>
        <w:spacing w:line="360" w:lineRule="auto"/>
        <w:jc w:val="both"/>
        <w:rPr>
          <w:rtl/>
        </w:rPr>
      </w:pPr>
      <w:r>
        <w:rPr>
          <w:rFonts w:ascii="David" w:hAnsi="David" w:cs="David"/>
          <w:sz w:val="28"/>
          <w:szCs w:val="28"/>
          <w:rtl/>
        </w:rPr>
        <w:t> </w:t>
      </w:r>
    </w:p>
    <w:p w14:paraId="49094578" w14:textId="77777777" w:rsidR="00000000" w:rsidRDefault="00000000">
      <w:pPr>
        <w:bidi/>
        <w:spacing w:line="360" w:lineRule="auto"/>
        <w:ind w:left="720" w:hanging="720"/>
        <w:jc w:val="both"/>
        <w:rPr>
          <w:rtl/>
        </w:rPr>
      </w:pPr>
      <w:r>
        <w:rPr>
          <w:rFonts w:ascii="David" w:hAnsi="David" w:cs="David"/>
          <w:sz w:val="28"/>
          <w:szCs w:val="28"/>
          <w:rtl/>
        </w:rPr>
        <w:t xml:space="preserve">26.  באשר לטענת הנתבעת, כי </w:t>
      </w:r>
      <w:r>
        <w:rPr>
          <w:rFonts w:ascii="David" w:hAnsi="David" w:cs="David"/>
          <w:b/>
          <w:bCs/>
          <w:sz w:val="28"/>
          <w:szCs w:val="28"/>
          <w:rtl/>
        </w:rPr>
        <w:t>"ניסתה לברר מול התובע אודות קופה פעילה, ואולם ללא כל מענה מטעם התובע"</w:t>
      </w:r>
      <w:r>
        <w:rPr>
          <w:rFonts w:ascii="David" w:hAnsi="David" w:cs="David"/>
          <w:sz w:val="28"/>
          <w:szCs w:val="28"/>
          <w:rtl/>
        </w:rPr>
        <w:t xml:space="preserve"> (סעיף 59 לתצהירו של איית) - זו טענה עובדתית שנטענה בעלמא, ולא הוכחה. ב"כ הנתבעת ציינה בדיון המוקדם ביום 27.3.24, כי </w:t>
      </w:r>
      <w:r>
        <w:rPr>
          <w:rFonts w:ascii="David" w:hAnsi="David" w:cs="David"/>
          <w:b/>
          <w:bCs/>
          <w:sz w:val="28"/>
          <w:szCs w:val="28"/>
          <w:rtl/>
        </w:rPr>
        <w:t xml:space="preserve">"יש בין הצדדים שיחות מוקלטות והתכתבויות </w:t>
      </w:r>
      <w:proofErr w:type="spellStart"/>
      <w:r>
        <w:rPr>
          <w:rFonts w:ascii="David" w:hAnsi="David" w:cs="David"/>
          <w:b/>
          <w:bCs/>
          <w:sz w:val="28"/>
          <w:szCs w:val="28"/>
          <w:rtl/>
        </w:rPr>
        <w:t>וטסאפ</w:t>
      </w:r>
      <w:proofErr w:type="spellEnd"/>
      <w:r>
        <w:rPr>
          <w:rFonts w:ascii="David" w:hAnsi="David" w:cs="David"/>
          <w:b/>
          <w:bCs/>
          <w:sz w:val="28"/>
          <w:szCs w:val="28"/>
          <w:rtl/>
        </w:rPr>
        <w:t xml:space="preserve"> עם הפניה לסוכן הביטוח"</w:t>
      </w:r>
      <w:r>
        <w:rPr>
          <w:rFonts w:ascii="David" w:hAnsi="David" w:cs="David"/>
          <w:sz w:val="28"/>
          <w:szCs w:val="28"/>
          <w:rtl/>
        </w:rPr>
        <w:t xml:space="preserve"> (עמ' 3, ש' 20- 21), אולם הראיה הבודדת שהציגה הנתבעת היא הודעת </w:t>
      </w:r>
      <w:proofErr w:type="spellStart"/>
      <w:r>
        <w:rPr>
          <w:rFonts w:ascii="David" w:hAnsi="David" w:cs="David"/>
          <w:sz w:val="28"/>
          <w:szCs w:val="28"/>
          <w:rtl/>
        </w:rPr>
        <w:t>וטסאפ</w:t>
      </w:r>
      <w:proofErr w:type="spellEnd"/>
      <w:r>
        <w:rPr>
          <w:rFonts w:ascii="David" w:hAnsi="David" w:cs="David"/>
          <w:sz w:val="28"/>
          <w:szCs w:val="28"/>
          <w:rtl/>
        </w:rPr>
        <w:t xml:space="preserve"> מיום 19.9.22 (נספח ט לכתב ההגנה). התובע אישר בעדותו, כי ביום 19.9.22 איית שלח לו הודעת </w:t>
      </w:r>
      <w:proofErr w:type="spellStart"/>
      <w:r>
        <w:rPr>
          <w:rFonts w:ascii="David" w:hAnsi="David" w:cs="David"/>
          <w:sz w:val="28"/>
          <w:szCs w:val="28"/>
          <w:rtl/>
        </w:rPr>
        <w:t>וטסאפ</w:t>
      </w:r>
      <w:proofErr w:type="spellEnd"/>
      <w:r>
        <w:rPr>
          <w:rFonts w:ascii="David" w:hAnsi="David" w:cs="David"/>
          <w:sz w:val="28"/>
          <w:szCs w:val="28"/>
          <w:rtl/>
        </w:rPr>
        <w:t xml:space="preserve"> עם מיקום משרדו של סוכן הביטוח (פ: 14, ש: 3- 16; פ: 19, ש: 1- 2).</w:t>
      </w:r>
    </w:p>
    <w:p w14:paraId="03BAEF34" w14:textId="77777777" w:rsidR="00000000" w:rsidRDefault="00000000">
      <w:pPr>
        <w:bidi/>
        <w:spacing w:line="360" w:lineRule="auto"/>
        <w:jc w:val="both"/>
        <w:rPr>
          <w:rtl/>
        </w:rPr>
      </w:pPr>
      <w:r>
        <w:rPr>
          <w:rFonts w:ascii="David" w:hAnsi="David" w:cs="David"/>
          <w:sz w:val="28"/>
          <w:szCs w:val="28"/>
          <w:rtl/>
        </w:rPr>
        <w:t> </w:t>
      </w:r>
    </w:p>
    <w:p w14:paraId="357752DE" w14:textId="77777777" w:rsidR="00000000" w:rsidRDefault="00000000">
      <w:pPr>
        <w:bidi/>
        <w:spacing w:line="360" w:lineRule="auto"/>
        <w:ind w:left="720" w:hanging="720"/>
        <w:jc w:val="both"/>
        <w:rPr>
          <w:rtl/>
        </w:rPr>
      </w:pPr>
      <w:r>
        <w:rPr>
          <w:rFonts w:ascii="David" w:hAnsi="David" w:cs="David"/>
          <w:sz w:val="28"/>
          <w:szCs w:val="28"/>
          <w:rtl/>
        </w:rPr>
        <w:t xml:space="preserve">27.  מן האמור עולה, כי לא הוצגה כל פנייה של הנתבעת אל התובע בנוגע לעריכת הסדר פנסיוני עבורו לפני יום 19.9.22. במועד זה הועסק התובע בנתבעת למעלה משישה חודשים, מה גם שיום עבודתו האחרון של התובע היה למחרת, ביום 20.9.22. </w:t>
      </w:r>
    </w:p>
    <w:p w14:paraId="3DB2D23C" w14:textId="77777777" w:rsidR="00000000" w:rsidRDefault="00000000">
      <w:pPr>
        <w:bidi/>
        <w:spacing w:line="360" w:lineRule="auto"/>
        <w:jc w:val="both"/>
        <w:rPr>
          <w:rtl/>
        </w:rPr>
      </w:pPr>
      <w:r>
        <w:rPr>
          <w:rFonts w:ascii="David" w:hAnsi="David" w:cs="David"/>
          <w:sz w:val="28"/>
          <w:szCs w:val="28"/>
          <w:rtl/>
        </w:rPr>
        <w:t> </w:t>
      </w:r>
    </w:p>
    <w:p w14:paraId="10381B7F" w14:textId="77777777" w:rsidR="00000000" w:rsidRDefault="00000000">
      <w:pPr>
        <w:bidi/>
        <w:spacing w:line="360" w:lineRule="auto"/>
        <w:ind w:left="720" w:hanging="720"/>
        <w:jc w:val="both"/>
        <w:rPr>
          <w:rtl/>
        </w:rPr>
      </w:pPr>
      <w:r>
        <w:rPr>
          <w:rFonts w:ascii="David" w:hAnsi="David" w:cs="David"/>
          <w:sz w:val="28"/>
          <w:szCs w:val="28"/>
          <w:rtl/>
        </w:rPr>
        <w:t xml:space="preserve">28.  לתצהירו צירף התובע ראיה המוכיחה שהייתה לו קופה פעילה במועד שנקלט לעבודה בנתבעת. דו"ח עמית בקרן הפנסיה הראל (נספח 6 לתצהיר) מלמד, כי המעסיקה הקודמת ביטחה את התובע בקרן הפנסיה עד לחודש שכר 1/22. מכאן, שבחודש 3/22, עת התקבל לעבודה בנתבעת, הייתה לתובע קופה פעילה, ולכן היה על הנתבעת לבטחו מיום העבודה הראשון. משכך, התובע זכאי לפיצוי מהנתבעת בגובה הפקדות מעסיק לדמי גמולים ממועד תחילת עבודתו ביום 1.3.22 ועד לסיומה ביום 20.9.22. </w:t>
      </w:r>
    </w:p>
    <w:p w14:paraId="5383867E" w14:textId="77777777" w:rsidR="00000000" w:rsidRDefault="00000000">
      <w:pPr>
        <w:bidi/>
        <w:spacing w:line="360" w:lineRule="auto"/>
        <w:jc w:val="both"/>
        <w:rPr>
          <w:rtl/>
        </w:rPr>
      </w:pPr>
      <w:r>
        <w:rPr>
          <w:rFonts w:ascii="David" w:hAnsi="David" w:cs="David"/>
          <w:sz w:val="28"/>
          <w:szCs w:val="28"/>
          <w:rtl/>
        </w:rPr>
        <w:t> </w:t>
      </w:r>
    </w:p>
    <w:p w14:paraId="77CB61D1" w14:textId="77777777" w:rsidR="00000000" w:rsidRDefault="00000000">
      <w:pPr>
        <w:bidi/>
        <w:spacing w:line="360" w:lineRule="auto"/>
        <w:ind w:left="720" w:hanging="720"/>
        <w:jc w:val="both"/>
        <w:rPr>
          <w:rtl/>
        </w:rPr>
      </w:pPr>
      <w:r>
        <w:rPr>
          <w:rFonts w:ascii="David" w:hAnsi="David" w:cs="David"/>
          <w:sz w:val="28"/>
          <w:szCs w:val="28"/>
          <w:rtl/>
        </w:rPr>
        <w:t>29.  בתצהירו הציג התובע תחשיב התביעה לתגמולי מעסיק (נספח 7). הנתבעת לא סתרה תחשיב זה, ולא הגישה תחשיב נגדי. אי לכך, אנו מקבלים את התביעה לפיצוי בגובה תגמולי מעסיק ומחייבים את הנתבעת לשלם לתובע סך 3,660 ש"ח. לסכום זה תתווסף ריבית שקלית מיום 10.6.2022 (אמצע התקופה).</w:t>
      </w:r>
    </w:p>
    <w:p w14:paraId="50748B28" w14:textId="77777777" w:rsidR="00000000" w:rsidRDefault="00000000">
      <w:pPr>
        <w:bidi/>
        <w:spacing w:line="360" w:lineRule="auto"/>
        <w:jc w:val="both"/>
        <w:rPr>
          <w:rtl/>
        </w:rPr>
      </w:pPr>
      <w:r>
        <w:rPr>
          <w:rFonts w:ascii="David" w:hAnsi="David" w:cs="David"/>
          <w:sz w:val="28"/>
          <w:szCs w:val="28"/>
          <w:rtl/>
        </w:rPr>
        <w:t> </w:t>
      </w:r>
    </w:p>
    <w:p w14:paraId="220B5DAB" w14:textId="77777777" w:rsidR="00000000" w:rsidRDefault="00000000">
      <w:pPr>
        <w:bidi/>
        <w:spacing w:line="360" w:lineRule="auto"/>
        <w:jc w:val="both"/>
        <w:rPr>
          <w:rtl/>
        </w:rPr>
      </w:pPr>
      <w:r>
        <w:rPr>
          <w:rFonts w:ascii="David" w:hAnsi="David" w:cs="David"/>
          <w:b/>
          <w:bCs/>
          <w:sz w:val="28"/>
          <w:szCs w:val="28"/>
          <w:u w:val="single"/>
          <w:rtl/>
        </w:rPr>
        <w:t>הפרשי שכר</w:t>
      </w:r>
    </w:p>
    <w:p w14:paraId="29151E52" w14:textId="77777777" w:rsidR="00000000" w:rsidRDefault="00000000">
      <w:pPr>
        <w:bidi/>
        <w:spacing w:line="360" w:lineRule="auto"/>
        <w:ind w:left="720" w:hanging="720"/>
        <w:jc w:val="both"/>
        <w:rPr>
          <w:rtl/>
        </w:rPr>
      </w:pPr>
      <w:r>
        <w:rPr>
          <w:rFonts w:ascii="David" w:hAnsi="David" w:cs="David"/>
          <w:sz w:val="28"/>
          <w:szCs w:val="28"/>
          <w:rtl/>
        </w:rPr>
        <w:t>30.  לטענת התובע, הנתבעת שילמה לו שעות עבודה בחסר, והשוואה בין תלושי השכר ובין דוחות הנוכחות מלמדת על הפרש של 11 שעות בחודש יולי 2022 ו- 10 שעות בחודש אוגוסט 2022. בראש תביעה זה נתבע סכום של 903 ש"ח.</w:t>
      </w:r>
    </w:p>
    <w:p w14:paraId="2A390848" w14:textId="77777777" w:rsidR="00000000" w:rsidRDefault="00000000">
      <w:pPr>
        <w:bidi/>
        <w:spacing w:line="360" w:lineRule="auto"/>
        <w:jc w:val="both"/>
        <w:rPr>
          <w:rtl/>
        </w:rPr>
      </w:pPr>
      <w:r>
        <w:rPr>
          <w:rFonts w:ascii="David" w:hAnsi="David" w:cs="David"/>
          <w:sz w:val="28"/>
          <w:szCs w:val="28"/>
          <w:rtl/>
        </w:rPr>
        <w:t> </w:t>
      </w:r>
    </w:p>
    <w:p w14:paraId="68FF797C" w14:textId="77777777" w:rsidR="00000000" w:rsidRDefault="00000000">
      <w:pPr>
        <w:bidi/>
        <w:spacing w:line="360" w:lineRule="auto"/>
        <w:ind w:left="720" w:hanging="720"/>
        <w:jc w:val="both"/>
        <w:rPr>
          <w:rtl/>
        </w:rPr>
      </w:pPr>
      <w:r>
        <w:rPr>
          <w:rFonts w:ascii="David" w:hAnsi="David" w:cs="David"/>
          <w:sz w:val="28"/>
          <w:szCs w:val="28"/>
          <w:rtl/>
        </w:rPr>
        <w:t>31.  לפי דו"ח הנוכחות לחודש 7/22, התובע עבד בחודש זה 180.2 שעות. עיון בתלוש השכר לחודש 7/22 מעלה ששולמו לתובע 157.31 שעות רגילות. לפי דו"ח הנוכחות לחודש 8/22, התובע עבד 158.58 שעות. בתלוש השכר לחודש 8/22 שולמו לתובע 139.2 שעות (נוסף לשני ימי חופשה ו- 5 ימי מחלה). בחקירתו הנגדית נשאל איית בנוגע להפרשים אלה והשיב, כי הנתבעת מנכה חצי שעת הפסקה (פ: 26, ש: 10, 12). אין בידנו לקבל את טענתה המאוחרת של הנתבעת בעניין זה. הנתבעת לא העלתה טענה זו בכתבי הטענות שלה או בתצהירים. כפי שקבענו לעיל, גם לא הוצגה הודעה לעובד. הנתבעת טענה שהתובע הרבה להעדר מהעבודה מעבר לזמני ההפסקות, ובהקשר זה הציגה צילום מלוח מודעות בו צוינו זמני הפסקת אוכל. לטענת הנתבעת, מדובר ב"תקנון העבודה במפעל" (סעיף 15 לתצהיר איית). אולם, לא הוצג לבית הדין תקנון כלשהו, אלא צילום שנראה כמו לוח מודעות עם שלושה שלטים: איסור לעשן, שמירה על הניקיון וזמני הפסקת אוכל. נוסף לאמור, בנו של איית העיד לפנינו שלא ידוע לו על תקנון בנתבעת (פ: 27, ש: 29). מכל האמור לא שוכנענו שהתובע ידע עם תחילת עבודתו על זמני ההפסקות או על אפשרות לנכות זמני הפסקות.</w:t>
      </w:r>
    </w:p>
    <w:p w14:paraId="2BE48741" w14:textId="77777777" w:rsidR="00000000" w:rsidRDefault="00000000">
      <w:pPr>
        <w:bidi/>
        <w:spacing w:line="360" w:lineRule="auto"/>
        <w:jc w:val="both"/>
        <w:rPr>
          <w:rtl/>
        </w:rPr>
      </w:pPr>
      <w:r>
        <w:rPr>
          <w:rFonts w:ascii="David" w:hAnsi="David" w:cs="David"/>
          <w:sz w:val="28"/>
          <w:szCs w:val="28"/>
          <w:rtl/>
        </w:rPr>
        <w:t> </w:t>
      </w:r>
    </w:p>
    <w:p w14:paraId="79259017" w14:textId="77777777" w:rsidR="00000000" w:rsidRDefault="00000000">
      <w:pPr>
        <w:bidi/>
        <w:spacing w:line="360" w:lineRule="auto"/>
        <w:ind w:left="720" w:hanging="720"/>
        <w:jc w:val="both"/>
        <w:rPr>
          <w:rtl/>
        </w:rPr>
      </w:pPr>
      <w:r>
        <w:rPr>
          <w:rFonts w:ascii="David" w:hAnsi="David" w:cs="David"/>
          <w:sz w:val="28"/>
          <w:szCs w:val="28"/>
          <w:rtl/>
        </w:rPr>
        <w:t xml:space="preserve">32.  </w:t>
      </w:r>
      <w:proofErr w:type="spellStart"/>
      <w:r>
        <w:rPr>
          <w:rFonts w:ascii="David" w:hAnsi="David" w:cs="David"/>
          <w:sz w:val="28"/>
          <w:szCs w:val="28"/>
          <w:rtl/>
        </w:rPr>
        <w:t>משלא</w:t>
      </w:r>
      <w:proofErr w:type="spellEnd"/>
      <w:r>
        <w:rPr>
          <w:rFonts w:ascii="David" w:hAnsi="David" w:cs="David"/>
          <w:sz w:val="28"/>
          <w:szCs w:val="28"/>
          <w:rtl/>
        </w:rPr>
        <w:t xml:space="preserve"> סתרה הנתבעת את גרסת התובע, </w:t>
      </w:r>
      <w:proofErr w:type="spellStart"/>
      <w:r>
        <w:rPr>
          <w:rFonts w:ascii="David" w:hAnsi="David" w:cs="David"/>
          <w:sz w:val="28"/>
          <w:szCs w:val="28"/>
          <w:rtl/>
        </w:rPr>
        <w:t>ומשלא</w:t>
      </w:r>
      <w:proofErr w:type="spellEnd"/>
      <w:r>
        <w:rPr>
          <w:rFonts w:ascii="David" w:hAnsi="David" w:cs="David"/>
          <w:sz w:val="28"/>
          <w:szCs w:val="28"/>
          <w:rtl/>
        </w:rPr>
        <w:t xml:space="preserve"> הציגה גרסה או תחשיב נגדי - מתקבלת התביעה להפרשי שכר. השוואה של תלושי השכר ודו"חות הנוכחות לחודשים יולי ואוגוסט 2022 אכן מלמדת על תשלום עבור פחות שעות מהשעות שביצע התובע בפועל. אשר על כן, אנו מחייבים את הנתבעת לשלם לתובע הפרשי שכר בסך 903 ש"ח. לסכום זה תתווסף ריבית שקלית מיום 31.7.2022 (אמצע התקופה).</w:t>
      </w:r>
    </w:p>
    <w:p w14:paraId="3115CD80" w14:textId="77777777" w:rsidR="00000000" w:rsidRDefault="00000000">
      <w:pPr>
        <w:bidi/>
        <w:spacing w:line="360" w:lineRule="auto"/>
        <w:jc w:val="both"/>
        <w:rPr>
          <w:rtl/>
        </w:rPr>
      </w:pPr>
      <w:r>
        <w:rPr>
          <w:rFonts w:ascii="David" w:hAnsi="David" w:cs="David"/>
          <w:sz w:val="28"/>
          <w:szCs w:val="28"/>
          <w:rtl/>
        </w:rPr>
        <w:t> </w:t>
      </w:r>
    </w:p>
    <w:p w14:paraId="2C7966D1" w14:textId="77777777" w:rsidR="00000000" w:rsidRDefault="00000000">
      <w:pPr>
        <w:bidi/>
        <w:spacing w:line="360" w:lineRule="auto"/>
        <w:jc w:val="both"/>
        <w:rPr>
          <w:rtl/>
        </w:rPr>
      </w:pPr>
      <w:r>
        <w:rPr>
          <w:rFonts w:ascii="David" w:hAnsi="David" w:cs="David"/>
          <w:b/>
          <w:bCs/>
          <w:sz w:val="28"/>
          <w:szCs w:val="28"/>
          <w:u w:val="single"/>
          <w:rtl/>
        </w:rPr>
        <w:t>גמול עבודה בשעות נוספות</w:t>
      </w:r>
    </w:p>
    <w:p w14:paraId="486A260F" w14:textId="77777777" w:rsidR="00000000" w:rsidRDefault="00000000">
      <w:pPr>
        <w:bidi/>
        <w:spacing w:line="360" w:lineRule="auto"/>
        <w:ind w:left="720" w:hanging="720"/>
        <w:jc w:val="both"/>
        <w:rPr>
          <w:rtl/>
        </w:rPr>
      </w:pPr>
      <w:r>
        <w:rPr>
          <w:rFonts w:ascii="David" w:hAnsi="David" w:cs="David"/>
          <w:sz w:val="28"/>
          <w:szCs w:val="28"/>
          <w:rtl/>
        </w:rPr>
        <w:t>33.  בכתב התביעה טען התובע, כי עבד במתכונת עבודה קבועה, שישה ימים בשבוע: בימים א' עד ה' משעה 07:00 עד 16:00 (9 שעות) וביום ו' משעה 07:00 עד 14:00 (7 שעות). לפי מתכונת זו עתר התובע לחייב את הנתבעת בתשלום גמול שעות נוספות, לאמור: 0.6 שעה נוספת בימים ראשון עד חמישי, ושעתיים נוספות בימי שישי. בהתאם, נתבע בראש תביעה זה סכום של 4,588 ש"ח לפי החישוב הבא: 140 שעות נוספות בתעריף 25% ו- 140 שעות נוספות בתעריף 50%.</w:t>
      </w:r>
    </w:p>
    <w:p w14:paraId="2B42E7E4" w14:textId="77777777" w:rsidR="00000000" w:rsidRDefault="00000000">
      <w:pPr>
        <w:bidi/>
        <w:spacing w:line="360" w:lineRule="auto"/>
        <w:jc w:val="both"/>
        <w:rPr>
          <w:rtl/>
        </w:rPr>
      </w:pPr>
      <w:r>
        <w:rPr>
          <w:rFonts w:ascii="David" w:hAnsi="David" w:cs="David"/>
          <w:sz w:val="28"/>
          <w:szCs w:val="28"/>
          <w:rtl/>
        </w:rPr>
        <w:t> </w:t>
      </w:r>
    </w:p>
    <w:p w14:paraId="40C6D285" w14:textId="77777777" w:rsidR="00000000" w:rsidRDefault="00000000">
      <w:pPr>
        <w:bidi/>
        <w:spacing w:line="360" w:lineRule="auto"/>
        <w:ind w:left="720" w:hanging="720"/>
        <w:jc w:val="both"/>
        <w:rPr>
          <w:rtl/>
        </w:rPr>
      </w:pPr>
      <w:r>
        <w:rPr>
          <w:rFonts w:ascii="David" w:hAnsi="David" w:cs="David"/>
          <w:sz w:val="28"/>
          <w:szCs w:val="28"/>
          <w:rtl/>
        </w:rPr>
        <w:t xml:space="preserve">34.  בדיון המוקדם טען ב"כ התובע, כי </w:t>
      </w:r>
      <w:r>
        <w:rPr>
          <w:rFonts w:ascii="David" w:hAnsi="David" w:cs="David"/>
          <w:b/>
          <w:bCs/>
          <w:sz w:val="28"/>
          <w:szCs w:val="28"/>
          <w:rtl/>
        </w:rPr>
        <w:t>"התובע, בסוף כל משמרת, היה כותב אצלו בהערות בפלאפון את מס' השעות שעבד, יציאה וכניסה, ואז הוא השווה את מה שיש לו בפלאפון למה שיש לו בפועל בתלוש, וזה גם תואם בפועל לשעון הנוכחות של הנתבעת"</w:t>
      </w:r>
      <w:r>
        <w:rPr>
          <w:rFonts w:ascii="David" w:hAnsi="David" w:cs="David"/>
          <w:sz w:val="28"/>
          <w:szCs w:val="28"/>
          <w:rtl/>
        </w:rPr>
        <w:t xml:space="preserve"> (עמ' 2, ש' 5- 7). </w:t>
      </w:r>
    </w:p>
    <w:p w14:paraId="2687171A" w14:textId="77777777" w:rsidR="00000000" w:rsidRDefault="00000000">
      <w:pPr>
        <w:bidi/>
        <w:spacing w:line="360" w:lineRule="auto"/>
        <w:jc w:val="both"/>
        <w:rPr>
          <w:rtl/>
        </w:rPr>
      </w:pPr>
      <w:r>
        <w:rPr>
          <w:rFonts w:ascii="David" w:hAnsi="David" w:cs="David"/>
          <w:sz w:val="28"/>
          <w:szCs w:val="28"/>
          <w:rtl/>
        </w:rPr>
        <w:t> </w:t>
      </w:r>
    </w:p>
    <w:p w14:paraId="278E11AB" w14:textId="77777777" w:rsidR="00000000" w:rsidRDefault="00000000">
      <w:pPr>
        <w:bidi/>
        <w:spacing w:line="360" w:lineRule="auto"/>
        <w:ind w:left="720" w:hanging="720"/>
        <w:jc w:val="both"/>
        <w:rPr>
          <w:rtl/>
        </w:rPr>
      </w:pPr>
      <w:r>
        <w:rPr>
          <w:rFonts w:ascii="David" w:hAnsi="David" w:cs="David"/>
          <w:sz w:val="28"/>
          <w:szCs w:val="28"/>
          <w:rtl/>
        </w:rPr>
        <w:t xml:space="preserve">35.  בתצהירו העלה התובע גרסה חדשה, שלפיה </w:t>
      </w:r>
      <w:r>
        <w:rPr>
          <w:rFonts w:ascii="David" w:hAnsi="David" w:cs="David"/>
          <w:b/>
          <w:bCs/>
          <w:sz w:val="28"/>
          <w:szCs w:val="28"/>
          <w:rtl/>
        </w:rPr>
        <w:t>"הנתבעת שמרה רישומי נוכחות, אך בחלק מהמקרים השעות שתועדו אינן תואמות את שעות העבודה שלי בפועל. לעיתים תועדו שינויים ידניים בשעות שלי"</w:t>
      </w:r>
      <w:r>
        <w:rPr>
          <w:rFonts w:ascii="David" w:hAnsi="David" w:cs="David"/>
          <w:sz w:val="28"/>
          <w:szCs w:val="28"/>
          <w:rtl/>
        </w:rPr>
        <w:t xml:space="preserve"> (סעיף 22). בנספח 9 לתצהיר הוצגה טבלה עם הסכומים הנתבעים עבור שעות נוספות. הסכום נותר 4,588 ש"ח על אף שלא חושב לפי מתכונת עבודה קבועה וגם לא נתבע עבור כל חודשי העבודה (כך, לדוגמה, לא נתבע גמול שעות נוספות עבור חודש 4/22). </w:t>
      </w:r>
    </w:p>
    <w:p w14:paraId="1048A311" w14:textId="77777777" w:rsidR="00000000" w:rsidRDefault="00000000">
      <w:pPr>
        <w:bidi/>
        <w:spacing w:line="360" w:lineRule="auto"/>
        <w:jc w:val="both"/>
        <w:rPr>
          <w:rtl/>
        </w:rPr>
      </w:pPr>
      <w:r>
        <w:rPr>
          <w:rFonts w:ascii="David" w:hAnsi="David" w:cs="David"/>
          <w:sz w:val="28"/>
          <w:szCs w:val="28"/>
          <w:rtl/>
        </w:rPr>
        <w:t> </w:t>
      </w:r>
    </w:p>
    <w:p w14:paraId="4DA483C3" w14:textId="77777777" w:rsidR="00000000" w:rsidRDefault="00000000">
      <w:pPr>
        <w:bidi/>
        <w:spacing w:line="360" w:lineRule="auto"/>
        <w:ind w:left="720" w:hanging="720"/>
        <w:jc w:val="both"/>
        <w:rPr>
          <w:rtl/>
        </w:rPr>
      </w:pPr>
      <w:r>
        <w:rPr>
          <w:rFonts w:ascii="David" w:hAnsi="David" w:cs="David"/>
          <w:sz w:val="28"/>
          <w:szCs w:val="28"/>
          <w:rtl/>
        </w:rPr>
        <w:t>36.  לאחר שבחנו את טענות הצדדים ואת מכלול חומר הראיות, מצאנו שדין התביעה ברכיב זה להידחות.</w:t>
      </w:r>
    </w:p>
    <w:p w14:paraId="3B5FBFB5" w14:textId="77777777" w:rsidR="00000000" w:rsidRDefault="00000000">
      <w:pPr>
        <w:bidi/>
        <w:spacing w:line="360" w:lineRule="auto"/>
        <w:jc w:val="both"/>
        <w:rPr>
          <w:rtl/>
        </w:rPr>
      </w:pPr>
      <w:r>
        <w:rPr>
          <w:rFonts w:ascii="David" w:hAnsi="David" w:cs="David"/>
          <w:sz w:val="28"/>
          <w:szCs w:val="28"/>
          <w:rtl/>
        </w:rPr>
        <w:t> </w:t>
      </w:r>
    </w:p>
    <w:p w14:paraId="634A63DC" w14:textId="77777777" w:rsidR="00000000" w:rsidRDefault="00000000">
      <w:pPr>
        <w:bidi/>
        <w:spacing w:line="360" w:lineRule="auto"/>
        <w:ind w:left="720" w:hanging="720"/>
        <w:jc w:val="both"/>
        <w:rPr>
          <w:rtl/>
        </w:rPr>
      </w:pPr>
      <w:r>
        <w:rPr>
          <w:rFonts w:ascii="David" w:hAnsi="David" w:cs="David"/>
          <w:sz w:val="28"/>
          <w:szCs w:val="28"/>
          <w:rtl/>
        </w:rPr>
        <w:t xml:space="preserve">37.  מצאנו קושי בגרסתו העובדתית של התובע, שחלו בה התפתחויות ושינויים לאורך ההליך המשפטי. בעוד שבכתב התביעה טען התובע למתכונת עבודה קבועה, הוא לא חזר על גרסה זו בתצהירו. בכתב התביעה לא ציין התובע שדיווח על שעות עבודתו באמצעות החתמת שעון נוכחות, וכרטיסי העבודה הוצגו לבית הדין בכתב ההגנה מטעם הנתבעת. </w:t>
      </w:r>
    </w:p>
    <w:p w14:paraId="37E5D859" w14:textId="77777777" w:rsidR="00000000" w:rsidRDefault="00000000">
      <w:pPr>
        <w:bidi/>
        <w:spacing w:line="360" w:lineRule="auto"/>
        <w:jc w:val="both"/>
        <w:rPr>
          <w:rtl/>
        </w:rPr>
      </w:pPr>
      <w:r>
        <w:rPr>
          <w:rFonts w:ascii="David" w:hAnsi="David" w:cs="David"/>
          <w:sz w:val="28"/>
          <w:szCs w:val="28"/>
          <w:rtl/>
        </w:rPr>
        <w:t> </w:t>
      </w:r>
    </w:p>
    <w:p w14:paraId="07A9979E" w14:textId="77777777" w:rsidR="00000000" w:rsidRDefault="00000000">
      <w:pPr>
        <w:bidi/>
        <w:spacing w:line="360" w:lineRule="auto"/>
        <w:ind w:left="720" w:hanging="720"/>
        <w:jc w:val="both"/>
        <w:rPr>
          <w:rtl/>
        </w:rPr>
      </w:pPr>
      <w:r>
        <w:rPr>
          <w:rFonts w:ascii="David" w:hAnsi="David" w:cs="David"/>
          <w:sz w:val="28"/>
          <w:szCs w:val="28"/>
          <w:rtl/>
        </w:rPr>
        <w:t>38.  זאת ועוד: בדיון המוקדם הוסכם בין הצדדים שהנתבעת ניהלה פנקס שעות עבודה, אולם במועד זה לא העלה התובע כל טענה בנוגע לתוכנם של דו"חות הנוכחות. לראשונה בתצהיר טען התובע, כי הנתבעת ערכה שינויים בדו"חות הנוכחות. גרסה עובדתית זו, לא זו בלבד שהיא גרסה מאוחרת, היא גרסה הדורשת הוכחה. התובע לא הסביר אילו שינויים לטענתו ערכה הנתבעת, ולא הביא ראשית ראיה לכך שדו"חות הנוכחות אינם אותנטיים. בהינתן שלגרסת התובע ערך לעצמו רישום עצמאי של שעות העבודה, מצופה היה שיציג ראיה מהותית זו על מנת לשכנע את בית הדין בטענה שהנתבעת ערכה שינויים בכרטיסי העבודה.</w:t>
      </w:r>
    </w:p>
    <w:p w14:paraId="102A2E3E" w14:textId="77777777" w:rsidR="00000000" w:rsidRDefault="00000000">
      <w:pPr>
        <w:bidi/>
        <w:spacing w:line="360" w:lineRule="auto"/>
        <w:jc w:val="both"/>
        <w:rPr>
          <w:rtl/>
        </w:rPr>
      </w:pPr>
      <w:r>
        <w:rPr>
          <w:rFonts w:ascii="David" w:hAnsi="David" w:cs="David"/>
          <w:sz w:val="28"/>
          <w:szCs w:val="28"/>
          <w:rtl/>
        </w:rPr>
        <w:t> </w:t>
      </w:r>
    </w:p>
    <w:p w14:paraId="3D3CA996" w14:textId="77777777" w:rsidR="00000000" w:rsidRDefault="00000000">
      <w:pPr>
        <w:bidi/>
        <w:spacing w:line="360" w:lineRule="auto"/>
        <w:ind w:left="720" w:hanging="720"/>
        <w:jc w:val="both"/>
        <w:rPr>
          <w:rtl/>
        </w:rPr>
      </w:pPr>
      <w:r>
        <w:rPr>
          <w:rFonts w:ascii="David" w:hAnsi="David" w:cs="David"/>
          <w:sz w:val="28"/>
          <w:szCs w:val="28"/>
          <w:rtl/>
        </w:rPr>
        <w:t>39.  לסיכום, הנתבעת ניהלה פנקס שעות עבודה כהגדרתו בסעיף 25 לחוק שעות עבודה ומנוחה, התשי"א-1951, באמצעות החתמת כרטיס נוכחות. בכך עמדה הנתבעת בחובתה הרישומית לעקוב אחר שעות עבודתו של התובע. מנגד, לא עלה בידי התובע לסתור את כרטיסי הנוכחות שניהלה הנתבעת. על יסוד כל האמור, נדחית תביעת התובע לתשלום גמול עבודה בשעות נוספות.</w:t>
      </w:r>
    </w:p>
    <w:p w14:paraId="5B42A7A6" w14:textId="77777777" w:rsidR="00000000" w:rsidRDefault="00000000">
      <w:pPr>
        <w:bidi/>
        <w:spacing w:line="360" w:lineRule="auto"/>
        <w:jc w:val="both"/>
        <w:rPr>
          <w:rtl/>
        </w:rPr>
      </w:pPr>
      <w:r>
        <w:rPr>
          <w:rFonts w:ascii="David" w:hAnsi="David" w:cs="David"/>
          <w:sz w:val="28"/>
          <w:szCs w:val="28"/>
          <w:rtl/>
        </w:rPr>
        <w:t> </w:t>
      </w:r>
    </w:p>
    <w:p w14:paraId="27266213" w14:textId="77777777" w:rsidR="00000000" w:rsidRDefault="00000000">
      <w:pPr>
        <w:bidi/>
        <w:spacing w:line="360" w:lineRule="auto"/>
        <w:jc w:val="both"/>
        <w:rPr>
          <w:rtl/>
        </w:rPr>
      </w:pPr>
      <w:r>
        <w:rPr>
          <w:rFonts w:ascii="David" w:hAnsi="David" w:cs="David"/>
          <w:b/>
          <w:bCs/>
          <w:sz w:val="28"/>
          <w:szCs w:val="28"/>
          <w:u w:val="single"/>
          <w:rtl/>
        </w:rPr>
        <w:t>פיצוי בגין פיטורים שלא כדין</w:t>
      </w:r>
    </w:p>
    <w:p w14:paraId="068D336B" w14:textId="77777777" w:rsidR="00000000" w:rsidRDefault="00000000">
      <w:pPr>
        <w:bidi/>
        <w:spacing w:line="360" w:lineRule="auto"/>
        <w:ind w:left="720" w:hanging="720"/>
        <w:jc w:val="both"/>
        <w:rPr>
          <w:rtl/>
        </w:rPr>
      </w:pPr>
      <w:r>
        <w:rPr>
          <w:rFonts w:ascii="David" w:hAnsi="David" w:cs="David"/>
          <w:sz w:val="28"/>
          <w:szCs w:val="28"/>
          <w:rtl/>
        </w:rPr>
        <w:t>40.  לטענת התובע, פוטר במהלך מחלה מבלי שקוים לו הליך שימוע (סעיף 12 לכתב התביעה). לטענת הנתבעת, איית הודיע לתובע ביום 22.9.22 על הפסקת עבודה על רקע היעדרות בלתי מוצדקת של התובע ובהמשך לשימוע שנערך לו בחודש יולי 2022. לגרסת הנתבעת, ביום 8.7.22 מסרה לתובע זימון לשיחת שימוע על רקע עבירות משמעת ועבודה לקויה. הנתבעת טענה, כי ערכה לתובע שיחת שימוע והוא הוזהר פעמים רבות, אולם התובע המשיך בהתנהגותו (סעיפים 5 עד 11 בעמ' 2- 3 לכתב ההגנה). בתצהירו הכחיש התובע קיומו של שימוע בחודש יולי 2022 (סעיף 15 לתצהיר).</w:t>
      </w:r>
    </w:p>
    <w:p w14:paraId="71FA5268" w14:textId="77777777" w:rsidR="00000000" w:rsidRDefault="00000000">
      <w:pPr>
        <w:bidi/>
        <w:spacing w:line="360" w:lineRule="auto"/>
        <w:jc w:val="both"/>
        <w:rPr>
          <w:rtl/>
        </w:rPr>
      </w:pPr>
      <w:r>
        <w:rPr>
          <w:rFonts w:ascii="David" w:hAnsi="David" w:cs="David"/>
          <w:sz w:val="28"/>
          <w:szCs w:val="28"/>
          <w:rtl/>
        </w:rPr>
        <w:t> </w:t>
      </w:r>
    </w:p>
    <w:p w14:paraId="2B384503" w14:textId="77777777" w:rsidR="00000000" w:rsidRDefault="00000000">
      <w:pPr>
        <w:bidi/>
        <w:spacing w:line="360" w:lineRule="auto"/>
        <w:ind w:left="720" w:hanging="720"/>
        <w:jc w:val="both"/>
        <w:rPr>
          <w:rtl/>
        </w:rPr>
      </w:pPr>
      <w:r>
        <w:rPr>
          <w:rFonts w:ascii="David" w:hAnsi="David" w:cs="David"/>
          <w:sz w:val="28"/>
          <w:szCs w:val="28"/>
          <w:rtl/>
        </w:rPr>
        <w:t xml:space="preserve">41.  </w:t>
      </w:r>
      <w:r>
        <w:rPr>
          <w:rFonts w:ascii="David" w:hAnsi="David" w:cs="David"/>
          <w:sz w:val="28"/>
          <w:szCs w:val="28"/>
          <w:u w:val="single"/>
          <w:rtl/>
        </w:rPr>
        <w:t>לא הוכח קיומו של שימוע בחודש יולי 2022</w:t>
      </w:r>
      <w:r>
        <w:rPr>
          <w:rFonts w:ascii="David" w:hAnsi="David" w:cs="David"/>
          <w:sz w:val="28"/>
          <w:szCs w:val="28"/>
          <w:rtl/>
        </w:rPr>
        <w:t xml:space="preserve">: הנתבעת הציגה במסגרת ראיותיה מכתב זימון לשימוע מיום 8.7.22 (נספח ד לכתב ההגנה). התובע אינו חתום על מכתב הזימון לשימוע, והוא הכחיש קבלתו. בכתב ההגנה טענה הנתבעת, כי </w:t>
      </w:r>
      <w:r>
        <w:rPr>
          <w:rFonts w:ascii="David" w:hAnsi="David" w:cs="David"/>
          <w:b/>
          <w:bCs/>
          <w:sz w:val="28"/>
          <w:szCs w:val="28"/>
          <w:rtl/>
        </w:rPr>
        <w:t>"אף התקיימה ישיבת שימוע בגין עבירות המשמעת אשר נהג התובע לבצע במהלך מילוי תפקידו"</w:t>
      </w:r>
      <w:r>
        <w:rPr>
          <w:rFonts w:ascii="David" w:hAnsi="David" w:cs="David"/>
          <w:sz w:val="28"/>
          <w:szCs w:val="28"/>
          <w:rtl/>
        </w:rPr>
        <w:t xml:space="preserve"> (סעיף 9 לכתב ההגנה). גם בדיון המוקדם חזרה הנתבעת וטענה </w:t>
      </w:r>
      <w:r>
        <w:rPr>
          <w:rFonts w:ascii="David" w:hAnsi="David" w:cs="David"/>
          <w:b/>
          <w:bCs/>
          <w:sz w:val="28"/>
          <w:szCs w:val="28"/>
          <w:rtl/>
        </w:rPr>
        <w:t>"היה שימוע"</w:t>
      </w:r>
      <w:r>
        <w:rPr>
          <w:rFonts w:ascii="David" w:hAnsi="David" w:cs="David"/>
          <w:sz w:val="28"/>
          <w:szCs w:val="28"/>
          <w:rtl/>
        </w:rPr>
        <w:t xml:space="preserve"> (עמ' 4, ש' 2). בכתבי הטענות ובתצהירים לא נקבה הנתבעת בתאריך בו לטענתה נערך לתובע שימוע בחודש יולי 2022 (ראו סעיף 16 לתצהיר איית). לראשונה בחקירתו הנגדית ציין איית שהשימוע נערך ביום 8.7.22, אותו היום בו לטענת הנתבעת נמסר לתובע זימון לשימוע (פ: 23, ש: 15). יחד עם זאת, הנתבעת לא מסרה גרסה עובדתית לגבי נסיבות עריכת השימוע. הנתבעת גם לא הציגה במסגרת ראיותיה פרוטוקול שימוע, כאשר איית העיד שאין פרוטוקול שימוע (פ: 23, ש: 21).</w:t>
      </w:r>
    </w:p>
    <w:p w14:paraId="28BC46DA" w14:textId="77777777" w:rsidR="00000000" w:rsidRDefault="00000000">
      <w:pPr>
        <w:bidi/>
        <w:spacing w:line="360" w:lineRule="auto"/>
        <w:jc w:val="both"/>
        <w:rPr>
          <w:rtl/>
        </w:rPr>
      </w:pPr>
      <w:r>
        <w:rPr>
          <w:rFonts w:ascii="David" w:hAnsi="David" w:cs="David"/>
          <w:sz w:val="28"/>
          <w:szCs w:val="28"/>
          <w:rtl/>
        </w:rPr>
        <w:t> </w:t>
      </w:r>
    </w:p>
    <w:p w14:paraId="59F6ECF7" w14:textId="77777777" w:rsidR="00000000" w:rsidRDefault="00000000">
      <w:pPr>
        <w:bidi/>
        <w:spacing w:line="360" w:lineRule="auto"/>
        <w:ind w:left="720" w:hanging="720"/>
        <w:jc w:val="both"/>
        <w:rPr>
          <w:rtl/>
        </w:rPr>
      </w:pPr>
      <w:r>
        <w:rPr>
          <w:rFonts w:ascii="David" w:hAnsi="David" w:cs="David"/>
          <w:sz w:val="28"/>
          <w:szCs w:val="28"/>
          <w:rtl/>
        </w:rPr>
        <w:t xml:space="preserve">42.  מעדותו של איית עולה, כי לא נערך לתובע שימוע בחודש יולי 2022. איית העיד, כי התובע זומן לשימוע, אך לא התייצב (פ: 23, ש: 6, 11). בנסיבות אלה, אנו קובעים כי נסתרה גרסת הנתבעת שערכה לתובע שיחת שימוע בחודש יולי 2022. </w:t>
      </w:r>
    </w:p>
    <w:p w14:paraId="70ED9C6A" w14:textId="77777777" w:rsidR="00000000" w:rsidRDefault="00000000">
      <w:pPr>
        <w:bidi/>
        <w:spacing w:line="360" w:lineRule="auto"/>
        <w:jc w:val="both"/>
        <w:rPr>
          <w:rtl/>
        </w:rPr>
      </w:pPr>
      <w:r>
        <w:rPr>
          <w:rFonts w:ascii="David" w:hAnsi="David" w:cs="David"/>
          <w:sz w:val="28"/>
          <w:szCs w:val="28"/>
          <w:rtl/>
        </w:rPr>
        <w:t> </w:t>
      </w:r>
    </w:p>
    <w:p w14:paraId="669682CB" w14:textId="77777777" w:rsidR="00000000" w:rsidRDefault="00000000">
      <w:pPr>
        <w:bidi/>
        <w:spacing w:line="360" w:lineRule="auto"/>
        <w:ind w:left="720" w:hanging="720"/>
        <w:jc w:val="both"/>
        <w:rPr>
          <w:rtl/>
        </w:rPr>
      </w:pPr>
      <w:r>
        <w:rPr>
          <w:rFonts w:ascii="David" w:hAnsi="David" w:cs="David"/>
          <w:sz w:val="28"/>
          <w:szCs w:val="28"/>
          <w:rtl/>
        </w:rPr>
        <w:t xml:space="preserve">43.  הנתבעת הוסיפה וטענה כי </w:t>
      </w:r>
      <w:r>
        <w:rPr>
          <w:rFonts w:ascii="David" w:hAnsi="David" w:cs="David"/>
          <w:b/>
          <w:bCs/>
          <w:sz w:val="28"/>
          <w:szCs w:val="28"/>
          <w:rtl/>
        </w:rPr>
        <w:t>"התובע הוזהר אינספור פעמים בגין עבירות משמעת שבוצעו ..."</w:t>
      </w:r>
      <w:r>
        <w:rPr>
          <w:rFonts w:ascii="David" w:hAnsi="David" w:cs="David"/>
          <w:sz w:val="28"/>
          <w:szCs w:val="28"/>
          <w:rtl/>
        </w:rPr>
        <w:t xml:space="preserve"> (סעיף 14 לתצהיר איית). אולם, התובע הכחיש זאת בעדותו (פ: 15, ש: 30- 32), והנתבעת לא הציגה כל ראיה אובייקטיבית המתעדת שיחות עם התובע בזמן אמת (עדות איית: פ: 22, ש: 3).</w:t>
      </w:r>
    </w:p>
    <w:p w14:paraId="3724A25A" w14:textId="77777777" w:rsidR="00000000" w:rsidRDefault="00000000">
      <w:pPr>
        <w:bidi/>
        <w:spacing w:line="360" w:lineRule="auto"/>
        <w:jc w:val="both"/>
        <w:rPr>
          <w:rtl/>
        </w:rPr>
      </w:pPr>
      <w:r>
        <w:rPr>
          <w:rFonts w:ascii="David" w:hAnsi="David" w:cs="David"/>
          <w:sz w:val="28"/>
          <w:szCs w:val="28"/>
          <w:rtl/>
        </w:rPr>
        <w:t> </w:t>
      </w:r>
    </w:p>
    <w:p w14:paraId="13753329" w14:textId="77777777" w:rsidR="00000000" w:rsidRDefault="00000000">
      <w:pPr>
        <w:bidi/>
        <w:spacing w:line="360" w:lineRule="auto"/>
        <w:ind w:left="720" w:hanging="720"/>
        <w:jc w:val="both"/>
        <w:rPr>
          <w:rtl/>
        </w:rPr>
      </w:pPr>
      <w:r>
        <w:rPr>
          <w:rFonts w:ascii="David" w:hAnsi="David" w:cs="David"/>
          <w:sz w:val="28"/>
          <w:szCs w:val="28"/>
          <w:rtl/>
        </w:rPr>
        <w:t xml:space="preserve">44.  להשלמת התמונה יצוין, כי התובע הציג הודעת </w:t>
      </w:r>
      <w:proofErr w:type="spellStart"/>
      <w:r>
        <w:rPr>
          <w:rFonts w:ascii="David" w:hAnsi="David" w:cs="David"/>
          <w:sz w:val="28"/>
          <w:szCs w:val="28"/>
          <w:rtl/>
        </w:rPr>
        <w:t>וטסאפ</w:t>
      </w:r>
      <w:proofErr w:type="spellEnd"/>
      <w:r>
        <w:rPr>
          <w:rFonts w:ascii="David" w:hAnsi="David" w:cs="David"/>
          <w:sz w:val="28"/>
          <w:szCs w:val="28"/>
          <w:rtl/>
        </w:rPr>
        <w:t xml:space="preserve"> מיום 2.10.22 (לאחר סיום יחסי העבודה), שבה הנתבעת זימנה אותו לשימוע בעקבות היעדרותו מהעבודה ביום 22.9.22 (נספח 5 לתצהיר התובע). מהראיות שהובאו לפנינו עולה, כי התובע זומן למשרדי הנתבעת וביום 10.10.22 אכן הגיע התובע וקיבל מאיית תלוש משכורת ושיק עבור שכר חודש 9/22. לא יכול להיות ספק, כי לא מדובר בשיחת שימוע, שכן הפגישה התקיימה כשלושה שבועות לאחר ניתוק יחסי העבודה.</w:t>
      </w:r>
    </w:p>
    <w:p w14:paraId="123864EB" w14:textId="77777777" w:rsidR="00000000" w:rsidRDefault="00000000">
      <w:pPr>
        <w:bidi/>
        <w:spacing w:line="360" w:lineRule="auto"/>
        <w:jc w:val="both"/>
        <w:rPr>
          <w:rtl/>
        </w:rPr>
      </w:pPr>
      <w:r>
        <w:rPr>
          <w:rFonts w:ascii="David" w:hAnsi="David" w:cs="David"/>
          <w:sz w:val="28"/>
          <w:szCs w:val="28"/>
          <w:rtl/>
        </w:rPr>
        <w:t> </w:t>
      </w:r>
    </w:p>
    <w:p w14:paraId="1884479E" w14:textId="77777777" w:rsidR="00000000" w:rsidRDefault="00000000">
      <w:pPr>
        <w:bidi/>
        <w:spacing w:line="360" w:lineRule="auto"/>
        <w:ind w:left="720" w:hanging="720"/>
        <w:jc w:val="both"/>
        <w:rPr>
          <w:rtl/>
        </w:rPr>
      </w:pPr>
      <w:r>
        <w:rPr>
          <w:rFonts w:ascii="David" w:hAnsi="David" w:cs="David"/>
          <w:sz w:val="28"/>
          <w:szCs w:val="28"/>
          <w:rtl/>
        </w:rPr>
        <w:t xml:space="preserve">45.  לסיכום, מכלול חומר הראיות מלמד, כי הנתבעת פיטרה את התובע מבלי שקיימה לו הליך שימוע. על יסוד האמור, אנו דוחים את טענת הנתבעת, כי ההודעה של איית על הפסקת העבודה ביום 22.9.22 ניתנה בהמשך לשיחת שימוע שנערכה עמו בחודש יולי 2022, </w:t>
      </w:r>
      <w:proofErr w:type="spellStart"/>
      <w:r>
        <w:rPr>
          <w:rFonts w:ascii="David" w:hAnsi="David" w:cs="David"/>
          <w:sz w:val="28"/>
          <w:szCs w:val="28"/>
          <w:rtl/>
        </w:rPr>
        <w:t>ומשלא</w:t>
      </w:r>
      <w:proofErr w:type="spellEnd"/>
      <w:r>
        <w:rPr>
          <w:rFonts w:ascii="David" w:hAnsi="David" w:cs="David"/>
          <w:sz w:val="28"/>
          <w:szCs w:val="28"/>
          <w:rtl/>
        </w:rPr>
        <w:t xml:space="preserve"> תיקן התובע את הפרות משמעות שנטענו כלפיו.</w:t>
      </w:r>
    </w:p>
    <w:p w14:paraId="25BC2D60" w14:textId="77777777" w:rsidR="00000000" w:rsidRDefault="00000000">
      <w:pPr>
        <w:bidi/>
        <w:spacing w:line="360" w:lineRule="auto"/>
        <w:jc w:val="both"/>
        <w:rPr>
          <w:rtl/>
        </w:rPr>
      </w:pPr>
      <w:r>
        <w:rPr>
          <w:rFonts w:ascii="David" w:hAnsi="David" w:cs="David"/>
          <w:sz w:val="28"/>
          <w:szCs w:val="28"/>
          <w:rtl/>
        </w:rPr>
        <w:t> </w:t>
      </w:r>
    </w:p>
    <w:p w14:paraId="3F257F76" w14:textId="77777777" w:rsidR="00000000" w:rsidRDefault="00000000">
      <w:pPr>
        <w:bidi/>
        <w:spacing w:line="360" w:lineRule="auto"/>
        <w:ind w:left="720" w:hanging="720"/>
        <w:jc w:val="both"/>
        <w:rPr>
          <w:rtl/>
        </w:rPr>
      </w:pPr>
      <w:r>
        <w:rPr>
          <w:rFonts w:ascii="David" w:hAnsi="David" w:cs="David"/>
          <w:sz w:val="28"/>
          <w:szCs w:val="28"/>
          <w:rtl/>
        </w:rPr>
        <w:t>46.  בהינתן שההודעה על הפסקת עבודה נשלחה לתובע בהודעה קולית, מבלי שקדמה לה שיחת שימוע, אנו קובעים כי נפל פגם בהתנהלות הנתבעת בדרך הפיטורים של התובע. על יסוד מכלול נסיבות העניין, אנו פוסקים לזכות התובע פיצוי בסך 15,000 ש"ח בגין הפגמים שנפלו בהליך פיטוריו.</w:t>
      </w:r>
    </w:p>
    <w:p w14:paraId="1C97A591" w14:textId="77777777" w:rsidR="00000000" w:rsidRDefault="00000000">
      <w:pPr>
        <w:bidi/>
        <w:spacing w:line="360" w:lineRule="auto"/>
        <w:jc w:val="both"/>
        <w:rPr>
          <w:rtl/>
        </w:rPr>
      </w:pPr>
      <w:r>
        <w:rPr>
          <w:rFonts w:ascii="David" w:hAnsi="David" w:cs="David"/>
          <w:sz w:val="28"/>
          <w:szCs w:val="28"/>
          <w:rtl/>
        </w:rPr>
        <w:t> </w:t>
      </w:r>
    </w:p>
    <w:p w14:paraId="00B75B09" w14:textId="77777777" w:rsidR="00000000" w:rsidRDefault="00000000">
      <w:pPr>
        <w:bidi/>
        <w:spacing w:line="360" w:lineRule="auto"/>
        <w:jc w:val="both"/>
        <w:rPr>
          <w:rtl/>
        </w:rPr>
      </w:pPr>
      <w:r>
        <w:rPr>
          <w:rFonts w:ascii="David" w:hAnsi="David" w:cs="David"/>
          <w:b/>
          <w:bCs/>
          <w:sz w:val="28"/>
          <w:szCs w:val="28"/>
          <w:u w:val="single"/>
          <w:rtl/>
        </w:rPr>
        <w:t>פיצוי בגין עוגמת נפש</w:t>
      </w:r>
    </w:p>
    <w:p w14:paraId="152C13F5" w14:textId="77777777" w:rsidR="00000000" w:rsidRDefault="00000000">
      <w:pPr>
        <w:bidi/>
        <w:spacing w:line="360" w:lineRule="auto"/>
        <w:ind w:left="720" w:hanging="720"/>
        <w:jc w:val="both"/>
        <w:rPr>
          <w:rtl/>
        </w:rPr>
      </w:pPr>
      <w:r>
        <w:rPr>
          <w:rFonts w:ascii="David" w:hAnsi="David" w:cs="David"/>
          <w:sz w:val="28"/>
          <w:szCs w:val="28"/>
          <w:rtl/>
        </w:rPr>
        <w:t xml:space="preserve">47.  קבענו לעיל, כי יש לדחות את טענת התובע לפיטורים בניגוד לחוק דמי מחלה, התשל"ו-1976. גם הטענה שהתובע פוטר בחוסר תום לב, תוך הפרת חוזה העבודה ובניגוד לחוק שוויון זכויות לאנשים עם מוגבלות, התשנ"ח-1998 - הן טענות שלא הוכחו. לא הובאה ראיה לכך שהתובע "סבל מלקות פיזית" בעת שפוטר (סעיף 17 לכתב התביעה). נהפוך הוא: בחקירתו הנגדית נשאל התובע לגבי בעיות רפואיות, ואישר: </w:t>
      </w:r>
      <w:r>
        <w:rPr>
          <w:rFonts w:ascii="David" w:hAnsi="David" w:cs="David"/>
          <w:b/>
          <w:bCs/>
          <w:sz w:val="28"/>
          <w:szCs w:val="28"/>
          <w:rtl/>
        </w:rPr>
        <w:t>"תודה לאל עד עכשיו אני בריא ואין לי בעיות"</w:t>
      </w:r>
      <w:r>
        <w:rPr>
          <w:rFonts w:ascii="David" w:hAnsi="David" w:cs="David"/>
          <w:sz w:val="28"/>
          <w:szCs w:val="28"/>
          <w:rtl/>
        </w:rPr>
        <w:t xml:space="preserve"> (פ: 15, ש: 5; וגם: פ: 16, ש: 16). גם לא מצאנו שמתקיימות בענייננו נסיבות מיוחדות וחריגות המצדיקות פסיקת פיצוי בגין עוגמת נפש. על כן, התביעה ברכיב זה נדחית.</w:t>
      </w:r>
    </w:p>
    <w:p w14:paraId="57064D82" w14:textId="77777777" w:rsidR="00000000" w:rsidRDefault="00000000">
      <w:pPr>
        <w:bidi/>
        <w:spacing w:line="360" w:lineRule="auto"/>
        <w:jc w:val="both"/>
        <w:rPr>
          <w:rtl/>
        </w:rPr>
      </w:pPr>
      <w:r>
        <w:rPr>
          <w:rFonts w:ascii="David" w:hAnsi="David" w:cs="David"/>
          <w:sz w:val="28"/>
          <w:szCs w:val="28"/>
          <w:rtl/>
        </w:rPr>
        <w:t> </w:t>
      </w:r>
    </w:p>
    <w:p w14:paraId="27D85FB7" w14:textId="77777777" w:rsidR="00000000" w:rsidRDefault="00000000">
      <w:pPr>
        <w:bidi/>
        <w:spacing w:line="360" w:lineRule="auto"/>
        <w:jc w:val="both"/>
        <w:rPr>
          <w:rtl/>
        </w:rPr>
      </w:pPr>
      <w:r>
        <w:rPr>
          <w:rFonts w:ascii="David" w:hAnsi="David" w:cs="David"/>
          <w:b/>
          <w:bCs/>
          <w:sz w:val="28"/>
          <w:szCs w:val="28"/>
          <w:u w:val="single"/>
          <w:rtl/>
        </w:rPr>
        <w:t>התביעה שכנגד</w:t>
      </w:r>
    </w:p>
    <w:p w14:paraId="32DCA56E" w14:textId="77777777" w:rsidR="00000000" w:rsidRDefault="00000000">
      <w:pPr>
        <w:bidi/>
        <w:spacing w:line="360" w:lineRule="auto"/>
        <w:ind w:left="720" w:hanging="720"/>
        <w:jc w:val="both"/>
        <w:rPr>
          <w:rtl/>
        </w:rPr>
      </w:pPr>
      <w:r>
        <w:rPr>
          <w:rFonts w:ascii="David" w:hAnsi="David" w:cs="David"/>
          <w:sz w:val="28"/>
          <w:szCs w:val="28"/>
          <w:rtl/>
        </w:rPr>
        <w:t xml:space="preserve">48.  בתביעה שהגישה הנתבעת כנגד התובע נטען, כי התובע התקבל לעבודה על בסיס הצהרתו שהוא בעל רישיון הנדסאי חשמל, אך בדיעבד התברר לנתבעת שהוא בעל הכשרה של חשמלאי ראשי עד 3/250 אמפר (סעיף 2 בעמ' 2 לכתב ההגנה; סעיף 8 לתצהיר איית). לטענתה, בהתאם להכשרה של התובע הוא אינו מוסמך לעסוק בתכנון וביצוע עבודות חשמל, אלא תחת השגחה של המעסיק. </w:t>
      </w:r>
    </w:p>
    <w:p w14:paraId="55C33E68" w14:textId="77777777" w:rsidR="00000000" w:rsidRDefault="00000000">
      <w:pPr>
        <w:bidi/>
        <w:spacing w:line="360" w:lineRule="auto"/>
        <w:jc w:val="both"/>
        <w:rPr>
          <w:rtl/>
        </w:rPr>
      </w:pPr>
      <w:r>
        <w:rPr>
          <w:rFonts w:ascii="David" w:hAnsi="David" w:cs="David"/>
          <w:sz w:val="28"/>
          <w:szCs w:val="28"/>
          <w:rtl/>
        </w:rPr>
        <w:t> </w:t>
      </w:r>
    </w:p>
    <w:p w14:paraId="3E3E06A1" w14:textId="77777777" w:rsidR="00000000" w:rsidRDefault="00000000">
      <w:pPr>
        <w:bidi/>
        <w:spacing w:line="360" w:lineRule="auto"/>
        <w:ind w:left="720" w:hanging="720"/>
        <w:jc w:val="both"/>
        <w:rPr>
          <w:rtl/>
        </w:rPr>
      </w:pPr>
      <w:r>
        <w:rPr>
          <w:rFonts w:ascii="David" w:hAnsi="David" w:cs="David"/>
          <w:sz w:val="28"/>
          <w:szCs w:val="28"/>
          <w:rtl/>
        </w:rPr>
        <w:t xml:space="preserve">49.  לגרסת התובע, התקבל לעבודה עם רישיון חשמלאי ראשי, וביום 20.3.22, כשלושה שבועות לאחר תחילת עבודתו, עבר מבחן וקיבל רישיון חשמלאי הנדסאי (רישיון חשמלאי-הנדסאי נספח 1 לתצהיר התובע). התובע העיד, כי מסר את התעודה לאיית (פ: 13, ש: 23- 30). </w:t>
      </w:r>
    </w:p>
    <w:p w14:paraId="6C912913" w14:textId="77777777" w:rsidR="00000000" w:rsidRDefault="00000000">
      <w:pPr>
        <w:bidi/>
        <w:spacing w:line="360" w:lineRule="auto"/>
        <w:jc w:val="both"/>
        <w:rPr>
          <w:rtl/>
        </w:rPr>
      </w:pPr>
      <w:r>
        <w:rPr>
          <w:rFonts w:ascii="David" w:hAnsi="David" w:cs="David"/>
          <w:sz w:val="28"/>
          <w:szCs w:val="28"/>
          <w:rtl/>
        </w:rPr>
        <w:t> </w:t>
      </w:r>
    </w:p>
    <w:p w14:paraId="17E1AEE6" w14:textId="77777777" w:rsidR="00000000" w:rsidRDefault="00000000">
      <w:pPr>
        <w:bidi/>
        <w:spacing w:line="360" w:lineRule="auto"/>
        <w:ind w:left="720" w:hanging="720"/>
        <w:jc w:val="both"/>
        <w:rPr>
          <w:rtl/>
        </w:rPr>
      </w:pPr>
      <w:r>
        <w:rPr>
          <w:rFonts w:ascii="David" w:hAnsi="David" w:cs="David"/>
          <w:sz w:val="28"/>
          <w:szCs w:val="28"/>
          <w:rtl/>
        </w:rPr>
        <w:t xml:space="preserve">50.  בעניין זה אנו מקבלים את גרסת התובע, ודוחים את טענת הנתבעת שלא הוצג לה רישיון הנדסאי חשמל. בכתב תביעה שכנגד טענה הנתבעת, כי בעת קבלתו לעבודה התובע </w:t>
      </w:r>
      <w:r>
        <w:rPr>
          <w:rFonts w:ascii="David" w:hAnsi="David" w:cs="David"/>
          <w:b/>
          <w:bCs/>
          <w:sz w:val="28"/>
          <w:szCs w:val="28"/>
          <w:rtl/>
        </w:rPr>
        <w:t>"הציג את עצמו כהנדסאי חשמל"</w:t>
      </w:r>
      <w:r>
        <w:rPr>
          <w:rFonts w:ascii="David" w:hAnsi="David" w:cs="David"/>
          <w:sz w:val="28"/>
          <w:szCs w:val="28"/>
          <w:rtl/>
        </w:rPr>
        <w:t xml:space="preserve"> (סעיף 4). בעדותו בבית הדין סתר איית את גרסת הנתבעת משהעיד </w:t>
      </w:r>
      <w:r>
        <w:rPr>
          <w:rFonts w:ascii="David" w:hAnsi="David" w:cs="David"/>
          <w:b/>
          <w:bCs/>
          <w:sz w:val="28"/>
          <w:szCs w:val="28"/>
          <w:rtl/>
        </w:rPr>
        <w:t>"בזמן שקיבלתי אותו הוא הציג לי רישיון של ראשי ולא הנדסאי"</w:t>
      </w:r>
      <w:r>
        <w:rPr>
          <w:rFonts w:ascii="David" w:hAnsi="David" w:cs="David"/>
          <w:sz w:val="28"/>
          <w:szCs w:val="28"/>
          <w:rtl/>
        </w:rPr>
        <w:t xml:space="preserve"> (פ: 20, ש: 7- 12). עוד טענה הנתבעת בכתב התביעה שכנגד, כי דרשה מהתובע </w:t>
      </w:r>
      <w:r>
        <w:rPr>
          <w:rFonts w:ascii="David" w:hAnsi="David" w:cs="David"/>
          <w:b/>
          <w:bCs/>
          <w:sz w:val="28"/>
          <w:szCs w:val="28"/>
          <w:rtl/>
        </w:rPr>
        <w:t>"פעם אחר פעם להציג בפניה את התעודה של הנדסאי חשמל"</w:t>
      </w:r>
      <w:r>
        <w:rPr>
          <w:rFonts w:ascii="David" w:hAnsi="David" w:cs="David"/>
          <w:sz w:val="28"/>
          <w:szCs w:val="28"/>
          <w:rtl/>
        </w:rPr>
        <w:t xml:space="preserve">, אך התובע התחמק מהמצאת התעודה (סעיף 5). ככל שעובד לא מציג למעסיקה תעודת הסמכה מתאימה, מצופה מהמעסיקה שתפנה אל העובד בזמן אמת. דברים אלה נכונים ביתר שאת שעה שאיית אישר בעדותו שידע שהתובע אמור לעבור בחינה (פ: 20, ש: 10). אולם, איית העיד שלא פנה לתובע: </w:t>
      </w:r>
      <w:r>
        <w:rPr>
          <w:rFonts w:ascii="David" w:hAnsi="David" w:cs="David"/>
          <w:b/>
          <w:bCs/>
          <w:sz w:val="28"/>
          <w:szCs w:val="28"/>
          <w:rtl/>
        </w:rPr>
        <w:t>"לא שאלתי אותו והוא לא אמר</w:t>
      </w:r>
      <w:r>
        <w:rPr>
          <w:rFonts w:ascii="David" w:hAnsi="David" w:cs="David"/>
          <w:sz w:val="28"/>
          <w:szCs w:val="28"/>
          <w:rtl/>
        </w:rPr>
        <w:t xml:space="preserve"> </w:t>
      </w:r>
      <w:r>
        <w:rPr>
          <w:rFonts w:ascii="David" w:hAnsi="David" w:cs="David"/>
          <w:b/>
          <w:bCs/>
          <w:sz w:val="28"/>
          <w:szCs w:val="28"/>
          <w:rtl/>
        </w:rPr>
        <w:t>שום דבר"</w:t>
      </w:r>
      <w:r>
        <w:rPr>
          <w:rFonts w:ascii="David" w:hAnsi="David" w:cs="David"/>
          <w:sz w:val="28"/>
          <w:szCs w:val="28"/>
          <w:rtl/>
        </w:rPr>
        <w:t xml:space="preserve"> (פ: 20, ש: 30, 34). משהמתינה הנתבעת עד להגשת התביעה כדי להעלות את הטענה להעדר רישיון הנדסאי חשמל, אין לנתבעת להלין אלא על עצמה.</w:t>
      </w:r>
    </w:p>
    <w:p w14:paraId="47FF5DBC" w14:textId="77777777" w:rsidR="00000000" w:rsidRDefault="00000000">
      <w:pPr>
        <w:bidi/>
        <w:spacing w:line="360" w:lineRule="auto"/>
        <w:jc w:val="both"/>
        <w:rPr>
          <w:rtl/>
        </w:rPr>
      </w:pPr>
      <w:r>
        <w:rPr>
          <w:rFonts w:ascii="David" w:hAnsi="David" w:cs="David"/>
          <w:sz w:val="28"/>
          <w:szCs w:val="28"/>
          <w:rtl/>
        </w:rPr>
        <w:t> </w:t>
      </w:r>
    </w:p>
    <w:p w14:paraId="2ABBC745" w14:textId="77777777" w:rsidR="00000000" w:rsidRDefault="00000000">
      <w:pPr>
        <w:bidi/>
        <w:spacing w:line="360" w:lineRule="auto"/>
        <w:ind w:left="720" w:hanging="720"/>
        <w:jc w:val="both"/>
        <w:rPr>
          <w:rtl/>
        </w:rPr>
      </w:pPr>
      <w:r>
        <w:rPr>
          <w:rFonts w:ascii="David" w:hAnsi="David" w:cs="David"/>
          <w:sz w:val="28"/>
          <w:szCs w:val="28"/>
          <w:rtl/>
        </w:rPr>
        <w:t>51.  עוד טענה הנתבעת בכתב התביעה שכנגד, כי התובע התרשל בעבודתו ו</w:t>
      </w:r>
      <w:r>
        <w:rPr>
          <w:rFonts w:ascii="David" w:hAnsi="David" w:cs="David"/>
          <w:b/>
          <w:bCs/>
          <w:sz w:val="28"/>
          <w:szCs w:val="28"/>
          <w:rtl/>
        </w:rPr>
        <w:t>"הוזהר אינספור פעמים בגין עבירות משמעת"</w:t>
      </w:r>
      <w:r>
        <w:rPr>
          <w:rFonts w:ascii="David" w:hAnsi="David" w:cs="David"/>
          <w:sz w:val="28"/>
          <w:szCs w:val="28"/>
          <w:rtl/>
        </w:rPr>
        <w:t xml:space="preserve"> (סעיפים 7 ו- 9). לפי הטענה, חוסר שביעות הרצון מתפקוד התובע היה הן בשירות הלקוחות והן בעבודה המשרדית; התובע נעדר לפרקי זמן ארוכים במהלך יום העבודה, מעבר לזמני ההפסקה, שהה ממושכות בשירותים או השתמש בטלפון הנייד שלו לצרכים אישיים.</w:t>
      </w:r>
    </w:p>
    <w:p w14:paraId="00D870F8" w14:textId="77777777" w:rsidR="00000000" w:rsidRDefault="00000000">
      <w:pPr>
        <w:bidi/>
        <w:spacing w:line="360" w:lineRule="auto"/>
        <w:jc w:val="both"/>
        <w:rPr>
          <w:rtl/>
        </w:rPr>
      </w:pPr>
      <w:r>
        <w:rPr>
          <w:rFonts w:ascii="David" w:hAnsi="David" w:cs="David"/>
          <w:sz w:val="28"/>
          <w:szCs w:val="28"/>
          <w:rtl/>
        </w:rPr>
        <w:t> </w:t>
      </w:r>
    </w:p>
    <w:p w14:paraId="0A7297D7" w14:textId="77777777" w:rsidR="00000000" w:rsidRDefault="00000000">
      <w:pPr>
        <w:bidi/>
        <w:spacing w:line="360" w:lineRule="auto"/>
        <w:ind w:left="720" w:hanging="720"/>
        <w:jc w:val="both"/>
        <w:rPr>
          <w:rtl/>
        </w:rPr>
      </w:pPr>
      <w:r>
        <w:rPr>
          <w:rFonts w:ascii="David" w:hAnsi="David" w:cs="David"/>
          <w:sz w:val="28"/>
          <w:szCs w:val="28"/>
          <w:rtl/>
        </w:rPr>
        <w:t xml:space="preserve">52.  טענות אלו של הנתבעת נטענו במידה רבה בעלמא. לא הוצגו לבית הדין ראיות חיצוניות אובייקטיביות לליקויים בתפקוד התובע, הן מבחינה מקצועית והן מבחינת השירות ללקוחות הנתבעת. הנתבעת אומנם טענה, כי במפעל מותקנות מצלמות, כולל בעמדות העבודה של העובדים, אשר תיעדו את התנהלותו של התובע (סעיף 13 לתצהיר איית), אולם לא הוצגה ראיה כזו. התובע הסביר בעדותו, כי השתמש בטלפון הנייד לצורכי עבודה, בו שמורים נתונים כגון כללי עבודה, חוקים ותקנים (פ: 16, ש: 1- 6). הנתבעת גם לא הציגה לבית הדין ולו ראשית ראיה לשיחות הזהרה או בירור שקיימה עם התובע (ראו, למשל, סעיפים 11 עד 13 לכתב התביעה שכנגד; עדות איית: פ: 22, ש: 6, 11). </w:t>
      </w:r>
    </w:p>
    <w:p w14:paraId="6937B9FE" w14:textId="77777777" w:rsidR="00000000" w:rsidRDefault="00000000">
      <w:pPr>
        <w:bidi/>
        <w:spacing w:line="360" w:lineRule="auto"/>
        <w:jc w:val="both"/>
        <w:rPr>
          <w:rtl/>
        </w:rPr>
      </w:pPr>
      <w:r>
        <w:rPr>
          <w:rFonts w:ascii="David" w:hAnsi="David" w:cs="David"/>
          <w:sz w:val="28"/>
          <w:szCs w:val="28"/>
          <w:rtl/>
        </w:rPr>
        <w:t> </w:t>
      </w:r>
    </w:p>
    <w:p w14:paraId="19E73508" w14:textId="77777777" w:rsidR="00000000" w:rsidRDefault="00000000">
      <w:pPr>
        <w:bidi/>
        <w:spacing w:line="360" w:lineRule="auto"/>
        <w:ind w:left="720" w:hanging="720"/>
        <w:jc w:val="both"/>
        <w:rPr>
          <w:rtl/>
        </w:rPr>
      </w:pPr>
      <w:r>
        <w:rPr>
          <w:rFonts w:ascii="David" w:hAnsi="David" w:cs="David"/>
          <w:sz w:val="28"/>
          <w:szCs w:val="28"/>
          <w:rtl/>
        </w:rPr>
        <w:t xml:space="preserve">53.  מן האמור עולה, כי לא הוכחו טענות הנתבעת לגבי התרשלות התובע בביצוע עבודתו, התעסקותו בטלפון הנייד או יציאותיו התכופות להפסקות. </w:t>
      </w:r>
    </w:p>
    <w:p w14:paraId="55EA3757" w14:textId="77777777" w:rsidR="00000000" w:rsidRDefault="00000000">
      <w:pPr>
        <w:bidi/>
        <w:spacing w:line="360" w:lineRule="auto"/>
        <w:jc w:val="both"/>
        <w:rPr>
          <w:rtl/>
        </w:rPr>
      </w:pPr>
      <w:r>
        <w:rPr>
          <w:rFonts w:ascii="David" w:hAnsi="David" w:cs="David"/>
          <w:sz w:val="28"/>
          <w:szCs w:val="28"/>
          <w:rtl/>
        </w:rPr>
        <w:t> </w:t>
      </w:r>
    </w:p>
    <w:p w14:paraId="1559F0BB" w14:textId="77777777" w:rsidR="00000000" w:rsidRDefault="00000000">
      <w:pPr>
        <w:bidi/>
        <w:spacing w:line="360" w:lineRule="auto"/>
        <w:ind w:left="720" w:hanging="720"/>
        <w:jc w:val="both"/>
        <w:rPr>
          <w:rtl/>
        </w:rPr>
      </w:pPr>
      <w:r>
        <w:rPr>
          <w:rFonts w:ascii="David" w:hAnsi="David" w:cs="David"/>
          <w:sz w:val="28"/>
          <w:szCs w:val="28"/>
          <w:rtl/>
        </w:rPr>
        <w:t>54.  טענה נוספת של הנתבעת היא שהתובע המציא לה "הרבה אישורי מחלה" בתקופת העסקתו (דברי איית בדיון, בעמ' 5, ש' 5; ראו גם: סעיפים 16 ו- 17 לכתב התביעה שכנגד וסעיף 23 לתצהיר איית). אולם, מתלושי השכר של התובע עולה ניצול מחלה בחודש 8/22 בלבד. מדבריהם של איית בדיון המוקדם (עמ' 5, ש' 6), והתובע בעדותו (פ: 15, ש: 8- 11) עולה, כי התובע נעדר מעבודתו בחודש 8/22 עקב הידבקות בנגיף הקורונה. מעבר לכך, לא הוכחה טענת הנתבעת שהתובע נהג להמציא אישורי מחלה רבים.</w:t>
      </w:r>
    </w:p>
    <w:p w14:paraId="3674ED88" w14:textId="77777777" w:rsidR="00000000" w:rsidRDefault="00000000">
      <w:pPr>
        <w:bidi/>
        <w:spacing w:line="360" w:lineRule="auto"/>
        <w:jc w:val="both"/>
        <w:rPr>
          <w:rtl/>
        </w:rPr>
      </w:pPr>
      <w:r>
        <w:rPr>
          <w:rFonts w:ascii="David" w:hAnsi="David" w:cs="David"/>
          <w:sz w:val="28"/>
          <w:szCs w:val="28"/>
          <w:rtl/>
        </w:rPr>
        <w:t> </w:t>
      </w:r>
    </w:p>
    <w:p w14:paraId="3EC94BB4" w14:textId="77777777" w:rsidR="00000000" w:rsidRDefault="00000000">
      <w:pPr>
        <w:bidi/>
        <w:spacing w:line="360" w:lineRule="auto"/>
        <w:ind w:left="720" w:hanging="720"/>
        <w:jc w:val="both"/>
        <w:rPr>
          <w:rtl/>
        </w:rPr>
      </w:pPr>
      <w:r>
        <w:rPr>
          <w:rFonts w:ascii="David" w:hAnsi="David" w:cs="David"/>
          <w:sz w:val="28"/>
          <w:szCs w:val="28"/>
          <w:rtl/>
        </w:rPr>
        <w:t>55.  משדחינו את טענות הנתבעת להתנהגות לקויה של התובע - לעניין הכשרתו המקצועית, היעדרויות והצגת אישורי מחלה - נדחית התביעה שכנגד שעניינה "שעות עבודה שנגזלו", "הטעיה ומרמה על הכשרה לימודית" ו"טרדה וטרחה עקב הצגת אישורי מחלה". לטעמנו, ראשי תביעה אלה, העומדים על סכום כולל של 64,000 ש"ח, היו "תגובת נגד" לתביעה שהגיש התובע כנגד הנתבעת, ואין בהם ממש.</w:t>
      </w:r>
    </w:p>
    <w:p w14:paraId="4B6A154D" w14:textId="77777777" w:rsidR="00000000" w:rsidRDefault="00000000">
      <w:pPr>
        <w:bidi/>
        <w:spacing w:line="360" w:lineRule="auto"/>
        <w:jc w:val="both"/>
        <w:rPr>
          <w:rtl/>
        </w:rPr>
      </w:pPr>
      <w:r>
        <w:rPr>
          <w:rFonts w:ascii="David" w:hAnsi="David" w:cs="David"/>
          <w:sz w:val="28"/>
          <w:szCs w:val="28"/>
          <w:rtl/>
        </w:rPr>
        <w:t> </w:t>
      </w:r>
    </w:p>
    <w:p w14:paraId="3FC00DCE" w14:textId="77777777" w:rsidR="00000000" w:rsidRDefault="00000000">
      <w:pPr>
        <w:bidi/>
        <w:spacing w:line="360" w:lineRule="auto"/>
        <w:ind w:left="720" w:hanging="720"/>
        <w:jc w:val="both"/>
        <w:rPr>
          <w:rtl/>
        </w:rPr>
      </w:pPr>
      <w:r>
        <w:rPr>
          <w:rFonts w:ascii="David" w:hAnsi="David" w:cs="David"/>
          <w:sz w:val="28"/>
          <w:szCs w:val="28"/>
          <w:rtl/>
        </w:rPr>
        <w:t xml:space="preserve">56.  </w:t>
      </w:r>
      <w:r>
        <w:rPr>
          <w:rFonts w:ascii="David" w:hAnsi="David" w:cs="David"/>
          <w:sz w:val="28"/>
          <w:szCs w:val="28"/>
          <w:u w:val="single"/>
          <w:rtl/>
        </w:rPr>
        <w:t>הטענה לתשלום דמי נסיעות ביתר</w:t>
      </w:r>
      <w:r>
        <w:rPr>
          <w:rFonts w:ascii="David" w:hAnsi="David" w:cs="David"/>
          <w:sz w:val="28"/>
          <w:szCs w:val="28"/>
          <w:rtl/>
        </w:rPr>
        <w:t xml:space="preserve">: בהתאם לתלושי השכר, הנתבעת שילמה לתובע דמי נסיעות בתעריף 25 ש"ח ליום. לטענת הנתבעת, בטעות שילמה לתובע הוצאות נסיעה בתעריף זה, בעוד שהיה זכאי לתשלום בסך 149 ש"ח לחודש. התובע הצהיר מנגד, כי תנאי העבודה, היינו שכר שעתי בתעריף 43 ש"ח ודמי נסיעות בסך 25 ש"ח ליום </w:t>
      </w:r>
      <w:r>
        <w:rPr>
          <w:rFonts w:ascii="David" w:hAnsi="David" w:cs="David"/>
          <w:b/>
          <w:bCs/>
          <w:sz w:val="28"/>
          <w:szCs w:val="28"/>
          <w:rtl/>
        </w:rPr>
        <w:t>"סוכמו בעל פה בלבד"</w:t>
      </w:r>
      <w:r>
        <w:rPr>
          <w:rFonts w:ascii="David" w:hAnsi="David" w:cs="David"/>
          <w:sz w:val="28"/>
          <w:szCs w:val="28"/>
          <w:rtl/>
        </w:rPr>
        <w:t xml:space="preserve"> (סעיף 7 לתצהיר). </w:t>
      </w:r>
    </w:p>
    <w:p w14:paraId="45DE61B7" w14:textId="77777777" w:rsidR="00000000" w:rsidRDefault="00000000">
      <w:pPr>
        <w:bidi/>
        <w:spacing w:line="360" w:lineRule="auto"/>
        <w:jc w:val="both"/>
        <w:rPr>
          <w:rtl/>
        </w:rPr>
      </w:pPr>
      <w:r>
        <w:rPr>
          <w:rFonts w:ascii="David" w:hAnsi="David" w:cs="David"/>
          <w:sz w:val="28"/>
          <w:szCs w:val="28"/>
          <w:rtl/>
        </w:rPr>
        <w:t> </w:t>
      </w:r>
    </w:p>
    <w:p w14:paraId="7F578710" w14:textId="77777777" w:rsidR="00000000" w:rsidRDefault="00000000">
      <w:pPr>
        <w:bidi/>
        <w:spacing w:line="360" w:lineRule="auto"/>
        <w:ind w:left="720" w:hanging="720"/>
        <w:jc w:val="both"/>
        <w:rPr>
          <w:rtl/>
        </w:rPr>
      </w:pPr>
      <w:r>
        <w:rPr>
          <w:rFonts w:ascii="David" w:hAnsi="David" w:cs="David"/>
          <w:sz w:val="28"/>
          <w:szCs w:val="28"/>
          <w:rtl/>
        </w:rPr>
        <w:t xml:space="preserve">57.  לאחר ששקלנו את טענות הצדדים ואת העדויות שנשמעו, באנו לכלל מסקנה כי לא הוכחה טענת הנתבעת לטעות המצדיקה השבת הוצאות הנסיעה ששילמה לתובע. זכאותו של התובע להחזר הוצאות נסיעה בתעריף 25 ש"ח מעוגנת בתלושי השכר שהפיקה הנתבעת. החזר הוצאות זה הפך לחלק מתנאי עבודתו המוסכמים של התובע. תלושי השכר הם ראיה לכאורה לאמיתות תוכנם, והנתבעת לא סתרה את הרישום בתלושים. נהפוך הוא: איית העיד בחקירה נגדית, כי תעריף הנסיעות ששולם לתובע </w:t>
      </w:r>
      <w:r>
        <w:rPr>
          <w:rFonts w:ascii="David" w:hAnsi="David" w:cs="David"/>
          <w:b/>
          <w:bCs/>
          <w:sz w:val="28"/>
          <w:szCs w:val="28"/>
          <w:rtl/>
        </w:rPr>
        <w:t>"זה הוסכם, וזה רשום בתוך התלוש"</w:t>
      </w:r>
      <w:r>
        <w:rPr>
          <w:rFonts w:ascii="David" w:hAnsi="David" w:cs="David"/>
          <w:sz w:val="28"/>
          <w:szCs w:val="28"/>
          <w:rtl/>
        </w:rPr>
        <w:t xml:space="preserve"> (פ: 20, ש: 2). זאת ועוד: הנתבעת לא הסבירה את נסיבות הטעות ולא הביאה לעדות את הגורם שיוכל להסביר את הטעות הנטענת. מכאן, שכל עוד לא הוכח אחרת ניתן לסבור שמדובר </w:t>
      </w:r>
      <w:r>
        <w:rPr>
          <w:rFonts w:ascii="David" w:hAnsi="David" w:cs="David"/>
          <w:color w:val="000000"/>
          <w:sz w:val="28"/>
          <w:szCs w:val="28"/>
          <w:rtl/>
        </w:rPr>
        <w:t>בהסכמה מודעת לשלם </w:t>
      </w:r>
      <w:r>
        <w:rPr>
          <w:rFonts w:ascii="David" w:hAnsi="David" w:cs="David"/>
          <w:sz w:val="28"/>
          <w:szCs w:val="28"/>
          <w:rtl/>
        </w:rPr>
        <w:t xml:space="preserve">דמי נסיעות בשיעור העולה על המגיע על פי הדין. לאמור יש להוסיף, כי הנתבעת לא הציגה, כאמור, הודעה לעובד המפרטת את תנאי עבודתו של התובע, לרבות החזר הוצאות נסיעה כפי שהוסכם בין הצדדים. גם אין בגרסת הנתבעת התייחסות למקום מגורי התובע ולמקום משרדי הנתבעת. נספח </w:t>
      </w:r>
      <w:proofErr w:type="spellStart"/>
      <w:r>
        <w:rPr>
          <w:rFonts w:ascii="David" w:hAnsi="David" w:cs="David"/>
          <w:sz w:val="28"/>
          <w:szCs w:val="28"/>
          <w:rtl/>
        </w:rPr>
        <w:t>יב</w:t>
      </w:r>
      <w:proofErr w:type="spellEnd"/>
      <w:r>
        <w:rPr>
          <w:rFonts w:ascii="David" w:hAnsi="David" w:cs="David"/>
          <w:sz w:val="28"/>
          <w:szCs w:val="28"/>
          <w:rtl/>
        </w:rPr>
        <w:t xml:space="preserve"> לתצהירי הנתבעת אינו מסמך רשמי המעיד על עלויות הנסיעה בתחבורה ציבורית מביתו של התובע למשרדי הנתבעת. התעריף הנטען 149 ש"ח כלל לא צוין במסמך זה, אלא רשום בכתב יד. על כן, אין מנוס מהקביעה שהתביעה ברכיב זה לא הוכחה. </w:t>
      </w:r>
    </w:p>
    <w:p w14:paraId="5BE56BFE" w14:textId="77777777" w:rsidR="00000000" w:rsidRDefault="00000000">
      <w:pPr>
        <w:bidi/>
        <w:spacing w:line="360" w:lineRule="auto"/>
        <w:jc w:val="both"/>
        <w:rPr>
          <w:rtl/>
        </w:rPr>
      </w:pPr>
      <w:r>
        <w:rPr>
          <w:rFonts w:ascii="David" w:hAnsi="David" w:cs="David"/>
          <w:sz w:val="28"/>
          <w:szCs w:val="28"/>
          <w:rtl/>
        </w:rPr>
        <w:t> </w:t>
      </w:r>
    </w:p>
    <w:p w14:paraId="0B6CE0CB" w14:textId="77777777" w:rsidR="00000000" w:rsidRDefault="00000000">
      <w:pPr>
        <w:bidi/>
        <w:spacing w:line="360" w:lineRule="auto"/>
        <w:jc w:val="both"/>
        <w:rPr>
          <w:rtl/>
        </w:rPr>
      </w:pPr>
      <w:r>
        <w:rPr>
          <w:rFonts w:ascii="David" w:hAnsi="David" w:cs="David"/>
          <w:b/>
          <w:bCs/>
          <w:sz w:val="28"/>
          <w:szCs w:val="28"/>
          <w:u w:val="single"/>
          <w:rtl/>
        </w:rPr>
        <w:t>סוף דבר</w:t>
      </w:r>
    </w:p>
    <w:p w14:paraId="6AF88656" w14:textId="77777777" w:rsidR="00000000" w:rsidRDefault="00000000">
      <w:pPr>
        <w:bidi/>
        <w:spacing w:line="360" w:lineRule="auto"/>
        <w:ind w:left="720" w:hanging="720"/>
        <w:jc w:val="both"/>
        <w:rPr>
          <w:rtl/>
        </w:rPr>
      </w:pPr>
      <w:r>
        <w:rPr>
          <w:rFonts w:ascii="David" w:hAnsi="David" w:cs="David"/>
          <w:sz w:val="28"/>
          <w:szCs w:val="28"/>
          <w:rtl/>
        </w:rPr>
        <w:t>58.  התביעה מתקבלת בחלקה והתביעה שכנגד נדחית במלואה.</w:t>
      </w:r>
    </w:p>
    <w:p w14:paraId="5B469317" w14:textId="77777777" w:rsidR="00000000" w:rsidRDefault="00000000">
      <w:pPr>
        <w:bidi/>
        <w:spacing w:line="360" w:lineRule="auto"/>
        <w:ind w:left="720" w:hanging="720"/>
        <w:jc w:val="both"/>
        <w:rPr>
          <w:rtl/>
        </w:rPr>
      </w:pPr>
      <w:r>
        <w:rPr>
          <w:rFonts w:ascii="David" w:hAnsi="David" w:cs="David"/>
          <w:sz w:val="28"/>
          <w:szCs w:val="28"/>
          <w:rtl/>
        </w:rPr>
        <w:t> </w:t>
      </w:r>
    </w:p>
    <w:p w14:paraId="3D85D151" w14:textId="77777777" w:rsidR="00000000" w:rsidRDefault="00000000">
      <w:pPr>
        <w:bidi/>
        <w:spacing w:line="360" w:lineRule="auto"/>
        <w:ind w:left="720" w:hanging="720"/>
        <w:jc w:val="both"/>
        <w:rPr>
          <w:rtl/>
        </w:rPr>
      </w:pPr>
      <w:r>
        <w:rPr>
          <w:rFonts w:ascii="David" w:hAnsi="David" w:cs="David"/>
          <w:sz w:val="28"/>
          <w:szCs w:val="28"/>
          <w:rtl/>
        </w:rPr>
        <w:t xml:space="preserve">59.  אנו מחייבים את הנתבעת לשלם לתובע, בתוך 30 ימים מיום שיומצא לה פסק דין זה, את הסכומים הבאים: </w:t>
      </w:r>
    </w:p>
    <w:p w14:paraId="51BBE2D9" w14:textId="77777777" w:rsidR="00000000" w:rsidRDefault="00000000">
      <w:pPr>
        <w:bidi/>
        <w:spacing w:line="360" w:lineRule="auto"/>
        <w:ind w:left="1440" w:hanging="720"/>
        <w:jc w:val="both"/>
        <w:rPr>
          <w:rtl/>
        </w:rPr>
      </w:pPr>
      <w:r>
        <w:rPr>
          <w:rFonts w:ascii="David" w:hAnsi="David" w:cs="David"/>
          <w:sz w:val="28"/>
          <w:szCs w:val="28"/>
          <w:rtl/>
        </w:rPr>
        <w:t>(א)  חלף הודעה מוקדמת לפיטורים בסך 1,856 ש"ח, בצירוף ריבית שקלית כדין מיום 20.9.22.</w:t>
      </w:r>
    </w:p>
    <w:p w14:paraId="2FFA712E" w14:textId="77777777" w:rsidR="00000000" w:rsidRDefault="00000000">
      <w:pPr>
        <w:bidi/>
        <w:spacing w:line="360" w:lineRule="auto"/>
        <w:ind w:left="1440" w:hanging="720"/>
        <w:jc w:val="both"/>
        <w:rPr>
          <w:rtl/>
        </w:rPr>
      </w:pPr>
      <w:r>
        <w:rPr>
          <w:rFonts w:ascii="David" w:hAnsi="David" w:cs="David"/>
          <w:sz w:val="28"/>
          <w:szCs w:val="28"/>
          <w:rtl/>
        </w:rPr>
        <w:t>(ב)  פיצוי בגין אי מתן הודעה בכתב על תנאי העסקה בסך 4,000 ש"ח.</w:t>
      </w:r>
    </w:p>
    <w:p w14:paraId="35D4BD17" w14:textId="77777777" w:rsidR="00000000" w:rsidRDefault="00000000">
      <w:pPr>
        <w:bidi/>
        <w:spacing w:line="360" w:lineRule="auto"/>
        <w:ind w:left="1440" w:hanging="720"/>
        <w:jc w:val="both"/>
        <w:rPr>
          <w:rtl/>
        </w:rPr>
      </w:pPr>
      <w:r>
        <w:rPr>
          <w:rFonts w:ascii="David" w:hAnsi="David" w:cs="David"/>
          <w:sz w:val="28"/>
          <w:szCs w:val="28"/>
          <w:rtl/>
        </w:rPr>
        <w:t>(ג)  תגמולי מעסיק לקרן פנסיה בסך 3,660 ש"ח, בצירוף ריבית שקלית כדין מיום 10.6.22.</w:t>
      </w:r>
    </w:p>
    <w:p w14:paraId="3D66EADB" w14:textId="77777777" w:rsidR="00000000" w:rsidRDefault="00000000">
      <w:pPr>
        <w:bidi/>
        <w:spacing w:line="360" w:lineRule="auto"/>
        <w:ind w:left="1440" w:hanging="720"/>
        <w:jc w:val="both"/>
        <w:rPr>
          <w:rtl/>
        </w:rPr>
      </w:pPr>
      <w:r>
        <w:rPr>
          <w:rFonts w:ascii="David" w:hAnsi="David" w:cs="David"/>
          <w:sz w:val="28"/>
          <w:szCs w:val="28"/>
          <w:rtl/>
        </w:rPr>
        <w:t>(ד)  הפרשי שכר בסך 903 ש"ח בצירוף ריבית שקלית כדין מיום 31.7.22.</w:t>
      </w:r>
    </w:p>
    <w:p w14:paraId="304CA2AF" w14:textId="77777777" w:rsidR="00000000" w:rsidRDefault="00000000">
      <w:pPr>
        <w:bidi/>
        <w:spacing w:line="360" w:lineRule="auto"/>
        <w:ind w:left="1440" w:hanging="720"/>
        <w:jc w:val="both"/>
        <w:rPr>
          <w:rtl/>
        </w:rPr>
      </w:pPr>
      <w:r>
        <w:rPr>
          <w:rFonts w:ascii="David" w:hAnsi="David" w:cs="David"/>
          <w:sz w:val="28"/>
          <w:szCs w:val="28"/>
          <w:rtl/>
        </w:rPr>
        <w:t>(ה)  פיצוי בגין פגמים בהליך הפיטורים בסך 15,000 ש"ח.</w:t>
      </w:r>
    </w:p>
    <w:p w14:paraId="0709E639" w14:textId="77777777" w:rsidR="00000000" w:rsidRDefault="00000000">
      <w:pPr>
        <w:bidi/>
        <w:spacing w:line="360" w:lineRule="auto"/>
        <w:jc w:val="both"/>
        <w:rPr>
          <w:rtl/>
        </w:rPr>
      </w:pPr>
      <w:r>
        <w:rPr>
          <w:rFonts w:ascii="David" w:hAnsi="David" w:cs="David"/>
          <w:sz w:val="28"/>
          <w:szCs w:val="28"/>
          <w:rtl/>
        </w:rPr>
        <w:t> </w:t>
      </w:r>
    </w:p>
    <w:p w14:paraId="21D1D999" w14:textId="77777777" w:rsidR="00000000" w:rsidRDefault="00000000">
      <w:pPr>
        <w:bidi/>
        <w:spacing w:line="360" w:lineRule="auto"/>
        <w:ind w:left="720" w:hanging="720"/>
        <w:jc w:val="both"/>
        <w:rPr>
          <w:rtl/>
        </w:rPr>
      </w:pPr>
      <w:r>
        <w:rPr>
          <w:rFonts w:ascii="David" w:hAnsi="David" w:cs="David"/>
          <w:sz w:val="28"/>
          <w:szCs w:val="28"/>
          <w:rtl/>
        </w:rPr>
        <w:t xml:space="preserve">60.  כמו כן, תישא הנתבעת בהוצאות התובע בסך 1,000 ש"ח, ובשכר טרחת עו"ד התובע בסך 4,000 ש"ח, שניהם בתוספת ריבית שקלית כדין, ממועד פסק הדין. </w:t>
      </w:r>
    </w:p>
    <w:p w14:paraId="0A95819A" w14:textId="77777777" w:rsidR="00000000" w:rsidRDefault="00000000">
      <w:pPr>
        <w:bidi/>
        <w:spacing w:line="360" w:lineRule="auto"/>
        <w:jc w:val="both"/>
        <w:rPr>
          <w:rtl/>
        </w:rPr>
      </w:pPr>
      <w:r>
        <w:rPr>
          <w:rFonts w:ascii="David" w:hAnsi="David" w:cs="David"/>
          <w:sz w:val="28"/>
          <w:szCs w:val="28"/>
          <w:rtl/>
        </w:rPr>
        <w:t> </w:t>
      </w:r>
    </w:p>
    <w:p w14:paraId="24999B35" w14:textId="77777777" w:rsidR="00000000" w:rsidRDefault="00000000">
      <w:pPr>
        <w:bidi/>
        <w:spacing w:line="360" w:lineRule="auto"/>
        <w:jc w:val="both"/>
        <w:rPr>
          <w:rtl/>
        </w:rPr>
      </w:pPr>
      <w:r>
        <w:rPr>
          <w:rFonts w:ascii="David" w:hAnsi="David" w:cs="David"/>
          <w:sz w:val="28"/>
          <w:szCs w:val="28"/>
          <w:rtl/>
        </w:rPr>
        <w:t>לצדדים מוקנית זכות ערעור לבית הדין הארצי לעבודה בירושלים, וזאת בתוך 30 ימים מיום שפסק הדין יומצא להם.</w:t>
      </w:r>
    </w:p>
    <w:p w14:paraId="33E404D0" w14:textId="77777777" w:rsidR="00000000" w:rsidRDefault="00000000">
      <w:pPr>
        <w:bidi/>
        <w:spacing w:line="360" w:lineRule="auto"/>
        <w:jc w:val="both"/>
        <w:rPr>
          <w:rtl/>
        </w:rPr>
      </w:pPr>
      <w:r>
        <w:rPr>
          <w:rFonts w:ascii="David" w:hAnsi="David" w:cs="David"/>
          <w:sz w:val="28"/>
          <w:szCs w:val="28"/>
          <w:rtl/>
        </w:rPr>
        <w:t> </w:t>
      </w:r>
    </w:p>
    <w:p w14:paraId="4D99811E" w14:textId="77777777" w:rsidR="00000000" w:rsidRDefault="00000000">
      <w:pPr>
        <w:bidi/>
        <w:spacing w:line="360" w:lineRule="auto"/>
        <w:jc w:val="both"/>
        <w:rPr>
          <w:rtl/>
        </w:rPr>
      </w:pPr>
      <w:r>
        <w:rPr>
          <w:rFonts w:ascii="David" w:hAnsi="David" w:cs="David"/>
          <w:b/>
          <w:bCs/>
          <w:sz w:val="28"/>
          <w:szCs w:val="28"/>
          <w:rtl/>
        </w:rPr>
        <w:t>ניתן היום, ח' שבט תשפ"ו, (</w:t>
      </w:r>
      <w:r>
        <w:rPr>
          <w:rStyle w:val="f5dinim"/>
          <w:rFonts w:ascii="David" w:hAnsi="David" w:cs="David"/>
          <w:b/>
          <w:bCs/>
          <w:sz w:val="28"/>
          <w:szCs w:val="28"/>
          <w:rtl/>
        </w:rPr>
        <w:t>26 ינואר 2026</w:t>
      </w:r>
      <w:r>
        <w:rPr>
          <w:rFonts w:ascii="David" w:hAnsi="David" w:cs="David"/>
          <w:b/>
          <w:bCs/>
          <w:sz w:val="28"/>
          <w:szCs w:val="28"/>
          <w:rtl/>
        </w:rPr>
        <w:t>), בהעדר הצדדים ויישלח אליהם.</w:t>
      </w:r>
    </w:p>
    <w:p w14:paraId="14FB48C6" w14:textId="77777777" w:rsidR="00000000" w:rsidRDefault="00000000">
      <w:pPr>
        <w:bidi/>
        <w:spacing w:line="360" w:lineRule="auto"/>
        <w:jc w:val="both"/>
        <w:rPr>
          <w:rtl/>
        </w:rPr>
      </w:pPr>
      <w:r>
        <w:rPr>
          <w:rFonts w:ascii="David" w:hAnsi="David" w:cs="David"/>
          <w:sz w:val="28"/>
          <w:szCs w:val="28"/>
          <w:rtl/>
        </w:rPr>
        <w:t> </w:t>
      </w:r>
    </w:p>
    <w:tbl>
      <w:tblPr>
        <w:bidiVisual/>
        <w:tblW w:w="0" w:type="auto"/>
        <w:tblInd w:w="-226" w:type="dxa"/>
        <w:tblCellMar>
          <w:left w:w="0" w:type="dxa"/>
          <w:right w:w="0" w:type="dxa"/>
        </w:tblCellMar>
        <w:tblLook w:val="04A0" w:firstRow="1" w:lastRow="0" w:firstColumn="1" w:lastColumn="0" w:noHBand="0" w:noVBand="1"/>
      </w:tblPr>
      <w:tblGrid>
        <w:gridCol w:w="2440"/>
        <w:gridCol w:w="284"/>
        <w:gridCol w:w="2977"/>
        <w:gridCol w:w="283"/>
        <w:gridCol w:w="2548"/>
      </w:tblGrid>
      <w:tr w:rsidR="00000000" w14:paraId="565C3296" w14:textId="77777777">
        <w:tc>
          <w:tcPr>
            <w:tcW w:w="2440" w:type="dxa"/>
            <w:tcBorders>
              <w:top w:val="nil"/>
              <w:left w:val="nil"/>
              <w:bottom w:val="single" w:sz="8" w:space="0" w:color="auto"/>
              <w:right w:val="nil"/>
            </w:tcBorders>
            <w:tcMar>
              <w:top w:w="0" w:type="dxa"/>
              <w:left w:w="108" w:type="dxa"/>
              <w:bottom w:w="0" w:type="dxa"/>
              <w:right w:w="108" w:type="dxa"/>
            </w:tcMar>
            <w:hideMark/>
          </w:tcPr>
          <w:p w14:paraId="0723847D" w14:textId="77777777" w:rsidR="00000000" w:rsidRDefault="00000000">
            <w:pPr>
              <w:bidi/>
              <w:spacing w:line="360" w:lineRule="auto"/>
              <w:jc w:val="center"/>
              <w:rPr>
                <w:rtl/>
              </w:rPr>
            </w:pPr>
            <w:r>
              <w:rPr>
                <w:rFonts w:ascii="David" w:hAnsi="David" w:cs="David"/>
                <w:noProof/>
                <w:sz w:val="28"/>
                <w:szCs w:val="28"/>
              </w:rPr>
              <w:drawing>
                <wp:inline distT="0" distB="0" distL="0" distR="0" wp14:anchorId="2E18BDFE" wp14:editId="063D979D">
                  <wp:extent cx="771525" cy="55245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71525" cy="552450"/>
                          </a:xfrm>
                          <a:prstGeom prst="rect">
                            <a:avLst/>
                          </a:prstGeom>
                          <a:noFill/>
                          <a:ln>
                            <a:noFill/>
                          </a:ln>
                        </pic:spPr>
                      </pic:pic>
                    </a:graphicData>
                  </a:graphic>
                </wp:inline>
              </w:drawing>
            </w:r>
          </w:p>
        </w:tc>
        <w:tc>
          <w:tcPr>
            <w:tcW w:w="284" w:type="dxa"/>
            <w:tcMar>
              <w:top w:w="0" w:type="dxa"/>
              <w:left w:w="108" w:type="dxa"/>
              <w:bottom w:w="0" w:type="dxa"/>
              <w:right w:w="108" w:type="dxa"/>
            </w:tcMar>
            <w:hideMark/>
          </w:tcPr>
          <w:p w14:paraId="789E577E" w14:textId="77777777" w:rsidR="00000000" w:rsidRDefault="00000000">
            <w:pPr>
              <w:bidi/>
              <w:spacing w:line="360" w:lineRule="auto"/>
              <w:jc w:val="center"/>
              <w:rPr>
                <w:rtl/>
              </w:rPr>
            </w:pPr>
            <w:r>
              <w:rPr>
                <w:rFonts w:ascii="David" w:hAnsi="David" w:cs="David"/>
                <w:b/>
                <w:bCs/>
                <w:sz w:val="28"/>
                <w:szCs w:val="28"/>
              </w:rPr>
              <w:t> </w:t>
            </w:r>
          </w:p>
        </w:tc>
        <w:tc>
          <w:tcPr>
            <w:tcW w:w="2977" w:type="dxa"/>
            <w:tcBorders>
              <w:top w:val="nil"/>
              <w:left w:val="nil"/>
              <w:bottom w:val="single" w:sz="8" w:space="0" w:color="auto"/>
              <w:right w:val="nil"/>
            </w:tcBorders>
            <w:tcMar>
              <w:top w:w="0" w:type="dxa"/>
              <w:left w:w="108" w:type="dxa"/>
              <w:bottom w:w="0" w:type="dxa"/>
              <w:right w:w="108" w:type="dxa"/>
            </w:tcMar>
            <w:hideMark/>
          </w:tcPr>
          <w:p w14:paraId="6D8F83CB" w14:textId="77777777" w:rsidR="00000000" w:rsidRDefault="00000000">
            <w:pPr>
              <w:bidi/>
              <w:spacing w:line="360" w:lineRule="auto"/>
              <w:jc w:val="center"/>
              <w:rPr>
                <w:rtl/>
              </w:rPr>
            </w:pPr>
            <w:r>
              <w:rPr>
                <w:rFonts w:ascii="David" w:hAnsi="David" w:cs="David"/>
                <w:noProof/>
                <w:sz w:val="28"/>
                <w:szCs w:val="28"/>
              </w:rPr>
              <w:drawing>
                <wp:inline distT="0" distB="0" distL="0" distR="0" wp14:anchorId="03EE0974" wp14:editId="5DED4915">
                  <wp:extent cx="1247775" cy="504825"/>
                  <wp:effectExtent l="0" t="0" r="9525"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47775" cy="504825"/>
                          </a:xfrm>
                          <a:prstGeom prst="rect">
                            <a:avLst/>
                          </a:prstGeom>
                          <a:noFill/>
                          <a:ln>
                            <a:noFill/>
                          </a:ln>
                        </pic:spPr>
                      </pic:pic>
                    </a:graphicData>
                  </a:graphic>
                </wp:inline>
              </w:drawing>
            </w:r>
          </w:p>
        </w:tc>
        <w:tc>
          <w:tcPr>
            <w:tcW w:w="283" w:type="dxa"/>
            <w:tcMar>
              <w:top w:w="0" w:type="dxa"/>
              <w:left w:w="108" w:type="dxa"/>
              <w:bottom w:w="0" w:type="dxa"/>
              <w:right w:w="108" w:type="dxa"/>
            </w:tcMar>
            <w:hideMark/>
          </w:tcPr>
          <w:p w14:paraId="35BFE8E0" w14:textId="77777777" w:rsidR="00000000" w:rsidRDefault="00000000">
            <w:pPr>
              <w:bidi/>
              <w:spacing w:line="360" w:lineRule="auto"/>
              <w:jc w:val="center"/>
              <w:rPr>
                <w:rtl/>
              </w:rPr>
            </w:pPr>
            <w:r>
              <w:rPr>
                <w:rFonts w:ascii="David" w:hAnsi="David" w:cs="David"/>
                <w:b/>
                <w:bCs/>
                <w:sz w:val="28"/>
                <w:szCs w:val="28"/>
                <w:rtl/>
              </w:rPr>
              <w:t> </w:t>
            </w:r>
          </w:p>
        </w:tc>
        <w:tc>
          <w:tcPr>
            <w:tcW w:w="2548" w:type="dxa"/>
            <w:tcBorders>
              <w:top w:val="nil"/>
              <w:left w:val="nil"/>
              <w:bottom w:val="single" w:sz="8" w:space="0" w:color="auto"/>
              <w:right w:val="nil"/>
            </w:tcBorders>
            <w:tcMar>
              <w:top w:w="0" w:type="dxa"/>
              <w:left w:w="108" w:type="dxa"/>
              <w:bottom w:w="0" w:type="dxa"/>
              <w:right w:w="108" w:type="dxa"/>
            </w:tcMar>
            <w:hideMark/>
          </w:tcPr>
          <w:p w14:paraId="1E55A308" w14:textId="77777777" w:rsidR="00000000" w:rsidRDefault="00000000">
            <w:pPr>
              <w:bidi/>
              <w:spacing w:line="360" w:lineRule="auto"/>
              <w:jc w:val="center"/>
              <w:rPr>
                <w:rtl/>
              </w:rPr>
            </w:pPr>
            <w:r>
              <w:rPr>
                <w:rFonts w:ascii="David" w:hAnsi="David" w:cs="David"/>
                <w:noProof/>
                <w:sz w:val="28"/>
                <w:szCs w:val="28"/>
              </w:rPr>
              <w:drawing>
                <wp:inline distT="0" distB="0" distL="0" distR="0" wp14:anchorId="73198F54" wp14:editId="369C8E84">
                  <wp:extent cx="981075" cy="5715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a:ln>
                            <a:noFill/>
                          </a:ln>
                        </pic:spPr>
                      </pic:pic>
                    </a:graphicData>
                  </a:graphic>
                </wp:inline>
              </w:drawing>
            </w:r>
          </w:p>
        </w:tc>
      </w:tr>
      <w:tr w:rsidR="00000000" w14:paraId="1F0F4896" w14:textId="77777777">
        <w:tc>
          <w:tcPr>
            <w:tcW w:w="2440" w:type="dxa"/>
            <w:tcMar>
              <w:top w:w="0" w:type="dxa"/>
              <w:left w:w="108" w:type="dxa"/>
              <w:bottom w:w="0" w:type="dxa"/>
              <w:right w:w="108" w:type="dxa"/>
            </w:tcMar>
            <w:hideMark/>
          </w:tcPr>
          <w:p w14:paraId="2A0D85AD" w14:textId="77777777" w:rsidR="00000000" w:rsidRDefault="00000000">
            <w:pPr>
              <w:bidi/>
              <w:jc w:val="center"/>
              <w:rPr>
                <w:rtl/>
              </w:rPr>
            </w:pPr>
            <w:r>
              <w:rPr>
                <w:rFonts w:ascii="David" w:hAnsi="David" w:cs="David"/>
                <w:b/>
                <w:bCs/>
                <w:sz w:val="28"/>
                <w:szCs w:val="28"/>
                <w:rtl/>
              </w:rPr>
              <w:t>דוד שמחוני,</w:t>
            </w:r>
          </w:p>
          <w:p w14:paraId="63CE07E0" w14:textId="77777777" w:rsidR="00000000" w:rsidRDefault="00000000">
            <w:pPr>
              <w:bidi/>
              <w:jc w:val="center"/>
              <w:rPr>
                <w:rtl/>
              </w:rPr>
            </w:pPr>
            <w:r>
              <w:rPr>
                <w:rFonts w:ascii="David" w:hAnsi="David" w:cs="David"/>
                <w:b/>
                <w:bCs/>
                <w:sz w:val="28"/>
                <w:szCs w:val="28"/>
                <w:rtl/>
              </w:rPr>
              <w:t>נציג עובדים</w:t>
            </w:r>
          </w:p>
        </w:tc>
        <w:tc>
          <w:tcPr>
            <w:tcW w:w="284" w:type="dxa"/>
            <w:tcMar>
              <w:top w:w="0" w:type="dxa"/>
              <w:left w:w="108" w:type="dxa"/>
              <w:bottom w:w="0" w:type="dxa"/>
              <w:right w:w="108" w:type="dxa"/>
            </w:tcMar>
            <w:hideMark/>
          </w:tcPr>
          <w:p w14:paraId="721107E5" w14:textId="77777777" w:rsidR="00000000" w:rsidRDefault="00000000">
            <w:pPr>
              <w:bidi/>
              <w:spacing w:line="360" w:lineRule="auto"/>
              <w:jc w:val="center"/>
              <w:rPr>
                <w:rtl/>
              </w:rPr>
            </w:pPr>
            <w:r>
              <w:rPr>
                <w:rFonts w:ascii="David" w:hAnsi="David" w:cs="David"/>
                <w:b/>
                <w:bCs/>
                <w:sz w:val="28"/>
                <w:szCs w:val="28"/>
                <w:rtl/>
              </w:rPr>
              <w:t> </w:t>
            </w:r>
          </w:p>
        </w:tc>
        <w:tc>
          <w:tcPr>
            <w:tcW w:w="2977" w:type="dxa"/>
            <w:tcMar>
              <w:top w:w="0" w:type="dxa"/>
              <w:left w:w="108" w:type="dxa"/>
              <w:bottom w:w="0" w:type="dxa"/>
              <w:right w:w="108" w:type="dxa"/>
            </w:tcMar>
            <w:hideMark/>
          </w:tcPr>
          <w:p w14:paraId="1268CF22" w14:textId="77777777" w:rsidR="00000000" w:rsidRDefault="00000000">
            <w:pPr>
              <w:bidi/>
              <w:jc w:val="center"/>
              <w:rPr>
                <w:rtl/>
              </w:rPr>
            </w:pPr>
            <w:r>
              <w:rPr>
                <w:rFonts w:ascii="David" w:hAnsi="David" w:cs="David"/>
                <w:b/>
                <w:bCs/>
                <w:sz w:val="28"/>
                <w:szCs w:val="28"/>
                <w:rtl/>
              </w:rPr>
              <w:t>מירי שי,</w:t>
            </w:r>
          </w:p>
          <w:p w14:paraId="59DF1767" w14:textId="77777777" w:rsidR="00000000" w:rsidRDefault="00000000">
            <w:pPr>
              <w:bidi/>
              <w:jc w:val="center"/>
              <w:rPr>
                <w:rtl/>
              </w:rPr>
            </w:pPr>
            <w:r>
              <w:rPr>
                <w:rFonts w:ascii="David" w:hAnsi="David" w:cs="David"/>
                <w:b/>
                <w:bCs/>
                <w:sz w:val="28"/>
                <w:szCs w:val="28"/>
                <w:rtl/>
              </w:rPr>
              <w:t>שופטת</w:t>
            </w:r>
          </w:p>
        </w:tc>
        <w:tc>
          <w:tcPr>
            <w:tcW w:w="283" w:type="dxa"/>
            <w:tcMar>
              <w:top w:w="0" w:type="dxa"/>
              <w:left w:w="108" w:type="dxa"/>
              <w:bottom w:w="0" w:type="dxa"/>
              <w:right w:w="108" w:type="dxa"/>
            </w:tcMar>
            <w:hideMark/>
          </w:tcPr>
          <w:p w14:paraId="5E91B244" w14:textId="77777777" w:rsidR="00000000" w:rsidRDefault="00000000">
            <w:pPr>
              <w:bidi/>
              <w:spacing w:line="360" w:lineRule="auto"/>
              <w:jc w:val="center"/>
              <w:rPr>
                <w:rtl/>
              </w:rPr>
            </w:pPr>
            <w:r>
              <w:rPr>
                <w:rFonts w:ascii="David" w:hAnsi="David" w:cs="David"/>
                <w:b/>
                <w:bCs/>
                <w:sz w:val="28"/>
                <w:szCs w:val="28"/>
                <w:rtl/>
              </w:rPr>
              <w:t> </w:t>
            </w:r>
          </w:p>
        </w:tc>
        <w:tc>
          <w:tcPr>
            <w:tcW w:w="2548" w:type="dxa"/>
            <w:tcMar>
              <w:top w:w="0" w:type="dxa"/>
              <w:left w:w="108" w:type="dxa"/>
              <w:bottom w:w="0" w:type="dxa"/>
              <w:right w:w="108" w:type="dxa"/>
            </w:tcMar>
            <w:hideMark/>
          </w:tcPr>
          <w:p w14:paraId="1670D178" w14:textId="77777777" w:rsidR="00000000" w:rsidRDefault="00000000">
            <w:pPr>
              <w:bidi/>
              <w:jc w:val="center"/>
              <w:rPr>
                <w:rtl/>
              </w:rPr>
            </w:pPr>
            <w:r>
              <w:rPr>
                <w:rFonts w:ascii="David" w:hAnsi="David" w:cs="David"/>
                <w:b/>
                <w:bCs/>
                <w:sz w:val="28"/>
                <w:szCs w:val="28"/>
                <w:rtl/>
              </w:rPr>
              <w:t>גרשון קציר,</w:t>
            </w:r>
          </w:p>
          <w:p w14:paraId="01209841" w14:textId="77777777" w:rsidR="00000000" w:rsidRDefault="00000000">
            <w:pPr>
              <w:bidi/>
              <w:jc w:val="center"/>
              <w:rPr>
                <w:rtl/>
              </w:rPr>
            </w:pPr>
            <w:r>
              <w:rPr>
                <w:rFonts w:ascii="David" w:hAnsi="David" w:cs="David"/>
                <w:b/>
                <w:bCs/>
                <w:sz w:val="28"/>
                <w:szCs w:val="28"/>
                <w:rtl/>
              </w:rPr>
              <w:t>נציג מעסיקים</w:t>
            </w:r>
          </w:p>
          <w:p w14:paraId="5A7D96CE" w14:textId="77777777" w:rsidR="00000000" w:rsidRDefault="00000000">
            <w:pPr>
              <w:bidi/>
              <w:jc w:val="center"/>
              <w:rPr>
                <w:rtl/>
              </w:rPr>
            </w:pPr>
            <w:r>
              <w:rPr>
                <w:rFonts w:ascii="David" w:hAnsi="David" w:cs="David"/>
                <w:b/>
                <w:bCs/>
                <w:sz w:val="28"/>
                <w:szCs w:val="28"/>
              </w:rPr>
              <w:t> </w:t>
            </w:r>
          </w:p>
        </w:tc>
      </w:tr>
    </w:tbl>
    <w:p w14:paraId="28606914" w14:textId="77777777" w:rsidR="00000000" w:rsidRDefault="00000000">
      <w:pPr>
        <w:bidi/>
        <w:spacing w:line="360" w:lineRule="auto"/>
        <w:jc w:val="both"/>
        <w:rPr>
          <w:rtl/>
        </w:rPr>
      </w:pPr>
      <w:r>
        <w:rPr>
          <w:rFonts w:ascii="David" w:hAnsi="David" w:cs="David"/>
          <w:sz w:val="28"/>
          <w:szCs w:val="28"/>
          <w:rtl/>
        </w:rPr>
        <w:t> </w:t>
      </w:r>
    </w:p>
    <w:p w14:paraId="15ABDBCA"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6EC7CD55" w14:textId="77777777">
        <w:trPr>
          <w:tblCellSpacing w:w="0" w:type="dxa"/>
        </w:trPr>
        <w:tc>
          <w:tcPr>
            <w:tcW w:w="0" w:type="auto"/>
            <w:vAlign w:val="center"/>
            <w:hideMark/>
          </w:tcPr>
          <w:p w14:paraId="7D1B9EB5" w14:textId="77777777" w:rsidR="00000000" w:rsidRDefault="00000000">
            <w:pPr>
              <w:bidi/>
              <w:jc w:val="center"/>
              <w:divId w:val="217278718"/>
              <w:rPr>
                <w:rFonts w:ascii="David" w:eastAsia="Times New Roman" w:hAnsi="David" w:cs="David"/>
                <w:rtl/>
              </w:rPr>
            </w:pPr>
            <w:proofErr w:type="spellStart"/>
            <w:r>
              <w:rPr>
                <w:rFonts w:ascii="David" w:eastAsia="Times New Roman" w:hAnsi="David" w:cs="David"/>
                <w:rtl/>
              </w:rPr>
              <w:t>סעש</w:t>
            </w:r>
            <w:proofErr w:type="spellEnd"/>
            <w:r>
              <w:rPr>
                <w:rFonts w:ascii="David" w:eastAsia="Times New Roman" w:hAnsi="David" w:cs="David"/>
                <w:rtl/>
              </w:rPr>
              <w:t xml:space="preserve"> 2909-05-23 מג'ד </w:t>
            </w:r>
            <w:proofErr w:type="spellStart"/>
            <w:r>
              <w:rPr>
                <w:rFonts w:ascii="David" w:eastAsia="Times New Roman" w:hAnsi="David" w:cs="David"/>
                <w:rtl/>
              </w:rPr>
              <w:t>מנסור</w:t>
            </w:r>
            <w:proofErr w:type="spellEnd"/>
            <w:r>
              <w:rPr>
                <w:rFonts w:ascii="David" w:eastAsia="Times New Roman" w:hAnsi="David" w:cs="David"/>
                <w:rtl/>
              </w:rPr>
              <w:t xml:space="preserve"> נגד איית חשמל ומיזוג אויר בע"מ</w:t>
            </w:r>
          </w:p>
          <w:p w14:paraId="27A48D27" w14:textId="77777777" w:rsidR="00000000" w:rsidRDefault="00000000">
            <w:pPr>
              <w:pStyle w:val="a5"/>
              <w:bidi/>
              <w:jc w:val="center"/>
              <w:divId w:val="99961162"/>
              <w:rPr>
                <w:rtl/>
              </w:rPr>
            </w:pPr>
            <w:proofErr w:type="spellStart"/>
            <w:r>
              <w:rPr>
                <w:rtl/>
              </w:rPr>
              <w:t>סעש</w:t>
            </w:r>
            <w:proofErr w:type="spellEnd"/>
            <w:r>
              <w:rPr>
                <w:rtl/>
              </w:rPr>
              <w:t xml:space="preserve"> 2909-05-23 מג'ד </w:t>
            </w:r>
            <w:proofErr w:type="spellStart"/>
            <w:r>
              <w:rPr>
                <w:rtl/>
              </w:rPr>
              <w:t>מנסור</w:t>
            </w:r>
            <w:proofErr w:type="spellEnd"/>
            <w:r>
              <w:rPr>
                <w:rtl/>
              </w:rPr>
              <w:t xml:space="preserve"> נגד איית חשמל ומיזוג אויר בע"מ</w:t>
            </w:r>
          </w:p>
        </w:tc>
      </w:tr>
    </w:tbl>
    <w:p w14:paraId="021D309E" w14:textId="77777777" w:rsidR="00914150" w:rsidRDefault="00914150">
      <w:pPr>
        <w:rPr>
          <w:rFonts w:eastAsia="Times New Roman"/>
        </w:rPr>
      </w:pPr>
    </w:p>
    <w:sectPr w:rsidR="00914150">
      <w:footerReference w:type="default" r:id="rId9"/>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8B55" w14:textId="77777777" w:rsidR="00914150" w:rsidRDefault="00914150">
      <w:r>
        <w:separator/>
      </w:r>
    </w:p>
  </w:endnote>
  <w:endnote w:type="continuationSeparator" w:id="0">
    <w:p w14:paraId="32EEDE25" w14:textId="77777777" w:rsidR="00914150" w:rsidRDefault="0091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611" w14:textId="77777777" w:rsidR="00000000" w:rsidRDefault="00000000">
    <w:pPr>
      <w:bidi/>
      <w:jc w:val="center"/>
      <w:rPr>
        <w:rFonts w:ascii="David" w:eastAsia="Times New Roman" w:hAnsi="David" w:cs="David"/>
        <w:rtl/>
      </w:rPr>
    </w:pPr>
    <w:bookmarkStart w:id="3" w:name="_Hlk221190390"/>
    <w:bookmarkStart w:id="4" w:name="_Hlk221190391"/>
    <w:bookmarkStart w:id="5" w:name="_Hlk221190392"/>
    <w:bookmarkStart w:id="6" w:name="_Hlk221190393"/>
    <w:proofErr w:type="spellStart"/>
    <w:r>
      <w:rPr>
        <w:rFonts w:ascii="David" w:eastAsia="Times New Roman" w:hAnsi="David" w:cs="David"/>
        <w:rtl/>
      </w:rPr>
      <w:t>סעש</w:t>
    </w:r>
    <w:proofErr w:type="spellEnd"/>
    <w:r>
      <w:rPr>
        <w:rFonts w:ascii="David" w:eastAsia="Times New Roman" w:hAnsi="David" w:cs="David"/>
        <w:rtl/>
      </w:rPr>
      <w:t xml:space="preserve"> 2909-05-23 מג'ד </w:t>
    </w:r>
    <w:proofErr w:type="spellStart"/>
    <w:r>
      <w:rPr>
        <w:rFonts w:ascii="David" w:eastAsia="Times New Roman" w:hAnsi="David" w:cs="David"/>
        <w:rtl/>
      </w:rPr>
      <w:t>מנסור</w:t>
    </w:r>
    <w:proofErr w:type="spellEnd"/>
    <w:r>
      <w:rPr>
        <w:rFonts w:ascii="David" w:eastAsia="Times New Roman" w:hAnsi="David" w:cs="David"/>
        <w:rtl/>
      </w:rPr>
      <w:t xml:space="preserve"> נגד איית חשמל ומיזוג אויר בע"מ</w: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6E61" w14:textId="77777777" w:rsidR="00914150" w:rsidRDefault="00914150">
      <w:r>
        <w:separator/>
      </w:r>
    </w:p>
  </w:footnote>
  <w:footnote w:type="continuationSeparator" w:id="0">
    <w:p w14:paraId="41894737" w14:textId="77777777" w:rsidR="00914150" w:rsidRDefault="00914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D37A9"/>
    <w:rsid w:val="00914150"/>
    <w:rsid w:val="009A4223"/>
    <w:rsid w:val="00CD37A9"/>
    <w:rsid w:val="00F4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A5AC3"/>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unhideWhenUsed/>
  </w:style>
  <w:style w:type="character" w:customStyle="1" w:styleId="a4">
    <w:name w:val="כותרת עליונה תו"/>
    <w:basedOn w:val="a0"/>
    <w:link w:val="a3"/>
    <w:uiPriority w:val="99"/>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Theme="minorHAnsi" w:eastAsiaTheme="majorEastAsia" w:hAnsiTheme="minorHAnsi" w:cstheme="majorBidi"/>
      <w:color w:val="595959" w:themeColor="text1" w:themeTint="A6"/>
      <w:spacing w:val="15"/>
      <w:sz w:val="28"/>
      <w:szCs w:val="28"/>
    </w:rPr>
  </w:style>
  <w:style w:type="paragraph" w:customStyle="1" w:styleId="idhidden">
    <w:name w:val="idhidden"/>
    <w:basedOn w:val="a"/>
    <w:pPr>
      <w:bidi/>
    </w:pPr>
    <w:rPr>
      <w:vanish/>
      <w:color w:val="3366FF"/>
    </w:rPr>
  </w:style>
  <w:style w:type="paragraph" w:customStyle="1" w:styleId="mmtakdin">
    <w:name w:val="mmtakdin"/>
    <w:basedOn w:val="a"/>
    <w:pPr>
      <w:bidi/>
    </w:pPr>
    <w:rPr>
      <w:vanish/>
      <w:color w:val="FF0000"/>
    </w:rPr>
  </w:style>
  <w:style w:type="paragraph" w:customStyle="1" w:styleId="title">
    <w:name w:val="title"/>
    <w:basedOn w:val="a"/>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msochpdefault">
    <w:name w:val="msochpdefault"/>
    <w:basedOn w:val="a"/>
    <w:pPr>
      <w:spacing w:before="100" w:beforeAutospacing="1" w:after="100" w:afterAutospacing="1"/>
    </w:pPr>
    <w:rPr>
      <w:sz w:val="20"/>
      <w:szCs w:val="20"/>
    </w:rPr>
  </w:style>
  <w:style w:type="paragraph" w:customStyle="1" w:styleId="section1">
    <w:name w:val="section1"/>
    <w:basedOn w:val="a"/>
    <w:pPr>
      <w:spacing w:before="100" w:beforeAutospacing="1" w:after="100" w:afterAutospacing="1"/>
    </w:pPr>
  </w:style>
  <w:style w:type="character" w:styleId="a9">
    <w:name w:val="page number"/>
    <w:basedOn w:val="a0"/>
    <w:uiPriority w:val="99"/>
    <w:semiHidden/>
    <w:unhideWhenUsed/>
    <w:rPr>
      <w:rFonts w:ascii="Times New Roman" w:hAnsi="Times New Roman" w:cs="Times New Roman" w:hint="default"/>
    </w:rPr>
  </w:style>
  <w:style w:type="character" w:customStyle="1" w:styleId="aa">
    <w:name w:val="a"/>
    <w:basedOn w:val="a0"/>
    <w:rPr>
      <w:rFonts w:ascii="Times New Roman" w:hAnsi="Times New Roman" w:cs="Times New Roman" w:hint="default"/>
    </w:rPr>
  </w:style>
  <w:style w:type="character" w:customStyle="1" w:styleId="a00">
    <w:name w:val="a0"/>
    <w:basedOn w:val="a0"/>
    <w:rPr>
      <w:rFonts w:ascii="Times New Roman" w:hAnsi="Times New Roman" w:cs="Times New Roman" w:hint="default"/>
    </w:rPr>
  </w:style>
  <w:style w:type="character" w:customStyle="1" w:styleId="a10">
    <w:name w:val="a1"/>
    <w:basedOn w:val="a0"/>
    <w:rPr>
      <w:rFonts w:ascii="Cambria" w:hAnsi="Cambria" w:hint="default"/>
    </w:rPr>
  </w:style>
  <w:style w:type="character" w:customStyle="1" w:styleId="mmtakdinchar">
    <w:name w:val="mmtakdinchar"/>
    <w:basedOn w:val="a0"/>
    <w:rPr>
      <w:vanish/>
      <w:webHidden w:val="0"/>
      <w:color w:val="FF0000"/>
      <w:specVanish w:val="0"/>
    </w:rPr>
  </w:style>
  <w:style w:type="character" w:customStyle="1" w:styleId="titlechar">
    <w:name w:val="titlechar"/>
    <w:basedOn w:val="a0"/>
    <w:rPr>
      <w:rFonts w:ascii="Arial" w:hAnsi="Arial" w:cs="Arial" w:hint="default"/>
      <w:b/>
      <w:bCs/>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1162">
      <w:marLeft w:val="0"/>
      <w:marRight w:val="0"/>
      <w:marTop w:val="0"/>
      <w:marBottom w:val="0"/>
      <w:divBdr>
        <w:top w:val="none" w:sz="0" w:space="0" w:color="auto"/>
        <w:left w:val="none" w:sz="0" w:space="0" w:color="auto"/>
        <w:bottom w:val="none" w:sz="0" w:space="0" w:color="auto"/>
        <w:right w:val="none" w:sz="0" w:space="0" w:color="auto"/>
      </w:divBdr>
    </w:div>
    <w:div w:id="217278718">
      <w:marLeft w:val="0"/>
      <w:marRight w:val="0"/>
      <w:marTop w:val="0"/>
      <w:marBottom w:val="0"/>
      <w:divBdr>
        <w:top w:val="none" w:sz="0" w:space="0" w:color="auto"/>
        <w:left w:val="none" w:sz="0" w:space="0" w:color="auto"/>
        <w:bottom w:val="none" w:sz="0" w:space="0" w:color="auto"/>
        <w:right w:val="none" w:sz="0" w:space="0" w:color="auto"/>
      </w:divBdr>
    </w:div>
    <w:div w:id="495069344">
      <w:marLeft w:val="0"/>
      <w:marRight w:val="0"/>
      <w:marTop w:val="0"/>
      <w:marBottom w:val="0"/>
      <w:divBdr>
        <w:top w:val="none" w:sz="0" w:space="0" w:color="auto"/>
        <w:left w:val="none" w:sz="0" w:space="0" w:color="auto"/>
        <w:bottom w:val="none" w:sz="0" w:space="0" w:color="auto"/>
        <w:right w:val="none" w:sz="0" w:space="0" w:color="auto"/>
      </w:divBdr>
      <w:divsChild>
        <w:div w:id="10691173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4d78e2c3377d46a2ab23dfe75d482203/image003.jpg" TargetMode="External"/><Relationship Id="rId3" Type="http://schemas.openxmlformats.org/officeDocument/2006/relationships/webSettings" Target="webSettings.xml"/><Relationship Id="rId7" Type="http://schemas.openxmlformats.org/officeDocument/2006/relationships/image" Target="https://takdin.co.il/hashavimcmsfiles/files/4d78e2c3377d46a2ab23dfe75d482203/image00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4d78e2c3377d46a2ab23dfe75d482203/image001.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3954</Words>
  <Characters>19773</Characters>
  <Application>Microsoft Office Word</Application>
  <DocSecurity>0</DocSecurity>
  <Lines>164</Lines>
  <Paragraphs>47</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2026-02-05T11:35:00Z</dcterms:created>
  <dcterms:modified xsi:type="dcterms:W3CDTF">2026-02-05T11:35:00Z</dcterms:modified>
</cp:coreProperties>
</file>