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4923"/>
        <w:gridCol w:w="3582"/>
      </w:tblGrid>
      <w:tr w:rsidR="00DF7397" w14:paraId="6742892A" w14:textId="77777777" w:rsidTr="00AE759C">
        <w:trPr>
          <w:trHeight w:hRule="exact" w:val="418"/>
          <w:jc w:val="center"/>
        </w:trPr>
        <w:tc>
          <w:tcPr>
            <w:tcW w:w="8721" w:type="dxa"/>
            <w:gridSpan w:val="2"/>
          </w:tcPr>
          <w:p w14:paraId="3FA2E546" w14:textId="77777777" w:rsidR="006476EC" w:rsidRPr="006476EC" w:rsidRDefault="00000000" w:rsidP="00AE759C">
            <w:pPr>
              <w:pStyle w:val="a3"/>
              <w:jc w:val="center"/>
              <w:rPr>
                <w:rFonts w:ascii="Tahoma" w:hAnsi="Tahoma" w:cs="Tahoma"/>
                <w:noProof w:val="0"/>
                <w:color w:val="000080"/>
                <w:rtl/>
              </w:rPr>
            </w:pPr>
            <w:bookmarkStart w:id="0" w:name="LastJudge"/>
            <w:r w:rsidRPr="006476EC">
              <w:rPr>
                <w:rFonts w:ascii="Tahoma" w:hAnsi="Tahoma" w:cs="Tahoma"/>
                <w:b/>
                <w:bCs/>
                <w:noProof w:val="0"/>
                <w:color w:val="000080"/>
                <w:rtl/>
              </w:rPr>
              <w:t>בית משפט לענייני משפחה בתל אביב -יפו</w:t>
            </w:r>
          </w:p>
        </w:tc>
      </w:tr>
      <w:tr w:rsidR="00DF7397" w14:paraId="09628F76" w14:textId="77777777" w:rsidTr="00AE759C">
        <w:trPr>
          <w:trHeight w:val="337"/>
          <w:jc w:val="center"/>
        </w:trPr>
        <w:tc>
          <w:tcPr>
            <w:tcW w:w="5047" w:type="dxa"/>
          </w:tcPr>
          <w:p w14:paraId="7E950F2F" w14:textId="77777777" w:rsidR="006476EC" w:rsidRPr="006476EC" w:rsidRDefault="006476EC" w:rsidP="00AE759C">
            <w:pPr>
              <w:rPr>
                <w:b/>
                <w:bCs/>
                <w:noProof w:val="0"/>
                <w:sz w:val="26"/>
                <w:szCs w:val="26"/>
                <w:rtl/>
              </w:rPr>
            </w:pPr>
          </w:p>
        </w:tc>
        <w:tc>
          <w:tcPr>
            <w:tcW w:w="3674" w:type="dxa"/>
          </w:tcPr>
          <w:p w14:paraId="377472BD" w14:textId="77777777" w:rsidR="006476EC" w:rsidRPr="006476EC" w:rsidRDefault="006476EC" w:rsidP="00AE759C">
            <w:pPr>
              <w:pStyle w:val="a3"/>
              <w:jc w:val="right"/>
              <w:rPr>
                <w:b/>
                <w:bCs/>
                <w:noProof w:val="0"/>
                <w:sz w:val="26"/>
                <w:szCs w:val="26"/>
                <w:rtl/>
              </w:rPr>
            </w:pPr>
          </w:p>
        </w:tc>
      </w:tr>
      <w:tr w:rsidR="00DF7397" w14:paraId="48FE55A7" w14:textId="77777777" w:rsidTr="00AE759C">
        <w:trPr>
          <w:trHeight w:val="337"/>
          <w:jc w:val="center"/>
        </w:trPr>
        <w:tc>
          <w:tcPr>
            <w:tcW w:w="8721" w:type="dxa"/>
            <w:gridSpan w:val="2"/>
          </w:tcPr>
          <w:p w14:paraId="25264A55" w14:textId="77777777" w:rsidR="006476EC" w:rsidRPr="006476EC" w:rsidRDefault="00000000" w:rsidP="003E7583">
            <w:pPr>
              <w:spacing w:before="120" w:after="120" w:line="240" w:lineRule="exact"/>
              <w:rPr>
                <w:noProof w:val="0"/>
                <w:rtl/>
              </w:rPr>
            </w:pPr>
            <w:r w:rsidRPr="006476EC">
              <w:rPr>
                <w:b/>
                <w:bCs/>
                <w:noProof w:val="0"/>
                <w:sz w:val="26"/>
                <w:szCs w:val="26"/>
                <w:rtl/>
              </w:rPr>
              <w:t>תמ"ש 28302-12-22 פלוני נ' פלוניות ואח'</w:t>
            </w:r>
          </w:p>
        </w:tc>
      </w:tr>
    </w:tbl>
    <w:p w14:paraId="6028B90A" w14:textId="77777777" w:rsidR="004B515E" w:rsidRPr="006476EC" w:rsidRDefault="006476EC" w:rsidP="003E7583">
      <w:pPr>
        <w:pStyle w:val="a3"/>
        <w:spacing w:before="120" w:after="120" w:line="240" w:lineRule="exact"/>
        <w:rPr>
          <w:rtl/>
        </w:rPr>
      </w:pPr>
      <w:r w:rsidRPr="006476EC">
        <w:rPr>
          <w:rtl/>
        </w:rPr>
        <w:t xml:space="preserve"> </w:t>
      </w:r>
    </w:p>
    <w:tbl>
      <w:tblPr>
        <w:bidiVisual/>
        <w:tblW w:w="8820" w:type="dxa"/>
        <w:jc w:val="center"/>
        <w:tblLook w:val="01E0" w:firstRow="1" w:lastRow="1" w:firstColumn="1" w:lastColumn="1" w:noHBand="0" w:noVBand="0"/>
      </w:tblPr>
      <w:tblGrid>
        <w:gridCol w:w="743"/>
        <w:gridCol w:w="2506"/>
        <w:gridCol w:w="5571"/>
      </w:tblGrid>
      <w:tr w:rsidR="00DF7397" w14:paraId="2F9D2C3A" w14:textId="77777777" w:rsidTr="00C17F60">
        <w:trPr>
          <w:jc w:val="center"/>
        </w:trPr>
        <w:tc>
          <w:tcPr>
            <w:tcW w:w="743" w:type="dxa"/>
          </w:tcPr>
          <w:p w14:paraId="154F9884" w14:textId="77777777" w:rsidR="004B515E" w:rsidRPr="006476EC" w:rsidRDefault="00000000" w:rsidP="003E7583">
            <w:pPr>
              <w:spacing w:before="120" w:after="120" w:line="240" w:lineRule="exact"/>
              <w:jc w:val="both"/>
              <w:rPr>
                <w:rFonts w:ascii="Arial" w:hAnsi="Arial"/>
                <w:b/>
                <w:bCs/>
                <w:sz w:val="26"/>
                <w:szCs w:val="26"/>
              </w:rPr>
            </w:pPr>
            <w:r w:rsidRPr="006476EC">
              <w:rPr>
                <w:rFonts w:ascii="Arial" w:hAnsi="Arial"/>
                <w:b/>
                <w:bCs/>
                <w:noProof w:val="0"/>
                <w:sz w:val="26"/>
                <w:szCs w:val="26"/>
                <w:rtl/>
              </w:rPr>
              <w:t xml:space="preserve">בפני </w:t>
            </w:r>
          </w:p>
        </w:tc>
        <w:tc>
          <w:tcPr>
            <w:tcW w:w="8077" w:type="dxa"/>
            <w:gridSpan w:val="2"/>
          </w:tcPr>
          <w:p w14:paraId="299AB84D" w14:textId="77777777" w:rsidR="004B515E" w:rsidRPr="006476EC" w:rsidRDefault="00000000" w:rsidP="003E7583">
            <w:pPr>
              <w:spacing w:before="120" w:after="120" w:line="240" w:lineRule="exact"/>
              <w:rPr>
                <w:rFonts w:ascii="Arial" w:hAnsi="Arial" w:cs="FrankRuehl"/>
                <w:sz w:val="26"/>
                <w:szCs w:val="26"/>
                <w:highlight w:val="yellow"/>
              </w:rPr>
            </w:pPr>
            <w:r w:rsidRPr="006476EC">
              <w:rPr>
                <w:rFonts w:ascii="Arial" w:hAnsi="Arial"/>
                <w:b/>
                <w:bCs/>
                <w:noProof w:val="0"/>
                <w:sz w:val="26"/>
                <w:szCs w:val="26"/>
                <w:rtl/>
              </w:rPr>
              <w:t xml:space="preserve">כב' השופטת  </w:t>
            </w:r>
            <w:bookmarkStart w:id="1" w:name="_Hlk186694026"/>
            <w:r w:rsidRPr="006476EC">
              <w:rPr>
                <w:rFonts w:ascii="Arial" w:hAnsi="Arial"/>
                <w:b/>
                <w:bCs/>
                <w:noProof w:val="0"/>
                <w:sz w:val="26"/>
                <w:szCs w:val="26"/>
                <w:rtl/>
              </w:rPr>
              <w:t>תמר סנונית פורר</w:t>
            </w:r>
            <w:bookmarkEnd w:id="1"/>
          </w:p>
        </w:tc>
      </w:tr>
      <w:tr w:rsidR="00DF7397" w14:paraId="4213D6C2" w14:textId="77777777" w:rsidTr="00C17F60">
        <w:trPr>
          <w:jc w:val="center"/>
        </w:trPr>
        <w:tc>
          <w:tcPr>
            <w:tcW w:w="3249" w:type="dxa"/>
            <w:gridSpan w:val="2"/>
          </w:tcPr>
          <w:p w14:paraId="3BB68722" w14:textId="77777777" w:rsidR="004B515E" w:rsidRPr="006476EC" w:rsidRDefault="00000000" w:rsidP="003E7583">
            <w:pPr>
              <w:bidi w:val="0"/>
              <w:spacing w:before="120" w:after="120" w:line="240" w:lineRule="exact"/>
              <w:jc w:val="right"/>
              <w:rPr>
                <w:rFonts w:ascii="Arial" w:hAnsi="Arial"/>
                <w:b/>
                <w:bCs/>
                <w:noProof w:val="0"/>
                <w:sz w:val="26"/>
                <w:szCs w:val="26"/>
              </w:rPr>
            </w:pPr>
            <w:bookmarkStart w:id="2" w:name="FirstAppellant" w:colFirst="0" w:colLast="0"/>
            <w:r w:rsidRPr="006476EC">
              <w:rPr>
                <w:rFonts w:ascii="Arial" w:hAnsi="Arial"/>
                <w:b/>
                <w:bCs/>
                <w:noProof w:val="0"/>
                <w:sz w:val="26"/>
                <w:szCs w:val="26"/>
                <w:rtl/>
              </w:rPr>
              <w:t>התובע:</w:t>
            </w:r>
          </w:p>
        </w:tc>
        <w:tc>
          <w:tcPr>
            <w:tcW w:w="5571" w:type="dxa"/>
          </w:tcPr>
          <w:p w14:paraId="646B09ED" w14:textId="77777777" w:rsidR="004B515E" w:rsidRPr="006476EC" w:rsidRDefault="00000000" w:rsidP="003E7583">
            <w:pPr>
              <w:spacing w:before="120" w:after="120" w:line="240" w:lineRule="exact"/>
              <w:rPr>
                <w:rStyle w:val="1"/>
                <w:b/>
                <w:bCs/>
                <w:noProof w:val="0"/>
                <w:color w:val="auto"/>
                <w:sz w:val="26"/>
                <w:szCs w:val="26"/>
                <w:rtl/>
              </w:rPr>
            </w:pPr>
            <w:r w:rsidRPr="006476EC">
              <w:rPr>
                <w:rStyle w:val="1"/>
                <w:b/>
                <w:bCs/>
                <w:noProof w:val="0"/>
                <w:color w:val="auto"/>
                <w:sz w:val="26"/>
                <w:szCs w:val="26"/>
                <w:rtl/>
              </w:rPr>
              <w:t>התובע</w:t>
            </w:r>
          </w:p>
          <w:p w14:paraId="7968BC7C" w14:textId="77777777" w:rsidR="004B515E" w:rsidRPr="006476EC" w:rsidRDefault="00000000" w:rsidP="003E7583">
            <w:pPr>
              <w:spacing w:before="120" w:after="120" w:line="240" w:lineRule="exact"/>
              <w:rPr>
                <w:b/>
                <w:bCs/>
                <w:noProof w:val="0"/>
                <w:sz w:val="26"/>
                <w:szCs w:val="26"/>
              </w:rPr>
            </w:pPr>
            <w:r w:rsidRPr="006476EC">
              <w:rPr>
                <w:b/>
                <w:bCs/>
                <w:noProof w:val="0"/>
                <w:sz w:val="26"/>
                <w:szCs w:val="26"/>
                <w:rtl/>
              </w:rPr>
              <w:t>ע"י ב"כ עו"ד גל</w:t>
            </w:r>
          </w:p>
        </w:tc>
      </w:tr>
      <w:tr w:rsidR="00DF7397" w14:paraId="64FD9F4D" w14:textId="77777777" w:rsidTr="00C17F60">
        <w:trPr>
          <w:jc w:val="center"/>
        </w:trPr>
        <w:tc>
          <w:tcPr>
            <w:tcW w:w="8820" w:type="dxa"/>
            <w:gridSpan w:val="3"/>
          </w:tcPr>
          <w:p w14:paraId="0E22B81B" w14:textId="77777777" w:rsidR="004B515E" w:rsidRPr="006476EC" w:rsidRDefault="00000000" w:rsidP="003E7583">
            <w:pPr>
              <w:spacing w:before="240" w:after="240" w:line="240" w:lineRule="exact"/>
              <w:jc w:val="center"/>
              <w:rPr>
                <w:rFonts w:ascii="Arial" w:hAnsi="Arial"/>
                <w:b/>
                <w:bCs/>
                <w:noProof w:val="0"/>
                <w:sz w:val="26"/>
                <w:szCs w:val="26"/>
              </w:rPr>
            </w:pPr>
            <w:r w:rsidRPr="006476EC">
              <w:rPr>
                <w:rFonts w:ascii="Arial" w:hAnsi="Arial"/>
                <w:b/>
                <w:bCs/>
                <w:noProof w:val="0"/>
                <w:sz w:val="26"/>
                <w:szCs w:val="26"/>
                <w:rtl/>
              </w:rPr>
              <w:t>נגד</w:t>
            </w:r>
          </w:p>
        </w:tc>
      </w:tr>
      <w:tr w:rsidR="00DF7397" w14:paraId="4A212EA4" w14:textId="77777777" w:rsidTr="00C17F60">
        <w:trPr>
          <w:jc w:val="center"/>
        </w:trPr>
        <w:tc>
          <w:tcPr>
            <w:tcW w:w="3249" w:type="dxa"/>
            <w:gridSpan w:val="2"/>
          </w:tcPr>
          <w:p w14:paraId="70D52F5A" w14:textId="77777777" w:rsidR="004B515E" w:rsidRPr="006476EC" w:rsidRDefault="00000000" w:rsidP="003E7583">
            <w:pPr>
              <w:spacing w:before="120" w:after="120" w:line="240" w:lineRule="exact"/>
              <w:rPr>
                <w:rFonts w:ascii="Arial" w:hAnsi="Arial"/>
                <w:b/>
                <w:bCs/>
                <w:noProof w:val="0"/>
                <w:sz w:val="26"/>
                <w:szCs w:val="26"/>
                <w:rtl/>
              </w:rPr>
            </w:pPr>
            <w:bookmarkStart w:id="3" w:name="FirstLawyer"/>
            <w:bookmarkEnd w:id="2"/>
            <w:r w:rsidRPr="006476EC">
              <w:rPr>
                <w:rFonts w:ascii="Arial" w:hAnsi="Arial"/>
                <w:b/>
                <w:bCs/>
                <w:noProof w:val="0"/>
                <w:sz w:val="26"/>
                <w:szCs w:val="26"/>
                <w:rtl/>
              </w:rPr>
              <w:t>הנתבעות:</w:t>
            </w:r>
          </w:p>
          <w:p w14:paraId="3D867C7E" w14:textId="77777777" w:rsidR="004B515E" w:rsidRPr="006476EC" w:rsidRDefault="004B515E" w:rsidP="003E7583">
            <w:pPr>
              <w:spacing w:before="120" w:after="120" w:line="240" w:lineRule="exact"/>
              <w:rPr>
                <w:rFonts w:ascii="Arial" w:hAnsi="Arial"/>
                <w:b/>
                <w:bCs/>
                <w:noProof w:val="0"/>
                <w:sz w:val="26"/>
                <w:szCs w:val="26"/>
              </w:rPr>
            </w:pPr>
          </w:p>
        </w:tc>
        <w:tc>
          <w:tcPr>
            <w:tcW w:w="5571" w:type="dxa"/>
          </w:tcPr>
          <w:p w14:paraId="6B62BDB8" w14:textId="77777777" w:rsidR="004B515E" w:rsidRPr="006476EC" w:rsidRDefault="00000000" w:rsidP="003E7583">
            <w:pPr>
              <w:spacing w:before="120" w:after="120" w:line="240" w:lineRule="exact"/>
              <w:rPr>
                <w:b/>
                <w:bCs/>
                <w:noProof w:val="0"/>
                <w:sz w:val="26"/>
                <w:szCs w:val="26"/>
                <w:rtl/>
              </w:rPr>
            </w:pPr>
            <w:r w:rsidRPr="006476EC">
              <w:rPr>
                <w:rStyle w:val="1"/>
                <w:b/>
                <w:bCs/>
                <w:noProof w:val="0"/>
                <w:color w:val="auto"/>
                <w:sz w:val="26"/>
                <w:szCs w:val="26"/>
                <w:rtl/>
              </w:rPr>
              <w:t>1</w:t>
            </w:r>
            <w:r w:rsidRPr="006476EC">
              <w:rPr>
                <w:b/>
                <w:bCs/>
                <w:noProof w:val="0"/>
                <w:sz w:val="26"/>
                <w:szCs w:val="26"/>
                <w:rtl/>
              </w:rPr>
              <w:t xml:space="preserve">. </w:t>
            </w:r>
            <w:r w:rsidRPr="006476EC">
              <w:rPr>
                <w:rStyle w:val="1"/>
                <w:b/>
                <w:bCs/>
                <w:noProof w:val="0"/>
                <w:color w:val="auto"/>
                <w:sz w:val="26"/>
                <w:szCs w:val="26"/>
                <w:rtl/>
              </w:rPr>
              <w:t>הנתבעת 1</w:t>
            </w:r>
          </w:p>
          <w:p w14:paraId="461534C7" w14:textId="77777777" w:rsidR="004B515E" w:rsidRPr="006476EC" w:rsidRDefault="00000000" w:rsidP="003E7583">
            <w:pPr>
              <w:spacing w:before="120" w:after="120" w:line="240" w:lineRule="exact"/>
              <w:rPr>
                <w:rStyle w:val="1"/>
                <w:b/>
                <w:bCs/>
                <w:noProof w:val="0"/>
                <w:color w:val="auto"/>
                <w:sz w:val="26"/>
                <w:szCs w:val="26"/>
                <w:rtl/>
              </w:rPr>
            </w:pPr>
            <w:r w:rsidRPr="006476EC">
              <w:rPr>
                <w:rStyle w:val="1"/>
                <w:b/>
                <w:bCs/>
                <w:noProof w:val="0"/>
                <w:color w:val="auto"/>
                <w:sz w:val="26"/>
                <w:szCs w:val="26"/>
                <w:rtl/>
              </w:rPr>
              <w:t>2</w:t>
            </w:r>
            <w:r w:rsidRPr="006476EC">
              <w:rPr>
                <w:b/>
                <w:bCs/>
                <w:noProof w:val="0"/>
                <w:sz w:val="26"/>
                <w:szCs w:val="26"/>
                <w:rtl/>
              </w:rPr>
              <w:t xml:space="preserve">. </w:t>
            </w:r>
            <w:r w:rsidRPr="006476EC">
              <w:rPr>
                <w:rStyle w:val="1"/>
                <w:b/>
                <w:bCs/>
                <w:noProof w:val="0"/>
                <w:color w:val="auto"/>
                <w:sz w:val="26"/>
                <w:szCs w:val="26"/>
                <w:rtl/>
              </w:rPr>
              <w:t>הנתבעת 2</w:t>
            </w:r>
          </w:p>
          <w:p w14:paraId="369696BA" w14:textId="77777777" w:rsidR="004B515E" w:rsidRPr="006476EC" w:rsidRDefault="00000000" w:rsidP="003E7583">
            <w:pPr>
              <w:spacing w:before="120" w:after="120" w:line="240" w:lineRule="exact"/>
              <w:rPr>
                <w:b/>
                <w:bCs/>
                <w:noProof w:val="0"/>
                <w:sz w:val="26"/>
                <w:szCs w:val="26"/>
                <w:rtl/>
              </w:rPr>
            </w:pPr>
            <w:r w:rsidRPr="006476EC">
              <w:rPr>
                <w:b/>
                <w:bCs/>
                <w:noProof w:val="0"/>
                <w:sz w:val="26"/>
                <w:szCs w:val="26"/>
                <w:rtl/>
              </w:rPr>
              <w:t>ע"י ב"כ עו"ד יפה</w:t>
            </w:r>
          </w:p>
        </w:tc>
      </w:tr>
      <w:bookmarkEnd w:id="3"/>
    </w:tbl>
    <w:p w14:paraId="760737F2" w14:textId="77777777" w:rsidR="006476EC" w:rsidRPr="006476EC" w:rsidRDefault="006476EC">
      <w:pPr>
        <w:rPr>
          <w:rtl/>
        </w:rPr>
      </w:pPr>
    </w:p>
    <w:p w14:paraId="0DFA2E1C" w14:textId="77777777" w:rsidR="003E7583" w:rsidRPr="003E7583" w:rsidRDefault="003E7583" w:rsidP="00EF069D">
      <w:pPr>
        <w:rPr>
          <w:rtl/>
        </w:rPr>
      </w:pPr>
    </w:p>
    <w:p w14:paraId="6404D309" w14:textId="77777777" w:rsidR="00995203" w:rsidRPr="00995203" w:rsidRDefault="00995203" w:rsidP="003E7583">
      <w:bookmarkStart w:id="4" w:name="Links_Start"/>
      <w:bookmarkEnd w:id="4"/>
    </w:p>
    <w:tbl>
      <w:tblPr>
        <w:bidiVisual/>
        <w:tblW w:w="8820" w:type="dxa"/>
        <w:jc w:val="center"/>
        <w:tblLook w:val="01E0" w:firstRow="1" w:lastRow="1" w:firstColumn="1" w:lastColumn="1" w:noHBand="0" w:noVBand="0"/>
      </w:tblPr>
      <w:tblGrid>
        <w:gridCol w:w="8820"/>
      </w:tblGrid>
      <w:tr w:rsidR="00DF7397" w14:paraId="1047EB3E" w14:textId="77777777" w:rsidTr="00C17F60">
        <w:trPr>
          <w:jc w:val="center"/>
        </w:trPr>
        <w:tc>
          <w:tcPr>
            <w:tcW w:w="8820" w:type="dxa"/>
          </w:tcPr>
          <w:p w14:paraId="2820E041" w14:textId="77777777" w:rsidR="004B515E" w:rsidRPr="006476EC" w:rsidRDefault="006476EC" w:rsidP="006476EC">
            <w:pPr>
              <w:bidi w:val="0"/>
              <w:jc w:val="center"/>
              <w:rPr>
                <w:rFonts w:ascii="Arial" w:hAnsi="Arial"/>
                <w:b/>
                <w:bCs/>
                <w:noProof w:val="0"/>
                <w:sz w:val="28"/>
                <w:szCs w:val="28"/>
                <w:u w:val="single"/>
              </w:rPr>
            </w:pPr>
            <w:bookmarkStart w:id="5" w:name="PsakDin" w:colFirst="0" w:colLast="0"/>
            <w:bookmarkEnd w:id="0"/>
            <w:r w:rsidRPr="006476EC">
              <w:rPr>
                <w:rFonts w:ascii="Arial" w:hAnsi="Arial"/>
                <w:b/>
                <w:bCs/>
                <w:noProof w:val="0"/>
                <w:sz w:val="26"/>
                <w:szCs w:val="26"/>
                <w:rtl/>
              </w:rPr>
              <w:t>פסק דין</w:t>
            </w:r>
          </w:p>
        </w:tc>
      </w:tr>
      <w:bookmarkEnd w:id="5"/>
    </w:tbl>
    <w:p w14:paraId="321863E5" w14:textId="77777777" w:rsidR="004B515E" w:rsidRDefault="004B515E">
      <w:pPr>
        <w:spacing w:line="360" w:lineRule="auto"/>
        <w:jc w:val="both"/>
        <w:rPr>
          <w:rFonts w:ascii="Arial" w:hAnsi="Arial"/>
          <w:noProof w:val="0"/>
          <w:rtl/>
        </w:rPr>
      </w:pPr>
    </w:p>
    <w:p w14:paraId="6CBD0EC5" w14:textId="77777777" w:rsidR="004B515E" w:rsidRDefault="00000000" w:rsidP="003D53E9">
      <w:pPr>
        <w:pStyle w:val="10"/>
        <w:numPr>
          <w:ilvl w:val="0"/>
          <w:numId w:val="1"/>
        </w:numPr>
        <w:spacing w:after="0" w:line="360" w:lineRule="auto"/>
        <w:jc w:val="both"/>
        <w:rPr>
          <w:rFonts w:ascii="David" w:hAnsi="David" w:cs="David"/>
          <w:b/>
          <w:bCs/>
          <w:sz w:val="24"/>
          <w:szCs w:val="24"/>
          <w:u w:val="single"/>
        </w:rPr>
      </w:pPr>
      <w:r>
        <w:rPr>
          <w:rFonts w:ascii="David" w:hAnsi="David" w:cs="David"/>
          <w:sz w:val="24"/>
          <w:szCs w:val="24"/>
          <w:rtl/>
        </w:rPr>
        <w:t>בפניי תביעה במסגרתה עותר התובע להורות על פירוק שיתוף בדירת מגורים המצויה ברחוב ***, ***</w:t>
      </w:r>
      <w:r>
        <w:rPr>
          <w:rFonts w:ascii="David" w:hAnsi="David" w:cs="David"/>
          <w:sz w:val="24"/>
          <w:szCs w:val="24"/>
        </w:rPr>
        <w:t xml:space="preserve"> </w:t>
      </w:r>
      <w:r>
        <w:rPr>
          <w:rFonts w:ascii="David" w:hAnsi="David" w:cs="David"/>
          <w:sz w:val="24"/>
          <w:szCs w:val="24"/>
          <w:rtl/>
        </w:rPr>
        <w:t>(להלן: "</w:t>
      </w:r>
      <w:r>
        <w:rPr>
          <w:rFonts w:ascii="David" w:hAnsi="David" w:cs="David"/>
          <w:b/>
          <w:bCs/>
          <w:sz w:val="24"/>
          <w:szCs w:val="24"/>
          <w:rtl/>
        </w:rPr>
        <w:t>הדירה</w:t>
      </w:r>
      <w:r>
        <w:rPr>
          <w:rFonts w:ascii="David" w:hAnsi="David" w:cs="David"/>
          <w:sz w:val="24"/>
          <w:szCs w:val="24"/>
          <w:rtl/>
        </w:rPr>
        <w:t xml:space="preserve">"). </w:t>
      </w:r>
    </w:p>
    <w:p w14:paraId="2BEC9FD1" w14:textId="77777777" w:rsidR="004B515E" w:rsidRDefault="004B515E" w:rsidP="003D53E9">
      <w:pPr>
        <w:spacing w:line="360" w:lineRule="auto"/>
        <w:ind w:left="-625"/>
        <w:jc w:val="both"/>
        <w:rPr>
          <w:rFonts w:ascii="David" w:hAnsi="David"/>
          <w:b/>
          <w:bCs/>
          <w:u w:val="single"/>
        </w:rPr>
      </w:pPr>
    </w:p>
    <w:p w14:paraId="2FBBDF55" w14:textId="77777777" w:rsidR="004B515E" w:rsidRDefault="00000000" w:rsidP="003D53E9">
      <w:pPr>
        <w:pStyle w:val="10"/>
        <w:numPr>
          <w:ilvl w:val="0"/>
          <w:numId w:val="2"/>
        </w:numPr>
        <w:spacing w:after="0" w:line="360" w:lineRule="auto"/>
        <w:ind w:left="624" w:hanging="624"/>
        <w:jc w:val="both"/>
        <w:rPr>
          <w:rFonts w:ascii="David" w:hAnsi="David" w:cs="David"/>
          <w:b/>
          <w:bCs/>
          <w:sz w:val="28"/>
          <w:szCs w:val="28"/>
          <w:u w:val="single"/>
          <w:rtl/>
        </w:rPr>
      </w:pPr>
      <w:r>
        <w:rPr>
          <w:rFonts w:ascii="David" w:hAnsi="David" w:cs="David"/>
          <w:b/>
          <w:bCs/>
          <w:sz w:val="28"/>
          <w:szCs w:val="28"/>
          <w:u w:val="single"/>
          <w:rtl/>
        </w:rPr>
        <w:t>רקע עובדתי וההליכים המשפטיים</w:t>
      </w:r>
    </w:p>
    <w:p w14:paraId="55738184" w14:textId="77777777" w:rsidR="004B515E" w:rsidRDefault="004B515E" w:rsidP="003D53E9">
      <w:pPr>
        <w:pStyle w:val="10"/>
        <w:spacing w:after="0" w:line="360" w:lineRule="auto"/>
        <w:ind w:left="-58"/>
        <w:jc w:val="both"/>
        <w:rPr>
          <w:rFonts w:ascii="David" w:hAnsi="David" w:cs="David"/>
          <w:sz w:val="24"/>
          <w:szCs w:val="24"/>
        </w:rPr>
      </w:pPr>
    </w:p>
    <w:p w14:paraId="4B3C834A"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sz w:val="24"/>
          <w:szCs w:val="24"/>
          <w:rtl/>
        </w:rPr>
        <w:t>התובע (להלן: "</w:t>
      </w:r>
      <w:r>
        <w:rPr>
          <w:rFonts w:ascii="David" w:hAnsi="David" w:cs="David"/>
          <w:b/>
          <w:bCs/>
          <w:sz w:val="24"/>
          <w:szCs w:val="24"/>
          <w:rtl/>
        </w:rPr>
        <w:t>התובע</w:t>
      </w:r>
      <w:r>
        <w:rPr>
          <w:rFonts w:ascii="David" w:hAnsi="David" w:cs="David"/>
          <w:sz w:val="24"/>
          <w:szCs w:val="24"/>
          <w:rtl/>
        </w:rPr>
        <w:t>" או "</w:t>
      </w:r>
      <w:r>
        <w:rPr>
          <w:rFonts w:ascii="David" w:hAnsi="David" w:cs="David"/>
          <w:b/>
          <w:bCs/>
          <w:sz w:val="24"/>
          <w:szCs w:val="24"/>
          <w:rtl/>
        </w:rPr>
        <w:t>הבן</w:t>
      </w:r>
      <w:r>
        <w:rPr>
          <w:rFonts w:ascii="David" w:hAnsi="David" w:cs="David"/>
          <w:sz w:val="24"/>
          <w:szCs w:val="24"/>
          <w:rtl/>
        </w:rPr>
        <w:t>") הוא בנה של נתבעת 1 (להלן: "</w:t>
      </w:r>
      <w:r>
        <w:rPr>
          <w:rFonts w:ascii="David" w:hAnsi="David" w:cs="David"/>
          <w:b/>
          <w:bCs/>
          <w:sz w:val="24"/>
          <w:szCs w:val="24"/>
          <w:rtl/>
        </w:rPr>
        <w:t>הנתבעת</w:t>
      </w:r>
      <w:r>
        <w:rPr>
          <w:rFonts w:ascii="David" w:hAnsi="David" w:cs="David"/>
          <w:sz w:val="24"/>
          <w:szCs w:val="24"/>
          <w:rtl/>
        </w:rPr>
        <w:t>" או "</w:t>
      </w:r>
      <w:r>
        <w:rPr>
          <w:rFonts w:ascii="David" w:hAnsi="David" w:cs="David"/>
          <w:b/>
          <w:bCs/>
          <w:sz w:val="24"/>
          <w:szCs w:val="24"/>
          <w:rtl/>
        </w:rPr>
        <w:t>האם</w:t>
      </w:r>
      <w:r>
        <w:rPr>
          <w:rFonts w:ascii="David" w:hAnsi="David" w:cs="David"/>
          <w:sz w:val="24"/>
          <w:szCs w:val="24"/>
          <w:rtl/>
        </w:rPr>
        <w:t>") ואחיה של נתבעת 2 (להלן: "</w:t>
      </w:r>
      <w:r>
        <w:rPr>
          <w:rFonts w:ascii="David" w:hAnsi="David" w:cs="David"/>
          <w:b/>
          <w:bCs/>
          <w:sz w:val="24"/>
          <w:szCs w:val="24"/>
          <w:rtl/>
        </w:rPr>
        <w:t>הבת</w:t>
      </w:r>
      <w:r>
        <w:rPr>
          <w:rFonts w:ascii="David" w:hAnsi="David" w:cs="David"/>
          <w:sz w:val="24"/>
          <w:szCs w:val="24"/>
          <w:rtl/>
        </w:rPr>
        <w:t xml:space="preserve">"). </w:t>
      </w:r>
    </w:p>
    <w:p w14:paraId="6B857BA8" w14:textId="77777777" w:rsidR="004B515E" w:rsidRDefault="004B515E" w:rsidP="003D53E9">
      <w:pPr>
        <w:pStyle w:val="10"/>
        <w:spacing w:after="0" w:line="360" w:lineRule="auto"/>
        <w:ind w:left="-58"/>
        <w:jc w:val="both"/>
        <w:rPr>
          <w:rFonts w:ascii="David" w:hAnsi="David" w:cs="David"/>
          <w:sz w:val="24"/>
          <w:szCs w:val="24"/>
        </w:rPr>
      </w:pPr>
    </w:p>
    <w:p w14:paraId="7AE5CAB2"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sz w:val="24"/>
          <w:szCs w:val="24"/>
          <w:rtl/>
        </w:rPr>
        <w:t>המנוח --- (להלן: "</w:t>
      </w:r>
      <w:r>
        <w:rPr>
          <w:rFonts w:ascii="David" w:hAnsi="David" w:cs="David"/>
          <w:b/>
          <w:bCs/>
          <w:sz w:val="24"/>
          <w:szCs w:val="24"/>
          <w:rtl/>
        </w:rPr>
        <w:t>המנוח</w:t>
      </w:r>
      <w:r>
        <w:rPr>
          <w:rFonts w:ascii="David" w:hAnsi="David" w:cs="David"/>
          <w:sz w:val="24"/>
          <w:szCs w:val="24"/>
          <w:rtl/>
        </w:rPr>
        <w:t>") היה בעלה של הנתבעת ואביהם של הבן ושל הבת.</w:t>
      </w:r>
    </w:p>
    <w:p w14:paraId="5C9E19CE" w14:textId="77777777" w:rsidR="004B515E" w:rsidRDefault="00000000" w:rsidP="003D53E9">
      <w:pPr>
        <w:pStyle w:val="10"/>
        <w:spacing w:after="0" w:line="360" w:lineRule="auto"/>
        <w:ind w:left="567"/>
        <w:jc w:val="both"/>
        <w:rPr>
          <w:rFonts w:ascii="David" w:hAnsi="David" w:cs="David"/>
          <w:sz w:val="24"/>
          <w:szCs w:val="24"/>
        </w:rPr>
      </w:pPr>
      <w:r>
        <w:rPr>
          <w:rFonts w:ascii="David" w:hAnsi="David" w:cs="David"/>
          <w:sz w:val="24"/>
          <w:szCs w:val="24"/>
          <w:rtl/>
        </w:rPr>
        <w:t xml:space="preserve">ביום 2.10.2012 נפטר המנוח בלא שהותיר אחריו צוואה. </w:t>
      </w:r>
    </w:p>
    <w:p w14:paraId="3850D984" w14:textId="77777777" w:rsidR="004B515E" w:rsidRDefault="00000000" w:rsidP="003D53E9">
      <w:pPr>
        <w:pStyle w:val="10"/>
        <w:spacing w:after="0" w:line="360" w:lineRule="auto"/>
        <w:ind w:left="567"/>
        <w:jc w:val="both"/>
        <w:rPr>
          <w:rFonts w:ascii="David" w:hAnsi="David" w:cs="David"/>
          <w:sz w:val="24"/>
          <w:szCs w:val="24"/>
        </w:rPr>
      </w:pPr>
      <w:r>
        <w:rPr>
          <w:rFonts w:ascii="David" w:hAnsi="David" w:cs="David"/>
          <w:sz w:val="24"/>
          <w:szCs w:val="24"/>
          <w:rtl/>
        </w:rPr>
        <w:t>ביום 6.10.22 ניתן צו ירושה אחר המנוח מאת הרשם לענייני ירושה בת"א (תיק מ</w:t>
      </w:r>
      <w:bookmarkStart w:id="6" w:name="Seif2"/>
      <w:r>
        <w:rPr>
          <w:rFonts w:ascii="David" w:hAnsi="David" w:cs="David"/>
          <w:sz w:val="24"/>
          <w:szCs w:val="24"/>
          <w:rtl/>
        </w:rPr>
        <w:t xml:space="preserve">ס' </w:t>
      </w:r>
      <w:bookmarkEnd w:id="6"/>
      <w:r>
        <w:rPr>
          <w:rFonts w:ascii="David" w:hAnsi="David" w:cs="David"/>
          <w:sz w:val="24"/>
          <w:szCs w:val="24"/>
          <w:rtl/>
        </w:rPr>
        <w:t>343567) (להלן: "</w:t>
      </w:r>
      <w:r>
        <w:rPr>
          <w:rFonts w:ascii="David" w:hAnsi="David" w:cs="David"/>
          <w:b/>
          <w:bCs/>
          <w:sz w:val="24"/>
          <w:szCs w:val="24"/>
          <w:rtl/>
        </w:rPr>
        <w:t>צו הירושה</w:t>
      </w:r>
      <w:r>
        <w:rPr>
          <w:rFonts w:ascii="David" w:hAnsi="David" w:cs="David"/>
          <w:sz w:val="24"/>
          <w:szCs w:val="24"/>
          <w:rtl/>
        </w:rPr>
        <w:t>") ולפיו הצדדים בהליך זה הינם יורשיו ב</w:t>
      </w:r>
      <w:bookmarkStart w:id="7" w:name="Seif90"/>
      <w:r>
        <w:rPr>
          <w:rFonts w:ascii="David" w:hAnsi="David" w:cs="David"/>
          <w:sz w:val="24"/>
          <w:szCs w:val="24"/>
          <w:rtl/>
        </w:rPr>
        <w:t xml:space="preserve">חלקים </w:t>
      </w:r>
      <w:bookmarkEnd w:id="7"/>
      <w:r>
        <w:rPr>
          <w:rFonts w:ascii="David" w:hAnsi="David" w:cs="David"/>
          <w:sz w:val="24"/>
          <w:szCs w:val="24"/>
          <w:rtl/>
        </w:rPr>
        <w:t xml:space="preserve">כדלהלן: </w:t>
      </w:r>
    </w:p>
    <w:p w14:paraId="10B56317" w14:textId="77777777" w:rsidR="004B515E" w:rsidRDefault="00000000" w:rsidP="003D53E9">
      <w:pPr>
        <w:pStyle w:val="10"/>
        <w:spacing w:after="0" w:line="360" w:lineRule="auto"/>
        <w:ind w:left="567"/>
        <w:jc w:val="both"/>
        <w:rPr>
          <w:rFonts w:ascii="David" w:hAnsi="David" w:cs="David"/>
          <w:sz w:val="24"/>
          <w:szCs w:val="24"/>
          <w:rtl/>
        </w:rPr>
      </w:pPr>
      <w:r>
        <w:rPr>
          <w:rFonts w:ascii="David" w:hAnsi="David" w:cs="David"/>
          <w:sz w:val="24"/>
          <w:szCs w:val="24"/>
          <w:rtl/>
        </w:rPr>
        <w:t>הבן -  1/4.</w:t>
      </w:r>
    </w:p>
    <w:p w14:paraId="19A71D6F" w14:textId="77777777" w:rsidR="004B515E" w:rsidRDefault="00000000" w:rsidP="003D53E9">
      <w:pPr>
        <w:pStyle w:val="10"/>
        <w:spacing w:after="0" w:line="360" w:lineRule="auto"/>
        <w:ind w:left="567"/>
        <w:jc w:val="both"/>
        <w:rPr>
          <w:rFonts w:ascii="David" w:hAnsi="David" w:cs="David"/>
          <w:sz w:val="24"/>
          <w:szCs w:val="24"/>
          <w:rtl/>
        </w:rPr>
      </w:pPr>
      <w:r>
        <w:rPr>
          <w:rFonts w:ascii="David" w:hAnsi="David" w:cs="David"/>
          <w:sz w:val="24"/>
          <w:szCs w:val="24"/>
          <w:rtl/>
        </w:rPr>
        <w:t>הבת -  1/4.</w:t>
      </w:r>
    </w:p>
    <w:p w14:paraId="3B20E804" w14:textId="77777777" w:rsidR="004B515E" w:rsidRDefault="00000000" w:rsidP="003D53E9">
      <w:pPr>
        <w:pStyle w:val="10"/>
        <w:spacing w:after="0" w:line="360" w:lineRule="auto"/>
        <w:ind w:left="567"/>
        <w:jc w:val="both"/>
        <w:rPr>
          <w:rFonts w:ascii="David" w:hAnsi="David" w:cs="David"/>
          <w:sz w:val="24"/>
          <w:szCs w:val="24"/>
          <w:rtl/>
        </w:rPr>
      </w:pPr>
      <w:r>
        <w:rPr>
          <w:rFonts w:ascii="David" w:hAnsi="David" w:cs="David"/>
          <w:sz w:val="24"/>
          <w:szCs w:val="24"/>
          <w:rtl/>
        </w:rPr>
        <w:t>האם -  2/4.</w:t>
      </w:r>
    </w:p>
    <w:p w14:paraId="7871C03C" w14:textId="77777777" w:rsidR="004B515E" w:rsidRDefault="00000000" w:rsidP="003D53E9">
      <w:pPr>
        <w:pStyle w:val="10"/>
        <w:spacing w:after="0" w:line="360" w:lineRule="auto"/>
        <w:ind w:left="567"/>
        <w:jc w:val="both"/>
        <w:rPr>
          <w:rFonts w:ascii="David" w:hAnsi="David" w:cs="David"/>
          <w:sz w:val="24"/>
          <w:szCs w:val="24"/>
          <w:rtl/>
        </w:rPr>
      </w:pPr>
      <w:r>
        <w:rPr>
          <w:rFonts w:ascii="David" w:hAnsi="David" w:cs="David"/>
          <w:sz w:val="24"/>
          <w:szCs w:val="24"/>
          <w:rtl/>
        </w:rPr>
        <w:t>בצו נרשמה הערה בדבר הליכי פשט"ר של תובע 1 ומינוי נאמן לנכסיו. (צורף כנספח 3 לתצע"ר תובע).</w:t>
      </w:r>
    </w:p>
    <w:p w14:paraId="3EE8B562" w14:textId="77777777" w:rsidR="004B515E" w:rsidRDefault="004B515E" w:rsidP="003D53E9">
      <w:pPr>
        <w:pStyle w:val="10"/>
        <w:spacing w:after="0" w:line="360" w:lineRule="auto"/>
        <w:rPr>
          <w:rFonts w:ascii="David" w:hAnsi="David" w:cs="David"/>
          <w:sz w:val="24"/>
          <w:szCs w:val="24"/>
        </w:rPr>
      </w:pPr>
    </w:p>
    <w:p w14:paraId="0083468C"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lastRenderedPageBreak/>
        <w:t>הנכס נשוא הליך זה הינה דירת מגורים של הנתבעת ושל המנוח אשר הייתה רשומה על שמם ב</w:t>
      </w:r>
      <w:bookmarkStart w:id="8" w:name="Seif91"/>
      <w:r>
        <w:rPr>
          <w:rFonts w:ascii="David" w:hAnsi="David" w:cs="David"/>
          <w:sz w:val="24"/>
          <w:szCs w:val="24"/>
          <w:rtl/>
        </w:rPr>
        <w:t xml:space="preserve">חלקים </w:t>
      </w:r>
      <w:bookmarkEnd w:id="8"/>
      <w:r>
        <w:rPr>
          <w:rFonts w:ascii="David" w:hAnsi="David" w:cs="David"/>
          <w:sz w:val="24"/>
          <w:szCs w:val="24"/>
          <w:rtl/>
        </w:rPr>
        <w:t>שווים ואשר בעקבות צו הירושה הינה בבעלות משותפת לצדדים ב</w:t>
      </w:r>
      <w:bookmarkStart w:id="9" w:name="Seif92"/>
      <w:r>
        <w:rPr>
          <w:rFonts w:ascii="David" w:hAnsi="David" w:cs="David"/>
          <w:sz w:val="24"/>
          <w:szCs w:val="24"/>
          <w:rtl/>
        </w:rPr>
        <w:t xml:space="preserve">חלקים </w:t>
      </w:r>
      <w:bookmarkEnd w:id="9"/>
      <w:r>
        <w:rPr>
          <w:rFonts w:ascii="David" w:hAnsi="David" w:cs="David"/>
          <w:sz w:val="24"/>
          <w:szCs w:val="24"/>
          <w:rtl/>
        </w:rPr>
        <w:t>כדלהלן: (צורף נסח טאבו עדכני ביום 30.5.23)</w:t>
      </w:r>
    </w:p>
    <w:p w14:paraId="47362973" w14:textId="77777777" w:rsidR="004B515E" w:rsidRDefault="00000000" w:rsidP="003D53E9">
      <w:pPr>
        <w:pStyle w:val="10"/>
        <w:spacing w:after="0" w:line="360" w:lineRule="auto"/>
        <w:ind w:left="567"/>
        <w:jc w:val="both"/>
        <w:rPr>
          <w:rFonts w:ascii="David" w:hAnsi="David" w:cs="David"/>
          <w:sz w:val="24"/>
          <w:szCs w:val="24"/>
        </w:rPr>
      </w:pPr>
      <w:r>
        <w:rPr>
          <w:rFonts w:ascii="David" w:hAnsi="David" w:cs="David"/>
          <w:sz w:val="24"/>
          <w:szCs w:val="24"/>
          <w:rtl/>
        </w:rPr>
        <w:t>הבן -  1/8.</w:t>
      </w:r>
    </w:p>
    <w:p w14:paraId="03E0EA4A" w14:textId="77777777" w:rsidR="004B515E" w:rsidRDefault="00000000" w:rsidP="003D53E9">
      <w:pPr>
        <w:pStyle w:val="10"/>
        <w:spacing w:after="0" w:line="360" w:lineRule="auto"/>
        <w:ind w:left="567"/>
        <w:jc w:val="both"/>
        <w:rPr>
          <w:rFonts w:ascii="David" w:hAnsi="David" w:cs="David"/>
          <w:sz w:val="24"/>
          <w:szCs w:val="24"/>
          <w:rtl/>
        </w:rPr>
      </w:pPr>
      <w:r>
        <w:rPr>
          <w:rFonts w:ascii="David" w:hAnsi="David" w:cs="David"/>
          <w:sz w:val="24"/>
          <w:szCs w:val="24"/>
          <w:rtl/>
        </w:rPr>
        <w:t>הבת -  1/8.</w:t>
      </w:r>
    </w:p>
    <w:p w14:paraId="6688B8BA" w14:textId="77777777" w:rsidR="004B515E" w:rsidRDefault="00000000" w:rsidP="003D53E9">
      <w:pPr>
        <w:pStyle w:val="10"/>
        <w:spacing w:after="0" w:line="360" w:lineRule="auto"/>
        <w:ind w:left="567"/>
        <w:jc w:val="both"/>
        <w:rPr>
          <w:rFonts w:ascii="David" w:hAnsi="David" w:cs="David"/>
          <w:sz w:val="24"/>
          <w:szCs w:val="24"/>
          <w:rtl/>
        </w:rPr>
      </w:pPr>
      <w:r>
        <w:rPr>
          <w:rFonts w:ascii="David" w:hAnsi="David" w:cs="David"/>
          <w:sz w:val="24"/>
          <w:szCs w:val="24"/>
          <w:rtl/>
        </w:rPr>
        <w:t>האם – 3/4.</w:t>
      </w:r>
    </w:p>
    <w:p w14:paraId="262398FB" w14:textId="77777777" w:rsidR="004B515E" w:rsidRDefault="004B515E" w:rsidP="003D53E9">
      <w:pPr>
        <w:pStyle w:val="10"/>
        <w:spacing w:after="0" w:line="360" w:lineRule="auto"/>
        <w:ind w:left="-58"/>
        <w:jc w:val="both"/>
        <w:rPr>
          <w:rFonts w:ascii="David" w:hAnsi="David" w:cs="David"/>
          <w:sz w:val="24"/>
          <w:szCs w:val="24"/>
        </w:rPr>
      </w:pPr>
    </w:p>
    <w:p w14:paraId="3EB08DC1"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sz w:val="24"/>
          <w:szCs w:val="24"/>
          <w:rtl/>
        </w:rPr>
        <w:t xml:space="preserve">ביום 13.12.22 הגיש התובע תביעה זו במסגרתה עתר לפירוק השיתוף בדירה בדרך של מכירתה לכל המרבה במחיר. כמו כן עתר התובע למינוי בא-כוחו ככונס נכסים לצורך מכירת הדירה ולמינוי שמאי מקרקעין שיישום את שוויה. לתובע ניתן היתר להגיש את התביעה מבית משפט של תיק הפש"ר.    </w:t>
      </w:r>
    </w:p>
    <w:p w14:paraId="163B0446" w14:textId="77777777" w:rsidR="004B515E" w:rsidRDefault="004B515E" w:rsidP="003D53E9">
      <w:pPr>
        <w:pStyle w:val="10"/>
        <w:spacing w:after="0" w:line="360" w:lineRule="auto"/>
        <w:rPr>
          <w:rFonts w:ascii="David" w:hAnsi="David" w:cs="David"/>
          <w:sz w:val="24"/>
          <w:szCs w:val="24"/>
        </w:rPr>
      </w:pPr>
    </w:p>
    <w:p w14:paraId="711FBF21"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בהחלטה מיום 13.6.23 קבעתי כי לאור טיבן של טענות ההגנה נטל ההוכחה הינו על הנתבעות, והתיק נקבע להוכחות בהתאם. כך גם הוגשו הסיכומים. </w:t>
      </w:r>
    </w:p>
    <w:p w14:paraId="69F43CB0" w14:textId="77777777" w:rsidR="004B515E" w:rsidRDefault="004B515E" w:rsidP="003D53E9">
      <w:pPr>
        <w:pStyle w:val="10"/>
        <w:rPr>
          <w:rFonts w:ascii="David" w:hAnsi="David" w:cs="David"/>
          <w:sz w:val="24"/>
          <w:szCs w:val="24"/>
        </w:rPr>
      </w:pPr>
    </w:p>
    <w:p w14:paraId="59C914C3"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יודגש כי הנתבעות הציעו לשלם לתובע דמי שכירות עבור חלקו לפי שווי שכ"ד חודשי של 8,000-9,000 ₪ לחודש, אולם התובע סירב. בהחלטה מיום 13.6.23 קבעתי כי החל ממועד הגשת התביעה בחודש 12/2022 ישלמו הנתבעות לתובע עבור חלקו בדירה סך של 1,125 ₪ לחודש מדי 10 לחודש. סכום זה מגלם שווי שכירות של 9,000 ₪ ובהתאם חלקו של התובע 1/8 - 1,125 ₪. איש מהצדדים לא התייחס להחלטה זו בסיכומיהם. </w:t>
      </w:r>
    </w:p>
    <w:p w14:paraId="122E5B1A" w14:textId="77777777" w:rsidR="004B515E" w:rsidRDefault="004B515E" w:rsidP="003D53E9">
      <w:pPr>
        <w:pStyle w:val="10"/>
        <w:spacing w:after="0" w:line="360" w:lineRule="auto"/>
        <w:rPr>
          <w:rFonts w:ascii="David" w:hAnsi="David" w:cs="David"/>
          <w:sz w:val="24"/>
          <w:szCs w:val="24"/>
        </w:rPr>
      </w:pPr>
    </w:p>
    <w:p w14:paraId="1769BB41"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בתיק נעשו מאמצים רבים ע"י בית המשפט וב"כ הצדדים להביא את הצדדים להסכמות,  אולם הדבר לא צלח. </w:t>
      </w:r>
    </w:p>
    <w:p w14:paraId="4E41790A" w14:textId="77777777" w:rsidR="004B515E" w:rsidRDefault="004B515E" w:rsidP="003D53E9">
      <w:pPr>
        <w:pStyle w:val="10"/>
        <w:rPr>
          <w:rFonts w:ascii="David" w:hAnsi="David" w:cs="David"/>
          <w:sz w:val="24"/>
          <w:szCs w:val="24"/>
        </w:rPr>
      </w:pPr>
    </w:p>
    <w:p w14:paraId="40CD58F6"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בהליך התקיימו שני דיוני קדם משפט ודיון הוכחות. הוגשו סיכומים בכתב ובהתאם לכך ניתן כעת פסק הדין. </w:t>
      </w:r>
    </w:p>
    <w:p w14:paraId="20DAB787" w14:textId="77777777" w:rsidR="004B515E" w:rsidRDefault="004B515E" w:rsidP="003D53E9">
      <w:pPr>
        <w:pStyle w:val="10"/>
        <w:spacing w:after="0" w:line="360" w:lineRule="auto"/>
        <w:rPr>
          <w:rFonts w:ascii="David" w:hAnsi="David" w:cs="David"/>
          <w:sz w:val="24"/>
          <w:szCs w:val="24"/>
        </w:rPr>
      </w:pPr>
    </w:p>
    <w:p w14:paraId="01BF6793" w14:textId="77777777" w:rsidR="004B515E" w:rsidRDefault="00000000" w:rsidP="003D53E9">
      <w:pPr>
        <w:pStyle w:val="10"/>
        <w:numPr>
          <w:ilvl w:val="0"/>
          <w:numId w:val="2"/>
        </w:numPr>
        <w:spacing w:after="0" w:line="360" w:lineRule="auto"/>
        <w:ind w:left="567" w:hanging="567"/>
        <w:jc w:val="both"/>
        <w:rPr>
          <w:rFonts w:ascii="David" w:hAnsi="David" w:cs="David"/>
          <w:b/>
          <w:bCs/>
          <w:sz w:val="28"/>
          <w:szCs w:val="28"/>
          <w:u w:val="single"/>
          <w:rtl/>
        </w:rPr>
      </w:pPr>
      <w:r>
        <w:rPr>
          <w:rFonts w:ascii="David" w:hAnsi="David" w:cs="David"/>
          <w:b/>
          <w:bCs/>
          <w:sz w:val="28"/>
          <w:szCs w:val="28"/>
          <w:u w:val="single"/>
          <w:rtl/>
        </w:rPr>
        <w:t xml:space="preserve">טענות הצדדים </w:t>
      </w:r>
    </w:p>
    <w:p w14:paraId="26F5285A" w14:textId="77777777" w:rsidR="004B515E" w:rsidRDefault="004B515E" w:rsidP="003D53E9">
      <w:pPr>
        <w:pStyle w:val="10"/>
        <w:spacing w:after="0" w:line="360" w:lineRule="auto"/>
        <w:rPr>
          <w:rFonts w:ascii="David" w:hAnsi="David" w:cs="David"/>
          <w:sz w:val="24"/>
          <w:szCs w:val="24"/>
        </w:rPr>
      </w:pPr>
    </w:p>
    <w:p w14:paraId="2619D626"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b/>
          <w:bCs/>
          <w:sz w:val="24"/>
          <w:szCs w:val="24"/>
          <w:rtl/>
        </w:rPr>
        <w:t>התובע</w:t>
      </w:r>
      <w:r>
        <w:rPr>
          <w:rFonts w:ascii="David" w:hAnsi="David" w:cs="David"/>
          <w:sz w:val="24"/>
          <w:szCs w:val="24"/>
          <w:rtl/>
        </w:rPr>
        <w:t xml:space="preserve"> עתר למתן צו לפירוק שיתוף בדירה בהתאם לזכותו ע"פ </w:t>
      </w:r>
      <w:hyperlink r:id="rId7" w:history="1">
        <w:r w:rsidR="006476EC" w:rsidRPr="006476EC">
          <w:rPr>
            <w:rFonts w:ascii="David" w:hAnsi="David" w:cs="David"/>
            <w:color w:val="0000FF"/>
            <w:sz w:val="24"/>
            <w:szCs w:val="24"/>
            <w:u w:val="single"/>
            <w:rtl/>
          </w:rPr>
          <w:t>חוק המקרקעין</w:t>
        </w:r>
      </w:hyperlink>
      <w:r>
        <w:rPr>
          <w:rFonts w:ascii="David" w:hAnsi="David" w:cs="David"/>
          <w:sz w:val="24"/>
          <w:szCs w:val="24"/>
          <w:rtl/>
        </w:rPr>
        <w:t xml:space="preserve"> בדרך של מכירת הדירה לכל המרבה במחיר לאור זכותו כבעלים של 1/8 מהדירה בהתאם לצו הירושה. </w:t>
      </w:r>
    </w:p>
    <w:p w14:paraId="483924EE" w14:textId="77777777" w:rsidR="004B515E" w:rsidRDefault="004B515E" w:rsidP="003D53E9">
      <w:pPr>
        <w:pStyle w:val="10"/>
        <w:spacing w:after="0" w:line="360" w:lineRule="auto"/>
        <w:ind w:left="-58"/>
        <w:jc w:val="both"/>
        <w:rPr>
          <w:rFonts w:ascii="David" w:hAnsi="David" w:cs="David"/>
          <w:sz w:val="24"/>
          <w:szCs w:val="24"/>
        </w:rPr>
      </w:pPr>
    </w:p>
    <w:p w14:paraId="534A8FFB"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b/>
          <w:bCs/>
          <w:sz w:val="24"/>
          <w:szCs w:val="24"/>
          <w:rtl/>
        </w:rPr>
        <w:t>הנתבעות</w:t>
      </w:r>
      <w:r>
        <w:rPr>
          <w:rFonts w:ascii="David" w:hAnsi="David" w:cs="David"/>
          <w:sz w:val="24"/>
          <w:szCs w:val="24"/>
          <w:rtl/>
        </w:rPr>
        <w:t xml:space="preserve"> עותרות לדחיית התביעה ולחילופין לקבוע כי האם היא דיירת מוגנת ו/או זכאית להגנת </w:t>
      </w:r>
      <w:hyperlink r:id="rId8" w:history="1">
        <w:bookmarkStart w:id="10" w:name="Seif18"/>
        <w:r w:rsidR="00EF069D" w:rsidRPr="00EF069D">
          <w:rPr>
            <w:rStyle w:val="Hyperlink"/>
            <w:rFonts w:ascii="David" w:hAnsi="David" w:cs="David"/>
            <w:sz w:val="24"/>
            <w:szCs w:val="24"/>
            <w:rtl/>
          </w:rPr>
          <w:t xml:space="preserve">סעיף </w:t>
        </w:r>
        <w:bookmarkEnd w:id="10"/>
        <w:r w:rsidR="00EF069D" w:rsidRPr="00EF069D">
          <w:rPr>
            <w:rStyle w:val="Hyperlink"/>
            <w:rFonts w:ascii="David" w:hAnsi="David" w:cs="David"/>
            <w:sz w:val="24"/>
            <w:szCs w:val="24"/>
            <w:rtl/>
          </w:rPr>
          <w:t>115</w:t>
        </w:r>
      </w:hyperlink>
      <w:r>
        <w:rPr>
          <w:rFonts w:ascii="David" w:hAnsi="David" w:cs="David"/>
          <w:sz w:val="24"/>
          <w:szCs w:val="24"/>
          <w:rtl/>
        </w:rPr>
        <w:t xml:space="preserve"> ל</w:t>
      </w:r>
      <w:hyperlink r:id="rId9" w:history="1">
        <w:r w:rsidR="006476EC" w:rsidRPr="006476EC">
          <w:rPr>
            <w:rFonts w:ascii="David" w:hAnsi="David" w:cs="David"/>
            <w:color w:val="0000FF"/>
            <w:sz w:val="24"/>
            <w:szCs w:val="24"/>
            <w:u w:val="single"/>
            <w:rtl/>
          </w:rPr>
          <w:t>חוק הירושה</w:t>
        </w:r>
      </w:hyperlink>
      <w:r>
        <w:rPr>
          <w:rFonts w:ascii="David" w:hAnsi="David" w:cs="David"/>
          <w:sz w:val="24"/>
          <w:szCs w:val="24"/>
          <w:rtl/>
        </w:rPr>
        <w:t xml:space="preserve"> ולקבוע את היקף זכאותה. </w:t>
      </w:r>
    </w:p>
    <w:p w14:paraId="6E8281FF" w14:textId="77777777" w:rsidR="004B515E" w:rsidRDefault="004B515E" w:rsidP="003D53E9">
      <w:pPr>
        <w:pStyle w:val="10"/>
        <w:spacing w:after="0" w:line="360" w:lineRule="auto"/>
        <w:rPr>
          <w:rFonts w:ascii="David" w:hAnsi="David" w:cs="David"/>
          <w:sz w:val="24"/>
          <w:szCs w:val="24"/>
        </w:rPr>
      </w:pPr>
    </w:p>
    <w:p w14:paraId="1FC21078"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יוער כי הבת לא הגישה תצע"ר מטעמה ולא נחקרה. כמו כן בכתב ההגנה ובסיכומים שהוגשו מטעם הנתבעות במאוחד, לא טענה הבת טענות משל עצמה אלא הצטרפה לטענות האם. </w:t>
      </w:r>
    </w:p>
    <w:p w14:paraId="72FE96BE" w14:textId="77777777" w:rsidR="004B515E" w:rsidRDefault="004B515E" w:rsidP="003D53E9">
      <w:pPr>
        <w:pStyle w:val="10"/>
        <w:spacing w:after="0" w:line="360" w:lineRule="auto"/>
        <w:rPr>
          <w:rFonts w:ascii="David" w:hAnsi="David" w:cs="David"/>
          <w:sz w:val="24"/>
          <w:szCs w:val="24"/>
        </w:rPr>
      </w:pPr>
    </w:p>
    <w:p w14:paraId="2BE9FE58"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lastRenderedPageBreak/>
        <w:t>להלן תמצית טענות הצדדים ולאור החלטתי כי על הנתבעות נטל ההוכחה יובאו תחילה עיקרי טענותיהן.</w:t>
      </w:r>
    </w:p>
    <w:p w14:paraId="4ACF519B" w14:textId="77777777" w:rsidR="004B515E" w:rsidRDefault="004B515E" w:rsidP="003D53E9">
      <w:pPr>
        <w:pStyle w:val="10"/>
        <w:spacing w:after="0" w:line="360" w:lineRule="auto"/>
        <w:ind w:left="-58"/>
        <w:jc w:val="both"/>
        <w:rPr>
          <w:rFonts w:ascii="David" w:hAnsi="David" w:cs="David"/>
          <w:sz w:val="24"/>
          <w:szCs w:val="24"/>
        </w:rPr>
      </w:pPr>
    </w:p>
    <w:p w14:paraId="0E7A86C5"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b/>
          <w:bCs/>
          <w:sz w:val="24"/>
          <w:szCs w:val="24"/>
          <w:rtl/>
        </w:rPr>
        <w:t>הנתבעות טענו בכתב ההגנה בתצע"ר ובסיכומים מספר טענות חלופיות</w:t>
      </w:r>
      <w:r>
        <w:rPr>
          <w:rFonts w:ascii="David" w:hAnsi="David" w:cs="David"/>
          <w:sz w:val="24"/>
          <w:szCs w:val="24"/>
          <w:rtl/>
        </w:rPr>
        <w:t xml:space="preserve">: </w:t>
      </w:r>
    </w:p>
    <w:p w14:paraId="0D90F6C8" w14:textId="77777777" w:rsidR="004B515E" w:rsidRDefault="00000000" w:rsidP="003D53E9">
      <w:pPr>
        <w:pStyle w:val="10"/>
        <w:numPr>
          <w:ilvl w:val="0"/>
          <w:numId w:val="3"/>
        </w:numPr>
        <w:spacing w:after="0" w:line="360" w:lineRule="auto"/>
        <w:ind w:left="1134" w:hanging="567"/>
        <w:jc w:val="both"/>
        <w:rPr>
          <w:rFonts w:ascii="David" w:hAnsi="David" w:cs="David"/>
          <w:sz w:val="24"/>
          <w:szCs w:val="24"/>
        </w:rPr>
      </w:pPr>
      <w:r>
        <w:rPr>
          <w:rFonts w:ascii="David" w:hAnsi="David" w:cs="David"/>
          <w:b/>
          <w:bCs/>
          <w:sz w:val="24"/>
          <w:szCs w:val="24"/>
          <w:rtl/>
        </w:rPr>
        <w:t>לטענת האם יש לה זכות להמשיך להתגורר בדירה במשך כל ימי חייה לאור</w:t>
      </w:r>
      <w:r>
        <w:rPr>
          <w:rFonts w:ascii="David" w:hAnsi="David" w:cs="David"/>
          <w:sz w:val="24"/>
          <w:szCs w:val="24"/>
          <w:rtl/>
        </w:rPr>
        <w:t xml:space="preserve"> </w:t>
      </w:r>
      <w:hyperlink r:id="rId10" w:history="1">
        <w:bookmarkStart w:id="11" w:name="Seif19"/>
        <w:r w:rsidR="00EF069D" w:rsidRPr="00EF069D">
          <w:rPr>
            <w:rStyle w:val="Hyperlink"/>
            <w:rFonts w:ascii="David" w:hAnsi="David" w:cs="David"/>
            <w:b/>
            <w:bCs/>
            <w:sz w:val="24"/>
            <w:szCs w:val="24"/>
            <w:rtl/>
          </w:rPr>
          <w:t xml:space="preserve">סעיף </w:t>
        </w:r>
        <w:bookmarkEnd w:id="11"/>
        <w:r w:rsidR="00EF069D" w:rsidRPr="00EF069D">
          <w:rPr>
            <w:rStyle w:val="Hyperlink"/>
            <w:rFonts w:ascii="David" w:hAnsi="David" w:cs="David"/>
            <w:b/>
            <w:bCs/>
            <w:sz w:val="24"/>
            <w:szCs w:val="24"/>
            <w:rtl/>
          </w:rPr>
          <w:t>115</w:t>
        </w:r>
      </w:hyperlink>
      <w:r>
        <w:rPr>
          <w:rFonts w:ascii="David" w:hAnsi="David" w:cs="David"/>
          <w:b/>
          <w:bCs/>
          <w:sz w:val="24"/>
          <w:szCs w:val="24"/>
          <w:rtl/>
        </w:rPr>
        <w:t xml:space="preserve"> ל</w:t>
      </w:r>
      <w:hyperlink r:id="rId11" w:history="1">
        <w:r w:rsidR="006476EC" w:rsidRPr="006476EC">
          <w:rPr>
            <w:rFonts w:ascii="David" w:hAnsi="David" w:cs="David"/>
            <w:b/>
            <w:bCs/>
            <w:color w:val="0000FF"/>
            <w:sz w:val="24"/>
            <w:szCs w:val="24"/>
            <w:u w:val="single"/>
            <w:rtl/>
          </w:rPr>
          <w:t>חוק הירושה</w:t>
        </w:r>
      </w:hyperlink>
      <w:r>
        <w:rPr>
          <w:rFonts w:ascii="David" w:hAnsi="David" w:cs="David"/>
          <w:sz w:val="24"/>
          <w:szCs w:val="24"/>
          <w:rtl/>
        </w:rPr>
        <w:t xml:space="preserve"> אשר גוברת על הזכות לפירוק שיתוף תוך חיובה לשלם לידי התובע שכר דירה ראוי. זאת לאחר שהוכיחה קיומם של שני תנאים מצטברים: הדירה הייתה ערב מותו של המוריש בבעלותו ובן הזוג הדורש את הזכות גר בדירה ערב מותו של המוריש ביחד עמו. בסיכומיה טענה האם כי בהתאם לפסיקה יש לאפשר לה להמשיך להתגורר בדירה במשך 5 שנים </w:t>
      </w:r>
      <w:r>
        <w:rPr>
          <w:rFonts w:ascii="David" w:hAnsi="David" w:cs="David"/>
          <w:b/>
          <w:bCs/>
          <w:sz w:val="24"/>
          <w:szCs w:val="24"/>
          <w:rtl/>
        </w:rPr>
        <w:t>נוספות</w:t>
      </w:r>
      <w:r>
        <w:rPr>
          <w:rFonts w:ascii="David" w:hAnsi="David" w:cs="David"/>
          <w:sz w:val="24"/>
          <w:szCs w:val="24"/>
          <w:rtl/>
        </w:rPr>
        <w:t xml:space="preserve"> החל ממועד הגשת הסיכומים ולחייבה בדמי שכירות מופחתים אשר בשיעורם לא נקבה, בהתאם לחלקו של התובע בדירה (1/8) ותוך ניכוי או למצער התחשבות בסכומים שהיא והמנוח העבירו לידי התובע ברבות השנים. </w:t>
      </w:r>
    </w:p>
    <w:p w14:paraId="0D580783" w14:textId="77777777" w:rsidR="004B515E" w:rsidRDefault="004B515E" w:rsidP="003D53E9">
      <w:pPr>
        <w:pStyle w:val="10"/>
        <w:spacing w:after="0" w:line="360" w:lineRule="auto"/>
        <w:rPr>
          <w:rFonts w:ascii="David" w:hAnsi="David" w:cs="David"/>
          <w:sz w:val="24"/>
          <w:szCs w:val="24"/>
        </w:rPr>
      </w:pPr>
    </w:p>
    <w:p w14:paraId="0524F08E" w14:textId="77777777" w:rsidR="004B515E" w:rsidRDefault="00000000" w:rsidP="003D53E9">
      <w:pPr>
        <w:pStyle w:val="10"/>
        <w:numPr>
          <w:ilvl w:val="0"/>
          <w:numId w:val="3"/>
        </w:numPr>
        <w:spacing w:after="0" w:line="360" w:lineRule="auto"/>
        <w:ind w:left="1134" w:hanging="567"/>
        <w:jc w:val="both"/>
        <w:rPr>
          <w:rFonts w:ascii="David" w:hAnsi="David" w:cs="David"/>
          <w:sz w:val="24"/>
          <w:szCs w:val="24"/>
          <w:rtl/>
        </w:rPr>
      </w:pPr>
      <w:r>
        <w:rPr>
          <w:rFonts w:ascii="David" w:hAnsi="David" w:cs="David"/>
          <w:sz w:val="24"/>
          <w:szCs w:val="24"/>
          <w:rtl/>
        </w:rPr>
        <w:t xml:space="preserve">לחילופין לטענת האם היא בבחינת </w:t>
      </w:r>
      <w:r>
        <w:rPr>
          <w:rFonts w:ascii="David" w:hAnsi="David" w:cs="David"/>
          <w:b/>
          <w:bCs/>
          <w:sz w:val="24"/>
          <w:szCs w:val="24"/>
          <w:rtl/>
        </w:rPr>
        <w:t>דיירת מוגנת למשך כל ימי חייה</w:t>
      </w:r>
      <w:r>
        <w:rPr>
          <w:rFonts w:ascii="David" w:hAnsi="David" w:cs="David"/>
          <w:sz w:val="24"/>
          <w:szCs w:val="24"/>
          <w:rtl/>
        </w:rPr>
        <w:t xml:space="preserve"> ביחס לחלקו של התובע בדירה (1/8) מכוח </w:t>
      </w:r>
      <w:hyperlink r:id="rId12" w:history="1">
        <w:bookmarkStart w:id="12" w:name="Seif20"/>
        <w:r w:rsidR="00EF069D" w:rsidRPr="00EF069D">
          <w:rPr>
            <w:rStyle w:val="Hyperlink"/>
            <w:rFonts w:ascii="David" w:hAnsi="David" w:cs="David"/>
            <w:b/>
            <w:bCs/>
            <w:sz w:val="24"/>
            <w:szCs w:val="24"/>
            <w:rtl/>
          </w:rPr>
          <w:t xml:space="preserve">סעיף </w:t>
        </w:r>
        <w:bookmarkEnd w:id="12"/>
        <w:r w:rsidR="00EF069D" w:rsidRPr="00EF069D">
          <w:rPr>
            <w:rStyle w:val="Hyperlink"/>
            <w:rFonts w:ascii="David" w:hAnsi="David" w:cs="David"/>
            <w:b/>
            <w:bCs/>
            <w:sz w:val="24"/>
            <w:szCs w:val="24"/>
            <w:rtl/>
          </w:rPr>
          <w:t>33</w:t>
        </w:r>
      </w:hyperlink>
      <w:r>
        <w:rPr>
          <w:rFonts w:ascii="David" w:hAnsi="David" w:cs="David"/>
          <w:b/>
          <w:bCs/>
          <w:sz w:val="24"/>
          <w:szCs w:val="24"/>
          <w:rtl/>
        </w:rPr>
        <w:t xml:space="preserve"> ל</w:t>
      </w:r>
      <w:hyperlink r:id="rId13" w:history="1">
        <w:r w:rsidR="006476EC" w:rsidRPr="006476EC">
          <w:rPr>
            <w:rFonts w:ascii="David" w:hAnsi="David" w:cs="David"/>
            <w:b/>
            <w:bCs/>
            <w:color w:val="0000FF"/>
            <w:sz w:val="24"/>
            <w:szCs w:val="24"/>
            <w:u w:val="single"/>
            <w:rtl/>
          </w:rPr>
          <w:t>חוק הגנת הדייר</w:t>
        </w:r>
      </w:hyperlink>
      <w:r>
        <w:rPr>
          <w:rFonts w:ascii="David" w:hAnsi="David" w:cs="David"/>
          <w:sz w:val="24"/>
          <w:szCs w:val="24"/>
          <w:rtl/>
        </w:rPr>
        <w:t xml:space="preserve"> וככל שתתקבל טענת פירוק השיתוף, הדירה צריכה להימכר כתפוסה ולא כדירה פנויה. לטענת האם היא נכנסת לגדר הגנת </w:t>
      </w:r>
      <w:hyperlink r:id="rId14" w:history="1">
        <w:bookmarkStart w:id="13" w:name="Seif21"/>
        <w:r w:rsidR="00EF069D" w:rsidRPr="00EF069D">
          <w:rPr>
            <w:rStyle w:val="Hyperlink"/>
            <w:rFonts w:ascii="David" w:hAnsi="David" w:cs="David"/>
            <w:sz w:val="24"/>
            <w:szCs w:val="24"/>
            <w:rtl/>
          </w:rPr>
          <w:t xml:space="preserve">סעיף </w:t>
        </w:r>
        <w:bookmarkEnd w:id="13"/>
        <w:r w:rsidR="00EF069D" w:rsidRPr="00EF069D">
          <w:rPr>
            <w:rStyle w:val="Hyperlink"/>
            <w:rFonts w:ascii="David" w:hAnsi="David" w:cs="David"/>
            <w:sz w:val="24"/>
            <w:szCs w:val="24"/>
            <w:rtl/>
          </w:rPr>
          <w:t>33</w:t>
        </w:r>
      </w:hyperlink>
      <w:r>
        <w:rPr>
          <w:rFonts w:ascii="David" w:hAnsi="David" w:cs="David"/>
          <w:sz w:val="24"/>
          <w:szCs w:val="24"/>
          <w:rtl/>
        </w:rPr>
        <w:t xml:space="preserve"> לאחר שעמדה בנטל להוכיח כדלהלן: היא החזיקה חזקה ייחודית בדירה, בהסכמתו הפוזיטיבית של התובע אשר הסכים למגורי האם ובן זוגה בדירה בעשור שחלף מאז מות האב וזאת עד למועד פירוק השיתוף העתידי וכן שדרישתה לחסות תחת הגנת ה</w:t>
      </w:r>
      <w:bookmarkStart w:id="14" w:name="Seif22"/>
      <w:r>
        <w:rPr>
          <w:rFonts w:ascii="David" w:hAnsi="David" w:cs="David"/>
          <w:sz w:val="24"/>
          <w:szCs w:val="24"/>
          <w:rtl/>
        </w:rPr>
        <w:t xml:space="preserve">סעיף </w:t>
      </w:r>
      <w:bookmarkEnd w:id="14"/>
      <w:r>
        <w:rPr>
          <w:rFonts w:ascii="David" w:hAnsi="David" w:cs="David"/>
          <w:sz w:val="24"/>
          <w:szCs w:val="24"/>
          <w:rtl/>
        </w:rPr>
        <w:t xml:space="preserve">אינה חסרת תום לב. </w:t>
      </w:r>
    </w:p>
    <w:p w14:paraId="752D2165" w14:textId="77777777" w:rsidR="004B515E" w:rsidRDefault="004B515E" w:rsidP="003D53E9">
      <w:pPr>
        <w:pStyle w:val="10"/>
        <w:rPr>
          <w:rFonts w:ascii="David" w:hAnsi="David" w:cs="David"/>
          <w:sz w:val="24"/>
          <w:szCs w:val="24"/>
        </w:rPr>
      </w:pPr>
    </w:p>
    <w:p w14:paraId="5F67072A" w14:textId="77777777" w:rsidR="004B515E" w:rsidRDefault="00000000" w:rsidP="003D53E9">
      <w:pPr>
        <w:pStyle w:val="10"/>
        <w:numPr>
          <w:ilvl w:val="0"/>
          <w:numId w:val="3"/>
        </w:numPr>
        <w:spacing w:after="0" w:line="360" w:lineRule="auto"/>
        <w:ind w:left="1134" w:hanging="567"/>
        <w:jc w:val="both"/>
        <w:rPr>
          <w:rFonts w:ascii="David" w:hAnsi="David" w:cs="David"/>
          <w:sz w:val="24"/>
          <w:szCs w:val="24"/>
          <w:rtl/>
        </w:rPr>
      </w:pPr>
      <w:r>
        <w:rPr>
          <w:rFonts w:ascii="David" w:hAnsi="David" w:cs="David"/>
          <w:sz w:val="24"/>
          <w:szCs w:val="24"/>
          <w:rtl/>
        </w:rPr>
        <w:t xml:space="preserve">כמו כן לטענת הנתבעות </w:t>
      </w:r>
      <w:r>
        <w:rPr>
          <w:rFonts w:ascii="David" w:hAnsi="David" w:cs="David"/>
          <w:b/>
          <w:bCs/>
          <w:sz w:val="24"/>
          <w:szCs w:val="24"/>
          <w:rtl/>
        </w:rPr>
        <w:t>בין הצדדים הייתה הסכמה בע"פ ובהתנהגות לחלוקת העיזבון/ הסדר ירושה</w:t>
      </w:r>
      <w:r>
        <w:rPr>
          <w:rFonts w:ascii="David" w:hAnsi="David" w:cs="David"/>
          <w:sz w:val="24"/>
          <w:szCs w:val="24"/>
          <w:rtl/>
        </w:rPr>
        <w:t xml:space="preserve"> </w:t>
      </w:r>
      <w:r>
        <w:rPr>
          <w:rFonts w:ascii="David" w:hAnsi="David" w:cs="David"/>
          <w:b/>
          <w:bCs/>
          <w:sz w:val="24"/>
          <w:szCs w:val="24"/>
          <w:rtl/>
        </w:rPr>
        <w:t>בע"פ</w:t>
      </w:r>
      <w:r>
        <w:rPr>
          <w:rFonts w:ascii="David" w:hAnsi="David" w:cs="David"/>
          <w:sz w:val="24"/>
          <w:szCs w:val="24"/>
          <w:rtl/>
        </w:rPr>
        <w:t xml:space="preserve"> אשר הצדדים נהגו לפיה. </w:t>
      </w:r>
      <w:r>
        <w:rPr>
          <w:rFonts w:ascii="David" w:hAnsi="David" w:cs="David"/>
          <w:b/>
          <w:bCs/>
          <w:sz w:val="24"/>
          <w:szCs w:val="24"/>
          <w:rtl/>
        </w:rPr>
        <w:t>בהתאם זכויותיו של התובע בדירה</w:t>
      </w:r>
      <w:r>
        <w:rPr>
          <w:rFonts w:ascii="David" w:hAnsi="David" w:cs="David"/>
          <w:sz w:val="24"/>
          <w:szCs w:val="24"/>
          <w:rtl/>
        </w:rPr>
        <w:t xml:space="preserve"> נפדו בדרך של קבלת כספים בסך של למעלה מ-1.5 מיליון ש"ח שקיבל התובע מהנתבעת ומהמנוח במשך השנים על חשבון חלקו בדירת הירושה. על כן אין לתובע זכות נוספת לקבלת כספים לגבי הדירה ותביעה זו הוגשה על ידי התובע בחוסר תום לב. </w:t>
      </w:r>
      <w:r>
        <w:rPr>
          <w:rFonts w:ascii="David" w:hAnsi="David" w:cs="David"/>
          <w:b/>
          <w:bCs/>
          <w:sz w:val="24"/>
          <w:szCs w:val="24"/>
          <w:rtl/>
        </w:rPr>
        <w:t xml:space="preserve">כמו כן לטענת הנתבעות, הצדדים הסכימו כי האם תמשיך להתגורר בדירה במשך כל ימי חייה ללא הגבלה. </w:t>
      </w:r>
      <w:r>
        <w:rPr>
          <w:rFonts w:ascii="David" w:hAnsi="David" w:cs="David"/>
          <w:sz w:val="24"/>
          <w:szCs w:val="24"/>
          <w:rtl/>
        </w:rPr>
        <w:t xml:space="preserve">לטענת הנתבעות הצדדים נהגו בהתאם להסכם והסתמכו עליו והוא מחייב את התובע אשר מנוע ומושתק מלטעון כנגדו. לטענת האם היא הסתמכה על ההסכם בין הצדדים ושינתה מצבה לרעה שכן העבירה לתובע את כל כספה וחסכונותיה וכאשר אלו אזלו נטלה הלוואה שגם אותה העבירה לתובע תוך הסתמכות על ההסכם ביניהם, ועל כן כעת התובע מושתק ומנוע מלהפר או לחזור בו מההסכם שבין היורשים. </w:t>
      </w:r>
    </w:p>
    <w:p w14:paraId="0E8AD09E" w14:textId="77777777" w:rsidR="004B515E" w:rsidRDefault="00000000" w:rsidP="003D53E9">
      <w:pPr>
        <w:pStyle w:val="10"/>
        <w:spacing w:after="0" w:line="360" w:lineRule="auto"/>
        <w:ind w:left="1134"/>
        <w:jc w:val="both"/>
        <w:rPr>
          <w:rFonts w:ascii="David" w:hAnsi="David" w:cs="David"/>
          <w:sz w:val="24"/>
          <w:szCs w:val="24"/>
        </w:rPr>
      </w:pPr>
      <w:r>
        <w:rPr>
          <w:rFonts w:ascii="David" w:hAnsi="David" w:cs="David"/>
          <w:sz w:val="24"/>
          <w:szCs w:val="24"/>
          <w:rtl/>
        </w:rPr>
        <w:t xml:space="preserve">לטענת הבת גם היא הסתמכה על הסכמות הצדדים לגבי חלוקת העיזבון ועל כך שאחיה התובע יבוא עימה חשבון על כל הכספים שקיבל על חשבון חלקו בעיזבון אביהם.  </w:t>
      </w:r>
    </w:p>
    <w:p w14:paraId="7E72089F" w14:textId="77777777" w:rsidR="004B515E" w:rsidRDefault="00000000" w:rsidP="003D53E9">
      <w:pPr>
        <w:pStyle w:val="10"/>
        <w:spacing w:after="0" w:line="360" w:lineRule="auto"/>
        <w:ind w:left="1134"/>
        <w:jc w:val="both"/>
        <w:rPr>
          <w:rFonts w:ascii="David" w:hAnsi="David" w:cs="David"/>
          <w:b/>
          <w:bCs/>
          <w:sz w:val="24"/>
          <w:szCs w:val="24"/>
        </w:rPr>
      </w:pPr>
      <w:r>
        <w:rPr>
          <w:rFonts w:ascii="David" w:hAnsi="David" w:cs="David"/>
          <w:b/>
          <w:bCs/>
          <w:sz w:val="24"/>
          <w:szCs w:val="24"/>
          <w:rtl/>
        </w:rPr>
        <w:lastRenderedPageBreak/>
        <w:t xml:space="preserve">לטענת האם השיהוי הרב בהגשת התביעה ע"י התובע בחלוף עשור ממות האב היה לאור הסכמת הצדדים לגבי חלוקת העיזבון וכיום התובע מושתק מלדרוש את חלקו בדירה.   </w:t>
      </w:r>
    </w:p>
    <w:p w14:paraId="77C1CA0C" w14:textId="77777777" w:rsidR="004B515E" w:rsidRDefault="004B515E" w:rsidP="003D53E9">
      <w:pPr>
        <w:pStyle w:val="10"/>
        <w:spacing w:after="0" w:line="360" w:lineRule="auto"/>
        <w:rPr>
          <w:rFonts w:ascii="David" w:hAnsi="David" w:cs="David"/>
          <w:b/>
          <w:bCs/>
          <w:sz w:val="24"/>
          <w:szCs w:val="24"/>
          <w:rtl/>
        </w:rPr>
      </w:pPr>
    </w:p>
    <w:p w14:paraId="60712C2A" w14:textId="77777777" w:rsidR="004B515E" w:rsidRDefault="004B515E" w:rsidP="003D53E9">
      <w:pPr>
        <w:pStyle w:val="10"/>
        <w:spacing w:after="0" w:line="360" w:lineRule="auto"/>
        <w:rPr>
          <w:rFonts w:ascii="David" w:hAnsi="David" w:cs="David"/>
          <w:b/>
          <w:bCs/>
          <w:sz w:val="24"/>
          <w:szCs w:val="24"/>
          <w:rtl/>
        </w:rPr>
      </w:pPr>
    </w:p>
    <w:p w14:paraId="70B82032" w14:textId="77777777" w:rsidR="004B515E" w:rsidRDefault="004B515E" w:rsidP="003D53E9">
      <w:pPr>
        <w:pStyle w:val="10"/>
        <w:spacing w:after="0" w:line="360" w:lineRule="auto"/>
        <w:rPr>
          <w:rFonts w:ascii="David" w:hAnsi="David" w:cs="David"/>
          <w:b/>
          <w:bCs/>
          <w:sz w:val="24"/>
          <w:szCs w:val="24"/>
        </w:rPr>
      </w:pPr>
    </w:p>
    <w:p w14:paraId="62B80F4E"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בתצע"ר טענה האם כי היא בת מעל ל-80 וכבר כילתה את כספה לאחר שהעבירה לתובע שהסתבך בחובות את כל כספם וחסכונותיהם שלה ושל בעלה מתוך הסכמה שתיערך התחשבנות כספית וחלוקה בין כל היורשים לאחר מותו של האב, ומסיבה זו ובידיעה שהצדדים יערכו הסכם בין יורשים שיישקף את חלוקת העיזבון ביניהם תוך התחשבות בכספים שהועברו לתובע, אף לא הוציאה צו ירושה לאחר מותו של בעלה. </w:t>
      </w:r>
    </w:p>
    <w:p w14:paraId="4A3007F7" w14:textId="77777777" w:rsidR="004B515E" w:rsidRDefault="004B515E" w:rsidP="003D53E9">
      <w:pPr>
        <w:pStyle w:val="10"/>
        <w:spacing w:after="0" w:line="360" w:lineRule="auto"/>
        <w:rPr>
          <w:rFonts w:ascii="David" w:hAnsi="David" w:cs="David"/>
          <w:sz w:val="24"/>
          <w:szCs w:val="24"/>
        </w:rPr>
      </w:pPr>
    </w:p>
    <w:p w14:paraId="2FAE6666"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לטענת האם היא לקתה בשבץ מוחי קל ומתגוררת בדירה עם בן זוגה שהינו בן 81 וסובל ממחלת פרקינסון חמורה, חייה אינם פשוטים ואין באפשרותה בגילה ובמצבה הבריאותי למכור את הדירה ולהעתיק את מקום מגוריה.</w:t>
      </w:r>
    </w:p>
    <w:p w14:paraId="509B1E76" w14:textId="77777777" w:rsidR="004B515E" w:rsidRDefault="004B515E" w:rsidP="003D53E9">
      <w:pPr>
        <w:pStyle w:val="10"/>
        <w:spacing w:after="0" w:line="360" w:lineRule="auto"/>
        <w:rPr>
          <w:rFonts w:ascii="David" w:hAnsi="David" w:cs="David"/>
          <w:sz w:val="24"/>
          <w:szCs w:val="24"/>
        </w:rPr>
      </w:pPr>
    </w:p>
    <w:p w14:paraId="69EC72AD"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כמו כן לטענת הנתבעות המשך מגורי האם בדירה מחויב גם מצד קיום רצון המת – האב אשר סמך על ילדיו שיאפשרו את המשך מגורי האם בדירה ללא הגבלה. </w:t>
      </w:r>
    </w:p>
    <w:p w14:paraId="2EF84093" w14:textId="77777777" w:rsidR="004B515E" w:rsidRDefault="004B515E" w:rsidP="003D53E9">
      <w:pPr>
        <w:pStyle w:val="10"/>
        <w:spacing w:after="0" w:line="360" w:lineRule="auto"/>
        <w:rPr>
          <w:rFonts w:ascii="David" w:hAnsi="David" w:cs="David"/>
          <w:sz w:val="24"/>
          <w:szCs w:val="24"/>
        </w:rPr>
      </w:pPr>
    </w:p>
    <w:p w14:paraId="04D20632"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האם והאחות לא צירפו ראיות להוכחת טענותיהן למעט לגבי הלוואה ע"ס 30,000 ₪ שנטלה האם בשנת 2012 כמו כן לא צורפו תצהירים של עדים מטעמן. </w:t>
      </w:r>
    </w:p>
    <w:p w14:paraId="084467E3" w14:textId="77777777" w:rsidR="004B515E" w:rsidRDefault="004B515E" w:rsidP="003D53E9">
      <w:pPr>
        <w:pStyle w:val="10"/>
        <w:spacing w:after="0" w:line="360" w:lineRule="auto"/>
        <w:ind w:left="-58"/>
        <w:jc w:val="both"/>
        <w:rPr>
          <w:rFonts w:ascii="David" w:hAnsi="David" w:cs="David"/>
          <w:sz w:val="24"/>
          <w:szCs w:val="24"/>
        </w:rPr>
      </w:pPr>
    </w:p>
    <w:p w14:paraId="43521A06"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b/>
          <w:bCs/>
          <w:sz w:val="24"/>
          <w:szCs w:val="24"/>
          <w:rtl/>
        </w:rPr>
        <w:t>התובע טען והשיב בתצע"ר ובסיכומיו כדלהלן</w:t>
      </w:r>
      <w:r>
        <w:rPr>
          <w:rFonts w:ascii="David" w:hAnsi="David" w:cs="David"/>
          <w:sz w:val="24"/>
          <w:szCs w:val="24"/>
          <w:rtl/>
        </w:rPr>
        <w:t xml:space="preserve">: </w:t>
      </w:r>
    </w:p>
    <w:p w14:paraId="3FBD389D" w14:textId="77777777" w:rsidR="004B515E" w:rsidRDefault="004B515E" w:rsidP="003D53E9">
      <w:pPr>
        <w:pStyle w:val="10"/>
        <w:spacing w:after="0" w:line="360" w:lineRule="auto"/>
        <w:rPr>
          <w:rFonts w:ascii="David" w:hAnsi="David" w:cs="David"/>
          <w:sz w:val="24"/>
          <w:szCs w:val="24"/>
        </w:rPr>
      </w:pPr>
    </w:p>
    <w:p w14:paraId="5931B01B" w14:textId="77777777" w:rsidR="004B515E" w:rsidRDefault="00000000" w:rsidP="003D53E9">
      <w:pPr>
        <w:pStyle w:val="10"/>
        <w:numPr>
          <w:ilvl w:val="0"/>
          <w:numId w:val="4"/>
        </w:numPr>
        <w:spacing w:after="0" w:line="360" w:lineRule="auto"/>
        <w:ind w:left="1134" w:hanging="567"/>
        <w:jc w:val="both"/>
        <w:rPr>
          <w:rFonts w:ascii="David" w:hAnsi="David" w:cs="David"/>
          <w:sz w:val="24"/>
          <w:szCs w:val="24"/>
          <w:rtl/>
        </w:rPr>
      </w:pPr>
      <w:r>
        <w:rPr>
          <w:rFonts w:ascii="David" w:hAnsi="David" w:cs="David"/>
          <w:sz w:val="24"/>
          <w:szCs w:val="24"/>
          <w:rtl/>
        </w:rPr>
        <w:t xml:space="preserve">לטענת התובע יש </w:t>
      </w:r>
      <w:r>
        <w:rPr>
          <w:rFonts w:ascii="David" w:hAnsi="David" w:cs="David"/>
          <w:b/>
          <w:bCs/>
          <w:sz w:val="24"/>
          <w:szCs w:val="24"/>
          <w:rtl/>
        </w:rPr>
        <w:t>לדחות את הטענה לדיירות מוגנת של האם בדירה</w:t>
      </w:r>
      <w:r>
        <w:rPr>
          <w:rFonts w:ascii="David" w:hAnsi="David" w:cs="David"/>
          <w:sz w:val="24"/>
          <w:szCs w:val="24"/>
          <w:rtl/>
        </w:rPr>
        <w:t xml:space="preserve">. לטענתו, אמו לא הוכיחה חזקה ייחודית בדירה ואף העידה בחקירתה כי ככל שהתובע ירצה הוא רשאי להתגורר בדירה ביחד עמה. כמו כן לטענת התובע אין לאם הוכחה פוזיטיבית לחזקה ייחודית בדירה. לטענת התובע, האם אינה עונה על דרישות </w:t>
      </w:r>
      <w:hyperlink r:id="rId15" w:history="1">
        <w:bookmarkStart w:id="15" w:name="Seif23"/>
        <w:r w:rsidR="00EF069D" w:rsidRPr="00EF069D">
          <w:rPr>
            <w:rStyle w:val="Hyperlink"/>
            <w:rFonts w:ascii="David" w:hAnsi="David" w:cs="David"/>
            <w:sz w:val="24"/>
            <w:szCs w:val="24"/>
            <w:rtl/>
          </w:rPr>
          <w:t xml:space="preserve">סעיף </w:t>
        </w:r>
        <w:bookmarkEnd w:id="15"/>
        <w:r w:rsidR="00EF069D" w:rsidRPr="00EF069D">
          <w:rPr>
            <w:rStyle w:val="Hyperlink"/>
            <w:rFonts w:ascii="David" w:hAnsi="David" w:cs="David"/>
            <w:sz w:val="24"/>
            <w:szCs w:val="24"/>
            <w:rtl/>
          </w:rPr>
          <w:t>33</w:t>
        </w:r>
      </w:hyperlink>
      <w:r>
        <w:rPr>
          <w:rFonts w:ascii="David" w:hAnsi="David" w:cs="David"/>
          <w:sz w:val="24"/>
          <w:szCs w:val="24"/>
          <w:rtl/>
        </w:rPr>
        <w:t xml:space="preserve"> ל</w:t>
      </w:r>
      <w:hyperlink r:id="rId16" w:history="1">
        <w:r w:rsidR="006476EC" w:rsidRPr="006476EC">
          <w:rPr>
            <w:rFonts w:ascii="David" w:hAnsi="David" w:cs="David"/>
            <w:color w:val="0000FF"/>
            <w:sz w:val="24"/>
            <w:szCs w:val="24"/>
            <w:u w:val="single"/>
            <w:rtl/>
          </w:rPr>
          <w:t>חוק הגנת הדייר</w:t>
        </w:r>
      </w:hyperlink>
      <w:r>
        <w:rPr>
          <w:rFonts w:ascii="David" w:hAnsi="David" w:cs="David"/>
          <w:sz w:val="24"/>
          <w:szCs w:val="24"/>
          <w:rtl/>
        </w:rPr>
        <w:t xml:space="preserve"> אשר פורש בפסיקה באופן מצמצם ואינה בבחינת דיירת-מוגנת בהתאם לחוק. לטענת התובע זכות חזקה ייחודית פורשה בפסיקה כזכות שניתנה בהסכמת </w:t>
      </w:r>
      <w:bookmarkStart w:id="16" w:name="Seif96"/>
      <w:r>
        <w:rPr>
          <w:rFonts w:ascii="David" w:hAnsi="David" w:cs="David"/>
          <w:sz w:val="24"/>
          <w:szCs w:val="24"/>
          <w:rtl/>
        </w:rPr>
        <w:t xml:space="preserve">כלל השותפים </w:t>
      </w:r>
      <w:bookmarkEnd w:id="16"/>
      <w:r>
        <w:rPr>
          <w:rFonts w:ascii="David" w:hAnsi="David" w:cs="David"/>
          <w:sz w:val="24"/>
          <w:szCs w:val="24"/>
          <w:rtl/>
        </w:rPr>
        <w:t xml:space="preserve">במקרקעין לרבות היעדרה של התנגדות מאוחרת, מה שאין כן במקרה זה. לטענת התובע גם רשות חינם שניתנת במקרקעין אינה בלתי הדירה ואינה יוצרת דיירות מוגנת וכן חזקה נוגדת של יורש מחזיק אינה מקנה לו זכות עדיפה על פני מחוסרי החזקה. כמו כן לטענת התובע הוראות </w:t>
      </w:r>
      <w:hyperlink r:id="rId17" w:history="1">
        <w:bookmarkStart w:id="17" w:name="Seif24"/>
        <w:r w:rsidR="00EF069D" w:rsidRPr="00EF069D">
          <w:rPr>
            <w:rStyle w:val="Hyperlink"/>
            <w:rFonts w:ascii="David" w:hAnsi="David" w:cs="David"/>
            <w:sz w:val="24"/>
            <w:szCs w:val="24"/>
            <w:rtl/>
          </w:rPr>
          <w:t xml:space="preserve">סעיף </w:t>
        </w:r>
        <w:bookmarkEnd w:id="17"/>
        <w:r w:rsidR="00EF069D" w:rsidRPr="00EF069D">
          <w:rPr>
            <w:rStyle w:val="Hyperlink"/>
            <w:rFonts w:ascii="David" w:hAnsi="David" w:cs="David"/>
            <w:sz w:val="24"/>
            <w:szCs w:val="24"/>
            <w:rtl/>
          </w:rPr>
          <w:t>33</w:t>
        </w:r>
      </w:hyperlink>
      <w:r>
        <w:rPr>
          <w:rFonts w:ascii="David" w:hAnsi="David" w:cs="David"/>
          <w:sz w:val="24"/>
          <w:szCs w:val="24"/>
          <w:rtl/>
        </w:rPr>
        <w:t xml:space="preserve"> ל</w:t>
      </w:r>
      <w:hyperlink r:id="rId18" w:history="1">
        <w:r w:rsidR="006476EC" w:rsidRPr="006476EC">
          <w:rPr>
            <w:rFonts w:ascii="David" w:hAnsi="David" w:cs="David"/>
            <w:color w:val="0000FF"/>
            <w:sz w:val="24"/>
            <w:szCs w:val="24"/>
            <w:u w:val="single"/>
            <w:rtl/>
          </w:rPr>
          <w:t>חוק הגנת הדייר</w:t>
        </w:r>
      </w:hyperlink>
      <w:r>
        <w:rPr>
          <w:rFonts w:ascii="David" w:hAnsi="David" w:cs="David"/>
          <w:sz w:val="24"/>
          <w:szCs w:val="24"/>
          <w:rtl/>
        </w:rPr>
        <w:t xml:space="preserve"> אינן חלות לגבי מי שהיה שותף בדירה שבימ"ש החליט על פירוק שיתוף בה. </w:t>
      </w:r>
    </w:p>
    <w:p w14:paraId="623DEA2D" w14:textId="77777777" w:rsidR="004B515E" w:rsidRDefault="004B515E" w:rsidP="003D53E9">
      <w:pPr>
        <w:pStyle w:val="10"/>
        <w:spacing w:after="0" w:line="360" w:lineRule="auto"/>
        <w:rPr>
          <w:rFonts w:ascii="David" w:hAnsi="David" w:cs="David"/>
          <w:sz w:val="24"/>
          <w:szCs w:val="24"/>
        </w:rPr>
      </w:pPr>
    </w:p>
    <w:p w14:paraId="7C4DAF8A" w14:textId="77777777" w:rsidR="004B515E" w:rsidRDefault="00000000" w:rsidP="003D53E9">
      <w:pPr>
        <w:pStyle w:val="10"/>
        <w:numPr>
          <w:ilvl w:val="0"/>
          <w:numId w:val="4"/>
        </w:numPr>
        <w:spacing w:after="0" w:line="360" w:lineRule="auto"/>
        <w:ind w:left="1134" w:hanging="567"/>
        <w:jc w:val="both"/>
        <w:rPr>
          <w:rFonts w:ascii="David" w:hAnsi="David" w:cs="David"/>
          <w:sz w:val="24"/>
          <w:szCs w:val="24"/>
          <w:rtl/>
        </w:rPr>
      </w:pPr>
      <w:r>
        <w:rPr>
          <w:rFonts w:ascii="David" w:hAnsi="David" w:cs="David"/>
          <w:sz w:val="24"/>
          <w:szCs w:val="24"/>
          <w:rtl/>
        </w:rPr>
        <w:t xml:space="preserve">לטענת התובע </w:t>
      </w:r>
      <w:r>
        <w:rPr>
          <w:rFonts w:ascii="David" w:hAnsi="David" w:cs="David"/>
          <w:b/>
          <w:bCs/>
          <w:sz w:val="24"/>
          <w:szCs w:val="24"/>
          <w:rtl/>
        </w:rPr>
        <w:t xml:space="preserve">לאם גם לא עומדת הגנת </w:t>
      </w:r>
      <w:hyperlink r:id="rId19" w:history="1">
        <w:bookmarkStart w:id="18" w:name="Seif25"/>
        <w:r w:rsidR="00EF069D" w:rsidRPr="00EF069D">
          <w:rPr>
            <w:rStyle w:val="Hyperlink"/>
            <w:rFonts w:ascii="David" w:hAnsi="David" w:cs="David"/>
            <w:b/>
            <w:bCs/>
            <w:sz w:val="24"/>
            <w:szCs w:val="24"/>
            <w:rtl/>
          </w:rPr>
          <w:t xml:space="preserve">סעיף </w:t>
        </w:r>
        <w:bookmarkEnd w:id="18"/>
        <w:r w:rsidR="00EF069D" w:rsidRPr="00EF069D">
          <w:rPr>
            <w:rStyle w:val="Hyperlink"/>
            <w:rFonts w:ascii="David" w:hAnsi="David" w:cs="David"/>
            <w:b/>
            <w:bCs/>
            <w:sz w:val="24"/>
            <w:szCs w:val="24"/>
            <w:rtl/>
          </w:rPr>
          <w:t>115</w:t>
        </w:r>
      </w:hyperlink>
      <w:r>
        <w:rPr>
          <w:rFonts w:ascii="David" w:hAnsi="David" w:cs="David"/>
          <w:b/>
          <w:bCs/>
          <w:sz w:val="24"/>
          <w:szCs w:val="24"/>
          <w:rtl/>
        </w:rPr>
        <w:t xml:space="preserve"> ל</w:t>
      </w:r>
      <w:hyperlink r:id="rId20" w:history="1">
        <w:r w:rsidR="006476EC" w:rsidRPr="006476EC">
          <w:rPr>
            <w:rFonts w:ascii="David" w:hAnsi="David" w:cs="David"/>
            <w:b/>
            <w:bCs/>
            <w:color w:val="0000FF"/>
            <w:sz w:val="24"/>
            <w:szCs w:val="24"/>
            <w:u w:val="single"/>
            <w:rtl/>
          </w:rPr>
          <w:t>חוק הירושה</w:t>
        </w:r>
      </w:hyperlink>
      <w:r>
        <w:rPr>
          <w:rFonts w:ascii="David" w:hAnsi="David" w:cs="David"/>
          <w:sz w:val="24"/>
          <w:szCs w:val="24"/>
          <w:rtl/>
        </w:rPr>
        <w:t xml:space="preserve"> שכן בהתאם לפסיקה מדובר בזכות שניתנת למשך תקופה סבירה בלבד בהיעדר הסכמה מצד </w:t>
      </w:r>
      <w:bookmarkStart w:id="19" w:name="Seif97"/>
      <w:r>
        <w:rPr>
          <w:rFonts w:ascii="David" w:hAnsi="David" w:cs="David"/>
          <w:sz w:val="24"/>
          <w:szCs w:val="24"/>
          <w:rtl/>
        </w:rPr>
        <w:t>כלל היורשים</w:t>
      </w:r>
      <w:bookmarkEnd w:id="19"/>
      <w:r>
        <w:rPr>
          <w:rFonts w:ascii="David" w:hAnsi="David" w:cs="David"/>
          <w:sz w:val="24"/>
          <w:szCs w:val="24"/>
          <w:rtl/>
        </w:rPr>
        <w:t xml:space="preserve">. </w:t>
      </w:r>
      <w:r>
        <w:rPr>
          <w:rFonts w:ascii="David" w:hAnsi="David" w:cs="David"/>
          <w:sz w:val="24"/>
          <w:szCs w:val="24"/>
          <w:rtl/>
        </w:rPr>
        <w:lastRenderedPageBreak/>
        <w:t xml:space="preserve">בענייננו האם מתגוררת בדירה כעשור מאז פטירת המנוח והזמן הסביר להמשך מגוריה בדירה - חלף. כמו כן הגנת </w:t>
      </w:r>
      <w:hyperlink r:id="rId21" w:history="1">
        <w:bookmarkStart w:id="20" w:name="Seif26"/>
        <w:r w:rsidR="00EF069D" w:rsidRPr="00EF069D">
          <w:rPr>
            <w:rStyle w:val="Hyperlink"/>
            <w:rFonts w:ascii="David" w:hAnsi="David" w:cs="David"/>
            <w:sz w:val="24"/>
            <w:szCs w:val="24"/>
            <w:rtl/>
          </w:rPr>
          <w:t xml:space="preserve">סעיף </w:t>
        </w:r>
        <w:bookmarkEnd w:id="20"/>
        <w:r w:rsidR="00EF069D" w:rsidRPr="00EF069D">
          <w:rPr>
            <w:rStyle w:val="Hyperlink"/>
            <w:rFonts w:ascii="David" w:hAnsi="David" w:cs="David"/>
            <w:sz w:val="24"/>
            <w:szCs w:val="24"/>
            <w:rtl/>
          </w:rPr>
          <w:t>115</w:t>
        </w:r>
      </w:hyperlink>
      <w:r>
        <w:rPr>
          <w:rFonts w:ascii="David" w:hAnsi="David" w:cs="David"/>
          <w:sz w:val="24"/>
          <w:szCs w:val="24"/>
          <w:rtl/>
        </w:rPr>
        <w:t xml:space="preserve"> אינה חלה שכן האם אינה עומדת בדרישת תום הלב לאור אי תשלום דמי שכירות ראויים לתובע בגין מגוריה בדירה. </w:t>
      </w:r>
    </w:p>
    <w:p w14:paraId="4B543040" w14:textId="77777777" w:rsidR="004B515E" w:rsidRDefault="00000000" w:rsidP="003D53E9">
      <w:pPr>
        <w:pStyle w:val="10"/>
        <w:spacing w:after="0" w:line="360" w:lineRule="auto"/>
        <w:ind w:left="1134"/>
        <w:jc w:val="both"/>
        <w:rPr>
          <w:rFonts w:ascii="David" w:hAnsi="David" w:cs="David"/>
          <w:sz w:val="24"/>
          <w:szCs w:val="24"/>
        </w:rPr>
      </w:pPr>
      <w:r>
        <w:rPr>
          <w:rFonts w:ascii="David" w:hAnsi="David" w:cs="David"/>
          <w:sz w:val="24"/>
          <w:szCs w:val="24"/>
          <w:rtl/>
        </w:rPr>
        <w:t xml:space="preserve">לטענת התובע היעתרות לתביעה לא תותיר את האם ללא מקום מגורים. שווי הדירה הינו כ-6 מיליון ש"ח וככל ותימכר ולאחר שישולם לו חלקו יוותר לאם די והותר לשם רכישת דירה חלופית למגוריה. </w:t>
      </w:r>
    </w:p>
    <w:p w14:paraId="77CBEF79" w14:textId="77777777" w:rsidR="004B515E" w:rsidRDefault="004B515E" w:rsidP="003D53E9">
      <w:pPr>
        <w:pStyle w:val="10"/>
        <w:spacing w:after="0" w:line="360" w:lineRule="auto"/>
        <w:rPr>
          <w:rFonts w:ascii="David" w:hAnsi="David" w:cs="David"/>
          <w:sz w:val="24"/>
          <w:szCs w:val="24"/>
        </w:rPr>
      </w:pPr>
    </w:p>
    <w:p w14:paraId="65AEE832" w14:textId="77777777" w:rsidR="004B515E" w:rsidRDefault="00000000" w:rsidP="003D53E9">
      <w:pPr>
        <w:pStyle w:val="10"/>
        <w:numPr>
          <w:ilvl w:val="0"/>
          <w:numId w:val="4"/>
        </w:numPr>
        <w:spacing w:after="0" w:line="360" w:lineRule="auto"/>
        <w:ind w:left="1134" w:hanging="567"/>
        <w:jc w:val="both"/>
        <w:rPr>
          <w:rFonts w:ascii="David" w:hAnsi="David" w:cs="David"/>
          <w:sz w:val="24"/>
          <w:szCs w:val="24"/>
          <w:rtl/>
        </w:rPr>
      </w:pPr>
      <w:r>
        <w:rPr>
          <w:rFonts w:ascii="David" w:hAnsi="David" w:cs="David"/>
          <w:sz w:val="24"/>
          <w:szCs w:val="24"/>
          <w:rtl/>
        </w:rPr>
        <w:t xml:space="preserve">לטענת התובע הוא קיבל מהוריו </w:t>
      </w:r>
      <w:r>
        <w:rPr>
          <w:rFonts w:ascii="David" w:hAnsi="David" w:cs="David"/>
          <w:b/>
          <w:bCs/>
          <w:sz w:val="24"/>
          <w:szCs w:val="24"/>
          <w:rtl/>
        </w:rPr>
        <w:t xml:space="preserve">סכומי כסף </w:t>
      </w:r>
      <w:r>
        <w:rPr>
          <w:rFonts w:ascii="David" w:hAnsi="David" w:cs="David"/>
          <w:sz w:val="24"/>
          <w:szCs w:val="24"/>
          <w:rtl/>
        </w:rPr>
        <w:t>ברבות השנים אולם הם</w:t>
      </w:r>
      <w:r>
        <w:rPr>
          <w:rFonts w:ascii="David" w:hAnsi="David" w:cs="David"/>
          <w:b/>
          <w:bCs/>
          <w:sz w:val="24"/>
          <w:szCs w:val="24"/>
          <w:rtl/>
        </w:rPr>
        <w:t xml:space="preserve"> ניתנו לו במתנה</w:t>
      </w:r>
      <w:r>
        <w:rPr>
          <w:rFonts w:ascii="David" w:hAnsi="David" w:cs="David"/>
          <w:sz w:val="24"/>
          <w:szCs w:val="24"/>
          <w:rtl/>
        </w:rPr>
        <w:t xml:space="preserve"> ולא על חשבון חלקו בדירה או בירושה. לטענת התובע אביו היה איש מחושב אשר בחר מרצונו שלא לערוך צוואה ומתוך כוונה להוריש לתובע </w:t>
      </w:r>
      <w:bookmarkStart w:id="21" w:name="Seif72"/>
      <w:r>
        <w:rPr>
          <w:rFonts w:ascii="David" w:hAnsi="David" w:cs="David"/>
          <w:sz w:val="24"/>
          <w:szCs w:val="24"/>
          <w:rtl/>
        </w:rPr>
        <w:t xml:space="preserve">חלק בדירה </w:t>
      </w:r>
      <w:bookmarkEnd w:id="21"/>
      <w:r>
        <w:rPr>
          <w:rFonts w:ascii="David" w:hAnsi="David" w:cs="David"/>
          <w:sz w:val="24"/>
          <w:szCs w:val="24"/>
          <w:rtl/>
        </w:rPr>
        <w:t xml:space="preserve">ללא כל תנאי ובנוסף לכספים שקיבל מהוריו. לטענת התובע סכומי הכסף שנתנו לו הוריו נמוכים מהנטען ע"י הנתבעות וכן שיעורם לא הוכח. </w:t>
      </w:r>
    </w:p>
    <w:p w14:paraId="020EAE18" w14:textId="77777777" w:rsidR="004B515E" w:rsidRDefault="004B515E" w:rsidP="003D53E9">
      <w:pPr>
        <w:pStyle w:val="10"/>
        <w:spacing w:after="0" w:line="360" w:lineRule="auto"/>
        <w:rPr>
          <w:rFonts w:ascii="David" w:hAnsi="David" w:cs="David"/>
          <w:sz w:val="24"/>
          <w:szCs w:val="24"/>
        </w:rPr>
      </w:pPr>
    </w:p>
    <w:p w14:paraId="08397FBA"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לטענת התובע בסיכומיו ככל שתביעתו תידחה הנאמן שמונה לנכסיו יפעל למימוש הדירה במסגרת הפש"ר ולאור העלויות הגבוהות ייתכן והאם לא תוכל לרכוש דירה חלופית למגוריה. </w:t>
      </w:r>
    </w:p>
    <w:p w14:paraId="20E5AE1C" w14:textId="77777777" w:rsidR="004B515E" w:rsidRDefault="004B515E" w:rsidP="003D53E9">
      <w:pPr>
        <w:pStyle w:val="10"/>
        <w:spacing w:after="0" w:line="360" w:lineRule="auto"/>
        <w:ind w:left="567"/>
        <w:jc w:val="both"/>
        <w:rPr>
          <w:rFonts w:ascii="David" w:hAnsi="David" w:cs="David"/>
          <w:sz w:val="24"/>
          <w:szCs w:val="24"/>
        </w:rPr>
      </w:pPr>
    </w:p>
    <w:p w14:paraId="265520BC"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sz w:val="24"/>
          <w:szCs w:val="24"/>
          <w:rtl/>
        </w:rPr>
        <w:t xml:space="preserve">לטענת התובע הוא שרוי במצוקה כלכלית והכסף ממכירת חלקו בדירה נדרש לו בין היתר לשם טיפול שיניים לאשתו ואלמלא הקושי הכלכלי בו הוא נתון לא היה מגיש תביעה זו. </w:t>
      </w:r>
    </w:p>
    <w:p w14:paraId="2AD59C36" w14:textId="77777777" w:rsidR="004B515E" w:rsidRDefault="004B515E" w:rsidP="003D53E9">
      <w:pPr>
        <w:pStyle w:val="10"/>
        <w:spacing w:after="0" w:line="360" w:lineRule="auto"/>
        <w:rPr>
          <w:rFonts w:ascii="David" w:hAnsi="David" w:cs="David"/>
          <w:sz w:val="24"/>
          <w:szCs w:val="24"/>
          <w:rtl/>
        </w:rPr>
      </w:pPr>
    </w:p>
    <w:p w14:paraId="5FD67F85"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לטענת התובע בסיכומיו משלא עתרה אמו לסעד הצהרתי של חזקה בלעדית בדירה אין מקום להעניק לה סעד זה במסגרת תביעה לפירוק שיתוף.  </w:t>
      </w:r>
    </w:p>
    <w:p w14:paraId="42E706D7" w14:textId="77777777" w:rsidR="004B515E" w:rsidRDefault="004B515E" w:rsidP="003D53E9">
      <w:pPr>
        <w:pStyle w:val="10"/>
        <w:spacing w:after="0" w:line="360" w:lineRule="auto"/>
        <w:ind w:left="567"/>
        <w:jc w:val="both"/>
        <w:rPr>
          <w:rFonts w:ascii="David" w:hAnsi="David" w:cs="David"/>
          <w:sz w:val="24"/>
          <w:szCs w:val="24"/>
          <w:highlight w:val="yellow"/>
        </w:rPr>
      </w:pPr>
    </w:p>
    <w:p w14:paraId="33FE4F75" w14:textId="77777777" w:rsidR="004B515E" w:rsidRDefault="00000000" w:rsidP="003D53E9">
      <w:pPr>
        <w:pStyle w:val="10"/>
        <w:numPr>
          <w:ilvl w:val="0"/>
          <w:numId w:val="2"/>
        </w:numPr>
        <w:spacing w:after="0" w:line="360" w:lineRule="auto"/>
        <w:ind w:left="567" w:hanging="567"/>
        <w:jc w:val="both"/>
        <w:rPr>
          <w:rFonts w:ascii="David" w:hAnsi="David" w:cs="David"/>
          <w:b/>
          <w:bCs/>
          <w:sz w:val="28"/>
          <w:szCs w:val="28"/>
          <w:u w:val="single"/>
          <w:rtl/>
        </w:rPr>
      </w:pPr>
      <w:r>
        <w:rPr>
          <w:rFonts w:ascii="David" w:hAnsi="David" w:cs="David"/>
          <w:b/>
          <w:bCs/>
          <w:sz w:val="28"/>
          <w:szCs w:val="28"/>
          <w:u w:val="single"/>
          <w:rtl/>
        </w:rPr>
        <w:t xml:space="preserve">דיון והכרעה </w:t>
      </w:r>
    </w:p>
    <w:p w14:paraId="3E3AFDD1" w14:textId="77777777" w:rsidR="004B515E" w:rsidRDefault="004B515E" w:rsidP="003D53E9">
      <w:pPr>
        <w:pStyle w:val="10"/>
        <w:spacing w:after="0" w:line="360" w:lineRule="auto"/>
        <w:ind w:left="5"/>
        <w:jc w:val="both"/>
        <w:rPr>
          <w:rFonts w:ascii="David" w:hAnsi="David" w:cs="David"/>
          <w:b/>
          <w:bCs/>
          <w:sz w:val="24"/>
          <w:szCs w:val="24"/>
          <w:u w:val="single"/>
          <w:rtl/>
        </w:rPr>
      </w:pPr>
    </w:p>
    <w:p w14:paraId="78280B3F"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התובע ואמו הגישו תצע"ר מטעמם ונחקרו על תצהיריהם חקירות קצרות וממוקדות. האחות לא הגישה תצע"ר ולא נחקרה. היא הצטרפה בכתבי הטענות לעמדת האם.  מאחר שהחקירות הן הבסיס לקביעות המשפטיות שיובאו להלן, הן מובאות בראשית פסק הדין.</w:t>
      </w:r>
    </w:p>
    <w:p w14:paraId="3344654D" w14:textId="77777777" w:rsidR="004B515E" w:rsidRDefault="004B515E" w:rsidP="003D53E9">
      <w:pPr>
        <w:pStyle w:val="10"/>
        <w:spacing w:after="0" w:line="360" w:lineRule="auto"/>
        <w:ind w:left="-58"/>
        <w:jc w:val="both"/>
        <w:rPr>
          <w:rFonts w:ascii="David" w:hAnsi="David" w:cs="David"/>
          <w:sz w:val="24"/>
          <w:szCs w:val="24"/>
        </w:rPr>
      </w:pPr>
    </w:p>
    <w:p w14:paraId="61EF06B9"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b/>
          <w:bCs/>
          <w:sz w:val="24"/>
          <w:szCs w:val="24"/>
          <w:rtl/>
        </w:rPr>
        <w:t>התובע</w:t>
      </w:r>
      <w:r>
        <w:rPr>
          <w:rFonts w:ascii="David" w:hAnsi="David" w:cs="David"/>
          <w:sz w:val="24"/>
          <w:szCs w:val="24"/>
          <w:rtl/>
        </w:rPr>
        <w:t xml:space="preserve"> אישר בחקירתו כי קיבל מהוריו כספים בסכום מצטבר של קרוב ל-1.5 מיליון ₪:</w:t>
      </w:r>
    </w:p>
    <w:p w14:paraId="29E1D98D"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"עו״ד יפה: אתה יכול להעריך כמה כסף קיבלת?</w:t>
      </w:r>
    </w:p>
    <w:p w14:paraId="5863B0BE"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 xml:space="preserve">העד, התובע: בהערכה גסה, קיבלתי סכום לא מעט כשקניתי את הבית ב--- בשנת 2009, זה היה עזרה לבית בזמנו ואחרי מספר שנים היו לי תקופות שההורים קצת עזרו כשלא הייתה לי עבודה, גם כן סכומים לא גדולים אבל היו סכומים שהצטברו להערכתי, </w:t>
      </w:r>
      <w:r>
        <w:rPr>
          <w:rFonts w:ascii="David" w:hAnsi="David" w:cs="David"/>
          <w:sz w:val="24"/>
          <w:szCs w:val="24"/>
          <w:rtl/>
        </w:rPr>
        <w:t>אני לא יכול לתת לך סכום מוגדר אבל מעל למיליון, יותר ממיליון.</w:t>
      </w:r>
    </w:p>
    <w:p w14:paraId="03803D8C"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עו״ד יפה: יותר ממיליון שקל.</w:t>
      </w:r>
    </w:p>
    <w:p w14:paraId="69C5D323"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 xml:space="preserve">העד, התובע: </w:t>
      </w:r>
      <w:r>
        <w:rPr>
          <w:rFonts w:ascii="David" w:hAnsi="David" w:cs="David"/>
          <w:sz w:val="24"/>
          <w:szCs w:val="24"/>
          <w:rtl/>
        </w:rPr>
        <w:t>כן, במצטבר.</w:t>
      </w:r>
    </w:p>
    <w:p w14:paraId="6541D728" w14:textId="77777777" w:rsidR="004B515E" w:rsidRDefault="00000000" w:rsidP="003D53E9">
      <w:pPr>
        <w:pStyle w:val="ad"/>
        <w:shd w:val="clear" w:color="auto" w:fill="auto"/>
        <w:spacing w:line="360" w:lineRule="auto"/>
        <w:ind w:left="567" w:firstLine="0"/>
        <w:jc w:val="both"/>
        <w:rPr>
          <w:rFonts w:ascii="David" w:hAnsi="David" w:cs="David"/>
          <w:sz w:val="24"/>
          <w:szCs w:val="24"/>
        </w:rPr>
      </w:pPr>
      <w:r>
        <w:rPr>
          <w:rFonts w:ascii="David" w:hAnsi="David" w:cs="David"/>
          <w:sz w:val="24"/>
          <w:szCs w:val="24"/>
          <w:u w:val="none"/>
          <w:rtl/>
        </w:rPr>
        <w:lastRenderedPageBreak/>
        <w:t xml:space="preserve">עו״ד יפה: במצטבר. אמא </w:t>
      </w:r>
      <w:r>
        <w:rPr>
          <w:rFonts w:ascii="David" w:hAnsi="David" w:cs="David"/>
          <w:sz w:val="24"/>
          <w:szCs w:val="24"/>
          <w:rtl/>
        </w:rPr>
        <w:t>שלך טוענת שהיא הביאה לך קרוב ל-1.5 מיליון שקל. יכול להיות?</w:t>
      </w:r>
    </w:p>
    <w:p w14:paraId="29E7F386"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 xml:space="preserve">העד, התובע: </w:t>
      </w:r>
      <w:r>
        <w:rPr>
          <w:rFonts w:ascii="David" w:hAnsi="David" w:cs="David"/>
          <w:sz w:val="24"/>
          <w:szCs w:val="24"/>
          <w:rtl/>
        </w:rPr>
        <w:t>במצטבר אולי.</w:t>
      </w:r>
    </w:p>
    <w:p w14:paraId="427614ED"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עו״ד יפה: יכול להיות.</w:t>
      </w:r>
    </w:p>
    <w:p w14:paraId="470D993F"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 xml:space="preserve">העד, התובע: הערכה גסה, אולי קרוב לזה, אבל לא יכול להגיד לך במדויק." </w:t>
      </w:r>
      <w:r>
        <w:rPr>
          <w:rFonts w:ascii="David" w:hAnsi="David" w:cs="David"/>
          <w:b w:val="0"/>
          <w:bCs w:val="0"/>
          <w:sz w:val="24"/>
          <w:szCs w:val="24"/>
          <w:u w:val="none"/>
          <w:rtl/>
        </w:rPr>
        <w:t>(ההדגשות בקו – הוספו).</w:t>
      </w:r>
    </w:p>
    <w:p w14:paraId="6FBCD4DC" w14:textId="77777777" w:rsidR="004B515E" w:rsidRDefault="00000000" w:rsidP="003D53E9">
      <w:pPr>
        <w:pStyle w:val="10"/>
        <w:spacing w:after="0" w:line="360" w:lineRule="auto"/>
        <w:ind w:left="567"/>
        <w:jc w:val="both"/>
        <w:rPr>
          <w:rFonts w:ascii="David" w:hAnsi="David" w:cs="David"/>
          <w:sz w:val="24"/>
          <w:szCs w:val="24"/>
        </w:rPr>
      </w:pPr>
      <w:r>
        <w:rPr>
          <w:rFonts w:ascii="David" w:hAnsi="David" w:cs="David"/>
          <w:sz w:val="24"/>
          <w:szCs w:val="24"/>
          <w:rtl/>
        </w:rPr>
        <w:t>(ראו: פרוטוקול מיום 25.1.24 עמ' 9 שורות 4-16)</w:t>
      </w:r>
    </w:p>
    <w:p w14:paraId="3A3EE6FF" w14:textId="77777777" w:rsidR="004B515E" w:rsidRDefault="004B515E" w:rsidP="003D53E9">
      <w:pPr>
        <w:pStyle w:val="10"/>
        <w:spacing w:after="0" w:line="360" w:lineRule="auto"/>
        <w:rPr>
          <w:rFonts w:ascii="David" w:hAnsi="David" w:cs="David"/>
          <w:sz w:val="24"/>
          <w:szCs w:val="24"/>
        </w:rPr>
      </w:pPr>
    </w:p>
    <w:p w14:paraId="1A308DD8"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כמו כן אישר </w:t>
      </w:r>
      <w:r>
        <w:rPr>
          <w:rFonts w:ascii="David" w:hAnsi="David" w:cs="David"/>
          <w:b/>
          <w:bCs/>
          <w:sz w:val="24"/>
          <w:szCs w:val="24"/>
          <w:rtl/>
        </w:rPr>
        <w:t>התובע</w:t>
      </w:r>
      <w:r>
        <w:rPr>
          <w:rFonts w:ascii="David" w:hAnsi="David" w:cs="David"/>
          <w:sz w:val="24"/>
          <w:szCs w:val="24"/>
          <w:rtl/>
        </w:rPr>
        <w:t xml:space="preserve"> בחקירתו כי </w:t>
      </w:r>
      <w:r>
        <w:rPr>
          <w:rFonts w:ascii="David" w:hAnsi="David" w:cs="David"/>
          <w:b/>
          <w:bCs/>
          <w:sz w:val="24"/>
          <w:szCs w:val="24"/>
          <w:rtl/>
        </w:rPr>
        <w:t xml:space="preserve">הסכים ועודנו מסכים למגורי האם בדירה </w:t>
      </w:r>
      <w:r>
        <w:rPr>
          <w:rFonts w:ascii="David" w:hAnsi="David" w:cs="David"/>
          <w:sz w:val="24"/>
          <w:szCs w:val="24"/>
          <w:rtl/>
        </w:rPr>
        <w:t>מאז פטירת האב:</w:t>
      </w:r>
    </w:p>
    <w:p w14:paraId="53BE5CB4" w14:textId="77777777" w:rsidR="004B515E" w:rsidRDefault="00000000" w:rsidP="003D53E9">
      <w:pPr>
        <w:pStyle w:val="ad"/>
        <w:shd w:val="clear" w:color="auto" w:fill="auto"/>
        <w:spacing w:line="360" w:lineRule="auto"/>
        <w:ind w:left="567" w:firstLine="0"/>
        <w:jc w:val="both"/>
        <w:rPr>
          <w:rFonts w:ascii="David" w:hAnsi="David" w:cs="David"/>
          <w:sz w:val="24"/>
          <w:szCs w:val="24"/>
        </w:rPr>
      </w:pPr>
      <w:r>
        <w:rPr>
          <w:rFonts w:ascii="David" w:hAnsi="David" w:cs="David"/>
          <w:sz w:val="24"/>
          <w:szCs w:val="24"/>
          <w:u w:val="none"/>
          <w:rtl/>
        </w:rPr>
        <w:t xml:space="preserve">"עו״ד יפה: תגיד לי, </w:t>
      </w:r>
      <w:r>
        <w:rPr>
          <w:rFonts w:ascii="David" w:hAnsi="David" w:cs="David"/>
          <w:sz w:val="24"/>
          <w:szCs w:val="24"/>
          <w:rtl/>
        </w:rPr>
        <w:t>וכשאבא נפטר ב-2012, ביקשת מאמא שלך את ה</w:t>
      </w:r>
      <w:bookmarkStart w:id="22" w:name="Seif73"/>
      <w:r>
        <w:rPr>
          <w:rFonts w:ascii="David" w:hAnsi="David" w:cs="David"/>
          <w:sz w:val="24"/>
          <w:szCs w:val="24"/>
          <w:rtl/>
        </w:rPr>
        <w:t xml:space="preserve">חלק שלך </w:t>
      </w:r>
      <w:bookmarkEnd w:id="22"/>
      <w:r>
        <w:rPr>
          <w:rFonts w:ascii="David" w:hAnsi="David" w:cs="David"/>
          <w:sz w:val="24"/>
          <w:szCs w:val="24"/>
          <w:rtl/>
        </w:rPr>
        <w:t>בדירה?</w:t>
      </w:r>
    </w:p>
    <w:p w14:paraId="48F738EF" w14:textId="77777777" w:rsidR="004B515E" w:rsidRDefault="00000000" w:rsidP="003D53E9">
      <w:pPr>
        <w:pStyle w:val="ad"/>
        <w:shd w:val="clear" w:color="auto" w:fill="auto"/>
        <w:spacing w:line="360" w:lineRule="auto"/>
        <w:ind w:left="567" w:firstLine="0"/>
        <w:jc w:val="both"/>
        <w:rPr>
          <w:rFonts w:ascii="David" w:hAnsi="David" w:cs="David"/>
          <w:sz w:val="24"/>
          <w:szCs w:val="24"/>
        </w:rPr>
      </w:pPr>
      <w:r>
        <w:rPr>
          <w:rFonts w:ascii="David" w:hAnsi="David" w:cs="David"/>
          <w:sz w:val="24"/>
          <w:szCs w:val="24"/>
          <w:rtl/>
        </w:rPr>
        <w:t>העד, התובע: לא.</w:t>
      </w:r>
    </w:p>
    <w:p w14:paraId="4F5016F8"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עו״ד יפה: לא ביקשת, נכון?</w:t>
      </w:r>
    </w:p>
    <w:p w14:paraId="4E8E0262"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העד, התובע: לא.</w:t>
      </w:r>
    </w:p>
    <w:p w14:paraId="38FE3EB9" w14:textId="77777777" w:rsidR="004B515E" w:rsidRDefault="00000000" w:rsidP="003D53E9">
      <w:pPr>
        <w:pStyle w:val="ad"/>
        <w:shd w:val="clear" w:color="auto" w:fill="auto"/>
        <w:spacing w:line="360" w:lineRule="auto"/>
        <w:ind w:left="567" w:firstLine="0"/>
        <w:jc w:val="both"/>
        <w:rPr>
          <w:rFonts w:ascii="David" w:hAnsi="David" w:cs="David"/>
          <w:sz w:val="24"/>
          <w:szCs w:val="24"/>
        </w:rPr>
      </w:pPr>
      <w:r>
        <w:rPr>
          <w:rFonts w:ascii="David" w:hAnsi="David" w:cs="David"/>
          <w:sz w:val="24"/>
          <w:szCs w:val="24"/>
          <w:rtl/>
        </w:rPr>
        <w:t>עו״ד יפה: האם אי פעם התנגדת למגורים של אמא שלך בדירה?</w:t>
      </w:r>
    </w:p>
    <w:p w14:paraId="0CB8FFE0" w14:textId="77777777" w:rsidR="004B515E" w:rsidRDefault="00000000" w:rsidP="003D53E9">
      <w:pPr>
        <w:pStyle w:val="ad"/>
        <w:shd w:val="clear" w:color="auto" w:fill="auto"/>
        <w:spacing w:line="360" w:lineRule="auto"/>
        <w:ind w:left="567" w:firstLine="0"/>
        <w:jc w:val="both"/>
        <w:rPr>
          <w:rFonts w:ascii="David" w:hAnsi="David" w:cs="David"/>
          <w:sz w:val="24"/>
          <w:szCs w:val="24"/>
        </w:rPr>
      </w:pPr>
      <w:r>
        <w:rPr>
          <w:rFonts w:ascii="David" w:hAnsi="David" w:cs="David"/>
          <w:sz w:val="24"/>
          <w:szCs w:val="24"/>
          <w:rtl/>
        </w:rPr>
        <w:t xml:space="preserve">העד, </w:t>
      </w:r>
      <w:r>
        <w:rPr>
          <w:rFonts w:ascii="David" w:hAnsi="David" w:cs="David"/>
          <w:sz w:val="24"/>
          <w:szCs w:val="24"/>
          <w:u w:val="none"/>
          <w:rtl/>
        </w:rPr>
        <w:t>התובע</w:t>
      </w:r>
      <w:r>
        <w:rPr>
          <w:rFonts w:ascii="David" w:hAnsi="David" w:cs="David"/>
          <w:sz w:val="24"/>
          <w:szCs w:val="24"/>
          <w:rtl/>
        </w:rPr>
        <w:t>: לא.</w:t>
      </w:r>
    </w:p>
    <w:p w14:paraId="303CDE7C" w14:textId="77777777" w:rsidR="004B515E" w:rsidRDefault="00000000" w:rsidP="003D53E9">
      <w:pPr>
        <w:pStyle w:val="ad"/>
        <w:shd w:val="clear" w:color="auto" w:fill="auto"/>
        <w:spacing w:line="360" w:lineRule="auto"/>
        <w:ind w:left="567" w:firstLine="0"/>
        <w:jc w:val="both"/>
        <w:rPr>
          <w:rFonts w:ascii="David" w:hAnsi="David" w:cs="David"/>
          <w:sz w:val="24"/>
          <w:szCs w:val="24"/>
        </w:rPr>
      </w:pPr>
      <w:r>
        <w:rPr>
          <w:rFonts w:ascii="David" w:hAnsi="David" w:cs="David"/>
          <w:sz w:val="24"/>
          <w:szCs w:val="24"/>
          <w:rtl/>
        </w:rPr>
        <w:t xml:space="preserve"> עו״ד יפה: היה מוסכם עליך כל השנים, מאז שאבא נפטר, אפילו עד היום, שאימא שלך תמשיך להתגורר בדירה, נכון?</w:t>
      </w:r>
    </w:p>
    <w:p w14:paraId="2A301809" w14:textId="77777777" w:rsidR="004B515E" w:rsidRDefault="00000000" w:rsidP="003D53E9">
      <w:pPr>
        <w:pStyle w:val="ad"/>
        <w:shd w:val="clear" w:color="auto" w:fill="auto"/>
        <w:spacing w:line="360" w:lineRule="auto"/>
        <w:ind w:left="567" w:firstLine="0"/>
        <w:jc w:val="both"/>
        <w:rPr>
          <w:rFonts w:ascii="David" w:hAnsi="David" w:cs="David"/>
          <w:sz w:val="24"/>
          <w:szCs w:val="24"/>
        </w:rPr>
      </w:pPr>
      <w:r>
        <w:rPr>
          <w:rFonts w:ascii="David" w:hAnsi="David" w:cs="David"/>
          <w:sz w:val="24"/>
          <w:szCs w:val="24"/>
          <w:rtl/>
        </w:rPr>
        <w:t xml:space="preserve">העד, </w:t>
      </w:r>
      <w:r>
        <w:rPr>
          <w:rFonts w:ascii="David" w:hAnsi="David" w:cs="David"/>
          <w:sz w:val="24"/>
          <w:szCs w:val="24"/>
          <w:u w:val="none"/>
          <w:rtl/>
        </w:rPr>
        <w:t>התובע</w:t>
      </w:r>
      <w:r>
        <w:rPr>
          <w:rFonts w:ascii="David" w:hAnsi="David" w:cs="David"/>
          <w:sz w:val="24"/>
          <w:szCs w:val="24"/>
          <w:rtl/>
        </w:rPr>
        <w:t>: כן, ברור.</w:t>
      </w:r>
    </w:p>
    <w:p w14:paraId="1216D4B5" w14:textId="77777777" w:rsidR="004B515E" w:rsidRDefault="00000000" w:rsidP="003D53E9">
      <w:pPr>
        <w:pStyle w:val="ad"/>
        <w:shd w:val="clear" w:color="auto" w:fill="auto"/>
        <w:spacing w:line="360" w:lineRule="auto"/>
        <w:ind w:left="567" w:firstLine="0"/>
        <w:jc w:val="both"/>
        <w:rPr>
          <w:rFonts w:ascii="David" w:hAnsi="David" w:cs="David"/>
          <w:sz w:val="24"/>
          <w:szCs w:val="24"/>
        </w:rPr>
      </w:pPr>
      <w:r>
        <w:rPr>
          <w:rFonts w:ascii="David" w:hAnsi="David" w:cs="David"/>
          <w:sz w:val="24"/>
          <w:szCs w:val="24"/>
          <w:rtl/>
        </w:rPr>
        <w:t>עו״ד יפה: ברור. ואתה מסכים שגם היום היא תגור בדירה, נכון?</w:t>
      </w:r>
    </w:p>
    <w:p w14:paraId="10EAE984"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rtl/>
        </w:rPr>
        <w:t xml:space="preserve">העד, </w:t>
      </w:r>
      <w:r>
        <w:rPr>
          <w:rFonts w:ascii="David" w:hAnsi="David" w:cs="David"/>
          <w:sz w:val="24"/>
          <w:szCs w:val="24"/>
          <w:u w:val="none"/>
          <w:rtl/>
        </w:rPr>
        <w:t>התובע</w:t>
      </w:r>
      <w:r>
        <w:rPr>
          <w:rFonts w:ascii="David" w:hAnsi="David" w:cs="David"/>
          <w:sz w:val="24"/>
          <w:szCs w:val="24"/>
          <w:rtl/>
        </w:rPr>
        <w:t>: כן, בטח</w:t>
      </w:r>
      <w:r>
        <w:rPr>
          <w:rFonts w:ascii="David" w:hAnsi="David" w:cs="David"/>
          <w:sz w:val="24"/>
          <w:szCs w:val="24"/>
          <w:u w:val="none"/>
          <w:rtl/>
        </w:rPr>
        <w:t>.</w:t>
      </w:r>
      <w:r>
        <w:rPr>
          <w:rFonts w:ascii="David" w:hAnsi="David" w:cs="David"/>
          <w:b w:val="0"/>
          <w:bCs w:val="0"/>
          <w:sz w:val="24"/>
          <w:szCs w:val="24"/>
          <w:u w:val="none"/>
          <w:rtl/>
        </w:rPr>
        <w:t>" (ההדגשות בקו – הוספו).</w:t>
      </w:r>
    </w:p>
    <w:p w14:paraId="1F0D248D" w14:textId="77777777" w:rsidR="004B515E" w:rsidRDefault="00000000" w:rsidP="003D53E9">
      <w:pPr>
        <w:pStyle w:val="10"/>
        <w:spacing w:after="0" w:line="360" w:lineRule="auto"/>
        <w:ind w:left="567"/>
        <w:jc w:val="both"/>
        <w:rPr>
          <w:rFonts w:ascii="David" w:hAnsi="David" w:cs="David"/>
          <w:sz w:val="24"/>
          <w:szCs w:val="24"/>
        </w:rPr>
      </w:pPr>
      <w:r>
        <w:rPr>
          <w:rFonts w:ascii="David" w:hAnsi="David" w:cs="David"/>
          <w:sz w:val="24"/>
          <w:szCs w:val="24"/>
          <w:rtl/>
        </w:rPr>
        <w:t>(ראו: פרוטוקול מיום 25.1.24 עמ' 10 שורות 9-19).</w:t>
      </w:r>
    </w:p>
    <w:p w14:paraId="56400685" w14:textId="77777777" w:rsidR="004B515E" w:rsidRDefault="004B515E" w:rsidP="003D53E9">
      <w:pPr>
        <w:pStyle w:val="10"/>
        <w:spacing w:after="0" w:line="360" w:lineRule="auto"/>
        <w:ind w:left="-58"/>
        <w:jc w:val="both"/>
        <w:rPr>
          <w:rFonts w:ascii="David" w:hAnsi="David" w:cs="David"/>
          <w:sz w:val="24"/>
          <w:szCs w:val="24"/>
        </w:rPr>
      </w:pPr>
    </w:p>
    <w:p w14:paraId="7146F93A"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b/>
          <w:bCs/>
          <w:sz w:val="24"/>
          <w:szCs w:val="24"/>
          <w:rtl/>
        </w:rPr>
        <w:t>התובע</w:t>
      </w:r>
      <w:r>
        <w:rPr>
          <w:rFonts w:ascii="David" w:hAnsi="David" w:cs="David"/>
          <w:sz w:val="24"/>
          <w:szCs w:val="24"/>
          <w:rtl/>
        </w:rPr>
        <w:t xml:space="preserve"> אישר בחקירתו כי </w:t>
      </w:r>
      <w:r>
        <w:rPr>
          <w:rFonts w:ascii="David" w:hAnsi="David" w:cs="David"/>
          <w:b/>
          <w:bCs/>
          <w:sz w:val="24"/>
          <w:szCs w:val="24"/>
          <w:rtl/>
        </w:rPr>
        <w:t>רצונו של אביו המנוח היה שהאם תמשיך להתגורר בדירה,</w:t>
      </w:r>
      <w:r>
        <w:rPr>
          <w:rFonts w:ascii="David" w:hAnsi="David" w:cs="David"/>
          <w:sz w:val="24"/>
          <w:szCs w:val="24"/>
          <w:rtl/>
        </w:rPr>
        <w:t xml:space="preserve"> וכי הוא והבת יאפשרו את המשך מגורי האם בדירה:  </w:t>
      </w:r>
    </w:p>
    <w:p w14:paraId="4AD408E7"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"עו״ד יפה: אבל בעצם מאז שאבא שלך נפטר, אני מבין ממך, קודם לכן אמרת את זה, לא ביקשת לקבל את ה</w:t>
      </w:r>
      <w:bookmarkStart w:id="23" w:name="Seif74"/>
      <w:r>
        <w:rPr>
          <w:rFonts w:ascii="David" w:hAnsi="David" w:cs="David"/>
          <w:sz w:val="24"/>
          <w:szCs w:val="24"/>
          <w:u w:val="none"/>
          <w:rtl/>
        </w:rPr>
        <w:t xml:space="preserve">חלק שלך </w:t>
      </w:r>
      <w:bookmarkEnd w:id="23"/>
      <w:r>
        <w:rPr>
          <w:rFonts w:ascii="David" w:hAnsi="David" w:cs="David"/>
          <w:sz w:val="24"/>
          <w:szCs w:val="24"/>
          <w:u w:val="none"/>
          <w:rtl/>
        </w:rPr>
        <w:t>בדירה, נכון? לא ביקשת.</w:t>
      </w:r>
    </w:p>
    <w:p w14:paraId="43664FDF"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העד, התובע: לא, אף פעם לא ביקשתי.</w:t>
      </w:r>
    </w:p>
    <w:p w14:paraId="47130291"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עו״ד יפה: אף פעם ביקשת. עכשיו, תגיד לי רגע, למה לא פנית להוציא צו ירושה אחרי שאבא נפטר?</w:t>
      </w:r>
    </w:p>
    <w:p w14:paraId="3F564560"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העד, התובע: לא ראיתי טעם, אתה יודע, אמא שלי גרה בדירה, הכסף שלה, תיארתי לעצמי שאבא שלי השאיר את הכול כמו שהוא ולא הבנתי שהוא לא עשה צוואה. לא דיברנו על זה.</w:t>
      </w:r>
    </w:p>
    <w:p w14:paraId="6BB03F66" w14:textId="77777777" w:rsidR="004B515E" w:rsidRDefault="00000000" w:rsidP="003D53E9">
      <w:pPr>
        <w:pStyle w:val="ad"/>
        <w:shd w:val="clear" w:color="auto" w:fill="auto"/>
        <w:spacing w:line="360" w:lineRule="auto"/>
        <w:ind w:left="567" w:firstLine="0"/>
        <w:jc w:val="both"/>
        <w:rPr>
          <w:rFonts w:ascii="David" w:hAnsi="David" w:cs="David"/>
          <w:sz w:val="24"/>
          <w:szCs w:val="24"/>
        </w:rPr>
      </w:pPr>
      <w:r>
        <w:rPr>
          <w:rFonts w:ascii="David" w:hAnsi="David" w:cs="David"/>
          <w:sz w:val="24"/>
          <w:szCs w:val="24"/>
          <w:rtl/>
        </w:rPr>
        <w:t>עו״ד יפה: אבל אבא שלך, כמו שאתה חושב, מה הוא התכוון? שאמא שלך תישאר לגור בדירה, נכון?</w:t>
      </w:r>
    </w:p>
    <w:p w14:paraId="637D2FDA" w14:textId="77777777" w:rsidR="004B515E" w:rsidRDefault="00000000" w:rsidP="003D53E9">
      <w:pPr>
        <w:pStyle w:val="ad"/>
        <w:shd w:val="clear" w:color="auto" w:fill="auto"/>
        <w:spacing w:line="360" w:lineRule="auto"/>
        <w:ind w:left="567" w:firstLine="0"/>
        <w:jc w:val="both"/>
        <w:rPr>
          <w:rFonts w:ascii="David" w:hAnsi="David" w:cs="David"/>
          <w:sz w:val="24"/>
          <w:szCs w:val="24"/>
        </w:rPr>
      </w:pPr>
      <w:r>
        <w:rPr>
          <w:rFonts w:ascii="David" w:hAnsi="David" w:cs="David"/>
          <w:sz w:val="24"/>
          <w:szCs w:val="24"/>
          <w:rtl/>
        </w:rPr>
        <w:t xml:space="preserve">העד, </w:t>
      </w:r>
      <w:r>
        <w:rPr>
          <w:rFonts w:ascii="David" w:hAnsi="David" w:cs="David"/>
          <w:sz w:val="24"/>
          <w:szCs w:val="24"/>
          <w:u w:val="none"/>
          <w:rtl/>
        </w:rPr>
        <w:t>התובע</w:t>
      </w:r>
      <w:r>
        <w:rPr>
          <w:rFonts w:ascii="David" w:hAnsi="David" w:cs="David"/>
          <w:sz w:val="24"/>
          <w:szCs w:val="24"/>
          <w:rtl/>
        </w:rPr>
        <w:t>: זה מובן מאליו שהיא תגור בדירה.</w:t>
      </w:r>
    </w:p>
    <w:p w14:paraId="54A1AB84" w14:textId="77777777" w:rsidR="004B515E" w:rsidRDefault="00000000" w:rsidP="003D53E9">
      <w:pPr>
        <w:pStyle w:val="ad"/>
        <w:shd w:val="clear" w:color="auto" w:fill="auto"/>
        <w:spacing w:line="360" w:lineRule="auto"/>
        <w:ind w:left="567" w:firstLine="0"/>
        <w:jc w:val="both"/>
        <w:rPr>
          <w:rFonts w:ascii="David" w:hAnsi="David" w:cs="David"/>
          <w:sz w:val="24"/>
          <w:szCs w:val="24"/>
        </w:rPr>
      </w:pPr>
      <w:r>
        <w:rPr>
          <w:rFonts w:ascii="David" w:hAnsi="David" w:cs="David"/>
          <w:sz w:val="24"/>
          <w:szCs w:val="24"/>
          <w:rtl/>
        </w:rPr>
        <w:t>עו״ד יפה: שזה מה שהוא רצה, זה מה שאבא שלך רצה.</w:t>
      </w:r>
    </w:p>
    <w:p w14:paraId="593DC151" w14:textId="77777777" w:rsidR="004B515E" w:rsidRDefault="00000000" w:rsidP="003D53E9">
      <w:pPr>
        <w:pStyle w:val="ad"/>
        <w:shd w:val="clear" w:color="auto" w:fill="auto"/>
        <w:spacing w:line="360" w:lineRule="auto"/>
        <w:ind w:left="567" w:firstLine="0"/>
        <w:jc w:val="both"/>
        <w:rPr>
          <w:rFonts w:ascii="David" w:hAnsi="David" w:cs="David"/>
          <w:sz w:val="24"/>
          <w:szCs w:val="24"/>
        </w:rPr>
      </w:pPr>
      <w:r>
        <w:rPr>
          <w:rFonts w:ascii="David" w:hAnsi="David" w:cs="David"/>
          <w:sz w:val="24"/>
          <w:szCs w:val="24"/>
          <w:rtl/>
        </w:rPr>
        <w:t xml:space="preserve">העד, </w:t>
      </w:r>
      <w:r>
        <w:rPr>
          <w:rFonts w:ascii="David" w:hAnsi="David" w:cs="David"/>
          <w:sz w:val="24"/>
          <w:szCs w:val="24"/>
          <w:u w:val="none"/>
          <w:rtl/>
        </w:rPr>
        <w:t>התובע</w:t>
      </w:r>
      <w:r>
        <w:rPr>
          <w:rFonts w:ascii="David" w:hAnsi="David" w:cs="David"/>
          <w:sz w:val="24"/>
          <w:szCs w:val="24"/>
          <w:rtl/>
        </w:rPr>
        <w:t>: ברור שזה מה שהוא רצה.</w:t>
      </w:r>
    </w:p>
    <w:p w14:paraId="312E1C84" w14:textId="77777777" w:rsidR="004B515E" w:rsidRDefault="00000000" w:rsidP="003D53E9">
      <w:pPr>
        <w:pStyle w:val="ad"/>
        <w:shd w:val="clear" w:color="auto" w:fill="auto"/>
        <w:spacing w:line="360" w:lineRule="auto"/>
        <w:ind w:left="567" w:firstLine="0"/>
        <w:jc w:val="both"/>
        <w:rPr>
          <w:rFonts w:ascii="David" w:hAnsi="David" w:cs="David"/>
          <w:sz w:val="24"/>
          <w:szCs w:val="24"/>
        </w:rPr>
      </w:pPr>
      <w:r>
        <w:rPr>
          <w:rFonts w:ascii="David" w:hAnsi="David" w:cs="David"/>
          <w:sz w:val="24"/>
          <w:szCs w:val="24"/>
          <w:rtl/>
        </w:rPr>
        <w:lastRenderedPageBreak/>
        <w:t>עו״ד יפה: נכון. זה מה שהוא רצה. והוא סמך עליך וגם על --- שתיתנו לאמא להמשיך לגור בדירה, נכון? הגיוני.</w:t>
      </w:r>
    </w:p>
    <w:p w14:paraId="5108B07F"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rtl/>
        </w:rPr>
        <w:t xml:space="preserve">העד, </w:t>
      </w:r>
      <w:r>
        <w:rPr>
          <w:rFonts w:ascii="David" w:hAnsi="David" w:cs="David"/>
          <w:sz w:val="24"/>
          <w:szCs w:val="24"/>
          <w:u w:val="none"/>
          <w:rtl/>
        </w:rPr>
        <w:t>התובע</w:t>
      </w:r>
      <w:r>
        <w:rPr>
          <w:rFonts w:ascii="David" w:hAnsi="David" w:cs="David"/>
          <w:sz w:val="24"/>
          <w:szCs w:val="24"/>
          <w:rtl/>
        </w:rPr>
        <w:t>: כן, הגיוני.</w:t>
      </w:r>
      <w:r>
        <w:rPr>
          <w:rFonts w:ascii="David" w:hAnsi="David" w:cs="David"/>
          <w:sz w:val="24"/>
          <w:szCs w:val="24"/>
          <w:u w:val="none"/>
          <w:rtl/>
        </w:rPr>
        <w:t>"</w:t>
      </w:r>
      <w:r>
        <w:rPr>
          <w:rFonts w:ascii="David" w:hAnsi="David" w:cs="David"/>
          <w:b w:val="0"/>
          <w:bCs w:val="0"/>
          <w:sz w:val="24"/>
          <w:szCs w:val="24"/>
          <w:u w:val="none"/>
          <w:rtl/>
        </w:rPr>
        <w:t xml:space="preserve"> (ההדגשות בקו – הוספו).</w:t>
      </w:r>
    </w:p>
    <w:p w14:paraId="5567C8FC" w14:textId="77777777" w:rsidR="004B515E" w:rsidRDefault="00000000" w:rsidP="003D53E9">
      <w:pPr>
        <w:pStyle w:val="10"/>
        <w:spacing w:after="0" w:line="360" w:lineRule="auto"/>
        <w:ind w:left="567"/>
        <w:jc w:val="both"/>
        <w:rPr>
          <w:rFonts w:ascii="David" w:hAnsi="David" w:cs="David"/>
          <w:sz w:val="24"/>
          <w:szCs w:val="24"/>
        </w:rPr>
      </w:pPr>
      <w:r>
        <w:rPr>
          <w:rFonts w:ascii="David" w:hAnsi="David" w:cs="David"/>
          <w:sz w:val="24"/>
          <w:szCs w:val="24"/>
          <w:rtl/>
        </w:rPr>
        <w:t>(ראו: פרוטוקול מיום 25.1.24 עמ' 12 שורות 25-34 ועמ' 13 שורות 1-6)</w:t>
      </w:r>
    </w:p>
    <w:p w14:paraId="09964504" w14:textId="77777777" w:rsidR="004B515E" w:rsidRDefault="00000000" w:rsidP="003D53E9">
      <w:pPr>
        <w:pStyle w:val="10"/>
        <w:spacing w:after="0" w:line="360" w:lineRule="auto"/>
        <w:ind w:left="-58"/>
        <w:jc w:val="both"/>
        <w:rPr>
          <w:rFonts w:ascii="David" w:hAnsi="David" w:cs="David"/>
          <w:sz w:val="24"/>
          <w:szCs w:val="24"/>
        </w:rPr>
      </w:pPr>
      <w:r>
        <w:rPr>
          <w:rFonts w:ascii="David" w:hAnsi="David" w:cs="David"/>
          <w:sz w:val="24"/>
          <w:szCs w:val="24"/>
          <w:rtl/>
        </w:rPr>
        <w:t xml:space="preserve"> </w:t>
      </w:r>
    </w:p>
    <w:p w14:paraId="64E25948" w14:textId="77777777" w:rsidR="004B515E" w:rsidRDefault="00000000" w:rsidP="003D53E9">
      <w:pPr>
        <w:pStyle w:val="10"/>
        <w:spacing w:after="0" w:line="360" w:lineRule="auto"/>
        <w:ind w:left="567"/>
        <w:jc w:val="both"/>
        <w:rPr>
          <w:rFonts w:ascii="David" w:hAnsi="David" w:cs="David"/>
          <w:sz w:val="24"/>
          <w:szCs w:val="24"/>
          <w:rtl/>
        </w:rPr>
      </w:pPr>
      <w:r>
        <w:rPr>
          <w:rFonts w:ascii="David" w:hAnsi="David" w:cs="David"/>
          <w:sz w:val="24"/>
          <w:szCs w:val="24"/>
          <w:rtl/>
        </w:rPr>
        <w:t xml:space="preserve">וכן:- </w:t>
      </w:r>
    </w:p>
    <w:p w14:paraId="5A880D26"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tl/>
        </w:rPr>
      </w:pPr>
      <w:r>
        <w:rPr>
          <w:rFonts w:ascii="David" w:hAnsi="David" w:cs="David"/>
          <w:sz w:val="24"/>
          <w:szCs w:val="24"/>
          <w:u w:val="none"/>
          <w:rtl/>
        </w:rPr>
        <w:t>"עו״ד יפה: אתה אומר בעצמך שאבא שלך רצה שאימא תישאר בדירה עד 120, אתה אומר את זה בעצמך. אתה אמרת את זה.</w:t>
      </w:r>
    </w:p>
    <w:p w14:paraId="306D5D85"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העד, התובע: נכון."</w:t>
      </w:r>
    </w:p>
    <w:p w14:paraId="6EA994AD" w14:textId="77777777" w:rsidR="004B515E" w:rsidRDefault="00000000" w:rsidP="003D53E9">
      <w:pPr>
        <w:pStyle w:val="10"/>
        <w:spacing w:after="0" w:line="360" w:lineRule="auto"/>
        <w:ind w:left="567"/>
        <w:jc w:val="both"/>
        <w:rPr>
          <w:rFonts w:ascii="David" w:hAnsi="David" w:cs="David"/>
          <w:sz w:val="24"/>
          <w:szCs w:val="24"/>
        </w:rPr>
      </w:pPr>
      <w:r>
        <w:rPr>
          <w:rFonts w:ascii="David" w:hAnsi="David" w:cs="David"/>
          <w:sz w:val="24"/>
          <w:szCs w:val="24"/>
          <w:rtl/>
        </w:rPr>
        <w:t>(ראו: פרוטוקול מיום 25.1.24 עמ' 20 שורות 24-26)</w:t>
      </w:r>
    </w:p>
    <w:p w14:paraId="7AB9971F" w14:textId="77777777" w:rsidR="004B515E" w:rsidRDefault="004B515E" w:rsidP="003D53E9">
      <w:pPr>
        <w:pStyle w:val="10"/>
        <w:spacing w:after="0" w:line="360" w:lineRule="auto"/>
        <w:ind w:left="567"/>
        <w:jc w:val="both"/>
        <w:rPr>
          <w:rFonts w:ascii="David" w:hAnsi="David" w:cs="David"/>
          <w:sz w:val="24"/>
          <w:szCs w:val="24"/>
          <w:rtl/>
        </w:rPr>
      </w:pPr>
    </w:p>
    <w:p w14:paraId="3CE77E37" w14:textId="77777777" w:rsidR="004B515E" w:rsidRDefault="00000000" w:rsidP="003D53E9">
      <w:pPr>
        <w:pStyle w:val="10"/>
        <w:spacing w:after="0" w:line="360" w:lineRule="auto"/>
        <w:ind w:left="567"/>
        <w:jc w:val="both"/>
        <w:rPr>
          <w:rFonts w:ascii="David" w:hAnsi="David" w:cs="David"/>
          <w:sz w:val="24"/>
          <w:szCs w:val="24"/>
          <w:rtl/>
        </w:rPr>
      </w:pPr>
      <w:r>
        <w:rPr>
          <w:rFonts w:ascii="David" w:hAnsi="David" w:cs="David"/>
          <w:sz w:val="24"/>
          <w:szCs w:val="24"/>
          <w:rtl/>
        </w:rPr>
        <w:t xml:space="preserve">וכן:- </w:t>
      </w:r>
    </w:p>
    <w:p w14:paraId="17E1EADC"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tl/>
        </w:rPr>
      </w:pPr>
      <w:r>
        <w:rPr>
          <w:rFonts w:ascii="David" w:hAnsi="David" w:cs="David"/>
          <w:sz w:val="24"/>
          <w:szCs w:val="24"/>
          <w:u w:val="none"/>
          <w:rtl/>
        </w:rPr>
        <w:t>"עו״ד יפה: אבא שלך לא חשב שאתה ואחותך תתנו לאמא שלך לגור בדירה כל החיים? הוא לא חשב את זה?</w:t>
      </w:r>
    </w:p>
    <w:p w14:paraId="50FBBC75"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rtl/>
        </w:rPr>
        <w:t xml:space="preserve">העד, </w:t>
      </w:r>
      <w:r>
        <w:rPr>
          <w:rFonts w:ascii="David" w:hAnsi="David" w:cs="David"/>
          <w:sz w:val="24"/>
          <w:szCs w:val="24"/>
          <w:u w:val="none"/>
          <w:rtl/>
        </w:rPr>
        <w:t>התובע</w:t>
      </w:r>
      <w:r>
        <w:rPr>
          <w:rFonts w:ascii="David" w:hAnsi="David" w:cs="David"/>
          <w:sz w:val="24"/>
          <w:szCs w:val="24"/>
          <w:rtl/>
        </w:rPr>
        <w:t>: זה היה דבר מובן מאליו שהיא תגור כל החיים בדירה. זה לא משהו שב</w:t>
      </w:r>
      <w:bookmarkStart w:id="24" w:name="Seif98"/>
      <w:r>
        <w:rPr>
          <w:rFonts w:ascii="David" w:hAnsi="David" w:cs="David"/>
          <w:sz w:val="24"/>
          <w:szCs w:val="24"/>
          <w:rtl/>
        </w:rPr>
        <w:t xml:space="preserve">כלל עלה </w:t>
      </w:r>
      <w:bookmarkEnd w:id="24"/>
      <w:r>
        <w:rPr>
          <w:rFonts w:ascii="David" w:hAnsi="David" w:cs="David"/>
          <w:sz w:val="24"/>
          <w:szCs w:val="24"/>
          <w:rtl/>
        </w:rPr>
        <w:t>על הפרק</w:t>
      </w:r>
      <w:r>
        <w:rPr>
          <w:rFonts w:ascii="David" w:hAnsi="David" w:cs="David"/>
          <w:sz w:val="24"/>
          <w:szCs w:val="24"/>
          <w:u w:val="none"/>
          <w:rtl/>
        </w:rPr>
        <w:t xml:space="preserve">." </w:t>
      </w:r>
      <w:r>
        <w:rPr>
          <w:rFonts w:ascii="David" w:hAnsi="David" w:cs="David"/>
          <w:b w:val="0"/>
          <w:bCs w:val="0"/>
          <w:sz w:val="24"/>
          <w:szCs w:val="24"/>
          <w:u w:val="none"/>
          <w:rtl/>
        </w:rPr>
        <w:t>(ההדגשה בקו – הוספה).</w:t>
      </w:r>
    </w:p>
    <w:p w14:paraId="6479B9BB" w14:textId="77777777" w:rsidR="004B515E" w:rsidRDefault="00000000" w:rsidP="003D53E9">
      <w:pPr>
        <w:pStyle w:val="10"/>
        <w:spacing w:after="0" w:line="360" w:lineRule="auto"/>
        <w:ind w:left="567"/>
        <w:jc w:val="both"/>
        <w:rPr>
          <w:rFonts w:ascii="David" w:hAnsi="David" w:cs="David"/>
          <w:sz w:val="24"/>
          <w:szCs w:val="24"/>
        </w:rPr>
      </w:pPr>
      <w:r>
        <w:rPr>
          <w:rFonts w:ascii="David" w:hAnsi="David" w:cs="David"/>
          <w:sz w:val="24"/>
          <w:szCs w:val="24"/>
          <w:rtl/>
        </w:rPr>
        <w:t>(ראו: פרוטוקול מיום 25.1.24 עמ' 26 שורות 29-32)</w:t>
      </w:r>
    </w:p>
    <w:p w14:paraId="2CD723FC" w14:textId="77777777" w:rsidR="004B515E" w:rsidRDefault="004B515E" w:rsidP="003D53E9">
      <w:pPr>
        <w:pStyle w:val="10"/>
        <w:spacing w:after="0" w:line="360" w:lineRule="auto"/>
        <w:rPr>
          <w:rFonts w:ascii="David" w:hAnsi="David" w:cs="David"/>
          <w:sz w:val="24"/>
          <w:szCs w:val="24"/>
          <w:rtl/>
        </w:rPr>
      </w:pPr>
    </w:p>
    <w:p w14:paraId="548C4759"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b/>
          <w:bCs/>
          <w:sz w:val="24"/>
          <w:szCs w:val="24"/>
          <w:rtl/>
        </w:rPr>
        <w:t>התובע</w:t>
      </w:r>
      <w:r>
        <w:rPr>
          <w:rFonts w:ascii="David" w:hAnsi="David" w:cs="David"/>
          <w:sz w:val="24"/>
          <w:szCs w:val="24"/>
          <w:rtl/>
        </w:rPr>
        <w:t xml:space="preserve"> אישר בחקירתו כי אמר לבת-לאחותו שבכוונתו לבוא עמה בחשבון לגבי סכומי הכסף שקיבל מהוריהם כעזרה: </w:t>
      </w:r>
    </w:p>
    <w:p w14:paraId="249A0224"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"העד, התובע: תשמע, יש דברים שהם מתפתחים עם השנים, אני גם לא חלמתי שאני אגיע למצב כמו שאני נמצא היום, לא חלמתי שאני אגיע למהלך כזה בחיים שלי, אני גם אמרתי לאחותי שההורים עזרו לי ובעתיד אני אבוא איתך בחשבון על הדברים האלה. זה ביני לבין אחותי, זה לא משהו שאתה צריך להוציא ממני.</w:t>
      </w:r>
    </w:p>
    <w:p w14:paraId="4350ECA1"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עו״ד יפה: מתי אמרת לה את זה?</w:t>
      </w:r>
    </w:p>
    <w:p w14:paraId="1292B641"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העד, התובע: אמרתי לה את זה הרבה פעמים.</w:t>
      </w:r>
    </w:p>
    <w:p w14:paraId="2166A652"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עו״ד יפה: שמה?</w:t>
      </w:r>
    </w:p>
    <w:p w14:paraId="7A074EEF"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העד, התובע: גם לפני המשפט הזה אמרתי לה.</w:t>
      </w:r>
    </w:p>
    <w:p w14:paraId="056C1B0B"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עו״ד יפה: שמה?</w:t>
      </w:r>
    </w:p>
    <w:p w14:paraId="1F561DFC"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העד, התובע: שההורים עזרו לי ובעתיד אני מקווה להתחשבן איתך על החלק.</w:t>
      </w:r>
    </w:p>
    <w:p w14:paraId="45C90DBC"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עו״ד יפה: מה? על הדירה כאילו?</w:t>
      </w:r>
    </w:p>
    <w:p w14:paraId="4D20C02F"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העד, התובע: בכלל, בכל מה שיישאר.</w:t>
      </w:r>
    </w:p>
    <w:p w14:paraId="7C79B193"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עו״ד יפה: גם מהדירה?</w:t>
      </w:r>
    </w:p>
    <w:p w14:paraId="639E40D2"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העד, התובע: גם, כן."</w:t>
      </w:r>
    </w:p>
    <w:p w14:paraId="4929B232" w14:textId="77777777" w:rsidR="004B515E" w:rsidRDefault="00000000" w:rsidP="003D53E9">
      <w:pPr>
        <w:pStyle w:val="ad"/>
        <w:shd w:val="clear" w:color="auto" w:fill="auto"/>
        <w:spacing w:line="360" w:lineRule="auto"/>
        <w:ind w:left="567" w:firstLine="0"/>
        <w:jc w:val="both"/>
        <w:rPr>
          <w:rFonts w:ascii="David" w:hAnsi="David" w:cs="David"/>
          <w:b w:val="0"/>
          <w:bCs w:val="0"/>
          <w:sz w:val="24"/>
          <w:szCs w:val="24"/>
          <w:u w:val="none"/>
        </w:rPr>
      </w:pPr>
      <w:r>
        <w:rPr>
          <w:rFonts w:ascii="David" w:hAnsi="David" w:cs="David"/>
          <w:b w:val="0"/>
          <w:bCs w:val="0"/>
          <w:sz w:val="24"/>
          <w:szCs w:val="24"/>
          <w:u w:val="none"/>
          <w:rtl/>
        </w:rPr>
        <w:t>(ראו: פרוטוקול מיום 25.1.24 עמ' 21 שורות 1-14)</w:t>
      </w:r>
    </w:p>
    <w:p w14:paraId="5FA6164F" w14:textId="77777777" w:rsidR="004B515E" w:rsidRDefault="004B515E" w:rsidP="003D53E9">
      <w:pPr>
        <w:pStyle w:val="10"/>
        <w:spacing w:after="0" w:line="360" w:lineRule="auto"/>
        <w:rPr>
          <w:rFonts w:ascii="David" w:hAnsi="David" w:cs="David"/>
          <w:sz w:val="24"/>
          <w:szCs w:val="24"/>
        </w:rPr>
      </w:pPr>
    </w:p>
    <w:p w14:paraId="01B2AEFE"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b/>
          <w:bCs/>
          <w:sz w:val="24"/>
          <w:szCs w:val="24"/>
          <w:rtl/>
        </w:rPr>
        <w:t>האם</w:t>
      </w:r>
      <w:r>
        <w:rPr>
          <w:rFonts w:ascii="David" w:hAnsi="David" w:cs="David"/>
          <w:sz w:val="24"/>
          <w:szCs w:val="24"/>
          <w:rtl/>
        </w:rPr>
        <w:t xml:space="preserve"> בחקירתה חזרה על גרסתה כי היא ובעלה המנוח נתנו לתובע כספים רבים מתוך הבנה והסכמה שתיערך ביניהם התחשבנות מתוך כספי הירושה: </w:t>
      </w:r>
    </w:p>
    <w:p w14:paraId="3EEFF507"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lastRenderedPageBreak/>
        <w:t>"עו״ד רענן: זה הכול? את כותבת ב</w:t>
      </w:r>
      <w:bookmarkStart w:id="25" w:name="Seif27"/>
      <w:r>
        <w:rPr>
          <w:rFonts w:ascii="David" w:hAnsi="David" w:cs="David"/>
          <w:sz w:val="24"/>
          <w:szCs w:val="24"/>
          <w:u w:val="none"/>
          <w:rtl/>
        </w:rPr>
        <w:t xml:space="preserve">סעיף </w:t>
      </w:r>
      <w:bookmarkEnd w:id="25"/>
      <w:r>
        <w:rPr>
          <w:rFonts w:ascii="David" w:hAnsi="David" w:cs="David"/>
          <w:sz w:val="24"/>
          <w:szCs w:val="24"/>
          <w:u w:val="none"/>
          <w:rtl/>
        </w:rPr>
        <w:t>15 שאת נתת כסף בסכומי כסף נכבדים ל</w:t>
      </w:r>
      <w:r>
        <w:rPr>
          <w:rFonts w:ascii="David" w:hAnsi="David" w:cs="David"/>
          <w:sz w:val="24"/>
          <w:szCs w:val="24"/>
          <w:u w:val="none"/>
        </w:rPr>
        <w:t>XXX</w:t>
      </w:r>
      <w:r>
        <w:rPr>
          <w:rFonts w:ascii="David" w:hAnsi="David" w:cs="David"/>
          <w:sz w:val="24"/>
          <w:szCs w:val="24"/>
          <w:u w:val="none"/>
          <w:rtl/>
        </w:rPr>
        <w:t>, בהרבה כסף.</w:t>
      </w:r>
    </w:p>
    <w:p w14:paraId="1697F493"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העדה, הנתבעת: נכון.</w:t>
      </w:r>
    </w:p>
    <w:p w14:paraId="5E8E6C83" w14:textId="77777777" w:rsidR="004B515E" w:rsidRDefault="00000000" w:rsidP="003D53E9">
      <w:pPr>
        <w:pStyle w:val="ad"/>
        <w:shd w:val="clear" w:color="auto" w:fill="auto"/>
        <w:spacing w:line="360" w:lineRule="auto"/>
        <w:ind w:left="567" w:firstLine="0"/>
        <w:jc w:val="both"/>
        <w:rPr>
          <w:rFonts w:ascii="David" w:hAnsi="David" w:cs="David"/>
          <w:sz w:val="24"/>
          <w:szCs w:val="24"/>
        </w:rPr>
      </w:pPr>
      <w:r>
        <w:rPr>
          <w:rFonts w:ascii="David" w:hAnsi="David" w:cs="David"/>
          <w:sz w:val="24"/>
          <w:szCs w:val="24"/>
          <w:rtl/>
        </w:rPr>
        <w:t>עו״ד רענן: ואת כותבת בהמשך של ה</w:t>
      </w:r>
      <w:bookmarkStart w:id="26" w:name="Seif28"/>
      <w:r>
        <w:rPr>
          <w:rFonts w:ascii="David" w:hAnsi="David" w:cs="David"/>
          <w:sz w:val="24"/>
          <w:szCs w:val="24"/>
          <w:rtl/>
        </w:rPr>
        <w:t xml:space="preserve">סעיף </w:t>
      </w:r>
      <w:bookmarkEnd w:id="26"/>
      <w:r>
        <w:rPr>
          <w:rFonts w:ascii="David" w:hAnsi="David" w:cs="David"/>
          <w:sz w:val="24"/>
          <w:szCs w:val="24"/>
          <w:rtl/>
        </w:rPr>
        <w:t>שהכול היה מתוך הבנה והסכמה שאתם תערכו התחשבנות. נכון?</w:t>
      </w:r>
    </w:p>
    <w:p w14:paraId="18E5D7E0" w14:textId="77777777" w:rsidR="004B515E" w:rsidRDefault="00000000" w:rsidP="003D53E9">
      <w:pPr>
        <w:pStyle w:val="ad"/>
        <w:shd w:val="clear" w:color="auto" w:fill="auto"/>
        <w:spacing w:line="360" w:lineRule="auto"/>
        <w:ind w:left="567" w:firstLine="0"/>
        <w:jc w:val="both"/>
        <w:rPr>
          <w:rFonts w:ascii="David" w:hAnsi="David" w:cs="David"/>
          <w:sz w:val="24"/>
          <w:szCs w:val="24"/>
        </w:rPr>
      </w:pPr>
      <w:r>
        <w:rPr>
          <w:rFonts w:ascii="David" w:hAnsi="David" w:cs="David"/>
          <w:sz w:val="24"/>
          <w:szCs w:val="24"/>
          <w:rtl/>
        </w:rPr>
        <w:t xml:space="preserve">העדה, </w:t>
      </w:r>
      <w:r>
        <w:rPr>
          <w:rFonts w:ascii="David" w:hAnsi="David" w:cs="David"/>
          <w:sz w:val="24"/>
          <w:szCs w:val="24"/>
          <w:u w:val="none"/>
          <w:rtl/>
        </w:rPr>
        <w:t>הנתבעת</w:t>
      </w:r>
      <w:r>
        <w:rPr>
          <w:rFonts w:ascii="David" w:hAnsi="David" w:cs="David"/>
          <w:sz w:val="24"/>
          <w:szCs w:val="24"/>
          <w:rtl/>
        </w:rPr>
        <w:t>: כן.</w:t>
      </w:r>
    </w:p>
    <w:p w14:paraId="449770A2" w14:textId="77777777" w:rsidR="004B515E" w:rsidRDefault="00000000" w:rsidP="003D53E9">
      <w:pPr>
        <w:pStyle w:val="ad"/>
        <w:shd w:val="clear" w:color="auto" w:fill="auto"/>
        <w:spacing w:line="360" w:lineRule="auto"/>
        <w:ind w:left="567" w:firstLine="0"/>
        <w:jc w:val="both"/>
        <w:rPr>
          <w:rFonts w:ascii="David" w:hAnsi="David" w:cs="David"/>
          <w:sz w:val="24"/>
          <w:szCs w:val="24"/>
        </w:rPr>
      </w:pPr>
      <w:r>
        <w:rPr>
          <w:rFonts w:ascii="David" w:hAnsi="David" w:cs="David"/>
          <w:sz w:val="24"/>
          <w:szCs w:val="24"/>
          <w:rtl/>
        </w:rPr>
        <w:t>עו״ד רענן: איזו התחשבנות?</w:t>
      </w:r>
    </w:p>
    <w:p w14:paraId="00C8E2E7" w14:textId="77777777" w:rsidR="004B515E" w:rsidRDefault="00000000" w:rsidP="003D53E9">
      <w:pPr>
        <w:pStyle w:val="ad"/>
        <w:shd w:val="clear" w:color="auto" w:fill="auto"/>
        <w:spacing w:line="360" w:lineRule="auto"/>
        <w:ind w:left="567" w:firstLine="0"/>
        <w:jc w:val="both"/>
        <w:rPr>
          <w:rFonts w:ascii="David" w:hAnsi="David" w:cs="David"/>
          <w:b w:val="0"/>
          <w:bCs w:val="0"/>
          <w:sz w:val="24"/>
          <w:szCs w:val="24"/>
          <w:u w:val="none"/>
        </w:rPr>
      </w:pPr>
      <w:r>
        <w:rPr>
          <w:rFonts w:ascii="David" w:hAnsi="David" w:cs="David"/>
          <w:sz w:val="24"/>
          <w:szCs w:val="24"/>
          <w:rtl/>
        </w:rPr>
        <w:t xml:space="preserve">העדה, </w:t>
      </w:r>
      <w:r>
        <w:rPr>
          <w:rFonts w:ascii="David" w:hAnsi="David" w:cs="David"/>
          <w:sz w:val="24"/>
          <w:szCs w:val="24"/>
          <w:u w:val="none"/>
          <w:rtl/>
        </w:rPr>
        <w:t>הנתבעת</w:t>
      </w:r>
      <w:r>
        <w:rPr>
          <w:rFonts w:ascii="David" w:hAnsi="David" w:cs="David"/>
          <w:sz w:val="24"/>
          <w:szCs w:val="24"/>
          <w:rtl/>
        </w:rPr>
        <w:t>: אני מקבלת את הירושה</w:t>
      </w:r>
      <w:r>
        <w:rPr>
          <w:rFonts w:ascii="David" w:hAnsi="David" w:cs="David"/>
          <w:sz w:val="24"/>
          <w:szCs w:val="24"/>
          <w:u w:val="none"/>
          <w:rtl/>
        </w:rPr>
        <w:t xml:space="preserve">." </w:t>
      </w:r>
      <w:r>
        <w:rPr>
          <w:rFonts w:ascii="David" w:hAnsi="David" w:cs="David"/>
          <w:b w:val="0"/>
          <w:bCs w:val="0"/>
          <w:sz w:val="24"/>
          <w:szCs w:val="24"/>
          <w:u w:val="none"/>
          <w:rtl/>
        </w:rPr>
        <w:t>(ההדגשות בקו – הוספו).</w:t>
      </w:r>
    </w:p>
    <w:p w14:paraId="35B5688C" w14:textId="77777777" w:rsidR="004B515E" w:rsidRDefault="00000000" w:rsidP="003D53E9">
      <w:pPr>
        <w:pStyle w:val="10"/>
        <w:spacing w:after="0" w:line="360" w:lineRule="auto"/>
        <w:ind w:left="567"/>
        <w:jc w:val="both"/>
        <w:rPr>
          <w:rFonts w:ascii="David" w:hAnsi="David" w:cs="David"/>
          <w:sz w:val="24"/>
          <w:szCs w:val="24"/>
        </w:rPr>
      </w:pPr>
      <w:r>
        <w:rPr>
          <w:rFonts w:ascii="David" w:hAnsi="David" w:cs="David"/>
          <w:sz w:val="24"/>
          <w:szCs w:val="24"/>
          <w:rtl/>
        </w:rPr>
        <w:t>(ראו: פרוטוקול מיום 25.1.24 עמ' 26 שורות 29-32)</w:t>
      </w:r>
    </w:p>
    <w:p w14:paraId="0B789848" w14:textId="77777777" w:rsidR="004B515E" w:rsidRDefault="004B515E" w:rsidP="003D53E9">
      <w:pPr>
        <w:pStyle w:val="10"/>
        <w:spacing w:after="0" w:line="360" w:lineRule="auto"/>
        <w:rPr>
          <w:rFonts w:ascii="David" w:hAnsi="David" w:cs="David"/>
          <w:sz w:val="24"/>
          <w:szCs w:val="24"/>
        </w:rPr>
      </w:pPr>
    </w:p>
    <w:p w14:paraId="2C76C3CC"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בחקירתה חזרה </w:t>
      </w:r>
      <w:r>
        <w:rPr>
          <w:rFonts w:ascii="David" w:hAnsi="David" w:cs="David"/>
          <w:b/>
          <w:bCs/>
          <w:sz w:val="24"/>
          <w:szCs w:val="24"/>
          <w:rtl/>
        </w:rPr>
        <w:t>האם</w:t>
      </w:r>
      <w:r>
        <w:rPr>
          <w:rFonts w:ascii="David" w:hAnsi="David" w:cs="David"/>
          <w:sz w:val="24"/>
          <w:szCs w:val="24"/>
          <w:rtl/>
        </w:rPr>
        <w:t xml:space="preserve"> על גרסתה כי היא ובעלה המנוח נתנו לתובע את כל כספי חסכונותיהם ע"ס כ-2 מיליון ש"ח אולם לא סיפקה הסבר מניח את הדעת להיעדר מסמכים המעידים על גובה הסכומים שהועברו (ראו: פרוטוקול מיום 25.1.24 עמ' 30 שורות 11-25). יחד עם זאת לאור עדותו המפורשת של התובע שאישר כי הוריו העניקו לו סכומי כסף ע"ס כ-1.5 מיליון ש"ח אין בחסר הראייתי בכדי לערער את גרסת האם אלא רק את גובה הסכומים שהועברו. </w:t>
      </w:r>
    </w:p>
    <w:p w14:paraId="63422114" w14:textId="77777777" w:rsidR="004B515E" w:rsidRDefault="004B515E" w:rsidP="003D53E9">
      <w:pPr>
        <w:pStyle w:val="10"/>
        <w:spacing w:after="0" w:line="360" w:lineRule="auto"/>
        <w:ind w:left="-58"/>
        <w:jc w:val="both"/>
        <w:rPr>
          <w:rFonts w:ascii="David" w:hAnsi="David" w:cs="David"/>
          <w:sz w:val="24"/>
          <w:szCs w:val="24"/>
        </w:rPr>
      </w:pPr>
    </w:p>
    <w:p w14:paraId="7AFBF067"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sz w:val="24"/>
          <w:szCs w:val="24"/>
          <w:rtl/>
        </w:rPr>
        <w:t xml:space="preserve">כשנשאלה </w:t>
      </w:r>
      <w:r>
        <w:rPr>
          <w:rFonts w:ascii="David" w:hAnsi="David" w:cs="David"/>
          <w:b/>
          <w:bCs/>
          <w:sz w:val="24"/>
          <w:szCs w:val="24"/>
          <w:rtl/>
        </w:rPr>
        <w:t>האם</w:t>
      </w:r>
      <w:r>
        <w:rPr>
          <w:rFonts w:ascii="David" w:hAnsi="David" w:cs="David"/>
          <w:sz w:val="24"/>
          <w:szCs w:val="24"/>
          <w:rtl/>
        </w:rPr>
        <w:t xml:space="preserve"> לגבי היעדרה של צוואה מצד האב השיבה כי הם לא חשבו על האפשרות ולא התייעצו בעניין זה:</w:t>
      </w:r>
    </w:p>
    <w:p w14:paraId="2E428E17"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עו״ד רענן: אם הייתה התחשבנות, למה בעלך לא אמר ׳אני רוצה לעשות צוואה ולהגיד ככה׳?</w:t>
      </w:r>
    </w:p>
    <w:p w14:paraId="4A51C6C5"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העדה, הנתבעת: בעלי היה חולה.</w:t>
      </w:r>
    </w:p>
    <w:p w14:paraId="3E43592B"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עו״ד רענן: במה הוא היה חולה?</w:t>
      </w:r>
    </w:p>
    <w:p w14:paraId="38C0AC26"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העדה, הנתבעת: היה חולה, היה בבית חולים.</w:t>
      </w:r>
    </w:p>
    <w:p w14:paraId="52990C5D"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עו״ד רענן: אבל לפני, כשהוא נתן ל</w:t>
      </w:r>
      <w:r>
        <w:rPr>
          <w:rFonts w:ascii="David" w:hAnsi="David" w:cs="David"/>
          <w:sz w:val="24"/>
          <w:szCs w:val="24"/>
          <w:u w:val="none"/>
        </w:rPr>
        <w:t>XXX</w:t>
      </w:r>
      <w:r>
        <w:rPr>
          <w:rFonts w:ascii="David" w:hAnsi="David" w:cs="David"/>
          <w:sz w:val="24"/>
          <w:szCs w:val="24"/>
          <w:u w:val="none"/>
          <w:rtl/>
        </w:rPr>
        <w:t xml:space="preserve"> את הכסף הוא היה בריא, נכון?</w:t>
      </w:r>
    </w:p>
    <w:p w14:paraId="547C2E77"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העדה, הנתבעת: ככה.</w:t>
      </w:r>
    </w:p>
    <w:p w14:paraId="3B0F6D89"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עו״ד רענן: ככה. אבל בזמן שהוא היה בריא ככה, הוא יכול היה לעשות צוואה ולרשום ׳נתתי לתובע 200,000 שקל, להוריד את זה מה</w:t>
      </w:r>
      <w:bookmarkStart w:id="27" w:name="Seif75"/>
      <w:r>
        <w:rPr>
          <w:rFonts w:ascii="David" w:hAnsi="David" w:cs="David"/>
          <w:sz w:val="24"/>
          <w:szCs w:val="24"/>
          <w:u w:val="none"/>
          <w:rtl/>
        </w:rPr>
        <w:t xml:space="preserve">חלק שלו </w:t>
      </w:r>
      <w:bookmarkEnd w:id="27"/>
      <w:r>
        <w:rPr>
          <w:rFonts w:ascii="David" w:hAnsi="David" w:cs="David"/>
          <w:sz w:val="24"/>
          <w:szCs w:val="24"/>
          <w:u w:val="none"/>
          <w:rtl/>
        </w:rPr>
        <w:t>בירושה׳. יכול היה?</w:t>
      </w:r>
    </w:p>
    <w:p w14:paraId="59EA0699" w14:textId="77777777" w:rsidR="004B515E" w:rsidRDefault="00000000" w:rsidP="003D53E9">
      <w:pPr>
        <w:pStyle w:val="ad"/>
        <w:shd w:val="clear" w:color="auto" w:fill="auto"/>
        <w:spacing w:line="360" w:lineRule="auto"/>
        <w:ind w:left="567" w:firstLine="0"/>
        <w:jc w:val="both"/>
        <w:rPr>
          <w:rFonts w:ascii="David" w:hAnsi="David" w:cs="David"/>
          <w:sz w:val="24"/>
          <w:szCs w:val="24"/>
          <w:u w:val="none"/>
        </w:rPr>
      </w:pPr>
      <w:r>
        <w:rPr>
          <w:rFonts w:ascii="David" w:hAnsi="David" w:cs="David"/>
          <w:sz w:val="24"/>
          <w:szCs w:val="24"/>
          <w:u w:val="none"/>
          <w:rtl/>
        </w:rPr>
        <w:t>העדה, הנתבעת: יכול היה אבל לא חשבנו על זה."</w:t>
      </w:r>
    </w:p>
    <w:p w14:paraId="020BEFA8" w14:textId="77777777" w:rsidR="004B515E" w:rsidRDefault="00000000" w:rsidP="003D53E9">
      <w:pPr>
        <w:pStyle w:val="10"/>
        <w:spacing w:after="0" w:line="360" w:lineRule="auto"/>
        <w:ind w:left="567"/>
        <w:jc w:val="both"/>
        <w:rPr>
          <w:rFonts w:ascii="David" w:hAnsi="David" w:cs="David"/>
          <w:sz w:val="24"/>
          <w:szCs w:val="24"/>
        </w:rPr>
      </w:pPr>
      <w:r>
        <w:rPr>
          <w:rFonts w:ascii="David" w:hAnsi="David" w:cs="David"/>
          <w:sz w:val="24"/>
          <w:szCs w:val="24"/>
          <w:rtl/>
        </w:rPr>
        <w:t>(ראו: פרוטוקול מיום 25.1.24 עמ' 29 שורות 31-34 ועמ' 30 שורות 1-6).</w:t>
      </w:r>
    </w:p>
    <w:p w14:paraId="1EF5ABDE" w14:textId="77777777" w:rsidR="004B515E" w:rsidRDefault="004B515E" w:rsidP="003D53E9">
      <w:pPr>
        <w:pStyle w:val="10"/>
        <w:spacing w:after="0" w:line="360" w:lineRule="auto"/>
        <w:ind w:left="-58"/>
        <w:jc w:val="both"/>
        <w:rPr>
          <w:rFonts w:ascii="David" w:hAnsi="David" w:cs="David"/>
          <w:sz w:val="24"/>
          <w:szCs w:val="24"/>
        </w:rPr>
      </w:pPr>
    </w:p>
    <w:p w14:paraId="51CF2117"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sz w:val="24"/>
          <w:szCs w:val="24"/>
          <w:rtl/>
        </w:rPr>
        <w:t xml:space="preserve">יוער כי גם התובע בחקירתו השיב כי מעולם לא העלה על דעתו שיימצא במצב בו נמצא כיום (ראו: פרוטוקול מיום 25.1.24 עמ' 21 שורות 1-4). </w:t>
      </w:r>
    </w:p>
    <w:p w14:paraId="12355E1A" w14:textId="77777777" w:rsidR="004B515E" w:rsidRDefault="004B515E" w:rsidP="003D53E9">
      <w:pPr>
        <w:spacing w:line="360" w:lineRule="auto"/>
        <w:ind w:left="-625"/>
        <w:jc w:val="both"/>
        <w:rPr>
          <w:rFonts w:ascii="David" w:hAnsi="David"/>
        </w:rPr>
      </w:pPr>
    </w:p>
    <w:p w14:paraId="2467D0C2" w14:textId="77777777" w:rsidR="004B515E" w:rsidRDefault="00000000" w:rsidP="003D53E9">
      <w:pPr>
        <w:pStyle w:val="10"/>
        <w:numPr>
          <w:ilvl w:val="0"/>
          <w:numId w:val="1"/>
        </w:numPr>
        <w:spacing w:after="0" w:line="360" w:lineRule="auto"/>
        <w:jc w:val="both"/>
        <w:rPr>
          <w:rFonts w:ascii="David" w:hAnsi="David" w:cs="David"/>
          <w:b/>
          <w:bCs/>
          <w:sz w:val="24"/>
          <w:szCs w:val="24"/>
        </w:rPr>
      </w:pPr>
      <w:r>
        <w:rPr>
          <w:rFonts w:ascii="David" w:hAnsi="David" w:cs="David"/>
          <w:b/>
          <w:bCs/>
          <w:sz w:val="24"/>
          <w:szCs w:val="24"/>
          <w:rtl/>
        </w:rPr>
        <w:t>עדויות שני הצדדים מהימנות עליי ושוכנעתי כי תשובותיהם משקפות את מצב הדברים כפי שהוא. מעדויות שני הצדדים עולים הדברים הבאים:</w:t>
      </w:r>
    </w:p>
    <w:p w14:paraId="3DC056A1" w14:textId="77777777" w:rsidR="004B515E" w:rsidRDefault="00000000" w:rsidP="003D53E9">
      <w:pPr>
        <w:pStyle w:val="10"/>
        <w:numPr>
          <w:ilvl w:val="0"/>
          <w:numId w:val="5"/>
        </w:numPr>
        <w:spacing w:after="0" w:line="360" w:lineRule="auto"/>
        <w:jc w:val="both"/>
        <w:rPr>
          <w:rFonts w:ascii="David" w:hAnsi="David" w:cs="David"/>
          <w:sz w:val="24"/>
          <w:szCs w:val="24"/>
        </w:rPr>
      </w:pPr>
      <w:r>
        <w:rPr>
          <w:rFonts w:ascii="David" w:hAnsi="David" w:cs="David"/>
          <w:sz w:val="24"/>
          <w:szCs w:val="24"/>
          <w:rtl/>
        </w:rPr>
        <w:t>התובע אישר בחקירתו כי קיבל מהוריו כספים בסכום מצטבר של קרוב ל-1.5 מיליון ₪.</w:t>
      </w:r>
    </w:p>
    <w:p w14:paraId="16C82227" w14:textId="77777777" w:rsidR="004B515E" w:rsidRDefault="00000000" w:rsidP="003D53E9">
      <w:pPr>
        <w:pStyle w:val="10"/>
        <w:numPr>
          <w:ilvl w:val="0"/>
          <w:numId w:val="5"/>
        </w:numPr>
        <w:spacing w:after="0" w:line="360" w:lineRule="auto"/>
        <w:jc w:val="both"/>
        <w:rPr>
          <w:rFonts w:ascii="David" w:hAnsi="David" w:cs="David"/>
          <w:sz w:val="24"/>
          <w:szCs w:val="24"/>
        </w:rPr>
      </w:pPr>
      <w:r>
        <w:rPr>
          <w:rFonts w:ascii="David" w:hAnsi="David" w:cs="David"/>
          <w:sz w:val="24"/>
          <w:szCs w:val="24"/>
          <w:rtl/>
        </w:rPr>
        <w:t>התובע אישר בחקירתו כי מאז פטירת האב ועד עתה הוא הסכים ועודנו מסכים למגורי האם ובן זוגה בדירה.</w:t>
      </w:r>
    </w:p>
    <w:p w14:paraId="16D2E679" w14:textId="77777777" w:rsidR="004B515E" w:rsidRDefault="00000000" w:rsidP="003D53E9">
      <w:pPr>
        <w:pStyle w:val="10"/>
        <w:numPr>
          <w:ilvl w:val="0"/>
          <w:numId w:val="5"/>
        </w:numPr>
        <w:spacing w:after="0" w:line="360" w:lineRule="auto"/>
        <w:jc w:val="both"/>
        <w:rPr>
          <w:rFonts w:ascii="David" w:hAnsi="David" w:cs="David"/>
          <w:sz w:val="24"/>
          <w:szCs w:val="24"/>
        </w:rPr>
      </w:pPr>
      <w:r>
        <w:rPr>
          <w:rFonts w:ascii="David" w:hAnsi="David" w:cs="David"/>
          <w:sz w:val="24"/>
          <w:szCs w:val="24"/>
          <w:rtl/>
        </w:rPr>
        <w:lastRenderedPageBreak/>
        <w:t>התובע גם לא הגיש תביעה לסילוק ידה של האם מהדירה.</w:t>
      </w:r>
    </w:p>
    <w:p w14:paraId="33E05B31" w14:textId="77777777" w:rsidR="004B515E" w:rsidRDefault="00000000" w:rsidP="003D53E9">
      <w:pPr>
        <w:pStyle w:val="10"/>
        <w:numPr>
          <w:ilvl w:val="0"/>
          <w:numId w:val="5"/>
        </w:numPr>
        <w:spacing w:after="0" w:line="360" w:lineRule="auto"/>
        <w:jc w:val="both"/>
        <w:rPr>
          <w:rFonts w:ascii="David" w:hAnsi="David" w:cs="David"/>
          <w:sz w:val="24"/>
          <w:szCs w:val="24"/>
        </w:rPr>
      </w:pPr>
      <w:r>
        <w:rPr>
          <w:rFonts w:ascii="David" w:hAnsi="David" w:cs="David"/>
          <w:sz w:val="24"/>
          <w:szCs w:val="24"/>
          <w:rtl/>
        </w:rPr>
        <w:t>האם חזרה בחקירתה על גרסתה כי היא והמנוח נתנו לתובע כספים רבים שלגביהם תיערך התחשבנות מתוך כספי הירושה. התובע מצידו אמנם טען בחקירתו כי הכספים ניתנו לו כמתנה. אולם טען מפורשות בחקירתו כי חזר ואמר לבת-לאחותו שבכוונתו להתחשבן עמה לגבי סכומי הכסף שקיבל מהוריהם כעזרה.</w:t>
      </w:r>
    </w:p>
    <w:p w14:paraId="41173939" w14:textId="77777777" w:rsidR="004B515E" w:rsidRDefault="004B515E" w:rsidP="003D53E9">
      <w:pPr>
        <w:pStyle w:val="10"/>
        <w:spacing w:after="0" w:line="360" w:lineRule="auto"/>
        <w:ind w:left="567"/>
        <w:jc w:val="both"/>
        <w:rPr>
          <w:rFonts w:ascii="David" w:hAnsi="David" w:cs="David"/>
          <w:sz w:val="24"/>
          <w:szCs w:val="24"/>
        </w:rPr>
      </w:pPr>
    </w:p>
    <w:p w14:paraId="32FB120E"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sz w:val="24"/>
          <w:szCs w:val="24"/>
          <w:rtl/>
        </w:rPr>
        <w:t xml:space="preserve">אין מחלוקת כי לאם ולבת יש את רוב הזכויות בדירה. לאם: 3/4 מהזכויות, לבת 1/8 ולבן בהתאמה 1/8. בין האם לבת הסכמה כי יש להורות על דחיית התביעה ולקבל את אחת מטענות ההגנה שהועלו לחילופין על ידן. </w:t>
      </w:r>
    </w:p>
    <w:p w14:paraId="64F06E76" w14:textId="77777777" w:rsidR="004B515E" w:rsidRDefault="004B515E" w:rsidP="003D53E9">
      <w:pPr>
        <w:pStyle w:val="10"/>
        <w:spacing w:after="0" w:line="360" w:lineRule="auto"/>
        <w:rPr>
          <w:rFonts w:ascii="David" w:hAnsi="David" w:cs="David"/>
          <w:sz w:val="24"/>
          <w:szCs w:val="24"/>
        </w:rPr>
      </w:pPr>
    </w:p>
    <w:p w14:paraId="76CA9ABA" w14:textId="77777777" w:rsidR="004B515E" w:rsidRDefault="00EF069D" w:rsidP="003D53E9">
      <w:pPr>
        <w:pStyle w:val="10"/>
        <w:numPr>
          <w:ilvl w:val="0"/>
          <w:numId w:val="1"/>
        </w:numPr>
        <w:spacing w:after="0" w:line="360" w:lineRule="auto"/>
        <w:jc w:val="both"/>
        <w:rPr>
          <w:rFonts w:ascii="David" w:hAnsi="David" w:cs="David"/>
          <w:sz w:val="24"/>
          <w:szCs w:val="24"/>
          <w:rtl/>
        </w:rPr>
      </w:pPr>
      <w:hyperlink r:id="rId22" w:history="1">
        <w:bookmarkStart w:id="28" w:name="Seif29"/>
        <w:r w:rsidRPr="00EF069D">
          <w:rPr>
            <w:rStyle w:val="Hyperlink"/>
            <w:rFonts w:ascii="David" w:hAnsi="David" w:cs="David"/>
            <w:sz w:val="24"/>
            <w:szCs w:val="24"/>
            <w:rtl/>
          </w:rPr>
          <w:t xml:space="preserve">סעיף </w:t>
        </w:r>
        <w:bookmarkEnd w:id="28"/>
        <w:r w:rsidRPr="00EF069D">
          <w:rPr>
            <w:rStyle w:val="Hyperlink"/>
            <w:rFonts w:ascii="David" w:hAnsi="David" w:cs="David"/>
            <w:sz w:val="24"/>
            <w:szCs w:val="24"/>
            <w:rtl/>
          </w:rPr>
          <w:t>37</w:t>
        </w:r>
      </w:hyperlink>
      <w:r w:rsidR="00000000">
        <w:rPr>
          <w:rFonts w:ascii="David" w:hAnsi="David" w:cs="David"/>
          <w:sz w:val="24"/>
          <w:szCs w:val="24"/>
          <w:rtl/>
        </w:rPr>
        <w:t xml:space="preserve"> ל</w:t>
      </w:r>
      <w:hyperlink r:id="rId23" w:history="1">
        <w:r w:rsidR="006476EC" w:rsidRPr="006476EC">
          <w:rPr>
            <w:rFonts w:ascii="David" w:hAnsi="David" w:cs="David"/>
            <w:color w:val="0000FF"/>
            <w:sz w:val="24"/>
            <w:szCs w:val="24"/>
            <w:u w:val="single"/>
            <w:rtl/>
          </w:rPr>
          <w:t>חוק המקרקעין</w:t>
        </w:r>
      </w:hyperlink>
      <w:r w:rsidR="00000000">
        <w:rPr>
          <w:rFonts w:ascii="David" w:hAnsi="David" w:cs="David"/>
          <w:sz w:val="24"/>
          <w:szCs w:val="24"/>
          <w:rtl/>
        </w:rPr>
        <w:t xml:space="preserve"> קובע כדלהלן: </w:t>
      </w:r>
    </w:p>
    <w:p w14:paraId="559EC70F" w14:textId="77777777" w:rsidR="004B515E" w:rsidRDefault="00000000" w:rsidP="003D53E9">
      <w:pPr>
        <w:spacing w:line="360" w:lineRule="auto"/>
        <w:ind w:firstLine="720"/>
        <w:rPr>
          <w:rFonts w:ascii="David" w:hAnsi="David"/>
          <w:b/>
          <w:bCs/>
        </w:rPr>
      </w:pPr>
      <w:r>
        <w:rPr>
          <w:rFonts w:ascii="David" w:hAnsi="David"/>
          <w:b/>
          <w:bCs/>
          <w:noProof w:val="0"/>
          <w:rtl/>
        </w:rPr>
        <w:t>"זכות לתבוע פירוק השיתוף</w:t>
      </w:r>
    </w:p>
    <w:p w14:paraId="47475D18" w14:textId="77777777" w:rsidR="004B515E" w:rsidRDefault="00000000" w:rsidP="003D53E9">
      <w:pPr>
        <w:pStyle w:val="p00"/>
        <w:bidi/>
        <w:spacing w:before="0" w:beforeAutospacing="0" w:after="0" w:afterAutospacing="0" w:line="360" w:lineRule="auto"/>
        <w:ind w:left="1275" w:right="1134"/>
        <w:jc w:val="both"/>
        <w:rPr>
          <w:rFonts w:ascii="David" w:hAnsi="David" w:cs="David"/>
          <w:b/>
          <w:bCs/>
          <w:color w:val="000000"/>
        </w:rPr>
      </w:pPr>
      <w:r>
        <w:rPr>
          <w:rStyle w:val="big-number"/>
          <w:rFonts w:ascii="David" w:hAnsi="David" w:cs="David"/>
          <w:b/>
          <w:bCs/>
          <w:color w:val="000000"/>
          <w:rtl/>
        </w:rPr>
        <w:t xml:space="preserve">"37.   </w:t>
      </w:r>
      <w:r>
        <w:rPr>
          <w:rStyle w:val="default"/>
          <w:rFonts w:ascii="David" w:hAnsi="David" w:cs="David"/>
          <w:b/>
          <w:bCs/>
          <w:color w:val="000000"/>
          <w:rtl/>
        </w:rPr>
        <w:t>(א)  כל שותף במקרקעין משותפים זכאי בכל עת לדרוש פירוק השיתוף.</w:t>
      </w:r>
    </w:p>
    <w:p w14:paraId="17CB48F9" w14:textId="77777777" w:rsidR="004B515E" w:rsidRDefault="00000000" w:rsidP="003D53E9">
      <w:pPr>
        <w:pStyle w:val="p00"/>
        <w:bidi/>
        <w:spacing w:before="0" w:beforeAutospacing="0" w:after="0" w:afterAutospacing="0" w:line="360" w:lineRule="auto"/>
        <w:ind w:left="1275" w:right="1134"/>
        <w:jc w:val="both"/>
        <w:rPr>
          <w:rFonts w:ascii="David" w:hAnsi="David" w:cs="David"/>
        </w:rPr>
      </w:pPr>
      <w:r>
        <w:rPr>
          <w:rStyle w:val="default"/>
          <w:rFonts w:ascii="David" w:hAnsi="David" w:cs="David"/>
          <w:b/>
          <w:bCs/>
          <w:color w:val="000000"/>
          <w:rtl/>
        </w:rPr>
        <w:t>(ב)  היתה בהסכם שיתוף תניה השוללת או מגבילה את הזכות לדרוש פירוק השיתוף לתקופה העולה על שלוש שנים, רשאי בית המשפט, כעבור שלוש שנים, לצוות על פירוק השיתוף, על אף התניה, אם נראה לו הדבר צודק בנסיבות הענין."</w:t>
      </w:r>
    </w:p>
    <w:p w14:paraId="6CBB3778" w14:textId="77777777" w:rsidR="004B515E" w:rsidRDefault="004B515E" w:rsidP="003D53E9">
      <w:pPr>
        <w:pStyle w:val="10"/>
        <w:spacing w:after="0" w:line="360" w:lineRule="auto"/>
        <w:ind w:hanging="1345"/>
        <w:rPr>
          <w:rFonts w:ascii="David" w:hAnsi="David" w:cs="David"/>
          <w:sz w:val="24"/>
          <w:szCs w:val="24"/>
        </w:rPr>
      </w:pPr>
    </w:p>
    <w:p w14:paraId="654BED94"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על פניו בהתאם ל</w:t>
      </w:r>
      <w:hyperlink r:id="rId24" w:history="1">
        <w:r w:rsidR="006476EC" w:rsidRPr="006476EC">
          <w:rPr>
            <w:rFonts w:ascii="David" w:hAnsi="David" w:cs="David"/>
            <w:color w:val="0000FF"/>
            <w:sz w:val="24"/>
            <w:szCs w:val="24"/>
            <w:u w:val="single"/>
            <w:rtl/>
          </w:rPr>
          <w:t>חוק המקרקעין</w:t>
        </w:r>
      </w:hyperlink>
      <w:r>
        <w:rPr>
          <w:rFonts w:ascii="David" w:hAnsi="David" w:cs="David"/>
          <w:sz w:val="24"/>
          <w:szCs w:val="24"/>
          <w:rtl/>
        </w:rPr>
        <w:t xml:space="preserve"> זכאי הבן לעתור לפירוק השיתוף בדירה (כאשר אין מחלוקת כי הדירה לא ניתנת לחלוקה בעין וניתנת רק לפירוק שיתוף באמצעות מכירתה). בהתאם על הנתבעות לשכנע כי מתקיימת אחת מטענות ההגנה שהעלו</w:t>
      </w:r>
    </w:p>
    <w:p w14:paraId="2CE631B1" w14:textId="77777777" w:rsidR="004B515E" w:rsidRDefault="004B515E" w:rsidP="003D53E9">
      <w:pPr>
        <w:pStyle w:val="10"/>
        <w:spacing w:after="0" w:line="360" w:lineRule="auto"/>
        <w:rPr>
          <w:rFonts w:ascii="David" w:hAnsi="David" w:cs="David"/>
          <w:sz w:val="24"/>
          <w:szCs w:val="24"/>
        </w:rPr>
      </w:pPr>
    </w:p>
    <w:p w14:paraId="160D0E7F"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b/>
          <w:bCs/>
          <w:sz w:val="24"/>
          <w:szCs w:val="24"/>
          <w:u w:val="single"/>
          <w:rtl/>
        </w:rPr>
        <w:t>טענת הנתבעות לקיומו של הסכם בין יורשים בע"פ המונע את פירוק השיתוף</w:t>
      </w:r>
      <w:r>
        <w:rPr>
          <w:rFonts w:ascii="David" w:hAnsi="David" w:cs="David"/>
          <w:b/>
          <w:bCs/>
          <w:sz w:val="24"/>
          <w:szCs w:val="24"/>
          <w:rtl/>
        </w:rPr>
        <w:t xml:space="preserve"> – </w:t>
      </w:r>
      <w:r>
        <w:rPr>
          <w:rFonts w:ascii="David" w:hAnsi="David" w:cs="David"/>
          <w:sz w:val="24"/>
          <w:szCs w:val="24"/>
          <w:rtl/>
        </w:rPr>
        <w:t xml:space="preserve">הנתבעות לא עמדו בנטל ההוכחה הנדרש לקיומו של הסכם בין יורשים. לא הובאה כל ראיה שיכולה ללמד על קיומו של הסכם בין יורשים או על התחייבות בלתי חוזרת מצד התובע </w:t>
      </w:r>
      <w:r>
        <w:rPr>
          <w:rFonts w:ascii="David" w:hAnsi="David" w:cs="David"/>
          <w:sz w:val="24"/>
          <w:szCs w:val="24"/>
          <w:u w:val="single"/>
          <w:rtl/>
        </w:rPr>
        <w:t>שלא</w:t>
      </w:r>
      <w:r>
        <w:rPr>
          <w:rFonts w:ascii="David" w:hAnsi="David" w:cs="David"/>
          <w:sz w:val="24"/>
          <w:szCs w:val="24"/>
          <w:rtl/>
        </w:rPr>
        <w:t xml:space="preserve"> ל</w:t>
      </w:r>
      <w:bookmarkStart w:id="29" w:name="Seif85"/>
      <w:r>
        <w:rPr>
          <w:rFonts w:ascii="David" w:hAnsi="David" w:cs="David"/>
          <w:sz w:val="24"/>
          <w:szCs w:val="24"/>
          <w:rtl/>
        </w:rPr>
        <w:t xml:space="preserve">פרק את </w:t>
      </w:r>
      <w:bookmarkEnd w:id="29"/>
      <w:r>
        <w:rPr>
          <w:rFonts w:ascii="David" w:hAnsi="David" w:cs="David"/>
          <w:sz w:val="24"/>
          <w:szCs w:val="24"/>
          <w:rtl/>
        </w:rPr>
        <w:t xml:space="preserve">השיתוף בדירה. הוכח שהייתה הסכמה ארוכת טווח למגורי האם בדירה. התובע אישר זאת מפורשות בחקירתו. אולם לא הוכח כי הייתה הסכמה קטגורית למניעת פירוק השיתוף מעת שהאב נפטר. </w:t>
      </w:r>
    </w:p>
    <w:p w14:paraId="0DF1E4A6" w14:textId="77777777" w:rsidR="004B515E" w:rsidRDefault="004B515E" w:rsidP="003D53E9">
      <w:pPr>
        <w:pStyle w:val="10"/>
        <w:spacing w:after="0" w:line="360" w:lineRule="auto"/>
        <w:rPr>
          <w:rFonts w:ascii="David" w:hAnsi="David" w:cs="David"/>
          <w:sz w:val="24"/>
          <w:szCs w:val="24"/>
        </w:rPr>
      </w:pPr>
    </w:p>
    <w:p w14:paraId="13DD64DC"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b/>
          <w:bCs/>
          <w:sz w:val="24"/>
          <w:szCs w:val="24"/>
          <w:rtl/>
        </w:rPr>
        <w:t>הבן</w:t>
      </w:r>
      <w:r>
        <w:rPr>
          <w:rFonts w:ascii="David" w:hAnsi="David" w:cs="David"/>
          <w:sz w:val="24"/>
          <w:szCs w:val="24"/>
          <w:rtl/>
        </w:rPr>
        <w:t xml:space="preserve"> אישר בחקירתו כי אמר לבת שבכוונתו לבוא עמה בחשבון לגבי סכומים שקיבל מהוריהם באופן בלעדי (ראו: פרוטוקול מיום 25.1.24 עמ' 21 שורות 1-14). אולם לא הוכח כי כוונת הצדדים הבשילה לכדי הסכם מחייב בין הצדדים. כמו כן קיומו של הסכם נטען בכלליות ע"י הנתבעות בלא שצוינו פרטיו וב</w:t>
      </w:r>
      <w:bookmarkStart w:id="30" w:name="Seif99"/>
      <w:r>
        <w:rPr>
          <w:rFonts w:ascii="David" w:hAnsi="David" w:cs="David"/>
          <w:sz w:val="24"/>
          <w:szCs w:val="24"/>
          <w:rtl/>
        </w:rPr>
        <w:t xml:space="preserve">כלל זה </w:t>
      </w:r>
      <w:bookmarkEnd w:id="30"/>
      <w:r>
        <w:rPr>
          <w:rFonts w:ascii="David" w:hAnsi="David" w:cs="David"/>
          <w:sz w:val="24"/>
          <w:szCs w:val="24"/>
          <w:rtl/>
        </w:rPr>
        <w:t xml:space="preserve">שיעור הסכומים אותם עליו להשיב, תנאי התשלום ומועדם.    </w:t>
      </w:r>
    </w:p>
    <w:p w14:paraId="2F731A60" w14:textId="77777777" w:rsidR="004B515E" w:rsidRDefault="004B515E" w:rsidP="003D53E9">
      <w:pPr>
        <w:pStyle w:val="10"/>
        <w:rPr>
          <w:rFonts w:ascii="David" w:hAnsi="David" w:cs="David"/>
          <w:sz w:val="24"/>
          <w:szCs w:val="24"/>
        </w:rPr>
      </w:pPr>
    </w:p>
    <w:p w14:paraId="6DC78F2B"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גם טענת הנתבעות כי משתיקתו של התובע במשך עשור ניתן ללמוד על קיומו של הסכם כאמור דינה להידחות. התובע טען והעיד בחקירתו כי הסכים למגורי אמו ובן זוגה בדירה </w:t>
      </w:r>
      <w:r>
        <w:rPr>
          <w:rFonts w:ascii="David" w:hAnsi="David" w:cs="David"/>
          <w:sz w:val="24"/>
          <w:szCs w:val="24"/>
          <w:rtl/>
        </w:rPr>
        <w:lastRenderedPageBreak/>
        <w:t xml:space="preserve">ובהיעדר צורך מצדו לא התנה את המשך מגורי האם בתשלום דמי שימוש או בקבלת תמורה בגין חלקו ולא ביקש מהאם לפנות את הדירה (ראו: פרוטוקול מיום 25.1.24 עמ' 10 שורות 9-19). </w:t>
      </w:r>
    </w:p>
    <w:p w14:paraId="1BCC4A9A" w14:textId="77777777" w:rsidR="004B515E" w:rsidRDefault="004B515E" w:rsidP="003D53E9">
      <w:pPr>
        <w:pStyle w:val="10"/>
        <w:spacing w:after="0" w:line="360" w:lineRule="auto"/>
        <w:rPr>
          <w:rFonts w:ascii="David" w:hAnsi="David" w:cs="David"/>
          <w:sz w:val="24"/>
          <w:szCs w:val="24"/>
        </w:rPr>
      </w:pPr>
    </w:p>
    <w:p w14:paraId="0756B1AB"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בעצם הגשת תביעה לבית המשפט אין משום שימוש בזכות בחוסר תום לב. התובע הסביר בכתב התביעה, בחקירתו ובסיכומיו כי הצורך קם בשל מצבו הכלכלי ולולא מצבו הכלכלי לא היה מגיש תביעה זו. דווקא עמדה זו מחזקת את תום ליבו של התובע בהגשת התביעה. עם זאת ייאמר כי "ההערה" בסיכומים כי לו בימ"ש לא ייעתר לתביעה מובטח לאם כי הנאמן יפעל לפירוק שיתוף ובלשונו ב</w:t>
      </w:r>
      <w:bookmarkStart w:id="31" w:name="Seif30"/>
      <w:r>
        <w:rPr>
          <w:rFonts w:ascii="David" w:hAnsi="David" w:cs="David"/>
          <w:sz w:val="24"/>
          <w:szCs w:val="24"/>
          <w:rtl/>
        </w:rPr>
        <w:t xml:space="preserve">סעיף </w:t>
      </w:r>
      <w:bookmarkEnd w:id="31"/>
      <w:r>
        <w:rPr>
          <w:rFonts w:ascii="David" w:hAnsi="David" w:cs="David"/>
          <w:sz w:val="24"/>
          <w:szCs w:val="24"/>
          <w:rtl/>
        </w:rPr>
        <w:t xml:space="preserve">8 לסיכומים:  "[..] </w:t>
      </w:r>
      <w:r>
        <w:rPr>
          <w:rFonts w:ascii="David" w:hAnsi="David" w:cs="David"/>
          <w:b/>
          <w:bCs/>
          <w:sz w:val="24"/>
          <w:szCs w:val="24"/>
          <w:rtl/>
        </w:rPr>
        <w:t>הרי ברור כי לו תדחה תביעה – מיד תוגש בקשה למימוש הנכס ע"י הנאמן בפש"ר של התובע [...] נהיר ברור ומוחלט כי הנאמן לא יישב בחיבוק ידיים ומיד יחל בהליכי מימוש הנכס במסגרת הפש"ר ומסגרת הידיעה שיפוטית והניסיון המשפטי ידוע כי הליכי המימוש הינם אלימים ביותר שיותירו את הנתבעת 1 עם הרבה פחות כסף ואפשרות לרכוש דירה חליפית"</w:t>
      </w:r>
      <w:r>
        <w:rPr>
          <w:rFonts w:ascii="David" w:hAnsi="David" w:cs="David"/>
          <w:sz w:val="24"/>
          <w:szCs w:val="24"/>
          <w:rtl/>
        </w:rPr>
        <w:t xml:space="preserve">. הינה אמירה החורגת מניסוח סביר, תם לב ומצופה מבעל דין המבקש סעד מבימ"ש. התובע הוא שבחר לפנות לבימ"ש, הוא שבחר לבקש סעד. אמירה שכזו כלפי האם (ובהיבטים מסויימים גם כלפי בימ"ש לו לא ייעתר למבוקש), ובה הבטחה לניהול הליך מימוש חלופי תוך ציון שהליכי המימוש יהיו "אלימים ביותר", ראויה לגנאי הרבה מעבר למערכת היחסים בין הבן התובע לאימו הנתבעת. </w:t>
      </w:r>
    </w:p>
    <w:p w14:paraId="23EA97AF" w14:textId="77777777" w:rsidR="004B515E" w:rsidRDefault="004B515E" w:rsidP="003D53E9">
      <w:pPr>
        <w:pStyle w:val="10"/>
        <w:rPr>
          <w:rFonts w:ascii="David" w:hAnsi="David" w:cs="David"/>
          <w:sz w:val="24"/>
          <w:szCs w:val="24"/>
        </w:rPr>
      </w:pPr>
    </w:p>
    <w:p w14:paraId="79C9CEA4" w14:textId="77777777" w:rsidR="004B515E" w:rsidRDefault="004B515E" w:rsidP="003D53E9">
      <w:pPr>
        <w:pStyle w:val="10"/>
        <w:rPr>
          <w:rFonts w:ascii="David" w:hAnsi="David" w:cs="David"/>
          <w:sz w:val="24"/>
          <w:szCs w:val="24"/>
          <w:rtl/>
        </w:rPr>
      </w:pPr>
    </w:p>
    <w:p w14:paraId="4E096103"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יצויין עוד כי כאשר הוצא צו הירושה לא התבקש לאשר הסכם בין יורשים ואין בצו כל התניה או אישור הסכמה שהיא. הנתבעות גם לא פנו מיוזמתן טרם הגשת התביעה בטענה כי יש הסכם בין יורשים, דבר המפחית מהמשקל שיש לתת לטענתן זו. ניכר כי היא הועלתה רק בשל הגשת התביעה.  </w:t>
      </w:r>
    </w:p>
    <w:p w14:paraId="58DB9E9C" w14:textId="77777777" w:rsidR="004B515E" w:rsidRDefault="004B515E" w:rsidP="003D53E9">
      <w:pPr>
        <w:pStyle w:val="10"/>
        <w:spacing w:after="0" w:line="360" w:lineRule="auto"/>
        <w:ind w:left="567"/>
        <w:jc w:val="both"/>
        <w:rPr>
          <w:rFonts w:ascii="David" w:hAnsi="David" w:cs="David"/>
          <w:sz w:val="24"/>
          <w:szCs w:val="24"/>
        </w:rPr>
      </w:pPr>
    </w:p>
    <w:p w14:paraId="7C609D6F"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sz w:val="24"/>
          <w:szCs w:val="24"/>
          <w:rtl/>
        </w:rPr>
        <w:t>אשר על כן הנתבעות לא הוכיחו קיומו של הסכם בין יורשים שיש בו לגבור על זכותו של התובע לעתור לפירוק השיתוף.</w:t>
      </w:r>
    </w:p>
    <w:p w14:paraId="2184B891" w14:textId="77777777" w:rsidR="004B515E" w:rsidRDefault="004B515E" w:rsidP="003D53E9">
      <w:pPr>
        <w:pStyle w:val="10"/>
        <w:spacing w:after="0" w:line="360" w:lineRule="auto"/>
        <w:ind w:left="567"/>
        <w:jc w:val="both"/>
        <w:rPr>
          <w:rFonts w:ascii="David" w:hAnsi="David" w:cs="David"/>
          <w:sz w:val="24"/>
          <w:szCs w:val="24"/>
          <w:rtl/>
        </w:rPr>
      </w:pPr>
    </w:p>
    <w:p w14:paraId="7BA95549"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sz w:val="24"/>
          <w:szCs w:val="24"/>
          <w:rtl/>
        </w:rPr>
        <w:t>אשר על כן הטענה לגבי קיומו של הסדר בין יורשים נדחית.</w:t>
      </w:r>
    </w:p>
    <w:p w14:paraId="2A39BDB8" w14:textId="77777777" w:rsidR="004B515E" w:rsidRDefault="004B515E" w:rsidP="003D53E9">
      <w:pPr>
        <w:pStyle w:val="10"/>
        <w:rPr>
          <w:rFonts w:ascii="David" w:hAnsi="David" w:cs="David"/>
          <w:sz w:val="24"/>
          <w:szCs w:val="24"/>
        </w:rPr>
      </w:pPr>
    </w:p>
    <w:p w14:paraId="042FFA6A"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b/>
          <w:bCs/>
          <w:sz w:val="24"/>
          <w:szCs w:val="24"/>
          <w:u w:val="single"/>
          <w:rtl/>
        </w:rPr>
        <w:t>טענת הנתבעת כי לאורך השנים שילמה לתובע עבור זכותו בדירה ועל כן יש להורות על דחיית התביעה -</w:t>
      </w:r>
      <w:r>
        <w:rPr>
          <w:rFonts w:ascii="David" w:hAnsi="David" w:cs="David"/>
          <w:sz w:val="24"/>
          <w:szCs w:val="24"/>
          <w:rtl/>
        </w:rPr>
        <w:t xml:space="preserve"> לטענת הנתבעת לאורך השנים כילתה את כספה וחסכונותיה ושילמה לתובע בין 1.5 ל-2 מיליון ₪ שיש לראותם תשלום עבור חלקו בדירה. התובע ציין בחקירתו כי יש לדחות טענה זו מאחר ומדובר היה במתנה שניתנה על ידי הוריו ולאחר פטירת אביו על ידי אימו ולא במקום זכויותיו בדירה. </w:t>
      </w:r>
    </w:p>
    <w:p w14:paraId="3FA65B52" w14:textId="77777777" w:rsidR="004B515E" w:rsidRDefault="004B515E" w:rsidP="003D53E9">
      <w:pPr>
        <w:pStyle w:val="10"/>
        <w:rPr>
          <w:rFonts w:ascii="David" w:hAnsi="David" w:cs="David"/>
          <w:sz w:val="24"/>
          <w:szCs w:val="24"/>
        </w:rPr>
      </w:pPr>
    </w:p>
    <w:p w14:paraId="6C0A3613"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 לאחר בחינת טענה זו דינה להידחות. </w:t>
      </w:r>
    </w:p>
    <w:p w14:paraId="5EC95636" w14:textId="77777777" w:rsidR="004B515E" w:rsidRDefault="004B515E" w:rsidP="003D53E9">
      <w:pPr>
        <w:pStyle w:val="10"/>
        <w:rPr>
          <w:rFonts w:ascii="David" w:hAnsi="David" w:cs="David"/>
          <w:sz w:val="24"/>
          <w:szCs w:val="24"/>
        </w:rPr>
      </w:pPr>
    </w:p>
    <w:p w14:paraId="6CFD3141"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lastRenderedPageBreak/>
        <w:t xml:space="preserve">אין מחלוקת בין הצדדים כי הנתבעת העבירה לאורך השנים סכומי כסף בסכומים גבוהים ביותר לתובע. שני הצדדים אישרו זאת בחקירה. עם זאת הנתבעת לא הביאה הוכחות ישירות לכספים ששולמו, שיעורם, מועדיהם ומטרתם. </w:t>
      </w:r>
    </w:p>
    <w:p w14:paraId="48576A12" w14:textId="77777777" w:rsidR="004B515E" w:rsidRDefault="004B515E" w:rsidP="003D53E9">
      <w:pPr>
        <w:pStyle w:val="10"/>
        <w:rPr>
          <w:rFonts w:ascii="David" w:hAnsi="David" w:cs="David"/>
          <w:sz w:val="24"/>
          <w:szCs w:val="24"/>
        </w:rPr>
      </w:pPr>
    </w:p>
    <w:p w14:paraId="5C8D1E43"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אולם הנתבעת לא הוכיחה כי כאשר הכספים ניתנו לתובע סוכם כי הם יהיו עבור חלקו בדירה. גם הסכומים הנטענים השתנו בכתבי טענותיה של הנתבעת ונעו בין 1.5 ל-2 מיליון ₪. הנתבעת סייעה לתובע באופן מעורר התפעלות. אולם אין בין כך לבין יצירת זכות משפטית בדיעבד. זכות שלא הוסכם עליה – לא בעל פה ולא בכתב. שלילת זכותו הקניינית של אדם דורשת יותר מטענות כעת בעל פה ובהגנה בלבד לתביעה שהגיש. </w:t>
      </w:r>
    </w:p>
    <w:p w14:paraId="2CCED57F" w14:textId="77777777" w:rsidR="004B515E" w:rsidRDefault="004B515E" w:rsidP="003D53E9">
      <w:pPr>
        <w:pStyle w:val="10"/>
        <w:rPr>
          <w:rFonts w:ascii="David" w:hAnsi="David" w:cs="David"/>
          <w:sz w:val="24"/>
          <w:szCs w:val="24"/>
        </w:rPr>
      </w:pPr>
    </w:p>
    <w:p w14:paraId="15E124DC"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הטענה כי זכויותיו בדירה נפרדו לאורך השנים לא הועלתה כאשר הוצא צו הירושה של האב והקנה לו זכויות בדירה והועלה לראשונה כהגנה מפני התביעה לפירוק שיתוף.</w:t>
      </w:r>
    </w:p>
    <w:p w14:paraId="794FB67A" w14:textId="77777777" w:rsidR="004B515E" w:rsidRDefault="004B515E" w:rsidP="003D53E9">
      <w:pPr>
        <w:pStyle w:val="10"/>
        <w:rPr>
          <w:rFonts w:ascii="David" w:hAnsi="David" w:cs="David"/>
          <w:sz w:val="24"/>
          <w:szCs w:val="24"/>
        </w:rPr>
      </w:pPr>
    </w:p>
    <w:p w14:paraId="02186D1F"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גם בעובדה שהתובע אישר כי סיכם עם אחותו כי יערכו התחשבנות בעתיד על הכספים אין בינה לבין שלילת זכויותיו בדירה. מדובר במישור אחר של הסכמה בין האחים. ויוזכר כי האחות לא העידה ולא הגישה תצע"ר.</w:t>
      </w:r>
    </w:p>
    <w:p w14:paraId="7E1EE90B" w14:textId="77777777" w:rsidR="004B515E" w:rsidRDefault="004B515E" w:rsidP="003D53E9">
      <w:pPr>
        <w:pStyle w:val="10"/>
        <w:rPr>
          <w:rFonts w:ascii="David" w:hAnsi="David" w:cs="David"/>
          <w:sz w:val="24"/>
          <w:szCs w:val="24"/>
        </w:rPr>
      </w:pPr>
    </w:p>
    <w:p w14:paraId="02DF4057"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הדירה רשומה בהתאם לצו הירושה ובהתאם לרישום זכותו של התובע היא 1/8. הנתבעת לא טענה כנגד צו הירושה ולא כנגד רישומו והשימוש בטענה על "צביעת הכספים" לפידיון הזכויות נולדה כמגן ולא כחרב בעת הגשת תביעה זו. על כן דינה להידחות. הנתבעת לא עמדה בנטל הכבד של הוכחה לרכישת זכויות התובע בדירה. </w:t>
      </w:r>
    </w:p>
    <w:p w14:paraId="49B3FF07" w14:textId="77777777" w:rsidR="004B515E" w:rsidRDefault="004B515E" w:rsidP="003D53E9">
      <w:pPr>
        <w:pStyle w:val="10"/>
        <w:rPr>
          <w:rFonts w:ascii="David" w:hAnsi="David" w:cs="David"/>
          <w:sz w:val="24"/>
          <w:szCs w:val="24"/>
        </w:rPr>
      </w:pPr>
    </w:p>
    <w:p w14:paraId="194B9CF1"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b/>
          <w:bCs/>
          <w:sz w:val="24"/>
          <w:szCs w:val="24"/>
          <w:u w:val="single"/>
          <w:rtl/>
        </w:rPr>
        <w:t>טענת הנתבעות כי יש לקיים את רצון המנוח ולהורות על דחיית התביעה</w:t>
      </w:r>
      <w:r>
        <w:rPr>
          <w:rFonts w:ascii="David" w:hAnsi="David" w:cs="David"/>
          <w:sz w:val="24"/>
          <w:szCs w:val="24"/>
          <w:rtl/>
        </w:rPr>
        <w:t xml:space="preserve"> – לטענת הנתבעות כוונת המנוח הייתה לאפשר לאם להתגורר בדירה למשך כל חייה, לפיכך יש לקיים את רצונו ולדחות את העתירה לפירוק השיתוף. </w:t>
      </w:r>
    </w:p>
    <w:p w14:paraId="04D09B87" w14:textId="77777777" w:rsidR="004B515E" w:rsidRDefault="004B515E" w:rsidP="003D53E9">
      <w:pPr>
        <w:pStyle w:val="10"/>
        <w:rPr>
          <w:rFonts w:ascii="David" w:hAnsi="David" w:cs="David"/>
          <w:sz w:val="24"/>
          <w:szCs w:val="24"/>
        </w:rPr>
      </w:pPr>
    </w:p>
    <w:p w14:paraId="51EB3294"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לאחר בחינת טענות הצדדים בעניין זה, דין טענה זו להידחות. </w:t>
      </w:r>
    </w:p>
    <w:p w14:paraId="47003BDF" w14:textId="77777777" w:rsidR="004B515E" w:rsidRDefault="004B515E" w:rsidP="003D53E9">
      <w:pPr>
        <w:pStyle w:val="10"/>
        <w:spacing w:after="0" w:line="360" w:lineRule="auto"/>
        <w:rPr>
          <w:rFonts w:ascii="David" w:hAnsi="David" w:cs="David"/>
          <w:sz w:val="24"/>
          <w:szCs w:val="24"/>
        </w:rPr>
      </w:pPr>
    </w:p>
    <w:p w14:paraId="6F05A743"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הנתבעות לא הביאו ראיה כלשהי לכוונת המנוח. אדרבא המנוח לא הותיר אחריו צוואה בה הביע את רצונו והנתבעות לא הביאו עדים וראיות לעניין זה. </w:t>
      </w:r>
    </w:p>
    <w:p w14:paraId="46EE9998" w14:textId="77777777" w:rsidR="004B515E" w:rsidRDefault="004B515E" w:rsidP="003D53E9">
      <w:pPr>
        <w:pStyle w:val="10"/>
        <w:rPr>
          <w:rFonts w:ascii="David" w:hAnsi="David" w:cs="David"/>
          <w:sz w:val="24"/>
          <w:szCs w:val="24"/>
        </w:rPr>
      </w:pPr>
    </w:p>
    <w:p w14:paraId="4A87378E"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אין מחלוקת כי צו הירושה שניתן ביום 6.10.22 ניתן ללא התנגדויות. </w:t>
      </w:r>
    </w:p>
    <w:p w14:paraId="406B2C89" w14:textId="77777777" w:rsidR="004B515E" w:rsidRDefault="004B515E" w:rsidP="003D53E9">
      <w:pPr>
        <w:pStyle w:val="10"/>
        <w:rPr>
          <w:rFonts w:ascii="David" w:hAnsi="David" w:cs="David"/>
          <w:sz w:val="24"/>
          <w:szCs w:val="24"/>
        </w:rPr>
      </w:pPr>
    </w:p>
    <w:p w14:paraId="6A985776"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האם נשאלה בעניין זה אך לא העלתה טעם מניח את הדעת מדוע לא ערך המנוח צוואה בה פירט את הסכמות הצדדים לגבי חלוקת עזבונו. </w:t>
      </w:r>
    </w:p>
    <w:p w14:paraId="716045F2" w14:textId="77777777" w:rsidR="004B515E" w:rsidRDefault="004B515E" w:rsidP="003D53E9">
      <w:pPr>
        <w:pStyle w:val="10"/>
        <w:rPr>
          <w:rFonts w:ascii="David" w:hAnsi="David" w:cs="David"/>
          <w:sz w:val="24"/>
          <w:szCs w:val="24"/>
        </w:rPr>
      </w:pPr>
    </w:p>
    <w:p w14:paraId="15684D54"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בין כך ובין כך הנתבעות לא הוכיחו לא את רצון המנוח ולא נימקו די הצורך. גם אם אלך לשיטתן כי כך היה, כיצד אותו רצון והעדרו באמצעות צוואה או הסכם בין יורשים, יש מקום לאוכפו. על כן הטענה נדחית.  </w:t>
      </w:r>
    </w:p>
    <w:p w14:paraId="5D6B3F18" w14:textId="77777777" w:rsidR="004B515E" w:rsidRDefault="004B515E" w:rsidP="003D53E9">
      <w:pPr>
        <w:pStyle w:val="10"/>
        <w:spacing w:after="0" w:line="360" w:lineRule="auto"/>
      </w:pPr>
    </w:p>
    <w:p w14:paraId="766062AB" w14:textId="77777777" w:rsidR="004B515E" w:rsidRPr="003D53E9" w:rsidRDefault="00000000" w:rsidP="003D53E9">
      <w:pPr>
        <w:pStyle w:val="10"/>
        <w:numPr>
          <w:ilvl w:val="0"/>
          <w:numId w:val="1"/>
        </w:numPr>
        <w:spacing w:after="0" w:line="360" w:lineRule="auto"/>
        <w:jc w:val="both"/>
        <w:rPr>
          <w:rFonts w:ascii="David" w:hAnsi="David" w:cs="David"/>
          <w:sz w:val="24"/>
          <w:szCs w:val="24"/>
        </w:rPr>
      </w:pPr>
      <w:r w:rsidRPr="003D53E9">
        <w:rPr>
          <w:rFonts w:ascii="David" w:hAnsi="David" w:cs="David"/>
          <w:b/>
          <w:bCs/>
          <w:sz w:val="24"/>
          <w:szCs w:val="24"/>
          <w:u w:val="single"/>
          <w:rtl/>
        </w:rPr>
        <w:lastRenderedPageBreak/>
        <w:t xml:space="preserve">טענת הנתבעות להתקיימות תנאי </w:t>
      </w:r>
      <w:hyperlink r:id="rId25" w:history="1">
        <w:bookmarkStart w:id="32" w:name="Seif31"/>
        <w:r w:rsidR="00EF069D" w:rsidRPr="00EF069D">
          <w:rPr>
            <w:rStyle w:val="Hyperlink"/>
            <w:rFonts w:ascii="David" w:hAnsi="David" w:cs="David"/>
            <w:b/>
            <w:bCs/>
            <w:sz w:val="24"/>
            <w:szCs w:val="24"/>
            <w:rtl/>
          </w:rPr>
          <w:t xml:space="preserve">סעיף </w:t>
        </w:r>
        <w:bookmarkEnd w:id="32"/>
        <w:r w:rsidR="00EF069D" w:rsidRPr="00EF069D">
          <w:rPr>
            <w:rStyle w:val="Hyperlink"/>
            <w:rFonts w:ascii="David" w:hAnsi="David" w:cs="David"/>
            <w:b/>
            <w:bCs/>
            <w:sz w:val="24"/>
            <w:szCs w:val="24"/>
            <w:rtl/>
          </w:rPr>
          <w:t>115</w:t>
        </w:r>
      </w:hyperlink>
      <w:r w:rsidRPr="003D53E9">
        <w:rPr>
          <w:rFonts w:ascii="David" w:hAnsi="David" w:cs="David"/>
          <w:b/>
          <w:bCs/>
          <w:sz w:val="24"/>
          <w:szCs w:val="24"/>
          <w:u w:val="single"/>
          <w:rtl/>
        </w:rPr>
        <w:t xml:space="preserve"> ל</w:t>
      </w:r>
      <w:hyperlink r:id="rId26" w:history="1">
        <w:r w:rsidR="006476EC" w:rsidRPr="006476EC">
          <w:rPr>
            <w:rFonts w:ascii="David" w:hAnsi="David" w:cs="David"/>
            <w:b/>
            <w:bCs/>
            <w:color w:val="0000FF"/>
            <w:sz w:val="24"/>
            <w:szCs w:val="24"/>
            <w:u w:val="single"/>
            <w:rtl/>
          </w:rPr>
          <w:t>חוק הירושה</w:t>
        </w:r>
      </w:hyperlink>
      <w:r w:rsidRPr="003D53E9">
        <w:rPr>
          <w:rFonts w:ascii="David" w:hAnsi="David" w:cs="David"/>
          <w:b/>
          <w:bCs/>
          <w:sz w:val="24"/>
          <w:szCs w:val="24"/>
          <w:u w:val="single"/>
          <w:rtl/>
        </w:rPr>
        <w:t xml:space="preserve"> -</w:t>
      </w:r>
      <w:r w:rsidRPr="003D53E9">
        <w:rPr>
          <w:rFonts w:ascii="David" w:hAnsi="David" w:cs="David"/>
          <w:sz w:val="24"/>
          <w:szCs w:val="24"/>
          <w:rtl/>
        </w:rPr>
        <w:t xml:space="preserve"> לטענת הנתבעות מתקיים </w:t>
      </w:r>
      <w:hyperlink r:id="rId27" w:history="1">
        <w:bookmarkStart w:id="33" w:name="Seif32"/>
        <w:r w:rsidR="00EF069D" w:rsidRPr="00EF069D">
          <w:rPr>
            <w:rStyle w:val="Hyperlink"/>
            <w:rFonts w:ascii="David" w:hAnsi="David" w:cs="David"/>
            <w:sz w:val="24"/>
            <w:szCs w:val="24"/>
            <w:rtl/>
          </w:rPr>
          <w:t xml:space="preserve">סעיף </w:t>
        </w:r>
        <w:bookmarkEnd w:id="33"/>
        <w:r w:rsidR="00EF069D" w:rsidRPr="00EF069D">
          <w:rPr>
            <w:rStyle w:val="Hyperlink"/>
            <w:rFonts w:ascii="David" w:hAnsi="David" w:cs="David"/>
            <w:sz w:val="24"/>
            <w:szCs w:val="24"/>
            <w:rtl/>
          </w:rPr>
          <w:t>115</w:t>
        </w:r>
      </w:hyperlink>
      <w:r w:rsidRPr="003D53E9">
        <w:rPr>
          <w:rFonts w:ascii="David" w:hAnsi="David" w:cs="David"/>
          <w:sz w:val="24"/>
          <w:szCs w:val="24"/>
          <w:rtl/>
        </w:rPr>
        <w:t xml:space="preserve"> לחוק הירושה ועל כן האם זכאית להמשיך ולהתגורר בדירה. בסיכומים עתרו להמשך מגוריה בדירה לעוד 5 שנים ובסיכומי התשובה עתרו ל"מספר שנים ראוי" לפי החלטת בימ"ש.</w:t>
      </w:r>
    </w:p>
    <w:p w14:paraId="6AB629FD" w14:textId="77777777" w:rsidR="004B515E" w:rsidRPr="003D53E9" w:rsidRDefault="004B515E" w:rsidP="003D53E9">
      <w:pPr>
        <w:pStyle w:val="10"/>
        <w:spacing w:after="0" w:line="360" w:lineRule="auto"/>
        <w:ind w:left="567"/>
        <w:jc w:val="both"/>
        <w:rPr>
          <w:rFonts w:ascii="David" w:hAnsi="David" w:cs="David"/>
          <w:sz w:val="24"/>
          <w:szCs w:val="24"/>
        </w:rPr>
      </w:pPr>
    </w:p>
    <w:p w14:paraId="6975B017" w14:textId="77777777" w:rsidR="004B515E" w:rsidRPr="003D53E9" w:rsidRDefault="00EF069D" w:rsidP="003D53E9">
      <w:pPr>
        <w:pStyle w:val="10"/>
        <w:numPr>
          <w:ilvl w:val="0"/>
          <w:numId w:val="1"/>
        </w:numPr>
        <w:spacing w:after="0" w:line="360" w:lineRule="auto"/>
        <w:jc w:val="both"/>
        <w:rPr>
          <w:rFonts w:ascii="David" w:hAnsi="David" w:cs="David"/>
          <w:sz w:val="24"/>
          <w:szCs w:val="24"/>
          <w:rtl/>
        </w:rPr>
      </w:pPr>
      <w:hyperlink r:id="rId28" w:history="1">
        <w:bookmarkStart w:id="34" w:name="Seif33"/>
        <w:r w:rsidRPr="00EF069D">
          <w:rPr>
            <w:rStyle w:val="Hyperlink"/>
            <w:rFonts w:ascii="David" w:hAnsi="David" w:cs="David"/>
            <w:sz w:val="24"/>
            <w:szCs w:val="24"/>
            <w:rtl/>
          </w:rPr>
          <w:t xml:space="preserve">סעיף </w:t>
        </w:r>
        <w:bookmarkEnd w:id="34"/>
        <w:r w:rsidRPr="00EF069D">
          <w:rPr>
            <w:rStyle w:val="Hyperlink"/>
            <w:rFonts w:ascii="David" w:hAnsi="David" w:cs="David"/>
            <w:sz w:val="24"/>
            <w:szCs w:val="24"/>
            <w:rtl/>
          </w:rPr>
          <w:t>115 (א) ו- (ב)</w:t>
        </w:r>
      </w:hyperlink>
      <w:r w:rsidR="00000000" w:rsidRPr="003D53E9">
        <w:rPr>
          <w:rFonts w:ascii="David" w:hAnsi="David" w:cs="David"/>
          <w:sz w:val="24"/>
          <w:szCs w:val="24"/>
          <w:rtl/>
        </w:rPr>
        <w:t xml:space="preserve"> ל</w:t>
      </w:r>
      <w:hyperlink r:id="rId29" w:history="1">
        <w:r w:rsidR="006476EC" w:rsidRPr="006476EC">
          <w:rPr>
            <w:rFonts w:ascii="David" w:hAnsi="David" w:cs="David"/>
            <w:color w:val="0000FF"/>
            <w:sz w:val="24"/>
            <w:szCs w:val="24"/>
            <w:u w:val="single"/>
            <w:rtl/>
          </w:rPr>
          <w:t>חוק הירושה</w:t>
        </w:r>
      </w:hyperlink>
      <w:r w:rsidR="00000000" w:rsidRPr="003D53E9">
        <w:rPr>
          <w:rFonts w:ascii="David" w:hAnsi="David" w:cs="David"/>
          <w:sz w:val="24"/>
          <w:szCs w:val="24"/>
          <w:rtl/>
        </w:rPr>
        <w:t xml:space="preserve"> קובע כדלקמן:</w:t>
      </w:r>
    </w:p>
    <w:p w14:paraId="62F152BF" w14:textId="77777777" w:rsidR="004B515E" w:rsidRDefault="00000000" w:rsidP="003D53E9">
      <w:pPr>
        <w:pStyle w:val="11"/>
        <w:spacing w:line="360" w:lineRule="auto"/>
        <w:ind w:left="567"/>
        <w:jc w:val="both"/>
        <w:rPr>
          <w:rFonts w:ascii="David" w:hAnsi="David"/>
          <w:b/>
          <w:bCs/>
          <w:noProof w:val="0"/>
          <w:rtl/>
        </w:rPr>
      </w:pPr>
      <w:r>
        <w:rPr>
          <w:rFonts w:ascii="David" w:hAnsi="David"/>
          <w:b/>
          <w:bCs/>
          <w:noProof w:val="0"/>
          <w:rtl/>
        </w:rPr>
        <w:t xml:space="preserve">"115. דירת המגורים  </w:t>
      </w:r>
    </w:p>
    <w:p w14:paraId="5F0054E8" w14:textId="77777777" w:rsidR="004B515E" w:rsidRDefault="00000000" w:rsidP="003D53E9">
      <w:pPr>
        <w:spacing w:line="360" w:lineRule="auto"/>
        <w:ind w:left="567" w:right="851"/>
        <w:jc w:val="both"/>
        <w:rPr>
          <w:rFonts w:ascii="David" w:hAnsi="David"/>
          <w:b/>
          <w:bCs/>
        </w:rPr>
      </w:pPr>
      <w:r>
        <w:rPr>
          <w:rFonts w:ascii="David" w:hAnsi="David"/>
          <w:b/>
          <w:bCs/>
          <w:noProof w:val="0"/>
          <w:rtl/>
        </w:rPr>
        <w:t>(א) דירה שהמוריש היה ערב מותו בעלה וגר בה, רשאים בן-זוגו, ילדיו והוריו שהיו גרים בה אותה שעה עם המוריש, להוסיף ולגור בה כשוכרי היורשים שבחלקם נפלה הדירה; דמי השכירות, תקופתה ותנאיה ייקבעו בהסכם בין הנשארים בדירה לבין אותם היורשים, ובאין הסכם ביניהם - על-ידי בית המשפט.</w:t>
      </w:r>
    </w:p>
    <w:p w14:paraId="2AC63B39" w14:textId="77777777" w:rsidR="004B515E" w:rsidRDefault="00000000" w:rsidP="003D53E9">
      <w:pPr>
        <w:spacing w:line="360" w:lineRule="auto"/>
        <w:ind w:left="567" w:right="851"/>
        <w:jc w:val="both"/>
        <w:rPr>
          <w:rFonts w:ascii="David" w:hAnsi="David"/>
          <w:b/>
          <w:bCs/>
          <w:noProof w:val="0"/>
        </w:rPr>
      </w:pPr>
      <w:r>
        <w:rPr>
          <w:rFonts w:ascii="David" w:hAnsi="David"/>
          <w:b/>
          <w:bCs/>
          <w:noProof w:val="0"/>
          <w:rtl/>
        </w:rPr>
        <w:t>(ב) בית המשפט רשאי לקבוע, לפי בקשת היורשים האמורים:</w:t>
      </w:r>
    </w:p>
    <w:p w14:paraId="11DAC59D" w14:textId="77777777" w:rsidR="004B515E" w:rsidRDefault="00000000" w:rsidP="003D53E9">
      <w:pPr>
        <w:spacing w:line="360" w:lineRule="auto"/>
        <w:ind w:left="567" w:right="851"/>
        <w:jc w:val="both"/>
        <w:rPr>
          <w:rFonts w:ascii="David" w:hAnsi="David"/>
          <w:b/>
          <w:bCs/>
          <w:noProof w:val="0"/>
          <w:rtl/>
        </w:rPr>
      </w:pPr>
      <w:r>
        <w:rPr>
          <w:rFonts w:ascii="David" w:hAnsi="David"/>
          <w:b/>
          <w:bCs/>
          <w:noProof w:val="0"/>
          <w:rtl/>
        </w:rPr>
        <w:t>(1) שיוסיפו לגור בדירה רק אלה שאין להם דירה אחרת למגורים;</w:t>
      </w:r>
    </w:p>
    <w:p w14:paraId="10DBCB97" w14:textId="77777777" w:rsidR="004B515E" w:rsidRDefault="00000000" w:rsidP="003D53E9">
      <w:pPr>
        <w:spacing w:line="360" w:lineRule="auto"/>
        <w:ind w:left="567" w:right="851"/>
        <w:jc w:val="both"/>
        <w:rPr>
          <w:rFonts w:ascii="David" w:hAnsi="David"/>
          <w:b/>
          <w:bCs/>
          <w:noProof w:val="0"/>
          <w:rtl/>
        </w:rPr>
      </w:pPr>
      <w:r>
        <w:rPr>
          <w:rFonts w:ascii="David" w:hAnsi="David"/>
          <w:b/>
          <w:bCs/>
          <w:noProof w:val="0"/>
          <w:rtl/>
        </w:rPr>
        <w:t>(2) שהנשארים בדירה יוסיפו לגור רק ב</w:t>
      </w:r>
      <w:bookmarkStart w:id="35" w:name="Seif76"/>
      <w:r>
        <w:rPr>
          <w:rFonts w:ascii="David" w:hAnsi="David"/>
          <w:b/>
          <w:bCs/>
          <w:noProof w:val="0"/>
          <w:rtl/>
        </w:rPr>
        <w:t xml:space="preserve">חלק מן </w:t>
      </w:r>
      <w:bookmarkEnd w:id="35"/>
      <w:r>
        <w:rPr>
          <w:rFonts w:ascii="David" w:hAnsi="David"/>
          <w:b/>
          <w:bCs/>
          <w:noProof w:val="0"/>
          <w:rtl/>
        </w:rPr>
        <w:t>הדירה, ובלבד ש</w:t>
      </w:r>
      <w:bookmarkStart w:id="36" w:name="Seif77"/>
      <w:r>
        <w:rPr>
          <w:rFonts w:ascii="David" w:hAnsi="David"/>
          <w:b/>
          <w:bCs/>
          <w:noProof w:val="0"/>
          <w:rtl/>
        </w:rPr>
        <w:t xml:space="preserve">חלק זה </w:t>
      </w:r>
      <w:bookmarkEnd w:id="36"/>
      <w:r>
        <w:rPr>
          <w:rFonts w:ascii="David" w:hAnsi="David"/>
          <w:b/>
          <w:bCs/>
          <w:noProof w:val="0"/>
          <w:rtl/>
        </w:rPr>
        <w:t>יכלול את המטבח וחדרי-השירות, אם ישנם."</w:t>
      </w:r>
    </w:p>
    <w:p w14:paraId="5B1E1222" w14:textId="77777777" w:rsidR="004B515E" w:rsidRDefault="004B515E" w:rsidP="003D53E9">
      <w:pPr>
        <w:pStyle w:val="10"/>
        <w:snapToGrid w:val="0"/>
        <w:spacing w:after="0" w:line="360" w:lineRule="auto"/>
        <w:ind w:left="-58"/>
        <w:jc w:val="both"/>
        <w:rPr>
          <w:rFonts w:ascii="David" w:hAnsi="David" w:cs="David"/>
          <w:sz w:val="24"/>
          <w:szCs w:val="24"/>
        </w:rPr>
      </w:pPr>
    </w:p>
    <w:p w14:paraId="2BAA779F" w14:textId="77777777" w:rsidR="004B515E" w:rsidRDefault="00EF069D" w:rsidP="003D53E9">
      <w:pPr>
        <w:pStyle w:val="10"/>
        <w:numPr>
          <w:ilvl w:val="0"/>
          <w:numId w:val="1"/>
        </w:numPr>
        <w:spacing w:after="0" w:line="360" w:lineRule="auto"/>
        <w:jc w:val="both"/>
        <w:rPr>
          <w:rFonts w:ascii="David" w:hAnsi="David" w:cs="David"/>
          <w:sz w:val="24"/>
          <w:szCs w:val="24"/>
        </w:rPr>
      </w:pPr>
      <w:hyperlink r:id="rId30" w:history="1">
        <w:bookmarkStart w:id="37" w:name="Seif34"/>
        <w:r w:rsidRPr="00EF069D">
          <w:rPr>
            <w:rStyle w:val="Hyperlink"/>
            <w:rFonts w:ascii="David" w:hAnsi="David" w:cs="David"/>
            <w:sz w:val="24"/>
            <w:szCs w:val="24"/>
            <w:rtl/>
          </w:rPr>
          <w:t xml:space="preserve">סעיף </w:t>
        </w:r>
        <w:bookmarkEnd w:id="37"/>
        <w:r w:rsidRPr="00EF069D">
          <w:rPr>
            <w:rStyle w:val="Hyperlink"/>
            <w:rFonts w:ascii="David" w:hAnsi="David" w:cs="David"/>
            <w:sz w:val="24"/>
            <w:szCs w:val="24"/>
            <w:rtl/>
          </w:rPr>
          <w:t>115</w:t>
        </w:r>
      </w:hyperlink>
      <w:r w:rsidR="00000000">
        <w:rPr>
          <w:rFonts w:ascii="David" w:hAnsi="David" w:cs="David"/>
          <w:sz w:val="24"/>
          <w:szCs w:val="24"/>
          <w:rtl/>
        </w:rPr>
        <w:t xml:space="preserve"> ל</w:t>
      </w:r>
      <w:hyperlink r:id="rId31" w:history="1">
        <w:r w:rsidR="006476EC" w:rsidRPr="006476EC">
          <w:rPr>
            <w:rFonts w:ascii="David" w:hAnsi="David" w:cs="David"/>
            <w:color w:val="0000FF"/>
            <w:sz w:val="24"/>
            <w:szCs w:val="24"/>
            <w:u w:val="single"/>
            <w:rtl/>
          </w:rPr>
          <w:t>חוק הירושה</w:t>
        </w:r>
      </w:hyperlink>
      <w:r w:rsidR="00000000">
        <w:rPr>
          <w:rFonts w:ascii="David" w:hAnsi="David" w:cs="David"/>
          <w:sz w:val="24"/>
          <w:szCs w:val="24"/>
          <w:rtl/>
        </w:rPr>
        <w:t xml:space="preserve"> קובע כי דירה שהמוריש דירה שהמוריש היה ערב מותו בעלה וגר בה – כפי שהיה בענייננו לגבי המנוח, רשאי בן הזוג שגר עימו באותה העת – בענייננו הנתבעת - להוסיף ולגור בה כשוכרי היורשים שבחלקם נפלה הדירה.</w:t>
      </w:r>
    </w:p>
    <w:p w14:paraId="45BBDD5D" w14:textId="77777777" w:rsidR="004B515E" w:rsidRDefault="004B515E" w:rsidP="003D53E9">
      <w:pPr>
        <w:pStyle w:val="10"/>
        <w:spacing w:after="0" w:line="360" w:lineRule="auto"/>
        <w:ind w:left="567"/>
        <w:jc w:val="both"/>
        <w:rPr>
          <w:rFonts w:ascii="David" w:hAnsi="David" w:cs="David"/>
          <w:sz w:val="24"/>
          <w:szCs w:val="24"/>
        </w:rPr>
      </w:pPr>
    </w:p>
    <w:p w14:paraId="53280104"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sz w:val="24"/>
          <w:szCs w:val="24"/>
          <w:rtl/>
        </w:rPr>
        <w:t xml:space="preserve">שני התנאים הראשונים והמהותיים הקבועים </w:t>
      </w:r>
      <w:hyperlink r:id="rId32" w:history="1">
        <w:r w:rsidR="00EF069D" w:rsidRPr="00EF069D">
          <w:rPr>
            <w:rStyle w:val="Hyperlink"/>
            <w:rFonts w:ascii="David" w:hAnsi="David" w:cs="David"/>
            <w:sz w:val="24"/>
            <w:szCs w:val="24"/>
            <w:rtl/>
          </w:rPr>
          <w:t>ב</w:t>
        </w:r>
        <w:bookmarkStart w:id="38" w:name="Seif35"/>
        <w:r w:rsidR="00EF069D" w:rsidRPr="00EF069D">
          <w:rPr>
            <w:rStyle w:val="Hyperlink"/>
            <w:rFonts w:ascii="David" w:hAnsi="David" w:cs="David"/>
            <w:sz w:val="24"/>
            <w:szCs w:val="24"/>
            <w:rtl/>
          </w:rPr>
          <w:t xml:space="preserve">סעיף </w:t>
        </w:r>
        <w:bookmarkEnd w:id="38"/>
        <w:r w:rsidR="00EF069D" w:rsidRPr="00EF069D">
          <w:rPr>
            <w:rStyle w:val="Hyperlink"/>
            <w:rFonts w:ascii="David" w:hAnsi="David" w:cs="David"/>
            <w:sz w:val="24"/>
            <w:szCs w:val="24"/>
            <w:rtl/>
          </w:rPr>
          <w:t>115</w:t>
        </w:r>
      </w:hyperlink>
      <w:r>
        <w:rPr>
          <w:rFonts w:ascii="David" w:hAnsi="David" w:cs="David"/>
          <w:sz w:val="24"/>
          <w:szCs w:val="24"/>
          <w:rtl/>
        </w:rPr>
        <w:t xml:space="preserve"> ל</w:t>
      </w:r>
      <w:hyperlink r:id="rId33" w:history="1">
        <w:r w:rsidR="006476EC" w:rsidRPr="006476EC">
          <w:rPr>
            <w:rFonts w:ascii="David" w:hAnsi="David" w:cs="David"/>
            <w:color w:val="0000FF"/>
            <w:sz w:val="24"/>
            <w:szCs w:val="24"/>
            <w:u w:val="single"/>
            <w:rtl/>
          </w:rPr>
          <w:t>חוק הירושה</w:t>
        </w:r>
      </w:hyperlink>
      <w:r>
        <w:rPr>
          <w:rFonts w:ascii="David" w:hAnsi="David" w:cs="David"/>
          <w:sz w:val="24"/>
          <w:szCs w:val="24"/>
          <w:rtl/>
        </w:rPr>
        <w:t xml:space="preserve"> מתקיימים בענייננו. </w:t>
      </w:r>
    </w:p>
    <w:p w14:paraId="40BBD430" w14:textId="77777777" w:rsidR="004B515E" w:rsidRDefault="004B515E" w:rsidP="003D53E9">
      <w:pPr>
        <w:pStyle w:val="10"/>
        <w:spacing w:after="0" w:line="360" w:lineRule="auto"/>
        <w:rPr>
          <w:rFonts w:ascii="David" w:hAnsi="David" w:cs="David"/>
          <w:sz w:val="24"/>
          <w:szCs w:val="24"/>
        </w:rPr>
      </w:pPr>
    </w:p>
    <w:p w14:paraId="00C81832"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האם והמנוח היו נשואים זה לזה במהלך נישואיהם ומאז שנת 1967 התגוררו יחד בדירה. בעת פטירת המנוח הייתה הדירה בבעלותם המשותפת של המנוח ושל האם ב</w:t>
      </w:r>
      <w:bookmarkStart w:id="39" w:name="Seif93"/>
      <w:r>
        <w:rPr>
          <w:rFonts w:ascii="David" w:hAnsi="David" w:cs="David"/>
          <w:sz w:val="24"/>
          <w:szCs w:val="24"/>
          <w:rtl/>
        </w:rPr>
        <w:t xml:space="preserve">חלקים </w:t>
      </w:r>
      <w:bookmarkEnd w:id="39"/>
      <w:r>
        <w:rPr>
          <w:rFonts w:ascii="David" w:hAnsi="David" w:cs="David"/>
          <w:sz w:val="24"/>
          <w:szCs w:val="24"/>
          <w:rtl/>
        </w:rPr>
        <w:t xml:space="preserve">שווים. לאחר רישום צו הירושה (ורק לאחר פתיחת הליך זה) האם הינה בעלת 3/4 מהזכויות בה וכ"א מילדיה בעל 1/8 מהזכויות. </w:t>
      </w:r>
    </w:p>
    <w:p w14:paraId="1754F914" w14:textId="77777777" w:rsidR="004B515E" w:rsidRDefault="004B515E" w:rsidP="003D53E9">
      <w:pPr>
        <w:pStyle w:val="10"/>
        <w:spacing w:after="0" w:line="360" w:lineRule="auto"/>
        <w:ind w:left="567"/>
        <w:jc w:val="both"/>
        <w:rPr>
          <w:rFonts w:ascii="David" w:hAnsi="David" w:cs="David"/>
          <w:sz w:val="24"/>
          <w:szCs w:val="24"/>
        </w:rPr>
      </w:pPr>
    </w:p>
    <w:p w14:paraId="31E42F9C"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sz w:val="24"/>
          <w:szCs w:val="24"/>
          <w:rtl/>
        </w:rPr>
        <w:t xml:space="preserve">בהתאם </w:t>
      </w:r>
      <w:hyperlink r:id="rId34" w:history="1">
        <w:r w:rsidR="00EF069D" w:rsidRPr="00EF069D">
          <w:rPr>
            <w:rStyle w:val="Hyperlink"/>
            <w:rFonts w:ascii="David" w:hAnsi="David" w:cs="David"/>
            <w:sz w:val="24"/>
            <w:szCs w:val="24"/>
            <w:rtl/>
          </w:rPr>
          <w:t>ל</w:t>
        </w:r>
        <w:bookmarkStart w:id="40" w:name="Seif36"/>
        <w:r w:rsidR="00EF069D" w:rsidRPr="00EF069D">
          <w:rPr>
            <w:rStyle w:val="Hyperlink"/>
            <w:rFonts w:ascii="David" w:hAnsi="David" w:cs="David"/>
            <w:sz w:val="24"/>
            <w:szCs w:val="24"/>
            <w:rtl/>
          </w:rPr>
          <w:t xml:space="preserve">סעיף </w:t>
        </w:r>
        <w:bookmarkEnd w:id="40"/>
        <w:r w:rsidR="00EF069D" w:rsidRPr="00EF069D">
          <w:rPr>
            <w:rStyle w:val="Hyperlink"/>
            <w:rFonts w:ascii="David" w:hAnsi="David" w:cs="David"/>
            <w:sz w:val="24"/>
            <w:szCs w:val="24"/>
            <w:rtl/>
          </w:rPr>
          <w:t>115</w:t>
        </w:r>
      </w:hyperlink>
      <w:r>
        <w:rPr>
          <w:rFonts w:ascii="David" w:hAnsi="David" w:cs="David"/>
          <w:sz w:val="24"/>
          <w:szCs w:val="24"/>
          <w:rtl/>
        </w:rPr>
        <w:t xml:space="preserve"> ל</w:t>
      </w:r>
      <w:hyperlink r:id="rId35" w:history="1">
        <w:r w:rsidR="006476EC" w:rsidRPr="006476EC">
          <w:rPr>
            <w:rFonts w:ascii="David" w:hAnsi="David" w:cs="David"/>
            <w:color w:val="0000FF"/>
            <w:sz w:val="24"/>
            <w:szCs w:val="24"/>
            <w:u w:val="single"/>
            <w:rtl/>
          </w:rPr>
          <w:t>חוק הירושה</w:t>
        </w:r>
      </w:hyperlink>
      <w:r>
        <w:rPr>
          <w:rFonts w:ascii="David" w:hAnsi="David" w:cs="David"/>
          <w:sz w:val="24"/>
          <w:szCs w:val="24"/>
          <w:rtl/>
        </w:rPr>
        <w:t xml:space="preserve"> בנסיבות הללו זכאית האם להוסיף ולגור בדירה כשוכרת של היורשים שבחלקם נפלה הדירה, בענייננו התובע והנתבעת 2. הנתבעת 2 אינה מבקשת את חלקה מהאם. </w:t>
      </w:r>
    </w:p>
    <w:p w14:paraId="1A03539F" w14:textId="77777777" w:rsidR="004B515E" w:rsidRDefault="004B515E" w:rsidP="003D53E9">
      <w:pPr>
        <w:pStyle w:val="10"/>
        <w:rPr>
          <w:rFonts w:ascii="David" w:hAnsi="David" w:cs="David"/>
          <w:sz w:val="24"/>
          <w:szCs w:val="24"/>
        </w:rPr>
      </w:pPr>
    </w:p>
    <w:p w14:paraId="0CABB1BA"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מאחר ודמי השכירות, תקופתה ותנאיה לא נקבעו על ידי הצדדים – על בית המשפט לקבוע את התנאים הללו. </w:t>
      </w:r>
    </w:p>
    <w:p w14:paraId="31CDD5D2" w14:textId="77777777" w:rsidR="004B515E" w:rsidRDefault="004B515E" w:rsidP="003D53E9">
      <w:pPr>
        <w:pStyle w:val="10"/>
        <w:spacing w:after="0" w:line="360" w:lineRule="auto"/>
        <w:ind w:left="567"/>
        <w:jc w:val="both"/>
        <w:rPr>
          <w:rFonts w:ascii="David" w:hAnsi="David" w:cs="David"/>
          <w:sz w:val="24"/>
          <w:szCs w:val="24"/>
        </w:rPr>
      </w:pPr>
    </w:p>
    <w:p w14:paraId="40909FAF"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sz w:val="24"/>
          <w:szCs w:val="24"/>
          <w:rtl/>
        </w:rPr>
        <w:t xml:space="preserve">יצויין כי בסיכומי שני הצדדים לא הייתה התייחסות ישירה לשווי דמי השכירות המבוקש/ הנדרש בהתקיימות תנאי </w:t>
      </w:r>
      <w:hyperlink r:id="rId36" w:history="1">
        <w:bookmarkStart w:id="41" w:name="Seif37"/>
        <w:r w:rsidR="00EF069D" w:rsidRPr="00EF069D">
          <w:rPr>
            <w:rStyle w:val="Hyperlink"/>
            <w:rFonts w:ascii="David" w:hAnsi="David" w:cs="David"/>
            <w:sz w:val="24"/>
            <w:szCs w:val="24"/>
            <w:rtl/>
          </w:rPr>
          <w:t xml:space="preserve">סעיף </w:t>
        </w:r>
        <w:bookmarkEnd w:id="41"/>
        <w:r w:rsidR="00EF069D" w:rsidRPr="00EF069D">
          <w:rPr>
            <w:rStyle w:val="Hyperlink"/>
            <w:rFonts w:ascii="David" w:hAnsi="David" w:cs="David"/>
            <w:sz w:val="24"/>
            <w:szCs w:val="24"/>
            <w:rtl/>
          </w:rPr>
          <w:t>115</w:t>
        </w:r>
      </w:hyperlink>
      <w:r>
        <w:rPr>
          <w:rFonts w:ascii="David" w:hAnsi="David" w:cs="David"/>
          <w:sz w:val="24"/>
          <w:szCs w:val="24"/>
          <w:rtl/>
        </w:rPr>
        <w:t xml:space="preserve"> ל</w:t>
      </w:r>
      <w:hyperlink r:id="rId37" w:history="1">
        <w:r w:rsidR="006476EC" w:rsidRPr="006476EC">
          <w:rPr>
            <w:rFonts w:ascii="David" w:hAnsi="David" w:cs="David"/>
            <w:color w:val="0000FF"/>
            <w:sz w:val="24"/>
            <w:szCs w:val="24"/>
            <w:u w:val="single"/>
            <w:rtl/>
          </w:rPr>
          <w:t>חוק הירושה</w:t>
        </w:r>
      </w:hyperlink>
      <w:r>
        <w:rPr>
          <w:rFonts w:ascii="David" w:hAnsi="David" w:cs="David"/>
          <w:sz w:val="24"/>
          <w:szCs w:val="24"/>
          <w:rtl/>
        </w:rPr>
        <w:t xml:space="preserve">. גם בבקשה שהגיש התובע (בקשה 6) הוא ביקש מינוי שמאי לצורכי מו"מ ולצורך שווי </w:t>
      </w:r>
      <w:bookmarkStart w:id="42" w:name="Seif100"/>
      <w:r>
        <w:rPr>
          <w:rFonts w:ascii="David" w:hAnsi="David" w:cs="David"/>
          <w:sz w:val="24"/>
          <w:szCs w:val="24"/>
          <w:rtl/>
        </w:rPr>
        <w:t xml:space="preserve">כלל הדירה </w:t>
      </w:r>
      <w:bookmarkEnd w:id="42"/>
      <w:r>
        <w:rPr>
          <w:rFonts w:ascii="David" w:hAnsi="David" w:cs="David"/>
          <w:sz w:val="24"/>
          <w:szCs w:val="24"/>
          <w:rtl/>
        </w:rPr>
        <w:t xml:space="preserve">ולא שכירות. לטענת הנתבעות </w:t>
      </w:r>
      <w:r>
        <w:rPr>
          <w:rFonts w:ascii="David" w:hAnsi="David" w:cs="David"/>
          <w:sz w:val="24"/>
          <w:szCs w:val="24"/>
          <w:rtl/>
        </w:rPr>
        <w:lastRenderedPageBreak/>
        <w:t xml:space="preserve">בפרוט' הדיון מיום 3.4.23 (עמ' 3 שורות 13-16) שכירות עבור חלקו של התובע היא בסך של כ-1,000 ₪ לחודש, כאשר ציינו כי להערכתן ששכ"ד הוא בין 8,000-9,000 ₪ לחודש. התובע לא </w:t>
      </w:r>
      <w:bookmarkStart w:id="43" w:name="Seif78"/>
      <w:r>
        <w:rPr>
          <w:rFonts w:ascii="David" w:hAnsi="David" w:cs="David"/>
          <w:sz w:val="24"/>
          <w:szCs w:val="24"/>
          <w:rtl/>
        </w:rPr>
        <w:t xml:space="preserve">חלק על </w:t>
      </w:r>
      <w:bookmarkEnd w:id="43"/>
      <w:r>
        <w:rPr>
          <w:rFonts w:ascii="David" w:hAnsi="David" w:cs="David"/>
          <w:sz w:val="24"/>
          <w:szCs w:val="24"/>
          <w:rtl/>
        </w:rPr>
        <w:t xml:space="preserve">נתונים אלה. למעשה מאחר והוא טוען כי </w:t>
      </w:r>
      <w:hyperlink r:id="rId38" w:history="1">
        <w:bookmarkStart w:id="44" w:name="Seif38"/>
        <w:r w:rsidR="00EF069D" w:rsidRPr="00EF069D">
          <w:rPr>
            <w:rStyle w:val="Hyperlink"/>
            <w:rFonts w:ascii="David" w:hAnsi="David" w:cs="David"/>
            <w:sz w:val="24"/>
            <w:szCs w:val="24"/>
            <w:rtl/>
          </w:rPr>
          <w:t xml:space="preserve">סעיף </w:t>
        </w:r>
        <w:bookmarkEnd w:id="44"/>
        <w:r w:rsidR="00EF069D" w:rsidRPr="00EF069D">
          <w:rPr>
            <w:rStyle w:val="Hyperlink"/>
            <w:rFonts w:ascii="David" w:hAnsi="David" w:cs="David"/>
            <w:sz w:val="24"/>
            <w:szCs w:val="24"/>
            <w:rtl/>
          </w:rPr>
          <w:t>115</w:t>
        </w:r>
      </w:hyperlink>
      <w:r>
        <w:rPr>
          <w:rFonts w:ascii="David" w:hAnsi="David" w:cs="David"/>
          <w:sz w:val="24"/>
          <w:szCs w:val="24"/>
          <w:rtl/>
        </w:rPr>
        <w:t xml:space="preserve"> ל</w:t>
      </w:r>
      <w:hyperlink r:id="rId39" w:history="1">
        <w:r w:rsidR="006476EC" w:rsidRPr="006476EC">
          <w:rPr>
            <w:rFonts w:ascii="David" w:hAnsi="David" w:cs="David"/>
            <w:color w:val="0000FF"/>
            <w:sz w:val="24"/>
            <w:szCs w:val="24"/>
            <w:u w:val="single"/>
            <w:rtl/>
          </w:rPr>
          <w:t>חוק הירושה</w:t>
        </w:r>
      </w:hyperlink>
      <w:r>
        <w:rPr>
          <w:rFonts w:ascii="David" w:hAnsi="David" w:cs="David"/>
          <w:sz w:val="24"/>
          <w:szCs w:val="24"/>
          <w:rtl/>
        </w:rPr>
        <w:t xml:space="preserve"> אינו מתקיים ולכל היותר יש לראות כבר בתקופת המגורים כעונה על ה</w:t>
      </w:r>
      <w:bookmarkStart w:id="45" w:name="Seif39"/>
      <w:r>
        <w:rPr>
          <w:rFonts w:ascii="David" w:hAnsi="David" w:cs="David"/>
          <w:sz w:val="24"/>
          <w:szCs w:val="24"/>
          <w:rtl/>
        </w:rPr>
        <w:t xml:space="preserve">סעיף, </w:t>
      </w:r>
      <w:bookmarkEnd w:id="45"/>
      <w:r>
        <w:rPr>
          <w:rFonts w:ascii="David" w:hAnsi="David" w:cs="David"/>
          <w:sz w:val="24"/>
          <w:szCs w:val="24"/>
          <w:rtl/>
        </w:rPr>
        <w:t>לא הרחיב בנימוקיו את התקיימות או העדר התקיימות תנאי ה</w:t>
      </w:r>
      <w:bookmarkStart w:id="46" w:name="Seif40"/>
      <w:r>
        <w:rPr>
          <w:rFonts w:ascii="David" w:hAnsi="David" w:cs="David"/>
          <w:sz w:val="24"/>
          <w:szCs w:val="24"/>
          <w:rtl/>
        </w:rPr>
        <w:t>סעיף.</w:t>
      </w:r>
      <w:bookmarkEnd w:id="46"/>
    </w:p>
    <w:p w14:paraId="074ADC39" w14:textId="77777777" w:rsidR="004B515E" w:rsidRDefault="004B515E" w:rsidP="003D53E9">
      <w:pPr>
        <w:pStyle w:val="10"/>
        <w:rPr>
          <w:rFonts w:ascii="David" w:hAnsi="David" w:cs="David"/>
          <w:sz w:val="24"/>
          <w:szCs w:val="24"/>
        </w:rPr>
      </w:pPr>
    </w:p>
    <w:p w14:paraId="5DEF3831"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בהחלטה מיום 13.6.2023 נקבע כי הנתבעת תשלם לתובע עבור חלקו בדירה סך של 1,125 ₪. איש מהצדדים לא התייחס להחלטה זו מעת שניתנה וגם לא בסיכומים. </w:t>
      </w:r>
    </w:p>
    <w:p w14:paraId="3D4BA690" w14:textId="77777777" w:rsidR="004B515E" w:rsidRDefault="004B515E" w:rsidP="003D53E9">
      <w:pPr>
        <w:pStyle w:val="10"/>
        <w:rPr>
          <w:rFonts w:ascii="David" w:hAnsi="David" w:cs="David"/>
          <w:sz w:val="24"/>
          <w:szCs w:val="24"/>
        </w:rPr>
      </w:pPr>
    </w:p>
    <w:p w14:paraId="1A41B855" w14:textId="77777777" w:rsidR="004B515E" w:rsidRPr="00CD557F" w:rsidRDefault="00000000" w:rsidP="003D53E9">
      <w:pPr>
        <w:pStyle w:val="10"/>
        <w:numPr>
          <w:ilvl w:val="0"/>
          <w:numId w:val="1"/>
        </w:numPr>
        <w:spacing w:after="0" w:line="360" w:lineRule="auto"/>
        <w:jc w:val="both"/>
        <w:rPr>
          <w:rFonts w:ascii="David" w:hAnsi="David" w:cs="David"/>
          <w:sz w:val="24"/>
          <w:szCs w:val="24"/>
          <w:rtl/>
        </w:rPr>
      </w:pPr>
      <w:r w:rsidRPr="00CD557F">
        <w:rPr>
          <w:rFonts w:ascii="David" w:hAnsi="David" w:cs="David"/>
          <w:sz w:val="24"/>
          <w:szCs w:val="24"/>
          <w:rtl/>
        </w:rPr>
        <w:t>בתצע"ר של הנתבעת היא פירטה על ניסיונותיה ורצונה להמשיך להתגורר בדירה:</w:t>
      </w:r>
    </w:p>
    <w:p w14:paraId="66495C6F" w14:textId="77777777" w:rsidR="004B515E" w:rsidRDefault="004B515E" w:rsidP="003D53E9">
      <w:pPr>
        <w:pStyle w:val="10"/>
        <w:rPr>
          <w:rFonts w:ascii="David" w:hAnsi="David" w:cs="David"/>
          <w:sz w:val="24"/>
          <w:szCs w:val="24"/>
        </w:rPr>
      </w:pPr>
    </w:p>
    <w:p w14:paraId="276BFA13" w14:textId="43723FE8" w:rsidR="004B515E" w:rsidRDefault="003D78C8" w:rsidP="003D53E9">
      <w:pPr>
        <w:pStyle w:val="10"/>
        <w:spacing w:after="0" w:line="360" w:lineRule="auto"/>
        <w:ind w:left="567"/>
        <w:jc w:val="both"/>
        <w:rPr>
          <w:rFonts w:ascii="David" w:hAnsi="David" w:cs="David"/>
          <w:sz w:val="24"/>
          <w:szCs w:val="24"/>
        </w:rPr>
      </w:pPr>
      <w:r>
        <w:rPr>
          <w:rFonts w:ascii="David" w:hAnsi="David" w:cs="David"/>
          <w:noProof/>
          <w:sz w:val="24"/>
          <w:szCs w:val="24"/>
        </w:rPr>
        <w:drawing>
          <wp:inline distT="0" distB="0" distL="0" distR="0" wp14:anchorId="7EC97B7E" wp14:editId="4F1067FD">
            <wp:extent cx="4524375" cy="1762125"/>
            <wp:effectExtent l="0" t="0" r="0" b="0"/>
            <wp:docPr id="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24375" cy="1762125"/>
                    </a:xfrm>
                    <a:prstGeom prst="rect">
                      <a:avLst/>
                    </a:prstGeom>
                    <a:noFill/>
                    <a:ln>
                      <a:noFill/>
                    </a:ln>
                  </pic:spPr>
                </pic:pic>
              </a:graphicData>
            </a:graphic>
          </wp:inline>
        </w:drawing>
      </w:r>
    </w:p>
    <w:p w14:paraId="74656605"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sz w:val="24"/>
          <w:szCs w:val="24"/>
          <w:rtl/>
        </w:rPr>
        <w:t xml:space="preserve">הצעות אלה כולן לא הבשילו להסכמות והן מובאות כאן על מנת להראות לא </w:t>
      </w:r>
      <w:bookmarkStart w:id="47" w:name="Seif79"/>
      <w:r>
        <w:rPr>
          <w:rFonts w:ascii="David" w:hAnsi="David" w:cs="David"/>
          <w:sz w:val="24"/>
          <w:szCs w:val="24"/>
          <w:rtl/>
        </w:rPr>
        <w:t>חלק ממו</w:t>
      </w:r>
      <w:bookmarkEnd w:id="47"/>
      <w:r>
        <w:rPr>
          <w:rFonts w:ascii="David" w:hAnsi="David" w:cs="David"/>
          <w:sz w:val="24"/>
          <w:szCs w:val="24"/>
          <w:rtl/>
        </w:rPr>
        <w:t xml:space="preserve">"מ בין הצדדים, מדובר בהצעה מפורשת של האם מציגה ולא </w:t>
      </w:r>
      <w:bookmarkStart w:id="48" w:name="Seif80"/>
      <w:r>
        <w:rPr>
          <w:rFonts w:ascii="David" w:hAnsi="David" w:cs="David"/>
          <w:sz w:val="24"/>
          <w:szCs w:val="24"/>
          <w:rtl/>
        </w:rPr>
        <w:t>חלק ממו</w:t>
      </w:r>
      <w:bookmarkEnd w:id="48"/>
      <w:r>
        <w:rPr>
          <w:rFonts w:ascii="David" w:hAnsi="David" w:cs="David"/>
          <w:sz w:val="24"/>
          <w:szCs w:val="24"/>
          <w:rtl/>
        </w:rPr>
        <w:t xml:space="preserve">"מ. הדברים מובאים על מנת להראות את ניסיונה של הנתבעת כמעט בכל מחיר להישאר בדירת מגוריה. </w:t>
      </w:r>
    </w:p>
    <w:p w14:paraId="7107B3B7" w14:textId="77777777" w:rsidR="004B515E" w:rsidRDefault="004B515E" w:rsidP="003D53E9">
      <w:pPr>
        <w:pStyle w:val="10"/>
        <w:spacing w:after="0" w:line="360" w:lineRule="auto"/>
        <w:ind w:left="567"/>
        <w:jc w:val="both"/>
        <w:rPr>
          <w:rFonts w:ascii="David" w:hAnsi="David" w:cs="David"/>
          <w:sz w:val="24"/>
          <w:szCs w:val="24"/>
        </w:rPr>
      </w:pPr>
    </w:p>
    <w:p w14:paraId="4F8674E2"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sz w:val="24"/>
          <w:szCs w:val="24"/>
          <w:rtl/>
        </w:rPr>
        <w:t xml:space="preserve">הדירה היא בגודל של 62 מ"ר. מתגוררים בה כעת הנתבעת ובן זוגה מזה שנים ארוכות – לגבי שניהם חזר התובע שוב ושוב בחקירתו כי אינו מבקש לפנותם. אין מדובר בגודל דירה שניתן לחלקו בעין ולאפשר לתובע עם משפחתו מגורים עם הנתבעת. התובע גם לא ביקש זאת. </w:t>
      </w:r>
    </w:p>
    <w:p w14:paraId="743ED040" w14:textId="77777777" w:rsidR="004B515E" w:rsidRDefault="004B515E" w:rsidP="003D53E9">
      <w:pPr>
        <w:pStyle w:val="10"/>
        <w:rPr>
          <w:rFonts w:ascii="David" w:hAnsi="David" w:cs="David"/>
          <w:sz w:val="24"/>
          <w:szCs w:val="24"/>
        </w:rPr>
      </w:pPr>
    </w:p>
    <w:p w14:paraId="28C81266"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דירת המגורים היא דירת המגורים היחידה של הנתבעת. אין לנתבעת נכס אחר שיכול לשמש למגוריה. הנתבעת גם שכנעה בחקירתה ובתצע"ר כי אין לה נכסים אחרים שאותם היא יכולה לפדות והמגורים בדירה מהווים עבורה </w:t>
      </w:r>
      <w:bookmarkStart w:id="49" w:name="Seif81"/>
      <w:r>
        <w:rPr>
          <w:rFonts w:ascii="David" w:hAnsi="David" w:cs="David"/>
          <w:sz w:val="24"/>
          <w:szCs w:val="24"/>
          <w:rtl/>
        </w:rPr>
        <w:t xml:space="preserve">חלק מזכויות </w:t>
      </w:r>
      <w:bookmarkEnd w:id="49"/>
      <w:r>
        <w:rPr>
          <w:rFonts w:ascii="David" w:hAnsi="David" w:cs="David"/>
          <w:sz w:val="24"/>
          <w:szCs w:val="24"/>
          <w:rtl/>
        </w:rPr>
        <w:t xml:space="preserve">האדם הבסיסיות שלה בגילה, במצבה הרפואי, בכך שמדובר בנכס העיקרי והיחיד של הנתבעת ושל המנוח ומגוריה בדירה משנת 1967. התובע במקום להתמודד עם טענות אלה השיב להן שוב ושוב כי מדובר ב"טענות אווירה", טענות שנועדו ליצור אמפתיה של בימ"ש אך חסרות תוקף משפטי. אין בידי לקבל טענה זו. </w:t>
      </w:r>
      <w:bookmarkStart w:id="50" w:name="Seif82"/>
      <w:r>
        <w:rPr>
          <w:rFonts w:ascii="David" w:hAnsi="David" w:cs="David"/>
          <w:sz w:val="24"/>
          <w:szCs w:val="24"/>
          <w:rtl/>
        </w:rPr>
        <w:t xml:space="preserve">חלק מהשיקולים </w:t>
      </w:r>
      <w:bookmarkEnd w:id="50"/>
      <w:r>
        <w:rPr>
          <w:rFonts w:ascii="David" w:hAnsi="David" w:cs="David"/>
          <w:sz w:val="24"/>
          <w:szCs w:val="24"/>
          <w:rtl/>
        </w:rPr>
        <w:t xml:space="preserve">שעל בית המשפט לשקול בהתאם </w:t>
      </w:r>
      <w:hyperlink r:id="rId41" w:history="1">
        <w:r w:rsidR="00EF069D" w:rsidRPr="00EF069D">
          <w:rPr>
            <w:rStyle w:val="Hyperlink"/>
            <w:rFonts w:ascii="David" w:hAnsi="David" w:cs="David"/>
            <w:sz w:val="24"/>
            <w:szCs w:val="24"/>
            <w:rtl/>
          </w:rPr>
          <w:t>ל</w:t>
        </w:r>
        <w:bookmarkStart w:id="51" w:name="Seif41"/>
        <w:r w:rsidR="00EF069D" w:rsidRPr="00EF069D">
          <w:rPr>
            <w:rStyle w:val="Hyperlink"/>
            <w:rFonts w:ascii="David" w:hAnsi="David" w:cs="David"/>
            <w:sz w:val="24"/>
            <w:szCs w:val="24"/>
            <w:rtl/>
          </w:rPr>
          <w:t xml:space="preserve">סעיף </w:t>
        </w:r>
        <w:bookmarkEnd w:id="51"/>
        <w:r w:rsidR="00EF069D" w:rsidRPr="00EF069D">
          <w:rPr>
            <w:rStyle w:val="Hyperlink"/>
            <w:rFonts w:ascii="David" w:hAnsi="David" w:cs="David"/>
            <w:sz w:val="24"/>
            <w:szCs w:val="24"/>
            <w:rtl/>
          </w:rPr>
          <w:t>115</w:t>
        </w:r>
      </w:hyperlink>
      <w:r>
        <w:rPr>
          <w:rFonts w:ascii="David" w:hAnsi="David" w:cs="David"/>
          <w:sz w:val="24"/>
          <w:szCs w:val="24"/>
          <w:rtl/>
        </w:rPr>
        <w:t xml:space="preserve"> ל</w:t>
      </w:r>
      <w:hyperlink r:id="rId42" w:history="1">
        <w:r w:rsidR="006476EC" w:rsidRPr="006476EC">
          <w:rPr>
            <w:rFonts w:ascii="David" w:hAnsi="David" w:cs="David"/>
            <w:color w:val="0000FF"/>
            <w:sz w:val="24"/>
            <w:szCs w:val="24"/>
            <w:u w:val="single"/>
            <w:rtl/>
          </w:rPr>
          <w:t>חוק הירושה</w:t>
        </w:r>
      </w:hyperlink>
      <w:r>
        <w:rPr>
          <w:rFonts w:ascii="David" w:hAnsi="David" w:cs="David"/>
          <w:sz w:val="24"/>
          <w:szCs w:val="24"/>
          <w:rtl/>
        </w:rPr>
        <w:t xml:space="preserve"> נוגעים ישירות למצב בן הזוג המתגורר בדירה, האם יש לו מדור חלופי, מה מצב המדור, מה מצבו, מה יכולתו הכלכלית, שיעור זכויותיו בנכס – שאחרת כיצד יוכל בימ"ש לקבוע את כל הנדרש בהתאם ל</w:t>
      </w:r>
      <w:bookmarkStart w:id="52" w:name="Seif42"/>
      <w:r>
        <w:rPr>
          <w:rFonts w:ascii="David" w:hAnsi="David" w:cs="David"/>
          <w:sz w:val="24"/>
          <w:szCs w:val="24"/>
          <w:rtl/>
        </w:rPr>
        <w:t xml:space="preserve">סעיף? </w:t>
      </w:r>
      <w:bookmarkEnd w:id="52"/>
      <w:r>
        <w:rPr>
          <w:rFonts w:ascii="David" w:hAnsi="David" w:cs="David"/>
          <w:sz w:val="24"/>
          <w:szCs w:val="24"/>
          <w:rtl/>
        </w:rPr>
        <w:t xml:space="preserve">התובע לא השיב על כל לעומקם של דברים. בסיכומיו ההתייחסות </w:t>
      </w:r>
      <w:hyperlink r:id="rId43" w:history="1">
        <w:r w:rsidR="00EF069D" w:rsidRPr="00EF069D">
          <w:rPr>
            <w:rStyle w:val="Hyperlink"/>
            <w:rFonts w:ascii="David" w:hAnsi="David" w:cs="David"/>
            <w:sz w:val="24"/>
            <w:szCs w:val="24"/>
            <w:rtl/>
          </w:rPr>
          <w:t>ל</w:t>
        </w:r>
        <w:bookmarkStart w:id="53" w:name="Seif43"/>
        <w:r w:rsidR="00EF069D" w:rsidRPr="00EF069D">
          <w:rPr>
            <w:rStyle w:val="Hyperlink"/>
            <w:rFonts w:ascii="David" w:hAnsi="David" w:cs="David"/>
            <w:sz w:val="24"/>
            <w:szCs w:val="24"/>
            <w:rtl/>
          </w:rPr>
          <w:t xml:space="preserve">סעיף </w:t>
        </w:r>
        <w:bookmarkEnd w:id="53"/>
        <w:r w:rsidR="00EF069D" w:rsidRPr="00EF069D">
          <w:rPr>
            <w:rStyle w:val="Hyperlink"/>
            <w:rFonts w:ascii="David" w:hAnsi="David" w:cs="David"/>
            <w:sz w:val="24"/>
            <w:szCs w:val="24"/>
            <w:rtl/>
          </w:rPr>
          <w:t>115</w:t>
        </w:r>
      </w:hyperlink>
      <w:r>
        <w:rPr>
          <w:rFonts w:ascii="David" w:hAnsi="David" w:cs="David"/>
          <w:sz w:val="24"/>
          <w:szCs w:val="24"/>
          <w:rtl/>
        </w:rPr>
        <w:t xml:space="preserve"> לא הייתה מספקת. </w:t>
      </w:r>
    </w:p>
    <w:p w14:paraId="1E76A34E" w14:textId="77777777" w:rsidR="004B515E" w:rsidRDefault="004B515E" w:rsidP="003D53E9">
      <w:pPr>
        <w:pStyle w:val="10"/>
        <w:snapToGrid w:val="0"/>
        <w:spacing w:after="0" w:line="360" w:lineRule="auto"/>
        <w:ind w:left="-58"/>
        <w:jc w:val="both"/>
        <w:rPr>
          <w:rFonts w:ascii="David" w:hAnsi="David" w:cs="David"/>
          <w:b/>
          <w:bCs/>
          <w:sz w:val="24"/>
          <w:szCs w:val="24"/>
          <w:rtl/>
        </w:rPr>
      </w:pPr>
    </w:p>
    <w:p w14:paraId="4863AF6B"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lastRenderedPageBreak/>
        <w:t>הנתבעת אישה קשישה שכל חייה הבוגרים חיה בדירה זו, גם מאז פטירת בן זוגה בשנת 2012, זו דירת מגוריה היחידה, אין לה משאבים כספיים נוספים להתקיים מהם באופן נזיל במקום זאת. מצבה הרפואי אינו משופר. יש לכך משמעות רבה כאשר עותר התובע כי הדירה תימכר "כאן ועכשיו", ובימ"ש יסב פניו ממצבה של אימו, לא יביט במצבה אלא יבחר להביט רק במצבו ולתת בכורה לטענותיו בלבד.</w:t>
      </w:r>
    </w:p>
    <w:p w14:paraId="334D6BAC" w14:textId="77777777" w:rsidR="004B515E" w:rsidRDefault="004B515E" w:rsidP="003D53E9">
      <w:pPr>
        <w:pStyle w:val="10"/>
        <w:rPr>
          <w:rFonts w:ascii="David" w:hAnsi="David" w:cs="David"/>
          <w:sz w:val="24"/>
          <w:szCs w:val="24"/>
        </w:rPr>
      </w:pPr>
    </w:p>
    <w:p w14:paraId="3C286A1F"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לתובע יש זכות ואיש לא ביקש למנוע ממנו או לשלול ממנו את זכותו. אולם זכותו אינה יחידה </w:t>
      </w:r>
      <w:hyperlink r:id="rId44" w:history="1">
        <w:r w:rsidR="00EF069D" w:rsidRPr="00EF069D">
          <w:rPr>
            <w:rStyle w:val="Hyperlink"/>
            <w:rFonts w:ascii="David" w:hAnsi="David" w:cs="David"/>
            <w:sz w:val="24"/>
            <w:szCs w:val="24"/>
            <w:rtl/>
          </w:rPr>
          <w:t>ו</w:t>
        </w:r>
        <w:bookmarkStart w:id="54" w:name="Seif44"/>
        <w:r w:rsidR="00EF069D" w:rsidRPr="00EF069D">
          <w:rPr>
            <w:rStyle w:val="Hyperlink"/>
            <w:rFonts w:ascii="David" w:hAnsi="David" w:cs="David"/>
            <w:sz w:val="24"/>
            <w:szCs w:val="24"/>
            <w:rtl/>
          </w:rPr>
          <w:t xml:space="preserve">סעיף </w:t>
        </w:r>
        <w:bookmarkEnd w:id="54"/>
        <w:r w:rsidR="00EF069D" w:rsidRPr="00EF069D">
          <w:rPr>
            <w:rStyle w:val="Hyperlink"/>
            <w:rFonts w:ascii="David" w:hAnsi="David" w:cs="David"/>
            <w:sz w:val="24"/>
            <w:szCs w:val="24"/>
            <w:rtl/>
          </w:rPr>
          <w:t>115</w:t>
        </w:r>
      </w:hyperlink>
      <w:r>
        <w:rPr>
          <w:rFonts w:ascii="David" w:hAnsi="David" w:cs="David"/>
          <w:sz w:val="24"/>
          <w:szCs w:val="24"/>
          <w:rtl/>
        </w:rPr>
        <w:t xml:space="preserve"> ל</w:t>
      </w:r>
      <w:hyperlink r:id="rId45" w:history="1">
        <w:r w:rsidR="006476EC" w:rsidRPr="006476EC">
          <w:rPr>
            <w:rFonts w:ascii="David" w:hAnsi="David" w:cs="David"/>
            <w:color w:val="0000FF"/>
            <w:sz w:val="24"/>
            <w:szCs w:val="24"/>
            <w:u w:val="single"/>
            <w:rtl/>
          </w:rPr>
          <w:t>חוק הירושה</w:t>
        </w:r>
      </w:hyperlink>
      <w:r>
        <w:rPr>
          <w:rFonts w:ascii="David" w:hAnsi="David" w:cs="David"/>
          <w:sz w:val="24"/>
          <w:szCs w:val="24"/>
          <w:rtl/>
        </w:rPr>
        <w:t xml:space="preserve"> קובע את האיזונים הנדרשים גם בהינתן יורשים אחרים, תוך שהוא נותן זכות מפורשת קודמת לפירוק שיתוף באופן זמני לבן משפחה קרוב שהוגדר ב</w:t>
      </w:r>
      <w:bookmarkStart w:id="55" w:name="Seif45"/>
      <w:r>
        <w:rPr>
          <w:rFonts w:ascii="David" w:hAnsi="David" w:cs="David"/>
          <w:sz w:val="24"/>
          <w:szCs w:val="24"/>
          <w:rtl/>
        </w:rPr>
        <w:t xml:space="preserve">סעיף. </w:t>
      </w:r>
      <w:bookmarkEnd w:id="55"/>
    </w:p>
    <w:p w14:paraId="757BE96C" w14:textId="77777777" w:rsidR="004B515E" w:rsidRDefault="004B515E" w:rsidP="003D53E9">
      <w:pPr>
        <w:pStyle w:val="10"/>
        <w:rPr>
          <w:rFonts w:ascii="David" w:hAnsi="David" w:cs="David"/>
          <w:sz w:val="24"/>
          <w:szCs w:val="24"/>
        </w:rPr>
      </w:pPr>
    </w:p>
    <w:p w14:paraId="2DB6BCFC" w14:textId="77777777" w:rsidR="004B515E" w:rsidRDefault="00000000" w:rsidP="003D53E9">
      <w:pPr>
        <w:pStyle w:val="10"/>
        <w:numPr>
          <w:ilvl w:val="0"/>
          <w:numId w:val="1"/>
        </w:numPr>
        <w:spacing w:after="0" w:line="360" w:lineRule="auto"/>
        <w:jc w:val="both"/>
        <w:rPr>
          <w:rFonts w:ascii="David" w:hAnsi="David" w:cs="David"/>
          <w:b/>
          <w:bCs/>
          <w:sz w:val="24"/>
          <w:szCs w:val="24"/>
          <w:rtl/>
        </w:rPr>
      </w:pPr>
      <w:r>
        <w:rPr>
          <w:rFonts w:ascii="David" w:hAnsi="David" w:cs="David"/>
          <w:sz w:val="24"/>
          <w:szCs w:val="24"/>
          <w:rtl/>
        </w:rPr>
        <w:t xml:space="preserve">המלומדים שוחט, גולדברג ופלומין עמדו על מטרת ההוראה </w:t>
      </w:r>
      <w:hyperlink r:id="rId46" w:history="1">
        <w:r w:rsidR="00EF069D" w:rsidRPr="00EF069D">
          <w:rPr>
            <w:rStyle w:val="Hyperlink"/>
            <w:rFonts w:ascii="David" w:hAnsi="David" w:cs="David"/>
            <w:sz w:val="24"/>
            <w:szCs w:val="24"/>
            <w:rtl/>
          </w:rPr>
          <w:t>ב</w:t>
        </w:r>
        <w:bookmarkStart w:id="56" w:name="Seif46"/>
        <w:r w:rsidR="00EF069D" w:rsidRPr="00EF069D">
          <w:rPr>
            <w:rStyle w:val="Hyperlink"/>
            <w:rFonts w:ascii="David" w:hAnsi="David" w:cs="David"/>
            <w:sz w:val="24"/>
            <w:szCs w:val="24"/>
            <w:rtl/>
          </w:rPr>
          <w:t xml:space="preserve">סעיף </w:t>
        </w:r>
        <w:bookmarkEnd w:id="56"/>
        <w:r w:rsidR="00EF069D" w:rsidRPr="00EF069D">
          <w:rPr>
            <w:rStyle w:val="Hyperlink"/>
            <w:rFonts w:ascii="David" w:hAnsi="David" w:cs="David"/>
            <w:sz w:val="24"/>
            <w:szCs w:val="24"/>
            <w:rtl/>
          </w:rPr>
          <w:t>115</w:t>
        </w:r>
      </w:hyperlink>
      <w:r>
        <w:rPr>
          <w:rFonts w:ascii="David" w:hAnsi="David" w:cs="David"/>
          <w:sz w:val="24"/>
          <w:szCs w:val="24"/>
          <w:rtl/>
        </w:rPr>
        <w:t xml:space="preserve"> ל</w:t>
      </w:r>
      <w:hyperlink r:id="rId47" w:history="1">
        <w:r w:rsidR="006476EC" w:rsidRPr="006476EC">
          <w:rPr>
            <w:rFonts w:ascii="David" w:hAnsi="David" w:cs="David"/>
            <w:color w:val="0000FF"/>
            <w:sz w:val="24"/>
            <w:szCs w:val="24"/>
            <w:u w:val="single"/>
            <w:rtl/>
          </w:rPr>
          <w:t>חוק הירושה</w:t>
        </w:r>
      </w:hyperlink>
      <w:r>
        <w:rPr>
          <w:rFonts w:ascii="David" w:hAnsi="David" w:cs="David"/>
          <w:sz w:val="24"/>
          <w:szCs w:val="24"/>
          <w:rtl/>
        </w:rPr>
        <w:t xml:space="preserve"> כמטרה סוציאלית חשובה אולם זמנית ולא כזו המקנה זכות לכל החיים (ולא כזו המקנה זכות לדיירות מוגנת): "</w:t>
      </w:r>
      <w:r>
        <w:rPr>
          <w:rFonts w:ascii="David" w:hAnsi="David" w:cs="David"/>
          <w:b/>
          <w:bCs/>
          <w:sz w:val="24"/>
          <w:szCs w:val="24"/>
          <w:rtl/>
        </w:rPr>
        <w:t xml:space="preserve">מטרת הוראה זו למצוא פתרון זמני למגוריהם של בני משפחה קרובים אשר התגוררו בביתו של המוריש ערב מותו, כדי שלא ימצאו עצמם פתאום מחוסרי קורת גג בסמוך לפטירה, ולמנוע על ידי כך את אי הנוחות ואת הסבל שהדבר עלול לגרום להם [...]. אין כל בסיס לטענה </w:t>
      </w:r>
      <w:hyperlink r:id="rId48" w:history="1">
        <w:r w:rsidR="00EF069D" w:rsidRPr="00EF069D">
          <w:rPr>
            <w:rStyle w:val="Hyperlink"/>
            <w:rFonts w:ascii="David" w:hAnsi="David" w:cs="David"/>
            <w:b/>
            <w:bCs/>
            <w:sz w:val="24"/>
            <w:szCs w:val="24"/>
            <w:rtl/>
          </w:rPr>
          <w:t>ש</w:t>
        </w:r>
        <w:bookmarkStart w:id="57" w:name="Seif47"/>
        <w:r w:rsidR="00EF069D" w:rsidRPr="00EF069D">
          <w:rPr>
            <w:rStyle w:val="Hyperlink"/>
            <w:rFonts w:ascii="David" w:hAnsi="David" w:cs="David"/>
            <w:b/>
            <w:bCs/>
            <w:sz w:val="24"/>
            <w:szCs w:val="24"/>
            <w:rtl/>
          </w:rPr>
          <w:t xml:space="preserve">סעיף </w:t>
        </w:r>
        <w:bookmarkEnd w:id="57"/>
        <w:r w:rsidR="00EF069D" w:rsidRPr="00EF069D">
          <w:rPr>
            <w:rStyle w:val="Hyperlink"/>
            <w:rFonts w:ascii="David" w:hAnsi="David" w:cs="David"/>
            <w:b/>
            <w:bCs/>
            <w:sz w:val="24"/>
            <w:szCs w:val="24"/>
            <w:rtl/>
          </w:rPr>
          <w:t>115</w:t>
        </w:r>
      </w:hyperlink>
      <w:r>
        <w:rPr>
          <w:rFonts w:ascii="David" w:hAnsi="David" w:cs="David"/>
          <w:b/>
          <w:bCs/>
          <w:sz w:val="24"/>
          <w:szCs w:val="24"/>
          <w:rtl/>
        </w:rPr>
        <w:t xml:space="preserve"> לחוק מקנה לבן המשפחה הזכאי על פיו זכות חזקה ייחודית לכל החיים. כל שמעניק </w:t>
      </w:r>
      <w:hyperlink r:id="rId49" w:history="1">
        <w:bookmarkStart w:id="58" w:name="Seif48"/>
        <w:r w:rsidR="00EF069D" w:rsidRPr="00EF069D">
          <w:rPr>
            <w:rStyle w:val="Hyperlink"/>
            <w:rFonts w:ascii="David" w:hAnsi="David" w:cs="David"/>
            <w:b/>
            <w:bCs/>
            <w:sz w:val="24"/>
            <w:szCs w:val="24"/>
            <w:rtl/>
          </w:rPr>
          <w:t xml:space="preserve">סעיף </w:t>
        </w:r>
        <w:bookmarkEnd w:id="58"/>
        <w:r w:rsidR="00EF069D" w:rsidRPr="00EF069D">
          <w:rPr>
            <w:rStyle w:val="Hyperlink"/>
            <w:rFonts w:ascii="David" w:hAnsi="David" w:cs="David"/>
            <w:b/>
            <w:bCs/>
            <w:sz w:val="24"/>
            <w:szCs w:val="24"/>
            <w:rtl/>
          </w:rPr>
          <w:t>115</w:t>
        </w:r>
      </w:hyperlink>
      <w:r>
        <w:rPr>
          <w:rFonts w:ascii="David" w:hAnsi="David" w:cs="David"/>
          <w:b/>
          <w:bCs/>
          <w:sz w:val="24"/>
          <w:szCs w:val="24"/>
          <w:rtl/>
        </w:rPr>
        <w:t xml:space="preserve"> לבן המשפחה, היא הזכות להוסיף ולגור בדירה כשוכר של היורשים שבחלקם נפלה הדירה באותם דמי שכירות ולאותה תקופה בתנאים שייקבעו בהסכם, ובאין הסכם – על ידי בית המשפט"</w:t>
      </w:r>
      <w:r>
        <w:rPr>
          <w:rFonts w:ascii="David" w:hAnsi="David" w:cs="David"/>
          <w:sz w:val="24"/>
          <w:szCs w:val="24"/>
          <w:rtl/>
        </w:rPr>
        <w:t xml:space="preserve">. </w:t>
      </w:r>
    </w:p>
    <w:p w14:paraId="567CE6FD" w14:textId="77777777" w:rsidR="004B515E" w:rsidRDefault="00000000" w:rsidP="003D53E9">
      <w:pPr>
        <w:pStyle w:val="10"/>
        <w:spacing w:after="0" w:line="360" w:lineRule="auto"/>
        <w:ind w:left="567"/>
        <w:jc w:val="both"/>
        <w:rPr>
          <w:rFonts w:ascii="David" w:hAnsi="David" w:cs="David"/>
          <w:sz w:val="24"/>
          <w:szCs w:val="24"/>
          <w:rtl/>
        </w:rPr>
      </w:pPr>
      <w:r>
        <w:rPr>
          <w:rFonts w:ascii="David" w:hAnsi="David" w:cs="David"/>
          <w:sz w:val="24"/>
          <w:szCs w:val="24"/>
          <w:rtl/>
        </w:rPr>
        <w:t xml:space="preserve">ראו: שוחט, גולדברג, פלומין </w:t>
      </w:r>
      <w:r>
        <w:rPr>
          <w:rFonts w:ascii="David" w:hAnsi="David" w:cs="David"/>
          <w:b/>
          <w:bCs/>
          <w:sz w:val="24"/>
          <w:szCs w:val="24"/>
          <w:rtl/>
        </w:rPr>
        <w:t>"</w:t>
      </w:r>
      <w:hyperlink r:id="rId50" w:history="1">
        <w:r w:rsidR="006476EC" w:rsidRPr="006476EC">
          <w:rPr>
            <w:rFonts w:ascii="David" w:hAnsi="David" w:cs="David"/>
            <w:b/>
            <w:bCs/>
            <w:color w:val="000000"/>
            <w:sz w:val="24"/>
            <w:szCs w:val="24"/>
            <w:rtl/>
          </w:rPr>
          <w:t>דיני ירושה ועיזבון"</w:t>
        </w:r>
      </w:hyperlink>
      <w:r>
        <w:rPr>
          <w:rFonts w:ascii="David" w:hAnsi="David" w:cs="David"/>
          <w:sz w:val="24"/>
          <w:szCs w:val="24"/>
          <w:rtl/>
        </w:rPr>
        <w:t xml:space="preserve"> מהדורה שישית, עמ' 199.</w:t>
      </w:r>
    </w:p>
    <w:p w14:paraId="10B650C7"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sz w:val="24"/>
          <w:szCs w:val="24"/>
          <w:rtl/>
        </w:rPr>
        <w:t>שני הצדדים וב</w:t>
      </w:r>
      <w:bookmarkStart w:id="59" w:name="Seif87"/>
      <w:r>
        <w:rPr>
          <w:rFonts w:ascii="David" w:hAnsi="David" w:cs="David"/>
          <w:sz w:val="24"/>
          <w:szCs w:val="24"/>
          <w:rtl/>
        </w:rPr>
        <w:t xml:space="preserve">פרט הנתבעת </w:t>
      </w:r>
      <w:bookmarkEnd w:id="59"/>
      <w:r>
        <w:rPr>
          <w:rFonts w:ascii="David" w:hAnsi="David" w:cs="David"/>
          <w:sz w:val="24"/>
          <w:szCs w:val="24"/>
          <w:rtl/>
        </w:rPr>
        <w:t xml:space="preserve">התייחסו לתקופת השכירות המבוקשת על פי </w:t>
      </w:r>
      <w:hyperlink r:id="rId51" w:history="1">
        <w:bookmarkStart w:id="60" w:name="Seif49"/>
        <w:r w:rsidR="00EF069D" w:rsidRPr="00EF069D">
          <w:rPr>
            <w:rStyle w:val="Hyperlink"/>
            <w:rFonts w:ascii="David" w:hAnsi="David" w:cs="David"/>
            <w:sz w:val="24"/>
            <w:szCs w:val="24"/>
            <w:rtl/>
          </w:rPr>
          <w:t xml:space="preserve">סעיף </w:t>
        </w:r>
        <w:bookmarkEnd w:id="60"/>
        <w:r w:rsidR="00EF069D" w:rsidRPr="00EF069D">
          <w:rPr>
            <w:rStyle w:val="Hyperlink"/>
            <w:rFonts w:ascii="David" w:hAnsi="David" w:cs="David"/>
            <w:sz w:val="24"/>
            <w:szCs w:val="24"/>
            <w:rtl/>
          </w:rPr>
          <w:t>115</w:t>
        </w:r>
      </w:hyperlink>
      <w:r>
        <w:rPr>
          <w:rFonts w:ascii="David" w:hAnsi="David" w:cs="David"/>
          <w:sz w:val="24"/>
          <w:szCs w:val="24"/>
          <w:rtl/>
        </w:rPr>
        <w:t xml:space="preserve"> ל</w:t>
      </w:r>
      <w:hyperlink r:id="rId52" w:history="1">
        <w:r w:rsidR="006476EC" w:rsidRPr="006476EC">
          <w:rPr>
            <w:rFonts w:ascii="David" w:hAnsi="David" w:cs="David"/>
            <w:color w:val="0000FF"/>
            <w:sz w:val="24"/>
            <w:szCs w:val="24"/>
            <w:u w:val="single"/>
            <w:rtl/>
          </w:rPr>
          <w:t>חוק הירושה</w:t>
        </w:r>
      </w:hyperlink>
      <w:r>
        <w:rPr>
          <w:rFonts w:ascii="David" w:hAnsi="David" w:cs="David"/>
          <w:sz w:val="24"/>
          <w:szCs w:val="24"/>
          <w:rtl/>
        </w:rPr>
        <w:t>. תקופת השכירות נתונה לשיקול דעתו של בית המשפט והיא נטועה במקרה הספציפי שלפנינו. לטעמו של התובע ה</w:t>
      </w:r>
      <w:bookmarkStart w:id="61" w:name="Seif50"/>
      <w:r>
        <w:rPr>
          <w:rFonts w:ascii="David" w:hAnsi="David" w:cs="David"/>
          <w:sz w:val="24"/>
          <w:szCs w:val="24"/>
          <w:rtl/>
        </w:rPr>
        <w:t xml:space="preserve">סעיף </w:t>
      </w:r>
      <w:bookmarkEnd w:id="61"/>
      <w:r>
        <w:rPr>
          <w:rFonts w:ascii="David" w:hAnsi="David" w:cs="David"/>
          <w:sz w:val="24"/>
          <w:szCs w:val="24"/>
          <w:rtl/>
        </w:rPr>
        <w:t xml:space="preserve">לא חל </w:t>
      </w:r>
      <w:bookmarkStart w:id="62" w:name="Seif101"/>
      <w:r>
        <w:rPr>
          <w:rFonts w:ascii="David" w:hAnsi="David" w:cs="David"/>
          <w:sz w:val="24"/>
          <w:szCs w:val="24"/>
          <w:rtl/>
        </w:rPr>
        <w:t xml:space="preserve">כלל ועל </w:t>
      </w:r>
      <w:bookmarkEnd w:id="62"/>
      <w:r>
        <w:rPr>
          <w:rFonts w:ascii="David" w:hAnsi="David" w:cs="David"/>
          <w:sz w:val="24"/>
          <w:szCs w:val="24"/>
          <w:rtl/>
        </w:rPr>
        <w:t xml:space="preserve">כן אין לאם כל זכות נוספת למגורים בדירה גם אם לא הגיש תביעה לפינוי. לטענתה הנתבעת יש לאפשר לה על פי סיכומיה עוד 5 שנים מעת פסק הדין או מספר שנים ראוי על פי שיקול דעת בית המשפט. </w:t>
      </w:r>
    </w:p>
    <w:p w14:paraId="3D45A61B" w14:textId="77777777" w:rsidR="004B515E" w:rsidRDefault="004B515E" w:rsidP="003D53E9">
      <w:pPr>
        <w:pStyle w:val="10"/>
        <w:spacing w:after="0" w:line="360" w:lineRule="auto"/>
        <w:ind w:left="567"/>
        <w:jc w:val="both"/>
        <w:rPr>
          <w:rFonts w:ascii="David" w:hAnsi="David" w:cs="David"/>
          <w:sz w:val="24"/>
          <w:szCs w:val="24"/>
        </w:rPr>
      </w:pPr>
    </w:p>
    <w:p w14:paraId="34021C0C"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sz w:val="24"/>
          <w:szCs w:val="24"/>
          <w:rtl/>
        </w:rPr>
        <w:t xml:space="preserve">בענייננו אני סבורה לאור דבריו הנכוחים של התובע בחקירתו כי לא הייתה לו כוונה לפנות את האם, כי לא ביקש לעשות זאת מאז נפטר האב וכי אין בכוונתו לפנותה לרבות את בן זוגה, וכי יש לתת משקל לעובדה כי התובע לא הגיש את התביעה מייד עם הפטירה אלא המתין עם הגשת התביעה לחודש 12/2022, כאשר האב נפטר בחודש 10/2012. התנהלות זו גם אם אינה יוצרת הסכם בין יורשים במובנו של החוק היא בעלת משמעות עבור האם, מצבה הבריאותי, מצבה הכלכלי ויכולתה לקבל מדור המתאים לצרכיה כעת. היא שיקול משמעותי שיש לקחת אותו בחשבון בפסיקה על פי </w:t>
      </w:r>
      <w:hyperlink r:id="rId53" w:history="1">
        <w:bookmarkStart w:id="63" w:name="Seif51"/>
        <w:r w:rsidR="00EF069D" w:rsidRPr="00EF069D">
          <w:rPr>
            <w:rStyle w:val="Hyperlink"/>
            <w:rFonts w:ascii="David" w:hAnsi="David" w:cs="David"/>
            <w:sz w:val="24"/>
            <w:szCs w:val="24"/>
            <w:rtl/>
          </w:rPr>
          <w:t xml:space="preserve">סעיף </w:t>
        </w:r>
        <w:bookmarkEnd w:id="63"/>
        <w:r w:rsidR="00EF069D" w:rsidRPr="00EF069D">
          <w:rPr>
            <w:rStyle w:val="Hyperlink"/>
            <w:rFonts w:ascii="David" w:hAnsi="David" w:cs="David"/>
            <w:sz w:val="24"/>
            <w:szCs w:val="24"/>
            <w:rtl/>
          </w:rPr>
          <w:t>115</w:t>
        </w:r>
      </w:hyperlink>
      <w:r>
        <w:rPr>
          <w:rFonts w:ascii="David" w:hAnsi="David" w:cs="David"/>
          <w:sz w:val="24"/>
          <w:szCs w:val="24"/>
          <w:rtl/>
        </w:rPr>
        <w:t xml:space="preserve"> לחוק. </w:t>
      </w:r>
    </w:p>
    <w:p w14:paraId="4FFAC1B7" w14:textId="77777777" w:rsidR="004B515E" w:rsidRDefault="004B515E" w:rsidP="003D53E9">
      <w:pPr>
        <w:pStyle w:val="10"/>
        <w:rPr>
          <w:rFonts w:ascii="David" w:hAnsi="David" w:cs="David"/>
          <w:sz w:val="24"/>
          <w:szCs w:val="24"/>
        </w:rPr>
      </w:pPr>
    </w:p>
    <w:p w14:paraId="61E65CA6"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b/>
          <w:bCs/>
          <w:sz w:val="24"/>
          <w:szCs w:val="24"/>
          <w:rtl/>
        </w:rPr>
        <w:t>התובע</w:t>
      </w:r>
      <w:r>
        <w:rPr>
          <w:rFonts w:ascii="David" w:hAnsi="David" w:cs="David"/>
          <w:sz w:val="24"/>
          <w:szCs w:val="24"/>
          <w:rtl/>
        </w:rPr>
        <w:t xml:space="preserve"> הדגיש בפני בימ"ש בחקירתו מספר רב של פעמים ובאופן משכנע כי אביו סמך עליו ועל אחותו שהאם תשאר להתגורר בדירה (ראו: פרוטוקול מיום 25.1.24 עמ' 12 שורות 25-34 ועמ' 13 שורות 1-6). הוא הדגיש שהאב רצה שהאם תשאר להתגורר בדירה עד 120 (ראו: פרוטוקול מיום 25.1.24 עמ' 20 שורות 24-26). התובע אמר במילותיו – שאיש לא הכתיב לו </w:t>
      </w:r>
      <w:r>
        <w:rPr>
          <w:rFonts w:ascii="David" w:hAnsi="David" w:cs="David"/>
          <w:sz w:val="24"/>
          <w:szCs w:val="24"/>
          <w:rtl/>
        </w:rPr>
        <w:lastRenderedPageBreak/>
        <w:t>ומיוזמתו – "</w:t>
      </w:r>
      <w:r>
        <w:rPr>
          <w:rFonts w:ascii="David" w:hAnsi="David" w:cs="David"/>
          <w:b/>
          <w:bCs/>
          <w:sz w:val="24"/>
          <w:szCs w:val="24"/>
          <w:rtl/>
        </w:rPr>
        <w:t>זה היה דבר מובן מאליו שהיא תגור כל החיים בדירה. זה לא משהו שב</w:t>
      </w:r>
      <w:bookmarkStart w:id="64" w:name="Seif102"/>
      <w:r>
        <w:rPr>
          <w:rFonts w:ascii="David" w:hAnsi="David" w:cs="David"/>
          <w:b/>
          <w:bCs/>
          <w:sz w:val="24"/>
          <w:szCs w:val="24"/>
          <w:rtl/>
        </w:rPr>
        <w:t xml:space="preserve">כלל עלה </w:t>
      </w:r>
      <w:bookmarkEnd w:id="64"/>
      <w:r>
        <w:rPr>
          <w:rFonts w:ascii="David" w:hAnsi="David" w:cs="David"/>
          <w:b/>
          <w:bCs/>
          <w:sz w:val="24"/>
          <w:szCs w:val="24"/>
          <w:rtl/>
        </w:rPr>
        <w:t>על הפרק</w:t>
      </w:r>
      <w:r>
        <w:rPr>
          <w:rFonts w:ascii="David" w:hAnsi="David" w:cs="David"/>
          <w:sz w:val="24"/>
          <w:szCs w:val="24"/>
          <w:rtl/>
        </w:rPr>
        <w:t>." (ראו: פרוטוקול מיום 25.1.24 עמ' 26 שורות 29-32). התובע חזר וציין בפני בימ"ש כי מעולם לא התנגד למגורים של האם בדירה, והיה מוסכם עליו כי תתגורר בה. כאשר נשאר התובע מפורשות בחקירה האם הוא מסכים שגם היום האם תתגורר בדירה השיב: "</w:t>
      </w:r>
      <w:r>
        <w:rPr>
          <w:rFonts w:ascii="David" w:hAnsi="David" w:cs="David"/>
          <w:b/>
          <w:bCs/>
          <w:sz w:val="24"/>
          <w:szCs w:val="24"/>
          <w:rtl/>
        </w:rPr>
        <w:t>כן, בטח</w:t>
      </w:r>
      <w:r>
        <w:rPr>
          <w:rFonts w:ascii="David" w:hAnsi="David" w:cs="David"/>
          <w:sz w:val="24"/>
          <w:szCs w:val="24"/>
          <w:rtl/>
        </w:rPr>
        <w:t xml:space="preserve">" (ראו: פרוטוקול מיום 25.1.24 עמ' 10 שורות 9-19). הסכמה זו מהווה הסכמה משמעותית וגם אין היא מגיעה כדי הסכם בין יורשים או זכות בלתי הדירה של האם היא הסכמה שיש לקחתה בחשבון משמעותי בקביעת זמן השכירות בהתאם </w:t>
      </w:r>
      <w:hyperlink r:id="rId54" w:history="1">
        <w:r w:rsidR="00EF069D" w:rsidRPr="00EF069D">
          <w:rPr>
            <w:rStyle w:val="Hyperlink"/>
            <w:rFonts w:ascii="David" w:hAnsi="David" w:cs="David"/>
            <w:sz w:val="24"/>
            <w:szCs w:val="24"/>
            <w:rtl/>
          </w:rPr>
          <w:t>ל</w:t>
        </w:r>
        <w:bookmarkStart w:id="65" w:name="Seif52"/>
        <w:r w:rsidR="00EF069D" w:rsidRPr="00EF069D">
          <w:rPr>
            <w:rStyle w:val="Hyperlink"/>
            <w:rFonts w:ascii="David" w:hAnsi="David" w:cs="David"/>
            <w:sz w:val="24"/>
            <w:szCs w:val="24"/>
            <w:rtl/>
          </w:rPr>
          <w:t xml:space="preserve">סעיף </w:t>
        </w:r>
        <w:bookmarkEnd w:id="65"/>
        <w:r w:rsidR="00EF069D" w:rsidRPr="00EF069D">
          <w:rPr>
            <w:rStyle w:val="Hyperlink"/>
            <w:rFonts w:ascii="David" w:hAnsi="David" w:cs="David"/>
            <w:sz w:val="24"/>
            <w:szCs w:val="24"/>
            <w:rtl/>
          </w:rPr>
          <w:t>115</w:t>
        </w:r>
      </w:hyperlink>
      <w:r>
        <w:rPr>
          <w:rFonts w:ascii="David" w:hAnsi="David" w:cs="David"/>
          <w:sz w:val="24"/>
          <w:szCs w:val="24"/>
          <w:rtl/>
        </w:rPr>
        <w:t xml:space="preserve"> לחוק. יתרה מכך, מאחר והדברים הם לכאורה בניגוד לאינטרס של התובע יש לתת לכך אף משקל רב יותר. </w:t>
      </w:r>
    </w:p>
    <w:p w14:paraId="5D7D3DF8" w14:textId="77777777" w:rsidR="004B515E" w:rsidRDefault="004B515E" w:rsidP="003D53E9">
      <w:pPr>
        <w:pStyle w:val="10"/>
        <w:rPr>
          <w:rFonts w:ascii="David" w:hAnsi="David" w:cs="David"/>
          <w:sz w:val="24"/>
          <w:szCs w:val="24"/>
        </w:rPr>
      </w:pPr>
    </w:p>
    <w:p w14:paraId="28BF41FD"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הטענה עליה חזר התובע שוב ושוב באמצעות ב"כ כי לנתבעת יהיה די והותר לרכוש דירה מתאימה לצרכיה לאחר פירוק השיתוף, לא לוותה בכל ראיה ולא התייחסה למצב הדירה הנוכחי ומצבה של האם, ל</w:t>
      </w:r>
      <w:bookmarkStart w:id="66" w:name="Seif86"/>
      <w:r>
        <w:rPr>
          <w:rFonts w:ascii="David" w:hAnsi="David" w:cs="David"/>
          <w:sz w:val="24"/>
          <w:szCs w:val="24"/>
          <w:rtl/>
        </w:rPr>
        <w:t xml:space="preserve">פרק זמן </w:t>
      </w:r>
      <w:bookmarkEnd w:id="66"/>
      <w:r>
        <w:rPr>
          <w:rFonts w:ascii="David" w:hAnsi="David" w:cs="David"/>
          <w:sz w:val="24"/>
          <w:szCs w:val="24"/>
          <w:rtl/>
        </w:rPr>
        <w:t xml:space="preserve">המגורים בדירה מאז שנת 1967, היות הדירה דירת המגורים היחידה והנכס היחידי למגורי האם ומשמעות פירוק השיתוף מיידית על מצבה של האם. היא גם הייתה בהתעלם מהסכמתו הנמשכת, הנוכחית של התובע למגורים בדירה עליה חזר בחקירתו.  </w:t>
      </w:r>
    </w:p>
    <w:p w14:paraId="4C535A28" w14:textId="77777777" w:rsidR="004B515E" w:rsidRDefault="004B515E" w:rsidP="003D53E9">
      <w:pPr>
        <w:pStyle w:val="10"/>
        <w:rPr>
          <w:rFonts w:ascii="David" w:hAnsi="David" w:cs="David"/>
          <w:sz w:val="24"/>
          <w:szCs w:val="24"/>
          <w:rtl/>
        </w:rPr>
      </w:pPr>
    </w:p>
    <w:p w14:paraId="34B682CE" w14:textId="77777777" w:rsidR="004B515E" w:rsidRDefault="004B515E" w:rsidP="003D53E9">
      <w:pPr>
        <w:pStyle w:val="10"/>
        <w:rPr>
          <w:rFonts w:ascii="David" w:hAnsi="David" w:cs="David"/>
          <w:sz w:val="24"/>
          <w:szCs w:val="24"/>
          <w:rtl/>
        </w:rPr>
      </w:pPr>
    </w:p>
    <w:p w14:paraId="58C4DD3F" w14:textId="77777777" w:rsidR="004B515E" w:rsidRDefault="004B515E" w:rsidP="003D53E9">
      <w:pPr>
        <w:pStyle w:val="10"/>
        <w:rPr>
          <w:rFonts w:ascii="David" w:hAnsi="David" w:cs="David"/>
          <w:sz w:val="24"/>
          <w:szCs w:val="24"/>
        </w:rPr>
      </w:pPr>
    </w:p>
    <w:p w14:paraId="13688D82" w14:textId="77777777" w:rsidR="004B515E" w:rsidRDefault="00000000" w:rsidP="003D53E9">
      <w:pPr>
        <w:pStyle w:val="10"/>
        <w:numPr>
          <w:ilvl w:val="0"/>
          <w:numId w:val="1"/>
        </w:numPr>
        <w:spacing w:after="0" w:line="360" w:lineRule="auto"/>
        <w:jc w:val="both"/>
        <w:rPr>
          <w:rFonts w:ascii="David" w:hAnsi="David" w:cs="David"/>
          <w:b/>
          <w:bCs/>
          <w:sz w:val="24"/>
          <w:szCs w:val="24"/>
          <w:rtl/>
        </w:rPr>
      </w:pPr>
      <w:r>
        <w:rPr>
          <w:rFonts w:ascii="David" w:hAnsi="David" w:cs="David"/>
          <w:b/>
          <w:bCs/>
          <w:sz w:val="24"/>
          <w:szCs w:val="24"/>
          <w:rtl/>
        </w:rPr>
        <w:t xml:space="preserve">שוכנעתי כי מתקיימים התנאים על פי </w:t>
      </w:r>
      <w:hyperlink r:id="rId55" w:history="1">
        <w:bookmarkStart w:id="67" w:name="Seif53"/>
        <w:r w:rsidR="00EF069D" w:rsidRPr="00EF069D">
          <w:rPr>
            <w:rStyle w:val="Hyperlink"/>
            <w:rFonts w:ascii="David" w:hAnsi="David" w:cs="David"/>
            <w:b/>
            <w:bCs/>
            <w:sz w:val="24"/>
            <w:szCs w:val="24"/>
            <w:rtl/>
          </w:rPr>
          <w:t xml:space="preserve">סעיף </w:t>
        </w:r>
        <w:bookmarkEnd w:id="67"/>
        <w:r w:rsidR="00EF069D" w:rsidRPr="00EF069D">
          <w:rPr>
            <w:rStyle w:val="Hyperlink"/>
            <w:rFonts w:ascii="David" w:hAnsi="David" w:cs="David"/>
            <w:b/>
            <w:bCs/>
            <w:sz w:val="24"/>
            <w:szCs w:val="24"/>
            <w:rtl/>
          </w:rPr>
          <w:t>115</w:t>
        </w:r>
      </w:hyperlink>
      <w:r>
        <w:rPr>
          <w:rFonts w:ascii="David" w:hAnsi="David" w:cs="David"/>
          <w:b/>
          <w:bCs/>
          <w:sz w:val="24"/>
          <w:szCs w:val="24"/>
          <w:rtl/>
        </w:rPr>
        <w:t xml:space="preserve"> לחוק במלואם. בהתאם לשיקול דעתו של בית המשפט ולאור הנסיבות שפורטו לעיל אני קובעת כי האם זכאית להתגורר בדירה תקופה נוספת החל מחודש 8/2024 עד לחודש 1/2029 (כולל). זכות זו תפוג ככל והאם תדרש לסידור חוץ ביתי או תבקש לעבור למקום מגורים אחר והיא תפוג חלילה ובאיחולי בריאות טובה ואיתנה עם פטירת האם. </w:t>
      </w:r>
    </w:p>
    <w:p w14:paraId="2D0982FA" w14:textId="77777777" w:rsidR="004B515E" w:rsidRDefault="004B515E" w:rsidP="003D53E9">
      <w:pPr>
        <w:pStyle w:val="10"/>
        <w:rPr>
          <w:rFonts w:ascii="David" w:hAnsi="David" w:cs="David"/>
          <w:sz w:val="24"/>
          <w:szCs w:val="24"/>
        </w:rPr>
      </w:pPr>
    </w:p>
    <w:p w14:paraId="60F286FC"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b/>
          <w:bCs/>
          <w:sz w:val="24"/>
          <w:szCs w:val="24"/>
          <w:rtl/>
        </w:rPr>
        <w:t>בכל הנוגע לשכירות הראויה –</w:t>
      </w:r>
      <w:r>
        <w:rPr>
          <w:rFonts w:ascii="David" w:hAnsi="David" w:cs="David"/>
          <w:sz w:val="24"/>
          <w:szCs w:val="24"/>
          <w:rtl/>
        </w:rPr>
        <w:t xml:space="preserve"> על האם לשלם לתובע עבור חלקו בלבד 1/8 מהדירה ולא עבור </w:t>
      </w:r>
      <w:bookmarkStart w:id="68" w:name="Seif103"/>
      <w:r>
        <w:rPr>
          <w:rFonts w:ascii="David" w:hAnsi="David" w:cs="David"/>
          <w:sz w:val="24"/>
          <w:szCs w:val="24"/>
          <w:rtl/>
        </w:rPr>
        <w:t xml:space="preserve">כלל מגוריה </w:t>
      </w:r>
      <w:bookmarkEnd w:id="68"/>
      <w:r>
        <w:rPr>
          <w:rFonts w:ascii="David" w:hAnsi="David" w:cs="David"/>
          <w:sz w:val="24"/>
          <w:szCs w:val="24"/>
          <w:rtl/>
        </w:rPr>
        <w:t xml:space="preserve">בדירה. כאמור לעיל ניתנה החלטה לתשלום בסך של 1,125 ₪ המגלם סך כולל של 9,000 ₪ דמי שכירות עבור הדירה. התובע לא </w:t>
      </w:r>
      <w:bookmarkStart w:id="69" w:name="Seif83"/>
      <w:r>
        <w:rPr>
          <w:rFonts w:ascii="David" w:hAnsi="David" w:cs="David"/>
          <w:sz w:val="24"/>
          <w:szCs w:val="24"/>
          <w:rtl/>
        </w:rPr>
        <w:t xml:space="preserve">חלק על </w:t>
      </w:r>
      <w:bookmarkEnd w:id="69"/>
      <w:r>
        <w:rPr>
          <w:rFonts w:ascii="David" w:hAnsi="David" w:cs="David"/>
          <w:sz w:val="24"/>
          <w:szCs w:val="24"/>
          <w:rtl/>
        </w:rPr>
        <w:t xml:space="preserve">סכום זה ואף לא התייחס אליו כלל. האם כפי שצויין לעיל הייתה מוכנה לתשלום גבוה אף יותר. שקלתי האם יש מקום להכניס את הצדדים כעת למינוי שמאי/ חוו"ד והתנהלות נוספת ואני סבורה כי הדבר לא רק שאינו בטובתם אלא אין בו לסייע להם לשים את הסכסוך מאחוריהם. אני מוכנה להניח מאחר והתובע לא </w:t>
      </w:r>
      <w:bookmarkStart w:id="70" w:name="Seif84"/>
      <w:r>
        <w:rPr>
          <w:rFonts w:ascii="David" w:hAnsi="David" w:cs="David"/>
          <w:sz w:val="24"/>
          <w:szCs w:val="24"/>
          <w:rtl/>
        </w:rPr>
        <w:t xml:space="preserve">חלק על </w:t>
      </w:r>
      <w:bookmarkEnd w:id="70"/>
      <w:r>
        <w:rPr>
          <w:rFonts w:ascii="David" w:hAnsi="David" w:cs="David"/>
          <w:sz w:val="24"/>
          <w:szCs w:val="24"/>
          <w:rtl/>
        </w:rPr>
        <w:t>הנתונים שהוצגו על ידי הנתבעת לגבי סכום השכירות כי השכירות אף עלתה. מאחר וגובה השכירות הוא בשיקול דעת בימ"ש על פי ה</w:t>
      </w:r>
      <w:bookmarkStart w:id="71" w:name="Seif54"/>
      <w:r>
        <w:rPr>
          <w:rFonts w:ascii="David" w:hAnsi="David" w:cs="David"/>
          <w:sz w:val="24"/>
          <w:szCs w:val="24"/>
          <w:rtl/>
        </w:rPr>
        <w:t xml:space="preserve">סעיף </w:t>
      </w:r>
      <w:bookmarkEnd w:id="71"/>
      <w:r>
        <w:rPr>
          <w:rFonts w:ascii="David" w:hAnsi="David" w:cs="David"/>
          <w:sz w:val="24"/>
          <w:szCs w:val="24"/>
          <w:rtl/>
        </w:rPr>
        <w:t xml:space="preserve">ולאור נכונותה של האם אף לתשלום גבוה יותר, </w:t>
      </w:r>
      <w:r>
        <w:rPr>
          <w:rFonts w:ascii="David" w:hAnsi="David" w:cs="David"/>
          <w:b/>
          <w:bCs/>
          <w:sz w:val="24"/>
          <w:szCs w:val="24"/>
          <w:rtl/>
        </w:rPr>
        <w:t>אני קובעת כי האם תשלם לבן החל ממועד הגשת התביעה עבור חלקו (1/8) סך של 1,250 ₪ לחודש המגלמים שכירות כוללת של 10,000 ₪ לחודש. סכום זה ישולם עד ליום 1/2029 (כולל) מדי חודש בחודש כל 1 לחודש.</w:t>
      </w:r>
      <w:r>
        <w:rPr>
          <w:rFonts w:ascii="David" w:hAnsi="David" w:cs="David"/>
          <w:sz w:val="24"/>
          <w:szCs w:val="24"/>
          <w:rtl/>
        </w:rPr>
        <w:t xml:space="preserve"> </w:t>
      </w:r>
    </w:p>
    <w:p w14:paraId="53316D67" w14:textId="77777777" w:rsidR="004B515E" w:rsidRDefault="004B515E" w:rsidP="003D53E9">
      <w:pPr>
        <w:pStyle w:val="10"/>
        <w:rPr>
          <w:rFonts w:ascii="David" w:hAnsi="David" w:cs="David"/>
          <w:sz w:val="24"/>
          <w:szCs w:val="24"/>
        </w:rPr>
      </w:pPr>
    </w:p>
    <w:p w14:paraId="2A3EEBED"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ויוזכר עוד לגבי גובה השכירות שנקבע שבספרם של המלומדים שוחט, גולדברג, פלומין צויין כי: "</w:t>
      </w:r>
      <w:r>
        <w:rPr>
          <w:rFonts w:ascii="David" w:hAnsi="David" w:cs="David"/>
          <w:b/>
          <w:bCs/>
          <w:sz w:val="24"/>
          <w:szCs w:val="24"/>
          <w:rtl/>
        </w:rPr>
        <w:t xml:space="preserve">מאחר שהשכירות שבה מדבר </w:t>
      </w:r>
      <w:hyperlink r:id="rId56" w:history="1">
        <w:bookmarkStart w:id="72" w:name="Seif55"/>
        <w:r w:rsidR="00EF069D" w:rsidRPr="00EF069D">
          <w:rPr>
            <w:rStyle w:val="Hyperlink"/>
            <w:rFonts w:ascii="David" w:hAnsi="David" w:cs="David"/>
            <w:b/>
            <w:bCs/>
            <w:sz w:val="24"/>
            <w:szCs w:val="24"/>
            <w:rtl/>
          </w:rPr>
          <w:t xml:space="preserve">סעיף </w:t>
        </w:r>
        <w:bookmarkEnd w:id="72"/>
        <w:r w:rsidR="00EF069D" w:rsidRPr="00EF069D">
          <w:rPr>
            <w:rStyle w:val="Hyperlink"/>
            <w:rFonts w:ascii="David" w:hAnsi="David" w:cs="David"/>
            <w:b/>
            <w:bCs/>
            <w:sz w:val="24"/>
            <w:szCs w:val="24"/>
            <w:rtl/>
          </w:rPr>
          <w:t>115</w:t>
        </w:r>
      </w:hyperlink>
      <w:r>
        <w:rPr>
          <w:rFonts w:ascii="David" w:hAnsi="David" w:cs="David"/>
          <w:b/>
          <w:bCs/>
          <w:sz w:val="24"/>
          <w:szCs w:val="24"/>
          <w:rtl/>
        </w:rPr>
        <w:t xml:space="preserve"> לחוק אינה שכירות מוגנת, מחיר הדירה יפחת </w:t>
      </w:r>
      <w:r>
        <w:rPr>
          <w:rFonts w:ascii="David" w:hAnsi="David" w:cs="David"/>
          <w:b/>
          <w:bCs/>
          <w:sz w:val="24"/>
          <w:szCs w:val="24"/>
          <w:rtl/>
        </w:rPr>
        <w:lastRenderedPageBreak/>
        <w:t xml:space="preserve">כדי 30% ממחירה של דירה פנויה שעה שבן הזוג מתגורר בדירה ולא כדי 60% כנהוג לגבי דירה מוגנת לפי </w:t>
      </w:r>
      <w:hyperlink r:id="rId57" w:history="1">
        <w:r w:rsidR="006476EC" w:rsidRPr="006476EC">
          <w:rPr>
            <w:rFonts w:ascii="David" w:hAnsi="David" w:cs="David"/>
            <w:b/>
            <w:bCs/>
            <w:color w:val="0000FF"/>
            <w:sz w:val="24"/>
            <w:szCs w:val="24"/>
            <w:u w:val="single"/>
            <w:rtl/>
          </w:rPr>
          <w:t>חוק הגנת הדייר</w:t>
        </w:r>
      </w:hyperlink>
      <w:r>
        <w:rPr>
          <w:rFonts w:ascii="David" w:hAnsi="David" w:cs="David"/>
          <w:b/>
          <w:bCs/>
          <w:sz w:val="24"/>
          <w:szCs w:val="24"/>
          <w:rtl/>
        </w:rPr>
        <w:t xml:space="preserve"> [..]. מדובר בהערכה בלבד וללא שומה של ממש".</w:t>
      </w:r>
    </w:p>
    <w:p w14:paraId="4AED9EF7" w14:textId="77777777" w:rsidR="004B515E" w:rsidRDefault="00000000" w:rsidP="003D53E9">
      <w:pPr>
        <w:pStyle w:val="10"/>
        <w:spacing w:after="0" w:line="360" w:lineRule="auto"/>
        <w:ind w:left="567"/>
        <w:jc w:val="both"/>
        <w:rPr>
          <w:rFonts w:ascii="David" w:hAnsi="David" w:cs="David"/>
          <w:sz w:val="24"/>
          <w:szCs w:val="24"/>
          <w:rtl/>
        </w:rPr>
      </w:pPr>
      <w:r>
        <w:rPr>
          <w:rFonts w:ascii="David" w:hAnsi="David" w:cs="David"/>
          <w:sz w:val="24"/>
          <w:szCs w:val="24"/>
          <w:rtl/>
        </w:rPr>
        <w:t xml:space="preserve">ראו: שוחט, גולדברג, פלומין </w:t>
      </w:r>
      <w:r>
        <w:rPr>
          <w:rFonts w:ascii="David" w:hAnsi="David" w:cs="David"/>
          <w:b/>
          <w:bCs/>
          <w:sz w:val="24"/>
          <w:szCs w:val="24"/>
          <w:rtl/>
        </w:rPr>
        <w:t>"</w:t>
      </w:r>
      <w:hyperlink r:id="rId58" w:history="1">
        <w:r w:rsidR="006476EC" w:rsidRPr="006476EC">
          <w:rPr>
            <w:rFonts w:ascii="David" w:hAnsi="David" w:cs="David"/>
            <w:b/>
            <w:bCs/>
            <w:color w:val="000000"/>
            <w:sz w:val="24"/>
            <w:szCs w:val="24"/>
            <w:rtl/>
          </w:rPr>
          <w:t>דיני ירושה ועיזבון"</w:t>
        </w:r>
      </w:hyperlink>
      <w:r>
        <w:rPr>
          <w:rFonts w:ascii="David" w:hAnsi="David" w:cs="David"/>
          <w:sz w:val="24"/>
          <w:szCs w:val="24"/>
          <w:rtl/>
        </w:rPr>
        <w:t xml:space="preserve"> מהדורה שישית, עמ' 201.</w:t>
      </w:r>
    </w:p>
    <w:p w14:paraId="18F84898" w14:textId="77777777" w:rsidR="004B515E" w:rsidRDefault="00000000" w:rsidP="003D53E9">
      <w:pPr>
        <w:pStyle w:val="10"/>
        <w:spacing w:after="0" w:line="360" w:lineRule="auto"/>
        <w:ind w:left="567"/>
        <w:jc w:val="both"/>
        <w:rPr>
          <w:rFonts w:ascii="David" w:hAnsi="David" w:cs="David"/>
          <w:sz w:val="24"/>
          <w:szCs w:val="24"/>
          <w:rtl/>
        </w:rPr>
      </w:pPr>
      <w:r>
        <w:rPr>
          <w:rFonts w:ascii="David" w:hAnsi="David" w:cs="David"/>
          <w:sz w:val="24"/>
          <w:szCs w:val="24"/>
          <w:rtl/>
        </w:rPr>
        <w:t xml:space="preserve">קרי ניתן לקבוע שכירות נמוכה אף יותר. </w:t>
      </w:r>
    </w:p>
    <w:p w14:paraId="0805A10D" w14:textId="77777777" w:rsidR="004B515E" w:rsidRDefault="004B515E" w:rsidP="003D53E9">
      <w:pPr>
        <w:pStyle w:val="10"/>
        <w:spacing w:after="0" w:line="360" w:lineRule="auto"/>
        <w:rPr>
          <w:rFonts w:ascii="David" w:hAnsi="David" w:cs="David"/>
          <w:sz w:val="24"/>
          <w:szCs w:val="24"/>
        </w:rPr>
      </w:pPr>
    </w:p>
    <w:p w14:paraId="5B001B2E" w14:textId="77777777" w:rsidR="004B515E" w:rsidRDefault="00000000" w:rsidP="003D53E9">
      <w:pPr>
        <w:pStyle w:val="10"/>
        <w:numPr>
          <w:ilvl w:val="0"/>
          <w:numId w:val="1"/>
        </w:numPr>
        <w:spacing w:after="0" w:line="360" w:lineRule="auto"/>
        <w:jc w:val="both"/>
        <w:rPr>
          <w:rFonts w:ascii="David" w:hAnsi="David" w:cs="David"/>
          <w:b/>
          <w:bCs/>
          <w:sz w:val="24"/>
          <w:szCs w:val="24"/>
          <w:rtl/>
        </w:rPr>
      </w:pPr>
      <w:r>
        <w:rPr>
          <w:rFonts w:ascii="David" w:hAnsi="David" w:cs="David"/>
          <w:b/>
          <w:bCs/>
          <w:sz w:val="24"/>
          <w:szCs w:val="24"/>
          <w:rtl/>
        </w:rPr>
        <w:t xml:space="preserve">אשר על כן לאור כל הנימוקים לעיל שוכנעתי כי מתקיימים התנאים על פי </w:t>
      </w:r>
      <w:hyperlink r:id="rId59" w:history="1">
        <w:bookmarkStart w:id="73" w:name="Seif56"/>
        <w:r w:rsidR="00EF069D" w:rsidRPr="00EF069D">
          <w:rPr>
            <w:rStyle w:val="Hyperlink"/>
            <w:rFonts w:ascii="David" w:hAnsi="David" w:cs="David"/>
            <w:b/>
            <w:bCs/>
            <w:sz w:val="24"/>
            <w:szCs w:val="24"/>
            <w:rtl/>
          </w:rPr>
          <w:t xml:space="preserve">סעיף </w:t>
        </w:r>
        <w:bookmarkEnd w:id="73"/>
        <w:r w:rsidR="00EF069D" w:rsidRPr="00EF069D">
          <w:rPr>
            <w:rStyle w:val="Hyperlink"/>
            <w:rFonts w:ascii="David" w:hAnsi="David" w:cs="David"/>
            <w:b/>
            <w:bCs/>
            <w:sz w:val="24"/>
            <w:szCs w:val="24"/>
            <w:rtl/>
          </w:rPr>
          <w:t>115</w:t>
        </w:r>
      </w:hyperlink>
      <w:r>
        <w:rPr>
          <w:rFonts w:ascii="David" w:hAnsi="David" w:cs="David"/>
          <w:b/>
          <w:bCs/>
          <w:sz w:val="24"/>
          <w:szCs w:val="24"/>
          <w:rtl/>
        </w:rPr>
        <w:t xml:space="preserve"> לחוק במלואם. בהתאם לשיקול דעתו של בית המשפט ולאור הנסיבות שפורטו לעיל אני קובעת כי האם זכאית להתגורר בדירה תקופה נוספת החל מחודש 8/2024 עד לחודש 1/2029 (כולל). זכות זו תפוג ככל והאם תידרש לסידור חוץ ביתי או תבקש לעבור למקום מגורים אחר והיא תפוג חלילה ובאיחולי בריאות טובה ואיתנה עם פטירת האם. אני קובעת כי האם תשלם לבן החל ממועד הגשת התביעה עבור חלקו (1/8) סך של 1,250 ₪ לחודש המגלמים שכירות כוללת של 10,000 ₪ לחודש. סכום זה ישולם עד ליום 1/2029 (כולל) מדי חודש בחודש כל 1 לחודש.</w:t>
      </w:r>
    </w:p>
    <w:p w14:paraId="2E1F9B0A" w14:textId="77777777" w:rsidR="004B515E" w:rsidRDefault="00000000" w:rsidP="003D53E9">
      <w:pPr>
        <w:pStyle w:val="10"/>
        <w:spacing w:after="0" w:line="360" w:lineRule="auto"/>
        <w:ind w:left="567"/>
        <w:jc w:val="both"/>
        <w:rPr>
          <w:rFonts w:ascii="David" w:hAnsi="David" w:cs="David"/>
          <w:b/>
          <w:bCs/>
          <w:sz w:val="24"/>
          <w:szCs w:val="24"/>
        </w:rPr>
      </w:pPr>
      <w:r>
        <w:rPr>
          <w:rFonts w:ascii="David" w:hAnsi="David" w:cs="David"/>
          <w:b/>
          <w:bCs/>
          <w:sz w:val="24"/>
          <w:szCs w:val="24"/>
          <w:rtl/>
        </w:rPr>
        <w:t xml:space="preserve">זכות השכירות המוקנית לאם הינה אישית ואינה ניתנת להעברה ככל שלפי האמור לעיל תפוג הזכות, יעדכנו על כך הנתבעות את התובע באופן מידי ויפעלו לאלתר למכירת הדירה בשוק החופשי כדירה פנויה לאלתר, ללא צורך בפניה נוספת לבית המשפט. </w:t>
      </w:r>
    </w:p>
    <w:p w14:paraId="0D8B949F" w14:textId="77777777" w:rsidR="004B515E" w:rsidRDefault="00000000" w:rsidP="003D53E9">
      <w:pPr>
        <w:pStyle w:val="10"/>
        <w:spacing w:after="0" w:line="360" w:lineRule="auto"/>
        <w:ind w:left="567"/>
        <w:jc w:val="both"/>
        <w:rPr>
          <w:rFonts w:ascii="David" w:hAnsi="David" w:cs="David"/>
          <w:b/>
          <w:bCs/>
          <w:sz w:val="24"/>
          <w:szCs w:val="24"/>
          <w:rtl/>
        </w:rPr>
      </w:pPr>
      <w:r>
        <w:rPr>
          <w:rFonts w:ascii="David" w:hAnsi="David" w:cs="David"/>
          <w:b/>
          <w:bCs/>
          <w:sz w:val="24"/>
          <w:szCs w:val="24"/>
          <w:rtl/>
        </w:rPr>
        <w:t xml:space="preserve">החל מחודש 2/2029 יפורק השיתוף בדירה באמצעות מכירתה בשוק החופשי לכל המרבה במחיר. ניתן יהיה להתחיל בהליכי המכר החל מחודש 10/2028. ככל והצדדים לא יצליחו למכור את הדירה בכוחות עצמם, ניתן יהיה לפנות לבימ"ש למינוי כונס נכסים. </w:t>
      </w:r>
    </w:p>
    <w:p w14:paraId="3ED13DE7" w14:textId="77777777" w:rsidR="004B515E" w:rsidRDefault="004B515E" w:rsidP="003D53E9">
      <w:pPr>
        <w:pStyle w:val="10"/>
        <w:rPr>
          <w:rFonts w:ascii="David" w:hAnsi="David" w:cs="David"/>
          <w:b/>
          <w:bCs/>
          <w:sz w:val="24"/>
          <w:szCs w:val="24"/>
        </w:rPr>
      </w:pPr>
    </w:p>
    <w:p w14:paraId="7C408BD9" w14:textId="77777777" w:rsidR="004B515E" w:rsidRDefault="00000000" w:rsidP="003D53E9">
      <w:pPr>
        <w:pStyle w:val="10"/>
        <w:numPr>
          <w:ilvl w:val="0"/>
          <w:numId w:val="1"/>
        </w:numPr>
        <w:spacing w:after="0" w:line="360" w:lineRule="auto"/>
        <w:jc w:val="both"/>
        <w:rPr>
          <w:rFonts w:ascii="David" w:hAnsi="David" w:cs="David"/>
          <w:b/>
          <w:bCs/>
          <w:sz w:val="24"/>
          <w:szCs w:val="24"/>
          <w:u w:val="single"/>
          <w:rtl/>
        </w:rPr>
      </w:pPr>
      <w:r w:rsidRPr="001F725E">
        <w:rPr>
          <w:rStyle w:val="Hyperlink"/>
          <w:rFonts w:ascii="David" w:hAnsi="David" w:cs="David"/>
          <w:b/>
          <w:bCs/>
          <w:color w:val="auto"/>
          <w:sz w:val="24"/>
          <w:szCs w:val="24"/>
          <w:rtl/>
        </w:rPr>
        <w:t xml:space="preserve">טענת הנתבעות להתקיימות תנאי </w:t>
      </w:r>
      <w:r w:rsidRPr="00E47B4E">
        <w:rPr>
          <w:rtl/>
        </w:rPr>
        <w:t>33</w:t>
      </w:r>
      <w:r w:rsidRPr="001F725E">
        <w:rPr>
          <w:rFonts w:ascii="David" w:hAnsi="David" w:cs="David"/>
          <w:b/>
          <w:bCs/>
          <w:sz w:val="24"/>
          <w:szCs w:val="24"/>
          <w:u w:val="single"/>
          <w:rtl/>
        </w:rPr>
        <w:t xml:space="preserve"> </w:t>
      </w:r>
      <w:hyperlink r:id="rId60" w:history="1">
        <w:bookmarkStart w:id="74" w:name="Seif57"/>
        <w:r w:rsidR="00EF069D" w:rsidRPr="00EF069D">
          <w:rPr>
            <w:rStyle w:val="Hyperlink"/>
            <w:rFonts w:ascii="David" w:hAnsi="David" w:cs="David"/>
            <w:b/>
            <w:bCs/>
            <w:sz w:val="24"/>
            <w:szCs w:val="24"/>
            <w:rtl/>
          </w:rPr>
          <w:t xml:space="preserve">סעיף </w:t>
        </w:r>
        <w:bookmarkEnd w:id="74"/>
        <w:r w:rsidR="00EF069D" w:rsidRPr="00EF069D">
          <w:rPr>
            <w:rStyle w:val="Hyperlink"/>
            <w:rFonts w:ascii="David" w:hAnsi="David" w:cs="David"/>
            <w:b/>
            <w:bCs/>
            <w:sz w:val="24"/>
            <w:szCs w:val="24"/>
            <w:rtl/>
          </w:rPr>
          <w:t>33</w:t>
        </w:r>
      </w:hyperlink>
      <w:r w:rsidRPr="001F725E">
        <w:rPr>
          <w:rFonts w:ascii="David" w:hAnsi="David" w:cs="David"/>
          <w:b/>
          <w:bCs/>
          <w:sz w:val="24"/>
          <w:szCs w:val="24"/>
          <w:u w:val="single"/>
          <w:rtl/>
        </w:rPr>
        <w:t xml:space="preserve"> ל</w:t>
      </w:r>
      <w:hyperlink r:id="rId61" w:history="1">
        <w:r w:rsidR="006476EC" w:rsidRPr="006476EC">
          <w:rPr>
            <w:rFonts w:ascii="David" w:hAnsi="David" w:cs="David"/>
            <w:b/>
            <w:bCs/>
            <w:color w:val="0000FF"/>
            <w:sz w:val="24"/>
            <w:szCs w:val="24"/>
            <w:u w:val="single"/>
            <w:rtl/>
          </w:rPr>
          <w:t>חוק הגנת הדייר</w:t>
        </w:r>
      </w:hyperlink>
      <w:r w:rsidRPr="001F725E">
        <w:rPr>
          <w:rFonts w:ascii="David" w:hAnsi="David" w:cs="David"/>
          <w:b/>
          <w:bCs/>
          <w:sz w:val="24"/>
          <w:szCs w:val="24"/>
          <w:u w:val="single"/>
          <w:rtl/>
        </w:rPr>
        <w:t xml:space="preserve"> –</w:t>
      </w:r>
      <w:r w:rsidRPr="001F725E">
        <w:rPr>
          <w:rFonts w:ascii="David" w:hAnsi="David" w:cs="David"/>
          <w:sz w:val="24"/>
          <w:szCs w:val="24"/>
          <w:rtl/>
        </w:rPr>
        <w:t xml:space="preserve"> לטענת הנתבעות לחילופין </w:t>
      </w:r>
      <w:r>
        <w:rPr>
          <w:rFonts w:ascii="David" w:hAnsi="David" w:cs="David"/>
          <w:sz w:val="24"/>
          <w:szCs w:val="24"/>
          <w:rtl/>
        </w:rPr>
        <w:t xml:space="preserve">יש לקבוע כי האם הינה דיירת מוגנת בדירה למשך כל ימי חייה ויש להורות על מכירת הדירה כדירה תפוסה.  התובע עותר לדחיית טענה זו. </w:t>
      </w:r>
    </w:p>
    <w:p w14:paraId="5342083B" w14:textId="77777777" w:rsidR="004B515E" w:rsidRDefault="004B515E" w:rsidP="003D53E9">
      <w:pPr>
        <w:pStyle w:val="10"/>
        <w:spacing w:after="0" w:line="360" w:lineRule="auto"/>
        <w:ind w:left="567"/>
        <w:jc w:val="both"/>
        <w:rPr>
          <w:rFonts w:ascii="David" w:hAnsi="David" w:cs="David"/>
          <w:b/>
          <w:bCs/>
          <w:sz w:val="24"/>
          <w:szCs w:val="24"/>
          <w:u w:val="single"/>
        </w:rPr>
      </w:pPr>
    </w:p>
    <w:p w14:paraId="274297C7" w14:textId="77777777" w:rsidR="004B515E" w:rsidRPr="001F725E" w:rsidRDefault="00EF069D" w:rsidP="003D53E9">
      <w:pPr>
        <w:pStyle w:val="10"/>
        <w:numPr>
          <w:ilvl w:val="0"/>
          <w:numId w:val="1"/>
        </w:numPr>
        <w:spacing w:after="0" w:line="360" w:lineRule="auto"/>
        <w:jc w:val="both"/>
        <w:rPr>
          <w:rFonts w:ascii="David" w:hAnsi="David" w:cs="David"/>
          <w:b/>
          <w:bCs/>
          <w:sz w:val="24"/>
          <w:szCs w:val="24"/>
        </w:rPr>
      </w:pPr>
      <w:hyperlink r:id="rId62" w:history="1">
        <w:bookmarkStart w:id="75" w:name="Seif58"/>
        <w:r w:rsidRPr="00EF069D">
          <w:rPr>
            <w:rStyle w:val="Hyperlink"/>
            <w:rFonts w:ascii="David" w:hAnsi="David" w:cs="David"/>
            <w:sz w:val="24"/>
            <w:szCs w:val="24"/>
            <w:rtl/>
          </w:rPr>
          <w:t xml:space="preserve">סעיף </w:t>
        </w:r>
        <w:bookmarkEnd w:id="75"/>
        <w:r w:rsidRPr="00EF069D">
          <w:rPr>
            <w:rStyle w:val="Hyperlink"/>
            <w:rFonts w:ascii="David" w:hAnsi="David" w:cs="David"/>
            <w:sz w:val="24"/>
            <w:szCs w:val="24"/>
            <w:rtl/>
          </w:rPr>
          <w:t>33</w:t>
        </w:r>
      </w:hyperlink>
      <w:r w:rsidR="00000000" w:rsidRPr="001F725E">
        <w:rPr>
          <w:rFonts w:ascii="David" w:hAnsi="David" w:cs="David"/>
          <w:sz w:val="24"/>
          <w:szCs w:val="24"/>
          <w:rtl/>
        </w:rPr>
        <w:t xml:space="preserve"> ל</w:t>
      </w:r>
      <w:hyperlink r:id="rId63" w:history="1">
        <w:r w:rsidR="006476EC" w:rsidRPr="006476EC">
          <w:rPr>
            <w:rFonts w:ascii="David" w:hAnsi="David" w:cs="David"/>
            <w:color w:val="0000FF"/>
            <w:sz w:val="24"/>
            <w:szCs w:val="24"/>
            <w:u w:val="single"/>
            <w:rtl/>
          </w:rPr>
          <w:t>חוק הגנת הדייר</w:t>
        </w:r>
      </w:hyperlink>
      <w:r w:rsidR="00000000" w:rsidRPr="001F725E">
        <w:rPr>
          <w:rFonts w:ascii="David" w:hAnsi="David" w:cs="David"/>
          <w:sz w:val="24"/>
          <w:szCs w:val="24"/>
          <w:rtl/>
        </w:rPr>
        <w:t xml:space="preserve"> קובע כדלהלן: </w:t>
      </w:r>
    </w:p>
    <w:p w14:paraId="40C566B0" w14:textId="77777777" w:rsidR="004B515E" w:rsidRPr="001F725E" w:rsidRDefault="00000000" w:rsidP="003D53E9">
      <w:pPr>
        <w:pStyle w:val="11"/>
        <w:spacing w:line="360" w:lineRule="auto"/>
        <w:ind w:left="1344" w:hanging="777"/>
        <w:jc w:val="both"/>
        <w:rPr>
          <w:rFonts w:ascii="David" w:hAnsi="David"/>
          <w:b/>
          <w:bCs/>
          <w:noProof w:val="0"/>
          <w:rtl/>
        </w:rPr>
      </w:pPr>
      <w:r w:rsidRPr="001F725E">
        <w:rPr>
          <w:rFonts w:ascii="David" w:hAnsi="David"/>
          <w:b/>
          <w:bCs/>
          <w:noProof w:val="0"/>
          <w:rtl/>
        </w:rPr>
        <w:t>"בעל בית שהיה לדייר</w:t>
      </w:r>
    </w:p>
    <w:p w14:paraId="70014D05" w14:textId="77777777" w:rsidR="004B515E" w:rsidRPr="001F725E" w:rsidRDefault="00000000" w:rsidP="003D53E9">
      <w:pPr>
        <w:spacing w:line="360" w:lineRule="auto"/>
        <w:ind w:left="1440" w:right="851" w:hanging="778"/>
        <w:jc w:val="both"/>
        <w:rPr>
          <w:rStyle w:val="Hyperlink"/>
          <w:color w:val="auto"/>
          <w:u w:val="none"/>
        </w:rPr>
      </w:pPr>
      <w:r w:rsidRPr="001F725E">
        <w:rPr>
          <w:rFonts w:ascii="David" w:hAnsi="David"/>
          <w:b/>
          <w:bCs/>
          <w:noProof w:val="0"/>
          <w:rtl/>
        </w:rPr>
        <w:t>(א)</w:t>
      </w:r>
      <w:r w:rsidRPr="001F725E">
        <w:rPr>
          <w:rFonts w:ascii="David" w:hAnsi="David"/>
          <w:b/>
          <w:bCs/>
          <w:noProof w:val="0"/>
          <w:rtl/>
        </w:rPr>
        <w:tab/>
      </w:r>
      <w:r w:rsidRPr="001F725E">
        <w:rPr>
          <w:rStyle w:val="Hyperlink"/>
          <w:rFonts w:ascii="David" w:hAnsi="David"/>
          <w:b/>
          <w:bCs/>
          <w:noProof w:val="0"/>
          <w:color w:val="auto"/>
          <w:u w:val="none"/>
          <w:rtl/>
        </w:rPr>
        <w:t xml:space="preserve">החזיק אדם בנכס כשהוא בעלו או חוכרו-לדורות, או אחד הבעלים או החוכרים-לדורות, ופקעה זכותו בנכס מחמת מכירתו בהוצאה לפועל של פסק דין או של משכנתה או בפשיטת רגל, או מחמת חלוקת הנכס במשפט חלוקה או בהסדר קרקעות או מחמת חלוקתו על ידי רישום בפנקס הבתים המשותפים כאמור </w:t>
      </w:r>
      <w:hyperlink r:id="rId64" w:history="1">
        <w:r w:rsidR="00EF069D" w:rsidRPr="00EF069D">
          <w:rPr>
            <w:rStyle w:val="Hyperlink"/>
            <w:rFonts w:ascii="David" w:hAnsi="David"/>
            <w:b/>
            <w:bCs/>
            <w:noProof w:val="0"/>
            <w:rtl/>
          </w:rPr>
          <w:t>ב</w:t>
        </w:r>
        <w:bookmarkStart w:id="76" w:name="Seif59"/>
        <w:r w:rsidR="00EF069D" w:rsidRPr="00EF069D">
          <w:rPr>
            <w:rStyle w:val="Hyperlink"/>
            <w:rFonts w:ascii="David" w:hAnsi="David"/>
            <w:b/>
            <w:bCs/>
            <w:noProof w:val="0"/>
            <w:rtl/>
          </w:rPr>
          <w:t xml:space="preserve">סעיף </w:t>
        </w:r>
        <w:bookmarkEnd w:id="76"/>
        <w:r w:rsidR="00EF069D" w:rsidRPr="00EF069D">
          <w:rPr>
            <w:rStyle w:val="Hyperlink"/>
            <w:rFonts w:ascii="David" w:hAnsi="David"/>
            <w:b/>
            <w:bCs/>
            <w:noProof w:val="0"/>
            <w:rtl/>
          </w:rPr>
          <w:t>42</w:t>
        </w:r>
      </w:hyperlink>
      <w:r w:rsidRPr="001F725E">
        <w:rPr>
          <w:rStyle w:val="Hyperlink"/>
          <w:rFonts w:ascii="David" w:hAnsi="David"/>
          <w:b/>
          <w:bCs/>
          <w:noProof w:val="0"/>
          <w:color w:val="auto"/>
          <w:u w:val="none"/>
          <w:rtl/>
        </w:rPr>
        <w:t xml:space="preserve"> ל</w:t>
      </w:r>
      <w:hyperlink r:id="rId65" w:history="1">
        <w:r w:rsidR="006476EC" w:rsidRPr="006476EC">
          <w:rPr>
            <w:rStyle w:val="Hyperlink"/>
            <w:rFonts w:ascii="David" w:hAnsi="David"/>
            <w:b/>
            <w:bCs/>
            <w:noProof w:val="0"/>
            <w:rtl/>
          </w:rPr>
          <w:t>חוק המקרקעין</w:t>
        </w:r>
      </w:hyperlink>
      <w:r w:rsidRPr="001F725E">
        <w:rPr>
          <w:rStyle w:val="Hyperlink"/>
          <w:rFonts w:ascii="David" w:hAnsi="David"/>
          <w:b/>
          <w:bCs/>
          <w:noProof w:val="0"/>
          <w:color w:val="auto"/>
          <w:u w:val="none"/>
          <w:rtl/>
        </w:rPr>
        <w:t>, תשכ"ט-1969 – יהיה המחזיק לדייר של בעלו החדש של הנכס, או של [...]</w:t>
      </w:r>
    </w:p>
    <w:p w14:paraId="7CF4A5E9" w14:textId="77777777" w:rsidR="004B515E" w:rsidRPr="001F725E" w:rsidRDefault="00000000" w:rsidP="001F725E">
      <w:pPr>
        <w:spacing w:line="360" w:lineRule="auto"/>
        <w:ind w:left="1440" w:right="851" w:hanging="778"/>
        <w:jc w:val="both"/>
        <w:rPr>
          <w:rStyle w:val="Hyperlink"/>
          <w:rFonts w:ascii="David" w:hAnsi="David"/>
          <w:noProof w:val="0"/>
          <w:color w:val="auto"/>
          <w:u w:val="none"/>
          <w:rtl/>
        </w:rPr>
      </w:pPr>
      <w:r w:rsidRPr="001F725E">
        <w:rPr>
          <w:rStyle w:val="Hyperlink"/>
          <w:rFonts w:ascii="David" w:hAnsi="David"/>
          <w:b/>
          <w:bCs/>
          <w:noProof w:val="0"/>
          <w:color w:val="auto"/>
          <w:u w:val="none"/>
          <w:rtl/>
        </w:rPr>
        <w:t xml:space="preserve">(ד) </w:t>
      </w:r>
      <w:r w:rsidRPr="001F725E">
        <w:rPr>
          <w:rStyle w:val="Hyperlink"/>
          <w:rFonts w:ascii="David" w:hAnsi="David"/>
          <w:b/>
          <w:bCs/>
          <w:noProof w:val="0"/>
          <w:color w:val="auto"/>
          <w:u w:val="none"/>
          <w:rtl/>
        </w:rPr>
        <w:tab/>
        <w:t>החזיק אדם בנכס כשהוא אחד מבעליו או מחוכריו-לדורות, ופקעה זכותו בנכס מחמת מכירת חלקו של שותפו, בין מרצון ובין בהוצאה לפועל של פסק דין או של משכנתה או בפשיטת רגל –</w:t>
      </w:r>
      <w:r w:rsidR="006476EC">
        <w:rPr>
          <w:rStyle w:val="Hyperlink"/>
          <w:rFonts w:ascii="David" w:hAnsi="David"/>
          <w:b/>
          <w:bCs/>
          <w:noProof w:val="0"/>
          <w:color w:val="auto"/>
          <w:u w:val="none"/>
          <w:rtl/>
        </w:rPr>
        <w:t xml:space="preserve"> </w:t>
      </w:r>
      <w:r w:rsidRPr="001F725E">
        <w:rPr>
          <w:rStyle w:val="Hyperlink"/>
          <w:rFonts w:ascii="David" w:hAnsi="David"/>
          <w:b/>
          <w:bCs/>
          <w:noProof w:val="0"/>
          <w:color w:val="auto"/>
          <w:u w:val="none"/>
          <w:rtl/>
        </w:rPr>
        <w:t xml:space="preserve">יהיה המחזיק לדייר של בעלו החדש של הנכס, או של חוכרו-לדורות החדש, לפי הענין. " </w:t>
      </w:r>
    </w:p>
    <w:p w14:paraId="508DC777" w14:textId="77777777" w:rsidR="004B515E" w:rsidRDefault="004B515E" w:rsidP="003D53E9">
      <w:pPr>
        <w:pStyle w:val="10"/>
        <w:snapToGrid w:val="0"/>
        <w:spacing w:after="0" w:line="360" w:lineRule="auto"/>
        <w:ind w:left="-58"/>
        <w:jc w:val="both"/>
        <w:rPr>
          <w:rFonts w:cs="David"/>
          <w:sz w:val="24"/>
          <w:szCs w:val="24"/>
          <w:u w:val="single"/>
          <w:rtl/>
        </w:rPr>
      </w:pPr>
    </w:p>
    <w:p w14:paraId="6A2A08C1"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b/>
          <w:bCs/>
          <w:sz w:val="24"/>
          <w:szCs w:val="24"/>
          <w:rtl/>
        </w:rPr>
        <w:lastRenderedPageBreak/>
        <w:t>לאחר בחינת טענות הצדדים דין טענת האם לדיירות מוגנת להידחות.</w:t>
      </w:r>
    </w:p>
    <w:p w14:paraId="699EBCDC" w14:textId="77777777" w:rsidR="004B515E" w:rsidRDefault="004B515E" w:rsidP="003D53E9">
      <w:pPr>
        <w:pStyle w:val="10"/>
        <w:spacing w:after="0" w:line="360" w:lineRule="auto"/>
        <w:ind w:left="567"/>
        <w:jc w:val="both"/>
        <w:rPr>
          <w:rFonts w:ascii="David" w:hAnsi="David" w:cs="David"/>
          <w:sz w:val="24"/>
          <w:szCs w:val="24"/>
        </w:rPr>
      </w:pPr>
    </w:p>
    <w:p w14:paraId="09C04195"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sz w:val="24"/>
          <w:szCs w:val="24"/>
          <w:rtl/>
        </w:rPr>
        <w:t xml:space="preserve">בהתאם </w:t>
      </w:r>
      <w:hyperlink r:id="rId66" w:history="1">
        <w:r w:rsidR="00EF069D" w:rsidRPr="00EF069D">
          <w:rPr>
            <w:rStyle w:val="Hyperlink"/>
            <w:rFonts w:ascii="David" w:hAnsi="David" w:cs="David"/>
            <w:sz w:val="24"/>
            <w:szCs w:val="24"/>
            <w:rtl/>
          </w:rPr>
          <w:t>ל</w:t>
        </w:r>
        <w:bookmarkStart w:id="77" w:name="Seif60"/>
        <w:r w:rsidR="00EF069D" w:rsidRPr="00EF069D">
          <w:rPr>
            <w:rStyle w:val="Hyperlink"/>
            <w:rFonts w:ascii="David" w:hAnsi="David" w:cs="David"/>
            <w:sz w:val="24"/>
            <w:szCs w:val="24"/>
            <w:rtl/>
          </w:rPr>
          <w:t xml:space="preserve">סעיף </w:t>
        </w:r>
        <w:bookmarkEnd w:id="77"/>
        <w:r w:rsidR="00EF069D" w:rsidRPr="00EF069D">
          <w:rPr>
            <w:rStyle w:val="Hyperlink"/>
            <w:rFonts w:ascii="David" w:hAnsi="David" w:cs="David"/>
            <w:sz w:val="24"/>
            <w:szCs w:val="24"/>
            <w:rtl/>
          </w:rPr>
          <w:t>33(א) ו-(ד)</w:t>
        </w:r>
      </w:hyperlink>
      <w:r>
        <w:rPr>
          <w:rFonts w:ascii="David" w:hAnsi="David" w:cs="David"/>
          <w:sz w:val="24"/>
          <w:szCs w:val="24"/>
          <w:rtl/>
        </w:rPr>
        <w:t xml:space="preserve"> ל</w:t>
      </w:r>
      <w:hyperlink r:id="rId67" w:history="1">
        <w:r w:rsidR="006476EC" w:rsidRPr="006476EC">
          <w:rPr>
            <w:rFonts w:ascii="David" w:hAnsi="David" w:cs="David"/>
            <w:color w:val="0000FF"/>
            <w:sz w:val="24"/>
            <w:szCs w:val="24"/>
            <w:u w:val="single"/>
            <w:rtl/>
          </w:rPr>
          <w:t>חוק הגנת הדייר</w:t>
        </w:r>
      </w:hyperlink>
      <w:r>
        <w:rPr>
          <w:rFonts w:ascii="David" w:hAnsi="David" w:cs="David"/>
          <w:sz w:val="24"/>
          <w:szCs w:val="24"/>
          <w:rtl/>
        </w:rPr>
        <w:t xml:space="preserve"> במקרה של פירוק שיתוף בנכס אשר בגינו פוקעת זכותו של בעל נכס או אחד מבעליו המחזיק בנכס, אזי המחזיק בנכס יהיה לדייר של בעלו החדש של הנכס. </w:t>
      </w:r>
    </w:p>
    <w:p w14:paraId="2FA095B2" w14:textId="77777777" w:rsidR="004B515E" w:rsidRDefault="004B515E" w:rsidP="003D53E9">
      <w:pPr>
        <w:pStyle w:val="10"/>
        <w:rPr>
          <w:rFonts w:ascii="David" w:hAnsi="David" w:cs="David"/>
          <w:sz w:val="24"/>
          <w:szCs w:val="24"/>
        </w:rPr>
      </w:pPr>
    </w:p>
    <w:p w14:paraId="3E9B99B7"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הפסיקה העניקה פרשנות מצמצמת לתחולת </w:t>
      </w:r>
      <w:hyperlink r:id="rId68" w:history="1">
        <w:bookmarkStart w:id="78" w:name="Seif61"/>
        <w:r w:rsidR="00EF069D" w:rsidRPr="00EF069D">
          <w:rPr>
            <w:rStyle w:val="Hyperlink"/>
            <w:rFonts w:ascii="David" w:hAnsi="David" w:cs="David"/>
            <w:sz w:val="24"/>
            <w:szCs w:val="24"/>
            <w:rtl/>
          </w:rPr>
          <w:t xml:space="preserve">סעיף </w:t>
        </w:r>
        <w:bookmarkEnd w:id="78"/>
        <w:r w:rsidR="00EF069D" w:rsidRPr="00EF069D">
          <w:rPr>
            <w:rStyle w:val="Hyperlink"/>
            <w:rFonts w:ascii="David" w:hAnsi="David" w:cs="David"/>
            <w:sz w:val="24"/>
            <w:szCs w:val="24"/>
            <w:rtl/>
          </w:rPr>
          <w:t>33(א)</w:t>
        </w:r>
      </w:hyperlink>
      <w:r>
        <w:rPr>
          <w:rFonts w:ascii="David" w:hAnsi="David" w:cs="David"/>
          <w:sz w:val="24"/>
          <w:szCs w:val="24"/>
          <w:rtl/>
        </w:rPr>
        <w:t xml:space="preserve"> ל</w:t>
      </w:r>
      <w:hyperlink r:id="rId69" w:history="1">
        <w:r w:rsidR="006476EC" w:rsidRPr="006476EC">
          <w:rPr>
            <w:rFonts w:ascii="David" w:hAnsi="David" w:cs="David"/>
            <w:color w:val="0000FF"/>
            <w:sz w:val="24"/>
            <w:szCs w:val="24"/>
            <w:u w:val="single"/>
            <w:rtl/>
          </w:rPr>
          <w:t>חוק הגנת הדייר</w:t>
        </w:r>
      </w:hyperlink>
      <w:r>
        <w:rPr>
          <w:rFonts w:ascii="David" w:hAnsi="David" w:cs="David"/>
          <w:sz w:val="24"/>
          <w:szCs w:val="24"/>
          <w:rtl/>
        </w:rPr>
        <w:t xml:space="preserve">. </w:t>
      </w:r>
    </w:p>
    <w:p w14:paraId="7264E954" w14:textId="77777777" w:rsidR="004B515E" w:rsidRDefault="00000000" w:rsidP="003D53E9">
      <w:pPr>
        <w:pStyle w:val="10"/>
        <w:spacing w:after="0" w:line="360" w:lineRule="auto"/>
        <w:ind w:left="567"/>
        <w:jc w:val="both"/>
        <w:rPr>
          <w:rFonts w:ascii="David" w:hAnsi="David" w:cs="David"/>
          <w:sz w:val="24"/>
          <w:szCs w:val="24"/>
        </w:rPr>
      </w:pPr>
      <w:r>
        <w:rPr>
          <w:rFonts w:ascii="David" w:hAnsi="David" w:cs="David"/>
          <w:sz w:val="24"/>
          <w:szCs w:val="24"/>
          <w:rtl/>
        </w:rPr>
        <w:t xml:space="preserve">ראו: </w:t>
      </w:r>
      <w:hyperlink r:id="rId70" w:history="1">
        <w:r w:rsidR="006476EC" w:rsidRPr="006476EC">
          <w:rPr>
            <w:rFonts w:ascii="David" w:hAnsi="David" w:cs="David"/>
            <w:color w:val="0000FF"/>
            <w:sz w:val="24"/>
            <w:szCs w:val="24"/>
            <w:u w:val="single"/>
            <w:rtl/>
          </w:rPr>
          <w:t>רמ"ש (חי') 36410-01-24</w:t>
        </w:r>
      </w:hyperlink>
      <w:r>
        <w:rPr>
          <w:rFonts w:ascii="David" w:hAnsi="David" w:cs="David"/>
          <w:sz w:val="24"/>
          <w:szCs w:val="24"/>
          <w:rtl/>
        </w:rPr>
        <w:t xml:space="preserve"> </w:t>
      </w:r>
      <w:r>
        <w:rPr>
          <w:rFonts w:ascii="Miriam" w:hAnsi="Miriam" w:cs="Miriam"/>
          <w:sz w:val="24"/>
          <w:szCs w:val="24"/>
          <w:rtl/>
        </w:rPr>
        <w:t>ה' נ' ה'</w:t>
      </w:r>
      <w:r>
        <w:rPr>
          <w:rFonts w:ascii="David" w:hAnsi="David" w:cs="David"/>
          <w:sz w:val="24"/>
          <w:szCs w:val="24"/>
          <w:rtl/>
        </w:rPr>
        <w:t xml:space="preserve"> </w:t>
      </w:r>
      <w:r w:rsidR="003E7583">
        <w:rPr>
          <w:rFonts w:ascii="David" w:hAnsi="David" w:cs="David"/>
          <w:sz w:val="24"/>
          <w:szCs w:val="24"/>
          <w:rtl/>
        </w:rPr>
        <w:t>[נבו]</w:t>
      </w:r>
      <w:r w:rsidR="003E7583">
        <w:rPr>
          <w:rFonts w:ascii="David" w:hAnsi="David" w:cs="David" w:hint="cs"/>
          <w:sz w:val="24"/>
          <w:szCs w:val="24"/>
          <w:rtl/>
        </w:rPr>
        <w:t xml:space="preserve"> </w:t>
      </w:r>
      <w:r>
        <w:rPr>
          <w:rFonts w:ascii="David" w:hAnsi="David" w:cs="David"/>
          <w:sz w:val="24"/>
          <w:szCs w:val="24"/>
          <w:rtl/>
        </w:rPr>
        <w:t>(3.4.2024).</w:t>
      </w:r>
    </w:p>
    <w:p w14:paraId="24583247" w14:textId="77777777" w:rsidR="004B515E" w:rsidRDefault="006476EC" w:rsidP="003D53E9">
      <w:pPr>
        <w:pStyle w:val="10"/>
        <w:spacing w:after="0" w:line="360" w:lineRule="auto"/>
        <w:ind w:left="567"/>
        <w:jc w:val="both"/>
        <w:rPr>
          <w:rFonts w:ascii="David" w:hAnsi="David" w:cs="David"/>
          <w:sz w:val="24"/>
          <w:szCs w:val="24"/>
          <w:rtl/>
        </w:rPr>
      </w:pPr>
      <w:hyperlink r:id="rId71" w:history="1">
        <w:r w:rsidRPr="006476EC">
          <w:rPr>
            <w:rFonts w:ascii="David" w:hAnsi="David" w:cs="David"/>
            <w:color w:val="0000FF"/>
            <w:sz w:val="24"/>
            <w:szCs w:val="24"/>
            <w:u w:val="single"/>
            <w:rtl/>
          </w:rPr>
          <w:t>תמ"ש (נצ') 36750-02-14</w:t>
        </w:r>
      </w:hyperlink>
      <w:r w:rsidR="00000000">
        <w:rPr>
          <w:rFonts w:ascii="David" w:hAnsi="David" w:cs="David"/>
          <w:sz w:val="24"/>
          <w:szCs w:val="24"/>
          <w:rtl/>
        </w:rPr>
        <w:t xml:space="preserve">  </w:t>
      </w:r>
      <w:r w:rsidR="00000000">
        <w:rPr>
          <w:rFonts w:ascii="Miriam" w:hAnsi="Miriam" w:cs="Miriam"/>
          <w:sz w:val="24"/>
          <w:szCs w:val="24"/>
          <w:rtl/>
        </w:rPr>
        <w:t>ע.פ נ' ג.פ</w:t>
      </w:r>
      <w:r w:rsidR="00000000">
        <w:rPr>
          <w:rFonts w:ascii="David" w:hAnsi="David" w:cs="David"/>
          <w:sz w:val="24"/>
          <w:szCs w:val="24"/>
          <w:rtl/>
        </w:rPr>
        <w:t xml:space="preserve">  </w:t>
      </w:r>
      <w:r w:rsidR="003E7583">
        <w:rPr>
          <w:rFonts w:ascii="David" w:hAnsi="David" w:cs="David"/>
          <w:sz w:val="24"/>
          <w:szCs w:val="24"/>
          <w:rtl/>
        </w:rPr>
        <w:t>[נבו]</w:t>
      </w:r>
      <w:r w:rsidR="003E7583">
        <w:rPr>
          <w:rFonts w:ascii="David" w:hAnsi="David" w:cs="David" w:hint="cs"/>
          <w:sz w:val="24"/>
          <w:szCs w:val="24"/>
          <w:rtl/>
        </w:rPr>
        <w:t xml:space="preserve"> </w:t>
      </w:r>
      <w:r w:rsidR="00000000">
        <w:rPr>
          <w:rFonts w:ascii="David" w:hAnsi="David" w:cs="David"/>
          <w:sz w:val="24"/>
          <w:szCs w:val="24"/>
          <w:rtl/>
        </w:rPr>
        <w:t>(26.7.15).</w:t>
      </w:r>
    </w:p>
    <w:p w14:paraId="668DA3E2" w14:textId="77777777" w:rsidR="004B515E" w:rsidRDefault="004B515E" w:rsidP="003D53E9">
      <w:pPr>
        <w:pStyle w:val="10"/>
        <w:spacing w:after="0" w:line="360" w:lineRule="auto"/>
        <w:ind w:left="567"/>
        <w:jc w:val="both"/>
        <w:rPr>
          <w:rFonts w:ascii="David" w:hAnsi="David" w:cs="David"/>
          <w:sz w:val="24"/>
          <w:szCs w:val="24"/>
          <w:rtl/>
        </w:rPr>
      </w:pPr>
    </w:p>
    <w:p w14:paraId="62D509FD"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בענייננו עמדתי בהרחבה על הסכמת התובע למגוריה של הנתבעת. אולם זכות זו אינה זכות בלתי הדירה והנתבעת לא הוכיחה כי הסכמתו זו הייתה לא מסוייגת לכל ימי חייה. להסכמתו של התובע למגורים ניתן משקל ניכר </w:t>
      </w:r>
      <w:hyperlink r:id="rId72" w:history="1">
        <w:r w:rsidR="00EF069D" w:rsidRPr="00EF069D">
          <w:rPr>
            <w:rStyle w:val="Hyperlink"/>
            <w:rFonts w:ascii="David" w:hAnsi="David" w:cs="David"/>
            <w:sz w:val="24"/>
            <w:szCs w:val="24"/>
            <w:rtl/>
          </w:rPr>
          <w:t>ב</w:t>
        </w:r>
        <w:bookmarkStart w:id="79" w:name="Seif62"/>
        <w:r w:rsidR="00EF069D" w:rsidRPr="00EF069D">
          <w:rPr>
            <w:rStyle w:val="Hyperlink"/>
            <w:rFonts w:ascii="David" w:hAnsi="David" w:cs="David"/>
            <w:sz w:val="24"/>
            <w:szCs w:val="24"/>
            <w:rtl/>
          </w:rPr>
          <w:t xml:space="preserve">סעיף </w:t>
        </w:r>
        <w:bookmarkEnd w:id="79"/>
        <w:r w:rsidR="00EF069D" w:rsidRPr="00EF069D">
          <w:rPr>
            <w:rStyle w:val="Hyperlink"/>
            <w:rFonts w:ascii="David" w:hAnsi="David" w:cs="David"/>
            <w:sz w:val="24"/>
            <w:szCs w:val="24"/>
            <w:rtl/>
          </w:rPr>
          <w:t>115.</w:t>
        </w:r>
      </w:hyperlink>
      <w:r>
        <w:rPr>
          <w:rFonts w:ascii="David" w:hAnsi="David" w:cs="David"/>
          <w:sz w:val="24"/>
          <w:szCs w:val="24"/>
          <w:rtl/>
        </w:rPr>
        <w:t xml:space="preserve"> איני סבורה כי ההסכמה שהייתה הינה באופן המשפיע על שוויו זכותו של התובע לפירוק שיתוף, הקניית זכות לכל ימי חייה של הנתבעת ומכירת הדירה כתפוסה. זאת לא דובר מעולם בין הצדדים והנתבעת לא הביאה כל הוכחה לכך.</w:t>
      </w:r>
    </w:p>
    <w:p w14:paraId="21ED168A"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sz w:val="24"/>
          <w:szCs w:val="24"/>
          <w:rtl/>
        </w:rPr>
        <w:t xml:space="preserve">הגשת התביעה לפירוק שיתוף מהווה הבעת עמדה מובהקת לפירוק השיתוף. אמנם קבעתי לעיל כי מתקיימים תנאי </w:t>
      </w:r>
      <w:hyperlink r:id="rId73" w:history="1">
        <w:bookmarkStart w:id="80" w:name="Seif63"/>
        <w:r w:rsidR="00EF069D" w:rsidRPr="00EF069D">
          <w:rPr>
            <w:rStyle w:val="Hyperlink"/>
            <w:rFonts w:ascii="David" w:hAnsi="David" w:cs="David"/>
            <w:sz w:val="24"/>
            <w:szCs w:val="24"/>
            <w:rtl/>
          </w:rPr>
          <w:t xml:space="preserve">סעיף </w:t>
        </w:r>
        <w:bookmarkEnd w:id="80"/>
        <w:r w:rsidR="00EF069D" w:rsidRPr="00EF069D">
          <w:rPr>
            <w:rStyle w:val="Hyperlink"/>
            <w:rFonts w:ascii="David" w:hAnsi="David" w:cs="David"/>
            <w:sz w:val="24"/>
            <w:szCs w:val="24"/>
            <w:rtl/>
          </w:rPr>
          <w:t>115</w:t>
        </w:r>
      </w:hyperlink>
      <w:r>
        <w:rPr>
          <w:rFonts w:ascii="David" w:hAnsi="David" w:cs="David"/>
          <w:sz w:val="24"/>
          <w:szCs w:val="24"/>
          <w:rtl/>
        </w:rPr>
        <w:t xml:space="preserve"> ל</w:t>
      </w:r>
      <w:hyperlink r:id="rId74" w:history="1">
        <w:r w:rsidR="006476EC" w:rsidRPr="006476EC">
          <w:rPr>
            <w:rFonts w:ascii="David" w:hAnsi="David" w:cs="David"/>
            <w:color w:val="0000FF"/>
            <w:sz w:val="24"/>
            <w:szCs w:val="24"/>
            <w:u w:val="single"/>
            <w:rtl/>
          </w:rPr>
          <w:t>חוק הירושה</w:t>
        </w:r>
      </w:hyperlink>
      <w:r>
        <w:rPr>
          <w:rFonts w:ascii="David" w:hAnsi="David" w:cs="David"/>
          <w:sz w:val="24"/>
          <w:szCs w:val="24"/>
          <w:rtl/>
        </w:rPr>
        <w:t>. אולם מטרות ה</w:t>
      </w:r>
      <w:bookmarkStart w:id="81" w:name="Seif1"/>
      <w:r>
        <w:rPr>
          <w:rFonts w:ascii="David" w:hAnsi="David" w:cs="David"/>
          <w:sz w:val="24"/>
          <w:szCs w:val="24"/>
          <w:rtl/>
        </w:rPr>
        <w:t xml:space="preserve">סעיפים </w:t>
      </w:r>
      <w:bookmarkEnd w:id="81"/>
      <w:r>
        <w:rPr>
          <w:rFonts w:ascii="David" w:hAnsi="David" w:cs="David"/>
          <w:sz w:val="24"/>
          <w:szCs w:val="24"/>
          <w:rtl/>
        </w:rPr>
        <w:t xml:space="preserve">והיחס ביניהם שונה. </w:t>
      </w:r>
      <w:hyperlink r:id="rId75" w:history="1">
        <w:bookmarkStart w:id="82" w:name="Seif64"/>
        <w:r w:rsidR="00EF069D" w:rsidRPr="00EF069D">
          <w:rPr>
            <w:rStyle w:val="Hyperlink"/>
            <w:rFonts w:ascii="David" w:hAnsi="David" w:cs="David"/>
            <w:sz w:val="24"/>
            <w:szCs w:val="24"/>
            <w:rtl/>
          </w:rPr>
          <w:t xml:space="preserve">סעיף </w:t>
        </w:r>
        <w:bookmarkEnd w:id="82"/>
        <w:r w:rsidR="00EF069D" w:rsidRPr="00EF069D">
          <w:rPr>
            <w:rStyle w:val="Hyperlink"/>
            <w:rFonts w:ascii="David" w:hAnsi="David" w:cs="David"/>
            <w:sz w:val="24"/>
            <w:szCs w:val="24"/>
            <w:rtl/>
          </w:rPr>
          <w:t>115</w:t>
        </w:r>
      </w:hyperlink>
      <w:r>
        <w:rPr>
          <w:rFonts w:ascii="David" w:hAnsi="David" w:cs="David"/>
          <w:sz w:val="24"/>
          <w:szCs w:val="24"/>
          <w:rtl/>
        </w:rPr>
        <w:t xml:space="preserve"> ל</w:t>
      </w:r>
      <w:hyperlink r:id="rId76" w:history="1">
        <w:r w:rsidR="006476EC" w:rsidRPr="006476EC">
          <w:rPr>
            <w:rFonts w:ascii="David" w:hAnsi="David" w:cs="David"/>
            <w:color w:val="0000FF"/>
            <w:sz w:val="24"/>
            <w:szCs w:val="24"/>
            <w:u w:val="single"/>
            <w:rtl/>
          </w:rPr>
          <w:t>חוק הירושה</w:t>
        </w:r>
      </w:hyperlink>
      <w:r>
        <w:rPr>
          <w:rFonts w:ascii="David" w:hAnsi="David" w:cs="David"/>
          <w:sz w:val="24"/>
          <w:szCs w:val="24"/>
          <w:rtl/>
        </w:rPr>
        <w:t xml:space="preserve"> נועד להוות פתרון זמני לתקופה קצובה. </w:t>
      </w:r>
      <w:hyperlink r:id="rId77" w:history="1">
        <w:bookmarkStart w:id="83" w:name="Seif65"/>
        <w:r w:rsidR="00EF069D" w:rsidRPr="00EF069D">
          <w:rPr>
            <w:rStyle w:val="Hyperlink"/>
            <w:rFonts w:ascii="David" w:hAnsi="David" w:cs="David"/>
            <w:sz w:val="24"/>
            <w:szCs w:val="24"/>
            <w:rtl/>
          </w:rPr>
          <w:t xml:space="preserve">סעיף </w:t>
        </w:r>
        <w:bookmarkEnd w:id="83"/>
        <w:r w:rsidR="00EF069D" w:rsidRPr="00EF069D">
          <w:rPr>
            <w:rStyle w:val="Hyperlink"/>
            <w:rFonts w:ascii="David" w:hAnsi="David" w:cs="David"/>
            <w:sz w:val="24"/>
            <w:szCs w:val="24"/>
            <w:rtl/>
          </w:rPr>
          <w:t>33</w:t>
        </w:r>
      </w:hyperlink>
      <w:r>
        <w:rPr>
          <w:rFonts w:ascii="David" w:hAnsi="David" w:cs="David"/>
          <w:sz w:val="24"/>
          <w:szCs w:val="24"/>
          <w:rtl/>
        </w:rPr>
        <w:t xml:space="preserve"> ל</w:t>
      </w:r>
      <w:hyperlink r:id="rId78" w:history="1">
        <w:r w:rsidR="006476EC" w:rsidRPr="006476EC">
          <w:rPr>
            <w:rFonts w:ascii="David" w:hAnsi="David" w:cs="David"/>
            <w:color w:val="0000FF"/>
            <w:sz w:val="24"/>
            <w:szCs w:val="24"/>
            <w:u w:val="single"/>
            <w:rtl/>
          </w:rPr>
          <w:t>חוק הגנת הדייר</w:t>
        </w:r>
      </w:hyperlink>
      <w:r>
        <w:rPr>
          <w:rFonts w:ascii="David" w:hAnsi="David" w:cs="David"/>
          <w:sz w:val="24"/>
          <w:szCs w:val="24"/>
          <w:rtl/>
        </w:rPr>
        <w:t xml:space="preserve"> מהווה זכות קבועה המשפיעה ישירות על ביצוע פירוק השיתוף ושוויו. </w:t>
      </w:r>
    </w:p>
    <w:p w14:paraId="1F8667A1" w14:textId="77777777" w:rsidR="004B515E" w:rsidRDefault="004B515E" w:rsidP="003D53E9">
      <w:pPr>
        <w:pStyle w:val="10"/>
        <w:spacing w:after="0" w:line="360" w:lineRule="auto"/>
        <w:ind w:left="567"/>
        <w:jc w:val="both"/>
        <w:rPr>
          <w:rFonts w:ascii="David" w:hAnsi="David" w:cs="David"/>
          <w:sz w:val="24"/>
          <w:szCs w:val="24"/>
        </w:rPr>
      </w:pPr>
    </w:p>
    <w:p w14:paraId="02424783"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sz w:val="24"/>
          <w:szCs w:val="24"/>
          <w:rtl/>
        </w:rPr>
        <w:t>לא שוכנעתי מנימוקי הנתבעת כי היא עומדת בפרשנות המצמצמת של הפסיקה לתחולת ה</w:t>
      </w:r>
      <w:bookmarkStart w:id="84" w:name="Seif66"/>
      <w:r>
        <w:rPr>
          <w:rFonts w:ascii="David" w:hAnsi="David" w:cs="David"/>
          <w:sz w:val="24"/>
          <w:szCs w:val="24"/>
          <w:rtl/>
        </w:rPr>
        <w:t xml:space="preserve">סעיף </w:t>
      </w:r>
      <w:bookmarkEnd w:id="84"/>
      <w:r>
        <w:rPr>
          <w:rFonts w:ascii="David" w:hAnsi="David" w:cs="David"/>
          <w:sz w:val="24"/>
          <w:szCs w:val="24"/>
          <w:rtl/>
        </w:rPr>
        <w:t xml:space="preserve">לגביה. </w:t>
      </w:r>
    </w:p>
    <w:p w14:paraId="43BE0CA9" w14:textId="77777777" w:rsidR="004B515E" w:rsidRDefault="004B515E" w:rsidP="003D53E9">
      <w:pPr>
        <w:pStyle w:val="10"/>
        <w:rPr>
          <w:rFonts w:ascii="David" w:hAnsi="David" w:cs="David"/>
          <w:sz w:val="24"/>
          <w:szCs w:val="24"/>
        </w:rPr>
      </w:pPr>
    </w:p>
    <w:p w14:paraId="6CF87F58"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על כן אני מורה על דחיית טענה זו. </w:t>
      </w:r>
    </w:p>
    <w:p w14:paraId="143A3C8C" w14:textId="77777777" w:rsidR="004B515E" w:rsidRDefault="004B515E" w:rsidP="003D53E9">
      <w:pPr>
        <w:pStyle w:val="10"/>
        <w:spacing w:after="0" w:line="360" w:lineRule="auto"/>
        <w:rPr>
          <w:rFonts w:ascii="David" w:hAnsi="David" w:cs="David"/>
          <w:sz w:val="24"/>
          <w:szCs w:val="24"/>
        </w:rPr>
      </w:pPr>
    </w:p>
    <w:p w14:paraId="193177CA" w14:textId="77777777" w:rsidR="004B515E" w:rsidRDefault="00000000" w:rsidP="003D53E9">
      <w:pPr>
        <w:pStyle w:val="10"/>
        <w:numPr>
          <w:ilvl w:val="0"/>
          <w:numId w:val="2"/>
        </w:numPr>
        <w:spacing w:after="0" w:line="360" w:lineRule="auto"/>
        <w:ind w:left="567" w:hanging="567"/>
        <w:jc w:val="both"/>
        <w:rPr>
          <w:rFonts w:ascii="David" w:hAnsi="David" w:cs="David"/>
          <w:b/>
          <w:bCs/>
          <w:sz w:val="28"/>
          <w:szCs w:val="28"/>
          <w:u w:val="single"/>
        </w:rPr>
      </w:pPr>
      <w:r>
        <w:rPr>
          <w:rFonts w:ascii="David" w:hAnsi="David" w:cs="David"/>
          <w:b/>
          <w:bCs/>
          <w:sz w:val="28"/>
          <w:szCs w:val="28"/>
          <w:u w:val="single"/>
          <w:rtl/>
        </w:rPr>
        <w:t xml:space="preserve">סיכום  </w:t>
      </w:r>
    </w:p>
    <w:p w14:paraId="19CD4B50" w14:textId="77777777" w:rsidR="004B515E" w:rsidRDefault="004B515E" w:rsidP="001F725E">
      <w:pPr>
        <w:pStyle w:val="10"/>
        <w:spacing w:after="0" w:line="360" w:lineRule="auto"/>
        <w:ind w:left="567"/>
        <w:jc w:val="both"/>
        <w:rPr>
          <w:rFonts w:ascii="David" w:hAnsi="David" w:cs="David"/>
          <w:b/>
          <w:bCs/>
          <w:sz w:val="28"/>
          <w:szCs w:val="28"/>
          <w:u w:val="single"/>
          <w:rtl/>
        </w:rPr>
      </w:pPr>
    </w:p>
    <w:p w14:paraId="73CF081D" w14:textId="77777777" w:rsidR="004B515E" w:rsidRDefault="00000000" w:rsidP="003D53E9">
      <w:pPr>
        <w:pStyle w:val="10"/>
        <w:numPr>
          <w:ilvl w:val="0"/>
          <w:numId w:val="1"/>
        </w:numPr>
        <w:spacing w:after="0" w:line="360" w:lineRule="auto"/>
        <w:jc w:val="both"/>
        <w:rPr>
          <w:rFonts w:ascii="David" w:hAnsi="David" w:cs="David"/>
          <w:sz w:val="24"/>
          <w:szCs w:val="24"/>
          <w:rtl/>
        </w:rPr>
      </w:pPr>
      <w:r>
        <w:rPr>
          <w:rFonts w:ascii="David" w:hAnsi="David" w:cs="David"/>
          <w:sz w:val="24"/>
          <w:szCs w:val="24"/>
          <w:rtl/>
        </w:rPr>
        <w:t xml:space="preserve">אשר על כן אני מורה על דחיית </w:t>
      </w:r>
      <w:bookmarkStart w:id="85" w:name="Seif104"/>
      <w:r>
        <w:rPr>
          <w:rFonts w:ascii="David" w:hAnsi="David" w:cs="David"/>
          <w:sz w:val="24"/>
          <w:szCs w:val="24"/>
          <w:rtl/>
        </w:rPr>
        <w:t xml:space="preserve">כלל טענות </w:t>
      </w:r>
      <w:bookmarkEnd w:id="85"/>
      <w:r>
        <w:rPr>
          <w:rFonts w:ascii="David" w:hAnsi="David" w:cs="David"/>
          <w:sz w:val="24"/>
          <w:szCs w:val="24"/>
          <w:rtl/>
        </w:rPr>
        <w:t xml:space="preserve">הנתבעות למעט קבלת הטענה כי מתקיים הנדרש בהתאם </w:t>
      </w:r>
      <w:hyperlink r:id="rId79" w:history="1">
        <w:r w:rsidR="00EF069D" w:rsidRPr="00EF069D">
          <w:rPr>
            <w:rStyle w:val="Hyperlink"/>
            <w:rFonts w:ascii="David" w:hAnsi="David" w:cs="David"/>
            <w:sz w:val="24"/>
            <w:szCs w:val="24"/>
            <w:rtl/>
          </w:rPr>
          <w:t>ל</w:t>
        </w:r>
        <w:bookmarkStart w:id="86" w:name="Seif67"/>
        <w:r w:rsidR="00EF069D" w:rsidRPr="00EF069D">
          <w:rPr>
            <w:rStyle w:val="Hyperlink"/>
            <w:rFonts w:ascii="David" w:hAnsi="David" w:cs="David"/>
            <w:sz w:val="24"/>
            <w:szCs w:val="24"/>
            <w:rtl/>
          </w:rPr>
          <w:t xml:space="preserve">סעיף </w:t>
        </w:r>
        <w:bookmarkEnd w:id="86"/>
        <w:r w:rsidR="00EF069D" w:rsidRPr="00EF069D">
          <w:rPr>
            <w:rStyle w:val="Hyperlink"/>
            <w:rFonts w:ascii="David" w:hAnsi="David" w:cs="David"/>
            <w:sz w:val="24"/>
            <w:szCs w:val="24"/>
            <w:rtl/>
          </w:rPr>
          <w:t>115</w:t>
        </w:r>
      </w:hyperlink>
      <w:r>
        <w:rPr>
          <w:rFonts w:ascii="David" w:hAnsi="David" w:cs="David"/>
          <w:sz w:val="24"/>
          <w:szCs w:val="24"/>
          <w:rtl/>
        </w:rPr>
        <w:t xml:space="preserve"> ל</w:t>
      </w:r>
      <w:hyperlink r:id="rId80" w:history="1">
        <w:r w:rsidR="006476EC" w:rsidRPr="006476EC">
          <w:rPr>
            <w:rFonts w:ascii="David" w:hAnsi="David" w:cs="David"/>
            <w:color w:val="0000FF"/>
            <w:sz w:val="24"/>
            <w:szCs w:val="24"/>
            <w:u w:val="single"/>
            <w:rtl/>
          </w:rPr>
          <w:t>חוק הירושה</w:t>
        </w:r>
      </w:hyperlink>
      <w:r>
        <w:rPr>
          <w:rFonts w:ascii="David" w:hAnsi="David" w:cs="David"/>
          <w:sz w:val="24"/>
          <w:szCs w:val="24"/>
          <w:rtl/>
        </w:rPr>
        <w:t>. תקופת שהותה של הנתבעת בדירה, התשלום לתובע, והמועד בו ייכנס פירוק השיתוף לתוקף יהיו בהתאם לאמור ב</w:t>
      </w:r>
      <w:bookmarkStart w:id="87" w:name="Seif68"/>
      <w:r>
        <w:rPr>
          <w:rFonts w:ascii="David" w:hAnsi="David" w:cs="David"/>
          <w:sz w:val="24"/>
          <w:szCs w:val="24"/>
          <w:rtl/>
        </w:rPr>
        <w:t xml:space="preserve">סעיף </w:t>
      </w:r>
      <w:bookmarkEnd w:id="87"/>
      <w:r>
        <w:rPr>
          <w:rFonts w:ascii="David" w:hAnsi="David" w:cs="David"/>
          <w:sz w:val="24"/>
          <w:szCs w:val="24"/>
          <w:rtl/>
        </w:rPr>
        <w:t>79 לעיל.</w:t>
      </w:r>
    </w:p>
    <w:p w14:paraId="68772862" w14:textId="77777777" w:rsidR="004B515E" w:rsidRDefault="004B515E" w:rsidP="003D53E9">
      <w:pPr>
        <w:pStyle w:val="10"/>
        <w:spacing w:after="0" w:line="360" w:lineRule="auto"/>
        <w:ind w:left="567"/>
        <w:jc w:val="both"/>
        <w:rPr>
          <w:rFonts w:ascii="David" w:hAnsi="David" w:cs="David"/>
          <w:sz w:val="24"/>
          <w:szCs w:val="24"/>
        </w:rPr>
      </w:pPr>
    </w:p>
    <w:p w14:paraId="3E552E83"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b/>
          <w:bCs/>
          <w:sz w:val="24"/>
          <w:szCs w:val="24"/>
          <w:u w:val="single"/>
          <w:rtl/>
        </w:rPr>
        <w:t>הוצאות ההליך</w:t>
      </w:r>
      <w:r>
        <w:rPr>
          <w:rFonts w:ascii="David" w:hAnsi="David" w:cs="David"/>
          <w:sz w:val="24"/>
          <w:szCs w:val="24"/>
          <w:rtl/>
        </w:rPr>
        <w:t xml:space="preserve"> –  לאור התוצאה אליה, היקפו של הליך זה והצורך שלא להסלים את היחסים בין הצדדים והיותם יחסים נמשכים, סברתי כי אין מקום ליתן צו להוצאות. יש לציין עוד כי האם והבת בסיכומיהן ביקשו כי גם אם טענותיהן תתקבלנה לא יחוייב התובע בהוצאות בשל מצבו הכלכלי. על כן כ"א מהצדדים יישא בהוצאותיו (ראו: </w:t>
      </w:r>
      <w:hyperlink r:id="rId81" w:history="1">
        <w:r w:rsidR="006476EC" w:rsidRPr="006476EC">
          <w:rPr>
            <w:rFonts w:ascii="David" w:hAnsi="David" w:cs="David"/>
            <w:color w:val="0000FF"/>
            <w:sz w:val="24"/>
            <w:szCs w:val="24"/>
            <w:u w:val="single"/>
            <w:rtl/>
          </w:rPr>
          <w:t>ע"א 7627/20</w:t>
        </w:r>
      </w:hyperlink>
      <w:r>
        <w:rPr>
          <w:rFonts w:ascii="David" w:hAnsi="David" w:cs="David"/>
          <w:sz w:val="24"/>
          <w:szCs w:val="24"/>
          <w:rtl/>
        </w:rPr>
        <w:t xml:space="preserve"> </w:t>
      </w:r>
      <w:r w:rsidRPr="00E47B4E">
        <w:rPr>
          <w:rFonts w:ascii="Miriam" w:hAnsi="Miriam" w:cs="Miriam"/>
          <w:sz w:val="24"/>
          <w:szCs w:val="24"/>
          <w:rtl/>
        </w:rPr>
        <w:t>אי</w:t>
      </w:r>
      <w:r>
        <w:rPr>
          <w:rFonts w:ascii="Miriam" w:hAnsi="Miriam" w:cs="Miriam"/>
          <w:sz w:val="24"/>
          <w:szCs w:val="24"/>
          <w:rtl/>
        </w:rPr>
        <w:t xml:space="preserve">יזלר החברה לניהול בע"מ ואח' נ' תפן מדיקל בע"מ </w:t>
      </w:r>
      <w:r w:rsidR="003E7583">
        <w:rPr>
          <w:rFonts w:ascii="Miriam" w:hAnsi="Miriam" w:cs="Miriam"/>
          <w:sz w:val="24"/>
          <w:szCs w:val="24"/>
          <w:rtl/>
        </w:rPr>
        <w:t>[נבו]</w:t>
      </w:r>
      <w:r w:rsidR="003E7583">
        <w:rPr>
          <w:rFonts w:ascii="Miriam" w:hAnsi="Miriam" w:cs="Miriam" w:hint="cs"/>
          <w:sz w:val="24"/>
          <w:szCs w:val="24"/>
          <w:rtl/>
        </w:rPr>
        <w:t xml:space="preserve"> </w:t>
      </w:r>
      <w:r>
        <w:rPr>
          <w:rFonts w:ascii="David" w:hAnsi="David" w:cs="David"/>
          <w:sz w:val="24"/>
          <w:szCs w:val="24"/>
          <w:rtl/>
        </w:rPr>
        <w:t xml:space="preserve">(24.2.2022) </w:t>
      </w:r>
      <w:bookmarkStart w:id="88" w:name="Seif69"/>
      <w:r>
        <w:rPr>
          <w:rFonts w:ascii="David" w:hAnsi="David" w:cs="David"/>
          <w:sz w:val="24"/>
          <w:szCs w:val="24"/>
          <w:rtl/>
        </w:rPr>
        <w:t xml:space="preserve">סעיף </w:t>
      </w:r>
      <w:bookmarkEnd w:id="88"/>
      <w:r>
        <w:rPr>
          <w:rFonts w:ascii="David" w:hAnsi="David" w:cs="David"/>
          <w:sz w:val="24"/>
          <w:szCs w:val="24"/>
          <w:rtl/>
        </w:rPr>
        <w:t>7 לפסק דינו של כב' השופט עמית).</w:t>
      </w:r>
    </w:p>
    <w:p w14:paraId="64E63B8B" w14:textId="77777777" w:rsidR="004B515E" w:rsidRDefault="004B515E" w:rsidP="003D53E9">
      <w:pPr>
        <w:pStyle w:val="10"/>
        <w:spacing w:after="0" w:line="360" w:lineRule="auto"/>
        <w:ind w:left="-58"/>
        <w:jc w:val="both"/>
        <w:rPr>
          <w:rFonts w:ascii="David" w:hAnsi="David" w:cs="David"/>
          <w:sz w:val="24"/>
          <w:szCs w:val="24"/>
        </w:rPr>
      </w:pPr>
    </w:p>
    <w:p w14:paraId="6F87292C" w14:textId="77777777" w:rsidR="004B515E" w:rsidRDefault="00000000" w:rsidP="003D53E9">
      <w:pPr>
        <w:pStyle w:val="10"/>
        <w:numPr>
          <w:ilvl w:val="0"/>
          <w:numId w:val="1"/>
        </w:numPr>
        <w:spacing w:after="0" w:line="360" w:lineRule="auto"/>
        <w:jc w:val="both"/>
        <w:rPr>
          <w:rFonts w:ascii="David" w:hAnsi="David" w:cs="David"/>
          <w:sz w:val="24"/>
          <w:szCs w:val="24"/>
        </w:rPr>
      </w:pPr>
      <w:r>
        <w:rPr>
          <w:rFonts w:ascii="David" w:hAnsi="David" w:cs="David"/>
          <w:b/>
          <w:bCs/>
          <w:sz w:val="24"/>
          <w:szCs w:val="24"/>
          <w:u w:val="single"/>
          <w:rtl/>
        </w:rPr>
        <w:t>המזכירות</w:t>
      </w:r>
      <w:r>
        <w:rPr>
          <w:rFonts w:ascii="David" w:hAnsi="David" w:cs="David"/>
          <w:b/>
          <w:bCs/>
          <w:sz w:val="24"/>
          <w:szCs w:val="24"/>
          <w:rtl/>
        </w:rPr>
        <w:t xml:space="preserve"> </w:t>
      </w:r>
      <w:r>
        <w:rPr>
          <w:rFonts w:ascii="David" w:hAnsi="David" w:cs="David"/>
          <w:sz w:val="24"/>
          <w:szCs w:val="24"/>
          <w:rtl/>
        </w:rPr>
        <w:t>תסגור את תלה"מ 28302-12-22.</w:t>
      </w:r>
    </w:p>
    <w:p w14:paraId="2F43697B" w14:textId="77777777" w:rsidR="004B515E" w:rsidRPr="003D53E9" w:rsidRDefault="004B515E">
      <w:pPr>
        <w:spacing w:line="360" w:lineRule="auto"/>
        <w:jc w:val="both"/>
        <w:rPr>
          <w:rFonts w:ascii="Arial" w:hAnsi="Arial"/>
          <w:noProof w:val="0"/>
          <w:rtl/>
        </w:rPr>
      </w:pPr>
    </w:p>
    <w:p w14:paraId="48326E1F" w14:textId="77777777" w:rsidR="004B515E" w:rsidRDefault="006476EC">
      <w:pPr>
        <w:spacing w:line="360" w:lineRule="auto"/>
        <w:jc w:val="both"/>
        <w:rPr>
          <w:rFonts w:ascii="Arial" w:hAnsi="Arial"/>
          <w:noProof w:val="0"/>
          <w:rtl/>
        </w:rPr>
      </w:pPr>
      <w:r w:rsidRPr="006476EC">
        <w:rPr>
          <w:rFonts w:ascii="Arial" w:hAnsi="Arial"/>
          <w:noProof w:val="0"/>
          <w:color w:val="FFFFFF"/>
          <w:sz w:val="2"/>
          <w:szCs w:val="2"/>
          <w:rtl/>
        </w:rPr>
        <w:t>5129371</w:t>
      </w:r>
      <w:r w:rsidR="00000000">
        <w:rPr>
          <w:rFonts w:ascii="Arial" w:hAnsi="Arial"/>
          <w:noProof w:val="0"/>
          <w:rtl/>
        </w:rPr>
        <w:t>ניתן היום,  כ"ד תמוז תשפ"ד, 30 יולי 2024, בהעדר הצדדים.</w:t>
      </w:r>
    </w:p>
    <w:p w14:paraId="51B77E51" w14:textId="77777777" w:rsidR="004B515E" w:rsidRPr="006476EC" w:rsidRDefault="006476EC">
      <w:pPr>
        <w:spacing w:line="360" w:lineRule="auto"/>
        <w:jc w:val="both"/>
        <w:rPr>
          <w:rFonts w:ascii="Arial" w:hAnsi="Arial"/>
          <w:noProof w:val="0"/>
          <w:color w:val="FFFFFF"/>
          <w:sz w:val="2"/>
          <w:szCs w:val="2"/>
          <w:rtl/>
        </w:rPr>
      </w:pPr>
      <w:r w:rsidRPr="006476EC">
        <w:rPr>
          <w:rFonts w:ascii="Arial" w:hAnsi="Arial"/>
          <w:noProof w:val="0"/>
          <w:color w:val="FFFFFF"/>
          <w:sz w:val="2"/>
          <w:szCs w:val="2"/>
          <w:rtl/>
        </w:rPr>
        <w:t>54678313</w:t>
      </w:r>
    </w:p>
    <w:p w14:paraId="0775C837" w14:textId="03B0EFD1" w:rsidR="004B515E" w:rsidRDefault="003D78C8">
      <w:pPr>
        <w:spacing w:line="360" w:lineRule="auto"/>
        <w:ind w:left="3600" w:firstLine="720"/>
        <w:jc w:val="both"/>
      </w:pPr>
      <w:r>
        <w:drawing>
          <wp:inline distT="0" distB="0" distL="0" distR="0" wp14:anchorId="12938CEF" wp14:editId="04F34529">
            <wp:extent cx="1600200" cy="790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600200" cy="790575"/>
                    </a:xfrm>
                    <a:prstGeom prst="rect">
                      <a:avLst/>
                    </a:prstGeom>
                    <a:noFill/>
                    <a:ln>
                      <a:noFill/>
                    </a:ln>
                  </pic:spPr>
                </pic:pic>
              </a:graphicData>
            </a:graphic>
          </wp:inline>
        </w:drawing>
      </w:r>
    </w:p>
    <w:p w14:paraId="4C8E90D7" w14:textId="77777777" w:rsidR="004B515E" w:rsidRDefault="004B515E">
      <w:pPr>
        <w:spacing w:line="360" w:lineRule="auto"/>
        <w:ind w:left="3600" w:firstLine="720"/>
        <w:jc w:val="both"/>
        <w:rPr>
          <w:rFonts w:ascii="Arial" w:hAnsi="Arial"/>
          <w:noProof w:val="0"/>
          <w:rtl/>
        </w:rPr>
      </w:pPr>
    </w:p>
    <w:p w14:paraId="14575E0D" w14:textId="77777777" w:rsidR="004B515E" w:rsidRPr="00EF069D" w:rsidRDefault="00EF069D">
      <w:pPr>
        <w:spacing w:line="360" w:lineRule="auto"/>
        <w:jc w:val="both"/>
        <w:rPr>
          <w:rFonts w:ascii="Arial" w:hAnsi="Arial"/>
          <w:noProof w:val="0"/>
          <w:color w:val="FFFFFF"/>
          <w:sz w:val="2"/>
          <w:szCs w:val="2"/>
          <w:rtl/>
        </w:rPr>
      </w:pPr>
      <w:r w:rsidRPr="00EF069D">
        <w:rPr>
          <w:rFonts w:ascii="Arial" w:hAnsi="Arial"/>
          <w:noProof w:val="0"/>
          <w:color w:val="FFFFFF"/>
          <w:sz w:val="2"/>
          <w:szCs w:val="2"/>
          <w:rtl/>
        </w:rPr>
        <w:t>5129371</w:t>
      </w:r>
    </w:p>
    <w:p w14:paraId="76BFD94F" w14:textId="77777777" w:rsidR="004B515E" w:rsidRPr="006476EC" w:rsidRDefault="00EF069D" w:rsidP="006476EC">
      <w:pPr>
        <w:keepNext/>
        <w:spacing w:line="360" w:lineRule="auto"/>
        <w:rPr>
          <w:rFonts w:ascii="David" w:hAnsi="David"/>
          <w:noProof w:val="0"/>
          <w:color w:val="000000"/>
          <w:sz w:val="22"/>
          <w:szCs w:val="22"/>
          <w:rtl/>
        </w:rPr>
      </w:pPr>
      <w:bookmarkStart w:id="89" w:name="Nitan"/>
      <w:r w:rsidRPr="00EF069D">
        <w:rPr>
          <w:rFonts w:ascii="David" w:hAnsi="David"/>
          <w:noProof w:val="0"/>
          <w:color w:val="FFFFFF"/>
          <w:sz w:val="2"/>
          <w:szCs w:val="2"/>
          <w:rtl/>
        </w:rPr>
        <w:t>54678313</w:t>
      </w:r>
      <w:r w:rsidR="006476EC">
        <w:rPr>
          <w:rFonts w:ascii="David" w:hAnsi="David"/>
          <w:noProof w:val="0"/>
          <w:rtl/>
        </w:rPr>
        <w:t xml:space="preserve">פסק הדין הותר לפרסום ללא </w:t>
      </w:r>
      <w:bookmarkStart w:id="90" w:name="Seif94"/>
      <w:r w:rsidR="006476EC">
        <w:rPr>
          <w:rFonts w:ascii="David" w:hAnsi="David"/>
          <w:noProof w:val="0"/>
          <w:rtl/>
        </w:rPr>
        <w:t xml:space="preserve">פרטים </w:t>
      </w:r>
      <w:bookmarkEnd w:id="90"/>
      <w:r w:rsidR="006476EC">
        <w:rPr>
          <w:rFonts w:ascii="David" w:hAnsi="David"/>
          <w:noProof w:val="0"/>
          <w:rtl/>
        </w:rPr>
        <w:t xml:space="preserve">מזהים בהחלטה מיום 02 בדצמבר 2024. </w:t>
      </w:r>
      <w:bookmarkEnd w:id="89"/>
    </w:p>
    <w:p w14:paraId="65BF811F" w14:textId="3E32D4BE" w:rsidR="006476EC" w:rsidRPr="006476EC" w:rsidRDefault="006476EC" w:rsidP="00EF069D">
      <w:pPr>
        <w:spacing w:line="360" w:lineRule="auto"/>
        <w:rPr>
          <w:rFonts w:ascii="Arial" w:hAnsi="Arial"/>
          <w:noProof w:val="0"/>
          <w:color w:val="0000FF"/>
          <w:u w:val="single"/>
          <w:rtl/>
        </w:rPr>
      </w:pPr>
    </w:p>
    <w:sectPr w:rsidR="006476EC" w:rsidRPr="006476EC" w:rsidSect="00EF069D">
      <w:headerReference w:type="even" r:id="rId83"/>
      <w:headerReference w:type="default" r:id="rId84"/>
      <w:footerReference w:type="even" r:id="rId85"/>
      <w:footerReference w:type="default" r:id="rId86"/>
      <w:pgSz w:w="11907" w:h="16840" w:code="9"/>
      <w:pgMar w:top="1701" w:right="1701" w:bottom="431" w:left="1701" w:header="720" w:footer="1055"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B8289" w14:textId="77777777" w:rsidR="00705CE9" w:rsidRDefault="00705CE9">
      <w:r>
        <w:separator/>
      </w:r>
    </w:p>
  </w:endnote>
  <w:endnote w:type="continuationSeparator" w:id="0">
    <w:p w14:paraId="0A268262" w14:textId="77777777" w:rsidR="00705CE9" w:rsidRDefault="0070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B74D7" w14:textId="77777777" w:rsidR="00EF069D" w:rsidRDefault="00000000" w:rsidP="00EF069D">
    <w:pPr>
      <w:pStyle w:val="a4"/>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1</w:t>
    </w:r>
    <w:r>
      <w:rPr>
        <w:rFonts w:ascii="FrankRuehl" w:hAnsi="FrankRuehl" w:cs="FrankRuehl"/>
        <w:rtl/>
      </w:rPr>
      <w:fldChar w:fldCharType="end"/>
    </w:r>
  </w:p>
  <w:p w14:paraId="493E046B" w14:textId="564FF135" w:rsidR="006476EC" w:rsidRPr="00EF069D" w:rsidRDefault="003D78C8" w:rsidP="00EF069D">
    <w:pPr>
      <w:pStyle w:val="a4"/>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74533F14" wp14:editId="3672345F">
          <wp:extent cx="552450" cy="228600"/>
          <wp:effectExtent l="0" t="0" r="0" b="0"/>
          <wp:docPr id="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F2828" w14:textId="77777777" w:rsidR="00EF069D" w:rsidRDefault="00000000" w:rsidP="00EF069D">
    <w:pPr>
      <w:pStyle w:val="a4"/>
      <w:jc w:val="center"/>
      <w:rPr>
        <w:rStyle w:val="ab"/>
        <w:rFonts w:ascii="FrankRuehl" w:hAnsi="FrankRuehl" w:cs="FrankRuehl"/>
        <w:rtl/>
      </w:rPr>
    </w:pPr>
    <w:r>
      <w:rPr>
        <w:rStyle w:val="ab"/>
        <w:rFonts w:ascii="FrankRuehl" w:hAnsi="FrankRuehl" w:cs="FrankRuehl"/>
        <w:rtl/>
      </w:rPr>
      <w:fldChar w:fldCharType="begin"/>
    </w:r>
    <w:r>
      <w:rPr>
        <w:rStyle w:val="ab"/>
        <w:rFonts w:ascii="FrankRuehl" w:hAnsi="FrankRuehl" w:cs="FrankRuehl"/>
        <w:rtl/>
      </w:rPr>
      <w:instrText xml:space="preserve"> </w:instrText>
    </w:r>
    <w:r>
      <w:rPr>
        <w:rStyle w:val="ab"/>
        <w:rFonts w:ascii="FrankRuehl" w:hAnsi="FrankRuehl" w:cs="FrankRuehl" w:hint="cs"/>
      </w:rPr>
      <w:instrText>PAGE</w:instrText>
    </w:r>
    <w:r>
      <w:rPr>
        <w:rStyle w:val="ab"/>
        <w:rFonts w:ascii="FrankRuehl" w:hAnsi="FrankRuehl" w:cs="FrankRuehl" w:hint="cs"/>
        <w:rtl/>
      </w:rPr>
      <w:instrText xml:space="preserve">  \* </w:instrText>
    </w:r>
    <w:r>
      <w:rPr>
        <w:rStyle w:val="ab"/>
        <w:rFonts w:ascii="FrankRuehl" w:hAnsi="FrankRuehl" w:cs="FrankRuehl" w:hint="cs"/>
      </w:rPr>
      <w:instrText>MERGEFORMAT</w:instrText>
    </w:r>
    <w:r>
      <w:rPr>
        <w:rStyle w:val="ab"/>
        <w:rFonts w:ascii="FrankRuehl" w:hAnsi="FrankRuehl" w:cs="FrankRuehl"/>
        <w:rtl/>
      </w:rPr>
      <w:instrText xml:space="preserve"> </w:instrText>
    </w:r>
    <w:r>
      <w:rPr>
        <w:rStyle w:val="ab"/>
        <w:rFonts w:ascii="FrankRuehl" w:hAnsi="FrankRuehl" w:cs="FrankRuehl"/>
        <w:rtl/>
      </w:rPr>
      <w:fldChar w:fldCharType="separate"/>
    </w:r>
    <w:r w:rsidR="00995203">
      <w:rPr>
        <w:rStyle w:val="ab"/>
        <w:rFonts w:ascii="FrankRuehl" w:hAnsi="FrankRuehl" w:cs="FrankRuehl"/>
        <w:rtl/>
      </w:rPr>
      <w:t>3</w:t>
    </w:r>
    <w:r>
      <w:rPr>
        <w:rStyle w:val="ab"/>
        <w:rFonts w:ascii="FrankRuehl" w:hAnsi="FrankRuehl" w:cs="FrankRuehl"/>
        <w:rtl/>
      </w:rPr>
      <w:fldChar w:fldCharType="end"/>
    </w:r>
  </w:p>
  <w:p w14:paraId="28F4434D" w14:textId="25CCD5CD" w:rsidR="004B515E" w:rsidRPr="00EF069D" w:rsidRDefault="004B515E" w:rsidP="00EF069D">
    <w:pPr>
      <w:pStyle w:val="a4"/>
      <w:pBdr>
        <w:top w:val="single" w:sz="4" w:space="1" w:color="auto"/>
        <w:between w:val="single" w:sz="4" w:space="0" w:color="auto"/>
      </w:pBdr>
      <w:spacing w:after="60"/>
      <w:jc w:val="center"/>
      <w:rPr>
        <w:rStyle w:val="ab"/>
        <w:rFonts w:ascii="FrankRuehl" w:hAnsi="FrankRuehl" w:cs="FrankRuehl" w:hint="cs"/>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2C5DF" w14:textId="77777777" w:rsidR="00705CE9" w:rsidRDefault="00705CE9">
      <w:r>
        <w:separator/>
      </w:r>
    </w:p>
  </w:footnote>
  <w:footnote w:type="continuationSeparator" w:id="0">
    <w:p w14:paraId="4DF2964F" w14:textId="77777777" w:rsidR="00705CE9" w:rsidRDefault="00705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A9B68" w14:textId="77777777" w:rsidR="006476EC" w:rsidRPr="00EF069D" w:rsidRDefault="00EF069D" w:rsidP="00EF069D">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תלהמ (ת"א) 28302-12-22</w:t>
    </w:r>
    <w:r>
      <w:rPr>
        <w:rFonts w:ascii="David" w:hAnsi="David"/>
        <w:color w:val="000000"/>
        <w:sz w:val="22"/>
        <w:szCs w:val="22"/>
        <w:rtl/>
      </w:rPr>
      <w:tab/>
      <w:t xml:space="preserve"> פלוני נ' אלמונים</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BC0B" w14:textId="77777777" w:rsidR="004B515E" w:rsidRPr="00EF069D" w:rsidRDefault="00EF069D" w:rsidP="00EF069D">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91" w:name="_Hlk186693988"/>
    <w:bookmarkStart w:id="92" w:name="_Hlk186693989"/>
    <w:r>
      <w:rPr>
        <w:rFonts w:ascii="David" w:hAnsi="David"/>
        <w:color w:val="000000"/>
        <w:sz w:val="22"/>
        <w:szCs w:val="22"/>
        <w:rtl/>
      </w:rPr>
      <w:t>תלהמ (ת"א) 28302-12-22</w:t>
    </w:r>
    <w:r>
      <w:rPr>
        <w:rFonts w:ascii="David" w:hAnsi="David"/>
        <w:color w:val="000000"/>
        <w:sz w:val="22"/>
        <w:szCs w:val="22"/>
        <w:rtl/>
      </w:rPr>
      <w:tab/>
      <w:t xml:space="preserve"> פלוני נ' אלמונים</w:t>
    </w:r>
    <w:bookmarkEnd w:id="91"/>
    <w:bookmarkEnd w:id="9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EF1"/>
    <w:multiLevelType w:val="hybridMultilevel"/>
    <w:tmpl w:val="A10CEA58"/>
    <w:lvl w:ilvl="0" w:tplc="3C10BCDE">
      <w:start w:val="1"/>
      <w:numFmt w:val="hebrew1"/>
      <w:lvlText w:val="%1."/>
      <w:lvlJc w:val="left"/>
      <w:pPr>
        <w:ind w:left="927" w:hanging="360"/>
      </w:pPr>
      <w:rPr>
        <w:rFonts w:cs="Times New Roman"/>
        <w:b/>
      </w:rPr>
    </w:lvl>
    <w:lvl w:ilvl="1" w:tplc="054CAC82">
      <w:start w:val="1"/>
      <w:numFmt w:val="lowerLetter"/>
      <w:lvlText w:val="%2."/>
      <w:lvlJc w:val="left"/>
      <w:pPr>
        <w:ind w:left="1647" w:hanging="360"/>
      </w:pPr>
      <w:rPr>
        <w:rFonts w:cs="Times New Roman"/>
      </w:rPr>
    </w:lvl>
    <w:lvl w:ilvl="2" w:tplc="7EF63EA6">
      <w:start w:val="1"/>
      <w:numFmt w:val="lowerRoman"/>
      <w:lvlText w:val="%3."/>
      <w:lvlJc w:val="right"/>
      <w:pPr>
        <w:ind w:left="2367" w:hanging="180"/>
      </w:pPr>
      <w:rPr>
        <w:rFonts w:cs="Times New Roman"/>
      </w:rPr>
    </w:lvl>
    <w:lvl w:ilvl="3" w:tplc="C2E0BEAE">
      <w:start w:val="1"/>
      <w:numFmt w:val="decimal"/>
      <w:lvlText w:val="%4."/>
      <w:lvlJc w:val="left"/>
      <w:pPr>
        <w:ind w:left="3087" w:hanging="360"/>
      </w:pPr>
      <w:rPr>
        <w:rFonts w:cs="Times New Roman"/>
      </w:rPr>
    </w:lvl>
    <w:lvl w:ilvl="4" w:tplc="9214A3DA">
      <w:start w:val="1"/>
      <w:numFmt w:val="lowerLetter"/>
      <w:lvlText w:val="%5."/>
      <w:lvlJc w:val="left"/>
      <w:pPr>
        <w:ind w:left="3807" w:hanging="360"/>
      </w:pPr>
      <w:rPr>
        <w:rFonts w:cs="Times New Roman"/>
      </w:rPr>
    </w:lvl>
    <w:lvl w:ilvl="5" w:tplc="94AE4BAE">
      <w:start w:val="1"/>
      <w:numFmt w:val="lowerRoman"/>
      <w:lvlText w:val="%6."/>
      <w:lvlJc w:val="right"/>
      <w:pPr>
        <w:ind w:left="4527" w:hanging="180"/>
      </w:pPr>
      <w:rPr>
        <w:rFonts w:cs="Times New Roman"/>
      </w:rPr>
    </w:lvl>
    <w:lvl w:ilvl="6" w:tplc="D60C4636">
      <w:start w:val="1"/>
      <w:numFmt w:val="decimal"/>
      <w:lvlText w:val="%7."/>
      <w:lvlJc w:val="left"/>
      <w:pPr>
        <w:ind w:left="5247" w:hanging="360"/>
      </w:pPr>
      <w:rPr>
        <w:rFonts w:cs="Times New Roman"/>
      </w:rPr>
    </w:lvl>
    <w:lvl w:ilvl="7" w:tplc="0E3C9416">
      <w:start w:val="1"/>
      <w:numFmt w:val="lowerLetter"/>
      <w:lvlText w:val="%8."/>
      <w:lvlJc w:val="left"/>
      <w:pPr>
        <w:ind w:left="5967" w:hanging="360"/>
      </w:pPr>
      <w:rPr>
        <w:rFonts w:cs="Times New Roman"/>
      </w:rPr>
    </w:lvl>
    <w:lvl w:ilvl="8" w:tplc="7E34FAB2">
      <w:start w:val="1"/>
      <w:numFmt w:val="lowerRoman"/>
      <w:lvlText w:val="%9."/>
      <w:lvlJc w:val="right"/>
      <w:pPr>
        <w:ind w:left="6687" w:hanging="180"/>
      </w:pPr>
      <w:rPr>
        <w:rFonts w:cs="Times New Roman"/>
      </w:rPr>
    </w:lvl>
  </w:abstractNum>
  <w:abstractNum w:abstractNumId="1" w15:restartNumberingAfterBreak="0">
    <w:nsid w:val="2A1804D8"/>
    <w:multiLevelType w:val="hybridMultilevel"/>
    <w:tmpl w:val="FB3265DE"/>
    <w:lvl w:ilvl="0" w:tplc="C1346880">
      <w:start w:val="1"/>
      <w:numFmt w:val="decimal"/>
      <w:lvlText w:val="%1."/>
      <w:lvlJc w:val="left"/>
      <w:pPr>
        <w:ind w:left="567" w:hanging="567"/>
      </w:pPr>
      <w:rPr>
        <w:rFonts w:ascii="David" w:hAnsi="David" w:cs="David" w:hint="default"/>
        <w:b w:val="0"/>
        <w:bCs w:val="0"/>
        <w:color w:val="auto"/>
        <w:sz w:val="24"/>
        <w:szCs w:val="24"/>
      </w:rPr>
    </w:lvl>
    <w:lvl w:ilvl="1" w:tplc="5686DD5A">
      <w:start w:val="1"/>
      <w:numFmt w:val="lowerLetter"/>
      <w:lvlText w:val="%2."/>
      <w:lvlJc w:val="left"/>
      <w:pPr>
        <w:ind w:left="1440" w:hanging="360"/>
      </w:pPr>
      <w:rPr>
        <w:rFonts w:cs="Times New Roman"/>
      </w:rPr>
    </w:lvl>
    <w:lvl w:ilvl="2" w:tplc="406AB25C">
      <w:start w:val="1"/>
      <w:numFmt w:val="lowerRoman"/>
      <w:lvlText w:val="%3."/>
      <w:lvlJc w:val="right"/>
      <w:pPr>
        <w:ind w:left="2160" w:hanging="180"/>
      </w:pPr>
      <w:rPr>
        <w:rFonts w:cs="Times New Roman"/>
      </w:rPr>
    </w:lvl>
    <w:lvl w:ilvl="3" w:tplc="E716DFAE">
      <w:start w:val="1"/>
      <w:numFmt w:val="decimal"/>
      <w:lvlText w:val="%4."/>
      <w:lvlJc w:val="left"/>
      <w:pPr>
        <w:ind w:left="2880" w:hanging="360"/>
      </w:pPr>
      <w:rPr>
        <w:rFonts w:cs="Times New Roman"/>
      </w:rPr>
    </w:lvl>
    <w:lvl w:ilvl="4" w:tplc="B1581FC8">
      <w:start w:val="1"/>
      <w:numFmt w:val="lowerLetter"/>
      <w:lvlText w:val="%5."/>
      <w:lvlJc w:val="left"/>
      <w:pPr>
        <w:ind w:left="3600" w:hanging="360"/>
      </w:pPr>
      <w:rPr>
        <w:rFonts w:cs="Times New Roman"/>
      </w:rPr>
    </w:lvl>
    <w:lvl w:ilvl="5" w:tplc="8C505EFE">
      <w:start w:val="1"/>
      <w:numFmt w:val="lowerRoman"/>
      <w:lvlText w:val="%6."/>
      <w:lvlJc w:val="right"/>
      <w:pPr>
        <w:ind w:left="4320" w:hanging="180"/>
      </w:pPr>
      <w:rPr>
        <w:rFonts w:cs="Times New Roman"/>
      </w:rPr>
    </w:lvl>
    <w:lvl w:ilvl="6" w:tplc="BBB00070">
      <w:start w:val="1"/>
      <w:numFmt w:val="decimal"/>
      <w:lvlText w:val="%7."/>
      <w:lvlJc w:val="left"/>
      <w:pPr>
        <w:ind w:left="5040" w:hanging="360"/>
      </w:pPr>
      <w:rPr>
        <w:rFonts w:cs="Times New Roman"/>
      </w:rPr>
    </w:lvl>
    <w:lvl w:ilvl="7" w:tplc="0ADE6916">
      <w:start w:val="1"/>
      <w:numFmt w:val="lowerLetter"/>
      <w:lvlText w:val="%8."/>
      <w:lvlJc w:val="left"/>
      <w:pPr>
        <w:ind w:left="5760" w:hanging="360"/>
      </w:pPr>
      <w:rPr>
        <w:rFonts w:cs="Times New Roman"/>
      </w:rPr>
    </w:lvl>
    <w:lvl w:ilvl="8" w:tplc="EABEF9C4">
      <w:start w:val="1"/>
      <w:numFmt w:val="lowerRoman"/>
      <w:lvlText w:val="%9."/>
      <w:lvlJc w:val="right"/>
      <w:pPr>
        <w:ind w:left="6480" w:hanging="180"/>
      </w:pPr>
      <w:rPr>
        <w:rFonts w:cs="Times New Roman"/>
      </w:rPr>
    </w:lvl>
  </w:abstractNum>
  <w:abstractNum w:abstractNumId="2" w15:restartNumberingAfterBreak="0">
    <w:nsid w:val="451F6681"/>
    <w:multiLevelType w:val="hybridMultilevel"/>
    <w:tmpl w:val="D89EB760"/>
    <w:lvl w:ilvl="0" w:tplc="A21E0A6A">
      <w:start w:val="1"/>
      <w:numFmt w:val="bullet"/>
      <w:lvlText w:val=""/>
      <w:lvlJc w:val="left"/>
      <w:pPr>
        <w:ind w:left="567"/>
      </w:pPr>
      <w:rPr>
        <w:rFonts w:ascii="Symbol" w:hAnsi="Symbol" w:hint="default"/>
      </w:rPr>
    </w:lvl>
    <w:lvl w:ilvl="1" w:tplc="037AC940">
      <w:start w:val="1"/>
      <w:numFmt w:val="bullet"/>
      <w:lvlText w:val="o"/>
      <w:lvlJc w:val="left"/>
      <w:pPr>
        <w:ind w:left="1382" w:hanging="360"/>
      </w:pPr>
      <w:rPr>
        <w:rFonts w:ascii="Courier New" w:hAnsi="Courier New" w:hint="default"/>
      </w:rPr>
    </w:lvl>
    <w:lvl w:ilvl="2" w:tplc="1C461500">
      <w:start w:val="1"/>
      <w:numFmt w:val="bullet"/>
      <w:lvlText w:val=""/>
      <w:lvlJc w:val="left"/>
      <w:pPr>
        <w:ind w:left="2102" w:hanging="360"/>
      </w:pPr>
      <w:rPr>
        <w:rFonts w:ascii="Wingdings" w:hAnsi="Wingdings" w:hint="default"/>
      </w:rPr>
    </w:lvl>
    <w:lvl w:ilvl="3" w:tplc="1130DEE2">
      <w:start w:val="1"/>
      <w:numFmt w:val="bullet"/>
      <w:lvlText w:val=""/>
      <w:lvlJc w:val="left"/>
      <w:pPr>
        <w:ind w:left="2822" w:hanging="360"/>
      </w:pPr>
      <w:rPr>
        <w:rFonts w:ascii="Symbol" w:hAnsi="Symbol" w:hint="default"/>
      </w:rPr>
    </w:lvl>
    <w:lvl w:ilvl="4" w:tplc="39F49230">
      <w:start w:val="1"/>
      <w:numFmt w:val="bullet"/>
      <w:lvlText w:val="o"/>
      <w:lvlJc w:val="left"/>
      <w:pPr>
        <w:ind w:left="3542" w:hanging="360"/>
      </w:pPr>
      <w:rPr>
        <w:rFonts w:ascii="Courier New" w:hAnsi="Courier New" w:hint="default"/>
      </w:rPr>
    </w:lvl>
    <w:lvl w:ilvl="5" w:tplc="B5422C02">
      <w:start w:val="1"/>
      <w:numFmt w:val="bullet"/>
      <w:lvlText w:val=""/>
      <w:lvlJc w:val="left"/>
      <w:pPr>
        <w:ind w:left="4262" w:hanging="360"/>
      </w:pPr>
      <w:rPr>
        <w:rFonts w:ascii="Wingdings" w:hAnsi="Wingdings" w:hint="default"/>
      </w:rPr>
    </w:lvl>
    <w:lvl w:ilvl="6" w:tplc="913AE996">
      <w:start w:val="1"/>
      <w:numFmt w:val="bullet"/>
      <w:lvlText w:val=""/>
      <w:lvlJc w:val="left"/>
      <w:pPr>
        <w:ind w:left="4982" w:hanging="360"/>
      </w:pPr>
      <w:rPr>
        <w:rFonts w:ascii="Symbol" w:hAnsi="Symbol" w:hint="default"/>
      </w:rPr>
    </w:lvl>
    <w:lvl w:ilvl="7" w:tplc="A9C6C68E">
      <w:start w:val="1"/>
      <w:numFmt w:val="bullet"/>
      <w:lvlText w:val="o"/>
      <w:lvlJc w:val="left"/>
      <w:pPr>
        <w:ind w:left="5702" w:hanging="360"/>
      </w:pPr>
      <w:rPr>
        <w:rFonts w:ascii="Courier New" w:hAnsi="Courier New" w:hint="default"/>
      </w:rPr>
    </w:lvl>
    <w:lvl w:ilvl="8" w:tplc="B9E65080">
      <w:start w:val="1"/>
      <w:numFmt w:val="bullet"/>
      <w:lvlText w:val=""/>
      <w:lvlJc w:val="left"/>
      <w:pPr>
        <w:ind w:left="6422" w:hanging="360"/>
      </w:pPr>
      <w:rPr>
        <w:rFonts w:ascii="Wingdings" w:hAnsi="Wingdings" w:hint="default"/>
      </w:rPr>
    </w:lvl>
  </w:abstractNum>
  <w:abstractNum w:abstractNumId="3" w15:restartNumberingAfterBreak="0">
    <w:nsid w:val="56C16056"/>
    <w:multiLevelType w:val="hybridMultilevel"/>
    <w:tmpl w:val="6D70BCD2"/>
    <w:lvl w:ilvl="0" w:tplc="2FF099DE">
      <w:start w:val="1"/>
      <w:numFmt w:val="hebrew1"/>
      <w:lvlText w:val="%1."/>
      <w:lvlJc w:val="left"/>
      <w:pPr>
        <w:ind w:left="5" w:hanging="630"/>
      </w:pPr>
      <w:rPr>
        <w:rFonts w:cs="Times New Roman"/>
      </w:rPr>
    </w:lvl>
    <w:lvl w:ilvl="1" w:tplc="4B5ED8AE">
      <w:start w:val="1"/>
      <w:numFmt w:val="lowerLetter"/>
      <w:lvlText w:val="%2."/>
      <w:lvlJc w:val="left"/>
      <w:pPr>
        <w:ind w:left="455" w:hanging="360"/>
      </w:pPr>
      <w:rPr>
        <w:rFonts w:cs="Times New Roman"/>
      </w:rPr>
    </w:lvl>
    <w:lvl w:ilvl="2" w:tplc="2EB07736">
      <w:start w:val="1"/>
      <w:numFmt w:val="lowerRoman"/>
      <w:lvlText w:val="%3."/>
      <w:lvlJc w:val="right"/>
      <w:pPr>
        <w:ind w:left="1175" w:hanging="180"/>
      </w:pPr>
      <w:rPr>
        <w:rFonts w:cs="Times New Roman"/>
      </w:rPr>
    </w:lvl>
    <w:lvl w:ilvl="3" w:tplc="DBBC5C6E">
      <w:start w:val="1"/>
      <w:numFmt w:val="decimal"/>
      <w:lvlText w:val="%4."/>
      <w:lvlJc w:val="left"/>
      <w:pPr>
        <w:ind w:left="1895" w:hanging="360"/>
      </w:pPr>
      <w:rPr>
        <w:rFonts w:cs="Times New Roman"/>
      </w:rPr>
    </w:lvl>
    <w:lvl w:ilvl="4" w:tplc="6366CFB8">
      <w:start w:val="1"/>
      <w:numFmt w:val="lowerLetter"/>
      <w:lvlText w:val="%5."/>
      <w:lvlJc w:val="left"/>
      <w:pPr>
        <w:ind w:left="2615" w:hanging="360"/>
      </w:pPr>
      <w:rPr>
        <w:rFonts w:cs="Times New Roman"/>
      </w:rPr>
    </w:lvl>
    <w:lvl w:ilvl="5" w:tplc="535ED024">
      <w:start w:val="1"/>
      <w:numFmt w:val="lowerRoman"/>
      <w:lvlText w:val="%6."/>
      <w:lvlJc w:val="right"/>
      <w:pPr>
        <w:ind w:left="3335" w:hanging="180"/>
      </w:pPr>
      <w:rPr>
        <w:rFonts w:cs="Times New Roman"/>
      </w:rPr>
    </w:lvl>
    <w:lvl w:ilvl="6" w:tplc="824C08F0">
      <w:start w:val="1"/>
      <w:numFmt w:val="decimal"/>
      <w:lvlText w:val="%7."/>
      <w:lvlJc w:val="left"/>
      <w:pPr>
        <w:ind w:left="4055" w:hanging="360"/>
      </w:pPr>
      <w:rPr>
        <w:rFonts w:cs="Times New Roman"/>
      </w:rPr>
    </w:lvl>
    <w:lvl w:ilvl="7" w:tplc="1C540216">
      <w:start w:val="1"/>
      <w:numFmt w:val="lowerLetter"/>
      <w:lvlText w:val="%8."/>
      <w:lvlJc w:val="left"/>
      <w:pPr>
        <w:ind w:left="4775" w:hanging="360"/>
      </w:pPr>
      <w:rPr>
        <w:rFonts w:cs="Times New Roman"/>
      </w:rPr>
    </w:lvl>
    <w:lvl w:ilvl="8" w:tplc="516C13AC">
      <w:start w:val="1"/>
      <w:numFmt w:val="lowerRoman"/>
      <w:lvlText w:val="%9."/>
      <w:lvlJc w:val="right"/>
      <w:pPr>
        <w:ind w:left="5495" w:hanging="180"/>
      </w:pPr>
      <w:rPr>
        <w:rFonts w:cs="Times New Roman"/>
      </w:rPr>
    </w:lvl>
  </w:abstractNum>
  <w:abstractNum w:abstractNumId="4" w15:restartNumberingAfterBreak="0">
    <w:nsid w:val="7FD67E4B"/>
    <w:multiLevelType w:val="hybridMultilevel"/>
    <w:tmpl w:val="A10CEA58"/>
    <w:lvl w:ilvl="0" w:tplc="3C5263E2">
      <w:start w:val="1"/>
      <w:numFmt w:val="hebrew1"/>
      <w:lvlText w:val="%1."/>
      <w:lvlJc w:val="left"/>
      <w:pPr>
        <w:ind w:left="927" w:hanging="360"/>
      </w:pPr>
      <w:rPr>
        <w:rFonts w:cs="Times New Roman"/>
        <w:b/>
      </w:rPr>
    </w:lvl>
    <w:lvl w:ilvl="1" w:tplc="5776B8CA">
      <w:start w:val="1"/>
      <w:numFmt w:val="lowerLetter"/>
      <w:lvlText w:val="%2."/>
      <w:lvlJc w:val="left"/>
      <w:pPr>
        <w:ind w:left="1647" w:hanging="360"/>
      </w:pPr>
      <w:rPr>
        <w:rFonts w:cs="Times New Roman"/>
      </w:rPr>
    </w:lvl>
    <w:lvl w:ilvl="2" w:tplc="BE72AB18">
      <w:start w:val="1"/>
      <w:numFmt w:val="lowerRoman"/>
      <w:lvlText w:val="%3."/>
      <w:lvlJc w:val="right"/>
      <w:pPr>
        <w:ind w:left="2367" w:hanging="180"/>
      </w:pPr>
      <w:rPr>
        <w:rFonts w:cs="Times New Roman"/>
      </w:rPr>
    </w:lvl>
    <w:lvl w:ilvl="3" w:tplc="4D647DF2">
      <w:start w:val="1"/>
      <w:numFmt w:val="decimal"/>
      <w:lvlText w:val="%4."/>
      <w:lvlJc w:val="left"/>
      <w:pPr>
        <w:ind w:left="3087" w:hanging="360"/>
      </w:pPr>
      <w:rPr>
        <w:rFonts w:cs="Times New Roman"/>
      </w:rPr>
    </w:lvl>
    <w:lvl w:ilvl="4" w:tplc="1556C556">
      <w:start w:val="1"/>
      <w:numFmt w:val="lowerLetter"/>
      <w:lvlText w:val="%5."/>
      <w:lvlJc w:val="left"/>
      <w:pPr>
        <w:ind w:left="3807" w:hanging="360"/>
      </w:pPr>
      <w:rPr>
        <w:rFonts w:cs="Times New Roman"/>
      </w:rPr>
    </w:lvl>
    <w:lvl w:ilvl="5" w:tplc="F57EA4A2">
      <w:start w:val="1"/>
      <w:numFmt w:val="lowerRoman"/>
      <w:lvlText w:val="%6."/>
      <w:lvlJc w:val="right"/>
      <w:pPr>
        <w:ind w:left="4527" w:hanging="180"/>
      </w:pPr>
      <w:rPr>
        <w:rFonts w:cs="Times New Roman"/>
      </w:rPr>
    </w:lvl>
    <w:lvl w:ilvl="6" w:tplc="8D3A4F2A">
      <w:start w:val="1"/>
      <w:numFmt w:val="decimal"/>
      <w:lvlText w:val="%7."/>
      <w:lvlJc w:val="left"/>
      <w:pPr>
        <w:ind w:left="5247" w:hanging="360"/>
      </w:pPr>
      <w:rPr>
        <w:rFonts w:cs="Times New Roman"/>
      </w:rPr>
    </w:lvl>
    <w:lvl w:ilvl="7" w:tplc="8C7045C6">
      <w:start w:val="1"/>
      <w:numFmt w:val="lowerLetter"/>
      <w:lvlText w:val="%8."/>
      <w:lvlJc w:val="left"/>
      <w:pPr>
        <w:ind w:left="5967" w:hanging="360"/>
      </w:pPr>
      <w:rPr>
        <w:rFonts w:cs="Times New Roman"/>
      </w:rPr>
    </w:lvl>
    <w:lvl w:ilvl="8" w:tplc="4644EE8A">
      <w:start w:val="1"/>
      <w:numFmt w:val="lowerRoman"/>
      <w:lvlText w:val="%9."/>
      <w:lvlJc w:val="right"/>
      <w:pPr>
        <w:ind w:left="6687" w:hanging="180"/>
      </w:pPr>
      <w:rPr>
        <w:rFonts w:cs="Times New Roman"/>
      </w:rPr>
    </w:lvl>
  </w:abstractNum>
  <w:num w:numId="1" w16cid:durableId="1840197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19985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03028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1061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43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ID" w:val="79824118"/>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Locale=&amp;quot;he-IL&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79824118&amp;lt;/CaseID&amp;gt;_x000d__x000a_        &amp;lt;CaseMonth&amp;gt;12&amp;lt;/CaseMonth&amp;gt;_x000d__x000a_        &amp;lt;CaseYear&amp;gt;2022&amp;lt;/CaseYear&amp;gt;_x000d__x000a_        &amp;lt;CaseNumber&amp;gt;28302&amp;lt;/CaseNumber&amp;gt;_x000d__x000a_        &amp;lt;NumeratorGroupID&amp;gt;1&amp;lt;/NumeratorGroupID&amp;gt;_x000d__x000a_        &amp;lt;CaseName&amp;gt;áùé ð&amp;#39; áùé åàç&amp;#39;&amp;lt;/CaseName&amp;gt;_x000d__x000a_        &amp;lt;CourtID&amp;gt;33&amp;lt;/CourtID&amp;gt;_x000d__x000a_        &amp;lt;CaseTypeID&amp;gt;15&amp;lt;/CaseTypeID&amp;gt;_x000d__x000a_        &amp;lt;CaseInterestID&amp;gt;158&amp;lt;/CaseInterestID&amp;gt;_x000d__x000a_        &amp;lt;CaseJudgeName&amp;gt;úîø ñðåðéú ôåøø&amp;lt;/CaseJudgeName&amp;gt;_x000d__x000a_        &amp;lt;ProcedureID&amp;gt;1&amp;lt;/ProcedureID&amp;gt;_x000d__x000a_        &amp;lt;CaseStatusID&amp;gt;1&amp;lt;/CaseStatusID&amp;gt;_x000d__x000a_        &amp;lt;ProceedingID&amp;gt;3&amp;lt;/ProceedingID&amp;gt;_x000d__x000a_        &amp;lt;IsCaseLinked&amp;gt;false&amp;lt;/IsCaseLinked&amp;gt;_x000d__x000a_        &amp;lt;PrivilegeID&amp;gt;2&amp;lt;/PrivilegeID&amp;gt;_x000d__x000a_        &amp;lt;IsAppealingCaseExist&amp;gt;false&amp;lt;/IsAppealingCaseExist&amp;gt;_x000d__x000a_        &amp;lt;CaseDisplayIdentifier&amp;gt;28302-12-22&amp;lt;/CaseDisplayIdentifier&amp;gt;_x000d__x000a_        &amp;lt;CaseTypeDesc&amp;gt;úî&amp;quot;ù&amp;lt;/CaseTypeDesc&amp;gt;_x000d__x000a_        &amp;lt;CourtDesc&amp;gt;òðééðé îùôçä áîçåæ ú&amp;quot;à&amp;lt;/CourtDesc&amp;gt;_x000d__x000a_        &amp;lt;CaseStageDesc&amp;gt;úé÷ àì÷èøåðé&amp;lt;/CaseStageDesc&amp;gt;_x000d__x000a_        &amp;lt;IsPendingExemptionDecision&amp;gt;false&amp;lt;/IsPendingExemptionDecision&amp;gt;_x000d__x000a_        &amp;lt;IsPendingEntitlementDecision&amp;gt;false&amp;lt;/IsPendingEntitlementDecision&amp;gt;_x000d__x000a_        &amp;lt;IsUnpaidFeeExist&amp;gt;false&amp;lt;/IsUnpaidFeeExist&amp;gt;_x000d__x000a_        &amp;lt;CasePreviousSessionDate&amp;gt;2024-01-25T11:30:00+02:00&amp;lt;/CasePreviousSessionDate&amp;gt;_x000d__x000a_        &amp;lt;CaseNextDeterminingTask&amp;gt;257&amp;lt;/CaseNextDeterminingTask&amp;gt;_x000d__x000a_        &amp;lt;TemporaryAidStatus /&amp;gt;_x000d__x000a_        &amp;lt;CaseOpenDate&amp;gt;2022-12-13T14:30:00+02:00&amp;lt;/CaseOpenDate&amp;gt;_x000d__x000a_        &amp;lt;PleaTypeID&amp;gt;4&amp;lt;/PleaTypeID&amp;gt;_x000d__x000a_        &amp;lt;CourtLevelID&amp;gt;1&amp;lt;/CourtLevelID&amp;gt;_x000d__x000a_        &amp;lt;CourtLevelCaseTypeInterestID&amp;gt;96&amp;lt;/CourtLevelCaseTypeInterestID&amp;gt;_x000d__x000a_        &amp;lt;CaseJudgeFirstName&amp;gt;úîø&amp;lt;/CaseJudgeFirstName&amp;gt;_x000d__x000a_        &amp;lt;CaseJudgeLastName&amp;gt;ñðåðéú ôåøø&amp;lt;/CaseJudgeLastName&amp;gt;_x000d__x000a_        &amp;lt;JudicalPersonID&amp;gt;032014706@GOV.IL&amp;lt;/JudicalPersonID&amp;gt;_x000d__x000a_        &amp;lt;IsJudicalPanel&amp;gt;false&amp;lt;/IsJudicalPanel&amp;gt;_x000d__x000a_        &amp;lt;CourtDisplayName&amp;gt;áéú îùôè ìòðééðé îùôçä áúì àáéá -éôå&amp;lt;/CourtDisplayName&amp;gt;_x000d__x000a_        &amp;lt;IsAllStartDataCollected&amp;gt;true&amp;lt;/IsAllStartDataCollected&amp;gt;_x000d__x000a_        &amp;lt;CaseDesc /&amp;gt;_x000d__x000a_        &amp;lt;isExistMinorSide&amp;gt;false&amp;lt;/isExistMinorSide&amp;gt;_x000d__x000a_        &amp;lt;isExistMinorWitness&amp;gt;false&amp;lt;/isExistMinorWitness&amp;gt;_x000d__x000a_        &amp;lt;CasePreviousSessionTypeID&amp;gt;2&amp;lt;/CasePreviousSessionTypeID&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fals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tru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79824118&amp;lt;/CaseID&amp;gt;_x000d__x000a_        &amp;lt;CaseMonth&amp;gt;12&amp;lt;/CaseMonth&amp;gt;_x000d__x000a_        &amp;lt;CaseYear&amp;gt;2022&amp;lt;/CaseYear&amp;gt;_x000d__x000a_        &amp;lt;CaseNumber&amp;gt;28302&amp;lt;/CaseNumber&amp;gt;_x000d__x000a_        &amp;lt;NumeratorGroupID&amp;gt;1&amp;lt;/NumeratorGroupID&amp;gt;_x000d__x000a_        &amp;lt;CaseName&amp;gt;áùé ð&amp;#39; áùé åàç&amp;#39;&amp;lt;/CaseName&amp;gt;_x000d__x000a_        &amp;lt;CourtID&amp;gt;33&amp;lt;/CourtID&amp;gt;_x000d__x000a_        &amp;lt;CaseTypeID&amp;gt;15&amp;lt;/CaseTypeID&amp;gt;_x000d__x000a_        &amp;lt;CaseInterestID&amp;gt;158&amp;lt;/CaseInterestID&amp;gt;_x000d__x000a_        &amp;lt;CaseJudgeName&amp;gt;úîø ñðåðéú ôåøø&amp;lt;/CaseJudgeName&amp;gt;_x000d__x000a_        &amp;lt;ProcedureID&amp;gt;1&amp;lt;/ProcedureID&amp;gt;_x000d__x000a_        &amp;lt;CaseStatusID&amp;gt;1&amp;lt;/CaseStatusID&amp;gt;_x000d__x000a_        &amp;lt;ProceedingID&amp;gt;3&amp;lt;/ProceedingID&amp;gt;_x000d__x000a_        &amp;lt;IsCaseLinked&amp;gt;false&amp;lt;/IsCaseLinked&amp;gt;_x000d__x000a_        &amp;lt;PrivilegeID&amp;gt;2&amp;lt;/PrivilegeID&amp;gt;_x000d__x000a_        &amp;lt;IsAppealingCaseExist&amp;gt;false&amp;lt;/IsAppealingCaseExist&amp;gt;_x000d__x000a_        &amp;lt;CaseDisplayIdentifier&amp;gt;28302-12-22&amp;lt;/CaseDisplayIdentifier&amp;gt;_x000d__x000a_        &amp;lt;CaseTypeDesc&amp;gt;úî&amp;quot;ù&amp;lt;/CaseTypeDesc&amp;gt;_x000d__x000a_        &amp;lt;CourtDesc&amp;gt;òðééðé îùôçä áîçåæ ú&amp;quot;à&amp;lt;/CourtDesc&amp;gt;_x000d__x000a_        &amp;lt;CaseStageDesc&amp;gt;úé÷ àì÷èøåðé&amp;lt;/CaseStageDesc&amp;gt;_x000d__x000a_        &amp;lt;CaseNextDeterminingTask&amp;gt;257&amp;lt;/CaseNextDeterminingTask&amp;gt;_x000d__x000a_        &amp;lt;CaseOpenDate&amp;gt;2022-12-13T14:30:00+02:00&amp;lt;/CaseOpenDate&amp;gt;_x000d__x000a_        &amp;lt;PleaTypeID&amp;gt;4&amp;lt;/PleaTypeID&amp;gt;_x000d__x000a_        &amp;lt;CourtLevelID&amp;gt;1&amp;lt;/CourtLevelID&amp;gt;_x000d__x000a_        &amp;lt;CourtLevelCaseTypeInterestID&amp;gt;96&amp;lt;/CourtLevelCaseTypeInterestID&amp;gt;_x000d__x000a_        &amp;lt;CaseJudgeFirstName&amp;gt;úîø&amp;lt;/CaseJudgeFirstName&amp;gt;_x000d__x000a_        &amp;lt;CaseJudgeLastName&amp;gt;ñðåðéú ôåøø&amp;lt;/CaseJudgeLastName&amp;gt;_x000d__x000a_        &amp;lt;JudicalPersonID&amp;gt;032014706@GOV.IL&amp;lt;/JudicalPersonID&amp;gt;_x000d__x000a_        &amp;lt;IsJudicalPanel&amp;gt;false&amp;lt;/IsJudicalPanel&amp;gt;_x000d__x000a_        &amp;lt;CourtDisplayName&amp;gt;áéú îùôè ìòðééðé îùôçä áúì àáéá -éôå&amp;lt;/CourtDisplayName&amp;gt;_x000d__x000a_        &amp;lt;IsAllStartDataCollected&amp;gt;true&amp;lt;/IsAllStartDataCollected&amp;gt;_x000d__x000a_        &amp;lt;CaseDesc /&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33"/>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 msdata:EnforceConstraints=&amp;quot;False&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 diffgr:hasChanges=&amp;quot;inserted&amp;quot;&amp;gt;_x000d__x000a_        &amp;lt;DecisionID&amp;gt;0&amp;lt;/DecisionID&amp;gt;_x000d__x000a_        &amp;lt;DecisionStatusID&amp;gt;1&amp;lt;/DecisionStatusID&amp;gt;_x000d__x000a_        &amp;lt;DecisionStatusChangeDate&amp;gt;2024-07-30T08:15:07.7366534+03:00&amp;lt;/DecisionStatusChangeDate&amp;gt;_x000d__x000a_        &amp;lt;DecisionSignatureDate&amp;gt;2024-07-30T08:15:07.7366534+03:00&amp;lt;/DecisionSignatureDate&amp;gt;_x000d__x000a_        &amp;lt;DecisionSignatureUserID&amp;gt;032014706@GOV.IL&amp;lt;/DecisionSignatureUserID&amp;gt;_x000d__x000a_        &amp;lt;DecisionCreateDate&amp;gt;2024-07-30T08:15:07.7366534+03:00&amp;lt;/DecisionCreateDate&amp;gt;_x000d__x000a_        &amp;lt;DecisionChangeDate&amp;gt;2024-07-30T08:15:07.7366534+03:00&amp;lt;/DecisionChangeDate&amp;gt;_x000d__x000a_        &amp;lt;DecisionChangeUserID&amp;gt;032014706@GOV.IL&amp;lt;/DecisionChangeUserID&amp;gt;_x000d__x000a_        &amp;lt;IsChosenDecision&amp;gt;tru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PrivilegeID&amp;gt;2&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32014706@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32014706@GOV.IL&amp;lt;/DecisionCreationUserID&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33&amp;lt;/DecisionNumberInCase&amp;gt;_x000d__x000a_      &amp;lt;/dt_Decision&amp;gt;_x000d__x000a_      &amp;lt;dt_DecisionCase diffgr:id=&amp;quot;dt_DecisionCase1&amp;quot; msdata:rowOrder=&amp;quot;0&amp;quot; diffgr:hasChanges=&amp;quot;inserted&amp;quot;&amp;gt;_x000d__x000a_        &amp;lt;DecisionID&amp;gt;0&amp;lt;/DecisionID&amp;gt;_x000d__x000a_        &amp;lt;CaseID&amp;gt;79824118&amp;lt;/CaseID&amp;gt;_x000d__x000a_        &amp;lt;IsOriginal&amp;gt;true&amp;lt;/IsOriginal&amp;gt;_x000d__x000a_        &amp;lt;IsDeleted&amp;gt;false&amp;lt;/IsDeleted&amp;gt;_x000d__x000a_      &amp;lt;/dt_DecisionCase&amp;gt;_x000d__x000a_    &amp;lt;/DecisionDS&amp;gt;_x000d__x000a_  &amp;lt;/diffgr:diffgram&amp;gt;_x000d__x000a_&amp;lt;/DecisionDS&amp;gt;"/>
    <w:docVar w:name="MyInfo" w:val="This document was extracted from Nevo's site"/>
    <w:docVar w:name="NGCS.TemplateCaseInterestID" w:val="158"/>
    <w:docVar w:name="NGCS.TemplateCaseTypeID" w:val="15"/>
    <w:docVar w:name="NGCS.TemplateCategoryID" w:val="80"/>
    <w:docVar w:name="NGCS.TemplateCourtID" w:val="33"/>
    <w:docVar w:name="NGCS.TemplateProceedingID" w:val="3"/>
    <w:docVar w:name="SelectedDocumentID" w:val="0"/>
    <w:docVar w:name="WordClientAssemblyName" w:val="NGCS.Decision.ClientWordBL"/>
    <w:docVar w:name="WordClientClassName" w:val="NGCS.Decision.ClientWordBL.DecisionClient"/>
  </w:docVars>
  <w:rsids>
    <w:rsidRoot w:val="002914D6"/>
    <w:rsid w:val="0000713B"/>
    <w:rsid w:val="00011212"/>
    <w:rsid w:val="00021EB1"/>
    <w:rsid w:val="00052E05"/>
    <w:rsid w:val="00084C61"/>
    <w:rsid w:val="000C0FC5"/>
    <w:rsid w:val="000F788D"/>
    <w:rsid w:val="001F3CAD"/>
    <w:rsid w:val="001F725E"/>
    <w:rsid w:val="00250655"/>
    <w:rsid w:val="002508F6"/>
    <w:rsid w:val="00265648"/>
    <w:rsid w:val="002914D6"/>
    <w:rsid w:val="002A310E"/>
    <w:rsid w:val="002C2C3C"/>
    <w:rsid w:val="002F5307"/>
    <w:rsid w:val="0030781A"/>
    <w:rsid w:val="00344961"/>
    <w:rsid w:val="003A08ED"/>
    <w:rsid w:val="003B646C"/>
    <w:rsid w:val="003D53E9"/>
    <w:rsid w:val="003D78C8"/>
    <w:rsid w:val="003E7583"/>
    <w:rsid w:val="004B515E"/>
    <w:rsid w:val="005A4FD6"/>
    <w:rsid w:val="005A5E69"/>
    <w:rsid w:val="005C105C"/>
    <w:rsid w:val="005C3AD6"/>
    <w:rsid w:val="006476EC"/>
    <w:rsid w:val="00666802"/>
    <w:rsid w:val="00681310"/>
    <w:rsid w:val="006C4051"/>
    <w:rsid w:val="006D5DB5"/>
    <w:rsid w:val="00705CE9"/>
    <w:rsid w:val="007C1077"/>
    <w:rsid w:val="007C6BD7"/>
    <w:rsid w:val="007D5443"/>
    <w:rsid w:val="007E40C8"/>
    <w:rsid w:val="00822AA5"/>
    <w:rsid w:val="008E0F90"/>
    <w:rsid w:val="0091072C"/>
    <w:rsid w:val="009108D7"/>
    <w:rsid w:val="0093505F"/>
    <w:rsid w:val="00961355"/>
    <w:rsid w:val="00995203"/>
    <w:rsid w:val="00A47FF7"/>
    <w:rsid w:val="00A833A8"/>
    <w:rsid w:val="00AC0C71"/>
    <w:rsid w:val="00AE759C"/>
    <w:rsid w:val="00BD18F5"/>
    <w:rsid w:val="00BD5B6B"/>
    <w:rsid w:val="00C10A08"/>
    <w:rsid w:val="00C17F60"/>
    <w:rsid w:val="00C40239"/>
    <w:rsid w:val="00C84CA2"/>
    <w:rsid w:val="00C931BD"/>
    <w:rsid w:val="00CD557F"/>
    <w:rsid w:val="00CF170F"/>
    <w:rsid w:val="00D15F0B"/>
    <w:rsid w:val="00D358FE"/>
    <w:rsid w:val="00D54B3A"/>
    <w:rsid w:val="00DE5437"/>
    <w:rsid w:val="00DF7397"/>
    <w:rsid w:val="00E34C8F"/>
    <w:rsid w:val="00E47B4E"/>
    <w:rsid w:val="00E9298F"/>
    <w:rsid w:val="00EA61E2"/>
    <w:rsid w:val="00EE0D2C"/>
    <w:rsid w:val="00EF069D"/>
    <w:rsid w:val="00F346B8"/>
    <w:rsid w:val="00F50E07"/>
    <w:rsid w:val="00F706EB"/>
    <w:rsid w:val="00F81F42"/>
    <w:rsid w:val="00F90462"/>
    <w:rsid w:val="00FC3D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D6B9D"/>
  <w15:docId w15:val="{47F93E28-E371-4C81-BD78-9358B768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2" w:locked="1"/>
    <w:lsdException w:name="List 3"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pPr>
      <w:bidi/>
    </w:pPr>
    <w:rPr>
      <w:rFonts w:cs="David"/>
      <w:noProof/>
      <w:sz w:val="24"/>
      <w:szCs w:val="24"/>
      <w:lang w:bidi="he-IL"/>
    </w:rPr>
  </w:style>
  <w:style w:type="paragraph" w:styleId="4">
    <w:name w:val="heading 4"/>
    <w:basedOn w:val="a"/>
    <w:next w:val="a"/>
    <w:qFormat/>
    <w:locked/>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ocked/>
    <w:pPr>
      <w:tabs>
        <w:tab w:val="center" w:pos="4153"/>
        <w:tab w:val="right" w:pos="8306"/>
      </w:tabs>
    </w:pPr>
  </w:style>
  <w:style w:type="paragraph" w:styleId="a4">
    <w:name w:val="footer"/>
    <w:basedOn w:val="a"/>
    <w:locked/>
    <w:pPr>
      <w:tabs>
        <w:tab w:val="center" w:pos="4153"/>
        <w:tab w:val="right" w:pos="8306"/>
      </w:tabs>
    </w:pPr>
  </w:style>
  <w:style w:type="paragraph" w:customStyle="1" w:styleId="a5">
    <w:name w:val="סעיפים"/>
    <w:basedOn w:val="a"/>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locked/>
    <w:rPr>
      <w:rFonts w:cs="Times New Roman"/>
      <w:noProof w:val="0"/>
    </w:rPr>
  </w:style>
  <w:style w:type="character" w:styleId="a7">
    <w:name w:val="annotation reference"/>
    <w:semiHidden/>
    <w:locked/>
    <w:rPr>
      <w:sz w:val="16"/>
    </w:rPr>
  </w:style>
  <w:style w:type="paragraph" w:styleId="a8">
    <w:name w:val="Balloon Text"/>
    <w:basedOn w:val="a"/>
    <w:semiHidden/>
    <w:locked/>
    <w:rPr>
      <w:rFonts w:ascii="Tahoma" w:hAnsi="Tahoma" w:cs="Tahoma"/>
      <w:sz w:val="16"/>
      <w:szCs w:val="16"/>
    </w:rPr>
  </w:style>
  <w:style w:type="table" w:styleId="a9">
    <w:name w:val="Table Grid"/>
    <w:basedOn w:val="a1"/>
    <w:pPr>
      <w:bidi/>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locked/>
    <w:rPr>
      <w:rFonts w:cs="Times New Roman"/>
    </w:rPr>
  </w:style>
  <w:style w:type="character" w:styleId="ab">
    <w:name w:val="page number"/>
    <w:locked/>
    <w:rPr>
      <w:rFonts w:cs="Times New Roman"/>
    </w:rPr>
  </w:style>
  <w:style w:type="character" w:customStyle="1" w:styleId="1">
    <w:name w:val="טקסט מציין מיקום1"/>
    <w:semiHidden/>
    <w:rsid w:val="00BD5B6B"/>
    <w:rPr>
      <w:color w:val="808080"/>
    </w:rPr>
  </w:style>
  <w:style w:type="character" w:styleId="Hyperlink">
    <w:name w:val="Hyperlink"/>
    <w:semiHidden/>
    <w:locked/>
    <w:rsid w:val="003D53E9"/>
    <w:rPr>
      <w:color w:val="0000FF"/>
      <w:u w:val="single"/>
    </w:rPr>
  </w:style>
  <w:style w:type="paragraph" w:customStyle="1" w:styleId="10">
    <w:name w:val="פיסקת רשימה1"/>
    <w:basedOn w:val="a"/>
    <w:qFormat/>
    <w:rsid w:val="003D53E9"/>
    <w:pPr>
      <w:spacing w:after="160" w:line="252" w:lineRule="auto"/>
      <w:ind w:left="720"/>
      <w:contextualSpacing/>
    </w:pPr>
    <w:rPr>
      <w:rFonts w:ascii="Calibri" w:hAnsi="Calibri" w:cs="Arial"/>
      <w:noProof w:val="0"/>
      <w:sz w:val="22"/>
      <w:szCs w:val="22"/>
    </w:rPr>
  </w:style>
  <w:style w:type="character" w:customStyle="1" w:styleId="ac">
    <w:name w:val="תואר תו"/>
    <w:link w:val="ad"/>
    <w:locked/>
    <w:rsid w:val="003D53E9"/>
    <w:rPr>
      <w:b/>
      <w:sz w:val="28"/>
      <w:u w:val="single"/>
      <w:shd w:val="pct20" w:color="auto" w:fill="FFFFFF"/>
      <w:lang w:val="x-none" w:eastAsia="he-IL" w:bidi="he-IL"/>
    </w:rPr>
  </w:style>
  <w:style w:type="paragraph" w:customStyle="1" w:styleId="ad">
    <w:name w:val="תואר"/>
    <w:basedOn w:val="a"/>
    <w:link w:val="ac"/>
    <w:rsid w:val="003D53E9"/>
    <w:pPr>
      <w:shd w:val="pct20" w:color="auto" w:fill="FFFFFF"/>
      <w:spacing w:line="480" w:lineRule="auto"/>
      <w:ind w:left="1701" w:hanging="1701"/>
      <w:jc w:val="center"/>
    </w:pPr>
    <w:rPr>
      <w:rFonts w:cs="Times New Roman"/>
      <w:b/>
      <w:bCs/>
      <w:noProof w:val="0"/>
      <w:sz w:val="20"/>
      <w:szCs w:val="28"/>
      <w:u w:val="single"/>
      <w:lang w:eastAsia="he-IL"/>
    </w:rPr>
  </w:style>
  <w:style w:type="paragraph" w:customStyle="1" w:styleId="11">
    <w:name w:val="פיסקת רשימה1"/>
    <w:basedOn w:val="a"/>
    <w:rsid w:val="003D53E9"/>
    <w:pPr>
      <w:ind w:left="720"/>
      <w:contextualSpacing/>
    </w:pPr>
  </w:style>
  <w:style w:type="paragraph" w:customStyle="1" w:styleId="p00">
    <w:name w:val="p00"/>
    <w:basedOn w:val="a"/>
    <w:semiHidden/>
    <w:rsid w:val="003D53E9"/>
    <w:pPr>
      <w:bidi w:val="0"/>
      <w:spacing w:before="100" w:beforeAutospacing="1" w:after="100" w:afterAutospacing="1"/>
    </w:pPr>
    <w:rPr>
      <w:rFonts w:cs="Times New Roman"/>
      <w:noProof w:val="0"/>
    </w:rPr>
  </w:style>
  <w:style w:type="character" w:customStyle="1" w:styleId="big-number">
    <w:name w:val="big-number"/>
    <w:rsid w:val="003D53E9"/>
    <w:rPr>
      <w:rFonts w:ascii="Times New Roman" w:hAnsi="Times New Roman"/>
    </w:rPr>
  </w:style>
  <w:style w:type="character" w:customStyle="1" w:styleId="default">
    <w:name w:val="default"/>
    <w:rsid w:val="003D53E9"/>
    <w:rPr>
      <w:rFonts w:ascii="Times New Roman" w:hAnsi="Times New Roman"/>
    </w:rPr>
  </w:style>
  <w:style w:type="paragraph" w:customStyle="1" w:styleId="12">
    <w:name w:val="מהדורה1"/>
    <w:hidden/>
    <w:semiHidden/>
    <w:rsid w:val="00D15F0B"/>
    <w:rPr>
      <w:rFonts w:cs="David"/>
      <w:noProof/>
      <w:sz w:val="24"/>
      <w:szCs w:val="24"/>
      <w:lang w:bidi="he-IL"/>
    </w:rPr>
  </w:style>
  <w:style w:type="paragraph" w:customStyle="1" w:styleId="13">
    <w:name w:val="ללא מרווח1"/>
    <w:qFormat/>
    <w:rsid w:val="00995203"/>
    <w:pPr>
      <w:bidi/>
    </w:pPr>
    <w:rPr>
      <w:rFonts w:cs="David"/>
      <w:noProof/>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nevo.co.il/law/71616" TargetMode="External"/><Relationship Id="rId18" Type="http://schemas.openxmlformats.org/officeDocument/2006/relationships/hyperlink" Target="http://www.nevo.co.il/law/71616" TargetMode="External"/><Relationship Id="rId26" Type="http://schemas.openxmlformats.org/officeDocument/2006/relationships/hyperlink" Target="http://www.nevo.co.il/law/72178" TargetMode="External"/><Relationship Id="rId39" Type="http://schemas.openxmlformats.org/officeDocument/2006/relationships/hyperlink" Target="http://www.nevo.co.il/law/72178" TargetMode="External"/><Relationship Id="rId21" Type="http://schemas.openxmlformats.org/officeDocument/2006/relationships/hyperlink" Target="http://www.nevo.co.il/law/72178/115" TargetMode="External"/><Relationship Id="rId34" Type="http://schemas.openxmlformats.org/officeDocument/2006/relationships/hyperlink" Target="http://www.nevo.co.il/law/72178/115" TargetMode="External"/><Relationship Id="rId42" Type="http://schemas.openxmlformats.org/officeDocument/2006/relationships/hyperlink" Target="http://www.nevo.co.il/law/72178" TargetMode="External"/><Relationship Id="rId47" Type="http://schemas.openxmlformats.org/officeDocument/2006/relationships/hyperlink" Target="http://www.nevo.co.il/law/72178" TargetMode="External"/><Relationship Id="rId50" Type="http://schemas.openxmlformats.org/officeDocument/2006/relationships/hyperlink" Target="http://www.nevo.co.il/safrut/bookgroup/2287" TargetMode="External"/><Relationship Id="rId55" Type="http://schemas.openxmlformats.org/officeDocument/2006/relationships/hyperlink" Target="http://www.nevo.co.il/law/72178/115" TargetMode="External"/><Relationship Id="rId63" Type="http://schemas.openxmlformats.org/officeDocument/2006/relationships/hyperlink" Target="http://www.nevo.co.il/law/71616" TargetMode="External"/><Relationship Id="rId68" Type="http://schemas.openxmlformats.org/officeDocument/2006/relationships/hyperlink" Target="http://www.nevo.co.il/law/71616/33.a" TargetMode="External"/><Relationship Id="rId76" Type="http://schemas.openxmlformats.org/officeDocument/2006/relationships/hyperlink" Target="http://www.nevo.co.il/law/72178" TargetMode="External"/><Relationship Id="rId84" Type="http://schemas.openxmlformats.org/officeDocument/2006/relationships/header" Target="header2.xml"/><Relationship Id="rId7" Type="http://schemas.openxmlformats.org/officeDocument/2006/relationships/hyperlink" Target="http://www.nevo.co.il/law/72897" TargetMode="External"/><Relationship Id="rId71" Type="http://schemas.openxmlformats.org/officeDocument/2006/relationships/hyperlink" Target="http://www.nevo.co.il/case/12002832" TargetMode="External"/><Relationship Id="rId2" Type="http://schemas.openxmlformats.org/officeDocument/2006/relationships/styles" Target="styles.xml"/><Relationship Id="rId16" Type="http://schemas.openxmlformats.org/officeDocument/2006/relationships/hyperlink" Target="http://www.nevo.co.il/law/71616" TargetMode="External"/><Relationship Id="rId29" Type="http://schemas.openxmlformats.org/officeDocument/2006/relationships/hyperlink" Target="http://www.nevo.co.il/law/72178" TargetMode="External"/><Relationship Id="rId11" Type="http://schemas.openxmlformats.org/officeDocument/2006/relationships/hyperlink" Target="http://www.nevo.co.il/law/72178" TargetMode="External"/><Relationship Id="rId24" Type="http://schemas.openxmlformats.org/officeDocument/2006/relationships/hyperlink" Target="http://www.nevo.co.il/law/72897" TargetMode="External"/><Relationship Id="rId32" Type="http://schemas.openxmlformats.org/officeDocument/2006/relationships/hyperlink" Target="http://www.nevo.co.il/law/72178/115" TargetMode="External"/><Relationship Id="rId37" Type="http://schemas.openxmlformats.org/officeDocument/2006/relationships/hyperlink" Target="http://www.nevo.co.il/law/72178" TargetMode="External"/><Relationship Id="rId40" Type="http://schemas.openxmlformats.org/officeDocument/2006/relationships/image" Target="media/image1.emf"/><Relationship Id="rId45" Type="http://schemas.openxmlformats.org/officeDocument/2006/relationships/hyperlink" Target="http://www.nevo.co.il/law/72178" TargetMode="External"/><Relationship Id="rId53" Type="http://schemas.openxmlformats.org/officeDocument/2006/relationships/hyperlink" Target="http://www.nevo.co.il/law/72178/115" TargetMode="External"/><Relationship Id="rId58" Type="http://schemas.openxmlformats.org/officeDocument/2006/relationships/hyperlink" Target="http://www.nevo.co.il/safrut/bookgroup/2287" TargetMode="External"/><Relationship Id="rId66" Type="http://schemas.openxmlformats.org/officeDocument/2006/relationships/hyperlink" Target="http://www.nevo.co.il/law/71616/33.a.;33.d" TargetMode="External"/><Relationship Id="rId74" Type="http://schemas.openxmlformats.org/officeDocument/2006/relationships/hyperlink" Target="http://www.nevo.co.il/law/72178" TargetMode="External"/><Relationship Id="rId79" Type="http://schemas.openxmlformats.org/officeDocument/2006/relationships/hyperlink" Target="http://www.nevo.co.il/law/72178/115"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nevo.co.il/law/71616" TargetMode="External"/><Relationship Id="rId82" Type="http://schemas.openxmlformats.org/officeDocument/2006/relationships/image" Target="media/image2.jpeg"/><Relationship Id="rId19" Type="http://schemas.openxmlformats.org/officeDocument/2006/relationships/hyperlink" Target="http://www.nevo.co.il/law/72178/115" TargetMode="External"/><Relationship Id="rId4" Type="http://schemas.openxmlformats.org/officeDocument/2006/relationships/webSettings" Target="webSettings.xml"/><Relationship Id="rId9" Type="http://schemas.openxmlformats.org/officeDocument/2006/relationships/hyperlink" Target="http://www.nevo.co.il/law/72178" TargetMode="External"/><Relationship Id="rId14" Type="http://schemas.openxmlformats.org/officeDocument/2006/relationships/hyperlink" Target="http://www.nevo.co.il/law/71616/33" TargetMode="External"/><Relationship Id="rId22" Type="http://schemas.openxmlformats.org/officeDocument/2006/relationships/hyperlink" Target="http://www.nevo.co.il/law/72897/37" TargetMode="External"/><Relationship Id="rId27" Type="http://schemas.openxmlformats.org/officeDocument/2006/relationships/hyperlink" Target="http://www.nevo.co.il/law/72178/115" TargetMode="External"/><Relationship Id="rId30" Type="http://schemas.openxmlformats.org/officeDocument/2006/relationships/hyperlink" Target="http://www.nevo.co.il/law/72178/115" TargetMode="External"/><Relationship Id="rId35" Type="http://schemas.openxmlformats.org/officeDocument/2006/relationships/hyperlink" Target="http://www.nevo.co.il/law/72178" TargetMode="External"/><Relationship Id="rId43" Type="http://schemas.openxmlformats.org/officeDocument/2006/relationships/hyperlink" Target="http://www.nevo.co.il/law/72178/115" TargetMode="External"/><Relationship Id="rId48" Type="http://schemas.openxmlformats.org/officeDocument/2006/relationships/hyperlink" Target="http://www.nevo.co.il/law/72178/115" TargetMode="External"/><Relationship Id="rId56" Type="http://schemas.openxmlformats.org/officeDocument/2006/relationships/hyperlink" Target="http://www.nevo.co.il/law/72178/115" TargetMode="External"/><Relationship Id="rId64" Type="http://schemas.openxmlformats.org/officeDocument/2006/relationships/hyperlink" Target="http://www.nevo.co.il/law/72897/42" TargetMode="External"/><Relationship Id="rId69" Type="http://schemas.openxmlformats.org/officeDocument/2006/relationships/hyperlink" Target="http://www.nevo.co.il/law/71616" TargetMode="External"/><Relationship Id="rId77" Type="http://schemas.openxmlformats.org/officeDocument/2006/relationships/hyperlink" Target="http://www.nevo.co.il/law/71616/33" TargetMode="External"/><Relationship Id="rId8" Type="http://schemas.openxmlformats.org/officeDocument/2006/relationships/hyperlink" Target="http://www.nevo.co.il/law/72178/115" TargetMode="External"/><Relationship Id="rId51" Type="http://schemas.openxmlformats.org/officeDocument/2006/relationships/hyperlink" Target="http://www.nevo.co.il/law/72178/115" TargetMode="External"/><Relationship Id="rId72" Type="http://schemas.openxmlformats.org/officeDocument/2006/relationships/hyperlink" Target="http://www.nevo.co.il/law/72178/115" TargetMode="External"/><Relationship Id="rId80" Type="http://schemas.openxmlformats.org/officeDocument/2006/relationships/hyperlink" Target="http://www.nevo.co.il/law/72178"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nevo.co.il/law/71616/33" TargetMode="External"/><Relationship Id="rId17" Type="http://schemas.openxmlformats.org/officeDocument/2006/relationships/hyperlink" Target="http://www.nevo.co.il/law/71616/33" TargetMode="External"/><Relationship Id="rId25" Type="http://schemas.openxmlformats.org/officeDocument/2006/relationships/hyperlink" Target="http://www.nevo.co.il/law/72178/115" TargetMode="External"/><Relationship Id="rId33" Type="http://schemas.openxmlformats.org/officeDocument/2006/relationships/hyperlink" Target="http://www.nevo.co.il/law/72178" TargetMode="External"/><Relationship Id="rId38" Type="http://schemas.openxmlformats.org/officeDocument/2006/relationships/hyperlink" Target="http://www.nevo.co.il/law/72178/115" TargetMode="External"/><Relationship Id="rId46" Type="http://schemas.openxmlformats.org/officeDocument/2006/relationships/hyperlink" Target="http://www.nevo.co.il/law/72178/115" TargetMode="External"/><Relationship Id="rId59" Type="http://schemas.openxmlformats.org/officeDocument/2006/relationships/hyperlink" Target="http://www.nevo.co.il/law/72178/115" TargetMode="External"/><Relationship Id="rId67" Type="http://schemas.openxmlformats.org/officeDocument/2006/relationships/hyperlink" Target="http://www.nevo.co.il/law/71616" TargetMode="External"/><Relationship Id="rId20" Type="http://schemas.openxmlformats.org/officeDocument/2006/relationships/hyperlink" Target="http://www.nevo.co.il/law/72178" TargetMode="External"/><Relationship Id="rId41" Type="http://schemas.openxmlformats.org/officeDocument/2006/relationships/hyperlink" Target="http://www.nevo.co.il/law/72178/115" TargetMode="External"/><Relationship Id="rId54" Type="http://schemas.openxmlformats.org/officeDocument/2006/relationships/hyperlink" Target="http://www.nevo.co.il/law/72178/115" TargetMode="External"/><Relationship Id="rId62" Type="http://schemas.openxmlformats.org/officeDocument/2006/relationships/hyperlink" Target="http://www.nevo.co.il/law/71616/33" TargetMode="External"/><Relationship Id="rId70" Type="http://schemas.openxmlformats.org/officeDocument/2006/relationships/hyperlink" Target="http://www.nevo.co.il/case/30627199" TargetMode="External"/><Relationship Id="rId75" Type="http://schemas.openxmlformats.org/officeDocument/2006/relationships/hyperlink" Target="http://www.nevo.co.il/law/72178/115" TargetMode="External"/><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evo.co.il/law/71616/33" TargetMode="External"/><Relationship Id="rId23" Type="http://schemas.openxmlformats.org/officeDocument/2006/relationships/hyperlink" Target="http://www.nevo.co.il/law/72897" TargetMode="External"/><Relationship Id="rId28" Type="http://schemas.openxmlformats.org/officeDocument/2006/relationships/hyperlink" Target="http://www.nevo.co.il/law/72178/115.a.;115.b" TargetMode="External"/><Relationship Id="rId36" Type="http://schemas.openxmlformats.org/officeDocument/2006/relationships/hyperlink" Target="http://www.nevo.co.il/law/72178/115" TargetMode="External"/><Relationship Id="rId49" Type="http://schemas.openxmlformats.org/officeDocument/2006/relationships/hyperlink" Target="http://www.nevo.co.il/law/72178/115" TargetMode="External"/><Relationship Id="rId57" Type="http://schemas.openxmlformats.org/officeDocument/2006/relationships/hyperlink" Target="http://www.nevo.co.il/law/71616" TargetMode="External"/><Relationship Id="rId10" Type="http://schemas.openxmlformats.org/officeDocument/2006/relationships/hyperlink" Target="http://www.nevo.co.il/law/72178/115" TargetMode="External"/><Relationship Id="rId31" Type="http://schemas.openxmlformats.org/officeDocument/2006/relationships/hyperlink" Target="http://www.nevo.co.il/law/72178" TargetMode="External"/><Relationship Id="rId44" Type="http://schemas.openxmlformats.org/officeDocument/2006/relationships/hyperlink" Target="http://www.nevo.co.il/law/72178/115" TargetMode="External"/><Relationship Id="rId52" Type="http://schemas.openxmlformats.org/officeDocument/2006/relationships/hyperlink" Target="http://www.nevo.co.il/law/72178" TargetMode="External"/><Relationship Id="rId60" Type="http://schemas.openxmlformats.org/officeDocument/2006/relationships/hyperlink" Target="http://www.nevo.co.il/law/71616/33" TargetMode="External"/><Relationship Id="rId65" Type="http://schemas.openxmlformats.org/officeDocument/2006/relationships/hyperlink" Target="http://www.nevo.co.il/law/72897" TargetMode="External"/><Relationship Id="rId73" Type="http://schemas.openxmlformats.org/officeDocument/2006/relationships/hyperlink" Target="http://www.nevo.co.il/law/72178/115" TargetMode="External"/><Relationship Id="rId78" Type="http://schemas.openxmlformats.org/officeDocument/2006/relationships/hyperlink" Target="http://www.nevo.co.il/law/71616" TargetMode="External"/><Relationship Id="rId81" Type="http://schemas.openxmlformats.org/officeDocument/2006/relationships/hyperlink" Target="http://www.nevo.co.il/case/27136151" TargetMode="External"/><Relationship Id="rId86"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5917</Words>
  <Characters>29590</Characters>
  <Application>Microsoft Office Word</Application>
  <DocSecurity>0</DocSecurity>
  <Lines>246</Lines>
  <Paragraphs>70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2025-01-02T05:13:00Z</dcterms:created>
  <dcterms:modified xsi:type="dcterms:W3CDTF">2025-01-02T05:13:00Z</dcterms:modified>
</cp:coreProperties>
</file>